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footer15.xml" ContentType="application/vnd.openxmlformats-officedocument.wordprocessingml.footer+xml"/>
  <Override PartName="/word/header19.xml" ContentType="application/vnd.openxmlformats-officedocument.wordprocessingml.header+xml"/>
  <Override PartName="/word/footer16.xml" ContentType="application/vnd.openxmlformats-officedocument.wordprocessingml.footer+xml"/>
  <Override PartName="/word/header20.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footer18.xml" ContentType="application/vnd.openxmlformats-officedocument.wordprocessingml.footer+xml"/>
  <Override PartName="/word/header22.xml" ContentType="application/vnd.openxmlformats-officedocument.wordprocessingml.header+xml"/>
  <Override PartName="/word/footer19.xml" ContentType="application/vnd.openxmlformats-officedocument.wordprocessingml.footer+xml"/>
  <Override PartName="/word/header23.xml" ContentType="application/vnd.openxmlformats-officedocument.wordprocessingml.header+xml"/>
  <Override PartName="/word/footer20.xml" ContentType="application/vnd.openxmlformats-officedocument.wordprocessingml.footer+xml"/>
  <Override PartName="/word/header24.xml" ContentType="application/vnd.openxmlformats-officedocument.wordprocessingml.header+xml"/>
  <Override PartName="/word/footer21.xml" ContentType="application/vnd.openxmlformats-officedocument.wordprocessingml.footer+xml"/>
  <Override PartName="/word/header25.xml" ContentType="application/vnd.openxmlformats-officedocument.wordprocessingml.header+xml"/>
  <Override PartName="/word/footer22.xml" ContentType="application/vnd.openxmlformats-officedocument.wordprocessingml.footer+xml"/>
  <Override PartName="/word/header26.xml" ContentType="application/vnd.openxmlformats-officedocument.wordprocessingml.header+xml"/>
  <Override PartName="/word/footer23.xml" ContentType="application/vnd.openxmlformats-officedocument.wordprocessingml.footer+xml"/>
  <Override PartName="/word/header27.xml" ContentType="application/vnd.openxmlformats-officedocument.wordprocessingml.header+xml"/>
  <Override PartName="/word/footer24.xml" ContentType="application/vnd.openxmlformats-officedocument.wordprocessingml.footer+xml"/>
  <Override PartName="/word/header28.xml" ContentType="application/vnd.openxmlformats-officedocument.wordprocessingml.header+xml"/>
  <Override PartName="/word/footer25.xml" ContentType="application/vnd.openxmlformats-officedocument.wordprocessingml.footer+xml"/>
  <Override PartName="/word/header29.xml" ContentType="application/vnd.openxmlformats-officedocument.wordprocessingml.header+xml"/>
  <Override PartName="/word/footer26.xml" ContentType="application/vnd.openxmlformats-officedocument.wordprocessingml.footer+xml"/>
  <Override PartName="/word/header30.xml" ContentType="application/vnd.openxmlformats-officedocument.wordprocessingml.header+xml"/>
  <Override PartName="/word/footer27.xml" ContentType="application/vnd.openxmlformats-officedocument.wordprocessingml.footer+xml"/>
  <Override PartName="/word/header31.xml" ContentType="application/vnd.openxmlformats-officedocument.wordprocessingml.header+xml"/>
  <Override PartName="/word/footer28.xml" ContentType="application/vnd.openxmlformats-officedocument.wordprocessingml.footer+xml"/>
  <Override PartName="/word/header32.xml" ContentType="application/vnd.openxmlformats-officedocument.wordprocessingml.header+xml"/>
  <Override PartName="/word/footer29.xml" ContentType="application/vnd.openxmlformats-officedocument.wordprocessingml.footer+xml"/>
  <Override PartName="/word/header33.xml" ContentType="application/vnd.openxmlformats-officedocument.wordprocessingml.header+xml"/>
  <Override PartName="/word/footer30.xml" ContentType="application/vnd.openxmlformats-officedocument.wordprocessingml.footer+xml"/>
  <Override PartName="/word/header34.xml" ContentType="application/vnd.openxmlformats-officedocument.wordprocessingml.header+xml"/>
  <Override PartName="/word/footer31.xml" ContentType="application/vnd.openxmlformats-officedocument.wordprocessingml.footer+xml"/>
  <Override PartName="/word/header35.xml" ContentType="application/vnd.openxmlformats-officedocument.wordprocessingml.header+xml"/>
  <Override PartName="/word/footer32.xml" ContentType="application/vnd.openxmlformats-officedocument.wordprocessingml.footer+xml"/>
  <Override PartName="/word/header36.xml" ContentType="application/vnd.openxmlformats-officedocument.wordprocessingml.header+xml"/>
  <Override PartName="/word/footer33.xml" ContentType="application/vnd.openxmlformats-officedocument.wordprocessingml.footer+xml"/>
  <Override PartName="/word/header37.xml" ContentType="application/vnd.openxmlformats-officedocument.wordprocessingml.header+xml"/>
  <Override PartName="/word/footer34.xml" ContentType="application/vnd.openxmlformats-officedocument.wordprocessingml.footer+xml"/>
  <Override PartName="/word/header38.xml" ContentType="application/vnd.openxmlformats-officedocument.wordprocessingml.header+xml"/>
  <Override PartName="/word/footer35.xml" ContentType="application/vnd.openxmlformats-officedocument.wordprocessingml.footer+xml"/>
  <Override PartName="/word/header39.xml" ContentType="application/vnd.openxmlformats-officedocument.wordprocessingml.header+xml"/>
  <Override PartName="/word/footer36.xml" ContentType="application/vnd.openxmlformats-officedocument.wordprocessingml.footer+xml"/>
  <Override PartName="/word/header40.xml" ContentType="application/vnd.openxmlformats-officedocument.wordprocessingml.head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E6D" w:rsidRDefault="00913831">
      <w:pPr>
        <w:pStyle w:val="BodyText"/>
        <w:rPr>
          <w:rFonts w:ascii="Times New Roman"/>
          <w:sz w:val="20"/>
        </w:rPr>
      </w:pPr>
      <w:r>
        <w:pict>
          <v:group id="docshapegroup1" o:spid="_x0000_s1427" style="position:absolute;margin-left:0;margin-top:0;width:594.95pt;height:240.35pt;z-index:-21214208;mso-position-horizontal-relative:page;mso-position-vertical-relative:page" coordsize="11899,4807">
            <v:shape id="docshape2" o:spid="_x0000_s1431" style="position:absolute;width:5949;height:2165" coordsize="5949,2165" path="m4590,l,,,2165,5949,402,4590,xe" fillcolor="#2b3794" stroked="f">
              <v:path arrowok="t"/>
            </v:shape>
            <v:shape id="docshape3" o:spid="_x0000_s1430" style="position:absolute;left:5949;width:5950;height:2165" coordorigin="5949" coordsize="5950,2165" path="m11899,l7308,,5949,402r5950,1763l11899,xe" fillcolor="#f9ff42" stroked="f">
              <v:path arrowok="t"/>
            </v:shape>
            <v:shape id="docshape4" o:spid="_x0000_s1429" style="position:absolute;left:4590;width:2718;height:402" coordorigin="4590" coordsize="2718,402" path="m7308,l4590,,5949,402,7308,xe" fillcolor="#fff86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428" type="#_x0000_t75" style="position:absolute;left:3985;top:865;width:3942;height:3942">
              <v:imagedata r:id="rId7" o:title=""/>
            </v:shape>
            <w10:wrap anchorx="page" anchory="page"/>
          </v:group>
        </w:pict>
      </w:r>
      <w:r>
        <w:pict>
          <v:group id="docshapegroup6" o:spid="_x0000_s1422" style="position:absolute;margin-left:0;margin-top:610.25pt;width:594.95pt;height:228.35pt;z-index:15729664;mso-position-horizontal-relative:page;mso-position-vertical-relative:page" coordorigin=",12205" coordsize="11899,4567">
            <v:shape id="docshape7" o:spid="_x0000_s1426" style="position:absolute;left:5953;top:14642;width:5946;height:2130" coordorigin="5953,14642" coordsize="5946,2130" path="m11899,14642l5953,16404r1244,368l11899,16772r,-2130xe" fillcolor="#2b3094" stroked="f">
              <v:path arrowok="t"/>
            </v:shape>
            <v:shape id="docshape8" o:spid="_x0000_s1425" style="position:absolute;top:14640;width:5953;height:2132" coordorigin=",14640" coordsize="5953,2132" path="m,14640r,2132l4710,16772r1243,-368l,14640xe" fillcolor="#f4f73b" stroked="f">
              <v:path arrowok="t"/>
            </v:shape>
            <v:shape id="docshape9" o:spid="_x0000_s1424" style="position:absolute;left:4710;top:16403;width:2487;height:368" coordorigin="4710,16403" coordsize="2487,368" path="m5953,16403r-1243,368l7197,16771,5953,16403xe" fillcolor="#eff446" stroked="f">
              <v:path arrowok="t"/>
            </v:shape>
            <v:shape id="docshape10" o:spid="_x0000_s1423" type="#_x0000_t75" style="position:absolute;left:4137;top:12205;width:3612;height:3612">
              <v:imagedata r:id="rId8" o:title=""/>
            </v:shape>
            <w10:wrap anchorx="page" anchory="page"/>
          </v:group>
        </w:pict>
      </w: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913831">
      <w:pPr>
        <w:spacing w:before="231" w:line="242" w:lineRule="auto"/>
        <w:ind w:left="162" w:right="165"/>
        <w:jc w:val="center"/>
        <w:rPr>
          <w:rFonts w:ascii="Times New Roman"/>
          <w:b/>
          <w:sz w:val="44"/>
        </w:rPr>
      </w:pPr>
      <w:bookmarkStart w:id="0" w:name="FY23_MCLGBTQY_Annual_Report_Final.pdf"/>
      <w:bookmarkEnd w:id="0"/>
      <w:r>
        <w:rPr>
          <w:rFonts w:ascii="Times New Roman"/>
          <w:b/>
          <w:color w:val="1F2CA1"/>
          <w:spacing w:val="18"/>
          <w:sz w:val="44"/>
        </w:rPr>
        <w:t xml:space="preserve">THE </w:t>
      </w:r>
      <w:r>
        <w:rPr>
          <w:rFonts w:ascii="Times New Roman"/>
          <w:b/>
          <w:color w:val="1F2CA1"/>
          <w:spacing w:val="35"/>
          <w:sz w:val="44"/>
        </w:rPr>
        <w:t xml:space="preserve">COMMONWEALTH </w:t>
      </w:r>
      <w:r>
        <w:rPr>
          <w:rFonts w:ascii="Times New Roman"/>
          <w:b/>
          <w:color w:val="1F2CA1"/>
          <w:spacing w:val="10"/>
          <w:sz w:val="44"/>
        </w:rPr>
        <w:t xml:space="preserve">OF </w:t>
      </w:r>
      <w:r>
        <w:rPr>
          <w:rFonts w:ascii="Times New Roman"/>
          <w:b/>
          <w:color w:val="1F2CA1"/>
          <w:spacing w:val="35"/>
          <w:sz w:val="44"/>
        </w:rPr>
        <w:t xml:space="preserve">MASSACHUSETTS </w:t>
      </w:r>
      <w:r>
        <w:rPr>
          <w:rFonts w:ascii="Times New Roman"/>
          <w:b/>
          <w:color w:val="1F2CA1"/>
          <w:spacing w:val="33"/>
          <w:sz w:val="44"/>
        </w:rPr>
        <w:t xml:space="preserve">COMMISSION </w:t>
      </w:r>
      <w:r>
        <w:rPr>
          <w:rFonts w:ascii="Times New Roman"/>
          <w:b/>
          <w:color w:val="1F2CA1"/>
          <w:spacing w:val="10"/>
          <w:sz w:val="44"/>
        </w:rPr>
        <w:t xml:space="preserve">ON </w:t>
      </w:r>
      <w:r>
        <w:rPr>
          <w:rFonts w:ascii="Times New Roman"/>
          <w:b/>
          <w:color w:val="1F2CA1"/>
          <w:spacing w:val="32"/>
          <w:sz w:val="44"/>
        </w:rPr>
        <w:t xml:space="preserve">LESBIAN, </w:t>
      </w:r>
      <w:r>
        <w:rPr>
          <w:rFonts w:ascii="Times New Roman"/>
          <w:b/>
          <w:color w:val="1F2CA1"/>
          <w:spacing w:val="23"/>
          <w:sz w:val="44"/>
        </w:rPr>
        <w:t xml:space="preserve">GAY, </w:t>
      </w:r>
      <w:r>
        <w:rPr>
          <w:rFonts w:ascii="Times New Roman"/>
          <w:b/>
          <w:color w:val="1F2CA1"/>
          <w:spacing w:val="37"/>
          <w:sz w:val="44"/>
        </w:rPr>
        <w:t xml:space="preserve">BISEXUAL, </w:t>
      </w:r>
      <w:r>
        <w:rPr>
          <w:rFonts w:ascii="Times New Roman"/>
          <w:b/>
          <w:color w:val="1F2CA1"/>
          <w:spacing w:val="35"/>
          <w:sz w:val="44"/>
        </w:rPr>
        <w:t xml:space="preserve">TRANSGENDER, </w:t>
      </w:r>
      <w:r>
        <w:rPr>
          <w:rFonts w:ascii="Times New Roman"/>
          <w:b/>
          <w:color w:val="1F2CA1"/>
          <w:spacing w:val="26"/>
          <w:sz w:val="44"/>
        </w:rPr>
        <w:t xml:space="preserve">QUEER </w:t>
      </w:r>
      <w:r>
        <w:rPr>
          <w:rFonts w:ascii="Times New Roman"/>
          <w:b/>
          <w:color w:val="1F2CA1"/>
          <w:sz w:val="44"/>
        </w:rPr>
        <w:t xml:space="preserve">&amp; </w:t>
      </w:r>
      <w:r>
        <w:rPr>
          <w:rFonts w:ascii="Times New Roman"/>
          <w:b/>
          <w:color w:val="1F2CA1"/>
          <w:spacing w:val="38"/>
          <w:sz w:val="44"/>
        </w:rPr>
        <w:t>QUESTIONING</w:t>
      </w:r>
    </w:p>
    <w:p w:rsidR="00C76E6D" w:rsidRDefault="00913831">
      <w:pPr>
        <w:spacing w:line="494" w:lineRule="exact"/>
        <w:ind w:left="162" w:right="124"/>
        <w:jc w:val="center"/>
        <w:rPr>
          <w:rFonts w:ascii="Times New Roman"/>
          <w:b/>
          <w:sz w:val="44"/>
        </w:rPr>
      </w:pPr>
      <w:r>
        <w:rPr>
          <w:rFonts w:ascii="Times New Roman"/>
          <w:b/>
          <w:color w:val="1F2CA1"/>
          <w:spacing w:val="29"/>
          <w:sz w:val="44"/>
        </w:rPr>
        <w:t>YOUTH</w:t>
      </w:r>
    </w:p>
    <w:p w:rsidR="00C76E6D" w:rsidRDefault="00C76E6D">
      <w:pPr>
        <w:pStyle w:val="BodyText"/>
        <w:rPr>
          <w:rFonts w:ascii="Times New Roman"/>
          <w:b/>
          <w:sz w:val="20"/>
        </w:rPr>
      </w:pPr>
    </w:p>
    <w:p w:rsidR="00C76E6D" w:rsidRDefault="00C76E6D">
      <w:pPr>
        <w:pStyle w:val="BodyText"/>
        <w:rPr>
          <w:rFonts w:ascii="Times New Roman"/>
          <w:b/>
          <w:sz w:val="20"/>
        </w:rPr>
      </w:pPr>
    </w:p>
    <w:p w:rsidR="00C76E6D" w:rsidRDefault="00913831">
      <w:pPr>
        <w:pStyle w:val="BodyText"/>
        <w:spacing w:before="8"/>
        <w:rPr>
          <w:rFonts w:ascii="Times New Roman"/>
          <w:b/>
          <w:sz w:val="13"/>
        </w:rPr>
      </w:pPr>
      <w:r>
        <w:pict>
          <v:shape id="docshape11" o:spid="_x0000_s1421" style="position:absolute;margin-left:31.3pt;margin-top:9.1pt;width:532.05pt;height:.1pt;z-index:-15728640;mso-wrap-distance-left:0;mso-wrap-distance-right:0;mso-position-horizontal-relative:page" coordorigin="626,182" coordsize="10641,0" path="m626,182r10641,e" filled="f" strokecolor="#737373" strokeweight="1.3219mm">
            <v:path arrowok="t"/>
            <w10:wrap type="topAndBottom" anchorx="page"/>
          </v:shape>
        </w:pict>
      </w:r>
    </w:p>
    <w:p w:rsidR="00C76E6D" w:rsidRDefault="00C76E6D">
      <w:pPr>
        <w:pStyle w:val="BodyText"/>
        <w:spacing w:before="8"/>
        <w:rPr>
          <w:rFonts w:ascii="Times New Roman"/>
          <w:b/>
          <w:sz w:val="50"/>
        </w:rPr>
      </w:pPr>
    </w:p>
    <w:p w:rsidR="00C76E6D" w:rsidRDefault="00913831">
      <w:pPr>
        <w:pStyle w:val="Title"/>
        <w:spacing w:line="244" w:lineRule="auto"/>
      </w:pPr>
      <w:r>
        <w:rPr>
          <w:color w:val="1D1F9E"/>
          <w:spacing w:val="32"/>
        </w:rPr>
        <w:t xml:space="preserve">REPORT </w:t>
      </w:r>
      <w:r>
        <w:rPr>
          <w:color w:val="1D1F9E"/>
        </w:rPr>
        <w:t xml:space="preserve">&amp; </w:t>
      </w:r>
      <w:r>
        <w:rPr>
          <w:color w:val="1D1F9E"/>
          <w:spacing w:val="39"/>
        </w:rPr>
        <w:t xml:space="preserve">RECOMMENDATIONS </w:t>
      </w:r>
      <w:r>
        <w:rPr>
          <w:color w:val="1D1F9E"/>
          <w:spacing w:val="20"/>
        </w:rPr>
        <w:t xml:space="preserve">FOR </w:t>
      </w:r>
      <w:r>
        <w:rPr>
          <w:color w:val="1D1F9E"/>
          <w:spacing w:val="32"/>
        </w:rPr>
        <w:t xml:space="preserve">FISCAL </w:t>
      </w:r>
      <w:r>
        <w:rPr>
          <w:color w:val="1D1F9E"/>
          <w:spacing w:val="25"/>
        </w:rPr>
        <w:t>YEAR 2023</w:t>
      </w:r>
    </w:p>
    <w:p w:rsidR="00C76E6D" w:rsidRDefault="00C76E6D">
      <w:pPr>
        <w:pStyle w:val="BodyText"/>
        <w:rPr>
          <w:rFonts w:ascii="Times New Roman"/>
          <w:b/>
          <w:sz w:val="52"/>
        </w:rPr>
      </w:pPr>
    </w:p>
    <w:p w:rsidR="00C76E6D" w:rsidRDefault="00913831">
      <w:pPr>
        <w:ind w:left="162" w:right="110"/>
        <w:jc w:val="center"/>
        <w:rPr>
          <w:rFonts w:ascii="Times New Roman"/>
          <w:sz w:val="42"/>
        </w:rPr>
      </w:pPr>
      <w:r>
        <w:rPr>
          <w:rFonts w:ascii="Times New Roman"/>
          <w:color w:val="1620AB"/>
          <w:sz w:val="42"/>
        </w:rPr>
        <w:t>July</w:t>
      </w:r>
      <w:r>
        <w:rPr>
          <w:rFonts w:ascii="Times New Roman"/>
          <w:color w:val="1620AB"/>
          <w:spacing w:val="-8"/>
          <w:sz w:val="42"/>
        </w:rPr>
        <w:t xml:space="preserve"> </w:t>
      </w:r>
      <w:r>
        <w:rPr>
          <w:rFonts w:ascii="Times New Roman"/>
          <w:color w:val="1620AB"/>
          <w:sz w:val="42"/>
        </w:rPr>
        <w:t>1,</w:t>
      </w:r>
      <w:r>
        <w:rPr>
          <w:rFonts w:ascii="Times New Roman"/>
          <w:color w:val="1620AB"/>
          <w:spacing w:val="-8"/>
          <w:sz w:val="42"/>
        </w:rPr>
        <w:t xml:space="preserve"> </w:t>
      </w:r>
      <w:r>
        <w:rPr>
          <w:rFonts w:ascii="Times New Roman"/>
          <w:color w:val="1620AB"/>
          <w:sz w:val="42"/>
        </w:rPr>
        <w:t>2022</w:t>
      </w:r>
      <w:r>
        <w:rPr>
          <w:rFonts w:ascii="Times New Roman"/>
          <w:color w:val="1620AB"/>
          <w:spacing w:val="-8"/>
          <w:sz w:val="42"/>
        </w:rPr>
        <w:t xml:space="preserve"> </w:t>
      </w:r>
      <w:r>
        <w:rPr>
          <w:rFonts w:ascii="Times New Roman"/>
          <w:color w:val="1620AB"/>
          <w:sz w:val="42"/>
        </w:rPr>
        <w:t>-</w:t>
      </w:r>
      <w:r>
        <w:rPr>
          <w:rFonts w:ascii="Times New Roman"/>
          <w:color w:val="1620AB"/>
          <w:spacing w:val="-8"/>
          <w:sz w:val="42"/>
        </w:rPr>
        <w:t xml:space="preserve"> </w:t>
      </w:r>
      <w:r>
        <w:rPr>
          <w:rFonts w:ascii="Times New Roman"/>
          <w:color w:val="1620AB"/>
          <w:sz w:val="42"/>
        </w:rPr>
        <w:t>June</w:t>
      </w:r>
      <w:r>
        <w:rPr>
          <w:rFonts w:ascii="Times New Roman"/>
          <w:color w:val="1620AB"/>
          <w:spacing w:val="-9"/>
          <w:sz w:val="42"/>
        </w:rPr>
        <w:t xml:space="preserve"> </w:t>
      </w:r>
      <w:r>
        <w:rPr>
          <w:rFonts w:ascii="Times New Roman"/>
          <w:color w:val="1620AB"/>
          <w:sz w:val="42"/>
        </w:rPr>
        <w:t>30,</w:t>
      </w:r>
      <w:r>
        <w:rPr>
          <w:rFonts w:ascii="Times New Roman"/>
          <w:color w:val="1620AB"/>
          <w:spacing w:val="-5"/>
          <w:sz w:val="42"/>
        </w:rPr>
        <w:t xml:space="preserve"> </w:t>
      </w:r>
      <w:r>
        <w:rPr>
          <w:rFonts w:ascii="Times New Roman"/>
          <w:color w:val="1620AB"/>
          <w:spacing w:val="-4"/>
          <w:sz w:val="42"/>
        </w:rPr>
        <w:t>2023</w:t>
      </w:r>
    </w:p>
    <w:p w:rsidR="00C76E6D" w:rsidRDefault="00C76E6D">
      <w:pPr>
        <w:jc w:val="center"/>
        <w:rPr>
          <w:rFonts w:ascii="Times New Roman"/>
          <w:sz w:val="42"/>
        </w:rPr>
        <w:sectPr w:rsidR="00C76E6D">
          <w:type w:val="continuous"/>
          <w:pgSz w:w="11910" w:h="16860"/>
          <w:pgMar w:top="0" w:right="340" w:bottom="0" w:left="300" w:header="720" w:footer="720" w:gutter="0"/>
          <w:cols w:space="720"/>
        </w:sectPr>
      </w:pPr>
    </w:p>
    <w:p w:rsidR="00C76E6D" w:rsidRDefault="00C76E6D">
      <w:pPr>
        <w:pStyle w:val="BodyText"/>
        <w:rPr>
          <w:rFonts w:ascii="Times New Roman"/>
          <w:sz w:val="20"/>
        </w:rPr>
      </w:pPr>
    </w:p>
    <w:p w:rsidR="00C76E6D" w:rsidRDefault="00C76E6D">
      <w:pPr>
        <w:pStyle w:val="BodyText"/>
        <w:rPr>
          <w:rFonts w:ascii="Times New Roman"/>
          <w:sz w:val="20"/>
        </w:rPr>
      </w:pPr>
    </w:p>
    <w:p w:rsidR="00C76E6D" w:rsidRDefault="00C76E6D">
      <w:pPr>
        <w:pStyle w:val="BodyText"/>
        <w:spacing w:before="1"/>
        <w:rPr>
          <w:rFonts w:ascii="Times New Roman"/>
          <w:sz w:val="20"/>
        </w:rPr>
      </w:pPr>
    </w:p>
    <w:p w:rsidR="00C76E6D" w:rsidRDefault="00913831">
      <w:pPr>
        <w:spacing w:line="249" w:lineRule="auto"/>
        <w:ind w:left="480" w:right="463" w:hanging="3"/>
        <w:jc w:val="both"/>
        <w:rPr>
          <w:sz w:val="24"/>
        </w:rPr>
      </w:pPr>
      <w:r>
        <w:rPr>
          <w:b/>
          <w:color w:val="1F1F1F"/>
          <w:sz w:val="24"/>
        </w:rPr>
        <w:t xml:space="preserve">Recommended citation: </w:t>
      </w:r>
      <w:r>
        <w:rPr>
          <w:color w:val="1F1F1F"/>
          <w:sz w:val="24"/>
        </w:rPr>
        <w:t>Massachusetts Commission on Lesbian, Gay, Bisexual, Transgender, Queer, and Questioning Youth.</w:t>
      </w:r>
      <w:r>
        <w:rPr>
          <w:color w:val="1F1F1F"/>
          <w:spacing w:val="-1"/>
          <w:sz w:val="24"/>
        </w:rPr>
        <w:t xml:space="preserve"> </w:t>
      </w:r>
      <w:r>
        <w:rPr>
          <w:color w:val="1F1F1F"/>
          <w:sz w:val="24"/>
        </w:rPr>
        <w:t>(2022).</w:t>
      </w:r>
      <w:r>
        <w:rPr>
          <w:color w:val="1F1F1F"/>
          <w:spacing w:val="-1"/>
          <w:sz w:val="24"/>
        </w:rPr>
        <w:t xml:space="preserve"> </w:t>
      </w:r>
      <w:r>
        <w:rPr>
          <w:i/>
          <w:color w:val="1F1F1F"/>
          <w:sz w:val="24"/>
        </w:rPr>
        <w:t>Massachusetts Commission on LGBTQ Youth: Report and Recommendations for Fiscal Year 2023</w:t>
      </w:r>
      <w:r>
        <w:rPr>
          <w:color w:val="1F1F1F"/>
          <w:sz w:val="24"/>
        </w:rPr>
        <w:t xml:space="preserve">. Retrieved from </w:t>
      </w:r>
      <w:hyperlink r:id="rId9">
        <w:r>
          <w:rPr>
            <w:color w:val="1152CC"/>
            <w:sz w:val="24"/>
            <w:u w:val="single" w:color="1152CC"/>
          </w:rPr>
          <w:t>https://www.mass.gov/annual-</w:t>
        </w:r>
      </w:hyperlink>
      <w:r>
        <w:rPr>
          <w:color w:val="1152CC"/>
          <w:sz w:val="24"/>
        </w:rPr>
        <w:t xml:space="preserve"> </w:t>
      </w:r>
      <w:hyperlink r:id="rId10">
        <w:r>
          <w:rPr>
            <w:color w:val="1152CC"/>
            <w:spacing w:val="-2"/>
            <w:sz w:val="24"/>
            <w:u w:val="single" w:color="1152CC"/>
          </w:rPr>
          <w:t>recommendations</w:t>
        </w:r>
      </w:hyperlink>
    </w:p>
    <w:p w:rsidR="00C76E6D" w:rsidRDefault="00C76E6D">
      <w:pPr>
        <w:pStyle w:val="BodyText"/>
        <w:spacing w:before="8"/>
        <w:rPr>
          <w:sz w:val="19"/>
        </w:rPr>
      </w:pPr>
    </w:p>
    <w:p w:rsidR="00C76E6D" w:rsidRDefault="00913831">
      <w:pPr>
        <w:spacing w:before="52" w:line="247" w:lineRule="auto"/>
        <w:ind w:left="479" w:right="464" w:hanging="3"/>
        <w:jc w:val="both"/>
        <w:rPr>
          <w:sz w:val="24"/>
        </w:rPr>
      </w:pPr>
      <w:r>
        <w:rPr>
          <w:b/>
          <w:color w:val="1F1F1F"/>
          <w:w w:val="95"/>
          <w:sz w:val="24"/>
        </w:rPr>
        <w:t>Contributors</w:t>
      </w:r>
      <w:r>
        <w:rPr>
          <w:color w:val="1F1F1F"/>
          <w:w w:val="95"/>
          <w:sz w:val="24"/>
        </w:rPr>
        <w:t>: Shaplaie Brooks, Executive Director and lead editor; Craig Martin, Commi</w:t>
      </w:r>
      <w:r>
        <w:rPr>
          <w:color w:val="1F1F1F"/>
          <w:w w:val="95"/>
          <w:sz w:val="24"/>
        </w:rPr>
        <w:t xml:space="preserve">ssion Chair </w:t>
      </w:r>
      <w:r>
        <w:rPr>
          <w:color w:val="1F1F1F"/>
          <w:sz w:val="24"/>
        </w:rPr>
        <w:t>and co-author of Introduction Letter; Mary Morrissey, lead researcher and author of “</w:t>
      </w:r>
      <w:r>
        <w:rPr>
          <w:sz w:val="24"/>
        </w:rPr>
        <w:t>Special Report on Covid-19 and LGBTQ Youth,” “Advancing Justice,” and “Sexual Victimization”;</w:t>
      </w:r>
      <w:r>
        <w:rPr>
          <w:spacing w:val="32"/>
          <w:sz w:val="24"/>
        </w:rPr>
        <w:t xml:space="preserve"> </w:t>
      </w:r>
      <w:r>
        <w:rPr>
          <w:color w:val="1F1F1F"/>
          <w:sz w:val="24"/>
        </w:rPr>
        <w:t>Jordan Meehan, lead author of core recommendations and agency rec</w:t>
      </w:r>
      <w:r>
        <w:rPr>
          <w:color w:val="1F1F1F"/>
          <w:sz w:val="24"/>
        </w:rPr>
        <w:t>ommendations; Hannah Hussey, lead author of DCF &amp; OCA agency recommendations; Amanda Weber, lead researcher, and Sohenga</w:t>
      </w:r>
      <w:r>
        <w:rPr>
          <w:color w:val="1F1F1F"/>
          <w:spacing w:val="-1"/>
          <w:sz w:val="24"/>
        </w:rPr>
        <w:t xml:space="preserve"> </w:t>
      </w:r>
      <w:r>
        <w:rPr>
          <w:color w:val="1F1F1F"/>
          <w:sz w:val="24"/>
        </w:rPr>
        <w:t>Depestre, secondary researcher,</w:t>
      </w:r>
      <w:r>
        <w:rPr>
          <w:color w:val="1F1F1F"/>
          <w:spacing w:val="-2"/>
          <w:sz w:val="24"/>
        </w:rPr>
        <w:t xml:space="preserve"> </w:t>
      </w:r>
      <w:r>
        <w:rPr>
          <w:color w:val="1F1F1F"/>
          <w:sz w:val="24"/>
        </w:rPr>
        <w:t>and</w:t>
      </w:r>
      <w:r>
        <w:rPr>
          <w:color w:val="1F1F1F"/>
          <w:spacing w:val="-1"/>
          <w:sz w:val="24"/>
        </w:rPr>
        <w:t xml:space="preserve"> </w:t>
      </w:r>
      <w:r>
        <w:rPr>
          <w:color w:val="1F1F1F"/>
          <w:sz w:val="24"/>
        </w:rPr>
        <w:t>authors</w:t>
      </w:r>
      <w:r>
        <w:rPr>
          <w:color w:val="1F1F1F"/>
          <w:spacing w:val="-1"/>
          <w:sz w:val="24"/>
        </w:rPr>
        <w:t xml:space="preserve"> </w:t>
      </w:r>
      <w:r>
        <w:rPr>
          <w:color w:val="1F1F1F"/>
          <w:sz w:val="24"/>
        </w:rPr>
        <w:t>of</w:t>
      </w:r>
      <w:r>
        <w:rPr>
          <w:color w:val="1F1F1F"/>
          <w:spacing w:val="-1"/>
          <w:sz w:val="24"/>
        </w:rPr>
        <w:t xml:space="preserve"> </w:t>
      </w:r>
      <w:r>
        <w:rPr>
          <w:color w:val="1F1F1F"/>
          <w:sz w:val="24"/>
        </w:rPr>
        <w:t>“Ending</w:t>
      </w:r>
      <w:r>
        <w:rPr>
          <w:color w:val="1F1F1F"/>
          <w:spacing w:val="-1"/>
          <w:sz w:val="24"/>
        </w:rPr>
        <w:t xml:space="preserve"> </w:t>
      </w:r>
      <w:r>
        <w:rPr>
          <w:color w:val="1F1F1F"/>
          <w:sz w:val="24"/>
        </w:rPr>
        <w:t>Homelessness”;</w:t>
      </w:r>
      <w:r>
        <w:rPr>
          <w:color w:val="1F1F1F"/>
          <w:spacing w:val="-1"/>
          <w:sz w:val="24"/>
        </w:rPr>
        <w:t xml:space="preserve"> </w:t>
      </w:r>
      <w:r>
        <w:rPr>
          <w:color w:val="1F1F1F"/>
          <w:sz w:val="24"/>
        </w:rPr>
        <w:t>Damian</w:t>
      </w:r>
      <w:r>
        <w:rPr>
          <w:color w:val="1F1F1F"/>
          <w:spacing w:val="-1"/>
          <w:sz w:val="24"/>
        </w:rPr>
        <w:t xml:space="preserve"> </w:t>
      </w:r>
      <w:r>
        <w:rPr>
          <w:color w:val="1F1F1F"/>
          <w:sz w:val="24"/>
        </w:rPr>
        <w:t>Lima, lead researcher and author of “Improving Health”; Ki</w:t>
      </w:r>
      <w:r>
        <w:rPr>
          <w:color w:val="1F1F1F"/>
          <w:sz w:val="24"/>
        </w:rPr>
        <w:t xml:space="preserve">mm Topping, Safe Schools Program </w:t>
      </w:r>
      <w:r>
        <w:rPr>
          <w:color w:val="1F1F1F"/>
          <w:w w:val="95"/>
          <w:sz w:val="24"/>
        </w:rPr>
        <w:t xml:space="preserve">Manager, and lead author of “Increasing Inclusion” and “Safe Schools Program for LGBTQ Students </w:t>
      </w:r>
      <w:r>
        <w:rPr>
          <w:color w:val="1F1F1F"/>
          <w:sz w:val="24"/>
        </w:rPr>
        <w:t>Annual Report”; Rayna Danis, Administrative Assistant, proofreader, editor, data presentation, and secondary author of core rec</w:t>
      </w:r>
      <w:r>
        <w:rPr>
          <w:color w:val="1F1F1F"/>
          <w:sz w:val="24"/>
        </w:rPr>
        <w:t>ommendations, agency recommendations, and “Improving Health”; Cas Martin, Policy Fellow, author of “Special Report on Inclusive Education Policy”; Val Leiter, lead data consultant; Molly Wexler-Romig, Program Manager, proofreader; Ev Gilbert, GSA Program A</w:t>
      </w:r>
      <w:r>
        <w:rPr>
          <w:color w:val="1F1F1F"/>
          <w:sz w:val="24"/>
        </w:rPr>
        <w:t>dministrator, editor and proofreader.</w:t>
      </w:r>
    </w:p>
    <w:p w:rsidR="00C76E6D" w:rsidRDefault="00C76E6D">
      <w:pPr>
        <w:pStyle w:val="BodyText"/>
        <w:rPr>
          <w:sz w:val="23"/>
        </w:rPr>
      </w:pPr>
    </w:p>
    <w:p w:rsidR="00C76E6D" w:rsidRDefault="00913831">
      <w:pPr>
        <w:spacing w:line="249" w:lineRule="auto"/>
        <w:ind w:left="478" w:right="474" w:hanging="3"/>
        <w:jc w:val="both"/>
        <w:rPr>
          <w:sz w:val="24"/>
        </w:rPr>
      </w:pPr>
      <w:r>
        <w:rPr>
          <w:b/>
          <w:color w:val="1F1F1F"/>
          <w:sz w:val="24"/>
        </w:rPr>
        <w:t>Acknowledgments</w:t>
      </w:r>
      <w:r>
        <w:rPr>
          <w:color w:val="1F1F1F"/>
          <w:sz w:val="24"/>
        </w:rPr>
        <w:t>: The authors thank the Commission members (listed in Appendix C), youth, consultants, agency liaisons, community partners, and others who offered their feedback and opinions that contributed to this report.</w:t>
      </w:r>
    </w:p>
    <w:p w:rsidR="00C76E6D" w:rsidRDefault="00C76E6D">
      <w:pPr>
        <w:pStyle w:val="BodyText"/>
        <w:spacing w:before="3"/>
      </w:pPr>
    </w:p>
    <w:p w:rsidR="00C76E6D" w:rsidRDefault="00913831">
      <w:pPr>
        <w:spacing w:line="247" w:lineRule="auto"/>
        <w:ind w:left="478" w:right="464" w:hanging="3"/>
        <w:jc w:val="both"/>
        <w:rPr>
          <w:sz w:val="24"/>
        </w:rPr>
      </w:pPr>
      <w:r>
        <w:rPr>
          <w:b/>
          <w:color w:val="1F1F1F"/>
          <w:sz w:val="24"/>
        </w:rPr>
        <w:t xml:space="preserve">About Us: </w:t>
      </w:r>
      <w:r>
        <w:rPr>
          <w:color w:val="1F1F1F"/>
          <w:sz w:val="24"/>
        </w:rPr>
        <w:t>The Massachusetts Commission on Lesbi</w:t>
      </w:r>
      <w:r>
        <w:rPr>
          <w:color w:val="1F1F1F"/>
          <w:sz w:val="24"/>
        </w:rPr>
        <w:t>an, Gay, Bisexual, Transgender, Queer, and Questioning (LGBTQ) Youth is established by law as an independent agency of the Commonwealth</w:t>
      </w:r>
      <w:r>
        <w:rPr>
          <w:color w:val="1F1F1F"/>
          <w:spacing w:val="-5"/>
          <w:sz w:val="24"/>
        </w:rPr>
        <w:t xml:space="preserve"> </w:t>
      </w:r>
      <w:r>
        <w:rPr>
          <w:color w:val="1F1F1F"/>
          <w:sz w:val="24"/>
        </w:rPr>
        <w:t>to</w:t>
      </w:r>
      <w:r>
        <w:rPr>
          <w:color w:val="1F1F1F"/>
          <w:spacing w:val="-7"/>
          <w:sz w:val="24"/>
        </w:rPr>
        <w:t xml:space="preserve"> </w:t>
      </w:r>
      <w:r>
        <w:rPr>
          <w:color w:val="1F1F1F"/>
          <w:sz w:val="24"/>
        </w:rPr>
        <w:t>recommend</w:t>
      </w:r>
      <w:r>
        <w:rPr>
          <w:color w:val="1F1F1F"/>
          <w:spacing w:val="-5"/>
          <w:sz w:val="24"/>
        </w:rPr>
        <w:t xml:space="preserve"> </w:t>
      </w:r>
      <w:r>
        <w:rPr>
          <w:color w:val="1F1F1F"/>
          <w:sz w:val="24"/>
        </w:rPr>
        <w:t>to</w:t>
      </w:r>
      <w:r>
        <w:rPr>
          <w:color w:val="1F1F1F"/>
          <w:spacing w:val="-6"/>
          <w:sz w:val="24"/>
        </w:rPr>
        <w:t xml:space="preserve"> </w:t>
      </w:r>
      <w:r>
        <w:rPr>
          <w:color w:val="1F1F1F"/>
          <w:sz w:val="24"/>
        </w:rPr>
        <w:t>all</w:t>
      </w:r>
      <w:r>
        <w:rPr>
          <w:color w:val="1F1F1F"/>
          <w:spacing w:val="-7"/>
          <w:sz w:val="24"/>
        </w:rPr>
        <w:t xml:space="preserve"> </w:t>
      </w:r>
      <w:r>
        <w:rPr>
          <w:color w:val="1F1F1F"/>
          <w:sz w:val="24"/>
        </w:rPr>
        <w:t>branches</w:t>
      </w:r>
      <w:r>
        <w:rPr>
          <w:color w:val="1F1F1F"/>
          <w:spacing w:val="-5"/>
          <w:sz w:val="24"/>
        </w:rPr>
        <w:t xml:space="preserve"> </w:t>
      </w:r>
      <w:r>
        <w:rPr>
          <w:color w:val="1F1F1F"/>
          <w:sz w:val="24"/>
        </w:rPr>
        <w:t>of</w:t>
      </w:r>
      <w:r>
        <w:rPr>
          <w:color w:val="1F1F1F"/>
          <w:spacing w:val="-4"/>
          <w:sz w:val="24"/>
        </w:rPr>
        <w:t xml:space="preserve"> </w:t>
      </w:r>
      <w:r>
        <w:rPr>
          <w:color w:val="1F1F1F"/>
          <w:sz w:val="24"/>
        </w:rPr>
        <w:t>state</w:t>
      </w:r>
      <w:r>
        <w:rPr>
          <w:color w:val="1F1F1F"/>
          <w:spacing w:val="-6"/>
          <w:sz w:val="24"/>
        </w:rPr>
        <w:t xml:space="preserve"> </w:t>
      </w:r>
      <w:r>
        <w:rPr>
          <w:color w:val="1F1F1F"/>
          <w:sz w:val="24"/>
        </w:rPr>
        <w:t>government</w:t>
      </w:r>
      <w:r>
        <w:rPr>
          <w:color w:val="1F1F1F"/>
          <w:spacing w:val="-6"/>
          <w:sz w:val="24"/>
        </w:rPr>
        <w:t xml:space="preserve"> </w:t>
      </w:r>
      <w:r>
        <w:rPr>
          <w:color w:val="1F1F1F"/>
          <w:sz w:val="24"/>
        </w:rPr>
        <w:t>effective</w:t>
      </w:r>
      <w:r>
        <w:rPr>
          <w:color w:val="1F1F1F"/>
          <w:spacing w:val="-6"/>
          <w:sz w:val="24"/>
        </w:rPr>
        <w:t xml:space="preserve"> </w:t>
      </w:r>
      <w:r>
        <w:rPr>
          <w:color w:val="1F1F1F"/>
          <w:sz w:val="24"/>
        </w:rPr>
        <w:t>policies,</w:t>
      </w:r>
      <w:r>
        <w:rPr>
          <w:color w:val="1F1F1F"/>
          <w:spacing w:val="-6"/>
          <w:sz w:val="24"/>
        </w:rPr>
        <w:t xml:space="preserve"> </w:t>
      </w:r>
      <w:r>
        <w:rPr>
          <w:color w:val="1F1F1F"/>
          <w:sz w:val="24"/>
        </w:rPr>
        <w:t>programs, and resources for LGBTQ youth to thrive. Per its legislative authority, the Commission works closely with the agencies</w:t>
      </w:r>
      <w:r>
        <w:rPr>
          <w:color w:val="1F1F1F"/>
          <w:spacing w:val="-2"/>
          <w:sz w:val="24"/>
        </w:rPr>
        <w:t xml:space="preserve"> </w:t>
      </w:r>
      <w:r>
        <w:rPr>
          <w:color w:val="1F1F1F"/>
          <w:sz w:val="24"/>
        </w:rPr>
        <w:t>to which it issues non-binding</w:t>
      </w:r>
      <w:r>
        <w:rPr>
          <w:color w:val="1F1F1F"/>
          <w:spacing w:val="-1"/>
          <w:sz w:val="24"/>
        </w:rPr>
        <w:t xml:space="preserve"> </w:t>
      </w:r>
      <w:r>
        <w:rPr>
          <w:color w:val="1F1F1F"/>
          <w:sz w:val="24"/>
        </w:rPr>
        <w:t>recommendations to receive their input and assist them in achieving the goals that the Commissio</w:t>
      </w:r>
      <w:r>
        <w:rPr>
          <w:color w:val="1F1F1F"/>
          <w:sz w:val="24"/>
        </w:rPr>
        <w:t>n has set. The Commission was originally</w:t>
      </w:r>
      <w:r>
        <w:rPr>
          <w:color w:val="1F1F1F"/>
          <w:spacing w:val="-1"/>
          <w:sz w:val="24"/>
        </w:rPr>
        <w:t xml:space="preserve"> </w:t>
      </w:r>
      <w:r>
        <w:rPr>
          <w:color w:val="1F1F1F"/>
          <w:sz w:val="24"/>
        </w:rPr>
        <w:t>founded as the Governor’s Commission on Gay and Lesbian Youth in 1992 in response to high suicide rates among gay and lesbian young people, and was reestablished by the legislature as an independent commission in 20</w:t>
      </w:r>
      <w:r>
        <w:rPr>
          <w:color w:val="1F1F1F"/>
          <w:sz w:val="24"/>
        </w:rPr>
        <w:t>06 (Act of Jul. 1, 2006, Ch. 139 §4, codified in Mass.</w:t>
      </w:r>
      <w:r>
        <w:rPr>
          <w:color w:val="1F1F1F"/>
          <w:spacing w:val="-14"/>
          <w:sz w:val="24"/>
        </w:rPr>
        <w:t xml:space="preserve"> </w:t>
      </w:r>
      <w:r>
        <w:rPr>
          <w:color w:val="1F1F1F"/>
          <w:sz w:val="24"/>
        </w:rPr>
        <w:t>Gen.</w:t>
      </w:r>
      <w:r>
        <w:rPr>
          <w:color w:val="1F1F1F"/>
          <w:spacing w:val="-14"/>
          <w:sz w:val="24"/>
        </w:rPr>
        <w:t xml:space="preserve"> </w:t>
      </w:r>
      <w:r>
        <w:rPr>
          <w:color w:val="1F1F1F"/>
          <w:sz w:val="24"/>
        </w:rPr>
        <w:t>Laws</w:t>
      </w:r>
      <w:r>
        <w:rPr>
          <w:color w:val="1F1F1F"/>
          <w:spacing w:val="-13"/>
          <w:sz w:val="24"/>
        </w:rPr>
        <w:t xml:space="preserve"> </w:t>
      </w:r>
      <w:r>
        <w:rPr>
          <w:color w:val="1F1F1F"/>
          <w:sz w:val="24"/>
        </w:rPr>
        <w:t>Ch.</w:t>
      </w:r>
      <w:r>
        <w:rPr>
          <w:color w:val="1F1F1F"/>
          <w:spacing w:val="-14"/>
          <w:sz w:val="24"/>
        </w:rPr>
        <w:t xml:space="preserve"> </w:t>
      </w:r>
      <w:r>
        <w:rPr>
          <w:color w:val="1F1F1F"/>
          <w:sz w:val="24"/>
        </w:rPr>
        <w:t>3</w:t>
      </w:r>
      <w:r>
        <w:rPr>
          <w:color w:val="1F1F1F"/>
          <w:spacing w:val="-12"/>
          <w:sz w:val="24"/>
        </w:rPr>
        <w:t xml:space="preserve"> </w:t>
      </w:r>
      <w:r>
        <w:rPr>
          <w:color w:val="1F1F1F"/>
          <w:sz w:val="24"/>
        </w:rPr>
        <w:t>§67).</w:t>
      </w:r>
      <w:r>
        <w:rPr>
          <w:color w:val="1F1F1F"/>
          <w:spacing w:val="-14"/>
          <w:sz w:val="24"/>
        </w:rPr>
        <w:t xml:space="preserve"> </w:t>
      </w:r>
      <w:r>
        <w:rPr>
          <w:color w:val="1F1F1F"/>
          <w:sz w:val="24"/>
        </w:rPr>
        <w:t>Thirty</w:t>
      </w:r>
      <w:r>
        <w:rPr>
          <w:color w:val="1F1F1F"/>
          <w:spacing w:val="-13"/>
          <w:sz w:val="24"/>
        </w:rPr>
        <w:t xml:space="preserve"> </w:t>
      </w:r>
      <w:r>
        <w:rPr>
          <w:color w:val="1F1F1F"/>
          <w:sz w:val="24"/>
        </w:rPr>
        <w:t>years</w:t>
      </w:r>
      <w:r>
        <w:rPr>
          <w:color w:val="1F1F1F"/>
          <w:spacing w:val="-14"/>
          <w:sz w:val="24"/>
        </w:rPr>
        <w:t xml:space="preserve"> </w:t>
      </w:r>
      <w:r>
        <w:rPr>
          <w:color w:val="1F1F1F"/>
          <w:sz w:val="24"/>
        </w:rPr>
        <w:t>after</w:t>
      </w:r>
      <w:r>
        <w:rPr>
          <w:color w:val="1F1F1F"/>
          <w:spacing w:val="-12"/>
          <w:sz w:val="24"/>
        </w:rPr>
        <w:t xml:space="preserve"> </w:t>
      </w:r>
      <w:r>
        <w:rPr>
          <w:color w:val="1F1F1F"/>
          <w:sz w:val="24"/>
        </w:rPr>
        <w:t>the</w:t>
      </w:r>
      <w:r>
        <w:rPr>
          <w:color w:val="1F1F1F"/>
          <w:spacing w:val="-13"/>
          <w:sz w:val="24"/>
        </w:rPr>
        <w:t xml:space="preserve"> </w:t>
      </w:r>
      <w:r>
        <w:rPr>
          <w:color w:val="1F1F1F"/>
          <w:sz w:val="24"/>
        </w:rPr>
        <w:t>creation</w:t>
      </w:r>
      <w:r>
        <w:rPr>
          <w:color w:val="1F1F1F"/>
          <w:spacing w:val="-14"/>
          <w:sz w:val="24"/>
        </w:rPr>
        <w:t xml:space="preserve"> </w:t>
      </w:r>
      <w:r>
        <w:rPr>
          <w:color w:val="1F1F1F"/>
          <w:sz w:val="24"/>
        </w:rPr>
        <w:t>of</w:t>
      </w:r>
      <w:r>
        <w:rPr>
          <w:color w:val="1F1F1F"/>
          <w:spacing w:val="-14"/>
          <w:sz w:val="24"/>
        </w:rPr>
        <w:t xml:space="preserve"> </w:t>
      </w:r>
      <w:r>
        <w:rPr>
          <w:color w:val="1F1F1F"/>
          <w:sz w:val="24"/>
        </w:rPr>
        <w:t>the</w:t>
      </w:r>
      <w:r>
        <w:rPr>
          <w:color w:val="1F1F1F"/>
          <w:spacing w:val="-11"/>
          <w:sz w:val="24"/>
        </w:rPr>
        <w:t xml:space="preserve"> </w:t>
      </w:r>
      <w:r>
        <w:rPr>
          <w:color w:val="1F1F1F"/>
          <w:sz w:val="24"/>
        </w:rPr>
        <w:t>original</w:t>
      </w:r>
      <w:r>
        <w:rPr>
          <w:color w:val="1F1F1F"/>
          <w:spacing w:val="-14"/>
          <w:sz w:val="24"/>
        </w:rPr>
        <w:t xml:space="preserve"> </w:t>
      </w:r>
      <w:r>
        <w:rPr>
          <w:color w:val="1F1F1F"/>
          <w:sz w:val="24"/>
        </w:rPr>
        <w:t>Governor’s</w:t>
      </w:r>
      <w:r>
        <w:rPr>
          <w:color w:val="1F1F1F"/>
          <w:spacing w:val="-13"/>
          <w:sz w:val="24"/>
        </w:rPr>
        <w:t xml:space="preserve"> </w:t>
      </w:r>
      <w:r>
        <w:rPr>
          <w:color w:val="1F1F1F"/>
          <w:sz w:val="24"/>
        </w:rPr>
        <w:t>Commission, it remains the first and only such statewide commission in the country.</w:t>
      </w:r>
    </w:p>
    <w:p w:rsidR="00C76E6D" w:rsidRDefault="00C76E6D">
      <w:pPr>
        <w:pStyle w:val="BodyText"/>
        <w:spacing w:before="6"/>
        <w:rPr>
          <w:sz w:val="23"/>
        </w:rPr>
      </w:pPr>
    </w:p>
    <w:p w:rsidR="00C76E6D" w:rsidRDefault="00913831">
      <w:pPr>
        <w:spacing w:line="247" w:lineRule="auto"/>
        <w:ind w:left="478" w:right="472" w:hanging="3"/>
        <w:jc w:val="both"/>
        <w:rPr>
          <w:sz w:val="24"/>
        </w:rPr>
      </w:pPr>
      <w:r>
        <w:rPr>
          <w:b/>
          <w:color w:val="1F1F1F"/>
          <w:sz w:val="24"/>
        </w:rPr>
        <w:t xml:space="preserve">Contact Us: </w:t>
      </w:r>
      <w:r>
        <w:rPr>
          <w:color w:val="1F1F1F"/>
          <w:sz w:val="24"/>
        </w:rPr>
        <w:t xml:space="preserve">For print copies, permissions, and other inquiries, contact us at commission@ma- </w:t>
      </w:r>
      <w:r>
        <w:rPr>
          <w:color w:val="1F1F1F"/>
          <w:spacing w:val="-2"/>
          <w:sz w:val="24"/>
        </w:rPr>
        <w:t>lgbtq.org.</w:t>
      </w:r>
    </w:p>
    <w:p w:rsidR="00C76E6D" w:rsidRDefault="00C76E6D">
      <w:pPr>
        <w:pStyle w:val="BodyText"/>
        <w:spacing w:before="9"/>
        <w:rPr>
          <w:sz w:val="30"/>
        </w:rPr>
      </w:pPr>
    </w:p>
    <w:p w:rsidR="00C76E6D" w:rsidRDefault="00913831">
      <w:pPr>
        <w:spacing w:line="477" w:lineRule="auto"/>
        <w:ind w:left="3688" w:right="3683"/>
        <w:jc w:val="center"/>
        <w:rPr>
          <w:sz w:val="24"/>
        </w:rPr>
      </w:pPr>
      <w:r>
        <w:rPr>
          <w:color w:val="1F1F1F"/>
          <w:spacing w:val="-6"/>
          <w:sz w:val="24"/>
        </w:rPr>
        <w:t xml:space="preserve">Facebook.com/masslgbtqyouth </w:t>
      </w:r>
      <w:r>
        <w:rPr>
          <w:color w:val="1F1F1F"/>
          <w:sz w:val="24"/>
        </w:rPr>
        <w:t xml:space="preserve">Twitter @masslgbtqyouth Instagram @masslgbtqyouth </w:t>
      </w:r>
      <w:hyperlink r:id="rId11">
        <w:r>
          <w:rPr>
            <w:color w:val="1152CC"/>
            <w:spacing w:val="-2"/>
            <w:sz w:val="24"/>
            <w:u w:val="single" w:color="1152CC"/>
          </w:rPr>
          <w:t>http://mass.gov/cgly</w:t>
        </w:r>
      </w:hyperlink>
    </w:p>
    <w:p w:rsidR="00C76E6D" w:rsidRDefault="00C76E6D">
      <w:pPr>
        <w:spacing w:line="477" w:lineRule="auto"/>
        <w:jc w:val="center"/>
        <w:rPr>
          <w:sz w:val="24"/>
        </w:rPr>
        <w:sectPr w:rsidR="00C76E6D">
          <w:headerReference w:type="default" r:id="rId12"/>
          <w:pgSz w:w="12240" w:h="15840"/>
          <w:pgMar w:top="980" w:right="960" w:bottom="280" w:left="960" w:header="776" w:footer="0" w:gutter="0"/>
          <w:cols w:space="720"/>
        </w:sectPr>
      </w:pPr>
    </w:p>
    <w:p w:rsidR="00C76E6D" w:rsidRDefault="00C76E6D">
      <w:pPr>
        <w:pStyle w:val="BodyText"/>
        <w:rPr>
          <w:sz w:val="20"/>
        </w:rPr>
      </w:pPr>
    </w:p>
    <w:p w:rsidR="00C76E6D" w:rsidRDefault="00C76E6D">
      <w:pPr>
        <w:pStyle w:val="BodyText"/>
        <w:spacing w:before="8"/>
        <w:rPr>
          <w:sz w:val="16"/>
        </w:rPr>
      </w:pPr>
    </w:p>
    <w:p w:rsidR="00C76E6D" w:rsidRDefault="00913831">
      <w:pPr>
        <w:pStyle w:val="Heading2"/>
        <w:ind w:left="480"/>
        <w:jc w:val="both"/>
      </w:pPr>
      <w:r>
        <w:pict>
          <v:shape id="docshape14" o:spid="_x0000_s1420" style="position:absolute;left:0;text-align:left;margin-left:1in;margin-top:23.3pt;width:476.95pt;height:.1pt;z-index:-15727104;mso-wrap-distance-left:0;mso-wrap-distance-right:0;mso-position-horizontal-relative:page" coordorigin="1440,466" coordsize="9539,0" path="m1440,466r9539,e" filled="f" strokeweight="1.54pt">
            <v:path arrowok="t"/>
            <w10:wrap type="topAndBottom" anchorx="page"/>
          </v:shape>
        </w:pict>
      </w:r>
      <w:bookmarkStart w:id="1" w:name="Letter_from_Commission_Leadership.pdf"/>
      <w:bookmarkEnd w:id="1"/>
      <w:r>
        <w:t>Letter</w:t>
      </w:r>
      <w:r>
        <w:rPr>
          <w:spacing w:val="-5"/>
        </w:rPr>
        <w:t xml:space="preserve"> </w:t>
      </w:r>
      <w:r>
        <w:t>from</w:t>
      </w:r>
      <w:r>
        <w:rPr>
          <w:spacing w:val="-5"/>
        </w:rPr>
        <w:t xml:space="preserve"> </w:t>
      </w:r>
      <w:r>
        <w:t>Commission</w:t>
      </w:r>
      <w:r>
        <w:rPr>
          <w:spacing w:val="-4"/>
        </w:rPr>
        <w:t xml:space="preserve"> </w:t>
      </w:r>
      <w:r>
        <w:rPr>
          <w:spacing w:val="-2"/>
        </w:rPr>
        <w:t>Leadership</w:t>
      </w:r>
    </w:p>
    <w:p w:rsidR="00C76E6D" w:rsidRDefault="00C76E6D">
      <w:pPr>
        <w:pStyle w:val="BodyText"/>
        <w:spacing w:before="7"/>
        <w:rPr>
          <w:b/>
          <w:sz w:val="38"/>
        </w:rPr>
      </w:pPr>
    </w:p>
    <w:p w:rsidR="00C76E6D" w:rsidRDefault="00913831">
      <w:pPr>
        <w:pStyle w:val="BodyText"/>
        <w:spacing w:line="276" w:lineRule="auto"/>
        <w:ind w:left="478" w:right="478" w:firstLine="1"/>
        <w:jc w:val="both"/>
      </w:pPr>
      <w:r>
        <w:t xml:space="preserve">Across the nation over this past year, over 300 local and state-sponsored anti-LGBTQ policies have been drafted and passed with the intention of discrimination, dehumanization, terrorization, and to push the erasure of millions of queer, gender expansive, </w:t>
      </w:r>
      <w:r>
        <w:t>and transgender youth, as well as their caregivers and teachers. As we release this report in June of 2022, the MA Commission on LGBTQ Youth condemns the fervent</w:t>
      </w:r>
      <w:r>
        <w:rPr>
          <w:spacing w:val="-13"/>
        </w:rPr>
        <w:t xml:space="preserve"> </w:t>
      </w:r>
      <w:r>
        <w:t>and</w:t>
      </w:r>
      <w:r>
        <w:rPr>
          <w:spacing w:val="-12"/>
        </w:rPr>
        <w:t xml:space="preserve"> </w:t>
      </w:r>
      <w:r>
        <w:t>disgraceful</w:t>
      </w:r>
      <w:r>
        <w:rPr>
          <w:spacing w:val="-13"/>
        </w:rPr>
        <w:t xml:space="preserve"> </w:t>
      </w:r>
      <w:r>
        <w:t>attacks</w:t>
      </w:r>
      <w:r>
        <w:rPr>
          <w:spacing w:val="-12"/>
        </w:rPr>
        <w:t xml:space="preserve"> </w:t>
      </w:r>
      <w:r>
        <w:t>from</w:t>
      </w:r>
      <w:r>
        <w:rPr>
          <w:spacing w:val="-13"/>
        </w:rPr>
        <w:t xml:space="preserve"> </w:t>
      </w:r>
      <w:r>
        <w:t>other</w:t>
      </w:r>
      <w:r>
        <w:rPr>
          <w:spacing w:val="-12"/>
        </w:rPr>
        <w:t xml:space="preserve"> </w:t>
      </w:r>
      <w:r>
        <w:t>state</w:t>
      </w:r>
      <w:r>
        <w:rPr>
          <w:spacing w:val="-13"/>
        </w:rPr>
        <w:t xml:space="preserve"> </w:t>
      </w:r>
      <w:r>
        <w:t>legislatures</w:t>
      </w:r>
      <w:r>
        <w:rPr>
          <w:spacing w:val="-12"/>
        </w:rPr>
        <w:t xml:space="preserve"> </w:t>
      </w:r>
      <w:r>
        <w:t>that</w:t>
      </w:r>
      <w:r>
        <w:rPr>
          <w:spacing w:val="-12"/>
        </w:rPr>
        <w:t xml:space="preserve"> </w:t>
      </w:r>
      <w:r>
        <w:t>seek</w:t>
      </w:r>
      <w:r>
        <w:rPr>
          <w:spacing w:val="-13"/>
        </w:rPr>
        <w:t xml:space="preserve"> </w:t>
      </w:r>
      <w:r>
        <w:t>to</w:t>
      </w:r>
      <w:r>
        <w:rPr>
          <w:spacing w:val="-12"/>
        </w:rPr>
        <w:t xml:space="preserve"> </w:t>
      </w:r>
      <w:r>
        <w:t>strip</w:t>
      </w:r>
      <w:r>
        <w:rPr>
          <w:spacing w:val="-13"/>
        </w:rPr>
        <w:t xml:space="preserve"> </w:t>
      </w:r>
      <w:r>
        <w:t>away</w:t>
      </w:r>
      <w:r>
        <w:rPr>
          <w:spacing w:val="-12"/>
        </w:rPr>
        <w:t xml:space="preserve"> </w:t>
      </w:r>
      <w:r>
        <w:t>autonomy</w:t>
      </w:r>
      <w:r>
        <w:rPr>
          <w:spacing w:val="-13"/>
        </w:rPr>
        <w:t xml:space="preserve"> </w:t>
      </w:r>
      <w:r>
        <w:t>from</w:t>
      </w:r>
      <w:r>
        <w:rPr>
          <w:spacing w:val="-12"/>
        </w:rPr>
        <w:t xml:space="preserve"> </w:t>
      </w:r>
      <w:r>
        <w:t>LGBTQ people and their parents. The COVID-19 pandemic has exacerbated the deep fault lines of all LGBTQ+ youth who struggle with negotiating socio-political ecosystems where the hierarchies of sexual orientation,</w:t>
      </w:r>
      <w:r>
        <w:rPr>
          <w:spacing w:val="-13"/>
        </w:rPr>
        <w:t xml:space="preserve"> </w:t>
      </w:r>
      <w:r>
        <w:t>gender</w:t>
      </w:r>
      <w:r>
        <w:rPr>
          <w:spacing w:val="-12"/>
        </w:rPr>
        <w:t xml:space="preserve"> </w:t>
      </w:r>
      <w:r>
        <w:t>identity,</w:t>
      </w:r>
      <w:r>
        <w:rPr>
          <w:spacing w:val="-13"/>
        </w:rPr>
        <w:t xml:space="preserve"> </w:t>
      </w:r>
      <w:r>
        <w:t>and</w:t>
      </w:r>
      <w:r>
        <w:rPr>
          <w:spacing w:val="-12"/>
        </w:rPr>
        <w:t xml:space="preserve"> </w:t>
      </w:r>
      <w:r>
        <w:t>race</w:t>
      </w:r>
      <w:r>
        <w:rPr>
          <w:spacing w:val="-13"/>
        </w:rPr>
        <w:t xml:space="preserve"> </w:t>
      </w:r>
      <w:r>
        <w:t>may</w:t>
      </w:r>
      <w:r>
        <w:rPr>
          <w:spacing w:val="-12"/>
        </w:rPr>
        <w:t xml:space="preserve"> </w:t>
      </w:r>
      <w:r>
        <w:t>experience</w:t>
      </w:r>
      <w:r>
        <w:rPr>
          <w:spacing w:val="-13"/>
        </w:rPr>
        <w:t xml:space="preserve"> </w:t>
      </w:r>
      <w:r>
        <w:t>sa</w:t>
      </w:r>
      <w:r>
        <w:t>fety</w:t>
      </w:r>
      <w:r>
        <w:rPr>
          <w:spacing w:val="-12"/>
        </w:rPr>
        <w:t xml:space="preserve"> </w:t>
      </w:r>
      <w:r>
        <w:t>and</w:t>
      </w:r>
      <w:r>
        <w:rPr>
          <w:spacing w:val="-12"/>
        </w:rPr>
        <w:t xml:space="preserve"> </w:t>
      </w:r>
      <w:r>
        <w:t>advantage</w:t>
      </w:r>
      <w:r>
        <w:rPr>
          <w:spacing w:val="-13"/>
        </w:rPr>
        <w:t xml:space="preserve"> </w:t>
      </w:r>
      <w:r>
        <w:t>-</w:t>
      </w:r>
      <w:r>
        <w:rPr>
          <w:spacing w:val="-12"/>
        </w:rPr>
        <w:t xml:space="preserve"> </w:t>
      </w:r>
      <w:r>
        <w:t>while</w:t>
      </w:r>
      <w:r>
        <w:rPr>
          <w:spacing w:val="-13"/>
        </w:rPr>
        <w:t xml:space="preserve"> </w:t>
      </w:r>
      <w:r>
        <w:t>simultaneously</w:t>
      </w:r>
      <w:r>
        <w:rPr>
          <w:spacing w:val="-12"/>
        </w:rPr>
        <w:t xml:space="preserve"> </w:t>
      </w:r>
      <w:r>
        <w:t>leaving others to feel the compounded pressure of homophobia, transphobia, and xenophobia, as well as the terror</w:t>
      </w:r>
      <w:r>
        <w:rPr>
          <w:spacing w:val="-8"/>
        </w:rPr>
        <w:t xml:space="preserve"> </w:t>
      </w:r>
      <w:r>
        <w:t>of</w:t>
      </w:r>
      <w:r>
        <w:rPr>
          <w:spacing w:val="-8"/>
        </w:rPr>
        <w:t xml:space="preserve"> </w:t>
      </w:r>
      <w:r>
        <w:t>mass</w:t>
      </w:r>
      <w:r>
        <w:rPr>
          <w:spacing w:val="-7"/>
        </w:rPr>
        <w:t xml:space="preserve"> </w:t>
      </w:r>
      <w:r>
        <w:t>shootings</w:t>
      </w:r>
      <w:r>
        <w:rPr>
          <w:spacing w:val="-7"/>
        </w:rPr>
        <w:t xml:space="preserve"> </w:t>
      </w:r>
      <w:r>
        <w:t>that</w:t>
      </w:r>
      <w:r>
        <w:rPr>
          <w:spacing w:val="-8"/>
        </w:rPr>
        <w:t xml:space="preserve"> </w:t>
      </w:r>
      <w:r>
        <w:t>crushes</w:t>
      </w:r>
      <w:r>
        <w:rPr>
          <w:spacing w:val="-6"/>
        </w:rPr>
        <w:t xml:space="preserve"> </w:t>
      </w:r>
      <w:r>
        <w:t>the</w:t>
      </w:r>
      <w:r>
        <w:rPr>
          <w:spacing w:val="-8"/>
        </w:rPr>
        <w:t xml:space="preserve"> </w:t>
      </w:r>
      <w:r>
        <w:t>over</w:t>
      </w:r>
      <w:r>
        <w:rPr>
          <w:spacing w:val="-8"/>
        </w:rPr>
        <w:t xml:space="preserve"> </w:t>
      </w:r>
      <w:r>
        <w:t>50.7</w:t>
      </w:r>
      <w:r>
        <w:rPr>
          <w:spacing w:val="-7"/>
        </w:rPr>
        <w:t xml:space="preserve"> </w:t>
      </w:r>
      <w:r>
        <w:t>million</w:t>
      </w:r>
      <w:r>
        <w:rPr>
          <w:spacing w:val="-8"/>
        </w:rPr>
        <w:t xml:space="preserve"> </w:t>
      </w:r>
      <w:r>
        <w:t>students</w:t>
      </w:r>
      <w:r>
        <w:rPr>
          <w:spacing w:val="-7"/>
        </w:rPr>
        <w:t xml:space="preserve"> </w:t>
      </w:r>
      <w:r>
        <w:t>in</w:t>
      </w:r>
      <w:r>
        <w:rPr>
          <w:spacing w:val="-8"/>
        </w:rPr>
        <w:t xml:space="preserve"> </w:t>
      </w:r>
      <w:r>
        <w:t>public</w:t>
      </w:r>
      <w:r>
        <w:rPr>
          <w:spacing w:val="-8"/>
        </w:rPr>
        <w:t xml:space="preserve"> </w:t>
      </w:r>
      <w:r>
        <w:t>schools</w:t>
      </w:r>
      <w:r>
        <w:rPr>
          <w:spacing w:val="-7"/>
        </w:rPr>
        <w:t xml:space="preserve"> </w:t>
      </w:r>
      <w:r>
        <w:t>in</w:t>
      </w:r>
      <w:r>
        <w:rPr>
          <w:spacing w:val="-8"/>
        </w:rPr>
        <w:t xml:space="preserve"> </w:t>
      </w:r>
      <w:r>
        <w:t>the</w:t>
      </w:r>
      <w:r>
        <w:rPr>
          <w:spacing w:val="-7"/>
        </w:rPr>
        <w:t xml:space="preserve"> </w:t>
      </w:r>
      <w:r>
        <w:t>United</w:t>
      </w:r>
      <w:r>
        <w:rPr>
          <w:spacing w:val="-8"/>
        </w:rPr>
        <w:t xml:space="preserve"> </w:t>
      </w:r>
      <w:r>
        <w:t>States.</w:t>
      </w:r>
    </w:p>
    <w:p w:rsidR="00C76E6D" w:rsidRDefault="00C76E6D">
      <w:pPr>
        <w:pStyle w:val="BodyText"/>
        <w:spacing w:before="3"/>
        <w:rPr>
          <w:sz w:val="25"/>
        </w:rPr>
      </w:pPr>
    </w:p>
    <w:p w:rsidR="00C76E6D" w:rsidRDefault="00913831">
      <w:pPr>
        <w:pStyle w:val="BodyText"/>
        <w:spacing w:line="276" w:lineRule="auto"/>
        <w:ind w:left="478" w:right="478"/>
        <w:jc w:val="both"/>
      </w:pPr>
      <w:r>
        <w:t>The Commission</w:t>
      </w:r>
      <w:r>
        <w:rPr>
          <w:spacing w:val="-1"/>
        </w:rPr>
        <w:t xml:space="preserve"> </w:t>
      </w:r>
      <w:r>
        <w:t>is deeply concerned over the current</w:t>
      </w:r>
      <w:r>
        <w:rPr>
          <w:spacing w:val="-1"/>
        </w:rPr>
        <w:t xml:space="preserve"> </w:t>
      </w:r>
      <w:r>
        <w:t>state</w:t>
      </w:r>
      <w:r>
        <w:rPr>
          <w:spacing w:val="-1"/>
        </w:rPr>
        <w:t xml:space="preserve"> </w:t>
      </w:r>
      <w:r>
        <w:t>of affairs as they pertain to all LGBTQ</w:t>
      </w:r>
      <w:r>
        <w:rPr>
          <w:spacing w:val="-1"/>
        </w:rPr>
        <w:t xml:space="preserve"> </w:t>
      </w:r>
      <w:r>
        <w:t>youth, but especially for underserved transgender, gender expansive, nonbinary, and QTBIPOC youth. In its recent</w:t>
      </w:r>
      <w:r>
        <w:rPr>
          <w:spacing w:val="-13"/>
        </w:rPr>
        <w:t xml:space="preserve"> </w:t>
      </w:r>
      <w:r>
        <w:t>report,</w:t>
      </w:r>
      <w:r>
        <w:rPr>
          <w:spacing w:val="-12"/>
        </w:rPr>
        <w:t xml:space="preserve"> </w:t>
      </w:r>
      <w:r>
        <w:t>The</w:t>
      </w:r>
      <w:r>
        <w:rPr>
          <w:spacing w:val="-12"/>
        </w:rPr>
        <w:t xml:space="preserve"> </w:t>
      </w:r>
      <w:r>
        <w:t>Trevor</w:t>
      </w:r>
      <w:r>
        <w:rPr>
          <w:spacing w:val="-12"/>
        </w:rPr>
        <w:t xml:space="preserve"> </w:t>
      </w:r>
      <w:r>
        <w:t>Project</w:t>
      </w:r>
      <w:r>
        <w:rPr>
          <w:spacing w:val="-13"/>
        </w:rPr>
        <w:t xml:space="preserve"> </w:t>
      </w:r>
      <w:r>
        <w:t>revealed</w:t>
      </w:r>
      <w:r>
        <w:rPr>
          <w:spacing w:val="-12"/>
        </w:rPr>
        <w:t xml:space="preserve"> </w:t>
      </w:r>
      <w:r>
        <w:t>that</w:t>
      </w:r>
      <w:r>
        <w:rPr>
          <w:spacing w:val="-13"/>
        </w:rPr>
        <w:t xml:space="preserve"> </w:t>
      </w:r>
      <w:r>
        <w:t>93%</w:t>
      </w:r>
      <w:r>
        <w:rPr>
          <w:spacing w:val="-11"/>
        </w:rPr>
        <w:t xml:space="preserve"> </w:t>
      </w:r>
      <w:r>
        <w:t>of</w:t>
      </w:r>
      <w:r>
        <w:rPr>
          <w:spacing w:val="-11"/>
        </w:rPr>
        <w:t xml:space="preserve"> </w:t>
      </w:r>
      <w:r>
        <w:t>transgender</w:t>
      </w:r>
      <w:r>
        <w:rPr>
          <w:spacing w:val="-11"/>
        </w:rPr>
        <w:t xml:space="preserve"> </w:t>
      </w:r>
      <w:r>
        <w:t>and</w:t>
      </w:r>
      <w:r>
        <w:rPr>
          <w:spacing w:val="-13"/>
        </w:rPr>
        <w:t xml:space="preserve"> </w:t>
      </w:r>
      <w:r>
        <w:t>nonbinary</w:t>
      </w:r>
      <w:r>
        <w:rPr>
          <w:spacing w:val="-12"/>
        </w:rPr>
        <w:t xml:space="preserve"> </w:t>
      </w:r>
      <w:r>
        <w:t>youth</w:t>
      </w:r>
      <w:r>
        <w:rPr>
          <w:spacing w:val="-12"/>
        </w:rPr>
        <w:t xml:space="preserve"> </w:t>
      </w:r>
      <w:r>
        <w:t>across</w:t>
      </w:r>
      <w:r>
        <w:rPr>
          <w:spacing w:val="-12"/>
        </w:rPr>
        <w:t xml:space="preserve"> </w:t>
      </w:r>
      <w:r>
        <w:t>the</w:t>
      </w:r>
      <w:r>
        <w:rPr>
          <w:spacing w:val="-12"/>
        </w:rPr>
        <w:t xml:space="preserve"> </w:t>
      </w:r>
      <w:r>
        <w:t>nation are deeply concerned about being denied access to gender-affirming medical care due to state or local laws.</w:t>
      </w:r>
      <w:hyperlink w:anchor="_bookmark0" w:history="1">
        <w:r>
          <w:rPr>
            <w:vertAlign w:val="superscript"/>
          </w:rPr>
          <w:t>1</w:t>
        </w:r>
        <w:r>
          <w:rPr>
            <w:spacing w:val="-11"/>
          </w:rPr>
          <w:t xml:space="preserve"> </w:t>
        </w:r>
      </w:hyperlink>
      <w:r>
        <w:t>But</w:t>
      </w:r>
      <w:r>
        <w:rPr>
          <w:spacing w:val="-11"/>
        </w:rPr>
        <w:t xml:space="preserve"> </w:t>
      </w:r>
      <w:r>
        <w:t>these</w:t>
      </w:r>
      <w:r>
        <w:rPr>
          <w:spacing w:val="-10"/>
        </w:rPr>
        <w:t xml:space="preserve"> </w:t>
      </w:r>
      <w:r>
        <w:t>numbers</w:t>
      </w:r>
      <w:r>
        <w:rPr>
          <w:spacing w:val="-10"/>
        </w:rPr>
        <w:t xml:space="preserve"> </w:t>
      </w:r>
      <w:r>
        <w:t>are</w:t>
      </w:r>
      <w:r>
        <w:rPr>
          <w:spacing w:val="-10"/>
        </w:rPr>
        <w:t xml:space="preserve"> </w:t>
      </w:r>
      <w:r>
        <w:t>only</w:t>
      </w:r>
      <w:r>
        <w:rPr>
          <w:spacing w:val="-10"/>
        </w:rPr>
        <w:t xml:space="preserve"> </w:t>
      </w:r>
      <w:r>
        <w:t>the</w:t>
      </w:r>
      <w:r>
        <w:rPr>
          <w:spacing w:val="-9"/>
        </w:rPr>
        <w:t xml:space="preserve"> </w:t>
      </w:r>
      <w:r>
        <w:t>tip</w:t>
      </w:r>
      <w:r>
        <w:rPr>
          <w:spacing w:val="-11"/>
        </w:rPr>
        <w:t xml:space="preserve"> </w:t>
      </w:r>
      <w:r>
        <w:t>of</w:t>
      </w:r>
      <w:r>
        <w:rPr>
          <w:spacing w:val="-10"/>
        </w:rPr>
        <w:t xml:space="preserve"> </w:t>
      </w:r>
      <w:r>
        <w:t>the</w:t>
      </w:r>
      <w:r>
        <w:rPr>
          <w:spacing w:val="-11"/>
        </w:rPr>
        <w:t xml:space="preserve"> </w:t>
      </w:r>
      <w:r>
        <w:t>iceberg</w:t>
      </w:r>
      <w:r>
        <w:rPr>
          <w:spacing w:val="-11"/>
        </w:rPr>
        <w:t xml:space="preserve"> </w:t>
      </w:r>
      <w:r>
        <w:t>for</w:t>
      </w:r>
      <w:r>
        <w:rPr>
          <w:spacing w:val="-10"/>
        </w:rPr>
        <w:t xml:space="preserve"> </w:t>
      </w:r>
      <w:r>
        <w:t>the</w:t>
      </w:r>
      <w:r>
        <w:rPr>
          <w:spacing w:val="-11"/>
        </w:rPr>
        <w:t xml:space="preserve"> </w:t>
      </w:r>
      <w:r>
        <w:t>da</w:t>
      </w:r>
      <w:r>
        <w:t>ta</w:t>
      </w:r>
      <w:r>
        <w:rPr>
          <w:spacing w:val="-10"/>
        </w:rPr>
        <w:t xml:space="preserve"> </w:t>
      </w:r>
      <w:r>
        <w:t>that</w:t>
      </w:r>
      <w:r>
        <w:rPr>
          <w:spacing w:val="-11"/>
        </w:rPr>
        <w:t xml:space="preserve"> </w:t>
      </w:r>
      <w:r>
        <w:t>the</w:t>
      </w:r>
      <w:r>
        <w:rPr>
          <w:spacing w:val="-11"/>
        </w:rPr>
        <w:t xml:space="preserve"> </w:t>
      </w:r>
      <w:r>
        <w:t>Commission</w:t>
      </w:r>
      <w:r>
        <w:rPr>
          <w:spacing w:val="-10"/>
        </w:rPr>
        <w:t xml:space="preserve"> </w:t>
      </w:r>
      <w:r>
        <w:t>will</w:t>
      </w:r>
      <w:r>
        <w:rPr>
          <w:spacing w:val="-9"/>
        </w:rPr>
        <w:t xml:space="preserve"> </w:t>
      </w:r>
      <w:r>
        <w:t>be</w:t>
      </w:r>
      <w:r>
        <w:rPr>
          <w:spacing w:val="-10"/>
        </w:rPr>
        <w:t xml:space="preserve"> </w:t>
      </w:r>
      <w:r>
        <w:t>reflecting on in the coming year.</w:t>
      </w:r>
    </w:p>
    <w:p w:rsidR="00C76E6D" w:rsidRDefault="00C76E6D">
      <w:pPr>
        <w:pStyle w:val="BodyText"/>
        <w:spacing w:before="5"/>
        <w:rPr>
          <w:sz w:val="25"/>
        </w:rPr>
      </w:pPr>
    </w:p>
    <w:p w:rsidR="00C76E6D" w:rsidRDefault="00913831">
      <w:pPr>
        <w:pStyle w:val="BodyText"/>
        <w:spacing w:line="276" w:lineRule="auto"/>
        <w:ind w:left="476" w:right="478" w:firstLine="3"/>
        <w:jc w:val="both"/>
      </w:pPr>
      <w:r>
        <w:t>Data is essential to our work as a state agency charged with protecting and serving LGBTQ youth in the Commonwealth. Data drives legislation. It drives media coverage, and it drives funding.</w:t>
      </w:r>
      <w:r>
        <w:t xml:space="preserve"> Data captures attention – and it drives change. Of this data, some numbers stand out: 375, 57, and 1. In 2021, 375 transgender and nonbinary people were</w:t>
      </w:r>
      <w:r>
        <w:rPr>
          <w:spacing w:val="-3"/>
        </w:rPr>
        <w:t xml:space="preserve"> </w:t>
      </w:r>
      <w:r>
        <w:rPr>
          <w:i/>
        </w:rPr>
        <w:t>reportedly</w:t>
      </w:r>
      <w:r>
        <w:rPr>
          <w:i/>
          <w:spacing w:val="-1"/>
        </w:rPr>
        <w:t xml:space="preserve"> </w:t>
      </w:r>
      <w:r>
        <w:t>murdered across the world, marking it the deadliest year</w:t>
      </w:r>
      <w:r>
        <w:rPr>
          <w:spacing w:val="-10"/>
        </w:rPr>
        <w:t xml:space="preserve"> </w:t>
      </w:r>
      <w:r>
        <w:t>in</w:t>
      </w:r>
      <w:r>
        <w:rPr>
          <w:spacing w:val="-10"/>
        </w:rPr>
        <w:t xml:space="preserve"> </w:t>
      </w:r>
      <w:r>
        <w:t>recent</w:t>
      </w:r>
      <w:r>
        <w:rPr>
          <w:spacing w:val="-10"/>
        </w:rPr>
        <w:t xml:space="preserve"> </w:t>
      </w:r>
      <w:r>
        <w:t>recorded</w:t>
      </w:r>
      <w:r>
        <w:rPr>
          <w:spacing w:val="-9"/>
        </w:rPr>
        <w:t xml:space="preserve"> </w:t>
      </w:r>
      <w:r>
        <w:t>history;</w:t>
      </w:r>
      <w:r>
        <w:rPr>
          <w:spacing w:val="-10"/>
        </w:rPr>
        <w:t xml:space="preserve"> </w:t>
      </w:r>
      <w:r>
        <w:t>57</w:t>
      </w:r>
      <w:r>
        <w:rPr>
          <w:spacing w:val="-10"/>
        </w:rPr>
        <w:t xml:space="preserve"> </w:t>
      </w:r>
      <w:r>
        <w:t>of</w:t>
      </w:r>
      <w:r>
        <w:rPr>
          <w:spacing w:val="-10"/>
        </w:rPr>
        <w:t xml:space="preserve"> </w:t>
      </w:r>
      <w:r>
        <w:t>these</w:t>
      </w:r>
      <w:r>
        <w:rPr>
          <w:spacing w:val="-10"/>
        </w:rPr>
        <w:t xml:space="preserve"> </w:t>
      </w:r>
      <w:r>
        <w:t>beautiful</w:t>
      </w:r>
      <w:r>
        <w:rPr>
          <w:spacing w:val="-10"/>
        </w:rPr>
        <w:t xml:space="preserve"> </w:t>
      </w:r>
      <w:r>
        <w:t>souls</w:t>
      </w:r>
      <w:r>
        <w:rPr>
          <w:spacing w:val="-10"/>
        </w:rPr>
        <w:t xml:space="preserve"> </w:t>
      </w:r>
      <w:r>
        <w:t>were</w:t>
      </w:r>
      <w:r>
        <w:rPr>
          <w:spacing w:val="-10"/>
        </w:rPr>
        <w:t xml:space="preserve"> </w:t>
      </w:r>
      <w:r>
        <w:t>murdered</w:t>
      </w:r>
      <w:r>
        <w:rPr>
          <w:spacing w:val="-11"/>
        </w:rPr>
        <w:t xml:space="preserve"> </w:t>
      </w:r>
      <w:r>
        <w:t>in</w:t>
      </w:r>
      <w:r>
        <w:rPr>
          <w:spacing w:val="-10"/>
        </w:rPr>
        <w:t xml:space="preserve"> </w:t>
      </w:r>
      <w:r>
        <w:t>the</w:t>
      </w:r>
      <w:r>
        <w:rPr>
          <w:spacing w:val="-9"/>
        </w:rPr>
        <w:t xml:space="preserve"> </w:t>
      </w:r>
      <w:r>
        <w:t>United</w:t>
      </w:r>
      <w:r>
        <w:rPr>
          <w:spacing w:val="-10"/>
        </w:rPr>
        <w:t xml:space="preserve"> </w:t>
      </w:r>
      <w:r>
        <w:t>States;</w:t>
      </w:r>
      <w:r>
        <w:rPr>
          <w:spacing w:val="-10"/>
        </w:rPr>
        <w:t xml:space="preserve"> </w:t>
      </w:r>
      <w:r>
        <w:t>1</w:t>
      </w:r>
      <w:r>
        <w:rPr>
          <w:spacing w:val="-10"/>
        </w:rPr>
        <w:t xml:space="preserve"> </w:t>
      </w:r>
      <w:r>
        <w:t>of</w:t>
      </w:r>
      <w:r>
        <w:rPr>
          <w:spacing w:val="-10"/>
        </w:rPr>
        <w:t xml:space="preserve"> </w:t>
      </w:r>
      <w:r>
        <w:t>these recorded souls, Jahaira DeAlto, was taken from our own community here in Massachusetts.</w:t>
      </w:r>
      <w:hyperlink w:anchor="_bookmark1" w:history="1">
        <w:r>
          <w:rPr>
            <w:vertAlign w:val="superscript"/>
          </w:rPr>
          <w:t>2</w:t>
        </w:r>
        <w:r>
          <w:t xml:space="preserve"> </w:t>
        </w:r>
      </w:hyperlink>
      <w:r>
        <w:t>Thus far in 2022, the Human Rights Campaign has reported on 14 viole</w:t>
      </w:r>
      <w:r>
        <w:t>nt killings of transgender and nonbinary people.</w:t>
      </w:r>
      <w:hyperlink w:anchor="_bookmark2" w:history="1">
        <w:r>
          <w:rPr>
            <w:vertAlign w:val="superscript"/>
          </w:rPr>
          <w:t>3</w:t>
        </w:r>
        <w:r>
          <w:t xml:space="preserve"> </w:t>
        </w:r>
      </w:hyperlink>
      <w:r>
        <w:t>It is essential to understand that these numbers are inaccurate – gender identity and sexual orientation are very often misrepresented and underreported from the media and poli</w:t>
      </w:r>
      <w:r>
        <w:t>ce. So too, it is critical to acknowledge that many of these victims come from communities of color.</w:t>
      </w:r>
    </w:p>
    <w:p w:rsidR="00C76E6D" w:rsidRDefault="00C76E6D">
      <w:pPr>
        <w:pStyle w:val="BodyText"/>
        <w:spacing w:before="3"/>
        <w:rPr>
          <w:sz w:val="25"/>
        </w:rPr>
      </w:pPr>
    </w:p>
    <w:p w:rsidR="00C76E6D" w:rsidRDefault="00913831">
      <w:pPr>
        <w:pStyle w:val="BodyText"/>
        <w:spacing w:before="1" w:line="276" w:lineRule="auto"/>
        <w:ind w:left="476" w:right="479" w:firstLine="1"/>
        <w:jc w:val="both"/>
      </w:pPr>
      <w:r>
        <w:t>We must also note that these numbers do not include the thousands of unidentified LGBTQ+ youth who are missing or absent. They do not include violence fac</w:t>
      </w:r>
      <w:r>
        <w:t>ed by LGBTQ individuals, especially youth, who have</w:t>
      </w:r>
      <w:r>
        <w:rPr>
          <w:spacing w:val="-4"/>
        </w:rPr>
        <w:t xml:space="preserve"> </w:t>
      </w:r>
      <w:r>
        <w:t>not</w:t>
      </w:r>
      <w:r>
        <w:rPr>
          <w:spacing w:val="-3"/>
        </w:rPr>
        <w:t xml:space="preserve"> </w:t>
      </w:r>
      <w:r>
        <w:t>felt</w:t>
      </w:r>
      <w:r>
        <w:rPr>
          <w:spacing w:val="-3"/>
        </w:rPr>
        <w:t xml:space="preserve"> </w:t>
      </w:r>
      <w:r>
        <w:t>safe</w:t>
      </w:r>
      <w:r>
        <w:rPr>
          <w:spacing w:val="-4"/>
        </w:rPr>
        <w:t xml:space="preserve"> </w:t>
      </w:r>
      <w:r>
        <w:t>to</w:t>
      </w:r>
      <w:r>
        <w:rPr>
          <w:spacing w:val="-4"/>
        </w:rPr>
        <w:t xml:space="preserve"> </w:t>
      </w:r>
      <w:r>
        <w:t>allow</w:t>
      </w:r>
      <w:r>
        <w:rPr>
          <w:spacing w:val="-1"/>
        </w:rPr>
        <w:t xml:space="preserve"> </w:t>
      </w:r>
      <w:r>
        <w:t>others</w:t>
      </w:r>
      <w:r>
        <w:rPr>
          <w:spacing w:val="-4"/>
        </w:rPr>
        <w:t xml:space="preserve"> </w:t>
      </w:r>
      <w:r>
        <w:t>in</w:t>
      </w:r>
      <w:r>
        <w:rPr>
          <w:spacing w:val="-3"/>
        </w:rPr>
        <w:t xml:space="preserve"> </w:t>
      </w:r>
      <w:r>
        <w:t>to</w:t>
      </w:r>
      <w:r>
        <w:rPr>
          <w:spacing w:val="-2"/>
        </w:rPr>
        <w:t xml:space="preserve"> </w:t>
      </w:r>
      <w:r>
        <w:t>see</w:t>
      </w:r>
      <w:r>
        <w:rPr>
          <w:spacing w:val="-3"/>
        </w:rPr>
        <w:t xml:space="preserve"> </w:t>
      </w:r>
      <w:r>
        <w:t>their</w:t>
      </w:r>
      <w:r>
        <w:rPr>
          <w:spacing w:val="-3"/>
        </w:rPr>
        <w:t xml:space="preserve"> </w:t>
      </w:r>
      <w:r>
        <w:t>identities</w:t>
      </w:r>
      <w:r>
        <w:rPr>
          <w:spacing w:val="-3"/>
        </w:rPr>
        <w:t xml:space="preserve"> </w:t>
      </w:r>
      <w:r>
        <w:t>for</w:t>
      </w:r>
      <w:r>
        <w:rPr>
          <w:spacing w:val="-4"/>
        </w:rPr>
        <w:t xml:space="preserve"> </w:t>
      </w:r>
      <w:r>
        <w:t>fear</w:t>
      </w:r>
      <w:r>
        <w:rPr>
          <w:spacing w:val="-3"/>
        </w:rPr>
        <w:t xml:space="preserve"> </w:t>
      </w:r>
      <w:r>
        <w:t>of</w:t>
      </w:r>
      <w:r>
        <w:rPr>
          <w:spacing w:val="-4"/>
        </w:rPr>
        <w:t xml:space="preserve"> </w:t>
      </w:r>
      <w:r>
        <w:t>rejection,</w:t>
      </w:r>
      <w:r>
        <w:rPr>
          <w:spacing w:val="-3"/>
        </w:rPr>
        <w:t xml:space="preserve"> </w:t>
      </w:r>
      <w:r>
        <w:t>discrimination,</w:t>
      </w:r>
      <w:r>
        <w:rPr>
          <w:spacing w:val="-4"/>
        </w:rPr>
        <w:t xml:space="preserve"> </w:t>
      </w:r>
      <w:r>
        <w:t>and</w:t>
      </w:r>
      <w:r>
        <w:rPr>
          <w:spacing w:val="-3"/>
        </w:rPr>
        <w:t xml:space="preserve"> </w:t>
      </w:r>
      <w:r>
        <w:t>abuse. LGBTQ</w:t>
      </w:r>
      <w:r>
        <w:rPr>
          <w:spacing w:val="-4"/>
        </w:rPr>
        <w:t xml:space="preserve"> </w:t>
      </w:r>
      <w:r>
        <w:t>youth</w:t>
      </w:r>
      <w:r>
        <w:rPr>
          <w:spacing w:val="-3"/>
        </w:rPr>
        <w:t xml:space="preserve"> </w:t>
      </w:r>
      <w:r>
        <w:t>in</w:t>
      </w:r>
      <w:r>
        <w:rPr>
          <w:spacing w:val="-4"/>
        </w:rPr>
        <w:t xml:space="preserve"> </w:t>
      </w:r>
      <w:r>
        <w:t>Massachusetts</w:t>
      </w:r>
      <w:r>
        <w:rPr>
          <w:spacing w:val="-4"/>
        </w:rPr>
        <w:t xml:space="preserve"> </w:t>
      </w:r>
      <w:r>
        <w:t>continue</w:t>
      </w:r>
      <w:r>
        <w:rPr>
          <w:spacing w:val="-4"/>
        </w:rPr>
        <w:t xml:space="preserve"> </w:t>
      </w:r>
      <w:r>
        <w:t>to</w:t>
      </w:r>
      <w:r>
        <w:rPr>
          <w:spacing w:val="-5"/>
        </w:rPr>
        <w:t xml:space="preserve"> </w:t>
      </w:r>
      <w:r>
        <w:t>face</w:t>
      </w:r>
      <w:r>
        <w:rPr>
          <w:spacing w:val="-5"/>
        </w:rPr>
        <w:t xml:space="preserve"> </w:t>
      </w:r>
      <w:r>
        <w:t>high</w:t>
      </w:r>
      <w:r>
        <w:rPr>
          <w:spacing w:val="-4"/>
        </w:rPr>
        <w:t xml:space="preserve"> </w:t>
      </w:r>
      <w:r>
        <w:t>rates</w:t>
      </w:r>
      <w:r>
        <w:rPr>
          <w:spacing w:val="-4"/>
        </w:rPr>
        <w:t xml:space="preserve"> </w:t>
      </w:r>
      <w:r>
        <w:t>of</w:t>
      </w:r>
      <w:r>
        <w:rPr>
          <w:spacing w:val="-5"/>
        </w:rPr>
        <w:t xml:space="preserve"> </w:t>
      </w:r>
      <w:r>
        <w:t>school-based</w:t>
      </w:r>
      <w:r>
        <w:rPr>
          <w:spacing w:val="-5"/>
        </w:rPr>
        <w:t xml:space="preserve"> </w:t>
      </w:r>
      <w:r>
        <w:t>bullying,</w:t>
      </w:r>
      <w:r>
        <w:rPr>
          <w:spacing w:val="-5"/>
        </w:rPr>
        <w:t xml:space="preserve"> </w:t>
      </w:r>
      <w:r>
        <w:t>violence,</w:t>
      </w:r>
      <w:r>
        <w:rPr>
          <w:spacing w:val="-3"/>
        </w:rPr>
        <w:t xml:space="preserve"> </w:t>
      </w:r>
      <w:r>
        <w:t>and</w:t>
      </w:r>
      <w:r>
        <w:rPr>
          <w:spacing w:val="-5"/>
        </w:rPr>
        <w:t xml:space="preserve"> </w:t>
      </w:r>
      <w:r>
        <w:t>suicide attempts. Data from the 2019 Massachusetts Youth Risk Behavior Survey found that, compared to their non-LGBTQ peers, LGBTQ youth</w:t>
      </w:r>
      <w:r>
        <w:rPr>
          <w:spacing w:val="-1"/>
        </w:rPr>
        <w:t xml:space="preserve"> </w:t>
      </w:r>
      <w:r>
        <w:t>are twice</w:t>
      </w:r>
      <w:r>
        <w:rPr>
          <w:spacing w:val="-1"/>
        </w:rPr>
        <w:t xml:space="preserve"> </w:t>
      </w:r>
      <w:r>
        <w:t>as likely to experience bullying, three and a half times as likely to skip</w:t>
      </w:r>
      <w:r>
        <w:rPr>
          <w:spacing w:val="-1"/>
        </w:rPr>
        <w:t xml:space="preserve"> </w:t>
      </w:r>
      <w:r>
        <w:t>school</w:t>
      </w:r>
      <w:r>
        <w:rPr>
          <w:spacing w:val="-1"/>
        </w:rPr>
        <w:t xml:space="preserve"> </w:t>
      </w:r>
      <w:r>
        <w:t>because</w:t>
      </w:r>
      <w:r>
        <w:rPr>
          <w:spacing w:val="-1"/>
        </w:rPr>
        <w:t xml:space="preserve"> </w:t>
      </w:r>
      <w:r>
        <w:t>they feel unsafe, a</w:t>
      </w:r>
      <w:r>
        <w:t>nd</w:t>
      </w:r>
      <w:r>
        <w:rPr>
          <w:spacing w:val="-1"/>
        </w:rPr>
        <w:t xml:space="preserve"> </w:t>
      </w:r>
      <w:r>
        <w:t>four and a half times as likely to attempt</w:t>
      </w:r>
      <w:r>
        <w:rPr>
          <w:spacing w:val="-1"/>
        </w:rPr>
        <w:t xml:space="preserve"> </w:t>
      </w:r>
      <w:r>
        <w:t>suicide.</w:t>
      </w:r>
      <w:r>
        <w:rPr>
          <w:spacing w:val="-1"/>
        </w:rPr>
        <w:t xml:space="preserve"> </w:t>
      </w:r>
      <w:r>
        <w:t>Moreover, LGBTQ youth – particularly QTBIPOC youth – find themselves nearly four times more like to be incarcerated within the juvenile justice system.</w:t>
      </w:r>
    </w:p>
    <w:p w:rsidR="00C76E6D" w:rsidRDefault="00C76E6D">
      <w:pPr>
        <w:spacing w:line="276" w:lineRule="auto"/>
        <w:jc w:val="both"/>
        <w:sectPr w:rsidR="00C76E6D">
          <w:headerReference w:type="default" r:id="rId13"/>
          <w:pgSz w:w="12240" w:h="15840"/>
          <w:pgMar w:top="940" w:right="960" w:bottom="280" w:left="960" w:header="759" w:footer="0" w:gutter="0"/>
          <w:cols w:space="720"/>
        </w:sectPr>
      </w:pPr>
    </w:p>
    <w:p w:rsidR="00C76E6D" w:rsidRDefault="00C76E6D">
      <w:pPr>
        <w:pStyle w:val="BodyText"/>
        <w:rPr>
          <w:sz w:val="20"/>
        </w:rPr>
      </w:pPr>
    </w:p>
    <w:p w:rsidR="00C76E6D" w:rsidRDefault="00C76E6D">
      <w:pPr>
        <w:pStyle w:val="BodyText"/>
        <w:spacing w:before="9"/>
        <w:rPr>
          <w:sz w:val="14"/>
        </w:rPr>
      </w:pPr>
    </w:p>
    <w:p w:rsidR="00C76E6D" w:rsidRDefault="00913831">
      <w:pPr>
        <w:pStyle w:val="BodyText"/>
        <w:spacing w:before="55" w:line="276" w:lineRule="auto"/>
        <w:ind w:left="479" w:right="476"/>
        <w:jc w:val="both"/>
      </w:pPr>
      <w:r>
        <w:t>Finally,</w:t>
      </w:r>
      <w:r>
        <w:rPr>
          <w:spacing w:val="-10"/>
        </w:rPr>
        <w:t xml:space="preserve"> </w:t>
      </w:r>
      <w:r>
        <w:t>the</w:t>
      </w:r>
      <w:r>
        <w:rPr>
          <w:spacing w:val="-10"/>
        </w:rPr>
        <w:t xml:space="preserve"> </w:t>
      </w:r>
      <w:r>
        <w:t>Commission</w:t>
      </w:r>
      <w:r>
        <w:rPr>
          <w:spacing w:val="-11"/>
        </w:rPr>
        <w:t xml:space="preserve"> </w:t>
      </w:r>
      <w:r>
        <w:t>feels</w:t>
      </w:r>
      <w:r>
        <w:rPr>
          <w:spacing w:val="-11"/>
        </w:rPr>
        <w:t xml:space="preserve"> </w:t>
      </w:r>
      <w:r>
        <w:t>that</w:t>
      </w:r>
      <w:r>
        <w:rPr>
          <w:spacing w:val="-11"/>
        </w:rPr>
        <w:t xml:space="preserve"> </w:t>
      </w:r>
      <w:r>
        <w:t>it</w:t>
      </w:r>
      <w:r>
        <w:rPr>
          <w:spacing w:val="-11"/>
        </w:rPr>
        <w:t xml:space="preserve"> </w:t>
      </w:r>
      <w:r>
        <w:t>is</w:t>
      </w:r>
      <w:r>
        <w:rPr>
          <w:spacing w:val="-11"/>
        </w:rPr>
        <w:t xml:space="preserve"> </w:t>
      </w:r>
      <w:r>
        <w:t>important</w:t>
      </w:r>
      <w:r>
        <w:rPr>
          <w:spacing w:val="-11"/>
        </w:rPr>
        <w:t xml:space="preserve"> </w:t>
      </w:r>
      <w:r>
        <w:t>to</w:t>
      </w:r>
      <w:r>
        <w:rPr>
          <w:spacing w:val="-9"/>
        </w:rPr>
        <w:t xml:space="preserve"> </w:t>
      </w:r>
      <w:r>
        <w:t>highlight</w:t>
      </w:r>
      <w:r>
        <w:rPr>
          <w:spacing w:val="-10"/>
        </w:rPr>
        <w:t xml:space="preserve"> </w:t>
      </w:r>
      <w:r>
        <w:t>that</w:t>
      </w:r>
      <w:r>
        <w:rPr>
          <w:spacing w:val="-10"/>
        </w:rPr>
        <w:t xml:space="preserve"> </w:t>
      </w:r>
      <w:r>
        <w:t>while</w:t>
      </w:r>
      <w:r>
        <w:rPr>
          <w:spacing w:val="-11"/>
        </w:rPr>
        <w:t xml:space="preserve"> </w:t>
      </w:r>
      <w:r>
        <w:t>suicide</w:t>
      </w:r>
      <w:r>
        <w:rPr>
          <w:spacing w:val="-10"/>
        </w:rPr>
        <w:t xml:space="preserve"> </w:t>
      </w:r>
      <w:r>
        <w:t>is</w:t>
      </w:r>
      <w:r>
        <w:rPr>
          <w:spacing w:val="-11"/>
        </w:rPr>
        <w:t xml:space="preserve"> </w:t>
      </w:r>
      <w:r>
        <w:t>the</w:t>
      </w:r>
      <w:r>
        <w:rPr>
          <w:spacing w:val="-11"/>
        </w:rPr>
        <w:t xml:space="preserve"> </w:t>
      </w:r>
      <w:r>
        <w:t>second</w:t>
      </w:r>
      <w:r>
        <w:rPr>
          <w:spacing w:val="-10"/>
        </w:rPr>
        <w:t xml:space="preserve"> </w:t>
      </w:r>
      <w:r>
        <w:t>leading</w:t>
      </w:r>
      <w:r>
        <w:rPr>
          <w:spacing w:val="-10"/>
        </w:rPr>
        <w:t xml:space="preserve"> </w:t>
      </w:r>
      <w:r>
        <w:t>cause of</w:t>
      </w:r>
      <w:r>
        <w:rPr>
          <w:spacing w:val="-2"/>
        </w:rPr>
        <w:t xml:space="preserve"> </w:t>
      </w:r>
      <w:r>
        <w:t>death</w:t>
      </w:r>
      <w:r>
        <w:rPr>
          <w:spacing w:val="-2"/>
        </w:rPr>
        <w:t xml:space="preserve"> </w:t>
      </w:r>
      <w:r>
        <w:t>among</w:t>
      </w:r>
      <w:r>
        <w:rPr>
          <w:spacing w:val="-2"/>
        </w:rPr>
        <w:t xml:space="preserve"> </w:t>
      </w:r>
      <w:r>
        <w:t>youth</w:t>
      </w:r>
      <w:r>
        <w:rPr>
          <w:spacing w:val="-2"/>
        </w:rPr>
        <w:t xml:space="preserve"> </w:t>
      </w:r>
      <w:r>
        <w:t>18-24,</w:t>
      </w:r>
      <w:r>
        <w:rPr>
          <w:spacing w:val="-1"/>
        </w:rPr>
        <w:t xml:space="preserve"> </w:t>
      </w:r>
      <w:r>
        <w:t>in</w:t>
      </w:r>
      <w:r>
        <w:rPr>
          <w:spacing w:val="-2"/>
        </w:rPr>
        <w:t xml:space="preserve"> </w:t>
      </w:r>
      <w:r>
        <w:t>2020,</w:t>
      </w:r>
      <w:r>
        <w:rPr>
          <w:spacing w:val="-1"/>
        </w:rPr>
        <w:t xml:space="preserve"> </w:t>
      </w:r>
      <w:r>
        <w:t>firearms</w:t>
      </w:r>
      <w:r>
        <w:rPr>
          <w:spacing w:val="-2"/>
        </w:rPr>
        <w:t xml:space="preserve"> </w:t>
      </w:r>
      <w:r>
        <w:t>became</w:t>
      </w:r>
      <w:r>
        <w:rPr>
          <w:spacing w:val="-2"/>
        </w:rPr>
        <w:t xml:space="preserve"> </w:t>
      </w:r>
      <w:r>
        <w:t>the</w:t>
      </w:r>
      <w:r>
        <w:rPr>
          <w:spacing w:val="-2"/>
        </w:rPr>
        <w:t xml:space="preserve"> </w:t>
      </w:r>
      <w:r>
        <w:t>leading</w:t>
      </w:r>
      <w:r>
        <w:rPr>
          <w:spacing w:val="-2"/>
        </w:rPr>
        <w:t xml:space="preserve"> </w:t>
      </w:r>
      <w:r>
        <w:t>cause</w:t>
      </w:r>
      <w:r>
        <w:rPr>
          <w:spacing w:val="-1"/>
        </w:rPr>
        <w:t xml:space="preserve"> </w:t>
      </w:r>
      <w:r>
        <w:t>of</w:t>
      </w:r>
      <w:r>
        <w:rPr>
          <w:spacing w:val="-2"/>
        </w:rPr>
        <w:t xml:space="preserve"> </w:t>
      </w:r>
      <w:r>
        <w:t>death</w:t>
      </w:r>
      <w:r>
        <w:rPr>
          <w:spacing w:val="-2"/>
        </w:rPr>
        <w:t xml:space="preserve"> </w:t>
      </w:r>
      <w:r>
        <w:t>in children.</w:t>
      </w:r>
      <w:r>
        <w:rPr>
          <w:spacing w:val="-2"/>
        </w:rPr>
        <w:t xml:space="preserve"> </w:t>
      </w:r>
      <w:r>
        <w:t>As</w:t>
      </w:r>
      <w:r>
        <w:rPr>
          <w:spacing w:val="-1"/>
        </w:rPr>
        <w:t xml:space="preserve"> </w:t>
      </w:r>
      <w:r>
        <w:t>of</w:t>
      </w:r>
      <w:r>
        <w:rPr>
          <w:spacing w:val="-2"/>
        </w:rPr>
        <w:t xml:space="preserve"> </w:t>
      </w:r>
      <w:r>
        <w:t>June 1,</w:t>
      </w:r>
      <w:r>
        <w:rPr>
          <w:spacing w:val="-3"/>
        </w:rPr>
        <w:t xml:space="preserve"> </w:t>
      </w:r>
      <w:r>
        <w:t>2022,</w:t>
      </w:r>
      <w:r>
        <w:rPr>
          <w:spacing w:val="-3"/>
        </w:rPr>
        <w:t xml:space="preserve"> </w:t>
      </w:r>
      <w:r>
        <w:t>653</w:t>
      </w:r>
      <w:r>
        <w:rPr>
          <w:spacing w:val="-2"/>
        </w:rPr>
        <w:t xml:space="preserve"> </w:t>
      </w:r>
      <w:r>
        <w:t>children</w:t>
      </w:r>
      <w:r>
        <w:rPr>
          <w:spacing w:val="-2"/>
        </w:rPr>
        <w:t xml:space="preserve"> </w:t>
      </w:r>
      <w:r>
        <w:t>have</w:t>
      </w:r>
      <w:r>
        <w:rPr>
          <w:spacing w:val="-2"/>
        </w:rPr>
        <w:t xml:space="preserve"> </w:t>
      </w:r>
      <w:r>
        <w:t>died</w:t>
      </w:r>
      <w:r>
        <w:rPr>
          <w:spacing w:val="-3"/>
        </w:rPr>
        <w:t xml:space="preserve"> </w:t>
      </w:r>
      <w:r>
        <w:t>as</w:t>
      </w:r>
      <w:r>
        <w:rPr>
          <w:spacing w:val="-2"/>
        </w:rPr>
        <w:t xml:space="preserve"> </w:t>
      </w:r>
      <w:r>
        <w:t>a</w:t>
      </w:r>
      <w:r>
        <w:rPr>
          <w:spacing w:val="-3"/>
        </w:rPr>
        <w:t xml:space="preserve"> </w:t>
      </w:r>
      <w:r>
        <w:t>result</w:t>
      </w:r>
      <w:r>
        <w:rPr>
          <w:spacing w:val="-2"/>
        </w:rPr>
        <w:t xml:space="preserve"> </w:t>
      </w:r>
      <w:r>
        <w:t>of</w:t>
      </w:r>
      <w:r>
        <w:rPr>
          <w:spacing w:val="-3"/>
        </w:rPr>
        <w:t xml:space="preserve"> </w:t>
      </w:r>
      <w:r>
        <w:t>gun</w:t>
      </w:r>
      <w:r>
        <w:rPr>
          <w:spacing w:val="-2"/>
        </w:rPr>
        <w:t xml:space="preserve"> </w:t>
      </w:r>
      <w:r>
        <w:t>violence</w:t>
      </w:r>
      <w:r>
        <w:rPr>
          <w:spacing w:val="-2"/>
        </w:rPr>
        <w:t xml:space="preserve"> </w:t>
      </w:r>
      <w:r>
        <w:t>in</w:t>
      </w:r>
      <w:r>
        <w:rPr>
          <w:spacing w:val="-1"/>
        </w:rPr>
        <w:t xml:space="preserve"> </w:t>
      </w:r>
      <w:r>
        <w:t>the</w:t>
      </w:r>
      <w:r>
        <w:rPr>
          <w:spacing w:val="-2"/>
        </w:rPr>
        <w:t xml:space="preserve"> </w:t>
      </w:r>
      <w:r>
        <w:t>United</w:t>
      </w:r>
      <w:r>
        <w:rPr>
          <w:spacing w:val="-2"/>
        </w:rPr>
        <w:t xml:space="preserve"> </w:t>
      </w:r>
      <w:r>
        <w:t>States.</w:t>
      </w:r>
      <w:hyperlink w:anchor="_bookmark3" w:history="1">
        <w:r>
          <w:rPr>
            <w:vertAlign w:val="superscript"/>
          </w:rPr>
          <w:t>4</w:t>
        </w:r>
        <w:r>
          <w:rPr>
            <w:spacing w:val="-3"/>
          </w:rPr>
          <w:t xml:space="preserve"> </w:t>
        </w:r>
      </w:hyperlink>
      <w:r>
        <w:t>While</w:t>
      </w:r>
      <w:r>
        <w:rPr>
          <w:spacing w:val="-2"/>
        </w:rPr>
        <w:t xml:space="preserve"> </w:t>
      </w:r>
      <w:r>
        <w:t>it</w:t>
      </w:r>
      <w:r>
        <w:rPr>
          <w:spacing w:val="-2"/>
        </w:rPr>
        <w:t xml:space="preserve"> </w:t>
      </w:r>
      <w:r>
        <w:t>is</w:t>
      </w:r>
      <w:r>
        <w:rPr>
          <w:spacing w:val="-2"/>
        </w:rPr>
        <w:t xml:space="preserve"> </w:t>
      </w:r>
      <w:r>
        <w:t>fortunate</w:t>
      </w:r>
      <w:r>
        <w:rPr>
          <w:spacing w:val="-2"/>
        </w:rPr>
        <w:t xml:space="preserve"> </w:t>
      </w:r>
      <w:r>
        <w:t>that Massachusetts</w:t>
      </w:r>
      <w:r>
        <w:rPr>
          <w:spacing w:val="-2"/>
        </w:rPr>
        <w:t xml:space="preserve"> </w:t>
      </w:r>
      <w:r>
        <w:t>has</w:t>
      </w:r>
      <w:r>
        <w:rPr>
          <w:spacing w:val="-3"/>
        </w:rPr>
        <w:t xml:space="preserve"> </w:t>
      </w:r>
      <w:r>
        <w:t>not</w:t>
      </w:r>
      <w:r>
        <w:rPr>
          <w:spacing w:val="-3"/>
        </w:rPr>
        <w:t xml:space="preserve"> </w:t>
      </w:r>
      <w:r>
        <w:t>seen</w:t>
      </w:r>
      <w:r>
        <w:rPr>
          <w:spacing w:val="-3"/>
        </w:rPr>
        <w:t xml:space="preserve"> </w:t>
      </w:r>
      <w:r>
        <w:t>a</w:t>
      </w:r>
      <w:r>
        <w:rPr>
          <w:spacing w:val="-3"/>
        </w:rPr>
        <w:t xml:space="preserve"> </w:t>
      </w:r>
      <w:r>
        <w:t>mass</w:t>
      </w:r>
      <w:r>
        <w:rPr>
          <w:spacing w:val="-2"/>
        </w:rPr>
        <w:t xml:space="preserve"> </w:t>
      </w:r>
      <w:r>
        <w:t>shooting</w:t>
      </w:r>
      <w:r>
        <w:rPr>
          <w:spacing w:val="-3"/>
        </w:rPr>
        <w:t xml:space="preserve"> </w:t>
      </w:r>
      <w:r>
        <w:t>since</w:t>
      </w:r>
      <w:r>
        <w:rPr>
          <w:spacing w:val="-3"/>
        </w:rPr>
        <w:t xml:space="preserve"> </w:t>
      </w:r>
      <w:r>
        <w:t>2016,</w:t>
      </w:r>
      <w:r>
        <w:rPr>
          <w:spacing w:val="-2"/>
        </w:rPr>
        <w:t xml:space="preserve"> </w:t>
      </w:r>
      <w:r>
        <w:t>it</w:t>
      </w:r>
      <w:r>
        <w:rPr>
          <w:spacing w:val="-3"/>
        </w:rPr>
        <w:t xml:space="preserve"> </w:t>
      </w:r>
      <w:r>
        <w:t>is</w:t>
      </w:r>
      <w:r>
        <w:rPr>
          <w:spacing w:val="-2"/>
        </w:rPr>
        <w:t xml:space="preserve"> </w:t>
      </w:r>
      <w:r>
        <w:t>essential</w:t>
      </w:r>
      <w:r>
        <w:rPr>
          <w:spacing w:val="-3"/>
        </w:rPr>
        <w:t xml:space="preserve"> </w:t>
      </w:r>
      <w:r>
        <w:t>to</w:t>
      </w:r>
      <w:r>
        <w:rPr>
          <w:spacing w:val="-2"/>
        </w:rPr>
        <w:t xml:space="preserve"> </w:t>
      </w:r>
      <w:r>
        <w:t>understand</w:t>
      </w:r>
      <w:r>
        <w:rPr>
          <w:spacing w:val="-3"/>
        </w:rPr>
        <w:t xml:space="preserve"> </w:t>
      </w:r>
      <w:r>
        <w:t>that</w:t>
      </w:r>
      <w:r>
        <w:rPr>
          <w:spacing w:val="-3"/>
        </w:rPr>
        <w:t xml:space="preserve"> </w:t>
      </w:r>
      <w:r>
        <w:t>these</w:t>
      </w:r>
      <w:r>
        <w:rPr>
          <w:spacing w:val="-3"/>
        </w:rPr>
        <w:t xml:space="preserve"> </w:t>
      </w:r>
      <w:r>
        <w:t>numbers do</w:t>
      </w:r>
      <w:r>
        <w:rPr>
          <w:spacing w:val="-6"/>
        </w:rPr>
        <w:t xml:space="preserve"> </w:t>
      </w:r>
      <w:r>
        <w:t>not</w:t>
      </w:r>
      <w:r>
        <w:rPr>
          <w:spacing w:val="-6"/>
        </w:rPr>
        <w:t xml:space="preserve"> </w:t>
      </w:r>
      <w:r>
        <w:t>just</w:t>
      </w:r>
      <w:r>
        <w:rPr>
          <w:spacing w:val="-7"/>
        </w:rPr>
        <w:t xml:space="preserve"> </w:t>
      </w:r>
      <w:r>
        <w:t>reflect</w:t>
      </w:r>
      <w:r>
        <w:rPr>
          <w:spacing w:val="-5"/>
        </w:rPr>
        <w:t xml:space="preserve"> </w:t>
      </w:r>
      <w:r>
        <w:t>mass</w:t>
      </w:r>
      <w:r>
        <w:rPr>
          <w:spacing w:val="-6"/>
        </w:rPr>
        <w:t xml:space="preserve"> </w:t>
      </w:r>
      <w:r>
        <w:t>shootings,</w:t>
      </w:r>
      <w:r>
        <w:rPr>
          <w:spacing w:val="-6"/>
        </w:rPr>
        <w:t xml:space="preserve"> </w:t>
      </w:r>
      <w:r>
        <w:t>but</w:t>
      </w:r>
      <w:r>
        <w:rPr>
          <w:spacing w:val="-6"/>
        </w:rPr>
        <w:t xml:space="preserve"> </w:t>
      </w:r>
      <w:r>
        <w:t>rather</w:t>
      </w:r>
      <w:r>
        <w:rPr>
          <w:spacing w:val="-6"/>
        </w:rPr>
        <w:t xml:space="preserve"> </w:t>
      </w:r>
      <w:r>
        <w:t>all</w:t>
      </w:r>
      <w:r>
        <w:rPr>
          <w:spacing w:val="-5"/>
        </w:rPr>
        <w:t xml:space="preserve"> </w:t>
      </w:r>
      <w:r>
        <w:t>incidents</w:t>
      </w:r>
      <w:r>
        <w:rPr>
          <w:spacing w:val="-6"/>
        </w:rPr>
        <w:t xml:space="preserve"> </w:t>
      </w:r>
      <w:r>
        <w:t>of</w:t>
      </w:r>
      <w:r>
        <w:rPr>
          <w:spacing w:val="-5"/>
        </w:rPr>
        <w:t xml:space="preserve"> </w:t>
      </w:r>
      <w:r>
        <w:t>gun</w:t>
      </w:r>
      <w:r>
        <w:rPr>
          <w:spacing w:val="-6"/>
        </w:rPr>
        <w:t xml:space="preserve"> </w:t>
      </w:r>
      <w:r>
        <w:t>violence.</w:t>
      </w:r>
      <w:r>
        <w:rPr>
          <w:spacing w:val="-5"/>
        </w:rPr>
        <w:t xml:space="preserve"> </w:t>
      </w:r>
      <w:r>
        <w:t>In</w:t>
      </w:r>
      <w:r>
        <w:rPr>
          <w:spacing w:val="-5"/>
        </w:rPr>
        <w:t xml:space="preserve"> </w:t>
      </w:r>
      <w:r>
        <w:t>Massachusetts,</w:t>
      </w:r>
      <w:r>
        <w:rPr>
          <w:spacing w:val="-5"/>
        </w:rPr>
        <w:t xml:space="preserve"> </w:t>
      </w:r>
      <w:r>
        <w:t>guns</w:t>
      </w:r>
      <w:r>
        <w:rPr>
          <w:spacing w:val="-6"/>
        </w:rPr>
        <w:t xml:space="preserve"> </w:t>
      </w:r>
      <w:r>
        <w:t>are</w:t>
      </w:r>
      <w:r>
        <w:rPr>
          <w:spacing w:val="-6"/>
        </w:rPr>
        <w:t xml:space="preserve"> </w:t>
      </w:r>
      <w:r>
        <w:t>the fourth leading cause of death for children, with an average of 18 deaths per year – 75% of which are incidents of homicides. However, it is clear that Massachusetts leads the nation with the sec</w:t>
      </w:r>
      <w:r>
        <w:t>ond lowest gun violence death rate per 100,000, and must continue to deconstruct the ideologies that have led to this critical point in our history.</w:t>
      </w:r>
      <w:hyperlink w:anchor="_bookmark4" w:history="1">
        <w:r>
          <w:rPr>
            <w:vertAlign w:val="superscript"/>
          </w:rPr>
          <w:t>5</w:t>
        </w:r>
      </w:hyperlink>
    </w:p>
    <w:p w:rsidR="00C76E6D" w:rsidRDefault="00C76E6D">
      <w:pPr>
        <w:pStyle w:val="BodyText"/>
        <w:spacing w:before="4"/>
        <w:rPr>
          <w:sz w:val="25"/>
        </w:rPr>
      </w:pPr>
    </w:p>
    <w:p w:rsidR="00C76E6D" w:rsidRDefault="00913831">
      <w:pPr>
        <w:pStyle w:val="BodyText"/>
        <w:spacing w:line="276" w:lineRule="auto"/>
        <w:ind w:left="479" w:right="478"/>
        <w:jc w:val="both"/>
      </w:pPr>
      <w:r>
        <w:t>As</w:t>
      </w:r>
      <w:r>
        <w:rPr>
          <w:spacing w:val="-7"/>
        </w:rPr>
        <w:t xml:space="preserve"> </w:t>
      </w:r>
      <w:r>
        <w:t>the</w:t>
      </w:r>
      <w:r>
        <w:rPr>
          <w:spacing w:val="-7"/>
        </w:rPr>
        <w:t xml:space="preserve"> </w:t>
      </w:r>
      <w:r>
        <w:t>state</w:t>
      </w:r>
      <w:r>
        <w:rPr>
          <w:spacing w:val="-6"/>
        </w:rPr>
        <w:t xml:space="preserve"> </w:t>
      </w:r>
      <w:r>
        <w:t>with</w:t>
      </w:r>
      <w:r>
        <w:rPr>
          <w:spacing w:val="-7"/>
        </w:rPr>
        <w:t xml:space="preserve"> </w:t>
      </w:r>
      <w:r>
        <w:t>the</w:t>
      </w:r>
      <w:r>
        <w:rPr>
          <w:spacing w:val="-7"/>
        </w:rPr>
        <w:t xml:space="preserve"> </w:t>
      </w:r>
      <w:r>
        <w:t>only</w:t>
      </w:r>
      <w:r>
        <w:rPr>
          <w:spacing w:val="-5"/>
        </w:rPr>
        <w:t xml:space="preserve"> </w:t>
      </w:r>
      <w:r>
        <w:t>Commission</w:t>
      </w:r>
      <w:r>
        <w:rPr>
          <w:spacing w:val="-8"/>
        </w:rPr>
        <w:t xml:space="preserve"> </w:t>
      </w:r>
      <w:r>
        <w:t>on</w:t>
      </w:r>
      <w:r>
        <w:rPr>
          <w:spacing w:val="-8"/>
        </w:rPr>
        <w:t xml:space="preserve"> </w:t>
      </w:r>
      <w:r>
        <w:t>LGBTQ</w:t>
      </w:r>
      <w:r>
        <w:rPr>
          <w:spacing w:val="-7"/>
        </w:rPr>
        <w:t xml:space="preserve"> </w:t>
      </w:r>
      <w:r>
        <w:t>Youth</w:t>
      </w:r>
      <w:r>
        <w:rPr>
          <w:spacing w:val="-7"/>
        </w:rPr>
        <w:t xml:space="preserve"> </w:t>
      </w:r>
      <w:r>
        <w:t>in</w:t>
      </w:r>
      <w:r>
        <w:rPr>
          <w:spacing w:val="-7"/>
        </w:rPr>
        <w:t xml:space="preserve"> </w:t>
      </w:r>
      <w:r>
        <w:t>the</w:t>
      </w:r>
      <w:r>
        <w:rPr>
          <w:spacing w:val="-7"/>
        </w:rPr>
        <w:t xml:space="preserve"> </w:t>
      </w:r>
      <w:r>
        <w:t>country,</w:t>
      </w:r>
      <w:r>
        <w:rPr>
          <w:spacing w:val="-7"/>
        </w:rPr>
        <w:t xml:space="preserve"> </w:t>
      </w:r>
      <w:r>
        <w:t>it</w:t>
      </w:r>
      <w:r>
        <w:rPr>
          <w:spacing w:val="-8"/>
        </w:rPr>
        <w:t xml:space="preserve"> </w:t>
      </w:r>
      <w:r>
        <w:t>is</w:t>
      </w:r>
      <w:r>
        <w:rPr>
          <w:spacing w:val="-6"/>
        </w:rPr>
        <w:t xml:space="preserve"> </w:t>
      </w:r>
      <w:r>
        <w:t>incumbent</w:t>
      </w:r>
      <w:r>
        <w:rPr>
          <w:spacing w:val="-7"/>
        </w:rPr>
        <w:t xml:space="preserve"> </w:t>
      </w:r>
      <w:r>
        <w:t>upon</w:t>
      </w:r>
      <w:r>
        <w:rPr>
          <w:spacing w:val="-7"/>
        </w:rPr>
        <w:t xml:space="preserve"> </w:t>
      </w:r>
      <w:r>
        <w:t>us</w:t>
      </w:r>
      <w:r>
        <w:rPr>
          <w:spacing w:val="-6"/>
        </w:rPr>
        <w:t xml:space="preserve"> </w:t>
      </w:r>
      <w:r>
        <w:t>to</w:t>
      </w:r>
      <w:r>
        <w:rPr>
          <w:spacing w:val="-7"/>
        </w:rPr>
        <w:t xml:space="preserve"> </w:t>
      </w:r>
      <w:r>
        <w:t xml:space="preserve">become the lighthouse for LGBTQ youth and to uplift underserved populations across the Commonwealth. At every level, and within every institution, the Commission calls for the Commonwealth to say, “Not in </w:t>
      </w:r>
      <w:r>
        <w:rPr>
          <w:spacing w:val="-2"/>
        </w:rPr>
        <w:t>Massachusetts!”</w:t>
      </w:r>
    </w:p>
    <w:p w:rsidR="00C76E6D" w:rsidRDefault="00C76E6D">
      <w:pPr>
        <w:pStyle w:val="BodyText"/>
        <w:spacing w:before="3"/>
        <w:rPr>
          <w:sz w:val="25"/>
        </w:rPr>
      </w:pPr>
    </w:p>
    <w:p w:rsidR="00C76E6D" w:rsidRDefault="00913831">
      <w:pPr>
        <w:pStyle w:val="BodyText"/>
        <w:spacing w:line="276" w:lineRule="auto"/>
        <w:ind w:left="479" w:right="476"/>
        <w:jc w:val="both"/>
      </w:pPr>
      <w:r>
        <w:t>But,</w:t>
      </w:r>
      <w:r>
        <w:rPr>
          <w:spacing w:val="-13"/>
        </w:rPr>
        <w:t xml:space="preserve"> </w:t>
      </w:r>
      <w:r>
        <w:t>in</w:t>
      </w:r>
      <w:r>
        <w:rPr>
          <w:spacing w:val="-12"/>
        </w:rPr>
        <w:t xml:space="preserve"> </w:t>
      </w:r>
      <w:r>
        <w:t>order</w:t>
      </w:r>
      <w:r>
        <w:rPr>
          <w:spacing w:val="-13"/>
        </w:rPr>
        <w:t xml:space="preserve"> </w:t>
      </w:r>
      <w:r>
        <w:t>to</w:t>
      </w:r>
      <w:r>
        <w:rPr>
          <w:spacing w:val="-12"/>
        </w:rPr>
        <w:t xml:space="preserve"> </w:t>
      </w:r>
      <w:r>
        <w:t>do</w:t>
      </w:r>
      <w:r>
        <w:rPr>
          <w:spacing w:val="-13"/>
        </w:rPr>
        <w:t xml:space="preserve"> </w:t>
      </w:r>
      <w:r>
        <w:t>so,</w:t>
      </w:r>
      <w:r>
        <w:rPr>
          <w:spacing w:val="-12"/>
        </w:rPr>
        <w:t xml:space="preserve"> </w:t>
      </w:r>
      <w:r>
        <w:t>the</w:t>
      </w:r>
      <w:r>
        <w:rPr>
          <w:spacing w:val="-13"/>
        </w:rPr>
        <w:t xml:space="preserve"> </w:t>
      </w:r>
      <w:r>
        <w:t>Commonwealth</w:t>
      </w:r>
      <w:r>
        <w:rPr>
          <w:spacing w:val="-12"/>
        </w:rPr>
        <w:t xml:space="preserve"> </w:t>
      </w:r>
      <w:r>
        <w:t>must</w:t>
      </w:r>
      <w:r>
        <w:rPr>
          <w:spacing w:val="-12"/>
        </w:rPr>
        <w:t xml:space="preserve"> </w:t>
      </w:r>
      <w:r>
        <w:t>continuously</w:t>
      </w:r>
      <w:r>
        <w:rPr>
          <w:spacing w:val="-13"/>
        </w:rPr>
        <w:t xml:space="preserve"> </w:t>
      </w:r>
      <w:r>
        <w:t>address</w:t>
      </w:r>
      <w:r>
        <w:rPr>
          <w:spacing w:val="-12"/>
        </w:rPr>
        <w:t xml:space="preserve"> </w:t>
      </w:r>
      <w:r>
        <w:t>its</w:t>
      </w:r>
      <w:r>
        <w:rPr>
          <w:spacing w:val="-13"/>
        </w:rPr>
        <w:t xml:space="preserve"> </w:t>
      </w:r>
      <w:r>
        <w:t>own</w:t>
      </w:r>
      <w:r>
        <w:rPr>
          <w:spacing w:val="-12"/>
        </w:rPr>
        <w:t xml:space="preserve"> </w:t>
      </w:r>
      <w:r>
        <w:t>negligence</w:t>
      </w:r>
      <w:r>
        <w:rPr>
          <w:spacing w:val="-13"/>
        </w:rPr>
        <w:t xml:space="preserve"> </w:t>
      </w:r>
      <w:r>
        <w:t>towards</w:t>
      </w:r>
      <w:r>
        <w:rPr>
          <w:spacing w:val="-12"/>
        </w:rPr>
        <w:t xml:space="preserve"> </w:t>
      </w:r>
      <w:r>
        <w:t>ensuring comprehensive care for LGBTQ youth. Massachusetts General Law Chapter 76 section 5 explicitly states “No</w:t>
      </w:r>
      <w:r>
        <w:rPr>
          <w:spacing w:val="-11"/>
        </w:rPr>
        <w:t xml:space="preserve"> </w:t>
      </w:r>
      <w:r>
        <w:t>person</w:t>
      </w:r>
      <w:r>
        <w:rPr>
          <w:spacing w:val="-11"/>
        </w:rPr>
        <w:t xml:space="preserve"> </w:t>
      </w:r>
      <w:r>
        <w:t>shall</w:t>
      </w:r>
      <w:r>
        <w:rPr>
          <w:spacing w:val="-11"/>
        </w:rPr>
        <w:t xml:space="preserve"> </w:t>
      </w:r>
      <w:r>
        <w:t>be</w:t>
      </w:r>
      <w:r>
        <w:rPr>
          <w:spacing w:val="-2"/>
        </w:rPr>
        <w:t xml:space="preserve"> </w:t>
      </w:r>
      <w:r>
        <w:rPr>
          <w:u w:val="single"/>
        </w:rPr>
        <w:t>excluded</w:t>
      </w:r>
      <w:r>
        <w:rPr>
          <w:spacing w:val="-12"/>
          <w:u w:val="single"/>
        </w:rPr>
        <w:t xml:space="preserve"> </w:t>
      </w:r>
      <w:r>
        <w:rPr>
          <w:u w:val="single"/>
        </w:rPr>
        <w:t>from</w:t>
      </w:r>
      <w:r>
        <w:rPr>
          <w:spacing w:val="-10"/>
          <w:u w:val="single"/>
        </w:rPr>
        <w:t xml:space="preserve"> </w:t>
      </w:r>
      <w:r>
        <w:rPr>
          <w:u w:val="single"/>
        </w:rPr>
        <w:t>or</w:t>
      </w:r>
      <w:r>
        <w:rPr>
          <w:spacing w:val="-11"/>
          <w:u w:val="single"/>
        </w:rPr>
        <w:t xml:space="preserve"> </w:t>
      </w:r>
      <w:r>
        <w:rPr>
          <w:u w:val="single"/>
        </w:rPr>
        <w:t>discriminated</w:t>
      </w:r>
      <w:r>
        <w:rPr>
          <w:spacing w:val="-12"/>
          <w:u w:val="single"/>
        </w:rPr>
        <w:t xml:space="preserve"> </w:t>
      </w:r>
      <w:r>
        <w:rPr>
          <w:u w:val="single"/>
        </w:rPr>
        <w:t>against</w:t>
      </w:r>
      <w:r>
        <w:rPr>
          <w:spacing w:val="-3"/>
        </w:rPr>
        <w:t xml:space="preserve"> </w:t>
      </w:r>
      <w:r>
        <w:t>in</w:t>
      </w:r>
      <w:r>
        <w:rPr>
          <w:spacing w:val="-10"/>
        </w:rPr>
        <w:t xml:space="preserve"> </w:t>
      </w:r>
      <w:r>
        <w:t>admission</w:t>
      </w:r>
      <w:r>
        <w:rPr>
          <w:spacing w:val="-12"/>
        </w:rPr>
        <w:t xml:space="preserve"> </w:t>
      </w:r>
      <w:r>
        <w:t>to</w:t>
      </w:r>
      <w:r>
        <w:rPr>
          <w:spacing w:val="-11"/>
        </w:rPr>
        <w:t xml:space="preserve"> </w:t>
      </w:r>
      <w:r>
        <w:t>a</w:t>
      </w:r>
      <w:r>
        <w:rPr>
          <w:spacing w:val="-10"/>
        </w:rPr>
        <w:t xml:space="preserve"> </w:t>
      </w:r>
      <w:r>
        <w:t>public</w:t>
      </w:r>
      <w:r>
        <w:rPr>
          <w:spacing w:val="-11"/>
        </w:rPr>
        <w:t xml:space="preserve"> </w:t>
      </w:r>
      <w:r>
        <w:t>school</w:t>
      </w:r>
      <w:r>
        <w:rPr>
          <w:spacing w:val="-11"/>
        </w:rPr>
        <w:t xml:space="preserve"> </w:t>
      </w:r>
      <w:r>
        <w:t>of</w:t>
      </w:r>
      <w:r>
        <w:rPr>
          <w:spacing w:val="-10"/>
        </w:rPr>
        <w:t xml:space="preserve"> </w:t>
      </w:r>
      <w:r>
        <w:t>any</w:t>
      </w:r>
      <w:r>
        <w:rPr>
          <w:spacing w:val="-11"/>
        </w:rPr>
        <w:t xml:space="preserve"> </w:t>
      </w:r>
      <w:r>
        <w:t>town,</w:t>
      </w:r>
      <w:r>
        <w:rPr>
          <w:spacing w:val="-3"/>
        </w:rPr>
        <w:t xml:space="preserve"> </w:t>
      </w:r>
      <w:r>
        <w:rPr>
          <w:u w:val="single"/>
        </w:rPr>
        <w:t>or</w:t>
      </w:r>
      <w:r>
        <w:t xml:space="preserve"> </w:t>
      </w:r>
      <w:r>
        <w:rPr>
          <w:u w:val="single"/>
        </w:rPr>
        <w:t>in obtaining the advantages, privileges and courses of study of such public school on account of race,</w:t>
      </w:r>
      <w:r>
        <w:t xml:space="preserve"> </w:t>
      </w:r>
      <w:r>
        <w:rPr>
          <w:u w:val="single"/>
        </w:rPr>
        <w:t>color, sex, gender identity, religion, national origin or sexual orientation.”</w:t>
      </w:r>
      <w:r>
        <w:rPr>
          <w:spacing w:val="-2"/>
        </w:rPr>
        <w:t xml:space="preserve"> </w:t>
      </w:r>
      <w:r>
        <w:t xml:space="preserve">Yet, even within this state, </w:t>
      </w:r>
      <w:r>
        <w:t>we must acknowledge that there is an onslaught of people opposing intersectional and inclusive education; education that speaks to the deep and complex history of this country, and provides much needed representation for LGBTQ and QTBIPOC youth in the Comm</w:t>
      </w:r>
      <w:r>
        <w:t>onwealth. By ignoring these attacks, we unintentionally</w:t>
      </w:r>
      <w:r>
        <w:rPr>
          <w:spacing w:val="-7"/>
        </w:rPr>
        <w:t xml:space="preserve"> </w:t>
      </w:r>
      <w:r>
        <w:t>send</w:t>
      </w:r>
      <w:r>
        <w:rPr>
          <w:spacing w:val="-6"/>
        </w:rPr>
        <w:t xml:space="preserve"> </w:t>
      </w:r>
      <w:r>
        <w:t>a</w:t>
      </w:r>
      <w:r>
        <w:rPr>
          <w:spacing w:val="-5"/>
        </w:rPr>
        <w:t xml:space="preserve"> </w:t>
      </w:r>
      <w:r>
        <w:t>poignant</w:t>
      </w:r>
      <w:r>
        <w:rPr>
          <w:spacing w:val="-6"/>
        </w:rPr>
        <w:t xml:space="preserve"> </w:t>
      </w:r>
      <w:r>
        <w:t>message</w:t>
      </w:r>
      <w:r>
        <w:rPr>
          <w:spacing w:val="-6"/>
        </w:rPr>
        <w:t xml:space="preserve"> </w:t>
      </w:r>
      <w:r>
        <w:t>to</w:t>
      </w:r>
      <w:r>
        <w:rPr>
          <w:spacing w:val="-6"/>
        </w:rPr>
        <w:t xml:space="preserve"> </w:t>
      </w:r>
      <w:r>
        <w:t>our</w:t>
      </w:r>
      <w:r>
        <w:rPr>
          <w:spacing w:val="-5"/>
        </w:rPr>
        <w:t xml:space="preserve"> </w:t>
      </w:r>
      <w:r>
        <w:t>youth</w:t>
      </w:r>
      <w:r>
        <w:rPr>
          <w:spacing w:val="-7"/>
        </w:rPr>
        <w:t xml:space="preserve"> </w:t>
      </w:r>
      <w:r>
        <w:t>that</w:t>
      </w:r>
      <w:r>
        <w:rPr>
          <w:spacing w:val="-6"/>
        </w:rPr>
        <w:t xml:space="preserve"> </w:t>
      </w:r>
      <w:r>
        <w:t>–</w:t>
      </w:r>
      <w:r>
        <w:rPr>
          <w:spacing w:val="-7"/>
        </w:rPr>
        <w:t xml:space="preserve"> </w:t>
      </w:r>
      <w:r>
        <w:t>while</w:t>
      </w:r>
      <w:r>
        <w:rPr>
          <w:spacing w:val="-5"/>
        </w:rPr>
        <w:t xml:space="preserve"> </w:t>
      </w:r>
      <w:r>
        <w:t>those</w:t>
      </w:r>
      <w:r>
        <w:rPr>
          <w:spacing w:val="-5"/>
        </w:rPr>
        <w:t xml:space="preserve"> </w:t>
      </w:r>
      <w:r>
        <w:t>in</w:t>
      </w:r>
      <w:r>
        <w:rPr>
          <w:spacing w:val="-5"/>
        </w:rPr>
        <w:t xml:space="preserve"> </w:t>
      </w:r>
      <w:r>
        <w:t>power</w:t>
      </w:r>
      <w:r>
        <w:rPr>
          <w:spacing w:val="-6"/>
        </w:rPr>
        <w:t xml:space="preserve"> </w:t>
      </w:r>
      <w:r>
        <w:t>know</w:t>
      </w:r>
      <w:r>
        <w:rPr>
          <w:spacing w:val="-5"/>
        </w:rPr>
        <w:t xml:space="preserve"> </w:t>
      </w:r>
      <w:r>
        <w:t>of</w:t>
      </w:r>
      <w:r>
        <w:rPr>
          <w:spacing w:val="-6"/>
        </w:rPr>
        <w:t xml:space="preserve"> </w:t>
      </w:r>
      <w:r>
        <w:t>their</w:t>
      </w:r>
      <w:r>
        <w:rPr>
          <w:spacing w:val="-6"/>
        </w:rPr>
        <w:t xml:space="preserve"> </w:t>
      </w:r>
      <w:r>
        <w:t>suffering</w:t>
      </w:r>
    </w:p>
    <w:p w:rsidR="00C76E6D" w:rsidRDefault="00913831">
      <w:pPr>
        <w:pStyle w:val="BodyText"/>
        <w:spacing w:before="1" w:line="276" w:lineRule="auto"/>
        <w:ind w:left="481" w:right="477" w:hanging="1"/>
        <w:jc w:val="both"/>
      </w:pPr>
      <w:r>
        <w:t>– there is little care and attention to the necessary work to protect the health, safety, and well-being of you</w:t>
      </w:r>
      <w:r>
        <w:t>th in this state.</w:t>
      </w:r>
    </w:p>
    <w:p w:rsidR="00C76E6D" w:rsidRDefault="00C76E6D">
      <w:pPr>
        <w:pStyle w:val="BodyText"/>
        <w:spacing w:before="3"/>
        <w:rPr>
          <w:sz w:val="25"/>
        </w:rPr>
      </w:pPr>
    </w:p>
    <w:p w:rsidR="00C76E6D" w:rsidRDefault="00913831">
      <w:pPr>
        <w:pStyle w:val="BodyText"/>
        <w:spacing w:line="276" w:lineRule="auto"/>
        <w:ind w:left="478" w:right="477" w:firstLine="1"/>
        <w:jc w:val="both"/>
      </w:pPr>
      <w:r>
        <w:t>Now</w:t>
      </w:r>
      <w:r>
        <w:rPr>
          <w:spacing w:val="-3"/>
        </w:rPr>
        <w:t xml:space="preserve"> </w:t>
      </w:r>
      <w:r>
        <w:t>for</w:t>
      </w:r>
      <w:r>
        <w:rPr>
          <w:spacing w:val="-3"/>
        </w:rPr>
        <w:t xml:space="preserve"> </w:t>
      </w:r>
      <w:r>
        <w:t>30</w:t>
      </w:r>
      <w:r>
        <w:rPr>
          <w:spacing w:val="-3"/>
        </w:rPr>
        <w:t xml:space="preserve"> </w:t>
      </w:r>
      <w:r>
        <w:t>years,</w:t>
      </w:r>
      <w:r>
        <w:rPr>
          <w:spacing w:val="-3"/>
        </w:rPr>
        <w:t xml:space="preserve"> </w:t>
      </w:r>
      <w:r>
        <w:t>the</w:t>
      </w:r>
      <w:r>
        <w:rPr>
          <w:spacing w:val="-3"/>
        </w:rPr>
        <w:t xml:space="preserve"> </w:t>
      </w:r>
      <w:r>
        <w:t>Commission</w:t>
      </w:r>
      <w:r>
        <w:rPr>
          <w:spacing w:val="-3"/>
        </w:rPr>
        <w:t xml:space="preserve"> </w:t>
      </w:r>
      <w:r>
        <w:t>has</w:t>
      </w:r>
      <w:r>
        <w:rPr>
          <w:spacing w:val="-3"/>
        </w:rPr>
        <w:t xml:space="preserve"> </w:t>
      </w:r>
      <w:r>
        <w:t>had</w:t>
      </w:r>
      <w:r>
        <w:rPr>
          <w:spacing w:val="-3"/>
        </w:rPr>
        <w:t xml:space="preserve"> </w:t>
      </w:r>
      <w:r>
        <w:t>the</w:t>
      </w:r>
      <w:r>
        <w:rPr>
          <w:spacing w:val="-3"/>
        </w:rPr>
        <w:t xml:space="preserve"> </w:t>
      </w:r>
      <w:r>
        <w:t>honor</w:t>
      </w:r>
      <w:r>
        <w:rPr>
          <w:spacing w:val="-3"/>
        </w:rPr>
        <w:t xml:space="preserve"> </w:t>
      </w:r>
      <w:r>
        <w:t>of</w:t>
      </w:r>
      <w:r>
        <w:rPr>
          <w:spacing w:val="-3"/>
        </w:rPr>
        <w:t xml:space="preserve"> </w:t>
      </w:r>
      <w:r>
        <w:t>working</w:t>
      </w:r>
      <w:r>
        <w:rPr>
          <w:spacing w:val="-3"/>
        </w:rPr>
        <w:t xml:space="preserve"> </w:t>
      </w:r>
      <w:r>
        <w:t>with</w:t>
      </w:r>
      <w:r>
        <w:rPr>
          <w:spacing w:val="-2"/>
        </w:rPr>
        <w:t xml:space="preserve"> </w:t>
      </w:r>
      <w:r>
        <w:t>many,</w:t>
      </w:r>
      <w:r>
        <w:rPr>
          <w:spacing w:val="-1"/>
        </w:rPr>
        <w:t xml:space="preserve"> </w:t>
      </w:r>
      <w:r>
        <w:t>many</w:t>
      </w:r>
      <w:r>
        <w:rPr>
          <w:spacing w:val="-3"/>
        </w:rPr>
        <w:t xml:space="preserve"> </w:t>
      </w:r>
      <w:r>
        <w:t>advocates,</w:t>
      </w:r>
      <w:r>
        <w:rPr>
          <w:spacing w:val="-3"/>
        </w:rPr>
        <w:t xml:space="preserve"> </w:t>
      </w:r>
      <w:r>
        <w:t>legislators, parents, teachers, and administrators who care deeply for youth, and commends their important work thus far to protecting LGBTQ youth. With their help, the Commonwealth has become a leader in model legislation in regards to our laws and polici</w:t>
      </w:r>
      <w:r>
        <w:t>es which have proven to improve outcomes for LGBTQ youth, including our expansive anti-discrimination protections for sexual orientation and gender identity; comprehensive anti-bullying laws; and nonbinary gender markers in schools, agencies, and state ide</w:t>
      </w:r>
      <w:r>
        <w:t>ntification. Recent legislation filed to call for Massachusetts to become a sanctuary state for transgender</w:t>
      </w:r>
      <w:r>
        <w:rPr>
          <w:spacing w:val="-10"/>
        </w:rPr>
        <w:t xml:space="preserve"> </w:t>
      </w:r>
      <w:r>
        <w:t>and</w:t>
      </w:r>
      <w:r>
        <w:rPr>
          <w:spacing w:val="-12"/>
        </w:rPr>
        <w:t xml:space="preserve"> </w:t>
      </w:r>
      <w:r>
        <w:t>gender</w:t>
      </w:r>
      <w:r>
        <w:rPr>
          <w:spacing w:val="-10"/>
        </w:rPr>
        <w:t xml:space="preserve"> </w:t>
      </w:r>
      <w:r>
        <w:t>expansive</w:t>
      </w:r>
      <w:r>
        <w:rPr>
          <w:spacing w:val="-12"/>
        </w:rPr>
        <w:t xml:space="preserve"> </w:t>
      </w:r>
      <w:r>
        <w:t>youth</w:t>
      </w:r>
      <w:r>
        <w:rPr>
          <w:spacing w:val="-12"/>
        </w:rPr>
        <w:t xml:space="preserve"> </w:t>
      </w:r>
      <w:r>
        <w:t>is</w:t>
      </w:r>
      <w:r>
        <w:rPr>
          <w:spacing w:val="-11"/>
        </w:rPr>
        <w:t xml:space="preserve"> </w:t>
      </w:r>
      <w:r>
        <w:t>essential</w:t>
      </w:r>
      <w:r>
        <w:rPr>
          <w:spacing w:val="-10"/>
        </w:rPr>
        <w:t xml:space="preserve"> </w:t>
      </w:r>
      <w:r>
        <w:t>to</w:t>
      </w:r>
      <w:r>
        <w:rPr>
          <w:spacing w:val="-11"/>
        </w:rPr>
        <w:t xml:space="preserve"> </w:t>
      </w:r>
      <w:r>
        <w:t>empowering</w:t>
      </w:r>
      <w:r>
        <w:rPr>
          <w:spacing w:val="-12"/>
        </w:rPr>
        <w:t xml:space="preserve"> </w:t>
      </w:r>
      <w:r>
        <w:t>and</w:t>
      </w:r>
      <w:r>
        <w:rPr>
          <w:spacing w:val="-12"/>
        </w:rPr>
        <w:t xml:space="preserve"> </w:t>
      </w:r>
      <w:r>
        <w:t>providing</w:t>
      </w:r>
      <w:r>
        <w:rPr>
          <w:spacing w:val="-12"/>
        </w:rPr>
        <w:t xml:space="preserve"> </w:t>
      </w:r>
      <w:r>
        <w:t>safety</w:t>
      </w:r>
      <w:r>
        <w:rPr>
          <w:spacing w:val="-10"/>
        </w:rPr>
        <w:t xml:space="preserve"> </w:t>
      </w:r>
      <w:r>
        <w:t>for</w:t>
      </w:r>
      <w:r>
        <w:rPr>
          <w:spacing w:val="-10"/>
        </w:rPr>
        <w:t xml:space="preserve"> </w:t>
      </w:r>
      <w:r>
        <w:t>these</w:t>
      </w:r>
      <w:r>
        <w:rPr>
          <w:spacing w:val="-10"/>
        </w:rPr>
        <w:t xml:space="preserve"> </w:t>
      </w:r>
      <w:r>
        <w:t xml:space="preserve">deeply underserved youth and families. The Commission implores </w:t>
      </w:r>
      <w:r>
        <w:t>the legislature to continue this critical work, and</w:t>
      </w:r>
      <w:r>
        <w:rPr>
          <w:spacing w:val="-8"/>
        </w:rPr>
        <w:t xml:space="preserve"> </w:t>
      </w:r>
      <w:r>
        <w:t>continue</w:t>
      </w:r>
      <w:r>
        <w:rPr>
          <w:spacing w:val="-7"/>
        </w:rPr>
        <w:t xml:space="preserve"> </w:t>
      </w:r>
      <w:r>
        <w:t>to</w:t>
      </w:r>
      <w:r>
        <w:rPr>
          <w:spacing w:val="-7"/>
        </w:rPr>
        <w:t xml:space="preserve"> </w:t>
      </w:r>
      <w:r>
        <w:t>support</w:t>
      </w:r>
      <w:r>
        <w:rPr>
          <w:spacing w:val="-8"/>
        </w:rPr>
        <w:t xml:space="preserve"> </w:t>
      </w:r>
      <w:r>
        <w:t>its</w:t>
      </w:r>
      <w:r>
        <w:rPr>
          <w:spacing w:val="-7"/>
        </w:rPr>
        <w:t xml:space="preserve"> </w:t>
      </w:r>
      <w:r>
        <w:t>work</w:t>
      </w:r>
      <w:r>
        <w:rPr>
          <w:spacing w:val="-8"/>
        </w:rPr>
        <w:t xml:space="preserve"> </w:t>
      </w:r>
      <w:r>
        <w:t>in</w:t>
      </w:r>
      <w:r>
        <w:rPr>
          <w:spacing w:val="-7"/>
        </w:rPr>
        <w:t xml:space="preserve"> </w:t>
      </w:r>
      <w:r>
        <w:t>creating</w:t>
      </w:r>
      <w:r>
        <w:rPr>
          <w:spacing w:val="-8"/>
        </w:rPr>
        <w:t xml:space="preserve"> </w:t>
      </w:r>
      <w:r>
        <w:t>brave</w:t>
      </w:r>
      <w:r>
        <w:rPr>
          <w:spacing w:val="-8"/>
        </w:rPr>
        <w:t xml:space="preserve"> </w:t>
      </w:r>
      <w:r>
        <w:t>and</w:t>
      </w:r>
      <w:r>
        <w:rPr>
          <w:spacing w:val="-7"/>
        </w:rPr>
        <w:t xml:space="preserve"> </w:t>
      </w:r>
      <w:r>
        <w:t>nurturing</w:t>
      </w:r>
      <w:r>
        <w:rPr>
          <w:spacing w:val="-8"/>
        </w:rPr>
        <w:t xml:space="preserve"> </w:t>
      </w:r>
      <w:r>
        <w:t>spaces</w:t>
      </w:r>
      <w:r>
        <w:rPr>
          <w:spacing w:val="-7"/>
        </w:rPr>
        <w:t xml:space="preserve"> </w:t>
      </w:r>
      <w:r>
        <w:t>and</w:t>
      </w:r>
      <w:r>
        <w:rPr>
          <w:spacing w:val="-7"/>
        </w:rPr>
        <w:t xml:space="preserve"> </w:t>
      </w:r>
      <w:r>
        <w:t>communities</w:t>
      </w:r>
      <w:r>
        <w:rPr>
          <w:spacing w:val="-7"/>
        </w:rPr>
        <w:t xml:space="preserve"> </w:t>
      </w:r>
      <w:r>
        <w:t>where</w:t>
      </w:r>
      <w:r>
        <w:rPr>
          <w:spacing w:val="-8"/>
        </w:rPr>
        <w:t xml:space="preserve"> </w:t>
      </w:r>
      <w:r>
        <w:t>all</w:t>
      </w:r>
      <w:r>
        <w:rPr>
          <w:spacing w:val="-8"/>
        </w:rPr>
        <w:t xml:space="preserve"> </w:t>
      </w:r>
      <w:r>
        <w:t xml:space="preserve">youth </w:t>
      </w:r>
      <w:r>
        <w:rPr>
          <w:spacing w:val="-2"/>
        </w:rPr>
        <w:t>thrive.</w:t>
      </w:r>
    </w:p>
    <w:p w:rsidR="00C76E6D" w:rsidRDefault="00C76E6D">
      <w:pPr>
        <w:pStyle w:val="BodyText"/>
        <w:spacing w:before="3"/>
        <w:rPr>
          <w:sz w:val="25"/>
        </w:rPr>
      </w:pPr>
    </w:p>
    <w:p w:rsidR="00C76E6D" w:rsidRDefault="00913831">
      <w:pPr>
        <w:pStyle w:val="BodyText"/>
        <w:spacing w:line="276" w:lineRule="auto"/>
        <w:ind w:left="480" w:right="477" w:hanging="2"/>
        <w:jc w:val="both"/>
      </w:pPr>
      <w:r>
        <w:t>Additionally, to free everyone, we must free the most marginalized person in the room. Those with multiple</w:t>
      </w:r>
      <w:r>
        <w:rPr>
          <w:spacing w:val="-2"/>
        </w:rPr>
        <w:t xml:space="preserve"> </w:t>
      </w:r>
      <w:r>
        <w:t>intersecting</w:t>
      </w:r>
      <w:r>
        <w:rPr>
          <w:spacing w:val="-3"/>
        </w:rPr>
        <w:t xml:space="preserve"> </w:t>
      </w:r>
      <w:r>
        <w:t>identities</w:t>
      </w:r>
      <w:r>
        <w:rPr>
          <w:spacing w:val="-2"/>
        </w:rPr>
        <w:t xml:space="preserve"> </w:t>
      </w:r>
      <w:r>
        <w:t>have</w:t>
      </w:r>
      <w:r>
        <w:rPr>
          <w:spacing w:val="-1"/>
        </w:rPr>
        <w:t xml:space="preserve"> </w:t>
      </w:r>
      <w:r>
        <w:t>often</w:t>
      </w:r>
      <w:r>
        <w:rPr>
          <w:spacing w:val="-3"/>
        </w:rPr>
        <w:t xml:space="preserve"> </w:t>
      </w:r>
      <w:r>
        <w:t>been</w:t>
      </w:r>
      <w:r>
        <w:rPr>
          <w:spacing w:val="-2"/>
        </w:rPr>
        <w:t xml:space="preserve"> </w:t>
      </w:r>
      <w:r>
        <w:t>disregarded</w:t>
      </w:r>
      <w:r>
        <w:rPr>
          <w:spacing w:val="-2"/>
        </w:rPr>
        <w:t xml:space="preserve"> </w:t>
      </w:r>
      <w:r>
        <w:t>due</w:t>
      </w:r>
      <w:r>
        <w:rPr>
          <w:spacing w:val="-2"/>
        </w:rPr>
        <w:t xml:space="preserve"> </w:t>
      </w:r>
      <w:r>
        <w:t>to the</w:t>
      </w:r>
      <w:r>
        <w:rPr>
          <w:spacing w:val="-2"/>
        </w:rPr>
        <w:t xml:space="preserve"> </w:t>
      </w:r>
      <w:r>
        <w:t>systemic</w:t>
      </w:r>
      <w:r>
        <w:rPr>
          <w:spacing w:val="-2"/>
        </w:rPr>
        <w:t xml:space="preserve"> </w:t>
      </w:r>
      <w:r>
        <w:t>and</w:t>
      </w:r>
      <w:r>
        <w:rPr>
          <w:spacing w:val="-3"/>
        </w:rPr>
        <w:t xml:space="preserve"> </w:t>
      </w:r>
      <w:r>
        <w:t>insidious</w:t>
      </w:r>
      <w:r>
        <w:rPr>
          <w:spacing w:val="-1"/>
        </w:rPr>
        <w:t xml:space="preserve"> </w:t>
      </w:r>
      <w:r>
        <w:t>structures of</w:t>
      </w:r>
      <w:r>
        <w:rPr>
          <w:spacing w:val="23"/>
        </w:rPr>
        <w:t xml:space="preserve"> </w:t>
      </w:r>
      <w:r>
        <w:t>white</w:t>
      </w:r>
      <w:r>
        <w:rPr>
          <w:spacing w:val="23"/>
        </w:rPr>
        <w:t xml:space="preserve"> </w:t>
      </w:r>
      <w:r>
        <w:t>supremacy</w:t>
      </w:r>
      <w:r>
        <w:rPr>
          <w:spacing w:val="23"/>
        </w:rPr>
        <w:t xml:space="preserve"> </w:t>
      </w:r>
      <w:r>
        <w:t>within</w:t>
      </w:r>
      <w:r>
        <w:rPr>
          <w:spacing w:val="22"/>
        </w:rPr>
        <w:t xml:space="preserve"> </w:t>
      </w:r>
      <w:r>
        <w:t>this</w:t>
      </w:r>
      <w:r>
        <w:rPr>
          <w:spacing w:val="24"/>
        </w:rPr>
        <w:t xml:space="preserve"> </w:t>
      </w:r>
      <w:r>
        <w:t>country,</w:t>
      </w:r>
      <w:r>
        <w:rPr>
          <w:spacing w:val="23"/>
        </w:rPr>
        <w:t xml:space="preserve"> </w:t>
      </w:r>
      <w:r>
        <w:t>and</w:t>
      </w:r>
      <w:r>
        <w:rPr>
          <w:spacing w:val="22"/>
        </w:rPr>
        <w:t xml:space="preserve"> </w:t>
      </w:r>
      <w:r>
        <w:t>the</w:t>
      </w:r>
      <w:r>
        <w:rPr>
          <w:spacing w:val="24"/>
        </w:rPr>
        <w:t xml:space="preserve"> </w:t>
      </w:r>
      <w:r>
        <w:t>state</w:t>
      </w:r>
      <w:r>
        <w:rPr>
          <w:spacing w:val="23"/>
        </w:rPr>
        <w:t xml:space="preserve"> </w:t>
      </w:r>
      <w:r>
        <w:t>of</w:t>
      </w:r>
      <w:r>
        <w:rPr>
          <w:spacing w:val="23"/>
        </w:rPr>
        <w:t xml:space="preserve"> </w:t>
      </w:r>
      <w:r>
        <w:t>Massachusetts.</w:t>
      </w:r>
      <w:r>
        <w:rPr>
          <w:spacing w:val="23"/>
        </w:rPr>
        <w:t xml:space="preserve"> </w:t>
      </w:r>
      <w:r>
        <w:t>We,</w:t>
      </w:r>
      <w:r>
        <w:rPr>
          <w:spacing w:val="23"/>
        </w:rPr>
        <w:t xml:space="preserve"> </w:t>
      </w:r>
      <w:r>
        <w:t>as</w:t>
      </w:r>
      <w:r>
        <w:rPr>
          <w:spacing w:val="23"/>
        </w:rPr>
        <w:t xml:space="preserve"> </w:t>
      </w:r>
      <w:r>
        <w:t>the</w:t>
      </w:r>
      <w:r>
        <w:rPr>
          <w:spacing w:val="22"/>
        </w:rPr>
        <w:t xml:space="preserve"> </w:t>
      </w:r>
      <w:r>
        <w:t>Commission</w:t>
      </w:r>
      <w:r>
        <w:rPr>
          <w:spacing w:val="23"/>
        </w:rPr>
        <w:t xml:space="preserve"> </w:t>
      </w:r>
      <w:r>
        <w:t>and</w:t>
      </w:r>
    </w:p>
    <w:p w:rsidR="00C76E6D" w:rsidRDefault="00C76E6D">
      <w:pPr>
        <w:spacing w:line="276" w:lineRule="auto"/>
        <w:jc w:val="both"/>
        <w:sectPr w:rsidR="00C76E6D">
          <w:pgSz w:w="12240" w:h="15840"/>
          <w:pgMar w:top="940" w:right="960" w:bottom="280" w:left="960" w:header="759" w:footer="0" w:gutter="0"/>
          <w:cols w:space="720"/>
        </w:sectPr>
      </w:pPr>
    </w:p>
    <w:p w:rsidR="00C76E6D" w:rsidRDefault="00C76E6D">
      <w:pPr>
        <w:pStyle w:val="BodyText"/>
        <w:rPr>
          <w:sz w:val="20"/>
        </w:rPr>
      </w:pPr>
    </w:p>
    <w:p w:rsidR="00C76E6D" w:rsidRDefault="00C76E6D">
      <w:pPr>
        <w:pStyle w:val="BodyText"/>
        <w:spacing w:before="9"/>
        <w:rPr>
          <w:sz w:val="14"/>
        </w:rPr>
      </w:pPr>
    </w:p>
    <w:p w:rsidR="00C76E6D" w:rsidRDefault="00913831">
      <w:pPr>
        <w:pStyle w:val="BodyText"/>
        <w:spacing w:before="55" w:line="276" w:lineRule="auto"/>
        <w:ind w:left="479" w:right="478"/>
        <w:jc w:val="both"/>
      </w:pPr>
      <w:r>
        <w:t>people of this country, have to speak truth to power and disavow the heteronormative and racist ideologies</w:t>
      </w:r>
      <w:r>
        <w:rPr>
          <w:spacing w:val="-9"/>
        </w:rPr>
        <w:t xml:space="preserve"> </w:t>
      </w:r>
      <w:r>
        <w:t>that</w:t>
      </w:r>
      <w:r>
        <w:rPr>
          <w:spacing w:val="-11"/>
        </w:rPr>
        <w:t xml:space="preserve"> </w:t>
      </w:r>
      <w:r>
        <w:t>have</w:t>
      </w:r>
      <w:r>
        <w:rPr>
          <w:spacing w:val="-10"/>
        </w:rPr>
        <w:t xml:space="preserve"> </w:t>
      </w:r>
      <w:r>
        <w:t>been</w:t>
      </w:r>
      <w:r>
        <w:rPr>
          <w:spacing w:val="-9"/>
        </w:rPr>
        <w:t xml:space="preserve"> </w:t>
      </w:r>
      <w:r>
        <w:t>cemented</w:t>
      </w:r>
      <w:r>
        <w:rPr>
          <w:spacing w:val="-10"/>
        </w:rPr>
        <w:t xml:space="preserve"> </w:t>
      </w:r>
      <w:r>
        <w:t>into</w:t>
      </w:r>
      <w:r>
        <w:rPr>
          <w:spacing w:val="-10"/>
        </w:rPr>
        <w:t xml:space="preserve"> </w:t>
      </w:r>
      <w:r>
        <w:t>law,</w:t>
      </w:r>
      <w:r>
        <w:rPr>
          <w:spacing w:val="-10"/>
        </w:rPr>
        <w:t xml:space="preserve"> </w:t>
      </w:r>
      <w:r>
        <w:t>and</w:t>
      </w:r>
      <w:r>
        <w:rPr>
          <w:spacing w:val="-10"/>
        </w:rPr>
        <w:t xml:space="preserve"> </w:t>
      </w:r>
      <w:r>
        <w:t>continue</w:t>
      </w:r>
      <w:r>
        <w:rPr>
          <w:spacing w:val="-10"/>
        </w:rPr>
        <w:t xml:space="preserve"> </w:t>
      </w:r>
      <w:r>
        <w:t>to</w:t>
      </w:r>
      <w:r>
        <w:rPr>
          <w:spacing w:val="-10"/>
        </w:rPr>
        <w:t xml:space="preserve"> </w:t>
      </w:r>
      <w:r>
        <w:t>seek</w:t>
      </w:r>
      <w:r>
        <w:rPr>
          <w:spacing w:val="-11"/>
        </w:rPr>
        <w:t xml:space="preserve"> </w:t>
      </w:r>
      <w:r>
        <w:t>new</w:t>
      </w:r>
      <w:r>
        <w:rPr>
          <w:spacing w:val="-9"/>
        </w:rPr>
        <w:t xml:space="preserve"> </w:t>
      </w:r>
      <w:r>
        <w:t>footholds</w:t>
      </w:r>
      <w:r>
        <w:rPr>
          <w:spacing w:val="-10"/>
        </w:rPr>
        <w:t xml:space="preserve"> </w:t>
      </w:r>
      <w:r>
        <w:t>across</w:t>
      </w:r>
      <w:r>
        <w:rPr>
          <w:spacing w:val="-10"/>
        </w:rPr>
        <w:t xml:space="preserve"> </w:t>
      </w:r>
      <w:r>
        <w:t>the</w:t>
      </w:r>
      <w:r>
        <w:rPr>
          <w:spacing w:val="-9"/>
        </w:rPr>
        <w:t xml:space="preserve"> </w:t>
      </w:r>
      <w:r>
        <w:t>cou</w:t>
      </w:r>
      <w:r>
        <w:t>ntry.</w:t>
      </w:r>
      <w:r>
        <w:rPr>
          <w:spacing w:val="-9"/>
        </w:rPr>
        <w:t xml:space="preserve"> </w:t>
      </w:r>
      <w:r>
        <w:t>The MA Commission on LGBTQ Youth will remain relentless and committed to utilizing our voice and power as unabated champions for all LGBTQ youth, their families, and educators across the Commonwealth. Through</w:t>
      </w:r>
      <w:r>
        <w:rPr>
          <w:spacing w:val="-7"/>
        </w:rPr>
        <w:t xml:space="preserve"> </w:t>
      </w:r>
      <w:r>
        <w:t>partnerships,</w:t>
      </w:r>
      <w:r>
        <w:rPr>
          <w:spacing w:val="-7"/>
        </w:rPr>
        <w:t xml:space="preserve"> </w:t>
      </w:r>
      <w:r>
        <w:t>advocacy,</w:t>
      </w:r>
      <w:r>
        <w:rPr>
          <w:spacing w:val="-8"/>
        </w:rPr>
        <w:t xml:space="preserve"> </w:t>
      </w:r>
      <w:r>
        <w:t>love,</w:t>
      </w:r>
      <w:r>
        <w:rPr>
          <w:spacing w:val="-7"/>
        </w:rPr>
        <w:t xml:space="preserve"> </w:t>
      </w:r>
      <w:r>
        <w:t>and</w:t>
      </w:r>
      <w:r>
        <w:rPr>
          <w:spacing w:val="-7"/>
        </w:rPr>
        <w:t xml:space="preserve"> </w:t>
      </w:r>
      <w:r>
        <w:t>pride,</w:t>
      </w:r>
      <w:r>
        <w:rPr>
          <w:spacing w:val="-7"/>
        </w:rPr>
        <w:t xml:space="preserve"> </w:t>
      </w:r>
      <w:r>
        <w:t>our</w:t>
      </w:r>
      <w:r>
        <w:rPr>
          <w:spacing w:val="-5"/>
        </w:rPr>
        <w:t xml:space="preserve"> </w:t>
      </w:r>
      <w:r>
        <w:t>work</w:t>
      </w:r>
      <w:r>
        <w:rPr>
          <w:spacing w:val="-8"/>
        </w:rPr>
        <w:t xml:space="preserve"> </w:t>
      </w:r>
      <w:r>
        <w:t>will</w:t>
      </w:r>
      <w:r>
        <w:rPr>
          <w:spacing w:val="-6"/>
        </w:rPr>
        <w:t xml:space="preserve"> </w:t>
      </w:r>
      <w:r>
        <w:t>expand</w:t>
      </w:r>
      <w:r>
        <w:rPr>
          <w:spacing w:val="-8"/>
        </w:rPr>
        <w:t xml:space="preserve"> </w:t>
      </w:r>
      <w:r>
        <w:t>in</w:t>
      </w:r>
      <w:r>
        <w:rPr>
          <w:spacing w:val="-7"/>
        </w:rPr>
        <w:t xml:space="preserve"> </w:t>
      </w:r>
      <w:r>
        <w:t>the</w:t>
      </w:r>
      <w:r>
        <w:rPr>
          <w:spacing w:val="-7"/>
        </w:rPr>
        <w:t xml:space="preserve"> </w:t>
      </w:r>
      <w:r>
        <w:t>coming</w:t>
      </w:r>
      <w:r>
        <w:rPr>
          <w:spacing w:val="-7"/>
        </w:rPr>
        <w:t xml:space="preserve"> </w:t>
      </w:r>
      <w:r>
        <w:t>fiscal</w:t>
      </w:r>
      <w:r>
        <w:rPr>
          <w:spacing w:val="-8"/>
        </w:rPr>
        <w:t xml:space="preserve"> </w:t>
      </w:r>
      <w:r>
        <w:t>year</w:t>
      </w:r>
      <w:r>
        <w:rPr>
          <w:spacing w:val="-8"/>
        </w:rPr>
        <w:t xml:space="preserve"> </w:t>
      </w:r>
      <w:r>
        <w:t>to</w:t>
      </w:r>
      <w:r>
        <w:rPr>
          <w:spacing w:val="-7"/>
        </w:rPr>
        <w:t xml:space="preserve"> </w:t>
      </w:r>
      <w:r>
        <w:t>protect and uplift each youth at the core of their every intersection.</w:t>
      </w:r>
    </w:p>
    <w:p w:rsidR="00C76E6D" w:rsidRDefault="00C76E6D">
      <w:pPr>
        <w:pStyle w:val="BodyText"/>
        <w:spacing w:before="4"/>
        <w:rPr>
          <w:sz w:val="25"/>
        </w:rPr>
      </w:pPr>
    </w:p>
    <w:p w:rsidR="00C76E6D" w:rsidRDefault="00913831">
      <w:pPr>
        <w:pStyle w:val="BodyText"/>
        <w:spacing w:line="276" w:lineRule="auto"/>
        <w:ind w:left="479" w:right="478" w:firstLine="1"/>
        <w:jc w:val="both"/>
      </w:pPr>
      <w:r>
        <w:t>Within</w:t>
      </w:r>
      <w:r>
        <w:rPr>
          <w:spacing w:val="-9"/>
        </w:rPr>
        <w:t xml:space="preserve"> </w:t>
      </w:r>
      <w:r>
        <w:t>this</w:t>
      </w:r>
      <w:r>
        <w:rPr>
          <w:spacing w:val="-10"/>
        </w:rPr>
        <w:t xml:space="preserve"> </w:t>
      </w:r>
      <w:r>
        <w:t>FY2023</w:t>
      </w:r>
      <w:r>
        <w:rPr>
          <w:spacing w:val="-10"/>
        </w:rPr>
        <w:t xml:space="preserve"> </w:t>
      </w:r>
      <w:r>
        <w:t>report,</w:t>
      </w:r>
      <w:r>
        <w:rPr>
          <w:spacing w:val="-10"/>
        </w:rPr>
        <w:t xml:space="preserve"> </w:t>
      </w:r>
      <w:r>
        <w:t>we</w:t>
      </w:r>
      <w:r>
        <w:rPr>
          <w:spacing w:val="-10"/>
        </w:rPr>
        <w:t xml:space="preserve"> </w:t>
      </w:r>
      <w:r>
        <w:t>provide</w:t>
      </w:r>
      <w:r>
        <w:rPr>
          <w:spacing w:val="-10"/>
        </w:rPr>
        <w:t xml:space="preserve"> </w:t>
      </w:r>
      <w:r>
        <w:t>recommendations</w:t>
      </w:r>
      <w:r>
        <w:rPr>
          <w:spacing w:val="-10"/>
        </w:rPr>
        <w:t xml:space="preserve"> </w:t>
      </w:r>
      <w:r>
        <w:t>now</w:t>
      </w:r>
      <w:r>
        <w:rPr>
          <w:spacing w:val="-10"/>
        </w:rPr>
        <w:t xml:space="preserve"> </w:t>
      </w:r>
      <w:r>
        <w:t>to</w:t>
      </w:r>
      <w:r>
        <w:rPr>
          <w:spacing w:val="-10"/>
        </w:rPr>
        <w:t xml:space="preserve"> </w:t>
      </w:r>
      <w:r>
        <w:t>19</w:t>
      </w:r>
      <w:r>
        <w:rPr>
          <w:spacing w:val="-10"/>
        </w:rPr>
        <w:t xml:space="preserve"> </w:t>
      </w:r>
      <w:r>
        <w:t>state</w:t>
      </w:r>
      <w:r>
        <w:rPr>
          <w:spacing w:val="-10"/>
        </w:rPr>
        <w:t xml:space="preserve"> </w:t>
      </w:r>
      <w:r>
        <w:t>entities,</w:t>
      </w:r>
      <w:r>
        <w:rPr>
          <w:spacing w:val="-10"/>
        </w:rPr>
        <w:t xml:space="preserve"> </w:t>
      </w:r>
      <w:r>
        <w:t>with</w:t>
      </w:r>
      <w:r>
        <w:rPr>
          <w:spacing w:val="-10"/>
        </w:rPr>
        <w:t xml:space="preserve"> </w:t>
      </w:r>
      <w:r>
        <w:t>the</w:t>
      </w:r>
      <w:r>
        <w:rPr>
          <w:spacing w:val="-10"/>
        </w:rPr>
        <w:t xml:space="preserve"> </w:t>
      </w:r>
      <w:r>
        <w:t>addition</w:t>
      </w:r>
      <w:r>
        <w:rPr>
          <w:spacing w:val="-10"/>
        </w:rPr>
        <w:t xml:space="preserve"> </w:t>
      </w:r>
      <w:r>
        <w:t>of</w:t>
      </w:r>
      <w:r>
        <w:rPr>
          <w:spacing w:val="-10"/>
        </w:rPr>
        <w:t xml:space="preserve"> </w:t>
      </w:r>
      <w:r>
        <w:t>the Office</w:t>
      </w:r>
      <w:r>
        <w:rPr>
          <w:spacing w:val="-13"/>
        </w:rPr>
        <w:t xml:space="preserve"> </w:t>
      </w:r>
      <w:r>
        <w:t>of</w:t>
      </w:r>
      <w:r>
        <w:rPr>
          <w:spacing w:val="-12"/>
        </w:rPr>
        <w:t xml:space="preserve"> </w:t>
      </w:r>
      <w:r>
        <w:t>the</w:t>
      </w:r>
      <w:r>
        <w:rPr>
          <w:spacing w:val="-13"/>
        </w:rPr>
        <w:t xml:space="preserve"> </w:t>
      </w:r>
      <w:r>
        <w:t>Child</w:t>
      </w:r>
      <w:r>
        <w:rPr>
          <w:spacing w:val="-12"/>
        </w:rPr>
        <w:t xml:space="preserve"> </w:t>
      </w:r>
      <w:r>
        <w:t>Advocate,</w:t>
      </w:r>
      <w:r>
        <w:rPr>
          <w:spacing w:val="-13"/>
        </w:rPr>
        <w:t xml:space="preserve"> </w:t>
      </w:r>
      <w:r>
        <w:t>and</w:t>
      </w:r>
      <w:r>
        <w:rPr>
          <w:spacing w:val="-12"/>
        </w:rPr>
        <w:t xml:space="preserve"> </w:t>
      </w:r>
      <w:r>
        <w:t>specific</w:t>
      </w:r>
      <w:r>
        <w:rPr>
          <w:spacing w:val="-13"/>
        </w:rPr>
        <w:t xml:space="preserve"> </w:t>
      </w:r>
      <w:r>
        <w:t>legislative</w:t>
      </w:r>
      <w:r>
        <w:rPr>
          <w:spacing w:val="-12"/>
        </w:rPr>
        <w:t xml:space="preserve"> </w:t>
      </w:r>
      <w:r>
        <w:t>recommendations</w:t>
      </w:r>
      <w:r>
        <w:rPr>
          <w:spacing w:val="-12"/>
        </w:rPr>
        <w:t xml:space="preserve"> </w:t>
      </w:r>
      <w:r>
        <w:t>to</w:t>
      </w:r>
      <w:r>
        <w:rPr>
          <w:spacing w:val="-13"/>
        </w:rPr>
        <w:t xml:space="preserve"> </w:t>
      </w:r>
      <w:r>
        <w:t>the</w:t>
      </w:r>
      <w:r>
        <w:rPr>
          <w:spacing w:val="-12"/>
        </w:rPr>
        <w:t xml:space="preserve"> </w:t>
      </w:r>
      <w:r>
        <w:t>State</w:t>
      </w:r>
      <w:r>
        <w:rPr>
          <w:spacing w:val="-13"/>
        </w:rPr>
        <w:t xml:space="preserve"> </w:t>
      </w:r>
      <w:r>
        <w:t>of</w:t>
      </w:r>
      <w:r>
        <w:rPr>
          <w:spacing w:val="-12"/>
        </w:rPr>
        <w:t xml:space="preserve"> </w:t>
      </w:r>
      <w:r>
        <w:t>Massachusetts.</w:t>
      </w:r>
      <w:r>
        <w:rPr>
          <w:spacing w:val="-13"/>
        </w:rPr>
        <w:t xml:space="preserve"> </w:t>
      </w:r>
      <w:r>
        <w:t>Next year, we will add more. As the Commission celebrates 30 years of advocating on the behalf of LGBTQ youth, we also look to renew our focus to hold ourselves, our colleagues, legislators, and agencies accountable</w:t>
      </w:r>
      <w:r>
        <w:rPr>
          <w:spacing w:val="-1"/>
        </w:rPr>
        <w:t xml:space="preserve"> </w:t>
      </w:r>
      <w:r>
        <w:t>to</w:t>
      </w:r>
      <w:r>
        <w:rPr>
          <w:spacing w:val="-1"/>
        </w:rPr>
        <w:t xml:space="preserve"> </w:t>
      </w:r>
      <w:r>
        <w:t>proactive, consistent,</w:t>
      </w:r>
      <w:r>
        <w:rPr>
          <w:spacing w:val="-1"/>
        </w:rPr>
        <w:t xml:space="preserve"> </w:t>
      </w:r>
      <w:r>
        <w:t>and</w:t>
      </w:r>
      <w:r>
        <w:rPr>
          <w:spacing w:val="-2"/>
        </w:rPr>
        <w:t xml:space="preserve"> </w:t>
      </w:r>
      <w:r>
        <w:t>inclusive</w:t>
      </w:r>
      <w:r>
        <w:rPr>
          <w:spacing w:val="-1"/>
        </w:rPr>
        <w:t xml:space="preserve"> </w:t>
      </w:r>
      <w:r>
        <w:t>approaches</w:t>
      </w:r>
      <w:r>
        <w:rPr>
          <w:spacing w:val="-1"/>
        </w:rPr>
        <w:t xml:space="preserve"> </w:t>
      </w:r>
      <w:r>
        <w:t>to</w:t>
      </w:r>
      <w:r>
        <w:rPr>
          <w:spacing w:val="-1"/>
        </w:rPr>
        <w:t xml:space="preserve"> </w:t>
      </w:r>
      <w:r>
        <w:t>service provision</w:t>
      </w:r>
      <w:r>
        <w:rPr>
          <w:spacing w:val="-1"/>
        </w:rPr>
        <w:t xml:space="preserve"> </w:t>
      </w:r>
      <w:r>
        <w:t>to create long-lasting change. As we look to publish new recommendations and special reports on the realities of LGBTQ and QTBIPOC youth in the Commonwealth, we call to action all those in position to make significant change</w:t>
      </w:r>
      <w:r>
        <w:t>s to address the harms and disparities faced by too many in this state.</w:t>
      </w:r>
    </w:p>
    <w:p w:rsidR="00C76E6D" w:rsidRDefault="00913831">
      <w:pPr>
        <w:pStyle w:val="BodyText"/>
        <w:spacing w:before="24" w:line="618" w:lineRule="exact"/>
        <w:ind w:left="480" w:right="5825"/>
      </w:pPr>
      <w:r>
        <w:t>We</w:t>
      </w:r>
      <w:r>
        <w:rPr>
          <w:spacing w:val="-9"/>
        </w:rPr>
        <w:t xml:space="preserve"> </w:t>
      </w:r>
      <w:r>
        <w:t>must</w:t>
      </w:r>
      <w:r>
        <w:rPr>
          <w:spacing w:val="-8"/>
        </w:rPr>
        <w:t xml:space="preserve"> </w:t>
      </w:r>
      <w:r>
        <w:t>commit</w:t>
      </w:r>
      <w:r>
        <w:rPr>
          <w:spacing w:val="-8"/>
        </w:rPr>
        <w:t xml:space="preserve"> </w:t>
      </w:r>
      <w:r>
        <w:t>to</w:t>
      </w:r>
      <w:r>
        <w:rPr>
          <w:spacing w:val="-7"/>
        </w:rPr>
        <w:t xml:space="preserve"> </w:t>
      </w:r>
      <w:r>
        <w:t>become</w:t>
      </w:r>
      <w:r>
        <w:rPr>
          <w:spacing w:val="-9"/>
        </w:rPr>
        <w:t xml:space="preserve"> </w:t>
      </w:r>
      <w:r>
        <w:t xml:space="preserve">united. </w:t>
      </w:r>
      <w:r>
        <w:rPr>
          <w:spacing w:val="-2"/>
        </w:rPr>
        <w:t>Sincerely,</w:t>
      </w:r>
    </w:p>
    <w:p w:rsidR="00C76E6D" w:rsidRDefault="00C76E6D">
      <w:pPr>
        <w:pStyle w:val="BodyText"/>
        <w:spacing w:before="8"/>
        <w:rPr>
          <w:sz w:val="11"/>
        </w:rPr>
      </w:pPr>
    </w:p>
    <w:p w:rsidR="00C76E6D" w:rsidRDefault="00913831">
      <w:pPr>
        <w:tabs>
          <w:tab w:val="left" w:pos="5425"/>
        </w:tabs>
        <w:ind w:left="480"/>
        <w:rPr>
          <w:sz w:val="20"/>
        </w:rPr>
      </w:pPr>
      <w:r>
        <w:rPr>
          <w:noProof/>
          <w:sz w:val="20"/>
        </w:rPr>
        <w:drawing>
          <wp:inline distT="0" distB="0" distL="0" distR="0">
            <wp:extent cx="1451460" cy="571785"/>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4" cstate="print"/>
                    <a:stretch>
                      <a:fillRect/>
                    </a:stretch>
                  </pic:blipFill>
                  <pic:spPr>
                    <a:xfrm>
                      <a:off x="0" y="0"/>
                      <a:ext cx="1451460" cy="571785"/>
                    </a:xfrm>
                    <a:prstGeom prst="rect">
                      <a:avLst/>
                    </a:prstGeom>
                  </pic:spPr>
                </pic:pic>
              </a:graphicData>
            </a:graphic>
          </wp:inline>
        </w:drawing>
      </w:r>
      <w:r>
        <w:rPr>
          <w:sz w:val="20"/>
        </w:rPr>
        <w:tab/>
      </w:r>
      <w:r>
        <w:rPr>
          <w:noProof/>
          <w:position w:val="12"/>
          <w:sz w:val="20"/>
        </w:rPr>
        <w:drawing>
          <wp:inline distT="0" distB="0" distL="0" distR="0">
            <wp:extent cx="1904997" cy="584835"/>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5" cstate="print"/>
                    <a:stretch>
                      <a:fillRect/>
                    </a:stretch>
                  </pic:blipFill>
                  <pic:spPr>
                    <a:xfrm>
                      <a:off x="0" y="0"/>
                      <a:ext cx="1904997" cy="584835"/>
                    </a:xfrm>
                    <a:prstGeom prst="rect">
                      <a:avLst/>
                    </a:prstGeom>
                  </pic:spPr>
                </pic:pic>
              </a:graphicData>
            </a:graphic>
          </wp:inline>
        </w:drawing>
      </w:r>
    </w:p>
    <w:p w:rsidR="00C76E6D" w:rsidRDefault="00C76E6D">
      <w:pPr>
        <w:rPr>
          <w:sz w:val="20"/>
        </w:rPr>
        <w:sectPr w:rsidR="00C76E6D">
          <w:pgSz w:w="12240" w:h="15840"/>
          <w:pgMar w:top="940" w:right="960" w:bottom="280" w:left="960" w:header="759" w:footer="0" w:gutter="0"/>
          <w:cols w:space="720"/>
        </w:sectPr>
      </w:pPr>
    </w:p>
    <w:p w:rsidR="00C76E6D" w:rsidRDefault="00913831">
      <w:pPr>
        <w:pStyle w:val="BodyText"/>
        <w:spacing w:before="36"/>
        <w:ind w:left="480"/>
      </w:pPr>
      <w:r>
        <w:t>Craig</w:t>
      </w:r>
      <w:r>
        <w:rPr>
          <w:spacing w:val="-6"/>
        </w:rPr>
        <w:t xml:space="preserve"> </w:t>
      </w:r>
      <w:r>
        <w:rPr>
          <w:spacing w:val="-2"/>
        </w:rPr>
        <w:t>Martin</w:t>
      </w:r>
    </w:p>
    <w:p w:rsidR="00C76E6D" w:rsidRDefault="00913831">
      <w:pPr>
        <w:pStyle w:val="BodyText"/>
        <w:spacing w:before="41" w:line="276" w:lineRule="auto"/>
        <w:ind w:left="479"/>
      </w:pPr>
      <w:r>
        <w:t>Chair,</w:t>
      </w:r>
      <w:r>
        <w:rPr>
          <w:spacing w:val="-10"/>
        </w:rPr>
        <w:t xml:space="preserve"> </w:t>
      </w:r>
      <w:r>
        <w:t>Massachusetts</w:t>
      </w:r>
      <w:r>
        <w:rPr>
          <w:spacing w:val="-9"/>
        </w:rPr>
        <w:t xml:space="preserve"> </w:t>
      </w:r>
      <w:r>
        <w:t>Commission</w:t>
      </w:r>
      <w:r>
        <w:rPr>
          <w:spacing w:val="-10"/>
        </w:rPr>
        <w:t xml:space="preserve"> </w:t>
      </w:r>
      <w:r>
        <w:t>on</w:t>
      </w:r>
      <w:r>
        <w:rPr>
          <w:spacing w:val="-10"/>
        </w:rPr>
        <w:t xml:space="preserve"> </w:t>
      </w:r>
      <w:r>
        <w:t xml:space="preserve">LGBTQ </w:t>
      </w:r>
      <w:r>
        <w:rPr>
          <w:spacing w:val="-2"/>
        </w:rPr>
        <w:t>Youth</w:t>
      </w:r>
    </w:p>
    <w:p w:rsidR="00C76E6D" w:rsidRDefault="00913831">
      <w:pPr>
        <w:pStyle w:val="BodyText"/>
        <w:spacing w:line="268" w:lineRule="exact"/>
        <w:ind w:left="480"/>
      </w:pPr>
      <w:r>
        <w:rPr>
          <w:spacing w:val="-2"/>
        </w:rPr>
        <w:t>He/Him/His</w:t>
      </w:r>
    </w:p>
    <w:p w:rsidR="00C76E6D" w:rsidRDefault="00913831">
      <w:pPr>
        <w:pStyle w:val="BodyText"/>
        <w:spacing w:before="24"/>
        <w:ind w:left="574"/>
      </w:pPr>
      <w:r>
        <w:br w:type="column"/>
      </w:r>
      <w:r>
        <w:rPr>
          <w:spacing w:val="-2"/>
        </w:rPr>
        <w:t>Shaplaie</w:t>
      </w:r>
      <w:r>
        <w:rPr>
          <w:spacing w:val="2"/>
        </w:rPr>
        <w:t xml:space="preserve"> </w:t>
      </w:r>
      <w:r>
        <w:rPr>
          <w:spacing w:val="-2"/>
        </w:rPr>
        <w:t>Brooks</w:t>
      </w:r>
    </w:p>
    <w:p w:rsidR="00C76E6D" w:rsidRDefault="00913831">
      <w:pPr>
        <w:pStyle w:val="BodyText"/>
        <w:spacing w:before="41" w:line="276" w:lineRule="auto"/>
        <w:ind w:left="574" w:right="423"/>
      </w:pPr>
      <w:r>
        <w:t>Executive</w:t>
      </w:r>
      <w:r>
        <w:rPr>
          <w:spacing w:val="-13"/>
        </w:rPr>
        <w:t xml:space="preserve"> </w:t>
      </w:r>
      <w:r>
        <w:t>Director,</w:t>
      </w:r>
      <w:r>
        <w:rPr>
          <w:spacing w:val="-11"/>
        </w:rPr>
        <w:t xml:space="preserve"> </w:t>
      </w:r>
      <w:r>
        <w:t>Massachusetts</w:t>
      </w:r>
      <w:r>
        <w:rPr>
          <w:spacing w:val="-13"/>
        </w:rPr>
        <w:t xml:space="preserve"> </w:t>
      </w:r>
      <w:r>
        <w:t>Commission on LGBTQ Youth</w:t>
      </w:r>
    </w:p>
    <w:p w:rsidR="00C76E6D" w:rsidRDefault="00913831">
      <w:pPr>
        <w:pStyle w:val="BodyText"/>
        <w:spacing w:line="268" w:lineRule="exact"/>
        <w:ind w:left="575"/>
      </w:pPr>
      <w:r>
        <w:rPr>
          <w:spacing w:val="-2"/>
        </w:rPr>
        <w:t>She/Her/Hers</w:t>
      </w:r>
    </w:p>
    <w:p w:rsidR="00C76E6D" w:rsidRDefault="00C76E6D">
      <w:pPr>
        <w:spacing w:line="268" w:lineRule="exact"/>
        <w:sectPr w:rsidR="00C76E6D">
          <w:type w:val="continuous"/>
          <w:pgSz w:w="12240" w:h="15840"/>
          <w:pgMar w:top="0" w:right="960" w:bottom="0" w:left="960" w:header="759" w:footer="0" w:gutter="0"/>
          <w:cols w:num="2" w:space="720" w:equalWidth="0">
            <w:col w:w="4490" w:space="455"/>
            <w:col w:w="5375"/>
          </w:cols>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2"/>
        <w:rPr>
          <w:sz w:val="11"/>
        </w:rPr>
      </w:pPr>
    </w:p>
    <w:p w:rsidR="00C76E6D" w:rsidRDefault="00913831">
      <w:pPr>
        <w:pStyle w:val="BodyText"/>
        <w:spacing w:line="20" w:lineRule="exact"/>
        <w:ind w:left="452"/>
        <w:rPr>
          <w:sz w:val="2"/>
        </w:rPr>
      </w:pPr>
      <w:r>
        <w:rPr>
          <w:sz w:val="2"/>
        </w:rPr>
      </w:r>
      <w:r>
        <w:rPr>
          <w:sz w:val="2"/>
        </w:rPr>
        <w:pict>
          <v:group id="docshapegroup15" o:spid="_x0000_s1418" style="width:470.95pt;height:1.55pt;mso-position-horizontal-relative:char;mso-position-vertical-relative:line" coordsize="9419,31">
            <v:line id="_x0000_s1419" style="position:absolute" from="0,15" to="9419,15" strokeweight="1.54pt"/>
            <w10:wrap type="none"/>
            <w10:anchorlock/>
          </v:group>
        </w:pict>
      </w:r>
    </w:p>
    <w:p w:rsidR="00C76E6D" w:rsidRDefault="00C76E6D">
      <w:pPr>
        <w:pStyle w:val="BodyText"/>
        <w:spacing w:before="1"/>
        <w:rPr>
          <w:sz w:val="18"/>
        </w:rPr>
      </w:pPr>
    </w:p>
    <w:p w:rsidR="00C76E6D" w:rsidRDefault="00913831">
      <w:pPr>
        <w:pStyle w:val="Heading6"/>
        <w:spacing w:before="55"/>
        <w:ind w:left="3683" w:right="3683"/>
        <w:jc w:val="center"/>
      </w:pPr>
      <w:r>
        <w:rPr>
          <w:spacing w:val="-2"/>
        </w:rPr>
        <w:t>ENDNOTES</w:t>
      </w:r>
    </w:p>
    <w:p w:rsidR="00C76E6D" w:rsidRDefault="00913831">
      <w:pPr>
        <w:pStyle w:val="BodyText"/>
        <w:spacing w:before="11"/>
        <w:rPr>
          <w:b/>
          <w:sz w:val="28"/>
        </w:rPr>
      </w:pPr>
      <w:r>
        <w:pict>
          <v:shape id="docshape16" o:spid="_x0000_s1417" style="position:absolute;margin-left:70.6pt;margin-top:18.85pt;width:470.95pt;height:.1pt;z-index:-15726080;mso-wrap-distance-left:0;mso-wrap-distance-right:0;mso-position-horizontal-relative:page" coordorigin="1412,377" coordsize="9419,0" path="m1412,377r9419,e" filled="f" strokeweight="1.54pt">
            <v:path arrowok="t"/>
            <w10:wrap type="topAndBottom" anchorx="page"/>
          </v:shape>
        </w:pict>
      </w:r>
    </w:p>
    <w:p w:rsidR="00C76E6D" w:rsidRDefault="00C76E6D">
      <w:pPr>
        <w:pStyle w:val="BodyText"/>
        <w:rPr>
          <w:b/>
        </w:rPr>
      </w:pPr>
    </w:p>
    <w:p w:rsidR="00C76E6D" w:rsidRDefault="00C76E6D">
      <w:pPr>
        <w:pStyle w:val="BodyText"/>
        <w:rPr>
          <w:b/>
        </w:rPr>
      </w:pPr>
    </w:p>
    <w:p w:rsidR="00C76E6D" w:rsidRDefault="00C76E6D">
      <w:pPr>
        <w:pStyle w:val="BodyText"/>
        <w:rPr>
          <w:b/>
        </w:rPr>
      </w:pPr>
    </w:p>
    <w:p w:rsidR="00C76E6D" w:rsidRDefault="00913831">
      <w:pPr>
        <w:spacing w:before="179"/>
        <w:ind w:left="480" w:right="1600" w:hanging="1"/>
        <w:rPr>
          <w:sz w:val="20"/>
        </w:rPr>
      </w:pPr>
      <w:bookmarkStart w:id="2" w:name="_bookmark0"/>
      <w:bookmarkEnd w:id="2"/>
      <w:r>
        <w:rPr>
          <w:sz w:val="20"/>
          <w:vertAlign w:val="superscript"/>
        </w:rPr>
        <w:t>1</w:t>
      </w:r>
      <w:r>
        <w:rPr>
          <w:spacing w:val="-2"/>
          <w:sz w:val="20"/>
        </w:rPr>
        <w:t xml:space="preserve"> </w:t>
      </w:r>
      <w:r>
        <w:rPr>
          <w:sz w:val="20"/>
        </w:rPr>
        <w:t>“2022</w:t>
      </w:r>
      <w:r>
        <w:rPr>
          <w:spacing w:val="-2"/>
          <w:sz w:val="20"/>
        </w:rPr>
        <w:t xml:space="preserve"> </w:t>
      </w:r>
      <w:r>
        <w:rPr>
          <w:sz w:val="20"/>
        </w:rPr>
        <w:t>National</w:t>
      </w:r>
      <w:r>
        <w:rPr>
          <w:spacing w:val="-2"/>
          <w:sz w:val="20"/>
        </w:rPr>
        <w:t xml:space="preserve"> </w:t>
      </w:r>
      <w:r>
        <w:rPr>
          <w:sz w:val="20"/>
        </w:rPr>
        <w:t>Survey</w:t>
      </w:r>
      <w:r>
        <w:rPr>
          <w:spacing w:val="-3"/>
          <w:sz w:val="20"/>
        </w:rPr>
        <w:t xml:space="preserve"> </w:t>
      </w:r>
      <w:r>
        <w:rPr>
          <w:sz w:val="20"/>
        </w:rPr>
        <w:t>on</w:t>
      </w:r>
      <w:r>
        <w:rPr>
          <w:spacing w:val="-2"/>
          <w:sz w:val="20"/>
        </w:rPr>
        <w:t xml:space="preserve"> </w:t>
      </w:r>
      <w:r>
        <w:rPr>
          <w:sz w:val="20"/>
        </w:rPr>
        <w:t>LGBTQ</w:t>
      </w:r>
      <w:r>
        <w:rPr>
          <w:spacing w:val="-3"/>
          <w:sz w:val="20"/>
        </w:rPr>
        <w:t xml:space="preserve"> </w:t>
      </w:r>
      <w:r>
        <w:rPr>
          <w:sz w:val="20"/>
        </w:rPr>
        <w:t>Youth</w:t>
      </w:r>
      <w:r>
        <w:rPr>
          <w:spacing w:val="-3"/>
          <w:sz w:val="20"/>
        </w:rPr>
        <w:t xml:space="preserve"> </w:t>
      </w:r>
      <w:r>
        <w:rPr>
          <w:sz w:val="20"/>
        </w:rPr>
        <w:t>Mental</w:t>
      </w:r>
      <w:r>
        <w:rPr>
          <w:spacing w:val="-2"/>
          <w:sz w:val="20"/>
        </w:rPr>
        <w:t xml:space="preserve"> </w:t>
      </w:r>
      <w:r>
        <w:rPr>
          <w:sz w:val="20"/>
        </w:rPr>
        <w:t>Health,”</w:t>
      </w:r>
      <w:r>
        <w:rPr>
          <w:spacing w:val="-3"/>
          <w:sz w:val="20"/>
        </w:rPr>
        <w:t xml:space="preserve"> </w:t>
      </w:r>
      <w:r>
        <w:rPr>
          <w:sz w:val="20"/>
        </w:rPr>
        <w:t>The</w:t>
      </w:r>
      <w:r>
        <w:rPr>
          <w:spacing w:val="-2"/>
          <w:sz w:val="20"/>
        </w:rPr>
        <w:t xml:space="preserve"> </w:t>
      </w:r>
      <w:r>
        <w:rPr>
          <w:sz w:val="20"/>
        </w:rPr>
        <w:t>Trevor</w:t>
      </w:r>
      <w:r>
        <w:rPr>
          <w:spacing w:val="-2"/>
          <w:sz w:val="20"/>
        </w:rPr>
        <w:t xml:space="preserve"> </w:t>
      </w:r>
      <w:r>
        <w:rPr>
          <w:sz w:val="20"/>
        </w:rPr>
        <w:t>Project,</w:t>
      </w:r>
      <w:r>
        <w:rPr>
          <w:spacing w:val="-3"/>
          <w:sz w:val="20"/>
        </w:rPr>
        <w:t xml:space="preserve"> </w:t>
      </w:r>
      <w:r>
        <w:rPr>
          <w:sz w:val="20"/>
        </w:rPr>
        <w:t>accessed</w:t>
      </w:r>
      <w:r>
        <w:rPr>
          <w:spacing w:val="-2"/>
          <w:sz w:val="20"/>
        </w:rPr>
        <w:t xml:space="preserve"> </w:t>
      </w:r>
      <w:r>
        <w:rPr>
          <w:sz w:val="20"/>
        </w:rPr>
        <w:t>June</w:t>
      </w:r>
      <w:r>
        <w:rPr>
          <w:spacing w:val="-4"/>
          <w:sz w:val="20"/>
        </w:rPr>
        <w:t xml:space="preserve"> </w:t>
      </w:r>
      <w:r>
        <w:rPr>
          <w:sz w:val="20"/>
        </w:rPr>
        <w:t>13,</w:t>
      </w:r>
      <w:r>
        <w:rPr>
          <w:spacing w:val="-3"/>
          <w:sz w:val="20"/>
        </w:rPr>
        <w:t xml:space="preserve"> </w:t>
      </w:r>
      <w:r>
        <w:rPr>
          <w:sz w:val="20"/>
        </w:rPr>
        <w:t xml:space="preserve">2022, </w:t>
      </w:r>
      <w:r>
        <w:rPr>
          <w:spacing w:val="-2"/>
          <w:sz w:val="20"/>
        </w:rPr>
        <w:t>https://</w:t>
      </w:r>
      <w:hyperlink r:id="rId16">
        <w:r>
          <w:rPr>
            <w:spacing w:val="-2"/>
            <w:sz w:val="20"/>
          </w:rPr>
          <w:t>www.thetrevorproject.org/survey-2022/.</w:t>
        </w:r>
      </w:hyperlink>
    </w:p>
    <w:p w:rsidR="00C76E6D" w:rsidRDefault="00913831">
      <w:pPr>
        <w:spacing w:before="1"/>
        <w:ind w:left="480" w:right="530" w:hanging="1"/>
        <w:rPr>
          <w:sz w:val="20"/>
        </w:rPr>
      </w:pPr>
      <w:bookmarkStart w:id="3" w:name="_bookmark1"/>
      <w:bookmarkEnd w:id="3"/>
      <w:r>
        <w:rPr>
          <w:sz w:val="20"/>
          <w:vertAlign w:val="superscript"/>
        </w:rPr>
        <w:t>2</w:t>
      </w:r>
      <w:r>
        <w:rPr>
          <w:spacing w:val="-2"/>
          <w:sz w:val="20"/>
        </w:rPr>
        <w:t xml:space="preserve"> </w:t>
      </w:r>
      <w:r>
        <w:rPr>
          <w:sz w:val="20"/>
        </w:rPr>
        <w:t>Madeleine</w:t>
      </w:r>
      <w:r>
        <w:rPr>
          <w:spacing w:val="-2"/>
          <w:sz w:val="20"/>
        </w:rPr>
        <w:t xml:space="preserve"> </w:t>
      </w:r>
      <w:r>
        <w:rPr>
          <w:sz w:val="20"/>
        </w:rPr>
        <w:t>Carlisle,</w:t>
      </w:r>
      <w:r>
        <w:rPr>
          <w:spacing w:val="-2"/>
          <w:sz w:val="20"/>
        </w:rPr>
        <w:t xml:space="preserve"> </w:t>
      </w:r>
      <w:r>
        <w:rPr>
          <w:sz w:val="20"/>
        </w:rPr>
        <w:t>“Anti-Trans</w:t>
      </w:r>
      <w:r>
        <w:rPr>
          <w:spacing w:val="-3"/>
          <w:sz w:val="20"/>
        </w:rPr>
        <w:t xml:space="preserve"> </w:t>
      </w:r>
      <w:r>
        <w:rPr>
          <w:sz w:val="20"/>
        </w:rPr>
        <w:t>Violence</w:t>
      </w:r>
      <w:r>
        <w:rPr>
          <w:spacing w:val="-2"/>
          <w:sz w:val="20"/>
        </w:rPr>
        <w:t xml:space="preserve"> </w:t>
      </w:r>
      <w:r>
        <w:rPr>
          <w:sz w:val="20"/>
        </w:rPr>
        <w:t>and</w:t>
      </w:r>
      <w:r>
        <w:rPr>
          <w:spacing w:val="-2"/>
          <w:sz w:val="20"/>
        </w:rPr>
        <w:t xml:space="preserve"> </w:t>
      </w:r>
      <w:r>
        <w:rPr>
          <w:sz w:val="20"/>
        </w:rPr>
        <w:t>Rhetoric</w:t>
      </w:r>
      <w:r>
        <w:rPr>
          <w:spacing w:val="-3"/>
          <w:sz w:val="20"/>
        </w:rPr>
        <w:t xml:space="preserve"> </w:t>
      </w:r>
      <w:r>
        <w:rPr>
          <w:sz w:val="20"/>
        </w:rPr>
        <w:t>Reached</w:t>
      </w:r>
      <w:r>
        <w:rPr>
          <w:spacing w:val="-3"/>
          <w:sz w:val="20"/>
        </w:rPr>
        <w:t xml:space="preserve"> </w:t>
      </w:r>
      <w:r>
        <w:rPr>
          <w:sz w:val="20"/>
        </w:rPr>
        <w:t>Record</w:t>
      </w:r>
      <w:r>
        <w:rPr>
          <w:spacing w:val="-3"/>
          <w:sz w:val="20"/>
        </w:rPr>
        <w:t xml:space="preserve"> </w:t>
      </w:r>
      <w:r>
        <w:rPr>
          <w:sz w:val="20"/>
        </w:rPr>
        <w:t>Highs</w:t>
      </w:r>
      <w:r>
        <w:rPr>
          <w:spacing w:val="-4"/>
          <w:sz w:val="20"/>
        </w:rPr>
        <w:t xml:space="preserve"> </w:t>
      </w:r>
      <w:r>
        <w:rPr>
          <w:sz w:val="20"/>
        </w:rPr>
        <w:t>Across</w:t>
      </w:r>
      <w:r>
        <w:rPr>
          <w:spacing w:val="-4"/>
          <w:sz w:val="20"/>
        </w:rPr>
        <w:t xml:space="preserve"> </w:t>
      </w:r>
      <w:r>
        <w:rPr>
          <w:sz w:val="20"/>
        </w:rPr>
        <w:t>America</w:t>
      </w:r>
      <w:r>
        <w:rPr>
          <w:spacing w:val="-2"/>
          <w:sz w:val="20"/>
        </w:rPr>
        <w:t xml:space="preserve"> </w:t>
      </w:r>
      <w:r>
        <w:rPr>
          <w:sz w:val="20"/>
        </w:rPr>
        <w:t>in</w:t>
      </w:r>
      <w:r>
        <w:rPr>
          <w:spacing w:val="-3"/>
          <w:sz w:val="20"/>
        </w:rPr>
        <w:t xml:space="preserve"> </w:t>
      </w:r>
      <w:r>
        <w:rPr>
          <w:sz w:val="20"/>
        </w:rPr>
        <w:t>2021,”</w:t>
      </w:r>
      <w:r>
        <w:rPr>
          <w:spacing w:val="-3"/>
          <w:sz w:val="20"/>
        </w:rPr>
        <w:t xml:space="preserve"> </w:t>
      </w:r>
      <w:r>
        <w:rPr>
          <w:sz w:val="20"/>
        </w:rPr>
        <w:t>Time, accessed June 13, 2022, https://time.com/6131444/2021-anti-trans-violence/.</w:t>
      </w:r>
    </w:p>
    <w:p w:rsidR="00C76E6D" w:rsidRDefault="00913831">
      <w:pPr>
        <w:ind w:left="479" w:right="741"/>
        <w:jc w:val="both"/>
        <w:rPr>
          <w:sz w:val="20"/>
        </w:rPr>
      </w:pPr>
      <w:bookmarkStart w:id="4" w:name="_bookmark2"/>
      <w:bookmarkEnd w:id="4"/>
      <w:r>
        <w:rPr>
          <w:sz w:val="20"/>
          <w:vertAlign w:val="superscript"/>
        </w:rPr>
        <w:t>3</w:t>
      </w:r>
      <w:r>
        <w:rPr>
          <w:sz w:val="20"/>
        </w:rPr>
        <w:t xml:space="preserve"> Human Rights Campaign, “Fatal Violence Against the Transgender and Gender Non-Conforming Community in 2021,”</w:t>
      </w:r>
      <w:r>
        <w:rPr>
          <w:spacing w:val="-4"/>
          <w:sz w:val="20"/>
        </w:rPr>
        <w:t xml:space="preserve"> </w:t>
      </w:r>
      <w:r>
        <w:rPr>
          <w:sz w:val="20"/>
        </w:rPr>
        <w:t>Human</w:t>
      </w:r>
      <w:r>
        <w:rPr>
          <w:spacing w:val="-6"/>
          <w:sz w:val="20"/>
        </w:rPr>
        <w:t xml:space="preserve"> </w:t>
      </w:r>
      <w:r>
        <w:rPr>
          <w:sz w:val="20"/>
        </w:rPr>
        <w:t>Rights</w:t>
      </w:r>
      <w:r>
        <w:rPr>
          <w:spacing w:val="-6"/>
          <w:sz w:val="20"/>
        </w:rPr>
        <w:t xml:space="preserve"> </w:t>
      </w:r>
      <w:r>
        <w:rPr>
          <w:sz w:val="20"/>
        </w:rPr>
        <w:t>Campaign,</w:t>
      </w:r>
      <w:r>
        <w:rPr>
          <w:spacing w:val="-5"/>
          <w:sz w:val="20"/>
        </w:rPr>
        <w:t xml:space="preserve"> </w:t>
      </w:r>
      <w:r>
        <w:rPr>
          <w:sz w:val="20"/>
        </w:rPr>
        <w:t>accessed</w:t>
      </w:r>
      <w:r>
        <w:rPr>
          <w:spacing w:val="-5"/>
          <w:sz w:val="20"/>
        </w:rPr>
        <w:t xml:space="preserve"> </w:t>
      </w:r>
      <w:r>
        <w:rPr>
          <w:sz w:val="20"/>
        </w:rPr>
        <w:t>June</w:t>
      </w:r>
      <w:r>
        <w:rPr>
          <w:spacing w:val="-5"/>
          <w:sz w:val="20"/>
        </w:rPr>
        <w:t xml:space="preserve"> </w:t>
      </w:r>
      <w:r>
        <w:rPr>
          <w:sz w:val="20"/>
        </w:rPr>
        <w:t>13,</w:t>
      </w:r>
      <w:r>
        <w:rPr>
          <w:spacing w:val="-5"/>
          <w:sz w:val="20"/>
        </w:rPr>
        <w:t xml:space="preserve"> </w:t>
      </w:r>
      <w:r>
        <w:rPr>
          <w:sz w:val="20"/>
        </w:rPr>
        <w:t>2022,</w:t>
      </w:r>
      <w:r>
        <w:rPr>
          <w:spacing w:val="-5"/>
          <w:sz w:val="20"/>
        </w:rPr>
        <w:t xml:space="preserve"> </w:t>
      </w:r>
      <w:r>
        <w:rPr>
          <w:sz w:val="20"/>
        </w:rPr>
        <w:t>https://</w:t>
      </w:r>
      <w:hyperlink r:id="rId17">
        <w:r>
          <w:rPr>
            <w:sz w:val="20"/>
          </w:rPr>
          <w:t>www.hrc.org/resources/fatal-violence-against-</w:t>
        </w:r>
      </w:hyperlink>
      <w:r>
        <w:rPr>
          <w:sz w:val="20"/>
        </w:rPr>
        <w:t xml:space="preserve"> </w:t>
      </w:r>
      <w:r>
        <w:rPr>
          <w:spacing w:val="-2"/>
          <w:sz w:val="20"/>
        </w:rPr>
        <w:t>the-transgender-and-gender-non-conforming-community-in-2021.</w:t>
      </w:r>
    </w:p>
    <w:p w:rsidR="00C76E6D" w:rsidRDefault="00913831">
      <w:pPr>
        <w:ind w:left="480" w:right="530" w:hanging="1"/>
        <w:rPr>
          <w:sz w:val="20"/>
        </w:rPr>
      </w:pPr>
      <w:bookmarkStart w:id="5" w:name="_bookmark3"/>
      <w:bookmarkEnd w:id="5"/>
      <w:r>
        <w:rPr>
          <w:sz w:val="20"/>
          <w:vertAlign w:val="superscript"/>
        </w:rPr>
        <w:t>4</w:t>
      </w:r>
      <w:r>
        <w:rPr>
          <w:spacing w:val="-2"/>
          <w:sz w:val="20"/>
        </w:rPr>
        <w:t xml:space="preserve"> </w:t>
      </w:r>
      <w:r>
        <w:rPr>
          <w:sz w:val="20"/>
        </w:rPr>
        <w:t>Centers</w:t>
      </w:r>
      <w:r>
        <w:rPr>
          <w:spacing w:val="-2"/>
          <w:sz w:val="20"/>
        </w:rPr>
        <w:t xml:space="preserve"> </w:t>
      </w:r>
      <w:r>
        <w:rPr>
          <w:sz w:val="20"/>
        </w:rPr>
        <w:t>for</w:t>
      </w:r>
      <w:r>
        <w:rPr>
          <w:spacing w:val="-2"/>
          <w:sz w:val="20"/>
        </w:rPr>
        <w:t xml:space="preserve"> </w:t>
      </w:r>
      <w:r>
        <w:rPr>
          <w:sz w:val="20"/>
        </w:rPr>
        <w:t>Disease</w:t>
      </w:r>
      <w:r>
        <w:rPr>
          <w:spacing w:val="-2"/>
          <w:sz w:val="20"/>
        </w:rPr>
        <w:t xml:space="preserve"> </w:t>
      </w:r>
      <w:r>
        <w:rPr>
          <w:sz w:val="20"/>
        </w:rPr>
        <w:t>Control</w:t>
      </w:r>
      <w:r>
        <w:rPr>
          <w:spacing w:val="-4"/>
          <w:sz w:val="20"/>
        </w:rPr>
        <w:t xml:space="preserve"> </w:t>
      </w:r>
      <w:r>
        <w:rPr>
          <w:sz w:val="20"/>
        </w:rPr>
        <w:t>and</w:t>
      </w:r>
      <w:r>
        <w:rPr>
          <w:spacing w:val="-2"/>
          <w:sz w:val="20"/>
        </w:rPr>
        <w:t xml:space="preserve"> </w:t>
      </w:r>
      <w:r>
        <w:rPr>
          <w:sz w:val="20"/>
        </w:rPr>
        <w:t>Prevention,</w:t>
      </w:r>
      <w:r>
        <w:rPr>
          <w:spacing w:val="-2"/>
          <w:sz w:val="20"/>
        </w:rPr>
        <w:t xml:space="preserve"> </w:t>
      </w:r>
      <w:r>
        <w:rPr>
          <w:sz w:val="20"/>
        </w:rPr>
        <w:t>“Stats</w:t>
      </w:r>
      <w:r>
        <w:rPr>
          <w:spacing w:val="-4"/>
          <w:sz w:val="20"/>
        </w:rPr>
        <w:t xml:space="preserve"> </w:t>
      </w:r>
      <w:r>
        <w:rPr>
          <w:sz w:val="20"/>
        </w:rPr>
        <w:t>of</w:t>
      </w:r>
      <w:r>
        <w:rPr>
          <w:spacing w:val="-2"/>
          <w:sz w:val="20"/>
        </w:rPr>
        <w:t xml:space="preserve"> </w:t>
      </w:r>
      <w:r>
        <w:rPr>
          <w:sz w:val="20"/>
        </w:rPr>
        <w:t>the</w:t>
      </w:r>
      <w:r>
        <w:rPr>
          <w:spacing w:val="-3"/>
          <w:sz w:val="20"/>
        </w:rPr>
        <w:t xml:space="preserve"> </w:t>
      </w:r>
      <w:r>
        <w:rPr>
          <w:sz w:val="20"/>
        </w:rPr>
        <w:t>States</w:t>
      </w:r>
      <w:r>
        <w:rPr>
          <w:spacing w:val="-2"/>
          <w:sz w:val="20"/>
        </w:rPr>
        <w:t xml:space="preserve"> </w:t>
      </w:r>
      <w:r>
        <w:rPr>
          <w:sz w:val="20"/>
        </w:rPr>
        <w:t>-</w:t>
      </w:r>
      <w:r>
        <w:rPr>
          <w:spacing w:val="-3"/>
          <w:sz w:val="20"/>
        </w:rPr>
        <w:t xml:space="preserve"> </w:t>
      </w:r>
      <w:r>
        <w:rPr>
          <w:sz w:val="20"/>
        </w:rPr>
        <w:t>Firearm</w:t>
      </w:r>
      <w:r>
        <w:rPr>
          <w:spacing w:val="-3"/>
          <w:sz w:val="20"/>
        </w:rPr>
        <w:t xml:space="preserve"> </w:t>
      </w:r>
      <w:r>
        <w:rPr>
          <w:sz w:val="20"/>
        </w:rPr>
        <w:t>Mortality,”</w:t>
      </w:r>
      <w:r>
        <w:rPr>
          <w:spacing w:val="-3"/>
          <w:sz w:val="20"/>
        </w:rPr>
        <w:t xml:space="preserve"> </w:t>
      </w:r>
      <w:r>
        <w:rPr>
          <w:sz w:val="20"/>
        </w:rPr>
        <w:t>March</w:t>
      </w:r>
      <w:r>
        <w:rPr>
          <w:spacing w:val="-2"/>
          <w:sz w:val="20"/>
        </w:rPr>
        <w:t xml:space="preserve"> </w:t>
      </w:r>
      <w:r>
        <w:rPr>
          <w:sz w:val="20"/>
        </w:rPr>
        <w:t>1,</w:t>
      </w:r>
      <w:r>
        <w:rPr>
          <w:spacing w:val="-3"/>
          <w:sz w:val="20"/>
        </w:rPr>
        <w:t xml:space="preserve"> </w:t>
      </w:r>
      <w:r>
        <w:rPr>
          <w:sz w:val="20"/>
        </w:rPr>
        <w:t xml:space="preserve">2022, </w:t>
      </w:r>
      <w:r>
        <w:rPr>
          <w:spacing w:val="-2"/>
          <w:sz w:val="20"/>
        </w:rPr>
        <w:t>https://</w:t>
      </w:r>
      <w:hyperlink r:id="rId18">
        <w:r>
          <w:rPr>
            <w:spacing w:val="-2"/>
            <w:sz w:val="20"/>
          </w:rPr>
          <w:t>www.cdc.gov/nchs/pressroom/sosmap/firearm_mortality/firearm.htm.</w:t>
        </w:r>
      </w:hyperlink>
    </w:p>
    <w:p w:rsidR="00C76E6D" w:rsidRDefault="00913831">
      <w:pPr>
        <w:ind w:left="480" w:right="530" w:hanging="1"/>
        <w:rPr>
          <w:sz w:val="20"/>
        </w:rPr>
      </w:pPr>
      <w:bookmarkStart w:id="6" w:name="_bookmark4"/>
      <w:bookmarkEnd w:id="6"/>
      <w:r>
        <w:rPr>
          <w:sz w:val="20"/>
          <w:vertAlign w:val="superscript"/>
        </w:rPr>
        <w:t>5</w:t>
      </w:r>
      <w:r>
        <w:rPr>
          <w:sz w:val="20"/>
        </w:rPr>
        <w:t xml:space="preserve"> Everytown for Gun Safety, “Gun Violence in Massachusetts,” Janua</w:t>
      </w:r>
      <w:r>
        <w:rPr>
          <w:sz w:val="20"/>
        </w:rPr>
        <w:t xml:space="preserve">ry 2021, </w:t>
      </w:r>
      <w:r>
        <w:rPr>
          <w:spacing w:val="-2"/>
          <w:sz w:val="20"/>
        </w:rPr>
        <w:t>https://maps.everytownresearch.org/wp-content/uploads/2021/02/Gun-Violence-in-Massachusetts-2.9.2021.pdf.</w:t>
      </w:r>
    </w:p>
    <w:p w:rsidR="00C76E6D" w:rsidRDefault="00C76E6D">
      <w:pPr>
        <w:rPr>
          <w:sz w:val="20"/>
        </w:rPr>
        <w:sectPr w:rsidR="00C76E6D">
          <w:pgSz w:w="12240" w:h="15840"/>
          <w:pgMar w:top="940" w:right="960" w:bottom="280" w:left="960" w:header="759" w:footer="0" w:gutter="0"/>
          <w:cols w:space="720"/>
        </w:sectPr>
      </w:pPr>
    </w:p>
    <w:p w:rsidR="00C76E6D" w:rsidRDefault="00C76E6D">
      <w:pPr>
        <w:pStyle w:val="BodyText"/>
        <w:rPr>
          <w:sz w:val="20"/>
        </w:rPr>
      </w:pPr>
    </w:p>
    <w:p w:rsidR="00C76E6D" w:rsidRDefault="00913831">
      <w:pPr>
        <w:pStyle w:val="Heading1"/>
        <w:spacing w:before="206"/>
        <w:ind w:left="3683" w:right="3683"/>
        <w:jc w:val="center"/>
      </w:pPr>
      <w:bookmarkStart w:id="7" w:name="TABLE_OF_CONTENTS"/>
      <w:bookmarkEnd w:id="7"/>
      <w:r>
        <w:t>TABLE</w:t>
      </w:r>
      <w:r>
        <w:rPr>
          <w:spacing w:val="-12"/>
        </w:rPr>
        <w:t xml:space="preserve"> </w:t>
      </w:r>
      <w:r>
        <w:t>OF</w:t>
      </w:r>
      <w:r>
        <w:rPr>
          <w:spacing w:val="-11"/>
        </w:rPr>
        <w:t xml:space="preserve"> </w:t>
      </w:r>
      <w:r>
        <w:rPr>
          <w:spacing w:val="-2"/>
        </w:rPr>
        <w:t>CONTENTS</w:t>
      </w:r>
    </w:p>
    <w:p w:rsidR="00C76E6D" w:rsidRDefault="00C76E6D">
      <w:pPr>
        <w:pStyle w:val="BodyText"/>
        <w:rPr>
          <w:b/>
          <w:sz w:val="20"/>
        </w:rPr>
      </w:pPr>
    </w:p>
    <w:p w:rsidR="00C76E6D" w:rsidRDefault="00913831">
      <w:pPr>
        <w:pStyle w:val="BodyText"/>
        <w:spacing w:before="4"/>
        <w:rPr>
          <w:b/>
          <w:sz w:val="12"/>
        </w:rPr>
      </w:pPr>
      <w:r>
        <w:pict>
          <v:rect id="docshape18" o:spid="_x0000_s1416" style="position:absolute;margin-left:70.6pt;margin-top:8.75pt;width:470.95pt;height:1.45pt;z-index:-15725568;mso-wrap-distance-left:0;mso-wrap-distance-right:0;mso-position-horizontal-relative:page" fillcolor="black" stroked="f">
            <w10:wrap type="topAndBottom" anchorx="page"/>
          </v:rect>
        </w:pict>
      </w:r>
    </w:p>
    <w:p w:rsidR="00C76E6D" w:rsidRDefault="00913831">
      <w:pPr>
        <w:pStyle w:val="Heading3"/>
        <w:numPr>
          <w:ilvl w:val="0"/>
          <w:numId w:val="59"/>
        </w:numPr>
        <w:tabs>
          <w:tab w:val="left" w:pos="840"/>
        </w:tabs>
        <w:spacing w:before="123"/>
      </w:pPr>
      <w:bookmarkStart w:id="8" w:name="A._SUMMARY_&amp;_SPECIAL_REPORTS"/>
      <w:bookmarkEnd w:id="8"/>
      <w:r>
        <w:rPr>
          <w:w w:val="95"/>
        </w:rPr>
        <w:t>SUMMARY</w:t>
      </w:r>
      <w:r>
        <w:rPr>
          <w:spacing w:val="15"/>
        </w:rPr>
        <w:t xml:space="preserve"> </w:t>
      </w:r>
      <w:r>
        <w:rPr>
          <w:w w:val="95"/>
        </w:rPr>
        <w:t>&amp;</w:t>
      </w:r>
      <w:r>
        <w:rPr>
          <w:spacing w:val="16"/>
        </w:rPr>
        <w:t xml:space="preserve"> </w:t>
      </w:r>
      <w:r>
        <w:rPr>
          <w:w w:val="95"/>
        </w:rPr>
        <w:t>SPECIAL</w:t>
      </w:r>
      <w:r>
        <w:rPr>
          <w:spacing w:val="17"/>
        </w:rPr>
        <w:t xml:space="preserve"> </w:t>
      </w:r>
      <w:r>
        <w:rPr>
          <w:spacing w:val="-2"/>
          <w:w w:val="95"/>
        </w:rPr>
        <w:t>REPORTS</w:t>
      </w:r>
    </w:p>
    <w:p w:rsidR="00C76E6D" w:rsidRDefault="00C76E6D">
      <w:pPr>
        <w:sectPr w:rsidR="00C76E6D">
          <w:headerReference w:type="default" r:id="rId19"/>
          <w:pgSz w:w="12240" w:h="15840"/>
          <w:pgMar w:top="960" w:right="960" w:bottom="1164" w:left="960" w:header="769" w:footer="0" w:gutter="0"/>
          <w:cols w:space="720"/>
        </w:sectPr>
      </w:pPr>
    </w:p>
    <w:sdt>
      <w:sdtPr>
        <w:id w:val="-751270235"/>
        <w:docPartObj>
          <w:docPartGallery w:val="Table of Contents"/>
          <w:docPartUnique/>
        </w:docPartObj>
      </w:sdtPr>
      <w:sdtEndPr/>
      <w:sdtContent>
        <w:p w:rsidR="00C76E6D" w:rsidRDefault="00913831">
          <w:pPr>
            <w:pStyle w:val="TOC2"/>
            <w:tabs>
              <w:tab w:val="right" w:leader="dot" w:pos="9861"/>
            </w:tabs>
            <w:spacing w:before="435"/>
          </w:pPr>
          <w:r>
            <w:pict>
              <v:rect id="docshape19" o:spid="_x0000_s1415" style="position:absolute;left:0;text-align:left;margin-left:70.6pt;margin-top:3.55pt;width:470.95pt;height:1.45pt;z-index:15733248;mso-position-horizontal-relative:page;mso-position-vertical-relative:text" fillcolor="black" stroked="f">
                <w10:wrap anchorx="page"/>
              </v:rect>
            </w:pict>
          </w:r>
          <w:hyperlink w:anchor="_bookmark5" w:history="1">
            <w:r>
              <w:t>Executive</w:t>
            </w:r>
            <w:r>
              <w:rPr>
                <w:spacing w:val="-8"/>
              </w:rPr>
              <w:t xml:space="preserve"> </w:t>
            </w:r>
            <w:r>
              <w:rPr>
                <w:spacing w:val="-2"/>
              </w:rPr>
              <w:t>Summary</w:t>
            </w:r>
            <w:r>
              <w:tab/>
            </w:r>
            <w:r>
              <w:rPr>
                <w:spacing w:val="-10"/>
              </w:rPr>
              <w:t>1</w:t>
            </w:r>
          </w:hyperlink>
        </w:p>
        <w:p w:rsidR="00C76E6D" w:rsidRDefault="00913831">
          <w:pPr>
            <w:pStyle w:val="TOC2"/>
            <w:tabs>
              <w:tab w:val="right" w:leader="dot" w:pos="9858"/>
            </w:tabs>
          </w:pPr>
          <w:hyperlink w:anchor="_bookmark7" w:history="1">
            <w:r>
              <w:t>2019</w:t>
            </w:r>
            <w:r>
              <w:rPr>
                <w:spacing w:val="-4"/>
              </w:rPr>
              <w:t xml:space="preserve"> </w:t>
            </w:r>
            <w:r>
              <w:t>MYRBS</w:t>
            </w:r>
            <w:r>
              <w:rPr>
                <w:spacing w:val="-4"/>
              </w:rPr>
              <w:t xml:space="preserve"> </w:t>
            </w:r>
            <w:r>
              <w:t>Data</w:t>
            </w:r>
            <w:r>
              <w:rPr>
                <w:spacing w:val="-4"/>
              </w:rPr>
              <w:t xml:space="preserve"> </w:t>
            </w:r>
            <w:r>
              <w:rPr>
                <w:spacing w:val="-2"/>
              </w:rPr>
              <w:t>Analysis</w:t>
            </w:r>
            <w:r>
              <w:tab/>
            </w:r>
            <w:r>
              <w:rPr>
                <w:spacing w:val="-10"/>
              </w:rPr>
              <w:t>9</w:t>
            </w:r>
          </w:hyperlink>
        </w:p>
        <w:p w:rsidR="00C76E6D" w:rsidRDefault="00913831">
          <w:pPr>
            <w:pStyle w:val="TOC2"/>
            <w:tabs>
              <w:tab w:val="right" w:leader="dot" w:pos="9841"/>
            </w:tabs>
            <w:spacing w:before="165"/>
          </w:pPr>
          <w:hyperlink w:anchor="_bookmark6" w:history="1">
            <w:r>
              <w:rPr>
                <w:spacing w:val="-2"/>
              </w:rPr>
              <w:t>Special</w:t>
            </w:r>
            <w:r>
              <w:rPr>
                <w:spacing w:val="-12"/>
              </w:rPr>
              <w:t xml:space="preserve"> </w:t>
            </w:r>
            <w:r>
              <w:rPr>
                <w:spacing w:val="-2"/>
              </w:rPr>
              <w:t>Report</w:t>
            </w:r>
            <w:r>
              <w:rPr>
                <w:spacing w:val="-9"/>
              </w:rPr>
              <w:t xml:space="preserve"> </w:t>
            </w:r>
            <w:r>
              <w:rPr>
                <w:spacing w:val="-2"/>
              </w:rPr>
              <w:t>on</w:t>
            </w:r>
            <w:r>
              <w:rPr>
                <w:spacing w:val="-8"/>
              </w:rPr>
              <w:t xml:space="preserve"> </w:t>
            </w:r>
            <w:r>
              <w:rPr>
                <w:spacing w:val="-2"/>
              </w:rPr>
              <w:t>COVID-19</w:t>
            </w:r>
            <w:r>
              <w:rPr>
                <w:spacing w:val="-7"/>
              </w:rPr>
              <w:t xml:space="preserve"> </w:t>
            </w:r>
            <w:r>
              <w:rPr>
                <w:spacing w:val="-2"/>
              </w:rPr>
              <w:t>and</w:t>
            </w:r>
            <w:r>
              <w:rPr>
                <w:spacing w:val="-7"/>
              </w:rPr>
              <w:t xml:space="preserve"> </w:t>
            </w:r>
            <w:r>
              <w:rPr>
                <w:spacing w:val="-2"/>
              </w:rPr>
              <w:t>LGBTQ</w:t>
            </w:r>
            <w:r>
              <w:rPr>
                <w:spacing w:val="-5"/>
              </w:rPr>
              <w:t xml:space="preserve"> </w:t>
            </w:r>
            <w:r>
              <w:rPr>
                <w:spacing w:val="-4"/>
              </w:rPr>
              <w:t>Youth</w:t>
            </w:r>
            <w:r>
              <w:tab/>
            </w:r>
            <w:r>
              <w:rPr>
                <w:spacing w:val="-5"/>
              </w:rPr>
              <w:t>18</w:t>
            </w:r>
          </w:hyperlink>
        </w:p>
        <w:p w:rsidR="00C76E6D" w:rsidRDefault="00913831">
          <w:pPr>
            <w:pStyle w:val="TOC2"/>
            <w:tabs>
              <w:tab w:val="right" w:leader="dot" w:pos="9841"/>
            </w:tabs>
            <w:spacing w:before="165"/>
          </w:pPr>
          <w:hyperlink w:anchor="_bookmark66" w:history="1">
            <w:r>
              <w:rPr>
                <w:spacing w:val="-2"/>
              </w:rPr>
              <w:t>Safe</w:t>
            </w:r>
            <w:r>
              <w:rPr>
                <w:spacing w:val="-12"/>
              </w:rPr>
              <w:t xml:space="preserve"> </w:t>
            </w:r>
            <w:r>
              <w:rPr>
                <w:spacing w:val="-2"/>
              </w:rPr>
              <w:t>Schools</w:t>
            </w:r>
            <w:r>
              <w:rPr>
                <w:spacing w:val="-9"/>
              </w:rPr>
              <w:t xml:space="preserve"> </w:t>
            </w:r>
            <w:r>
              <w:rPr>
                <w:spacing w:val="-2"/>
              </w:rPr>
              <w:t>Program</w:t>
            </w:r>
            <w:r>
              <w:rPr>
                <w:spacing w:val="-10"/>
              </w:rPr>
              <w:t xml:space="preserve"> </w:t>
            </w:r>
            <w:r>
              <w:rPr>
                <w:spacing w:val="-2"/>
              </w:rPr>
              <w:t>for</w:t>
            </w:r>
            <w:r>
              <w:rPr>
                <w:spacing w:val="-11"/>
              </w:rPr>
              <w:t xml:space="preserve"> </w:t>
            </w:r>
            <w:r>
              <w:rPr>
                <w:spacing w:val="-2"/>
              </w:rPr>
              <w:t>LGBTQ</w:t>
            </w:r>
            <w:r>
              <w:rPr>
                <w:spacing w:val="-5"/>
              </w:rPr>
              <w:t xml:space="preserve"> </w:t>
            </w:r>
            <w:r>
              <w:rPr>
                <w:spacing w:val="-2"/>
              </w:rPr>
              <w:t>Students</w:t>
            </w:r>
            <w:r>
              <w:tab/>
            </w:r>
            <w:r>
              <w:rPr>
                <w:spacing w:val="-5"/>
              </w:rPr>
              <w:t>30</w:t>
            </w:r>
          </w:hyperlink>
        </w:p>
        <w:p w:rsidR="00C76E6D" w:rsidRDefault="00913831">
          <w:pPr>
            <w:pStyle w:val="TOC2"/>
            <w:tabs>
              <w:tab w:val="right" w:leader="dot" w:pos="9839"/>
            </w:tabs>
          </w:pPr>
          <w:hyperlink w:anchor="_bookmark69" w:history="1">
            <w:r>
              <w:rPr>
                <w:spacing w:val="-2"/>
              </w:rPr>
              <w:t>Special</w:t>
            </w:r>
            <w:r>
              <w:rPr>
                <w:spacing w:val="-11"/>
              </w:rPr>
              <w:t xml:space="preserve"> </w:t>
            </w:r>
            <w:r>
              <w:rPr>
                <w:spacing w:val="-2"/>
              </w:rPr>
              <w:t>Report</w:t>
            </w:r>
            <w:r>
              <w:rPr>
                <w:spacing w:val="-8"/>
              </w:rPr>
              <w:t xml:space="preserve"> </w:t>
            </w:r>
            <w:r>
              <w:rPr>
                <w:spacing w:val="-2"/>
              </w:rPr>
              <w:t>on</w:t>
            </w:r>
            <w:r>
              <w:rPr>
                <w:spacing w:val="-8"/>
              </w:rPr>
              <w:t xml:space="preserve"> </w:t>
            </w:r>
            <w:r>
              <w:rPr>
                <w:spacing w:val="-2"/>
              </w:rPr>
              <w:t>LGBTQ+</w:t>
            </w:r>
            <w:r>
              <w:rPr>
                <w:spacing w:val="-9"/>
              </w:rPr>
              <w:t xml:space="preserve"> </w:t>
            </w:r>
            <w:r>
              <w:rPr>
                <w:spacing w:val="-2"/>
              </w:rPr>
              <w:t>Inclusive</w:t>
            </w:r>
            <w:r>
              <w:rPr>
                <w:spacing w:val="-10"/>
              </w:rPr>
              <w:t xml:space="preserve"> </w:t>
            </w:r>
            <w:r>
              <w:rPr>
                <w:spacing w:val="-2"/>
              </w:rPr>
              <w:t>Education</w:t>
            </w:r>
            <w:r>
              <w:rPr>
                <w:spacing w:val="-7"/>
              </w:rPr>
              <w:t xml:space="preserve"> </w:t>
            </w:r>
            <w:r>
              <w:rPr>
                <w:spacing w:val="-2"/>
              </w:rPr>
              <w:t>Policy</w:t>
            </w:r>
            <w:r>
              <w:tab/>
            </w:r>
            <w:r>
              <w:rPr>
                <w:spacing w:val="-5"/>
              </w:rPr>
              <w:t>49</w:t>
            </w:r>
          </w:hyperlink>
        </w:p>
        <w:p w:rsidR="00C76E6D" w:rsidRDefault="00913831">
          <w:pPr>
            <w:pStyle w:val="TOC1"/>
            <w:numPr>
              <w:ilvl w:val="0"/>
              <w:numId w:val="59"/>
            </w:numPr>
            <w:tabs>
              <w:tab w:val="left" w:pos="839"/>
            </w:tabs>
            <w:spacing w:line="278" w:lineRule="auto"/>
            <w:ind w:left="838" w:right="964" w:hanging="360"/>
          </w:pPr>
          <w:r>
            <w:pict>
              <v:shape id="docshape20" o:spid="_x0000_s1414" style="position:absolute;left:0;text-align:left;margin-left:1in;margin-top:17.45pt;width:467.15pt;height:.1pt;z-index:15732224;mso-position-horizontal-relative:page" coordorigin="1440,349" coordsize="9343,0" o:spt="100" adj="0,,0" path="m1440,349r1810,m3252,349r557,m3811,349r1810,m5623,349r557,m6182,349r1810,m7994,349r557,m8553,349r1810,m10365,349r418,e" filled="f" strokeweight=".44978mm">
                <v:stroke joinstyle="round"/>
                <v:formulas/>
                <v:path arrowok="t" o:connecttype="segments"/>
                <w10:wrap anchorx="page"/>
              </v:shape>
            </w:pict>
          </w:r>
          <w:r>
            <w:pict>
              <v:rect id="docshape21" o:spid="_x0000_s1413" style="position:absolute;left:0;text-align:left;margin-left:70.6pt;margin-top:62.15pt;width:470.95pt;height:1.45pt;z-index:15732736;mso-position-horizontal-relative:page" fillcolor="black" stroked="f">
                <w10:wrap anchorx="page"/>
              </v:rect>
            </w:pict>
          </w:r>
          <w:r>
            <w:t>CORE RECOMMENDATIONS AND SUPPORTING RESEARCH: INCLUSION, HOMELESSNESS,</w:t>
          </w:r>
          <w:r>
            <w:rPr>
              <w:spacing w:val="-16"/>
            </w:rPr>
            <w:t xml:space="preserve"> </w:t>
          </w:r>
          <w:r>
            <w:t>JUVENILE</w:t>
          </w:r>
          <w:r>
            <w:rPr>
              <w:spacing w:val="-16"/>
            </w:rPr>
            <w:t xml:space="preserve"> </w:t>
          </w:r>
          <w:r>
            <w:t>JUSTICE,</w:t>
          </w:r>
          <w:r>
            <w:rPr>
              <w:spacing w:val="-16"/>
            </w:rPr>
            <w:t xml:space="preserve"> </w:t>
          </w:r>
          <w:r>
            <w:t>HEALTH,</w:t>
          </w:r>
          <w:r>
            <w:rPr>
              <w:spacing w:val="-16"/>
            </w:rPr>
            <w:t xml:space="preserve"> </w:t>
          </w:r>
          <w:r>
            <w:t>AND</w:t>
          </w:r>
          <w:r>
            <w:rPr>
              <w:spacing w:val="-16"/>
            </w:rPr>
            <w:t xml:space="preserve"> </w:t>
          </w:r>
          <w:r>
            <w:t>SEXUAL</w:t>
          </w:r>
          <w:r>
            <w:rPr>
              <w:spacing w:val="-16"/>
            </w:rPr>
            <w:t xml:space="preserve"> </w:t>
          </w:r>
          <w:r>
            <w:t>VICTIMIZATION</w:t>
          </w:r>
        </w:p>
        <w:p w:rsidR="00C76E6D" w:rsidRDefault="00913831">
          <w:pPr>
            <w:pStyle w:val="TOC3"/>
            <w:numPr>
              <w:ilvl w:val="1"/>
              <w:numId w:val="59"/>
            </w:numPr>
            <w:tabs>
              <w:tab w:val="left" w:pos="879"/>
              <w:tab w:val="right" w:leader="dot" w:pos="9977"/>
            </w:tabs>
            <w:spacing w:before="375"/>
            <w:ind w:hanging="187"/>
          </w:pPr>
          <w:r>
            <w:rPr>
              <w:spacing w:val="-2"/>
            </w:rPr>
            <w:t>Increasing</w:t>
          </w:r>
          <w:r>
            <w:rPr>
              <w:spacing w:val="-1"/>
            </w:rPr>
            <w:t xml:space="preserve"> </w:t>
          </w:r>
          <w:r>
            <w:rPr>
              <w:spacing w:val="-2"/>
              <w:w w:val="95"/>
            </w:rPr>
            <w:t>Inclusion</w:t>
          </w:r>
          <w:r>
            <w:tab/>
          </w:r>
          <w:r>
            <w:rPr>
              <w:spacing w:val="-5"/>
              <w:w w:val="95"/>
            </w:rPr>
            <w:t>61</w:t>
          </w:r>
        </w:p>
        <w:p w:rsidR="00C76E6D" w:rsidRDefault="00913831">
          <w:pPr>
            <w:pStyle w:val="TOC6"/>
            <w:numPr>
              <w:ilvl w:val="2"/>
              <w:numId w:val="59"/>
            </w:numPr>
            <w:tabs>
              <w:tab w:val="left" w:pos="1412"/>
              <w:tab w:val="left" w:pos="1413"/>
              <w:tab w:val="right" w:leader="dot" w:pos="9979"/>
            </w:tabs>
            <w:spacing w:before="163"/>
            <w:rPr>
              <w:i w:val="0"/>
            </w:rPr>
          </w:pPr>
          <w:hyperlink w:anchor="_bookmark21" w:history="1">
            <w:r>
              <w:rPr>
                <w:spacing w:val="-2"/>
              </w:rPr>
              <w:t>Introduction</w:t>
            </w:r>
            <w:r>
              <w:tab/>
            </w:r>
            <w:r>
              <w:rPr>
                <w:i w:val="0"/>
                <w:spacing w:val="-5"/>
              </w:rPr>
              <w:t>61</w:t>
            </w:r>
          </w:hyperlink>
        </w:p>
        <w:p w:rsidR="00C76E6D" w:rsidRDefault="00913831">
          <w:pPr>
            <w:pStyle w:val="TOC6"/>
            <w:numPr>
              <w:ilvl w:val="2"/>
              <w:numId w:val="59"/>
            </w:numPr>
            <w:tabs>
              <w:tab w:val="left" w:pos="1364"/>
              <w:tab w:val="right" w:leader="dot" w:pos="9979"/>
            </w:tabs>
            <w:spacing w:before="45"/>
            <w:ind w:left="1363" w:hanging="365"/>
            <w:rPr>
              <w:i w:val="0"/>
            </w:rPr>
          </w:pPr>
          <w:hyperlink w:anchor="_bookmark90" w:history="1">
            <w:r>
              <w:t>Recommendations</w:t>
            </w:r>
            <w:r>
              <w:rPr>
                <w:spacing w:val="-15"/>
              </w:rPr>
              <w:t xml:space="preserve"> </w:t>
            </w:r>
            <w:r>
              <w:t>to</w:t>
            </w:r>
            <w:r>
              <w:rPr>
                <w:spacing w:val="-8"/>
              </w:rPr>
              <w:t xml:space="preserve"> </w:t>
            </w:r>
            <w:r>
              <w:t>the</w:t>
            </w:r>
            <w:r>
              <w:rPr>
                <w:spacing w:val="-11"/>
              </w:rPr>
              <w:t xml:space="preserve"> </w:t>
            </w:r>
            <w:r>
              <w:t>Governor</w:t>
            </w:r>
            <w:r>
              <w:rPr>
                <w:spacing w:val="-8"/>
              </w:rPr>
              <w:t xml:space="preserve"> </w:t>
            </w:r>
            <w:r>
              <w:t>and</w:t>
            </w:r>
            <w:r>
              <w:rPr>
                <w:spacing w:val="-7"/>
              </w:rPr>
              <w:t xml:space="preserve"> </w:t>
            </w:r>
            <w:r>
              <w:t>Legislature</w:t>
            </w:r>
            <w:r>
              <w:rPr>
                <w:spacing w:val="-8"/>
              </w:rPr>
              <w:t xml:space="preserve"> </w:t>
            </w:r>
            <w:r>
              <w:t>on</w:t>
            </w:r>
            <w:r>
              <w:rPr>
                <w:spacing w:val="-9"/>
              </w:rPr>
              <w:t xml:space="preserve"> </w:t>
            </w:r>
            <w:r>
              <w:t>Increasing</w:t>
            </w:r>
            <w:r>
              <w:rPr>
                <w:spacing w:val="-9"/>
              </w:rPr>
              <w:t xml:space="preserve"> </w:t>
            </w:r>
            <w:r>
              <w:rPr>
                <w:spacing w:val="-2"/>
              </w:rPr>
              <w:t>Inclusion</w:t>
            </w:r>
            <w:r>
              <w:tab/>
            </w:r>
            <w:r>
              <w:rPr>
                <w:i w:val="0"/>
                <w:spacing w:val="-5"/>
              </w:rPr>
              <w:t>61</w:t>
            </w:r>
          </w:hyperlink>
        </w:p>
        <w:p w:rsidR="00C76E6D" w:rsidRDefault="00913831">
          <w:pPr>
            <w:pStyle w:val="TOC6"/>
            <w:numPr>
              <w:ilvl w:val="2"/>
              <w:numId w:val="59"/>
            </w:numPr>
            <w:tabs>
              <w:tab w:val="left" w:pos="1338"/>
              <w:tab w:val="right" w:leader="dot" w:pos="9979"/>
            </w:tabs>
            <w:spacing w:before="44"/>
            <w:ind w:left="1338" w:hanging="363"/>
            <w:rPr>
              <w:i w:val="0"/>
            </w:rPr>
          </w:pPr>
          <w:r>
            <w:t>La</w:t>
          </w:r>
          <w:hyperlink w:anchor="_bookmark91" w:history="1">
            <w:r>
              <w:t>test</w:t>
            </w:r>
            <w:r>
              <w:rPr>
                <w:spacing w:val="-6"/>
              </w:rPr>
              <w:t xml:space="preserve"> </w:t>
            </w:r>
            <w:r>
              <w:t>Research</w:t>
            </w:r>
            <w:r>
              <w:rPr>
                <w:spacing w:val="-7"/>
              </w:rPr>
              <w:t xml:space="preserve"> </w:t>
            </w:r>
            <w:r>
              <w:t>on</w:t>
            </w:r>
            <w:r>
              <w:rPr>
                <w:spacing w:val="-7"/>
              </w:rPr>
              <w:t xml:space="preserve"> </w:t>
            </w:r>
            <w:r>
              <w:t>Inclusion</w:t>
            </w:r>
            <w:r>
              <w:rPr>
                <w:spacing w:val="-7"/>
              </w:rPr>
              <w:t xml:space="preserve"> </w:t>
            </w:r>
            <w:r>
              <w:t>in</w:t>
            </w:r>
            <w:r>
              <w:rPr>
                <w:spacing w:val="-6"/>
              </w:rPr>
              <w:t xml:space="preserve"> </w:t>
            </w:r>
            <w:r>
              <w:rPr>
                <w:spacing w:val="-2"/>
              </w:rPr>
              <w:t>Schools</w:t>
            </w:r>
            <w:r>
              <w:tab/>
            </w:r>
            <w:r>
              <w:rPr>
                <w:i w:val="0"/>
                <w:spacing w:val="-5"/>
              </w:rPr>
              <w:t>64</w:t>
            </w:r>
          </w:hyperlink>
        </w:p>
        <w:p w:rsidR="00C76E6D" w:rsidRDefault="00913831">
          <w:pPr>
            <w:pStyle w:val="TOC4"/>
            <w:numPr>
              <w:ilvl w:val="1"/>
              <w:numId w:val="59"/>
            </w:numPr>
            <w:tabs>
              <w:tab w:val="left" w:pos="980"/>
              <w:tab w:val="right" w:leader="dot" w:pos="9979"/>
            </w:tabs>
            <w:ind w:left="979" w:hanging="251"/>
          </w:pPr>
          <w:r>
            <w:t>Ending</w:t>
          </w:r>
          <w:r>
            <w:rPr>
              <w:spacing w:val="-13"/>
            </w:rPr>
            <w:t xml:space="preserve"> </w:t>
          </w:r>
          <w:r>
            <w:rPr>
              <w:spacing w:val="-2"/>
            </w:rPr>
            <w:t>Homelessness</w:t>
          </w:r>
          <w:r>
            <w:tab/>
          </w:r>
          <w:r>
            <w:rPr>
              <w:spacing w:val="-5"/>
            </w:rPr>
            <w:t>77</w:t>
          </w:r>
        </w:p>
        <w:p w:rsidR="00C76E6D" w:rsidRDefault="00913831">
          <w:pPr>
            <w:pStyle w:val="TOC6"/>
            <w:numPr>
              <w:ilvl w:val="2"/>
              <w:numId w:val="59"/>
            </w:numPr>
            <w:tabs>
              <w:tab w:val="left" w:pos="1352"/>
              <w:tab w:val="right" w:leader="dot" w:pos="9979"/>
            </w:tabs>
            <w:spacing w:before="166"/>
            <w:ind w:left="1351" w:hanging="365"/>
            <w:rPr>
              <w:i w:val="0"/>
            </w:rPr>
          </w:pPr>
          <w:hyperlink w:anchor="_bookmark67" w:history="1">
            <w:r>
              <w:rPr>
                <w:spacing w:val="-2"/>
              </w:rPr>
              <w:t>Introduction</w:t>
            </w:r>
            <w:r>
              <w:tab/>
            </w:r>
            <w:r>
              <w:rPr>
                <w:i w:val="0"/>
                <w:spacing w:val="-5"/>
              </w:rPr>
              <w:t>77</w:t>
            </w:r>
          </w:hyperlink>
        </w:p>
        <w:p w:rsidR="00C76E6D" w:rsidRDefault="00913831">
          <w:pPr>
            <w:pStyle w:val="TOC6"/>
            <w:numPr>
              <w:ilvl w:val="2"/>
              <w:numId w:val="59"/>
            </w:numPr>
            <w:tabs>
              <w:tab w:val="left" w:pos="1360"/>
              <w:tab w:val="right" w:leader="dot" w:pos="9979"/>
            </w:tabs>
            <w:ind w:left="1359" w:hanging="362"/>
            <w:rPr>
              <w:i w:val="0"/>
            </w:rPr>
          </w:pPr>
          <w:hyperlink w:anchor="_bookmark160" w:history="1">
            <w:r>
              <w:t>Recommendations</w:t>
            </w:r>
            <w:r>
              <w:rPr>
                <w:spacing w:val="-13"/>
              </w:rPr>
              <w:t xml:space="preserve"> </w:t>
            </w:r>
            <w:r>
              <w:t>to</w:t>
            </w:r>
            <w:r>
              <w:rPr>
                <w:spacing w:val="-9"/>
              </w:rPr>
              <w:t xml:space="preserve"> </w:t>
            </w:r>
            <w:r>
              <w:t>the</w:t>
            </w:r>
            <w:r>
              <w:rPr>
                <w:spacing w:val="-8"/>
              </w:rPr>
              <w:t xml:space="preserve"> </w:t>
            </w:r>
            <w:r>
              <w:t>Governor</w:t>
            </w:r>
            <w:r>
              <w:rPr>
                <w:spacing w:val="-7"/>
              </w:rPr>
              <w:t xml:space="preserve"> </w:t>
            </w:r>
            <w:r>
              <w:t>and</w:t>
            </w:r>
            <w:r>
              <w:rPr>
                <w:spacing w:val="-9"/>
              </w:rPr>
              <w:t xml:space="preserve"> </w:t>
            </w:r>
            <w:r>
              <w:t>Legislature</w:t>
            </w:r>
            <w:r>
              <w:rPr>
                <w:spacing w:val="-6"/>
              </w:rPr>
              <w:t xml:space="preserve"> </w:t>
            </w:r>
            <w:r>
              <w:t>on</w:t>
            </w:r>
            <w:r>
              <w:rPr>
                <w:spacing w:val="-9"/>
              </w:rPr>
              <w:t xml:space="preserve"> </w:t>
            </w:r>
            <w:r>
              <w:t>Ending</w:t>
            </w:r>
            <w:r>
              <w:rPr>
                <w:spacing w:val="-9"/>
              </w:rPr>
              <w:t xml:space="preserve"> </w:t>
            </w:r>
            <w:r>
              <w:rPr>
                <w:spacing w:val="-2"/>
              </w:rPr>
              <w:t>Homelessness</w:t>
            </w:r>
            <w:r>
              <w:tab/>
            </w:r>
            <w:r>
              <w:rPr>
                <w:i w:val="0"/>
                <w:spacing w:val="-5"/>
              </w:rPr>
              <w:t>78</w:t>
            </w:r>
          </w:hyperlink>
        </w:p>
        <w:p w:rsidR="00C76E6D" w:rsidRDefault="00913831">
          <w:pPr>
            <w:pStyle w:val="TOC8"/>
            <w:numPr>
              <w:ilvl w:val="2"/>
              <w:numId w:val="59"/>
            </w:numPr>
            <w:tabs>
              <w:tab w:val="left" w:pos="1390"/>
              <w:tab w:val="right" w:leader="dot" w:pos="9979"/>
            </w:tabs>
            <w:ind w:left="1389" w:hanging="362"/>
            <w:rPr>
              <w:i w:val="0"/>
            </w:rPr>
          </w:pPr>
          <w:hyperlink w:anchor="_bookmark161" w:history="1">
            <w:r>
              <w:t>Understanding</w:t>
            </w:r>
            <w:r>
              <w:rPr>
                <w:spacing w:val="-11"/>
              </w:rPr>
              <w:t xml:space="preserve"> </w:t>
            </w:r>
            <w:r>
              <w:t>Youth</w:t>
            </w:r>
            <w:r>
              <w:rPr>
                <w:spacing w:val="-9"/>
              </w:rPr>
              <w:t xml:space="preserve"> </w:t>
            </w:r>
            <w:r>
              <w:rPr>
                <w:spacing w:val="-2"/>
              </w:rPr>
              <w:t>Homelessness</w:t>
            </w:r>
            <w:r>
              <w:tab/>
            </w:r>
            <w:r>
              <w:rPr>
                <w:i w:val="0"/>
                <w:spacing w:val="-5"/>
              </w:rPr>
              <w:t>83</w:t>
            </w:r>
          </w:hyperlink>
        </w:p>
        <w:p w:rsidR="00C76E6D" w:rsidRDefault="00913831">
          <w:pPr>
            <w:pStyle w:val="TOC6"/>
            <w:numPr>
              <w:ilvl w:val="2"/>
              <w:numId w:val="59"/>
            </w:numPr>
            <w:tabs>
              <w:tab w:val="left" w:pos="1371"/>
              <w:tab w:val="right" w:leader="dot" w:pos="9979"/>
            </w:tabs>
            <w:spacing w:before="45"/>
            <w:ind w:left="1370" w:hanging="363"/>
            <w:rPr>
              <w:i w:val="0"/>
            </w:rPr>
          </w:pPr>
          <w:hyperlink w:anchor="_bookmark162" w:history="1">
            <w:r>
              <w:t>Progress</w:t>
            </w:r>
            <w:r>
              <w:rPr>
                <w:spacing w:val="-8"/>
              </w:rPr>
              <w:t xml:space="preserve"> </w:t>
            </w:r>
            <w:r>
              <w:t>in</w:t>
            </w:r>
            <w:r>
              <w:rPr>
                <w:spacing w:val="-10"/>
              </w:rPr>
              <w:t xml:space="preserve"> </w:t>
            </w:r>
            <w:r>
              <w:t>Massachusetts</w:t>
            </w:r>
            <w:r>
              <w:rPr>
                <w:spacing w:val="-6"/>
              </w:rPr>
              <w:t xml:space="preserve"> </w:t>
            </w:r>
            <w:r>
              <w:t>Towards</w:t>
            </w:r>
            <w:r>
              <w:rPr>
                <w:spacing w:val="-9"/>
              </w:rPr>
              <w:t xml:space="preserve"> </w:t>
            </w:r>
            <w:r>
              <w:t>Ending</w:t>
            </w:r>
            <w:r>
              <w:rPr>
                <w:spacing w:val="-8"/>
              </w:rPr>
              <w:t xml:space="preserve"> </w:t>
            </w:r>
            <w:r>
              <w:rPr>
                <w:spacing w:val="-2"/>
              </w:rPr>
              <w:t>Homelessnes</w:t>
            </w:r>
            <w:r>
              <w:rPr>
                <w:spacing w:val="-2"/>
              </w:rPr>
              <w:t>s</w:t>
            </w:r>
            <w:r>
              <w:tab/>
            </w:r>
            <w:r>
              <w:rPr>
                <w:i w:val="0"/>
                <w:spacing w:val="-5"/>
              </w:rPr>
              <w:t>93</w:t>
            </w:r>
          </w:hyperlink>
        </w:p>
        <w:p w:rsidR="00C76E6D" w:rsidRDefault="00913831">
          <w:pPr>
            <w:pStyle w:val="TOC4"/>
            <w:numPr>
              <w:ilvl w:val="1"/>
              <w:numId w:val="59"/>
            </w:numPr>
            <w:tabs>
              <w:tab w:val="left" w:pos="1023"/>
              <w:tab w:val="right" w:leader="dot" w:pos="9975"/>
            </w:tabs>
            <w:ind w:left="1022" w:hanging="314"/>
          </w:pPr>
          <w:r>
            <w:rPr>
              <w:spacing w:val="-2"/>
            </w:rPr>
            <w:t>Advancing</w:t>
          </w:r>
          <w:r>
            <w:rPr>
              <w:spacing w:val="-3"/>
            </w:rPr>
            <w:t xml:space="preserve"> </w:t>
          </w:r>
          <w:r>
            <w:rPr>
              <w:spacing w:val="-2"/>
              <w:w w:val="95"/>
            </w:rPr>
            <w:t>Justice</w:t>
          </w:r>
          <w:r>
            <w:tab/>
          </w:r>
          <w:r>
            <w:rPr>
              <w:spacing w:val="-5"/>
            </w:rPr>
            <w:t>104</w:t>
          </w:r>
        </w:p>
        <w:p w:rsidR="00C76E6D" w:rsidRDefault="00913831">
          <w:pPr>
            <w:pStyle w:val="TOC6"/>
            <w:numPr>
              <w:ilvl w:val="2"/>
              <w:numId w:val="59"/>
            </w:numPr>
            <w:tabs>
              <w:tab w:val="left" w:pos="1348"/>
              <w:tab w:val="right" w:leader="dot" w:pos="9975"/>
            </w:tabs>
            <w:spacing w:before="166"/>
            <w:ind w:left="1347" w:hanging="362"/>
            <w:rPr>
              <w:i w:val="0"/>
            </w:rPr>
          </w:pPr>
          <w:hyperlink w:anchor="_bookmark347" w:history="1">
            <w:r>
              <w:rPr>
                <w:spacing w:val="-2"/>
              </w:rPr>
              <w:t>Introduction</w:t>
            </w:r>
            <w:r>
              <w:tab/>
            </w:r>
            <w:r>
              <w:rPr>
                <w:i w:val="0"/>
                <w:spacing w:val="-5"/>
              </w:rPr>
              <w:t>104</w:t>
            </w:r>
          </w:hyperlink>
        </w:p>
        <w:p w:rsidR="00C76E6D" w:rsidRDefault="00913831">
          <w:pPr>
            <w:pStyle w:val="TOC6"/>
            <w:numPr>
              <w:ilvl w:val="2"/>
              <w:numId w:val="59"/>
            </w:numPr>
            <w:tabs>
              <w:tab w:val="left" w:pos="1377"/>
              <w:tab w:val="right" w:leader="dot" w:pos="9975"/>
            </w:tabs>
            <w:ind w:left="1376" w:hanging="363"/>
            <w:rPr>
              <w:i w:val="0"/>
            </w:rPr>
          </w:pPr>
          <w:hyperlink w:anchor="_bookmark348" w:history="1">
            <w:r>
              <w:t>Recommendations</w:t>
            </w:r>
            <w:r>
              <w:rPr>
                <w:spacing w:val="-14"/>
              </w:rPr>
              <w:t xml:space="preserve"> </w:t>
            </w:r>
            <w:r>
              <w:t>to</w:t>
            </w:r>
            <w:r>
              <w:rPr>
                <w:spacing w:val="-8"/>
              </w:rPr>
              <w:t xml:space="preserve"> </w:t>
            </w:r>
            <w:r>
              <w:t>the</w:t>
            </w:r>
            <w:r>
              <w:rPr>
                <w:spacing w:val="-11"/>
              </w:rPr>
              <w:t xml:space="preserve"> </w:t>
            </w:r>
            <w:r>
              <w:t>Governor</w:t>
            </w:r>
            <w:r>
              <w:rPr>
                <w:spacing w:val="-8"/>
              </w:rPr>
              <w:t xml:space="preserve"> </w:t>
            </w:r>
            <w:r>
              <w:t>and</w:t>
            </w:r>
            <w:r>
              <w:rPr>
                <w:spacing w:val="-9"/>
              </w:rPr>
              <w:t xml:space="preserve"> </w:t>
            </w:r>
            <w:r>
              <w:t>Legislature</w:t>
            </w:r>
            <w:r>
              <w:rPr>
                <w:spacing w:val="-8"/>
              </w:rPr>
              <w:t xml:space="preserve"> </w:t>
            </w:r>
            <w:r>
              <w:t>on</w:t>
            </w:r>
            <w:r>
              <w:rPr>
                <w:spacing w:val="-9"/>
              </w:rPr>
              <w:t xml:space="preserve"> </w:t>
            </w:r>
            <w:r>
              <w:t>Advancing</w:t>
            </w:r>
            <w:r>
              <w:rPr>
                <w:spacing w:val="-9"/>
              </w:rPr>
              <w:t xml:space="preserve"> </w:t>
            </w:r>
            <w:r>
              <w:rPr>
                <w:spacing w:val="-2"/>
              </w:rPr>
              <w:t>Justice</w:t>
            </w:r>
            <w:r>
              <w:tab/>
            </w:r>
            <w:r>
              <w:rPr>
                <w:i w:val="0"/>
                <w:spacing w:val="-5"/>
              </w:rPr>
              <w:t>104</w:t>
            </w:r>
          </w:hyperlink>
        </w:p>
        <w:p w:rsidR="00C76E6D" w:rsidRDefault="00913831">
          <w:pPr>
            <w:pStyle w:val="TOC6"/>
            <w:numPr>
              <w:ilvl w:val="2"/>
              <w:numId w:val="59"/>
            </w:numPr>
            <w:tabs>
              <w:tab w:val="left" w:pos="1377"/>
              <w:tab w:val="right" w:leader="dot" w:pos="9976"/>
            </w:tabs>
            <w:ind w:left="1376" w:hanging="363"/>
            <w:rPr>
              <w:i w:val="0"/>
            </w:rPr>
          </w:pPr>
          <w:hyperlink w:anchor="_bookmark349" w:history="1">
            <w:r>
              <w:t>Latest</w:t>
            </w:r>
            <w:r>
              <w:rPr>
                <w:spacing w:val="-9"/>
              </w:rPr>
              <w:t xml:space="preserve"> </w:t>
            </w:r>
            <w:r>
              <w:t>Research</w:t>
            </w:r>
            <w:r>
              <w:rPr>
                <w:spacing w:val="-9"/>
              </w:rPr>
              <w:t xml:space="preserve"> </w:t>
            </w:r>
            <w:r>
              <w:t>on</w:t>
            </w:r>
            <w:r>
              <w:rPr>
                <w:spacing w:val="-9"/>
              </w:rPr>
              <w:t xml:space="preserve"> </w:t>
            </w:r>
            <w:r>
              <w:t>Advancing</w:t>
            </w:r>
            <w:r>
              <w:rPr>
                <w:spacing w:val="-8"/>
              </w:rPr>
              <w:t xml:space="preserve"> </w:t>
            </w:r>
            <w:r>
              <w:rPr>
                <w:spacing w:val="-2"/>
              </w:rPr>
              <w:t>Justice</w:t>
            </w:r>
            <w:r>
              <w:tab/>
            </w:r>
            <w:r>
              <w:rPr>
                <w:i w:val="0"/>
                <w:spacing w:val="-5"/>
              </w:rPr>
              <w:t>108</w:t>
            </w:r>
          </w:hyperlink>
        </w:p>
        <w:p w:rsidR="00C76E6D" w:rsidRDefault="00913831">
          <w:pPr>
            <w:pStyle w:val="TOC4"/>
            <w:numPr>
              <w:ilvl w:val="1"/>
              <w:numId w:val="59"/>
            </w:numPr>
            <w:tabs>
              <w:tab w:val="left" w:pos="1053"/>
              <w:tab w:val="right" w:leader="dot" w:pos="9975"/>
            </w:tabs>
            <w:spacing w:before="165"/>
            <w:ind w:left="1052" w:hanging="327"/>
          </w:pPr>
          <w:r>
            <w:rPr>
              <w:spacing w:val="-2"/>
            </w:rPr>
            <w:t>Improving</w:t>
          </w:r>
          <w:r>
            <w:rPr>
              <w:spacing w:val="3"/>
            </w:rPr>
            <w:t xml:space="preserve"> </w:t>
          </w:r>
          <w:r>
            <w:rPr>
              <w:spacing w:val="-2"/>
              <w:w w:val="95"/>
            </w:rPr>
            <w:t>Health</w:t>
          </w:r>
          <w:r>
            <w:tab/>
          </w:r>
          <w:r>
            <w:rPr>
              <w:spacing w:val="-5"/>
            </w:rPr>
            <w:t>119</w:t>
          </w:r>
        </w:p>
        <w:p w:rsidR="00C76E6D" w:rsidRDefault="00913831">
          <w:pPr>
            <w:pStyle w:val="TOC6"/>
            <w:numPr>
              <w:ilvl w:val="2"/>
              <w:numId w:val="59"/>
            </w:numPr>
            <w:tabs>
              <w:tab w:val="left" w:pos="1336"/>
              <w:tab w:val="right" w:leader="dot" w:pos="9975"/>
            </w:tabs>
            <w:spacing w:before="164"/>
            <w:ind w:left="1335" w:hanging="363"/>
            <w:rPr>
              <w:i w:val="0"/>
            </w:rPr>
          </w:pPr>
          <w:hyperlink w:anchor="_bookmark417" w:history="1">
            <w:r>
              <w:rPr>
                <w:spacing w:val="-2"/>
              </w:rPr>
              <w:t>Introduction</w:t>
            </w:r>
            <w:r>
              <w:tab/>
            </w:r>
            <w:r>
              <w:rPr>
                <w:i w:val="0"/>
                <w:spacing w:val="-5"/>
              </w:rPr>
              <w:t>119</w:t>
            </w:r>
          </w:hyperlink>
        </w:p>
        <w:p w:rsidR="00C76E6D" w:rsidRDefault="00913831">
          <w:pPr>
            <w:pStyle w:val="TOC6"/>
            <w:numPr>
              <w:ilvl w:val="2"/>
              <w:numId w:val="59"/>
            </w:numPr>
            <w:tabs>
              <w:tab w:val="left" w:pos="1344"/>
              <w:tab w:val="right" w:leader="dot" w:pos="9975"/>
            </w:tabs>
            <w:spacing w:before="45"/>
            <w:ind w:left="1344" w:hanging="363"/>
            <w:rPr>
              <w:i w:val="0"/>
            </w:rPr>
          </w:pPr>
          <w:hyperlink w:anchor="_bookmark416" w:history="1">
            <w:r>
              <w:t>Recommendations</w:t>
            </w:r>
            <w:r>
              <w:rPr>
                <w:spacing w:val="-15"/>
              </w:rPr>
              <w:t xml:space="preserve"> </w:t>
            </w:r>
            <w:r>
              <w:t>to</w:t>
            </w:r>
            <w:r>
              <w:rPr>
                <w:spacing w:val="-9"/>
              </w:rPr>
              <w:t xml:space="preserve"> </w:t>
            </w:r>
            <w:r>
              <w:t>the</w:t>
            </w:r>
            <w:r>
              <w:rPr>
                <w:spacing w:val="-9"/>
              </w:rPr>
              <w:t xml:space="preserve"> </w:t>
            </w:r>
            <w:r>
              <w:t>Governor</w:t>
            </w:r>
            <w:r>
              <w:rPr>
                <w:spacing w:val="-8"/>
              </w:rPr>
              <w:t xml:space="preserve"> </w:t>
            </w:r>
            <w:r>
              <w:t>and</w:t>
            </w:r>
            <w:r>
              <w:rPr>
                <w:spacing w:val="-9"/>
              </w:rPr>
              <w:t xml:space="preserve"> </w:t>
            </w:r>
            <w:r>
              <w:t>Legislature</w:t>
            </w:r>
            <w:r>
              <w:rPr>
                <w:spacing w:val="-7"/>
              </w:rPr>
              <w:t xml:space="preserve"> </w:t>
            </w:r>
            <w:r>
              <w:t>on</w:t>
            </w:r>
            <w:r>
              <w:rPr>
                <w:spacing w:val="-9"/>
              </w:rPr>
              <w:t xml:space="preserve"> </w:t>
            </w:r>
            <w:r>
              <w:t>Improving</w:t>
            </w:r>
            <w:r>
              <w:rPr>
                <w:spacing w:val="-8"/>
              </w:rPr>
              <w:t xml:space="preserve"> </w:t>
            </w:r>
            <w:r>
              <w:rPr>
                <w:spacing w:val="-2"/>
              </w:rPr>
              <w:t>Health</w:t>
            </w:r>
            <w:r>
              <w:tab/>
            </w:r>
            <w:r>
              <w:rPr>
                <w:i w:val="0"/>
                <w:spacing w:val="-5"/>
              </w:rPr>
              <w:t>119</w:t>
            </w:r>
          </w:hyperlink>
        </w:p>
        <w:p w:rsidR="00C76E6D" w:rsidRDefault="00913831">
          <w:pPr>
            <w:pStyle w:val="TOC8"/>
            <w:numPr>
              <w:ilvl w:val="2"/>
              <w:numId w:val="59"/>
            </w:numPr>
            <w:tabs>
              <w:tab w:val="left" w:pos="1389"/>
              <w:tab w:val="right" w:leader="dot" w:pos="9975"/>
            </w:tabs>
            <w:ind w:left="1388" w:hanging="363"/>
            <w:rPr>
              <w:i w:val="0"/>
            </w:rPr>
          </w:pPr>
          <w:hyperlink w:anchor="_bookmark418" w:history="1">
            <w:r>
              <w:t>Latest</w:t>
            </w:r>
            <w:r>
              <w:rPr>
                <w:spacing w:val="-9"/>
              </w:rPr>
              <w:t xml:space="preserve"> </w:t>
            </w:r>
            <w:r>
              <w:t>research</w:t>
            </w:r>
            <w:r>
              <w:rPr>
                <w:spacing w:val="-9"/>
              </w:rPr>
              <w:t xml:space="preserve"> </w:t>
            </w:r>
            <w:r>
              <w:t>on</w:t>
            </w:r>
            <w:r>
              <w:rPr>
                <w:spacing w:val="-9"/>
              </w:rPr>
              <w:t xml:space="preserve"> </w:t>
            </w:r>
            <w:r>
              <w:t>Improving</w:t>
            </w:r>
            <w:r>
              <w:rPr>
                <w:spacing w:val="-8"/>
              </w:rPr>
              <w:t xml:space="preserve"> </w:t>
            </w:r>
            <w:r>
              <w:rPr>
                <w:spacing w:val="-2"/>
              </w:rPr>
              <w:t>Health</w:t>
            </w:r>
            <w:r>
              <w:tab/>
            </w:r>
            <w:r>
              <w:rPr>
                <w:i w:val="0"/>
                <w:spacing w:val="-5"/>
              </w:rPr>
              <w:t>121</w:t>
            </w:r>
          </w:hyperlink>
        </w:p>
        <w:p w:rsidR="00C76E6D" w:rsidRDefault="00913831">
          <w:pPr>
            <w:pStyle w:val="TOC4"/>
            <w:numPr>
              <w:ilvl w:val="1"/>
              <w:numId w:val="59"/>
            </w:numPr>
            <w:tabs>
              <w:tab w:val="left" w:pos="982"/>
              <w:tab w:val="right" w:leader="dot" w:pos="9976"/>
            </w:tabs>
            <w:ind w:left="981" w:hanging="264"/>
          </w:pPr>
          <w:r>
            <w:t>Sexual</w:t>
          </w:r>
          <w:r>
            <w:rPr>
              <w:spacing w:val="-6"/>
            </w:rPr>
            <w:t xml:space="preserve"> </w:t>
          </w:r>
          <w:r>
            <w:rPr>
              <w:spacing w:val="-2"/>
            </w:rPr>
            <w:t>Victimization</w:t>
          </w:r>
          <w:r>
            <w:tab/>
          </w:r>
          <w:r>
            <w:rPr>
              <w:spacing w:val="-5"/>
            </w:rPr>
            <w:t>137</w:t>
          </w:r>
        </w:p>
        <w:p w:rsidR="00C76E6D" w:rsidRDefault="00913831">
          <w:pPr>
            <w:pStyle w:val="TOC6"/>
            <w:numPr>
              <w:ilvl w:val="2"/>
              <w:numId w:val="59"/>
            </w:numPr>
            <w:tabs>
              <w:tab w:val="left" w:pos="1274"/>
              <w:tab w:val="right" w:leader="dot" w:pos="9975"/>
            </w:tabs>
            <w:spacing w:before="165" w:after="240"/>
            <w:ind w:left="1273" w:hanging="258"/>
            <w:rPr>
              <w:i w:val="0"/>
            </w:rPr>
          </w:pPr>
          <w:hyperlink w:anchor="_bookmark510" w:history="1">
            <w:r>
              <w:rPr>
                <w:spacing w:val="-2"/>
              </w:rPr>
              <w:t>Introduction</w:t>
            </w:r>
            <w:r>
              <w:tab/>
            </w:r>
            <w:r>
              <w:rPr>
                <w:i w:val="0"/>
                <w:spacing w:val="-5"/>
              </w:rPr>
              <w:t>137</w:t>
            </w:r>
          </w:hyperlink>
        </w:p>
        <w:p w:rsidR="00C76E6D" w:rsidRDefault="00913831">
          <w:pPr>
            <w:pStyle w:val="TOC6"/>
            <w:numPr>
              <w:ilvl w:val="2"/>
              <w:numId w:val="59"/>
            </w:numPr>
            <w:tabs>
              <w:tab w:val="left" w:pos="1244"/>
              <w:tab w:val="right" w:leader="dot" w:pos="9975"/>
            </w:tabs>
            <w:spacing w:before="88"/>
            <w:ind w:left="1243" w:hanging="248"/>
            <w:rPr>
              <w:i w:val="0"/>
            </w:rPr>
          </w:pPr>
          <w:hyperlink w:anchor="_bookmark511" w:history="1">
            <w:r>
              <w:t>Recommendations</w:t>
            </w:r>
            <w:r>
              <w:rPr>
                <w:spacing w:val="-14"/>
              </w:rPr>
              <w:t xml:space="preserve"> </w:t>
            </w:r>
            <w:r>
              <w:t>to</w:t>
            </w:r>
            <w:r>
              <w:rPr>
                <w:spacing w:val="-8"/>
              </w:rPr>
              <w:t xml:space="preserve"> </w:t>
            </w:r>
            <w:r>
              <w:t>the</w:t>
            </w:r>
            <w:r>
              <w:rPr>
                <w:spacing w:val="-9"/>
              </w:rPr>
              <w:t xml:space="preserve"> </w:t>
            </w:r>
            <w:r>
              <w:t>Governor</w:t>
            </w:r>
            <w:r>
              <w:rPr>
                <w:spacing w:val="-8"/>
              </w:rPr>
              <w:t xml:space="preserve"> </w:t>
            </w:r>
            <w:r>
              <w:t>and</w:t>
            </w:r>
            <w:r>
              <w:rPr>
                <w:spacing w:val="-9"/>
              </w:rPr>
              <w:t xml:space="preserve"> </w:t>
            </w:r>
            <w:r>
              <w:t>Legislature</w:t>
            </w:r>
            <w:r>
              <w:rPr>
                <w:spacing w:val="-8"/>
              </w:rPr>
              <w:t xml:space="preserve"> </w:t>
            </w:r>
            <w:r>
              <w:t>on</w:t>
            </w:r>
            <w:r>
              <w:rPr>
                <w:spacing w:val="-9"/>
              </w:rPr>
              <w:t xml:space="preserve"> </w:t>
            </w:r>
            <w:r>
              <w:t>Sexual</w:t>
            </w:r>
            <w:r>
              <w:rPr>
                <w:spacing w:val="-7"/>
              </w:rPr>
              <w:t xml:space="preserve"> </w:t>
            </w:r>
            <w:r>
              <w:rPr>
                <w:spacing w:val="-2"/>
              </w:rPr>
              <w:t>Victimization</w:t>
            </w:r>
            <w:r>
              <w:tab/>
            </w:r>
            <w:r>
              <w:rPr>
                <w:i w:val="0"/>
                <w:spacing w:val="-5"/>
              </w:rPr>
              <w:t>138</w:t>
            </w:r>
          </w:hyperlink>
        </w:p>
        <w:p w:rsidR="00C76E6D" w:rsidRDefault="00913831">
          <w:pPr>
            <w:pStyle w:val="TOC6"/>
            <w:numPr>
              <w:ilvl w:val="2"/>
              <w:numId w:val="59"/>
            </w:numPr>
            <w:tabs>
              <w:tab w:val="left" w:pos="1236"/>
              <w:tab w:val="right" w:leader="dot" w:pos="9976"/>
            </w:tabs>
            <w:spacing w:before="166"/>
            <w:ind w:left="1236" w:hanging="243"/>
            <w:rPr>
              <w:i w:val="0"/>
            </w:rPr>
          </w:pPr>
          <w:r>
            <w:t>La</w:t>
          </w:r>
          <w:hyperlink w:anchor="_bookmark512" w:history="1">
            <w:r>
              <w:t>test</w:t>
            </w:r>
            <w:r>
              <w:rPr>
                <w:spacing w:val="-9"/>
              </w:rPr>
              <w:t xml:space="preserve"> </w:t>
            </w:r>
            <w:r>
              <w:t>Research</w:t>
            </w:r>
            <w:r>
              <w:rPr>
                <w:spacing w:val="-6"/>
              </w:rPr>
              <w:t xml:space="preserve"> </w:t>
            </w:r>
            <w:r>
              <w:t>on</w:t>
            </w:r>
            <w:r>
              <w:rPr>
                <w:spacing w:val="-9"/>
              </w:rPr>
              <w:t xml:space="preserve"> </w:t>
            </w:r>
            <w:r>
              <w:t>Sexual</w:t>
            </w:r>
            <w:r>
              <w:rPr>
                <w:spacing w:val="-6"/>
              </w:rPr>
              <w:t xml:space="preserve"> </w:t>
            </w:r>
            <w:r>
              <w:rPr>
                <w:spacing w:val="-2"/>
              </w:rPr>
              <w:t>Victimization</w:t>
            </w:r>
            <w:r>
              <w:tab/>
            </w:r>
            <w:r>
              <w:rPr>
                <w:i w:val="0"/>
                <w:spacing w:val="-5"/>
              </w:rPr>
              <w:t>138</w:t>
            </w:r>
          </w:hyperlink>
        </w:p>
        <w:p w:rsidR="00C76E6D" w:rsidRDefault="00913831">
          <w:pPr>
            <w:pStyle w:val="TOC1"/>
            <w:numPr>
              <w:ilvl w:val="0"/>
              <w:numId w:val="59"/>
            </w:numPr>
            <w:tabs>
              <w:tab w:val="left" w:pos="826"/>
            </w:tabs>
            <w:spacing w:before="625"/>
            <w:ind w:left="825" w:hanging="348"/>
          </w:pPr>
          <w:r>
            <w:pict>
              <v:line id="_x0000_s1412" style="position:absolute;left:0;text-align:left;z-index:15734272;mso-position-horizontal-relative:page" from="1in,21.25pt" to="538pt,21.25pt" strokeweight="1.09pt">
                <w10:wrap anchorx="page"/>
              </v:line>
            </w:pict>
          </w:r>
          <w:r>
            <w:pict>
              <v:rect id="docshape22" o:spid="_x0000_s1411" style="position:absolute;left:0;text-align:left;margin-left:70.6pt;margin-top:51.85pt;width:470.95pt;height:1.45pt;z-index:15734784;mso-position-horizontal-relative:page" fillcolor="black" stroked="f">
                <w10:wrap anchorx="page"/>
              </v:rect>
            </w:pict>
          </w:r>
          <w:r>
            <w:rPr>
              <w:w w:val="95"/>
            </w:rPr>
            <w:t>AGE</w:t>
          </w:r>
          <w:r>
            <w:rPr>
              <w:w w:val="95"/>
            </w:rPr>
            <w:t>NCY</w:t>
          </w:r>
          <w:r>
            <w:rPr>
              <w:spacing w:val="23"/>
            </w:rPr>
            <w:t xml:space="preserve"> </w:t>
          </w:r>
          <w:r>
            <w:rPr>
              <w:spacing w:val="-2"/>
            </w:rPr>
            <w:t>RECOMMENDATIONS</w:t>
          </w:r>
        </w:p>
        <w:p w:rsidR="00C76E6D" w:rsidRDefault="00913831">
          <w:pPr>
            <w:pStyle w:val="TOC3"/>
            <w:tabs>
              <w:tab w:val="right" w:leader="dot" w:pos="9975"/>
            </w:tabs>
            <w:spacing w:before="434"/>
            <w:ind w:left="681"/>
          </w:pPr>
          <w:hyperlink w:anchor="_bookmark554" w:history="1">
            <w:r>
              <w:t>Executive</w:t>
            </w:r>
            <w:r>
              <w:rPr>
                <w:spacing w:val="-11"/>
              </w:rPr>
              <w:t xml:space="preserve"> </w:t>
            </w:r>
            <w:r>
              <w:t>Office</w:t>
            </w:r>
            <w:r>
              <w:rPr>
                <w:spacing w:val="-9"/>
              </w:rPr>
              <w:t xml:space="preserve"> </w:t>
            </w:r>
            <w:r>
              <w:t>of</w:t>
            </w:r>
            <w:r>
              <w:rPr>
                <w:spacing w:val="-11"/>
              </w:rPr>
              <w:t xml:space="preserve"> </w:t>
            </w:r>
            <w:r>
              <w:t>Education</w:t>
            </w:r>
            <w:r>
              <w:rPr>
                <w:spacing w:val="-8"/>
              </w:rPr>
              <w:t xml:space="preserve"> </w:t>
            </w:r>
            <w:r>
              <w:rPr>
                <w:spacing w:val="-2"/>
              </w:rPr>
              <w:t>Recommendations</w:t>
            </w:r>
            <w:r>
              <w:tab/>
            </w:r>
            <w:r>
              <w:rPr>
                <w:spacing w:val="-5"/>
                <w:w w:val="95"/>
              </w:rPr>
              <w:t>147</w:t>
            </w:r>
          </w:hyperlink>
        </w:p>
        <w:p w:rsidR="00C76E6D" w:rsidRDefault="00913831">
          <w:pPr>
            <w:pStyle w:val="TOC5"/>
            <w:tabs>
              <w:tab w:val="right" w:leader="dot" w:pos="9975"/>
            </w:tabs>
            <w:spacing w:before="166"/>
            <w:ind w:left="985"/>
          </w:pPr>
          <w:hyperlink w:anchor="_bookmark555" w:history="1">
            <w:r>
              <w:t>Department</w:t>
            </w:r>
            <w:r>
              <w:rPr>
                <w:spacing w:val="-13"/>
              </w:rPr>
              <w:t xml:space="preserve"> </w:t>
            </w:r>
            <w:r>
              <w:t>of</w:t>
            </w:r>
            <w:r>
              <w:rPr>
                <w:spacing w:val="-5"/>
              </w:rPr>
              <w:t xml:space="preserve"> </w:t>
            </w:r>
            <w:r>
              <w:t>Early</w:t>
            </w:r>
            <w:r>
              <w:rPr>
                <w:spacing w:val="-7"/>
              </w:rPr>
              <w:t xml:space="preserve"> </w:t>
            </w:r>
            <w:r>
              <w:t>Education</w:t>
            </w:r>
            <w:r>
              <w:rPr>
                <w:spacing w:val="-8"/>
              </w:rPr>
              <w:t xml:space="preserve"> </w:t>
            </w:r>
            <w:r>
              <w:t>and</w:t>
            </w:r>
            <w:r>
              <w:rPr>
                <w:spacing w:val="-6"/>
              </w:rPr>
              <w:t xml:space="preserve"> </w:t>
            </w:r>
            <w:r>
              <w:rPr>
                <w:spacing w:val="-4"/>
              </w:rPr>
              <w:t>Care</w:t>
            </w:r>
            <w:r>
              <w:tab/>
            </w:r>
            <w:r>
              <w:rPr>
                <w:spacing w:val="-5"/>
              </w:rPr>
              <w:t>147</w:t>
            </w:r>
          </w:hyperlink>
        </w:p>
        <w:p w:rsidR="00C76E6D" w:rsidRDefault="00913831">
          <w:pPr>
            <w:pStyle w:val="TOC5"/>
            <w:tabs>
              <w:tab w:val="right" w:leader="dot" w:pos="9975"/>
            </w:tabs>
            <w:ind w:left="983"/>
          </w:pPr>
          <w:hyperlink w:anchor="_bookmark556" w:history="1">
            <w:r>
              <w:t>Department</w:t>
            </w:r>
            <w:r>
              <w:rPr>
                <w:spacing w:val="-15"/>
              </w:rPr>
              <w:t xml:space="preserve"> </w:t>
            </w:r>
            <w:r>
              <w:t>of</w:t>
            </w:r>
            <w:r>
              <w:rPr>
                <w:spacing w:val="-10"/>
              </w:rPr>
              <w:t xml:space="preserve"> </w:t>
            </w:r>
            <w:r>
              <w:t>Elementary</w:t>
            </w:r>
            <w:r>
              <w:rPr>
                <w:spacing w:val="-9"/>
              </w:rPr>
              <w:t xml:space="preserve"> </w:t>
            </w:r>
            <w:r>
              <w:t>and</w:t>
            </w:r>
            <w:r>
              <w:rPr>
                <w:spacing w:val="-10"/>
              </w:rPr>
              <w:t xml:space="preserve"> </w:t>
            </w:r>
            <w:r>
              <w:t>Secondary</w:t>
            </w:r>
            <w:r>
              <w:rPr>
                <w:spacing w:val="-7"/>
              </w:rPr>
              <w:t xml:space="preserve"> </w:t>
            </w:r>
            <w:r>
              <w:rPr>
                <w:spacing w:val="-2"/>
                <w:w w:val="95"/>
              </w:rPr>
              <w:t>Education</w:t>
            </w:r>
            <w:r>
              <w:tab/>
            </w:r>
            <w:r>
              <w:rPr>
                <w:spacing w:val="-5"/>
              </w:rPr>
              <w:t>151</w:t>
            </w:r>
          </w:hyperlink>
        </w:p>
        <w:p w:rsidR="00C76E6D" w:rsidRDefault="00913831">
          <w:pPr>
            <w:pStyle w:val="TOC5"/>
            <w:tabs>
              <w:tab w:val="right" w:leader="dot" w:pos="9976"/>
            </w:tabs>
            <w:ind w:left="1013"/>
          </w:pPr>
          <w:hyperlink w:anchor="_bookmark559" w:history="1">
            <w:r>
              <w:t>Department</w:t>
            </w:r>
            <w:r>
              <w:rPr>
                <w:spacing w:val="-13"/>
              </w:rPr>
              <w:t xml:space="preserve"> </w:t>
            </w:r>
            <w:r>
              <w:t>of</w:t>
            </w:r>
            <w:r>
              <w:rPr>
                <w:spacing w:val="-9"/>
              </w:rPr>
              <w:t xml:space="preserve"> </w:t>
            </w:r>
            <w:r>
              <w:t>Higher</w:t>
            </w:r>
            <w:r>
              <w:rPr>
                <w:spacing w:val="-9"/>
              </w:rPr>
              <w:t xml:space="preserve"> </w:t>
            </w:r>
            <w:r>
              <w:rPr>
                <w:spacing w:val="-2"/>
              </w:rPr>
              <w:t>Education</w:t>
            </w:r>
            <w:r>
              <w:tab/>
            </w:r>
            <w:r>
              <w:rPr>
                <w:spacing w:val="-5"/>
                <w:w w:val="95"/>
              </w:rPr>
              <w:t>157</w:t>
            </w:r>
          </w:hyperlink>
        </w:p>
        <w:p w:rsidR="00C76E6D" w:rsidRDefault="00913831">
          <w:pPr>
            <w:pStyle w:val="TOC3"/>
            <w:tabs>
              <w:tab w:val="right" w:leader="dot" w:pos="9975"/>
            </w:tabs>
            <w:spacing w:before="165"/>
          </w:pPr>
          <w:hyperlink w:anchor="_bookmark566" w:history="1">
            <w:r>
              <w:t>Executive</w:t>
            </w:r>
            <w:r>
              <w:rPr>
                <w:spacing w:val="-13"/>
              </w:rPr>
              <w:t xml:space="preserve"> </w:t>
            </w:r>
            <w:r>
              <w:t>Office</w:t>
            </w:r>
            <w:r>
              <w:rPr>
                <w:spacing w:val="-7"/>
              </w:rPr>
              <w:t xml:space="preserve"> </w:t>
            </w:r>
            <w:r>
              <w:t>of</w:t>
            </w:r>
            <w:r>
              <w:rPr>
                <w:spacing w:val="-10"/>
              </w:rPr>
              <w:t xml:space="preserve"> </w:t>
            </w:r>
            <w:r>
              <w:t>Health</w:t>
            </w:r>
            <w:r>
              <w:rPr>
                <w:spacing w:val="-8"/>
              </w:rPr>
              <w:t xml:space="preserve"> </w:t>
            </w:r>
            <w:r>
              <w:t>and</w:t>
            </w:r>
            <w:r>
              <w:rPr>
                <w:spacing w:val="-9"/>
              </w:rPr>
              <w:t xml:space="preserve"> </w:t>
            </w:r>
            <w:r>
              <w:t>Human</w:t>
            </w:r>
            <w:r>
              <w:rPr>
                <w:spacing w:val="-7"/>
              </w:rPr>
              <w:t xml:space="preserve"> </w:t>
            </w:r>
            <w:r>
              <w:t>Services</w:t>
            </w:r>
            <w:r>
              <w:rPr>
                <w:spacing w:val="-4"/>
              </w:rPr>
              <w:t xml:space="preserve"> </w:t>
            </w:r>
            <w:r>
              <w:rPr>
                <w:spacing w:val="-2"/>
                <w:w w:val="95"/>
              </w:rPr>
              <w:t>Recommendations</w:t>
            </w:r>
            <w:r>
              <w:tab/>
            </w:r>
            <w:r>
              <w:rPr>
                <w:spacing w:val="-5"/>
              </w:rPr>
              <w:t>161</w:t>
            </w:r>
          </w:hyperlink>
        </w:p>
        <w:p w:rsidR="00C76E6D" w:rsidRDefault="00913831">
          <w:pPr>
            <w:pStyle w:val="TOC7"/>
            <w:tabs>
              <w:tab w:val="right" w:leader="dot" w:pos="9975"/>
            </w:tabs>
            <w:ind w:left="1052"/>
          </w:pPr>
          <w:hyperlink w:anchor="_bookmark567" w:history="1">
            <w:r>
              <w:t>Department</w:t>
            </w:r>
            <w:r>
              <w:rPr>
                <w:spacing w:val="-11"/>
              </w:rPr>
              <w:t xml:space="preserve"> </w:t>
            </w:r>
            <w:r>
              <w:t>of</w:t>
            </w:r>
            <w:r>
              <w:rPr>
                <w:spacing w:val="-6"/>
              </w:rPr>
              <w:t xml:space="preserve"> </w:t>
            </w:r>
            <w:r>
              <w:t>Children</w:t>
            </w:r>
            <w:r>
              <w:rPr>
                <w:spacing w:val="-11"/>
              </w:rPr>
              <w:t xml:space="preserve"> </w:t>
            </w:r>
            <w:r>
              <w:t>and</w:t>
            </w:r>
            <w:r>
              <w:rPr>
                <w:spacing w:val="-6"/>
              </w:rPr>
              <w:t xml:space="preserve"> </w:t>
            </w:r>
            <w:r>
              <w:rPr>
                <w:spacing w:val="-2"/>
                <w:w w:val="95"/>
              </w:rPr>
              <w:t>Families</w:t>
            </w:r>
            <w:r>
              <w:tab/>
            </w:r>
            <w:r>
              <w:rPr>
                <w:spacing w:val="-5"/>
              </w:rPr>
              <w:t>162</w:t>
            </w:r>
          </w:hyperlink>
        </w:p>
        <w:p w:rsidR="00C76E6D" w:rsidRDefault="00913831">
          <w:pPr>
            <w:pStyle w:val="TOC7"/>
            <w:tabs>
              <w:tab w:val="right" w:leader="dot" w:pos="9975"/>
            </w:tabs>
            <w:ind w:left="1052"/>
          </w:pPr>
          <w:hyperlink w:anchor="_bookmark568" w:history="1">
            <w:r>
              <w:t>Office</w:t>
            </w:r>
            <w:r>
              <w:rPr>
                <w:spacing w:val="-5"/>
              </w:rPr>
              <w:t xml:space="preserve"> </w:t>
            </w:r>
            <w:r>
              <w:t>of</w:t>
            </w:r>
            <w:r>
              <w:rPr>
                <w:spacing w:val="-4"/>
              </w:rPr>
              <w:t xml:space="preserve"> </w:t>
            </w:r>
            <w:r>
              <w:t>the</w:t>
            </w:r>
            <w:r>
              <w:rPr>
                <w:spacing w:val="-1"/>
              </w:rPr>
              <w:t xml:space="preserve"> </w:t>
            </w:r>
            <w:r>
              <w:t>Child</w:t>
            </w:r>
            <w:r>
              <w:rPr>
                <w:spacing w:val="-4"/>
              </w:rPr>
              <w:t xml:space="preserve"> </w:t>
            </w:r>
            <w:r>
              <w:rPr>
                <w:spacing w:val="-2"/>
                <w:w w:val="95"/>
              </w:rPr>
              <w:t>Advocate</w:t>
            </w:r>
            <w:r>
              <w:tab/>
            </w:r>
            <w:r>
              <w:rPr>
                <w:spacing w:val="-5"/>
              </w:rPr>
              <w:t>172</w:t>
            </w:r>
          </w:hyperlink>
        </w:p>
        <w:p w:rsidR="00C76E6D" w:rsidRDefault="00913831">
          <w:pPr>
            <w:pStyle w:val="TOC7"/>
            <w:tabs>
              <w:tab w:val="right" w:leader="dot" w:pos="9976"/>
            </w:tabs>
            <w:ind w:left="1021"/>
          </w:pPr>
          <w:hyperlink w:anchor="_bookmark573" w:history="1">
            <w:r>
              <w:t>Massachusetts</w:t>
            </w:r>
            <w:r>
              <w:rPr>
                <w:spacing w:val="-12"/>
              </w:rPr>
              <w:t xml:space="preserve"> </w:t>
            </w:r>
            <w:r>
              <w:t>Commission</w:t>
            </w:r>
            <w:r>
              <w:rPr>
                <w:spacing w:val="-12"/>
              </w:rPr>
              <w:t xml:space="preserve"> </w:t>
            </w:r>
            <w:r>
              <w:t>for</w:t>
            </w:r>
            <w:r>
              <w:rPr>
                <w:spacing w:val="-11"/>
              </w:rPr>
              <w:t xml:space="preserve"> </w:t>
            </w:r>
            <w:r>
              <w:t>the</w:t>
            </w:r>
            <w:r>
              <w:rPr>
                <w:spacing w:val="-8"/>
              </w:rPr>
              <w:t xml:space="preserve"> </w:t>
            </w:r>
            <w:r>
              <w:rPr>
                <w:spacing w:val="-2"/>
              </w:rPr>
              <w:t>Blind</w:t>
            </w:r>
            <w:r>
              <w:tab/>
            </w:r>
            <w:r>
              <w:rPr>
                <w:spacing w:val="-5"/>
              </w:rPr>
              <w:t>176</w:t>
            </w:r>
          </w:hyperlink>
        </w:p>
        <w:p w:rsidR="00C76E6D" w:rsidRDefault="00913831">
          <w:pPr>
            <w:pStyle w:val="TOC7"/>
            <w:tabs>
              <w:tab w:val="right" w:leader="dot" w:pos="9975"/>
            </w:tabs>
            <w:spacing w:before="166"/>
          </w:pPr>
          <w:hyperlink w:anchor="_bookmark576" w:history="1">
            <w:r>
              <w:t>Massachusetts</w:t>
            </w:r>
            <w:r>
              <w:rPr>
                <w:spacing w:val="-12"/>
              </w:rPr>
              <w:t xml:space="preserve"> </w:t>
            </w:r>
            <w:r>
              <w:t>Commission</w:t>
            </w:r>
            <w:r>
              <w:rPr>
                <w:spacing w:val="-9"/>
              </w:rPr>
              <w:t xml:space="preserve"> </w:t>
            </w:r>
            <w:r>
              <w:t>for</w:t>
            </w:r>
            <w:r>
              <w:rPr>
                <w:spacing w:val="-7"/>
              </w:rPr>
              <w:t xml:space="preserve"> </w:t>
            </w:r>
            <w:r>
              <w:t>the</w:t>
            </w:r>
            <w:r>
              <w:rPr>
                <w:spacing w:val="-6"/>
              </w:rPr>
              <w:t xml:space="preserve"> </w:t>
            </w:r>
            <w:r>
              <w:t>Deaf</w:t>
            </w:r>
            <w:r>
              <w:rPr>
                <w:spacing w:val="-9"/>
              </w:rPr>
              <w:t xml:space="preserve"> </w:t>
            </w:r>
            <w:r>
              <w:t>and</w:t>
            </w:r>
            <w:r>
              <w:rPr>
                <w:spacing w:val="-6"/>
              </w:rPr>
              <w:t xml:space="preserve"> </w:t>
            </w:r>
            <w:r>
              <w:t>Hard</w:t>
            </w:r>
            <w:r>
              <w:rPr>
                <w:spacing w:val="-8"/>
              </w:rPr>
              <w:t xml:space="preserve"> </w:t>
            </w:r>
            <w:r>
              <w:t>of</w:t>
            </w:r>
            <w:r>
              <w:rPr>
                <w:spacing w:val="-5"/>
              </w:rPr>
              <w:t xml:space="preserve"> </w:t>
            </w:r>
            <w:r>
              <w:rPr>
                <w:spacing w:val="-2"/>
              </w:rPr>
              <w:t>Hearing</w:t>
            </w:r>
            <w:r>
              <w:tab/>
            </w:r>
            <w:r>
              <w:rPr>
                <w:spacing w:val="-5"/>
              </w:rPr>
              <w:t>178</w:t>
            </w:r>
          </w:hyperlink>
        </w:p>
        <w:p w:rsidR="00C76E6D" w:rsidRDefault="00913831">
          <w:pPr>
            <w:pStyle w:val="TOC7"/>
            <w:tabs>
              <w:tab w:val="right" w:leader="dot" w:pos="9975"/>
            </w:tabs>
            <w:ind w:left="1031"/>
          </w:pPr>
          <w:hyperlink w:anchor="_bookmark578" w:history="1">
            <w:r>
              <w:rPr>
                <w:spacing w:val="-2"/>
              </w:rPr>
              <w:t>Massachusetts</w:t>
            </w:r>
            <w:r>
              <w:rPr>
                <w:spacing w:val="8"/>
              </w:rPr>
              <w:t xml:space="preserve"> </w:t>
            </w:r>
            <w:r>
              <w:rPr>
                <w:spacing w:val="-2"/>
              </w:rPr>
              <w:t>Rehabilitation</w:t>
            </w:r>
            <w:r>
              <w:rPr>
                <w:spacing w:val="11"/>
              </w:rPr>
              <w:t xml:space="preserve"> </w:t>
            </w:r>
            <w:r>
              <w:rPr>
                <w:spacing w:val="-2"/>
              </w:rPr>
              <w:t>Commission</w:t>
            </w:r>
            <w:r>
              <w:tab/>
            </w:r>
            <w:r>
              <w:rPr>
                <w:spacing w:val="-5"/>
                <w:w w:val="95"/>
              </w:rPr>
              <w:t>180</w:t>
            </w:r>
          </w:hyperlink>
        </w:p>
        <w:p w:rsidR="00C76E6D" w:rsidRDefault="00913831">
          <w:pPr>
            <w:pStyle w:val="TOC7"/>
            <w:tabs>
              <w:tab w:val="right" w:leader="dot" w:pos="9976"/>
            </w:tabs>
            <w:spacing w:before="165"/>
            <w:ind w:left="1021"/>
          </w:pPr>
          <w:hyperlink w:anchor="_bookmark582" w:history="1">
            <w:r>
              <w:t>Department</w:t>
            </w:r>
            <w:r>
              <w:rPr>
                <w:spacing w:val="-13"/>
              </w:rPr>
              <w:t xml:space="preserve"> </w:t>
            </w:r>
            <w:r>
              <w:t>of</w:t>
            </w:r>
            <w:r>
              <w:rPr>
                <w:spacing w:val="-9"/>
              </w:rPr>
              <w:t xml:space="preserve"> </w:t>
            </w:r>
            <w:r>
              <w:t>Mental</w:t>
            </w:r>
            <w:r>
              <w:rPr>
                <w:spacing w:val="-6"/>
              </w:rPr>
              <w:t xml:space="preserve"> </w:t>
            </w:r>
            <w:r>
              <w:rPr>
                <w:spacing w:val="-2"/>
              </w:rPr>
              <w:t>Health</w:t>
            </w:r>
            <w:r>
              <w:tab/>
            </w:r>
            <w:r>
              <w:rPr>
                <w:spacing w:val="-5"/>
              </w:rPr>
              <w:t>183</w:t>
            </w:r>
          </w:hyperlink>
        </w:p>
        <w:p w:rsidR="00C76E6D" w:rsidRDefault="00913831">
          <w:pPr>
            <w:pStyle w:val="TOC7"/>
            <w:tabs>
              <w:tab w:val="right" w:leader="dot" w:pos="9975"/>
            </w:tabs>
          </w:pPr>
          <w:hyperlink w:anchor="_bookmark585" w:history="1">
            <w:r>
              <w:t>Department</w:t>
            </w:r>
            <w:r>
              <w:rPr>
                <w:spacing w:val="-13"/>
              </w:rPr>
              <w:t xml:space="preserve"> </w:t>
            </w:r>
            <w:r>
              <w:t>of</w:t>
            </w:r>
            <w:r>
              <w:rPr>
                <w:spacing w:val="-9"/>
              </w:rPr>
              <w:t xml:space="preserve"> </w:t>
            </w:r>
            <w:r>
              <w:t>Public</w:t>
            </w:r>
            <w:r>
              <w:rPr>
                <w:spacing w:val="-7"/>
              </w:rPr>
              <w:t xml:space="preserve"> </w:t>
            </w:r>
            <w:r>
              <w:rPr>
                <w:spacing w:val="-2"/>
              </w:rPr>
              <w:t>Health</w:t>
            </w:r>
            <w:r>
              <w:tab/>
            </w:r>
            <w:r>
              <w:rPr>
                <w:spacing w:val="-5"/>
              </w:rPr>
              <w:t>186</w:t>
            </w:r>
          </w:hyperlink>
        </w:p>
        <w:p w:rsidR="00C76E6D" w:rsidRDefault="00913831">
          <w:pPr>
            <w:pStyle w:val="TOC5"/>
            <w:tabs>
              <w:tab w:val="right" w:leader="dot" w:pos="9975"/>
            </w:tabs>
            <w:ind w:left="998"/>
          </w:pPr>
          <w:hyperlink w:anchor="_bookmark590" w:history="1">
            <w:r>
              <w:rPr>
                <w:spacing w:val="-2"/>
              </w:rPr>
              <w:t>MassHealth</w:t>
            </w:r>
            <w:r>
              <w:tab/>
            </w:r>
            <w:r>
              <w:rPr>
                <w:spacing w:val="-5"/>
              </w:rPr>
              <w:t>192</w:t>
            </w:r>
          </w:hyperlink>
        </w:p>
        <w:p w:rsidR="00C76E6D" w:rsidRDefault="00913831">
          <w:pPr>
            <w:pStyle w:val="TOC5"/>
            <w:tabs>
              <w:tab w:val="right" w:leader="dot" w:pos="9975"/>
            </w:tabs>
            <w:spacing w:before="166"/>
            <w:ind w:left="1005"/>
          </w:pPr>
          <w:hyperlink w:anchor="_bookmark602" w:history="1">
            <w:r>
              <w:t>Office</w:t>
            </w:r>
            <w:r>
              <w:rPr>
                <w:spacing w:val="-12"/>
              </w:rPr>
              <w:t xml:space="preserve"> </w:t>
            </w:r>
            <w:r>
              <w:t>for</w:t>
            </w:r>
            <w:r>
              <w:rPr>
                <w:spacing w:val="-7"/>
              </w:rPr>
              <w:t xml:space="preserve"> </w:t>
            </w:r>
            <w:r>
              <w:t>Refugees</w:t>
            </w:r>
            <w:r>
              <w:rPr>
                <w:spacing w:val="-9"/>
              </w:rPr>
              <w:t xml:space="preserve"> </w:t>
            </w:r>
            <w:r>
              <w:t>and</w:t>
            </w:r>
            <w:r>
              <w:rPr>
                <w:spacing w:val="-8"/>
              </w:rPr>
              <w:t xml:space="preserve"> </w:t>
            </w:r>
            <w:r>
              <w:rPr>
                <w:spacing w:val="-2"/>
              </w:rPr>
              <w:t>Immigrants</w:t>
            </w:r>
            <w:r>
              <w:tab/>
            </w:r>
            <w:r>
              <w:rPr>
                <w:spacing w:val="-5"/>
              </w:rPr>
              <w:t>197</w:t>
            </w:r>
          </w:hyperlink>
        </w:p>
        <w:p w:rsidR="00C76E6D" w:rsidRDefault="00913831">
          <w:pPr>
            <w:pStyle w:val="TOC7"/>
            <w:tabs>
              <w:tab w:val="right" w:leader="dot" w:pos="9975"/>
            </w:tabs>
            <w:spacing w:before="164"/>
            <w:ind w:left="1028"/>
          </w:pPr>
          <w:hyperlink w:anchor="_bookmark608" w:history="1">
            <w:r>
              <w:t>Department</w:t>
            </w:r>
            <w:r>
              <w:rPr>
                <w:spacing w:val="-14"/>
              </w:rPr>
              <w:t xml:space="preserve"> </w:t>
            </w:r>
            <w:r>
              <w:t>of</w:t>
            </w:r>
            <w:r>
              <w:rPr>
                <w:spacing w:val="-10"/>
              </w:rPr>
              <w:t xml:space="preserve"> </w:t>
            </w:r>
            <w:r>
              <w:t>Transitional</w:t>
            </w:r>
            <w:r>
              <w:rPr>
                <w:spacing w:val="-11"/>
              </w:rPr>
              <w:t xml:space="preserve"> </w:t>
            </w:r>
            <w:r>
              <w:rPr>
                <w:spacing w:val="-2"/>
              </w:rPr>
              <w:t>Assistance</w:t>
            </w:r>
            <w:r>
              <w:tab/>
            </w:r>
            <w:r>
              <w:rPr>
                <w:spacing w:val="-5"/>
              </w:rPr>
              <w:t>200</w:t>
            </w:r>
          </w:hyperlink>
        </w:p>
        <w:p w:rsidR="00C76E6D" w:rsidRDefault="00913831">
          <w:pPr>
            <w:pStyle w:val="TOC5"/>
            <w:tabs>
              <w:tab w:val="right" w:leader="dot" w:pos="9975"/>
            </w:tabs>
            <w:ind w:left="997"/>
          </w:pPr>
          <w:hyperlink w:anchor="_bookmark614" w:history="1">
            <w:r>
              <w:t>Department</w:t>
            </w:r>
            <w:r>
              <w:rPr>
                <w:spacing w:val="-13"/>
              </w:rPr>
              <w:t xml:space="preserve"> </w:t>
            </w:r>
            <w:r>
              <w:t>of</w:t>
            </w:r>
            <w:r>
              <w:rPr>
                <w:spacing w:val="-10"/>
              </w:rPr>
              <w:t xml:space="preserve"> </w:t>
            </w:r>
            <w:r>
              <w:t>Youth</w:t>
            </w:r>
            <w:r>
              <w:rPr>
                <w:spacing w:val="-5"/>
              </w:rPr>
              <w:t xml:space="preserve"> </w:t>
            </w:r>
            <w:r>
              <w:rPr>
                <w:spacing w:val="-2"/>
              </w:rPr>
              <w:t>Services</w:t>
            </w:r>
            <w:r>
              <w:tab/>
            </w:r>
            <w:r>
              <w:rPr>
                <w:spacing w:val="-5"/>
              </w:rPr>
              <w:t>203</w:t>
            </w:r>
          </w:hyperlink>
        </w:p>
        <w:p w:rsidR="00C76E6D" w:rsidRDefault="00913831">
          <w:pPr>
            <w:pStyle w:val="TOC3"/>
            <w:tabs>
              <w:tab w:val="right" w:leader="dot" w:pos="9975"/>
            </w:tabs>
            <w:ind w:left="651"/>
          </w:pPr>
          <w:hyperlink w:anchor="_bookmark620" w:history="1">
            <w:r>
              <w:t>Additional</w:t>
            </w:r>
            <w:r>
              <w:rPr>
                <w:spacing w:val="-13"/>
              </w:rPr>
              <w:t xml:space="preserve"> </w:t>
            </w:r>
            <w:r>
              <w:t>State</w:t>
            </w:r>
            <w:r>
              <w:rPr>
                <w:spacing w:val="-12"/>
              </w:rPr>
              <w:t xml:space="preserve"> </w:t>
            </w:r>
            <w:r>
              <w:rPr>
                <w:spacing w:val="-2"/>
              </w:rPr>
              <w:t>Entities</w:t>
            </w:r>
            <w:r>
              <w:tab/>
            </w:r>
            <w:r>
              <w:rPr>
                <w:spacing w:val="-5"/>
              </w:rPr>
              <w:t>207</w:t>
            </w:r>
          </w:hyperlink>
        </w:p>
        <w:p w:rsidR="00C76E6D" w:rsidRDefault="00913831">
          <w:pPr>
            <w:pStyle w:val="TOC7"/>
            <w:tabs>
              <w:tab w:val="right" w:leader="dot" w:pos="9976"/>
            </w:tabs>
            <w:ind w:left="1026"/>
          </w:pPr>
          <w:hyperlink w:anchor="_bookmark621" w:history="1">
            <w:r>
              <w:t>Executive</w:t>
            </w:r>
            <w:r>
              <w:rPr>
                <w:spacing w:val="-11"/>
              </w:rPr>
              <w:t xml:space="preserve"> </w:t>
            </w:r>
            <w:r>
              <w:t>Office</w:t>
            </w:r>
            <w:r>
              <w:rPr>
                <w:spacing w:val="-8"/>
              </w:rPr>
              <w:t xml:space="preserve"> </w:t>
            </w:r>
            <w:r>
              <w:t>of</w:t>
            </w:r>
            <w:r>
              <w:rPr>
                <w:spacing w:val="-8"/>
              </w:rPr>
              <w:t xml:space="preserve"> </w:t>
            </w:r>
            <w:r>
              <w:t>Public</w:t>
            </w:r>
            <w:r>
              <w:rPr>
                <w:spacing w:val="-8"/>
              </w:rPr>
              <w:t xml:space="preserve"> </w:t>
            </w:r>
            <w:r>
              <w:t>Safety</w:t>
            </w:r>
            <w:r>
              <w:rPr>
                <w:spacing w:val="-9"/>
              </w:rPr>
              <w:t xml:space="preserve"> </w:t>
            </w:r>
            <w:r>
              <w:t>and</w:t>
            </w:r>
            <w:r>
              <w:rPr>
                <w:spacing w:val="-6"/>
              </w:rPr>
              <w:t xml:space="preserve"> </w:t>
            </w:r>
            <w:r>
              <w:rPr>
                <w:spacing w:val="-2"/>
              </w:rPr>
              <w:t>Security</w:t>
            </w:r>
            <w:r>
              <w:tab/>
            </w:r>
            <w:r>
              <w:rPr>
                <w:spacing w:val="-5"/>
              </w:rPr>
              <w:t>207</w:t>
            </w:r>
          </w:hyperlink>
        </w:p>
        <w:p w:rsidR="00C76E6D" w:rsidRDefault="00913831">
          <w:pPr>
            <w:pStyle w:val="TOC5"/>
            <w:tabs>
              <w:tab w:val="right" w:leader="dot" w:pos="9975"/>
            </w:tabs>
            <w:spacing w:before="166"/>
          </w:pPr>
          <w:hyperlink w:anchor="_bookmark627" w:history="1">
            <w:r>
              <w:t>Registry</w:t>
            </w:r>
            <w:r>
              <w:rPr>
                <w:spacing w:val="-9"/>
              </w:rPr>
              <w:t xml:space="preserve"> </w:t>
            </w:r>
            <w:r>
              <w:t>of</w:t>
            </w:r>
            <w:r>
              <w:rPr>
                <w:spacing w:val="-8"/>
              </w:rPr>
              <w:t xml:space="preserve"> </w:t>
            </w:r>
            <w:r>
              <w:t>Motor</w:t>
            </w:r>
            <w:r>
              <w:rPr>
                <w:spacing w:val="-6"/>
              </w:rPr>
              <w:t xml:space="preserve"> </w:t>
            </w:r>
            <w:r>
              <w:rPr>
                <w:spacing w:val="-2"/>
              </w:rPr>
              <w:t>Vehicles</w:t>
            </w:r>
            <w:r>
              <w:tab/>
            </w:r>
            <w:r>
              <w:rPr>
                <w:spacing w:val="-5"/>
              </w:rPr>
              <w:t>210</w:t>
            </w:r>
          </w:hyperlink>
        </w:p>
        <w:p w:rsidR="00C76E6D" w:rsidRDefault="00913831">
          <w:pPr>
            <w:pStyle w:val="TOC7"/>
            <w:tabs>
              <w:tab w:val="right" w:leader="dot" w:pos="9975"/>
            </w:tabs>
            <w:spacing w:before="164"/>
            <w:ind w:left="1035"/>
          </w:pPr>
          <w:hyperlink w:anchor="_bookmark632" w:history="1">
            <w:r>
              <w:t>Massachusetts</w:t>
            </w:r>
            <w:r>
              <w:rPr>
                <w:spacing w:val="-12"/>
              </w:rPr>
              <w:t xml:space="preserve"> </w:t>
            </w:r>
            <w:r>
              <w:t>Board</w:t>
            </w:r>
            <w:r>
              <w:rPr>
                <w:spacing w:val="-10"/>
              </w:rPr>
              <w:t xml:space="preserve"> </w:t>
            </w:r>
            <w:r>
              <w:t>of</w:t>
            </w:r>
            <w:r>
              <w:rPr>
                <w:spacing w:val="-10"/>
              </w:rPr>
              <w:t xml:space="preserve"> </w:t>
            </w:r>
            <w:r>
              <w:t>Library</w:t>
            </w:r>
            <w:r>
              <w:rPr>
                <w:spacing w:val="-8"/>
              </w:rPr>
              <w:t xml:space="preserve"> </w:t>
            </w:r>
            <w:r>
              <w:rPr>
                <w:spacing w:val="-2"/>
              </w:rPr>
              <w:t>Commissioners</w:t>
            </w:r>
            <w:r>
              <w:tab/>
            </w:r>
            <w:r>
              <w:rPr>
                <w:spacing w:val="-5"/>
              </w:rPr>
              <w:t>214</w:t>
            </w:r>
          </w:hyperlink>
        </w:p>
        <w:p w:rsidR="00C76E6D" w:rsidRDefault="00913831">
          <w:pPr>
            <w:pStyle w:val="TOC7"/>
            <w:tabs>
              <w:tab w:val="right" w:leader="dot" w:pos="9975"/>
            </w:tabs>
          </w:pPr>
          <w:hyperlink w:anchor="_bookmark637" w:history="1">
            <w:r>
              <w:t>Department</w:t>
            </w:r>
            <w:r>
              <w:rPr>
                <w:spacing w:val="-13"/>
              </w:rPr>
              <w:t xml:space="preserve"> </w:t>
            </w:r>
            <w:r>
              <w:t>of</w:t>
            </w:r>
            <w:r>
              <w:rPr>
                <w:spacing w:val="-9"/>
              </w:rPr>
              <w:t xml:space="preserve"> </w:t>
            </w:r>
            <w:r>
              <w:t>Housing</w:t>
            </w:r>
            <w:r>
              <w:rPr>
                <w:spacing w:val="-9"/>
              </w:rPr>
              <w:t xml:space="preserve"> </w:t>
            </w:r>
            <w:r>
              <w:t>and</w:t>
            </w:r>
            <w:r>
              <w:rPr>
                <w:spacing w:val="-7"/>
              </w:rPr>
              <w:t xml:space="preserve"> </w:t>
            </w:r>
            <w:r>
              <w:t>Community</w:t>
            </w:r>
            <w:r>
              <w:rPr>
                <w:spacing w:val="-8"/>
              </w:rPr>
              <w:t xml:space="preserve"> </w:t>
            </w:r>
            <w:r>
              <w:rPr>
                <w:spacing w:val="-2"/>
              </w:rPr>
              <w:t>Development</w:t>
            </w:r>
            <w:r>
              <w:tab/>
            </w:r>
            <w:r>
              <w:rPr>
                <w:spacing w:val="-5"/>
              </w:rPr>
              <w:t>217</w:t>
            </w:r>
          </w:hyperlink>
        </w:p>
        <w:p w:rsidR="00C76E6D" w:rsidRDefault="00913831">
          <w:pPr>
            <w:pStyle w:val="TOC5"/>
            <w:tabs>
              <w:tab w:val="right" w:leader="dot" w:pos="9975"/>
            </w:tabs>
            <w:spacing w:before="165"/>
          </w:pPr>
          <w:hyperlink w:anchor="_bookmark643" w:history="1">
            <w:r>
              <w:t>MassHire</w:t>
            </w:r>
            <w:r>
              <w:rPr>
                <w:spacing w:val="-9"/>
              </w:rPr>
              <w:t xml:space="preserve"> </w:t>
            </w:r>
            <w:r>
              <w:t>Department</w:t>
            </w:r>
            <w:r>
              <w:rPr>
                <w:spacing w:val="-9"/>
              </w:rPr>
              <w:t xml:space="preserve"> </w:t>
            </w:r>
            <w:r>
              <w:t>of</w:t>
            </w:r>
            <w:r>
              <w:rPr>
                <w:spacing w:val="-9"/>
              </w:rPr>
              <w:t xml:space="preserve"> </w:t>
            </w:r>
            <w:r>
              <w:t>Career</w:t>
            </w:r>
            <w:r>
              <w:rPr>
                <w:spacing w:val="-5"/>
              </w:rPr>
              <w:t xml:space="preserve"> </w:t>
            </w:r>
            <w:r>
              <w:rPr>
                <w:spacing w:val="-2"/>
              </w:rPr>
              <w:t>Services</w:t>
            </w:r>
            <w:r>
              <w:tab/>
            </w:r>
            <w:r>
              <w:rPr>
                <w:spacing w:val="-5"/>
                <w:w w:val="95"/>
              </w:rPr>
              <w:t>220</w:t>
            </w:r>
          </w:hyperlink>
        </w:p>
      </w:sdtContent>
    </w:sdt>
    <w:p w:rsidR="00C76E6D" w:rsidRDefault="00C76E6D">
      <w:pPr>
        <w:sectPr w:rsidR="00C76E6D">
          <w:type w:val="continuous"/>
          <w:pgSz w:w="12240" w:h="15840"/>
          <w:pgMar w:top="969" w:right="960" w:bottom="1164" w:left="960" w:header="769" w:footer="0" w:gutter="0"/>
          <w:cols w:space="720"/>
        </w:sectPr>
      </w:pPr>
    </w:p>
    <w:p w:rsidR="00C76E6D" w:rsidRDefault="00913831">
      <w:pPr>
        <w:pStyle w:val="ListParagraph"/>
        <w:numPr>
          <w:ilvl w:val="0"/>
          <w:numId w:val="59"/>
        </w:numPr>
        <w:tabs>
          <w:tab w:val="left" w:pos="898"/>
        </w:tabs>
        <w:spacing w:before="898"/>
        <w:ind w:left="897" w:hanging="420"/>
        <w:rPr>
          <w:b/>
          <w:sz w:val="28"/>
        </w:rPr>
      </w:pPr>
      <w:r>
        <w:pict>
          <v:shape id="docshape23" o:spid="_x0000_s1410" style="position:absolute;left:0;text-align:left;margin-left:1in;margin-top:46.3pt;width:467.15pt;height:.1pt;z-index:15735296;mso-position-horizontal-relative:page" coordorigin="1440,926" coordsize="9343,0" o:spt="100" adj="0,,0" path="m1440,926r1810,m3252,926r557,m3811,926r1810,m5623,926r557,m6182,926r1810,m7994,926r557,m8553,926r1810,m10365,926r418,e" filled="f" strokeweight=".44978mm">
            <v:stroke joinstyle="round"/>
            <v:formulas/>
            <v:path arrowok="t" o:connecttype="segments"/>
            <w10:wrap anchorx="page"/>
          </v:shape>
        </w:pict>
      </w:r>
      <w:r>
        <w:rPr>
          <w:b/>
          <w:spacing w:val="-2"/>
          <w:sz w:val="28"/>
        </w:rPr>
        <w:t>APPENDICES</w:t>
      </w:r>
    </w:p>
    <w:p w:rsidR="00C76E6D" w:rsidRDefault="00913831">
      <w:pPr>
        <w:pStyle w:val="BodyText"/>
        <w:spacing w:before="3"/>
        <w:rPr>
          <w:b/>
          <w:sz w:val="23"/>
        </w:rPr>
      </w:pPr>
      <w:r>
        <w:pict>
          <v:rect id="docshape24" o:spid="_x0000_s1409" style="position:absolute;margin-left:70.6pt;margin-top:15.4pt;width:470.95pt;height:1.45pt;z-index:-15723520;mso-wrap-distance-left:0;mso-wrap-distance-right:0;mso-position-horizontal-relative:page" fillcolor="black" stroked="f">
            <w10:wrap type="topAndBottom" anchorx="page"/>
          </v:rect>
        </w:pict>
      </w:r>
    </w:p>
    <w:p w:rsidR="00C76E6D" w:rsidRDefault="00C76E6D">
      <w:pPr>
        <w:rPr>
          <w:sz w:val="23"/>
        </w:rPr>
        <w:sectPr w:rsidR="00C76E6D">
          <w:type w:val="continuous"/>
          <w:pgSz w:w="12240" w:h="15840"/>
          <w:pgMar w:top="960" w:right="960" w:bottom="280" w:left="960" w:header="769" w:footer="0" w:gutter="0"/>
          <w:cols w:space="720"/>
        </w:sectPr>
      </w:pPr>
    </w:p>
    <w:p w:rsidR="00C76E6D" w:rsidRDefault="00913831">
      <w:pPr>
        <w:tabs>
          <w:tab w:val="right" w:leader="dot" w:pos="9976"/>
        </w:tabs>
        <w:spacing w:before="89"/>
        <w:ind w:left="717"/>
        <w:rPr>
          <w:sz w:val="24"/>
        </w:rPr>
      </w:pPr>
      <w:hyperlink w:anchor="_bookmark648" w:history="1">
        <w:r>
          <w:rPr>
            <w:sz w:val="24"/>
          </w:rPr>
          <w:t>Appendix</w:t>
        </w:r>
        <w:r>
          <w:rPr>
            <w:spacing w:val="-14"/>
            <w:sz w:val="24"/>
          </w:rPr>
          <w:t xml:space="preserve"> </w:t>
        </w:r>
        <w:r>
          <w:rPr>
            <w:sz w:val="24"/>
          </w:rPr>
          <w:t>A:</w:t>
        </w:r>
        <w:r>
          <w:rPr>
            <w:spacing w:val="-6"/>
            <w:sz w:val="24"/>
          </w:rPr>
          <w:t xml:space="preserve"> </w:t>
        </w:r>
        <w:r>
          <w:rPr>
            <w:sz w:val="24"/>
          </w:rPr>
          <w:t>Glossary</w:t>
        </w:r>
        <w:r>
          <w:rPr>
            <w:spacing w:val="-8"/>
            <w:sz w:val="24"/>
          </w:rPr>
          <w:t xml:space="preserve"> </w:t>
        </w:r>
        <w:r>
          <w:rPr>
            <w:sz w:val="24"/>
          </w:rPr>
          <w:t>of</w:t>
        </w:r>
        <w:r>
          <w:rPr>
            <w:spacing w:val="-6"/>
            <w:sz w:val="24"/>
          </w:rPr>
          <w:t xml:space="preserve"> </w:t>
        </w:r>
        <w:r>
          <w:rPr>
            <w:spacing w:val="-2"/>
            <w:sz w:val="24"/>
          </w:rPr>
          <w:t>Terms</w:t>
        </w:r>
        <w:r>
          <w:rPr>
            <w:sz w:val="24"/>
          </w:rPr>
          <w:tab/>
        </w:r>
        <w:r>
          <w:rPr>
            <w:spacing w:val="-5"/>
            <w:w w:val="95"/>
            <w:sz w:val="24"/>
          </w:rPr>
          <w:t>223</w:t>
        </w:r>
      </w:hyperlink>
    </w:p>
    <w:p w:rsidR="00C76E6D" w:rsidRDefault="00913831">
      <w:pPr>
        <w:tabs>
          <w:tab w:val="right" w:leader="dot" w:pos="9976"/>
        </w:tabs>
        <w:spacing w:before="164"/>
        <w:ind w:left="702"/>
        <w:rPr>
          <w:sz w:val="24"/>
        </w:rPr>
      </w:pPr>
      <w:hyperlink w:anchor="_bookmark649" w:history="1">
        <w:r>
          <w:rPr>
            <w:sz w:val="24"/>
          </w:rPr>
          <w:t>Appendix</w:t>
        </w:r>
        <w:r>
          <w:rPr>
            <w:spacing w:val="-9"/>
            <w:sz w:val="24"/>
          </w:rPr>
          <w:t xml:space="preserve"> </w:t>
        </w:r>
        <w:r>
          <w:rPr>
            <w:sz w:val="24"/>
          </w:rPr>
          <w:t>B:</w:t>
        </w:r>
        <w:r>
          <w:rPr>
            <w:spacing w:val="-12"/>
            <w:sz w:val="24"/>
          </w:rPr>
          <w:t xml:space="preserve"> </w:t>
        </w:r>
        <w:r>
          <w:rPr>
            <w:sz w:val="24"/>
          </w:rPr>
          <w:t>Commission</w:t>
        </w:r>
        <w:r>
          <w:rPr>
            <w:spacing w:val="-7"/>
            <w:sz w:val="24"/>
          </w:rPr>
          <w:t xml:space="preserve"> </w:t>
        </w:r>
        <w:r>
          <w:rPr>
            <w:spacing w:val="-2"/>
            <w:sz w:val="24"/>
          </w:rPr>
          <w:t>Membership</w:t>
        </w:r>
        <w:r>
          <w:rPr>
            <w:sz w:val="24"/>
          </w:rPr>
          <w:tab/>
        </w:r>
        <w:r>
          <w:rPr>
            <w:spacing w:val="-5"/>
            <w:w w:val="95"/>
            <w:sz w:val="24"/>
          </w:rPr>
          <w:t>227</w:t>
        </w:r>
      </w:hyperlink>
    </w:p>
    <w:p w:rsidR="00C76E6D" w:rsidRDefault="00C76E6D">
      <w:pPr>
        <w:rPr>
          <w:sz w:val="24"/>
        </w:rPr>
        <w:sectPr w:rsidR="00C76E6D">
          <w:pgSz w:w="12240" w:h="15840"/>
          <w:pgMar w:top="960" w:right="960" w:bottom="280" w:left="960" w:header="769" w:footer="0" w:gutter="0"/>
          <w:cols w:space="720"/>
        </w:sectPr>
      </w:pPr>
    </w:p>
    <w:p w:rsidR="00C76E6D" w:rsidRDefault="00913831">
      <w:pPr>
        <w:pStyle w:val="Heading1"/>
        <w:tabs>
          <w:tab w:val="left" w:pos="9878"/>
        </w:tabs>
        <w:spacing w:before="349"/>
        <w:ind w:left="338"/>
        <w:jc w:val="left"/>
      </w:pPr>
      <w:bookmarkStart w:id="9" w:name="EXECUTIVE_SUMMARY"/>
      <w:bookmarkStart w:id="10" w:name="_bookmark5"/>
      <w:bookmarkEnd w:id="9"/>
      <w:bookmarkEnd w:id="10"/>
      <w:r>
        <w:rPr>
          <w:u w:val="thick"/>
        </w:rPr>
        <w:lastRenderedPageBreak/>
        <w:t>EXECUTIVE</w:t>
      </w:r>
      <w:r>
        <w:rPr>
          <w:spacing w:val="-17"/>
          <w:u w:val="thick"/>
        </w:rPr>
        <w:t xml:space="preserve"> </w:t>
      </w:r>
      <w:r>
        <w:rPr>
          <w:spacing w:val="-2"/>
          <w:u w:val="thick"/>
        </w:rPr>
        <w:t>SUMMARY</w:t>
      </w:r>
      <w:r>
        <w:rPr>
          <w:u w:val="thick"/>
        </w:rPr>
        <w:tab/>
      </w:r>
    </w:p>
    <w:p w:rsidR="00C76E6D" w:rsidRDefault="00C76E6D">
      <w:pPr>
        <w:pStyle w:val="BodyText"/>
        <w:rPr>
          <w:b/>
          <w:sz w:val="27"/>
        </w:rPr>
      </w:pPr>
    </w:p>
    <w:p w:rsidR="00C76E6D" w:rsidRDefault="00913831">
      <w:pPr>
        <w:pStyle w:val="BodyText"/>
        <w:spacing w:before="1" w:line="276" w:lineRule="auto"/>
        <w:ind w:left="337" w:right="334"/>
        <w:jc w:val="both"/>
      </w:pPr>
      <w:r>
        <w:t>The Massachusetts Commission on Lesbian, Gay, Bisexual, Transgender, Queer, and Questioning (LGBTQ) Youth</w:t>
      </w:r>
      <w:r>
        <w:rPr>
          <w:spacing w:val="-10"/>
        </w:rPr>
        <w:t xml:space="preserve"> </w:t>
      </w:r>
      <w:r>
        <w:t>is</w:t>
      </w:r>
      <w:r>
        <w:rPr>
          <w:spacing w:val="-11"/>
        </w:rPr>
        <w:t xml:space="preserve"> </w:t>
      </w:r>
      <w:r>
        <w:t>an</w:t>
      </w:r>
      <w:r>
        <w:rPr>
          <w:spacing w:val="-11"/>
        </w:rPr>
        <w:t xml:space="preserve"> </w:t>
      </w:r>
      <w:r>
        <w:t>independent</w:t>
      </w:r>
      <w:r>
        <w:rPr>
          <w:spacing w:val="-11"/>
        </w:rPr>
        <w:t xml:space="preserve"> </w:t>
      </w:r>
      <w:r>
        <w:t>state</w:t>
      </w:r>
      <w:r>
        <w:rPr>
          <w:spacing w:val="-12"/>
        </w:rPr>
        <w:t xml:space="preserve"> </w:t>
      </w:r>
      <w:r>
        <w:t>agency</w:t>
      </w:r>
      <w:r>
        <w:rPr>
          <w:spacing w:val="-10"/>
        </w:rPr>
        <w:t xml:space="preserve"> </w:t>
      </w:r>
      <w:r>
        <w:t>first</w:t>
      </w:r>
      <w:r>
        <w:rPr>
          <w:spacing w:val="-12"/>
        </w:rPr>
        <w:t xml:space="preserve"> </w:t>
      </w:r>
      <w:r>
        <w:t>founded</w:t>
      </w:r>
      <w:r>
        <w:rPr>
          <w:spacing w:val="-12"/>
        </w:rPr>
        <w:t xml:space="preserve"> </w:t>
      </w:r>
      <w:r>
        <w:t>in</w:t>
      </w:r>
      <w:r>
        <w:rPr>
          <w:spacing w:val="-10"/>
        </w:rPr>
        <w:t xml:space="preserve"> </w:t>
      </w:r>
      <w:r>
        <w:t>1992</w:t>
      </w:r>
      <w:r>
        <w:rPr>
          <w:spacing w:val="-10"/>
        </w:rPr>
        <w:t xml:space="preserve"> </w:t>
      </w:r>
      <w:r>
        <w:t>as</w:t>
      </w:r>
      <w:r>
        <w:rPr>
          <w:spacing w:val="-12"/>
        </w:rPr>
        <w:t xml:space="preserve"> </w:t>
      </w:r>
      <w:r>
        <w:t>a</w:t>
      </w:r>
      <w:r>
        <w:rPr>
          <w:spacing w:val="-10"/>
        </w:rPr>
        <w:t xml:space="preserve"> </w:t>
      </w:r>
      <w:r>
        <w:t>governor’s</w:t>
      </w:r>
      <w:r>
        <w:rPr>
          <w:spacing w:val="-11"/>
        </w:rPr>
        <w:t xml:space="preserve"> </w:t>
      </w:r>
      <w:r>
        <w:t>commission.</w:t>
      </w:r>
      <w:r>
        <w:rPr>
          <w:spacing w:val="-8"/>
        </w:rPr>
        <w:t xml:space="preserve"> </w:t>
      </w:r>
      <w:r>
        <w:t>The</w:t>
      </w:r>
      <w:r>
        <w:rPr>
          <w:spacing w:val="-5"/>
        </w:rPr>
        <w:t xml:space="preserve"> </w:t>
      </w:r>
      <w:r>
        <w:t>Commission</w:t>
      </w:r>
      <w:r>
        <w:rPr>
          <w:spacing w:val="-8"/>
        </w:rPr>
        <w:t xml:space="preserve"> </w:t>
      </w:r>
      <w:r>
        <w:t>was remade</w:t>
      </w:r>
      <w:r>
        <w:rPr>
          <w:spacing w:val="-12"/>
        </w:rPr>
        <w:t xml:space="preserve"> </w:t>
      </w:r>
      <w:r>
        <w:t>as</w:t>
      </w:r>
      <w:r>
        <w:rPr>
          <w:spacing w:val="-12"/>
        </w:rPr>
        <w:t xml:space="preserve"> </w:t>
      </w:r>
      <w:r>
        <w:t>an</w:t>
      </w:r>
      <w:r>
        <w:rPr>
          <w:spacing w:val="-9"/>
        </w:rPr>
        <w:t xml:space="preserve"> </w:t>
      </w:r>
      <w:r>
        <w:t>independent</w:t>
      </w:r>
      <w:r>
        <w:rPr>
          <w:spacing w:val="-11"/>
        </w:rPr>
        <w:t xml:space="preserve"> </w:t>
      </w:r>
      <w:r>
        <w:t>commission</w:t>
      </w:r>
      <w:r>
        <w:rPr>
          <w:spacing w:val="-12"/>
        </w:rPr>
        <w:t xml:space="preserve"> </w:t>
      </w:r>
      <w:r>
        <w:t>by</w:t>
      </w:r>
      <w:r>
        <w:rPr>
          <w:spacing w:val="-12"/>
        </w:rPr>
        <w:t xml:space="preserve"> </w:t>
      </w:r>
      <w:r>
        <w:t>the</w:t>
      </w:r>
      <w:r>
        <w:rPr>
          <w:spacing w:val="-10"/>
        </w:rPr>
        <w:t xml:space="preserve"> </w:t>
      </w:r>
      <w:r>
        <w:t>Legislature</w:t>
      </w:r>
      <w:r>
        <w:rPr>
          <w:spacing w:val="-13"/>
        </w:rPr>
        <w:t xml:space="preserve"> </w:t>
      </w:r>
      <w:r>
        <w:t>in</w:t>
      </w:r>
      <w:r>
        <w:rPr>
          <w:spacing w:val="-11"/>
        </w:rPr>
        <w:t xml:space="preserve"> </w:t>
      </w:r>
      <w:r>
        <w:t>2006,</w:t>
      </w:r>
      <w:r>
        <w:rPr>
          <w:spacing w:val="-10"/>
        </w:rPr>
        <w:t xml:space="preserve"> </w:t>
      </w:r>
      <w:r>
        <w:t>with</w:t>
      </w:r>
      <w:r>
        <w:rPr>
          <w:spacing w:val="-13"/>
        </w:rPr>
        <w:t xml:space="preserve"> </w:t>
      </w:r>
      <w:r>
        <w:t>its</w:t>
      </w:r>
      <w:r>
        <w:rPr>
          <w:spacing w:val="-11"/>
        </w:rPr>
        <w:t xml:space="preserve"> </w:t>
      </w:r>
      <w:r>
        <w:t>role</w:t>
      </w:r>
      <w:r>
        <w:rPr>
          <w:spacing w:val="-12"/>
        </w:rPr>
        <w:t xml:space="preserve"> </w:t>
      </w:r>
      <w:r>
        <w:t>being</w:t>
      </w:r>
      <w:r>
        <w:rPr>
          <w:spacing w:val="-11"/>
        </w:rPr>
        <w:t xml:space="preserve"> </w:t>
      </w:r>
      <w:r>
        <w:t>to</w:t>
      </w:r>
      <w:r>
        <w:rPr>
          <w:spacing w:val="-11"/>
        </w:rPr>
        <w:t xml:space="preserve"> </w:t>
      </w:r>
      <w:r>
        <w:t>provide</w:t>
      </w:r>
      <w:r>
        <w:rPr>
          <w:spacing w:val="-13"/>
        </w:rPr>
        <w:t xml:space="preserve"> </w:t>
      </w:r>
      <w:r>
        <w:t>expert</w:t>
      </w:r>
      <w:r>
        <w:rPr>
          <w:spacing w:val="-11"/>
        </w:rPr>
        <w:t xml:space="preserve"> </w:t>
      </w:r>
      <w:r>
        <w:t>advice to the Commonwealth of Massachusetts on how to improve services and dec</w:t>
      </w:r>
      <w:r>
        <w:t xml:space="preserve">rease inequities facing LGBTQ youth. In keeping with its legislative requirements, the Commission is herein providing its annual report on the status of LGBTQ youth in the Commonwealth, as well as its policy recommendations, for the 2023 fiscal </w:t>
      </w:r>
      <w:r>
        <w:rPr>
          <w:spacing w:val="-2"/>
        </w:rPr>
        <w:t>year.</w:t>
      </w:r>
    </w:p>
    <w:p w:rsidR="00C76E6D" w:rsidRDefault="00C76E6D">
      <w:pPr>
        <w:pStyle w:val="BodyText"/>
        <w:spacing w:before="5"/>
        <w:rPr>
          <w:sz w:val="25"/>
        </w:rPr>
      </w:pPr>
    </w:p>
    <w:p w:rsidR="00C76E6D" w:rsidRDefault="00913831">
      <w:pPr>
        <w:pStyle w:val="BodyText"/>
        <w:spacing w:before="1" w:line="276" w:lineRule="auto"/>
        <w:ind w:left="338" w:right="333"/>
        <w:jc w:val="both"/>
      </w:pPr>
      <w:r>
        <w:t>This</w:t>
      </w:r>
      <w:r>
        <w:t xml:space="preserve"> document</w:t>
      </w:r>
      <w:r>
        <w:rPr>
          <w:spacing w:val="-2"/>
        </w:rPr>
        <w:t xml:space="preserve"> </w:t>
      </w:r>
      <w:r>
        <w:t>begins</w:t>
      </w:r>
      <w:r>
        <w:rPr>
          <w:spacing w:val="-1"/>
        </w:rPr>
        <w:t xml:space="preserve"> </w:t>
      </w:r>
      <w:r>
        <w:t>with special reports on</w:t>
      </w:r>
      <w:r>
        <w:rPr>
          <w:spacing w:val="-1"/>
        </w:rPr>
        <w:t xml:space="preserve"> </w:t>
      </w:r>
      <w:r>
        <w:t>the</w:t>
      </w:r>
      <w:r>
        <w:rPr>
          <w:spacing w:val="-2"/>
        </w:rPr>
        <w:t xml:space="preserve"> </w:t>
      </w:r>
      <w:r>
        <w:t>COVID-19 pandemic, the Safe Schools Program for LGBTQ Students’ annual report, and a special report on inclusive education policy in Massachusetts public schools. Following</w:t>
      </w:r>
      <w:r>
        <w:rPr>
          <w:spacing w:val="-12"/>
        </w:rPr>
        <w:t xml:space="preserve"> </w:t>
      </w:r>
      <w:r>
        <w:t>those</w:t>
      </w:r>
      <w:r>
        <w:rPr>
          <w:spacing w:val="-11"/>
        </w:rPr>
        <w:t xml:space="preserve"> </w:t>
      </w:r>
      <w:r>
        <w:t>reports</w:t>
      </w:r>
      <w:r>
        <w:rPr>
          <w:spacing w:val="-12"/>
        </w:rPr>
        <w:t xml:space="preserve"> </w:t>
      </w:r>
      <w:r>
        <w:t>are</w:t>
      </w:r>
      <w:r>
        <w:rPr>
          <w:spacing w:val="-10"/>
        </w:rPr>
        <w:t xml:space="preserve"> </w:t>
      </w:r>
      <w:r>
        <w:t>the</w:t>
      </w:r>
      <w:r>
        <w:rPr>
          <w:spacing w:val="-11"/>
        </w:rPr>
        <w:t xml:space="preserve"> </w:t>
      </w:r>
      <w:r>
        <w:t>Commission’s</w:t>
      </w:r>
      <w:r>
        <w:rPr>
          <w:spacing w:val="-12"/>
        </w:rPr>
        <w:t xml:space="preserve"> </w:t>
      </w:r>
      <w:r>
        <w:t>cor</w:t>
      </w:r>
      <w:r>
        <w:t>e</w:t>
      </w:r>
      <w:r>
        <w:rPr>
          <w:spacing w:val="-13"/>
        </w:rPr>
        <w:t xml:space="preserve"> </w:t>
      </w:r>
      <w:r>
        <w:t>recommendations</w:t>
      </w:r>
      <w:r>
        <w:rPr>
          <w:spacing w:val="-11"/>
        </w:rPr>
        <w:t xml:space="preserve"> </w:t>
      </w:r>
      <w:r>
        <w:t>to</w:t>
      </w:r>
      <w:r>
        <w:rPr>
          <w:spacing w:val="-11"/>
        </w:rPr>
        <w:t xml:space="preserve"> </w:t>
      </w:r>
      <w:r>
        <w:t>the</w:t>
      </w:r>
      <w:r>
        <w:rPr>
          <w:spacing w:val="-10"/>
        </w:rPr>
        <w:t xml:space="preserve"> </w:t>
      </w:r>
      <w:r>
        <w:t>Governor</w:t>
      </w:r>
      <w:r>
        <w:rPr>
          <w:spacing w:val="-12"/>
        </w:rPr>
        <w:t xml:space="preserve"> </w:t>
      </w:r>
      <w:r>
        <w:t>and</w:t>
      </w:r>
      <w:r>
        <w:rPr>
          <w:spacing w:val="-12"/>
        </w:rPr>
        <w:t xml:space="preserve"> </w:t>
      </w:r>
      <w:r>
        <w:t>Legislature,</w:t>
      </w:r>
      <w:r>
        <w:rPr>
          <w:spacing w:val="-11"/>
        </w:rPr>
        <w:t xml:space="preserve"> </w:t>
      </w:r>
      <w:r>
        <w:t>which it</w:t>
      </w:r>
      <w:r>
        <w:rPr>
          <w:spacing w:val="-7"/>
        </w:rPr>
        <w:t xml:space="preserve"> </w:t>
      </w:r>
      <w:r>
        <w:t>is</w:t>
      </w:r>
      <w:r>
        <w:rPr>
          <w:spacing w:val="-6"/>
        </w:rPr>
        <w:t xml:space="preserve"> </w:t>
      </w:r>
      <w:r>
        <w:t>statutorily</w:t>
      </w:r>
      <w:r>
        <w:rPr>
          <w:spacing w:val="-6"/>
        </w:rPr>
        <w:t xml:space="preserve"> </w:t>
      </w:r>
      <w:r>
        <w:t>obligated</w:t>
      </w:r>
      <w:r>
        <w:rPr>
          <w:spacing w:val="-6"/>
        </w:rPr>
        <w:t xml:space="preserve"> </w:t>
      </w:r>
      <w:r>
        <w:t>to</w:t>
      </w:r>
      <w:r>
        <w:rPr>
          <w:spacing w:val="-6"/>
        </w:rPr>
        <w:t xml:space="preserve"> </w:t>
      </w:r>
      <w:r>
        <w:t>present</w:t>
      </w:r>
      <w:r>
        <w:rPr>
          <w:spacing w:val="-6"/>
        </w:rPr>
        <w:t xml:space="preserve"> </w:t>
      </w:r>
      <w:r>
        <w:t>annually.</w:t>
      </w:r>
      <w:r>
        <w:rPr>
          <w:spacing w:val="-7"/>
        </w:rPr>
        <w:t xml:space="preserve"> </w:t>
      </w:r>
      <w:r>
        <w:t>These</w:t>
      </w:r>
      <w:r>
        <w:rPr>
          <w:spacing w:val="-6"/>
        </w:rPr>
        <w:t xml:space="preserve"> </w:t>
      </w:r>
      <w:r>
        <w:t>recommendations</w:t>
      </w:r>
      <w:r>
        <w:rPr>
          <w:spacing w:val="-6"/>
        </w:rPr>
        <w:t xml:space="preserve"> </w:t>
      </w:r>
      <w:r>
        <w:t>follow</w:t>
      </w:r>
      <w:r>
        <w:rPr>
          <w:spacing w:val="-6"/>
        </w:rPr>
        <w:t xml:space="preserve"> </w:t>
      </w:r>
      <w:r>
        <w:t>the</w:t>
      </w:r>
      <w:r>
        <w:rPr>
          <w:spacing w:val="-8"/>
        </w:rPr>
        <w:t xml:space="preserve"> </w:t>
      </w:r>
      <w:r>
        <w:t>five</w:t>
      </w:r>
      <w:r>
        <w:rPr>
          <w:spacing w:val="-5"/>
        </w:rPr>
        <w:t xml:space="preserve"> </w:t>
      </w:r>
      <w:r>
        <w:t>policy</w:t>
      </w:r>
      <w:r>
        <w:rPr>
          <w:spacing w:val="-5"/>
        </w:rPr>
        <w:t xml:space="preserve"> </w:t>
      </w:r>
      <w:r>
        <w:t>areas</w:t>
      </w:r>
      <w:r>
        <w:rPr>
          <w:spacing w:val="-6"/>
        </w:rPr>
        <w:t xml:space="preserve"> </w:t>
      </w:r>
      <w:r>
        <w:t>into</w:t>
      </w:r>
      <w:r>
        <w:rPr>
          <w:spacing w:val="-6"/>
        </w:rPr>
        <w:t xml:space="preserve"> </w:t>
      </w:r>
      <w:r>
        <w:t>which the Commission has divided its work for the past several years: inclusion in schools and with families, homelessness, the juvenile and criminal justice systems, health, and sexual victimization. Finally, this report issues details detailed recommenda</w:t>
      </w:r>
      <w:r>
        <w:t>tions to the now 19 individual government entities with whom we currently</w:t>
      </w:r>
      <w:r>
        <w:rPr>
          <w:spacing w:val="40"/>
        </w:rPr>
        <w:t xml:space="preserve"> </w:t>
      </w:r>
      <w:r>
        <w:t>hold</w:t>
      </w:r>
      <w:r>
        <w:rPr>
          <w:spacing w:val="40"/>
        </w:rPr>
        <w:t xml:space="preserve"> </w:t>
      </w:r>
      <w:r>
        <w:t>such</w:t>
      </w:r>
      <w:r>
        <w:rPr>
          <w:spacing w:val="40"/>
        </w:rPr>
        <w:t xml:space="preserve"> </w:t>
      </w:r>
      <w:r>
        <w:t>a</w:t>
      </w:r>
      <w:r>
        <w:rPr>
          <w:spacing w:val="40"/>
        </w:rPr>
        <w:t xml:space="preserve"> </w:t>
      </w:r>
      <w:r>
        <w:t>relationship.</w:t>
      </w:r>
    </w:p>
    <w:p w:rsidR="00C76E6D" w:rsidRDefault="00C76E6D">
      <w:pPr>
        <w:pStyle w:val="BodyText"/>
        <w:spacing w:before="5"/>
        <w:rPr>
          <w:sz w:val="25"/>
        </w:rPr>
      </w:pPr>
    </w:p>
    <w:p w:rsidR="00C76E6D" w:rsidRDefault="00913831">
      <w:pPr>
        <w:pStyle w:val="Heading5"/>
        <w:spacing w:before="1"/>
        <w:jc w:val="both"/>
      </w:pPr>
      <w:bookmarkStart w:id="11" w:name="_bookmark6"/>
      <w:bookmarkEnd w:id="11"/>
      <w:r>
        <w:t>Special</w:t>
      </w:r>
      <w:r>
        <w:rPr>
          <w:spacing w:val="-6"/>
        </w:rPr>
        <w:t xml:space="preserve"> </w:t>
      </w:r>
      <w:r>
        <w:t>Report</w:t>
      </w:r>
      <w:r>
        <w:rPr>
          <w:spacing w:val="-7"/>
        </w:rPr>
        <w:t xml:space="preserve"> </w:t>
      </w:r>
      <w:r>
        <w:t>on</w:t>
      </w:r>
      <w:r>
        <w:rPr>
          <w:spacing w:val="-6"/>
        </w:rPr>
        <w:t xml:space="preserve"> </w:t>
      </w:r>
      <w:r>
        <w:t>COVID-19</w:t>
      </w:r>
      <w:r>
        <w:rPr>
          <w:spacing w:val="-6"/>
        </w:rPr>
        <w:t xml:space="preserve"> </w:t>
      </w:r>
      <w:r>
        <w:t>and</w:t>
      </w:r>
      <w:r>
        <w:rPr>
          <w:spacing w:val="-6"/>
        </w:rPr>
        <w:t xml:space="preserve"> </w:t>
      </w:r>
      <w:r>
        <w:t>LGBTQ</w:t>
      </w:r>
      <w:r>
        <w:rPr>
          <w:spacing w:val="-4"/>
        </w:rPr>
        <w:t xml:space="preserve"> Youth</w:t>
      </w:r>
    </w:p>
    <w:p w:rsidR="00C76E6D" w:rsidRDefault="00913831">
      <w:pPr>
        <w:pStyle w:val="BodyText"/>
        <w:spacing w:before="8"/>
        <w:rPr>
          <w:b/>
          <w:sz w:val="9"/>
        </w:rPr>
      </w:pPr>
      <w:r>
        <w:pict>
          <v:shape id="docshape28" o:spid="_x0000_s1408" style="position:absolute;margin-left:65pt;margin-top:7.15pt;width:476.95pt;height:.1pt;z-index:-15721472;mso-wrap-distance-left:0;mso-wrap-distance-right:0;mso-position-horizontal-relative:page" coordorigin="1300,143" coordsize="9539,0" path="m1300,143r9539,e" filled="f" strokeweight="1.54pt">
            <v:path arrowok="t"/>
            <w10:wrap type="topAndBottom" anchorx="page"/>
          </v:shape>
        </w:pict>
      </w:r>
    </w:p>
    <w:p w:rsidR="00C76E6D" w:rsidRDefault="00C76E6D">
      <w:pPr>
        <w:pStyle w:val="BodyText"/>
        <w:spacing w:before="1"/>
        <w:rPr>
          <w:b/>
          <w:sz w:val="23"/>
        </w:rPr>
      </w:pPr>
    </w:p>
    <w:p w:rsidR="00C76E6D" w:rsidRDefault="00913831">
      <w:pPr>
        <w:pStyle w:val="BodyText"/>
        <w:spacing w:line="276" w:lineRule="auto"/>
        <w:ind w:left="338" w:right="334" w:hanging="1"/>
        <w:jc w:val="both"/>
      </w:pPr>
      <w:r>
        <w:t>The Commission’s research found that LGBTQ youth have been hit particularly hard by losing access to safe spa</w:t>
      </w:r>
      <w:r>
        <w:t>ces</w:t>
      </w:r>
      <w:r>
        <w:rPr>
          <w:spacing w:val="-12"/>
        </w:rPr>
        <w:t xml:space="preserve"> </w:t>
      </w:r>
      <w:r>
        <w:t>at</w:t>
      </w:r>
      <w:r>
        <w:rPr>
          <w:spacing w:val="-12"/>
        </w:rPr>
        <w:t xml:space="preserve"> </w:t>
      </w:r>
      <w:r>
        <w:t>school</w:t>
      </w:r>
      <w:r>
        <w:rPr>
          <w:spacing w:val="-13"/>
        </w:rPr>
        <w:t xml:space="preserve"> </w:t>
      </w:r>
      <w:r>
        <w:t>and</w:t>
      </w:r>
      <w:r>
        <w:rPr>
          <w:spacing w:val="-12"/>
        </w:rPr>
        <w:t xml:space="preserve"> </w:t>
      </w:r>
      <w:r>
        <w:t>in</w:t>
      </w:r>
      <w:r>
        <w:rPr>
          <w:spacing w:val="-13"/>
        </w:rPr>
        <w:t xml:space="preserve"> </w:t>
      </w:r>
      <w:r>
        <w:t>the</w:t>
      </w:r>
      <w:r>
        <w:rPr>
          <w:spacing w:val="-11"/>
        </w:rPr>
        <w:t xml:space="preserve"> </w:t>
      </w:r>
      <w:r>
        <w:t>community;</w:t>
      </w:r>
      <w:r>
        <w:rPr>
          <w:spacing w:val="-9"/>
        </w:rPr>
        <w:t xml:space="preserve"> </w:t>
      </w:r>
      <w:r>
        <w:t>being</w:t>
      </w:r>
      <w:r>
        <w:rPr>
          <w:spacing w:val="-12"/>
        </w:rPr>
        <w:t xml:space="preserve"> </w:t>
      </w:r>
      <w:r>
        <w:t>forced</w:t>
      </w:r>
      <w:r>
        <w:rPr>
          <w:spacing w:val="-10"/>
        </w:rPr>
        <w:t xml:space="preserve"> </w:t>
      </w:r>
      <w:r>
        <w:t>to</w:t>
      </w:r>
      <w:r>
        <w:rPr>
          <w:spacing w:val="-10"/>
        </w:rPr>
        <w:t xml:space="preserve"> </w:t>
      </w:r>
      <w:r>
        <w:t>return</w:t>
      </w:r>
      <w:r>
        <w:rPr>
          <w:spacing w:val="-11"/>
        </w:rPr>
        <w:t xml:space="preserve"> </w:t>
      </w:r>
      <w:r>
        <w:t>to</w:t>
      </w:r>
      <w:r>
        <w:rPr>
          <w:spacing w:val="-10"/>
        </w:rPr>
        <w:t xml:space="preserve"> </w:t>
      </w:r>
      <w:r>
        <w:t>homes</w:t>
      </w:r>
      <w:r>
        <w:rPr>
          <w:spacing w:val="-10"/>
        </w:rPr>
        <w:t xml:space="preserve"> </w:t>
      </w:r>
      <w:r>
        <w:t>with</w:t>
      </w:r>
      <w:r>
        <w:rPr>
          <w:spacing w:val="-10"/>
        </w:rPr>
        <w:t xml:space="preserve"> </w:t>
      </w:r>
      <w:r>
        <w:t>families</w:t>
      </w:r>
      <w:r>
        <w:rPr>
          <w:spacing w:val="-9"/>
        </w:rPr>
        <w:t xml:space="preserve"> </w:t>
      </w:r>
      <w:r>
        <w:t>that</w:t>
      </w:r>
      <w:r>
        <w:rPr>
          <w:spacing w:val="-10"/>
        </w:rPr>
        <w:t xml:space="preserve"> </w:t>
      </w:r>
      <w:r>
        <w:t>do</w:t>
      </w:r>
      <w:r>
        <w:rPr>
          <w:spacing w:val="-9"/>
        </w:rPr>
        <w:t xml:space="preserve"> </w:t>
      </w:r>
      <w:r>
        <w:t>not</w:t>
      </w:r>
      <w:r>
        <w:rPr>
          <w:spacing w:val="-12"/>
        </w:rPr>
        <w:t xml:space="preserve"> </w:t>
      </w:r>
      <w:r>
        <w:t>know</w:t>
      </w:r>
      <w:r>
        <w:rPr>
          <w:spacing w:val="-10"/>
        </w:rPr>
        <w:t xml:space="preserve"> </w:t>
      </w:r>
      <w:r>
        <w:t>about or support their identities; having difficulties accessing care, particularly that which is LGBTQ-affirming; and facing</w:t>
      </w:r>
      <w:r>
        <w:rPr>
          <w:spacing w:val="-4"/>
        </w:rPr>
        <w:t xml:space="preserve"> </w:t>
      </w:r>
      <w:r>
        <w:t>severe</w:t>
      </w:r>
      <w:r>
        <w:rPr>
          <w:spacing w:val="-2"/>
        </w:rPr>
        <w:t xml:space="preserve"> </w:t>
      </w:r>
      <w:r>
        <w:t>socioeconomic</w:t>
      </w:r>
      <w:r>
        <w:rPr>
          <w:spacing w:val="-4"/>
        </w:rPr>
        <w:t xml:space="preserve"> </w:t>
      </w:r>
      <w:r>
        <w:t>fallout</w:t>
      </w:r>
      <w:r>
        <w:rPr>
          <w:spacing w:val="-3"/>
        </w:rPr>
        <w:t xml:space="preserve"> </w:t>
      </w:r>
      <w:r>
        <w:t>from</w:t>
      </w:r>
      <w:r>
        <w:rPr>
          <w:spacing w:val="-4"/>
        </w:rPr>
        <w:t xml:space="preserve"> </w:t>
      </w:r>
      <w:r>
        <w:t>losing</w:t>
      </w:r>
      <w:r>
        <w:rPr>
          <w:spacing w:val="-3"/>
        </w:rPr>
        <w:t xml:space="preserve"> </w:t>
      </w:r>
      <w:r>
        <w:t>jobs</w:t>
      </w:r>
      <w:r>
        <w:rPr>
          <w:spacing w:val="-2"/>
        </w:rPr>
        <w:t xml:space="preserve"> </w:t>
      </w:r>
      <w:r>
        <w:t>and</w:t>
      </w:r>
      <w:r>
        <w:rPr>
          <w:spacing w:val="-4"/>
        </w:rPr>
        <w:t xml:space="preserve"> </w:t>
      </w:r>
      <w:r>
        <w:t>housing,</w:t>
      </w:r>
      <w:r>
        <w:rPr>
          <w:spacing w:val="-1"/>
        </w:rPr>
        <w:t xml:space="preserve"> </w:t>
      </w:r>
      <w:r>
        <w:t>with</w:t>
      </w:r>
      <w:r>
        <w:rPr>
          <w:spacing w:val="-3"/>
        </w:rPr>
        <w:t xml:space="preserve"> </w:t>
      </w:r>
      <w:r>
        <w:t>national</w:t>
      </w:r>
      <w:r>
        <w:rPr>
          <w:spacing w:val="-3"/>
        </w:rPr>
        <w:t xml:space="preserve"> </w:t>
      </w:r>
      <w:r>
        <w:t>studies</w:t>
      </w:r>
      <w:r>
        <w:rPr>
          <w:spacing w:val="-3"/>
        </w:rPr>
        <w:t xml:space="preserve"> </w:t>
      </w:r>
      <w:r>
        <w:t>showing</w:t>
      </w:r>
      <w:r>
        <w:rPr>
          <w:spacing w:val="-3"/>
        </w:rPr>
        <w:t xml:space="preserve"> </w:t>
      </w:r>
      <w:r>
        <w:t>that</w:t>
      </w:r>
      <w:r>
        <w:rPr>
          <w:spacing w:val="-3"/>
        </w:rPr>
        <w:t xml:space="preserve"> </w:t>
      </w:r>
      <w:r>
        <w:t>LGBTQ people were especially likely to be impacted in this way by the pandemic. Data from the Massachusetts Department of Public Health, presented in the special report on COVID-19 below, sho</w:t>
      </w:r>
      <w:r>
        <w:t>ws that LGBTQ youth and adults have faced stark disparities in testing access, healthcare delays, mental health, employment impacts, and more.</w:t>
      </w:r>
    </w:p>
    <w:p w:rsidR="00C76E6D" w:rsidRDefault="00C76E6D">
      <w:pPr>
        <w:pStyle w:val="BodyText"/>
        <w:spacing w:before="3"/>
        <w:rPr>
          <w:sz w:val="26"/>
        </w:rPr>
      </w:pPr>
    </w:p>
    <w:p w:rsidR="00C76E6D" w:rsidRDefault="00913831">
      <w:pPr>
        <w:pStyle w:val="BodyText"/>
        <w:spacing w:line="276" w:lineRule="auto"/>
        <w:ind w:left="340" w:right="333" w:hanging="1"/>
        <w:jc w:val="both"/>
      </w:pPr>
      <w:r>
        <w:t>In</w:t>
      </w:r>
      <w:r>
        <w:rPr>
          <w:spacing w:val="-13"/>
        </w:rPr>
        <w:t xml:space="preserve"> </w:t>
      </w:r>
      <w:r>
        <w:t>this</w:t>
      </w:r>
      <w:r>
        <w:rPr>
          <w:spacing w:val="-12"/>
        </w:rPr>
        <w:t xml:space="preserve"> </w:t>
      </w:r>
      <w:r>
        <w:t>special</w:t>
      </w:r>
      <w:r>
        <w:rPr>
          <w:spacing w:val="-13"/>
        </w:rPr>
        <w:t xml:space="preserve"> </w:t>
      </w:r>
      <w:r>
        <w:t>report,</w:t>
      </w:r>
      <w:r>
        <w:rPr>
          <w:spacing w:val="-12"/>
        </w:rPr>
        <w:t xml:space="preserve"> </w:t>
      </w:r>
      <w:r>
        <w:t>the</w:t>
      </w:r>
      <w:r>
        <w:rPr>
          <w:spacing w:val="-13"/>
        </w:rPr>
        <w:t xml:space="preserve"> </w:t>
      </w:r>
      <w:r>
        <w:t>Commission</w:t>
      </w:r>
      <w:r>
        <w:rPr>
          <w:spacing w:val="-12"/>
        </w:rPr>
        <w:t xml:space="preserve"> </w:t>
      </w:r>
      <w:r>
        <w:t>issues</w:t>
      </w:r>
      <w:r>
        <w:rPr>
          <w:spacing w:val="-13"/>
        </w:rPr>
        <w:t xml:space="preserve"> </w:t>
      </w:r>
      <w:r>
        <w:t>both</w:t>
      </w:r>
      <w:r>
        <w:rPr>
          <w:spacing w:val="-12"/>
        </w:rPr>
        <w:t xml:space="preserve"> </w:t>
      </w:r>
      <w:r>
        <w:t>short-</w:t>
      </w:r>
      <w:r>
        <w:rPr>
          <w:spacing w:val="-12"/>
        </w:rPr>
        <w:t xml:space="preserve"> </w:t>
      </w:r>
      <w:r>
        <w:t>and</w:t>
      </w:r>
      <w:r>
        <w:rPr>
          <w:spacing w:val="-13"/>
        </w:rPr>
        <w:t xml:space="preserve"> </w:t>
      </w:r>
      <w:r>
        <w:t>long-term</w:t>
      </w:r>
      <w:r>
        <w:rPr>
          <w:spacing w:val="-12"/>
        </w:rPr>
        <w:t xml:space="preserve"> </w:t>
      </w:r>
      <w:r>
        <w:t>recommendations</w:t>
      </w:r>
      <w:r>
        <w:rPr>
          <w:spacing w:val="-13"/>
        </w:rPr>
        <w:t xml:space="preserve"> </w:t>
      </w:r>
      <w:r>
        <w:t>to</w:t>
      </w:r>
      <w:r>
        <w:rPr>
          <w:spacing w:val="-12"/>
        </w:rPr>
        <w:t xml:space="preserve"> </w:t>
      </w:r>
      <w:r>
        <w:t>the</w:t>
      </w:r>
      <w:r>
        <w:rPr>
          <w:spacing w:val="-13"/>
        </w:rPr>
        <w:t xml:space="preserve"> </w:t>
      </w:r>
      <w:r>
        <w:t>state</w:t>
      </w:r>
      <w:r>
        <w:rPr>
          <w:spacing w:val="-12"/>
        </w:rPr>
        <w:t xml:space="preserve"> </w:t>
      </w:r>
      <w:r>
        <w:t>on</w:t>
      </w:r>
      <w:r>
        <w:rPr>
          <w:spacing w:val="-12"/>
        </w:rPr>
        <w:t xml:space="preserve"> </w:t>
      </w:r>
      <w:r>
        <w:t>how to both address the challenges caused by the pandemic and related shutdown in the lives of LGBTQ youth and</w:t>
      </w:r>
      <w:r>
        <w:rPr>
          <w:spacing w:val="-2"/>
        </w:rPr>
        <w:t xml:space="preserve"> </w:t>
      </w:r>
      <w:r>
        <w:t>also</w:t>
      </w:r>
      <w:r>
        <w:rPr>
          <w:spacing w:val="-1"/>
        </w:rPr>
        <w:t xml:space="preserve"> </w:t>
      </w:r>
      <w:r>
        <w:t>how to improve</w:t>
      </w:r>
      <w:r>
        <w:rPr>
          <w:spacing w:val="-1"/>
        </w:rPr>
        <w:t xml:space="preserve"> </w:t>
      </w:r>
      <w:r>
        <w:t>underlying conditions to prevent</w:t>
      </w:r>
      <w:r>
        <w:rPr>
          <w:spacing w:val="-2"/>
        </w:rPr>
        <w:t xml:space="preserve"> </w:t>
      </w:r>
      <w:r>
        <w:t>such</w:t>
      </w:r>
      <w:r>
        <w:rPr>
          <w:spacing w:val="-1"/>
        </w:rPr>
        <w:t xml:space="preserve"> </w:t>
      </w:r>
      <w:r>
        <w:t>disastrous</w:t>
      </w:r>
      <w:r>
        <w:rPr>
          <w:spacing w:val="-1"/>
        </w:rPr>
        <w:t xml:space="preserve"> </w:t>
      </w:r>
      <w:r>
        <w:t>results</w:t>
      </w:r>
      <w:r>
        <w:rPr>
          <w:spacing w:val="-1"/>
        </w:rPr>
        <w:t xml:space="preserve"> </w:t>
      </w:r>
      <w:r>
        <w:t>from</w:t>
      </w:r>
      <w:r>
        <w:rPr>
          <w:spacing w:val="-2"/>
        </w:rPr>
        <w:t xml:space="preserve"> </w:t>
      </w:r>
      <w:r>
        <w:t>arising</w:t>
      </w:r>
      <w:r>
        <w:rPr>
          <w:spacing w:val="-1"/>
        </w:rPr>
        <w:t xml:space="preserve"> </w:t>
      </w:r>
      <w:r>
        <w:t>again, even</w:t>
      </w:r>
      <w:r>
        <w:rPr>
          <w:spacing w:val="-2"/>
        </w:rPr>
        <w:t xml:space="preserve"> </w:t>
      </w:r>
      <w:r>
        <w:t>if and when the state faces future pandemic</w:t>
      </w:r>
      <w:r>
        <w:t>s.</w:t>
      </w:r>
    </w:p>
    <w:p w:rsidR="00C76E6D" w:rsidRDefault="00C76E6D">
      <w:pPr>
        <w:pStyle w:val="BodyText"/>
      </w:pPr>
    </w:p>
    <w:p w:rsidR="00C76E6D" w:rsidRDefault="00C76E6D">
      <w:pPr>
        <w:pStyle w:val="BodyText"/>
        <w:spacing w:before="7"/>
        <w:rPr>
          <w:sz w:val="28"/>
        </w:rPr>
      </w:pPr>
    </w:p>
    <w:p w:rsidR="00C76E6D" w:rsidRDefault="00913831">
      <w:pPr>
        <w:pStyle w:val="Heading5"/>
        <w:jc w:val="both"/>
      </w:pPr>
      <w:r>
        <w:t>Safe</w:t>
      </w:r>
      <w:r>
        <w:rPr>
          <w:spacing w:val="-10"/>
        </w:rPr>
        <w:t xml:space="preserve"> </w:t>
      </w:r>
      <w:r>
        <w:t>Schools</w:t>
      </w:r>
      <w:r>
        <w:rPr>
          <w:spacing w:val="-5"/>
        </w:rPr>
        <w:t xml:space="preserve"> </w:t>
      </w:r>
      <w:r>
        <w:t>Program</w:t>
      </w:r>
      <w:r>
        <w:rPr>
          <w:spacing w:val="-4"/>
        </w:rPr>
        <w:t xml:space="preserve"> </w:t>
      </w:r>
      <w:r>
        <w:t>for</w:t>
      </w:r>
      <w:r>
        <w:rPr>
          <w:spacing w:val="-6"/>
        </w:rPr>
        <w:t xml:space="preserve"> </w:t>
      </w:r>
      <w:r>
        <w:t>LGBTQ</w:t>
      </w:r>
      <w:r>
        <w:rPr>
          <w:spacing w:val="-8"/>
        </w:rPr>
        <w:t xml:space="preserve"> </w:t>
      </w:r>
      <w:r>
        <w:t>Students</w:t>
      </w:r>
      <w:r>
        <w:rPr>
          <w:spacing w:val="-5"/>
        </w:rPr>
        <w:t xml:space="preserve"> </w:t>
      </w:r>
      <w:r>
        <w:t>Annual</w:t>
      </w:r>
      <w:r>
        <w:rPr>
          <w:spacing w:val="-7"/>
        </w:rPr>
        <w:t xml:space="preserve"> </w:t>
      </w:r>
      <w:r>
        <w:t>Report</w:t>
      </w:r>
      <w:r>
        <w:rPr>
          <w:spacing w:val="-7"/>
        </w:rPr>
        <w:t xml:space="preserve"> </w:t>
      </w:r>
      <w:r>
        <w:t>and</w:t>
      </w:r>
      <w:r>
        <w:rPr>
          <w:spacing w:val="-7"/>
        </w:rPr>
        <w:t xml:space="preserve"> </w:t>
      </w:r>
      <w:r>
        <w:t>Special</w:t>
      </w:r>
      <w:r>
        <w:rPr>
          <w:spacing w:val="-6"/>
        </w:rPr>
        <w:t xml:space="preserve"> </w:t>
      </w:r>
      <w:r>
        <w:rPr>
          <w:spacing w:val="-2"/>
        </w:rPr>
        <w:t>Report</w:t>
      </w:r>
    </w:p>
    <w:p w:rsidR="00C76E6D" w:rsidRDefault="00913831">
      <w:pPr>
        <w:pStyle w:val="BodyText"/>
        <w:spacing w:before="10"/>
        <w:rPr>
          <w:b/>
          <w:sz w:val="9"/>
        </w:rPr>
      </w:pPr>
      <w:r>
        <w:pict>
          <v:shape id="docshape29" o:spid="_x0000_s1407" style="position:absolute;margin-left:65pt;margin-top:7.2pt;width:476.95pt;height:.1pt;z-index:-15720960;mso-wrap-distance-left:0;mso-wrap-distance-right:0;mso-position-horizontal-relative:page" coordorigin="1300,144" coordsize="9539,0" path="m1300,144r9539,e" filled="f" strokeweight="1.54pt">
            <v:path arrowok="t"/>
            <w10:wrap type="topAndBottom" anchorx="page"/>
          </v:shape>
        </w:pict>
      </w:r>
    </w:p>
    <w:p w:rsidR="00C76E6D" w:rsidRDefault="00C76E6D">
      <w:pPr>
        <w:pStyle w:val="BodyText"/>
        <w:spacing w:before="12"/>
        <w:rPr>
          <w:b/>
          <w:sz w:val="30"/>
        </w:rPr>
      </w:pPr>
    </w:p>
    <w:p w:rsidR="00C76E6D" w:rsidRDefault="00913831">
      <w:pPr>
        <w:pStyle w:val="BodyText"/>
        <w:spacing w:line="276" w:lineRule="auto"/>
        <w:ind w:left="338" w:right="338" w:hanging="1"/>
        <w:jc w:val="both"/>
      </w:pPr>
      <w:r>
        <w:t>The</w:t>
      </w:r>
      <w:r>
        <w:rPr>
          <w:spacing w:val="-6"/>
        </w:rPr>
        <w:t xml:space="preserve"> </w:t>
      </w:r>
      <w:r>
        <w:t>Safe</w:t>
      </w:r>
      <w:r>
        <w:rPr>
          <w:spacing w:val="-10"/>
        </w:rPr>
        <w:t xml:space="preserve"> </w:t>
      </w:r>
      <w:r>
        <w:t>Schools</w:t>
      </w:r>
      <w:r>
        <w:rPr>
          <w:spacing w:val="-10"/>
        </w:rPr>
        <w:t xml:space="preserve"> </w:t>
      </w:r>
      <w:r>
        <w:t>Program</w:t>
      </w:r>
      <w:r>
        <w:rPr>
          <w:spacing w:val="-10"/>
        </w:rPr>
        <w:t xml:space="preserve"> </w:t>
      </w:r>
      <w:r>
        <w:t>for</w:t>
      </w:r>
      <w:r>
        <w:rPr>
          <w:spacing w:val="-10"/>
        </w:rPr>
        <w:t xml:space="preserve"> </w:t>
      </w:r>
      <w:r>
        <w:t>Lesbian,</w:t>
      </w:r>
      <w:r>
        <w:rPr>
          <w:spacing w:val="-10"/>
        </w:rPr>
        <w:t xml:space="preserve"> </w:t>
      </w:r>
      <w:r>
        <w:t>Gay,</w:t>
      </w:r>
      <w:r>
        <w:rPr>
          <w:spacing w:val="-10"/>
        </w:rPr>
        <w:t xml:space="preserve"> </w:t>
      </w:r>
      <w:r>
        <w:t>Bisexual,</w:t>
      </w:r>
      <w:r>
        <w:rPr>
          <w:spacing w:val="-11"/>
        </w:rPr>
        <w:t xml:space="preserve"> </w:t>
      </w:r>
      <w:r>
        <w:t>Transgender,</w:t>
      </w:r>
      <w:r>
        <w:rPr>
          <w:spacing w:val="-8"/>
        </w:rPr>
        <w:t xml:space="preserve"> </w:t>
      </w:r>
      <w:r>
        <w:t>Queer,</w:t>
      </w:r>
      <w:r>
        <w:rPr>
          <w:spacing w:val="-10"/>
        </w:rPr>
        <w:t xml:space="preserve"> </w:t>
      </w:r>
      <w:r>
        <w:t>and</w:t>
      </w:r>
      <w:r>
        <w:rPr>
          <w:spacing w:val="-10"/>
        </w:rPr>
        <w:t xml:space="preserve"> </w:t>
      </w:r>
      <w:r>
        <w:t>Questioning</w:t>
      </w:r>
      <w:r>
        <w:rPr>
          <w:spacing w:val="-9"/>
        </w:rPr>
        <w:t xml:space="preserve"> </w:t>
      </w:r>
      <w:r>
        <w:t>(LGBTQ)</w:t>
      </w:r>
      <w:r>
        <w:rPr>
          <w:spacing w:val="-12"/>
        </w:rPr>
        <w:t xml:space="preserve"> </w:t>
      </w:r>
      <w:r>
        <w:t>Students is a joint initiative between the Massachusetts Department of Elementary and Secondary Education (ESE) and</w:t>
      </w:r>
      <w:r>
        <w:rPr>
          <w:spacing w:val="-9"/>
        </w:rPr>
        <w:t xml:space="preserve"> </w:t>
      </w:r>
      <w:r>
        <w:t>the</w:t>
      </w:r>
      <w:r>
        <w:rPr>
          <w:spacing w:val="-7"/>
        </w:rPr>
        <w:t xml:space="preserve"> </w:t>
      </w:r>
      <w:r>
        <w:t>Massachusetts</w:t>
      </w:r>
      <w:r>
        <w:rPr>
          <w:spacing w:val="-9"/>
        </w:rPr>
        <w:t xml:space="preserve"> </w:t>
      </w:r>
      <w:r>
        <w:t>Commission</w:t>
      </w:r>
      <w:r>
        <w:rPr>
          <w:spacing w:val="-10"/>
        </w:rPr>
        <w:t xml:space="preserve"> </w:t>
      </w:r>
      <w:r>
        <w:t>on</w:t>
      </w:r>
      <w:r>
        <w:rPr>
          <w:spacing w:val="-6"/>
        </w:rPr>
        <w:t xml:space="preserve"> </w:t>
      </w:r>
      <w:r>
        <w:t>LGBTQ</w:t>
      </w:r>
      <w:r>
        <w:rPr>
          <w:spacing w:val="-9"/>
        </w:rPr>
        <w:t xml:space="preserve"> </w:t>
      </w:r>
      <w:r>
        <w:t>Youth.</w:t>
      </w:r>
      <w:r>
        <w:rPr>
          <w:spacing w:val="-10"/>
        </w:rPr>
        <w:t xml:space="preserve"> </w:t>
      </w:r>
      <w:r>
        <w:t>Founded</w:t>
      </w:r>
      <w:r>
        <w:rPr>
          <w:spacing w:val="-9"/>
        </w:rPr>
        <w:t xml:space="preserve"> </w:t>
      </w:r>
      <w:r>
        <w:t>in</w:t>
      </w:r>
      <w:r>
        <w:rPr>
          <w:spacing w:val="-6"/>
        </w:rPr>
        <w:t xml:space="preserve"> </w:t>
      </w:r>
      <w:r>
        <w:t>1993</w:t>
      </w:r>
      <w:r>
        <w:rPr>
          <w:spacing w:val="-9"/>
        </w:rPr>
        <w:t xml:space="preserve"> </w:t>
      </w:r>
      <w:r>
        <w:t>in</w:t>
      </w:r>
      <w:r>
        <w:rPr>
          <w:spacing w:val="-8"/>
        </w:rPr>
        <w:t xml:space="preserve"> </w:t>
      </w:r>
      <w:r>
        <w:t>response</w:t>
      </w:r>
      <w:r>
        <w:rPr>
          <w:spacing w:val="-8"/>
        </w:rPr>
        <w:t xml:space="preserve"> </w:t>
      </w:r>
      <w:r>
        <w:t>to</w:t>
      </w:r>
      <w:r>
        <w:rPr>
          <w:spacing w:val="-7"/>
        </w:rPr>
        <w:t xml:space="preserve"> </w:t>
      </w:r>
      <w:r>
        <w:t>concerns</w:t>
      </w:r>
      <w:r>
        <w:rPr>
          <w:spacing w:val="-9"/>
        </w:rPr>
        <w:t xml:space="preserve"> </w:t>
      </w:r>
      <w:r>
        <w:t>about</w:t>
      </w:r>
      <w:r>
        <w:rPr>
          <w:spacing w:val="-8"/>
        </w:rPr>
        <w:t xml:space="preserve"> </w:t>
      </w:r>
      <w:r>
        <w:t>LGBTQ</w:t>
      </w:r>
    </w:p>
    <w:p w:rsidR="00C76E6D" w:rsidRDefault="00C76E6D">
      <w:pPr>
        <w:spacing w:line="276" w:lineRule="auto"/>
        <w:jc w:val="both"/>
        <w:sectPr w:rsidR="00C76E6D">
          <w:headerReference w:type="default" r:id="rId20"/>
          <w:footerReference w:type="default" r:id="rId21"/>
          <w:pgSz w:w="12240" w:h="15840"/>
          <w:pgMar w:top="1000" w:right="960" w:bottom="780" w:left="960" w:header="811" w:footer="584" w:gutter="0"/>
          <w:pgNumType w:start="1"/>
          <w:cols w:space="720"/>
        </w:sectPr>
      </w:pPr>
    </w:p>
    <w:p w:rsidR="00C76E6D" w:rsidRDefault="00C76E6D">
      <w:pPr>
        <w:pStyle w:val="BodyText"/>
        <w:rPr>
          <w:sz w:val="24"/>
        </w:rPr>
      </w:pPr>
    </w:p>
    <w:p w:rsidR="00C76E6D" w:rsidRDefault="00913831">
      <w:pPr>
        <w:pStyle w:val="BodyText"/>
        <w:spacing w:before="56" w:line="276" w:lineRule="auto"/>
        <w:ind w:left="338" w:right="336"/>
        <w:jc w:val="both"/>
      </w:pPr>
      <w:r>
        <w:t>youth suicides and other risk factors, the program now offers a range of services designed to help schools implement</w:t>
      </w:r>
      <w:r>
        <w:rPr>
          <w:spacing w:val="-6"/>
        </w:rPr>
        <w:t xml:space="preserve"> </w:t>
      </w:r>
      <w:r>
        <w:t>state</w:t>
      </w:r>
      <w:r>
        <w:rPr>
          <w:spacing w:val="-5"/>
        </w:rPr>
        <w:t xml:space="preserve"> </w:t>
      </w:r>
      <w:r>
        <w:t>laws</w:t>
      </w:r>
      <w:r>
        <w:rPr>
          <w:spacing w:val="-3"/>
        </w:rPr>
        <w:t xml:space="preserve"> </w:t>
      </w:r>
      <w:r>
        <w:t>impacting</w:t>
      </w:r>
      <w:r>
        <w:rPr>
          <w:spacing w:val="-3"/>
        </w:rPr>
        <w:t xml:space="preserve"> </w:t>
      </w:r>
      <w:r>
        <w:t>LGBTQ</w:t>
      </w:r>
      <w:r>
        <w:rPr>
          <w:spacing w:val="-3"/>
        </w:rPr>
        <w:t xml:space="preserve"> </w:t>
      </w:r>
      <w:r>
        <w:t>students,</w:t>
      </w:r>
      <w:r>
        <w:rPr>
          <w:spacing w:val="-4"/>
        </w:rPr>
        <w:t xml:space="preserve"> </w:t>
      </w:r>
      <w:r>
        <w:t>including</w:t>
      </w:r>
      <w:r>
        <w:rPr>
          <w:spacing w:val="-3"/>
        </w:rPr>
        <w:t xml:space="preserve"> </w:t>
      </w:r>
      <w:r>
        <w:t>the</w:t>
      </w:r>
      <w:r>
        <w:rPr>
          <w:spacing w:val="-4"/>
        </w:rPr>
        <w:t xml:space="preserve"> </w:t>
      </w:r>
      <w:r>
        <w:t>state's</w:t>
      </w:r>
      <w:r>
        <w:rPr>
          <w:spacing w:val="-4"/>
        </w:rPr>
        <w:t xml:space="preserve"> </w:t>
      </w:r>
      <w:r>
        <w:t>anti-bullying</w:t>
      </w:r>
      <w:r>
        <w:rPr>
          <w:spacing w:val="-5"/>
        </w:rPr>
        <w:t xml:space="preserve"> </w:t>
      </w:r>
      <w:r>
        <w:t>law,</w:t>
      </w:r>
      <w:r>
        <w:rPr>
          <w:spacing w:val="-3"/>
        </w:rPr>
        <w:t xml:space="preserve"> </w:t>
      </w:r>
      <w:r>
        <w:t>gender</w:t>
      </w:r>
      <w:r>
        <w:rPr>
          <w:spacing w:val="-5"/>
        </w:rPr>
        <w:t xml:space="preserve"> </w:t>
      </w:r>
      <w:r>
        <w:t>identity</w:t>
      </w:r>
      <w:r>
        <w:rPr>
          <w:spacing w:val="-5"/>
        </w:rPr>
        <w:t xml:space="preserve"> </w:t>
      </w:r>
      <w:r>
        <w:t>law, and student anti-discrimination law.</w:t>
      </w:r>
    </w:p>
    <w:p w:rsidR="00C76E6D" w:rsidRDefault="00C76E6D">
      <w:pPr>
        <w:pStyle w:val="BodyText"/>
        <w:spacing w:before="7"/>
        <w:rPr>
          <w:sz w:val="27"/>
        </w:rPr>
      </w:pPr>
    </w:p>
    <w:p w:rsidR="00C76E6D" w:rsidRDefault="00913831">
      <w:pPr>
        <w:pStyle w:val="BodyText"/>
        <w:spacing w:line="276" w:lineRule="auto"/>
        <w:ind w:left="338" w:right="335"/>
        <w:jc w:val="both"/>
      </w:pPr>
      <w:r>
        <w:t>Through</w:t>
      </w:r>
      <w:r>
        <w:rPr>
          <w:spacing w:val="-1"/>
        </w:rPr>
        <w:t xml:space="preserve"> </w:t>
      </w:r>
      <w:r>
        <w:t>the Safe</w:t>
      </w:r>
      <w:r>
        <w:rPr>
          <w:spacing w:val="-3"/>
        </w:rPr>
        <w:t xml:space="preserve"> </w:t>
      </w:r>
      <w:r>
        <w:t>Schools</w:t>
      </w:r>
      <w:r>
        <w:rPr>
          <w:spacing w:val="-1"/>
        </w:rPr>
        <w:t xml:space="preserve"> </w:t>
      </w:r>
      <w:r>
        <w:t>Program,</w:t>
      </w:r>
      <w:r>
        <w:rPr>
          <w:spacing w:val="-2"/>
        </w:rPr>
        <w:t xml:space="preserve"> </w:t>
      </w:r>
      <w:r>
        <w:t>the</w:t>
      </w:r>
      <w:r>
        <w:rPr>
          <w:spacing w:val="34"/>
        </w:rPr>
        <w:t xml:space="preserve"> </w:t>
      </w:r>
      <w:hyperlink r:id="rId22">
        <w:r>
          <w:rPr>
            <w:u w:val="single"/>
          </w:rPr>
          <w:t>Massachusetts</w:t>
        </w:r>
        <w:r>
          <w:rPr>
            <w:spacing w:val="-1"/>
            <w:u w:val="single"/>
          </w:rPr>
          <w:t xml:space="preserve"> </w:t>
        </w:r>
        <w:r>
          <w:rPr>
            <w:u w:val="single"/>
          </w:rPr>
          <w:t>GSA</w:t>
        </w:r>
        <w:r>
          <w:rPr>
            <w:spacing w:val="-2"/>
            <w:u w:val="single"/>
          </w:rPr>
          <w:t xml:space="preserve"> </w:t>
        </w:r>
        <w:r>
          <w:rPr>
            <w:u w:val="single"/>
          </w:rPr>
          <w:t>Student</w:t>
        </w:r>
        <w:r>
          <w:rPr>
            <w:spacing w:val="-3"/>
            <w:u w:val="single"/>
          </w:rPr>
          <w:t xml:space="preserve"> </w:t>
        </w:r>
        <w:r>
          <w:rPr>
            <w:u w:val="single"/>
          </w:rPr>
          <w:t>Leadership</w:t>
        </w:r>
        <w:r>
          <w:rPr>
            <w:spacing w:val="-1"/>
            <w:u w:val="single"/>
          </w:rPr>
          <w:t xml:space="preserve"> </w:t>
        </w:r>
        <w:r>
          <w:rPr>
            <w:u w:val="single"/>
          </w:rPr>
          <w:t>Council</w:t>
        </w:r>
        <w:r>
          <w:t xml:space="preserve"> </w:t>
        </w:r>
      </w:hyperlink>
      <w:r>
        <w:t>creates</w:t>
      </w:r>
      <w:r>
        <w:rPr>
          <w:spacing w:val="-4"/>
        </w:rPr>
        <w:t xml:space="preserve"> </w:t>
      </w:r>
      <w:r>
        <w:t>and</w:t>
      </w:r>
      <w:r>
        <w:rPr>
          <w:spacing w:val="-4"/>
        </w:rPr>
        <w:t xml:space="preserve"> </w:t>
      </w:r>
      <w:r>
        <w:t>informs policy, promotes inclusive learning env</w:t>
      </w:r>
      <w:r>
        <w:t>ironments for all students, supports the development of leadership skills, and fosters statewide collaboration among LGBTQ students and allies. Members of the GSA Student Leadership</w:t>
      </w:r>
      <w:r>
        <w:rPr>
          <w:spacing w:val="-7"/>
        </w:rPr>
        <w:t xml:space="preserve"> </w:t>
      </w:r>
      <w:r>
        <w:t>Council</w:t>
      </w:r>
      <w:r>
        <w:rPr>
          <w:spacing w:val="-7"/>
        </w:rPr>
        <w:t xml:space="preserve"> </w:t>
      </w:r>
      <w:r>
        <w:t>develop</w:t>
      </w:r>
      <w:r>
        <w:rPr>
          <w:spacing w:val="-8"/>
        </w:rPr>
        <w:t xml:space="preserve"> </w:t>
      </w:r>
      <w:r>
        <w:t>and</w:t>
      </w:r>
      <w:r>
        <w:rPr>
          <w:spacing w:val="-7"/>
        </w:rPr>
        <w:t xml:space="preserve"> </w:t>
      </w:r>
      <w:r>
        <w:t>implement</w:t>
      </w:r>
      <w:r>
        <w:rPr>
          <w:spacing w:val="-7"/>
        </w:rPr>
        <w:t xml:space="preserve"> </w:t>
      </w:r>
      <w:r>
        <w:t>projects</w:t>
      </w:r>
      <w:r>
        <w:rPr>
          <w:spacing w:val="-6"/>
        </w:rPr>
        <w:t xml:space="preserve"> </w:t>
      </w:r>
      <w:r>
        <w:t>designed</w:t>
      </w:r>
      <w:r>
        <w:rPr>
          <w:spacing w:val="-6"/>
        </w:rPr>
        <w:t xml:space="preserve"> </w:t>
      </w:r>
      <w:r>
        <w:t>to</w:t>
      </w:r>
      <w:r>
        <w:rPr>
          <w:spacing w:val="-6"/>
        </w:rPr>
        <w:t xml:space="preserve"> </w:t>
      </w:r>
      <w:r>
        <w:t>make</w:t>
      </w:r>
      <w:r>
        <w:rPr>
          <w:spacing w:val="-7"/>
        </w:rPr>
        <w:t xml:space="preserve"> </w:t>
      </w:r>
      <w:r>
        <w:t>changes</w:t>
      </w:r>
      <w:r>
        <w:rPr>
          <w:spacing w:val="-7"/>
        </w:rPr>
        <w:t xml:space="preserve"> </w:t>
      </w:r>
      <w:r>
        <w:t>in</w:t>
      </w:r>
      <w:r>
        <w:rPr>
          <w:spacing w:val="-7"/>
        </w:rPr>
        <w:t xml:space="preserve"> </w:t>
      </w:r>
      <w:r>
        <w:t>local</w:t>
      </w:r>
      <w:r>
        <w:rPr>
          <w:spacing w:val="-7"/>
        </w:rPr>
        <w:t xml:space="preserve"> </w:t>
      </w:r>
      <w:r>
        <w:t>schools,</w:t>
      </w:r>
      <w:r>
        <w:rPr>
          <w:spacing w:val="-7"/>
        </w:rPr>
        <w:t xml:space="preserve"> </w:t>
      </w:r>
      <w:r>
        <w:t>districts,</w:t>
      </w:r>
      <w:r>
        <w:rPr>
          <w:spacing w:val="-6"/>
        </w:rPr>
        <w:t xml:space="preserve"> </w:t>
      </w:r>
      <w:r>
        <w:t>and regions. The GSA Student Leadership Council is a student-led, adult-supported program that consists of a state council and five region-based councils (Northeast, Southeast, Greater Boston, Central, and Western).</w:t>
      </w:r>
    </w:p>
    <w:p w:rsidR="00C76E6D" w:rsidRDefault="00C76E6D">
      <w:pPr>
        <w:pStyle w:val="BodyText"/>
        <w:spacing w:before="2"/>
        <w:rPr>
          <w:sz w:val="25"/>
        </w:rPr>
      </w:pPr>
    </w:p>
    <w:p w:rsidR="00C76E6D" w:rsidRDefault="00913831">
      <w:pPr>
        <w:pStyle w:val="BodyText"/>
        <w:spacing w:line="276" w:lineRule="auto"/>
        <w:ind w:left="338" w:right="334"/>
        <w:jc w:val="both"/>
      </w:pPr>
      <w:r>
        <w:t>Through</w:t>
      </w:r>
      <w:r>
        <w:rPr>
          <w:spacing w:val="-13"/>
        </w:rPr>
        <w:t xml:space="preserve"> </w:t>
      </w:r>
      <w:r>
        <w:t>the</w:t>
      </w:r>
      <w:r>
        <w:rPr>
          <w:spacing w:val="-12"/>
        </w:rPr>
        <w:t xml:space="preserve"> </w:t>
      </w:r>
      <w:r>
        <w:t>GSA</w:t>
      </w:r>
      <w:r>
        <w:rPr>
          <w:spacing w:val="-13"/>
        </w:rPr>
        <w:t xml:space="preserve"> </w:t>
      </w:r>
      <w:r>
        <w:t>Student</w:t>
      </w:r>
      <w:r>
        <w:rPr>
          <w:spacing w:val="-12"/>
        </w:rPr>
        <w:t xml:space="preserve"> </w:t>
      </w:r>
      <w:r>
        <w:t>Leadership</w:t>
      </w:r>
      <w:r>
        <w:rPr>
          <w:spacing w:val="-13"/>
        </w:rPr>
        <w:t xml:space="preserve"> </w:t>
      </w:r>
      <w:r>
        <w:t>Council</w:t>
      </w:r>
      <w:r>
        <w:rPr>
          <w:spacing w:val="-12"/>
        </w:rPr>
        <w:t xml:space="preserve"> </w:t>
      </w:r>
      <w:r>
        <w:t>regional</w:t>
      </w:r>
      <w:r>
        <w:rPr>
          <w:spacing w:val="-13"/>
        </w:rPr>
        <w:t xml:space="preserve"> </w:t>
      </w:r>
      <w:r>
        <w:t>meetings,</w:t>
      </w:r>
      <w:r>
        <w:rPr>
          <w:spacing w:val="-12"/>
        </w:rPr>
        <w:t xml:space="preserve"> </w:t>
      </w:r>
      <w:r>
        <w:t>the</w:t>
      </w:r>
      <w:r>
        <w:rPr>
          <w:spacing w:val="-12"/>
        </w:rPr>
        <w:t xml:space="preserve"> </w:t>
      </w:r>
      <w:r>
        <w:t>Safe</w:t>
      </w:r>
      <w:r>
        <w:rPr>
          <w:spacing w:val="-13"/>
        </w:rPr>
        <w:t xml:space="preserve"> </w:t>
      </w:r>
      <w:r>
        <w:t>Schools</w:t>
      </w:r>
      <w:r>
        <w:rPr>
          <w:spacing w:val="-12"/>
        </w:rPr>
        <w:t xml:space="preserve"> </w:t>
      </w:r>
      <w:r>
        <w:t>Program</w:t>
      </w:r>
      <w:r>
        <w:rPr>
          <w:spacing w:val="-13"/>
        </w:rPr>
        <w:t xml:space="preserve"> </w:t>
      </w:r>
      <w:r>
        <w:t>reached</w:t>
      </w:r>
      <w:r>
        <w:rPr>
          <w:spacing w:val="-12"/>
        </w:rPr>
        <w:t xml:space="preserve"> </w:t>
      </w:r>
      <w:r>
        <w:t>65</w:t>
      </w:r>
      <w:r>
        <w:rPr>
          <w:spacing w:val="-13"/>
        </w:rPr>
        <w:t xml:space="preserve"> </w:t>
      </w:r>
      <w:r>
        <w:t>schools across Massachusetts; 725 students and 154 GSA Advisors attended regional meetings in the 2021-2022 school</w:t>
      </w:r>
      <w:r>
        <w:rPr>
          <w:spacing w:val="-11"/>
        </w:rPr>
        <w:t xml:space="preserve"> </w:t>
      </w:r>
      <w:r>
        <w:t>year.</w:t>
      </w:r>
      <w:r>
        <w:rPr>
          <w:spacing w:val="-11"/>
        </w:rPr>
        <w:t xml:space="preserve"> </w:t>
      </w:r>
      <w:r>
        <w:t>This</w:t>
      </w:r>
      <w:r>
        <w:rPr>
          <w:spacing w:val="-11"/>
        </w:rPr>
        <w:t xml:space="preserve"> </w:t>
      </w:r>
      <w:r>
        <w:t>is</w:t>
      </w:r>
      <w:r>
        <w:rPr>
          <w:spacing w:val="-11"/>
        </w:rPr>
        <w:t xml:space="preserve"> </w:t>
      </w:r>
      <w:r>
        <w:t>a</w:t>
      </w:r>
      <w:r>
        <w:rPr>
          <w:spacing w:val="-10"/>
        </w:rPr>
        <w:t xml:space="preserve"> </w:t>
      </w:r>
      <w:r>
        <w:t>97%</w:t>
      </w:r>
      <w:r>
        <w:rPr>
          <w:spacing w:val="-10"/>
        </w:rPr>
        <w:t xml:space="preserve"> </w:t>
      </w:r>
      <w:r>
        <w:t>increase</w:t>
      </w:r>
      <w:r>
        <w:rPr>
          <w:spacing w:val="-11"/>
        </w:rPr>
        <w:t xml:space="preserve"> </w:t>
      </w:r>
      <w:r>
        <w:t>in</w:t>
      </w:r>
      <w:r>
        <w:rPr>
          <w:spacing w:val="-10"/>
        </w:rPr>
        <w:t xml:space="preserve"> </w:t>
      </w:r>
      <w:r>
        <w:t>student</w:t>
      </w:r>
      <w:r>
        <w:rPr>
          <w:spacing w:val="-11"/>
        </w:rPr>
        <w:t xml:space="preserve"> </w:t>
      </w:r>
      <w:r>
        <w:t>attendance</w:t>
      </w:r>
      <w:r>
        <w:rPr>
          <w:spacing w:val="-12"/>
        </w:rPr>
        <w:t xml:space="preserve"> </w:t>
      </w:r>
      <w:r>
        <w:t>and</w:t>
      </w:r>
      <w:r>
        <w:rPr>
          <w:spacing w:val="-10"/>
        </w:rPr>
        <w:t xml:space="preserve"> </w:t>
      </w:r>
      <w:r>
        <w:t>a</w:t>
      </w:r>
      <w:r>
        <w:rPr>
          <w:spacing w:val="-10"/>
        </w:rPr>
        <w:t xml:space="preserve"> </w:t>
      </w:r>
      <w:r>
        <w:t>57</w:t>
      </w:r>
      <w:r>
        <w:t>%</w:t>
      </w:r>
      <w:r>
        <w:rPr>
          <w:spacing w:val="-9"/>
        </w:rPr>
        <w:t xml:space="preserve"> </w:t>
      </w:r>
      <w:r>
        <w:t>increase</w:t>
      </w:r>
      <w:r>
        <w:rPr>
          <w:spacing w:val="-10"/>
        </w:rPr>
        <w:t xml:space="preserve"> </w:t>
      </w:r>
      <w:r>
        <w:t>in</w:t>
      </w:r>
      <w:r>
        <w:rPr>
          <w:spacing w:val="-10"/>
        </w:rPr>
        <w:t xml:space="preserve"> </w:t>
      </w:r>
      <w:r>
        <w:t>advisor</w:t>
      </w:r>
      <w:r>
        <w:rPr>
          <w:spacing w:val="-11"/>
        </w:rPr>
        <w:t xml:space="preserve"> </w:t>
      </w:r>
      <w:r>
        <w:t>attendance</w:t>
      </w:r>
      <w:r>
        <w:rPr>
          <w:spacing w:val="-9"/>
        </w:rPr>
        <w:t xml:space="preserve"> </w:t>
      </w:r>
      <w:r>
        <w:t>compared to FY22.</w:t>
      </w:r>
    </w:p>
    <w:p w:rsidR="00C76E6D" w:rsidRDefault="00C76E6D">
      <w:pPr>
        <w:pStyle w:val="BodyText"/>
        <w:spacing w:before="8"/>
        <w:rPr>
          <w:sz w:val="19"/>
        </w:rPr>
      </w:pPr>
    </w:p>
    <w:p w:rsidR="00C76E6D" w:rsidRDefault="00913831">
      <w:pPr>
        <w:pStyle w:val="BodyText"/>
        <w:spacing w:before="1" w:line="276" w:lineRule="auto"/>
        <w:ind w:left="338" w:right="334"/>
        <w:jc w:val="both"/>
      </w:pPr>
      <w:r>
        <w:t>Additionally, this</w:t>
      </w:r>
      <w:r>
        <w:rPr>
          <w:spacing w:val="-1"/>
        </w:rPr>
        <w:t xml:space="preserve"> </w:t>
      </w:r>
      <w:r>
        <w:t>year the Safe</w:t>
      </w:r>
      <w:r>
        <w:rPr>
          <w:spacing w:val="-2"/>
        </w:rPr>
        <w:t xml:space="preserve"> </w:t>
      </w:r>
      <w:r>
        <w:t>Schools Program</w:t>
      </w:r>
      <w:r>
        <w:rPr>
          <w:spacing w:val="-2"/>
        </w:rPr>
        <w:t xml:space="preserve"> </w:t>
      </w:r>
      <w:r>
        <w:t>is</w:t>
      </w:r>
      <w:r>
        <w:rPr>
          <w:spacing w:val="-1"/>
        </w:rPr>
        <w:t xml:space="preserve"> </w:t>
      </w:r>
      <w:r>
        <w:t>releasing</w:t>
      </w:r>
      <w:r>
        <w:rPr>
          <w:spacing w:val="-1"/>
        </w:rPr>
        <w:t xml:space="preserve"> </w:t>
      </w:r>
      <w:r>
        <w:t>a Special</w:t>
      </w:r>
      <w:r>
        <w:rPr>
          <w:spacing w:val="-1"/>
        </w:rPr>
        <w:t xml:space="preserve"> </w:t>
      </w:r>
      <w:r>
        <w:t>Report</w:t>
      </w:r>
      <w:r>
        <w:rPr>
          <w:spacing w:val="-1"/>
        </w:rPr>
        <w:t xml:space="preserve"> </w:t>
      </w:r>
      <w:r>
        <w:t>on</w:t>
      </w:r>
      <w:r>
        <w:rPr>
          <w:spacing w:val="-2"/>
        </w:rPr>
        <w:t xml:space="preserve"> </w:t>
      </w:r>
      <w:r>
        <w:t>LGBTQ+</w:t>
      </w:r>
      <w:r>
        <w:rPr>
          <w:spacing w:val="-1"/>
        </w:rPr>
        <w:t xml:space="preserve"> </w:t>
      </w:r>
      <w:r>
        <w:t>Inclusive</w:t>
      </w:r>
      <w:r>
        <w:rPr>
          <w:spacing w:val="-2"/>
        </w:rPr>
        <w:t xml:space="preserve"> </w:t>
      </w:r>
      <w:r>
        <w:t>Education Policy</w:t>
      </w:r>
      <w:r>
        <w:rPr>
          <w:rFonts w:ascii="Arial" w:hAnsi="Arial"/>
        </w:rPr>
        <w:t>.</w:t>
      </w:r>
      <w:r>
        <w:rPr>
          <w:rFonts w:ascii="Arial" w:hAnsi="Arial"/>
          <w:spacing w:val="-4"/>
        </w:rPr>
        <w:t xml:space="preserve"> </w:t>
      </w:r>
      <w:r>
        <w:t xml:space="preserve">Ten years after the passage of </w:t>
      </w:r>
      <w:r>
        <w:rPr>
          <w:i/>
        </w:rPr>
        <w:t xml:space="preserve">An Act Relative to Gender Identity </w:t>
      </w:r>
      <w:r>
        <w:t>and the Department</w:t>
      </w:r>
      <w:r>
        <w:rPr>
          <w:spacing w:val="-1"/>
        </w:rPr>
        <w:t xml:space="preserve"> </w:t>
      </w:r>
      <w:r>
        <w:t>of Elementary and</w:t>
      </w:r>
      <w:r>
        <w:rPr>
          <w:spacing w:val="-8"/>
        </w:rPr>
        <w:t xml:space="preserve"> </w:t>
      </w:r>
      <w:r>
        <w:t>Secondary</w:t>
      </w:r>
      <w:r>
        <w:rPr>
          <w:spacing w:val="-7"/>
        </w:rPr>
        <w:t xml:space="preserve"> </w:t>
      </w:r>
      <w:r>
        <w:t>Education’s</w:t>
      </w:r>
      <w:r>
        <w:rPr>
          <w:spacing w:val="-6"/>
        </w:rPr>
        <w:t xml:space="preserve"> </w:t>
      </w:r>
      <w:r>
        <w:t>(DESE)</w:t>
      </w:r>
      <w:r>
        <w:rPr>
          <w:spacing w:val="-7"/>
        </w:rPr>
        <w:t xml:space="preserve"> </w:t>
      </w:r>
      <w:r>
        <w:t>publication</w:t>
      </w:r>
      <w:r>
        <w:rPr>
          <w:spacing w:val="-9"/>
        </w:rPr>
        <w:t xml:space="preserve"> </w:t>
      </w:r>
      <w:r>
        <w:t>of</w:t>
      </w:r>
      <w:r>
        <w:rPr>
          <w:spacing w:val="-6"/>
        </w:rPr>
        <w:t xml:space="preserve"> </w:t>
      </w:r>
      <w:r>
        <w:t>"</w:t>
      </w:r>
      <w:hyperlink r:id="rId23">
        <w:r>
          <w:rPr>
            <w:u w:val="single"/>
          </w:rPr>
          <w:t>Guidance</w:t>
        </w:r>
        <w:r>
          <w:rPr>
            <w:spacing w:val="-8"/>
            <w:u w:val="single"/>
          </w:rPr>
          <w:t xml:space="preserve"> </w:t>
        </w:r>
        <w:r>
          <w:rPr>
            <w:u w:val="single"/>
          </w:rPr>
          <w:t>for</w:t>
        </w:r>
        <w:r>
          <w:rPr>
            <w:spacing w:val="-6"/>
            <w:u w:val="single"/>
          </w:rPr>
          <w:t xml:space="preserve"> </w:t>
        </w:r>
        <w:r>
          <w:rPr>
            <w:u w:val="single"/>
          </w:rPr>
          <w:t>Massachusetts</w:t>
        </w:r>
        <w:r>
          <w:rPr>
            <w:spacing w:val="-7"/>
            <w:u w:val="single"/>
          </w:rPr>
          <w:t xml:space="preserve"> </w:t>
        </w:r>
        <w:r>
          <w:rPr>
            <w:u w:val="single"/>
          </w:rPr>
          <w:t>Public</w:t>
        </w:r>
        <w:r>
          <w:rPr>
            <w:spacing w:val="-7"/>
            <w:u w:val="single"/>
          </w:rPr>
          <w:t xml:space="preserve"> </w:t>
        </w:r>
        <w:r>
          <w:rPr>
            <w:u w:val="single"/>
          </w:rPr>
          <w:t>Schools</w:t>
        </w:r>
        <w:r>
          <w:rPr>
            <w:spacing w:val="-6"/>
            <w:u w:val="single"/>
          </w:rPr>
          <w:t xml:space="preserve"> </w:t>
        </w:r>
        <w:r>
          <w:rPr>
            <w:u w:val="single"/>
          </w:rPr>
          <w:t>Creating</w:t>
        </w:r>
        <w:r>
          <w:rPr>
            <w:spacing w:val="-8"/>
            <w:u w:val="single"/>
          </w:rPr>
          <w:t xml:space="preserve"> </w:t>
        </w:r>
        <w:r>
          <w:rPr>
            <w:u w:val="single"/>
          </w:rPr>
          <w:t>a</w:t>
        </w:r>
        <w:r>
          <w:rPr>
            <w:spacing w:val="-7"/>
            <w:u w:val="single"/>
          </w:rPr>
          <w:t xml:space="preserve"> </w:t>
        </w:r>
        <w:r>
          <w:rPr>
            <w:u w:val="single"/>
          </w:rPr>
          <w:t>Safe</w:t>
        </w:r>
      </w:hyperlink>
      <w:r>
        <w:t xml:space="preserve"> </w:t>
      </w:r>
      <w:hyperlink r:id="rId24">
        <w:r>
          <w:rPr>
            <w:u w:val="single"/>
          </w:rPr>
          <w:t>and Supportive School Environment: Nondiscrimination on the Basis of Gender Identity</w:t>
        </w:r>
        <w:r>
          <w:t>,</w:t>
        </w:r>
      </w:hyperlink>
      <w:r>
        <w:t>" this report by Cas Ford Martin, MPPA, evaluates Massachusetts PK-12 public schools on their nondiscrimination policies for transgender and nonbinary student</w:t>
      </w:r>
      <w:r>
        <w:t>s through a sweeping textual analysis of more than 1,700 student/caregiver handbooks.</w:t>
      </w:r>
    </w:p>
    <w:p w:rsidR="00C76E6D" w:rsidRDefault="00C76E6D">
      <w:pPr>
        <w:pStyle w:val="BodyText"/>
        <w:spacing w:before="4"/>
        <w:rPr>
          <w:sz w:val="25"/>
        </w:rPr>
      </w:pPr>
    </w:p>
    <w:p w:rsidR="00C76E6D" w:rsidRDefault="00913831">
      <w:pPr>
        <w:pStyle w:val="BodyText"/>
        <w:spacing w:before="1" w:line="276" w:lineRule="auto"/>
        <w:ind w:left="338" w:right="333"/>
        <w:jc w:val="both"/>
      </w:pPr>
      <w:r>
        <w:t>The purpose of this project is to determine how/whether school administrators are implementing and communicating</w:t>
      </w:r>
      <w:r>
        <w:rPr>
          <w:spacing w:val="-7"/>
        </w:rPr>
        <w:t xml:space="preserve"> </w:t>
      </w:r>
      <w:r>
        <w:t>state</w:t>
      </w:r>
      <w:r>
        <w:rPr>
          <w:spacing w:val="-4"/>
        </w:rPr>
        <w:t xml:space="preserve"> </w:t>
      </w:r>
      <w:r>
        <w:t>non-discrimination</w:t>
      </w:r>
      <w:r>
        <w:rPr>
          <w:spacing w:val="-7"/>
        </w:rPr>
        <w:t xml:space="preserve"> </w:t>
      </w:r>
      <w:r>
        <w:t>policies</w:t>
      </w:r>
      <w:r>
        <w:rPr>
          <w:spacing w:val="-4"/>
        </w:rPr>
        <w:t xml:space="preserve"> </w:t>
      </w:r>
      <w:r>
        <w:t>and</w:t>
      </w:r>
      <w:r>
        <w:rPr>
          <w:spacing w:val="-4"/>
        </w:rPr>
        <w:t xml:space="preserve"> </w:t>
      </w:r>
      <w:r>
        <w:t>DESE</w:t>
      </w:r>
      <w:r>
        <w:rPr>
          <w:spacing w:val="-6"/>
        </w:rPr>
        <w:t xml:space="preserve"> </w:t>
      </w:r>
      <w:r>
        <w:t>guidance</w:t>
      </w:r>
      <w:r>
        <w:rPr>
          <w:spacing w:val="-7"/>
        </w:rPr>
        <w:t xml:space="preserve"> </w:t>
      </w:r>
      <w:r>
        <w:t>on</w:t>
      </w:r>
      <w:r>
        <w:rPr>
          <w:spacing w:val="-5"/>
        </w:rPr>
        <w:t xml:space="preserve"> </w:t>
      </w:r>
      <w:r>
        <w:t>supporting</w:t>
      </w:r>
      <w:r>
        <w:rPr>
          <w:spacing w:val="-6"/>
        </w:rPr>
        <w:t xml:space="preserve"> </w:t>
      </w:r>
      <w:r>
        <w:t>LGBTQ+</w:t>
      </w:r>
      <w:r>
        <w:rPr>
          <w:spacing w:val="-5"/>
        </w:rPr>
        <w:t xml:space="preserve"> </w:t>
      </w:r>
      <w:r>
        <w:t>students</w:t>
      </w:r>
      <w:r>
        <w:rPr>
          <w:spacing w:val="-6"/>
        </w:rPr>
        <w:t xml:space="preserve"> </w:t>
      </w:r>
      <w:r>
        <w:t>in</w:t>
      </w:r>
      <w:r>
        <w:rPr>
          <w:spacing w:val="-5"/>
        </w:rPr>
        <w:t xml:space="preserve"> </w:t>
      </w:r>
      <w:r>
        <w:t>their handbooks. In</w:t>
      </w:r>
      <w:r>
        <w:rPr>
          <w:spacing w:val="-1"/>
        </w:rPr>
        <w:t xml:space="preserve"> </w:t>
      </w:r>
      <w:r>
        <w:t>addition to analyzing school</w:t>
      </w:r>
      <w:r>
        <w:rPr>
          <w:spacing w:val="-1"/>
        </w:rPr>
        <w:t xml:space="preserve"> </w:t>
      </w:r>
      <w:r>
        <w:t>handbooks for their LGBTQ+ inclusive policies and practices, this report</w:t>
      </w:r>
      <w:r>
        <w:rPr>
          <w:spacing w:val="-6"/>
        </w:rPr>
        <w:t xml:space="preserve"> </w:t>
      </w:r>
      <w:r>
        <w:t>provides</w:t>
      </w:r>
      <w:r>
        <w:rPr>
          <w:spacing w:val="-3"/>
        </w:rPr>
        <w:t xml:space="preserve"> </w:t>
      </w:r>
      <w:r>
        <w:t>suggested</w:t>
      </w:r>
      <w:r>
        <w:rPr>
          <w:spacing w:val="-2"/>
        </w:rPr>
        <w:t xml:space="preserve"> </w:t>
      </w:r>
      <w:r>
        <w:t>LGBTQ+</w:t>
      </w:r>
      <w:r>
        <w:rPr>
          <w:spacing w:val="-4"/>
        </w:rPr>
        <w:t xml:space="preserve"> </w:t>
      </w:r>
      <w:r>
        <w:t>inclusive</w:t>
      </w:r>
      <w:r>
        <w:rPr>
          <w:spacing w:val="-4"/>
        </w:rPr>
        <w:t xml:space="preserve"> </w:t>
      </w:r>
      <w:r>
        <w:t>language</w:t>
      </w:r>
      <w:r>
        <w:rPr>
          <w:spacing w:val="-3"/>
        </w:rPr>
        <w:t xml:space="preserve"> </w:t>
      </w:r>
      <w:r>
        <w:t>for</w:t>
      </w:r>
      <w:r>
        <w:rPr>
          <w:spacing w:val="-5"/>
        </w:rPr>
        <w:t xml:space="preserve"> </w:t>
      </w:r>
      <w:r>
        <w:t>school</w:t>
      </w:r>
      <w:r>
        <w:rPr>
          <w:spacing w:val="-5"/>
        </w:rPr>
        <w:t xml:space="preserve"> </w:t>
      </w:r>
      <w:r>
        <w:t>officials</w:t>
      </w:r>
      <w:r>
        <w:rPr>
          <w:spacing w:val="-4"/>
        </w:rPr>
        <w:t xml:space="preserve"> </w:t>
      </w:r>
      <w:r>
        <w:t>to</w:t>
      </w:r>
      <w:r>
        <w:rPr>
          <w:spacing w:val="-5"/>
        </w:rPr>
        <w:t xml:space="preserve"> </w:t>
      </w:r>
      <w:r>
        <w:t>use</w:t>
      </w:r>
      <w:r>
        <w:rPr>
          <w:spacing w:val="-5"/>
        </w:rPr>
        <w:t xml:space="preserve"> </w:t>
      </w:r>
      <w:r>
        <w:t>in</w:t>
      </w:r>
      <w:r>
        <w:rPr>
          <w:spacing w:val="-5"/>
        </w:rPr>
        <w:t xml:space="preserve"> </w:t>
      </w:r>
      <w:r>
        <w:t>their</w:t>
      </w:r>
      <w:r>
        <w:rPr>
          <w:spacing w:val="-5"/>
        </w:rPr>
        <w:t xml:space="preserve"> </w:t>
      </w:r>
      <w:r>
        <w:t>own</w:t>
      </w:r>
      <w:r>
        <w:rPr>
          <w:spacing w:val="-5"/>
        </w:rPr>
        <w:t xml:space="preserve"> </w:t>
      </w:r>
      <w:r>
        <w:t>handbooks,</w:t>
      </w:r>
      <w:r>
        <w:rPr>
          <w:spacing w:val="-5"/>
        </w:rPr>
        <w:t xml:space="preserve"> </w:t>
      </w:r>
      <w:r>
        <w:t>and pra</w:t>
      </w:r>
      <w:r>
        <w:t>ctical recommendations for policymakers and professionals who want to better support their LGBTQ+ students. See the below special reports for more information about Massachusetts school outreach.</w:t>
      </w:r>
    </w:p>
    <w:p w:rsidR="00C76E6D" w:rsidRDefault="00C76E6D">
      <w:pPr>
        <w:pStyle w:val="BodyText"/>
      </w:pPr>
    </w:p>
    <w:p w:rsidR="00C76E6D" w:rsidRDefault="00C76E6D">
      <w:pPr>
        <w:pStyle w:val="BodyText"/>
        <w:spacing w:before="7"/>
        <w:rPr>
          <w:sz w:val="28"/>
        </w:rPr>
      </w:pPr>
    </w:p>
    <w:p w:rsidR="00C76E6D" w:rsidRDefault="00913831">
      <w:pPr>
        <w:pStyle w:val="Heading5"/>
        <w:jc w:val="both"/>
      </w:pPr>
      <w:bookmarkStart w:id="12" w:name="Increasing_Inclusion_Research_and_Recomm"/>
      <w:bookmarkEnd w:id="12"/>
      <w:r>
        <w:t>Increasing</w:t>
      </w:r>
      <w:r>
        <w:rPr>
          <w:spacing w:val="-10"/>
        </w:rPr>
        <w:t xml:space="preserve"> </w:t>
      </w:r>
      <w:r>
        <w:t>Inclusion</w:t>
      </w:r>
      <w:r>
        <w:rPr>
          <w:spacing w:val="-8"/>
        </w:rPr>
        <w:t xml:space="preserve"> </w:t>
      </w:r>
      <w:r>
        <w:t>Research</w:t>
      </w:r>
      <w:r>
        <w:rPr>
          <w:spacing w:val="-8"/>
        </w:rPr>
        <w:t xml:space="preserve"> </w:t>
      </w:r>
      <w:r>
        <w:t>and</w:t>
      </w:r>
      <w:r>
        <w:rPr>
          <w:spacing w:val="-9"/>
        </w:rPr>
        <w:t xml:space="preserve"> </w:t>
      </w:r>
      <w:r>
        <w:rPr>
          <w:spacing w:val="-2"/>
        </w:rPr>
        <w:t>Recommendations</w:t>
      </w:r>
    </w:p>
    <w:p w:rsidR="00C76E6D" w:rsidRDefault="00913831">
      <w:pPr>
        <w:pStyle w:val="BodyText"/>
        <w:spacing w:before="3"/>
        <w:rPr>
          <w:b/>
          <w:sz w:val="9"/>
        </w:rPr>
      </w:pPr>
      <w:r>
        <w:pict>
          <v:shape id="docshape30" o:spid="_x0000_s1406" style="position:absolute;margin-left:65pt;margin-top:6.9pt;width:476.95pt;height:.1pt;z-index:-15720448;mso-wrap-distance-left:0;mso-wrap-distance-right:0;mso-position-horizontal-relative:page" coordorigin="1300,138" coordsize="9539,0" path="m1300,138r9539,e" filled="f" strokeweight="1.54pt">
            <v:path arrowok="t"/>
            <w10:wrap type="topAndBottom" anchorx="page"/>
          </v:shape>
        </w:pict>
      </w:r>
    </w:p>
    <w:p w:rsidR="00C76E6D" w:rsidRDefault="00C76E6D">
      <w:pPr>
        <w:pStyle w:val="BodyText"/>
        <w:spacing w:before="5"/>
        <w:rPr>
          <w:b/>
          <w:sz w:val="33"/>
        </w:rPr>
      </w:pPr>
    </w:p>
    <w:p w:rsidR="00C76E6D" w:rsidRDefault="00913831">
      <w:pPr>
        <w:pStyle w:val="BodyText"/>
        <w:ind w:left="338"/>
        <w:jc w:val="both"/>
      </w:pPr>
      <w:r>
        <w:rPr>
          <w:spacing w:val="-2"/>
        </w:rPr>
        <w:t>Recom</w:t>
      </w:r>
      <w:r>
        <w:rPr>
          <w:spacing w:val="-2"/>
        </w:rPr>
        <w:t>mendations</w:t>
      </w:r>
      <w:r>
        <w:rPr>
          <w:spacing w:val="-11"/>
        </w:rPr>
        <w:t xml:space="preserve"> </w:t>
      </w:r>
      <w:r>
        <w:rPr>
          <w:spacing w:val="-2"/>
        </w:rPr>
        <w:t>to</w:t>
      </w:r>
      <w:r>
        <w:rPr>
          <w:spacing w:val="-8"/>
        </w:rPr>
        <w:t xml:space="preserve"> </w:t>
      </w:r>
      <w:r>
        <w:rPr>
          <w:spacing w:val="-2"/>
        </w:rPr>
        <w:t>the</w:t>
      </w:r>
      <w:r>
        <w:rPr>
          <w:spacing w:val="-7"/>
        </w:rPr>
        <w:t xml:space="preserve"> </w:t>
      </w:r>
      <w:r>
        <w:rPr>
          <w:spacing w:val="-2"/>
        </w:rPr>
        <w:t>Governor</w:t>
      </w:r>
      <w:r>
        <w:rPr>
          <w:spacing w:val="-7"/>
        </w:rPr>
        <w:t xml:space="preserve"> </w:t>
      </w:r>
      <w:r>
        <w:rPr>
          <w:spacing w:val="-2"/>
        </w:rPr>
        <w:t>and</w:t>
      </w:r>
      <w:r>
        <w:rPr>
          <w:spacing w:val="-10"/>
        </w:rPr>
        <w:t xml:space="preserve"> </w:t>
      </w:r>
      <w:r>
        <w:rPr>
          <w:spacing w:val="-2"/>
        </w:rPr>
        <w:t>Legislature</w:t>
      </w:r>
      <w:r>
        <w:rPr>
          <w:spacing w:val="-7"/>
        </w:rPr>
        <w:t xml:space="preserve"> </w:t>
      </w:r>
      <w:r>
        <w:rPr>
          <w:spacing w:val="-2"/>
        </w:rPr>
        <w:t>on</w:t>
      </w:r>
      <w:r>
        <w:rPr>
          <w:spacing w:val="-8"/>
        </w:rPr>
        <w:t xml:space="preserve"> </w:t>
      </w:r>
      <w:r>
        <w:rPr>
          <w:spacing w:val="-2"/>
        </w:rPr>
        <w:t>increasing</w:t>
      </w:r>
      <w:r>
        <w:rPr>
          <w:spacing w:val="-7"/>
        </w:rPr>
        <w:t xml:space="preserve"> </w:t>
      </w:r>
      <w:r>
        <w:rPr>
          <w:spacing w:val="-2"/>
        </w:rPr>
        <w:t>inclusion:</w:t>
      </w:r>
    </w:p>
    <w:p w:rsidR="00C76E6D" w:rsidRDefault="00C76E6D">
      <w:pPr>
        <w:pStyle w:val="BodyText"/>
        <w:spacing w:before="9"/>
        <w:rPr>
          <w:sz w:val="28"/>
        </w:rPr>
      </w:pPr>
    </w:p>
    <w:p w:rsidR="00C76E6D" w:rsidRDefault="00913831">
      <w:pPr>
        <w:pStyle w:val="ListParagraph"/>
        <w:numPr>
          <w:ilvl w:val="0"/>
          <w:numId w:val="58"/>
        </w:numPr>
        <w:tabs>
          <w:tab w:val="left" w:pos="1059"/>
        </w:tabs>
        <w:ind w:hanging="361"/>
      </w:pPr>
      <w:r>
        <w:rPr>
          <w:w w:val="95"/>
        </w:rPr>
        <w:t>Provide</w:t>
      </w:r>
      <w:r>
        <w:rPr>
          <w:spacing w:val="5"/>
        </w:rPr>
        <w:t xml:space="preserve"> </w:t>
      </w:r>
      <w:r>
        <w:rPr>
          <w:w w:val="95"/>
        </w:rPr>
        <w:t>basic</w:t>
      </w:r>
      <w:r>
        <w:rPr>
          <w:spacing w:val="11"/>
        </w:rPr>
        <w:t xml:space="preserve"> </w:t>
      </w:r>
      <w:r>
        <w:rPr>
          <w:w w:val="95"/>
        </w:rPr>
        <w:t>LGBTQ</w:t>
      </w:r>
      <w:r>
        <w:rPr>
          <w:spacing w:val="11"/>
        </w:rPr>
        <w:t xml:space="preserve"> </w:t>
      </w:r>
      <w:r>
        <w:rPr>
          <w:w w:val="95"/>
        </w:rPr>
        <w:t>competency</w:t>
      </w:r>
      <w:r>
        <w:rPr>
          <w:spacing w:val="10"/>
        </w:rPr>
        <w:t xml:space="preserve"> </w:t>
      </w:r>
      <w:r>
        <w:rPr>
          <w:w w:val="95"/>
        </w:rPr>
        <w:t>training</w:t>
      </w:r>
      <w:r>
        <w:rPr>
          <w:spacing w:val="11"/>
        </w:rPr>
        <w:t xml:space="preserve"> </w:t>
      </w:r>
      <w:r>
        <w:rPr>
          <w:w w:val="95"/>
        </w:rPr>
        <w:t>to</w:t>
      </w:r>
      <w:r>
        <w:rPr>
          <w:spacing w:val="11"/>
        </w:rPr>
        <w:t xml:space="preserve"> </w:t>
      </w:r>
      <w:r>
        <w:rPr>
          <w:w w:val="95"/>
        </w:rPr>
        <w:t>all</w:t>
      </w:r>
      <w:r>
        <w:rPr>
          <w:spacing w:val="7"/>
        </w:rPr>
        <w:t xml:space="preserve"> </w:t>
      </w:r>
      <w:r>
        <w:rPr>
          <w:w w:val="95"/>
        </w:rPr>
        <w:t>state</w:t>
      </w:r>
      <w:r>
        <w:rPr>
          <w:spacing w:val="9"/>
        </w:rPr>
        <w:t xml:space="preserve"> </w:t>
      </w:r>
      <w:r>
        <w:rPr>
          <w:w w:val="95"/>
        </w:rPr>
        <w:t>employees</w:t>
      </w:r>
      <w:r>
        <w:rPr>
          <w:spacing w:val="13"/>
        </w:rPr>
        <w:t xml:space="preserve"> </w:t>
      </w:r>
      <w:r>
        <w:rPr>
          <w:w w:val="95"/>
        </w:rPr>
        <w:t>and</w:t>
      </w:r>
      <w:r>
        <w:rPr>
          <w:spacing w:val="13"/>
        </w:rPr>
        <w:t xml:space="preserve"> </w:t>
      </w:r>
      <w:r>
        <w:rPr>
          <w:spacing w:val="-2"/>
          <w:w w:val="95"/>
        </w:rPr>
        <w:t>contractors.</w:t>
      </w:r>
    </w:p>
    <w:p w:rsidR="00C76E6D" w:rsidRDefault="00C76E6D">
      <w:pPr>
        <w:pStyle w:val="BodyText"/>
        <w:spacing w:before="12"/>
        <w:rPr>
          <w:sz w:val="21"/>
        </w:rPr>
      </w:pPr>
    </w:p>
    <w:p w:rsidR="00C76E6D" w:rsidRDefault="00913831">
      <w:pPr>
        <w:pStyle w:val="ListParagraph"/>
        <w:numPr>
          <w:ilvl w:val="0"/>
          <w:numId w:val="58"/>
        </w:numPr>
        <w:tabs>
          <w:tab w:val="left" w:pos="1060"/>
        </w:tabs>
        <w:ind w:left="1059" w:hanging="362"/>
      </w:pPr>
      <w:r>
        <w:rPr>
          <w:w w:val="95"/>
        </w:rPr>
        <w:t>Support</w:t>
      </w:r>
      <w:r>
        <w:rPr>
          <w:spacing w:val="9"/>
        </w:rPr>
        <w:t xml:space="preserve"> </w:t>
      </w:r>
      <w:r>
        <w:rPr>
          <w:w w:val="95"/>
        </w:rPr>
        <w:t>the</w:t>
      </w:r>
      <w:r>
        <w:rPr>
          <w:spacing w:val="11"/>
        </w:rPr>
        <w:t xml:space="preserve"> </w:t>
      </w:r>
      <w:r>
        <w:rPr>
          <w:w w:val="95"/>
        </w:rPr>
        <w:t>interagency</w:t>
      </w:r>
      <w:r>
        <w:rPr>
          <w:spacing w:val="10"/>
        </w:rPr>
        <w:t xml:space="preserve"> </w:t>
      </w:r>
      <w:r>
        <w:rPr>
          <w:w w:val="95"/>
        </w:rPr>
        <w:t>collaboration</w:t>
      </w:r>
      <w:r>
        <w:rPr>
          <w:spacing w:val="9"/>
        </w:rPr>
        <w:t xml:space="preserve"> </w:t>
      </w:r>
      <w:r>
        <w:rPr>
          <w:w w:val="95"/>
        </w:rPr>
        <w:t>to</w:t>
      </w:r>
      <w:r>
        <w:rPr>
          <w:spacing w:val="10"/>
        </w:rPr>
        <w:t xml:space="preserve"> </w:t>
      </w:r>
      <w:r>
        <w:rPr>
          <w:w w:val="95"/>
        </w:rPr>
        <w:t>address</w:t>
      </w:r>
      <w:r>
        <w:rPr>
          <w:spacing w:val="7"/>
        </w:rPr>
        <w:t xml:space="preserve"> </w:t>
      </w:r>
      <w:r>
        <w:rPr>
          <w:w w:val="95"/>
        </w:rPr>
        <w:t>family</w:t>
      </w:r>
      <w:r>
        <w:rPr>
          <w:spacing w:val="13"/>
        </w:rPr>
        <w:t xml:space="preserve"> </w:t>
      </w:r>
      <w:r>
        <w:rPr>
          <w:w w:val="95"/>
        </w:rPr>
        <w:t>rejection</w:t>
      </w:r>
      <w:r>
        <w:rPr>
          <w:spacing w:val="14"/>
        </w:rPr>
        <w:t xml:space="preserve"> </w:t>
      </w:r>
      <w:r>
        <w:rPr>
          <w:w w:val="95"/>
        </w:rPr>
        <w:t>of</w:t>
      </w:r>
      <w:r>
        <w:rPr>
          <w:spacing w:val="10"/>
        </w:rPr>
        <w:t xml:space="preserve"> </w:t>
      </w:r>
      <w:r>
        <w:rPr>
          <w:w w:val="95"/>
        </w:rPr>
        <w:t>LGBTQ</w:t>
      </w:r>
      <w:r>
        <w:rPr>
          <w:spacing w:val="14"/>
        </w:rPr>
        <w:t xml:space="preserve"> </w:t>
      </w:r>
      <w:r>
        <w:rPr>
          <w:spacing w:val="-2"/>
          <w:w w:val="95"/>
        </w:rPr>
        <w:t>youth.</w:t>
      </w:r>
    </w:p>
    <w:p w:rsidR="00C76E6D" w:rsidRDefault="00C76E6D">
      <w:pPr>
        <w:pStyle w:val="BodyText"/>
      </w:pPr>
    </w:p>
    <w:p w:rsidR="00C76E6D" w:rsidRDefault="00913831">
      <w:pPr>
        <w:pStyle w:val="ListParagraph"/>
        <w:numPr>
          <w:ilvl w:val="0"/>
          <w:numId w:val="58"/>
        </w:numPr>
        <w:tabs>
          <w:tab w:val="left" w:pos="1060"/>
        </w:tabs>
        <w:ind w:left="1059" w:right="386" w:hanging="362"/>
      </w:pPr>
      <w:r>
        <w:t>Strengthen</w:t>
      </w:r>
      <w:r>
        <w:rPr>
          <w:spacing w:val="-10"/>
        </w:rPr>
        <w:t xml:space="preserve"> </w:t>
      </w:r>
      <w:r>
        <w:t>protections</w:t>
      </w:r>
      <w:r>
        <w:rPr>
          <w:spacing w:val="-9"/>
        </w:rPr>
        <w:t xml:space="preserve"> </w:t>
      </w:r>
      <w:r>
        <w:t>against</w:t>
      </w:r>
      <w:r>
        <w:rPr>
          <w:spacing w:val="-13"/>
        </w:rPr>
        <w:t xml:space="preserve"> </w:t>
      </w:r>
      <w:r>
        <w:t>bullying</w:t>
      </w:r>
      <w:r>
        <w:rPr>
          <w:spacing w:val="-7"/>
        </w:rPr>
        <w:t xml:space="preserve"> </w:t>
      </w:r>
      <w:r>
        <w:t>of</w:t>
      </w:r>
      <w:r>
        <w:rPr>
          <w:spacing w:val="-9"/>
        </w:rPr>
        <w:t xml:space="preserve"> </w:t>
      </w:r>
      <w:r>
        <w:t>LGBTQ</w:t>
      </w:r>
      <w:r>
        <w:rPr>
          <w:spacing w:val="-11"/>
        </w:rPr>
        <w:t xml:space="preserve"> </w:t>
      </w:r>
      <w:r>
        <w:t>youth</w:t>
      </w:r>
      <w:r>
        <w:rPr>
          <w:spacing w:val="-13"/>
        </w:rPr>
        <w:t xml:space="preserve"> </w:t>
      </w:r>
      <w:r>
        <w:t>and</w:t>
      </w:r>
      <w:r>
        <w:rPr>
          <w:spacing w:val="-8"/>
        </w:rPr>
        <w:t xml:space="preserve"> </w:t>
      </w:r>
      <w:r>
        <w:t>enact</w:t>
      </w:r>
      <w:r>
        <w:rPr>
          <w:spacing w:val="-12"/>
        </w:rPr>
        <w:t xml:space="preserve"> </w:t>
      </w:r>
      <w:r>
        <w:t>policies</w:t>
      </w:r>
      <w:r>
        <w:rPr>
          <w:spacing w:val="-10"/>
        </w:rPr>
        <w:t xml:space="preserve"> </w:t>
      </w:r>
      <w:r>
        <w:t>to</w:t>
      </w:r>
      <w:r>
        <w:rPr>
          <w:spacing w:val="-6"/>
        </w:rPr>
        <w:t xml:space="preserve"> </w:t>
      </w:r>
      <w:r>
        <w:t>strengthen</w:t>
      </w:r>
      <w:r>
        <w:rPr>
          <w:spacing w:val="-7"/>
        </w:rPr>
        <w:t xml:space="preserve"> </w:t>
      </w:r>
      <w:r>
        <w:t>inclusion</w:t>
      </w:r>
      <w:r>
        <w:rPr>
          <w:spacing w:val="-8"/>
        </w:rPr>
        <w:t xml:space="preserve"> </w:t>
      </w:r>
      <w:r>
        <w:t xml:space="preserve">in </w:t>
      </w:r>
      <w:r>
        <w:rPr>
          <w:spacing w:val="-2"/>
        </w:rPr>
        <w:t>schools.</w:t>
      </w:r>
    </w:p>
    <w:p w:rsidR="00C76E6D" w:rsidRDefault="00C76E6D">
      <w:pPr>
        <w:sectPr w:rsidR="00C76E6D">
          <w:pgSz w:w="12240" w:h="15840"/>
          <w:pgMar w:top="1000" w:right="960" w:bottom="780" w:left="960" w:header="811" w:footer="584" w:gutter="0"/>
          <w:cols w:space="720"/>
        </w:sectPr>
      </w:pPr>
    </w:p>
    <w:p w:rsidR="00C76E6D" w:rsidRDefault="00C76E6D">
      <w:pPr>
        <w:pStyle w:val="BodyText"/>
        <w:spacing w:before="1"/>
        <w:rPr>
          <w:sz w:val="24"/>
        </w:rPr>
      </w:pPr>
    </w:p>
    <w:p w:rsidR="00C76E6D" w:rsidRDefault="00913831">
      <w:pPr>
        <w:pStyle w:val="ListParagraph"/>
        <w:numPr>
          <w:ilvl w:val="0"/>
          <w:numId w:val="58"/>
        </w:numPr>
        <w:tabs>
          <w:tab w:val="left" w:pos="1059"/>
        </w:tabs>
        <w:spacing w:before="56"/>
        <w:ind w:hanging="361"/>
      </w:pPr>
      <w:r>
        <w:rPr>
          <w:w w:val="95"/>
        </w:rPr>
        <w:t>Adopt</w:t>
      </w:r>
      <w:r>
        <w:rPr>
          <w:spacing w:val="6"/>
        </w:rPr>
        <w:t xml:space="preserve"> </w:t>
      </w:r>
      <w:r>
        <w:rPr>
          <w:w w:val="95"/>
        </w:rPr>
        <w:t>policies</w:t>
      </w:r>
      <w:r>
        <w:rPr>
          <w:spacing w:val="8"/>
        </w:rPr>
        <w:t xml:space="preserve"> </w:t>
      </w:r>
      <w:r>
        <w:rPr>
          <w:w w:val="95"/>
        </w:rPr>
        <w:t>that</w:t>
      </w:r>
      <w:r>
        <w:rPr>
          <w:spacing w:val="9"/>
        </w:rPr>
        <w:t xml:space="preserve"> </w:t>
      </w:r>
      <w:r>
        <w:rPr>
          <w:w w:val="95"/>
        </w:rPr>
        <w:t>recognize</w:t>
      </w:r>
      <w:r>
        <w:rPr>
          <w:spacing w:val="6"/>
        </w:rPr>
        <w:t xml:space="preserve"> </w:t>
      </w:r>
      <w:r>
        <w:rPr>
          <w:w w:val="95"/>
        </w:rPr>
        <w:t>gender</w:t>
      </w:r>
      <w:r>
        <w:rPr>
          <w:spacing w:val="9"/>
        </w:rPr>
        <w:t xml:space="preserve"> </w:t>
      </w:r>
      <w:r>
        <w:rPr>
          <w:w w:val="95"/>
        </w:rPr>
        <w:t>identity</w:t>
      </w:r>
      <w:r>
        <w:rPr>
          <w:spacing w:val="11"/>
        </w:rPr>
        <w:t xml:space="preserve"> </w:t>
      </w:r>
      <w:r>
        <w:rPr>
          <w:w w:val="95"/>
        </w:rPr>
        <w:t>diversity</w:t>
      </w:r>
      <w:r>
        <w:rPr>
          <w:spacing w:val="11"/>
        </w:rPr>
        <w:t xml:space="preserve"> </w:t>
      </w:r>
      <w:r>
        <w:rPr>
          <w:w w:val="95"/>
        </w:rPr>
        <w:t>in</w:t>
      </w:r>
      <w:r>
        <w:rPr>
          <w:spacing w:val="7"/>
        </w:rPr>
        <w:t xml:space="preserve"> </w:t>
      </w:r>
      <w:r>
        <w:rPr>
          <w:w w:val="95"/>
        </w:rPr>
        <w:t>state</w:t>
      </w:r>
      <w:r>
        <w:rPr>
          <w:spacing w:val="11"/>
        </w:rPr>
        <w:t xml:space="preserve"> </w:t>
      </w:r>
      <w:r>
        <w:rPr>
          <w:spacing w:val="-2"/>
          <w:w w:val="95"/>
        </w:rPr>
        <w:t>workplaces.</w:t>
      </w:r>
    </w:p>
    <w:p w:rsidR="00C76E6D" w:rsidRDefault="00C76E6D">
      <w:pPr>
        <w:pStyle w:val="BodyText"/>
      </w:pPr>
    </w:p>
    <w:p w:rsidR="00C76E6D" w:rsidRDefault="00913831">
      <w:pPr>
        <w:pStyle w:val="ListParagraph"/>
        <w:numPr>
          <w:ilvl w:val="0"/>
          <w:numId w:val="58"/>
        </w:numPr>
        <w:tabs>
          <w:tab w:val="left" w:pos="1060"/>
        </w:tabs>
        <w:ind w:left="1059" w:hanging="362"/>
      </w:pPr>
      <w:r>
        <w:rPr>
          <w:w w:val="95"/>
        </w:rPr>
        <w:t>Implement</w:t>
      </w:r>
      <w:r>
        <w:rPr>
          <w:spacing w:val="18"/>
        </w:rPr>
        <w:t xml:space="preserve"> </w:t>
      </w:r>
      <w:r>
        <w:rPr>
          <w:w w:val="95"/>
        </w:rPr>
        <w:t>LGBTQ-inclusive</w:t>
      </w:r>
      <w:r>
        <w:rPr>
          <w:spacing w:val="21"/>
        </w:rPr>
        <w:t xml:space="preserve"> </w:t>
      </w:r>
      <w:r>
        <w:rPr>
          <w:w w:val="95"/>
        </w:rPr>
        <w:t>curriculum</w:t>
      </w:r>
      <w:r>
        <w:rPr>
          <w:spacing w:val="20"/>
        </w:rPr>
        <w:t xml:space="preserve"> </w:t>
      </w:r>
      <w:r>
        <w:rPr>
          <w:w w:val="95"/>
        </w:rPr>
        <w:t>in</w:t>
      </w:r>
      <w:r>
        <w:rPr>
          <w:spacing w:val="20"/>
        </w:rPr>
        <w:t xml:space="preserve"> </w:t>
      </w:r>
      <w:r>
        <w:rPr>
          <w:w w:val="95"/>
        </w:rPr>
        <w:t>public</w:t>
      </w:r>
      <w:r>
        <w:rPr>
          <w:spacing w:val="22"/>
        </w:rPr>
        <w:t xml:space="preserve"> </w:t>
      </w:r>
      <w:r>
        <w:rPr>
          <w:spacing w:val="-2"/>
          <w:w w:val="95"/>
        </w:rPr>
        <w:t>schools.</w:t>
      </w:r>
    </w:p>
    <w:p w:rsidR="00C76E6D" w:rsidRDefault="00C76E6D">
      <w:pPr>
        <w:pStyle w:val="BodyText"/>
        <w:spacing w:before="8"/>
        <w:rPr>
          <w:sz w:val="25"/>
        </w:rPr>
      </w:pPr>
    </w:p>
    <w:p w:rsidR="00C76E6D" w:rsidRDefault="00913831">
      <w:pPr>
        <w:pStyle w:val="BodyText"/>
        <w:spacing w:before="1" w:line="276" w:lineRule="auto"/>
        <w:ind w:left="338" w:right="335"/>
        <w:jc w:val="both"/>
      </w:pPr>
      <w:r>
        <w:t>The</w:t>
      </w:r>
      <w:r>
        <w:rPr>
          <w:spacing w:val="-13"/>
        </w:rPr>
        <w:t xml:space="preserve"> </w:t>
      </w:r>
      <w:r>
        <w:t>Commission</w:t>
      </w:r>
      <w:r>
        <w:rPr>
          <w:spacing w:val="-12"/>
        </w:rPr>
        <w:t xml:space="preserve"> </w:t>
      </w:r>
      <w:r>
        <w:t>has</w:t>
      </w:r>
      <w:r>
        <w:rPr>
          <w:spacing w:val="-10"/>
        </w:rPr>
        <w:t xml:space="preserve"> </w:t>
      </w:r>
      <w:r>
        <w:t>been</w:t>
      </w:r>
      <w:r>
        <w:rPr>
          <w:spacing w:val="-10"/>
        </w:rPr>
        <w:t xml:space="preserve"> </w:t>
      </w:r>
      <w:r>
        <w:t>deeply</w:t>
      </w:r>
      <w:r>
        <w:rPr>
          <w:spacing w:val="-11"/>
        </w:rPr>
        <w:t xml:space="preserve"> </w:t>
      </w:r>
      <w:r>
        <w:t>involved</w:t>
      </w:r>
      <w:r>
        <w:rPr>
          <w:spacing w:val="-13"/>
        </w:rPr>
        <w:t xml:space="preserve"> </w:t>
      </w:r>
      <w:r>
        <w:t>since</w:t>
      </w:r>
      <w:r>
        <w:rPr>
          <w:spacing w:val="-12"/>
        </w:rPr>
        <w:t xml:space="preserve"> </w:t>
      </w:r>
      <w:r>
        <w:t>its</w:t>
      </w:r>
      <w:r>
        <w:rPr>
          <w:spacing w:val="-11"/>
        </w:rPr>
        <w:t xml:space="preserve"> </w:t>
      </w:r>
      <w:r>
        <w:t>inception</w:t>
      </w:r>
      <w:r>
        <w:rPr>
          <w:spacing w:val="-13"/>
        </w:rPr>
        <w:t xml:space="preserve"> </w:t>
      </w:r>
      <w:r>
        <w:t>on</w:t>
      </w:r>
      <w:r>
        <w:rPr>
          <w:spacing w:val="-11"/>
        </w:rPr>
        <w:t xml:space="preserve"> </w:t>
      </w:r>
      <w:r>
        <w:t>increasing</w:t>
      </w:r>
      <w:r>
        <w:rPr>
          <w:spacing w:val="-12"/>
        </w:rPr>
        <w:t xml:space="preserve"> </w:t>
      </w:r>
      <w:r>
        <w:t>inclusion</w:t>
      </w:r>
      <w:r>
        <w:rPr>
          <w:spacing w:val="-12"/>
        </w:rPr>
        <w:t xml:space="preserve"> </w:t>
      </w:r>
      <w:r>
        <w:t>within</w:t>
      </w:r>
      <w:r>
        <w:rPr>
          <w:spacing w:val="-10"/>
        </w:rPr>
        <w:t xml:space="preserve"> </w:t>
      </w:r>
      <w:r>
        <w:t>schools.</w:t>
      </w:r>
      <w:r>
        <w:rPr>
          <w:spacing w:val="-13"/>
        </w:rPr>
        <w:t xml:space="preserve"> </w:t>
      </w:r>
      <w:r>
        <w:t>The</w:t>
      </w:r>
      <w:r>
        <w:rPr>
          <w:spacing w:val="-11"/>
        </w:rPr>
        <w:t xml:space="preserve"> </w:t>
      </w:r>
      <w:r>
        <w:t>2019 Massachusetts Youth Risk Behavior Survey (MYRBS) results show that LGBTQ students are still more than twice as likely to experience bullying and cyber-bullying than n</w:t>
      </w:r>
      <w:r>
        <w:t>on-LGBTQ students, and are approximately three times as likely to be threatened or injured with a weapon at school. The 2019 MYRBS also shows that LGBTQ students are 2.9 times more likely to skip school due to feeling unsafe and 3.3 times more likely to ha</w:t>
      </w:r>
      <w:r>
        <w:t>ve</w:t>
      </w:r>
      <w:r>
        <w:rPr>
          <w:spacing w:val="-9"/>
        </w:rPr>
        <w:t xml:space="preserve"> </w:t>
      </w:r>
      <w:r>
        <w:t>attempted</w:t>
      </w:r>
      <w:r>
        <w:rPr>
          <w:spacing w:val="-9"/>
        </w:rPr>
        <w:t xml:space="preserve"> </w:t>
      </w:r>
      <w:r>
        <w:t>suicide</w:t>
      </w:r>
      <w:r>
        <w:rPr>
          <w:spacing w:val="-8"/>
        </w:rPr>
        <w:t xml:space="preserve"> </w:t>
      </w:r>
      <w:r>
        <w:t>in</w:t>
      </w:r>
      <w:r>
        <w:rPr>
          <w:spacing w:val="-7"/>
        </w:rPr>
        <w:t xml:space="preserve"> </w:t>
      </w:r>
      <w:r>
        <w:t>the</w:t>
      </w:r>
      <w:r>
        <w:rPr>
          <w:spacing w:val="-9"/>
        </w:rPr>
        <w:t xml:space="preserve"> </w:t>
      </w:r>
      <w:r>
        <w:t>previous</w:t>
      </w:r>
      <w:r>
        <w:rPr>
          <w:spacing w:val="-7"/>
        </w:rPr>
        <w:t xml:space="preserve"> </w:t>
      </w:r>
      <w:r>
        <w:t>year.</w:t>
      </w:r>
      <w:r>
        <w:rPr>
          <w:spacing w:val="-9"/>
        </w:rPr>
        <w:t xml:space="preserve"> </w:t>
      </w:r>
      <w:r>
        <w:t>Additionally,</w:t>
      </w:r>
      <w:r>
        <w:rPr>
          <w:spacing w:val="-9"/>
        </w:rPr>
        <w:t xml:space="preserve"> </w:t>
      </w:r>
      <w:r>
        <w:t>many</w:t>
      </w:r>
      <w:r>
        <w:rPr>
          <w:spacing w:val="-9"/>
        </w:rPr>
        <w:t xml:space="preserve"> </w:t>
      </w:r>
      <w:r>
        <w:t>of</w:t>
      </w:r>
      <w:r>
        <w:rPr>
          <w:spacing w:val="-6"/>
        </w:rPr>
        <w:t xml:space="preserve"> </w:t>
      </w:r>
      <w:r>
        <w:t>these</w:t>
      </w:r>
      <w:r>
        <w:rPr>
          <w:spacing w:val="-8"/>
        </w:rPr>
        <w:t xml:space="preserve"> </w:t>
      </w:r>
      <w:r>
        <w:t>disparities</w:t>
      </w:r>
      <w:r>
        <w:rPr>
          <w:spacing w:val="-8"/>
        </w:rPr>
        <w:t xml:space="preserve"> </w:t>
      </w:r>
      <w:r>
        <w:t>are</w:t>
      </w:r>
      <w:r>
        <w:rPr>
          <w:spacing w:val="-9"/>
        </w:rPr>
        <w:t xml:space="preserve"> </w:t>
      </w:r>
      <w:r>
        <w:t>even</w:t>
      </w:r>
      <w:r>
        <w:rPr>
          <w:spacing w:val="-8"/>
        </w:rPr>
        <w:t xml:space="preserve"> </w:t>
      </w:r>
      <w:r>
        <w:t>higher</w:t>
      </w:r>
      <w:r>
        <w:rPr>
          <w:spacing w:val="-9"/>
        </w:rPr>
        <w:t xml:space="preserve"> </w:t>
      </w:r>
      <w:r>
        <w:t>for</w:t>
      </w:r>
      <w:r>
        <w:rPr>
          <w:spacing w:val="-9"/>
        </w:rPr>
        <w:t xml:space="preserve"> </w:t>
      </w:r>
      <w:r>
        <w:t>racial and</w:t>
      </w:r>
      <w:r>
        <w:rPr>
          <w:spacing w:val="-3"/>
        </w:rPr>
        <w:t xml:space="preserve"> </w:t>
      </w:r>
      <w:r>
        <w:t>ethnic</w:t>
      </w:r>
      <w:r>
        <w:rPr>
          <w:spacing w:val="-2"/>
        </w:rPr>
        <w:t xml:space="preserve"> </w:t>
      </w:r>
      <w:r>
        <w:t>minorities,</w:t>
      </w:r>
      <w:r>
        <w:rPr>
          <w:spacing w:val="-6"/>
        </w:rPr>
        <w:t xml:space="preserve"> </w:t>
      </w:r>
      <w:r>
        <w:t>showing</w:t>
      </w:r>
      <w:r>
        <w:rPr>
          <w:spacing w:val="-7"/>
        </w:rPr>
        <w:t xml:space="preserve"> </w:t>
      </w:r>
      <w:r>
        <w:t>that</w:t>
      </w:r>
      <w:r>
        <w:rPr>
          <w:spacing w:val="-7"/>
        </w:rPr>
        <w:t xml:space="preserve"> </w:t>
      </w:r>
      <w:r>
        <w:t>much</w:t>
      </w:r>
      <w:r>
        <w:rPr>
          <w:spacing w:val="-5"/>
        </w:rPr>
        <w:t xml:space="preserve"> </w:t>
      </w:r>
      <w:r>
        <w:t>work</w:t>
      </w:r>
      <w:r>
        <w:rPr>
          <w:spacing w:val="-7"/>
        </w:rPr>
        <w:t xml:space="preserve"> </w:t>
      </w:r>
      <w:r>
        <w:t>is</w:t>
      </w:r>
      <w:r>
        <w:rPr>
          <w:spacing w:val="-7"/>
        </w:rPr>
        <w:t xml:space="preserve"> </w:t>
      </w:r>
      <w:r>
        <w:t>needed</w:t>
      </w:r>
      <w:r>
        <w:rPr>
          <w:spacing w:val="-6"/>
        </w:rPr>
        <w:t xml:space="preserve"> </w:t>
      </w:r>
      <w:r>
        <w:t>to</w:t>
      </w:r>
      <w:r>
        <w:rPr>
          <w:spacing w:val="-7"/>
        </w:rPr>
        <w:t xml:space="preserve"> </w:t>
      </w:r>
      <w:r>
        <w:t>ensure</w:t>
      </w:r>
      <w:r>
        <w:rPr>
          <w:spacing w:val="-7"/>
        </w:rPr>
        <w:t xml:space="preserve"> </w:t>
      </w:r>
      <w:r>
        <w:t>the</w:t>
      </w:r>
      <w:r>
        <w:rPr>
          <w:spacing w:val="-7"/>
        </w:rPr>
        <w:t xml:space="preserve"> </w:t>
      </w:r>
      <w:r>
        <w:t>safety</w:t>
      </w:r>
      <w:r>
        <w:rPr>
          <w:spacing w:val="-5"/>
        </w:rPr>
        <w:t xml:space="preserve"> </w:t>
      </w:r>
      <w:r>
        <w:t>of</w:t>
      </w:r>
      <w:r>
        <w:rPr>
          <w:spacing w:val="-8"/>
        </w:rPr>
        <w:t xml:space="preserve"> </w:t>
      </w:r>
      <w:r>
        <w:t>schools</w:t>
      </w:r>
      <w:r>
        <w:rPr>
          <w:spacing w:val="-6"/>
        </w:rPr>
        <w:t xml:space="preserve"> </w:t>
      </w:r>
      <w:r>
        <w:t>for</w:t>
      </w:r>
      <w:r>
        <w:rPr>
          <w:spacing w:val="-8"/>
        </w:rPr>
        <w:t xml:space="preserve"> </w:t>
      </w:r>
      <w:r>
        <w:t>LGBTQ</w:t>
      </w:r>
      <w:r>
        <w:rPr>
          <w:spacing w:val="-5"/>
        </w:rPr>
        <w:t xml:space="preserve"> </w:t>
      </w:r>
      <w:r>
        <w:t>students of color.</w:t>
      </w:r>
    </w:p>
    <w:p w:rsidR="00C76E6D" w:rsidRDefault="00C76E6D">
      <w:pPr>
        <w:pStyle w:val="BodyText"/>
        <w:spacing w:before="7"/>
        <w:rPr>
          <w:sz w:val="19"/>
        </w:rPr>
      </w:pPr>
    </w:p>
    <w:p w:rsidR="00C76E6D" w:rsidRDefault="00913831">
      <w:pPr>
        <w:pStyle w:val="BodyText"/>
        <w:spacing w:before="1" w:line="276" w:lineRule="auto"/>
        <w:ind w:left="337" w:right="333"/>
        <w:jc w:val="both"/>
      </w:pPr>
      <w:r>
        <w:t>To</w:t>
      </w:r>
      <w:r>
        <w:rPr>
          <w:spacing w:val="-9"/>
        </w:rPr>
        <w:t xml:space="preserve"> </w:t>
      </w:r>
      <w:r>
        <w:t>address</w:t>
      </w:r>
      <w:r>
        <w:rPr>
          <w:spacing w:val="-7"/>
        </w:rPr>
        <w:t xml:space="preserve"> </w:t>
      </w:r>
      <w:r>
        <w:t>these</w:t>
      </w:r>
      <w:r>
        <w:rPr>
          <w:spacing w:val="-10"/>
        </w:rPr>
        <w:t xml:space="preserve"> </w:t>
      </w:r>
      <w:r>
        <w:t>disparities,</w:t>
      </w:r>
      <w:r>
        <w:rPr>
          <w:spacing w:val="-9"/>
        </w:rPr>
        <w:t xml:space="preserve"> </w:t>
      </w:r>
      <w:r>
        <w:t>the</w:t>
      </w:r>
      <w:r>
        <w:rPr>
          <w:spacing w:val="-9"/>
        </w:rPr>
        <w:t xml:space="preserve"> </w:t>
      </w:r>
      <w:r>
        <w:t>Commission</w:t>
      </w:r>
      <w:r>
        <w:rPr>
          <w:spacing w:val="-10"/>
        </w:rPr>
        <w:t xml:space="preserve"> </w:t>
      </w:r>
      <w:r>
        <w:t>reviewed</w:t>
      </w:r>
      <w:r>
        <w:rPr>
          <w:spacing w:val="-10"/>
        </w:rPr>
        <w:t xml:space="preserve"> </w:t>
      </w:r>
      <w:r>
        <w:t>the</w:t>
      </w:r>
      <w:r>
        <w:rPr>
          <w:spacing w:val="-9"/>
        </w:rPr>
        <w:t xml:space="preserve"> </w:t>
      </w:r>
      <w:r>
        <w:t>literature</w:t>
      </w:r>
      <w:r>
        <w:rPr>
          <w:spacing w:val="-10"/>
        </w:rPr>
        <w:t xml:space="preserve"> </w:t>
      </w:r>
      <w:r>
        <w:t>on</w:t>
      </w:r>
      <w:r>
        <w:rPr>
          <w:spacing w:val="-9"/>
        </w:rPr>
        <w:t xml:space="preserve"> </w:t>
      </w:r>
      <w:r>
        <w:t>professional</w:t>
      </w:r>
      <w:r>
        <w:rPr>
          <w:spacing w:val="-10"/>
        </w:rPr>
        <w:t xml:space="preserve"> </w:t>
      </w:r>
      <w:r>
        <w:t>development</w:t>
      </w:r>
      <w:r>
        <w:rPr>
          <w:spacing w:val="-9"/>
        </w:rPr>
        <w:t xml:space="preserve"> </w:t>
      </w:r>
      <w:r>
        <w:t>programs designed</w:t>
      </w:r>
      <w:r>
        <w:rPr>
          <w:spacing w:val="-13"/>
        </w:rPr>
        <w:t xml:space="preserve"> </w:t>
      </w:r>
      <w:r>
        <w:t>to</w:t>
      </w:r>
      <w:r>
        <w:rPr>
          <w:spacing w:val="-12"/>
        </w:rPr>
        <w:t xml:space="preserve"> </w:t>
      </w:r>
      <w:r>
        <w:t>increase</w:t>
      </w:r>
      <w:r>
        <w:rPr>
          <w:spacing w:val="-13"/>
        </w:rPr>
        <w:t xml:space="preserve"> </w:t>
      </w:r>
      <w:r>
        <w:t>the</w:t>
      </w:r>
      <w:r>
        <w:rPr>
          <w:spacing w:val="-12"/>
        </w:rPr>
        <w:t xml:space="preserve"> </w:t>
      </w:r>
      <w:r>
        <w:t>efficacy</w:t>
      </w:r>
      <w:r>
        <w:rPr>
          <w:spacing w:val="-13"/>
        </w:rPr>
        <w:t xml:space="preserve"> </w:t>
      </w:r>
      <w:r>
        <w:t>of</w:t>
      </w:r>
      <w:r>
        <w:rPr>
          <w:spacing w:val="-11"/>
        </w:rPr>
        <w:t xml:space="preserve"> </w:t>
      </w:r>
      <w:r>
        <w:t>educator</w:t>
      </w:r>
      <w:r>
        <w:rPr>
          <w:spacing w:val="-12"/>
        </w:rPr>
        <w:t xml:space="preserve"> </w:t>
      </w:r>
      <w:r>
        <w:t>intervention</w:t>
      </w:r>
      <w:r>
        <w:rPr>
          <w:spacing w:val="-12"/>
        </w:rPr>
        <w:t xml:space="preserve"> </w:t>
      </w:r>
      <w:r>
        <w:t>in</w:t>
      </w:r>
      <w:r>
        <w:rPr>
          <w:spacing w:val="-11"/>
        </w:rPr>
        <w:t xml:space="preserve"> </w:t>
      </w:r>
      <w:r>
        <w:t>anti-LGBTQ</w:t>
      </w:r>
      <w:r>
        <w:rPr>
          <w:spacing w:val="-12"/>
        </w:rPr>
        <w:t xml:space="preserve"> </w:t>
      </w:r>
      <w:r>
        <w:t>bullying</w:t>
      </w:r>
      <w:r>
        <w:rPr>
          <w:spacing w:val="-13"/>
        </w:rPr>
        <w:t xml:space="preserve"> </w:t>
      </w:r>
      <w:r>
        <w:t>and</w:t>
      </w:r>
      <w:r>
        <w:rPr>
          <w:spacing w:val="-12"/>
        </w:rPr>
        <w:t xml:space="preserve"> </w:t>
      </w:r>
      <w:r>
        <w:t>improve</w:t>
      </w:r>
      <w:r>
        <w:rPr>
          <w:spacing w:val="-11"/>
        </w:rPr>
        <w:t xml:space="preserve"> </w:t>
      </w:r>
      <w:r>
        <w:t>school</w:t>
      </w:r>
      <w:r>
        <w:rPr>
          <w:spacing w:val="-11"/>
        </w:rPr>
        <w:t xml:space="preserve"> </w:t>
      </w:r>
      <w:r>
        <w:t>climate. The</w:t>
      </w:r>
      <w:r>
        <w:rPr>
          <w:spacing w:val="-11"/>
        </w:rPr>
        <w:t xml:space="preserve"> </w:t>
      </w:r>
      <w:r>
        <w:t>Commission’s</w:t>
      </w:r>
      <w:r>
        <w:rPr>
          <w:spacing w:val="-11"/>
        </w:rPr>
        <w:t xml:space="preserve"> </w:t>
      </w:r>
      <w:r>
        <w:t>research</w:t>
      </w:r>
      <w:r>
        <w:rPr>
          <w:spacing w:val="-12"/>
        </w:rPr>
        <w:t xml:space="preserve"> </w:t>
      </w:r>
      <w:r>
        <w:t>concluded</w:t>
      </w:r>
      <w:r>
        <w:rPr>
          <w:spacing w:val="-9"/>
        </w:rPr>
        <w:t xml:space="preserve"> </w:t>
      </w:r>
      <w:r>
        <w:t>that</w:t>
      </w:r>
      <w:r>
        <w:rPr>
          <w:spacing w:val="-11"/>
        </w:rPr>
        <w:t xml:space="preserve"> </w:t>
      </w:r>
      <w:r>
        <w:t>LGBTQ</w:t>
      </w:r>
      <w:r>
        <w:rPr>
          <w:spacing w:val="-8"/>
        </w:rPr>
        <w:t xml:space="preserve"> </w:t>
      </w:r>
      <w:r>
        <w:t>training</w:t>
      </w:r>
      <w:r>
        <w:rPr>
          <w:spacing w:val="-9"/>
        </w:rPr>
        <w:t xml:space="preserve"> </w:t>
      </w:r>
      <w:r>
        <w:t>f</w:t>
      </w:r>
      <w:r>
        <w:t>or</w:t>
      </w:r>
      <w:r>
        <w:rPr>
          <w:spacing w:val="-12"/>
        </w:rPr>
        <w:t xml:space="preserve"> </w:t>
      </w:r>
      <w:r>
        <w:t>school</w:t>
      </w:r>
      <w:r>
        <w:rPr>
          <w:spacing w:val="-11"/>
        </w:rPr>
        <w:t xml:space="preserve"> </w:t>
      </w:r>
      <w:r>
        <w:t>staff</w:t>
      </w:r>
      <w:r>
        <w:rPr>
          <w:spacing w:val="-12"/>
        </w:rPr>
        <w:t xml:space="preserve"> </w:t>
      </w:r>
      <w:r>
        <w:t>increases</w:t>
      </w:r>
      <w:r>
        <w:rPr>
          <w:spacing w:val="-11"/>
        </w:rPr>
        <w:t xml:space="preserve"> </w:t>
      </w:r>
      <w:r>
        <w:t>educator’s</w:t>
      </w:r>
      <w:r>
        <w:rPr>
          <w:spacing w:val="-12"/>
        </w:rPr>
        <w:t xml:space="preserve"> </w:t>
      </w:r>
      <w:r>
        <w:t>knowledge</w:t>
      </w:r>
      <w:r>
        <w:rPr>
          <w:spacing w:val="-12"/>
        </w:rPr>
        <w:t xml:space="preserve"> </w:t>
      </w:r>
      <w:r>
        <w:t>of LGBTQ</w:t>
      </w:r>
      <w:r>
        <w:rPr>
          <w:spacing w:val="-13"/>
        </w:rPr>
        <w:t xml:space="preserve"> </w:t>
      </w:r>
      <w:r>
        <w:t>student</w:t>
      </w:r>
      <w:r>
        <w:rPr>
          <w:spacing w:val="-12"/>
        </w:rPr>
        <w:t xml:space="preserve"> </w:t>
      </w:r>
      <w:r>
        <w:t>experiences,</w:t>
      </w:r>
      <w:r>
        <w:rPr>
          <w:spacing w:val="-12"/>
        </w:rPr>
        <w:t xml:space="preserve"> </w:t>
      </w:r>
      <w:r>
        <w:t>awareness</w:t>
      </w:r>
      <w:r>
        <w:rPr>
          <w:spacing w:val="-11"/>
        </w:rPr>
        <w:t xml:space="preserve"> </w:t>
      </w:r>
      <w:r>
        <w:t>of</w:t>
      </w:r>
      <w:r>
        <w:rPr>
          <w:spacing w:val="-13"/>
        </w:rPr>
        <w:t xml:space="preserve"> </w:t>
      </w:r>
      <w:r>
        <w:t>the</w:t>
      </w:r>
      <w:r>
        <w:rPr>
          <w:spacing w:val="-10"/>
        </w:rPr>
        <w:t xml:space="preserve"> </w:t>
      </w:r>
      <w:r>
        <w:t>impacts</w:t>
      </w:r>
      <w:r>
        <w:rPr>
          <w:spacing w:val="-12"/>
        </w:rPr>
        <w:t xml:space="preserve"> </w:t>
      </w:r>
      <w:r>
        <w:t>of</w:t>
      </w:r>
      <w:r>
        <w:rPr>
          <w:spacing w:val="-11"/>
        </w:rPr>
        <w:t xml:space="preserve"> </w:t>
      </w:r>
      <w:r>
        <w:t>harmful</w:t>
      </w:r>
      <w:r>
        <w:rPr>
          <w:spacing w:val="-11"/>
        </w:rPr>
        <w:t xml:space="preserve"> </w:t>
      </w:r>
      <w:r>
        <w:t>or</w:t>
      </w:r>
      <w:r>
        <w:rPr>
          <w:spacing w:val="-11"/>
        </w:rPr>
        <w:t xml:space="preserve"> </w:t>
      </w:r>
      <w:r>
        <w:t>supportive</w:t>
      </w:r>
      <w:r>
        <w:rPr>
          <w:spacing w:val="-9"/>
        </w:rPr>
        <w:t xml:space="preserve"> </w:t>
      </w:r>
      <w:r>
        <w:t>behavior,</w:t>
      </w:r>
      <w:r>
        <w:rPr>
          <w:spacing w:val="-10"/>
        </w:rPr>
        <w:t xml:space="preserve"> </w:t>
      </w:r>
      <w:r>
        <w:t>and</w:t>
      </w:r>
      <w:r>
        <w:rPr>
          <w:spacing w:val="-10"/>
        </w:rPr>
        <w:t xml:space="preserve"> </w:t>
      </w:r>
      <w:r>
        <w:t>positive</w:t>
      </w:r>
      <w:r>
        <w:rPr>
          <w:spacing w:val="-10"/>
        </w:rPr>
        <w:t xml:space="preserve"> </w:t>
      </w:r>
      <w:r>
        <w:t>beliefs about</w:t>
      </w:r>
      <w:r>
        <w:rPr>
          <w:spacing w:val="-8"/>
        </w:rPr>
        <w:t xml:space="preserve"> </w:t>
      </w:r>
      <w:r>
        <w:t>LGBTQ</w:t>
      </w:r>
      <w:r>
        <w:rPr>
          <w:spacing w:val="-7"/>
        </w:rPr>
        <w:t xml:space="preserve"> </w:t>
      </w:r>
      <w:r>
        <w:t>youth.</w:t>
      </w:r>
      <w:r>
        <w:rPr>
          <w:spacing w:val="-7"/>
        </w:rPr>
        <w:t xml:space="preserve"> </w:t>
      </w:r>
      <w:r>
        <w:t>Training</w:t>
      </w:r>
      <w:r>
        <w:rPr>
          <w:spacing w:val="-8"/>
        </w:rPr>
        <w:t xml:space="preserve"> </w:t>
      </w:r>
      <w:r>
        <w:t>participant’s</w:t>
      </w:r>
      <w:r>
        <w:rPr>
          <w:spacing w:val="-7"/>
        </w:rPr>
        <w:t xml:space="preserve"> </w:t>
      </w:r>
      <w:r>
        <w:t>efficacy</w:t>
      </w:r>
      <w:r>
        <w:rPr>
          <w:spacing w:val="-5"/>
        </w:rPr>
        <w:t xml:space="preserve"> </w:t>
      </w:r>
      <w:r>
        <w:t>in</w:t>
      </w:r>
      <w:r>
        <w:rPr>
          <w:spacing w:val="-5"/>
        </w:rPr>
        <w:t xml:space="preserve"> </w:t>
      </w:r>
      <w:r>
        <w:t>intervention</w:t>
      </w:r>
      <w:r>
        <w:rPr>
          <w:spacing w:val="-6"/>
        </w:rPr>
        <w:t xml:space="preserve"> </w:t>
      </w:r>
      <w:r>
        <w:t>also</w:t>
      </w:r>
      <w:r>
        <w:rPr>
          <w:spacing w:val="-7"/>
        </w:rPr>
        <w:t xml:space="preserve"> </w:t>
      </w:r>
      <w:r>
        <w:t>improves,</w:t>
      </w:r>
      <w:r>
        <w:rPr>
          <w:spacing w:val="-7"/>
        </w:rPr>
        <w:t xml:space="preserve"> </w:t>
      </w:r>
      <w:r>
        <w:t>and</w:t>
      </w:r>
      <w:r>
        <w:rPr>
          <w:spacing w:val="-8"/>
        </w:rPr>
        <w:t xml:space="preserve"> </w:t>
      </w:r>
      <w:r>
        <w:t>many</w:t>
      </w:r>
      <w:r>
        <w:rPr>
          <w:spacing w:val="-5"/>
        </w:rPr>
        <w:t xml:space="preserve"> </w:t>
      </w:r>
      <w:r>
        <w:t>educators</w:t>
      </w:r>
      <w:r>
        <w:rPr>
          <w:spacing w:val="-7"/>
        </w:rPr>
        <w:t xml:space="preserve"> </w:t>
      </w:r>
      <w:r>
        <w:t>report an</w:t>
      </w:r>
      <w:r>
        <w:rPr>
          <w:spacing w:val="-7"/>
        </w:rPr>
        <w:t xml:space="preserve"> </w:t>
      </w:r>
      <w:r>
        <w:t>increase</w:t>
      </w:r>
      <w:r>
        <w:rPr>
          <w:spacing w:val="-7"/>
        </w:rPr>
        <w:t xml:space="preserve"> </w:t>
      </w:r>
      <w:r>
        <w:t>in</w:t>
      </w:r>
      <w:r>
        <w:rPr>
          <w:spacing w:val="-6"/>
        </w:rPr>
        <w:t xml:space="preserve"> </w:t>
      </w:r>
      <w:r>
        <w:t>behaviors</w:t>
      </w:r>
      <w:r>
        <w:rPr>
          <w:spacing w:val="-6"/>
        </w:rPr>
        <w:t xml:space="preserve"> </w:t>
      </w:r>
      <w:r>
        <w:t>to</w:t>
      </w:r>
      <w:r>
        <w:rPr>
          <w:spacing w:val="-5"/>
        </w:rPr>
        <w:t xml:space="preserve"> </w:t>
      </w:r>
      <w:r>
        <w:t>interrupt</w:t>
      </w:r>
      <w:r>
        <w:rPr>
          <w:spacing w:val="-6"/>
        </w:rPr>
        <w:t xml:space="preserve"> </w:t>
      </w:r>
      <w:r>
        <w:t>bias-based</w:t>
      </w:r>
      <w:r>
        <w:rPr>
          <w:spacing w:val="-7"/>
        </w:rPr>
        <w:t xml:space="preserve"> </w:t>
      </w:r>
      <w:r>
        <w:t>behavior.</w:t>
      </w:r>
      <w:r>
        <w:rPr>
          <w:spacing w:val="-7"/>
        </w:rPr>
        <w:t xml:space="preserve"> </w:t>
      </w:r>
      <w:r>
        <w:t>All</w:t>
      </w:r>
      <w:r>
        <w:rPr>
          <w:spacing w:val="-7"/>
        </w:rPr>
        <w:t xml:space="preserve"> </w:t>
      </w:r>
      <w:r>
        <w:t>of</w:t>
      </w:r>
      <w:r>
        <w:rPr>
          <w:spacing w:val="-6"/>
        </w:rPr>
        <w:t xml:space="preserve"> </w:t>
      </w:r>
      <w:r>
        <w:t>these</w:t>
      </w:r>
      <w:r>
        <w:rPr>
          <w:spacing w:val="-7"/>
        </w:rPr>
        <w:t xml:space="preserve"> </w:t>
      </w:r>
      <w:r>
        <w:t>together</w:t>
      </w:r>
      <w:r>
        <w:rPr>
          <w:spacing w:val="-5"/>
        </w:rPr>
        <w:t xml:space="preserve"> </w:t>
      </w:r>
      <w:r>
        <w:t>contribute</w:t>
      </w:r>
      <w:r>
        <w:rPr>
          <w:spacing w:val="-7"/>
        </w:rPr>
        <w:t xml:space="preserve"> </w:t>
      </w:r>
      <w:r>
        <w:t>to</w:t>
      </w:r>
      <w:r>
        <w:rPr>
          <w:spacing w:val="-4"/>
        </w:rPr>
        <w:t xml:space="preserve"> </w:t>
      </w:r>
      <w:r>
        <w:t>a</w:t>
      </w:r>
      <w:r>
        <w:rPr>
          <w:spacing w:val="-6"/>
        </w:rPr>
        <w:t xml:space="preserve"> </w:t>
      </w:r>
      <w:r>
        <w:t>more</w:t>
      </w:r>
      <w:r>
        <w:rPr>
          <w:spacing w:val="-7"/>
        </w:rPr>
        <w:t xml:space="preserve"> </w:t>
      </w:r>
      <w:r>
        <w:t>positive school</w:t>
      </w:r>
      <w:r>
        <w:rPr>
          <w:spacing w:val="-3"/>
        </w:rPr>
        <w:t xml:space="preserve"> </w:t>
      </w:r>
      <w:r>
        <w:t>climate</w:t>
      </w:r>
      <w:r>
        <w:rPr>
          <w:spacing w:val="-3"/>
        </w:rPr>
        <w:t xml:space="preserve"> </w:t>
      </w:r>
      <w:r>
        <w:t>for</w:t>
      </w:r>
      <w:r>
        <w:rPr>
          <w:spacing w:val="-3"/>
        </w:rPr>
        <w:t xml:space="preserve"> </w:t>
      </w:r>
      <w:r>
        <w:t>LGBTQ</w:t>
      </w:r>
      <w:r>
        <w:rPr>
          <w:spacing w:val="-3"/>
        </w:rPr>
        <w:t xml:space="preserve"> </w:t>
      </w:r>
      <w:r>
        <w:t>students</w:t>
      </w:r>
      <w:r>
        <w:rPr>
          <w:spacing w:val="-2"/>
        </w:rPr>
        <w:t xml:space="preserve"> </w:t>
      </w:r>
      <w:r>
        <w:t>when</w:t>
      </w:r>
      <w:r>
        <w:rPr>
          <w:spacing w:val="-3"/>
        </w:rPr>
        <w:t xml:space="preserve"> </w:t>
      </w:r>
      <w:r>
        <w:t>educators</w:t>
      </w:r>
      <w:r>
        <w:rPr>
          <w:spacing w:val="-2"/>
        </w:rPr>
        <w:t xml:space="preserve"> </w:t>
      </w:r>
      <w:r>
        <w:t>participate</w:t>
      </w:r>
      <w:r>
        <w:rPr>
          <w:spacing w:val="-3"/>
        </w:rPr>
        <w:t xml:space="preserve"> </w:t>
      </w:r>
      <w:r>
        <w:t>in training,</w:t>
      </w:r>
      <w:r>
        <w:rPr>
          <w:spacing w:val="-3"/>
        </w:rPr>
        <w:t xml:space="preserve"> </w:t>
      </w:r>
      <w:r>
        <w:t>which</w:t>
      </w:r>
      <w:r>
        <w:rPr>
          <w:spacing w:val="-3"/>
        </w:rPr>
        <w:t xml:space="preserve"> </w:t>
      </w:r>
      <w:r>
        <w:t>is</w:t>
      </w:r>
      <w:r>
        <w:rPr>
          <w:spacing w:val="-2"/>
        </w:rPr>
        <w:t xml:space="preserve"> </w:t>
      </w:r>
      <w:r>
        <w:t>a</w:t>
      </w:r>
      <w:r>
        <w:rPr>
          <w:spacing w:val="-1"/>
        </w:rPr>
        <w:t xml:space="preserve"> </w:t>
      </w:r>
      <w:r>
        <w:t>major</w:t>
      </w:r>
      <w:r>
        <w:rPr>
          <w:spacing w:val="-3"/>
        </w:rPr>
        <w:t xml:space="preserve"> </w:t>
      </w:r>
      <w:r>
        <w:t>protective</w:t>
      </w:r>
      <w:r>
        <w:rPr>
          <w:spacing w:val="-2"/>
        </w:rPr>
        <w:t xml:space="preserve"> </w:t>
      </w:r>
      <w:r>
        <w:t>factor against</w:t>
      </w:r>
      <w:r>
        <w:rPr>
          <w:spacing w:val="-6"/>
        </w:rPr>
        <w:t xml:space="preserve"> </w:t>
      </w:r>
      <w:r>
        <w:t>the</w:t>
      </w:r>
      <w:r>
        <w:rPr>
          <w:spacing w:val="-4"/>
        </w:rPr>
        <w:t xml:space="preserve"> </w:t>
      </w:r>
      <w:r>
        <w:t>aforementioned</w:t>
      </w:r>
      <w:r>
        <w:rPr>
          <w:spacing w:val="-6"/>
        </w:rPr>
        <w:t xml:space="preserve"> </w:t>
      </w:r>
      <w:r>
        <w:t>behavior</w:t>
      </w:r>
      <w:r>
        <w:rPr>
          <w:spacing w:val="-5"/>
        </w:rPr>
        <w:t xml:space="preserve"> </w:t>
      </w:r>
      <w:r>
        <w:t>and</w:t>
      </w:r>
      <w:r>
        <w:rPr>
          <w:spacing w:val="-6"/>
        </w:rPr>
        <w:t xml:space="preserve"> </w:t>
      </w:r>
      <w:r>
        <w:t>health</w:t>
      </w:r>
      <w:r>
        <w:rPr>
          <w:spacing w:val="-5"/>
        </w:rPr>
        <w:t xml:space="preserve"> </w:t>
      </w:r>
      <w:r>
        <w:t>risks.</w:t>
      </w:r>
      <w:r>
        <w:rPr>
          <w:spacing w:val="-5"/>
        </w:rPr>
        <w:t xml:space="preserve"> </w:t>
      </w:r>
      <w:r>
        <w:t>The</w:t>
      </w:r>
      <w:r>
        <w:rPr>
          <w:spacing w:val="-4"/>
        </w:rPr>
        <w:t xml:space="preserve"> </w:t>
      </w:r>
      <w:r>
        <w:t>Commission’s</w:t>
      </w:r>
      <w:r>
        <w:rPr>
          <w:spacing w:val="-5"/>
        </w:rPr>
        <w:t xml:space="preserve"> </w:t>
      </w:r>
      <w:r>
        <w:t>research</w:t>
      </w:r>
      <w:r>
        <w:rPr>
          <w:spacing w:val="-6"/>
        </w:rPr>
        <w:t xml:space="preserve"> </w:t>
      </w:r>
      <w:r>
        <w:t>in</w:t>
      </w:r>
      <w:r>
        <w:rPr>
          <w:spacing w:val="-6"/>
        </w:rPr>
        <w:t xml:space="preserve"> </w:t>
      </w:r>
      <w:r>
        <w:t>this</w:t>
      </w:r>
      <w:r>
        <w:rPr>
          <w:spacing w:val="-5"/>
        </w:rPr>
        <w:t xml:space="preserve"> </w:t>
      </w:r>
      <w:r>
        <w:t>area</w:t>
      </w:r>
      <w:r>
        <w:rPr>
          <w:spacing w:val="-4"/>
        </w:rPr>
        <w:t xml:space="preserve"> </w:t>
      </w:r>
      <w:r>
        <w:t>also</w:t>
      </w:r>
      <w:r>
        <w:rPr>
          <w:spacing w:val="-6"/>
        </w:rPr>
        <w:t xml:space="preserve"> </w:t>
      </w:r>
      <w:r>
        <w:t>identified opportunities</w:t>
      </w:r>
      <w:r>
        <w:rPr>
          <w:spacing w:val="-2"/>
        </w:rPr>
        <w:t xml:space="preserve"> </w:t>
      </w:r>
      <w:r>
        <w:t>for</w:t>
      </w:r>
      <w:r>
        <w:rPr>
          <w:spacing w:val="-1"/>
        </w:rPr>
        <w:t xml:space="preserve"> </w:t>
      </w:r>
      <w:r>
        <w:t>improvement</w:t>
      </w:r>
      <w:r>
        <w:rPr>
          <w:spacing w:val="-1"/>
        </w:rPr>
        <w:t xml:space="preserve"> </w:t>
      </w:r>
      <w:r>
        <w:t>in</w:t>
      </w:r>
      <w:r>
        <w:rPr>
          <w:spacing w:val="-1"/>
        </w:rPr>
        <w:t xml:space="preserve"> </w:t>
      </w:r>
      <w:r>
        <w:t>LGBTQ</w:t>
      </w:r>
      <w:r>
        <w:rPr>
          <w:spacing w:val="-3"/>
        </w:rPr>
        <w:t xml:space="preserve"> </w:t>
      </w:r>
      <w:r>
        <w:t>training</w:t>
      </w:r>
      <w:r>
        <w:rPr>
          <w:spacing w:val="-1"/>
        </w:rPr>
        <w:t xml:space="preserve"> </w:t>
      </w:r>
      <w:r>
        <w:t>programs;</w:t>
      </w:r>
      <w:r>
        <w:rPr>
          <w:spacing w:val="-3"/>
        </w:rPr>
        <w:t xml:space="preserve"> </w:t>
      </w:r>
      <w:r>
        <w:t>related</w:t>
      </w:r>
      <w:r>
        <w:rPr>
          <w:spacing w:val="-2"/>
        </w:rPr>
        <w:t xml:space="preserve"> </w:t>
      </w:r>
      <w:r>
        <w:t>recommendations to</w:t>
      </w:r>
      <w:r>
        <w:rPr>
          <w:spacing w:val="-1"/>
        </w:rPr>
        <w:t xml:space="preserve"> </w:t>
      </w:r>
      <w:r>
        <w:t>training</w:t>
      </w:r>
      <w:r>
        <w:rPr>
          <w:spacing w:val="-2"/>
        </w:rPr>
        <w:t xml:space="preserve"> </w:t>
      </w:r>
      <w:r>
        <w:t>providers are included in that section of the report.</w:t>
      </w:r>
    </w:p>
    <w:p w:rsidR="00C76E6D" w:rsidRDefault="00C76E6D">
      <w:pPr>
        <w:pStyle w:val="BodyText"/>
        <w:spacing w:before="9"/>
        <w:rPr>
          <w:sz w:val="19"/>
        </w:rPr>
      </w:pPr>
    </w:p>
    <w:p w:rsidR="00C76E6D" w:rsidRDefault="00913831">
      <w:pPr>
        <w:pStyle w:val="BodyText"/>
        <w:spacing w:line="276" w:lineRule="auto"/>
        <w:ind w:left="337" w:right="335"/>
        <w:jc w:val="both"/>
      </w:pPr>
      <w:r>
        <w:t>Since 1992</w:t>
      </w:r>
      <w:r>
        <w:t>, the Commission has co-produced the Safe Schools Program for LGBTQ Students (SSP) with the Massachusetts Department of Elementary and Secondary Education (DESE), with a primary focus on providing school districts and educators with professional developmen</w:t>
      </w:r>
      <w:r>
        <w:t>t training. In FY 2018 and FY 2019 alone, SSP conducted approximately 300 training sessions for educators or school district personnel in 127 distinct</w:t>
      </w:r>
      <w:r>
        <w:rPr>
          <w:spacing w:val="-13"/>
        </w:rPr>
        <w:t xml:space="preserve"> </w:t>
      </w:r>
      <w:r>
        <w:t>districts,</w:t>
      </w:r>
      <w:r>
        <w:rPr>
          <w:spacing w:val="-12"/>
        </w:rPr>
        <w:t xml:space="preserve"> </w:t>
      </w:r>
      <w:r>
        <w:t>with</w:t>
      </w:r>
      <w:r>
        <w:rPr>
          <w:spacing w:val="-13"/>
        </w:rPr>
        <w:t xml:space="preserve"> </w:t>
      </w:r>
      <w:r>
        <w:t>an</w:t>
      </w:r>
      <w:r>
        <w:rPr>
          <w:spacing w:val="-12"/>
        </w:rPr>
        <w:t xml:space="preserve"> </w:t>
      </w:r>
      <w:r>
        <w:t>annual</w:t>
      </w:r>
      <w:r>
        <w:rPr>
          <w:spacing w:val="-13"/>
        </w:rPr>
        <w:t xml:space="preserve"> </w:t>
      </w:r>
      <w:r>
        <w:t>average</w:t>
      </w:r>
      <w:r>
        <w:rPr>
          <w:spacing w:val="-12"/>
        </w:rPr>
        <w:t xml:space="preserve"> </w:t>
      </w:r>
      <w:r>
        <w:t>of</w:t>
      </w:r>
      <w:r>
        <w:rPr>
          <w:spacing w:val="-13"/>
        </w:rPr>
        <w:t xml:space="preserve"> </w:t>
      </w:r>
      <w:r>
        <w:t>over</w:t>
      </w:r>
      <w:r>
        <w:rPr>
          <w:spacing w:val="-12"/>
        </w:rPr>
        <w:t xml:space="preserve"> </w:t>
      </w:r>
      <w:r>
        <w:t>100</w:t>
      </w:r>
      <w:r>
        <w:rPr>
          <w:spacing w:val="-10"/>
        </w:rPr>
        <w:t xml:space="preserve"> </w:t>
      </w:r>
      <w:r>
        <w:t>technical</w:t>
      </w:r>
      <w:r>
        <w:rPr>
          <w:spacing w:val="-12"/>
        </w:rPr>
        <w:t xml:space="preserve"> </w:t>
      </w:r>
      <w:r>
        <w:t>assistance</w:t>
      </w:r>
      <w:r>
        <w:rPr>
          <w:spacing w:val="-13"/>
        </w:rPr>
        <w:t xml:space="preserve"> </w:t>
      </w:r>
      <w:r>
        <w:t>sessions</w:t>
      </w:r>
      <w:r>
        <w:rPr>
          <w:spacing w:val="-12"/>
        </w:rPr>
        <w:t xml:space="preserve"> </w:t>
      </w:r>
      <w:r>
        <w:t>ranging</w:t>
      </w:r>
      <w:r>
        <w:rPr>
          <w:spacing w:val="-12"/>
        </w:rPr>
        <w:t xml:space="preserve"> </w:t>
      </w:r>
      <w:r>
        <w:t>from</w:t>
      </w:r>
      <w:r>
        <w:rPr>
          <w:spacing w:val="-13"/>
        </w:rPr>
        <w:t xml:space="preserve"> </w:t>
      </w:r>
      <w:r>
        <w:t>guidance</w:t>
      </w:r>
      <w:r>
        <w:rPr>
          <w:spacing w:val="-11"/>
        </w:rPr>
        <w:t xml:space="preserve"> </w:t>
      </w:r>
      <w:r>
        <w:t>over the phone to in-person</w:t>
      </w:r>
      <w:r>
        <w:rPr>
          <w:spacing w:val="-1"/>
        </w:rPr>
        <w:t xml:space="preserve"> </w:t>
      </w:r>
      <w:r>
        <w:t>advanced</w:t>
      </w:r>
      <w:r>
        <w:rPr>
          <w:spacing w:val="-1"/>
        </w:rPr>
        <w:t xml:space="preserve"> </w:t>
      </w:r>
      <w:r>
        <w:t>workshops.</w:t>
      </w:r>
      <w:r>
        <w:rPr>
          <w:spacing w:val="-1"/>
        </w:rPr>
        <w:t xml:space="preserve"> </w:t>
      </w:r>
      <w:r>
        <w:t>Due to the COVID-19 pandemic</w:t>
      </w:r>
      <w:r>
        <w:rPr>
          <w:spacing w:val="-1"/>
        </w:rPr>
        <w:t xml:space="preserve"> </w:t>
      </w:r>
      <w:r>
        <w:t>and</w:t>
      </w:r>
      <w:r>
        <w:rPr>
          <w:spacing w:val="-1"/>
        </w:rPr>
        <w:t xml:space="preserve"> </w:t>
      </w:r>
      <w:r>
        <w:t>attendant</w:t>
      </w:r>
      <w:r>
        <w:rPr>
          <w:spacing w:val="-1"/>
        </w:rPr>
        <w:t xml:space="preserve"> </w:t>
      </w:r>
      <w:r>
        <w:t>disruption</w:t>
      </w:r>
      <w:r>
        <w:rPr>
          <w:spacing w:val="-1"/>
        </w:rPr>
        <w:t xml:space="preserve"> </w:t>
      </w:r>
      <w:r>
        <w:t>that schools experienced, SSP received fewer training requests than the previous school year.</w:t>
      </w:r>
    </w:p>
    <w:p w:rsidR="00C76E6D" w:rsidRDefault="00C76E6D">
      <w:pPr>
        <w:pStyle w:val="BodyText"/>
        <w:spacing w:before="8"/>
        <w:rPr>
          <w:sz w:val="19"/>
        </w:rPr>
      </w:pPr>
    </w:p>
    <w:p w:rsidR="00C76E6D" w:rsidRDefault="00913831">
      <w:pPr>
        <w:pStyle w:val="BodyText"/>
        <w:spacing w:line="276" w:lineRule="auto"/>
        <w:ind w:left="338" w:right="335"/>
        <w:jc w:val="both"/>
      </w:pPr>
      <w:r>
        <w:t>In the 2021-22 school year, we provided 142 trainings to schools, districts, and educational organizations across MA, up from 86 in 2020-21, and over 200 technical assistance requests. Training sessions were facilitated by our cadre of experienced facilita</w:t>
      </w:r>
      <w:r>
        <w:t>tors including Jeff Perrotti, Elijah Oyenuga, Landon Callahan, René Rives, James Shultis, Minh Nguyen, and Kimm Topping.</w:t>
      </w:r>
    </w:p>
    <w:p w:rsidR="00C76E6D" w:rsidRDefault="00C76E6D">
      <w:pPr>
        <w:pStyle w:val="BodyText"/>
      </w:pPr>
    </w:p>
    <w:p w:rsidR="00C76E6D" w:rsidRDefault="00C76E6D">
      <w:pPr>
        <w:pStyle w:val="BodyText"/>
        <w:spacing w:before="7"/>
        <w:rPr>
          <w:sz w:val="20"/>
        </w:rPr>
      </w:pPr>
    </w:p>
    <w:p w:rsidR="00C76E6D" w:rsidRDefault="00913831">
      <w:pPr>
        <w:pStyle w:val="Heading5"/>
        <w:jc w:val="both"/>
      </w:pPr>
      <w:bookmarkStart w:id="13" w:name="Ending_Homelessness_Research_and_Recomme"/>
      <w:bookmarkEnd w:id="13"/>
      <w:r>
        <w:t>Ending</w:t>
      </w:r>
      <w:r>
        <w:rPr>
          <w:spacing w:val="-9"/>
        </w:rPr>
        <w:t xml:space="preserve"> </w:t>
      </w:r>
      <w:r>
        <w:t>Homelessness</w:t>
      </w:r>
      <w:r>
        <w:rPr>
          <w:spacing w:val="-8"/>
        </w:rPr>
        <w:t xml:space="preserve"> </w:t>
      </w:r>
      <w:r>
        <w:t>Research</w:t>
      </w:r>
      <w:r>
        <w:rPr>
          <w:spacing w:val="-6"/>
        </w:rPr>
        <w:t xml:space="preserve"> </w:t>
      </w:r>
      <w:r>
        <w:t>and</w:t>
      </w:r>
      <w:r>
        <w:rPr>
          <w:spacing w:val="-8"/>
        </w:rPr>
        <w:t xml:space="preserve"> </w:t>
      </w:r>
      <w:r>
        <w:rPr>
          <w:spacing w:val="-2"/>
        </w:rPr>
        <w:t>Recommendations</w:t>
      </w:r>
    </w:p>
    <w:p w:rsidR="00C76E6D" w:rsidRDefault="00913831">
      <w:pPr>
        <w:pStyle w:val="BodyText"/>
        <w:spacing w:before="10"/>
        <w:rPr>
          <w:b/>
          <w:sz w:val="9"/>
        </w:rPr>
      </w:pPr>
      <w:r>
        <w:pict>
          <v:shape id="docshape31" o:spid="_x0000_s1405" style="position:absolute;margin-left:65pt;margin-top:7.2pt;width:476.95pt;height:.1pt;z-index:-15719936;mso-wrap-distance-left:0;mso-wrap-distance-right:0;mso-position-horizontal-relative:page" coordorigin="1300,144" coordsize="9539,0" path="m1300,144r9539,e" filled="f" strokeweight="1.54pt">
            <v:path arrowok="t"/>
            <w10:wrap type="topAndBottom" anchorx="page"/>
          </v:shape>
        </w:pict>
      </w:r>
    </w:p>
    <w:p w:rsidR="00C76E6D" w:rsidRDefault="00C76E6D">
      <w:pPr>
        <w:pStyle w:val="BodyText"/>
        <w:rPr>
          <w:b/>
          <w:sz w:val="29"/>
        </w:rPr>
      </w:pPr>
    </w:p>
    <w:p w:rsidR="00C76E6D" w:rsidRDefault="00913831">
      <w:pPr>
        <w:pStyle w:val="BodyText"/>
        <w:ind w:left="338"/>
        <w:jc w:val="both"/>
      </w:pPr>
      <w:r>
        <w:rPr>
          <w:w w:val="95"/>
        </w:rPr>
        <w:t>Recommendations</w:t>
      </w:r>
      <w:r>
        <w:rPr>
          <w:spacing w:val="8"/>
        </w:rPr>
        <w:t xml:space="preserve"> </w:t>
      </w:r>
      <w:r>
        <w:rPr>
          <w:w w:val="95"/>
        </w:rPr>
        <w:t>to</w:t>
      </w:r>
      <w:r>
        <w:rPr>
          <w:spacing w:val="14"/>
        </w:rPr>
        <w:t xml:space="preserve"> </w:t>
      </w:r>
      <w:r>
        <w:rPr>
          <w:w w:val="95"/>
        </w:rPr>
        <w:t>the</w:t>
      </w:r>
      <w:r>
        <w:rPr>
          <w:spacing w:val="12"/>
        </w:rPr>
        <w:t xml:space="preserve"> </w:t>
      </w:r>
      <w:r>
        <w:rPr>
          <w:w w:val="95"/>
        </w:rPr>
        <w:t>Governor</w:t>
      </w:r>
      <w:r>
        <w:rPr>
          <w:spacing w:val="10"/>
        </w:rPr>
        <w:t xml:space="preserve"> </w:t>
      </w:r>
      <w:r>
        <w:rPr>
          <w:w w:val="95"/>
        </w:rPr>
        <w:t>and</w:t>
      </w:r>
      <w:r>
        <w:rPr>
          <w:spacing w:val="10"/>
        </w:rPr>
        <w:t xml:space="preserve"> </w:t>
      </w:r>
      <w:r>
        <w:rPr>
          <w:w w:val="95"/>
        </w:rPr>
        <w:t>Legislature</w:t>
      </w:r>
      <w:r>
        <w:rPr>
          <w:spacing w:val="11"/>
        </w:rPr>
        <w:t xml:space="preserve"> </w:t>
      </w:r>
      <w:r>
        <w:rPr>
          <w:w w:val="95"/>
        </w:rPr>
        <w:t>on</w:t>
      </w:r>
      <w:r>
        <w:rPr>
          <w:spacing w:val="10"/>
        </w:rPr>
        <w:t xml:space="preserve"> </w:t>
      </w:r>
      <w:r>
        <w:rPr>
          <w:w w:val="95"/>
        </w:rPr>
        <w:t>ending</w:t>
      </w:r>
      <w:r>
        <w:rPr>
          <w:spacing w:val="12"/>
        </w:rPr>
        <w:t xml:space="preserve"> </w:t>
      </w:r>
      <w:r>
        <w:rPr>
          <w:spacing w:val="-2"/>
          <w:w w:val="95"/>
        </w:rPr>
        <w:t>homelessness:</w:t>
      </w:r>
    </w:p>
    <w:p w:rsidR="00C76E6D" w:rsidRDefault="00C76E6D">
      <w:pPr>
        <w:pStyle w:val="BodyText"/>
        <w:spacing w:before="12"/>
        <w:rPr>
          <w:sz w:val="21"/>
        </w:rPr>
      </w:pPr>
    </w:p>
    <w:p w:rsidR="00C76E6D" w:rsidRDefault="00913831">
      <w:pPr>
        <w:pStyle w:val="ListParagraph"/>
        <w:numPr>
          <w:ilvl w:val="0"/>
          <w:numId w:val="57"/>
        </w:numPr>
        <w:tabs>
          <w:tab w:val="left" w:pos="1059"/>
        </w:tabs>
        <w:ind w:hanging="361"/>
      </w:pPr>
      <w:r>
        <w:rPr>
          <w:w w:val="95"/>
        </w:rPr>
        <w:t>Improve</w:t>
      </w:r>
      <w:r>
        <w:rPr>
          <w:spacing w:val="1"/>
        </w:rPr>
        <w:t xml:space="preserve"> </w:t>
      </w:r>
      <w:r>
        <w:rPr>
          <w:w w:val="95"/>
        </w:rPr>
        <w:t>access</w:t>
      </w:r>
      <w:r>
        <w:rPr>
          <w:spacing w:val="1"/>
        </w:rPr>
        <w:t xml:space="preserve"> </w:t>
      </w:r>
      <w:r>
        <w:rPr>
          <w:w w:val="95"/>
        </w:rPr>
        <w:t>to</w:t>
      </w:r>
      <w:r>
        <w:rPr>
          <w:spacing w:val="2"/>
        </w:rPr>
        <w:t xml:space="preserve"> </w:t>
      </w:r>
      <w:r>
        <w:rPr>
          <w:w w:val="95"/>
        </w:rPr>
        <w:t>state</w:t>
      </w:r>
      <w:r>
        <w:rPr>
          <w:spacing w:val="7"/>
        </w:rPr>
        <w:t xml:space="preserve"> </w:t>
      </w:r>
      <w:r>
        <w:rPr>
          <w:w w:val="95"/>
        </w:rPr>
        <w:t>IDs</w:t>
      </w:r>
      <w:r>
        <w:rPr>
          <w:spacing w:val="8"/>
        </w:rPr>
        <w:t xml:space="preserve"> </w:t>
      </w:r>
      <w:r>
        <w:rPr>
          <w:w w:val="95"/>
        </w:rPr>
        <w:t>for</w:t>
      </w:r>
      <w:r>
        <w:rPr>
          <w:spacing w:val="3"/>
        </w:rPr>
        <w:t xml:space="preserve"> </w:t>
      </w:r>
      <w:r>
        <w:rPr>
          <w:w w:val="95"/>
        </w:rPr>
        <w:t>youth</w:t>
      </w:r>
      <w:r>
        <w:rPr>
          <w:spacing w:val="9"/>
        </w:rPr>
        <w:t xml:space="preserve"> </w:t>
      </w:r>
      <w:r>
        <w:rPr>
          <w:w w:val="95"/>
        </w:rPr>
        <w:t>experiencing</w:t>
      </w:r>
      <w:r>
        <w:rPr>
          <w:spacing w:val="4"/>
        </w:rPr>
        <w:t xml:space="preserve"> </w:t>
      </w:r>
      <w:r>
        <w:rPr>
          <w:w w:val="95"/>
        </w:rPr>
        <w:t>homelessness</w:t>
      </w:r>
      <w:r>
        <w:rPr>
          <w:spacing w:val="3"/>
        </w:rPr>
        <w:t xml:space="preserve"> </w:t>
      </w:r>
      <w:r>
        <w:rPr>
          <w:w w:val="95"/>
        </w:rPr>
        <w:t>and</w:t>
      </w:r>
      <w:r>
        <w:rPr>
          <w:spacing w:val="5"/>
        </w:rPr>
        <w:t xml:space="preserve"> </w:t>
      </w:r>
      <w:r>
        <w:rPr>
          <w:w w:val="95"/>
        </w:rPr>
        <w:t>gender</w:t>
      </w:r>
      <w:r>
        <w:rPr>
          <w:spacing w:val="3"/>
        </w:rPr>
        <w:t xml:space="preserve"> </w:t>
      </w:r>
      <w:r>
        <w:rPr>
          <w:w w:val="95"/>
        </w:rPr>
        <w:t>expansive</w:t>
      </w:r>
      <w:r>
        <w:rPr>
          <w:spacing w:val="24"/>
        </w:rPr>
        <w:t xml:space="preserve"> </w:t>
      </w:r>
      <w:r>
        <w:rPr>
          <w:spacing w:val="-2"/>
          <w:w w:val="95"/>
        </w:rPr>
        <w:t>youth.</w:t>
      </w:r>
    </w:p>
    <w:p w:rsidR="00C76E6D" w:rsidRDefault="00C76E6D">
      <w:pPr>
        <w:sectPr w:rsidR="00C76E6D">
          <w:pgSz w:w="12240" w:h="15840"/>
          <w:pgMar w:top="1000" w:right="960" w:bottom="780" w:left="960" w:header="811" w:footer="584" w:gutter="0"/>
          <w:cols w:space="720"/>
        </w:sectPr>
      </w:pPr>
    </w:p>
    <w:p w:rsidR="00C76E6D" w:rsidRDefault="00C76E6D">
      <w:pPr>
        <w:pStyle w:val="BodyText"/>
        <w:spacing w:before="1"/>
        <w:rPr>
          <w:sz w:val="24"/>
        </w:rPr>
      </w:pPr>
    </w:p>
    <w:p w:rsidR="00C76E6D" w:rsidRDefault="00913831">
      <w:pPr>
        <w:pStyle w:val="ListParagraph"/>
        <w:numPr>
          <w:ilvl w:val="0"/>
          <w:numId w:val="57"/>
        </w:numPr>
        <w:tabs>
          <w:tab w:val="left" w:pos="1059"/>
        </w:tabs>
        <w:spacing w:before="56"/>
        <w:ind w:hanging="361"/>
      </w:pPr>
      <w:r>
        <w:rPr>
          <w:w w:val="95"/>
        </w:rPr>
        <w:t>Increase</w:t>
      </w:r>
      <w:r>
        <w:rPr>
          <w:spacing w:val="4"/>
        </w:rPr>
        <w:t xml:space="preserve"> </w:t>
      </w:r>
      <w:r>
        <w:rPr>
          <w:w w:val="95"/>
        </w:rPr>
        <w:t>services</w:t>
      </w:r>
      <w:r>
        <w:rPr>
          <w:spacing w:val="7"/>
        </w:rPr>
        <w:t xml:space="preserve"> </w:t>
      </w:r>
      <w:r>
        <w:rPr>
          <w:w w:val="95"/>
        </w:rPr>
        <w:t>for</w:t>
      </w:r>
      <w:r>
        <w:rPr>
          <w:spacing w:val="8"/>
        </w:rPr>
        <w:t xml:space="preserve"> </w:t>
      </w:r>
      <w:r>
        <w:rPr>
          <w:w w:val="95"/>
        </w:rPr>
        <w:t>youth</w:t>
      </w:r>
      <w:r>
        <w:rPr>
          <w:spacing w:val="12"/>
        </w:rPr>
        <w:t xml:space="preserve"> </w:t>
      </w:r>
      <w:r>
        <w:rPr>
          <w:w w:val="95"/>
        </w:rPr>
        <w:t>at</w:t>
      </w:r>
      <w:r>
        <w:rPr>
          <w:spacing w:val="6"/>
        </w:rPr>
        <w:t xml:space="preserve"> </w:t>
      </w:r>
      <w:r>
        <w:rPr>
          <w:w w:val="95"/>
        </w:rPr>
        <w:t>risk</w:t>
      </w:r>
      <w:r>
        <w:rPr>
          <w:spacing w:val="7"/>
        </w:rPr>
        <w:t xml:space="preserve"> </w:t>
      </w:r>
      <w:r>
        <w:rPr>
          <w:w w:val="95"/>
        </w:rPr>
        <w:t>for</w:t>
      </w:r>
      <w:r>
        <w:rPr>
          <w:spacing w:val="5"/>
        </w:rPr>
        <w:t xml:space="preserve"> </w:t>
      </w:r>
      <w:r>
        <w:rPr>
          <w:w w:val="95"/>
        </w:rPr>
        <w:t>or</w:t>
      </w:r>
      <w:r>
        <w:rPr>
          <w:spacing w:val="9"/>
        </w:rPr>
        <w:t xml:space="preserve"> </w:t>
      </w:r>
      <w:r>
        <w:rPr>
          <w:w w:val="95"/>
        </w:rPr>
        <w:t>experiencing</w:t>
      </w:r>
      <w:r>
        <w:rPr>
          <w:spacing w:val="11"/>
        </w:rPr>
        <w:t xml:space="preserve"> </w:t>
      </w:r>
      <w:r>
        <w:rPr>
          <w:spacing w:val="-2"/>
          <w:w w:val="95"/>
        </w:rPr>
        <w:t>homelessness.</w:t>
      </w:r>
    </w:p>
    <w:p w:rsidR="00C76E6D" w:rsidRDefault="00C76E6D">
      <w:pPr>
        <w:pStyle w:val="BodyText"/>
      </w:pPr>
    </w:p>
    <w:p w:rsidR="00C76E6D" w:rsidRDefault="00913831">
      <w:pPr>
        <w:pStyle w:val="ListParagraph"/>
        <w:numPr>
          <w:ilvl w:val="0"/>
          <w:numId w:val="57"/>
        </w:numPr>
        <w:tabs>
          <w:tab w:val="left" w:pos="1059"/>
        </w:tabs>
        <w:ind w:hanging="361"/>
      </w:pPr>
      <w:r>
        <w:rPr>
          <w:w w:val="95"/>
        </w:rPr>
        <w:t>Create</w:t>
      </w:r>
      <w:r>
        <w:rPr>
          <w:spacing w:val="3"/>
        </w:rPr>
        <w:t xml:space="preserve"> </w:t>
      </w:r>
      <w:r>
        <w:rPr>
          <w:w w:val="95"/>
        </w:rPr>
        <w:t>a</w:t>
      </w:r>
      <w:r>
        <w:rPr>
          <w:spacing w:val="9"/>
        </w:rPr>
        <w:t xml:space="preserve"> </w:t>
      </w:r>
      <w:r>
        <w:rPr>
          <w:w w:val="95"/>
        </w:rPr>
        <w:t>bill</w:t>
      </w:r>
      <w:r>
        <w:rPr>
          <w:spacing w:val="6"/>
        </w:rPr>
        <w:t xml:space="preserve"> </w:t>
      </w:r>
      <w:r>
        <w:rPr>
          <w:w w:val="95"/>
        </w:rPr>
        <w:t>of</w:t>
      </w:r>
      <w:r>
        <w:rPr>
          <w:spacing w:val="10"/>
        </w:rPr>
        <w:t xml:space="preserve"> </w:t>
      </w:r>
      <w:r>
        <w:rPr>
          <w:w w:val="95"/>
        </w:rPr>
        <w:t>rights</w:t>
      </w:r>
      <w:r>
        <w:rPr>
          <w:spacing w:val="7"/>
        </w:rPr>
        <w:t xml:space="preserve"> </w:t>
      </w:r>
      <w:r>
        <w:rPr>
          <w:w w:val="95"/>
        </w:rPr>
        <w:t>for</w:t>
      </w:r>
      <w:r>
        <w:rPr>
          <w:spacing w:val="4"/>
        </w:rPr>
        <w:t xml:space="preserve"> </w:t>
      </w:r>
      <w:r>
        <w:rPr>
          <w:w w:val="95"/>
        </w:rPr>
        <w:t>people</w:t>
      </w:r>
      <w:r>
        <w:rPr>
          <w:spacing w:val="10"/>
        </w:rPr>
        <w:t xml:space="preserve"> </w:t>
      </w:r>
      <w:r>
        <w:rPr>
          <w:w w:val="95"/>
        </w:rPr>
        <w:t>experiencing</w:t>
      </w:r>
      <w:r>
        <w:rPr>
          <w:spacing w:val="12"/>
        </w:rPr>
        <w:t xml:space="preserve"> </w:t>
      </w:r>
      <w:r>
        <w:rPr>
          <w:spacing w:val="-2"/>
          <w:w w:val="95"/>
        </w:rPr>
        <w:t>homelessness.</w:t>
      </w:r>
    </w:p>
    <w:p w:rsidR="00C76E6D" w:rsidRDefault="00C76E6D">
      <w:pPr>
        <w:pStyle w:val="BodyText"/>
        <w:spacing w:before="12"/>
        <w:rPr>
          <w:sz w:val="21"/>
        </w:rPr>
      </w:pPr>
    </w:p>
    <w:p w:rsidR="00C76E6D" w:rsidRDefault="00913831">
      <w:pPr>
        <w:pStyle w:val="ListParagraph"/>
        <w:numPr>
          <w:ilvl w:val="0"/>
          <w:numId w:val="57"/>
        </w:numPr>
        <w:tabs>
          <w:tab w:val="left" w:pos="1060"/>
        </w:tabs>
        <w:ind w:left="1059" w:hanging="362"/>
      </w:pPr>
      <w:r>
        <w:t>Increase</w:t>
      </w:r>
      <w:r>
        <w:rPr>
          <w:spacing w:val="15"/>
        </w:rPr>
        <w:t xml:space="preserve"> </w:t>
      </w:r>
      <w:r>
        <w:t>LGBTQ</w:t>
      </w:r>
      <w:r>
        <w:rPr>
          <w:spacing w:val="16"/>
        </w:rPr>
        <w:t xml:space="preserve"> </w:t>
      </w:r>
      <w:r>
        <w:t>participation</w:t>
      </w:r>
      <w:r>
        <w:rPr>
          <w:spacing w:val="13"/>
        </w:rPr>
        <w:t xml:space="preserve"> </w:t>
      </w:r>
      <w:r>
        <w:t>as</w:t>
      </w:r>
      <w:r>
        <w:rPr>
          <w:spacing w:val="14"/>
        </w:rPr>
        <w:t xml:space="preserve"> </w:t>
      </w:r>
      <w:r>
        <w:t>youth</w:t>
      </w:r>
      <w:r>
        <w:rPr>
          <w:spacing w:val="18"/>
        </w:rPr>
        <w:t xml:space="preserve"> </w:t>
      </w:r>
      <w:r>
        <w:t>ambassadors</w:t>
      </w:r>
      <w:r>
        <w:rPr>
          <w:spacing w:val="13"/>
        </w:rPr>
        <w:t xml:space="preserve"> </w:t>
      </w:r>
      <w:r>
        <w:t>and</w:t>
      </w:r>
      <w:r>
        <w:rPr>
          <w:spacing w:val="20"/>
        </w:rPr>
        <w:t xml:space="preserve"> </w:t>
      </w:r>
      <w:r>
        <w:t>respondents</w:t>
      </w:r>
      <w:r>
        <w:rPr>
          <w:spacing w:val="15"/>
        </w:rPr>
        <w:t xml:space="preserve"> </w:t>
      </w:r>
      <w:r>
        <w:t>to</w:t>
      </w:r>
      <w:r>
        <w:rPr>
          <w:spacing w:val="16"/>
        </w:rPr>
        <w:t xml:space="preserve"> </w:t>
      </w:r>
      <w:r>
        <w:t>the</w:t>
      </w:r>
      <w:r>
        <w:rPr>
          <w:spacing w:val="18"/>
        </w:rPr>
        <w:t xml:space="preserve"> </w:t>
      </w:r>
      <w:r>
        <w:t>Youth</w:t>
      </w:r>
      <w:r>
        <w:rPr>
          <w:spacing w:val="-12"/>
        </w:rPr>
        <w:t xml:space="preserve"> </w:t>
      </w:r>
      <w:r>
        <w:rPr>
          <w:spacing w:val="-2"/>
        </w:rPr>
        <w:t>Count.</w:t>
      </w:r>
    </w:p>
    <w:p w:rsidR="00C76E6D" w:rsidRDefault="00C76E6D">
      <w:pPr>
        <w:pStyle w:val="BodyText"/>
        <w:spacing w:before="1"/>
      </w:pPr>
    </w:p>
    <w:p w:rsidR="00C76E6D" w:rsidRDefault="00913831">
      <w:pPr>
        <w:pStyle w:val="ListParagraph"/>
        <w:numPr>
          <w:ilvl w:val="0"/>
          <w:numId w:val="57"/>
        </w:numPr>
        <w:tabs>
          <w:tab w:val="left" w:pos="1060"/>
        </w:tabs>
        <w:ind w:left="1059" w:right="551"/>
      </w:pPr>
      <w:r>
        <w:t>Promote</w:t>
      </w:r>
      <w:r>
        <w:rPr>
          <w:spacing w:val="36"/>
        </w:rPr>
        <w:t xml:space="preserve"> </w:t>
      </w:r>
      <w:r>
        <w:t>best</w:t>
      </w:r>
      <w:r>
        <w:rPr>
          <w:spacing w:val="35"/>
        </w:rPr>
        <w:t xml:space="preserve"> </w:t>
      </w:r>
      <w:r>
        <w:t>and</w:t>
      </w:r>
      <w:r>
        <w:rPr>
          <w:spacing w:val="37"/>
        </w:rPr>
        <w:t xml:space="preserve"> </w:t>
      </w:r>
      <w:r>
        <w:t>promising</w:t>
      </w:r>
      <w:r>
        <w:rPr>
          <w:spacing w:val="37"/>
        </w:rPr>
        <w:t xml:space="preserve"> </w:t>
      </w:r>
      <w:r>
        <w:t>practices</w:t>
      </w:r>
      <w:r>
        <w:rPr>
          <w:spacing w:val="37"/>
        </w:rPr>
        <w:t xml:space="preserve"> </w:t>
      </w:r>
      <w:r>
        <w:t>for</w:t>
      </w:r>
      <w:r>
        <w:rPr>
          <w:spacing w:val="36"/>
        </w:rPr>
        <w:t xml:space="preserve"> </w:t>
      </w:r>
      <w:r>
        <w:t>serving</w:t>
      </w:r>
      <w:r>
        <w:rPr>
          <w:spacing w:val="38"/>
        </w:rPr>
        <w:t xml:space="preserve"> </w:t>
      </w:r>
      <w:r>
        <w:t>LGBTQ</w:t>
      </w:r>
      <w:r>
        <w:rPr>
          <w:spacing w:val="37"/>
        </w:rPr>
        <w:t xml:space="preserve"> </w:t>
      </w:r>
      <w:r>
        <w:t>youth</w:t>
      </w:r>
      <w:r>
        <w:rPr>
          <w:spacing w:val="37"/>
        </w:rPr>
        <w:t xml:space="preserve"> </w:t>
      </w:r>
      <w:r>
        <w:t>with</w:t>
      </w:r>
      <w:r>
        <w:rPr>
          <w:spacing w:val="37"/>
        </w:rPr>
        <w:t xml:space="preserve"> </w:t>
      </w:r>
      <w:r>
        <w:t>providers</w:t>
      </w:r>
      <w:r>
        <w:rPr>
          <w:spacing w:val="36"/>
        </w:rPr>
        <w:t xml:space="preserve"> </w:t>
      </w:r>
      <w:r>
        <w:t>of</w:t>
      </w:r>
      <w:r>
        <w:rPr>
          <w:spacing w:val="-2"/>
        </w:rPr>
        <w:t xml:space="preserve"> </w:t>
      </w:r>
      <w:r>
        <w:t>services</w:t>
      </w:r>
      <w:r>
        <w:rPr>
          <w:spacing w:val="-2"/>
        </w:rPr>
        <w:t xml:space="preserve"> </w:t>
      </w:r>
      <w:r>
        <w:t>for youth at risk for or experiencing homelessness.</w:t>
      </w:r>
    </w:p>
    <w:p w:rsidR="00C76E6D" w:rsidRDefault="00C76E6D">
      <w:pPr>
        <w:pStyle w:val="BodyText"/>
      </w:pPr>
    </w:p>
    <w:p w:rsidR="00C76E6D" w:rsidRDefault="00913831">
      <w:pPr>
        <w:pStyle w:val="ListParagraph"/>
        <w:numPr>
          <w:ilvl w:val="0"/>
          <w:numId w:val="57"/>
        </w:numPr>
        <w:tabs>
          <w:tab w:val="left" w:pos="1060"/>
        </w:tabs>
        <w:ind w:left="1059" w:hanging="362"/>
      </w:pPr>
      <w:r>
        <w:rPr>
          <w:w w:val="95"/>
        </w:rPr>
        <w:t>Implement</w:t>
      </w:r>
      <w:r>
        <w:rPr>
          <w:spacing w:val="5"/>
        </w:rPr>
        <w:t xml:space="preserve"> </w:t>
      </w:r>
      <w:r>
        <w:rPr>
          <w:w w:val="95"/>
        </w:rPr>
        <w:t>policies</w:t>
      </w:r>
      <w:r>
        <w:rPr>
          <w:spacing w:val="8"/>
        </w:rPr>
        <w:t xml:space="preserve"> </w:t>
      </w:r>
      <w:r>
        <w:rPr>
          <w:w w:val="95"/>
        </w:rPr>
        <w:t>to</w:t>
      </w:r>
      <w:r>
        <w:rPr>
          <w:spacing w:val="7"/>
        </w:rPr>
        <w:t xml:space="preserve"> </w:t>
      </w:r>
      <w:r>
        <w:rPr>
          <w:w w:val="95"/>
        </w:rPr>
        <w:t>ensure</w:t>
      </w:r>
      <w:r>
        <w:rPr>
          <w:spacing w:val="10"/>
        </w:rPr>
        <w:t xml:space="preserve"> </w:t>
      </w:r>
      <w:r>
        <w:rPr>
          <w:w w:val="95"/>
        </w:rPr>
        <w:t>greater</w:t>
      </w:r>
      <w:r>
        <w:rPr>
          <w:spacing w:val="12"/>
        </w:rPr>
        <w:t xml:space="preserve"> </w:t>
      </w:r>
      <w:r>
        <w:rPr>
          <w:w w:val="95"/>
        </w:rPr>
        <w:t>transparency</w:t>
      </w:r>
      <w:r>
        <w:rPr>
          <w:spacing w:val="9"/>
        </w:rPr>
        <w:t xml:space="preserve"> </w:t>
      </w:r>
      <w:r>
        <w:rPr>
          <w:w w:val="95"/>
        </w:rPr>
        <w:t>of</w:t>
      </w:r>
      <w:r>
        <w:rPr>
          <w:spacing w:val="10"/>
        </w:rPr>
        <w:t xml:space="preserve"> </w:t>
      </w:r>
      <w:r>
        <w:rPr>
          <w:w w:val="95"/>
        </w:rPr>
        <w:t>the</w:t>
      </w:r>
      <w:r>
        <w:rPr>
          <w:spacing w:val="7"/>
        </w:rPr>
        <w:t xml:space="preserve"> </w:t>
      </w:r>
      <w:r>
        <w:rPr>
          <w:w w:val="95"/>
        </w:rPr>
        <w:t>foster</w:t>
      </w:r>
      <w:r>
        <w:rPr>
          <w:spacing w:val="10"/>
        </w:rPr>
        <w:t xml:space="preserve"> </w:t>
      </w:r>
      <w:r>
        <w:rPr>
          <w:w w:val="95"/>
        </w:rPr>
        <w:t>care</w:t>
      </w:r>
      <w:r>
        <w:rPr>
          <w:spacing w:val="10"/>
        </w:rPr>
        <w:t xml:space="preserve"> </w:t>
      </w:r>
      <w:r>
        <w:rPr>
          <w:w w:val="95"/>
        </w:rPr>
        <w:t>review</w:t>
      </w:r>
      <w:r>
        <w:rPr>
          <w:spacing w:val="10"/>
        </w:rPr>
        <w:t xml:space="preserve"> </w:t>
      </w:r>
      <w:r>
        <w:rPr>
          <w:spacing w:val="-2"/>
          <w:w w:val="95"/>
        </w:rPr>
        <w:t>process.</w:t>
      </w:r>
    </w:p>
    <w:p w:rsidR="00C76E6D" w:rsidRDefault="00C76E6D">
      <w:pPr>
        <w:pStyle w:val="BodyText"/>
        <w:spacing w:before="11"/>
        <w:rPr>
          <w:sz w:val="21"/>
        </w:rPr>
      </w:pPr>
    </w:p>
    <w:p w:rsidR="00C76E6D" w:rsidRDefault="00913831">
      <w:pPr>
        <w:pStyle w:val="ListParagraph"/>
        <w:numPr>
          <w:ilvl w:val="0"/>
          <w:numId w:val="57"/>
        </w:numPr>
        <w:tabs>
          <w:tab w:val="left" w:pos="1060"/>
        </w:tabs>
        <w:ind w:left="1059" w:hanging="362"/>
      </w:pPr>
      <w:r>
        <w:rPr>
          <w:w w:val="95"/>
        </w:rPr>
        <w:t>Implement</w:t>
      </w:r>
      <w:r>
        <w:rPr>
          <w:spacing w:val="4"/>
        </w:rPr>
        <w:t xml:space="preserve"> </w:t>
      </w:r>
      <w:r>
        <w:rPr>
          <w:w w:val="95"/>
        </w:rPr>
        <w:t>policies</w:t>
      </w:r>
      <w:r>
        <w:rPr>
          <w:spacing w:val="6"/>
        </w:rPr>
        <w:t xml:space="preserve"> </w:t>
      </w:r>
      <w:r>
        <w:rPr>
          <w:w w:val="95"/>
        </w:rPr>
        <w:t>to</w:t>
      </w:r>
      <w:r>
        <w:t xml:space="preserve"> </w:t>
      </w:r>
      <w:r>
        <w:rPr>
          <w:w w:val="95"/>
        </w:rPr>
        <w:t>prevent</w:t>
      </w:r>
      <w:r>
        <w:rPr>
          <w:spacing w:val="5"/>
        </w:rPr>
        <w:t xml:space="preserve"> </w:t>
      </w:r>
      <w:r>
        <w:rPr>
          <w:w w:val="95"/>
        </w:rPr>
        <w:t>families</w:t>
      </w:r>
      <w:r>
        <w:rPr>
          <w:spacing w:val="6"/>
        </w:rPr>
        <w:t xml:space="preserve"> </w:t>
      </w:r>
      <w:r>
        <w:rPr>
          <w:w w:val="95"/>
        </w:rPr>
        <w:t>and</w:t>
      </w:r>
      <w:r>
        <w:rPr>
          <w:spacing w:val="1"/>
        </w:rPr>
        <w:t xml:space="preserve"> </w:t>
      </w:r>
      <w:r>
        <w:rPr>
          <w:w w:val="95"/>
        </w:rPr>
        <w:t>individuals</w:t>
      </w:r>
      <w:r>
        <w:rPr>
          <w:spacing w:val="5"/>
        </w:rPr>
        <w:t xml:space="preserve"> </w:t>
      </w:r>
      <w:r>
        <w:rPr>
          <w:w w:val="95"/>
        </w:rPr>
        <w:t>from</w:t>
      </w:r>
      <w:r>
        <w:rPr>
          <w:spacing w:val="2"/>
        </w:rPr>
        <w:t xml:space="preserve"> </w:t>
      </w:r>
      <w:r>
        <w:rPr>
          <w:w w:val="95"/>
        </w:rPr>
        <w:t>experiencing</w:t>
      </w:r>
      <w:r>
        <w:rPr>
          <w:spacing w:val="4"/>
        </w:rPr>
        <w:t xml:space="preserve"> </w:t>
      </w:r>
      <w:r>
        <w:rPr>
          <w:spacing w:val="-2"/>
          <w:w w:val="95"/>
        </w:rPr>
        <w:t>homelessness.</w:t>
      </w:r>
    </w:p>
    <w:p w:rsidR="00C76E6D" w:rsidRDefault="00C76E6D">
      <w:pPr>
        <w:pStyle w:val="BodyText"/>
        <w:spacing w:before="11"/>
        <w:rPr>
          <w:sz w:val="25"/>
        </w:rPr>
      </w:pPr>
    </w:p>
    <w:p w:rsidR="00C76E6D" w:rsidRDefault="00913831">
      <w:pPr>
        <w:pStyle w:val="BodyText"/>
        <w:spacing w:line="276" w:lineRule="auto"/>
        <w:ind w:left="339" w:right="332"/>
        <w:jc w:val="both"/>
      </w:pPr>
      <w:r>
        <w:t xml:space="preserve">Since the Commission restructured to focus its work on areas particularly affecting QTBIPOC youth, it has been working </w:t>
      </w:r>
      <w:r>
        <w:t>in coalition with other organizations to address the major epidemic of youth homelessness. Corroborating the 2019 MYRBS data point that LGBTQ students are 2.9 times more likely to experience homelessness, the 2019 Massachusetts Youth Count found that 24.7%</w:t>
      </w:r>
      <w:r>
        <w:t xml:space="preserve"> of homeless youth and young adults surveyed identified as LGBTQ. Furthermore, at least 47% of those respondents identified as Black, Latinx, Native American, Asian, or Pacific Islander. Due to the COVID-19 pandemic, the 2020 Youth Count was suspended,</w:t>
      </w:r>
      <w:r>
        <w:rPr>
          <w:spacing w:val="-5"/>
        </w:rPr>
        <w:t xml:space="preserve"> </w:t>
      </w:r>
      <w:r>
        <w:t>but</w:t>
      </w:r>
      <w:r>
        <w:rPr>
          <w:spacing w:val="-7"/>
        </w:rPr>
        <w:t xml:space="preserve"> </w:t>
      </w:r>
      <w:r>
        <w:t>data</w:t>
      </w:r>
      <w:r>
        <w:rPr>
          <w:spacing w:val="-6"/>
        </w:rPr>
        <w:t xml:space="preserve"> </w:t>
      </w:r>
      <w:r>
        <w:t>from</w:t>
      </w:r>
      <w:r>
        <w:rPr>
          <w:spacing w:val="-4"/>
        </w:rPr>
        <w:t xml:space="preserve"> </w:t>
      </w:r>
      <w:r>
        <w:t>the</w:t>
      </w:r>
      <w:r>
        <w:rPr>
          <w:spacing w:val="-7"/>
        </w:rPr>
        <w:t xml:space="preserve"> </w:t>
      </w:r>
      <w:r>
        <w:t>2021</w:t>
      </w:r>
      <w:r>
        <w:rPr>
          <w:spacing w:val="-6"/>
        </w:rPr>
        <w:t xml:space="preserve"> </w:t>
      </w:r>
      <w:r>
        <w:t>Youth</w:t>
      </w:r>
      <w:r>
        <w:rPr>
          <w:spacing w:val="-7"/>
        </w:rPr>
        <w:t xml:space="preserve"> </w:t>
      </w:r>
      <w:r>
        <w:t>Count</w:t>
      </w:r>
      <w:r>
        <w:rPr>
          <w:spacing w:val="-7"/>
        </w:rPr>
        <w:t xml:space="preserve"> </w:t>
      </w:r>
      <w:r>
        <w:t>should</w:t>
      </w:r>
      <w:r>
        <w:rPr>
          <w:spacing w:val="-7"/>
        </w:rPr>
        <w:t xml:space="preserve"> </w:t>
      </w:r>
      <w:r>
        <w:t>be</w:t>
      </w:r>
      <w:r>
        <w:rPr>
          <w:spacing w:val="-7"/>
        </w:rPr>
        <w:t xml:space="preserve"> </w:t>
      </w:r>
      <w:r>
        <w:t>available</w:t>
      </w:r>
      <w:r>
        <w:rPr>
          <w:spacing w:val="-7"/>
        </w:rPr>
        <w:t xml:space="preserve"> </w:t>
      </w:r>
      <w:r>
        <w:t>for</w:t>
      </w:r>
      <w:r>
        <w:rPr>
          <w:spacing w:val="-8"/>
        </w:rPr>
        <w:t xml:space="preserve"> </w:t>
      </w:r>
      <w:r>
        <w:t>analysis</w:t>
      </w:r>
      <w:r>
        <w:rPr>
          <w:spacing w:val="-8"/>
        </w:rPr>
        <w:t xml:space="preserve"> </w:t>
      </w:r>
      <w:r>
        <w:t>by</w:t>
      </w:r>
      <w:r>
        <w:rPr>
          <w:spacing w:val="-5"/>
        </w:rPr>
        <w:t xml:space="preserve"> </w:t>
      </w:r>
      <w:r>
        <w:t>the</w:t>
      </w:r>
      <w:r>
        <w:rPr>
          <w:spacing w:val="-7"/>
        </w:rPr>
        <w:t xml:space="preserve"> </w:t>
      </w:r>
      <w:r>
        <w:t>summer</w:t>
      </w:r>
      <w:r>
        <w:rPr>
          <w:spacing w:val="-6"/>
        </w:rPr>
        <w:t xml:space="preserve"> </w:t>
      </w:r>
      <w:r>
        <w:t>of</w:t>
      </w:r>
      <w:r>
        <w:rPr>
          <w:spacing w:val="-8"/>
        </w:rPr>
        <w:t xml:space="preserve"> </w:t>
      </w:r>
      <w:r>
        <w:t>2022.</w:t>
      </w:r>
      <w:r>
        <w:rPr>
          <w:spacing w:val="-4"/>
        </w:rPr>
        <w:t xml:space="preserve"> </w:t>
      </w:r>
      <w:r>
        <w:t>The Commission looks forward to reflecting this new data in its FY 2024 Annual Report.</w:t>
      </w:r>
    </w:p>
    <w:p w:rsidR="00C76E6D" w:rsidRDefault="00C76E6D">
      <w:pPr>
        <w:pStyle w:val="BodyText"/>
        <w:spacing w:before="6"/>
        <w:rPr>
          <w:sz w:val="19"/>
        </w:rPr>
      </w:pPr>
    </w:p>
    <w:p w:rsidR="00C76E6D" w:rsidRDefault="00913831">
      <w:pPr>
        <w:pStyle w:val="BodyText"/>
        <w:spacing w:line="276" w:lineRule="auto"/>
        <w:ind w:left="339" w:right="332" w:firstLine="1"/>
        <w:jc w:val="both"/>
      </w:pPr>
      <w:r>
        <w:t>The report on homelessness below details the factors leading to homelessness and housing instability for LGBTQ</w:t>
      </w:r>
      <w:r>
        <w:rPr>
          <w:spacing w:val="-1"/>
        </w:rPr>
        <w:t xml:space="preserve"> </w:t>
      </w:r>
      <w:r>
        <w:t>youth,</w:t>
      </w:r>
      <w:r>
        <w:rPr>
          <w:spacing w:val="-1"/>
        </w:rPr>
        <w:t xml:space="preserve"> </w:t>
      </w:r>
      <w:r>
        <w:t>with</w:t>
      </w:r>
      <w:r>
        <w:rPr>
          <w:spacing w:val="-1"/>
        </w:rPr>
        <w:t xml:space="preserve"> </w:t>
      </w:r>
      <w:r>
        <w:t>the</w:t>
      </w:r>
      <w:r>
        <w:rPr>
          <w:spacing w:val="-1"/>
        </w:rPr>
        <w:t xml:space="preserve"> </w:t>
      </w:r>
      <w:r>
        <w:t>leading cause</w:t>
      </w:r>
      <w:r>
        <w:rPr>
          <w:spacing w:val="-1"/>
        </w:rPr>
        <w:t xml:space="preserve"> </w:t>
      </w:r>
      <w:r>
        <w:t>being</w:t>
      </w:r>
      <w:r>
        <w:rPr>
          <w:spacing w:val="-3"/>
        </w:rPr>
        <w:t xml:space="preserve"> </w:t>
      </w:r>
      <w:r>
        <w:t>familial rejection, followed by exiting</w:t>
      </w:r>
      <w:r>
        <w:rPr>
          <w:spacing w:val="-1"/>
        </w:rPr>
        <w:t xml:space="preserve"> </w:t>
      </w:r>
      <w:r>
        <w:t>or aging out of foster care, which can also be closely linked to fami</w:t>
      </w:r>
      <w:r>
        <w:t xml:space="preserve">ly rejection. LGBTQ youth are disproportionately affected by other causes of homelessness such as juvenile justice involvement, skipping school because they feel unsafe, </w:t>
      </w:r>
      <w:r>
        <w:rPr>
          <w:w w:val="95"/>
        </w:rPr>
        <w:t>personal or parental substance use, and experience other factors such as family homele</w:t>
      </w:r>
      <w:r>
        <w:rPr>
          <w:w w:val="95"/>
        </w:rPr>
        <w:t xml:space="preserve">ssness. The report also </w:t>
      </w:r>
      <w:r>
        <w:t>examines the experiences of LGBTQ youth, and finds that compared to other youth experiencing homelessness, they are more likely to sleep in a car or outside, and less likely to stay in a shelter; are four times</w:t>
      </w:r>
      <w:r>
        <w:rPr>
          <w:spacing w:val="-13"/>
        </w:rPr>
        <w:t xml:space="preserve"> </w:t>
      </w:r>
      <w:r>
        <w:t>more</w:t>
      </w:r>
      <w:r>
        <w:rPr>
          <w:spacing w:val="-12"/>
        </w:rPr>
        <w:t xml:space="preserve"> </w:t>
      </w:r>
      <w:r>
        <w:t>likely</w:t>
      </w:r>
      <w:r>
        <w:rPr>
          <w:spacing w:val="-13"/>
        </w:rPr>
        <w:t xml:space="preserve"> </w:t>
      </w:r>
      <w:r>
        <w:t>to</w:t>
      </w:r>
      <w:r>
        <w:rPr>
          <w:spacing w:val="-12"/>
        </w:rPr>
        <w:t xml:space="preserve"> </w:t>
      </w:r>
      <w:r>
        <w:t>engage</w:t>
      </w:r>
      <w:r>
        <w:rPr>
          <w:spacing w:val="-13"/>
        </w:rPr>
        <w:t xml:space="preserve"> </w:t>
      </w:r>
      <w:r>
        <w:t>in</w:t>
      </w:r>
      <w:r>
        <w:rPr>
          <w:spacing w:val="-12"/>
        </w:rPr>
        <w:t xml:space="preserve"> </w:t>
      </w:r>
      <w:r>
        <w:t>survival</w:t>
      </w:r>
      <w:r>
        <w:rPr>
          <w:spacing w:val="-13"/>
        </w:rPr>
        <w:t xml:space="preserve"> </w:t>
      </w:r>
      <w:r>
        <w:t>sex;</w:t>
      </w:r>
      <w:r>
        <w:rPr>
          <w:spacing w:val="-12"/>
        </w:rPr>
        <w:t xml:space="preserve"> </w:t>
      </w:r>
      <w:r>
        <w:t>and</w:t>
      </w:r>
      <w:r>
        <w:rPr>
          <w:spacing w:val="-12"/>
        </w:rPr>
        <w:t xml:space="preserve"> </w:t>
      </w:r>
      <w:r>
        <w:t>are</w:t>
      </w:r>
      <w:r>
        <w:rPr>
          <w:spacing w:val="-13"/>
        </w:rPr>
        <w:t xml:space="preserve"> </w:t>
      </w:r>
      <w:r>
        <w:t>three</w:t>
      </w:r>
      <w:r>
        <w:rPr>
          <w:spacing w:val="-12"/>
        </w:rPr>
        <w:t xml:space="preserve"> </w:t>
      </w:r>
      <w:r>
        <w:t>times</w:t>
      </w:r>
      <w:r>
        <w:rPr>
          <w:spacing w:val="-13"/>
        </w:rPr>
        <w:t xml:space="preserve"> </w:t>
      </w:r>
      <w:r>
        <w:t>more</w:t>
      </w:r>
      <w:r>
        <w:rPr>
          <w:spacing w:val="-12"/>
        </w:rPr>
        <w:t xml:space="preserve"> </w:t>
      </w:r>
      <w:r>
        <w:t>likely</w:t>
      </w:r>
      <w:r>
        <w:rPr>
          <w:spacing w:val="-13"/>
        </w:rPr>
        <w:t xml:space="preserve"> </w:t>
      </w:r>
      <w:r>
        <w:t>to</w:t>
      </w:r>
      <w:r>
        <w:rPr>
          <w:spacing w:val="-12"/>
        </w:rPr>
        <w:t xml:space="preserve"> </w:t>
      </w:r>
      <w:r>
        <w:t>be</w:t>
      </w:r>
      <w:r>
        <w:rPr>
          <w:spacing w:val="-12"/>
        </w:rPr>
        <w:t xml:space="preserve"> </w:t>
      </w:r>
      <w:r>
        <w:t>living</w:t>
      </w:r>
      <w:r>
        <w:rPr>
          <w:spacing w:val="-13"/>
        </w:rPr>
        <w:t xml:space="preserve"> </w:t>
      </w:r>
      <w:r>
        <w:t>with</w:t>
      </w:r>
      <w:r>
        <w:rPr>
          <w:spacing w:val="-12"/>
        </w:rPr>
        <w:t xml:space="preserve"> </w:t>
      </w:r>
      <w:r>
        <w:t>HIV.</w:t>
      </w:r>
      <w:r>
        <w:rPr>
          <w:spacing w:val="-13"/>
        </w:rPr>
        <w:t xml:space="preserve"> </w:t>
      </w:r>
      <w:r>
        <w:t>These,</w:t>
      </w:r>
      <w:r>
        <w:rPr>
          <w:spacing w:val="-12"/>
        </w:rPr>
        <w:t xml:space="preserve"> </w:t>
      </w:r>
      <w:r>
        <w:t>among other dire statistics, illustrate the necessity of efforts to reduce LGBTQ homelessness and improve the provision of services to homeless LGBTQ youth.</w:t>
      </w:r>
    </w:p>
    <w:p w:rsidR="00C76E6D" w:rsidRDefault="00C76E6D">
      <w:pPr>
        <w:pStyle w:val="BodyText"/>
        <w:spacing w:before="8"/>
        <w:rPr>
          <w:sz w:val="19"/>
        </w:rPr>
      </w:pPr>
    </w:p>
    <w:p w:rsidR="00C76E6D" w:rsidRDefault="00913831">
      <w:pPr>
        <w:pStyle w:val="BodyText"/>
        <w:spacing w:line="276" w:lineRule="auto"/>
        <w:ind w:left="340" w:right="336" w:hanging="1"/>
        <w:jc w:val="both"/>
      </w:pPr>
      <w:r>
        <w:t>The</w:t>
      </w:r>
      <w:r>
        <w:rPr>
          <w:spacing w:val="-5"/>
        </w:rPr>
        <w:t xml:space="preserve"> </w:t>
      </w:r>
      <w:r>
        <w:t>Commission’s</w:t>
      </w:r>
      <w:r>
        <w:rPr>
          <w:spacing w:val="-6"/>
        </w:rPr>
        <w:t xml:space="preserve"> </w:t>
      </w:r>
      <w:r>
        <w:t>recommendations</w:t>
      </w:r>
      <w:r>
        <w:rPr>
          <w:spacing w:val="-5"/>
        </w:rPr>
        <w:t xml:space="preserve"> </w:t>
      </w:r>
      <w:r>
        <w:t>echo</w:t>
      </w:r>
      <w:r>
        <w:rPr>
          <w:spacing w:val="-5"/>
        </w:rPr>
        <w:t xml:space="preserve"> </w:t>
      </w:r>
      <w:r>
        <w:t>some</w:t>
      </w:r>
      <w:r>
        <w:rPr>
          <w:spacing w:val="-5"/>
        </w:rPr>
        <w:t xml:space="preserve"> </w:t>
      </w:r>
      <w:r>
        <w:t>of</w:t>
      </w:r>
      <w:r>
        <w:rPr>
          <w:spacing w:val="-5"/>
        </w:rPr>
        <w:t xml:space="preserve"> </w:t>
      </w:r>
      <w:r>
        <w:t>the</w:t>
      </w:r>
      <w:r>
        <w:rPr>
          <w:spacing w:val="-6"/>
        </w:rPr>
        <w:t xml:space="preserve"> </w:t>
      </w:r>
      <w:r>
        <w:t>goals</w:t>
      </w:r>
      <w:r>
        <w:rPr>
          <w:spacing w:val="-6"/>
        </w:rPr>
        <w:t xml:space="preserve"> </w:t>
      </w:r>
      <w:r>
        <w:t>laid</w:t>
      </w:r>
      <w:r>
        <w:rPr>
          <w:spacing w:val="-5"/>
        </w:rPr>
        <w:t xml:space="preserve"> </w:t>
      </w:r>
      <w:r>
        <w:t>out</w:t>
      </w:r>
      <w:r>
        <w:rPr>
          <w:spacing w:val="-7"/>
        </w:rPr>
        <w:t xml:space="preserve"> </w:t>
      </w:r>
      <w:r>
        <w:t>in</w:t>
      </w:r>
      <w:r>
        <w:rPr>
          <w:spacing w:val="-5"/>
        </w:rPr>
        <w:t xml:space="preserve"> </w:t>
      </w:r>
      <w:r>
        <w:t>these</w:t>
      </w:r>
      <w:r>
        <w:rPr>
          <w:spacing w:val="-6"/>
        </w:rPr>
        <w:t xml:space="preserve"> </w:t>
      </w:r>
      <w:r>
        <w:t>plans</w:t>
      </w:r>
      <w:r>
        <w:rPr>
          <w:spacing w:val="-5"/>
        </w:rPr>
        <w:t xml:space="preserve"> </w:t>
      </w:r>
      <w:r>
        <w:t>and</w:t>
      </w:r>
      <w:r>
        <w:rPr>
          <w:spacing w:val="-7"/>
        </w:rPr>
        <w:t xml:space="preserve"> </w:t>
      </w:r>
      <w:r>
        <w:t>expands</w:t>
      </w:r>
      <w:r>
        <w:rPr>
          <w:spacing w:val="-4"/>
        </w:rPr>
        <w:t xml:space="preserve"> </w:t>
      </w:r>
      <w:r>
        <w:t>upon</w:t>
      </w:r>
      <w:r>
        <w:rPr>
          <w:spacing w:val="-5"/>
        </w:rPr>
        <w:t xml:space="preserve"> </w:t>
      </w:r>
      <w:r>
        <w:t xml:space="preserve">them, with a special section outlining best practices for providers to best support LGBTQ youth experiencing </w:t>
      </w:r>
      <w:r>
        <w:rPr>
          <w:spacing w:val="-2"/>
        </w:rPr>
        <w:t>homelessness.</w:t>
      </w:r>
    </w:p>
    <w:p w:rsidR="00C76E6D" w:rsidRDefault="00C76E6D">
      <w:pPr>
        <w:pStyle w:val="BodyText"/>
        <w:spacing w:before="1"/>
        <w:rPr>
          <w:sz w:val="23"/>
        </w:rPr>
      </w:pPr>
    </w:p>
    <w:p w:rsidR="00C76E6D" w:rsidRDefault="00913831">
      <w:pPr>
        <w:pStyle w:val="Heading5"/>
        <w:spacing w:before="1"/>
        <w:jc w:val="both"/>
      </w:pPr>
      <w:bookmarkStart w:id="14" w:name="Advancing_Justice_Research_and_Recommend"/>
      <w:bookmarkEnd w:id="14"/>
      <w:r>
        <w:t>Advancing</w:t>
      </w:r>
      <w:r>
        <w:rPr>
          <w:spacing w:val="-8"/>
        </w:rPr>
        <w:t xml:space="preserve"> </w:t>
      </w:r>
      <w:r>
        <w:t>Justice</w:t>
      </w:r>
      <w:r>
        <w:rPr>
          <w:spacing w:val="-7"/>
        </w:rPr>
        <w:t xml:space="preserve"> </w:t>
      </w:r>
      <w:r>
        <w:t>Research</w:t>
      </w:r>
      <w:r>
        <w:rPr>
          <w:spacing w:val="-8"/>
        </w:rPr>
        <w:t xml:space="preserve"> </w:t>
      </w:r>
      <w:r>
        <w:t>and</w:t>
      </w:r>
      <w:r>
        <w:rPr>
          <w:spacing w:val="-7"/>
        </w:rPr>
        <w:t xml:space="preserve"> </w:t>
      </w:r>
      <w:r>
        <w:rPr>
          <w:spacing w:val="-2"/>
        </w:rPr>
        <w:t>Recommendations</w:t>
      </w:r>
    </w:p>
    <w:p w:rsidR="00C76E6D" w:rsidRDefault="00913831">
      <w:pPr>
        <w:pStyle w:val="BodyText"/>
        <w:spacing w:before="6"/>
        <w:rPr>
          <w:b/>
          <w:sz w:val="9"/>
        </w:rPr>
      </w:pPr>
      <w:r>
        <w:pict>
          <v:shape id="docshape32" o:spid="_x0000_s1404" style="position:absolute;margin-left:65pt;margin-top:7pt;width:476.95pt;height:.1pt;z-index:-15719424;mso-wrap-distance-left:0;mso-wrap-distance-right:0;mso-position-horizontal-relative:page" coordorigin="1300,140" coordsize="9539,0" path="m1300,140r9539,e" filled="f" strokeweight="1.54pt">
            <v:path arrowok="t"/>
            <w10:wrap type="topAndBottom" anchorx="page"/>
          </v:shape>
        </w:pict>
      </w:r>
    </w:p>
    <w:p w:rsidR="00C76E6D" w:rsidRDefault="00C76E6D">
      <w:pPr>
        <w:pStyle w:val="BodyText"/>
        <w:spacing w:before="5"/>
        <w:rPr>
          <w:b/>
          <w:sz w:val="33"/>
        </w:rPr>
      </w:pPr>
    </w:p>
    <w:p w:rsidR="00C76E6D" w:rsidRDefault="00913831">
      <w:pPr>
        <w:pStyle w:val="BodyText"/>
        <w:ind w:left="338"/>
        <w:jc w:val="both"/>
      </w:pPr>
      <w:r>
        <w:rPr>
          <w:spacing w:val="-2"/>
        </w:rPr>
        <w:t>Recommendations</w:t>
      </w:r>
      <w:r>
        <w:rPr>
          <w:spacing w:val="-11"/>
        </w:rPr>
        <w:t xml:space="preserve"> </w:t>
      </w:r>
      <w:r>
        <w:rPr>
          <w:spacing w:val="-2"/>
        </w:rPr>
        <w:t>to</w:t>
      </w:r>
      <w:r>
        <w:rPr>
          <w:spacing w:val="-8"/>
        </w:rPr>
        <w:t xml:space="preserve"> </w:t>
      </w:r>
      <w:r>
        <w:rPr>
          <w:spacing w:val="-2"/>
        </w:rPr>
        <w:t>the</w:t>
      </w:r>
      <w:r>
        <w:rPr>
          <w:spacing w:val="-7"/>
        </w:rPr>
        <w:t xml:space="preserve"> </w:t>
      </w:r>
      <w:r>
        <w:rPr>
          <w:spacing w:val="-2"/>
        </w:rPr>
        <w:t>Governor</w:t>
      </w:r>
      <w:r>
        <w:rPr>
          <w:spacing w:val="-7"/>
        </w:rPr>
        <w:t xml:space="preserve"> </w:t>
      </w:r>
      <w:r>
        <w:rPr>
          <w:spacing w:val="-2"/>
        </w:rPr>
        <w:t>and</w:t>
      </w:r>
      <w:r>
        <w:rPr>
          <w:spacing w:val="-10"/>
        </w:rPr>
        <w:t xml:space="preserve"> </w:t>
      </w:r>
      <w:r>
        <w:rPr>
          <w:spacing w:val="-2"/>
        </w:rPr>
        <w:t>Legislature</w:t>
      </w:r>
      <w:r>
        <w:rPr>
          <w:spacing w:val="-7"/>
        </w:rPr>
        <w:t xml:space="preserve"> </w:t>
      </w:r>
      <w:r>
        <w:rPr>
          <w:spacing w:val="-2"/>
        </w:rPr>
        <w:t>on</w:t>
      </w:r>
      <w:r>
        <w:rPr>
          <w:spacing w:val="-8"/>
        </w:rPr>
        <w:t xml:space="preserve"> </w:t>
      </w:r>
      <w:r>
        <w:rPr>
          <w:spacing w:val="-2"/>
        </w:rPr>
        <w:t>advancing</w:t>
      </w:r>
      <w:r>
        <w:rPr>
          <w:spacing w:val="-7"/>
        </w:rPr>
        <w:t xml:space="preserve"> </w:t>
      </w:r>
      <w:r>
        <w:rPr>
          <w:spacing w:val="-2"/>
        </w:rPr>
        <w:t>justice:</w:t>
      </w:r>
    </w:p>
    <w:p w:rsidR="00C76E6D" w:rsidRDefault="00C76E6D">
      <w:pPr>
        <w:pStyle w:val="BodyText"/>
        <w:spacing w:before="11"/>
        <w:rPr>
          <w:sz w:val="21"/>
        </w:rPr>
      </w:pPr>
    </w:p>
    <w:p w:rsidR="00C76E6D" w:rsidRDefault="00913831">
      <w:pPr>
        <w:pStyle w:val="ListParagraph"/>
        <w:numPr>
          <w:ilvl w:val="0"/>
          <w:numId w:val="56"/>
        </w:numPr>
        <w:tabs>
          <w:tab w:val="left" w:pos="1059"/>
        </w:tabs>
        <w:ind w:right="611"/>
      </w:pPr>
      <w:r>
        <w:t>Increase</w:t>
      </w:r>
      <w:r>
        <w:rPr>
          <w:spacing w:val="37"/>
        </w:rPr>
        <w:t xml:space="preserve"> </w:t>
      </w:r>
      <w:r>
        <w:t>collection</w:t>
      </w:r>
      <w:r>
        <w:rPr>
          <w:spacing w:val="36"/>
        </w:rPr>
        <w:t xml:space="preserve"> </w:t>
      </w:r>
      <w:r>
        <w:t>of</w:t>
      </w:r>
      <w:r>
        <w:rPr>
          <w:spacing w:val="37"/>
        </w:rPr>
        <w:t xml:space="preserve"> </w:t>
      </w:r>
      <w:r>
        <w:t>data</w:t>
      </w:r>
      <w:r>
        <w:rPr>
          <w:spacing w:val="36"/>
        </w:rPr>
        <w:t xml:space="preserve"> </w:t>
      </w:r>
      <w:r>
        <w:t>on</w:t>
      </w:r>
      <w:r>
        <w:rPr>
          <w:spacing w:val="36"/>
        </w:rPr>
        <w:t xml:space="preserve"> </w:t>
      </w:r>
      <w:r>
        <w:t>sexual</w:t>
      </w:r>
      <w:r>
        <w:rPr>
          <w:spacing w:val="38"/>
        </w:rPr>
        <w:t xml:space="preserve"> </w:t>
      </w:r>
      <w:r>
        <w:t>orientation</w:t>
      </w:r>
      <w:r>
        <w:rPr>
          <w:spacing w:val="37"/>
        </w:rPr>
        <w:t xml:space="preserve"> </w:t>
      </w:r>
      <w:r>
        <w:t>and</w:t>
      </w:r>
      <w:r>
        <w:rPr>
          <w:spacing w:val="37"/>
        </w:rPr>
        <w:t xml:space="preserve"> </w:t>
      </w:r>
      <w:r>
        <w:t>gender</w:t>
      </w:r>
      <w:r>
        <w:rPr>
          <w:spacing w:val="37"/>
        </w:rPr>
        <w:t xml:space="preserve"> </w:t>
      </w:r>
      <w:r>
        <w:t>identity</w:t>
      </w:r>
      <w:r>
        <w:rPr>
          <w:spacing w:val="39"/>
        </w:rPr>
        <w:t xml:space="preserve"> </w:t>
      </w:r>
      <w:r>
        <w:t>to</w:t>
      </w:r>
      <w:r>
        <w:rPr>
          <w:spacing w:val="36"/>
        </w:rPr>
        <w:t xml:space="preserve"> </w:t>
      </w:r>
      <w:r>
        <w:t>identify</w:t>
      </w:r>
      <w:r>
        <w:rPr>
          <w:spacing w:val="38"/>
        </w:rPr>
        <w:t xml:space="preserve"> </w:t>
      </w:r>
      <w:r>
        <w:t>and</w:t>
      </w:r>
      <w:r>
        <w:rPr>
          <w:spacing w:val="37"/>
        </w:rPr>
        <w:t xml:space="preserve"> </w:t>
      </w:r>
      <w:r>
        <w:t>reduce disparities throughout the juvenile and criminal justice systems.</w:t>
      </w:r>
    </w:p>
    <w:p w:rsidR="00C76E6D" w:rsidRDefault="00C76E6D">
      <w:pPr>
        <w:sectPr w:rsidR="00C76E6D">
          <w:pgSz w:w="12240" w:h="15840"/>
          <w:pgMar w:top="1000" w:right="960" w:bottom="780" w:left="960" w:header="811" w:footer="584" w:gutter="0"/>
          <w:cols w:space="720"/>
        </w:sectPr>
      </w:pPr>
    </w:p>
    <w:p w:rsidR="00C76E6D" w:rsidRDefault="00C76E6D">
      <w:pPr>
        <w:pStyle w:val="BodyText"/>
        <w:spacing w:before="1"/>
        <w:rPr>
          <w:sz w:val="24"/>
        </w:rPr>
      </w:pPr>
    </w:p>
    <w:p w:rsidR="00C76E6D" w:rsidRDefault="00913831">
      <w:pPr>
        <w:pStyle w:val="ListParagraph"/>
        <w:numPr>
          <w:ilvl w:val="0"/>
          <w:numId w:val="56"/>
        </w:numPr>
        <w:tabs>
          <w:tab w:val="left" w:pos="1059"/>
        </w:tabs>
        <w:spacing w:before="56"/>
        <w:ind w:left="1058"/>
      </w:pPr>
      <w:r>
        <w:rPr>
          <w:w w:val="95"/>
        </w:rPr>
        <w:t>Limit</w:t>
      </w:r>
      <w:r>
        <w:rPr>
          <w:spacing w:val="10"/>
        </w:rPr>
        <w:t xml:space="preserve"> </w:t>
      </w:r>
      <w:r>
        <w:rPr>
          <w:w w:val="95"/>
        </w:rPr>
        <w:t>the</w:t>
      </w:r>
      <w:r>
        <w:rPr>
          <w:spacing w:val="11"/>
        </w:rPr>
        <w:t xml:space="preserve"> </w:t>
      </w:r>
      <w:r>
        <w:rPr>
          <w:w w:val="95"/>
        </w:rPr>
        <w:t>use</w:t>
      </w:r>
      <w:r>
        <w:rPr>
          <w:spacing w:val="10"/>
        </w:rPr>
        <w:t xml:space="preserve"> </w:t>
      </w:r>
      <w:r>
        <w:rPr>
          <w:w w:val="95"/>
        </w:rPr>
        <w:t>of</w:t>
      </w:r>
      <w:r>
        <w:rPr>
          <w:spacing w:val="8"/>
        </w:rPr>
        <w:t xml:space="preserve"> </w:t>
      </w:r>
      <w:r>
        <w:rPr>
          <w:w w:val="95"/>
        </w:rPr>
        <w:t>force</w:t>
      </w:r>
      <w:r>
        <w:rPr>
          <w:spacing w:val="10"/>
        </w:rPr>
        <w:t xml:space="preserve"> </w:t>
      </w:r>
      <w:r>
        <w:rPr>
          <w:w w:val="95"/>
        </w:rPr>
        <w:t>by</w:t>
      </w:r>
      <w:r>
        <w:rPr>
          <w:spacing w:val="9"/>
        </w:rPr>
        <w:t xml:space="preserve"> </w:t>
      </w:r>
      <w:r>
        <w:rPr>
          <w:w w:val="95"/>
        </w:rPr>
        <w:t>law</w:t>
      </w:r>
      <w:r>
        <w:rPr>
          <w:spacing w:val="10"/>
        </w:rPr>
        <w:t xml:space="preserve"> </w:t>
      </w:r>
      <w:r>
        <w:rPr>
          <w:w w:val="95"/>
        </w:rPr>
        <w:t>enforcement</w:t>
      </w:r>
      <w:r>
        <w:rPr>
          <w:spacing w:val="10"/>
        </w:rPr>
        <w:t xml:space="preserve"> </w:t>
      </w:r>
      <w:r>
        <w:rPr>
          <w:w w:val="95"/>
        </w:rPr>
        <w:t>and</w:t>
      </w:r>
      <w:r>
        <w:rPr>
          <w:spacing w:val="10"/>
        </w:rPr>
        <w:t xml:space="preserve"> </w:t>
      </w:r>
      <w:r>
        <w:rPr>
          <w:w w:val="95"/>
        </w:rPr>
        <w:t>correctional</w:t>
      </w:r>
      <w:r>
        <w:rPr>
          <w:spacing w:val="7"/>
        </w:rPr>
        <w:t xml:space="preserve"> </w:t>
      </w:r>
      <w:r>
        <w:rPr>
          <w:w w:val="95"/>
        </w:rPr>
        <w:t>officers</w:t>
      </w:r>
      <w:r>
        <w:rPr>
          <w:spacing w:val="9"/>
        </w:rPr>
        <w:t xml:space="preserve"> </w:t>
      </w:r>
      <w:r>
        <w:rPr>
          <w:w w:val="95"/>
        </w:rPr>
        <w:t>and</w:t>
      </w:r>
      <w:r>
        <w:rPr>
          <w:spacing w:val="9"/>
        </w:rPr>
        <w:t xml:space="preserve"> </w:t>
      </w:r>
      <w:r>
        <w:rPr>
          <w:w w:val="95"/>
        </w:rPr>
        <w:t>remove</w:t>
      </w:r>
      <w:r>
        <w:rPr>
          <w:spacing w:val="11"/>
        </w:rPr>
        <w:t xml:space="preserve"> </w:t>
      </w:r>
      <w:r>
        <w:rPr>
          <w:w w:val="95"/>
        </w:rPr>
        <w:t>police</w:t>
      </w:r>
      <w:r>
        <w:rPr>
          <w:spacing w:val="9"/>
        </w:rPr>
        <w:t xml:space="preserve"> </w:t>
      </w:r>
      <w:r>
        <w:rPr>
          <w:w w:val="95"/>
        </w:rPr>
        <w:t>from</w:t>
      </w:r>
      <w:r>
        <w:rPr>
          <w:spacing w:val="8"/>
        </w:rPr>
        <w:t xml:space="preserve"> </w:t>
      </w:r>
      <w:r>
        <w:rPr>
          <w:spacing w:val="-2"/>
          <w:w w:val="95"/>
        </w:rPr>
        <w:t>schools.</w:t>
      </w:r>
    </w:p>
    <w:p w:rsidR="00C76E6D" w:rsidRDefault="00C76E6D">
      <w:pPr>
        <w:pStyle w:val="BodyText"/>
      </w:pPr>
    </w:p>
    <w:p w:rsidR="00C76E6D" w:rsidRDefault="00913831">
      <w:pPr>
        <w:pStyle w:val="ListParagraph"/>
        <w:numPr>
          <w:ilvl w:val="0"/>
          <w:numId w:val="56"/>
        </w:numPr>
        <w:tabs>
          <w:tab w:val="left" w:pos="1059"/>
        </w:tabs>
        <w:ind w:left="1058" w:right="407" w:hanging="359"/>
      </w:pPr>
      <w:r>
        <w:rPr>
          <w:spacing w:val="-2"/>
        </w:rPr>
        <w:t>Decriminalize consensual</w:t>
      </w:r>
      <w:r>
        <w:rPr>
          <w:spacing w:val="-4"/>
        </w:rPr>
        <w:t xml:space="preserve"> </w:t>
      </w:r>
      <w:r>
        <w:rPr>
          <w:spacing w:val="-2"/>
        </w:rPr>
        <w:t>sexual</w:t>
      </w:r>
      <w:r>
        <w:rPr>
          <w:spacing w:val="-4"/>
        </w:rPr>
        <w:t xml:space="preserve"> </w:t>
      </w:r>
      <w:r>
        <w:rPr>
          <w:spacing w:val="-2"/>
        </w:rPr>
        <w:t>relations</w:t>
      </w:r>
      <w:r>
        <w:rPr>
          <w:spacing w:val="-6"/>
        </w:rPr>
        <w:t xml:space="preserve"> </w:t>
      </w:r>
      <w:r>
        <w:rPr>
          <w:spacing w:val="-2"/>
        </w:rPr>
        <w:t>among</w:t>
      </w:r>
      <w:r>
        <w:rPr>
          <w:spacing w:val="-4"/>
        </w:rPr>
        <w:t xml:space="preserve"> </w:t>
      </w:r>
      <w:r>
        <w:rPr>
          <w:spacing w:val="-2"/>
        </w:rPr>
        <w:t>parties</w:t>
      </w:r>
      <w:r>
        <w:rPr>
          <w:spacing w:val="-4"/>
        </w:rPr>
        <w:t xml:space="preserve"> </w:t>
      </w:r>
      <w:r>
        <w:rPr>
          <w:spacing w:val="-2"/>
        </w:rPr>
        <w:t>close</w:t>
      </w:r>
      <w:r>
        <w:rPr>
          <w:spacing w:val="-4"/>
        </w:rPr>
        <w:t xml:space="preserve"> </w:t>
      </w:r>
      <w:r>
        <w:rPr>
          <w:spacing w:val="-2"/>
        </w:rPr>
        <w:t>in age</w:t>
      </w:r>
      <w:r>
        <w:rPr>
          <w:spacing w:val="-4"/>
        </w:rPr>
        <w:t xml:space="preserve"> </w:t>
      </w:r>
      <w:r>
        <w:rPr>
          <w:spacing w:val="-2"/>
        </w:rPr>
        <w:t>and</w:t>
      </w:r>
      <w:r>
        <w:rPr>
          <w:spacing w:val="-4"/>
        </w:rPr>
        <w:t xml:space="preserve"> </w:t>
      </w:r>
      <w:r>
        <w:rPr>
          <w:spacing w:val="-2"/>
        </w:rPr>
        <w:t>issue guidance</w:t>
      </w:r>
      <w:r>
        <w:rPr>
          <w:spacing w:val="-3"/>
        </w:rPr>
        <w:t xml:space="preserve"> </w:t>
      </w:r>
      <w:r>
        <w:rPr>
          <w:spacing w:val="-2"/>
        </w:rPr>
        <w:t>on</w:t>
      </w:r>
      <w:r>
        <w:rPr>
          <w:spacing w:val="-6"/>
        </w:rPr>
        <w:t xml:space="preserve"> </w:t>
      </w:r>
      <w:r>
        <w:rPr>
          <w:spacing w:val="-2"/>
        </w:rPr>
        <w:t xml:space="preserve">reporting </w:t>
      </w:r>
      <w:r>
        <w:t>consensual sexual relations between minors.</w:t>
      </w:r>
    </w:p>
    <w:p w:rsidR="00C76E6D" w:rsidRDefault="00C76E6D">
      <w:pPr>
        <w:pStyle w:val="BodyText"/>
        <w:spacing w:before="1"/>
      </w:pPr>
    </w:p>
    <w:p w:rsidR="00C76E6D" w:rsidRDefault="00913831">
      <w:pPr>
        <w:pStyle w:val="ListParagraph"/>
        <w:numPr>
          <w:ilvl w:val="0"/>
          <w:numId w:val="56"/>
        </w:numPr>
        <w:tabs>
          <w:tab w:val="left" w:pos="1059"/>
        </w:tabs>
        <w:ind w:left="1058" w:right="408" w:hanging="359"/>
      </w:pPr>
      <w:r>
        <w:t>Adapt</w:t>
      </w:r>
      <w:r>
        <w:rPr>
          <w:spacing w:val="-11"/>
        </w:rPr>
        <w:t xml:space="preserve"> </w:t>
      </w:r>
      <w:r>
        <w:t>the</w:t>
      </w:r>
      <w:r>
        <w:rPr>
          <w:spacing w:val="-10"/>
        </w:rPr>
        <w:t xml:space="preserve"> </w:t>
      </w:r>
      <w:r>
        <w:t>Sexual</w:t>
      </w:r>
      <w:r>
        <w:rPr>
          <w:spacing w:val="-11"/>
        </w:rPr>
        <w:t xml:space="preserve"> </w:t>
      </w:r>
      <w:r>
        <w:t>Orientation</w:t>
      </w:r>
      <w:r>
        <w:rPr>
          <w:spacing w:val="-13"/>
        </w:rPr>
        <w:t xml:space="preserve"> </w:t>
      </w:r>
      <w:r>
        <w:t>and</w:t>
      </w:r>
      <w:r>
        <w:rPr>
          <w:spacing w:val="-9"/>
        </w:rPr>
        <w:t xml:space="preserve"> </w:t>
      </w:r>
      <w:r>
        <w:t>Gender</w:t>
      </w:r>
      <w:r>
        <w:rPr>
          <w:spacing w:val="-12"/>
        </w:rPr>
        <w:t xml:space="preserve"> </w:t>
      </w:r>
      <w:r>
        <w:t>Identity</w:t>
      </w:r>
      <w:r>
        <w:rPr>
          <w:spacing w:val="-11"/>
        </w:rPr>
        <w:t xml:space="preserve"> </w:t>
      </w:r>
      <w:r>
        <w:t>or</w:t>
      </w:r>
      <w:r>
        <w:rPr>
          <w:spacing w:val="-9"/>
        </w:rPr>
        <w:t xml:space="preserve"> </w:t>
      </w:r>
      <w:r>
        <w:t>Expression</w:t>
      </w:r>
      <w:r>
        <w:rPr>
          <w:spacing w:val="-10"/>
        </w:rPr>
        <w:t xml:space="preserve"> </w:t>
      </w:r>
      <w:r>
        <w:t>Guiding</w:t>
      </w:r>
      <w:r>
        <w:rPr>
          <w:spacing w:val="-10"/>
        </w:rPr>
        <w:t xml:space="preserve"> </w:t>
      </w:r>
      <w:r>
        <w:t>Principles</w:t>
      </w:r>
      <w:r>
        <w:rPr>
          <w:spacing w:val="-11"/>
        </w:rPr>
        <w:t xml:space="preserve"> </w:t>
      </w:r>
      <w:r>
        <w:t>developed</w:t>
      </w:r>
      <w:r>
        <w:rPr>
          <w:spacing w:val="-13"/>
        </w:rPr>
        <w:t xml:space="preserve"> </w:t>
      </w:r>
      <w:r>
        <w:t>by</w:t>
      </w:r>
      <w:r>
        <w:rPr>
          <w:spacing w:val="-8"/>
        </w:rPr>
        <w:t xml:space="preserve"> </w:t>
      </w:r>
      <w:r>
        <w:t>the Juvenile Detention Alternative Initiative (JDAI)’s Special Populations Work Group.</w:t>
      </w:r>
    </w:p>
    <w:p w:rsidR="00C76E6D" w:rsidRDefault="00C76E6D">
      <w:pPr>
        <w:pStyle w:val="BodyText"/>
        <w:spacing w:before="10"/>
        <w:rPr>
          <w:sz w:val="21"/>
        </w:rPr>
      </w:pPr>
    </w:p>
    <w:p w:rsidR="00C76E6D" w:rsidRDefault="00913831">
      <w:pPr>
        <w:pStyle w:val="ListParagraph"/>
        <w:numPr>
          <w:ilvl w:val="0"/>
          <w:numId w:val="56"/>
        </w:numPr>
        <w:tabs>
          <w:tab w:val="left" w:pos="1059"/>
        </w:tabs>
        <w:spacing w:before="1"/>
        <w:ind w:left="1058"/>
      </w:pPr>
      <w:r>
        <w:rPr>
          <w:spacing w:val="-4"/>
        </w:rPr>
        <w:t>Decriminalize</w:t>
      </w:r>
      <w:r>
        <w:t xml:space="preserve"> </w:t>
      </w:r>
      <w:r>
        <w:rPr>
          <w:spacing w:val="-4"/>
        </w:rPr>
        <w:t>sex</w:t>
      </w:r>
      <w:r>
        <w:rPr>
          <w:spacing w:val="4"/>
        </w:rPr>
        <w:t xml:space="preserve"> </w:t>
      </w:r>
      <w:r>
        <w:rPr>
          <w:spacing w:val="-4"/>
        </w:rPr>
        <w:t>work.</w:t>
      </w:r>
    </w:p>
    <w:p w:rsidR="00C76E6D" w:rsidRDefault="00C76E6D">
      <w:pPr>
        <w:pStyle w:val="BodyText"/>
        <w:spacing w:before="1"/>
      </w:pPr>
    </w:p>
    <w:p w:rsidR="00C76E6D" w:rsidRDefault="00913831">
      <w:pPr>
        <w:pStyle w:val="ListParagraph"/>
        <w:numPr>
          <w:ilvl w:val="0"/>
          <w:numId w:val="56"/>
        </w:numPr>
        <w:tabs>
          <w:tab w:val="left" w:pos="1059"/>
        </w:tabs>
        <w:ind w:left="1058"/>
      </w:pPr>
      <w:r>
        <w:rPr>
          <w:w w:val="95"/>
        </w:rPr>
        <w:t>Improve</w:t>
      </w:r>
      <w:r>
        <w:rPr>
          <w:spacing w:val="6"/>
        </w:rPr>
        <w:t xml:space="preserve"> </w:t>
      </w:r>
      <w:r>
        <w:rPr>
          <w:w w:val="95"/>
        </w:rPr>
        <w:t>prison</w:t>
      </w:r>
      <w:r>
        <w:rPr>
          <w:spacing w:val="8"/>
        </w:rPr>
        <w:t xml:space="preserve"> </w:t>
      </w:r>
      <w:r>
        <w:rPr>
          <w:w w:val="95"/>
        </w:rPr>
        <w:t>conditions</w:t>
      </w:r>
      <w:r>
        <w:rPr>
          <w:spacing w:val="8"/>
        </w:rPr>
        <w:t xml:space="preserve"> </w:t>
      </w:r>
      <w:r>
        <w:rPr>
          <w:w w:val="95"/>
        </w:rPr>
        <w:t>for</w:t>
      </w:r>
      <w:r>
        <w:rPr>
          <w:spacing w:val="8"/>
        </w:rPr>
        <w:t xml:space="preserve"> </w:t>
      </w:r>
      <w:r>
        <w:rPr>
          <w:w w:val="95"/>
        </w:rPr>
        <w:t>incarcerated</w:t>
      </w:r>
      <w:r>
        <w:rPr>
          <w:spacing w:val="8"/>
        </w:rPr>
        <w:t xml:space="preserve"> </w:t>
      </w:r>
      <w:r>
        <w:rPr>
          <w:w w:val="95"/>
        </w:rPr>
        <w:t>LGBTQ</w:t>
      </w:r>
      <w:r>
        <w:rPr>
          <w:spacing w:val="8"/>
        </w:rPr>
        <w:t xml:space="preserve"> </w:t>
      </w:r>
      <w:r>
        <w:rPr>
          <w:w w:val="95"/>
        </w:rPr>
        <w:t>and</w:t>
      </w:r>
      <w:r>
        <w:rPr>
          <w:spacing w:val="6"/>
        </w:rPr>
        <w:t xml:space="preserve"> </w:t>
      </w:r>
      <w:r>
        <w:rPr>
          <w:w w:val="95"/>
        </w:rPr>
        <w:t>intersex</w:t>
      </w:r>
      <w:r>
        <w:rPr>
          <w:spacing w:val="16"/>
        </w:rPr>
        <w:t xml:space="preserve"> </w:t>
      </w:r>
      <w:r>
        <w:rPr>
          <w:spacing w:val="-2"/>
          <w:w w:val="95"/>
        </w:rPr>
        <w:t>individuals.</w:t>
      </w:r>
    </w:p>
    <w:p w:rsidR="00C76E6D" w:rsidRDefault="00C76E6D">
      <w:pPr>
        <w:pStyle w:val="BodyText"/>
        <w:spacing w:before="10"/>
        <w:rPr>
          <w:sz w:val="21"/>
        </w:rPr>
      </w:pPr>
    </w:p>
    <w:p w:rsidR="00C76E6D" w:rsidRDefault="00913831">
      <w:pPr>
        <w:pStyle w:val="ListParagraph"/>
        <w:numPr>
          <w:ilvl w:val="0"/>
          <w:numId w:val="56"/>
        </w:numPr>
        <w:tabs>
          <w:tab w:val="left" w:pos="1059"/>
        </w:tabs>
        <w:spacing w:before="1"/>
        <w:ind w:left="1058"/>
      </w:pPr>
      <w:r>
        <w:t>Protect</w:t>
      </w:r>
      <w:r>
        <w:rPr>
          <w:spacing w:val="8"/>
        </w:rPr>
        <w:t xml:space="preserve"> </w:t>
      </w:r>
      <w:r>
        <w:t>undocumented</w:t>
      </w:r>
      <w:r>
        <w:rPr>
          <w:spacing w:val="16"/>
        </w:rPr>
        <w:t xml:space="preserve"> </w:t>
      </w:r>
      <w:r>
        <w:t>LGBTQ</w:t>
      </w:r>
      <w:r>
        <w:rPr>
          <w:spacing w:val="11"/>
        </w:rPr>
        <w:t xml:space="preserve"> </w:t>
      </w:r>
      <w:r>
        <w:rPr>
          <w:spacing w:val="-2"/>
        </w:rPr>
        <w:t>youth.</w:t>
      </w:r>
    </w:p>
    <w:p w:rsidR="00C76E6D" w:rsidRDefault="00C76E6D">
      <w:pPr>
        <w:pStyle w:val="BodyText"/>
        <w:spacing w:before="1"/>
      </w:pPr>
    </w:p>
    <w:p w:rsidR="00C76E6D" w:rsidRDefault="00913831">
      <w:pPr>
        <w:pStyle w:val="ListParagraph"/>
        <w:numPr>
          <w:ilvl w:val="0"/>
          <w:numId w:val="56"/>
        </w:numPr>
        <w:tabs>
          <w:tab w:val="left" w:pos="1059"/>
        </w:tabs>
        <w:ind w:left="1058"/>
      </w:pPr>
      <w:r>
        <w:rPr>
          <w:w w:val="95"/>
        </w:rPr>
        <w:t>Raise</w:t>
      </w:r>
      <w:r>
        <w:rPr>
          <w:spacing w:val="2"/>
        </w:rPr>
        <w:t xml:space="preserve"> </w:t>
      </w:r>
      <w:r>
        <w:rPr>
          <w:w w:val="95"/>
        </w:rPr>
        <w:t>the</w:t>
      </w:r>
      <w:r>
        <w:rPr>
          <w:spacing w:val="8"/>
        </w:rPr>
        <w:t xml:space="preserve"> </w:t>
      </w:r>
      <w:r>
        <w:rPr>
          <w:w w:val="95"/>
        </w:rPr>
        <w:t>age</w:t>
      </w:r>
      <w:r>
        <w:rPr>
          <w:spacing w:val="11"/>
        </w:rPr>
        <w:t xml:space="preserve"> </w:t>
      </w:r>
      <w:r>
        <w:rPr>
          <w:w w:val="95"/>
        </w:rPr>
        <w:t>of</w:t>
      </w:r>
      <w:r>
        <w:rPr>
          <w:spacing w:val="4"/>
        </w:rPr>
        <w:t xml:space="preserve"> </w:t>
      </w:r>
      <w:r>
        <w:rPr>
          <w:w w:val="95"/>
        </w:rPr>
        <w:t>the</w:t>
      </w:r>
      <w:r>
        <w:rPr>
          <w:spacing w:val="10"/>
        </w:rPr>
        <w:t xml:space="preserve"> </w:t>
      </w:r>
      <w:r>
        <w:rPr>
          <w:w w:val="95"/>
        </w:rPr>
        <w:t>juvenile</w:t>
      </w:r>
      <w:r>
        <w:rPr>
          <w:spacing w:val="6"/>
        </w:rPr>
        <w:t xml:space="preserve"> </w:t>
      </w:r>
      <w:r>
        <w:rPr>
          <w:w w:val="95"/>
        </w:rPr>
        <w:t>justice</w:t>
      </w:r>
      <w:r>
        <w:rPr>
          <w:spacing w:val="7"/>
        </w:rPr>
        <w:t xml:space="preserve"> </w:t>
      </w:r>
      <w:r>
        <w:rPr>
          <w:w w:val="95"/>
        </w:rPr>
        <w:t>system</w:t>
      </w:r>
      <w:r>
        <w:rPr>
          <w:spacing w:val="6"/>
        </w:rPr>
        <w:t xml:space="preserve"> </w:t>
      </w:r>
      <w:r>
        <w:rPr>
          <w:w w:val="95"/>
        </w:rPr>
        <w:t>to</w:t>
      </w:r>
      <w:r>
        <w:rPr>
          <w:spacing w:val="8"/>
        </w:rPr>
        <w:t xml:space="preserve"> </w:t>
      </w:r>
      <w:r>
        <w:rPr>
          <w:w w:val="95"/>
        </w:rPr>
        <w:t>include</w:t>
      </w:r>
      <w:r>
        <w:rPr>
          <w:spacing w:val="10"/>
        </w:rPr>
        <w:t xml:space="preserve"> </w:t>
      </w:r>
      <w:r>
        <w:rPr>
          <w:w w:val="95"/>
        </w:rPr>
        <w:t>18-to</w:t>
      </w:r>
      <w:r>
        <w:rPr>
          <w:spacing w:val="8"/>
        </w:rPr>
        <w:t xml:space="preserve"> </w:t>
      </w:r>
      <w:r>
        <w:rPr>
          <w:w w:val="95"/>
        </w:rPr>
        <w:t>20-year-</w:t>
      </w:r>
      <w:r>
        <w:rPr>
          <w:spacing w:val="-2"/>
          <w:w w:val="95"/>
        </w:rPr>
        <w:t>olds.</w:t>
      </w:r>
    </w:p>
    <w:p w:rsidR="00C76E6D" w:rsidRDefault="00C76E6D">
      <w:pPr>
        <w:pStyle w:val="BodyText"/>
        <w:spacing w:before="12"/>
        <w:rPr>
          <w:sz w:val="21"/>
        </w:rPr>
      </w:pPr>
    </w:p>
    <w:p w:rsidR="00C76E6D" w:rsidRDefault="00913831">
      <w:pPr>
        <w:pStyle w:val="ListParagraph"/>
        <w:numPr>
          <w:ilvl w:val="0"/>
          <w:numId w:val="56"/>
        </w:numPr>
        <w:tabs>
          <w:tab w:val="left" w:pos="1059"/>
        </w:tabs>
        <w:ind w:left="1058"/>
      </w:pPr>
      <w:r>
        <w:rPr>
          <w:w w:val="95"/>
        </w:rPr>
        <w:t>Support</w:t>
      </w:r>
      <w:r>
        <w:rPr>
          <w:spacing w:val="4"/>
        </w:rPr>
        <w:t xml:space="preserve"> </w:t>
      </w:r>
      <w:r>
        <w:rPr>
          <w:w w:val="95"/>
        </w:rPr>
        <w:t>legislative</w:t>
      </w:r>
      <w:r>
        <w:rPr>
          <w:spacing w:val="5"/>
        </w:rPr>
        <w:t xml:space="preserve"> </w:t>
      </w:r>
      <w:r>
        <w:rPr>
          <w:w w:val="95"/>
        </w:rPr>
        <w:t>initiatives</w:t>
      </w:r>
      <w:r>
        <w:rPr>
          <w:spacing w:val="13"/>
        </w:rPr>
        <w:t xml:space="preserve"> </w:t>
      </w:r>
      <w:r>
        <w:rPr>
          <w:w w:val="95"/>
        </w:rPr>
        <w:t>to</w:t>
      </w:r>
      <w:r>
        <w:rPr>
          <w:spacing w:val="7"/>
        </w:rPr>
        <w:t xml:space="preserve"> </w:t>
      </w:r>
      <w:r>
        <w:rPr>
          <w:w w:val="95"/>
        </w:rPr>
        <w:t>improve</w:t>
      </w:r>
      <w:r>
        <w:rPr>
          <w:spacing w:val="4"/>
        </w:rPr>
        <w:t xml:space="preserve"> </w:t>
      </w:r>
      <w:r>
        <w:rPr>
          <w:w w:val="95"/>
        </w:rPr>
        <w:t>the</w:t>
      </w:r>
      <w:r>
        <w:rPr>
          <w:spacing w:val="6"/>
        </w:rPr>
        <w:t xml:space="preserve"> </w:t>
      </w:r>
      <w:r>
        <w:rPr>
          <w:w w:val="95"/>
        </w:rPr>
        <w:t>juvenile</w:t>
      </w:r>
      <w:r>
        <w:rPr>
          <w:spacing w:val="5"/>
        </w:rPr>
        <w:t xml:space="preserve"> </w:t>
      </w:r>
      <w:r>
        <w:rPr>
          <w:w w:val="95"/>
        </w:rPr>
        <w:t>justice</w:t>
      </w:r>
      <w:r>
        <w:rPr>
          <w:spacing w:val="9"/>
        </w:rPr>
        <w:t xml:space="preserve"> </w:t>
      </w:r>
      <w:r>
        <w:rPr>
          <w:spacing w:val="-2"/>
          <w:w w:val="95"/>
        </w:rPr>
        <w:t>system.</w:t>
      </w:r>
    </w:p>
    <w:p w:rsidR="00C76E6D" w:rsidRDefault="00C76E6D">
      <w:pPr>
        <w:pStyle w:val="BodyText"/>
        <w:spacing w:before="10"/>
        <w:rPr>
          <w:sz w:val="25"/>
        </w:rPr>
      </w:pPr>
    </w:p>
    <w:p w:rsidR="00C76E6D" w:rsidRDefault="00913831">
      <w:pPr>
        <w:pStyle w:val="BodyText"/>
        <w:spacing w:line="276" w:lineRule="auto"/>
        <w:ind w:left="338" w:right="334" w:firstLine="2"/>
        <w:jc w:val="both"/>
      </w:pPr>
      <w:r>
        <w:t>LGBTQ</w:t>
      </w:r>
      <w:r>
        <w:rPr>
          <w:spacing w:val="-10"/>
        </w:rPr>
        <w:t xml:space="preserve"> </w:t>
      </w:r>
      <w:r>
        <w:t>youth</w:t>
      </w:r>
      <w:r>
        <w:rPr>
          <w:spacing w:val="-9"/>
        </w:rPr>
        <w:t xml:space="preserve"> </w:t>
      </w:r>
      <w:r>
        <w:t>are</w:t>
      </w:r>
      <w:r>
        <w:rPr>
          <w:spacing w:val="-10"/>
        </w:rPr>
        <w:t xml:space="preserve"> </w:t>
      </w:r>
      <w:r>
        <w:t>twice</w:t>
      </w:r>
      <w:r>
        <w:rPr>
          <w:spacing w:val="-10"/>
        </w:rPr>
        <w:t xml:space="preserve"> </w:t>
      </w:r>
      <w:r>
        <w:t>as</w:t>
      </w:r>
      <w:r>
        <w:rPr>
          <w:spacing w:val="-10"/>
        </w:rPr>
        <w:t xml:space="preserve"> </w:t>
      </w:r>
      <w:r>
        <w:t>likely</w:t>
      </w:r>
      <w:r>
        <w:rPr>
          <w:spacing w:val="-10"/>
        </w:rPr>
        <w:t xml:space="preserve"> </w:t>
      </w:r>
      <w:r>
        <w:t>to</w:t>
      </w:r>
      <w:r>
        <w:rPr>
          <w:spacing w:val="-10"/>
        </w:rPr>
        <w:t xml:space="preserve"> </w:t>
      </w:r>
      <w:r>
        <w:t>enter</w:t>
      </w:r>
      <w:r>
        <w:rPr>
          <w:spacing w:val="-9"/>
        </w:rPr>
        <w:t xml:space="preserve"> </w:t>
      </w:r>
      <w:r>
        <w:t>the</w:t>
      </w:r>
      <w:r>
        <w:rPr>
          <w:spacing w:val="-10"/>
        </w:rPr>
        <w:t xml:space="preserve"> </w:t>
      </w:r>
      <w:r>
        <w:t>juvenile</w:t>
      </w:r>
      <w:r>
        <w:rPr>
          <w:spacing w:val="-10"/>
        </w:rPr>
        <w:t xml:space="preserve"> </w:t>
      </w:r>
      <w:r>
        <w:t>system</w:t>
      </w:r>
      <w:r>
        <w:rPr>
          <w:spacing w:val="-10"/>
        </w:rPr>
        <w:t xml:space="preserve"> </w:t>
      </w:r>
      <w:r>
        <w:t>as</w:t>
      </w:r>
      <w:r>
        <w:rPr>
          <w:spacing w:val="-10"/>
        </w:rPr>
        <w:t xml:space="preserve"> </w:t>
      </w:r>
      <w:r>
        <w:t>their</w:t>
      </w:r>
      <w:r>
        <w:rPr>
          <w:spacing w:val="-10"/>
        </w:rPr>
        <w:t xml:space="preserve"> </w:t>
      </w:r>
      <w:r>
        <w:t>non-LGBTQ</w:t>
      </w:r>
      <w:r>
        <w:rPr>
          <w:spacing w:val="-9"/>
        </w:rPr>
        <w:t xml:space="preserve"> </w:t>
      </w:r>
      <w:r>
        <w:t>peers.</w:t>
      </w:r>
      <w:r>
        <w:rPr>
          <w:vertAlign w:val="superscript"/>
        </w:rPr>
        <w:t>1</w:t>
      </w:r>
      <w:r>
        <w:rPr>
          <w:spacing w:val="-12"/>
        </w:rPr>
        <w:t xml:space="preserve"> </w:t>
      </w:r>
      <w:r>
        <w:t>LGBTQ</w:t>
      </w:r>
      <w:r>
        <w:rPr>
          <w:spacing w:val="-10"/>
        </w:rPr>
        <w:t xml:space="preserve"> </w:t>
      </w:r>
      <w:r>
        <w:t>youth</w:t>
      </w:r>
      <w:r>
        <w:rPr>
          <w:spacing w:val="-10"/>
        </w:rPr>
        <w:t xml:space="preserve"> </w:t>
      </w:r>
      <w:r>
        <w:t>of</w:t>
      </w:r>
      <w:r>
        <w:rPr>
          <w:spacing w:val="-10"/>
        </w:rPr>
        <w:t xml:space="preserve"> </w:t>
      </w:r>
      <w:r>
        <w:t>color face</w:t>
      </w:r>
      <w:r>
        <w:rPr>
          <w:spacing w:val="-9"/>
        </w:rPr>
        <w:t xml:space="preserve"> </w:t>
      </w:r>
      <w:r>
        <w:t>even</w:t>
      </w:r>
      <w:r>
        <w:rPr>
          <w:spacing w:val="-8"/>
        </w:rPr>
        <w:t xml:space="preserve"> </w:t>
      </w:r>
      <w:r>
        <w:t>starker</w:t>
      </w:r>
      <w:r>
        <w:rPr>
          <w:spacing w:val="-9"/>
        </w:rPr>
        <w:t xml:space="preserve"> </w:t>
      </w:r>
      <w:r>
        <w:t>disparities</w:t>
      </w:r>
      <w:r>
        <w:rPr>
          <w:spacing w:val="-8"/>
        </w:rPr>
        <w:t xml:space="preserve"> </w:t>
      </w:r>
      <w:r>
        <w:t>and</w:t>
      </w:r>
      <w:r>
        <w:rPr>
          <w:spacing w:val="-7"/>
        </w:rPr>
        <w:t xml:space="preserve"> </w:t>
      </w:r>
      <w:r>
        <w:t>comprise</w:t>
      </w:r>
      <w:r>
        <w:rPr>
          <w:spacing w:val="-10"/>
        </w:rPr>
        <w:t xml:space="preserve"> </w:t>
      </w:r>
      <w:r>
        <w:t>a</w:t>
      </w:r>
      <w:r>
        <w:rPr>
          <w:spacing w:val="-9"/>
        </w:rPr>
        <w:t xml:space="preserve"> </w:t>
      </w:r>
      <w:r>
        <w:t>staggering</w:t>
      </w:r>
      <w:r>
        <w:rPr>
          <w:spacing w:val="-9"/>
        </w:rPr>
        <w:t xml:space="preserve"> </w:t>
      </w:r>
      <w:r>
        <w:t>estimated</w:t>
      </w:r>
      <w:r>
        <w:rPr>
          <w:spacing w:val="-7"/>
        </w:rPr>
        <w:t xml:space="preserve"> </w:t>
      </w:r>
      <w:r>
        <w:t>85%</w:t>
      </w:r>
      <w:r>
        <w:rPr>
          <w:spacing w:val="-10"/>
        </w:rPr>
        <w:t xml:space="preserve"> </w:t>
      </w:r>
      <w:r>
        <w:t>of</w:t>
      </w:r>
      <w:r>
        <w:rPr>
          <w:spacing w:val="-9"/>
        </w:rPr>
        <w:t xml:space="preserve"> </w:t>
      </w:r>
      <w:r>
        <w:t>LGBTQ</w:t>
      </w:r>
      <w:r>
        <w:rPr>
          <w:spacing w:val="-9"/>
        </w:rPr>
        <w:t xml:space="preserve"> </w:t>
      </w:r>
      <w:r>
        <w:t>youth</w:t>
      </w:r>
      <w:r>
        <w:rPr>
          <w:spacing w:val="-8"/>
        </w:rPr>
        <w:t xml:space="preserve"> </w:t>
      </w:r>
      <w:r>
        <w:t>in</w:t>
      </w:r>
      <w:r>
        <w:rPr>
          <w:spacing w:val="-8"/>
        </w:rPr>
        <w:t xml:space="preserve"> </w:t>
      </w:r>
      <w:r>
        <w:t>the</w:t>
      </w:r>
      <w:r>
        <w:rPr>
          <w:spacing w:val="-9"/>
        </w:rPr>
        <w:t xml:space="preserve"> </w:t>
      </w:r>
      <w:r>
        <w:t>justice</w:t>
      </w:r>
      <w:r>
        <w:rPr>
          <w:spacing w:val="-9"/>
        </w:rPr>
        <w:t xml:space="preserve"> </w:t>
      </w:r>
      <w:r>
        <w:t>system.</w:t>
      </w:r>
      <w:r>
        <w:rPr>
          <w:vertAlign w:val="superscript"/>
        </w:rPr>
        <w:t>2</w:t>
      </w:r>
      <w:r>
        <w:t xml:space="preserve"> Transgender individuals are nearly twice as likely to have been incarcerated as other LGBQ p</w:t>
      </w:r>
      <w:r>
        <w:t>eople, with transgender</w:t>
      </w:r>
      <w:r>
        <w:rPr>
          <w:spacing w:val="-10"/>
        </w:rPr>
        <w:t xml:space="preserve"> </w:t>
      </w:r>
      <w:r>
        <w:t>people</w:t>
      </w:r>
      <w:r>
        <w:rPr>
          <w:spacing w:val="-12"/>
        </w:rPr>
        <w:t xml:space="preserve"> </w:t>
      </w:r>
      <w:r>
        <w:t>of</w:t>
      </w:r>
      <w:r>
        <w:rPr>
          <w:spacing w:val="-10"/>
        </w:rPr>
        <w:t xml:space="preserve"> </w:t>
      </w:r>
      <w:r>
        <w:t>color</w:t>
      </w:r>
      <w:r>
        <w:rPr>
          <w:spacing w:val="-11"/>
        </w:rPr>
        <w:t xml:space="preserve"> </w:t>
      </w:r>
      <w:r>
        <w:t>reporting</w:t>
      </w:r>
      <w:r>
        <w:rPr>
          <w:spacing w:val="-10"/>
        </w:rPr>
        <w:t xml:space="preserve"> </w:t>
      </w:r>
      <w:r>
        <w:t>a</w:t>
      </w:r>
      <w:r>
        <w:rPr>
          <w:spacing w:val="-10"/>
        </w:rPr>
        <w:t xml:space="preserve"> </w:t>
      </w:r>
      <w:r>
        <w:t>rate</w:t>
      </w:r>
      <w:r>
        <w:rPr>
          <w:spacing w:val="-12"/>
        </w:rPr>
        <w:t xml:space="preserve"> </w:t>
      </w:r>
      <w:r>
        <w:t>of</w:t>
      </w:r>
      <w:r>
        <w:rPr>
          <w:spacing w:val="-10"/>
        </w:rPr>
        <w:t xml:space="preserve"> </w:t>
      </w:r>
      <w:r>
        <w:t>past</w:t>
      </w:r>
      <w:r>
        <w:rPr>
          <w:spacing w:val="-12"/>
        </w:rPr>
        <w:t xml:space="preserve"> </w:t>
      </w:r>
      <w:r>
        <w:t>incarceration</w:t>
      </w:r>
      <w:r>
        <w:rPr>
          <w:spacing w:val="-10"/>
        </w:rPr>
        <w:t xml:space="preserve"> </w:t>
      </w:r>
      <w:r>
        <w:t>four</w:t>
      </w:r>
      <w:r>
        <w:rPr>
          <w:spacing w:val="-11"/>
        </w:rPr>
        <w:t xml:space="preserve"> </w:t>
      </w:r>
      <w:r>
        <w:t>times</w:t>
      </w:r>
      <w:r>
        <w:rPr>
          <w:spacing w:val="-9"/>
        </w:rPr>
        <w:t xml:space="preserve"> </w:t>
      </w:r>
      <w:r>
        <w:t>higher</w:t>
      </w:r>
      <w:r>
        <w:rPr>
          <w:spacing w:val="-11"/>
        </w:rPr>
        <w:t xml:space="preserve"> </w:t>
      </w:r>
      <w:r>
        <w:t>than</w:t>
      </w:r>
      <w:r>
        <w:rPr>
          <w:spacing w:val="-12"/>
        </w:rPr>
        <w:t xml:space="preserve"> </w:t>
      </w:r>
      <w:r>
        <w:t>other</w:t>
      </w:r>
      <w:r>
        <w:rPr>
          <w:spacing w:val="-11"/>
        </w:rPr>
        <w:t xml:space="preserve"> </w:t>
      </w:r>
      <w:r>
        <w:t>LGBQ</w:t>
      </w:r>
      <w:r>
        <w:rPr>
          <w:spacing w:val="-9"/>
        </w:rPr>
        <w:t xml:space="preserve"> </w:t>
      </w:r>
      <w:r>
        <w:t>people.</w:t>
      </w:r>
      <w:r>
        <w:rPr>
          <w:vertAlign w:val="superscript"/>
        </w:rPr>
        <w:t>3</w:t>
      </w:r>
      <w:r>
        <w:t xml:space="preserve"> The Commission also knows, from its own data analysis as presented in the data report below, that LGBTQ youth (particularly transgender youth and youth of color) are especially likely to face risk factors such as truancy</w:t>
      </w:r>
      <w:r>
        <w:rPr>
          <w:spacing w:val="-10"/>
        </w:rPr>
        <w:t xml:space="preserve"> </w:t>
      </w:r>
      <w:r>
        <w:t>out</w:t>
      </w:r>
      <w:r>
        <w:rPr>
          <w:spacing w:val="-6"/>
        </w:rPr>
        <w:t xml:space="preserve"> </w:t>
      </w:r>
      <w:r>
        <w:t>of</w:t>
      </w:r>
      <w:r>
        <w:rPr>
          <w:spacing w:val="-10"/>
        </w:rPr>
        <w:t xml:space="preserve"> </w:t>
      </w:r>
      <w:r>
        <w:t>fear</w:t>
      </w:r>
      <w:r>
        <w:rPr>
          <w:spacing w:val="-10"/>
        </w:rPr>
        <w:t xml:space="preserve"> </w:t>
      </w:r>
      <w:r>
        <w:t>of</w:t>
      </w:r>
      <w:r>
        <w:rPr>
          <w:spacing w:val="-11"/>
        </w:rPr>
        <w:t xml:space="preserve"> </w:t>
      </w:r>
      <w:r>
        <w:t>attending</w:t>
      </w:r>
      <w:r>
        <w:rPr>
          <w:spacing w:val="-10"/>
        </w:rPr>
        <w:t xml:space="preserve"> </w:t>
      </w:r>
      <w:r>
        <w:t>school,</w:t>
      </w:r>
      <w:r>
        <w:rPr>
          <w:spacing w:val="-10"/>
        </w:rPr>
        <w:t xml:space="preserve"> </w:t>
      </w:r>
      <w:r>
        <w:t>b</w:t>
      </w:r>
      <w:r>
        <w:t>eing</w:t>
      </w:r>
      <w:r>
        <w:rPr>
          <w:spacing w:val="-10"/>
        </w:rPr>
        <w:t xml:space="preserve"> </w:t>
      </w:r>
      <w:r>
        <w:t>involved</w:t>
      </w:r>
      <w:r>
        <w:rPr>
          <w:spacing w:val="-8"/>
        </w:rPr>
        <w:t xml:space="preserve"> </w:t>
      </w:r>
      <w:r>
        <w:t>in</w:t>
      </w:r>
      <w:r>
        <w:rPr>
          <w:spacing w:val="-11"/>
        </w:rPr>
        <w:t xml:space="preserve"> </w:t>
      </w:r>
      <w:r>
        <w:t>bullying</w:t>
      </w:r>
      <w:r>
        <w:rPr>
          <w:spacing w:val="-8"/>
        </w:rPr>
        <w:t xml:space="preserve"> </w:t>
      </w:r>
      <w:r>
        <w:t>and</w:t>
      </w:r>
      <w:r>
        <w:rPr>
          <w:spacing w:val="-11"/>
        </w:rPr>
        <w:t xml:space="preserve"> </w:t>
      </w:r>
      <w:r>
        <w:t>fights,</w:t>
      </w:r>
      <w:r>
        <w:rPr>
          <w:spacing w:val="-10"/>
        </w:rPr>
        <w:t xml:space="preserve"> </w:t>
      </w:r>
      <w:r>
        <w:t>and</w:t>
      </w:r>
      <w:r>
        <w:rPr>
          <w:spacing w:val="-8"/>
        </w:rPr>
        <w:t xml:space="preserve"> </w:t>
      </w:r>
      <w:r>
        <w:t>experiencing</w:t>
      </w:r>
      <w:r>
        <w:rPr>
          <w:spacing w:val="-9"/>
        </w:rPr>
        <w:t xml:space="preserve"> </w:t>
      </w:r>
      <w:r>
        <w:t>homelessness, all of which are drivers of justice systems involvement.</w:t>
      </w:r>
    </w:p>
    <w:p w:rsidR="00C76E6D" w:rsidRDefault="00C76E6D">
      <w:pPr>
        <w:pStyle w:val="BodyText"/>
        <w:spacing w:before="7"/>
        <w:rPr>
          <w:sz w:val="19"/>
        </w:rPr>
      </w:pPr>
    </w:p>
    <w:p w:rsidR="00C76E6D" w:rsidRDefault="00913831">
      <w:pPr>
        <w:pStyle w:val="BodyText"/>
        <w:spacing w:line="276" w:lineRule="auto"/>
        <w:ind w:left="338" w:right="332"/>
        <w:jc w:val="both"/>
      </w:pPr>
      <w:r>
        <w:t>The overrepresentation of LGBTQ youth of color in the juvenile and criminal systems also reflects the racial disparities faced by</w:t>
      </w:r>
      <w:r>
        <w:t xml:space="preserve"> all people, regardless of LGBTQ identity, involved in these systems. One national study found that as compared to white youth, Black youth are four times more likely to be incarcerated, Native American youth nearly three times as likely, and Latinx youth </w:t>
      </w:r>
      <w:r>
        <w:t>1.5 times as likely.</w:t>
      </w:r>
      <w:r>
        <w:rPr>
          <w:vertAlign w:val="superscript"/>
        </w:rPr>
        <w:t>4</w:t>
      </w:r>
      <w:r>
        <w:t xml:space="preserve"> It is therefore deeply troubling,</w:t>
      </w:r>
      <w:r>
        <w:rPr>
          <w:spacing w:val="-6"/>
        </w:rPr>
        <w:t xml:space="preserve"> </w:t>
      </w:r>
      <w:r>
        <w:t>but</w:t>
      </w:r>
      <w:r>
        <w:rPr>
          <w:spacing w:val="-7"/>
        </w:rPr>
        <w:t xml:space="preserve"> </w:t>
      </w:r>
      <w:r>
        <w:t>not</w:t>
      </w:r>
      <w:r>
        <w:rPr>
          <w:spacing w:val="-8"/>
        </w:rPr>
        <w:t xml:space="preserve"> </w:t>
      </w:r>
      <w:r>
        <w:t>surprising,</w:t>
      </w:r>
      <w:r>
        <w:rPr>
          <w:spacing w:val="-8"/>
        </w:rPr>
        <w:t xml:space="preserve"> </w:t>
      </w:r>
      <w:r>
        <w:t>that</w:t>
      </w:r>
      <w:r>
        <w:rPr>
          <w:spacing w:val="-8"/>
        </w:rPr>
        <w:t xml:space="preserve"> </w:t>
      </w:r>
      <w:r>
        <w:t>an</w:t>
      </w:r>
      <w:r>
        <w:rPr>
          <w:spacing w:val="-7"/>
        </w:rPr>
        <w:t xml:space="preserve"> </w:t>
      </w:r>
      <w:r>
        <w:t>estimated</w:t>
      </w:r>
      <w:r>
        <w:rPr>
          <w:spacing w:val="-8"/>
        </w:rPr>
        <w:t xml:space="preserve"> </w:t>
      </w:r>
      <w:r>
        <w:t>85%</w:t>
      </w:r>
      <w:r>
        <w:rPr>
          <w:spacing w:val="-7"/>
        </w:rPr>
        <w:t xml:space="preserve"> </w:t>
      </w:r>
      <w:r>
        <w:t>of</w:t>
      </w:r>
      <w:r>
        <w:rPr>
          <w:spacing w:val="-9"/>
        </w:rPr>
        <w:t xml:space="preserve"> </w:t>
      </w:r>
      <w:r>
        <w:t>LGBTQ</w:t>
      </w:r>
      <w:r>
        <w:rPr>
          <w:spacing w:val="-8"/>
        </w:rPr>
        <w:t xml:space="preserve"> </w:t>
      </w:r>
      <w:r>
        <w:t>youth</w:t>
      </w:r>
      <w:r>
        <w:rPr>
          <w:spacing w:val="-9"/>
        </w:rPr>
        <w:t xml:space="preserve"> </w:t>
      </w:r>
      <w:r>
        <w:t>in</w:t>
      </w:r>
      <w:r>
        <w:rPr>
          <w:spacing w:val="-8"/>
        </w:rPr>
        <w:t xml:space="preserve"> </w:t>
      </w:r>
      <w:r>
        <w:t>the</w:t>
      </w:r>
      <w:r>
        <w:rPr>
          <w:spacing w:val="-8"/>
        </w:rPr>
        <w:t xml:space="preserve"> </w:t>
      </w:r>
      <w:r>
        <w:t>justice</w:t>
      </w:r>
      <w:r>
        <w:rPr>
          <w:spacing w:val="-9"/>
        </w:rPr>
        <w:t xml:space="preserve"> </w:t>
      </w:r>
      <w:r>
        <w:t>system</w:t>
      </w:r>
      <w:r>
        <w:rPr>
          <w:spacing w:val="-9"/>
        </w:rPr>
        <w:t xml:space="preserve"> </w:t>
      </w:r>
      <w:r>
        <w:t>are</w:t>
      </w:r>
      <w:r>
        <w:rPr>
          <w:spacing w:val="-6"/>
        </w:rPr>
        <w:t xml:space="preserve"> </w:t>
      </w:r>
      <w:r>
        <w:t>youth</w:t>
      </w:r>
      <w:r>
        <w:rPr>
          <w:spacing w:val="-8"/>
        </w:rPr>
        <w:t xml:space="preserve"> </w:t>
      </w:r>
      <w:r>
        <w:t>of</w:t>
      </w:r>
      <w:r>
        <w:rPr>
          <w:spacing w:val="-7"/>
        </w:rPr>
        <w:t xml:space="preserve"> </w:t>
      </w:r>
      <w:r>
        <w:t>color.</w:t>
      </w:r>
      <w:r>
        <w:rPr>
          <w:vertAlign w:val="superscript"/>
        </w:rPr>
        <w:t>5</w:t>
      </w:r>
      <w:r>
        <w:t xml:space="preserve"> Experiences of discrimination that disproportionately affect and result in justice involvement for LGBTQ youth, particularly LGBTQ youth of color, parallel vulnerabilities that result in victimization, abuse, and further trauma within the justice system.</w:t>
      </w:r>
      <w:r>
        <w:rPr>
          <w:vertAlign w:val="superscript"/>
        </w:rPr>
        <w:t>6</w:t>
      </w:r>
    </w:p>
    <w:p w:rsidR="00C76E6D" w:rsidRDefault="00C76E6D">
      <w:pPr>
        <w:pStyle w:val="BodyText"/>
        <w:spacing w:before="8"/>
        <w:rPr>
          <w:sz w:val="19"/>
        </w:rPr>
      </w:pPr>
    </w:p>
    <w:p w:rsidR="00C76E6D" w:rsidRDefault="00913831">
      <w:pPr>
        <w:pStyle w:val="BodyText"/>
        <w:spacing w:before="1" w:line="276" w:lineRule="auto"/>
        <w:ind w:left="338" w:right="333"/>
        <w:jc w:val="both"/>
      </w:pPr>
      <w:r>
        <w:t>To combat these disparities, the Commission has worked closely with many state agencies and entities in Massachusetts</w:t>
      </w:r>
      <w:r>
        <w:rPr>
          <w:spacing w:val="-4"/>
        </w:rPr>
        <w:t xml:space="preserve"> </w:t>
      </w:r>
      <w:r>
        <w:t>to</w:t>
      </w:r>
      <w:r>
        <w:rPr>
          <w:spacing w:val="-2"/>
        </w:rPr>
        <w:t xml:space="preserve"> </w:t>
      </w:r>
      <w:r>
        <w:t>establish</w:t>
      </w:r>
      <w:r>
        <w:rPr>
          <w:spacing w:val="-4"/>
        </w:rPr>
        <w:t xml:space="preserve"> </w:t>
      </w:r>
      <w:r>
        <w:t>more</w:t>
      </w:r>
      <w:r>
        <w:rPr>
          <w:spacing w:val="-4"/>
        </w:rPr>
        <w:t xml:space="preserve"> </w:t>
      </w:r>
      <w:r>
        <w:t>equitable</w:t>
      </w:r>
      <w:r>
        <w:rPr>
          <w:spacing w:val="-5"/>
        </w:rPr>
        <w:t xml:space="preserve"> </w:t>
      </w:r>
      <w:r>
        <w:t>state</w:t>
      </w:r>
      <w:r>
        <w:rPr>
          <w:spacing w:val="-4"/>
        </w:rPr>
        <w:t xml:space="preserve"> </w:t>
      </w:r>
      <w:r>
        <w:t>policies</w:t>
      </w:r>
      <w:r>
        <w:rPr>
          <w:spacing w:val="-4"/>
        </w:rPr>
        <w:t xml:space="preserve"> </w:t>
      </w:r>
      <w:r>
        <w:t>within</w:t>
      </w:r>
      <w:r>
        <w:rPr>
          <w:spacing w:val="-4"/>
        </w:rPr>
        <w:t xml:space="preserve"> </w:t>
      </w:r>
      <w:r>
        <w:t>the</w:t>
      </w:r>
      <w:r>
        <w:rPr>
          <w:spacing w:val="-5"/>
        </w:rPr>
        <w:t xml:space="preserve"> </w:t>
      </w:r>
      <w:r>
        <w:t>juvenile</w:t>
      </w:r>
      <w:r>
        <w:rPr>
          <w:spacing w:val="-4"/>
        </w:rPr>
        <w:t xml:space="preserve"> </w:t>
      </w:r>
      <w:r>
        <w:t>justice</w:t>
      </w:r>
      <w:r>
        <w:rPr>
          <w:spacing w:val="-4"/>
        </w:rPr>
        <w:t xml:space="preserve"> </w:t>
      </w:r>
      <w:r>
        <w:t>system.</w:t>
      </w:r>
      <w:r>
        <w:rPr>
          <w:spacing w:val="-3"/>
        </w:rPr>
        <w:t xml:space="preserve"> </w:t>
      </w:r>
      <w:r>
        <w:t>The</w:t>
      </w:r>
      <w:r>
        <w:rPr>
          <w:spacing w:val="-4"/>
        </w:rPr>
        <w:t xml:space="preserve"> </w:t>
      </w:r>
      <w:r>
        <w:t>Commission has also worked in coalition with communit</w:t>
      </w:r>
      <w:r>
        <w:t>y organizations such as Citizens for Juvenile Justice to advance legislation to further reform the juvenile justice system and improve the lives and conditions of LGBTQ individuals</w:t>
      </w:r>
      <w:r>
        <w:rPr>
          <w:spacing w:val="-11"/>
        </w:rPr>
        <w:t xml:space="preserve"> </w:t>
      </w:r>
      <w:r>
        <w:t>involved</w:t>
      </w:r>
      <w:r>
        <w:rPr>
          <w:spacing w:val="-11"/>
        </w:rPr>
        <w:t xml:space="preserve"> </w:t>
      </w:r>
      <w:r>
        <w:t>in</w:t>
      </w:r>
      <w:r>
        <w:rPr>
          <w:spacing w:val="-11"/>
        </w:rPr>
        <w:t xml:space="preserve"> </w:t>
      </w:r>
      <w:r>
        <w:t>the</w:t>
      </w:r>
      <w:r>
        <w:rPr>
          <w:spacing w:val="-9"/>
        </w:rPr>
        <w:t xml:space="preserve"> </w:t>
      </w:r>
      <w:r>
        <w:t>juvenile</w:t>
      </w:r>
      <w:r>
        <w:rPr>
          <w:spacing w:val="-11"/>
        </w:rPr>
        <w:t xml:space="preserve"> </w:t>
      </w:r>
      <w:r>
        <w:t>and</w:t>
      </w:r>
      <w:r>
        <w:rPr>
          <w:spacing w:val="-9"/>
        </w:rPr>
        <w:t xml:space="preserve"> </w:t>
      </w:r>
      <w:r>
        <w:t>adult</w:t>
      </w:r>
      <w:r>
        <w:rPr>
          <w:spacing w:val="-10"/>
        </w:rPr>
        <w:t xml:space="preserve"> </w:t>
      </w:r>
      <w:r>
        <w:t>criminal</w:t>
      </w:r>
      <w:r>
        <w:rPr>
          <w:spacing w:val="-10"/>
        </w:rPr>
        <w:t xml:space="preserve"> </w:t>
      </w:r>
      <w:r>
        <w:t>justice</w:t>
      </w:r>
      <w:r>
        <w:rPr>
          <w:spacing w:val="-12"/>
        </w:rPr>
        <w:t xml:space="preserve"> </w:t>
      </w:r>
      <w:r>
        <w:t>system.</w:t>
      </w:r>
      <w:r>
        <w:rPr>
          <w:spacing w:val="-11"/>
        </w:rPr>
        <w:t xml:space="preserve"> </w:t>
      </w:r>
      <w:r>
        <w:t>While</w:t>
      </w:r>
      <w:r>
        <w:rPr>
          <w:spacing w:val="-10"/>
        </w:rPr>
        <w:t xml:space="preserve"> </w:t>
      </w:r>
      <w:r>
        <w:t>the</w:t>
      </w:r>
      <w:r>
        <w:rPr>
          <w:spacing w:val="-9"/>
        </w:rPr>
        <w:t xml:space="preserve"> </w:t>
      </w:r>
      <w:r>
        <w:t>Depar</w:t>
      </w:r>
      <w:r>
        <w:t>tment</w:t>
      </w:r>
      <w:r>
        <w:rPr>
          <w:spacing w:val="-10"/>
        </w:rPr>
        <w:t xml:space="preserve"> </w:t>
      </w:r>
      <w:r>
        <w:t>of</w:t>
      </w:r>
      <w:r>
        <w:rPr>
          <w:spacing w:val="-11"/>
        </w:rPr>
        <w:t xml:space="preserve"> </w:t>
      </w:r>
      <w:r>
        <w:t>Youth</w:t>
      </w:r>
      <w:r>
        <w:rPr>
          <w:spacing w:val="-11"/>
        </w:rPr>
        <w:t xml:space="preserve"> </w:t>
      </w:r>
      <w:r>
        <w:t>Services (DYS) has made much progress over the past several years on being a safer and more affirming place for LGBTQ youth, the adult criminal justice system has not made such strides. Furthermore, both the juvenile and adult systems can on</w:t>
      </w:r>
      <w:r>
        <w:t xml:space="preserve">ly do so much to prevent youth from actually </w:t>
      </w:r>
      <w:r>
        <w:rPr>
          <w:i/>
        </w:rPr>
        <w:t xml:space="preserve">entering </w:t>
      </w:r>
      <w:r>
        <w:t>these systems. Decreasing the</w:t>
      </w:r>
      <w:r>
        <w:rPr>
          <w:spacing w:val="-11"/>
        </w:rPr>
        <w:t xml:space="preserve"> </w:t>
      </w:r>
      <w:r>
        <w:t>incarceration</w:t>
      </w:r>
      <w:r>
        <w:rPr>
          <w:spacing w:val="-10"/>
        </w:rPr>
        <w:t xml:space="preserve"> </w:t>
      </w:r>
      <w:r>
        <w:t>of</w:t>
      </w:r>
      <w:r>
        <w:rPr>
          <w:spacing w:val="-10"/>
        </w:rPr>
        <w:t xml:space="preserve"> </w:t>
      </w:r>
      <w:r>
        <w:t>LGBTQ</w:t>
      </w:r>
      <w:r>
        <w:rPr>
          <w:spacing w:val="-9"/>
        </w:rPr>
        <w:t xml:space="preserve"> </w:t>
      </w:r>
      <w:r>
        <w:t>youth</w:t>
      </w:r>
      <w:r>
        <w:rPr>
          <w:spacing w:val="-10"/>
        </w:rPr>
        <w:t xml:space="preserve"> </w:t>
      </w:r>
      <w:r>
        <w:t>and</w:t>
      </w:r>
      <w:r>
        <w:rPr>
          <w:spacing w:val="-9"/>
        </w:rPr>
        <w:t xml:space="preserve"> </w:t>
      </w:r>
      <w:r>
        <w:t>youth</w:t>
      </w:r>
      <w:r>
        <w:rPr>
          <w:spacing w:val="-10"/>
        </w:rPr>
        <w:t xml:space="preserve"> </w:t>
      </w:r>
      <w:r>
        <w:t>of</w:t>
      </w:r>
      <w:r>
        <w:rPr>
          <w:spacing w:val="-10"/>
        </w:rPr>
        <w:t xml:space="preserve"> </w:t>
      </w:r>
      <w:r>
        <w:t>color,</w:t>
      </w:r>
      <w:r>
        <w:rPr>
          <w:spacing w:val="-9"/>
        </w:rPr>
        <w:t xml:space="preserve"> </w:t>
      </w:r>
      <w:r>
        <w:t>in</w:t>
      </w:r>
      <w:r>
        <w:rPr>
          <w:spacing w:val="-10"/>
        </w:rPr>
        <w:t xml:space="preserve"> </w:t>
      </w:r>
      <w:r>
        <w:t>particular,</w:t>
      </w:r>
      <w:r>
        <w:rPr>
          <w:spacing w:val="-9"/>
        </w:rPr>
        <w:t xml:space="preserve"> </w:t>
      </w:r>
      <w:r>
        <w:t>will</w:t>
      </w:r>
      <w:r>
        <w:rPr>
          <w:spacing w:val="-9"/>
        </w:rPr>
        <w:t xml:space="preserve"> </w:t>
      </w:r>
      <w:r>
        <w:t>also</w:t>
      </w:r>
      <w:r>
        <w:rPr>
          <w:spacing w:val="-9"/>
        </w:rPr>
        <w:t xml:space="preserve"> </w:t>
      </w:r>
      <w:r>
        <w:t>require</w:t>
      </w:r>
      <w:r>
        <w:rPr>
          <w:spacing w:val="-10"/>
        </w:rPr>
        <w:t xml:space="preserve"> </w:t>
      </w:r>
      <w:r>
        <w:t>law</w:t>
      </w:r>
      <w:r>
        <w:rPr>
          <w:spacing w:val="-10"/>
        </w:rPr>
        <w:t xml:space="preserve"> </w:t>
      </w:r>
      <w:r>
        <w:t>reform</w:t>
      </w:r>
      <w:r>
        <w:rPr>
          <w:spacing w:val="-11"/>
        </w:rPr>
        <w:t xml:space="preserve"> </w:t>
      </w:r>
      <w:r>
        <w:t>that</w:t>
      </w:r>
      <w:r>
        <w:rPr>
          <w:spacing w:val="-10"/>
        </w:rPr>
        <w:t xml:space="preserve"> </w:t>
      </w:r>
      <w:r>
        <w:t>is</w:t>
      </w:r>
      <w:r>
        <w:rPr>
          <w:spacing w:val="-9"/>
        </w:rPr>
        <w:t xml:space="preserve"> </w:t>
      </w:r>
      <w:r>
        <w:t>focused</w:t>
      </w:r>
    </w:p>
    <w:p w:rsidR="00C76E6D" w:rsidRDefault="00C76E6D">
      <w:pPr>
        <w:spacing w:line="276" w:lineRule="auto"/>
        <w:jc w:val="both"/>
        <w:sectPr w:rsidR="00C76E6D">
          <w:pgSz w:w="12240" w:h="15840"/>
          <w:pgMar w:top="1000" w:right="960" w:bottom="780" w:left="960" w:header="811" w:footer="584" w:gutter="0"/>
          <w:cols w:space="720"/>
        </w:sectPr>
      </w:pPr>
    </w:p>
    <w:p w:rsidR="00C76E6D" w:rsidRDefault="00C76E6D">
      <w:pPr>
        <w:pStyle w:val="BodyText"/>
        <w:rPr>
          <w:sz w:val="24"/>
        </w:rPr>
      </w:pPr>
    </w:p>
    <w:p w:rsidR="00C76E6D" w:rsidRDefault="00913831">
      <w:pPr>
        <w:pStyle w:val="BodyText"/>
        <w:spacing w:before="56" w:line="276" w:lineRule="auto"/>
        <w:ind w:left="338" w:right="335"/>
        <w:jc w:val="both"/>
      </w:pPr>
      <w:r>
        <w:t>on equity and anti-racism, and on dismantling the structural factors that lead to the excessive incarceration of</w:t>
      </w:r>
      <w:r>
        <w:rPr>
          <w:spacing w:val="-2"/>
        </w:rPr>
        <w:t xml:space="preserve"> </w:t>
      </w:r>
      <w:r>
        <w:t>these</w:t>
      </w:r>
      <w:r>
        <w:rPr>
          <w:spacing w:val="-2"/>
        </w:rPr>
        <w:t xml:space="preserve"> </w:t>
      </w:r>
      <w:r>
        <w:t>populations.</w:t>
      </w:r>
      <w:r>
        <w:rPr>
          <w:spacing w:val="-3"/>
        </w:rPr>
        <w:t xml:space="preserve"> </w:t>
      </w:r>
      <w:r>
        <w:t>Finally,</w:t>
      </w:r>
      <w:r>
        <w:rPr>
          <w:spacing w:val="-2"/>
        </w:rPr>
        <w:t xml:space="preserve"> </w:t>
      </w:r>
      <w:r>
        <w:t>if</w:t>
      </w:r>
      <w:r>
        <w:rPr>
          <w:spacing w:val="-2"/>
        </w:rPr>
        <w:t xml:space="preserve"> </w:t>
      </w:r>
      <w:r>
        <w:t>the</w:t>
      </w:r>
      <w:r>
        <w:rPr>
          <w:spacing w:val="-2"/>
        </w:rPr>
        <w:t xml:space="preserve"> </w:t>
      </w:r>
      <w:r>
        <w:t>Commonwealth</w:t>
      </w:r>
      <w:r>
        <w:rPr>
          <w:spacing w:val="-1"/>
        </w:rPr>
        <w:t xml:space="preserve"> </w:t>
      </w:r>
      <w:r>
        <w:t>is</w:t>
      </w:r>
      <w:r>
        <w:rPr>
          <w:spacing w:val="-1"/>
        </w:rPr>
        <w:t xml:space="preserve"> </w:t>
      </w:r>
      <w:r>
        <w:t>to</w:t>
      </w:r>
      <w:r>
        <w:rPr>
          <w:spacing w:val="-1"/>
        </w:rPr>
        <w:t xml:space="preserve"> </w:t>
      </w:r>
      <w:r>
        <w:t>take</w:t>
      </w:r>
      <w:r>
        <w:rPr>
          <w:spacing w:val="-2"/>
        </w:rPr>
        <w:t xml:space="preserve"> </w:t>
      </w:r>
      <w:r>
        <w:t>these</w:t>
      </w:r>
      <w:r>
        <w:rPr>
          <w:spacing w:val="-3"/>
        </w:rPr>
        <w:t xml:space="preserve"> </w:t>
      </w:r>
      <w:r>
        <w:t>issues</w:t>
      </w:r>
      <w:r>
        <w:rPr>
          <w:spacing w:val="-6"/>
        </w:rPr>
        <w:t xml:space="preserve"> </w:t>
      </w:r>
      <w:r>
        <w:t>seriously,</w:t>
      </w:r>
      <w:r>
        <w:rPr>
          <w:spacing w:val="-7"/>
        </w:rPr>
        <w:t xml:space="preserve"> </w:t>
      </w:r>
      <w:r>
        <w:t>it</w:t>
      </w:r>
      <w:r>
        <w:rPr>
          <w:spacing w:val="-7"/>
        </w:rPr>
        <w:t xml:space="preserve"> </w:t>
      </w:r>
      <w:r>
        <w:t>is</w:t>
      </w:r>
      <w:r>
        <w:rPr>
          <w:spacing w:val="-6"/>
        </w:rPr>
        <w:t xml:space="preserve"> </w:t>
      </w:r>
      <w:r>
        <w:t>critical</w:t>
      </w:r>
      <w:r>
        <w:rPr>
          <w:spacing w:val="-7"/>
        </w:rPr>
        <w:t xml:space="preserve"> </w:t>
      </w:r>
      <w:r>
        <w:t>that</w:t>
      </w:r>
      <w:r>
        <w:rPr>
          <w:spacing w:val="-8"/>
        </w:rPr>
        <w:t xml:space="preserve"> </w:t>
      </w:r>
      <w:r>
        <w:t>we</w:t>
      </w:r>
      <w:r>
        <w:rPr>
          <w:spacing w:val="-5"/>
        </w:rPr>
        <w:t xml:space="preserve"> </w:t>
      </w:r>
      <w:r>
        <w:t>have more data on LGBTQ populations i</w:t>
      </w:r>
      <w:r>
        <w:t>n the justice systems.</w:t>
      </w:r>
    </w:p>
    <w:p w:rsidR="00C76E6D" w:rsidRDefault="00C76E6D">
      <w:pPr>
        <w:pStyle w:val="BodyText"/>
      </w:pPr>
    </w:p>
    <w:p w:rsidR="00C76E6D" w:rsidRDefault="00C76E6D">
      <w:pPr>
        <w:pStyle w:val="BodyText"/>
        <w:spacing w:before="7"/>
        <w:rPr>
          <w:sz w:val="28"/>
        </w:rPr>
      </w:pPr>
    </w:p>
    <w:p w:rsidR="00C76E6D" w:rsidRDefault="00913831">
      <w:pPr>
        <w:pStyle w:val="Heading5"/>
        <w:jc w:val="both"/>
      </w:pPr>
      <w:bookmarkStart w:id="15" w:name="Improving_Health_Research_and_Recommenda"/>
      <w:bookmarkEnd w:id="15"/>
      <w:r>
        <w:t>Improving</w:t>
      </w:r>
      <w:r>
        <w:rPr>
          <w:spacing w:val="-8"/>
        </w:rPr>
        <w:t xml:space="preserve"> </w:t>
      </w:r>
      <w:r>
        <w:t>Health</w:t>
      </w:r>
      <w:r>
        <w:rPr>
          <w:spacing w:val="-8"/>
        </w:rPr>
        <w:t xml:space="preserve"> </w:t>
      </w:r>
      <w:r>
        <w:t>Research</w:t>
      </w:r>
      <w:r>
        <w:rPr>
          <w:spacing w:val="-8"/>
        </w:rPr>
        <w:t xml:space="preserve"> </w:t>
      </w:r>
      <w:r>
        <w:t>and</w:t>
      </w:r>
      <w:r>
        <w:rPr>
          <w:spacing w:val="-7"/>
        </w:rPr>
        <w:t xml:space="preserve"> </w:t>
      </w:r>
      <w:r>
        <w:rPr>
          <w:spacing w:val="-2"/>
        </w:rPr>
        <w:t>Recommendations</w:t>
      </w:r>
    </w:p>
    <w:p w:rsidR="00C76E6D" w:rsidRDefault="00913831">
      <w:pPr>
        <w:pStyle w:val="BodyText"/>
        <w:spacing w:before="9"/>
        <w:rPr>
          <w:b/>
          <w:sz w:val="6"/>
        </w:rPr>
      </w:pPr>
      <w:r>
        <w:pict>
          <v:shape id="docshape33" o:spid="_x0000_s1403" style="position:absolute;margin-left:65pt;margin-top:5.35pt;width:476.95pt;height:.1pt;z-index:-15718912;mso-wrap-distance-left:0;mso-wrap-distance-right:0;mso-position-horizontal-relative:page" coordorigin="1300,107" coordsize="9539,0" path="m1300,107r9539,e" filled="f" strokeweight="1.54pt">
            <v:path arrowok="t"/>
            <w10:wrap type="topAndBottom" anchorx="page"/>
          </v:shape>
        </w:pict>
      </w:r>
    </w:p>
    <w:p w:rsidR="00C76E6D" w:rsidRDefault="00C76E6D">
      <w:pPr>
        <w:pStyle w:val="BodyText"/>
        <w:rPr>
          <w:b/>
          <w:sz w:val="24"/>
        </w:rPr>
      </w:pPr>
    </w:p>
    <w:p w:rsidR="00C76E6D" w:rsidRDefault="00913831">
      <w:pPr>
        <w:pStyle w:val="BodyText"/>
        <w:spacing w:before="147"/>
        <w:ind w:left="338"/>
        <w:jc w:val="both"/>
      </w:pPr>
      <w:r>
        <w:rPr>
          <w:spacing w:val="-2"/>
        </w:rPr>
        <w:t>Recommendations</w:t>
      </w:r>
      <w:r>
        <w:rPr>
          <w:spacing w:val="-11"/>
        </w:rPr>
        <w:t xml:space="preserve"> </w:t>
      </w:r>
      <w:r>
        <w:rPr>
          <w:spacing w:val="-2"/>
        </w:rPr>
        <w:t>to</w:t>
      </w:r>
      <w:r>
        <w:rPr>
          <w:spacing w:val="-7"/>
        </w:rPr>
        <w:t xml:space="preserve"> </w:t>
      </w:r>
      <w:r>
        <w:rPr>
          <w:spacing w:val="-2"/>
        </w:rPr>
        <w:t>the</w:t>
      </w:r>
      <w:r>
        <w:rPr>
          <w:spacing w:val="-6"/>
        </w:rPr>
        <w:t xml:space="preserve"> </w:t>
      </w:r>
      <w:r>
        <w:rPr>
          <w:spacing w:val="-2"/>
        </w:rPr>
        <w:t>Governor</w:t>
      </w:r>
      <w:r>
        <w:rPr>
          <w:spacing w:val="-8"/>
        </w:rPr>
        <w:t xml:space="preserve"> </w:t>
      </w:r>
      <w:r>
        <w:rPr>
          <w:spacing w:val="-2"/>
        </w:rPr>
        <w:t>and</w:t>
      </w:r>
      <w:r>
        <w:rPr>
          <w:spacing w:val="-10"/>
        </w:rPr>
        <w:t xml:space="preserve"> </w:t>
      </w:r>
      <w:r>
        <w:rPr>
          <w:spacing w:val="-2"/>
        </w:rPr>
        <w:t>Legislature</w:t>
      </w:r>
      <w:r>
        <w:rPr>
          <w:spacing w:val="-7"/>
        </w:rPr>
        <w:t xml:space="preserve"> </w:t>
      </w:r>
      <w:r>
        <w:rPr>
          <w:spacing w:val="-2"/>
        </w:rPr>
        <w:t>on</w:t>
      </w:r>
      <w:r>
        <w:rPr>
          <w:spacing w:val="-9"/>
        </w:rPr>
        <w:t xml:space="preserve"> </w:t>
      </w:r>
      <w:r>
        <w:rPr>
          <w:spacing w:val="-2"/>
        </w:rPr>
        <w:t>improving</w:t>
      </w:r>
      <w:r>
        <w:rPr>
          <w:spacing w:val="-9"/>
        </w:rPr>
        <w:t xml:space="preserve"> </w:t>
      </w:r>
      <w:r>
        <w:rPr>
          <w:spacing w:val="-2"/>
        </w:rPr>
        <w:t>health:</w:t>
      </w:r>
    </w:p>
    <w:p w:rsidR="00C76E6D" w:rsidRDefault="00C76E6D">
      <w:pPr>
        <w:pStyle w:val="BodyText"/>
        <w:spacing w:before="4"/>
        <w:rPr>
          <w:sz w:val="29"/>
        </w:rPr>
      </w:pPr>
    </w:p>
    <w:p w:rsidR="00C76E6D" w:rsidRDefault="00913831">
      <w:pPr>
        <w:pStyle w:val="ListParagraph"/>
        <w:numPr>
          <w:ilvl w:val="0"/>
          <w:numId w:val="55"/>
        </w:numPr>
        <w:tabs>
          <w:tab w:val="left" w:pos="1060"/>
        </w:tabs>
        <w:ind w:right="601" w:hanging="361"/>
      </w:pPr>
      <w:r>
        <w:t>Ensure</w:t>
      </w:r>
      <w:r>
        <w:rPr>
          <w:spacing w:val="35"/>
        </w:rPr>
        <w:t xml:space="preserve"> </w:t>
      </w:r>
      <w:r>
        <w:t>that</w:t>
      </w:r>
      <w:r>
        <w:rPr>
          <w:spacing w:val="35"/>
        </w:rPr>
        <w:t xml:space="preserve"> </w:t>
      </w:r>
      <w:r>
        <w:t>comprehensive,</w:t>
      </w:r>
      <w:r>
        <w:rPr>
          <w:spacing w:val="34"/>
        </w:rPr>
        <w:t xml:space="preserve"> </w:t>
      </w:r>
      <w:r>
        <w:t>age-appropriate,</w:t>
      </w:r>
      <w:r>
        <w:rPr>
          <w:spacing w:val="34"/>
        </w:rPr>
        <w:t xml:space="preserve"> </w:t>
      </w:r>
      <w:r>
        <w:t>and</w:t>
      </w:r>
      <w:r>
        <w:rPr>
          <w:spacing w:val="36"/>
        </w:rPr>
        <w:t xml:space="preserve"> </w:t>
      </w:r>
      <w:r>
        <w:t>LGBTQ-inclusive</w:t>
      </w:r>
      <w:r>
        <w:rPr>
          <w:spacing w:val="34"/>
        </w:rPr>
        <w:t xml:space="preserve"> </w:t>
      </w:r>
      <w:r>
        <w:t>sexual</w:t>
      </w:r>
      <w:r>
        <w:rPr>
          <w:spacing w:val="34"/>
        </w:rPr>
        <w:t xml:space="preserve"> </w:t>
      </w:r>
      <w:r>
        <w:t>health</w:t>
      </w:r>
      <w:r>
        <w:rPr>
          <w:spacing w:val="40"/>
        </w:rPr>
        <w:t xml:space="preserve"> </w:t>
      </w:r>
      <w:r>
        <w:t>education</w:t>
      </w:r>
      <w:r>
        <w:rPr>
          <w:spacing w:val="-3"/>
        </w:rPr>
        <w:t xml:space="preserve"> </w:t>
      </w:r>
      <w:r>
        <w:t>is taught in every school district and supported with adequate funding.</w:t>
      </w:r>
    </w:p>
    <w:p w:rsidR="00C76E6D" w:rsidRDefault="00C76E6D">
      <w:pPr>
        <w:pStyle w:val="BodyText"/>
        <w:spacing w:before="8"/>
      </w:pPr>
    </w:p>
    <w:p w:rsidR="00C76E6D" w:rsidRDefault="00913831">
      <w:pPr>
        <w:pStyle w:val="ListParagraph"/>
        <w:numPr>
          <w:ilvl w:val="0"/>
          <w:numId w:val="55"/>
        </w:numPr>
        <w:tabs>
          <w:tab w:val="left" w:pos="1060"/>
        </w:tabs>
        <w:ind w:right="460" w:hanging="360"/>
      </w:pPr>
      <w:r>
        <w:t>Support</w:t>
      </w:r>
      <w:r>
        <w:rPr>
          <w:spacing w:val="-3"/>
        </w:rPr>
        <w:t xml:space="preserve"> </w:t>
      </w:r>
      <w:r>
        <w:t>HIV</w:t>
      </w:r>
      <w:r>
        <w:rPr>
          <w:spacing w:val="-1"/>
        </w:rPr>
        <w:t xml:space="preserve"> </w:t>
      </w:r>
      <w:r>
        <w:t>prevention</w:t>
      </w:r>
      <w:r>
        <w:rPr>
          <w:spacing w:val="-3"/>
        </w:rPr>
        <w:t xml:space="preserve"> </w:t>
      </w:r>
      <w:r>
        <w:t>and</w:t>
      </w:r>
      <w:r>
        <w:rPr>
          <w:spacing w:val="-4"/>
        </w:rPr>
        <w:t xml:space="preserve"> </w:t>
      </w:r>
      <w:r>
        <w:t>treatment</w:t>
      </w:r>
      <w:r>
        <w:rPr>
          <w:spacing w:val="-3"/>
        </w:rPr>
        <w:t xml:space="preserve"> </w:t>
      </w:r>
      <w:r>
        <w:t>services</w:t>
      </w:r>
      <w:r>
        <w:rPr>
          <w:spacing w:val="-3"/>
        </w:rPr>
        <w:t xml:space="preserve"> </w:t>
      </w:r>
      <w:r>
        <w:t>for</w:t>
      </w:r>
      <w:r>
        <w:rPr>
          <w:spacing w:val="-4"/>
        </w:rPr>
        <w:t xml:space="preserve"> </w:t>
      </w:r>
      <w:r>
        <w:t>LGBTQ</w:t>
      </w:r>
      <w:r>
        <w:rPr>
          <w:spacing w:val="-3"/>
        </w:rPr>
        <w:t xml:space="preserve"> </w:t>
      </w:r>
      <w:r>
        <w:t>youth,</w:t>
      </w:r>
      <w:r>
        <w:rPr>
          <w:spacing w:val="-2"/>
        </w:rPr>
        <w:t xml:space="preserve"> </w:t>
      </w:r>
      <w:r>
        <w:t>which</w:t>
      </w:r>
      <w:r>
        <w:rPr>
          <w:spacing w:val="-3"/>
        </w:rPr>
        <w:t xml:space="preserve"> </w:t>
      </w:r>
      <w:r>
        <w:t>are</w:t>
      </w:r>
      <w:r>
        <w:rPr>
          <w:spacing w:val="-4"/>
        </w:rPr>
        <w:t xml:space="preserve"> </w:t>
      </w:r>
      <w:r>
        <w:t>particularly</w:t>
      </w:r>
      <w:r>
        <w:rPr>
          <w:spacing w:val="20"/>
        </w:rPr>
        <w:t xml:space="preserve"> </w:t>
      </w:r>
      <w:r>
        <w:t>critical</w:t>
      </w:r>
      <w:r>
        <w:rPr>
          <w:spacing w:val="18"/>
        </w:rPr>
        <w:t xml:space="preserve"> </w:t>
      </w:r>
      <w:r>
        <w:t>for LGBTQ youth of color.</w:t>
      </w:r>
    </w:p>
    <w:p w:rsidR="00C76E6D" w:rsidRDefault="00C76E6D">
      <w:pPr>
        <w:pStyle w:val="BodyText"/>
        <w:spacing w:before="8"/>
      </w:pPr>
    </w:p>
    <w:p w:rsidR="00C76E6D" w:rsidRDefault="00913831">
      <w:pPr>
        <w:pStyle w:val="ListParagraph"/>
        <w:numPr>
          <w:ilvl w:val="0"/>
          <w:numId w:val="55"/>
        </w:numPr>
        <w:tabs>
          <w:tab w:val="left" w:pos="1060"/>
        </w:tabs>
      </w:pPr>
      <w:r>
        <w:rPr>
          <w:w w:val="95"/>
        </w:rPr>
        <w:t>Enact</w:t>
      </w:r>
      <w:r>
        <w:rPr>
          <w:spacing w:val="6"/>
        </w:rPr>
        <w:t xml:space="preserve"> </w:t>
      </w:r>
      <w:r>
        <w:rPr>
          <w:w w:val="95"/>
        </w:rPr>
        <w:t>policies</w:t>
      </w:r>
      <w:r>
        <w:rPr>
          <w:spacing w:val="10"/>
        </w:rPr>
        <w:t xml:space="preserve"> </w:t>
      </w:r>
      <w:r>
        <w:rPr>
          <w:w w:val="95"/>
        </w:rPr>
        <w:t>to</w:t>
      </w:r>
      <w:r>
        <w:rPr>
          <w:spacing w:val="10"/>
        </w:rPr>
        <w:t xml:space="preserve"> </w:t>
      </w:r>
      <w:r>
        <w:rPr>
          <w:w w:val="95"/>
        </w:rPr>
        <w:t>ensure</w:t>
      </w:r>
      <w:r>
        <w:rPr>
          <w:spacing w:val="8"/>
        </w:rPr>
        <w:t xml:space="preserve"> </w:t>
      </w:r>
      <w:r>
        <w:rPr>
          <w:w w:val="95"/>
        </w:rPr>
        <w:t>health</w:t>
      </w:r>
      <w:r>
        <w:rPr>
          <w:spacing w:val="10"/>
        </w:rPr>
        <w:t xml:space="preserve"> </w:t>
      </w:r>
      <w:r>
        <w:rPr>
          <w:w w:val="95"/>
        </w:rPr>
        <w:t>equity</w:t>
      </w:r>
      <w:r>
        <w:rPr>
          <w:spacing w:val="9"/>
        </w:rPr>
        <w:t xml:space="preserve"> </w:t>
      </w:r>
      <w:r>
        <w:rPr>
          <w:w w:val="95"/>
        </w:rPr>
        <w:t>throughout</w:t>
      </w:r>
      <w:r>
        <w:rPr>
          <w:spacing w:val="10"/>
        </w:rPr>
        <w:t xml:space="preserve"> </w:t>
      </w:r>
      <w:r>
        <w:rPr>
          <w:w w:val="95"/>
        </w:rPr>
        <w:t>state</w:t>
      </w:r>
      <w:r>
        <w:rPr>
          <w:spacing w:val="9"/>
        </w:rPr>
        <w:t xml:space="preserve"> </w:t>
      </w:r>
      <w:r>
        <w:rPr>
          <w:spacing w:val="-2"/>
          <w:w w:val="95"/>
        </w:rPr>
        <w:t>government.</w:t>
      </w:r>
    </w:p>
    <w:p w:rsidR="00C76E6D" w:rsidRDefault="00C76E6D">
      <w:pPr>
        <w:pStyle w:val="BodyText"/>
        <w:spacing w:before="9"/>
      </w:pPr>
    </w:p>
    <w:p w:rsidR="00C76E6D" w:rsidRDefault="00913831">
      <w:pPr>
        <w:pStyle w:val="ListParagraph"/>
        <w:numPr>
          <w:ilvl w:val="0"/>
          <w:numId w:val="55"/>
        </w:numPr>
        <w:tabs>
          <w:tab w:val="left" w:pos="1060"/>
        </w:tabs>
      </w:pPr>
      <w:r>
        <w:rPr>
          <w:w w:val="95"/>
        </w:rPr>
        <w:t>Improve</w:t>
      </w:r>
      <w:r>
        <w:rPr>
          <w:spacing w:val="7"/>
        </w:rPr>
        <w:t xml:space="preserve"> </w:t>
      </w:r>
      <w:r>
        <w:rPr>
          <w:w w:val="95"/>
        </w:rPr>
        <w:t>the</w:t>
      </w:r>
      <w:r>
        <w:rPr>
          <w:spacing w:val="12"/>
        </w:rPr>
        <w:t xml:space="preserve"> </w:t>
      </w:r>
      <w:r>
        <w:rPr>
          <w:w w:val="95"/>
        </w:rPr>
        <w:t>quality</w:t>
      </w:r>
      <w:r>
        <w:rPr>
          <w:spacing w:val="10"/>
        </w:rPr>
        <w:t xml:space="preserve"> </w:t>
      </w:r>
      <w:r>
        <w:rPr>
          <w:w w:val="95"/>
        </w:rPr>
        <w:t>and</w:t>
      </w:r>
      <w:r>
        <w:rPr>
          <w:spacing w:val="9"/>
        </w:rPr>
        <w:t xml:space="preserve"> </w:t>
      </w:r>
      <w:r>
        <w:rPr>
          <w:w w:val="95"/>
        </w:rPr>
        <w:t>availability</w:t>
      </w:r>
      <w:r>
        <w:rPr>
          <w:spacing w:val="7"/>
        </w:rPr>
        <w:t xml:space="preserve"> </w:t>
      </w:r>
      <w:r>
        <w:rPr>
          <w:w w:val="95"/>
        </w:rPr>
        <w:t>of</w:t>
      </w:r>
      <w:r>
        <w:rPr>
          <w:spacing w:val="12"/>
        </w:rPr>
        <w:t xml:space="preserve"> </w:t>
      </w:r>
      <w:r>
        <w:rPr>
          <w:w w:val="95"/>
        </w:rPr>
        <w:t>mental</w:t>
      </w:r>
      <w:r>
        <w:rPr>
          <w:spacing w:val="13"/>
        </w:rPr>
        <w:t xml:space="preserve"> </w:t>
      </w:r>
      <w:r>
        <w:rPr>
          <w:spacing w:val="-2"/>
          <w:w w:val="95"/>
        </w:rPr>
        <w:t>healthcare.</w:t>
      </w:r>
    </w:p>
    <w:p w:rsidR="00C76E6D" w:rsidRDefault="00C76E6D">
      <w:pPr>
        <w:pStyle w:val="BodyText"/>
        <w:spacing w:before="6"/>
      </w:pPr>
    </w:p>
    <w:p w:rsidR="00C76E6D" w:rsidRDefault="00913831">
      <w:pPr>
        <w:pStyle w:val="ListParagraph"/>
        <w:numPr>
          <w:ilvl w:val="0"/>
          <w:numId w:val="55"/>
        </w:numPr>
        <w:tabs>
          <w:tab w:val="left" w:pos="1060"/>
        </w:tabs>
        <w:spacing w:before="1"/>
      </w:pPr>
      <w:r>
        <w:rPr>
          <w:w w:val="95"/>
        </w:rPr>
        <w:t>Create</w:t>
      </w:r>
      <w:r>
        <w:rPr>
          <w:spacing w:val="12"/>
        </w:rPr>
        <w:t xml:space="preserve"> </w:t>
      </w:r>
      <w:r>
        <w:rPr>
          <w:w w:val="95"/>
        </w:rPr>
        <w:t>a</w:t>
      </w:r>
      <w:r>
        <w:rPr>
          <w:spacing w:val="10"/>
        </w:rPr>
        <w:t xml:space="preserve"> </w:t>
      </w:r>
      <w:r>
        <w:rPr>
          <w:w w:val="95"/>
        </w:rPr>
        <w:t>legal</w:t>
      </w:r>
      <w:r>
        <w:rPr>
          <w:spacing w:val="11"/>
        </w:rPr>
        <w:t xml:space="preserve"> </w:t>
      </w:r>
      <w:r>
        <w:rPr>
          <w:w w:val="95"/>
        </w:rPr>
        <w:t>framework</w:t>
      </w:r>
      <w:r>
        <w:rPr>
          <w:spacing w:val="13"/>
        </w:rPr>
        <w:t xml:space="preserve"> </w:t>
      </w:r>
      <w:r>
        <w:rPr>
          <w:w w:val="95"/>
        </w:rPr>
        <w:t>for</w:t>
      </w:r>
      <w:r>
        <w:rPr>
          <w:spacing w:val="9"/>
        </w:rPr>
        <w:t xml:space="preserve"> </w:t>
      </w:r>
      <w:r>
        <w:rPr>
          <w:w w:val="95"/>
        </w:rPr>
        <w:t>supervised</w:t>
      </w:r>
      <w:r>
        <w:rPr>
          <w:spacing w:val="13"/>
        </w:rPr>
        <w:t xml:space="preserve"> </w:t>
      </w:r>
      <w:r>
        <w:rPr>
          <w:w w:val="95"/>
        </w:rPr>
        <w:t>consumption</w:t>
      </w:r>
      <w:r>
        <w:rPr>
          <w:spacing w:val="14"/>
        </w:rPr>
        <w:t xml:space="preserve"> </w:t>
      </w:r>
      <w:r>
        <w:rPr>
          <w:spacing w:val="-2"/>
          <w:w w:val="95"/>
        </w:rPr>
        <w:t>sites.</w:t>
      </w:r>
    </w:p>
    <w:p w:rsidR="00C76E6D" w:rsidRDefault="00C76E6D">
      <w:pPr>
        <w:pStyle w:val="BodyText"/>
        <w:spacing w:before="10"/>
        <w:rPr>
          <w:sz w:val="25"/>
        </w:rPr>
      </w:pPr>
    </w:p>
    <w:p w:rsidR="00C76E6D" w:rsidRDefault="00913831">
      <w:pPr>
        <w:pStyle w:val="BodyText"/>
        <w:spacing w:line="276" w:lineRule="auto"/>
        <w:ind w:left="341" w:right="333" w:hanging="1"/>
        <w:jc w:val="both"/>
      </w:pPr>
      <w:r>
        <w:t>The</w:t>
      </w:r>
      <w:r>
        <w:rPr>
          <w:spacing w:val="-7"/>
        </w:rPr>
        <w:t xml:space="preserve"> </w:t>
      </w:r>
      <w:r>
        <w:t>Commission’s</w:t>
      </w:r>
      <w:r>
        <w:rPr>
          <w:spacing w:val="-7"/>
        </w:rPr>
        <w:t xml:space="preserve"> </w:t>
      </w:r>
      <w:r>
        <w:t>recommendations</w:t>
      </w:r>
      <w:r>
        <w:rPr>
          <w:spacing w:val="-7"/>
        </w:rPr>
        <w:t xml:space="preserve"> </w:t>
      </w:r>
      <w:r>
        <w:t>on</w:t>
      </w:r>
      <w:r>
        <w:rPr>
          <w:spacing w:val="-5"/>
        </w:rPr>
        <w:t xml:space="preserve"> </w:t>
      </w:r>
      <w:r>
        <w:t>health</w:t>
      </w:r>
      <w:r>
        <w:rPr>
          <w:spacing w:val="-6"/>
        </w:rPr>
        <w:t xml:space="preserve"> </w:t>
      </w:r>
      <w:r>
        <w:t>have</w:t>
      </w:r>
      <w:r>
        <w:rPr>
          <w:spacing w:val="-8"/>
        </w:rPr>
        <w:t xml:space="preserve"> </w:t>
      </w:r>
      <w:r>
        <w:t>historically</w:t>
      </w:r>
      <w:r>
        <w:rPr>
          <w:spacing w:val="-7"/>
        </w:rPr>
        <w:t xml:space="preserve"> </w:t>
      </w:r>
      <w:r>
        <w:t>placed</w:t>
      </w:r>
      <w:r>
        <w:rPr>
          <w:spacing w:val="-8"/>
        </w:rPr>
        <w:t xml:space="preserve"> </w:t>
      </w:r>
      <w:r>
        <w:t>a</w:t>
      </w:r>
      <w:r>
        <w:rPr>
          <w:spacing w:val="-6"/>
        </w:rPr>
        <w:t xml:space="preserve"> </w:t>
      </w:r>
      <w:r>
        <w:t>large</w:t>
      </w:r>
      <w:r>
        <w:rPr>
          <w:spacing w:val="-8"/>
        </w:rPr>
        <w:t xml:space="preserve"> </w:t>
      </w:r>
      <w:r>
        <w:t>focus</w:t>
      </w:r>
      <w:r>
        <w:rPr>
          <w:spacing w:val="-7"/>
        </w:rPr>
        <w:t xml:space="preserve"> </w:t>
      </w:r>
      <w:r>
        <w:t>on</w:t>
      </w:r>
      <w:r>
        <w:rPr>
          <w:spacing w:val="-8"/>
        </w:rPr>
        <w:t xml:space="preserve"> </w:t>
      </w:r>
      <w:r>
        <w:t>sexual</w:t>
      </w:r>
      <w:r>
        <w:rPr>
          <w:spacing w:val="-5"/>
        </w:rPr>
        <w:t xml:space="preserve"> </w:t>
      </w:r>
      <w:r>
        <w:t>health,</w:t>
      </w:r>
      <w:r>
        <w:rPr>
          <w:spacing w:val="-7"/>
        </w:rPr>
        <w:t xml:space="preserve"> </w:t>
      </w:r>
      <w:r>
        <w:t>as</w:t>
      </w:r>
      <w:r>
        <w:rPr>
          <w:spacing w:val="-6"/>
        </w:rPr>
        <w:t xml:space="preserve"> </w:t>
      </w:r>
      <w:r>
        <w:t>this is an area that consistently affects LGBTQ youth disproportionately. Despite a downward trend in HIV infection rates among</w:t>
      </w:r>
      <w:r>
        <w:rPr>
          <w:spacing w:val="-1"/>
        </w:rPr>
        <w:t xml:space="preserve"> </w:t>
      </w:r>
      <w:r>
        <w:t>the LGBTQ population at large, certain groups such as young people, people of color, and transgender people continue to be dispa</w:t>
      </w:r>
      <w:r>
        <w:t>rately affected. Potential causes of higher HIV rates include riskier sexual behavior and less frequent use of effective STI prevention methods, pointing to a need for LGBTQ-inclusive sexual health education. However, LGBTQ students are less likely to repo</w:t>
      </w:r>
      <w:r>
        <w:t xml:space="preserve">rt learning about condom use or STI prevention in school, and only 18% of them receive sex education that is inclusive of LGBTQ identities. The Improving Health section then reviews several available health curricula that meet standards of inclusivity and </w:t>
      </w:r>
      <w:r>
        <w:t>medical accuracy.</w:t>
      </w:r>
    </w:p>
    <w:p w:rsidR="00C76E6D" w:rsidRDefault="00C76E6D">
      <w:pPr>
        <w:pStyle w:val="BodyText"/>
        <w:spacing w:before="5"/>
        <w:rPr>
          <w:sz w:val="25"/>
        </w:rPr>
      </w:pPr>
    </w:p>
    <w:p w:rsidR="00C76E6D" w:rsidRDefault="00913831">
      <w:pPr>
        <w:pStyle w:val="BodyText"/>
        <w:spacing w:before="1" w:line="276" w:lineRule="auto"/>
        <w:ind w:left="339" w:right="332"/>
        <w:jc w:val="both"/>
      </w:pPr>
      <w:r>
        <w:t>Along with the recommendations in the Increasing Inclusion section, which can reduce harmful stigma leading to these health disparities, this part of the report details several areas where strategies are needed to improve health among LG</w:t>
      </w:r>
      <w:r>
        <w:t>BTQ youth populations. These include a lack of LGBTQ competence among healthcare providers, leading to negative encounters with medical professionals—at 31% of transgender people, a major barrier to accessing care—and a crisis of insurance coverage for men</w:t>
      </w:r>
      <w:r>
        <w:t>tal and behavioral healthcare combined with prohibitively high costs. The Commission also calls for greater awareness of and support for transgender healthcare, in particular affordable access to medical transition-related needs, as well</w:t>
      </w:r>
      <w:r>
        <w:rPr>
          <w:spacing w:val="-3"/>
        </w:rPr>
        <w:t xml:space="preserve"> </w:t>
      </w:r>
      <w:r>
        <w:t>as</w:t>
      </w:r>
      <w:r>
        <w:rPr>
          <w:spacing w:val="-3"/>
        </w:rPr>
        <w:t xml:space="preserve"> </w:t>
      </w:r>
      <w:r>
        <w:t>a</w:t>
      </w:r>
      <w:r>
        <w:rPr>
          <w:spacing w:val="-1"/>
        </w:rPr>
        <w:t xml:space="preserve"> </w:t>
      </w:r>
      <w:r>
        <w:t>sufficient</w:t>
      </w:r>
      <w:r>
        <w:rPr>
          <w:spacing w:val="-2"/>
        </w:rPr>
        <w:t xml:space="preserve"> </w:t>
      </w:r>
      <w:r>
        <w:t>qu</w:t>
      </w:r>
      <w:r>
        <w:t>antity</w:t>
      </w:r>
      <w:r>
        <w:rPr>
          <w:spacing w:val="-3"/>
        </w:rPr>
        <w:t xml:space="preserve"> </w:t>
      </w:r>
      <w:r>
        <w:t>of</w:t>
      </w:r>
      <w:r>
        <w:rPr>
          <w:spacing w:val="-6"/>
        </w:rPr>
        <w:t xml:space="preserve"> </w:t>
      </w:r>
      <w:r>
        <w:t>providers</w:t>
      </w:r>
      <w:r>
        <w:rPr>
          <w:spacing w:val="-6"/>
        </w:rPr>
        <w:t xml:space="preserve"> </w:t>
      </w:r>
      <w:r>
        <w:t>specializing</w:t>
      </w:r>
      <w:r>
        <w:rPr>
          <w:spacing w:val="-5"/>
        </w:rPr>
        <w:t xml:space="preserve"> </w:t>
      </w:r>
      <w:r>
        <w:t>in</w:t>
      </w:r>
      <w:r>
        <w:rPr>
          <w:spacing w:val="-7"/>
        </w:rPr>
        <w:t xml:space="preserve"> </w:t>
      </w:r>
      <w:r>
        <w:t>mental</w:t>
      </w:r>
      <w:r>
        <w:rPr>
          <w:spacing w:val="-5"/>
        </w:rPr>
        <w:t xml:space="preserve"> </w:t>
      </w:r>
      <w:r>
        <w:t>health</w:t>
      </w:r>
      <w:r>
        <w:rPr>
          <w:spacing w:val="-7"/>
        </w:rPr>
        <w:t xml:space="preserve"> </w:t>
      </w:r>
      <w:r>
        <w:t>who</w:t>
      </w:r>
      <w:r>
        <w:rPr>
          <w:spacing w:val="-6"/>
        </w:rPr>
        <w:t xml:space="preserve"> </w:t>
      </w:r>
      <w:r>
        <w:t>are</w:t>
      </w:r>
      <w:r>
        <w:rPr>
          <w:spacing w:val="-7"/>
        </w:rPr>
        <w:t xml:space="preserve"> </w:t>
      </w:r>
      <w:r>
        <w:t>able</w:t>
      </w:r>
      <w:r>
        <w:rPr>
          <w:spacing w:val="-6"/>
        </w:rPr>
        <w:t xml:space="preserve"> </w:t>
      </w:r>
      <w:r>
        <w:t>to</w:t>
      </w:r>
      <w:r>
        <w:rPr>
          <w:spacing w:val="-6"/>
        </w:rPr>
        <w:t xml:space="preserve"> </w:t>
      </w:r>
      <w:r>
        <w:t>support</w:t>
      </w:r>
      <w:r>
        <w:rPr>
          <w:spacing w:val="-5"/>
        </w:rPr>
        <w:t xml:space="preserve"> </w:t>
      </w:r>
      <w:r>
        <w:t>youth</w:t>
      </w:r>
      <w:r>
        <w:rPr>
          <w:spacing w:val="-7"/>
        </w:rPr>
        <w:t xml:space="preserve"> </w:t>
      </w:r>
      <w:r>
        <w:t>through social</w:t>
      </w:r>
      <w:r>
        <w:rPr>
          <w:spacing w:val="-3"/>
        </w:rPr>
        <w:t xml:space="preserve"> </w:t>
      </w:r>
      <w:r>
        <w:t>transition and detect signs of abuse or other concerns. Among all areas of care, another area of need stressed by the report is a strengthening of confidentialit</w:t>
      </w:r>
      <w:r>
        <w:t>y in healthcare systems overall.</w:t>
      </w:r>
    </w:p>
    <w:p w:rsidR="00C76E6D" w:rsidRDefault="00C76E6D">
      <w:pPr>
        <w:spacing w:line="276" w:lineRule="auto"/>
        <w:jc w:val="both"/>
        <w:sectPr w:rsidR="00C76E6D">
          <w:pgSz w:w="12240" w:h="15840"/>
          <w:pgMar w:top="1000" w:right="960" w:bottom="780" w:left="960" w:header="811" w:footer="584" w:gutter="0"/>
          <w:cols w:space="720"/>
        </w:sectPr>
      </w:pPr>
    </w:p>
    <w:p w:rsidR="00C76E6D" w:rsidRDefault="00C76E6D">
      <w:pPr>
        <w:pStyle w:val="BodyText"/>
        <w:spacing w:before="3"/>
        <w:rPr>
          <w:sz w:val="24"/>
        </w:rPr>
      </w:pPr>
    </w:p>
    <w:p w:rsidR="00C76E6D" w:rsidRDefault="00913831">
      <w:pPr>
        <w:pStyle w:val="Heading5"/>
        <w:spacing w:before="52"/>
      </w:pPr>
      <w:bookmarkStart w:id="16" w:name="Sexual_Victimization_Research_and_Recomm"/>
      <w:bookmarkEnd w:id="16"/>
      <w:r>
        <w:t>Sexual</w:t>
      </w:r>
      <w:r>
        <w:rPr>
          <w:spacing w:val="-10"/>
        </w:rPr>
        <w:t xml:space="preserve"> </w:t>
      </w:r>
      <w:r>
        <w:t>Victimization</w:t>
      </w:r>
      <w:r>
        <w:rPr>
          <w:spacing w:val="-8"/>
        </w:rPr>
        <w:t xml:space="preserve"> </w:t>
      </w:r>
      <w:r>
        <w:t>Research</w:t>
      </w:r>
      <w:r>
        <w:rPr>
          <w:spacing w:val="-8"/>
        </w:rPr>
        <w:t xml:space="preserve"> </w:t>
      </w:r>
      <w:r>
        <w:t>and</w:t>
      </w:r>
      <w:r>
        <w:rPr>
          <w:spacing w:val="-7"/>
        </w:rPr>
        <w:t xml:space="preserve"> </w:t>
      </w:r>
      <w:r>
        <w:rPr>
          <w:spacing w:val="-2"/>
        </w:rPr>
        <w:t>Recommendations</w:t>
      </w:r>
    </w:p>
    <w:p w:rsidR="00C76E6D" w:rsidRDefault="00913831">
      <w:pPr>
        <w:pStyle w:val="BodyText"/>
        <w:spacing w:before="3"/>
        <w:rPr>
          <w:b/>
          <w:sz w:val="7"/>
        </w:rPr>
      </w:pPr>
      <w:r>
        <w:pict>
          <v:shape id="docshape34" o:spid="_x0000_s1402" style="position:absolute;margin-left:65pt;margin-top:5.65pt;width:476.95pt;height:.1pt;z-index:-15718400;mso-wrap-distance-left:0;mso-wrap-distance-right:0;mso-position-horizontal-relative:page" coordorigin="1300,113" coordsize="9539,0" path="m1300,113r9539,e" filled="f" strokeweight="1.54pt">
            <v:path arrowok="t"/>
            <w10:wrap type="topAndBottom" anchorx="page"/>
          </v:shape>
        </w:pict>
      </w:r>
    </w:p>
    <w:p w:rsidR="00C76E6D" w:rsidRDefault="00C76E6D">
      <w:pPr>
        <w:pStyle w:val="BodyText"/>
        <w:rPr>
          <w:b/>
          <w:sz w:val="24"/>
        </w:rPr>
      </w:pPr>
    </w:p>
    <w:p w:rsidR="00C76E6D" w:rsidRDefault="00913831">
      <w:pPr>
        <w:pStyle w:val="BodyText"/>
        <w:spacing w:before="152"/>
        <w:ind w:left="338"/>
      </w:pPr>
      <w:r>
        <w:rPr>
          <w:spacing w:val="-2"/>
        </w:rPr>
        <w:t>Recommendations</w:t>
      </w:r>
      <w:r>
        <w:rPr>
          <w:spacing w:val="-10"/>
        </w:rPr>
        <w:t xml:space="preserve"> </w:t>
      </w:r>
      <w:r>
        <w:rPr>
          <w:spacing w:val="-2"/>
        </w:rPr>
        <w:t>to</w:t>
      </w:r>
      <w:r>
        <w:rPr>
          <w:spacing w:val="-8"/>
        </w:rPr>
        <w:t xml:space="preserve"> </w:t>
      </w:r>
      <w:r>
        <w:rPr>
          <w:spacing w:val="-2"/>
        </w:rPr>
        <w:t>the</w:t>
      </w:r>
      <w:r>
        <w:rPr>
          <w:spacing w:val="-6"/>
        </w:rPr>
        <w:t xml:space="preserve"> </w:t>
      </w:r>
      <w:r>
        <w:rPr>
          <w:spacing w:val="-2"/>
        </w:rPr>
        <w:t>Governor</w:t>
      </w:r>
      <w:r>
        <w:rPr>
          <w:spacing w:val="-8"/>
        </w:rPr>
        <w:t xml:space="preserve"> </w:t>
      </w:r>
      <w:r>
        <w:rPr>
          <w:spacing w:val="-2"/>
        </w:rPr>
        <w:t>and</w:t>
      </w:r>
      <w:r>
        <w:rPr>
          <w:spacing w:val="-9"/>
        </w:rPr>
        <w:t xml:space="preserve"> </w:t>
      </w:r>
      <w:r>
        <w:rPr>
          <w:spacing w:val="-2"/>
        </w:rPr>
        <w:t>Legislature</w:t>
      </w:r>
      <w:r>
        <w:rPr>
          <w:spacing w:val="-7"/>
        </w:rPr>
        <w:t xml:space="preserve"> </w:t>
      </w:r>
      <w:r>
        <w:rPr>
          <w:spacing w:val="-2"/>
        </w:rPr>
        <w:t>on</w:t>
      </w:r>
      <w:r>
        <w:rPr>
          <w:spacing w:val="-8"/>
        </w:rPr>
        <w:t xml:space="preserve"> </w:t>
      </w:r>
      <w:r>
        <w:rPr>
          <w:spacing w:val="-2"/>
        </w:rPr>
        <w:t>sexual</w:t>
      </w:r>
      <w:r>
        <w:rPr>
          <w:spacing w:val="-11"/>
        </w:rPr>
        <w:t xml:space="preserve"> </w:t>
      </w:r>
      <w:r>
        <w:rPr>
          <w:spacing w:val="-2"/>
        </w:rPr>
        <w:t>victimization:</w:t>
      </w:r>
    </w:p>
    <w:p w:rsidR="00C76E6D" w:rsidRDefault="00C76E6D">
      <w:pPr>
        <w:pStyle w:val="BodyText"/>
        <w:spacing w:before="3"/>
        <w:rPr>
          <w:sz w:val="29"/>
        </w:rPr>
      </w:pPr>
    </w:p>
    <w:p w:rsidR="00C76E6D" w:rsidRDefault="00913831">
      <w:pPr>
        <w:pStyle w:val="BodyText"/>
        <w:spacing w:line="276" w:lineRule="auto"/>
        <w:ind w:left="1058" w:hanging="361"/>
      </w:pPr>
      <w:r>
        <w:t>1.</w:t>
      </w:r>
      <w:r>
        <w:rPr>
          <w:spacing w:val="59"/>
          <w:w w:val="150"/>
        </w:rPr>
        <w:t xml:space="preserve"> </w:t>
      </w:r>
      <w:r>
        <w:t>Require</w:t>
      </w:r>
      <w:r>
        <w:rPr>
          <w:spacing w:val="-14"/>
        </w:rPr>
        <w:t xml:space="preserve"> </w:t>
      </w:r>
      <w:r>
        <w:t>schools</w:t>
      </w:r>
      <w:r>
        <w:rPr>
          <w:spacing w:val="-16"/>
        </w:rPr>
        <w:t xml:space="preserve"> </w:t>
      </w:r>
      <w:r>
        <w:t>to</w:t>
      </w:r>
      <w:r>
        <w:rPr>
          <w:spacing w:val="-2"/>
        </w:rPr>
        <w:t xml:space="preserve"> </w:t>
      </w:r>
      <w:r>
        <w:t>teach</w:t>
      </w:r>
      <w:r>
        <w:rPr>
          <w:spacing w:val="-6"/>
        </w:rPr>
        <w:t xml:space="preserve"> </w:t>
      </w:r>
      <w:r>
        <w:t>inclusive</w:t>
      </w:r>
      <w:r>
        <w:rPr>
          <w:spacing w:val="-14"/>
        </w:rPr>
        <w:t xml:space="preserve"> </w:t>
      </w:r>
      <w:r>
        <w:t>sexual</w:t>
      </w:r>
      <w:r>
        <w:rPr>
          <w:spacing w:val="-16"/>
        </w:rPr>
        <w:t xml:space="preserve"> </w:t>
      </w:r>
      <w:r>
        <w:t>health</w:t>
      </w:r>
      <w:r>
        <w:rPr>
          <w:spacing w:val="-13"/>
        </w:rPr>
        <w:t xml:space="preserve"> </w:t>
      </w:r>
      <w:r>
        <w:t>education</w:t>
      </w:r>
      <w:r>
        <w:rPr>
          <w:spacing w:val="-15"/>
        </w:rPr>
        <w:t xml:space="preserve"> </w:t>
      </w:r>
      <w:r>
        <w:t>that</w:t>
      </w:r>
      <w:r>
        <w:rPr>
          <w:spacing w:val="-13"/>
        </w:rPr>
        <w:t xml:space="preserve"> </w:t>
      </w:r>
      <w:r>
        <w:t>includes</w:t>
      </w:r>
      <w:r>
        <w:rPr>
          <w:spacing w:val="-12"/>
        </w:rPr>
        <w:t xml:space="preserve"> </w:t>
      </w:r>
      <w:r>
        <w:t>consent</w:t>
      </w:r>
      <w:r>
        <w:rPr>
          <w:spacing w:val="-16"/>
        </w:rPr>
        <w:t xml:space="preserve"> </w:t>
      </w:r>
      <w:r>
        <w:t>and</w:t>
      </w:r>
      <w:r>
        <w:rPr>
          <w:spacing w:val="-13"/>
        </w:rPr>
        <w:t xml:space="preserve"> </w:t>
      </w:r>
      <w:r>
        <w:t>develop</w:t>
      </w:r>
      <w:r>
        <w:rPr>
          <w:spacing w:val="-16"/>
        </w:rPr>
        <w:t xml:space="preserve"> </w:t>
      </w:r>
      <w:r>
        <w:t>consent education programs to prevent and reduce instances of sexual assault.</w:t>
      </w:r>
    </w:p>
    <w:p w:rsidR="00C76E6D" w:rsidRDefault="00C76E6D">
      <w:pPr>
        <w:pStyle w:val="BodyText"/>
        <w:spacing w:before="11"/>
        <w:rPr>
          <w:sz w:val="25"/>
        </w:rPr>
      </w:pPr>
    </w:p>
    <w:p w:rsidR="00C76E6D" w:rsidRDefault="00913831">
      <w:pPr>
        <w:pStyle w:val="BodyText"/>
        <w:spacing w:line="276" w:lineRule="auto"/>
        <w:ind w:left="338" w:right="333"/>
        <w:jc w:val="both"/>
      </w:pPr>
      <w:r>
        <w:t>LGBTQ people experience disproportionately high rates of sexual violence when compared to non-LGBTQ people.</w:t>
      </w:r>
      <w:r>
        <w:rPr>
          <w:vertAlign w:val="superscript"/>
        </w:rPr>
        <w:t>7</w:t>
      </w:r>
      <w:r>
        <w:t xml:space="preserve"> Current research demonstrates that sexual violen</w:t>
      </w:r>
      <w:r>
        <w:t>ce affects people of all genders, sexual orientations, races, abilities, ages, and more; however, it uniquely impacts LGBTQ youth and the LGBTQ community. Discrimination, marginalization, racism, sexism, and hate-motivated violence all put LGBTQ persons at</w:t>
      </w:r>
      <w:r>
        <w:t xml:space="preserve"> a higher risk of sexual assault. Society also often hypersexualizes LGBTQ people and stigmatizes queer relationships, which contributes to ineffective responses to sexual violence in the community and decreased reporting.</w:t>
      </w:r>
      <w:r>
        <w:rPr>
          <w:vertAlign w:val="superscript"/>
        </w:rPr>
        <w:t>8</w:t>
      </w:r>
      <w:r>
        <w:t xml:space="preserve"> Internalized homophobia and tran</w:t>
      </w:r>
      <w:r>
        <w:t>sphobia in the community have been linked to intimate partner violence between LGBTQ couples.</w:t>
      </w:r>
      <w:r>
        <w:rPr>
          <w:vertAlign w:val="superscript"/>
        </w:rPr>
        <w:t>9</w:t>
      </w:r>
      <w:r>
        <w:t xml:space="preserve"> Finally, LGBTQ youth and young people experience disproportionately high rates of sexual violence in higher education and carceral institutions.</w:t>
      </w:r>
    </w:p>
    <w:p w:rsidR="00C76E6D" w:rsidRDefault="00C76E6D">
      <w:pPr>
        <w:pStyle w:val="BodyText"/>
      </w:pPr>
    </w:p>
    <w:p w:rsidR="00C76E6D" w:rsidRDefault="00C76E6D">
      <w:pPr>
        <w:pStyle w:val="BodyText"/>
        <w:spacing w:before="4"/>
        <w:rPr>
          <w:sz w:val="26"/>
        </w:rPr>
      </w:pPr>
    </w:p>
    <w:p w:rsidR="00C76E6D" w:rsidRDefault="00913831">
      <w:pPr>
        <w:pStyle w:val="Heading5"/>
        <w:spacing w:before="1"/>
      </w:pPr>
      <w:bookmarkStart w:id="17" w:name="Agency_Recommendations"/>
      <w:bookmarkEnd w:id="17"/>
      <w:r>
        <w:t>Agency</w:t>
      </w:r>
      <w:r>
        <w:rPr>
          <w:spacing w:val="-9"/>
        </w:rPr>
        <w:t xml:space="preserve"> </w:t>
      </w:r>
      <w:r>
        <w:rPr>
          <w:spacing w:val="-2"/>
        </w:rPr>
        <w:t>Recomme</w:t>
      </w:r>
      <w:r>
        <w:rPr>
          <w:spacing w:val="-2"/>
        </w:rPr>
        <w:t>ndations</w:t>
      </w:r>
    </w:p>
    <w:p w:rsidR="00C76E6D" w:rsidRDefault="00913831">
      <w:pPr>
        <w:pStyle w:val="BodyText"/>
        <w:spacing w:before="5"/>
        <w:rPr>
          <w:b/>
          <w:sz w:val="9"/>
        </w:rPr>
      </w:pPr>
      <w:r>
        <w:pict>
          <v:shape id="docshape35" o:spid="_x0000_s1401" style="position:absolute;margin-left:65pt;margin-top:7pt;width:477.45pt;height:.1pt;z-index:-15717888;mso-wrap-distance-left:0;mso-wrap-distance-right:0;mso-position-horizontal-relative:page" coordorigin="1300,140" coordsize="9549,0" path="m1300,140r9549,e" filled="f" strokeweight="1.54pt">
            <v:path arrowok="t"/>
            <w10:wrap type="topAndBottom" anchorx="page"/>
          </v:shape>
        </w:pict>
      </w:r>
    </w:p>
    <w:p w:rsidR="00C76E6D" w:rsidRDefault="00C76E6D">
      <w:pPr>
        <w:pStyle w:val="BodyText"/>
        <w:rPr>
          <w:b/>
          <w:sz w:val="29"/>
        </w:rPr>
      </w:pPr>
    </w:p>
    <w:p w:rsidR="00C76E6D" w:rsidRDefault="00913831">
      <w:pPr>
        <w:pStyle w:val="BodyText"/>
        <w:spacing w:line="276" w:lineRule="auto"/>
        <w:ind w:left="337" w:right="335"/>
        <w:jc w:val="both"/>
      </w:pPr>
      <w:r>
        <w:t>In</w:t>
      </w:r>
      <w:r>
        <w:rPr>
          <w:spacing w:val="40"/>
        </w:rPr>
        <w:t xml:space="preserve"> </w:t>
      </w:r>
      <w:r>
        <w:t>addition</w:t>
      </w:r>
      <w:r>
        <w:rPr>
          <w:spacing w:val="40"/>
        </w:rPr>
        <w:t xml:space="preserve"> </w:t>
      </w:r>
      <w:r>
        <w:t>to</w:t>
      </w:r>
      <w:r>
        <w:rPr>
          <w:spacing w:val="40"/>
        </w:rPr>
        <w:t xml:space="preserve"> </w:t>
      </w:r>
      <w:r>
        <w:t>the</w:t>
      </w:r>
      <w:r>
        <w:rPr>
          <w:spacing w:val="40"/>
        </w:rPr>
        <w:t xml:space="preserve"> </w:t>
      </w:r>
      <w:r>
        <w:t>core</w:t>
      </w:r>
      <w:r>
        <w:rPr>
          <w:spacing w:val="40"/>
        </w:rPr>
        <w:t xml:space="preserve"> </w:t>
      </w:r>
      <w:r>
        <w:t>recommendations</w:t>
      </w:r>
      <w:r>
        <w:rPr>
          <w:spacing w:val="40"/>
        </w:rPr>
        <w:t xml:space="preserve"> </w:t>
      </w:r>
      <w:r>
        <w:t>noted</w:t>
      </w:r>
      <w:r>
        <w:rPr>
          <w:spacing w:val="40"/>
        </w:rPr>
        <w:t xml:space="preserve"> </w:t>
      </w:r>
      <w:r>
        <w:t>above</w:t>
      </w:r>
      <w:r>
        <w:rPr>
          <w:spacing w:val="40"/>
        </w:rPr>
        <w:t xml:space="preserve"> </w:t>
      </w:r>
      <w:r>
        <w:t>–</w:t>
      </w:r>
      <w:r>
        <w:rPr>
          <w:spacing w:val="40"/>
        </w:rPr>
        <w:t xml:space="preserve"> </w:t>
      </w:r>
      <w:r>
        <w:t>which</w:t>
      </w:r>
      <w:r>
        <w:rPr>
          <w:spacing w:val="40"/>
        </w:rPr>
        <w:t xml:space="preserve"> </w:t>
      </w:r>
      <w:r>
        <w:t>require</w:t>
      </w:r>
      <w:r>
        <w:rPr>
          <w:spacing w:val="40"/>
        </w:rPr>
        <w:t xml:space="preserve"> </w:t>
      </w:r>
      <w:r>
        <w:t>legislation,</w:t>
      </w:r>
      <w:r>
        <w:rPr>
          <w:spacing w:val="40"/>
        </w:rPr>
        <w:t xml:space="preserve"> </w:t>
      </w:r>
      <w:r>
        <w:t>executive action, and/or</w:t>
      </w:r>
      <w:r>
        <w:rPr>
          <w:spacing w:val="-2"/>
        </w:rPr>
        <w:t xml:space="preserve"> </w:t>
      </w:r>
      <w:r>
        <w:t>interagency collaboration</w:t>
      </w:r>
      <w:r>
        <w:rPr>
          <w:spacing w:val="-1"/>
        </w:rPr>
        <w:t xml:space="preserve"> </w:t>
      </w:r>
      <w:r>
        <w:t>–</w:t>
      </w:r>
      <w:r>
        <w:rPr>
          <w:spacing w:val="-1"/>
        </w:rPr>
        <w:t xml:space="preserve"> </w:t>
      </w:r>
      <w:r>
        <w:t>the</w:t>
      </w:r>
      <w:r>
        <w:rPr>
          <w:spacing w:val="-1"/>
        </w:rPr>
        <w:t xml:space="preserve"> </w:t>
      </w:r>
      <w:r>
        <w:t>Commission</w:t>
      </w:r>
      <w:r>
        <w:rPr>
          <w:spacing w:val="-2"/>
        </w:rPr>
        <w:t xml:space="preserve"> </w:t>
      </w:r>
      <w:r>
        <w:t>has</w:t>
      </w:r>
      <w:r>
        <w:rPr>
          <w:spacing w:val="-2"/>
        </w:rPr>
        <w:t xml:space="preserve"> </w:t>
      </w:r>
      <w:r>
        <w:t>also</w:t>
      </w:r>
      <w:r>
        <w:rPr>
          <w:spacing w:val="-2"/>
        </w:rPr>
        <w:t xml:space="preserve"> </w:t>
      </w:r>
      <w:r>
        <w:t>issued unique</w:t>
      </w:r>
      <w:r>
        <w:rPr>
          <w:spacing w:val="-2"/>
        </w:rPr>
        <w:t xml:space="preserve"> </w:t>
      </w:r>
      <w:r>
        <w:t>and</w:t>
      </w:r>
      <w:r>
        <w:rPr>
          <w:spacing w:val="-1"/>
        </w:rPr>
        <w:t xml:space="preserve"> </w:t>
      </w:r>
      <w:r>
        <w:t>extensive</w:t>
      </w:r>
      <w:r>
        <w:rPr>
          <w:spacing w:val="-2"/>
        </w:rPr>
        <w:t xml:space="preserve"> </w:t>
      </w:r>
      <w:r>
        <w:t>recommendations to 17 government entities in the state. These recommendations are the result of relationships developed between</w:t>
      </w:r>
      <w:r>
        <w:rPr>
          <w:spacing w:val="-13"/>
        </w:rPr>
        <w:t xml:space="preserve"> </w:t>
      </w:r>
      <w:r>
        <w:t>the</w:t>
      </w:r>
      <w:r>
        <w:rPr>
          <w:spacing w:val="-10"/>
        </w:rPr>
        <w:t xml:space="preserve"> </w:t>
      </w:r>
      <w:r>
        <w:t>Commission</w:t>
      </w:r>
      <w:r>
        <w:rPr>
          <w:spacing w:val="-13"/>
        </w:rPr>
        <w:t xml:space="preserve"> </w:t>
      </w:r>
      <w:r>
        <w:t>and</w:t>
      </w:r>
      <w:r>
        <w:rPr>
          <w:spacing w:val="-12"/>
        </w:rPr>
        <w:t xml:space="preserve"> </w:t>
      </w:r>
      <w:r>
        <w:t>agencies</w:t>
      </w:r>
      <w:r>
        <w:rPr>
          <w:spacing w:val="-11"/>
        </w:rPr>
        <w:t xml:space="preserve"> </w:t>
      </w:r>
      <w:r>
        <w:t>through</w:t>
      </w:r>
      <w:r>
        <w:rPr>
          <w:spacing w:val="-12"/>
        </w:rPr>
        <w:t xml:space="preserve"> </w:t>
      </w:r>
      <w:r>
        <w:t>a</w:t>
      </w:r>
      <w:r>
        <w:rPr>
          <w:spacing w:val="-12"/>
        </w:rPr>
        <w:t xml:space="preserve"> </w:t>
      </w:r>
      <w:r>
        <w:t>liaison</w:t>
      </w:r>
      <w:r>
        <w:rPr>
          <w:spacing w:val="-13"/>
        </w:rPr>
        <w:t xml:space="preserve"> </w:t>
      </w:r>
      <w:r>
        <w:t>system</w:t>
      </w:r>
      <w:r>
        <w:rPr>
          <w:spacing w:val="-11"/>
        </w:rPr>
        <w:t xml:space="preserve"> </w:t>
      </w:r>
      <w:r>
        <w:t>and,</w:t>
      </w:r>
      <w:r>
        <w:rPr>
          <w:spacing w:val="-12"/>
        </w:rPr>
        <w:t xml:space="preserve"> </w:t>
      </w:r>
      <w:r>
        <w:t>as</w:t>
      </w:r>
      <w:r>
        <w:rPr>
          <w:spacing w:val="-10"/>
        </w:rPr>
        <w:t xml:space="preserve"> </w:t>
      </w:r>
      <w:r>
        <w:t>much</w:t>
      </w:r>
      <w:r>
        <w:rPr>
          <w:spacing w:val="-12"/>
        </w:rPr>
        <w:t xml:space="preserve"> </w:t>
      </w:r>
      <w:r>
        <w:t>as</w:t>
      </w:r>
      <w:r>
        <w:rPr>
          <w:spacing w:val="-11"/>
        </w:rPr>
        <w:t xml:space="preserve"> </w:t>
      </w:r>
      <w:r>
        <w:t>is</w:t>
      </w:r>
      <w:r>
        <w:rPr>
          <w:spacing w:val="-11"/>
        </w:rPr>
        <w:t xml:space="preserve"> </w:t>
      </w:r>
      <w:r>
        <w:t>possible,</w:t>
      </w:r>
      <w:r>
        <w:rPr>
          <w:spacing w:val="-11"/>
        </w:rPr>
        <w:t xml:space="preserve"> </w:t>
      </w:r>
      <w:r>
        <w:t>represent</w:t>
      </w:r>
      <w:r>
        <w:rPr>
          <w:spacing w:val="-12"/>
        </w:rPr>
        <w:t xml:space="preserve"> </w:t>
      </w:r>
      <w:r>
        <w:t>shared goals rather than the perspec</w:t>
      </w:r>
      <w:r>
        <w:t>tive of the Commission alone. These recommendations tend to focus on the topics of staff and vendor trainings, increasing LGBTQ-inclusive data collection, crafting LGBTQ nondiscrimination and inclusion policies, and conducting outreach and providing resour</w:t>
      </w:r>
      <w:r>
        <w:t>ces to the LGBTQ youth population.</w:t>
      </w: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913831">
      <w:pPr>
        <w:pStyle w:val="BodyText"/>
        <w:spacing w:before="9"/>
        <w:rPr>
          <w:sz w:val="12"/>
        </w:rPr>
      </w:pPr>
      <w:r>
        <w:pict>
          <v:shape id="docshape36" o:spid="_x0000_s1400" style="position:absolute;margin-left:70.6pt;margin-top:9pt;width:470.95pt;height:.1pt;z-index:-15717376;mso-wrap-distance-left:0;mso-wrap-distance-right:0;mso-position-horizontal-relative:page" coordorigin="1412,180" coordsize="9419,0" path="m1412,180r9419,e" filled="f" strokeweight="1.54pt">
            <v:path arrowok="t"/>
            <w10:wrap type="topAndBottom" anchorx="page"/>
          </v:shape>
        </w:pict>
      </w:r>
    </w:p>
    <w:p w:rsidR="00C76E6D" w:rsidRDefault="00C76E6D">
      <w:pPr>
        <w:pStyle w:val="BodyText"/>
        <w:spacing w:before="9"/>
      </w:pPr>
    </w:p>
    <w:p w:rsidR="00C76E6D" w:rsidRDefault="00913831">
      <w:pPr>
        <w:pStyle w:val="Heading6"/>
        <w:ind w:left="3682" w:right="3683"/>
        <w:jc w:val="center"/>
      </w:pPr>
      <w:r>
        <w:rPr>
          <w:spacing w:val="-2"/>
        </w:rPr>
        <w:t>ENDNOTES</w:t>
      </w:r>
    </w:p>
    <w:p w:rsidR="00C76E6D" w:rsidRDefault="00913831">
      <w:pPr>
        <w:pStyle w:val="BodyText"/>
        <w:spacing w:before="9"/>
        <w:rPr>
          <w:b/>
          <w:sz w:val="25"/>
        </w:rPr>
      </w:pPr>
      <w:r>
        <w:pict>
          <v:shape id="docshape37" o:spid="_x0000_s1399" style="position:absolute;margin-left:70.6pt;margin-top:16.9pt;width:470.95pt;height:.1pt;z-index:-15716864;mso-wrap-distance-left:0;mso-wrap-distance-right:0;mso-position-horizontal-relative:page" coordorigin="1412,338" coordsize="9419,0" path="m1412,338r9419,e" filled="f" strokeweight="1.54pt">
            <v:path arrowok="t"/>
            <w10:wrap type="topAndBottom" anchorx="page"/>
          </v:shape>
        </w:pict>
      </w:r>
    </w:p>
    <w:p w:rsidR="00C76E6D" w:rsidRDefault="00C76E6D">
      <w:pPr>
        <w:pStyle w:val="BodyText"/>
        <w:rPr>
          <w:b/>
        </w:rPr>
      </w:pPr>
    </w:p>
    <w:p w:rsidR="00C76E6D" w:rsidRDefault="00C76E6D">
      <w:pPr>
        <w:pStyle w:val="BodyText"/>
        <w:rPr>
          <w:b/>
          <w:sz w:val="30"/>
        </w:rPr>
      </w:pPr>
    </w:p>
    <w:p w:rsidR="00C76E6D" w:rsidRDefault="00913831">
      <w:pPr>
        <w:spacing w:before="1" w:line="276" w:lineRule="auto"/>
        <w:ind w:left="342" w:right="530" w:hanging="4"/>
        <w:rPr>
          <w:sz w:val="20"/>
        </w:rPr>
      </w:pPr>
      <w:r>
        <w:rPr>
          <w:sz w:val="20"/>
          <w:vertAlign w:val="superscript"/>
        </w:rPr>
        <w:t>1</w:t>
      </w:r>
      <w:r>
        <w:rPr>
          <w:spacing w:val="-7"/>
          <w:sz w:val="20"/>
        </w:rPr>
        <w:t xml:space="preserve"> </w:t>
      </w:r>
      <w:r>
        <w:rPr>
          <w:sz w:val="20"/>
        </w:rPr>
        <w:t>Vallas,</w:t>
      </w:r>
      <w:r>
        <w:rPr>
          <w:spacing w:val="-9"/>
          <w:sz w:val="20"/>
        </w:rPr>
        <w:t xml:space="preserve"> </w:t>
      </w:r>
      <w:r>
        <w:rPr>
          <w:sz w:val="20"/>
        </w:rPr>
        <w:t>R.,</w:t>
      </w:r>
      <w:r>
        <w:rPr>
          <w:spacing w:val="-8"/>
          <w:sz w:val="20"/>
        </w:rPr>
        <w:t xml:space="preserve"> </w:t>
      </w:r>
      <w:r>
        <w:rPr>
          <w:sz w:val="20"/>
        </w:rPr>
        <w:t>&amp;</w:t>
      </w:r>
      <w:r>
        <w:rPr>
          <w:spacing w:val="-8"/>
          <w:sz w:val="20"/>
        </w:rPr>
        <w:t xml:space="preserve"> </w:t>
      </w:r>
      <w:r>
        <w:rPr>
          <w:sz w:val="20"/>
        </w:rPr>
        <w:t>Dietrich,</w:t>
      </w:r>
      <w:r>
        <w:rPr>
          <w:spacing w:val="-8"/>
          <w:sz w:val="20"/>
        </w:rPr>
        <w:t xml:space="preserve"> </w:t>
      </w:r>
      <w:r>
        <w:rPr>
          <w:sz w:val="20"/>
        </w:rPr>
        <w:t>S.</w:t>
      </w:r>
      <w:r>
        <w:rPr>
          <w:spacing w:val="-9"/>
          <w:sz w:val="20"/>
        </w:rPr>
        <w:t xml:space="preserve"> </w:t>
      </w:r>
      <w:r>
        <w:rPr>
          <w:sz w:val="20"/>
        </w:rPr>
        <w:t>(2014).</w:t>
      </w:r>
      <w:r>
        <w:rPr>
          <w:spacing w:val="-10"/>
          <w:sz w:val="20"/>
        </w:rPr>
        <w:t xml:space="preserve"> </w:t>
      </w:r>
      <w:r>
        <w:rPr>
          <w:sz w:val="20"/>
        </w:rPr>
        <w:t>One</w:t>
      </w:r>
      <w:r>
        <w:rPr>
          <w:spacing w:val="-10"/>
          <w:sz w:val="20"/>
        </w:rPr>
        <w:t xml:space="preserve"> </w:t>
      </w:r>
      <w:r>
        <w:rPr>
          <w:sz w:val="20"/>
        </w:rPr>
        <w:t>Strike</w:t>
      </w:r>
      <w:r>
        <w:rPr>
          <w:spacing w:val="-10"/>
          <w:sz w:val="20"/>
        </w:rPr>
        <w:t xml:space="preserve"> </w:t>
      </w:r>
      <w:r>
        <w:rPr>
          <w:sz w:val="20"/>
        </w:rPr>
        <w:t>and</w:t>
      </w:r>
      <w:r>
        <w:rPr>
          <w:spacing w:val="-7"/>
          <w:sz w:val="20"/>
        </w:rPr>
        <w:t xml:space="preserve"> </w:t>
      </w:r>
      <w:r>
        <w:rPr>
          <w:sz w:val="20"/>
        </w:rPr>
        <w:t>You’re</w:t>
      </w:r>
      <w:r>
        <w:rPr>
          <w:spacing w:val="-10"/>
          <w:sz w:val="20"/>
        </w:rPr>
        <w:t xml:space="preserve"> </w:t>
      </w:r>
      <w:r>
        <w:rPr>
          <w:sz w:val="20"/>
        </w:rPr>
        <w:t>Out:</w:t>
      </w:r>
      <w:r>
        <w:rPr>
          <w:spacing w:val="-6"/>
          <w:sz w:val="20"/>
        </w:rPr>
        <w:t xml:space="preserve"> </w:t>
      </w:r>
      <w:r>
        <w:rPr>
          <w:sz w:val="20"/>
        </w:rPr>
        <w:t>How</w:t>
      </w:r>
      <w:r>
        <w:rPr>
          <w:spacing w:val="-10"/>
          <w:sz w:val="20"/>
        </w:rPr>
        <w:t xml:space="preserve"> </w:t>
      </w:r>
      <w:r>
        <w:rPr>
          <w:sz w:val="20"/>
        </w:rPr>
        <w:t>We</w:t>
      </w:r>
      <w:r>
        <w:rPr>
          <w:spacing w:val="-9"/>
          <w:sz w:val="20"/>
        </w:rPr>
        <w:t xml:space="preserve"> </w:t>
      </w:r>
      <w:r>
        <w:rPr>
          <w:sz w:val="20"/>
        </w:rPr>
        <w:t>Can</w:t>
      </w:r>
      <w:r>
        <w:rPr>
          <w:spacing w:val="-8"/>
          <w:sz w:val="20"/>
        </w:rPr>
        <w:t xml:space="preserve"> </w:t>
      </w:r>
      <w:r>
        <w:rPr>
          <w:sz w:val="20"/>
        </w:rPr>
        <w:t>Eliminate</w:t>
      </w:r>
      <w:r>
        <w:rPr>
          <w:spacing w:val="-6"/>
          <w:sz w:val="20"/>
        </w:rPr>
        <w:t xml:space="preserve"> </w:t>
      </w:r>
      <w:r>
        <w:rPr>
          <w:sz w:val="20"/>
        </w:rPr>
        <w:t>Barriers</w:t>
      </w:r>
      <w:r>
        <w:rPr>
          <w:spacing w:val="-10"/>
          <w:sz w:val="20"/>
        </w:rPr>
        <w:t xml:space="preserve"> </w:t>
      </w:r>
      <w:r>
        <w:rPr>
          <w:sz w:val="20"/>
        </w:rPr>
        <w:t>to</w:t>
      </w:r>
      <w:r>
        <w:rPr>
          <w:spacing w:val="-8"/>
          <w:sz w:val="20"/>
        </w:rPr>
        <w:t xml:space="preserve"> </w:t>
      </w:r>
      <w:r>
        <w:rPr>
          <w:sz w:val="20"/>
        </w:rPr>
        <w:t>Economic</w:t>
      </w:r>
      <w:r>
        <w:rPr>
          <w:spacing w:val="-8"/>
          <w:sz w:val="20"/>
        </w:rPr>
        <w:t xml:space="preserve"> </w:t>
      </w:r>
      <w:r>
        <w:rPr>
          <w:sz w:val="20"/>
        </w:rPr>
        <w:t>Security</w:t>
      </w:r>
      <w:r>
        <w:rPr>
          <w:spacing w:val="-5"/>
          <w:sz w:val="20"/>
        </w:rPr>
        <w:t xml:space="preserve"> </w:t>
      </w:r>
      <w:r>
        <w:rPr>
          <w:sz w:val="20"/>
        </w:rPr>
        <w:t xml:space="preserve">and Mobility for People with Juvenile Records. </w:t>
      </w:r>
      <w:r>
        <w:rPr>
          <w:i/>
          <w:sz w:val="20"/>
        </w:rPr>
        <w:t>Center for American Progress</w:t>
      </w:r>
      <w:r>
        <w:rPr>
          <w:sz w:val="20"/>
        </w:rPr>
        <w:t>.</w:t>
      </w:r>
    </w:p>
    <w:p w:rsidR="00C76E6D" w:rsidRDefault="00913831">
      <w:pPr>
        <w:spacing w:before="2"/>
        <w:ind w:left="338"/>
        <w:rPr>
          <w:sz w:val="20"/>
        </w:rPr>
      </w:pPr>
      <w:r>
        <w:rPr>
          <w:sz w:val="20"/>
          <w:vertAlign w:val="superscript"/>
        </w:rPr>
        <w:t>2</w:t>
      </w:r>
      <w:r>
        <w:rPr>
          <w:spacing w:val="-7"/>
          <w:sz w:val="20"/>
        </w:rPr>
        <w:t xml:space="preserve"> </w:t>
      </w:r>
      <w:r>
        <w:rPr>
          <w:sz w:val="20"/>
        </w:rPr>
        <w:t>Wilson,</w:t>
      </w:r>
      <w:r>
        <w:rPr>
          <w:spacing w:val="-5"/>
          <w:sz w:val="20"/>
        </w:rPr>
        <w:t xml:space="preserve"> </w:t>
      </w:r>
      <w:r>
        <w:rPr>
          <w:sz w:val="20"/>
        </w:rPr>
        <w:t>B.</w:t>
      </w:r>
      <w:r>
        <w:rPr>
          <w:spacing w:val="-7"/>
          <w:sz w:val="20"/>
        </w:rPr>
        <w:t xml:space="preserve"> </w:t>
      </w:r>
      <w:r>
        <w:rPr>
          <w:sz w:val="20"/>
        </w:rPr>
        <w:t>D.</w:t>
      </w:r>
      <w:r>
        <w:rPr>
          <w:spacing w:val="-9"/>
          <w:sz w:val="20"/>
        </w:rPr>
        <w:t xml:space="preserve"> </w:t>
      </w:r>
      <w:r>
        <w:rPr>
          <w:sz w:val="20"/>
        </w:rPr>
        <w:t>M.,</w:t>
      </w:r>
      <w:r>
        <w:rPr>
          <w:spacing w:val="-5"/>
          <w:sz w:val="20"/>
        </w:rPr>
        <w:t xml:space="preserve"> </w:t>
      </w:r>
      <w:r>
        <w:rPr>
          <w:sz w:val="20"/>
        </w:rPr>
        <w:t>et</w:t>
      </w:r>
      <w:r>
        <w:rPr>
          <w:spacing w:val="-7"/>
          <w:sz w:val="20"/>
        </w:rPr>
        <w:t xml:space="preserve"> </w:t>
      </w:r>
      <w:r>
        <w:rPr>
          <w:sz w:val="20"/>
        </w:rPr>
        <w:t>al.</w:t>
      </w:r>
      <w:r>
        <w:rPr>
          <w:spacing w:val="-4"/>
          <w:sz w:val="20"/>
        </w:rPr>
        <w:t xml:space="preserve"> </w:t>
      </w:r>
      <w:r>
        <w:rPr>
          <w:spacing w:val="-2"/>
          <w:sz w:val="20"/>
        </w:rPr>
        <w:t>(2017).</w:t>
      </w:r>
    </w:p>
    <w:p w:rsidR="00C76E6D" w:rsidRDefault="00913831">
      <w:pPr>
        <w:spacing w:before="35" w:line="276" w:lineRule="auto"/>
        <w:ind w:left="340" w:right="3549" w:hanging="2"/>
        <w:rPr>
          <w:sz w:val="20"/>
        </w:rPr>
      </w:pPr>
      <w:r>
        <w:rPr>
          <w:sz w:val="20"/>
          <w:vertAlign w:val="superscript"/>
        </w:rPr>
        <w:t>3</w:t>
      </w:r>
      <w:r>
        <w:rPr>
          <w:spacing w:val="-12"/>
          <w:sz w:val="20"/>
        </w:rPr>
        <w:t xml:space="preserve"> </w:t>
      </w:r>
      <w:r>
        <w:rPr>
          <w:sz w:val="20"/>
        </w:rPr>
        <w:t>Lambda</w:t>
      </w:r>
      <w:r>
        <w:rPr>
          <w:spacing w:val="-11"/>
          <w:sz w:val="20"/>
        </w:rPr>
        <w:t xml:space="preserve"> </w:t>
      </w:r>
      <w:r>
        <w:rPr>
          <w:sz w:val="20"/>
        </w:rPr>
        <w:t>Legal.</w:t>
      </w:r>
      <w:r>
        <w:rPr>
          <w:spacing w:val="-11"/>
          <w:sz w:val="20"/>
        </w:rPr>
        <w:t xml:space="preserve"> </w:t>
      </w:r>
      <w:r>
        <w:rPr>
          <w:sz w:val="20"/>
        </w:rPr>
        <w:t>(2016).</w:t>
      </w:r>
      <w:r>
        <w:rPr>
          <w:spacing w:val="-12"/>
          <w:sz w:val="20"/>
        </w:rPr>
        <w:t xml:space="preserve"> </w:t>
      </w:r>
      <w:r>
        <w:rPr>
          <w:sz w:val="20"/>
        </w:rPr>
        <w:t>Protected</w:t>
      </w:r>
      <w:r>
        <w:rPr>
          <w:spacing w:val="-11"/>
          <w:sz w:val="20"/>
        </w:rPr>
        <w:t xml:space="preserve"> </w:t>
      </w:r>
      <w:r>
        <w:rPr>
          <w:sz w:val="20"/>
        </w:rPr>
        <w:t>and</w:t>
      </w:r>
      <w:r>
        <w:rPr>
          <w:spacing w:val="-11"/>
          <w:sz w:val="20"/>
        </w:rPr>
        <w:t xml:space="preserve"> </w:t>
      </w:r>
      <w:r>
        <w:rPr>
          <w:sz w:val="20"/>
        </w:rPr>
        <w:t>Served?:</w:t>
      </w:r>
      <w:r>
        <w:rPr>
          <w:spacing w:val="-12"/>
          <w:sz w:val="20"/>
        </w:rPr>
        <w:t xml:space="preserve"> </w:t>
      </w:r>
      <w:r>
        <w:rPr>
          <w:sz w:val="20"/>
        </w:rPr>
        <w:t>Jails</w:t>
      </w:r>
      <w:r>
        <w:rPr>
          <w:spacing w:val="-11"/>
          <w:sz w:val="20"/>
        </w:rPr>
        <w:t xml:space="preserve"> </w:t>
      </w:r>
      <w:r>
        <w:rPr>
          <w:sz w:val="20"/>
        </w:rPr>
        <w:t>and</w:t>
      </w:r>
      <w:r>
        <w:rPr>
          <w:spacing w:val="-11"/>
          <w:sz w:val="20"/>
        </w:rPr>
        <w:t xml:space="preserve"> </w:t>
      </w:r>
      <w:r>
        <w:rPr>
          <w:sz w:val="20"/>
        </w:rPr>
        <w:t>Prisons.</w:t>
      </w:r>
      <w:r>
        <w:rPr>
          <w:spacing w:val="-12"/>
          <w:sz w:val="20"/>
        </w:rPr>
        <w:t xml:space="preserve"> </w:t>
      </w:r>
      <w:r>
        <w:rPr>
          <w:sz w:val="20"/>
        </w:rPr>
        <w:t>Retrieved</w:t>
      </w:r>
      <w:r>
        <w:rPr>
          <w:spacing w:val="-11"/>
          <w:sz w:val="20"/>
        </w:rPr>
        <w:t xml:space="preserve"> </w:t>
      </w:r>
      <w:r>
        <w:rPr>
          <w:sz w:val="20"/>
        </w:rPr>
        <w:t xml:space="preserve">from </w:t>
      </w:r>
      <w:r>
        <w:rPr>
          <w:spacing w:val="-2"/>
          <w:sz w:val="20"/>
        </w:rPr>
        <w:t>https:/</w:t>
      </w:r>
      <w:hyperlink r:id="rId25">
        <w:r>
          <w:rPr>
            <w:spacing w:val="-2"/>
            <w:sz w:val="20"/>
          </w:rPr>
          <w:t>/w</w:t>
        </w:r>
      </w:hyperlink>
      <w:r>
        <w:rPr>
          <w:spacing w:val="-2"/>
          <w:sz w:val="20"/>
        </w:rPr>
        <w:t>w</w:t>
      </w:r>
      <w:hyperlink r:id="rId26">
        <w:r>
          <w:rPr>
            <w:spacing w:val="-2"/>
            <w:sz w:val="20"/>
          </w:rPr>
          <w:t>w.lambdalegal.org/protected-and-served/jails-and-prisons</w:t>
        </w:r>
      </w:hyperlink>
    </w:p>
    <w:p w:rsidR="00C76E6D" w:rsidRDefault="00913831">
      <w:pPr>
        <w:spacing w:before="1"/>
        <w:ind w:left="338"/>
        <w:rPr>
          <w:sz w:val="20"/>
        </w:rPr>
      </w:pPr>
      <w:r>
        <w:rPr>
          <w:spacing w:val="-2"/>
          <w:sz w:val="20"/>
          <w:vertAlign w:val="superscript"/>
        </w:rPr>
        <w:t>4</w:t>
      </w:r>
      <w:r>
        <w:rPr>
          <w:spacing w:val="-1"/>
          <w:sz w:val="20"/>
        </w:rPr>
        <w:t xml:space="preserve"> </w:t>
      </w:r>
      <w:r>
        <w:rPr>
          <w:spacing w:val="-2"/>
          <w:sz w:val="20"/>
        </w:rPr>
        <w:t>Stemming the Rising</w:t>
      </w:r>
      <w:r>
        <w:rPr>
          <w:spacing w:val="-1"/>
          <w:sz w:val="20"/>
        </w:rPr>
        <w:t xml:space="preserve"> </w:t>
      </w:r>
      <w:r>
        <w:rPr>
          <w:spacing w:val="-2"/>
          <w:sz w:val="20"/>
        </w:rPr>
        <w:t>Tide: Racial</w:t>
      </w:r>
      <w:r>
        <w:rPr>
          <w:spacing w:val="-1"/>
          <w:sz w:val="20"/>
        </w:rPr>
        <w:t xml:space="preserve"> </w:t>
      </w:r>
      <w:r>
        <w:rPr>
          <w:spacing w:val="-2"/>
          <w:sz w:val="20"/>
        </w:rPr>
        <w:t>&amp;</w:t>
      </w:r>
      <w:r>
        <w:rPr>
          <w:spacing w:val="-1"/>
          <w:sz w:val="20"/>
        </w:rPr>
        <w:t xml:space="preserve"> </w:t>
      </w:r>
      <w:r>
        <w:rPr>
          <w:spacing w:val="-2"/>
          <w:sz w:val="20"/>
        </w:rPr>
        <w:t>Ethnic Disparities in</w:t>
      </w:r>
      <w:r>
        <w:rPr>
          <w:spacing w:val="1"/>
          <w:sz w:val="20"/>
        </w:rPr>
        <w:t xml:space="preserve"> </w:t>
      </w:r>
      <w:r>
        <w:rPr>
          <w:spacing w:val="-2"/>
          <w:sz w:val="20"/>
        </w:rPr>
        <w:t>Youth</w:t>
      </w:r>
      <w:r>
        <w:rPr>
          <w:spacing w:val="2"/>
          <w:sz w:val="20"/>
        </w:rPr>
        <w:t xml:space="preserve"> </w:t>
      </w:r>
      <w:r>
        <w:rPr>
          <w:spacing w:val="-2"/>
          <w:sz w:val="20"/>
        </w:rPr>
        <w:t>Incarceration</w:t>
      </w:r>
      <w:r>
        <w:rPr>
          <w:spacing w:val="3"/>
          <w:sz w:val="20"/>
        </w:rPr>
        <w:t xml:space="preserve"> </w:t>
      </w:r>
      <w:r>
        <w:rPr>
          <w:spacing w:val="-2"/>
          <w:sz w:val="20"/>
        </w:rPr>
        <w:t>&amp;</w:t>
      </w:r>
      <w:r>
        <w:rPr>
          <w:spacing w:val="-1"/>
          <w:sz w:val="20"/>
        </w:rPr>
        <w:t xml:space="preserve"> </w:t>
      </w:r>
      <w:r>
        <w:rPr>
          <w:spacing w:val="-2"/>
          <w:sz w:val="20"/>
        </w:rPr>
        <w:t>Strategies for</w:t>
      </w:r>
      <w:r>
        <w:rPr>
          <w:spacing w:val="-1"/>
          <w:sz w:val="20"/>
        </w:rPr>
        <w:t xml:space="preserve"> </w:t>
      </w:r>
      <w:r>
        <w:rPr>
          <w:spacing w:val="-2"/>
          <w:sz w:val="20"/>
        </w:rPr>
        <w:t xml:space="preserve">Change. (2016). </w:t>
      </w:r>
      <w:r>
        <w:rPr>
          <w:spacing w:val="-5"/>
          <w:sz w:val="20"/>
        </w:rPr>
        <w:t>The</w:t>
      </w:r>
    </w:p>
    <w:p w:rsidR="00C76E6D" w:rsidRDefault="00C76E6D">
      <w:pPr>
        <w:rPr>
          <w:sz w:val="20"/>
        </w:rPr>
        <w:sectPr w:rsidR="00C76E6D">
          <w:pgSz w:w="12240" w:h="15840"/>
          <w:pgMar w:top="1000" w:right="960" w:bottom="780" w:left="960" w:header="811" w:footer="584" w:gutter="0"/>
          <w:cols w:space="720"/>
        </w:sectPr>
      </w:pPr>
    </w:p>
    <w:p w:rsidR="00C76E6D" w:rsidRDefault="00C76E6D">
      <w:pPr>
        <w:pStyle w:val="BodyText"/>
        <w:spacing w:before="8"/>
        <w:rPr>
          <w:sz w:val="23"/>
        </w:rPr>
      </w:pPr>
    </w:p>
    <w:p w:rsidR="00C76E6D" w:rsidRDefault="00913831">
      <w:pPr>
        <w:spacing w:before="60" w:line="276" w:lineRule="auto"/>
        <w:ind w:left="339" w:right="541" w:hanging="2"/>
        <w:rPr>
          <w:sz w:val="20"/>
        </w:rPr>
      </w:pPr>
      <w:r>
        <w:rPr>
          <w:spacing w:val="-2"/>
          <w:sz w:val="20"/>
        </w:rPr>
        <w:t>W.</w:t>
      </w:r>
      <w:r>
        <w:rPr>
          <w:spacing w:val="-8"/>
          <w:sz w:val="20"/>
        </w:rPr>
        <w:t xml:space="preserve"> </w:t>
      </w:r>
      <w:r>
        <w:rPr>
          <w:spacing w:val="-2"/>
          <w:sz w:val="20"/>
        </w:rPr>
        <w:t>Haywood</w:t>
      </w:r>
      <w:r>
        <w:rPr>
          <w:spacing w:val="-8"/>
          <w:sz w:val="20"/>
        </w:rPr>
        <w:t xml:space="preserve"> </w:t>
      </w:r>
      <w:r>
        <w:rPr>
          <w:spacing w:val="-2"/>
          <w:sz w:val="20"/>
        </w:rPr>
        <w:t>Burns</w:t>
      </w:r>
      <w:r>
        <w:rPr>
          <w:spacing w:val="-8"/>
          <w:sz w:val="20"/>
        </w:rPr>
        <w:t xml:space="preserve"> </w:t>
      </w:r>
      <w:r>
        <w:rPr>
          <w:spacing w:val="-2"/>
          <w:sz w:val="20"/>
        </w:rPr>
        <w:t>Institute.</w:t>
      </w:r>
      <w:r>
        <w:rPr>
          <w:spacing w:val="-7"/>
          <w:sz w:val="20"/>
        </w:rPr>
        <w:t xml:space="preserve"> </w:t>
      </w:r>
      <w:r>
        <w:rPr>
          <w:spacing w:val="-2"/>
          <w:sz w:val="20"/>
        </w:rPr>
        <w:t>Retrieved</w:t>
      </w:r>
      <w:r>
        <w:rPr>
          <w:spacing w:val="-8"/>
          <w:sz w:val="20"/>
        </w:rPr>
        <w:t xml:space="preserve"> </w:t>
      </w:r>
      <w:r>
        <w:rPr>
          <w:spacing w:val="-2"/>
          <w:sz w:val="20"/>
        </w:rPr>
        <w:t>from</w:t>
      </w:r>
      <w:r>
        <w:rPr>
          <w:spacing w:val="-7"/>
          <w:sz w:val="20"/>
        </w:rPr>
        <w:t xml:space="preserve"> </w:t>
      </w:r>
      <w:hyperlink r:id="rId27">
        <w:r>
          <w:rPr>
            <w:spacing w:val="-2"/>
            <w:sz w:val="20"/>
          </w:rPr>
          <w:t>http://www.burnsinstitute.org/wp-</w:t>
        </w:r>
        <w:r>
          <w:rPr>
            <w:spacing w:val="-8"/>
            <w:sz w:val="20"/>
          </w:rPr>
          <w:t xml:space="preserve"> </w:t>
        </w:r>
      </w:hyperlink>
      <w:hyperlink r:id="rId28">
        <w:r>
          <w:rPr>
            <w:spacing w:val="-2"/>
            <w:sz w:val="20"/>
          </w:rPr>
          <w:t>content/uploads/2016/05/Stemming-</w:t>
        </w:r>
      </w:hyperlink>
      <w:r>
        <w:rPr>
          <w:spacing w:val="-2"/>
          <w:sz w:val="20"/>
        </w:rPr>
        <w:t xml:space="preserve"> </w:t>
      </w:r>
      <w:hyperlink r:id="rId29">
        <w:r>
          <w:rPr>
            <w:spacing w:val="-2"/>
            <w:sz w:val="20"/>
          </w:rPr>
          <w:t>the-Rising-Tide_FINAL.pdf</w:t>
        </w:r>
      </w:hyperlink>
    </w:p>
    <w:p w:rsidR="00C76E6D" w:rsidRDefault="00913831">
      <w:pPr>
        <w:spacing w:before="1"/>
        <w:ind w:left="338"/>
        <w:rPr>
          <w:sz w:val="20"/>
        </w:rPr>
      </w:pPr>
      <w:r>
        <w:rPr>
          <w:sz w:val="20"/>
          <w:vertAlign w:val="superscript"/>
        </w:rPr>
        <w:t>5</w:t>
      </w:r>
      <w:r>
        <w:rPr>
          <w:spacing w:val="-7"/>
          <w:sz w:val="20"/>
        </w:rPr>
        <w:t xml:space="preserve"> </w:t>
      </w:r>
      <w:r>
        <w:rPr>
          <w:sz w:val="20"/>
        </w:rPr>
        <w:t>Wilson,</w:t>
      </w:r>
      <w:r>
        <w:rPr>
          <w:spacing w:val="-5"/>
          <w:sz w:val="20"/>
        </w:rPr>
        <w:t xml:space="preserve"> </w:t>
      </w:r>
      <w:r>
        <w:rPr>
          <w:sz w:val="20"/>
        </w:rPr>
        <w:t>B.</w:t>
      </w:r>
      <w:r>
        <w:rPr>
          <w:spacing w:val="-6"/>
          <w:sz w:val="20"/>
        </w:rPr>
        <w:t xml:space="preserve"> </w:t>
      </w:r>
      <w:r>
        <w:rPr>
          <w:sz w:val="20"/>
        </w:rPr>
        <w:t>D.</w:t>
      </w:r>
      <w:r>
        <w:rPr>
          <w:spacing w:val="-10"/>
          <w:sz w:val="20"/>
        </w:rPr>
        <w:t xml:space="preserve"> </w:t>
      </w:r>
      <w:r>
        <w:rPr>
          <w:sz w:val="20"/>
        </w:rPr>
        <w:t>M.,</w:t>
      </w:r>
      <w:r>
        <w:rPr>
          <w:spacing w:val="-6"/>
          <w:sz w:val="20"/>
        </w:rPr>
        <w:t xml:space="preserve"> </w:t>
      </w:r>
      <w:r>
        <w:rPr>
          <w:sz w:val="20"/>
        </w:rPr>
        <w:t>et</w:t>
      </w:r>
      <w:r>
        <w:rPr>
          <w:spacing w:val="-6"/>
          <w:sz w:val="20"/>
        </w:rPr>
        <w:t xml:space="preserve"> </w:t>
      </w:r>
      <w:r>
        <w:rPr>
          <w:sz w:val="20"/>
        </w:rPr>
        <w:t>al.</w:t>
      </w:r>
      <w:r>
        <w:rPr>
          <w:spacing w:val="-7"/>
          <w:sz w:val="20"/>
        </w:rPr>
        <w:t xml:space="preserve"> </w:t>
      </w:r>
      <w:r>
        <w:rPr>
          <w:spacing w:val="-2"/>
          <w:sz w:val="20"/>
        </w:rPr>
        <w:t>(2017).</w:t>
      </w:r>
    </w:p>
    <w:p w:rsidR="00C76E6D" w:rsidRDefault="00913831">
      <w:pPr>
        <w:spacing w:before="37" w:line="276" w:lineRule="auto"/>
        <w:ind w:left="339" w:right="437" w:hanging="2"/>
        <w:rPr>
          <w:sz w:val="20"/>
        </w:rPr>
      </w:pPr>
      <w:r>
        <w:rPr>
          <w:sz w:val="20"/>
          <w:vertAlign w:val="superscript"/>
        </w:rPr>
        <w:t>6</w:t>
      </w:r>
      <w:r>
        <w:rPr>
          <w:sz w:val="20"/>
        </w:rPr>
        <w:t xml:space="preserve"> Brockman,</w:t>
      </w:r>
      <w:r>
        <w:rPr>
          <w:spacing w:val="-1"/>
          <w:sz w:val="20"/>
        </w:rPr>
        <w:t xml:space="preserve"> </w:t>
      </w:r>
      <w:r>
        <w:rPr>
          <w:sz w:val="20"/>
        </w:rPr>
        <w:t>B., Cahill S., Henry,</w:t>
      </w:r>
      <w:r>
        <w:rPr>
          <w:spacing w:val="-1"/>
          <w:sz w:val="20"/>
        </w:rPr>
        <w:t xml:space="preserve"> </w:t>
      </w:r>
      <w:r>
        <w:rPr>
          <w:sz w:val="20"/>
        </w:rPr>
        <w:t>V.,</w:t>
      </w:r>
      <w:r>
        <w:rPr>
          <w:spacing w:val="-1"/>
          <w:sz w:val="20"/>
        </w:rPr>
        <w:t xml:space="preserve"> </w:t>
      </w:r>
      <w:r>
        <w:rPr>
          <w:sz w:val="20"/>
        </w:rPr>
        <w:t>&amp;</w:t>
      </w:r>
      <w:r>
        <w:rPr>
          <w:spacing w:val="-1"/>
          <w:sz w:val="20"/>
        </w:rPr>
        <w:t xml:space="preserve"> </w:t>
      </w:r>
      <w:r>
        <w:rPr>
          <w:sz w:val="20"/>
        </w:rPr>
        <w:t>Wang,</w:t>
      </w:r>
      <w:r>
        <w:rPr>
          <w:spacing w:val="-2"/>
          <w:sz w:val="20"/>
        </w:rPr>
        <w:t xml:space="preserve"> </w:t>
      </w:r>
      <w:r>
        <w:rPr>
          <w:sz w:val="20"/>
        </w:rPr>
        <w:t>T</w:t>
      </w:r>
      <w:r>
        <w:rPr>
          <w:spacing w:val="-1"/>
          <w:sz w:val="20"/>
        </w:rPr>
        <w:t xml:space="preserve"> </w:t>
      </w:r>
      <w:r>
        <w:rPr>
          <w:sz w:val="20"/>
        </w:rPr>
        <w:t>(2018).</w:t>
      </w:r>
      <w:r>
        <w:rPr>
          <w:spacing w:val="-1"/>
          <w:sz w:val="20"/>
        </w:rPr>
        <w:t xml:space="preserve"> </w:t>
      </w:r>
      <w:r>
        <w:rPr>
          <w:sz w:val="20"/>
        </w:rPr>
        <w:t>Emerging</w:t>
      </w:r>
      <w:r>
        <w:rPr>
          <w:spacing w:val="-1"/>
          <w:sz w:val="20"/>
        </w:rPr>
        <w:t xml:space="preserve"> </w:t>
      </w:r>
      <w:r>
        <w:rPr>
          <w:sz w:val="20"/>
        </w:rPr>
        <w:t>Best Practices for the Management and</w:t>
      </w:r>
      <w:r>
        <w:rPr>
          <w:spacing w:val="-1"/>
          <w:sz w:val="20"/>
        </w:rPr>
        <w:t xml:space="preserve"> </w:t>
      </w:r>
      <w:r>
        <w:rPr>
          <w:sz w:val="20"/>
        </w:rPr>
        <w:t>Treatment of Lesbian,</w:t>
      </w:r>
      <w:r>
        <w:rPr>
          <w:spacing w:val="-6"/>
          <w:sz w:val="20"/>
        </w:rPr>
        <w:t xml:space="preserve"> </w:t>
      </w:r>
      <w:r>
        <w:rPr>
          <w:sz w:val="20"/>
        </w:rPr>
        <w:t>Gay,</w:t>
      </w:r>
      <w:r>
        <w:rPr>
          <w:spacing w:val="-8"/>
          <w:sz w:val="20"/>
        </w:rPr>
        <w:t xml:space="preserve"> </w:t>
      </w:r>
      <w:r>
        <w:rPr>
          <w:sz w:val="20"/>
        </w:rPr>
        <w:t>Bisexual,</w:t>
      </w:r>
      <w:r>
        <w:rPr>
          <w:spacing w:val="-6"/>
          <w:sz w:val="20"/>
        </w:rPr>
        <w:t xml:space="preserve"> </w:t>
      </w:r>
      <w:r>
        <w:rPr>
          <w:sz w:val="20"/>
        </w:rPr>
        <w:t>Transgender,</w:t>
      </w:r>
      <w:r>
        <w:rPr>
          <w:spacing w:val="-8"/>
          <w:sz w:val="20"/>
        </w:rPr>
        <w:t xml:space="preserve"> </w:t>
      </w:r>
      <w:r>
        <w:rPr>
          <w:sz w:val="20"/>
        </w:rPr>
        <w:t>Questioning,</w:t>
      </w:r>
      <w:r>
        <w:rPr>
          <w:spacing w:val="-6"/>
          <w:sz w:val="20"/>
        </w:rPr>
        <w:t xml:space="preserve"> </w:t>
      </w:r>
      <w:r>
        <w:rPr>
          <w:sz w:val="20"/>
        </w:rPr>
        <w:t>and</w:t>
      </w:r>
      <w:r>
        <w:rPr>
          <w:spacing w:val="-6"/>
          <w:sz w:val="20"/>
        </w:rPr>
        <w:t xml:space="preserve"> </w:t>
      </w:r>
      <w:r>
        <w:rPr>
          <w:sz w:val="20"/>
        </w:rPr>
        <w:t>Intersex</w:t>
      </w:r>
      <w:r>
        <w:rPr>
          <w:spacing w:val="-7"/>
          <w:sz w:val="20"/>
        </w:rPr>
        <w:t xml:space="preserve"> </w:t>
      </w:r>
      <w:r>
        <w:rPr>
          <w:sz w:val="20"/>
        </w:rPr>
        <w:t>Youth</w:t>
      </w:r>
      <w:r>
        <w:rPr>
          <w:spacing w:val="-6"/>
          <w:sz w:val="20"/>
        </w:rPr>
        <w:t xml:space="preserve"> </w:t>
      </w:r>
      <w:r>
        <w:rPr>
          <w:sz w:val="20"/>
        </w:rPr>
        <w:t>in</w:t>
      </w:r>
      <w:r>
        <w:rPr>
          <w:spacing w:val="-6"/>
          <w:sz w:val="20"/>
        </w:rPr>
        <w:t xml:space="preserve"> </w:t>
      </w:r>
      <w:r>
        <w:rPr>
          <w:sz w:val="20"/>
        </w:rPr>
        <w:t>Juvenile</w:t>
      </w:r>
      <w:r>
        <w:rPr>
          <w:spacing w:val="-7"/>
          <w:sz w:val="20"/>
        </w:rPr>
        <w:t xml:space="preserve"> </w:t>
      </w:r>
      <w:r>
        <w:rPr>
          <w:sz w:val="20"/>
        </w:rPr>
        <w:t>Justice</w:t>
      </w:r>
      <w:r>
        <w:rPr>
          <w:spacing w:val="-6"/>
          <w:sz w:val="20"/>
        </w:rPr>
        <w:t xml:space="preserve"> </w:t>
      </w:r>
      <w:r>
        <w:rPr>
          <w:sz w:val="20"/>
        </w:rPr>
        <w:t>Settings.</w:t>
      </w:r>
      <w:r>
        <w:rPr>
          <w:spacing w:val="-7"/>
          <w:sz w:val="20"/>
        </w:rPr>
        <w:t xml:space="preserve"> </w:t>
      </w:r>
      <w:r>
        <w:rPr>
          <w:sz w:val="20"/>
        </w:rPr>
        <w:t>The</w:t>
      </w:r>
      <w:r>
        <w:rPr>
          <w:spacing w:val="-7"/>
          <w:sz w:val="20"/>
        </w:rPr>
        <w:t xml:space="preserve"> </w:t>
      </w:r>
      <w:r>
        <w:rPr>
          <w:sz w:val="20"/>
        </w:rPr>
        <w:t>Fenway</w:t>
      </w:r>
      <w:r>
        <w:rPr>
          <w:spacing w:val="-6"/>
          <w:sz w:val="20"/>
        </w:rPr>
        <w:t xml:space="preserve"> </w:t>
      </w:r>
      <w:r>
        <w:rPr>
          <w:sz w:val="20"/>
        </w:rPr>
        <w:t xml:space="preserve">Institute and The Center for Prisoner Health and Human Rights. Retrieved from: https://fenwayhealth.org/wp- </w:t>
      </w:r>
      <w:r>
        <w:rPr>
          <w:spacing w:val="-2"/>
          <w:sz w:val="20"/>
        </w:rPr>
        <w:t>content/uploads/TFIP-21_BestPracticesForLGBTYouthInJuvenileJustice_Brief_web.pdf</w:t>
      </w:r>
    </w:p>
    <w:p w:rsidR="00C76E6D" w:rsidRDefault="00913831">
      <w:pPr>
        <w:spacing w:line="276" w:lineRule="auto"/>
        <w:ind w:left="340" w:hanging="3"/>
        <w:rPr>
          <w:sz w:val="20"/>
        </w:rPr>
      </w:pPr>
      <w:r>
        <w:rPr>
          <w:sz w:val="20"/>
          <w:vertAlign w:val="superscript"/>
        </w:rPr>
        <w:t>7</w:t>
      </w:r>
      <w:r>
        <w:rPr>
          <w:spacing w:val="-5"/>
          <w:sz w:val="20"/>
        </w:rPr>
        <w:t xml:space="preserve"> </w:t>
      </w:r>
      <w:r>
        <w:rPr>
          <w:sz w:val="20"/>
        </w:rPr>
        <w:t>Sexual</w:t>
      </w:r>
      <w:r>
        <w:rPr>
          <w:spacing w:val="-6"/>
          <w:sz w:val="20"/>
        </w:rPr>
        <w:t xml:space="preserve"> </w:t>
      </w:r>
      <w:r>
        <w:rPr>
          <w:sz w:val="20"/>
        </w:rPr>
        <w:t>violence</w:t>
      </w:r>
      <w:r>
        <w:rPr>
          <w:spacing w:val="-5"/>
          <w:sz w:val="20"/>
        </w:rPr>
        <w:t xml:space="preserve"> </w:t>
      </w:r>
      <w:r>
        <w:rPr>
          <w:sz w:val="20"/>
        </w:rPr>
        <w:t>is</w:t>
      </w:r>
      <w:r>
        <w:rPr>
          <w:spacing w:val="-8"/>
          <w:sz w:val="20"/>
        </w:rPr>
        <w:t xml:space="preserve"> </w:t>
      </w:r>
      <w:r>
        <w:rPr>
          <w:sz w:val="20"/>
        </w:rPr>
        <w:t>defined</w:t>
      </w:r>
      <w:r>
        <w:rPr>
          <w:spacing w:val="-4"/>
          <w:sz w:val="20"/>
        </w:rPr>
        <w:t xml:space="preserve"> </w:t>
      </w:r>
      <w:r>
        <w:rPr>
          <w:sz w:val="20"/>
        </w:rPr>
        <w:t>as</w:t>
      </w:r>
      <w:r>
        <w:rPr>
          <w:spacing w:val="-6"/>
          <w:sz w:val="20"/>
        </w:rPr>
        <w:t xml:space="preserve"> </w:t>
      </w:r>
      <w:r>
        <w:rPr>
          <w:sz w:val="20"/>
        </w:rPr>
        <w:t>any</w:t>
      </w:r>
      <w:r>
        <w:rPr>
          <w:spacing w:val="-5"/>
          <w:sz w:val="20"/>
        </w:rPr>
        <w:t xml:space="preserve"> </w:t>
      </w:r>
      <w:r>
        <w:rPr>
          <w:sz w:val="20"/>
        </w:rPr>
        <w:t>sexual</w:t>
      </w:r>
      <w:r>
        <w:rPr>
          <w:spacing w:val="-5"/>
          <w:sz w:val="20"/>
        </w:rPr>
        <w:t xml:space="preserve"> </w:t>
      </w:r>
      <w:r>
        <w:rPr>
          <w:sz w:val="20"/>
        </w:rPr>
        <w:t>interaction</w:t>
      </w:r>
      <w:r>
        <w:rPr>
          <w:spacing w:val="-5"/>
          <w:sz w:val="20"/>
        </w:rPr>
        <w:t xml:space="preserve"> </w:t>
      </w:r>
      <w:r>
        <w:rPr>
          <w:sz w:val="20"/>
        </w:rPr>
        <w:t>where</w:t>
      </w:r>
      <w:r>
        <w:rPr>
          <w:spacing w:val="-6"/>
          <w:sz w:val="20"/>
        </w:rPr>
        <w:t xml:space="preserve"> </w:t>
      </w:r>
      <w:r>
        <w:rPr>
          <w:sz w:val="20"/>
        </w:rPr>
        <w:t>an</w:t>
      </w:r>
      <w:r>
        <w:rPr>
          <w:spacing w:val="-4"/>
          <w:sz w:val="20"/>
        </w:rPr>
        <w:t xml:space="preserve"> </w:t>
      </w:r>
      <w:r>
        <w:rPr>
          <w:sz w:val="20"/>
        </w:rPr>
        <w:t>off</w:t>
      </w:r>
      <w:r>
        <w:rPr>
          <w:sz w:val="20"/>
        </w:rPr>
        <w:t>ender</w:t>
      </w:r>
      <w:r>
        <w:rPr>
          <w:spacing w:val="-7"/>
          <w:sz w:val="20"/>
        </w:rPr>
        <w:t xml:space="preserve"> </w:t>
      </w:r>
      <w:r>
        <w:rPr>
          <w:sz w:val="20"/>
        </w:rPr>
        <w:t>exerts</w:t>
      </w:r>
      <w:r>
        <w:rPr>
          <w:spacing w:val="-6"/>
          <w:sz w:val="20"/>
        </w:rPr>
        <w:t xml:space="preserve"> </w:t>
      </w:r>
      <w:r>
        <w:rPr>
          <w:sz w:val="20"/>
        </w:rPr>
        <w:t>power</w:t>
      </w:r>
      <w:r>
        <w:rPr>
          <w:spacing w:val="-5"/>
          <w:sz w:val="20"/>
        </w:rPr>
        <w:t xml:space="preserve"> </w:t>
      </w:r>
      <w:r>
        <w:rPr>
          <w:sz w:val="20"/>
        </w:rPr>
        <w:t>and</w:t>
      </w:r>
      <w:r>
        <w:rPr>
          <w:spacing w:val="-5"/>
          <w:sz w:val="20"/>
        </w:rPr>
        <w:t xml:space="preserve"> </w:t>
      </w:r>
      <w:r>
        <w:rPr>
          <w:sz w:val="20"/>
        </w:rPr>
        <w:t>control</w:t>
      </w:r>
      <w:r>
        <w:rPr>
          <w:spacing w:val="-6"/>
          <w:sz w:val="20"/>
        </w:rPr>
        <w:t xml:space="preserve"> </w:t>
      </w:r>
      <w:r>
        <w:rPr>
          <w:sz w:val="20"/>
        </w:rPr>
        <w:t>over</w:t>
      </w:r>
      <w:r>
        <w:rPr>
          <w:spacing w:val="-5"/>
          <w:sz w:val="20"/>
        </w:rPr>
        <w:t xml:space="preserve"> </w:t>
      </w:r>
      <w:r>
        <w:rPr>
          <w:sz w:val="20"/>
        </w:rPr>
        <w:t>another</w:t>
      </w:r>
      <w:r>
        <w:rPr>
          <w:spacing w:val="-6"/>
          <w:sz w:val="20"/>
        </w:rPr>
        <w:t xml:space="preserve"> </w:t>
      </w:r>
      <w:r>
        <w:rPr>
          <w:sz w:val="20"/>
        </w:rPr>
        <w:t xml:space="preserve">person without their consent. Boston Area Rape Crisis Center, “About sexual violence,” accessed May 13, 2021, </w:t>
      </w:r>
      <w:r>
        <w:rPr>
          <w:spacing w:val="-2"/>
          <w:sz w:val="20"/>
        </w:rPr>
        <w:t>https://barcc.org/information/facts.</w:t>
      </w:r>
    </w:p>
    <w:p w:rsidR="00C76E6D" w:rsidRDefault="00913831">
      <w:pPr>
        <w:spacing w:line="276" w:lineRule="auto"/>
        <w:ind w:left="340" w:right="2406" w:hanging="2"/>
        <w:rPr>
          <w:sz w:val="20"/>
        </w:rPr>
      </w:pPr>
      <w:r>
        <w:rPr>
          <w:sz w:val="20"/>
          <w:vertAlign w:val="superscript"/>
        </w:rPr>
        <w:t>8</w:t>
      </w:r>
      <w:r>
        <w:rPr>
          <w:sz w:val="20"/>
        </w:rPr>
        <w:t>“Sexual</w:t>
      </w:r>
      <w:r>
        <w:rPr>
          <w:spacing w:val="-12"/>
          <w:sz w:val="20"/>
        </w:rPr>
        <w:t xml:space="preserve"> </w:t>
      </w:r>
      <w:r>
        <w:rPr>
          <w:sz w:val="20"/>
        </w:rPr>
        <w:t>Assault</w:t>
      </w:r>
      <w:r>
        <w:rPr>
          <w:spacing w:val="-11"/>
          <w:sz w:val="20"/>
        </w:rPr>
        <w:t xml:space="preserve"> </w:t>
      </w:r>
      <w:r>
        <w:rPr>
          <w:sz w:val="20"/>
        </w:rPr>
        <w:t>and</w:t>
      </w:r>
      <w:r>
        <w:rPr>
          <w:spacing w:val="-10"/>
          <w:sz w:val="20"/>
        </w:rPr>
        <w:t xml:space="preserve"> </w:t>
      </w:r>
      <w:r>
        <w:rPr>
          <w:sz w:val="20"/>
        </w:rPr>
        <w:t>the</w:t>
      </w:r>
      <w:r>
        <w:rPr>
          <w:spacing w:val="-12"/>
          <w:sz w:val="20"/>
        </w:rPr>
        <w:t xml:space="preserve"> </w:t>
      </w:r>
      <w:r>
        <w:rPr>
          <w:sz w:val="20"/>
        </w:rPr>
        <w:t>LGBTQ</w:t>
      </w:r>
      <w:r>
        <w:rPr>
          <w:spacing w:val="-10"/>
          <w:sz w:val="20"/>
        </w:rPr>
        <w:t xml:space="preserve"> </w:t>
      </w:r>
      <w:r>
        <w:rPr>
          <w:sz w:val="20"/>
        </w:rPr>
        <w:t>Community,”</w:t>
      </w:r>
      <w:r>
        <w:rPr>
          <w:spacing w:val="-10"/>
          <w:sz w:val="20"/>
        </w:rPr>
        <w:t xml:space="preserve"> </w:t>
      </w:r>
      <w:r>
        <w:rPr>
          <w:sz w:val="20"/>
        </w:rPr>
        <w:t>Human</w:t>
      </w:r>
      <w:r>
        <w:rPr>
          <w:spacing w:val="-12"/>
          <w:sz w:val="20"/>
        </w:rPr>
        <w:t xml:space="preserve"> </w:t>
      </w:r>
      <w:r>
        <w:rPr>
          <w:sz w:val="20"/>
        </w:rPr>
        <w:t>Rights</w:t>
      </w:r>
      <w:r>
        <w:rPr>
          <w:spacing w:val="-10"/>
          <w:sz w:val="20"/>
        </w:rPr>
        <w:t xml:space="preserve"> </w:t>
      </w:r>
      <w:r>
        <w:rPr>
          <w:sz w:val="20"/>
        </w:rPr>
        <w:t>Campaign,</w:t>
      </w:r>
      <w:r>
        <w:rPr>
          <w:spacing w:val="-10"/>
          <w:sz w:val="20"/>
        </w:rPr>
        <w:t xml:space="preserve"> </w:t>
      </w:r>
      <w:r>
        <w:rPr>
          <w:sz w:val="20"/>
        </w:rPr>
        <w:t>accessed</w:t>
      </w:r>
      <w:r>
        <w:rPr>
          <w:spacing w:val="-10"/>
          <w:sz w:val="20"/>
        </w:rPr>
        <w:t xml:space="preserve"> </w:t>
      </w:r>
      <w:r>
        <w:rPr>
          <w:sz w:val="20"/>
        </w:rPr>
        <w:t>June</w:t>
      </w:r>
      <w:r>
        <w:rPr>
          <w:spacing w:val="-12"/>
          <w:sz w:val="20"/>
        </w:rPr>
        <w:t xml:space="preserve"> </w:t>
      </w:r>
      <w:r>
        <w:rPr>
          <w:sz w:val="20"/>
        </w:rPr>
        <w:t>5,</w:t>
      </w:r>
      <w:r>
        <w:rPr>
          <w:spacing w:val="-11"/>
          <w:sz w:val="20"/>
        </w:rPr>
        <w:t xml:space="preserve"> </w:t>
      </w:r>
      <w:r>
        <w:rPr>
          <w:sz w:val="20"/>
        </w:rPr>
        <w:t xml:space="preserve">2021, </w:t>
      </w:r>
      <w:r>
        <w:rPr>
          <w:spacing w:val="-2"/>
          <w:sz w:val="20"/>
        </w:rPr>
        <w:t>https:/</w:t>
      </w:r>
      <w:hyperlink r:id="rId30">
        <w:r>
          <w:rPr>
            <w:spacing w:val="-2"/>
            <w:sz w:val="20"/>
          </w:rPr>
          <w:t>/w</w:t>
        </w:r>
      </w:hyperlink>
      <w:r>
        <w:rPr>
          <w:spacing w:val="-2"/>
          <w:sz w:val="20"/>
        </w:rPr>
        <w:t>w</w:t>
      </w:r>
      <w:hyperlink r:id="rId31">
        <w:r>
          <w:rPr>
            <w:spacing w:val="-2"/>
            <w:sz w:val="20"/>
          </w:rPr>
          <w:t>w.hrc.org/resources/sexual-assault-and-the-lgbt-co</w:t>
        </w:r>
        <w:r>
          <w:rPr>
            <w:spacing w:val="-2"/>
            <w:sz w:val="20"/>
          </w:rPr>
          <w:t>mmunity.</w:t>
        </w:r>
      </w:hyperlink>
    </w:p>
    <w:p w:rsidR="00C76E6D" w:rsidRDefault="00913831">
      <w:pPr>
        <w:spacing w:line="276" w:lineRule="auto"/>
        <w:ind w:left="338" w:right="530"/>
        <w:rPr>
          <w:sz w:val="20"/>
        </w:rPr>
      </w:pPr>
      <w:r>
        <w:rPr>
          <w:sz w:val="20"/>
          <w:vertAlign w:val="superscript"/>
        </w:rPr>
        <w:t>9</w:t>
      </w:r>
      <w:r>
        <w:rPr>
          <w:sz w:val="20"/>
        </w:rPr>
        <w:t xml:space="preserve"> Laura Badenes-Riberra, Julio Sanchez-Meca, &amp; Claudio Longobardi, “The Relationship Between Internalized Homophobia</w:t>
      </w:r>
      <w:r>
        <w:rPr>
          <w:spacing w:val="-9"/>
          <w:sz w:val="20"/>
        </w:rPr>
        <w:t xml:space="preserve"> </w:t>
      </w:r>
      <w:r>
        <w:rPr>
          <w:sz w:val="20"/>
        </w:rPr>
        <w:t>and</w:t>
      </w:r>
      <w:r>
        <w:rPr>
          <w:spacing w:val="-11"/>
          <w:sz w:val="20"/>
        </w:rPr>
        <w:t xml:space="preserve"> </w:t>
      </w:r>
      <w:r>
        <w:rPr>
          <w:sz w:val="20"/>
        </w:rPr>
        <w:t>Intimate</w:t>
      </w:r>
      <w:r>
        <w:rPr>
          <w:spacing w:val="-12"/>
          <w:sz w:val="20"/>
        </w:rPr>
        <w:t xml:space="preserve"> </w:t>
      </w:r>
      <w:r>
        <w:rPr>
          <w:sz w:val="20"/>
        </w:rPr>
        <w:t>Partner</w:t>
      </w:r>
      <w:r>
        <w:rPr>
          <w:spacing w:val="-11"/>
          <w:sz w:val="20"/>
        </w:rPr>
        <w:t xml:space="preserve"> </w:t>
      </w:r>
      <w:r>
        <w:rPr>
          <w:sz w:val="20"/>
        </w:rPr>
        <w:t>Violence</w:t>
      </w:r>
      <w:r>
        <w:rPr>
          <w:spacing w:val="-11"/>
          <w:sz w:val="20"/>
        </w:rPr>
        <w:t xml:space="preserve"> </w:t>
      </w:r>
      <w:r>
        <w:rPr>
          <w:sz w:val="20"/>
        </w:rPr>
        <w:t>in</w:t>
      </w:r>
      <w:r>
        <w:rPr>
          <w:spacing w:val="-9"/>
          <w:sz w:val="20"/>
        </w:rPr>
        <w:t xml:space="preserve"> </w:t>
      </w:r>
      <w:r>
        <w:rPr>
          <w:sz w:val="20"/>
        </w:rPr>
        <w:t>Same-Sex</w:t>
      </w:r>
      <w:r>
        <w:rPr>
          <w:spacing w:val="-12"/>
          <w:sz w:val="20"/>
        </w:rPr>
        <w:t xml:space="preserve"> </w:t>
      </w:r>
      <w:r>
        <w:rPr>
          <w:sz w:val="20"/>
        </w:rPr>
        <w:t>Relationships:</w:t>
      </w:r>
      <w:r>
        <w:rPr>
          <w:spacing w:val="-11"/>
          <w:sz w:val="20"/>
        </w:rPr>
        <w:t xml:space="preserve"> </w:t>
      </w:r>
      <w:r>
        <w:rPr>
          <w:sz w:val="20"/>
        </w:rPr>
        <w:t>A</w:t>
      </w:r>
      <w:r>
        <w:rPr>
          <w:spacing w:val="-11"/>
          <w:sz w:val="20"/>
        </w:rPr>
        <w:t xml:space="preserve"> </w:t>
      </w:r>
      <w:r>
        <w:rPr>
          <w:sz w:val="20"/>
        </w:rPr>
        <w:t>Meta-Analysis,”</w:t>
      </w:r>
      <w:r>
        <w:rPr>
          <w:spacing w:val="-6"/>
          <w:sz w:val="20"/>
        </w:rPr>
        <w:t xml:space="preserve"> </w:t>
      </w:r>
      <w:r>
        <w:rPr>
          <w:i/>
          <w:sz w:val="20"/>
        </w:rPr>
        <w:t>Trauma,</w:t>
      </w:r>
      <w:r>
        <w:rPr>
          <w:i/>
          <w:spacing w:val="-11"/>
          <w:sz w:val="20"/>
        </w:rPr>
        <w:t xml:space="preserve"> </w:t>
      </w:r>
      <w:r>
        <w:rPr>
          <w:i/>
          <w:sz w:val="20"/>
        </w:rPr>
        <w:t>Violence,</w:t>
      </w:r>
      <w:r>
        <w:rPr>
          <w:i/>
          <w:spacing w:val="-11"/>
          <w:sz w:val="20"/>
        </w:rPr>
        <w:t xml:space="preserve"> </w:t>
      </w:r>
      <w:r>
        <w:rPr>
          <w:i/>
          <w:sz w:val="20"/>
        </w:rPr>
        <w:t>&amp;</w:t>
      </w:r>
      <w:r>
        <w:rPr>
          <w:i/>
          <w:spacing w:val="-8"/>
          <w:sz w:val="20"/>
        </w:rPr>
        <w:t xml:space="preserve"> </w:t>
      </w:r>
      <w:r>
        <w:rPr>
          <w:i/>
          <w:sz w:val="20"/>
        </w:rPr>
        <w:t xml:space="preserve">Abuse </w:t>
      </w:r>
      <w:r>
        <w:rPr>
          <w:sz w:val="20"/>
        </w:rPr>
        <w:t>20, no. 3 (2019).</w:t>
      </w:r>
    </w:p>
    <w:p w:rsidR="00C76E6D" w:rsidRDefault="00C76E6D">
      <w:pPr>
        <w:spacing w:line="276" w:lineRule="auto"/>
        <w:rPr>
          <w:sz w:val="20"/>
        </w:rPr>
        <w:sectPr w:rsidR="00C76E6D">
          <w:pgSz w:w="12240" w:h="15840"/>
          <w:pgMar w:top="1000" w:right="960" w:bottom="780" w:left="960" w:header="811" w:footer="584" w:gutter="0"/>
          <w:cols w:space="720"/>
        </w:sectPr>
      </w:pPr>
    </w:p>
    <w:p w:rsidR="00C76E6D" w:rsidRDefault="00913831">
      <w:pPr>
        <w:pStyle w:val="BodyText"/>
        <w:rPr>
          <w:sz w:val="20"/>
        </w:rPr>
      </w:pPr>
      <w:r>
        <w:rPr>
          <w:noProof/>
        </w:rPr>
        <w:lastRenderedPageBreak/>
        <w:drawing>
          <wp:anchor distT="0" distB="0" distL="0" distR="0" simplePos="0" relativeHeight="15742464" behindDoc="0" locked="0" layoutInCell="1" allowOverlap="1">
            <wp:simplePos x="0" y="0"/>
            <wp:positionH relativeFrom="page">
              <wp:posOffset>1477646</wp:posOffset>
            </wp:positionH>
            <wp:positionV relativeFrom="page">
              <wp:posOffset>8154036</wp:posOffset>
            </wp:positionV>
            <wp:extent cx="107936" cy="181518"/>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32" cstate="print"/>
                    <a:stretch>
                      <a:fillRect/>
                    </a:stretch>
                  </pic:blipFill>
                  <pic:spPr>
                    <a:xfrm>
                      <a:off x="0" y="0"/>
                      <a:ext cx="107936" cy="181518"/>
                    </a:xfrm>
                    <a:prstGeom prst="rect">
                      <a:avLst/>
                    </a:prstGeom>
                  </pic:spPr>
                </pic:pic>
              </a:graphicData>
            </a:graphic>
          </wp:anchor>
        </w:drawing>
      </w:r>
    </w:p>
    <w:p w:rsidR="00C76E6D" w:rsidRDefault="00913831">
      <w:pPr>
        <w:pStyle w:val="Heading2"/>
        <w:spacing w:before="158"/>
        <w:ind w:left="480"/>
        <w:jc w:val="both"/>
      </w:pPr>
      <w:bookmarkStart w:id="18" w:name="FY2023_Analysis_of_the_Massachusetts_You"/>
      <w:bookmarkStart w:id="19" w:name="_bookmark7"/>
      <w:bookmarkEnd w:id="18"/>
      <w:bookmarkEnd w:id="19"/>
      <w:r>
        <w:t>FY2023</w:t>
      </w:r>
      <w:r>
        <w:rPr>
          <w:spacing w:val="-13"/>
        </w:rPr>
        <w:t xml:space="preserve"> </w:t>
      </w:r>
      <w:r>
        <w:t>Analysis</w:t>
      </w:r>
      <w:r>
        <w:rPr>
          <w:spacing w:val="-8"/>
        </w:rPr>
        <w:t xml:space="preserve"> </w:t>
      </w:r>
      <w:r>
        <w:t>of</w:t>
      </w:r>
      <w:r>
        <w:rPr>
          <w:spacing w:val="-8"/>
        </w:rPr>
        <w:t xml:space="preserve"> </w:t>
      </w:r>
      <w:r>
        <w:t>the</w:t>
      </w:r>
      <w:r>
        <w:rPr>
          <w:spacing w:val="-8"/>
        </w:rPr>
        <w:t xml:space="preserve"> </w:t>
      </w:r>
      <w:r>
        <w:t>Massachusetts</w:t>
      </w:r>
      <w:r>
        <w:rPr>
          <w:spacing w:val="-7"/>
        </w:rPr>
        <w:t xml:space="preserve"> </w:t>
      </w:r>
      <w:r>
        <w:t>Youth</w:t>
      </w:r>
      <w:r>
        <w:rPr>
          <w:spacing w:val="-9"/>
        </w:rPr>
        <w:t xml:space="preserve"> </w:t>
      </w:r>
      <w:r>
        <w:t>Risk</w:t>
      </w:r>
      <w:r>
        <w:rPr>
          <w:spacing w:val="-9"/>
        </w:rPr>
        <w:t xml:space="preserve"> </w:t>
      </w:r>
      <w:r>
        <w:t>Behavior</w:t>
      </w:r>
      <w:r>
        <w:rPr>
          <w:spacing w:val="-7"/>
        </w:rPr>
        <w:t xml:space="preserve"> </w:t>
      </w:r>
      <w:r>
        <w:rPr>
          <w:spacing w:val="-2"/>
        </w:rPr>
        <w:t>Survey</w:t>
      </w:r>
    </w:p>
    <w:p w:rsidR="00C76E6D" w:rsidRDefault="00913831">
      <w:pPr>
        <w:pStyle w:val="BodyText"/>
        <w:spacing w:before="8"/>
        <w:rPr>
          <w:b/>
          <w:sz w:val="18"/>
        </w:rPr>
      </w:pPr>
      <w:r>
        <w:pict>
          <v:shape id="docshape41" o:spid="_x0000_s1398" style="position:absolute;margin-left:70.6pt;margin-top:12.6pt;width:470.95pt;height:.1pt;z-index:-15716352;mso-wrap-distance-left:0;mso-wrap-distance-right:0;mso-position-horizontal-relative:page" coordorigin="1412,252" coordsize="9419,0" path="m1412,252r9419,e" filled="f" strokeweight="1.54pt">
            <v:path arrowok="t"/>
            <w10:wrap type="topAndBottom" anchorx="page"/>
          </v:shape>
        </w:pict>
      </w:r>
    </w:p>
    <w:p w:rsidR="00C76E6D" w:rsidRDefault="00913831">
      <w:pPr>
        <w:pStyle w:val="Heading5"/>
        <w:numPr>
          <w:ilvl w:val="0"/>
          <w:numId w:val="54"/>
        </w:numPr>
        <w:tabs>
          <w:tab w:val="left" w:pos="844"/>
        </w:tabs>
        <w:spacing w:before="275"/>
        <w:jc w:val="left"/>
      </w:pPr>
      <w:bookmarkStart w:id="20" w:name="A._Adverse_Experiences_among_LGBTQ_Youth"/>
      <w:bookmarkEnd w:id="20"/>
      <w:r>
        <w:rPr>
          <w:spacing w:val="-2"/>
        </w:rPr>
        <w:t>Adverse</w:t>
      </w:r>
      <w:r>
        <w:rPr>
          <w:spacing w:val="-11"/>
        </w:rPr>
        <w:t xml:space="preserve"> </w:t>
      </w:r>
      <w:r>
        <w:rPr>
          <w:spacing w:val="-2"/>
        </w:rPr>
        <w:t>Experiences</w:t>
      </w:r>
      <w:r>
        <w:rPr>
          <w:spacing w:val="-7"/>
        </w:rPr>
        <w:t xml:space="preserve"> </w:t>
      </w:r>
      <w:r>
        <w:rPr>
          <w:spacing w:val="-2"/>
        </w:rPr>
        <w:t>among</w:t>
      </w:r>
      <w:r>
        <w:rPr>
          <w:spacing w:val="-9"/>
        </w:rPr>
        <w:t xml:space="preserve"> </w:t>
      </w:r>
      <w:r>
        <w:rPr>
          <w:spacing w:val="-2"/>
        </w:rPr>
        <w:t>LGBTQ</w:t>
      </w:r>
      <w:r>
        <w:rPr>
          <w:spacing w:val="-8"/>
        </w:rPr>
        <w:t xml:space="preserve"> </w:t>
      </w:r>
      <w:r>
        <w:rPr>
          <w:spacing w:val="-2"/>
        </w:rPr>
        <w:t>Youth</w:t>
      </w:r>
      <w:r>
        <w:rPr>
          <w:spacing w:val="-7"/>
        </w:rPr>
        <w:t xml:space="preserve"> </w:t>
      </w:r>
      <w:r>
        <w:rPr>
          <w:spacing w:val="-2"/>
        </w:rPr>
        <w:t>in</w:t>
      </w:r>
      <w:r>
        <w:rPr>
          <w:spacing w:val="-8"/>
        </w:rPr>
        <w:t xml:space="preserve"> </w:t>
      </w:r>
      <w:r>
        <w:rPr>
          <w:spacing w:val="-2"/>
        </w:rPr>
        <w:t>Massachusetts</w:t>
      </w:r>
    </w:p>
    <w:p w:rsidR="00C76E6D" w:rsidRDefault="00913831">
      <w:pPr>
        <w:pStyle w:val="BodyText"/>
        <w:spacing w:before="9"/>
        <w:rPr>
          <w:b/>
          <w:sz w:val="18"/>
        </w:rPr>
      </w:pPr>
      <w:r>
        <w:pict>
          <v:shape id="docshape42" o:spid="_x0000_s1397" style="position:absolute;margin-left:70.6pt;margin-top:12.7pt;width:470.95pt;height:.1pt;z-index:-15715840;mso-wrap-distance-left:0;mso-wrap-distance-right:0;mso-position-horizontal-relative:page" coordorigin="1412,254" coordsize="9419,0" path="m1412,254r9419,e" filled="f" strokeweight="1.54pt">
            <v:path arrowok="t"/>
            <w10:wrap type="topAndBottom" anchorx="page"/>
          </v:shape>
        </w:pict>
      </w:r>
    </w:p>
    <w:p w:rsidR="00C76E6D" w:rsidRDefault="00C76E6D">
      <w:pPr>
        <w:pStyle w:val="BodyText"/>
        <w:rPr>
          <w:b/>
          <w:sz w:val="24"/>
        </w:rPr>
      </w:pPr>
    </w:p>
    <w:p w:rsidR="00C76E6D" w:rsidRDefault="00913831">
      <w:pPr>
        <w:pStyle w:val="BodyText"/>
        <w:spacing w:before="212" w:line="276" w:lineRule="auto"/>
        <w:ind w:left="480" w:right="477"/>
        <w:jc w:val="both"/>
      </w:pPr>
      <w:r>
        <w:t xml:space="preserve">The Massachusetts Youth Risk Behavior Survey (MYRBS) is a biennial, representative study of youth statewide. The results presented here rely upon 2019 data whenever possible (the most recent survey data available), but sometimes use data pooled across the </w:t>
      </w:r>
      <w:r>
        <w:t>2017 and 2019 surveys, particularly where intersectionality of LGBTQ identity and other identities such as race are examined.</w:t>
      </w:r>
    </w:p>
    <w:p w:rsidR="00C76E6D" w:rsidRDefault="00C76E6D">
      <w:pPr>
        <w:pStyle w:val="BodyText"/>
        <w:spacing w:before="4"/>
        <w:rPr>
          <w:sz w:val="25"/>
        </w:rPr>
      </w:pPr>
    </w:p>
    <w:p w:rsidR="00C76E6D" w:rsidRDefault="00913831">
      <w:pPr>
        <w:pStyle w:val="BodyText"/>
        <w:spacing w:line="276" w:lineRule="auto"/>
        <w:ind w:left="478" w:right="477" w:firstLine="1"/>
        <w:jc w:val="both"/>
      </w:pPr>
      <w:r>
        <w:t>According</w:t>
      </w:r>
      <w:r>
        <w:rPr>
          <w:spacing w:val="-13"/>
        </w:rPr>
        <w:t xml:space="preserve"> </w:t>
      </w:r>
      <w:r>
        <w:t>to</w:t>
      </w:r>
      <w:r>
        <w:rPr>
          <w:spacing w:val="-11"/>
        </w:rPr>
        <w:t xml:space="preserve"> </w:t>
      </w:r>
      <w:r>
        <w:t>the</w:t>
      </w:r>
      <w:r>
        <w:rPr>
          <w:spacing w:val="-13"/>
        </w:rPr>
        <w:t xml:space="preserve"> </w:t>
      </w:r>
      <w:r>
        <w:t>2019</w:t>
      </w:r>
      <w:r>
        <w:rPr>
          <w:spacing w:val="-9"/>
        </w:rPr>
        <w:t xml:space="preserve"> </w:t>
      </w:r>
      <w:r>
        <w:t>MYRBS,</w:t>
      </w:r>
      <w:r>
        <w:rPr>
          <w:spacing w:val="-12"/>
        </w:rPr>
        <w:t xml:space="preserve"> </w:t>
      </w:r>
      <w:r>
        <w:t>17.1%</w:t>
      </w:r>
      <w:r>
        <w:rPr>
          <w:spacing w:val="-11"/>
        </w:rPr>
        <w:t xml:space="preserve"> </w:t>
      </w:r>
      <w:r>
        <w:t>of</w:t>
      </w:r>
      <w:r>
        <w:rPr>
          <w:spacing w:val="-11"/>
        </w:rPr>
        <w:t xml:space="preserve"> </w:t>
      </w:r>
      <w:r>
        <w:t>youth</w:t>
      </w:r>
      <w:r>
        <w:rPr>
          <w:spacing w:val="-12"/>
        </w:rPr>
        <w:t xml:space="preserve"> </w:t>
      </w:r>
      <w:r>
        <w:t>identified</w:t>
      </w:r>
      <w:r>
        <w:rPr>
          <w:spacing w:val="-12"/>
        </w:rPr>
        <w:t xml:space="preserve"> </w:t>
      </w:r>
      <w:r>
        <w:t>as</w:t>
      </w:r>
      <w:r>
        <w:rPr>
          <w:spacing w:val="-12"/>
        </w:rPr>
        <w:t xml:space="preserve"> </w:t>
      </w:r>
      <w:r>
        <w:t>LGBTQ.</w:t>
      </w:r>
      <w:r>
        <w:rPr>
          <w:spacing w:val="-12"/>
        </w:rPr>
        <w:t xml:space="preserve"> </w:t>
      </w:r>
      <w:r>
        <w:t>Females</w:t>
      </w:r>
      <w:r>
        <w:rPr>
          <w:spacing w:val="-12"/>
        </w:rPr>
        <w:t xml:space="preserve"> </w:t>
      </w:r>
      <w:r>
        <w:t>were</w:t>
      </w:r>
      <w:r>
        <w:rPr>
          <w:spacing w:val="-12"/>
        </w:rPr>
        <w:t xml:space="preserve"> </w:t>
      </w:r>
      <w:r>
        <w:t>twice</w:t>
      </w:r>
      <w:r>
        <w:rPr>
          <w:spacing w:val="-13"/>
        </w:rPr>
        <w:t xml:space="preserve"> </w:t>
      </w:r>
      <w:r>
        <w:t>as</w:t>
      </w:r>
      <w:r>
        <w:rPr>
          <w:spacing w:val="-11"/>
        </w:rPr>
        <w:t xml:space="preserve"> </w:t>
      </w:r>
      <w:r>
        <w:t>likely</w:t>
      </w:r>
      <w:r>
        <w:rPr>
          <w:spacing w:val="-12"/>
        </w:rPr>
        <w:t xml:space="preserve"> </w:t>
      </w:r>
      <w:r>
        <w:t>to</w:t>
      </w:r>
      <w:r>
        <w:rPr>
          <w:spacing w:val="-12"/>
        </w:rPr>
        <w:t xml:space="preserve"> </w:t>
      </w:r>
      <w:r>
        <w:t>identify with males: 22.2% compa</w:t>
      </w:r>
      <w:r>
        <w:t>red with 10.9%. Out of those who identified as LGBTQ, 67.3% identified as female and 32.7% identified as male. Almost half (47.2%) of LGBTQ youth identified as white, 26.2% as multiethnic, 11% as Black, 8.9% as Hispanic/Latinx, and 5.7% as Asian.</w:t>
      </w:r>
    </w:p>
    <w:p w:rsidR="00C76E6D" w:rsidRDefault="00C76E6D">
      <w:pPr>
        <w:pStyle w:val="BodyText"/>
        <w:spacing w:before="2"/>
        <w:rPr>
          <w:sz w:val="25"/>
        </w:rPr>
      </w:pPr>
    </w:p>
    <w:p w:rsidR="00C76E6D" w:rsidRDefault="00913831">
      <w:pPr>
        <w:pStyle w:val="BodyText"/>
        <w:spacing w:before="1" w:line="276" w:lineRule="auto"/>
        <w:ind w:left="479" w:right="474"/>
        <w:jc w:val="both"/>
      </w:pPr>
      <w:r>
        <w:pict>
          <v:group id="docshapegroup43" o:spid="_x0000_s1375" style="position:absolute;left:0;text-align:left;margin-left:105.4pt;margin-top:123.3pt;width:400.6pt;height:231.15pt;z-index:-21201408;mso-position-horizontal-relative:page" coordorigin="2108,2466" coordsize="8012,4623">
            <v:shape id="docshape44" o:spid="_x0000_s1396" style="position:absolute;left:4304;top:3752;width:4122;height:1831" coordorigin="4304,3753" coordsize="4122,1831" o:spt="100" adj="0,,0" path="m4304,5432r,152m4304,4516r,305m4991,5432r,152m4991,4211r,610m5678,5432r,152m5678,4211r,610m6365,5126r,458m6365,3753r,1068m7052,5126r,458m7052,3753r,1068m7740,5126r,458m7740,3753r,1068m8426,5126r,458m8426,3753r,1068e" filled="f" strokecolor="#dfe3eb">
              <v:stroke joinstyle="round"/>
              <v:formulas/>
              <v:path arrowok="t" o:connecttype="segments"/>
            </v:shape>
            <v:shape id="docshape45" o:spid="_x0000_s1395" type="#_x0000_t75" style="position:absolute;left:3616;top:4820;width:5401;height:611">
              <v:imagedata r:id="rId33" o:title=""/>
            </v:shape>
            <v:shape id="docshape46" o:spid="_x0000_s1394" style="position:absolute;left:4304;top:3752;width:1374;height:153" coordorigin="4304,3753" coordsize="1374,153" o:spt="100" adj="0,,0" path="m4304,3753r,153m4991,3753r,153m5678,3753r,153e" filled="f" strokecolor="#dfe3eb">
              <v:stroke joinstyle="round"/>
              <v:formulas/>
              <v:path arrowok="t" o:connecttype="segments"/>
            </v:shape>
            <v:shape id="docshape47" o:spid="_x0000_s1393" type="#_x0000_t75" style="position:absolute;left:3616;top:3904;width:2405;height:611">
              <v:imagedata r:id="rId34" o:title=""/>
            </v:shape>
            <v:line id="_x0000_s1392" style="position:absolute" from="3617,5584" to="3617,3753" strokecolor="#dfe3eb"/>
            <v:shape id="docshape48" o:spid="_x0000_s1391" style="position:absolute;left:9114;top:3752;width:687;height:1831" coordorigin="9114,3753" coordsize="687,1831" o:spt="100" adj="0,,0" path="m9114,3753r,1831m9801,3753r,1831e" filled="f" strokecolor="#dfe3eb">
              <v:stroke joinstyle="round"/>
              <v:formulas/>
              <v:path arrowok="t" o:connecttype="segments"/>
            </v:shape>
            <v:shape id="docshape49" o:spid="_x0000_s1390" type="#_x0000_t75" style="position:absolute;left:2399;top:6663;width:99;height:99">
              <v:imagedata r:id="rId35" o:title=""/>
            </v:shape>
            <v:rect id="docshape50" o:spid="_x0000_s1389" style="position:absolute;left:2115;top:2473;width:7997;height:4608" filled="f" strokecolor="#dfe3eb"/>
            <v:shapetype id="_x0000_t202" coordsize="21600,21600" o:spt="202" path="m,l,21600r21600,l21600,xe">
              <v:stroke joinstyle="miter"/>
              <v:path gradientshapeok="t" o:connecttype="rect"/>
            </v:shapetype>
            <v:shape id="docshape51" o:spid="_x0000_s1388" type="#_x0000_t202" style="position:absolute;left:3066;top:2687;width:6117;height:809" filled="f" stroked="f">
              <v:textbox inset="0,0,0,0">
                <w:txbxContent>
                  <w:p w:rsidR="00C76E6D" w:rsidRDefault="00913831">
                    <w:pPr>
                      <w:spacing w:line="236" w:lineRule="exact"/>
                      <w:ind w:right="18"/>
                      <w:jc w:val="center"/>
                      <w:rPr>
                        <w:b/>
                        <w:sz w:val="24"/>
                      </w:rPr>
                    </w:pPr>
                    <w:r>
                      <w:rPr>
                        <w:b/>
                        <w:color w:val="44526A"/>
                        <w:spacing w:val="-2"/>
                        <w:sz w:val="24"/>
                      </w:rPr>
                      <w:t>Figure</w:t>
                    </w:r>
                    <w:r>
                      <w:rPr>
                        <w:b/>
                        <w:color w:val="44526A"/>
                        <w:spacing w:val="-4"/>
                        <w:sz w:val="24"/>
                      </w:rPr>
                      <w:t xml:space="preserve"> </w:t>
                    </w:r>
                    <w:r>
                      <w:rPr>
                        <w:b/>
                        <w:color w:val="44526A"/>
                        <w:spacing w:val="-2"/>
                        <w:sz w:val="24"/>
                      </w:rPr>
                      <w:t>1.</w:t>
                    </w:r>
                    <w:r>
                      <w:rPr>
                        <w:b/>
                        <w:color w:val="44526A"/>
                        <w:spacing w:val="2"/>
                        <w:sz w:val="24"/>
                      </w:rPr>
                      <w:t xml:space="preserve"> </w:t>
                    </w:r>
                    <w:r>
                      <w:rPr>
                        <w:b/>
                        <w:color w:val="44526A"/>
                        <w:spacing w:val="-2"/>
                        <w:sz w:val="24"/>
                      </w:rPr>
                      <w:t>Percent</w:t>
                    </w:r>
                    <w:r>
                      <w:rPr>
                        <w:b/>
                        <w:color w:val="44526A"/>
                        <w:sz w:val="24"/>
                      </w:rPr>
                      <w:t xml:space="preserve"> </w:t>
                    </w:r>
                    <w:r>
                      <w:rPr>
                        <w:b/>
                        <w:color w:val="44526A"/>
                        <w:spacing w:val="-2"/>
                        <w:sz w:val="24"/>
                      </w:rPr>
                      <w:t>of</w:t>
                    </w:r>
                    <w:r>
                      <w:rPr>
                        <w:b/>
                        <w:color w:val="44526A"/>
                        <w:sz w:val="24"/>
                      </w:rPr>
                      <w:t xml:space="preserve"> </w:t>
                    </w:r>
                    <w:r>
                      <w:rPr>
                        <w:b/>
                        <w:color w:val="44526A"/>
                        <w:spacing w:val="-2"/>
                        <w:sz w:val="24"/>
                      </w:rPr>
                      <w:t>LGBTQ</w:t>
                    </w:r>
                    <w:r>
                      <w:rPr>
                        <w:b/>
                        <w:color w:val="44526A"/>
                        <w:spacing w:val="1"/>
                        <w:sz w:val="24"/>
                      </w:rPr>
                      <w:t xml:space="preserve"> </w:t>
                    </w:r>
                    <w:r>
                      <w:rPr>
                        <w:b/>
                        <w:color w:val="44526A"/>
                        <w:spacing w:val="-2"/>
                        <w:sz w:val="24"/>
                      </w:rPr>
                      <w:t>and</w:t>
                    </w:r>
                    <w:r>
                      <w:rPr>
                        <w:b/>
                        <w:color w:val="44526A"/>
                        <w:sz w:val="24"/>
                      </w:rPr>
                      <w:t xml:space="preserve"> </w:t>
                    </w:r>
                    <w:r>
                      <w:rPr>
                        <w:b/>
                        <w:color w:val="44526A"/>
                        <w:spacing w:val="-2"/>
                        <w:sz w:val="24"/>
                      </w:rPr>
                      <w:t>Heterosexual-Cisgender Youth</w:t>
                    </w:r>
                  </w:p>
                  <w:p w:rsidR="00C76E6D" w:rsidRDefault="00913831">
                    <w:pPr>
                      <w:ind w:left="200" w:right="218"/>
                      <w:jc w:val="center"/>
                      <w:rPr>
                        <w:b/>
                        <w:sz w:val="24"/>
                      </w:rPr>
                    </w:pPr>
                    <w:r>
                      <w:rPr>
                        <w:b/>
                        <w:color w:val="44526A"/>
                        <w:sz w:val="24"/>
                      </w:rPr>
                      <w:t>who</w:t>
                    </w:r>
                    <w:r>
                      <w:rPr>
                        <w:b/>
                        <w:color w:val="44526A"/>
                        <w:spacing w:val="-13"/>
                        <w:sz w:val="24"/>
                      </w:rPr>
                      <w:t xml:space="preserve"> </w:t>
                    </w:r>
                    <w:r>
                      <w:rPr>
                        <w:b/>
                        <w:color w:val="44526A"/>
                        <w:sz w:val="24"/>
                      </w:rPr>
                      <w:t>Experienced</w:t>
                    </w:r>
                    <w:r>
                      <w:rPr>
                        <w:b/>
                        <w:color w:val="44526A"/>
                        <w:spacing w:val="-14"/>
                        <w:sz w:val="24"/>
                      </w:rPr>
                      <w:t xml:space="preserve"> </w:t>
                    </w:r>
                    <w:r>
                      <w:rPr>
                        <w:b/>
                        <w:color w:val="44526A"/>
                        <w:sz w:val="24"/>
                      </w:rPr>
                      <w:t>Sex</w:t>
                    </w:r>
                    <w:r>
                      <w:rPr>
                        <w:b/>
                        <w:color w:val="44526A"/>
                        <w:spacing w:val="-13"/>
                        <w:sz w:val="24"/>
                      </w:rPr>
                      <w:t xml:space="preserve"> </w:t>
                    </w:r>
                    <w:r>
                      <w:rPr>
                        <w:b/>
                        <w:color w:val="44526A"/>
                        <w:sz w:val="24"/>
                      </w:rPr>
                      <w:t>Against</w:t>
                    </w:r>
                    <w:r>
                      <w:rPr>
                        <w:b/>
                        <w:color w:val="44526A"/>
                        <w:spacing w:val="-14"/>
                        <w:sz w:val="24"/>
                      </w:rPr>
                      <w:t xml:space="preserve"> </w:t>
                    </w:r>
                    <w:r>
                      <w:rPr>
                        <w:b/>
                        <w:color w:val="44526A"/>
                        <w:sz w:val="24"/>
                      </w:rPr>
                      <w:t>Their</w:t>
                    </w:r>
                    <w:r>
                      <w:rPr>
                        <w:b/>
                        <w:color w:val="44526A"/>
                        <w:spacing w:val="-12"/>
                        <w:sz w:val="24"/>
                      </w:rPr>
                      <w:t xml:space="preserve"> </w:t>
                    </w:r>
                    <w:r>
                      <w:rPr>
                        <w:b/>
                        <w:color w:val="44526A"/>
                        <w:sz w:val="24"/>
                      </w:rPr>
                      <w:t>Will,</w:t>
                    </w:r>
                    <w:r>
                      <w:rPr>
                        <w:b/>
                        <w:color w:val="44526A"/>
                        <w:spacing w:val="-12"/>
                        <w:sz w:val="24"/>
                      </w:rPr>
                      <w:t xml:space="preserve"> </w:t>
                    </w:r>
                    <w:r>
                      <w:rPr>
                        <w:b/>
                        <w:color w:val="44526A"/>
                        <w:sz w:val="24"/>
                      </w:rPr>
                      <w:t>by</w:t>
                    </w:r>
                    <w:r>
                      <w:rPr>
                        <w:b/>
                        <w:color w:val="44526A"/>
                        <w:spacing w:val="-11"/>
                        <w:sz w:val="24"/>
                      </w:rPr>
                      <w:t xml:space="preserve"> </w:t>
                    </w:r>
                    <w:r>
                      <w:rPr>
                        <w:b/>
                        <w:color w:val="44526A"/>
                        <w:sz w:val="24"/>
                      </w:rPr>
                      <w:t xml:space="preserve">Homelessness </w:t>
                    </w:r>
                    <w:r>
                      <w:rPr>
                        <w:b/>
                        <w:color w:val="44526A"/>
                        <w:spacing w:val="-2"/>
                        <w:sz w:val="24"/>
                      </w:rPr>
                      <w:t>(2017-2019)</w:t>
                    </w:r>
                  </w:p>
                </w:txbxContent>
              </v:textbox>
            </v:shape>
            <v:shape id="docshape52" o:spid="_x0000_s1387" type="#_x0000_t202" style="position:absolute;left:2924;top:4136;width:521;height:180" filled="f" stroked="f">
              <v:textbox inset="0,0,0,0">
                <w:txbxContent>
                  <w:p w:rsidR="00C76E6D" w:rsidRDefault="00913831">
                    <w:pPr>
                      <w:spacing w:line="180" w:lineRule="exact"/>
                      <w:rPr>
                        <w:sz w:val="18"/>
                      </w:rPr>
                    </w:pPr>
                    <w:r>
                      <w:rPr>
                        <w:color w:val="44526A"/>
                        <w:spacing w:val="-4"/>
                        <w:sz w:val="18"/>
                      </w:rPr>
                      <w:t>Het-</w:t>
                    </w:r>
                    <w:r>
                      <w:rPr>
                        <w:color w:val="44526A"/>
                        <w:spacing w:val="-5"/>
                        <w:sz w:val="18"/>
                      </w:rPr>
                      <w:t>Cis</w:t>
                    </w:r>
                  </w:p>
                </w:txbxContent>
              </v:textbox>
            </v:shape>
            <v:shape id="docshape53" o:spid="_x0000_s1386" type="#_x0000_t202" style="position:absolute;left:2953;top:5051;width:505;height:180" filled="f" stroked="f">
              <v:textbox inset="0,0,0,0">
                <w:txbxContent>
                  <w:p w:rsidR="00C76E6D" w:rsidRDefault="00913831">
                    <w:pPr>
                      <w:spacing w:line="180" w:lineRule="exact"/>
                      <w:rPr>
                        <w:sz w:val="18"/>
                      </w:rPr>
                    </w:pPr>
                    <w:r>
                      <w:rPr>
                        <w:color w:val="44526A"/>
                        <w:spacing w:val="-2"/>
                        <w:sz w:val="18"/>
                      </w:rPr>
                      <w:t>LGBTQ</w:t>
                    </w:r>
                  </w:p>
                </w:txbxContent>
              </v:textbox>
            </v:shape>
            <v:shape id="docshape54" o:spid="_x0000_s1385" type="#_x0000_t202" style="position:absolute;left:3571;top:5743;width:112;height:180" filled="f" stroked="f">
              <v:textbox inset="0,0,0,0">
                <w:txbxContent>
                  <w:p w:rsidR="00C76E6D" w:rsidRDefault="00913831">
                    <w:pPr>
                      <w:spacing w:line="180" w:lineRule="exact"/>
                      <w:rPr>
                        <w:sz w:val="18"/>
                      </w:rPr>
                    </w:pPr>
                    <w:r>
                      <w:rPr>
                        <w:color w:val="44526A"/>
                        <w:sz w:val="18"/>
                      </w:rPr>
                      <w:t>0</w:t>
                    </w:r>
                  </w:p>
                </w:txbxContent>
              </v:textbox>
            </v:shape>
            <v:shape id="docshape55" o:spid="_x0000_s1384" type="#_x0000_t202" style="position:absolute;left:4257;top:5743;width:112;height:180" filled="f" stroked="f">
              <v:textbox inset="0,0,0,0">
                <w:txbxContent>
                  <w:p w:rsidR="00C76E6D" w:rsidRDefault="00913831">
                    <w:pPr>
                      <w:spacing w:line="180" w:lineRule="exact"/>
                      <w:rPr>
                        <w:sz w:val="18"/>
                      </w:rPr>
                    </w:pPr>
                    <w:r>
                      <w:rPr>
                        <w:color w:val="44526A"/>
                        <w:sz w:val="18"/>
                      </w:rPr>
                      <w:t>5</w:t>
                    </w:r>
                  </w:p>
                </w:txbxContent>
              </v:textbox>
            </v:shape>
            <v:shape id="docshape56" o:spid="_x0000_s1383" type="#_x0000_t202" style="position:absolute;left:4898;top:5743;width:193;height:180" filled="f" stroked="f">
              <v:textbox inset="0,0,0,0">
                <w:txbxContent>
                  <w:p w:rsidR="00C76E6D" w:rsidRDefault="00913831">
                    <w:pPr>
                      <w:spacing w:line="180" w:lineRule="exact"/>
                      <w:rPr>
                        <w:sz w:val="18"/>
                      </w:rPr>
                    </w:pPr>
                    <w:r>
                      <w:rPr>
                        <w:color w:val="44526A"/>
                        <w:spacing w:val="-5"/>
                        <w:sz w:val="18"/>
                      </w:rPr>
                      <w:t>10</w:t>
                    </w:r>
                  </w:p>
                </w:txbxContent>
              </v:textbox>
            </v:shape>
            <v:shape id="docshape57" o:spid="_x0000_s1382" type="#_x0000_t202" style="position:absolute;left:5586;top:5743;width:193;height:180" filled="f" stroked="f">
              <v:textbox inset="0,0,0,0">
                <w:txbxContent>
                  <w:p w:rsidR="00C76E6D" w:rsidRDefault="00913831">
                    <w:pPr>
                      <w:spacing w:line="180" w:lineRule="exact"/>
                      <w:rPr>
                        <w:sz w:val="18"/>
                      </w:rPr>
                    </w:pPr>
                    <w:r>
                      <w:rPr>
                        <w:color w:val="44526A"/>
                        <w:spacing w:val="-5"/>
                        <w:sz w:val="18"/>
                      </w:rPr>
                      <w:t>15</w:t>
                    </w:r>
                  </w:p>
                </w:txbxContent>
              </v:textbox>
            </v:shape>
            <v:shape id="docshape58" o:spid="_x0000_s1381" type="#_x0000_t202" style="position:absolute;left:6273;top:5743;width:193;height:180" filled="f" stroked="f">
              <v:textbox inset="0,0,0,0">
                <w:txbxContent>
                  <w:p w:rsidR="00C76E6D" w:rsidRDefault="00913831">
                    <w:pPr>
                      <w:spacing w:line="180" w:lineRule="exact"/>
                      <w:rPr>
                        <w:sz w:val="18"/>
                      </w:rPr>
                    </w:pPr>
                    <w:r>
                      <w:rPr>
                        <w:color w:val="44526A"/>
                        <w:spacing w:val="-5"/>
                        <w:sz w:val="18"/>
                      </w:rPr>
                      <w:t>20</w:t>
                    </w:r>
                  </w:p>
                </w:txbxContent>
              </v:textbox>
            </v:shape>
            <v:shape id="docshape59" o:spid="_x0000_s1380" type="#_x0000_t202" style="position:absolute;left:6961;top:5743;width:193;height:180" filled="f" stroked="f">
              <v:textbox inset="0,0,0,0">
                <w:txbxContent>
                  <w:p w:rsidR="00C76E6D" w:rsidRDefault="00913831">
                    <w:pPr>
                      <w:spacing w:line="180" w:lineRule="exact"/>
                      <w:rPr>
                        <w:sz w:val="18"/>
                      </w:rPr>
                    </w:pPr>
                    <w:r>
                      <w:rPr>
                        <w:color w:val="44526A"/>
                        <w:spacing w:val="-5"/>
                        <w:sz w:val="18"/>
                      </w:rPr>
                      <w:t>25</w:t>
                    </w:r>
                  </w:p>
                </w:txbxContent>
              </v:textbox>
            </v:shape>
            <v:shape id="docshape60" o:spid="_x0000_s1379" type="#_x0000_t202" style="position:absolute;left:7647;top:5743;width:193;height:180" filled="f" stroked="f">
              <v:textbox inset="0,0,0,0">
                <w:txbxContent>
                  <w:p w:rsidR="00C76E6D" w:rsidRDefault="00913831">
                    <w:pPr>
                      <w:spacing w:line="180" w:lineRule="exact"/>
                      <w:rPr>
                        <w:sz w:val="18"/>
                      </w:rPr>
                    </w:pPr>
                    <w:r>
                      <w:rPr>
                        <w:color w:val="44526A"/>
                        <w:spacing w:val="-5"/>
                        <w:sz w:val="18"/>
                      </w:rPr>
                      <w:t>30</w:t>
                    </w:r>
                  </w:p>
                </w:txbxContent>
              </v:textbox>
            </v:shape>
            <v:shape id="docshape61" o:spid="_x0000_s1378" type="#_x0000_t202" style="position:absolute;left:8335;top:5743;width:193;height:180" filled="f" stroked="f">
              <v:textbox inset="0,0,0,0">
                <w:txbxContent>
                  <w:p w:rsidR="00C76E6D" w:rsidRDefault="00913831">
                    <w:pPr>
                      <w:spacing w:line="180" w:lineRule="exact"/>
                      <w:rPr>
                        <w:sz w:val="18"/>
                      </w:rPr>
                    </w:pPr>
                    <w:r>
                      <w:rPr>
                        <w:color w:val="44526A"/>
                        <w:spacing w:val="-5"/>
                        <w:sz w:val="18"/>
                      </w:rPr>
                      <w:t>35</w:t>
                    </w:r>
                  </w:p>
                </w:txbxContent>
              </v:textbox>
            </v:shape>
            <v:shape id="docshape62" o:spid="_x0000_s1377" type="#_x0000_t202" style="position:absolute;left:9021;top:5743;width:193;height:180" filled="f" stroked="f">
              <v:textbox inset="0,0,0,0">
                <w:txbxContent>
                  <w:p w:rsidR="00C76E6D" w:rsidRDefault="00913831">
                    <w:pPr>
                      <w:spacing w:line="180" w:lineRule="exact"/>
                      <w:rPr>
                        <w:sz w:val="18"/>
                      </w:rPr>
                    </w:pPr>
                    <w:r>
                      <w:rPr>
                        <w:color w:val="44526A"/>
                        <w:spacing w:val="-5"/>
                        <w:sz w:val="18"/>
                      </w:rPr>
                      <w:t>40</w:t>
                    </w:r>
                  </w:p>
                </w:txbxContent>
              </v:textbox>
            </v:shape>
            <v:shape id="docshape63" o:spid="_x0000_s1376" type="#_x0000_t202" style="position:absolute;left:9709;top:5743;width:193;height:180" filled="f" stroked="f">
              <v:textbox inset="0,0,0,0">
                <w:txbxContent>
                  <w:p w:rsidR="00C76E6D" w:rsidRDefault="00913831">
                    <w:pPr>
                      <w:spacing w:line="180" w:lineRule="exact"/>
                      <w:rPr>
                        <w:sz w:val="18"/>
                      </w:rPr>
                    </w:pPr>
                    <w:r>
                      <w:rPr>
                        <w:color w:val="44526A"/>
                        <w:spacing w:val="-5"/>
                        <w:sz w:val="18"/>
                      </w:rPr>
                      <w:t>45</w:t>
                    </w:r>
                  </w:p>
                </w:txbxContent>
              </v:textbox>
            </v:shape>
            <w10:wrap anchorx="page"/>
          </v:group>
        </w:pict>
      </w:r>
      <w:r>
        <w:t>Youth who identified as LGBTQ were almost twice as likely to run away or be kicked out or abandoned (5.5%), compared with heterosexual, cisgender (het-cis) youth (3%). Being homeless increases youths’ vulnerability</w:t>
      </w:r>
      <w:r>
        <w:rPr>
          <w:spacing w:val="-3"/>
        </w:rPr>
        <w:t xml:space="preserve"> </w:t>
      </w:r>
      <w:r>
        <w:t>to</w:t>
      </w:r>
      <w:r>
        <w:rPr>
          <w:spacing w:val="-7"/>
        </w:rPr>
        <w:t xml:space="preserve"> </w:t>
      </w:r>
      <w:r>
        <w:t>experiencing</w:t>
      </w:r>
      <w:r>
        <w:rPr>
          <w:spacing w:val="-7"/>
        </w:rPr>
        <w:t xml:space="preserve"> </w:t>
      </w:r>
      <w:r>
        <w:t>sex</w:t>
      </w:r>
      <w:r>
        <w:rPr>
          <w:spacing w:val="-7"/>
        </w:rPr>
        <w:t xml:space="preserve"> </w:t>
      </w:r>
      <w:r>
        <w:t>against</w:t>
      </w:r>
      <w:r>
        <w:rPr>
          <w:spacing w:val="-7"/>
        </w:rPr>
        <w:t xml:space="preserve"> </w:t>
      </w:r>
      <w:r>
        <w:t>their</w:t>
      </w:r>
      <w:r>
        <w:rPr>
          <w:spacing w:val="-6"/>
        </w:rPr>
        <w:t xml:space="preserve"> </w:t>
      </w:r>
      <w:r>
        <w:t>will,</w:t>
      </w:r>
      <w:r>
        <w:rPr>
          <w:spacing w:val="-6"/>
        </w:rPr>
        <w:t xml:space="preserve"> </w:t>
      </w:r>
      <w:r>
        <w:t>b</w:t>
      </w:r>
      <w:r>
        <w:t>ut</w:t>
      </w:r>
      <w:r>
        <w:rPr>
          <w:spacing w:val="-7"/>
        </w:rPr>
        <w:t xml:space="preserve"> </w:t>
      </w:r>
      <w:r>
        <w:t>the</w:t>
      </w:r>
      <w:r>
        <w:rPr>
          <w:spacing w:val="-5"/>
        </w:rPr>
        <w:t xml:space="preserve"> </w:t>
      </w:r>
      <w:r>
        <w:t>effects</w:t>
      </w:r>
      <w:r>
        <w:rPr>
          <w:spacing w:val="-5"/>
        </w:rPr>
        <w:t xml:space="preserve"> </w:t>
      </w:r>
      <w:r>
        <w:t>are</w:t>
      </w:r>
      <w:r>
        <w:rPr>
          <w:spacing w:val="-7"/>
        </w:rPr>
        <w:t xml:space="preserve"> </w:t>
      </w:r>
      <w:r>
        <w:t>even</w:t>
      </w:r>
      <w:r>
        <w:rPr>
          <w:spacing w:val="-7"/>
        </w:rPr>
        <w:t xml:space="preserve"> </w:t>
      </w:r>
      <w:r>
        <w:t>stronger</w:t>
      </w:r>
      <w:r>
        <w:rPr>
          <w:spacing w:val="-6"/>
        </w:rPr>
        <w:t xml:space="preserve"> </w:t>
      </w:r>
      <w:r>
        <w:t>for</w:t>
      </w:r>
      <w:r>
        <w:rPr>
          <w:spacing w:val="-6"/>
        </w:rPr>
        <w:t xml:space="preserve"> </w:t>
      </w:r>
      <w:r>
        <w:t>LGBTQ</w:t>
      </w:r>
      <w:r>
        <w:rPr>
          <w:spacing w:val="-7"/>
        </w:rPr>
        <w:t xml:space="preserve"> </w:t>
      </w:r>
      <w:r>
        <w:t>youth</w:t>
      </w:r>
      <w:r>
        <w:rPr>
          <w:spacing w:val="-5"/>
        </w:rPr>
        <w:t xml:space="preserve"> </w:t>
      </w:r>
      <w:r>
        <w:t>(see Figure 1). A significant proportion of LGBTQ youth who are homeless (39.3%) have experienced it, compared to 16.3% of het-cis homeless youth. This increased risk among LGBTQ youth may be due to their</w:t>
      </w:r>
      <w:r>
        <w:rPr>
          <w:spacing w:val="-2"/>
        </w:rPr>
        <w:t xml:space="preserve"> </w:t>
      </w:r>
      <w:r>
        <w:t>be</w:t>
      </w:r>
      <w:r>
        <w:t>ing</w:t>
      </w:r>
      <w:r>
        <w:rPr>
          <w:spacing w:val="-3"/>
        </w:rPr>
        <w:t xml:space="preserve"> </w:t>
      </w:r>
      <w:r>
        <w:t>homeless</w:t>
      </w:r>
      <w:r>
        <w:rPr>
          <w:spacing w:val="-3"/>
        </w:rPr>
        <w:t xml:space="preserve"> </w:t>
      </w:r>
      <w:r>
        <w:t>on</w:t>
      </w:r>
      <w:r>
        <w:rPr>
          <w:spacing w:val="-3"/>
        </w:rPr>
        <w:t xml:space="preserve"> </w:t>
      </w:r>
      <w:r>
        <w:t>their</w:t>
      </w:r>
      <w:r>
        <w:rPr>
          <w:spacing w:val="-4"/>
        </w:rPr>
        <w:t xml:space="preserve"> </w:t>
      </w:r>
      <w:r>
        <w:t>own,</w:t>
      </w:r>
      <w:r>
        <w:rPr>
          <w:spacing w:val="-3"/>
        </w:rPr>
        <w:t xml:space="preserve"> </w:t>
      </w:r>
      <w:r>
        <w:t>as</w:t>
      </w:r>
      <w:r>
        <w:rPr>
          <w:spacing w:val="-3"/>
        </w:rPr>
        <w:t xml:space="preserve"> </w:t>
      </w:r>
      <w:r>
        <w:t>a</w:t>
      </w:r>
      <w:r>
        <w:rPr>
          <w:spacing w:val="-4"/>
        </w:rPr>
        <w:t xml:space="preserve"> </w:t>
      </w:r>
      <w:r>
        <w:t>result</w:t>
      </w:r>
      <w:r>
        <w:rPr>
          <w:spacing w:val="-3"/>
        </w:rPr>
        <w:t xml:space="preserve"> </w:t>
      </w:r>
      <w:r>
        <w:t>of</w:t>
      </w:r>
      <w:r>
        <w:rPr>
          <w:spacing w:val="-4"/>
        </w:rPr>
        <w:t xml:space="preserve"> </w:t>
      </w:r>
      <w:r>
        <w:t>running</w:t>
      </w:r>
      <w:r>
        <w:rPr>
          <w:spacing w:val="-3"/>
        </w:rPr>
        <w:t xml:space="preserve"> </w:t>
      </w:r>
      <w:r>
        <w:t>away</w:t>
      </w:r>
      <w:r>
        <w:rPr>
          <w:spacing w:val="-3"/>
        </w:rPr>
        <w:t xml:space="preserve"> </w:t>
      </w:r>
      <w:r>
        <w:t>or</w:t>
      </w:r>
      <w:r>
        <w:rPr>
          <w:spacing w:val="-4"/>
        </w:rPr>
        <w:t xml:space="preserve"> </w:t>
      </w:r>
      <w:r>
        <w:t>being</w:t>
      </w:r>
      <w:r>
        <w:rPr>
          <w:spacing w:val="-3"/>
        </w:rPr>
        <w:t xml:space="preserve"> </w:t>
      </w:r>
      <w:r>
        <w:t>kicked</w:t>
      </w:r>
      <w:r>
        <w:rPr>
          <w:spacing w:val="-5"/>
        </w:rPr>
        <w:t xml:space="preserve"> </w:t>
      </w:r>
      <w:r>
        <w:t>out</w:t>
      </w:r>
      <w:r>
        <w:rPr>
          <w:spacing w:val="-3"/>
        </w:rPr>
        <w:t xml:space="preserve"> </w:t>
      </w:r>
      <w:r>
        <w:t>or</w:t>
      </w:r>
      <w:r>
        <w:rPr>
          <w:spacing w:val="-4"/>
        </w:rPr>
        <w:t xml:space="preserve"> </w:t>
      </w:r>
      <w:r>
        <w:t>abandoned</w:t>
      </w:r>
      <w:r>
        <w:rPr>
          <w:spacing w:val="-3"/>
        </w:rPr>
        <w:t xml:space="preserve"> </w:t>
      </w:r>
      <w:r>
        <w:t>by</w:t>
      </w:r>
      <w:r>
        <w:rPr>
          <w:spacing w:val="-2"/>
        </w:rPr>
        <w:t xml:space="preserve"> </w:t>
      </w:r>
      <w:r>
        <w:t xml:space="preserve">their </w:t>
      </w:r>
      <w:r>
        <w:rPr>
          <w:spacing w:val="-2"/>
        </w:rPr>
        <w:t>families.</w:t>
      </w: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3"/>
        <w:rPr>
          <w:sz w:val="19"/>
        </w:rPr>
      </w:pPr>
    </w:p>
    <w:tbl>
      <w:tblPr>
        <w:tblW w:w="0" w:type="auto"/>
        <w:tblInd w:w="1390" w:type="dxa"/>
        <w:tblBorders>
          <w:top w:val="single" w:sz="6" w:space="0" w:color="DFE3EB"/>
          <w:left w:val="single" w:sz="6" w:space="0" w:color="DFE3EB"/>
          <w:bottom w:val="single" w:sz="6" w:space="0" w:color="DFE3EB"/>
          <w:right w:val="single" w:sz="6" w:space="0" w:color="DFE3EB"/>
          <w:insideH w:val="single" w:sz="6" w:space="0" w:color="DFE3EB"/>
          <w:insideV w:val="single" w:sz="6" w:space="0" w:color="DFE3EB"/>
        </w:tblBorders>
        <w:tblLayout w:type="fixed"/>
        <w:tblCellMar>
          <w:left w:w="0" w:type="dxa"/>
          <w:right w:w="0" w:type="dxa"/>
        </w:tblCellMar>
        <w:tblLook w:val="01E0" w:firstRow="1" w:lastRow="1" w:firstColumn="1" w:lastColumn="1" w:noHBand="0" w:noVBand="0"/>
      </w:tblPr>
      <w:tblGrid>
        <w:gridCol w:w="1282"/>
        <w:gridCol w:w="3138"/>
        <w:gridCol w:w="3137"/>
      </w:tblGrid>
      <w:tr w:rsidR="00C76E6D">
        <w:trPr>
          <w:trHeight w:val="203"/>
        </w:trPr>
        <w:tc>
          <w:tcPr>
            <w:tcW w:w="1282" w:type="dxa"/>
            <w:tcBorders>
              <w:top w:val="nil"/>
              <w:left w:val="nil"/>
            </w:tcBorders>
          </w:tcPr>
          <w:p w:rsidR="00C76E6D" w:rsidRDefault="00C76E6D">
            <w:pPr>
              <w:pStyle w:val="TableParagraph"/>
              <w:rPr>
                <w:rFonts w:ascii="Times New Roman"/>
                <w:sz w:val="14"/>
              </w:rPr>
            </w:pPr>
          </w:p>
        </w:tc>
        <w:tc>
          <w:tcPr>
            <w:tcW w:w="3138" w:type="dxa"/>
          </w:tcPr>
          <w:p w:rsidR="00C76E6D" w:rsidRDefault="00913831">
            <w:pPr>
              <w:pStyle w:val="TableParagraph"/>
              <w:spacing w:line="183" w:lineRule="exact"/>
              <w:ind w:left="1310" w:right="1286"/>
              <w:jc w:val="center"/>
              <w:rPr>
                <w:sz w:val="18"/>
              </w:rPr>
            </w:pPr>
            <w:r>
              <w:rPr>
                <w:color w:val="44526A"/>
                <w:spacing w:val="-2"/>
                <w:sz w:val="18"/>
              </w:rPr>
              <w:t>LGBTQ</w:t>
            </w:r>
          </w:p>
        </w:tc>
        <w:tc>
          <w:tcPr>
            <w:tcW w:w="3137" w:type="dxa"/>
          </w:tcPr>
          <w:p w:rsidR="00C76E6D" w:rsidRDefault="00913831">
            <w:pPr>
              <w:pStyle w:val="TableParagraph"/>
              <w:spacing w:line="183" w:lineRule="exact"/>
              <w:ind w:left="1307" w:right="1281"/>
              <w:jc w:val="center"/>
              <w:rPr>
                <w:sz w:val="18"/>
              </w:rPr>
            </w:pPr>
            <w:r>
              <w:rPr>
                <w:color w:val="44526A"/>
                <w:spacing w:val="-4"/>
                <w:sz w:val="18"/>
              </w:rPr>
              <w:t>Het-</w:t>
            </w:r>
            <w:r>
              <w:rPr>
                <w:color w:val="44526A"/>
                <w:spacing w:val="-5"/>
                <w:sz w:val="18"/>
              </w:rPr>
              <w:t>Cis</w:t>
            </w:r>
          </w:p>
        </w:tc>
      </w:tr>
      <w:tr w:rsidR="00C76E6D">
        <w:trPr>
          <w:trHeight w:val="272"/>
        </w:trPr>
        <w:tc>
          <w:tcPr>
            <w:tcW w:w="1282" w:type="dxa"/>
            <w:tcBorders>
              <w:left w:val="nil"/>
            </w:tcBorders>
          </w:tcPr>
          <w:p w:rsidR="00C76E6D" w:rsidRDefault="00913831">
            <w:pPr>
              <w:pStyle w:val="TableParagraph"/>
              <w:spacing w:before="12"/>
              <w:ind w:left="204"/>
              <w:rPr>
                <w:sz w:val="18"/>
              </w:rPr>
            </w:pPr>
            <w:r>
              <w:rPr>
                <w:color w:val="44526A"/>
                <w:spacing w:val="-2"/>
                <w:sz w:val="18"/>
              </w:rPr>
              <w:t>Homeless</w:t>
            </w:r>
          </w:p>
        </w:tc>
        <w:tc>
          <w:tcPr>
            <w:tcW w:w="3138" w:type="dxa"/>
          </w:tcPr>
          <w:p w:rsidR="00C76E6D" w:rsidRDefault="00913831">
            <w:pPr>
              <w:pStyle w:val="TableParagraph"/>
              <w:spacing w:before="16"/>
              <w:ind w:left="1310" w:right="1277"/>
              <w:jc w:val="center"/>
              <w:rPr>
                <w:sz w:val="18"/>
              </w:rPr>
            </w:pPr>
            <w:r>
              <w:rPr>
                <w:color w:val="44526A"/>
                <w:spacing w:val="-4"/>
                <w:sz w:val="18"/>
              </w:rPr>
              <w:t>39.3</w:t>
            </w:r>
          </w:p>
        </w:tc>
        <w:tc>
          <w:tcPr>
            <w:tcW w:w="3137" w:type="dxa"/>
          </w:tcPr>
          <w:p w:rsidR="00C76E6D" w:rsidRDefault="00913831">
            <w:pPr>
              <w:pStyle w:val="TableParagraph"/>
              <w:spacing w:before="16"/>
              <w:ind w:left="1307" w:right="1276"/>
              <w:jc w:val="center"/>
              <w:rPr>
                <w:sz w:val="18"/>
              </w:rPr>
            </w:pPr>
            <w:r>
              <w:rPr>
                <w:color w:val="44526A"/>
                <w:spacing w:val="-4"/>
                <w:sz w:val="18"/>
              </w:rPr>
              <w:t>17.5</w:t>
            </w:r>
          </w:p>
        </w:tc>
      </w:tr>
      <w:tr w:rsidR="00C76E6D">
        <w:trPr>
          <w:trHeight w:val="271"/>
        </w:trPr>
        <w:tc>
          <w:tcPr>
            <w:tcW w:w="1282" w:type="dxa"/>
          </w:tcPr>
          <w:p w:rsidR="00C76E6D" w:rsidRDefault="00913831">
            <w:pPr>
              <w:pStyle w:val="TableParagraph"/>
              <w:spacing w:before="10"/>
              <w:ind w:left="212"/>
              <w:rPr>
                <w:sz w:val="18"/>
              </w:rPr>
            </w:pPr>
            <w:r>
              <w:rPr>
                <w:color w:val="44526A"/>
                <w:sz w:val="18"/>
              </w:rPr>
              <w:t>Not</w:t>
            </w:r>
            <w:r>
              <w:rPr>
                <w:color w:val="44526A"/>
                <w:spacing w:val="-5"/>
                <w:sz w:val="18"/>
              </w:rPr>
              <w:t xml:space="preserve"> </w:t>
            </w:r>
            <w:r>
              <w:rPr>
                <w:color w:val="44526A"/>
                <w:spacing w:val="-2"/>
                <w:sz w:val="18"/>
              </w:rPr>
              <w:t>Homeless</w:t>
            </w:r>
          </w:p>
        </w:tc>
        <w:tc>
          <w:tcPr>
            <w:tcW w:w="3138" w:type="dxa"/>
          </w:tcPr>
          <w:p w:rsidR="00C76E6D" w:rsidRDefault="00913831">
            <w:pPr>
              <w:pStyle w:val="TableParagraph"/>
              <w:spacing w:before="15"/>
              <w:ind w:left="1310" w:right="1277"/>
              <w:jc w:val="center"/>
              <w:rPr>
                <w:sz w:val="18"/>
              </w:rPr>
            </w:pPr>
            <w:r>
              <w:rPr>
                <w:color w:val="44526A"/>
                <w:spacing w:val="-4"/>
                <w:sz w:val="18"/>
              </w:rPr>
              <w:t>16.5</w:t>
            </w:r>
          </w:p>
        </w:tc>
        <w:tc>
          <w:tcPr>
            <w:tcW w:w="3137" w:type="dxa"/>
          </w:tcPr>
          <w:p w:rsidR="00C76E6D" w:rsidRDefault="00913831">
            <w:pPr>
              <w:pStyle w:val="TableParagraph"/>
              <w:spacing w:before="15"/>
              <w:ind w:left="1307" w:right="1275"/>
              <w:jc w:val="center"/>
              <w:rPr>
                <w:sz w:val="18"/>
              </w:rPr>
            </w:pPr>
            <w:r>
              <w:rPr>
                <w:color w:val="44526A"/>
                <w:spacing w:val="-5"/>
                <w:sz w:val="18"/>
              </w:rPr>
              <w:t>6.4</w:t>
            </w:r>
          </w:p>
        </w:tc>
      </w:tr>
    </w:tbl>
    <w:p w:rsidR="00C76E6D" w:rsidRDefault="00C76E6D">
      <w:pPr>
        <w:jc w:val="center"/>
        <w:rPr>
          <w:sz w:val="18"/>
        </w:rPr>
        <w:sectPr w:rsidR="00C76E6D">
          <w:headerReference w:type="default" r:id="rId36"/>
          <w:footerReference w:type="default" r:id="rId37"/>
          <w:pgSz w:w="12240" w:h="15840"/>
          <w:pgMar w:top="1000" w:right="960" w:bottom="1060" w:left="960" w:header="779" w:footer="864" w:gutter="0"/>
          <w:cols w:space="720"/>
        </w:sectPr>
      </w:pPr>
    </w:p>
    <w:p w:rsidR="00C76E6D" w:rsidRDefault="00913831">
      <w:pPr>
        <w:pStyle w:val="BodyText"/>
        <w:spacing w:before="4"/>
        <w:rPr>
          <w:sz w:val="28"/>
        </w:rPr>
      </w:pPr>
      <w:r>
        <w:rPr>
          <w:noProof/>
        </w:rPr>
        <w:lastRenderedPageBreak/>
        <w:drawing>
          <wp:anchor distT="0" distB="0" distL="0" distR="0" simplePos="0" relativeHeight="15744512" behindDoc="0" locked="0" layoutInCell="1" allowOverlap="1">
            <wp:simplePos x="0" y="0"/>
            <wp:positionH relativeFrom="page">
              <wp:posOffset>1201421</wp:posOffset>
            </wp:positionH>
            <wp:positionV relativeFrom="page">
              <wp:posOffset>8084820</wp:posOffset>
            </wp:positionV>
            <wp:extent cx="107948" cy="181507"/>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32" cstate="print"/>
                    <a:stretch>
                      <a:fillRect/>
                    </a:stretch>
                  </pic:blipFill>
                  <pic:spPr>
                    <a:xfrm>
                      <a:off x="0" y="0"/>
                      <a:ext cx="107948" cy="181507"/>
                    </a:xfrm>
                    <a:prstGeom prst="rect">
                      <a:avLst/>
                    </a:prstGeom>
                  </pic:spPr>
                </pic:pic>
              </a:graphicData>
            </a:graphic>
          </wp:anchor>
        </w:drawing>
      </w:r>
    </w:p>
    <w:p w:rsidR="00C76E6D" w:rsidRDefault="00913831">
      <w:pPr>
        <w:pStyle w:val="BodyText"/>
        <w:spacing w:before="55" w:line="276" w:lineRule="auto"/>
        <w:ind w:left="477" w:right="476"/>
        <w:jc w:val="both"/>
      </w:pPr>
      <w:r>
        <w:pict>
          <v:group id="docshapegroup64" o:spid="_x0000_s1353" style="position:absolute;left:0;text-align:left;margin-left:79.9pt;margin-top:95pt;width:451pt;height:210.65pt;z-index:-21200384;mso-position-horizontal-relative:page" coordorigin="1598,1900" coordsize="9020,4213">
            <v:shape id="docshape65" o:spid="_x0000_s1374" style="position:absolute;left:4012;top:3250;width:897;height:1357" coordorigin="4012,3251" coordsize="897,1357" o:spt="100" adj="0,,0" path="m4012,4536r,72m4012,4108r,143m4012,3251r,714m4909,3251r,1142e" filled="f" strokecolor="#dfe3eb">
              <v:stroke joinstyle="round"/>
              <v:formulas/>
              <v:path arrowok="t" o:connecttype="segments"/>
            </v:shape>
            <v:shape id="docshape66" o:spid="_x0000_s1373" type="#_x0000_t75" style="position:absolute;left:3115;top:3822;width:1787;height:286">
              <v:imagedata r:id="rId38" o:title=""/>
            </v:shape>
            <v:shape id="docshape67" o:spid="_x0000_s1372" style="position:absolute;left:4910;top:3250;width:899;height:1357" coordorigin="4910,3251" coordsize="899,1357" o:spt="100" adj="0,,0" path="m4910,4536r,72m5809,3251r,1357e" filled="f" strokecolor="#dfe3eb">
              <v:stroke joinstyle="round"/>
              <v:formulas/>
              <v:path arrowok="t" o:connecttype="segments"/>
            </v:shape>
            <v:shape id="docshape68" o:spid="_x0000_s1371" type="#_x0000_t75" style="position:absolute;left:3115;top:4250;width:2676;height:286">
              <v:imagedata r:id="rId39" o:title=""/>
            </v:shape>
            <v:shape id="docshape69" o:spid="_x0000_s1370" type="#_x0000_t75" style="position:absolute;left:3115;top:3393;width:898;height:286">
              <v:imagedata r:id="rId40" o:title=""/>
            </v:shape>
            <v:shape id="docshape70" o:spid="_x0000_s1369" style="position:absolute;left:4012;top:2893;width:5388;height:1714" coordorigin="4012,2894" coordsize="5388,1714" o:spt="100" adj="0,,0" path="m4012,2894r,71m4909,2894r,71m5808,2894r,71m6706,3251r,1357m6706,2894r,71m7603,3251r,1357m7603,2894r,71m8502,3251r,1357m8502,2894r,71m9400,3108r,1500m9400,2894r,71e" filled="f" strokecolor="#dfe3eb">
              <v:stroke joinstyle="round"/>
              <v:formulas/>
              <v:path arrowok="t" o:connecttype="segments"/>
            </v:shape>
            <v:shape id="docshape71" o:spid="_x0000_s1368" type="#_x0000_t75" style="position:absolute;left:3115;top:2965;width:6547;height:286">
              <v:imagedata r:id="rId41" o:title=""/>
            </v:shape>
            <v:line id="_x0000_s1367" style="position:absolute" from="3115,4609" to="3115,2895" strokecolor="#dfe3eb"/>
            <v:line id="_x0000_s1366" style="position:absolute" from="10299,2895" to="10299,4609" strokecolor="#dfe3eb"/>
            <v:shape id="docshape72" o:spid="_x0000_s1365" type="#_x0000_t75" style="position:absolute;left:1889;top:5687;width:99;height:99">
              <v:imagedata r:id="rId42" o:title=""/>
            </v:shape>
            <v:rect id="docshape73" o:spid="_x0000_s1364" style="position:absolute;left:1605;top:1907;width:9005;height:4198" filled="f" strokecolor="#dfe3eb"/>
            <v:shape id="docshape74" o:spid="_x0000_s1363" type="#_x0000_t202" style="position:absolute;left:1735;top:2122;width:7718;height:2365" filled="f" stroked="f">
              <v:textbox inset="0,0,0,0">
                <w:txbxContent>
                  <w:p w:rsidR="00C76E6D" w:rsidRDefault="00913831">
                    <w:pPr>
                      <w:spacing w:line="237" w:lineRule="exact"/>
                      <w:ind w:left="1043" w:right="15"/>
                      <w:jc w:val="center"/>
                      <w:rPr>
                        <w:b/>
                        <w:sz w:val="24"/>
                      </w:rPr>
                    </w:pPr>
                    <w:r>
                      <w:rPr>
                        <w:b/>
                        <w:color w:val="44526A"/>
                        <w:sz w:val="24"/>
                      </w:rPr>
                      <w:t>Figure</w:t>
                    </w:r>
                    <w:r>
                      <w:rPr>
                        <w:b/>
                        <w:color w:val="44526A"/>
                        <w:spacing w:val="-13"/>
                        <w:sz w:val="24"/>
                      </w:rPr>
                      <w:t xml:space="preserve"> </w:t>
                    </w:r>
                    <w:r>
                      <w:rPr>
                        <w:b/>
                        <w:color w:val="44526A"/>
                        <w:sz w:val="24"/>
                      </w:rPr>
                      <w:t>2.</w:t>
                    </w:r>
                    <w:r>
                      <w:rPr>
                        <w:b/>
                        <w:color w:val="44526A"/>
                        <w:spacing w:val="-9"/>
                        <w:sz w:val="24"/>
                      </w:rPr>
                      <w:t xml:space="preserve"> </w:t>
                    </w:r>
                    <w:r>
                      <w:rPr>
                        <w:b/>
                        <w:color w:val="44526A"/>
                        <w:sz w:val="24"/>
                      </w:rPr>
                      <w:t>Risk</w:t>
                    </w:r>
                    <w:r>
                      <w:rPr>
                        <w:b/>
                        <w:color w:val="44526A"/>
                        <w:spacing w:val="-9"/>
                        <w:sz w:val="24"/>
                      </w:rPr>
                      <w:t xml:space="preserve"> </w:t>
                    </w:r>
                    <w:r>
                      <w:rPr>
                        <w:b/>
                        <w:color w:val="44526A"/>
                        <w:sz w:val="24"/>
                      </w:rPr>
                      <w:t>and</w:t>
                    </w:r>
                    <w:r>
                      <w:rPr>
                        <w:b/>
                        <w:color w:val="44526A"/>
                        <w:spacing w:val="-9"/>
                        <w:sz w:val="24"/>
                      </w:rPr>
                      <w:t xml:space="preserve"> </w:t>
                    </w:r>
                    <w:r>
                      <w:rPr>
                        <w:b/>
                        <w:color w:val="44526A"/>
                        <w:sz w:val="24"/>
                      </w:rPr>
                      <w:t>Protective</w:t>
                    </w:r>
                    <w:r>
                      <w:rPr>
                        <w:b/>
                        <w:color w:val="44526A"/>
                        <w:spacing w:val="-10"/>
                        <w:sz w:val="24"/>
                      </w:rPr>
                      <w:t xml:space="preserve"> </w:t>
                    </w:r>
                    <w:r>
                      <w:rPr>
                        <w:b/>
                        <w:color w:val="44526A"/>
                        <w:sz w:val="24"/>
                      </w:rPr>
                      <w:t>Behaviors</w:t>
                    </w:r>
                    <w:r>
                      <w:rPr>
                        <w:b/>
                        <w:color w:val="44526A"/>
                        <w:spacing w:val="-10"/>
                        <w:sz w:val="24"/>
                      </w:rPr>
                      <w:t xml:space="preserve"> </w:t>
                    </w:r>
                    <w:r>
                      <w:rPr>
                        <w:b/>
                        <w:color w:val="44526A"/>
                        <w:sz w:val="24"/>
                      </w:rPr>
                      <w:t>of</w:t>
                    </w:r>
                    <w:r>
                      <w:rPr>
                        <w:b/>
                        <w:color w:val="44526A"/>
                        <w:spacing w:val="-10"/>
                        <w:sz w:val="24"/>
                      </w:rPr>
                      <w:t xml:space="preserve"> </w:t>
                    </w:r>
                    <w:r>
                      <w:rPr>
                        <w:b/>
                        <w:color w:val="44526A"/>
                        <w:sz w:val="24"/>
                      </w:rPr>
                      <w:t>LGBTQ</w:t>
                    </w:r>
                    <w:r>
                      <w:rPr>
                        <w:b/>
                        <w:color w:val="44526A"/>
                        <w:spacing w:val="-9"/>
                        <w:sz w:val="24"/>
                      </w:rPr>
                      <w:t xml:space="preserve"> </w:t>
                    </w:r>
                    <w:r>
                      <w:rPr>
                        <w:b/>
                        <w:color w:val="44526A"/>
                        <w:sz w:val="24"/>
                      </w:rPr>
                      <w:t>and</w:t>
                    </w:r>
                    <w:r>
                      <w:rPr>
                        <w:b/>
                        <w:color w:val="44526A"/>
                        <w:spacing w:val="-7"/>
                        <w:sz w:val="24"/>
                      </w:rPr>
                      <w:t xml:space="preserve"> </w:t>
                    </w:r>
                    <w:r>
                      <w:rPr>
                        <w:b/>
                        <w:color w:val="44526A"/>
                        <w:spacing w:val="-2"/>
                        <w:sz w:val="24"/>
                      </w:rPr>
                      <w:t>Heterosexual-</w:t>
                    </w:r>
                  </w:p>
                  <w:p w:rsidR="00C76E6D" w:rsidRDefault="00913831">
                    <w:pPr>
                      <w:spacing w:line="285" w:lineRule="exact"/>
                      <w:ind w:left="1043" w:right="12"/>
                      <w:jc w:val="center"/>
                      <w:rPr>
                        <w:b/>
                        <w:sz w:val="24"/>
                      </w:rPr>
                    </w:pPr>
                    <w:r>
                      <w:rPr>
                        <w:b/>
                        <w:color w:val="44526A"/>
                        <w:sz w:val="24"/>
                      </w:rPr>
                      <w:t>Cisgender</w:t>
                    </w:r>
                    <w:r>
                      <w:rPr>
                        <w:b/>
                        <w:color w:val="44526A"/>
                        <w:spacing w:val="-13"/>
                        <w:sz w:val="24"/>
                      </w:rPr>
                      <w:t xml:space="preserve"> </w:t>
                    </w:r>
                    <w:r>
                      <w:rPr>
                        <w:b/>
                        <w:color w:val="44526A"/>
                        <w:sz w:val="24"/>
                      </w:rPr>
                      <w:t>Students,</w:t>
                    </w:r>
                    <w:r>
                      <w:rPr>
                        <w:b/>
                        <w:color w:val="44526A"/>
                        <w:spacing w:val="-10"/>
                        <w:sz w:val="24"/>
                      </w:rPr>
                      <w:t xml:space="preserve"> </w:t>
                    </w:r>
                    <w:r>
                      <w:rPr>
                        <w:b/>
                        <w:color w:val="44526A"/>
                        <w:spacing w:val="-4"/>
                        <w:sz w:val="24"/>
                      </w:rPr>
                      <w:t>2019</w:t>
                    </w:r>
                  </w:p>
                  <w:p w:rsidR="00C76E6D" w:rsidRDefault="00C76E6D">
                    <w:pPr>
                      <w:spacing w:before="6"/>
                      <w:rPr>
                        <w:b/>
                        <w:sz w:val="27"/>
                      </w:rPr>
                    </w:pPr>
                  </w:p>
                  <w:p w:rsidR="00C76E6D" w:rsidRDefault="00913831">
                    <w:pPr>
                      <w:spacing w:before="1" w:line="470" w:lineRule="auto"/>
                      <w:ind w:right="6496" w:firstLine="1"/>
                      <w:jc w:val="both"/>
                      <w:rPr>
                        <w:sz w:val="18"/>
                      </w:rPr>
                    </w:pPr>
                    <w:r>
                      <w:rPr>
                        <w:color w:val="44526A"/>
                        <w:sz w:val="18"/>
                      </w:rPr>
                      <w:t>Teacher</w:t>
                    </w:r>
                    <w:r>
                      <w:rPr>
                        <w:color w:val="44526A"/>
                        <w:spacing w:val="-11"/>
                        <w:sz w:val="18"/>
                      </w:rPr>
                      <w:t xml:space="preserve"> </w:t>
                    </w:r>
                    <w:r>
                      <w:rPr>
                        <w:color w:val="44526A"/>
                        <w:sz w:val="18"/>
                      </w:rPr>
                      <w:t>Support 4+ Sex Partners Suicide</w:t>
                    </w:r>
                    <w:r>
                      <w:rPr>
                        <w:color w:val="44526A"/>
                        <w:spacing w:val="39"/>
                        <w:sz w:val="18"/>
                      </w:rPr>
                      <w:t xml:space="preserve"> </w:t>
                    </w:r>
                    <w:r>
                      <w:rPr>
                        <w:color w:val="44526A"/>
                        <w:spacing w:val="-2"/>
                        <w:sz w:val="18"/>
                      </w:rPr>
                      <w:t>Attempt</w:t>
                    </w:r>
                  </w:p>
                  <w:p w:rsidR="00C76E6D" w:rsidRDefault="00913831">
                    <w:pPr>
                      <w:spacing w:line="214" w:lineRule="exact"/>
                      <w:jc w:val="both"/>
                      <w:rPr>
                        <w:sz w:val="18"/>
                      </w:rPr>
                    </w:pPr>
                    <w:r>
                      <w:rPr>
                        <w:color w:val="44526A"/>
                        <w:sz w:val="18"/>
                      </w:rPr>
                      <w:t>Bullied</w:t>
                    </w:r>
                    <w:r>
                      <w:rPr>
                        <w:color w:val="44526A"/>
                        <w:spacing w:val="-5"/>
                        <w:sz w:val="18"/>
                      </w:rPr>
                      <w:t xml:space="preserve"> </w:t>
                    </w:r>
                    <w:r>
                      <w:rPr>
                        <w:color w:val="44526A"/>
                        <w:sz w:val="18"/>
                      </w:rPr>
                      <w:t>at</w:t>
                    </w:r>
                    <w:r>
                      <w:rPr>
                        <w:color w:val="44526A"/>
                        <w:spacing w:val="-4"/>
                        <w:sz w:val="18"/>
                      </w:rPr>
                      <w:t xml:space="preserve"> </w:t>
                    </w:r>
                    <w:r>
                      <w:rPr>
                        <w:color w:val="44526A"/>
                        <w:spacing w:val="-2"/>
                        <w:sz w:val="18"/>
                      </w:rPr>
                      <w:t>School</w:t>
                    </w:r>
                  </w:p>
                </w:txbxContent>
              </v:textbox>
            </v:shape>
            <v:shape id="docshape75" o:spid="_x0000_s1362" type="#_x0000_t202" style="position:absolute;left:3068;top:4767;width:112;height:180" filled="f" stroked="f">
              <v:textbox inset="0,0,0,0">
                <w:txbxContent>
                  <w:p w:rsidR="00C76E6D" w:rsidRDefault="00913831">
                    <w:pPr>
                      <w:spacing w:line="180" w:lineRule="exact"/>
                      <w:rPr>
                        <w:sz w:val="18"/>
                      </w:rPr>
                    </w:pPr>
                    <w:r>
                      <w:rPr>
                        <w:color w:val="44526A"/>
                        <w:sz w:val="18"/>
                      </w:rPr>
                      <w:t>0</w:t>
                    </w:r>
                  </w:p>
                </w:txbxContent>
              </v:textbox>
            </v:shape>
            <v:shape id="docshape76" o:spid="_x0000_s1361" type="#_x0000_t202" style="position:absolute;left:3921;top:4767;width:193;height:180" filled="f" stroked="f">
              <v:textbox inset="0,0,0,0">
                <w:txbxContent>
                  <w:p w:rsidR="00C76E6D" w:rsidRDefault="00913831">
                    <w:pPr>
                      <w:spacing w:line="180" w:lineRule="exact"/>
                      <w:rPr>
                        <w:sz w:val="18"/>
                      </w:rPr>
                    </w:pPr>
                    <w:r>
                      <w:rPr>
                        <w:color w:val="44526A"/>
                        <w:spacing w:val="-5"/>
                        <w:sz w:val="18"/>
                      </w:rPr>
                      <w:t>10</w:t>
                    </w:r>
                  </w:p>
                </w:txbxContent>
              </v:textbox>
            </v:shape>
            <v:shape id="docshape77" o:spid="_x0000_s1360" type="#_x0000_t202" style="position:absolute;left:4819;top:4767;width:193;height:180" filled="f" stroked="f">
              <v:textbox inset="0,0,0,0">
                <w:txbxContent>
                  <w:p w:rsidR="00C76E6D" w:rsidRDefault="00913831">
                    <w:pPr>
                      <w:spacing w:line="180" w:lineRule="exact"/>
                      <w:rPr>
                        <w:sz w:val="18"/>
                      </w:rPr>
                    </w:pPr>
                    <w:r>
                      <w:rPr>
                        <w:color w:val="44526A"/>
                        <w:spacing w:val="-5"/>
                        <w:sz w:val="18"/>
                      </w:rPr>
                      <w:t>20</w:t>
                    </w:r>
                  </w:p>
                </w:txbxContent>
              </v:textbox>
            </v:shape>
            <v:shape id="docshape78" o:spid="_x0000_s1359" type="#_x0000_t202" style="position:absolute;left:5716;top:4767;width:193;height:180" filled="f" stroked="f">
              <v:textbox inset="0,0,0,0">
                <w:txbxContent>
                  <w:p w:rsidR="00C76E6D" w:rsidRDefault="00913831">
                    <w:pPr>
                      <w:spacing w:line="180" w:lineRule="exact"/>
                      <w:rPr>
                        <w:sz w:val="18"/>
                      </w:rPr>
                    </w:pPr>
                    <w:r>
                      <w:rPr>
                        <w:color w:val="44526A"/>
                        <w:spacing w:val="-5"/>
                        <w:sz w:val="18"/>
                      </w:rPr>
                      <w:t>30</w:t>
                    </w:r>
                  </w:p>
                </w:txbxContent>
              </v:textbox>
            </v:shape>
            <v:shape id="docshape79" o:spid="_x0000_s1358" type="#_x0000_t202" style="position:absolute;left:6615;top:4767;width:193;height:180" filled="f" stroked="f">
              <v:textbox inset="0,0,0,0">
                <w:txbxContent>
                  <w:p w:rsidR="00C76E6D" w:rsidRDefault="00913831">
                    <w:pPr>
                      <w:spacing w:line="180" w:lineRule="exact"/>
                      <w:rPr>
                        <w:sz w:val="18"/>
                      </w:rPr>
                    </w:pPr>
                    <w:r>
                      <w:rPr>
                        <w:color w:val="44526A"/>
                        <w:spacing w:val="-5"/>
                        <w:sz w:val="18"/>
                      </w:rPr>
                      <w:t>40</w:t>
                    </w:r>
                  </w:p>
                </w:txbxContent>
              </v:textbox>
            </v:shape>
            <v:shape id="docshape80" o:spid="_x0000_s1357" type="#_x0000_t202" style="position:absolute;left:7513;top:4767;width:193;height:180" filled="f" stroked="f">
              <v:textbox inset="0,0,0,0">
                <w:txbxContent>
                  <w:p w:rsidR="00C76E6D" w:rsidRDefault="00913831">
                    <w:pPr>
                      <w:spacing w:line="180" w:lineRule="exact"/>
                      <w:rPr>
                        <w:sz w:val="18"/>
                      </w:rPr>
                    </w:pPr>
                    <w:r>
                      <w:rPr>
                        <w:color w:val="44526A"/>
                        <w:spacing w:val="-5"/>
                        <w:sz w:val="18"/>
                      </w:rPr>
                      <w:t>50</w:t>
                    </w:r>
                  </w:p>
                </w:txbxContent>
              </v:textbox>
            </v:shape>
            <v:shape id="docshape81" o:spid="_x0000_s1356" type="#_x0000_t202" style="position:absolute;left:8410;top:4767;width:193;height:180" filled="f" stroked="f">
              <v:textbox inset="0,0,0,0">
                <w:txbxContent>
                  <w:p w:rsidR="00C76E6D" w:rsidRDefault="00913831">
                    <w:pPr>
                      <w:spacing w:line="180" w:lineRule="exact"/>
                      <w:rPr>
                        <w:sz w:val="18"/>
                      </w:rPr>
                    </w:pPr>
                    <w:r>
                      <w:rPr>
                        <w:color w:val="44526A"/>
                        <w:spacing w:val="-5"/>
                        <w:sz w:val="18"/>
                      </w:rPr>
                      <w:t>60</w:t>
                    </w:r>
                  </w:p>
                </w:txbxContent>
              </v:textbox>
            </v:shape>
            <v:shape id="docshape82" o:spid="_x0000_s1355" type="#_x0000_t202" style="position:absolute;left:9308;top:4767;width:193;height:180" filled="f" stroked="f">
              <v:textbox inset="0,0,0,0">
                <w:txbxContent>
                  <w:p w:rsidR="00C76E6D" w:rsidRDefault="00913831">
                    <w:pPr>
                      <w:spacing w:line="180" w:lineRule="exact"/>
                      <w:rPr>
                        <w:sz w:val="18"/>
                      </w:rPr>
                    </w:pPr>
                    <w:r>
                      <w:rPr>
                        <w:color w:val="44526A"/>
                        <w:spacing w:val="-5"/>
                        <w:sz w:val="18"/>
                      </w:rPr>
                      <w:t>70</w:t>
                    </w:r>
                  </w:p>
                </w:txbxContent>
              </v:textbox>
            </v:shape>
            <v:shape id="docshape83" o:spid="_x0000_s1354" type="#_x0000_t202" style="position:absolute;left:10207;top:4767;width:193;height:180" filled="f" stroked="f">
              <v:textbox inset="0,0,0,0">
                <w:txbxContent>
                  <w:p w:rsidR="00C76E6D" w:rsidRDefault="00913831">
                    <w:pPr>
                      <w:spacing w:line="180" w:lineRule="exact"/>
                      <w:rPr>
                        <w:sz w:val="18"/>
                      </w:rPr>
                    </w:pPr>
                    <w:r>
                      <w:rPr>
                        <w:color w:val="44526A"/>
                        <w:spacing w:val="-5"/>
                        <w:sz w:val="18"/>
                      </w:rPr>
                      <w:t>80</w:t>
                    </w:r>
                  </w:p>
                </w:txbxContent>
              </v:textbox>
            </v:shape>
            <w10:wrap anchorx="page"/>
          </v:group>
        </w:pict>
      </w:r>
      <w:r>
        <w:t>Compared</w:t>
      </w:r>
      <w:r>
        <w:rPr>
          <w:spacing w:val="-11"/>
        </w:rPr>
        <w:t xml:space="preserve"> </w:t>
      </w:r>
      <w:r>
        <w:t>with</w:t>
      </w:r>
      <w:r>
        <w:rPr>
          <w:spacing w:val="-9"/>
        </w:rPr>
        <w:t xml:space="preserve"> </w:t>
      </w:r>
      <w:r>
        <w:t>het-cis</w:t>
      </w:r>
      <w:r>
        <w:rPr>
          <w:spacing w:val="-9"/>
        </w:rPr>
        <w:t xml:space="preserve"> </w:t>
      </w:r>
      <w:r>
        <w:t>youth,</w:t>
      </w:r>
      <w:r>
        <w:rPr>
          <w:spacing w:val="-10"/>
        </w:rPr>
        <w:t xml:space="preserve"> </w:t>
      </w:r>
      <w:r>
        <w:t>LGBTQ</w:t>
      </w:r>
      <w:r>
        <w:rPr>
          <w:spacing w:val="-9"/>
        </w:rPr>
        <w:t xml:space="preserve"> </w:t>
      </w:r>
      <w:r>
        <w:t>youth</w:t>
      </w:r>
      <w:r>
        <w:rPr>
          <w:spacing w:val="-9"/>
        </w:rPr>
        <w:t xml:space="preserve"> </w:t>
      </w:r>
      <w:r>
        <w:t>are</w:t>
      </w:r>
      <w:r>
        <w:rPr>
          <w:spacing w:val="-9"/>
        </w:rPr>
        <w:t xml:space="preserve"> </w:t>
      </w:r>
      <w:r>
        <w:t>twice</w:t>
      </w:r>
      <w:r>
        <w:rPr>
          <w:spacing w:val="-7"/>
        </w:rPr>
        <w:t xml:space="preserve"> </w:t>
      </w:r>
      <w:r>
        <w:t>as</w:t>
      </w:r>
      <w:r>
        <w:rPr>
          <w:spacing w:val="-10"/>
        </w:rPr>
        <w:t xml:space="preserve"> </w:t>
      </w:r>
      <w:r>
        <w:t>likely</w:t>
      </w:r>
      <w:r>
        <w:rPr>
          <w:spacing w:val="-9"/>
        </w:rPr>
        <w:t xml:space="preserve"> </w:t>
      </w:r>
      <w:r>
        <w:t>to</w:t>
      </w:r>
      <w:r>
        <w:rPr>
          <w:spacing w:val="-8"/>
        </w:rPr>
        <w:t xml:space="preserve"> </w:t>
      </w:r>
      <w:r>
        <w:t>be</w:t>
      </w:r>
      <w:r>
        <w:rPr>
          <w:spacing w:val="-9"/>
        </w:rPr>
        <w:t xml:space="preserve"> </w:t>
      </w:r>
      <w:r>
        <w:t>bullied</w:t>
      </w:r>
      <w:r>
        <w:rPr>
          <w:spacing w:val="-9"/>
        </w:rPr>
        <w:t xml:space="preserve"> </w:t>
      </w:r>
      <w:r>
        <w:t>at</w:t>
      </w:r>
      <w:r>
        <w:rPr>
          <w:spacing w:val="-10"/>
        </w:rPr>
        <w:t xml:space="preserve"> </w:t>
      </w:r>
      <w:r>
        <w:t>school</w:t>
      </w:r>
      <w:r>
        <w:rPr>
          <w:spacing w:val="-10"/>
        </w:rPr>
        <w:t xml:space="preserve"> </w:t>
      </w:r>
      <w:r>
        <w:t>(29.8%</w:t>
      </w:r>
      <w:r>
        <w:rPr>
          <w:spacing w:val="-10"/>
        </w:rPr>
        <w:t xml:space="preserve"> </w:t>
      </w:r>
      <w:r>
        <w:t>versus</w:t>
      </w:r>
      <w:r>
        <w:rPr>
          <w:spacing w:val="-10"/>
        </w:rPr>
        <w:t xml:space="preserve"> </w:t>
      </w:r>
      <w:r>
        <w:t>14.4%) and</w:t>
      </w:r>
      <w:r>
        <w:rPr>
          <w:spacing w:val="-7"/>
        </w:rPr>
        <w:t xml:space="preserve"> </w:t>
      </w:r>
      <w:r>
        <w:t>are</w:t>
      </w:r>
      <w:r>
        <w:rPr>
          <w:spacing w:val="-6"/>
        </w:rPr>
        <w:t xml:space="preserve"> </w:t>
      </w:r>
      <w:r>
        <w:t>four</w:t>
      </w:r>
      <w:r>
        <w:rPr>
          <w:spacing w:val="-4"/>
        </w:rPr>
        <w:t xml:space="preserve"> </w:t>
      </w:r>
      <w:r>
        <w:t>times</w:t>
      </w:r>
      <w:r>
        <w:rPr>
          <w:spacing w:val="-5"/>
        </w:rPr>
        <w:t xml:space="preserve"> </w:t>
      </w:r>
      <w:r>
        <w:t>more</w:t>
      </w:r>
      <w:r>
        <w:rPr>
          <w:spacing w:val="-6"/>
        </w:rPr>
        <w:t xml:space="preserve"> </w:t>
      </w:r>
      <w:r>
        <w:t>likely</w:t>
      </w:r>
      <w:r>
        <w:rPr>
          <w:spacing w:val="-5"/>
        </w:rPr>
        <w:t xml:space="preserve"> </w:t>
      </w:r>
      <w:r>
        <w:t>to</w:t>
      </w:r>
      <w:r>
        <w:rPr>
          <w:spacing w:val="-5"/>
        </w:rPr>
        <w:t xml:space="preserve"> </w:t>
      </w:r>
      <w:r>
        <w:t>attempt</w:t>
      </w:r>
      <w:r>
        <w:rPr>
          <w:spacing w:val="-7"/>
        </w:rPr>
        <w:t xml:space="preserve"> </w:t>
      </w:r>
      <w:r>
        <w:t>suicide</w:t>
      </w:r>
      <w:r>
        <w:rPr>
          <w:spacing w:val="-6"/>
        </w:rPr>
        <w:t xml:space="preserve"> </w:t>
      </w:r>
      <w:r>
        <w:t>(19.9%</w:t>
      </w:r>
      <w:r>
        <w:rPr>
          <w:spacing w:val="-5"/>
        </w:rPr>
        <w:t xml:space="preserve"> </w:t>
      </w:r>
      <w:r>
        <w:t>versus</w:t>
      </w:r>
      <w:r>
        <w:rPr>
          <w:spacing w:val="-5"/>
        </w:rPr>
        <w:t xml:space="preserve"> </w:t>
      </w:r>
      <w:r>
        <w:t>4.5%),</w:t>
      </w:r>
      <w:r>
        <w:rPr>
          <w:spacing w:val="-5"/>
        </w:rPr>
        <w:t xml:space="preserve"> </w:t>
      </w:r>
      <w:r>
        <w:t>as</w:t>
      </w:r>
      <w:r>
        <w:rPr>
          <w:spacing w:val="-5"/>
        </w:rPr>
        <w:t xml:space="preserve"> </w:t>
      </w:r>
      <w:r>
        <w:t>shown</w:t>
      </w:r>
      <w:r>
        <w:rPr>
          <w:spacing w:val="-4"/>
        </w:rPr>
        <w:t xml:space="preserve"> </w:t>
      </w:r>
      <w:r>
        <w:t>in</w:t>
      </w:r>
      <w:r>
        <w:rPr>
          <w:spacing w:val="-6"/>
        </w:rPr>
        <w:t xml:space="preserve"> </w:t>
      </w:r>
      <w:r>
        <w:t>Figure</w:t>
      </w:r>
      <w:r>
        <w:rPr>
          <w:spacing w:val="-4"/>
        </w:rPr>
        <w:t xml:space="preserve"> </w:t>
      </w:r>
      <w:r>
        <w:t>2.</w:t>
      </w:r>
      <w:r>
        <w:rPr>
          <w:spacing w:val="-6"/>
        </w:rPr>
        <w:t xml:space="preserve"> </w:t>
      </w:r>
      <w:r>
        <w:t>LGBTQ</w:t>
      </w:r>
      <w:r>
        <w:rPr>
          <w:spacing w:val="-6"/>
        </w:rPr>
        <w:t xml:space="preserve"> </w:t>
      </w:r>
      <w:r>
        <w:t>youth are also more likely to have four or more sexual partners, compared with het-cis youth</w:t>
      </w:r>
      <w:r>
        <w:t xml:space="preserve"> (10.0% versus 6.4%). Het-cis youth are more likely to have an adult at school that they can talk with (72.9%) compared with LGBTQ youth (66.8%).</w:t>
      </w: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7"/>
        <w:rPr>
          <w:sz w:val="25"/>
        </w:rPr>
      </w:pPr>
    </w:p>
    <w:tbl>
      <w:tblPr>
        <w:tblW w:w="0" w:type="auto"/>
        <w:tblInd w:w="880" w:type="dxa"/>
        <w:tblBorders>
          <w:top w:val="single" w:sz="6" w:space="0" w:color="DFE3EB"/>
          <w:left w:val="single" w:sz="6" w:space="0" w:color="DFE3EB"/>
          <w:bottom w:val="single" w:sz="6" w:space="0" w:color="DFE3EB"/>
          <w:right w:val="single" w:sz="6" w:space="0" w:color="DFE3EB"/>
          <w:insideH w:val="single" w:sz="6" w:space="0" w:color="DFE3EB"/>
          <w:insideV w:val="single" w:sz="6" w:space="0" w:color="DFE3EB"/>
        </w:tblBorders>
        <w:tblLayout w:type="fixed"/>
        <w:tblCellMar>
          <w:left w:w="0" w:type="dxa"/>
          <w:right w:w="0" w:type="dxa"/>
        </w:tblCellMar>
        <w:tblLook w:val="01E0" w:firstRow="1" w:lastRow="1" w:firstColumn="1" w:lastColumn="1" w:noHBand="0" w:noVBand="0"/>
      </w:tblPr>
      <w:tblGrid>
        <w:gridCol w:w="782"/>
        <w:gridCol w:w="1946"/>
        <w:gridCol w:w="1946"/>
        <w:gridCol w:w="1946"/>
        <w:gridCol w:w="1946"/>
      </w:tblGrid>
      <w:tr w:rsidR="00C76E6D">
        <w:trPr>
          <w:trHeight w:val="204"/>
        </w:trPr>
        <w:tc>
          <w:tcPr>
            <w:tcW w:w="782" w:type="dxa"/>
            <w:tcBorders>
              <w:top w:val="nil"/>
              <w:left w:val="nil"/>
            </w:tcBorders>
          </w:tcPr>
          <w:p w:rsidR="00C76E6D" w:rsidRDefault="00C76E6D">
            <w:pPr>
              <w:pStyle w:val="TableParagraph"/>
              <w:rPr>
                <w:rFonts w:ascii="Times New Roman"/>
                <w:sz w:val="14"/>
              </w:rPr>
            </w:pPr>
          </w:p>
        </w:tc>
        <w:tc>
          <w:tcPr>
            <w:tcW w:w="1946" w:type="dxa"/>
          </w:tcPr>
          <w:p w:rsidR="00C76E6D" w:rsidRDefault="00913831">
            <w:pPr>
              <w:pStyle w:val="TableParagraph"/>
              <w:spacing w:line="185" w:lineRule="exact"/>
              <w:ind w:left="363" w:right="335"/>
              <w:jc w:val="center"/>
              <w:rPr>
                <w:sz w:val="18"/>
              </w:rPr>
            </w:pPr>
            <w:r>
              <w:rPr>
                <w:color w:val="44526A"/>
                <w:sz w:val="18"/>
              </w:rPr>
              <w:t>Bullied</w:t>
            </w:r>
            <w:r>
              <w:rPr>
                <w:color w:val="44526A"/>
                <w:spacing w:val="-5"/>
                <w:sz w:val="18"/>
              </w:rPr>
              <w:t xml:space="preserve"> </w:t>
            </w:r>
            <w:r>
              <w:rPr>
                <w:color w:val="44526A"/>
                <w:sz w:val="18"/>
              </w:rPr>
              <w:t>at</w:t>
            </w:r>
            <w:r>
              <w:rPr>
                <w:color w:val="44526A"/>
                <w:spacing w:val="-4"/>
                <w:sz w:val="18"/>
              </w:rPr>
              <w:t xml:space="preserve"> </w:t>
            </w:r>
            <w:r>
              <w:rPr>
                <w:color w:val="44526A"/>
                <w:spacing w:val="-2"/>
                <w:sz w:val="18"/>
              </w:rPr>
              <w:t>School</w:t>
            </w:r>
          </w:p>
        </w:tc>
        <w:tc>
          <w:tcPr>
            <w:tcW w:w="1946" w:type="dxa"/>
          </w:tcPr>
          <w:p w:rsidR="00C76E6D" w:rsidRDefault="00913831">
            <w:pPr>
              <w:pStyle w:val="TableParagraph"/>
              <w:spacing w:line="185" w:lineRule="exact"/>
              <w:ind w:left="362" w:right="335"/>
              <w:jc w:val="center"/>
              <w:rPr>
                <w:sz w:val="18"/>
              </w:rPr>
            </w:pPr>
            <w:r>
              <w:rPr>
                <w:color w:val="44526A"/>
                <w:sz w:val="18"/>
              </w:rPr>
              <w:t>Suicide</w:t>
            </w:r>
            <w:r>
              <w:rPr>
                <w:color w:val="44526A"/>
                <w:spacing w:val="-8"/>
                <w:sz w:val="18"/>
              </w:rPr>
              <w:t xml:space="preserve"> </w:t>
            </w:r>
            <w:r>
              <w:rPr>
                <w:color w:val="44526A"/>
                <w:spacing w:val="-2"/>
                <w:sz w:val="18"/>
              </w:rPr>
              <w:t>Attempt</w:t>
            </w:r>
          </w:p>
        </w:tc>
        <w:tc>
          <w:tcPr>
            <w:tcW w:w="1946" w:type="dxa"/>
          </w:tcPr>
          <w:p w:rsidR="00C76E6D" w:rsidRDefault="00913831">
            <w:pPr>
              <w:pStyle w:val="TableParagraph"/>
              <w:spacing w:line="185" w:lineRule="exact"/>
              <w:ind w:left="361" w:right="335"/>
              <w:jc w:val="center"/>
              <w:rPr>
                <w:sz w:val="18"/>
              </w:rPr>
            </w:pPr>
            <w:r>
              <w:rPr>
                <w:color w:val="44526A"/>
                <w:sz w:val="18"/>
              </w:rPr>
              <w:t>4+</w:t>
            </w:r>
            <w:r>
              <w:rPr>
                <w:color w:val="44526A"/>
                <w:spacing w:val="-4"/>
                <w:sz w:val="18"/>
              </w:rPr>
              <w:t xml:space="preserve"> </w:t>
            </w:r>
            <w:r>
              <w:rPr>
                <w:color w:val="44526A"/>
                <w:sz w:val="18"/>
              </w:rPr>
              <w:t>Sex</w:t>
            </w:r>
            <w:r>
              <w:rPr>
                <w:color w:val="44526A"/>
                <w:spacing w:val="-1"/>
                <w:sz w:val="18"/>
              </w:rPr>
              <w:t xml:space="preserve"> </w:t>
            </w:r>
            <w:r>
              <w:rPr>
                <w:color w:val="44526A"/>
                <w:spacing w:val="-2"/>
                <w:sz w:val="18"/>
              </w:rPr>
              <w:t>Partners</w:t>
            </w:r>
          </w:p>
        </w:tc>
        <w:tc>
          <w:tcPr>
            <w:tcW w:w="1946" w:type="dxa"/>
          </w:tcPr>
          <w:p w:rsidR="00C76E6D" w:rsidRDefault="00913831">
            <w:pPr>
              <w:pStyle w:val="TableParagraph"/>
              <w:spacing w:line="185" w:lineRule="exact"/>
              <w:ind w:left="361" w:right="335"/>
              <w:jc w:val="center"/>
              <w:rPr>
                <w:sz w:val="18"/>
              </w:rPr>
            </w:pPr>
            <w:r>
              <w:rPr>
                <w:color w:val="44526A"/>
                <w:sz w:val="18"/>
              </w:rPr>
              <w:t>Teacher</w:t>
            </w:r>
            <w:r>
              <w:rPr>
                <w:color w:val="44526A"/>
                <w:spacing w:val="-10"/>
                <w:sz w:val="18"/>
              </w:rPr>
              <w:t xml:space="preserve"> </w:t>
            </w:r>
            <w:r>
              <w:rPr>
                <w:color w:val="44526A"/>
                <w:spacing w:val="-2"/>
                <w:sz w:val="18"/>
              </w:rPr>
              <w:t>Support</w:t>
            </w:r>
          </w:p>
        </w:tc>
      </w:tr>
      <w:tr w:rsidR="00C76E6D">
        <w:trPr>
          <w:trHeight w:val="271"/>
        </w:trPr>
        <w:tc>
          <w:tcPr>
            <w:tcW w:w="782" w:type="dxa"/>
            <w:tcBorders>
              <w:left w:val="nil"/>
            </w:tcBorders>
          </w:tcPr>
          <w:p w:rsidR="00C76E6D" w:rsidRDefault="00913831">
            <w:pPr>
              <w:pStyle w:val="TableParagraph"/>
              <w:spacing w:before="10"/>
              <w:ind w:right="24"/>
              <w:jc w:val="right"/>
              <w:rPr>
                <w:sz w:val="18"/>
              </w:rPr>
            </w:pPr>
            <w:r>
              <w:rPr>
                <w:color w:val="44526A"/>
                <w:spacing w:val="-4"/>
                <w:sz w:val="18"/>
              </w:rPr>
              <w:t>Het-</w:t>
            </w:r>
            <w:r>
              <w:rPr>
                <w:color w:val="44526A"/>
                <w:spacing w:val="-5"/>
                <w:sz w:val="18"/>
              </w:rPr>
              <w:t>Cis</w:t>
            </w:r>
          </w:p>
        </w:tc>
        <w:tc>
          <w:tcPr>
            <w:tcW w:w="1946" w:type="dxa"/>
          </w:tcPr>
          <w:p w:rsidR="00C76E6D" w:rsidRDefault="00913831">
            <w:pPr>
              <w:pStyle w:val="TableParagraph"/>
              <w:spacing w:before="15"/>
              <w:ind w:left="363" w:right="330"/>
              <w:jc w:val="center"/>
              <w:rPr>
                <w:sz w:val="18"/>
              </w:rPr>
            </w:pPr>
            <w:r>
              <w:rPr>
                <w:color w:val="44526A"/>
                <w:spacing w:val="-4"/>
                <w:sz w:val="18"/>
              </w:rPr>
              <w:t>14.4</w:t>
            </w:r>
          </w:p>
        </w:tc>
        <w:tc>
          <w:tcPr>
            <w:tcW w:w="1946" w:type="dxa"/>
          </w:tcPr>
          <w:p w:rsidR="00C76E6D" w:rsidRDefault="00913831">
            <w:pPr>
              <w:pStyle w:val="TableParagraph"/>
              <w:spacing w:before="15"/>
              <w:ind w:left="363" w:right="330"/>
              <w:jc w:val="center"/>
              <w:rPr>
                <w:sz w:val="18"/>
              </w:rPr>
            </w:pPr>
            <w:r>
              <w:rPr>
                <w:color w:val="44526A"/>
                <w:spacing w:val="-5"/>
                <w:sz w:val="18"/>
              </w:rPr>
              <w:t>4.5</w:t>
            </w:r>
          </w:p>
        </w:tc>
        <w:tc>
          <w:tcPr>
            <w:tcW w:w="1946" w:type="dxa"/>
          </w:tcPr>
          <w:p w:rsidR="00C76E6D" w:rsidRDefault="00913831">
            <w:pPr>
              <w:pStyle w:val="TableParagraph"/>
              <w:spacing w:before="15"/>
              <w:ind w:left="363" w:right="332"/>
              <w:jc w:val="center"/>
              <w:rPr>
                <w:sz w:val="18"/>
              </w:rPr>
            </w:pPr>
            <w:r>
              <w:rPr>
                <w:color w:val="44526A"/>
                <w:spacing w:val="-5"/>
                <w:sz w:val="18"/>
              </w:rPr>
              <w:t>6.4</w:t>
            </w:r>
          </w:p>
        </w:tc>
        <w:tc>
          <w:tcPr>
            <w:tcW w:w="1946" w:type="dxa"/>
          </w:tcPr>
          <w:p w:rsidR="00C76E6D" w:rsidRDefault="00913831">
            <w:pPr>
              <w:pStyle w:val="TableParagraph"/>
              <w:spacing w:before="15"/>
              <w:ind w:left="363" w:right="332"/>
              <w:jc w:val="center"/>
              <w:rPr>
                <w:sz w:val="18"/>
              </w:rPr>
            </w:pPr>
            <w:r>
              <w:rPr>
                <w:color w:val="44526A"/>
                <w:spacing w:val="-4"/>
                <w:sz w:val="18"/>
              </w:rPr>
              <w:t>72.9</w:t>
            </w:r>
          </w:p>
        </w:tc>
      </w:tr>
      <w:tr w:rsidR="00C76E6D">
        <w:trPr>
          <w:trHeight w:val="272"/>
        </w:trPr>
        <w:tc>
          <w:tcPr>
            <w:tcW w:w="782" w:type="dxa"/>
          </w:tcPr>
          <w:p w:rsidR="00C76E6D" w:rsidRDefault="00913831">
            <w:pPr>
              <w:pStyle w:val="TableParagraph"/>
              <w:spacing w:before="12"/>
              <w:ind w:right="56"/>
              <w:jc w:val="right"/>
              <w:rPr>
                <w:sz w:val="18"/>
              </w:rPr>
            </w:pPr>
            <w:r>
              <w:rPr>
                <w:color w:val="44526A"/>
                <w:spacing w:val="-2"/>
                <w:sz w:val="18"/>
              </w:rPr>
              <w:t>LGBTQ</w:t>
            </w:r>
          </w:p>
        </w:tc>
        <w:tc>
          <w:tcPr>
            <w:tcW w:w="1946" w:type="dxa"/>
          </w:tcPr>
          <w:p w:rsidR="00C76E6D" w:rsidRDefault="00913831">
            <w:pPr>
              <w:pStyle w:val="TableParagraph"/>
              <w:spacing w:before="16"/>
              <w:ind w:left="363" w:right="330"/>
              <w:jc w:val="center"/>
              <w:rPr>
                <w:sz w:val="18"/>
              </w:rPr>
            </w:pPr>
            <w:r>
              <w:rPr>
                <w:color w:val="44526A"/>
                <w:spacing w:val="-4"/>
                <w:sz w:val="18"/>
              </w:rPr>
              <w:t>29.8</w:t>
            </w:r>
          </w:p>
        </w:tc>
        <w:tc>
          <w:tcPr>
            <w:tcW w:w="1946" w:type="dxa"/>
          </w:tcPr>
          <w:p w:rsidR="00C76E6D" w:rsidRDefault="00913831">
            <w:pPr>
              <w:pStyle w:val="TableParagraph"/>
              <w:spacing w:before="16"/>
              <w:ind w:left="363" w:right="331"/>
              <w:jc w:val="center"/>
              <w:rPr>
                <w:sz w:val="18"/>
              </w:rPr>
            </w:pPr>
            <w:r>
              <w:rPr>
                <w:color w:val="44526A"/>
                <w:spacing w:val="-4"/>
                <w:sz w:val="18"/>
              </w:rPr>
              <w:t>19.9</w:t>
            </w:r>
          </w:p>
        </w:tc>
        <w:tc>
          <w:tcPr>
            <w:tcW w:w="1946" w:type="dxa"/>
          </w:tcPr>
          <w:p w:rsidR="00C76E6D" w:rsidRDefault="00913831">
            <w:pPr>
              <w:pStyle w:val="TableParagraph"/>
              <w:spacing w:before="16"/>
              <w:ind w:left="361" w:right="335"/>
              <w:jc w:val="center"/>
              <w:rPr>
                <w:sz w:val="18"/>
              </w:rPr>
            </w:pPr>
            <w:r>
              <w:rPr>
                <w:color w:val="44526A"/>
                <w:spacing w:val="-5"/>
                <w:sz w:val="18"/>
              </w:rPr>
              <w:t>10</w:t>
            </w:r>
          </w:p>
        </w:tc>
        <w:tc>
          <w:tcPr>
            <w:tcW w:w="1946" w:type="dxa"/>
          </w:tcPr>
          <w:p w:rsidR="00C76E6D" w:rsidRDefault="00913831">
            <w:pPr>
              <w:pStyle w:val="TableParagraph"/>
              <w:spacing w:before="16"/>
              <w:ind w:left="363" w:right="332"/>
              <w:jc w:val="center"/>
              <w:rPr>
                <w:sz w:val="18"/>
              </w:rPr>
            </w:pPr>
            <w:r>
              <w:rPr>
                <w:color w:val="44526A"/>
                <w:spacing w:val="-4"/>
                <w:sz w:val="18"/>
              </w:rPr>
              <w:t>66.8</w:t>
            </w:r>
          </w:p>
        </w:tc>
      </w:tr>
    </w:tbl>
    <w:p w:rsidR="00C76E6D" w:rsidRDefault="00C76E6D">
      <w:pPr>
        <w:pStyle w:val="BodyText"/>
        <w:rPr>
          <w:sz w:val="20"/>
        </w:rPr>
      </w:pPr>
    </w:p>
    <w:p w:rsidR="00C76E6D" w:rsidRDefault="00C76E6D">
      <w:pPr>
        <w:pStyle w:val="BodyText"/>
        <w:spacing w:before="8"/>
        <w:rPr>
          <w:sz w:val="21"/>
        </w:rPr>
      </w:pPr>
    </w:p>
    <w:p w:rsidR="00C76E6D" w:rsidRDefault="00913831">
      <w:pPr>
        <w:pStyle w:val="BodyText"/>
        <w:spacing w:before="55" w:line="276" w:lineRule="auto"/>
        <w:ind w:left="478" w:right="474"/>
        <w:jc w:val="both"/>
      </w:pPr>
      <w:r>
        <w:pict>
          <v:group id="docshapegroup84" o:spid="_x0000_s1325" style="position:absolute;left:0;text-align:left;margin-left:83.55pt;margin-top:79.7pt;width:443.7pt;height:207.8pt;z-index:-21199872;mso-position-horizontal-relative:page" coordorigin="1671,1594" coordsize="8874,4156">
            <v:shape id="docshape85" o:spid="_x0000_s1352" style="position:absolute;left:3795;top:3841;width:2756;height:402" coordorigin="3795,3841" coordsize="2756,402" o:spt="100" adj="0,,0" path="m3795,4172r,71m3795,3841r,142m4714,4172r,71m4714,3841r,236m5632,4172r,71m5632,3841r,236m6551,4172r,71m6551,3841r,236e" filled="f" strokecolor="#dfe3eb">
              <v:stroke joinstyle="round"/>
              <v:formulas/>
              <v:path arrowok="t" o:connecttype="segments"/>
            </v:shape>
            <v:shape id="docshape86" o:spid="_x0000_s1351" type="#_x0000_t75" style="position:absolute;left:2877;top:3983;width:4135;height:190">
              <v:imagedata r:id="rId43" o:title=""/>
            </v:shape>
            <v:shape id="docshape87" o:spid="_x0000_s1350" style="position:absolute;left:3795;top:3510;width:4593;height:734" coordorigin="3795,3510" coordsize="4593,734" o:spt="100" adj="0,,0" path="m3795,3510r,142m4714,3510r,237m5632,3510r,237m6551,3510r,237m7469,3842r,402m7469,3510r,237m8388,3842r,402m8388,3510r,237e" filled="f" strokecolor="#dfe3eb">
              <v:stroke joinstyle="round"/>
              <v:formulas/>
              <v:path arrowok="t" o:connecttype="segments"/>
            </v:shape>
            <v:shape id="docshape88" o:spid="_x0000_s1349" type="#_x0000_t75" style="position:absolute;left:2877;top:3652;width:5788;height:190">
              <v:imagedata r:id="rId44" o:title=""/>
            </v:shape>
            <v:shape id="docshape89" o:spid="_x0000_s1348" style="position:absolute;left:3795;top:2847;width:3674;height:568" coordorigin="3795,2847" coordsize="3674,568" o:spt="100" adj="0,,0" path="m3795,3178r,142m3795,2847r,236m4714,3178r,142m4714,2847r,236m5632,3178r,237m5632,2847r,236m6551,3178r,237m6551,2847r,236m7469,2847r,568e" filled="f" strokecolor="#dfe3eb">
              <v:stroke joinstyle="round"/>
              <v:formulas/>
              <v:path arrowok="t" o:connecttype="segments"/>
            </v:shape>
            <v:shape id="docshape90" o:spid="_x0000_s1347" type="#_x0000_t75" style="position:absolute;left:2877;top:2989;width:4594;height:190">
              <v:imagedata r:id="rId45" o:title=""/>
            </v:shape>
            <v:line id="_x0000_s1346" style="position:absolute" from="8389,2587" to="8389,3416" strokecolor="#dfe3eb"/>
            <v:line id="_x0000_s1345" style="position:absolute" from="9309,2587" to="9309,4244" strokecolor="#dfe3eb"/>
            <v:shape id="docshape91" o:spid="_x0000_s1344" type="#_x0000_t75" style="position:absolute;left:2877;top:3321;width:6431;height:190">
              <v:imagedata r:id="rId46" o:title=""/>
            </v:shape>
            <v:shape id="docshape92" o:spid="_x0000_s1343" style="position:absolute;left:3795;top:2587;width:919;height:71" coordorigin="3795,2587" coordsize="919,71" o:spt="100" adj="0,,0" path="m3795,2587r,71m4714,2587r,71e" filled="f" strokecolor="#dfe3eb">
              <v:stroke joinstyle="round"/>
              <v:formulas/>
              <v:path arrowok="t" o:connecttype="segments"/>
            </v:shape>
            <v:shape id="docshape93" o:spid="_x0000_s1342" type="#_x0000_t75" style="position:absolute;left:2877;top:2587;width:4915;height:261">
              <v:imagedata r:id="rId47" o:title=""/>
            </v:shape>
            <v:line id="_x0000_s1341" style="position:absolute" from="2877,4244" to="2877,2587" strokecolor="#dfe3eb"/>
            <v:shape id="docshape94" o:spid="_x0000_s1340" style="position:absolute;left:2820;top:2587;width:57;height:1657" coordorigin="2820,2587" coordsize="57,1657" o:spt="100" adj="0,,0" path="m2820,4244r57,m2820,3912r57,m2820,3581r57,m2820,3250r57,m2820,2919r57,m2820,2587r57,e" filled="f" strokecolor="#dfe3eb">
              <v:stroke joinstyle="round"/>
              <v:formulas/>
              <v:path arrowok="t" o:connecttype="segments"/>
            </v:shape>
            <v:line id="_x0000_s1339" style="position:absolute" from="10227,2587" to="10227,4244" strokecolor="#dfe3eb"/>
            <v:shape id="docshape95" o:spid="_x0000_s1338" type="#_x0000_t75" style="position:absolute;left:1963;top:5324;width:99;height:99">
              <v:imagedata r:id="rId48" o:title=""/>
            </v:shape>
            <v:rect id="docshape96" o:spid="_x0000_s1337" style="position:absolute;left:1679;top:1601;width:8859;height:4141" filled="f" strokecolor="#dfe3eb"/>
            <v:shape id="docshape97" o:spid="_x0000_s1336" type="#_x0000_t202" style="position:absolute;left:2906;top:1814;width:6429;height:521" filled="f" stroked="f">
              <v:textbox inset="0,0,0,0">
                <w:txbxContent>
                  <w:p w:rsidR="00C76E6D" w:rsidRDefault="00913831">
                    <w:pPr>
                      <w:spacing w:line="238" w:lineRule="exact"/>
                      <w:ind w:right="18"/>
                      <w:jc w:val="center"/>
                      <w:rPr>
                        <w:b/>
                        <w:sz w:val="24"/>
                      </w:rPr>
                    </w:pPr>
                    <w:r>
                      <w:rPr>
                        <w:b/>
                        <w:color w:val="44526A"/>
                        <w:sz w:val="24"/>
                      </w:rPr>
                      <w:t>Figure</w:t>
                    </w:r>
                    <w:r>
                      <w:rPr>
                        <w:b/>
                        <w:color w:val="44526A"/>
                        <w:spacing w:val="-8"/>
                        <w:sz w:val="24"/>
                      </w:rPr>
                      <w:t xml:space="preserve"> </w:t>
                    </w:r>
                    <w:r>
                      <w:rPr>
                        <w:b/>
                        <w:color w:val="44526A"/>
                        <w:sz w:val="24"/>
                      </w:rPr>
                      <w:t>3.</w:t>
                    </w:r>
                    <w:r>
                      <w:rPr>
                        <w:b/>
                        <w:color w:val="44526A"/>
                        <w:spacing w:val="-8"/>
                        <w:sz w:val="24"/>
                      </w:rPr>
                      <w:t xml:space="preserve"> </w:t>
                    </w:r>
                    <w:r>
                      <w:rPr>
                        <w:b/>
                        <w:color w:val="44526A"/>
                        <w:sz w:val="24"/>
                      </w:rPr>
                      <w:t>Percent</w:t>
                    </w:r>
                    <w:r>
                      <w:rPr>
                        <w:b/>
                        <w:color w:val="44526A"/>
                        <w:spacing w:val="-10"/>
                        <w:sz w:val="24"/>
                      </w:rPr>
                      <w:t xml:space="preserve"> </w:t>
                    </w:r>
                    <w:r>
                      <w:rPr>
                        <w:b/>
                        <w:color w:val="44526A"/>
                        <w:sz w:val="24"/>
                      </w:rPr>
                      <w:t>of</w:t>
                    </w:r>
                    <w:r>
                      <w:rPr>
                        <w:b/>
                        <w:color w:val="44526A"/>
                        <w:spacing w:val="-8"/>
                        <w:sz w:val="24"/>
                      </w:rPr>
                      <w:t xml:space="preserve"> </w:t>
                    </w:r>
                    <w:r>
                      <w:rPr>
                        <w:b/>
                        <w:color w:val="44526A"/>
                        <w:sz w:val="24"/>
                      </w:rPr>
                      <w:t>Youth</w:t>
                    </w:r>
                    <w:r>
                      <w:rPr>
                        <w:b/>
                        <w:color w:val="44526A"/>
                        <w:spacing w:val="-9"/>
                        <w:sz w:val="24"/>
                      </w:rPr>
                      <w:t xml:space="preserve"> </w:t>
                    </w:r>
                    <w:r>
                      <w:rPr>
                        <w:b/>
                        <w:color w:val="44526A"/>
                        <w:sz w:val="24"/>
                      </w:rPr>
                      <w:t>who</w:t>
                    </w:r>
                    <w:r>
                      <w:rPr>
                        <w:b/>
                        <w:color w:val="44526A"/>
                        <w:spacing w:val="-7"/>
                        <w:sz w:val="24"/>
                      </w:rPr>
                      <w:t xml:space="preserve"> </w:t>
                    </w:r>
                    <w:r>
                      <w:rPr>
                        <w:b/>
                        <w:color w:val="44526A"/>
                        <w:sz w:val="24"/>
                      </w:rPr>
                      <w:t>Skipped</w:t>
                    </w:r>
                    <w:r>
                      <w:rPr>
                        <w:b/>
                        <w:color w:val="44526A"/>
                        <w:spacing w:val="-8"/>
                        <w:sz w:val="24"/>
                      </w:rPr>
                      <w:t xml:space="preserve"> </w:t>
                    </w:r>
                    <w:r>
                      <w:rPr>
                        <w:b/>
                        <w:color w:val="44526A"/>
                        <w:sz w:val="24"/>
                      </w:rPr>
                      <w:t>School</w:t>
                    </w:r>
                    <w:r>
                      <w:rPr>
                        <w:b/>
                        <w:color w:val="44526A"/>
                        <w:spacing w:val="-11"/>
                        <w:sz w:val="24"/>
                      </w:rPr>
                      <w:t xml:space="preserve"> </w:t>
                    </w:r>
                    <w:r>
                      <w:rPr>
                        <w:b/>
                        <w:color w:val="44526A"/>
                        <w:sz w:val="24"/>
                      </w:rPr>
                      <w:t>Because</w:t>
                    </w:r>
                    <w:r>
                      <w:rPr>
                        <w:b/>
                        <w:color w:val="44526A"/>
                        <w:spacing w:val="-10"/>
                        <w:sz w:val="24"/>
                      </w:rPr>
                      <w:t xml:space="preserve"> </w:t>
                    </w:r>
                    <w:r>
                      <w:rPr>
                        <w:b/>
                        <w:color w:val="44526A"/>
                        <w:sz w:val="24"/>
                      </w:rPr>
                      <w:t>They</w:t>
                    </w:r>
                    <w:r>
                      <w:rPr>
                        <w:b/>
                        <w:color w:val="44526A"/>
                        <w:spacing w:val="-5"/>
                        <w:sz w:val="24"/>
                      </w:rPr>
                      <w:t xml:space="preserve"> </w:t>
                    </w:r>
                    <w:r>
                      <w:rPr>
                        <w:b/>
                        <w:color w:val="44526A"/>
                        <w:spacing w:val="-4"/>
                        <w:sz w:val="24"/>
                      </w:rPr>
                      <w:t>Felt</w:t>
                    </w:r>
                  </w:p>
                  <w:p w:rsidR="00C76E6D" w:rsidRDefault="00913831">
                    <w:pPr>
                      <w:spacing w:line="282" w:lineRule="exact"/>
                      <w:ind w:right="22"/>
                      <w:jc w:val="center"/>
                      <w:rPr>
                        <w:b/>
                        <w:sz w:val="24"/>
                      </w:rPr>
                    </w:pPr>
                    <w:r>
                      <w:rPr>
                        <w:b/>
                        <w:color w:val="44526A"/>
                        <w:spacing w:val="-2"/>
                        <w:sz w:val="24"/>
                      </w:rPr>
                      <w:t>Unsafe</w:t>
                    </w:r>
                    <w:r>
                      <w:rPr>
                        <w:b/>
                        <w:color w:val="44526A"/>
                        <w:spacing w:val="5"/>
                        <w:sz w:val="24"/>
                      </w:rPr>
                      <w:t xml:space="preserve"> </w:t>
                    </w:r>
                    <w:r>
                      <w:rPr>
                        <w:b/>
                        <w:color w:val="44526A"/>
                        <w:spacing w:val="-2"/>
                        <w:sz w:val="24"/>
                      </w:rPr>
                      <w:t>(2017-</w:t>
                    </w:r>
                    <w:r>
                      <w:rPr>
                        <w:b/>
                        <w:color w:val="44526A"/>
                        <w:spacing w:val="-4"/>
                        <w:sz w:val="24"/>
                      </w:rPr>
                      <w:t>2019)</w:t>
                    </w:r>
                  </w:p>
                </w:txbxContent>
              </v:textbox>
            </v:shape>
            <v:shape id="docshape98" o:spid="_x0000_s1335" type="#_x0000_t202" style="position:absolute;left:1834;top:2680;width:899;height:1494" filled="f" stroked="f">
              <v:textbox inset="0,0,0,0">
                <w:txbxContent>
                  <w:p w:rsidR="00C76E6D" w:rsidRDefault="00913831">
                    <w:pPr>
                      <w:spacing w:line="183" w:lineRule="exact"/>
                      <w:ind w:right="18"/>
                      <w:jc w:val="right"/>
                      <w:rPr>
                        <w:sz w:val="18"/>
                      </w:rPr>
                    </w:pPr>
                    <w:r>
                      <w:rPr>
                        <w:color w:val="44526A"/>
                        <w:spacing w:val="-4"/>
                        <w:sz w:val="18"/>
                      </w:rPr>
                      <w:t>Multi-Ethnic</w:t>
                    </w:r>
                  </w:p>
                  <w:p w:rsidR="00C76E6D" w:rsidRDefault="00913831">
                    <w:pPr>
                      <w:spacing w:before="99" w:line="362" w:lineRule="auto"/>
                      <w:ind w:left="276" w:right="18" w:firstLine="216"/>
                      <w:jc w:val="right"/>
                      <w:rPr>
                        <w:sz w:val="18"/>
                      </w:rPr>
                    </w:pPr>
                    <w:r>
                      <w:rPr>
                        <w:color w:val="44526A"/>
                        <w:spacing w:val="-4"/>
                        <w:sz w:val="18"/>
                      </w:rPr>
                      <w:t>Asian</w:t>
                    </w:r>
                    <w:r>
                      <w:rPr>
                        <w:color w:val="44526A"/>
                        <w:sz w:val="18"/>
                      </w:rPr>
                      <w:t xml:space="preserve"> </w:t>
                    </w:r>
                    <w:r>
                      <w:rPr>
                        <w:color w:val="44526A"/>
                        <w:spacing w:val="-4"/>
                        <w:sz w:val="18"/>
                      </w:rPr>
                      <w:t>Hispanic</w:t>
                    </w:r>
                  </w:p>
                  <w:p w:rsidR="00C76E6D" w:rsidRDefault="00913831">
                    <w:pPr>
                      <w:spacing w:before="3"/>
                      <w:ind w:right="21"/>
                      <w:jc w:val="right"/>
                      <w:rPr>
                        <w:sz w:val="18"/>
                      </w:rPr>
                    </w:pPr>
                    <w:r>
                      <w:rPr>
                        <w:color w:val="44526A"/>
                        <w:spacing w:val="-2"/>
                        <w:sz w:val="18"/>
                      </w:rPr>
                      <w:t>Black</w:t>
                    </w:r>
                  </w:p>
                  <w:p w:rsidR="00C76E6D" w:rsidRDefault="00913831">
                    <w:pPr>
                      <w:spacing w:before="109" w:line="216" w:lineRule="exact"/>
                      <w:ind w:right="19"/>
                      <w:jc w:val="right"/>
                      <w:rPr>
                        <w:sz w:val="18"/>
                      </w:rPr>
                    </w:pPr>
                    <w:r>
                      <w:rPr>
                        <w:color w:val="44526A"/>
                        <w:spacing w:val="-2"/>
                        <w:sz w:val="18"/>
                      </w:rPr>
                      <w:t>White</w:t>
                    </w:r>
                  </w:p>
                </w:txbxContent>
              </v:textbox>
            </v:shape>
            <v:shape id="docshape99" o:spid="_x0000_s1334" type="#_x0000_t202" style="position:absolute;left:2830;top:4403;width:112;height:180" filled="f" stroked="f">
              <v:textbox inset="0,0,0,0">
                <w:txbxContent>
                  <w:p w:rsidR="00C76E6D" w:rsidRDefault="00913831">
                    <w:pPr>
                      <w:spacing w:line="180" w:lineRule="exact"/>
                      <w:rPr>
                        <w:sz w:val="18"/>
                      </w:rPr>
                    </w:pPr>
                    <w:r>
                      <w:rPr>
                        <w:color w:val="44526A"/>
                        <w:sz w:val="18"/>
                      </w:rPr>
                      <w:t>0</w:t>
                    </w:r>
                  </w:p>
                </w:txbxContent>
              </v:textbox>
            </v:shape>
            <v:shape id="docshape100" o:spid="_x0000_s1333" type="#_x0000_t202" style="position:absolute;left:3750;top:4403;width:112;height:180" filled="f" stroked="f">
              <v:textbox inset="0,0,0,0">
                <w:txbxContent>
                  <w:p w:rsidR="00C76E6D" w:rsidRDefault="00913831">
                    <w:pPr>
                      <w:spacing w:line="180" w:lineRule="exact"/>
                      <w:rPr>
                        <w:sz w:val="18"/>
                      </w:rPr>
                    </w:pPr>
                    <w:r>
                      <w:rPr>
                        <w:color w:val="44526A"/>
                        <w:sz w:val="18"/>
                      </w:rPr>
                      <w:t>2</w:t>
                    </w:r>
                  </w:p>
                </w:txbxContent>
              </v:textbox>
            </v:shape>
            <v:shape id="docshape101" o:spid="_x0000_s1332" type="#_x0000_t202" style="position:absolute;left:4669;top:4403;width:112;height:180" filled="f" stroked="f">
              <v:textbox inset="0,0,0,0">
                <w:txbxContent>
                  <w:p w:rsidR="00C76E6D" w:rsidRDefault="00913831">
                    <w:pPr>
                      <w:spacing w:line="180" w:lineRule="exact"/>
                      <w:rPr>
                        <w:sz w:val="18"/>
                      </w:rPr>
                    </w:pPr>
                    <w:r>
                      <w:rPr>
                        <w:color w:val="44526A"/>
                        <w:sz w:val="18"/>
                      </w:rPr>
                      <w:t>4</w:t>
                    </w:r>
                  </w:p>
                </w:txbxContent>
              </v:textbox>
            </v:shape>
            <v:shape id="docshape102" o:spid="_x0000_s1331" type="#_x0000_t202" style="position:absolute;left:5587;top:4403;width:112;height:180" filled="f" stroked="f">
              <v:textbox inset="0,0,0,0">
                <w:txbxContent>
                  <w:p w:rsidR="00C76E6D" w:rsidRDefault="00913831">
                    <w:pPr>
                      <w:spacing w:line="180" w:lineRule="exact"/>
                      <w:rPr>
                        <w:sz w:val="18"/>
                      </w:rPr>
                    </w:pPr>
                    <w:r>
                      <w:rPr>
                        <w:color w:val="44526A"/>
                        <w:sz w:val="18"/>
                      </w:rPr>
                      <w:t>6</w:t>
                    </w:r>
                  </w:p>
                </w:txbxContent>
              </v:textbox>
            </v:shape>
            <v:shape id="docshape103" o:spid="_x0000_s1330" type="#_x0000_t202" style="position:absolute;left:6506;top:4403;width:112;height:180" filled="f" stroked="f">
              <v:textbox inset="0,0,0,0">
                <w:txbxContent>
                  <w:p w:rsidR="00C76E6D" w:rsidRDefault="00913831">
                    <w:pPr>
                      <w:spacing w:line="180" w:lineRule="exact"/>
                      <w:rPr>
                        <w:sz w:val="18"/>
                      </w:rPr>
                    </w:pPr>
                    <w:r>
                      <w:rPr>
                        <w:color w:val="44526A"/>
                        <w:sz w:val="18"/>
                      </w:rPr>
                      <w:t>8</w:t>
                    </w:r>
                  </w:p>
                </w:txbxContent>
              </v:textbox>
            </v:shape>
            <v:shape id="docshape104" o:spid="_x0000_s1329" type="#_x0000_t202" style="position:absolute;left:7378;top:4403;width:193;height:180" filled="f" stroked="f">
              <v:textbox inset="0,0,0,0">
                <w:txbxContent>
                  <w:p w:rsidR="00C76E6D" w:rsidRDefault="00913831">
                    <w:pPr>
                      <w:spacing w:line="180" w:lineRule="exact"/>
                      <w:rPr>
                        <w:sz w:val="18"/>
                      </w:rPr>
                    </w:pPr>
                    <w:r>
                      <w:rPr>
                        <w:color w:val="44526A"/>
                        <w:spacing w:val="-5"/>
                        <w:sz w:val="18"/>
                      </w:rPr>
                      <w:t>10</w:t>
                    </w:r>
                  </w:p>
                </w:txbxContent>
              </v:textbox>
            </v:shape>
            <v:shape id="docshape105" o:spid="_x0000_s1328" type="#_x0000_t202" style="position:absolute;left:8298;top:4403;width:193;height:180" filled="f" stroked="f">
              <v:textbox inset="0,0,0,0">
                <w:txbxContent>
                  <w:p w:rsidR="00C76E6D" w:rsidRDefault="00913831">
                    <w:pPr>
                      <w:spacing w:line="180" w:lineRule="exact"/>
                      <w:rPr>
                        <w:sz w:val="18"/>
                      </w:rPr>
                    </w:pPr>
                    <w:r>
                      <w:rPr>
                        <w:color w:val="44526A"/>
                        <w:spacing w:val="-5"/>
                        <w:sz w:val="18"/>
                      </w:rPr>
                      <w:t>12</w:t>
                    </w:r>
                  </w:p>
                </w:txbxContent>
              </v:textbox>
            </v:shape>
            <v:shape id="docshape106" o:spid="_x0000_s1327" type="#_x0000_t202" style="position:absolute;left:9217;top:4403;width:193;height:180" filled="f" stroked="f">
              <v:textbox inset="0,0,0,0">
                <w:txbxContent>
                  <w:p w:rsidR="00C76E6D" w:rsidRDefault="00913831">
                    <w:pPr>
                      <w:spacing w:line="180" w:lineRule="exact"/>
                      <w:rPr>
                        <w:sz w:val="18"/>
                      </w:rPr>
                    </w:pPr>
                    <w:r>
                      <w:rPr>
                        <w:color w:val="44526A"/>
                        <w:spacing w:val="-5"/>
                        <w:sz w:val="18"/>
                      </w:rPr>
                      <w:t>14</w:t>
                    </w:r>
                  </w:p>
                </w:txbxContent>
              </v:textbox>
            </v:shape>
            <v:shape id="docshape107" o:spid="_x0000_s1326" type="#_x0000_t202" style="position:absolute;left:10135;top:4403;width:193;height:180" filled="f" stroked="f">
              <v:textbox inset="0,0,0,0">
                <w:txbxContent>
                  <w:p w:rsidR="00C76E6D" w:rsidRDefault="00913831">
                    <w:pPr>
                      <w:spacing w:line="180" w:lineRule="exact"/>
                      <w:rPr>
                        <w:sz w:val="18"/>
                      </w:rPr>
                    </w:pPr>
                    <w:r>
                      <w:rPr>
                        <w:color w:val="44526A"/>
                        <w:spacing w:val="-5"/>
                        <w:sz w:val="18"/>
                      </w:rPr>
                      <w:t>16</w:t>
                    </w:r>
                  </w:p>
                </w:txbxContent>
              </v:textbox>
            </v:shape>
            <w10:wrap anchorx="page"/>
          </v:group>
        </w:pict>
      </w:r>
      <w:r>
        <w:rPr>
          <w:noProof/>
        </w:rPr>
        <w:drawing>
          <wp:anchor distT="0" distB="0" distL="0" distR="0" simplePos="0" relativeHeight="15744000" behindDoc="0" locked="0" layoutInCell="1" allowOverlap="1">
            <wp:simplePos x="0" y="0"/>
            <wp:positionH relativeFrom="page">
              <wp:posOffset>1153796</wp:posOffset>
            </wp:positionH>
            <wp:positionV relativeFrom="paragraph">
              <wp:posOffset>-690767</wp:posOffset>
            </wp:positionV>
            <wp:extent cx="107948" cy="181518"/>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32" cstate="print"/>
                    <a:stretch>
                      <a:fillRect/>
                    </a:stretch>
                  </pic:blipFill>
                  <pic:spPr>
                    <a:xfrm>
                      <a:off x="0" y="0"/>
                      <a:ext cx="107948" cy="181518"/>
                    </a:xfrm>
                    <a:prstGeom prst="rect">
                      <a:avLst/>
                    </a:prstGeom>
                  </pic:spPr>
                </pic:pic>
              </a:graphicData>
            </a:graphic>
          </wp:anchor>
        </w:drawing>
      </w:r>
      <w:r>
        <w:t>LGBTQ</w:t>
      </w:r>
      <w:r>
        <w:rPr>
          <w:spacing w:val="-10"/>
        </w:rPr>
        <w:t xml:space="preserve"> </w:t>
      </w:r>
      <w:r>
        <w:t>youth</w:t>
      </w:r>
      <w:r>
        <w:rPr>
          <w:spacing w:val="-9"/>
        </w:rPr>
        <w:t xml:space="preserve"> </w:t>
      </w:r>
      <w:r>
        <w:t>are</w:t>
      </w:r>
      <w:r>
        <w:rPr>
          <w:spacing w:val="-11"/>
        </w:rPr>
        <w:t xml:space="preserve"> </w:t>
      </w:r>
      <w:r>
        <w:t>significantly</w:t>
      </w:r>
      <w:r>
        <w:rPr>
          <w:spacing w:val="-10"/>
        </w:rPr>
        <w:t xml:space="preserve"> </w:t>
      </w:r>
      <w:r>
        <w:t>more</w:t>
      </w:r>
      <w:r>
        <w:rPr>
          <w:spacing w:val="-10"/>
        </w:rPr>
        <w:t xml:space="preserve"> </w:t>
      </w:r>
      <w:r>
        <w:t>likely</w:t>
      </w:r>
      <w:r>
        <w:rPr>
          <w:spacing w:val="-11"/>
        </w:rPr>
        <w:t xml:space="preserve"> </w:t>
      </w:r>
      <w:r>
        <w:t>to</w:t>
      </w:r>
      <w:r>
        <w:rPr>
          <w:spacing w:val="-10"/>
        </w:rPr>
        <w:t xml:space="preserve"> </w:t>
      </w:r>
      <w:r>
        <w:t>skip</w:t>
      </w:r>
      <w:r>
        <w:rPr>
          <w:spacing w:val="-9"/>
        </w:rPr>
        <w:t xml:space="preserve"> </w:t>
      </w:r>
      <w:r>
        <w:t>school</w:t>
      </w:r>
      <w:r>
        <w:rPr>
          <w:spacing w:val="-12"/>
        </w:rPr>
        <w:t xml:space="preserve"> </w:t>
      </w:r>
      <w:r>
        <w:t>than</w:t>
      </w:r>
      <w:r>
        <w:rPr>
          <w:spacing w:val="-11"/>
        </w:rPr>
        <w:t xml:space="preserve"> </w:t>
      </w:r>
      <w:r>
        <w:t>het-cis</w:t>
      </w:r>
      <w:r>
        <w:rPr>
          <w:spacing w:val="-11"/>
        </w:rPr>
        <w:t xml:space="preserve"> </w:t>
      </w:r>
      <w:r>
        <w:t>youth,</w:t>
      </w:r>
      <w:r>
        <w:rPr>
          <w:spacing w:val="-10"/>
        </w:rPr>
        <w:t xml:space="preserve"> </w:t>
      </w:r>
      <w:r>
        <w:t>as</w:t>
      </w:r>
      <w:r>
        <w:rPr>
          <w:spacing w:val="-11"/>
        </w:rPr>
        <w:t xml:space="preserve"> </w:t>
      </w:r>
      <w:r>
        <w:t>shown</w:t>
      </w:r>
      <w:r>
        <w:rPr>
          <w:spacing w:val="-12"/>
        </w:rPr>
        <w:t xml:space="preserve"> </w:t>
      </w:r>
      <w:r>
        <w:t>in</w:t>
      </w:r>
      <w:r>
        <w:rPr>
          <w:spacing w:val="-10"/>
        </w:rPr>
        <w:t xml:space="preserve"> </w:t>
      </w:r>
      <w:r>
        <w:t>Figure</w:t>
      </w:r>
      <w:r>
        <w:rPr>
          <w:spacing w:val="-9"/>
        </w:rPr>
        <w:t xml:space="preserve"> </w:t>
      </w:r>
      <w:r>
        <w:t>3.</w:t>
      </w:r>
      <w:r>
        <w:rPr>
          <w:spacing w:val="-10"/>
        </w:rPr>
        <w:t xml:space="preserve"> </w:t>
      </w:r>
      <w:r>
        <w:t>However, there</w:t>
      </w:r>
      <w:r>
        <w:rPr>
          <w:spacing w:val="-10"/>
        </w:rPr>
        <w:t xml:space="preserve"> </w:t>
      </w:r>
      <w:r>
        <w:t>is</w:t>
      </w:r>
      <w:r>
        <w:rPr>
          <w:spacing w:val="-9"/>
        </w:rPr>
        <w:t xml:space="preserve"> </w:t>
      </w:r>
      <w:r>
        <w:t>considerable</w:t>
      </w:r>
      <w:r>
        <w:rPr>
          <w:spacing w:val="-11"/>
        </w:rPr>
        <w:t xml:space="preserve"> </w:t>
      </w:r>
      <w:r>
        <w:t>variation</w:t>
      </w:r>
      <w:r>
        <w:rPr>
          <w:spacing w:val="-11"/>
        </w:rPr>
        <w:t xml:space="preserve"> </w:t>
      </w:r>
      <w:r>
        <w:t>among</w:t>
      </w:r>
      <w:r>
        <w:rPr>
          <w:spacing w:val="-10"/>
        </w:rPr>
        <w:t xml:space="preserve"> </w:t>
      </w:r>
      <w:r>
        <w:t>LGBTQ</w:t>
      </w:r>
      <w:r>
        <w:rPr>
          <w:spacing w:val="-11"/>
        </w:rPr>
        <w:t xml:space="preserve"> </w:t>
      </w:r>
      <w:r>
        <w:t>youth</w:t>
      </w:r>
      <w:r>
        <w:rPr>
          <w:spacing w:val="-9"/>
        </w:rPr>
        <w:t xml:space="preserve"> </w:t>
      </w:r>
      <w:r>
        <w:t>by</w:t>
      </w:r>
      <w:r>
        <w:rPr>
          <w:spacing w:val="-11"/>
        </w:rPr>
        <w:t xml:space="preserve"> </w:t>
      </w:r>
      <w:r>
        <w:t>race/ethnicity,</w:t>
      </w:r>
      <w:r>
        <w:rPr>
          <w:spacing w:val="-11"/>
        </w:rPr>
        <w:t xml:space="preserve"> </w:t>
      </w:r>
      <w:r>
        <w:t>with</w:t>
      </w:r>
      <w:r>
        <w:rPr>
          <w:spacing w:val="-10"/>
        </w:rPr>
        <w:t xml:space="preserve"> </w:t>
      </w:r>
      <w:r>
        <w:t>White</w:t>
      </w:r>
      <w:r>
        <w:rPr>
          <w:spacing w:val="-11"/>
        </w:rPr>
        <w:t xml:space="preserve"> </w:t>
      </w:r>
      <w:r>
        <w:t>youth</w:t>
      </w:r>
      <w:r>
        <w:rPr>
          <w:spacing w:val="-10"/>
        </w:rPr>
        <w:t xml:space="preserve"> </w:t>
      </w:r>
      <w:r>
        <w:t>having</w:t>
      </w:r>
      <w:r>
        <w:rPr>
          <w:spacing w:val="-11"/>
        </w:rPr>
        <w:t xml:space="preserve"> </w:t>
      </w:r>
      <w:r>
        <w:t>the</w:t>
      </w:r>
      <w:r>
        <w:rPr>
          <w:spacing w:val="-10"/>
        </w:rPr>
        <w:t xml:space="preserve"> </w:t>
      </w:r>
      <w:r>
        <w:t>lowest percentage</w:t>
      </w:r>
      <w:r>
        <w:rPr>
          <w:spacing w:val="-4"/>
        </w:rPr>
        <w:t xml:space="preserve"> </w:t>
      </w:r>
      <w:r>
        <w:t>(9%)</w:t>
      </w:r>
      <w:r>
        <w:rPr>
          <w:spacing w:val="-8"/>
        </w:rPr>
        <w:t xml:space="preserve"> </w:t>
      </w:r>
      <w:r>
        <w:t>and</w:t>
      </w:r>
      <w:r>
        <w:rPr>
          <w:spacing w:val="-7"/>
        </w:rPr>
        <w:t xml:space="preserve"> </w:t>
      </w:r>
      <w:r>
        <w:t>Hispanic/Latinx</w:t>
      </w:r>
      <w:r>
        <w:rPr>
          <w:spacing w:val="-7"/>
        </w:rPr>
        <w:t xml:space="preserve"> </w:t>
      </w:r>
      <w:r>
        <w:t>youth</w:t>
      </w:r>
      <w:r>
        <w:rPr>
          <w:spacing w:val="-6"/>
        </w:rPr>
        <w:t xml:space="preserve"> </w:t>
      </w:r>
      <w:r>
        <w:t>having</w:t>
      </w:r>
      <w:r>
        <w:rPr>
          <w:spacing w:val="-5"/>
        </w:rPr>
        <w:t xml:space="preserve"> </w:t>
      </w:r>
      <w:r>
        <w:t>the</w:t>
      </w:r>
      <w:r>
        <w:rPr>
          <w:spacing w:val="-6"/>
        </w:rPr>
        <w:t xml:space="preserve"> </w:t>
      </w:r>
      <w:r>
        <w:t>highest</w:t>
      </w:r>
      <w:r>
        <w:rPr>
          <w:spacing w:val="-6"/>
        </w:rPr>
        <w:t xml:space="preserve"> </w:t>
      </w:r>
      <w:r>
        <w:t>(14%)</w:t>
      </w:r>
      <w:r>
        <w:rPr>
          <w:spacing w:val="-8"/>
        </w:rPr>
        <w:t xml:space="preserve"> </w:t>
      </w:r>
      <w:r>
        <w:t>percentage,</w:t>
      </w:r>
      <w:r>
        <w:rPr>
          <w:spacing w:val="-7"/>
        </w:rPr>
        <w:t xml:space="preserve"> </w:t>
      </w:r>
      <w:r>
        <w:t>followed</w:t>
      </w:r>
      <w:r>
        <w:rPr>
          <w:spacing w:val="-4"/>
        </w:rPr>
        <w:t xml:space="preserve"> </w:t>
      </w:r>
      <w:r>
        <w:t>by</w:t>
      </w:r>
      <w:r>
        <w:rPr>
          <w:spacing w:val="-7"/>
        </w:rPr>
        <w:t xml:space="preserve"> </w:t>
      </w:r>
      <w:r>
        <w:t>Black</w:t>
      </w:r>
      <w:r>
        <w:rPr>
          <w:spacing w:val="-7"/>
        </w:rPr>
        <w:t xml:space="preserve"> </w:t>
      </w:r>
      <w:r>
        <w:t xml:space="preserve">youth </w:t>
      </w:r>
      <w:r>
        <w:rPr>
          <w:spacing w:val="-2"/>
        </w:rPr>
        <w:t>(12.6%).</w:t>
      </w: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12"/>
        <w:rPr>
          <w:sz w:val="20"/>
        </w:rPr>
      </w:pPr>
    </w:p>
    <w:tbl>
      <w:tblPr>
        <w:tblW w:w="0" w:type="auto"/>
        <w:tblInd w:w="954" w:type="dxa"/>
        <w:tblBorders>
          <w:top w:val="single" w:sz="6" w:space="0" w:color="DFE3EB"/>
          <w:left w:val="single" w:sz="6" w:space="0" w:color="DFE3EB"/>
          <w:bottom w:val="single" w:sz="6" w:space="0" w:color="DFE3EB"/>
          <w:right w:val="single" w:sz="6" w:space="0" w:color="DFE3EB"/>
          <w:insideH w:val="single" w:sz="6" w:space="0" w:color="DFE3EB"/>
          <w:insideV w:val="single" w:sz="6" w:space="0" w:color="DFE3EB"/>
        </w:tblBorders>
        <w:tblLayout w:type="fixed"/>
        <w:tblCellMar>
          <w:left w:w="0" w:type="dxa"/>
          <w:right w:w="0" w:type="dxa"/>
        </w:tblCellMar>
        <w:tblLook w:val="01E0" w:firstRow="1" w:lastRow="1" w:firstColumn="1" w:lastColumn="1" w:noHBand="0" w:noVBand="0"/>
      </w:tblPr>
      <w:tblGrid>
        <w:gridCol w:w="782"/>
        <w:gridCol w:w="1526"/>
        <w:gridCol w:w="1527"/>
        <w:gridCol w:w="1526"/>
        <w:gridCol w:w="1526"/>
        <w:gridCol w:w="1527"/>
      </w:tblGrid>
      <w:tr w:rsidR="00C76E6D">
        <w:trPr>
          <w:trHeight w:val="204"/>
        </w:trPr>
        <w:tc>
          <w:tcPr>
            <w:tcW w:w="782" w:type="dxa"/>
            <w:tcBorders>
              <w:top w:val="nil"/>
              <w:left w:val="nil"/>
            </w:tcBorders>
          </w:tcPr>
          <w:p w:rsidR="00C76E6D" w:rsidRDefault="00C76E6D">
            <w:pPr>
              <w:pStyle w:val="TableParagraph"/>
              <w:rPr>
                <w:rFonts w:ascii="Times New Roman"/>
                <w:sz w:val="14"/>
              </w:rPr>
            </w:pPr>
          </w:p>
        </w:tc>
        <w:tc>
          <w:tcPr>
            <w:tcW w:w="1526" w:type="dxa"/>
          </w:tcPr>
          <w:p w:rsidR="00C76E6D" w:rsidRDefault="00913831">
            <w:pPr>
              <w:pStyle w:val="TableParagraph"/>
              <w:spacing w:line="185" w:lineRule="exact"/>
              <w:ind w:left="449" w:right="418"/>
              <w:jc w:val="center"/>
              <w:rPr>
                <w:sz w:val="18"/>
              </w:rPr>
            </w:pPr>
            <w:r>
              <w:rPr>
                <w:color w:val="44526A"/>
                <w:spacing w:val="-2"/>
                <w:sz w:val="18"/>
              </w:rPr>
              <w:t>White</w:t>
            </w:r>
          </w:p>
        </w:tc>
        <w:tc>
          <w:tcPr>
            <w:tcW w:w="1527" w:type="dxa"/>
          </w:tcPr>
          <w:p w:rsidR="00C76E6D" w:rsidRDefault="00913831">
            <w:pPr>
              <w:pStyle w:val="TableParagraph"/>
              <w:spacing w:line="185" w:lineRule="exact"/>
              <w:ind w:left="312" w:right="283"/>
              <w:jc w:val="center"/>
              <w:rPr>
                <w:sz w:val="18"/>
              </w:rPr>
            </w:pPr>
            <w:r>
              <w:rPr>
                <w:color w:val="44526A"/>
                <w:spacing w:val="-2"/>
                <w:sz w:val="18"/>
              </w:rPr>
              <w:t>Black</w:t>
            </w:r>
          </w:p>
        </w:tc>
        <w:tc>
          <w:tcPr>
            <w:tcW w:w="1526" w:type="dxa"/>
          </w:tcPr>
          <w:p w:rsidR="00C76E6D" w:rsidRDefault="00913831">
            <w:pPr>
              <w:pStyle w:val="TableParagraph"/>
              <w:spacing w:line="185" w:lineRule="exact"/>
              <w:ind w:left="452" w:right="418"/>
              <w:jc w:val="center"/>
              <w:rPr>
                <w:sz w:val="18"/>
              </w:rPr>
            </w:pPr>
            <w:r>
              <w:rPr>
                <w:color w:val="44526A"/>
                <w:spacing w:val="-2"/>
                <w:sz w:val="18"/>
              </w:rPr>
              <w:t>Hispanic</w:t>
            </w:r>
          </w:p>
        </w:tc>
        <w:tc>
          <w:tcPr>
            <w:tcW w:w="1526" w:type="dxa"/>
          </w:tcPr>
          <w:p w:rsidR="00C76E6D" w:rsidRDefault="00913831">
            <w:pPr>
              <w:pStyle w:val="TableParagraph"/>
              <w:spacing w:line="185" w:lineRule="exact"/>
              <w:ind w:left="452" w:right="418"/>
              <w:jc w:val="center"/>
              <w:rPr>
                <w:sz w:val="18"/>
              </w:rPr>
            </w:pPr>
            <w:r>
              <w:rPr>
                <w:color w:val="44526A"/>
                <w:spacing w:val="-2"/>
                <w:sz w:val="18"/>
              </w:rPr>
              <w:t>Asian</w:t>
            </w:r>
          </w:p>
        </w:tc>
        <w:tc>
          <w:tcPr>
            <w:tcW w:w="1527" w:type="dxa"/>
          </w:tcPr>
          <w:p w:rsidR="00C76E6D" w:rsidRDefault="00913831">
            <w:pPr>
              <w:pStyle w:val="TableParagraph"/>
              <w:spacing w:line="185" w:lineRule="exact"/>
              <w:ind w:left="323" w:right="283"/>
              <w:jc w:val="center"/>
              <w:rPr>
                <w:sz w:val="18"/>
              </w:rPr>
            </w:pPr>
            <w:r>
              <w:rPr>
                <w:color w:val="44526A"/>
                <w:spacing w:val="-4"/>
                <w:sz w:val="18"/>
              </w:rPr>
              <w:t>Multi-</w:t>
            </w:r>
            <w:r>
              <w:rPr>
                <w:color w:val="44526A"/>
                <w:spacing w:val="-2"/>
                <w:sz w:val="18"/>
              </w:rPr>
              <w:t>Ethnic</w:t>
            </w:r>
          </w:p>
        </w:tc>
      </w:tr>
      <w:tr w:rsidR="00C76E6D">
        <w:trPr>
          <w:trHeight w:val="271"/>
        </w:trPr>
        <w:tc>
          <w:tcPr>
            <w:tcW w:w="782" w:type="dxa"/>
            <w:tcBorders>
              <w:left w:val="nil"/>
            </w:tcBorders>
          </w:tcPr>
          <w:p w:rsidR="00C76E6D" w:rsidRDefault="00913831">
            <w:pPr>
              <w:pStyle w:val="TableParagraph"/>
              <w:spacing w:before="10"/>
              <w:ind w:right="24"/>
              <w:jc w:val="right"/>
              <w:rPr>
                <w:sz w:val="18"/>
              </w:rPr>
            </w:pPr>
            <w:r>
              <w:rPr>
                <w:color w:val="44526A"/>
                <w:spacing w:val="-4"/>
                <w:sz w:val="18"/>
              </w:rPr>
              <w:t>Het-</w:t>
            </w:r>
            <w:r>
              <w:rPr>
                <w:color w:val="44526A"/>
                <w:spacing w:val="-5"/>
                <w:sz w:val="18"/>
              </w:rPr>
              <w:t>Cis</w:t>
            </w:r>
          </w:p>
        </w:tc>
        <w:tc>
          <w:tcPr>
            <w:tcW w:w="1526" w:type="dxa"/>
          </w:tcPr>
          <w:p w:rsidR="00C76E6D" w:rsidRDefault="00913831">
            <w:pPr>
              <w:pStyle w:val="TableParagraph"/>
              <w:spacing w:before="15"/>
              <w:ind w:left="452" w:right="415"/>
              <w:jc w:val="center"/>
              <w:rPr>
                <w:sz w:val="18"/>
              </w:rPr>
            </w:pPr>
            <w:r>
              <w:rPr>
                <w:color w:val="44526A"/>
                <w:spacing w:val="-5"/>
                <w:sz w:val="18"/>
              </w:rPr>
              <w:t>2.9</w:t>
            </w:r>
          </w:p>
        </w:tc>
        <w:tc>
          <w:tcPr>
            <w:tcW w:w="1527" w:type="dxa"/>
          </w:tcPr>
          <w:p w:rsidR="00C76E6D" w:rsidRDefault="00913831">
            <w:pPr>
              <w:pStyle w:val="TableParagraph"/>
              <w:spacing w:before="15"/>
              <w:ind w:left="29"/>
              <w:jc w:val="center"/>
              <w:rPr>
                <w:sz w:val="18"/>
              </w:rPr>
            </w:pPr>
            <w:r>
              <w:rPr>
                <w:color w:val="44526A"/>
                <w:sz w:val="18"/>
              </w:rPr>
              <w:t>4</w:t>
            </w:r>
          </w:p>
        </w:tc>
        <w:tc>
          <w:tcPr>
            <w:tcW w:w="1526" w:type="dxa"/>
          </w:tcPr>
          <w:p w:rsidR="00C76E6D" w:rsidRDefault="00913831">
            <w:pPr>
              <w:pStyle w:val="TableParagraph"/>
              <w:spacing w:before="15"/>
              <w:ind w:left="452" w:right="413"/>
              <w:jc w:val="center"/>
              <w:rPr>
                <w:sz w:val="18"/>
              </w:rPr>
            </w:pPr>
            <w:r>
              <w:rPr>
                <w:color w:val="44526A"/>
                <w:spacing w:val="-5"/>
                <w:sz w:val="18"/>
              </w:rPr>
              <w:t>5.5</w:t>
            </w:r>
          </w:p>
        </w:tc>
        <w:tc>
          <w:tcPr>
            <w:tcW w:w="1526" w:type="dxa"/>
          </w:tcPr>
          <w:p w:rsidR="00C76E6D" w:rsidRDefault="00913831">
            <w:pPr>
              <w:pStyle w:val="TableParagraph"/>
              <w:spacing w:before="15"/>
              <w:ind w:left="35"/>
              <w:jc w:val="center"/>
              <w:rPr>
                <w:sz w:val="18"/>
              </w:rPr>
            </w:pPr>
            <w:r>
              <w:rPr>
                <w:color w:val="44526A"/>
                <w:sz w:val="18"/>
              </w:rPr>
              <w:t>2</w:t>
            </w:r>
          </w:p>
        </w:tc>
        <w:tc>
          <w:tcPr>
            <w:tcW w:w="1527" w:type="dxa"/>
          </w:tcPr>
          <w:p w:rsidR="00C76E6D" w:rsidRDefault="00913831">
            <w:pPr>
              <w:pStyle w:val="TableParagraph"/>
              <w:spacing w:before="15"/>
              <w:ind w:left="37"/>
              <w:jc w:val="center"/>
              <w:rPr>
                <w:sz w:val="18"/>
              </w:rPr>
            </w:pPr>
            <w:r>
              <w:rPr>
                <w:color w:val="44526A"/>
                <w:sz w:val="18"/>
              </w:rPr>
              <w:t>5</w:t>
            </w:r>
          </w:p>
        </w:tc>
      </w:tr>
      <w:tr w:rsidR="00C76E6D">
        <w:trPr>
          <w:trHeight w:val="272"/>
        </w:trPr>
        <w:tc>
          <w:tcPr>
            <w:tcW w:w="782" w:type="dxa"/>
          </w:tcPr>
          <w:p w:rsidR="00C76E6D" w:rsidRDefault="00913831">
            <w:pPr>
              <w:pStyle w:val="TableParagraph"/>
              <w:spacing w:before="12"/>
              <w:ind w:right="56"/>
              <w:jc w:val="right"/>
              <w:rPr>
                <w:sz w:val="18"/>
              </w:rPr>
            </w:pPr>
            <w:r>
              <w:rPr>
                <w:color w:val="44526A"/>
                <w:spacing w:val="-2"/>
                <w:sz w:val="18"/>
              </w:rPr>
              <w:t>LGBTQ</w:t>
            </w:r>
          </w:p>
        </w:tc>
        <w:tc>
          <w:tcPr>
            <w:tcW w:w="1526" w:type="dxa"/>
          </w:tcPr>
          <w:p w:rsidR="00C76E6D" w:rsidRDefault="00913831">
            <w:pPr>
              <w:pStyle w:val="TableParagraph"/>
              <w:spacing w:before="16"/>
              <w:ind w:left="30"/>
              <w:jc w:val="center"/>
              <w:rPr>
                <w:sz w:val="18"/>
              </w:rPr>
            </w:pPr>
            <w:r>
              <w:rPr>
                <w:color w:val="44526A"/>
                <w:sz w:val="18"/>
              </w:rPr>
              <w:t>9</w:t>
            </w:r>
          </w:p>
        </w:tc>
        <w:tc>
          <w:tcPr>
            <w:tcW w:w="1527" w:type="dxa"/>
          </w:tcPr>
          <w:p w:rsidR="00C76E6D" w:rsidRDefault="00913831">
            <w:pPr>
              <w:pStyle w:val="TableParagraph"/>
              <w:spacing w:before="16"/>
              <w:ind w:left="319" w:right="283"/>
              <w:jc w:val="center"/>
              <w:rPr>
                <w:sz w:val="18"/>
              </w:rPr>
            </w:pPr>
            <w:r>
              <w:rPr>
                <w:color w:val="44526A"/>
                <w:spacing w:val="-4"/>
                <w:sz w:val="18"/>
              </w:rPr>
              <w:t>12.6</w:t>
            </w:r>
          </w:p>
        </w:tc>
        <w:tc>
          <w:tcPr>
            <w:tcW w:w="1526" w:type="dxa"/>
          </w:tcPr>
          <w:p w:rsidR="00C76E6D" w:rsidRDefault="00913831">
            <w:pPr>
              <w:pStyle w:val="TableParagraph"/>
              <w:spacing w:before="16"/>
              <w:ind w:left="452" w:right="418"/>
              <w:jc w:val="center"/>
              <w:rPr>
                <w:sz w:val="18"/>
              </w:rPr>
            </w:pPr>
            <w:r>
              <w:rPr>
                <w:color w:val="44526A"/>
                <w:spacing w:val="-5"/>
                <w:sz w:val="18"/>
              </w:rPr>
              <w:t>14</w:t>
            </w:r>
          </w:p>
        </w:tc>
        <w:tc>
          <w:tcPr>
            <w:tcW w:w="1526" w:type="dxa"/>
          </w:tcPr>
          <w:p w:rsidR="00C76E6D" w:rsidRDefault="00913831">
            <w:pPr>
              <w:pStyle w:val="TableParagraph"/>
              <w:spacing w:before="16"/>
              <w:ind w:left="452" w:right="417"/>
              <w:jc w:val="center"/>
              <w:rPr>
                <w:sz w:val="18"/>
              </w:rPr>
            </w:pPr>
            <w:r>
              <w:rPr>
                <w:color w:val="44526A"/>
                <w:spacing w:val="-5"/>
                <w:sz w:val="18"/>
              </w:rPr>
              <w:t>10</w:t>
            </w:r>
          </w:p>
        </w:tc>
        <w:tc>
          <w:tcPr>
            <w:tcW w:w="1527" w:type="dxa"/>
          </w:tcPr>
          <w:p w:rsidR="00C76E6D" w:rsidRDefault="00913831">
            <w:pPr>
              <w:pStyle w:val="TableParagraph"/>
              <w:spacing w:before="16"/>
              <w:ind w:left="323" w:right="280"/>
              <w:jc w:val="center"/>
              <w:rPr>
                <w:sz w:val="18"/>
              </w:rPr>
            </w:pPr>
            <w:r>
              <w:rPr>
                <w:color w:val="44526A"/>
                <w:spacing w:val="-4"/>
                <w:sz w:val="18"/>
              </w:rPr>
              <w:t>10.7</w:t>
            </w:r>
          </w:p>
        </w:tc>
      </w:tr>
    </w:tbl>
    <w:p w:rsidR="00C76E6D" w:rsidRDefault="00C76E6D">
      <w:pPr>
        <w:jc w:val="center"/>
        <w:rPr>
          <w:sz w:val="18"/>
        </w:rPr>
        <w:sectPr w:rsidR="00C76E6D">
          <w:pgSz w:w="12240" w:h="15840"/>
          <w:pgMar w:top="1000" w:right="960" w:bottom="1060" w:left="960" w:header="779" w:footer="864" w:gutter="0"/>
          <w:cols w:space="720"/>
        </w:sectPr>
      </w:pPr>
    </w:p>
    <w:p w:rsidR="00C76E6D" w:rsidRDefault="00913831">
      <w:pPr>
        <w:pStyle w:val="BodyText"/>
        <w:spacing w:before="4"/>
        <w:rPr>
          <w:sz w:val="28"/>
        </w:rPr>
      </w:pPr>
      <w:r>
        <w:rPr>
          <w:noProof/>
        </w:rPr>
        <w:lastRenderedPageBreak/>
        <w:drawing>
          <wp:anchor distT="0" distB="0" distL="0" distR="0" simplePos="0" relativeHeight="15746560" behindDoc="0" locked="0" layoutInCell="1" allowOverlap="1">
            <wp:simplePos x="0" y="0"/>
            <wp:positionH relativeFrom="page">
              <wp:posOffset>1239521</wp:posOffset>
            </wp:positionH>
            <wp:positionV relativeFrom="page">
              <wp:posOffset>8564245</wp:posOffset>
            </wp:positionV>
            <wp:extent cx="107948" cy="181520"/>
            <wp:effectExtent l="0" t="0" r="0" b="0"/>
            <wp:wrapNone/>
            <wp:docPr id="1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0.png"/>
                    <pic:cNvPicPr/>
                  </pic:nvPicPr>
                  <pic:blipFill>
                    <a:blip r:embed="rId49" cstate="print"/>
                    <a:stretch>
                      <a:fillRect/>
                    </a:stretch>
                  </pic:blipFill>
                  <pic:spPr>
                    <a:xfrm>
                      <a:off x="0" y="0"/>
                      <a:ext cx="107948" cy="181520"/>
                    </a:xfrm>
                    <a:prstGeom prst="rect">
                      <a:avLst/>
                    </a:prstGeom>
                  </pic:spPr>
                </pic:pic>
              </a:graphicData>
            </a:graphic>
          </wp:anchor>
        </w:drawing>
      </w:r>
    </w:p>
    <w:p w:rsidR="00C76E6D" w:rsidRDefault="00913831">
      <w:pPr>
        <w:pStyle w:val="BodyText"/>
        <w:spacing w:before="55" w:line="276" w:lineRule="auto"/>
        <w:ind w:left="479" w:right="473"/>
        <w:jc w:val="both"/>
      </w:pPr>
      <w:r>
        <w:pict>
          <v:group id="docshapegroup108" o:spid="_x0000_s1305" style="position:absolute;left:0;text-align:left;margin-left:79.9pt;margin-top:125.9pt;width:451.5pt;height:196.75pt;z-index:-21198336;mso-position-horizontal-relative:page" coordorigin="1598,2518" coordsize="9030,3935">
            <v:shape id="docshape109" o:spid="_x0000_s1324" style="position:absolute;left:2567;top:5022;width:1051;height:2" coordorigin="2567,5023" coordsize="1051,0" o:spt="100" adj="0,,0" path="m2567,5023r302,m3473,5023r145,e" filled="f" strokecolor="#dfe3eb">
              <v:stroke joinstyle="round"/>
              <v:formulas/>
              <v:path arrowok="t" o:connecttype="segments"/>
            </v:shape>
            <v:shape id="docshape110" o:spid="_x0000_s1323" type="#_x0000_t75" style="position:absolute;left:2869;top:4952;width:605;height:323">
              <v:imagedata r:id="rId50" o:title=""/>
            </v:shape>
            <v:shape id="docshape111" o:spid="_x0000_s1322" style="position:absolute;left:4223;top:5022;width:2563;height:2" coordorigin="4223,5023" coordsize="2563,0" o:spt="100" adj="0,,0" path="m4223,5023r605,m5432,5023r1354,e" filled="f" strokecolor="#dfe3eb">
              <v:stroke joinstyle="round"/>
              <v:formulas/>
              <v:path arrowok="t" o:connecttype="segments"/>
            </v:shape>
            <v:shape id="docshape112" o:spid="_x0000_s1321" type="#_x0000_t75" style="position:absolute;left:4827;top:4992;width:605;height:283">
              <v:imagedata r:id="rId51" o:title=""/>
            </v:shape>
            <v:shape id="docshape113" o:spid="_x0000_s1320" style="position:absolute;left:2567;top:4266;width:4967;height:756" coordorigin="2567,4267" coordsize="4967,756" o:spt="100" adj="0,,0" path="m7389,5023r145,m2567,4771r4218,m7389,4771r145,m2567,4519r4218,m7389,4519r145,m2567,4267r4218,m7389,4267r145,e" filled="f" strokecolor="#dfe3eb">
              <v:stroke joinstyle="round"/>
              <v:formulas/>
              <v:path arrowok="t" o:connecttype="segments"/>
            </v:shape>
            <v:shape id="docshape114" o:spid="_x0000_s1319" type="#_x0000_t75" style="position:absolute;left:6785;top:4166;width:605;height:1109">
              <v:imagedata r:id="rId52" o:title=""/>
            </v:shape>
            <v:shape id="docshape115" o:spid="_x0000_s1318" type="#_x0000_t75" style="position:absolute;left:3619;top:4952;width:605;height:323">
              <v:imagedata r:id="rId53" o:title=""/>
            </v:shape>
            <v:shape id="docshape116" o:spid="_x0000_s1317" type="#_x0000_t75" style="position:absolute;left:5577;top:5113;width:605;height:162">
              <v:imagedata r:id="rId54" o:title=""/>
            </v:shape>
            <v:shape id="docshape117" o:spid="_x0000_s1316" style="position:absolute;left:8139;top:4266;width:2260;height:756" coordorigin="8139,4267" coordsize="2260,756" o:spt="100" adj="0,,0" path="m8139,5023r2260,m8139,4771r2260,m8139,4519r2260,m8139,4267r2260,e" filled="f" strokecolor="#dfe3eb">
              <v:stroke joinstyle="round"/>
              <v:formulas/>
              <v:path arrowok="t" o:connecttype="segments"/>
            </v:shape>
            <v:shape id="docshape118" o:spid="_x0000_s1315" type="#_x0000_t75" style="position:absolute;left:8744;top:4297;width:605;height:978">
              <v:imagedata r:id="rId55" o:title=""/>
            </v:shape>
            <v:shape id="docshape119" o:spid="_x0000_s1314" style="position:absolute;left:2567;top:4014;width:7832;height:2" coordorigin="2567,4015" coordsize="7832,0" o:spt="100" adj="0,,0" path="m2567,4015r4967,m8139,4015r2260,e" filled="f" strokecolor="#dfe3eb">
              <v:stroke joinstyle="round"/>
              <v:formulas/>
              <v:path arrowok="t" o:connecttype="segments"/>
            </v:shape>
            <v:shape id="docshape120" o:spid="_x0000_s1313" style="position:absolute;left:2567;top:3761;width:7832;height:7" coordorigin="2567,3762" coordsize="7832,7" o:spt="100" adj="0,,0" path="m2567,3769r7832,m2567,3762r7832,e" filled="f" strokecolor="#dfe3eb" strokeweight=".0335mm">
              <v:stroke joinstyle="round"/>
              <v:formulas/>
              <v:path arrowok="t" o:connecttype="segments"/>
            </v:shape>
            <v:shape id="docshape121" o:spid="_x0000_s1312" type="#_x0000_t75" style="position:absolute;left:7535;top:3768;width:605;height:1507">
              <v:imagedata r:id="rId56" o:title=""/>
            </v:shape>
            <v:shape id="docshape122" o:spid="_x0000_s1311" type="#_x0000_t75" style="position:absolute;left:9493;top:3853;width:605;height:1421">
              <v:imagedata r:id="rId57" o:title=""/>
            </v:shape>
            <v:line id="_x0000_s1310" style="position:absolute" from="2568,3512" to="10400,3512" strokecolor="#dfe3eb"/>
            <v:shape id="docshape123" o:spid="_x0000_s1309" type="#_x0000_t75" style="position:absolute;left:2009;top:6147;width:99;height:99">
              <v:imagedata r:id="rId58" o:title=""/>
            </v:shape>
            <v:rect id="docshape124" o:spid="_x0000_s1308" style="position:absolute;left:1605;top:2525;width:9015;height:3920" filled="f" strokecolor="#dfe3eb"/>
            <v:shape id="docshape125" o:spid="_x0000_s1307" type="#_x0000_t202" style="position:absolute;left:2762;top:2738;width:6719;height:521" filled="f" stroked="f">
              <v:textbox inset="0,0,0,0">
                <w:txbxContent>
                  <w:p w:rsidR="00C76E6D" w:rsidRDefault="00913831">
                    <w:pPr>
                      <w:spacing w:line="238" w:lineRule="exact"/>
                      <w:ind w:right="18"/>
                      <w:jc w:val="center"/>
                      <w:rPr>
                        <w:b/>
                        <w:sz w:val="24"/>
                      </w:rPr>
                    </w:pPr>
                    <w:r>
                      <w:rPr>
                        <w:b/>
                        <w:color w:val="44526A"/>
                        <w:sz w:val="24"/>
                      </w:rPr>
                      <w:t>Figure</w:t>
                    </w:r>
                    <w:r>
                      <w:rPr>
                        <w:b/>
                        <w:color w:val="44526A"/>
                        <w:spacing w:val="-13"/>
                        <w:sz w:val="24"/>
                      </w:rPr>
                      <w:t xml:space="preserve"> </w:t>
                    </w:r>
                    <w:r>
                      <w:rPr>
                        <w:b/>
                        <w:color w:val="44526A"/>
                        <w:sz w:val="24"/>
                      </w:rPr>
                      <w:t>4.</w:t>
                    </w:r>
                    <w:r>
                      <w:rPr>
                        <w:b/>
                        <w:color w:val="44526A"/>
                        <w:spacing w:val="-7"/>
                        <w:sz w:val="24"/>
                      </w:rPr>
                      <w:t xml:space="preserve"> </w:t>
                    </w:r>
                    <w:r>
                      <w:rPr>
                        <w:b/>
                        <w:color w:val="44526A"/>
                        <w:sz w:val="24"/>
                      </w:rPr>
                      <w:t>Percent</w:t>
                    </w:r>
                    <w:r>
                      <w:rPr>
                        <w:b/>
                        <w:color w:val="44526A"/>
                        <w:spacing w:val="-10"/>
                        <w:sz w:val="24"/>
                      </w:rPr>
                      <w:t xml:space="preserve"> </w:t>
                    </w:r>
                    <w:r>
                      <w:rPr>
                        <w:b/>
                        <w:color w:val="44526A"/>
                        <w:sz w:val="24"/>
                      </w:rPr>
                      <w:t>of</w:t>
                    </w:r>
                    <w:r>
                      <w:rPr>
                        <w:b/>
                        <w:color w:val="44526A"/>
                        <w:spacing w:val="-9"/>
                        <w:sz w:val="24"/>
                      </w:rPr>
                      <w:t xml:space="preserve"> </w:t>
                    </w:r>
                    <w:r>
                      <w:rPr>
                        <w:b/>
                        <w:color w:val="44526A"/>
                        <w:sz w:val="24"/>
                      </w:rPr>
                      <w:t>students</w:t>
                    </w:r>
                    <w:r>
                      <w:rPr>
                        <w:b/>
                        <w:color w:val="44526A"/>
                        <w:spacing w:val="-7"/>
                        <w:sz w:val="24"/>
                      </w:rPr>
                      <w:t xml:space="preserve"> </w:t>
                    </w:r>
                    <w:r>
                      <w:rPr>
                        <w:b/>
                        <w:color w:val="44526A"/>
                        <w:sz w:val="24"/>
                      </w:rPr>
                      <w:t>who</w:t>
                    </w:r>
                    <w:r>
                      <w:rPr>
                        <w:b/>
                        <w:color w:val="44526A"/>
                        <w:spacing w:val="-7"/>
                        <w:sz w:val="24"/>
                      </w:rPr>
                      <w:t xml:space="preserve"> </w:t>
                    </w:r>
                    <w:r>
                      <w:rPr>
                        <w:b/>
                        <w:color w:val="44526A"/>
                        <w:sz w:val="24"/>
                      </w:rPr>
                      <w:t>smoked</w:t>
                    </w:r>
                    <w:r>
                      <w:rPr>
                        <w:b/>
                        <w:color w:val="44526A"/>
                        <w:spacing w:val="-9"/>
                        <w:sz w:val="24"/>
                      </w:rPr>
                      <w:t xml:space="preserve"> </w:t>
                    </w:r>
                    <w:r>
                      <w:rPr>
                        <w:b/>
                        <w:color w:val="44526A"/>
                        <w:sz w:val="24"/>
                      </w:rPr>
                      <w:t>cigarettes</w:t>
                    </w:r>
                    <w:r>
                      <w:rPr>
                        <w:b/>
                        <w:color w:val="44526A"/>
                        <w:spacing w:val="-11"/>
                        <w:sz w:val="24"/>
                      </w:rPr>
                      <w:t xml:space="preserve"> </w:t>
                    </w:r>
                    <w:r>
                      <w:rPr>
                        <w:b/>
                        <w:color w:val="44526A"/>
                        <w:sz w:val="24"/>
                      </w:rPr>
                      <w:t>or</w:t>
                    </w:r>
                    <w:r>
                      <w:rPr>
                        <w:b/>
                        <w:color w:val="44526A"/>
                        <w:spacing w:val="-10"/>
                        <w:sz w:val="24"/>
                      </w:rPr>
                      <w:t xml:space="preserve"> </w:t>
                    </w:r>
                    <w:r>
                      <w:rPr>
                        <w:b/>
                        <w:color w:val="44526A"/>
                        <w:sz w:val="24"/>
                      </w:rPr>
                      <w:t>vaped</w:t>
                    </w:r>
                    <w:r>
                      <w:rPr>
                        <w:b/>
                        <w:color w:val="44526A"/>
                        <w:spacing w:val="-9"/>
                        <w:sz w:val="24"/>
                      </w:rPr>
                      <w:t xml:space="preserve"> </w:t>
                    </w:r>
                    <w:r>
                      <w:rPr>
                        <w:b/>
                        <w:color w:val="44526A"/>
                        <w:sz w:val="24"/>
                      </w:rPr>
                      <w:t>in</w:t>
                    </w:r>
                    <w:r>
                      <w:rPr>
                        <w:b/>
                        <w:color w:val="44526A"/>
                        <w:spacing w:val="-8"/>
                        <w:sz w:val="24"/>
                      </w:rPr>
                      <w:t xml:space="preserve"> </w:t>
                    </w:r>
                    <w:r>
                      <w:rPr>
                        <w:b/>
                        <w:color w:val="44526A"/>
                        <w:spacing w:val="-5"/>
                        <w:sz w:val="24"/>
                      </w:rPr>
                      <w:t>the</w:t>
                    </w:r>
                  </w:p>
                  <w:p w:rsidR="00C76E6D" w:rsidRDefault="00913831">
                    <w:pPr>
                      <w:spacing w:line="282" w:lineRule="exact"/>
                      <w:ind w:right="18"/>
                      <w:jc w:val="center"/>
                      <w:rPr>
                        <w:b/>
                        <w:sz w:val="24"/>
                      </w:rPr>
                    </w:pPr>
                    <w:r>
                      <w:rPr>
                        <w:b/>
                        <w:color w:val="44526A"/>
                        <w:sz w:val="24"/>
                      </w:rPr>
                      <w:t>past</w:t>
                    </w:r>
                    <w:r>
                      <w:rPr>
                        <w:b/>
                        <w:color w:val="44526A"/>
                        <w:spacing w:val="-14"/>
                        <w:sz w:val="24"/>
                      </w:rPr>
                      <w:t xml:space="preserve"> </w:t>
                    </w:r>
                    <w:r>
                      <w:rPr>
                        <w:b/>
                        <w:color w:val="44526A"/>
                        <w:sz w:val="24"/>
                      </w:rPr>
                      <w:t>month</w:t>
                    </w:r>
                    <w:r>
                      <w:rPr>
                        <w:b/>
                        <w:color w:val="44526A"/>
                        <w:spacing w:val="-10"/>
                        <w:sz w:val="24"/>
                      </w:rPr>
                      <w:t xml:space="preserve"> </w:t>
                    </w:r>
                    <w:r>
                      <w:rPr>
                        <w:b/>
                        <w:color w:val="44526A"/>
                        <w:sz w:val="24"/>
                      </w:rPr>
                      <w:t>(2017-</w:t>
                    </w:r>
                    <w:r>
                      <w:rPr>
                        <w:b/>
                        <w:color w:val="44526A"/>
                        <w:spacing w:val="-2"/>
                        <w:sz w:val="24"/>
                      </w:rPr>
                      <w:t>2019)</w:t>
                    </w:r>
                  </w:p>
                </w:txbxContent>
              </v:textbox>
            </v:shape>
            <v:shape id="docshape126" o:spid="_x0000_s1306" type="#_x0000_t202" style="position:absolute;left:2217;top:3440;width:203;height:1932" filled="f" stroked="f">
              <v:textbox inset="0,0,0,0">
                <w:txbxContent>
                  <w:p w:rsidR="00C76E6D" w:rsidRDefault="00913831">
                    <w:pPr>
                      <w:spacing w:line="183" w:lineRule="exact"/>
                      <w:rPr>
                        <w:sz w:val="18"/>
                      </w:rPr>
                    </w:pPr>
                    <w:r>
                      <w:rPr>
                        <w:color w:val="44526A"/>
                        <w:spacing w:val="-5"/>
                        <w:sz w:val="18"/>
                      </w:rPr>
                      <w:t>35</w:t>
                    </w:r>
                  </w:p>
                  <w:p w:rsidR="00C76E6D" w:rsidRDefault="00913831">
                    <w:pPr>
                      <w:spacing w:before="20"/>
                      <w:rPr>
                        <w:sz w:val="18"/>
                      </w:rPr>
                    </w:pPr>
                    <w:r>
                      <w:rPr>
                        <w:color w:val="44526A"/>
                        <w:spacing w:val="-5"/>
                        <w:sz w:val="18"/>
                      </w:rPr>
                      <w:t>30</w:t>
                    </w:r>
                  </w:p>
                  <w:p w:rsidR="00C76E6D" w:rsidRDefault="00913831">
                    <w:pPr>
                      <w:spacing w:before="32"/>
                      <w:rPr>
                        <w:sz w:val="18"/>
                      </w:rPr>
                    </w:pPr>
                    <w:r>
                      <w:rPr>
                        <w:color w:val="44526A"/>
                        <w:spacing w:val="-5"/>
                        <w:sz w:val="18"/>
                      </w:rPr>
                      <w:t>25</w:t>
                    </w:r>
                  </w:p>
                  <w:p w:rsidR="00C76E6D" w:rsidRDefault="00913831">
                    <w:pPr>
                      <w:spacing w:before="33"/>
                      <w:rPr>
                        <w:sz w:val="18"/>
                      </w:rPr>
                    </w:pPr>
                    <w:r>
                      <w:rPr>
                        <w:color w:val="44526A"/>
                        <w:spacing w:val="-5"/>
                        <w:sz w:val="18"/>
                      </w:rPr>
                      <w:t>20</w:t>
                    </w:r>
                  </w:p>
                  <w:p w:rsidR="00C76E6D" w:rsidRDefault="00913831">
                    <w:pPr>
                      <w:spacing w:before="32"/>
                      <w:rPr>
                        <w:sz w:val="18"/>
                      </w:rPr>
                    </w:pPr>
                    <w:r>
                      <w:rPr>
                        <w:color w:val="44526A"/>
                        <w:spacing w:val="-5"/>
                        <w:sz w:val="18"/>
                      </w:rPr>
                      <w:t>15</w:t>
                    </w:r>
                  </w:p>
                  <w:p w:rsidR="00C76E6D" w:rsidRDefault="00913831">
                    <w:pPr>
                      <w:spacing w:before="31"/>
                      <w:rPr>
                        <w:sz w:val="18"/>
                      </w:rPr>
                    </w:pPr>
                    <w:r>
                      <w:rPr>
                        <w:color w:val="44526A"/>
                        <w:spacing w:val="-5"/>
                        <w:sz w:val="18"/>
                      </w:rPr>
                      <w:t>10</w:t>
                    </w:r>
                  </w:p>
                  <w:p w:rsidR="00C76E6D" w:rsidRDefault="00913831">
                    <w:pPr>
                      <w:spacing w:before="32"/>
                      <w:ind w:left="91"/>
                      <w:rPr>
                        <w:sz w:val="18"/>
                      </w:rPr>
                    </w:pPr>
                    <w:r>
                      <w:rPr>
                        <w:color w:val="44526A"/>
                        <w:sz w:val="18"/>
                      </w:rPr>
                      <w:t>5</w:t>
                    </w:r>
                  </w:p>
                  <w:p w:rsidR="00C76E6D" w:rsidRDefault="00913831">
                    <w:pPr>
                      <w:spacing w:before="34" w:line="216" w:lineRule="exact"/>
                      <w:ind w:left="91"/>
                      <w:rPr>
                        <w:sz w:val="18"/>
                      </w:rPr>
                    </w:pPr>
                    <w:r>
                      <w:rPr>
                        <w:color w:val="44526A"/>
                        <w:sz w:val="18"/>
                      </w:rPr>
                      <w:t>0</w:t>
                    </w:r>
                  </w:p>
                </w:txbxContent>
              </v:textbox>
            </v:shape>
            <w10:wrap anchorx="page"/>
          </v:group>
        </w:pict>
      </w:r>
      <w:r>
        <w:t>The</w:t>
      </w:r>
      <w:r>
        <w:rPr>
          <w:spacing w:val="-9"/>
        </w:rPr>
        <w:t xml:space="preserve"> </w:t>
      </w:r>
      <w:r>
        <w:t>percentage</w:t>
      </w:r>
      <w:r>
        <w:rPr>
          <w:spacing w:val="-10"/>
        </w:rPr>
        <w:t xml:space="preserve"> </w:t>
      </w:r>
      <w:r>
        <w:t>of</w:t>
      </w:r>
      <w:r>
        <w:rPr>
          <w:spacing w:val="-10"/>
        </w:rPr>
        <w:t xml:space="preserve"> </w:t>
      </w:r>
      <w:r>
        <w:t>LGBTQ</w:t>
      </w:r>
      <w:r>
        <w:rPr>
          <w:spacing w:val="-9"/>
        </w:rPr>
        <w:t xml:space="preserve"> </w:t>
      </w:r>
      <w:r>
        <w:t>students</w:t>
      </w:r>
      <w:r>
        <w:rPr>
          <w:spacing w:val="-10"/>
        </w:rPr>
        <w:t xml:space="preserve"> </w:t>
      </w:r>
      <w:r>
        <w:t>who</w:t>
      </w:r>
      <w:r>
        <w:rPr>
          <w:spacing w:val="-8"/>
        </w:rPr>
        <w:t xml:space="preserve"> </w:t>
      </w:r>
      <w:r>
        <w:t>smoked</w:t>
      </w:r>
      <w:r>
        <w:rPr>
          <w:spacing w:val="-9"/>
        </w:rPr>
        <w:t xml:space="preserve"> </w:t>
      </w:r>
      <w:r>
        <w:t>cigarettes</w:t>
      </w:r>
      <w:r>
        <w:rPr>
          <w:spacing w:val="-9"/>
        </w:rPr>
        <w:t xml:space="preserve"> </w:t>
      </w:r>
      <w:r>
        <w:t>remained</w:t>
      </w:r>
      <w:r>
        <w:rPr>
          <w:spacing w:val="-10"/>
        </w:rPr>
        <w:t xml:space="preserve"> </w:t>
      </w:r>
      <w:r>
        <w:t>unchanged</w:t>
      </w:r>
      <w:r>
        <w:rPr>
          <w:spacing w:val="-11"/>
        </w:rPr>
        <w:t xml:space="preserve"> </w:t>
      </w:r>
      <w:r>
        <w:t>between</w:t>
      </w:r>
      <w:r>
        <w:rPr>
          <w:spacing w:val="-11"/>
        </w:rPr>
        <w:t xml:space="preserve"> </w:t>
      </w:r>
      <w:r>
        <w:t>2017</w:t>
      </w:r>
      <w:r>
        <w:rPr>
          <w:spacing w:val="-10"/>
        </w:rPr>
        <w:t xml:space="preserve"> </w:t>
      </w:r>
      <w:r>
        <w:t>and</w:t>
      </w:r>
      <w:r>
        <w:rPr>
          <w:spacing w:val="-9"/>
        </w:rPr>
        <w:t xml:space="preserve"> </w:t>
      </w:r>
      <w:r>
        <w:t>2019, at 6.4%, while the percentage of het-cis youth who smoked decreased from 5.6% to 3.2% (see Figure 4). Tobacco</w:t>
      </w:r>
      <w:r>
        <w:rPr>
          <w:spacing w:val="-4"/>
        </w:rPr>
        <w:t xml:space="preserve"> </w:t>
      </w:r>
      <w:r>
        <w:t>consumption</w:t>
      </w:r>
      <w:r>
        <w:rPr>
          <w:spacing w:val="-7"/>
        </w:rPr>
        <w:t xml:space="preserve"> </w:t>
      </w:r>
      <w:r>
        <w:t>overall</w:t>
      </w:r>
      <w:r>
        <w:rPr>
          <w:spacing w:val="-7"/>
        </w:rPr>
        <w:t xml:space="preserve"> </w:t>
      </w:r>
      <w:r>
        <w:t>has</w:t>
      </w:r>
      <w:r>
        <w:rPr>
          <w:spacing w:val="-5"/>
        </w:rPr>
        <w:t xml:space="preserve"> </w:t>
      </w:r>
      <w:r>
        <w:t>increased</w:t>
      </w:r>
      <w:r>
        <w:rPr>
          <w:spacing w:val="-5"/>
        </w:rPr>
        <w:t xml:space="preserve"> </w:t>
      </w:r>
      <w:r>
        <w:t>though,</w:t>
      </w:r>
      <w:r>
        <w:rPr>
          <w:spacing w:val="-5"/>
        </w:rPr>
        <w:t xml:space="preserve"> </w:t>
      </w:r>
      <w:r>
        <w:t>due</w:t>
      </w:r>
      <w:r>
        <w:rPr>
          <w:spacing w:val="-6"/>
        </w:rPr>
        <w:t xml:space="preserve"> </w:t>
      </w:r>
      <w:r>
        <w:t>to</w:t>
      </w:r>
      <w:r>
        <w:rPr>
          <w:spacing w:val="-4"/>
        </w:rPr>
        <w:t xml:space="preserve"> </w:t>
      </w:r>
      <w:r>
        <w:t>uptake</w:t>
      </w:r>
      <w:r>
        <w:rPr>
          <w:spacing w:val="-4"/>
        </w:rPr>
        <w:t xml:space="preserve"> </w:t>
      </w:r>
      <w:r>
        <w:t>of</w:t>
      </w:r>
      <w:r>
        <w:rPr>
          <w:spacing w:val="-6"/>
        </w:rPr>
        <w:t xml:space="preserve"> </w:t>
      </w:r>
      <w:r>
        <w:t>vaping</w:t>
      </w:r>
      <w:r>
        <w:rPr>
          <w:spacing w:val="-5"/>
        </w:rPr>
        <w:t xml:space="preserve"> </w:t>
      </w:r>
      <w:r>
        <w:t>among</w:t>
      </w:r>
      <w:r>
        <w:rPr>
          <w:spacing w:val="-7"/>
        </w:rPr>
        <w:t xml:space="preserve"> </w:t>
      </w:r>
      <w:r>
        <w:t>both</w:t>
      </w:r>
      <w:r>
        <w:rPr>
          <w:spacing w:val="-5"/>
        </w:rPr>
        <w:t xml:space="preserve"> </w:t>
      </w:r>
      <w:r>
        <w:t>LGBTQ</w:t>
      </w:r>
      <w:r>
        <w:rPr>
          <w:spacing w:val="-5"/>
        </w:rPr>
        <w:t xml:space="preserve"> </w:t>
      </w:r>
      <w:r>
        <w:t>and</w:t>
      </w:r>
      <w:r>
        <w:rPr>
          <w:spacing w:val="-5"/>
        </w:rPr>
        <w:t xml:space="preserve"> </w:t>
      </w:r>
      <w:r>
        <w:t>het- cis</w:t>
      </w:r>
      <w:r>
        <w:rPr>
          <w:spacing w:val="-9"/>
        </w:rPr>
        <w:t xml:space="preserve"> </w:t>
      </w:r>
      <w:r>
        <w:t>youth.</w:t>
      </w:r>
      <w:r>
        <w:rPr>
          <w:spacing w:val="-8"/>
        </w:rPr>
        <w:t xml:space="preserve"> </w:t>
      </w:r>
      <w:r>
        <w:t>The</w:t>
      </w:r>
      <w:r>
        <w:rPr>
          <w:spacing w:val="-8"/>
        </w:rPr>
        <w:t xml:space="preserve"> </w:t>
      </w:r>
      <w:r>
        <w:t>percentage</w:t>
      </w:r>
      <w:r>
        <w:rPr>
          <w:spacing w:val="-9"/>
        </w:rPr>
        <w:t xml:space="preserve"> </w:t>
      </w:r>
      <w:r>
        <w:t>of</w:t>
      </w:r>
      <w:r>
        <w:rPr>
          <w:spacing w:val="-10"/>
        </w:rPr>
        <w:t xml:space="preserve"> </w:t>
      </w:r>
      <w:r>
        <w:t>LGBTQ</w:t>
      </w:r>
      <w:r>
        <w:rPr>
          <w:spacing w:val="-8"/>
        </w:rPr>
        <w:t xml:space="preserve"> </w:t>
      </w:r>
      <w:r>
        <w:t>youth</w:t>
      </w:r>
      <w:r>
        <w:rPr>
          <w:spacing w:val="-9"/>
        </w:rPr>
        <w:t xml:space="preserve"> </w:t>
      </w:r>
      <w:r>
        <w:t>who</w:t>
      </w:r>
      <w:r>
        <w:rPr>
          <w:spacing w:val="-7"/>
        </w:rPr>
        <w:t xml:space="preserve"> </w:t>
      </w:r>
      <w:r>
        <w:t>smoked</w:t>
      </w:r>
      <w:r>
        <w:rPr>
          <w:spacing w:val="-9"/>
        </w:rPr>
        <w:t xml:space="preserve"> </w:t>
      </w:r>
      <w:r>
        <w:t>or</w:t>
      </w:r>
      <w:r>
        <w:rPr>
          <w:spacing w:val="-9"/>
        </w:rPr>
        <w:t xml:space="preserve"> </w:t>
      </w:r>
      <w:r>
        <w:t>vaped</w:t>
      </w:r>
      <w:r>
        <w:rPr>
          <w:spacing w:val="-8"/>
        </w:rPr>
        <w:t xml:space="preserve"> </w:t>
      </w:r>
      <w:r>
        <w:t>increased</w:t>
      </w:r>
      <w:r>
        <w:rPr>
          <w:spacing w:val="-9"/>
        </w:rPr>
        <w:t xml:space="preserve"> </w:t>
      </w:r>
      <w:r>
        <w:t>from</w:t>
      </w:r>
      <w:r>
        <w:rPr>
          <w:spacing w:val="-7"/>
        </w:rPr>
        <w:t xml:space="preserve"> </w:t>
      </w:r>
      <w:r>
        <w:t>22.0%</w:t>
      </w:r>
      <w:r>
        <w:rPr>
          <w:spacing w:val="-9"/>
        </w:rPr>
        <w:t xml:space="preserve"> </w:t>
      </w:r>
      <w:r>
        <w:t>to</w:t>
      </w:r>
      <w:r>
        <w:rPr>
          <w:spacing w:val="-8"/>
        </w:rPr>
        <w:t xml:space="preserve"> </w:t>
      </w:r>
      <w:r>
        <w:t>29.9%</w:t>
      </w:r>
      <w:r>
        <w:rPr>
          <w:spacing w:val="-9"/>
        </w:rPr>
        <w:t xml:space="preserve"> </w:t>
      </w:r>
      <w:r>
        <w:t xml:space="preserve">between 2017 and 2019; all of that increase is due to vaping, given that </w:t>
      </w:r>
      <w:r>
        <w:t>the prevalence of smoking remained unchanged. This is an important public health risk among youth in general, and tobacco control efforts need to focus on this new form of tobacco consumption.</w:t>
      </w: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10"/>
        </w:rPr>
      </w:pPr>
    </w:p>
    <w:tbl>
      <w:tblPr>
        <w:tblW w:w="0" w:type="auto"/>
        <w:tblInd w:w="1000" w:type="dxa"/>
        <w:tblBorders>
          <w:top w:val="single" w:sz="6" w:space="0" w:color="DFE3EB"/>
          <w:left w:val="single" w:sz="6" w:space="0" w:color="DFE3EB"/>
          <w:bottom w:val="single" w:sz="6" w:space="0" w:color="DFE3EB"/>
          <w:right w:val="single" w:sz="6" w:space="0" w:color="DFE3EB"/>
          <w:insideH w:val="single" w:sz="6" w:space="0" w:color="DFE3EB"/>
          <w:insideV w:val="single" w:sz="6" w:space="0" w:color="DFE3EB"/>
        </w:tblBorders>
        <w:tblLayout w:type="fixed"/>
        <w:tblCellMar>
          <w:left w:w="0" w:type="dxa"/>
          <w:right w:w="0" w:type="dxa"/>
        </w:tblCellMar>
        <w:tblLook w:val="01E0" w:firstRow="1" w:lastRow="1" w:firstColumn="1" w:lastColumn="1" w:noHBand="0" w:noVBand="0"/>
      </w:tblPr>
      <w:tblGrid>
        <w:gridCol w:w="623"/>
        <w:gridCol w:w="1959"/>
        <w:gridCol w:w="1959"/>
        <w:gridCol w:w="1960"/>
        <w:gridCol w:w="1959"/>
      </w:tblGrid>
      <w:tr w:rsidR="00C76E6D">
        <w:trPr>
          <w:trHeight w:val="480"/>
        </w:trPr>
        <w:tc>
          <w:tcPr>
            <w:tcW w:w="623" w:type="dxa"/>
            <w:tcBorders>
              <w:top w:val="nil"/>
              <w:left w:val="nil"/>
            </w:tcBorders>
          </w:tcPr>
          <w:p w:rsidR="00C76E6D" w:rsidRDefault="00C76E6D">
            <w:pPr>
              <w:pStyle w:val="TableParagraph"/>
              <w:rPr>
                <w:rFonts w:ascii="Times New Roman"/>
                <w:sz w:val="20"/>
              </w:rPr>
            </w:pPr>
          </w:p>
        </w:tc>
        <w:tc>
          <w:tcPr>
            <w:tcW w:w="1959" w:type="dxa"/>
          </w:tcPr>
          <w:p w:rsidR="00C76E6D" w:rsidRDefault="00913831">
            <w:pPr>
              <w:pStyle w:val="TableParagraph"/>
              <w:spacing w:before="122"/>
              <w:ind w:left="378" w:right="353"/>
              <w:jc w:val="center"/>
              <w:rPr>
                <w:sz w:val="18"/>
              </w:rPr>
            </w:pPr>
            <w:r>
              <w:rPr>
                <w:color w:val="44526A"/>
                <w:sz w:val="18"/>
              </w:rPr>
              <w:t>LGBTQ</w:t>
            </w:r>
            <w:r>
              <w:rPr>
                <w:color w:val="44526A"/>
                <w:spacing w:val="-7"/>
                <w:sz w:val="18"/>
              </w:rPr>
              <w:t xml:space="preserve"> </w:t>
            </w:r>
            <w:r>
              <w:rPr>
                <w:color w:val="44526A"/>
                <w:spacing w:val="-2"/>
                <w:sz w:val="18"/>
              </w:rPr>
              <w:t>Smoking</w:t>
            </w:r>
          </w:p>
        </w:tc>
        <w:tc>
          <w:tcPr>
            <w:tcW w:w="1959" w:type="dxa"/>
          </w:tcPr>
          <w:p w:rsidR="00C76E6D" w:rsidRDefault="00913831">
            <w:pPr>
              <w:pStyle w:val="TableParagraph"/>
              <w:spacing w:before="122"/>
              <w:ind w:left="378" w:right="357"/>
              <w:jc w:val="center"/>
              <w:rPr>
                <w:sz w:val="18"/>
              </w:rPr>
            </w:pPr>
            <w:r>
              <w:rPr>
                <w:color w:val="44526A"/>
                <w:sz w:val="18"/>
              </w:rPr>
              <w:t>Het-Cis</w:t>
            </w:r>
            <w:r>
              <w:rPr>
                <w:color w:val="44526A"/>
                <w:spacing w:val="-8"/>
                <w:sz w:val="18"/>
              </w:rPr>
              <w:t xml:space="preserve"> </w:t>
            </w:r>
            <w:r>
              <w:rPr>
                <w:color w:val="44526A"/>
                <w:spacing w:val="-2"/>
                <w:sz w:val="18"/>
              </w:rPr>
              <w:t>Smoking</w:t>
            </w:r>
          </w:p>
        </w:tc>
        <w:tc>
          <w:tcPr>
            <w:tcW w:w="1960" w:type="dxa"/>
          </w:tcPr>
          <w:p w:rsidR="00C76E6D" w:rsidRDefault="00913831">
            <w:pPr>
              <w:pStyle w:val="TableParagraph"/>
              <w:spacing w:before="12"/>
              <w:ind w:left="730" w:hanging="428"/>
              <w:rPr>
                <w:sz w:val="18"/>
              </w:rPr>
            </w:pPr>
            <w:r>
              <w:rPr>
                <w:color w:val="44526A"/>
                <w:spacing w:val="-2"/>
                <w:sz w:val="18"/>
              </w:rPr>
              <w:t>LGBTQ</w:t>
            </w:r>
            <w:r>
              <w:rPr>
                <w:color w:val="44526A"/>
                <w:spacing w:val="-11"/>
                <w:sz w:val="18"/>
              </w:rPr>
              <w:t xml:space="preserve"> </w:t>
            </w:r>
            <w:r>
              <w:rPr>
                <w:color w:val="44526A"/>
                <w:spacing w:val="-2"/>
                <w:sz w:val="18"/>
              </w:rPr>
              <w:t>Smoking</w:t>
            </w:r>
            <w:r>
              <w:rPr>
                <w:color w:val="44526A"/>
                <w:spacing w:val="-12"/>
                <w:sz w:val="18"/>
              </w:rPr>
              <w:t xml:space="preserve"> </w:t>
            </w:r>
            <w:r>
              <w:rPr>
                <w:color w:val="44526A"/>
                <w:spacing w:val="-2"/>
                <w:sz w:val="18"/>
              </w:rPr>
              <w:t>or</w:t>
            </w:r>
            <w:r>
              <w:rPr>
                <w:color w:val="44526A"/>
                <w:sz w:val="18"/>
              </w:rPr>
              <w:t xml:space="preserve"> </w:t>
            </w:r>
            <w:r>
              <w:rPr>
                <w:color w:val="44526A"/>
                <w:spacing w:val="-2"/>
                <w:sz w:val="18"/>
              </w:rPr>
              <w:t>Vaping</w:t>
            </w:r>
          </w:p>
        </w:tc>
        <w:tc>
          <w:tcPr>
            <w:tcW w:w="1959" w:type="dxa"/>
          </w:tcPr>
          <w:p w:rsidR="00C76E6D" w:rsidRDefault="00913831">
            <w:pPr>
              <w:pStyle w:val="TableParagraph"/>
              <w:spacing w:before="12"/>
              <w:ind w:left="727" w:hanging="443"/>
              <w:rPr>
                <w:sz w:val="18"/>
              </w:rPr>
            </w:pPr>
            <w:r>
              <w:rPr>
                <w:color w:val="44526A"/>
                <w:spacing w:val="-2"/>
                <w:sz w:val="18"/>
              </w:rPr>
              <w:t>Het-Cis</w:t>
            </w:r>
            <w:r>
              <w:rPr>
                <w:color w:val="44526A"/>
                <w:spacing w:val="-13"/>
                <w:sz w:val="18"/>
              </w:rPr>
              <w:t xml:space="preserve"> </w:t>
            </w:r>
            <w:r>
              <w:rPr>
                <w:color w:val="44526A"/>
                <w:spacing w:val="-2"/>
                <w:sz w:val="18"/>
              </w:rPr>
              <w:t>Smoking</w:t>
            </w:r>
            <w:r>
              <w:rPr>
                <w:color w:val="44526A"/>
                <w:spacing w:val="-11"/>
                <w:sz w:val="18"/>
              </w:rPr>
              <w:t xml:space="preserve"> </w:t>
            </w:r>
            <w:r>
              <w:rPr>
                <w:color w:val="44526A"/>
                <w:spacing w:val="-2"/>
                <w:sz w:val="18"/>
              </w:rPr>
              <w:t>or</w:t>
            </w:r>
            <w:r>
              <w:rPr>
                <w:color w:val="44526A"/>
                <w:sz w:val="18"/>
              </w:rPr>
              <w:t xml:space="preserve"> </w:t>
            </w:r>
            <w:r>
              <w:rPr>
                <w:color w:val="44526A"/>
                <w:spacing w:val="-2"/>
                <w:sz w:val="18"/>
              </w:rPr>
              <w:t>Vaping</w:t>
            </w:r>
          </w:p>
        </w:tc>
      </w:tr>
      <w:tr w:rsidR="00C76E6D">
        <w:trPr>
          <w:trHeight w:val="272"/>
        </w:trPr>
        <w:tc>
          <w:tcPr>
            <w:tcW w:w="623" w:type="dxa"/>
            <w:tcBorders>
              <w:left w:val="nil"/>
            </w:tcBorders>
          </w:tcPr>
          <w:p w:rsidR="00C76E6D" w:rsidRDefault="00913831">
            <w:pPr>
              <w:pStyle w:val="TableParagraph"/>
              <w:spacing w:before="12"/>
              <w:ind w:right="24"/>
              <w:jc w:val="right"/>
              <w:rPr>
                <w:sz w:val="18"/>
              </w:rPr>
            </w:pPr>
            <w:r>
              <w:rPr>
                <w:color w:val="44526A"/>
                <w:spacing w:val="-4"/>
                <w:sz w:val="18"/>
              </w:rPr>
              <w:t>2017</w:t>
            </w:r>
          </w:p>
        </w:tc>
        <w:tc>
          <w:tcPr>
            <w:tcW w:w="1959" w:type="dxa"/>
          </w:tcPr>
          <w:p w:rsidR="00C76E6D" w:rsidRDefault="00913831">
            <w:pPr>
              <w:pStyle w:val="TableParagraph"/>
              <w:spacing w:before="16"/>
              <w:ind w:left="378" w:right="346"/>
              <w:jc w:val="center"/>
              <w:rPr>
                <w:sz w:val="18"/>
              </w:rPr>
            </w:pPr>
            <w:r>
              <w:rPr>
                <w:color w:val="44526A"/>
                <w:spacing w:val="-5"/>
                <w:sz w:val="18"/>
              </w:rPr>
              <w:t>6.4</w:t>
            </w:r>
          </w:p>
        </w:tc>
        <w:tc>
          <w:tcPr>
            <w:tcW w:w="1959" w:type="dxa"/>
          </w:tcPr>
          <w:p w:rsidR="00C76E6D" w:rsidRDefault="00913831">
            <w:pPr>
              <w:pStyle w:val="TableParagraph"/>
              <w:spacing w:before="16"/>
              <w:ind w:left="378" w:right="349"/>
              <w:jc w:val="center"/>
              <w:rPr>
                <w:sz w:val="18"/>
              </w:rPr>
            </w:pPr>
            <w:r>
              <w:rPr>
                <w:color w:val="44526A"/>
                <w:spacing w:val="-5"/>
                <w:sz w:val="18"/>
              </w:rPr>
              <w:t>5.6</w:t>
            </w:r>
          </w:p>
        </w:tc>
        <w:tc>
          <w:tcPr>
            <w:tcW w:w="1960" w:type="dxa"/>
          </w:tcPr>
          <w:p w:rsidR="00C76E6D" w:rsidRDefault="00913831">
            <w:pPr>
              <w:pStyle w:val="TableParagraph"/>
              <w:spacing w:before="16"/>
              <w:ind w:left="807" w:right="788"/>
              <w:jc w:val="center"/>
              <w:rPr>
                <w:sz w:val="18"/>
              </w:rPr>
            </w:pPr>
            <w:r>
              <w:rPr>
                <w:color w:val="44526A"/>
                <w:spacing w:val="-5"/>
                <w:sz w:val="18"/>
              </w:rPr>
              <w:t>22</w:t>
            </w:r>
          </w:p>
        </w:tc>
        <w:tc>
          <w:tcPr>
            <w:tcW w:w="1959" w:type="dxa"/>
          </w:tcPr>
          <w:p w:rsidR="00C76E6D" w:rsidRDefault="00913831">
            <w:pPr>
              <w:pStyle w:val="TableParagraph"/>
              <w:spacing w:before="16"/>
              <w:ind w:left="378" w:right="357"/>
              <w:jc w:val="center"/>
              <w:rPr>
                <w:sz w:val="18"/>
              </w:rPr>
            </w:pPr>
            <w:r>
              <w:rPr>
                <w:color w:val="44526A"/>
                <w:spacing w:val="-4"/>
                <w:sz w:val="18"/>
              </w:rPr>
              <w:t>19.4</w:t>
            </w:r>
          </w:p>
        </w:tc>
      </w:tr>
      <w:tr w:rsidR="00C76E6D">
        <w:trPr>
          <w:trHeight w:val="271"/>
        </w:trPr>
        <w:tc>
          <w:tcPr>
            <w:tcW w:w="623" w:type="dxa"/>
          </w:tcPr>
          <w:p w:rsidR="00C76E6D" w:rsidRDefault="00913831">
            <w:pPr>
              <w:pStyle w:val="TableParagraph"/>
              <w:spacing w:before="10"/>
              <w:ind w:right="25"/>
              <w:jc w:val="right"/>
              <w:rPr>
                <w:sz w:val="18"/>
              </w:rPr>
            </w:pPr>
            <w:r>
              <w:rPr>
                <w:color w:val="44526A"/>
                <w:spacing w:val="-4"/>
                <w:sz w:val="18"/>
              </w:rPr>
              <w:t>2019</w:t>
            </w:r>
          </w:p>
        </w:tc>
        <w:tc>
          <w:tcPr>
            <w:tcW w:w="1959" w:type="dxa"/>
          </w:tcPr>
          <w:p w:rsidR="00C76E6D" w:rsidRDefault="00913831">
            <w:pPr>
              <w:pStyle w:val="TableParagraph"/>
              <w:spacing w:before="15"/>
              <w:ind w:left="378" w:right="346"/>
              <w:jc w:val="center"/>
              <w:rPr>
                <w:sz w:val="18"/>
              </w:rPr>
            </w:pPr>
            <w:r>
              <w:rPr>
                <w:color w:val="44526A"/>
                <w:spacing w:val="-5"/>
                <w:sz w:val="18"/>
              </w:rPr>
              <w:t>6.4</w:t>
            </w:r>
          </w:p>
        </w:tc>
        <w:tc>
          <w:tcPr>
            <w:tcW w:w="1959" w:type="dxa"/>
          </w:tcPr>
          <w:p w:rsidR="00C76E6D" w:rsidRDefault="00913831">
            <w:pPr>
              <w:pStyle w:val="TableParagraph"/>
              <w:spacing w:before="15"/>
              <w:ind w:left="378" w:right="349"/>
              <w:jc w:val="center"/>
              <w:rPr>
                <w:sz w:val="18"/>
              </w:rPr>
            </w:pPr>
            <w:r>
              <w:rPr>
                <w:color w:val="44526A"/>
                <w:spacing w:val="-5"/>
                <w:sz w:val="18"/>
              </w:rPr>
              <w:t>3.2</w:t>
            </w:r>
          </w:p>
        </w:tc>
        <w:tc>
          <w:tcPr>
            <w:tcW w:w="1960" w:type="dxa"/>
          </w:tcPr>
          <w:p w:rsidR="00C76E6D" w:rsidRDefault="00913831">
            <w:pPr>
              <w:pStyle w:val="TableParagraph"/>
              <w:spacing w:before="15"/>
              <w:ind w:left="813" w:right="788"/>
              <w:jc w:val="center"/>
              <w:rPr>
                <w:sz w:val="18"/>
              </w:rPr>
            </w:pPr>
            <w:r>
              <w:rPr>
                <w:color w:val="44526A"/>
                <w:spacing w:val="-4"/>
                <w:sz w:val="18"/>
              </w:rPr>
              <w:t>29.9</w:t>
            </w:r>
          </w:p>
        </w:tc>
        <w:tc>
          <w:tcPr>
            <w:tcW w:w="1959" w:type="dxa"/>
          </w:tcPr>
          <w:p w:rsidR="00C76E6D" w:rsidRDefault="00913831">
            <w:pPr>
              <w:pStyle w:val="TableParagraph"/>
              <w:spacing w:before="15"/>
              <w:ind w:left="378" w:right="357"/>
              <w:jc w:val="center"/>
              <w:rPr>
                <w:sz w:val="18"/>
              </w:rPr>
            </w:pPr>
            <w:r>
              <w:rPr>
                <w:color w:val="44526A"/>
                <w:spacing w:val="-4"/>
                <w:sz w:val="18"/>
              </w:rPr>
              <w:t>28.2</w:t>
            </w:r>
          </w:p>
        </w:tc>
      </w:tr>
    </w:tbl>
    <w:p w:rsidR="00C76E6D" w:rsidRDefault="00C76E6D">
      <w:pPr>
        <w:pStyle w:val="BodyText"/>
        <w:rPr>
          <w:sz w:val="20"/>
        </w:rPr>
      </w:pPr>
    </w:p>
    <w:p w:rsidR="00C76E6D" w:rsidRDefault="00C76E6D">
      <w:pPr>
        <w:pStyle w:val="BodyText"/>
        <w:spacing w:before="1"/>
        <w:rPr>
          <w:sz w:val="17"/>
        </w:rPr>
      </w:pPr>
    </w:p>
    <w:p w:rsidR="00C76E6D" w:rsidRDefault="00913831">
      <w:pPr>
        <w:pStyle w:val="BodyText"/>
        <w:spacing w:before="1" w:line="276" w:lineRule="auto"/>
        <w:ind w:left="478" w:right="475"/>
        <w:jc w:val="both"/>
      </w:pPr>
      <w:r>
        <w:pict>
          <v:group id="docshapegroup127" o:spid="_x0000_s1283" style="position:absolute;left:0;text-align:left;margin-left:80.55pt;margin-top:107.75pt;width:449.9pt;height:191.25pt;z-index:-21197824;mso-position-horizontal-relative:page" coordorigin="1611,2155" coordsize="8998,3825">
            <v:line id="_x0000_s1304" style="position:absolute" from="2742,3101" to="10382,3101" strokecolor="#dfe3eb"/>
            <v:shape id="docshape128" o:spid="_x0000_s1303" style="position:absolute;left:2741;top:4636;width:1763;height:2" coordorigin="2741,4637" coordsize="1763,0" o:spt="100" adj="0,,0" path="m2741,4637r235,m3448,4637r1056,e" filled="f" strokecolor="#dfe3eb">
              <v:stroke joinstyle="round"/>
              <v:formulas/>
              <v:path arrowok="t" o:connecttype="segments"/>
            </v:shape>
            <v:shape id="docshape129" o:spid="_x0000_s1302" type="#_x0000_t75" style="position:absolute;left:2977;top:4383;width:472;height:638">
              <v:imagedata r:id="rId59" o:title=""/>
            </v:shape>
            <v:shape id="docshape130" o:spid="_x0000_s1301" style="position:absolute;left:2741;top:4252;width:4820;height:384" coordorigin="2741,4253" coordsize="4820,384" o:spt="100" adj="0,,0" path="m4976,4637r2585,m2741,4253r1763,m4976,4253r2585,e" filled="f" strokecolor="#dfe3eb">
              <v:stroke joinstyle="round"/>
              <v:formulas/>
              <v:path arrowok="t" o:connecttype="segments"/>
            </v:shape>
            <v:shape id="docshape131" o:spid="_x0000_s1300" type="#_x0000_t75" style="position:absolute;left:4505;top:4106;width:472;height:915">
              <v:imagedata r:id="rId60" o:title=""/>
            </v:shape>
            <v:shape id="docshape132" o:spid="_x0000_s1299" type="#_x0000_t75" style="position:absolute;left:6033;top:4060;width:472;height:961">
              <v:imagedata r:id="rId61" o:title=""/>
            </v:shape>
            <v:shape id="docshape133" o:spid="_x0000_s1298" style="position:absolute;left:8033;top:4252;width:1057;height:384" coordorigin="8033,4253" coordsize="1057,384" o:spt="100" adj="0,,0" path="m8033,4637r1057,m8033,4253r1057,e" filled="f" strokecolor="#dfe3eb">
              <v:stroke joinstyle="round"/>
              <v:formulas/>
              <v:path arrowok="t" o:connecttype="segments"/>
            </v:shape>
            <v:shape id="docshape134" o:spid="_x0000_s1297" type="#_x0000_t75" style="position:absolute;left:7561;top:4060;width:472;height:961">
              <v:imagedata r:id="rId62" o:title=""/>
            </v:shape>
            <v:shape id="docshape135" o:spid="_x0000_s1296" style="position:absolute;left:2741;top:3868;width:7640;height:768" coordorigin="2741,3869" coordsize="7640,768" o:spt="100" adj="0,,0" path="m9560,4637r114,m9560,4253r821,m2741,3869r6348,m9560,3869r821,e" filled="f" strokecolor="#dfe3eb">
              <v:stroke joinstyle="round"/>
              <v:formulas/>
              <v:path arrowok="t" o:connecttype="segments"/>
            </v:shape>
            <v:shape id="docshape136" o:spid="_x0000_s1295" style="position:absolute;left:2741;top:3480;width:7640;height:8" coordorigin="2741,3481" coordsize="7640,8" o:spt="100" adj="0,,0" path="m2741,3489r7640,m2741,3481r7640,e" filled="f" strokecolor="#dfe3eb" strokeweight=".13933mm">
              <v:stroke joinstyle="round"/>
              <v:formulas/>
              <v:path arrowok="t" o:connecttype="segments"/>
            </v:shape>
            <v:shape id="docshape137" o:spid="_x0000_s1294" type="#_x0000_t75" style="position:absolute;left:9089;top:3484;width:472;height:1538">
              <v:imagedata r:id="rId63" o:title=""/>
            </v:shape>
            <v:shape id="docshape138" o:spid="_x0000_s1293" type="#_x0000_t75" style="position:absolute;left:3562;top:4652;width:472;height:369">
              <v:imagedata r:id="rId64" o:title=""/>
            </v:shape>
            <v:shape id="docshape139" o:spid="_x0000_s1292" type="#_x0000_t75" style="position:absolute;left:5090;top:4698;width:472;height:323">
              <v:imagedata r:id="rId65" o:title=""/>
            </v:shape>
            <v:shape id="docshape140" o:spid="_x0000_s1291" type="#_x0000_t75" style="position:absolute;left:6618;top:4690;width:472;height:331">
              <v:imagedata r:id="rId66" o:title=""/>
            </v:shape>
            <v:shape id="docshape141" o:spid="_x0000_s1290" type="#_x0000_t75" style="position:absolute;left:8146;top:4644;width:472;height:377">
              <v:imagedata r:id="rId67" o:title=""/>
            </v:shape>
            <v:line id="_x0000_s1289" style="position:absolute" from="10146,4637" to="10382,4637" strokecolor="#dfe3eb"/>
            <v:shape id="docshape142" o:spid="_x0000_s1288" type="#_x0000_t75" style="position:absolute;left:9674;top:4598;width:472;height:423">
              <v:imagedata r:id="rId68" o:title=""/>
            </v:shape>
            <v:shape id="docshape143" o:spid="_x0000_s1287" type="#_x0000_t75" style="position:absolute;left:2023;top:5674;width:99;height:99">
              <v:imagedata r:id="rId69" o:title=""/>
            </v:shape>
            <v:rect id="docshape144" o:spid="_x0000_s1286" style="position:absolute;left:1619;top:2162;width:8983;height:3810" filled="f" strokecolor="#dfe3eb"/>
            <v:shape id="docshape145" o:spid="_x0000_s1285" type="#_x0000_t202" style="position:absolute;left:3102;top:2371;width:6046;height:476" filled="f" stroked="f">
              <v:textbox inset="0,0,0,0">
                <w:txbxContent>
                  <w:p w:rsidR="00C76E6D" w:rsidRDefault="00913831">
                    <w:pPr>
                      <w:spacing w:line="217" w:lineRule="exact"/>
                      <w:ind w:left="29" w:right="47"/>
                      <w:jc w:val="center"/>
                      <w:rPr>
                        <w:b/>
                      </w:rPr>
                    </w:pPr>
                    <w:r>
                      <w:rPr>
                        <w:b/>
                        <w:color w:val="44526A"/>
                        <w:w w:val="95"/>
                      </w:rPr>
                      <w:t>Figure</w:t>
                    </w:r>
                    <w:r>
                      <w:rPr>
                        <w:b/>
                        <w:color w:val="44526A"/>
                        <w:spacing w:val="10"/>
                      </w:rPr>
                      <w:t xml:space="preserve"> </w:t>
                    </w:r>
                    <w:r>
                      <w:rPr>
                        <w:b/>
                        <w:color w:val="44526A"/>
                        <w:w w:val="95"/>
                      </w:rPr>
                      <w:t>5.</w:t>
                    </w:r>
                    <w:r>
                      <w:rPr>
                        <w:b/>
                        <w:color w:val="44526A"/>
                        <w:spacing w:val="16"/>
                      </w:rPr>
                      <w:t xml:space="preserve"> </w:t>
                    </w:r>
                    <w:r>
                      <w:rPr>
                        <w:b/>
                        <w:color w:val="44526A"/>
                        <w:w w:val="95"/>
                      </w:rPr>
                      <w:t>Percent</w:t>
                    </w:r>
                    <w:r>
                      <w:rPr>
                        <w:b/>
                        <w:color w:val="44526A"/>
                        <w:spacing w:val="15"/>
                      </w:rPr>
                      <w:t xml:space="preserve"> </w:t>
                    </w:r>
                    <w:r>
                      <w:rPr>
                        <w:b/>
                        <w:color w:val="44526A"/>
                        <w:w w:val="95"/>
                      </w:rPr>
                      <w:t>of</w:t>
                    </w:r>
                    <w:r>
                      <w:rPr>
                        <w:b/>
                        <w:color w:val="44526A"/>
                        <w:spacing w:val="13"/>
                      </w:rPr>
                      <w:t xml:space="preserve"> </w:t>
                    </w:r>
                    <w:r>
                      <w:rPr>
                        <w:b/>
                        <w:color w:val="44526A"/>
                        <w:w w:val="95"/>
                      </w:rPr>
                      <w:t>LGBTQ</w:t>
                    </w:r>
                    <w:r>
                      <w:rPr>
                        <w:b/>
                        <w:color w:val="44526A"/>
                        <w:spacing w:val="14"/>
                      </w:rPr>
                      <w:t xml:space="preserve"> </w:t>
                    </w:r>
                    <w:r>
                      <w:rPr>
                        <w:b/>
                        <w:color w:val="44526A"/>
                        <w:w w:val="95"/>
                      </w:rPr>
                      <w:t>and</w:t>
                    </w:r>
                    <w:r>
                      <w:rPr>
                        <w:b/>
                        <w:color w:val="44526A"/>
                        <w:spacing w:val="17"/>
                      </w:rPr>
                      <w:t xml:space="preserve"> </w:t>
                    </w:r>
                    <w:r>
                      <w:rPr>
                        <w:b/>
                        <w:color w:val="44526A"/>
                        <w:w w:val="95"/>
                      </w:rPr>
                      <w:t>Heterosexual-Cisgender</w:t>
                    </w:r>
                    <w:r>
                      <w:rPr>
                        <w:b/>
                        <w:color w:val="44526A"/>
                        <w:spacing w:val="20"/>
                      </w:rPr>
                      <w:t xml:space="preserve"> </w:t>
                    </w:r>
                    <w:r>
                      <w:rPr>
                        <w:b/>
                        <w:color w:val="44526A"/>
                        <w:w w:val="95"/>
                      </w:rPr>
                      <w:t>Youth</w:t>
                    </w:r>
                    <w:r>
                      <w:rPr>
                        <w:b/>
                        <w:color w:val="44526A"/>
                        <w:spacing w:val="14"/>
                      </w:rPr>
                      <w:t xml:space="preserve"> </w:t>
                    </w:r>
                    <w:r>
                      <w:rPr>
                        <w:b/>
                        <w:color w:val="44526A"/>
                        <w:spacing w:val="-5"/>
                        <w:w w:val="95"/>
                      </w:rPr>
                      <w:t>who</w:t>
                    </w:r>
                  </w:p>
                  <w:p w:rsidR="00C76E6D" w:rsidRDefault="00913831">
                    <w:pPr>
                      <w:spacing w:line="258" w:lineRule="exact"/>
                      <w:ind w:left="21" w:right="47"/>
                      <w:jc w:val="center"/>
                      <w:rPr>
                        <w:b/>
                      </w:rPr>
                    </w:pPr>
                    <w:r>
                      <w:rPr>
                        <w:b/>
                        <w:color w:val="44526A"/>
                        <w:spacing w:val="-2"/>
                      </w:rPr>
                      <w:t>Experienced</w:t>
                    </w:r>
                    <w:r>
                      <w:rPr>
                        <w:b/>
                        <w:color w:val="44526A"/>
                        <w:spacing w:val="-9"/>
                      </w:rPr>
                      <w:t xml:space="preserve"> </w:t>
                    </w:r>
                    <w:r>
                      <w:rPr>
                        <w:b/>
                        <w:color w:val="44526A"/>
                        <w:spacing w:val="-2"/>
                      </w:rPr>
                      <w:t>Dating</w:t>
                    </w:r>
                    <w:r>
                      <w:rPr>
                        <w:b/>
                        <w:color w:val="44526A"/>
                        <w:spacing w:val="-7"/>
                      </w:rPr>
                      <w:t xml:space="preserve"> </w:t>
                    </w:r>
                    <w:r>
                      <w:rPr>
                        <w:b/>
                        <w:color w:val="44526A"/>
                        <w:spacing w:val="-2"/>
                      </w:rPr>
                      <w:t>Violence</w:t>
                    </w:r>
                    <w:r>
                      <w:rPr>
                        <w:b/>
                        <w:color w:val="44526A"/>
                        <w:spacing w:val="-9"/>
                      </w:rPr>
                      <w:t xml:space="preserve"> </w:t>
                    </w:r>
                    <w:r>
                      <w:rPr>
                        <w:b/>
                        <w:color w:val="44526A"/>
                        <w:spacing w:val="-2"/>
                      </w:rPr>
                      <w:t>(2017-</w:t>
                    </w:r>
                    <w:r>
                      <w:rPr>
                        <w:b/>
                        <w:color w:val="44526A"/>
                        <w:spacing w:val="-4"/>
                      </w:rPr>
                      <w:t>2019)</w:t>
                    </w:r>
                  </w:p>
                </w:txbxContent>
              </v:textbox>
            </v:shape>
            <v:shape id="docshape146" o:spid="_x0000_s1284" type="#_x0000_t202" style="position:absolute;left:2391;top:3028;width:203;height:2091" filled="f" stroked="f">
              <v:textbox inset="0,0,0,0">
                <w:txbxContent>
                  <w:p w:rsidR="00C76E6D" w:rsidRDefault="00913831">
                    <w:pPr>
                      <w:spacing w:line="183" w:lineRule="exact"/>
                      <w:rPr>
                        <w:sz w:val="18"/>
                      </w:rPr>
                    </w:pPr>
                    <w:r>
                      <w:rPr>
                        <w:color w:val="44526A"/>
                        <w:spacing w:val="-5"/>
                        <w:sz w:val="18"/>
                      </w:rPr>
                      <w:t>25</w:t>
                    </w:r>
                  </w:p>
                  <w:p w:rsidR="00C76E6D" w:rsidRDefault="00913831">
                    <w:pPr>
                      <w:spacing w:before="153"/>
                      <w:rPr>
                        <w:sz w:val="18"/>
                      </w:rPr>
                    </w:pPr>
                    <w:r>
                      <w:rPr>
                        <w:color w:val="44526A"/>
                        <w:spacing w:val="-5"/>
                        <w:sz w:val="18"/>
                      </w:rPr>
                      <w:t>20</w:t>
                    </w:r>
                  </w:p>
                  <w:p w:rsidR="00C76E6D" w:rsidRDefault="00C76E6D">
                    <w:pPr>
                      <w:spacing w:before="4"/>
                      <w:rPr>
                        <w:sz w:val="13"/>
                      </w:rPr>
                    </w:pPr>
                  </w:p>
                  <w:p w:rsidR="00C76E6D" w:rsidRDefault="00913831">
                    <w:pPr>
                      <w:spacing w:before="1"/>
                      <w:rPr>
                        <w:sz w:val="18"/>
                      </w:rPr>
                    </w:pPr>
                    <w:r>
                      <w:rPr>
                        <w:color w:val="44526A"/>
                        <w:spacing w:val="-5"/>
                        <w:sz w:val="18"/>
                      </w:rPr>
                      <w:t>15</w:t>
                    </w:r>
                  </w:p>
                  <w:p w:rsidR="00C76E6D" w:rsidRDefault="00C76E6D">
                    <w:pPr>
                      <w:spacing w:before="5"/>
                      <w:rPr>
                        <w:sz w:val="13"/>
                      </w:rPr>
                    </w:pPr>
                  </w:p>
                  <w:p w:rsidR="00C76E6D" w:rsidRDefault="00913831">
                    <w:pPr>
                      <w:rPr>
                        <w:sz w:val="18"/>
                      </w:rPr>
                    </w:pPr>
                    <w:r>
                      <w:rPr>
                        <w:color w:val="44526A"/>
                        <w:spacing w:val="-5"/>
                        <w:sz w:val="18"/>
                      </w:rPr>
                      <w:t>10</w:t>
                    </w:r>
                  </w:p>
                  <w:p w:rsidR="00C76E6D" w:rsidRDefault="00C76E6D">
                    <w:pPr>
                      <w:spacing w:before="7"/>
                      <w:rPr>
                        <w:sz w:val="13"/>
                      </w:rPr>
                    </w:pPr>
                  </w:p>
                  <w:p w:rsidR="00C76E6D" w:rsidRDefault="00913831">
                    <w:pPr>
                      <w:ind w:left="91"/>
                      <w:rPr>
                        <w:sz w:val="18"/>
                      </w:rPr>
                    </w:pPr>
                    <w:r>
                      <w:rPr>
                        <w:color w:val="44526A"/>
                        <w:sz w:val="18"/>
                      </w:rPr>
                      <w:t>5</w:t>
                    </w:r>
                  </w:p>
                  <w:p w:rsidR="00C76E6D" w:rsidRDefault="00C76E6D">
                    <w:pPr>
                      <w:spacing w:before="7"/>
                      <w:rPr>
                        <w:sz w:val="13"/>
                      </w:rPr>
                    </w:pPr>
                  </w:p>
                  <w:p w:rsidR="00C76E6D" w:rsidRDefault="00913831">
                    <w:pPr>
                      <w:spacing w:line="216" w:lineRule="exact"/>
                      <w:ind w:left="91"/>
                      <w:rPr>
                        <w:sz w:val="18"/>
                      </w:rPr>
                    </w:pPr>
                    <w:r>
                      <w:rPr>
                        <w:color w:val="44526A"/>
                        <w:sz w:val="18"/>
                      </w:rPr>
                      <w:t>0</w:t>
                    </w:r>
                  </w:p>
                </w:txbxContent>
              </v:textbox>
            </v:shape>
            <w10:wrap anchorx="page"/>
          </v:group>
        </w:pict>
      </w:r>
      <w:r>
        <w:rPr>
          <w:noProof/>
        </w:rPr>
        <w:drawing>
          <wp:anchor distT="0" distB="0" distL="0" distR="0" simplePos="0" relativeHeight="15746048" behindDoc="0" locked="0" layoutInCell="1" allowOverlap="1">
            <wp:simplePos x="0" y="0"/>
            <wp:positionH relativeFrom="page">
              <wp:posOffset>1229996</wp:posOffset>
            </wp:positionH>
            <wp:positionV relativeFrom="paragraph">
              <wp:posOffset>-654586</wp:posOffset>
            </wp:positionV>
            <wp:extent cx="107948" cy="181519"/>
            <wp:effectExtent l="0" t="0" r="0" b="0"/>
            <wp:wrapNone/>
            <wp:docPr id="1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1.png"/>
                    <pic:cNvPicPr/>
                  </pic:nvPicPr>
                  <pic:blipFill>
                    <a:blip r:embed="rId70" cstate="print"/>
                    <a:stretch>
                      <a:fillRect/>
                    </a:stretch>
                  </pic:blipFill>
                  <pic:spPr>
                    <a:xfrm>
                      <a:off x="0" y="0"/>
                      <a:ext cx="107948" cy="181519"/>
                    </a:xfrm>
                    <a:prstGeom prst="rect">
                      <a:avLst/>
                    </a:prstGeom>
                  </pic:spPr>
                </pic:pic>
              </a:graphicData>
            </a:graphic>
          </wp:anchor>
        </w:drawing>
      </w:r>
      <w:r>
        <w:t>LGBTQ</w:t>
      </w:r>
      <w:r>
        <w:rPr>
          <w:spacing w:val="-2"/>
        </w:rPr>
        <w:t xml:space="preserve"> </w:t>
      </w:r>
      <w:r>
        <w:t>youth</w:t>
      </w:r>
      <w:r>
        <w:rPr>
          <w:spacing w:val="-1"/>
        </w:rPr>
        <w:t xml:space="preserve"> </w:t>
      </w:r>
      <w:r>
        <w:t>are</w:t>
      </w:r>
      <w:r>
        <w:rPr>
          <w:spacing w:val="-2"/>
        </w:rPr>
        <w:t xml:space="preserve"> </w:t>
      </w:r>
      <w:r>
        <w:t>more</w:t>
      </w:r>
      <w:r>
        <w:rPr>
          <w:spacing w:val="-2"/>
        </w:rPr>
        <w:t xml:space="preserve"> </w:t>
      </w:r>
      <w:r>
        <w:t>likely</w:t>
      </w:r>
      <w:r>
        <w:rPr>
          <w:spacing w:val="-1"/>
        </w:rPr>
        <w:t xml:space="preserve"> </w:t>
      </w:r>
      <w:r>
        <w:t>to</w:t>
      </w:r>
      <w:r>
        <w:rPr>
          <w:spacing w:val="-1"/>
        </w:rPr>
        <w:t xml:space="preserve"> </w:t>
      </w:r>
      <w:r>
        <w:t>experience</w:t>
      </w:r>
      <w:r>
        <w:rPr>
          <w:spacing w:val="-1"/>
        </w:rPr>
        <w:t xml:space="preserve"> </w:t>
      </w:r>
      <w:r>
        <w:t>dating</w:t>
      </w:r>
      <w:r>
        <w:rPr>
          <w:spacing w:val="-2"/>
        </w:rPr>
        <w:t xml:space="preserve"> </w:t>
      </w:r>
      <w:r>
        <w:t>violence</w:t>
      </w:r>
      <w:r>
        <w:rPr>
          <w:spacing w:val="-2"/>
        </w:rPr>
        <w:t xml:space="preserve"> </w:t>
      </w:r>
      <w:r>
        <w:t>overall, which</w:t>
      </w:r>
      <w:r>
        <w:rPr>
          <w:spacing w:val="-1"/>
        </w:rPr>
        <w:t xml:space="preserve"> </w:t>
      </w:r>
      <w:r>
        <w:t>the</w:t>
      </w:r>
      <w:r>
        <w:rPr>
          <w:spacing w:val="-2"/>
        </w:rPr>
        <w:t xml:space="preserve"> </w:t>
      </w:r>
      <w:r>
        <w:t>Centers</w:t>
      </w:r>
      <w:r>
        <w:rPr>
          <w:spacing w:val="-1"/>
        </w:rPr>
        <w:t xml:space="preserve"> </w:t>
      </w:r>
      <w:r>
        <w:t>on</w:t>
      </w:r>
      <w:r>
        <w:rPr>
          <w:spacing w:val="-2"/>
        </w:rPr>
        <w:t xml:space="preserve"> </w:t>
      </w:r>
      <w:r>
        <w:t>Disease</w:t>
      </w:r>
      <w:r>
        <w:rPr>
          <w:spacing w:val="-3"/>
        </w:rPr>
        <w:t xml:space="preserve"> </w:t>
      </w:r>
      <w:r>
        <w:t>Control and Prevention defines as “being physically hurt on purpose (counting such things as being it, slammed into</w:t>
      </w:r>
      <w:r>
        <w:rPr>
          <w:spacing w:val="-5"/>
        </w:rPr>
        <w:t xml:space="preserve"> </w:t>
      </w:r>
      <w:r>
        <w:t>something,</w:t>
      </w:r>
      <w:r>
        <w:rPr>
          <w:spacing w:val="-5"/>
        </w:rPr>
        <w:t xml:space="preserve"> </w:t>
      </w:r>
      <w:r>
        <w:t>or</w:t>
      </w:r>
      <w:r>
        <w:rPr>
          <w:spacing w:val="-4"/>
        </w:rPr>
        <w:t xml:space="preserve"> </w:t>
      </w:r>
      <w:r>
        <w:t>injured</w:t>
      </w:r>
      <w:r>
        <w:rPr>
          <w:spacing w:val="-4"/>
        </w:rPr>
        <w:t xml:space="preserve"> </w:t>
      </w:r>
      <w:r>
        <w:t>with</w:t>
      </w:r>
      <w:r>
        <w:rPr>
          <w:spacing w:val="-4"/>
        </w:rPr>
        <w:t xml:space="preserve"> </w:t>
      </w:r>
      <w:r>
        <w:t>an</w:t>
      </w:r>
      <w:r>
        <w:rPr>
          <w:spacing w:val="-6"/>
        </w:rPr>
        <w:t xml:space="preserve"> </w:t>
      </w:r>
      <w:r>
        <w:t>object</w:t>
      </w:r>
      <w:r>
        <w:rPr>
          <w:spacing w:val="-6"/>
        </w:rPr>
        <w:t xml:space="preserve"> </w:t>
      </w:r>
      <w:r>
        <w:t>or</w:t>
      </w:r>
      <w:r>
        <w:rPr>
          <w:spacing w:val="-5"/>
        </w:rPr>
        <w:t xml:space="preserve"> </w:t>
      </w:r>
      <w:r>
        <w:t>a</w:t>
      </w:r>
      <w:r>
        <w:rPr>
          <w:spacing w:val="-4"/>
        </w:rPr>
        <w:t xml:space="preserve"> </w:t>
      </w:r>
      <w:r>
        <w:t>weapon)</w:t>
      </w:r>
      <w:r>
        <w:rPr>
          <w:spacing w:val="-5"/>
        </w:rPr>
        <w:t xml:space="preserve"> </w:t>
      </w:r>
      <w:r>
        <w:t>by</w:t>
      </w:r>
      <w:r>
        <w:rPr>
          <w:spacing w:val="-4"/>
        </w:rPr>
        <w:t xml:space="preserve"> </w:t>
      </w:r>
      <w:r>
        <w:t>someone</w:t>
      </w:r>
      <w:r>
        <w:rPr>
          <w:spacing w:val="-5"/>
        </w:rPr>
        <w:t xml:space="preserve"> </w:t>
      </w:r>
      <w:r>
        <w:t>they</w:t>
      </w:r>
      <w:r>
        <w:rPr>
          <w:spacing w:val="-4"/>
        </w:rPr>
        <w:t xml:space="preserve"> </w:t>
      </w:r>
      <w:r>
        <w:t>were</w:t>
      </w:r>
      <w:r>
        <w:rPr>
          <w:spacing w:val="-4"/>
        </w:rPr>
        <w:t xml:space="preserve"> </w:t>
      </w:r>
      <w:r>
        <w:t>dating</w:t>
      </w:r>
      <w:r>
        <w:rPr>
          <w:spacing w:val="-6"/>
        </w:rPr>
        <w:t xml:space="preserve"> </w:t>
      </w:r>
      <w:r>
        <w:t>or</w:t>
      </w:r>
      <w:r>
        <w:rPr>
          <w:spacing w:val="-4"/>
        </w:rPr>
        <w:t xml:space="preserve"> </w:t>
      </w:r>
      <w:r>
        <w:t>going</w:t>
      </w:r>
      <w:r>
        <w:rPr>
          <w:spacing w:val="-4"/>
        </w:rPr>
        <w:t xml:space="preserve"> </w:t>
      </w:r>
      <w:r>
        <w:t>out</w:t>
      </w:r>
      <w:r>
        <w:rPr>
          <w:spacing w:val="-6"/>
        </w:rPr>
        <w:t xml:space="preserve"> </w:t>
      </w:r>
      <w:r>
        <w:t>with.”</w:t>
      </w:r>
      <w:hyperlink w:anchor="_bookmark8" w:history="1">
        <w:r>
          <w:rPr>
            <w:vertAlign w:val="superscript"/>
          </w:rPr>
          <w:t>1</w:t>
        </w:r>
      </w:hyperlink>
      <w:r>
        <w:t xml:space="preserve"> Among LGBTQ youth, multiethnic youth are the mostly likely by far, with 20% reporting it (see Figure 5). Asian,</w:t>
      </w:r>
      <w:r>
        <w:rPr>
          <w:spacing w:val="-11"/>
        </w:rPr>
        <w:t xml:space="preserve"> </w:t>
      </w:r>
      <w:r>
        <w:t>Black,</w:t>
      </w:r>
      <w:r>
        <w:rPr>
          <w:spacing w:val="-11"/>
        </w:rPr>
        <w:t xml:space="preserve"> </w:t>
      </w:r>
      <w:r>
        <w:t>and</w:t>
      </w:r>
      <w:r>
        <w:rPr>
          <w:spacing w:val="-11"/>
        </w:rPr>
        <w:t xml:space="preserve"> </w:t>
      </w:r>
      <w:r>
        <w:t>Hispanic/Latinx</w:t>
      </w:r>
      <w:r>
        <w:rPr>
          <w:spacing w:val="-12"/>
        </w:rPr>
        <w:t xml:space="preserve"> </w:t>
      </w:r>
      <w:r>
        <w:t>LGBTQ</w:t>
      </w:r>
      <w:r>
        <w:rPr>
          <w:spacing w:val="-9"/>
        </w:rPr>
        <w:t xml:space="preserve"> </w:t>
      </w:r>
      <w:r>
        <w:t>youth</w:t>
      </w:r>
      <w:r>
        <w:rPr>
          <w:spacing w:val="-11"/>
        </w:rPr>
        <w:t xml:space="preserve"> </w:t>
      </w:r>
      <w:r>
        <w:t>are</w:t>
      </w:r>
      <w:r>
        <w:rPr>
          <w:spacing w:val="-11"/>
        </w:rPr>
        <w:t xml:space="preserve"> </w:t>
      </w:r>
      <w:r>
        <w:t>about</w:t>
      </w:r>
      <w:r>
        <w:rPr>
          <w:spacing w:val="-12"/>
        </w:rPr>
        <w:t xml:space="preserve"> </w:t>
      </w:r>
      <w:r>
        <w:t>equally</w:t>
      </w:r>
      <w:r>
        <w:rPr>
          <w:spacing w:val="-10"/>
        </w:rPr>
        <w:t xml:space="preserve"> </w:t>
      </w:r>
      <w:r>
        <w:t>likely</w:t>
      </w:r>
      <w:r>
        <w:rPr>
          <w:spacing w:val="-11"/>
        </w:rPr>
        <w:t xml:space="preserve"> </w:t>
      </w:r>
      <w:r>
        <w:t>to</w:t>
      </w:r>
      <w:r>
        <w:rPr>
          <w:spacing w:val="-11"/>
        </w:rPr>
        <w:t xml:space="preserve"> </w:t>
      </w:r>
      <w:r>
        <w:t>report</w:t>
      </w:r>
      <w:r>
        <w:rPr>
          <w:spacing w:val="-9"/>
        </w:rPr>
        <w:t xml:space="preserve"> </w:t>
      </w:r>
      <w:r>
        <w:t>experiencing</w:t>
      </w:r>
      <w:r>
        <w:rPr>
          <w:spacing w:val="-9"/>
        </w:rPr>
        <w:t xml:space="preserve"> </w:t>
      </w:r>
      <w:r>
        <w:t>it,</w:t>
      </w:r>
      <w:r>
        <w:rPr>
          <w:spacing w:val="-11"/>
        </w:rPr>
        <w:t xml:space="preserve"> </w:t>
      </w:r>
      <w:r>
        <w:t>at</w:t>
      </w:r>
      <w:r>
        <w:rPr>
          <w:spacing w:val="-12"/>
        </w:rPr>
        <w:t xml:space="preserve"> </w:t>
      </w:r>
      <w:r>
        <w:t>around 12%, and White LGBTQ youth are least likely to report it (8.3%).</w:t>
      </w: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10"/>
        <w:rPr>
          <w:sz w:val="18"/>
        </w:rPr>
      </w:pPr>
    </w:p>
    <w:tbl>
      <w:tblPr>
        <w:tblW w:w="0" w:type="auto"/>
        <w:tblInd w:w="1006" w:type="dxa"/>
        <w:tblBorders>
          <w:top w:val="single" w:sz="6" w:space="0" w:color="DFE3EB"/>
          <w:left w:val="single" w:sz="6" w:space="0" w:color="DFE3EB"/>
          <w:bottom w:val="single" w:sz="6" w:space="0" w:color="DFE3EB"/>
          <w:right w:val="single" w:sz="6" w:space="0" w:color="DFE3EB"/>
          <w:insideH w:val="single" w:sz="6" w:space="0" w:color="DFE3EB"/>
          <w:insideV w:val="single" w:sz="6" w:space="0" w:color="DFE3EB"/>
        </w:tblBorders>
        <w:tblLayout w:type="fixed"/>
        <w:tblCellMar>
          <w:left w:w="0" w:type="dxa"/>
          <w:right w:w="0" w:type="dxa"/>
        </w:tblCellMar>
        <w:tblLook w:val="01E0" w:firstRow="1" w:lastRow="1" w:firstColumn="1" w:lastColumn="1" w:noHBand="0" w:noVBand="0"/>
      </w:tblPr>
      <w:tblGrid>
        <w:gridCol w:w="790"/>
        <w:gridCol w:w="1527"/>
        <w:gridCol w:w="1527"/>
        <w:gridCol w:w="1527"/>
        <w:gridCol w:w="1527"/>
        <w:gridCol w:w="1521"/>
      </w:tblGrid>
      <w:tr w:rsidR="00C76E6D">
        <w:trPr>
          <w:trHeight w:val="261"/>
        </w:trPr>
        <w:tc>
          <w:tcPr>
            <w:tcW w:w="790" w:type="dxa"/>
            <w:tcBorders>
              <w:top w:val="nil"/>
              <w:left w:val="nil"/>
            </w:tcBorders>
          </w:tcPr>
          <w:p w:rsidR="00C76E6D" w:rsidRDefault="00C76E6D">
            <w:pPr>
              <w:pStyle w:val="TableParagraph"/>
              <w:rPr>
                <w:rFonts w:ascii="Times New Roman"/>
                <w:sz w:val="18"/>
              </w:rPr>
            </w:pPr>
          </w:p>
        </w:tc>
        <w:tc>
          <w:tcPr>
            <w:tcW w:w="1527" w:type="dxa"/>
          </w:tcPr>
          <w:p w:rsidR="00C76E6D" w:rsidRDefault="00913831">
            <w:pPr>
              <w:pStyle w:val="TableParagraph"/>
              <w:spacing w:before="12"/>
              <w:ind w:left="299" w:right="283"/>
              <w:jc w:val="center"/>
              <w:rPr>
                <w:sz w:val="18"/>
              </w:rPr>
            </w:pPr>
            <w:r>
              <w:rPr>
                <w:color w:val="44526A"/>
                <w:spacing w:val="-2"/>
                <w:sz w:val="18"/>
              </w:rPr>
              <w:t>White</w:t>
            </w:r>
          </w:p>
        </w:tc>
        <w:tc>
          <w:tcPr>
            <w:tcW w:w="1527" w:type="dxa"/>
          </w:tcPr>
          <w:p w:rsidR="00C76E6D" w:rsidRDefault="00913831">
            <w:pPr>
              <w:pStyle w:val="TableParagraph"/>
              <w:spacing w:before="12"/>
              <w:ind w:left="298" w:right="283"/>
              <w:jc w:val="center"/>
              <w:rPr>
                <w:sz w:val="18"/>
              </w:rPr>
            </w:pPr>
            <w:r>
              <w:rPr>
                <w:color w:val="44526A"/>
                <w:spacing w:val="-2"/>
                <w:sz w:val="18"/>
              </w:rPr>
              <w:t>Black</w:t>
            </w:r>
          </w:p>
        </w:tc>
        <w:tc>
          <w:tcPr>
            <w:tcW w:w="1527" w:type="dxa"/>
          </w:tcPr>
          <w:p w:rsidR="00C76E6D" w:rsidRDefault="00913831">
            <w:pPr>
              <w:pStyle w:val="TableParagraph"/>
              <w:spacing w:before="12"/>
              <w:ind w:left="303" w:right="283"/>
              <w:jc w:val="center"/>
              <w:rPr>
                <w:sz w:val="18"/>
              </w:rPr>
            </w:pPr>
            <w:r>
              <w:rPr>
                <w:color w:val="44526A"/>
                <w:spacing w:val="-2"/>
                <w:sz w:val="18"/>
              </w:rPr>
              <w:t>Hispanic</w:t>
            </w:r>
          </w:p>
        </w:tc>
        <w:tc>
          <w:tcPr>
            <w:tcW w:w="1527" w:type="dxa"/>
          </w:tcPr>
          <w:p w:rsidR="00C76E6D" w:rsidRDefault="00913831">
            <w:pPr>
              <w:pStyle w:val="TableParagraph"/>
              <w:spacing w:before="12"/>
              <w:ind w:left="568"/>
              <w:rPr>
                <w:sz w:val="18"/>
              </w:rPr>
            </w:pPr>
            <w:r>
              <w:rPr>
                <w:color w:val="44526A"/>
                <w:spacing w:val="-2"/>
                <w:sz w:val="18"/>
              </w:rPr>
              <w:t>Asian</w:t>
            </w:r>
          </w:p>
        </w:tc>
        <w:tc>
          <w:tcPr>
            <w:tcW w:w="1521" w:type="dxa"/>
          </w:tcPr>
          <w:p w:rsidR="00C76E6D" w:rsidRDefault="00913831">
            <w:pPr>
              <w:pStyle w:val="TableParagraph"/>
              <w:spacing w:before="12"/>
              <w:ind w:left="319" w:right="281"/>
              <w:jc w:val="center"/>
              <w:rPr>
                <w:sz w:val="18"/>
              </w:rPr>
            </w:pPr>
            <w:r>
              <w:rPr>
                <w:color w:val="44526A"/>
                <w:spacing w:val="-4"/>
                <w:sz w:val="18"/>
              </w:rPr>
              <w:t>Multi-</w:t>
            </w:r>
            <w:r>
              <w:rPr>
                <w:color w:val="44526A"/>
                <w:spacing w:val="-2"/>
                <w:sz w:val="18"/>
              </w:rPr>
              <w:t>Ethnic</w:t>
            </w:r>
          </w:p>
        </w:tc>
      </w:tr>
      <w:tr w:rsidR="00C76E6D">
        <w:trPr>
          <w:trHeight w:val="271"/>
        </w:trPr>
        <w:tc>
          <w:tcPr>
            <w:tcW w:w="790" w:type="dxa"/>
            <w:tcBorders>
              <w:left w:val="nil"/>
            </w:tcBorders>
          </w:tcPr>
          <w:p w:rsidR="00C76E6D" w:rsidRDefault="00913831">
            <w:pPr>
              <w:pStyle w:val="TableParagraph"/>
              <w:spacing w:before="11"/>
              <w:ind w:right="62"/>
              <w:jc w:val="right"/>
              <w:rPr>
                <w:sz w:val="18"/>
              </w:rPr>
            </w:pPr>
            <w:r>
              <w:rPr>
                <w:color w:val="44526A"/>
                <w:spacing w:val="-2"/>
                <w:sz w:val="18"/>
              </w:rPr>
              <w:t>LGBTQ</w:t>
            </w:r>
          </w:p>
        </w:tc>
        <w:tc>
          <w:tcPr>
            <w:tcW w:w="1527" w:type="dxa"/>
          </w:tcPr>
          <w:p w:rsidR="00C76E6D" w:rsidRDefault="00913831">
            <w:pPr>
              <w:pStyle w:val="TableParagraph"/>
              <w:spacing w:before="16"/>
              <w:ind w:left="305" w:right="283"/>
              <w:jc w:val="center"/>
              <w:rPr>
                <w:sz w:val="18"/>
              </w:rPr>
            </w:pPr>
            <w:r>
              <w:rPr>
                <w:color w:val="44526A"/>
                <w:spacing w:val="-5"/>
                <w:sz w:val="18"/>
              </w:rPr>
              <w:t>8.3</w:t>
            </w:r>
          </w:p>
        </w:tc>
        <w:tc>
          <w:tcPr>
            <w:tcW w:w="1527" w:type="dxa"/>
          </w:tcPr>
          <w:p w:rsidR="00C76E6D" w:rsidRDefault="00913831">
            <w:pPr>
              <w:pStyle w:val="TableParagraph"/>
              <w:spacing w:before="16"/>
              <w:ind w:left="305" w:right="283"/>
              <w:jc w:val="center"/>
              <w:rPr>
                <w:sz w:val="18"/>
              </w:rPr>
            </w:pPr>
            <w:r>
              <w:rPr>
                <w:color w:val="44526A"/>
                <w:spacing w:val="-4"/>
                <w:sz w:val="18"/>
              </w:rPr>
              <w:t>11.9</w:t>
            </w:r>
          </w:p>
        </w:tc>
        <w:tc>
          <w:tcPr>
            <w:tcW w:w="1527" w:type="dxa"/>
          </w:tcPr>
          <w:p w:rsidR="00C76E6D" w:rsidRDefault="00913831">
            <w:pPr>
              <w:pStyle w:val="TableParagraph"/>
              <w:spacing w:before="16"/>
              <w:ind w:left="308" w:right="283"/>
              <w:jc w:val="center"/>
              <w:rPr>
                <w:sz w:val="18"/>
              </w:rPr>
            </w:pPr>
            <w:r>
              <w:rPr>
                <w:color w:val="44526A"/>
                <w:spacing w:val="-4"/>
                <w:sz w:val="18"/>
              </w:rPr>
              <w:t>12.5</w:t>
            </w:r>
          </w:p>
        </w:tc>
        <w:tc>
          <w:tcPr>
            <w:tcW w:w="1527" w:type="dxa"/>
          </w:tcPr>
          <w:p w:rsidR="00C76E6D" w:rsidRDefault="00913831">
            <w:pPr>
              <w:pStyle w:val="TableParagraph"/>
              <w:spacing w:before="16"/>
              <w:ind w:left="606"/>
              <w:rPr>
                <w:sz w:val="18"/>
              </w:rPr>
            </w:pPr>
            <w:r>
              <w:rPr>
                <w:color w:val="44526A"/>
                <w:spacing w:val="-4"/>
                <w:sz w:val="18"/>
              </w:rPr>
              <w:t>12.5</w:t>
            </w:r>
          </w:p>
        </w:tc>
        <w:tc>
          <w:tcPr>
            <w:tcW w:w="1521" w:type="dxa"/>
          </w:tcPr>
          <w:p w:rsidR="00C76E6D" w:rsidRDefault="00913831">
            <w:pPr>
              <w:pStyle w:val="TableParagraph"/>
              <w:spacing w:before="16"/>
              <w:ind w:left="316" w:right="281"/>
              <w:jc w:val="center"/>
              <w:rPr>
                <w:sz w:val="18"/>
              </w:rPr>
            </w:pPr>
            <w:r>
              <w:rPr>
                <w:color w:val="44526A"/>
                <w:spacing w:val="-5"/>
                <w:sz w:val="18"/>
              </w:rPr>
              <w:t>20</w:t>
            </w:r>
          </w:p>
        </w:tc>
      </w:tr>
      <w:tr w:rsidR="00C76E6D">
        <w:trPr>
          <w:trHeight w:val="273"/>
        </w:trPr>
        <w:tc>
          <w:tcPr>
            <w:tcW w:w="790" w:type="dxa"/>
          </w:tcPr>
          <w:p w:rsidR="00C76E6D" w:rsidRDefault="00913831">
            <w:pPr>
              <w:pStyle w:val="TableParagraph"/>
              <w:spacing w:before="11"/>
              <w:ind w:right="32"/>
              <w:jc w:val="right"/>
              <w:rPr>
                <w:sz w:val="18"/>
              </w:rPr>
            </w:pPr>
            <w:r>
              <w:rPr>
                <w:color w:val="44526A"/>
                <w:spacing w:val="-4"/>
                <w:sz w:val="18"/>
              </w:rPr>
              <w:t>Het-</w:t>
            </w:r>
            <w:r>
              <w:rPr>
                <w:color w:val="44526A"/>
                <w:spacing w:val="-5"/>
                <w:sz w:val="18"/>
              </w:rPr>
              <w:t>Cis</w:t>
            </w:r>
          </w:p>
        </w:tc>
        <w:tc>
          <w:tcPr>
            <w:tcW w:w="1527" w:type="dxa"/>
          </w:tcPr>
          <w:p w:rsidR="00C76E6D" w:rsidRDefault="00913831">
            <w:pPr>
              <w:pStyle w:val="TableParagraph"/>
              <w:spacing w:before="17"/>
              <w:ind w:left="305" w:right="283"/>
              <w:jc w:val="center"/>
              <w:rPr>
                <w:sz w:val="18"/>
              </w:rPr>
            </w:pPr>
            <w:r>
              <w:rPr>
                <w:color w:val="44526A"/>
                <w:spacing w:val="-5"/>
                <w:sz w:val="18"/>
              </w:rPr>
              <w:t>4.8</w:t>
            </w:r>
          </w:p>
        </w:tc>
        <w:tc>
          <w:tcPr>
            <w:tcW w:w="1527" w:type="dxa"/>
          </w:tcPr>
          <w:p w:rsidR="00C76E6D" w:rsidRDefault="00913831">
            <w:pPr>
              <w:pStyle w:val="TableParagraph"/>
              <w:spacing w:before="17"/>
              <w:ind w:left="306" w:right="283"/>
              <w:jc w:val="center"/>
              <w:rPr>
                <w:sz w:val="18"/>
              </w:rPr>
            </w:pPr>
            <w:r>
              <w:rPr>
                <w:color w:val="44526A"/>
                <w:spacing w:val="-5"/>
                <w:sz w:val="18"/>
              </w:rPr>
              <w:t>4.2</w:t>
            </w:r>
          </w:p>
        </w:tc>
        <w:tc>
          <w:tcPr>
            <w:tcW w:w="1527" w:type="dxa"/>
          </w:tcPr>
          <w:p w:rsidR="00C76E6D" w:rsidRDefault="00913831">
            <w:pPr>
              <w:pStyle w:val="TableParagraph"/>
              <w:spacing w:before="17"/>
              <w:ind w:left="309" w:right="283"/>
              <w:jc w:val="center"/>
              <w:rPr>
                <w:sz w:val="18"/>
              </w:rPr>
            </w:pPr>
            <w:r>
              <w:rPr>
                <w:color w:val="44526A"/>
                <w:spacing w:val="-5"/>
                <w:sz w:val="18"/>
              </w:rPr>
              <w:t>4.3</w:t>
            </w:r>
          </w:p>
        </w:tc>
        <w:tc>
          <w:tcPr>
            <w:tcW w:w="1527" w:type="dxa"/>
          </w:tcPr>
          <w:p w:rsidR="00C76E6D" w:rsidRDefault="00913831">
            <w:pPr>
              <w:pStyle w:val="TableParagraph"/>
              <w:spacing w:before="17"/>
              <w:ind w:left="653"/>
              <w:rPr>
                <w:sz w:val="18"/>
              </w:rPr>
            </w:pPr>
            <w:r>
              <w:rPr>
                <w:color w:val="44526A"/>
                <w:spacing w:val="-5"/>
                <w:sz w:val="18"/>
              </w:rPr>
              <w:t>4.9</w:t>
            </w:r>
          </w:p>
        </w:tc>
        <w:tc>
          <w:tcPr>
            <w:tcW w:w="1521" w:type="dxa"/>
          </w:tcPr>
          <w:p w:rsidR="00C76E6D" w:rsidRDefault="00913831">
            <w:pPr>
              <w:pStyle w:val="TableParagraph"/>
              <w:spacing w:before="17"/>
              <w:ind w:left="319" w:right="277"/>
              <w:jc w:val="center"/>
              <w:rPr>
                <w:sz w:val="18"/>
              </w:rPr>
            </w:pPr>
            <w:r>
              <w:rPr>
                <w:color w:val="44526A"/>
                <w:spacing w:val="-5"/>
                <w:sz w:val="18"/>
              </w:rPr>
              <w:t>5.5</w:t>
            </w:r>
          </w:p>
        </w:tc>
      </w:tr>
    </w:tbl>
    <w:p w:rsidR="00C76E6D" w:rsidRDefault="00C76E6D">
      <w:pPr>
        <w:jc w:val="center"/>
        <w:rPr>
          <w:sz w:val="18"/>
        </w:rPr>
        <w:sectPr w:rsidR="00C76E6D">
          <w:pgSz w:w="12240" w:h="15840"/>
          <w:pgMar w:top="1000" w:right="960" w:bottom="1060" w:left="960" w:header="779" w:footer="864" w:gutter="0"/>
          <w:cols w:space="720"/>
        </w:sectPr>
      </w:pPr>
    </w:p>
    <w:p w:rsidR="00C76E6D" w:rsidRDefault="00913831">
      <w:pPr>
        <w:pStyle w:val="BodyText"/>
        <w:spacing w:before="4"/>
        <w:rPr>
          <w:sz w:val="28"/>
        </w:rPr>
      </w:pPr>
      <w:r>
        <w:rPr>
          <w:noProof/>
        </w:rPr>
        <w:lastRenderedPageBreak/>
        <w:drawing>
          <wp:anchor distT="0" distB="0" distL="0" distR="0" simplePos="0" relativeHeight="15748096" behindDoc="0" locked="0" layoutInCell="1" allowOverlap="1">
            <wp:simplePos x="0" y="0"/>
            <wp:positionH relativeFrom="page">
              <wp:posOffset>1124584</wp:posOffset>
            </wp:positionH>
            <wp:positionV relativeFrom="page">
              <wp:posOffset>8155302</wp:posOffset>
            </wp:positionV>
            <wp:extent cx="108584" cy="182880"/>
            <wp:effectExtent l="0" t="0" r="0" b="0"/>
            <wp:wrapNone/>
            <wp:docPr id="1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1.png"/>
                    <pic:cNvPicPr/>
                  </pic:nvPicPr>
                  <pic:blipFill>
                    <a:blip r:embed="rId70" cstate="print"/>
                    <a:stretch>
                      <a:fillRect/>
                    </a:stretch>
                  </pic:blipFill>
                  <pic:spPr>
                    <a:xfrm>
                      <a:off x="0" y="0"/>
                      <a:ext cx="108584" cy="182880"/>
                    </a:xfrm>
                    <a:prstGeom prst="rect">
                      <a:avLst/>
                    </a:prstGeom>
                  </pic:spPr>
                </pic:pic>
              </a:graphicData>
            </a:graphic>
          </wp:anchor>
        </w:drawing>
      </w:r>
      <w:r>
        <w:rPr>
          <w:noProof/>
        </w:rPr>
        <w:drawing>
          <wp:anchor distT="0" distB="0" distL="0" distR="0" simplePos="0" relativeHeight="15748608" behindDoc="0" locked="0" layoutInCell="1" allowOverlap="1">
            <wp:simplePos x="0" y="0"/>
            <wp:positionH relativeFrom="page">
              <wp:posOffset>1124584</wp:posOffset>
            </wp:positionH>
            <wp:positionV relativeFrom="page">
              <wp:posOffset>8337547</wp:posOffset>
            </wp:positionV>
            <wp:extent cx="108584" cy="182880"/>
            <wp:effectExtent l="0" t="0" r="0" b="0"/>
            <wp:wrapNone/>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32" cstate="print"/>
                    <a:stretch>
                      <a:fillRect/>
                    </a:stretch>
                  </pic:blipFill>
                  <pic:spPr>
                    <a:xfrm>
                      <a:off x="0" y="0"/>
                      <a:ext cx="108584" cy="182880"/>
                    </a:xfrm>
                    <a:prstGeom prst="rect">
                      <a:avLst/>
                    </a:prstGeom>
                  </pic:spPr>
                </pic:pic>
              </a:graphicData>
            </a:graphic>
          </wp:anchor>
        </w:drawing>
      </w:r>
      <w:r>
        <w:rPr>
          <w:noProof/>
        </w:rPr>
        <w:drawing>
          <wp:anchor distT="0" distB="0" distL="0" distR="0" simplePos="0" relativeHeight="15749120" behindDoc="0" locked="0" layoutInCell="1" allowOverlap="1">
            <wp:simplePos x="0" y="0"/>
            <wp:positionH relativeFrom="page">
              <wp:posOffset>1124584</wp:posOffset>
            </wp:positionH>
            <wp:positionV relativeFrom="page">
              <wp:posOffset>8519793</wp:posOffset>
            </wp:positionV>
            <wp:extent cx="108584" cy="182879"/>
            <wp:effectExtent l="0" t="0" r="0" b="0"/>
            <wp:wrapNone/>
            <wp:docPr id="1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2.png"/>
                    <pic:cNvPicPr/>
                  </pic:nvPicPr>
                  <pic:blipFill>
                    <a:blip r:embed="rId71" cstate="print"/>
                    <a:stretch>
                      <a:fillRect/>
                    </a:stretch>
                  </pic:blipFill>
                  <pic:spPr>
                    <a:xfrm>
                      <a:off x="0" y="0"/>
                      <a:ext cx="108584" cy="182879"/>
                    </a:xfrm>
                    <a:prstGeom prst="rect">
                      <a:avLst/>
                    </a:prstGeom>
                  </pic:spPr>
                </pic:pic>
              </a:graphicData>
            </a:graphic>
          </wp:anchor>
        </w:drawing>
      </w:r>
    </w:p>
    <w:p w:rsidR="00C76E6D" w:rsidRDefault="00913831">
      <w:pPr>
        <w:pStyle w:val="BodyText"/>
        <w:spacing w:before="55" w:line="276" w:lineRule="auto"/>
        <w:ind w:left="478" w:right="477"/>
        <w:jc w:val="both"/>
      </w:pPr>
      <w:r>
        <w:pict>
          <v:group id="docshapegroup147" o:spid="_x0000_s1262" style="position:absolute;left:0;text-align:left;margin-left:83.55pt;margin-top:110.45pt;width:444.25pt;height:173.25pt;z-index:-21196288;mso-position-horizontal-relative:page" coordorigin="1671,2209" coordsize="8885,3465">
            <v:line id="_x0000_s1282" style="position:absolute" from="3274,3155" to="10329,3155" strokecolor="#dfe3eb"/>
            <v:shape id="docshape148" o:spid="_x0000_s1281" style="position:absolute;left:3274;top:3934;width:1629;height:521" coordorigin="3274,3935" coordsize="1629,521" o:spt="100" adj="0,,0" path="m3274,4456r218,m3928,4456r104,m3274,4196r218,m3928,4196r975,m3274,3935r1629,e" filled="f" strokecolor="#dfe3eb">
              <v:stroke joinstyle="round"/>
              <v:formulas/>
              <v:path arrowok="t" o:connecttype="segments"/>
            </v:shape>
            <v:shape id="docshape149" o:spid="_x0000_s1280" type="#_x0000_t75" style="position:absolute;left:3492;top:3997;width:436;height:719">
              <v:imagedata r:id="rId72" o:title=""/>
            </v:shape>
            <v:shape id="docshape150" o:spid="_x0000_s1279" style="position:absolute;left:4467;top:4194;width:3257;height:260" coordorigin="4467,4195" coordsize="3257,260" o:spt="100" adj="0,,0" path="m4467,4455r435,m5337,4455r105,m5877,4455r436,m6748,4455r105,m5337,4195r976,m6748,4195r976,e" filled="f" strokecolor="#dfe3eb">
              <v:stroke joinstyle="round"/>
              <v:formulas/>
              <v:path arrowok="t" o:connecttype="segments"/>
            </v:shape>
            <v:shape id="docshape151" o:spid="_x0000_s1278" type="#_x0000_t75" style="position:absolute;left:6313;top:4168;width:436;height:547">
              <v:imagedata r:id="rId73" o:title=""/>
            </v:shape>
            <v:shape id="docshape152" o:spid="_x0000_s1277" style="position:absolute;left:3274;top:3673;width:4451;height:260" coordorigin="3274,3674" coordsize="4451,260" o:spt="100" adj="0,,0" path="m5338,3934r2387,m3274,3674r1629,m5338,3674r2387,e" filled="f" strokecolor="#dfe3eb">
              <v:stroke joinstyle="round"/>
              <v:formulas/>
              <v:path arrowok="t" o:connecttype="segments"/>
            </v:shape>
            <v:shape id="docshape153" o:spid="_x0000_s1276" type="#_x0000_t75" style="position:absolute;left:4903;top:3632;width:436;height:1083">
              <v:imagedata r:id="rId74" o:title=""/>
            </v:shape>
            <v:shape id="docshape154" o:spid="_x0000_s1275" style="position:absolute;left:7289;top:3673;width:3040;height:781" coordorigin="7289,3674" coordsize="3040,781" o:spt="100" adj="0,,0" path="m7289,4455r436,m8160,4455r105,m8160,4195r976,m8160,3934r2169,m8160,3674r2169,e" filled="f" strokecolor="#dfe3eb">
              <v:stroke joinstyle="round"/>
              <v:formulas/>
              <v:path arrowok="t" o:connecttype="segments"/>
            </v:shape>
            <v:shape id="docshape155" o:spid="_x0000_s1274" style="position:absolute;left:3274;top:3410;width:7055;height:7" coordorigin="3274,3411" coordsize="7055,7" o:spt="100" adj="0,,0" path="m3274,3418r7055,m3274,3411r7055,e" filled="f" strokecolor="#dfe3eb" strokeweight=".1228mm">
              <v:stroke joinstyle="round"/>
              <v:formulas/>
              <v:path arrowok="t" o:connecttype="segments"/>
            </v:shape>
            <v:shape id="docshape156" o:spid="_x0000_s1273" type="#_x0000_t75" style="position:absolute;left:7724;top:3414;width:436;height:1302">
              <v:imagedata r:id="rId75" o:title=""/>
            </v:shape>
            <v:shape id="docshape157" o:spid="_x0000_s1272" style="position:absolute;left:8700;top:4194;width:1629;height:260" coordorigin="8700,4195" coordsize="1629,260" o:spt="100" adj="0,,0" path="m8700,4455r436,m9571,4455r758,m9571,4195r758,e" filled="f" strokecolor="#dfe3eb">
              <v:stroke joinstyle="round"/>
              <v:formulas/>
              <v:path arrowok="t" o:connecttype="segments"/>
            </v:shape>
            <v:shape id="docshape158" o:spid="_x0000_s1271" type="#_x0000_t75" style="position:absolute;left:9135;top:4147;width:436;height:568">
              <v:imagedata r:id="rId76" o:title=""/>
            </v:shape>
            <v:shape id="docshape159" o:spid="_x0000_s1270" type="#_x0000_t75" style="position:absolute;left:4032;top:4439;width:436;height:276">
              <v:imagedata r:id="rId77" o:title=""/>
            </v:shape>
            <v:shape id="docshape160" o:spid="_x0000_s1269" type="#_x0000_t75" style="position:absolute;left:5443;top:4350;width:436;height:365">
              <v:imagedata r:id="rId78" o:title=""/>
            </v:shape>
            <v:shape id="docshape161" o:spid="_x0000_s1268" type="#_x0000_t75" style="position:absolute;left:6853;top:4241;width:436;height:474">
              <v:imagedata r:id="rId79" o:title=""/>
            </v:shape>
            <v:shape id="docshape162" o:spid="_x0000_s1267" type="#_x0000_t75" style="position:absolute;left:8264;top:4220;width:436;height:495">
              <v:imagedata r:id="rId80" o:title=""/>
            </v:shape>
            <v:shape id="docshape163" o:spid="_x0000_s1266" type="#_x0000_t75" style="position:absolute;left:9675;top:4501;width:436;height:214">
              <v:imagedata r:id="rId81" o:title=""/>
            </v:shape>
            <v:shape id="docshape164" o:spid="_x0000_s1265" type="#_x0000_t75" style="position:absolute;left:2083;top:5368;width:99;height:99">
              <v:imagedata r:id="rId69" o:title=""/>
            </v:shape>
            <v:rect id="docshape165" o:spid="_x0000_s1264" style="position:absolute;left:1679;top:2216;width:8870;height:3450" filled="f" strokecolor="#dfe3eb"/>
            <v:shape id="docshape166" o:spid="_x0000_s1263" type="#_x0000_t202" style="position:absolute;left:1671;top:2209;width:8885;height:3465" filled="f" stroked="f">
              <v:textbox inset="0,0,0,0">
                <w:txbxContent>
                  <w:p w:rsidR="00C76E6D" w:rsidRDefault="00913831">
                    <w:pPr>
                      <w:spacing w:before="158"/>
                      <w:ind w:left="2294" w:right="371" w:hanging="909"/>
                      <w:rPr>
                        <w:b/>
                      </w:rPr>
                    </w:pPr>
                    <w:r>
                      <w:rPr>
                        <w:b/>
                        <w:color w:val="44526A"/>
                      </w:rPr>
                      <w:t>Figure</w:t>
                    </w:r>
                    <w:r>
                      <w:rPr>
                        <w:b/>
                        <w:color w:val="44526A"/>
                        <w:spacing w:val="-12"/>
                      </w:rPr>
                      <w:t xml:space="preserve"> </w:t>
                    </w:r>
                    <w:r>
                      <w:rPr>
                        <w:b/>
                        <w:color w:val="44526A"/>
                      </w:rPr>
                      <w:t>6.</w:t>
                    </w:r>
                    <w:r>
                      <w:rPr>
                        <w:b/>
                        <w:color w:val="44526A"/>
                        <w:spacing w:val="-11"/>
                      </w:rPr>
                      <w:t xml:space="preserve"> </w:t>
                    </w:r>
                    <w:r>
                      <w:rPr>
                        <w:b/>
                        <w:color w:val="44526A"/>
                      </w:rPr>
                      <w:t>Percent</w:t>
                    </w:r>
                    <w:r>
                      <w:rPr>
                        <w:b/>
                        <w:color w:val="44526A"/>
                        <w:spacing w:val="-10"/>
                      </w:rPr>
                      <w:t xml:space="preserve"> </w:t>
                    </w:r>
                    <w:r>
                      <w:rPr>
                        <w:b/>
                        <w:color w:val="44526A"/>
                      </w:rPr>
                      <w:t>of</w:t>
                    </w:r>
                    <w:r>
                      <w:rPr>
                        <w:b/>
                        <w:color w:val="44526A"/>
                        <w:spacing w:val="-11"/>
                      </w:rPr>
                      <w:t xml:space="preserve"> </w:t>
                    </w:r>
                    <w:r>
                      <w:rPr>
                        <w:b/>
                        <w:color w:val="44526A"/>
                      </w:rPr>
                      <w:t>LGBTQ</w:t>
                    </w:r>
                    <w:r>
                      <w:rPr>
                        <w:b/>
                        <w:color w:val="44526A"/>
                        <w:spacing w:val="-11"/>
                      </w:rPr>
                      <w:t xml:space="preserve"> </w:t>
                    </w:r>
                    <w:r>
                      <w:rPr>
                        <w:b/>
                        <w:color w:val="44526A"/>
                      </w:rPr>
                      <w:t>and</w:t>
                    </w:r>
                    <w:r>
                      <w:rPr>
                        <w:b/>
                        <w:color w:val="44526A"/>
                        <w:spacing w:val="-10"/>
                      </w:rPr>
                      <w:t xml:space="preserve"> </w:t>
                    </w:r>
                    <w:r>
                      <w:rPr>
                        <w:b/>
                        <w:color w:val="44526A"/>
                      </w:rPr>
                      <w:t>Heterosexual-Cisgender</w:t>
                    </w:r>
                    <w:r>
                      <w:rPr>
                        <w:b/>
                        <w:color w:val="44526A"/>
                        <w:spacing w:val="-6"/>
                      </w:rPr>
                      <w:t xml:space="preserve"> </w:t>
                    </w:r>
                    <w:r>
                      <w:rPr>
                        <w:b/>
                        <w:color w:val="44526A"/>
                      </w:rPr>
                      <w:t>Youth</w:t>
                    </w:r>
                    <w:r>
                      <w:rPr>
                        <w:b/>
                        <w:color w:val="44526A"/>
                        <w:spacing w:val="-11"/>
                      </w:rPr>
                      <w:t xml:space="preserve"> </w:t>
                    </w:r>
                    <w:r>
                      <w:rPr>
                        <w:b/>
                        <w:color w:val="44526A"/>
                      </w:rPr>
                      <w:t>who Experienced Sex Against Their Will (2017-2019)</w:t>
                    </w:r>
                  </w:p>
                  <w:p w:rsidR="00C76E6D" w:rsidRDefault="00913831">
                    <w:pPr>
                      <w:spacing w:before="130"/>
                      <w:ind w:left="1252"/>
                      <w:rPr>
                        <w:sz w:val="18"/>
                      </w:rPr>
                    </w:pPr>
                    <w:r>
                      <w:rPr>
                        <w:color w:val="44526A"/>
                        <w:spacing w:val="-5"/>
                        <w:sz w:val="18"/>
                      </w:rPr>
                      <w:t>30</w:t>
                    </w:r>
                  </w:p>
                  <w:p w:rsidR="00C76E6D" w:rsidRDefault="00913831">
                    <w:pPr>
                      <w:spacing w:before="40"/>
                      <w:ind w:left="1252"/>
                      <w:rPr>
                        <w:sz w:val="18"/>
                      </w:rPr>
                    </w:pPr>
                    <w:r>
                      <w:rPr>
                        <w:color w:val="44526A"/>
                        <w:spacing w:val="-5"/>
                        <w:sz w:val="18"/>
                      </w:rPr>
                      <w:t>25</w:t>
                    </w:r>
                  </w:p>
                  <w:p w:rsidR="00C76E6D" w:rsidRDefault="00913831">
                    <w:pPr>
                      <w:spacing w:before="41"/>
                      <w:ind w:left="1252"/>
                      <w:rPr>
                        <w:sz w:val="18"/>
                      </w:rPr>
                    </w:pPr>
                    <w:r>
                      <w:rPr>
                        <w:color w:val="44526A"/>
                        <w:spacing w:val="-5"/>
                        <w:sz w:val="18"/>
                      </w:rPr>
                      <w:t>20</w:t>
                    </w:r>
                  </w:p>
                  <w:p w:rsidR="00C76E6D" w:rsidRDefault="00913831">
                    <w:pPr>
                      <w:spacing w:before="41"/>
                      <w:ind w:left="1252"/>
                      <w:rPr>
                        <w:sz w:val="18"/>
                      </w:rPr>
                    </w:pPr>
                    <w:r>
                      <w:rPr>
                        <w:color w:val="44526A"/>
                        <w:spacing w:val="-5"/>
                        <w:sz w:val="18"/>
                      </w:rPr>
                      <w:t>15</w:t>
                    </w:r>
                  </w:p>
                  <w:p w:rsidR="00C76E6D" w:rsidRDefault="00913831">
                    <w:pPr>
                      <w:spacing w:before="40"/>
                      <w:ind w:left="1252"/>
                      <w:rPr>
                        <w:sz w:val="18"/>
                      </w:rPr>
                    </w:pPr>
                    <w:r>
                      <w:rPr>
                        <w:color w:val="44526A"/>
                        <w:spacing w:val="-5"/>
                        <w:sz w:val="18"/>
                      </w:rPr>
                      <w:t>10</w:t>
                    </w:r>
                  </w:p>
                  <w:p w:rsidR="00C76E6D" w:rsidRDefault="00913831">
                    <w:pPr>
                      <w:spacing w:before="40"/>
                      <w:ind w:left="1344"/>
                      <w:rPr>
                        <w:sz w:val="18"/>
                      </w:rPr>
                    </w:pPr>
                    <w:r>
                      <w:rPr>
                        <w:color w:val="44526A"/>
                        <w:sz w:val="18"/>
                      </w:rPr>
                      <w:t>5</w:t>
                    </w:r>
                  </w:p>
                  <w:p w:rsidR="00C76E6D" w:rsidRDefault="00913831">
                    <w:pPr>
                      <w:spacing w:before="42"/>
                      <w:ind w:left="1344"/>
                      <w:rPr>
                        <w:sz w:val="18"/>
                      </w:rPr>
                    </w:pPr>
                    <w:r>
                      <w:rPr>
                        <w:color w:val="44526A"/>
                        <w:sz w:val="18"/>
                      </w:rPr>
                      <w:t>0</w:t>
                    </w:r>
                  </w:p>
                </w:txbxContent>
              </v:textbox>
            </v:shape>
            <w10:wrap anchorx="page"/>
          </v:group>
        </w:pict>
      </w:r>
      <w:r>
        <w:t>LGBTQ youth are two to three times more likely to have experienced sex against their will, and the prevalence of that experience also varies tremendously by race/ethnicity (see Figure 6). Multiethnic LGBTQ youth are by far the most likely to experience it:</w:t>
      </w:r>
      <w:r>
        <w:t xml:space="preserve"> 25% reported this, and Black youth are the next most likely, at 20.8%. Hispanic/Latinx and Asian LGBTQ youth are the least likely to have experienced it, at 10.5% and 10.9% respectively. These results point to the importance of examining differential expe</w:t>
      </w:r>
      <w:r>
        <w:t>riences by intersectional identities within the larger group of LGBTQ youth.</w:t>
      </w: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5"/>
        <w:rPr>
          <w:sz w:val="29"/>
        </w:rPr>
      </w:pPr>
    </w:p>
    <w:tbl>
      <w:tblPr>
        <w:tblW w:w="0" w:type="auto"/>
        <w:tblInd w:w="1066" w:type="dxa"/>
        <w:tblBorders>
          <w:top w:val="single" w:sz="6" w:space="0" w:color="DFE3EB"/>
          <w:left w:val="single" w:sz="6" w:space="0" w:color="DFE3EB"/>
          <w:bottom w:val="single" w:sz="6" w:space="0" w:color="DFE3EB"/>
          <w:right w:val="single" w:sz="6" w:space="0" w:color="DFE3EB"/>
          <w:insideH w:val="single" w:sz="6" w:space="0" w:color="DFE3EB"/>
          <w:insideV w:val="single" w:sz="6" w:space="0" w:color="DFE3EB"/>
        </w:tblBorders>
        <w:tblLayout w:type="fixed"/>
        <w:tblCellMar>
          <w:left w:w="0" w:type="dxa"/>
          <w:right w:w="0" w:type="dxa"/>
        </w:tblCellMar>
        <w:tblLook w:val="01E0" w:firstRow="1" w:lastRow="1" w:firstColumn="1" w:lastColumn="1" w:noHBand="0" w:noVBand="0"/>
      </w:tblPr>
      <w:tblGrid>
        <w:gridCol w:w="1263"/>
        <w:gridCol w:w="1411"/>
        <w:gridCol w:w="1411"/>
        <w:gridCol w:w="1411"/>
        <w:gridCol w:w="1410"/>
        <w:gridCol w:w="1403"/>
      </w:tblGrid>
      <w:tr w:rsidR="00C76E6D">
        <w:trPr>
          <w:trHeight w:val="261"/>
        </w:trPr>
        <w:tc>
          <w:tcPr>
            <w:tcW w:w="1263" w:type="dxa"/>
            <w:tcBorders>
              <w:top w:val="nil"/>
              <w:left w:val="nil"/>
            </w:tcBorders>
          </w:tcPr>
          <w:p w:rsidR="00C76E6D" w:rsidRDefault="00C76E6D">
            <w:pPr>
              <w:pStyle w:val="TableParagraph"/>
              <w:rPr>
                <w:rFonts w:ascii="Times New Roman"/>
                <w:sz w:val="18"/>
              </w:rPr>
            </w:pPr>
          </w:p>
        </w:tc>
        <w:tc>
          <w:tcPr>
            <w:tcW w:w="1411" w:type="dxa"/>
          </w:tcPr>
          <w:p w:rsidR="00C76E6D" w:rsidRDefault="00913831">
            <w:pPr>
              <w:pStyle w:val="TableParagraph"/>
              <w:spacing w:before="12"/>
              <w:ind w:left="383" w:right="369"/>
              <w:jc w:val="center"/>
              <w:rPr>
                <w:sz w:val="18"/>
              </w:rPr>
            </w:pPr>
            <w:r>
              <w:rPr>
                <w:color w:val="44526A"/>
                <w:spacing w:val="-2"/>
                <w:sz w:val="18"/>
              </w:rPr>
              <w:t>White</w:t>
            </w:r>
          </w:p>
        </w:tc>
        <w:tc>
          <w:tcPr>
            <w:tcW w:w="1411" w:type="dxa"/>
          </w:tcPr>
          <w:p w:rsidR="00C76E6D" w:rsidRDefault="00913831">
            <w:pPr>
              <w:pStyle w:val="TableParagraph"/>
              <w:spacing w:before="12"/>
              <w:ind w:left="381" w:right="369"/>
              <w:jc w:val="center"/>
              <w:rPr>
                <w:sz w:val="18"/>
              </w:rPr>
            </w:pPr>
            <w:r>
              <w:rPr>
                <w:color w:val="44526A"/>
                <w:spacing w:val="-2"/>
                <w:sz w:val="18"/>
              </w:rPr>
              <w:t>Black</w:t>
            </w:r>
          </w:p>
        </w:tc>
        <w:tc>
          <w:tcPr>
            <w:tcW w:w="1411" w:type="dxa"/>
          </w:tcPr>
          <w:p w:rsidR="00C76E6D" w:rsidRDefault="00913831">
            <w:pPr>
              <w:pStyle w:val="TableParagraph"/>
              <w:spacing w:before="12"/>
              <w:ind w:left="385" w:right="369"/>
              <w:jc w:val="center"/>
              <w:rPr>
                <w:sz w:val="18"/>
              </w:rPr>
            </w:pPr>
            <w:r>
              <w:rPr>
                <w:color w:val="44526A"/>
                <w:spacing w:val="-2"/>
                <w:sz w:val="18"/>
              </w:rPr>
              <w:t>Hispanic</w:t>
            </w:r>
          </w:p>
        </w:tc>
        <w:tc>
          <w:tcPr>
            <w:tcW w:w="1410" w:type="dxa"/>
          </w:tcPr>
          <w:p w:rsidR="00C76E6D" w:rsidRDefault="00913831">
            <w:pPr>
              <w:pStyle w:val="TableParagraph"/>
              <w:spacing w:before="12"/>
              <w:ind w:left="252" w:right="237"/>
              <w:jc w:val="center"/>
              <w:rPr>
                <w:sz w:val="18"/>
              </w:rPr>
            </w:pPr>
            <w:r>
              <w:rPr>
                <w:color w:val="44526A"/>
                <w:spacing w:val="-4"/>
                <w:sz w:val="18"/>
              </w:rPr>
              <w:t>Multi-</w:t>
            </w:r>
            <w:r>
              <w:rPr>
                <w:color w:val="44526A"/>
                <w:spacing w:val="-2"/>
                <w:sz w:val="18"/>
              </w:rPr>
              <w:t>Ethnic</w:t>
            </w:r>
          </w:p>
        </w:tc>
        <w:tc>
          <w:tcPr>
            <w:tcW w:w="1403" w:type="dxa"/>
          </w:tcPr>
          <w:p w:rsidR="00C76E6D" w:rsidRDefault="00913831">
            <w:pPr>
              <w:pStyle w:val="TableParagraph"/>
              <w:spacing w:before="12"/>
              <w:ind w:right="471"/>
              <w:jc w:val="right"/>
              <w:rPr>
                <w:sz w:val="18"/>
              </w:rPr>
            </w:pPr>
            <w:r>
              <w:rPr>
                <w:color w:val="44526A"/>
                <w:spacing w:val="-2"/>
                <w:sz w:val="18"/>
              </w:rPr>
              <w:t>Asian</w:t>
            </w:r>
          </w:p>
        </w:tc>
      </w:tr>
      <w:tr w:rsidR="00C76E6D">
        <w:trPr>
          <w:trHeight w:val="272"/>
        </w:trPr>
        <w:tc>
          <w:tcPr>
            <w:tcW w:w="1263" w:type="dxa"/>
            <w:tcBorders>
              <w:left w:val="nil"/>
            </w:tcBorders>
          </w:tcPr>
          <w:p w:rsidR="00C76E6D" w:rsidRDefault="00913831">
            <w:pPr>
              <w:pStyle w:val="TableParagraph"/>
              <w:spacing w:before="11"/>
              <w:ind w:right="58"/>
              <w:jc w:val="right"/>
              <w:rPr>
                <w:sz w:val="18"/>
              </w:rPr>
            </w:pPr>
            <w:r>
              <w:rPr>
                <w:color w:val="44526A"/>
                <w:sz w:val="18"/>
              </w:rPr>
              <w:t>LGBTQ</w:t>
            </w:r>
            <w:r>
              <w:rPr>
                <w:color w:val="44526A"/>
                <w:spacing w:val="-6"/>
                <w:sz w:val="18"/>
              </w:rPr>
              <w:t xml:space="preserve"> </w:t>
            </w:r>
            <w:r>
              <w:rPr>
                <w:color w:val="44526A"/>
                <w:spacing w:val="-2"/>
                <w:sz w:val="18"/>
              </w:rPr>
              <w:t>Youth</w:t>
            </w:r>
          </w:p>
        </w:tc>
        <w:tc>
          <w:tcPr>
            <w:tcW w:w="1411" w:type="dxa"/>
          </w:tcPr>
          <w:p w:rsidR="00C76E6D" w:rsidRDefault="00913831">
            <w:pPr>
              <w:pStyle w:val="TableParagraph"/>
              <w:spacing w:before="16"/>
              <w:ind w:left="385" w:right="366"/>
              <w:jc w:val="center"/>
              <w:rPr>
                <w:sz w:val="18"/>
              </w:rPr>
            </w:pPr>
            <w:r>
              <w:rPr>
                <w:color w:val="44526A"/>
                <w:spacing w:val="-4"/>
                <w:sz w:val="18"/>
              </w:rPr>
              <w:t>13.8</w:t>
            </w:r>
          </w:p>
        </w:tc>
        <w:tc>
          <w:tcPr>
            <w:tcW w:w="1411" w:type="dxa"/>
          </w:tcPr>
          <w:p w:rsidR="00C76E6D" w:rsidRDefault="00913831">
            <w:pPr>
              <w:pStyle w:val="TableParagraph"/>
              <w:spacing w:before="16"/>
              <w:ind w:left="385" w:right="366"/>
              <w:jc w:val="center"/>
              <w:rPr>
                <w:sz w:val="18"/>
              </w:rPr>
            </w:pPr>
            <w:r>
              <w:rPr>
                <w:color w:val="44526A"/>
                <w:spacing w:val="-4"/>
                <w:sz w:val="18"/>
              </w:rPr>
              <w:t>20.8</w:t>
            </w:r>
          </w:p>
        </w:tc>
        <w:tc>
          <w:tcPr>
            <w:tcW w:w="1411" w:type="dxa"/>
          </w:tcPr>
          <w:p w:rsidR="00C76E6D" w:rsidRDefault="00913831">
            <w:pPr>
              <w:pStyle w:val="TableParagraph"/>
              <w:spacing w:before="16"/>
              <w:ind w:left="385" w:right="366"/>
              <w:jc w:val="center"/>
              <w:rPr>
                <w:sz w:val="18"/>
              </w:rPr>
            </w:pPr>
            <w:r>
              <w:rPr>
                <w:color w:val="44526A"/>
                <w:spacing w:val="-4"/>
                <w:sz w:val="18"/>
              </w:rPr>
              <w:t>10.5</w:t>
            </w:r>
          </w:p>
        </w:tc>
        <w:tc>
          <w:tcPr>
            <w:tcW w:w="1410" w:type="dxa"/>
          </w:tcPr>
          <w:p w:rsidR="00C76E6D" w:rsidRDefault="00913831">
            <w:pPr>
              <w:pStyle w:val="TableParagraph"/>
              <w:spacing w:before="16"/>
              <w:ind w:left="249" w:right="237"/>
              <w:jc w:val="center"/>
              <w:rPr>
                <w:sz w:val="18"/>
              </w:rPr>
            </w:pPr>
            <w:r>
              <w:rPr>
                <w:color w:val="44526A"/>
                <w:spacing w:val="-5"/>
                <w:sz w:val="18"/>
              </w:rPr>
              <w:t>25</w:t>
            </w:r>
          </w:p>
        </w:tc>
        <w:tc>
          <w:tcPr>
            <w:tcW w:w="1403" w:type="dxa"/>
          </w:tcPr>
          <w:p w:rsidR="00C76E6D" w:rsidRDefault="00913831">
            <w:pPr>
              <w:pStyle w:val="TableParagraph"/>
              <w:spacing w:before="16"/>
              <w:ind w:right="504"/>
              <w:jc w:val="right"/>
              <w:rPr>
                <w:sz w:val="18"/>
              </w:rPr>
            </w:pPr>
            <w:r>
              <w:rPr>
                <w:color w:val="44526A"/>
                <w:spacing w:val="-4"/>
                <w:sz w:val="18"/>
              </w:rPr>
              <w:t>10.9</w:t>
            </w:r>
          </w:p>
        </w:tc>
      </w:tr>
      <w:tr w:rsidR="00C76E6D">
        <w:trPr>
          <w:trHeight w:val="272"/>
        </w:trPr>
        <w:tc>
          <w:tcPr>
            <w:tcW w:w="1263" w:type="dxa"/>
          </w:tcPr>
          <w:p w:rsidR="00C76E6D" w:rsidRDefault="00913831">
            <w:pPr>
              <w:pStyle w:val="TableParagraph"/>
              <w:spacing w:before="11"/>
              <w:ind w:right="31"/>
              <w:jc w:val="right"/>
              <w:rPr>
                <w:sz w:val="18"/>
              </w:rPr>
            </w:pPr>
            <w:r>
              <w:rPr>
                <w:color w:val="44526A"/>
                <w:sz w:val="18"/>
              </w:rPr>
              <w:t>Het-Cis</w:t>
            </w:r>
            <w:r>
              <w:rPr>
                <w:color w:val="44526A"/>
                <w:spacing w:val="-10"/>
                <w:sz w:val="18"/>
              </w:rPr>
              <w:t xml:space="preserve"> </w:t>
            </w:r>
            <w:r>
              <w:rPr>
                <w:color w:val="44526A"/>
                <w:spacing w:val="-2"/>
                <w:sz w:val="18"/>
              </w:rPr>
              <w:t>Youth</w:t>
            </w:r>
          </w:p>
        </w:tc>
        <w:tc>
          <w:tcPr>
            <w:tcW w:w="1411" w:type="dxa"/>
          </w:tcPr>
          <w:p w:rsidR="00C76E6D" w:rsidRDefault="00913831">
            <w:pPr>
              <w:pStyle w:val="TableParagraph"/>
              <w:spacing w:before="17"/>
              <w:ind w:left="385" w:right="365"/>
              <w:jc w:val="center"/>
              <w:rPr>
                <w:sz w:val="18"/>
              </w:rPr>
            </w:pPr>
            <w:r>
              <w:rPr>
                <w:color w:val="44526A"/>
                <w:spacing w:val="-5"/>
                <w:sz w:val="18"/>
              </w:rPr>
              <w:t>5.3</w:t>
            </w:r>
          </w:p>
        </w:tc>
        <w:tc>
          <w:tcPr>
            <w:tcW w:w="1411" w:type="dxa"/>
          </w:tcPr>
          <w:p w:rsidR="00C76E6D" w:rsidRDefault="00913831">
            <w:pPr>
              <w:pStyle w:val="TableParagraph"/>
              <w:spacing w:before="17"/>
              <w:ind w:left="13"/>
              <w:jc w:val="center"/>
              <w:rPr>
                <w:sz w:val="18"/>
              </w:rPr>
            </w:pPr>
            <w:r>
              <w:rPr>
                <w:color w:val="44526A"/>
                <w:sz w:val="18"/>
              </w:rPr>
              <w:t>7</w:t>
            </w:r>
          </w:p>
        </w:tc>
        <w:tc>
          <w:tcPr>
            <w:tcW w:w="1411" w:type="dxa"/>
          </w:tcPr>
          <w:p w:rsidR="00C76E6D" w:rsidRDefault="00913831">
            <w:pPr>
              <w:pStyle w:val="TableParagraph"/>
              <w:spacing w:before="17"/>
              <w:ind w:left="385" w:right="365"/>
              <w:jc w:val="center"/>
              <w:rPr>
                <w:sz w:val="18"/>
              </w:rPr>
            </w:pPr>
            <w:r>
              <w:rPr>
                <w:color w:val="44526A"/>
                <w:spacing w:val="-5"/>
                <w:sz w:val="18"/>
              </w:rPr>
              <w:t>9.1</w:t>
            </w:r>
          </w:p>
        </w:tc>
        <w:tc>
          <w:tcPr>
            <w:tcW w:w="1410" w:type="dxa"/>
          </w:tcPr>
          <w:p w:rsidR="00C76E6D" w:rsidRDefault="00913831">
            <w:pPr>
              <w:pStyle w:val="TableParagraph"/>
              <w:spacing w:before="17"/>
              <w:ind w:left="252" w:right="233"/>
              <w:jc w:val="center"/>
              <w:rPr>
                <w:sz w:val="18"/>
              </w:rPr>
            </w:pPr>
            <w:r>
              <w:rPr>
                <w:color w:val="44526A"/>
                <w:spacing w:val="-5"/>
                <w:sz w:val="18"/>
              </w:rPr>
              <w:t>9.5</w:t>
            </w:r>
          </w:p>
        </w:tc>
        <w:tc>
          <w:tcPr>
            <w:tcW w:w="1403" w:type="dxa"/>
          </w:tcPr>
          <w:p w:rsidR="00C76E6D" w:rsidRDefault="00913831">
            <w:pPr>
              <w:pStyle w:val="TableParagraph"/>
              <w:spacing w:before="17"/>
              <w:ind w:right="548"/>
              <w:jc w:val="right"/>
              <w:rPr>
                <w:sz w:val="18"/>
              </w:rPr>
            </w:pPr>
            <w:r>
              <w:rPr>
                <w:color w:val="44526A"/>
                <w:spacing w:val="-5"/>
                <w:sz w:val="18"/>
              </w:rPr>
              <w:t>4.1</w:t>
            </w:r>
          </w:p>
        </w:tc>
      </w:tr>
    </w:tbl>
    <w:p w:rsidR="00C76E6D" w:rsidRDefault="00C76E6D">
      <w:pPr>
        <w:pStyle w:val="BodyText"/>
        <w:rPr>
          <w:sz w:val="20"/>
        </w:rPr>
      </w:pPr>
    </w:p>
    <w:p w:rsidR="00C76E6D" w:rsidRDefault="00913831">
      <w:pPr>
        <w:pStyle w:val="BodyText"/>
        <w:spacing w:before="196" w:line="276" w:lineRule="auto"/>
        <w:ind w:left="478" w:right="473"/>
        <w:jc w:val="both"/>
      </w:pPr>
      <w:r>
        <w:pict>
          <v:group id="docshapegroup167" o:spid="_x0000_s1238" style="position:absolute;left:0;text-align:left;margin-left:71.55pt;margin-top:148.55pt;width:486.25pt;height:197.25pt;z-index:-21195776;mso-position-horizontal-relative:page" coordorigin="1431,2971" coordsize="9725,3945">
            <v:line id="_x0000_s1261" style="position:absolute" from="3135,3672" to="10929,3672" strokecolor="#dfe3eb"/>
            <v:shape id="docshape168" o:spid="_x0000_s1260" style="position:absolute;left:3135;top:4526;width:791;height:642" coordorigin="3135,4527" coordsize="791,642" o:spt="100" adj="0,,0" path="m3135,5169r791,m3135,4955r791,m3135,4741r791,m3135,4527r791,e" filled="f" strokecolor="#dfe3eb">
              <v:stroke joinstyle="round"/>
              <v:formulas/>
              <v:path arrowok="t" o:connecttype="segments"/>
            </v:shape>
            <v:shape id="docshape169" o:spid="_x0000_s1259" type="#_x0000_t75" style="position:absolute;left:3362;top:4537;width:455;height:845">
              <v:imagedata r:id="rId82" o:title=""/>
            </v:shape>
            <v:shape id="docshape170" o:spid="_x0000_s1258" style="position:absolute;left:4379;top:5168;width:4178;height:2" coordorigin="4379,5169" coordsize="4178,0" o:spt="100" adj="0,,0" path="m4379,5169r109,m4942,5169r3615,e" filled="f" strokecolor="#dfe3eb">
              <v:stroke joinstyle="round"/>
              <v:formulas/>
              <v:path arrowok="t" o:connecttype="segments"/>
            </v:shape>
            <v:shape id="docshape171" o:spid="_x0000_s1257" type="#_x0000_t75" style="position:absolute;left:5960;top:5168;width:455;height:214">
              <v:imagedata r:id="rId83" o:title=""/>
            </v:shape>
            <v:shape id="docshape172" o:spid="_x0000_s1256" style="position:absolute;left:4379;top:4099;width:5305;height:1070" coordorigin="4379,4100" coordsize="5305,1070" o:spt="100" adj="0,,0" path="m9011,5170r673,m4379,4956r4178,m9011,4956r673,m4379,4742r4178,m9011,4742r673,m4379,4528r4178,m9011,4528r673,m4379,4314r4178,m9011,4314r673,m4379,4100r5305,e" filled="f" strokecolor="#dfe3eb">
              <v:stroke joinstyle="round"/>
              <v:formulas/>
              <v:path arrowok="t" o:connecttype="segments"/>
            </v:shape>
            <v:shape id="docshape173" o:spid="_x0000_s1255" type="#_x0000_t75" style="position:absolute;left:8558;top:4173;width:455;height:1209">
              <v:imagedata r:id="rId84" o:title=""/>
            </v:shape>
            <v:shape id="docshape174" o:spid="_x0000_s1254" style="position:absolute;left:3135;top:4099;width:791;height:214" coordorigin="3135,4100" coordsize="791,214" o:spt="100" adj="0,,0" path="m3135,4314r791,m3135,4100r791,e" filled="f" strokecolor="#dfe3eb">
              <v:stroke joinstyle="round"/>
              <v:formulas/>
              <v:path arrowok="t" o:connecttype="segments"/>
            </v:shape>
            <v:shape id="docshape175" o:spid="_x0000_s1253" type="#_x0000_t75" style="position:absolute;left:3925;top:3992;width:455;height:1391">
              <v:imagedata r:id="rId85" o:title=""/>
            </v:shape>
            <v:shape id="docshape176" o:spid="_x0000_s1252" type="#_x0000_t75" style="position:absolute;left:6523;top:5072;width:455;height:311">
              <v:imagedata r:id="rId86" o:title=""/>
            </v:shape>
            <v:line id="_x0000_s1251" style="position:absolute" from="3135,3887" to="10929,3887" strokecolor="#dfe3eb"/>
            <v:shape id="docshape177" o:spid="_x0000_s1250" type="#_x0000_t75" style="position:absolute;left:9121;top:3917;width:455;height:1466">
              <v:imagedata r:id="rId87" o:title=""/>
            </v:shape>
            <v:shape id="docshape178" o:spid="_x0000_s1249" type="#_x0000_t75" style="position:absolute;left:4488;top:5104;width:455;height:279">
              <v:imagedata r:id="rId88" o:title=""/>
            </v:shape>
            <v:shape id="docshape179" o:spid="_x0000_s1248" type="#_x0000_t75" style="position:absolute;left:7086;top:5190;width:455;height:193">
              <v:imagedata r:id="rId89" o:title=""/>
            </v:shape>
            <v:shape id="docshape180" o:spid="_x0000_s1247" style="position:absolute;left:10138;top:4099;width:109;height:1070" coordorigin="10138,4100" coordsize="109,1070" o:spt="100" adj="0,,0" path="m10138,5170r109,m10138,4956r109,m10138,4742r109,m10138,4528r109,m10138,4314r109,m10138,4100r109,e" filled="f" strokecolor="#dfe3eb">
              <v:stroke joinstyle="round"/>
              <v:formulas/>
              <v:path arrowok="t" o:connecttype="segments"/>
            </v:shape>
            <v:shape id="docshape181" o:spid="_x0000_s1246" type="#_x0000_t75" style="position:absolute;left:9684;top:4056;width:455;height:1327">
              <v:imagedata r:id="rId90" o:title=""/>
            </v:shape>
            <v:shape id="docshape182" o:spid="_x0000_s1245" type="#_x0000_t75" style="position:absolute;left:5052;top:4837;width:455;height:546">
              <v:imagedata r:id="rId91" o:title=""/>
            </v:shape>
            <v:shape id="docshape183" o:spid="_x0000_s1244" type="#_x0000_t75" style="position:absolute;left:7649;top:4430;width:455;height:952">
              <v:imagedata r:id="rId92" o:title=""/>
            </v:shape>
            <v:shape id="docshape184" o:spid="_x0000_s1243" style="position:absolute;left:10701;top:4099;width:227;height:1070" coordorigin="10701,4100" coordsize="227,1070" o:spt="100" adj="0,,0" path="m10701,5170r227,m10701,4956r227,m10701,4742r227,m10701,4528r227,m10701,4314r227,m10701,4100r227,e" filled="f" strokecolor="#dfe3eb">
              <v:stroke joinstyle="round"/>
              <v:formulas/>
              <v:path arrowok="t" o:connecttype="segments"/>
            </v:shape>
            <v:shape id="docshape185" o:spid="_x0000_s1242" type="#_x0000_t75" style="position:absolute;left:10247;top:3981;width:455;height:1402">
              <v:imagedata r:id="rId93" o:title=""/>
            </v:shape>
            <v:shape id="docshape186" o:spid="_x0000_s1241" type="#_x0000_t75" style="position:absolute;left:1843;top:6610;width:99;height:99">
              <v:imagedata r:id="rId94" o:title=""/>
            </v:shape>
            <v:rect id="docshape187" o:spid="_x0000_s1240" style="position:absolute;left:1439;top:2978;width:9710;height:3930" filled="f" strokecolor="#dfe3eb"/>
            <v:shape id="docshape188" o:spid="_x0000_s1239" type="#_x0000_t202" style="position:absolute;left:1431;top:2971;width:9725;height:3945" filled="f" stroked="f">
              <v:textbox inset="0,0,0,0">
                <w:txbxContent>
                  <w:p w:rsidR="00C76E6D" w:rsidRDefault="00913831">
                    <w:pPr>
                      <w:spacing w:before="156"/>
                      <w:ind w:left="1312"/>
                      <w:rPr>
                        <w:b/>
                        <w:sz w:val="24"/>
                      </w:rPr>
                    </w:pPr>
                    <w:r>
                      <w:rPr>
                        <w:b/>
                        <w:color w:val="44526A"/>
                        <w:spacing w:val="-2"/>
                        <w:sz w:val="24"/>
                      </w:rPr>
                      <w:t>Figure</w:t>
                    </w:r>
                    <w:r>
                      <w:rPr>
                        <w:b/>
                        <w:color w:val="44526A"/>
                        <w:spacing w:val="-5"/>
                        <w:sz w:val="24"/>
                      </w:rPr>
                      <w:t xml:space="preserve"> </w:t>
                    </w:r>
                    <w:r>
                      <w:rPr>
                        <w:b/>
                        <w:color w:val="44526A"/>
                        <w:spacing w:val="-2"/>
                        <w:sz w:val="24"/>
                      </w:rPr>
                      <w:t>7.</w:t>
                    </w:r>
                    <w:r>
                      <w:rPr>
                        <w:b/>
                        <w:color w:val="44526A"/>
                        <w:sz w:val="24"/>
                      </w:rPr>
                      <w:t xml:space="preserve"> </w:t>
                    </w:r>
                    <w:r>
                      <w:rPr>
                        <w:b/>
                        <w:color w:val="44526A"/>
                        <w:spacing w:val="-2"/>
                        <w:sz w:val="24"/>
                      </w:rPr>
                      <w:t>Risks</w:t>
                    </w:r>
                    <w:r>
                      <w:rPr>
                        <w:b/>
                        <w:color w:val="44526A"/>
                        <w:sz w:val="24"/>
                      </w:rPr>
                      <w:t xml:space="preserve"> </w:t>
                    </w:r>
                    <w:r>
                      <w:rPr>
                        <w:b/>
                        <w:color w:val="44526A"/>
                        <w:spacing w:val="-2"/>
                        <w:sz w:val="24"/>
                      </w:rPr>
                      <w:t>of</w:t>
                    </w:r>
                    <w:r>
                      <w:rPr>
                        <w:b/>
                        <w:color w:val="44526A"/>
                        <w:spacing w:val="-1"/>
                        <w:sz w:val="24"/>
                      </w:rPr>
                      <w:t xml:space="preserve"> </w:t>
                    </w:r>
                    <w:r>
                      <w:rPr>
                        <w:b/>
                        <w:color w:val="44526A"/>
                        <w:spacing w:val="-2"/>
                        <w:sz w:val="24"/>
                      </w:rPr>
                      <w:t>LGBTQ</w:t>
                    </w:r>
                    <w:r>
                      <w:rPr>
                        <w:b/>
                        <w:color w:val="44526A"/>
                        <w:spacing w:val="-3"/>
                        <w:sz w:val="24"/>
                      </w:rPr>
                      <w:t xml:space="preserve"> </w:t>
                    </w:r>
                    <w:r>
                      <w:rPr>
                        <w:b/>
                        <w:color w:val="44526A"/>
                        <w:spacing w:val="-2"/>
                        <w:sz w:val="24"/>
                      </w:rPr>
                      <w:t>and</w:t>
                    </w:r>
                    <w:r>
                      <w:rPr>
                        <w:b/>
                        <w:color w:val="44526A"/>
                        <w:sz w:val="24"/>
                      </w:rPr>
                      <w:t xml:space="preserve"> </w:t>
                    </w:r>
                    <w:r>
                      <w:rPr>
                        <w:b/>
                        <w:color w:val="44526A"/>
                        <w:spacing w:val="-2"/>
                        <w:sz w:val="24"/>
                      </w:rPr>
                      <w:t>Heterosexual-Cisgender</w:t>
                    </w:r>
                    <w:r>
                      <w:rPr>
                        <w:b/>
                        <w:color w:val="44526A"/>
                        <w:spacing w:val="-3"/>
                        <w:sz w:val="24"/>
                      </w:rPr>
                      <w:t xml:space="preserve"> </w:t>
                    </w:r>
                    <w:r>
                      <w:rPr>
                        <w:b/>
                        <w:color w:val="44526A"/>
                        <w:spacing w:val="-2"/>
                        <w:sz w:val="24"/>
                      </w:rPr>
                      <w:t>Youth</w:t>
                    </w:r>
                    <w:r>
                      <w:rPr>
                        <w:b/>
                        <w:color w:val="44526A"/>
                        <w:sz w:val="24"/>
                      </w:rPr>
                      <w:t xml:space="preserve"> </w:t>
                    </w:r>
                    <w:r>
                      <w:rPr>
                        <w:b/>
                        <w:color w:val="44526A"/>
                        <w:spacing w:val="-2"/>
                        <w:sz w:val="24"/>
                      </w:rPr>
                      <w:t>(2017-2019)</w:t>
                    </w:r>
                  </w:p>
                  <w:p w:rsidR="00C76E6D" w:rsidRDefault="00913831">
                    <w:pPr>
                      <w:spacing w:before="134" w:line="217" w:lineRule="exact"/>
                      <w:ind w:left="1353"/>
                      <w:rPr>
                        <w:sz w:val="18"/>
                      </w:rPr>
                    </w:pPr>
                    <w:r>
                      <w:rPr>
                        <w:color w:val="44526A"/>
                        <w:spacing w:val="-5"/>
                        <w:sz w:val="18"/>
                      </w:rPr>
                      <w:t>16</w:t>
                    </w:r>
                  </w:p>
                  <w:p w:rsidR="00C76E6D" w:rsidRDefault="00913831">
                    <w:pPr>
                      <w:spacing w:line="214" w:lineRule="exact"/>
                      <w:ind w:left="1353"/>
                      <w:rPr>
                        <w:sz w:val="18"/>
                      </w:rPr>
                    </w:pPr>
                    <w:r>
                      <w:rPr>
                        <w:color w:val="44526A"/>
                        <w:spacing w:val="-5"/>
                        <w:sz w:val="18"/>
                      </w:rPr>
                      <w:t>14</w:t>
                    </w:r>
                  </w:p>
                  <w:p w:rsidR="00C76E6D" w:rsidRDefault="00913831">
                    <w:pPr>
                      <w:spacing w:line="214" w:lineRule="exact"/>
                      <w:ind w:left="1353"/>
                      <w:rPr>
                        <w:sz w:val="18"/>
                      </w:rPr>
                    </w:pPr>
                    <w:r>
                      <w:rPr>
                        <w:color w:val="44526A"/>
                        <w:spacing w:val="-5"/>
                        <w:sz w:val="18"/>
                      </w:rPr>
                      <w:t>12</w:t>
                    </w:r>
                  </w:p>
                  <w:p w:rsidR="00C76E6D" w:rsidRDefault="00913831">
                    <w:pPr>
                      <w:spacing w:line="214" w:lineRule="exact"/>
                      <w:ind w:left="1353"/>
                      <w:rPr>
                        <w:sz w:val="18"/>
                      </w:rPr>
                    </w:pPr>
                    <w:r>
                      <w:rPr>
                        <w:color w:val="44526A"/>
                        <w:spacing w:val="-5"/>
                        <w:sz w:val="18"/>
                      </w:rPr>
                      <w:t>10</w:t>
                    </w:r>
                  </w:p>
                  <w:p w:rsidR="00C76E6D" w:rsidRDefault="00913831">
                    <w:pPr>
                      <w:spacing w:line="214" w:lineRule="exact"/>
                      <w:ind w:left="1444"/>
                      <w:rPr>
                        <w:sz w:val="18"/>
                      </w:rPr>
                    </w:pPr>
                    <w:r>
                      <w:rPr>
                        <w:color w:val="44526A"/>
                        <w:sz w:val="18"/>
                      </w:rPr>
                      <w:t>8</w:t>
                    </w:r>
                  </w:p>
                  <w:p w:rsidR="00C76E6D" w:rsidRDefault="00913831">
                    <w:pPr>
                      <w:spacing w:line="214" w:lineRule="exact"/>
                      <w:ind w:left="1444"/>
                      <w:rPr>
                        <w:sz w:val="18"/>
                      </w:rPr>
                    </w:pPr>
                    <w:r>
                      <w:rPr>
                        <w:color w:val="44526A"/>
                        <w:sz w:val="18"/>
                      </w:rPr>
                      <w:t>6</w:t>
                    </w:r>
                  </w:p>
                  <w:p w:rsidR="00C76E6D" w:rsidRDefault="00913831">
                    <w:pPr>
                      <w:spacing w:line="214" w:lineRule="exact"/>
                      <w:ind w:left="1444"/>
                      <w:rPr>
                        <w:sz w:val="18"/>
                      </w:rPr>
                    </w:pPr>
                    <w:r>
                      <w:rPr>
                        <w:color w:val="44526A"/>
                        <w:sz w:val="18"/>
                      </w:rPr>
                      <w:t>4</w:t>
                    </w:r>
                  </w:p>
                  <w:p w:rsidR="00C76E6D" w:rsidRDefault="00913831">
                    <w:pPr>
                      <w:spacing w:line="217" w:lineRule="exact"/>
                      <w:ind w:left="1444"/>
                      <w:rPr>
                        <w:sz w:val="18"/>
                      </w:rPr>
                    </w:pPr>
                    <w:r>
                      <w:rPr>
                        <w:color w:val="44526A"/>
                        <w:sz w:val="18"/>
                      </w:rPr>
                      <w:t>2</w:t>
                    </w:r>
                  </w:p>
                </w:txbxContent>
              </v:textbox>
            </v:shape>
            <w10:wrap anchorx="page"/>
          </v:group>
        </w:pict>
      </w:r>
      <w:r>
        <w:rPr>
          <w:noProof/>
        </w:rPr>
        <w:drawing>
          <wp:anchor distT="0" distB="0" distL="0" distR="0" simplePos="0" relativeHeight="15749632" behindDoc="0" locked="0" layoutInCell="1" allowOverlap="1">
            <wp:simplePos x="0" y="0"/>
            <wp:positionH relativeFrom="page">
              <wp:posOffset>1277621</wp:posOffset>
            </wp:positionH>
            <wp:positionV relativeFrom="paragraph">
              <wp:posOffset>-523042</wp:posOffset>
            </wp:positionV>
            <wp:extent cx="107936" cy="181519"/>
            <wp:effectExtent l="0" t="0" r="0" b="0"/>
            <wp:wrapNone/>
            <wp:docPr id="21"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6.png"/>
                    <pic:cNvPicPr/>
                  </pic:nvPicPr>
                  <pic:blipFill>
                    <a:blip r:embed="rId49" cstate="print"/>
                    <a:stretch>
                      <a:fillRect/>
                    </a:stretch>
                  </pic:blipFill>
                  <pic:spPr>
                    <a:xfrm>
                      <a:off x="0" y="0"/>
                      <a:ext cx="107936" cy="181519"/>
                    </a:xfrm>
                    <a:prstGeom prst="rect">
                      <a:avLst/>
                    </a:prstGeom>
                  </pic:spPr>
                </pic:pic>
              </a:graphicData>
            </a:graphic>
          </wp:anchor>
        </w:drawing>
      </w:r>
      <w:r>
        <w:t>LGBTQ males are most likely to be threatened at school (7.9%), followed by LGBTQ females (7.9%), het- cis</w:t>
      </w:r>
      <w:r>
        <w:rPr>
          <w:spacing w:val="-4"/>
        </w:rPr>
        <w:t xml:space="preserve"> </w:t>
      </w:r>
      <w:r>
        <w:t>males</w:t>
      </w:r>
      <w:r>
        <w:rPr>
          <w:spacing w:val="-2"/>
        </w:rPr>
        <w:t xml:space="preserve"> </w:t>
      </w:r>
      <w:r>
        <w:t>(5.1%),</w:t>
      </w:r>
      <w:r>
        <w:rPr>
          <w:spacing w:val="-4"/>
        </w:rPr>
        <w:t xml:space="preserve"> </w:t>
      </w:r>
      <w:r>
        <w:t>and</w:t>
      </w:r>
      <w:r>
        <w:rPr>
          <w:spacing w:val="-3"/>
        </w:rPr>
        <w:t xml:space="preserve"> </w:t>
      </w:r>
      <w:r>
        <w:t>het-cis</w:t>
      </w:r>
      <w:r>
        <w:rPr>
          <w:spacing w:val="-4"/>
        </w:rPr>
        <w:t xml:space="preserve"> </w:t>
      </w:r>
      <w:r>
        <w:t>females</w:t>
      </w:r>
      <w:r>
        <w:rPr>
          <w:spacing w:val="-3"/>
        </w:rPr>
        <w:t xml:space="preserve"> </w:t>
      </w:r>
      <w:r>
        <w:t>(2.6%),</w:t>
      </w:r>
      <w:r>
        <w:rPr>
          <w:spacing w:val="-4"/>
        </w:rPr>
        <w:t xml:space="preserve"> </w:t>
      </w:r>
      <w:r>
        <w:t>as</w:t>
      </w:r>
      <w:r>
        <w:rPr>
          <w:spacing w:val="-4"/>
        </w:rPr>
        <w:t xml:space="preserve"> </w:t>
      </w:r>
      <w:r>
        <w:t>shown</w:t>
      </w:r>
      <w:r>
        <w:rPr>
          <w:spacing w:val="-4"/>
        </w:rPr>
        <w:t xml:space="preserve"> </w:t>
      </w:r>
      <w:r>
        <w:t>on</w:t>
      </w:r>
      <w:r>
        <w:rPr>
          <w:spacing w:val="-4"/>
        </w:rPr>
        <w:t xml:space="preserve"> </w:t>
      </w:r>
      <w:r>
        <w:t>Figure</w:t>
      </w:r>
      <w:r>
        <w:rPr>
          <w:spacing w:val="-4"/>
        </w:rPr>
        <w:t xml:space="preserve"> </w:t>
      </w:r>
      <w:r>
        <w:t>7.</w:t>
      </w:r>
      <w:r>
        <w:rPr>
          <w:spacing w:val="-3"/>
        </w:rPr>
        <w:t xml:space="preserve"> </w:t>
      </w:r>
      <w:r>
        <w:t>The</w:t>
      </w:r>
      <w:r>
        <w:rPr>
          <w:spacing w:val="-3"/>
        </w:rPr>
        <w:t xml:space="preserve"> </w:t>
      </w:r>
      <w:r>
        <w:t>prevalence</w:t>
      </w:r>
      <w:r>
        <w:rPr>
          <w:spacing w:val="-4"/>
        </w:rPr>
        <w:t xml:space="preserve"> </w:t>
      </w:r>
      <w:r>
        <w:t>of</w:t>
      </w:r>
      <w:r>
        <w:rPr>
          <w:spacing w:val="-4"/>
        </w:rPr>
        <w:t xml:space="preserve"> </w:t>
      </w:r>
      <w:r>
        <w:t>pregn</w:t>
      </w:r>
      <w:r>
        <w:t>ancy</w:t>
      </w:r>
      <w:r>
        <w:rPr>
          <w:spacing w:val="-4"/>
        </w:rPr>
        <w:t xml:space="preserve"> </w:t>
      </w:r>
      <w:r>
        <w:t>is</w:t>
      </w:r>
      <w:r>
        <w:rPr>
          <w:spacing w:val="-4"/>
        </w:rPr>
        <w:t xml:space="preserve"> </w:t>
      </w:r>
      <w:r>
        <w:t>lowest among het-cis (1.5%) and LGBTQ females (2%), and slightly higher for LGBTQ males (2.9%). The much higher percentage among het-cis males (8.9%) is puzzling, however, given the much lower rates among the other groups, raising questions about t</w:t>
      </w:r>
      <w:r>
        <w:t>he validity of that estimate. Turning to binge drinking, LGBTQ females</w:t>
      </w:r>
      <w:r>
        <w:rPr>
          <w:spacing w:val="-7"/>
        </w:rPr>
        <w:t xml:space="preserve"> </w:t>
      </w:r>
      <w:r>
        <w:t>were</w:t>
      </w:r>
      <w:r>
        <w:rPr>
          <w:spacing w:val="-7"/>
        </w:rPr>
        <w:t xml:space="preserve"> </w:t>
      </w:r>
      <w:r>
        <w:t>least</w:t>
      </w:r>
      <w:r>
        <w:rPr>
          <w:spacing w:val="-7"/>
        </w:rPr>
        <w:t xml:space="preserve"> </w:t>
      </w:r>
      <w:r>
        <w:t>likely</w:t>
      </w:r>
      <w:r>
        <w:rPr>
          <w:spacing w:val="-6"/>
        </w:rPr>
        <w:t xml:space="preserve"> </w:t>
      </w:r>
      <w:r>
        <w:t>to</w:t>
      </w:r>
      <w:r>
        <w:rPr>
          <w:spacing w:val="-5"/>
        </w:rPr>
        <w:t xml:space="preserve"> </w:t>
      </w:r>
      <w:r>
        <w:t>binge</w:t>
      </w:r>
      <w:r>
        <w:rPr>
          <w:spacing w:val="-7"/>
        </w:rPr>
        <w:t xml:space="preserve"> </w:t>
      </w:r>
      <w:r>
        <w:t>drink</w:t>
      </w:r>
      <w:r>
        <w:rPr>
          <w:spacing w:val="-7"/>
        </w:rPr>
        <w:t xml:space="preserve"> </w:t>
      </w:r>
      <w:r>
        <w:t>(11.3%),</w:t>
      </w:r>
      <w:r>
        <w:rPr>
          <w:spacing w:val="-6"/>
        </w:rPr>
        <w:t xml:space="preserve"> </w:t>
      </w:r>
      <w:r>
        <w:t>compared</w:t>
      </w:r>
      <w:r>
        <w:rPr>
          <w:spacing w:val="-8"/>
        </w:rPr>
        <w:t xml:space="preserve"> </w:t>
      </w:r>
      <w:r>
        <w:t>with</w:t>
      </w:r>
      <w:r>
        <w:rPr>
          <w:spacing w:val="-7"/>
        </w:rPr>
        <w:t xml:space="preserve"> </w:t>
      </w:r>
      <w:r>
        <w:t>12.4%</w:t>
      </w:r>
      <w:r>
        <w:rPr>
          <w:spacing w:val="-8"/>
        </w:rPr>
        <w:t xml:space="preserve"> </w:t>
      </w:r>
      <w:r>
        <w:t>of</w:t>
      </w:r>
      <w:r>
        <w:rPr>
          <w:spacing w:val="-8"/>
        </w:rPr>
        <w:t xml:space="preserve"> </w:t>
      </w:r>
      <w:r>
        <w:t>het-cis</w:t>
      </w:r>
      <w:r>
        <w:rPr>
          <w:spacing w:val="-5"/>
        </w:rPr>
        <w:t xml:space="preserve"> </w:t>
      </w:r>
      <w:r>
        <w:t>females,</w:t>
      </w:r>
      <w:r>
        <w:rPr>
          <w:spacing w:val="-7"/>
        </w:rPr>
        <w:t xml:space="preserve"> </w:t>
      </w:r>
      <w:r>
        <w:t>13.1%</w:t>
      </w:r>
      <w:r>
        <w:rPr>
          <w:spacing w:val="-8"/>
        </w:rPr>
        <w:t xml:space="preserve"> </w:t>
      </w:r>
      <w:r>
        <w:t>of</w:t>
      </w:r>
      <w:r>
        <w:rPr>
          <w:spacing w:val="-8"/>
        </w:rPr>
        <w:t xml:space="preserve"> </w:t>
      </w:r>
      <w:r>
        <w:t>het-cis males,</w:t>
      </w:r>
      <w:r>
        <w:rPr>
          <w:spacing w:val="-11"/>
        </w:rPr>
        <w:t xml:space="preserve"> </w:t>
      </w:r>
      <w:r>
        <w:t>and</w:t>
      </w:r>
      <w:r>
        <w:rPr>
          <w:spacing w:val="-11"/>
        </w:rPr>
        <w:t xml:space="preserve"> </w:t>
      </w:r>
      <w:r>
        <w:t>13.7%</w:t>
      </w:r>
      <w:r>
        <w:rPr>
          <w:spacing w:val="-11"/>
        </w:rPr>
        <w:t xml:space="preserve"> </w:t>
      </w:r>
      <w:r>
        <w:t>of</w:t>
      </w:r>
      <w:r>
        <w:rPr>
          <w:spacing w:val="-12"/>
        </w:rPr>
        <w:t xml:space="preserve"> </w:t>
      </w:r>
      <w:r>
        <w:t>LGBTQ</w:t>
      </w:r>
      <w:r>
        <w:rPr>
          <w:spacing w:val="-10"/>
        </w:rPr>
        <w:t xml:space="preserve"> </w:t>
      </w:r>
      <w:r>
        <w:t>males.</w:t>
      </w:r>
      <w:r>
        <w:rPr>
          <w:spacing w:val="-11"/>
        </w:rPr>
        <w:t xml:space="preserve"> </w:t>
      </w:r>
      <w:r>
        <w:t>The</w:t>
      </w:r>
      <w:r>
        <w:rPr>
          <w:spacing w:val="-11"/>
        </w:rPr>
        <w:t xml:space="preserve"> </w:t>
      </w:r>
      <w:r>
        <w:t>small</w:t>
      </w:r>
      <w:r>
        <w:rPr>
          <w:spacing w:val="-12"/>
        </w:rPr>
        <w:t xml:space="preserve"> </w:t>
      </w:r>
      <w:r>
        <w:t>differences</w:t>
      </w:r>
      <w:r>
        <w:rPr>
          <w:spacing w:val="-11"/>
        </w:rPr>
        <w:t xml:space="preserve"> </w:t>
      </w:r>
      <w:r>
        <w:t>between</w:t>
      </w:r>
      <w:r>
        <w:rPr>
          <w:spacing w:val="-11"/>
        </w:rPr>
        <w:t xml:space="preserve"> </w:t>
      </w:r>
      <w:r>
        <w:t>these</w:t>
      </w:r>
      <w:r>
        <w:rPr>
          <w:spacing w:val="-11"/>
        </w:rPr>
        <w:t xml:space="preserve"> </w:t>
      </w:r>
      <w:r>
        <w:t>percentages</w:t>
      </w:r>
      <w:r>
        <w:rPr>
          <w:spacing w:val="-11"/>
        </w:rPr>
        <w:t xml:space="preserve"> </w:t>
      </w:r>
      <w:r>
        <w:t>were</w:t>
      </w:r>
      <w:r>
        <w:rPr>
          <w:spacing w:val="-11"/>
        </w:rPr>
        <w:t xml:space="preserve"> </w:t>
      </w:r>
      <w:r>
        <w:t>not</w:t>
      </w:r>
      <w:r>
        <w:rPr>
          <w:spacing w:val="-13"/>
        </w:rPr>
        <w:t xml:space="preserve"> </w:t>
      </w:r>
      <w:r>
        <w:t xml:space="preserve">statistically </w:t>
      </w:r>
      <w:r>
        <w:rPr>
          <w:spacing w:val="-2"/>
        </w:rPr>
        <w:t>significant.</w:t>
      </w: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11"/>
        <w:rPr>
          <w:sz w:val="21"/>
        </w:rPr>
      </w:pPr>
    </w:p>
    <w:tbl>
      <w:tblPr>
        <w:tblW w:w="0" w:type="auto"/>
        <w:tblInd w:w="826" w:type="dxa"/>
        <w:tblBorders>
          <w:top w:val="single" w:sz="6" w:space="0" w:color="DFE3EB"/>
          <w:left w:val="single" w:sz="6" w:space="0" w:color="DFE3EB"/>
          <w:bottom w:val="single" w:sz="6" w:space="0" w:color="DFE3EB"/>
          <w:right w:val="single" w:sz="6" w:space="0" w:color="DFE3EB"/>
          <w:insideH w:val="single" w:sz="6" w:space="0" w:color="DFE3EB"/>
          <w:insideV w:val="single" w:sz="6" w:space="0" w:color="DFE3EB"/>
        </w:tblBorders>
        <w:tblLayout w:type="fixed"/>
        <w:tblCellMar>
          <w:left w:w="0" w:type="dxa"/>
          <w:right w:w="0" w:type="dxa"/>
        </w:tblCellMar>
        <w:tblLook w:val="01E0" w:firstRow="1" w:lastRow="1" w:firstColumn="1" w:lastColumn="1" w:noHBand="0" w:noVBand="0"/>
      </w:tblPr>
      <w:tblGrid>
        <w:gridCol w:w="1357"/>
        <w:gridCol w:w="2608"/>
        <w:gridCol w:w="2598"/>
        <w:gridCol w:w="2588"/>
      </w:tblGrid>
      <w:tr w:rsidR="00C76E6D">
        <w:trPr>
          <w:trHeight w:val="261"/>
        </w:trPr>
        <w:tc>
          <w:tcPr>
            <w:tcW w:w="1357" w:type="dxa"/>
            <w:tcBorders>
              <w:top w:val="nil"/>
              <w:left w:val="nil"/>
            </w:tcBorders>
          </w:tcPr>
          <w:p w:rsidR="00C76E6D" w:rsidRDefault="00913831">
            <w:pPr>
              <w:pStyle w:val="TableParagraph"/>
              <w:spacing w:line="99" w:lineRule="exact"/>
              <w:ind w:right="151"/>
              <w:jc w:val="right"/>
              <w:rPr>
                <w:sz w:val="18"/>
              </w:rPr>
            </w:pPr>
            <w:r>
              <w:rPr>
                <w:color w:val="44526A"/>
                <w:sz w:val="18"/>
              </w:rPr>
              <w:t>0</w:t>
            </w:r>
          </w:p>
        </w:tc>
        <w:tc>
          <w:tcPr>
            <w:tcW w:w="2608" w:type="dxa"/>
          </w:tcPr>
          <w:p w:rsidR="00C76E6D" w:rsidRDefault="00913831">
            <w:pPr>
              <w:pStyle w:val="TableParagraph"/>
              <w:spacing w:before="12"/>
              <w:ind w:left="514" w:right="498"/>
              <w:jc w:val="center"/>
              <w:rPr>
                <w:sz w:val="18"/>
              </w:rPr>
            </w:pPr>
            <w:r>
              <w:rPr>
                <w:color w:val="44526A"/>
                <w:sz w:val="18"/>
              </w:rPr>
              <w:t>Threatened</w:t>
            </w:r>
            <w:r>
              <w:rPr>
                <w:color w:val="44526A"/>
                <w:spacing w:val="-6"/>
                <w:sz w:val="18"/>
              </w:rPr>
              <w:t xml:space="preserve"> </w:t>
            </w:r>
            <w:r>
              <w:rPr>
                <w:color w:val="44526A"/>
                <w:sz w:val="18"/>
              </w:rPr>
              <w:t>at</w:t>
            </w:r>
            <w:r>
              <w:rPr>
                <w:color w:val="44526A"/>
                <w:spacing w:val="-4"/>
                <w:sz w:val="18"/>
              </w:rPr>
              <w:t xml:space="preserve"> </w:t>
            </w:r>
            <w:r>
              <w:rPr>
                <w:color w:val="44526A"/>
                <w:spacing w:val="-2"/>
                <w:sz w:val="18"/>
              </w:rPr>
              <w:t>School</w:t>
            </w:r>
          </w:p>
        </w:tc>
        <w:tc>
          <w:tcPr>
            <w:tcW w:w="2598" w:type="dxa"/>
          </w:tcPr>
          <w:p w:rsidR="00C76E6D" w:rsidRDefault="00913831">
            <w:pPr>
              <w:pStyle w:val="TableParagraph"/>
              <w:spacing w:before="12"/>
              <w:ind w:left="905" w:right="893"/>
              <w:jc w:val="center"/>
              <w:rPr>
                <w:sz w:val="18"/>
              </w:rPr>
            </w:pPr>
            <w:r>
              <w:rPr>
                <w:color w:val="44526A"/>
                <w:spacing w:val="-2"/>
                <w:sz w:val="18"/>
              </w:rPr>
              <w:t>Pregnancy</w:t>
            </w:r>
          </w:p>
        </w:tc>
        <w:tc>
          <w:tcPr>
            <w:tcW w:w="2588" w:type="dxa"/>
          </w:tcPr>
          <w:p w:rsidR="00C76E6D" w:rsidRDefault="00913831">
            <w:pPr>
              <w:pStyle w:val="TableParagraph"/>
              <w:spacing w:before="12"/>
              <w:ind w:left="760" w:right="734"/>
              <w:jc w:val="center"/>
              <w:rPr>
                <w:sz w:val="18"/>
              </w:rPr>
            </w:pPr>
            <w:r>
              <w:rPr>
                <w:color w:val="44526A"/>
                <w:sz w:val="18"/>
              </w:rPr>
              <w:t>Binge</w:t>
            </w:r>
            <w:r>
              <w:rPr>
                <w:color w:val="44526A"/>
                <w:spacing w:val="-7"/>
                <w:sz w:val="18"/>
              </w:rPr>
              <w:t xml:space="preserve"> </w:t>
            </w:r>
            <w:r>
              <w:rPr>
                <w:color w:val="44526A"/>
                <w:spacing w:val="-2"/>
                <w:sz w:val="18"/>
              </w:rPr>
              <w:t>Drinking</w:t>
            </w:r>
          </w:p>
        </w:tc>
      </w:tr>
      <w:tr w:rsidR="00C76E6D">
        <w:trPr>
          <w:trHeight w:val="271"/>
        </w:trPr>
        <w:tc>
          <w:tcPr>
            <w:tcW w:w="1357" w:type="dxa"/>
            <w:tcBorders>
              <w:left w:val="nil"/>
            </w:tcBorders>
          </w:tcPr>
          <w:p w:rsidR="00C76E6D" w:rsidRDefault="00913831">
            <w:pPr>
              <w:pStyle w:val="TableParagraph"/>
              <w:spacing w:before="11"/>
              <w:ind w:right="71"/>
              <w:jc w:val="right"/>
              <w:rPr>
                <w:sz w:val="18"/>
              </w:rPr>
            </w:pPr>
            <w:r>
              <w:rPr>
                <w:color w:val="44526A"/>
                <w:sz w:val="18"/>
              </w:rPr>
              <w:t>LGBTQ</w:t>
            </w:r>
            <w:r>
              <w:rPr>
                <w:color w:val="44526A"/>
                <w:spacing w:val="-6"/>
                <w:sz w:val="18"/>
              </w:rPr>
              <w:t xml:space="preserve"> </w:t>
            </w:r>
            <w:r>
              <w:rPr>
                <w:color w:val="44526A"/>
                <w:spacing w:val="-2"/>
                <w:sz w:val="18"/>
              </w:rPr>
              <w:t>Female</w:t>
            </w:r>
          </w:p>
        </w:tc>
        <w:tc>
          <w:tcPr>
            <w:tcW w:w="2608" w:type="dxa"/>
          </w:tcPr>
          <w:p w:rsidR="00C76E6D" w:rsidRDefault="00913831">
            <w:pPr>
              <w:pStyle w:val="TableParagraph"/>
              <w:spacing w:before="16"/>
              <w:ind w:left="514" w:right="495"/>
              <w:jc w:val="center"/>
              <w:rPr>
                <w:sz w:val="18"/>
              </w:rPr>
            </w:pPr>
            <w:r>
              <w:rPr>
                <w:color w:val="44526A"/>
                <w:spacing w:val="-5"/>
                <w:sz w:val="18"/>
              </w:rPr>
              <w:t>7.9</w:t>
            </w:r>
          </w:p>
        </w:tc>
        <w:tc>
          <w:tcPr>
            <w:tcW w:w="2598" w:type="dxa"/>
          </w:tcPr>
          <w:p w:rsidR="00C76E6D" w:rsidRDefault="00913831">
            <w:pPr>
              <w:pStyle w:val="TableParagraph"/>
              <w:spacing w:before="16"/>
              <w:ind w:left="12"/>
              <w:jc w:val="center"/>
              <w:rPr>
                <w:sz w:val="18"/>
              </w:rPr>
            </w:pPr>
            <w:r>
              <w:rPr>
                <w:color w:val="44526A"/>
                <w:sz w:val="18"/>
              </w:rPr>
              <w:t>2</w:t>
            </w:r>
          </w:p>
        </w:tc>
        <w:tc>
          <w:tcPr>
            <w:tcW w:w="2588" w:type="dxa"/>
          </w:tcPr>
          <w:p w:rsidR="00C76E6D" w:rsidRDefault="00913831">
            <w:pPr>
              <w:pStyle w:val="TableParagraph"/>
              <w:spacing w:before="16"/>
              <w:ind w:left="760" w:right="730"/>
              <w:jc w:val="center"/>
              <w:rPr>
                <w:sz w:val="18"/>
              </w:rPr>
            </w:pPr>
            <w:r>
              <w:rPr>
                <w:color w:val="44526A"/>
                <w:spacing w:val="-4"/>
                <w:sz w:val="18"/>
              </w:rPr>
              <w:t>11.3</w:t>
            </w:r>
          </w:p>
        </w:tc>
      </w:tr>
      <w:tr w:rsidR="00C76E6D">
        <w:trPr>
          <w:trHeight w:val="271"/>
        </w:trPr>
        <w:tc>
          <w:tcPr>
            <w:tcW w:w="1357" w:type="dxa"/>
            <w:tcBorders>
              <w:left w:val="nil"/>
            </w:tcBorders>
          </w:tcPr>
          <w:p w:rsidR="00C76E6D" w:rsidRDefault="00913831">
            <w:pPr>
              <w:pStyle w:val="TableParagraph"/>
              <w:spacing w:before="11"/>
              <w:ind w:left="212"/>
              <w:rPr>
                <w:sz w:val="18"/>
              </w:rPr>
            </w:pPr>
            <w:r>
              <w:rPr>
                <w:color w:val="44526A"/>
                <w:sz w:val="18"/>
              </w:rPr>
              <w:t>LGBTQ</w:t>
            </w:r>
            <w:r>
              <w:rPr>
                <w:color w:val="44526A"/>
                <w:spacing w:val="-8"/>
                <w:sz w:val="18"/>
              </w:rPr>
              <w:t xml:space="preserve"> </w:t>
            </w:r>
            <w:r>
              <w:rPr>
                <w:color w:val="44526A"/>
                <w:spacing w:val="-4"/>
                <w:sz w:val="18"/>
              </w:rPr>
              <w:t>Male</w:t>
            </w:r>
          </w:p>
        </w:tc>
        <w:tc>
          <w:tcPr>
            <w:tcW w:w="2608" w:type="dxa"/>
          </w:tcPr>
          <w:p w:rsidR="00C76E6D" w:rsidRDefault="00913831">
            <w:pPr>
              <w:pStyle w:val="TableParagraph"/>
              <w:spacing w:before="16"/>
              <w:ind w:left="513" w:right="498"/>
              <w:jc w:val="center"/>
              <w:rPr>
                <w:sz w:val="18"/>
              </w:rPr>
            </w:pPr>
            <w:r>
              <w:rPr>
                <w:color w:val="44526A"/>
                <w:spacing w:val="-5"/>
                <w:sz w:val="18"/>
              </w:rPr>
              <w:t>13</w:t>
            </w:r>
          </w:p>
        </w:tc>
        <w:tc>
          <w:tcPr>
            <w:tcW w:w="2598" w:type="dxa"/>
          </w:tcPr>
          <w:p w:rsidR="00C76E6D" w:rsidRDefault="00913831">
            <w:pPr>
              <w:pStyle w:val="TableParagraph"/>
              <w:spacing w:before="16"/>
              <w:ind w:left="905" w:right="888"/>
              <w:jc w:val="center"/>
              <w:rPr>
                <w:sz w:val="18"/>
              </w:rPr>
            </w:pPr>
            <w:r>
              <w:rPr>
                <w:color w:val="44526A"/>
                <w:spacing w:val="-5"/>
                <w:sz w:val="18"/>
              </w:rPr>
              <w:t>2.9</w:t>
            </w:r>
          </w:p>
        </w:tc>
        <w:tc>
          <w:tcPr>
            <w:tcW w:w="2588" w:type="dxa"/>
          </w:tcPr>
          <w:p w:rsidR="00C76E6D" w:rsidRDefault="00913831">
            <w:pPr>
              <w:pStyle w:val="TableParagraph"/>
              <w:spacing w:before="16"/>
              <w:ind w:left="760" w:right="730"/>
              <w:jc w:val="center"/>
              <w:rPr>
                <w:sz w:val="18"/>
              </w:rPr>
            </w:pPr>
            <w:r>
              <w:rPr>
                <w:color w:val="44526A"/>
                <w:spacing w:val="-4"/>
                <w:sz w:val="18"/>
              </w:rPr>
              <w:t>13.7</w:t>
            </w:r>
          </w:p>
        </w:tc>
      </w:tr>
      <w:tr w:rsidR="00C76E6D">
        <w:trPr>
          <w:trHeight w:val="272"/>
        </w:trPr>
        <w:tc>
          <w:tcPr>
            <w:tcW w:w="1357" w:type="dxa"/>
            <w:tcBorders>
              <w:left w:val="nil"/>
            </w:tcBorders>
          </w:tcPr>
          <w:p w:rsidR="00C76E6D" w:rsidRDefault="00913831">
            <w:pPr>
              <w:pStyle w:val="TableParagraph"/>
              <w:spacing w:before="11"/>
              <w:ind w:right="45"/>
              <w:jc w:val="right"/>
              <w:rPr>
                <w:sz w:val="18"/>
              </w:rPr>
            </w:pPr>
            <w:r>
              <w:rPr>
                <w:color w:val="44526A"/>
                <w:sz w:val="18"/>
              </w:rPr>
              <w:t>Het-Cis</w:t>
            </w:r>
            <w:r>
              <w:rPr>
                <w:color w:val="44526A"/>
                <w:spacing w:val="-9"/>
                <w:sz w:val="18"/>
              </w:rPr>
              <w:t xml:space="preserve"> </w:t>
            </w:r>
            <w:r>
              <w:rPr>
                <w:color w:val="44526A"/>
                <w:spacing w:val="-2"/>
                <w:sz w:val="18"/>
              </w:rPr>
              <w:t>Female</w:t>
            </w:r>
          </w:p>
        </w:tc>
        <w:tc>
          <w:tcPr>
            <w:tcW w:w="2608" w:type="dxa"/>
          </w:tcPr>
          <w:p w:rsidR="00C76E6D" w:rsidRDefault="00913831">
            <w:pPr>
              <w:pStyle w:val="TableParagraph"/>
              <w:spacing w:before="15"/>
              <w:ind w:left="514" w:right="494"/>
              <w:jc w:val="center"/>
              <w:rPr>
                <w:sz w:val="18"/>
              </w:rPr>
            </w:pPr>
            <w:r>
              <w:rPr>
                <w:color w:val="44526A"/>
                <w:spacing w:val="-5"/>
                <w:sz w:val="18"/>
              </w:rPr>
              <w:t>2.6</w:t>
            </w:r>
          </w:p>
        </w:tc>
        <w:tc>
          <w:tcPr>
            <w:tcW w:w="2598" w:type="dxa"/>
          </w:tcPr>
          <w:p w:rsidR="00C76E6D" w:rsidRDefault="00913831">
            <w:pPr>
              <w:pStyle w:val="TableParagraph"/>
              <w:spacing w:before="15"/>
              <w:ind w:left="905" w:right="888"/>
              <w:jc w:val="center"/>
              <w:rPr>
                <w:sz w:val="18"/>
              </w:rPr>
            </w:pPr>
            <w:r>
              <w:rPr>
                <w:color w:val="44526A"/>
                <w:spacing w:val="-5"/>
                <w:sz w:val="18"/>
              </w:rPr>
              <w:t>1.8</w:t>
            </w:r>
          </w:p>
        </w:tc>
        <w:tc>
          <w:tcPr>
            <w:tcW w:w="2588" w:type="dxa"/>
          </w:tcPr>
          <w:p w:rsidR="00C76E6D" w:rsidRDefault="00913831">
            <w:pPr>
              <w:pStyle w:val="TableParagraph"/>
              <w:spacing w:before="15"/>
              <w:ind w:left="760" w:right="730"/>
              <w:jc w:val="center"/>
              <w:rPr>
                <w:sz w:val="18"/>
              </w:rPr>
            </w:pPr>
            <w:r>
              <w:rPr>
                <w:color w:val="44526A"/>
                <w:spacing w:val="-4"/>
                <w:sz w:val="18"/>
              </w:rPr>
              <w:t>12.4</w:t>
            </w:r>
          </w:p>
        </w:tc>
      </w:tr>
      <w:tr w:rsidR="00C76E6D">
        <w:trPr>
          <w:trHeight w:val="271"/>
        </w:trPr>
        <w:tc>
          <w:tcPr>
            <w:tcW w:w="1357" w:type="dxa"/>
          </w:tcPr>
          <w:p w:rsidR="00C76E6D" w:rsidRDefault="00913831">
            <w:pPr>
              <w:pStyle w:val="TableParagraph"/>
              <w:spacing w:before="9"/>
              <w:ind w:left="212"/>
              <w:rPr>
                <w:sz w:val="18"/>
              </w:rPr>
            </w:pPr>
            <w:r>
              <w:rPr>
                <w:color w:val="44526A"/>
                <w:sz w:val="18"/>
              </w:rPr>
              <w:t>Het-Cis</w:t>
            </w:r>
            <w:r>
              <w:rPr>
                <w:color w:val="44526A"/>
                <w:spacing w:val="-7"/>
                <w:sz w:val="18"/>
              </w:rPr>
              <w:t xml:space="preserve"> </w:t>
            </w:r>
            <w:r>
              <w:rPr>
                <w:color w:val="44526A"/>
                <w:spacing w:val="-4"/>
                <w:sz w:val="18"/>
              </w:rPr>
              <w:t>Male</w:t>
            </w:r>
          </w:p>
        </w:tc>
        <w:tc>
          <w:tcPr>
            <w:tcW w:w="2608" w:type="dxa"/>
          </w:tcPr>
          <w:p w:rsidR="00C76E6D" w:rsidRDefault="00913831">
            <w:pPr>
              <w:pStyle w:val="TableParagraph"/>
              <w:spacing w:before="14"/>
              <w:ind w:left="514" w:right="495"/>
              <w:jc w:val="center"/>
              <w:rPr>
                <w:sz w:val="18"/>
              </w:rPr>
            </w:pPr>
            <w:r>
              <w:rPr>
                <w:color w:val="44526A"/>
                <w:spacing w:val="-5"/>
                <w:sz w:val="18"/>
              </w:rPr>
              <w:t>5.1</w:t>
            </w:r>
          </w:p>
        </w:tc>
        <w:tc>
          <w:tcPr>
            <w:tcW w:w="2598" w:type="dxa"/>
          </w:tcPr>
          <w:p w:rsidR="00C76E6D" w:rsidRDefault="00913831">
            <w:pPr>
              <w:pStyle w:val="TableParagraph"/>
              <w:spacing w:before="14"/>
              <w:ind w:left="905" w:right="888"/>
              <w:jc w:val="center"/>
              <w:rPr>
                <w:sz w:val="18"/>
              </w:rPr>
            </w:pPr>
            <w:r>
              <w:rPr>
                <w:color w:val="44526A"/>
                <w:spacing w:val="-5"/>
                <w:sz w:val="18"/>
              </w:rPr>
              <w:t>8.9</w:t>
            </w:r>
          </w:p>
        </w:tc>
        <w:tc>
          <w:tcPr>
            <w:tcW w:w="2588" w:type="dxa"/>
          </w:tcPr>
          <w:p w:rsidR="00C76E6D" w:rsidRDefault="00913831">
            <w:pPr>
              <w:pStyle w:val="TableParagraph"/>
              <w:spacing w:before="14"/>
              <w:ind w:left="760" w:right="730"/>
              <w:jc w:val="center"/>
              <w:rPr>
                <w:sz w:val="18"/>
              </w:rPr>
            </w:pPr>
            <w:r>
              <w:rPr>
                <w:color w:val="44526A"/>
                <w:spacing w:val="-4"/>
                <w:sz w:val="18"/>
              </w:rPr>
              <w:t>13.1</w:t>
            </w:r>
          </w:p>
        </w:tc>
      </w:tr>
    </w:tbl>
    <w:p w:rsidR="00C76E6D" w:rsidRDefault="00C76E6D">
      <w:pPr>
        <w:jc w:val="center"/>
        <w:rPr>
          <w:sz w:val="18"/>
        </w:rPr>
        <w:sectPr w:rsidR="00C76E6D">
          <w:pgSz w:w="12240" w:h="15840"/>
          <w:pgMar w:top="1000" w:right="960" w:bottom="1060" w:left="960" w:header="779" w:footer="864" w:gutter="0"/>
          <w:cols w:space="720"/>
        </w:sectPr>
      </w:pPr>
    </w:p>
    <w:p w:rsidR="00C76E6D" w:rsidRDefault="00913831">
      <w:pPr>
        <w:pStyle w:val="BodyText"/>
        <w:spacing w:before="8"/>
        <w:rPr>
          <w:sz w:val="28"/>
        </w:rPr>
      </w:pPr>
      <w:r>
        <w:lastRenderedPageBreak/>
        <w:pict>
          <v:group id="docshapegroup189" o:spid="_x0000_s1235" style="position:absolute;margin-left:169.4pt;margin-top:350.1pt;width:336.95pt;height:79.25pt;z-index:-21191680;mso-position-horizontal-relative:page;mso-position-vertical-relative:page" coordorigin="3388,7002" coordsize="6739,1585">
            <v:shape id="docshape190" o:spid="_x0000_s1237" style="position:absolute;left:3410;top:7759;width:6694;height:805" coordorigin="3410,7759" coordsize="6694,805" path="m3410,8144r669,-69l4749,7781r669,76l6088,7759r669,91l7427,7815r668,183l8765,7823r670,482l10104,8564e" filled="f" strokecolor="#4470c4" strokeweight="2.25pt">
              <v:path arrowok="t"/>
            </v:shape>
            <v:shape id="docshape191" o:spid="_x0000_s1236" style="position:absolute;left:3410;top:7024;width:6694;height:1274" coordorigin="3410,7024" coordsize="6694,1274" path="m3410,7080r669,-13l4749,7024r669,147l6088,7116r669,294l7427,7494r668,245l8765,7662r670,329l10104,8298e" filled="f" strokecolor="#a3a3a3" strokeweight="2.25pt">
              <v:path arrowok="t"/>
            </v:shape>
            <w10:wrap anchorx="page" anchory="page"/>
          </v:group>
        </w:pict>
      </w:r>
    </w:p>
    <w:p w:rsidR="00C76E6D" w:rsidRDefault="00913831">
      <w:pPr>
        <w:pStyle w:val="Heading5"/>
        <w:numPr>
          <w:ilvl w:val="0"/>
          <w:numId w:val="54"/>
        </w:numPr>
        <w:tabs>
          <w:tab w:val="left" w:pos="730"/>
        </w:tabs>
        <w:spacing w:before="51"/>
        <w:ind w:left="729" w:hanging="252"/>
        <w:jc w:val="left"/>
      </w:pPr>
      <w:r>
        <w:pict>
          <v:shape id="docshape192" o:spid="_x0000_s1234" style="position:absolute;left:0;text-align:left;margin-left:70.6pt;margin-top:18.95pt;width:470.95pt;height:.1pt;z-index:-15707136;mso-wrap-distance-left:0;mso-wrap-distance-right:0;mso-position-horizontal-relative:page" coordorigin="1412,379" coordsize="9419,0" path="m1412,379r9419,e" filled="f" strokeweight="1.54pt">
            <v:path arrowok="t"/>
            <w10:wrap type="topAndBottom" anchorx="page"/>
          </v:shape>
        </w:pict>
      </w:r>
      <w:bookmarkStart w:id="21" w:name="B._HIV_and_AIDS_Education_in_Massachuset"/>
      <w:bookmarkEnd w:id="21"/>
      <w:r>
        <w:t>HIV</w:t>
      </w:r>
      <w:r>
        <w:rPr>
          <w:spacing w:val="-10"/>
        </w:rPr>
        <w:t xml:space="preserve"> </w:t>
      </w:r>
      <w:r>
        <w:t>and</w:t>
      </w:r>
      <w:r>
        <w:rPr>
          <w:spacing w:val="-8"/>
        </w:rPr>
        <w:t xml:space="preserve"> </w:t>
      </w:r>
      <w:r>
        <w:t>AIDS</w:t>
      </w:r>
      <w:r>
        <w:rPr>
          <w:spacing w:val="-10"/>
        </w:rPr>
        <w:t xml:space="preserve"> </w:t>
      </w:r>
      <w:r>
        <w:t>Education</w:t>
      </w:r>
      <w:r>
        <w:rPr>
          <w:spacing w:val="-12"/>
        </w:rPr>
        <w:t xml:space="preserve"> </w:t>
      </w:r>
      <w:r>
        <w:t>in</w:t>
      </w:r>
      <w:r>
        <w:rPr>
          <w:spacing w:val="-9"/>
        </w:rPr>
        <w:t xml:space="preserve"> </w:t>
      </w:r>
      <w:r>
        <w:rPr>
          <w:spacing w:val="-2"/>
        </w:rPr>
        <w:t>Massachusetts</w:t>
      </w:r>
    </w:p>
    <w:p w:rsidR="00C76E6D" w:rsidRDefault="00C76E6D">
      <w:pPr>
        <w:pStyle w:val="BodyText"/>
        <w:spacing w:before="11"/>
        <w:rPr>
          <w:b/>
          <w:sz w:val="31"/>
        </w:rPr>
      </w:pPr>
    </w:p>
    <w:p w:rsidR="00C76E6D" w:rsidRDefault="00913831">
      <w:pPr>
        <w:pStyle w:val="BodyText"/>
        <w:spacing w:line="276" w:lineRule="auto"/>
        <w:ind w:left="480" w:right="475"/>
        <w:jc w:val="both"/>
      </w:pPr>
      <w:r>
        <w:t>The percentage of LGBTQ and het-cis youth who report receiving AIDS education in school declined significantly</w:t>
      </w:r>
      <w:r>
        <w:rPr>
          <w:spacing w:val="-13"/>
        </w:rPr>
        <w:t xml:space="preserve"> </w:t>
      </w:r>
      <w:r>
        <w:t>between</w:t>
      </w:r>
      <w:r>
        <w:rPr>
          <w:spacing w:val="-12"/>
        </w:rPr>
        <w:t xml:space="preserve"> </w:t>
      </w:r>
      <w:r>
        <w:t>1997-2017,</w:t>
      </w:r>
      <w:hyperlink w:anchor="_bookmark9" w:history="1">
        <w:r>
          <w:rPr>
            <w:vertAlign w:val="superscript"/>
          </w:rPr>
          <w:t>2</w:t>
        </w:r>
        <w:r>
          <w:rPr>
            <w:spacing w:val="-13"/>
          </w:rPr>
          <w:t xml:space="preserve"> </w:t>
        </w:r>
      </w:hyperlink>
      <w:r>
        <w:t>with</w:t>
      </w:r>
      <w:r>
        <w:rPr>
          <w:spacing w:val="-12"/>
        </w:rPr>
        <w:t xml:space="preserve"> </w:t>
      </w:r>
      <w:r>
        <w:t>particularly</w:t>
      </w:r>
      <w:r>
        <w:rPr>
          <w:spacing w:val="-13"/>
        </w:rPr>
        <w:t xml:space="preserve"> </w:t>
      </w:r>
      <w:r>
        <w:t>sharp</w:t>
      </w:r>
      <w:r>
        <w:rPr>
          <w:spacing w:val="-12"/>
        </w:rPr>
        <w:t xml:space="preserve"> </w:t>
      </w:r>
      <w:r>
        <w:t>declines</w:t>
      </w:r>
      <w:r>
        <w:rPr>
          <w:spacing w:val="-13"/>
        </w:rPr>
        <w:t xml:space="preserve"> </w:t>
      </w:r>
      <w:r>
        <w:t>from</w:t>
      </w:r>
      <w:r>
        <w:rPr>
          <w:spacing w:val="-12"/>
        </w:rPr>
        <w:t xml:space="preserve"> </w:t>
      </w:r>
      <w:r>
        <w:t>2013-2017</w:t>
      </w:r>
      <w:r>
        <w:rPr>
          <w:spacing w:val="-12"/>
        </w:rPr>
        <w:t xml:space="preserve"> </w:t>
      </w:r>
      <w:r>
        <w:t>(see</w:t>
      </w:r>
      <w:r>
        <w:rPr>
          <w:spacing w:val="-12"/>
        </w:rPr>
        <w:t xml:space="preserve"> </w:t>
      </w:r>
      <w:r>
        <w:t>Figure</w:t>
      </w:r>
      <w:r>
        <w:rPr>
          <w:spacing w:val="-12"/>
        </w:rPr>
        <w:t xml:space="preserve"> </w:t>
      </w:r>
      <w:r>
        <w:t>8).</w:t>
      </w:r>
      <w:r>
        <w:rPr>
          <w:spacing w:val="-11"/>
        </w:rPr>
        <w:t xml:space="preserve"> </w:t>
      </w:r>
      <w:r>
        <w:t>The</w:t>
      </w:r>
      <w:r>
        <w:rPr>
          <w:spacing w:val="-12"/>
        </w:rPr>
        <w:t xml:space="preserve"> </w:t>
      </w:r>
      <w:r>
        <w:t>CDC has also reported decli</w:t>
      </w:r>
      <w:r>
        <w:t>nes on the national level.</w:t>
      </w:r>
      <w:hyperlink w:anchor="_bookmark10" w:history="1">
        <w:r>
          <w:rPr>
            <w:vertAlign w:val="superscript"/>
          </w:rPr>
          <w:t>3</w:t>
        </w:r>
      </w:hyperlink>
    </w:p>
    <w:p w:rsidR="00C76E6D" w:rsidRDefault="00C76E6D">
      <w:pPr>
        <w:pStyle w:val="BodyText"/>
        <w:spacing w:before="3"/>
        <w:rPr>
          <w:sz w:val="25"/>
        </w:rPr>
      </w:pPr>
    </w:p>
    <w:p w:rsidR="00C76E6D" w:rsidRDefault="00913831">
      <w:pPr>
        <w:pStyle w:val="BodyText"/>
        <w:spacing w:line="276" w:lineRule="auto"/>
        <w:ind w:left="478" w:right="476"/>
        <w:jc w:val="both"/>
      </w:pPr>
      <w:r>
        <w:t>In 2017, 72.7% of LGBTQ youth and 76.5% of het-cis youth reported receiving such education. LGBTQ youth</w:t>
      </w:r>
      <w:r>
        <w:rPr>
          <w:spacing w:val="-3"/>
        </w:rPr>
        <w:t xml:space="preserve"> </w:t>
      </w:r>
      <w:r>
        <w:t>are</w:t>
      </w:r>
      <w:r>
        <w:rPr>
          <w:spacing w:val="-4"/>
        </w:rPr>
        <w:t xml:space="preserve"> </w:t>
      </w:r>
      <w:r>
        <w:t>less</w:t>
      </w:r>
      <w:r>
        <w:rPr>
          <w:spacing w:val="-3"/>
        </w:rPr>
        <w:t xml:space="preserve"> </w:t>
      </w:r>
      <w:r>
        <w:t>likely</w:t>
      </w:r>
      <w:r>
        <w:rPr>
          <w:spacing w:val="-2"/>
        </w:rPr>
        <w:t xml:space="preserve"> </w:t>
      </w:r>
      <w:r>
        <w:t>to</w:t>
      </w:r>
      <w:r>
        <w:rPr>
          <w:spacing w:val="-2"/>
        </w:rPr>
        <w:t xml:space="preserve"> </w:t>
      </w:r>
      <w:r>
        <w:t>report</w:t>
      </w:r>
      <w:r>
        <w:rPr>
          <w:spacing w:val="-5"/>
        </w:rPr>
        <w:t xml:space="preserve"> </w:t>
      </w:r>
      <w:r>
        <w:t>receiving</w:t>
      </w:r>
      <w:r>
        <w:rPr>
          <w:spacing w:val="-1"/>
        </w:rPr>
        <w:t xml:space="preserve"> </w:t>
      </w:r>
      <w:r>
        <w:t>AIDS</w:t>
      </w:r>
      <w:r>
        <w:rPr>
          <w:spacing w:val="-3"/>
        </w:rPr>
        <w:t xml:space="preserve"> </w:t>
      </w:r>
      <w:r>
        <w:t>education</w:t>
      </w:r>
      <w:r>
        <w:rPr>
          <w:spacing w:val="-3"/>
        </w:rPr>
        <w:t xml:space="preserve"> </w:t>
      </w:r>
      <w:r>
        <w:t>in</w:t>
      </w:r>
      <w:r>
        <w:rPr>
          <w:spacing w:val="-4"/>
        </w:rPr>
        <w:t xml:space="preserve"> </w:t>
      </w:r>
      <w:r>
        <w:t>school</w:t>
      </w:r>
      <w:r>
        <w:rPr>
          <w:spacing w:val="-3"/>
        </w:rPr>
        <w:t xml:space="preserve"> </w:t>
      </w:r>
      <w:r>
        <w:t>than</w:t>
      </w:r>
      <w:r>
        <w:rPr>
          <w:spacing w:val="-3"/>
        </w:rPr>
        <w:t xml:space="preserve"> </w:t>
      </w:r>
      <w:r>
        <w:t>het-cis</w:t>
      </w:r>
      <w:r>
        <w:rPr>
          <w:spacing w:val="-3"/>
        </w:rPr>
        <w:t xml:space="preserve"> </w:t>
      </w:r>
      <w:r>
        <w:t>youth,</w:t>
      </w:r>
      <w:r>
        <w:rPr>
          <w:spacing w:val="-3"/>
        </w:rPr>
        <w:t xml:space="preserve"> </w:t>
      </w:r>
      <w:r>
        <w:t>but</w:t>
      </w:r>
      <w:r>
        <w:rPr>
          <w:spacing w:val="-3"/>
        </w:rPr>
        <w:t xml:space="preserve"> </w:t>
      </w:r>
      <w:r>
        <w:t>the</w:t>
      </w:r>
      <w:r>
        <w:rPr>
          <w:spacing w:val="-2"/>
        </w:rPr>
        <w:t xml:space="preserve"> </w:t>
      </w:r>
      <w:r>
        <w:t>gap</w:t>
      </w:r>
      <w:r>
        <w:rPr>
          <w:spacing w:val="-3"/>
        </w:rPr>
        <w:t xml:space="preserve"> </w:t>
      </w:r>
      <w:r>
        <w:t>between those two groups has declined from an 11.2% difference in 1997 to a 3.8% difference in 2017. However, that narrowing of the AIDS education gap has resulted largely from the decreases in the percentage of het-cis youth who report receiving it, so t</w:t>
      </w:r>
      <w:r>
        <w:t>his decreasing disparity is not good news.</w:t>
      </w:r>
    </w:p>
    <w:p w:rsidR="00C76E6D" w:rsidRDefault="00C76E6D">
      <w:pPr>
        <w:pStyle w:val="BodyText"/>
        <w:rPr>
          <w:sz w:val="20"/>
        </w:rPr>
      </w:pPr>
    </w:p>
    <w:p w:rsidR="00C76E6D" w:rsidRDefault="00C76E6D">
      <w:pPr>
        <w:pStyle w:val="BodyText"/>
        <w:spacing w:before="8"/>
        <w:rPr>
          <w:sz w:val="29"/>
        </w:rPr>
      </w:pPr>
    </w:p>
    <w:tbl>
      <w:tblPr>
        <w:tblW w:w="0" w:type="auto"/>
        <w:tblInd w:w="844"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240"/>
        <w:gridCol w:w="1037"/>
        <w:gridCol w:w="670"/>
        <w:gridCol w:w="670"/>
        <w:gridCol w:w="671"/>
        <w:gridCol w:w="670"/>
        <w:gridCol w:w="670"/>
        <w:gridCol w:w="671"/>
        <w:gridCol w:w="669"/>
        <w:gridCol w:w="670"/>
        <w:gridCol w:w="671"/>
        <w:gridCol w:w="670"/>
        <w:gridCol w:w="669"/>
      </w:tblGrid>
      <w:tr w:rsidR="00C76E6D">
        <w:trPr>
          <w:trHeight w:val="1092"/>
        </w:trPr>
        <w:tc>
          <w:tcPr>
            <w:tcW w:w="8648" w:type="dxa"/>
            <w:gridSpan w:val="13"/>
            <w:tcBorders>
              <w:top w:val="nil"/>
              <w:bottom w:val="nil"/>
            </w:tcBorders>
          </w:tcPr>
          <w:p w:rsidR="00C76E6D" w:rsidRDefault="00913831">
            <w:pPr>
              <w:pStyle w:val="TableParagraph"/>
              <w:spacing w:before="148"/>
              <w:ind w:left="3198" w:right="821" w:hanging="2235"/>
              <w:rPr>
                <w:b/>
                <w:sz w:val="24"/>
              </w:rPr>
            </w:pPr>
            <w:r>
              <w:rPr>
                <w:b/>
                <w:color w:val="575757"/>
                <w:sz w:val="24"/>
              </w:rPr>
              <w:t>FIGURE</w:t>
            </w:r>
            <w:r>
              <w:rPr>
                <w:b/>
                <w:color w:val="575757"/>
                <w:spacing w:val="-14"/>
                <w:sz w:val="24"/>
              </w:rPr>
              <w:t xml:space="preserve"> </w:t>
            </w:r>
            <w:r>
              <w:rPr>
                <w:b/>
                <w:color w:val="575757"/>
                <w:sz w:val="24"/>
              </w:rPr>
              <w:t>8.</w:t>
            </w:r>
            <w:r>
              <w:rPr>
                <w:b/>
                <w:color w:val="575757"/>
                <w:spacing w:val="-13"/>
                <w:sz w:val="24"/>
              </w:rPr>
              <w:t xml:space="preserve"> </w:t>
            </w:r>
            <w:r>
              <w:rPr>
                <w:b/>
                <w:color w:val="575757"/>
                <w:sz w:val="24"/>
              </w:rPr>
              <w:t>PERCENT</w:t>
            </w:r>
            <w:r>
              <w:rPr>
                <w:b/>
                <w:color w:val="575757"/>
                <w:spacing w:val="-13"/>
                <w:sz w:val="24"/>
              </w:rPr>
              <w:t xml:space="preserve"> </w:t>
            </w:r>
            <w:r>
              <w:rPr>
                <w:b/>
                <w:color w:val="575757"/>
                <w:sz w:val="24"/>
              </w:rPr>
              <w:t>OF</w:t>
            </w:r>
            <w:r>
              <w:rPr>
                <w:b/>
                <w:color w:val="575757"/>
                <w:spacing w:val="-14"/>
                <w:sz w:val="24"/>
              </w:rPr>
              <w:t xml:space="preserve"> </w:t>
            </w:r>
            <w:r>
              <w:rPr>
                <w:b/>
                <w:color w:val="575757"/>
                <w:sz w:val="24"/>
              </w:rPr>
              <w:t>STUDENTS</w:t>
            </w:r>
            <w:r>
              <w:rPr>
                <w:b/>
                <w:color w:val="575757"/>
                <w:spacing w:val="-14"/>
                <w:sz w:val="24"/>
              </w:rPr>
              <w:t xml:space="preserve"> </w:t>
            </w:r>
            <w:r>
              <w:rPr>
                <w:b/>
                <w:color w:val="575757"/>
                <w:sz w:val="24"/>
              </w:rPr>
              <w:t>WHO</w:t>
            </w:r>
            <w:r>
              <w:rPr>
                <w:b/>
                <w:color w:val="575757"/>
                <w:spacing w:val="-13"/>
                <w:sz w:val="24"/>
              </w:rPr>
              <w:t xml:space="preserve"> </w:t>
            </w:r>
            <w:r>
              <w:rPr>
                <w:b/>
                <w:color w:val="575757"/>
                <w:sz w:val="24"/>
              </w:rPr>
              <w:t>RECEIVED</w:t>
            </w:r>
            <w:r>
              <w:rPr>
                <w:b/>
                <w:color w:val="575757"/>
                <w:spacing w:val="-13"/>
                <w:sz w:val="24"/>
              </w:rPr>
              <w:t xml:space="preserve"> </w:t>
            </w:r>
            <w:r>
              <w:rPr>
                <w:b/>
                <w:color w:val="575757"/>
                <w:sz w:val="24"/>
              </w:rPr>
              <w:t>AIDS</w:t>
            </w:r>
            <w:r>
              <w:rPr>
                <w:b/>
                <w:color w:val="575757"/>
                <w:spacing w:val="-13"/>
                <w:sz w:val="24"/>
              </w:rPr>
              <w:t xml:space="preserve"> </w:t>
            </w:r>
            <w:r>
              <w:rPr>
                <w:b/>
                <w:color w:val="575757"/>
                <w:sz w:val="24"/>
              </w:rPr>
              <w:t>EDUCATION IN SCHOOL, 1997-2017</w:t>
            </w:r>
          </w:p>
        </w:tc>
      </w:tr>
      <w:tr w:rsidR="00C76E6D">
        <w:trPr>
          <w:trHeight w:val="334"/>
        </w:trPr>
        <w:tc>
          <w:tcPr>
            <w:tcW w:w="1277" w:type="dxa"/>
            <w:gridSpan w:val="2"/>
            <w:vMerge w:val="restart"/>
            <w:tcBorders>
              <w:top w:val="nil"/>
              <w:right w:val="nil"/>
            </w:tcBorders>
          </w:tcPr>
          <w:p w:rsidR="00C76E6D" w:rsidRDefault="00C76E6D">
            <w:pPr>
              <w:pStyle w:val="TableParagraph"/>
              <w:rPr>
                <w:rFonts w:ascii="Times New Roman"/>
                <w:sz w:val="20"/>
              </w:rPr>
            </w:pPr>
          </w:p>
        </w:tc>
        <w:tc>
          <w:tcPr>
            <w:tcW w:w="7371" w:type="dxa"/>
            <w:gridSpan w:val="11"/>
            <w:tcBorders>
              <w:left w:val="nil"/>
            </w:tcBorders>
          </w:tcPr>
          <w:p w:rsidR="00C76E6D" w:rsidRDefault="00C76E6D">
            <w:pPr>
              <w:pStyle w:val="TableParagraph"/>
              <w:rPr>
                <w:rFonts w:ascii="Times New Roman"/>
                <w:sz w:val="20"/>
              </w:rPr>
            </w:pPr>
          </w:p>
        </w:tc>
      </w:tr>
      <w:tr w:rsidR="00C76E6D">
        <w:trPr>
          <w:trHeight w:val="334"/>
        </w:trPr>
        <w:tc>
          <w:tcPr>
            <w:tcW w:w="1277" w:type="dxa"/>
            <w:gridSpan w:val="2"/>
            <w:vMerge/>
            <w:tcBorders>
              <w:top w:val="nil"/>
              <w:right w:val="nil"/>
            </w:tcBorders>
          </w:tcPr>
          <w:p w:rsidR="00C76E6D" w:rsidRDefault="00C76E6D">
            <w:pPr>
              <w:rPr>
                <w:sz w:val="2"/>
                <w:szCs w:val="2"/>
              </w:rPr>
            </w:pPr>
          </w:p>
        </w:tc>
        <w:tc>
          <w:tcPr>
            <w:tcW w:w="7371" w:type="dxa"/>
            <w:gridSpan w:val="11"/>
            <w:tcBorders>
              <w:left w:val="nil"/>
            </w:tcBorders>
          </w:tcPr>
          <w:p w:rsidR="00C76E6D" w:rsidRDefault="00913831">
            <w:pPr>
              <w:pStyle w:val="TableParagraph"/>
              <w:tabs>
                <w:tab w:val="left" w:pos="947"/>
                <w:tab w:val="left" w:pos="1618"/>
                <w:tab w:val="left" w:pos="2285"/>
                <w:tab w:val="left" w:pos="2955"/>
              </w:tabs>
              <w:spacing w:line="198" w:lineRule="exact"/>
              <w:ind w:left="277"/>
              <w:rPr>
                <w:sz w:val="11"/>
              </w:rPr>
            </w:pPr>
            <w:r>
              <w:rPr>
                <w:noProof/>
                <w:position w:val="4"/>
                <w:sz w:val="11"/>
              </w:rPr>
              <w:drawing>
                <wp:inline distT="0" distB="0" distL="0" distR="0">
                  <wp:extent cx="72866" cy="72866"/>
                  <wp:effectExtent l="0" t="0" r="0" b="0"/>
                  <wp:docPr id="23"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7.png"/>
                          <pic:cNvPicPr/>
                        </pic:nvPicPr>
                        <pic:blipFill>
                          <a:blip r:embed="rId95" cstate="print"/>
                          <a:stretch>
                            <a:fillRect/>
                          </a:stretch>
                        </pic:blipFill>
                        <pic:spPr>
                          <a:xfrm>
                            <a:off x="0" y="0"/>
                            <a:ext cx="72866" cy="72866"/>
                          </a:xfrm>
                          <a:prstGeom prst="rect">
                            <a:avLst/>
                          </a:prstGeom>
                        </pic:spPr>
                      </pic:pic>
                    </a:graphicData>
                  </a:graphic>
                </wp:inline>
              </w:drawing>
            </w:r>
            <w:r>
              <w:rPr>
                <w:position w:val="4"/>
                <w:sz w:val="11"/>
              </w:rPr>
              <w:tab/>
            </w:r>
            <w:r>
              <w:rPr>
                <w:noProof/>
                <w:position w:val="5"/>
                <w:sz w:val="10"/>
              </w:rPr>
              <w:drawing>
                <wp:inline distT="0" distB="0" distL="0" distR="0">
                  <wp:extent cx="71775" cy="65722"/>
                  <wp:effectExtent l="0" t="0" r="0" b="0"/>
                  <wp:docPr id="25"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68.png"/>
                          <pic:cNvPicPr/>
                        </pic:nvPicPr>
                        <pic:blipFill>
                          <a:blip r:embed="rId96" cstate="print"/>
                          <a:stretch>
                            <a:fillRect/>
                          </a:stretch>
                        </pic:blipFill>
                        <pic:spPr>
                          <a:xfrm>
                            <a:off x="0" y="0"/>
                            <a:ext cx="71775" cy="65722"/>
                          </a:xfrm>
                          <a:prstGeom prst="rect">
                            <a:avLst/>
                          </a:prstGeom>
                        </pic:spPr>
                      </pic:pic>
                    </a:graphicData>
                  </a:graphic>
                </wp:inline>
              </w:drawing>
            </w:r>
            <w:r>
              <w:rPr>
                <w:position w:val="5"/>
                <w:sz w:val="10"/>
              </w:rPr>
              <w:tab/>
            </w:r>
            <w:r>
              <w:rPr>
                <w:noProof/>
                <w:position w:val="8"/>
                <w:sz w:val="7"/>
              </w:rPr>
              <w:drawing>
                <wp:inline distT="0" distB="0" distL="0" distR="0">
                  <wp:extent cx="70828" cy="47148"/>
                  <wp:effectExtent l="0" t="0" r="0" b="0"/>
                  <wp:docPr id="27"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7.png"/>
                          <pic:cNvPicPr/>
                        </pic:nvPicPr>
                        <pic:blipFill>
                          <a:blip r:embed="rId95" cstate="print"/>
                          <a:stretch>
                            <a:fillRect/>
                          </a:stretch>
                        </pic:blipFill>
                        <pic:spPr>
                          <a:xfrm>
                            <a:off x="0" y="0"/>
                            <a:ext cx="70828" cy="47148"/>
                          </a:xfrm>
                          <a:prstGeom prst="rect">
                            <a:avLst/>
                          </a:prstGeom>
                        </pic:spPr>
                      </pic:pic>
                    </a:graphicData>
                  </a:graphic>
                </wp:inline>
              </w:drawing>
            </w:r>
            <w:r>
              <w:rPr>
                <w:position w:val="8"/>
                <w:sz w:val="7"/>
              </w:rPr>
              <w:tab/>
            </w:r>
            <w:r>
              <w:rPr>
                <w:noProof/>
                <w:position w:val="-3"/>
                <w:sz w:val="11"/>
              </w:rPr>
              <w:drawing>
                <wp:inline distT="0" distB="0" distL="0" distR="0">
                  <wp:extent cx="72866" cy="72866"/>
                  <wp:effectExtent l="0" t="0" r="0" b="0"/>
                  <wp:docPr id="29"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7.png"/>
                          <pic:cNvPicPr/>
                        </pic:nvPicPr>
                        <pic:blipFill>
                          <a:blip r:embed="rId95" cstate="print"/>
                          <a:stretch>
                            <a:fillRect/>
                          </a:stretch>
                        </pic:blipFill>
                        <pic:spPr>
                          <a:xfrm>
                            <a:off x="0" y="0"/>
                            <a:ext cx="72866" cy="72866"/>
                          </a:xfrm>
                          <a:prstGeom prst="rect">
                            <a:avLst/>
                          </a:prstGeom>
                        </pic:spPr>
                      </pic:pic>
                    </a:graphicData>
                  </a:graphic>
                </wp:inline>
              </w:drawing>
            </w:r>
            <w:r>
              <w:rPr>
                <w:position w:val="-3"/>
                <w:sz w:val="11"/>
              </w:rPr>
              <w:tab/>
            </w:r>
            <w:r>
              <w:rPr>
                <w:noProof/>
                <w:sz w:val="11"/>
              </w:rPr>
              <w:drawing>
                <wp:inline distT="0" distB="0" distL="0" distR="0">
                  <wp:extent cx="72866" cy="72866"/>
                  <wp:effectExtent l="0" t="0" r="0" b="0"/>
                  <wp:docPr id="31"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7.png"/>
                          <pic:cNvPicPr/>
                        </pic:nvPicPr>
                        <pic:blipFill>
                          <a:blip r:embed="rId95" cstate="print"/>
                          <a:stretch>
                            <a:fillRect/>
                          </a:stretch>
                        </pic:blipFill>
                        <pic:spPr>
                          <a:xfrm>
                            <a:off x="0" y="0"/>
                            <a:ext cx="72866" cy="72866"/>
                          </a:xfrm>
                          <a:prstGeom prst="rect">
                            <a:avLst/>
                          </a:prstGeom>
                        </pic:spPr>
                      </pic:pic>
                    </a:graphicData>
                  </a:graphic>
                </wp:inline>
              </w:drawing>
            </w:r>
          </w:p>
        </w:tc>
      </w:tr>
      <w:tr w:rsidR="00C76E6D">
        <w:trPr>
          <w:trHeight w:val="335"/>
        </w:trPr>
        <w:tc>
          <w:tcPr>
            <w:tcW w:w="1277" w:type="dxa"/>
            <w:gridSpan w:val="2"/>
            <w:vMerge/>
            <w:tcBorders>
              <w:top w:val="nil"/>
              <w:right w:val="nil"/>
            </w:tcBorders>
          </w:tcPr>
          <w:p w:rsidR="00C76E6D" w:rsidRDefault="00C76E6D">
            <w:pPr>
              <w:rPr>
                <w:sz w:val="2"/>
                <w:szCs w:val="2"/>
              </w:rPr>
            </w:pPr>
          </w:p>
        </w:tc>
        <w:tc>
          <w:tcPr>
            <w:tcW w:w="7371" w:type="dxa"/>
            <w:gridSpan w:val="11"/>
            <w:tcBorders>
              <w:left w:val="nil"/>
            </w:tcBorders>
          </w:tcPr>
          <w:p w:rsidR="00C76E6D" w:rsidRDefault="00913831">
            <w:pPr>
              <w:pStyle w:val="TableParagraph"/>
              <w:tabs>
                <w:tab w:val="left" w:pos="4294"/>
              </w:tabs>
              <w:spacing w:line="174" w:lineRule="exact"/>
              <w:ind w:left="3624"/>
              <w:rPr>
                <w:sz w:val="11"/>
              </w:rPr>
            </w:pPr>
            <w:r>
              <w:rPr>
                <w:noProof/>
                <w:position w:val="4"/>
                <w:sz w:val="10"/>
              </w:rPr>
              <w:drawing>
                <wp:inline distT="0" distB="0" distL="0" distR="0">
                  <wp:extent cx="72299" cy="64008"/>
                  <wp:effectExtent l="0" t="0" r="0" b="0"/>
                  <wp:docPr id="33"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9.png"/>
                          <pic:cNvPicPr/>
                        </pic:nvPicPr>
                        <pic:blipFill>
                          <a:blip r:embed="rId97" cstate="print"/>
                          <a:stretch>
                            <a:fillRect/>
                          </a:stretch>
                        </pic:blipFill>
                        <pic:spPr>
                          <a:xfrm>
                            <a:off x="0" y="0"/>
                            <a:ext cx="72299" cy="64008"/>
                          </a:xfrm>
                          <a:prstGeom prst="rect">
                            <a:avLst/>
                          </a:prstGeom>
                        </pic:spPr>
                      </pic:pic>
                    </a:graphicData>
                  </a:graphic>
                </wp:inline>
              </w:drawing>
            </w:r>
            <w:r>
              <w:rPr>
                <w:position w:val="4"/>
                <w:sz w:val="10"/>
              </w:rPr>
              <w:tab/>
            </w:r>
            <w:r>
              <w:rPr>
                <w:noProof/>
                <w:position w:val="-2"/>
                <w:sz w:val="11"/>
              </w:rPr>
              <w:drawing>
                <wp:inline distT="0" distB="0" distL="0" distR="0">
                  <wp:extent cx="72866" cy="72866"/>
                  <wp:effectExtent l="0" t="0" r="0" b="0"/>
                  <wp:docPr id="35"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67.png"/>
                          <pic:cNvPicPr/>
                        </pic:nvPicPr>
                        <pic:blipFill>
                          <a:blip r:embed="rId95" cstate="print"/>
                          <a:stretch>
                            <a:fillRect/>
                          </a:stretch>
                        </pic:blipFill>
                        <pic:spPr>
                          <a:xfrm>
                            <a:off x="0" y="0"/>
                            <a:ext cx="72866" cy="72866"/>
                          </a:xfrm>
                          <a:prstGeom prst="rect">
                            <a:avLst/>
                          </a:prstGeom>
                        </pic:spPr>
                      </pic:pic>
                    </a:graphicData>
                  </a:graphic>
                </wp:inline>
              </w:drawing>
            </w:r>
          </w:p>
          <w:p w:rsidR="00C76E6D" w:rsidRDefault="00C76E6D">
            <w:pPr>
              <w:pStyle w:val="TableParagraph"/>
              <w:spacing w:before="10"/>
              <w:rPr>
                <w:sz w:val="4"/>
              </w:rPr>
            </w:pPr>
          </w:p>
          <w:p w:rsidR="00C76E6D" w:rsidRDefault="00913831">
            <w:pPr>
              <w:pStyle w:val="TableParagraph"/>
              <w:spacing w:line="92" w:lineRule="exact"/>
              <w:ind w:left="5633"/>
              <w:rPr>
                <w:sz w:val="9"/>
              </w:rPr>
            </w:pPr>
            <w:r>
              <w:rPr>
                <w:noProof/>
                <w:position w:val="-1"/>
                <w:sz w:val="9"/>
              </w:rPr>
              <w:drawing>
                <wp:inline distT="0" distB="0" distL="0" distR="0">
                  <wp:extent cx="71414" cy="58578"/>
                  <wp:effectExtent l="0" t="0" r="0" b="0"/>
                  <wp:docPr id="37"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67.png"/>
                          <pic:cNvPicPr/>
                        </pic:nvPicPr>
                        <pic:blipFill>
                          <a:blip r:embed="rId95" cstate="print"/>
                          <a:stretch>
                            <a:fillRect/>
                          </a:stretch>
                        </pic:blipFill>
                        <pic:spPr>
                          <a:xfrm>
                            <a:off x="0" y="0"/>
                            <a:ext cx="71414" cy="58578"/>
                          </a:xfrm>
                          <a:prstGeom prst="rect">
                            <a:avLst/>
                          </a:prstGeom>
                        </pic:spPr>
                      </pic:pic>
                    </a:graphicData>
                  </a:graphic>
                </wp:inline>
              </w:drawing>
            </w:r>
          </w:p>
        </w:tc>
      </w:tr>
      <w:tr w:rsidR="00C76E6D">
        <w:trPr>
          <w:trHeight w:val="334"/>
        </w:trPr>
        <w:tc>
          <w:tcPr>
            <w:tcW w:w="1277" w:type="dxa"/>
            <w:gridSpan w:val="2"/>
            <w:vMerge/>
            <w:tcBorders>
              <w:top w:val="nil"/>
              <w:right w:val="nil"/>
            </w:tcBorders>
          </w:tcPr>
          <w:p w:rsidR="00C76E6D" w:rsidRDefault="00C76E6D">
            <w:pPr>
              <w:rPr>
                <w:sz w:val="2"/>
                <w:szCs w:val="2"/>
              </w:rPr>
            </w:pPr>
          </w:p>
        </w:tc>
        <w:tc>
          <w:tcPr>
            <w:tcW w:w="7371" w:type="dxa"/>
            <w:gridSpan w:val="11"/>
            <w:tcBorders>
              <w:left w:val="nil"/>
            </w:tcBorders>
          </w:tcPr>
          <w:p w:rsidR="00C76E6D" w:rsidRDefault="00913831">
            <w:pPr>
              <w:pStyle w:val="TableParagraph"/>
              <w:tabs>
                <w:tab w:val="left" w:pos="2285"/>
                <w:tab w:val="left" w:pos="2955"/>
                <w:tab w:val="left" w:pos="3624"/>
                <w:tab w:val="left" w:pos="4294"/>
                <w:tab w:val="left" w:pos="4963"/>
                <w:tab w:val="left" w:pos="5633"/>
              </w:tabs>
              <w:spacing w:line="185" w:lineRule="exact"/>
              <w:ind w:left="1617"/>
              <w:rPr>
                <w:sz w:val="11"/>
              </w:rPr>
            </w:pPr>
            <w:r>
              <w:rPr>
                <w:noProof/>
                <w:position w:val="3"/>
                <w:sz w:val="11"/>
              </w:rPr>
              <w:drawing>
                <wp:inline distT="0" distB="0" distL="0" distR="0">
                  <wp:extent cx="72866" cy="72866"/>
                  <wp:effectExtent l="0" t="0" r="0" b="0"/>
                  <wp:docPr id="39"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70.png"/>
                          <pic:cNvPicPr/>
                        </pic:nvPicPr>
                        <pic:blipFill>
                          <a:blip r:embed="rId98" cstate="print"/>
                          <a:stretch>
                            <a:fillRect/>
                          </a:stretch>
                        </pic:blipFill>
                        <pic:spPr>
                          <a:xfrm>
                            <a:off x="0" y="0"/>
                            <a:ext cx="72866" cy="72866"/>
                          </a:xfrm>
                          <a:prstGeom prst="rect">
                            <a:avLst/>
                          </a:prstGeom>
                        </pic:spPr>
                      </pic:pic>
                    </a:graphicData>
                  </a:graphic>
                </wp:inline>
              </w:drawing>
            </w:r>
            <w:r>
              <w:rPr>
                <w:position w:val="3"/>
                <w:sz w:val="11"/>
              </w:rPr>
              <w:tab/>
            </w:r>
            <w:r>
              <w:rPr>
                <w:noProof/>
                <w:position w:val="-3"/>
                <w:sz w:val="11"/>
              </w:rPr>
              <w:drawing>
                <wp:inline distT="0" distB="0" distL="0" distR="0">
                  <wp:extent cx="72866" cy="72866"/>
                  <wp:effectExtent l="0" t="0" r="0" b="0"/>
                  <wp:docPr id="41"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70.png"/>
                          <pic:cNvPicPr/>
                        </pic:nvPicPr>
                        <pic:blipFill>
                          <a:blip r:embed="rId98" cstate="print"/>
                          <a:stretch>
                            <a:fillRect/>
                          </a:stretch>
                        </pic:blipFill>
                        <pic:spPr>
                          <a:xfrm>
                            <a:off x="0" y="0"/>
                            <a:ext cx="72866" cy="72866"/>
                          </a:xfrm>
                          <a:prstGeom prst="rect">
                            <a:avLst/>
                          </a:prstGeom>
                        </pic:spPr>
                      </pic:pic>
                    </a:graphicData>
                  </a:graphic>
                </wp:inline>
              </w:drawing>
            </w:r>
            <w:r>
              <w:rPr>
                <w:position w:val="-3"/>
                <w:sz w:val="11"/>
              </w:rPr>
              <w:tab/>
            </w:r>
            <w:r>
              <w:rPr>
                <w:noProof/>
                <w:position w:val="5"/>
                <w:sz w:val="10"/>
              </w:rPr>
              <w:drawing>
                <wp:inline distT="0" distB="0" distL="0" distR="0">
                  <wp:extent cx="71974" cy="64293"/>
                  <wp:effectExtent l="0" t="0" r="0" b="0"/>
                  <wp:docPr id="43"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70.png"/>
                          <pic:cNvPicPr/>
                        </pic:nvPicPr>
                        <pic:blipFill>
                          <a:blip r:embed="rId98" cstate="print"/>
                          <a:stretch>
                            <a:fillRect/>
                          </a:stretch>
                        </pic:blipFill>
                        <pic:spPr>
                          <a:xfrm>
                            <a:off x="0" y="0"/>
                            <a:ext cx="71974" cy="64293"/>
                          </a:xfrm>
                          <a:prstGeom prst="rect">
                            <a:avLst/>
                          </a:prstGeom>
                        </pic:spPr>
                      </pic:pic>
                    </a:graphicData>
                  </a:graphic>
                </wp:inline>
              </w:drawing>
            </w:r>
            <w:r>
              <w:rPr>
                <w:position w:val="5"/>
                <w:sz w:val="10"/>
              </w:rPr>
              <w:tab/>
            </w:r>
            <w:r>
              <w:rPr>
                <w:noProof/>
                <w:position w:val="-2"/>
                <w:sz w:val="11"/>
              </w:rPr>
              <w:drawing>
                <wp:inline distT="0" distB="0" distL="0" distR="0">
                  <wp:extent cx="71628" cy="71627"/>
                  <wp:effectExtent l="0" t="0" r="0" b="0"/>
                  <wp:docPr id="45"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71.png"/>
                          <pic:cNvPicPr/>
                        </pic:nvPicPr>
                        <pic:blipFill>
                          <a:blip r:embed="rId99" cstate="print"/>
                          <a:stretch>
                            <a:fillRect/>
                          </a:stretch>
                        </pic:blipFill>
                        <pic:spPr>
                          <a:xfrm>
                            <a:off x="0" y="0"/>
                            <a:ext cx="71628" cy="71627"/>
                          </a:xfrm>
                          <a:prstGeom prst="rect">
                            <a:avLst/>
                          </a:prstGeom>
                        </pic:spPr>
                      </pic:pic>
                    </a:graphicData>
                  </a:graphic>
                </wp:inline>
              </w:drawing>
            </w:r>
            <w:r>
              <w:rPr>
                <w:position w:val="-2"/>
                <w:sz w:val="11"/>
              </w:rPr>
              <w:tab/>
            </w:r>
            <w:r>
              <w:rPr>
                <w:noProof/>
                <w:sz w:val="11"/>
              </w:rPr>
              <w:drawing>
                <wp:inline distT="0" distB="0" distL="0" distR="0">
                  <wp:extent cx="72866" cy="72866"/>
                  <wp:effectExtent l="0" t="0" r="0" b="0"/>
                  <wp:docPr id="47"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70.png"/>
                          <pic:cNvPicPr/>
                        </pic:nvPicPr>
                        <pic:blipFill>
                          <a:blip r:embed="rId98" cstate="print"/>
                          <a:stretch>
                            <a:fillRect/>
                          </a:stretch>
                        </pic:blipFill>
                        <pic:spPr>
                          <a:xfrm>
                            <a:off x="0" y="0"/>
                            <a:ext cx="72866" cy="72866"/>
                          </a:xfrm>
                          <a:prstGeom prst="rect">
                            <a:avLst/>
                          </a:prstGeom>
                        </pic:spPr>
                      </pic:pic>
                    </a:graphicData>
                  </a:graphic>
                </wp:inline>
              </w:drawing>
            </w:r>
            <w:r>
              <w:rPr>
                <w:sz w:val="11"/>
              </w:rPr>
              <w:tab/>
            </w:r>
            <w:r>
              <w:rPr>
                <w:noProof/>
                <w:position w:val="8"/>
                <w:sz w:val="7"/>
              </w:rPr>
              <w:drawing>
                <wp:inline distT="0" distB="0" distL="0" distR="0">
                  <wp:extent cx="72557" cy="46672"/>
                  <wp:effectExtent l="0" t="0" r="0" b="0"/>
                  <wp:docPr id="49"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72.png"/>
                          <pic:cNvPicPr/>
                        </pic:nvPicPr>
                        <pic:blipFill>
                          <a:blip r:embed="rId100" cstate="print"/>
                          <a:stretch>
                            <a:fillRect/>
                          </a:stretch>
                        </pic:blipFill>
                        <pic:spPr>
                          <a:xfrm>
                            <a:off x="0" y="0"/>
                            <a:ext cx="72557" cy="46672"/>
                          </a:xfrm>
                          <a:prstGeom prst="rect">
                            <a:avLst/>
                          </a:prstGeom>
                        </pic:spPr>
                      </pic:pic>
                    </a:graphicData>
                  </a:graphic>
                </wp:inline>
              </w:drawing>
            </w:r>
            <w:r>
              <w:rPr>
                <w:position w:val="8"/>
                <w:sz w:val="7"/>
              </w:rPr>
              <w:tab/>
            </w:r>
            <w:r>
              <w:rPr>
                <w:noProof/>
                <w:sz w:val="11"/>
              </w:rPr>
              <w:drawing>
                <wp:inline distT="0" distB="0" distL="0" distR="0">
                  <wp:extent cx="71628" cy="71627"/>
                  <wp:effectExtent l="0" t="0" r="0" b="0"/>
                  <wp:docPr id="51"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71.png"/>
                          <pic:cNvPicPr/>
                        </pic:nvPicPr>
                        <pic:blipFill>
                          <a:blip r:embed="rId99" cstate="print"/>
                          <a:stretch>
                            <a:fillRect/>
                          </a:stretch>
                        </pic:blipFill>
                        <pic:spPr>
                          <a:xfrm>
                            <a:off x="0" y="0"/>
                            <a:ext cx="71628" cy="71627"/>
                          </a:xfrm>
                          <a:prstGeom prst="rect">
                            <a:avLst/>
                          </a:prstGeom>
                        </pic:spPr>
                      </pic:pic>
                    </a:graphicData>
                  </a:graphic>
                </wp:inline>
              </w:drawing>
            </w:r>
          </w:p>
        </w:tc>
      </w:tr>
      <w:tr w:rsidR="00C76E6D">
        <w:trPr>
          <w:trHeight w:val="334"/>
        </w:trPr>
        <w:tc>
          <w:tcPr>
            <w:tcW w:w="1277" w:type="dxa"/>
            <w:gridSpan w:val="2"/>
            <w:vMerge/>
            <w:tcBorders>
              <w:top w:val="nil"/>
              <w:right w:val="nil"/>
            </w:tcBorders>
          </w:tcPr>
          <w:p w:rsidR="00C76E6D" w:rsidRDefault="00C76E6D">
            <w:pPr>
              <w:rPr>
                <w:sz w:val="2"/>
                <w:szCs w:val="2"/>
              </w:rPr>
            </w:pPr>
          </w:p>
        </w:tc>
        <w:tc>
          <w:tcPr>
            <w:tcW w:w="7371" w:type="dxa"/>
            <w:gridSpan w:val="11"/>
            <w:tcBorders>
              <w:left w:val="nil"/>
            </w:tcBorders>
          </w:tcPr>
          <w:p w:rsidR="00C76E6D" w:rsidRDefault="00913831">
            <w:pPr>
              <w:pStyle w:val="TableParagraph"/>
              <w:tabs>
                <w:tab w:val="left" w:pos="948"/>
              </w:tabs>
              <w:spacing w:line="121" w:lineRule="exact"/>
              <w:ind w:left="277"/>
              <w:rPr>
                <w:sz w:val="7"/>
              </w:rPr>
            </w:pPr>
            <w:r>
              <w:rPr>
                <w:noProof/>
                <w:position w:val="-1"/>
                <w:sz w:val="11"/>
              </w:rPr>
              <w:drawing>
                <wp:inline distT="0" distB="0" distL="0" distR="0">
                  <wp:extent cx="72866" cy="72866"/>
                  <wp:effectExtent l="0" t="0" r="0" b="0"/>
                  <wp:docPr id="53"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70.png"/>
                          <pic:cNvPicPr/>
                        </pic:nvPicPr>
                        <pic:blipFill>
                          <a:blip r:embed="rId98" cstate="print"/>
                          <a:stretch>
                            <a:fillRect/>
                          </a:stretch>
                        </pic:blipFill>
                        <pic:spPr>
                          <a:xfrm>
                            <a:off x="0" y="0"/>
                            <a:ext cx="72866" cy="72866"/>
                          </a:xfrm>
                          <a:prstGeom prst="rect">
                            <a:avLst/>
                          </a:prstGeom>
                        </pic:spPr>
                      </pic:pic>
                    </a:graphicData>
                  </a:graphic>
                </wp:inline>
              </w:drawing>
            </w:r>
            <w:r>
              <w:rPr>
                <w:position w:val="-1"/>
                <w:sz w:val="11"/>
              </w:rPr>
              <w:tab/>
            </w:r>
            <w:r>
              <w:rPr>
                <w:noProof/>
                <w:position w:val="2"/>
                <w:sz w:val="7"/>
              </w:rPr>
              <w:drawing>
                <wp:inline distT="0" distB="0" distL="0" distR="0">
                  <wp:extent cx="71733" cy="50006"/>
                  <wp:effectExtent l="0" t="0" r="0" b="0"/>
                  <wp:docPr id="55"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73.png"/>
                          <pic:cNvPicPr/>
                        </pic:nvPicPr>
                        <pic:blipFill>
                          <a:blip r:embed="rId101" cstate="print"/>
                          <a:stretch>
                            <a:fillRect/>
                          </a:stretch>
                        </pic:blipFill>
                        <pic:spPr>
                          <a:xfrm>
                            <a:off x="0" y="0"/>
                            <a:ext cx="71733" cy="50006"/>
                          </a:xfrm>
                          <a:prstGeom prst="rect">
                            <a:avLst/>
                          </a:prstGeom>
                        </pic:spPr>
                      </pic:pic>
                    </a:graphicData>
                  </a:graphic>
                </wp:inline>
              </w:drawing>
            </w:r>
          </w:p>
          <w:p w:rsidR="00C76E6D" w:rsidRDefault="00C76E6D">
            <w:pPr>
              <w:pStyle w:val="TableParagraph"/>
              <w:spacing w:before="8"/>
              <w:rPr>
                <w:sz w:val="3"/>
              </w:rPr>
            </w:pPr>
          </w:p>
          <w:p w:rsidR="00C76E6D" w:rsidRDefault="00913831">
            <w:pPr>
              <w:pStyle w:val="TableParagraph"/>
              <w:tabs>
                <w:tab w:val="left" w:pos="6972"/>
              </w:tabs>
              <w:spacing w:line="114" w:lineRule="exact"/>
              <w:ind w:left="6303"/>
              <w:rPr>
                <w:sz w:val="11"/>
              </w:rPr>
            </w:pPr>
            <w:r>
              <w:rPr>
                <w:noProof/>
                <w:position w:val="-1"/>
                <w:sz w:val="11"/>
              </w:rPr>
              <w:drawing>
                <wp:inline distT="0" distB="0" distL="0" distR="0">
                  <wp:extent cx="72866" cy="72866"/>
                  <wp:effectExtent l="0" t="0" r="0" b="0"/>
                  <wp:docPr id="57"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3.png"/>
                          <pic:cNvPicPr/>
                        </pic:nvPicPr>
                        <pic:blipFill>
                          <a:blip r:embed="rId101" cstate="print"/>
                          <a:stretch>
                            <a:fillRect/>
                          </a:stretch>
                        </pic:blipFill>
                        <pic:spPr>
                          <a:xfrm>
                            <a:off x="0" y="0"/>
                            <a:ext cx="72866" cy="72866"/>
                          </a:xfrm>
                          <a:prstGeom prst="rect">
                            <a:avLst/>
                          </a:prstGeom>
                        </pic:spPr>
                      </pic:pic>
                    </a:graphicData>
                  </a:graphic>
                </wp:inline>
              </w:drawing>
            </w:r>
            <w:r>
              <w:rPr>
                <w:position w:val="-1"/>
                <w:sz w:val="11"/>
              </w:rPr>
              <w:tab/>
            </w:r>
            <w:r>
              <w:rPr>
                <w:noProof/>
                <w:position w:val="-1"/>
                <w:sz w:val="11"/>
              </w:rPr>
              <w:drawing>
                <wp:inline distT="0" distB="0" distL="0" distR="0">
                  <wp:extent cx="72866" cy="72866"/>
                  <wp:effectExtent l="0" t="0" r="0" b="0"/>
                  <wp:docPr id="59"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7.png"/>
                          <pic:cNvPicPr/>
                        </pic:nvPicPr>
                        <pic:blipFill>
                          <a:blip r:embed="rId95" cstate="print"/>
                          <a:stretch>
                            <a:fillRect/>
                          </a:stretch>
                        </pic:blipFill>
                        <pic:spPr>
                          <a:xfrm>
                            <a:off x="0" y="0"/>
                            <a:ext cx="72866" cy="72866"/>
                          </a:xfrm>
                          <a:prstGeom prst="rect">
                            <a:avLst/>
                          </a:prstGeom>
                        </pic:spPr>
                      </pic:pic>
                    </a:graphicData>
                  </a:graphic>
                </wp:inline>
              </w:drawing>
            </w:r>
          </w:p>
        </w:tc>
      </w:tr>
      <w:tr w:rsidR="00C76E6D">
        <w:trPr>
          <w:trHeight w:val="335"/>
        </w:trPr>
        <w:tc>
          <w:tcPr>
            <w:tcW w:w="1277" w:type="dxa"/>
            <w:gridSpan w:val="2"/>
            <w:vMerge/>
            <w:tcBorders>
              <w:top w:val="nil"/>
              <w:right w:val="nil"/>
            </w:tcBorders>
          </w:tcPr>
          <w:p w:rsidR="00C76E6D" w:rsidRDefault="00C76E6D">
            <w:pPr>
              <w:rPr>
                <w:sz w:val="2"/>
                <w:szCs w:val="2"/>
              </w:rPr>
            </w:pPr>
          </w:p>
        </w:tc>
        <w:tc>
          <w:tcPr>
            <w:tcW w:w="7371" w:type="dxa"/>
            <w:gridSpan w:val="11"/>
            <w:tcBorders>
              <w:left w:val="nil"/>
            </w:tcBorders>
          </w:tcPr>
          <w:p w:rsidR="00C76E6D" w:rsidRDefault="00C76E6D">
            <w:pPr>
              <w:pStyle w:val="TableParagraph"/>
              <w:spacing w:before="4"/>
              <w:rPr>
                <w:sz w:val="6"/>
              </w:rPr>
            </w:pPr>
          </w:p>
          <w:p w:rsidR="00C76E6D" w:rsidRDefault="00913831">
            <w:pPr>
              <w:pStyle w:val="TableParagraph"/>
              <w:spacing w:line="114" w:lineRule="exact"/>
              <w:ind w:left="6972"/>
              <w:rPr>
                <w:sz w:val="11"/>
              </w:rPr>
            </w:pPr>
            <w:r>
              <w:rPr>
                <w:noProof/>
                <w:position w:val="-1"/>
                <w:sz w:val="11"/>
              </w:rPr>
              <w:drawing>
                <wp:inline distT="0" distB="0" distL="0" distR="0">
                  <wp:extent cx="72866" cy="72866"/>
                  <wp:effectExtent l="0" t="0" r="0" b="0"/>
                  <wp:docPr id="61"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70.png"/>
                          <pic:cNvPicPr/>
                        </pic:nvPicPr>
                        <pic:blipFill>
                          <a:blip r:embed="rId98" cstate="print"/>
                          <a:stretch>
                            <a:fillRect/>
                          </a:stretch>
                        </pic:blipFill>
                        <pic:spPr>
                          <a:xfrm>
                            <a:off x="0" y="0"/>
                            <a:ext cx="72866" cy="72866"/>
                          </a:xfrm>
                          <a:prstGeom prst="rect">
                            <a:avLst/>
                          </a:prstGeom>
                        </pic:spPr>
                      </pic:pic>
                    </a:graphicData>
                  </a:graphic>
                </wp:inline>
              </w:drawing>
            </w:r>
          </w:p>
        </w:tc>
      </w:tr>
      <w:tr w:rsidR="00C76E6D">
        <w:trPr>
          <w:trHeight w:val="334"/>
        </w:trPr>
        <w:tc>
          <w:tcPr>
            <w:tcW w:w="1277" w:type="dxa"/>
            <w:gridSpan w:val="2"/>
            <w:vMerge/>
            <w:tcBorders>
              <w:top w:val="nil"/>
              <w:right w:val="nil"/>
            </w:tcBorders>
          </w:tcPr>
          <w:p w:rsidR="00C76E6D" w:rsidRDefault="00C76E6D">
            <w:pPr>
              <w:rPr>
                <w:sz w:val="2"/>
                <w:szCs w:val="2"/>
              </w:rPr>
            </w:pPr>
          </w:p>
        </w:tc>
        <w:tc>
          <w:tcPr>
            <w:tcW w:w="7371" w:type="dxa"/>
            <w:gridSpan w:val="11"/>
            <w:tcBorders>
              <w:left w:val="nil"/>
            </w:tcBorders>
          </w:tcPr>
          <w:p w:rsidR="00C76E6D" w:rsidRDefault="00C76E6D">
            <w:pPr>
              <w:pStyle w:val="TableParagraph"/>
              <w:rPr>
                <w:rFonts w:ascii="Times New Roman"/>
                <w:sz w:val="20"/>
              </w:rPr>
            </w:pPr>
          </w:p>
        </w:tc>
      </w:tr>
      <w:tr w:rsidR="00C76E6D">
        <w:trPr>
          <w:trHeight w:val="260"/>
        </w:trPr>
        <w:tc>
          <w:tcPr>
            <w:tcW w:w="1277" w:type="dxa"/>
            <w:gridSpan w:val="2"/>
            <w:vMerge/>
            <w:tcBorders>
              <w:top w:val="nil"/>
              <w:right w:val="nil"/>
            </w:tcBorders>
          </w:tcPr>
          <w:p w:rsidR="00C76E6D" w:rsidRDefault="00C76E6D">
            <w:pPr>
              <w:rPr>
                <w:sz w:val="2"/>
                <w:szCs w:val="2"/>
              </w:rPr>
            </w:pPr>
          </w:p>
        </w:tc>
        <w:tc>
          <w:tcPr>
            <w:tcW w:w="670" w:type="dxa"/>
          </w:tcPr>
          <w:p w:rsidR="00C76E6D" w:rsidRDefault="00913831">
            <w:pPr>
              <w:pStyle w:val="TableParagraph"/>
              <w:spacing w:before="10"/>
              <w:ind w:right="134"/>
              <w:jc w:val="right"/>
              <w:rPr>
                <w:sz w:val="18"/>
              </w:rPr>
            </w:pPr>
            <w:r>
              <w:rPr>
                <w:color w:val="575757"/>
                <w:spacing w:val="-4"/>
                <w:sz w:val="18"/>
              </w:rPr>
              <w:t>1997</w:t>
            </w:r>
          </w:p>
        </w:tc>
        <w:tc>
          <w:tcPr>
            <w:tcW w:w="670" w:type="dxa"/>
          </w:tcPr>
          <w:p w:rsidR="00C76E6D" w:rsidRDefault="00913831">
            <w:pPr>
              <w:pStyle w:val="TableParagraph"/>
              <w:spacing w:before="10"/>
              <w:ind w:left="137" w:right="108"/>
              <w:jc w:val="center"/>
              <w:rPr>
                <w:sz w:val="18"/>
              </w:rPr>
            </w:pPr>
            <w:r>
              <w:rPr>
                <w:color w:val="575757"/>
                <w:spacing w:val="-4"/>
                <w:sz w:val="18"/>
              </w:rPr>
              <w:t>1999</w:t>
            </w:r>
          </w:p>
        </w:tc>
        <w:tc>
          <w:tcPr>
            <w:tcW w:w="671" w:type="dxa"/>
          </w:tcPr>
          <w:p w:rsidR="00C76E6D" w:rsidRDefault="00913831">
            <w:pPr>
              <w:pStyle w:val="TableParagraph"/>
              <w:spacing w:before="10"/>
              <w:ind w:left="159"/>
              <w:rPr>
                <w:sz w:val="18"/>
              </w:rPr>
            </w:pPr>
            <w:r>
              <w:rPr>
                <w:color w:val="575757"/>
                <w:spacing w:val="-4"/>
                <w:sz w:val="18"/>
              </w:rPr>
              <w:t>2001</w:t>
            </w:r>
          </w:p>
        </w:tc>
        <w:tc>
          <w:tcPr>
            <w:tcW w:w="670" w:type="dxa"/>
          </w:tcPr>
          <w:p w:rsidR="00C76E6D" w:rsidRDefault="00913831">
            <w:pPr>
              <w:pStyle w:val="TableParagraph"/>
              <w:spacing w:before="10"/>
              <w:ind w:left="127" w:right="118"/>
              <w:jc w:val="center"/>
              <w:rPr>
                <w:sz w:val="18"/>
              </w:rPr>
            </w:pPr>
            <w:r>
              <w:rPr>
                <w:color w:val="575757"/>
                <w:spacing w:val="-4"/>
                <w:sz w:val="18"/>
              </w:rPr>
              <w:t>2003</w:t>
            </w:r>
          </w:p>
        </w:tc>
        <w:tc>
          <w:tcPr>
            <w:tcW w:w="670" w:type="dxa"/>
          </w:tcPr>
          <w:p w:rsidR="00C76E6D" w:rsidRDefault="00913831">
            <w:pPr>
              <w:pStyle w:val="TableParagraph"/>
              <w:spacing w:before="10"/>
              <w:ind w:left="137" w:right="112"/>
              <w:jc w:val="center"/>
              <w:rPr>
                <w:sz w:val="18"/>
              </w:rPr>
            </w:pPr>
            <w:r>
              <w:rPr>
                <w:color w:val="575757"/>
                <w:spacing w:val="-4"/>
                <w:sz w:val="18"/>
              </w:rPr>
              <w:t>2005</w:t>
            </w:r>
          </w:p>
        </w:tc>
        <w:tc>
          <w:tcPr>
            <w:tcW w:w="671" w:type="dxa"/>
          </w:tcPr>
          <w:p w:rsidR="00C76E6D" w:rsidRDefault="00913831">
            <w:pPr>
              <w:pStyle w:val="TableParagraph"/>
              <w:spacing w:before="10"/>
              <w:ind w:left="156"/>
              <w:rPr>
                <w:sz w:val="18"/>
              </w:rPr>
            </w:pPr>
            <w:r>
              <w:rPr>
                <w:color w:val="575757"/>
                <w:spacing w:val="-4"/>
                <w:sz w:val="18"/>
              </w:rPr>
              <w:t>2007</w:t>
            </w:r>
          </w:p>
        </w:tc>
        <w:tc>
          <w:tcPr>
            <w:tcW w:w="669" w:type="dxa"/>
          </w:tcPr>
          <w:p w:rsidR="00C76E6D" w:rsidRDefault="00913831">
            <w:pPr>
              <w:pStyle w:val="TableParagraph"/>
              <w:spacing w:before="10"/>
              <w:ind w:left="142" w:right="122"/>
              <w:jc w:val="center"/>
              <w:rPr>
                <w:sz w:val="18"/>
              </w:rPr>
            </w:pPr>
            <w:r>
              <w:rPr>
                <w:color w:val="575757"/>
                <w:spacing w:val="-4"/>
                <w:sz w:val="18"/>
              </w:rPr>
              <w:t>2009</w:t>
            </w:r>
          </w:p>
        </w:tc>
        <w:tc>
          <w:tcPr>
            <w:tcW w:w="670" w:type="dxa"/>
          </w:tcPr>
          <w:p w:rsidR="00C76E6D" w:rsidRDefault="00913831">
            <w:pPr>
              <w:pStyle w:val="TableParagraph"/>
              <w:spacing w:before="10"/>
              <w:ind w:left="137" w:right="114"/>
              <w:jc w:val="center"/>
              <w:rPr>
                <w:sz w:val="18"/>
              </w:rPr>
            </w:pPr>
            <w:r>
              <w:rPr>
                <w:color w:val="575757"/>
                <w:spacing w:val="-4"/>
                <w:sz w:val="18"/>
              </w:rPr>
              <w:t>2011</w:t>
            </w:r>
          </w:p>
        </w:tc>
        <w:tc>
          <w:tcPr>
            <w:tcW w:w="671" w:type="dxa"/>
          </w:tcPr>
          <w:p w:rsidR="00C76E6D" w:rsidRDefault="00913831">
            <w:pPr>
              <w:pStyle w:val="TableParagraph"/>
              <w:spacing w:before="10"/>
              <w:ind w:left="142" w:right="124"/>
              <w:jc w:val="center"/>
              <w:rPr>
                <w:sz w:val="18"/>
              </w:rPr>
            </w:pPr>
            <w:r>
              <w:rPr>
                <w:color w:val="575757"/>
                <w:spacing w:val="-4"/>
                <w:sz w:val="18"/>
              </w:rPr>
              <w:t>2013</w:t>
            </w:r>
          </w:p>
        </w:tc>
        <w:tc>
          <w:tcPr>
            <w:tcW w:w="670" w:type="dxa"/>
          </w:tcPr>
          <w:p w:rsidR="00C76E6D" w:rsidRDefault="00913831">
            <w:pPr>
              <w:pStyle w:val="TableParagraph"/>
              <w:spacing w:before="10"/>
              <w:ind w:left="137" w:right="118"/>
              <w:jc w:val="center"/>
              <w:rPr>
                <w:sz w:val="18"/>
              </w:rPr>
            </w:pPr>
            <w:r>
              <w:rPr>
                <w:color w:val="575757"/>
                <w:spacing w:val="-4"/>
                <w:sz w:val="18"/>
              </w:rPr>
              <w:t>2015</w:t>
            </w:r>
          </w:p>
        </w:tc>
        <w:tc>
          <w:tcPr>
            <w:tcW w:w="669" w:type="dxa"/>
            <w:tcBorders>
              <w:right w:val="single" w:sz="8" w:space="0" w:color="D9D9D9"/>
            </w:tcBorders>
          </w:tcPr>
          <w:p w:rsidR="00C76E6D" w:rsidRDefault="00913831">
            <w:pPr>
              <w:pStyle w:val="TableParagraph"/>
              <w:spacing w:before="10"/>
              <w:ind w:left="148"/>
              <w:rPr>
                <w:sz w:val="18"/>
              </w:rPr>
            </w:pPr>
            <w:r>
              <w:rPr>
                <w:color w:val="575757"/>
                <w:spacing w:val="-4"/>
                <w:sz w:val="18"/>
              </w:rPr>
              <w:t>2017</w:t>
            </w:r>
          </w:p>
        </w:tc>
      </w:tr>
      <w:tr w:rsidR="00C76E6D">
        <w:trPr>
          <w:trHeight w:val="271"/>
        </w:trPr>
        <w:tc>
          <w:tcPr>
            <w:tcW w:w="240" w:type="dxa"/>
            <w:vMerge w:val="restart"/>
            <w:tcBorders>
              <w:bottom w:val="nil"/>
            </w:tcBorders>
          </w:tcPr>
          <w:p w:rsidR="00C76E6D" w:rsidRDefault="00C76E6D">
            <w:pPr>
              <w:pStyle w:val="TableParagraph"/>
              <w:rPr>
                <w:rFonts w:ascii="Times New Roman"/>
                <w:sz w:val="20"/>
              </w:rPr>
            </w:pPr>
          </w:p>
        </w:tc>
        <w:tc>
          <w:tcPr>
            <w:tcW w:w="1037" w:type="dxa"/>
          </w:tcPr>
          <w:p w:rsidR="00C76E6D" w:rsidRDefault="00913831">
            <w:pPr>
              <w:pStyle w:val="TableParagraph"/>
              <w:spacing w:before="10"/>
              <w:ind w:left="496"/>
              <w:rPr>
                <w:sz w:val="18"/>
              </w:rPr>
            </w:pPr>
            <w:r>
              <w:rPr>
                <w:color w:val="575757"/>
                <w:spacing w:val="-2"/>
                <w:sz w:val="18"/>
              </w:rPr>
              <w:t>LGBTQ</w:t>
            </w:r>
          </w:p>
        </w:tc>
        <w:tc>
          <w:tcPr>
            <w:tcW w:w="670" w:type="dxa"/>
          </w:tcPr>
          <w:p w:rsidR="00C76E6D" w:rsidRDefault="00913831">
            <w:pPr>
              <w:pStyle w:val="TableParagraph"/>
              <w:spacing w:before="15"/>
              <w:ind w:right="154"/>
              <w:jc w:val="right"/>
              <w:rPr>
                <w:sz w:val="18"/>
              </w:rPr>
            </w:pPr>
            <w:r>
              <w:rPr>
                <w:color w:val="575757"/>
                <w:spacing w:val="-4"/>
                <w:sz w:val="18"/>
              </w:rPr>
              <w:t>78.7</w:t>
            </w:r>
          </w:p>
        </w:tc>
        <w:tc>
          <w:tcPr>
            <w:tcW w:w="670" w:type="dxa"/>
          </w:tcPr>
          <w:p w:rsidR="00C76E6D" w:rsidRDefault="00913831">
            <w:pPr>
              <w:pStyle w:val="TableParagraph"/>
              <w:spacing w:before="15"/>
              <w:ind w:left="137" w:right="104"/>
              <w:jc w:val="center"/>
              <w:rPr>
                <w:sz w:val="18"/>
              </w:rPr>
            </w:pPr>
            <w:r>
              <w:rPr>
                <w:color w:val="575757"/>
                <w:spacing w:val="-4"/>
                <w:sz w:val="18"/>
              </w:rPr>
              <w:t>79.7</w:t>
            </w:r>
          </w:p>
        </w:tc>
        <w:tc>
          <w:tcPr>
            <w:tcW w:w="671" w:type="dxa"/>
          </w:tcPr>
          <w:p w:rsidR="00C76E6D" w:rsidRDefault="00913831">
            <w:pPr>
              <w:pStyle w:val="TableParagraph"/>
              <w:spacing w:before="15"/>
              <w:ind w:left="182"/>
              <w:rPr>
                <w:sz w:val="18"/>
              </w:rPr>
            </w:pPr>
            <w:r>
              <w:rPr>
                <w:color w:val="575757"/>
                <w:spacing w:val="-4"/>
                <w:sz w:val="18"/>
              </w:rPr>
              <w:t>83.9</w:t>
            </w:r>
          </w:p>
        </w:tc>
        <w:tc>
          <w:tcPr>
            <w:tcW w:w="670" w:type="dxa"/>
          </w:tcPr>
          <w:p w:rsidR="00C76E6D" w:rsidRDefault="00913831">
            <w:pPr>
              <w:pStyle w:val="TableParagraph"/>
              <w:spacing w:before="15"/>
              <w:ind w:left="131" w:right="118"/>
              <w:jc w:val="center"/>
              <w:rPr>
                <w:sz w:val="18"/>
              </w:rPr>
            </w:pPr>
            <w:r>
              <w:rPr>
                <w:color w:val="575757"/>
                <w:spacing w:val="-4"/>
                <w:sz w:val="18"/>
              </w:rPr>
              <w:t>82.8</w:t>
            </w:r>
          </w:p>
        </w:tc>
        <w:tc>
          <w:tcPr>
            <w:tcW w:w="670" w:type="dxa"/>
          </w:tcPr>
          <w:p w:rsidR="00C76E6D" w:rsidRDefault="00913831">
            <w:pPr>
              <w:pStyle w:val="TableParagraph"/>
              <w:spacing w:before="15"/>
              <w:ind w:left="137" w:right="108"/>
              <w:jc w:val="center"/>
              <w:rPr>
                <w:sz w:val="18"/>
              </w:rPr>
            </w:pPr>
            <w:r>
              <w:rPr>
                <w:color w:val="575757"/>
                <w:spacing w:val="-4"/>
                <w:sz w:val="18"/>
              </w:rPr>
              <w:t>84.2</w:t>
            </w:r>
          </w:p>
        </w:tc>
        <w:tc>
          <w:tcPr>
            <w:tcW w:w="671" w:type="dxa"/>
          </w:tcPr>
          <w:p w:rsidR="00C76E6D" w:rsidRDefault="00913831">
            <w:pPr>
              <w:pStyle w:val="TableParagraph"/>
              <w:spacing w:before="15"/>
              <w:ind w:left="178"/>
              <w:rPr>
                <w:sz w:val="18"/>
              </w:rPr>
            </w:pPr>
            <w:r>
              <w:rPr>
                <w:color w:val="575757"/>
                <w:spacing w:val="-4"/>
                <w:sz w:val="18"/>
              </w:rPr>
              <w:t>82.9</w:t>
            </w:r>
          </w:p>
        </w:tc>
        <w:tc>
          <w:tcPr>
            <w:tcW w:w="669" w:type="dxa"/>
          </w:tcPr>
          <w:p w:rsidR="00C76E6D" w:rsidRDefault="00913831">
            <w:pPr>
              <w:pStyle w:val="TableParagraph"/>
              <w:spacing w:before="15"/>
              <w:ind w:left="142" w:right="118"/>
              <w:jc w:val="center"/>
              <w:rPr>
                <w:sz w:val="18"/>
              </w:rPr>
            </w:pPr>
            <w:r>
              <w:rPr>
                <w:color w:val="575757"/>
                <w:spacing w:val="-4"/>
                <w:sz w:val="18"/>
              </w:rPr>
              <w:t>83.4</w:t>
            </w:r>
          </w:p>
        </w:tc>
        <w:tc>
          <w:tcPr>
            <w:tcW w:w="670" w:type="dxa"/>
          </w:tcPr>
          <w:p w:rsidR="00C76E6D" w:rsidRDefault="00913831">
            <w:pPr>
              <w:pStyle w:val="TableParagraph"/>
              <w:spacing w:before="15"/>
              <w:ind w:left="137" w:right="111"/>
              <w:jc w:val="center"/>
              <w:rPr>
                <w:sz w:val="18"/>
              </w:rPr>
            </w:pPr>
            <w:r>
              <w:rPr>
                <w:color w:val="575757"/>
                <w:spacing w:val="-4"/>
                <w:sz w:val="18"/>
              </w:rPr>
              <w:t>80.8</w:t>
            </w:r>
          </w:p>
        </w:tc>
        <w:tc>
          <w:tcPr>
            <w:tcW w:w="671" w:type="dxa"/>
          </w:tcPr>
          <w:p w:rsidR="00C76E6D" w:rsidRDefault="00913831">
            <w:pPr>
              <w:pStyle w:val="TableParagraph"/>
              <w:spacing w:before="15"/>
              <w:ind w:left="142" w:right="120"/>
              <w:jc w:val="center"/>
              <w:rPr>
                <w:sz w:val="18"/>
              </w:rPr>
            </w:pPr>
            <w:r>
              <w:rPr>
                <w:color w:val="575757"/>
                <w:spacing w:val="-4"/>
                <w:sz w:val="18"/>
              </w:rPr>
              <w:t>83.3</w:t>
            </w:r>
          </w:p>
        </w:tc>
        <w:tc>
          <w:tcPr>
            <w:tcW w:w="670" w:type="dxa"/>
          </w:tcPr>
          <w:p w:rsidR="00C76E6D" w:rsidRDefault="00913831">
            <w:pPr>
              <w:pStyle w:val="TableParagraph"/>
              <w:spacing w:before="15"/>
              <w:ind w:left="137" w:right="114"/>
              <w:jc w:val="center"/>
              <w:rPr>
                <w:sz w:val="18"/>
              </w:rPr>
            </w:pPr>
            <w:r>
              <w:rPr>
                <w:color w:val="575757"/>
                <w:spacing w:val="-4"/>
                <w:sz w:val="18"/>
              </w:rPr>
              <w:t>76.4</w:t>
            </w:r>
          </w:p>
        </w:tc>
        <w:tc>
          <w:tcPr>
            <w:tcW w:w="669" w:type="dxa"/>
          </w:tcPr>
          <w:p w:rsidR="00C76E6D" w:rsidRDefault="00913831">
            <w:pPr>
              <w:pStyle w:val="TableParagraph"/>
              <w:spacing w:before="15"/>
              <w:ind w:left="175"/>
              <w:rPr>
                <w:sz w:val="18"/>
              </w:rPr>
            </w:pPr>
            <w:r>
              <w:rPr>
                <w:color w:val="575757"/>
                <w:spacing w:val="-4"/>
                <w:sz w:val="18"/>
              </w:rPr>
              <w:t>72.7</w:t>
            </w:r>
          </w:p>
        </w:tc>
      </w:tr>
      <w:tr w:rsidR="00C76E6D">
        <w:trPr>
          <w:trHeight w:val="271"/>
        </w:trPr>
        <w:tc>
          <w:tcPr>
            <w:tcW w:w="240" w:type="dxa"/>
            <w:vMerge/>
            <w:tcBorders>
              <w:top w:val="nil"/>
              <w:bottom w:val="nil"/>
            </w:tcBorders>
          </w:tcPr>
          <w:p w:rsidR="00C76E6D" w:rsidRDefault="00C76E6D">
            <w:pPr>
              <w:rPr>
                <w:sz w:val="2"/>
                <w:szCs w:val="2"/>
              </w:rPr>
            </w:pPr>
          </w:p>
        </w:tc>
        <w:tc>
          <w:tcPr>
            <w:tcW w:w="1037" w:type="dxa"/>
          </w:tcPr>
          <w:p w:rsidR="00C76E6D" w:rsidRDefault="00913831">
            <w:pPr>
              <w:pStyle w:val="TableParagraph"/>
              <w:spacing w:before="12"/>
              <w:ind w:left="496"/>
              <w:rPr>
                <w:sz w:val="18"/>
              </w:rPr>
            </w:pPr>
            <w:r>
              <w:rPr>
                <w:color w:val="575757"/>
                <w:spacing w:val="-5"/>
                <w:sz w:val="18"/>
              </w:rPr>
              <w:t>Het</w:t>
            </w:r>
          </w:p>
        </w:tc>
        <w:tc>
          <w:tcPr>
            <w:tcW w:w="670" w:type="dxa"/>
          </w:tcPr>
          <w:p w:rsidR="00C76E6D" w:rsidRDefault="00913831">
            <w:pPr>
              <w:pStyle w:val="TableParagraph"/>
              <w:spacing w:before="16"/>
              <w:ind w:right="154"/>
              <w:jc w:val="right"/>
              <w:rPr>
                <w:sz w:val="18"/>
              </w:rPr>
            </w:pPr>
            <w:r>
              <w:rPr>
                <w:color w:val="575757"/>
                <w:spacing w:val="-4"/>
                <w:sz w:val="18"/>
              </w:rPr>
              <w:t>93.9</w:t>
            </w:r>
          </w:p>
        </w:tc>
        <w:tc>
          <w:tcPr>
            <w:tcW w:w="670" w:type="dxa"/>
          </w:tcPr>
          <w:p w:rsidR="00C76E6D" w:rsidRDefault="00913831">
            <w:pPr>
              <w:pStyle w:val="TableParagraph"/>
              <w:spacing w:before="16"/>
              <w:ind w:left="137" w:right="104"/>
              <w:jc w:val="center"/>
              <w:rPr>
                <w:sz w:val="18"/>
              </w:rPr>
            </w:pPr>
            <w:r>
              <w:rPr>
                <w:color w:val="575757"/>
                <w:spacing w:val="-4"/>
                <w:sz w:val="18"/>
              </w:rPr>
              <w:t>94.1</w:t>
            </w:r>
          </w:p>
        </w:tc>
        <w:tc>
          <w:tcPr>
            <w:tcW w:w="671" w:type="dxa"/>
          </w:tcPr>
          <w:p w:rsidR="00C76E6D" w:rsidRDefault="00913831">
            <w:pPr>
              <w:pStyle w:val="TableParagraph"/>
              <w:spacing w:before="16"/>
              <w:ind w:left="182"/>
              <w:rPr>
                <w:sz w:val="18"/>
              </w:rPr>
            </w:pPr>
            <w:r>
              <w:rPr>
                <w:color w:val="575757"/>
                <w:spacing w:val="-4"/>
                <w:sz w:val="18"/>
              </w:rPr>
              <w:t>94.7</w:t>
            </w:r>
          </w:p>
        </w:tc>
        <w:tc>
          <w:tcPr>
            <w:tcW w:w="670" w:type="dxa"/>
          </w:tcPr>
          <w:p w:rsidR="00C76E6D" w:rsidRDefault="00913831">
            <w:pPr>
              <w:pStyle w:val="TableParagraph"/>
              <w:spacing w:before="16"/>
              <w:ind w:left="131" w:right="118"/>
              <w:jc w:val="center"/>
              <w:rPr>
                <w:sz w:val="18"/>
              </w:rPr>
            </w:pPr>
            <w:r>
              <w:rPr>
                <w:color w:val="575757"/>
                <w:spacing w:val="-4"/>
                <w:sz w:val="18"/>
              </w:rPr>
              <w:t>92.6</w:t>
            </w:r>
          </w:p>
        </w:tc>
        <w:tc>
          <w:tcPr>
            <w:tcW w:w="670" w:type="dxa"/>
          </w:tcPr>
          <w:p w:rsidR="00C76E6D" w:rsidRDefault="00913831">
            <w:pPr>
              <w:pStyle w:val="TableParagraph"/>
              <w:spacing w:before="16"/>
              <w:ind w:left="137" w:right="108"/>
              <w:jc w:val="center"/>
              <w:rPr>
                <w:sz w:val="18"/>
              </w:rPr>
            </w:pPr>
            <w:r>
              <w:rPr>
                <w:color w:val="575757"/>
                <w:spacing w:val="-4"/>
                <w:sz w:val="18"/>
              </w:rPr>
              <w:t>93.4</w:t>
            </w:r>
          </w:p>
        </w:tc>
        <w:tc>
          <w:tcPr>
            <w:tcW w:w="671" w:type="dxa"/>
          </w:tcPr>
          <w:p w:rsidR="00C76E6D" w:rsidRDefault="00913831">
            <w:pPr>
              <w:pStyle w:val="TableParagraph"/>
              <w:spacing w:before="16"/>
              <w:ind w:left="178"/>
              <w:rPr>
                <w:sz w:val="18"/>
              </w:rPr>
            </w:pPr>
            <w:r>
              <w:rPr>
                <w:color w:val="575757"/>
                <w:spacing w:val="-4"/>
                <w:sz w:val="18"/>
              </w:rPr>
              <w:t>89.2</w:t>
            </w:r>
          </w:p>
        </w:tc>
        <w:tc>
          <w:tcPr>
            <w:tcW w:w="669" w:type="dxa"/>
          </w:tcPr>
          <w:p w:rsidR="00C76E6D" w:rsidRDefault="00913831">
            <w:pPr>
              <w:pStyle w:val="TableParagraph"/>
              <w:spacing w:before="16"/>
              <w:ind w:left="139" w:right="122"/>
              <w:jc w:val="center"/>
              <w:rPr>
                <w:sz w:val="18"/>
              </w:rPr>
            </w:pPr>
            <w:r>
              <w:rPr>
                <w:color w:val="575757"/>
                <w:spacing w:val="-5"/>
                <w:sz w:val="18"/>
              </w:rPr>
              <w:t>88</w:t>
            </w:r>
          </w:p>
        </w:tc>
        <w:tc>
          <w:tcPr>
            <w:tcW w:w="670" w:type="dxa"/>
          </w:tcPr>
          <w:p w:rsidR="00C76E6D" w:rsidRDefault="00913831">
            <w:pPr>
              <w:pStyle w:val="TableParagraph"/>
              <w:spacing w:before="16"/>
              <w:ind w:left="137" w:right="111"/>
              <w:jc w:val="center"/>
              <w:rPr>
                <w:sz w:val="18"/>
              </w:rPr>
            </w:pPr>
            <w:r>
              <w:rPr>
                <w:color w:val="575757"/>
                <w:spacing w:val="-4"/>
                <w:sz w:val="18"/>
              </w:rPr>
              <w:t>84.5</w:t>
            </w:r>
          </w:p>
        </w:tc>
        <w:tc>
          <w:tcPr>
            <w:tcW w:w="671" w:type="dxa"/>
          </w:tcPr>
          <w:p w:rsidR="00C76E6D" w:rsidRDefault="00913831">
            <w:pPr>
              <w:pStyle w:val="TableParagraph"/>
              <w:spacing w:before="16"/>
              <w:ind w:left="142" w:right="118"/>
              <w:jc w:val="center"/>
              <w:rPr>
                <w:sz w:val="18"/>
              </w:rPr>
            </w:pPr>
            <w:r>
              <w:rPr>
                <w:color w:val="575757"/>
                <w:spacing w:val="-4"/>
                <w:sz w:val="18"/>
              </w:rPr>
              <w:t>85.6</w:t>
            </w:r>
          </w:p>
        </w:tc>
        <w:tc>
          <w:tcPr>
            <w:tcW w:w="670" w:type="dxa"/>
          </w:tcPr>
          <w:p w:rsidR="00C76E6D" w:rsidRDefault="00913831">
            <w:pPr>
              <w:pStyle w:val="TableParagraph"/>
              <w:spacing w:before="16"/>
              <w:ind w:left="137" w:right="114"/>
              <w:jc w:val="center"/>
              <w:rPr>
                <w:sz w:val="18"/>
              </w:rPr>
            </w:pPr>
            <w:r>
              <w:rPr>
                <w:color w:val="575757"/>
                <w:spacing w:val="-4"/>
                <w:sz w:val="18"/>
              </w:rPr>
              <w:t>80.9</w:t>
            </w:r>
          </w:p>
        </w:tc>
        <w:tc>
          <w:tcPr>
            <w:tcW w:w="669" w:type="dxa"/>
          </w:tcPr>
          <w:p w:rsidR="00C76E6D" w:rsidRDefault="00913831">
            <w:pPr>
              <w:pStyle w:val="TableParagraph"/>
              <w:spacing w:before="16"/>
              <w:ind w:left="175"/>
              <w:rPr>
                <w:sz w:val="18"/>
              </w:rPr>
            </w:pPr>
            <w:r>
              <w:rPr>
                <w:color w:val="575757"/>
                <w:spacing w:val="-4"/>
                <w:sz w:val="18"/>
              </w:rPr>
              <w:t>76.5</w:t>
            </w:r>
          </w:p>
        </w:tc>
      </w:tr>
      <w:tr w:rsidR="00C76E6D">
        <w:trPr>
          <w:trHeight w:val="623"/>
        </w:trPr>
        <w:tc>
          <w:tcPr>
            <w:tcW w:w="8648" w:type="dxa"/>
            <w:gridSpan w:val="13"/>
            <w:tcBorders>
              <w:top w:val="nil"/>
            </w:tcBorders>
          </w:tcPr>
          <w:p w:rsidR="00C76E6D" w:rsidRDefault="00C76E6D">
            <w:pPr>
              <w:pStyle w:val="TableParagraph"/>
              <w:rPr>
                <w:rFonts w:ascii="Times New Roman"/>
                <w:sz w:val="20"/>
              </w:rPr>
            </w:pPr>
          </w:p>
        </w:tc>
      </w:tr>
    </w:tbl>
    <w:p w:rsidR="00C76E6D" w:rsidRDefault="00C76E6D">
      <w:pPr>
        <w:pStyle w:val="BodyText"/>
        <w:spacing w:before="5"/>
        <w:rPr>
          <w:sz w:val="25"/>
        </w:rPr>
      </w:pPr>
    </w:p>
    <w:p w:rsidR="00C76E6D" w:rsidRDefault="00913831">
      <w:pPr>
        <w:pStyle w:val="BodyText"/>
        <w:spacing w:before="55" w:line="276" w:lineRule="auto"/>
        <w:ind w:left="478" w:right="475"/>
        <w:jc w:val="both"/>
      </w:pPr>
      <w:r>
        <w:rPr>
          <w:noProof/>
        </w:rPr>
        <w:drawing>
          <wp:anchor distT="0" distB="0" distL="0" distR="0" simplePos="0" relativeHeight="482123776" behindDoc="1" locked="0" layoutInCell="1" allowOverlap="1">
            <wp:simplePos x="0" y="0"/>
            <wp:positionH relativeFrom="page">
              <wp:posOffset>1335405</wp:posOffset>
            </wp:positionH>
            <wp:positionV relativeFrom="paragraph">
              <wp:posOffset>-904279</wp:posOffset>
            </wp:positionV>
            <wp:extent cx="241959" cy="71437"/>
            <wp:effectExtent l="0" t="0" r="0" b="0"/>
            <wp:wrapNone/>
            <wp:docPr id="6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74.png"/>
                    <pic:cNvPicPr/>
                  </pic:nvPicPr>
                  <pic:blipFill>
                    <a:blip r:embed="rId102" cstate="print"/>
                    <a:stretch>
                      <a:fillRect/>
                    </a:stretch>
                  </pic:blipFill>
                  <pic:spPr>
                    <a:xfrm>
                      <a:off x="0" y="0"/>
                      <a:ext cx="241959" cy="71437"/>
                    </a:xfrm>
                    <a:prstGeom prst="rect">
                      <a:avLst/>
                    </a:prstGeom>
                  </pic:spPr>
                </pic:pic>
              </a:graphicData>
            </a:graphic>
          </wp:anchor>
        </w:drawing>
      </w:r>
      <w:r>
        <w:rPr>
          <w:noProof/>
        </w:rPr>
        <w:drawing>
          <wp:anchor distT="0" distB="0" distL="0" distR="0" simplePos="0" relativeHeight="482124288" behindDoc="1" locked="0" layoutInCell="1" allowOverlap="1">
            <wp:simplePos x="0" y="0"/>
            <wp:positionH relativeFrom="page">
              <wp:posOffset>1335405</wp:posOffset>
            </wp:positionH>
            <wp:positionV relativeFrom="paragraph">
              <wp:posOffset>-722025</wp:posOffset>
            </wp:positionV>
            <wp:extent cx="241940" cy="71437"/>
            <wp:effectExtent l="0" t="0" r="0" b="0"/>
            <wp:wrapNone/>
            <wp:docPr id="65"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5.png"/>
                    <pic:cNvPicPr/>
                  </pic:nvPicPr>
                  <pic:blipFill>
                    <a:blip r:embed="rId103" cstate="print"/>
                    <a:stretch>
                      <a:fillRect/>
                    </a:stretch>
                  </pic:blipFill>
                  <pic:spPr>
                    <a:xfrm>
                      <a:off x="0" y="0"/>
                      <a:ext cx="241940" cy="71437"/>
                    </a:xfrm>
                    <a:prstGeom prst="rect">
                      <a:avLst/>
                    </a:prstGeom>
                  </pic:spPr>
                </pic:pic>
              </a:graphicData>
            </a:graphic>
          </wp:anchor>
        </w:drawing>
      </w:r>
      <w:r>
        <w:t>Figure</w:t>
      </w:r>
      <w:r>
        <w:rPr>
          <w:spacing w:val="-2"/>
        </w:rPr>
        <w:t xml:space="preserve"> </w:t>
      </w:r>
      <w:r>
        <w:t>9</w:t>
      </w:r>
      <w:r>
        <w:rPr>
          <w:spacing w:val="-3"/>
        </w:rPr>
        <w:t xml:space="preserve"> </w:t>
      </w:r>
      <w:r>
        <w:t>shows</w:t>
      </w:r>
      <w:r>
        <w:rPr>
          <w:spacing w:val="-2"/>
        </w:rPr>
        <w:t xml:space="preserve"> </w:t>
      </w:r>
      <w:r>
        <w:t>two</w:t>
      </w:r>
      <w:r>
        <w:rPr>
          <w:spacing w:val="-1"/>
        </w:rPr>
        <w:t xml:space="preserve"> </w:t>
      </w:r>
      <w:r>
        <w:t>key patterns.</w:t>
      </w:r>
      <w:r>
        <w:rPr>
          <w:spacing w:val="-2"/>
        </w:rPr>
        <w:t xml:space="preserve"> </w:t>
      </w:r>
      <w:r>
        <w:t>One</w:t>
      </w:r>
      <w:r>
        <w:rPr>
          <w:spacing w:val="-2"/>
        </w:rPr>
        <w:t xml:space="preserve"> </w:t>
      </w:r>
      <w:r>
        <w:t>is</w:t>
      </w:r>
      <w:r>
        <w:rPr>
          <w:spacing w:val="-3"/>
        </w:rPr>
        <w:t xml:space="preserve"> </w:t>
      </w:r>
      <w:r>
        <w:t>that</w:t>
      </w:r>
      <w:r>
        <w:rPr>
          <w:spacing w:val="-1"/>
        </w:rPr>
        <w:t xml:space="preserve"> </w:t>
      </w:r>
      <w:r>
        <w:t>the</w:t>
      </w:r>
      <w:r>
        <w:rPr>
          <w:spacing w:val="-2"/>
        </w:rPr>
        <w:t xml:space="preserve"> </w:t>
      </w:r>
      <w:r>
        <w:t>gap</w:t>
      </w:r>
      <w:r>
        <w:rPr>
          <w:spacing w:val="-3"/>
        </w:rPr>
        <w:t xml:space="preserve"> </w:t>
      </w:r>
      <w:r>
        <w:t>in</w:t>
      </w:r>
      <w:r>
        <w:rPr>
          <w:spacing w:val="-2"/>
        </w:rPr>
        <w:t xml:space="preserve"> </w:t>
      </w:r>
      <w:r>
        <w:t>receipt</w:t>
      </w:r>
      <w:r>
        <w:rPr>
          <w:spacing w:val="-2"/>
        </w:rPr>
        <w:t xml:space="preserve"> </w:t>
      </w:r>
      <w:r>
        <w:t>of</w:t>
      </w:r>
      <w:r>
        <w:rPr>
          <w:spacing w:val="-2"/>
        </w:rPr>
        <w:t xml:space="preserve"> </w:t>
      </w:r>
      <w:r>
        <w:t>AIDS</w:t>
      </w:r>
      <w:r>
        <w:rPr>
          <w:spacing w:val="-2"/>
        </w:rPr>
        <w:t xml:space="preserve"> </w:t>
      </w:r>
      <w:r>
        <w:t>education</w:t>
      </w:r>
      <w:r>
        <w:rPr>
          <w:spacing w:val="-3"/>
        </w:rPr>
        <w:t xml:space="preserve"> </w:t>
      </w:r>
      <w:r>
        <w:t>has</w:t>
      </w:r>
      <w:r>
        <w:rPr>
          <w:spacing w:val="-1"/>
        </w:rPr>
        <w:t xml:space="preserve"> </w:t>
      </w:r>
      <w:r>
        <w:t>narrowed</w:t>
      </w:r>
      <w:r>
        <w:rPr>
          <w:spacing w:val="-2"/>
        </w:rPr>
        <w:t xml:space="preserve"> </w:t>
      </w:r>
      <w:r>
        <w:t>between male</w:t>
      </w:r>
      <w:r>
        <w:rPr>
          <w:spacing w:val="-9"/>
        </w:rPr>
        <w:t xml:space="preserve"> </w:t>
      </w:r>
      <w:r>
        <w:t>youth</w:t>
      </w:r>
      <w:r>
        <w:rPr>
          <w:spacing w:val="-9"/>
        </w:rPr>
        <w:t xml:space="preserve"> </w:t>
      </w:r>
      <w:r>
        <w:t>who</w:t>
      </w:r>
      <w:r>
        <w:rPr>
          <w:spacing w:val="-8"/>
        </w:rPr>
        <w:t xml:space="preserve"> </w:t>
      </w:r>
      <w:r>
        <w:t>have</w:t>
      </w:r>
      <w:r>
        <w:rPr>
          <w:spacing w:val="-9"/>
        </w:rPr>
        <w:t xml:space="preserve"> </w:t>
      </w:r>
      <w:r>
        <w:t>sex</w:t>
      </w:r>
      <w:r>
        <w:rPr>
          <w:spacing w:val="-9"/>
        </w:rPr>
        <w:t xml:space="preserve"> </w:t>
      </w:r>
      <w:r>
        <w:t>only</w:t>
      </w:r>
      <w:r>
        <w:rPr>
          <w:spacing w:val="-9"/>
        </w:rPr>
        <w:t xml:space="preserve"> </w:t>
      </w:r>
      <w:r>
        <w:t>with</w:t>
      </w:r>
      <w:r>
        <w:rPr>
          <w:spacing w:val="-9"/>
        </w:rPr>
        <w:t xml:space="preserve"> </w:t>
      </w:r>
      <w:r>
        <w:t>female</w:t>
      </w:r>
      <w:r>
        <w:rPr>
          <w:spacing w:val="-9"/>
        </w:rPr>
        <w:t xml:space="preserve"> </w:t>
      </w:r>
      <w:r>
        <w:t>partners</w:t>
      </w:r>
      <w:r>
        <w:rPr>
          <w:spacing w:val="-8"/>
        </w:rPr>
        <w:t xml:space="preserve"> </w:t>
      </w:r>
      <w:r>
        <w:t>and</w:t>
      </w:r>
      <w:r>
        <w:rPr>
          <w:spacing w:val="-9"/>
        </w:rPr>
        <w:t xml:space="preserve"> </w:t>
      </w:r>
      <w:r>
        <w:t>those</w:t>
      </w:r>
      <w:r>
        <w:rPr>
          <w:spacing w:val="-9"/>
        </w:rPr>
        <w:t xml:space="preserve"> </w:t>
      </w:r>
      <w:r>
        <w:t>who</w:t>
      </w:r>
      <w:r>
        <w:rPr>
          <w:spacing w:val="-6"/>
        </w:rPr>
        <w:t xml:space="preserve"> </w:t>
      </w:r>
      <w:r>
        <w:t>have</w:t>
      </w:r>
      <w:r>
        <w:rPr>
          <w:spacing w:val="-10"/>
        </w:rPr>
        <w:t xml:space="preserve"> </w:t>
      </w:r>
      <w:r>
        <w:t>sex</w:t>
      </w:r>
      <w:r>
        <w:rPr>
          <w:spacing w:val="-9"/>
        </w:rPr>
        <w:t xml:space="preserve"> </w:t>
      </w:r>
      <w:r>
        <w:t>with</w:t>
      </w:r>
      <w:r>
        <w:rPr>
          <w:spacing w:val="-8"/>
        </w:rPr>
        <w:t xml:space="preserve"> </w:t>
      </w:r>
      <w:r>
        <w:t>any</w:t>
      </w:r>
      <w:r>
        <w:rPr>
          <w:spacing w:val="-9"/>
        </w:rPr>
        <w:t xml:space="preserve"> </w:t>
      </w:r>
      <w:r>
        <w:t>partners</w:t>
      </w:r>
      <w:r>
        <w:rPr>
          <w:spacing w:val="-8"/>
        </w:rPr>
        <w:t xml:space="preserve"> </w:t>
      </w:r>
      <w:r>
        <w:t>(males</w:t>
      </w:r>
      <w:r>
        <w:rPr>
          <w:spacing w:val="-8"/>
        </w:rPr>
        <w:t xml:space="preserve"> </w:t>
      </w:r>
      <w:r>
        <w:t>and females). This largely mirrors the closing gap that is shown in Figure 8 above. The second is that while there were substantial gains in 1993 to 2001 among male youth with any partners, be</w:t>
      </w:r>
      <w:r>
        <w:t>tween 2001 and 2015 the percentage bobbed around, and decreased between 2015 and 2017. Currently, only 73.2% of male</w:t>
      </w:r>
      <w:r>
        <w:rPr>
          <w:spacing w:val="-8"/>
        </w:rPr>
        <w:t xml:space="preserve"> </w:t>
      </w:r>
      <w:r>
        <w:t>youth</w:t>
      </w:r>
      <w:r>
        <w:rPr>
          <w:spacing w:val="-8"/>
        </w:rPr>
        <w:t xml:space="preserve"> </w:t>
      </w:r>
      <w:r>
        <w:t>who</w:t>
      </w:r>
      <w:r>
        <w:rPr>
          <w:spacing w:val="-7"/>
        </w:rPr>
        <w:t xml:space="preserve"> </w:t>
      </w:r>
      <w:r>
        <w:t>have</w:t>
      </w:r>
      <w:r>
        <w:rPr>
          <w:spacing w:val="-8"/>
        </w:rPr>
        <w:t xml:space="preserve"> </w:t>
      </w:r>
      <w:r>
        <w:t>sexual</w:t>
      </w:r>
      <w:r>
        <w:rPr>
          <w:spacing w:val="-8"/>
        </w:rPr>
        <w:t xml:space="preserve"> </w:t>
      </w:r>
      <w:r>
        <w:t>partners</w:t>
      </w:r>
      <w:r>
        <w:rPr>
          <w:spacing w:val="-6"/>
        </w:rPr>
        <w:t xml:space="preserve"> </w:t>
      </w:r>
      <w:r>
        <w:t>of</w:t>
      </w:r>
      <w:r>
        <w:rPr>
          <w:spacing w:val="-6"/>
        </w:rPr>
        <w:t xml:space="preserve"> </w:t>
      </w:r>
      <w:r>
        <w:t>any</w:t>
      </w:r>
      <w:r>
        <w:rPr>
          <w:spacing w:val="-8"/>
        </w:rPr>
        <w:t xml:space="preserve"> </w:t>
      </w:r>
      <w:r>
        <w:t>gender</w:t>
      </w:r>
      <w:r>
        <w:rPr>
          <w:spacing w:val="-8"/>
        </w:rPr>
        <w:t xml:space="preserve"> </w:t>
      </w:r>
      <w:r>
        <w:t>report</w:t>
      </w:r>
      <w:r>
        <w:rPr>
          <w:spacing w:val="-8"/>
        </w:rPr>
        <w:t xml:space="preserve"> </w:t>
      </w:r>
      <w:r>
        <w:t>receiving</w:t>
      </w:r>
      <w:r>
        <w:rPr>
          <w:spacing w:val="-8"/>
        </w:rPr>
        <w:t xml:space="preserve"> </w:t>
      </w:r>
      <w:r>
        <w:t>AIDS</w:t>
      </w:r>
      <w:r>
        <w:rPr>
          <w:spacing w:val="-7"/>
        </w:rPr>
        <w:t xml:space="preserve"> </w:t>
      </w:r>
      <w:r>
        <w:t>education</w:t>
      </w:r>
      <w:r>
        <w:rPr>
          <w:spacing w:val="-8"/>
        </w:rPr>
        <w:t xml:space="preserve"> </w:t>
      </w:r>
      <w:r>
        <w:t>in</w:t>
      </w:r>
      <w:r>
        <w:rPr>
          <w:spacing w:val="-8"/>
        </w:rPr>
        <w:t xml:space="preserve"> </w:t>
      </w:r>
      <w:r>
        <w:t>school.</w:t>
      </w:r>
      <w:r>
        <w:rPr>
          <w:spacing w:val="-8"/>
        </w:rPr>
        <w:t xml:space="preserve"> </w:t>
      </w:r>
      <w:r>
        <w:t>Nationally, the CDC found that condom use among sex</w:t>
      </w:r>
      <w:r>
        <w:t>ually active youth also decreased in the past decade.</w:t>
      </w:r>
      <w:hyperlink w:anchor="_bookmark11" w:history="1">
        <w:r>
          <w:rPr>
            <w:vertAlign w:val="superscript"/>
          </w:rPr>
          <w:t>4</w:t>
        </w:r>
      </w:hyperlink>
    </w:p>
    <w:p w:rsidR="00C76E6D" w:rsidRDefault="00C76E6D">
      <w:pPr>
        <w:spacing w:line="276" w:lineRule="auto"/>
        <w:jc w:val="both"/>
        <w:sectPr w:rsidR="00C76E6D">
          <w:pgSz w:w="12240" w:h="15840"/>
          <w:pgMar w:top="1000" w:right="960" w:bottom="1060" w:left="960" w:header="779" w:footer="864"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5"/>
        <w:rPr>
          <w:sz w:val="29"/>
        </w:rPr>
      </w:pPr>
    </w:p>
    <w:tbl>
      <w:tblPr>
        <w:tblW w:w="0" w:type="auto"/>
        <w:tblInd w:w="1090"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1481"/>
        <w:gridCol w:w="565"/>
        <w:gridCol w:w="564"/>
        <w:gridCol w:w="565"/>
        <w:gridCol w:w="564"/>
        <w:gridCol w:w="565"/>
        <w:gridCol w:w="565"/>
        <w:gridCol w:w="565"/>
        <w:gridCol w:w="565"/>
        <w:gridCol w:w="564"/>
        <w:gridCol w:w="565"/>
        <w:gridCol w:w="564"/>
        <w:gridCol w:w="565"/>
      </w:tblGrid>
      <w:tr w:rsidR="00C76E6D">
        <w:trPr>
          <w:trHeight w:val="260"/>
        </w:trPr>
        <w:tc>
          <w:tcPr>
            <w:tcW w:w="1481" w:type="dxa"/>
            <w:tcBorders>
              <w:top w:val="nil"/>
              <w:left w:val="nil"/>
            </w:tcBorders>
          </w:tcPr>
          <w:p w:rsidR="00C76E6D" w:rsidRDefault="00C76E6D">
            <w:pPr>
              <w:pStyle w:val="TableParagraph"/>
              <w:rPr>
                <w:rFonts w:ascii="Times New Roman"/>
                <w:sz w:val="18"/>
              </w:rPr>
            </w:pPr>
          </w:p>
        </w:tc>
        <w:tc>
          <w:tcPr>
            <w:tcW w:w="565" w:type="dxa"/>
          </w:tcPr>
          <w:p w:rsidR="00C76E6D" w:rsidRDefault="00913831">
            <w:pPr>
              <w:pStyle w:val="TableParagraph"/>
              <w:spacing w:before="10"/>
              <w:ind w:left="64" w:right="54"/>
              <w:jc w:val="center"/>
              <w:rPr>
                <w:sz w:val="18"/>
              </w:rPr>
            </w:pPr>
            <w:r>
              <w:rPr>
                <w:color w:val="575757"/>
                <w:spacing w:val="-4"/>
                <w:sz w:val="18"/>
              </w:rPr>
              <w:t>1993</w:t>
            </w:r>
          </w:p>
        </w:tc>
        <w:tc>
          <w:tcPr>
            <w:tcW w:w="564" w:type="dxa"/>
          </w:tcPr>
          <w:p w:rsidR="00C76E6D" w:rsidRDefault="00913831">
            <w:pPr>
              <w:pStyle w:val="TableParagraph"/>
              <w:spacing w:before="10"/>
              <w:ind w:right="82"/>
              <w:jc w:val="right"/>
              <w:rPr>
                <w:sz w:val="18"/>
              </w:rPr>
            </w:pPr>
            <w:r>
              <w:rPr>
                <w:color w:val="575757"/>
                <w:spacing w:val="-4"/>
                <w:sz w:val="18"/>
              </w:rPr>
              <w:t>1995</w:t>
            </w:r>
          </w:p>
        </w:tc>
        <w:tc>
          <w:tcPr>
            <w:tcW w:w="565" w:type="dxa"/>
          </w:tcPr>
          <w:p w:rsidR="00C76E6D" w:rsidRDefault="00913831">
            <w:pPr>
              <w:pStyle w:val="TableParagraph"/>
              <w:spacing w:before="10"/>
              <w:ind w:right="82"/>
              <w:jc w:val="right"/>
              <w:rPr>
                <w:sz w:val="18"/>
              </w:rPr>
            </w:pPr>
            <w:r>
              <w:rPr>
                <w:color w:val="575757"/>
                <w:spacing w:val="-4"/>
                <w:sz w:val="18"/>
              </w:rPr>
              <w:t>1997</w:t>
            </w:r>
          </w:p>
        </w:tc>
        <w:tc>
          <w:tcPr>
            <w:tcW w:w="564" w:type="dxa"/>
          </w:tcPr>
          <w:p w:rsidR="00C76E6D" w:rsidRDefault="00913831">
            <w:pPr>
              <w:pStyle w:val="TableParagraph"/>
              <w:spacing w:before="10"/>
              <w:ind w:right="82"/>
              <w:jc w:val="right"/>
              <w:rPr>
                <w:sz w:val="18"/>
              </w:rPr>
            </w:pPr>
            <w:r>
              <w:rPr>
                <w:color w:val="575757"/>
                <w:spacing w:val="-4"/>
                <w:sz w:val="18"/>
              </w:rPr>
              <w:t>1999</w:t>
            </w:r>
          </w:p>
        </w:tc>
        <w:tc>
          <w:tcPr>
            <w:tcW w:w="565" w:type="dxa"/>
          </w:tcPr>
          <w:p w:rsidR="00C76E6D" w:rsidRDefault="00913831">
            <w:pPr>
              <w:pStyle w:val="TableParagraph"/>
              <w:spacing w:before="10"/>
              <w:ind w:right="82"/>
              <w:jc w:val="right"/>
              <w:rPr>
                <w:sz w:val="18"/>
              </w:rPr>
            </w:pPr>
            <w:r>
              <w:rPr>
                <w:color w:val="575757"/>
                <w:spacing w:val="-4"/>
                <w:sz w:val="18"/>
              </w:rPr>
              <w:t>2001</w:t>
            </w:r>
          </w:p>
        </w:tc>
        <w:tc>
          <w:tcPr>
            <w:tcW w:w="565" w:type="dxa"/>
          </w:tcPr>
          <w:p w:rsidR="00C76E6D" w:rsidRDefault="00913831">
            <w:pPr>
              <w:pStyle w:val="TableParagraph"/>
              <w:spacing w:before="10"/>
              <w:ind w:right="71"/>
              <w:jc w:val="right"/>
              <w:rPr>
                <w:sz w:val="18"/>
              </w:rPr>
            </w:pPr>
            <w:r>
              <w:rPr>
                <w:color w:val="575757"/>
                <w:spacing w:val="-4"/>
                <w:sz w:val="18"/>
              </w:rPr>
              <w:t>2003</w:t>
            </w:r>
          </w:p>
        </w:tc>
        <w:tc>
          <w:tcPr>
            <w:tcW w:w="565" w:type="dxa"/>
          </w:tcPr>
          <w:p w:rsidR="00C76E6D" w:rsidRDefault="00913831">
            <w:pPr>
              <w:pStyle w:val="TableParagraph"/>
              <w:spacing w:before="10"/>
              <w:ind w:right="71"/>
              <w:jc w:val="right"/>
              <w:rPr>
                <w:sz w:val="18"/>
              </w:rPr>
            </w:pPr>
            <w:r>
              <w:rPr>
                <w:color w:val="575757"/>
                <w:spacing w:val="-4"/>
                <w:sz w:val="18"/>
              </w:rPr>
              <w:t>2005</w:t>
            </w:r>
          </w:p>
        </w:tc>
        <w:tc>
          <w:tcPr>
            <w:tcW w:w="565" w:type="dxa"/>
          </w:tcPr>
          <w:p w:rsidR="00C76E6D" w:rsidRDefault="00913831">
            <w:pPr>
              <w:pStyle w:val="TableParagraph"/>
              <w:spacing w:before="10"/>
              <w:ind w:left="85" w:right="32"/>
              <w:jc w:val="center"/>
              <w:rPr>
                <w:sz w:val="18"/>
              </w:rPr>
            </w:pPr>
            <w:r>
              <w:rPr>
                <w:color w:val="575757"/>
                <w:spacing w:val="-4"/>
                <w:sz w:val="18"/>
              </w:rPr>
              <w:t>2007</w:t>
            </w:r>
          </w:p>
        </w:tc>
        <w:tc>
          <w:tcPr>
            <w:tcW w:w="564" w:type="dxa"/>
          </w:tcPr>
          <w:p w:rsidR="00C76E6D" w:rsidRDefault="00913831">
            <w:pPr>
              <w:pStyle w:val="TableParagraph"/>
              <w:spacing w:before="10"/>
              <w:ind w:left="115"/>
              <w:rPr>
                <w:sz w:val="18"/>
              </w:rPr>
            </w:pPr>
            <w:r>
              <w:rPr>
                <w:color w:val="575757"/>
                <w:spacing w:val="-4"/>
                <w:sz w:val="18"/>
              </w:rPr>
              <w:t>2009</w:t>
            </w:r>
          </w:p>
        </w:tc>
        <w:tc>
          <w:tcPr>
            <w:tcW w:w="565" w:type="dxa"/>
          </w:tcPr>
          <w:p w:rsidR="00C76E6D" w:rsidRDefault="00913831">
            <w:pPr>
              <w:pStyle w:val="TableParagraph"/>
              <w:spacing w:before="10"/>
              <w:ind w:left="108"/>
              <w:rPr>
                <w:sz w:val="18"/>
              </w:rPr>
            </w:pPr>
            <w:r>
              <w:rPr>
                <w:color w:val="575757"/>
                <w:spacing w:val="-4"/>
                <w:sz w:val="18"/>
              </w:rPr>
              <w:t>2011</w:t>
            </w:r>
          </w:p>
        </w:tc>
        <w:tc>
          <w:tcPr>
            <w:tcW w:w="564" w:type="dxa"/>
          </w:tcPr>
          <w:p w:rsidR="00C76E6D" w:rsidRDefault="00913831">
            <w:pPr>
              <w:pStyle w:val="TableParagraph"/>
              <w:spacing w:before="10"/>
              <w:ind w:left="108"/>
              <w:rPr>
                <w:sz w:val="18"/>
              </w:rPr>
            </w:pPr>
            <w:r>
              <w:rPr>
                <w:color w:val="575757"/>
                <w:spacing w:val="-4"/>
                <w:sz w:val="18"/>
              </w:rPr>
              <w:t>2015</w:t>
            </w:r>
          </w:p>
        </w:tc>
        <w:tc>
          <w:tcPr>
            <w:tcW w:w="565" w:type="dxa"/>
          </w:tcPr>
          <w:p w:rsidR="00C76E6D" w:rsidRDefault="00913831">
            <w:pPr>
              <w:pStyle w:val="TableParagraph"/>
              <w:spacing w:before="10"/>
              <w:ind w:left="85" w:right="50"/>
              <w:jc w:val="center"/>
              <w:rPr>
                <w:sz w:val="18"/>
              </w:rPr>
            </w:pPr>
            <w:r>
              <w:rPr>
                <w:color w:val="575757"/>
                <w:spacing w:val="-4"/>
                <w:sz w:val="18"/>
              </w:rPr>
              <w:t>2017</w:t>
            </w:r>
          </w:p>
        </w:tc>
      </w:tr>
      <w:tr w:rsidR="00C76E6D">
        <w:trPr>
          <w:trHeight w:val="271"/>
        </w:trPr>
        <w:tc>
          <w:tcPr>
            <w:tcW w:w="1481" w:type="dxa"/>
          </w:tcPr>
          <w:p w:rsidR="00C76E6D" w:rsidRDefault="00913831">
            <w:pPr>
              <w:pStyle w:val="TableParagraph"/>
              <w:spacing w:before="10"/>
              <w:ind w:right="58"/>
              <w:jc w:val="right"/>
              <w:rPr>
                <w:sz w:val="18"/>
              </w:rPr>
            </w:pPr>
            <w:r>
              <w:rPr>
                <w:color w:val="575757"/>
                <w:sz w:val="18"/>
              </w:rPr>
              <w:t>Only</w:t>
            </w:r>
            <w:r>
              <w:rPr>
                <w:color w:val="575757"/>
                <w:spacing w:val="-7"/>
                <w:sz w:val="18"/>
              </w:rPr>
              <w:t xml:space="preserve"> </w:t>
            </w:r>
            <w:r>
              <w:rPr>
                <w:color w:val="575757"/>
                <w:spacing w:val="-2"/>
                <w:sz w:val="18"/>
              </w:rPr>
              <w:t>Female</w:t>
            </w:r>
          </w:p>
        </w:tc>
        <w:tc>
          <w:tcPr>
            <w:tcW w:w="565" w:type="dxa"/>
          </w:tcPr>
          <w:p w:rsidR="00C76E6D" w:rsidRDefault="00913831">
            <w:pPr>
              <w:pStyle w:val="TableParagraph"/>
              <w:spacing w:before="15"/>
              <w:ind w:left="70" w:right="54"/>
              <w:jc w:val="center"/>
              <w:rPr>
                <w:sz w:val="18"/>
              </w:rPr>
            </w:pPr>
            <w:r>
              <w:rPr>
                <w:color w:val="575757"/>
                <w:spacing w:val="-4"/>
                <w:sz w:val="18"/>
              </w:rPr>
              <w:t>90.1</w:t>
            </w:r>
          </w:p>
        </w:tc>
        <w:tc>
          <w:tcPr>
            <w:tcW w:w="564" w:type="dxa"/>
          </w:tcPr>
          <w:p w:rsidR="00C76E6D" w:rsidRDefault="00913831">
            <w:pPr>
              <w:pStyle w:val="TableParagraph"/>
              <w:spacing w:before="15"/>
              <w:ind w:right="101"/>
              <w:jc w:val="right"/>
              <w:rPr>
                <w:sz w:val="18"/>
              </w:rPr>
            </w:pPr>
            <w:r>
              <w:rPr>
                <w:color w:val="575757"/>
                <w:spacing w:val="-4"/>
                <w:sz w:val="18"/>
              </w:rPr>
              <w:t>91.4</w:t>
            </w:r>
          </w:p>
        </w:tc>
        <w:tc>
          <w:tcPr>
            <w:tcW w:w="565" w:type="dxa"/>
          </w:tcPr>
          <w:p w:rsidR="00C76E6D" w:rsidRDefault="00913831">
            <w:pPr>
              <w:pStyle w:val="TableParagraph"/>
              <w:spacing w:before="15"/>
              <w:ind w:right="101"/>
              <w:jc w:val="right"/>
              <w:rPr>
                <w:sz w:val="18"/>
              </w:rPr>
            </w:pPr>
            <w:r>
              <w:rPr>
                <w:color w:val="575757"/>
                <w:spacing w:val="-4"/>
                <w:sz w:val="18"/>
              </w:rPr>
              <w:t>92.7</w:t>
            </w:r>
          </w:p>
        </w:tc>
        <w:tc>
          <w:tcPr>
            <w:tcW w:w="564" w:type="dxa"/>
          </w:tcPr>
          <w:p w:rsidR="00C76E6D" w:rsidRDefault="00913831">
            <w:pPr>
              <w:pStyle w:val="TableParagraph"/>
              <w:spacing w:before="15"/>
              <w:ind w:right="101"/>
              <w:jc w:val="right"/>
              <w:rPr>
                <w:sz w:val="18"/>
              </w:rPr>
            </w:pPr>
            <w:r>
              <w:rPr>
                <w:color w:val="575757"/>
                <w:spacing w:val="-4"/>
                <w:sz w:val="18"/>
              </w:rPr>
              <w:t>93.1</w:t>
            </w:r>
          </w:p>
        </w:tc>
        <w:tc>
          <w:tcPr>
            <w:tcW w:w="565" w:type="dxa"/>
          </w:tcPr>
          <w:p w:rsidR="00C76E6D" w:rsidRDefault="00913831">
            <w:pPr>
              <w:pStyle w:val="TableParagraph"/>
              <w:spacing w:before="15"/>
              <w:ind w:right="101"/>
              <w:jc w:val="right"/>
              <w:rPr>
                <w:sz w:val="18"/>
              </w:rPr>
            </w:pPr>
            <w:r>
              <w:rPr>
                <w:color w:val="575757"/>
                <w:spacing w:val="-4"/>
                <w:sz w:val="18"/>
              </w:rPr>
              <w:t>93.2</w:t>
            </w:r>
          </w:p>
        </w:tc>
        <w:tc>
          <w:tcPr>
            <w:tcW w:w="565" w:type="dxa"/>
          </w:tcPr>
          <w:p w:rsidR="00C76E6D" w:rsidRDefault="00913831">
            <w:pPr>
              <w:pStyle w:val="TableParagraph"/>
              <w:spacing w:before="15"/>
              <w:ind w:right="89"/>
              <w:jc w:val="right"/>
              <w:rPr>
                <w:sz w:val="18"/>
              </w:rPr>
            </w:pPr>
            <w:r>
              <w:rPr>
                <w:color w:val="575757"/>
                <w:spacing w:val="-4"/>
                <w:sz w:val="18"/>
              </w:rPr>
              <w:t>90.5</w:t>
            </w:r>
          </w:p>
        </w:tc>
        <w:tc>
          <w:tcPr>
            <w:tcW w:w="565" w:type="dxa"/>
          </w:tcPr>
          <w:p w:rsidR="00C76E6D" w:rsidRDefault="00913831">
            <w:pPr>
              <w:pStyle w:val="TableParagraph"/>
              <w:spacing w:before="15"/>
              <w:ind w:right="89"/>
              <w:jc w:val="right"/>
              <w:rPr>
                <w:sz w:val="18"/>
              </w:rPr>
            </w:pPr>
            <w:r>
              <w:rPr>
                <w:color w:val="575757"/>
                <w:spacing w:val="-4"/>
                <w:sz w:val="18"/>
              </w:rPr>
              <w:t>90.5</w:t>
            </w:r>
          </w:p>
        </w:tc>
        <w:tc>
          <w:tcPr>
            <w:tcW w:w="565" w:type="dxa"/>
          </w:tcPr>
          <w:p w:rsidR="00C76E6D" w:rsidRDefault="00913831">
            <w:pPr>
              <w:pStyle w:val="TableParagraph"/>
              <w:spacing w:before="15"/>
              <w:ind w:left="85" w:right="26"/>
              <w:jc w:val="center"/>
              <w:rPr>
                <w:sz w:val="18"/>
              </w:rPr>
            </w:pPr>
            <w:r>
              <w:rPr>
                <w:color w:val="575757"/>
                <w:spacing w:val="-4"/>
                <w:sz w:val="18"/>
              </w:rPr>
              <w:t>89.8</w:t>
            </w:r>
          </w:p>
        </w:tc>
        <w:tc>
          <w:tcPr>
            <w:tcW w:w="564" w:type="dxa"/>
          </w:tcPr>
          <w:p w:rsidR="00C76E6D" w:rsidRDefault="00913831">
            <w:pPr>
              <w:pStyle w:val="TableParagraph"/>
              <w:spacing w:before="15"/>
              <w:ind w:left="139"/>
              <w:rPr>
                <w:sz w:val="18"/>
              </w:rPr>
            </w:pPr>
            <w:r>
              <w:rPr>
                <w:color w:val="575757"/>
                <w:spacing w:val="-4"/>
                <w:sz w:val="18"/>
              </w:rPr>
              <w:t>88.6</w:t>
            </w:r>
          </w:p>
        </w:tc>
        <w:tc>
          <w:tcPr>
            <w:tcW w:w="565" w:type="dxa"/>
          </w:tcPr>
          <w:p w:rsidR="00C76E6D" w:rsidRDefault="00913831">
            <w:pPr>
              <w:pStyle w:val="TableParagraph"/>
              <w:spacing w:before="15"/>
              <w:ind w:left="131"/>
              <w:rPr>
                <w:sz w:val="18"/>
              </w:rPr>
            </w:pPr>
            <w:r>
              <w:rPr>
                <w:color w:val="575757"/>
                <w:spacing w:val="-4"/>
                <w:sz w:val="18"/>
              </w:rPr>
              <w:t>85.8</w:t>
            </w:r>
          </w:p>
        </w:tc>
        <w:tc>
          <w:tcPr>
            <w:tcW w:w="564" w:type="dxa"/>
          </w:tcPr>
          <w:p w:rsidR="00C76E6D" w:rsidRDefault="00913831">
            <w:pPr>
              <w:pStyle w:val="TableParagraph"/>
              <w:spacing w:before="15"/>
              <w:ind w:left="130"/>
              <w:rPr>
                <w:sz w:val="18"/>
              </w:rPr>
            </w:pPr>
            <w:r>
              <w:rPr>
                <w:color w:val="575757"/>
                <w:spacing w:val="-4"/>
                <w:sz w:val="18"/>
              </w:rPr>
              <w:t>81.3</w:t>
            </w:r>
          </w:p>
        </w:tc>
        <w:tc>
          <w:tcPr>
            <w:tcW w:w="565" w:type="dxa"/>
          </w:tcPr>
          <w:p w:rsidR="00C76E6D" w:rsidRDefault="00913831">
            <w:pPr>
              <w:pStyle w:val="TableParagraph"/>
              <w:spacing w:before="15"/>
              <w:ind w:left="85" w:right="53"/>
              <w:jc w:val="center"/>
              <w:rPr>
                <w:sz w:val="18"/>
              </w:rPr>
            </w:pPr>
            <w:r>
              <w:rPr>
                <w:color w:val="575757"/>
                <w:spacing w:val="-5"/>
                <w:sz w:val="18"/>
              </w:rPr>
              <w:t>77</w:t>
            </w:r>
          </w:p>
        </w:tc>
      </w:tr>
      <w:tr w:rsidR="00C76E6D">
        <w:trPr>
          <w:trHeight w:val="272"/>
        </w:trPr>
        <w:tc>
          <w:tcPr>
            <w:tcW w:w="1481" w:type="dxa"/>
          </w:tcPr>
          <w:p w:rsidR="00C76E6D" w:rsidRDefault="00913831">
            <w:pPr>
              <w:pStyle w:val="TableParagraph"/>
              <w:spacing w:before="10"/>
              <w:ind w:right="24"/>
              <w:jc w:val="right"/>
              <w:rPr>
                <w:sz w:val="18"/>
              </w:rPr>
            </w:pPr>
            <w:r>
              <w:rPr>
                <w:color w:val="575757"/>
                <w:sz w:val="18"/>
              </w:rPr>
              <w:t>Any</w:t>
            </w:r>
            <w:r>
              <w:rPr>
                <w:color w:val="575757"/>
                <w:spacing w:val="-3"/>
                <w:sz w:val="18"/>
              </w:rPr>
              <w:t xml:space="preserve"> </w:t>
            </w:r>
            <w:r>
              <w:rPr>
                <w:color w:val="575757"/>
                <w:spacing w:val="-2"/>
                <w:sz w:val="18"/>
              </w:rPr>
              <w:t>Partners</w:t>
            </w:r>
          </w:p>
        </w:tc>
        <w:tc>
          <w:tcPr>
            <w:tcW w:w="565" w:type="dxa"/>
          </w:tcPr>
          <w:p w:rsidR="00C76E6D" w:rsidRDefault="00913831">
            <w:pPr>
              <w:pStyle w:val="TableParagraph"/>
              <w:spacing w:before="15"/>
              <w:ind w:left="70" w:right="54"/>
              <w:jc w:val="center"/>
              <w:rPr>
                <w:sz w:val="18"/>
              </w:rPr>
            </w:pPr>
            <w:r>
              <w:rPr>
                <w:color w:val="575757"/>
                <w:spacing w:val="-4"/>
                <w:sz w:val="18"/>
              </w:rPr>
              <w:t>64.8</w:t>
            </w:r>
          </w:p>
        </w:tc>
        <w:tc>
          <w:tcPr>
            <w:tcW w:w="564" w:type="dxa"/>
          </w:tcPr>
          <w:p w:rsidR="00C76E6D" w:rsidRDefault="00913831">
            <w:pPr>
              <w:pStyle w:val="TableParagraph"/>
              <w:spacing w:before="15"/>
              <w:ind w:right="101"/>
              <w:jc w:val="right"/>
              <w:rPr>
                <w:sz w:val="18"/>
              </w:rPr>
            </w:pPr>
            <w:r>
              <w:rPr>
                <w:color w:val="575757"/>
                <w:spacing w:val="-4"/>
                <w:sz w:val="18"/>
              </w:rPr>
              <w:t>65.8</w:t>
            </w:r>
          </w:p>
        </w:tc>
        <w:tc>
          <w:tcPr>
            <w:tcW w:w="565" w:type="dxa"/>
          </w:tcPr>
          <w:p w:rsidR="00C76E6D" w:rsidRDefault="00913831">
            <w:pPr>
              <w:pStyle w:val="TableParagraph"/>
              <w:spacing w:before="15"/>
              <w:ind w:right="101"/>
              <w:jc w:val="right"/>
              <w:rPr>
                <w:sz w:val="18"/>
              </w:rPr>
            </w:pPr>
            <w:r>
              <w:rPr>
                <w:color w:val="575757"/>
                <w:spacing w:val="-4"/>
                <w:sz w:val="18"/>
              </w:rPr>
              <w:t>71.5</w:t>
            </w:r>
          </w:p>
        </w:tc>
        <w:tc>
          <w:tcPr>
            <w:tcW w:w="564" w:type="dxa"/>
          </w:tcPr>
          <w:p w:rsidR="00C76E6D" w:rsidRDefault="00913831">
            <w:pPr>
              <w:pStyle w:val="TableParagraph"/>
              <w:spacing w:before="15"/>
              <w:ind w:right="101"/>
              <w:jc w:val="right"/>
              <w:rPr>
                <w:sz w:val="18"/>
              </w:rPr>
            </w:pPr>
            <w:r>
              <w:rPr>
                <w:color w:val="575757"/>
                <w:spacing w:val="-4"/>
                <w:sz w:val="18"/>
              </w:rPr>
              <w:t>76.9</w:t>
            </w:r>
          </w:p>
        </w:tc>
        <w:tc>
          <w:tcPr>
            <w:tcW w:w="565" w:type="dxa"/>
          </w:tcPr>
          <w:p w:rsidR="00C76E6D" w:rsidRDefault="00913831">
            <w:pPr>
              <w:pStyle w:val="TableParagraph"/>
              <w:spacing w:before="15"/>
              <w:ind w:right="101"/>
              <w:jc w:val="right"/>
              <w:rPr>
                <w:sz w:val="18"/>
              </w:rPr>
            </w:pPr>
            <w:r>
              <w:rPr>
                <w:color w:val="575757"/>
                <w:spacing w:val="-4"/>
                <w:sz w:val="18"/>
              </w:rPr>
              <w:t>78.4</w:t>
            </w:r>
          </w:p>
        </w:tc>
        <w:tc>
          <w:tcPr>
            <w:tcW w:w="565" w:type="dxa"/>
          </w:tcPr>
          <w:p w:rsidR="00C76E6D" w:rsidRDefault="00913831">
            <w:pPr>
              <w:pStyle w:val="TableParagraph"/>
              <w:spacing w:before="15"/>
              <w:ind w:right="89"/>
              <w:jc w:val="right"/>
              <w:rPr>
                <w:sz w:val="18"/>
              </w:rPr>
            </w:pPr>
            <w:r>
              <w:rPr>
                <w:color w:val="575757"/>
                <w:spacing w:val="-4"/>
                <w:sz w:val="18"/>
              </w:rPr>
              <w:t>73.5</w:t>
            </w:r>
          </w:p>
        </w:tc>
        <w:tc>
          <w:tcPr>
            <w:tcW w:w="565" w:type="dxa"/>
          </w:tcPr>
          <w:p w:rsidR="00C76E6D" w:rsidRDefault="00913831">
            <w:pPr>
              <w:pStyle w:val="TableParagraph"/>
              <w:spacing w:before="15"/>
              <w:ind w:right="89"/>
              <w:jc w:val="right"/>
              <w:rPr>
                <w:sz w:val="18"/>
              </w:rPr>
            </w:pPr>
            <w:r>
              <w:rPr>
                <w:color w:val="575757"/>
                <w:spacing w:val="-4"/>
                <w:sz w:val="18"/>
              </w:rPr>
              <w:t>73.5</w:t>
            </w:r>
          </w:p>
        </w:tc>
        <w:tc>
          <w:tcPr>
            <w:tcW w:w="565" w:type="dxa"/>
          </w:tcPr>
          <w:p w:rsidR="00C76E6D" w:rsidRDefault="00913831">
            <w:pPr>
              <w:pStyle w:val="TableParagraph"/>
              <w:spacing w:before="15"/>
              <w:ind w:left="85" w:right="26"/>
              <w:jc w:val="center"/>
              <w:rPr>
                <w:sz w:val="18"/>
              </w:rPr>
            </w:pPr>
            <w:r>
              <w:rPr>
                <w:color w:val="575757"/>
                <w:spacing w:val="-4"/>
                <w:sz w:val="18"/>
              </w:rPr>
              <w:t>79.5</w:t>
            </w:r>
          </w:p>
        </w:tc>
        <w:tc>
          <w:tcPr>
            <w:tcW w:w="564" w:type="dxa"/>
          </w:tcPr>
          <w:p w:rsidR="00C76E6D" w:rsidRDefault="00913831">
            <w:pPr>
              <w:pStyle w:val="TableParagraph"/>
              <w:spacing w:before="15"/>
              <w:ind w:left="139"/>
              <w:rPr>
                <w:sz w:val="18"/>
              </w:rPr>
            </w:pPr>
            <w:r>
              <w:rPr>
                <w:color w:val="575757"/>
                <w:spacing w:val="-4"/>
                <w:sz w:val="18"/>
              </w:rPr>
              <w:t>71.1</w:t>
            </w:r>
          </w:p>
        </w:tc>
        <w:tc>
          <w:tcPr>
            <w:tcW w:w="565" w:type="dxa"/>
          </w:tcPr>
          <w:p w:rsidR="00C76E6D" w:rsidRDefault="00913831">
            <w:pPr>
              <w:pStyle w:val="TableParagraph"/>
              <w:spacing w:before="15"/>
              <w:ind w:left="131"/>
              <w:rPr>
                <w:sz w:val="18"/>
              </w:rPr>
            </w:pPr>
            <w:r>
              <w:rPr>
                <w:color w:val="575757"/>
                <w:spacing w:val="-4"/>
                <w:sz w:val="18"/>
              </w:rPr>
              <w:t>73.5</w:t>
            </w:r>
          </w:p>
        </w:tc>
        <w:tc>
          <w:tcPr>
            <w:tcW w:w="564" w:type="dxa"/>
          </w:tcPr>
          <w:p w:rsidR="00C76E6D" w:rsidRDefault="00913831">
            <w:pPr>
              <w:pStyle w:val="TableParagraph"/>
              <w:spacing w:before="15"/>
              <w:ind w:left="130"/>
              <w:rPr>
                <w:sz w:val="18"/>
              </w:rPr>
            </w:pPr>
            <w:r>
              <w:rPr>
                <w:color w:val="575757"/>
                <w:spacing w:val="-4"/>
                <w:sz w:val="18"/>
              </w:rPr>
              <w:t>76.7</w:t>
            </w:r>
          </w:p>
        </w:tc>
        <w:tc>
          <w:tcPr>
            <w:tcW w:w="565" w:type="dxa"/>
          </w:tcPr>
          <w:p w:rsidR="00C76E6D" w:rsidRDefault="00913831">
            <w:pPr>
              <w:pStyle w:val="TableParagraph"/>
              <w:spacing w:before="15"/>
              <w:ind w:left="85" w:right="47"/>
              <w:jc w:val="center"/>
              <w:rPr>
                <w:sz w:val="18"/>
              </w:rPr>
            </w:pPr>
            <w:r>
              <w:rPr>
                <w:color w:val="575757"/>
                <w:spacing w:val="-4"/>
                <w:sz w:val="18"/>
              </w:rPr>
              <w:t>73.2</w:t>
            </w:r>
          </w:p>
        </w:tc>
      </w:tr>
    </w:tbl>
    <w:p w:rsidR="00C76E6D" w:rsidRDefault="00C76E6D">
      <w:pPr>
        <w:pStyle w:val="BodyText"/>
        <w:rPr>
          <w:sz w:val="20"/>
        </w:rPr>
      </w:pPr>
    </w:p>
    <w:p w:rsidR="00C76E6D" w:rsidRDefault="00C76E6D">
      <w:pPr>
        <w:pStyle w:val="BodyText"/>
        <w:spacing w:before="3"/>
        <w:rPr>
          <w:sz w:val="17"/>
        </w:rPr>
      </w:pPr>
    </w:p>
    <w:p w:rsidR="00C76E6D" w:rsidRDefault="00913831">
      <w:pPr>
        <w:pStyle w:val="BodyText"/>
        <w:spacing w:line="276" w:lineRule="auto"/>
        <w:ind w:left="478" w:right="475"/>
        <w:jc w:val="both"/>
      </w:pPr>
      <w:r>
        <w:pict>
          <v:group id="docshapegroup193" o:spid="_x0000_s1200" style="position:absolute;left:0;text-align:left;margin-left:84.4pt;margin-top:-247.3pt;width:441.8pt;height:229.6pt;z-index:-21190656;mso-position-horizontal-relative:page" coordorigin="1688,-4946" coordsize="8836,4592">
            <v:shape id="docshape194" o:spid="_x0000_s1233" style="position:absolute;left:3515;top:-3366;width:6780;height:1759" coordorigin="3515,-3365" coordsize="6780,1759" o:spt="100" adj="0,,0" path="m3515,-1606r6780,m3515,-1899r6780,m3515,-2193r6780,m3515,-2486r6780,m3515,-2780r6780,m3515,-3073r6780,m3515,-3365r6780,e" filled="f" strokecolor="#d9d9d9">
              <v:stroke joinstyle="round"/>
              <v:formulas/>
              <v:path arrowok="t" o:connecttype="segments"/>
            </v:shape>
            <v:shape id="docshape195" o:spid="_x0000_s1232" style="position:absolute;left:3798;top:-3554;width:6215;height:951" coordorigin="3798,-3553" coordsize="6215,951" path="m3798,-3370r565,-77l4928,-3523r566,-24l6059,-3553r564,159l7188,-3394r565,40l8318,-3283r566,165l9449,-2854r564,252e" filled="f" strokecolor="#4470c4" strokeweight="2.25pt">
              <v:path arrowok="t"/>
            </v:shape>
            <v:shape id="docshape196" o:spid="_x0000_s1231" type="#_x0000_t75" style="position:absolute;left:3739;top:-3431;width:114;height:114">
              <v:imagedata r:id="rId104" o:title=""/>
            </v:shape>
            <v:shape id="docshape197" o:spid="_x0000_s1230" type="#_x0000_t75" style="position:absolute;left:4305;top:-3506;width:114;height:114">
              <v:imagedata r:id="rId104" o:title=""/>
            </v:shape>
            <v:line id="_x0000_s1229" style="position:absolute" from="3516,-3658" to="10296,-3658" strokecolor="#d9d9d9"/>
            <v:shape id="docshape198" o:spid="_x0000_s1228" type="#_x0000_t75" style="position:absolute;left:4869;top:-3583;width:114;height:114">
              <v:imagedata r:id="rId104" o:title=""/>
            </v:shape>
            <v:shape id="docshape199" o:spid="_x0000_s1227" type="#_x0000_t75" style="position:absolute;left:5434;top:-3607;width:114;height:114">
              <v:imagedata r:id="rId104" o:title=""/>
            </v:shape>
            <v:shape id="docshape200" o:spid="_x0000_s1226" type="#_x0000_t75" style="position:absolute;left:5999;top:-3612;width:114;height:114">
              <v:imagedata r:id="rId104" o:title=""/>
            </v:shape>
            <v:shape id="docshape201" o:spid="_x0000_s1225" type="#_x0000_t75" style="position:absolute;left:6564;top:-3453;width:114;height:114">
              <v:imagedata r:id="rId104" o:title=""/>
            </v:shape>
            <v:shape id="docshape202" o:spid="_x0000_s1224" type="#_x0000_t75" style="position:absolute;left:7129;top:-3453;width:114;height:114">
              <v:imagedata r:id="rId104" o:title=""/>
            </v:shape>
            <v:shape id="docshape203" o:spid="_x0000_s1223" type="#_x0000_t75" style="position:absolute;left:7695;top:-3413;width:114;height:114">
              <v:imagedata r:id="rId104" o:title=""/>
            </v:shape>
            <v:shape id="docshape204" o:spid="_x0000_s1222" type="#_x0000_t75" style="position:absolute;left:8260;top:-3343;width:114;height:114">
              <v:imagedata r:id="rId105" o:title=""/>
            </v:shape>
            <v:shape id="docshape205" o:spid="_x0000_s1221" type="#_x0000_t75" style="position:absolute;left:8824;top:-3179;width:114;height:114">
              <v:imagedata r:id="rId104" o:title=""/>
            </v:shape>
            <v:shape id="docshape206" o:spid="_x0000_s1220" type="#_x0000_t75" style="position:absolute;left:9389;top:-2915;width:114;height:114">
              <v:imagedata r:id="rId104" o:title=""/>
            </v:shape>
            <v:shape id="docshape207" o:spid="_x0000_s1219" type="#_x0000_t75" style="position:absolute;left:9954;top:-2661;width:114;height:114">
              <v:imagedata r:id="rId104" o:title=""/>
            </v:shape>
            <v:shape id="docshape208" o:spid="_x0000_s1218" style="position:absolute;left:3798;top:-2750;width:6215;height:862" coordorigin="3798,-2749" coordsize="6215,862" path="m3798,-1887r565,-58l4928,-2280r566,-316l6059,-2684r564,287l7188,-2397r565,-352l8318,-2257r566,-140l9449,-2584r564,205e" filled="f" strokecolor="#a3a3a3" strokeweight="2.25pt">
              <v:path arrowok="t"/>
            </v:shape>
            <v:shape id="docshape209" o:spid="_x0000_s1217" type="#_x0000_t75" style="position:absolute;left:3739;top:-1946;width:114;height:114">
              <v:imagedata r:id="rId106" o:title=""/>
            </v:shape>
            <v:shape id="docshape210" o:spid="_x0000_s1216" type="#_x0000_t75" style="position:absolute;left:4305;top:-2005;width:114;height:114">
              <v:imagedata r:id="rId106" o:title=""/>
            </v:shape>
            <v:shape id="docshape211" o:spid="_x0000_s1215" type="#_x0000_t75" style="position:absolute;left:4869;top:-2340;width:114;height:114">
              <v:imagedata r:id="rId106" o:title=""/>
            </v:shape>
            <v:shape id="docshape212" o:spid="_x0000_s1214" type="#_x0000_t75" style="position:absolute;left:5434;top:-2657;width:114;height:114">
              <v:imagedata r:id="rId107" o:title=""/>
            </v:shape>
            <v:shape id="docshape213" o:spid="_x0000_s1213" type="#_x0000_t75" style="position:absolute;left:5999;top:-2744;width:114;height:114">
              <v:imagedata r:id="rId106" o:title=""/>
            </v:shape>
            <v:shape id="docshape214" o:spid="_x0000_s1212" type="#_x0000_t75" style="position:absolute;left:6564;top:-2456;width:114;height:114">
              <v:imagedata r:id="rId106" o:title=""/>
            </v:shape>
            <v:shape id="docshape215" o:spid="_x0000_s1211" type="#_x0000_t75" style="position:absolute;left:7129;top:-2456;width:114;height:114">
              <v:imagedata r:id="rId106" o:title=""/>
            </v:shape>
            <v:shape id="docshape216" o:spid="_x0000_s1210" type="#_x0000_t75" style="position:absolute;left:7695;top:-2809;width:114;height:114">
              <v:imagedata r:id="rId106" o:title=""/>
            </v:shape>
            <v:shape id="docshape217" o:spid="_x0000_s1209" type="#_x0000_t75" style="position:absolute;left:8260;top:-2316;width:114;height:114">
              <v:imagedata r:id="rId108" o:title=""/>
            </v:shape>
            <v:shape id="docshape218" o:spid="_x0000_s1208" type="#_x0000_t75" style="position:absolute;left:8824;top:-2456;width:114;height:114">
              <v:imagedata r:id="rId106" o:title=""/>
            </v:shape>
            <v:shape id="docshape219" o:spid="_x0000_s1207" type="#_x0000_t75" style="position:absolute;left:9389;top:-2645;width:114;height:114">
              <v:imagedata r:id="rId106" o:title=""/>
            </v:shape>
            <v:shape id="docshape220" o:spid="_x0000_s1206" type="#_x0000_t75" style="position:absolute;left:9954;top:-2439;width:114;height:114">
              <v:imagedata r:id="rId106" o:title=""/>
            </v:shape>
            <v:line id="_x0000_s1205" style="position:absolute" from="3516,-3952" to="10296,-3952" strokecolor="#d9d9d9"/>
            <v:shape id="docshape221" o:spid="_x0000_s1204" type="#_x0000_t75" style="position:absolute;left:2098;top:-956;width:384;height:114">
              <v:imagedata r:id="rId109" o:title=""/>
            </v:shape>
            <v:shape id="docshape222" o:spid="_x0000_s1203" type="#_x0000_t75" style="position:absolute;left:2098;top:-668;width:384;height:114">
              <v:imagedata r:id="rId110" o:title=""/>
            </v:shape>
            <v:rect id="docshape223" o:spid="_x0000_s1202" style="position:absolute;left:1695;top:-4939;width:8821;height:4577" filled="f" strokecolor="#d9d9d9"/>
            <v:shape id="docshape224" o:spid="_x0000_s1201" type="#_x0000_t202" style="position:absolute;left:1687;top:-4946;width:8836;height:4592" filled="f" stroked="f">
              <v:textbox inset="0,0,0,0">
                <w:txbxContent>
                  <w:p w:rsidR="00C76E6D" w:rsidRDefault="00913831">
                    <w:pPr>
                      <w:spacing w:before="156"/>
                      <w:ind w:left="2670" w:hanging="1714"/>
                      <w:rPr>
                        <w:b/>
                        <w:sz w:val="24"/>
                      </w:rPr>
                    </w:pPr>
                    <w:r>
                      <w:rPr>
                        <w:b/>
                        <w:color w:val="575757"/>
                        <w:sz w:val="24"/>
                      </w:rPr>
                      <w:t>FIGURE</w:t>
                    </w:r>
                    <w:r>
                      <w:rPr>
                        <w:b/>
                        <w:color w:val="575757"/>
                        <w:spacing w:val="-13"/>
                        <w:sz w:val="24"/>
                      </w:rPr>
                      <w:t xml:space="preserve"> </w:t>
                    </w:r>
                    <w:r>
                      <w:rPr>
                        <w:b/>
                        <w:color w:val="575757"/>
                        <w:sz w:val="24"/>
                      </w:rPr>
                      <w:t>9.</w:t>
                    </w:r>
                    <w:r>
                      <w:rPr>
                        <w:b/>
                        <w:color w:val="575757"/>
                        <w:spacing w:val="-12"/>
                        <w:sz w:val="24"/>
                      </w:rPr>
                      <w:t xml:space="preserve"> </w:t>
                    </w:r>
                    <w:r>
                      <w:rPr>
                        <w:b/>
                        <w:color w:val="575757"/>
                        <w:sz w:val="24"/>
                      </w:rPr>
                      <w:t>PERCENT</w:t>
                    </w:r>
                    <w:r>
                      <w:rPr>
                        <w:b/>
                        <w:color w:val="575757"/>
                        <w:spacing w:val="-14"/>
                        <w:sz w:val="24"/>
                      </w:rPr>
                      <w:t xml:space="preserve"> </w:t>
                    </w:r>
                    <w:r>
                      <w:rPr>
                        <w:b/>
                        <w:color w:val="575757"/>
                        <w:sz w:val="24"/>
                      </w:rPr>
                      <w:t>OF</w:t>
                    </w:r>
                    <w:r>
                      <w:rPr>
                        <w:b/>
                        <w:color w:val="575757"/>
                        <w:spacing w:val="-14"/>
                        <w:sz w:val="24"/>
                      </w:rPr>
                      <w:t xml:space="preserve"> </w:t>
                    </w:r>
                    <w:r>
                      <w:rPr>
                        <w:b/>
                        <w:color w:val="575757"/>
                        <w:sz w:val="24"/>
                      </w:rPr>
                      <w:t>SEXUALLY</w:t>
                    </w:r>
                    <w:r>
                      <w:rPr>
                        <w:b/>
                        <w:color w:val="575757"/>
                        <w:spacing w:val="-13"/>
                        <w:sz w:val="24"/>
                      </w:rPr>
                      <w:t xml:space="preserve"> </w:t>
                    </w:r>
                    <w:r>
                      <w:rPr>
                        <w:b/>
                        <w:color w:val="575757"/>
                        <w:sz w:val="24"/>
                      </w:rPr>
                      <w:t>ACTIVE</w:t>
                    </w:r>
                    <w:r>
                      <w:rPr>
                        <w:b/>
                        <w:color w:val="575757"/>
                        <w:spacing w:val="-13"/>
                        <w:sz w:val="24"/>
                      </w:rPr>
                      <w:t xml:space="preserve"> </w:t>
                    </w:r>
                    <w:r>
                      <w:rPr>
                        <w:b/>
                        <w:color w:val="575757"/>
                        <w:sz w:val="24"/>
                      </w:rPr>
                      <w:t>MALES</w:t>
                    </w:r>
                    <w:r>
                      <w:rPr>
                        <w:b/>
                        <w:color w:val="575757"/>
                        <w:spacing w:val="-14"/>
                        <w:sz w:val="24"/>
                      </w:rPr>
                      <w:t xml:space="preserve"> </w:t>
                    </w:r>
                    <w:r>
                      <w:rPr>
                        <w:b/>
                        <w:color w:val="575757"/>
                        <w:sz w:val="24"/>
                      </w:rPr>
                      <w:t>WHO</w:t>
                    </w:r>
                    <w:r>
                      <w:rPr>
                        <w:b/>
                        <w:color w:val="575757"/>
                        <w:spacing w:val="-12"/>
                        <w:sz w:val="24"/>
                      </w:rPr>
                      <w:t xml:space="preserve"> </w:t>
                    </w:r>
                    <w:r>
                      <w:rPr>
                        <w:b/>
                        <w:color w:val="575757"/>
                        <w:sz w:val="24"/>
                      </w:rPr>
                      <w:t>RECEIVED</w:t>
                    </w:r>
                    <w:r>
                      <w:rPr>
                        <w:b/>
                        <w:color w:val="575757"/>
                        <w:spacing w:val="-14"/>
                        <w:sz w:val="24"/>
                      </w:rPr>
                      <w:t xml:space="preserve"> </w:t>
                    </w:r>
                    <w:r>
                      <w:rPr>
                        <w:b/>
                        <w:color w:val="575757"/>
                        <w:sz w:val="24"/>
                      </w:rPr>
                      <w:t>AIDS EDUCATION IN SCHOOL, 1993-2017</w:t>
                    </w:r>
                  </w:p>
                </w:txbxContent>
              </v:textbox>
            </v:shape>
            <w10:wrap anchorx="page"/>
          </v:group>
        </w:pict>
      </w:r>
      <w:r>
        <w:t>These declines in AIDS education are particularly troubling given that in 2018, 21% of all new HIV diagnoses</w:t>
      </w:r>
      <w:r>
        <w:rPr>
          <w:spacing w:val="-1"/>
        </w:rPr>
        <w:t xml:space="preserve"> </w:t>
      </w:r>
      <w:r>
        <w:t>in the</w:t>
      </w:r>
      <w:r>
        <w:rPr>
          <w:spacing w:val="-1"/>
        </w:rPr>
        <w:t xml:space="preserve"> </w:t>
      </w:r>
      <w:r>
        <w:t>U.S.</w:t>
      </w:r>
      <w:r>
        <w:rPr>
          <w:spacing w:val="-2"/>
        </w:rPr>
        <w:t xml:space="preserve"> </w:t>
      </w:r>
      <w:r>
        <w:t>were among</w:t>
      </w:r>
      <w:r>
        <w:rPr>
          <w:spacing w:val="-1"/>
        </w:rPr>
        <w:t xml:space="preserve"> </w:t>
      </w:r>
      <w:r>
        <w:t>people</w:t>
      </w:r>
      <w:r>
        <w:rPr>
          <w:spacing w:val="-3"/>
        </w:rPr>
        <w:t xml:space="preserve"> </w:t>
      </w:r>
      <w:r>
        <w:t>aged</w:t>
      </w:r>
      <w:r>
        <w:rPr>
          <w:spacing w:val="-2"/>
        </w:rPr>
        <w:t xml:space="preserve"> </w:t>
      </w:r>
      <w:r>
        <w:t>13-24.</w:t>
      </w:r>
      <w:hyperlink w:anchor="_bookmark12" w:history="1">
        <w:r>
          <w:rPr>
            <w:vertAlign w:val="superscript"/>
          </w:rPr>
          <w:t>5</w:t>
        </w:r>
        <w:r>
          <w:rPr>
            <w:spacing w:val="-3"/>
          </w:rPr>
          <w:t xml:space="preserve"> </w:t>
        </w:r>
      </w:hyperlink>
      <w:r>
        <w:t>Across</w:t>
      </w:r>
      <w:r>
        <w:rPr>
          <w:spacing w:val="-1"/>
        </w:rPr>
        <w:t xml:space="preserve"> </w:t>
      </w:r>
      <w:r>
        <w:t>the U.S., significantly</w:t>
      </w:r>
      <w:r>
        <w:rPr>
          <w:spacing w:val="-2"/>
        </w:rPr>
        <w:t xml:space="preserve"> </w:t>
      </w:r>
      <w:r>
        <w:t>fewer sexually</w:t>
      </w:r>
      <w:r>
        <w:rPr>
          <w:spacing w:val="-1"/>
        </w:rPr>
        <w:t xml:space="preserve"> </w:t>
      </w:r>
      <w:r>
        <w:t>active students</w:t>
      </w:r>
      <w:r>
        <w:rPr>
          <w:spacing w:val="-8"/>
        </w:rPr>
        <w:t xml:space="preserve"> </w:t>
      </w:r>
      <w:r>
        <w:t>report</w:t>
      </w:r>
      <w:r>
        <w:rPr>
          <w:spacing w:val="-9"/>
        </w:rPr>
        <w:t xml:space="preserve"> </w:t>
      </w:r>
      <w:r>
        <w:t>using</w:t>
      </w:r>
      <w:r>
        <w:rPr>
          <w:spacing w:val="-9"/>
        </w:rPr>
        <w:t xml:space="preserve"> </w:t>
      </w:r>
      <w:r>
        <w:t>condoms</w:t>
      </w:r>
      <w:r>
        <w:rPr>
          <w:spacing w:val="-8"/>
        </w:rPr>
        <w:t xml:space="preserve"> </w:t>
      </w:r>
      <w:r>
        <w:t>in</w:t>
      </w:r>
      <w:r>
        <w:rPr>
          <w:spacing w:val="-9"/>
        </w:rPr>
        <w:t xml:space="preserve"> </w:t>
      </w:r>
      <w:r>
        <w:t>2019</w:t>
      </w:r>
      <w:r>
        <w:rPr>
          <w:spacing w:val="-7"/>
        </w:rPr>
        <w:t xml:space="preserve"> </w:t>
      </w:r>
      <w:r>
        <w:t>(9.4%)</w:t>
      </w:r>
      <w:r>
        <w:rPr>
          <w:spacing w:val="-8"/>
        </w:rPr>
        <w:t xml:space="preserve"> </w:t>
      </w:r>
      <w:r>
        <w:t>compared</w:t>
      </w:r>
      <w:r>
        <w:rPr>
          <w:spacing w:val="-9"/>
        </w:rPr>
        <w:t xml:space="preserve"> </w:t>
      </w:r>
      <w:r>
        <w:t>with</w:t>
      </w:r>
      <w:r>
        <w:rPr>
          <w:spacing w:val="-9"/>
        </w:rPr>
        <w:t xml:space="preserve"> </w:t>
      </w:r>
      <w:r>
        <w:t>2009</w:t>
      </w:r>
      <w:r>
        <w:rPr>
          <w:spacing w:val="-9"/>
        </w:rPr>
        <w:t xml:space="preserve"> </w:t>
      </w:r>
      <w:r>
        <w:t>(12.4%),</w:t>
      </w:r>
      <w:r>
        <w:rPr>
          <w:spacing w:val="-9"/>
        </w:rPr>
        <w:t xml:space="preserve"> </w:t>
      </w:r>
      <w:r>
        <w:t>and</w:t>
      </w:r>
      <w:r>
        <w:rPr>
          <w:spacing w:val="-9"/>
        </w:rPr>
        <w:t xml:space="preserve"> </w:t>
      </w:r>
      <w:r>
        <w:t>significantly</w:t>
      </w:r>
      <w:r>
        <w:rPr>
          <w:spacing w:val="-7"/>
        </w:rPr>
        <w:t xml:space="preserve"> </w:t>
      </w:r>
      <w:r>
        <w:t>fewer</w:t>
      </w:r>
      <w:r>
        <w:rPr>
          <w:spacing w:val="-9"/>
        </w:rPr>
        <w:t xml:space="preserve"> </w:t>
      </w:r>
      <w:r>
        <w:t>youth used condoms at last sexual intercourse (54.3% in 2019 compared with 61.1% in 2009)</w:t>
      </w:r>
      <w:hyperlink w:anchor="_bookmark13" w:history="1">
        <w:r>
          <w:t>.</w:t>
        </w:r>
        <w:r>
          <w:rPr>
            <w:vertAlign w:val="superscript"/>
          </w:rPr>
          <w:t>6</w:t>
        </w:r>
        <w:r>
          <w:t xml:space="preserve"> </w:t>
        </w:r>
      </w:hyperlink>
      <w:r>
        <w:t>Sexual health education is known to be associated wi</w:t>
      </w:r>
      <w:r>
        <w:t>th increases in both student knowledge and protective factors</w:t>
      </w:r>
      <w:hyperlink w:anchor="_bookmark14" w:history="1">
        <w:r>
          <w:t>,</w:t>
        </w:r>
        <w:r>
          <w:rPr>
            <w:vertAlign w:val="superscript"/>
          </w:rPr>
          <w:t>7</w:t>
        </w:r>
      </w:hyperlink>
      <w:r>
        <w:t xml:space="preserve"> which can help prevent the spread of HIV but also other sexual transmitted infections.</w:t>
      </w:r>
    </w:p>
    <w:p w:rsidR="00C76E6D" w:rsidRDefault="00C76E6D">
      <w:pPr>
        <w:pStyle w:val="BodyText"/>
      </w:pPr>
    </w:p>
    <w:p w:rsidR="00C76E6D" w:rsidRDefault="00C76E6D">
      <w:pPr>
        <w:pStyle w:val="BodyText"/>
        <w:spacing w:before="9"/>
        <w:rPr>
          <w:sz w:val="20"/>
        </w:rPr>
      </w:pPr>
    </w:p>
    <w:p w:rsidR="00C76E6D" w:rsidRDefault="00913831">
      <w:pPr>
        <w:pStyle w:val="Heading5"/>
        <w:ind w:left="480"/>
      </w:pPr>
      <w:r>
        <w:pict>
          <v:shape id="docshape225" o:spid="_x0000_s1199" style="position:absolute;left:0;text-align:left;margin-left:70.6pt;margin-top:16.4pt;width:470.95pt;height:.1pt;z-index:-15705088;mso-wrap-distance-left:0;mso-wrap-distance-right:0;mso-position-horizontal-relative:page" coordorigin="1412,328" coordsize="9419,0" path="m1412,328r9419,e" filled="f" strokeweight="1.54pt">
            <v:path arrowok="t"/>
            <w10:wrap type="topAndBottom" anchorx="page"/>
          </v:shape>
        </w:pict>
      </w:r>
      <w:bookmarkStart w:id="22" w:name="B._Social_Support_as_a_Protective_Factor"/>
      <w:bookmarkEnd w:id="22"/>
      <w:r>
        <w:t>B.</w:t>
      </w:r>
      <w:r>
        <w:rPr>
          <w:spacing w:val="-15"/>
        </w:rPr>
        <w:t xml:space="preserve"> </w:t>
      </w:r>
      <w:r>
        <w:t>Social</w:t>
      </w:r>
      <w:r>
        <w:rPr>
          <w:spacing w:val="-11"/>
        </w:rPr>
        <w:t xml:space="preserve"> </w:t>
      </w:r>
      <w:r>
        <w:t>Support</w:t>
      </w:r>
      <w:r>
        <w:rPr>
          <w:spacing w:val="-9"/>
        </w:rPr>
        <w:t xml:space="preserve"> </w:t>
      </w:r>
      <w:r>
        <w:t>as</w:t>
      </w:r>
      <w:r>
        <w:rPr>
          <w:spacing w:val="-11"/>
        </w:rPr>
        <w:t xml:space="preserve"> </w:t>
      </w:r>
      <w:r>
        <w:t>a</w:t>
      </w:r>
      <w:r>
        <w:rPr>
          <w:spacing w:val="-8"/>
        </w:rPr>
        <w:t xml:space="preserve"> </w:t>
      </w:r>
      <w:r>
        <w:t>Protective</w:t>
      </w:r>
      <w:r>
        <w:rPr>
          <w:spacing w:val="-9"/>
        </w:rPr>
        <w:t xml:space="preserve"> </w:t>
      </w:r>
      <w:r>
        <w:t>Factor</w:t>
      </w:r>
      <w:r>
        <w:rPr>
          <w:spacing w:val="-10"/>
        </w:rPr>
        <w:t xml:space="preserve"> </w:t>
      </w:r>
      <w:r>
        <w:t>for</w:t>
      </w:r>
      <w:r>
        <w:rPr>
          <w:spacing w:val="-11"/>
        </w:rPr>
        <w:t xml:space="preserve"> </w:t>
      </w:r>
      <w:r>
        <w:t>LGBTQ</w:t>
      </w:r>
      <w:r>
        <w:rPr>
          <w:spacing w:val="-9"/>
        </w:rPr>
        <w:t xml:space="preserve"> </w:t>
      </w:r>
      <w:r>
        <w:rPr>
          <w:spacing w:val="-2"/>
        </w:rPr>
        <w:t>Youth</w:t>
      </w:r>
    </w:p>
    <w:p w:rsidR="00C76E6D" w:rsidRDefault="00C76E6D">
      <w:pPr>
        <w:pStyle w:val="BodyText"/>
        <w:rPr>
          <w:b/>
          <w:sz w:val="24"/>
        </w:rPr>
      </w:pPr>
    </w:p>
    <w:p w:rsidR="00C76E6D" w:rsidRDefault="00913831">
      <w:pPr>
        <w:pStyle w:val="BodyText"/>
        <w:spacing w:before="166" w:line="276" w:lineRule="auto"/>
        <w:ind w:left="477" w:right="475"/>
        <w:jc w:val="both"/>
      </w:pPr>
      <w:r>
        <w:t>Social</w:t>
      </w:r>
      <w:r>
        <w:rPr>
          <w:spacing w:val="-3"/>
        </w:rPr>
        <w:t xml:space="preserve"> </w:t>
      </w:r>
      <w:r>
        <w:t>support</w:t>
      </w:r>
      <w:r>
        <w:rPr>
          <w:spacing w:val="-2"/>
        </w:rPr>
        <w:t xml:space="preserve"> </w:t>
      </w:r>
      <w:r>
        <w:t>can</w:t>
      </w:r>
      <w:r>
        <w:rPr>
          <w:spacing w:val="-2"/>
        </w:rPr>
        <w:t xml:space="preserve"> </w:t>
      </w:r>
      <w:r>
        <w:t>be</w:t>
      </w:r>
      <w:r>
        <w:rPr>
          <w:spacing w:val="-2"/>
        </w:rPr>
        <w:t xml:space="preserve"> </w:t>
      </w:r>
      <w:r>
        <w:t>important</w:t>
      </w:r>
      <w:r>
        <w:rPr>
          <w:spacing w:val="-2"/>
        </w:rPr>
        <w:t xml:space="preserve"> </w:t>
      </w:r>
      <w:r>
        <w:t>protective</w:t>
      </w:r>
      <w:r>
        <w:rPr>
          <w:spacing w:val="-3"/>
        </w:rPr>
        <w:t xml:space="preserve"> </w:t>
      </w:r>
      <w:r>
        <w:t>factor</w:t>
      </w:r>
      <w:r>
        <w:rPr>
          <w:spacing w:val="-3"/>
        </w:rPr>
        <w:t xml:space="preserve"> </w:t>
      </w:r>
      <w:r>
        <w:t>in</w:t>
      </w:r>
      <w:r>
        <w:rPr>
          <w:spacing w:val="-3"/>
        </w:rPr>
        <w:t xml:space="preserve"> </w:t>
      </w:r>
      <w:r>
        <w:t>individuals’</w:t>
      </w:r>
      <w:r>
        <w:rPr>
          <w:spacing w:val="-3"/>
        </w:rPr>
        <w:t xml:space="preserve"> </w:t>
      </w:r>
      <w:r>
        <w:t>lives</w:t>
      </w:r>
      <w:hyperlink w:anchor="_bookmark15" w:history="1">
        <w:r>
          <w:t>,</w:t>
        </w:r>
        <w:r>
          <w:rPr>
            <w:vertAlign w:val="superscript"/>
          </w:rPr>
          <w:t>8</w:t>
        </w:r>
        <w:r>
          <w:rPr>
            <w:spacing w:val="-3"/>
          </w:rPr>
          <w:t xml:space="preserve"> </w:t>
        </w:r>
      </w:hyperlink>
      <w:r>
        <w:t>particularly</w:t>
      </w:r>
      <w:r>
        <w:rPr>
          <w:spacing w:val="-3"/>
        </w:rPr>
        <w:t xml:space="preserve"> </w:t>
      </w:r>
      <w:r>
        <w:t>for</w:t>
      </w:r>
      <w:r>
        <w:rPr>
          <w:spacing w:val="-3"/>
        </w:rPr>
        <w:t xml:space="preserve"> </w:t>
      </w:r>
      <w:r>
        <w:t>mental</w:t>
      </w:r>
      <w:r>
        <w:rPr>
          <w:spacing w:val="-2"/>
        </w:rPr>
        <w:t xml:space="preserve"> </w:t>
      </w:r>
      <w:r>
        <w:t>health.</w:t>
      </w:r>
      <w:r>
        <w:rPr>
          <w:spacing w:val="-2"/>
        </w:rPr>
        <w:t xml:space="preserve"> </w:t>
      </w:r>
      <w:r>
        <w:t>The inverse is also true, especially for LGBTQ youth: social isolation is associated with poorer well-being, including substan</w:t>
      </w:r>
      <w:r>
        <w:t>ce use, sexual risk, self-harm, and suicide attempts</w:t>
      </w:r>
      <w:hyperlink w:anchor="_bookmark16" w:history="1">
        <w:r>
          <w:t>.</w:t>
        </w:r>
        <w:r>
          <w:rPr>
            <w:vertAlign w:val="superscript"/>
          </w:rPr>
          <w:t>9</w:t>
        </w:r>
        <w:r>
          <w:t xml:space="preserve"> </w:t>
        </w:r>
      </w:hyperlink>
      <w:r>
        <w:t xml:space="preserve">The COVID-19 pandemic has been challenging for all youth, but especially LGBTQ youth who may not have supportive adults at home, and instead need to find support through </w:t>
      </w:r>
      <w:r>
        <w:t>other venues, such as online contexts</w:t>
      </w:r>
      <w:hyperlink w:anchor="_bookmark17" w:history="1">
        <w:r>
          <w:t>.</w:t>
        </w:r>
        <w:r>
          <w:rPr>
            <w:vertAlign w:val="superscript"/>
          </w:rPr>
          <w:t>10</w:t>
        </w:r>
        <w:r>
          <w:t xml:space="preserve"> </w:t>
        </w:r>
      </w:hyperlink>
      <w:r>
        <w:t>Parental</w:t>
      </w:r>
      <w:r>
        <w:rPr>
          <w:spacing w:val="-1"/>
        </w:rPr>
        <w:t xml:space="preserve"> </w:t>
      </w:r>
      <w:r>
        <w:t>support</w:t>
      </w:r>
      <w:r>
        <w:rPr>
          <w:spacing w:val="-1"/>
        </w:rPr>
        <w:t xml:space="preserve"> </w:t>
      </w:r>
      <w:r>
        <w:t>has been found to be associated with increased social belonging and diminished suicidality,</w:t>
      </w:r>
      <w:hyperlink w:anchor="_bookmark18" w:history="1">
        <w:r>
          <w:rPr>
            <w:vertAlign w:val="superscript"/>
          </w:rPr>
          <w:t>11</w:t>
        </w:r>
        <w:r>
          <w:t xml:space="preserve"> </w:t>
        </w:r>
      </w:hyperlink>
      <w:r>
        <w:t xml:space="preserve">and social support from teachers has been </w:t>
      </w:r>
      <w:r>
        <w:t>found to increase the odds of LGBTQ youth attending college,</w:t>
      </w:r>
      <w:hyperlink w:anchor="_bookmark19" w:history="1">
        <w:r>
          <w:rPr>
            <w:vertAlign w:val="superscript"/>
          </w:rPr>
          <w:t>12</w:t>
        </w:r>
        <w:r>
          <w:t xml:space="preserve"> </w:t>
        </w:r>
      </w:hyperlink>
      <w:r>
        <w:t>suggesting that there</w:t>
      </w:r>
      <w:r>
        <w:rPr>
          <w:spacing w:val="-12"/>
        </w:rPr>
        <w:t xml:space="preserve"> </w:t>
      </w:r>
      <w:r>
        <w:t>are</w:t>
      </w:r>
      <w:r>
        <w:rPr>
          <w:spacing w:val="-13"/>
        </w:rPr>
        <w:t xml:space="preserve"> </w:t>
      </w:r>
      <w:r>
        <w:t>some</w:t>
      </w:r>
      <w:r>
        <w:rPr>
          <w:spacing w:val="-11"/>
        </w:rPr>
        <w:t xml:space="preserve"> </w:t>
      </w:r>
      <w:r>
        <w:t>benefits</w:t>
      </w:r>
      <w:r>
        <w:rPr>
          <w:spacing w:val="-12"/>
        </w:rPr>
        <w:t xml:space="preserve"> </w:t>
      </w:r>
      <w:r>
        <w:t>of</w:t>
      </w:r>
      <w:r>
        <w:rPr>
          <w:spacing w:val="-12"/>
        </w:rPr>
        <w:t xml:space="preserve"> </w:t>
      </w:r>
      <w:r>
        <w:t>support</w:t>
      </w:r>
      <w:r>
        <w:rPr>
          <w:spacing w:val="-12"/>
        </w:rPr>
        <w:t xml:space="preserve"> </w:t>
      </w:r>
      <w:r>
        <w:t>both</w:t>
      </w:r>
      <w:r>
        <w:rPr>
          <w:spacing w:val="-13"/>
        </w:rPr>
        <w:t xml:space="preserve"> </w:t>
      </w:r>
      <w:r>
        <w:t>at</w:t>
      </w:r>
      <w:r>
        <w:rPr>
          <w:spacing w:val="-11"/>
        </w:rPr>
        <w:t xml:space="preserve"> </w:t>
      </w:r>
      <w:r>
        <w:t>home</w:t>
      </w:r>
      <w:r>
        <w:rPr>
          <w:spacing w:val="-11"/>
        </w:rPr>
        <w:t xml:space="preserve"> </w:t>
      </w:r>
      <w:r>
        <w:t>and</w:t>
      </w:r>
      <w:r>
        <w:rPr>
          <w:spacing w:val="-13"/>
        </w:rPr>
        <w:t xml:space="preserve"> </w:t>
      </w:r>
      <w:r>
        <w:t>at</w:t>
      </w:r>
      <w:r>
        <w:rPr>
          <w:spacing w:val="-11"/>
        </w:rPr>
        <w:t xml:space="preserve"> </w:t>
      </w:r>
      <w:r>
        <w:t>school.</w:t>
      </w:r>
      <w:r>
        <w:rPr>
          <w:spacing w:val="-12"/>
        </w:rPr>
        <w:t xml:space="preserve"> </w:t>
      </w:r>
      <w:r>
        <w:t>Each</w:t>
      </w:r>
      <w:r>
        <w:rPr>
          <w:spacing w:val="-13"/>
        </w:rPr>
        <w:t xml:space="preserve"> </w:t>
      </w:r>
      <w:r>
        <w:t>form</w:t>
      </w:r>
      <w:r>
        <w:rPr>
          <w:spacing w:val="-11"/>
        </w:rPr>
        <w:t xml:space="preserve"> </w:t>
      </w:r>
      <w:r>
        <w:t>of</w:t>
      </w:r>
      <w:r>
        <w:rPr>
          <w:spacing w:val="-13"/>
        </w:rPr>
        <w:t xml:space="preserve"> </w:t>
      </w:r>
      <w:r>
        <w:t>support</w:t>
      </w:r>
      <w:r>
        <w:rPr>
          <w:spacing w:val="-10"/>
        </w:rPr>
        <w:t xml:space="preserve"> </w:t>
      </w:r>
      <w:r>
        <w:t>may</w:t>
      </w:r>
      <w:r>
        <w:rPr>
          <w:spacing w:val="-13"/>
        </w:rPr>
        <w:t xml:space="preserve"> </w:t>
      </w:r>
      <w:r>
        <w:t>offer</w:t>
      </w:r>
      <w:r>
        <w:rPr>
          <w:spacing w:val="-10"/>
        </w:rPr>
        <w:t xml:space="preserve"> </w:t>
      </w:r>
      <w:r>
        <w:t>protection against varying forms of adverse experiences among LGBTQ youth.</w:t>
      </w:r>
    </w:p>
    <w:p w:rsidR="00C76E6D" w:rsidRDefault="00C76E6D">
      <w:pPr>
        <w:pStyle w:val="BodyText"/>
        <w:spacing w:before="4"/>
        <w:rPr>
          <w:sz w:val="25"/>
        </w:rPr>
      </w:pPr>
    </w:p>
    <w:p w:rsidR="00C76E6D" w:rsidRDefault="00913831">
      <w:pPr>
        <w:pStyle w:val="BodyText"/>
        <w:spacing w:line="276" w:lineRule="auto"/>
        <w:ind w:left="480" w:right="476" w:hanging="1"/>
        <w:jc w:val="both"/>
      </w:pPr>
      <w:r>
        <w:t>This</w:t>
      </w:r>
      <w:r>
        <w:rPr>
          <w:spacing w:val="-9"/>
        </w:rPr>
        <w:t xml:space="preserve"> </w:t>
      </w:r>
      <w:r>
        <w:t>section</w:t>
      </w:r>
      <w:r>
        <w:rPr>
          <w:spacing w:val="-9"/>
        </w:rPr>
        <w:t xml:space="preserve"> </w:t>
      </w:r>
      <w:r>
        <w:t>examines</w:t>
      </w:r>
      <w:r>
        <w:rPr>
          <w:spacing w:val="-10"/>
        </w:rPr>
        <w:t xml:space="preserve"> </w:t>
      </w:r>
      <w:r>
        <w:t>social</w:t>
      </w:r>
      <w:r>
        <w:rPr>
          <w:spacing w:val="-10"/>
        </w:rPr>
        <w:t xml:space="preserve"> </w:t>
      </w:r>
      <w:r>
        <w:t>support</w:t>
      </w:r>
      <w:r>
        <w:rPr>
          <w:spacing w:val="-10"/>
        </w:rPr>
        <w:t xml:space="preserve"> </w:t>
      </w:r>
      <w:r>
        <w:t>as</w:t>
      </w:r>
      <w:r>
        <w:rPr>
          <w:spacing w:val="-8"/>
        </w:rPr>
        <w:t xml:space="preserve"> </w:t>
      </w:r>
      <w:r>
        <w:t>a</w:t>
      </w:r>
      <w:r>
        <w:rPr>
          <w:spacing w:val="-10"/>
        </w:rPr>
        <w:t xml:space="preserve"> </w:t>
      </w:r>
      <w:r>
        <w:t>potential</w:t>
      </w:r>
      <w:r>
        <w:rPr>
          <w:spacing w:val="-10"/>
        </w:rPr>
        <w:t xml:space="preserve"> </w:t>
      </w:r>
      <w:r>
        <w:t>protective</w:t>
      </w:r>
      <w:r>
        <w:rPr>
          <w:spacing w:val="-10"/>
        </w:rPr>
        <w:t xml:space="preserve"> </w:t>
      </w:r>
      <w:r>
        <w:t>factor</w:t>
      </w:r>
      <w:r>
        <w:rPr>
          <w:spacing w:val="-10"/>
        </w:rPr>
        <w:t xml:space="preserve"> </w:t>
      </w:r>
      <w:r>
        <w:t>among</w:t>
      </w:r>
      <w:r>
        <w:rPr>
          <w:spacing w:val="-10"/>
        </w:rPr>
        <w:t xml:space="preserve"> </w:t>
      </w:r>
      <w:r>
        <w:t>LGBTQ</w:t>
      </w:r>
      <w:r>
        <w:rPr>
          <w:spacing w:val="-10"/>
        </w:rPr>
        <w:t xml:space="preserve"> </w:t>
      </w:r>
      <w:r>
        <w:t>youth,</w:t>
      </w:r>
      <w:r>
        <w:rPr>
          <w:spacing w:val="-10"/>
        </w:rPr>
        <w:t xml:space="preserve"> </w:t>
      </w:r>
      <w:r>
        <w:t>using</w:t>
      </w:r>
      <w:r>
        <w:rPr>
          <w:spacing w:val="-10"/>
        </w:rPr>
        <w:t xml:space="preserve"> </w:t>
      </w:r>
      <w:r>
        <w:t>data</w:t>
      </w:r>
      <w:r>
        <w:rPr>
          <w:spacing w:val="-9"/>
        </w:rPr>
        <w:t xml:space="preserve"> </w:t>
      </w:r>
      <w:r>
        <w:t>from the MYRBS. Overall, LGBTQ students had less social support compared with he</w:t>
      </w:r>
      <w:r>
        <w:t xml:space="preserve">terosexual, cisgender students (see Table 1). Over 10% of them did not have an adult at home </w:t>
      </w:r>
      <w:r>
        <w:rPr>
          <w:i/>
        </w:rPr>
        <w:t xml:space="preserve">nor </w:t>
      </w:r>
      <w:r>
        <w:t>at an adult at school to talk about things that were important to them (13.0% compared with 9.9% of het-cis youth). LGBTQ youth were also less were likely to h</w:t>
      </w:r>
      <w:r>
        <w:t>ave support from an adult at home only (16.6% compared with 18.6% of</w:t>
      </w:r>
    </w:p>
    <w:p w:rsidR="00C76E6D" w:rsidRDefault="00C76E6D">
      <w:pPr>
        <w:spacing w:line="276" w:lineRule="auto"/>
        <w:jc w:val="both"/>
        <w:sectPr w:rsidR="00C76E6D">
          <w:pgSz w:w="12240" w:h="15840"/>
          <w:pgMar w:top="1000" w:right="960" w:bottom="1060" w:left="960" w:header="779" w:footer="864" w:gutter="0"/>
          <w:cols w:space="720"/>
        </w:sectPr>
      </w:pPr>
    </w:p>
    <w:p w:rsidR="00C76E6D" w:rsidRDefault="00C76E6D">
      <w:pPr>
        <w:pStyle w:val="BodyText"/>
        <w:spacing w:before="4"/>
        <w:rPr>
          <w:sz w:val="28"/>
        </w:rPr>
      </w:pPr>
    </w:p>
    <w:p w:rsidR="00C76E6D" w:rsidRDefault="00913831">
      <w:pPr>
        <w:pStyle w:val="BodyText"/>
        <w:spacing w:before="55" w:line="276" w:lineRule="auto"/>
        <w:ind w:left="478" w:right="476"/>
        <w:jc w:val="both"/>
      </w:pPr>
      <w:r>
        <w:t xml:space="preserve">het-cis youth), less likely to have support from an adult at school only (8.1% compared with 14.6%), and less likely to have support from both an adult at home </w:t>
      </w:r>
      <w:r>
        <w:rPr>
          <w:i/>
        </w:rPr>
        <w:t xml:space="preserve">and </w:t>
      </w:r>
      <w:r>
        <w:t>a school</w:t>
      </w:r>
      <w:r>
        <w:t xml:space="preserve"> professional (53.9% compared with 65.4%).</w:t>
      </w:r>
      <w:r>
        <w:rPr>
          <w:spacing w:val="-13"/>
        </w:rPr>
        <w:t xml:space="preserve"> </w:t>
      </w:r>
      <w:r>
        <w:t>Therefore,</w:t>
      </w:r>
      <w:r>
        <w:rPr>
          <w:spacing w:val="-12"/>
        </w:rPr>
        <w:t xml:space="preserve"> </w:t>
      </w:r>
      <w:r>
        <w:t>LGBTQ</w:t>
      </w:r>
      <w:r>
        <w:rPr>
          <w:spacing w:val="-12"/>
        </w:rPr>
        <w:t xml:space="preserve"> </w:t>
      </w:r>
      <w:r>
        <w:t>youth</w:t>
      </w:r>
      <w:r>
        <w:rPr>
          <w:spacing w:val="-12"/>
        </w:rPr>
        <w:t xml:space="preserve"> </w:t>
      </w:r>
      <w:r>
        <w:t>have</w:t>
      </w:r>
      <w:r>
        <w:rPr>
          <w:spacing w:val="-13"/>
        </w:rPr>
        <w:t xml:space="preserve"> </w:t>
      </w:r>
      <w:r>
        <w:t>fewer</w:t>
      </w:r>
      <w:r>
        <w:rPr>
          <w:spacing w:val="-12"/>
        </w:rPr>
        <w:t xml:space="preserve"> </w:t>
      </w:r>
      <w:r>
        <w:t>adult</w:t>
      </w:r>
      <w:r>
        <w:rPr>
          <w:spacing w:val="-13"/>
        </w:rPr>
        <w:t xml:space="preserve"> </w:t>
      </w:r>
      <w:r>
        <w:t>social</w:t>
      </w:r>
      <w:r>
        <w:rPr>
          <w:spacing w:val="-12"/>
        </w:rPr>
        <w:t xml:space="preserve"> </w:t>
      </w:r>
      <w:r>
        <w:t>support</w:t>
      </w:r>
      <w:r>
        <w:rPr>
          <w:spacing w:val="-10"/>
        </w:rPr>
        <w:t xml:space="preserve"> </w:t>
      </w:r>
      <w:r>
        <w:t>resources</w:t>
      </w:r>
      <w:r>
        <w:rPr>
          <w:spacing w:val="-13"/>
        </w:rPr>
        <w:t xml:space="preserve"> </w:t>
      </w:r>
      <w:r>
        <w:t>upon</w:t>
      </w:r>
      <w:r>
        <w:rPr>
          <w:spacing w:val="-9"/>
        </w:rPr>
        <w:t xml:space="preserve"> </w:t>
      </w:r>
      <w:r>
        <w:t>which</w:t>
      </w:r>
      <w:r>
        <w:rPr>
          <w:spacing w:val="-13"/>
        </w:rPr>
        <w:t xml:space="preserve"> </w:t>
      </w:r>
      <w:r>
        <w:t>to</w:t>
      </w:r>
      <w:r>
        <w:rPr>
          <w:spacing w:val="-11"/>
        </w:rPr>
        <w:t xml:space="preserve"> </w:t>
      </w:r>
      <w:r>
        <w:t>draw</w:t>
      </w:r>
      <w:r>
        <w:rPr>
          <w:spacing w:val="-13"/>
        </w:rPr>
        <w:t xml:space="preserve"> </w:t>
      </w:r>
      <w:r>
        <w:t>when</w:t>
      </w:r>
      <w:r>
        <w:rPr>
          <w:spacing w:val="-10"/>
        </w:rPr>
        <w:t xml:space="preserve"> </w:t>
      </w:r>
      <w:r>
        <w:t>they need to talk with someone about important things in their lives.</w:t>
      </w:r>
    </w:p>
    <w:p w:rsidR="00C76E6D" w:rsidRDefault="00C76E6D">
      <w:pPr>
        <w:pStyle w:val="BodyText"/>
        <w:spacing w:before="4"/>
        <w:rPr>
          <w:sz w:val="25"/>
        </w:rPr>
      </w:pPr>
    </w:p>
    <w:p w:rsidR="00C76E6D" w:rsidRDefault="00913831">
      <w:pPr>
        <w:pStyle w:val="Heading6"/>
        <w:spacing w:line="276" w:lineRule="auto"/>
        <w:ind w:left="478" w:right="476"/>
        <w:jc w:val="both"/>
      </w:pPr>
      <w:bookmarkStart w:id="23" w:name="Table_1._Percent_of_Massachusetts_Who_Co"/>
      <w:bookmarkEnd w:id="23"/>
      <w:r>
        <w:t xml:space="preserve">Table 1. Percent of Massachusetts Who Could Speak to </w:t>
      </w:r>
      <w:r>
        <w:t>an Adult at Home or at School, by LGBTQ Identity, 2017-2019*</w:t>
      </w:r>
    </w:p>
    <w:p w:rsidR="00C76E6D" w:rsidRDefault="00C76E6D">
      <w:pPr>
        <w:pStyle w:val="BodyText"/>
        <w:spacing w:before="4"/>
        <w:rPr>
          <w:b/>
          <w:sz w:val="25"/>
        </w:rPr>
      </w:pPr>
    </w:p>
    <w:tbl>
      <w:tblPr>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945"/>
        <w:gridCol w:w="1868"/>
        <w:gridCol w:w="1870"/>
        <w:gridCol w:w="1692"/>
      </w:tblGrid>
      <w:tr w:rsidR="00C76E6D">
        <w:trPr>
          <w:trHeight w:val="280"/>
        </w:trPr>
        <w:tc>
          <w:tcPr>
            <w:tcW w:w="1620" w:type="dxa"/>
          </w:tcPr>
          <w:p w:rsidR="00C76E6D" w:rsidRDefault="00913831">
            <w:pPr>
              <w:pStyle w:val="TableParagraph"/>
              <w:spacing w:before="3"/>
              <w:ind w:left="111"/>
              <w:rPr>
                <w:b/>
                <w:sz w:val="20"/>
              </w:rPr>
            </w:pPr>
            <w:r>
              <w:rPr>
                <w:b/>
                <w:sz w:val="20"/>
              </w:rPr>
              <w:t>LGBTQ</w:t>
            </w:r>
            <w:r>
              <w:rPr>
                <w:b/>
                <w:spacing w:val="-10"/>
                <w:sz w:val="20"/>
              </w:rPr>
              <w:t xml:space="preserve"> </w:t>
            </w:r>
            <w:r>
              <w:rPr>
                <w:b/>
                <w:spacing w:val="-2"/>
                <w:sz w:val="20"/>
              </w:rPr>
              <w:t>Identity</w:t>
            </w:r>
          </w:p>
        </w:tc>
        <w:tc>
          <w:tcPr>
            <w:tcW w:w="1945" w:type="dxa"/>
          </w:tcPr>
          <w:p w:rsidR="00C76E6D" w:rsidRDefault="00913831">
            <w:pPr>
              <w:pStyle w:val="TableParagraph"/>
              <w:spacing w:before="3"/>
              <w:ind w:left="648" w:right="630"/>
              <w:jc w:val="center"/>
              <w:rPr>
                <w:b/>
                <w:sz w:val="20"/>
              </w:rPr>
            </w:pPr>
            <w:r>
              <w:rPr>
                <w:b/>
                <w:spacing w:val="-2"/>
                <w:sz w:val="20"/>
              </w:rPr>
              <w:t>Neither</w:t>
            </w:r>
          </w:p>
        </w:tc>
        <w:tc>
          <w:tcPr>
            <w:tcW w:w="1868" w:type="dxa"/>
          </w:tcPr>
          <w:p w:rsidR="00C76E6D" w:rsidRDefault="00913831">
            <w:pPr>
              <w:pStyle w:val="TableParagraph"/>
              <w:spacing w:before="3"/>
              <w:ind w:left="469" w:right="443"/>
              <w:jc w:val="center"/>
              <w:rPr>
                <w:b/>
                <w:sz w:val="20"/>
              </w:rPr>
            </w:pPr>
            <w:r>
              <w:rPr>
                <w:b/>
                <w:sz w:val="20"/>
              </w:rPr>
              <w:t>Home</w:t>
            </w:r>
            <w:r>
              <w:rPr>
                <w:b/>
                <w:spacing w:val="-7"/>
                <w:sz w:val="20"/>
              </w:rPr>
              <w:t xml:space="preserve"> </w:t>
            </w:r>
            <w:r>
              <w:rPr>
                <w:b/>
                <w:spacing w:val="-4"/>
                <w:sz w:val="20"/>
              </w:rPr>
              <w:t>Only</w:t>
            </w:r>
          </w:p>
        </w:tc>
        <w:tc>
          <w:tcPr>
            <w:tcW w:w="1870" w:type="dxa"/>
          </w:tcPr>
          <w:p w:rsidR="00C76E6D" w:rsidRDefault="00913831">
            <w:pPr>
              <w:pStyle w:val="TableParagraph"/>
              <w:spacing w:before="3"/>
              <w:ind w:left="182" w:right="154"/>
              <w:jc w:val="center"/>
              <w:rPr>
                <w:b/>
                <w:sz w:val="20"/>
              </w:rPr>
            </w:pPr>
            <w:r>
              <w:rPr>
                <w:b/>
                <w:sz w:val="20"/>
              </w:rPr>
              <w:t>School</w:t>
            </w:r>
            <w:r>
              <w:rPr>
                <w:b/>
                <w:spacing w:val="-7"/>
                <w:sz w:val="20"/>
              </w:rPr>
              <w:t xml:space="preserve"> </w:t>
            </w:r>
            <w:r>
              <w:rPr>
                <w:b/>
                <w:spacing w:val="-4"/>
                <w:sz w:val="20"/>
              </w:rPr>
              <w:t>Only</w:t>
            </w:r>
          </w:p>
        </w:tc>
        <w:tc>
          <w:tcPr>
            <w:tcW w:w="1692" w:type="dxa"/>
          </w:tcPr>
          <w:p w:rsidR="00C76E6D" w:rsidRDefault="00913831">
            <w:pPr>
              <w:pStyle w:val="TableParagraph"/>
              <w:spacing w:before="3"/>
              <w:ind w:left="655"/>
              <w:rPr>
                <w:b/>
                <w:sz w:val="20"/>
              </w:rPr>
            </w:pPr>
            <w:r>
              <w:rPr>
                <w:b/>
                <w:spacing w:val="-4"/>
                <w:sz w:val="20"/>
              </w:rPr>
              <w:t>Both</w:t>
            </w:r>
          </w:p>
        </w:tc>
      </w:tr>
      <w:tr w:rsidR="00C76E6D">
        <w:trPr>
          <w:trHeight w:val="280"/>
        </w:trPr>
        <w:tc>
          <w:tcPr>
            <w:tcW w:w="1620" w:type="dxa"/>
          </w:tcPr>
          <w:p w:rsidR="00C76E6D" w:rsidRDefault="00913831">
            <w:pPr>
              <w:pStyle w:val="TableParagraph"/>
              <w:spacing w:line="243" w:lineRule="exact"/>
              <w:ind w:left="248"/>
              <w:rPr>
                <w:b/>
                <w:sz w:val="20"/>
              </w:rPr>
            </w:pPr>
            <w:r>
              <w:rPr>
                <w:b/>
                <w:spacing w:val="-4"/>
                <w:sz w:val="20"/>
              </w:rPr>
              <w:t>LGBTQ</w:t>
            </w:r>
          </w:p>
        </w:tc>
        <w:tc>
          <w:tcPr>
            <w:tcW w:w="1945" w:type="dxa"/>
          </w:tcPr>
          <w:p w:rsidR="00C76E6D" w:rsidRDefault="00913831">
            <w:pPr>
              <w:pStyle w:val="TableParagraph"/>
              <w:spacing w:line="243" w:lineRule="exact"/>
              <w:ind w:left="648" w:right="629"/>
              <w:jc w:val="center"/>
              <w:rPr>
                <w:sz w:val="20"/>
              </w:rPr>
            </w:pPr>
            <w:r>
              <w:rPr>
                <w:spacing w:val="-2"/>
                <w:sz w:val="20"/>
              </w:rPr>
              <w:t>13.0%</w:t>
            </w:r>
          </w:p>
        </w:tc>
        <w:tc>
          <w:tcPr>
            <w:tcW w:w="1868" w:type="dxa"/>
          </w:tcPr>
          <w:p w:rsidR="00C76E6D" w:rsidRDefault="00913831">
            <w:pPr>
              <w:pStyle w:val="TableParagraph"/>
              <w:spacing w:line="243" w:lineRule="exact"/>
              <w:ind w:left="462" w:right="443"/>
              <w:jc w:val="center"/>
              <w:rPr>
                <w:sz w:val="20"/>
              </w:rPr>
            </w:pPr>
            <w:r>
              <w:rPr>
                <w:spacing w:val="-2"/>
                <w:sz w:val="20"/>
              </w:rPr>
              <w:t>16.6%</w:t>
            </w:r>
          </w:p>
        </w:tc>
        <w:tc>
          <w:tcPr>
            <w:tcW w:w="1870" w:type="dxa"/>
          </w:tcPr>
          <w:p w:rsidR="00C76E6D" w:rsidRDefault="00913831">
            <w:pPr>
              <w:pStyle w:val="TableParagraph"/>
              <w:spacing w:line="243" w:lineRule="exact"/>
              <w:ind w:left="179" w:right="154"/>
              <w:jc w:val="center"/>
              <w:rPr>
                <w:sz w:val="20"/>
              </w:rPr>
            </w:pPr>
            <w:r>
              <w:rPr>
                <w:spacing w:val="-4"/>
                <w:sz w:val="20"/>
              </w:rPr>
              <w:t>8.1%</w:t>
            </w:r>
          </w:p>
        </w:tc>
        <w:tc>
          <w:tcPr>
            <w:tcW w:w="1692" w:type="dxa"/>
          </w:tcPr>
          <w:p w:rsidR="00C76E6D" w:rsidRDefault="00913831">
            <w:pPr>
              <w:pStyle w:val="TableParagraph"/>
              <w:spacing w:line="243" w:lineRule="exact"/>
              <w:ind w:left="603"/>
              <w:rPr>
                <w:sz w:val="20"/>
              </w:rPr>
            </w:pPr>
            <w:r>
              <w:rPr>
                <w:spacing w:val="-2"/>
                <w:sz w:val="20"/>
              </w:rPr>
              <w:t>53.9%</w:t>
            </w:r>
          </w:p>
        </w:tc>
      </w:tr>
      <w:tr w:rsidR="00C76E6D">
        <w:trPr>
          <w:trHeight w:val="280"/>
        </w:trPr>
        <w:tc>
          <w:tcPr>
            <w:tcW w:w="1620" w:type="dxa"/>
          </w:tcPr>
          <w:p w:rsidR="00C76E6D" w:rsidRDefault="00913831">
            <w:pPr>
              <w:pStyle w:val="TableParagraph"/>
              <w:spacing w:before="5"/>
              <w:ind w:left="248"/>
              <w:rPr>
                <w:b/>
                <w:sz w:val="20"/>
              </w:rPr>
            </w:pPr>
            <w:r>
              <w:rPr>
                <w:b/>
                <w:spacing w:val="-3"/>
                <w:sz w:val="20"/>
              </w:rPr>
              <w:t>Het-</w:t>
            </w:r>
            <w:r>
              <w:rPr>
                <w:b/>
                <w:spacing w:val="-5"/>
                <w:sz w:val="20"/>
              </w:rPr>
              <w:t>Cis</w:t>
            </w:r>
          </w:p>
        </w:tc>
        <w:tc>
          <w:tcPr>
            <w:tcW w:w="1945" w:type="dxa"/>
          </w:tcPr>
          <w:p w:rsidR="00C76E6D" w:rsidRDefault="00913831">
            <w:pPr>
              <w:pStyle w:val="TableParagraph"/>
              <w:spacing w:before="5"/>
              <w:ind w:left="648" w:right="627"/>
              <w:jc w:val="center"/>
              <w:rPr>
                <w:sz w:val="20"/>
              </w:rPr>
            </w:pPr>
            <w:r>
              <w:rPr>
                <w:spacing w:val="-4"/>
                <w:sz w:val="20"/>
              </w:rPr>
              <w:t>9.9%</w:t>
            </w:r>
          </w:p>
        </w:tc>
        <w:tc>
          <w:tcPr>
            <w:tcW w:w="1868" w:type="dxa"/>
          </w:tcPr>
          <w:p w:rsidR="00C76E6D" w:rsidRDefault="00913831">
            <w:pPr>
              <w:pStyle w:val="TableParagraph"/>
              <w:spacing w:before="5"/>
              <w:ind w:left="462" w:right="443"/>
              <w:jc w:val="center"/>
              <w:rPr>
                <w:sz w:val="20"/>
              </w:rPr>
            </w:pPr>
            <w:r>
              <w:rPr>
                <w:spacing w:val="-2"/>
                <w:sz w:val="20"/>
              </w:rPr>
              <w:t>18.6%</w:t>
            </w:r>
          </w:p>
        </w:tc>
        <w:tc>
          <w:tcPr>
            <w:tcW w:w="1870" w:type="dxa"/>
          </w:tcPr>
          <w:p w:rsidR="00C76E6D" w:rsidRDefault="00913831">
            <w:pPr>
              <w:pStyle w:val="TableParagraph"/>
              <w:spacing w:before="5"/>
              <w:ind w:left="174" w:right="154"/>
              <w:jc w:val="center"/>
              <w:rPr>
                <w:sz w:val="20"/>
              </w:rPr>
            </w:pPr>
            <w:r>
              <w:rPr>
                <w:spacing w:val="-2"/>
                <w:sz w:val="20"/>
              </w:rPr>
              <w:t>14.6%</w:t>
            </w:r>
          </w:p>
        </w:tc>
        <w:tc>
          <w:tcPr>
            <w:tcW w:w="1692" w:type="dxa"/>
          </w:tcPr>
          <w:p w:rsidR="00C76E6D" w:rsidRDefault="00913831">
            <w:pPr>
              <w:pStyle w:val="TableParagraph"/>
              <w:spacing w:before="5"/>
              <w:ind w:left="603"/>
              <w:rPr>
                <w:sz w:val="20"/>
              </w:rPr>
            </w:pPr>
            <w:r>
              <w:rPr>
                <w:spacing w:val="-2"/>
                <w:sz w:val="20"/>
              </w:rPr>
              <w:t>65.4%</w:t>
            </w:r>
          </w:p>
        </w:tc>
      </w:tr>
    </w:tbl>
    <w:p w:rsidR="00C76E6D" w:rsidRDefault="00913831">
      <w:pPr>
        <w:ind w:left="662"/>
        <w:rPr>
          <w:sz w:val="20"/>
        </w:rPr>
      </w:pPr>
      <w:r>
        <w:rPr>
          <w:sz w:val="20"/>
        </w:rPr>
        <w:t>*Statistical</w:t>
      </w:r>
      <w:r>
        <w:rPr>
          <w:spacing w:val="-9"/>
          <w:sz w:val="20"/>
        </w:rPr>
        <w:t xml:space="preserve"> </w:t>
      </w:r>
      <w:r>
        <w:rPr>
          <w:sz w:val="20"/>
        </w:rPr>
        <w:t>association</w:t>
      </w:r>
      <w:r>
        <w:rPr>
          <w:spacing w:val="-6"/>
          <w:sz w:val="20"/>
        </w:rPr>
        <w:t xml:space="preserve"> </w:t>
      </w:r>
      <w:r>
        <w:rPr>
          <w:sz w:val="20"/>
        </w:rPr>
        <w:t>at</w:t>
      </w:r>
      <w:r>
        <w:rPr>
          <w:spacing w:val="-8"/>
          <w:sz w:val="20"/>
        </w:rPr>
        <w:t xml:space="preserve"> </w:t>
      </w:r>
      <w:r>
        <w:rPr>
          <w:sz w:val="20"/>
        </w:rPr>
        <w:t>the</w:t>
      </w:r>
      <w:r>
        <w:rPr>
          <w:spacing w:val="-8"/>
          <w:sz w:val="20"/>
        </w:rPr>
        <w:t xml:space="preserve"> </w:t>
      </w:r>
      <w:r>
        <w:rPr>
          <w:sz w:val="20"/>
        </w:rPr>
        <w:t>.001</w:t>
      </w:r>
      <w:r>
        <w:rPr>
          <w:spacing w:val="-5"/>
          <w:sz w:val="20"/>
        </w:rPr>
        <w:t xml:space="preserve"> </w:t>
      </w:r>
      <w:r>
        <w:rPr>
          <w:spacing w:val="-2"/>
          <w:sz w:val="20"/>
        </w:rPr>
        <w:t>level</w:t>
      </w:r>
    </w:p>
    <w:p w:rsidR="00C76E6D" w:rsidRDefault="00C76E6D">
      <w:pPr>
        <w:pStyle w:val="BodyText"/>
        <w:spacing w:before="3"/>
        <w:rPr>
          <w:sz w:val="28"/>
        </w:rPr>
      </w:pPr>
    </w:p>
    <w:p w:rsidR="00C76E6D" w:rsidRDefault="00913831">
      <w:pPr>
        <w:pStyle w:val="BodyText"/>
        <w:spacing w:line="276" w:lineRule="auto"/>
        <w:ind w:left="478" w:right="474"/>
        <w:jc w:val="both"/>
      </w:pPr>
      <w:r>
        <w:t>However,</w:t>
      </w:r>
      <w:r>
        <w:rPr>
          <w:spacing w:val="-8"/>
        </w:rPr>
        <w:t xml:space="preserve"> </w:t>
      </w:r>
      <w:r>
        <w:t>this</w:t>
      </w:r>
      <w:r>
        <w:rPr>
          <w:spacing w:val="-7"/>
        </w:rPr>
        <w:t xml:space="preserve"> </w:t>
      </w:r>
      <w:r>
        <w:t>is</w:t>
      </w:r>
      <w:r>
        <w:rPr>
          <w:spacing w:val="-7"/>
        </w:rPr>
        <w:t xml:space="preserve"> </w:t>
      </w:r>
      <w:r>
        <w:t>only</w:t>
      </w:r>
      <w:r>
        <w:rPr>
          <w:spacing w:val="-8"/>
        </w:rPr>
        <w:t xml:space="preserve"> </w:t>
      </w:r>
      <w:r>
        <w:t>half</w:t>
      </w:r>
      <w:r>
        <w:rPr>
          <w:spacing w:val="-7"/>
        </w:rPr>
        <w:t xml:space="preserve"> </w:t>
      </w:r>
      <w:r>
        <w:t>of</w:t>
      </w:r>
      <w:r>
        <w:rPr>
          <w:spacing w:val="-9"/>
        </w:rPr>
        <w:t xml:space="preserve"> </w:t>
      </w:r>
      <w:r>
        <w:t>the</w:t>
      </w:r>
      <w:r>
        <w:rPr>
          <w:spacing w:val="-8"/>
        </w:rPr>
        <w:t xml:space="preserve"> </w:t>
      </w:r>
      <w:r>
        <w:t>social</w:t>
      </w:r>
      <w:r>
        <w:rPr>
          <w:spacing w:val="-9"/>
        </w:rPr>
        <w:t xml:space="preserve"> </w:t>
      </w:r>
      <w:r>
        <w:t>support</w:t>
      </w:r>
      <w:r>
        <w:rPr>
          <w:spacing w:val="-8"/>
        </w:rPr>
        <w:t xml:space="preserve"> </w:t>
      </w:r>
      <w:r>
        <w:t>story.</w:t>
      </w:r>
      <w:r>
        <w:rPr>
          <w:spacing w:val="-6"/>
        </w:rPr>
        <w:t xml:space="preserve"> </w:t>
      </w:r>
      <w:r>
        <w:t>Although</w:t>
      </w:r>
      <w:r>
        <w:rPr>
          <w:spacing w:val="-7"/>
        </w:rPr>
        <w:t xml:space="preserve"> </w:t>
      </w:r>
      <w:r>
        <w:t>LGBTQ</w:t>
      </w:r>
      <w:r>
        <w:rPr>
          <w:spacing w:val="-8"/>
        </w:rPr>
        <w:t xml:space="preserve"> </w:t>
      </w:r>
      <w:r>
        <w:t>youth</w:t>
      </w:r>
      <w:r>
        <w:rPr>
          <w:spacing w:val="-8"/>
        </w:rPr>
        <w:t xml:space="preserve"> </w:t>
      </w:r>
      <w:r>
        <w:t>are</w:t>
      </w:r>
      <w:r>
        <w:rPr>
          <w:spacing w:val="-6"/>
        </w:rPr>
        <w:t xml:space="preserve"> </w:t>
      </w:r>
      <w:r>
        <w:t>less</w:t>
      </w:r>
      <w:r>
        <w:rPr>
          <w:spacing w:val="-7"/>
        </w:rPr>
        <w:t xml:space="preserve"> </w:t>
      </w:r>
      <w:r>
        <w:t>likely</w:t>
      </w:r>
      <w:r>
        <w:rPr>
          <w:spacing w:val="-7"/>
        </w:rPr>
        <w:t xml:space="preserve"> </w:t>
      </w:r>
      <w:r>
        <w:t>to</w:t>
      </w:r>
      <w:r>
        <w:rPr>
          <w:spacing w:val="-7"/>
        </w:rPr>
        <w:t xml:space="preserve"> </w:t>
      </w:r>
      <w:r>
        <w:t>receive</w:t>
      </w:r>
      <w:r>
        <w:rPr>
          <w:spacing w:val="-8"/>
        </w:rPr>
        <w:t xml:space="preserve"> </w:t>
      </w:r>
      <w:r>
        <w:t>adult support, it’s still important to see what difference the support that they do receive may make. Social support</w:t>
      </w:r>
      <w:r>
        <w:rPr>
          <w:spacing w:val="-5"/>
        </w:rPr>
        <w:t xml:space="preserve"> </w:t>
      </w:r>
      <w:r>
        <w:t>can</w:t>
      </w:r>
      <w:r>
        <w:rPr>
          <w:spacing w:val="-4"/>
        </w:rPr>
        <w:t xml:space="preserve"> </w:t>
      </w:r>
      <w:r>
        <w:t>be</w:t>
      </w:r>
      <w:r>
        <w:rPr>
          <w:spacing w:val="-5"/>
        </w:rPr>
        <w:t xml:space="preserve"> </w:t>
      </w:r>
      <w:r>
        <w:t>a</w:t>
      </w:r>
      <w:r>
        <w:rPr>
          <w:spacing w:val="-5"/>
        </w:rPr>
        <w:t xml:space="preserve"> </w:t>
      </w:r>
      <w:r>
        <w:t>buffer,</w:t>
      </w:r>
      <w:r>
        <w:rPr>
          <w:spacing w:val="-3"/>
        </w:rPr>
        <w:t xml:space="preserve"> </w:t>
      </w:r>
      <w:r>
        <w:t>protecting</w:t>
      </w:r>
      <w:r>
        <w:rPr>
          <w:spacing w:val="-5"/>
        </w:rPr>
        <w:t xml:space="preserve"> </w:t>
      </w:r>
      <w:r>
        <w:t>individuals</w:t>
      </w:r>
      <w:r>
        <w:rPr>
          <w:spacing w:val="-5"/>
        </w:rPr>
        <w:t xml:space="preserve"> </w:t>
      </w:r>
      <w:r>
        <w:t>from</w:t>
      </w:r>
      <w:r>
        <w:rPr>
          <w:spacing w:val="-5"/>
        </w:rPr>
        <w:t xml:space="preserve"> </w:t>
      </w:r>
      <w:r>
        <w:t>negative</w:t>
      </w:r>
      <w:r>
        <w:rPr>
          <w:spacing w:val="-5"/>
        </w:rPr>
        <w:t xml:space="preserve"> </w:t>
      </w:r>
      <w:r>
        <w:t>mental</w:t>
      </w:r>
      <w:r>
        <w:rPr>
          <w:spacing w:val="-5"/>
        </w:rPr>
        <w:t xml:space="preserve"> </w:t>
      </w:r>
      <w:r>
        <w:t>health</w:t>
      </w:r>
      <w:r>
        <w:rPr>
          <w:spacing w:val="-3"/>
        </w:rPr>
        <w:t xml:space="preserve"> </w:t>
      </w:r>
      <w:r>
        <w:t>c</w:t>
      </w:r>
      <w:r>
        <w:t>onsequences,</w:t>
      </w:r>
      <w:r>
        <w:rPr>
          <w:spacing w:val="-5"/>
        </w:rPr>
        <w:t xml:space="preserve"> </w:t>
      </w:r>
      <w:r>
        <w:t>particularly</w:t>
      </w:r>
      <w:r>
        <w:rPr>
          <w:spacing w:val="-4"/>
        </w:rPr>
        <w:t xml:space="preserve"> </w:t>
      </w:r>
      <w:r>
        <w:t>in times of stress</w:t>
      </w:r>
      <w:hyperlink w:anchor="_bookmark20" w:history="1">
        <w:r>
          <w:t>.</w:t>
        </w:r>
        <w:r>
          <w:rPr>
            <w:vertAlign w:val="superscript"/>
          </w:rPr>
          <w:t>13</w:t>
        </w:r>
        <w:r>
          <w:t xml:space="preserve"> </w:t>
        </w:r>
      </w:hyperlink>
      <w:r>
        <w:t>Table 2 shows that adult support is a protective factor among het-cis youth, in that it is associated with reduced risk across all of the risk factors examined at a statisticall</w:t>
      </w:r>
      <w:r>
        <w:t>y significant level. For LGBTQ youth, there were no statistically significant differences by social support on the substance use measures: binge drinking, vaping, or using drugs or alcohol before sex.</w:t>
      </w:r>
    </w:p>
    <w:p w:rsidR="00C76E6D" w:rsidRDefault="00C76E6D">
      <w:pPr>
        <w:pStyle w:val="BodyText"/>
        <w:spacing w:before="4"/>
        <w:rPr>
          <w:sz w:val="25"/>
        </w:rPr>
      </w:pPr>
    </w:p>
    <w:p w:rsidR="00C76E6D" w:rsidRDefault="00913831">
      <w:pPr>
        <w:pStyle w:val="BodyText"/>
        <w:spacing w:line="276" w:lineRule="auto"/>
        <w:ind w:left="480" w:right="473"/>
        <w:jc w:val="both"/>
      </w:pPr>
      <w:r>
        <w:t>Yet there are some important positive results. Social support from adults is associated with lower risk among</w:t>
      </w:r>
      <w:r>
        <w:rPr>
          <w:spacing w:val="-13"/>
        </w:rPr>
        <w:t xml:space="preserve"> </w:t>
      </w:r>
      <w:r>
        <w:t>LGBTQ</w:t>
      </w:r>
      <w:r>
        <w:rPr>
          <w:spacing w:val="-12"/>
        </w:rPr>
        <w:t xml:space="preserve"> </w:t>
      </w:r>
      <w:r>
        <w:t>youth</w:t>
      </w:r>
      <w:r>
        <w:rPr>
          <w:spacing w:val="-13"/>
        </w:rPr>
        <w:t xml:space="preserve"> </w:t>
      </w:r>
      <w:r>
        <w:t>for</w:t>
      </w:r>
      <w:r>
        <w:rPr>
          <w:spacing w:val="-12"/>
        </w:rPr>
        <w:t xml:space="preserve"> </w:t>
      </w:r>
      <w:r>
        <w:t>other</w:t>
      </w:r>
      <w:r>
        <w:rPr>
          <w:spacing w:val="-13"/>
        </w:rPr>
        <w:t xml:space="preserve"> </w:t>
      </w:r>
      <w:r>
        <w:t>adverse</w:t>
      </w:r>
      <w:r>
        <w:rPr>
          <w:spacing w:val="-12"/>
        </w:rPr>
        <w:t xml:space="preserve"> </w:t>
      </w:r>
      <w:r>
        <w:t>experiences,</w:t>
      </w:r>
      <w:r>
        <w:rPr>
          <w:spacing w:val="-13"/>
        </w:rPr>
        <w:t xml:space="preserve"> </w:t>
      </w:r>
      <w:r>
        <w:t>namely:</w:t>
      </w:r>
      <w:r>
        <w:rPr>
          <w:spacing w:val="-12"/>
        </w:rPr>
        <w:t xml:space="preserve"> </w:t>
      </w:r>
      <w:r>
        <w:t>skipping</w:t>
      </w:r>
      <w:r>
        <w:rPr>
          <w:spacing w:val="-12"/>
        </w:rPr>
        <w:t xml:space="preserve"> </w:t>
      </w:r>
      <w:r>
        <w:t>school,</w:t>
      </w:r>
      <w:r>
        <w:rPr>
          <w:spacing w:val="-13"/>
        </w:rPr>
        <w:t xml:space="preserve"> </w:t>
      </w:r>
      <w:r>
        <w:t>being</w:t>
      </w:r>
      <w:r>
        <w:rPr>
          <w:spacing w:val="-12"/>
        </w:rPr>
        <w:t xml:space="preserve"> </w:t>
      </w:r>
      <w:r>
        <w:t>bullied</w:t>
      </w:r>
      <w:r>
        <w:rPr>
          <w:spacing w:val="-13"/>
        </w:rPr>
        <w:t xml:space="preserve"> </w:t>
      </w:r>
      <w:r>
        <w:t>at</w:t>
      </w:r>
      <w:r>
        <w:rPr>
          <w:spacing w:val="-12"/>
        </w:rPr>
        <w:t xml:space="preserve"> </w:t>
      </w:r>
      <w:r>
        <w:t>school,</w:t>
      </w:r>
      <w:r>
        <w:rPr>
          <w:spacing w:val="-13"/>
        </w:rPr>
        <w:t xml:space="preserve"> </w:t>
      </w:r>
      <w:r>
        <w:t>being bullied</w:t>
      </w:r>
      <w:r>
        <w:rPr>
          <w:spacing w:val="-8"/>
        </w:rPr>
        <w:t xml:space="preserve"> </w:t>
      </w:r>
      <w:r>
        <w:t>electronically,</w:t>
      </w:r>
      <w:r>
        <w:rPr>
          <w:spacing w:val="-8"/>
        </w:rPr>
        <w:t xml:space="preserve"> </w:t>
      </w:r>
      <w:r>
        <w:t>considering</w:t>
      </w:r>
      <w:r>
        <w:rPr>
          <w:spacing w:val="-9"/>
        </w:rPr>
        <w:t xml:space="preserve"> </w:t>
      </w:r>
      <w:r>
        <w:t>suicide,</w:t>
      </w:r>
      <w:r>
        <w:rPr>
          <w:spacing w:val="-8"/>
        </w:rPr>
        <w:t xml:space="preserve"> </w:t>
      </w:r>
      <w:r>
        <w:t>and</w:t>
      </w:r>
      <w:r>
        <w:rPr>
          <w:spacing w:val="-9"/>
        </w:rPr>
        <w:t xml:space="preserve"> </w:t>
      </w:r>
      <w:r>
        <w:t>attempting</w:t>
      </w:r>
      <w:r>
        <w:rPr>
          <w:spacing w:val="-9"/>
        </w:rPr>
        <w:t xml:space="preserve"> </w:t>
      </w:r>
      <w:r>
        <w:t>suicide.</w:t>
      </w:r>
      <w:r>
        <w:rPr>
          <w:spacing w:val="-7"/>
        </w:rPr>
        <w:t xml:space="preserve"> </w:t>
      </w:r>
      <w:r>
        <w:t>LGBTQ</w:t>
      </w:r>
      <w:r>
        <w:rPr>
          <w:spacing w:val="-9"/>
        </w:rPr>
        <w:t xml:space="preserve"> </w:t>
      </w:r>
      <w:r>
        <w:t>youth</w:t>
      </w:r>
      <w:r>
        <w:rPr>
          <w:spacing w:val="-8"/>
        </w:rPr>
        <w:t xml:space="preserve"> </w:t>
      </w:r>
      <w:r>
        <w:t>who</w:t>
      </w:r>
      <w:r>
        <w:rPr>
          <w:spacing w:val="-8"/>
        </w:rPr>
        <w:t xml:space="preserve"> </w:t>
      </w:r>
      <w:r>
        <w:t>had</w:t>
      </w:r>
      <w:r>
        <w:rPr>
          <w:spacing w:val="-9"/>
        </w:rPr>
        <w:t xml:space="preserve"> </w:t>
      </w:r>
      <w:r>
        <w:t>support</w:t>
      </w:r>
      <w:r>
        <w:rPr>
          <w:spacing w:val="-10"/>
        </w:rPr>
        <w:t xml:space="preserve"> </w:t>
      </w:r>
      <w:r>
        <w:t>from</w:t>
      </w:r>
      <w:r>
        <w:rPr>
          <w:spacing w:val="-9"/>
        </w:rPr>
        <w:t xml:space="preserve"> </w:t>
      </w:r>
      <w:r>
        <w:t>an adult</w:t>
      </w:r>
      <w:r>
        <w:rPr>
          <w:spacing w:val="-1"/>
        </w:rPr>
        <w:t xml:space="preserve"> </w:t>
      </w:r>
      <w:r>
        <w:t>at</w:t>
      </w:r>
      <w:r>
        <w:rPr>
          <w:spacing w:val="-1"/>
        </w:rPr>
        <w:t xml:space="preserve"> </w:t>
      </w:r>
      <w:r>
        <w:t>home</w:t>
      </w:r>
      <w:r>
        <w:rPr>
          <w:spacing w:val="-1"/>
        </w:rPr>
        <w:t xml:space="preserve"> </w:t>
      </w:r>
      <w:r>
        <w:t>only were least</w:t>
      </w:r>
      <w:r>
        <w:rPr>
          <w:spacing w:val="-1"/>
        </w:rPr>
        <w:t xml:space="preserve"> </w:t>
      </w:r>
      <w:r>
        <w:t>likely to skip school (6.3%)</w:t>
      </w:r>
      <w:r>
        <w:rPr>
          <w:spacing w:val="-1"/>
        </w:rPr>
        <w:t xml:space="preserve"> </w:t>
      </w:r>
      <w:r>
        <w:t>or to be bullied at school (17.5%), compared to the other categories of social support. For being bullied</w:t>
      </w:r>
      <w:r>
        <w:rPr>
          <w:spacing w:val="-1"/>
        </w:rPr>
        <w:t xml:space="preserve"> </w:t>
      </w:r>
      <w:r>
        <w:t>electronically, LGBTQ youth who</w:t>
      </w:r>
      <w:r>
        <w:t xml:space="preserve"> had</w:t>
      </w:r>
      <w:r>
        <w:rPr>
          <w:spacing w:val="-1"/>
        </w:rPr>
        <w:t xml:space="preserve"> </w:t>
      </w:r>
      <w:r>
        <w:t>an adult to talk with both at school and at home were least likely to be bullied (18.6%), although those youth who had</w:t>
      </w:r>
      <w:r>
        <w:rPr>
          <w:spacing w:val="-6"/>
        </w:rPr>
        <w:t xml:space="preserve"> </w:t>
      </w:r>
      <w:r>
        <w:t>adult</w:t>
      </w:r>
      <w:r>
        <w:rPr>
          <w:spacing w:val="-5"/>
        </w:rPr>
        <w:t xml:space="preserve"> </w:t>
      </w:r>
      <w:r>
        <w:t>support</w:t>
      </w:r>
      <w:r>
        <w:rPr>
          <w:spacing w:val="-6"/>
        </w:rPr>
        <w:t xml:space="preserve"> </w:t>
      </w:r>
      <w:r>
        <w:t>at</w:t>
      </w:r>
      <w:r>
        <w:rPr>
          <w:spacing w:val="-5"/>
        </w:rPr>
        <w:t xml:space="preserve"> </w:t>
      </w:r>
      <w:r>
        <w:t>home</w:t>
      </w:r>
      <w:r>
        <w:rPr>
          <w:spacing w:val="-2"/>
        </w:rPr>
        <w:t xml:space="preserve"> </w:t>
      </w:r>
      <w:r>
        <w:t>only</w:t>
      </w:r>
      <w:r>
        <w:rPr>
          <w:spacing w:val="-4"/>
        </w:rPr>
        <w:t xml:space="preserve"> </w:t>
      </w:r>
      <w:r>
        <w:t>were</w:t>
      </w:r>
      <w:r>
        <w:rPr>
          <w:spacing w:val="-4"/>
        </w:rPr>
        <w:t xml:space="preserve"> </w:t>
      </w:r>
      <w:r>
        <w:t>close</w:t>
      </w:r>
      <w:r>
        <w:rPr>
          <w:spacing w:val="-6"/>
        </w:rPr>
        <w:t xml:space="preserve"> </w:t>
      </w:r>
      <w:r>
        <w:t>behind</w:t>
      </w:r>
      <w:r>
        <w:rPr>
          <w:spacing w:val="-3"/>
        </w:rPr>
        <w:t xml:space="preserve"> </w:t>
      </w:r>
      <w:r>
        <w:t>(20.3%).</w:t>
      </w:r>
      <w:r>
        <w:rPr>
          <w:spacing w:val="-4"/>
        </w:rPr>
        <w:t xml:space="preserve"> </w:t>
      </w:r>
      <w:r>
        <w:t>LGBTQ</w:t>
      </w:r>
      <w:r>
        <w:rPr>
          <w:spacing w:val="-2"/>
        </w:rPr>
        <w:t xml:space="preserve"> </w:t>
      </w:r>
      <w:r>
        <w:t>youth</w:t>
      </w:r>
      <w:r>
        <w:rPr>
          <w:spacing w:val="-4"/>
        </w:rPr>
        <w:t xml:space="preserve"> </w:t>
      </w:r>
      <w:r>
        <w:t>who</w:t>
      </w:r>
      <w:r>
        <w:rPr>
          <w:spacing w:val="-3"/>
        </w:rPr>
        <w:t xml:space="preserve"> </w:t>
      </w:r>
      <w:r>
        <w:t>had</w:t>
      </w:r>
      <w:r>
        <w:rPr>
          <w:spacing w:val="-6"/>
        </w:rPr>
        <w:t xml:space="preserve"> </w:t>
      </w:r>
      <w:r>
        <w:t>adult</w:t>
      </w:r>
      <w:r>
        <w:rPr>
          <w:spacing w:val="-5"/>
        </w:rPr>
        <w:t xml:space="preserve"> </w:t>
      </w:r>
      <w:r>
        <w:t>support</w:t>
      </w:r>
      <w:r>
        <w:rPr>
          <w:spacing w:val="-6"/>
        </w:rPr>
        <w:t xml:space="preserve"> </w:t>
      </w:r>
      <w:r>
        <w:t>at</w:t>
      </w:r>
      <w:r>
        <w:rPr>
          <w:spacing w:val="-5"/>
        </w:rPr>
        <w:t xml:space="preserve"> </w:t>
      </w:r>
      <w:r>
        <w:t>home and at school were least likely to consider suicide (28.0%) or attempt suicide (10.8%).</w:t>
      </w:r>
    </w:p>
    <w:p w:rsidR="00C76E6D" w:rsidRDefault="00C76E6D">
      <w:pPr>
        <w:pStyle w:val="BodyText"/>
        <w:spacing w:before="4"/>
        <w:rPr>
          <w:sz w:val="25"/>
        </w:rPr>
      </w:pPr>
    </w:p>
    <w:p w:rsidR="00C76E6D" w:rsidRDefault="00913831">
      <w:pPr>
        <w:pStyle w:val="BodyText"/>
        <w:spacing w:line="276" w:lineRule="auto"/>
        <w:ind w:left="478" w:right="472"/>
        <w:jc w:val="both"/>
      </w:pPr>
      <w:r>
        <w:t>Looking</w:t>
      </w:r>
      <w:r>
        <w:rPr>
          <w:spacing w:val="-11"/>
        </w:rPr>
        <w:t xml:space="preserve"> </w:t>
      </w:r>
      <w:r>
        <w:t>more</w:t>
      </w:r>
      <w:r>
        <w:rPr>
          <w:spacing w:val="-10"/>
        </w:rPr>
        <w:t xml:space="preserve"> </w:t>
      </w:r>
      <w:r>
        <w:t>in</w:t>
      </w:r>
      <w:r>
        <w:rPr>
          <w:spacing w:val="-11"/>
        </w:rPr>
        <w:t xml:space="preserve"> </w:t>
      </w:r>
      <w:r>
        <w:t>depth</w:t>
      </w:r>
      <w:r>
        <w:rPr>
          <w:spacing w:val="-10"/>
        </w:rPr>
        <w:t xml:space="preserve"> </w:t>
      </w:r>
      <w:r>
        <w:t>into</w:t>
      </w:r>
      <w:r>
        <w:rPr>
          <w:spacing w:val="-10"/>
        </w:rPr>
        <w:t xml:space="preserve"> </w:t>
      </w:r>
      <w:r>
        <w:t>the</w:t>
      </w:r>
      <w:r>
        <w:rPr>
          <w:spacing w:val="-10"/>
        </w:rPr>
        <w:t xml:space="preserve"> </w:t>
      </w:r>
      <w:r>
        <w:t>LGBTQ</w:t>
      </w:r>
      <w:r>
        <w:rPr>
          <w:spacing w:val="-10"/>
        </w:rPr>
        <w:t xml:space="preserve"> </w:t>
      </w:r>
      <w:r>
        <w:t>youth</w:t>
      </w:r>
      <w:r>
        <w:rPr>
          <w:spacing w:val="-11"/>
        </w:rPr>
        <w:t xml:space="preserve"> </w:t>
      </w:r>
      <w:r>
        <w:t>results</w:t>
      </w:r>
      <w:r>
        <w:rPr>
          <w:spacing w:val="-11"/>
        </w:rPr>
        <w:t xml:space="preserve"> </w:t>
      </w:r>
      <w:r>
        <w:t>for</w:t>
      </w:r>
      <w:r>
        <w:rPr>
          <w:spacing w:val="-11"/>
        </w:rPr>
        <w:t xml:space="preserve"> </w:t>
      </w:r>
      <w:r>
        <w:t>suicidality,</w:t>
      </w:r>
      <w:r>
        <w:rPr>
          <w:spacing w:val="-10"/>
        </w:rPr>
        <w:t xml:space="preserve"> </w:t>
      </w:r>
      <w:r>
        <w:t>the</w:t>
      </w:r>
      <w:r>
        <w:rPr>
          <w:spacing w:val="-12"/>
        </w:rPr>
        <w:t xml:space="preserve"> </w:t>
      </w:r>
      <w:r>
        <w:t>association</w:t>
      </w:r>
      <w:r>
        <w:rPr>
          <w:spacing w:val="-12"/>
        </w:rPr>
        <w:t xml:space="preserve"> </w:t>
      </w:r>
      <w:r>
        <w:t>between</w:t>
      </w:r>
      <w:r>
        <w:rPr>
          <w:spacing w:val="-10"/>
        </w:rPr>
        <w:t xml:space="preserve"> </w:t>
      </w:r>
      <w:r>
        <w:t>social</w:t>
      </w:r>
      <w:r>
        <w:rPr>
          <w:spacing w:val="-11"/>
        </w:rPr>
        <w:t xml:space="preserve"> </w:t>
      </w:r>
      <w:r>
        <w:t>support and the risk factors is striking. Put in order of preva</w:t>
      </w:r>
      <w:r>
        <w:t>lence, youth with support both from adults at home and</w:t>
      </w:r>
      <w:r>
        <w:rPr>
          <w:spacing w:val="-9"/>
        </w:rPr>
        <w:t xml:space="preserve"> </w:t>
      </w:r>
      <w:r>
        <w:t>at</w:t>
      </w:r>
      <w:r>
        <w:rPr>
          <w:spacing w:val="-9"/>
        </w:rPr>
        <w:t xml:space="preserve"> </w:t>
      </w:r>
      <w:r>
        <w:t>school</w:t>
      </w:r>
      <w:r>
        <w:rPr>
          <w:spacing w:val="-7"/>
        </w:rPr>
        <w:t xml:space="preserve"> </w:t>
      </w:r>
      <w:r>
        <w:t>have</w:t>
      </w:r>
      <w:r>
        <w:rPr>
          <w:spacing w:val="-9"/>
        </w:rPr>
        <w:t xml:space="preserve"> </w:t>
      </w:r>
      <w:r>
        <w:t>the</w:t>
      </w:r>
      <w:r>
        <w:rPr>
          <w:spacing w:val="-8"/>
        </w:rPr>
        <w:t xml:space="preserve"> </w:t>
      </w:r>
      <w:r>
        <w:t>lowest</w:t>
      </w:r>
      <w:r>
        <w:rPr>
          <w:spacing w:val="-8"/>
        </w:rPr>
        <w:t xml:space="preserve"> </w:t>
      </w:r>
      <w:r>
        <w:t>prevalence</w:t>
      </w:r>
      <w:r>
        <w:rPr>
          <w:spacing w:val="-9"/>
        </w:rPr>
        <w:t xml:space="preserve"> </w:t>
      </w:r>
      <w:r>
        <w:t>of</w:t>
      </w:r>
      <w:r>
        <w:rPr>
          <w:spacing w:val="-7"/>
        </w:rPr>
        <w:t xml:space="preserve"> </w:t>
      </w:r>
      <w:r>
        <w:t>suicidality,</w:t>
      </w:r>
      <w:r>
        <w:rPr>
          <w:spacing w:val="-8"/>
        </w:rPr>
        <w:t xml:space="preserve"> </w:t>
      </w:r>
      <w:r>
        <w:t>followed</w:t>
      </w:r>
      <w:r>
        <w:rPr>
          <w:spacing w:val="-8"/>
        </w:rPr>
        <w:t xml:space="preserve"> </w:t>
      </w:r>
      <w:r>
        <w:t>by</w:t>
      </w:r>
      <w:r>
        <w:rPr>
          <w:spacing w:val="-9"/>
        </w:rPr>
        <w:t xml:space="preserve"> </w:t>
      </w:r>
      <w:r>
        <w:t>youth</w:t>
      </w:r>
      <w:r>
        <w:rPr>
          <w:spacing w:val="-8"/>
        </w:rPr>
        <w:t xml:space="preserve"> </w:t>
      </w:r>
      <w:r>
        <w:t>with</w:t>
      </w:r>
      <w:r>
        <w:rPr>
          <w:spacing w:val="-7"/>
        </w:rPr>
        <w:t xml:space="preserve"> </w:t>
      </w:r>
      <w:r>
        <w:t>support</w:t>
      </w:r>
      <w:r>
        <w:rPr>
          <w:spacing w:val="-8"/>
        </w:rPr>
        <w:t xml:space="preserve"> </w:t>
      </w:r>
      <w:r>
        <w:t>at</w:t>
      </w:r>
      <w:r>
        <w:rPr>
          <w:spacing w:val="-7"/>
        </w:rPr>
        <w:t xml:space="preserve"> </w:t>
      </w:r>
      <w:r>
        <w:t>home</w:t>
      </w:r>
      <w:r>
        <w:rPr>
          <w:spacing w:val="-8"/>
        </w:rPr>
        <w:t xml:space="preserve"> </w:t>
      </w:r>
      <w:r>
        <w:t>only.</w:t>
      </w:r>
      <w:r>
        <w:rPr>
          <w:spacing w:val="-7"/>
        </w:rPr>
        <w:t xml:space="preserve"> </w:t>
      </w:r>
      <w:r>
        <w:t>The percentage</w:t>
      </w:r>
      <w:r>
        <w:rPr>
          <w:spacing w:val="-3"/>
        </w:rPr>
        <w:t xml:space="preserve"> </w:t>
      </w:r>
      <w:r>
        <w:t>of</w:t>
      </w:r>
      <w:r>
        <w:rPr>
          <w:spacing w:val="-4"/>
        </w:rPr>
        <w:t xml:space="preserve"> </w:t>
      </w:r>
      <w:r>
        <w:t>LBGTQ</w:t>
      </w:r>
      <w:r>
        <w:rPr>
          <w:spacing w:val="-3"/>
        </w:rPr>
        <w:t xml:space="preserve"> </w:t>
      </w:r>
      <w:r>
        <w:t>youth</w:t>
      </w:r>
      <w:r>
        <w:rPr>
          <w:spacing w:val="-4"/>
        </w:rPr>
        <w:t xml:space="preserve"> </w:t>
      </w:r>
      <w:r>
        <w:t>who</w:t>
      </w:r>
      <w:r>
        <w:rPr>
          <w:spacing w:val="-3"/>
        </w:rPr>
        <w:t xml:space="preserve"> </w:t>
      </w:r>
      <w:r>
        <w:t>considered</w:t>
      </w:r>
      <w:r>
        <w:rPr>
          <w:spacing w:val="-4"/>
        </w:rPr>
        <w:t xml:space="preserve"> </w:t>
      </w:r>
      <w:r>
        <w:t>suicide</w:t>
      </w:r>
      <w:r>
        <w:rPr>
          <w:spacing w:val="-3"/>
        </w:rPr>
        <w:t xml:space="preserve"> </w:t>
      </w:r>
      <w:r>
        <w:t>is</w:t>
      </w:r>
      <w:r>
        <w:rPr>
          <w:spacing w:val="-4"/>
        </w:rPr>
        <w:t xml:space="preserve"> </w:t>
      </w:r>
      <w:r>
        <w:t>similar</w:t>
      </w:r>
      <w:r>
        <w:rPr>
          <w:spacing w:val="-4"/>
        </w:rPr>
        <w:t xml:space="preserve"> </w:t>
      </w:r>
      <w:r>
        <w:t>for</w:t>
      </w:r>
      <w:r>
        <w:rPr>
          <w:spacing w:val="-4"/>
        </w:rPr>
        <w:t xml:space="preserve"> </w:t>
      </w:r>
      <w:r>
        <w:t>those</w:t>
      </w:r>
      <w:r>
        <w:rPr>
          <w:spacing w:val="-4"/>
        </w:rPr>
        <w:t xml:space="preserve"> </w:t>
      </w:r>
      <w:r>
        <w:t>who</w:t>
      </w:r>
      <w:r>
        <w:rPr>
          <w:spacing w:val="-4"/>
        </w:rPr>
        <w:t xml:space="preserve"> </w:t>
      </w:r>
      <w:r>
        <w:t>had</w:t>
      </w:r>
      <w:r>
        <w:rPr>
          <w:spacing w:val="-4"/>
        </w:rPr>
        <w:t xml:space="preserve"> </w:t>
      </w:r>
      <w:r>
        <w:t>neither</w:t>
      </w:r>
      <w:r>
        <w:rPr>
          <w:spacing w:val="-3"/>
        </w:rPr>
        <w:t xml:space="preserve"> </w:t>
      </w:r>
      <w:r>
        <w:t>home</w:t>
      </w:r>
      <w:r>
        <w:rPr>
          <w:spacing w:val="-4"/>
        </w:rPr>
        <w:t xml:space="preserve"> </w:t>
      </w:r>
      <w:r>
        <w:t>nor</w:t>
      </w:r>
      <w:r>
        <w:rPr>
          <w:spacing w:val="-4"/>
        </w:rPr>
        <w:t xml:space="preserve"> </w:t>
      </w:r>
      <w:r>
        <w:t>school support (48.3%) or school support only (49%). LGBTQ youth who had support at school only were most likely to consider (24.2%) or attempt suicide (10.3%). These findings suggest that while support from an adult at school can matter, home-based suppor</w:t>
      </w:r>
      <w:r>
        <w:t>t is particularly important for suicide prevention.</w:t>
      </w:r>
    </w:p>
    <w:p w:rsidR="00C76E6D" w:rsidRDefault="00C76E6D">
      <w:pPr>
        <w:spacing w:line="276" w:lineRule="auto"/>
        <w:jc w:val="both"/>
        <w:sectPr w:rsidR="00C76E6D">
          <w:pgSz w:w="12240" w:h="15840"/>
          <w:pgMar w:top="1000" w:right="960" w:bottom="1060" w:left="960" w:header="779" w:footer="864" w:gutter="0"/>
          <w:cols w:space="720"/>
        </w:sectPr>
      </w:pPr>
    </w:p>
    <w:p w:rsidR="00C76E6D" w:rsidRDefault="00C76E6D">
      <w:pPr>
        <w:pStyle w:val="BodyText"/>
        <w:spacing w:before="4"/>
        <w:rPr>
          <w:sz w:val="28"/>
        </w:rPr>
      </w:pPr>
    </w:p>
    <w:p w:rsidR="00C76E6D" w:rsidRDefault="00913831">
      <w:pPr>
        <w:spacing w:before="55" w:line="276" w:lineRule="auto"/>
        <w:ind w:left="480" w:right="1109" w:hanging="1"/>
        <w:rPr>
          <w:b/>
        </w:rPr>
      </w:pPr>
      <w:r>
        <w:rPr>
          <w:b/>
        </w:rPr>
        <w:t>Table</w:t>
      </w:r>
      <w:r>
        <w:rPr>
          <w:b/>
          <w:spacing w:val="-8"/>
        </w:rPr>
        <w:t xml:space="preserve"> </w:t>
      </w:r>
      <w:r>
        <w:rPr>
          <w:b/>
        </w:rPr>
        <w:t>2.</w:t>
      </w:r>
      <w:r>
        <w:rPr>
          <w:b/>
          <w:spacing w:val="-6"/>
        </w:rPr>
        <w:t xml:space="preserve"> </w:t>
      </w:r>
      <w:r>
        <w:rPr>
          <w:b/>
        </w:rPr>
        <w:t>Percent</w:t>
      </w:r>
      <w:r>
        <w:rPr>
          <w:b/>
          <w:spacing w:val="-6"/>
        </w:rPr>
        <w:t xml:space="preserve"> </w:t>
      </w:r>
      <w:r>
        <w:rPr>
          <w:b/>
        </w:rPr>
        <w:t>of</w:t>
      </w:r>
      <w:r>
        <w:rPr>
          <w:b/>
          <w:spacing w:val="-6"/>
        </w:rPr>
        <w:t xml:space="preserve"> </w:t>
      </w:r>
      <w:r>
        <w:rPr>
          <w:b/>
        </w:rPr>
        <w:t>Massachusetts</w:t>
      </w:r>
      <w:r>
        <w:rPr>
          <w:b/>
          <w:spacing w:val="-6"/>
        </w:rPr>
        <w:t xml:space="preserve"> </w:t>
      </w:r>
      <w:r>
        <w:rPr>
          <w:b/>
        </w:rPr>
        <w:t>Reporting</w:t>
      </w:r>
      <w:r>
        <w:rPr>
          <w:b/>
          <w:spacing w:val="-7"/>
        </w:rPr>
        <w:t xml:space="preserve"> </w:t>
      </w:r>
      <w:r>
        <w:rPr>
          <w:b/>
        </w:rPr>
        <w:t>Risk</w:t>
      </w:r>
      <w:r>
        <w:rPr>
          <w:b/>
          <w:spacing w:val="-6"/>
        </w:rPr>
        <w:t xml:space="preserve"> </w:t>
      </w:r>
      <w:r>
        <w:rPr>
          <w:b/>
        </w:rPr>
        <w:t>Factors,</w:t>
      </w:r>
      <w:r>
        <w:rPr>
          <w:b/>
          <w:spacing w:val="-5"/>
        </w:rPr>
        <w:t xml:space="preserve"> </w:t>
      </w:r>
      <w:r>
        <w:rPr>
          <w:b/>
        </w:rPr>
        <w:t>by</w:t>
      </w:r>
      <w:r>
        <w:rPr>
          <w:b/>
          <w:spacing w:val="-7"/>
        </w:rPr>
        <w:t xml:space="preserve"> </w:t>
      </w:r>
      <w:r>
        <w:rPr>
          <w:b/>
        </w:rPr>
        <w:t>Social</w:t>
      </w:r>
      <w:r>
        <w:rPr>
          <w:b/>
          <w:spacing w:val="-7"/>
        </w:rPr>
        <w:t xml:space="preserve"> </w:t>
      </w:r>
      <w:r>
        <w:rPr>
          <w:b/>
        </w:rPr>
        <w:t>Support</w:t>
      </w:r>
      <w:r>
        <w:rPr>
          <w:b/>
          <w:spacing w:val="-7"/>
        </w:rPr>
        <w:t xml:space="preserve"> </w:t>
      </w:r>
      <w:r>
        <w:rPr>
          <w:b/>
        </w:rPr>
        <w:t>and</w:t>
      </w:r>
      <w:r>
        <w:rPr>
          <w:b/>
          <w:spacing w:val="-7"/>
        </w:rPr>
        <w:t xml:space="preserve"> </w:t>
      </w:r>
      <w:r>
        <w:rPr>
          <w:b/>
        </w:rPr>
        <w:t>LGBTQ</w:t>
      </w:r>
      <w:r>
        <w:rPr>
          <w:b/>
          <w:spacing w:val="-7"/>
        </w:rPr>
        <w:t xml:space="preserve"> </w:t>
      </w:r>
      <w:r>
        <w:rPr>
          <w:b/>
        </w:rPr>
        <w:t xml:space="preserve">Identity, </w:t>
      </w:r>
      <w:r>
        <w:rPr>
          <w:b/>
          <w:spacing w:val="-2"/>
        </w:rPr>
        <w:t>2017-2019*</w:t>
      </w:r>
    </w:p>
    <w:p w:rsidR="00C76E6D" w:rsidRDefault="00C76E6D">
      <w:pPr>
        <w:pStyle w:val="BodyText"/>
        <w:spacing w:before="4"/>
        <w:rPr>
          <w:b/>
          <w:sz w:val="25"/>
        </w:rPr>
      </w:pPr>
    </w:p>
    <w:tbl>
      <w:tblPr>
        <w:tblW w:w="0" w:type="auto"/>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0"/>
        <w:gridCol w:w="990"/>
        <w:gridCol w:w="1440"/>
        <w:gridCol w:w="1440"/>
        <w:gridCol w:w="1075"/>
      </w:tblGrid>
      <w:tr w:rsidR="00C76E6D">
        <w:trPr>
          <w:trHeight w:val="280"/>
        </w:trPr>
        <w:tc>
          <w:tcPr>
            <w:tcW w:w="3420" w:type="dxa"/>
          </w:tcPr>
          <w:p w:rsidR="00C76E6D" w:rsidRDefault="00913831">
            <w:pPr>
              <w:pStyle w:val="TableParagraph"/>
              <w:spacing w:before="3"/>
              <w:ind w:left="115"/>
              <w:rPr>
                <w:b/>
                <w:sz w:val="20"/>
              </w:rPr>
            </w:pPr>
            <w:r>
              <w:rPr>
                <w:b/>
                <w:sz w:val="20"/>
              </w:rPr>
              <w:t>Risk</w:t>
            </w:r>
            <w:r>
              <w:rPr>
                <w:b/>
                <w:spacing w:val="-7"/>
                <w:sz w:val="20"/>
              </w:rPr>
              <w:t xml:space="preserve"> </w:t>
            </w:r>
            <w:r>
              <w:rPr>
                <w:b/>
                <w:spacing w:val="-2"/>
                <w:sz w:val="20"/>
              </w:rPr>
              <w:t>Factor</w:t>
            </w:r>
          </w:p>
        </w:tc>
        <w:tc>
          <w:tcPr>
            <w:tcW w:w="990" w:type="dxa"/>
          </w:tcPr>
          <w:p w:rsidR="00C76E6D" w:rsidRDefault="00913831">
            <w:pPr>
              <w:pStyle w:val="TableParagraph"/>
              <w:spacing w:before="3"/>
              <w:ind w:left="113"/>
              <w:rPr>
                <w:b/>
                <w:sz w:val="20"/>
              </w:rPr>
            </w:pPr>
            <w:r>
              <w:rPr>
                <w:b/>
                <w:spacing w:val="-2"/>
                <w:sz w:val="20"/>
              </w:rPr>
              <w:t>Neither</w:t>
            </w:r>
          </w:p>
        </w:tc>
        <w:tc>
          <w:tcPr>
            <w:tcW w:w="1440" w:type="dxa"/>
          </w:tcPr>
          <w:p w:rsidR="00C76E6D" w:rsidRDefault="00913831">
            <w:pPr>
              <w:pStyle w:val="TableParagraph"/>
              <w:spacing w:before="3"/>
              <w:ind w:left="113"/>
              <w:rPr>
                <w:b/>
                <w:sz w:val="20"/>
              </w:rPr>
            </w:pPr>
            <w:r>
              <w:rPr>
                <w:b/>
                <w:sz w:val="20"/>
              </w:rPr>
              <w:t>Home</w:t>
            </w:r>
            <w:r>
              <w:rPr>
                <w:b/>
                <w:spacing w:val="-7"/>
                <w:sz w:val="20"/>
              </w:rPr>
              <w:t xml:space="preserve"> </w:t>
            </w:r>
            <w:r>
              <w:rPr>
                <w:b/>
                <w:spacing w:val="-4"/>
                <w:sz w:val="20"/>
              </w:rPr>
              <w:t>Only</w:t>
            </w:r>
          </w:p>
        </w:tc>
        <w:tc>
          <w:tcPr>
            <w:tcW w:w="1440" w:type="dxa"/>
          </w:tcPr>
          <w:p w:rsidR="00C76E6D" w:rsidRDefault="00913831">
            <w:pPr>
              <w:pStyle w:val="TableParagraph"/>
              <w:spacing w:before="3"/>
              <w:ind w:left="113"/>
              <w:rPr>
                <w:b/>
                <w:sz w:val="20"/>
              </w:rPr>
            </w:pPr>
            <w:r>
              <w:rPr>
                <w:b/>
                <w:sz w:val="20"/>
              </w:rPr>
              <w:t>School</w:t>
            </w:r>
            <w:r>
              <w:rPr>
                <w:b/>
                <w:spacing w:val="-7"/>
                <w:sz w:val="20"/>
              </w:rPr>
              <w:t xml:space="preserve"> </w:t>
            </w:r>
            <w:r>
              <w:rPr>
                <w:b/>
                <w:spacing w:val="-4"/>
                <w:sz w:val="20"/>
              </w:rPr>
              <w:t>Only</w:t>
            </w:r>
          </w:p>
        </w:tc>
        <w:tc>
          <w:tcPr>
            <w:tcW w:w="1075" w:type="dxa"/>
          </w:tcPr>
          <w:p w:rsidR="00C76E6D" w:rsidRDefault="00913831">
            <w:pPr>
              <w:pStyle w:val="TableParagraph"/>
              <w:spacing w:before="3"/>
              <w:ind w:left="113"/>
              <w:rPr>
                <w:b/>
                <w:sz w:val="20"/>
              </w:rPr>
            </w:pPr>
            <w:r>
              <w:rPr>
                <w:b/>
                <w:spacing w:val="-4"/>
                <w:sz w:val="20"/>
              </w:rPr>
              <w:t>Both</w:t>
            </w:r>
          </w:p>
        </w:tc>
      </w:tr>
      <w:tr w:rsidR="00C76E6D">
        <w:trPr>
          <w:trHeight w:val="843"/>
        </w:trPr>
        <w:tc>
          <w:tcPr>
            <w:tcW w:w="3420" w:type="dxa"/>
          </w:tcPr>
          <w:p w:rsidR="00C76E6D" w:rsidRDefault="00913831">
            <w:pPr>
              <w:pStyle w:val="TableParagraph"/>
              <w:spacing w:line="243" w:lineRule="exact"/>
              <w:ind w:left="250" w:hanging="137"/>
              <w:rPr>
                <w:b/>
                <w:sz w:val="20"/>
              </w:rPr>
            </w:pPr>
            <w:r>
              <w:rPr>
                <w:b/>
                <w:sz w:val="20"/>
              </w:rPr>
              <w:t>Skip</w:t>
            </w:r>
            <w:r>
              <w:rPr>
                <w:b/>
                <w:spacing w:val="-5"/>
                <w:sz w:val="20"/>
              </w:rPr>
              <w:t xml:space="preserve"> </w:t>
            </w:r>
            <w:r>
              <w:rPr>
                <w:b/>
                <w:spacing w:val="-2"/>
                <w:sz w:val="20"/>
              </w:rPr>
              <w:t>school</w:t>
            </w:r>
          </w:p>
          <w:p w:rsidR="00C76E6D" w:rsidRDefault="00913831">
            <w:pPr>
              <w:pStyle w:val="TableParagraph"/>
              <w:spacing w:line="280" w:lineRule="atLeast"/>
              <w:ind w:left="251" w:right="2324" w:hanging="2"/>
              <w:rPr>
                <w:sz w:val="20"/>
              </w:rPr>
            </w:pPr>
            <w:r>
              <w:rPr>
                <w:spacing w:val="-4"/>
                <w:sz w:val="20"/>
              </w:rPr>
              <w:t xml:space="preserve">LGBTQ*** </w:t>
            </w:r>
            <w:r>
              <w:rPr>
                <w:spacing w:val="-2"/>
                <w:sz w:val="20"/>
              </w:rPr>
              <w:t>Het-Cis*</w:t>
            </w:r>
          </w:p>
        </w:tc>
        <w:tc>
          <w:tcPr>
            <w:tcW w:w="990" w:type="dxa"/>
          </w:tcPr>
          <w:p w:rsidR="00C76E6D" w:rsidRDefault="00C76E6D">
            <w:pPr>
              <w:pStyle w:val="TableParagraph"/>
              <w:spacing w:before="11"/>
              <w:rPr>
                <w:b/>
              </w:rPr>
            </w:pPr>
          </w:p>
          <w:p w:rsidR="00C76E6D" w:rsidRDefault="00913831">
            <w:pPr>
              <w:pStyle w:val="TableParagraph"/>
              <w:ind w:left="251"/>
              <w:rPr>
                <w:sz w:val="20"/>
              </w:rPr>
            </w:pPr>
            <w:r>
              <w:rPr>
                <w:spacing w:val="-2"/>
                <w:sz w:val="20"/>
              </w:rPr>
              <w:t>11.2%</w:t>
            </w:r>
          </w:p>
          <w:p w:rsidR="00C76E6D" w:rsidRDefault="00913831">
            <w:pPr>
              <w:pStyle w:val="TableParagraph"/>
              <w:spacing w:before="37"/>
              <w:ind w:left="303"/>
              <w:rPr>
                <w:sz w:val="20"/>
              </w:rPr>
            </w:pPr>
            <w:r>
              <w:rPr>
                <w:spacing w:val="-4"/>
                <w:sz w:val="20"/>
              </w:rPr>
              <w:t>5.4%</w:t>
            </w:r>
          </w:p>
        </w:tc>
        <w:tc>
          <w:tcPr>
            <w:tcW w:w="1440" w:type="dxa"/>
          </w:tcPr>
          <w:p w:rsidR="00C76E6D" w:rsidRDefault="00C76E6D">
            <w:pPr>
              <w:pStyle w:val="TableParagraph"/>
              <w:spacing w:before="11"/>
              <w:rPr>
                <w:b/>
              </w:rPr>
            </w:pPr>
          </w:p>
          <w:p w:rsidR="00C76E6D" w:rsidRDefault="00913831">
            <w:pPr>
              <w:pStyle w:val="TableParagraph"/>
              <w:ind w:left="462" w:right="435"/>
              <w:jc w:val="center"/>
              <w:rPr>
                <w:sz w:val="20"/>
              </w:rPr>
            </w:pPr>
            <w:r>
              <w:rPr>
                <w:spacing w:val="-4"/>
                <w:sz w:val="20"/>
              </w:rPr>
              <w:t>6.3%</w:t>
            </w:r>
          </w:p>
          <w:p w:rsidR="00C76E6D" w:rsidRDefault="00913831">
            <w:pPr>
              <w:pStyle w:val="TableParagraph"/>
              <w:spacing w:before="37"/>
              <w:ind w:left="462" w:right="435"/>
              <w:jc w:val="center"/>
              <w:rPr>
                <w:sz w:val="20"/>
              </w:rPr>
            </w:pPr>
            <w:r>
              <w:rPr>
                <w:spacing w:val="-4"/>
                <w:sz w:val="20"/>
              </w:rPr>
              <w:t>4.1%</w:t>
            </w:r>
          </w:p>
        </w:tc>
        <w:tc>
          <w:tcPr>
            <w:tcW w:w="1440" w:type="dxa"/>
          </w:tcPr>
          <w:p w:rsidR="00C76E6D" w:rsidRDefault="00C76E6D">
            <w:pPr>
              <w:pStyle w:val="TableParagraph"/>
              <w:spacing w:before="11"/>
              <w:rPr>
                <w:b/>
              </w:rPr>
            </w:pPr>
          </w:p>
          <w:p w:rsidR="00C76E6D" w:rsidRDefault="00913831">
            <w:pPr>
              <w:pStyle w:val="TableParagraph"/>
              <w:ind w:left="462" w:right="440"/>
              <w:jc w:val="center"/>
              <w:rPr>
                <w:sz w:val="20"/>
              </w:rPr>
            </w:pPr>
            <w:r>
              <w:rPr>
                <w:spacing w:val="-2"/>
                <w:sz w:val="20"/>
              </w:rPr>
              <w:t>24.0%</w:t>
            </w:r>
          </w:p>
          <w:p w:rsidR="00C76E6D" w:rsidRDefault="00913831">
            <w:pPr>
              <w:pStyle w:val="TableParagraph"/>
              <w:spacing w:before="37"/>
              <w:ind w:left="462" w:right="435"/>
              <w:jc w:val="center"/>
              <w:rPr>
                <w:sz w:val="20"/>
              </w:rPr>
            </w:pPr>
            <w:r>
              <w:rPr>
                <w:spacing w:val="-4"/>
                <w:sz w:val="20"/>
              </w:rPr>
              <w:t>6.3%</w:t>
            </w:r>
          </w:p>
        </w:tc>
        <w:tc>
          <w:tcPr>
            <w:tcW w:w="1075" w:type="dxa"/>
          </w:tcPr>
          <w:p w:rsidR="00C76E6D" w:rsidRDefault="00C76E6D">
            <w:pPr>
              <w:pStyle w:val="TableParagraph"/>
              <w:spacing w:before="11"/>
              <w:rPr>
                <w:b/>
              </w:rPr>
            </w:pPr>
          </w:p>
          <w:p w:rsidR="00C76E6D" w:rsidRDefault="00913831">
            <w:pPr>
              <w:pStyle w:val="TableParagraph"/>
              <w:ind w:left="293"/>
              <w:rPr>
                <w:sz w:val="20"/>
              </w:rPr>
            </w:pPr>
            <w:r>
              <w:rPr>
                <w:spacing w:val="-2"/>
                <w:sz w:val="20"/>
              </w:rPr>
              <w:t>10.8%</w:t>
            </w:r>
          </w:p>
          <w:p w:rsidR="00C76E6D" w:rsidRDefault="00913831">
            <w:pPr>
              <w:pStyle w:val="TableParagraph"/>
              <w:spacing w:before="37"/>
              <w:ind w:left="345"/>
              <w:rPr>
                <w:sz w:val="20"/>
              </w:rPr>
            </w:pPr>
            <w:r>
              <w:rPr>
                <w:spacing w:val="-4"/>
                <w:sz w:val="20"/>
              </w:rPr>
              <w:t>3.1%</w:t>
            </w:r>
          </w:p>
        </w:tc>
      </w:tr>
      <w:tr w:rsidR="00C76E6D">
        <w:trPr>
          <w:trHeight w:val="840"/>
        </w:trPr>
        <w:tc>
          <w:tcPr>
            <w:tcW w:w="3420" w:type="dxa"/>
          </w:tcPr>
          <w:p w:rsidR="00C76E6D" w:rsidRDefault="00913831">
            <w:pPr>
              <w:pStyle w:val="TableParagraph"/>
              <w:spacing w:before="3"/>
              <w:ind w:left="115"/>
              <w:rPr>
                <w:b/>
                <w:sz w:val="20"/>
              </w:rPr>
            </w:pPr>
            <w:r>
              <w:rPr>
                <w:b/>
                <w:sz w:val="20"/>
              </w:rPr>
              <w:t>Bullied</w:t>
            </w:r>
            <w:r>
              <w:rPr>
                <w:b/>
                <w:spacing w:val="-9"/>
                <w:sz w:val="20"/>
              </w:rPr>
              <w:t xml:space="preserve"> </w:t>
            </w:r>
            <w:r>
              <w:rPr>
                <w:b/>
                <w:sz w:val="20"/>
              </w:rPr>
              <w:t>at</w:t>
            </w:r>
            <w:r>
              <w:rPr>
                <w:b/>
                <w:spacing w:val="-7"/>
                <w:sz w:val="20"/>
              </w:rPr>
              <w:t xml:space="preserve"> </w:t>
            </w:r>
            <w:r>
              <w:rPr>
                <w:b/>
                <w:spacing w:val="-2"/>
                <w:sz w:val="20"/>
              </w:rPr>
              <w:t>school</w:t>
            </w:r>
          </w:p>
          <w:p w:rsidR="00C76E6D" w:rsidRDefault="00913831">
            <w:pPr>
              <w:pStyle w:val="TableParagraph"/>
              <w:spacing w:before="30"/>
              <w:ind w:left="250"/>
              <w:rPr>
                <w:sz w:val="20"/>
              </w:rPr>
            </w:pPr>
            <w:r>
              <w:rPr>
                <w:spacing w:val="-2"/>
                <w:sz w:val="20"/>
              </w:rPr>
              <w:t>LGBTQ**</w:t>
            </w:r>
          </w:p>
          <w:p w:rsidR="00C76E6D" w:rsidRDefault="00913831">
            <w:pPr>
              <w:pStyle w:val="TableParagraph"/>
              <w:spacing w:before="38"/>
              <w:ind w:left="251"/>
              <w:rPr>
                <w:sz w:val="20"/>
              </w:rPr>
            </w:pPr>
            <w:r>
              <w:rPr>
                <w:spacing w:val="-3"/>
                <w:sz w:val="20"/>
              </w:rPr>
              <w:t>Het-</w:t>
            </w:r>
            <w:r>
              <w:rPr>
                <w:spacing w:val="-2"/>
                <w:sz w:val="20"/>
              </w:rPr>
              <w:t>Cis***</w:t>
            </w:r>
          </w:p>
        </w:tc>
        <w:tc>
          <w:tcPr>
            <w:tcW w:w="990" w:type="dxa"/>
          </w:tcPr>
          <w:p w:rsidR="00C76E6D" w:rsidRDefault="00C76E6D">
            <w:pPr>
              <w:pStyle w:val="TableParagraph"/>
              <w:spacing w:before="10"/>
              <w:rPr>
                <w:b/>
              </w:rPr>
            </w:pPr>
          </w:p>
          <w:p w:rsidR="00C76E6D" w:rsidRDefault="00913831">
            <w:pPr>
              <w:pStyle w:val="TableParagraph"/>
              <w:ind w:left="251"/>
              <w:rPr>
                <w:sz w:val="20"/>
              </w:rPr>
            </w:pPr>
            <w:r>
              <w:rPr>
                <w:spacing w:val="-2"/>
                <w:sz w:val="20"/>
              </w:rPr>
              <w:t>36.4%</w:t>
            </w:r>
          </w:p>
          <w:p w:rsidR="00C76E6D" w:rsidRDefault="00913831">
            <w:pPr>
              <w:pStyle w:val="TableParagraph"/>
              <w:spacing w:before="36"/>
              <w:ind w:left="251"/>
              <w:rPr>
                <w:sz w:val="20"/>
              </w:rPr>
            </w:pPr>
            <w:r>
              <w:rPr>
                <w:spacing w:val="-2"/>
                <w:sz w:val="20"/>
              </w:rPr>
              <w:t>18.5%</w:t>
            </w:r>
          </w:p>
        </w:tc>
        <w:tc>
          <w:tcPr>
            <w:tcW w:w="1440" w:type="dxa"/>
          </w:tcPr>
          <w:p w:rsidR="00C76E6D" w:rsidRDefault="00C76E6D">
            <w:pPr>
              <w:pStyle w:val="TableParagraph"/>
              <w:spacing w:before="10"/>
              <w:rPr>
                <w:b/>
              </w:rPr>
            </w:pPr>
          </w:p>
          <w:p w:rsidR="00C76E6D" w:rsidRDefault="00913831">
            <w:pPr>
              <w:pStyle w:val="TableParagraph"/>
              <w:ind w:left="477"/>
              <w:rPr>
                <w:sz w:val="20"/>
              </w:rPr>
            </w:pPr>
            <w:r>
              <w:rPr>
                <w:spacing w:val="-2"/>
                <w:sz w:val="20"/>
              </w:rPr>
              <w:t>17.5%</w:t>
            </w:r>
          </w:p>
          <w:p w:rsidR="00C76E6D" w:rsidRDefault="00913831">
            <w:pPr>
              <w:pStyle w:val="TableParagraph"/>
              <w:spacing w:before="36"/>
              <w:ind w:left="477"/>
              <w:rPr>
                <w:sz w:val="20"/>
              </w:rPr>
            </w:pPr>
            <w:r>
              <w:rPr>
                <w:spacing w:val="-2"/>
                <w:sz w:val="20"/>
              </w:rPr>
              <w:t>14.3%</w:t>
            </w:r>
          </w:p>
        </w:tc>
        <w:tc>
          <w:tcPr>
            <w:tcW w:w="1440" w:type="dxa"/>
          </w:tcPr>
          <w:p w:rsidR="00C76E6D" w:rsidRDefault="00C76E6D">
            <w:pPr>
              <w:pStyle w:val="TableParagraph"/>
              <w:spacing w:before="10"/>
              <w:rPr>
                <w:b/>
              </w:rPr>
            </w:pPr>
          </w:p>
          <w:p w:rsidR="00C76E6D" w:rsidRDefault="00913831">
            <w:pPr>
              <w:pStyle w:val="TableParagraph"/>
              <w:ind w:left="477"/>
              <w:rPr>
                <w:sz w:val="20"/>
              </w:rPr>
            </w:pPr>
            <w:r>
              <w:rPr>
                <w:spacing w:val="-2"/>
                <w:sz w:val="20"/>
              </w:rPr>
              <w:t>38.1%</w:t>
            </w:r>
          </w:p>
          <w:p w:rsidR="00C76E6D" w:rsidRDefault="00913831">
            <w:pPr>
              <w:pStyle w:val="TableParagraph"/>
              <w:spacing w:before="36"/>
              <w:ind w:left="477"/>
              <w:rPr>
                <w:sz w:val="20"/>
              </w:rPr>
            </w:pPr>
            <w:r>
              <w:rPr>
                <w:spacing w:val="-2"/>
                <w:sz w:val="20"/>
              </w:rPr>
              <w:t>20.7%</w:t>
            </w:r>
          </w:p>
        </w:tc>
        <w:tc>
          <w:tcPr>
            <w:tcW w:w="1075" w:type="dxa"/>
          </w:tcPr>
          <w:p w:rsidR="00C76E6D" w:rsidRDefault="00C76E6D">
            <w:pPr>
              <w:pStyle w:val="TableParagraph"/>
              <w:spacing w:before="10"/>
              <w:rPr>
                <w:b/>
              </w:rPr>
            </w:pPr>
          </w:p>
          <w:p w:rsidR="00C76E6D" w:rsidRDefault="00913831">
            <w:pPr>
              <w:pStyle w:val="TableParagraph"/>
              <w:ind w:left="293"/>
              <w:rPr>
                <w:sz w:val="20"/>
              </w:rPr>
            </w:pPr>
            <w:r>
              <w:rPr>
                <w:spacing w:val="-2"/>
                <w:sz w:val="20"/>
              </w:rPr>
              <w:t>25.3%</w:t>
            </w:r>
          </w:p>
          <w:p w:rsidR="00C76E6D" w:rsidRDefault="00913831">
            <w:pPr>
              <w:pStyle w:val="TableParagraph"/>
              <w:spacing w:before="36"/>
              <w:ind w:left="293"/>
              <w:rPr>
                <w:sz w:val="20"/>
              </w:rPr>
            </w:pPr>
            <w:r>
              <w:rPr>
                <w:spacing w:val="-2"/>
                <w:sz w:val="20"/>
              </w:rPr>
              <w:t>12.1%</w:t>
            </w:r>
          </w:p>
        </w:tc>
      </w:tr>
      <w:tr w:rsidR="00C76E6D">
        <w:trPr>
          <w:trHeight w:val="841"/>
        </w:trPr>
        <w:tc>
          <w:tcPr>
            <w:tcW w:w="3420" w:type="dxa"/>
          </w:tcPr>
          <w:p w:rsidR="00C76E6D" w:rsidRDefault="00913831">
            <w:pPr>
              <w:pStyle w:val="TableParagraph"/>
              <w:spacing w:before="3"/>
              <w:ind w:left="115"/>
              <w:rPr>
                <w:b/>
                <w:sz w:val="20"/>
              </w:rPr>
            </w:pPr>
            <w:r>
              <w:rPr>
                <w:b/>
                <w:sz w:val="20"/>
              </w:rPr>
              <w:t>Bullied</w:t>
            </w:r>
            <w:r>
              <w:rPr>
                <w:b/>
                <w:spacing w:val="-11"/>
                <w:sz w:val="20"/>
              </w:rPr>
              <w:t xml:space="preserve"> </w:t>
            </w:r>
            <w:r>
              <w:rPr>
                <w:b/>
                <w:spacing w:val="-2"/>
                <w:sz w:val="20"/>
              </w:rPr>
              <w:t>electronically</w:t>
            </w:r>
          </w:p>
          <w:p w:rsidR="00C76E6D" w:rsidRDefault="00913831">
            <w:pPr>
              <w:pStyle w:val="TableParagraph"/>
              <w:spacing w:before="31"/>
              <w:ind w:left="250"/>
              <w:rPr>
                <w:sz w:val="20"/>
              </w:rPr>
            </w:pPr>
            <w:r>
              <w:rPr>
                <w:spacing w:val="-2"/>
                <w:sz w:val="20"/>
              </w:rPr>
              <w:t>LGBTQ**</w:t>
            </w:r>
          </w:p>
          <w:p w:rsidR="00C76E6D" w:rsidRDefault="00913831">
            <w:pPr>
              <w:pStyle w:val="TableParagraph"/>
              <w:spacing w:before="37"/>
              <w:ind w:left="251"/>
              <w:rPr>
                <w:sz w:val="20"/>
              </w:rPr>
            </w:pPr>
            <w:r>
              <w:rPr>
                <w:spacing w:val="-3"/>
                <w:sz w:val="20"/>
              </w:rPr>
              <w:t>Het-</w:t>
            </w:r>
            <w:r>
              <w:rPr>
                <w:spacing w:val="-2"/>
                <w:sz w:val="20"/>
              </w:rPr>
              <w:t>Cis**</w:t>
            </w:r>
          </w:p>
        </w:tc>
        <w:tc>
          <w:tcPr>
            <w:tcW w:w="990" w:type="dxa"/>
          </w:tcPr>
          <w:p w:rsidR="00C76E6D" w:rsidRDefault="00C76E6D">
            <w:pPr>
              <w:pStyle w:val="TableParagraph"/>
              <w:spacing w:before="10"/>
              <w:rPr>
                <w:b/>
              </w:rPr>
            </w:pPr>
          </w:p>
          <w:p w:rsidR="00C76E6D" w:rsidRDefault="00913831">
            <w:pPr>
              <w:pStyle w:val="TableParagraph"/>
              <w:ind w:left="251"/>
              <w:rPr>
                <w:sz w:val="20"/>
              </w:rPr>
            </w:pPr>
            <w:r>
              <w:rPr>
                <w:spacing w:val="-2"/>
                <w:sz w:val="20"/>
              </w:rPr>
              <w:t>28.4%</w:t>
            </w:r>
          </w:p>
          <w:p w:rsidR="00C76E6D" w:rsidRDefault="00913831">
            <w:pPr>
              <w:pStyle w:val="TableParagraph"/>
              <w:spacing w:before="36"/>
              <w:ind w:left="251"/>
              <w:rPr>
                <w:sz w:val="20"/>
              </w:rPr>
            </w:pPr>
            <w:r>
              <w:rPr>
                <w:spacing w:val="-2"/>
                <w:sz w:val="20"/>
              </w:rPr>
              <w:t>13.9%</w:t>
            </w:r>
          </w:p>
        </w:tc>
        <w:tc>
          <w:tcPr>
            <w:tcW w:w="1440" w:type="dxa"/>
          </w:tcPr>
          <w:p w:rsidR="00C76E6D" w:rsidRDefault="00C76E6D">
            <w:pPr>
              <w:pStyle w:val="TableParagraph"/>
              <w:spacing w:before="10"/>
              <w:rPr>
                <w:b/>
              </w:rPr>
            </w:pPr>
          </w:p>
          <w:p w:rsidR="00C76E6D" w:rsidRDefault="00913831">
            <w:pPr>
              <w:pStyle w:val="TableParagraph"/>
              <w:ind w:left="462" w:right="440"/>
              <w:jc w:val="center"/>
              <w:rPr>
                <w:sz w:val="20"/>
              </w:rPr>
            </w:pPr>
            <w:r>
              <w:rPr>
                <w:spacing w:val="-2"/>
                <w:sz w:val="20"/>
              </w:rPr>
              <w:t>20.3%</w:t>
            </w:r>
          </w:p>
          <w:p w:rsidR="00C76E6D" w:rsidRDefault="00913831">
            <w:pPr>
              <w:pStyle w:val="TableParagraph"/>
              <w:spacing w:before="36"/>
              <w:ind w:left="462" w:right="435"/>
              <w:jc w:val="center"/>
              <w:rPr>
                <w:sz w:val="20"/>
              </w:rPr>
            </w:pPr>
            <w:r>
              <w:rPr>
                <w:spacing w:val="-4"/>
                <w:sz w:val="20"/>
              </w:rPr>
              <w:t>9.7%</w:t>
            </w:r>
          </w:p>
        </w:tc>
        <w:tc>
          <w:tcPr>
            <w:tcW w:w="1440" w:type="dxa"/>
          </w:tcPr>
          <w:p w:rsidR="00C76E6D" w:rsidRDefault="00C76E6D">
            <w:pPr>
              <w:pStyle w:val="TableParagraph"/>
              <w:spacing w:before="10"/>
              <w:rPr>
                <w:b/>
              </w:rPr>
            </w:pPr>
          </w:p>
          <w:p w:rsidR="00C76E6D" w:rsidRDefault="00913831">
            <w:pPr>
              <w:pStyle w:val="TableParagraph"/>
              <w:ind w:left="477"/>
              <w:rPr>
                <w:sz w:val="20"/>
              </w:rPr>
            </w:pPr>
            <w:r>
              <w:rPr>
                <w:spacing w:val="-2"/>
                <w:sz w:val="20"/>
              </w:rPr>
              <w:t>34.0%</w:t>
            </w:r>
          </w:p>
          <w:p w:rsidR="00C76E6D" w:rsidRDefault="00913831">
            <w:pPr>
              <w:pStyle w:val="TableParagraph"/>
              <w:spacing w:before="36"/>
              <w:ind w:left="477"/>
              <w:rPr>
                <w:sz w:val="20"/>
              </w:rPr>
            </w:pPr>
            <w:r>
              <w:rPr>
                <w:spacing w:val="-2"/>
                <w:sz w:val="20"/>
              </w:rPr>
              <w:t>17.0%</w:t>
            </w:r>
          </w:p>
        </w:tc>
        <w:tc>
          <w:tcPr>
            <w:tcW w:w="1075" w:type="dxa"/>
          </w:tcPr>
          <w:p w:rsidR="00C76E6D" w:rsidRDefault="00C76E6D">
            <w:pPr>
              <w:pStyle w:val="TableParagraph"/>
              <w:spacing w:before="10"/>
              <w:rPr>
                <w:b/>
              </w:rPr>
            </w:pPr>
          </w:p>
          <w:p w:rsidR="00C76E6D" w:rsidRDefault="00913831">
            <w:pPr>
              <w:pStyle w:val="TableParagraph"/>
              <w:ind w:left="293"/>
              <w:rPr>
                <w:sz w:val="20"/>
              </w:rPr>
            </w:pPr>
            <w:r>
              <w:rPr>
                <w:spacing w:val="-2"/>
                <w:sz w:val="20"/>
              </w:rPr>
              <w:t>18.6%</w:t>
            </w:r>
          </w:p>
          <w:p w:rsidR="00C76E6D" w:rsidRDefault="00913831">
            <w:pPr>
              <w:pStyle w:val="TableParagraph"/>
              <w:spacing w:before="36"/>
              <w:ind w:left="293"/>
              <w:rPr>
                <w:sz w:val="20"/>
              </w:rPr>
            </w:pPr>
            <w:r>
              <w:rPr>
                <w:spacing w:val="-2"/>
                <w:sz w:val="20"/>
              </w:rPr>
              <w:t>11.6%</w:t>
            </w:r>
          </w:p>
        </w:tc>
      </w:tr>
      <w:tr w:rsidR="00C76E6D">
        <w:trPr>
          <w:trHeight w:val="842"/>
        </w:trPr>
        <w:tc>
          <w:tcPr>
            <w:tcW w:w="3420" w:type="dxa"/>
          </w:tcPr>
          <w:p w:rsidR="00C76E6D" w:rsidRDefault="00913831">
            <w:pPr>
              <w:pStyle w:val="TableParagraph"/>
              <w:spacing w:before="3"/>
              <w:ind w:right="2364"/>
              <w:jc w:val="right"/>
              <w:rPr>
                <w:b/>
                <w:sz w:val="20"/>
              </w:rPr>
            </w:pPr>
            <w:r>
              <w:rPr>
                <w:b/>
                <w:sz w:val="20"/>
              </w:rPr>
              <w:t>Binge</w:t>
            </w:r>
            <w:r>
              <w:rPr>
                <w:b/>
                <w:spacing w:val="-5"/>
                <w:sz w:val="20"/>
              </w:rPr>
              <w:t xml:space="preserve"> </w:t>
            </w:r>
            <w:r>
              <w:rPr>
                <w:b/>
                <w:spacing w:val="-2"/>
                <w:sz w:val="20"/>
              </w:rPr>
              <w:t>drink</w:t>
            </w:r>
          </w:p>
          <w:p w:rsidR="00C76E6D" w:rsidRDefault="00913831">
            <w:pPr>
              <w:pStyle w:val="TableParagraph"/>
              <w:spacing w:before="31"/>
              <w:ind w:left="250"/>
              <w:rPr>
                <w:sz w:val="20"/>
              </w:rPr>
            </w:pPr>
            <w:r>
              <w:rPr>
                <w:spacing w:val="-2"/>
                <w:sz w:val="20"/>
              </w:rPr>
              <w:t>LGBTQ</w:t>
            </w:r>
          </w:p>
          <w:p w:rsidR="00C76E6D" w:rsidRDefault="00913831">
            <w:pPr>
              <w:pStyle w:val="TableParagraph"/>
              <w:spacing w:before="37"/>
              <w:ind w:right="2390"/>
              <w:jc w:val="right"/>
              <w:rPr>
                <w:sz w:val="20"/>
              </w:rPr>
            </w:pPr>
            <w:r>
              <w:rPr>
                <w:spacing w:val="-3"/>
                <w:sz w:val="20"/>
              </w:rPr>
              <w:t>Het-</w:t>
            </w:r>
            <w:r>
              <w:rPr>
                <w:spacing w:val="-2"/>
                <w:sz w:val="20"/>
              </w:rPr>
              <w:t>Cis**</w:t>
            </w:r>
          </w:p>
        </w:tc>
        <w:tc>
          <w:tcPr>
            <w:tcW w:w="990" w:type="dxa"/>
          </w:tcPr>
          <w:p w:rsidR="00C76E6D" w:rsidRDefault="00C76E6D">
            <w:pPr>
              <w:pStyle w:val="TableParagraph"/>
              <w:spacing w:before="10"/>
              <w:rPr>
                <w:b/>
              </w:rPr>
            </w:pPr>
          </w:p>
          <w:p w:rsidR="00C76E6D" w:rsidRDefault="00913831">
            <w:pPr>
              <w:pStyle w:val="TableParagraph"/>
              <w:ind w:left="251"/>
              <w:rPr>
                <w:sz w:val="20"/>
              </w:rPr>
            </w:pPr>
            <w:r>
              <w:rPr>
                <w:spacing w:val="-2"/>
                <w:sz w:val="20"/>
              </w:rPr>
              <w:t>19.8%</w:t>
            </w:r>
          </w:p>
          <w:p w:rsidR="00C76E6D" w:rsidRDefault="00913831">
            <w:pPr>
              <w:pStyle w:val="TableParagraph"/>
              <w:spacing w:before="36"/>
              <w:ind w:left="251"/>
              <w:rPr>
                <w:sz w:val="20"/>
              </w:rPr>
            </w:pPr>
            <w:r>
              <w:rPr>
                <w:spacing w:val="-2"/>
                <w:sz w:val="20"/>
              </w:rPr>
              <w:t>12.5%</w:t>
            </w:r>
          </w:p>
        </w:tc>
        <w:tc>
          <w:tcPr>
            <w:tcW w:w="1440" w:type="dxa"/>
          </w:tcPr>
          <w:p w:rsidR="00C76E6D" w:rsidRDefault="00C76E6D">
            <w:pPr>
              <w:pStyle w:val="TableParagraph"/>
              <w:spacing w:before="10"/>
              <w:rPr>
                <w:b/>
              </w:rPr>
            </w:pPr>
          </w:p>
          <w:p w:rsidR="00C76E6D" w:rsidRDefault="00913831">
            <w:pPr>
              <w:pStyle w:val="TableParagraph"/>
              <w:ind w:left="462" w:right="435"/>
              <w:jc w:val="center"/>
              <w:rPr>
                <w:sz w:val="20"/>
              </w:rPr>
            </w:pPr>
            <w:r>
              <w:rPr>
                <w:spacing w:val="-4"/>
                <w:sz w:val="20"/>
              </w:rPr>
              <w:t>8.9%</w:t>
            </w:r>
          </w:p>
          <w:p w:rsidR="00C76E6D" w:rsidRDefault="00913831">
            <w:pPr>
              <w:pStyle w:val="TableParagraph"/>
              <w:spacing w:before="36"/>
              <w:ind w:left="462" w:right="440"/>
              <w:jc w:val="center"/>
              <w:rPr>
                <w:sz w:val="20"/>
              </w:rPr>
            </w:pPr>
            <w:r>
              <w:rPr>
                <w:spacing w:val="-2"/>
                <w:sz w:val="20"/>
              </w:rPr>
              <w:t>11.1%</w:t>
            </w:r>
          </w:p>
        </w:tc>
        <w:tc>
          <w:tcPr>
            <w:tcW w:w="1440" w:type="dxa"/>
          </w:tcPr>
          <w:p w:rsidR="00C76E6D" w:rsidRDefault="00C76E6D">
            <w:pPr>
              <w:pStyle w:val="TableParagraph"/>
              <w:spacing w:before="10"/>
              <w:rPr>
                <w:b/>
              </w:rPr>
            </w:pPr>
          </w:p>
          <w:p w:rsidR="00C76E6D" w:rsidRDefault="00913831">
            <w:pPr>
              <w:pStyle w:val="TableParagraph"/>
              <w:ind w:left="477"/>
              <w:rPr>
                <w:sz w:val="20"/>
              </w:rPr>
            </w:pPr>
            <w:r>
              <w:rPr>
                <w:spacing w:val="-2"/>
                <w:sz w:val="20"/>
              </w:rPr>
              <w:t>10.5%</w:t>
            </w:r>
          </w:p>
          <w:p w:rsidR="00C76E6D" w:rsidRDefault="00913831">
            <w:pPr>
              <w:pStyle w:val="TableParagraph"/>
              <w:spacing w:before="36"/>
              <w:ind w:left="477"/>
              <w:rPr>
                <w:sz w:val="20"/>
              </w:rPr>
            </w:pPr>
            <w:r>
              <w:rPr>
                <w:spacing w:val="-2"/>
                <w:sz w:val="20"/>
              </w:rPr>
              <w:t>20.6%</w:t>
            </w:r>
          </w:p>
        </w:tc>
        <w:tc>
          <w:tcPr>
            <w:tcW w:w="1075" w:type="dxa"/>
          </w:tcPr>
          <w:p w:rsidR="00C76E6D" w:rsidRDefault="00C76E6D">
            <w:pPr>
              <w:pStyle w:val="TableParagraph"/>
              <w:spacing w:before="10"/>
              <w:rPr>
                <w:b/>
              </w:rPr>
            </w:pPr>
          </w:p>
          <w:p w:rsidR="00C76E6D" w:rsidRDefault="00913831">
            <w:pPr>
              <w:pStyle w:val="TableParagraph"/>
              <w:ind w:left="293"/>
              <w:rPr>
                <w:sz w:val="20"/>
              </w:rPr>
            </w:pPr>
            <w:r>
              <w:rPr>
                <w:spacing w:val="-2"/>
                <w:sz w:val="20"/>
              </w:rPr>
              <w:t>11.1%</w:t>
            </w:r>
          </w:p>
          <w:p w:rsidR="00C76E6D" w:rsidRDefault="00913831">
            <w:pPr>
              <w:pStyle w:val="TableParagraph"/>
              <w:spacing w:before="36"/>
              <w:ind w:left="293"/>
              <w:rPr>
                <w:sz w:val="20"/>
              </w:rPr>
            </w:pPr>
            <w:r>
              <w:rPr>
                <w:spacing w:val="-2"/>
                <w:sz w:val="20"/>
              </w:rPr>
              <w:t>13.0%</w:t>
            </w:r>
          </w:p>
        </w:tc>
      </w:tr>
      <w:tr w:rsidR="00C76E6D">
        <w:trPr>
          <w:trHeight w:val="843"/>
        </w:trPr>
        <w:tc>
          <w:tcPr>
            <w:tcW w:w="3420" w:type="dxa"/>
          </w:tcPr>
          <w:p w:rsidR="00C76E6D" w:rsidRDefault="00913831">
            <w:pPr>
              <w:pStyle w:val="TableParagraph"/>
              <w:spacing w:line="243" w:lineRule="exact"/>
              <w:ind w:left="115"/>
              <w:rPr>
                <w:b/>
                <w:sz w:val="20"/>
              </w:rPr>
            </w:pPr>
            <w:r>
              <w:rPr>
                <w:b/>
                <w:spacing w:val="-2"/>
                <w:sz w:val="20"/>
              </w:rPr>
              <w:t>Vaping</w:t>
            </w:r>
          </w:p>
          <w:p w:rsidR="00C76E6D" w:rsidRDefault="00913831">
            <w:pPr>
              <w:pStyle w:val="TableParagraph"/>
              <w:spacing w:before="36"/>
              <w:ind w:left="250"/>
              <w:rPr>
                <w:sz w:val="20"/>
              </w:rPr>
            </w:pPr>
            <w:r>
              <w:rPr>
                <w:spacing w:val="-2"/>
                <w:sz w:val="20"/>
              </w:rPr>
              <w:t>LGBTQ</w:t>
            </w:r>
          </w:p>
          <w:p w:rsidR="00C76E6D" w:rsidRDefault="00913831">
            <w:pPr>
              <w:pStyle w:val="TableParagraph"/>
              <w:spacing w:before="37"/>
              <w:ind w:left="251"/>
              <w:rPr>
                <w:sz w:val="20"/>
              </w:rPr>
            </w:pPr>
            <w:r>
              <w:rPr>
                <w:spacing w:val="-3"/>
                <w:sz w:val="20"/>
              </w:rPr>
              <w:t>Het-</w:t>
            </w:r>
            <w:r>
              <w:rPr>
                <w:spacing w:val="-2"/>
                <w:sz w:val="20"/>
              </w:rPr>
              <w:t>Cis**</w:t>
            </w:r>
          </w:p>
        </w:tc>
        <w:tc>
          <w:tcPr>
            <w:tcW w:w="990" w:type="dxa"/>
          </w:tcPr>
          <w:p w:rsidR="00C76E6D" w:rsidRDefault="00C76E6D">
            <w:pPr>
              <w:pStyle w:val="TableParagraph"/>
              <w:spacing w:before="11"/>
              <w:rPr>
                <w:b/>
              </w:rPr>
            </w:pPr>
          </w:p>
          <w:p w:rsidR="00C76E6D" w:rsidRDefault="00913831">
            <w:pPr>
              <w:pStyle w:val="TableParagraph"/>
              <w:ind w:left="251"/>
              <w:rPr>
                <w:sz w:val="20"/>
              </w:rPr>
            </w:pPr>
            <w:r>
              <w:rPr>
                <w:spacing w:val="-2"/>
                <w:sz w:val="20"/>
              </w:rPr>
              <w:t>28.2%</w:t>
            </w:r>
          </w:p>
          <w:p w:rsidR="00C76E6D" w:rsidRDefault="00913831">
            <w:pPr>
              <w:pStyle w:val="TableParagraph"/>
              <w:spacing w:before="37"/>
              <w:ind w:left="251"/>
              <w:rPr>
                <w:sz w:val="20"/>
              </w:rPr>
            </w:pPr>
            <w:r>
              <w:rPr>
                <w:spacing w:val="-2"/>
                <w:sz w:val="20"/>
              </w:rPr>
              <w:t>22.8%</w:t>
            </w:r>
          </w:p>
        </w:tc>
        <w:tc>
          <w:tcPr>
            <w:tcW w:w="1440" w:type="dxa"/>
          </w:tcPr>
          <w:p w:rsidR="00C76E6D" w:rsidRDefault="00C76E6D">
            <w:pPr>
              <w:pStyle w:val="TableParagraph"/>
              <w:spacing w:before="11"/>
              <w:rPr>
                <w:b/>
              </w:rPr>
            </w:pPr>
          </w:p>
          <w:p w:rsidR="00C76E6D" w:rsidRDefault="00913831">
            <w:pPr>
              <w:pStyle w:val="TableParagraph"/>
              <w:ind w:left="477"/>
              <w:rPr>
                <w:sz w:val="20"/>
              </w:rPr>
            </w:pPr>
            <w:r>
              <w:rPr>
                <w:spacing w:val="-2"/>
                <w:sz w:val="20"/>
              </w:rPr>
              <w:t>16.9%</w:t>
            </w:r>
          </w:p>
          <w:p w:rsidR="00C76E6D" w:rsidRDefault="00913831">
            <w:pPr>
              <w:pStyle w:val="TableParagraph"/>
              <w:spacing w:before="37"/>
              <w:ind w:left="477"/>
              <w:rPr>
                <w:sz w:val="20"/>
              </w:rPr>
            </w:pPr>
            <w:r>
              <w:rPr>
                <w:spacing w:val="-2"/>
                <w:sz w:val="20"/>
              </w:rPr>
              <w:t>21.2%</w:t>
            </w:r>
          </w:p>
        </w:tc>
        <w:tc>
          <w:tcPr>
            <w:tcW w:w="1440" w:type="dxa"/>
          </w:tcPr>
          <w:p w:rsidR="00C76E6D" w:rsidRDefault="00C76E6D">
            <w:pPr>
              <w:pStyle w:val="TableParagraph"/>
              <w:spacing w:before="11"/>
              <w:rPr>
                <w:b/>
              </w:rPr>
            </w:pPr>
          </w:p>
          <w:p w:rsidR="00C76E6D" w:rsidRDefault="00913831">
            <w:pPr>
              <w:pStyle w:val="TableParagraph"/>
              <w:ind w:left="477"/>
              <w:rPr>
                <w:sz w:val="20"/>
              </w:rPr>
            </w:pPr>
            <w:r>
              <w:rPr>
                <w:spacing w:val="-2"/>
                <w:sz w:val="20"/>
              </w:rPr>
              <w:t>26.8%</w:t>
            </w:r>
          </w:p>
          <w:p w:rsidR="00C76E6D" w:rsidRDefault="00913831">
            <w:pPr>
              <w:pStyle w:val="TableParagraph"/>
              <w:spacing w:before="37"/>
              <w:ind w:left="477"/>
              <w:rPr>
                <w:sz w:val="20"/>
              </w:rPr>
            </w:pPr>
            <w:r>
              <w:rPr>
                <w:spacing w:val="-2"/>
                <w:sz w:val="20"/>
              </w:rPr>
              <w:t>30.6%</w:t>
            </w:r>
          </w:p>
        </w:tc>
        <w:tc>
          <w:tcPr>
            <w:tcW w:w="1075" w:type="dxa"/>
          </w:tcPr>
          <w:p w:rsidR="00C76E6D" w:rsidRDefault="00C76E6D">
            <w:pPr>
              <w:pStyle w:val="TableParagraph"/>
              <w:spacing w:before="11"/>
              <w:rPr>
                <w:b/>
              </w:rPr>
            </w:pPr>
          </w:p>
          <w:p w:rsidR="00C76E6D" w:rsidRDefault="00913831">
            <w:pPr>
              <w:pStyle w:val="TableParagraph"/>
              <w:ind w:left="293"/>
              <w:rPr>
                <w:sz w:val="20"/>
              </w:rPr>
            </w:pPr>
            <w:r>
              <w:rPr>
                <w:spacing w:val="-2"/>
                <w:sz w:val="20"/>
              </w:rPr>
              <w:t>23.3%</w:t>
            </w:r>
          </w:p>
          <w:p w:rsidR="00C76E6D" w:rsidRDefault="00913831">
            <w:pPr>
              <w:pStyle w:val="TableParagraph"/>
              <w:spacing w:before="37"/>
              <w:ind w:left="293"/>
              <w:rPr>
                <w:sz w:val="20"/>
              </w:rPr>
            </w:pPr>
            <w:r>
              <w:rPr>
                <w:spacing w:val="-2"/>
                <w:sz w:val="20"/>
              </w:rPr>
              <w:t>21.5%</w:t>
            </w:r>
          </w:p>
        </w:tc>
      </w:tr>
      <w:tr w:rsidR="00C76E6D">
        <w:trPr>
          <w:trHeight w:val="840"/>
        </w:trPr>
        <w:tc>
          <w:tcPr>
            <w:tcW w:w="3420" w:type="dxa"/>
          </w:tcPr>
          <w:p w:rsidR="00C76E6D" w:rsidRDefault="00913831">
            <w:pPr>
              <w:pStyle w:val="TableParagraph"/>
              <w:spacing w:before="3"/>
              <w:ind w:left="115"/>
              <w:rPr>
                <w:b/>
                <w:sz w:val="20"/>
              </w:rPr>
            </w:pPr>
            <w:r>
              <w:rPr>
                <w:b/>
                <w:sz w:val="20"/>
              </w:rPr>
              <w:t>Used</w:t>
            </w:r>
            <w:r>
              <w:rPr>
                <w:b/>
                <w:spacing w:val="-6"/>
                <w:sz w:val="20"/>
              </w:rPr>
              <w:t xml:space="preserve"> </w:t>
            </w:r>
            <w:r>
              <w:rPr>
                <w:b/>
                <w:sz w:val="20"/>
              </w:rPr>
              <w:t>alcohol</w:t>
            </w:r>
            <w:r>
              <w:rPr>
                <w:b/>
                <w:spacing w:val="-6"/>
                <w:sz w:val="20"/>
              </w:rPr>
              <w:t xml:space="preserve"> </w:t>
            </w:r>
            <w:r>
              <w:rPr>
                <w:b/>
                <w:sz w:val="20"/>
              </w:rPr>
              <w:t>or</w:t>
            </w:r>
            <w:r>
              <w:rPr>
                <w:b/>
                <w:spacing w:val="-7"/>
                <w:sz w:val="20"/>
              </w:rPr>
              <w:t xml:space="preserve"> </w:t>
            </w:r>
            <w:r>
              <w:rPr>
                <w:b/>
                <w:sz w:val="20"/>
              </w:rPr>
              <w:t>drugs</w:t>
            </w:r>
            <w:r>
              <w:rPr>
                <w:b/>
                <w:spacing w:val="-6"/>
                <w:sz w:val="20"/>
              </w:rPr>
              <w:t xml:space="preserve"> </w:t>
            </w:r>
            <w:r>
              <w:rPr>
                <w:b/>
                <w:sz w:val="20"/>
              </w:rPr>
              <w:t>before</w:t>
            </w:r>
            <w:r>
              <w:rPr>
                <w:b/>
                <w:spacing w:val="-7"/>
                <w:sz w:val="20"/>
              </w:rPr>
              <w:t xml:space="preserve"> </w:t>
            </w:r>
            <w:r>
              <w:rPr>
                <w:b/>
                <w:spacing w:val="-5"/>
                <w:sz w:val="20"/>
              </w:rPr>
              <w:t>sex</w:t>
            </w:r>
          </w:p>
          <w:p w:rsidR="00C76E6D" w:rsidRDefault="00913831">
            <w:pPr>
              <w:pStyle w:val="TableParagraph"/>
              <w:spacing w:before="30"/>
              <w:ind w:left="250"/>
              <w:rPr>
                <w:sz w:val="20"/>
              </w:rPr>
            </w:pPr>
            <w:r>
              <w:rPr>
                <w:spacing w:val="-2"/>
                <w:sz w:val="20"/>
              </w:rPr>
              <w:t>LGBTQ</w:t>
            </w:r>
          </w:p>
          <w:p w:rsidR="00C76E6D" w:rsidRDefault="00913831">
            <w:pPr>
              <w:pStyle w:val="TableParagraph"/>
              <w:spacing w:before="38"/>
              <w:ind w:left="251"/>
              <w:rPr>
                <w:sz w:val="20"/>
              </w:rPr>
            </w:pPr>
            <w:r>
              <w:rPr>
                <w:spacing w:val="-3"/>
                <w:sz w:val="20"/>
              </w:rPr>
              <w:t>Het-</w:t>
            </w:r>
            <w:r>
              <w:rPr>
                <w:spacing w:val="-2"/>
                <w:sz w:val="20"/>
              </w:rPr>
              <w:t>Cis**</w:t>
            </w:r>
          </w:p>
        </w:tc>
        <w:tc>
          <w:tcPr>
            <w:tcW w:w="990" w:type="dxa"/>
          </w:tcPr>
          <w:p w:rsidR="00C76E6D" w:rsidRDefault="00C76E6D">
            <w:pPr>
              <w:pStyle w:val="TableParagraph"/>
              <w:spacing w:before="10"/>
              <w:rPr>
                <w:b/>
              </w:rPr>
            </w:pPr>
          </w:p>
          <w:p w:rsidR="00C76E6D" w:rsidRDefault="00913831">
            <w:pPr>
              <w:pStyle w:val="TableParagraph"/>
              <w:ind w:left="251"/>
              <w:rPr>
                <w:sz w:val="20"/>
              </w:rPr>
            </w:pPr>
            <w:r>
              <w:rPr>
                <w:spacing w:val="-2"/>
                <w:sz w:val="20"/>
              </w:rPr>
              <w:t>28.6%</w:t>
            </w:r>
          </w:p>
          <w:p w:rsidR="00C76E6D" w:rsidRDefault="00913831">
            <w:pPr>
              <w:pStyle w:val="TableParagraph"/>
              <w:spacing w:before="36"/>
              <w:ind w:left="251"/>
              <w:rPr>
                <w:sz w:val="20"/>
              </w:rPr>
            </w:pPr>
            <w:r>
              <w:rPr>
                <w:spacing w:val="-2"/>
                <w:sz w:val="20"/>
              </w:rPr>
              <w:t>24.7%</w:t>
            </w:r>
          </w:p>
        </w:tc>
        <w:tc>
          <w:tcPr>
            <w:tcW w:w="1440" w:type="dxa"/>
          </w:tcPr>
          <w:p w:rsidR="00C76E6D" w:rsidRDefault="00C76E6D">
            <w:pPr>
              <w:pStyle w:val="TableParagraph"/>
              <w:spacing w:before="10"/>
              <w:rPr>
                <w:b/>
              </w:rPr>
            </w:pPr>
          </w:p>
          <w:p w:rsidR="00C76E6D" w:rsidRDefault="00913831">
            <w:pPr>
              <w:pStyle w:val="TableParagraph"/>
              <w:ind w:left="477"/>
              <w:rPr>
                <w:sz w:val="20"/>
              </w:rPr>
            </w:pPr>
            <w:r>
              <w:rPr>
                <w:spacing w:val="-2"/>
                <w:sz w:val="20"/>
              </w:rPr>
              <w:t>20.0%</w:t>
            </w:r>
          </w:p>
          <w:p w:rsidR="00C76E6D" w:rsidRDefault="00913831">
            <w:pPr>
              <w:pStyle w:val="TableParagraph"/>
              <w:spacing w:before="36"/>
              <w:ind w:left="477"/>
              <w:rPr>
                <w:sz w:val="20"/>
              </w:rPr>
            </w:pPr>
            <w:r>
              <w:rPr>
                <w:spacing w:val="-2"/>
                <w:sz w:val="20"/>
              </w:rPr>
              <w:t>20.9%</w:t>
            </w:r>
          </w:p>
        </w:tc>
        <w:tc>
          <w:tcPr>
            <w:tcW w:w="1440" w:type="dxa"/>
          </w:tcPr>
          <w:p w:rsidR="00C76E6D" w:rsidRDefault="00C76E6D">
            <w:pPr>
              <w:pStyle w:val="TableParagraph"/>
              <w:spacing w:before="10"/>
              <w:rPr>
                <w:b/>
              </w:rPr>
            </w:pPr>
          </w:p>
          <w:p w:rsidR="00C76E6D" w:rsidRDefault="00913831">
            <w:pPr>
              <w:pStyle w:val="TableParagraph"/>
              <w:ind w:left="477"/>
              <w:rPr>
                <w:sz w:val="20"/>
              </w:rPr>
            </w:pPr>
            <w:r>
              <w:rPr>
                <w:spacing w:val="-2"/>
                <w:sz w:val="20"/>
              </w:rPr>
              <w:t>17.4%</w:t>
            </w:r>
          </w:p>
          <w:p w:rsidR="00C76E6D" w:rsidRDefault="00913831">
            <w:pPr>
              <w:pStyle w:val="TableParagraph"/>
              <w:spacing w:before="36"/>
              <w:ind w:left="477"/>
              <w:rPr>
                <w:sz w:val="20"/>
              </w:rPr>
            </w:pPr>
            <w:r>
              <w:rPr>
                <w:spacing w:val="-2"/>
                <w:sz w:val="20"/>
              </w:rPr>
              <w:t>31.4%</w:t>
            </w:r>
          </w:p>
        </w:tc>
        <w:tc>
          <w:tcPr>
            <w:tcW w:w="1075" w:type="dxa"/>
          </w:tcPr>
          <w:p w:rsidR="00C76E6D" w:rsidRDefault="00C76E6D">
            <w:pPr>
              <w:pStyle w:val="TableParagraph"/>
              <w:spacing w:before="10"/>
              <w:rPr>
                <w:b/>
              </w:rPr>
            </w:pPr>
          </w:p>
          <w:p w:rsidR="00C76E6D" w:rsidRDefault="00913831">
            <w:pPr>
              <w:pStyle w:val="TableParagraph"/>
              <w:ind w:left="293"/>
              <w:rPr>
                <w:sz w:val="20"/>
              </w:rPr>
            </w:pPr>
            <w:r>
              <w:rPr>
                <w:spacing w:val="-2"/>
                <w:sz w:val="20"/>
              </w:rPr>
              <w:t>20.2%</w:t>
            </w:r>
          </w:p>
          <w:p w:rsidR="00C76E6D" w:rsidRDefault="00913831">
            <w:pPr>
              <w:pStyle w:val="TableParagraph"/>
              <w:spacing w:before="36"/>
              <w:ind w:left="293"/>
              <w:rPr>
                <w:sz w:val="20"/>
              </w:rPr>
            </w:pPr>
            <w:r>
              <w:rPr>
                <w:spacing w:val="-2"/>
                <w:sz w:val="20"/>
              </w:rPr>
              <w:t>16.9%</w:t>
            </w:r>
          </w:p>
        </w:tc>
      </w:tr>
      <w:tr w:rsidR="00C76E6D">
        <w:trPr>
          <w:trHeight w:val="842"/>
        </w:trPr>
        <w:tc>
          <w:tcPr>
            <w:tcW w:w="3420" w:type="dxa"/>
          </w:tcPr>
          <w:p w:rsidR="00C76E6D" w:rsidRDefault="00913831">
            <w:pPr>
              <w:pStyle w:val="TableParagraph"/>
              <w:spacing w:before="3"/>
              <w:ind w:left="115"/>
              <w:rPr>
                <w:b/>
                <w:sz w:val="20"/>
              </w:rPr>
            </w:pPr>
            <w:r>
              <w:rPr>
                <w:b/>
                <w:spacing w:val="-2"/>
                <w:sz w:val="20"/>
              </w:rPr>
              <w:t>Considered</w:t>
            </w:r>
            <w:r>
              <w:rPr>
                <w:b/>
                <w:spacing w:val="8"/>
                <w:sz w:val="20"/>
              </w:rPr>
              <w:t xml:space="preserve"> </w:t>
            </w:r>
            <w:r>
              <w:rPr>
                <w:b/>
                <w:spacing w:val="-2"/>
                <w:sz w:val="20"/>
              </w:rPr>
              <w:t>suicide</w:t>
            </w:r>
          </w:p>
          <w:p w:rsidR="00C76E6D" w:rsidRDefault="00913831">
            <w:pPr>
              <w:pStyle w:val="TableParagraph"/>
              <w:spacing w:before="32"/>
              <w:ind w:left="250"/>
              <w:rPr>
                <w:sz w:val="20"/>
              </w:rPr>
            </w:pPr>
            <w:r>
              <w:rPr>
                <w:spacing w:val="-2"/>
                <w:sz w:val="20"/>
              </w:rPr>
              <w:t>LGBTQ***</w:t>
            </w:r>
          </w:p>
          <w:p w:rsidR="00C76E6D" w:rsidRDefault="00913831">
            <w:pPr>
              <w:pStyle w:val="TableParagraph"/>
              <w:spacing w:before="36"/>
              <w:ind w:left="251"/>
              <w:rPr>
                <w:sz w:val="20"/>
              </w:rPr>
            </w:pPr>
            <w:r>
              <w:rPr>
                <w:spacing w:val="-3"/>
                <w:sz w:val="20"/>
              </w:rPr>
              <w:t>Het-</w:t>
            </w:r>
            <w:r>
              <w:rPr>
                <w:spacing w:val="-2"/>
                <w:sz w:val="20"/>
              </w:rPr>
              <w:t>Cis***</w:t>
            </w:r>
          </w:p>
        </w:tc>
        <w:tc>
          <w:tcPr>
            <w:tcW w:w="990" w:type="dxa"/>
          </w:tcPr>
          <w:p w:rsidR="00C76E6D" w:rsidRDefault="00C76E6D">
            <w:pPr>
              <w:pStyle w:val="TableParagraph"/>
              <w:spacing w:before="10"/>
              <w:rPr>
                <w:b/>
              </w:rPr>
            </w:pPr>
          </w:p>
          <w:p w:rsidR="00C76E6D" w:rsidRDefault="00913831">
            <w:pPr>
              <w:pStyle w:val="TableParagraph"/>
              <w:ind w:left="251"/>
              <w:rPr>
                <w:sz w:val="20"/>
              </w:rPr>
            </w:pPr>
            <w:r>
              <w:rPr>
                <w:spacing w:val="-2"/>
                <w:sz w:val="20"/>
              </w:rPr>
              <w:t>48.3%</w:t>
            </w:r>
          </w:p>
          <w:p w:rsidR="00C76E6D" w:rsidRDefault="00913831">
            <w:pPr>
              <w:pStyle w:val="TableParagraph"/>
              <w:spacing w:before="36"/>
              <w:ind w:left="251"/>
              <w:rPr>
                <w:sz w:val="20"/>
              </w:rPr>
            </w:pPr>
            <w:r>
              <w:rPr>
                <w:spacing w:val="-2"/>
                <w:sz w:val="20"/>
              </w:rPr>
              <w:t>17.3%</w:t>
            </w:r>
          </w:p>
        </w:tc>
        <w:tc>
          <w:tcPr>
            <w:tcW w:w="1440" w:type="dxa"/>
          </w:tcPr>
          <w:p w:rsidR="00C76E6D" w:rsidRDefault="00C76E6D">
            <w:pPr>
              <w:pStyle w:val="TableParagraph"/>
              <w:spacing w:before="10"/>
              <w:rPr>
                <w:b/>
              </w:rPr>
            </w:pPr>
          </w:p>
          <w:p w:rsidR="00C76E6D" w:rsidRDefault="00913831">
            <w:pPr>
              <w:pStyle w:val="TableParagraph"/>
              <w:ind w:left="462" w:right="440"/>
              <w:jc w:val="center"/>
              <w:rPr>
                <w:sz w:val="20"/>
              </w:rPr>
            </w:pPr>
            <w:r>
              <w:rPr>
                <w:spacing w:val="-2"/>
                <w:sz w:val="20"/>
              </w:rPr>
              <w:t>32.3%</w:t>
            </w:r>
          </w:p>
          <w:p w:rsidR="00C76E6D" w:rsidRDefault="00913831">
            <w:pPr>
              <w:pStyle w:val="TableParagraph"/>
              <w:spacing w:before="36"/>
              <w:ind w:left="462" w:right="435"/>
              <w:jc w:val="center"/>
              <w:rPr>
                <w:sz w:val="20"/>
              </w:rPr>
            </w:pPr>
            <w:r>
              <w:rPr>
                <w:spacing w:val="-4"/>
                <w:sz w:val="20"/>
              </w:rPr>
              <w:t>9.4%</w:t>
            </w:r>
          </w:p>
        </w:tc>
        <w:tc>
          <w:tcPr>
            <w:tcW w:w="1440" w:type="dxa"/>
          </w:tcPr>
          <w:p w:rsidR="00C76E6D" w:rsidRDefault="00C76E6D">
            <w:pPr>
              <w:pStyle w:val="TableParagraph"/>
              <w:spacing w:before="10"/>
              <w:rPr>
                <w:b/>
              </w:rPr>
            </w:pPr>
          </w:p>
          <w:p w:rsidR="00C76E6D" w:rsidRDefault="00913831">
            <w:pPr>
              <w:pStyle w:val="TableParagraph"/>
              <w:ind w:left="477"/>
              <w:rPr>
                <w:sz w:val="20"/>
              </w:rPr>
            </w:pPr>
            <w:r>
              <w:rPr>
                <w:spacing w:val="-2"/>
                <w:sz w:val="20"/>
              </w:rPr>
              <w:t>49.0%</w:t>
            </w:r>
          </w:p>
          <w:p w:rsidR="00C76E6D" w:rsidRDefault="00913831">
            <w:pPr>
              <w:pStyle w:val="TableParagraph"/>
              <w:spacing w:before="36"/>
              <w:ind w:left="477"/>
              <w:rPr>
                <w:sz w:val="20"/>
              </w:rPr>
            </w:pPr>
            <w:r>
              <w:rPr>
                <w:spacing w:val="-2"/>
                <w:sz w:val="20"/>
              </w:rPr>
              <w:t>24.2%</w:t>
            </w:r>
          </w:p>
        </w:tc>
        <w:tc>
          <w:tcPr>
            <w:tcW w:w="1075" w:type="dxa"/>
          </w:tcPr>
          <w:p w:rsidR="00C76E6D" w:rsidRDefault="00C76E6D">
            <w:pPr>
              <w:pStyle w:val="TableParagraph"/>
              <w:spacing w:before="10"/>
              <w:rPr>
                <w:b/>
              </w:rPr>
            </w:pPr>
          </w:p>
          <w:p w:rsidR="00C76E6D" w:rsidRDefault="00913831">
            <w:pPr>
              <w:pStyle w:val="TableParagraph"/>
              <w:ind w:left="293"/>
              <w:rPr>
                <w:sz w:val="20"/>
              </w:rPr>
            </w:pPr>
            <w:r>
              <w:rPr>
                <w:spacing w:val="-2"/>
                <w:sz w:val="20"/>
              </w:rPr>
              <w:t>28.0%</w:t>
            </w:r>
          </w:p>
          <w:p w:rsidR="00C76E6D" w:rsidRDefault="00913831">
            <w:pPr>
              <w:pStyle w:val="TableParagraph"/>
              <w:spacing w:before="36"/>
              <w:ind w:left="345"/>
              <w:rPr>
                <w:sz w:val="20"/>
              </w:rPr>
            </w:pPr>
            <w:r>
              <w:rPr>
                <w:spacing w:val="-4"/>
                <w:sz w:val="20"/>
              </w:rPr>
              <w:t>8.5%</w:t>
            </w:r>
          </w:p>
        </w:tc>
      </w:tr>
      <w:tr w:rsidR="00C76E6D">
        <w:trPr>
          <w:trHeight w:val="843"/>
        </w:trPr>
        <w:tc>
          <w:tcPr>
            <w:tcW w:w="3420" w:type="dxa"/>
          </w:tcPr>
          <w:p w:rsidR="00C76E6D" w:rsidRDefault="00913831">
            <w:pPr>
              <w:pStyle w:val="TableParagraph"/>
              <w:spacing w:before="3"/>
              <w:ind w:left="115"/>
              <w:rPr>
                <w:b/>
                <w:sz w:val="20"/>
              </w:rPr>
            </w:pPr>
            <w:r>
              <w:rPr>
                <w:b/>
                <w:spacing w:val="-2"/>
                <w:sz w:val="20"/>
              </w:rPr>
              <w:t>Attempted</w:t>
            </w:r>
            <w:r>
              <w:rPr>
                <w:b/>
                <w:spacing w:val="6"/>
                <w:sz w:val="20"/>
              </w:rPr>
              <w:t xml:space="preserve"> </w:t>
            </w:r>
            <w:r>
              <w:rPr>
                <w:b/>
                <w:spacing w:val="-2"/>
                <w:sz w:val="20"/>
              </w:rPr>
              <w:t>suicide</w:t>
            </w:r>
          </w:p>
          <w:p w:rsidR="00C76E6D" w:rsidRDefault="00913831">
            <w:pPr>
              <w:pStyle w:val="TableParagraph"/>
              <w:spacing w:before="32"/>
              <w:ind w:left="250"/>
              <w:rPr>
                <w:sz w:val="20"/>
              </w:rPr>
            </w:pPr>
            <w:r>
              <w:rPr>
                <w:spacing w:val="-2"/>
                <w:sz w:val="20"/>
              </w:rPr>
              <w:t>LGBTQ***</w:t>
            </w:r>
          </w:p>
          <w:p w:rsidR="00C76E6D" w:rsidRDefault="00913831">
            <w:pPr>
              <w:pStyle w:val="TableParagraph"/>
              <w:spacing w:before="36"/>
              <w:ind w:left="251"/>
              <w:rPr>
                <w:sz w:val="20"/>
              </w:rPr>
            </w:pPr>
            <w:r>
              <w:rPr>
                <w:spacing w:val="-3"/>
                <w:sz w:val="20"/>
              </w:rPr>
              <w:t>Het-</w:t>
            </w:r>
            <w:r>
              <w:rPr>
                <w:spacing w:val="-2"/>
                <w:sz w:val="20"/>
              </w:rPr>
              <w:t>Cis***</w:t>
            </w:r>
          </w:p>
        </w:tc>
        <w:tc>
          <w:tcPr>
            <w:tcW w:w="990" w:type="dxa"/>
          </w:tcPr>
          <w:p w:rsidR="00C76E6D" w:rsidRDefault="00C76E6D">
            <w:pPr>
              <w:pStyle w:val="TableParagraph"/>
              <w:spacing w:before="10"/>
              <w:rPr>
                <w:b/>
              </w:rPr>
            </w:pPr>
          </w:p>
          <w:p w:rsidR="00C76E6D" w:rsidRDefault="00913831">
            <w:pPr>
              <w:pStyle w:val="TableParagraph"/>
              <w:ind w:left="251"/>
              <w:rPr>
                <w:sz w:val="20"/>
              </w:rPr>
            </w:pPr>
            <w:r>
              <w:rPr>
                <w:spacing w:val="-2"/>
                <w:sz w:val="20"/>
              </w:rPr>
              <w:t>28.7%</w:t>
            </w:r>
          </w:p>
          <w:p w:rsidR="00C76E6D" w:rsidRDefault="00913831">
            <w:pPr>
              <w:pStyle w:val="TableParagraph"/>
              <w:spacing w:before="36"/>
              <w:ind w:left="303"/>
              <w:rPr>
                <w:sz w:val="20"/>
              </w:rPr>
            </w:pPr>
            <w:r>
              <w:rPr>
                <w:spacing w:val="-4"/>
                <w:sz w:val="20"/>
              </w:rPr>
              <w:t>7.7%</w:t>
            </w:r>
          </w:p>
        </w:tc>
        <w:tc>
          <w:tcPr>
            <w:tcW w:w="1440" w:type="dxa"/>
          </w:tcPr>
          <w:p w:rsidR="00C76E6D" w:rsidRDefault="00C76E6D">
            <w:pPr>
              <w:pStyle w:val="TableParagraph"/>
              <w:spacing w:before="10"/>
              <w:rPr>
                <w:b/>
              </w:rPr>
            </w:pPr>
          </w:p>
          <w:p w:rsidR="00C76E6D" w:rsidRDefault="00913831">
            <w:pPr>
              <w:pStyle w:val="TableParagraph"/>
              <w:ind w:left="462" w:right="440"/>
              <w:jc w:val="center"/>
              <w:rPr>
                <w:sz w:val="20"/>
              </w:rPr>
            </w:pPr>
            <w:r>
              <w:rPr>
                <w:spacing w:val="-2"/>
                <w:sz w:val="20"/>
              </w:rPr>
              <w:t>17.0%</w:t>
            </w:r>
          </w:p>
          <w:p w:rsidR="00C76E6D" w:rsidRDefault="00913831">
            <w:pPr>
              <w:pStyle w:val="TableParagraph"/>
              <w:spacing w:before="36"/>
              <w:ind w:left="462" w:right="435"/>
              <w:jc w:val="center"/>
              <w:rPr>
                <w:sz w:val="20"/>
              </w:rPr>
            </w:pPr>
            <w:r>
              <w:rPr>
                <w:spacing w:val="-4"/>
                <w:sz w:val="20"/>
              </w:rPr>
              <w:t>2.7%</w:t>
            </w:r>
          </w:p>
        </w:tc>
        <w:tc>
          <w:tcPr>
            <w:tcW w:w="1440" w:type="dxa"/>
          </w:tcPr>
          <w:p w:rsidR="00C76E6D" w:rsidRDefault="00C76E6D">
            <w:pPr>
              <w:pStyle w:val="TableParagraph"/>
              <w:spacing w:before="10"/>
              <w:rPr>
                <w:b/>
              </w:rPr>
            </w:pPr>
          </w:p>
          <w:p w:rsidR="00C76E6D" w:rsidRDefault="00913831">
            <w:pPr>
              <w:pStyle w:val="TableParagraph"/>
              <w:ind w:left="477"/>
              <w:rPr>
                <w:sz w:val="20"/>
              </w:rPr>
            </w:pPr>
            <w:r>
              <w:rPr>
                <w:spacing w:val="-2"/>
                <w:sz w:val="20"/>
              </w:rPr>
              <w:t>20.2%</w:t>
            </w:r>
          </w:p>
          <w:p w:rsidR="00C76E6D" w:rsidRDefault="00913831">
            <w:pPr>
              <w:pStyle w:val="TableParagraph"/>
              <w:spacing w:before="36"/>
              <w:ind w:left="477"/>
              <w:rPr>
                <w:sz w:val="20"/>
              </w:rPr>
            </w:pPr>
            <w:r>
              <w:rPr>
                <w:spacing w:val="-2"/>
                <w:sz w:val="20"/>
              </w:rPr>
              <w:t>10.3%</w:t>
            </w:r>
          </w:p>
        </w:tc>
        <w:tc>
          <w:tcPr>
            <w:tcW w:w="1075" w:type="dxa"/>
          </w:tcPr>
          <w:p w:rsidR="00C76E6D" w:rsidRDefault="00C76E6D">
            <w:pPr>
              <w:pStyle w:val="TableParagraph"/>
              <w:spacing w:before="10"/>
              <w:rPr>
                <w:b/>
              </w:rPr>
            </w:pPr>
          </w:p>
          <w:p w:rsidR="00C76E6D" w:rsidRDefault="00913831">
            <w:pPr>
              <w:pStyle w:val="TableParagraph"/>
              <w:ind w:left="293"/>
              <w:rPr>
                <w:sz w:val="20"/>
              </w:rPr>
            </w:pPr>
            <w:r>
              <w:rPr>
                <w:spacing w:val="-2"/>
                <w:sz w:val="20"/>
              </w:rPr>
              <w:t>10.8%</w:t>
            </w:r>
          </w:p>
          <w:p w:rsidR="00C76E6D" w:rsidRDefault="00913831">
            <w:pPr>
              <w:pStyle w:val="TableParagraph"/>
              <w:spacing w:before="36"/>
              <w:ind w:left="345"/>
              <w:rPr>
                <w:sz w:val="20"/>
              </w:rPr>
            </w:pPr>
            <w:r>
              <w:rPr>
                <w:spacing w:val="-4"/>
                <w:sz w:val="20"/>
              </w:rPr>
              <w:t>3.4%</w:t>
            </w:r>
          </w:p>
        </w:tc>
      </w:tr>
    </w:tbl>
    <w:p w:rsidR="00C76E6D" w:rsidRDefault="00C76E6D">
      <w:pPr>
        <w:rPr>
          <w:sz w:val="20"/>
        </w:rPr>
        <w:sectPr w:rsidR="00C76E6D">
          <w:pgSz w:w="12240" w:h="15840"/>
          <w:pgMar w:top="1000" w:right="960" w:bottom="1060" w:left="960" w:header="779" w:footer="864" w:gutter="0"/>
          <w:cols w:space="720"/>
        </w:sectPr>
      </w:pPr>
    </w:p>
    <w:p w:rsidR="00C76E6D" w:rsidRDefault="00C76E6D">
      <w:pPr>
        <w:pStyle w:val="BodyText"/>
        <w:rPr>
          <w:b/>
          <w:sz w:val="20"/>
        </w:rPr>
      </w:pPr>
    </w:p>
    <w:p w:rsidR="00C76E6D" w:rsidRDefault="00C76E6D">
      <w:pPr>
        <w:pStyle w:val="BodyText"/>
        <w:spacing w:before="6" w:after="1"/>
        <w:rPr>
          <w:b/>
          <w:sz w:val="10"/>
        </w:rPr>
      </w:pPr>
    </w:p>
    <w:p w:rsidR="00C76E6D" w:rsidRDefault="00913831">
      <w:pPr>
        <w:pStyle w:val="BodyText"/>
        <w:spacing w:line="20" w:lineRule="exact"/>
        <w:ind w:left="482"/>
        <w:rPr>
          <w:sz w:val="2"/>
        </w:rPr>
      </w:pPr>
      <w:r>
        <w:rPr>
          <w:sz w:val="2"/>
        </w:rPr>
      </w:r>
      <w:r>
        <w:rPr>
          <w:sz w:val="2"/>
        </w:rPr>
        <w:pict>
          <v:group id="docshapegroup226" o:spid="_x0000_s1197" style="width:470.95pt;height:1.55pt;mso-position-horizontal-relative:char;mso-position-vertical-relative:line" coordsize="9419,31">
            <v:line id="_x0000_s1198" style="position:absolute" from="0,15" to="9419,15" strokeweight="1.54pt"/>
            <w10:wrap type="none"/>
            <w10:anchorlock/>
          </v:group>
        </w:pict>
      </w:r>
    </w:p>
    <w:p w:rsidR="00C76E6D" w:rsidRDefault="00C76E6D">
      <w:pPr>
        <w:pStyle w:val="BodyText"/>
        <w:spacing w:before="3"/>
        <w:rPr>
          <w:b/>
          <w:sz w:val="20"/>
        </w:rPr>
      </w:pPr>
    </w:p>
    <w:p w:rsidR="00C76E6D" w:rsidRDefault="00913831">
      <w:pPr>
        <w:pStyle w:val="Heading4"/>
        <w:spacing w:before="51"/>
      </w:pPr>
      <w:r>
        <w:rPr>
          <w:spacing w:val="-2"/>
        </w:rPr>
        <w:t>ENDNOTES</w:t>
      </w:r>
    </w:p>
    <w:p w:rsidR="00C76E6D" w:rsidRDefault="00913831">
      <w:pPr>
        <w:pStyle w:val="BodyText"/>
        <w:spacing w:before="3"/>
        <w:rPr>
          <w:b/>
          <w:sz w:val="26"/>
        </w:rPr>
      </w:pPr>
      <w:r>
        <w:pict>
          <v:shape id="docshape227" o:spid="_x0000_s1196" style="position:absolute;margin-left:70.6pt;margin-top:17.25pt;width:470.95pt;height:.1pt;z-index:-15703552;mso-wrap-distance-left:0;mso-wrap-distance-right:0;mso-position-horizontal-relative:page" coordorigin="1412,345" coordsize="9419,0" path="m1412,345r9419,e" filled="f" strokeweight="1.54pt">
            <v:path arrowok="t"/>
            <w10:wrap type="topAndBottom" anchorx="page"/>
          </v:shape>
        </w:pict>
      </w:r>
    </w:p>
    <w:p w:rsidR="00C76E6D" w:rsidRDefault="00C76E6D">
      <w:pPr>
        <w:pStyle w:val="BodyText"/>
        <w:spacing w:before="6"/>
        <w:rPr>
          <w:b/>
          <w:sz w:val="20"/>
        </w:rPr>
      </w:pPr>
    </w:p>
    <w:p w:rsidR="00C76E6D" w:rsidRDefault="00913831">
      <w:pPr>
        <w:spacing w:line="276" w:lineRule="auto"/>
        <w:ind w:left="479" w:right="530" w:hanging="1"/>
        <w:rPr>
          <w:i/>
        </w:rPr>
      </w:pPr>
      <w:r>
        <w:rPr>
          <w:i/>
        </w:rPr>
        <w:t>Acknowledgments:</w:t>
      </w:r>
      <w:r>
        <w:rPr>
          <w:i/>
          <w:spacing w:val="-10"/>
        </w:rPr>
        <w:t xml:space="preserve"> </w:t>
      </w:r>
      <w:r>
        <w:rPr>
          <w:i/>
        </w:rPr>
        <w:t>Val</w:t>
      </w:r>
      <w:r>
        <w:rPr>
          <w:i/>
          <w:spacing w:val="-7"/>
        </w:rPr>
        <w:t xml:space="preserve"> </w:t>
      </w:r>
      <w:r>
        <w:rPr>
          <w:i/>
        </w:rPr>
        <w:t>Leiter,</w:t>
      </w:r>
      <w:r>
        <w:rPr>
          <w:i/>
          <w:spacing w:val="-9"/>
        </w:rPr>
        <w:t xml:space="preserve"> </w:t>
      </w:r>
      <w:r>
        <w:rPr>
          <w:i/>
        </w:rPr>
        <w:t>lead</w:t>
      </w:r>
      <w:r>
        <w:rPr>
          <w:i/>
          <w:spacing w:val="-9"/>
        </w:rPr>
        <w:t xml:space="preserve"> </w:t>
      </w:r>
      <w:r>
        <w:rPr>
          <w:i/>
        </w:rPr>
        <w:t>data</w:t>
      </w:r>
      <w:r>
        <w:rPr>
          <w:i/>
          <w:spacing w:val="-10"/>
        </w:rPr>
        <w:t xml:space="preserve"> </w:t>
      </w:r>
      <w:r>
        <w:rPr>
          <w:i/>
        </w:rPr>
        <w:t>analyst;</w:t>
      </w:r>
      <w:r>
        <w:rPr>
          <w:i/>
          <w:spacing w:val="-8"/>
        </w:rPr>
        <w:t xml:space="preserve"> </w:t>
      </w:r>
      <w:r>
        <w:rPr>
          <w:i/>
        </w:rPr>
        <w:t>editing</w:t>
      </w:r>
      <w:r>
        <w:rPr>
          <w:i/>
          <w:spacing w:val="-9"/>
        </w:rPr>
        <w:t xml:space="preserve"> </w:t>
      </w:r>
      <w:r>
        <w:rPr>
          <w:i/>
        </w:rPr>
        <w:t>and</w:t>
      </w:r>
      <w:r>
        <w:rPr>
          <w:i/>
          <w:spacing w:val="-10"/>
        </w:rPr>
        <w:t xml:space="preserve"> </w:t>
      </w:r>
      <w:r>
        <w:rPr>
          <w:i/>
        </w:rPr>
        <w:t>proofreading</w:t>
      </w:r>
      <w:r>
        <w:rPr>
          <w:i/>
          <w:spacing w:val="-9"/>
        </w:rPr>
        <w:t xml:space="preserve"> </w:t>
      </w:r>
      <w:r>
        <w:rPr>
          <w:i/>
        </w:rPr>
        <w:t>by</w:t>
      </w:r>
      <w:r>
        <w:rPr>
          <w:i/>
          <w:spacing w:val="-5"/>
        </w:rPr>
        <w:t xml:space="preserve"> </w:t>
      </w:r>
      <w:r>
        <w:rPr>
          <w:i/>
        </w:rPr>
        <w:t>Massachusetts</w:t>
      </w:r>
      <w:r>
        <w:rPr>
          <w:i/>
          <w:spacing w:val="-9"/>
        </w:rPr>
        <w:t xml:space="preserve"> </w:t>
      </w:r>
      <w:r>
        <w:rPr>
          <w:i/>
        </w:rPr>
        <w:t>Commission on LGBTQ Youth staff</w:t>
      </w:r>
    </w:p>
    <w:p w:rsidR="00C76E6D" w:rsidRDefault="00C76E6D">
      <w:pPr>
        <w:pStyle w:val="BodyText"/>
        <w:rPr>
          <w:i/>
        </w:rPr>
      </w:pPr>
    </w:p>
    <w:p w:rsidR="00C76E6D" w:rsidRDefault="00C76E6D">
      <w:pPr>
        <w:pStyle w:val="BodyText"/>
        <w:spacing w:before="1"/>
        <w:rPr>
          <w:i/>
          <w:sz w:val="27"/>
        </w:rPr>
      </w:pPr>
    </w:p>
    <w:p w:rsidR="00C76E6D" w:rsidRDefault="00913831">
      <w:pPr>
        <w:ind w:left="481" w:right="530" w:hanging="3"/>
        <w:rPr>
          <w:sz w:val="20"/>
        </w:rPr>
      </w:pPr>
      <w:bookmarkStart w:id="24" w:name="_bookmark8"/>
      <w:bookmarkEnd w:id="24"/>
      <w:r w:rsidRPr="00AB50BD">
        <w:rPr>
          <w:sz w:val="20"/>
          <w:vertAlign w:val="superscript"/>
          <w:lang w:val="es-US"/>
        </w:rPr>
        <w:t>1</w:t>
      </w:r>
      <w:r w:rsidRPr="00AB50BD">
        <w:rPr>
          <w:spacing w:val="-4"/>
          <w:sz w:val="20"/>
          <w:lang w:val="es-US"/>
        </w:rPr>
        <w:t xml:space="preserve"> </w:t>
      </w:r>
      <w:r w:rsidRPr="00AB50BD">
        <w:rPr>
          <w:sz w:val="20"/>
          <w:lang w:val="es-US"/>
        </w:rPr>
        <w:t>Basile,</w:t>
      </w:r>
      <w:r w:rsidRPr="00AB50BD">
        <w:rPr>
          <w:spacing w:val="-4"/>
          <w:sz w:val="20"/>
          <w:lang w:val="es-US"/>
        </w:rPr>
        <w:t xml:space="preserve"> </w:t>
      </w:r>
      <w:r w:rsidRPr="00AB50BD">
        <w:rPr>
          <w:sz w:val="20"/>
          <w:lang w:val="es-US"/>
        </w:rPr>
        <w:t>K.</w:t>
      </w:r>
      <w:r w:rsidRPr="00AB50BD">
        <w:rPr>
          <w:spacing w:val="-7"/>
          <w:sz w:val="20"/>
          <w:lang w:val="es-US"/>
        </w:rPr>
        <w:t xml:space="preserve"> </w:t>
      </w:r>
      <w:r w:rsidRPr="00AB50BD">
        <w:rPr>
          <w:sz w:val="20"/>
          <w:lang w:val="es-US"/>
        </w:rPr>
        <w:t>C.,</w:t>
      </w:r>
      <w:r w:rsidRPr="00AB50BD">
        <w:rPr>
          <w:spacing w:val="-5"/>
          <w:sz w:val="20"/>
          <w:lang w:val="es-US"/>
        </w:rPr>
        <w:t xml:space="preserve"> </w:t>
      </w:r>
      <w:r w:rsidRPr="00AB50BD">
        <w:rPr>
          <w:sz w:val="20"/>
          <w:lang w:val="es-US"/>
        </w:rPr>
        <w:t>Clayton,</w:t>
      </w:r>
      <w:r w:rsidRPr="00AB50BD">
        <w:rPr>
          <w:spacing w:val="-4"/>
          <w:sz w:val="20"/>
          <w:lang w:val="es-US"/>
        </w:rPr>
        <w:t xml:space="preserve"> </w:t>
      </w:r>
      <w:r w:rsidRPr="00AB50BD">
        <w:rPr>
          <w:sz w:val="20"/>
          <w:lang w:val="es-US"/>
        </w:rPr>
        <w:t>H.</w:t>
      </w:r>
      <w:r w:rsidRPr="00AB50BD">
        <w:rPr>
          <w:spacing w:val="-6"/>
          <w:sz w:val="20"/>
          <w:lang w:val="es-US"/>
        </w:rPr>
        <w:t xml:space="preserve"> </w:t>
      </w:r>
      <w:r w:rsidRPr="00AB50BD">
        <w:rPr>
          <w:sz w:val="20"/>
          <w:lang w:val="es-US"/>
        </w:rPr>
        <w:t>B.,</w:t>
      </w:r>
      <w:r w:rsidRPr="00AB50BD">
        <w:rPr>
          <w:spacing w:val="-6"/>
          <w:sz w:val="20"/>
          <w:lang w:val="es-US"/>
        </w:rPr>
        <w:t xml:space="preserve"> </w:t>
      </w:r>
      <w:r w:rsidRPr="00AB50BD">
        <w:rPr>
          <w:sz w:val="20"/>
          <w:lang w:val="es-US"/>
        </w:rPr>
        <w:t>DeGue,</w:t>
      </w:r>
      <w:r w:rsidRPr="00AB50BD">
        <w:rPr>
          <w:spacing w:val="-5"/>
          <w:sz w:val="20"/>
          <w:lang w:val="es-US"/>
        </w:rPr>
        <w:t xml:space="preserve"> </w:t>
      </w:r>
      <w:r w:rsidRPr="00AB50BD">
        <w:rPr>
          <w:sz w:val="20"/>
          <w:lang w:val="es-US"/>
        </w:rPr>
        <w:t>S.,</w:t>
      </w:r>
      <w:r w:rsidRPr="00AB50BD">
        <w:rPr>
          <w:spacing w:val="-5"/>
          <w:sz w:val="20"/>
          <w:lang w:val="es-US"/>
        </w:rPr>
        <w:t xml:space="preserve"> </w:t>
      </w:r>
      <w:r w:rsidRPr="00AB50BD">
        <w:rPr>
          <w:sz w:val="20"/>
          <w:lang w:val="es-US"/>
        </w:rPr>
        <w:t>et</w:t>
      </w:r>
      <w:r w:rsidRPr="00AB50BD">
        <w:rPr>
          <w:spacing w:val="-4"/>
          <w:sz w:val="20"/>
          <w:lang w:val="es-US"/>
        </w:rPr>
        <w:t xml:space="preserve"> </w:t>
      </w:r>
      <w:r w:rsidRPr="00AB50BD">
        <w:rPr>
          <w:sz w:val="20"/>
          <w:lang w:val="es-US"/>
        </w:rPr>
        <w:t>al.</w:t>
      </w:r>
      <w:r w:rsidRPr="00AB50BD">
        <w:rPr>
          <w:spacing w:val="-7"/>
          <w:sz w:val="20"/>
          <w:lang w:val="es-US"/>
        </w:rPr>
        <w:t xml:space="preserve"> </w:t>
      </w:r>
      <w:r>
        <w:rPr>
          <w:sz w:val="20"/>
        </w:rPr>
        <w:t>(2020).</w:t>
      </w:r>
      <w:r>
        <w:rPr>
          <w:spacing w:val="-5"/>
          <w:sz w:val="20"/>
        </w:rPr>
        <w:t xml:space="preserve"> </w:t>
      </w:r>
      <w:r>
        <w:rPr>
          <w:i/>
          <w:sz w:val="20"/>
        </w:rPr>
        <w:t>Interviolence</w:t>
      </w:r>
      <w:r>
        <w:rPr>
          <w:i/>
          <w:spacing w:val="-5"/>
          <w:sz w:val="20"/>
        </w:rPr>
        <w:t xml:space="preserve"> </w:t>
      </w:r>
      <w:r>
        <w:rPr>
          <w:i/>
          <w:sz w:val="20"/>
        </w:rPr>
        <w:t>Victimization</w:t>
      </w:r>
      <w:r>
        <w:rPr>
          <w:i/>
          <w:spacing w:val="-5"/>
          <w:sz w:val="20"/>
        </w:rPr>
        <w:t xml:space="preserve"> </w:t>
      </w:r>
      <w:r>
        <w:rPr>
          <w:i/>
          <w:sz w:val="20"/>
        </w:rPr>
        <w:t>Among</w:t>
      </w:r>
      <w:r>
        <w:rPr>
          <w:i/>
          <w:spacing w:val="-6"/>
          <w:sz w:val="20"/>
        </w:rPr>
        <w:t xml:space="preserve"> </w:t>
      </w:r>
      <w:r>
        <w:rPr>
          <w:i/>
          <w:sz w:val="20"/>
        </w:rPr>
        <w:t>High</w:t>
      </w:r>
      <w:r>
        <w:rPr>
          <w:i/>
          <w:spacing w:val="-4"/>
          <w:sz w:val="20"/>
        </w:rPr>
        <w:t xml:space="preserve"> </w:t>
      </w:r>
      <w:r>
        <w:rPr>
          <w:i/>
          <w:sz w:val="20"/>
        </w:rPr>
        <w:t>School</w:t>
      </w:r>
      <w:r>
        <w:rPr>
          <w:i/>
          <w:spacing w:val="-7"/>
          <w:sz w:val="20"/>
        </w:rPr>
        <w:t xml:space="preserve"> </w:t>
      </w:r>
      <w:r>
        <w:rPr>
          <w:i/>
          <w:sz w:val="20"/>
        </w:rPr>
        <w:t xml:space="preserve">Students— Youth Risk Behavior Survey, United States, 2019. </w:t>
      </w:r>
      <w:r>
        <w:rPr>
          <w:sz w:val="20"/>
        </w:rPr>
        <w:t xml:space="preserve">Retrieved on June 9, 2022 from </w:t>
      </w:r>
      <w:r>
        <w:rPr>
          <w:spacing w:val="-2"/>
          <w:sz w:val="20"/>
        </w:rPr>
        <w:t>https://</w:t>
      </w:r>
      <w:hyperlink r:id="rId111">
        <w:r>
          <w:rPr>
            <w:spacing w:val="-2"/>
            <w:sz w:val="20"/>
          </w:rPr>
          <w:t>www.cdc.gov/mmwr/volumes/69/su/su6901a4.htm.</w:t>
        </w:r>
      </w:hyperlink>
    </w:p>
    <w:p w:rsidR="00C76E6D" w:rsidRDefault="00913831">
      <w:pPr>
        <w:spacing w:before="8" w:line="244" w:lineRule="exact"/>
        <w:ind w:left="480"/>
        <w:rPr>
          <w:sz w:val="20"/>
        </w:rPr>
      </w:pPr>
      <w:bookmarkStart w:id="25" w:name="_bookmark9"/>
      <w:bookmarkEnd w:id="25"/>
      <w:r>
        <w:rPr>
          <w:sz w:val="20"/>
          <w:vertAlign w:val="superscript"/>
        </w:rPr>
        <w:t>2</w:t>
      </w:r>
      <w:r>
        <w:rPr>
          <w:spacing w:val="-6"/>
          <w:sz w:val="20"/>
        </w:rPr>
        <w:t xml:space="preserve"> </w:t>
      </w:r>
      <w:bookmarkStart w:id="26" w:name="_bookmark10"/>
      <w:bookmarkEnd w:id="26"/>
      <w:r>
        <w:rPr>
          <w:sz w:val="20"/>
        </w:rPr>
        <w:t>Data</w:t>
      </w:r>
      <w:r>
        <w:rPr>
          <w:spacing w:val="-6"/>
          <w:sz w:val="20"/>
        </w:rPr>
        <w:t xml:space="preserve"> </w:t>
      </w:r>
      <w:r>
        <w:rPr>
          <w:sz w:val="20"/>
        </w:rPr>
        <w:t>are</w:t>
      </w:r>
      <w:r>
        <w:rPr>
          <w:spacing w:val="-6"/>
          <w:sz w:val="20"/>
        </w:rPr>
        <w:t xml:space="preserve"> </w:t>
      </w:r>
      <w:r>
        <w:rPr>
          <w:sz w:val="20"/>
        </w:rPr>
        <w:t>not</w:t>
      </w:r>
      <w:r>
        <w:rPr>
          <w:spacing w:val="-8"/>
          <w:sz w:val="20"/>
        </w:rPr>
        <w:t xml:space="preserve"> </w:t>
      </w:r>
      <w:r>
        <w:rPr>
          <w:sz w:val="20"/>
        </w:rPr>
        <w:t>provided</w:t>
      </w:r>
      <w:r>
        <w:rPr>
          <w:spacing w:val="-5"/>
          <w:sz w:val="20"/>
        </w:rPr>
        <w:t xml:space="preserve"> </w:t>
      </w:r>
      <w:r>
        <w:rPr>
          <w:sz w:val="20"/>
        </w:rPr>
        <w:t>for</w:t>
      </w:r>
      <w:r>
        <w:rPr>
          <w:spacing w:val="-7"/>
          <w:sz w:val="20"/>
        </w:rPr>
        <w:t xml:space="preserve"> </w:t>
      </w:r>
      <w:r>
        <w:rPr>
          <w:sz w:val="20"/>
        </w:rPr>
        <w:t>2019</w:t>
      </w:r>
      <w:r>
        <w:rPr>
          <w:spacing w:val="-5"/>
          <w:sz w:val="20"/>
        </w:rPr>
        <w:t xml:space="preserve"> </w:t>
      </w:r>
      <w:r>
        <w:rPr>
          <w:sz w:val="20"/>
        </w:rPr>
        <w:t>because</w:t>
      </w:r>
      <w:r>
        <w:rPr>
          <w:spacing w:val="-6"/>
          <w:sz w:val="20"/>
        </w:rPr>
        <w:t xml:space="preserve"> </w:t>
      </w:r>
      <w:r>
        <w:rPr>
          <w:sz w:val="20"/>
        </w:rPr>
        <w:t>the</w:t>
      </w:r>
      <w:r>
        <w:rPr>
          <w:spacing w:val="-6"/>
          <w:sz w:val="20"/>
        </w:rPr>
        <w:t xml:space="preserve"> </w:t>
      </w:r>
      <w:r>
        <w:rPr>
          <w:sz w:val="20"/>
        </w:rPr>
        <w:t>Massachusetts</w:t>
      </w:r>
      <w:r>
        <w:rPr>
          <w:spacing w:val="-5"/>
          <w:sz w:val="20"/>
        </w:rPr>
        <w:t xml:space="preserve"> </w:t>
      </w:r>
      <w:r>
        <w:rPr>
          <w:sz w:val="20"/>
        </w:rPr>
        <w:t>YRBS</w:t>
      </w:r>
      <w:r>
        <w:rPr>
          <w:spacing w:val="-6"/>
          <w:sz w:val="20"/>
        </w:rPr>
        <w:t xml:space="preserve"> </w:t>
      </w:r>
      <w:r>
        <w:rPr>
          <w:sz w:val="20"/>
        </w:rPr>
        <w:t>did</w:t>
      </w:r>
      <w:r>
        <w:rPr>
          <w:spacing w:val="-7"/>
          <w:sz w:val="20"/>
        </w:rPr>
        <w:t xml:space="preserve"> </w:t>
      </w:r>
      <w:r>
        <w:rPr>
          <w:sz w:val="20"/>
        </w:rPr>
        <w:t>not</w:t>
      </w:r>
      <w:r>
        <w:rPr>
          <w:spacing w:val="-7"/>
          <w:sz w:val="20"/>
        </w:rPr>
        <w:t xml:space="preserve"> </w:t>
      </w:r>
      <w:r>
        <w:rPr>
          <w:sz w:val="20"/>
        </w:rPr>
        <w:t>ask</w:t>
      </w:r>
      <w:r>
        <w:rPr>
          <w:spacing w:val="-4"/>
          <w:sz w:val="20"/>
        </w:rPr>
        <w:t xml:space="preserve"> </w:t>
      </w:r>
      <w:r>
        <w:rPr>
          <w:sz w:val="20"/>
        </w:rPr>
        <w:t>about</w:t>
      </w:r>
      <w:r>
        <w:rPr>
          <w:spacing w:val="-6"/>
          <w:sz w:val="20"/>
        </w:rPr>
        <w:t xml:space="preserve"> </w:t>
      </w:r>
      <w:r>
        <w:rPr>
          <w:sz w:val="20"/>
        </w:rPr>
        <w:t>AIDS</w:t>
      </w:r>
      <w:r>
        <w:rPr>
          <w:spacing w:val="-7"/>
          <w:sz w:val="20"/>
        </w:rPr>
        <w:t xml:space="preserve"> </w:t>
      </w:r>
      <w:r>
        <w:rPr>
          <w:sz w:val="20"/>
        </w:rPr>
        <w:t>education</w:t>
      </w:r>
      <w:r>
        <w:rPr>
          <w:spacing w:val="-4"/>
          <w:sz w:val="20"/>
        </w:rPr>
        <w:t xml:space="preserve"> </w:t>
      </w:r>
      <w:r>
        <w:rPr>
          <w:sz w:val="20"/>
        </w:rPr>
        <w:t>in</w:t>
      </w:r>
      <w:r>
        <w:rPr>
          <w:spacing w:val="-5"/>
          <w:sz w:val="20"/>
        </w:rPr>
        <w:t xml:space="preserve"> </w:t>
      </w:r>
      <w:r>
        <w:rPr>
          <w:spacing w:val="-2"/>
          <w:sz w:val="20"/>
        </w:rPr>
        <w:t>schools.</w:t>
      </w:r>
    </w:p>
    <w:p w:rsidR="00C76E6D" w:rsidRDefault="00913831">
      <w:pPr>
        <w:spacing w:line="244" w:lineRule="exact"/>
        <w:ind w:left="480"/>
        <w:rPr>
          <w:i/>
          <w:sz w:val="20"/>
        </w:rPr>
      </w:pPr>
      <w:r>
        <w:rPr>
          <w:sz w:val="20"/>
          <w:vertAlign w:val="superscript"/>
        </w:rPr>
        <w:t>3</w:t>
      </w:r>
      <w:r>
        <w:rPr>
          <w:spacing w:val="-9"/>
          <w:sz w:val="20"/>
        </w:rPr>
        <w:t xml:space="preserve"> </w:t>
      </w:r>
      <w:r>
        <w:rPr>
          <w:sz w:val="20"/>
        </w:rPr>
        <w:t>Centers</w:t>
      </w:r>
      <w:r>
        <w:rPr>
          <w:spacing w:val="-8"/>
          <w:sz w:val="20"/>
        </w:rPr>
        <w:t xml:space="preserve"> </w:t>
      </w:r>
      <w:r>
        <w:rPr>
          <w:sz w:val="20"/>
        </w:rPr>
        <w:t>for</w:t>
      </w:r>
      <w:r>
        <w:rPr>
          <w:spacing w:val="-9"/>
          <w:sz w:val="20"/>
        </w:rPr>
        <w:t xml:space="preserve"> </w:t>
      </w:r>
      <w:r>
        <w:rPr>
          <w:sz w:val="20"/>
        </w:rPr>
        <w:t>Disease</w:t>
      </w:r>
      <w:r>
        <w:rPr>
          <w:spacing w:val="-9"/>
          <w:sz w:val="20"/>
        </w:rPr>
        <w:t xml:space="preserve"> </w:t>
      </w:r>
      <w:r>
        <w:rPr>
          <w:sz w:val="20"/>
        </w:rPr>
        <w:t>Control</w:t>
      </w:r>
      <w:r>
        <w:rPr>
          <w:spacing w:val="-11"/>
          <w:sz w:val="20"/>
        </w:rPr>
        <w:t xml:space="preserve"> </w:t>
      </w:r>
      <w:r>
        <w:rPr>
          <w:sz w:val="20"/>
        </w:rPr>
        <w:t>and</w:t>
      </w:r>
      <w:r>
        <w:rPr>
          <w:spacing w:val="-9"/>
          <w:sz w:val="20"/>
        </w:rPr>
        <w:t xml:space="preserve"> </w:t>
      </w:r>
      <w:r>
        <w:rPr>
          <w:sz w:val="20"/>
        </w:rPr>
        <w:t>Prevention.</w:t>
      </w:r>
      <w:r>
        <w:rPr>
          <w:spacing w:val="-8"/>
          <w:sz w:val="20"/>
        </w:rPr>
        <w:t xml:space="preserve"> </w:t>
      </w:r>
      <w:r>
        <w:rPr>
          <w:sz w:val="20"/>
        </w:rPr>
        <w:t>(2012).</w:t>
      </w:r>
      <w:r>
        <w:rPr>
          <w:spacing w:val="-9"/>
          <w:sz w:val="20"/>
        </w:rPr>
        <w:t xml:space="preserve"> </w:t>
      </w:r>
      <w:r>
        <w:rPr>
          <w:i/>
          <w:sz w:val="20"/>
        </w:rPr>
        <w:t>Youth</w:t>
      </w:r>
      <w:r>
        <w:rPr>
          <w:i/>
          <w:spacing w:val="-8"/>
          <w:sz w:val="20"/>
        </w:rPr>
        <w:t xml:space="preserve"> </w:t>
      </w:r>
      <w:r>
        <w:rPr>
          <w:i/>
          <w:sz w:val="20"/>
        </w:rPr>
        <w:t>Risk</w:t>
      </w:r>
      <w:r>
        <w:rPr>
          <w:i/>
          <w:spacing w:val="-9"/>
          <w:sz w:val="20"/>
        </w:rPr>
        <w:t xml:space="preserve"> </w:t>
      </w:r>
      <w:r>
        <w:rPr>
          <w:i/>
          <w:sz w:val="20"/>
        </w:rPr>
        <w:t>Behavior</w:t>
      </w:r>
      <w:r>
        <w:rPr>
          <w:i/>
          <w:spacing w:val="-8"/>
          <w:sz w:val="20"/>
        </w:rPr>
        <w:t xml:space="preserve"> </w:t>
      </w:r>
      <w:r>
        <w:rPr>
          <w:i/>
          <w:sz w:val="20"/>
        </w:rPr>
        <w:t>Surveillance—United</w:t>
      </w:r>
      <w:r>
        <w:rPr>
          <w:i/>
          <w:spacing w:val="-10"/>
          <w:sz w:val="20"/>
        </w:rPr>
        <w:t xml:space="preserve"> </w:t>
      </w:r>
      <w:r>
        <w:rPr>
          <w:i/>
          <w:sz w:val="20"/>
        </w:rPr>
        <w:t>States,</w:t>
      </w:r>
      <w:r>
        <w:rPr>
          <w:i/>
          <w:spacing w:val="-8"/>
          <w:sz w:val="20"/>
        </w:rPr>
        <w:t xml:space="preserve"> </w:t>
      </w:r>
      <w:r>
        <w:rPr>
          <w:i/>
          <w:spacing w:val="-2"/>
          <w:sz w:val="20"/>
        </w:rPr>
        <w:t>2011.</w:t>
      </w:r>
    </w:p>
    <w:p w:rsidR="00C76E6D" w:rsidRDefault="00913831">
      <w:pPr>
        <w:spacing w:before="1" w:line="241" w:lineRule="exact"/>
        <w:ind w:left="481"/>
        <w:rPr>
          <w:sz w:val="20"/>
        </w:rPr>
      </w:pPr>
      <w:bookmarkStart w:id="27" w:name="_bookmark11"/>
      <w:bookmarkEnd w:id="27"/>
      <w:r>
        <w:rPr>
          <w:sz w:val="20"/>
        </w:rPr>
        <w:t>Retrieved</w:t>
      </w:r>
      <w:r>
        <w:rPr>
          <w:spacing w:val="-8"/>
          <w:sz w:val="20"/>
        </w:rPr>
        <w:t xml:space="preserve"> </w:t>
      </w:r>
      <w:r>
        <w:rPr>
          <w:sz w:val="20"/>
        </w:rPr>
        <w:t>on</w:t>
      </w:r>
      <w:r>
        <w:rPr>
          <w:spacing w:val="-5"/>
          <w:sz w:val="20"/>
        </w:rPr>
        <w:t xml:space="preserve"> </w:t>
      </w:r>
      <w:r>
        <w:rPr>
          <w:sz w:val="20"/>
        </w:rPr>
        <w:t>June</w:t>
      </w:r>
      <w:r>
        <w:rPr>
          <w:spacing w:val="-8"/>
          <w:sz w:val="20"/>
        </w:rPr>
        <w:t xml:space="preserve"> </w:t>
      </w:r>
      <w:r>
        <w:rPr>
          <w:sz w:val="20"/>
        </w:rPr>
        <w:t>9,</w:t>
      </w:r>
      <w:r>
        <w:rPr>
          <w:spacing w:val="-5"/>
          <w:sz w:val="20"/>
        </w:rPr>
        <w:t xml:space="preserve"> </w:t>
      </w:r>
      <w:r>
        <w:rPr>
          <w:sz w:val="20"/>
        </w:rPr>
        <w:t>2022</w:t>
      </w:r>
      <w:r>
        <w:rPr>
          <w:spacing w:val="-6"/>
          <w:sz w:val="20"/>
        </w:rPr>
        <w:t xml:space="preserve"> </w:t>
      </w:r>
      <w:r>
        <w:rPr>
          <w:sz w:val="20"/>
        </w:rPr>
        <w:t>from</w:t>
      </w:r>
      <w:r>
        <w:rPr>
          <w:spacing w:val="-6"/>
          <w:sz w:val="20"/>
        </w:rPr>
        <w:t xml:space="preserve"> </w:t>
      </w:r>
      <w:r>
        <w:rPr>
          <w:spacing w:val="-2"/>
          <w:sz w:val="20"/>
        </w:rPr>
        <w:t>https://</w:t>
      </w:r>
      <w:hyperlink r:id="rId112">
        <w:r>
          <w:rPr>
            <w:spacing w:val="-2"/>
            <w:sz w:val="20"/>
          </w:rPr>
          <w:t>www.cdc.gov/mmwr/pdf/ss/ss6104.pdf.</w:t>
        </w:r>
      </w:hyperlink>
    </w:p>
    <w:p w:rsidR="00C76E6D" w:rsidRDefault="00913831">
      <w:pPr>
        <w:ind w:left="481" w:right="846" w:hanging="3"/>
        <w:rPr>
          <w:sz w:val="20"/>
        </w:rPr>
      </w:pPr>
      <w:r>
        <w:rPr>
          <w:sz w:val="20"/>
          <w:vertAlign w:val="superscript"/>
        </w:rPr>
        <w:t>4</w:t>
      </w:r>
      <w:r>
        <w:rPr>
          <w:spacing w:val="-4"/>
          <w:sz w:val="20"/>
        </w:rPr>
        <w:t xml:space="preserve"> </w:t>
      </w:r>
      <w:r>
        <w:rPr>
          <w:sz w:val="20"/>
        </w:rPr>
        <w:t>Centers</w:t>
      </w:r>
      <w:r>
        <w:rPr>
          <w:spacing w:val="-5"/>
          <w:sz w:val="20"/>
        </w:rPr>
        <w:t xml:space="preserve"> </w:t>
      </w:r>
      <w:r>
        <w:rPr>
          <w:sz w:val="20"/>
        </w:rPr>
        <w:t>for</w:t>
      </w:r>
      <w:r>
        <w:rPr>
          <w:spacing w:val="-5"/>
          <w:sz w:val="20"/>
        </w:rPr>
        <w:t xml:space="preserve"> </w:t>
      </w:r>
      <w:r>
        <w:rPr>
          <w:sz w:val="20"/>
        </w:rPr>
        <w:t>Disease</w:t>
      </w:r>
      <w:r>
        <w:rPr>
          <w:spacing w:val="-4"/>
          <w:sz w:val="20"/>
        </w:rPr>
        <w:t xml:space="preserve"> </w:t>
      </w:r>
      <w:r>
        <w:rPr>
          <w:sz w:val="20"/>
        </w:rPr>
        <w:t>Control</w:t>
      </w:r>
      <w:r>
        <w:rPr>
          <w:spacing w:val="-7"/>
          <w:sz w:val="20"/>
        </w:rPr>
        <w:t xml:space="preserve"> </w:t>
      </w:r>
      <w:r>
        <w:rPr>
          <w:sz w:val="20"/>
        </w:rPr>
        <w:t>and</w:t>
      </w:r>
      <w:r>
        <w:rPr>
          <w:spacing w:val="-4"/>
          <w:sz w:val="20"/>
        </w:rPr>
        <w:t xml:space="preserve"> </w:t>
      </w:r>
      <w:r>
        <w:rPr>
          <w:sz w:val="20"/>
        </w:rPr>
        <w:t>Prevention.</w:t>
      </w:r>
      <w:r>
        <w:rPr>
          <w:spacing w:val="-5"/>
          <w:sz w:val="20"/>
        </w:rPr>
        <w:t xml:space="preserve"> </w:t>
      </w:r>
      <w:r>
        <w:rPr>
          <w:sz w:val="20"/>
        </w:rPr>
        <w:t>2022.</w:t>
      </w:r>
      <w:r>
        <w:rPr>
          <w:spacing w:val="-6"/>
          <w:sz w:val="20"/>
        </w:rPr>
        <w:t xml:space="preserve"> </w:t>
      </w:r>
      <w:r>
        <w:rPr>
          <w:i/>
          <w:sz w:val="20"/>
        </w:rPr>
        <w:t>HIV</w:t>
      </w:r>
      <w:r>
        <w:rPr>
          <w:i/>
          <w:spacing w:val="-4"/>
          <w:sz w:val="20"/>
        </w:rPr>
        <w:t xml:space="preserve"> </w:t>
      </w:r>
      <w:r>
        <w:rPr>
          <w:i/>
          <w:sz w:val="20"/>
        </w:rPr>
        <w:t>Information</w:t>
      </w:r>
      <w:r>
        <w:rPr>
          <w:i/>
          <w:spacing w:val="-4"/>
          <w:sz w:val="20"/>
        </w:rPr>
        <w:t xml:space="preserve"> </w:t>
      </w:r>
      <w:r>
        <w:rPr>
          <w:i/>
          <w:sz w:val="20"/>
        </w:rPr>
        <w:t>and</w:t>
      </w:r>
      <w:r>
        <w:rPr>
          <w:i/>
          <w:spacing w:val="-5"/>
          <w:sz w:val="20"/>
        </w:rPr>
        <w:t xml:space="preserve"> </w:t>
      </w:r>
      <w:r>
        <w:rPr>
          <w:i/>
          <w:sz w:val="20"/>
        </w:rPr>
        <w:t>Youth</w:t>
      </w:r>
      <w:r>
        <w:rPr>
          <w:sz w:val="20"/>
        </w:rPr>
        <w:t>.</w:t>
      </w:r>
      <w:r>
        <w:rPr>
          <w:spacing w:val="-7"/>
          <w:sz w:val="20"/>
        </w:rPr>
        <w:t xml:space="preserve"> </w:t>
      </w:r>
      <w:r>
        <w:rPr>
          <w:sz w:val="20"/>
        </w:rPr>
        <w:t>Retrieved</w:t>
      </w:r>
      <w:r>
        <w:rPr>
          <w:spacing w:val="-4"/>
          <w:sz w:val="20"/>
        </w:rPr>
        <w:t xml:space="preserve"> </w:t>
      </w:r>
      <w:r>
        <w:rPr>
          <w:sz w:val="20"/>
        </w:rPr>
        <w:t>on</w:t>
      </w:r>
      <w:r>
        <w:rPr>
          <w:spacing w:val="-5"/>
          <w:sz w:val="20"/>
        </w:rPr>
        <w:t xml:space="preserve"> </w:t>
      </w:r>
      <w:r>
        <w:rPr>
          <w:sz w:val="20"/>
        </w:rPr>
        <w:t>June</w:t>
      </w:r>
      <w:r>
        <w:rPr>
          <w:spacing w:val="-5"/>
          <w:sz w:val="20"/>
        </w:rPr>
        <w:t xml:space="preserve"> </w:t>
      </w:r>
      <w:r>
        <w:rPr>
          <w:sz w:val="20"/>
        </w:rPr>
        <w:t>9,</w:t>
      </w:r>
      <w:r>
        <w:rPr>
          <w:spacing w:val="-5"/>
          <w:sz w:val="20"/>
        </w:rPr>
        <w:t xml:space="preserve"> </w:t>
      </w:r>
      <w:r>
        <w:rPr>
          <w:sz w:val="20"/>
        </w:rPr>
        <w:t>2022</w:t>
      </w:r>
      <w:r>
        <w:rPr>
          <w:spacing w:val="-4"/>
          <w:sz w:val="20"/>
        </w:rPr>
        <w:t xml:space="preserve"> </w:t>
      </w:r>
      <w:r>
        <w:rPr>
          <w:sz w:val="20"/>
        </w:rPr>
        <w:t xml:space="preserve">from </w:t>
      </w:r>
      <w:bookmarkStart w:id="28" w:name="_bookmark12"/>
      <w:bookmarkEnd w:id="28"/>
      <w:r>
        <w:rPr>
          <w:spacing w:val="-2"/>
          <w:sz w:val="20"/>
        </w:rPr>
        <w:t>https://</w:t>
      </w:r>
      <w:hyperlink r:id="rId113">
        <w:r>
          <w:rPr>
            <w:spacing w:val="-2"/>
            <w:sz w:val="20"/>
          </w:rPr>
          <w:t>www.cdc.gov/healthyyouth/youth_hiv/hiv-information-and-youth.htm.</w:t>
        </w:r>
      </w:hyperlink>
    </w:p>
    <w:p w:rsidR="00C76E6D" w:rsidRDefault="00913831">
      <w:pPr>
        <w:ind w:left="481" w:right="802" w:hanging="3"/>
        <w:rPr>
          <w:sz w:val="20"/>
        </w:rPr>
      </w:pPr>
      <w:r>
        <w:rPr>
          <w:sz w:val="20"/>
          <w:vertAlign w:val="superscript"/>
        </w:rPr>
        <w:t>5</w:t>
      </w:r>
      <w:r>
        <w:rPr>
          <w:spacing w:val="-4"/>
          <w:sz w:val="20"/>
        </w:rPr>
        <w:t xml:space="preserve"> </w:t>
      </w:r>
      <w:r>
        <w:rPr>
          <w:sz w:val="20"/>
        </w:rPr>
        <w:t>Centers</w:t>
      </w:r>
      <w:r>
        <w:rPr>
          <w:spacing w:val="-5"/>
          <w:sz w:val="20"/>
        </w:rPr>
        <w:t xml:space="preserve"> </w:t>
      </w:r>
      <w:r>
        <w:rPr>
          <w:sz w:val="20"/>
        </w:rPr>
        <w:t>for</w:t>
      </w:r>
      <w:r>
        <w:rPr>
          <w:spacing w:val="-5"/>
          <w:sz w:val="20"/>
        </w:rPr>
        <w:t xml:space="preserve"> </w:t>
      </w:r>
      <w:r>
        <w:rPr>
          <w:sz w:val="20"/>
        </w:rPr>
        <w:t>Disease</w:t>
      </w:r>
      <w:r>
        <w:rPr>
          <w:spacing w:val="-4"/>
          <w:sz w:val="20"/>
        </w:rPr>
        <w:t xml:space="preserve"> </w:t>
      </w:r>
      <w:r>
        <w:rPr>
          <w:sz w:val="20"/>
        </w:rPr>
        <w:t>Control</w:t>
      </w:r>
      <w:r>
        <w:rPr>
          <w:spacing w:val="-7"/>
          <w:sz w:val="20"/>
        </w:rPr>
        <w:t xml:space="preserve"> </w:t>
      </w:r>
      <w:r>
        <w:rPr>
          <w:sz w:val="20"/>
        </w:rPr>
        <w:t>and</w:t>
      </w:r>
      <w:r>
        <w:rPr>
          <w:spacing w:val="-4"/>
          <w:sz w:val="20"/>
        </w:rPr>
        <w:t xml:space="preserve"> </w:t>
      </w:r>
      <w:r>
        <w:rPr>
          <w:sz w:val="20"/>
        </w:rPr>
        <w:t>Prevention.</w:t>
      </w:r>
      <w:r>
        <w:rPr>
          <w:spacing w:val="-5"/>
          <w:sz w:val="20"/>
        </w:rPr>
        <w:t xml:space="preserve"> </w:t>
      </w:r>
      <w:r>
        <w:rPr>
          <w:sz w:val="20"/>
        </w:rPr>
        <w:t>2021.</w:t>
      </w:r>
      <w:r>
        <w:rPr>
          <w:spacing w:val="-6"/>
          <w:sz w:val="20"/>
        </w:rPr>
        <w:t xml:space="preserve"> </w:t>
      </w:r>
      <w:r>
        <w:rPr>
          <w:i/>
          <w:sz w:val="20"/>
        </w:rPr>
        <w:t>Youth</w:t>
      </w:r>
      <w:r>
        <w:rPr>
          <w:i/>
          <w:spacing w:val="-7"/>
          <w:sz w:val="20"/>
        </w:rPr>
        <w:t xml:space="preserve"> </w:t>
      </w:r>
      <w:r>
        <w:rPr>
          <w:i/>
          <w:sz w:val="20"/>
        </w:rPr>
        <w:t>Risk</w:t>
      </w:r>
      <w:r>
        <w:rPr>
          <w:i/>
          <w:spacing w:val="-4"/>
          <w:sz w:val="20"/>
        </w:rPr>
        <w:t xml:space="preserve"> </w:t>
      </w:r>
      <w:r>
        <w:rPr>
          <w:i/>
          <w:sz w:val="20"/>
        </w:rPr>
        <w:t>Behavior</w:t>
      </w:r>
      <w:r>
        <w:rPr>
          <w:i/>
          <w:spacing w:val="-7"/>
          <w:sz w:val="20"/>
        </w:rPr>
        <w:t xml:space="preserve"> </w:t>
      </w:r>
      <w:r>
        <w:rPr>
          <w:i/>
          <w:sz w:val="20"/>
        </w:rPr>
        <w:t>Survey:</w:t>
      </w:r>
      <w:r>
        <w:rPr>
          <w:i/>
          <w:spacing w:val="-5"/>
          <w:sz w:val="20"/>
        </w:rPr>
        <w:t xml:space="preserve"> </w:t>
      </w:r>
      <w:r>
        <w:rPr>
          <w:i/>
          <w:sz w:val="20"/>
        </w:rPr>
        <w:t>Data</w:t>
      </w:r>
      <w:r>
        <w:rPr>
          <w:i/>
          <w:spacing w:val="-7"/>
          <w:sz w:val="20"/>
        </w:rPr>
        <w:t xml:space="preserve"> </w:t>
      </w:r>
      <w:r>
        <w:rPr>
          <w:i/>
          <w:sz w:val="20"/>
        </w:rPr>
        <w:t>Summary</w:t>
      </w:r>
      <w:r>
        <w:rPr>
          <w:i/>
          <w:spacing w:val="-5"/>
          <w:sz w:val="20"/>
        </w:rPr>
        <w:t xml:space="preserve"> </w:t>
      </w:r>
      <w:r>
        <w:rPr>
          <w:i/>
          <w:sz w:val="20"/>
        </w:rPr>
        <w:t>&amp;</w:t>
      </w:r>
      <w:r>
        <w:rPr>
          <w:i/>
          <w:spacing w:val="-4"/>
          <w:sz w:val="20"/>
        </w:rPr>
        <w:t xml:space="preserve"> </w:t>
      </w:r>
      <w:r>
        <w:rPr>
          <w:i/>
          <w:sz w:val="20"/>
        </w:rPr>
        <w:t>Trends</w:t>
      </w:r>
      <w:r>
        <w:rPr>
          <w:i/>
          <w:spacing w:val="-4"/>
          <w:sz w:val="20"/>
        </w:rPr>
        <w:t xml:space="preserve"> </w:t>
      </w:r>
      <w:r>
        <w:rPr>
          <w:i/>
          <w:sz w:val="20"/>
        </w:rPr>
        <w:t xml:space="preserve">Report 2009-2019. </w:t>
      </w:r>
      <w:r>
        <w:rPr>
          <w:sz w:val="20"/>
        </w:rPr>
        <w:t xml:space="preserve">Retrieved on June 9, 2022 from </w:t>
      </w:r>
      <w:r>
        <w:rPr>
          <w:spacing w:val="-2"/>
          <w:sz w:val="20"/>
        </w:rPr>
        <w:t>https://</w:t>
      </w:r>
      <w:hyperlink r:id="rId114">
        <w:r>
          <w:rPr>
            <w:spacing w:val="-2"/>
            <w:sz w:val="20"/>
          </w:rPr>
          <w:t>www.cdc.gov/healthyyouth/data/yrbs/yrbs_data_summary_and_trends.htm.</w:t>
        </w:r>
      </w:hyperlink>
    </w:p>
    <w:p w:rsidR="00C76E6D" w:rsidRDefault="00913831">
      <w:pPr>
        <w:ind w:left="481" w:right="530" w:hanging="3"/>
        <w:rPr>
          <w:sz w:val="20"/>
        </w:rPr>
      </w:pPr>
      <w:bookmarkStart w:id="29" w:name="_bookmark13"/>
      <w:bookmarkEnd w:id="29"/>
      <w:r>
        <w:rPr>
          <w:sz w:val="20"/>
          <w:vertAlign w:val="superscript"/>
        </w:rPr>
        <w:t>6</w:t>
      </w:r>
      <w:r>
        <w:rPr>
          <w:spacing w:val="-4"/>
          <w:sz w:val="20"/>
        </w:rPr>
        <w:t xml:space="preserve"> </w:t>
      </w:r>
      <w:r>
        <w:rPr>
          <w:sz w:val="20"/>
        </w:rPr>
        <w:t>The</w:t>
      </w:r>
      <w:r>
        <w:rPr>
          <w:spacing w:val="-7"/>
          <w:sz w:val="20"/>
        </w:rPr>
        <w:t xml:space="preserve"> </w:t>
      </w:r>
      <w:r>
        <w:rPr>
          <w:sz w:val="20"/>
        </w:rPr>
        <w:t>White</w:t>
      </w:r>
      <w:r>
        <w:rPr>
          <w:spacing w:val="-6"/>
          <w:sz w:val="20"/>
        </w:rPr>
        <w:t xml:space="preserve"> </w:t>
      </w:r>
      <w:r>
        <w:rPr>
          <w:sz w:val="20"/>
        </w:rPr>
        <w:t>House.</w:t>
      </w:r>
      <w:r>
        <w:rPr>
          <w:spacing w:val="-5"/>
          <w:sz w:val="20"/>
        </w:rPr>
        <w:t xml:space="preserve"> </w:t>
      </w:r>
      <w:r>
        <w:rPr>
          <w:sz w:val="20"/>
        </w:rPr>
        <w:t>(2021).</w:t>
      </w:r>
      <w:r>
        <w:rPr>
          <w:spacing w:val="-6"/>
          <w:sz w:val="20"/>
        </w:rPr>
        <w:t xml:space="preserve"> </w:t>
      </w:r>
      <w:r>
        <w:rPr>
          <w:i/>
          <w:sz w:val="20"/>
        </w:rPr>
        <w:t>National</w:t>
      </w:r>
      <w:r>
        <w:rPr>
          <w:i/>
          <w:spacing w:val="-7"/>
          <w:sz w:val="20"/>
        </w:rPr>
        <w:t xml:space="preserve"> </w:t>
      </w:r>
      <w:r>
        <w:rPr>
          <w:i/>
          <w:sz w:val="20"/>
        </w:rPr>
        <w:t>HIV/AIDS</w:t>
      </w:r>
      <w:r>
        <w:rPr>
          <w:i/>
          <w:spacing w:val="-6"/>
          <w:sz w:val="20"/>
        </w:rPr>
        <w:t xml:space="preserve"> </w:t>
      </w:r>
      <w:r>
        <w:rPr>
          <w:i/>
          <w:sz w:val="20"/>
        </w:rPr>
        <w:t>Strategy</w:t>
      </w:r>
      <w:r>
        <w:rPr>
          <w:i/>
          <w:spacing w:val="-4"/>
          <w:sz w:val="20"/>
        </w:rPr>
        <w:t xml:space="preserve"> </w:t>
      </w:r>
      <w:r>
        <w:rPr>
          <w:i/>
          <w:sz w:val="20"/>
        </w:rPr>
        <w:t>for</w:t>
      </w:r>
      <w:r>
        <w:rPr>
          <w:i/>
          <w:spacing w:val="-7"/>
          <w:sz w:val="20"/>
        </w:rPr>
        <w:t xml:space="preserve"> </w:t>
      </w:r>
      <w:r>
        <w:rPr>
          <w:i/>
          <w:sz w:val="20"/>
        </w:rPr>
        <w:t>the</w:t>
      </w:r>
      <w:r>
        <w:rPr>
          <w:i/>
          <w:spacing w:val="-5"/>
          <w:sz w:val="20"/>
        </w:rPr>
        <w:t xml:space="preserve"> </w:t>
      </w:r>
      <w:r>
        <w:rPr>
          <w:i/>
          <w:sz w:val="20"/>
        </w:rPr>
        <w:t>United</w:t>
      </w:r>
      <w:r>
        <w:rPr>
          <w:i/>
          <w:spacing w:val="-6"/>
          <w:sz w:val="20"/>
        </w:rPr>
        <w:t xml:space="preserve"> </w:t>
      </w:r>
      <w:r>
        <w:rPr>
          <w:i/>
          <w:sz w:val="20"/>
        </w:rPr>
        <w:t>States</w:t>
      </w:r>
      <w:r>
        <w:rPr>
          <w:i/>
          <w:spacing w:val="-5"/>
          <w:sz w:val="20"/>
        </w:rPr>
        <w:t xml:space="preserve"> </w:t>
      </w:r>
      <w:r>
        <w:rPr>
          <w:i/>
          <w:sz w:val="20"/>
        </w:rPr>
        <w:t>2022-2025</w:t>
      </w:r>
      <w:r>
        <w:rPr>
          <w:sz w:val="20"/>
        </w:rPr>
        <w:t>.</w:t>
      </w:r>
      <w:r>
        <w:rPr>
          <w:spacing w:val="-7"/>
          <w:sz w:val="20"/>
        </w:rPr>
        <w:t xml:space="preserve"> </w:t>
      </w:r>
      <w:r>
        <w:rPr>
          <w:sz w:val="20"/>
        </w:rPr>
        <w:t>Retrieved</w:t>
      </w:r>
      <w:r>
        <w:rPr>
          <w:spacing w:val="-4"/>
          <w:sz w:val="20"/>
        </w:rPr>
        <w:t xml:space="preserve"> </w:t>
      </w:r>
      <w:r>
        <w:rPr>
          <w:sz w:val="20"/>
        </w:rPr>
        <w:t>on</w:t>
      </w:r>
      <w:r>
        <w:rPr>
          <w:spacing w:val="-4"/>
          <w:sz w:val="20"/>
        </w:rPr>
        <w:t xml:space="preserve"> </w:t>
      </w:r>
      <w:r>
        <w:rPr>
          <w:sz w:val="20"/>
        </w:rPr>
        <w:t>June</w:t>
      </w:r>
      <w:r>
        <w:rPr>
          <w:spacing w:val="-6"/>
          <w:sz w:val="20"/>
        </w:rPr>
        <w:t xml:space="preserve"> </w:t>
      </w:r>
      <w:r>
        <w:rPr>
          <w:sz w:val="20"/>
        </w:rPr>
        <w:t>9,</w:t>
      </w:r>
      <w:r>
        <w:rPr>
          <w:spacing w:val="-5"/>
          <w:sz w:val="20"/>
        </w:rPr>
        <w:t xml:space="preserve"> </w:t>
      </w:r>
      <w:r>
        <w:rPr>
          <w:sz w:val="20"/>
        </w:rPr>
        <w:t xml:space="preserve">2022 </w:t>
      </w:r>
      <w:bookmarkStart w:id="30" w:name="_bookmark14"/>
      <w:bookmarkEnd w:id="30"/>
      <w:r>
        <w:rPr>
          <w:sz w:val="20"/>
        </w:rPr>
        <w:t>from https://</w:t>
      </w:r>
      <w:hyperlink r:id="rId115">
        <w:r>
          <w:rPr>
            <w:sz w:val="20"/>
          </w:rPr>
          <w:t>www.whitehouse.gov/wp-content/uploads/2021/11/National-HIV-AIDS-Strategy.pdf.</w:t>
        </w:r>
      </w:hyperlink>
    </w:p>
    <w:p w:rsidR="00C76E6D" w:rsidRDefault="00913831">
      <w:pPr>
        <w:ind w:left="480" w:right="530" w:hanging="2"/>
        <w:rPr>
          <w:sz w:val="20"/>
        </w:rPr>
      </w:pPr>
      <w:r>
        <w:rPr>
          <w:sz w:val="20"/>
          <w:vertAlign w:val="superscript"/>
        </w:rPr>
        <w:t>7</w:t>
      </w:r>
      <w:r>
        <w:rPr>
          <w:sz w:val="20"/>
        </w:rPr>
        <w:t xml:space="preserve"> Rasberry, C. N., Young, E., Szucs, L. E., et al. 2022. Increases in Student Knowledge and Protective Behaviors Followed</w:t>
      </w:r>
      <w:r>
        <w:rPr>
          <w:spacing w:val="-4"/>
          <w:sz w:val="20"/>
        </w:rPr>
        <w:t xml:space="preserve"> </w:t>
      </w:r>
      <w:r>
        <w:rPr>
          <w:sz w:val="20"/>
        </w:rPr>
        <w:t>Enhanced</w:t>
      </w:r>
      <w:r>
        <w:rPr>
          <w:spacing w:val="-6"/>
          <w:sz w:val="20"/>
        </w:rPr>
        <w:t xml:space="preserve"> </w:t>
      </w:r>
      <w:r>
        <w:rPr>
          <w:sz w:val="20"/>
        </w:rPr>
        <w:t>Supports</w:t>
      </w:r>
      <w:r>
        <w:rPr>
          <w:spacing w:val="-8"/>
          <w:sz w:val="20"/>
        </w:rPr>
        <w:t xml:space="preserve"> </w:t>
      </w:r>
      <w:r>
        <w:rPr>
          <w:sz w:val="20"/>
        </w:rPr>
        <w:t>for</w:t>
      </w:r>
      <w:r>
        <w:rPr>
          <w:spacing w:val="-5"/>
          <w:sz w:val="20"/>
        </w:rPr>
        <w:t xml:space="preserve"> </w:t>
      </w:r>
      <w:r>
        <w:rPr>
          <w:sz w:val="20"/>
        </w:rPr>
        <w:t>Sexual</w:t>
      </w:r>
      <w:r>
        <w:rPr>
          <w:spacing w:val="-7"/>
          <w:sz w:val="20"/>
        </w:rPr>
        <w:t xml:space="preserve"> </w:t>
      </w:r>
      <w:r>
        <w:rPr>
          <w:sz w:val="20"/>
        </w:rPr>
        <w:t>Health</w:t>
      </w:r>
      <w:r>
        <w:rPr>
          <w:spacing w:val="-5"/>
          <w:sz w:val="20"/>
        </w:rPr>
        <w:t xml:space="preserve"> </w:t>
      </w:r>
      <w:r>
        <w:rPr>
          <w:sz w:val="20"/>
        </w:rPr>
        <w:t>Education</w:t>
      </w:r>
      <w:r>
        <w:rPr>
          <w:spacing w:val="-4"/>
          <w:sz w:val="20"/>
        </w:rPr>
        <w:t xml:space="preserve"> </w:t>
      </w:r>
      <w:r>
        <w:rPr>
          <w:sz w:val="20"/>
        </w:rPr>
        <w:t>in</w:t>
      </w:r>
      <w:r>
        <w:rPr>
          <w:spacing w:val="-6"/>
          <w:sz w:val="20"/>
        </w:rPr>
        <w:t xml:space="preserve"> </w:t>
      </w:r>
      <w:r>
        <w:rPr>
          <w:sz w:val="20"/>
        </w:rPr>
        <w:t>a</w:t>
      </w:r>
      <w:r>
        <w:rPr>
          <w:spacing w:val="-4"/>
          <w:sz w:val="20"/>
        </w:rPr>
        <w:t xml:space="preserve"> </w:t>
      </w:r>
      <w:r>
        <w:rPr>
          <w:sz w:val="20"/>
        </w:rPr>
        <w:t>Large</w:t>
      </w:r>
      <w:r>
        <w:rPr>
          <w:sz w:val="20"/>
        </w:rPr>
        <w:t>,</w:t>
      </w:r>
      <w:r>
        <w:rPr>
          <w:spacing w:val="-4"/>
          <w:sz w:val="20"/>
        </w:rPr>
        <w:t xml:space="preserve"> </w:t>
      </w:r>
      <w:r>
        <w:rPr>
          <w:sz w:val="20"/>
        </w:rPr>
        <w:t>Urban</w:t>
      </w:r>
      <w:r>
        <w:rPr>
          <w:spacing w:val="-5"/>
          <w:sz w:val="20"/>
        </w:rPr>
        <w:t xml:space="preserve"> </w:t>
      </w:r>
      <w:r>
        <w:rPr>
          <w:sz w:val="20"/>
        </w:rPr>
        <w:t>School</w:t>
      </w:r>
      <w:r>
        <w:rPr>
          <w:spacing w:val="-6"/>
          <w:sz w:val="20"/>
        </w:rPr>
        <w:t xml:space="preserve"> </w:t>
      </w:r>
      <w:r>
        <w:rPr>
          <w:sz w:val="20"/>
        </w:rPr>
        <w:t>District.</w:t>
      </w:r>
      <w:r>
        <w:rPr>
          <w:spacing w:val="-5"/>
          <w:sz w:val="20"/>
        </w:rPr>
        <w:t xml:space="preserve"> </w:t>
      </w:r>
      <w:r>
        <w:rPr>
          <w:i/>
          <w:sz w:val="20"/>
        </w:rPr>
        <w:t>Journal</w:t>
      </w:r>
      <w:r>
        <w:rPr>
          <w:i/>
          <w:spacing w:val="-7"/>
          <w:sz w:val="20"/>
        </w:rPr>
        <w:t xml:space="preserve"> </w:t>
      </w:r>
      <w:r>
        <w:rPr>
          <w:i/>
          <w:sz w:val="20"/>
        </w:rPr>
        <w:t>of</w:t>
      </w:r>
      <w:r>
        <w:rPr>
          <w:i/>
          <w:spacing w:val="-6"/>
          <w:sz w:val="20"/>
        </w:rPr>
        <w:t xml:space="preserve"> </w:t>
      </w:r>
      <w:r>
        <w:rPr>
          <w:i/>
          <w:sz w:val="20"/>
        </w:rPr>
        <w:t xml:space="preserve">Adolescent Health, 70, </w:t>
      </w:r>
      <w:r>
        <w:rPr>
          <w:sz w:val="20"/>
        </w:rPr>
        <w:t>588-597.</w:t>
      </w:r>
    </w:p>
    <w:p w:rsidR="00C76E6D" w:rsidRDefault="00913831">
      <w:pPr>
        <w:spacing w:before="3" w:line="241" w:lineRule="exact"/>
        <w:ind w:left="480"/>
        <w:rPr>
          <w:sz w:val="20"/>
        </w:rPr>
      </w:pPr>
      <w:bookmarkStart w:id="31" w:name="_bookmark15"/>
      <w:bookmarkEnd w:id="31"/>
      <w:r>
        <w:rPr>
          <w:sz w:val="20"/>
          <w:vertAlign w:val="superscript"/>
        </w:rPr>
        <w:t>8</w:t>
      </w:r>
      <w:r>
        <w:rPr>
          <w:spacing w:val="-6"/>
          <w:sz w:val="20"/>
        </w:rPr>
        <w:t xml:space="preserve"> </w:t>
      </w:r>
      <w:bookmarkStart w:id="32" w:name="_bookmark16"/>
      <w:bookmarkEnd w:id="32"/>
      <w:r>
        <w:rPr>
          <w:sz w:val="20"/>
        </w:rPr>
        <w:t>House,</w:t>
      </w:r>
      <w:r>
        <w:rPr>
          <w:spacing w:val="-7"/>
          <w:sz w:val="20"/>
        </w:rPr>
        <w:t xml:space="preserve"> </w:t>
      </w:r>
      <w:r>
        <w:rPr>
          <w:sz w:val="20"/>
        </w:rPr>
        <w:t>J.</w:t>
      </w:r>
      <w:r>
        <w:rPr>
          <w:spacing w:val="-7"/>
          <w:sz w:val="20"/>
        </w:rPr>
        <w:t xml:space="preserve"> </w:t>
      </w:r>
      <w:r>
        <w:rPr>
          <w:sz w:val="20"/>
        </w:rPr>
        <w:t>S.,</w:t>
      </w:r>
      <w:r>
        <w:rPr>
          <w:spacing w:val="-5"/>
          <w:sz w:val="20"/>
        </w:rPr>
        <w:t xml:space="preserve"> </w:t>
      </w:r>
      <w:r>
        <w:rPr>
          <w:sz w:val="20"/>
        </w:rPr>
        <w:t>Landis,</w:t>
      </w:r>
      <w:r>
        <w:rPr>
          <w:spacing w:val="-6"/>
          <w:sz w:val="20"/>
        </w:rPr>
        <w:t xml:space="preserve"> </w:t>
      </w:r>
      <w:r>
        <w:rPr>
          <w:sz w:val="20"/>
        </w:rPr>
        <w:t>K.</w:t>
      </w:r>
      <w:r>
        <w:rPr>
          <w:spacing w:val="-8"/>
          <w:sz w:val="20"/>
        </w:rPr>
        <w:t xml:space="preserve"> </w:t>
      </w:r>
      <w:r>
        <w:rPr>
          <w:sz w:val="20"/>
        </w:rPr>
        <w:t>R,</w:t>
      </w:r>
      <w:r>
        <w:rPr>
          <w:spacing w:val="-8"/>
          <w:sz w:val="20"/>
        </w:rPr>
        <w:t xml:space="preserve"> </w:t>
      </w:r>
      <w:r>
        <w:rPr>
          <w:sz w:val="20"/>
        </w:rPr>
        <w:t>&amp;</w:t>
      </w:r>
      <w:r>
        <w:rPr>
          <w:spacing w:val="-5"/>
          <w:sz w:val="20"/>
        </w:rPr>
        <w:t xml:space="preserve"> </w:t>
      </w:r>
      <w:r>
        <w:rPr>
          <w:sz w:val="20"/>
        </w:rPr>
        <w:t>Umberson,</w:t>
      </w:r>
      <w:r>
        <w:rPr>
          <w:spacing w:val="-7"/>
          <w:sz w:val="20"/>
        </w:rPr>
        <w:t xml:space="preserve"> </w:t>
      </w:r>
      <w:r>
        <w:rPr>
          <w:sz w:val="20"/>
        </w:rPr>
        <w:t>D.</w:t>
      </w:r>
      <w:r>
        <w:rPr>
          <w:spacing w:val="-8"/>
          <w:sz w:val="20"/>
        </w:rPr>
        <w:t xml:space="preserve"> </w:t>
      </w:r>
      <w:r>
        <w:rPr>
          <w:sz w:val="20"/>
        </w:rPr>
        <w:t>(1988).</w:t>
      </w:r>
      <w:r>
        <w:rPr>
          <w:spacing w:val="-6"/>
          <w:sz w:val="20"/>
        </w:rPr>
        <w:t xml:space="preserve"> </w:t>
      </w:r>
      <w:r>
        <w:rPr>
          <w:sz w:val="20"/>
        </w:rPr>
        <w:t>Social</w:t>
      </w:r>
      <w:r>
        <w:rPr>
          <w:spacing w:val="-6"/>
          <w:sz w:val="20"/>
        </w:rPr>
        <w:t xml:space="preserve"> </w:t>
      </w:r>
      <w:r>
        <w:rPr>
          <w:sz w:val="20"/>
        </w:rPr>
        <w:t>Relationships</w:t>
      </w:r>
      <w:r>
        <w:rPr>
          <w:spacing w:val="-7"/>
          <w:sz w:val="20"/>
        </w:rPr>
        <w:t xml:space="preserve"> </w:t>
      </w:r>
      <w:r>
        <w:rPr>
          <w:sz w:val="20"/>
        </w:rPr>
        <w:t>and</w:t>
      </w:r>
      <w:r>
        <w:rPr>
          <w:spacing w:val="-7"/>
          <w:sz w:val="20"/>
        </w:rPr>
        <w:t xml:space="preserve"> </w:t>
      </w:r>
      <w:r>
        <w:rPr>
          <w:sz w:val="20"/>
        </w:rPr>
        <w:t>Health.</w:t>
      </w:r>
      <w:r>
        <w:rPr>
          <w:spacing w:val="-5"/>
          <w:sz w:val="20"/>
        </w:rPr>
        <w:t xml:space="preserve"> </w:t>
      </w:r>
      <w:r>
        <w:rPr>
          <w:i/>
          <w:sz w:val="20"/>
        </w:rPr>
        <w:t>Science,</w:t>
      </w:r>
      <w:r>
        <w:rPr>
          <w:i/>
          <w:spacing w:val="-6"/>
          <w:sz w:val="20"/>
        </w:rPr>
        <w:t xml:space="preserve"> </w:t>
      </w:r>
      <w:r>
        <w:rPr>
          <w:i/>
          <w:sz w:val="20"/>
        </w:rPr>
        <w:t>241,</w:t>
      </w:r>
      <w:r>
        <w:rPr>
          <w:i/>
          <w:spacing w:val="-7"/>
          <w:sz w:val="20"/>
        </w:rPr>
        <w:t xml:space="preserve"> </w:t>
      </w:r>
      <w:r>
        <w:rPr>
          <w:sz w:val="20"/>
        </w:rPr>
        <w:t>540-</w:t>
      </w:r>
      <w:r>
        <w:rPr>
          <w:spacing w:val="-4"/>
          <w:sz w:val="20"/>
        </w:rPr>
        <w:t>545.</w:t>
      </w:r>
    </w:p>
    <w:p w:rsidR="00C76E6D" w:rsidRDefault="00913831">
      <w:pPr>
        <w:ind w:left="480" w:right="530" w:hanging="2"/>
        <w:rPr>
          <w:sz w:val="20"/>
        </w:rPr>
      </w:pPr>
      <w:r>
        <w:rPr>
          <w:sz w:val="20"/>
          <w:vertAlign w:val="superscript"/>
        </w:rPr>
        <w:t>9</w:t>
      </w:r>
      <w:r>
        <w:rPr>
          <w:sz w:val="20"/>
        </w:rPr>
        <w:t xml:space="preserve"> Garcia, J., Vargas, N., Clark, J. L., Álvarez, M. M., Nelons, D. A., &amp; Parker, R. G. (2020). Social Isolation and Connectedness</w:t>
      </w:r>
      <w:r>
        <w:rPr>
          <w:spacing w:val="-7"/>
          <w:sz w:val="20"/>
        </w:rPr>
        <w:t xml:space="preserve"> </w:t>
      </w:r>
      <w:r>
        <w:rPr>
          <w:sz w:val="20"/>
        </w:rPr>
        <w:t>as</w:t>
      </w:r>
      <w:r>
        <w:rPr>
          <w:spacing w:val="-7"/>
          <w:sz w:val="20"/>
        </w:rPr>
        <w:t xml:space="preserve"> </w:t>
      </w:r>
      <w:r>
        <w:rPr>
          <w:sz w:val="20"/>
        </w:rPr>
        <w:t>Determinants</w:t>
      </w:r>
      <w:r>
        <w:rPr>
          <w:spacing w:val="-7"/>
          <w:sz w:val="20"/>
        </w:rPr>
        <w:t xml:space="preserve"> </w:t>
      </w:r>
      <w:r>
        <w:rPr>
          <w:sz w:val="20"/>
        </w:rPr>
        <w:t>of</w:t>
      </w:r>
      <w:r>
        <w:rPr>
          <w:spacing w:val="-7"/>
          <w:sz w:val="20"/>
        </w:rPr>
        <w:t xml:space="preserve"> </w:t>
      </w:r>
      <w:r>
        <w:rPr>
          <w:sz w:val="20"/>
        </w:rPr>
        <w:t>Well-Being:</w:t>
      </w:r>
      <w:r>
        <w:rPr>
          <w:spacing w:val="-7"/>
          <w:sz w:val="20"/>
        </w:rPr>
        <w:t xml:space="preserve"> </w:t>
      </w:r>
      <w:r>
        <w:rPr>
          <w:sz w:val="20"/>
        </w:rPr>
        <w:t>Global</w:t>
      </w:r>
      <w:r>
        <w:rPr>
          <w:spacing w:val="-9"/>
          <w:sz w:val="20"/>
        </w:rPr>
        <w:t xml:space="preserve"> </w:t>
      </w:r>
      <w:r>
        <w:rPr>
          <w:sz w:val="20"/>
        </w:rPr>
        <w:t>Evidence</w:t>
      </w:r>
      <w:r>
        <w:rPr>
          <w:spacing w:val="-8"/>
          <w:sz w:val="20"/>
        </w:rPr>
        <w:t xml:space="preserve"> </w:t>
      </w:r>
      <w:r>
        <w:rPr>
          <w:sz w:val="20"/>
        </w:rPr>
        <w:t>Mapping</w:t>
      </w:r>
      <w:r>
        <w:rPr>
          <w:spacing w:val="-8"/>
          <w:sz w:val="20"/>
        </w:rPr>
        <w:t xml:space="preserve"> </w:t>
      </w:r>
      <w:r>
        <w:rPr>
          <w:sz w:val="20"/>
        </w:rPr>
        <w:t>Focused</w:t>
      </w:r>
      <w:r>
        <w:rPr>
          <w:spacing w:val="-6"/>
          <w:sz w:val="20"/>
        </w:rPr>
        <w:t xml:space="preserve"> </w:t>
      </w:r>
      <w:r>
        <w:rPr>
          <w:sz w:val="20"/>
        </w:rPr>
        <w:t>on</w:t>
      </w:r>
      <w:r>
        <w:rPr>
          <w:spacing w:val="-6"/>
          <w:sz w:val="20"/>
        </w:rPr>
        <w:t xml:space="preserve"> </w:t>
      </w:r>
      <w:r>
        <w:rPr>
          <w:sz w:val="20"/>
        </w:rPr>
        <w:t>LGBTQ</w:t>
      </w:r>
      <w:r>
        <w:rPr>
          <w:spacing w:val="-7"/>
          <w:sz w:val="20"/>
        </w:rPr>
        <w:t xml:space="preserve"> </w:t>
      </w:r>
      <w:r>
        <w:rPr>
          <w:sz w:val="20"/>
        </w:rPr>
        <w:t>Youth.</w:t>
      </w:r>
      <w:r>
        <w:rPr>
          <w:spacing w:val="-7"/>
          <w:sz w:val="20"/>
        </w:rPr>
        <w:t xml:space="preserve"> </w:t>
      </w:r>
      <w:r>
        <w:rPr>
          <w:i/>
          <w:sz w:val="20"/>
        </w:rPr>
        <w:t>Global</w:t>
      </w:r>
      <w:r>
        <w:rPr>
          <w:i/>
          <w:spacing w:val="-7"/>
          <w:sz w:val="20"/>
        </w:rPr>
        <w:t xml:space="preserve"> </w:t>
      </w:r>
      <w:r>
        <w:rPr>
          <w:i/>
          <w:sz w:val="20"/>
        </w:rPr>
        <w:t xml:space="preserve">Public Health 15, </w:t>
      </w:r>
      <w:r>
        <w:rPr>
          <w:sz w:val="20"/>
        </w:rPr>
        <w:t>497-519.</w:t>
      </w:r>
    </w:p>
    <w:p w:rsidR="00C76E6D" w:rsidRDefault="00913831">
      <w:pPr>
        <w:ind w:left="480" w:right="530" w:hanging="2"/>
        <w:rPr>
          <w:sz w:val="20"/>
        </w:rPr>
      </w:pPr>
      <w:bookmarkStart w:id="33" w:name="_bookmark17"/>
      <w:bookmarkEnd w:id="33"/>
      <w:r>
        <w:rPr>
          <w:sz w:val="20"/>
          <w:vertAlign w:val="superscript"/>
        </w:rPr>
        <w:t>10</w:t>
      </w:r>
      <w:r>
        <w:rPr>
          <w:sz w:val="20"/>
        </w:rPr>
        <w:t xml:space="preserve"> Fish, J. N.</w:t>
      </w:r>
      <w:r>
        <w:rPr>
          <w:sz w:val="20"/>
        </w:rPr>
        <w:t>, McInroy, L. B., Paceley, M. S., Williams, N. D., et al. (2020). “I’m Kinda Stuck at Home with Unsupportive</w:t>
      </w:r>
      <w:r>
        <w:rPr>
          <w:spacing w:val="-7"/>
          <w:sz w:val="20"/>
        </w:rPr>
        <w:t xml:space="preserve"> </w:t>
      </w:r>
      <w:r>
        <w:rPr>
          <w:sz w:val="20"/>
        </w:rPr>
        <w:t>Parents</w:t>
      </w:r>
      <w:r>
        <w:rPr>
          <w:spacing w:val="-6"/>
          <w:sz w:val="20"/>
        </w:rPr>
        <w:t xml:space="preserve"> </w:t>
      </w:r>
      <w:r>
        <w:rPr>
          <w:sz w:val="20"/>
        </w:rPr>
        <w:t>Right</w:t>
      </w:r>
      <w:r>
        <w:rPr>
          <w:spacing w:val="-8"/>
          <w:sz w:val="20"/>
        </w:rPr>
        <w:t xml:space="preserve"> </w:t>
      </w:r>
      <w:r>
        <w:rPr>
          <w:sz w:val="20"/>
        </w:rPr>
        <w:t>Now”:</w:t>
      </w:r>
      <w:r>
        <w:rPr>
          <w:spacing w:val="-6"/>
          <w:sz w:val="20"/>
        </w:rPr>
        <w:t xml:space="preserve"> </w:t>
      </w:r>
      <w:r>
        <w:rPr>
          <w:sz w:val="20"/>
        </w:rPr>
        <w:t>LGBTQ</w:t>
      </w:r>
      <w:r>
        <w:rPr>
          <w:spacing w:val="-7"/>
          <w:sz w:val="20"/>
        </w:rPr>
        <w:t xml:space="preserve"> </w:t>
      </w:r>
      <w:r>
        <w:rPr>
          <w:sz w:val="20"/>
        </w:rPr>
        <w:t>Youths’</w:t>
      </w:r>
      <w:r>
        <w:rPr>
          <w:spacing w:val="-6"/>
          <w:sz w:val="20"/>
        </w:rPr>
        <w:t xml:space="preserve"> </w:t>
      </w:r>
      <w:r>
        <w:rPr>
          <w:sz w:val="20"/>
        </w:rPr>
        <w:t>Experiences</w:t>
      </w:r>
      <w:r>
        <w:rPr>
          <w:spacing w:val="-6"/>
          <w:sz w:val="20"/>
        </w:rPr>
        <w:t xml:space="preserve"> </w:t>
      </w:r>
      <w:r>
        <w:rPr>
          <w:sz w:val="20"/>
        </w:rPr>
        <w:t>with</w:t>
      </w:r>
      <w:r>
        <w:rPr>
          <w:spacing w:val="-7"/>
          <w:sz w:val="20"/>
        </w:rPr>
        <w:t xml:space="preserve"> </w:t>
      </w:r>
      <w:r>
        <w:rPr>
          <w:sz w:val="20"/>
        </w:rPr>
        <w:t>COVID-19</w:t>
      </w:r>
      <w:r>
        <w:rPr>
          <w:spacing w:val="-5"/>
          <w:sz w:val="20"/>
        </w:rPr>
        <w:t xml:space="preserve"> </w:t>
      </w:r>
      <w:r>
        <w:rPr>
          <w:sz w:val="20"/>
        </w:rPr>
        <w:t>and</w:t>
      </w:r>
      <w:r>
        <w:rPr>
          <w:spacing w:val="-7"/>
          <w:sz w:val="20"/>
        </w:rPr>
        <w:t xml:space="preserve"> </w:t>
      </w:r>
      <w:r>
        <w:rPr>
          <w:sz w:val="20"/>
        </w:rPr>
        <w:t>the</w:t>
      </w:r>
      <w:r>
        <w:rPr>
          <w:spacing w:val="-7"/>
          <w:sz w:val="20"/>
        </w:rPr>
        <w:t xml:space="preserve"> </w:t>
      </w:r>
      <w:r>
        <w:rPr>
          <w:sz w:val="20"/>
        </w:rPr>
        <w:t>Importance</w:t>
      </w:r>
      <w:r>
        <w:rPr>
          <w:spacing w:val="-5"/>
          <w:sz w:val="20"/>
        </w:rPr>
        <w:t xml:space="preserve"> </w:t>
      </w:r>
      <w:r>
        <w:rPr>
          <w:sz w:val="20"/>
        </w:rPr>
        <w:t>of</w:t>
      </w:r>
      <w:r>
        <w:rPr>
          <w:spacing w:val="-7"/>
          <w:sz w:val="20"/>
        </w:rPr>
        <w:t xml:space="preserve"> </w:t>
      </w:r>
      <w:r>
        <w:rPr>
          <w:sz w:val="20"/>
        </w:rPr>
        <w:t xml:space="preserve">Online </w:t>
      </w:r>
      <w:bookmarkStart w:id="34" w:name="_bookmark18"/>
      <w:bookmarkEnd w:id="34"/>
      <w:r>
        <w:rPr>
          <w:sz w:val="20"/>
        </w:rPr>
        <w:t xml:space="preserve">Support.” </w:t>
      </w:r>
      <w:r>
        <w:rPr>
          <w:i/>
          <w:sz w:val="20"/>
        </w:rPr>
        <w:t xml:space="preserve">The Journal of Adolescent Health, 67, </w:t>
      </w:r>
      <w:r>
        <w:rPr>
          <w:sz w:val="20"/>
        </w:rPr>
        <w:t>450-452.</w:t>
      </w:r>
    </w:p>
    <w:p w:rsidR="00C76E6D" w:rsidRDefault="00913831">
      <w:pPr>
        <w:ind w:left="480" w:right="846" w:hanging="3"/>
        <w:rPr>
          <w:sz w:val="20"/>
        </w:rPr>
      </w:pPr>
      <w:r>
        <w:rPr>
          <w:sz w:val="20"/>
          <w:vertAlign w:val="superscript"/>
        </w:rPr>
        <w:t>11</w:t>
      </w:r>
      <w:r>
        <w:rPr>
          <w:spacing w:val="-4"/>
          <w:sz w:val="20"/>
        </w:rPr>
        <w:t xml:space="preserve"> </w:t>
      </w:r>
      <w:r>
        <w:rPr>
          <w:sz w:val="20"/>
        </w:rPr>
        <w:t>Hatchel,</w:t>
      </w:r>
      <w:r>
        <w:rPr>
          <w:spacing w:val="-4"/>
          <w:sz w:val="20"/>
        </w:rPr>
        <w:t xml:space="preserve"> </w:t>
      </w:r>
      <w:r>
        <w:rPr>
          <w:sz w:val="20"/>
        </w:rPr>
        <w:t>T.,</w:t>
      </w:r>
      <w:r>
        <w:rPr>
          <w:spacing w:val="-6"/>
          <w:sz w:val="20"/>
        </w:rPr>
        <w:t xml:space="preserve"> </w:t>
      </w:r>
      <w:r>
        <w:rPr>
          <w:sz w:val="20"/>
        </w:rPr>
        <w:t>Espelage,</w:t>
      </w:r>
      <w:r>
        <w:rPr>
          <w:spacing w:val="-5"/>
          <w:sz w:val="20"/>
        </w:rPr>
        <w:t xml:space="preserve"> </w:t>
      </w:r>
      <w:r>
        <w:rPr>
          <w:sz w:val="20"/>
        </w:rPr>
        <w:t>D.,</w:t>
      </w:r>
      <w:r>
        <w:rPr>
          <w:spacing w:val="-4"/>
          <w:sz w:val="20"/>
        </w:rPr>
        <w:t xml:space="preserve"> </w:t>
      </w:r>
      <w:r>
        <w:rPr>
          <w:sz w:val="20"/>
        </w:rPr>
        <w:t>&amp;</w:t>
      </w:r>
      <w:r>
        <w:rPr>
          <w:spacing w:val="-7"/>
          <w:sz w:val="20"/>
        </w:rPr>
        <w:t xml:space="preserve"> </w:t>
      </w:r>
      <w:r>
        <w:rPr>
          <w:sz w:val="20"/>
        </w:rPr>
        <w:t>Merrin,</w:t>
      </w:r>
      <w:r>
        <w:rPr>
          <w:spacing w:val="-4"/>
          <w:sz w:val="20"/>
        </w:rPr>
        <w:t xml:space="preserve"> </w:t>
      </w:r>
      <w:r>
        <w:rPr>
          <w:sz w:val="20"/>
        </w:rPr>
        <w:t>G.</w:t>
      </w:r>
      <w:r>
        <w:rPr>
          <w:spacing w:val="-5"/>
          <w:sz w:val="20"/>
        </w:rPr>
        <w:t xml:space="preserve"> </w:t>
      </w:r>
      <w:r>
        <w:rPr>
          <w:sz w:val="20"/>
        </w:rPr>
        <w:t>J.</w:t>
      </w:r>
      <w:r>
        <w:rPr>
          <w:spacing w:val="-6"/>
          <w:sz w:val="20"/>
        </w:rPr>
        <w:t xml:space="preserve"> </w:t>
      </w:r>
      <w:r>
        <w:rPr>
          <w:sz w:val="20"/>
        </w:rPr>
        <w:t>(2019).</w:t>
      </w:r>
      <w:r>
        <w:rPr>
          <w:spacing w:val="-5"/>
          <w:sz w:val="20"/>
        </w:rPr>
        <w:t xml:space="preserve"> </w:t>
      </w:r>
      <w:r>
        <w:rPr>
          <w:sz w:val="20"/>
        </w:rPr>
        <w:t>Peer</w:t>
      </w:r>
      <w:r>
        <w:rPr>
          <w:spacing w:val="-6"/>
          <w:sz w:val="20"/>
        </w:rPr>
        <w:t xml:space="preserve"> </w:t>
      </w:r>
      <w:r>
        <w:rPr>
          <w:sz w:val="20"/>
        </w:rPr>
        <w:t>Victimization</w:t>
      </w:r>
      <w:r>
        <w:rPr>
          <w:spacing w:val="-4"/>
          <w:sz w:val="20"/>
        </w:rPr>
        <w:t xml:space="preserve"> </w:t>
      </w:r>
      <w:r>
        <w:rPr>
          <w:sz w:val="20"/>
        </w:rPr>
        <w:t>and</w:t>
      </w:r>
      <w:r>
        <w:rPr>
          <w:spacing w:val="-7"/>
          <w:sz w:val="20"/>
        </w:rPr>
        <w:t xml:space="preserve"> </w:t>
      </w:r>
      <w:r>
        <w:rPr>
          <w:sz w:val="20"/>
        </w:rPr>
        <w:t>Suicidality</w:t>
      </w:r>
      <w:r>
        <w:rPr>
          <w:spacing w:val="-5"/>
          <w:sz w:val="20"/>
        </w:rPr>
        <w:t xml:space="preserve"> </w:t>
      </w:r>
      <w:r>
        <w:rPr>
          <w:sz w:val="20"/>
        </w:rPr>
        <w:t>Among</w:t>
      </w:r>
      <w:r>
        <w:rPr>
          <w:spacing w:val="-4"/>
          <w:sz w:val="20"/>
        </w:rPr>
        <w:t xml:space="preserve"> </w:t>
      </w:r>
      <w:r>
        <w:rPr>
          <w:sz w:val="20"/>
        </w:rPr>
        <w:t>LGBTQ</w:t>
      </w:r>
      <w:r>
        <w:rPr>
          <w:spacing w:val="-6"/>
          <w:sz w:val="20"/>
        </w:rPr>
        <w:t xml:space="preserve"> </w:t>
      </w:r>
      <w:r>
        <w:rPr>
          <w:sz w:val="20"/>
        </w:rPr>
        <w:t>Youth:</w:t>
      </w:r>
      <w:r>
        <w:rPr>
          <w:spacing w:val="-5"/>
          <w:sz w:val="20"/>
        </w:rPr>
        <w:t xml:space="preserve"> </w:t>
      </w:r>
      <w:r>
        <w:rPr>
          <w:sz w:val="20"/>
        </w:rPr>
        <w:t xml:space="preserve">The Roles of School Belonging, Self-compassion, and Parental Support. </w:t>
      </w:r>
      <w:r>
        <w:rPr>
          <w:i/>
          <w:sz w:val="20"/>
        </w:rPr>
        <w:t xml:space="preserve">Journal of LGBT Youth 16, </w:t>
      </w:r>
      <w:r>
        <w:rPr>
          <w:sz w:val="20"/>
        </w:rPr>
        <w:t>134-156.</w:t>
      </w:r>
    </w:p>
    <w:p w:rsidR="00C76E6D" w:rsidRDefault="00913831">
      <w:pPr>
        <w:ind w:left="480" w:right="530" w:hanging="3"/>
        <w:rPr>
          <w:sz w:val="20"/>
        </w:rPr>
      </w:pPr>
      <w:bookmarkStart w:id="35" w:name="_bookmark19"/>
      <w:bookmarkEnd w:id="35"/>
      <w:r>
        <w:rPr>
          <w:sz w:val="20"/>
          <w:vertAlign w:val="superscript"/>
        </w:rPr>
        <w:t>12</w:t>
      </w:r>
      <w:r>
        <w:rPr>
          <w:spacing w:val="-4"/>
          <w:sz w:val="20"/>
        </w:rPr>
        <w:t xml:space="preserve"> </w:t>
      </w:r>
      <w:r>
        <w:rPr>
          <w:sz w:val="20"/>
        </w:rPr>
        <w:t>Feldman,</w:t>
      </w:r>
      <w:r>
        <w:rPr>
          <w:spacing w:val="-5"/>
          <w:sz w:val="20"/>
        </w:rPr>
        <w:t xml:space="preserve"> </w:t>
      </w:r>
      <w:r>
        <w:rPr>
          <w:sz w:val="20"/>
        </w:rPr>
        <w:t>S.,</w:t>
      </w:r>
      <w:r>
        <w:rPr>
          <w:spacing w:val="-6"/>
          <w:sz w:val="20"/>
        </w:rPr>
        <w:t xml:space="preserve"> </w:t>
      </w:r>
      <w:r>
        <w:rPr>
          <w:sz w:val="20"/>
        </w:rPr>
        <w:t>Watson,</w:t>
      </w:r>
      <w:r>
        <w:rPr>
          <w:spacing w:val="-5"/>
          <w:sz w:val="20"/>
        </w:rPr>
        <w:t xml:space="preserve"> </w:t>
      </w:r>
      <w:r>
        <w:rPr>
          <w:sz w:val="20"/>
        </w:rPr>
        <w:t>R.</w:t>
      </w:r>
      <w:r>
        <w:rPr>
          <w:spacing w:val="-5"/>
          <w:sz w:val="20"/>
        </w:rPr>
        <w:t xml:space="preserve"> </w:t>
      </w:r>
      <w:r>
        <w:rPr>
          <w:sz w:val="20"/>
        </w:rPr>
        <w:t>J.,</w:t>
      </w:r>
      <w:r>
        <w:rPr>
          <w:spacing w:val="-6"/>
          <w:sz w:val="20"/>
        </w:rPr>
        <w:t xml:space="preserve"> </w:t>
      </w:r>
      <w:r>
        <w:rPr>
          <w:sz w:val="20"/>
        </w:rPr>
        <w:t>&amp;</w:t>
      </w:r>
      <w:r>
        <w:rPr>
          <w:spacing w:val="-4"/>
          <w:sz w:val="20"/>
        </w:rPr>
        <w:t xml:space="preserve"> </w:t>
      </w:r>
      <w:r>
        <w:rPr>
          <w:sz w:val="20"/>
        </w:rPr>
        <w:t>Gallik,</w:t>
      </w:r>
      <w:r>
        <w:rPr>
          <w:spacing w:val="-4"/>
          <w:sz w:val="20"/>
        </w:rPr>
        <w:t xml:space="preserve"> </w:t>
      </w:r>
      <w:r>
        <w:rPr>
          <w:sz w:val="20"/>
        </w:rPr>
        <w:t>C.</w:t>
      </w:r>
      <w:r>
        <w:rPr>
          <w:spacing w:val="-6"/>
          <w:sz w:val="20"/>
        </w:rPr>
        <w:t xml:space="preserve"> </w:t>
      </w:r>
      <w:r>
        <w:rPr>
          <w:sz w:val="20"/>
        </w:rPr>
        <w:t>(2022).</w:t>
      </w:r>
      <w:r>
        <w:rPr>
          <w:spacing w:val="-5"/>
          <w:sz w:val="20"/>
        </w:rPr>
        <w:t xml:space="preserve"> </w:t>
      </w:r>
      <w:r>
        <w:rPr>
          <w:sz w:val="20"/>
        </w:rPr>
        <w:t>College</w:t>
      </w:r>
      <w:r>
        <w:rPr>
          <w:spacing w:val="-6"/>
          <w:sz w:val="20"/>
        </w:rPr>
        <w:t xml:space="preserve"> </w:t>
      </w:r>
      <w:r>
        <w:rPr>
          <w:sz w:val="20"/>
        </w:rPr>
        <w:t>Aspirations,</w:t>
      </w:r>
      <w:r>
        <w:rPr>
          <w:spacing w:val="-4"/>
          <w:sz w:val="20"/>
        </w:rPr>
        <w:t xml:space="preserve"> </w:t>
      </w:r>
      <w:r>
        <w:rPr>
          <w:sz w:val="20"/>
        </w:rPr>
        <w:t>Gender</w:t>
      </w:r>
      <w:r>
        <w:rPr>
          <w:spacing w:val="-5"/>
          <w:sz w:val="20"/>
        </w:rPr>
        <w:t xml:space="preserve"> </w:t>
      </w:r>
      <w:r>
        <w:rPr>
          <w:sz w:val="20"/>
        </w:rPr>
        <w:t>Sexuality</w:t>
      </w:r>
      <w:r>
        <w:rPr>
          <w:spacing w:val="-5"/>
          <w:sz w:val="20"/>
        </w:rPr>
        <w:t xml:space="preserve"> </w:t>
      </w:r>
      <w:r>
        <w:rPr>
          <w:sz w:val="20"/>
        </w:rPr>
        <w:t>Alliances,</w:t>
      </w:r>
      <w:r>
        <w:rPr>
          <w:spacing w:val="-4"/>
          <w:sz w:val="20"/>
        </w:rPr>
        <w:t xml:space="preserve"> </w:t>
      </w:r>
      <w:r>
        <w:rPr>
          <w:sz w:val="20"/>
        </w:rPr>
        <w:t>and</w:t>
      </w:r>
      <w:r>
        <w:rPr>
          <w:spacing w:val="-4"/>
          <w:sz w:val="20"/>
        </w:rPr>
        <w:t xml:space="preserve"> </w:t>
      </w:r>
      <w:r>
        <w:rPr>
          <w:sz w:val="20"/>
        </w:rPr>
        <w:t xml:space="preserve">Teacher </w:t>
      </w:r>
      <w:bookmarkStart w:id="36" w:name="_bookmark20"/>
      <w:bookmarkEnd w:id="36"/>
      <w:r>
        <w:rPr>
          <w:sz w:val="20"/>
        </w:rPr>
        <w:t xml:space="preserve">Support Among Diverse LGBTQ Youth. </w:t>
      </w:r>
      <w:r>
        <w:rPr>
          <w:i/>
          <w:sz w:val="20"/>
        </w:rPr>
        <w:t xml:space="preserve">Educational Review, 74, </w:t>
      </w:r>
      <w:r>
        <w:rPr>
          <w:sz w:val="20"/>
        </w:rPr>
        <w:t>281-297.</w:t>
      </w:r>
    </w:p>
    <w:p w:rsidR="00C76E6D" w:rsidRDefault="00913831">
      <w:pPr>
        <w:ind w:left="481" w:right="530" w:hanging="3"/>
        <w:rPr>
          <w:sz w:val="20"/>
        </w:rPr>
      </w:pPr>
      <w:r>
        <w:rPr>
          <w:sz w:val="20"/>
          <w:vertAlign w:val="superscript"/>
        </w:rPr>
        <w:t>13</w:t>
      </w:r>
      <w:r>
        <w:rPr>
          <w:spacing w:val="-4"/>
          <w:sz w:val="20"/>
        </w:rPr>
        <w:t xml:space="preserve"> </w:t>
      </w:r>
      <w:r>
        <w:rPr>
          <w:sz w:val="20"/>
        </w:rPr>
        <w:t>Thoits,</w:t>
      </w:r>
      <w:r>
        <w:rPr>
          <w:spacing w:val="-4"/>
          <w:sz w:val="20"/>
        </w:rPr>
        <w:t xml:space="preserve"> </w:t>
      </w:r>
      <w:r>
        <w:rPr>
          <w:sz w:val="20"/>
        </w:rPr>
        <w:t>P.</w:t>
      </w:r>
      <w:r>
        <w:rPr>
          <w:spacing w:val="-6"/>
          <w:sz w:val="20"/>
        </w:rPr>
        <w:t xml:space="preserve"> </w:t>
      </w:r>
      <w:r>
        <w:rPr>
          <w:sz w:val="20"/>
        </w:rPr>
        <w:t>A.</w:t>
      </w:r>
      <w:r>
        <w:rPr>
          <w:spacing w:val="-7"/>
          <w:sz w:val="20"/>
        </w:rPr>
        <w:t xml:space="preserve"> </w:t>
      </w:r>
      <w:r>
        <w:rPr>
          <w:sz w:val="20"/>
        </w:rPr>
        <w:t>(1995).</w:t>
      </w:r>
      <w:r>
        <w:rPr>
          <w:spacing w:val="-6"/>
          <w:sz w:val="20"/>
        </w:rPr>
        <w:t xml:space="preserve"> </w:t>
      </w:r>
      <w:r>
        <w:rPr>
          <w:sz w:val="20"/>
        </w:rPr>
        <w:t>Stress,</w:t>
      </w:r>
      <w:r>
        <w:rPr>
          <w:spacing w:val="-5"/>
          <w:sz w:val="20"/>
        </w:rPr>
        <w:t xml:space="preserve"> </w:t>
      </w:r>
      <w:r>
        <w:rPr>
          <w:sz w:val="20"/>
        </w:rPr>
        <w:t>Coping,</w:t>
      </w:r>
      <w:r>
        <w:rPr>
          <w:spacing w:val="-4"/>
          <w:sz w:val="20"/>
        </w:rPr>
        <w:t xml:space="preserve"> </w:t>
      </w:r>
      <w:r>
        <w:rPr>
          <w:sz w:val="20"/>
        </w:rPr>
        <w:t>and</w:t>
      </w:r>
      <w:r>
        <w:rPr>
          <w:spacing w:val="-5"/>
          <w:sz w:val="20"/>
        </w:rPr>
        <w:t xml:space="preserve"> </w:t>
      </w:r>
      <w:r>
        <w:rPr>
          <w:sz w:val="20"/>
        </w:rPr>
        <w:t>Social</w:t>
      </w:r>
      <w:r>
        <w:rPr>
          <w:spacing w:val="-5"/>
          <w:sz w:val="20"/>
        </w:rPr>
        <w:t xml:space="preserve"> </w:t>
      </w:r>
      <w:r>
        <w:rPr>
          <w:sz w:val="20"/>
        </w:rPr>
        <w:t>Support</w:t>
      </w:r>
      <w:r>
        <w:rPr>
          <w:spacing w:val="-4"/>
          <w:sz w:val="20"/>
        </w:rPr>
        <w:t xml:space="preserve"> </w:t>
      </w:r>
      <w:r>
        <w:rPr>
          <w:sz w:val="20"/>
        </w:rPr>
        <w:t>Processes:</w:t>
      </w:r>
      <w:r>
        <w:rPr>
          <w:spacing w:val="-5"/>
          <w:sz w:val="20"/>
        </w:rPr>
        <w:t xml:space="preserve"> </w:t>
      </w:r>
      <w:r>
        <w:rPr>
          <w:sz w:val="20"/>
        </w:rPr>
        <w:t>Where</w:t>
      </w:r>
      <w:r>
        <w:rPr>
          <w:spacing w:val="-6"/>
          <w:sz w:val="20"/>
        </w:rPr>
        <w:t xml:space="preserve"> </w:t>
      </w:r>
      <w:r>
        <w:rPr>
          <w:sz w:val="20"/>
        </w:rPr>
        <w:t>Are</w:t>
      </w:r>
      <w:r>
        <w:rPr>
          <w:spacing w:val="-6"/>
          <w:sz w:val="20"/>
        </w:rPr>
        <w:t xml:space="preserve"> </w:t>
      </w:r>
      <w:r>
        <w:rPr>
          <w:sz w:val="20"/>
        </w:rPr>
        <w:t>We?</w:t>
      </w:r>
      <w:r>
        <w:rPr>
          <w:spacing w:val="-6"/>
          <w:sz w:val="20"/>
        </w:rPr>
        <w:t xml:space="preserve"> </w:t>
      </w:r>
      <w:r>
        <w:rPr>
          <w:sz w:val="20"/>
        </w:rPr>
        <w:t>What</w:t>
      </w:r>
      <w:r>
        <w:rPr>
          <w:spacing w:val="-5"/>
          <w:sz w:val="20"/>
        </w:rPr>
        <w:t xml:space="preserve"> </w:t>
      </w:r>
      <w:r>
        <w:rPr>
          <w:sz w:val="20"/>
        </w:rPr>
        <w:t>Next?”</w:t>
      </w:r>
      <w:r>
        <w:rPr>
          <w:spacing w:val="-4"/>
          <w:sz w:val="20"/>
        </w:rPr>
        <w:t xml:space="preserve"> </w:t>
      </w:r>
      <w:r>
        <w:rPr>
          <w:i/>
          <w:sz w:val="20"/>
        </w:rPr>
        <w:t>Journal</w:t>
      </w:r>
      <w:r>
        <w:rPr>
          <w:i/>
          <w:spacing w:val="-5"/>
          <w:sz w:val="20"/>
        </w:rPr>
        <w:t xml:space="preserve"> </w:t>
      </w:r>
      <w:r>
        <w:rPr>
          <w:i/>
          <w:sz w:val="20"/>
        </w:rPr>
        <w:t>of</w:t>
      </w:r>
      <w:r>
        <w:rPr>
          <w:i/>
          <w:spacing w:val="-4"/>
          <w:sz w:val="20"/>
        </w:rPr>
        <w:t xml:space="preserve"> </w:t>
      </w:r>
      <w:r>
        <w:rPr>
          <w:i/>
          <w:sz w:val="20"/>
        </w:rPr>
        <w:t>Health</w:t>
      </w:r>
      <w:r>
        <w:rPr>
          <w:i/>
          <w:sz w:val="20"/>
        </w:rPr>
        <w:t xml:space="preserve"> and Social Behavior, Extra Issue, </w:t>
      </w:r>
      <w:r>
        <w:rPr>
          <w:sz w:val="20"/>
        </w:rPr>
        <w:t>53-79.</w:t>
      </w:r>
    </w:p>
    <w:p w:rsidR="00C76E6D" w:rsidRDefault="00C76E6D">
      <w:pPr>
        <w:rPr>
          <w:sz w:val="20"/>
        </w:rPr>
        <w:sectPr w:rsidR="00C76E6D">
          <w:pgSz w:w="12240" w:h="15840"/>
          <w:pgMar w:top="1000" w:right="960" w:bottom="1060" w:left="960" w:header="779" w:footer="864" w:gutter="0"/>
          <w:cols w:space="720"/>
        </w:sectPr>
      </w:pPr>
    </w:p>
    <w:p w:rsidR="00C76E6D" w:rsidRDefault="00C76E6D">
      <w:pPr>
        <w:pStyle w:val="BodyText"/>
        <w:rPr>
          <w:sz w:val="20"/>
        </w:rPr>
      </w:pPr>
    </w:p>
    <w:p w:rsidR="00C76E6D" w:rsidRDefault="00913831">
      <w:pPr>
        <w:pStyle w:val="Heading1"/>
        <w:spacing w:before="194"/>
      </w:pPr>
      <w:bookmarkStart w:id="37" w:name="SPECIAL_REPORT_ON_COVID-19_AND_LGBTQ_YOU"/>
      <w:bookmarkEnd w:id="37"/>
      <w:r>
        <w:t>SPECIAL</w:t>
      </w:r>
      <w:r>
        <w:rPr>
          <w:spacing w:val="-11"/>
        </w:rPr>
        <w:t xml:space="preserve"> </w:t>
      </w:r>
      <w:r>
        <w:t>REPORT</w:t>
      </w:r>
      <w:r>
        <w:rPr>
          <w:spacing w:val="-10"/>
        </w:rPr>
        <w:t xml:space="preserve"> </w:t>
      </w:r>
      <w:r>
        <w:t>ON</w:t>
      </w:r>
      <w:r>
        <w:rPr>
          <w:spacing w:val="-9"/>
        </w:rPr>
        <w:t xml:space="preserve"> </w:t>
      </w:r>
      <w:r>
        <w:t>COVID-19</w:t>
      </w:r>
      <w:r>
        <w:rPr>
          <w:spacing w:val="-11"/>
        </w:rPr>
        <w:t xml:space="preserve"> </w:t>
      </w:r>
      <w:r>
        <w:t>AND</w:t>
      </w:r>
      <w:r>
        <w:rPr>
          <w:spacing w:val="-9"/>
        </w:rPr>
        <w:t xml:space="preserve"> </w:t>
      </w:r>
      <w:r>
        <w:t>LGBTQ</w:t>
      </w:r>
      <w:r>
        <w:rPr>
          <w:spacing w:val="-11"/>
        </w:rPr>
        <w:t xml:space="preserve"> </w:t>
      </w:r>
      <w:r>
        <w:rPr>
          <w:spacing w:val="-2"/>
        </w:rPr>
        <w:t>YOUTH</w:t>
      </w:r>
    </w:p>
    <w:p w:rsidR="00C76E6D" w:rsidRDefault="00C76E6D">
      <w:pPr>
        <w:pStyle w:val="BodyText"/>
        <w:rPr>
          <w:b/>
          <w:sz w:val="20"/>
        </w:rPr>
      </w:pPr>
    </w:p>
    <w:p w:rsidR="00C76E6D" w:rsidRDefault="00913831">
      <w:pPr>
        <w:pStyle w:val="BodyText"/>
        <w:spacing w:before="1"/>
        <w:rPr>
          <w:b/>
          <w:sz w:val="10"/>
        </w:rPr>
      </w:pPr>
      <w:r>
        <w:pict>
          <v:shape id="docshape231" o:spid="_x0000_s1195" style="position:absolute;margin-left:70.6pt;margin-top:7.35pt;width:470.95pt;height:.1pt;z-index:-15703040;mso-wrap-distance-left:0;mso-wrap-distance-right:0;mso-position-horizontal-relative:page" coordorigin="1412,147" coordsize="9419,0" path="m1412,147r9419,e" filled="f" strokeweight="1.54pt">
            <v:path arrowok="t"/>
            <w10:wrap type="topAndBottom" anchorx="page"/>
          </v:shape>
        </w:pict>
      </w:r>
    </w:p>
    <w:p w:rsidR="00C76E6D" w:rsidRDefault="00913831">
      <w:pPr>
        <w:pStyle w:val="Heading5"/>
        <w:numPr>
          <w:ilvl w:val="0"/>
          <w:numId w:val="53"/>
        </w:numPr>
        <w:tabs>
          <w:tab w:val="left" w:pos="939"/>
        </w:tabs>
        <w:spacing w:before="277"/>
        <w:ind w:hanging="361"/>
        <w:jc w:val="left"/>
      </w:pPr>
      <w:bookmarkStart w:id="38" w:name="_bookmark21"/>
      <w:bookmarkEnd w:id="38"/>
      <w:r>
        <w:rPr>
          <w:spacing w:val="-2"/>
        </w:rPr>
        <w:t>Introduction</w:t>
      </w:r>
    </w:p>
    <w:p w:rsidR="00C76E6D" w:rsidRDefault="00913831">
      <w:pPr>
        <w:pStyle w:val="BodyText"/>
        <w:spacing w:before="6"/>
        <w:rPr>
          <w:b/>
          <w:sz w:val="19"/>
        </w:rPr>
      </w:pPr>
      <w:r>
        <w:pict>
          <v:shape id="docshape232" o:spid="_x0000_s1194" style="position:absolute;margin-left:1in;margin-top:13.15pt;width:466.3pt;height:.1pt;z-index:-15702528;mso-wrap-distance-left:0;mso-wrap-distance-right:0;mso-position-horizontal-relative:page" coordorigin="1440,263" coordsize="9326,0" path="m1440,263r9326,e" filled="f" strokeweight=".40958mm">
            <v:path arrowok="t"/>
            <w10:wrap type="topAndBottom" anchorx="page"/>
          </v:shape>
        </w:pict>
      </w:r>
    </w:p>
    <w:p w:rsidR="00C76E6D" w:rsidRDefault="00C76E6D">
      <w:pPr>
        <w:pStyle w:val="BodyText"/>
        <w:spacing w:before="3"/>
        <w:rPr>
          <w:b/>
          <w:sz w:val="26"/>
        </w:rPr>
      </w:pPr>
    </w:p>
    <w:p w:rsidR="00C76E6D" w:rsidRDefault="00913831">
      <w:pPr>
        <w:pStyle w:val="BodyText"/>
        <w:spacing w:line="276" w:lineRule="auto"/>
        <w:ind w:left="481" w:right="472" w:hanging="2"/>
        <w:jc w:val="both"/>
      </w:pPr>
      <w:r>
        <w:t>Presently,</w:t>
      </w:r>
      <w:r>
        <w:rPr>
          <w:spacing w:val="-4"/>
        </w:rPr>
        <w:t xml:space="preserve"> </w:t>
      </w:r>
      <w:r>
        <w:t>there</w:t>
      </w:r>
      <w:r>
        <w:rPr>
          <w:spacing w:val="-4"/>
        </w:rPr>
        <w:t xml:space="preserve"> </w:t>
      </w:r>
      <w:r>
        <w:t>is</w:t>
      </w:r>
      <w:r>
        <w:rPr>
          <w:spacing w:val="-4"/>
        </w:rPr>
        <w:t xml:space="preserve"> </w:t>
      </w:r>
      <w:r>
        <w:t>little</w:t>
      </w:r>
      <w:r>
        <w:rPr>
          <w:spacing w:val="-3"/>
        </w:rPr>
        <w:t xml:space="preserve"> </w:t>
      </w:r>
      <w:r>
        <w:t>data</w:t>
      </w:r>
      <w:r>
        <w:rPr>
          <w:spacing w:val="-4"/>
        </w:rPr>
        <w:t xml:space="preserve"> </w:t>
      </w:r>
      <w:r>
        <w:t>capturing</w:t>
      </w:r>
      <w:r>
        <w:rPr>
          <w:spacing w:val="-4"/>
        </w:rPr>
        <w:t xml:space="preserve"> </w:t>
      </w:r>
      <w:r>
        <w:t>the</w:t>
      </w:r>
      <w:r>
        <w:rPr>
          <w:spacing w:val="-4"/>
        </w:rPr>
        <w:t xml:space="preserve"> </w:t>
      </w:r>
      <w:r>
        <w:t>impact</w:t>
      </w:r>
      <w:r>
        <w:rPr>
          <w:spacing w:val="-4"/>
        </w:rPr>
        <w:t xml:space="preserve"> </w:t>
      </w:r>
      <w:r>
        <w:t>of</w:t>
      </w:r>
      <w:r>
        <w:rPr>
          <w:spacing w:val="-2"/>
        </w:rPr>
        <w:t xml:space="preserve"> </w:t>
      </w:r>
      <w:r>
        <w:t>COVID</w:t>
      </w:r>
      <w:r>
        <w:rPr>
          <w:spacing w:val="-4"/>
        </w:rPr>
        <w:t xml:space="preserve"> </w:t>
      </w:r>
      <w:r>
        <w:t>on</w:t>
      </w:r>
      <w:r>
        <w:rPr>
          <w:spacing w:val="-4"/>
        </w:rPr>
        <w:t xml:space="preserve"> </w:t>
      </w:r>
      <w:r>
        <w:t>LGBTQ</w:t>
      </w:r>
      <w:r>
        <w:rPr>
          <w:spacing w:val="-4"/>
        </w:rPr>
        <w:t xml:space="preserve"> </w:t>
      </w:r>
      <w:r>
        <w:t>youth</w:t>
      </w:r>
      <w:r>
        <w:rPr>
          <w:spacing w:val="-4"/>
        </w:rPr>
        <w:t xml:space="preserve"> </w:t>
      </w:r>
      <w:r>
        <w:t>and</w:t>
      </w:r>
      <w:r>
        <w:rPr>
          <w:spacing w:val="-4"/>
        </w:rPr>
        <w:t xml:space="preserve"> </w:t>
      </w:r>
      <w:r>
        <w:t>adults,</w:t>
      </w:r>
      <w:r>
        <w:rPr>
          <w:spacing w:val="-4"/>
        </w:rPr>
        <w:t xml:space="preserve"> </w:t>
      </w:r>
      <w:r>
        <w:t>particularly</w:t>
      </w:r>
      <w:r>
        <w:rPr>
          <w:spacing w:val="-4"/>
        </w:rPr>
        <w:t xml:space="preserve"> </w:t>
      </w:r>
      <w:r>
        <w:t>after mid-2021. However, available studies show that the pandemic presents a unique and adverse socio- economic impact on LGBTQ youth. The pandemic has exacerbated economic and housing instability, unsafe</w:t>
      </w:r>
      <w:r>
        <w:rPr>
          <w:spacing w:val="-2"/>
        </w:rPr>
        <w:t xml:space="preserve"> </w:t>
      </w:r>
      <w:r>
        <w:t>and unsupportive home</w:t>
      </w:r>
      <w:r>
        <w:rPr>
          <w:spacing w:val="-1"/>
        </w:rPr>
        <w:t xml:space="preserve"> </w:t>
      </w:r>
      <w:r>
        <w:t>environments,</w:t>
      </w:r>
      <w:r>
        <w:rPr>
          <w:spacing w:val="-1"/>
        </w:rPr>
        <w:t xml:space="preserve"> </w:t>
      </w:r>
      <w:r>
        <w:t>inadequate acce</w:t>
      </w:r>
      <w:r>
        <w:t>ss</w:t>
      </w:r>
      <w:r>
        <w:rPr>
          <w:spacing w:val="-1"/>
        </w:rPr>
        <w:t xml:space="preserve"> </w:t>
      </w:r>
      <w:r>
        <w:t>to support</w:t>
      </w:r>
      <w:r>
        <w:rPr>
          <w:spacing w:val="-1"/>
        </w:rPr>
        <w:t xml:space="preserve"> </w:t>
      </w:r>
      <w:r>
        <w:t>systems,</w:t>
      </w:r>
      <w:r>
        <w:rPr>
          <w:spacing w:val="-1"/>
        </w:rPr>
        <w:t xml:space="preserve"> </w:t>
      </w:r>
      <w:r>
        <w:t>and mental health challenges faced</w:t>
      </w:r>
      <w:r>
        <w:rPr>
          <w:spacing w:val="-1"/>
        </w:rPr>
        <w:t xml:space="preserve"> </w:t>
      </w:r>
      <w:r>
        <w:t>by LGBTQ</w:t>
      </w:r>
      <w:r>
        <w:rPr>
          <w:spacing w:val="-1"/>
        </w:rPr>
        <w:t xml:space="preserve"> </w:t>
      </w:r>
      <w:r>
        <w:t>youth.</w:t>
      </w:r>
      <w:r>
        <w:rPr>
          <w:spacing w:val="-1"/>
        </w:rPr>
        <w:t xml:space="preserve"> </w:t>
      </w:r>
      <w:r>
        <w:t>These</w:t>
      </w:r>
      <w:r>
        <w:rPr>
          <w:spacing w:val="-1"/>
        </w:rPr>
        <w:t xml:space="preserve"> </w:t>
      </w:r>
      <w:r>
        <w:t>health</w:t>
      </w:r>
      <w:r>
        <w:rPr>
          <w:spacing w:val="-1"/>
        </w:rPr>
        <w:t xml:space="preserve"> </w:t>
      </w:r>
      <w:r>
        <w:t>and socio-economic</w:t>
      </w:r>
      <w:r>
        <w:rPr>
          <w:spacing w:val="-1"/>
        </w:rPr>
        <w:t xml:space="preserve"> </w:t>
      </w:r>
      <w:r>
        <w:t>disparities exist</w:t>
      </w:r>
      <w:r>
        <w:rPr>
          <w:spacing w:val="-1"/>
        </w:rPr>
        <w:t xml:space="preserve"> </w:t>
      </w:r>
      <w:r>
        <w:t>at</w:t>
      </w:r>
      <w:r>
        <w:rPr>
          <w:spacing w:val="-1"/>
        </w:rPr>
        <w:t xml:space="preserve"> </w:t>
      </w:r>
      <w:r>
        <w:t>the national</w:t>
      </w:r>
      <w:r>
        <w:rPr>
          <w:spacing w:val="-2"/>
        </w:rPr>
        <w:t xml:space="preserve"> </w:t>
      </w:r>
      <w:r>
        <w:t>level and state level in Massachusetts.</w:t>
      </w:r>
    </w:p>
    <w:p w:rsidR="00C76E6D" w:rsidRDefault="00C76E6D">
      <w:pPr>
        <w:pStyle w:val="BodyText"/>
        <w:spacing w:before="4"/>
        <w:rPr>
          <w:sz w:val="25"/>
        </w:rPr>
      </w:pPr>
    </w:p>
    <w:p w:rsidR="00C76E6D" w:rsidRDefault="00913831">
      <w:pPr>
        <w:pStyle w:val="BodyText"/>
        <w:spacing w:line="276" w:lineRule="auto"/>
        <w:ind w:left="481" w:right="475" w:hanging="2"/>
        <w:jc w:val="both"/>
      </w:pPr>
      <w:r>
        <w:t>Over</w:t>
      </w:r>
      <w:r>
        <w:rPr>
          <w:spacing w:val="-1"/>
        </w:rPr>
        <w:t xml:space="preserve"> </w:t>
      </w:r>
      <w:r>
        <w:t>the</w:t>
      </w:r>
      <w:r>
        <w:rPr>
          <w:spacing w:val="-1"/>
        </w:rPr>
        <w:t xml:space="preserve"> </w:t>
      </w:r>
      <w:r>
        <w:t>past</w:t>
      </w:r>
      <w:r>
        <w:rPr>
          <w:spacing w:val="-1"/>
        </w:rPr>
        <w:t xml:space="preserve"> </w:t>
      </w:r>
      <w:r>
        <w:t>year, there</w:t>
      </w:r>
      <w:r>
        <w:rPr>
          <w:spacing w:val="-1"/>
        </w:rPr>
        <w:t xml:space="preserve"> </w:t>
      </w:r>
      <w:r>
        <w:t>have</w:t>
      </w:r>
      <w:r>
        <w:rPr>
          <w:spacing w:val="-2"/>
        </w:rPr>
        <w:t xml:space="preserve"> </w:t>
      </w:r>
      <w:r>
        <w:t>been</w:t>
      </w:r>
      <w:r>
        <w:rPr>
          <w:spacing w:val="-1"/>
        </w:rPr>
        <w:t xml:space="preserve"> </w:t>
      </w:r>
      <w:r>
        <w:t>widespread</w:t>
      </w:r>
      <w:r>
        <w:rPr>
          <w:spacing w:val="-2"/>
        </w:rPr>
        <w:t xml:space="preserve"> </w:t>
      </w:r>
      <w:r>
        <w:t>vaccination</w:t>
      </w:r>
      <w:r>
        <w:rPr>
          <w:spacing w:val="-2"/>
        </w:rPr>
        <w:t xml:space="preserve"> </w:t>
      </w:r>
      <w:r>
        <w:t>and</w:t>
      </w:r>
      <w:r>
        <w:rPr>
          <w:spacing w:val="-1"/>
        </w:rPr>
        <w:t xml:space="preserve"> </w:t>
      </w:r>
      <w:r>
        <w:t>booster</w:t>
      </w:r>
      <w:r>
        <w:rPr>
          <w:spacing w:val="-1"/>
        </w:rPr>
        <w:t xml:space="preserve"> </w:t>
      </w:r>
      <w:r>
        <w:t>campaigns that</w:t>
      </w:r>
      <w:r>
        <w:rPr>
          <w:spacing w:val="-1"/>
        </w:rPr>
        <w:t xml:space="preserve"> </w:t>
      </w:r>
      <w:r>
        <w:t>invited hope to many around the nation and within the state of Massachusetts. However, the arrival of the Delta and Omicron variants brought outbreaks and the return of public health measures, such as indoor mask mandates.</w:t>
      </w:r>
      <w:r>
        <w:rPr>
          <w:spacing w:val="-4"/>
        </w:rPr>
        <w:t xml:space="preserve"> </w:t>
      </w:r>
      <w:r>
        <w:t>While</w:t>
      </w:r>
      <w:r>
        <w:rPr>
          <w:spacing w:val="-4"/>
        </w:rPr>
        <w:t xml:space="preserve"> </w:t>
      </w:r>
      <w:r>
        <w:t>these</w:t>
      </w:r>
      <w:r>
        <w:rPr>
          <w:spacing w:val="-3"/>
        </w:rPr>
        <w:t xml:space="preserve"> </w:t>
      </w:r>
      <w:r>
        <w:t>measur</w:t>
      </w:r>
      <w:r>
        <w:t>es</w:t>
      </w:r>
      <w:r>
        <w:rPr>
          <w:spacing w:val="-5"/>
        </w:rPr>
        <w:t xml:space="preserve"> </w:t>
      </w:r>
      <w:r>
        <w:t>have</w:t>
      </w:r>
      <w:r>
        <w:rPr>
          <w:spacing w:val="-5"/>
        </w:rPr>
        <w:t xml:space="preserve"> </w:t>
      </w:r>
      <w:r>
        <w:t>eased,</w:t>
      </w:r>
      <w:r>
        <w:rPr>
          <w:spacing w:val="-5"/>
        </w:rPr>
        <w:t xml:space="preserve"> </w:t>
      </w:r>
      <w:r>
        <w:t>the</w:t>
      </w:r>
      <w:r>
        <w:rPr>
          <w:spacing w:val="-4"/>
        </w:rPr>
        <w:t xml:space="preserve"> </w:t>
      </w:r>
      <w:r>
        <w:t>pandemic</w:t>
      </w:r>
      <w:r>
        <w:rPr>
          <w:spacing w:val="-5"/>
        </w:rPr>
        <w:t xml:space="preserve"> </w:t>
      </w:r>
      <w:r>
        <w:t>continues</w:t>
      </w:r>
      <w:r>
        <w:rPr>
          <w:spacing w:val="-4"/>
        </w:rPr>
        <w:t xml:space="preserve"> </w:t>
      </w:r>
      <w:r>
        <w:t>to</w:t>
      </w:r>
      <w:r>
        <w:rPr>
          <w:spacing w:val="-3"/>
        </w:rPr>
        <w:t xml:space="preserve"> </w:t>
      </w:r>
      <w:r>
        <w:t>bring</w:t>
      </w:r>
      <w:r>
        <w:rPr>
          <w:spacing w:val="-4"/>
        </w:rPr>
        <w:t xml:space="preserve"> </w:t>
      </w:r>
      <w:r>
        <w:t>hardship</w:t>
      </w:r>
      <w:r>
        <w:rPr>
          <w:spacing w:val="-5"/>
        </w:rPr>
        <w:t xml:space="preserve"> </w:t>
      </w:r>
      <w:r>
        <w:t>to</w:t>
      </w:r>
      <w:r>
        <w:rPr>
          <w:spacing w:val="-3"/>
        </w:rPr>
        <w:t xml:space="preserve"> </w:t>
      </w:r>
      <w:r>
        <w:t>young</w:t>
      </w:r>
      <w:r>
        <w:rPr>
          <w:spacing w:val="-4"/>
        </w:rPr>
        <w:t xml:space="preserve"> </w:t>
      </w:r>
      <w:r>
        <w:t>people and youth, particularly those from marginalized communities.</w:t>
      </w:r>
    </w:p>
    <w:p w:rsidR="00C76E6D" w:rsidRDefault="00C76E6D">
      <w:pPr>
        <w:pStyle w:val="BodyText"/>
      </w:pPr>
    </w:p>
    <w:p w:rsidR="00C76E6D" w:rsidRDefault="00C76E6D">
      <w:pPr>
        <w:pStyle w:val="BodyText"/>
        <w:spacing w:before="1"/>
        <w:rPr>
          <w:sz w:val="23"/>
        </w:rPr>
      </w:pPr>
    </w:p>
    <w:p w:rsidR="00C76E6D" w:rsidRDefault="00913831">
      <w:pPr>
        <w:pStyle w:val="Heading5"/>
        <w:numPr>
          <w:ilvl w:val="0"/>
          <w:numId w:val="53"/>
        </w:numPr>
        <w:tabs>
          <w:tab w:val="left" w:pos="732"/>
        </w:tabs>
        <w:ind w:left="732" w:hanging="252"/>
        <w:jc w:val="left"/>
      </w:pPr>
      <w:r>
        <w:pict>
          <v:shape id="docshape233" o:spid="_x0000_s1193" style="position:absolute;left:0;text-align:left;margin-left:70.6pt;margin-top:16.35pt;width:470.95pt;height:.1pt;z-index:-15702016;mso-wrap-distance-left:0;mso-wrap-distance-right:0;mso-position-horizontal-relative:page" coordorigin="1412,327" coordsize="9419,0" path="m1412,327r9419,e" filled="f" strokeweight="1.54pt">
            <v:path arrowok="t"/>
            <w10:wrap type="topAndBottom" anchorx="page"/>
          </v:shape>
        </w:pict>
      </w:r>
      <w:bookmarkStart w:id="39" w:name="B._Recommendations_on_Public_Health_Meas"/>
      <w:bookmarkEnd w:id="39"/>
      <w:r>
        <w:t>Recommendations</w:t>
      </w:r>
      <w:r>
        <w:rPr>
          <w:spacing w:val="-13"/>
        </w:rPr>
        <w:t xml:space="preserve"> </w:t>
      </w:r>
      <w:r>
        <w:t>on</w:t>
      </w:r>
      <w:r>
        <w:rPr>
          <w:spacing w:val="-8"/>
        </w:rPr>
        <w:t xml:space="preserve"> </w:t>
      </w:r>
      <w:r>
        <w:t>Public</w:t>
      </w:r>
      <w:r>
        <w:rPr>
          <w:spacing w:val="-10"/>
        </w:rPr>
        <w:t xml:space="preserve"> </w:t>
      </w:r>
      <w:r>
        <w:t>Health</w:t>
      </w:r>
      <w:r>
        <w:rPr>
          <w:spacing w:val="-11"/>
        </w:rPr>
        <w:t xml:space="preserve"> </w:t>
      </w:r>
      <w:r>
        <w:t>Measures</w:t>
      </w:r>
      <w:r>
        <w:rPr>
          <w:spacing w:val="-7"/>
        </w:rPr>
        <w:t xml:space="preserve"> </w:t>
      </w:r>
      <w:r>
        <w:t>That</w:t>
      </w:r>
      <w:r>
        <w:rPr>
          <w:spacing w:val="-11"/>
        </w:rPr>
        <w:t xml:space="preserve"> </w:t>
      </w:r>
      <w:r>
        <w:t>Massachusetts</w:t>
      </w:r>
      <w:r>
        <w:rPr>
          <w:spacing w:val="-14"/>
        </w:rPr>
        <w:t xml:space="preserve"> </w:t>
      </w:r>
      <w:r>
        <w:t>Should</w:t>
      </w:r>
      <w:r>
        <w:rPr>
          <w:spacing w:val="-13"/>
        </w:rPr>
        <w:t xml:space="preserve"> </w:t>
      </w:r>
      <w:r>
        <w:rPr>
          <w:spacing w:val="-2"/>
        </w:rPr>
        <w:t>Enact</w:t>
      </w:r>
    </w:p>
    <w:p w:rsidR="00C76E6D" w:rsidRDefault="00C76E6D">
      <w:pPr>
        <w:pStyle w:val="BodyText"/>
        <w:spacing w:before="9"/>
        <w:rPr>
          <w:b/>
          <w:sz w:val="25"/>
        </w:rPr>
      </w:pPr>
    </w:p>
    <w:p w:rsidR="00C76E6D" w:rsidRDefault="00913831">
      <w:pPr>
        <w:pStyle w:val="BodyText"/>
        <w:spacing w:before="1" w:line="276" w:lineRule="auto"/>
        <w:ind w:left="480" w:right="473"/>
        <w:jc w:val="both"/>
      </w:pPr>
      <w:r>
        <w:t>Given the current national and local landscape, the Commission urges the Commonwealth of Massachusetts to take action and provide equitable and inclusive responses that center on the experiences of LGBTQ youth, youth of color, and other marginalized popula</w:t>
      </w:r>
      <w:r>
        <w:t>tions. This Commission specifically</w:t>
      </w:r>
      <w:r>
        <w:rPr>
          <w:spacing w:val="-11"/>
        </w:rPr>
        <w:t xml:space="preserve"> </w:t>
      </w:r>
      <w:r>
        <w:t>supports</w:t>
      </w:r>
      <w:r>
        <w:rPr>
          <w:spacing w:val="-12"/>
        </w:rPr>
        <w:t xml:space="preserve"> </w:t>
      </w:r>
      <w:r>
        <w:t>the</w:t>
      </w:r>
      <w:r>
        <w:rPr>
          <w:spacing w:val="-11"/>
        </w:rPr>
        <w:t xml:space="preserve"> </w:t>
      </w:r>
      <w:r>
        <w:t>policy</w:t>
      </w:r>
      <w:r>
        <w:rPr>
          <w:spacing w:val="-12"/>
        </w:rPr>
        <w:t xml:space="preserve"> </w:t>
      </w:r>
      <w:r>
        <w:t>recommendations</w:t>
      </w:r>
      <w:r>
        <w:rPr>
          <w:spacing w:val="-12"/>
        </w:rPr>
        <w:t xml:space="preserve"> </w:t>
      </w:r>
      <w:r>
        <w:t>forwarded</w:t>
      </w:r>
      <w:r>
        <w:rPr>
          <w:spacing w:val="-13"/>
        </w:rPr>
        <w:t xml:space="preserve"> </w:t>
      </w:r>
      <w:r>
        <w:t>by</w:t>
      </w:r>
      <w:r>
        <w:rPr>
          <w:spacing w:val="-10"/>
        </w:rPr>
        <w:t xml:space="preserve"> </w:t>
      </w:r>
      <w:r>
        <w:t>the</w:t>
      </w:r>
      <w:r>
        <w:rPr>
          <w:spacing w:val="-12"/>
        </w:rPr>
        <w:t xml:space="preserve"> </w:t>
      </w:r>
      <w:r>
        <w:t>Task</w:t>
      </w:r>
      <w:r>
        <w:rPr>
          <w:spacing w:val="-12"/>
        </w:rPr>
        <w:t xml:space="preserve"> </w:t>
      </w:r>
      <w:r>
        <w:t>Force</w:t>
      </w:r>
      <w:r>
        <w:rPr>
          <w:spacing w:val="-10"/>
        </w:rPr>
        <w:t xml:space="preserve"> </w:t>
      </w:r>
      <w:r>
        <w:t>on</w:t>
      </w:r>
      <w:r>
        <w:rPr>
          <w:spacing w:val="-13"/>
        </w:rPr>
        <w:t xml:space="preserve"> </w:t>
      </w:r>
      <w:r>
        <w:t>Coronavirus</w:t>
      </w:r>
      <w:r>
        <w:rPr>
          <w:spacing w:val="-10"/>
        </w:rPr>
        <w:t xml:space="preserve"> </w:t>
      </w:r>
      <w:r>
        <w:t>and</w:t>
      </w:r>
      <w:r>
        <w:rPr>
          <w:spacing w:val="-11"/>
        </w:rPr>
        <w:t xml:space="preserve"> </w:t>
      </w:r>
      <w:r>
        <w:t>Equity, created by the Massachusetts Public Health Association:</w:t>
      </w:r>
      <w:r>
        <w:rPr>
          <w:vertAlign w:val="superscript"/>
        </w:rPr>
        <w:t>31</w:t>
      </w:r>
    </w:p>
    <w:p w:rsidR="00C76E6D" w:rsidRDefault="00C76E6D">
      <w:pPr>
        <w:pStyle w:val="BodyText"/>
        <w:spacing w:before="5"/>
        <w:rPr>
          <w:sz w:val="25"/>
        </w:rPr>
      </w:pPr>
    </w:p>
    <w:p w:rsidR="00C76E6D" w:rsidRDefault="00913831">
      <w:pPr>
        <w:pStyle w:val="Heading6"/>
        <w:numPr>
          <w:ilvl w:val="1"/>
          <w:numId w:val="53"/>
        </w:numPr>
        <w:tabs>
          <w:tab w:val="left" w:pos="699"/>
        </w:tabs>
        <w:ind w:hanging="221"/>
      </w:pPr>
      <w:bookmarkStart w:id="40" w:name="1._Ensure_Housing_Security_and_Safety."/>
      <w:bookmarkEnd w:id="40"/>
      <w:r>
        <w:rPr>
          <w:w w:val="95"/>
        </w:rPr>
        <w:t>Ensure</w:t>
      </w:r>
      <w:r>
        <w:rPr>
          <w:spacing w:val="15"/>
        </w:rPr>
        <w:t xml:space="preserve"> </w:t>
      </w:r>
      <w:r>
        <w:rPr>
          <w:w w:val="95"/>
        </w:rPr>
        <w:t>Housing</w:t>
      </w:r>
      <w:r>
        <w:rPr>
          <w:spacing w:val="12"/>
        </w:rPr>
        <w:t xml:space="preserve"> </w:t>
      </w:r>
      <w:r>
        <w:rPr>
          <w:w w:val="95"/>
        </w:rPr>
        <w:t>Security</w:t>
      </w:r>
      <w:r>
        <w:rPr>
          <w:spacing w:val="13"/>
        </w:rPr>
        <w:t xml:space="preserve"> </w:t>
      </w:r>
      <w:r>
        <w:rPr>
          <w:w w:val="95"/>
        </w:rPr>
        <w:t>and</w:t>
      </w:r>
      <w:r>
        <w:rPr>
          <w:spacing w:val="12"/>
        </w:rPr>
        <w:t xml:space="preserve"> </w:t>
      </w:r>
      <w:r>
        <w:rPr>
          <w:spacing w:val="-2"/>
          <w:w w:val="95"/>
        </w:rPr>
        <w:t>Safety.</w:t>
      </w:r>
    </w:p>
    <w:p w:rsidR="00C76E6D" w:rsidRDefault="00C76E6D">
      <w:pPr>
        <w:pStyle w:val="BodyText"/>
        <w:spacing w:before="10"/>
        <w:rPr>
          <w:b/>
        </w:rPr>
      </w:pPr>
    </w:p>
    <w:p w:rsidR="00C76E6D" w:rsidRDefault="00913831">
      <w:pPr>
        <w:pStyle w:val="BodyText"/>
        <w:spacing w:before="1" w:line="276" w:lineRule="auto"/>
        <w:ind w:left="478" w:right="478" w:hanging="1"/>
        <w:jc w:val="both"/>
      </w:pPr>
      <w:r>
        <w:t>This</w:t>
      </w:r>
      <w:r>
        <w:rPr>
          <w:spacing w:val="-2"/>
        </w:rPr>
        <w:t xml:space="preserve"> </w:t>
      </w:r>
      <w:r>
        <w:t>Commission</w:t>
      </w:r>
      <w:r>
        <w:rPr>
          <w:spacing w:val="-5"/>
        </w:rPr>
        <w:t xml:space="preserve"> </w:t>
      </w:r>
      <w:r>
        <w:t>supports housing</w:t>
      </w:r>
      <w:r>
        <w:rPr>
          <w:spacing w:val="-2"/>
        </w:rPr>
        <w:t xml:space="preserve"> </w:t>
      </w:r>
      <w:r>
        <w:t>protections,</w:t>
      </w:r>
      <w:r>
        <w:rPr>
          <w:spacing w:val="-3"/>
        </w:rPr>
        <w:t xml:space="preserve"> </w:t>
      </w:r>
      <w:r>
        <w:t>such</w:t>
      </w:r>
      <w:r>
        <w:rPr>
          <w:spacing w:val="-1"/>
        </w:rPr>
        <w:t xml:space="preserve"> </w:t>
      </w:r>
      <w:r>
        <w:t>as</w:t>
      </w:r>
      <w:r>
        <w:rPr>
          <w:spacing w:val="-2"/>
        </w:rPr>
        <w:t xml:space="preserve"> </w:t>
      </w:r>
      <w:r>
        <w:t>measures to</w:t>
      </w:r>
      <w:r>
        <w:rPr>
          <w:spacing w:val="-2"/>
        </w:rPr>
        <w:t xml:space="preserve"> </w:t>
      </w:r>
      <w:r>
        <w:t>prevent</w:t>
      </w:r>
      <w:r>
        <w:rPr>
          <w:spacing w:val="-2"/>
        </w:rPr>
        <w:t xml:space="preserve"> </w:t>
      </w:r>
      <w:r>
        <w:t>eviction</w:t>
      </w:r>
      <w:r>
        <w:rPr>
          <w:spacing w:val="-1"/>
        </w:rPr>
        <w:t xml:space="preserve"> </w:t>
      </w:r>
      <w:r>
        <w:t>and</w:t>
      </w:r>
      <w:r>
        <w:rPr>
          <w:spacing w:val="-2"/>
        </w:rPr>
        <w:t xml:space="preserve"> </w:t>
      </w:r>
      <w:r>
        <w:t>foreclosure</w:t>
      </w:r>
      <w:r>
        <w:rPr>
          <w:spacing w:val="-3"/>
        </w:rPr>
        <w:t xml:space="preserve"> </w:t>
      </w:r>
      <w:r>
        <w:t>for one year following the end of the state of emergency. Additionally, continued access to testing, safe quarantine, vaccinations, and long-term housing solutions are needed for people expe</w:t>
      </w:r>
      <w:r>
        <w:t xml:space="preserve">riencing </w:t>
      </w:r>
      <w:r>
        <w:rPr>
          <w:spacing w:val="-2"/>
        </w:rPr>
        <w:t>homelessness.</w:t>
      </w:r>
    </w:p>
    <w:p w:rsidR="00C76E6D" w:rsidRDefault="00C76E6D">
      <w:pPr>
        <w:pStyle w:val="BodyText"/>
        <w:spacing w:before="3"/>
        <w:rPr>
          <w:sz w:val="30"/>
        </w:rPr>
      </w:pPr>
    </w:p>
    <w:p w:rsidR="00C76E6D" w:rsidRDefault="00913831">
      <w:pPr>
        <w:pStyle w:val="Heading6"/>
        <w:numPr>
          <w:ilvl w:val="1"/>
          <w:numId w:val="53"/>
        </w:numPr>
        <w:tabs>
          <w:tab w:val="left" w:pos="699"/>
        </w:tabs>
        <w:spacing w:before="1"/>
        <w:ind w:hanging="222"/>
      </w:pPr>
      <w:bookmarkStart w:id="41" w:name="2._Secure_Worker_Rights_and_Safety."/>
      <w:bookmarkEnd w:id="41"/>
      <w:r>
        <w:rPr>
          <w:w w:val="95"/>
        </w:rPr>
        <w:t>Secure</w:t>
      </w:r>
      <w:r>
        <w:rPr>
          <w:spacing w:val="9"/>
        </w:rPr>
        <w:t xml:space="preserve"> </w:t>
      </w:r>
      <w:r>
        <w:rPr>
          <w:w w:val="95"/>
        </w:rPr>
        <w:t>Worker</w:t>
      </w:r>
      <w:r>
        <w:rPr>
          <w:spacing w:val="12"/>
        </w:rPr>
        <w:t xml:space="preserve"> </w:t>
      </w:r>
      <w:r>
        <w:rPr>
          <w:w w:val="95"/>
        </w:rPr>
        <w:t>Rights</w:t>
      </w:r>
      <w:r>
        <w:rPr>
          <w:spacing w:val="14"/>
        </w:rPr>
        <w:t xml:space="preserve"> </w:t>
      </w:r>
      <w:r>
        <w:rPr>
          <w:w w:val="95"/>
        </w:rPr>
        <w:t>and</w:t>
      </w:r>
      <w:r>
        <w:rPr>
          <w:spacing w:val="14"/>
        </w:rPr>
        <w:t xml:space="preserve"> </w:t>
      </w:r>
      <w:r>
        <w:rPr>
          <w:spacing w:val="-2"/>
          <w:w w:val="95"/>
        </w:rPr>
        <w:t>Safety.</w:t>
      </w:r>
    </w:p>
    <w:p w:rsidR="00C76E6D" w:rsidRDefault="00C76E6D">
      <w:pPr>
        <w:pStyle w:val="BodyText"/>
        <w:spacing w:before="10"/>
        <w:rPr>
          <w:b/>
        </w:rPr>
      </w:pPr>
    </w:p>
    <w:p w:rsidR="00C76E6D" w:rsidRDefault="00913831">
      <w:pPr>
        <w:pStyle w:val="BodyText"/>
        <w:spacing w:line="276" w:lineRule="auto"/>
        <w:ind w:left="478" w:right="474"/>
        <w:jc w:val="both"/>
      </w:pPr>
      <w:r>
        <w:t>Even with rising vaccination rates, workers must be protected during Massachusetts’s economic reopening and beyond. The COVID-19 pandemic caused an unprecedented health and safety crisis for workers</w:t>
      </w:r>
      <w:r>
        <w:rPr>
          <w:spacing w:val="-13"/>
        </w:rPr>
        <w:t xml:space="preserve"> </w:t>
      </w:r>
      <w:r>
        <w:t>and</w:t>
      </w:r>
      <w:r>
        <w:rPr>
          <w:spacing w:val="-12"/>
        </w:rPr>
        <w:t xml:space="preserve"> </w:t>
      </w:r>
      <w:r>
        <w:t>continues</w:t>
      </w:r>
      <w:r>
        <w:rPr>
          <w:spacing w:val="-13"/>
        </w:rPr>
        <w:t xml:space="preserve"> </w:t>
      </w:r>
      <w:r>
        <w:t>to</w:t>
      </w:r>
      <w:r>
        <w:rPr>
          <w:spacing w:val="-12"/>
        </w:rPr>
        <w:t xml:space="preserve"> </w:t>
      </w:r>
      <w:r>
        <w:t>have</w:t>
      </w:r>
      <w:r>
        <w:rPr>
          <w:spacing w:val="-13"/>
        </w:rPr>
        <w:t xml:space="preserve"> </w:t>
      </w:r>
      <w:r>
        <w:t>lasting</w:t>
      </w:r>
      <w:r>
        <w:rPr>
          <w:spacing w:val="-12"/>
        </w:rPr>
        <w:t xml:space="preserve"> </w:t>
      </w:r>
      <w:r>
        <w:t>social,</w:t>
      </w:r>
      <w:r>
        <w:rPr>
          <w:spacing w:val="-13"/>
        </w:rPr>
        <w:t xml:space="preserve"> </w:t>
      </w:r>
      <w:r>
        <w:t>physical,</w:t>
      </w:r>
      <w:r>
        <w:rPr>
          <w:spacing w:val="-12"/>
        </w:rPr>
        <w:t xml:space="preserve"> </w:t>
      </w:r>
      <w:r>
        <w:t>mental,</w:t>
      </w:r>
      <w:r>
        <w:rPr>
          <w:spacing w:val="-12"/>
        </w:rPr>
        <w:t xml:space="preserve"> </w:t>
      </w:r>
      <w:r>
        <w:t>and</w:t>
      </w:r>
      <w:r>
        <w:rPr>
          <w:spacing w:val="-13"/>
        </w:rPr>
        <w:t xml:space="preserve"> </w:t>
      </w:r>
      <w:r>
        <w:t>economic</w:t>
      </w:r>
      <w:r>
        <w:rPr>
          <w:spacing w:val="-12"/>
        </w:rPr>
        <w:t xml:space="preserve"> </w:t>
      </w:r>
      <w:r>
        <w:t>impacts</w:t>
      </w:r>
      <w:r>
        <w:rPr>
          <w:spacing w:val="-13"/>
        </w:rPr>
        <w:t xml:space="preserve"> </w:t>
      </w:r>
      <w:r>
        <w:t>on</w:t>
      </w:r>
      <w:r>
        <w:rPr>
          <w:spacing w:val="-12"/>
        </w:rPr>
        <w:t xml:space="preserve"> </w:t>
      </w:r>
      <w:r>
        <w:t>workers</w:t>
      </w:r>
      <w:r>
        <w:rPr>
          <w:spacing w:val="-13"/>
        </w:rPr>
        <w:t xml:space="preserve"> </w:t>
      </w:r>
      <w:r>
        <w:t>and</w:t>
      </w:r>
      <w:r>
        <w:rPr>
          <w:spacing w:val="-12"/>
        </w:rPr>
        <w:t xml:space="preserve"> </w:t>
      </w:r>
      <w:r>
        <w:t>their families.</w:t>
      </w:r>
      <w:r>
        <w:rPr>
          <w:spacing w:val="-12"/>
        </w:rPr>
        <w:t xml:space="preserve"> </w:t>
      </w:r>
      <w:r>
        <w:t>Throughout</w:t>
      </w:r>
      <w:r>
        <w:rPr>
          <w:spacing w:val="-9"/>
        </w:rPr>
        <w:t xml:space="preserve"> </w:t>
      </w:r>
      <w:r>
        <w:t>the</w:t>
      </w:r>
      <w:r>
        <w:rPr>
          <w:spacing w:val="-9"/>
        </w:rPr>
        <w:t xml:space="preserve"> </w:t>
      </w:r>
      <w:r>
        <w:t>pandemic,</w:t>
      </w:r>
      <w:r>
        <w:rPr>
          <w:spacing w:val="-11"/>
        </w:rPr>
        <w:t xml:space="preserve"> </w:t>
      </w:r>
      <w:r>
        <w:t>the</w:t>
      </w:r>
      <w:r>
        <w:rPr>
          <w:spacing w:val="-7"/>
        </w:rPr>
        <w:t xml:space="preserve"> </w:t>
      </w:r>
      <w:r>
        <w:t>State</w:t>
      </w:r>
      <w:r>
        <w:rPr>
          <w:spacing w:val="-11"/>
        </w:rPr>
        <w:t xml:space="preserve"> </w:t>
      </w:r>
      <w:r>
        <w:t>largely</w:t>
      </w:r>
      <w:r>
        <w:rPr>
          <w:spacing w:val="-10"/>
        </w:rPr>
        <w:t xml:space="preserve"> </w:t>
      </w:r>
      <w:r>
        <w:t>failed</w:t>
      </w:r>
      <w:r>
        <w:rPr>
          <w:spacing w:val="-11"/>
        </w:rPr>
        <w:t xml:space="preserve"> </w:t>
      </w:r>
      <w:r>
        <w:t>to</w:t>
      </w:r>
      <w:r>
        <w:rPr>
          <w:spacing w:val="-10"/>
        </w:rPr>
        <w:t xml:space="preserve"> </w:t>
      </w:r>
      <w:r>
        <w:t>provide</w:t>
      </w:r>
      <w:r>
        <w:rPr>
          <w:spacing w:val="-11"/>
        </w:rPr>
        <w:t xml:space="preserve"> </w:t>
      </w:r>
      <w:r>
        <w:t>basic</w:t>
      </w:r>
      <w:r>
        <w:rPr>
          <w:spacing w:val="-11"/>
        </w:rPr>
        <w:t xml:space="preserve"> </w:t>
      </w:r>
      <w:r>
        <w:t>safety</w:t>
      </w:r>
      <w:r>
        <w:rPr>
          <w:spacing w:val="-11"/>
        </w:rPr>
        <w:t xml:space="preserve"> </w:t>
      </w:r>
      <w:r>
        <w:t>protections</w:t>
      </w:r>
      <w:r>
        <w:rPr>
          <w:spacing w:val="-9"/>
        </w:rPr>
        <w:t xml:space="preserve"> </w:t>
      </w:r>
      <w:r>
        <w:t>for</w:t>
      </w:r>
      <w:r>
        <w:rPr>
          <w:spacing w:val="-11"/>
        </w:rPr>
        <w:t xml:space="preserve"> </w:t>
      </w:r>
      <w:r>
        <w:t>workers</w:t>
      </w:r>
    </w:p>
    <w:p w:rsidR="00C76E6D" w:rsidRDefault="00C76E6D">
      <w:pPr>
        <w:spacing w:line="276" w:lineRule="auto"/>
        <w:jc w:val="both"/>
        <w:sectPr w:rsidR="00C76E6D">
          <w:headerReference w:type="default" r:id="rId116"/>
          <w:footerReference w:type="default" r:id="rId117"/>
          <w:pgSz w:w="12240" w:h="15840"/>
          <w:pgMar w:top="980" w:right="960" w:bottom="920" w:left="960" w:header="776" w:footer="720" w:gutter="0"/>
          <w:cols w:space="720"/>
        </w:sectPr>
      </w:pPr>
    </w:p>
    <w:p w:rsidR="00C76E6D" w:rsidRDefault="00C76E6D">
      <w:pPr>
        <w:pStyle w:val="BodyText"/>
        <w:spacing w:before="6"/>
        <w:rPr>
          <w:sz w:val="28"/>
        </w:rPr>
      </w:pPr>
    </w:p>
    <w:p w:rsidR="00C76E6D" w:rsidRDefault="00913831">
      <w:pPr>
        <w:pStyle w:val="BodyText"/>
        <w:spacing w:before="76" w:line="276" w:lineRule="auto"/>
        <w:ind w:left="478" w:right="476"/>
        <w:jc w:val="both"/>
      </w:pPr>
      <w:r>
        <w:t>and instead, chose to save businesses and absolve employers from responsibility.</w:t>
      </w:r>
      <w:r>
        <w:rPr>
          <w:vertAlign w:val="superscript"/>
        </w:rPr>
        <w:t>32</w:t>
      </w:r>
      <w:r>
        <w:t xml:space="preserve"> The Commission requests emergency paid sick time and other protections to support workers.</w:t>
      </w:r>
    </w:p>
    <w:p w:rsidR="00C76E6D" w:rsidRDefault="00C76E6D">
      <w:pPr>
        <w:pStyle w:val="BodyText"/>
        <w:spacing w:before="10"/>
        <w:rPr>
          <w:sz w:val="19"/>
        </w:rPr>
      </w:pPr>
    </w:p>
    <w:p w:rsidR="00C76E6D" w:rsidRDefault="00913831">
      <w:pPr>
        <w:pStyle w:val="Heading6"/>
        <w:numPr>
          <w:ilvl w:val="1"/>
          <w:numId w:val="53"/>
        </w:numPr>
        <w:tabs>
          <w:tab w:val="left" w:pos="699"/>
        </w:tabs>
        <w:ind w:hanging="222"/>
      </w:pPr>
      <w:bookmarkStart w:id="42" w:name="3._Demand_Police_Accountability."/>
      <w:bookmarkEnd w:id="42"/>
      <w:r>
        <w:rPr>
          <w:w w:val="95"/>
        </w:rPr>
        <w:t>Demand</w:t>
      </w:r>
      <w:r>
        <w:rPr>
          <w:spacing w:val="15"/>
        </w:rPr>
        <w:t xml:space="preserve"> </w:t>
      </w:r>
      <w:r>
        <w:rPr>
          <w:w w:val="95"/>
        </w:rPr>
        <w:t>Police</w:t>
      </w:r>
      <w:r>
        <w:rPr>
          <w:spacing w:val="12"/>
        </w:rPr>
        <w:t xml:space="preserve"> </w:t>
      </w:r>
      <w:r>
        <w:rPr>
          <w:spacing w:val="-2"/>
          <w:w w:val="95"/>
        </w:rPr>
        <w:t>Accountability.</w:t>
      </w:r>
    </w:p>
    <w:p w:rsidR="00C76E6D" w:rsidRDefault="00C76E6D">
      <w:pPr>
        <w:pStyle w:val="BodyText"/>
        <w:spacing w:before="10"/>
        <w:rPr>
          <w:b/>
        </w:rPr>
      </w:pPr>
    </w:p>
    <w:p w:rsidR="00C76E6D" w:rsidRDefault="00913831">
      <w:pPr>
        <w:pStyle w:val="BodyText"/>
        <w:spacing w:line="276" w:lineRule="auto"/>
        <w:ind w:left="478" w:right="476"/>
        <w:jc w:val="both"/>
      </w:pPr>
      <w:r>
        <w:rPr>
          <w:spacing w:val="-2"/>
        </w:rPr>
        <w:t>This Commission continues to demand police acco</w:t>
      </w:r>
      <w:r>
        <w:rPr>
          <w:spacing w:val="-2"/>
        </w:rPr>
        <w:t xml:space="preserve">untability, despite advances in legislation. On December </w:t>
      </w:r>
      <w:r>
        <w:t>31, 2020, Governor Baker signed an omnibus bill into law, which importantly asserts control over police in schools, requires public disclosure of police misconduct records, prevents sexual assault in</w:t>
      </w:r>
      <w:r>
        <w:t xml:space="preserve"> police custody, and more. However, as stated by the Massachusetts ACLU, the bill is a compromise. This Commission supports efforts to protect Black, LGBTQ, and other marginalized communities from police brutality, such as ending qualified immunity.</w:t>
      </w:r>
      <w:r>
        <w:rPr>
          <w:vertAlign w:val="superscript"/>
        </w:rPr>
        <w:t>33</w:t>
      </w:r>
    </w:p>
    <w:p w:rsidR="00C76E6D" w:rsidRDefault="00C76E6D">
      <w:pPr>
        <w:pStyle w:val="BodyText"/>
        <w:spacing w:before="4"/>
        <w:rPr>
          <w:sz w:val="25"/>
        </w:rPr>
      </w:pPr>
    </w:p>
    <w:p w:rsidR="00C76E6D" w:rsidRDefault="00913831">
      <w:pPr>
        <w:pStyle w:val="Heading6"/>
        <w:numPr>
          <w:ilvl w:val="1"/>
          <w:numId w:val="53"/>
        </w:numPr>
        <w:tabs>
          <w:tab w:val="left" w:pos="699"/>
        </w:tabs>
        <w:ind w:hanging="221"/>
      </w:pPr>
      <w:bookmarkStart w:id="43" w:name="4._Implement_Data_Collection_and_Action_"/>
      <w:bookmarkEnd w:id="43"/>
      <w:r>
        <w:rPr>
          <w:w w:val="95"/>
        </w:rPr>
        <w:t>Imp</w:t>
      </w:r>
      <w:r>
        <w:rPr>
          <w:w w:val="95"/>
        </w:rPr>
        <w:t>lement</w:t>
      </w:r>
      <w:r>
        <w:rPr>
          <w:spacing w:val="14"/>
        </w:rPr>
        <w:t xml:space="preserve"> </w:t>
      </w:r>
      <w:r>
        <w:rPr>
          <w:w w:val="95"/>
        </w:rPr>
        <w:t>Data</w:t>
      </w:r>
      <w:r>
        <w:rPr>
          <w:spacing w:val="12"/>
        </w:rPr>
        <w:t xml:space="preserve"> </w:t>
      </w:r>
      <w:r>
        <w:rPr>
          <w:w w:val="95"/>
        </w:rPr>
        <w:t>Collection</w:t>
      </w:r>
      <w:r>
        <w:rPr>
          <w:spacing w:val="14"/>
        </w:rPr>
        <w:t xml:space="preserve"> </w:t>
      </w:r>
      <w:r>
        <w:rPr>
          <w:w w:val="95"/>
        </w:rPr>
        <w:t>and</w:t>
      </w:r>
      <w:r>
        <w:rPr>
          <w:spacing w:val="16"/>
        </w:rPr>
        <w:t xml:space="preserve"> </w:t>
      </w:r>
      <w:r>
        <w:rPr>
          <w:w w:val="95"/>
        </w:rPr>
        <w:t>Action</w:t>
      </w:r>
      <w:r>
        <w:rPr>
          <w:spacing w:val="14"/>
        </w:rPr>
        <w:t xml:space="preserve"> </w:t>
      </w:r>
      <w:r>
        <w:rPr>
          <w:w w:val="95"/>
        </w:rPr>
        <w:t>Planning</w:t>
      </w:r>
      <w:r>
        <w:rPr>
          <w:spacing w:val="14"/>
        </w:rPr>
        <w:t xml:space="preserve"> </w:t>
      </w:r>
      <w:r>
        <w:rPr>
          <w:w w:val="95"/>
        </w:rPr>
        <w:t>for</w:t>
      </w:r>
      <w:r>
        <w:rPr>
          <w:spacing w:val="17"/>
        </w:rPr>
        <w:t xml:space="preserve"> </w:t>
      </w:r>
      <w:r>
        <w:rPr>
          <w:spacing w:val="-2"/>
          <w:w w:val="95"/>
        </w:rPr>
        <w:t>Equity.</w:t>
      </w:r>
    </w:p>
    <w:p w:rsidR="00C76E6D" w:rsidRDefault="00C76E6D">
      <w:pPr>
        <w:pStyle w:val="BodyText"/>
        <w:spacing w:before="11"/>
        <w:rPr>
          <w:b/>
        </w:rPr>
      </w:pPr>
    </w:p>
    <w:p w:rsidR="00C76E6D" w:rsidRDefault="00913831">
      <w:pPr>
        <w:pStyle w:val="BodyText"/>
        <w:spacing w:line="276" w:lineRule="auto"/>
        <w:ind w:left="479" w:right="473" w:hanging="2"/>
        <w:jc w:val="both"/>
      </w:pPr>
      <w:r>
        <w:t>The current data on COVID-19 makes it clear that the pandemic has disproportionately impacted Black and Latinx communities. In response, on June 8, 2020, the Act Addressing Covid-19 Data Collection and Disparities in Treatment was signed into law. While th</w:t>
      </w:r>
      <w:r>
        <w:t>e Act represents some progress, this Commission supports improved data collection and efforts to address the inequities illuminated by such data.</w:t>
      </w:r>
    </w:p>
    <w:p w:rsidR="00C76E6D" w:rsidRDefault="00C76E6D">
      <w:pPr>
        <w:pStyle w:val="BodyText"/>
        <w:spacing w:before="8"/>
        <w:rPr>
          <w:sz w:val="19"/>
        </w:rPr>
      </w:pPr>
    </w:p>
    <w:p w:rsidR="00C76E6D" w:rsidRDefault="00913831">
      <w:pPr>
        <w:pStyle w:val="Heading6"/>
        <w:numPr>
          <w:ilvl w:val="1"/>
          <w:numId w:val="53"/>
        </w:numPr>
        <w:tabs>
          <w:tab w:val="left" w:pos="699"/>
        </w:tabs>
        <w:ind w:hanging="221"/>
      </w:pPr>
      <w:bookmarkStart w:id="44" w:name="5._Improve_Health_&amp;_Safety_for_Immigrant"/>
      <w:bookmarkEnd w:id="44"/>
      <w:r>
        <w:rPr>
          <w:spacing w:val="-2"/>
        </w:rPr>
        <w:t>Improve</w:t>
      </w:r>
      <w:r>
        <w:rPr>
          <w:spacing w:val="-3"/>
        </w:rPr>
        <w:t xml:space="preserve"> </w:t>
      </w:r>
      <w:r>
        <w:rPr>
          <w:spacing w:val="-2"/>
        </w:rPr>
        <w:t>Health</w:t>
      </w:r>
      <w:r>
        <w:rPr>
          <w:spacing w:val="-3"/>
        </w:rPr>
        <w:t xml:space="preserve"> </w:t>
      </w:r>
      <w:r>
        <w:rPr>
          <w:spacing w:val="-2"/>
        </w:rPr>
        <w:t>&amp;</w:t>
      </w:r>
      <w:r>
        <w:rPr>
          <w:spacing w:val="-4"/>
        </w:rPr>
        <w:t xml:space="preserve"> </w:t>
      </w:r>
      <w:r>
        <w:rPr>
          <w:spacing w:val="-2"/>
        </w:rPr>
        <w:t>Safety</w:t>
      </w:r>
      <w:r>
        <w:rPr>
          <w:spacing w:val="-4"/>
        </w:rPr>
        <w:t xml:space="preserve"> </w:t>
      </w:r>
      <w:r>
        <w:rPr>
          <w:spacing w:val="-2"/>
        </w:rPr>
        <w:t>for</w:t>
      </w:r>
      <w:r>
        <w:rPr>
          <w:spacing w:val="-4"/>
        </w:rPr>
        <w:t xml:space="preserve"> </w:t>
      </w:r>
      <w:r>
        <w:rPr>
          <w:spacing w:val="-2"/>
        </w:rPr>
        <w:t>Immigrants.</w:t>
      </w:r>
    </w:p>
    <w:p w:rsidR="00C76E6D" w:rsidRDefault="00C76E6D">
      <w:pPr>
        <w:pStyle w:val="BodyText"/>
        <w:spacing w:before="11"/>
        <w:rPr>
          <w:b/>
        </w:rPr>
      </w:pPr>
    </w:p>
    <w:p w:rsidR="00C76E6D" w:rsidRDefault="00913831">
      <w:pPr>
        <w:pStyle w:val="BodyText"/>
        <w:spacing w:line="276" w:lineRule="auto"/>
        <w:ind w:left="480" w:right="475"/>
        <w:jc w:val="both"/>
      </w:pPr>
      <w:r>
        <w:t>This Commission supports safe access to testing and treatment for immigrants in Massachusetts. It additionally supports legislative efforts to improve the health and safety of immigrants, such as an Act Relative to Work and Family Mobility, which enables q</w:t>
      </w:r>
      <w:r>
        <w:t>ualified undocumented immigrants to procure driver’s licenses in Massachusetts. At the time</w:t>
      </w:r>
      <w:r>
        <w:rPr>
          <w:spacing w:val="-1"/>
        </w:rPr>
        <w:t xml:space="preserve"> </w:t>
      </w:r>
      <w:r>
        <w:t>of this report’s release in</w:t>
      </w:r>
      <w:r>
        <w:rPr>
          <w:spacing w:val="-1"/>
        </w:rPr>
        <w:t xml:space="preserve"> </w:t>
      </w:r>
      <w:r>
        <w:t>June</w:t>
      </w:r>
      <w:r>
        <w:rPr>
          <w:spacing w:val="-1"/>
        </w:rPr>
        <w:t xml:space="preserve"> </w:t>
      </w:r>
      <w:r>
        <w:t>of 2022, the</w:t>
      </w:r>
      <w:r>
        <w:rPr>
          <w:spacing w:val="-1"/>
        </w:rPr>
        <w:t xml:space="preserve"> </w:t>
      </w:r>
      <w:r>
        <w:t>Commission</w:t>
      </w:r>
      <w:r>
        <w:rPr>
          <w:spacing w:val="-1"/>
        </w:rPr>
        <w:t xml:space="preserve"> </w:t>
      </w:r>
      <w:r>
        <w:t>is pleased</w:t>
      </w:r>
      <w:r>
        <w:rPr>
          <w:spacing w:val="-8"/>
        </w:rPr>
        <w:t xml:space="preserve"> </w:t>
      </w:r>
      <w:r>
        <w:t>to</w:t>
      </w:r>
      <w:r>
        <w:rPr>
          <w:spacing w:val="-8"/>
        </w:rPr>
        <w:t xml:space="preserve"> </w:t>
      </w:r>
      <w:r>
        <w:t>see</w:t>
      </w:r>
      <w:r>
        <w:rPr>
          <w:spacing w:val="-9"/>
        </w:rPr>
        <w:t xml:space="preserve"> </w:t>
      </w:r>
      <w:r>
        <w:t>that</w:t>
      </w:r>
      <w:r>
        <w:rPr>
          <w:spacing w:val="-7"/>
        </w:rPr>
        <w:t xml:space="preserve"> </w:t>
      </w:r>
      <w:r>
        <w:t>the</w:t>
      </w:r>
      <w:r>
        <w:rPr>
          <w:spacing w:val="-8"/>
        </w:rPr>
        <w:t xml:space="preserve"> </w:t>
      </w:r>
      <w:r>
        <w:t>legislature</w:t>
      </w:r>
      <w:r>
        <w:rPr>
          <w:spacing w:val="-9"/>
        </w:rPr>
        <w:t xml:space="preserve"> </w:t>
      </w:r>
      <w:r>
        <w:t>has</w:t>
      </w:r>
      <w:r>
        <w:rPr>
          <w:spacing w:val="-8"/>
        </w:rPr>
        <w:t xml:space="preserve"> </w:t>
      </w:r>
      <w:r>
        <w:t>overridden</w:t>
      </w:r>
      <w:r>
        <w:rPr>
          <w:spacing w:val="-7"/>
        </w:rPr>
        <w:t xml:space="preserve"> </w:t>
      </w:r>
      <w:r>
        <w:t>the</w:t>
      </w:r>
      <w:r>
        <w:rPr>
          <w:spacing w:val="-7"/>
        </w:rPr>
        <w:t xml:space="preserve"> </w:t>
      </w:r>
      <w:r>
        <w:t>Governor’s</w:t>
      </w:r>
      <w:r>
        <w:rPr>
          <w:spacing w:val="-8"/>
        </w:rPr>
        <w:t xml:space="preserve"> </w:t>
      </w:r>
      <w:r>
        <w:t>veto</w:t>
      </w:r>
      <w:r>
        <w:rPr>
          <w:spacing w:val="-8"/>
        </w:rPr>
        <w:t xml:space="preserve"> </w:t>
      </w:r>
      <w:r>
        <w:t>of</w:t>
      </w:r>
      <w:r>
        <w:rPr>
          <w:spacing w:val="-8"/>
        </w:rPr>
        <w:t xml:space="preserve"> </w:t>
      </w:r>
      <w:r>
        <w:t>this</w:t>
      </w:r>
      <w:r>
        <w:rPr>
          <w:spacing w:val="-6"/>
        </w:rPr>
        <w:t xml:space="preserve"> </w:t>
      </w:r>
      <w:r>
        <w:t>bill,</w:t>
      </w:r>
      <w:r>
        <w:rPr>
          <w:spacing w:val="-8"/>
        </w:rPr>
        <w:t xml:space="preserve"> </w:t>
      </w:r>
      <w:r>
        <w:t>with</w:t>
      </w:r>
      <w:r>
        <w:rPr>
          <w:spacing w:val="-8"/>
        </w:rPr>
        <w:t xml:space="preserve"> </w:t>
      </w:r>
      <w:r>
        <w:t>the</w:t>
      </w:r>
      <w:r>
        <w:rPr>
          <w:spacing w:val="-8"/>
        </w:rPr>
        <w:t xml:space="preserve"> </w:t>
      </w:r>
      <w:r>
        <w:t>law</w:t>
      </w:r>
      <w:r>
        <w:rPr>
          <w:spacing w:val="-5"/>
        </w:rPr>
        <w:t xml:space="preserve"> </w:t>
      </w:r>
      <w:r>
        <w:t>set</w:t>
      </w:r>
      <w:r>
        <w:rPr>
          <w:spacing w:val="-8"/>
        </w:rPr>
        <w:t xml:space="preserve"> </w:t>
      </w:r>
      <w:r>
        <w:t>to</w:t>
      </w:r>
      <w:r>
        <w:rPr>
          <w:spacing w:val="-6"/>
        </w:rPr>
        <w:t xml:space="preserve"> </w:t>
      </w:r>
      <w:r>
        <w:t>pass.</w:t>
      </w:r>
    </w:p>
    <w:p w:rsidR="00C76E6D" w:rsidRDefault="00C76E6D">
      <w:pPr>
        <w:pStyle w:val="BodyText"/>
        <w:spacing w:before="10"/>
        <w:rPr>
          <w:sz w:val="19"/>
        </w:rPr>
      </w:pPr>
    </w:p>
    <w:p w:rsidR="00C76E6D" w:rsidRDefault="00913831">
      <w:pPr>
        <w:pStyle w:val="Heading6"/>
        <w:numPr>
          <w:ilvl w:val="1"/>
          <w:numId w:val="53"/>
        </w:numPr>
        <w:tabs>
          <w:tab w:val="left" w:pos="699"/>
        </w:tabs>
        <w:ind w:hanging="221"/>
      </w:pPr>
      <w:bookmarkStart w:id="45" w:name="6._Decarcerate_Prisons_and_Jails."/>
      <w:bookmarkEnd w:id="45"/>
      <w:r>
        <w:rPr>
          <w:w w:val="95"/>
        </w:rPr>
        <w:t>Decarcerate</w:t>
      </w:r>
      <w:r>
        <w:rPr>
          <w:spacing w:val="13"/>
        </w:rPr>
        <w:t xml:space="preserve"> </w:t>
      </w:r>
      <w:r>
        <w:rPr>
          <w:w w:val="95"/>
        </w:rPr>
        <w:t>Prisons</w:t>
      </w:r>
      <w:r>
        <w:rPr>
          <w:spacing w:val="16"/>
        </w:rPr>
        <w:t xml:space="preserve"> </w:t>
      </w:r>
      <w:r>
        <w:rPr>
          <w:w w:val="95"/>
        </w:rPr>
        <w:t>and</w:t>
      </w:r>
      <w:r>
        <w:rPr>
          <w:spacing w:val="13"/>
        </w:rPr>
        <w:t xml:space="preserve"> </w:t>
      </w:r>
      <w:r>
        <w:rPr>
          <w:spacing w:val="-2"/>
          <w:w w:val="95"/>
        </w:rPr>
        <w:t>Jails.</w:t>
      </w:r>
    </w:p>
    <w:p w:rsidR="00C76E6D" w:rsidRDefault="00C76E6D">
      <w:pPr>
        <w:pStyle w:val="BodyText"/>
        <w:spacing w:before="11"/>
        <w:rPr>
          <w:b/>
        </w:rPr>
      </w:pPr>
    </w:p>
    <w:p w:rsidR="00C76E6D" w:rsidRDefault="00913831">
      <w:pPr>
        <w:pStyle w:val="BodyText"/>
        <w:spacing w:line="276" w:lineRule="auto"/>
        <w:ind w:left="479" w:right="474"/>
        <w:jc w:val="both"/>
      </w:pPr>
      <w:r>
        <w:t>Prisons and jails have been disproportionately hit by COVID-19. This Commission calls on the Commonwealth of Massachusetts to develop a plan for decarceration of prisons and jails to protect the health and well-being</w:t>
      </w:r>
      <w:r>
        <w:t xml:space="preserve"> of incarcerated persons.</w:t>
      </w:r>
    </w:p>
    <w:p w:rsidR="00C76E6D" w:rsidRDefault="00C76E6D">
      <w:pPr>
        <w:pStyle w:val="BodyText"/>
        <w:spacing w:before="3"/>
        <w:rPr>
          <w:sz w:val="25"/>
        </w:rPr>
      </w:pPr>
    </w:p>
    <w:p w:rsidR="00C76E6D" w:rsidRDefault="00913831">
      <w:pPr>
        <w:pStyle w:val="Heading6"/>
        <w:numPr>
          <w:ilvl w:val="1"/>
          <w:numId w:val="53"/>
        </w:numPr>
        <w:tabs>
          <w:tab w:val="left" w:pos="699"/>
        </w:tabs>
        <w:ind w:hanging="221"/>
      </w:pPr>
      <w:bookmarkStart w:id="46" w:name="7._Amend_the_Crisis_Standards_of_Care."/>
      <w:bookmarkEnd w:id="46"/>
      <w:r>
        <w:rPr>
          <w:w w:val="95"/>
        </w:rPr>
        <w:t>Amend</w:t>
      </w:r>
      <w:r>
        <w:rPr>
          <w:spacing w:val="11"/>
        </w:rPr>
        <w:t xml:space="preserve"> </w:t>
      </w:r>
      <w:r>
        <w:rPr>
          <w:w w:val="95"/>
        </w:rPr>
        <w:t>the</w:t>
      </w:r>
      <w:r>
        <w:rPr>
          <w:spacing w:val="9"/>
        </w:rPr>
        <w:t xml:space="preserve"> </w:t>
      </w:r>
      <w:r>
        <w:rPr>
          <w:w w:val="95"/>
        </w:rPr>
        <w:t>Crisis</w:t>
      </w:r>
      <w:r>
        <w:rPr>
          <w:spacing w:val="10"/>
        </w:rPr>
        <w:t xml:space="preserve"> </w:t>
      </w:r>
      <w:r>
        <w:rPr>
          <w:w w:val="95"/>
        </w:rPr>
        <w:t>Standards</w:t>
      </w:r>
      <w:r>
        <w:rPr>
          <w:spacing w:val="12"/>
        </w:rPr>
        <w:t xml:space="preserve"> </w:t>
      </w:r>
      <w:r>
        <w:rPr>
          <w:w w:val="95"/>
        </w:rPr>
        <w:t>of</w:t>
      </w:r>
      <w:r>
        <w:rPr>
          <w:spacing w:val="10"/>
        </w:rPr>
        <w:t xml:space="preserve"> </w:t>
      </w:r>
      <w:r>
        <w:rPr>
          <w:spacing w:val="-2"/>
          <w:w w:val="95"/>
        </w:rPr>
        <w:t>Care.</w:t>
      </w:r>
    </w:p>
    <w:p w:rsidR="00C76E6D" w:rsidRDefault="00C76E6D">
      <w:pPr>
        <w:pStyle w:val="BodyText"/>
        <w:spacing w:before="11"/>
        <w:rPr>
          <w:b/>
        </w:rPr>
      </w:pPr>
    </w:p>
    <w:p w:rsidR="00C76E6D" w:rsidRDefault="00913831">
      <w:pPr>
        <w:pStyle w:val="BodyText"/>
        <w:spacing w:line="276" w:lineRule="auto"/>
        <w:ind w:left="479" w:right="475"/>
        <w:jc w:val="both"/>
      </w:pPr>
      <w:r>
        <w:t>This Commission joins advocates and medical providers in requesting revision of Massachusetts’s “crisis standards of care.” These standards of care are guidelines involving the allocation of medical</w:t>
      </w:r>
      <w:r>
        <w:rPr>
          <w:spacing w:val="-1"/>
        </w:rPr>
        <w:t xml:space="preserve"> </w:t>
      </w:r>
      <w:r>
        <w:t>equipment when</w:t>
      </w:r>
      <w:r>
        <w:rPr>
          <w:spacing w:val="-7"/>
        </w:rPr>
        <w:t xml:space="preserve"> </w:t>
      </w:r>
      <w:r>
        <w:t>demand</w:t>
      </w:r>
      <w:r>
        <w:rPr>
          <w:spacing w:val="-8"/>
        </w:rPr>
        <w:t xml:space="preserve"> </w:t>
      </w:r>
      <w:r>
        <w:t>for</w:t>
      </w:r>
      <w:r>
        <w:rPr>
          <w:spacing w:val="-7"/>
        </w:rPr>
        <w:t xml:space="preserve"> </w:t>
      </w:r>
      <w:r>
        <w:t>critical</w:t>
      </w:r>
      <w:r>
        <w:rPr>
          <w:spacing w:val="-7"/>
        </w:rPr>
        <w:t xml:space="preserve"> </w:t>
      </w:r>
      <w:r>
        <w:t>care</w:t>
      </w:r>
      <w:r>
        <w:rPr>
          <w:spacing w:val="-9"/>
        </w:rPr>
        <w:t xml:space="preserve"> </w:t>
      </w:r>
      <w:r>
        <w:t>resources</w:t>
      </w:r>
      <w:r>
        <w:rPr>
          <w:spacing w:val="-6"/>
        </w:rPr>
        <w:t xml:space="preserve"> </w:t>
      </w:r>
      <w:r>
        <w:t>outpace</w:t>
      </w:r>
      <w:r>
        <w:t>s</w:t>
      </w:r>
      <w:r>
        <w:rPr>
          <w:spacing w:val="-6"/>
        </w:rPr>
        <w:t xml:space="preserve"> </w:t>
      </w:r>
      <w:r>
        <w:t>supply.</w:t>
      </w:r>
      <w:r>
        <w:rPr>
          <w:spacing w:val="-8"/>
        </w:rPr>
        <w:t xml:space="preserve"> </w:t>
      </w:r>
      <w:r>
        <w:t>While</w:t>
      </w:r>
      <w:r>
        <w:rPr>
          <w:spacing w:val="-7"/>
        </w:rPr>
        <w:t xml:space="preserve"> </w:t>
      </w:r>
      <w:r>
        <w:t>the</w:t>
      </w:r>
      <w:r>
        <w:rPr>
          <w:spacing w:val="-8"/>
        </w:rPr>
        <w:t xml:space="preserve"> </w:t>
      </w:r>
      <w:r>
        <w:t>standards</w:t>
      </w:r>
      <w:r>
        <w:rPr>
          <w:spacing w:val="-5"/>
        </w:rPr>
        <w:t xml:space="preserve"> </w:t>
      </w:r>
      <w:r>
        <w:t>were</w:t>
      </w:r>
      <w:r>
        <w:rPr>
          <w:spacing w:val="-8"/>
        </w:rPr>
        <w:t xml:space="preserve"> </w:t>
      </w:r>
      <w:r>
        <w:t>revised</w:t>
      </w:r>
      <w:r>
        <w:rPr>
          <w:spacing w:val="-5"/>
        </w:rPr>
        <w:t xml:space="preserve"> </w:t>
      </w:r>
      <w:r>
        <w:t>in</w:t>
      </w:r>
      <w:r>
        <w:rPr>
          <w:spacing w:val="-8"/>
        </w:rPr>
        <w:t xml:space="preserve"> </w:t>
      </w:r>
      <w:r>
        <w:t>April</w:t>
      </w:r>
      <w:r>
        <w:rPr>
          <w:spacing w:val="-7"/>
        </w:rPr>
        <w:t xml:space="preserve"> </w:t>
      </w:r>
      <w:r>
        <w:t>2020, they remain inadequate. They were designed based on assumptions about the quality of life that discriminate against people of color and people with disabilities.</w:t>
      </w:r>
    </w:p>
    <w:p w:rsidR="00C76E6D" w:rsidRDefault="00C76E6D">
      <w:pPr>
        <w:spacing w:line="276" w:lineRule="auto"/>
        <w:jc w:val="both"/>
        <w:sectPr w:rsidR="00C76E6D">
          <w:pgSz w:w="12240" w:h="15840"/>
          <w:pgMar w:top="980" w:right="960" w:bottom="920" w:left="960" w:header="776" w:footer="720" w:gutter="0"/>
          <w:cols w:space="720"/>
        </w:sectPr>
      </w:pPr>
    </w:p>
    <w:p w:rsidR="00C76E6D" w:rsidRDefault="00C76E6D">
      <w:pPr>
        <w:pStyle w:val="BodyText"/>
        <w:rPr>
          <w:sz w:val="20"/>
        </w:rPr>
      </w:pPr>
    </w:p>
    <w:p w:rsidR="00C76E6D" w:rsidRDefault="00913831">
      <w:pPr>
        <w:pStyle w:val="Heading5"/>
        <w:numPr>
          <w:ilvl w:val="0"/>
          <w:numId w:val="53"/>
        </w:numPr>
        <w:tabs>
          <w:tab w:val="left" w:pos="838"/>
        </w:tabs>
        <w:spacing w:before="184"/>
        <w:ind w:left="837"/>
        <w:jc w:val="left"/>
      </w:pPr>
      <w:bookmarkStart w:id="47" w:name="C._Impact_of_COVID-19_on_LGBTQ_Youth_Exp"/>
      <w:bookmarkEnd w:id="47"/>
      <w:r>
        <w:t>Impact</w:t>
      </w:r>
      <w:r>
        <w:rPr>
          <w:spacing w:val="-6"/>
        </w:rPr>
        <w:t xml:space="preserve"> </w:t>
      </w:r>
      <w:r>
        <w:t>of</w:t>
      </w:r>
      <w:r>
        <w:rPr>
          <w:spacing w:val="-7"/>
        </w:rPr>
        <w:t xml:space="preserve"> </w:t>
      </w:r>
      <w:r>
        <w:t>COVID-19</w:t>
      </w:r>
      <w:r>
        <w:rPr>
          <w:spacing w:val="-7"/>
        </w:rPr>
        <w:t xml:space="preserve"> </w:t>
      </w:r>
      <w:r>
        <w:t>on</w:t>
      </w:r>
      <w:r>
        <w:rPr>
          <w:spacing w:val="-9"/>
        </w:rPr>
        <w:t xml:space="preserve"> </w:t>
      </w:r>
      <w:r>
        <w:t>LGBTQ</w:t>
      </w:r>
      <w:r>
        <w:rPr>
          <w:spacing w:val="-9"/>
        </w:rPr>
        <w:t xml:space="preserve"> </w:t>
      </w:r>
      <w:r>
        <w:t>Youth</w:t>
      </w:r>
      <w:r>
        <w:rPr>
          <w:spacing w:val="-9"/>
        </w:rPr>
        <w:t xml:space="preserve"> </w:t>
      </w:r>
      <w:r>
        <w:rPr>
          <w:spacing w:val="-2"/>
        </w:rPr>
        <w:t>Experiences</w:t>
      </w:r>
    </w:p>
    <w:p w:rsidR="00C76E6D" w:rsidRDefault="00913831">
      <w:pPr>
        <w:pStyle w:val="BodyText"/>
        <w:spacing w:before="5"/>
        <w:rPr>
          <w:b/>
          <w:sz w:val="8"/>
        </w:rPr>
      </w:pPr>
      <w:r>
        <w:pict>
          <v:shape id="docshape234" o:spid="_x0000_s1192" style="position:absolute;margin-left:70.6pt;margin-top:6.35pt;width:470.95pt;height:.1pt;z-index:-15701504;mso-wrap-distance-left:0;mso-wrap-distance-right:0;mso-position-horizontal-relative:page" coordorigin="1412,127" coordsize="9419,0" path="m1412,127r9419,e" filled="f" strokeweight="1.54pt">
            <v:path arrowok="t"/>
            <w10:wrap type="topAndBottom" anchorx="page"/>
          </v:shape>
        </w:pict>
      </w:r>
    </w:p>
    <w:p w:rsidR="00C76E6D" w:rsidRDefault="00C76E6D">
      <w:pPr>
        <w:pStyle w:val="BodyText"/>
        <w:rPr>
          <w:b/>
          <w:sz w:val="24"/>
        </w:rPr>
      </w:pPr>
    </w:p>
    <w:p w:rsidR="00C76E6D" w:rsidRDefault="00913831">
      <w:pPr>
        <w:pStyle w:val="BodyText"/>
        <w:spacing w:before="213" w:line="276" w:lineRule="auto"/>
        <w:ind w:left="478" w:right="475"/>
        <w:jc w:val="both"/>
      </w:pPr>
      <w:r>
        <w:t xml:space="preserve">Current studies suggest that COVID-19 has adversely impacted housing, immigration, economic conditions, health, and incarceration of LGBTQ youth. Below is a summary of data describing the impact of COVID-19 on LGBTQ youth across </w:t>
      </w:r>
      <w:r>
        <w:t>the nation and in the Commonwealth of Massachusetts.</w:t>
      </w:r>
    </w:p>
    <w:p w:rsidR="00C76E6D" w:rsidRDefault="00C76E6D">
      <w:pPr>
        <w:pStyle w:val="BodyText"/>
        <w:spacing w:before="4"/>
        <w:rPr>
          <w:sz w:val="25"/>
        </w:rPr>
      </w:pPr>
    </w:p>
    <w:p w:rsidR="00C76E6D" w:rsidRDefault="00913831">
      <w:pPr>
        <w:pStyle w:val="Heading6"/>
        <w:numPr>
          <w:ilvl w:val="0"/>
          <w:numId w:val="52"/>
        </w:numPr>
        <w:tabs>
          <w:tab w:val="left" w:pos="699"/>
        </w:tabs>
        <w:ind w:hanging="222"/>
      </w:pPr>
      <w:bookmarkStart w:id="48" w:name="1._Mental_Health"/>
      <w:bookmarkEnd w:id="48"/>
      <w:r>
        <w:rPr>
          <w:w w:val="95"/>
        </w:rPr>
        <w:t>Mental</w:t>
      </w:r>
      <w:r>
        <w:rPr>
          <w:spacing w:val="14"/>
        </w:rPr>
        <w:t xml:space="preserve"> </w:t>
      </w:r>
      <w:r>
        <w:rPr>
          <w:spacing w:val="-2"/>
        </w:rPr>
        <w:t>Health</w:t>
      </w:r>
    </w:p>
    <w:p w:rsidR="00C76E6D" w:rsidRDefault="00C76E6D">
      <w:pPr>
        <w:pStyle w:val="BodyText"/>
        <w:spacing w:before="7"/>
        <w:rPr>
          <w:b/>
          <w:sz w:val="28"/>
        </w:rPr>
      </w:pPr>
    </w:p>
    <w:p w:rsidR="00C76E6D" w:rsidRDefault="00913831">
      <w:pPr>
        <w:pStyle w:val="BodyText"/>
        <w:spacing w:line="276" w:lineRule="auto"/>
        <w:ind w:left="478" w:right="473"/>
        <w:jc w:val="both"/>
      </w:pPr>
      <w:r>
        <w:t>Before the pandemic, LGBTQ youth –particularly gender expansive and transgender youth— were at higher</w:t>
      </w:r>
      <w:r>
        <w:rPr>
          <w:spacing w:val="-1"/>
        </w:rPr>
        <w:t xml:space="preserve"> </w:t>
      </w:r>
      <w:r>
        <w:t>risk</w:t>
      </w:r>
      <w:r>
        <w:rPr>
          <w:spacing w:val="-1"/>
        </w:rPr>
        <w:t xml:space="preserve"> </w:t>
      </w:r>
      <w:r>
        <w:t>for</w:t>
      </w:r>
      <w:r>
        <w:rPr>
          <w:spacing w:val="-3"/>
        </w:rPr>
        <w:t xml:space="preserve"> </w:t>
      </w:r>
      <w:r>
        <w:t>depression,</w:t>
      </w:r>
      <w:r>
        <w:rPr>
          <w:spacing w:val="-1"/>
        </w:rPr>
        <w:t xml:space="preserve"> </w:t>
      </w:r>
      <w:r>
        <w:t>anxiety,</w:t>
      </w:r>
      <w:r>
        <w:rPr>
          <w:spacing w:val="-1"/>
        </w:rPr>
        <w:t xml:space="preserve"> </w:t>
      </w:r>
      <w:r>
        <w:t>suicide,</w:t>
      </w:r>
      <w:r>
        <w:rPr>
          <w:spacing w:val="-2"/>
        </w:rPr>
        <w:t xml:space="preserve"> </w:t>
      </w:r>
      <w:r>
        <w:t>and</w:t>
      </w:r>
      <w:r>
        <w:rPr>
          <w:spacing w:val="-2"/>
        </w:rPr>
        <w:t xml:space="preserve"> </w:t>
      </w:r>
      <w:r>
        <w:t>substance</w:t>
      </w:r>
      <w:r>
        <w:rPr>
          <w:spacing w:val="-1"/>
        </w:rPr>
        <w:t xml:space="preserve"> </w:t>
      </w:r>
      <w:r>
        <w:t>abuse.</w:t>
      </w:r>
      <w:hyperlink w:anchor="_bookmark22" w:history="1">
        <w:r>
          <w:rPr>
            <w:vertAlign w:val="superscript"/>
          </w:rPr>
          <w:t>1</w:t>
        </w:r>
        <w:r>
          <w:rPr>
            <w:spacing w:val="-1"/>
          </w:rPr>
          <w:t xml:space="preserve"> </w:t>
        </w:r>
      </w:hyperlink>
      <w:r>
        <w:t>COVID</w:t>
      </w:r>
      <w:r>
        <w:rPr>
          <w:spacing w:val="-2"/>
        </w:rPr>
        <w:t xml:space="preserve"> </w:t>
      </w:r>
      <w:r>
        <w:t>containment</w:t>
      </w:r>
      <w:r>
        <w:rPr>
          <w:spacing w:val="-2"/>
        </w:rPr>
        <w:t xml:space="preserve"> </w:t>
      </w:r>
      <w:r>
        <w:t>measures,</w:t>
      </w:r>
      <w:r>
        <w:rPr>
          <w:spacing w:val="-4"/>
        </w:rPr>
        <w:t xml:space="preserve"> </w:t>
      </w:r>
      <w:r>
        <w:t>such</w:t>
      </w:r>
      <w:r>
        <w:rPr>
          <w:spacing w:val="-2"/>
        </w:rPr>
        <w:t xml:space="preserve"> </w:t>
      </w:r>
      <w:r>
        <w:t>as stay-at-home orders and remote learning, exasperated mental health disparities. One study found that since</w:t>
      </w:r>
      <w:r>
        <w:rPr>
          <w:spacing w:val="-13"/>
        </w:rPr>
        <w:t xml:space="preserve"> </w:t>
      </w:r>
      <w:r>
        <w:t>the</w:t>
      </w:r>
      <w:r>
        <w:rPr>
          <w:spacing w:val="-12"/>
        </w:rPr>
        <w:t xml:space="preserve"> </w:t>
      </w:r>
      <w:r>
        <w:t>start</w:t>
      </w:r>
      <w:r>
        <w:rPr>
          <w:spacing w:val="-13"/>
        </w:rPr>
        <w:t xml:space="preserve"> </w:t>
      </w:r>
      <w:r>
        <w:t>of</w:t>
      </w:r>
      <w:r>
        <w:rPr>
          <w:spacing w:val="-12"/>
        </w:rPr>
        <w:t xml:space="preserve"> </w:t>
      </w:r>
      <w:r>
        <w:t>the</w:t>
      </w:r>
      <w:r>
        <w:rPr>
          <w:spacing w:val="-13"/>
        </w:rPr>
        <w:t xml:space="preserve"> </w:t>
      </w:r>
      <w:r>
        <w:t>pandemic,</w:t>
      </w:r>
      <w:r>
        <w:rPr>
          <w:spacing w:val="-12"/>
        </w:rPr>
        <w:t xml:space="preserve"> </w:t>
      </w:r>
      <w:r>
        <w:t>50%</w:t>
      </w:r>
      <w:r>
        <w:rPr>
          <w:spacing w:val="-13"/>
        </w:rPr>
        <w:t xml:space="preserve"> </w:t>
      </w:r>
      <w:r>
        <w:t>of</w:t>
      </w:r>
      <w:r>
        <w:rPr>
          <w:spacing w:val="-12"/>
        </w:rPr>
        <w:t xml:space="preserve"> </w:t>
      </w:r>
      <w:r>
        <w:t>LGBTQ</w:t>
      </w:r>
      <w:r>
        <w:rPr>
          <w:spacing w:val="-12"/>
        </w:rPr>
        <w:t xml:space="preserve"> </w:t>
      </w:r>
      <w:r>
        <w:t>youth</w:t>
      </w:r>
      <w:r>
        <w:rPr>
          <w:spacing w:val="-13"/>
        </w:rPr>
        <w:t xml:space="preserve"> </w:t>
      </w:r>
      <w:r>
        <w:t>reported</w:t>
      </w:r>
      <w:r>
        <w:rPr>
          <w:spacing w:val="-12"/>
        </w:rPr>
        <w:t xml:space="preserve"> </w:t>
      </w:r>
      <w:r>
        <w:t>increased</w:t>
      </w:r>
      <w:r>
        <w:rPr>
          <w:spacing w:val="-13"/>
        </w:rPr>
        <w:t xml:space="preserve"> </w:t>
      </w:r>
      <w:r>
        <w:t>anxiety</w:t>
      </w:r>
      <w:r>
        <w:rPr>
          <w:spacing w:val="-12"/>
        </w:rPr>
        <w:t xml:space="preserve"> </w:t>
      </w:r>
      <w:r>
        <w:t>and</w:t>
      </w:r>
      <w:r>
        <w:rPr>
          <w:spacing w:val="-13"/>
        </w:rPr>
        <w:t xml:space="preserve"> </w:t>
      </w:r>
      <w:r>
        <w:t>depre</w:t>
      </w:r>
      <w:r>
        <w:t>ssion.</w:t>
      </w:r>
      <w:r>
        <w:rPr>
          <w:spacing w:val="-12"/>
        </w:rPr>
        <w:t xml:space="preserve"> </w:t>
      </w:r>
      <w:r>
        <w:t>Similarly, the Trevor Project found that in 2021, 70% of LGBTQ youth stated that their mental health was poor during</w:t>
      </w:r>
      <w:r>
        <w:rPr>
          <w:spacing w:val="-8"/>
        </w:rPr>
        <w:t xml:space="preserve"> </w:t>
      </w:r>
      <w:r>
        <w:t>the</w:t>
      </w:r>
      <w:r>
        <w:rPr>
          <w:spacing w:val="-9"/>
        </w:rPr>
        <w:t xml:space="preserve"> </w:t>
      </w:r>
      <w:r>
        <w:t>pandemic</w:t>
      </w:r>
      <w:hyperlink w:anchor="_bookmark23" w:history="1">
        <w:r>
          <w:t>.</w:t>
        </w:r>
        <w:r>
          <w:rPr>
            <w:vertAlign w:val="superscript"/>
          </w:rPr>
          <w:t>2</w:t>
        </w:r>
        <w:r>
          <w:rPr>
            <w:spacing w:val="-9"/>
          </w:rPr>
          <w:t xml:space="preserve"> </w:t>
        </w:r>
      </w:hyperlink>
      <w:r>
        <w:t>About</w:t>
      </w:r>
      <w:r>
        <w:rPr>
          <w:spacing w:val="-9"/>
        </w:rPr>
        <w:t xml:space="preserve"> </w:t>
      </w:r>
      <w:r>
        <w:t>half</w:t>
      </w:r>
      <w:r>
        <w:rPr>
          <w:spacing w:val="-9"/>
        </w:rPr>
        <w:t xml:space="preserve"> </w:t>
      </w:r>
      <w:r>
        <w:t>of</w:t>
      </w:r>
      <w:r>
        <w:rPr>
          <w:spacing w:val="-9"/>
        </w:rPr>
        <w:t xml:space="preserve"> </w:t>
      </w:r>
      <w:r>
        <w:t>all</w:t>
      </w:r>
      <w:r>
        <w:rPr>
          <w:spacing w:val="-10"/>
        </w:rPr>
        <w:t xml:space="preserve"> </w:t>
      </w:r>
      <w:r>
        <w:t>LGBTQ</w:t>
      </w:r>
      <w:r>
        <w:rPr>
          <w:spacing w:val="-9"/>
        </w:rPr>
        <w:t xml:space="preserve"> </w:t>
      </w:r>
      <w:r>
        <w:t>youth</w:t>
      </w:r>
      <w:r>
        <w:rPr>
          <w:spacing w:val="-9"/>
        </w:rPr>
        <w:t xml:space="preserve"> </w:t>
      </w:r>
      <w:r>
        <w:t>and</w:t>
      </w:r>
      <w:r>
        <w:rPr>
          <w:spacing w:val="-9"/>
        </w:rPr>
        <w:t xml:space="preserve"> </w:t>
      </w:r>
      <w:r>
        <w:t>60%</w:t>
      </w:r>
      <w:r>
        <w:rPr>
          <w:spacing w:val="-9"/>
        </w:rPr>
        <w:t xml:space="preserve"> </w:t>
      </w:r>
      <w:r>
        <w:t>of</w:t>
      </w:r>
      <w:r>
        <w:rPr>
          <w:spacing w:val="-9"/>
        </w:rPr>
        <w:t xml:space="preserve"> </w:t>
      </w:r>
      <w:r>
        <w:t>transgender</w:t>
      </w:r>
      <w:r>
        <w:rPr>
          <w:spacing w:val="-9"/>
        </w:rPr>
        <w:t xml:space="preserve"> </w:t>
      </w:r>
      <w:r>
        <w:t>and</w:t>
      </w:r>
      <w:r>
        <w:rPr>
          <w:spacing w:val="-8"/>
        </w:rPr>
        <w:t xml:space="preserve"> </w:t>
      </w:r>
      <w:r>
        <w:t>non-binary</w:t>
      </w:r>
      <w:r>
        <w:rPr>
          <w:spacing w:val="-9"/>
        </w:rPr>
        <w:t xml:space="preserve"> </w:t>
      </w:r>
      <w:r>
        <w:t>youth</w:t>
      </w:r>
      <w:r>
        <w:rPr>
          <w:spacing w:val="-9"/>
        </w:rPr>
        <w:t xml:space="preserve"> </w:t>
      </w:r>
      <w:r>
        <w:t>stated that COVID-19 negatively impacted their ability to express their sexual orientation or gender identity. Contributing factors included isolation from support systems, lack of family support, disruptions in physical and mental health services, and soc</w:t>
      </w:r>
      <w:r>
        <w:t>ioeconomic stressors.</w:t>
      </w:r>
      <w:hyperlink w:anchor="_bookmark24" w:history="1">
        <w:r>
          <w:rPr>
            <w:vertAlign w:val="superscript"/>
          </w:rPr>
          <w:t>3</w:t>
        </w:r>
      </w:hyperlink>
    </w:p>
    <w:p w:rsidR="00C76E6D" w:rsidRDefault="00C76E6D">
      <w:pPr>
        <w:pStyle w:val="BodyText"/>
        <w:spacing w:before="3"/>
        <w:rPr>
          <w:sz w:val="25"/>
        </w:rPr>
      </w:pPr>
    </w:p>
    <w:p w:rsidR="00C76E6D" w:rsidRDefault="00913831">
      <w:pPr>
        <w:pStyle w:val="BodyText"/>
        <w:spacing w:line="276" w:lineRule="auto"/>
        <w:ind w:left="481" w:right="474" w:hanging="2"/>
        <w:jc w:val="both"/>
      </w:pPr>
      <w:r>
        <w:t>Since</w:t>
      </w:r>
      <w:r>
        <w:rPr>
          <w:spacing w:val="-2"/>
        </w:rPr>
        <w:t xml:space="preserve"> </w:t>
      </w:r>
      <w:r>
        <w:t>the</w:t>
      </w:r>
      <w:r>
        <w:rPr>
          <w:spacing w:val="-3"/>
        </w:rPr>
        <w:t xml:space="preserve"> </w:t>
      </w:r>
      <w:r>
        <w:t>fall</w:t>
      </w:r>
      <w:r>
        <w:rPr>
          <w:spacing w:val="-2"/>
        </w:rPr>
        <w:t xml:space="preserve"> </w:t>
      </w:r>
      <w:r>
        <w:t>of</w:t>
      </w:r>
      <w:r>
        <w:rPr>
          <w:spacing w:val="-4"/>
        </w:rPr>
        <w:t xml:space="preserve"> </w:t>
      </w:r>
      <w:r>
        <w:t>2021,</w:t>
      </w:r>
      <w:r>
        <w:rPr>
          <w:spacing w:val="-4"/>
        </w:rPr>
        <w:t xml:space="preserve"> </w:t>
      </w:r>
      <w:r>
        <w:t>schools</w:t>
      </w:r>
      <w:r>
        <w:rPr>
          <w:spacing w:val="-3"/>
        </w:rPr>
        <w:t xml:space="preserve"> </w:t>
      </w:r>
      <w:r>
        <w:t>and</w:t>
      </w:r>
      <w:r>
        <w:rPr>
          <w:spacing w:val="-3"/>
        </w:rPr>
        <w:t xml:space="preserve"> </w:t>
      </w:r>
      <w:r>
        <w:t>services</w:t>
      </w:r>
      <w:r>
        <w:rPr>
          <w:spacing w:val="-3"/>
        </w:rPr>
        <w:t xml:space="preserve"> </w:t>
      </w:r>
      <w:r>
        <w:t>have</w:t>
      </w:r>
      <w:r>
        <w:rPr>
          <w:spacing w:val="-3"/>
        </w:rPr>
        <w:t xml:space="preserve"> </w:t>
      </w:r>
      <w:r>
        <w:t>reopened</w:t>
      </w:r>
      <w:r>
        <w:rPr>
          <w:spacing w:val="-3"/>
        </w:rPr>
        <w:t xml:space="preserve"> </w:t>
      </w:r>
      <w:r>
        <w:t>for</w:t>
      </w:r>
      <w:r>
        <w:rPr>
          <w:spacing w:val="-3"/>
        </w:rPr>
        <w:t xml:space="preserve"> </w:t>
      </w:r>
      <w:r>
        <w:t>in-person</w:t>
      </w:r>
      <w:r>
        <w:rPr>
          <w:spacing w:val="-4"/>
        </w:rPr>
        <w:t xml:space="preserve"> </w:t>
      </w:r>
      <w:r>
        <w:t>learning,</w:t>
      </w:r>
      <w:r>
        <w:rPr>
          <w:spacing w:val="-4"/>
        </w:rPr>
        <w:t xml:space="preserve"> </w:t>
      </w:r>
      <w:r>
        <w:t>and</w:t>
      </w:r>
      <w:r>
        <w:rPr>
          <w:spacing w:val="-3"/>
        </w:rPr>
        <w:t xml:space="preserve"> </w:t>
      </w:r>
      <w:r>
        <w:t>many of</w:t>
      </w:r>
      <w:r>
        <w:rPr>
          <w:spacing w:val="-4"/>
        </w:rPr>
        <w:t xml:space="preserve"> </w:t>
      </w:r>
      <w:r>
        <w:t>the</w:t>
      </w:r>
      <w:r>
        <w:rPr>
          <w:spacing w:val="-3"/>
        </w:rPr>
        <w:t xml:space="preserve"> </w:t>
      </w:r>
      <w:r>
        <w:t>COVID containment</w:t>
      </w:r>
      <w:r>
        <w:rPr>
          <w:spacing w:val="-1"/>
        </w:rPr>
        <w:t xml:space="preserve"> </w:t>
      </w:r>
      <w:r>
        <w:t>measures</w:t>
      </w:r>
      <w:r>
        <w:rPr>
          <w:spacing w:val="-2"/>
        </w:rPr>
        <w:t xml:space="preserve"> </w:t>
      </w:r>
      <w:r>
        <w:t>have</w:t>
      </w:r>
      <w:r>
        <w:rPr>
          <w:spacing w:val="-3"/>
        </w:rPr>
        <w:t xml:space="preserve"> </w:t>
      </w:r>
      <w:r>
        <w:t>come</w:t>
      </w:r>
      <w:r>
        <w:rPr>
          <w:spacing w:val="-1"/>
        </w:rPr>
        <w:t xml:space="preserve"> </w:t>
      </w:r>
      <w:r>
        <w:t>to</w:t>
      </w:r>
      <w:r>
        <w:rPr>
          <w:spacing w:val="-1"/>
        </w:rPr>
        <w:t xml:space="preserve"> </w:t>
      </w:r>
      <w:r>
        <w:t>an</w:t>
      </w:r>
      <w:r>
        <w:rPr>
          <w:spacing w:val="-3"/>
        </w:rPr>
        <w:t xml:space="preserve"> </w:t>
      </w:r>
      <w:r>
        <w:t>end</w:t>
      </w:r>
      <w:r>
        <w:rPr>
          <w:spacing w:val="-2"/>
        </w:rPr>
        <w:t xml:space="preserve"> </w:t>
      </w:r>
      <w:r>
        <w:t>in</w:t>
      </w:r>
      <w:r>
        <w:rPr>
          <w:spacing w:val="-1"/>
        </w:rPr>
        <w:t xml:space="preserve"> </w:t>
      </w:r>
      <w:r>
        <w:t>Massachusetts. These</w:t>
      </w:r>
      <w:r>
        <w:rPr>
          <w:spacing w:val="-2"/>
        </w:rPr>
        <w:t xml:space="preserve"> </w:t>
      </w:r>
      <w:r>
        <w:t>changes</w:t>
      </w:r>
      <w:r>
        <w:rPr>
          <w:spacing w:val="-1"/>
        </w:rPr>
        <w:t xml:space="preserve"> </w:t>
      </w:r>
      <w:r>
        <w:t>may</w:t>
      </w:r>
      <w:r>
        <w:rPr>
          <w:spacing w:val="-1"/>
        </w:rPr>
        <w:t xml:space="preserve"> </w:t>
      </w:r>
      <w:r>
        <w:t>have mitigated</w:t>
      </w:r>
      <w:r>
        <w:rPr>
          <w:spacing w:val="-3"/>
        </w:rPr>
        <w:t xml:space="preserve"> </w:t>
      </w:r>
      <w:r>
        <w:t>some</w:t>
      </w:r>
      <w:r>
        <w:t xml:space="preserve"> of the stressors caused by the pandemic. However, more research needs to be done on the long-term impacts of the pandemic on the mental health of LGBTQ youth.</w:t>
      </w:r>
    </w:p>
    <w:p w:rsidR="00C76E6D" w:rsidRDefault="00C76E6D">
      <w:pPr>
        <w:pStyle w:val="BodyText"/>
        <w:spacing w:before="5"/>
        <w:rPr>
          <w:sz w:val="25"/>
        </w:rPr>
      </w:pPr>
    </w:p>
    <w:p w:rsidR="00C76E6D" w:rsidRDefault="00913831">
      <w:pPr>
        <w:pStyle w:val="Heading6"/>
        <w:numPr>
          <w:ilvl w:val="0"/>
          <w:numId w:val="52"/>
        </w:numPr>
        <w:tabs>
          <w:tab w:val="left" w:pos="699"/>
        </w:tabs>
      </w:pPr>
      <w:bookmarkStart w:id="49" w:name="2._Physical_Health"/>
      <w:bookmarkEnd w:id="49"/>
      <w:r>
        <w:rPr>
          <w:w w:val="95"/>
        </w:rPr>
        <w:t>Physical</w:t>
      </w:r>
      <w:r>
        <w:rPr>
          <w:spacing w:val="17"/>
        </w:rPr>
        <w:t xml:space="preserve"> </w:t>
      </w:r>
      <w:r>
        <w:rPr>
          <w:spacing w:val="-2"/>
        </w:rPr>
        <w:t>Health</w:t>
      </w:r>
    </w:p>
    <w:p w:rsidR="00C76E6D" w:rsidRDefault="00C76E6D">
      <w:pPr>
        <w:pStyle w:val="BodyText"/>
        <w:spacing w:before="6"/>
        <w:rPr>
          <w:b/>
          <w:sz w:val="28"/>
        </w:rPr>
      </w:pPr>
    </w:p>
    <w:p w:rsidR="00C76E6D" w:rsidRDefault="00913831">
      <w:pPr>
        <w:pStyle w:val="BodyText"/>
        <w:spacing w:line="276" w:lineRule="auto"/>
        <w:ind w:left="480" w:right="475" w:hanging="1"/>
        <w:jc w:val="both"/>
      </w:pPr>
      <w:r>
        <w:t>The</w:t>
      </w:r>
      <w:r>
        <w:rPr>
          <w:spacing w:val="-10"/>
        </w:rPr>
        <w:t xml:space="preserve"> </w:t>
      </w:r>
      <w:r>
        <w:t>pandemic</w:t>
      </w:r>
      <w:r>
        <w:rPr>
          <w:spacing w:val="-11"/>
        </w:rPr>
        <w:t xml:space="preserve"> </w:t>
      </w:r>
      <w:r>
        <w:t>has</w:t>
      </w:r>
      <w:r>
        <w:rPr>
          <w:spacing w:val="-9"/>
        </w:rPr>
        <w:t xml:space="preserve"> </w:t>
      </w:r>
      <w:r>
        <w:t>exacerbated</w:t>
      </w:r>
      <w:r>
        <w:rPr>
          <w:spacing w:val="-10"/>
        </w:rPr>
        <w:t xml:space="preserve"> </w:t>
      </w:r>
      <w:r>
        <w:t>issues</w:t>
      </w:r>
      <w:r>
        <w:rPr>
          <w:spacing w:val="-9"/>
        </w:rPr>
        <w:t xml:space="preserve"> </w:t>
      </w:r>
      <w:r>
        <w:t>of</w:t>
      </w:r>
      <w:r>
        <w:rPr>
          <w:spacing w:val="-8"/>
        </w:rPr>
        <w:t xml:space="preserve"> </w:t>
      </w:r>
      <w:r>
        <w:t>healthcare</w:t>
      </w:r>
      <w:r>
        <w:rPr>
          <w:spacing w:val="-10"/>
        </w:rPr>
        <w:t xml:space="preserve"> </w:t>
      </w:r>
      <w:r>
        <w:t>access</w:t>
      </w:r>
      <w:r>
        <w:rPr>
          <w:spacing w:val="-9"/>
        </w:rPr>
        <w:t xml:space="preserve"> </w:t>
      </w:r>
      <w:r>
        <w:t>for</w:t>
      </w:r>
      <w:r>
        <w:rPr>
          <w:spacing w:val="-10"/>
        </w:rPr>
        <w:t xml:space="preserve"> </w:t>
      </w:r>
      <w:r>
        <w:t>LGBTQ</w:t>
      </w:r>
      <w:r>
        <w:rPr>
          <w:spacing w:val="-10"/>
        </w:rPr>
        <w:t xml:space="preserve"> </w:t>
      </w:r>
      <w:r>
        <w:t>youth.</w:t>
      </w:r>
      <w:r>
        <w:rPr>
          <w:spacing w:val="-10"/>
        </w:rPr>
        <w:t xml:space="preserve"> </w:t>
      </w:r>
      <w:r>
        <w:t>Before</w:t>
      </w:r>
      <w:r>
        <w:rPr>
          <w:spacing w:val="-10"/>
        </w:rPr>
        <w:t xml:space="preserve"> </w:t>
      </w:r>
      <w:r>
        <w:t>the</w:t>
      </w:r>
      <w:r>
        <w:rPr>
          <w:spacing w:val="-10"/>
        </w:rPr>
        <w:t xml:space="preserve"> </w:t>
      </w:r>
      <w:r>
        <w:t>pandemic,</w:t>
      </w:r>
      <w:r>
        <w:rPr>
          <w:spacing w:val="-10"/>
        </w:rPr>
        <w:t xml:space="preserve"> </w:t>
      </w:r>
      <w:r>
        <w:t>LGBTQ youth often experienced inadequate care and stigma within health institutions</w:t>
      </w:r>
      <w:hyperlink w:anchor="_bookmark25" w:history="1">
        <w:r>
          <w:t>.</w:t>
        </w:r>
        <w:r>
          <w:rPr>
            <w:vertAlign w:val="superscript"/>
          </w:rPr>
          <w:t>4</w:t>
        </w:r>
        <w:r>
          <w:t xml:space="preserve"> </w:t>
        </w:r>
      </w:hyperlink>
      <w:r>
        <w:t>Many providers fail to provide identity-affirming care or are not properly trained to meet the needs of LGBTQ youth. W</w:t>
      </w:r>
      <w:r>
        <w:t>hile COVID-19 vaccinations and testing are free, LGBTQ youth may be deterred from seeking the help they need for COVID and non-COVID-related health concerns. Some may not have access to health insurance or proper coverage in the event of complications with</w:t>
      </w:r>
      <w:r>
        <w:t xml:space="preserve"> COVID or pre-existing conditions</w:t>
      </w:r>
      <w:hyperlink w:anchor="_bookmark26" w:history="1">
        <w:r>
          <w:t>.</w:t>
        </w:r>
        <w:r>
          <w:rPr>
            <w:vertAlign w:val="superscript"/>
          </w:rPr>
          <w:t>5</w:t>
        </w:r>
      </w:hyperlink>
    </w:p>
    <w:p w:rsidR="00C76E6D" w:rsidRDefault="00C76E6D">
      <w:pPr>
        <w:pStyle w:val="BodyText"/>
        <w:spacing w:before="3"/>
        <w:rPr>
          <w:sz w:val="25"/>
        </w:rPr>
      </w:pPr>
    </w:p>
    <w:p w:rsidR="00C76E6D" w:rsidRDefault="00913831">
      <w:pPr>
        <w:pStyle w:val="BodyText"/>
        <w:spacing w:line="276" w:lineRule="auto"/>
        <w:ind w:left="478" w:right="476"/>
        <w:jc w:val="both"/>
      </w:pPr>
      <w:r>
        <w:t>LGBTQ</w:t>
      </w:r>
      <w:r>
        <w:rPr>
          <w:spacing w:val="-11"/>
        </w:rPr>
        <w:t xml:space="preserve"> </w:t>
      </w:r>
      <w:r>
        <w:t>youth</w:t>
      </w:r>
      <w:r>
        <w:rPr>
          <w:spacing w:val="-9"/>
        </w:rPr>
        <w:t xml:space="preserve"> </w:t>
      </w:r>
      <w:r>
        <w:t>are</w:t>
      </w:r>
      <w:r>
        <w:rPr>
          <w:spacing w:val="-11"/>
        </w:rPr>
        <w:t xml:space="preserve"> </w:t>
      </w:r>
      <w:r>
        <w:t>already</w:t>
      </w:r>
      <w:r>
        <w:rPr>
          <w:spacing w:val="-11"/>
        </w:rPr>
        <w:t xml:space="preserve"> </w:t>
      </w:r>
      <w:r>
        <w:t>at</w:t>
      </w:r>
      <w:r>
        <w:rPr>
          <w:spacing w:val="-12"/>
        </w:rPr>
        <w:t xml:space="preserve"> </w:t>
      </w:r>
      <w:r>
        <w:t>increased</w:t>
      </w:r>
      <w:r>
        <w:rPr>
          <w:spacing w:val="-11"/>
        </w:rPr>
        <w:t xml:space="preserve"> </w:t>
      </w:r>
      <w:r>
        <w:t>risk</w:t>
      </w:r>
      <w:r>
        <w:rPr>
          <w:spacing w:val="-11"/>
        </w:rPr>
        <w:t xml:space="preserve"> </w:t>
      </w:r>
      <w:r>
        <w:t>for</w:t>
      </w:r>
      <w:r>
        <w:rPr>
          <w:spacing w:val="-11"/>
        </w:rPr>
        <w:t xml:space="preserve"> </w:t>
      </w:r>
      <w:r>
        <w:t>negative</w:t>
      </w:r>
      <w:r>
        <w:rPr>
          <w:spacing w:val="-10"/>
        </w:rPr>
        <w:t xml:space="preserve"> </w:t>
      </w:r>
      <w:r>
        <w:t>health</w:t>
      </w:r>
      <w:r>
        <w:rPr>
          <w:spacing w:val="-11"/>
        </w:rPr>
        <w:t xml:space="preserve"> </w:t>
      </w:r>
      <w:r>
        <w:t>and</w:t>
      </w:r>
      <w:r>
        <w:rPr>
          <w:spacing w:val="-11"/>
        </w:rPr>
        <w:t xml:space="preserve"> </w:t>
      </w:r>
      <w:r>
        <w:t>life</w:t>
      </w:r>
      <w:r>
        <w:rPr>
          <w:spacing w:val="-11"/>
        </w:rPr>
        <w:t xml:space="preserve"> </w:t>
      </w:r>
      <w:r>
        <w:t>outcomes.</w:t>
      </w:r>
      <w:r>
        <w:rPr>
          <w:spacing w:val="-10"/>
        </w:rPr>
        <w:t xml:space="preserve"> </w:t>
      </w:r>
      <w:r>
        <w:t>Studies</w:t>
      </w:r>
      <w:r>
        <w:rPr>
          <w:spacing w:val="-11"/>
        </w:rPr>
        <w:t xml:space="preserve"> </w:t>
      </w:r>
      <w:r>
        <w:t>show</w:t>
      </w:r>
      <w:r>
        <w:rPr>
          <w:spacing w:val="-11"/>
        </w:rPr>
        <w:t xml:space="preserve"> </w:t>
      </w:r>
      <w:r>
        <w:t>that</w:t>
      </w:r>
      <w:r>
        <w:rPr>
          <w:spacing w:val="-11"/>
        </w:rPr>
        <w:t xml:space="preserve"> </w:t>
      </w:r>
      <w:r>
        <w:t>LGBTQ youth are two to four times more likely to have issues with substance abuse when compared to non- LGBTQ peers</w:t>
      </w:r>
      <w:hyperlink w:anchor="_bookmark27" w:history="1">
        <w:r>
          <w:t>.</w:t>
        </w:r>
        <w:r>
          <w:rPr>
            <w:vertAlign w:val="superscript"/>
          </w:rPr>
          <w:t>6</w:t>
        </w:r>
        <w:r>
          <w:t xml:space="preserve"> I</w:t>
        </w:r>
      </w:hyperlink>
      <w:r>
        <w:t>n a study from 2019, the CDC found that LGB youth are more likely to have used illicit drugs than their he</w:t>
      </w:r>
      <w:r>
        <w:t>terosexual peers</w:t>
      </w:r>
      <w:hyperlink w:anchor="_bookmark28" w:history="1">
        <w:r>
          <w:t>.</w:t>
        </w:r>
        <w:r>
          <w:rPr>
            <w:vertAlign w:val="superscript"/>
          </w:rPr>
          <w:t>7</w:t>
        </w:r>
      </w:hyperlink>
      <w:r>
        <w:rPr>
          <w:spacing w:val="31"/>
        </w:rPr>
        <w:t xml:space="preserve"> </w:t>
      </w:r>
      <w:r>
        <w:t xml:space="preserve">A study from the Journal of School Health found that transgender students were 2.5 times more likely to use cocaine and methamphetamines and twice as likely to report misuse of prescription pain medication </w:t>
      </w:r>
      <w:r>
        <w:t>than non-transgender students</w:t>
      </w:r>
      <w:hyperlink w:anchor="_bookmark29" w:history="1">
        <w:r>
          <w:t>.</w:t>
        </w:r>
        <w:r>
          <w:rPr>
            <w:vertAlign w:val="superscript"/>
          </w:rPr>
          <w:t>8</w:t>
        </w:r>
        <w:r>
          <w:t xml:space="preserve"> </w:t>
        </w:r>
      </w:hyperlink>
      <w:r>
        <w:t>LGBTQ people, in general, are more likely to suffer from chronic conditions, substance abuse disorders, breast cancer, certain sexually transmitted</w:t>
      </w:r>
      <w:r>
        <w:rPr>
          <w:spacing w:val="-13"/>
        </w:rPr>
        <w:t xml:space="preserve"> </w:t>
      </w:r>
      <w:r>
        <w:t>diseases,</w:t>
      </w:r>
      <w:r>
        <w:rPr>
          <w:spacing w:val="-12"/>
        </w:rPr>
        <w:t xml:space="preserve"> </w:t>
      </w:r>
      <w:r>
        <w:t>and</w:t>
      </w:r>
      <w:r>
        <w:rPr>
          <w:spacing w:val="-14"/>
        </w:rPr>
        <w:t xml:space="preserve"> </w:t>
      </w:r>
      <w:r>
        <w:t>certain</w:t>
      </w:r>
      <w:r>
        <w:rPr>
          <w:spacing w:val="-12"/>
        </w:rPr>
        <w:t xml:space="preserve"> </w:t>
      </w:r>
      <w:r>
        <w:t>cancers.</w:t>
      </w:r>
      <w:hyperlink w:anchor="_bookmark30" w:history="1">
        <w:r>
          <w:rPr>
            <w:vertAlign w:val="superscript"/>
          </w:rPr>
          <w:t>9</w:t>
        </w:r>
        <w:r>
          <w:rPr>
            <w:spacing w:val="-27"/>
          </w:rPr>
          <w:t xml:space="preserve"> </w:t>
        </w:r>
      </w:hyperlink>
      <w:r>
        <w:t>Many</w:t>
      </w:r>
      <w:r>
        <w:rPr>
          <w:spacing w:val="-14"/>
        </w:rPr>
        <w:t xml:space="preserve"> </w:t>
      </w:r>
      <w:r>
        <w:t>of</w:t>
      </w:r>
      <w:r>
        <w:rPr>
          <w:spacing w:val="-12"/>
        </w:rPr>
        <w:t xml:space="preserve"> </w:t>
      </w:r>
      <w:r>
        <w:t>these</w:t>
      </w:r>
      <w:r>
        <w:rPr>
          <w:spacing w:val="-14"/>
        </w:rPr>
        <w:t xml:space="preserve"> </w:t>
      </w:r>
      <w:r>
        <w:t>underlying</w:t>
      </w:r>
      <w:r>
        <w:rPr>
          <w:spacing w:val="-13"/>
        </w:rPr>
        <w:t xml:space="preserve"> </w:t>
      </w:r>
      <w:r>
        <w:t>conditions</w:t>
      </w:r>
      <w:r>
        <w:rPr>
          <w:spacing w:val="-13"/>
        </w:rPr>
        <w:t xml:space="preserve"> </w:t>
      </w:r>
      <w:r>
        <w:t>are</w:t>
      </w:r>
      <w:r>
        <w:rPr>
          <w:spacing w:val="-14"/>
        </w:rPr>
        <w:t xml:space="preserve"> </w:t>
      </w:r>
      <w:r>
        <w:t>associated</w:t>
      </w:r>
      <w:r>
        <w:rPr>
          <w:spacing w:val="-12"/>
        </w:rPr>
        <w:t xml:space="preserve"> </w:t>
      </w:r>
      <w:r>
        <w:t>with</w:t>
      </w:r>
      <w:r>
        <w:rPr>
          <w:spacing w:val="-14"/>
        </w:rPr>
        <w:t xml:space="preserve"> </w:t>
      </w:r>
      <w:r>
        <w:t>a</w:t>
      </w:r>
      <w:r>
        <w:rPr>
          <w:spacing w:val="-12"/>
        </w:rPr>
        <w:t xml:space="preserve"> </w:t>
      </w:r>
      <w:r>
        <w:t>high</w:t>
      </w:r>
    </w:p>
    <w:p w:rsidR="00C76E6D" w:rsidRDefault="00C76E6D">
      <w:pPr>
        <w:spacing w:line="276" w:lineRule="auto"/>
        <w:jc w:val="both"/>
        <w:sectPr w:rsidR="00C76E6D">
          <w:pgSz w:w="12240" w:h="15840"/>
          <w:pgMar w:top="980" w:right="960" w:bottom="920" w:left="960" w:header="776" w:footer="720" w:gutter="0"/>
          <w:cols w:space="720"/>
        </w:sectPr>
      </w:pPr>
    </w:p>
    <w:p w:rsidR="00C76E6D" w:rsidRDefault="00C76E6D">
      <w:pPr>
        <w:pStyle w:val="BodyText"/>
        <w:rPr>
          <w:sz w:val="20"/>
        </w:rPr>
      </w:pPr>
    </w:p>
    <w:p w:rsidR="00C76E6D" w:rsidRDefault="00913831">
      <w:pPr>
        <w:pStyle w:val="BodyText"/>
        <w:spacing w:before="180" w:line="276" w:lineRule="auto"/>
        <w:ind w:left="478" w:right="479"/>
        <w:jc w:val="both"/>
      </w:pPr>
      <w:r>
        <w:t>risk for severe COVID-19, which could further lead to hospitalization, intensive care, ventilation, or even death</w:t>
      </w:r>
      <w:hyperlink w:anchor="_bookmark31" w:history="1">
        <w:r>
          <w:t>.</w:t>
        </w:r>
        <w:r>
          <w:rPr>
            <w:vertAlign w:val="superscript"/>
          </w:rPr>
          <w:t>10</w:t>
        </w:r>
      </w:hyperlink>
      <w:r>
        <w:t xml:space="preserve"> While the COVI</w:t>
      </w:r>
      <w:r>
        <w:t>D vaccination mitigates some of the health-related risks, COVID has likely worsened pre-existing health disparities, identity-based discrimination, and inequitable access to care.</w:t>
      </w:r>
    </w:p>
    <w:p w:rsidR="00C76E6D" w:rsidRDefault="00C76E6D">
      <w:pPr>
        <w:pStyle w:val="BodyText"/>
        <w:spacing w:before="3"/>
        <w:rPr>
          <w:sz w:val="25"/>
        </w:rPr>
      </w:pPr>
    </w:p>
    <w:p w:rsidR="00C76E6D" w:rsidRDefault="00913831">
      <w:pPr>
        <w:pStyle w:val="Heading6"/>
        <w:numPr>
          <w:ilvl w:val="0"/>
          <w:numId w:val="52"/>
        </w:numPr>
        <w:tabs>
          <w:tab w:val="left" w:pos="699"/>
        </w:tabs>
      </w:pPr>
      <w:bookmarkStart w:id="50" w:name="3._Economic_Security"/>
      <w:bookmarkEnd w:id="50"/>
      <w:r>
        <w:rPr>
          <w:w w:val="95"/>
        </w:rPr>
        <w:t>Economic</w:t>
      </w:r>
      <w:r>
        <w:rPr>
          <w:spacing w:val="21"/>
        </w:rPr>
        <w:t xml:space="preserve"> </w:t>
      </w:r>
      <w:r>
        <w:rPr>
          <w:spacing w:val="-2"/>
        </w:rPr>
        <w:t>Security</w:t>
      </w:r>
    </w:p>
    <w:p w:rsidR="00C76E6D" w:rsidRDefault="00C76E6D">
      <w:pPr>
        <w:pStyle w:val="BodyText"/>
        <w:spacing w:before="8"/>
        <w:rPr>
          <w:b/>
          <w:sz w:val="28"/>
        </w:rPr>
      </w:pPr>
    </w:p>
    <w:p w:rsidR="00C76E6D" w:rsidRDefault="00913831">
      <w:pPr>
        <w:pStyle w:val="BodyText"/>
        <w:spacing w:line="276" w:lineRule="auto"/>
        <w:ind w:left="478" w:right="473"/>
        <w:jc w:val="both"/>
      </w:pPr>
      <w:r>
        <w:t>LGBTQ youth are generally at a greater risk of poverty a</w:t>
      </w:r>
      <w:r>
        <w:t>nd economic instability than their heterosexual and cisgender peers. The Williams Institute found that in Massachusetts, the poverty rate for LGBTQ people</w:t>
      </w:r>
      <w:r>
        <w:rPr>
          <w:spacing w:val="-7"/>
        </w:rPr>
        <w:t xml:space="preserve"> </w:t>
      </w:r>
      <w:r>
        <w:t>was</w:t>
      </w:r>
      <w:r>
        <w:rPr>
          <w:spacing w:val="-7"/>
        </w:rPr>
        <w:t xml:space="preserve"> </w:t>
      </w:r>
      <w:r>
        <w:t>12.8%,</w:t>
      </w:r>
      <w:r>
        <w:rPr>
          <w:spacing w:val="-7"/>
        </w:rPr>
        <w:t xml:space="preserve"> </w:t>
      </w:r>
      <w:r>
        <w:t>while</w:t>
      </w:r>
      <w:r>
        <w:rPr>
          <w:spacing w:val="-6"/>
        </w:rPr>
        <w:t xml:space="preserve"> </w:t>
      </w:r>
      <w:r>
        <w:t>only</w:t>
      </w:r>
      <w:r>
        <w:rPr>
          <w:spacing w:val="-7"/>
        </w:rPr>
        <w:t xml:space="preserve"> </w:t>
      </w:r>
      <w:r>
        <w:t>9.4%</w:t>
      </w:r>
      <w:r>
        <w:rPr>
          <w:spacing w:val="-7"/>
        </w:rPr>
        <w:t xml:space="preserve"> </w:t>
      </w:r>
      <w:r>
        <w:t>for</w:t>
      </w:r>
      <w:r>
        <w:rPr>
          <w:spacing w:val="-6"/>
        </w:rPr>
        <w:t xml:space="preserve"> </w:t>
      </w:r>
      <w:r>
        <w:t>non-LGBTQ</w:t>
      </w:r>
      <w:r>
        <w:rPr>
          <w:spacing w:val="-5"/>
        </w:rPr>
        <w:t xml:space="preserve"> </w:t>
      </w:r>
      <w:r>
        <w:t>people.</w:t>
      </w:r>
      <w:hyperlink w:anchor="_bookmark32" w:history="1">
        <w:r>
          <w:rPr>
            <w:vertAlign w:val="superscript"/>
          </w:rPr>
          <w:t>11</w:t>
        </w:r>
        <w:r>
          <w:rPr>
            <w:spacing w:val="14"/>
          </w:rPr>
          <w:t xml:space="preserve"> </w:t>
        </w:r>
      </w:hyperlink>
      <w:r>
        <w:t>Physical</w:t>
      </w:r>
      <w:r>
        <w:rPr>
          <w:spacing w:val="-8"/>
        </w:rPr>
        <w:t xml:space="preserve"> </w:t>
      </w:r>
      <w:r>
        <w:t>health</w:t>
      </w:r>
      <w:r>
        <w:rPr>
          <w:spacing w:val="-6"/>
        </w:rPr>
        <w:t xml:space="preserve"> </w:t>
      </w:r>
      <w:r>
        <w:t>is</w:t>
      </w:r>
      <w:r>
        <w:rPr>
          <w:spacing w:val="-6"/>
        </w:rPr>
        <w:t xml:space="preserve"> </w:t>
      </w:r>
      <w:r>
        <w:t>inextricably</w:t>
      </w:r>
      <w:r>
        <w:rPr>
          <w:spacing w:val="-7"/>
        </w:rPr>
        <w:t xml:space="preserve"> </w:t>
      </w:r>
      <w:r>
        <w:t>linked</w:t>
      </w:r>
      <w:r>
        <w:rPr>
          <w:spacing w:val="-6"/>
        </w:rPr>
        <w:t xml:space="preserve"> </w:t>
      </w:r>
      <w:r>
        <w:t>to</w:t>
      </w:r>
      <w:r>
        <w:rPr>
          <w:spacing w:val="-7"/>
        </w:rPr>
        <w:t xml:space="preserve"> </w:t>
      </w:r>
      <w:r>
        <w:t>social context and socioeconomic status. For instance, a large share of LGBTQ youth of color in Massachusetts currently</w:t>
      </w:r>
      <w:r>
        <w:rPr>
          <w:spacing w:val="-13"/>
        </w:rPr>
        <w:t xml:space="preserve"> </w:t>
      </w:r>
      <w:r>
        <w:t>lives</w:t>
      </w:r>
      <w:r>
        <w:rPr>
          <w:spacing w:val="-12"/>
        </w:rPr>
        <w:t xml:space="preserve"> </w:t>
      </w:r>
      <w:r>
        <w:t>with</w:t>
      </w:r>
      <w:r>
        <w:rPr>
          <w:spacing w:val="-13"/>
        </w:rPr>
        <w:t xml:space="preserve"> </w:t>
      </w:r>
      <w:r>
        <w:t>economic,</w:t>
      </w:r>
      <w:r>
        <w:rPr>
          <w:spacing w:val="-12"/>
        </w:rPr>
        <w:t xml:space="preserve"> </w:t>
      </w:r>
      <w:r>
        <w:t>housing,</w:t>
      </w:r>
      <w:r>
        <w:rPr>
          <w:spacing w:val="-13"/>
        </w:rPr>
        <w:t xml:space="preserve"> </w:t>
      </w:r>
      <w:r>
        <w:t>and</w:t>
      </w:r>
      <w:r>
        <w:rPr>
          <w:spacing w:val="-12"/>
        </w:rPr>
        <w:t xml:space="preserve"> </w:t>
      </w:r>
      <w:r>
        <w:t>food</w:t>
      </w:r>
      <w:r>
        <w:rPr>
          <w:spacing w:val="-13"/>
        </w:rPr>
        <w:t xml:space="preserve"> </w:t>
      </w:r>
      <w:r>
        <w:t>insecurity,</w:t>
      </w:r>
      <w:r>
        <w:rPr>
          <w:spacing w:val="-12"/>
        </w:rPr>
        <w:t xml:space="preserve"> </w:t>
      </w:r>
      <w:r>
        <w:t>which</w:t>
      </w:r>
      <w:r>
        <w:rPr>
          <w:spacing w:val="-12"/>
        </w:rPr>
        <w:t xml:space="preserve"> </w:t>
      </w:r>
      <w:r>
        <w:t>places</w:t>
      </w:r>
      <w:r>
        <w:rPr>
          <w:spacing w:val="-13"/>
        </w:rPr>
        <w:t xml:space="preserve"> </w:t>
      </w:r>
      <w:r>
        <w:t>them</w:t>
      </w:r>
      <w:r>
        <w:rPr>
          <w:spacing w:val="-12"/>
        </w:rPr>
        <w:t xml:space="preserve"> </w:t>
      </w:r>
      <w:r>
        <w:t>at</w:t>
      </w:r>
      <w:r>
        <w:rPr>
          <w:spacing w:val="-13"/>
        </w:rPr>
        <w:t xml:space="preserve"> </w:t>
      </w:r>
      <w:r>
        <w:t>a</w:t>
      </w:r>
      <w:r>
        <w:rPr>
          <w:spacing w:val="-12"/>
        </w:rPr>
        <w:t xml:space="preserve"> </w:t>
      </w:r>
      <w:r>
        <w:t>greater</w:t>
      </w:r>
      <w:r>
        <w:rPr>
          <w:spacing w:val="-13"/>
        </w:rPr>
        <w:t xml:space="preserve"> </w:t>
      </w:r>
      <w:r>
        <w:t>risk</w:t>
      </w:r>
      <w:r>
        <w:rPr>
          <w:spacing w:val="-12"/>
        </w:rPr>
        <w:t xml:space="preserve"> </w:t>
      </w:r>
      <w:r>
        <w:t>of</w:t>
      </w:r>
      <w:r>
        <w:rPr>
          <w:spacing w:val="-12"/>
        </w:rPr>
        <w:t xml:space="preserve"> </w:t>
      </w:r>
      <w:r>
        <w:t>COVID</w:t>
      </w:r>
      <w:hyperlink w:anchor="_bookmark33" w:history="1">
        <w:r>
          <w:t>.</w:t>
        </w:r>
        <w:r>
          <w:rPr>
            <w:vertAlign w:val="superscript"/>
          </w:rPr>
          <w:t>12</w:t>
        </w:r>
      </w:hyperlink>
      <w:r>
        <w:t xml:space="preserve"> 32% reported that they were unemployed; 15.5% reported that they were unstably housed; and 30.9% reported</w:t>
      </w:r>
      <w:r>
        <w:rPr>
          <w:spacing w:val="-11"/>
        </w:rPr>
        <w:t xml:space="preserve"> </w:t>
      </w:r>
      <w:r>
        <w:t>that</w:t>
      </w:r>
      <w:r>
        <w:rPr>
          <w:spacing w:val="-10"/>
        </w:rPr>
        <w:t xml:space="preserve"> </w:t>
      </w:r>
      <w:r>
        <w:t>they</w:t>
      </w:r>
      <w:r>
        <w:rPr>
          <w:spacing w:val="-7"/>
        </w:rPr>
        <w:t xml:space="preserve"> </w:t>
      </w:r>
      <w:r>
        <w:t>were</w:t>
      </w:r>
      <w:r>
        <w:rPr>
          <w:spacing w:val="-9"/>
        </w:rPr>
        <w:t xml:space="preserve"> </w:t>
      </w:r>
      <w:r>
        <w:t>food</w:t>
      </w:r>
      <w:r>
        <w:rPr>
          <w:spacing w:val="-10"/>
        </w:rPr>
        <w:t xml:space="preserve"> </w:t>
      </w:r>
      <w:r>
        <w:t>insecure.</w:t>
      </w:r>
      <w:r>
        <w:rPr>
          <w:spacing w:val="-10"/>
        </w:rPr>
        <w:t xml:space="preserve"> </w:t>
      </w:r>
      <w:r>
        <w:t>Data</w:t>
      </w:r>
      <w:r>
        <w:rPr>
          <w:spacing w:val="-8"/>
        </w:rPr>
        <w:t xml:space="preserve"> </w:t>
      </w:r>
      <w:r>
        <w:t>from</w:t>
      </w:r>
      <w:r>
        <w:rPr>
          <w:spacing w:val="-9"/>
        </w:rPr>
        <w:t xml:space="preserve"> </w:t>
      </w:r>
      <w:r>
        <w:t>the</w:t>
      </w:r>
      <w:r>
        <w:rPr>
          <w:spacing w:val="-10"/>
        </w:rPr>
        <w:t xml:space="preserve"> </w:t>
      </w:r>
      <w:r>
        <w:t>Boston</w:t>
      </w:r>
      <w:r>
        <w:rPr>
          <w:spacing w:val="-10"/>
        </w:rPr>
        <w:t xml:space="preserve"> </w:t>
      </w:r>
      <w:r>
        <w:t>Indicators</w:t>
      </w:r>
      <w:r>
        <w:rPr>
          <w:spacing w:val="-8"/>
        </w:rPr>
        <w:t xml:space="preserve"> </w:t>
      </w:r>
      <w:r>
        <w:t>demonstrates</w:t>
      </w:r>
      <w:r>
        <w:rPr>
          <w:spacing w:val="-9"/>
        </w:rPr>
        <w:t xml:space="preserve"> </w:t>
      </w:r>
      <w:r>
        <w:t>strong</w:t>
      </w:r>
      <w:r>
        <w:rPr>
          <w:spacing w:val="-8"/>
        </w:rPr>
        <w:t xml:space="preserve"> </w:t>
      </w:r>
      <w:r>
        <w:t>correlations between socioeconomic status and the prevalence of COVID. A study from August 2020 found that Massachusetts</w:t>
      </w:r>
      <w:r>
        <w:rPr>
          <w:spacing w:val="-8"/>
        </w:rPr>
        <w:t xml:space="preserve"> </w:t>
      </w:r>
      <w:r>
        <w:t>cities</w:t>
      </w:r>
      <w:r>
        <w:rPr>
          <w:spacing w:val="-8"/>
        </w:rPr>
        <w:t xml:space="preserve"> </w:t>
      </w:r>
      <w:r>
        <w:t>with</w:t>
      </w:r>
      <w:r>
        <w:rPr>
          <w:spacing w:val="-6"/>
        </w:rPr>
        <w:t xml:space="preserve"> </w:t>
      </w:r>
      <w:r>
        <w:t>more</w:t>
      </w:r>
      <w:r>
        <w:rPr>
          <w:spacing w:val="-9"/>
        </w:rPr>
        <w:t xml:space="preserve"> </w:t>
      </w:r>
      <w:r>
        <w:t>crowded</w:t>
      </w:r>
      <w:r>
        <w:rPr>
          <w:spacing w:val="-9"/>
        </w:rPr>
        <w:t xml:space="preserve"> </w:t>
      </w:r>
      <w:r>
        <w:t>homes,</w:t>
      </w:r>
      <w:r>
        <w:rPr>
          <w:spacing w:val="-8"/>
        </w:rPr>
        <w:t xml:space="preserve"> </w:t>
      </w:r>
      <w:r>
        <w:t>larger</w:t>
      </w:r>
      <w:r>
        <w:rPr>
          <w:spacing w:val="-8"/>
        </w:rPr>
        <w:t xml:space="preserve"> </w:t>
      </w:r>
      <w:r>
        <w:t>communities</w:t>
      </w:r>
      <w:r>
        <w:rPr>
          <w:spacing w:val="-10"/>
        </w:rPr>
        <w:t xml:space="preserve"> </w:t>
      </w:r>
      <w:r>
        <w:t>of</w:t>
      </w:r>
      <w:r>
        <w:rPr>
          <w:spacing w:val="-9"/>
        </w:rPr>
        <w:t xml:space="preserve"> </w:t>
      </w:r>
      <w:r>
        <w:t>color,</w:t>
      </w:r>
      <w:r>
        <w:rPr>
          <w:spacing w:val="-8"/>
        </w:rPr>
        <w:t xml:space="preserve"> </w:t>
      </w:r>
      <w:r>
        <w:t>and</w:t>
      </w:r>
      <w:r>
        <w:rPr>
          <w:spacing w:val="-9"/>
        </w:rPr>
        <w:t xml:space="preserve"> </w:t>
      </w:r>
      <w:r>
        <w:t>more</w:t>
      </w:r>
      <w:r>
        <w:rPr>
          <w:spacing w:val="-9"/>
        </w:rPr>
        <w:t xml:space="preserve"> </w:t>
      </w:r>
      <w:r>
        <w:t>frontline</w:t>
      </w:r>
      <w:r>
        <w:rPr>
          <w:spacing w:val="-9"/>
        </w:rPr>
        <w:t xml:space="preserve"> </w:t>
      </w:r>
      <w:r>
        <w:t>workers had higher rates of COVID.</w:t>
      </w:r>
    </w:p>
    <w:p w:rsidR="00C76E6D" w:rsidRDefault="00C76E6D">
      <w:pPr>
        <w:pStyle w:val="BodyText"/>
        <w:spacing w:before="2"/>
        <w:rPr>
          <w:sz w:val="25"/>
        </w:rPr>
      </w:pPr>
    </w:p>
    <w:p w:rsidR="00C76E6D" w:rsidRDefault="00913831">
      <w:pPr>
        <w:pStyle w:val="BodyText"/>
        <w:spacing w:line="276" w:lineRule="auto"/>
        <w:ind w:left="478" w:right="474" w:hanging="1"/>
        <w:jc w:val="both"/>
      </w:pPr>
      <w:r>
        <w:t>Unfortunately,</w:t>
      </w:r>
      <w:r>
        <w:rPr>
          <w:spacing w:val="-13"/>
        </w:rPr>
        <w:t xml:space="preserve"> </w:t>
      </w:r>
      <w:r>
        <w:t>ther</w:t>
      </w:r>
      <w:r>
        <w:t>e</w:t>
      </w:r>
      <w:r>
        <w:rPr>
          <w:spacing w:val="-12"/>
        </w:rPr>
        <w:t xml:space="preserve"> </w:t>
      </w:r>
      <w:r>
        <w:t>is</w:t>
      </w:r>
      <w:r>
        <w:rPr>
          <w:spacing w:val="-13"/>
        </w:rPr>
        <w:t xml:space="preserve"> </w:t>
      </w:r>
      <w:r>
        <w:t>limited</w:t>
      </w:r>
      <w:r>
        <w:rPr>
          <w:spacing w:val="-12"/>
        </w:rPr>
        <w:t xml:space="preserve"> </w:t>
      </w:r>
      <w:r>
        <w:t>data</w:t>
      </w:r>
      <w:r>
        <w:rPr>
          <w:spacing w:val="-13"/>
        </w:rPr>
        <w:t xml:space="preserve"> </w:t>
      </w:r>
      <w:r>
        <w:t>on</w:t>
      </w:r>
      <w:r>
        <w:rPr>
          <w:spacing w:val="-12"/>
        </w:rPr>
        <w:t xml:space="preserve"> </w:t>
      </w:r>
      <w:r>
        <w:t>the</w:t>
      </w:r>
      <w:r>
        <w:rPr>
          <w:spacing w:val="-13"/>
        </w:rPr>
        <w:t xml:space="preserve"> </w:t>
      </w:r>
      <w:r>
        <w:t>economic</w:t>
      </w:r>
      <w:r>
        <w:rPr>
          <w:spacing w:val="-12"/>
        </w:rPr>
        <w:t xml:space="preserve"> </w:t>
      </w:r>
      <w:r>
        <w:t>impact</w:t>
      </w:r>
      <w:r>
        <w:rPr>
          <w:spacing w:val="-12"/>
        </w:rPr>
        <w:t xml:space="preserve"> </w:t>
      </w:r>
      <w:r>
        <w:t>of</w:t>
      </w:r>
      <w:r>
        <w:rPr>
          <w:spacing w:val="-13"/>
        </w:rPr>
        <w:t xml:space="preserve"> </w:t>
      </w:r>
      <w:r>
        <w:t>the</w:t>
      </w:r>
      <w:r>
        <w:rPr>
          <w:spacing w:val="-12"/>
        </w:rPr>
        <w:t xml:space="preserve"> </w:t>
      </w:r>
      <w:r>
        <w:t>pandemic</w:t>
      </w:r>
      <w:r>
        <w:rPr>
          <w:spacing w:val="-12"/>
        </w:rPr>
        <w:t xml:space="preserve"> </w:t>
      </w:r>
      <w:r>
        <w:t>on</w:t>
      </w:r>
      <w:r>
        <w:rPr>
          <w:spacing w:val="-10"/>
        </w:rPr>
        <w:t xml:space="preserve"> </w:t>
      </w:r>
      <w:r>
        <w:t>LGBTQ</w:t>
      </w:r>
      <w:r>
        <w:rPr>
          <w:spacing w:val="-13"/>
        </w:rPr>
        <w:t xml:space="preserve"> </w:t>
      </w:r>
      <w:r>
        <w:t>youth,</w:t>
      </w:r>
      <w:r>
        <w:rPr>
          <w:spacing w:val="-11"/>
        </w:rPr>
        <w:t xml:space="preserve"> </w:t>
      </w:r>
      <w:r>
        <w:t>particularly after 2020. However, studies from mid-2021 show that the pandemic has exasperated economic inequality for LGBTQ adults. According to the Household Pulse Survey from Augus</w:t>
      </w:r>
      <w:r>
        <w:t>t 2021, LGBTQ adults reported</w:t>
      </w:r>
      <w:r>
        <w:rPr>
          <w:spacing w:val="-7"/>
        </w:rPr>
        <w:t xml:space="preserve"> </w:t>
      </w:r>
      <w:r>
        <w:t>living</w:t>
      </w:r>
      <w:r>
        <w:rPr>
          <w:spacing w:val="-8"/>
        </w:rPr>
        <w:t xml:space="preserve"> </w:t>
      </w:r>
      <w:r>
        <w:t>in</w:t>
      </w:r>
      <w:r>
        <w:rPr>
          <w:spacing w:val="-7"/>
        </w:rPr>
        <w:t xml:space="preserve"> </w:t>
      </w:r>
      <w:r>
        <w:t>households</w:t>
      </w:r>
      <w:r>
        <w:rPr>
          <w:spacing w:val="-6"/>
        </w:rPr>
        <w:t xml:space="preserve"> </w:t>
      </w:r>
      <w:r>
        <w:t>with</w:t>
      </w:r>
      <w:r>
        <w:rPr>
          <w:spacing w:val="-5"/>
        </w:rPr>
        <w:t xml:space="preserve"> </w:t>
      </w:r>
      <w:r>
        <w:t>higher</w:t>
      </w:r>
      <w:r>
        <w:rPr>
          <w:spacing w:val="-8"/>
        </w:rPr>
        <w:t xml:space="preserve"> </w:t>
      </w:r>
      <w:r>
        <w:t>rates</w:t>
      </w:r>
      <w:r>
        <w:rPr>
          <w:spacing w:val="-6"/>
        </w:rPr>
        <w:t xml:space="preserve"> </w:t>
      </w:r>
      <w:r>
        <w:t>of</w:t>
      </w:r>
      <w:r>
        <w:rPr>
          <w:spacing w:val="-6"/>
        </w:rPr>
        <w:t xml:space="preserve"> </w:t>
      </w:r>
      <w:r>
        <w:t>food</w:t>
      </w:r>
      <w:r>
        <w:rPr>
          <w:spacing w:val="-8"/>
        </w:rPr>
        <w:t xml:space="preserve"> </w:t>
      </w:r>
      <w:r>
        <w:t>and</w:t>
      </w:r>
      <w:r>
        <w:rPr>
          <w:spacing w:val="-7"/>
        </w:rPr>
        <w:t xml:space="preserve"> </w:t>
      </w:r>
      <w:r>
        <w:t>economic</w:t>
      </w:r>
      <w:r>
        <w:rPr>
          <w:spacing w:val="-7"/>
        </w:rPr>
        <w:t xml:space="preserve"> </w:t>
      </w:r>
      <w:r>
        <w:t>insecurity</w:t>
      </w:r>
      <w:r>
        <w:rPr>
          <w:spacing w:val="-8"/>
        </w:rPr>
        <w:t xml:space="preserve"> </w:t>
      </w:r>
      <w:r>
        <w:t>than</w:t>
      </w:r>
      <w:r>
        <w:rPr>
          <w:spacing w:val="-7"/>
        </w:rPr>
        <w:t xml:space="preserve"> </w:t>
      </w:r>
      <w:r>
        <w:t>non-LGBTQ</w:t>
      </w:r>
      <w:r>
        <w:rPr>
          <w:spacing w:val="-7"/>
        </w:rPr>
        <w:t xml:space="preserve"> </w:t>
      </w:r>
      <w:r>
        <w:t>adults</w:t>
      </w:r>
      <w:hyperlink w:anchor="_bookmark34" w:history="1">
        <w:r>
          <w:t>.</w:t>
        </w:r>
        <w:r>
          <w:rPr>
            <w:vertAlign w:val="superscript"/>
          </w:rPr>
          <w:t>13</w:t>
        </w:r>
      </w:hyperlink>
      <w:r>
        <w:t xml:space="preserve"> Another study from</w:t>
      </w:r>
      <w:r>
        <w:rPr>
          <w:spacing w:val="-1"/>
        </w:rPr>
        <w:t xml:space="preserve"> </w:t>
      </w:r>
      <w:r>
        <w:t>the Institute</w:t>
      </w:r>
      <w:r>
        <w:rPr>
          <w:spacing w:val="-1"/>
        </w:rPr>
        <w:t xml:space="preserve"> </w:t>
      </w:r>
      <w:r>
        <w:t>for Women’s Policy Research from</w:t>
      </w:r>
      <w:r>
        <w:rPr>
          <w:spacing w:val="-1"/>
        </w:rPr>
        <w:t xml:space="preserve"> </w:t>
      </w:r>
      <w:r>
        <w:t>June</w:t>
      </w:r>
      <w:r>
        <w:rPr>
          <w:spacing w:val="-1"/>
        </w:rPr>
        <w:t xml:space="preserve"> </w:t>
      </w:r>
      <w:r>
        <w:t>2021 found that young</w:t>
      </w:r>
      <w:r>
        <w:rPr>
          <w:spacing w:val="-1"/>
        </w:rPr>
        <w:t xml:space="preserve"> </w:t>
      </w:r>
      <w:r>
        <w:t>women of color and LGBTQ women faced significant career setbacks, were more worried about their finances than other groups of women, and received more financial assistance from other people in the past year compared to other groups of women</w:t>
      </w:r>
      <w:hyperlink w:anchor="_bookmark35" w:history="1">
        <w:r>
          <w:t>.</w:t>
        </w:r>
        <w:r>
          <w:rPr>
            <w:vertAlign w:val="superscript"/>
          </w:rPr>
          <w:t>14</w:t>
        </w:r>
      </w:hyperlink>
    </w:p>
    <w:p w:rsidR="00C76E6D" w:rsidRDefault="00C76E6D">
      <w:pPr>
        <w:pStyle w:val="BodyText"/>
        <w:spacing w:before="5"/>
        <w:rPr>
          <w:sz w:val="25"/>
        </w:rPr>
      </w:pPr>
    </w:p>
    <w:p w:rsidR="00C76E6D" w:rsidRDefault="00913831">
      <w:pPr>
        <w:pStyle w:val="BodyText"/>
        <w:spacing w:line="276" w:lineRule="auto"/>
        <w:ind w:left="478" w:right="474"/>
        <w:jc w:val="both"/>
      </w:pPr>
      <w:r>
        <w:t>Even as businesses have reopened and employers have started re-hiring, the economic impact of COVID will</w:t>
      </w:r>
      <w:r>
        <w:rPr>
          <w:spacing w:val="-3"/>
        </w:rPr>
        <w:t xml:space="preserve"> </w:t>
      </w:r>
      <w:r>
        <w:t>likely have</w:t>
      </w:r>
      <w:r>
        <w:rPr>
          <w:spacing w:val="-3"/>
        </w:rPr>
        <w:t xml:space="preserve"> </w:t>
      </w:r>
      <w:r>
        <w:t>long-lasting</w:t>
      </w:r>
      <w:r>
        <w:rPr>
          <w:spacing w:val="-1"/>
        </w:rPr>
        <w:t xml:space="preserve"> </w:t>
      </w:r>
      <w:r>
        <w:t>implications for</w:t>
      </w:r>
      <w:r>
        <w:rPr>
          <w:spacing w:val="-2"/>
        </w:rPr>
        <w:t xml:space="preserve"> </w:t>
      </w:r>
      <w:r>
        <w:t>LGBTQ</w:t>
      </w:r>
      <w:r>
        <w:rPr>
          <w:spacing w:val="-3"/>
        </w:rPr>
        <w:t xml:space="preserve"> </w:t>
      </w:r>
      <w:r>
        <w:t>youth.</w:t>
      </w:r>
      <w:r>
        <w:rPr>
          <w:spacing w:val="-2"/>
        </w:rPr>
        <w:t xml:space="preserve"> </w:t>
      </w:r>
      <w:r>
        <w:t>For</w:t>
      </w:r>
      <w:r>
        <w:rPr>
          <w:spacing w:val="-2"/>
        </w:rPr>
        <w:t xml:space="preserve"> </w:t>
      </w:r>
      <w:r>
        <w:t>instance,</w:t>
      </w:r>
      <w:r>
        <w:rPr>
          <w:spacing w:val="-2"/>
        </w:rPr>
        <w:t xml:space="preserve"> </w:t>
      </w:r>
      <w:r>
        <w:t>regarding</w:t>
      </w:r>
      <w:r>
        <w:rPr>
          <w:spacing w:val="-3"/>
        </w:rPr>
        <w:t xml:space="preserve"> </w:t>
      </w:r>
      <w:r>
        <w:t>high</w:t>
      </w:r>
      <w:r>
        <w:rPr>
          <w:spacing w:val="-3"/>
        </w:rPr>
        <w:t xml:space="preserve"> </w:t>
      </w:r>
      <w:r>
        <w:t>school</w:t>
      </w:r>
      <w:r>
        <w:rPr>
          <w:spacing w:val="-2"/>
        </w:rPr>
        <w:t xml:space="preserve"> </w:t>
      </w:r>
      <w:r>
        <w:t>and</w:t>
      </w:r>
      <w:r>
        <w:rPr>
          <w:spacing w:val="-3"/>
        </w:rPr>
        <w:t xml:space="preserve"> </w:t>
      </w:r>
      <w:r>
        <w:t>college graduates, entering the workforce during a recession has both short-term and long-term impacts on economic</w:t>
      </w:r>
      <w:r>
        <w:rPr>
          <w:spacing w:val="-6"/>
        </w:rPr>
        <w:t xml:space="preserve"> </w:t>
      </w:r>
      <w:r>
        <w:t>well-being.</w:t>
      </w:r>
      <w:r>
        <w:rPr>
          <w:spacing w:val="-7"/>
        </w:rPr>
        <w:t xml:space="preserve"> </w:t>
      </w:r>
      <w:r>
        <w:t>Not</w:t>
      </w:r>
      <w:r>
        <w:rPr>
          <w:spacing w:val="-5"/>
        </w:rPr>
        <w:t xml:space="preserve"> </w:t>
      </w:r>
      <w:r>
        <w:t>only</w:t>
      </w:r>
      <w:r>
        <w:rPr>
          <w:spacing w:val="-6"/>
        </w:rPr>
        <w:t xml:space="preserve"> </w:t>
      </w:r>
      <w:r>
        <w:t>has</w:t>
      </w:r>
      <w:r>
        <w:rPr>
          <w:spacing w:val="-6"/>
        </w:rPr>
        <w:t xml:space="preserve"> </w:t>
      </w:r>
      <w:r>
        <w:t>it</w:t>
      </w:r>
      <w:r>
        <w:rPr>
          <w:spacing w:val="-6"/>
        </w:rPr>
        <w:t xml:space="preserve"> </w:t>
      </w:r>
      <w:r>
        <w:t>been</w:t>
      </w:r>
      <w:r>
        <w:rPr>
          <w:spacing w:val="-7"/>
        </w:rPr>
        <w:t xml:space="preserve"> </w:t>
      </w:r>
      <w:r>
        <w:t>difficult</w:t>
      </w:r>
      <w:r>
        <w:rPr>
          <w:spacing w:val="-5"/>
        </w:rPr>
        <w:t xml:space="preserve"> </w:t>
      </w:r>
      <w:r>
        <w:t>to</w:t>
      </w:r>
      <w:r>
        <w:rPr>
          <w:spacing w:val="-5"/>
        </w:rPr>
        <w:t xml:space="preserve"> </w:t>
      </w:r>
      <w:r>
        <w:t>find</w:t>
      </w:r>
      <w:r>
        <w:rPr>
          <w:spacing w:val="-7"/>
        </w:rPr>
        <w:t xml:space="preserve"> </w:t>
      </w:r>
      <w:r>
        <w:t>a</w:t>
      </w:r>
      <w:r>
        <w:rPr>
          <w:spacing w:val="-5"/>
        </w:rPr>
        <w:t xml:space="preserve"> </w:t>
      </w:r>
      <w:r>
        <w:t>position</w:t>
      </w:r>
      <w:r>
        <w:rPr>
          <w:spacing w:val="-8"/>
        </w:rPr>
        <w:t xml:space="preserve"> </w:t>
      </w:r>
      <w:r>
        <w:t>over</w:t>
      </w:r>
      <w:r>
        <w:rPr>
          <w:spacing w:val="-5"/>
        </w:rPr>
        <w:t xml:space="preserve"> </w:t>
      </w:r>
      <w:r>
        <w:t>the</w:t>
      </w:r>
      <w:r>
        <w:rPr>
          <w:spacing w:val="-5"/>
        </w:rPr>
        <w:t xml:space="preserve"> </w:t>
      </w:r>
      <w:r>
        <w:t>past</w:t>
      </w:r>
      <w:r>
        <w:rPr>
          <w:spacing w:val="-7"/>
        </w:rPr>
        <w:t xml:space="preserve"> </w:t>
      </w:r>
      <w:r>
        <w:t>two</w:t>
      </w:r>
      <w:r>
        <w:rPr>
          <w:spacing w:val="-7"/>
        </w:rPr>
        <w:t xml:space="preserve"> </w:t>
      </w:r>
      <w:r>
        <w:t>years,</w:t>
      </w:r>
      <w:r>
        <w:rPr>
          <w:spacing w:val="-5"/>
        </w:rPr>
        <w:t xml:space="preserve"> </w:t>
      </w:r>
      <w:r>
        <w:t>but</w:t>
      </w:r>
      <w:r>
        <w:rPr>
          <w:spacing w:val="-7"/>
        </w:rPr>
        <w:t xml:space="preserve"> </w:t>
      </w:r>
      <w:r>
        <w:t>research suggests that it puts young people at future risk for poverty, low self-esteem, stress, and adverse outcomes</w:t>
      </w:r>
      <w:hyperlink w:anchor="_bookmark36" w:history="1">
        <w:r>
          <w:t>.</w:t>
        </w:r>
        <w:r>
          <w:rPr>
            <w:vertAlign w:val="superscript"/>
          </w:rPr>
          <w:t>15</w:t>
        </w:r>
        <w:r>
          <w:rPr>
            <w:spacing w:val="-4"/>
          </w:rPr>
          <w:t xml:space="preserve"> </w:t>
        </w:r>
      </w:hyperlink>
      <w:r>
        <w:t>Additionally, federal COVID-related unemployment benefits ended on September 4, 2021</w:t>
      </w:r>
      <w:hyperlink w:anchor="_bookmark37" w:history="1">
        <w:r>
          <w:t>.</w:t>
        </w:r>
        <w:r>
          <w:rPr>
            <w:vertAlign w:val="superscript"/>
          </w:rPr>
          <w:t>16</w:t>
        </w:r>
      </w:hyperlink>
      <w:r>
        <w:t xml:space="preserve"> These</w:t>
      </w:r>
      <w:r>
        <w:rPr>
          <w:spacing w:val="-9"/>
        </w:rPr>
        <w:t xml:space="preserve"> </w:t>
      </w:r>
      <w:r>
        <w:t>funds</w:t>
      </w:r>
      <w:r>
        <w:rPr>
          <w:spacing w:val="-5"/>
        </w:rPr>
        <w:t xml:space="preserve"> </w:t>
      </w:r>
      <w:r>
        <w:t>helped</w:t>
      </w:r>
      <w:r>
        <w:rPr>
          <w:spacing w:val="-7"/>
        </w:rPr>
        <w:t xml:space="preserve"> </w:t>
      </w:r>
      <w:r>
        <w:t>stabilize</w:t>
      </w:r>
      <w:r>
        <w:rPr>
          <w:spacing w:val="-9"/>
        </w:rPr>
        <w:t xml:space="preserve"> </w:t>
      </w:r>
      <w:r>
        <w:t>many</w:t>
      </w:r>
      <w:r>
        <w:rPr>
          <w:spacing w:val="-7"/>
        </w:rPr>
        <w:t xml:space="preserve"> </w:t>
      </w:r>
      <w:r>
        <w:t>households,</w:t>
      </w:r>
      <w:r>
        <w:rPr>
          <w:spacing w:val="-8"/>
        </w:rPr>
        <w:t xml:space="preserve"> </w:t>
      </w:r>
      <w:r>
        <w:t>and</w:t>
      </w:r>
      <w:r>
        <w:rPr>
          <w:spacing w:val="-7"/>
        </w:rPr>
        <w:t xml:space="preserve"> </w:t>
      </w:r>
      <w:r>
        <w:t>their</w:t>
      </w:r>
      <w:r>
        <w:rPr>
          <w:spacing w:val="-9"/>
        </w:rPr>
        <w:t xml:space="preserve"> </w:t>
      </w:r>
      <w:r>
        <w:t>removal</w:t>
      </w:r>
      <w:r>
        <w:rPr>
          <w:spacing w:val="-10"/>
        </w:rPr>
        <w:t xml:space="preserve"> </w:t>
      </w:r>
      <w:r>
        <w:t>likely</w:t>
      </w:r>
      <w:r>
        <w:rPr>
          <w:spacing w:val="-5"/>
        </w:rPr>
        <w:t xml:space="preserve"> </w:t>
      </w:r>
      <w:r>
        <w:t>exacerbated</w:t>
      </w:r>
      <w:r>
        <w:rPr>
          <w:spacing w:val="-7"/>
        </w:rPr>
        <w:t xml:space="preserve"> </w:t>
      </w:r>
      <w:r>
        <w:t>economic</w:t>
      </w:r>
      <w:r>
        <w:rPr>
          <w:spacing w:val="-9"/>
        </w:rPr>
        <w:t xml:space="preserve"> </w:t>
      </w:r>
      <w:r>
        <w:t>inequities.</w:t>
      </w:r>
    </w:p>
    <w:p w:rsidR="00C76E6D" w:rsidRDefault="00C76E6D">
      <w:pPr>
        <w:pStyle w:val="BodyText"/>
        <w:spacing w:before="2"/>
        <w:rPr>
          <w:sz w:val="25"/>
        </w:rPr>
      </w:pPr>
    </w:p>
    <w:p w:rsidR="00C76E6D" w:rsidRDefault="00913831">
      <w:pPr>
        <w:pStyle w:val="BodyText"/>
        <w:spacing w:line="276" w:lineRule="auto"/>
        <w:ind w:left="479" w:right="473" w:hanging="1"/>
        <w:jc w:val="both"/>
      </w:pPr>
      <w:r>
        <w:t>Overall,</w:t>
      </w:r>
      <w:r>
        <w:rPr>
          <w:spacing w:val="-2"/>
        </w:rPr>
        <w:t xml:space="preserve"> </w:t>
      </w:r>
      <w:r>
        <w:t>LGBTQ</w:t>
      </w:r>
      <w:r>
        <w:rPr>
          <w:spacing w:val="-3"/>
        </w:rPr>
        <w:t xml:space="preserve"> </w:t>
      </w:r>
      <w:r>
        <w:t>youth,</w:t>
      </w:r>
      <w:r>
        <w:rPr>
          <w:spacing w:val="-1"/>
        </w:rPr>
        <w:t xml:space="preserve"> </w:t>
      </w:r>
      <w:r>
        <w:t>particularly</w:t>
      </w:r>
      <w:r>
        <w:rPr>
          <w:spacing w:val="-1"/>
        </w:rPr>
        <w:t xml:space="preserve"> </w:t>
      </w:r>
      <w:r>
        <w:t>LGBTQ</w:t>
      </w:r>
      <w:r>
        <w:rPr>
          <w:spacing w:val="-3"/>
        </w:rPr>
        <w:t xml:space="preserve"> </w:t>
      </w:r>
      <w:r>
        <w:t>youth</w:t>
      </w:r>
      <w:r>
        <w:rPr>
          <w:spacing w:val="-2"/>
        </w:rPr>
        <w:t xml:space="preserve"> </w:t>
      </w:r>
      <w:r>
        <w:t>of</w:t>
      </w:r>
      <w:r>
        <w:rPr>
          <w:spacing w:val="-2"/>
        </w:rPr>
        <w:t xml:space="preserve"> </w:t>
      </w:r>
      <w:r>
        <w:t>color</w:t>
      </w:r>
      <w:r>
        <w:rPr>
          <w:spacing w:val="-3"/>
        </w:rPr>
        <w:t xml:space="preserve"> </w:t>
      </w:r>
      <w:r>
        <w:t>and</w:t>
      </w:r>
      <w:r>
        <w:rPr>
          <w:spacing w:val="-2"/>
        </w:rPr>
        <w:t xml:space="preserve"> </w:t>
      </w:r>
      <w:r>
        <w:t>with</w:t>
      </w:r>
      <w:r>
        <w:rPr>
          <w:spacing w:val="-1"/>
        </w:rPr>
        <w:t xml:space="preserve"> </w:t>
      </w:r>
      <w:r>
        <w:t>low</w:t>
      </w:r>
      <w:r>
        <w:rPr>
          <w:spacing w:val="-3"/>
        </w:rPr>
        <w:t xml:space="preserve"> </w:t>
      </w:r>
      <w:r>
        <w:t>socioeconomic</w:t>
      </w:r>
      <w:r>
        <w:rPr>
          <w:spacing w:val="-3"/>
        </w:rPr>
        <w:t xml:space="preserve"> </w:t>
      </w:r>
      <w:r>
        <w:t>status, are</w:t>
      </w:r>
      <w:r>
        <w:rPr>
          <w:spacing w:val="-3"/>
        </w:rPr>
        <w:t xml:space="preserve"> </w:t>
      </w:r>
      <w:r>
        <w:t>not</w:t>
      </w:r>
      <w:r>
        <w:rPr>
          <w:spacing w:val="-2"/>
        </w:rPr>
        <w:t xml:space="preserve"> </w:t>
      </w:r>
      <w:r>
        <w:t>only experiencing higher rates of economic instability, but that economic instability places them and their communities at higher risk of contracting COVID.</w:t>
      </w:r>
    </w:p>
    <w:p w:rsidR="00C76E6D" w:rsidRDefault="00C76E6D">
      <w:pPr>
        <w:pStyle w:val="BodyText"/>
        <w:spacing w:before="7"/>
        <w:rPr>
          <w:sz w:val="25"/>
        </w:rPr>
      </w:pPr>
    </w:p>
    <w:p w:rsidR="00C76E6D" w:rsidRDefault="00913831">
      <w:pPr>
        <w:pStyle w:val="Heading6"/>
        <w:numPr>
          <w:ilvl w:val="0"/>
          <w:numId w:val="52"/>
        </w:numPr>
        <w:tabs>
          <w:tab w:val="left" w:pos="699"/>
        </w:tabs>
        <w:ind w:hanging="222"/>
      </w:pPr>
      <w:bookmarkStart w:id="51" w:name="4._Access_to_Housing"/>
      <w:bookmarkEnd w:id="51"/>
      <w:r>
        <w:t>Access</w:t>
      </w:r>
      <w:r>
        <w:rPr>
          <w:spacing w:val="-12"/>
        </w:rPr>
        <w:t xml:space="preserve"> </w:t>
      </w:r>
      <w:r>
        <w:t>to</w:t>
      </w:r>
      <w:r>
        <w:rPr>
          <w:spacing w:val="-9"/>
        </w:rPr>
        <w:t xml:space="preserve"> </w:t>
      </w:r>
      <w:r>
        <w:rPr>
          <w:spacing w:val="-2"/>
        </w:rPr>
        <w:t>Housing</w:t>
      </w:r>
    </w:p>
    <w:p w:rsidR="00C76E6D" w:rsidRDefault="00C76E6D">
      <w:pPr>
        <w:pStyle w:val="BodyText"/>
        <w:spacing w:before="5"/>
        <w:rPr>
          <w:b/>
          <w:sz w:val="28"/>
        </w:rPr>
      </w:pPr>
    </w:p>
    <w:p w:rsidR="00C76E6D" w:rsidRDefault="00913831">
      <w:pPr>
        <w:pStyle w:val="BodyText"/>
        <w:spacing w:line="276" w:lineRule="auto"/>
        <w:ind w:left="478" w:right="476"/>
        <w:jc w:val="both"/>
      </w:pPr>
      <w:r>
        <w:t>Homophobia, transphobia, racism, poverty, structural violence, and other factor</w:t>
      </w:r>
      <w:r>
        <w:t>s place LGBTQ youth at risk of economic and housing instability and exposure to COVID-19. In general, LGBTQ youth experience</w:t>
      </w:r>
    </w:p>
    <w:p w:rsidR="00C76E6D" w:rsidRDefault="00C76E6D">
      <w:pPr>
        <w:spacing w:line="276" w:lineRule="auto"/>
        <w:jc w:val="both"/>
        <w:sectPr w:rsidR="00C76E6D">
          <w:pgSz w:w="12240" w:h="15840"/>
          <w:pgMar w:top="980" w:right="960" w:bottom="920" w:left="960" w:header="776" w:footer="720" w:gutter="0"/>
          <w:cols w:space="720"/>
        </w:sectPr>
      </w:pPr>
    </w:p>
    <w:p w:rsidR="00C76E6D" w:rsidRDefault="00C76E6D">
      <w:pPr>
        <w:pStyle w:val="BodyText"/>
        <w:spacing w:before="6"/>
        <w:rPr>
          <w:sz w:val="28"/>
        </w:rPr>
      </w:pPr>
    </w:p>
    <w:p w:rsidR="00C76E6D" w:rsidRDefault="00913831">
      <w:pPr>
        <w:pStyle w:val="BodyText"/>
        <w:spacing w:before="76" w:line="276" w:lineRule="auto"/>
        <w:ind w:left="480" w:right="476" w:hanging="2"/>
        <w:jc w:val="both"/>
      </w:pPr>
      <w:r>
        <w:t>higher rates of homelessness and poverty than their non-LGBTQ peers</w:t>
      </w:r>
      <w:hyperlink w:anchor="_bookmark38" w:history="1">
        <w:r>
          <w:t>.</w:t>
        </w:r>
        <w:r>
          <w:rPr>
            <w:vertAlign w:val="superscript"/>
          </w:rPr>
          <w:t>17</w:t>
        </w:r>
      </w:hyperlink>
      <w:r>
        <w:t xml:space="preserve"> While only 7% of</w:t>
      </w:r>
      <w:r>
        <w:t xml:space="preserve"> US youth identify</w:t>
      </w:r>
      <w:r>
        <w:rPr>
          <w:spacing w:val="-11"/>
        </w:rPr>
        <w:t xml:space="preserve"> </w:t>
      </w:r>
      <w:r>
        <w:t>as</w:t>
      </w:r>
      <w:r>
        <w:rPr>
          <w:spacing w:val="-11"/>
        </w:rPr>
        <w:t xml:space="preserve"> </w:t>
      </w:r>
      <w:r>
        <w:t>LGBTQ,</w:t>
      </w:r>
      <w:r>
        <w:rPr>
          <w:spacing w:val="-11"/>
        </w:rPr>
        <w:t xml:space="preserve"> </w:t>
      </w:r>
      <w:r>
        <w:t>up</w:t>
      </w:r>
      <w:r>
        <w:rPr>
          <w:spacing w:val="-9"/>
        </w:rPr>
        <w:t xml:space="preserve"> </w:t>
      </w:r>
      <w:r>
        <w:t>to</w:t>
      </w:r>
      <w:r>
        <w:rPr>
          <w:spacing w:val="-8"/>
        </w:rPr>
        <w:t xml:space="preserve"> </w:t>
      </w:r>
      <w:r>
        <w:t>40%</w:t>
      </w:r>
      <w:r>
        <w:rPr>
          <w:spacing w:val="-11"/>
        </w:rPr>
        <w:t xml:space="preserve"> </w:t>
      </w:r>
      <w:r>
        <w:t>of</w:t>
      </w:r>
      <w:r>
        <w:rPr>
          <w:spacing w:val="-10"/>
        </w:rPr>
        <w:t xml:space="preserve"> </w:t>
      </w:r>
      <w:r>
        <w:t>youth</w:t>
      </w:r>
      <w:r>
        <w:rPr>
          <w:spacing w:val="-10"/>
        </w:rPr>
        <w:t xml:space="preserve"> </w:t>
      </w:r>
      <w:r>
        <w:t>experiencing</w:t>
      </w:r>
      <w:r>
        <w:rPr>
          <w:spacing w:val="-8"/>
        </w:rPr>
        <w:t xml:space="preserve"> </w:t>
      </w:r>
      <w:r>
        <w:t>homelessness</w:t>
      </w:r>
      <w:r>
        <w:rPr>
          <w:spacing w:val="-9"/>
        </w:rPr>
        <w:t xml:space="preserve"> </w:t>
      </w:r>
      <w:r>
        <w:t>identify</w:t>
      </w:r>
      <w:r>
        <w:rPr>
          <w:spacing w:val="-10"/>
        </w:rPr>
        <w:t xml:space="preserve"> </w:t>
      </w:r>
      <w:r>
        <w:t>as</w:t>
      </w:r>
      <w:r>
        <w:rPr>
          <w:spacing w:val="-10"/>
        </w:rPr>
        <w:t xml:space="preserve"> </w:t>
      </w:r>
      <w:r>
        <w:t>LGBTQ.</w:t>
      </w:r>
      <w:hyperlink w:anchor="_bookmark39" w:history="1">
        <w:r>
          <w:rPr>
            <w:vertAlign w:val="superscript"/>
          </w:rPr>
          <w:t>18</w:t>
        </w:r>
        <w:r>
          <w:rPr>
            <w:spacing w:val="-11"/>
          </w:rPr>
          <w:t xml:space="preserve"> </w:t>
        </w:r>
      </w:hyperlink>
      <w:r>
        <w:t>Thus,</w:t>
      </w:r>
      <w:r>
        <w:rPr>
          <w:spacing w:val="-9"/>
        </w:rPr>
        <w:t xml:space="preserve"> </w:t>
      </w:r>
      <w:r>
        <w:t>LGBTQ</w:t>
      </w:r>
      <w:r>
        <w:rPr>
          <w:spacing w:val="-10"/>
        </w:rPr>
        <w:t xml:space="preserve"> </w:t>
      </w:r>
      <w:r>
        <w:t>youth are</w:t>
      </w:r>
      <w:r>
        <w:rPr>
          <w:spacing w:val="-5"/>
        </w:rPr>
        <w:t xml:space="preserve"> </w:t>
      </w:r>
      <w:r>
        <w:t>overrepresented</w:t>
      </w:r>
      <w:r>
        <w:rPr>
          <w:spacing w:val="-4"/>
        </w:rPr>
        <w:t xml:space="preserve"> </w:t>
      </w:r>
      <w:r>
        <w:t>among</w:t>
      </w:r>
      <w:r>
        <w:rPr>
          <w:spacing w:val="-6"/>
        </w:rPr>
        <w:t xml:space="preserve"> </w:t>
      </w:r>
      <w:r>
        <w:t>the</w:t>
      </w:r>
      <w:r>
        <w:rPr>
          <w:spacing w:val="-4"/>
        </w:rPr>
        <w:t xml:space="preserve"> </w:t>
      </w:r>
      <w:r>
        <w:t>unhoused</w:t>
      </w:r>
      <w:r>
        <w:rPr>
          <w:spacing w:val="-5"/>
        </w:rPr>
        <w:t xml:space="preserve"> </w:t>
      </w:r>
      <w:r>
        <w:t>and</w:t>
      </w:r>
      <w:r>
        <w:rPr>
          <w:spacing w:val="-5"/>
        </w:rPr>
        <w:t xml:space="preserve"> </w:t>
      </w:r>
      <w:r>
        <w:t>face</w:t>
      </w:r>
      <w:r>
        <w:rPr>
          <w:spacing w:val="-4"/>
        </w:rPr>
        <w:t xml:space="preserve"> </w:t>
      </w:r>
      <w:r>
        <w:t>unique</w:t>
      </w:r>
      <w:r>
        <w:rPr>
          <w:spacing w:val="-5"/>
        </w:rPr>
        <w:t xml:space="preserve"> </w:t>
      </w:r>
      <w:r>
        <w:t>challenges</w:t>
      </w:r>
      <w:r>
        <w:rPr>
          <w:spacing w:val="-4"/>
        </w:rPr>
        <w:t xml:space="preserve"> </w:t>
      </w:r>
      <w:r>
        <w:t>in</w:t>
      </w:r>
      <w:r>
        <w:rPr>
          <w:spacing w:val="-4"/>
        </w:rPr>
        <w:t xml:space="preserve"> </w:t>
      </w:r>
      <w:r>
        <w:t>homelessness</w:t>
      </w:r>
      <w:r>
        <w:rPr>
          <w:spacing w:val="-5"/>
        </w:rPr>
        <w:t xml:space="preserve"> </w:t>
      </w:r>
      <w:r>
        <w:t>during</w:t>
      </w:r>
      <w:r>
        <w:rPr>
          <w:spacing w:val="-5"/>
        </w:rPr>
        <w:t xml:space="preserve"> </w:t>
      </w:r>
      <w:r>
        <w:t>the</w:t>
      </w:r>
      <w:r>
        <w:rPr>
          <w:spacing w:val="-5"/>
        </w:rPr>
        <w:t xml:space="preserve"> </w:t>
      </w:r>
      <w:r>
        <w:t xml:space="preserve">COVID </w:t>
      </w:r>
      <w:r>
        <w:rPr>
          <w:spacing w:val="-2"/>
        </w:rPr>
        <w:t>pandemic.</w:t>
      </w:r>
    </w:p>
    <w:p w:rsidR="00C76E6D" w:rsidRDefault="00C76E6D">
      <w:pPr>
        <w:pStyle w:val="BodyText"/>
        <w:spacing w:before="3"/>
        <w:rPr>
          <w:sz w:val="25"/>
        </w:rPr>
      </w:pPr>
    </w:p>
    <w:p w:rsidR="00C76E6D" w:rsidRDefault="00913831">
      <w:pPr>
        <w:pStyle w:val="BodyText"/>
        <w:spacing w:line="276" w:lineRule="auto"/>
        <w:ind w:left="478" w:right="472"/>
        <w:jc w:val="both"/>
      </w:pPr>
      <w:r>
        <w:t>At the onset of the pandemic, evictions, closure of shelters and university housing, and the inability of youth to “couch surf” due to stay-at-home orders pushed more youth into homelessness. Eviction and housing</w:t>
      </w:r>
      <w:r>
        <w:rPr>
          <w:spacing w:val="-13"/>
        </w:rPr>
        <w:t xml:space="preserve"> </w:t>
      </w:r>
      <w:r>
        <w:t>displacement</w:t>
      </w:r>
      <w:r>
        <w:rPr>
          <w:spacing w:val="-12"/>
        </w:rPr>
        <w:t xml:space="preserve"> </w:t>
      </w:r>
      <w:r>
        <w:t>are</w:t>
      </w:r>
      <w:r>
        <w:rPr>
          <w:spacing w:val="-13"/>
        </w:rPr>
        <w:t xml:space="preserve"> </w:t>
      </w:r>
      <w:r>
        <w:t>associated</w:t>
      </w:r>
      <w:r>
        <w:rPr>
          <w:spacing w:val="-12"/>
        </w:rPr>
        <w:t xml:space="preserve"> </w:t>
      </w:r>
      <w:r>
        <w:t>with</w:t>
      </w:r>
      <w:r>
        <w:rPr>
          <w:spacing w:val="-13"/>
        </w:rPr>
        <w:t xml:space="preserve"> </w:t>
      </w:r>
      <w:r>
        <w:t>an</w:t>
      </w:r>
      <w:r>
        <w:rPr>
          <w:spacing w:val="-12"/>
        </w:rPr>
        <w:t xml:space="preserve"> </w:t>
      </w:r>
      <w:r>
        <w:t>increas</w:t>
      </w:r>
      <w:r>
        <w:t>ed</w:t>
      </w:r>
      <w:r>
        <w:rPr>
          <w:spacing w:val="-13"/>
        </w:rPr>
        <w:t xml:space="preserve"> </w:t>
      </w:r>
      <w:r>
        <w:t>risk</w:t>
      </w:r>
      <w:r>
        <w:rPr>
          <w:spacing w:val="-12"/>
        </w:rPr>
        <w:t xml:space="preserve"> </w:t>
      </w:r>
      <w:r>
        <w:t>of</w:t>
      </w:r>
      <w:r>
        <w:rPr>
          <w:spacing w:val="-12"/>
        </w:rPr>
        <w:t xml:space="preserve"> </w:t>
      </w:r>
      <w:r>
        <w:t>COVID-19</w:t>
      </w:r>
      <w:r>
        <w:rPr>
          <w:spacing w:val="-13"/>
        </w:rPr>
        <w:t xml:space="preserve"> </w:t>
      </w:r>
      <w:r>
        <w:t>infection</w:t>
      </w:r>
      <w:r>
        <w:rPr>
          <w:spacing w:val="-12"/>
        </w:rPr>
        <w:t xml:space="preserve"> </w:t>
      </w:r>
      <w:r>
        <w:t>and</w:t>
      </w:r>
      <w:r>
        <w:rPr>
          <w:spacing w:val="-13"/>
        </w:rPr>
        <w:t xml:space="preserve"> </w:t>
      </w:r>
      <w:r>
        <w:t>mortality</w:t>
      </w:r>
      <w:hyperlink w:anchor="_bookmark40" w:history="1">
        <w:r>
          <w:t>.</w:t>
        </w:r>
        <w:r>
          <w:rPr>
            <w:vertAlign w:val="superscript"/>
          </w:rPr>
          <w:t>19</w:t>
        </w:r>
        <w:r>
          <w:rPr>
            <w:spacing w:val="-12"/>
          </w:rPr>
          <w:t xml:space="preserve"> </w:t>
        </w:r>
      </w:hyperlink>
      <w:r>
        <w:t>Housing instability leads to virus transmission opportunities and difficulty in complying with public health measures necessary to reduce virus spread. For instance, the CDC at t</w:t>
      </w:r>
      <w:r>
        <w:t>he state and federal levels has championed, and in some instances has mandated, public health measures such as physical distancing, staying</w:t>
      </w:r>
      <w:r>
        <w:rPr>
          <w:spacing w:val="-2"/>
        </w:rPr>
        <w:t xml:space="preserve"> </w:t>
      </w:r>
      <w:r>
        <w:t>at</w:t>
      </w:r>
      <w:r>
        <w:rPr>
          <w:spacing w:val="-1"/>
        </w:rPr>
        <w:t xml:space="preserve"> </w:t>
      </w:r>
      <w:r>
        <w:t>home,</w:t>
      </w:r>
      <w:r>
        <w:rPr>
          <w:spacing w:val="-1"/>
        </w:rPr>
        <w:t xml:space="preserve"> </w:t>
      </w:r>
      <w:r>
        <w:t>routine</w:t>
      </w:r>
      <w:r>
        <w:rPr>
          <w:spacing w:val="-1"/>
        </w:rPr>
        <w:t xml:space="preserve"> </w:t>
      </w:r>
      <w:r>
        <w:t>hand</w:t>
      </w:r>
      <w:r>
        <w:rPr>
          <w:spacing w:val="-2"/>
        </w:rPr>
        <w:t xml:space="preserve"> </w:t>
      </w:r>
      <w:r>
        <w:t>washing/sanitizing,</w:t>
      </w:r>
      <w:r>
        <w:rPr>
          <w:spacing w:val="-2"/>
        </w:rPr>
        <w:t xml:space="preserve"> </w:t>
      </w:r>
      <w:r>
        <w:t>and</w:t>
      </w:r>
      <w:r>
        <w:rPr>
          <w:spacing w:val="-2"/>
        </w:rPr>
        <w:t xml:space="preserve"> </w:t>
      </w:r>
      <w:r>
        <w:t>mask-wearing</w:t>
      </w:r>
      <w:r>
        <w:rPr>
          <w:spacing w:val="-2"/>
        </w:rPr>
        <w:t xml:space="preserve"> </w:t>
      </w:r>
      <w:r>
        <w:t>to prevent</w:t>
      </w:r>
      <w:r>
        <w:rPr>
          <w:spacing w:val="-1"/>
        </w:rPr>
        <w:t xml:space="preserve"> </w:t>
      </w:r>
      <w:r>
        <w:t>the</w:t>
      </w:r>
      <w:r>
        <w:rPr>
          <w:spacing w:val="-2"/>
        </w:rPr>
        <w:t xml:space="preserve"> </w:t>
      </w:r>
      <w:r>
        <w:t>spread</w:t>
      </w:r>
      <w:r>
        <w:rPr>
          <w:spacing w:val="-2"/>
        </w:rPr>
        <w:t xml:space="preserve"> </w:t>
      </w:r>
      <w:r>
        <w:t>of</w:t>
      </w:r>
      <w:r>
        <w:rPr>
          <w:spacing w:val="-3"/>
        </w:rPr>
        <w:t xml:space="preserve"> </w:t>
      </w:r>
      <w:r>
        <w:t xml:space="preserve">COVID-19. However, adherence to </w:t>
      </w:r>
      <w:r>
        <w:t>these measures can be difficult and even impossible for youth experiencing homelessness and/or housing instability.</w:t>
      </w:r>
    </w:p>
    <w:p w:rsidR="00C76E6D" w:rsidRDefault="00C76E6D">
      <w:pPr>
        <w:pStyle w:val="BodyText"/>
        <w:spacing w:before="4"/>
        <w:rPr>
          <w:sz w:val="25"/>
        </w:rPr>
      </w:pPr>
    </w:p>
    <w:p w:rsidR="00C76E6D" w:rsidRDefault="00913831">
      <w:pPr>
        <w:pStyle w:val="BodyText"/>
        <w:spacing w:line="276" w:lineRule="auto"/>
        <w:ind w:left="478" w:right="479"/>
        <w:jc w:val="both"/>
      </w:pPr>
      <w:r>
        <w:t>Homeless</w:t>
      </w:r>
      <w:r>
        <w:rPr>
          <w:spacing w:val="-7"/>
        </w:rPr>
        <w:t xml:space="preserve"> </w:t>
      </w:r>
      <w:r>
        <w:t>shelters</w:t>
      </w:r>
      <w:r>
        <w:rPr>
          <w:spacing w:val="-7"/>
        </w:rPr>
        <w:t xml:space="preserve"> </w:t>
      </w:r>
      <w:r>
        <w:t>that</w:t>
      </w:r>
      <w:r>
        <w:rPr>
          <w:spacing w:val="-8"/>
        </w:rPr>
        <w:t xml:space="preserve"> </w:t>
      </w:r>
      <w:r>
        <w:t>reopened</w:t>
      </w:r>
      <w:r>
        <w:rPr>
          <w:spacing w:val="-6"/>
        </w:rPr>
        <w:t xml:space="preserve"> </w:t>
      </w:r>
      <w:r>
        <w:t>or</w:t>
      </w:r>
      <w:r>
        <w:rPr>
          <w:spacing w:val="-7"/>
        </w:rPr>
        <w:t xml:space="preserve"> </w:t>
      </w:r>
      <w:r>
        <w:t>remained</w:t>
      </w:r>
      <w:r>
        <w:rPr>
          <w:spacing w:val="-8"/>
        </w:rPr>
        <w:t xml:space="preserve"> </w:t>
      </w:r>
      <w:r>
        <w:t>open</w:t>
      </w:r>
      <w:r>
        <w:rPr>
          <w:spacing w:val="-6"/>
        </w:rPr>
        <w:t xml:space="preserve"> </w:t>
      </w:r>
      <w:r>
        <w:t>during</w:t>
      </w:r>
      <w:r>
        <w:rPr>
          <w:spacing w:val="-8"/>
        </w:rPr>
        <w:t xml:space="preserve"> </w:t>
      </w:r>
      <w:r>
        <w:t>the</w:t>
      </w:r>
      <w:r>
        <w:rPr>
          <w:spacing w:val="-8"/>
        </w:rPr>
        <w:t xml:space="preserve"> </w:t>
      </w:r>
      <w:r>
        <w:t>pandemic</w:t>
      </w:r>
      <w:r>
        <w:rPr>
          <w:spacing w:val="-8"/>
        </w:rPr>
        <w:t xml:space="preserve"> </w:t>
      </w:r>
      <w:r>
        <w:t>experienced</w:t>
      </w:r>
      <w:r>
        <w:rPr>
          <w:spacing w:val="-8"/>
        </w:rPr>
        <w:t xml:space="preserve"> </w:t>
      </w:r>
      <w:r>
        <w:t>several</w:t>
      </w:r>
      <w:r>
        <w:rPr>
          <w:spacing w:val="-7"/>
        </w:rPr>
        <w:t xml:space="preserve"> </w:t>
      </w:r>
      <w:r>
        <w:t>challenges. Shelters across Massachusetts reported overcrowding</w:t>
      </w:r>
      <w:hyperlink w:anchor="_bookmark41" w:history="1">
        <w:r>
          <w:t>.</w:t>
        </w:r>
        <w:r>
          <w:rPr>
            <w:vertAlign w:val="superscript"/>
          </w:rPr>
          <w:t>20</w:t>
        </w:r>
        <w:r>
          <w:t xml:space="preserve"> </w:t>
        </w:r>
      </w:hyperlink>
      <w:r>
        <w:t>They also reported staffing shortages, lack of staffing</w:t>
      </w:r>
      <w:r>
        <w:rPr>
          <w:spacing w:val="-8"/>
        </w:rPr>
        <w:t xml:space="preserve"> </w:t>
      </w:r>
      <w:r>
        <w:t>resources,</w:t>
      </w:r>
      <w:r>
        <w:rPr>
          <w:spacing w:val="-7"/>
        </w:rPr>
        <w:t xml:space="preserve"> </w:t>
      </w:r>
      <w:r>
        <w:t>and</w:t>
      </w:r>
      <w:r>
        <w:rPr>
          <w:spacing w:val="-7"/>
        </w:rPr>
        <w:t xml:space="preserve"> </w:t>
      </w:r>
      <w:r>
        <w:t>financial</w:t>
      </w:r>
      <w:r>
        <w:rPr>
          <w:spacing w:val="-7"/>
        </w:rPr>
        <w:t xml:space="preserve"> </w:t>
      </w:r>
      <w:r>
        <w:t>burdens</w:t>
      </w:r>
      <w:r>
        <w:rPr>
          <w:spacing w:val="-6"/>
        </w:rPr>
        <w:t xml:space="preserve"> </w:t>
      </w:r>
      <w:r>
        <w:t>–</w:t>
      </w:r>
      <w:r>
        <w:rPr>
          <w:spacing w:val="-8"/>
        </w:rPr>
        <w:t xml:space="preserve"> </w:t>
      </w:r>
      <w:r>
        <w:t>such</w:t>
      </w:r>
      <w:r>
        <w:rPr>
          <w:spacing w:val="-7"/>
        </w:rPr>
        <w:t xml:space="preserve"> </w:t>
      </w:r>
      <w:r>
        <w:t>as</w:t>
      </w:r>
      <w:r>
        <w:rPr>
          <w:spacing w:val="-7"/>
        </w:rPr>
        <w:t xml:space="preserve"> </w:t>
      </w:r>
      <w:r>
        <w:t>leasing</w:t>
      </w:r>
      <w:r>
        <w:rPr>
          <w:spacing w:val="-8"/>
        </w:rPr>
        <w:t xml:space="preserve"> </w:t>
      </w:r>
      <w:r>
        <w:t>hotels</w:t>
      </w:r>
      <w:r>
        <w:rPr>
          <w:spacing w:val="-6"/>
        </w:rPr>
        <w:t xml:space="preserve"> </w:t>
      </w:r>
      <w:r>
        <w:t>to</w:t>
      </w:r>
      <w:r>
        <w:rPr>
          <w:spacing w:val="-5"/>
        </w:rPr>
        <w:t xml:space="preserve"> </w:t>
      </w:r>
      <w:r>
        <w:t>allow</w:t>
      </w:r>
      <w:r>
        <w:rPr>
          <w:spacing w:val="-7"/>
        </w:rPr>
        <w:t xml:space="preserve"> </w:t>
      </w:r>
      <w:r>
        <w:t>for</w:t>
      </w:r>
      <w:r>
        <w:rPr>
          <w:spacing w:val="-8"/>
        </w:rPr>
        <w:t xml:space="preserve"> </w:t>
      </w:r>
      <w:r>
        <w:t>social</w:t>
      </w:r>
      <w:r>
        <w:rPr>
          <w:spacing w:val="-8"/>
        </w:rPr>
        <w:t xml:space="preserve"> </w:t>
      </w:r>
      <w:r>
        <w:t>distancing—</w:t>
      </w:r>
      <w:r>
        <w:rPr>
          <w:spacing w:val="-7"/>
        </w:rPr>
        <w:t xml:space="preserve"> </w:t>
      </w:r>
      <w:r>
        <w:t>that</w:t>
      </w:r>
      <w:r>
        <w:rPr>
          <w:spacing w:val="-7"/>
        </w:rPr>
        <w:t xml:space="preserve"> </w:t>
      </w:r>
      <w:r>
        <w:t>have wo</w:t>
      </w:r>
      <w:r>
        <w:t>rsened conditions for those experiencing homelessness.</w:t>
      </w:r>
    </w:p>
    <w:p w:rsidR="00C76E6D" w:rsidRDefault="00C76E6D">
      <w:pPr>
        <w:pStyle w:val="BodyText"/>
        <w:spacing w:before="4"/>
        <w:rPr>
          <w:sz w:val="25"/>
        </w:rPr>
      </w:pPr>
    </w:p>
    <w:p w:rsidR="00C76E6D" w:rsidRDefault="00913831">
      <w:pPr>
        <w:pStyle w:val="BodyText"/>
        <w:spacing w:line="276" w:lineRule="auto"/>
        <w:ind w:left="478" w:right="475"/>
        <w:jc w:val="both"/>
      </w:pPr>
      <w:r>
        <w:t>Additionally,</w:t>
      </w:r>
      <w:r>
        <w:rPr>
          <w:spacing w:val="-5"/>
        </w:rPr>
        <w:t xml:space="preserve"> </w:t>
      </w:r>
      <w:r>
        <w:t>housing</w:t>
      </w:r>
      <w:r>
        <w:rPr>
          <w:spacing w:val="-8"/>
        </w:rPr>
        <w:t xml:space="preserve"> </w:t>
      </w:r>
      <w:r>
        <w:t>instability</w:t>
      </w:r>
      <w:r>
        <w:rPr>
          <w:spacing w:val="-6"/>
        </w:rPr>
        <w:t xml:space="preserve"> </w:t>
      </w:r>
      <w:r>
        <w:t>may</w:t>
      </w:r>
      <w:r>
        <w:rPr>
          <w:spacing w:val="-7"/>
        </w:rPr>
        <w:t xml:space="preserve"> </w:t>
      </w:r>
      <w:r>
        <w:t>lead</w:t>
      </w:r>
      <w:r>
        <w:rPr>
          <w:spacing w:val="-9"/>
        </w:rPr>
        <w:t xml:space="preserve"> </w:t>
      </w:r>
      <w:r>
        <w:t>to</w:t>
      </w:r>
      <w:r>
        <w:rPr>
          <w:spacing w:val="-7"/>
        </w:rPr>
        <w:t xml:space="preserve"> </w:t>
      </w:r>
      <w:r>
        <w:t>lower</w:t>
      </w:r>
      <w:r>
        <w:rPr>
          <w:spacing w:val="-7"/>
        </w:rPr>
        <w:t xml:space="preserve"> </w:t>
      </w:r>
      <w:r>
        <w:t>access</w:t>
      </w:r>
      <w:r>
        <w:rPr>
          <w:spacing w:val="-8"/>
        </w:rPr>
        <w:t xml:space="preserve"> </w:t>
      </w:r>
      <w:r>
        <w:t>to</w:t>
      </w:r>
      <w:r>
        <w:rPr>
          <w:spacing w:val="-6"/>
        </w:rPr>
        <w:t xml:space="preserve"> </w:t>
      </w:r>
      <w:r>
        <w:t>testing</w:t>
      </w:r>
      <w:r>
        <w:rPr>
          <w:spacing w:val="-9"/>
        </w:rPr>
        <w:t xml:space="preserve"> </w:t>
      </w:r>
      <w:r>
        <w:t>and</w:t>
      </w:r>
      <w:r>
        <w:rPr>
          <w:spacing w:val="-8"/>
        </w:rPr>
        <w:t xml:space="preserve"> </w:t>
      </w:r>
      <w:r>
        <w:t>decreases</w:t>
      </w:r>
      <w:r>
        <w:rPr>
          <w:spacing w:val="-8"/>
        </w:rPr>
        <w:t xml:space="preserve"> </w:t>
      </w:r>
      <w:r>
        <w:t>the</w:t>
      </w:r>
      <w:r>
        <w:rPr>
          <w:spacing w:val="-9"/>
        </w:rPr>
        <w:t xml:space="preserve"> </w:t>
      </w:r>
      <w:r>
        <w:t>likelihood</w:t>
      </w:r>
      <w:r>
        <w:rPr>
          <w:spacing w:val="-9"/>
        </w:rPr>
        <w:t xml:space="preserve"> </w:t>
      </w:r>
      <w:r>
        <w:t>of</w:t>
      </w:r>
      <w:r>
        <w:rPr>
          <w:spacing w:val="-7"/>
        </w:rPr>
        <w:t xml:space="preserve"> </w:t>
      </w:r>
      <w:r>
        <w:t>timely medical attention, which threatens community spread. Individuals who are most vulnerable to housing displacement, namely people of color and lower-income persons, are more likely to suffer from comorbidities that increase the risk of severe COVID-19</w:t>
      </w:r>
      <w:r>
        <w:t xml:space="preserve"> symptoms, such as diabetes, obesity, high blood pressure, pulmonary disease, and respiratory disease</w:t>
      </w:r>
      <w:hyperlink w:anchor="_bookmark42" w:history="1">
        <w:r>
          <w:t>.</w:t>
        </w:r>
        <w:r>
          <w:rPr>
            <w:vertAlign w:val="superscript"/>
          </w:rPr>
          <w:t>21</w:t>
        </w:r>
      </w:hyperlink>
    </w:p>
    <w:p w:rsidR="00C76E6D" w:rsidRDefault="00C76E6D">
      <w:pPr>
        <w:pStyle w:val="BodyText"/>
        <w:spacing w:before="2"/>
        <w:rPr>
          <w:sz w:val="25"/>
        </w:rPr>
      </w:pPr>
    </w:p>
    <w:p w:rsidR="00C76E6D" w:rsidRDefault="00913831">
      <w:pPr>
        <w:pStyle w:val="BodyText"/>
        <w:spacing w:line="276" w:lineRule="auto"/>
        <w:ind w:left="478" w:right="475"/>
        <w:jc w:val="both"/>
      </w:pPr>
      <w:r>
        <w:t>In</w:t>
      </w:r>
      <w:r>
        <w:rPr>
          <w:spacing w:val="-6"/>
        </w:rPr>
        <w:t xml:space="preserve"> </w:t>
      </w:r>
      <w:r>
        <w:t>September</w:t>
      </w:r>
      <w:r>
        <w:rPr>
          <w:spacing w:val="-3"/>
        </w:rPr>
        <w:t xml:space="preserve"> </w:t>
      </w:r>
      <w:r>
        <w:t>2020,</w:t>
      </w:r>
      <w:r>
        <w:rPr>
          <w:spacing w:val="-4"/>
        </w:rPr>
        <w:t xml:space="preserve"> </w:t>
      </w:r>
      <w:r>
        <w:t>the</w:t>
      </w:r>
      <w:r>
        <w:rPr>
          <w:spacing w:val="-4"/>
        </w:rPr>
        <w:t xml:space="preserve"> </w:t>
      </w:r>
      <w:r>
        <w:t>CDC</w:t>
      </w:r>
      <w:r>
        <w:rPr>
          <w:spacing w:val="-4"/>
        </w:rPr>
        <w:t xml:space="preserve"> </w:t>
      </w:r>
      <w:r>
        <w:t>issued</w:t>
      </w:r>
      <w:r>
        <w:rPr>
          <w:spacing w:val="-4"/>
        </w:rPr>
        <w:t xml:space="preserve"> </w:t>
      </w:r>
      <w:r>
        <w:t>a</w:t>
      </w:r>
      <w:r>
        <w:rPr>
          <w:spacing w:val="-4"/>
        </w:rPr>
        <w:t xml:space="preserve"> </w:t>
      </w:r>
      <w:r>
        <w:t>federal</w:t>
      </w:r>
      <w:r>
        <w:rPr>
          <w:spacing w:val="-4"/>
        </w:rPr>
        <w:t xml:space="preserve"> </w:t>
      </w:r>
      <w:r>
        <w:t>order</w:t>
      </w:r>
      <w:r>
        <w:rPr>
          <w:spacing w:val="-4"/>
        </w:rPr>
        <w:t xml:space="preserve"> </w:t>
      </w:r>
      <w:r>
        <w:t>to</w:t>
      </w:r>
      <w:r>
        <w:rPr>
          <w:spacing w:val="-2"/>
        </w:rPr>
        <w:t xml:space="preserve"> </w:t>
      </w:r>
      <w:r>
        <w:t>pause</w:t>
      </w:r>
      <w:r>
        <w:rPr>
          <w:spacing w:val="-4"/>
        </w:rPr>
        <w:t xml:space="preserve"> </w:t>
      </w:r>
      <w:r>
        <w:t>evictions</w:t>
      </w:r>
      <w:r>
        <w:rPr>
          <w:spacing w:val="-3"/>
        </w:rPr>
        <w:t xml:space="preserve"> </w:t>
      </w:r>
      <w:r>
        <w:t>and</w:t>
      </w:r>
      <w:r>
        <w:rPr>
          <w:spacing w:val="-4"/>
        </w:rPr>
        <w:t xml:space="preserve"> </w:t>
      </w:r>
      <w:r>
        <w:t>prevent</w:t>
      </w:r>
      <w:r>
        <w:rPr>
          <w:spacing w:val="-4"/>
        </w:rPr>
        <w:t xml:space="preserve"> </w:t>
      </w:r>
      <w:r>
        <w:t>the</w:t>
      </w:r>
      <w:r>
        <w:rPr>
          <w:spacing w:val="-4"/>
        </w:rPr>
        <w:t xml:space="preserve"> </w:t>
      </w:r>
      <w:r>
        <w:t>spread</w:t>
      </w:r>
      <w:r>
        <w:rPr>
          <w:spacing w:val="-3"/>
        </w:rPr>
        <w:t xml:space="preserve"> </w:t>
      </w:r>
      <w:r>
        <w:t>of</w:t>
      </w:r>
      <w:r>
        <w:rPr>
          <w:spacing w:val="-4"/>
        </w:rPr>
        <w:t xml:space="preserve"> </w:t>
      </w:r>
      <w:r>
        <w:t>COVID</w:t>
      </w:r>
      <w:hyperlink w:anchor="_bookmark43" w:history="1">
        <w:r>
          <w:t>.</w:t>
        </w:r>
        <w:r>
          <w:rPr>
            <w:vertAlign w:val="superscript"/>
          </w:rPr>
          <w:t>22</w:t>
        </w:r>
      </w:hyperlink>
      <w:r>
        <w:t xml:space="preserve"> The</w:t>
      </w:r>
      <w:r>
        <w:rPr>
          <w:spacing w:val="-1"/>
        </w:rPr>
        <w:t xml:space="preserve"> </w:t>
      </w:r>
      <w:r>
        <w:t>moratorium</w:t>
      </w:r>
      <w:r>
        <w:rPr>
          <w:spacing w:val="-1"/>
        </w:rPr>
        <w:t xml:space="preserve"> </w:t>
      </w:r>
      <w:r>
        <w:t>served</w:t>
      </w:r>
      <w:r>
        <w:rPr>
          <w:spacing w:val="-1"/>
        </w:rPr>
        <w:t xml:space="preserve"> </w:t>
      </w:r>
      <w:r>
        <w:t>as a short-term solution to help</w:t>
      </w:r>
      <w:r>
        <w:rPr>
          <w:spacing w:val="-1"/>
        </w:rPr>
        <w:t xml:space="preserve"> </w:t>
      </w:r>
      <w:r>
        <w:t>keep</w:t>
      </w:r>
      <w:r>
        <w:rPr>
          <w:spacing w:val="-1"/>
        </w:rPr>
        <w:t xml:space="preserve"> </w:t>
      </w:r>
      <w:r>
        <w:t>people</w:t>
      </w:r>
      <w:r>
        <w:rPr>
          <w:spacing w:val="-1"/>
        </w:rPr>
        <w:t xml:space="preserve"> </w:t>
      </w:r>
      <w:r>
        <w:t>housed during</w:t>
      </w:r>
      <w:r>
        <w:rPr>
          <w:spacing w:val="-1"/>
        </w:rPr>
        <w:t xml:space="preserve"> </w:t>
      </w:r>
      <w:r>
        <w:t>the beginning of the pandemic. However, because of a United States Supreme Court decision, the moratorium ended on August 26, 2021.</w:t>
      </w:r>
      <w:hyperlink w:anchor="_bookmark44" w:history="1">
        <w:r>
          <w:rPr>
            <w:vertAlign w:val="superscript"/>
          </w:rPr>
          <w:t>23</w:t>
        </w:r>
      </w:hyperlink>
      <w:r>
        <w:t xml:space="preserve"> At the state level, Massachusetts initially implemented “one of the stronger state eviction moratoriums in the United States;” however, it lapsed in October 2020</w:t>
      </w:r>
      <w:hyperlink w:anchor="_bookmark45" w:history="1">
        <w:r>
          <w:t>.</w:t>
        </w:r>
        <w:r>
          <w:rPr>
            <w:vertAlign w:val="superscript"/>
          </w:rPr>
          <w:t>24</w:t>
        </w:r>
        <w:r>
          <w:t xml:space="preserve"> </w:t>
        </w:r>
      </w:hyperlink>
      <w:r>
        <w:t>A study by Homes for All</w:t>
      </w:r>
      <w:r>
        <w:rPr>
          <w:spacing w:val="-13"/>
        </w:rPr>
        <w:t xml:space="preserve"> </w:t>
      </w:r>
      <w:r>
        <w:t>Massachusetts</w:t>
      </w:r>
      <w:r>
        <w:rPr>
          <w:spacing w:val="-12"/>
        </w:rPr>
        <w:t xml:space="preserve"> </w:t>
      </w:r>
      <w:r>
        <w:t>found</w:t>
      </w:r>
      <w:r>
        <w:rPr>
          <w:spacing w:val="-13"/>
        </w:rPr>
        <w:t xml:space="preserve"> </w:t>
      </w:r>
      <w:r>
        <w:t>that</w:t>
      </w:r>
      <w:r>
        <w:rPr>
          <w:spacing w:val="-12"/>
        </w:rPr>
        <w:t xml:space="preserve"> </w:t>
      </w:r>
      <w:r>
        <w:t>between</w:t>
      </w:r>
      <w:r>
        <w:rPr>
          <w:spacing w:val="-13"/>
        </w:rPr>
        <w:t xml:space="preserve"> </w:t>
      </w:r>
      <w:r>
        <w:t>October</w:t>
      </w:r>
      <w:r>
        <w:rPr>
          <w:spacing w:val="-12"/>
        </w:rPr>
        <w:t xml:space="preserve"> </w:t>
      </w:r>
      <w:r>
        <w:t>2020</w:t>
      </w:r>
      <w:r>
        <w:rPr>
          <w:spacing w:val="-13"/>
        </w:rPr>
        <w:t xml:space="preserve"> </w:t>
      </w:r>
      <w:r>
        <w:t>and</w:t>
      </w:r>
      <w:r>
        <w:rPr>
          <w:spacing w:val="-12"/>
        </w:rPr>
        <w:t xml:space="preserve"> </w:t>
      </w:r>
      <w:r>
        <w:t>October</w:t>
      </w:r>
      <w:r>
        <w:rPr>
          <w:spacing w:val="-12"/>
        </w:rPr>
        <w:t xml:space="preserve"> </w:t>
      </w:r>
      <w:r>
        <w:t>2021,</w:t>
      </w:r>
      <w:r>
        <w:rPr>
          <w:spacing w:val="-13"/>
        </w:rPr>
        <w:t xml:space="preserve"> </w:t>
      </w:r>
      <w:r>
        <w:t>eviction</w:t>
      </w:r>
      <w:r>
        <w:rPr>
          <w:spacing w:val="-12"/>
        </w:rPr>
        <w:t xml:space="preserve"> </w:t>
      </w:r>
      <w:r>
        <w:t>filings</w:t>
      </w:r>
      <w:r>
        <w:rPr>
          <w:spacing w:val="-13"/>
        </w:rPr>
        <w:t xml:space="preserve"> </w:t>
      </w:r>
      <w:r>
        <w:t>disproportionately impacted people</w:t>
      </w:r>
      <w:r>
        <w:rPr>
          <w:spacing w:val="-1"/>
        </w:rPr>
        <w:t xml:space="preserve"> </w:t>
      </w:r>
      <w:r>
        <w:t>of color and single mothers.</w:t>
      </w:r>
      <w:r>
        <w:rPr>
          <w:spacing w:val="-1"/>
        </w:rPr>
        <w:t xml:space="preserve"> </w:t>
      </w:r>
      <w:r>
        <w:t>Out of all the formal</w:t>
      </w:r>
      <w:r>
        <w:rPr>
          <w:spacing w:val="-1"/>
        </w:rPr>
        <w:t xml:space="preserve"> </w:t>
      </w:r>
      <w:r>
        <w:t>eviction filings in Massachusetts, 43% occurred in predominately Black, Latinx, Asian American/Pacific Islander, o</w:t>
      </w:r>
      <w:r>
        <w:t>r Indigenous neighborhoods. The</w:t>
      </w:r>
      <w:r>
        <w:rPr>
          <w:spacing w:val="-5"/>
        </w:rPr>
        <w:t xml:space="preserve"> </w:t>
      </w:r>
      <w:r>
        <w:t>study</w:t>
      </w:r>
      <w:r>
        <w:rPr>
          <w:spacing w:val="-5"/>
        </w:rPr>
        <w:t xml:space="preserve"> </w:t>
      </w:r>
      <w:r>
        <w:t>also</w:t>
      </w:r>
      <w:r>
        <w:rPr>
          <w:spacing w:val="-5"/>
        </w:rPr>
        <w:t xml:space="preserve"> </w:t>
      </w:r>
      <w:r>
        <w:t>found</w:t>
      </w:r>
      <w:r>
        <w:rPr>
          <w:spacing w:val="-6"/>
        </w:rPr>
        <w:t xml:space="preserve"> </w:t>
      </w:r>
      <w:r>
        <w:t>that</w:t>
      </w:r>
      <w:r>
        <w:rPr>
          <w:spacing w:val="-5"/>
        </w:rPr>
        <w:t xml:space="preserve"> </w:t>
      </w:r>
      <w:r>
        <w:t>the</w:t>
      </w:r>
      <w:r>
        <w:rPr>
          <w:spacing w:val="-6"/>
        </w:rPr>
        <w:t xml:space="preserve"> </w:t>
      </w:r>
      <w:r>
        <w:t>longer</w:t>
      </w:r>
      <w:r>
        <w:rPr>
          <w:spacing w:val="-5"/>
        </w:rPr>
        <w:t xml:space="preserve"> </w:t>
      </w:r>
      <w:r>
        <w:t>a</w:t>
      </w:r>
      <w:r>
        <w:rPr>
          <w:spacing w:val="-3"/>
        </w:rPr>
        <w:t xml:space="preserve"> </w:t>
      </w:r>
      <w:r>
        <w:t>municipality</w:t>
      </w:r>
      <w:r>
        <w:rPr>
          <w:spacing w:val="-2"/>
        </w:rPr>
        <w:t xml:space="preserve"> </w:t>
      </w:r>
      <w:r>
        <w:t>had</w:t>
      </w:r>
      <w:r>
        <w:rPr>
          <w:spacing w:val="-6"/>
        </w:rPr>
        <w:t xml:space="preserve"> </w:t>
      </w:r>
      <w:r>
        <w:t>a</w:t>
      </w:r>
      <w:r>
        <w:rPr>
          <w:spacing w:val="-5"/>
        </w:rPr>
        <w:t xml:space="preserve"> </w:t>
      </w:r>
      <w:r>
        <w:t>local</w:t>
      </w:r>
      <w:r>
        <w:rPr>
          <w:spacing w:val="-5"/>
        </w:rPr>
        <w:t xml:space="preserve"> </w:t>
      </w:r>
      <w:r>
        <w:t>eviction</w:t>
      </w:r>
      <w:r>
        <w:rPr>
          <w:spacing w:val="-4"/>
        </w:rPr>
        <w:t xml:space="preserve"> </w:t>
      </w:r>
      <w:r>
        <w:t>moratorium</w:t>
      </w:r>
      <w:r>
        <w:rPr>
          <w:spacing w:val="-6"/>
        </w:rPr>
        <w:t xml:space="preserve"> </w:t>
      </w:r>
      <w:r>
        <w:t>in</w:t>
      </w:r>
      <w:r>
        <w:rPr>
          <w:spacing w:val="-4"/>
        </w:rPr>
        <w:t xml:space="preserve"> </w:t>
      </w:r>
      <w:r>
        <w:t>place,</w:t>
      </w:r>
      <w:r>
        <w:rPr>
          <w:spacing w:val="-4"/>
        </w:rPr>
        <w:t xml:space="preserve"> </w:t>
      </w:r>
      <w:r>
        <w:t>the</w:t>
      </w:r>
      <w:r>
        <w:rPr>
          <w:spacing w:val="-4"/>
        </w:rPr>
        <w:t xml:space="preserve"> </w:t>
      </w:r>
      <w:r>
        <w:t>lower</w:t>
      </w:r>
      <w:r>
        <w:rPr>
          <w:spacing w:val="-4"/>
        </w:rPr>
        <w:t xml:space="preserve"> </w:t>
      </w:r>
      <w:r>
        <w:t>its eviction</w:t>
      </w:r>
      <w:r>
        <w:rPr>
          <w:spacing w:val="-13"/>
        </w:rPr>
        <w:t xml:space="preserve"> </w:t>
      </w:r>
      <w:r>
        <w:t>rate.</w:t>
      </w:r>
      <w:r>
        <w:rPr>
          <w:spacing w:val="-12"/>
        </w:rPr>
        <w:t xml:space="preserve"> </w:t>
      </w:r>
      <w:r>
        <w:t>This</w:t>
      </w:r>
      <w:r>
        <w:rPr>
          <w:spacing w:val="-13"/>
        </w:rPr>
        <w:t xml:space="preserve"> </w:t>
      </w:r>
      <w:r>
        <w:t>study</w:t>
      </w:r>
      <w:r>
        <w:rPr>
          <w:spacing w:val="-12"/>
        </w:rPr>
        <w:t xml:space="preserve"> </w:t>
      </w:r>
      <w:r>
        <w:t>notably</w:t>
      </w:r>
      <w:r>
        <w:rPr>
          <w:spacing w:val="-13"/>
        </w:rPr>
        <w:t xml:space="preserve"> </w:t>
      </w:r>
      <w:r>
        <w:t>did</w:t>
      </w:r>
      <w:r>
        <w:rPr>
          <w:spacing w:val="-12"/>
        </w:rPr>
        <w:t xml:space="preserve"> </w:t>
      </w:r>
      <w:r>
        <w:t>not</w:t>
      </w:r>
      <w:r>
        <w:rPr>
          <w:spacing w:val="-13"/>
        </w:rPr>
        <w:t xml:space="preserve"> </w:t>
      </w:r>
      <w:r>
        <w:t>account</w:t>
      </w:r>
      <w:r>
        <w:rPr>
          <w:spacing w:val="-12"/>
        </w:rPr>
        <w:t xml:space="preserve"> </w:t>
      </w:r>
      <w:r>
        <w:t>for</w:t>
      </w:r>
      <w:r>
        <w:rPr>
          <w:spacing w:val="-12"/>
        </w:rPr>
        <w:t xml:space="preserve"> </w:t>
      </w:r>
      <w:r>
        <w:t>the</w:t>
      </w:r>
      <w:r>
        <w:rPr>
          <w:spacing w:val="-13"/>
        </w:rPr>
        <w:t xml:space="preserve"> </w:t>
      </w:r>
      <w:r>
        <w:t>experiences</w:t>
      </w:r>
      <w:r>
        <w:rPr>
          <w:spacing w:val="-12"/>
        </w:rPr>
        <w:t xml:space="preserve"> </w:t>
      </w:r>
      <w:r>
        <w:t>of</w:t>
      </w:r>
      <w:r>
        <w:rPr>
          <w:spacing w:val="-13"/>
        </w:rPr>
        <w:t xml:space="preserve"> </w:t>
      </w:r>
      <w:r>
        <w:t>transgender</w:t>
      </w:r>
      <w:r>
        <w:rPr>
          <w:spacing w:val="-12"/>
        </w:rPr>
        <w:t xml:space="preserve"> </w:t>
      </w:r>
      <w:r>
        <w:t>and</w:t>
      </w:r>
      <w:r>
        <w:rPr>
          <w:spacing w:val="-13"/>
        </w:rPr>
        <w:t xml:space="preserve"> </w:t>
      </w:r>
      <w:r>
        <w:t>non-binary</w:t>
      </w:r>
      <w:r>
        <w:rPr>
          <w:spacing w:val="-12"/>
        </w:rPr>
        <w:t xml:space="preserve"> </w:t>
      </w:r>
      <w:r>
        <w:t>people but acknowledged that “the pervasive housing discrimination faced by transgender folks suggests that these groups likely experienced higher rates of housing precarity.”</w:t>
      </w:r>
    </w:p>
    <w:p w:rsidR="00C76E6D" w:rsidRDefault="00C76E6D">
      <w:pPr>
        <w:pStyle w:val="BodyText"/>
        <w:spacing w:before="4"/>
        <w:rPr>
          <w:sz w:val="25"/>
        </w:rPr>
      </w:pPr>
    </w:p>
    <w:p w:rsidR="00C76E6D" w:rsidRDefault="00913831">
      <w:pPr>
        <w:pStyle w:val="BodyText"/>
        <w:spacing w:line="276" w:lineRule="auto"/>
        <w:ind w:left="478" w:right="476"/>
        <w:jc w:val="both"/>
      </w:pPr>
      <w:r>
        <w:t>Since the onset of the pandemic many populations, including youth and young adu</w:t>
      </w:r>
      <w:r>
        <w:t>lts, have faced increased housing instability. To create a safety net, there has been a large increase in funds to bolster the</w:t>
      </w:r>
      <w:r>
        <w:rPr>
          <w:spacing w:val="40"/>
        </w:rPr>
        <w:t xml:space="preserve"> </w:t>
      </w:r>
      <w:r>
        <w:t>support</w:t>
      </w:r>
      <w:r>
        <w:rPr>
          <w:spacing w:val="40"/>
        </w:rPr>
        <w:t xml:space="preserve"> </w:t>
      </w:r>
      <w:r>
        <w:t>system</w:t>
      </w:r>
      <w:r>
        <w:rPr>
          <w:spacing w:val="40"/>
        </w:rPr>
        <w:t xml:space="preserve"> </w:t>
      </w:r>
      <w:r>
        <w:t>for</w:t>
      </w:r>
      <w:r>
        <w:rPr>
          <w:spacing w:val="40"/>
        </w:rPr>
        <w:t xml:space="preserve"> </w:t>
      </w:r>
      <w:r>
        <w:t>youth</w:t>
      </w:r>
      <w:r>
        <w:rPr>
          <w:spacing w:val="40"/>
        </w:rPr>
        <w:t xml:space="preserve"> </w:t>
      </w:r>
      <w:r>
        <w:t>experiencing</w:t>
      </w:r>
      <w:r>
        <w:rPr>
          <w:spacing w:val="40"/>
        </w:rPr>
        <w:t xml:space="preserve"> </w:t>
      </w:r>
      <w:r>
        <w:t>homelessness</w:t>
      </w:r>
      <w:r>
        <w:rPr>
          <w:spacing w:val="40"/>
        </w:rPr>
        <w:t xml:space="preserve"> </w:t>
      </w:r>
      <w:r>
        <w:t>and</w:t>
      </w:r>
      <w:r>
        <w:rPr>
          <w:spacing w:val="40"/>
        </w:rPr>
        <w:t xml:space="preserve"> </w:t>
      </w:r>
      <w:r>
        <w:t>housing</w:t>
      </w:r>
      <w:r>
        <w:rPr>
          <w:spacing w:val="40"/>
        </w:rPr>
        <w:t xml:space="preserve"> </w:t>
      </w:r>
      <w:r>
        <w:t>instability.</w:t>
      </w:r>
      <w:r>
        <w:rPr>
          <w:spacing w:val="40"/>
        </w:rPr>
        <w:t xml:space="preserve"> </w:t>
      </w:r>
      <w:r>
        <w:t>According</w:t>
      </w:r>
      <w:r>
        <w:rPr>
          <w:spacing w:val="40"/>
        </w:rPr>
        <w:t xml:space="preserve"> </w:t>
      </w:r>
      <w:r>
        <w:t>to</w:t>
      </w:r>
      <w:r>
        <w:rPr>
          <w:spacing w:val="40"/>
        </w:rPr>
        <w:t xml:space="preserve"> </w:t>
      </w:r>
      <w:r>
        <w:t>the</w:t>
      </w:r>
    </w:p>
    <w:p w:rsidR="00C76E6D" w:rsidRDefault="00C76E6D">
      <w:pPr>
        <w:spacing w:line="276" w:lineRule="auto"/>
        <w:jc w:val="both"/>
        <w:sectPr w:rsidR="00C76E6D">
          <w:pgSz w:w="12240" w:h="15840"/>
          <w:pgMar w:top="980" w:right="960" w:bottom="920" w:left="960" w:header="776" w:footer="720" w:gutter="0"/>
          <w:cols w:space="720"/>
        </w:sectPr>
      </w:pPr>
    </w:p>
    <w:p w:rsidR="00C76E6D" w:rsidRDefault="00C76E6D">
      <w:pPr>
        <w:pStyle w:val="BodyText"/>
        <w:rPr>
          <w:sz w:val="20"/>
        </w:rPr>
      </w:pPr>
    </w:p>
    <w:p w:rsidR="00C76E6D" w:rsidRDefault="00913831">
      <w:pPr>
        <w:pStyle w:val="BodyText"/>
        <w:spacing w:before="180" w:line="276" w:lineRule="auto"/>
        <w:ind w:left="478" w:right="472" w:hanging="1"/>
        <w:jc w:val="both"/>
      </w:pPr>
      <w:r>
        <w:t>Massachusetts</w:t>
      </w:r>
      <w:r>
        <w:rPr>
          <w:spacing w:val="-10"/>
        </w:rPr>
        <w:t xml:space="preserve"> </w:t>
      </w:r>
      <w:r>
        <w:t>Commissio</w:t>
      </w:r>
      <w:r>
        <w:t>n</w:t>
      </w:r>
      <w:r>
        <w:rPr>
          <w:spacing w:val="-10"/>
        </w:rPr>
        <w:t xml:space="preserve"> </w:t>
      </w:r>
      <w:r>
        <w:t>on</w:t>
      </w:r>
      <w:r>
        <w:rPr>
          <w:spacing w:val="-9"/>
        </w:rPr>
        <w:t xml:space="preserve"> </w:t>
      </w:r>
      <w:r>
        <w:t>Unaccompanied</w:t>
      </w:r>
      <w:r>
        <w:rPr>
          <w:spacing w:val="-10"/>
        </w:rPr>
        <w:t xml:space="preserve"> </w:t>
      </w:r>
      <w:r>
        <w:t>Youth,</w:t>
      </w:r>
      <w:r>
        <w:rPr>
          <w:spacing w:val="-9"/>
        </w:rPr>
        <w:t xml:space="preserve"> </w:t>
      </w:r>
      <w:r>
        <w:t>these</w:t>
      </w:r>
      <w:r>
        <w:rPr>
          <w:spacing w:val="-10"/>
        </w:rPr>
        <w:t xml:space="preserve"> </w:t>
      </w:r>
      <w:r>
        <w:t>resources</w:t>
      </w:r>
      <w:r>
        <w:rPr>
          <w:spacing w:val="-8"/>
        </w:rPr>
        <w:t xml:space="preserve"> </w:t>
      </w:r>
      <w:r>
        <w:t>enabled</w:t>
      </w:r>
      <w:r>
        <w:rPr>
          <w:spacing w:val="-10"/>
        </w:rPr>
        <w:t xml:space="preserve"> </w:t>
      </w:r>
      <w:r>
        <w:t>the</w:t>
      </w:r>
      <w:r>
        <w:rPr>
          <w:spacing w:val="-9"/>
        </w:rPr>
        <w:t xml:space="preserve"> </w:t>
      </w:r>
      <w:r>
        <w:t>creation</w:t>
      </w:r>
      <w:r>
        <w:rPr>
          <w:spacing w:val="-10"/>
        </w:rPr>
        <w:t xml:space="preserve"> </w:t>
      </w:r>
      <w:r>
        <w:t>of</w:t>
      </w:r>
      <w:r>
        <w:rPr>
          <w:spacing w:val="-10"/>
        </w:rPr>
        <w:t xml:space="preserve"> </w:t>
      </w:r>
      <w:r>
        <w:t>additional emergency shelter and housing resources specifically for young adults 18-24 in every region of Massachusetts, including designated spaces for LGBTQ and non-binary young adults</w:t>
      </w:r>
      <w:hyperlink w:anchor="_bookmark46" w:history="1">
        <w:r>
          <w:t>.</w:t>
        </w:r>
        <w:r>
          <w:rPr>
            <w:vertAlign w:val="superscript"/>
          </w:rPr>
          <w:t>25</w:t>
        </w:r>
        <w:r>
          <w:t xml:space="preserve"> </w:t>
        </w:r>
      </w:hyperlink>
      <w:r>
        <w:t>Additionally, the Commission</w:t>
      </w:r>
      <w:r>
        <w:rPr>
          <w:spacing w:val="-10"/>
        </w:rPr>
        <w:t xml:space="preserve"> </w:t>
      </w:r>
      <w:r>
        <w:t>on</w:t>
      </w:r>
      <w:r>
        <w:rPr>
          <w:spacing w:val="-10"/>
        </w:rPr>
        <w:t xml:space="preserve"> </w:t>
      </w:r>
      <w:r>
        <w:t>Unaccompanied</w:t>
      </w:r>
      <w:r>
        <w:rPr>
          <w:spacing w:val="-9"/>
        </w:rPr>
        <w:t xml:space="preserve"> </w:t>
      </w:r>
      <w:r>
        <w:t>Homeless</w:t>
      </w:r>
      <w:r>
        <w:rPr>
          <w:spacing w:val="-9"/>
        </w:rPr>
        <w:t xml:space="preserve"> </w:t>
      </w:r>
      <w:r>
        <w:t>Youth</w:t>
      </w:r>
      <w:r>
        <w:rPr>
          <w:spacing w:val="-9"/>
        </w:rPr>
        <w:t xml:space="preserve"> </w:t>
      </w:r>
      <w:r>
        <w:t>reported</w:t>
      </w:r>
      <w:r>
        <w:rPr>
          <w:spacing w:val="-10"/>
        </w:rPr>
        <w:t xml:space="preserve"> </w:t>
      </w:r>
      <w:r>
        <w:t>serving</w:t>
      </w:r>
      <w:r>
        <w:rPr>
          <w:spacing w:val="-10"/>
        </w:rPr>
        <w:t xml:space="preserve"> </w:t>
      </w:r>
      <w:r>
        <w:t>2,470</w:t>
      </w:r>
      <w:r>
        <w:rPr>
          <w:spacing w:val="-9"/>
        </w:rPr>
        <w:t xml:space="preserve"> </w:t>
      </w:r>
      <w:r>
        <w:t>youth</w:t>
      </w:r>
      <w:r>
        <w:rPr>
          <w:spacing w:val="-9"/>
        </w:rPr>
        <w:t xml:space="preserve"> </w:t>
      </w:r>
      <w:r>
        <w:t>in</w:t>
      </w:r>
      <w:r>
        <w:rPr>
          <w:spacing w:val="-8"/>
        </w:rPr>
        <w:t xml:space="preserve"> </w:t>
      </w:r>
      <w:r>
        <w:t>FY2020,</w:t>
      </w:r>
      <w:r>
        <w:rPr>
          <w:spacing w:val="-9"/>
        </w:rPr>
        <w:t xml:space="preserve"> </w:t>
      </w:r>
      <w:r>
        <w:t>as</w:t>
      </w:r>
      <w:r>
        <w:rPr>
          <w:spacing w:val="-10"/>
        </w:rPr>
        <w:t xml:space="preserve"> </w:t>
      </w:r>
      <w:r>
        <w:t>compared</w:t>
      </w:r>
      <w:r>
        <w:rPr>
          <w:spacing w:val="-8"/>
        </w:rPr>
        <w:t xml:space="preserve"> </w:t>
      </w:r>
      <w:r>
        <w:t>to 1,778 in FY2019, with the increase due to increased outreach and increased prevention funds for youth to retain their housing. While various stakeholders, including this Commission, have provided funds for youth, there are continuing structural issues t</w:t>
      </w:r>
      <w:r>
        <w:t>hat continue to push and keep LGBTQ youth into poverty. The Commission on Unaccompanied Homeless Youth has not yet released its data for FY2021 but emphasized expanding survey efforts to capture LGBTQ youth experiencing homelessness and housing instability</w:t>
      </w:r>
      <w:r>
        <w:t>. This</w:t>
      </w:r>
      <w:r>
        <w:rPr>
          <w:spacing w:val="-1"/>
        </w:rPr>
        <w:t xml:space="preserve"> </w:t>
      </w:r>
      <w:r>
        <w:t>data will importantly provide</w:t>
      </w:r>
      <w:r>
        <w:rPr>
          <w:spacing w:val="-2"/>
        </w:rPr>
        <w:t xml:space="preserve"> </w:t>
      </w:r>
      <w:r>
        <w:t>a better picture of</w:t>
      </w:r>
      <w:r>
        <w:rPr>
          <w:spacing w:val="-2"/>
        </w:rPr>
        <w:t xml:space="preserve"> </w:t>
      </w:r>
      <w:r>
        <w:t>the</w:t>
      </w:r>
      <w:r>
        <w:rPr>
          <w:spacing w:val="-1"/>
        </w:rPr>
        <w:t xml:space="preserve"> </w:t>
      </w:r>
      <w:r>
        <w:t>impact</w:t>
      </w:r>
      <w:r>
        <w:rPr>
          <w:spacing w:val="-1"/>
        </w:rPr>
        <w:t xml:space="preserve"> </w:t>
      </w:r>
      <w:r>
        <w:t>of</w:t>
      </w:r>
      <w:r>
        <w:rPr>
          <w:spacing w:val="-2"/>
        </w:rPr>
        <w:t xml:space="preserve"> </w:t>
      </w:r>
      <w:r>
        <w:t>COVID</w:t>
      </w:r>
      <w:r>
        <w:rPr>
          <w:spacing w:val="-1"/>
        </w:rPr>
        <w:t xml:space="preserve"> </w:t>
      </w:r>
      <w:r>
        <w:t>on</w:t>
      </w:r>
      <w:r>
        <w:rPr>
          <w:spacing w:val="-1"/>
        </w:rPr>
        <w:t xml:space="preserve"> </w:t>
      </w:r>
      <w:r>
        <w:t>LGBTQ</w:t>
      </w:r>
      <w:r>
        <w:rPr>
          <w:spacing w:val="-2"/>
        </w:rPr>
        <w:t xml:space="preserve"> </w:t>
      </w:r>
      <w:r>
        <w:t>access to housing around the state.</w:t>
      </w:r>
    </w:p>
    <w:p w:rsidR="00C76E6D" w:rsidRDefault="00C76E6D">
      <w:pPr>
        <w:pStyle w:val="BodyText"/>
        <w:spacing w:before="2"/>
        <w:rPr>
          <w:sz w:val="25"/>
        </w:rPr>
      </w:pPr>
    </w:p>
    <w:p w:rsidR="00C76E6D" w:rsidRDefault="00913831">
      <w:pPr>
        <w:pStyle w:val="BodyText"/>
        <w:spacing w:line="276" w:lineRule="auto"/>
        <w:ind w:left="478" w:right="476"/>
        <w:jc w:val="both"/>
      </w:pPr>
      <w:r>
        <w:t>In sum, LGBTQ youth continue to experience homelessness and housing instability during the pandemic and may not have access to proper</w:t>
      </w:r>
      <w:r>
        <w:t xml:space="preserve"> protections to prevent displacement and the spread of COVID.</w:t>
      </w:r>
    </w:p>
    <w:p w:rsidR="00C76E6D" w:rsidRDefault="00C76E6D">
      <w:pPr>
        <w:pStyle w:val="BodyText"/>
        <w:spacing w:before="5"/>
        <w:rPr>
          <w:sz w:val="25"/>
        </w:rPr>
      </w:pPr>
    </w:p>
    <w:p w:rsidR="00C76E6D" w:rsidRDefault="00913831">
      <w:pPr>
        <w:pStyle w:val="Heading6"/>
        <w:numPr>
          <w:ilvl w:val="0"/>
          <w:numId w:val="52"/>
        </w:numPr>
        <w:tabs>
          <w:tab w:val="left" w:pos="699"/>
        </w:tabs>
        <w:ind w:hanging="222"/>
      </w:pPr>
      <w:bookmarkStart w:id="52" w:name="5._Home_Life"/>
      <w:bookmarkEnd w:id="52"/>
      <w:r>
        <w:rPr>
          <w:w w:val="95"/>
        </w:rPr>
        <w:t>Home</w:t>
      </w:r>
      <w:r>
        <w:rPr>
          <w:spacing w:val="11"/>
        </w:rPr>
        <w:t xml:space="preserve"> </w:t>
      </w:r>
      <w:r>
        <w:rPr>
          <w:spacing w:val="-4"/>
          <w:w w:val="95"/>
        </w:rPr>
        <w:t>Life</w:t>
      </w:r>
    </w:p>
    <w:p w:rsidR="00C76E6D" w:rsidRDefault="00C76E6D">
      <w:pPr>
        <w:pStyle w:val="BodyText"/>
        <w:spacing w:before="6"/>
        <w:rPr>
          <w:b/>
          <w:sz w:val="28"/>
        </w:rPr>
      </w:pPr>
    </w:p>
    <w:p w:rsidR="00C76E6D" w:rsidRDefault="00913831">
      <w:pPr>
        <w:pStyle w:val="BodyText"/>
        <w:spacing w:line="276" w:lineRule="auto"/>
        <w:ind w:left="479" w:right="474" w:hanging="2"/>
        <w:jc w:val="both"/>
      </w:pPr>
      <w:r>
        <w:t>At</w:t>
      </w:r>
      <w:r>
        <w:rPr>
          <w:spacing w:val="-1"/>
        </w:rPr>
        <w:t xml:space="preserve"> </w:t>
      </w:r>
      <w:r>
        <w:t>the</w:t>
      </w:r>
      <w:r>
        <w:rPr>
          <w:spacing w:val="-1"/>
        </w:rPr>
        <w:t xml:space="preserve"> </w:t>
      </w:r>
      <w:r>
        <w:t>onset of</w:t>
      </w:r>
      <w:r>
        <w:rPr>
          <w:spacing w:val="-2"/>
        </w:rPr>
        <w:t xml:space="preserve"> </w:t>
      </w:r>
      <w:r>
        <w:t>the pandemic, stay-at-home</w:t>
      </w:r>
      <w:r>
        <w:rPr>
          <w:spacing w:val="-2"/>
        </w:rPr>
        <w:t xml:space="preserve"> </w:t>
      </w:r>
      <w:r>
        <w:t>orders forced</w:t>
      </w:r>
      <w:r>
        <w:rPr>
          <w:spacing w:val="-1"/>
        </w:rPr>
        <w:t xml:space="preserve"> </w:t>
      </w:r>
      <w:r>
        <w:t>many housed</w:t>
      </w:r>
      <w:r>
        <w:rPr>
          <w:spacing w:val="-2"/>
        </w:rPr>
        <w:t xml:space="preserve"> </w:t>
      </w:r>
      <w:r>
        <w:t>LGBTQ</w:t>
      </w:r>
      <w:r>
        <w:rPr>
          <w:spacing w:val="-1"/>
        </w:rPr>
        <w:t xml:space="preserve"> </w:t>
      </w:r>
      <w:r>
        <w:t>youth</w:t>
      </w:r>
      <w:r>
        <w:rPr>
          <w:spacing w:val="-1"/>
        </w:rPr>
        <w:t xml:space="preserve"> </w:t>
      </w:r>
      <w:r>
        <w:t>to shelter-in-place with family members. Even as the stay-at-home orders and other restrictions have lifted, some LGBTQ youth are still sent home from school due to COVID, live with their parents consistently, or moved back with their parents during the pa</w:t>
      </w:r>
      <w:r>
        <w:t>ndemic. For LGBTQ youth who experience rejection from their family or who are not yet out to their family, “social distancing and virtual learning can mean increased time in unsupportive and even violent home environments.”</w:t>
      </w:r>
      <w:hyperlink w:anchor="_bookmark47" w:history="1">
        <w:r>
          <w:rPr>
            <w:vertAlign w:val="superscript"/>
          </w:rPr>
          <w:t>26</w:t>
        </w:r>
      </w:hyperlink>
    </w:p>
    <w:p w:rsidR="00C76E6D" w:rsidRDefault="00C76E6D">
      <w:pPr>
        <w:pStyle w:val="BodyText"/>
        <w:spacing w:before="5"/>
        <w:rPr>
          <w:sz w:val="25"/>
        </w:rPr>
      </w:pPr>
    </w:p>
    <w:p w:rsidR="00C76E6D" w:rsidRDefault="00913831">
      <w:pPr>
        <w:pStyle w:val="BodyText"/>
        <w:spacing w:before="1" w:line="276" w:lineRule="auto"/>
        <w:ind w:left="480" w:right="476" w:hanging="1"/>
        <w:jc w:val="both"/>
      </w:pPr>
      <w:r>
        <w:t>In</w:t>
      </w:r>
      <w:r>
        <w:rPr>
          <w:spacing w:val="-3"/>
        </w:rPr>
        <w:t xml:space="preserve"> </w:t>
      </w:r>
      <w:r>
        <w:t>the</w:t>
      </w:r>
      <w:r>
        <w:rPr>
          <w:spacing w:val="-3"/>
        </w:rPr>
        <w:t xml:space="preserve"> </w:t>
      </w:r>
      <w:r>
        <w:t>2021</w:t>
      </w:r>
      <w:r>
        <w:rPr>
          <w:spacing w:val="-3"/>
        </w:rPr>
        <w:t xml:space="preserve"> </w:t>
      </w:r>
      <w:r>
        <w:t>study</w:t>
      </w:r>
      <w:r>
        <w:rPr>
          <w:spacing w:val="-3"/>
        </w:rPr>
        <w:t xml:space="preserve"> </w:t>
      </w:r>
      <w:r>
        <w:t>by</w:t>
      </w:r>
      <w:r>
        <w:rPr>
          <w:spacing w:val="-2"/>
        </w:rPr>
        <w:t xml:space="preserve"> </w:t>
      </w:r>
      <w:r>
        <w:t>the</w:t>
      </w:r>
      <w:r>
        <w:rPr>
          <w:spacing w:val="-3"/>
        </w:rPr>
        <w:t xml:space="preserve"> </w:t>
      </w:r>
      <w:r>
        <w:t>Trevor</w:t>
      </w:r>
      <w:r>
        <w:rPr>
          <w:spacing w:val="-4"/>
        </w:rPr>
        <w:t xml:space="preserve"> </w:t>
      </w:r>
      <w:r>
        <w:t>Project,</w:t>
      </w:r>
      <w:r>
        <w:rPr>
          <w:spacing w:val="-1"/>
        </w:rPr>
        <w:t xml:space="preserve"> </w:t>
      </w:r>
      <w:r>
        <w:t>more</w:t>
      </w:r>
      <w:r>
        <w:rPr>
          <w:spacing w:val="-3"/>
        </w:rPr>
        <w:t xml:space="preserve"> </w:t>
      </w:r>
      <w:r>
        <w:t>than</w:t>
      </w:r>
      <w:r>
        <w:rPr>
          <w:spacing w:val="-3"/>
        </w:rPr>
        <w:t xml:space="preserve"> </w:t>
      </w:r>
      <w:r>
        <w:t>80%</w:t>
      </w:r>
      <w:r>
        <w:rPr>
          <w:spacing w:val="-4"/>
        </w:rPr>
        <w:t xml:space="preserve"> </w:t>
      </w:r>
      <w:r>
        <w:t>of</w:t>
      </w:r>
      <w:r>
        <w:rPr>
          <w:spacing w:val="-3"/>
        </w:rPr>
        <w:t xml:space="preserve"> </w:t>
      </w:r>
      <w:r>
        <w:t>LGBTQ</w:t>
      </w:r>
      <w:r>
        <w:rPr>
          <w:spacing w:val="-3"/>
        </w:rPr>
        <w:t xml:space="preserve"> </w:t>
      </w:r>
      <w:r>
        <w:t>youth</w:t>
      </w:r>
      <w:r>
        <w:rPr>
          <w:spacing w:val="-3"/>
        </w:rPr>
        <w:t xml:space="preserve"> </w:t>
      </w:r>
      <w:r>
        <w:t>found</w:t>
      </w:r>
      <w:r>
        <w:rPr>
          <w:spacing w:val="-2"/>
        </w:rPr>
        <w:t xml:space="preserve"> </w:t>
      </w:r>
      <w:r>
        <w:t>that</w:t>
      </w:r>
      <w:r>
        <w:rPr>
          <w:spacing w:val="-3"/>
        </w:rPr>
        <w:t xml:space="preserve"> </w:t>
      </w:r>
      <w:r>
        <w:t>COVID-19</w:t>
      </w:r>
      <w:r>
        <w:rPr>
          <w:spacing w:val="-1"/>
        </w:rPr>
        <w:t xml:space="preserve"> </w:t>
      </w:r>
      <w:r>
        <w:t>made</w:t>
      </w:r>
      <w:r>
        <w:rPr>
          <w:spacing w:val="-2"/>
        </w:rPr>
        <w:t xml:space="preserve"> </w:t>
      </w:r>
      <w:r>
        <w:t>their living situation more stressful.</w:t>
      </w:r>
      <w:hyperlink w:anchor="_bookmark48" w:history="1">
        <w:r>
          <w:rPr>
            <w:vertAlign w:val="superscript"/>
          </w:rPr>
          <w:t>27</w:t>
        </w:r>
        <w:r>
          <w:t xml:space="preserve"> </w:t>
        </w:r>
      </w:hyperlink>
      <w:r>
        <w:t>According to the CEO of the Trevor Project, Amit Paley, “many LGBTQ youth</w:t>
      </w:r>
      <w:r>
        <w:rPr>
          <w:spacing w:val="-1"/>
        </w:rPr>
        <w:t xml:space="preserve"> </w:t>
      </w:r>
      <w:r>
        <w:t>‘have been trapped’ in</w:t>
      </w:r>
      <w:r>
        <w:rPr>
          <w:spacing w:val="-1"/>
        </w:rPr>
        <w:t xml:space="preserve"> </w:t>
      </w:r>
      <w:r>
        <w:t>a house with</w:t>
      </w:r>
      <w:r>
        <w:rPr>
          <w:spacing w:val="-1"/>
        </w:rPr>
        <w:t xml:space="preserve"> </w:t>
      </w:r>
      <w:r>
        <w:t>families who are not supportive of their identity, and in some cases, are emotionally or physically abusive.”</w:t>
      </w:r>
      <w:hyperlink w:anchor="_bookmark49" w:history="1">
        <w:r>
          <w:rPr>
            <w:vertAlign w:val="superscript"/>
          </w:rPr>
          <w:t>28</w:t>
        </w:r>
      </w:hyperlink>
    </w:p>
    <w:p w:rsidR="00C76E6D" w:rsidRDefault="00C76E6D">
      <w:pPr>
        <w:pStyle w:val="BodyText"/>
        <w:spacing w:before="2"/>
        <w:rPr>
          <w:sz w:val="25"/>
        </w:rPr>
      </w:pPr>
    </w:p>
    <w:p w:rsidR="00C76E6D" w:rsidRDefault="00913831">
      <w:pPr>
        <w:pStyle w:val="BodyText"/>
        <w:spacing w:line="276" w:lineRule="auto"/>
        <w:ind w:left="478" w:right="474"/>
        <w:jc w:val="both"/>
      </w:pPr>
      <w:r>
        <w:t>To</w:t>
      </w:r>
      <w:r>
        <w:rPr>
          <w:spacing w:val="-13"/>
        </w:rPr>
        <w:t xml:space="preserve"> </w:t>
      </w:r>
      <w:r>
        <w:t>mitigate</w:t>
      </w:r>
      <w:r>
        <w:rPr>
          <w:spacing w:val="-12"/>
        </w:rPr>
        <w:t xml:space="preserve"> </w:t>
      </w:r>
      <w:r>
        <w:t>these</w:t>
      </w:r>
      <w:r>
        <w:rPr>
          <w:spacing w:val="-13"/>
        </w:rPr>
        <w:t xml:space="preserve"> </w:t>
      </w:r>
      <w:r>
        <w:t>critical</w:t>
      </w:r>
      <w:r>
        <w:rPr>
          <w:spacing w:val="-12"/>
        </w:rPr>
        <w:t xml:space="preserve"> </w:t>
      </w:r>
      <w:r>
        <w:t>responses,</w:t>
      </w:r>
      <w:r>
        <w:rPr>
          <w:spacing w:val="-13"/>
        </w:rPr>
        <w:t xml:space="preserve"> </w:t>
      </w:r>
      <w:r>
        <w:t>LGBTQ</w:t>
      </w:r>
      <w:r>
        <w:rPr>
          <w:spacing w:val="-12"/>
        </w:rPr>
        <w:t xml:space="preserve"> </w:t>
      </w:r>
      <w:r>
        <w:t>youth</w:t>
      </w:r>
      <w:r>
        <w:rPr>
          <w:spacing w:val="-13"/>
        </w:rPr>
        <w:t xml:space="preserve"> </w:t>
      </w:r>
      <w:r>
        <w:t>may</w:t>
      </w:r>
      <w:r>
        <w:rPr>
          <w:spacing w:val="-12"/>
        </w:rPr>
        <w:t xml:space="preserve"> </w:t>
      </w:r>
      <w:r>
        <w:t>hide</w:t>
      </w:r>
      <w:r>
        <w:rPr>
          <w:spacing w:val="-12"/>
        </w:rPr>
        <w:t xml:space="preserve"> </w:t>
      </w:r>
      <w:r>
        <w:t>or</w:t>
      </w:r>
      <w:r>
        <w:rPr>
          <w:spacing w:val="-13"/>
        </w:rPr>
        <w:t xml:space="preserve"> </w:t>
      </w:r>
      <w:r>
        <w:t>downplay</w:t>
      </w:r>
      <w:r>
        <w:rPr>
          <w:spacing w:val="-12"/>
        </w:rPr>
        <w:t xml:space="preserve"> </w:t>
      </w:r>
      <w:r>
        <w:t>their</w:t>
      </w:r>
      <w:r>
        <w:rPr>
          <w:spacing w:val="-13"/>
        </w:rPr>
        <w:t xml:space="preserve"> </w:t>
      </w:r>
      <w:r>
        <w:t>identities</w:t>
      </w:r>
      <w:r>
        <w:rPr>
          <w:spacing w:val="-12"/>
        </w:rPr>
        <w:t xml:space="preserve"> </w:t>
      </w:r>
      <w:r>
        <w:t>while</w:t>
      </w:r>
      <w:r>
        <w:rPr>
          <w:spacing w:val="-13"/>
        </w:rPr>
        <w:t xml:space="preserve"> </w:t>
      </w:r>
      <w:r>
        <w:t>in</w:t>
      </w:r>
      <w:r>
        <w:rPr>
          <w:spacing w:val="-12"/>
        </w:rPr>
        <w:t xml:space="preserve"> </w:t>
      </w:r>
      <w:r>
        <w:t>the</w:t>
      </w:r>
      <w:r>
        <w:rPr>
          <w:spacing w:val="-12"/>
        </w:rPr>
        <w:t xml:space="preserve"> </w:t>
      </w:r>
      <w:r>
        <w:t>home; however, this form of code-switching may increase anxiety, depression, internalized homophobia and transphobia, and other stress experiences</w:t>
      </w:r>
      <w:hyperlink w:anchor="_bookmark50" w:history="1">
        <w:r>
          <w:t>.</w:t>
        </w:r>
        <w:r>
          <w:rPr>
            <w:vertAlign w:val="superscript"/>
          </w:rPr>
          <w:t>29</w:t>
        </w:r>
        <w:r>
          <w:t xml:space="preserve"> I</w:t>
        </w:r>
      </w:hyperlink>
      <w:r>
        <w:t>n general, youth who experience family rejection of their LGBTQ</w:t>
      </w:r>
      <w:r>
        <w:rPr>
          <w:spacing w:val="-1"/>
        </w:rPr>
        <w:t xml:space="preserve"> </w:t>
      </w:r>
      <w:r>
        <w:t>identity</w:t>
      </w:r>
      <w:r>
        <w:rPr>
          <w:spacing w:val="-1"/>
        </w:rPr>
        <w:t xml:space="preserve"> </w:t>
      </w:r>
      <w:r>
        <w:t>are</w:t>
      </w:r>
      <w:r>
        <w:rPr>
          <w:spacing w:val="-2"/>
        </w:rPr>
        <w:t xml:space="preserve"> </w:t>
      </w:r>
      <w:r>
        <w:t>six</w:t>
      </w:r>
      <w:r>
        <w:rPr>
          <w:spacing w:val="-1"/>
        </w:rPr>
        <w:t xml:space="preserve"> </w:t>
      </w:r>
      <w:r>
        <w:t>times</w:t>
      </w:r>
      <w:r>
        <w:rPr>
          <w:spacing w:val="-1"/>
        </w:rPr>
        <w:t xml:space="preserve"> </w:t>
      </w:r>
      <w:r>
        <w:t>more</w:t>
      </w:r>
      <w:r>
        <w:rPr>
          <w:spacing w:val="-2"/>
        </w:rPr>
        <w:t xml:space="preserve"> </w:t>
      </w:r>
      <w:r>
        <w:t>likely</w:t>
      </w:r>
      <w:r>
        <w:rPr>
          <w:spacing w:val="-2"/>
        </w:rPr>
        <w:t xml:space="preserve"> </w:t>
      </w:r>
      <w:r>
        <w:t>to</w:t>
      </w:r>
      <w:r>
        <w:rPr>
          <w:spacing w:val="-1"/>
        </w:rPr>
        <w:t xml:space="preserve"> </w:t>
      </w:r>
      <w:r>
        <w:t>experience</w:t>
      </w:r>
      <w:r>
        <w:rPr>
          <w:spacing w:val="-2"/>
        </w:rPr>
        <w:t xml:space="preserve"> </w:t>
      </w:r>
      <w:r>
        <w:t>depression</w:t>
      </w:r>
      <w:r>
        <w:rPr>
          <w:spacing w:val="-2"/>
        </w:rPr>
        <w:t xml:space="preserve"> </w:t>
      </w:r>
      <w:r>
        <w:t>and</w:t>
      </w:r>
      <w:r>
        <w:rPr>
          <w:spacing w:val="-1"/>
        </w:rPr>
        <w:t xml:space="preserve"> </w:t>
      </w:r>
      <w:r>
        <w:t>eight</w:t>
      </w:r>
      <w:r>
        <w:rPr>
          <w:spacing w:val="-1"/>
        </w:rPr>
        <w:t xml:space="preserve"> </w:t>
      </w:r>
      <w:r>
        <w:t>times more</w:t>
      </w:r>
      <w:r>
        <w:rPr>
          <w:spacing w:val="-2"/>
        </w:rPr>
        <w:t xml:space="preserve"> </w:t>
      </w:r>
      <w:r>
        <w:t>likely</w:t>
      </w:r>
      <w:r>
        <w:rPr>
          <w:spacing w:val="-1"/>
        </w:rPr>
        <w:t xml:space="preserve"> </w:t>
      </w:r>
      <w:r>
        <w:t>to</w:t>
      </w:r>
      <w:r>
        <w:rPr>
          <w:spacing w:val="-1"/>
        </w:rPr>
        <w:t xml:space="preserve"> </w:t>
      </w:r>
      <w:r>
        <w:t>attempt suicide than LGBTQ youth who experience low levels of family rejection.</w:t>
      </w:r>
      <w:hyperlink w:anchor="_bookmark51" w:history="1">
        <w:r>
          <w:rPr>
            <w:vertAlign w:val="superscript"/>
          </w:rPr>
          <w:t>30</w:t>
        </w:r>
        <w:r>
          <w:t xml:space="preserve"> </w:t>
        </w:r>
      </w:hyperlink>
      <w:r>
        <w:t>The COVID-19 pandemic has ultimately</w:t>
      </w:r>
      <w:r>
        <w:rPr>
          <w:spacing w:val="-1"/>
        </w:rPr>
        <w:t xml:space="preserve"> </w:t>
      </w:r>
      <w:r>
        <w:t>heightened</w:t>
      </w:r>
      <w:r>
        <w:rPr>
          <w:spacing w:val="-2"/>
        </w:rPr>
        <w:t xml:space="preserve"> </w:t>
      </w:r>
      <w:r>
        <w:t>rejection</w:t>
      </w:r>
      <w:r>
        <w:rPr>
          <w:spacing w:val="-2"/>
        </w:rPr>
        <w:t xml:space="preserve"> </w:t>
      </w:r>
      <w:r>
        <w:t>and</w:t>
      </w:r>
      <w:r>
        <w:rPr>
          <w:spacing w:val="-2"/>
        </w:rPr>
        <w:t xml:space="preserve"> </w:t>
      </w:r>
      <w:r>
        <w:t>victimization of</w:t>
      </w:r>
      <w:r>
        <w:rPr>
          <w:spacing w:val="-1"/>
        </w:rPr>
        <w:t xml:space="preserve"> </w:t>
      </w:r>
      <w:r>
        <w:t>LGBTQ</w:t>
      </w:r>
      <w:r>
        <w:rPr>
          <w:spacing w:val="-1"/>
        </w:rPr>
        <w:t xml:space="preserve"> </w:t>
      </w:r>
      <w:r>
        <w:t>by requiring many youth</w:t>
      </w:r>
      <w:r>
        <w:rPr>
          <w:spacing w:val="-2"/>
        </w:rPr>
        <w:t xml:space="preserve"> </w:t>
      </w:r>
      <w:r>
        <w:t>to spend</w:t>
      </w:r>
      <w:r>
        <w:rPr>
          <w:spacing w:val="-1"/>
        </w:rPr>
        <w:t xml:space="preserve"> </w:t>
      </w:r>
      <w:r>
        <w:t>prolonged time in the home.</w:t>
      </w:r>
    </w:p>
    <w:p w:rsidR="00C76E6D" w:rsidRDefault="00C76E6D">
      <w:pPr>
        <w:pStyle w:val="BodyText"/>
        <w:spacing w:before="4"/>
        <w:rPr>
          <w:sz w:val="25"/>
        </w:rPr>
      </w:pPr>
    </w:p>
    <w:p w:rsidR="00C76E6D" w:rsidRDefault="00913831">
      <w:pPr>
        <w:pStyle w:val="BodyText"/>
        <w:spacing w:line="276" w:lineRule="auto"/>
        <w:ind w:left="478" w:right="475"/>
        <w:jc w:val="both"/>
      </w:pPr>
      <w:r>
        <w:t>Additionally, some LGBTQ may be housed with family members who do not take COVID seriously. Accor</w:t>
      </w:r>
      <w:r>
        <w:t>ding to the Trevor Project, over one in three LGBTQ youth, as opposed to one in five heterosexual/cisgender youth, distrusted their family in providing health information on COVID- 19.</w:t>
      </w:r>
      <w:hyperlink w:anchor="_bookmark52" w:history="1">
        <w:r>
          <w:rPr>
            <w:vertAlign w:val="superscript"/>
          </w:rPr>
          <w:t>31</w:t>
        </w:r>
      </w:hyperlink>
      <w:r>
        <w:t xml:space="preserve"> Therefore, housing may feel unsupporti</w:t>
      </w:r>
      <w:r>
        <w:t>ve and unsafe when family members are not taking proper precautions to preventing the virus spread.</w:t>
      </w:r>
    </w:p>
    <w:p w:rsidR="00C76E6D" w:rsidRDefault="00C76E6D">
      <w:pPr>
        <w:spacing w:line="276" w:lineRule="auto"/>
        <w:jc w:val="both"/>
        <w:sectPr w:rsidR="00C76E6D">
          <w:pgSz w:w="12240" w:h="15840"/>
          <w:pgMar w:top="980" w:right="960" w:bottom="920" w:left="960" w:header="776" w:footer="720" w:gutter="0"/>
          <w:cols w:space="720"/>
        </w:sectPr>
      </w:pPr>
    </w:p>
    <w:p w:rsidR="00C76E6D" w:rsidRDefault="00C76E6D">
      <w:pPr>
        <w:pStyle w:val="BodyText"/>
        <w:rPr>
          <w:sz w:val="20"/>
        </w:rPr>
      </w:pPr>
    </w:p>
    <w:p w:rsidR="00C76E6D" w:rsidRDefault="00913831">
      <w:pPr>
        <w:pStyle w:val="Heading6"/>
        <w:numPr>
          <w:ilvl w:val="0"/>
          <w:numId w:val="52"/>
        </w:numPr>
        <w:tabs>
          <w:tab w:val="left" w:pos="699"/>
        </w:tabs>
        <w:spacing w:before="180"/>
      </w:pPr>
      <w:bookmarkStart w:id="53" w:name="6._Incarceration"/>
      <w:bookmarkEnd w:id="53"/>
      <w:r>
        <w:rPr>
          <w:spacing w:val="-2"/>
        </w:rPr>
        <w:t>Incarceration</w:t>
      </w:r>
    </w:p>
    <w:p w:rsidR="00C76E6D" w:rsidRDefault="00C76E6D">
      <w:pPr>
        <w:pStyle w:val="BodyText"/>
        <w:spacing w:before="7"/>
        <w:rPr>
          <w:b/>
          <w:sz w:val="28"/>
        </w:rPr>
      </w:pPr>
    </w:p>
    <w:p w:rsidR="00C76E6D" w:rsidRDefault="00913831">
      <w:pPr>
        <w:pStyle w:val="BodyText"/>
        <w:spacing w:before="1" w:line="276" w:lineRule="auto"/>
        <w:ind w:left="478" w:right="473"/>
        <w:jc w:val="both"/>
      </w:pPr>
      <w:r>
        <w:t>The COVID pandemic “is far from over, particularly inside prisons and jails.”</w:t>
      </w:r>
      <w:hyperlink w:anchor="_bookmark53" w:history="1">
        <w:r>
          <w:rPr>
            <w:vertAlign w:val="superscript"/>
          </w:rPr>
          <w:t>32</w:t>
        </w:r>
      </w:hyperlink>
      <w:r>
        <w:t xml:space="preserve"> According to the </w:t>
      </w:r>
      <w:r>
        <w:t>Prison Policy</w:t>
      </w:r>
      <w:r>
        <w:rPr>
          <w:spacing w:val="-4"/>
        </w:rPr>
        <w:t xml:space="preserve"> </w:t>
      </w:r>
      <w:r>
        <w:t>Initiative,</w:t>
      </w:r>
      <w:r>
        <w:rPr>
          <w:spacing w:val="-3"/>
        </w:rPr>
        <w:t xml:space="preserve"> </w:t>
      </w:r>
      <w:r>
        <w:t>as</w:t>
      </w:r>
      <w:r>
        <w:rPr>
          <w:spacing w:val="-4"/>
        </w:rPr>
        <w:t xml:space="preserve"> </w:t>
      </w:r>
      <w:r>
        <w:t>of</w:t>
      </w:r>
      <w:r>
        <w:rPr>
          <w:spacing w:val="-4"/>
        </w:rPr>
        <w:t xml:space="preserve"> </w:t>
      </w:r>
      <w:r>
        <w:t>February</w:t>
      </w:r>
      <w:r>
        <w:rPr>
          <w:spacing w:val="-4"/>
        </w:rPr>
        <w:t xml:space="preserve"> </w:t>
      </w:r>
      <w:r>
        <w:t>2022,</w:t>
      </w:r>
      <w:r>
        <w:rPr>
          <w:spacing w:val="-4"/>
        </w:rPr>
        <w:t xml:space="preserve"> </w:t>
      </w:r>
      <w:r>
        <w:t>the</w:t>
      </w:r>
      <w:r>
        <w:rPr>
          <w:spacing w:val="-4"/>
        </w:rPr>
        <w:t xml:space="preserve"> </w:t>
      </w:r>
      <w:r>
        <w:t>death</w:t>
      </w:r>
      <w:r>
        <w:rPr>
          <w:spacing w:val="-4"/>
        </w:rPr>
        <w:t xml:space="preserve"> </w:t>
      </w:r>
      <w:r>
        <w:t>rate</w:t>
      </w:r>
      <w:r>
        <w:rPr>
          <w:spacing w:val="-3"/>
        </w:rPr>
        <w:t xml:space="preserve"> </w:t>
      </w:r>
      <w:r>
        <w:t>of</w:t>
      </w:r>
      <w:r>
        <w:rPr>
          <w:spacing w:val="-4"/>
        </w:rPr>
        <w:t xml:space="preserve"> </w:t>
      </w:r>
      <w:r>
        <w:t>COVID-19</w:t>
      </w:r>
      <w:r>
        <w:rPr>
          <w:spacing w:val="-4"/>
        </w:rPr>
        <w:t xml:space="preserve"> </w:t>
      </w:r>
      <w:r>
        <w:t>in</w:t>
      </w:r>
      <w:r>
        <w:rPr>
          <w:spacing w:val="-4"/>
        </w:rPr>
        <w:t xml:space="preserve"> </w:t>
      </w:r>
      <w:r>
        <w:t>prisons</w:t>
      </w:r>
      <w:r>
        <w:rPr>
          <w:spacing w:val="-4"/>
        </w:rPr>
        <w:t xml:space="preserve"> </w:t>
      </w:r>
      <w:r>
        <w:t>is</w:t>
      </w:r>
      <w:r>
        <w:rPr>
          <w:spacing w:val="-4"/>
        </w:rPr>
        <w:t xml:space="preserve"> </w:t>
      </w:r>
      <w:r>
        <w:t>more</w:t>
      </w:r>
      <w:r>
        <w:rPr>
          <w:spacing w:val="-4"/>
        </w:rPr>
        <w:t xml:space="preserve"> </w:t>
      </w:r>
      <w:r>
        <w:t>than</w:t>
      </w:r>
      <w:r>
        <w:rPr>
          <w:spacing w:val="-3"/>
        </w:rPr>
        <w:t xml:space="preserve"> </w:t>
      </w:r>
      <w:r>
        <w:t>twice</w:t>
      </w:r>
      <w:r>
        <w:rPr>
          <w:spacing w:val="-4"/>
        </w:rPr>
        <w:t xml:space="preserve"> </w:t>
      </w:r>
      <w:r>
        <w:t>that</w:t>
      </w:r>
      <w:r>
        <w:rPr>
          <w:spacing w:val="-3"/>
        </w:rPr>
        <w:t xml:space="preserve"> </w:t>
      </w:r>
      <w:r>
        <w:t>of</w:t>
      </w:r>
      <w:r>
        <w:rPr>
          <w:spacing w:val="-4"/>
        </w:rPr>
        <w:t xml:space="preserve"> </w:t>
      </w:r>
      <w:r>
        <w:t>the general</w:t>
      </w:r>
      <w:r>
        <w:rPr>
          <w:spacing w:val="-9"/>
        </w:rPr>
        <w:t xml:space="preserve"> </w:t>
      </w:r>
      <w:r>
        <w:t>U.S.</w:t>
      </w:r>
      <w:r>
        <w:rPr>
          <w:spacing w:val="-9"/>
        </w:rPr>
        <w:t xml:space="preserve"> </w:t>
      </w:r>
      <w:r>
        <w:t>populations.</w:t>
      </w:r>
      <w:r>
        <w:rPr>
          <w:spacing w:val="-10"/>
        </w:rPr>
        <w:t xml:space="preserve"> </w:t>
      </w:r>
      <w:r>
        <w:t>An</w:t>
      </w:r>
      <w:r>
        <w:rPr>
          <w:spacing w:val="-10"/>
        </w:rPr>
        <w:t xml:space="preserve"> </w:t>
      </w:r>
      <w:r>
        <w:t>estimated</w:t>
      </w:r>
      <w:r>
        <w:rPr>
          <w:spacing w:val="-10"/>
        </w:rPr>
        <w:t xml:space="preserve"> </w:t>
      </w:r>
      <w:r>
        <w:t>476,000</w:t>
      </w:r>
      <w:r>
        <w:rPr>
          <w:spacing w:val="-9"/>
        </w:rPr>
        <w:t xml:space="preserve"> </w:t>
      </w:r>
      <w:r>
        <w:t>incarcerated</w:t>
      </w:r>
      <w:r>
        <w:rPr>
          <w:spacing w:val="-10"/>
        </w:rPr>
        <w:t xml:space="preserve"> </w:t>
      </w:r>
      <w:r>
        <w:t>persons</w:t>
      </w:r>
      <w:r>
        <w:rPr>
          <w:spacing w:val="-9"/>
        </w:rPr>
        <w:t xml:space="preserve"> </w:t>
      </w:r>
      <w:r>
        <w:t>have</w:t>
      </w:r>
      <w:r>
        <w:rPr>
          <w:spacing w:val="-10"/>
        </w:rPr>
        <w:t xml:space="preserve"> </w:t>
      </w:r>
      <w:r>
        <w:t>been</w:t>
      </w:r>
      <w:r>
        <w:rPr>
          <w:spacing w:val="-8"/>
        </w:rPr>
        <w:t xml:space="preserve"> </w:t>
      </w:r>
      <w:r>
        <w:t>infected</w:t>
      </w:r>
      <w:r>
        <w:rPr>
          <w:spacing w:val="-10"/>
        </w:rPr>
        <w:t xml:space="preserve"> </w:t>
      </w:r>
      <w:r>
        <w:t>within</w:t>
      </w:r>
      <w:r>
        <w:rPr>
          <w:spacing w:val="-10"/>
        </w:rPr>
        <w:t xml:space="preserve"> </w:t>
      </w:r>
      <w:r>
        <w:t>state</w:t>
      </w:r>
      <w:r>
        <w:rPr>
          <w:spacing w:val="-10"/>
        </w:rPr>
        <w:t xml:space="preserve"> </w:t>
      </w:r>
      <w:r>
        <w:t>and federal</w:t>
      </w:r>
      <w:r>
        <w:rPr>
          <w:spacing w:val="-2"/>
        </w:rPr>
        <w:t xml:space="preserve"> </w:t>
      </w:r>
      <w:r>
        <w:t>prisons.</w:t>
      </w:r>
      <w:r>
        <w:rPr>
          <w:spacing w:val="-2"/>
        </w:rPr>
        <w:t xml:space="preserve"> </w:t>
      </w:r>
      <w:r>
        <w:t>Carceral</w:t>
      </w:r>
      <w:r>
        <w:rPr>
          <w:spacing w:val="-2"/>
        </w:rPr>
        <w:t xml:space="preserve"> </w:t>
      </w:r>
      <w:r>
        <w:t>institutions</w:t>
      </w:r>
      <w:r>
        <w:rPr>
          <w:spacing w:val="-1"/>
        </w:rPr>
        <w:t xml:space="preserve"> </w:t>
      </w:r>
      <w:r>
        <w:t>have</w:t>
      </w:r>
      <w:r>
        <w:rPr>
          <w:spacing w:val="-2"/>
        </w:rPr>
        <w:t xml:space="preserve"> </w:t>
      </w:r>
      <w:r>
        <w:t>proved</w:t>
      </w:r>
      <w:r>
        <w:rPr>
          <w:spacing w:val="-2"/>
        </w:rPr>
        <w:t xml:space="preserve"> </w:t>
      </w:r>
      <w:r>
        <w:t>to</w:t>
      </w:r>
      <w:r>
        <w:rPr>
          <w:spacing w:val="-1"/>
        </w:rPr>
        <w:t xml:space="preserve"> </w:t>
      </w:r>
      <w:r>
        <w:t>be</w:t>
      </w:r>
      <w:r>
        <w:rPr>
          <w:spacing w:val="-1"/>
        </w:rPr>
        <w:t xml:space="preserve"> </w:t>
      </w:r>
      <w:r>
        <w:t>ripe</w:t>
      </w:r>
      <w:r>
        <w:rPr>
          <w:spacing w:val="-1"/>
        </w:rPr>
        <w:t xml:space="preserve"> </w:t>
      </w:r>
      <w:r>
        <w:t>for virus</w:t>
      </w:r>
      <w:r>
        <w:rPr>
          <w:spacing w:val="-2"/>
        </w:rPr>
        <w:t xml:space="preserve"> </w:t>
      </w:r>
      <w:r>
        <w:t>spread</w:t>
      </w:r>
      <w:r>
        <w:rPr>
          <w:spacing w:val="-1"/>
        </w:rPr>
        <w:t xml:space="preserve"> </w:t>
      </w:r>
      <w:r>
        <w:t>as</w:t>
      </w:r>
      <w:r>
        <w:rPr>
          <w:spacing w:val="-1"/>
        </w:rPr>
        <w:t xml:space="preserve"> </w:t>
      </w:r>
      <w:r>
        <w:t>nearly</w:t>
      </w:r>
      <w:r>
        <w:rPr>
          <w:spacing w:val="-1"/>
        </w:rPr>
        <w:t xml:space="preserve"> </w:t>
      </w:r>
      <w:r>
        <w:t>three-fourths of</w:t>
      </w:r>
      <w:r>
        <w:rPr>
          <w:spacing w:val="-2"/>
        </w:rPr>
        <w:t xml:space="preserve"> </w:t>
      </w:r>
      <w:r>
        <w:t>all prisons</w:t>
      </w:r>
      <w:r>
        <w:rPr>
          <w:spacing w:val="-13"/>
        </w:rPr>
        <w:t xml:space="preserve"> </w:t>
      </w:r>
      <w:r>
        <w:t>experienced</w:t>
      </w:r>
      <w:r>
        <w:rPr>
          <w:spacing w:val="-11"/>
        </w:rPr>
        <w:t xml:space="preserve"> </w:t>
      </w:r>
      <w:r>
        <w:t>outbreaks</w:t>
      </w:r>
      <w:r>
        <w:rPr>
          <w:spacing w:val="-12"/>
        </w:rPr>
        <w:t xml:space="preserve"> </w:t>
      </w:r>
      <w:r>
        <w:t>of</w:t>
      </w:r>
      <w:r>
        <w:rPr>
          <w:spacing w:val="-13"/>
        </w:rPr>
        <w:t xml:space="preserve"> </w:t>
      </w:r>
      <w:r>
        <w:t>the</w:t>
      </w:r>
      <w:r>
        <w:rPr>
          <w:spacing w:val="-11"/>
        </w:rPr>
        <w:t xml:space="preserve"> </w:t>
      </w:r>
      <w:r>
        <w:t>Omicron</w:t>
      </w:r>
      <w:r>
        <w:rPr>
          <w:spacing w:val="-13"/>
        </w:rPr>
        <w:t xml:space="preserve"> </w:t>
      </w:r>
      <w:r>
        <w:t>variant.</w:t>
      </w:r>
      <w:r>
        <w:rPr>
          <w:spacing w:val="-12"/>
        </w:rPr>
        <w:t xml:space="preserve"> </w:t>
      </w:r>
      <w:r>
        <w:t>On</w:t>
      </w:r>
      <w:r>
        <w:rPr>
          <w:spacing w:val="-13"/>
        </w:rPr>
        <w:t xml:space="preserve"> </w:t>
      </w:r>
      <w:r>
        <w:t>top</w:t>
      </w:r>
      <w:r>
        <w:rPr>
          <w:spacing w:val="-11"/>
        </w:rPr>
        <w:t xml:space="preserve"> </w:t>
      </w:r>
      <w:r>
        <w:t>of</w:t>
      </w:r>
      <w:r>
        <w:rPr>
          <w:spacing w:val="-13"/>
        </w:rPr>
        <w:t xml:space="preserve"> </w:t>
      </w:r>
      <w:r>
        <w:t>that,</w:t>
      </w:r>
      <w:r>
        <w:rPr>
          <w:spacing w:val="-11"/>
        </w:rPr>
        <w:t xml:space="preserve"> </w:t>
      </w:r>
      <w:r>
        <w:t>carceral</w:t>
      </w:r>
      <w:r>
        <w:rPr>
          <w:spacing w:val="-13"/>
        </w:rPr>
        <w:t xml:space="preserve"> </w:t>
      </w:r>
      <w:r>
        <w:t>institutions</w:t>
      </w:r>
      <w:r>
        <w:rPr>
          <w:spacing w:val="-10"/>
        </w:rPr>
        <w:t xml:space="preserve"> </w:t>
      </w:r>
      <w:r>
        <w:t>have</w:t>
      </w:r>
      <w:r>
        <w:rPr>
          <w:spacing w:val="-13"/>
        </w:rPr>
        <w:t xml:space="preserve"> </w:t>
      </w:r>
      <w:r>
        <w:t>been</w:t>
      </w:r>
      <w:r>
        <w:rPr>
          <w:spacing w:val="-12"/>
        </w:rPr>
        <w:t xml:space="preserve"> </w:t>
      </w:r>
      <w:r>
        <w:t>slow to provide boosters to incarcerated persons, and many correctional officers have been hesitant to get vaccinated and/or boosted.</w:t>
      </w:r>
    </w:p>
    <w:p w:rsidR="00C76E6D" w:rsidRDefault="00C76E6D">
      <w:pPr>
        <w:pStyle w:val="BodyText"/>
        <w:spacing w:before="2"/>
        <w:rPr>
          <w:sz w:val="25"/>
        </w:rPr>
      </w:pPr>
    </w:p>
    <w:p w:rsidR="00C76E6D" w:rsidRDefault="00913831">
      <w:pPr>
        <w:pStyle w:val="BodyText"/>
        <w:spacing w:line="276" w:lineRule="auto"/>
        <w:ind w:left="478" w:right="475"/>
        <w:jc w:val="both"/>
      </w:pPr>
      <w:r>
        <w:t>Public health officials, such as the American Public Health Association, support decarceration as a public health</w:t>
      </w:r>
      <w:r>
        <w:rPr>
          <w:spacing w:val="-3"/>
        </w:rPr>
        <w:t xml:space="preserve"> </w:t>
      </w:r>
      <w:r>
        <w:t>measure</w:t>
      </w:r>
      <w:r>
        <w:t>.</w:t>
      </w:r>
      <w:r>
        <w:rPr>
          <w:spacing w:val="-4"/>
        </w:rPr>
        <w:t xml:space="preserve"> </w:t>
      </w:r>
      <w:r>
        <w:t>While</w:t>
      </w:r>
      <w:r>
        <w:rPr>
          <w:spacing w:val="-3"/>
        </w:rPr>
        <w:t xml:space="preserve"> </w:t>
      </w:r>
      <w:r>
        <w:t>states</w:t>
      </w:r>
      <w:r>
        <w:rPr>
          <w:spacing w:val="-3"/>
        </w:rPr>
        <w:t xml:space="preserve"> </w:t>
      </w:r>
      <w:r>
        <w:t>like</w:t>
      </w:r>
      <w:r>
        <w:rPr>
          <w:spacing w:val="-2"/>
        </w:rPr>
        <w:t xml:space="preserve"> </w:t>
      </w:r>
      <w:r>
        <w:t>Massachusetts</w:t>
      </w:r>
      <w:r>
        <w:rPr>
          <w:spacing w:val="-3"/>
        </w:rPr>
        <w:t xml:space="preserve"> </w:t>
      </w:r>
      <w:r>
        <w:t>reduced</w:t>
      </w:r>
      <w:r>
        <w:rPr>
          <w:spacing w:val="-3"/>
        </w:rPr>
        <w:t xml:space="preserve"> </w:t>
      </w:r>
      <w:r>
        <w:t>their</w:t>
      </w:r>
      <w:r>
        <w:rPr>
          <w:spacing w:val="-4"/>
        </w:rPr>
        <w:t xml:space="preserve"> </w:t>
      </w:r>
      <w:r>
        <w:t>prison</w:t>
      </w:r>
      <w:r>
        <w:rPr>
          <w:spacing w:val="-4"/>
        </w:rPr>
        <w:t xml:space="preserve"> </w:t>
      </w:r>
      <w:r>
        <w:t>populations</w:t>
      </w:r>
      <w:r>
        <w:rPr>
          <w:spacing w:val="-3"/>
        </w:rPr>
        <w:t xml:space="preserve"> </w:t>
      </w:r>
      <w:r>
        <w:t>early</w:t>
      </w:r>
      <w:r>
        <w:rPr>
          <w:spacing w:val="-4"/>
        </w:rPr>
        <w:t xml:space="preserve"> </w:t>
      </w:r>
      <w:r>
        <w:t>in</w:t>
      </w:r>
      <w:r>
        <w:rPr>
          <w:spacing w:val="-4"/>
        </w:rPr>
        <w:t xml:space="preserve"> </w:t>
      </w:r>
      <w:r>
        <w:t>the</w:t>
      </w:r>
      <w:r>
        <w:rPr>
          <w:spacing w:val="-4"/>
        </w:rPr>
        <w:t xml:space="preserve"> </w:t>
      </w:r>
      <w:r>
        <w:t>pandemic, studies show that many state and local authorities across the nation are permitting their prison and jail populations to return to pre-pandemic levels. Drops in priso</w:t>
      </w:r>
      <w:r>
        <w:t>n and jail populations in many states have been attributed to court delays and lower admissions, rather than decarceration efforts.</w:t>
      </w:r>
    </w:p>
    <w:p w:rsidR="00C76E6D" w:rsidRDefault="00C76E6D">
      <w:pPr>
        <w:pStyle w:val="BodyText"/>
        <w:spacing w:before="3"/>
        <w:rPr>
          <w:sz w:val="25"/>
        </w:rPr>
      </w:pPr>
    </w:p>
    <w:p w:rsidR="00C76E6D" w:rsidRDefault="00913831">
      <w:pPr>
        <w:pStyle w:val="BodyText"/>
        <w:spacing w:before="1" w:line="276" w:lineRule="auto"/>
        <w:ind w:left="478" w:right="475"/>
        <w:jc w:val="both"/>
      </w:pPr>
      <w:r>
        <w:t>It is likely that youth of color and LGBTQ youth disproportionately experience the negative impacts of COVID</w:t>
      </w:r>
      <w:r>
        <w:rPr>
          <w:spacing w:val="-8"/>
        </w:rPr>
        <w:t xml:space="preserve"> </w:t>
      </w:r>
      <w:r>
        <w:t>in</w:t>
      </w:r>
      <w:r>
        <w:rPr>
          <w:spacing w:val="-6"/>
        </w:rPr>
        <w:t xml:space="preserve"> </w:t>
      </w:r>
      <w:r>
        <w:t>carceral</w:t>
      </w:r>
      <w:r>
        <w:rPr>
          <w:spacing w:val="-9"/>
        </w:rPr>
        <w:t xml:space="preserve"> </w:t>
      </w:r>
      <w:r>
        <w:t>institutions,</w:t>
      </w:r>
      <w:r>
        <w:rPr>
          <w:spacing w:val="-8"/>
        </w:rPr>
        <w:t xml:space="preserve"> </w:t>
      </w:r>
      <w:r>
        <w:t>considering</w:t>
      </w:r>
      <w:r>
        <w:rPr>
          <w:spacing w:val="-8"/>
        </w:rPr>
        <w:t xml:space="preserve"> </w:t>
      </w:r>
      <w:r>
        <w:t>their</w:t>
      </w:r>
      <w:r>
        <w:rPr>
          <w:spacing w:val="-7"/>
        </w:rPr>
        <w:t xml:space="preserve"> </w:t>
      </w:r>
      <w:r>
        <w:t>overrepresentation.</w:t>
      </w:r>
      <w:r>
        <w:rPr>
          <w:spacing w:val="-8"/>
        </w:rPr>
        <w:t xml:space="preserve"> </w:t>
      </w:r>
      <w:r>
        <w:t>One</w:t>
      </w:r>
      <w:r>
        <w:rPr>
          <w:spacing w:val="-8"/>
        </w:rPr>
        <w:t xml:space="preserve"> </w:t>
      </w:r>
      <w:r>
        <w:t>study</w:t>
      </w:r>
      <w:r>
        <w:rPr>
          <w:spacing w:val="-5"/>
        </w:rPr>
        <w:t xml:space="preserve"> </w:t>
      </w:r>
      <w:r>
        <w:t>reported</w:t>
      </w:r>
      <w:r>
        <w:rPr>
          <w:spacing w:val="-8"/>
        </w:rPr>
        <w:t xml:space="preserve"> </w:t>
      </w:r>
      <w:r>
        <w:t>that</w:t>
      </w:r>
      <w:r>
        <w:rPr>
          <w:spacing w:val="-8"/>
        </w:rPr>
        <w:t xml:space="preserve"> </w:t>
      </w:r>
      <w:r>
        <w:t>42%</w:t>
      </w:r>
      <w:r>
        <w:rPr>
          <w:spacing w:val="-7"/>
        </w:rPr>
        <w:t xml:space="preserve"> </w:t>
      </w:r>
      <w:r>
        <w:t>of</w:t>
      </w:r>
      <w:r>
        <w:rPr>
          <w:spacing w:val="-7"/>
        </w:rPr>
        <w:t xml:space="preserve"> </w:t>
      </w:r>
      <w:r>
        <w:t>boys and 35% of girls in juvenile facilities are Black</w:t>
      </w:r>
      <w:hyperlink w:anchor="_bookmark54" w:history="1">
        <w:r>
          <w:t>.</w:t>
        </w:r>
        <w:r>
          <w:rPr>
            <w:vertAlign w:val="superscript"/>
          </w:rPr>
          <w:t>33</w:t>
        </w:r>
        <w:r>
          <w:rPr>
            <w:spacing w:val="-3"/>
          </w:rPr>
          <w:t xml:space="preserve"> </w:t>
        </w:r>
      </w:hyperlink>
      <w:r>
        <w:t>Another study reported that 20% of all youth in juvenile justice facilities are LGB. Of all LGBTQ and gender non-conforming persons in juvenile justice facilities, 85%</w:t>
      </w:r>
      <w:r>
        <w:rPr>
          <w:spacing w:val="-5"/>
        </w:rPr>
        <w:t xml:space="preserve"> </w:t>
      </w:r>
      <w:r>
        <w:t>are</w:t>
      </w:r>
      <w:r>
        <w:rPr>
          <w:spacing w:val="-2"/>
        </w:rPr>
        <w:t xml:space="preserve"> </w:t>
      </w:r>
      <w:r>
        <w:t>youth</w:t>
      </w:r>
      <w:r>
        <w:rPr>
          <w:spacing w:val="-2"/>
        </w:rPr>
        <w:t xml:space="preserve"> </w:t>
      </w:r>
      <w:r>
        <w:t>of</w:t>
      </w:r>
      <w:r>
        <w:rPr>
          <w:spacing w:val="-2"/>
        </w:rPr>
        <w:t xml:space="preserve"> </w:t>
      </w:r>
      <w:r>
        <w:t>color</w:t>
      </w:r>
      <w:hyperlink w:anchor="_bookmark55" w:history="1">
        <w:r>
          <w:t>.</w:t>
        </w:r>
        <w:r>
          <w:rPr>
            <w:vertAlign w:val="superscript"/>
          </w:rPr>
          <w:t>34</w:t>
        </w:r>
        <w:r>
          <w:rPr>
            <w:spacing w:val="-7"/>
          </w:rPr>
          <w:t xml:space="preserve"> </w:t>
        </w:r>
      </w:hyperlink>
      <w:r>
        <w:t>These</w:t>
      </w:r>
      <w:r>
        <w:rPr>
          <w:spacing w:val="-2"/>
        </w:rPr>
        <w:t xml:space="preserve"> </w:t>
      </w:r>
      <w:r>
        <w:t>studies are</w:t>
      </w:r>
      <w:r>
        <w:rPr>
          <w:spacing w:val="-2"/>
        </w:rPr>
        <w:t xml:space="preserve"> </w:t>
      </w:r>
      <w:r>
        <w:t>pre-pandemic, thu</w:t>
      </w:r>
      <w:r>
        <w:t>s more</w:t>
      </w:r>
      <w:r>
        <w:rPr>
          <w:spacing w:val="-2"/>
        </w:rPr>
        <w:t xml:space="preserve"> </w:t>
      </w:r>
      <w:r>
        <w:t>data</w:t>
      </w:r>
      <w:r>
        <w:rPr>
          <w:spacing w:val="-1"/>
        </w:rPr>
        <w:t xml:space="preserve"> </w:t>
      </w:r>
      <w:r>
        <w:t>is needed to under the</w:t>
      </w:r>
      <w:r>
        <w:rPr>
          <w:spacing w:val="-2"/>
        </w:rPr>
        <w:t xml:space="preserve"> </w:t>
      </w:r>
      <w:r>
        <w:t>impact of COVID on these rates.</w:t>
      </w:r>
    </w:p>
    <w:p w:rsidR="00C76E6D" w:rsidRDefault="00C76E6D">
      <w:pPr>
        <w:pStyle w:val="BodyText"/>
        <w:spacing w:before="4"/>
        <w:rPr>
          <w:sz w:val="25"/>
        </w:rPr>
      </w:pPr>
    </w:p>
    <w:p w:rsidR="00C76E6D" w:rsidRDefault="00913831">
      <w:pPr>
        <w:pStyle w:val="BodyText"/>
        <w:spacing w:line="276" w:lineRule="auto"/>
        <w:ind w:left="478" w:right="474"/>
        <w:jc w:val="both"/>
      </w:pPr>
      <w:r>
        <w:t>Before the pandemic, LGBTQ and youth of color experienced little oversight, inappropriate placement, abuse by other youth, inadequate health care, lack of support services, challenges with</w:t>
      </w:r>
      <w:r>
        <w:t xml:space="preserve"> family visitation, and inappropriate community supervision</w:t>
      </w:r>
      <w:hyperlink w:anchor="_bookmark56" w:history="1">
        <w:r>
          <w:t>.</w:t>
        </w:r>
        <w:r>
          <w:rPr>
            <w:vertAlign w:val="superscript"/>
          </w:rPr>
          <w:t>35</w:t>
        </w:r>
        <w:r>
          <w:t xml:space="preserve"> I</w:t>
        </w:r>
      </w:hyperlink>
      <w:r>
        <w:t>t is likely that these disparate impacts have continued or have been exacerbated during COVID.</w:t>
      </w:r>
    </w:p>
    <w:p w:rsidR="00C76E6D" w:rsidRDefault="00C76E6D">
      <w:pPr>
        <w:pStyle w:val="BodyText"/>
        <w:spacing w:before="4"/>
        <w:rPr>
          <w:sz w:val="25"/>
        </w:rPr>
      </w:pPr>
    </w:p>
    <w:p w:rsidR="00C76E6D" w:rsidRDefault="00913831">
      <w:pPr>
        <w:pStyle w:val="BodyText"/>
        <w:spacing w:line="276" w:lineRule="auto"/>
        <w:ind w:left="479" w:right="476"/>
        <w:jc w:val="both"/>
      </w:pPr>
      <w:r>
        <w:t>The pandemic has brought some additional challenges. For instance</w:t>
      </w:r>
      <w:r>
        <w:t>, some states shut down in-person visitations</w:t>
      </w:r>
      <w:r>
        <w:rPr>
          <w:spacing w:val="-11"/>
        </w:rPr>
        <w:t xml:space="preserve"> </w:t>
      </w:r>
      <w:r>
        <w:t>and</w:t>
      </w:r>
      <w:r>
        <w:rPr>
          <w:spacing w:val="-11"/>
        </w:rPr>
        <w:t xml:space="preserve"> </w:t>
      </w:r>
      <w:r>
        <w:t>transitioned</w:t>
      </w:r>
      <w:r>
        <w:rPr>
          <w:spacing w:val="-11"/>
        </w:rPr>
        <w:t xml:space="preserve"> </w:t>
      </w:r>
      <w:r>
        <w:t>to</w:t>
      </w:r>
      <w:r>
        <w:rPr>
          <w:spacing w:val="-11"/>
        </w:rPr>
        <w:t xml:space="preserve"> </w:t>
      </w:r>
      <w:r>
        <w:t>video</w:t>
      </w:r>
      <w:r>
        <w:rPr>
          <w:spacing w:val="-10"/>
        </w:rPr>
        <w:t xml:space="preserve"> </w:t>
      </w:r>
      <w:r>
        <w:t>visitation.</w:t>
      </w:r>
      <w:r>
        <w:rPr>
          <w:spacing w:val="-11"/>
        </w:rPr>
        <w:t xml:space="preserve"> </w:t>
      </w:r>
      <w:r>
        <w:t>However,</w:t>
      </w:r>
      <w:r>
        <w:rPr>
          <w:spacing w:val="-11"/>
        </w:rPr>
        <w:t xml:space="preserve"> </w:t>
      </w:r>
      <w:r>
        <w:t>inadequate</w:t>
      </w:r>
      <w:r>
        <w:rPr>
          <w:spacing w:val="-11"/>
        </w:rPr>
        <w:t xml:space="preserve"> </w:t>
      </w:r>
      <w:r>
        <w:t>internet</w:t>
      </w:r>
      <w:r>
        <w:rPr>
          <w:spacing w:val="-11"/>
        </w:rPr>
        <w:t xml:space="preserve"> </w:t>
      </w:r>
      <w:r>
        <w:t>access</w:t>
      </w:r>
      <w:r>
        <w:rPr>
          <w:spacing w:val="-11"/>
        </w:rPr>
        <w:t xml:space="preserve"> </w:t>
      </w:r>
      <w:r>
        <w:t>presents</w:t>
      </w:r>
      <w:r>
        <w:rPr>
          <w:spacing w:val="-9"/>
        </w:rPr>
        <w:t xml:space="preserve"> </w:t>
      </w:r>
      <w:r>
        <w:t>a</w:t>
      </w:r>
      <w:r>
        <w:rPr>
          <w:spacing w:val="-11"/>
        </w:rPr>
        <w:t xml:space="preserve"> </w:t>
      </w:r>
      <w:r>
        <w:t>significant barrier</w:t>
      </w:r>
      <w:r>
        <w:rPr>
          <w:spacing w:val="-8"/>
        </w:rPr>
        <w:t xml:space="preserve"> </w:t>
      </w:r>
      <w:r>
        <w:t>to</w:t>
      </w:r>
      <w:r>
        <w:rPr>
          <w:spacing w:val="-8"/>
        </w:rPr>
        <w:t xml:space="preserve"> </w:t>
      </w:r>
      <w:r>
        <w:t>both</w:t>
      </w:r>
      <w:r>
        <w:rPr>
          <w:spacing w:val="-10"/>
        </w:rPr>
        <w:t xml:space="preserve"> </w:t>
      </w:r>
      <w:r>
        <w:t>youth</w:t>
      </w:r>
      <w:r>
        <w:rPr>
          <w:spacing w:val="-9"/>
        </w:rPr>
        <w:t xml:space="preserve"> </w:t>
      </w:r>
      <w:r>
        <w:t>and</w:t>
      </w:r>
      <w:r>
        <w:rPr>
          <w:spacing w:val="-9"/>
        </w:rPr>
        <w:t xml:space="preserve"> </w:t>
      </w:r>
      <w:r>
        <w:t>their</w:t>
      </w:r>
      <w:r>
        <w:rPr>
          <w:spacing w:val="-8"/>
        </w:rPr>
        <w:t xml:space="preserve"> </w:t>
      </w:r>
      <w:r>
        <w:t>families.</w:t>
      </w:r>
      <w:r>
        <w:rPr>
          <w:spacing w:val="-6"/>
        </w:rPr>
        <w:t xml:space="preserve"> </w:t>
      </w:r>
      <w:r>
        <w:t>Ending</w:t>
      </w:r>
      <w:r>
        <w:rPr>
          <w:spacing w:val="-9"/>
        </w:rPr>
        <w:t xml:space="preserve"> </w:t>
      </w:r>
      <w:r>
        <w:t>visitations</w:t>
      </w:r>
      <w:r>
        <w:rPr>
          <w:spacing w:val="-8"/>
        </w:rPr>
        <w:t xml:space="preserve"> </w:t>
      </w:r>
      <w:r>
        <w:t>and</w:t>
      </w:r>
      <w:r>
        <w:rPr>
          <w:spacing w:val="-9"/>
        </w:rPr>
        <w:t xml:space="preserve"> </w:t>
      </w:r>
      <w:r>
        <w:t>inadequate</w:t>
      </w:r>
      <w:r>
        <w:rPr>
          <w:spacing w:val="-9"/>
        </w:rPr>
        <w:t xml:space="preserve"> </w:t>
      </w:r>
      <w:r>
        <w:t>virtual</w:t>
      </w:r>
      <w:r>
        <w:rPr>
          <w:spacing w:val="-10"/>
        </w:rPr>
        <w:t xml:space="preserve"> </w:t>
      </w:r>
      <w:r>
        <w:t>visitations</w:t>
      </w:r>
      <w:r>
        <w:rPr>
          <w:spacing w:val="-7"/>
        </w:rPr>
        <w:t xml:space="preserve"> </w:t>
      </w:r>
      <w:r>
        <w:t>harm</w:t>
      </w:r>
      <w:r>
        <w:rPr>
          <w:spacing w:val="-10"/>
        </w:rPr>
        <w:t xml:space="preserve"> </w:t>
      </w:r>
      <w:r>
        <w:t>youth’s connections with their families and support systems outside of the institutional walls.</w:t>
      </w:r>
    </w:p>
    <w:p w:rsidR="00C76E6D" w:rsidRDefault="00C76E6D">
      <w:pPr>
        <w:pStyle w:val="BodyText"/>
        <w:spacing w:before="2"/>
        <w:rPr>
          <w:sz w:val="25"/>
        </w:rPr>
      </w:pPr>
    </w:p>
    <w:p w:rsidR="00C76E6D" w:rsidRDefault="00913831">
      <w:pPr>
        <w:pStyle w:val="BodyText"/>
        <w:spacing w:line="276" w:lineRule="auto"/>
        <w:ind w:left="479" w:right="474"/>
        <w:jc w:val="both"/>
      </w:pPr>
      <w:r>
        <w:t>Many institutions have also reduced or disrupted programming. In juvenile institutions, programming seeks to rehabilitate juveniles, and without this programmi</w:t>
      </w:r>
      <w:r>
        <w:t>ng, these institutions begin to look more like adult institutions, which are primarily built around punishment. Generally, youth can learn, sleep, recreate, and interact with other incarcerated youth. However, youth suspected of infection often need to</w:t>
      </w:r>
      <w:r>
        <w:rPr>
          <w:spacing w:val="-3"/>
        </w:rPr>
        <w:t xml:space="preserve"> </w:t>
      </w:r>
      <w:r>
        <w:t>iso</w:t>
      </w:r>
      <w:r>
        <w:t>late</w:t>
      </w:r>
      <w:r>
        <w:rPr>
          <w:spacing w:val="-4"/>
        </w:rPr>
        <w:t xml:space="preserve"> </w:t>
      </w:r>
      <w:r>
        <w:t>pending</w:t>
      </w:r>
      <w:r>
        <w:rPr>
          <w:spacing w:val="-3"/>
        </w:rPr>
        <w:t xml:space="preserve"> </w:t>
      </w:r>
      <w:r>
        <w:t>diagnosis</w:t>
      </w:r>
      <w:r>
        <w:rPr>
          <w:spacing w:val="-4"/>
        </w:rPr>
        <w:t xml:space="preserve"> </w:t>
      </w:r>
      <w:r>
        <w:t>or</w:t>
      </w:r>
      <w:r>
        <w:rPr>
          <w:spacing w:val="-4"/>
        </w:rPr>
        <w:t xml:space="preserve"> </w:t>
      </w:r>
      <w:r>
        <w:t>test</w:t>
      </w:r>
      <w:r>
        <w:rPr>
          <w:spacing w:val="-4"/>
        </w:rPr>
        <w:t xml:space="preserve"> </w:t>
      </w:r>
      <w:r>
        <w:t>results.</w:t>
      </w:r>
      <w:r>
        <w:rPr>
          <w:spacing w:val="-4"/>
        </w:rPr>
        <w:t xml:space="preserve"> </w:t>
      </w:r>
      <w:r>
        <w:t>Medical</w:t>
      </w:r>
      <w:r>
        <w:rPr>
          <w:spacing w:val="-3"/>
        </w:rPr>
        <w:t xml:space="preserve"> </w:t>
      </w:r>
      <w:r>
        <w:t>confinement</w:t>
      </w:r>
      <w:r>
        <w:rPr>
          <w:spacing w:val="-2"/>
        </w:rPr>
        <w:t xml:space="preserve"> </w:t>
      </w:r>
      <w:r>
        <w:t>mirrors</w:t>
      </w:r>
      <w:r>
        <w:rPr>
          <w:spacing w:val="-4"/>
        </w:rPr>
        <w:t xml:space="preserve"> </w:t>
      </w:r>
      <w:r>
        <w:t>solitary</w:t>
      </w:r>
      <w:r>
        <w:rPr>
          <w:spacing w:val="-3"/>
        </w:rPr>
        <w:t xml:space="preserve"> </w:t>
      </w:r>
      <w:r>
        <w:t>confinement,</w:t>
      </w:r>
      <w:r>
        <w:rPr>
          <w:spacing w:val="-4"/>
        </w:rPr>
        <w:t xml:space="preserve"> </w:t>
      </w:r>
      <w:r>
        <w:t>which</w:t>
      </w:r>
      <w:r>
        <w:rPr>
          <w:spacing w:val="-4"/>
        </w:rPr>
        <w:t xml:space="preserve"> </w:t>
      </w:r>
      <w:r>
        <w:t>is</w:t>
      </w:r>
      <w:r>
        <w:rPr>
          <w:spacing w:val="-3"/>
        </w:rPr>
        <w:t xml:space="preserve"> </w:t>
      </w:r>
      <w:r>
        <w:t>a cruel, inhumane, and degrading form of treatment and violates international human rights standards</w:t>
      </w:r>
      <w:hyperlink w:anchor="_bookmark57" w:history="1">
        <w:r>
          <w:t>.</w:t>
        </w:r>
        <w:r>
          <w:rPr>
            <w:vertAlign w:val="superscript"/>
          </w:rPr>
          <w:t>36</w:t>
        </w:r>
      </w:hyperlink>
      <w:r>
        <w:t xml:space="preserve"> The pandemic led to un</w:t>
      </w:r>
      <w:r>
        <w:t>derstaffing in carceral facilities. Inadequate staffing threatens youth’s safety – facilities are often sites of sexual abuse and during the pandemic, youth may be incapable of preventing it or less likely to report it</w:t>
      </w:r>
      <w:hyperlink w:anchor="_bookmark58" w:history="1">
        <w:r>
          <w:t>.</w:t>
        </w:r>
        <w:r>
          <w:rPr>
            <w:vertAlign w:val="superscript"/>
          </w:rPr>
          <w:t>37</w:t>
        </w:r>
      </w:hyperlink>
    </w:p>
    <w:p w:rsidR="00C76E6D" w:rsidRDefault="00C76E6D">
      <w:pPr>
        <w:spacing w:line="276" w:lineRule="auto"/>
        <w:jc w:val="both"/>
        <w:sectPr w:rsidR="00C76E6D">
          <w:pgSz w:w="12240" w:h="15840"/>
          <w:pgMar w:top="980" w:right="960" w:bottom="920" w:left="960" w:header="776" w:footer="720" w:gutter="0"/>
          <w:cols w:space="720"/>
        </w:sectPr>
      </w:pPr>
    </w:p>
    <w:p w:rsidR="00C76E6D" w:rsidRDefault="00C76E6D">
      <w:pPr>
        <w:pStyle w:val="BodyText"/>
        <w:rPr>
          <w:sz w:val="20"/>
        </w:rPr>
      </w:pPr>
    </w:p>
    <w:p w:rsidR="00C76E6D" w:rsidRDefault="00913831">
      <w:pPr>
        <w:pStyle w:val="BodyText"/>
        <w:spacing w:before="180" w:line="276" w:lineRule="auto"/>
        <w:ind w:left="478" w:right="474"/>
        <w:jc w:val="both"/>
      </w:pPr>
      <w:r>
        <w:t>In</w:t>
      </w:r>
      <w:r>
        <w:rPr>
          <w:spacing w:val="-8"/>
        </w:rPr>
        <w:t xml:space="preserve"> </w:t>
      </w:r>
      <w:r>
        <w:t>Massachusetts,</w:t>
      </w:r>
      <w:r>
        <w:rPr>
          <w:spacing w:val="-7"/>
        </w:rPr>
        <w:t xml:space="preserve"> </w:t>
      </w:r>
      <w:r>
        <w:t>in</w:t>
      </w:r>
      <w:r>
        <w:rPr>
          <w:spacing w:val="-8"/>
        </w:rPr>
        <w:t xml:space="preserve"> </w:t>
      </w:r>
      <w:r>
        <w:t>April</w:t>
      </w:r>
      <w:r>
        <w:rPr>
          <w:spacing w:val="-5"/>
        </w:rPr>
        <w:t xml:space="preserve"> </w:t>
      </w:r>
      <w:r>
        <w:t>2020,</w:t>
      </w:r>
      <w:r>
        <w:rPr>
          <w:spacing w:val="-7"/>
        </w:rPr>
        <w:t xml:space="preserve"> </w:t>
      </w:r>
      <w:r>
        <w:t>the</w:t>
      </w:r>
      <w:r>
        <w:rPr>
          <w:spacing w:val="-6"/>
        </w:rPr>
        <w:t xml:space="preserve"> </w:t>
      </w:r>
      <w:r>
        <w:t>Massachusetts</w:t>
      </w:r>
      <w:r>
        <w:rPr>
          <w:spacing w:val="-6"/>
        </w:rPr>
        <w:t xml:space="preserve"> </w:t>
      </w:r>
      <w:r>
        <w:t>Juvenile</w:t>
      </w:r>
      <w:r>
        <w:rPr>
          <w:spacing w:val="-8"/>
        </w:rPr>
        <w:t xml:space="preserve"> </w:t>
      </w:r>
      <w:r>
        <w:t>Court</w:t>
      </w:r>
      <w:r>
        <w:rPr>
          <w:spacing w:val="-7"/>
        </w:rPr>
        <w:t xml:space="preserve"> </w:t>
      </w:r>
      <w:r>
        <w:t>issued</w:t>
      </w:r>
      <w:r>
        <w:rPr>
          <w:spacing w:val="-8"/>
        </w:rPr>
        <w:t xml:space="preserve"> </w:t>
      </w:r>
      <w:r>
        <w:t>a</w:t>
      </w:r>
      <w:r>
        <w:rPr>
          <w:spacing w:val="-7"/>
        </w:rPr>
        <w:t xml:space="preserve"> </w:t>
      </w:r>
      <w:r>
        <w:t>standing</w:t>
      </w:r>
      <w:r>
        <w:rPr>
          <w:spacing w:val="-8"/>
        </w:rPr>
        <w:t xml:space="preserve"> </w:t>
      </w:r>
      <w:r>
        <w:t>order</w:t>
      </w:r>
      <w:r>
        <w:rPr>
          <w:spacing w:val="-6"/>
        </w:rPr>
        <w:t xml:space="preserve"> </w:t>
      </w:r>
      <w:r>
        <w:t>recommending the release of youth awaiting trial or in probation violation hearings for nonviolent and less serious offenses. Within a month of the standing order, MA youth detention was reduced by more than 20%</w:t>
      </w:r>
      <w:hyperlink w:anchor="_bookmark59" w:history="1">
        <w:r>
          <w:t>.</w:t>
        </w:r>
        <w:r>
          <w:rPr>
            <w:vertAlign w:val="superscript"/>
          </w:rPr>
          <w:t>38</w:t>
        </w:r>
      </w:hyperlink>
      <w:r>
        <w:t xml:space="preserve"> While redu</w:t>
      </w:r>
      <w:r>
        <w:t>cing the number of young people incarcerated is important, Massachusetts has one of the worst</w:t>
      </w:r>
      <w:r>
        <w:rPr>
          <w:spacing w:val="-10"/>
        </w:rPr>
        <w:t xml:space="preserve"> </w:t>
      </w:r>
      <w:r>
        <w:t>racial</w:t>
      </w:r>
      <w:r>
        <w:rPr>
          <w:spacing w:val="-8"/>
        </w:rPr>
        <w:t xml:space="preserve"> </w:t>
      </w:r>
      <w:r>
        <w:t>disparities</w:t>
      </w:r>
      <w:r>
        <w:rPr>
          <w:spacing w:val="-8"/>
        </w:rPr>
        <w:t xml:space="preserve"> </w:t>
      </w:r>
      <w:r>
        <w:t>for</w:t>
      </w:r>
      <w:r>
        <w:rPr>
          <w:spacing w:val="-6"/>
        </w:rPr>
        <w:t xml:space="preserve"> </w:t>
      </w:r>
      <w:r>
        <w:t>youth</w:t>
      </w:r>
      <w:r>
        <w:rPr>
          <w:spacing w:val="-8"/>
        </w:rPr>
        <w:t xml:space="preserve"> </w:t>
      </w:r>
      <w:r>
        <w:t>incarceration</w:t>
      </w:r>
      <w:r>
        <w:rPr>
          <w:spacing w:val="-9"/>
        </w:rPr>
        <w:t xml:space="preserve"> </w:t>
      </w:r>
      <w:r>
        <w:t>in</w:t>
      </w:r>
      <w:r>
        <w:rPr>
          <w:spacing w:val="-7"/>
        </w:rPr>
        <w:t xml:space="preserve"> </w:t>
      </w:r>
      <w:r>
        <w:t>the</w:t>
      </w:r>
      <w:r>
        <w:rPr>
          <w:spacing w:val="-5"/>
        </w:rPr>
        <w:t xml:space="preserve"> </w:t>
      </w:r>
      <w:r>
        <w:t>country.</w:t>
      </w:r>
      <w:r>
        <w:rPr>
          <w:spacing w:val="-8"/>
        </w:rPr>
        <w:t xml:space="preserve"> </w:t>
      </w:r>
      <w:r>
        <w:t>Additionally,</w:t>
      </w:r>
      <w:r>
        <w:rPr>
          <w:spacing w:val="-9"/>
        </w:rPr>
        <w:t xml:space="preserve"> </w:t>
      </w:r>
      <w:r>
        <w:t>LGBTQ</w:t>
      </w:r>
      <w:r>
        <w:rPr>
          <w:spacing w:val="-9"/>
        </w:rPr>
        <w:t xml:space="preserve"> </w:t>
      </w:r>
      <w:r>
        <w:t>youth,</w:t>
      </w:r>
      <w:r>
        <w:rPr>
          <w:spacing w:val="-7"/>
        </w:rPr>
        <w:t xml:space="preserve"> </w:t>
      </w:r>
      <w:r>
        <w:t>particularly</w:t>
      </w:r>
      <w:r>
        <w:rPr>
          <w:spacing w:val="-7"/>
        </w:rPr>
        <w:t xml:space="preserve"> </w:t>
      </w:r>
      <w:r>
        <w:t>girls and</w:t>
      </w:r>
      <w:r>
        <w:rPr>
          <w:spacing w:val="-9"/>
        </w:rPr>
        <w:t xml:space="preserve"> </w:t>
      </w:r>
      <w:r>
        <w:t>LGBTQ</w:t>
      </w:r>
      <w:r>
        <w:rPr>
          <w:spacing w:val="-4"/>
        </w:rPr>
        <w:t xml:space="preserve"> </w:t>
      </w:r>
      <w:r>
        <w:t>youth</w:t>
      </w:r>
      <w:r>
        <w:rPr>
          <w:spacing w:val="-5"/>
        </w:rPr>
        <w:t xml:space="preserve"> </w:t>
      </w:r>
      <w:r>
        <w:t>of</w:t>
      </w:r>
      <w:r>
        <w:rPr>
          <w:spacing w:val="-4"/>
        </w:rPr>
        <w:t xml:space="preserve"> </w:t>
      </w:r>
      <w:r>
        <w:t>color,</w:t>
      </w:r>
      <w:r>
        <w:rPr>
          <w:spacing w:val="-5"/>
        </w:rPr>
        <w:t xml:space="preserve"> </w:t>
      </w:r>
      <w:r>
        <w:t>are</w:t>
      </w:r>
      <w:r>
        <w:rPr>
          <w:spacing w:val="-5"/>
        </w:rPr>
        <w:t xml:space="preserve"> </w:t>
      </w:r>
      <w:r>
        <w:t>overrepresented</w:t>
      </w:r>
      <w:r>
        <w:rPr>
          <w:spacing w:val="-4"/>
        </w:rPr>
        <w:t xml:space="preserve"> </w:t>
      </w:r>
      <w:r>
        <w:t>in</w:t>
      </w:r>
      <w:r>
        <w:rPr>
          <w:spacing w:val="-5"/>
        </w:rPr>
        <w:t xml:space="preserve"> </w:t>
      </w:r>
      <w:r>
        <w:t>the</w:t>
      </w:r>
      <w:r>
        <w:rPr>
          <w:spacing w:val="-5"/>
        </w:rPr>
        <w:t xml:space="preserve"> </w:t>
      </w:r>
      <w:r>
        <w:t>juve</w:t>
      </w:r>
      <w:r>
        <w:t>nile</w:t>
      </w:r>
      <w:r>
        <w:rPr>
          <w:spacing w:val="-5"/>
        </w:rPr>
        <w:t xml:space="preserve"> </w:t>
      </w:r>
      <w:r>
        <w:t>justice</w:t>
      </w:r>
      <w:r>
        <w:rPr>
          <w:spacing w:val="-4"/>
        </w:rPr>
        <w:t xml:space="preserve"> </w:t>
      </w:r>
      <w:r>
        <w:t>system</w:t>
      </w:r>
      <w:hyperlink w:anchor="_bookmark60" w:history="1">
        <w:r>
          <w:t>.</w:t>
        </w:r>
        <w:r>
          <w:rPr>
            <w:vertAlign w:val="superscript"/>
          </w:rPr>
          <w:t>39</w:t>
        </w:r>
        <w:r>
          <w:rPr>
            <w:spacing w:val="-8"/>
          </w:rPr>
          <w:t xml:space="preserve"> </w:t>
        </w:r>
      </w:hyperlink>
      <w:r>
        <w:t>Carceral</w:t>
      </w:r>
      <w:r>
        <w:rPr>
          <w:spacing w:val="-4"/>
        </w:rPr>
        <w:t xml:space="preserve"> </w:t>
      </w:r>
      <w:r>
        <w:t>institutions</w:t>
      </w:r>
      <w:r>
        <w:rPr>
          <w:spacing w:val="-4"/>
        </w:rPr>
        <w:t xml:space="preserve"> </w:t>
      </w:r>
      <w:r>
        <w:t>have proved</w:t>
      </w:r>
      <w:r>
        <w:rPr>
          <w:spacing w:val="-6"/>
        </w:rPr>
        <w:t xml:space="preserve"> </w:t>
      </w:r>
      <w:r>
        <w:t>to</w:t>
      </w:r>
      <w:r>
        <w:rPr>
          <w:spacing w:val="-5"/>
        </w:rPr>
        <w:t xml:space="preserve"> </w:t>
      </w:r>
      <w:r>
        <w:t>be</w:t>
      </w:r>
      <w:r>
        <w:rPr>
          <w:spacing w:val="-3"/>
        </w:rPr>
        <w:t xml:space="preserve"> </w:t>
      </w:r>
      <w:r>
        <w:t>hot</w:t>
      </w:r>
      <w:r>
        <w:rPr>
          <w:spacing w:val="-6"/>
        </w:rPr>
        <w:t xml:space="preserve"> </w:t>
      </w:r>
      <w:r>
        <w:t>spots</w:t>
      </w:r>
      <w:r>
        <w:rPr>
          <w:spacing w:val="-5"/>
        </w:rPr>
        <w:t xml:space="preserve"> </w:t>
      </w:r>
      <w:r>
        <w:t>for</w:t>
      </w:r>
      <w:r>
        <w:rPr>
          <w:spacing w:val="-4"/>
        </w:rPr>
        <w:t xml:space="preserve"> </w:t>
      </w:r>
      <w:r>
        <w:t>virus</w:t>
      </w:r>
      <w:r>
        <w:rPr>
          <w:spacing w:val="-5"/>
        </w:rPr>
        <w:t xml:space="preserve"> </w:t>
      </w:r>
      <w:r>
        <w:t>spread</w:t>
      </w:r>
      <w:r>
        <w:rPr>
          <w:spacing w:val="-4"/>
        </w:rPr>
        <w:t xml:space="preserve"> </w:t>
      </w:r>
      <w:r>
        <w:t>and</w:t>
      </w:r>
      <w:r>
        <w:rPr>
          <w:spacing w:val="-6"/>
        </w:rPr>
        <w:t xml:space="preserve"> </w:t>
      </w:r>
      <w:r>
        <w:t>have</w:t>
      </w:r>
      <w:r>
        <w:rPr>
          <w:spacing w:val="-4"/>
        </w:rPr>
        <w:t xml:space="preserve"> </w:t>
      </w:r>
      <w:r>
        <w:t>negatively</w:t>
      </w:r>
      <w:r>
        <w:rPr>
          <w:spacing w:val="-5"/>
        </w:rPr>
        <w:t xml:space="preserve"> </w:t>
      </w:r>
      <w:r>
        <w:t>impacted</w:t>
      </w:r>
      <w:r>
        <w:rPr>
          <w:spacing w:val="-4"/>
        </w:rPr>
        <w:t xml:space="preserve"> </w:t>
      </w:r>
      <w:r>
        <w:t>incarcerated</w:t>
      </w:r>
      <w:r>
        <w:rPr>
          <w:spacing w:val="-4"/>
        </w:rPr>
        <w:t xml:space="preserve"> </w:t>
      </w:r>
      <w:r>
        <w:t>persons</w:t>
      </w:r>
      <w:r>
        <w:rPr>
          <w:spacing w:val="-5"/>
        </w:rPr>
        <w:t xml:space="preserve"> </w:t>
      </w:r>
      <w:r>
        <w:t>in</w:t>
      </w:r>
      <w:r>
        <w:rPr>
          <w:spacing w:val="-6"/>
        </w:rPr>
        <w:t xml:space="preserve"> </w:t>
      </w:r>
      <w:r>
        <w:t>a</w:t>
      </w:r>
      <w:r>
        <w:rPr>
          <w:spacing w:val="-5"/>
        </w:rPr>
        <w:t xml:space="preserve"> </w:t>
      </w:r>
      <w:r>
        <w:t>myriad</w:t>
      </w:r>
      <w:r>
        <w:rPr>
          <w:spacing w:val="-5"/>
        </w:rPr>
        <w:t xml:space="preserve"> </w:t>
      </w:r>
      <w:r>
        <w:t>of ways, as already described above.</w:t>
      </w:r>
    </w:p>
    <w:p w:rsidR="00C76E6D" w:rsidRDefault="00C76E6D">
      <w:pPr>
        <w:pStyle w:val="BodyText"/>
        <w:spacing w:before="2"/>
        <w:rPr>
          <w:sz w:val="25"/>
        </w:rPr>
      </w:pPr>
    </w:p>
    <w:p w:rsidR="00C76E6D" w:rsidRDefault="00913831">
      <w:pPr>
        <w:pStyle w:val="BodyText"/>
        <w:spacing w:line="276" w:lineRule="auto"/>
        <w:ind w:left="478" w:right="475"/>
        <w:jc w:val="both"/>
      </w:pPr>
      <w:r>
        <w:t>Unlike many other states, Massachusetts importantly included incarcerated persons and staff in Phase 1 of</w:t>
      </w:r>
      <w:r>
        <w:rPr>
          <w:spacing w:val="-9"/>
        </w:rPr>
        <w:t xml:space="preserve"> </w:t>
      </w:r>
      <w:r>
        <w:t>the</w:t>
      </w:r>
      <w:r>
        <w:rPr>
          <w:spacing w:val="-3"/>
        </w:rPr>
        <w:t xml:space="preserve"> </w:t>
      </w:r>
      <w:r>
        <w:t>vaccination</w:t>
      </w:r>
      <w:r>
        <w:rPr>
          <w:spacing w:val="-4"/>
        </w:rPr>
        <w:t xml:space="preserve"> </w:t>
      </w:r>
      <w:r>
        <w:t>rollout,</w:t>
      </w:r>
      <w:r>
        <w:rPr>
          <w:spacing w:val="-2"/>
        </w:rPr>
        <w:t xml:space="preserve"> </w:t>
      </w:r>
      <w:r>
        <w:t>considering</w:t>
      </w:r>
      <w:r>
        <w:rPr>
          <w:spacing w:val="-2"/>
        </w:rPr>
        <w:t xml:space="preserve"> </w:t>
      </w:r>
      <w:r>
        <w:t>the</w:t>
      </w:r>
      <w:r>
        <w:rPr>
          <w:spacing w:val="-4"/>
        </w:rPr>
        <w:t xml:space="preserve"> </w:t>
      </w:r>
      <w:r>
        <w:t>inherent</w:t>
      </w:r>
      <w:r>
        <w:rPr>
          <w:spacing w:val="-4"/>
        </w:rPr>
        <w:t xml:space="preserve"> </w:t>
      </w:r>
      <w:r>
        <w:t>risks</w:t>
      </w:r>
      <w:r>
        <w:rPr>
          <w:spacing w:val="-4"/>
        </w:rPr>
        <w:t xml:space="preserve"> </w:t>
      </w:r>
      <w:r>
        <w:t>of</w:t>
      </w:r>
      <w:r>
        <w:rPr>
          <w:spacing w:val="-4"/>
        </w:rPr>
        <w:t xml:space="preserve"> </w:t>
      </w:r>
      <w:r>
        <w:t>living</w:t>
      </w:r>
      <w:r>
        <w:rPr>
          <w:spacing w:val="-4"/>
        </w:rPr>
        <w:t xml:space="preserve"> </w:t>
      </w:r>
      <w:r>
        <w:t>in</w:t>
      </w:r>
      <w:r>
        <w:rPr>
          <w:spacing w:val="-4"/>
        </w:rPr>
        <w:t xml:space="preserve"> </w:t>
      </w:r>
      <w:r>
        <w:t>close</w:t>
      </w:r>
      <w:r>
        <w:rPr>
          <w:spacing w:val="-4"/>
        </w:rPr>
        <w:t xml:space="preserve"> </w:t>
      </w:r>
      <w:r>
        <w:t>quarters</w:t>
      </w:r>
      <w:hyperlink w:anchor="_bookmark61" w:history="1">
        <w:r>
          <w:t>.</w:t>
        </w:r>
        <w:r>
          <w:rPr>
            <w:vertAlign w:val="superscript"/>
          </w:rPr>
          <w:t>40</w:t>
        </w:r>
        <w:r>
          <w:rPr>
            <w:spacing w:val="-9"/>
          </w:rPr>
          <w:t xml:space="preserve"> </w:t>
        </w:r>
      </w:hyperlink>
      <w:r>
        <w:t>However,</w:t>
      </w:r>
      <w:r>
        <w:rPr>
          <w:spacing w:val="-4"/>
        </w:rPr>
        <w:t xml:space="preserve"> </w:t>
      </w:r>
      <w:r>
        <w:t>there</w:t>
      </w:r>
      <w:r>
        <w:rPr>
          <w:spacing w:val="-4"/>
        </w:rPr>
        <w:t xml:space="preserve"> </w:t>
      </w:r>
      <w:r>
        <w:t>is</w:t>
      </w:r>
      <w:r>
        <w:rPr>
          <w:spacing w:val="-2"/>
        </w:rPr>
        <w:t xml:space="preserve"> </w:t>
      </w:r>
      <w:r>
        <w:t>no data</w:t>
      </w:r>
      <w:r>
        <w:rPr>
          <w:spacing w:val="-13"/>
        </w:rPr>
        <w:t xml:space="preserve"> </w:t>
      </w:r>
      <w:r>
        <w:t>on</w:t>
      </w:r>
      <w:r>
        <w:rPr>
          <w:spacing w:val="-12"/>
        </w:rPr>
        <w:t xml:space="preserve"> </w:t>
      </w:r>
      <w:r>
        <w:t>the</w:t>
      </w:r>
      <w:r>
        <w:rPr>
          <w:spacing w:val="-13"/>
        </w:rPr>
        <w:t xml:space="preserve"> </w:t>
      </w:r>
      <w:r>
        <w:t>distribution</w:t>
      </w:r>
      <w:r>
        <w:rPr>
          <w:spacing w:val="-12"/>
        </w:rPr>
        <w:t xml:space="preserve"> </w:t>
      </w:r>
      <w:r>
        <w:t>of</w:t>
      </w:r>
      <w:r>
        <w:rPr>
          <w:spacing w:val="-13"/>
        </w:rPr>
        <w:t xml:space="preserve"> </w:t>
      </w:r>
      <w:r>
        <w:t>boosters</w:t>
      </w:r>
      <w:r>
        <w:rPr>
          <w:spacing w:val="-12"/>
        </w:rPr>
        <w:t xml:space="preserve"> </w:t>
      </w:r>
      <w:r>
        <w:t>in</w:t>
      </w:r>
      <w:r>
        <w:rPr>
          <w:spacing w:val="-13"/>
        </w:rPr>
        <w:t xml:space="preserve"> </w:t>
      </w:r>
      <w:r>
        <w:t>the</w:t>
      </w:r>
      <w:r>
        <w:rPr>
          <w:spacing w:val="-12"/>
        </w:rPr>
        <w:t xml:space="preserve"> </w:t>
      </w:r>
      <w:r>
        <w:t>carceral</w:t>
      </w:r>
      <w:r>
        <w:rPr>
          <w:spacing w:val="-12"/>
        </w:rPr>
        <w:t xml:space="preserve"> </w:t>
      </w:r>
      <w:r>
        <w:t>system.</w:t>
      </w:r>
      <w:r>
        <w:rPr>
          <w:spacing w:val="-13"/>
        </w:rPr>
        <w:t xml:space="preserve"> </w:t>
      </w:r>
      <w:r>
        <w:t>LGBTQ</w:t>
      </w:r>
      <w:r>
        <w:rPr>
          <w:spacing w:val="-12"/>
        </w:rPr>
        <w:t xml:space="preserve"> </w:t>
      </w:r>
      <w:r>
        <w:t>youth</w:t>
      </w:r>
      <w:r>
        <w:rPr>
          <w:spacing w:val="-13"/>
        </w:rPr>
        <w:t xml:space="preserve"> </w:t>
      </w:r>
      <w:r>
        <w:t>in</w:t>
      </w:r>
      <w:r>
        <w:rPr>
          <w:spacing w:val="-12"/>
        </w:rPr>
        <w:t xml:space="preserve"> </w:t>
      </w:r>
      <w:r>
        <w:t>Massachusetts</w:t>
      </w:r>
      <w:r>
        <w:rPr>
          <w:spacing w:val="-13"/>
        </w:rPr>
        <w:t xml:space="preserve"> </w:t>
      </w:r>
      <w:r>
        <w:t>prisons,</w:t>
      </w:r>
      <w:r>
        <w:rPr>
          <w:spacing w:val="-12"/>
        </w:rPr>
        <w:t xml:space="preserve"> </w:t>
      </w:r>
      <w:r>
        <w:t>despite potential</w:t>
      </w:r>
      <w:r>
        <w:rPr>
          <w:spacing w:val="-6"/>
        </w:rPr>
        <w:t xml:space="preserve"> </w:t>
      </w:r>
      <w:r>
        <w:t>vaccinations,</w:t>
      </w:r>
      <w:r>
        <w:rPr>
          <w:spacing w:val="-6"/>
        </w:rPr>
        <w:t xml:space="preserve"> </w:t>
      </w:r>
      <w:r>
        <w:t>continue</w:t>
      </w:r>
      <w:r>
        <w:rPr>
          <w:spacing w:val="-8"/>
        </w:rPr>
        <w:t xml:space="preserve"> </w:t>
      </w:r>
      <w:r>
        <w:t>to</w:t>
      </w:r>
      <w:r>
        <w:rPr>
          <w:spacing w:val="-6"/>
        </w:rPr>
        <w:t xml:space="preserve"> </w:t>
      </w:r>
      <w:r>
        <w:t>be</w:t>
      </w:r>
      <w:r>
        <w:rPr>
          <w:spacing w:val="-5"/>
        </w:rPr>
        <w:t xml:space="preserve"> </w:t>
      </w:r>
      <w:r>
        <w:t>at</w:t>
      </w:r>
      <w:r>
        <w:rPr>
          <w:spacing w:val="-9"/>
        </w:rPr>
        <w:t xml:space="preserve"> </w:t>
      </w:r>
      <w:r>
        <w:t>risk</w:t>
      </w:r>
      <w:r>
        <w:rPr>
          <w:spacing w:val="-8"/>
        </w:rPr>
        <w:t xml:space="preserve"> </w:t>
      </w:r>
      <w:r>
        <w:t>of</w:t>
      </w:r>
      <w:r>
        <w:rPr>
          <w:spacing w:val="-7"/>
        </w:rPr>
        <w:t xml:space="preserve"> </w:t>
      </w:r>
      <w:r>
        <w:t>“breakthrough”</w:t>
      </w:r>
      <w:r>
        <w:rPr>
          <w:spacing w:val="-5"/>
        </w:rPr>
        <w:t xml:space="preserve"> </w:t>
      </w:r>
      <w:r>
        <w:t>cases</w:t>
      </w:r>
      <w:r>
        <w:rPr>
          <w:spacing w:val="-7"/>
        </w:rPr>
        <w:t xml:space="preserve"> </w:t>
      </w:r>
      <w:r>
        <w:t>and</w:t>
      </w:r>
      <w:r>
        <w:rPr>
          <w:spacing w:val="-9"/>
        </w:rPr>
        <w:t xml:space="preserve"> </w:t>
      </w:r>
      <w:r>
        <w:t>inadequate</w:t>
      </w:r>
      <w:r>
        <w:rPr>
          <w:spacing w:val="-8"/>
        </w:rPr>
        <w:t xml:space="preserve"> </w:t>
      </w:r>
      <w:r>
        <w:t>services</w:t>
      </w:r>
      <w:r>
        <w:rPr>
          <w:spacing w:val="-7"/>
        </w:rPr>
        <w:t xml:space="preserve"> </w:t>
      </w:r>
      <w:r>
        <w:t>because</w:t>
      </w:r>
      <w:r>
        <w:rPr>
          <w:spacing w:val="-8"/>
        </w:rPr>
        <w:t xml:space="preserve"> </w:t>
      </w:r>
      <w:r>
        <w:t>of the pandemic.</w:t>
      </w:r>
    </w:p>
    <w:p w:rsidR="00C76E6D" w:rsidRDefault="00C76E6D">
      <w:pPr>
        <w:pStyle w:val="BodyText"/>
        <w:spacing w:before="6"/>
        <w:rPr>
          <w:sz w:val="25"/>
        </w:rPr>
      </w:pPr>
    </w:p>
    <w:p w:rsidR="00C76E6D" w:rsidRDefault="00913831">
      <w:pPr>
        <w:pStyle w:val="Heading6"/>
        <w:numPr>
          <w:ilvl w:val="0"/>
          <w:numId w:val="52"/>
        </w:numPr>
        <w:tabs>
          <w:tab w:val="left" w:pos="699"/>
        </w:tabs>
      </w:pPr>
      <w:bookmarkStart w:id="54" w:name="7._Impact_on_Communities_of_Color"/>
      <w:bookmarkEnd w:id="54"/>
      <w:r>
        <w:rPr>
          <w:w w:val="95"/>
        </w:rPr>
        <w:t>Impact</w:t>
      </w:r>
      <w:r>
        <w:rPr>
          <w:spacing w:val="11"/>
        </w:rPr>
        <w:t xml:space="preserve"> </w:t>
      </w:r>
      <w:r>
        <w:rPr>
          <w:w w:val="95"/>
        </w:rPr>
        <w:t>on</w:t>
      </w:r>
      <w:r>
        <w:rPr>
          <w:spacing w:val="15"/>
        </w:rPr>
        <w:t xml:space="preserve"> </w:t>
      </w:r>
      <w:r>
        <w:rPr>
          <w:w w:val="95"/>
        </w:rPr>
        <w:t>Communities</w:t>
      </w:r>
      <w:r>
        <w:rPr>
          <w:spacing w:val="14"/>
        </w:rPr>
        <w:t xml:space="preserve"> </w:t>
      </w:r>
      <w:r>
        <w:rPr>
          <w:w w:val="95"/>
        </w:rPr>
        <w:t>of</w:t>
      </w:r>
      <w:r>
        <w:rPr>
          <w:spacing w:val="13"/>
        </w:rPr>
        <w:t xml:space="preserve"> </w:t>
      </w:r>
      <w:r>
        <w:rPr>
          <w:spacing w:val="-4"/>
          <w:w w:val="95"/>
        </w:rPr>
        <w:t>Color</w:t>
      </w:r>
    </w:p>
    <w:p w:rsidR="00C76E6D" w:rsidRDefault="00C76E6D">
      <w:pPr>
        <w:pStyle w:val="BodyText"/>
        <w:spacing w:before="5"/>
        <w:rPr>
          <w:b/>
          <w:sz w:val="28"/>
        </w:rPr>
      </w:pPr>
    </w:p>
    <w:p w:rsidR="00C76E6D" w:rsidRDefault="00913831">
      <w:pPr>
        <w:pStyle w:val="BodyText"/>
        <w:spacing w:line="276" w:lineRule="auto"/>
        <w:ind w:left="478" w:right="473" w:hanging="1"/>
        <w:jc w:val="both"/>
      </w:pPr>
      <w:r>
        <w:t>The pandemic</w:t>
      </w:r>
      <w:r>
        <w:rPr>
          <w:spacing w:val="-2"/>
        </w:rPr>
        <w:t xml:space="preserve"> </w:t>
      </w:r>
      <w:r>
        <w:t>has</w:t>
      </w:r>
      <w:r>
        <w:rPr>
          <w:spacing w:val="-1"/>
        </w:rPr>
        <w:t xml:space="preserve"> </w:t>
      </w:r>
      <w:r>
        <w:t>disparately</w:t>
      </w:r>
      <w:r>
        <w:rPr>
          <w:spacing w:val="-1"/>
        </w:rPr>
        <w:t xml:space="preserve"> </w:t>
      </w:r>
      <w:r>
        <w:t>impacted communities of</w:t>
      </w:r>
      <w:r>
        <w:rPr>
          <w:spacing w:val="-2"/>
        </w:rPr>
        <w:t xml:space="preserve"> </w:t>
      </w:r>
      <w:r>
        <w:t>color</w:t>
      </w:r>
      <w:r>
        <w:rPr>
          <w:spacing w:val="-1"/>
        </w:rPr>
        <w:t xml:space="preserve"> </w:t>
      </w:r>
      <w:r>
        <w:t>across</w:t>
      </w:r>
      <w:r>
        <w:rPr>
          <w:spacing w:val="-1"/>
        </w:rPr>
        <w:t xml:space="preserve"> </w:t>
      </w:r>
      <w:r>
        <w:t>Massachusetts.</w:t>
      </w:r>
      <w:r>
        <w:rPr>
          <w:spacing w:val="-2"/>
        </w:rPr>
        <w:t xml:space="preserve"> </w:t>
      </w:r>
      <w:r>
        <w:t>A survey from</w:t>
      </w:r>
      <w:r>
        <w:rPr>
          <w:spacing w:val="-3"/>
        </w:rPr>
        <w:t xml:space="preserve"> </w:t>
      </w:r>
      <w:r>
        <w:t>2021 found</w:t>
      </w:r>
      <w:r>
        <w:rPr>
          <w:spacing w:val="-3"/>
        </w:rPr>
        <w:t xml:space="preserve"> </w:t>
      </w:r>
      <w:r>
        <w:t>that</w:t>
      </w:r>
      <w:r>
        <w:rPr>
          <w:spacing w:val="-2"/>
        </w:rPr>
        <w:t xml:space="preserve"> </w:t>
      </w:r>
      <w:r>
        <w:t>people</w:t>
      </w:r>
      <w:r>
        <w:rPr>
          <w:spacing w:val="-4"/>
        </w:rPr>
        <w:t xml:space="preserve"> </w:t>
      </w:r>
      <w:r>
        <w:t>of</w:t>
      </w:r>
      <w:r>
        <w:rPr>
          <w:spacing w:val="-3"/>
        </w:rPr>
        <w:t xml:space="preserve"> </w:t>
      </w:r>
      <w:r>
        <w:t>color</w:t>
      </w:r>
      <w:r>
        <w:rPr>
          <w:spacing w:val="-3"/>
        </w:rPr>
        <w:t xml:space="preserve"> </w:t>
      </w:r>
      <w:r>
        <w:t>experienced</w:t>
      </w:r>
      <w:r>
        <w:rPr>
          <w:spacing w:val="-5"/>
        </w:rPr>
        <w:t xml:space="preserve"> </w:t>
      </w:r>
      <w:r>
        <w:t>less</w:t>
      </w:r>
      <w:r>
        <w:rPr>
          <w:spacing w:val="-4"/>
        </w:rPr>
        <w:t xml:space="preserve"> </w:t>
      </w:r>
      <w:r>
        <w:t>economic</w:t>
      </w:r>
      <w:r>
        <w:rPr>
          <w:spacing w:val="-2"/>
        </w:rPr>
        <w:t xml:space="preserve"> </w:t>
      </w:r>
      <w:r>
        <w:t>stability</w:t>
      </w:r>
      <w:r>
        <w:rPr>
          <w:spacing w:val="-3"/>
        </w:rPr>
        <w:t xml:space="preserve"> </w:t>
      </w:r>
      <w:r>
        <w:t>and</w:t>
      </w:r>
      <w:r>
        <w:rPr>
          <w:spacing w:val="-2"/>
        </w:rPr>
        <w:t xml:space="preserve"> </w:t>
      </w:r>
      <w:r>
        <w:t>greater</w:t>
      </w:r>
      <w:r>
        <w:rPr>
          <w:spacing w:val="-4"/>
        </w:rPr>
        <w:t xml:space="preserve"> </w:t>
      </w:r>
      <w:r>
        <w:t>rates</w:t>
      </w:r>
      <w:r>
        <w:rPr>
          <w:spacing w:val="-3"/>
        </w:rPr>
        <w:t xml:space="preserve"> </w:t>
      </w:r>
      <w:r>
        <w:t>of</w:t>
      </w:r>
      <w:r>
        <w:rPr>
          <w:spacing w:val="-4"/>
        </w:rPr>
        <w:t xml:space="preserve"> </w:t>
      </w:r>
      <w:r>
        <w:t>delayed</w:t>
      </w:r>
      <w:r>
        <w:rPr>
          <w:spacing w:val="-3"/>
        </w:rPr>
        <w:t xml:space="preserve"> </w:t>
      </w:r>
      <w:r>
        <w:t>medical</w:t>
      </w:r>
      <w:r>
        <w:rPr>
          <w:spacing w:val="-3"/>
        </w:rPr>
        <w:t xml:space="preserve"> </w:t>
      </w:r>
      <w:r>
        <w:t>care. Salvadoran,</w:t>
      </w:r>
      <w:r>
        <w:rPr>
          <w:spacing w:val="-2"/>
        </w:rPr>
        <w:t xml:space="preserve"> </w:t>
      </w:r>
      <w:r>
        <w:t>Dominican,</w:t>
      </w:r>
      <w:r>
        <w:rPr>
          <w:spacing w:val="-1"/>
        </w:rPr>
        <w:t xml:space="preserve"> </w:t>
      </w:r>
      <w:r>
        <w:t>Columbian,</w:t>
      </w:r>
      <w:r>
        <w:rPr>
          <w:spacing w:val="-1"/>
        </w:rPr>
        <w:t xml:space="preserve"> </w:t>
      </w:r>
      <w:r>
        <w:t>and</w:t>
      </w:r>
      <w:r>
        <w:rPr>
          <w:spacing w:val="-2"/>
        </w:rPr>
        <w:t xml:space="preserve"> </w:t>
      </w:r>
      <w:r>
        <w:t>Cape Verdean</w:t>
      </w:r>
      <w:r>
        <w:rPr>
          <w:spacing w:val="-2"/>
        </w:rPr>
        <w:t xml:space="preserve"> </w:t>
      </w:r>
      <w:r>
        <w:t>residents, in</w:t>
      </w:r>
      <w:r>
        <w:rPr>
          <w:spacing w:val="-2"/>
        </w:rPr>
        <w:t xml:space="preserve"> </w:t>
      </w:r>
      <w:r>
        <w:t>particular, were</w:t>
      </w:r>
      <w:r>
        <w:rPr>
          <w:spacing w:val="-1"/>
        </w:rPr>
        <w:t xml:space="preserve"> </w:t>
      </w:r>
      <w:r>
        <w:t>about</w:t>
      </w:r>
      <w:r>
        <w:rPr>
          <w:spacing w:val="-1"/>
        </w:rPr>
        <w:t xml:space="preserve"> </w:t>
      </w:r>
      <w:r>
        <w:t>twice</w:t>
      </w:r>
      <w:r>
        <w:rPr>
          <w:spacing w:val="-1"/>
        </w:rPr>
        <w:t xml:space="preserve"> </w:t>
      </w:r>
      <w:r>
        <w:t>as</w:t>
      </w:r>
      <w:r>
        <w:rPr>
          <w:spacing w:val="-1"/>
        </w:rPr>
        <w:t xml:space="preserve"> </w:t>
      </w:r>
      <w:r>
        <w:t>likely as the statewide average to express worry about obtaining food and groceries during the pandemic. Another</w:t>
      </w:r>
      <w:r>
        <w:rPr>
          <w:spacing w:val="-5"/>
        </w:rPr>
        <w:t xml:space="preserve"> </w:t>
      </w:r>
      <w:r>
        <w:t>study</w:t>
      </w:r>
      <w:r>
        <w:rPr>
          <w:spacing w:val="-5"/>
        </w:rPr>
        <w:t xml:space="preserve"> </w:t>
      </w:r>
      <w:r>
        <w:t>that</w:t>
      </w:r>
      <w:r>
        <w:rPr>
          <w:spacing w:val="-6"/>
        </w:rPr>
        <w:t xml:space="preserve"> </w:t>
      </w:r>
      <w:r>
        <w:t>focused</w:t>
      </w:r>
      <w:r>
        <w:rPr>
          <w:spacing w:val="-6"/>
        </w:rPr>
        <w:t xml:space="preserve"> </w:t>
      </w:r>
      <w:r>
        <w:t>on</w:t>
      </w:r>
      <w:r>
        <w:rPr>
          <w:spacing w:val="-5"/>
        </w:rPr>
        <w:t xml:space="preserve"> </w:t>
      </w:r>
      <w:r>
        <w:t>Chelsea,</w:t>
      </w:r>
      <w:r>
        <w:rPr>
          <w:spacing w:val="-3"/>
        </w:rPr>
        <w:t xml:space="preserve"> </w:t>
      </w:r>
      <w:r>
        <w:t>Massachusetts</w:t>
      </w:r>
      <w:r>
        <w:rPr>
          <w:spacing w:val="-4"/>
        </w:rPr>
        <w:t xml:space="preserve"> </w:t>
      </w:r>
      <w:r>
        <w:t>–</w:t>
      </w:r>
      <w:r>
        <w:rPr>
          <w:spacing w:val="-5"/>
        </w:rPr>
        <w:t xml:space="preserve"> </w:t>
      </w:r>
      <w:r>
        <w:t>where</w:t>
      </w:r>
      <w:r>
        <w:rPr>
          <w:spacing w:val="-4"/>
        </w:rPr>
        <w:t xml:space="preserve"> </w:t>
      </w:r>
      <w:r>
        <w:t>two-thirds</w:t>
      </w:r>
      <w:r>
        <w:rPr>
          <w:spacing w:val="-5"/>
        </w:rPr>
        <w:t xml:space="preserve"> </w:t>
      </w:r>
      <w:r>
        <w:t>of</w:t>
      </w:r>
      <w:r>
        <w:rPr>
          <w:spacing w:val="-5"/>
        </w:rPr>
        <w:t xml:space="preserve"> </w:t>
      </w:r>
      <w:r>
        <w:t>the</w:t>
      </w:r>
      <w:r>
        <w:rPr>
          <w:spacing w:val="-5"/>
        </w:rPr>
        <w:t xml:space="preserve"> </w:t>
      </w:r>
      <w:r>
        <w:t>population</w:t>
      </w:r>
      <w:r>
        <w:rPr>
          <w:spacing w:val="-3"/>
        </w:rPr>
        <w:t xml:space="preserve"> </w:t>
      </w:r>
      <w:r>
        <w:t>identifies</w:t>
      </w:r>
      <w:r>
        <w:rPr>
          <w:spacing w:val="-4"/>
        </w:rPr>
        <w:t xml:space="preserve"> </w:t>
      </w:r>
      <w:r>
        <w:t xml:space="preserve">as </w:t>
      </w:r>
      <w:r>
        <w:t>Hispanic – saw racism as a risk factor for the spread of COVID.</w:t>
      </w:r>
      <w:hyperlink w:anchor="_bookmark62" w:history="1">
        <w:r>
          <w:rPr>
            <w:vertAlign w:val="superscript"/>
          </w:rPr>
          <w:t>41</w:t>
        </w:r>
      </w:hyperlink>
      <w:r>
        <w:t xml:space="preserve"> In Chelsea, congestion and multigenerational housing is commonplace, often forced by poverty. Many members of the community also could not work from home. Therefore, social distancing has been nearly impossible, causing the residents of Chelsea to “confro</w:t>
      </w:r>
      <w:r>
        <w:t>nt head-on all the risks for infectious spread” that many others have had the privilege to avoid.</w:t>
      </w:r>
    </w:p>
    <w:p w:rsidR="00C76E6D" w:rsidRDefault="00C76E6D">
      <w:pPr>
        <w:pStyle w:val="BodyText"/>
        <w:spacing w:before="5"/>
        <w:rPr>
          <w:sz w:val="25"/>
        </w:rPr>
      </w:pPr>
    </w:p>
    <w:p w:rsidR="00C76E6D" w:rsidRDefault="00913831">
      <w:pPr>
        <w:pStyle w:val="BodyText"/>
        <w:spacing w:line="276" w:lineRule="auto"/>
        <w:ind w:left="478" w:right="474"/>
        <w:jc w:val="both"/>
      </w:pPr>
      <w:r>
        <w:t>A</w:t>
      </w:r>
      <w:r>
        <w:rPr>
          <w:spacing w:val="-5"/>
        </w:rPr>
        <w:t xml:space="preserve"> </w:t>
      </w:r>
      <w:r>
        <w:t>study</w:t>
      </w:r>
      <w:r>
        <w:rPr>
          <w:spacing w:val="-5"/>
        </w:rPr>
        <w:t xml:space="preserve"> </w:t>
      </w:r>
      <w:r>
        <w:t>from</w:t>
      </w:r>
      <w:r>
        <w:rPr>
          <w:spacing w:val="-2"/>
        </w:rPr>
        <w:t xml:space="preserve"> </w:t>
      </w:r>
      <w:r>
        <w:t>Massachusetts</w:t>
      </w:r>
      <w:r>
        <w:rPr>
          <w:spacing w:val="-3"/>
        </w:rPr>
        <w:t xml:space="preserve"> </w:t>
      </w:r>
      <w:r>
        <w:t>General</w:t>
      </w:r>
      <w:r>
        <w:rPr>
          <w:spacing w:val="-4"/>
        </w:rPr>
        <w:t xml:space="preserve"> </w:t>
      </w:r>
      <w:r>
        <w:t>Hospital</w:t>
      </w:r>
      <w:r>
        <w:rPr>
          <w:spacing w:val="-5"/>
        </w:rPr>
        <w:t xml:space="preserve"> </w:t>
      </w:r>
      <w:r>
        <w:t>in</w:t>
      </w:r>
      <w:r>
        <w:rPr>
          <w:spacing w:val="-5"/>
        </w:rPr>
        <w:t xml:space="preserve"> </w:t>
      </w:r>
      <w:r>
        <w:t>2021</w:t>
      </w:r>
      <w:r>
        <w:rPr>
          <w:spacing w:val="-2"/>
        </w:rPr>
        <w:t xml:space="preserve"> </w:t>
      </w:r>
      <w:r>
        <w:t>reported</w:t>
      </w:r>
      <w:r>
        <w:rPr>
          <w:spacing w:val="-3"/>
        </w:rPr>
        <w:t xml:space="preserve"> </w:t>
      </w:r>
      <w:r>
        <w:t>that</w:t>
      </w:r>
      <w:r>
        <w:rPr>
          <w:spacing w:val="-6"/>
        </w:rPr>
        <w:t xml:space="preserve"> </w:t>
      </w:r>
      <w:r>
        <w:t>socioeconomic</w:t>
      </w:r>
      <w:r>
        <w:rPr>
          <w:spacing w:val="-4"/>
        </w:rPr>
        <w:t xml:space="preserve"> </w:t>
      </w:r>
      <w:r>
        <w:t>factors</w:t>
      </w:r>
      <w:r>
        <w:rPr>
          <w:spacing w:val="-5"/>
        </w:rPr>
        <w:t xml:space="preserve"> </w:t>
      </w:r>
      <w:r>
        <w:t>–</w:t>
      </w:r>
      <w:r>
        <w:rPr>
          <w:spacing w:val="-2"/>
        </w:rPr>
        <w:t xml:space="preserve"> </w:t>
      </w:r>
      <w:r>
        <w:t>not</w:t>
      </w:r>
      <w:r>
        <w:rPr>
          <w:spacing w:val="-4"/>
        </w:rPr>
        <w:t xml:space="preserve"> </w:t>
      </w:r>
      <w:r>
        <w:t>biology- had the largest influence on COVID infections</w:t>
      </w:r>
      <w:hyperlink w:anchor="_bookmark63" w:history="1">
        <w:r>
          <w:t>.</w:t>
        </w:r>
        <w:r>
          <w:rPr>
            <w:vertAlign w:val="superscript"/>
          </w:rPr>
          <w:t>42</w:t>
        </w:r>
        <w:r>
          <w:t xml:space="preserve"> </w:t>
        </w:r>
      </w:hyperlink>
      <w:r>
        <w:t>For instance, 17.2% of Hispanic patients and 11.9% of Black patients tested positive, compared to 5.6% of white patients. Communities with a median income of less than $70,000 were three times more likely to test positive than com</w:t>
      </w:r>
      <w:r>
        <w:t>munities with a medium of income</w:t>
      </w:r>
      <w:r>
        <w:rPr>
          <w:spacing w:val="-3"/>
        </w:rPr>
        <w:t xml:space="preserve"> </w:t>
      </w:r>
      <w:r>
        <w:t>greater</w:t>
      </w:r>
      <w:r>
        <w:rPr>
          <w:spacing w:val="-4"/>
        </w:rPr>
        <w:t xml:space="preserve"> </w:t>
      </w:r>
      <w:r>
        <w:t>than</w:t>
      </w:r>
      <w:r>
        <w:rPr>
          <w:spacing w:val="-4"/>
        </w:rPr>
        <w:t xml:space="preserve"> </w:t>
      </w:r>
      <w:r>
        <w:t>$100,000.</w:t>
      </w:r>
      <w:r>
        <w:rPr>
          <w:spacing w:val="-4"/>
        </w:rPr>
        <w:t xml:space="preserve"> </w:t>
      </w:r>
      <w:r>
        <w:t>Medicaid</w:t>
      </w:r>
      <w:r>
        <w:rPr>
          <w:spacing w:val="-6"/>
        </w:rPr>
        <w:t xml:space="preserve"> </w:t>
      </w:r>
      <w:r>
        <w:t>patients</w:t>
      </w:r>
      <w:r>
        <w:rPr>
          <w:spacing w:val="-3"/>
        </w:rPr>
        <w:t xml:space="preserve"> </w:t>
      </w:r>
      <w:r>
        <w:t>tested</w:t>
      </w:r>
      <w:r>
        <w:rPr>
          <w:spacing w:val="-4"/>
        </w:rPr>
        <w:t xml:space="preserve"> </w:t>
      </w:r>
      <w:r>
        <w:t>positive</w:t>
      </w:r>
      <w:r>
        <w:rPr>
          <w:spacing w:val="-2"/>
        </w:rPr>
        <w:t xml:space="preserve"> </w:t>
      </w:r>
      <w:r>
        <w:t>at</w:t>
      </w:r>
      <w:r>
        <w:rPr>
          <w:spacing w:val="-6"/>
        </w:rPr>
        <w:t xml:space="preserve"> </w:t>
      </w:r>
      <w:r>
        <w:t>a</w:t>
      </w:r>
      <w:r>
        <w:rPr>
          <w:spacing w:val="-4"/>
        </w:rPr>
        <w:t xml:space="preserve"> </w:t>
      </w:r>
      <w:r>
        <w:t>rate</w:t>
      </w:r>
      <w:r>
        <w:rPr>
          <w:spacing w:val="-4"/>
        </w:rPr>
        <w:t xml:space="preserve"> </w:t>
      </w:r>
      <w:r>
        <w:t>of</w:t>
      </w:r>
      <w:r>
        <w:rPr>
          <w:spacing w:val="-4"/>
        </w:rPr>
        <w:t xml:space="preserve"> </w:t>
      </w:r>
      <w:r>
        <w:t>14.2%,</w:t>
      </w:r>
      <w:r>
        <w:rPr>
          <w:spacing w:val="-4"/>
        </w:rPr>
        <w:t xml:space="preserve"> </w:t>
      </w:r>
      <w:r>
        <w:t>compared</w:t>
      </w:r>
      <w:r>
        <w:rPr>
          <w:spacing w:val="-4"/>
        </w:rPr>
        <w:t xml:space="preserve"> </w:t>
      </w:r>
      <w:r>
        <w:t>to</w:t>
      </w:r>
      <w:r>
        <w:rPr>
          <w:spacing w:val="-4"/>
        </w:rPr>
        <w:t xml:space="preserve"> </w:t>
      </w:r>
      <w:r>
        <w:t>4.7%</w:t>
      </w:r>
      <w:r>
        <w:rPr>
          <w:spacing w:val="-4"/>
        </w:rPr>
        <w:t xml:space="preserve"> </w:t>
      </w:r>
      <w:r>
        <w:t>of patients with commercial</w:t>
      </w:r>
      <w:r>
        <w:rPr>
          <w:spacing w:val="-1"/>
        </w:rPr>
        <w:t xml:space="preserve"> </w:t>
      </w:r>
      <w:r>
        <w:t>insurance. Finally, people</w:t>
      </w:r>
      <w:r>
        <w:rPr>
          <w:spacing w:val="-1"/>
        </w:rPr>
        <w:t xml:space="preserve"> </w:t>
      </w:r>
      <w:r>
        <w:t>living in</w:t>
      </w:r>
      <w:r>
        <w:rPr>
          <w:spacing w:val="-1"/>
        </w:rPr>
        <w:t xml:space="preserve"> </w:t>
      </w:r>
      <w:r>
        <w:t>communities with</w:t>
      </w:r>
      <w:r>
        <w:rPr>
          <w:spacing w:val="-1"/>
        </w:rPr>
        <w:t xml:space="preserve"> </w:t>
      </w:r>
      <w:r>
        <w:t>an</w:t>
      </w:r>
      <w:r>
        <w:rPr>
          <w:spacing w:val="-2"/>
        </w:rPr>
        <w:t xml:space="preserve"> </w:t>
      </w:r>
      <w:r>
        <w:t>unemployment</w:t>
      </w:r>
      <w:r>
        <w:rPr>
          <w:spacing w:val="-1"/>
        </w:rPr>
        <w:t xml:space="preserve"> </w:t>
      </w:r>
      <w:r>
        <w:t>rate</w:t>
      </w:r>
      <w:r>
        <w:rPr>
          <w:spacing w:val="-1"/>
        </w:rPr>
        <w:t xml:space="preserve"> </w:t>
      </w:r>
      <w:r>
        <w:t>of over 5% were approximately twice as likely to contract COVID as those from communities with an unemployment rate of 3.5% or less. According to the lead author of this study, “Societal disadvantages that</w:t>
      </w:r>
      <w:r>
        <w:rPr>
          <w:spacing w:val="-12"/>
        </w:rPr>
        <w:t xml:space="preserve"> </w:t>
      </w:r>
      <w:r>
        <w:t>were</w:t>
      </w:r>
      <w:r>
        <w:rPr>
          <w:spacing w:val="-10"/>
        </w:rPr>
        <w:t xml:space="preserve"> </w:t>
      </w:r>
      <w:r>
        <w:t>baked</w:t>
      </w:r>
      <w:r>
        <w:rPr>
          <w:spacing w:val="-12"/>
        </w:rPr>
        <w:t xml:space="preserve"> </w:t>
      </w:r>
      <w:r>
        <w:t>in</w:t>
      </w:r>
      <w:r>
        <w:rPr>
          <w:spacing w:val="-10"/>
        </w:rPr>
        <w:t xml:space="preserve"> </w:t>
      </w:r>
      <w:r>
        <w:t>before</w:t>
      </w:r>
      <w:r>
        <w:rPr>
          <w:spacing w:val="-12"/>
        </w:rPr>
        <w:t xml:space="preserve"> </w:t>
      </w:r>
      <w:r>
        <w:t>the</w:t>
      </w:r>
      <w:r>
        <w:rPr>
          <w:spacing w:val="-12"/>
        </w:rPr>
        <w:t xml:space="preserve"> </w:t>
      </w:r>
      <w:r>
        <w:t>pandemic</w:t>
      </w:r>
      <w:r>
        <w:rPr>
          <w:spacing w:val="-11"/>
        </w:rPr>
        <w:t xml:space="preserve"> </w:t>
      </w:r>
      <w:r>
        <w:t>led</w:t>
      </w:r>
      <w:r>
        <w:rPr>
          <w:spacing w:val="-11"/>
        </w:rPr>
        <w:t xml:space="preserve"> </w:t>
      </w:r>
      <w:r>
        <w:t>the</w:t>
      </w:r>
      <w:r>
        <w:rPr>
          <w:spacing w:val="-10"/>
        </w:rPr>
        <w:t xml:space="preserve"> </w:t>
      </w:r>
      <w:r>
        <w:t>pandemic</w:t>
      </w:r>
      <w:r>
        <w:rPr>
          <w:spacing w:val="-11"/>
        </w:rPr>
        <w:t xml:space="preserve"> </w:t>
      </w:r>
      <w:r>
        <w:t>to</w:t>
      </w:r>
      <w:r>
        <w:rPr>
          <w:spacing w:val="-11"/>
        </w:rPr>
        <w:t xml:space="preserve"> </w:t>
      </w:r>
      <w:r>
        <w:t>take</w:t>
      </w:r>
      <w:r>
        <w:rPr>
          <w:spacing w:val="-11"/>
        </w:rPr>
        <w:t xml:space="preserve"> </w:t>
      </w:r>
      <w:r>
        <w:t>a</w:t>
      </w:r>
      <w:r>
        <w:rPr>
          <w:spacing w:val="-9"/>
        </w:rPr>
        <w:t xml:space="preserve"> </w:t>
      </w:r>
      <w:r>
        <w:t>tremendously</w:t>
      </w:r>
      <w:r>
        <w:rPr>
          <w:spacing w:val="-11"/>
        </w:rPr>
        <w:t xml:space="preserve"> </w:t>
      </w:r>
      <w:r>
        <w:t>different</w:t>
      </w:r>
      <w:r>
        <w:rPr>
          <w:spacing w:val="-12"/>
        </w:rPr>
        <w:t xml:space="preserve"> </w:t>
      </w:r>
      <w:r>
        <w:t>toll</w:t>
      </w:r>
      <w:r>
        <w:rPr>
          <w:spacing w:val="-11"/>
        </w:rPr>
        <w:t xml:space="preserve"> </w:t>
      </w:r>
      <w:r>
        <w:t>on</w:t>
      </w:r>
      <w:r>
        <w:rPr>
          <w:spacing w:val="-11"/>
        </w:rPr>
        <w:t xml:space="preserve"> </w:t>
      </w:r>
      <w:r>
        <w:t>specific groups</w:t>
      </w:r>
      <w:r>
        <w:rPr>
          <w:spacing w:val="-4"/>
        </w:rPr>
        <w:t xml:space="preserve"> </w:t>
      </w:r>
      <w:r>
        <w:t>of</w:t>
      </w:r>
      <w:r>
        <w:rPr>
          <w:spacing w:val="-4"/>
        </w:rPr>
        <w:t xml:space="preserve"> </w:t>
      </w:r>
      <w:r>
        <w:t>patients…</w:t>
      </w:r>
      <w:r>
        <w:rPr>
          <w:spacing w:val="-4"/>
        </w:rPr>
        <w:t xml:space="preserve"> </w:t>
      </w:r>
      <w:r>
        <w:t>our</w:t>
      </w:r>
      <w:r>
        <w:rPr>
          <w:spacing w:val="-3"/>
        </w:rPr>
        <w:t xml:space="preserve"> </w:t>
      </w:r>
      <w:r>
        <w:t>results</w:t>
      </w:r>
      <w:r>
        <w:rPr>
          <w:spacing w:val="-4"/>
        </w:rPr>
        <w:t xml:space="preserve"> </w:t>
      </w:r>
      <w:r>
        <w:t>show</w:t>
      </w:r>
      <w:r>
        <w:rPr>
          <w:spacing w:val="-4"/>
        </w:rPr>
        <w:t xml:space="preserve"> </w:t>
      </w:r>
      <w:r>
        <w:t>how</w:t>
      </w:r>
      <w:r>
        <w:rPr>
          <w:spacing w:val="-4"/>
        </w:rPr>
        <w:t xml:space="preserve"> </w:t>
      </w:r>
      <w:r>
        <w:t>profoundly</w:t>
      </w:r>
      <w:r>
        <w:rPr>
          <w:spacing w:val="-3"/>
        </w:rPr>
        <w:t xml:space="preserve"> </w:t>
      </w:r>
      <w:r>
        <w:t>systemic,</w:t>
      </w:r>
      <w:r>
        <w:rPr>
          <w:spacing w:val="-3"/>
        </w:rPr>
        <w:t xml:space="preserve"> </w:t>
      </w:r>
      <w:r>
        <w:t>structural</w:t>
      </w:r>
      <w:r>
        <w:rPr>
          <w:spacing w:val="-4"/>
        </w:rPr>
        <w:t xml:space="preserve"> </w:t>
      </w:r>
      <w:r>
        <w:t>aspects</w:t>
      </w:r>
      <w:r>
        <w:rPr>
          <w:spacing w:val="-4"/>
        </w:rPr>
        <w:t xml:space="preserve"> </w:t>
      </w:r>
      <w:r>
        <w:t>of</w:t>
      </w:r>
      <w:r>
        <w:rPr>
          <w:spacing w:val="-4"/>
        </w:rPr>
        <w:t xml:space="preserve"> </w:t>
      </w:r>
      <w:r>
        <w:t>society</w:t>
      </w:r>
      <w:r>
        <w:rPr>
          <w:spacing w:val="-3"/>
        </w:rPr>
        <w:t xml:space="preserve"> </w:t>
      </w:r>
      <w:r>
        <w:t>are</w:t>
      </w:r>
      <w:r>
        <w:rPr>
          <w:spacing w:val="-4"/>
        </w:rPr>
        <w:t xml:space="preserve"> </w:t>
      </w:r>
      <w:r>
        <w:t xml:space="preserve">revealed by assessing the spread of disease.” Therefore, the pandemic has highlighted and intensified racial </w:t>
      </w:r>
      <w:r>
        <w:rPr>
          <w:spacing w:val="-2"/>
        </w:rPr>
        <w:t>inequities.</w:t>
      </w:r>
    </w:p>
    <w:p w:rsidR="00C76E6D" w:rsidRDefault="00C76E6D">
      <w:pPr>
        <w:spacing w:line="276" w:lineRule="auto"/>
        <w:jc w:val="both"/>
        <w:sectPr w:rsidR="00C76E6D">
          <w:pgSz w:w="12240" w:h="15840"/>
          <w:pgMar w:top="980" w:right="960" w:bottom="920" w:left="960" w:header="776" w:footer="720" w:gutter="0"/>
          <w:cols w:space="720"/>
        </w:sectPr>
      </w:pPr>
    </w:p>
    <w:p w:rsidR="00C76E6D" w:rsidRDefault="00C76E6D">
      <w:pPr>
        <w:pStyle w:val="BodyText"/>
        <w:rPr>
          <w:sz w:val="20"/>
        </w:rPr>
      </w:pPr>
    </w:p>
    <w:p w:rsidR="00C76E6D" w:rsidRDefault="00913831">
      <w:pPr>
        <w:pStyle w:val="Heading6"/>
        <w:numPr>
          <w:ilvl w:val="0"/>
          <w:numId w:val="52"/>
        </w:numPr>
        <w:tabs>
          <w:tab w:val="left" w:pos="699"/>
        </w:tabs>
        <w:spacing w:before="180"/>
      </w:pPr>
      <w:bookmarkStart w:id="55" w:name="8._Immigration"/>
      <w:bookmarkEnd w:id="55"/>
      <w:r>
        <w:rPr>
          <w:spacing w:val="-2"/>
        </w:rPr>
        <w:t>Immigration</w:t>
      </w:r>
    </w:p>
    <w:p w:rsidR="00C76E6D" w:rsidRDefault="00C76E6D">
      <w:pPr>
        <w:pStyle w:val="BodyText"/>
        <w:spacing w:before="7"/>
        <w:rPr>
          <w:b/>
          <w:sz w:val="28"/>
        </w:rPr>
      </w:pPr>
    </w:p>
    <w:p w:rsidR="00C76E6D" w:rsidRDefault="00913831">
      <w:pPr>
        <w:pStyle w:val="BodyText"/>
        <w:spacing w:before="1" w:line="276" w:lineRule="auto"/>
        <w:ind w:left="478" w:right="473" w:hanging="1"/>
        <w:jc w:val="both"/>
      </w:pPr>
      <w:r>
        <w:t>Throughout</w:t>
      </w:r>
      <w:r>
        <w:rPr>
          <w:spacing w:val="-13"/>
        </w:rPr>
        <w:t xml:space="preserve"> </w:t>
      </w:r>
      <w:r>
        <w:t>the</w:t>
      </w:r>
      <w:r>
        <w:rPr>
          <w:spacing w:val="-12"/>
        </w:rPr>
        <w:t xml:space="preserve"> </w:t>
      </w:r>
      <w:r>
        <w:t>pandemic,</w:t>
      </w:r>
      <w:r>
        <w:rPr>
          <w:spacing w:val="-13"/>
        </w:rPr>
        <w:t xml:space="preserve"> </w:t>
      </w:r>
      <w:r>
        <w:t>there</w:t>
      </w:r>
      <w:r>
        <w:rPr>
          <w:spacing w:val="-12"/>
        </w:rPr>
        <w:t xml:space="preserve"> </w:t>
      </w:r>
      <w:r>
        <w:t>have</w:t>
      </w:r>
      <w:r>
        <w:rPr>
          <w:spacing w:val="-13"/>
        </w:rPr>
        <w:t xml:space="preserve"> </w:t>
      </w:r>
      <w:r>
        <w:t>been</w:t>
      </w:r>
      <w:r>
        <w:rPr>
          <w:spacing w:val="-12"/>
        </w:rPr>
        <w:t xml:space="preserve"> </w:t>
      </w:r>
      <w:r>
        <w:t>severe</w:t>
      </w:r>
      <w:r>
        <w:rPr>
          <w:spacing w:val="-13"/>
        </w:rPr>
        <w:t xml:space="preserve"> </w:t>
      </w:r>
      <w:r>
        <w:t>delays</w:t>
      </w:r>
      <w:r>
        <w:rPr>
          <w:spacing w:val="-12"/>
        </w:rPr>
        <w:t xml:space="preserve"> </w:t>
      </w:r>
      <w:r>
        <w:t>in</w:t>
      </w:r>
      <w:r>
        <w:rPr>
          <w:spacing w:val="-12"/>
        </w:rPr>
        <w:t xml:space="preserve"> </w:t>
      </w:r>
      <w:r>
        <w:t>the</w:t>
      </w:r>
      <w:r>
        <w:rPr>
          <w:spacing w:val="-13"/>
        </w:rPr>
        <w:t xml:space="preserve"> </w:t>
      </w:r>
      <w:r>
        <w:t>processing</w:t>
      </w:r>
      <w:r>
        <w:rPr>
          <w:spacing w:val="-12"/>
        </w:rPr>
        <w:t xml:space="preserve"> </w:t>
      </w:r>
      <w:r>
        <w:t>of</w:t>
      </w:r>
      <w:r>
        <w:rPr>
          <w:spacing w:val="-13"/>
        </w:rPr>
        <w:t xml:space="preserve"> </w:t>
      </w:r>
      <w:r>
        <w:t>immigrant</w:t>
      </w:r>
      <w:r>
        <w:rPr>
          <w:spacing w:val="-12"/>
        </w:rPr>
        <w:t xml:space="preserve"> </w:t>
      </w:r>
      <w:r>
        <w:t>visa</w:t>
      </w:r>
      <w:r>
        <w:rPr>
          <w:spacing w:val="-13"/>
        </w:rPr>
        <w:t xml:space="preserve"> </w:t>
      </w:r>
      <w:r>
        <w:t>applications. The backlog is nearly six times the normal backlog, encompassing about half a million qualified applications at</w:t>
      </w:r>
      <w:r>
        <w:rPr>
          <w:spacing w:val="-3"/>
        </w:rPr>
        <w:t xml:space="preserve"> </w:t>
      </w:r>
      <w:r>
        <w:t>the</w:t>
      </w:r>
      <w:r>
        <w:rPr>
          <w:spacing w:val="-2"/>
        </w:rPr>
        <w:t xml:space="preserve"> </w:t>
      </w:r>
      <w:r>
        <w:t>National</w:t>
      </w:r>
      <w:r>
        <w:rPr>
          <w:spacing w:val="-4"/>
        </w:rPr>
        <w:t xml:space="preserve"> </w:t>
      </w:r>
      <w:r>
        <w:t>Visa</w:t>
      </w:r>
      <w:r>
        <w:rPr>
          <w:spacing w:val="-3"/>
        </w:rPr>
        <w:t xml:space="preserve"> </w:t>
      </w:r>
      <w:r>
        <w:t>Center</w:t>
      </w:r>
      <w:hyperlink w:anchor="_bookmark64" w:history="1">
        <w:r>
          <w:t>.</w:t>
        </w:r>
        <w:r>
          <w:rPr>
            <w:vertAlign w:val="superscript"/>
          </w:rPr>
          <w:t>43</w:t>
        </w:r>
        <w:r>
          <w:rPr>
            <w:spacing w:val="-3"/>
          </w:rPr>
          <w:t xml:space="preserve"> </w:t>
        </w:r>
      </w:hyperlink>
      <w:r>
        <w:t>Programs</w:t>
      </w:r>
      <w:r>
        <w:rPr>
          <w:spacing w:val="-2"/>
        </w:rPr>
        <w:t xml:space="preserve"> </w:t>
      </w:r>
      <w:r>
        <w:t>such</w:t>
      </w:r>
      <w:r>
        <w:rPr>
          <w:spacing w:val="-3"/>
        </w:rPr>
        <w:t xml:space="preserve"> </w:t>
      </w:r>
      <w:r>
        <w:t>as</w:t>
      </w:r>
      <w:r>
        <w:rPr>
          <w:spacing w:val="-2"/>
        </w:rPr>
        <w:t xml:space="preserve"> </w:t>
      </w:r>
      <w:r>
        <w:t>the</w:t>
      </w:r>
      <w:r>
        <w:rPr>
          <w:spacing w:val="-2"/>
        </w:rPr>
        <w:t xml:space="preserve"> </w:t>
      </w:r>
      <w:r>
        <w:t>Special</w:t>
      </w:r>
      <w:r>
        <w:rPr>
          <w:spacing w:val="-3"/>
        </w:rPr>
        <w:t xml:space="preserve"> </w:t>
      </w:r>
      <w:r>
        <w:t>Immigrant</w:t>
      </w:r>
      <w:r>
        <w:rPr>
          <w:spacing w:val="-3"/>
        </w:rPr>
        <w:t xml:space="preserve"> </w:t>
      </w:r>
      <w:r>
        <w:t>Juvenile</w:t>
      </w:r>
      <w:r>
        <w:rPr>
          <w:spacing w:val="-1"/>
        </w:rPr>
        <w:t xml:space="preserve"> </w:t>
      </w:r>
      <w:r>
        <w:t>Status,</w:t>
      </w:r>
      <w:r>
        <w:rPr>
          <w:spacing w:val="-4"/>
        </w:rPr>
        <w:t xml:space="preserve"> </w:t>
      </w:r>
      <w:r>
        <w:t>which provides a pathway to legal residency for young undocumented people who have experienced abuse or abandonment,</w:t>
      </w:r>
      <w:r>
        <w:rPr>
          <w:spacing w:val="-6"/>
        </w:rPr>
        <w:t xml:space="preserve"> </w:t>
      </w:r>
      <w:r>
        <w:t>similarly</w:t>
      </w:r>
      <w:r>
        <w:rPr>
          <w:spacing w:val="-6"/>
        </w:rPr>
        <w:t xml:space="preserve"> </w:t>
      </w:r>
      <w:r>
        <w:t>are</w:t>
      </w:r>
      <w:r>
        <w:rPr>
          <w:spacing w:val="-7"/>
        </w:rPr>
        <w:t xml:space="preserve"> </w:t>
      </w:r>
      <w:r>
        <w:t>delayed</w:t>
      </w:r>
      <w:hyperlink w:anchor="_bookmark65" w:history="1">
        <w:r>
          <w:t>.</w:t>
        </w:r>
        <w:r>
          <w:rPr>
            <w:vertAlign w:val="superscript"/>
          </w:rPr>
          <w:t>44</w:t>
        </w:r>
        <w:r>
          <w:rPr>
            <w:spacing w:val="-6"/>
          </w:rPr>
          <w:t xml:space="preserve"> </w:t>
        </w:r>
      </w:hyperlink>
      <w:r>
        <w:t>The</w:t>
      </w:r>
      <w:r>
        <w:rPr>
          <w:spacing w:val="-6"/>
        </w:rPr>
        <w:t xml:space="preserve"> </w:t>
      </w:r>
      <w:r>
        <w:t>program</w:t>
      </w:r>
      <w:r>
        <w:rPr>
          <w:spacing w:val="-6"/>
        </w:rPr>
        <w:t xml:space="preserve"> </w:t>
      </w:r>
      <w:r>
        <w:t>has</w:t>
      </w:r>
      <w:r>
        <w:rPr>
          <w:spacing w:val="-6"/>
        </w:rPr>
        <w:t xml:space="preserve"> </w:t>
      </w:r>
      <w:r>
        <w:t>provided</w:t>
      </w:r>
      <w:r>
        <w:rPr>
          <w:spacing w:val="-7"/>
        </w:rPr>
        <w:t xml:space="preserve"> </w:t>
      </w:r>
      <w:r>
        <w:t>tens</w:t>
      </w:r>
      <w:r>
        <w:rPr>
          <w:spacing w:val="-6"/>
        </w:rPr>
        <w:t xml:space="preserve"> </w:t>
      </w:r>
      <w:r>
        <w:t>of</w:t>
      </w:r>
      <w:r>
        <w:rPr>
          <w:spacing w:val="-6"/>
        </w:rPr>
        <w:t xml:space="preserve"> </w:t>
      </w:r>
      <w:r>
        <w:t>thousands</w:t>
      </w:r>
      <w:r>
        <w:rPr>
          <w:spacing w:val="-6"/>
        </w:rPr>
        <w:t xml:space="preserve"> </w:t>
      </w:r>
      <w:r>
        <w:t>of</w:t>
      </w:r>
      <w:r>
        <w:rPr>
          <w:spacing w:val="-6"/>
        </w:rPr>
        <w:t xml:space="preserve"> </w:t>
      </w:r>
      <w:r>
        <w:t>young</w:t>
      </w:r>
      <w:r>
        <w:rPr>
          <w:spacing w:val="-6"/>
        </w:rPr>
        <w:t xml:space="preserve"> </w:t>
      </w:r>
      <w:r>
        <w:t>people</w:t>
      </w:r>
      <w:r>
        <w:rPr>
          <w:spacing w:val="-6"/>
        </w:rPr>
        <w:t xml:space="preserve"> </w:t>
      </w:r>
      <w:r>
        <w:t>with a green card, but recipients are being forced to wait up to five years to receive it.</w:t>
      </w:r>
    </w:p>
    <w:p w:rsidR="00C76E6D" w:rsidRDefault="00C76E6D">
      <w:pPr>
        <w:pStyle w:val="BodyText"/>
        <w:spacing w:before="2"/>
        <w:rPr>
          <w:sz w:val="25"/>
        </w:rPr>
      </w:pPr>
    </w:p>
    <w:p w:rsidR="00C76E6D" w:rsidRDefault="00913831">
      <w:pPr>
        <w:pStyle w:val="BodyText"/>
        <w:spacing w:before="1" w:line="276" w:lineRule="auto"/>
        <w:ind w:left="480" w:right="475"/>
        <w:jc w:val="both"/>
      </w:pPr>
      <w:r>
        <w:t>These</w:t>
      </w:r>
      <w:r>
        <w:rPr>
          <w:spacing w:val="-2"/>
        </w:rPr>
        <w:t xml:space="preserve"> </w:t>
      </w:r>
      <w:r>
        <w:t>processing</w:t>
      </w:r>
      <w:r>
        <w:rPr>
          <w:spacing w:val="-2"/>
        </w:rPr>
        <w:t xml:space="preserve"> </w:t>
      </w:r>
      <w:r>
        <w:t>delays</w:t>
      </w:r>
      <w:r>
        <w:rPr>
          <w:spacing w:val="-1"/>
        </w:rPr>
        <w:t xml:space="preserve"> </w:t>
      </w:r>
      <w:r>
        <w:t>uniquely</w:t>
      </w:r>
      <w:r>
        <w:rPr>
          <w:spacing w:val="-1"/>
        </w:rPr>
        <w:t xml:space="preserve"> </w:t>
      </w:r>
      <w:r>
        <w:t>impact</w:t>
      </w:r>
      <w:r>
        <w:rPr>
          <w:spacing w:val="-2"/>
        </w:rPr>
        <w:t xml:space="preserve"> </w:t>
      </w:r>
      <w:r>
        <w:t>LGBTQ</w:t>
      </w:r>
      <w:r>
        <w:rPr>
          <w:spacing w:val="-2"/>
        </w:rPr>
        <w:t xml:space="preserve"> </w:t>
      </w:r>
      <w:r>
        <w:t>and</w:t>
      </w:r>
      <w:r>
        <w:rPr>
          <w:spacing w:val="-1"/>
        </w:rPr>
        <w:t xml:space="preserve"> </w:t>
      </w:r>
      <w:r>
        <w:t>QTBIPOC</w:t>
      </w:r>
      <w:r>
        <w:rPr>
          <w:spacing w:val="-1"/>
        </w:rPr>
        <w:t xml:space="preserve"> </w:t>
      </w:r>
      <w:r>
        <w:t>youth.</w:t>
      </w:r>
      <w:r>
        <w:rPr>
          <w:spacing w:val="-1"/>
        </w:rPr>
        <w:t xml:space="preserve"> </w:t>
      </w:r>
      <w:r>
        <w:t>These</w:t>
      </w:r>
      <w:r>
        <w:rPr>
          <w:spacing w:val="-2"/>
        </w:rPr>
        <w:t xml:space="preserve"> </w:t>
      </w:r>
      <w:r>
        <w:t>youth</w:t>
      </w:r>
      <w:r>
        <w:rPr>
          <w:spacing w:val="-1"/>
        </w:rPr>
        <w:t xml:space="preserve"> </w:t>
      </w:r>
      <w:r>
        <w:t>cannot</w:t>
      </w:r>
      <w:r>
        <w:rPr>
          <w:spacing w:val="-2"/>
        </w:rPr>
        <w:t xml:space="preserve"> </w:t>
      </w:r>
      <w:r>
        <w:t>legally</w:t>
      </w:r>
      <w:r>
        <w:rPr>
          <w:spacing w:val="-1"/>
        </w:rPr>
        <w:t xml:space="preserve"> </w:t>
      </w:r>
      <w:r>
        <w:t>work</w:t>
      </w:r>
      <w:r>
        <w:rPr>
          <w:spacing w:val="-2"/>
        </w:rPr>
        <w:t xml:space="preserve"> </w:t>
      </w:r>
      <w:r>
        <w:t>or receive financial aid to go to school. While waiting for their visas or green cards, they are at risk of homelessness,</w:t>
      </w:r>
      <w:r>
        <w:rPr>
          <w:spacing w:val="-6"/>
        </w:rPr>
        <w:t xml:space="preserve"> </w:t>
      </w:r>
      <w:r>
        <w:t>exploitation,</w:t>
      </w:r>
      <w:r>
        <w:rPr>
          <w:spacing w:val="-6"/>
        </w:rPr>
        <w:t xml:space="preserve"> </w:t>
      </w:r>
      <w:r>
        <w:t>and</w:t>
      </w:r>
      <w:r>
        <w:rPr>
          <w:spacing w:val="-5"/>
        </w:rPr>
        <w:t xml:space="preserve"> </w:t>
      </w:r>
      <w:r>
        <w:t>deportation,</w:t>
      </w:r>
      <w:r>
        <w:rPr>
          <w:spacing w:val="-6"/>
        </w:rPr>
        <w:t xml:space="preserve"> </w:t>
      </w:r>
      <w:r>
        <w:t>and</w:t>
      </w:r>
      <w:r>
        <w:rPr>
          <w:spacing w:val="-5"/>
        </w:rPr>
        <w:t xml:space="preserve"> </w:t>
      </w:r>
      <w:r>
        <w:t>often</w:t>
      </w:r>
      <w:r>
        <w:rPr>
          <w:spacing w:val="-5"/>
        </w:rPr>
        <w:t xml:space="preserve"> </w:t>
      </w:r>
      <w:r>
        <w:t>cannot</w:t>
      </w:r>
      <w:r>
        <w:rPr>
          <w:spacing w:val="-6"/>
        </w:rPr>
        <w:t xml:space="preserve"> </w:t>
      </w:r>
      <w:r>
        <w:t>meet</w:t>
      </w:r>
      <w:r>
        <w:rPr>
          <w:spacing w:val="-5"/>
        </w:rPr>
        <w:t xml:space="preserve"> </w:t>
      </w:r>
      <w:r>
        <w:t>their</w:t>
      </w:r>
      <w:r>
        <w:rPr>
          <w:spacing w:val="-5"/>
        </w:rPr>
        <w:t xml:space="preserve"> </w:t>
      </w:r>
      <w:r>
        <w:t>basic</w:t>
      </w:r>
      <w:r>
        <w:rPr>
          <w:spacing w:val="-5"/>
        </w:rPr>
        <w:t xml:space="preserve"> </w:t>
      </w:r>
      <w:r>
        <w:t>health</w:t>
      </w:r>
      <w:r>
        <w:rPr>
          <w:spacing w:val="-5"/>
        </w:rPr>
        <w:t xml:space="preserve"> </w:t>
      </w:r>
      <w:r>
        <w:t>needs.</w:t>
      </w:r>
      <w:r>
        <w:rPr>
          <w:spacing w:val="-4"/>
        </w:rPr>
        <w:t xml:space="preserve"> </w:t>
      </w:r>
      <w:r>
        <w:t>Youth</w:t>
      </w:r>
      <w:r>
        <w:rPr>
          <w:spacing w:val="-5"/>
        </w:rPr>
        <w:t xml:space="preserve"> </w:t>
      </w:r>
      <w:r>
        <w:t>may turn to sex work as</w:t>
      </w:r>
      <w:r>
        <w:t xml:space="preserve"> a means of survival. Ultimately, these challenges are compounded by experiences of homophobia, transphobia, and racism.</w:t>
      </w:r>
    </w:p>
    <w:p w:rsidR="00C76E6D" w:rsidRDefault="00C76E6D">
      <w:pPr>
        <w:pStyle w:val="BodyText"/>
      </w:pPr>
    </w:p>
    <w:p w:rsidR="00C76E6D" w:rsidRDefault="00C76E6D">
      <w:pPr>
        <w:pStyle w:val="BodyText"/>
        <w:spacing w:before="10"/>
        <w:rPr>
          <w:sz w:val="20"/>
        </w:rPr>
      </w:pPr>
    </w:p>
    <w:p w:rsidR="00C76E6D" w:rsidRDefault="00913831">
      <w:pPr>
        <w:pStyle w:val="Heading5"/>
        <w:spacing w:before="1"/>
        <w:ind w:left="480"/>
      </w:pPr>
      <w:r>
        <w:pict>
          <v:shape id="docshape235" o:spid="_x0000_s1191" style="position:absolute;left:0;text-align:left;margin-left:70.6pt;margin-top:16.3pt;width:470.95pt;height:.1pt;z-index:-15700992;mso-wrap-distance-left:0;mso-wrap-distance-right:0;mso-position-horizontal-relative:page" coordorigin="1412,326" coordsize="9419,0" path="m1412,326r9419,e" filled="f" strokeweight="1.54pt">
            <v:path arrowok="t"/>
            <w10:wrap type="topAndBottom" anchorx="page"/>
          </v:shape>
        </w:pict>
      </w:r>
      <w:r>
        <w:t>E.</w:t>
      </w:r>
      <w:r>
        <w:rPr>
          <w:spacing w:val="-4"/>
        </w:rPr>
        <w:t xml:space="preserve"> </w:t>
      </w:r>
      <w:r>
        <w:rPr>
          <w:spacing w:val="-2"/>
        </w:rPr>
        <w:t>Conclusion</w:t>
      </w:r>
    </w:p>
    <w:p w:rsidR="00C76E6D" w:rsidRDefault="00C76E6D">
      <w:pPr>
        <w:pStyle w:val="BodyText"/>
        <w:spacing w:before="10"/>
        <w:rPr>
          <w:b/>
          <w:sz w:val="21"/>
        </w:rPr>
      </w:pPr>
    </w:p>
    <w:p w:rsidR="00C76E6D" w:rsidRDefault="00913831">
      <w:pPr>
        <w:pStyle w:val="BodyText"/>
        <w:spacing w:line="276" w:lineRule="auto"/>
        <w:ind w:left="478" w:right="473"/>
        <w:jc w:val="both"/>
      </w:pPr>
      <w:r>
        <w:t>This report summarizes the current data on the impact of the COVID-19 pandemic on LGBTQ nationally and within the Commonwealth of Massachusetts. Some of this impact is unique to LGBTQ youth, while other aspects are unique to all youth or the LGBTQ communit</w:t>
      </w:r>
      <w:r>
        <w:t>y in general. LGBTQ youth of color are particularly</w:t>
      </w:r>
      <w:r>
        <w:rPr>
          <w:spacing w:val="-9"/>
        </w:rPr>
        <w:t xml:space="preserve"> </w:t>
      </w:r>
      <w:r>
        <w:t>negatively</w:t>
      </w:r>
      <w:r>
        <w:rPr>
          <w:spacing w:val="-11"/>
        </w:rPr>
        <w:t xml:space="preserve"> </w:t>
      </w:r>
      <w:r>
        <w:t>impacted</w:t>
      </w:r>
      <w:r>
        <w:rPr>
          <w:spacing w:val="-10"/>
        </w:rPr>
        <w:t xml:space="preserve"> </w:t>
      </w:r>
      <w:r>
        <w:t>by</w:t>
      </w:r>
      <w:r>
        <w:rPr>
          <w:spacing w:val="-10"/>
        </w:rPr>
        <w:t xml:space="preserve"> </w:t>
      </w:r>
      <w:r>
        <w:t>the</w:t>
      </w:r>
      <w:r>
        <w:rPr>
          <w:spacing w:val="-9"/>
        </w:rPr>
        <w:t xml:space="preserve"> </w:t>
      </w:r>
      <w:r>
        <w:t>COVID</w:t>
      </w:r>
      <w:r>
        <w:rPr>
          <w:spacing w:val="-11"/>
        </w:rPr>
        <w:t xml:space="preserve"> </w:t>
      </w:r>
      <w:r>
        <w:t>pandemic,</w:t>
      </w:r>
      <w:r>
        <w:rPr>
          <w:spacing w:val="-11"/>
        </w:rPr>
        <w:t xml:space="preserve"> </w:t>
      </w:r>
      <w:r>
        <w:t>as</w:t>
      </w:r>
      <w:r>
        <w:rPr>
          <w:spacing w:val="-11"/>
        </w:rPr>
        <w:t xml:space="preserve"> </w:t>
      </w:r>
      <w:r>
        <w:t>the</w:t>
      </w:r>
      <w:r>
        <w:rPr>
          <w:spacing w:val="-11"/>
        </w:rPr>
        <w:t xml:space="preserve"> </w:t>
      </w:r>
      <w:r>
        <w:t>pandemic</w:t>
      </w:r>
      <w:r>
        <w:rPr>
          <w:spacing w:val="-12"/>
        </w:rPr>
        <w:t xml:space="preserve"> </w:t>
      </w:r>
      <w:r>
        <w:t>has</w:t>
      </w:r>
      <w:r>
        <w:rPr>
          <w:spacing w:val="-11"/>
        </w:rPr>
        <w:t xml:space="preserve"> </w:t>
      </w:r>
      <w:r>
        <w:t>proved</w:t>
      </w:r>
      <w:r>
        <w:rPr>
          <w:spacing w:val="-12"/>
        </w:rPr>
        <w:t xml:space="preserve"> </w:t>
      </w:r>
      <w:r>
        <w:t>to</w:t>
      </w:r>
      <w:r>
        <w:rPr>
          <w:spacing w:val="-11"/>
        </w:rPr>
        <w:t xml:space="preserve"> </w:t>
      </w:r>
      <w:r>
        <w:t>exacerbate</w:t>
      </w:r>
      <w:r>
        <w:rPr>
          <w:spacing w:val="-12"/>
        </w:rPr>
        <w:t xml:space="preserve"> </w:t>
      </w:r>
      <w:r>
        <w:t>racial and social inequities at both the national and state level.</w:t>
      </w:r>
    </w:p>
    <w:p w:rsidR="00C76E6D" w:rsidRDefault="00C76E6D">
      <w:pPr>
        <w:pStyle w:val="BodyText"/>
        <w:spacing w:before="2"/>
        <w:rPr>
          <w:sz w:val="25"/>
        </w:rPr>
      </w:pPr>
    </w:p>
    <w:p w:rsidR="00C76E6D" w:rsidRDefault="00913831">
      <w:pPr>
        <w:pStyle w:val="BodyText"/>
        <w:spacing w:line="276" w:lineRule="auto"/>
        <w:ind w:left="478" w:right="474"/>
        <w:jc w:val="both"/>
      </w:pPr>
      <w:r>
        <w:t>Despite the growing number of vaccinated persons and the elimination of public health measures, it is important to remember that the pandemic is not over. LGBTQ youth continue to experience hardships, and</w:t>
      </w:r>
      <w:r>
        <w:rPr>
          <w:spacing w:val="-1"/>
        </w:rPr>
        <w:t xml:space="preserve"> </w:t>
      </w:r>
      <w:r>
        <w:t>they are likely to feel the</w:t>
      </w:r>
      <w:r>
        <w:rPr>
          <w:spacing w:val="-1"/>
        </w:rPr>
        <w:t xml:space="preserve"> </w:t>
      </w:r>
      <w:r>
        <w:t>negative</w:t>
      </w:r>
      <w:r>
        <w:rPr>
          <w:spacing w:val="-1"/>
        </w:rPr>
        <w:t xml:space="preserve"> </w:t>
      </w:r>
      <w:r>
        <w:t>effects of the</w:t>
      </w:r>
      <w:r>
        <w:t xml:space="preserve"> pandemic</w:t>
      </w:r>
      <w:r>
        <w:rPr>
          <w:spacing w:val="-1"/>
        </w:rPr>
        <w:t xml:space="preserve"> </w:t>
      </w:r>
      <w:r>
        <w:t>long</w:t>
      </w:r>
      <w:r>
        <w:rPr>
          <w:spacing w:val="-2"/>
        </w:rPr>
        <w:t xml:space="preserve"> </w:t>
      </w:r>
      <w:r>
        <w:t>after the United States reaches herd immunity</w:t>
      </w:r>
      <w:r>
        <w:rPr>
          <w:spacing w:val="-5"/>
        </w:rPr>
        <w:t xml:space="preserve"> </w:t>
      </w:r>
      <w:r>
        <w:t>to</w:t>
      </w:r>
      <w:r>
        <w:rPr>
          <w:spacing w:val="-5"/>
        </w:rPr>
        <w:t xml:space="preserve"> </w:t>
      </w:r>
      <w:r>
        <w:t>the</w:t>
      </w:r>
      <w:r>
        <w:rPr>
          <w:spacing w:val="-6"/>
        </w:rPr>
        <w:t xml:space="preserve"> </w:t>
      </w:r>
      <w:r>
        <w:t>virus.</w:t>
      </w:r>
      <w:r>
        <w:rPr>
          <w:spacing w:val="-6"/>
        </w:rPr>
        <w:t xml:space="preserve"> </w:t>
      </w:r>
      <w:r>
        <w:t>The</w:t>
      </w:r>
      <w:r>
        <w:rPr>
          <w:spacing w:val="-5"/>
        </w:rPr>
        <w:t xml:space="preserve"> </w:t>
      </w:r>
      <w:r>
        <w:t>recommendations</w:t>
      </w:r>
      <w:r>
        <w:rPr>
          <w:spacing w:val="-6"/>
        </w:rPr>
        <w:t xml:space="preserve"> </w:t>
      </w:r>
      <w:r>
        <w:t>presented</w:t>
      </w:r>
      <w:r>
        <w:rPr>
          <w:spacing w:val="-7"/>
        </w:rPr>
        <w:t xml:space="preserve"> </w:t>
      </w:r>
      <w:r>
        <w:t>in</w:t>
      </w:r>
      <w:r>
        <w:rPr>
          <w:spacing w:val="-5"/>
        </w:rPr>
        <w:t xml:space="preserve"> </w:t>
      </w:r>
      <w:r>
        <w:t>this</w:t>
      </w:r>
      <w:r>
        <w:rPr>
          <w:spacing w:val="-6"/>
        </w:rPr>
        <w:t xml:space="preserve"> </w:t>
      </w:r>
      <w:r>
        <w:t>report</w:t>
      </w:r>
      <w:r>
        <w:rPr>
          <w:spacing w:val="-7"/>
        </w:rPr>
        <w:t xml:space="preserve"> </w:t>
      </w:r>
      <w:r>
        <w:t>are</w:t>
      </w:r>
      <w:r>
        <w:rPr>
          <w:spacing w:val="-7"/>
        </w:rPr>
        <w:t xml:space="preserve"> </w:t>
      </w:r>
      <w:r>
        <w:t>important</w:t>
      </w:r>
      <w:r>
        <w:rPr>
          <w:spacing w:val="-6"/>
        </w:rPr>
        <w:t xml:space="preserve"> </w:t>
      </w:r>
      <w:r>
        <w:t>measures</w:t>
      </w:r>
      <w:r>
        <w:rPr>
          <w:spacing w:val="-6"/>
        </w:rPr>
        <w:t xml:space="preserve"> </w:t>
      </w:r>
      <w:r>
        <w:t>to</w:t>
      </w:r>
      <w:r>
        <w:rPr>
          <w:spacing w:val="-6"/>
        </w:rPr>
        <w:t xml:space="preserve"> </w:t>
      </w:r>
      <w:r>
        <w:t>remedy the</w:t>
      </w:r>
      <w:r>
        <w:rPr>
          <w:spacing w:val="-10"/>
        </w:rPr>
        <w:t xml:space="preserve"> </w:t>
      </w:r>
      <w:r>
        <w:t>inequities</w:t>
      </w:r>
      <w:r>
        <w:rPr>
          <w:spacing w:val="-9"/>
        </w:rPr>
        <w:t xml:space="preserve"> </w:t>
      </w:r>
      <w:r>
        <w:t>faced</w:t>
      </w:r>
      <w:r>
        <w:rPr>
          <w:spacing w:val="-10"/>
        </w:rPr>
        <w:t xml:space="preserve"> </w:t>
      </w:r>
      <w:r>
        <w:t>by</w:t>
      </w:r>
      <w:r>
        <w:rPr>
          <w:spacing w:val="-10"/>
        </w:rPr>
        <w:t xml:space="preserve"> </w:t>
      </w:r>
      <w:r>
        <w:t>LGBTQ</w:t>
      </w:r>
      <w:r>
        <w:rPr>
          <w:spacing w:val="-11"/>
        </w:rPr>
        <w:t xml:space="preserve"> </w:t>
      </w:r>
      <w:r>
        <w:t>youth</w:t>
      </w:r>
      <w:r>
        <w:rPr>
          <w:spacing w:val="-10"/>
        </w:rPr>
        <w:t xml:space="preserve"> </w:t>
      </w:r>
      <w:r>
        <w:t>over</w:t>
      </w:r>
      <w:r>
        <w:rPr>
          <w:spacing w:val="-11"/>
        </w:rPr>
        <w:t xml:space="preserve"> </w:t>
      </w:r>
      <w:r>
        <w:t>the</w:t>
      </w:r>
      <w:r>
        <w:rPr>
          <w:spacing w:val="-10"/>
        </w:rPr>
        <w:t xml:space="preserve"> </w:t>
      </w:r>
      <w:r>
        <w:t>past</w:t>
      </w:r>
      <w:r>
        <w:rPr>
          <w:spacing w:val="-12"/>
        </w:rPr>
        <w:t xml:space="preserve"> </w:t>
      </w:r>
      <w:r>
        <w:t>year</w:t>
      </w:r>
      <w:r>
        <w:rPr>
          <w:spacing w:val="-11"/>
        </w:rPr>
        <w:t xml:space="preserve"> </w:t>
      </w:r>
      <w:r>
        <w:t>and</w:t>
      </w:r>
      <w:r>
        <w:rPr>
          <w:spacing w:val="-9"/>
        </w:rPr>
        <w:t xml:space="preserve"> </w:t>
      </w:r>
      <w:r>
        <w:t>provide</w:t>
      </w:r>
      <w:r>
        <w:rPr>
          <w:spacing w:val="-9"/>
        </w:rPr>
        <w:t xml:space="preserve"> </w:t>
      </w:r>
      <w:r>
        <w:t>structural</w:t>
      </w:r>
      <w:r>
        <w:rPr>
          <w:spacing w:val="-11"/>
        </w:rPr>
        <w:t xml:space="preserve"> </w:t>
      </w:r>
      <w:r>
        <w:t>safeguards</w:t>
      </w:r>
      <w:r>
        <w:rPr>
          <w:spacing w:val="-10"/>
        </w:rPr>
        <w:t xml:space="preserve"> </w:t>
      </w:r>
      <w:r>
        <w:t>that</w:t>
      </w:r>
      <w:r>
        <w:rPr>
          <w:spacing w:val="-12"/>
        </w:rPr>
        <w:t xml:space="preserve"> </w:t>
      </w:r>
      <w:r>
        <w:t>last</w:t>
      </w:r>
      <w:r>
        <w:rPr>
          <w:spacing w:val="-12"/>
        </w:rPr>
        <w:t xml:space="preserve"> </w:t>
      </w:r>
      <w:r>
        <w:t>beyond the pandemic.</w:t>
      </w:r>
    </w:p>
    <w:p w:rsidR="00C76E6D" w:rsidRDefault="00C76E6D">
      <w:pPr>
        <w:spacing w:line="276" w:lineRule="auto"/>
        <w:jc w:val="both"/>
        <w:sectPr w:rsidR="00C76E6D">
          <w:pgSz w:w="12240" w:h="15840"/>
          <w:pgMar w:top="980" w:right="960" w:bottom="920" w:left="960" w:header="776" w:footer="720" w:gutter="0"/>
          <w:cols w:space="720"/>
        </w:sectPr>
      </w:pPr>
    </w:p>
    <w:p w:rsidR="00C76E6D" w:rsidRDefault="00C76E6D">
      <w:pPr>
        <w:pStyle w:val="BodyText"/>
        <w:spacing w:before="5"/>
        <w:rPr>
          <w:sz w:val="9"/>
        </w:rPr>
      </w:pPr>
    </w:p>
    <w:p w:rsidR="00C76E6D" w:rsidRDefault="00913831">
      <w:pPr>
        <w:pStyle w:val="BodyText"/>
        <w:spacing w:line="20" w:lineRule="exact"/>
        <w:ind w:left="482"/>
        <w:rPr>
          <w:sz w:val="2"/>
        </w:rPr>
      </w:pPr>
      <w:r>
        <w:rPr>
          <w:sz w:val="2"/>
        </w:rPr>
      </w:r>
      <w:r>
        <w:rPr>
          <w:sz w:val="2"/>
        </w:rPr>
        <w:pict>
          <v:group id="docshapegroup236" o:spid="_x0000_s1189" style="width:470.95pt;height:1.55pt;mso-position-horizontal-relative:char;mso-position-vertical-relative:line" coordsize="9419,31">
            <v:line id="_x0000_s1190" style="position:absolute" from="0,15" to="9419,15" strokeweight="1.54pt"/>
            <w10:wrap type="none"/>
            <w10:anchorlock/>
          </v:group>
        </w:pict>
      </w:r>
    </w:p>
    <w:p w:rsidR="00C76E6D" w:rsidRDefault="00C76E6D">
      <w:pPr>
        <w:pStyle w:val="BodyText"/>
        <w:spacing w:before="9"/>
        <w:rPr>
          <w:sz w:val="19"/>
        </w:rPr>
      </w:pPr>
    </w:p>
    <w:p w:rsidR="00C76E6D" w:rsidRDefault="00913831">
      <w:pPr>
        <w:pStyle w:val="Heading4"/>
        <w:spacing w:before="52"/>
      </w:pPr>
      <w:r>
        <w:rPr>
          <w:spacing w:val="-2"/>
        </w:rPr>
        <w:t>ENDNOTES</w:t>
      </w:r>
    </w:p>
    <w:p w:rsidR="00C76E6D" w:rsidRDefault="00913831">
      <w:pPr>
        <w:pStyle w:val="BodyText"/>
        <w:spacing w:before="8"/>
        <w:rPr>
          <w:b/>
          <w:sz w:val="25"/>
        </w:rPr>
      </w:pPr>
      <w:r>
        <w:pict>
          <v:shape id="docshape237" o:spid="_x0000_s1188" style="position:absolute;margin-left:70.6pt;margin-top:16.9pt;width:470.95pt;height:.1pt;z-index:-15699968;mso-wrap-distance-left:0;mso-wrap-distance-right:0;mso-position-horizontal-relative:page" coordorigin="1412,338" coordsize="9419,0" path="m1412,338r9419,e" filled="f" strokeweight="1.54pt">
            <v:path arrowok="t"/>
            <w10:wrap type="topAndBottom" anchorx="page"/>
          </v:shape>
        </w:pict>
      </w:r>
    </w:p>
    <w:p w:rsidR="00C76E6D" w:rsidRDefault="00C76E6D">
      <w:pPr>
        <w:pStyle w:val="BodyText"/>
        <w:spacing w:before="1"/>
        <w:rPr>
          <w:b/>
          <w:sz w:val="26"/>
        </w:rPr>
      </w:pPr>
    </w:p>
    <w:p w:rsidR="00C76E6D" w:rsidRDefault="00913831">
      <w:pPr>
        <w:ind w:left="481" w:right="530" w:hanging="3"/>
        <w:rPr>
          <w:i/>
          <w:sz w:val="20"/>
        </w:rPr>
      </w:pPr>
      <w:r>
        <w:rPr>
          <w:i/>
          <w:sz w:val="20"/>
        </w:rPr>
        <w:t>Acknowledgments:</w:t>
      </w:r>
      <w:r>
        <w:rPr>
          <w:i/>
          <w:spacing w:val="-19"/>
          <w:sz w:val="20"/>
        </w:rPr>
        <w:t xml:space="preserve"> </w:t>
      </w:r>
      <w:r>
        <w:rPr>
          <w:i/>
          <w:sz w:val="20"/>
        </w:rPr>
        <w:t>Mary</w:t>
      </w:r>
      <w:r>
        <w:rPr>
          <w:i/>
          <w:spacing w:val="-12"/>
          <w:sz w:val="20"/>
        </w:rPr>
        <w:t xml:space="preserve"> </w:t>
      </w:r>
      <w:r>
        <w:rPr>
          <w:i/>
          <w:sz w:val="20"/>
        </w:rPr>
        <w:t>Morrissey,</w:t>
      </w:r>
      <w:r>
        <w:rPr>
          <w:i/>
          <w:spacing w:val="-11"/>
          <w:sz w:val="20"/>
        </w:rPr>
        <w:t xml:space="preserve"> </w:t>
      </w:r>
      <w:r>
        <w:rPr>
          <w:i/>
          <w:sz w:val="20"/>
        </w:rPr>
        <w:t>lead</w:t>
      </w:r>
      <w:r>
        <w:rPr>
          <w:i/>
          <w:spacing w:val="-9"/>
          <w:sz w:val="20"/>
        </w:rPr>
        <w:t xml:space="preserve"> </w:t>
      </w:r>
      <w:r>
        <w:rPr>
          <w:i/>
          <w:sz w:val="20"/>
        </w:rPr>
        <w:t>researcher</w:t>
      </w:r>
      <w:r>
        <w:rPr>
          <w:i/>
          <w:spacing w:val="-5"/>
          <w:sz w:val="20"/>
        </w:rPr>
        <w:t xml:space="preserve"> </w:t>
      </w:r>
      <w:r>
        <w:rPr>
          <w:i/>
          <w:sz w:val="20"/>
        </w:rPr>
        <w:t>and</w:t>
      </w:r>
      <w:r>
        <w:rPr>
          <w:i/>
          <w:spacing w:val="-8"/>
          <w:sz w:val="20"/>
        </w:rPr>
        <w:t xml:space="preserve"> </w:t>
      </w:r>
      <w:r>
        <w:rPr>
          <w:i/>
          <w:sz w:val="20"/>
        </w:rPr>
        <w:t>author;</w:t>
      </w:r>
      <w:r>
        <w:rPr>
          <w:i/>
          <w:spacing w:val="-10"/>
          <w:sz w:val="20"/>
        </w:rPr>
        <w:t xml:space="preserve"> </w:t>
      </w:r>
      <w:r>
        <w:rPr>
          <w:i/>
          <w:sz w:val="20"/>
        </w:rPr>
        <w:t>Editing</w:t>
      </w:r>
      <w:r>
        <w:rPr>
          <w:i/>
          <w:spacing w:val="-12"/>
          <w:sz w:val="20"/>
        </w:rPr>
        <w:t xml:space="preserve"> </w:t>
      </w:r>
      <w:r>
        <w:rPr>
          <w:i/>
          <w:sz w:val="20"/>
        </w:rPr>
        <w:t>and</w:t>
      </w:r>
      <w:r>
        <w:rPr>
          <w:i/>
          <w:spacing w:val="-9"/>
          <w:sz w:val="20"/>
        </w:rPr>
        <w:t xml:space="preserve"> </w:t>
      </w:r>
      <w:r>
        <w:rPr>
          <w:i/>
          <w:sz w:val="20"/>
        </w:rPr>
        <w:t>proofreading</w:t>
      </w:r>
      <w:r>
        <w:rPr>
          <w:i/>
          <w:spacing w:val="-12"/>
          <w:sz w:val="20"/>
        </w:rPr>
        <w:t xml:space="preserve"> </w:t>
      </w:r>
      <w:r>
        <w:rPr>
          <w:i/>
          <w:sz w:val="20"/>
        </w:rPr>
        <w:t>by</w:t>
      </w:r>
      <w:r>
        <w:rPr>
          <w:i/>
          <w:spacing w:val="-6"/>
          <w:sz w:val="20"/>
        </w:rPr>
        <w:t xml:space="preserve"> </w:t>
      </w:r>
      <w:r>
        <w:rPr>
          <w:i/>
          <w:sz w:val="20"/>
        </w:rPr>
        <w:t>MA</w:t>
      </w:r>
      <w:r>
        <w:rPr>
          <w:i/>
          <w:spacing w:val="-6"/>
          <w:sz w:val="20"/>
        </w:rPr>
        <w:t xml:space="preserve"> </w:t>
      </w:r>
      <w:r>
        <w:rPr>
          <w:i/>
          <w:sz w:val="20"/>
        </w:rPr>
        <w:t>Commission</w:t>
      </w:r>
      <w:r>
        <w:rPr>
          <w:i/>
          <w:spacing w:val="-13"/>
          <w:sz w:val="20"/>
        </w:rPr>
        <w:t xml:space="preserve"> </w:t>
      </w:r>
      <w:r>
        <w:rPr>
          <w:i/>
          <w:sz w:val="20"/>
        </w:rPr>
        <w:t>on LGBTQ Youth staff</w:t>
      </w:r>
    </w:p>
    <w:p w:rsidR="00C76E6D" w:rsidRDefault="00C76E6D">
      <w:pPr>
        <w:pStyle w:val="BodyText"/>
        <w:rPr>
          <w:i/>
          <w:sz w:val="24"/>
        </w:rPr>
      </w:pPr>
    </w:p>
    <w:p w:rsidR="00C76E6D" w:rsidRDefault="00913831">
      <w:pPr>
        <w:ind w:left="478" w:right="952"/>
        <w:rPr>
          <w:sz w:val="20"/>
        </w:rPr>
      </w:pPr>
      <w:bookmarkStart w:id="56" w:name="_bookmark22"/>
      <w:bookmarkEnd w:id="56"/>
      <w:r>
        <w:rPr>
          <w:sz w:val="20"/>
          <w:vertAlign w:val="superscript"/>
        </w:rPr>
        <w:t>1</w:t>
      </w:r>
      <w:r>
        <w:rPr>
          <w:sz w:val="20"/>
        </w:rPr>
        <w:t>Cameron</w:t>
      </w:r>
      <w:r>
        <w:rPr>
          <w:spacing w:val="-5"/>
          <w:sz w:val="20"/>
        </w:rPr>
        <w:t xml:space="preserve"> </w:t>
      </w:r>
      <w:r>
        <w:rPr>
          <w:sz w:val="20"/>
        </w:rPr>
        <w:t>K.</w:t>
      </w:r>
      <w:r>
        <w:rPr>
          <w:spacing w:val="-8"/>
          <w:sz w:val="20"/>
        </w:rPr>
        <w:t xml:space="preserve"> </w:t>
      </w:r>
      <w:r>
        <w:rPr>
          <w:sz w:val="20"/>
        </w:rPr>
        <w:t>Ormiston</w:t>
      </w:r>
      <w:r>
        <w:rPr>
          <w:spacing w:val="-5"/>
          <w:sz w:val="20"/>
        </w:rPr>
        <w:t xml:space="preserve"> </w:t>
      </w:r>
      <w:r>
        <w:rPr>
          <w:sz w:val="20"/>
        </w:rPr>
        <w:t>and</w:t>
      </w:r>
      <w:r>
        <w:rPr>
          <w:spacing w:val="-6"/>
          <w:sz w:val="20"/>
        </w:rPr>
        <w:t xml:space="preserve"> </w:t>
      </w:r>
      <w:r>
        <w:rPr>
          <w:sz w:val="20"/>
        </w:rPr>
        <w:t>Faustine</w:t>
      </w:r>
      <w:r>
        <w:rPr>
          <w:spacing w:val="-8"/>
          <w:sz w:val="20"/>
        </w:rPr>
        <w:t xml:space="preserve"> </w:t>
      </w:r>
      <w:r>
        <w:rPr>
          <w:sz w:val="20"/>
        </w:rPr>
        <w:t>Williams,</w:t>
      </w:r>
      <w:r>
        <w:rPr>
          <w:spacing w:val="-5"/>
          <w:sz w:val="20"/>
        </w:rPr>
        <w:t xml:space="preserve"> </w:t>
      </w:r>
      <w:r>
        <w:rPr>
          <w:sz w:val="20"/>
        </w:rPr>
        <w:t>“LGBTQ</w:t>
      </w:r>
      <w:r>
        <w:rPr>
          <w:spacing w:val="-7"/>
          <w:sz w:val="20"/>
        </w:rPr>
        <w:t xml:space="preserve"> </w:t>
      </w:r>
      <w:r>
        <w:rPr>
          <w:sz w:val="20"/>
        </w:rPr>
        <w:t>Youth</w:t>
      </w:r>
      <w:r>
        <w:rPr>
          <w:spacing w:val="-5"/>
          <w:sz w:val="20"/>
        </w:rPr>
        <w:t xml:space="preserve"> </w:t>
      </w:r>
      <w:r>
        <w:rPr>
          <w:sz w:val="20"/>
        </w:rPr>
        <w:t>Mental</w:t>
      </w:r>
      <w:r>
        <w:rPr>
          <w:spacing w:val="-7"/>
          <w:sz w:val="20"/>
        </w:rPr>
        <w:t xml:space="preserve"> </w:t>
      </w:r>
      <w:r>
        <w:rPr>
          <w:sz w:val="20"/>
        </w:rPr>
        <w:t>Health</w:t>
      </w:r>
      <w:r>
        <w:rPr>
          <w:spacing w:val="-5"/>
          <w:sz w:val="20"/>
        </w:rPr>
        <w:t xml:space="preserve"> </w:t>
      </w:r>
      <w:r>
        <w:rPr>
          <w:sz w:val="20"/>
        </w:rPr>
        <w:t>during</w:t>
      </w:r>
      <w:r>
        <w:rPr>
          <w:spacing w:val="-6"/>
          <w:sz w:val="20"/>
        </w:rPr>
        <w:t xml:space="preserve"> </w:t>
      </w:r>
      <w:r>
        <w:rPr>
          <w:sz w:val="20"/>
        </w:rPr>
        <w:t>COVID-19:</w:t>
      </w:r>
      <w:r>
        <w:rPr>
          <w:spacing w:val="-5"/>
          <w:sz w:val="20"/>
        </w:rPr>
        <w:t xml:space="preserve"> </w:t>
      </w:r>
      <w:r>
        <w:rPr>
          <w:sz w:val="20"/>
        </w:rPr>
        <w:t>Unmet</w:t>
      </w:r>
      <w:r>
        <w:rPr>
          <w:spacing w:val="-7"/>
          <w:sz w:val="20"/>
        </w:rPr>
        <w:t xml:space="preserve"> </w:t>
      </w:r>
      <w:r>
        <w:rPr>
          <w:sz w:val="20"/>
        </w:rPr>
        <w:t>Needs</w:t>
      </w:r>
      <w:r>
        <w:rPr>
          <w:spacing w:val="-7"/>
          <w:sz w:val="20"/>
        </w:rPr>
        <w:t xml:space="preserve"> </w:t>
      </w:r>
      <w:r>
        <w:rPr>
          <w:sz w:val="20"/>
        </w:rPr>
        <w:t xml:space="preserve">in Public health and Policy,” </w:t>
      </w:r>
      <w:r>
        <w:rPr>
          <w:i/>
          <w:sz w:val="20"/>
        </w:rPr>
        <w:t xml:space="preserve">The Lancet 399 </w:t>
      </w:r>
      <w:r>
        <w:rPr>
          <w:sz w:val="20"/>
        </w:rPr>
        <w:t>(2022): 501-503. https://doi.org/10.1016/S0140-6736(21)02872-5.</w:t>
      </w:r>
      <w:r>
        <w:rPr>
          <w:spacing w:val="45"/>
          <w:sz w:val="20"/>
        </w:rPr>
        <w:t xml:space="preserve"> </w:t>
      </w:r>
      <w:bookmarkStart w:id="57" w:name="_bookmark23"/>
      <w:bookmarkEnd w:id="57"/>
      <w:r>
        <w:rPr>
          <w:sz w:val="20"/>
          <w:vertAlign w:val="superscript"/>
        </w:rPr>
        <w:t>2</w:t>
      </w:r>
      <w:r>
        <w:rPr>
          <w:sz w:val="20"/>
        </w:rPr>
        <w:t xml:space="preserve"> The Trevor Project, “National Survey on LGBTQ Youth Menta</w:t>
      </w:r>
      <w:r>
        <w:rPr>
          <w:sz w:val="20"/>
        </w:rPr>
        <w:t xml:space="preserve">l Health 2021,” 2021, </w:t>
      </w:r>
      <w:bookmarkStart w:id="58" w:name="_bookmark24"/>
      <w:bookmarkEnd w:id="58"/>
      <w:r>
        <w:rPr>
          <w:spacing w:val="-2"/>
          <w:sz w:val="20"/>
        </w:rPr>
        <w:t>https://</w:t>
      </w:r>
      <w:hyperlink r:id="rId118">
        <w:r>
          <w:rPr>
            <w:spacing w:val="-2"/>
            <w:sz w:val="20"/>
          </w:rPr>
          <w:t>www.thetrevorproject.org/survey-2021/?section=Introduction.</w:t>
        </w:r>
      </w:hyperlink>
    </w:p>
    <w:p w:rsidR="00C76E6D" w:rsidRDefault="00913831">
      <w:pPr>
        <w:spacing w:before="1"/>
        <w:ind w:left="479" w:right="530" w:hanging="1"/>
        <w:rPr>
          <w:sz w:val="20"/>
        </w:rPr>
      </w:pPr>
      <w:r>
        <w:rPr>
          <w:sz w:val="20"/>
          <w:vertAlign w:val="superscript"/>
        </w:rPr>
        <w:t>3</w:t>
      </w:r>
      <w:r>
        <w:rPr>
          <w:spacing w:val="-5"/>
          <w:sz w:val="20"/>
        </w:rPr>
        <w:t xml:space="preserve"> </w:t>
      </w:r>
      <w:r>
        <w:rPr>
          <w:sz w:val="20"/>
        </w:rPr>
        <w:t>Cameron</w:t>
      </w:r>
      <w:r>
        <w:rPr>
          <w:spacing w:val="-6"/>
          <w:sz w:val="20"/>
        </w:rPr>
        <w:t xml:space="preserve"> </w:t>
      </w:r>
      <w:r>
        <w:rPr>
          <w:sz w:val="20"/>
        </w:rPr>
        <w:t>K.</w:t>
      </w:r>
      <w:r>
        <w:rPr>
          <w:spacing w:val="-8"/>
          <w:sz w:val="20"/>
        </w:rPr>
        <w:t xml:space="preserve"> </w:t>
      </w:r>
      <w:r>
        <w:rPr>
          <w:sz w:val="20"/>
        </w:rPr>
        <w:t>Ormiston</w:t>
      </w:r>
      <w:r>
        <w:rPr>
          <w:spacing w:val="-5"/>
          <w:sz w:val="20"/>
        </w:rPr>
        <w:t xml:space="preserve"> </w:t>
      </w:r>
      <w:r>
        <w:rPr>
          <w:sz w:val="20"/>
        </w:rPr>
        <w:t>and</w:t>
      </w:r>
      <w:r>
        <w:rPr>
          <w:spacing w:val="-6"/>
          <w:sz w:val="20"/>
        </w:rPr>
        <w:t xml:space="preserve"> </w:t>
      </w:r>
      <w:r>
        <w:rPr>
          <w:sz w:val="20"/>
        </w:rPr>
        <w:t>Faustine</w:t>
      </w:r>
      <w:r>
        <w:rPr>
          <w:spacing w:val="-7"/>
          <w:sz w:val="20"/>
        </w:rPr>
        <w:t xml:space="preserve"> </w:t>
      </w:r>
      <w:r>
        <w:rPr>
          <w:sz w:val="20"/>
        </w:rPr>
        <w:t>Williams,</w:t>
      </w:r>
      <w:r>
        <w:rPr>
          <w:spacing w:val="-5"/>
          <w:sz w:val="20"/>
        </w:rPr>
        <w:t xml:space="preserve"> </w:t>
      </w:r>
      <w:r>
        <w:rPr>
          <w:sz w:val="20"/>
        </w:rPr>
        <w:t>“LGBTQ</w:t>
      </w:r>
      <w:r>
        <w:rPr>
          <w:spacing w:val="-7"/>
          <w:sz w:val="20"/>
        </w:rPr>
        <w:t xml:space="preserve"> </w:t>
      </w:r>
      <w:r>
        <w:rPr>
          <w:sz w:val="20"/>
        </w:rPr>
        <w:t>Youth</w:t>
      </w:r>
      <w:r>
        <w:rPr>
          <w:spacing w:val="-5"/>
          <w:sz w:val="20"/>
        </w:rPr>
        <w:t xml:space="preserve"> </w:t>
      </w:r>
      <w:r>
        <w:rPr>
          <w:sz w:val="20"/>
        </w:rPr>
        <w:t>Mental</w:t>
      </w:r>
      <w:r>
        <w:rPr>
          <w:spacing w:val="-7"/>
          <w:sz w:val="20"/>
        </w:rPr>
        <w:t xml:space="preserve"> </w:t>
      </w:r>
      <w:r>
        <w:rPr>
          <w:sz w:val="20"/>
        </w:rPr>
        <w:t>Health</w:t>
      </w:r>
      <w:r>
        <w:rPr>
          <w:spacing w:val="-5"/>
          <w:sz w:val="20"/>
        </w:rPr>
        <w:t xml:space="preserve"> </w:t>
      </w:r>
      <w:r>
        <w:rPr>
          <w:sz w:val="20"/>
        </w:rPr>
        <w:t>during</w:t>
      </w:r>
      <w:r>
        <w:rPr>
          <w:spacing w:val="-6"/>
          <w:sz w:val="20"/>
        </w:rPr>
        <w:t xml:space="preserve"> </w:t>
      </w:r>
      <w:r>
        <w:rPr>
          <w:sz w:val="20"/>
        </w:rPr>
        <w:t>COVID-19:</w:t>
      </w:r>
      <w:r>
        <w:rPr>
          <w:spacing w:val="-5"/>
          <w:sz w:val="20"/>
        </w:rPr>
        <w:t xml:space="preserve"> </w:t>
      </w:r>
      <w:r>
        <w:rPr>
          <w:sz w:val="20"/>
        </w:rPr>
        <w:t>Unmet</w:t>
      </w:r>
      <w:r>
        <w:rPr>
          <w:spacing w:val="-7"/>
          <w:sz w:val="20"/>
        </w:rPr>
        <w:t xml:space="preserve"> </w:t>
      </w:r>
      <w:r>
        <w:rPr>
          <w:sz w:val="20"/>
        </w:rPr>
        <w:t>Needs</w:t>
      </w:r>
      <w:r>
        <w:rPr>
          <w:spacing w:val="-7"/>
          <w:sz w:val="20"/>
        </w:rPr>
        <w:t xml:space="preserve"> </w:t>
      </w:r>
      <w:r>
        <w:rPr>
          <w:sz w:val="20"/>
        </w:rPr>
        <w:t xml:space="preserve">in Public health and Policy,” </w:t>
      </w:r>
      <w:r>
        <w:rPr>
          <w:i/>
          <w:sz w:val="20"/>
        </w:rPr>
        <w:t xml:space="preserve">The Lancet 399 </w:t>
      </w:r>
      <w:r>
        <w:rPr>
          <w:sz w:val="20"/>
        </w:rPr>
        <w:t>(2022): 501-503. https://doi.org/10.1016/S0140-6736(21)02872-5.</w:t>
      </w:r>
    </w:p>
    <w:p w:rsidR="00C76E6D" w:rsidRDefault="00913831">
      <w:pPr>
        <w:ind w:left="478" w:right="698"/>
        <w:rPr>
          <w:sz w:val="20"/>
        </w:rPr>
      </w:pPr>
      <w:bookmarkStart w:id="59" w:name="_bookmark25"/>
      <w:bookmarkEnd w:id="59"/>
      <w:r>
        <w:rPr>
          <w:sz w:val="20"/>
          <w:vertAlign w:val="superscript"/>
        </w:rPr>
        <w:t>4</w:t>
      </w:r>
      <w:r>
        <w:rPr>
          <w:sz w:val="20"/>
        </w:rPr>
        <w:t xml:space="preserve"> Kristen D. Krause, “Implications of the COVID-19 Pandemic on LGBTQ Communities,” </w:t>
      </w:r>
      <w:r>
        <w:rPr>
          <w:i/>
          <w:sz w:val="20"/>
        </w:rPr>
        <w:t>Journal of Public Health Management &amp; Prac</w:t>
      </w:r>
      <w:r>
        <w:rPr>
          <w:i/>
          <w:sz w:val="20"/>
        </w:rPr>
        <w:t xml:space="preserve">tice </w:t>
      </w:r>
      <w:r>
        <w:rPr>
          <w:sz w:val="20"/>
        </w:rPr>
        <w:t xml:space="preserve">27, (2020): S69-S71. </w:t>
      </w:r>
      <w:r>
        <w:rPr>
          <w:spacing w:val="-2"/>
          <w:sz w:val="20"/>
        </w:rPr>
        <w:t xml:space="preserve">https://journals.lww.com/jphmp/fulltext/2021/01001/implications_of_the_covid_19_pandemic_on_lgbtq.12.aspx </w:t>
      </w:r>
      <w:r>
        <w:rPr>
          <w:spacing w:val="-4"/>
          <w:sz w:val="20"/>
        </w:rPr>
        <w:t>#:~:text=The%20economic%20ramifications%20of%20COVID,and%2017.9%25%20reporting%20reduced%20wages</w:t>
      </w:r>
      <w:r>
        <w:rPr>
          <w:spacing w:val="40"/>
          <w:sz w:val="20"/>
        </w:rPr>
        <w:t xml:space="preserve">  </w:t>
      </w:r>
      <w:bookmarkStart w:id="60" w:name="_bookmark26"/>
      <w:bookmarkEnd w:id="60"/>
      <w:r>
        <w:rPr>
          <w:sz w:val="20"/>
          <w:vertAlign w:val="superscript"/>
        </w:rPr>
        <w:t>5</w:t>
      </w:r>
      <w:r>
        <w:rPr>
          <w:sz w:val="20"/>
        </w:rPr>
        <w:t xml:space="preserve"> “LGBTQ+ Health Dispariti</w:t>
      </w:r>
      <w:r>
        <w:rPr>
          <w:sz w:val="20"/>
        </w:rPr>
        <w:t>es,” Cigna, February 2017, https://</w:t>
      </w:r>
      <w:hyperlink r:id="rId119">
        <w:r>
          <w:rPr>
            <w:sz w:val="20"/>
          </w:rPr>
          <w:t>www.cigna.com/individuals-families/health-</w:t>
        </w:r>
      </w:hyperlink>
      <w:r>
        <w:rPr>
          <w:sz w:val="20"/>
        </w:rPr>
        <w:t xml:space="preserve"> </w:t>
      </w:r>
      <w:r>
        <w:rPr>
          <w:spacing w:val="-2"/>
          <w:sz w:val="20"/>
        </w:rPr>
        <w:t>wellness/lgbt-disparities.</w:t>
      </w:r>
    </w:p>
    <w:p w:rsidR="00C76E6D" w:rsidRDefault="00913831">
      <w:pPr>
        <w:ind w:left="481" w:right="1919" w:hanging="3"/>
        <w:rPr>
          <w:sz w:val="20"/>
        </w:rPr>
      </w:pPr>
      <w:bookmarkStart w:id="61" w:name="_bookmark27"/>
      <w:bookmarkEnd w:id="61"/>
      <w:r>
        <w:rPr>
          <w:sz w:val="20"/>
          <w:vertAlign w:val="superscript"/>
        </w:rPr>
        <w:t>6</w:t>
      </w:r>
      <w:r>
        <w:rPr>
          <w:spacing w:val="-5"/>
          <w:sz w:val="20"/>
        </w:rPr>
        <w:t xml:space="preserve"> </w:t>
      </w:r>
      <w:r>
        <w:rPr>
          <w:sz w:val="20"/>
        </w:rPr>
        <w:t>Rhode</w:t>
      </w:r>
      <w:r>
        <w:rPr>
          <w:spacing w:val="-6"/>
          <w:sz w:val="20"/>
        </w:rPr>
        <w:t xml:space="preserve"> </w:t>
      </w:r>
      <w:r>
        <w:rPr>
          <w:sz w:val="20"/>
        </w:rPr>
        <w:t>Island</w:t>
      </w:r>
      <w:r>
        <w:rPr>
          <w:spacing w:val="-7"/>
          <w:sz w:val="20"/>
        </w:rPr>
        <w:t xml:space="preserve"> </w:t>
      </w:r>
      <w:r>
        <w:rPr>
          <w:sz w:val="20"/>
        </w:rPr>
        <w:t>Prevention</w:t>
      </w:r>
      <w:r>
        <w:rPr>
          <w:spacing w:val="-6"/>
          <w:sz w:val="20"/>
        </w:rPr>
        <w:t xml:space="preserve"> </w:t>
      </w:r>
      <w:r>
        <w:rPr>
          <w:sz w:val="20"/>
        </w:rPr>
        <w:t>Resource</w:t>
      </w:r>
      <w:r>
        <w:rPr>
          <w:spacing w:val="-5"/>
          <w:sz w:val="20"/>
        </w:rPr>
        <w:t xml:space="preserve"> </w:t>
      </w:r>
      <w:r>
        <w:rPr>
          <w:sz w:val="20"/>
        </w:rPr>
        <w:t>Center,</w:t>
      </w:r>
      <w:r>
        <w:rPr>
          <w:spacing w:val="-8"/>
          <w:sz w:val="20"/>
        </w:rPr>
        <w:t xml:space="preserve"> </w:t>
      </w:r>
      <w:r>
        <w:rPr>
          <w:sz w:val="20"/>
        </w:rPr>
        <w:t>“LGBTQ</w:t>
      </w:r>
      <w:r>
        <w:rPr>
          <w:spacing w:val="-6"/>
          <w:sz w:val="20"/>
        </w:rPr>
        <w:t xml:space="preserve"> </w:t>
      </w:r>
      <w:r>
        <w:rPr>
          <w:sz w:val="20"/>
        </w:rPr>
        <w:t>Youth</w:t>
      </w:r>
      <w:r>
        <w:rPr>
          <w:spacing w:val="-6"/>
          <w:sz w:val="20"/>
        </w:rPr>
        <w:t xml:space="preserve"> </w:t>
      </w:r>
      <w:r>
        <w:rPr>
          <w:sz w:val="20"/>
        </w:rPr>
        <w:t>and</w:t>
      </w:r>
      <w:r>
        <w:rPr>
          <w:spacing w:val="-5"/>
          <w:sz w:val="20"/>
        </w:rPr>
        <w:t xml:space="preserve"> </w:t>
      </w:r>
      <w:r>
        <w:rPr>
          <w:sz w:val="20"/>
        </w:rPr>
        <w:t>Substance</w:t>
      </w:r>
      <w:r>
        <w:rPr>
          <w:spacing w:val="-8"/>
          <w:sz w:val="20"/>
        </w:rPr>
        <w:t xml:space="preserve"> </w:t>
      </w:r>
      <w:r>
        <w:rPr>
          <w:sz w:val="20"/>
        </w:rPr>
        <w:t>Abuse</w:t>
      </w:r>
      <w:r>
        <w:rPr>
          <w:spacing w:val="-7"/>
          <w:sz w:val="20"/>
        </w:rPr>
        <w:t xml:space="preserve"> </w:t>
      </w:r>
      <w:r>
        <w:rPr>
          <w:sz w:val="20"/>
        </w:rPr>
        <w:t>Fact</w:t>
      </w:r>
      <w:r>
        <w:rPr>
          <w:spacing w:val="-7"/>
          <w:sz w:val="20"/>
        </w:rPr>
        <w:t xml:space="preserve"> </w:t>
      </w:r>
      <w:r>
        <w:rPr>
          <w:sz w:val="20"/>
        </w:rPr>
        <w:t>S</w:t>
      </w:r>
      <w:r>
        <w:rPr>
          <w:sz w:val="20"/>
        </w:rPr>
        <w:t>heet,</w:t>
      </w:r>
      <w:r>
        <w:rPr>
          <w:spacing w:val="-6"/>
          <w:sz w:val="20"/>
        </w:rPr>
        <w:t xml:space="preserve"> </w:t>
      </w:r>
      <w:r>
        <w:rPr>
          <w:sz w:val="20"/>
        </w:rPr>
        <w:t xml:space="preserve">2014, </w:t>
      </w:r>
      <w:bookmarkStart w:id="62" w:name="_bookmark28"/>
      <w:bookmarkEnd w:id="62"/>
      <w:r>
        <w:fldChar w:fldCharType="begin"/>
      </w:r>
      <w:r>
        <w:instrText xml:space="preserve"> HYPERLINK "http://www.riprc.org/wp-content/uploads/2014/06/LGBTQyouth-final.pdf" \h </w:instrText>
      </w:r>
      <w:r>
        <w:fldChar w:fldCharType="separate"/>
      </w:r>
      <w:r>
        <w:rPr>
          <w:spacing w:val="-2"/>
          <w:sz w:val="20"/>
        </w:rPr>
        <w:t>http://www.riprc.org/wp-content/uploads/2014/06/LGBTQyouth-final.pdf.</w:t>
      </w:r>
      <w:r>
        <w:rPr>
          <w:spacing w:val="-2"/>
          <w:sz w:val="20"/>
        </w:rPr>
        <w:fldChar w:fldCharType="end"/>
      </w:r>
    </w:p>
    <w:p w:rsidR="00C76E6D" w:rsidRDefault="00913831">
      <w:pPr>
        <w:ind w:left="481" w:right="1600" w:hanging="3"/>
        <w:rPr>
          <w:sz w:val="20"/>
        </w:rPr>
      </w:pPr>
      <w:r>
        <w:rPr>
          <w:sz w:val="20"/>
          <w:vertAlign w:val="superscript"/>
        </w:rPr>
        <w:t>7</w:t>
      </w:r>
      <w:r>
        <w:rPr>
          <w:spacing w:val="-4"/>
          <w:sz w:val="20"/>
        </w:rPr>
        <w:t xml:space="preserve"> </w:t>
      </w:r>
      <w:r>
        <w:rPr>
          <w:sz w:val="20"/>
        </w:rPr>
        <w:t>“Center</w:t>
      </w:r>
      <w:r>
        <w:rPr>
          <w:spacing w:val="-9"/>
          <w:sz w:val="20"/>
        </w:rPr>
        <w:t xml:space="preserve"> </w:t>
      </w:r>
      <w:r>
        <w:rPr>
          <w:sz w:val="20"/>
        </w:rPr>
        <w:t>for</w:t>
      </w:r>
      <w:r>
        <w:rPr>
          <w:spacing w:val="-10"/>
          <w:sz w:val="20"/>
        </w:rPr>
        <w:t xml:space="preserve"> </w:t>
      </w:r>
      <w:r>
        <w:rPr>
          <w:sz w:val="20"/>
        </w:rPr>
        <w:t>Disease</w:t>
      </w:r>
      <w:r>
        <w:rPr>
          <w:spacing w:val="-8"/>
          <w:sz w:val="20"/>
        </w:rPr>
        <w:t xml:space="preserve"> </w:t>
      </w:r>
      <w:r>
        <w:rPr>
          <w:sz w:val="20"/>
        </w:rPr>
        <w:t>Control</w:t>
      </w:r>
      <w:r>
        <w:rPr>
          <w:spacing w:val="-10"/>
          <w:sz w:val="20"/>
        </w:rPr>
        <w:t xml:space="preserve"> </w:t>
      </w:r>
      <w:r>
        <w:rPr>
          <w:sz w:val="20"/>
        </w:rPr>
        <w:t>and</w:t>
      </w:r>
      <w:r>
        <w:rPr>
          <w:spacing w:val="-7"/>
          <w:sz w:val="20"/>
        </w:rPr>
        <w:t xml:space="preserve"> </w:t>
      </w:r>
      <w:r>
        <w:rPr>
          <w:sz w:val="20"/>
        </w:rPr>
        <w:t>Prevention,</w:t>
      </w:r>
      <w:r>
        <w:rPr>
          <w:spacing w:val="-7"/>
          <w:sz w:val="20"/>
        </w:rPr>
        <w:t xml:space="preserve"> </w:t>
      </w:r>
      <w:r>
        <w:rPr>
          <w:sz w:val="20"/>
        </w:rPr>
        <w:t>“Massachusetts</w:t>
      </w:r>
      <w:r>
        <w:rPr>
          <w:spacing w:val="-8"/>
          <w:sz w:val="20"/>
        </w:rPr>
        <w:t xml:space="preserve"> </w:t>
      </w:r>
      <w:r>
        <w:rPr>
          <w:sz w:val="20"/>
        </w:rPr>
        <w:t>2019</w:t>
      </w:r>
      <w:r>
        <w:rPr>
          <w:spacing w:val="-8"/>
          <w:sz w:val="20"/>
        </w:rPr>
        <w:t xml:space="preserve"> </w:t>
      </w:r>
      <w:r>
        <w:rPr>
          <w:sz w:val="20"/>
        </w:rPr>
        <w:t>Results,”</w:t>
      </w:r>
      <w:r>
        <w:rPr>
          <w:spacing w:val="-7"/>
          <w:sz w:val="20"/>
        </w:rPr>
        <w:t xml:space="preserve"> </w:t>
      </w:r>
      <w:r>
        <w:rPr>
          <w:sz w:val="20"/>
        </w:rPr>
        <w:t xml:space="preserve">2019, </w:t>
      </w:r>
      <w:r>
        <w:rPr>
          <w:spacing w:val="-2"/>
          <w:sz w:val="20"/>
        </w:rPr>
        <w:t>https://nccd.cdc.gov/youthonline/app/Results.aspx?LID=MA.</w:t>
      </w:r>
    </w:p>
    <w:p w:rsidR="00C76E6D" w:rsidRDefault="00913831">
      <w:pPr>
        <w:ind w:left="479" w:right="645" w:hanging="1"/>
        <w:jc w:val="both"/>
        <w:rPr>
          <w:sz w:val="20"/>
        </w:rPr>
      </w:pPr>
      <w:bookmarkStart w:id="63" w:name="_bookmark29"/>
      <w:bookmarkEnd w:id="63"/>
      <w:r>
        <w:rPr>
          <w:sz w:val="20"/>
          <w:vertAlign w:val="superscript"/>
        </w:rPr>
        <w:t>8</w:t>
      </w:r>
      <w:r>
        <w:rPr>
          <w:sz w:val="20"/>
        </w:rPr>
        <w:t xml:space="preserve"> Medardo Perez, “Transgender Students</w:t>
      </w:r>
      <w:r>
        <w:rPr>
          <w:spacing w:val="-1"/>
          <w:sz w:val="20"/>
        </w:rPr>
        <w:t xml:space="preserve"> </w:t>
      </w:r>
      <w:r>
        <w:rPr>
          <w:sz w:val="20"/>
        </w:rPr>
        <w:t>Face Higher</w:t>
      </w:r>
      <w:r>
        <w:rPr>
          <w:spacing w:val="-1"/>
          <w:sz w:val="20"/>
        </w:rPr>
        <w:t xml:space="preserve"> </w:t>
      </w:r>
      <w:r>
        <w:rPr>
          <w:sz w:val="20"/>
        </w:rPr>
        <w:t>Rates</w:t>
      </w:r>
      <w:r>
        <w:rPr>
          <w:spacing w:val="-1"/>
          <w:sz w:val="20"/>
        </w:rPr>
        <w:t xml:space="preserve"> </w:t>
      </w:r>
      <w:r>
        <w:rPr>
          <w:sz w:val="20"/>
        </w:rPr>
        <w:t>of Substance</w:t>
      </w:r>
      <w:r>
        <w:rPr>
          <w:spacing w:val="-2"/>
          <w:sz w:val="20"/>
        </w:rPr>
        <w:t xml:space="preserve"> </w:t>
      </w:r>
      <w:r>
        <w:rPr>
          <w:sz w:val="20"/>
        </w:rPr>
        <w:t>Abuse,</w:t>
      </w:r>
      <w:r>
        <w:rPr>
          <w:spacing w:val="-1"/>
          <w:sz w:val="20"/>
        </w:rPr>
        <w:t xml:space="preserve"> </w:t>
      </w:r>
      <w:r>
        <w:rPr>
          <w:sz w:val="20"/>
        </w:rPr>
        <w:t>Study Finds,”</w:t>
      </w:r>
      <w:r>
        <w:rPr>
          <w:spacing w:val="-1"/>
          <w:sz w:val="20"/>
        </w:rPr>
        <w:t xml:space="preserve"> </w:t>
      </w:r>
      <w:r>
        <w:rPr>
          <w:sz w:val="20"/>
        </w:rPr>
        <w:t>NBC</w:t>
      </w:r>
      <w:r>
        <w:rPr>
          <w:spacing w:val="-1"/>
          <w:sz w:val="20"/>
        </w:rPr>
        <w:t xml:space="preserve"> </w:t>
      </w:r>
      <w:r>
        <w:rPr>
          <w:sz w:val="20"/>
        </w:rPr>
        <w:t>News, August 30,</w:t>
      </w:r>
      <w:r>
        <w:rPr>
          <w:spacing w:val="-12"/>
          <w:sz w:val="20"/>
        </w:rPr>
        <w:t xml:space="preserve"> </w:t>
      </w:r>
      <w:r>
        <w:rPr>
          <w:sz w:val="20"/>
        </w:rPr>
        <w:t>2017,</w:t>
      </w:r>
      <w:r>
        <w:rPr>
          <w:spacing w:val="-11"/>
          <w:sz w:val="20"/>
        </w:rPr>
        <w:t xml:space="preserve"> </w:t>
      </w:r>
      <w:r>
        <w:rPr>
          <w:sz w:val="20"/>
        </w:rPr>
        <w:t>https://</w:t>
      </w:r>
      <w:hyperlink r:id="rId120">
        <w:r>
          <w:rPr>
            <w:sz w:val="20"/>
          </w:rPr>
          <w:t>www.nbcnews.com/feature/nbc-out/transgender-students-face-higher-rates-substance-abuse-</w:t>
        </w:r>
      </w:hyperlink>
      <w:r>
        <w:rPr>
          <w:sz w:val="20"/>
        </w:rPr>
        <w:t xml:space="preserve"> </w:t>
      </w:r>
      <w:r>
        <w:rPr>
          <w:spacing w:val="-2"/>
          <w:sz w:val="20"/>
        </w:rPr>
        <w:t>study-finds-n795016.</w:t>
      </w:r>
    </w:p>
    <w:p w:rsidR="00C76E6D" w:rsidRDefault="00913831">
      <w:pPr>
        <w:ind w:left="479" w:right="1318" w:hanging="1"/>
        <w:rPr>
          <w:sz w:val="20"/>
        </w:rPr>
      </w:pPr>
      <w:bookmarkStart w:id="64" w:name="_bookmark30"/>
      <w:bookmarkEnd w:id="64"/>
      <w:r>
        <w:rPr>
          <w:sz w:val="20"/>
          <w:vertAlign w:val="superscript"/>
        </w:rPr>
        <w:t>9</w:t>
      </w:r>
      <w:r>
        <w:rPr>
          <w:spacing w:val="-9"/>
          <w:sz w:val="20"/>
        </w:rPr>
        <w:t xml:space="preserve"> </w:t>
      </w:r>
      <w:r>
        <w:rPr>
          <w:sz w:val="20"/>
        </w:rPr>
        <w:t>“LGBTQ+</w:t>
      </w:r>
      <w:r>
        <w:rPr>
          <w:spacing w:val="-10"/>
          <w:sz w:val="20"/>
        </w:rPr>
        <w:t xml:space="preserve"> </w:t>
      </w:r>
      <w:r>
        <w:rPr>
          <w:sz w:val="20"/>
        </w:rPr>
        <w:t>Health</w:t>
      </w:r>
      <w:r>
        <w:rPr>
          <w:spacing w:val="-10"/>
          <w:sz w:val="20"/>
        </w:rPr>
        <w:t xml:space="preserve"> </w:t>
      </w:r>
      <w:r>
        <w:rPr>
          <w:sz w:val="20"/>
        </w:rPr>
        <w:t>Disparities,”</w:t>
      </w:r>
      <w:r>
        <w:rPr>
          <w:spacing w:val="-11"/>
          <w:sz w:val="20"/>
        </w:rPr>
        <w:t xml:space="preserve"> </w:t>
      </w:r>
      <w:r>
        <w:rPr>
          <w:sz w:val="20"/>
        </w:rPr>
        <w:t>Cigna,</w:t>
      </w:r>
      <w:r>
        <w:rPr>
          <w:spacing w:val="-12"/>
          <w:sz w:val="20"/>
        </w:rPr>
        <w:t xml:space="preserve"> </w:t>
      </w:r>
      <w:r>
        <w:rPr>
          <w:sz w:val="20"/>
        </w:rPr>
        <w:t>February</w:t>
      </w:r>
      <w:r>
        <w:rPr>
          <w:spacing w:val="-9"/>
          <w:sz w:val="20"/>
        </w:rPr>
        <w:t xml:space="preserve"> </w:t>
      </w:r>
      <w:r>
        <w:rPr>
          <w:sz w:val="20"/>
        </w:rPr>
        <w:t>2017,</w:t>
      </w:r>
      <w:r>
        <w:rPr>
          <w:spacing w:val="-12"/>
          <w:sz w:val="20"/>
        </w:rPr>
        <w:t xml:space="preserve"> </w:t>
      </w:r>
      <w:r>
        <w:rPr>
          <w:sz w:val="20"/>
        </w:rPr>
        <w:t>https://</w:t>
      </w:r>
      <w:hyperlink r:id="rId121">
        <w:r>
          <w:rPr>
            <w:sz w:val="20"/>
          </w:rPr>
          <w:t>www.cigna.com/individuals-families/health-</w:t>
        </w:r>
      </w:hyperlink>
      <w:r>
        <w:rPr>
          <w:sz w:val="20"/>
        </w:rPr>
        <w:t xml:space="preserve"> </w:t>
      </w:r>
      <w:r>
        <w:rPr>
          <w:spacing w:val="-2"/>
          <w:sz w:val="20"/>
        </w:rPr>
        <w:t>wellness/lgbt-disparities.</w:t>
      </w:r>
    </w:p>
    <w:p w:rsidR="00C76E6D" w:rsidRDefault="00913831">
      <w:pPr>
        <w:ind w:left="480" w:right="1217"/>
        <w:rPr>
          <w:i/>
          <w:sz w:val="20"/>
        </w:rPr>
      </w:pPr>
      <w:bookmarkStart w:id="65" w:name="_bookmark31"/>
      <w:bookmarkEnd w:id="65"/>
      <w:r>
        <w:rPr>
          <w:sz w:val="20"/>
          <w:vertAlign w:val="superscript"/>
        </w:rPr>
        <w:t>10</w:t>
      </w:r>
      <w:r>
        <w:rPr>
          <w:sz w:val="20"/>
        </w:rPr>
        <w:t xml:space="preserve"> “People with Certain Medical Conditions,” Center for Disease Control and Prevention, April 29, 2021, </w:t>
      </w:r>
      <w:bookmarkStart w:id="66" w:name="_bookmark32"/>
      <w:bookmarkEnd w:id="66"/>
      <w:r>
        <w:rPr>
          <w:spacing w:val="-4"/>
          <w:sz w:val="20"/>
        </w:rPr>
        <w:t>https://</w:t>
      </w:r>
      <w:hyperlink r:id="rId122">
        <w:r>
          <w:rPr>
            <w:spacing w:val="-4"/>
            <w:sz w:val="20"/>
          </w:rPr>
          <w:t>www.cdc.gov/coronavirus/2019-ncov/need-extra-precautions/people-with-medical-conditions.html.</w:t>
        </w:r>
      </w:hyperlink>
      <w:r>
        <w:rPr>
          <w:spacing w:val="80"/>
          <w:sz w:val="20"/>
        </w:rPr>
        <w:t xml:space="preserve"> </w:t>
      </w:r>
      <w:r>
        <w:rPr>
          <w:sz w:val="20"/>
          <w:vertAlign w:val="superscript"/>
        </w:rPr>
        <w:t>11</w:t>
      </w:r>
      <w:r>
        <w:rPr>
          <w:spacing w:val="-3"/>
          <w:sz w:val="20"/>
        </w:rPr>
        <w:t xml:space="preserve"> </w:t>
      </w:r>
      <w:r>
        <w:rPr>
          <w:sz w:val="20"/>
        </w:rPr>
        <w:t>M.V.</w:t>
      </w:r>
      <w:r>
        <w:rPr>
          <w:spacing w:val="-3"/>
          <w:sz w:val="20"/>
        </w:rPr>
        <w:t xml:space="preserve"> </w:t>
      </w:r>
      <w:r>
        <w:rPr>
          <w:sz w:val="20"/>
        </w:rPr>
        <w:t>Lee</w:t>
      </w:r>
      <w:r>
        <w:rPr>
          <w:spacing w:val="-3"/>
          <w:sz w:val="20"/>
        </w:rPr>
        <w:t xml:space="preserve"> </w:t>
      </w:r>
      <w:r>
        <w:rPr>
          <w:sz w:val="20"/>
        </w:rPr>
        <w:t>Badgett,</w:t>
      </w:r>
      <w:r>
        <w:rPr>
          <w:spacing w:val="-3"/>
          <w:sz w:val="20"/>
        </w:rPr>
        <w:t xml:space="preserve"> </w:t>
      </w:r>
      <w:r>
        <w:rPr>
          <w:sz w:val="20"/>
        </w:rPr>
        <w:t>Soon</w:t>
      </w:r>
      <w:r>
        <w:rPr>
          <w:spacing w:val="-4"/>
          <w:sz w:val="20"/>
        </w:rPr>
        <w:t xml:space="preserve"> </w:t>
      </w:r>
      <w:r>
        <w:rPr>
          <w:sz w:val="20"/>
        </w:rPr>
        <w:t>Kyu</w:t>
      </w:r>
      <w:r>
        <w:rPr>
          <w:spacing w:val="-2"/>
          <w:sz w:val="20"/>
        </w:rPr>
        <w:t xml:space="preserve"> </w:t>
      </w:r>
      <w:r>
        <w:rPr>
          <w:sz w:val="20"/>
        </w:rPr>
        <w:t>Choi,</w:t>
      </w:r>
      <w:r>
        <w:rPr>
          <w:spacing w:val="-3"/>
          <w:sz w:val="20"/>
        </w:rPr>
        <w:t xml:space="preserve"> </w:t>
      </w:r>
      <w:r>
        <w:rPr>
          <w:sz w:val="20"/>
        </w:rPr>
        <w:t>and</w:t>
      </w:r>
      <w:r>
        <w:rPr>
          <w:spacing w:val="-3"/>
          <w:sz w:val="20"/>
        </w:rPr>
        <w:t xml:space="preserve"> </w:t>
      </w:r>
      <w:r>
        <w:rPr>
          <w:sz w:val="20"/>
        </w:rPr>
        <w:t>Bianc</w:t>
      </w:r>
      <w:r>
        <w:rPr>
          <w:sz w:val="20"/>
        </w:rPr>
        <w:t>a</w:t>
      </w:r>
      <w:r>
        <w:rPr>
          <w:spacing w:val="-4"/>
          <w:sz w:val="20"/>
        </w:rPr>
        <w:t xml:space="preserve"> </w:t>
      </w:r>
      <w:r>
        <w:rPr>
          <w:sz w:val="20"/>
        </w:rPr>
        <w:t>D.M.</w:t>
      </w:r>
      <w:r>
        <w:rPr>
          <w:spacing w:val="-4"/>
          <w:sz w:val="20"/>
        </w:rPr>
        <w:t xml:space="preserve"> </w:t>
      </w:r>
      <w:r>
        <w:rPr>
          <w:sz w:val="20"/>
        </w:rPr>
        <w:t>Wilson,</w:t>
      </w:r>
      <w:r>
        <w:rPr>
          <w:spacing w:val="-2"/>
          <w:sz w:val="20"/>
        </w:rPr>
        <w:t xml:space="preserve"> </w:t>
      </w:r>
      <w:r>
        <w:rPr>
          <w:i/>
          <w:sz w:val="20"/>
        </w:rPr>
        <w:t>LGBT</w:t>
      </w:r>
      <w:r>
        <w:rPr>
          <w:i/>
          <w:spacing w:val="-2"/>
          <w:sz w:val="20"/>
        </w:rPr>
        <w:t xml:space="preserve"> </w:t>
      </w:r>
      <w:r>
        <w:rPr>
          <w:i/>
          <w:sz w:val="20"/>
        </w:rPr>
        <w:t>Poverty</w:t>
      </w:r>
      <w:r>
        <w:rPr>
          <w:i/>
          <w:spacing w:val="-3"/>
          <w:sz w:val="20"/>
        </w:rPr>
        <w:t xml:space="preserve"> </w:t>
      </w:r>
      <w:r>
        <w:rPr>
          <w:i/>
          <w:sz w:val="20"/>
        </w:rPr>
        <w:t>in</w:t>
      </w:r>
      <w:r>
        <w:rPr>
          <w:i/>
          <w:spacing w:val="-2"/>
          <w:sz w:val="20"/>
        </w:rPr>
        <w:t xml:space="preserve"> </w:t>
      </w:r>
      <w:r>
        <w:rPr>
          <w:i/>
          <w:sz w:val="20"/>
        </w:rPr>
        <w:t>the</w:t>
      </w:r>
      <w:r>
        <w:rPr>
          <w:i/>
          <w:spacing w:val="-3"/>
          <w:sz w:val="20"/>
        </w:rPr>
        <w:t xml:space="preserve"> </w:t>
      </w:r>
      <w:r>
        <w:rPr>
          <w:i/>
          <w:sz w:val="20"/>
        </w:rPr>
        <w:t>United</w:t>
      </w:r>
      <w:r>
        <w:rPr>
          <w:i/>
          <w:spacing w:val="-4"/>
          <w:sz w:val="20"/>
        </w:rPr>
        <w:t xml:space="preserve"> </w:t>
      </w:r>
      <w:r>
        <w:rPr>
          <w:i/>
          <w:sz w:val="20"/>
        </w:rPr>
        <w:t>States:</w:t>
      </w:r>
      <w:r>
        <w:rPr>
          <w:i/>
          <w:spacing w:val="-4"/>
          <w:sz w:val="20"/>
        </w:rPr>
        <w:t xml:space="preserve"> </w:t>
      </w:r>
      <w:r>
        <w:rPr>
          <w:i/>
          <w:sz w:val="20"/>
        </w:rPr>
        <w:t>A</w:t>
      </w:r>
      <w:r>
        <w:rPr>
          <w:i/>
          <w:spacing w:val="-3"/>
          <w:sz w:val="20"/>
        </w:rPr>
        <w:t xml:space="preserve"> </w:t>
      </w:r>
      <w:r>
        <w:rPr>
          <w:i/>
          <w:sz w:val="20"/>
        </w:rPr>
        <w:t>Study</w:t>
      </w:r>
      <w:r>
        <w:rPr>
          <w:i/>
          <w:spacing w:val="-4"/>
          <w:sz w:val="20"/>
        </w:rPr>
        <w:t xml:space="preserve"> </w:t>
      </w:r>
      <w:r>
        <w:rPr>
          <w:i/>
          <w:spacing w:val="-5"/>
          <w:sz w:val="20"/>
        </w:rPr>
        <w:t>of</w:t>
      </w:r>
    </w:p>
    <w:p w:rsidR="00C76E6D" w:rsidRDefault="00913831">
      <w:pPr>
        <w:ind w:left="479" w:right="530" w:hanging="1"/>
        <w:rPr>
          <w:sz w:val="20"/>
        </w:rPr>
      </w:pPr>
      <w:r>
        <w:rPr>
          <w:i/>
          <w:sz w:val="20"/>
        </w:rPr>
        <w:t>Differences</w:t>
      </w:r>
      <w:r>
        <w:rPr>
          <w:i/>
          <w:spacing w:val="-4"/>
          <w:sz w:val="20"/>
        </w:rPr>
        <w:t xml:space="preserve"> </w:t>
      </w:r>
      <w:r>
        <w:rPr>
          <w:i/>
          <w:sz w:val="20"/>
        </w:rPr>
        <w:t>between</w:t>
      </w:r>
      <w:r>
        <w:rPr>
          <w:i/>
          <w:spacing w:val="-5"/>
          <w:sz w:val="20"/>
        </w:rPr>
        <w:t xml:space="preserve"> </w:t>
      </w:r>
      <w:r>
        <w:rPr>
          <w:i/>
          <w:sz w:val="20"/>
        </w:rPr>
        <w:t>Sexual</w:t>
      </w:r>
      <w:r>
        <w:rPr>
          <w:i/>
          <w:spacing w:val="-6"/>
          <w:sz w:val="20"/>
        </w:rPr>
        <w:t xml:space="preserve"> </w:t>
      </w:r>
      <w:r>
        <w:rPr>
          <w:i/>
          <w:sz w:val="20"/>
        </w:rPr>
        <w:t>Orientation</w:t>
      </w:r>
      <w:r>
        <w:rPr>
          <w:i/>
          <w:spacing w:val="-4"/>
          <w:sz w:val="20"/>
        </w:rPr>
        <w:t xml:space="preserve"> </w:t>
      </w:r>
      <w:r>
        <w:rPr>
          <w:i/>
          <w:sz w:val="20"/>
        </w:rPr>
        <w:t>and</w:t>
      </w:r>
      <w:r>
        <w:rPr>
          <w:i/>
          <w:spacing w:val="-7"/>
          <w:sz w:val="20"/>
        </w:rPr>
        <w:t xml:space="preserve"> </w:t>
      </w:r>
      <w:r>
        <w:rPr>
          <w:i/>
          <w:sz w:val="20"/>
        </w:rPr>
        <w:t>Gender</w:t>
      </w:r>
      <w:r>
        <w:rPr>
          <w:i/>
          <w:spacing w:val="-6"/>
          <w:sz w:val="20"/>
        </w:rPr>
        <w:t xml:space="preserve"> </w:t>
      </w:r>
      <w:r>
        <w:rPr>
          <w:i/>
          <w:sz w:val="20"/>
        </w:rPr>
        <w:t>Identify</w:t>
      </w:r>
      <w:r>
        <w:rPr>
          <w:i/>
          <w:spacing w:val="-4"/>
          <w:sz w:val="20"/>
        </w:rPr>
        <w:t xml:space="preserve"> </w:t>
      </w:r>
      <w:r>
        <w:rPr>
          <w:i/>
          <w:sz w:val="20"/>
        </w:rPr>
        <w:t>Groups</w:t>
      </w:r>
      <w:r>
        <w:rPr>
          <w:i/>
          <w:spacing w:val="-8"/>
          <w:sz w:val="20"/>
        </w:rPr>
        <w:t xml:space="preserve"> </w:t>
      </w:r>
      <w:r>
        <w:rPr>
          <w:sz w:val="20"/>
        </w:rPr>
        <w:t>(Los</w:t>
      </w:r>
      <w:r>
        <w:rPr>
          <w:spacing w:val="-7"/>
          <w:sz w:val="20"/>
        </w:rPr>
        <w:t xml:space="preserve"> </w:t>
      </w:r>
      <w:r>
        <w:rPr>
          <w:sz w:val="20"/>
        </w:rPr>
        <w:t>Angeles:</w:t>
      </w:r>
      <w:r>
        <w:rPr>
          <w:spacing w:val="-5"/>
          <w:sz w:val="20"/>
        </w:rPr>
        <w:t xml:space="preserve"> </w:t>
      </w:r>
      <w:r>
        <w:rPr>
          <w:sz w:val="20"/>
        </w:rPr>
        <w:t>Williams</w:t>
      </w:r>
      <w:r>
        <w:rPr>
          <w:spacing w:val="-6"/>
          <w:sz w:val="20"/>
        </w:rPr>
        <w:t xml:space="preserve"> </w:t>
      </w:r>
      <w:r>
        <w:rPr>
          <w:sz w:val="20"/>
        </w:rPr>
        <w:t>Institute</w:t>
      </w:r>
      <w:r>
        <w:rPr>
          <w:spacing w:val="-6"/>
          <w:sz w:val="20"/>
        </w:rPr>
        <w:t xml:space="preserve"> </w:t>
      </w:r>
      <w:r>
        <w:rPr>
          <w:sz w:val="20"/>
        </w:rPr>
        <w:t>at</w:t>
      </w:r>
      <w:r>
        <w:rPr>
          <w:spacing w:val="-7"/>
          <w:sz w:val="20"/>
        </w:rPr>
        <w:t xml:space="preserve"> </w:t>
      </w:r>
      <w:r>
        <w:rPr>
          <w:sz w:val="20"/>
        </w:rPr>
        <w:t>UCLA</w:t>
      </w:r>
      <w:r>
        <w:rPr>
          <w:spacing w:val="-4"/>
          <w:sz w:val="20"/>
        </w:rPr>
        <w:t xml:space="preserve"> </w:t>
      </w:r>
      <w:r>
        <w:rPr>
          <w:sz w:val="20"/>
        </w:rPr>
        <w:t>School of Law, 2019), https://williamsinstitute.law.ucla.edu/wp-content/uploads/National-LGBT-Poverty-Oct-2019.pdf.</w:t>
      </w:r>
    </w:p>
    <w:p w:rsidR="00C76E6D" w:rsidRDefault="00913831">
      <w:pPr>
        <w:ind w:left="480" w:right="649" w:hanging="2"/>
        <w:rPr>
          <w:sz w:val="20"/>
        </w:rPr>
      </w:pPr>
      <w:bookmarkStart w:id="67" w:name="_bookmark33"/>
      <w:bookmarkEnd w:id="67"/>
      <w:r>
        <w:rPr>
          <w:sz w:val="20"/>
          <w:vertAlign w:val="superscript"/>
        </w:rPr>
        <w:t>12</w:t>
      </w:r>
      <w:r>
        <w:rPr>
          <w:spacing w:val="-2"/>
          <w:sz w:val="20"/>
        </w:rPr>
        <w:t xml:space="preserve"> </w:t>
      </w:r>
      <w:r>
        <w:rPr>
          <w:sz w:val="20"/>
        </w:rPr>
        <w:t>Sean</w:t>
      </w:r>
      <w:r>
        <w:rPr>
          <w:spacing w:val="-5"/>
          <w:sz w:val="20"/>
        </w:rPr>
        <w:t xml:space="preserve"> </w:t>
      </w:r>
      <w:r>
        <w:rPr>
          <w:sz w:val="20"/>
        </w:rPr>
        <w:t>Cahill,</w:t>
      </w:r>
      <w:r>
        <w:rPr>
          <w:spacing w:val="-5"/>
          <w:sz w:val="20"/>
        </w:rPr>
        <w:t xml:space="preserve"> </w:t>
      </w:r>
      <w:r>
        <w:rPr>
          <w:sz w:val="20"/>
        </w:rPr>
        <w:t>Sophia</w:t>
      </w:r>
      <w:r>
        <w:rPr>
          <w:spacing w:val="-4"/>
          <w:sz w:val="20"/>
        </w:rPr>
        <w:t xml:space="preserve"> </w:t>
      </w:r>
      <w:r>
        <w:rPr>
          <w:sz w:val="20"/>
        </w:rPr>
        <w:t>Geffen,</w:t>
      </w:r>
      <w:r>
        <w:rPr>
          <w:spacing w:val="-7"/>
          <w:sz w:val="20"/>
        </w:rPr>
        <w:t xml:space="preserve"> </w:t>
      </w:r>
      <w:r>
        <w:rPr>
          <w:sz w:val="20"/>
        </w:rPr>
        <w:t>Anise</w:t>
      </w:r>
      <w:r>
        <w:rPr>
          <w:spacing w:val="-4"/>
          <w:sz w:val="20"/>
        </w:rPr>
        <w:t xml:space="preserve"> </w:t>
      </w:r>
      <w:r>
        <w:rPr>
          <w:sz w:val="20"/>
        </w:rPr>
        <w:t>Vance,</w:t>
      </w:r>
      <w:r>
        <w:rPr>
          <w:spacing w:val="-5"/>
          <w:sz w:val="20"/>
        </w:rPr>
        <w:t xml:space="preserve"> </w:t>
      </w:r>
      <w:r>
        <w:rPr>
          <w:sz w:val="20"/>
        </w:rPr>
        <w:t>Tim</w:t>
      </w:r>
      <w:r>
        <w:rPr>
          <w:spacing w:val="-6"/>
          <w:sz w:val="20"/>
        </w:rPr>
        <w:t xml:space="preserve"> </w:t>
      </w:r>
      <w:r>
        <w:rPr>
          <w:sz w:val="20"/>
        </w:rPr>
        <w:t>Wang,</w:t>
      </w:r>
      <w:r>
        <w:rPr>
          <w:spacing w:val="-5"/>
          <w:sz w:val="20"/>
        </w:rPr>
        <w:t xml:space="preserve"> </w:t>
      </w:r>
      <w:r>
        <w:rPr>
          <w:sz w:val="20"/>
        </w:rPr>
        <w:t>and</w:t>
      </w:r>
      <w:r>
        <w:rPr>
          <w:spacing w:val="-4"/>
          <w:sz w:val="20"/>
        </w:rPr>
        <w:t xml:space="preserve"> </w:t>
      </w:r>
      <w:r>
        <w:rPr>
          <w:sz w:val="20"/>
        </w:rPr>
        <w:t>Jacob</w:t>
      </w:r>
      <w:r>
        <w:rPr>
          <w:spacing w:val="-5"/>
          <w:sz w:val="20"/>
        </w:rPr>
        <w:t xml:space="preserve"> </w:t>
      </w:r>
      <w:r>
        <w:rPr>
          <w:sz w:val="20"/>
        </w:rPr>
        <w:t>Barrera,</w:t>
      </w:r>
      <w:r>
        <w:rPr>
          <w:spacing w:val="-8"/>
          <w:sz w:val="20"/>
        </w:rPr>
        <w:t xml:space="preserve"> </w:t>
      </w:r>
      <w:r>
        <w:rPr>
          <w:i/>
          <w:sz w:val="20"/>
        </w:rPr>
        <w:t>Equality</w:t>
      </w:r>
      <w:r>
        <w:rPr>
          <w:i/>
          <w:spacing w:val="-4"/>
          <w:sz w:val="20"/>
        </w:rPr>
        <w:t xml:space="preserve"> </w:t>
      </w:r>
      <w:r>
        <w:rPr>
          <w:i/>
          <w:sz w:val="20"/>
        </w:rPr>
        <w:t>and</w:t>
      </w:r>
      <w:r>
        <w:rPr>
          <w:i/>
          <w:spacing w:val="-5"/>
          <w:sz w:val="20"/>
        </w:rPr>
        <w:t xml:space="preserve"> </w:t>
      </w:r>
      <w:r>
        <w:rPr>
          <w:i/>
          <w:sz w:val="20"/>
        </w:rPr>
        <w:t>Equity:</w:t>
      </w:r>
      <w:r>
        <w:rPr>
          <w:i/>
          <w:spacing w:val="-7"/>
          <w:sz w:val="20"/>
        </w:rPr>
        <w:t xml:space="preserve"> </w:t>
      </w:r>
      <w:r>
        <w:rPr>
          <w:i/>
          <w:sz w:val="20"/>
        </w:rPr>
        <w:t>Advancing</w:t>
      </w:r>
      <w:r>
        <w:rPr>
          <w:i/>
          <w:spacing w:val="-4"/>
          <w:sz w:val="20"/>
        </w:rPr>
        <w:t xml:space="preserve"> </w:t>
      </w:r>
      <w:r>
        <w:rPr>
          <w:i/>
          <w:sz w:val="20"/>
        </w:rPr>
        <w:t>the</w:t>
      </w:r>
      <w:r>
        <w:rPr>
          <w:i/>
          <w:spacing w:val="-4"/>
          <w:sz w:val="20"/>
        </w:rPr>
        <w:t xml:space="preserve"> </w:t>
      </w:r>
      <w:r>
        <w:rPr>
          <w:i/>
          <w:sz w:val="20"/>
        </w:rPr>
        <w:t>LGBT Community in Massachusetts</w:t>
      </w:r>
      <w:r>
        <w:rPr>
          <w:sz w:val="20"/>
        </w:rPr>
        <w:t xml:space="preserve">, (Boston: Boston Indicators and the Fenway Institute, 2018), </w:t>
      </w:r>
      <w:r>
        <w:rPr>
          <w:spacing w:val="-2"/>
          <w:sz w:val="20"/>
        </w:rPr>
        <w:t>https://fenwayhealth.org/wp-content/uploads/Massachusetts-LGBT-Equality-Indicators-Report-5-31.pdf.</w:t>
      </w:r>
    </w:p>
    <w:p w:rsidR="00C76E6D" w:rsidRDefault="00913831">
      <w:pPr>
        <w:ind w:left="478" w:right="846" w:hanging="1"/>
        <w:rPr>
          <w:sz w:val="20"/>
        </w:rPr>
      </w:pPr>
      <w:bookmarkStart w:id="68" w:name="_bookmark34"/>
      <w:bookmarkEnd w:id="68"/>
      <w:r>
        <w:rPr>
          <w:sz w:val="20"/>
          <w:vertAlign w:val="superscript"/>
        </w:rPr>
        <w:t>13</w:t>
      </w:r>
      <w:r>
        <w:rPr>
          <w:sz w:val="20"/>
        </w:rPr>
        <w:t xml:space="preserve"> Thom File and Joey Marshall, “Household Pulse Survey Shows LGBT Adults More Likely to Repor</w:t>
      </w:r>
      <w:r>
        <w:rPr>
          <w:sz w:val="20"/>
        </w:rPr>
        <w:t>t Living in Households</w:t>
      </w:r>
      <w:r>
        <w:rPr>
          <w:spacing w:val="-9"/>
          <w:sz w:val="20"/>
        </w:rPr>
        <w:t xml:space="preserve"> </w:t>
      </w:r>
      <w:r>
        <w:rPr>
          <w:sz w:val="20"/>
        </w:rPr>
        <w:t>with</w:t>
      </w:r>
      <w:r>
        <w:rPr>
          <w:spacing w:val="-7"/>
          <w:sz w:val="20"/>
        </w:rPr>
        <w:t xml:space="preserve"> </w:t>
      </w:r>
      <w:r>
        <w:rPr>
          <w:sz w:val="20"/>
        </w:rPr>
        <w:t>Food</w:t>
      </w:r>
      <w:r>
        <w:rPr>
          <w:spacing w:val="-6"/>
          <w:sz w:val="20"/>
        </w:rPr>
        <w:t xml:space="preserve"> </w:t>
      </w:r>
      <w:r>
        <w:rPr>
          <w:sz w:val="20"/>
        </w:rPr>
        <w:t>and</w:t>
      </w:r>
      <w:r>
        <w:rPr>
          <w:spacing w:val="-9"/>
          <w:sz w:val="20"/>
        </w:rPr>
        <w:t xml:space="preserve"> </w:t>
      </w:r>
      <w:r>
        <w:rPr>
          <w:sz w:val="20"/>
        </w:rPr>
        <w:t>Economic</w:t>
      </w:r>
      <w:r>
        <w:rPr>
          <w:spacing w:val="-6"/>
          <w:sz w:val="20"/>
        </w:rPr>
        <w:t xml:space="preserve"> </w:t>
      </w:r>
      <w:r>
        <w:rPr>
          <w:sz w:val="20"/>
        </w:rPr>
        <w:t>Insecurity</w:t>
      </w:r>
      <w:r>
        <w:rPr>
          <w:spacing w:val="-5"/>
          <w:sz w:val="20"/>
        </w:rPr>
        <w:t xml:space="preserve"> </w:t>
      </w:r>
      <w:r>
        <w:rPr>
          <w:sz w:val="20"/>
        </w:rPr>
        <w:t>than</w:t>
      </w:r>
      <w:r>
        <w:rPr>
          <w:spacing w:val="-8"/>
          <w:sz w:val="20"/>
        </w:rPr>
        <w:t xml:space="preserve"> </w:t>
      </w:r>
      <w:r>
        <w:rPr>
          <w:sz w:val="20"/>
        </w:rPr>
        <w:t>Non-LGBT</w:t>
      </w:r>
      <w:r>
        <w:rPr>
          <w:spacing w:val="-7"/>
          <w:sz w:val="20"/>
        </w:rPr>
        <w:t xml:space="preserve"> </w:t>
      </w:r>
      <w:r>
        <w:rPr>
          <w:sz w:val="20"/>
        </w:rPr>
        <w:t>Respondents,”</w:t>
      </w:r>
      <w:r>
        <w:rPr>
          <w:spacing w:val="-6"/>
          <w:sz w:val="20"/>
        </w:rPr>
        <w:t xml:space="preserve"> </w:t>
      </w:r>
      <w:r>
        <w:rPr>
          <w:sz w:val="20"/>
        </w:rPr>
        <w:t>U.S.</w:t>
      </w:r>
      <w:r>
        <w:rPr>
          <w:spacing w:val="-7"/>
          <w:sz w:val="20"/>
        </w:rPr>
        <w:t xml:space="preserve"> </w:t>
      </w:r>
      <w:r>
        <w:rPr>
          <w:sz w:val="20"/>
        </w:rPr>
        <w:t>Census</w:t>
      </w:r>
      <w:r>
        <w:rPr>
          <w:spacing w:val="-7"/>
          <w:sz w:val="20"/>
        </w:rPr>
        <w:t xml:space="preserve"> </w:t>
      </w:r>
      <w:r>
        <w:rPr>
          <w:sz w:val="20"/>
        </w:rPr>
        <w:t>Bureau,</w:t>
      </w:r>
      <w:r>
        <w:rPr>
          <w:spacing w:val="-7"/>
          <w:sz w:val="20"/>
        </w:rPr>
        <w:t xml:space="preserve"> </w:t>
      </w:r>
      <w:r>
        <w:rPr>
          <w:sz w:val="20"/>
        </w:rPr>
        <w:t>August</w:t>
      </w:r>
      <w:r>
        <w:rPr>
          <w:spacing w:val="-7"/>
          <w:sz w:val="20"/>
        </w:rPr>
        <w:t xml:space="preserve"> </w:t>
      </w:r>
      <w:r>
        <w:rPr>
          <w:sz w:val="20"/>
        </w:rPr>
        <w:t>11, 2021, https://</w:t>
      </w:r>
      <w:hyperlink r:id="rId123">
        <w:r>
          <w:rPr>
            <w:sz w:val="20"/>
          </w:rPr>
          <w:t>www.census.g</w:t>
        </w:r>
        <w:r>
          <w:rPr>
            <w:sz w:val="20"/>
          </w:rPr>
          <w:t>ov/library/stories/2021/08/lgbt-community-harder-hit-by-economic-impact-of-</w:t>
        </w:r>
      </w:hyperlink>
      <w:r>
        <w:rPr>
          <w:sz w:val="20"/>
        </w:rPr>
        <w:t xml:space="preserve"> </w:t>
      </w:r>
      <w:bookmarkStart w:id="69" w:name="_bookmark35"/>
      <w:bookmarkEnd w:id="69"/>
      <w:r>
        <w:rPr>
          <w:spacing w:val="-2"/>
          <w:sz w:val="20"/>
        </w:rPr>
        <w:t>pandemic.html.</w:t>
      </w:r>
    </w:p>
    <w:p w:rsidR="00C76E6D" w:rsidRDefault="00913831">
      <w:pPr>
        <w:ind w:left="480" w:right="681" w:hanging="3"/>
        <w:rPr>
          <w:sz w:val="20"/>
        </w:rPr>
      </w:pPr>
      <w:r>
        <w:rPr>
          <w:sz w:val="20"/>
          <w:vertAlign w:val="superscript"/>
        </w:rPr>
        <w:t>14</w:t>
      </w:r>
      <w:r>
        <w:rPr>
          <w:spacing w:val="-4"/>
          <w:sz w:val="20"/>
        </w:rPr>
        <w:t xml:space="preserve"> </w:t>
      </w:r>
      <w:r>
        <w:rPr>
          <w:sz w:val="20"/>
        </w:rPr>
        <w:t>Shengwei</w:t>
      </w:r>
      <w:r>
        <w:rPr>
          <w:spacing w:val="-7"/>
          <w:sz w:val="20"/>
        </w:rPr>
        <w:t xml:space="preserve"> </w:t>
      </w:r>
      <w:r>
        <w:rPr>
          <w:sz w:val="20"/>
        </w:rPr>
        <w:t>Sun,</w:t>
      </w:r>
      <w:r>
        <w:rPr>
          <w:spacing w:val="-4"/>
          <w:sz w:val="20"/>
        </w:rPr>
        <w:t xml:space="preserve"> </w:t>
      </w:r>
      <w:r>
        <w:rPr>
          <w:i/>
          <w:sz w:val="20"/>
        </w:rPr>
        <w:t>Unequal</w:t>
      </w:r>
      <w:r>
        <w:rPr>
          <w:i/>
          <w:spacing w:val="-5"/>
          <w:sz w:val="20"/>
        </w:rPr>
        <w:t xml:space="preserve"> </w:t>
      </w:r>
      <w:r>
        <w:rPr>
          <w:i/>
          <w:sz w:val="20"/>
        </w:rPr>
        <w:t>Present,</w:t>
      </w:r>
      <w:r>
        <w:rPr>
          <w:i/>
          <w:spacing w:val="-5"/>
          <w:sz w:val="20"/>
        </w:rPr>
        <w:t xml:space="preserve"> </w:t>
      </w:r>
      <w:r>
        <w:rPr>
          <w:i/>
          <w:sz w:val="20"/>
        </w:rPr>
        <w:t>Unfair</w:t>
      </w:r>
      <w:r>
        <w:rPr>
          <w:i/>
          <w:spacing w:val="-5"/>
          <w:sz w:val="20"/>
        </w:rPr>
        <w:t xml:space="preserve"> </w:t>
      </w:r>
      <w:r>
        <w:rPr>
          <w:i/>
          <w:sz w:val="20"/>
        </w:rPr>
        <w:t>Future</w:t>
      </w:r>
      <w:r>
        <w:rPr>
          <w:sz w:val="20"/>
        </w:rPr>
        <w:t>:</w:t>
      </w:r>
      <w:r>
        <w:rPr>
          <w:spacing w:val="-4"/>
          <w:sz w:val="20"/>
        </w:rPr>
        <w:t xml:space="preserve"> </w:t>
      </w:r>
      <w:r>
        <w:rPr>
          <w:i/>
          <w:sz w:val="20"/>
        </w:rPr>
        <w:t>Young</w:t>
      </w:r>
      <w:r>
        <w:rPr>
          <w:i/>
          <w:spacing w:val="-7"/>
          <w:sz w:val="20"/>
        </w:rPr>
        <w:t xml:space="preserve"> </w:t>
      </w:r>
      <w:r>
        <w:rPr>
          <w:i/>
          <w:sz w:val="20"/>
        </w:rPr>
        <w:t>Black,</w:t>
      </w:r>
      <w:r>
        <w:rPr>
          <w:i/>
          <w:spacing w:val="-4"/>
          <w:sz w:val="20"/>
        </w:rPr>
        <w:t xml:space="preserve"> </w:t>
      </w:r>
      <w:r>
        <w:rPr>
          <w:i/>
          <w:sz w:val="20"/>
        </w:rPr>
        <w:t>Latina,</w:t>
      </w:r>
      <w:r>
        <w:rPr>
          <w:i/>
          <w:spacing w:val="-5"/>
          <w:sz w:val="20"/>
        </w:rPr>
        <w:t xml:space="preserve"> </w:t>
      </w:r>
      <w:r>
        <w:rPr>
          <w:i/>
          <w:sz w:val="20"/>
        </w:rPr>
        <w:t>and</w:t>
      </w:r>
      <w:r>
        <w:rPr>
          <w:i/>
          <w:spacing w:val="-5"/>
          <w:sz w:val="20"/>
        </w:rPr>
        <w:t xml:space="preserve"> </w:t>
      </w:r>
      <w:r>
        <w:rPr>
          <w:i/>
          <w:sz w:val="20"/>
        </w:rPr>
        <w:t>LGBTQ</w:t>
      </w:r>
      <w:r>
        <w:rPr>
          <w:i/>
          <w:spacing w:val="-4"/>
          <w:sz w:val="20"/>
        </w:rPr>
        <w:t xml:space="preserve"> </w:t>
      </w:r>
      <w:r>
        <w:rPr>
          <w:i/>
          <w:sz w:val="20"/>
        </w:rPr>
        <w:t>Women</w:t>
      </w:r>
      <w:r>
        <w:rPr>
          <w:i/>
          <w:spacing w:val="-5"/>
          <w:sz w:val="20"/>
        </w:rPr>
        <w:t xml:space="preserve"> </w:t>
      </w:r>
      <w:r>
        <w:rPr>
          <w:i/>
          <w:sz w:val="20"/>
        </w:rPr>
        <w:t>Face</w:t>
      </w:r>
      <w:r>
        <w:rPr>
          <w:i/>
          <w:spacing w:val="-4"/>
          <w:sz w:val="20"/>
        </w:rPr>
        <w:t xml:space="preserve"> </w:t>
      </w:r>
      <w:r>
        <w:rPr>
          <w:i/>
          <w:sz w:val="20"/>
        </w:rPr>
        <w:t>Greater</w:t>
      </w:r>
      <w:r>
        <w:rPr>
          <w:i/>
          <w:spacing w:val="-6"/>
          <w:sz w:val="20"/>
        </w:rPr>
        <w:t xml:space="preserve"> </w:t>
      </w:r>
      <w:r>
        <w:rPr>
          <w:i/>
          <w:sz w:val="20"/>
        </w:rPr>
        <w:t xml:space="preserve">Economic Challenges during the Pandemic </w:t>
      </w:r>
      <w:r>
        <w:rPr>
          <w:sz w:val="20"/>
        </w:rPr>
        <w:t xml:space="preserve">(Dec. 2021), https://iwpr.org/wp-content/uploads/2021/12/Unequal-Present- </w:t>
      </w:r>
      <w:r>
        <w:rPr>
          <w:spacing w:val="-2"/>
          <w:sz w:val="20"/>
        </w:rPr>
        <w:t>Unfair-Future_FINAL.pdf.</w:t>
      </w:r>
    </w:p>
    <w:p w:rsidR="00C76E6D" w:rsidRDefault="00913831">
      <w:pPr>
        <w:ind w:left="479" w:right="530" w:hanging="1"/>
        <w:rPr>
          <w:sz w:val="20"/>
        </w:rPr>
      </w:pPr>
      <w:bookmarkStart w:id="70" w:name="_bookmark36"/>
      <w:bookmarkEnd w:id="70"/>
      <w:r>
        <w:rPr>
          <w:sz w:val="20"/>
          <w:vertAlign w:val="superscript"/>
        </w:rPr>
        <w:t>15</w:t>
      </w:r>
      <w:r>
        <w:rPr>
          <w:spacing w:val="-2"/>
          <w:sz w:val="20"/>
        </w:rPr>
        <w:t xml:space="preserve"> </w:t>
      </w:r>
      <w:r>
        <w:rPr>
          <w:sz w:val="20"/>
        </w:rPr>
        <w:t>Hannes</w:t>
      </w:r>
      <w:r>
        <w:rPr>
          <w:spacing w:val="-5"/>
          <w:sz w:val="20"/>
        </w:rPr>
        <w:t xml:space="preserve"> </w:t>
      </w:r>
      <w:r>
        <w:rPr>
          <w:sz w:val="20"/>
        </w:rPr>
        <w:t>Schwandt</w:t>
      </w:r>
      <w:r>
        <w:rPr>
          <w:spacing w:val="-6"/>
          <w:sz w:val="20"/>
        </w:rPr>
        <w:t xml:space="preserve"> </w:t>
      </w:r>
      <w:r>
        <w:rPr>
          <w:sz w:val="20"/>
        </w:rPr>
        <w:t>and</w:t>
      </w:r>
      <w:r>
        <w:rPr>
          <w:spacing w:val="-5"/>
          <w:sz w:val="20"/>
        </w:rPr>
        <w:t xml:space="preserve"> </w:t>
      </w:r>
      <w:r>
        <w:rPr>
          <w:sz w:val="20"/>
        </w:rPr>
        <w:t>Till</w:t>
      </w:r>
      <w:r>
        <w:rPr>
          <w:spacing w:val="-5"/>
          <w:sz w:val="20"/>
        </w:rPr>
        <w:t xml:space="preserve"> </w:t>
      </w:r>
      <w:r>
        <w:rPr>
          <w:sz w:val="20"/>
        </w:rPr>
        <w:t>Von</w:t>
      </w:r>
      <w:r>
        <w:rPr>
          <w:spacing w:val="-5"/>
          <w:sz w:val="20"/>
        </w:rPr>
        <w:t xml:space="preserve"> </w:t>
      </w:r>
      <w:r>
        <w:rPr>
          <w:sz w:val="20"/>
        </w:rPr>
        <w:t>Wachter,</w:t>
      </w:r>
      <w:r>
        <w:rPr>
          <w:spacing w:val="-6"/>
          <w:sz w:val="20"/>
        </w:rPr>
        <w:t xml:space="preserve"> </w:t>
      </w:r>
      <w:r>
        <w:rPr>
          <w:sz w:val="20"/>
        </w:rPr>
        <w:t>“The</w:t>
      </w:r>
      <w:r>
        <w:rPr>
          <w:spacing w:val="-5"/>
          <w:sz w:val="20"/>
        </w:rPr>
        <w:t xml:space="preserve"> </w:t>
      </w:r>
      <w:r>
        <w:rPr>
          <w:sz w:val="20"/>
        </w:rPr>
        <w:t>Long</w:t>
      </w:r>
      <w:r>
        <w:rPr>
          <w:spacing w:val="-5"/>
          <w:sz w:val="20"/>
        </w:rPr>
        <w:t xml:space="preserve"> </w:t>
      </w:r>
      <w:r>
        <w:rPr>
          <w:sz w:val="20"/>
        </w:rPr>
        <w:t>Shadow</w:t>
      </w:r>
      <w:r>
        <w:rPr>
          <w:spacing w:val="-5"/>
          <w:sz w:val="20"/>
        </w:rPr>
        <w:t xml:space="preserve"> </w:t>
      </w:r>
      <w:r>
        <w:rPr>
          <w:sz w:val="20"/>
        </w:rPr>
        <w:t>of</w:t>
      </w:r>
      <w:r>
        <w:rPr>
          <w:spacing w:val="-4"/>
          <w:sz w:val="20"/>
        </w:rPr>
        <w:t xml:space="preserve"> </w:t>
      </w:r>
      <w:r>
        <w:rPr>
          <w:sz w:val="20"/>
        </w:rPr>
        <w:t>an</w:t>
      </w:r>
      <w:r>
        <w:rPr>
          <w:spacing w:val="-5"/>
          <w:sz w:val="20"/>
        </w:rPr>
        <w:t xml:space="preserve"> </w:t>
      </w:r>
      <w:r>
        <w:rPr>
          <w:sz w:val="20"/>
        </w:rPr>
        <w:t>Unlucky</w:t>
      </w:r>
      <w:r>
        <w:rPr>
          <w:spacing w:val="-3"/>
          <w:sz w:val="20"/>
        </w:rPr>
        <w:t xml:space="preserve"> </w:t>
      </w:r>
      <w:r>
        <w:rPr>
          <w:sz w:val="20"/>
        </w:rPr>
        <w:t>Start,”</w:t>
      </w:r>
      <w:r>
        <w:rPr>
          <w:spacing w:val="-5"/>
          <w:sz w:val="20"/>
        </w:rPr>
        <w:t xml:space="preserve"> </w:t>
      </w:r>
      <w:r>
        <w:rPr>
          <w:sz w:val="20"/>
        </w:rPr>
        <w:t>International</w:t>
      </w:r>
      <w:r>
        <w:rPr>
          <w:spacing w:val="-5"/>
          <w:sz w:val="20"/>
        </w:rPr>
        <w:t xml:space="preserve"> </w:t>
      </w:r>
      <w:r>
        <w:rPr>
          <w:sz w:val="20"/>
        </w:rPr>
        <w:t>Monetary</w:t>
      </w:r>
      <w:r>
        <w:rPr>
          <w:spacing w:val="-5"/>
          <w:sz w:val="20"/>
        </w:rPr>
        <w:t xml:space="preserve"> </w:t>
      </w:r>
      <w:r>
        <w:rPr>
          <w:sz w:val="20"/>
        </w:rPr>
        <w:t>Fund, December 2020, https://</w:t>
      </w:r>
      <w:hyperlink r:id="rId124">
        <w:r>
          <w:rPr>
            <w:sz w:val="20"/>
          </w:rPr>
          <w:t>www.imf.org/external/pubs/ft/fandd/2020/12/future-of-youth-in-the-era-of-covid-</w:t>
        </w:r>
      </w:hyperlink>
      <w:r>
        <w:rPr>
          <w:sz w:val="20"/>
        </w:rPr>
        <w:t xml:space="preserve"> </w:t>
      </w:r>
      <w:r>
        <w:rPr>
          <w:spacing w:val="-2"/>
          <w:sz w:val="20"/>
        </w:rPr>
        <w:t>19.htm.</w:t>
      </w:r>
    </w:p>
    <w:p w:rsidR="00C76E6D" w:rsidRDefault="00913831">
      <w:pPr>
        <w:ind w:left="480" w:right="530" w:hanging="3"/>
        <w:rPr>
          <w:sz w:val="20"/>
        </w:rPr>
      </w:pPr>
      <w:bookmarkStart w:id="71" w:name="_bookmark37"/>
      <w:bookmarkEnd w:id="71"/>
      <w:r>
        <w:rPr>
          <w:sz w:val="20"/>
          <w:vertAlign w:val="superscript"/>
        </w:rPr>
        <w:t>16</w:t>
      </w:r>
      <w:r>
        <w:rPr>
          <w:spacing w:val="-5"/>
          <w:sz w:val="20"/>
        </w:rPr>
        <w:t xml:space="preserve"> </w:t>
      </w:r>
      <w:r>
        <w:rPr>
          <w:sz w:val="20"/>
        </w:rPr>
        <w:t>“CARES</w:t>
      </w:r>
      <w:r>
        <w:rPr>
          <w:spacing w:val="-7"/>
          <w:sz w:val="20"/>
        </w:rPr>
        <w:t xml:space="preserve"> </w:t>
      </w:r>
      <w:r>
        <w:rPr>
          <w:sz w:val="20"/>
        </w:rPr>
        <w:t>Act</w:t>
      </w:r>
      <w:r>
        <w:rPr>
          <w:spacing w:val="-7"/>
          <w:sz w:val="20"/>
        </w:rPr>
        <w:t xml:space="preserve"> </w:t>
      </w:r>
      <w:r>
        <w:rPr>
          <w:sz w:val="20"/>
        </w:rPr>
        <w:t>and</w:t>
      </w:r>
      <w:r>
        <w:rPr>
          <w:spacing w:val="-5"/>
          <w:sz w:val="20"/>
        </w:rPr>
        <w:t xml:space="preserve"> </w:t>
      </w:r>
      <w:r>
        <w:rPr>
          <w:sz w:val="20"/>
        </w:rPr>
        <w:t>American</w:t>
      </w:r>
      <w:r>
        <w:rPr>
          <w:spacing w:val="-7"/>
          <w:sz w:val="20"/>
        </w:rPr>
        <w:t xml:space="preserve"> </w:t>
      </w:r>
      <w:r>
        <w:rPr>
          <w:sz w:val="20"/>
        </w:rPr>
        <w:t>Rescue</w:t>
      </w:r>
      <w:r>
        <w:rPr>
          <w:spacing w:val="-6"/>
          <w:sz w:val="20"/>
        </w:rPr>
        <w:t xml:space="preserve"> </w:t>
      </w:r>
      <w:r>
        <w:rPr>
          <w:sz w:val="20"/>
        </w:rPr>
        <w:t>Plan</w:t>
      </w:r>
      <w:r>
        <w:rPr>
          <w:spacing w:val="-7"/>
          <w:sz w:val="20"/>
        </w:rPr>
        <w:t xml:space="preserve"> </w:t>
      </w:r>
      <w:r>
        <w:rPr>
          <w:sz w:val="20"/>
        </w:rPr>
        <w:t>Act,”</w:t>
      </w:r>
      <w:r>
        <w:rPr>
          <w:spacing w:val="-6"/>
          <w:sz w:val="20"/>
        </w:rPr>
        <w:t xml:space="preserve"> </w:t>
      </w:r>
      <w:r>
        <w:rPr>
          <w:sz w:val="20"/>
        </w:rPr>
        <w:t>Massachusetts</w:t>
      </w:r>
      <w:r>
        <w:rPr>
          <w:spacing w:val="-6"/>
          <w:sz w:val="20"/>
        </w:rPr>
        <w:t xml:space="preserve"> </w:t>
      </w:r>
      <w:r>
        <w:rPr>
          <w:sz w:val="20"/>
        </w:rPr>
        <w:t>Department</w:t>
      </w:r>
      <w:r>
        <w:rPr>
          <w:spacing w:val="-7"/>
          <w:sz w:val="20"/>
        </w:rPr>
        <w:t xml:space="preserve"> </w:t>
      </w:r>
      <w:r>
        <w:rPr>
          <w:sz w:val="20"/>
        </w:rPr>
        <w:t>of</w:t>
      </w:r>
      <w:r>
        <w:rPr>
          <w:spacing w:val="-6"/>
          <w:sz w:val="20"/>
        </w:rPr>
        <w:t xml:space="preserve"> </w:t>
      </w:r>
      <w:r>
        <w:rPr>
          <w:sz w:val="20"/>
        </w:rPr>
        <w:t>Unemployment</w:t>
      </w:r>
      <w:r>
        <w:rPr>
          <w:spacing w:val="-7"/>
          <w:sz w:val="20"/>
        </w:rPr>
        <w:t xml:space="preserve"> </w:t>
      </w:r>
      <w:r>
        <w:rPr>
          <w:sz w:val="20"/>
        </w:rPr>
        <w:t>Assistance,</w:t>
      </w:r>
      <w:r>
        <w:rPr>
          <w:spacing w:val="-6"/>
          <w:sz w:val="20"/>
        </w:rPr>
        <w:t xml:space="preserve"> </w:t>
      </w:r>
      <w:r>
        <w:rPr>
          <w:sz w:val="20"/>
        </w:rPr>
        <w:t>accessed on May 20, 2022, https://</w:t>
      </w:r>
      <w:hyperlink r:id="rId125">
        <w:r>
          <w:rPr>
            <w:sz w:val="20"/>
          </w:rPr>
          <w:t>www.mass.gov/info-details/cares-act-and-american-rescue-plan-act.</w:t>
        </w:r>
      </w:hyperlink>
    </w:p>
    <w:p w:rsidR="00C76E6D" w:rsidRDefault="00913831">
      <w:pPr>
        <w:ind w:left="480" w:right="1135" w:hanging="2"/>
        <w:rPr>
          <w:sz w:val="20"/>
        </w:rPr>
      </w:pPr>
      <w:bookmarkStart w:id="72" w:name="_bookmark38"/>
      <w:bookmarkEnd w:id="72"/>
      <w:r>
        <w:rPr>
          <w:sz w:val="20"/>
          <w:vertAlign w:val="superscript"/>
        </w:rPr>
        <w:t>17</w:t>
      </w:r>
      <w:r>
        <w:rPr>
          <w:spacing w:val="-3"/>
          <w:sz w:val="20"/>
        </w:rPr>
        <w:t xml:space="preserve"> </w:t>
      </w:r>
      <w:r>
        <w:rPr>
          <w:sz w:val="20"/>
        </w:rPr>
        <w:t>“COVID-19</w:t>
      </w:r>
      <w:r>
        <w:rPr>
          <w:spacing w:val="-7"/>
          <w:sz w:val="20"/>
        </w:rPr>
        <w:t xml:space="preserve"> </w:t>
      </w:r>
      <w:r>
        <w:rPr>
          <w:sz w:val="20"/>
        </w:rPr>
        <w:t>Response</w:t>
      </w:r>
      <w:r>
        <w:rPr>
          <w:spacing w:val="-8"/>
          <w:sz w:val="20"/>
        </w:rPr>
        <w:t xml:space="preserve"> </w:t>
      </w:r>
      <w:r>
        <w:rPr>
          <w:sz w:val="20"/>
        </w:rPr>
        <w:t>Reporting,”</w:t>
      </w:r>
      <w:r>
        <w:rPr>
          <w:spacing w:val="-6"/>
          <w:sz w:val="20"/>
        </w:rPr>
        <w:t xml:space="preserve"> </w:t>
      </w:r>
      <w:r>
        <w:rPr>
          <w:sz w:val="20"/>
        </w:rPr>
        <w:t>Massachusetts</w:t>
      </w:r>
      <w:r>
        <w:rPr>
          <w:spacing w:val="-7"/>
          <w:sz w:val="20"/>
        </w:rPr>
        <w:t xml:space="preserve"> </w:t>
      </w:r>
      <w:r>
        <w:rPr>
          <w:sz w:val="20"/>
        </w:rPr>
        <w:t>Depar</w:t>
      </w:r>
      <w:r>
        <w:rPr>
          <w:sz w:val="20"/>
        </w:rPr>
        <w:t>tment</w:t>
      </w:r>
      <w:r>
        <w:rPr>
          <w:spacing w:val="-6"/>
          <w:sz w:val="20"/>
        </w:rPr>
        <w:t xml:space="preserve"> </w:t>
      </w:r>
      <w:r>
        <w:rPr>
          <w:sz w:val="20"/>
        </w:rPr>
        <w:t>of</w:t>
      </w:r>
      <w:r>
        <w:rPr>
          <w:spacing w:val="-7"/>
          <w:sz w:val="20"/>
        </w:rPr>
        <w:t xml:space="preserve"> </w:t>
      </w:r>
      <w:r>
        <w:rPr>
          <w:sz w:val="20"/>
        </w:rPr>
        <w:t>Public</w:t>
      </w:r>
      <w:r>
        <w:rPr>
          <w:spacing w:val="-8"/>
          <w:sz w:val="20"/>
        </w:rPr>
        <w:t xml:space="preserve"> </w:t>
      </w:r>
      <w:r>
        <w:rPr>
          <w:sz w:val="20"/>
        </w:rPr>
        <w:t>Health,</w:t>
      </w:r>
      <w:r>
        <w:rPr>
          <w:spacing w:val="-6"/>
          <w:sz w:val="20"/>
        </w:rPr>
        <w:t xml:space="preserve"> </w:t>
      </w:r>
      <w:r>
        <w:rPr>
          <w:sz w:val="20"/>
        </w:rPr>
        <w:t>accessed</w:t>
      </w:r>
      <w:r>
        <w:rPr>
          <w:spacing w:val="-6"/>
          <w:sz w:val="20"/>
        </w:rPr>
        <w:t xml:space="preserve"> </w:t>
      </w:r>
      <w:r>
        <w:rPr>
          <w:sz w:val="20"/>
        </w:rPr>
        <w:t>on</w:t>
      </w:r>
      <w:r>
        <w:rPr>
          <w:spacing w:val="-8"/>
          <w:sz w:val="20"/>
        </w:rPr>
        <w:t xml:space="preserve"> </w:t>
      </w:r>
      <w:r>
        <w:rPr>
          <w:sz w:val="20"/>
        </w:rPr>
        <w:t>May</w:t>
      </w:r>
      <w:r>
        <w:rPr>
          <w:spacing w:val="-7"/>
          <w:sz w:val="20"/>
        </w:rPr>
        <w:t xml:space="preserve"> </w:t>
      </w:r>
      <w:r>
        <w:rPr>
          <w:sz w:val="20"/>
        </w:rPr>
        <w:t>20,</w:t>
      </w:r>
      <w:r>
        <w:rPr>
          <w:spacing w:val="-9"/>
          <w:sz w:val="20"/>
        </w:rPr>
        <w:t xml:space="preserve"> </w:t>
      </w:r>
      <w:r>
        <w:rPr>
          <w:sz w:val="20"/>
        </w:rPr>
        <w:t xml:space="preserve">2022, </w:t>
      </w:r>
      <w:r>
        <w:rPr>
          <w:spacing w:val="-2"/>
          <w:sz w:val="20"/>
        </w:rPr>
        <w:t>https://</w:t>
      </w:r>
      <w:hyperlink r:id="rId126">
        <w:r>
          <w:rPr>
            <w:spacing w:val="-2"/>
            <w:sz w:val="20"/>
          </w:rPr>
          <w:t>www.mass.gov/info-details/covid-19-response-reporting.</w:t>
        </w:r>
      </w:hyperlink>
    </w:p>
    <w:p w:rsidR="00C76E6D" w:rsidRDefault="00C76E6D">
      <w:pPr>
        <w:rPr>
          <w:sz w:val="20"/>
        </w:rPr>
        <w:sectPr w:rsidR="00C76E6D">
          <w:pgSz w:w="12240" w:h="15840"/>
          <w:pgMar w:top="980" w:right="960" w:bottom="920" w:left="960" w:header="776" w:footer="72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9"/>
        <w:rPr>
          <w:sz w:val="18"/>
        </w:rPr>
      </w:pPr>
    </w:p>
    <w:p w:rsidR="00C76E6D" w:rsidRDefault="00913831">
      <w:pPr>
        <w:ind w:left="481" w:right="530" w:hanging="2"/>
        <w:rPr>
          <w:sz w:val="20"/>
        </w:rPr>
      </w:pPr>
      <w:bookmarkStart w:id="73" w:name="_bookmark39"/>
      <w:bookmarkEnd w:id="73"/>
      <w:r>
        <w:rPr>
          <w:sz w:val="20"/>
          <w:vertAlign w:val="superscript"/>
        </w:rPr>
        <w:t>18</w:t>
      </w:r>
      <w:r>
        <w:rPr>
          <w:spacing w:val="-2"/>
          <w:sz w:val="20"/>
        </w:rPr>
        <w:t xml:space="preserve"> </w:t>
      </w:r>
      <w:r>
        <w:rPr>
          <w:sz w:val="20"/>
        </w:rPr>
        <w:t>Gio</w:t>
      </w:r>
      <w:r>
        <w:rPr>
          <w:spacing w:val="-5"/>
          <w:sz w:val="20"/>
        </w:rPr>
        <w:t xml:space="preserve"> </w:t>
      </w:r>
      <w:r>
        <w:rPr>
          <w:sz w:val="20"/>
        </w:rPr>
        <w:t>Iacono,</w:t>
      </w:r>
      <w:r>
        <w:rPr>
          <w:spacing w:val="-6"/>
          <w:sz w:val="20"/>
        </w:rPr>
        <w:t xml:space="preserve"> </w:t>
      </w:r>
      <w:r>
        <w:rPr>
          <w:sz w:val="20"/>
        </w:rPr>
        <w:t>Shelley</w:t>
      </w:r>
      <w:r>
        <w:rPr>
          <w:spacing w:val="-2"/>
          <w:sz w:val="20"/>
        </w:rPr>
        <w:t xml:space="preserve"> </w:t>
      </w:r>
      <w:r>
        <w:rPr>
          <w:sz w:val="20"/>
        </w:rPr>
        <w:t>L.</w:t>
      </w:r>
      <w:r>
        <w:rPr>
          <w:spacing w:val="-5"/>
          <w:sz w:val="20"/>
        </w:rPr>
        <w:t xml:space="preserve"> </w:t>
      </w:r>
      <w:r>
        <w:rPr>
          <w:sz w:val="20"/>
        </w:rPr>
        <w:t>Craig,</w:t>
      </w:r>
      <w:r>
        <w:rPr>
          <w:spacing w:val="-4"/>
          <w:sz w:val="20"/>
        </w:rPr>
        <w:t xml:space="preserve"> </w:t>
      </w:r>
      <w:r>
        <w:rPr>
          <w:sz w:val="20"/>
        </w:rPr>
        <w:t>and</w:t>
      </w:r>
      <w:r>
        <w:rPr>
          <w:spacing w:val="-7"/>
          <w:sz w:val="20"/>
        </w:rPr>
        <w:t xml:space="preserve"> </w:t>
      </w:r>
      <w:r>
        <w:rPr>
          <w:sz w:val="20"/>
        </w:rPr>
        <w:t>Rachael</w:t>
      </w:r>
      <w:r>
        <w:rPr>
          <w:spacing w:val="-5"/>
          <w:sz w:val="20"/>
        </w:rPr>
        <w:t xml:space="preserve"> </w:t>
      </w:r>
      <w:r>
        <w:rPr>
          <w:sz w:val="20"/>
        </w:rPr>
        <w:t>Pas</w:t>
      </w:r>
      <w:r>
        <w:rPr>
          <w:sz w:val="20"/>
        </w:rPr>
        <w:t>coe,</w:t>
      </w:r>
      <w:r>
        <w:rPr>
          <w:spacing w:val="-5"/>
          <w:sz w:val="20"/>
        </w:rPr>
        <w:t xml:space="preserve"> </w:t>
      </w:r>
      <w:r>
        <w:rPr>
          <w:sz w:val="20"/>
        </w:rPr>
        <w:t>“Critical</w:t>
      </w:r>
      <w:r>
        <w:rPr>
          <w:spacing w:val="-6"/>
          <w:sz w:val="20"/>
        </w:rPr>
        <w:t xml:space="preserve"> </w:t>
      </w:r>
      <w:r>
        <w:rPr>
          <w:sz w:val="20"/>
        </w:rPr>
        <w:t>Reflections</w:t>
      </w:r>
      <w:r>
        <w:rPr>
          <w:spacing w:val="-6"/>
          <w:sz w:val="20"/>
        </w:rPr>
        <w:t xml:space="preserve"> </w:t>
      </w:r>
      <w:r>
        <w:rPr>
          <w:sz w:val="20"/>
        </w:rPr>
        <w:t>and</w:t>
      </w:r>
      <w:r>
        <w:rPr>
          <w:spacing w:val="-7"/>
          <w:sz w:val="20"/>
        </w:rPr>
        <w:t xml:space="preserve"> </w:t>
      </w:r>
      <w:r>
        <w:rPr>
          <w:sz w:val="20"/>
        </w:rPr>
        <w:t>Reflexivity</w:t>
      </w:r>
      <w:r>
        <w:rPr>
          <w:spacing w:val="-4"/>
          <w:sz w:val="20"/>
        </w:rPr>
        <w:t xml:space="preserve"> </w:t>
      </w:r>
      <w:r>
        <w:rPr>
          <w:sz w:val="20"/>
        </w:rPr>
        <w:t>on</w:t>
      </w:r>
      <w:r>
        <w:rPr>
          <w:spacing w:val="-7"/>
          <w:sz w:val="20"/>
        </w:rPr>
        <w:t xml:space="preserve"> </w:t>
      </w:r>
      <w:r>
        <w:rPr>
          <w:sz w:val="20"/>
        </w:rPr>
        <w:t>Responding</w:t>
      </w:r>
      <w:r>
        <w:rPr>
          <w:spacing w:val="-4"/>
          <w:sz w:val="20"/>
        </w:rPr>
        <w:t xml:space="preserve"> </w:t>
      </w:r>
      <w:r>
        <w:rPr>
          <w:sz w:val="20"/>
        </w:rPr>
        <w:t>to</w:t>
      </w:r>
      <w:r>
        <w:rPr>
          <w:spacing w:val="-7"/>
          <w:sz w:val="20"/>
        </w:rPr>
        <w:t xml:space="preserve"> </w:t>
      </w:r>
      <w:r>
        <w:rPr>
          <w:sz w:val="20"/>
        </w:rPr>
        <w:t>Needs</w:t>
      </w:r>
      <w:r>
        <w:rPr>
          <w:spacing w:val="-6"/>
          <w:sz w:val="20"/>
        </w:rPr>
        <w:t xml:space="preserve"> </w:t>
      </w:r>
      <w:r>
        <w:rPr>
          <w:sz w:val="20"/>
        </w:rPr>
        <w:t xml:space="preserve">of LGBTQ+ Youth in a Global Pandemic,” </w:t>
      </w:r>
      <w:r>
        <w:rPr>
          <w:i/>
          <w:sz w:val="20"/>
        </w:rPr>
        <w:t xml:space="preserve">Qualitative Social Work </w:t>
      </w:r>
      <w:r>
        <w:rPr>
          <w:sz w:val="20"/>
        </w:rPr>
        <w:t xml:space="preserve">20, no. 1-2 (2021): 479-486. </w:t>
      </w:r>
      <w:bookmarkStart w:id="74" w:name="_bookmark40"/>
      <w:bookmarkEnd w:id="74"/>
      <w:r>
        <w:rPr>
          <w:spacing w:val="-2"/>
          <w:sz w:val="20"/>
        </w:rPr>
        <w:t>https://journals.sagepub.com/doi/10.1177/1473325020981080.</w:t>
      </w:r>
    </w:p>
    <w:p w:rsidR="00C76E6D" w:rsidRDefault="00913831">
      <w:pPr>
        <w:ind w:left="480" w:right="1109" w:hanging="3"/>
        <w:rPr>
          <w:sz w:val="20"/>
        </w:rPr>
      </w:pPr>
      <w:r>
        <w:rPr>
          <w:sz w:val="20"/>
          <w:vertAlign w:val="superscript"/>
        </w:rPr>
        <w:t>19</w:t>
      </w:r>
      <w:r>
        <w:rPr>
          <w:spacing w:val="-2"/>
          <w:sz w:val="20"/>
        </w:rPr>
        <w:t xml:space="preserve"> </w:t>
      </w:r>
      <w:r>
        <w:rPr>
          <w:sz w:val="20"/>
        </w:rPr>
        <w:t>Emily</w:t>
      </w:r>
      <w:r>
        <w:rPr>
          <w:spacing w:val="-5"/>
          <w:sz w:val="20"/>
        </w:rPr>
        <w:t xml:space="preserve"> </w:t>
      </w:r>
      <w:r>
        <w:rPr>
          <w:sz w:val="20"/>
        </w:rPr>
        <w:t>Benfer,</w:t>
      </w:r>
      <w:r>
        <w:rPr>
          <w:spacing w:val="-5"/>
          <w:sz w:val="20"/>
        </w:rPr>
        <w:t xml:space="preserve"> </w:t>
      </w:r>
      <w:r>
        <w:rPr>
          <w:sz w:val="20"/>
        </w:rPr>
        <w:t>et</w:t>
      </w:r>
      <w:r>
        <w:rPr>
          <w:spacing w:val="-4"/>
          <w:sz w:val="20"/>
        </w:rPr>
        <w:t xml:space="preserve"> </w:t>
      </w:r>
      <w:r>
        <w:rPr>
          <w:sz w:val="20"/>
        </w:rPr>
        <w:t>al,</w:t>
      </w:r>
      <w:r>
        <w:rPr>
          <w:spacing w:val="-4"/>
          <w:sz w:val="20"/>
        </w:rPr>
        <w:t xml:space="preserve"> </w:t>
      </w:r>
      <w:r>
        <w:rPr>
          <w:sz w:val="20"/>
        </w:rPr>
        <w:t>“Eviction,</w:t>
      </w:r>
      <w:r>
        <w:rPr>
          <w:spacing w:val="-5"/>
          <w:sz w:val="20"/>
        </w:rPr>
        <w:t xml:space="preserve"> </w:t>
      </w:r>
      <w:r>
        <w:rPr>
          <w:sz w:val="20"/>
        </w:rPr>
        <w:t>Health</w:t>
      </w:r>
      <w:r>
        <w:rPr>
          <w:spacing w:val="-4"/>
          <w:sz w:val="20"/>
        </w:rPr>
        <w:t xml:space="preserve"> </w:t>
      </w:r>
      <w:r>
        <w:rPr>
          <w:sz w:val="20"/>
        </w:rPr>
        <w:t>Inequity,</w:t>
      </w:r>
      <w:r>
        <w:rPr>
          <w:spacing w:val="-5"/>
          <w:sz w:val="20"/>
        </w:rPr>
        <w:t xml:space="preserve"> </w:t>
      </w:r>
      <w:r>
        <w:rPr>
          <w:sz w:val="20"/>
        </w:rPr>
        <w:t>and</w:t>
      </w:r>
      <w:r>
        <w:rPr>
          <w:spacing w:val="-5"/>
          <w:sz w:val="20"/>
        </w:rPr>
        <w:t xml:space="preserve"> </w:t>
      </w:r>
      <w:r>
        <w:rPr>
          <w:sz w:val="20"/>
        </w:rPr>
        <w:t>the</w:t>
      </w:r>
      <w:r>
        <w:rPr>
          <w:spacing w:val="-6"/>
          <w:sz w:val="20"/>
        </w:rPr>
        <w:t xml:space="preserve"> </w:t>
      </w:r>
      <w:r>
        <w:rPr>
          <w:sz w:val="20"/>
        </w:rPr>
        <w:t>Spread</w:t>
      </w:r>
      <w:r>
        <w:rPr>
          <w:spacing w:val="-4"/>
          <w:sz w:val="20"/>
        </w:rPr>
        <w:t xml:space="preserve"> </w:t>
      </w:r>
      <w:r>
        <w:rPr>
          <w:sz w:val="20"/>
        </w:rPr>
        <w:t>of</w:t>
      </w:r>
      <w:r>
        <w:rPr>
          <w:spacing w:val="-6"/>
          <w:sz w:val="20"/>
        </w:rPr>
        <w:t xml:space="preserve"> </w:t>
      </w:r>
      <w:r>
        <w:rPr>
          <w:sz w:val="20"/>
        </w:rPr>
        <w:t>COVID-19:</w:t>
      </w:r>
      <w:r>
        <w:rPr>
          <w:spacing w:val="-4"/>
          <w:sz w:val="20"/>
        </w:rPr>
        <w:t xml:space="preserve"> </w:t>
      </w:r>
      <w:r>
        <w:rPr>
          <w:sz w:val="20"/>
        </w:rPr>
        <w:t>Housing</w:t>
      </w:r>
      <w:r>
        <w:rPr>
          <w:spacing w:val="-5"/>
          <w:sz w:val="20"/>
        </w:rPr>
        <w:t xml:space="preserve"> </w:t>
      </w:r>
      <w:r>
        <w:rPr>
          <w:sz w:val="20"/>
        </w:rPr>
        <w:t>Policy</w:t>
      </w:r>
      <w:r>
        <w:rPr>
          <w:spacing w:val="-5"/>
          <w:sz w:val="20"/>
        </w:rPr>
        <w:t xml:space="preserve"> </w:t>
      </w:r>
      <w:r>
        <w:rPr>
          <w:sz w:val="20"/>
        </w:rPr>
        <w:t>as</w:t>
      </w:r>
      <w:r>
        <w:rPr>
          <w:spacing w:val="-6"/>
          <w:sz w:val="20"/>
        </w:rPr>
        <w:t xml:space="preserve"> </w:t>
      </w:r>
      <w:r>
        <w:rPr>
          <w:sz w:val="20"/>
        </w:rPr>
        <w:t>a</w:t>
      </w:r>
      <w:r>
        <w:rPr>
          <w:spacing w:val="-4"/>
          <w:sz w:val="20"/>
        </w:rPr>
        <w:t xml:space="preserve"> </w:t>
      </w:r>
      <w:r>
        <w:rPr>
          <w:sz w:val="20"/>
        </w:rPr>
        <w:t>Primary Pandemic Mitigation Strategy, “</w:t>
      </w:r>
      <w:r>
        <w:rPr>
          <w:i/>
          <w:sz w:val="20"/>
        </w:rPr>
        <w:t xml:space="preserve">Journal of Urban Health </w:t>
      </w:r>
      <w:r>
        <w:rPr>
          <w:sz w:val="20"/>
        </w:rPr>
        <w:t>98, (2021), 1-12.</w:t>
      </w:r>
    </w:p>
    <w:p w:rsidR="00C76E6D" w:rsidRDefault="00913831">
      <w:pPr>
        <w:ind w:left="478" w:right="967" w:hanging="1"/>
        <w:rPr>
          <w:sz w:val="20"/>
        </w:rPr>
      </w:pPr>
      <w:bookmarkStart w:id="75" w:name="_bookmark41"/>
      <w:bookmarkEnd w:id="75"/>
      <w:r>
        <w:rPr>
          <w:sz w:val="20"/>
          <w:vertAlign w:val="superscript"/>
        </w:rPr>
        <w:t>20</w:t>
      </w:r>
      <w:r>
        <w:rPr>
          <w:sz w:val="20"/>
        </w:rPr>
        <w:t xml:space="preserve"> Tori Bedford, “‘We Need to Change the System.’ Overcrowded Homeless Shelters Ask State to Double Its Budget</w:t>
      </w:r>
      <w:r>
        <w:rPr>
          <w:sz w:val="20"/>
        </w:rPr>
        <w:t>,”</w:t>
      </w:r>
      <w:r>
        <w:rPr>
          <w:spacing w:val="-12"/>
          <w:sz w:val="20"/>
        </w:rPr>
        <w:t xml:space="preserve"> </w:t>
      </w:r>
      <w:r>
        <w:rPr>
          <w:sz w:val="20"/>
        </w:rPr>
        <w:t>GBH,</w:t>
      </w:r>
      <w:r>
        <w:rPr>
          <w:spacing w:val="-11"/>
          <w:sz w:val="20"/>
        </w:rPr>
        <w:t xml:space="preserve"> </w:t>
      </w:r>
      <w:r>
        <w:rPr>
          <w:sz w:val="20"/>
        </w:rPr>
        <w:t>March</w:t>
      </w:r>
      <w:r>
        <w:rPr>
          <w:spacing w:val="-11"/>
          <w:sz w:val="20"/>
        </w:rPr>
        <w:t xml:space="preserve"> </w:t>
      </w:r>
      <w:r>
        <w:rPr>
          <w:sz w:val="20"/>
        </w:rPr>
        <w:t>2,</w:t>
      </w:r>
      <w:r>
        <w:rPr>
          <w:spacing w:val="-12"/>
          <w:sz w:val="20"/>
        </w:rPr>
        <w:t xml:space="preserve"> </w:t>
      </w:r>
      <w:r>
        <w:rPr>
          <w:sz w:val="20"/>
        </w:rPr>
        <w:t>2022,</w:t>
      </w:r>
      <w:r>
        <w:rPr>
          <w:spacing w:val="-11"/>
          <w:sz w:val="20"/>
        </w:rPr>
        <w:t xml:space="preserve"> </w:t>
      </w:r>
      <w:r>
        <w:rPr>
          <w:sz w:val="20"/>
        </w:rPr>
        <w:t>https://</w:t>
      </w:r>
      <w:hyperlink r:id="rId127">
        <w:r>
          <w:rPr>
            <w:sz w:val="20"/>
          </w:rPr>
          <w:t>www.wgbh.org/news/local-news/2022/03/02/we-need-to-change-the-</w:t>
        </w:r>
      </w:hyperlink>
      <w:r>
        <w:rPr>
          <w:sz w:val="20"/>
        </w:rPr>
        <w:t xml:space="preserve"> </w:t>
      </w:r>
      <w:bookmarkStart w:id="76" w:name="_bookmark42"/>
      <w:bookmarkEnd w:id="76"/>
      <w:r>
        <w:rPr>
          <w:spacing w:val="-2"/>
          <w:sz w:val="20"/>
        </w:rPr>
        <w:t>system-overcrowded-homeless-shelters-ask-state-to-double-its-budget.</w:t>
      </w:r>
    </w:p>
    <w:p w:rsidR="00C76E6D" w:rsidRDefault="00913831">
      <w:pPr>
        <w:ind w:left="480" w:right="1285" w:hanging="2"/>
        <w:rPr>
          <w:sz w:val="20"/>
        </w:rPr>
      </w:pPr>
      <w:r>
        <w:rPr>
          <w:sz w:val="20"/>
          <w:vertAlign w:val="superscript"/>
        </w:rPr>
        <w:t>21</w:t>
      </w:r>
      <w:r>
        <w:rPr>
          <w:sz w:val="20"/>
        </w:rPr>
        <w:t xml:space="preserve"> Centers for Disease Control and Prevention, “People at Increased Risk,” April 20, 2021, </w:t>
      </w:r>
      <w:r>
        <w:rPr>
          <w:spacing w:val="-4"/>
          <w:sz w:val="20"/>
        </w:rPr>
        <w:t>https://</w:t>
      </w:r>
      <w:hyperlink r:id="rId128">
        <w:r>
          <w:rPr>
            <w:spacing w:val="-4"/>
            <w:sz w:val="20"/>
          </w:rPr>
          <w:t>www.cdc.gov/coronavirus/2019-ncov/need-e</w:t>
        </w:r>
        <w:r>
          <w:rPr>
            <w:spacing w:val="-4"/>
            <w:sz w:val="20"/>
          </w:rPr>
          <w:t>xtra-precautions/index.html?CDC_AA_refVal=https://.</w:t>
        </w:r>
      </w:hyperlink>
    </w:p>
    <w:p w:rsidR="00C76E6D" w:rsidRDefault="00913831">
      <w:pPr>
        <w:ind w:left="481" w:right="530" w:hanging="3"/>
        <w:rPr>
          <w:sz w:val="20"/>
        </w:rPr>
      </w:pPr>
      <w:bookmarkStart w:id="77" w:name="_bookmark43"/>
      <w:bookmarkEnd w:id="77"/>
      <w:r>
        <w:rPr>
          <w:sz w:val="20"/>
          <w:vertAlign w:val="superscript"/>
        </w:rPr>
        <w:t>22</w:t>
      </w:r>
      <w:r>
        <w:rPr>
          <w:spacing w:val="-2"/>
          <w:sz w:val="20"/>
        </w:rPr>
        <w:t xml:space="preserve"> </w:t>
      </w:r>
      <w:r>
        <w:rPr>
          <w:sz w:val="20"/>
        </w:rPr>
        <w:t>Center</w:t>
      </w:r>
      <w:r>
        <w:rPr>
          <w:spacing w:val="-7"/>
          <w:sz w:val="20"/>
        </w:rPr>
        <w:t xml:space="preserve"> </w:t>
      </w:r>
      <w:r>
        <w:rPr>
          <w:sz w:val="20"/>
        </w:rPr>
        <w:t>for</w:t>
      </w:r>
      <w:r>
        <w:rPr>
          <w:spacing w:val="-6"/>
          <w:sz w:val="20"/>
        </w:rPr>
        <w:t xml:space="preserve"> </w:t>
      </w:r>
      <w:r>
        <w:rPr>
          <w:sz w:val="20"/>
        </w:rPr>
        <w:t>Disease</w:t>
      </w:r>
      <w:r>
        <w:rPr>
          <w:spacing w:val="-4"/>
          <w:sz w:val="20"/>
        </w:rPr>
        <w:t xml:space="preserve"> </w:t>
      </w:r>
      <w:r>
        <w:rPr>
          <w:sz w:val="20"/>
        </w:rPr>
        <w:t>Control</w:t>
      </w:r>
      <w:r>
        <w:rPr>
          <w:spacing w:val="-7"/>
          <w:sz w:val="20"/>
        </w:rPr>
        <w:t xml:space="preserve"> </w:t>
      </w:r>
      <w:r>
        <w:rPr>
          <w:sz w:val="20"/>
        </w:rPr>
        <w:t>and</w:t>
      </w:r>
      <w:r>
        <w:rPr>
          <w:spacing w:val="-4"/>
          <w:sz w:val="20"/>
        </w:rPr>
        <w:t xml:space="preserve"> </w:t>
      </w:r>
      <w:r>
        <w:rPr>
          <w:sz w:val="20"/>
        </w:rPr>
        <w:t>Prevention</w:t>
      </w:r>
      <w:r>
        <w:rPr>
          <w:spacing w:val="-6"/>
          <w:sz w:val="20"/>
        </w:rPr>
        <w:t xml:space="preserve"> </w:t>
      </w:r>
      <w:r>
        <w:rPr>
          <w:sz w:val="20"/>
        </w:rPr>
        <w:t>and</w:t>
      </w:r>
      <w:r>
        <w:rPr>
          <w:spacing w:val="-7"/>
          <w:sz w:val="20"/>
        </w:rPr>
        <w:t xml:space="preserve"> </w:t>
      </w:r>
      <w:r>
        <w:rPr>
          <w:sz w:val="20"/>
        </w:rPr>
        <w:t>Department</w:t>
      </w:r>
      <w:r>
        <w:rPr>
          <w:spacing w:val="-5"/>
          <w:sz w:val="20"/>
        </w:rPr>
        <w:t xml:space="preserve"> </w:t>
      </w:r>
      <w:r>
        <w:rPr>
          <w:sz w:val="20"/>
        </w:rPr>
        <w:t>of</w:t>
      </w:r>
      <w:r>
        <w:rPr>
          <w:spacing w:val="-6"/>
          <w:sz w:val="20"/>
        </w:rPr>
        <w:t xml:space="preserve"> </w:t>
      </w:r>
      <w:r>
        <w:rPr>
          <w:sz w:val="20"/>
        </w:rPr>
        <w:t>Health</w:t>
      </w:r>
      <w:r>
        <w:rPr>
          <w:spacing w:val="-5"/>
          <w:sz w:val="20"/>
        </w:rPr>
        <w:t xml:space="preserve"> </w:t>
      </w:r>
      <w:r>
        <w:rPr>
          <w:sz w:val="20"/>
        </w:rPr>
        <w:t>and</w:t>
      </w:r>
      <w:r>
        <w:rPr>
          <w:spacing w:val="-4"/>
          <w:sz w:val="20"/>
        </w:rPr>
        <w:t xml:space="preserve"> </w:t>
      </w:r>
      <w:r>
        <w:rPr>
          <w:sz w:val="20"/>
        </w:rPr>
        <w:t>Human</w:t>
      </w:r>
      <w:r>
        <w:rPr>
          <w:spacing w:val="-5"/>
          <w:sz w:val="20"/>
        </w:rPr>
        <w:t xml:space="preserve"> </w:t>
      </w:r>
      <w:r>
        <w:rPr>
          <w:sz w:val="20"/>
        </w:rPr>
        <w:t>Services,</w:t>
      </w:r>
      <w:r>
        <w:rPr>
          <w:spacing w:val="-4"/>
          <w:sz w:val="20"/>
        </w:rPr>
        <w:t xml:space="preserve"> </w:t>
      </w:r>
      <w:r>
        <w:rPr>
          <w:sz w:val="20"/>
        </w:rPr>
        <w:t>“Temporary</w:t>
      </w:r>
      <w:r>
        <w:rPr>
          <w:spacing w:val="-4"/>
          <w:sz w:val="20"/>
        </w:rPr>
        <w:t xml:space="preserve"> </w:t>
      </w:r>
      <w:r>
        <w:rPr>
          <w:sz w:val="20"/>
        </w:rPr>
        <w:t>Halt</w:t>
      </w:r>
      <w:r>
        <w:rPr>
          <w:spacing w:val="-5"/>
          <w:sz w:val="20"/>
        </w:rPr>
        <w:t xml:space="preserve"> </w:t>
      </w:r>
      <w:r>
        <w:rPr>
          <w:sz w:val="20"/>
        </w:rPr>
        <w:t>in Residential Evictions to Prevent the Further Spread of Covid-19,” 42 U.S.C. 264, Washington, D.</w:t>
      </w:r>
      <w:r>
        <w:rPr>
          <w:sz w:val="20"/>
        </w:rPr>
        <w:t>C., 2020.</w:t>
      </w:r>
    </w:p>
    <w:p w:rsidR="00C76E6D" w:rsidRDefault="00913831">
      <w:pPr>
        <w:ind w:left="478" w:right="1033"/>
        <w:rPr>
          <w:sz w:val="20"/>
        </w:rPr>
      </w:pPr>
      <w:bookmarkStart w:id="78" w:name="_bookmark44"/>
      <w:bookmarkEnd w:id="78"/>
      <w:r>
        <w:rPr>
          <w:sz w:val="20"/>
          <w:vertAlign w:val="superscript"/>
        </w:rPr>
        <w:t>23</w:t>
      </w:r>
      <w:r>
        <w:rPr>
          <w:spacing w:val="-4"/>
          <w:sz w:val="20"/>
        </w:rPr>
        <w:t xml:space="preserve"> </w:t>
      </w:r>
      <w:r>
        <w:rPr>
          <w:sz w:val="20"/>
        </w:rPr>
        <w:t>Massachusetts</w:t>
      </w:r>
      <w:r>
        <w:rPr>
          <w:spacing w:val="-4"/>
          <w:sz w:val="20"/>
        </w:rPr>
        <w:t xml:space="preserve"> </w:t>
      </w:r>
      <w:r>
        <w:rPr>
          <w:sz w:val="20"/>
        </w:rPr>
        <w:t>Court</w:t>
      </w:r>
      <w:r>
        <w:rPr>
          <w:spacing w:val="-5"/>
          <w:sz w:val="20"/>
        </w:rPr>
        <w:t xml:space="preserve"> </w:t>
      </w:r>
      <w:r>
        <w:rPr>
          <w:sz w:val="20"/>
        </w:rPr>
        <w:t>System,</w:t>
      </w:r>
      <w:r>
        <w:rPr>
          <w:spacing w:val="-4"/>
          <w:sz w:val="20"/>
        </w:rPr>
        <w:t xml:space="preserve"> </w:t>
      </w:r>
      <w:r>
        <w:rPr>
          <w:sz w:val="20"/>
        </w:rPr>
        <w:t>“COVID-19</w:t>
      </w:r>
      <w:r>
        <w:rPr>
          <w:spacing w:val="-5"/>
          <w:sz w:val="20"/>
        </w:rPr>
        <w:t xml:space="preserve"> </w:t>
      </w:r>
      <w:r>
        <w:rPr>
          <w:sz w:val="20"/>
        </w:rPr>
        <w:t>Eviction</w:t>
      </w:r>
      <w:r>
        <w:rPr>
          <w:spacing w:val="-4"/>
          <w:sz w:val="20"/>
        </w:rPr>
        <w:t xml:space="preserve"> </w:t>
      </w:r>
      <w:r>
        <w:rPr>
          <w:sz w:val="20"/>
        </w:rPr>
        <w:t>Information,”</w:t>
      </w:r>
      <w:r>
        <w:rPr>
          <w:spacing w:val="-5"/>
          <w:sz w:val="20"/>
        </w:rPr>
        <w:t xml:space="preserve"> </w:t>
      </w:r>
      <w:r>
        <w:rPr>
          <w:sz w:val="20"/>
        </w:rPr>
        <w:t>April</w:t>
      </w:r>
      <w:r>
        <w:rPr>
          <w:spacing w:val="-5"/>
          <w:sz w:val="20"/>
        </w:rPr>
        <w:t xml:space="preserve"> </w:t>
      </w:r>
      <w:r>
        <w:rPr>
          <w:sz w:val="20"/>
        </w:rPr>
        <w:t>4,</w:t>
      </w:r>
      <w:r>
        <w:rPr>
          <w:spacing w:val="-5"/>
          <w:sz w:val="20"/>
        </w:rPr>
        <w:t xml:space="preserve"> </w:t>
      </w:r>
      <w:r>
        <w:rPr>
          <w:sz w:val="20"/>
        </w:rPr>
        <w:t>2022,</w:t>
      </w:r>
      <w:r>
        <w:rPr>
          <w:spacing w:val="-5"/>
          <w:sz w:val="20"/>
        </w:rPr>
        <w:t xml:space="preserve"> </w:t>
      </w:r>
      <w:r>
        <w:rPr>
          <w:sz w:val="20"/>
        </w:rPr>
        <w:t>https://</w:t>
      </w:r>
      <w:hyperlink r:id="rId129">
        <w:r>
          <w:rPr>
            <w:sz w:val="20"/>
          </w:rPr>
          <w:t>www.mass.gov/info-</w:t>
        </w:r>
      </w:hyperlink>
      <w:r>
        <w:rPr>
          <w:sz w:val="20"/>
        </w:rPr>
        <w:t xml:space="preserve"> </w:t>
      </w:r>
      <w:r>
        <w:rPr>
          <w:spacing w:val="-2"/>
          <w:sz w:val="20"/>
        </w:rPr>
        <w:t>details/covid-19-eviction-information#:~:text=The%20Centers%20for%20Disease%20Control,2020%2C%2</w:t>
      </w:r>
      <w:r>
        <w:rPr>
          <w:spacing w:val="-2"/>
          <w:sz w:val="20"/>
        </w:rPr>
        <w:t>0c.</w:t>
      </w:r>
      <w:r>
        <w:rPr>
          <w:spacing w:val="84"/>
          <w:sz w:val="20"/>
        </w:rPr>
        <w:t xml:space="preserve"> </w:t>
      </w:r>
      <w:bookmarkStart w:id="79" w:name="_bookmark45"/>
      <w:bookmarkEnd w:id="79"/>
      <w:r>
        <w:rPr>
          <w:sz w:val="20"/>
          <w:vertAlign w:val="superscript"/>
        </w:rPr>
        <w:t>24</w:t>
      </w:r>
      <w:r>
        <w:rPr>
          <w:sz w:val="20"/>
        </w:rPr>
        <w:t xml:space="preserve"> Homes for all Massachusetts, </w:t>
      </w:r>
      <w:r>
        <w:rPr>
          <w:i/>
          <w:sz w:val="20"/>
        </w:rPr>
        <w:t xml:space="preserve">Housing Justice Beyond the Emergency </w:t>
      </w:r>
      <w:r>
        <w:rPr>
          <w:sz w:val="20"/>
        </w:rPr>
        <w:t xml:space="preserve">(2022), </w:t>
      </w:r>
      <w:r>
        <w:rPr>
          <w:spacing w:val="-2"/>
          <w:sz w:val="20"/>
        </w:rPr>
        <w:t>https://</w:t>
      </w:r>
      <w:hyperlink r:id="rId130">
        <w:r>
          <w:rPr>
            <w:spacing w:val="-2"/>
            <w:sz w:val="20"/>
          </w:rPr>
          <w:t>www.homesforallmass.org/covid-evictions-report/hfamass-covid-evictions-report-short-03-22-screen-</w:t>
        </w:r>
      </w:hyperlink>
      <w:r>
        <w:rPr>
          <w:spacing w:val="-2"/>
          <w:sz w:val="20"/>
        </w:rPr>
        <w:t xml:space="preserve"> rfs.pdf.</w:t>
      </w:r>
    </w:p>
    <w:p w:rsidR="00C76E6D" w:rsidRDefault="00913831">
      <w:pPr>
        <w:ind w:left="478" w:right="609"/>
        <w:rPr>
          <w:sz w:val="20"/>
        </w:rPr>
      </w:pPr>
      <w:bookmarkStart w:id="80" w:name="_bookmark46"/>
      <w:bookmarkEnd w:id="80"/>
      <w:r>
        <w:rPr>
          <w:spacing w:val="-2"/>
          <w:sz w:val="20"/>
          <w:vertAlign w:val="superscript"/>
        </w:rPr>
        <w:t>25</w:t>
      </w:r>
      <w:r>
        <w:rPr>
          <w:spacing w:val="-14"/>
          <w:sz w:val="20"/>
        </w:rPr>
        <w:t xml:space="preserve"> </w:t>
      </w:r>
      <w:bookmarkStart w:id="81" w:name="_bookmark47"/>
      <w:bookmarkEnd w:id="81"/>
      <w:r>
        <w:rPr>
          <w:spacing w:val="-2"/>
          <w:sz w:val="20"/>
        </w:rPr>
        <w:t>https://</w:t>
      </w:r>
      <w:hyperlink r:id="rId131">
        <w:r>
          <w:rPr>
            <w:spacing w:val="-2"/>
            <w:sz w:val="20"/>
          </w:rPr>
          <w:t>www.mass.gov/in</w:t>
        </w:r>
        <w:r>
          <w:rPr>
            <w:spacing w:val="-2"/>
            <w:sz w:val="20"/>
          </w:rPr>
          <w:t>fo-details/ma-regional-covid-19winter-emergency-bed-access-for-youth-young-adults</w:t>
        </w:r>
      </w:hyperlink>
      <w:r>
        <w:rPr>
          <w:spacing w:val="80"/>
          <w:sz w:val="20"/>
        </w:rPr>
        <w:t xml:space="preserve"> </w:t>
      </w:r>
      <w:r>
        <w:rPr>
          <w:sz w:val="20"/>
          <w:vertAlign w:val="superscript"/>
        </w:rPr>
        <w:t>26</w:t>
      </w:r>
      <w:r>
        <w:rPr>
          <w:sz w:val="20"/>
        </w:rPr>
        <w:t xml:space="preserve"> GLSEN, “Advancing LGBTQ+ Inclusive Equity through COVID-19 Relief Funds,” accessed May 16, 2022, </w:t>
      </w:r>
      <w:r>
        <w:rPr>
          <w:spacing w:val="-2"/>
          <w:sz w:val="20"/>
        </w:rPr>
        <w:t>https://</w:t>
      </w:r>
      <w:hyperlink r:id="rId132">
        <w:r>
          <w:rPr>
            <w:spacing w:val="-2"/>
            <w:sz w:val="20"/>
          </w:rPr>
          <w:t>www.</w:t>
        </w:r>
        <w:r>
          <w:rPr>
            <w:spacing w:val="-2"/>
            <w:sz w:val="20"/>
          </w:rPr>
          <w:t>glsen.org/covid-19-relief-funds.</w:t>
        </w:r>
      </w:hyperlink>
    </w:p>
    <w:p w:rsidR="00C76E6D" w:rsidRDefault="00913831">
      <w:pPr>
        <w:ind w:left="481" w:right="3062" w:hanging="3"/>
        <w:rPr>
          <w:sz w:val="20"/>
        </w:rPr>
      </w:pPr>
      <w:bookmarkStart w:id="82" w:name="_bookmark48"/>
      <w:bookmarkEnd w:id="82"/>
      <w:r>
        <w:rPr>
          <w:sz w:val="20"/>
          <w:vertAlign w:val="superscript"/>
        </w:rPr>
        <w:t>27</w:t>
      </w:r>
      <w:r>
        <w:rPr>
          <w:spacing w:val="-6"/>
          <w:sz w:val="20"/>
        </w:rPr>
        <w:t xml:space="preserve"> </w:t>
      </w:r>
      <w:r>
        <w:rPr>
          <w:sz w:val="20"/>
        </w:rPr>
        <w:t>The</w:t>
      </w:r>
      <w:r>
        <w:rPr>
          <w:spacing w:val="-7"/>
          <w:sz w:val="20"/>
        </w:rPr>
        <w:t xml:space="preserve"> </w:t>
      </w:r>
      <w:r>
        <w:rPr>
          <w:sz w:val="20"/>
        </w:rPr>
        <w:t>Trevor</w:t>
      </w:r>
      <w:r>
        <w:rPr>
          <w:spacing w:val="-7"/>
          <w:sz w:val="20"/>
        </w:rPr>
        <w:t xml:space="preserve"> </w:t>
      </w:r>
      <w:r>
        <w:rPr>
          <w:sz w:val="20"/>
        </w:rPr>
        <w:t>Project,</w:t>
      </w:r>
      <w:r>
        <w:rPr>
          <w:spacing w:val="-7"/>
          <w:sz w:val="20"/>
        </w:rPr>
        <w:t xml:space="preserve"> </w:t>
      </w:r>
      <w:r>
        <w:rPr>
          <w:sz w:val="20"/>
        </w:rPr>
        <w:t>“National</w:t>
      </w:r>
      <w:r>
        <w:rPr>
          <w:spacing w:val="-7"/>
          <w:sz w:val="20"/>
        </w:rPr>
        <w:t xml:space="preserve"> </w:t>
      </w:r>
      <w:r>
        <w:rPr>
          <w:sz w:val="20"/>
        </w:rPr>
        <w:t>Survey</w:t>
      </w:r>
      <w:r>
        <w:rPr>
          <w:spacing w:val="-7"/>
          <w:sz w:val="20"/>
        </w:rPr>
        <w:t xml:space="preserve"> </w:t>
      </w:r>
      <w:r>
        <w:rPr>
          <w:sz w:val="20"/>
        </w:rPr>
        <w:t>on</w:t>
      </w:r>
      <w:r>
        <w:rPr>
          <w:spacing w:val="-6"/>
          <w:sz w:val="20"/>
        </w:rPr>
        <w:t xml:space="preserve"> </w:t>
      </w:r>
      <w:r>
        <w:rPr>
          <w:sz w:val="20"/>
        </w:rPr>
        <w:t>LGBTQ</w:t>
      </w:r>
      <w:r>
        <w:rPr>
          <w:spacing w:val="-7"/>
          <w:sz w:val="20"/>
        </w:rPr>
        <w:t xml:space="preserve"> </w:t>
      </w:r>
      <w:r>
        <w:rPr>
          <w:sz w:val="20"/>
        </w:rPr>
        <w:t>Youth</w:t>
      </w:r>
      <w:r>
        <w:rPr>
          <w:spacing w:val="-7"/>
          <w:sz w:val="20"/>
        </w:rPr>
        <w:t xml:space="preserve"> </w:t>
      </w:r>
      <w:r>
        <w:rPr>
          <w:sz w:val="20"/>
        </w:rPr>
        <w:t>Mental</w:t>
      </w:r>
      <w:r>
        <w:rPr>
          <w:spacing w:val="-7"/>
          <w:sz w:val="20"/>
        </w:rPr>
        <w:t xml:space="preserve"> </w:t>
      </w:r>
      <w:r>
        <w:rPr>
          <w:sz w:val="20"/>
        </w:rPr>
        <w:t>Health</w:t>
      </w:r>
      <w:r>
        <w:rPr>
          <w:spacing w:val="-7"/>
          <w:sz w:val="20"/>
        </w:rPr>
        <w:t xml:space="preserve"> </w:t>
      </w:r>
      <w:r>
        <w:rPr>
          <w:sz w:val="20"/>
        </w:rPr>
        <w:t>2021,”</w:t>
      </w:r>
      <w:r>
        <w:rPr>
          <w:spacing w:val="-8"/>
          <w:sz w:val="20"/>
        </w:rPr>
        <w:t xml:space="preserve"> </w:t>
      </w:r>
      <w:r>
        <w:rPr>
          <w:sz w:val="20"/>
        </w:rPr>
        <w:t xml:space="preserve">2021, </w:t>
      </w:r>
      <w:bookmarkStart w:id="83" w:name="_bookmark49"/>
      <w:bookmarkEnd w:id="83"/>
      <w:r>
        <w:rPr>
          <w:spacing w:val="-2"/>
          <w:sz w:val="20"/>
        </w:rPr>
        <w:t>https://</w:t>
      </w:r>
      <w:hyperlink r:id="rId133">
        <w:r>
          <w:rPr>
            <w:spacing w:val="-2"/>
            <w:sz w:val="20"/>
          </w:rPr>
          <w:t>www.thetrevorproject.org/survey-2021/?section=Introduction.</w:t>
        </w:r>
      </w:hyperlink>
    </w:p>
    <w:p w:rsidR="00C76E6D" w:rsidRDefault="00913831">
      <w:pPr>
        <w:ind w:left="479" w:right="530" w:hanging="2"/>
        <w:rPr>
          <w:sz w:val="20"/>
        </w:rPr>
      </w:pPr>
      <w:r>
        <w:rPr>
          <w:sz w:val="20"/>
          <w:vertAlign w:val="superscript"/>
        </w:rPr>
        <w:t>28</w:t>
      </w:r>
      <w:r>
        <w:rPr>
          <w:spacing w:val="-3"/>
          <w:sz w:val="20"/>
        </w:rPr>
        <w:t xml:space="preserve"> </w:t>
      </w:r>
      <w:r>
        <w:rPr>
          <w:sz w:val="20"/>
        </w:rPr>
        <w:t>Li</w:t>
      </w:r>
      <w:r>
        <w:rPr>
          <w:spacing w:val="-4"/>
          <w:sz w:val="20"/>
        </w:rPr>
        <w:t xml:space="preserve"> </w:t>
      </w:r>
      <w:r>
        <w:rPr>
          <w:sz w:val="20"/>
        </w:rPr>
        <w:t>Cohen,</w:t>
      </w:r>
      <w:r>
        <w:rPr>
          <w:spacing w:val="-6"/>
          <w:sz w:val="20"/>
        </w:rPr>
        <w:t xml:space="preserve"> </w:t>
      </w:r>
      <w:r>
        <w:rPr>
          <w:sz w:val="20"/>
        </w:rPr>
        <w:t>“Staying</w:t>
      </w:r>
      <w:r>
        <w:rPr>
          <w:spacing w:val="-4"/>
          <w:sz w:val="20"/>
        </w:rPr>
        <w:t xml:space="preserve"> </w:t>
      </w:r>
      <w:r>
        <w:rPr>
          <w:sz w:val="20"/>
        </w:rPr>
        <w:t>at</w:t>
      </w:r>
      <w:r>
        <w:rPr>
          <w:spacing w:val="-3"/>
          <w:sz w:val="20"/>
        </w:rPr>
        <w:t xml:space="preserve"> </w:t>
      </w:r>
      <w:r>
        <w:rPr>
          <w:sz w:val="20"/>
        </w:rPr>
        <w:t>Home</w:t>
      </w:r>
      <w:r>
        <w:rPr>
          <w:spacing w:val="-6"/>
          <w:sz w:val="20"/>
        </w:rPr>
        <w:t xml:space="preserve"> </w:t>
      </w:r>
      <w:r>
        <w:rPr>
          <w:sz w:val="20"/>
        </w:rPr>
        <w:t>Helped</w:t>
      </w:r>
      <w:r>
        <w:rPr>
          <w:spacing w:val="-5"/>
          <w:sz w:val="20"/>
        </w:rPr>
        <w:t xml:space="preserve"> </w:t>
      </w:r>
      <w:r>
        <w:rPr>
          <w:sz w:val="20"/>
        </w:rPr>
        <w:t>Kids</w:t>
      </w:r>
      <w:r>
        <w:rPr>
          <w:spacing w:val="-5"/>
          <w:sz w:val="20"/>
        </w:rPr>
        <w:t xml:space="preserve"> </w:t>
      </w:r>
      <w:r>
        <w:rPr>
          <w:sz w:val="20"/>
        </w:rPr>
        <w:t>Feel</w:t>
      </w:r>
      <w:r>
        <w:rPr>
          <w:spacing w:val="-4"/>
          <w:sz w:val="20"/>
        </w:rPr>
        <w:t xml:space="preserve"> </w:t>
      </w:r>
      <w:r>
        <w:rPr>
          <w:sz w:val="20"/>
        </w:rPr>
        <w:t>Safe</w:t>
      </w:r>
      <w:r>
        <w:rPr>
          <w:spacing w:val="-3"/>
          <w:sz w:val="20"/>
        </w:rPr>
        <w:t xml:space="preserve"> </w:t>
      </w:r>
      <w:r>
        <w:rPr>
          <w:sz w:val="20"/>
        </w:rPr>
        <w:t>from</w:t>
      </w:r>
      <w:r>
        <w:rPr>
          <w:spacing w:val="-5"/>
          <w:sz w:val="20"/>
        </w:rPr>
        <w:t xml:space="preserve"> </w:t>
      </w:r>
      <w:r>
        <w:rPr>
          <w:sz w:val="20"/>
        </w:rPr>
        <w:t>COVID-19.</w:t>
      </w:r>
      <w:r>
        <w:rPr>
          <w:spacing w:val="-4"/>
          <w:sz w:val="20"/>
        </w:rPr>
        <w:t xml:space="preserve"> </w:t>
      </w:r>
      <w:r>
        <w:rPr>
          <w:sz w:val="20"/>
        </w:rPr>
        <w:t>But</w:t>
      </w:r>
      <w:r>
        <w:rPr>
          <w:spacing w:val="-3"/>
          <w:sz w:val="20"/>
        </w:rPr>
        <w:t xml:space="preserve"> </w:t>
      </w:r>
      <w:r>
        <w:rPr>
          <w:sz w:val="20"/>
        </w:rPr>
        <w:t>it</w:t>
      </w:r>
      <w:r>
        <w:rPr>
          <w:spacing w:val="-6"/>
          <w:sz w:val="20"/>
        </w:rPr>
        <w:t xml:space="preserve"> </w:t>
      </w:r>
      <w:r>
        <w:rPr>
          <w:sz w:val="20"/>
        </w:rPr>
        <w:t>put</w:t>
      </w:r>
      <w:r>
        <w:rPr>
          <w:spacing w:val="-5"/>
          <w:sz w:val="20"/>
        </w:rPr>
        <w:t xml:space="preserve"> </w:t>
      </w:r>
      <w:r>
        <w:rPr>
          <w:sz w:val="20"/>
        </w:rPr>
        <w:t>LGBTQ</w:t>
      </w:r>
      <w:r>
        <w:rPr>
          <w:spacing w:val="-5"/>
          <w:sz w:val="20"/>
        </w:rPr>
        <w:t xml:space="preserve"> </w:t>
      </w:r>
      <w:r>
        <w:rPr>
          <w:sz w:val="20"/>
        </w:rPr>
        <w:t>Youth</w:t>
      </w:r>
      <w:r>
        <w:rPr>
          <w:spacing w:val="-3"/>
          <w:sz w:val="20"/>
        </w:rPr>
        <w:t xml:space="preserve"> </w:t>
      </w:r>
      <w:r>
        <w:rPr>
          <w:sz w:val="20"/>
        </w:rPr>
        <w:t>in</w:t>
      </w:r>
      <w:r>
        <w:rPr>
          <w:spacing w:val="-3"/>
          <w:sz w:val="20"/>
        </w:rPr>
        <w:t xml:space="preserve"> </w:t>
      </w:r>
      <w:r>
        <w:rPr>
          <w:sz w:val="20"/>
        </w:rPr>
        <w:t>a</w:t>
      </w:r>
      <w:r>
        <w:rPr>
          <w:spacing w:val="-6"/>
          <w:sz w:val="20"/>
        </w:rPr>
        <w:t xml:space="preserve"> </w:t>
      </w:r>
      <w:r>
        <w:rPr>
          <w:sz w:val="20"/>
        </w:rPr>
        <w:t>Different</w:t>
      </w:r>
      <w:r>
        <w:rPr>
          <w:spacing w:val="-3"/>
          <w:sz w:val="20"/>
        </w:rPr>
        <w:t xml:space="preserve"> </w:t>
      </w:r>
      <w:r>
        <w:rPr>
          <w:sz w:val="20"/>
        </w:rPr>
        <w:t>Kind</w:t>
      </w:r>
      <w:r>
        <w:rPr>
          <w:spacing w:val="-3"/>
          <w:sz w:val="20"/>
        </w:rPr>
        <w:t xml:space="preserve"> </w:t>
      </w:r>
      <w:r>
        <w:rPr>
          <w:sz w:val="20"/>
        </w:rPr>
        <w:t>of Danger,” May 19, 2021, https://</w:t>
      </w:r>
      <w:hyperlink r:id="rId134">
        <w:r>
          <w:rPr>
            <w:sz w:val="20"/>
          </w:rPr>
          <w:t>www.cbsnews.com/news/lgbtq-youth-safety-covid-pandemic.</w:t>
        </w:r>
      </w:hyperlink>
    </w:p>
    <w:p w:rsidR="00C76E6D" w:rsidRDefault="00913831">
      <w:pPr>
        <w:spacing w:before="6" w:line="244" w:lineRule="exact"/>
        <w:ind w:left="480"/>
        <w:rPr>
          <w:sz w:val="20"/>
        </w:rPr>
      </w:pPr>
      <w:bookmarkStart w:id="84" w:name="_bookmark50"/>
      <w:bookmarkEnd w:id="84"/>
      <w:r>
        <w:rPr>
          <w:sz w:val="20"/>
          <w:vertAlign w:val="superscript"/>
        </w:rPr>
        <w:t>29</w:t>
      </w:r>
      <w:r>
        <w:rPr>
          <w:spacing w:val="-2"/>
          <w:sz w:val="20"/>
        </w:rPr>
        <w:t xml:space="preserve"> </w:t>
      </w:r>
      <w:r>
        <w:rPr>
          <w:sz w:val="20"/>
        </w:rPr>
        <w:t>Bishurul</w:t>
      </w:r>
      <w:r>
        <w:rPr>
          <w:spacing w:val="-8"/>
          <w:sz w:val="20"/>
        </w:rPr>
        <w:t xml:space="preserve"> </w:t>
      </w:r>
      <w:r>
        <w:rPr>
          <w:sz w:val="20"/>
        </w:rPr>
        <w:t>Hafi</w:t>
      </w:r>
      <w:r>
        <w:rPr>
          <w:spacing w:val="-6"/>
          <w:sz w:val="20"/>
        </w:rPr>
        <w:t xml:space="preserve"> </w:t>
      </w:r>
      <w:r>
        <w:rPr>
          <w:sz w:val="20"/>
        </w:rPr>
        <w:t>and</w:t>
      </w:r>
      <w:r>
        <w:rPr>
          <w:spacing w:val="-8"/>
          <w:sz w:val="20"/>
        </w:rPr>
        <w:t xml:space="preserve"> </w:t>
      </w:r>
      <w:r>
        <w:rPr>
          <w:sz w:val="20"/>
        </w:rPr>
        <w:t>NA</w:t>
      </w:r>
      <w:r>
        <w:rPr>
          <w:spacing w:val="-6"/>
          <w:sz w:val="20"/>
        </w:rPr>
        <w:t xml:space="preserve"> </w:t>
      </w:r>
      <w:r>
        <w:rPr>
          <w:sz w:val="20"/>
        </w:rPr>
        <w:t>Uvais,</w:t>
      </w:r>
      <w:r>
        <w:rPr>
          <w:spacing w:val="-6"/>
          <w:sz w:val="20"/>
        </w:rPr>
        <w:t xml:space="preserve"> </w:t>
      </w:r>
      <w:r>
        <w:rPr>
          <w:sz w:val="20"/>
        </w:rPr>
        <w:t>“Difficulties</w:t>
      </w:r>
      <w:r>
        <w:rPr>
          <w:spacing w:val="-9"/>
          <w:sz w:val="20"/>
        </w:rPr>
        <w:t xml:space="preserve"> </w:t>
      </w:r>
      <w:r>
        <w:rPr>
          <w:sz w:val="20"/>
        </w:rPr>
        <w:t>Faced</w:t>
      </w:r>
      <w:r>
        <w:rPr>
          <w:spacing w:val="-6"/>
          <w:sz w:val="20"/>
        </w:rPr>
        <w:t xml:space="preserve"> </w:t>
      </w:r>
      <w:r>
        <w:rPr>
          <w:sz w:val="20"/>
        </w:rPr>
        <w:t>by</w:t>
      </w:r>
      <w:r>
        <w:rPr>
          <w:spacing w:val="-7"/>
          <w:sz w:val="20"/>
        </w:rPr>
        <w:t xml:space="preserve"> </w:t>
      </w:r>
      <w:r>
        <w:rPr>
          <w:sz w:val="20"/>
        </w:rPr>
        <w:t>Sexual</w:t>
      </w:r>
      <w:r>
        <w:rPr>
          <w:spacing w:val="-8"/>
          <w:sz w:val="20"/>
        </w:rPr>
        <w:t xml:space="preserve"> </w:t>
      </w:r>
      <w:r>
        <w:rPr>
          <w:sz w:val="20"/>
        </w:rPr>
        <w:t>and</w:t>
      </w:r>
      <w:r>
        <w:rPr>
          <w:spacing w:val="-6"/>
          <w:sz w:val="20"/>
        </w:rPr>
        <w:t xml:space="preserve"> </w:t>
      </w:r>
      <w:r>
        <w:rPr>
          <w:sz w:val="20"/>
        </w:rPr>
        <w:t>Gender</w:t>
      </w:r>
      <w:r>
        <w:rPr>
          <w:spacing w:val="-8"/>
          <w:sz w:val="20"/>
        </w:rPr>
        <w:t xml:space="preserve"> </w:t>
      </w:r>
      <w:r>
        <w:rPr>
          <w:sz w:val="20"/>
        </w:rPr>
        <w:t>Minorities</w:t>
      </w:r>
      <w:r>
        <w:rPr>
          <w:spacing w:val="-7"/>
          <w:sz w:val="20"/>
        </w:rPr>
        <w:t xml:space="preserve"> </w:t>
      </w:r>
      <w:r>
        <w:rPr>
          <w:sz w:val="20"/>
        </w:rPr>
        <w:t>During</w:t>
      </w:r>
      <w:r>
        <w:rPr>
          <w:spacing w:val="-9"/>
          <w:sz w:val="20"/>
        </w:rPr>
        <w:t xml:space="preserve"> </w:t>
      </w:r>
      <w:r>
        <w:rPr>
          <w:sz w:val="20"/>
        </w:rPr>
        <w:t>COVID-19</w:t>
      </w:r>
      <w:r>
        <w:rPr>
          <w:spacing w:val="-6"/>
          <w:sz w:val="20"/>
        </w:rPr>
        <w:t xml:space="preserve"> </w:t>
      </w:r>
      <w:r>
        <w:rPr>
          <w:spacing w:val="-2"/>
          <w:sz w:val="20"/>
        </w:rPr>
        <w:t>Crises,”</w:t>
      </w:r>
    </w:p>
    <w:p w:rsidR="00C76E6D" w:rsidRDefault="00913831">
      <w:pPr>
        <w:spacing w:line="241" w:lineRule="exact"/>
        <w:ind w:left="480"/>
        <w:rPr>
          <w:sz w:val="20"/>
        </w:rPr>
      </w:pPr>
      <w:bookmarkStart w:id="85" w:name="_bookmark51"/>
      <w:bookmarkEnd w:id="85"/>
      <w:r>
        <w:rPr>
          <w:i/>
          <w:sz w:val="20"/>
        </w:rPr>
        <w:t>Psychiatry</w:t>
      </w:r>
      <w:r>
        <w:rPr>
          <w:i/>
          <w:spacing w:val="-13"/>
          <w:sz w:val="20"/>
        </w:rPr>
        <w:t xml:space="preserve"> </w:t>
      </w:r>
      <w:r>
        <w:rPr>
          <w:i/>
          <w:sz w:val="20"/>
        </w:rPr>
        <w:t>&amp;</w:t>
      </w:r>
      <w:r>
        <w:rPr>
          <w:i/>
          <w:spacing w:val="-7"/>
          <w:sz w:val="20"/>
        </w:rPr>
        <w:t xml:space="preserve"> </w:t>
      </w:r>
      <w:r>
        <w:rPr>
          <w:i/>
          <w:sz w:val="20"/>
        </w:rPr>
        <w:t>Clinic</w:t>
      </w:r>
      <w:r>
        <w:rPr>
          <w:i/>
          <w:spacing w:val="-7"/>
          <w:sz w:val="20"/>
        </w:rPr>
        <w:t xml:space="preserve"> </w:t>
      </w:r>
      <w:r>
        <w:rPr>
          <w:i/>
          <w:sz w:val="20"/>
        </w:rPr>
        <w:t>Neuroscience</w:t>
      </w:r>
      <w:r>
        <w:rPr>
          <w:i/>
          <w:spacing w:val="-7"/>
          <w:sz w:val="20"/>
        </w:rPr>
        <w:t xml:space="preserve"> </w:t>
      </w:r>
      <w:r>
        <w:rPr>
          <w:i/>
          <w:sz w:val="20"/>
        </w:rPr>
        <w:t>74</w:t>
      </w:r>
      <w:r>
        <w:rPr>
          <w:i/>
          <w:spacing w:val="-7"/>
          <w:sz w:val="20"/>
        </w:rPr>
        <w:t xml:space="preserve"> </w:t>
      </w:r>
      <w:r>
        <w:rPr>
          <w:sz w:val="20"/>
        </w:rPr>
        <w:t>(2020):</w:t>
      </w:r>
      <w:r>
        <w:rPr>
          <w:spacing w:val="-8"/>
          <w:sz w:val="20"/>
        </w:rPr>
        <w:t xml:space="preserve"> </w:t>
      </w:r>
      <w:r>
        <w:rPr>
          <w:sz w:val="20"/>
        </w:rPr>
        <w:t>439-446.</w:t>
      </w:r>
      <w:r>
        <w:rPr>
          <w:spacing w:val="-7"/>
          <w:sz w:val="20"/>
        </w:rPr>
        <w:t xml:space="preserve"> </w:t>
      </w:r>
      <w:r>
        <w:rPr>
          <w:spacing w:val="-2"/>
          <w:sz w:val="20"/>
        </w:rPr>
        <w:t>https://onlinelibrary.wiley.com/doi/10.1111/pcn.13080.</w:t>
      </w:r>
    </w:p>
    <w:p w:rsidR="00C76E6D" w:rsidRDefault="00913831">
      <w:pPr>
        <w:ind w:left="479" w:right="530" w:hanging="1"/>
        <w:rPr>
          <w:sz w:val="20"/>
        </w:rPr>
      </w:pPr>
      <w:r>
        <w:rPr>
          <w:sz w:val="20"/>
          <w:vertAlign w:val="superscript"/>
        </w:rPr>
        <w:t>30</w:t>
      </w:r>
      <w:r>
        <w:rPr>
          <w:spacing w:val="-2"/>
          <w:sz w:val="20"/>
        </w:rPr>
        <w:t xml:space="preserve"> </w:t>
      </w:r>
      <w:r>
        <w:rPr>
          <w:sz w:val="20"/>
        </w:rPr>
        <w:t>John</w:t>
      </w:r>
      <w:r>
        <w:rPr>
          <w:spacing w:val="-7"/>
          <w:sz w:val="20"/>
        </w:rPr>
        <w:t xml:space="preserve"> </w:t>
      </w:r>
      <w:r>
        <w:rPr>
          <w:sz w:val="20"/>
        </w:rPr>
        <w:t>Salerno,</w:t>
      </w:r>
      <w:r>
        <w:rPr>
          <w:spacing w:val="-5"/>
          <w:sz w:val="20"/>
        </w:rPr>
        <w:t xml:space="preserve"> </w:t>
      </w:r>
      <w:r>
        <w:rPr>
          <w:sz w:val="20"/>
        </w:rPr>
        <w:t>“Sexual</w:t>
      </w:r>
      <w:r>
        <w:rPr>
          <w:spacing w:val="-5"/>
          <w:sz w:val="20"/>
        </w:rPr>
        <w:t xml:space="preserve"> </w:t>
      </w:r>
      <w:r>
        <w:rPr>
          <w:sz w:val="20"/>
        </w:rPr>
        <w:t>and</w:t>
      </w:r>
      <w:r>
        <w:rPr>
          <w:spacing w:val="-5"/>
          <w:sz w:val="20"/>
        </w:rPr>
        <w:t xml:space="preserve"> </w:t>
      </w:r>
      <w:r>
        <w:rPr>
          <w:sz w:val="20"/>
        </w:rPr>
        <w:t>Gender</w:t>
      </w:r>
      <w:r>
        <w:rPr>
          <w:spacing w:val="-7"/>
          <w:sz w:val="20"/>
        </w:rPr>
        <w:t xml:space="preserve"> </w:t>
      </w:r>
      <w:r>
        <w:rPr>
          <w:sz w:val="20"/>
        </w:rPr>
        <w:t>Minority</w:t>
      </w:r>
      <w:r>
        <w:rPr>
          <w:spacing w:val="-6"/>
          <w:sz w:val="20"/>
        </w:rPr>
        <w:t xml:space="preserve"> </w:t>
      </w:r>
      <w:r>
        <w:rPr>
          <w:sz w:val="20"/>
        </w:rPr>
        <w:t>Stress</w:t>
      </w:r>
      <w:r>
        <w:rPr>
          <w:spacing w:val="-5"/>
          <w:sz w:val="20"/>
        </w:rPr>
        <w:t xml:space="preserve"> </w:t>
      </w:r>
      <w:r>
        <w:rPr>
          <w:sz w:val="20"/>
        </w:rPr>
        <w:t>Amid</w:t>
      </w:r>
      <w:r>
        <w:rPr>
          <w:spacing w:val="-5"/>
          <w:sz w:val="20"/>
        </w:rPr>
        <w:t xml:space="preserve"> </w:t>
      </w:r>
      <w:r>
        <w:rPr>
          <w:sz w:val="20"/>
        </w:rPr>
        <w:t>the</w:t>
      </w:r>
      <w:r>
        <w:rPr>
          <w:spacing w:val="-5"/>
          <w:sz w:val="20"/>
        </w:rPr>
        <w:t xml:space="preserve"> </w:t>
      </w:r>
      <w:r>
        <w:rPr>
          <w:sz w:val="20"/>
        </w:rPr>
        <w:t>COVID-19</w:t>
      </w:r>
      <w:r>
        <w:rPr>
          <w:spacing w:val="-4"/>
          <w:sz w:val="20"/>
        </w:rPr>
        <w:t xml:space="preserve"> </w:t>
      </w:r>
      <w:r>
        <w:rPr>
          <w:sz w:val="20"/>
        </w:rPr>
        <w:t>Pandemic:</w:t>
      </w:r>
      <w:r>
        <w:rPr>
          <w:spacing w:val="-4"/>
          <w:sz w:val="20"/>
        </w:rPr>
        <w:t xml:space="preserve"> </w:t>
      </w:r>
      <w:r>
        <w:rPr>
          <w:sz w:val="20"/>
        </w:rPr>
        <w:t>Implications</w:t>
      </w:r>
      <w:r>
        <w:rPr>
          <w:spacing w:val="-6"/>
          <w:sz w:val="20"/>
        </w:rPr>
        <w:t xml:space="preserve"> </w:t>
      </w:r>
      <w:r>
        <w:rPr>
          <w:sz w:val="20"/>
        </w:rPr>
        <w:t>for</w:t>
      </w:r>
      <w:r>
        <w:rPr>
          <w:spacing w:val="-5"/>
          <w:sz w:val="20"/>
        </w:rPr>
        <w:t xml:space="preserve"> </w:t>
      </w:r>
      <w:r>
        <w:rPr>
          <w:sz w:val="20"/>
        </w:rPr>
        <w:t>LGBTQ</w:t>
      </w:r>
      <w:r>
        <w:rPr>
          <w:spacing w:val="-6"/>
          <w:sz w:val="20"/>
        </w:rPr>
        <w:t xml:space="preserve"> </w:t>
      </w:r>
      <w:r>
        <w:rPr>
          <w:sz w:val="20"/>
        </w:rPr>
        <w:t xml:space="preserve">Young Persons’ Mental Health and Well-Being,” </w:t>
      </w:r>
      <w:r>
        <w:rPr>
          <w:i/>
          <w:sz w:val="20"/>
        </w:rPr>
        <w:t xml:space="preserve">Public Health Reports </w:t>
      </w:r>
      <w:r>
        <w:rPr>
          <w:sz w:val="20"/>
        </w:rPr>
        <w:t xml:space="preserve">135, no. 6 (2020): 721-727. </w:t>
      </w:r>
      <w:r>
        <w:rPr>
          <w:spacing w:val="-2"/>
          <w:sz w:val="20"/>
        </w:rPr>
        <w:t>https://journals.sagepub.com/doi/full/10.1177/0033354920954511.</w:t>
      </w:r>
    </w:p>
    <w:p w:rsidR="00C76E6D" w:rsidRDefault="00913831">
      <w:pPr>
        <w:ind w:left="480" w:right="2600" w:hanging="2"/>
        <w:rPr>
          <w:sz w:val="20"/>
        </w:rPr>
      </w:pPr>
      <w:bookmarkStart w:id="86" w:name="_bookmark52"/>
      <w:bookmarkEnd w:id="86"/>
      <w:r>
        <w:rPr>
          <w:sz w:val="20"/>
          <w:vertAlign w:val="superscript"/>
        </w:rPr>
        <w:t>31</w:t>
      </w:r>
      <w:r>
        <w:rPr>
          <w:sz w:val="20"/>
        </w:rPr>
        <w:t xml:space="preserve"> The Trevor Project, “How COVID-19 is Impacting LGBTQ Youth</w:t>
      </w:r>
      <w:r>
        <w:rPr>
          <w:i/>
          <w:sz w:val="20"/>
        </w:rPr>
        <w:t xml:space="preserve">,” </w:t>
      </w:r>
      <w:r>
        <w:rPr>
          <w:sz w:val="20"/>
        </w:rPr>
        <w:t xml:space="preserve">August 2020, </w:t>
      </w:r>
      <w:r>
        <w:rPr>
          <w:spacing w:val="-4"/>
          <w:sz w:val="20"/>
        </w:rPr>
        <w:t>https://</w:t>
      </w:r>
      <w:hyperlink r:id="rId135">
        <w:r>
          <w:rPr>
            <w:spacing w:val="-4"/>
            <w:sz w:val="20"/>
          </w:rPr>
          <w:t>www.thetrevorproject.org/wp-content/uploads/2020/10/Trevor-Poll_COVID19.pdf</w:t>
        </w:r>
      </w:hyperlink>
    </w:p>
    <w:p w:rsidR="00C76E6D" w:rsidRDefault="00913831">
      <w:pPr>
        <w:ind w:left="481" w:right="609" w:hanging="3"/>
        <w:rPr>
          <w:sz w:val="20"/>
        </w:rPr>
      </w:pPr>
      <w:bookmarkStart w:id="87" w:name="_bookmark53"/>
      <w:bookmarkEnd w:id="87"/>
      <w:r>
        <w:rPr>
          <w:sz w:val="20"/>
          <w:vertAlign w:val="superscript"/>
        </w:rPr>
        <w:t>32</w:t>
      </w:r>
      <w:r>
        <w:rPr>
          <w:spacing w:val="-4"/>
          <w:sz w:val="20"/>
        </w:rPr>
        <w:t xml:space="preserve"> </w:t>
      </w:r>
      <w:r>
        <w:rPr>
          <w:sz w:val="20"/>
        </w:rPr>
        <w:t>Emily</w:t>
      </w:r>
      <w:r>
        <w:rPr>
          <w:spacing w:val="-5"/>
          <w:sz w:val="20"/>
        </w:rPr>
        <w:t xml:space="preserve"> </w:t>
      </w:r>
      <w:r>
        <w:rPr>
          <w:sz w:val="20"/>
        </w:rPr>
        <w:t>Widra,</w:t>
      </w:r>
      <w:r>
        <w:rPr>
          <w:spacing w:val="-5"/>
          <w:sz w:val="20"/>
        </w:rPr>
        <w:t xml:space="preserve"> </w:t>
      </w:r>
      <w:r>
        <w:rPr>
          <w:sz w:val="20"/>
        </w:rPr>
        <w:t>“State</w:t>
      </w:r>
      <w:r>
        <w:rPr>
          <w:spacing w:val="-4"/>
          <w:sz w:val="20"/>
        </w:rPr>
        <w:t xml:space="preserve"> </w:t>
      </w:r>
      <w:r>
        <w:rPr>
          <w:sz w:val="20"/>
        </w:rPr>
        <w:t>Prisons</w:t>
      </w:r>
      <w:r>
        <w:rPr>
          <w:spacing w:val="-9"/>
          <w:sz w:val="20"/>
        </w:rPr>
        <w:t xml:space="preserve"> </w:t>
      </w:r>
      <w:r>
        <w:rPr>
          <w:sz w:val="20"/>
        </w:rPr>
        <w:t>and</w:t>
      </w:r>
      <w:r>
        <w:rPr>
          <w:spacing w:val="-4"/>
          <w:sz w:val="20"/>
        </w:rPr>
        <w:t xml:space="preserve"> </w:t>
      </w:r>
      <w:r>
        <w:rPr>
          <w:sz w:val="20"/>
        </w:rPr>
        <w:t>Local</w:t>
      </w:r>
      <w:r>
        <w:rPr>
          <w:spacing w:val="-5"/>
          <w:sz w:val="20"/>
        </w:rPr>
        <w:t xml:space="preserve"> </w:t>
      </w:r>
      <w:r>
        <w:rPr>
          <w:sz w:val="20"/>
        </w:rPr>
        <w:t>Jails</w:t>
      </w:r>
      <w:r>
        <w:rPr>
          <w:spacing w:val="-5"/>
          <w:sz w:val="20"/>
        </w:rPr>
        <w:t xml:space="preserve"> </w:t>
      </w:r>
      <w:r>
        <w:rPr>
          <w:sz w:val="20"/>
        </w:rPr>
        <w:t>Appear</w:t>
      </w:r>
      <w:r>
        <w:rPr>
          <w:spacing w:val="-6"/>
          <w:sz w:val="20"/>
        </w:rPr>
        <w:t xml:space="preserve"> </w:t>
      </w:r>
      <w:r>
        <w:rPr>
          <w:sz w:val="20"/>
        </w:rPr>
        <w:t>to</w:t>
      </w:r>
      <w:r>
        <w:rPr>
          <w:spacing w:val="-4"/>
          <w:sz w:val="20"/>
        </w:rPr>
        <w:t xml:space="preserve"> </w:t>
      </w:r>
      <w:r>
        <w:rPr>
          <w:sz w:val="20"/>
        </w:rPr>
        <w:t>be</w:t>
      </w:r>
      <w:r>
        <w:rPr>
          <w:spacing w:val="-6"/>
          <w:sz w:val="20"/>
        </w:rPr>
        <w:t xml:space="preserve"> </w:t>
      </w:r>
      <w:r>
        <w:rPr>
          <w:sz w:val="20"/>
        </w:rPr>
        <w:t>Indifferent</w:t>
      </w:r>
      <w:r>
        <w:rPr>
          <w:spacing w:val="-6"/>
          <w:sz w:val="20"/>
        </w:rPr>
        <w:t xml:space="preserve"> </w:t>
      </w:r>
      <w:r>
        <w:rPr>
          <w:sz w:val="20"/>
        </w:rPr>
        <w:t>to</w:t>
      </w:r>
      <w:r>
        <w:rPr>
          <w:spacing w:val="-4"/>
          <w:sz w:val="20"/>
        </w:rPr>
        <w:t xml:space="preserve"> </w:t>
      </w:r>
      <w:r>
        <w:rPr>
          <w:sz w:val="20"/>
        </w:rPr>
        <w:t>COVID</w:t>
      </w:r>
      <w:r>
        <w:rPr>
          <w:spacing w:val="-5"/>
          <w:sz w:val="20"/>
        </w:rPr>
        <w:t xml:space="preserve"> </w:t>
      </w:r>
      <w:r>
        <w:rPr>
          <w:sz w:val="20"/>
        </w:rPr>
        <w:t>Outbreaks,</w:t>
      </w:r>
      <w:r>
        <w:rPr>
          <w:spacing w:val="-5"/>
          <w:sz w:val="20"/>
        </w:rPr>
        <w:t xml:space="preserve"> </w:t>
      </w:r>
      <w:r>
        <w:rPr>
          <w:sz w:val="20"/>
        </w:rPr>
        <w:t>Refusing</w:t>
      </w:r>
      <w:r>
        <w:rPr>
          <w:spacing w:val="-5"/>
          <w:sz w:val="20"/>
        </w:rPr>
        <w:t xml:space="preserve"> </w:t>
      </w:r>
      <w:r>
        <w:rPr>
          <w:sz w:val="20"/>
        </w:rPr>
        <w:t>to</w:t>
      </w:r>
      <w:r>
        <w:rPr>
          <w:spacing w:val="-6"/>
          <w:sz w:val="20"/>
        </w:rPr>
        <w:t xml:space="preserve"> </w:t>
      </w:r>
      <w:r>
        <w:rPr>
          <w:sz w:val="20"/>
        </w:rPr>
        <w:t xml:space="preserve">Depopulate Dangerous Facilities,” February 10, 2022, </w:t>
      </w:r>
      <w:r>
        <w:rPr>
          <w:spacing w:val="-2"/>
          <w:sz w:val="20"/>
        </w:rPr>
        <w:t>https://</w:t>
      </w:r>
      <w:hyperlink r:id="rId136">
        <w:r>
          <w:rPr>
            <w:spacing w:val="-2"/>
            <w:sz w:val="20"/>
          </w:rPr>
          <w:t>www.prisonpolicy.org/blog/2022/02/10/february2022_population.</w:t>
        </w:r>
      </w:hyperlink>
    </w:p>
    <w:p w:rsidR="00C76E6D" w:rsidRDefault="00913831">
      <w:pPr>
        <w:ind w:left="481" w:right="530" w:hanging="3"/>
        <w:rPr>
          <w:sz w:val="20"/>
        </w:rPr>
      </w:pPr>
      <w:bookmarkStart w:id="88" w:name="_bookmark54"/>
      <w:bookmarkEnd w:id="88"/>
      <w:r>
        <w:rPr>
          <w:sz w:val="20"/>
          <w:vertAlign w:val="superscript"/>
        </w:rPr>
        <w:t>33</w:t>
      </w:r>
      <w:r>
        <w:rPr>
          <w:spacing w:val="-3"/>
          <w:sz w:val="20"/>
        </w:rPr>
        <w:t xml:space="preserve"> </w:t>
      </w:r>
      <w:r>
        <w:rPr>
          <w:sz w:val="20"/>
        </w:rPr>
        <w:t>Wendy</w:t>
      </w:r>
      <w:r>
        <w:rPr>
          <w:spacing w:val="-4"/>
          <w:sz w:val="20"/>
        </w:rPr>
        <w:t xml:space="preserve"> </w:t>
      </w:r>
      <w:r>
        <w:rPr>
          <w:sz w:val="20"/>
        </w:rPr>
        <w:t>Sawyer,</w:t>
      </w:r>
      <w:r>
        <w:rPr>
          <w:spacing w:val="-5"/>
          <w:sz w:val="20"/>
        </w:rPr>
        <w:t xml:space="preserve"> </w:t>
      </w:r>
      <w:r>
        <w:rPr>
          <w:sz w:val="20"/>
        </w:rPr>
        <w:t>“Youth</w:t>
      </w:r>
      <w:r>
        <w:rPr>
          <w:spacing w:val="-5"/>
          <w:sz w:val="20"/>
        </w:rPr>
        <w:t xml:space="preserve"> </w:t>
      </w:r>
      <w:r>
        <w:rPr>
          <w:sz w:val="20"/>
        </w:rPr>
        <w:t>Confinement:</w:t>
      </w:r>
      <w:r>
        <w:rPr>
          <w:spacing w:val="-6"/>
          <w:sz w:val="20"/>
        </w:rPr>
        <w:t xml:space="preserve"> </w:t>
      </w:r>
      <w:r>
        <w:rPr>
          <w:sz w:val="20"/>
        </w:rPr>
        <w:t>The</w:t>
      </w:r>
      <w:r>
        <w:rPr>
          <w:spacing w:val="-8"/>
          <w:sz w:val="20"/>
        </w:rPr>
        <w:t xml:space="preserve"> </w:t>
      </w:r>
      <w:r>
        <w:rPr>
          <w:sz w:val="20"/>
        </w:rPr>
        <w:t>Whole</w:t>
      </w:r>
      <w:r>
        <w:rPr>
          <w:spacing w:val="-5"/>
          <w:sz w:val="20"/>
        </w:rPr>
        <w:t xml:space="preserve"> </w:t>
      </w:r>
      <w:r>
        <w:rPr>
          <w:sz w:val="20"/>
        </w:rPr>
        <w:t>Pie</w:t>
      </w:r>
      <w:r>
        <w:rPr>
          <w:spacing w:val="-7"/>
          <w:sz w:val="20"/>
        </w:rPr>
        <w:t xml:space="preserve"> </w:t>
      </w:r>
      <w:r>
        <w:rPr>
          <w:sz w:val="20"/>
        </w:rPr>
        <w:t>2019,”</w:t>
      </w:r>
      <w:r>
        <w:rPr>
          <w:spacing w:val="-6"/>
          <w:sz w:val="20"/>
        </w:rPr>
        <w:t xml:space="preserve"> </w:t>
      </w:r>
      <w:r>
        <w:rPr>
          <w:sz w:val="20"/>
        </w:rPr>
        <w:t>Prison</w:t>
      </w:r>
      <w:r>
        <w:rPr>
          <w:spacing w:val="-5"/>
          <w:sz w:val="20"/>
        </w:rPr>
        <w:t xml:space="preserve"> </w:t>
      </w:r>
      <w:r>
        <w:rPr>
          <w:sz w:val="20"/>
        </w:rPr>
        <w:t>Policy</w:t>
      </w:r>
      <w:r>
        <w:rPr>
          <w:spacing w:val="-5"/>
          <w:sz w:val="20"/>
        </w:rPr>
        <w:t xml:space="preserve"> </w:t>
      </w:r>
      <w:r>
        <w:rPr>
          <w:sz w:val="20"/>
        </w:rPr>
        <w:t>Initiative,</w:t>
      </w:r>
      <w:r>
        <w:rPr>
          <w:spacing w:val="-6"/>
          <w:sz w:val="20"/>
        </w:rPr>
        <w:t xml:space="preserve"> </w:t>
      </w:r>
      <w:r>
        <w:rPr>
          <w:sz w:val="20"/>
        </w:rPr>
        <w:t>December</w:t>
      </w:r>
      <w:r>
        <w:rPr>
          <w:spacing w:val="-7"/>
          <w:sz w:val="20"/>
        </w:rPr>
        <w:t xml:space="preserve"> </w:t>
      </w:r>
      <w:r>
        <w:rPr>
          <w:sz w:val="20"/>
        </w:rPr>
        <w:t>19,</w:t>
      </w:r>
      <w:r>
        <w:rPr>
          <w:spacing w:val="-6"/>
          <w:sz w:val="20"/>
        </w:rPr>
        <w:t xml:space="preserve"> </w:t>
      </w:r>
      <w:r>
        <w:rPr>
          <w:sz w:val="20"/>
        </w:rPr>
        <w:t xml:space="preserve">2019, </w:t>
      </w:r>
      <w:r>
        <w:rPr>
          <w:spacing w:val="-2"/>
          <w:sz w:val="20"/>
        </w:rPr>
        <w:t>https://</w:t>
      </w:r>
      <w:hyperlink r:id="rId137">
        <w:r>
          <w:rPr>
            <w:spacing w:val="-2"/>
            <w:sz w:val="20"/>
          </w:rPr>
          <w:t>www.prisonpolicy.org/reports/youth2019.html.</w:t>
        </w:r>
      </w:hyperlink>
    </w:p>
    <w:p w:rsidR="00C76E6D" w:rsidRDefault="00913831">
      <w:pPr>
        <w:ind w:left="478" w:right="758"/>
        <w:rPr>
          <w:sz w:val="20"/>
        </w:rPr>
      </w:pPr>
      <w:bookmarkStart w:id="89" w:name="_bookmark55"/>
      <w:bookmarkEnd w:id="89"/>
      <w:r>
        <w:rPr>
          <w:sz w:val="20"/>
          <w:vertAlign w:val="superscript"/>
        </w:rPr>
        <w:t>34</w:t>
      </w:r>
      <w:r>
        <w:rPr>
          <w:sz w:val="20"/>
        </w:rPr>
        <w:t xml:space="preserve"> Center for American Progress, Movement Advancement Project and Youth Firs</w:t>
      </w:r>
      <w:r>
        <w:rPr>
          <w:sz w:val="20"/>
        </w:rPr>
        <w:t xml:space="preserve">t, </w:t>
      </w:r>
      <w:r>
        <w:rPr>
          <w:i/>
          <w:sz w:val="20"/>
        </w:rPr>
        <w:t xml:space="preserve">Unjust: LGBTQ Youth Incarcerated in the Juvenile Justice System </w:t>
      </w:r>
      <w:r>
        <w:rPr>
          <w:sz w:val="20"/>
        </w:rPr>
        <w:t>(2017), https://</w:t>
      </w:r>
      <w:hyperlink r:id="rId138">
        <w:r>
          <w:rPr>
            <w:sz w:val="20"/>
          </w:rPr>
          <w:t>www.lgbtmap.org/file/lgbtq-incarcerated-youth.pdf.</w:t>
        </w:r>
      </w:hyperlink>
      <w:r>
        <w:rPr>
          <w:sz w:val="20"/>
        </w:rPr>
        <w:t xml:space="preserve"> </w:t>
      </w:r>
      <w:bookmarkStart w:id="90" w:name="_bookmark56"/>
      <w:bookmarkEnd w:id="90"/>
      <w:r>
        <w:rPr>
          <w:sz w:val="20"/>
          <w:vertAlign w:val="superscript"/>
        </w:rPr>
        <w:t>35</w:t>
      </w:r>
      <w:r>
        <w:rPr>
          <w:sz w:val="20"/>
        </w:rPr>
        <w:t xml:space="preserve"> Center for American Progress, Movement Adva</w:t>
      </w:r>
      <w:r>
        <w:rPr>
          <w:sz w:val="20"/>
        </w:rPr>
        <w:t xml:space="preserve">ncement Project and Youth First, </w:t>
      </w:r>
      <w:r>
        <w:rPr>
          <w:i/>
          <w:sz w:val="20"/>
        </w:rPr>
        <w:t xml:space="preserve">Unjust: LGBTQ Youth Incarcerated in the Juvenile Justice System </w:t>
      </w:r>
      <w:r>
        <w:rPr>
          <w:sz w:val="20"/>
        </w:rPr>
        <w:t>(2017), https://</w:t>
      </w:r>
      <w:hyperlink r:id="rId139">
        <w:r>
          <w:rPr>
            <w:sz w:val="20"/>
          </w:rPr>
          <w:t>www.lgbtmap.org/file/lgbtq-incarcerated-youth.pdf.</w:t>
        </w:r>
      </w:hyperlink>
      <w:r>
        <w:rPr>
          <w:sz w:val="20"/>
        </w:rPr>
        <w:t xml:space="preserve"> </w:t>
      </w:r>
      <w:bookmarkStart w:id="91" w:name="_bookmark57"/>
      <w:bookmarkEnd w:id="91"/>
      <w:r>
        <w:rPr>
          <w:sz w:val="20"/>
          <w:vertAlign w:val="superscript"/>
        </w:rPr>
        <w:t>36</w:t>
      </w:r>
      <w:r>
        <w:rPr>
          <w:spacing w:val="-2"/>
          <w:sz w:val="20"/>
        </w:rPr>
        <w:t xml:space="preserve"> </w:t>
      </w:r>
      <w:r>
        <w:rPr>
          <w:sz w:val="20"/>
        </w:rPr>
        <w:t>J.E.</w:t>
      </w:r>
      <w:r>
        <w:rPr>
          <w:spacing w:val="-7"/>
          <w:sz w:val="20"/>
        </w:rPr>
        <w:t xml:space="preserve"> </w:t>
      </w:r>
      <w:r>
        <w:rPr>
          <w:sz w:val="20"/>
        </w:rPr>
        <w:t>Méndez,</w:t>
      </w:r>
      <w:r>
        <w:rPr>
          <w:spacing w:val="-5"/>
          <w:sz w:val="20"/>
        </w:rPr>
        <w:t xml:space="preserve"> </w:t>
      </w:r>
      <w:r>
        <w:rPr>
          <w:i/>
          <w:sz w:val="20"/>
        </w:rPr>
        <w:t>Interim</w:t>
      </w:r>
      <w:r>
        <w:rPr>
          <w:i/>
          <w:spacing w:val="-6"/>
          <w:sz w:val="20"/>
        </w:rPr>
        <w:t xml:space="preserve"> </w:t>
      </w:r>
      <w:r>
        <w:rPr>
          <w:i/>
          <w:sz w:val="20"/>
        </w:rPr>
        <w:t>Report</w:t>
      </w:r>
      <w:r>
        <w:rPr>
          <w:i/>
          <w:spacing w:val="-7"/>
          <w:sz w:val="20"/>
        </w:rPr>
        <w:t xml:space="preserve"> </w:t>
      </w:r>
      <w:r>
        <w:rPr>
          <w:i/>
          <w:sz w:val="20"/>
        </w:rPr>
        <w:t>of</w:t>
      </w:r>
      <w:r>
        <w:rPr>
          <w:i/>
          <w:spacing w:val="-4"/>
          <w:sz w:val="20"/>
        </w:rPr>
        <w:t xml:space="preserve"> </w:t>
      </w:r>
      <w:r>
        <w:rPr>
          <w:i/>
          <w:sz w:val="20"/>
        </w:rPr>
        <w:t>the</w:t>
      </w:r>
      <w:r>
        <w:rPr>
          <w:i/>
          <w:spacing w:val="-7"/>
          <w:sz w:val="20"/>
        </w:rPr>
        <w:t xml:space="preserve"> </w:t>
      </w:r>
      <w:r>
        <w:rPr>
          <w:i/>
          <w:sz w:val="20"/>
        </w:rPr>
        <w:t>Special</w:t>
      </w:r>
      <w:r>
        <w:rPr>
          <w:i/>
          <w:spacing w:val="-5"/>
          <w:sz w:val="20"/>
        </w:rPr>
        <w:t xml:space="preserve"> </w:t>
      </w:r>
      <w:r>
        <w:rPr>
          <w:i/>
          <w:sz w:val="20"/>
        </w:rPr>
        <w:t>Rapporteur</w:t>
      </w:r>
      <w:r>
        <w:rPr>
          <w:i/>
          <w:spacing w:val="-5"/>
          <w:sz w:val="20"/>
        </w:rPr>
        <w:t xml:space="preserve"> </w:t>
      </w:r>
      <w:r>
        <w:rPr>
          <w:i/>
          <w:sz w:val="20"/>
        </w:rPr>
        <w:t>of</w:t>
      </w:r>
      <w:r>
        <w:rPr>
          <w:i/>
          <w:spacing w:val="-8"/>
          <w:sz w:val="20"/>
        </w:rPr>
        <w:t xml:space="preserve"> </w:t>
      </w:r>
      <w:r>
        <w:rPr>
          <w:i/>
          <w:sz w:val="20"/>
        </w:rPr>
        <w:t>the</w:t>
      </w:r>
      <w:r>
        <w:rPr>
          <w:i/>
          <w:spacing w:val="-4"/>
          <w:sz w:val="20"/>
        </w:rPr>
        <w:t xml:space="preserve"> </w:t>
      </w:r>
      <w:r>
        <w:rPr>
          <w:i/>
          <w:sz w:val="20"/>
        </w:rPr>
        <w:t>Human</w:t>
      </w:r>
      <w:r>
        <w:rPr>
          <w:i/>
          <w:spacing w:val="-5"/>
          <w:sz w:val="20"/>
        </w:rPr>
        <w:t xml:space="preserve"> </w:t>
      </w:r>
      <w:r>
        <w:rPr>
          <w:i/>
          <w:sz w:val="20"/>
        </w:rPr>
        <w:t>Rights</w:t>
      </w:r>
      <w:r>
        <w:rPr>
          <w:i/>
          <w:spacing w:val="-4"/>
          <w:sz w:val="20"/>
        </w:rPr>
        <w:t xml:space="preserve"> </w:t>
      </w:r>
      <w:r>
        <w:rPr>
          <w:i/>
          <w:sz w:val="20"/>
        </w:rPr>
        <w:t>Council</w:t>
      </w:r>
      <w:r>
        <w:rPr>
          <w:i/>
          <w:spacing w:val="-6"/>
          <w:sz w:val="20"/>
        </w:rPr>
        <w:t xml:space="preserve"> </w:t>
      </w:r>
      <w:r>
        <w:rPr>
          <w:i/>
          <w:sz w:val="20"/>
        </w:rPr>
        <w:t>on</w:t>
      </w:r>
      <w:r>
        <w:rPr>
          <w:i/>
          <w:spacing w:val="-7"/>
          <w:sz w:val="20"/>
        </w:rPr>
        <w:t xml:space="preserve"> </w:t>
      </w:r>
      <w:r>
        <w:rPr>
          <w:i/>
          <w:sz w:val="20"/>
        </w:rPr>
        <w:t>Torture</w:t>
      </w:r>
      <w:r>
        <w:rPr>
          <w:i/>
          <w:spacing w:val="-5"/>
          <w:sz w:val="20"/>
        </w:rPr>
        <w:t xml:space="preserve"> </w:t>
      </w:r>
      <w:r>
        <w:rPr>
          <w:i/>
          <w:sz w:val="20"/>
        </w:rPr>
        <w:t>and</w:t>
      </w:r>
      <w:r>
        <w:rPr>
          <w:i/>
          <w:spacing w:val="-4"/>
          <w:sz w:val="20"/>
        </w:rPr>
        <w:t xml:space="preserve"> </w:t>
      </w:r>
      <w:r>
        <w:rPr>
          <w:i/>
          <w:sz w:val="20"/>
        </w:rPr>
        <w:t>Other</w:t>
      </w:r>
      <w:r>
        <w:rPr>
          <w:i/>
          <w:spacing w:val="-5"/>
          <w:sz w:val="20"/>
        </w:rPr>
        <w:t xml:space="preserve"> </w:t>
      </w:r>
      <w:r>
        <w:rPr>
          <w:i/>
          <w:sz w:val="20"/>
        </w:rPr>
        <w:t xml:space="preserve">Cruel, Inhuman or Degrading Treatment or Punishment </w:t>
      </w:r>
      <w:r>
        <w:rPr>
          <w:sz w:val="20"/>
        </w:rPr>
        <w:t xml:space="preserve">(United Nations, 2011), </w:t>
      </w:r>
      <w:hyperlink r:id="rId140">
        <w:r>
          <w:rPr>
            <w:sz w:val="20"/>
          </w:rPr>
          <w:t>http://solitaryconfinement.</w:t>
        </w:r>
      </w:hyperlink>
      <w:r>
        <w:rPr>
          <w:sz w:val="20"/>
        </w:rPr>
        <w:t xml:space="preserve"> </w:t>
      </w:r>
      <w:r>
        <w:rPr>
          <w:spacing w:val="-2"/>
          <w:sz w:val="20"/>
        </w:rPr>
        <w:t>org/uploads/%20</w:t>
      </w:r>
      <w:r>
        <w:rPr>
          <w:spacing w:val="-2"/>
          <w:sz w:val="20"/>
        </w:rPr>
        <w:t>SpecRapTortureAug2011.pdf.</w:t>
      </w:r>
    </w:p>
    <w:p w:rsidR="00C76E6D" w:rsidRDefault="00913831">
      <w:pPr>
        <w:ind w:left="481" w:right="711" w:hanging="3"/>
        <w:jc w:val="both"/>
        <w:rPr>
          <w:sz w:val="20"/>
        </w:rPr>
      </w:pPr>
      <w:bookmarkStart w:id="92" w:name="_bookmark58"/>
      <w:bookmarkEnd w:id="92"/>
      <w:r>
        <w:rPr>
          <w:sz w:val="20"/>
          <w:vertAlign w:val="superscript"/>
        </w:rPr>
        <w:t>37</w:t>
      </w:r>
      <w:r>
        <w:rPr>
          <w:sz w:val="20"/>
        </w:rPr>
        <w:t xml:space="preserve"> Dana</w:t>
      </w:r>
      <w:r>
        <w:rPr>
          <w:spacing w:val="-2"/>
          <w:sz w:val="20"/>
        </w:rPr>
        <w:t xml:space="preserve"> </w:t>
      </w:r>
      <w:r>
        <w:rPr>
          <w:sz w:val="20"/>
        </w:rPr>
        <w:t>Cassidy,</w:t>
      </w:r>
      <w:r>
        <w:rPr>
          <w:spacing w:val="-2"/>
          <w:sz w:val="20"/>
        </w:rPr>
        <w:t xml:space="preserve"> </w:t>
      </w:r>
      <w:r>
        <w:rPr>
          <w:sz w:val="20"/>
        </w:rPr>
        <w:t>“Among</w:t>
      </w:r>
      <w:r>
        <w:rPr>
          <w:spacing w:val="-3"/>
          <w:sz w:val="20"/>
        </w:rPr>
        <w:t xml:space="preserve"> </w:t>
      </w:r>
      <w:r>
        <w:rPr>
          <w:sz w:val="20"/>
        </w:rPr>
        <w:t>Advocates’</w:t>
      </w:r>
      <w:r>
        <w:rPr>
          <w:spacing w:val="-2"/>
          <w:sz w:val="20"/>
        </w:rPr>
        <w:t xml:space="preserve"> </w:t>
      </w:r>
      <w:r>
        <w:rPr>
          <w:sz w:val="20"/>
        </w:rPr>
        <w:t>Fears</w:t>
      </w:r>
      <w:r>
        <w:rPr>
          <w:spacing w:val="-2"/>
          <w:sz w:val="20"/>
        </w:rPr>
        <w:t xml:space="preserve"> </w:t>
      </w:r>
      <w:r>
        <w:rPr>
          <w:sz w:val="20"/>
        </w:rPr>
        <w:t>for</w:t>
      </w:r>
      <w:r>
        <w:rPr>
          <w:spacing w:val="-2"/>
          <w:sz w:val="20"/>
        </w:rPr>
        <w:t xml:space="preserve"> </w:t>
      </w:r>
      <w:r>
        <w:rPr>
          <w:sz w:val="20"/>
        </w:rPr>
        <w:t>Florida’s</w:t>
      </w:r>
      <w:r>
        <w:rPr>
          <w:spacing w:val="-2"/>
          <w:sz w:val="20"/>
        </w:rPr>
        <w:t xml:space="preserve"> </w:t>
      </w:r>
      <w:r>
        <w:rPr>
          <w:sz w:val="20"/>
        </w:rPr>
        <w:t>Incarcerated</w:t>
      </w:r>
      <w:r>
        <w:rPr>
          <w:spacing w:val="-2"/>
          <w:sz w:val="20"/>
        </w:rPr>
        <w:t xml:space="preserve"> </w:t>
      </w:r>
      <w:r>
        <w:rPr>
          <w:sz w:val="20"/>
        </w:rPr>
        <w:t>Youth</w:t>
      </w:r>
      <w:r>
        <w:rPr>
          <w:spacing w:val="-2"/>
          <w:sz w:val="20"/>
        </w:rPr>
        <w:t xml:space="preserve"> </w:t>
      </w:r>
      <w:r>
        <w:rPr>
          <w:sz w:val="20"/>
        </w:rPr>
        <w:t>During</w:t>
      </w:r>
      <w:r>
        <w:rPr>
          <w:spacing w:val="-3"/>
          <w:sz w:val="20"/>
        </w:rPr>
        <w:t xml:space="preserve"> </w:t>
      </w:r>
      <w:r>
        <w:rPr>
          <w:sz w:val="20"/>
        </w:rPr>
        <w:t>Pandemic:</w:t>
      </w:r>
      <w:r>
        <w:rPr>
          <w:spacing w:val="-2"/>
          <w:sz w:val="20"/>
        </w:rPr>
        <w:t xml:space="preserve"> </w:t>
      </w:r>
      <w:r>
        <w:rPr>
          <w:sz w:val="20"/>
        </w:rPr>
        <w:t>Sexual</w:t>
      </w:r>
      <w:r>
        <w:rPr>
          <w:spacing w:val="-2"/>
          <w:sz w:val="20"/>
        </w:rPr>
        <w:t xml:space="preserve"> </w:t>
      </w:r>
      <w:r>
        <w:rPr>
          <w:sz w:val="20"/>
        </w:rPr>
        <w:t>Abuse,”</w:t>
      </w:r>
      <w:r>
        <w:rPr>
          <w:spacing w:val="-2"/>
          <w:sz w:val="20"/>
        </w:rPr>
        <w:t xml:space="preserve"> </w:t>
      </w:r>
      <w:r>
        <w:rPr>
          <w:sz w:val="20"/>
        </w:rPr>
        <w:t>The Orlando</w:t>
      </w:r>
      <w:r>
        <w:rPr>
          <w:spacing w:val="-3"/>
          <w:sz w:val="20"/>
        </w:rPr>
        <w:t xml:space="preserve"> </w:t>
      </w:r>
      <w:r>
        <w:rPr>
          <w:sz w:val="20"/>
        </w:rPr>
        <w:t>Sentinel,</w:t>
      </w:r>
      <w:r>
        <w:rPr>
          <w:spacing w:val="-1"/>
          <w:sz w:val="20"/>
        </w:rPr>
        <w:t xml:space="preserve"> </w:t>
      </w:r>
      <w:r>
        <w:rPr>
          <w:sz w:val="20"/>
        </w:rPr>
        <w:t>July</w:t>
      </w:r>
      <w:r>
        <w:rPr>
          <w:spacing w:val="-1"/>
          <w:sz w:val="20"/>
        </w:rPr>
        <w:t xml:space="preserve"> </w:t>
      </w:r>
      <w:r>
        <w:rPr>
          <w:sz w:val="20"/>
        </w:rPr>
        <w:t>13,</w:t>
      </w:r>
      <w:r>
        <w:rPr>
          <w:spacing w:val="-2"/>
          <w:sz w:val="20"/>
        </w:rPr>
        <w:t xml:space="preserve"> </w:t>
      </w:r>
      <w:r>
        <w:rPr>
          <w:sz w:val="20"/>
        </w:rPr>
        <w:t>2020,</w:t>
      </w:r>
      <w:r>
        <w:rPr>
          <w:spacing w:val="-2"/>
          <w:sz w:val="20"/>
        </w:rPr>
        <w:t xml:space="preserve"> </w:t>
      </w:r>
      <w:r>
        <w:rPr>
          <w:sz w:val="20"/>
        </w:rPr>
        <w:t>https://</w:t>
      </w:r>
      <w:hyperlink r:id="rId141">
        <w:r>
          <w:rPr>
            <w:sz w:val="20"/>
          </w:rPr>
          <w:t>www.</w:t>
        </w:r>
        <w:r>
          <w:rPr>
            <w:spacing w:val="-2"/>
            <w:sz w:val="20"/>
          </w:rPr>
          <w:t xml:space="preserve"> </w:t>
        </w:r>
      </w:hyperlink>
      <w:r>
        <w:rPr>
          <w:sz w:val="20"/>
        </w:rPr>
        <w:t xml:space="preserve">orlandosentinel.com/news/breaking-news/os-ne-juvenile-justice- </w:t>
      </w:r>
      <w:r>
        <w:rPr>
          <w:spacing w:val="-2"/>
          <w:sz w:val="20"/>
        </w:rPr>
        <w:t>sexual-assault-20200713-ww4xuyzbhnajxdh2omaszia46i-story.html.</w:t>
      </w:r>
    </w:p>
    <w:p w:rsidR="00C76E6D" w:rsidRDefault="00913831">
      <w:pPr>
        <w:ind w:left="478" w:right="681"/>
        <w:rPr>
          <w:sz w:val="20"/>
        </w:rPr>
      </w:pPr>
      <w:bookmarkStart w:id="93" w:name="_bookmark59"/>
      <w:bookmarkEnd w:id="93"/>
      <w:r>
        <w:rPr>
          <w:sz w:val="20"/>
          <w:vertAlign w:val="superscript"/>
        </w:rPr>
        <w:t>38</w:t>
      </w:r>
      <w:r>
        <w:rPr>
          <w:spacing w:val="-3"/>
          <w:sz w:val="20"/>
        </w:rPr>
        <w:t xml:space="preserve"> </w:t>
      </w:r>
      <w:r>
        <w:rPr>
          <w:sz w:val="20"/>
        </w:rPr>
        <w:t>Laura</w:t>
      </w:r>
      <w:r>
        <w:rPr>
          <w:spacing w:val="-5"/>
          <w:sz w:val="20"/>
        </w:rPr>
        <w:t xml:space="preserve"> </w:t>
      </w:r>
      <w:r>
        <w:rPr>
          <w:sz w:val="20"/>
        </w:rPr>
        <w:t>Rosbrow-Telem,</w:t>
      </w:r>
      <w:r>
        <w:rPr>
          <w:spacing w:val="-4"/>
          <w:sz w:val="20"/>
        </w:rPr>
        <w:t xml:space="preserve"> </w:t>
      </w:r>
      <w:r>
        <w:rPr>
          <w:sz w:val="20"/>
        </w:rPr>
        <w:t>(2020,</w:t>
      </w:r>
      <w:r>
        <w:rPr>
          <w:spacing w:val="-6"/>
          <w:sz w:val="20"/>
        </w:rPr>
        <w:t xml:space="preserve"> </w:t>
      </w:r>
      <w:r>
        <w:rPr>
          <w:sz w:val="20"/>
        </w:rPr>
        <w:t>April</w:t>
      </w:r>
      <w:r>
        <w:rPr>
          <w:spacing w:val="-7"/>
          <w:sz w:val="20"/>
        </w:rPr>
        <w:t xml:space="preserve"> </w:t>
      </w:r>
      <w:r>
        <w:rPr>
          <w:sz w:val="20"/>
        </w:rPr>
        <w:t>30).</w:t>
      </w:r>
      <w:r>
        <w:rPr>
          <w:spacing w:val="-5"/>
          <w:sz w:val="20"/>
        </w:rPr>
        <w:t xml:space="preserve"> </w:t>
      </w:r>
      <w:r>
        <w:rPr>
          <w:sz w:val="20"/>
        </w:rPr>
        <w:t>“MA</w:t>
      </w:r>
      <w:r>
        <w:rPr>
          <w:spacing w:val="-4"/>
          <w:sz w:val="20"/>
        </w:rPr>
        <w:t xml:space="preserve"> </w:t>
      </w:r>
      <w:r>
        <w:rPr>
          <w:sz w:val="20"/>
        </w:rPr>
        <w:t>Youth</w:t>
      </w:r>
      <w:r>
        <w:rPr>
          <w:spacing w:val="-5"/>
          <w:sz w:val="20"/>
        </w:rPr>
        <w:t xml:space="preserve"> </w:t>
      </w:r>
      <w:r>
        <w:rPr>
          <w:sz w:val="20"/>
        </w:rPr>
        <w:t>Detention</w:t>
      </w:r>
      <w:r>
        <w:rPr>
          <w:spacing w:val="-4"/>
          <w:sz w:val="20"/>
        </w:rPr>
        <w:t xml:space="preserve"> </w:t>
      </w:r>
      <w:r>
        <w:rPr>
          <w:sz w:val="20"/>
        </w:rPr>
        <w:t>Population</w:t>
      </w:r>
      <w:r>
        <w:rPr>
          <w:spacing w:val="-4"/>
          <w:sz w:val="20"/>
        </w:rPr>
        <w:t xml:space="preserve"> </w:t>
      </w:r>
      <w:r>
        <w:rPr>
          <w:sz w:val="20"/>
        </w:rPr>
        <w:t>Drops</w:t>
      </w:r>
      <w:r>
        <w:rPr>
          <w:spacing w:val="-6"/>
          <w:sz w:val="20"/>
        </w:rPr>
        <w:t xml:space="preserve"> </w:t>
      </w:r>
      <w:r>
        <w:rPr>
          <w:sz w:val="20"/>
        </w:rPr>
        <w:t>More</w:t>
      </w:r>
      <w:r>
        <w:rPr>
          <w:spacing w:val="-4"/>
          <w:sz w:val="20"/>
        </w:rPr>
        <w:t xml:space="preserve"> </w:t>
      </w:r>
      <w:r>
        <w:rPr>
          <w:sz w:val="20"/>
        </w:rPr>
        <w:t>than</w:t>
      </w:r>
      <w:r>
        <w:rPr>
          <w:spacing w:val="-5"/>
          <w:sz w:val="20"/>
        </w:rPr>
        <w:t xml:space="preserve"> </w:t>
      </w:r>
      <w:r>
        <w:rPr>
          <w:sz w:val="20"/>
        </w:rPr>
        <w:t>20%</w:t>
      </w:r>
      <w:r>
        <w:rPr>
          <w:spacing w:val="-6"/>
          <w:sz w:val="20"/>
        </w:rPr>
        <w:t xml:space="preserve"> </w:t>
      </w:r>
      <w:r>
        <w:rPr>
          <w:sz w:val="20"/>
        </w:rPr>
        <w:t>within</w:t>
      </w:r>
      <w:r>
        <w:rPr>
          <w:spacing w:val="-5"/>
          <w:sz w:val="20"/>
        </w:rPr>
        <w:t xml:space="preserve"> </w:t>
      </w:r>
      <w:r>
        <w:rPr>
          <w:sz w:val="20"/>
        </w:rPr>
        <w:t>Weeks,” Public News Service, A</w:t>
      </w:r>
      <w:r>
        <w:rPr>
          <w:sz w:val="20"/>
        </w:rPr>
        <w:t>pril 30, 2020, https://</w:t>
      </w:r>
      <w:hyperlink r:id="rId142">
        <w:r>
          <w:rPr>
            <w:sz w:val="20"/>
          </w:rPr>
          <w:t>www.publicnewsservice.org/2020-04-30/juvenile-justice/ma-youth-</w:t>
        </w:r>
      </w:hyperlink>
      <w:r>
        <w:rPr>
          <w:sz w:val="20"/>
        </w:rPr>
        <w:t xml:space="preserve"> </w:t>
      </w:r>
      <w:r>
        <w:rPr>
          <w:spacing w:val="-2"/>
          <w:sz w:val="20"/>
        </w:rPr>
        <w:t>detention-population-drops-more-than-20-within-weeks/a70055-1.</w:t>
      </w:r>
    </w:p>
    <w:p w:rsidR="00C76E6D" w:rsidRDefault="00913831">
      <w:pPr>
        <w:ind w:left="478" w:right="758"/>
        <w:rPr>
          <w:sz w:val="20"/>
        </w:rPr>
      </w:pPr>
      <w:bookmarkStart w:id="94" w:name="_bookmark60"/>
      <w:bookmarkEnd w:id="94"/>
      <w:r>
        <w:rPr>
          <w:sz w:val="20"/>
          <w:vertAlign w:val="superscript"/>
        </w:rPr>
        <w:t>39</w:t>
      </w:r>
      <w:r>
        <w:rPr>
          <w:sz w:val="20"/>
        </w:rPr>
        <w:t xml:space="preserve"> Massachusetts</w:t>
      </w:r>
      <w:r>
        <w:rPr>
          <w:sz w:val="20"/>
        </w:rPr>
        <w:t xml:space="preserve"> Coalition for Juvenile Justice Reform, “Recommendations to Promote Racial Equity in Youth Justice,”</w:t>
      </w:r>
      <w:r>
        <w:rPr>
          <w:spacing w:val="-12"/>
          <w:sz w:val="20"/>
        </w:rPr>
        <w:t xml:space="preserve"> </w:t>
      </w:r>
      <w:r>
        <w:rPr>
          <w:sz w:val="20"/>
        </w:rPr>
        <w:t>June</w:t>
      </w:r>
      <w:r>
        <w:rPr>
          <w:spacing w:val="-12"/>
          <w:sz w:val="20"/>
        </w:rPr>
        <w:t xml:space="preserve"> </w:t>
      </w:r>
      <w:r>
        <w:rPr>
          <w:sz w:val="20"/>
        </w:rPr>
        <w:t>15,</w:t>
      </w:r>
      <w:r>
        <w:rPr>
          <w:spacing w:val="-11"/>
          <w:sz w:val="20"/>
        </w:rPr>
        <w:t xml:space="preserve"> </w:t>
      </w:r>
      <w:r>
        <w:rPr>
          <w:sz w:val="20"/>
        </w:rPr>
        <w:t>2020,</w:t>
      </w:r>
      <w:r>
        <w:rPr>
          <w:spacing w:val="-11"/>
          <w:sz w:val="20"/>
        </w:rPr>
        <w:t xml:space="preserve"> </w:t>
      </w:r>
      <w:r>
        <w:rPr>
          <w:sz w:val="20"/>
        </w:rPr>
        <w:t>https://</w:t>
      </w:r>
      <w:hyperlink r:id="rId143">
        <w:r>
          <w:rPr>
            <w:sz w:val="20"/>
          </w:rPr>
          <w:t>www.glad.org/wp-content/uploads/2020/06/JJ-Coalition-Recommendations-on-</w:t>
        </w:r>
      </w:hyperlink>
      <w:r>
        <w:rPr>
          <w:sz w:val="20"/>
        </w:rPr>
        <w:t xml:space="preserve"> </w:t>
      </w:r>
      <w:r>
        <w:rPr>
          <w:spacing w:val="-2"/>
          <w:sz w:val="20"/>
        </w:rPr>
        <w:t>Race-Equity-6.15.2020-Speaker-DeLeo.pdf.</w:t>
      </w:r>
    </w:p>
    <w:p w:rsidR="00C76E6D" w:rsidRDefault="00C76E6D">
      <w:pPr>
        <w:rPr>
          <w:sz w:val="20"/>
        </w:rPr>
        <w:sectPr w:rsidR="00C76E6D">
          <w:pgSz w:w="12240" w:h="15840"/>
          <w:pgMar w:top="980" w:right="960" w:bottom="920" w:left="960" w:header="776" w:footer="72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9"/>
        <w:rPr>
          <w:sz w:val="18"/>
        </w:rPr>
      </w:pPr>
    </w:p>
    <w:p w:rsidR="00C76E6D" w:rsidRDefault="00913831">
      <w:pPr>
        <w:ind w:left="478" w:right="530"/>
        <w:rPr>
          <w:sz w:val="20"/>
        </w:rPr>
      </w:pPr>
      <w:bookmarkStart w:id="95" w:name="_bookmark61"/>
      <w:bookmarkEnd w:id="95"/>
      <w:r>
        <w:rPr>
          <w:sz w:val="20"/>
          <w:vertAlign w:val="superscript"/>
        </w:rPr>
        <w:t>40</w:t>
      </w:r>
      <w:r>
        <w:rPr>
          <w:sz w:val="20"/>
        </w:rPr>
        <w:t xml:space="preserve"> Deborah Becker, “Mass. Working to Educate Prisoners about Getting the Coronavirus Vaccine,” WBUR News, </w:t>
      </w:r>
      <w:r>
        <w:rPr>
          <w:spacing w:val="-2"/>
          <w:sz w:val="20"/>
        </w:rPr>
        <w:t>January 27, 2021, https://</w:t>
      </w:r>
      <w:hyperlink r:id="rId144">
        <w:r>
          <w:rPr>
            <w:spacing w:val="-2"/>
            <w:sz w:val="20"/>
          </w:rPr>
          <w:t>www.wbur.org/news/2021/01/27/massachusetts-covid-vaccines-jail-prison-education-</w:t>
        </w:r>
      </w:hyperlink>
      <w:r>
        <w:rPr>
          <w:spacing w:val="-2"/>
          <w:sz w:val="20"/>
        </w:rPr>
        <w:t xml:space="preserve"> </w:t>
      </w:r>
      <w:bookmarkStart w:id="96" w:name="_bookmark62"/>
      <w:bookmarkEnd w:id="96"/>
      <w:r>
        <w:rPr>
          <w:spacing w:val="-2"/>
          <w:sz w:val="20"/>
        </w:rPr>
        <w:t>awareness.</w:t>
      </w:r>
    </w:p>
    <w:p w:rsidR="00C76E6D" w:rsidRDefault="00913831">
      <w:pPr>
        <w:ind w:left="480" w:right="627" w:hanging="2"/>
        <w:rPr>
          <w:sz w:val="20"/>
        </w:rPr>
      </w:pPr>
      <w:r>
        <w:rPr>
          <w:sz w:val="20"/>
          <w:vertAlign w:val="superscript"/>
        </w:rPr>
        <w:t>41</w:t>
      </w:r>
      <w:r>
        <w:rPr>
          <w:spacing w:val="-4"/>
          <w:sz w:val="20"/>
        </w:rPr>
        <w:t xml:space="preserve"> </w:t>
      </w:r>
      <w:r>
        <w:rPr>
          <w:sz w:val="20"/>
        </w:rPr>
        <w:t>Thomas</w:t>
      </w:r>
      <w:r>
        <w:rPr>
          <w:spacing w:val="-5"/>
          <w:sz w:val="20"/>
        </w:rPr>
        <w:t xml:space="preserve"> </w:t>
      </w:r>
      <w:r>
        <w:rPr>
          <w:sz w:val="20"/>
        </w:rPr>
        <w:t>D.</w:t>
      </w:r>
      <w:r>
        <w:rPr>
          <w:spacing w:val="-6"/>
          <w:sz w:val="20"/>
        </w:rPr>
        <w:t xml:space="preserve"> </w:t>
      </w:r>
      <w:r>
        <w:rPr>
          <w:sz w:val="20"/>
        </w:rPr>
        <w:t>Sequist,</w:t>
      </w:r>
      <w:r>
        <w:rPr>
          <w:spacing w:val="-5"/>
          <w:sz w:val="20"/>
        </w:rPr>
        <w:t xml:space="preserve"> </w:t>
      </w:r>
      <w:r>
        <w:rPr>
          <w:sz w:val="20"/>
        </w:rPr>
        <w:t>“The</w:t>
      </w:r>
      <w:r>
        <w:rPr>
          <w:spacing w:val="-8"/>
          <w:sz w:val="20"/>
        </w:rPr>
        <w:t xml:space="preserve"> </w:t>
      </w:r>
      <w:r>
        <w:rPr>
          <w:sz w:val="20"/>
        </w:rPr>
        <w:t>Disp</w:t>
      </w:r>
      <w:r>
        <w:rPr>
          <w:sz w:val="20"/>
        </w:rPr>
        <w:t>roportionate</w:t>
      </w:r>
      <w:r>
        <w:rPr>
          <w:spacing w:val="-7"/>
          <w:sz w:val="20"/>
        </w:rPr>
        <w:t xml:space="preserve"> </w:t>
      </w:r>
      <w:r>
        <w:rPr>
          <w:sz w:val="20"/>
        </w:rPr>
        <w:t>Impact</w:t>
      </w:r>
      <w:r>
        <w:rPr>
          <w:spacing w:val="-6"/>
          <w:sz w:val="20"/>
        </w:rPr>
        <w:t xml:space="preserve"> </w:t>
      </w:r>
      <w:r>
        <w:rPr>
          <w:sz w:val="20"/>
        </w:rPr>
        <w:t>of</w:t>
      </w:r>
      <w:r>
        <w:rPr>
          <w:spacing w:val="-4"/>
          <w:sz w:val="20"/>
        </w:rPr>
        <w:t xml:space="preserve"> </w:t>
      </w:r>
      <w:r>
        <w:rPr>
          <w:sz w:val="20"/>
        </w:rPr>
        <w:t>COVID-19</w:t>
      </w:r>
      <w:r>
        <w:rPr>
          <w:spacing w:val="-4"/>
          <w:sz w:val="20"/>
        </w:rPr>
        <w:t xml:space="preserve"> </w:t>
      </w:r>
      <w:r>
        <w:rPr>
          <w:sz w:val="20"/>
        </w:rPr>
        <w:t>on</w:t>
      </w:r>
      <w:r>
        <w:rPr>
          <w:spacing w:val="-5"/>
          <w:sz w:val="20"/>
        </w:rPr>
        <w:t xml:space="preserve"> </w:t>
      </w:r>
      <w:r>
        <w:rPr>
          <w:sz w:val="20"/>
        </w:rPr>
        <w:t>Communities</w:t>
      </w:r>
      <w:r>
        <w:rPr>
          <w:spacing w:val="-4"/>
          <w:sz w:val="20"/>
        </w:rPr>
        <w:t xml:space="preserve"> </w:t>
      </w:r>
      <w:r>
        <w:rPr>
          <w:sz w:val="20"/>
        </w:rPr>
        <w:t>of</w:t>
      </w:r>
      <w:r>
        <w:rPr>
          <w:spacing w:val="-4"/>
          <w:sz w:val="20"/>
        </w:rPr>
        <w:t xml:space="preserve"> </w:t>
      </w:r>
      <w:r>
        <w:rPr>
          <w:sz w:val="20"/>
        </w:rPr>
        <w:t>Color,</w:t>
      </w:r>
      <w:r>
        <w:rPr>
          <w:spacing w:val="-4"/>
          <w:sz w:val="20"/>
        </w:rPr>
        <w:t xml:space="preserve"> </w:t>
      </w:r>
      <w:r>
        <w:rPr>
          <w:i/>
          <w:sz w:val="20"/>
        </w:rPr>
        <w:t>NEJM</w:t>
      </w:r>
      <w:r>
        <w:rPr>
          <w:i/>
          <w:spacing w:val="-6"/>
          <w:sz w:val="20"/>
        </w:rPr>
        <w:t xml:space="preserve"> </w:t>
      </w:r>
      <w:r>
        <w:rPr>
          <w:i/>
          <w:sz w:val="20"/>
        </w:rPr>
        <w:t>Catalyst</w:t>
      </w:r>
      <w:r>
        <w:rPr>
          <w:sz w:val="20"/>
        </w:rPr>
        <w:t>,</w:t>
      </w:r>
      <w:r>
        <w:rPr>
          <w:spacing w:val="-5"/>
          <w:sz w:val="20"/>
        </w:rPr>
        <w:t xml:space="preserve"> </w:t>
      </w:r>
      <w:r>
        <w:rPr>
          <w:sz w:val="20"/>
        </w:rPr>
        <w:t xml:space="preserve">(2020), </w:t>
      </w:r>
      <w:r>
        <w:rPr>
          <w:spacing w:val="-2"/>
          <w:sz w:val="20"/>
        </w:rPr>
        <w:t>https://catalyst.nejm.org/doi/full/10.1056/CAT.20.0370#:~:text=in%20the%20world.-</w:t>
      </w:r>
    </w:p>
    <w:p w:rsidR="00C76E6D" w:rsidRDefault="00913831">
      <w:pPr>
        <w:ind w:left="480" w:right="530"/>
        <w:rPr>
          <w:sz w:val="20"/>
        </w:rPr>
      </w:pPr>
      <w:r>
        <w:rPr>
          <w:spacing w:val="-4"/>
          <w:sz w:val="20"/>
        </w:rPr>
        <w:t>,The%20Disproportionate%20Impact%20of%20Covid%2D19%20on%20Communities%20of%20Color,Navajo%20Na</w:t>
      </w:r>
      <w:r>
        <w:rPr>
          <w:spacing w:val="-4"/>
          <w:sz w:val="20"/>
        </w:rPr>
        <w:t xml:space="preserve"> </w:t>
      </w:r>
      <w:r>
        <w:rPr>
          <w:spacing w:val="-2"/>
          <w:sz w:val="20"/>
        </w:rPr>
        <w:t>tion%20and%20Chelsea%2C%20Massachusetts.</w:t>
      </w:r>
    </w:p>
    <w:p w:rsidR="00C76E6D" w:rsidRDefault="00913831">
      <w:pPr>
        <w:ind w:left="479" w:right="655" w:hanging="1"/>
        <w:rPr>
          <w:sz w:val="20"/>
        </w:rPr>
      </w:pPr>
      <w:bookmarkStart w:id="97" w:name="_bookmark63"/>
      <w:bookmarkEnd w:id="97"/>
      <w:r>
        <w:rPr>
          <w:sz w:val="20"/>
          <w:vertAlign w:val="superscript"/>
        </w:rPr>
        <w:t>42</w:t>
      </w:r>
      <w:r>
        <w:rPr>
          <w:spacing w:val="-4"/>
          <w:sz w:val="20"/>
        </w:rPr>
        <w:t xml:space="preserve"> </w:t>
      </w:r>
      <w:r>
        <w:rPr>
          <w:sz w:val="20"/>
        </w:rPr>
        <w:t>Julie</w:t>
      </w:r>
      <w:r>
        <w:rPr>
          <w:spacing w:val="-5"/>
          <w:sz w:val="20"/>
        </w:rPr>
        <w:t xml:space="preserve"> </w:t>
      </w:r>
      <w:r>
        <w:rPr>
          <w:sz w:val="20"/>
        </w:rPr>
        <w:t>Cunningham,</w:t>
      </w:r>
      <w:r>
        <w:rPr>
          <w:spacing w:val="-5"/>
          <w:sz w:val="20"/>
        </w:rPr>
        <w:t xml:space="preserve"> </w:t>
      </w:r>
      <w:r>
        <w:rPr>
          <w:sz w:val="20"/>
        </w:rPr>
        <w:t>“New</w:t>
      </w:r>
      <w:r>
        <w:rPr>
          <w:spacing w:val="-5"/>
          <w:sz w:val="20"/>
        </w:rPr>
        <w:t xml:space="preserve"> </w:t>
      </w:r>
      <w:r>
        <w:rPr>
          <w:sz w:val="20"/>
        </w:rPr>
        <w:t>Study</w:t>
      </w:r>
      <w:r>
        <w:rPr>
          <w:spacing w:val="-5"/>
          <w:sz w:val="20"/>
        </w:rPr>
        <w:t xml:space="preserve"> </w:t>
      </w:r>
      <w:r>
        <w:rPr>
          <w:sz w:val="20"/>
        </w:rPr>
        <w:t>Underscores</w:t>
      </w:r>
      <w:r>
        <w:rPr>
          <w:spacing w:val="-6"/>
          <w:sz w:val="20"/>
        </w:rPr>
        <w:t xml:space="preserve"> </w:t>
      </w:r>
      <w:r>
        <w:rPr>
          <w:sz w:val="20"/>
        </w:rPr>
        <w:t>the</w:t>
      </w:r>
      <w:r>
        <w:rPr>
          <w:spacing w:val="-7"/>
          <w:sz w:val="20"/>
        </w:rPr>
        <w:t xml:space="preserve"> </w:t>
      </w:r>
      <w:r>
        <w:rPr>
          <w:sz w:val="20"/>
        </w:rPr>
        <w:t>Role</w:t>
      </w:r>
      <w:r>
        <w:rPr>
          <w:spacing w:val="-5"/>
          <w:sz w:val="20"/>
        </w:rPr>
        <w:t xml:space="preserve"> </w:t>
      </w:r>
      <w:r>
        <w:rPr>
          <w:sz w:val="20"/>
        </w:rPr>
        <w:t>of</w:t>
      </w:r>
      <w:r>
        <w:rPr>
          <w:spacing w:val="-6"/>
          <w:sz w:val="20"/>
        </w:rPr>
        <w:t xml:space="preserve"> </w:t>
      </w:r>
      <w:r>
        <w:rPr>
          <w:sz w:val="20"/>
        </w:rPr>
        <w:t>Race</w:t>
      </w:r>
      <w:r>
        <w:rPr>
          <w:spacing w:val="-5"/>
          <w:sz w:val="20"/>
        </w:rPr>
        <w:t xml:space="preserve"> </w:t>
      </w:r>
      <w:r>
        <w:rPr>
          <w:sz w:val="20"/>
        </w:rPr>
        <w:t>and</w:t>
      </w:r>
      <w:r>
        <w:rPr>
          <w:spacing w:val="-5"/>
          <w:sz w:val="20"/>
        </w:rPr>
        <w:t xml:space="preserve"> </w:t>
      </w:r>
      <w:r>
        <w:rPr>
          <w:sz w:val="20"/>
        </w:rPr>
        <w:t>Poverty</w:t>
      </w:r>
      <w:r>
        <w:rPr>
          <w:spacing w:val="-5"/>
          <w:sz w:val="20"/>
        </w:rPr>
        <w:t xml:space="preserve"> </w:t>
      </w:r>
      <w:r>
        <w:rPr>
          <w:sz w:val="20"/>
        </w:rPr>
        <w:t>in</w:t>
      </w:r>
      <w:r>
        <w:rPr>
          <w:spacing w:val="-4"/>
          <w:sz w:val="20"/>
        </w:rPr>
        <w:t xml:space="preserve"> </w:t>
      </w:r>
      <w:r>
        <w:rPr>
          <w:sz w:val="20"/>
        </w:rPr>
        <w:t>COVID-19,”</w:t>
      </w:r>
      <w:r>
        <w:rPr>
          <w:spacing w:val="-7"/>
          <w:sz w:val="20"/>
        </w:rPr>
        <w:t xml:space="preserve"> </w:t>
      </w:r>
      <w:r>
        <w:rPr>
          <w:sz w:val="20"/>
        </w:rPr>
        <w:t>Massachusetts</w:t>
      </w:r>
      <w:r>
        <w:rPr>
          <w:spacing w:val="-6"/>
          <w:sz w:val="20"/>
        </w:rPr>
        <w:t xml:space="preserve"> </w:t>
      </w:r>
      <w:r>
        <w:rPr>
          <w:sz w:val="20"/>
        </w:rPr>
        <w:t>General Hospital, June 9, 2021, https://</w:t>
      </w:r>
      <w:hyperlink r:id="rId145">
        <w:r>
          <w:rPr>
            <w:sz w:val="20"/>
          </w:rPr>
          <w:t>www.massgeneral.org/news/press-release/new-study-underscores-the-role-of-</w:t>
        </w:r>
      </w:hyperlink>
      <w:r>
        <w:rPr>
          <w:sz w:val="20"/>
        </w:rPr>
        <w:t xml:space="preserve"> </w:t>
      </w:r>
      <w:r>
        <w:rPr>
          <w:spacing w:val="-2"/>
          <w:sz w:val="20"/>
        </w:rPr>
        <w:t>race-and-poverty-in-covid-19.</w:t>
      </w:r>
    </w:p>
    <w:p w:rsidR="00C76E6D" w:rsidRDefault="00913831">
      <w:pPr>
        <w:ind w:left="478" w:right="723"/>
        <w:rPr>
          <w:sz w:val="20"/>
        </w:rPr>
      </w:pPr>
      <w:bookmarkStart w:id="98" w:name="_bookmark64"/>
      <w:bookmarkEnd w:id="98"/>
      <w:r>
        <w:rPr>
          <w:sz w:val="20"/>
          <w:vertAlign w:val="superscript"/>
        </w:rPr>
        <w:t>43</w:t>
      </w:r>
      <w:r>
        <w:rPr>
          <w:sz w:val="20"/>
        </w:rPr>
        <w:t xml:space="preserve"> Dominique Pando Bucci, “Reopening America’s Doors t</w:t>
      </w:r>
      <w:r>
        <w:rPr>
          <w:sz w:val="20"/>
        </w:rPr>
        <w:t>o Immigration Requires Addressing the Visa Backlog,” Think</w:t>
      </w:r>
      <w:r>
        <w:rPr>
          <w:spacing w:val="-12"/>
          <w:sz w:val="20"/>
        </w:rPr>
        <w:t xml:space="preserve"> </w:t>
      </w:r>
      <w:r>
        <w:rPr>
          <w:sz w:val="20"/>
        </w:rPr>
        <w:t>Immigration,</w:t>
      </w:r>
      <w:r>
        <w:rPr>
          <w:spacing w:val="-11"/>
          <w:sz w:val="20"/>
        </w:rPr>
        <w:t xml:space="preserve"> </w:t>
      </w:r>
      <w:r>
        <w:rPr>
          <w:sz w:val="20"/>
        </w:rPr>
        <w:t>April</w:t>
      </w:r>
      <w:r>
        <w:rPr>
          <w:spacing w:val="-11"/>
          <w:sz w:val="20"/>
        </w:rPr>
        <w:t xml:space="preserve"> </w:t>
      </w:r>
      <w:r>
        <w:rPr>
          <w:sz w:val="20"/>
        </w:rPr>
        <w:t>12,</w:t>
      </w:r>
      <w:r>
        <w:rPr>
          <w:spacing w:val="-12"/>
          <w:sz w:val="20"/>
        </w:rPr>
        <w:t xml:space="preserve"> </w:t>
      </w:r>
      <w:r>
        <w:rPr>
          <w:sz w:val="20"/>
        </w:rPr>
        <w:t>2022,</w:t>
      </w:r>
      <w:r>
        <w:rPr>
          <w:spacing w:val="-11"/>
          <w:sz w:val="20"/>
        </w:rPr>
        <w:t xml:space="preserve"> </w:t>
      </w:r>
      <w:r>
        <w:rPr>
          <w:sz w:val="20"/>
        </w:rPr>
        <w:t xml:space="preserve">https://thinkimmigration.org/blog/2022/04/12/reopening-americas-doors-to- </w:t>
      </w:r>
      <w:bookmarkStart w:id="99" w:name="_bookmark65"/>
      <w:bookmarkEnd w:id="99"/>
      <w:r>
        <w:rPr>
          <w:spacing w:val="-2"/>
          <w:sz w:val="20"/>
        </w:rPr>
        <w:t>immigration-requires-addressing-the-visa-backlog.</w:t>
      </w:r>
    </w:p>
    <w:p w:rsidR="00C76E6D" w:rsidRDefault="00913831">
      <w:pPr>
        <w:ind w:left="481" w:right="530" w:hanging="3"/>
        <w:rPr>
          <w:sz w:val="20"/>
        </w:rPr>
      </w:pPr>
      <w:r>
        <w:rPr>
          <w:sz w:val="20"/>
          <w:vertAlign w:val="superscript"/>
        </w:rPr>
        <w:t>44</w:t>
      </w:r>
      <w:r>
        <w:rPr>
          <w:spacing w:val="-5"/>
          <w:sz w:val="20"/>
        </w:rPr>
        <w:t xml:space="preserve"> </w:t>
      </w:r>
      <w:r>
        <w:rPr>
          <w:sz w:val="20"/>
        </w:rPr>
        <w:t>Jasmine</w:t>
      </w:r>
      <w:r>
        <w:rPr>
          <w:spacing w:val="-5"/>
          <w:sz w:val="20"/>
        </w:rPr>
        <w:t xml:space="preserve"> </w:t>
      </w:r>
      <w:r>
        <w:rPr>
          <w:sz w:val="20"/>
        </w:rPr>
        <w:t>Aguilera,</w:t>
      </w:r>
      <w:r>
        <w:rPr>
          <w:spacing w:val="-6"/>
          <w:sz w:val="20"/>
        </w:rPr>
        <w:t xml:space="preserve"> </w:t>
      </w:r>
      <w:r>
        <w:rPr>
          <w:sz w:val="20"/>
        </w:rPr>
        <w:t>“A</w:t>
      </w:r>
      <w:r>
        <w:rPr>
          <w:spacing w:val="-5"/>
          <w:sz w:val="20"/>
        </w:rPr>
        <w:t xml:space="preserve"> </w:t>
      </w:r>
      <w:r>
        <w:rPr>
          <w:sz w:val="20"/>
        </w:rPr>
        <w:t>Years-Long</w:t>
      </w:r>
      <w:r>
        <w:rPr>
          <w:spacing w:val="-5"/>
          <w:sz w:val="20"/>
        </w:rPr>
        <w:t xml:space="preserve"> </w:t>
      </w:r>
      <w:r>
        <w:rPr>
          <w:sz w:val="20"/>
        </w:rPr>
        <w:t>Immigrati</w:t>
      </w:r>
      <w:r>
        <w:rPr>
          <w:sz w:val="20"/>
        </w:rPr>
        <w:t>on</w:t>
      </w:r>
      <w:r>
        <w:rPr>
          <w:spacing w:val="-5"/>
          <w:sz w:val="20"/>
        </w:rPr>
        <w:t xml:space="preserve"> </w:t>
      </w:r>
      <w:r>
        <w:rPr>
          <w:sz w:val="20"/>
        </w:rPr>
        <w:t>Backlog</w:t>
      </w:r>
      <w:r>
        <w:rPr>
          <w:spacing w:val="-5"/>
          <w:sz w:val="20"/>
        </w:rPr>
        <w:t xml:space="preserve"> </w:t>
      </w:r>
      <w:r>
        <w:rPr>
          <w:sz w:val="20"/>
        </w:rPr>
        <w:t>Puts</w:t>
      </w:r>
      <w:r>
        <w:rPr>
          <w:spacing w:val="-6"/>
          <w:sz w:val="20"/>
        </w:rPr>
        <w:t xml:space="preserve"> </w:t>
      </w:r>
      <w:r>
        <w:rPr>
          <w:sz w:val="20"/>
        </w:rPr>
        <w:t>Thousands</w:t>
      </w:r>
      <w:r>
        <w:rPr>
          <w:spacing w:val="-7"/>
          <w:sz w:val="20"/>
        </w:rPr>
        <w:t xml:space="preserve"> </w:t>
      </w:r>
      <w:r>
        <w:rPr>
          <w:sz w:val="20"/>
        </w:rPr>
        <w:t>of</w:t>
      </w:r>
      <w:r>
        <w:rPr>
          <w:spacing w:val="-7"/>
          <w:sz w:val="20"/>
        </w:rPr>
        <w:t xml:space="preserve"> </w:t>
      </w:r>
      <w:r>
        <w:rPr>
          <w:sz w:val="20"/>
        </w:rPr>
        <w:t>Abused</w:t>
      </w:r>
      <w:r>
        <w:rPr>
          <w:spacing w:val="-8"/>
          <w:sz w:val="20"/>
        </w:rPr>
        <w:t xml:space="preserve"> </w:t>
      </w:r>
      <w:r>
        <w:rPr>
          <w:sz w:val="20"/>
        </w:rPr>
        <w:t>Kids</w:t>
      </w:r>
      <w:r>
        <w:rPr>
          <w:spacing w:val="-6"/>
          <w:sz w:val="20"/>
        </w:rPr>
        <w:t xml:space="preserve"> </w:t>
      </w:r>
      <w:r>
        <w:rPr>
          <w:sz w:val="20"/>
        </w:rPr>
        <w:t>in</w:t>
      </w:r>
      <w:r>
        <w:rPr>
          <w:spacing w:val="-6"/>
          <w:sz w:val="20"/>
        </w:rPr>
        <w:t xml:space="preserve"> </w:t>
      </w:r>
      <w:r>
        <w:rPr>
          <w:sz w:val="20"/>
        </w:rPr>
        <w:t>Limbo,”</w:t>
      </w:r>
      <w:r>
        <w:rPr>
          <w:spacing w:val="-5"/>
          <w:sz w:val="20"/>
        </w:rPr>
        <w:t xml:space="preserve"> </w:t>
      </w:r>
      <w:r>
        <w:rPr>
          <w:sz w:val="20"/>
        </w:rPr>
        <w:t>Time,</w:t>
      </w:r>
      <w:r>
        <w:rPr>
          <w:spacing w:val="-5"/>
          <w:sz w:val="20"/>
        </w:rPr>
        <w:t xml:space="preserve"> </w:t>
      </w:r>
      <w:r>
        <w:rPr>
          <w:sz w:val="20"/>
        </w:rPr>
        <w:t>December 16, 2021, https://time.com/6128025/abused-immigrant-kids-sijs-backlog.</w:t>
      </w:r>
    </w:p>
    <w:p w:rsidR="00C76E6D" w:rsidRDefault="00C76E6D">
      <w:pPr>
        <w:rPr>
          <w:sz w:val="20"/>
        </w:rPr>
        <w:sectPr w:rsidR="00C76E6D">
          <w:pgSz w:w="12240" w:h="15840"/>
          <w:pgMar w:top="980" w:right="960" w:bottom="920" w:left="960" w:header="776" w:footer="720" w:gutter="0"/>
          <w:cols w:space="720"/>
        </w:sectPr>
      </w:pPr>
    </w:p>
    <w:p w:rsidR="00C76E6D" w:rsidRDefault="00C76E6D">
      <w:pPr>
        <w:pStyle w:val="BodyText"/>
        <w:rPr>
          <w:sz w:val="20"/>
        </w:rPr>
      </w:pPr>
    </w:p>
    <w:p w:rsidR="00C76E6D" w:rsidRDefault="00913831">
      <w:pPr>
        <w:pStyle w:val="Heading1"/>
      </w:pPr>
      <w:bookmarkStart w:id="100" w:name="SAFE_SCHOOLS_PROGRAM_FOR_LGBTQ_STUDENTS_"/>
      <w:bookmarkStart w:id="101" w:name="_bookmark66"/>
      <w:bookmarkEnd w:id="100"/>
      <w:bookmarkEnd w:id="101"/>
      <w:r>
        <w:t>SAFE</w:t>
      </w:r>
      <w:r>
        <w:rPr>
          <w:spacing w:val="-14"/>
        </w:rPr>
        <w:t xml:space="preserve"> </w:t>
      </w:r>
      <w:r>
        <w:t>SCHOOLS</w:t>
      </w:r>
      <w:r>
        <w:rPr>
          <w:spacing w:val="-12"/>
        </w:rPr>
        <w:t xml:space="preserve"> </w:t>
      </w:r>
      <w:r>
        <w:t>PROGRAM</w:t>
      </w:r>
      <w:r>
        <w:rPr>
          <w:spacing w:val="-13"/>
        </w:rPr>
        <w:t xml:space="preserve"> </w:t>
      </w:r>
      <w:r>
        <w:t>FOR</w:t>
      </w:r>
      <w:r>
        <w:rPr>
          <w:spacing w:val="-11"/>
        </w:rPr>
        <w:t xml:space="preserve"> </w:t>
      </w:r>
      <w:r>
        <w:t>LGBTQ</w:t>
      </w:r>
      <w:r>
        <w:rPr>
          <w:spacing w:val="-10"/>
        </w:rPr>
        <w:t xml:space="preserve"> </w:t>
      </w:r>
      <w:r>
        <w:t>STUDENTS</w:t>
      </w:r>
      <w:r>
        <w:rPr>
          <w:spacing w:val="-10"/>
        </w:rPr>
        <w:t xml:space="preserve"> </w:t>
      </w:r>
      <w:r>
        <w:t>ANNUAL</w:t>
      </w:r>
      <w:r>
        <w:rPr>
          <w:spacing w:val="-11"/>
        </w:rPr>
        <w:t xml:space="preserve"> </w:t>
      </w:r>
      <w:r>
        <w:rPr>
          <w:spacing w:val="-2"/>
        </w:rPr>
        <w:t>REPORT</w:t>
      </w:r>
    </w:p>
    <w:p w:rsidR="00C76E6D" w:rsidRDefault="00913831">
      <w:pPr>
        <w:pStyle w:val="BodyText"/>
        <w:spacing w:before="7"/>
        <w:rPr>
          <w:b/>
          <w:sz w:val="11"/>
        </w:rPr>
      </w:pPr>
      <w:r>
        <w:pict>
          <v:shape id="docshape241" o:spid="_x0000_s1187" style="position:absolute;margin-left:70.6pt;margin-top:8.3pt;width:470.95pt;height:.1pt;z-index:-15699456;mso-wrap-distance-left:0;mso-wrap-distance-right:0;mso-position-horizontal-relative:page" coordorigin="1412,166" coordsize="9419,0" path="m1412,166r9419,e" filled="f" strokeweight="1.54pt">
            <v:path arrowok="t"/>
            <w10:wrap type="topAndBottom" anchorx="page"/>
          </v:shape>
        </w:pict>
      </w:r>
    </w:p>
    <w:p w:rsidR="00C76E6D" w:rsidRDefault="00913831">
      <w:pPr>
        <w:pStyle w:val="Heading5"/>
        <w:numPr>
          <w:ilvl w:val="0"/>
          <w:numId w:val="51"/>
        </w:numPr>
        <w:tabs>
          <w:tab w:val="left" w:pos="844"/>
        </w:tabs>
        <w:spacing w:before="269"/>
        <w:jc w:val="left"/>
      </w:pPr>
      <w:bookmarkStart w:id="102" w:name="_bookmark67"/>
      <w:bookmarkEnd w:id="102"/>
      <w:r>
        <w:rPr>
          <w:spacing w:val="-2"/>
        </w:rPr>
        <w:t>Introduction</w:t>
      </w:r>
    </w:p>
    <w:p w:rsidR="00C76E6D" w:rsidRDefault="00913831">
      <w:pPr>
        <w:pStyle w:val="BodyText"/>
        <w:spacing w:before="2"/>
        <w:rPr>
          <w:b/>
          <w:sz w:val="20"/>
        </w:rPr>
      </w:pPr>
      <w:r>
        <w:pict>
          <v:shape id="docshape242" o:spid="_x0000_s1186" style="position:absolute;margin-left:1in;margin-top:13.55pt;width:466.3pt;height:.1pt;z-index:-15698944;mso-wrap-distance-left:0;mso-wrap-distance-right:0;mso-position-horizontal-relative:page" coordorigin="1440,271" coordsize="9326,0" path="m1440,271r9326,e" filled="f" strokeweight=".40958mm">
            <v:path arrowok="t"/>
            <w10:wrap type="topAndBottom" anchorx="page"/>
          </v:shape>
        </w:pict>
      </w:r>
    </w:p>
    <w:p w:rsidR="00C76E6D" w:rsidRDefault="00C76E6D">
      <w:pPr>
        <w:pStyle w:val="BodyText"/>
        <w:spacing w:before="10"/>
        <w:rPr>
          <w:b/>
        </w:rPr>
      </w:pPr>
    </w:p>
    <w:p w:rsidR="00C76E6D" w:rsidRDefault="00913831">
      <w:pPr>
        <w:pStyle w:val="BodyText"/>
        <w:spacing w:line="276" w:lineRule="auto"/>
        <w:ind w:left="478" w:right="476"/>
        <w:jc w:val="both"/>
      </w:pPr>
      <w:r>
        <w:t>The Safe Schools Program for Lesbian, Gay, Bisexual, Transgender, Queer, and Questioning (LGBTQ) Students is a joint initiative between the Massachusetts Department of Elementary and Secondary Education (ESE) and the Massachusetts Commission on LGBTQ Youth</w:t>
      </w:r>
      <w:r>
        <w:t>. Founded in 1993 in response to concerns about LGBTQ youth suicides and other risk factors, the program now offers a range of services designed to help schools implement state laws impacting LGBTQ students, including the state's anti- bullying law, gender</w:t>
      </w:r>
      <w:r>
        <w:t xml:space="preserve"> identity law, and student anti-discrimination law.</w:t>
      </w:r>
    </w:p>
    <w:p w:rsidR="00C76E6D" w:rsidRDefault="00C76E6D">
      <w:pPr>
        <w:pStyle w:val="BodyText"/>
        <w:spacing w:before="4"/>
        <w:rPr>
          <w:sz w:val="25"/>
        </w:rPr>
      </w:pPr>
    </w:p>
    <w:p w:rsidR="00C76E6D" w:rsidRDefault="00913831">
      <w:pPr>
        <w:pStyle w:val="BodyText"/>
        <w:ind w:left="478"/>
        <w:jc w:val="both"/>
      </w:pPr>
      <w:r>
        <w:rPr>
          <w:spacing w:val="-2"/>
        </w:rPr>
        <w:t>The</w:t>
      </w:r>
      <w:r>
        <w:rPr>
          <w:spacing w:val="-3"/>
        </w:rPr>
        <w:t xml:space="preserve"> </w:t>
      </w:r>
      <w:r>
        <w:rPr>
          <w:spacing w:val="-2"/>
        </w:rPr>
        <w:t>goals</w:t>
      </w:r>
      <w:r>
        <w:rPr>
          <w:spacing w:val="-4"/>
        </w:rPr>
        <w:t xml:space="preserve"> </w:t>
      </w:r>
      <w:r>
        <w:rPr>
          <w:spacing w:val="-2"/>
        </w:rPr>
        <w:t>of</w:t>
      </w:r>
      <w:r>
        <w:rPr>
          <w:spacing w:val="-5"/>
        </w:rPr>
        <w:t xml:space="preserve"> </w:t>
      </w:r>
      <w:r>
        <w:rPr>
          <w:spacing w:val="-2"/>
        </w:rPr>
        <w:t>the</w:t>
      </w:r>
      <w:r>
        <w:rPr>
          <w:spacing w:val="-5"/>
        </w:rPr>
        <w:t xml:space="preserve"> </w:t>
      </w:r>
      <w:r>
        <w:rPr>
          <w:spacing w:val="-2"/>
        </w:rPr>
        <w:t>Safe Schools</w:t>
      </w:r>
      <w:r>
        <w:rPr>
          <w:spacing w:val="-5"/>
        </w:rPr>
        <w:t xml:space="preserve"> </w:t>
      </w:r>
      <w:r>
        <w:rPr>
          <w:spacing w:val="-2"/>
        </w:rPr>
        <w:t>Program</w:t>
      </w:r>
      <w:r>
        <w:rPr>
          <w:spacing w:val="-4"/>
        </w:rPr>
        <w:t xml:space="preserve"> </w:t>
      </w:r>
      <w:r>
        <w:rPr>
          <w:spacing w:val="-2"/>
        </w:rPr>
        <w:t>for</w:t>
      </w:r>
      <w:r>
        <w:rPr>
          <w:spacing w:val="-5"/>
        </w:rPr>
        <w:t xml:space="preserve"> </w:t>
      </w:r>
      <w:r>
        <w:rPr>
          <w:spacing w:val="-2"/>
        </w:rPr>
        <w:t>LGBTQ Students</w:t>
      </w:r>
      <w:r>
        <w:rPr>
          <w:spacing w:val="-4"/>
        </w:rPr>
        <w:t xml:space="preserve"> </w:t>
      </w:r>
      <w:r>
        <w:rPr>
          <w:spacing w:val="-2"/>
        </w:rPr>
        <w:t>are</w:t>
      </w:r>
      <w:r>
        <w:rPr>
          <w:spacing w:val="-3"/>
        </w:rPr>
        <w:t xml:space="preserve"> </w:t>
      </w:r>
      <w:r>
        <w:rPr>
          <w:spacing w:val="-5"/>
        </w:rPr>
        <w:t>to:</w:t>
      </w:r>
    </w:p>
    <w:p w:rsidR="00C76E6D" w:rsidRDefault="00C76E6D">
      <w:pPr>
        <w:pStyle w:val="BodyText"/>
        <w:spacing w:before="7"/>
        <w:rPr>
          <w:sz w:val="28"/>
        </w:rPr>
      </w:pPr>
    </w:p>
    <w:p w:rsidR="00C76E6D" w:rsidRDefault="00913831">
      <w:pPr>
        <w:pStyle w:val="ListParagraph"/>
        <w:numPr>
          <w:ilvl w:val="1"/>
          <w:numId w:val="51"/>
        </w:numPr>
        <w:tabs>
          <w:tab w:val="left" w:pos="1198"/>
          <w:tab w:val="left" w:pos="1199"/>
        </w:tabs>
        <w:spacing w:line="271" w:lineRule="auto"/>
        <w:ind w:right="533" w:hanging="361"/>
      </w:pPr>
      <w:r>
        <w:t>Increase</w:t>
      </w:r>
      <w:r>
        <w:rPr>
          <w:spacing w:val="-4"/>
        </w:rPr>
        <w:t xml:space="preserve"> </w:t>
      </w:r>
      <w:r>
        <w:t>the</w:t>
      </w:r>
      <w:r>
        <w:rPr>
          <w:spacing w:val="-2"/>
        </w:rPr>
        <w:t xml:space="preserve"> </w:t>
      </w:r>
      <w:r>
        <w:t>capacity</w:t>
      </w:r>
      <w:r>
        <w:rPr>
          <w:spacing w:val="-3"/>
        </w:rPr>
        <w:t xml:space="preserve"> </w:t>
      </w:r>
      <w:r>
        <w:t>of</w:t>
      </w:r>
      <w:r>
        <w:rPr>
          <w:spacing w:val="-4"/>
        </w:rPr>
        <w:t xml:space="preserve"> </w:t>
      </w:r>
      <w:r>
        <w:t>DESE</w:t>
      </w:r>
      <w:r>
        <w:rPr>
          <w:spacing w:val="-5"/>
        </w:rPr>
        <w:t xml:space="preserve"> </w:t>
      </w:r>
      <w:r>
        <w:t>and</w:t>
      </w:r>
      <w:r>
        <w:rPr>
          <w:spacing w:val="-4"/>
        </w:rPr>
        <w:t xml:space="preserve"> </w:t>
      </w:r>
      <w:r>
        <w:t>its</w:t>
      </w:r>
      <w:r>
        <w:rPr>
          <w:spacing w:val="-2"/>
        </w:rPr>
        <w:t xml:space="preserve"> </w:t>
      </w:r>
      <w:r>
        <w:t>units</w:t>
      </w:r>
      <w:r>
        <w:rPr>
          <w:spacing w:val="-4"/>
        </w:rPr>
        <w:t xml:space="preserve"> </w:t>
      </w:r>
      <w:r>
        <w:t>to</w:t>
      </w:r>
      <w:r>
        <w:rPr>
          <w:spacing w:val="-2"/>
        </w:rPr>
        <w:t xml:space="preserve"> </w:t>
      </w:r>
      <w:r>
        <w:t>better</w:t>
      </w:r>
      <w:r>
        <w:rPr>
          <w:spacing w:val="-3"/>
        </w:rPr>
        <w:t xml:space="preserve"> </w:t>
      </w:r>
      <w:r>
        <w:t>support</w:t>
      </w:r>
      <w:r>
        <w:rPr>
          <w:spacing w:val="-6"/>
        </w:rPr>
        <w:t xml:space="preserve"> </w:t>
      </w:r>
      <w:r>
        <w:t>LGBTQ</w:t>
      </w:r>
      <w:r>
        <w:rPr>
          <w:spacing w:val="-5"/>
        </w:rPr>
        <w:t xml:space="preserve"> </w:t>
      </w:r>
      <w:r>
        <w:t>students</w:t>
      </w:r>
      <w:r>
        <w:rPr>
          <w:spacing w:val="-4"/>
        </w:rPr>
        <w:t xml:space="preserve"> </w:t>
      </w:r>
      <w:r>
        <w:t>and</w:t>
      </w:r>
      <w:r>
        <w:rPr>
          <w:spacing w:val="-5"/>
        </w:rPr>
        <w:t xml:space="preserve"> </w:t>
      </w:r>
      <w:r>
        <w:t>inform</w:t>
      </w:r>
      <w:r>
        <w:rPr>
          <w:spacing w:val="-4"/>
        </w:rPr>
        <w:t xml:space="preserve"> </w:t>
      </w:r>
      <w:r>
        <w:t>policies impacting LGBTQ students;</w:t>
      </w:r>
    </w:p>
    <w:p w:rsidR="00C76E6D" w:rsidRDefault="00913831">
      <w:pPr>
        <w:pStyle w:val="ListParagraph"/>
        <w:numPr>
          <w:ilvl w:val="1"/>
          <w:numId w:val="51"/>
        </w:numPr>
        <w:tabs>
          <w:tab w:val="left" w:pos="1198"/>
          <w:tab w:val="left" w:pos="1199"/>
        </w:tabs>
        <w:spacing w:before="10" w:line="271" w:lineRule="auto"/>
        <w:ind w:left="1198" w:right="527"/>
      </w:pPr>
      <w:r>
        <w:t>Increase</w:t>
      </w:r>
      <w:r>
        <w:rPr>
          <w:spacing w:val="36"/>
        </w:rPr>
        <w:t xml:space="preserve"> </w:t>
      </w:r>
      <w:r>
        <w:t>knowledge,</w:t>
      </w:r>
      <w:r>
        <w:rPr>
          <w:spacing w:val="36"/>
        </w:rPr>
        <w:t xml:space="preserve"> </w:t>
      </w:r>
      <w:r>
        <w:t>develop</w:t>
      </w:r>
      <w:r>
        <w:rPr>
          <w:spacing w:val="35"/>
        </w:rPr>
        <w:t xml:space="preserve"> </w:t>
      </w:r>
      <w:r>
        <w:t>empathy</w:t>
      </w:r>
      <w:r>
        <w:rPr>
          <w:spacing w:val="36"/>
        </w:rPr>
        <w:t xml:space="preserve"> </w:t>
      </w:r>
      <w:r>
        <w:t>and</w:t>
      </w:r>
      <w:r>
        <w:rPr>
          <w:spacing w:val="35"/>
        </w:rPr>
        <w:t xml:space="preserve"> </w:t>
      </w:r>
      <w:r>
        <w:t>build</w:t>
      </w:r>
      <w:r>
        <w:rPr>
          <w:spacing w:val="35"/>
        </w:rPr>
        <w:t xml:space="preserve"> </w:t>
      </w:r>
      <w:r>
        <w:t>skills</w:t>
      </w:r>
      <w:r>
        <w:rPr>
          <w:spacing w:val="35"/>
        </w:rPr>
        <w:t xml:space="preserve"> </w:t>
      </w:r>
      <w:r>
        <w:t>of</w:t>
      </w:r>
      <w:r>
        <w:rPr>
          <w:spacing w:val="35"/>
        </w:rPr>
        <w:t xml:space="preserve"> </w:t>
      </w:r>
      <w:r>
        <w:t>school</w:t>
      </w:r>
      <w:r>
        <w:rPr>
          <w:spacing w:val="35"/>
        </w:rPr>
        <w:t xml:space="preserve"> </w:t>
      </w:r>
      <w:r>
        <w:t>personnel,</w:t>
      </w:r>
      <w:r>
        <w:rPr>
          <w:spacing w:val="37"/>
        </w:rPr>
        <w:t xml:space="preserve"> </w:t>
      </w:r>
      <w:r>
        <w:t>student</w:t>
      </w:r>
      <w:r>
        <w:rPr>
          <w:spacing w:val="34"/>
        </w:rPr>
        <w:t xml:space="preserve"> </w:t>
      </w:r>
      <w:r>
        <w:t>leaders, Gender and Sexuality Alliances (GSAs), and community members;</w:t>
      </w:r>
    </w:p>
    <w:p w:rsidR="00C76E6D" w:rsidRDefault="00913831">
      <w:pPr>
        <w:pStyle w:val="ListParagraph"/>
        <w:numPr>
          <w:ilvl w:val="1"/>
          <w:numId w:val="51"/>
        </w:numPr>
        <w:tabs>
          <w:tab w:val="left" w:pos="1198"/>
          <w:tab w:val="left" w:pos="1199"/>
        </w:tabs>
        <w:spacing w:before="9"/>
        <w:ind w:left="1198" w:hanging="362"/>
      </w:pPr>
      <w:r>
        <w:rPr>
          <w:w w:val="95"/>
        </w:rPr>
        <w:t>Support</w:t>
      </w:r>
      <w:r>
        <w:rPr>
          <w:spacing w:val="11"/>
        </w:rPr>
        <w:t xml:space="preserve"> </w:t>
      </w:r>
      <w:r>
        <w:rPr>
          <w:w w:val="95"/>
        </w:rPr>
        <w:t>the</w:t>
      </w:r>
      <w:r>
        <w:rPr>
          <w:spacing w:val="14"/>
        </w:rPr>
        <w:t xml:space="preserve"> </w:t>
      </w:r>
      <w:r>
        <w:rPr>
          <w:w w:val="95"/>
        </w:rPr>
        <w:t>social</w:t>
      </w:r>
      <w:r>
        <w:rPr>
          <w:spacing w:val="11"/>
        </w:rPr>
        <w:t xml:space="preserve"> </w:t>
      </w:r>
      <w:r>
        <w:rPr>
          <w:w w:val="95"/>
        </w:rPr>
        <w:t>and</w:t>
      </w:r>
      <w:r>
        <w:rPr>
          <w:spacing w:val="14"/>
        </w:rPr>
        <w:t xml:space="preserve"> </w:t>
      </w:r>
      <w:r>
        <w:rPr>
          <w:w w:val="95"/>
        </w:rPr>
        <w:t>emotional</w:t>
      </w:r>
      <w:r>
        <w:rPr>
          <w:spacing w:val="11"/>
        </w:rPr>
        <w:t xml:space="preserve"> </w:t>
      </w:r>
      <w:r>
        <w:rPr>
          <w:w w:val="95"/>
        </w:rPr>
        <w:t>well-being</w:t>
      </w:r>
      <w:r>
        <w:rPr>
          <w:spacing w:val="14"/>
        </w:rPr>
        <w:t xml:space="preserve"> </w:t>
      </w:r>
      <w:r>
        <w:rPr>
          <w:w w:val="95"/>
        </w:rPr>
        <w:t>of</w:t>
      </w:r>
      <w:r>
        <w:rPr>
          <w:spacing w:val="12"/>
        </w:rPr>
        <w:t xml:space="preserve"> </w:t>
      </w:r>
      <w:r>
        <w:rPr>
          <w:w w:val="95"/>
        </w:rPr>
        <w:t>LGBTQ</w:t>
      </w:r>
      <w:r>
        <w:rPr>
          <w:spacing w:val="10"/>
        </w:rPr>
        <w:t xml:space="preserve"> </w:t>
      </w:r>
      <w:r>
        <w:rPr>
          <w:spacing w:val="-2"/>
          <w:w w:val="95"/>
        </w:rPr>
        <w:t>students;</w:t>
      </w:r>
    </w:p>
    <w:p w:rsidR="00C76E6D" w:rsidRDefault="00913831">
      <w:pPr>
        <w:pStyle w:val="ListParagraph"/>
        <w:numPr>
          <w:ilvl w:val="1"/>
          <w:numId w:val="51"/>
        </w:numPr>
        <w:tabs>
          <w:tab w:val="left" w:pos="1198"/>
          <w:tab w:val="left" w:pos="1199"/>
        </w:tabs>
        <w:spacing w:before="40"/>
        <w:ind w:left="1198" w:hanging="362"/>
      </w:pPr>
      <w:r>
        <w:rPr>
          <w:w w:val="95"/>
        </w:rPr>
        <w:t>Create</w:t>
      </w:r>
      <w:r>
        <w:rPr>
          <w:spacing w:val="10"/>
        </w:rPr>
        <w:t xml:space="preserve"> </w:t>
      </w:r>
      <w:r>
        <w:rPr>
          <w:w w:val="95"/>
        </w:rPr>
        <w:t>and</w:t>
      </w:r>
      <w:r>
        <w:rPr>
          <w:spacing w:val="16"/>
        </w:rPr>
        <w:t xml:space="preserve"> </w:t>
      </w:r>
      <w:r>
        <w:rPr>
          <w:w w:val="95"/>
        </w:rPr>
        <w:t>sustain</w:t>
      </w:r>
      <w:r>
        <w:rPr>
          <w:spacing w:val="11"/>
        </w:rPr>
        <w:t xml:space="preserve"> </w:t>
      </w:r>
      <w:r>
        <w:rPr>
          <w:w w:val="95"/>
        </w:rPr>
        <w:t>safe</w:t>
      </w:r>
      <w:r>
        <w:rPr>
          <w:spacing w:val="15"/>
        </w:rPr>
        <w:t xml:space="preserve"> </w:t>
      </w:r>
      <w:r>
        <w:rPr>
          <w:w w:val="95"/>
        </w:rPr>
        <w:t>and</w:t>
      </w:r>
      <w:r>
        <w:rPr>
          <w:spacing w:val="16"/>
        </w:rPr>
        <w:t xml:space="preserve"> </w:t>
      </w:r>
      <w:r>
        <w:rPr>
          <w:w w:val="95"/>
        </w:rPr>
        <w:t>supportive</w:t>
      </w:r>
      <w:r>
        <w:rPr>
          <w:spacing w:val="10"/>
        </w:rPr>
        <w:t xml:space="preserve"> </w:t>
      </w:r>
      <w:r>
        <w:rPr>
          <w:w w:val="95"/>
        </w:rPr>
        <w:t>school</w:t>
      </w:r>
      <w:r>
        <w:rPr>
          <w:spacing w:val="14"/>
        </w:rPr>
        <w:t xml:space="preserve"> </w:t>
      </w:r>
      <w:r>
        <w:rPr>
          <w:w w:val="95"/>
        </w:rPr>
        <w:t>environments</w:t>
      </w:r>
      <w:r>
        <w:rPr>
          <w:spacing w:val="14"/>
        </w:rPr>
        <w:t xml:space="preserve"> </w:t>
      </w:r>
      <w:r>
        <w:rPr>
          <w:w w:val="95"/>
        </w:rPr>
        <w:t>for</w:t>
      </w:r>
      <w:r>
        <w:rPr>
          <w:spacing w:val="16"/>
        </w:rPr>
        <w:t xml:space="preserve"> </w:t>
      </w:r>
      <w:r>
        <w:rPr>
          <w:w w:val="95"/>
        </w:rPr>
        <w:t>LGBTQ</w:t>
      </w:r>
      <w:r>
        <w:rPr>
          <w:spacing w:val="12"/>
        </w:rPr>
        <w:t xml:space="preserve"> </w:t>
      </w:r>
      <w:r>
        <w:rPr>
          <w:spacing w:val="-2"/>
          <w:w w:val="95"/>
        </w:rPr>
        <w:t>students;</w:t>
      </w:r>
    </w:p>
    <w:p w:rsidR="00C76E6D" w:rsidRDefault="00913831">
      <w:pPr>
        <w:pStyle w:val="ListParagraph"/>
        <w:numPr>
          <w:ilvl w:val="1"/>
          <w:numId w:val="51"/>
        </w:numPr>
        <w:tabs>
          <w:tab w:val="left" w:pos="1198"/>
          <w:tab w:val="left" w:pos="1199"/>
        </w:tabs>
        <w:spacing w:before="40"/>
        <w:ind w:left="1198" w:hanging="362"/>
      </w:pPr>
      <w:r>
        <w:rPr>
          <w:w w:val="95"/>
        </w:rPr>
        <w:t>Support</w:t>
      </w:r>
      <w:r>
        <w:rPr>
          <w:spacing w:val="17"/>
        </w:rPr>
        <w:t xml:space="preserve"> </w:t>
      </w:r>
      <w:r>
        <w:rPr>
          <w:w w:val="95"/>
        </w:rPr>
        <w:t>parents,</w:t>
      </w:r>
      <w:r>
        <w:rPr>
          <w:spacing w:val="17"/>
        </w:rPr>
        <w:t xml:space="preserve"> </w:t>
      </w:r>
      <w:r>
        <w:rPr>
          <w:w w:val="95"/>
        </w:rPr>
        <w:t>guardians,</w:t>
      </w:r>
      <w:r>
        <w:rPr>
          <w:spacing w:val="13"/>
        </w:rPr>
        <w:t xml:space="preserve"> </w:t>
      </w:r>
      <w:r>
        <w:rPr>
          <w:w w:val="95"/>
        </w:rPr>
        <w:t>families,</w:t>
      </w:r>
      <w:r>
        <w:rPr>
          <w:spacing w:val="18"/>
        </w:rPr>
        <w:t xml:space="preserve"> </w:t>
      </w:r>
      <w:r>
        <w:rPr>
          <w:w w:val="95"/>
        </w:rPr>
        <w:t>and</w:t>
      </w:r>
      <w:r>
        <w:rPr>
          <w:spacing w:val="13"/>
        </w:rPr>
        <w:t xml:space="preserve"> </w:t>
      </w:r>
      <w:r>
        <w:rPr>
          <w:w w:val="95"/>
        </w:rPr>
        <w:t>community</w:t>
      </w:r>
      <w:r>
        <w:rPr>
          <w:spacing w:val="21"/>
        </w:rPr>
        <w:t xml:space="preserve"> </w:t>
      </w:r>
      <w:r>
        <w:rPr>
          <w:spacing w:val="-2"/>
          <w:w w:val="95"/>
        </w:rPr>
        <w:t>members;</w:t>
      </w:r>
    </w:p>
    <w:p w:rsidR="00C76E6D" w:rsidRDefault="00913831">
      <w:pPr>
        <w:pStyle w:val="ListParagraph"/>
        <w:numPr>
          <w:ilvl w:val="1"/>
          <w:numId w:val="51"/>
        </w:numPr>
        <w:tabs>
          <w:tab w:val="left" w:pos="1198"/>
          <w:tab w:val="left" w:pos="1199"/>
        </w:tabs>
        <w:spacing w:before="40"/>
        <w:ind w:left="1198" w:hanging="362"/>
      </w:pPr>
      <w:r>
        <w:rPr>
          <w:w w:val="95"/>
        </w:rPr>
        <w:t>Provide</w:t>
      </w:r>
      <w:r>
        <w:rPr>
          <w:spacing w:val="14"/>
        </w:rPr>
        <w:t xml:space="preserve"> </w:t>
      </w:r>
      <w:r>
        <w:rPr>
          <w:w w:val="95"/>
        </w:rPr>
        <w:t>leadership</w:t>
      </w:r>
      <w:r>
        <w:rPr>
          <w:spacing w:val="19"/>
        </w:rPr>
        <w:t xml:space="preserve"> </w:t>
      </w:r>
      <w:r>
        <w:rPr>
          <w:w w:val="95"/>
        </w:rPr>
        <w:t>development</w:t>
      </w:r>
      <w:r>
        <w:rPr>
          <w:spacing w:val="18"/>
        </w:rPr>
        <w:t xml:space="preserve"> </w:t>
      </w:r>
      <w:r>
        <w:rPr>
          <w:w w:val="95"/>
        </w:rPr>
        <w:t>and</w:t>
      </w:r>
      <w:r>
        <w:rPr>
          <w:spacing w:val="19"/>
        </w:rPr>
        <w:t xml:space="preserve"> </w:t>
      </w:r>
      <w:r>
        <w:rPr>
          <w:w w:val="95"/>
        </w:rPr>
        <w:t>networking</w:t>
      </w:r>
      <w:r>
        <w:rPr>
          <w:spacing w:val="17"/>
        </w:rPr>
        <w:t xml:space="preserve"> </w:t>
      </w:r>
      <w:r>
        <w:rPr>
          <w:w w:val="95"/>
        </w:rPr>
        <w:t>opportunities</w:t>
      </w:r>
      <w:r>
        <w:rPr>
          <w:spacing w:val="20"/>
        </w:rPr>
        <w:t xml:space="preserve"> </w:t>
      </w:r>
      <w:r>
        <w:rPr>
          <w:w w:val="95"/>
        </w:rPr>
        <w:t>for</w:t>
      </w:r>
      <w:r>
        <w:rPr>
          <w:spacing w:val="17"/>
        </w:rPr>
        <w:t xml:space="preserve"> </w:t>
      </w:r>
      <w:r>
        <w:rPr>
          <w:w w:val="95"/>
        </w:rPr>
        <w:t>students;</w:t>
      </w:r>
      <w:r>
        <w:rPr>
          <w:spacing w:val="16"/>
        </w:rPr>
        <w:t xml:space="preserve"> </w:t>
      </w:r>
      <w:r>
        <w:rPr>
          <w:spacing w:val="-5"/>
          <w:w w:val="95"/>
        </w:rPr>
        <w:t>and</w:t>
      </w:r>
    </w:p>
    <w:p w:rsidR="00C76E6D" w:rsidRDefault="00913831">
      <w:pPr>
        <w:pStyle w:val="ListParagraph"/>
        <w:numPr>
          <w:ilvl w:val="1"/>
          <w:numId w:val="51"/>
        </w:numPr>
        <w:tabs>
          <w:tab w:val="left" w:pos="1198"/>
          <w:tab w:val="left" w:pos="1199"/>
        </w:tabs>
        <w:spacing w:before="42" w:line="525" w:lineRule="auto"/>
        <w:ind w:left="478" w:right="5119" w:firstLine="360"/>
      </w:pPr>
      <w:r>
        <w:t>Reduce</w:t>
      </w:r>
      <w:r>
        <w:rPr>
          <w:spacing w:val="-13"/>
        </w:rPr>
        <w:t xml:space="preserve"> </w:t>
      </w:r>
      <w:r>
        <w:t>health</w:t>
      </w:r>
      <w:r>
        <w:rPr>
          <w:spacing w:val="-12"/>
        </w:rPr>
        <w:t xml:space="preserve"> </w:t>
      </w:r>
      <w:r>
        <w:t>disparities</w:t>
      </w:r>
      <w:r>
        <w:rPr>
          <w:spacing w:val="-13"/>
        </w:rPr>
        <w:t xml:space="preserve"> </w:t>
      </w:r>
      <w:r>
        <w:t>for</w:t>
      </w:r>
      <w:r>
        <w:rPr>
          <w:spacing w:val="-12"/>
        </w:rPr>
        <w:t xml:space="preserve"> </w:t>
      </w:r>
      <w:r>
        <w:t>LGBTQ</w:t>
      </w:r>
      <w:r>
        <w:rPr>
          <w:spacing w:val="-13"/>
        </w:rPr>
        <w:t xml:space="preserve"> </w:t>
      </w:r>
      <w:r>
        <w:t>students Our range of services includes:</w:t>
      </w:r>
    </w:p>
    <w:p w:rsidR="00C76E6D" w:rsidRDefault="00913831">
      <w:pPr>
        <w:pStyle w:val="ListParagraph"/>
        <w:numPr>
          <w:ilvl w:val="0"/>
          <w:numId w:val="50"/>
        </w:numPr>
        <w:tabs>
          <w:tab w:val="left" w:pos="1198"/>
        </w:tabs>
        <w:spacing w:before="55" w:line="276" w:lineRule="auto"/>
        <w:ind w:right="547"/>
        <w:rPr>
          <w:b/>
        </w:rPr>
      </w:pPr>
      <w:r>
        <w:t>Hosting</w:t>
      </w:r>
      <w:r>
        <w:rPr>
          <w:spacing w:val="75"/>
        </w:rPr>
        <w:t xml:space="preserve"> </w:t>
      </w:r>
      <w:r>
        <w:t>and</w:t>
      </w:r>
      <w:r>
        <w:rPr>
          <w:spacing w:val="76"/>
        </w:rPr>
        <w:t xml:space="preserve"> </w:t>
      </w:r>
      <w:r>
        <w:t>organizing</w:t>
      </w:r>
      <w:r>
        <w:rPr>
          <w:spacing w:val="76"/>
        </w:rPr>
        <w:t xml:space="preserve"> </w:t>
      </w:r>
      <w:r>
        <w:t>the</w:t>
      </w:r>
      <w:r>
        <w:rPr>
          <w:spacing w:val="76"/>
        </w:rPr>
        <w:t xml:space="preserve"> </w:t>
      </w:r>
      <w:r>
        <w:t>Massachusetts</w:t>
      </w:r>
      <w:r>
        <w:rPr>
          <w:spacing w:val="77"/>
        </w:rPr>
        <w:t xml:space="preserve"> </w:t>
      </w:r>
      <w:r>
        <w:t>Gender</w:t>
      </w:r>
      <w:r>
        <w:rPr>
          <w:spacing w:val="75"/>
        </w:rPr>
        <w:t xml:space="preserve"> </w:t>
      </w:r>
      <w:r>
        <w:t>and</w:t>
      </w:r>
      <w:r>
        <w:rPr>
          <w:spacing w:val="75"/>
        </w:rPr>
        <w:t xml:space="preserve"> </w:t>
      </w:r>
      <w:r>
        <w:t>Sexuality</w:t>
      </w:r>
      <w:r>
        <w:rPr>
          <w:spacing w:val="76"/>
        </w:rPr>
        <w:t xml:space="preserve"> </w:t>
      </w:r>
      <w:r>
        <w:t>Alliance</w:t>
      </w:r>
      <w:r>
        <w:rPr>
          <w:spacing w:val="76"/>
        </w:rPr>
        <w:t xml:space="preserve"> </w:t>
      </w:r>
      <w:r>
        <w:t>(GSA)</w:t>
      </w:r>
      <w:r>
        <w:rPr>
          <w:spacing w:val="76"/>
        </w:rPr>
        <w:t xml:space="preserve"> </w:t>
      </w:r>
      <w:r>
        <w:t>Student Leadership Council;</w:t>
      </w:r>
    </w:p>
    <w:p w:rsidR="00C76E6D" w:rsidRDefault="00913831">
      <w:pPr>
        <w:pStyle w:val="ListParagraph"/>
        <w:numPr>
          <w:ilvl w:val="0"/>
          <w:numId w:val="50"/>
        </w:numPr>
        <w:tabs>
          <w:tab w:val="left" w:pos="1199"/>
        </w:tabs>
        <w:spacing w:line="276" w:lineRule="auto"/>
        <w:ind w:left="1200" w:right="559" w:hanging="363"/>
        <w:rPr>
          <w:b/>
        </w:rPr>
      </w:pPr>
      <w:r>
        <w:t>Providing</w:t>
      </w:r>
      <w:r>
        <w:rPr>
          <w:spacing w:val="-5"/>
        </w:rPr>
        <w:t xml:space="preserve"> </w:t>
      </w:r>
      <w:r>
        <w:rPr>
          <w:u w:val="single"/>
        </w:rPr>
        <w:t>training,</w:t>
      </w:r>
      <w:r>
        <w:rPr>
          <w:spacing w:val="-4"/>
          <w:u w:val="single"/>
        </w:rPr>
        <w:t xml:space="preserve"> </w:t>
      </w:r>
      <w:r>
        <w:rPr>
          <w:u w:val="single"/>
        </w:rPr>
        <w:t>professional</w:t>
      </w:r>
      <w:r>
        <w:rPr>
          <w:spacing w:val="-5"/>
          <w:u w:val="single"/>
        </w:rPr>
        <w:t xml:space="preserve"> </w:t>
      </w:r>
      <w:r>
        <w:rPr>
          <w:u w:val="single"/>
        </w:rPr>
        <w:t>development,</w:t>
      </w:r>
      <w:r>
        <w:rPr>
          <w:spacing w:val="-4"/>
          <w:u w:val="single"/>
        </w:rPr>
        <w:t xml:space="preserve"> </w:t>
      </w:r>
      <w:r>
        <w:rPr>
          <w:u w:val="single"/>
        </w:rPr>
        <w:t>and</w:t>
      </w:r>
      <w:r>
        <w:rPr>
          <w:spacing w:val="-4"/>
          <w:u w:val="single"/>
        </w:rPr>
        <w:t xml:space="preserve"> </w:t>
      </w:r>
      <w:r>
        <w:rPr>
          <w:u w:val="single"/>
        </w:rPr>
        <w:t>technical</w:t>
      </w:r>
      <w:r>
        <w:rPr>
          <w:spacing w:val="-5"/>
          <w:u w:val="single"/>
        </w:rPr>
        <w:t xml:space="preserve"> </w:t>
      </w:r>
      <w:r>
        <w:rPr>
          <w:u w:val="single"/>
        </w:rPr>
        <w:t>assistance</w:t>
      </w:r>
      <w:r>
        <w:rPr>
          <w:spacing w:val="-4"/>
        </w:rPr>
        <w:t xml:space="preserve"> </w:t>
      </w:r>
      <w:r>
        <w:t>to</w:t>
      </w:r>
      <w:r>
        <w:rPr>
          <w:spacing w:val="-4"/>
        </w:rPr>
        <w:t xml:space="preserve"> </w:t>
      </w:r>
      <w:r>
        <w:t>school</w:t>
      </w:r>
      <w:r>
        <w:rPr>
          <w:spacing w:val="-5"/>
        </w:rPr>
        <w:t xml:space="preserve"> </w:t>
      </w:r>
      <w:r>
        <w:t>administrators, staff, and families;</w:t>
      </w:r>
    </w:p>
    <w:p w:rsidR="00C76E6D" w:rsidRDefault="00913831">
      <w:pPr>
        <w:pStyle w:val="ListParagraph"/>
        <w:numPr>
          <w:ilvl w:val="0"/>
          <w:numId w:val="50"/>
        </w:numPr>
        <w:tabs>
          <w:tab w:val="left" w:pos="1199"/>
        </w:tabs>
        <w:spacing w:before="6"/>
        <w:ind w:left="1198" w:hanging="361"/>
        <w:rPr>
          <w:b/>
        </w:rPr>
      </w:pPr>
      <w:r>
        <w:rPr>
          <w:w w:val="95"/>
        </w:rPr>
        <w:t>Influencing</w:t>
      </w:r>
      <w:r>
        <w:rPr>
          <w:spacing w:val="11"/>
        </w:rPr>
        <w:t xml:space="preserve"> </w:t>
      </w:r>
      <w:r>
        <w:rPr>
          <w:w w:val="95"/>
          <w:u w:val="single"/>
        </w:rPr>
        <w:t>state</w:t>
      </w:r>
      <w:r>
        <w:rPr>
          <w:spacing w:val="10"/>
          <w:u w:val="single"/>
        </w:rPr>
        <w:t xml:space="preserve"> </w:t>
      </w:r>
      <w:r>
        <w:rPr>
          <w:w w:val="95"/>
          <w:u w:val="single"/>
        </w:rPr>
        <w:t>and</w:t>
      </w:r>
      <w:r>
        <w:rPr>
          <w:spacing w:val="15"/>
          <w:u w:val="single"/>
        </w:rPr>
        <w:t xml:space="preserve"> </w:t>
      </w:r>
      <w:r>
        <w:rPr>
          <w:w w:val="95"/>
          <w:u w:val="single"/>
        </w:rPr>
        <w:t>local</w:t>
      </w:r>
      <w:r>
        <w:rPr>
          <w:spacing w:val="16"/>
          <w:u w:val="single"/>
        </w:rPr>
        <w:t xml:space="preserve"> </w:t>
      </w:r>
      <w:r>
        <w:rPr>
          <w:w w:val="95"/>
          <w:u w:val="single"/>
        </w:rPr>
        <w:t>policy</w:t>
      </w:r>
      <w:r>
        <w:rPr>
          <w:spacing w:val="13"/>
        </w:rPr>
        <w:t xml:space="preserve"> </w:t>
      </w:r>
      <w:r>
        <w:rPr>
          <w:w w:val="95"/>
        </w:rPr>
        <w:t>affec</w:t>
      </w:r>
      <w:r>
        <w:rPr>
          <w:w w:val="95"/>
        </w:rPr>
        <w:t>ting</w:t>
      </w:r>
      <w:r>
        <w:rPr>
          <w:spacing w:val="11"/>
        </w:rPr>
        <w:t xml:space="preserve"> </w:t>
      </w:r>
      <w:r>
        <w:rPr>
          <w:w w:val="95"/>
        </w:rPr>
        <w:t>LGBTQ</w:t>
      </w:r>
      <w:r>
        <w:rPr>
          <w:spacing w:val="15"/>
        </w:rPr>
        <w:t xml:space="preserve"> </w:t>
      </w:r>
      <w:r>
        <w:rPr>
          <w:spacing w:val="-2"/>
          <w:w w:val="95"/>
        </w:rPr>
        <w:t>students;</w:t>
      </w:r>
    </w:p>
    <w:p w:rsidR="00C76E6D" w:rsidRDefault="00913831">
      <w:pPr>
        <w:pStyle w:val="ListParagraph"/>
        <w:numPr>
          <w:ilvl w:val="0"/>
          <w:numId w:val="50"/>
        </w:numPr>
        <w:tabs>
          <w:tab w:val="left" w:pos="1199"/>
        </w:tabs>
        <w:spacing w:before="35"/>
        <w:ind w:left="1198" w:hanging="361"/>
        <w:rPr>
          <w:b/>
        </w:rPr>
      </w:pPr>
      <w:r>
        <w:rPr>
          <w:w w:val="95"/>
        </w:rPr>
        <w:t>Building</w:t>
      </w:r>
      <w:r>
        <w:rPr>
          <w:spacing w:val="12"/>
        </w:rPr>
        <w:t xml:space="preserve"> </w:t>
      </w:r>
      <w:r>
        <w:rPr>
          <w:w w:val="95"/>
        </w:rPr>
        <w:t>the</w:t>
      </w:r>
      <w:r>
        <w:rPr>
          <w:spacing w:val="12"/>
        </w:rPr>
        <w:t xml:space="preserve"> </w:t>
      </w:r>
      <w:r>
        <w:rPr>
          <w:w w:val="95"/>
        </w:rPr>
        <w:t>capacity</w:t>
      </w:r>
      <w:r>
        <w:rPr>
          <w:spacing w:val="10"/>
        </w:rPr>
        <w:t xml:space="preserve"> </w:t>
      </w:r>
      <w:r>
        <w:rPr>
          <w:w w:val="95"/>
        </w:rPr>
        <w:t>of</w:t>
      </w:r>
      <w:r>
        <w:rPr>
          <w:spacing w:val="12"/>
        </w:rPr>
        <w:t xml:space="preserve"> </w:t>
      </w:r>
      <w:r>
        <w:rPr>
          <w:w w:val="95"/>
          <w:u w:val="single"/>
        </w:rPr>
        <w:t>ESE</w:t>
      </w:r>
      <w:r>
        <w:rPr>
          <w:spacing w:val="11"/>
        </w:rPr>
        <w:t xml:space="preserve"> </w:t>
      </w:r>
      <w:r>
        <w:rPr>
          <w:w w:val="95"/>
        </w:rPr>
        <w:t>to</w:t>
      </w:r>
      <w:r>
        <w:rPr>
          <w:spacing w:val="11"/>
        </w:rPr>
        <w:t xml:space="preserve"> </w:t>
      </w:r>
      <w:r>
        <w:rPr>
          <w:w w:val="95"/>
        </w:rPr>
        <w:t>support</w:t>
      </w:r>
      <w:r>
        <w:rPr>
          <w:spacing w:val="13"/>
        </w:rPr>
        <w:t xml:space="preserve"> </w:t>
      </w:r>
      <w:r>
        <w:rPr>
          <w:w w:val="95"/>
        </w:rPr>
        <w:t>LGBTQ</w:t>
      </w:r>
      <w:r>
        <w:rPr>
          <w:spacing w:val="12"/>
        </w:rPr>
        <w:t xml:space="preserve"> </w:t>
      </w:r>
      <w:r>
        <w:rPr>
          <w:w w:val="95"/>
        </w:rPr>
        <w:t>students;</w:t>
      </w:r>
      <w:r>
        <w:rPr>
          <w:spacing w:val="11"/>
        </w:rPr>
        <w:t xml:space="preserve"> </w:t>
      </w:r>
      <w:r>
        <w:rPr>
          <w:spacing w:val="-5"/>
          <w:w w:val="95"/>
        </w:rPr>
        <w:t>and</w:t>
      </w:r>
    </w:p>
    <w:p w:rsidR="00C76E6D" w:rsidRDefault="00913831">
      <w:pPr>
        <w:pStyle w:val="ListParagraph"/>
        <w:numPr>
          <w:ilvl w:val="0"/>
          <w:numId w:val="50"/>
        </w:numPr>
        <w:tabs>
          <w:tab w:val="left" w:pos="1200"/>
        </w:tabs>
        <w:spacing w:before="40"/>
        <w:ind w:left="1200" w:hanging="362"/>
      </w:pPr>
      <w:r>
        <w:rPr>
          <w:spacing w:val="-2"/>
        </w:rPr>
        <w:t>Leading</w:t>
      </w:r>
      <w:r>
        <w:rPr>
          <w:spacing w:val="-7"/>
        </w:rPr>
        <w:t xml:space="preserve"> </w:t>
      </w:r>
      <w:r>
        <w:rPr>
          <w:spacing w:val="-2"/>
        </w:rPr>
        <w:t>LGBTQ-inclusive</w:t>
      </w:r>
      <w:r>
        <w:rPr>
          <w:spacing w:val="-7"/>
        </w:rPr>
        <w:t xml:space="preserve"> </w:t>
      </w:r>
      <w:hyperlink w:anchor="_bookmark68" w:history="1">
        <w:r>
          <w:rPr>
            <w:spacing w:val="-2"/>
            <w:u w:val="single"/>
          </w:rPr>
          <w:t>curriculum</w:t>
        </w:r>
        <w:r>
          <w:rPr>
            <w:spacing w:val="-6"/>
          </w:rPr>
          <w:t xml:space="preserve"> </w:t>
        </w:r>
      </w:hyperlink>
      <w:r>
        <w:rPr>
          <w:spacing w:val="-2"/>
        </w:rPr>
        <w:t>development.</w:t>
      </w:r>
    </w:p>
    <w:p w:rsidR="00C76E6D" w:rsidRDefault="00C76E6D">
      <w:pPr>
        <w:pStyle w:val="BodyText"/>
        <w:spacing w:before="1"/>
        <w:rPr>
          <w:sz w:val="24"/>
        </w:rPr>
      </w:pPr>
    </w:p>
    <w:p w:rsidR="00C76E6D" w:rsidRDefault="00913831">
      <w:pPr>
        <w:pStyle w:val="BodyText"/>
        <w:spacing w:before="56"/>
        <w:ind w:left="480"/>
      </w:pPr>
      <w:r>
        <w:t>To</w:t>
      </w:r>
      <w:r>
        <w:rPr>
          <w:spacing w:val="-13"/>
        </w:rPr>
        <w:t xml:space="preserve"> </w:t>
      </w:r>
      <w:r>
        <w:t>learn</w:t>
      </w:r>
      <w:r>
        <w:rPr>
          <w:spacing w:val="-12"/>
        </w:rPr>
        <w:t xml:space="preserve"> </w:t>
      </w:r>
      <w:r>
        <w:t>more</w:t>
      </w:r>
      <w:r>
        <w:rPr>
          <w:spacing w:val="-13"/>
        </w:rPr>
        <w:t xml:space="preserve"> </w:t>
      </w:r>
      <w:r>
        <w:t>about</w:t>
      </w:r>
      <w:r>
        <w:rPr>
          <w:spacing w:val="-12"/>
        </w:rPr>
        <w:t xml:space="preserve"> </w:t>
      </w:r>
      <w:r>
        <w:t>our</w:t>
      </w:r>
      <w:r>
        <w:rPr>
          <w:spacing w:val="-13"/>
        </w:rPr>
        <w:t xml:space="preserve"> </w:t>
      </w:r>
      <w:r>
        <w:t>program,</w:t>
      </w:r>
      <w:r>
        <w:rPr>
          <w:spacing w:val="-12"/>
        </w:rPr>
        <w:t xml:space="preserve"> </w:t>
      </w:r>
      <w:r>
        <w:t>visit</w:t>
      </w:r>
      <w:r>
        <w:rPr>
          <w:spacing w:val="-11"/>
        </w:rPr>
        <w:t xml:space="preserve"> </w:t>
      </w:r>
      <w:hyperlink r:id="rId146">
        <w:r>
          <w:rPr>
            <w:spacing w:val="-2"/>
            <w:u w:val="single"/>
          </w:rPr>
          <w:t>https://www.doe.mass.edu/sfs/lgbtq/</w:t>
        </w:r>
        <w:r>
          <w:rPr>
            <w:spacing w:val="-2"/>
          </w:rPr>
          <w:t>.</w:t>
        </w:r>
      </w:hyperlink>
    </w:p>
    <w:p w:rsidR="00C76E6D" w:rsidRDefault="00C76E6D">
      <w:pPr>
        <w:sectPr w:rsidR="00C76E6D">
          <w:headerReference w:type="default" r:id="rId147"/>
          <w:footerReference w:type="default" r:id="rId148"/>
          <w:pgSz w:w="12240" w:h="15840"/>
          <w:pgMar w:top="960" w:right="960" w:bottom="1200" w:left="960" w:header="769" w:footer="1005" w:gutter="0"/>
          <w:cols w:space="720"/>
        </w:sectPr>
      </w:pPr>
    </w:p>
    <w:p w:rsidR="00C76E6D" w:rsidRDefault="00C76E6D">
      <w:pPr>
        <w:pStyle w:val="BodyText"/>
        <w:rPr>
          <w:sz w:val="20"/>
        </w:rPr>
      </w:pPr>
    </w:p>
    <w:p w:rsidR="00C76E6D" w:rsidRDefault="00913831">
      <w:pPr>
        <w:pStyle w:val="Heading5"/>
        <w:numPr>
          <w:ilvl w:val="0"/>
          <w:numId w:val="51"/>
        </w:numPr>
        <w:tabs>
          <w:tab w:val="left" w:pos="732"/>
        </w:tabs>
        <w:spacing w:before="207"/>
        <w:ind w:left="732" w:hanging="252"/>
        <w:jc w:val="left"/>
      </w:pPr>
      <w:r>
        <w:pict>
          <v:shape id="docshape243" o:spid="_x0000_s1185" style="position:absolute;left:0;text-align:left;margin-left:70.6pt;margin-top:26.75pt;width:470.95pt;height:.1pt;z-index:-15698432;mso-wrap-distance-left:0;mso-wrap-distance-right:0;mso-position-horizontal-relative:page" coordorigin="1412,535" coordsize="9419,0" path="m1412,535r9419,e" filled="f" strokeweight="1.54pt">
            <v:path arrowok="t"/>
            <w10:wrap type="topAndBottom" anchorx="page"/>
          </v:shape>
        </w:pict>
      </w:r>
      <w:bookmarkStart w:id="103" w:name="B._GSA_Student_Leadership_Council"/>
      <w:bookmarkEnd w:id="103"/>
      <w:r>
        <w:rPr>
          <w:spacing w:val="-2"/>
        </w:rPr>
        <w:t>GSA Student</w:t>
      </w:r>
      <w:r>
        <w:rPr>
          <w:spacing w:val="-1"/>
        </w:rPr>
        <w:t xml:space="preserve"> </w:t>
      </w:r>
      <w:r>
        <w:rPr>
          <w:spacing w:val="-2"/>
        </w:rPr>
        <w:t>Leadership</w:t>
      </w:r>
      <w:r>
        <w:t xml:space="preserve"> </w:t>
      </w:r>
      <w:r>
        <w:rPr>
          <w:spacing w:val="-2"/>
        </w:rPr>
        <w:t>Council</w:t>
      </w:r>
    </w:p>
    <w:p w:rsidR="00C76E6D" w:rsidRDefault="00C76E6D">
      <w:pPr>
        <w:pStyle w:val="BodyText"/>
        <w:spacing w:before="10"/>
        <w:rPr>
          <w:b/>
          <w:sz w:val="27"/>
        </w:rPr>
      </w:pPr>
    </w:p>
    <w:p w:rsidR="00C76E6D" w:rsidRDefault="00913831">
      <w:pPr>
        <w:pStyle w:val="BodyText"/>
        <w:spacing w:line="276" w:lineRule="auto"/>
        <w:ind w:left="479" w:right="473"/>
        <w:jc w:val="both"/>
      </w:pPr>
      <w:r>
        <w:rPr>
          <w:sz w:val="24"/>
        </w:rPr>
        <w:t xml:space="preserve">The </w:t>
      </w:r>
      <w:hyperlink r:id="rId149">
        <w:r>
          <w:rPr>
            <w:u w:val="single"/>
          </w:rPr>
          <w:t>Massachusetts GSA Student Leadership Council</w:t>
        </w:r>
      </w:hyperlink>
      <w:r>
        <w:t xml:space="preserve"> creates and informs policy, promotes inclusive learning environments for all students, supports the development of leadership skills, and fosters statewide collaboration among LGBTQ students and allies. Members of the GSA Student Leadership Council</w:t>
      </w:r>
      <w:r>
        <w:rPr>
          <w:spacing w:val="-8"/>
        </w:rPr>
        <w:t xml:space="preserve"> </w:t>
      </w:r>
      <w:r>
        <w:t>develo</w:t>
      </w:r>
      <w:r>
        <w:t>p</w:t>
      </w:r>
      <w:r>
        <w:rPr>
          <w:spacing w:val="-9"/>
        </w:rPr>
        <w:t xml:space="preserve"> </w:t>
      </w:r>
      <w:r>
        <w:t>and</w:t>
      </w:r>
      <w:r>
        <w:rPr>
          <w:spacing w:val="-8"/>
        </w:rPr>
        <w:t xml:space="preserve"> </w:t>
      </w:r>
      <w:r>
        <w:t>implement</w:t>
      </w:r>
      <w:r>
        <w:rPr>
          <w:spacing w:val="-7"/>
        </w:rPr>
        <w:t xml:space="preserve"> </w:t>
      </w:r>
      <w:r>
        <w:t>projects</w:t>
      </w:r>
      <w:r>
        <w:rPr>
          <w:spacing w:val="-8"/>
        </w:rPr>
        <w:t xml:space="preserve"> </w:t>
      </w:r>
      <w:r>
        <w:t>designed</w:t>
      </w:r>
      <w:r>
        <w:rPr>
          <w:spacing w:val="-7"/>
        </w:rPr>
        <w:t xml:space="preserve"> </w:t>
      </w:r>
      <w:r>
        <w:t>to</w:t>
      </w:r>
      <w:r>
        <w:rPr>
          <w:spacing w:val="-6"/>
        </w:rPr>
        <w:t xml:space="preserve"> </w:t>
      </w:r>
      <w:r>
        <w:t>make</w:t>
      </w:r>
      <w:r>
        <w:rPr>
          <w:spacing w:val="-7"/>
        </w:rPr>
        <w:t xml:space="preserve"> </w:t>
      </w:r>
      <w:r>
        <w:t>changes</w:t>
      </w:r>
      <w:r>
        <w:rPr>
          <w:spacing w:val="-8"/>
        </w:rPr>
        <w:t xml:space="preserve"> </w:t>
      </w:r>
      <w:r>
        <w:t>in</w:t>
      </w:r>
      <w:r>
        <w:rPr>
          <w:spacing w:val="-8"/>
        </w:rPr>
        <w:t xml:space="preserve"> </w:t>
      </w:r>
      <w:r>
        <w:t>local</w:t>
      </w:r>
      <w:r>
        <w:rPr>
          <w:spacing w:val="-8"/>
        </w:rPr>
        <w:t xml:space="preserve"> </w:t>
      </w:r>
      <w:r>
        <w:t>schools,</w:t>
      </w:r>
      <w:r>
        <w:rPr>
          <w:spacing w:val="-8"/>
        </w:rPr>
        <w:t xml:space="preserve"> </w:t>
      </w:r>
      <w:r>
        <w:t>districts,</w:t>
      </w:r>
      <w:r>
        <w:rPr>
          <w:spacing w:val="-7"/>
        </w:rPr>
        <w:t xml:space="preserve"> </w:t>
      </w:r>
      <w:r>
        <w:t>and</w:t>
      </w:r>
      <w:r>
        <w:rPr>
          <w:spacing w:val="-8"/>
        </w:rPr>
        <w:t xml:space="preserve"> </w:t>
      </w:r>
      <w:r>
        <w:t>regions. The GSA Student Leadership Council is a student-led, adult-supported program that consists of a state council and five region-based councils (Northeast, Southeast, Greater Boston, Central, and Western). In August 2021, the Council met for its 11</w:t>
      </w:r>
      <w:r>
        <w:rPr>
          <w:vertAlign w:val="superscript"/>
        </w:rPr>
        <w:t>th</w:t>
      </w:r>
      <w:r>
        <w:t xml:space="preserve"> Annual Summit virtually. Our 2022 Summit will take place in- person at UMass Amherst from August 12 - 15.</w:t>
      </w:r>
    </w:p>
    <w:p w:rsidR="00C76E6D" w:rsidRDefault="00C76E6D">
      <w:pPr>
        <w:pStyle w:val="BodyText"/>
        <w:spacing w:before="5"/>
        <w:rPr>
          <w:sz w:val="25"/>
        </w:rPr>
      </w:pPr>
    </w:p>
    <w:p w:rsidR="00C76E6D" w:rsidRDefault="00913831">
      <w:pPr>
        <w:ind w:left="4980"/>
        <w:jc w:val="both"/>
        <w:rPr>
          <w:b/>
        </w:rPr>
      </w:pPr>
      <w:r>
        <w:rPr>
          <w:noProof/>
        </w:rPr>
        <w:drawing>
          <wp:anchor distT="0" distB="0" distL="0" distR="0" simplePos="0" relativeHeight="15759360" behindDoc="0" locked="0" layoutInCell="1" allowOverlap="1">
            <wp:simplePos x="0" y="0"/>
            <wp:positionH relativeFrom="page">
              <wp:posOffset>914400</wp:posOffset>
            </wp:positionH>
            <wp:positionV relativeFrom="paragraph">
              <wp:posOffset>44343</wp:posOffset>
            </wp:positionV>
            <wp:extent cx="2742893" cy="3773529"/>
            <wp:effectExtent l="0" t="0" r="0" b="0"/>
            <wp:wrapNone/>
            <wp:docPr id="67"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78.jpeg"/>
                    <pic:cNvPicPr/>
                  </pic:nvPicPr>
                  <pic:blipFill>
                    <a:blip r:embed="rId150" cstate="print"/>
                    <a:stretch>
                      <a:fillRect/>
                    </a:stretch>
                  </pic:blipFill>
                  <pic:spPr>
                    <a:xfrm>
                      <a:off x="0" y="0"/>
                      <a:ext cx="2742893" cy="3773529"/>
                    </a:xfrm>
                    <a:prstGeom prst="rect">
                      <a:avLst/>
                    </a:prstGeom>
                  </pic:spPr>
                </pic:pic>
              </a:graphicData>
            </a:graphic>
          </wp:anchor>
        </w:drawing>
      </w:r>
      <w:r>
        <w:rPr>
          <w:b/>
          <w:w w:val="95"/>
          <w:u w:val="single"/>
        </w:rPr>
        <w:t>Regional</w:t>
      </w:r>
      <w:r>
        <w:rPr>
          <w:b/>
          <w:spacing w:val="13"/>
          <w:u w:val="single"/>
        </w:rPr>
        <w:t xml:space="preserve"> </w:t>
      </w:r>
      <w:r>
        <w:rPr>
          <w:b/>
          <w:w w:val="95"/>
          <w:u w:val="single"/>
        </w:rPr>
        <w:t>&amp;</w:t>
      </w:r>
      <w:r>
        <w:rPr>
          <w:b/>
          <w:spacing w:val="11"/>
          <w:u w:val="single"/>
        </w:rPr>
        <w:t xml:space="preserve"> </w:t>
      </w:r>
      <w:r>
        <w:rPr>
          <w:b/>
          <w:w w:val="95"/>
          <w:u w:val="single"/>
        </w:rPr>
        <w:t>Statewide</w:t>
      </w:r>
      <w:r>
        <w:rPr>
          <w:b/>
          <w:spacing w:val="14"/>
          <w:u w:val="single"/>
        </w:rPr>
        <w:t xml:space="preserve"> </w:t>
      </w:r>
      <w:r>
        <w:rPr>
          <w:b/>
          <w:spacing w:val="-2"/>
          <w:w w:val="95"/>
          <w:u w:val="single"/>
        </w:rPr>
        <w:t>Meetings</w:t>
      </w:r>
    </w:p>
    <w:p w:rsidR="00C76E6D" w:rsidRDefault="00913831">
      <w:pPr>
        <w:pStyle w:val="BodyText"/>
        <w:spacing w:before="40" w:line="276" w:lineRule="auto"/>
        <w:ind w:left="4978" w:right="474"/>
        <w:jc w:val="both"/>
      </w:pPr>
      <w:r>
        <w:t>During</w:t>
      </w:r>
      <w:r>
        <w:rPr>
          <w:spacing w:val="-5"/>
        </w:rPr>
        <w:t xml:space="preserve"> </w:t>
      </w:r>
      <w:r>
        <w:t>the</w:t>
      </w:r>
      <w:r>
        <w:rPr>
          <w:spacing w:val="-5"/>
        </w:rPr>
        <w:t xml:space="preserve"> </w:t>
      </w:r>
      <w:r>
        <w:t>2021-22</w:t>
      </w:r>
      <w:r>
        <w:rPr>
          <w:spacing w:val="-4"/>
        </w:rPr>
        <w:t xml:space="preserve"> </w:t>
      </w:r>
      <w:r>
        <w:t>school</w:t>
      </w:r>
      <w:r>
        <w:rPr>
          <w:spacing w:val="-5"/>
        </w:rPr>
        <w:t xml:space="preserve"> </w:t>
      </w:r>
      <w:r>
        <w:t>year,</w:t>
      </w:r>
      <w:r>
        <w:rPr>
          <w:spacing w:val="-5"/>
        </w:rPr>
        <w:t xml:space="preserve"> </w:t>
      </w:r>
      <w:r>
        <w:t>the</w:t>
      </w:r>
      <w:r>
        <w:rPr>
          <w:spacing w:val="-5"/>
        </w:rPr>
        <w:t xml:space="preserve"> </w:t>
      </w:r>
      <w:r>
        <w:t>state</w:t>
      </w:r>
      <w:r>
        <w:rPr>
          <w:spacing w:val="-5"/>
        </w:rPr>
        <w:t xml:space="preserve"> </w:t>
      </w:r>
      <w:r>
        <w:t>and</w:t>
      </w:r>
      <w:r>
        <w:rPr>
          <w:spacing w:val="-5"/>
        </w:rPr>
        <w:t xml:space="preserve"> </w:t>
      </w:r>
      <w:r>
        <w:t xml:space="preserve">regional council meetings took place bi-monthly from 9 AM to 1 PM. The </w:t>
      </w:r>
      <w:r>
        <w:t>Fall meetings were held in a hybrid format with synchronous virtual and in-person attendance options, while Spring meetings were fully in person. Regional meeting topics spanned intersectionality, health,</w:t>
      </w:r>
      <w:r>
        <w:rPr>
          <w:spacing w:val="-8"/>
        </w:rPr>
        <w:t xml:space="preserve"> </w:t>
      </w:r>
      <w:r>
        <w:t>self,</w:t>
      </w:r>
      <w:r>
        <w:rPr>
          <w:spacing w:val="-8"/>
        </w:rPr>
        <w:t xml:space="preserve"> </w:t>
      </w:r>
      <w:r>
        <w:t>and</w:t>
      </w:r>
      <w:r>
        <w:rPr>
          <w:spacing w:val="-7"/>
        </w:rPr>
        <w:t xml:space="preserve"> </w:t>
      </w:r>
      <w:r>
        <w:t>community</w:t>
      </w:r>
      <w:r>
        <w:rPr>
          <w:spacing w:val="-8"/>
        </w:rPr>
        <w:t xml:space="preserve"> </w:t>
      </w:r>
      <w:r>
        <w:t>care,</w:t>
      </w:r>
      <w:r>
        <w:rPr>
          <w:spacing w:val="-8"/>
        </w:rPr>
        <w:t xml:space="preserve"> </w:t>
      </w:r>
      <w:r>
        <w:t>curriculum,</w:t>
      </w:r>
      <w:r>
        <w:rPr>
          <w:spacing w:val="-7"/>
        </w:rPr>
        <w:t xml:space="preserve"> </w:t>
      </w:r>
      <w:r>
        <w:t>coalition &amp; c</w:t>
      </w:r>
      <w:r>
        <w:t>ommunity building, and arts activism. All of our regional meetings are facilitated by GSA Student Leadership</w:t>
      </w:r>
      <w:r>
        <w:rPr>
          <w:spacing w:val="-4"/>
        </w:rPr>
        <w:t xml:space="preserve"> </w:t>
      </w:r>
      <w:r>
        <w:t>Council</w:t>
      </w:r>
      <w:r>
        <w:rPr>
          <w:spacing w:val="-3"/>
        </w:rPr>
        <w:t xml:space="preserve"> </w:t>
      </w:r>
      <w:r>
        <w:t>students,</w:t>
      </w:r>
      <w:r>
        <w:rPr>
          <w:spacing w:val="-3"/>
        </w:rPr>
        <w:t xml:space="preserve"> </w:t>
      </w:r>
      <w:r>
        <w:t>with</w:t>
      </w:r>
      <w:r>
        <w:rPr>
          <w:spacing w:val="-4"/>
        </w:rPr>
        <w:t xml:space="preserve"> </w:t>
      </w:r>
      <w:r>
        <w:t>breakout</w:t>
      </w:r>
      <w:r>
        <w:rPr>
          <w:spacing w:val="-5"/>
        </w:rPr>
        <w:t xml:space="preserve"> </w:t>
      </w:r>
      <w:r>
        <w:t>groups</w:t>
      </w:r>
      <w:r>
        <w:rPr>
          <w:spacing w:val="-3"/>
        </w:rPr>
        <w:t xml:space="preserve"> </w:t>
      </w:r>
      <w:r>
        <w:t>for GSA advisors led by Jeff Perrotti. Each topic centers racial equity throughout its content and linked re</w:t>
      </w:r>
      <w:r>
        <w:t>sources, and uplifts intersectionality in all discussions. We begin our meetings with a land acknowledgment (paired with resources supporting Indigenous communities), followed by community agreements co-created by students.</w:t>
      </w:r>
    </w:p>
    <w:p w:rsidR="00C76E6D" w:rsidRDefault="00C76E6D">
      <w:pPr>
        <w:pStyle w:val="BodyText"/>
      </w:pPr>
    </w:p>
    <w:p w:rsidR="00C76E6D" w:rsidRDefault="00C76E6D">
      <w:pPr>
        <w:pStyle w:val="BodyText"/>
      </w:pPr>
    </w:p>
    <w:p w:rsidR="00C76E6D" w:rsidRDefault="00C76E6D">
      <w:pPr>
        <w:pStyle w:val="BodyText"/>
        <w:spacing w:before="10"/>
        <w:rPr>
          <w:sz w:val="31"/>
        </w:rPr>
      </w:pPr>
    </w:p>
    <w:p w:rsidR="00C76E6D" w:rsidRDefault="00913831">
      <w:pPr>
        <w:pStyle w:val="BodyText"/>
        <w:spacing w:line="276" w:lineRule="auto"/>
        <w:ind w:left="478" w:right="481"/>
        <w:jc w:val="both"/>
      </w:pPr>
      <w:r>
        <w:t>Then, each meeting features o</w:t>
      </w:r>
      <w:r>
        <w:t>ne or two core activities focused on the topic. Often, these activities are collaborative, brainstorming opportunities to create models for advocacy within students’ own communities (see examples below).</w:t>
      </w:r>
    </w:p>
    <w:p w:rsidR="00C76E6D" w:rsidRDefault="00C76E6D">
      <w:pPr>
        <w:spacing w:line="276" w:lineRule="auto"/>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C76E6D">
      <w:pPr>
        <w:pStyle w:val="BodyText"/>
        <w:spacing w:before="1"/>
        <w:rPr>
          <w:sz w:val="17"/>
        </w:rPr>
      </w:pPr>
    </w:p>
    <w:tbl>
      <w:tblPr>
        <w:tblW w:w="0" w:type="auto"/>
        <w:tblInd w:w="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20"/>
        <w:gridCol w:w="5139"/>
      </w:tblGrid>
      <w:tr w:rsidR="00C76E6D">
        <w:trPr>
          <w:trHeight w:val="443"/>
        </w:trPr>
        <w:tc>
          <w:tcPr>
            <w:tcW w:w="4220" w:type="dxa"/>
          </w:tcPr>
          <w:p w:rsidR="00C76E6D" w:rsidRDefault="00913831">
            <w:pPr>
              <w:pStyle w:val="TableParagraph"/>
              <w:spacing w:before="98"/>
              <w:ind w:left="110"/>
              <w:rPr>
                <w:b/>
                <w:sz w:val="20"/>
              </w:rPr>
            </w:pPr>
            <w:r>
              <w:rPr>
                <w:b/>
                <w:spacing w:val="-2"/>
                <w:sz w:val="20"/>
                <w:u w:val="single"/>
              </w:rPr>
              <w:t>Months</w:t>
            </w:r>
          </w:p>
        </w:tc>
        <w:tc>
          <w:tcPr>
            <w:tcW w:w="5139" w:type="dxa"/>
          </w:tcPr>
          <w:p w:rsidR="00C76E6D" w:rsidRDefault="00913831">
            <w:pPr>
              <w:pStyle w:val="TableParagraph"/>
              <w:spacing w:before="98"/>
              <w:ind w:left="107"/>
              <w:rPr>
                <w:b/>
                <w:sz w:val="20"/>
              </w:rPr>
            </w:pPr>
            <w:r>
              <w:rPr>
                <w:b/>
                <w:sz w:val="20"/>
                <w:u w:val="single"/>
              </w:rPr>
              <w:t>Content</w:t>
            </w:r>
            <w:r>
              <w:rPr>
                <w:b/>
                <w:spacing w:val="-8"/>
                <w:sz w:val="20"/>
                <w:u w:val="single"/>
              </w:rPr>
              <w:t xml:space="preserve"> </w:t>
            </w:r>
            <w:r>
              <w:rPr>
                <w:b/>
                <w:spacing w:val="-2"/>
                <w:sz w:val="20"/>
                <w:u w:val="single"/>
              </w:rPr>
              <w:t>Focus</w:t>
            </w:r>
          </w:p>
        </w:tc>
      </w:tr>
      <w:tr w:rsidR="00C76E6D">
        <w:trPr>
          <w:trHeight w:val="444"/>
        </w:trPr>
        <w:tc>
          <w:tcPr>
            <w:tcW w:w="4220" w:type="dxa"/>
          </w:tcPr>
          <w:p w:rsidR="00C76E6D" w:rsidRDefault="00913831">
            <w:pPr>
              <w:pStyle w:val="TableParagraph"/>
              <w:spacing w:before="99"/>
              <w:ind w:left="110"/>
              <w:rPr>
                <w:sz w:val="20"/>
              </w:rPr>
            </w:pPr>
            <w:r>
              <w:rPr>
                <w:spacing w:val="-2"/>
                <w:sz w:val="20"/>
              </w:rPr>
              <w:t>August</w:t>
            </w:r>
          </w:p>
        </w:tc>
        <w:tc>
          <w:tcPr>
            <w:tcW w:w="5139" w:type="dxa"/>
          </w:tcPr>
          <w:p w:rsidR="00C76E6D" w:rsidRDefault="00913831">
            <w:pPr>
              <w:pStyle w:val="TableParagraph"/>
              <w:spacing w:before="99"/>
              <w:ind w:left="107"/>
              <w:rPr>
                <w:sz w:val="20"/>
              </w:rPr>
            </w:pPr>
            <w:r>
              <w:rPr>
                <w:sz w:val="20"/>
              </w:rPr>
              <w:t>GSA</w:t>
            </w:r>
            <w:r>
              <w:rPr>
                <w:spacing w:val="-10"/>
                <w:sz w:val="20"/>
              </w:rPr>
              <w:t xml:space="preserve"> </w:t>
            </w:r>
            <w:r>
              <w:rPr>
                <w:sz w:val="20"/>
              </w:rPr>
              <w:t>Student</w:t>
            </w:r>
            <w:r>
              <w:rPr>
                <w:spacing w:val="-9"/>
                <w:sz w:val="20"/>
              </w:rPr>
              <w:t xml:space="preserve"> </w:t>
            </w:r>
            <w:r>
              <w:rPr>
                <w:sz w:val="20"/>
              </w:rPr>
              <w:t>Leadership</w:t>
            </w:r>
            <w:r>
              <w:rPr>
                <w:spacing w:val="-8"/>
                <w:sz w:val="20"/>
              </w:rPr>
              <w:t xml:space="preserve"> </w:t>
            </w:r>
            <w:r>
              <w:rPr>
                <w:spacing w:val="-2"/>
                <w:sz w:val="20"/>
              </w:rPr>
              <w:t>Summit</w:t>
            </w:r>
          </w:p>
        </w:tc>
      </w:tr>
      <w:tr w:rsidR="00C76E6D">
        <w:trPr>
          <w:trHeight w:val="443"/>
        </w:trPr>
        <w:tc>
          <w:tcPr>
            <w:tcW w:w="4220" w:type="dxa"/>
          </w:tcPr>
          <w:p w:rsidR="00C76E6D" w:rsidRDefault="00913831">
            <w:pPr>
              <w:pStyle w:val="TableParagraph"/>
              <w:spacing w:before="98"/>
              <w:ind w:left="110"/>
              <w:rPr>
                <w:sz w:val="20"/>
              </w:rPr>
            </w:pPr>
            <w:r>
              <w:rPr>
                <w:sz w:val="20"/>
              </w:rPr>
              <w:t>September</w:t>
            </w:r>
            <w:r>
              <w:rPr>
                <w:spacing w:val="-7"/>
                <w:sz w:val="20"/>
              </w:rPr>
              <w:t xml:space="preserve"> </w:t>
            </w:r>
            <w:r>
              <w:rPr>
                <w:sz w:val="20"/>
              </w:rPr>
              <w:t>&amp;</w:t>
            </w:r>
            <w:r>
              <w:rPr>
                <w:spacing w:val="-5"/>
                <w:sz w:val="20"/>
              </w:rPr>
              <w:t xml:space="preserve"> </w:t>
            </w:r>
            <w:r>
              <w:rPr>
                <w:spacing w:val="-2"/>
                <w:sz w:val="20"/>
              </w:rPr>
              <w:t>October</w:t>
            </w:r>
          </w:p>
        </w:tc>
        <w:tc>
          <w:tcPr>
            <w:tcW w:w="5139" w:type="dxa"/>
          </w:tcPr>
          <w:p w:rsidR="00C76E6D" w:rsidRDefault="00913831">
            <w:pPr>
              <w:pStyle w:val="TableParagraph"/>
              <w:spacing w:before="98"/>
              <w:ind w:left="108"/>
              <w:rPr>
                <w:sz w:val="20"/>
              </w:rPr>
            </w:pPr>
            <w:r>
              <w:rPr>
                <w:spacing w:val="-2"/>
                <w:sz w:val="20"/>
              </w:rPr>
              <w:t>Intersectionality</w:t>
            </w:r>
            <w:r>
              <w:rPr>
                <w:spacing w:val="4"/>
                <w:sz w:val="20"/>
              </w:rPr>
              <w:t xml:space="preserve"> </w:t>
            </w:r>
            <w:r>
              <w:rPr>
                <w:spacing w:val="-2"/>
                <w:sz w:val="20"/>
              </w:rPr>
              <w:t>(understanding</w:t>
            </w:r>
            <w:r>
              <w:rPr>
                <w:spacing w:val="12"/>
                <w:sz w:val="20"/>
              </w:rPr>
              <w:t xml:space="preserve"> </w:t>
            </w:r>
            <w:r>
              <w:rPr>
                <w:spacing w:val="-2"/>
                <w:sz w:val="20"/>
              </w:rPr>
              <w:t>identity</w:t>
            </w:r>
            <w:r>
              <w:rPr>
                <w:spacing w:val="8"/>
                <w:sz w:val="20"/>
              </w:rPr>
              <w:t xml:space="preserve"> </w:t>
            </w:r>
            <w:r>
              <w:rPr>
                <w:spacing w:val="-2"/>
                <w:sz w:val="20"/>
              </w:rPr>
              <w:t>and</w:t>
            </w:r>
            <w:r>
              <w:rPr>
                <w:spacing w:val="11"/>
                <w:sz w:val="20"/>
              </w:rPr>
              <w:t xml:space="preserve"> </w:t>
            </w:r>
            <w:r>
              <w:rPr>
                <w:spacing w:val="-2"/>
                <w:sz w:val="20"/>
              </w:rPr>
              <w:t>oppression)</w:t>
            </w:r>
          </w:p>
        </w:tc>
      </w:tr>
      <w:tr w:rsidR="00C76E6D">
        <w:trPr>
          <w:trHeight w:val="443"/>
        </w:trPr>
        <w:tc>
          <w:tcPr>
            <w:tcW w:w="4220" w:type="dxa"/>
          </w:tcPr>
          <w:p w:rsidR="00C76E6D" w:rsidRDefault="00913831">
            <w:pPr>
              <w:pStyle w:val="TableParagraph"/>
              <w:spacing w:before="98"/>
              <w:ind w:left="110"/>
              <w:rPr>
                <w:sz w:val="20"/>
              </w:rPr>
            </w:pPr>
            <w:r>
              <w:rPr>
                <w:sz w:val="20"/>
              </w:rPr>
              <w:t>November</w:t>
            </w:r>
            <w:r>
              <w:rPr>
                <w:spacing w:val="-7"/>
                <w:sz w:val="20"/>
              </w:rPr>
              <w:t xml:space="preserve"> </w:t>
            </w:r>
            <w:r>
              <w:rPr>
                <w:sz w:val="20"/>
              </w:rPr>
              <w:t>&amp;</w:t>
            </w:r>
            <w:r>
              <w:rPr>
                <w:spacing w:val="-5"/>
                <w:sz w:val="20"/>
              </w:rPr>
              <w:t xml:space="preserve"> </w:t>
            </w:r>
            <w:r>
              <w:rPr>
                <w:spacing w:val="-2"/>
                <w:sz w:val="20"/>
              </w:rPr>
              <w:t>December</w:t>
            </w:r>
          </w:p>
        </w:tc>
        <w:tc>
          <w:tcPr>
            <w:tcW w:w="5139" w:type="dxa"/>
          </w:tcPr>
          <w:p w:rsidR="00C76E6D" w:rsidRDefault="00913831">
            <w:pPr>
              <w:pStyle w:val="TableParagraph"/>
              <w:spacing w:before="98"/>
              <w:ind w:left="108"/>
              <w:rPr>
                <w:sz w:val="20"/>
              </w:rPr>
            </w:pPr>
            <w:r>
              <w:rPr>
                <w:sz w:val="20"/>
              </w:rPr>
              <w:t>Health,</w:t>
            </w:r>
            <w:r>
              <w:rPr>
                <w:spacing w:val="-7"/>
                <w:sz w:val="20"/>
              </w:rPr>
              <w:t xml:space="preserve"> </w:t>
            </w:r>
            <w:r>
              <w:rPr>
                <w:sz w:val="20"/>
              </w:rPr>
              <w:t>Self,</w:t>
            </w:r>
            <w:r>
              <w:rPr>
                <w:spacing w:val="-7"/>
                <w:sz w:val="20"/>
              </w:rPr>
              <w:t xml:space="preserve"> </w:t>
            </w:r>
            <w:r>
              <w:rPr>
                <w:sz w:val="20"/>
              </w:rPr>
              <w:t>&amp;</w:t>
            </w:r>
            <w:r>
              <w:rPr>
                <w:spacing w:val="-7"/>
                <w:sz w:val="20"/>
              </w:rPr>
              <w:t xml:space="preserve"> </w:t>
            </w:r>
            <w:r>
              <w:rPr>
                <w:sz w:val="20"/>
              </w:rPr>
              <w:t>Community</w:t>
            </w:r>
            <w:r>
              <w:rPr>
                <w:spacing w:val="-7"/>
                <w:sz w:val="20"/>
              </w:rPr>
              <w:t xml:space="preserve"> </w:t>
            </w:r>
            <w:r>
              <w:rPr>
                <w:spacing w:val="-4"/>
                <w:sz w:val="20"/>
              </w:rPr>
              <w:t>Care</w:t>
            </w:r>
          </w:p>
        </w:tc>
      </w:tr>
      <w:tr w:rsidR="00C76E6D">
        <w:trPr>
          <w:trHeight w:val="444"/>
        </w:trPr>
        <w:tc>
          <w:tcPr>
            <w:tcW w:w="4220" w:type="dxa"/>
          </w:tcPr>
          <w:p w:rsidR="00C76E6D" w:rsidRDefault="00913831">
            <w:pPr>
              <w:pStyle w:val="TableParagraph"/>
              <w:spacing w:before="99"/>
              <w:ind w:left="110"/>
              <w:rPr>
                <w:sz w:val="20"/>
              </w:rPr>
            </w:pPr>
            <w:r>
              <w:rPr>
                <w:sz w:val="20"/>
              </w:rPr>
              <w:t>January</w:t>
            </w:r>
            <w:r>
              <w:rPr>
                <w:spacing w:val="-5"/>
                <w:sz w:val="20"/>
              </w:rPr>
              <w:t xml:space="preserve"> </w:t>
            </w:r>
            <w:r>
              <w:rPr>
                <w:sz w:val="20"/>
              </w:rPr>
              <w:t>&amp;</w:t>
            </w:r>
            <w:r>
              <w:rPr>
                <w:spacing w:val="-3"/>
                <w:sz w:val="20"/>
              </w:rPr>
              <w:t xml:space="preserve"> </w:t>
            </w:r>
            <w:r>
              <w:rPr>
                <w:spacing w:val="-2"/>
                <w:sz w:val="20"/>
              </w:rPr>
              <w:t>February</w:t>
            </w:r>
          </w:p>
        </w:tc>
        <w:tc>
          <w:tcPr>
            <w:tcW w:w="5139" w:type="dxa"/>
          </w:tcPr>
          <w:p w:rsidR="00C76E6D" w:rsidRDefault="00913831">
            <w:pPr>
              <w:pStyle w:val="TableParagraph"/>
              <w:spacing w:before="99"/>
              <w:ind w:left="108"/>
              <w:rPr>
                <w:sz w:val="20"/>
              </w:rPr>
            </w:pPr>
            <w:r>
              <w:rPr>
                <w:spacing w:val="-2"/>
                <w:sz w:val="20"/>
              </w:rPr>
              <w:t>Intersectional</w:t>
            </w:r>
            <w:r>
              <w:rPr>
                <w:spacing w:val="4"/>
                <w:sz w:val="20"/>
              </w:rPr>
              <w:t xml:space="preserve"> </w:t>
            </w:r>
            <w:r>
              <w:rPr>
                <w:spacing w:val="-2"/>
                <w:sz w:val="20"/>
              </w:rPr>
              <w:t>LGBTQ</w:t>
            </w:r>
            <w:r>
              <w:rPr>
                <w:spacing w:val="7"/>
                <w:sz w:val="20"/>
              </w:rPr>
              <w:t xml:space="preserve"> </w:t>
            </w:r>
            <w:r>
              <w:rPr>
                <w:spacing w:val="-2"/>
                <w:sz w:val="20"/>
              </w:rPr>
              <w:t>Curriculum</w:t>
            </w:r>
          </w:p>
        </w:tc>
      </w:tr>
      <w:tr w:rsidR="00C76E6D">
        <w:trPr>
          <w:trHeight w:val="444"/>
        </w:trPr>
        <w:tc>
          <w:tcPr>
            <w:tcW w:w="4220" w:type="dxa"/>
          </w:tcPr>
          <w:p w:rsidR="00C76E6D" w:rsidRDefault="00913831">
            <w:pPr>
              <w:pStyle w:val="TableParagraph"/>
              <w:spacing w:before="99"/>
              <w:ind w:left="110"/>
              <w:rPr>
                <w:sz w:val="20"/>
              </w:rPr>
            </w:pPr>
            <w:r>
              <w:rPr>
                <w:sz w:val="20"/>
              </w:rPr>
              <w:t>March</w:t>
            </w:r>
            <w:r>
              <w:rPr>
                <w:spacing w:val="-5"/>
                <w:sz w:val="20"/>
              </w:rPr>
              <w:t xml:space="preserve"> </w:t>
            </w:r>
            <w:r>
              <w:rPr>
                <w:sz w:val="20"/>
              </w:rPr>
              <w:t>&amp;</w:t>
            </w:r>
            <w:r>
              <w:rPr>
                <w:spacing w:val="-2"/>
                <w:sz w:val="20"/>
              </w:rPr>
              <w:t xml:space="preserve"> April</w:t>
            </w:r>
          </w:p>
        </w:tc>
        <w:tc>
          <w:tcPr>
            <w:tcW w:w="5139" w:type="dxa"/>
          </w:tcPr>
          <w:p w:rsidR="00C76E6D" w:rsidRDefault="00913831">
            <w:pPr>
              <w:pStyle w:val="TableParagraph"/>
              <w:spacing w:before="99"/>
              <w:ind w:left="108"/>
              <w:rPr>
                <w:sz w:val="20"/>
              </w:rPr>
            </w:pPr>
            <w:r>
              <w:rPr>
                <w:spacing w:val="-2"/>
                <w:sz w:val="20"/>
              </w:rPr>
              <w:t>Community</w:t>
            </w:r>
            <w:r>
              <w:rPr>
                <w:spacing w:val="2"/>
                <w:sz w:val="20"/>
              </w:rPr>
              <w:t xml:space="preserve"> </w:t>
            </w:r>
            <w:r>
              <w:rPr>
                <w:spacing w:val="-2"/>
                <w:sz w:val="20"/>
              </w:rPr>
              <w:t>Organizing</w:t>
            </w:r>
          </w:p>
        </w:tc>
      </w:tr>
      <w:tr w:rsidR="00C76E6D">
        <w:trPr>
          <w:trHeight w:val="444"/>
        </w:trPr>
        <w:tc>
          <w:tcPr>
            <w:tcW w:w="4220" w:type="dxa"/>
          </w:tcPr>
          <w:p w:rsidR="00C76E6D" w:rsidRDefault="00913831">
            <w:pPr>
              <w:pStyle w:val="TableParagraph"/>
              <w:spacing w:before="98"/>
              <w:ind w:left="110"/>
              <w:rPr>
                <w:sz w:val="20"/>
              </w:rPr>
            </w:pPr>
            <w:r>
              <w:rPr>
                <w:sz w:val="20"/>
              </w:rPr>
              <w:t>May</w:t>
            </w:r>
            <w:r>
              <w:rPr>
                <w:spacing w:val="-2"/>
                <w:sz w:val="20"/>
              </w:rPr>
              <w:t xml:space="preserve"> </w:t>
            </w:r>
            <w:r>
              <w:rPr>
                <w:sz w:val="20"/>
              </w:rPr>
              <w:t xml:space="preserve">&amp; </w:t>
            </w:r>
            <w:r>
              <w:rPr>
                <w:spacing w:val="-4"/>
                <w:sz w:val="20"/>
              </w:rPr>
              <w:t>June</w:t>
            </w:r>
          </w:p>
        </w:tc>
        <w:tc>
          <w:tcPr>
            <w:tcW w:w="5139" w:type="dxa"/>
          </w:tcPr>
          <w:p w:rsidR="00C76E6D" w:rsidRDefault="00913831">
            <w:pPr>
              <w:pStyle w:val="TableParagraph"/>
              <w:spacing w:before="98"/>
              <w:ind w:left="108"/>
              <w:rPr>
                <w:sz w:val="20"/>
              </w:rPr>
            </w:pPr>
            <w:r>
              <w:rPr>
                <w:sz w:val="20"/>
              </w:rPr>
              <w:t>Arts</w:t>
            </w:r>
            <w:r>
              <w:rPr>
                <w:spacing w:val="-4"/>
                <w:sz w:val="20"/>
              </w:rPr>
              <w:t xml:space="preserve"> </w:t>
            </w:r>
            <w:r>
              <w:rPr>
                <w:spacing w:val="-2"/>
                <w:sz w:val="20"/>
              </w:rPr>
              <w:t>Activism</w:t>
            </w:r>
          </w:p>
        </w:tc>
      </w:tr>
    </w:tbl>
    <w:p w:rsidR="00C76E6D" w:rsidRDefault="00C76E6D">
      <w:pPr>
        <w:pStyle w:val="BodyText"/>
        <w:spacing w:before="12"/>
        <w:rPr>
          <w:sz w:val="20"/>
        </w:rPr>
      </w:pPr>
    </w:p>
    <w:p w:rsidR="00C76E6D" w:rsidRDefault="00913831">
      <w:pPr>
        <w:pStyle w:val="BodyText"/>
        <w:spacing w:before="55" w:line="276" w:lineRule="auto"/>
        <w:ind w:left="480" w:right="475" w:hanging="1"/>
        <w:jc w:val="both"/>
      </w:pPr>
      <w:r>
        <w:t>These</w:t>
      </w:r>
      <w:r>
        <w:rPr>
          <w:spacing w:val="-11"/>
        </w:rPr>
        <w:t xml:space="preserve"> </w:t>
      </w:r>
      <w:r>
        <w:t>meetings</w:t>
      </w:r>
      <w:r>
        <w:rPr>
          <w:spacing w:val="-12"/>
        </w:rPr>
        <w:t xml:space="preserve"> </w:t>
      </w:r>
      <w:r>
        <w:t>support</w:t>
      </w:r>
      <w:r>
        <w:rPr>
          <w:spacing w:val="-10"/>
        </w:rPr>
        <w:t xml:space="preserve"> </w:t>
      </w:r>
      <w:r>
        <w:t>both</w:t>
      </w:r>
      <w:r>
        <w:rPr>
          <w:spacing w:val="-11"/>
        </w:rPr>
        <w:t xml:space="preserve"> </w:t>
      </w:r>
      <w:r>
        <w:t>community</w:t>
      </w:r>
      <w:r>
        <w:rPr>
          <w:spacing w:val="-12"/>
        </w:rPr>
        <w:t xml:space="preserve"> </w:t>
      </w:r>
      <w:r>
        <w:t>engagement</w:t>
      </w:r>
      <w:r>
        <w:rPr>
          <w:spacing w:val="-13"/>
        </w:rPr>
        <w:t xml:space="preserve"> </w:t>
      </w:r>
      <w:r>
        <w:t>and</w:t>
      </w:r>
      <w:r>
        <w:rPr>
          <w:spacing w:val="-10"/>
        </w:rPr>
        <w:t xml:space="preserve"> </w:t>
      </w:r>
      <w:r>
        <w:t>advocacy</w:t>
      </w:r>
      <w:r>
        <w:rPr>
          <w:spacing w:val="-11"/>
        </w:rPr>
        <w:t xml:space="preserve"> </w:t>
      </w:r>
      <w:r>
        <w:t>work.</w:t>
      </w:r>
      <w:r>
        <w:rPr>
          <w:spacing w:val="-12"/>
        </w:rPr>
        <w:t xml:space="preserve"> </w:t>
      </w:r>
      <w:r>
        <w:t>Our</w:t>
      </w:r>
      <w:r>
        <w:rPr>
          <w:spacing w:val="-11"/>
        </w:rPr>
        <w:t xml:space="preserve"> </w:t>
      </w:r>
      <w:r>
        <w:t>facilitators</w:t>
      </w:r>
      <w:r>
        <w:rPr>
          <w:spacing w:val="-12"/>
        </w:rPr>
        <w:t xml:space="preserve"> </w:t>
      </w:r>
      <w:r>
        <w:t>strive</w:t>
      </w:r>
      <w:r>
        <w:rPr>
          <w:spacing w:val="-12"/>
        </w:rPr>
        <w:t xml:space="preserve"> </w:t>
      </w:r>
      <w:r>
        <w:t>to</w:t>
      </w:r>
      <w:r>
        <w:rPr>
          <w:spacing w:val="-9"/>
        </w:rPr>
        <w:t xml:space="preserve"> </w:t>
      </w:r>
      <w:r>
        <w:t>create a welcoming environment that provides space for students to connect and work together towards creating</w:t>
      </w:r>
      <w:r>
        <w:rPr>
          <w:spacing w:val="-7"/>
        </w:rPr>
        <w:t xml:space="preserve"> </w:t>
      </w:r>
      <w:r>
        <w:t>safe</w:t>
      </w:r>
      <w:r>
        <w:rPr>
          <w:spacing w:val="-3"/>
        </w:rPr>
        <w:t xml:space="preserve"> </w:t>
      </w:r>
      <w:r>
        <w:t>and</w:t>
      </w:r>
      <w:r>
        <w:rPr>
          <w:spacing w:val="-7"/>
        </w:rPr>
        <w:t xml:space="preserve"> </w:t>
      </w:r>
      <w:r>
        <w:t>inclusive</w:t>
      </w:r>
      <w:r>
        <w:rPr>
          <w:spacing w:val="-3"/>
        </w:rPr>
        <w:t xml:space="preserve"> </w:t>
      </w:r>
      <w:r>
        <w:t>schools</w:t>
      </w:r>
      <w:r>
        <w:rPr>
          <w:spacing w:val="-5"/>
        </w:rPr>
        <w:t xml:space="preserve"> </w:t>
      </w:r>
      <w:r>
        <w:t>for</w:t>
      </w:r>
      <w:r>
        <w:rPr>
          <w:spacing w:val="-6"/>
        </w:rPr>
        <w:t xml:space="preserve"> </w:t>
      </w:r>
      <w:r>
        <w:t>all.</w:t>
      </w:r>
      <w:r>
        <w:rPr>
          <w:spacing w:val="-7"/>
        </w:rPr>
        <w:t xml:space="preserve"> </w:t>
      </w:r>
      <w:r>
        <w:t>Hear</w:t>
      </w:r>
      <w:r>
        <w:rPr>
          <w:spacing w:val="-5"/>
        </w:rPr>
        <w:t xml:space="preserve"> </w:t>
      </w:r>
      <w:r>
        <w:t>directly</w:t>
      </w:r>
      <w:r>
        <w:rPr>
          <w:spacing w:val="-5"/>
        </w:rPr>
        <w:t xml:space="preserve"> </w:t>
      </w:r>
      <w:r>
        <w:t>from</w:t>
      </w:r>
      <w:r>
        <w:rPr>
          <w:spacing w:val="-7"/>
        </w:rPr>
        <w:t xml:space="preserve"> </w:t>
      </w:r>
      <w:r>
        <w:t>current</w:t>
      </w:r>
      <w:r>
        <w:rPr>
          <w:spacing w:val="-7"/>
        </w:rPr>
        <w:t xml:space="preserve"> </w:t>
      </w:r>
      <w:r>
        <w:t>State</w:t>
      </w:r>
      <w:r>
        <w:rPr>
          <w:spacing w:val="-7"/>
        </w:rPr>
        <w:t xml:space="preserve"> </w:t>
      </w:r>
      <w:r>
        <w:t>Council</w:t>
      </w:r>
      <w:r>
        <w:rPr>
          <w:spacing w:val="-7"/>
        </w:rPr>
        <w:t xml:space="preserve"> </w:t>
      </w:r>
      <w:r>
        <w:t>student</w:t>
      </w:r>
      <w:r>
        <w:rPr>
          <w:spacing w:val="-6"/>
        </w:rPr>
        <w:t xml:space="preserve"> </w:t>
      </w:r>
      <w:r>
        <w:t>leaders</w:t>
      </w:r>
      <w:r>
        <w:rPr>
          <w:spacing w:val="-5"/>
        </w:rPr>
        <w:t xml:space="preserve"> </w:t>
      </w:r>
      <w:r>
        <w:t>below:</w:t>
      </w:r>
    </w:p>
    <w:p w:rsidR="00C76E6D" w:rsidRDefault="00C76E6D">
      <w:pPr>
        <w:pStyle w:val="BodyText"/>
      </w:pPr>
    </w:p>
    <w:p w:rsidR="00C76E6D" w:rsidRDefault="00C76E6D">
      <w:pPr>
        <w:pStyle w:val="BodyText"/>
        <w:spacing w:before="6"/>
        <w:rPr>
          <w:sz w:val="28"/>
        </w:rPr>
      </w:pPr>
    </w:p>
    <w:p w:rsidR="00C76E6D" w:rsidRDefault="00913831">
      <w:pPr>
        <w:pStyle w:val="Heading7"/>
        <w:rPr>
          <w:b w:val="0"/>
        </w:rPr>
      </w:pPr>
      <w:bookmarkStart w:id="104" w:name="“The_GSA_Leadership_Council_makes_me_fee"/>
      <w:bookmarkEnd w:id="104"/>
      <w:r>
        <w:t>“The</w:t>
      </w:r>
      <w:r>
        <w:rPr>
          <w:spacing w:val="-13"/>
        </w:rPr>
        <w:t xml:space="preserve"> </w:t>
      </w:r>
      <w:r>
        <w:t>GSA</w:t>
      </w:r>
      <w:r>
        <w:rPr>
          <w:spacing w:val="-12"/>
        </w:rPr>
        <w:t xml:space="preserve"> </w:t>
      </w:r>
      <w:r>
        <w:t>Leadership</w:t>
      </w:r>
      <w:r>
        <w:rPr>
          <w:spacing w:val="-12"/>
        </w:rPr>
        <w:t xml:space="preserve"> </w:t>
      </w:r>
      <w:r>
        <w:t>Council</w:t>
      </w:r>
      <w:r>
        <w:rPr>
          <w:spacing w:val="-11"/>
        </w:rPr>
        <w:t xml:space="preserve"> </w:t>
      </w:r>
      <w:r>
        <w:t>makes</w:t>
      </w:r>
      <w:r>
        <w:rPr>
          <w:spacing w:val="-11"/>
        </w:rPr>
        <w:t xml:space="preserve"> </w:t>
      </w:r>
      <w:r>
        <w:t>me</w:t>
      </w:r>
      <w:r>
        <w:rPr>
          <w:spacing w:val="-10"/>
        </w:rPr>
        <w:t xml:space="preserve"> </w:t>
      </w:r>
      <w:r>
        <w:t>feel</w:t>
      </w:r>
      <w:r>
        <w:rPr>
          <w:spacing w:val="-12"/>
        </w:rPr>
        <w:t xml:space="preserve"> </w:t>
      </w:r>
      <w:r>
        <w:t>heard,</w:t>
      </w:r>
      <w:r>
        <w:rPr>
          <w:spacing w:val="-11"/>
        </w:rPr>
        <w:t xml:space="preserve"> </w:t>
      </w:r>
      <w:r>
        <w:t>important,</w:t>
      </w:r>
      <w:r>
        <w:rPr>
          <w:spacing w:val="-11"/>
        </w:rPr>
        <w:t xml:space="preserve"> </w:t>
      </w:r>
      <w:r>
        <w:t>and</w:t>
      </w:r>
      <w:r>
        <w:rPr>
          <w:spacing w:val="-11"/>
        </w:rPr>
        <w:t xml:space="preserve"> </w:t>
      </w:r>
      <w:r>
        <w:t>like</w:t>
      </w:r>
      <w:r>
        <w:rPr>
          <w:spacing w:val="-12"/>
        </w:rPr>
        <w:t xml:space="preserve"> </w:t>
      </w:r>
      <w:r>
        <w:t>my</w:t>
      </w:r>
      <w:r>
        <w:rPr>
          <w:spacing w:val="-11"/>
        </w:rPr>
        <w:t xml:space="preserve"> </w:t>
      </w:r>
      <w:r>
        <w:t>life</w:t>
      </w:r>
      <w:r>
        <w:rPr>
          <w:spacing w:val="-9"/>
        </w:rPr>
        <w:t xml:space="preserve"> </w:t>
      </w:r>
      <w:r>
        <w:t>is</w:t>
      </w:r>
      <w:r>
        <w:rPr>
          <w:spacing w:val="-12"/>
        </w:rPr>
        <w:t xml:space="preserve"> </w:t>
      </w:r>
      <w:r>
        <w:t>valued.”</w:t>
      </w:r>
      <w:r>
        <w:rPr>
          <w:spacing w:val="-10"/>
        </w:rPr>
        <w:t xml:space="preserve"> </w:t>
      </w:r>
      <w:r>
        <w:rPr>
          <w:b w:val="0"/>
        </w:rPr>
        <w:t>-</w:t>
      </w:r>
      <w:r>
        <w:rPr>
          <w:b w:val="0"/>
          <w:spacing w:val="-10"/>
        </w:rPr>
        <w:t>-</w:t>
      </w:r>
    </w:p>
    <w:p w:rsidR="00C76E6D" w:rsidRDefault="00913831">
      <w:pPr>
        <w:pStyle w:val="BodyText"/>
        <w:spacing w:before="42"/>
        <w:ind w:left="1011"/>
      </w:pPr>
      <w:r>
        <w:rPr>
          <w:w w:val="95"/>
        </w:rPr>
        <w:t>Zayda</w:t>
      </w:r>
      <w:r>
        <w:rPr>
          <w:spacing w:val="11"/>
        </w:rPr>
        <w:t xml:space="preserve"> </w:t>
      </w:r>
      <w:r>
        <w:rPr>
          <w:w w:val="95"/>
        </w:rPr>
        <w:t>(she/they),</w:t>
      </w:r>
      <w:r>
        <w:rPr>
          <w:spacing w:val="15"/>
        </w:rPr>
        <w:t xml:space="preserve"> </w:t>
      </w:r>
      <w:r>
        <w:rPr>
          <w:w w:val="95"/>
        </w:rPr>
        <w:t>Central</w:t>
      </w:r>
      <w:r>
        <w:rPr>
          <w:spacing w:val="16"/>
        </w:rPr>
        <w:t xml:space="preserve"> </w:t>
      </w:r>
      <w:r>
        <w:rPr>
          <w:w w:val="95"/>
        </w:rPr>
        <w:t>Region,</w:t>
      </w:r>
      <w:r>
        <w:rPr>
          <w:spacing w:val="14"/>
        </w:rPr>
        <w:t xml:space="preserve"> </w:t>
      </w:r>
      <w:r>
        <w:rPr>
          <w:spacing w:val="-5"/>
          <w:w w:val="95"/>
        </w:rPr>
        <w:t>19</w:t>
      </w:r>
    </w:p>
    <w:p w:rsidR="00C76E6D" w:rsidRDefault="00C76E6D">
      <w:pPr>
        <w:pStyle w:val="BodyText"/>
        <w:spacing w:before="6"/>
        <w:rPr>
          <w:sz w:val="28"/>
        </w:rPr>
      </w:pPr>
    </w:p>
    <w:p w:rsidR="00C76E6D" w:rsidRDefault="00913831">
      <w:pPr>
        <w:spacing w:line="276" w:lineRule="auto"/>
        <w:ind w:left="1011" w:right="1009"/>
        <w:jc w:val="both"/>
      </w:pPr>
      <w:r>
        <w:rPr>
          <w:b/>
          <w:i/>
        </w:rPr>
        <w:t>“Regional GSA meetings were one of the first places I felt truly safe and comfortable, surrounded</w:t>
      </w:r>
      <w:r>
        <w:rPr>
          <w:b/>
          <w:i/>
          <w:spacing w:val="-2"/>
        </w:rPr>
        <w:t xml:space="preserve"> </w:t>
      </w:r>
      <w:r>
        <w:rPr>
          <w:b/>
          <w:i/>
        </w:rPr>
        <w:t>by</w:t>
      </w:r>
      <w:r>
        <w:rPr>
          <w:b/>
          <w:i/>
          <w:spacing w:val="-3"/>
        </w:rPr>
        <w:t xml:space="preserve"> </w:t>
      </w:r>
      <w:r>
        <w:rPr>
          <w:b/>
          <w:i/>
        </w:rPr>
        <w:t>queer</w:t>
      </w:r>
      <w:r>
        <w:rPr>
          <w:b/>
          <w:i/>
          <w:spacing w:val="-2"/>
        </w:rPr>
        <w:t xml:space="preserve"> </w:t>
      </w:r>
      <w:r>
        <w:rPr>
          <w:b/>
          <w:i/>
        </w:rPr>
        <w:t>family.</w:t>
      </w:r>
      <w:r>
        <w:rPr>
          <w:b/>
          <w:i/>
          <w:spacing w:val="-3"/>
        </w:rPr>
        <w:t xml:space="preserve"> </w:t>
      </w:r>
      <w:r>
        <w:rPr>
          <w:b/>
          <w:i/>
        </w:rPr>
        <w:t>Now</w:t>
      </w:r>
      <w:r>
        <w:rPr>
          <w:b/>
          <w:i/>
          <w:spacing w:val="-1"/>
        </w:rPr>
        <w:t xml:space="preserve"> </w:t>
      </w:r>
      <w:r>
        <w:rPr>
          <w:b/>
          <w:i/>
        </w:rPr>
        <w:t>that</w:t>
      </w:r>
      <w:r>
        <w:rPr>
          <w:b/>
          <w:i/>
          <w:spacing w:val="-2"/>
        </w:rPr>
        <w:t xml:space="preserve"> </w:t>
      </w:r>
      <w:r>
        <w:rPr>
          <w:b/>
          <w:i/>
        </w:rPr>
        <w:t>I’m</w:t>
      </w:r>
      <w:r>
        <w:rPr>
          <w:b/>
          <w:i/>
          <w:spacing w:val="-3"/>
        </w:rPr>
        <w:t xml:space="preserve"> </w:t>
      </w:r>
      <w:r>
        <w:rPr>
          <w:b/>
          <w:i/>
        </w:rPr>
        <w:t>a leader</w:t>
      </w:r>
      <w:r>
        <w:rPr>
          <w:b/>
          <w:i/>
          <w:spacing w:val="-2"/>
        </w:rPr>
        <w:t xml:space="preserve"> </w:t>
      </w:r>
      <w:r>
        <w:rPr>
          <w:b/>
          <w:i/>
        </w:rPr>
        <w:t>on</w:t>
      </w:r>
      <w:r>
        <w:rPr>
          <w:b/>
          <w:i/>
          <w:spacing w:val="-2"/>
        </w:rPr>
        <w:t xml:space="preserve"> </w:t>
      </w:r>
      <w:r>
        <w:rPr>
          <w:b/>
          <w:i/>
        </w:rPr>
        <w:t>the</w:t>
      </w:r>
      <w:r>
        <w:rPr>
          <w:b/>
          <w:i/>
          <w:spacing w:val="-3"/>
        </w:rPr>
        <w:t xml:space="preserve"> </w:t>
      </w:r>
      <w:r>
        <w:rPr>
          <w:b/>
          <w:i/>
        </w:rPr>
        <w:t>Council,</w:t>
      </w:r>
      <w:r>
        <w:rPr>
          <w:b/>
          <w:i/>
          <w:spacing w:val="-3"/>
        </w:rPr>
        <w:t xml:space="preserve"> </w:t>
      </w:r>
      <w:r>
        <w:rPr>
          <w:b/>
          <w:i/>
        </w:rPr>
        <w:t>I’ve</w:t>
      </w:r>
      <w:r>
        <w:rPr>
          <w:b/>
          <w:i/>
          <w:spacing w:val="-2"/>
        </w:rPr>
        <w:t xml:space="preserve"> </w:t>
      </w:r>
      <w:r>
        <w:rPr>
          <w:b/>
          <w:i/>
        </w:rPr>
        <w:t>been</w:t>
      </w:r>
      <w:r>
        <w:rPr>
          <w:b/>
          <w:i/>
          <w:spacing w:val="-2"/>
        </w:rPr>
        <w:t xml:space="preserve"> </w:t>
      </w:r>
      <w:r>
        <w:rPr>
          <w:b/>
          <w:i/>
        </w:rPr>
        <w:t>able</w:t>
      </w:r>
      <w:r>
        <w:rPr>
          <w:b/>
          <w:i/>
          <w:spacing w:val="-3"/>
        </w:rPr>
        <w:t xml:space="preserve"> </w:t>
      </w:r>
      <w:r>
        <w:rPr>
          <w:b/>
          <w:i/>
        </w:rPr>
        <w:t>to</w:t>
      </w:r>
      <w:r>
        <w:rPr>
          <w:b/>
          <w:i/>
          <w:spacing w:val="-1"/>
        </w:rPr>
        <w:t xml:space="preserve"> </w:t>
      </w:r>
      <w:r>
        <w:rPr>
          <w:b/>
          <w:i/>
        </w:rPr>
        <w:t>be</w:t>
      </w:r>
      <w:r>
        <w:rPr>
          <w:b/>
          <w:i/>
          <w:spacing w:val="-2"/>
        </w:rPr>
        <w:t xml:space="preserve"> </w:t>
      </w:r>
      <w:r>
        <w:rPr>
          <w:b/>
          <w:i/>
        </w:rPr>
        <w:t xml:space="preserve">part of creating that space for others. It truly jumpstarted my passion and skills to be a queer and trans youth activist.” </w:t>
      </w:r>
      <w:r>
        <w:t>-- Alia (they/them), Southeast Region, 16</w:t>
      </w:r>
    </w:p>
    <w:p w:rsidR="00C76E6D" w:rsidRDefault="00C76E6D">
      <w:pPr>
        <w:pStyle w:val="BodyText"/>
        <w:spacing w:before="2"/>
        <w:rPr>
          <w:sz w:val="25"/>
        </w:rPr>
      </w:pPr>
    </w:p>
    <w:p w:rsidR="00C76E6D" w:rsidRDefault="00913831">
      <w:pPr>
        <w:spacing w:before="1" w:line="276" w:lineRule="auto"/>
        <w:ind w:left="1011" w:right="1010"/>
        <w:jc w:val="both"/>
      </w:pPr>
      <w:r>
        <w:rPr>
          <w:b/>
          <w:i/>
        </w:rPr>
        <w:t>“Being a part of Council means constantly learning, growing, and taking action in your co</w:t>
      </w:r>
      <w:r>
        <w:rPr>
          <w:b/>
          <w:i/>
        </w:rPr>
        <w:t>mmunity. Council prepares you with the skills and resources to share with others and make an impact.”</w:t>
      </w:r>
      <w:r>
        <w:rPr>
          <w:b/>
          <w:i/>
          <w:spacing w:val="40"/>
        </w:rPr>
        <w:t xml:space="preserve"> </w:t>
      </w:r>
      <w:r>
        <w:t>-- Piotr (they/he), Western Region, 16</w:t>
      </w:r>
    </w:p>
    <w:p w:rsidR="00C76E6D" w:rsidRDefault="00C76E6D">
      <w:pPr>
        <w:pStyle w:val="BodyText"/>
        <w:spacing w:before="5"/>
        <w:rPr>
          <w:sz w:val="25"/>
        </w:rPr>
      </w:pPr>
    </w:p>
    <w:p w:rsidR="00C76E6D" w:rsidRDefault="00913831">
      <w:pPr>
        <w:spacing w:line="276" w:lineRule="auto"/>
        <w:ind w:left="1011" w:right="1010"/>
        <w:jc w:val="both"/>
      </w:pPr>
      <w:r>
        <w:rPr>
          <w:b/>
          <w:i/>
        </w:rPr>
        <w:t>“For me, being on the Council means being in an environment where you can learn and develop alongside those with s</w:t>
      </w:r>
      <w:r>
        <w:rPr>
          <w:b/>
          <w:i/>
        </w:rPr>
        <w:t>imilar experiences, and then pass that experience on to others.</w:t>
      </w:r>
      <w:r>
        <w:rPr>
          <w:b/>
          <w:i/>
          <w:spacing w:val="-12"/>
        </w:rPr>
        <w:t xml:space="preserve"> </w:t>
      </w:r>
      <w:r>
        <w:rPr>
          <w:b/>
          <w:i/>
        </w:rPr>
        <w:t>I</w:t>
      </w:r>
      <w:r>
        <w:rPr>
          <w:b/>
          <w:i/>
          <w:spacing w:val="-10"/>
        </w:rPr>
        <w:t xml:space="preserve"> </w:t>
      </w:r>
      <w:r>
        <w:rPr>
          <w:b/>
          <w:i/>
        </w:rPr>
        <w:t>doubt</w:t>
      </w:r>
      <w:r>
        <w:rPr>
          <w:b/>
          <w:i/>
          <w:spacing w:val="-12"/>
        </w:rPr>
        <w:t xml:space="preserve"> </w:t>
      </w:r>
      <w:r>
        <w:rPr>
          <w:b/>
          <w:i/>
        </w:rPr>
        <w:t>I</w:t>
      </w:r>
      <w:r>
        <w:rPr>
          <w:b/>
          <w:i/>
          <w:spacing w:val="-11"/>
        </w:rPr>
        <w:t xml:space="preserve"> </w:t>
      </w:r>
      <w:r>
        <w:rPr>
          <w:b/>
          <w:i/>
        </w:rPr>
        <w:t>would</w:t>
      </w:r>
      <w:r>
        <w:rPr>
          <w:b/>
          <w:i/>
          <w:spacing w:val="-11"/>
        </w:rPr>
        <w:t xml:space="preserve"> </w:t>
      </w:r>
      <w:r>
        <w:rPr>
          <w:b/>
          <w:i/>
        </w:rPr>
        <w:t>be</w:t>
      </w:r>
      <w:r>
        <w:rPr>
          <w:b/>
          <w:i/>
          <w:spacing w:val="-9"/>
        </w:rPr>
        <w:t xml:space="preserve"> </w:t>
      </w:r>
      <w:r>
        <w:rPr>
          <w:b/>
          <w:i/>
        </w:rPr>
        <w:t>the</w:t>
      </w:r>
      <w:r>
        <w:rPr>
          <w:b/>
          <w:i/>
          <w:spacing w:val="-11"/>
        </w:rPr>
        <w:t xml:space="preserve"> </w:t>
      </w:r>
      <w:r>
        <w:rPr>
          <w:b/>
          <w:i/>
        </w:rPr>
        <w:t>person</w:t>
      </w:r>
      <w:r>
        <w:rPr>
          <w:b/>
          <w:i/>
          <w:spacing w:val="-11"/>
        </w:rPr>
        <w:t xml:space="preserve"> </w:t>
      </w:r>
      <w:r>
        <w:rPr>
          <w:b/>
          <w:i/>
        </w:rPr>
        <w:t>I</w:t>
      </w:r>
      <w:r>
        <w:rPr>
          <w:b/>
          <w:i/>
          <w:spacing w:val="-10"/>
        </w:rPr>
        <w:t xml:space="preserve"> </w:t>
      </w:r>
      <w:r>
        <w:rPr>
          <w:b/>
          <w:i/>
        </w:rPr>
        <w:t>am</w:t>
      </w:r>
      <w:r>
        <w:rPr>
          <w:b/>
          <w:i/>
          <w:spacing w:val="-12"/>
        </w:rPr>
        <w:t xml:space="preserve"> </w:t>
      </w:r>
      <w:r>
        <w:rPr>
          <w:b/>
          <w:i/>
        </w:rPr>
        <w:t>now</w:t>
      </w:r>
      <w:r>
        <w:rPr>
          <w:b/>
          <w:i/>
          <w:spacing w:val="-11"/>
        </w:rPr>
        <w:t xml:space="preserve"> </w:t>
      </w:r>
      <w:r>
        <w:rPr>
          <w:b/>
          <w:i/>
        </w:rPr>
        <w:t>without</w:t>
      </w:r>
      <w:r>
        <w:rPr>
          <w:b/>
          <w:i/>
          <w:spacing w:val="-12"/>
        </w:rPr>
        <w:t xml:space="preserve"> </w:t>
      </w:r>
      <w:r>
        <w:rPr>
          <w:b/>
          <w:i/>
        </w:rPr>
        <w:t>the</w:t>
      </w:r>
      <w:r>
        <w:rPr>
          <w:b/>
          <w:i/>
          <w:spacing w:val="-11"/>
        </w:rPr>
        <w:t xml:space="preserve"> </w:t>
      </w:r>
      <w:r>
        <w:rPr>
          <w:b/>
          <w:i/>
        </w:rPr>
        <w:t>influence</w:t>
      </w:r>
      <w:r>
        <w:rPr>
          <w:b/>
          <w:i/>
          <w:spacing w:val="-11"/>
        </w:rPr>
        <w:t xml:space="preserve"> </w:t>
      </w:r>
      <w:r>
        <w:rPr>
          <w:b/>
          <w:i/>
        </w:rPr>
        <w:t>of</w:t>
      </w:r>
      <w:r>
        <w:rPr>
          <w:b/>
          <w:i/>
          <w:spacing w:val="-10"/>
        </w:rPr>
        <w:t xml:space="preserve"> </w:t>
      </w:r>
      <w:r>
        <w:rPr>
          <w:b/>
          <w:i/>
        </w:rPr>
        <w:t>the</w:t>
      </w:r>
      <w:r>
        <w:rPr>
          <w:b/>
          <w:i/>
          <w:spacing w:val="-11"/>
        </w:rPr>
        <w:t xml:space="preserve"> </w:t>
      </w:r>
      <w:r>
        <w:rPr>
          <w:b/>
          <w:i/>
        </w:rPr>
        <w:t>Council.”</w:t>
      </w:r>
      <w:r>
        <w:rPr>
          <w:b/>
          <w:i/>
          <w:spacing w:val="-11"/>
        </w:rPr>
        <w:t xml:space="preserve"> </w:t>
      </w:r>
      <w:r>
        <w:t>--</w:t>
      </w:r>
      <w:r>
        <w:rPr>
          <w:spacing w:val="-13"/>
        </w:rPr>
        <w:t xml:space="preserve"> </w:t>
      </w:r>
      <w:r>
        <w:t>Avery (she/they), Greater Boston Region, 17</w:t>
      </w:r>
    </w:p>
    <w:p w:rsidR="00C76E6D" w:rsidRDefault="00C76E6D">
      <w:pPr>
        <w:pStyle w:val="BodyText"/>
        <w:spacing w:before="3"/>
        <w:rPr>
          <w:sz w:val="25"/>
        </w:rPr>
      </w:pPr>
    </w:p>
    <w:p w:rsidR="00C76E6D" w:rsidRDefault="00913831">
      <w:pPr>
        <w:spacing w:line="276" w:lineRule="auto"/>
        <w:ind w:left="1011" w:right="1009"/>
        <w:jc w:val="both"/>
      </w:pPr>
      <w:r>
        <w:rPr>
          <w:b/>
          <w:i/>
        </w:rPr>
        <w:t>“The</w:t>
      </w:r>
      <w:r>
        <w:rPr>
          <w:b/>
          <w:i/>
          <w:spacing w:val="-7"/>
        </w:rPr>
        <w:t xml:space="preserve"> </w:t>
      </w:r>
      <w:r>
        <w:rPr>
          <w:b/>
          <w:i/>
        </w:rPr>
        <w:t>Council</w:t>
      </w:r>
      <w:r>
        <w:rPr>
          <w:b/>
          <w:i/>
          <w:spacing w:val="-9"/>
        </w:rPr>
        <w:t xml:space="preserve"> </w:t>
      </w:r>
      <w:r>
        <w:rPr>
          <w:b/>
          <w:i/>
        </w:rPr>
        <w:t>was</w:t>
      </w:r>
      <w:r>
        <w:rPr>
          <w:b/>
          <w:i/>
          <w:spacing w:val="-8"/>
        </w:rPr>
        <w:t xml:space="preserve"> </w:t>
      </w:r>
      <w:r>
        <w:rPr>
          <w:b/>
          <w:i/>
        </w:rPr>
        <w:t>an</w:t>
      </w:r>
      <w:r>
        <w:rPr>
          <w:b/>
          <w:i/>
          <w:spacing w:val="-7"/>
        </w:rPr>
        <w:t xml:space="preserve"> </w:t>
      </w:r>
      <w:r>
        <w:rPr>
          <w:b/>
          <w:i/>
        </w:rPr>
        <w:t>opportunity</w:t>
      </w:r>
      <w:r>
        <w:rPr>
          <w:b/>
          <w:i/>
          <w:spacing w:val="-5"/>
        </w:rPr>
        <w:t xml:space="preserve"> </w:t>
      </w:r>
      <w:r>
        <w:rPr>
          <w:b/>
          <w:i/>
        </w:rPr>
        <w:t>to</w:t>
      </w:r>
      <w:r>
        <w:rPr>
          <w:b/>
          <w:i/>
          <w:spacing w:val="-7"/>
        </w:rPr>
        <w:t xml:space="preserve"> </w:t>
      </w:r>
      <w:r>
        <w:rPr>
          <w:b/>
          <w:i/>
        </w:rPr>
        <w:t>grow</w:t>
      </w:r>
      <w:r>
        <w:rPr>
          <w:b/>
          <w:i/>
          <w:spacing w:val="-8"/>
        </w:rPr>
        <w:t xml:space="preserve"> </w:t>
      </w:r>
      <w:r>
        <w:rPr>
          <w:b/>
          <w:i/>
        </w:rPr>
        <w:t>my</w:t>
      </w:r>
      <w:r>
        <w:rPr>
          <w:b/>
          <w:i/>
          <w:spacing w:val="-5"/>
        </w:rPr>
        <w:t xml:space="preserve"> </w:t>
      </w:r>
      <w:r>
        <w:rPr>
          <w:b/>
          <w:i/>
        </w:rPr>
        <w:t>experiences</w:t>
      </w:r>
      <w:r>
        <w:rPr>
          <w:b/>
          <w:i/>
          <w:spacing w:val="-8"/>
        </w:rPr>
        <w:t xml:space="preserve"> </w:t>
      </w:r>
      <w:r>
        <w:rPr>
          <w:b/>
          <w:i/>
        </w:rPr>
        <w:t>and</w:t>
      </w:r>
      <w:r>
        <w:rPr>
          <w:b/>
          <w:i/>
          <w:spacing w:val="-7"/>
        </w:rPr>
        <w:t xml:space="preserve"> </w:t>
      </w:r>
      <w:r>
        <w:rPr>
          <w:b/>
          <w:i/>
        </w:rPr>
        <w:t>meet</w:t>
      </w:r>
      <w:r>
        <w:rPr>
          <w:b/>
          <w:i/>
          <w:spacing w:val="-8"/>
        </w:rPr>
        <w:t xml:space="preserve"> </w:t>
      </w:r>
      <w:r>
        <w:rPr>
          <w:b/>
          <w:i/>
        </w:rPr>
        <w:t>like-minded</w:t>
      </w:r>
      <w:r>
        <w:rPr>
          <w:b/>
          <w:i/>
          <w:spacing w:val="-7"/>
        </w:rPr>
        <w:t xml:space="preserve"> </w:t>
      </w:r>
      <w:r>
        <w:rPr>
          <w:b/>
          <w:i/>
        </w:rPr>
        <w:t>people.</w:t>
      </w:r>
      <w:r>
        <w:rPr>
          <w:b/>
          <w:i/>
          <w:spacing w:val="-8"/>
        </w:rPr>
        <w:t xml:space="preserve"> </w:t>
      </w:r>
      <w:r>
        <w:rPr>
          <w:b/>
          <w:i/>
        </w:rPr>
        <w:t>The Council</w:t>
      </w:r>
      <w:r>
        <w:rPr>
          <w:b/>
          <w:i/>
          <w:spacing w:val="31"/>
        </w:rPr>
        <w:t xml:space="preserve"> </w:t>
      </w:r>
      <w:r>
        <w:rPr>
          <w:b/>
          <w:i/>
        </w:rPr>
        <w:t>prepared</w:t>
      </w:r>
      <w:r>
        <w:rPr>
          <w:b/>
          <w:i/>
          <w:spacing w:val="34"/>
        </w:rPr>
        <w:t xml:space="preserve"> </w:t>
      </w:r>
      <w:r>
        <w:rPr>
          <w:b/>
          <w:i/>
        </w:rPr>
        <w:t>me</w:t>
      </w:r>
      <w:r>
        <w:rPr>
          <w:b/>
          <w:i/>
          <w:spacing w:val="35"/>
        </w:rPr>
        <w:t xml:space="preserve"> </w:t>
      </w:r>
      <w:r>
        <w:rPr>
          <w:b/>
          <w:i/>
        </w:rPr>
        <w:t>for</w:t>
      </w:r>
      <w:r>
        <w:rPr>
          <w:b/>
          <w:i/>
          <w:spacing w:val="34"/>
        </w:rPr>
        <w:t xml:space="preserve"> </w:t>
      </w:r>
      <w:r>
        <w:rPr>
          <w:b/>
          <w:i/>
        </w:rPr>
        <w:t>the</w:t>
      </w:r>
      <w:r>
        <w:rPr>
          <w:b/>
          <w:i/>
          <w:spacing w:val="32"/>
        </w:rPr>
        <w:t xml:space="preserve"> </w:t>
      </w:r>
      <w:r>
        <w:rPr>
          <w:b/>
          <w:i/>
        </w:rPr>
        <w:t>next</w:t>
      </w:r>
      <w:r>
        <w:rPr>
          <w:b/>
          <w:i/>
          <w:spacing w:val="33"/>
        </w:rPr>
        <w:t xml:space="preserve"> </w:t>
      </w:r>
      <w:r>
        <w:rPr>
          <w:b/>
          <w:i/>
        </w:rPr>
        <w:t>few</w:t>
      </w:r>
      <w:r>
        <w:rPr>
          <w:b/>
          <w:i/>
          <w:spacing w:val="34"/>
        </w:rPr>
        <w:t xml:space="preserve"> </w:t>
      </w:r>
      <w:r>
        <w:rPr>
          <w:b/>
          <w:i/>
        </w:rPr>
        <w:t>years</w:t>
      </w:r>
      <w:r>
        <w:rPr>
          <w:b/>
          <w:i/>
          <w:spacing w:val="33"/>
        </w:rPr>
        <w:t xml:space="preserve"> </w:t>
      </w:r>
      <w:r>
        <w:rPr>
          <w:b/>
          <w:i/>
        </w:rPr>
        <w:t>of</w:t>
      </w:r>
      <w:r>
        <w:rPr>
          <w:b/>
          <w:i/>
          <w:spacing w:val="34"/>
        </w:rPr>
        <w:t xml:space="preserve"> </w:t>
      </w:r>
      <w:r>
        <w:rPr>
          <w:b/>
          <w:i/>
        </w:rPr>
        <w:t>my</w:t>
      </w:r>
      <w:r>
        <w:rPr>
          <w:b/>
          <w:i/>
          <w:spacing w:val="35"/>
        </w:rPr>
        <w:t xml:space="preserve"> </w:t>
      </w:r>
      <w:r>
        <w:rPr>
          <w:b/>
          <w:i/>
        </w:rPr>
        <w:t>life</w:t>
      </w:r>
      <w:r>
        <w:rPr>
          <w:b/>
          <w:i/>
          <w:spacing w:val="35"/>
        </w:rPr>
        <w:t xml:space="preserve"> </w:t>
      </w:r>
      <w:r>
        <w:rPr>
          <w:b/>
          <w:i/>
        </w:rPr>
        <w:t>in</w:t>
      </w:r>
      <w:r>
        <w:rPr>
          <w:b/>
          <w:i/>
          <w:spacing w:val="34"/>
        </w:rPr>
        <w:t xml:space="preserve"> </w:t>
      </w:r>
      <w:r>
        <w:rPr>
          <w:b/>
          <w:i/>
        </w:rPr>
        <w:t>High</w:t>
      </w:r>
      <w:r>
        <w:rPr>
          <w:b/>
          <w:i/>
          <w:spacing w:val="36"/>
        </w:rPr>
        <w:t xml:space="preserve"> </w:t>
      </w:r>
      <w:r>
        <w:rPr>
          <w:b/>
          <w:i/>
        </w:rPr>
        <w:t>School.”</w:t>
      </w:r>
      <w:r>
        <w:rPr>
          <w:b/>
          <w:i/>
          <w:spacing w:val="35"/>
        </w:rPr>
        <w:t xml:space="preserve"> </w:t>
      </w:r>
      <w:r>
        <w:t>--</w:t>
      </w:r>
      <w:r>
        <w:rPr>
          <w:spacing w:val="32"/>
        </w:rPr>
        <w:t xml:space="preserve"> </w:t>
      </w:r>
      <w:r>
        <w:t>Lo</w:t>
      </w:r>
      <w:r>
        <w:rPr>
          <w:spacing w:val="33"/>
        </w:rPr>
        <w:t xml:space="preserve"> </w:t>
      </w:r>
      <w:r>
        <w:t>(they/he),</w:t>
      </w:r>
    </w:p>
    <w:p w:rsidR="00C76E6D" w:rsidRDefault="00913831">
      <w:pPr>
        <w:pStyle w:val="BodyText"/>
        <w:spacing w:before="5"/>
        <w:ind w:left="1012"/>
      </w:pPr>
      <w:r>
        <w:rPr>
          <w:w w:val="95"/>
        </w:rPr>
        <w:t>Western,</w:t>
      </w:r>
      <w:r>
        <w:rPr>
          <w:spacing w:val="14"/>
        </w:rPr>
        <w:t xml:space="preserve"> </w:t>
      </w:r>
      <w:r>
        <w:rPr>
          <w:spacing w:val="-5"/>
        </w:rPr>
        <w:t>15</w:t>
      </w:r>
    </w:p>
    <w:p w:rsidR="00C76E6D" w:rsidRDefault="00C76E6D">
      <w:pPr>
        <w:pStyle w:val="BodyText"/>
        <w:spacing w:before="1"/>
        <w:rPr>
          <w:sz w:val="28"/>
        </w:rPr>
      </w:pPr>
    </w:p>
    <w:p w:rsidR="00C76E6D" w:rsidRDefault="00913831">
      <w:pPr>
        <w:pStyle w:val="Heading7"/>
        <w:spacing w:before="1" w:line="276" w:lineRule="auto"/>
        <w:ind w:right="1005"/>
        <w:jc w:val="both"/>
        <w:rPr>
          <w:b w:val="0"/>
          <w:i w:val="0"/>
        </w:rPr>
      </w:pPr>
      <w:bookmarkStart w:id="105" w:name="“The_Council_was_an_opportunity_to_fully"/>
      <w:bookmarkEnd w:id="105"/>
      <w:r>
        <w:t>“The Council was an opportunity to fully come to terms with my sexuality and gender</w:t>
      </w:r>
      <w:r>
        <w:t xml:space="preserve"> expression. It showed me that regardless of differences in day-to-day lifestyles, lending a helping hand is always something everyone agrees on.” </w:t>
      </w:r>
      <w:r>
        <w:rPr>
          <w:b w:val="0"/>
          <w:i w:val="0"/>
        </w:rPr>
        <w:t>-- Nexx (they/them), Western Region, 20</w:t>
      </w:r>
    </w:p>
    <w:p w:rsidR="00C76E6D" w:rsidRDefault="00C76E6D">
      <w:pPr>
        <w:spacing w:line="276" w:lineRule="auto"/>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ind w:left="480"/>
        <w:rPr>
          <w:b/>
        </w:rPr>
      </w:pPr>
      <w:r>
        <w:rPr>
          <w:b/>
          <w:w w:val="95"/>
          <w:u w:val="single"/>
        </w:rPr>
        <w:t>Sample</w:t>
      </w:r>
      <w:r>
        <w:rPr>
          <w:b/>
          <w:spacing w:val="12"/>
          <w:u w:val="single"/>
        </w:rPr>
        <w:t xml:space="preserve"> </w:t>
      </w:r>
      <w:r>
        <w:rPr>
          <w:b/>
          <w:w w:val="95"/>
          <w:u w:val="single"/>
        </w:rPr>
        <w:t>Work</w:t>
      </w:r>
      <w:r>
        <w:rPr>
          <w:b/>
          <w:spacing w:val="16"/>
          <w:u w:val="single"/>
        </w:rPr>
        <w:t xml:space="preserve"> </w:t>
      </w:r>
      <w:r>
        <w:rPr>
          <w:b/>
          <w:w w:val="95"/>
          <w:u w:val="single"/>
        </w:rPr>
        <w:t>from</w:t>
      </w:r>
      <w:r>
        <w:rPr>
          <w:b/>
          <w:spacing w:val="15"/>
          <w:u w:val="single"/>
        </w:rPr>
        <w:t xml:space="preserve"> </w:t>
      </w:r>
      <w:r>
        <w:rPr>
          <w:b/>
          <w:w w:val="95"/>
          <w:u w:val="single"/>
        </w:rPr>
        <w:t>Regional</w:t>
      </w:r>
      <w:r>
        <w:rPr>
          <w:b/>
          <w:spacing w:val="13"/>
          <w:u w:val="single"/>
        </w:rPr>
        <w:t xml:space="preserve"> </w:t>
      </w:r>
      <w:r>
        <w:rPr>
          <w:b/>
          <w:spacing w:val="-2"/>
          <w:w w:val="95"/>
          <w:u w:val="single"/>
        </w:rPr>
        <w:t>Meetings</w:t>
      </w:r>
    </w:p>
    <w:p w:rsidR="00C76E6D" w:rsidRDefault="00C76E6D">
      <w:pPr>
        <w:pStyle w:val="BodyText"/>
        <w:spacing w:before="1"/>
        <w:rPr>
          <w:b/>
          <w:sz w:val="24"/>
        </w:rPr>
      </w:pPr>
    </w:p>
    <w:p w:rsidR="00C76E6D" w:rsidRDefault="00913831">
      <w:pPr>
        <w:pStyle w:val="BodyText"/>
        <w:spacing w:before="56"/>
        <w:ind w:left="480"/>
      </w:pPr>
      <w:r>
        <w:rPr>
          <w:w w:val="95"/>
        </w:rPr>
        <w:t>The</w:t>
      </w:r>
      <w:r>
        <w:rPr>
          <w:spacing w:val="12"/>
        </w:rPr>
        <w:t xml:space="preserve"> </w:t>
      </w:r>
      <w:r>
        <w:rPr>
          <w:w w:val="95"/>
        </w:rPr>
        <w:t>Central</w:t>
      </w:r>
      <w:r>
        <w:rPr>
          <w:spacing w:val="13"/>
        </w:rPr>
        <w:t xml:space="preserve"> </w:t>
      </w:r>
      <w:r>
        <w:rPr>
          <w:w w:val="95"/>
        </w:rPr>
        <w:t>Region</w:t>
      </w:r>
      <w:r>
        <w:rPr>
          <w:spacing w:val="15"/>
        </w:rPr>
        <w:t xml:space="preserve"> </w:t>
      </w:r>
      <w:r>
        <w:rPr>
          <w:w w:val="95"/>
        </w:rPr>
        <w:t>created</w:t>
      </w:r>
      <w:r>
        <w:rPr>
          <w:spacing w:val="14"/>
        </w:rPr>
        <w:t xml:space="preserve"> </w:t>
      </w:r>
      <w:r>
        <w:rPr>
          <w:w w:val="95"/>
        </w:rPr>
        <w:t>a</w:t>
      </w:r>
      <w:r>
        <w:rPr>
          <w:spacing w:val="13"/>
        </w:rPr>
        <w:t xml:space="preserve"> </w:t>
      </w:r>
      <w:r>
        <w:rPr>
          <w:w w:val="95"/>
        </w:rPr>
        <w:t>Jamboard</w:t>
      </w:r>
      <w:r>
        <w:rPr>
          <w:spacing w:val="14"/>
        </w:rPr>
        <w:t xml:space="preserve"> </w:t>
      </w:r>
      <w:r>
        <w:rPr>
          <w:w w:val="95"/>
        </w:rPr>
        <w:t>about</w:t>
      </w:r>
      <w:r>
        <w:rPr>
          <w:spacing w:val="12"/>
        </w:rPr>
        <w:t xml:space="preserve"> </w:t>
      </w:r>
      <w:r>
        <w:rPr>
          <w:w w:val="95"/>
        </w:rPr>
        <w:t>Health</w:t>
      </w:r>
      <w:r>
        <w:rPr>
          <w:spacing w:val="12"/>
        </w:rPr>
        <w:t xml:space="preserve"> </w:t>
      </w:r>
      <w:r>
        <w:rPr>
          <w:w w:val="95"/>
        </w:rPr>
        <w:t>and</w:t>
      </w:r>
      <w:r>
        <w:rPr>
          <w:spacing w:val="11"/>
        </w:rPr>
        <w:t xml:space="preserve"> </w:t>
      </w:r>
      <w:r>
        <w:rPr>
          <w:w w:val="95"/>
        </w:rPr>
        <w:t>Community</w:t>
      </w:r>
      <w:r>
        <w:rPr>
          <w:spacing w:val="12"/>
        </w:rPr>
        <w:t xml:space="preserve"> </w:t>
      </w:r>
      <w:r>
        <w:rPr>
          <w:spacing w:val="-2"/>
          <w:w w:val="95"/>
        </w:rPr>
        <w:t>Care:</w:t>
      </w:r>
    </w:p>
    <w:p w:rsidR="00C76E6D" w:rsidRDefault="00913831">
      <w:pPr>
        <w:pStyle w:val="BodyText"/>
        <w:spacing w:before="2"/>
        <w:rPr>
          <w:sz w:val="13"/>
        </w:rPr>
      </w:pPr>
      <w:r>
        <w:rPr>
          <w:noProof/>
        </w:rPr>
        <w:drawing>
          <wp:anchor distT="0" distB="0" distL="0" distR="0" simplePos="0" relativeHeight="61" behindDoc="0" locked="0" layoutInCell="1" allowOverlap="1">
            <wp:simplePos x="0" y="0"/>
            <wp:positionH relativeFrom="page">
              <wp:posOffset>914400</wp:posOffset>
            </wp:positionH>
            <wp:positionV relativeFrom="paragraph">
              <wp:posOffset>117583</wp:posOffset>
            </wp:positionV>
            <wp:extent cx="5884088" cy="3203257"/>
            <wp:effectExtent l="0" t="0" r="0" b="0"/>
            <wp:wrapTopAndBottom/>
            <wp:docPr id="69"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9.png"/>
                    <pic:cNvPicPr/>
                  </pic:nvPicPr>
                  <pic:blipFill>
                    <a:blip r:embed="rId151" cstate="print"/>
                    <a:stretch>
                      <a:fillRect/>
                    </a:stretch>
                  </pic:blipFill>
                  <pic:spPr>
                    <a:xfrm>
                      <a:off x="0" y="0"/>
                      <a:ext cx="5884088" cy="3203257"/>
                    </a:xfrm>
                    <a:prstGeom prst="rect">
                      <a:avLst/>
                    </a:prstGeom>
                  </pic:spPr>
                </pic:pic>
              </a:graphicData>
            </a:graphic>
          </wp:anchor>
        </w:drawing>
      </w: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913831">
      <w:pPr>
        <w:pStyle w:val="BodyText"/>
        <w:spacing w:before="5"/>
        <w:rPr>
          <w:sz w:val="12"/>
        </w:rPr>
      </w:pPr>
      <w:r>
        <w:rPr>
          <w:noProof/>
        </w:rPr>
        <w:drawing>
          <wp:anchor distT="0" distB="0" distL="0" distR="0" simplePos="0" relativeHeight="62" behindDoc="0" locked="0" layoutInCell="1" allowOverlap="1">
            <wp:simplePos x="0" y="0"/>
            <wp:positionH relativeFrom="page">
              <wp:posOffset>914400</wp:posOffset>
            </wp:positionH>
            <wp:positionV relativeFrom="paragraph">
              <wp:posOffset>111808</wp:posOffset>
            </wp:positionV>
            <wp:extent cx="5579316" cy="3211830"/>
            <wp:effectExtent l="0" t="0" r="0" b="0"/>
            <wp:wrapTopAndBottom/>
            <wp:docPr id="71"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80.jpeg"/>
                    <pic:cNvPicPr/>
                  </pic:nvPicPr>
                  <pic:blipFill>
                    <a:blip r:embed="rId152" cstate="print"/>
                    <a:stretch>
                      <a:fillRect/>
                    </a:stretch>
                  </pic:blipFill>
                  <pic:spPr>
                    <a:xfrm>
                      <a:off x="0" y="0"/>
                      <a:ext cx="5579316" cy="3211830"/>
                    </a:xfrm>
                    <a:prstGeom prst="rect">
                      <a:avLst/>
                    </a:prstGeom>
                  </pic:spPr>
                </pic:pic>
              </a:graphicData>
            </a:graphic>
          </wp:anchor>
        </w:drawing>
      </w:r>
    </w:p>
    <w:p w:rsidR="00C76E6D" w:rsidRDefault="00C76E6D">
      <w:pPr>
        <w:rPr>
          <w:sz w:val="12"/>
        </w:rPr>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ind w:left="480"/>
        <w:jc w:val="both"/>
      </w:pPr>
      <w:r>
        <w:rPr>
          <w:w w:val="95"/>
        </w:rPr>
        <w:t>Students</w:t>
      </w:r>
      <w:r>
        <w:rPr>
          <w:spacing w:val="11"/>
        </w:rPr>
        <w:t xml:space="preserve"> </w:t>
      </w:r>
      <w:r>
        <w:rPr>
          <w:w w:val="95"/>
        </w:rPr>
        <w:t>in</w:t>
      </w:r>
      <w:r>
        <w:rPr>
          <w:spacing w:val="14"/>
        </w:rPr>
        <w:t xml:space="preserve"> </w:t>
      </w:r>
      <w:r>
        <w:rPr>
          <w:w w:val="95"/>
        </w:rPr>
        <w:t>the</w:t>
      </w:r>
      <w:r>
        <w:rPr>
          <w:spacing w:val="10"/>
        </w:rPr>
        <w:t xml:space="preserve"> </w:t>
      </w:r>
      <w:r>
        <w:rPr>
          <w:w w:val="95"/>
        </w:rPr>
        <w:t>Southeast</w:t>
      </w:r>
      <w:r>
        <w:rPr>
          <w:spacing w:val="15"/>
        </w:rPr>
        <w:t xml:space="preserve"> </w:t>
      </w:r>
      <w:r>
        <w:rPr>
          <w:w w:val="95"/>
        </w:rPr>
        <w:t>Region</w:t>
      </w:r>
      <w:r>
        <w:rPr>
          <w:spacing w:val="13"/>
        </w:rPr>
        <w:t xml:space="preserve"> </w:t>
      </w:r>
      <w:r>
        <w:rPr>
          <w:w w:val="95"/>
        </w:rPr>
        <w:t>created</w:t>
      </w:r>
      <w:r>
        <w:rPr>
          <w:spacing w:val="13"/>
        </w:rPr>
        <w:t xml:space="preserve"> </w:t>
      </w:r>
      <w:r>
        <w:rPr>
          <w:w w:val="95"/>
        </w:rPr>
        <w:t>this</w:t>
      </w:r>
      <w:r>
        <w:rPr>
          <w:spacing w:val="12"/>
        </w:rPr>
        <w:t xml:space="preserve"> </w:t>
      </w:r>
      <w:r>
        <w:rPr>
          <w:w w:val="95"/>
        </w:rPr>
        <w:t>Community</w:t>
      </w:r>
      <w:r>
        <w:rPr>
          <w:spacing w:val="12"/>
        </w:rPr>
        <w:t xml:space="preserve"> </w:t>
      </w:r>
      <w:r>
        <w:rPr>
          <w:w w:val="95"/>
        </w:rPr>
        <w:t>Care</w:t>
      </w:r>
      <w:r>
        <w:rPr>
          <w:spacing w:val="11"/>
        </w:rPr>
        <w:t xml:space="preserve"> </w:t>
      </w:r>
      <w:r>
        <w:rPr>
          <w:spacing w:val="-2"/>
          <w:w w:val="95"/>
        </w:rPr>
        <w:t>Presentation:</w:t>
      </w:r>
    </w:p>
    <w:p w:rsidR="00C76E6D" w:rsidRDefault="00C76E6D">
      <w:pPr>
        <w:pStyle w:val="BodyText"/>
        <w:rPr>
          <w:sz w:val="20"/>
        </w:rPr>
      </w:pPr>
    </w:p>
    <w:p w:rsidR="00C76E6D" w:rsidRDefault="00C76E6D">
      <w:pPr>
        <w:pStyle w:val="BodyText"/>
        <w:rPr>
          <w:sz w:val="20"/>
        </w:rPr>
      </w:pPr>
    </w:p>
    <w:p w:rsidR="00C76E6D" w:rsidRDefault="00913831">
      <w:pPr>
        <w:pStyle w:val="BodyText"/>
        <w:spacing w:before="12"/>
        <w:rPr>
          <w:sz w:val="11"/>
        </w:rPr>
      </w:pPr>
      <w:r>
        <w:rPr>
          <w:noProof/>
        </w:rPr>
        <w:drawing>
          <wp:anchor distT="0" distB="0" distL="0" distR="0" simplePos="0" relativeHeight="63" behindDoc="0" locked="0" layoutInCell="1" allowOverlap="1">
            <wp:simplePos x="0" y="0"/>
            <wp:positionH relativeFrom="page">
              <wp:posOffset>1560196</wp:posOffset>
            </wp:positionH>
            <wp:positionV relativeFrom="paragraph">
              <wp:posOffset>108212</wp:posOffset>
            </wp:positionV>
            <wp:extent cx="4688947" cy="2564892"/>
            <wp:effectExtent l="0" t="0" r="0" b="0"/>
            <wp:wrapTopAndBottom/>
            <wp:docPr id="73"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81.jpeg"/>
                    <pic:cNvPicPr/>
                  </pic:nvPicPr>
                  <pic:blipFill>
                    <a:blip r:embed="rId153" cstate="print"/>
                    <a:stretch>
                      <a:fillRect/>
                    </a:stretch>
                  </pic:blipFill>
                  <pic:spPr>
                    <a:xfrm>
                      <a:off x="0" y="0"/>
                      <a:ext cx="4688947" cy="2564892"/>
                    </a:xfrm>
                    <a:prstGeom prst="rect">
                      <a:avLst/>
                    </a:prstGeom>
                  </pic:spPr>
                </pic:pic>
              </a:graphicData>
            </a:graphic>
          </wp:anchor>
        </w:drawing>
      </w:r>
    </w:p>
    <w:p w:rsidR="00C76E6D" w:rsidRDefault="00C76E6D">
      <w:pPr>
        <w:pStyle w:val="BodyText"/>
        <w:rPr>
          <w:sz w:val="20"/>
        </w:rPr>
      </w:pPr>
    </w:p>
    <w:p w:rsidR="00C76E6D" w:rsidRDefault="00C76E6D">
      <w:pPr>
        <w:pStyle w:val="BodyText"/>
        <w:rPr>
          <w:sz w:val="20"/>
        </w:rPr>
      </w:pPr>
    </w:p>
    <w:p w:rsidR="00C76E6D" w:rsidRDefault="00913831">
      <w:pPr>
        <w:pStyle w:val="BodyText"/>
        <w:spacing w:before="2"/>
        <w:rPr>
          <w:sz w:val="11"/>
        </w:rPr>
      </w:pPr>
      <w:r>
        <w:rPr>
          <w:noProof/>
        </w:rPr>
        <w:drawing>
          <wp:anchor distT="0" distB="0" distL="0" distR="0" simplePos="0" relativeHeight="64" behindDoc="0" locked="0" layoutInCell="1" allowOverlap="1">
            <wp:simplePos x="0" y="0"/>
            <wp:positionH relativeFrom="page">
              <wp:posOffset>1562100</wp:posOffset>
            </wp:positionH>
            <wp:positionV relativeFrom="paragraph">
              <wp:posOffset>101927</wp:posOffset>
            </wp:positionV>
            <wp:extent cx="4642379" cy="2798445"/>
            <wp:effectExtent l="0" t="0" r="0" b="0"/>
            <wp:wrapTopAndBottom/>
            <wp:docPr id="75"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82.jpeg"/>
                    <pic:cNvPicPr/>
                  </pic:nvPicPr>
                  <pic:blipFill>
                    <a:blip r:embed="rId154" cstate="print"/>
                    <a:stretch>
                      <a:fillRect/>
                    </a:stretch>
                  </pic:blipFill>
                  <pic:spPr>
                    <a:xfrm>
                      <a:off x="0" y="0"/>
                      <a:ext cx="4642379" cy="2798445"/>
                    </a:xfrm>
                    <a:prstGeom prst="rect">
                      <a:avLst/>
                    </a:prstGeom>
                  </pic:spPr>
                </pic:pic>
              </a:graphicData>
            </a:graphic>
          </wp:anchor>
        </w:drawing>
      </w:r>
    </w:p>
    <w:p w:rsidR="00C76E6D" w:rsidRDefault="00C76E6D">
      <w:pPr>
        <w:pStyle w:val="BodyText"/>
      </w:pPr>
    </w:p>
    <w:p w:rsidR="00C76E6D" w:rsidRDefault="00C76E6D">
      <w:pPr>
        <w:pStyle w:val="BodyText"/>
        <w:spacing w:before="3"/>
        <w:rPr>
          <w:sz w:val="32"/>
        </w:rPr>
      </w:pPr>
    </w:p>
    <w:p w:rsidR="00C76E6D" w:rsidRDefault="00913831">
      <w:pPr>
        <w:ind w:left="480"/>
        <w:jc w:val="both"/>
        <w:rPr>
          <w:b/>
        </w:rPr>
      </w:pPr>
      <w:r>
        <w:rPr>
          <w:b/>
          <w:u w:val="single"/>
        </w:rPr>
        <w:t>Our</w:t>
      </w:r>
      <w:r>
        <w:rPr>
          <w:b/>
          <w:spacing w:val="-11"/>
          <w:u w:val="single"/>
        </w:rPr>
        <w:t xml:space="preserve"> </w:t>
      </w:r>
      <w:r>
        <w:rPr>
          <w:b/>
          <w:spacing w:val="-2"/>
          <w:u w:val="single"/>
        </w:rPr>
        <w:t>Reach</w:t>
      </w:r>
    </w:p>
    <w:p w:rsidR="00C76E6D" w:rsidRDefault="00913831">
      <w:pPr>
        <w:pStyle w:val="BodyText"/>
        <w:spacing w:before="40" w:line="276" w:lineRule="auto"/>
        <w:ind w:left="480" w:right="474"/>
        <w:jc w:val="both"/>
      </w:pPr>
      <w:r>
        <w:t>Through the GSA Student Leadership Council regional meetings, we reached 65 schools across Massachusetts. 725 students and 154 GSA Advisors attended regional meetings in the 2021-2022 school year.</w:t>
      </w:r>
      <w:r>
        <w:rPr>
          <w:spacing w:val="-4"/>
        </w:rPr>
        <w:t xml:space="preserve"> </w:t>
      </w:r>
      <w:r>
        <w:t>This</w:t>
      </w:r>
      <w:r>
        <w:rPr>
          <w:spacing w:val="-4"/>
        </w:rPr>
        <w:t xml:space="preserve"> </w:t>
      </w:r>
      <w:r>
        <w:t>is</w:t>
      </w:r>
      <w:r>
        <w:rPr>
          <w:spacing w:val="-4"/>
        </w:rPr>
        <w:t xml:space="preserve"> </w:t>
      </w:r>
      <w:r>
        <w:t>a</w:t>
      </w:r>
      <w:r>
        <w:rPr>
          <w:spacing w:val="-4"/>
        </w:rPr>
        <w:t xml:space="preserve"> </w:t>
      </w:r>
      <w:r>
        <w:t>97%</w:t>
      </w:r>
      <w:r>
        <w:rPr>
          <w:spacing w:val="-4"/>
        </w:rPr>
        <w:t xml:space="preserve"> </w:t>
      </w:r>
      <w:r>
        <w:t>increase</w:t>
      </w:r>
      <w:r>
        <w:rPr>
          <w:spacing w:val="-4"/>
        </w:rPr>
        <w:t xml:space="preserve"> </w:t>
      </w:r>
      <w:r>
        <w:t>in</w:t>
      </w:r>
      <w:r>
        <w:rPr>
          <w:spacing w:val="-4"/>
        </w:rPr>
        <w:t xml:space="preserve"> </w:t>
      </w:r>
      <w:r>
        <w:t>student</w:t>
      </w:r>
      <w:r>
        <w:rPr>
          <w:spacing w:val="-5"/>
        </w:rPr>
        <w:t xml:space="preserve"> </w:t>
      </w:r>
      <w:r>
        <w:t>attendance</w:t>
      </w:r>
      <w:r>
        <w:rPr>
          <w:spacing w:val="-4"/>
        </w:rPr>
        <w:t xml:space="preserve"> </w:t>
      </w:r>
      <w:r>
        <w:t>and</w:t>
      </w:r>
      <w:r>
        <w:rPr>
          <w:spacing w:val="-4"/>
        </w:rPr>
        <w:t xml:space="preserve"> </w:t>
      </w:r>
      <w:r>
        <w:t>a</w:t>
      </w:r>
      <w:r>
        <w:rPr>
          <w:spacing w:val="-4"/>
        </w:rPr>
        <w:t xml:space="preserve"> </w:t>
      </w:r>
      <w:r>
        <w:t>57%</w:t>
      </w:r>
      <w:r>
        <w:rPr>
          <w:spacing w:val="-4"/>
        </w:rPr>
        <w:t xml:space="preserve"> </w:t>
      </w:r>
      <w:r>
        <w:t>increase</w:t>
      </w:r>
      <w:r>
        <w:rPr>
          <w:spacing w:val="-4"/>
        </w:rPr>
        <w:t xml:space="preserve"> </w:t>
      </w:r>
      <w:r>
        <w:t>in</w:t>
      </w:r>
      <w:r>
        <w:rPr>
          <w:spacing w:val="-4"/>
        </w:rPr>
        <w:t xml:space="preserve"> </w:t>
      </w:r>
      <w:r>
        <w:t>advisor</w:t>
      </w:r>
      <w:r>
        <w:rPr>
          <w:spacing w:val="-4"/>
        </w:rPr>
        <w:t xml:space="preserve"> </w:t>
      </w:r>
      <w:r>
        <w:t>attendance</w:t>
      </w:r>
      <w:r>
        <w:rPr>
          <w:spacing w:val="-4"/>
        </w:rPr>
        <w:t xml:space="preserve"> </w:t>
      </w:r>
      <w:r>
        <w:t>compared</w:t>
      </w:r>
      <w:r>
        <w:rPr>
          <w:spacing w:val="-4"/>
        </w:rPr>
        <w:t xml:space="preserve"> </w:t>
      </w:r>
      <w:r>
        <w:t>to FY22. See below for more information about attendance and schools reached.</w:t>
      </w:r>
    </w:p>
    <w:p w:rsidR="00C76E6D" w:rsidRDefault="00C76E6D">
      <w:pPr>
        <w:spacing w:line="276" w:lineRule="auto"/>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C76E6D">
      <w:pPr>
        <w:pStyle w:val="BodyText"/>
        <w:rPr>
          <w:sz w:val="17"/>
        </w:rPr>
      </w:pPr>
    </w:p>
    <w:p w:rsidR="00C76E6D" w:rsidRDefault="00913831">
      <w:pPr>
        <w:spacing w:after="41"/>
        <w:ind w:left="480"/>
        <w:rPr>
          <w:b/>
        </w:rPr>
      </w:pPr>
      <w:r>
        <w:rPr>
          <w:b/>
          <w:w w:val="95"/>
        </w:rPr>
        <w:t>Total</w:t>
      </w:r>
      <w:r>
        <w:rPr>
          <w:b/>
          <w:spacing w:val="17"/>
        </w:rPr>
        <w:t xml:space="preserve"> </w:t>
      </w:r>
      <w:r>
        <w:rPr>
          <w:b/>
          <w:w w:val="95"/>
        </w:rPr>
        <w:t>Attendance</w:t>
      </w:r>
      <w:r>
        <w:rPr>
          <w:b/>
          <w:spacing w:val="17"/>
        </w:rPr>
        <w:t xml:space="preserve"> </w:t>
      </w:r>
      <w:r>
        <w:rPr>
          <w:b/>
          <w:w w:val="95"/>
        </w:rPr>
        <w:t>at</w:t>
      </w:r>
      <w:r>
        <w:rPr>
          <w:b/>
          <w:spacing w:val="17"/>
        </w:rPr>
        <w:t xml:space="preserve"> </w:t>
      </w:r>
      <w:r>
        <w:rPr>
          <w:b/>
          <w:w w:val="95"/>
        </w:rPr>
        <w:t>Regional</w:t>
      </w:r>
      <w:r>
        <w:rPr>
          <w:b/>
          <w:spacing w:val="17"/>
        </w:rPr>
        <w:t xml:space="preserve"> </w:t>
      </w:r>
      <w:r>
        <w:rPr>
          <w:b/>
          <w:w w:val="95"/>
        </w:rPr>
        <w:t>Meetings</w:t>
      </w:r>
      <w:r>
        <w:rPr>
          <w:b/>
          <w:spacing w:val="20"/>
        </w:rPr>
        <w:t xml:space="preserve"> </w:t>
      </w:r>
      <w:r>
        <w:rPr>
          <w:b/>
          <w:w w:val="95"/>
        </w:rPr>
        <w:t>2021-</w:t>
      </w:r>
      <w:r>
        <w:rPr>
          <w:b/>
          <w:spacing w:val="-4"/>
          <w:w w:val="95"/>
        </w:rPr>
        <w:t>2022</w:t>
      </w:r>
    </w:p>
    <w:tbl>
      <w:tblPr>
        <w:tblW w:w="0" w:type="auto"/>
        <w:tblInd w:w="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0"/>
        <w:gridCol w:w="2690"/>
        <w:gridCol w:w="2520"/>
        <w:gridCol w:w="1810"/>
      </w:tblGrid>
      <w:tr w:rsidR="00C76E6D">
        <w:trPr>
          <w:trHeight w:val="480"/>
        </w:trPr>
        <w:tc>
          <w:tcPr>
            <w:tcW w:w="2340" w:type="dxa"/>
          </w:tcPr>
          <w:p w:rsidR="00C76E6D" w:rsidRDefault="00C76E6D">
            <w:pPr>
              <w:pStyle w:val="TableParagraph"/>
              <w:rPr>
                <w:rFonts w:ascii="Times New Roman"/>
                <w:sz w:val="20"/>
              </w:rPr>
            </w:pPr>
          </w:p>
        </w:tc>
        <w:tc>
          <w:tcPr>
            <w:tcW w:w="2690" w:type="dxa"/>
          </w:tcPr>
          <w:p w:rsidR="00C76E6D" w:rsidRDefault="00913831">
            <w:pPr>
              <w:pStyle w:val="TableParagraph"/>
              <w:spacing w:before="98"/>
              <w:ind w:left="110"/>
              <w:rPr>
                <w:b/>
                <w:sz w:val="20"/>
              </w:rPr>
            </w:pPr>
            <w:r>
              <w:rPr>
                <w:b/>
                <w:sz w:val="20"/>
              </w:rPr>
              <w:t>Regional</w:t>
            </w:r>
            <w:r>
              <w:rPr>
                <w:b/>
                <w:spacing w:val="-9"/>
                <w:sz w:val="20"/>
              </w:rPr>
              <w:t xml:space="preserve"> </w:t>
            </w:r>
            <w:r>
              <w:rPr>
                <w:b/>
                <w:sz w:val="20"/>
              </w:rPr>
              <w:t>Students</w:t>
            </w:r>
            <w:r>
              <w:rPr>
                <w:b/>
                <w:spacing w:val="-7"/>
                <w:sz w:val="20"/>
              </w:rPr>
              <w:t xml:space="preserve"> </w:t>
            </w:r>
            <w:r>
              <w:rPr>
                <w:b/>
                <w:spacing w:val="-2"/>
                <w:sz w:val="20"/>
              </w:rPr>
              <w:t>Reached</w:t>
            </w:r>
          </w:p>
        </w:tc>
        <w:tc>
          <w:tcPr>
            <w:tcW w:w="2520" w:type="dxa"/>
          </w:tcPr>
          <w:p w:rsidR="00C76E6D" w:rsidRDefault="00913831">
            <w:pPr>
              <w:pStyle w:val="TableParagraph"/>
              <w:spacing w:before="98"/>
              <w:ind w:left="108"/>
              <w:rPr>
                <w:b/>
                <w:sz w:val="20"/>
              </w:rPr>
            </w:pPr>
            <w:r>
              <w:rPr>
                <w:b/>
                <w:sz w:val="20"/>
              </w:rPr>
              <w:t>GSA</w:t>
            </w:r>
            <w:r>
              <w:rPr>
                <w:b/>
                <w:spacing w:val="-10"/>
                <w:sz w:val="20"/>
              </w:rPr>
              <w:t xml:space="preserve"> </w:t>
            </w:r>
            <w:r>
              <w:rPr>
                <w:b/>
                <w:sz w:val="20"/>
              </w:rPr>
              <w:t>Advisors</w:t>
            </w:r>
            <w:r>
              <w:rPr>
                <w:b/>
                <w:spacing w:val="-7"/>
                <w:sz w:val="20"/>
              </w:rPr>
              <w:t xml:space="preserve"> </w:t>
            </w:r>
            <w:r>
              <w:rPr>
                <w:b/>
                <w:spacing w:val="-2"/>
                <w:sz w:val="20"/>
              </w:rPr>
              <w:t>Reached</w:t>
            </w:r>
          </w:p>
        </w:tc>
        <w:tc>
          <w:tcPr>
            <w:tcW w:w="1810" w:type="dxa"/>
          </w:tcPr>
          <w:p w:rsidR="00C76E6D" w:rsidRDefault="00913831">
            <w:pPr>
              <w:pStyle w:val="TableParagraph"/>
              <w:spacing w:before="98"/>
              <w:ind w:left="108"/>
              <w:rPr>
                <w:b/>
                <w:sz w:val="20"/>
              </w:rPr>
            </w:pPr>
            <w:r>
              <w:rPr>
                <w:b/>
                <w:sz w:val="20"/>
              </w:rPr>
              <w:t>Total</w:t>
            </w:r>
            <w:r>
              <w:rPr>
                <w:b/>
                <w:spacing w:val="-2"/>
                <w:sz w:val="20"/>
              </w:rPr>
              <w:t xml:space="preserve"> Attendance</w:t>
            </w:r>
          </w:p>
        </w:tc>
      </w:tr>
      <w:tr w:rsidR="00C76E6D">
        <w:trPr>
          <w:trHeight w:val="480"/>
        </w:trPr>
        <w:tc>
          <w:tcPr>
            <w:tcW w:w="2340" w:type="dxa"/>
          </w:tcPr>
          <w:p w:rsidR="00C76E6D" w:rsidRDefault="00913831">
            <w:pPr>
              <w:pStyle w:val="TableParagraph"/>
              <w:spacing w:before="99"/>
              <w:ind w:left="110"/>
              <w:rPr>
                <w:b/>
                <w:sz w:val="20"/>
              </w:rPr>
            </w:pPr>
            <w:r>
              <w:rPr>
                <w:b/>
                <w:spacing w:val="-2"/>
                <w:sz w:val="20"/>
              </w:rPr>
              <w:t>Southeast</w:t>
            </w:r>
          </w:p>
        </w:tc>
        <w:tc>
          <w:tcPr>
            <w:tcW w:w="2690" w:type="dxa"/>
          </w:tcPr>
          <w:p w:rsidR="00C76E6D" w:rsidRDefault="00913831">
            <w:pPr>
              <w:pStyle w:val="TableParagraph"/>
              <w:spacing w:before="99"/>
              <w:ind w:left="110"/>
              <w:rPr>
                <w:sz w:val="20"/>
              </w:rPr>
            </w:pPr>
            <w:r>
              <w:rPr>
                <w:spacing w:val="-5"/>
                <w:sz w:val="20"/>
              </w:rPr>
              <w:t>190</w:t>
            </w:r>
          </w:p>
        </w:tc>
        <w:tc>
          <w:tcPr>
            <w:tcW w:w="2520" w:type="dxa"/>
          </w:tcPr>
          <w:p w:rsidR="00C76E6D" w:rsidRDefault="00913831">
            <w:pPr>
              <w:pStyle w:val="TableParagraph"/>
              <w:spacing w:before="99"/>
              <w:ind w:left="108"/>
              <w:rPr>
                <w:sz w:val="20"/>
              </w:rPr>
            </w:pPr>
            <w:r>
              <w:rPr>
                <w:spacing w:val="-5"/>
                <w:sz w:val="20"/>
              </w:rPr>
              <w:t>42</w:t>
            </w:r>
          </w:p>
        </w:tc>
        <w:tc>
          <w:tcPr>
            <w:tcW w:w="1810" w:type="dxa"/>
          </w:tcPr>
          <w:p w:rsidR="00C76E6D" w:rsidRDefault="00913831">
            <w:pPr>
              <w:pStyle w:val="TableParagraph"/>
              <w:spacing w:before="99"/>
              <w:ind w:left="108"/>
              <w:rPr>
                <w:b/>
                <w:sz w:val="20"/>
              </w:rPr>
            </w:pPr>
            <w:r>
              <w:rPr>
                <w:b/>
                <w:spacing w:val="-5"/>
                <w:sz w:val="20"/>
              </w:rPr>
              <w:t>232</w:t>
            </w:r>
          </w:p>
        </w:tc>
      </w:tr>
      <w:tr w:rsidR="00C76E6D">
        <w:trPr>
          <w:trHeight w:val="479"/>
        </w:trPr>
        <w:tc>
          <w:tcPr>
            <w:tcW w:w="2340" w:type="dxa"/>
          </w:tcPr>
          <w:p w:rsidR="00C76E6D" w:rsidRDefault="00913831">
            <w:pPr>
              <w:pStyle w:val="TableParagraph"/>
              <w:spacing w:before="98"/>
              <w:ind w:left="110"/>
              <w:rPr>
                <w:b/>
                <w:sz w:val="20"/>
              </w:rPr>
            </w:pPr>
            <w:r>
              <w:rPr>
                <w:b/>
                <w:spacing w:val="-2"/>
                <w:sz w:val="20"/>
              </w:rPr>
              <w:t>Greater Boston</w:t>
            </w:r>
          </w:p>
        </w:tc>
        <w:tc>
          <w:tcPr>
            <w:tcW w:w="2690" w:type="dxa"/>
          </w:tcPr>
          <w:p w:rsidR="00C76E6D" w:rsidRDefault="00913831">
            <w:pPr>
              <w:pStyle w:val="TableParagraph"/>
              <w:spacing w:before="98"/>
              <w:ind w:left="109"/>
              <w:rPr>
                <w:sz w:val="20"/>
              </w:rPr>
            </w:pPr>
            <w:r>
              <w:rPr>
                <w:spacing w:val="-5"/>
                <w:sz w:val="20"/>
              </w:rPr>
              <w:t>69</w:t>
            </w:r>
          </w:p>
        </w:tc>
        <w:tc>
          <w:tcPr>
            <w:tcW w:w="2520" w:type="dxa"/>
          </w:tcPr>
          <w:p w:rsidR="00C76E6D" w:rsidRDefault="00913831">
            <w:pPr>
              <w:pStyle w:val="TableParagraph"/>
              <w:spacing w:before="98"/>
              <w:ind w:left="107"/>
              <w:rPr>
                <w:sz w:val="20"/>
              </w:rPr>
            </w:pPr>
            <w:r>
              <w:rPr>
                <w:spacing w:val="-5"/>
                <w:sz w:val="20"/>
              </w:rPr>
              <w:t>16</w:t>
            </w:r>
          </w:p>
        </w:tc>
        <w:tc>
          <w:tcPr>
            <w:tcW w:w="1810" w:type="dxa"/>
          </w:tcPr>
          <w:p w:rsidR="00C76E6D" w:rsidRDefault="00913831">
            <w:pPr>
              <w:pStyle w:val="TableParagraph"/>
              <w:spacing w:before="98"/>
              <w:ind w:left="107"/>
              <w:rPr>
                <w:b/>
                <w:sz w:val="20"/>
              </w:rPr>
            </w:pPr>
            <w:r>
              <w:rPr>
                <w:b/>
                <w:spacing w:val="-5"/>
                <w:sz w:val="20"/>
              </w:rPr>
              <w:t>85</w:t>
            </w:r>
          </w:p>
        </w:tc>
      </w:tr>
      <w:tr w:rsidR="00C76E6D">
        <w:trPr>
          <w:trHeight w:val="481"/>
        </w:trPr>
        <w:tc>
          <w:tcPr>
            <w:tcW w:w="2340" w:type="dxa"/>
          </w:tcPr>
          <w:p w:rsidR="00C76E6D" w:rsidRDefault="00913831">
            <w:pPr>
              <w:pStyle w:val="TableParagraph"/>
              <w:spacing w:before="99"/>
              <w:ind w:left="110"/>
              <w:rPr>
                <w:b/>
                <w:sz w:val="20"/>
              </w:rPr>
            </w:pPr>
            <w:r>
              <w:rPr>
                <w:b/>
                <w:spacing w:val="-2"/>
                <w:sz w:val="20"/>
              </w:rPr>
              <w:t>Northeast</w:t>
            </w:r>
          </w:p>
        </w:tc>
        <w:tc>
          <w:tcPr>
            <w:tcW w:w="2690" w:type="dxa"/>
          </w:tcPr>
          <w:p w:rsidR="00C76E6D" w:rsidRDefault="00913831">
            <w:pPr>
              <w:pStyle w:val="TableParagraph"/>
              <w:spacing w:before="99"/>
              <w:ind w:left="110"/>
              <w:rPr>
                <w:sz w:val="20"/>
              </w:rPr>
            </w:pPr>
            <w:r>
              <w:rPr>
                <w:spacing w:val="-5"/>
                <w:sz w:val="20"/>
              </w:rPr>
              <w:t>214</w:t>
            </w:r>
          </w:p>
        </w:tc>
        <w:tc>
          <w:tcPr>
            <w:tcW w:w="2520" w:type="dxa"/>
          </w:tcPr>
          <w:p w:rsidR="00C76E6D" w:rsidRDefault="00913831">
            <w:pPr>
              <w:pStyle w:val="TableParagraph"/>
              <w:spacing w:before="99"/>
              <w:ind w:left="108"/>
              <w:rPr>
                <w:sz w:val="20"/>
              </w:rPr>
            </w:pPr>
            <w:r>
              <w:rPr>
                <w:spacing w:val="-5"/>
                <w:sz w:val="20"/>
              </w:rPr>
              <w:t>40</w:t>
            </w:r>
          </w:p>
        </w:tc>
        <w:tc>
          <w:tcPr>
            <w:tcW w:w="1810" w:type="dxa"/>
          </w:tcPr>
          <w:p w:rsidR="00C76E6D" w:rsidRDefault="00913831">
            <w:pPr>
              <w:pStyle w:val="TableParagraph"/>
              <w:spacing w:before="99"/>
              <w:ind w:left="108"/>
              <w:rPr>
                <w:b/>
                <w:sz w:val="20"/>
              </w:rPr>
            </w:pPr>
            <w:r>
              <w:rPr>
                <w:b/>
                <w:spacing w:val="-5"/>
                <w:sz w:val="20"/>
              </w:rPr>
              <w:t>254</w:t>
            </w:r>
          </w:p>
        </w:tc>
      </w:tr>
      <w:tr w:rsidR="00C76E6D">
        <w:trPr>
          <w:trHeight w:val="480"/>
        </w:trPr>
        <w:tc>
          <w:tcPr>
            <w:tcW w:w="2340" w:type="dxa"/>
          </w:tcPr>
          <w:p w:rsidR="00C76E6D" w:rsidRDefault="00913831">
            <w:pPr>
              <w:pStyle w:val="TableParagraph"/>
              <w:spacing w:before="99"/>
              <w:ind w:left="110"/>
              <w:rPr>
                <w:b/>
                <w:sz w:val="20"/>
              </w:rPr>
            </w:pPr>
            <w:r>
              <w:rPr>
                <w:b/>
                <w:spacing w:val="-2"/>
                <w:sz w:val="20"/>
              </w:rPr>
              <w:t>Central</w:t>
            </w:r>
          </w:p>
        </w:tc>
        <w:tc>
          <w:tcPr>
            <w:tcW w:w="2690" w:type="dxa"/>
          </w:tcPr>
          <w:p w:rsidR="00C76E6D" w:rsidRDefault="00913831">
            <w:pPr>
              <w:pStyle w:val="TableParagraph"/>
              <w:spacing w:before="99"/>
              <w:ind w:left="110"/>
              <w:rPr>
                <w:sz w:val="20"/>
              </w:rPr>
            </w:pPr>
            <w:r>
              <w:rPr>
                <w:spacing w:val="-5"/>
                <w:sz w:val="20"/>
              </w:rPr>
              <w:t>143</w:t>
            </w:r>
          </w:p>
        </w:tc>
        <w:tc>
          <w:tcPr>
            <w:tcW w:w="2520" w:type="dxa"/>
          </w:tcPr>
          <w:p w:rsidR="00C76E6D" w:rsidRDefault="00913831">
            <w:pPr>
              <w:pStyle w:val="TableParagraph"/>
              <w:spacing w:before="99"/>
              <w:ind w:left="108"/>
              <w:rPr>
                <w:sz w:val="20"/>
              </w:rPr>
            </w:pPr>
            <w:r>
              <w:rPr>
                <w:spacing w:val="-5"/>
                <w:sz w:val="20"/>
              </w:rPr>
              <w:t>26</w:t>
            </w:r>
          </w:p>
        </w:tc>
        <w:tc>
          <w:tcPr>
            <w:tcW w:w="1810" w:type="dxa"/>
          </w:tcPr>
          <w:p w:rsidR="00C76E6D" w:rsidRDefault="00913831">
            <w:pPr>
              <w:pStyle w:val="TableParagraph"/>
              <w:spacing w:before="99"/>
              <w:ind w:left="108"/>
              <w:rPr>
                <w:b/>
                <w:sz w:val="20"/>
              </w:rPr>
            </w:pPr>
            <w:r>
              <w:rPr>
                <w:b/>
                <w:spacing w:val="-5"/>
                <w:sz w:val="20"/>
              </w:rPr>
              <w:t>169</w:t>
            </w:r>
          </w:p>
        </w:tc>
      </w:tr>
      <w:tr w:rsidR="00C76E6D">
        <w:trPr>
          <w:trHeight w:val="481"/>
        </w:trPr>
        <w:tc>
          <w:tcPr>
            <w:tcW w:w="2340" w:type="dxa"/>
          </w:tcPr>
          <w:p w:rsidR="00C76E6D" w:rsidRDefault="00913831">
            <w:pPr>
              <w:pStyle w:val="TableParagraph"/>
              <w:spacing w:before="98"/>
              <w:ind w:left="110"/>
              <w:rPr>
                <w:b/>
                <w:sz w:val="20"/>
              </w:rPr>
            </w:pPr>
            <w:r>
              <w:rPr>
                <w:b/>
                <w:spacing w:val="-2"/>
                <w:sz w:val="20"/>
              </w:rPr>
              <w:t>Western</w:t>
            </w:r>
          </w:p>
        </w:tc>
        <w:tc>
          <w:tcPr>
            <w:tcW w:w="2690" w:type="dxa"/>
          </w:tcPr>
          <w:p w:rsidR="00C76E6D" w:rsidRDefault="00913831">
            <w:pPr>
              <w:pStyle w:val="TableParagraph"/>
              <w:spacing w:before="98"/>
              <w:ind w:left="110"/>
              <w:rPr>
                <w:sz w:val="20"/>
              </w:rPr>
            </w:pPr>
            <w:r>
              <w:rPr>
                <w:spacing w:val="-5"/>
                <w:sz w:val="20"/>
              </w:rPr>
              <w:t>109</w:t>
            </w:r>
          </w:p>
        </w:tc>
        <w:tc>
          <w:tcPr>
            <w:tcW w:w="2520" w:type="dxa"/>
          </w:tcPr>
          <w:p w:rsidR="00C76E6D" w:rsidRDefault="00913831">
            <w:pPr>
              <w:pStyle w:val="TableParagraph"/>
              <w:spacing w:before="98"/>
              <w:ind w:left="108"/>
              <w:rPr>
                <w:sz w:val="20"/>
              </w:rPr>
            </w:pPr>
            <w:r>
              <w:rPr>
                <w:spacing w:val="-5"/>
                <w:sz w:val="20"/>
              </w:rPr>
              <w:t>30</w:t>
            </w:r>
          </w:p>
        </w:tc>
        <w:tc>
          <w:tcPr>
            <w:tcW w:w="1810" w:type="dxa"/>
          </w:tcPr>
          <w:p w:rsidR="00C76E6D" w:rsidRDefault="00913831">
            <w:pPr>
              <w:pStyle w:val="TableParagraph"/>
              <w:spacing w:before="98"/>
              <w:ind w:left="108"/>
              <w:rPr>
                <w:b/>
                <w:sz w:val="20"/>
              </w:rPr>
            </w:pPr>
            <w:r>
              <w:rPr>
                <w:b/>
                <w:spacing w:val="-5"/>
                <w:sz w:val="20"/>
              </w:rPr>
              <w:t>139</w:t>
            </w:r>
          </w:p>
        </w:tc>
      </w:tr>
    </w:tbl>
    <w:p w:rsidR="00C76E6D" w:rsidRDefault="00C76E6D">
      <w:pPr>
        <w:pStyle w:val="BodyText"/>
        <w:rPr>
          <w:b/>
        </w:rPr>
      </w:pPr>
    </w:p>
    <w:p w:rsidR="00C76E6D" w:rsidRDefault="00C76E6D">
      <w:pPr>
        <w:pStyle w:val="BodyText"/>
        <w:spacing w:before="11"/>
        <w:rPr>
          <w:b/>
          <w:sz w:val="28"/>
        </w:rPr>
      </w:pPr>
    </w:p>
    <w:p w:rsidR="00C76E6D" w:rsidRDefault="00913831">
      <w:pPr>
        <w:spacing w:after="41"/>
        <w:ind w:left="480"/>
        <w:rPr>
          <w:b/>
        </w:rPr>
      </w:pPr>
      <w:r>
        <w:rPr>
          <w:b/>
          <w:w w:val="95"/>
        </w:rPr>
        <w:t>65</w:t>
      </w:r>
      <w:r>
        <w:rPr>
          <w:b/>
          <w:spacing w:val="15"/>
        </w:rPr>
        <w:t xml:space="preserve"> </w:t>
      </w:r>
      <w:r>
        <w:rPr>
          <w:b/>
          <w:w w:val="95"/>
        </w:rPr>
        <w:t>Total</w:t>
      </w:r>
      <w:r>
        <w:rPr>
          <w:b/>
          <w:spacing w:val="15"/>
        </w:rPr>
        <w:t xml:space="preserve"> </w:t>
      </w:r>
      <w:r>
        <w:rPr>
          <w:b/>
          <w:w w:val="95"/>
        </w:rPr>
        <w:t>Schools</w:t>
      </w:r>
      <w:r>
        <w:rPr>
          <w:b/>
          <w:spacing w:val="13"/>
        </w:rPr>
        <w:t xml:space="preserve"> </w:t>
      </w:r>
      <w:r>
        <w:rPr>
          <w:b/>
          <w:w w:val="95"/>
        </w:rPr>
        <w:t>Reached</w:t>
      </w:r>
      <w:r>
        <w:rPr>
          <w:b/>
          <w:spacing w:val="19"/>
        </w:rPr>
        <w:t xml:space="preserve"> </w:t>
      </w:r>
      <w:r>
        <w:rPr>
          <w:b/>
          <w:w w:val="95"/>
        </w:rPr>
        <w:t>2021-</w:t>
      </w:r>
      <w:r>
        <w:rPr>
          <w:b/>
          <w:spacing w:val="-4"/>
          <w:w w:val="95"/>
        </w:rPr>
        <w:t>2022</w:t>
      </w:r>
    </w:p>
    <w:tbl>
      <w:tblPr>
        <w:tblW w:w="0" w:type="auto"/>
        <w:tblInd w:w="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60"/>
        <w:gridCol w:w="1560"/>
        <w:gridCol w:w="1560"/>
        <w:gridCol w:w="1560"/>
        <w:gridCol w:w="1560"/>
        <w:gridCol w:w="1560"/>
      </w:tblGrid>
      <w:tr w:rsidR="00C76E6D">
        <w:trPr>
          <w:trHeight w:val="1042"/>
        </w:trPr>
        <w:tc>
          <w:tcPr>
            <w:tcW w:w="1560" w:type="dxa"/>
          </w:tcPr>
          <w:p w:rsidR="00C76E6D" w:rsidRDefault="00913831">
            <w:pPr>
              <w:pStyle w:val="TableParagraph"/>
              <w:spacing w:before="98" w:line="276" w:lineRule="auto"/>
              <w:ind w:left="110" w:right="130"/>
              <w:rPr>
                <w:sz w:val="20"/>
              </w:rPr>
            </w:pPr>
            <w:r>
              <w:rPr>
                <w:spacing w:val="-2"/>
                <w:sz w:val="20"/>
              </w:rPr>
              <w:t>Agawam</w:t>
            </w:r>
            <w:r>
              <w:rPr>
                <w:spacing w:val="-16"/>
                <w:sz w:val="20"/>
              </w:rPr>
              <w:t xml:space="preserve"> </w:t>
            </w:r>
            <w:r>
              <w:rPr>
                <w:spacing w:val="-2"/>
                <w:sz w:val="20"/>
              </w:rPr>
              <w:t>High School</w:t>
            </w:r>
          </w:p>
        </w:tc>
        <w:tc>
          <w:tcPr>
            <w:tcW w:w="1560" w:type="dxa"/>
          </w:tcPr>
          <w:p w:rsidR="00C76E6D" w:rsidRDefault="00913831">
            <w:pPr>
              <w:pStyle w:val="TableParagraph"/>
              <w:spacing w:before="98" w:line="276" w:lineRule="auto"/>
              <w:ind w:left="110" w:right="130"/>
              <w:rPr>
                <w:sz w:val="20"/>
              </w:rPr>
            </w:pPr>
            <w:r>
              <w:rPr>
                <w:sz w:val="20"/>
              </w:rPr>
              <w:t xml:space="preserve">Edward P. </w:t>
            </w:r>
            <w:r>
              <w:rPr>
                <w:spacing w:val="-2"/>
                <w:sz w:val="20"/>
              </w:rPr>
              <w:t>Talbot</w:t>
            </w:r>
            <w:r>
              <w:rPr>
                <w:spacing w:val="-12"/>
                <w:sz w:val="20"/>
              </w:rPr>
              <w:t xml:space="preserve"> </w:t>
            </w:r>
            <w:r>
              <w:rPr>
                <w:spacing w:val="-2"/>
                <w:sz w:val="20"/>
              </w:rPr>
              <w:t>Middle School</w:t>
            </w:r>
          </w:p>
        </w:tc>
        <w:tc>
          <w:tcPr>
            <w:tcW w:w="1560" w:type="dxa"/>
          </w:tcPr>
          <w:p w:rsidR="00C76E6D" w:rsidRDefault="00913831">
            <w:pPr>
              <w:pStyle w:val="TableParagraph"/>
              <w:spacing w:before="98" w:line="276" w:lineRule="auto"/>
              <w:ind w:left="110" w:right="130"/>
              <w:rPr>
                <w:sz w:val="20"/>
              </w:rPr>
            </w:pPr>
            <w:r>
              <w:rPr>
                <w:spacing w:val="-2"/>
                <w:sz w:val="20"/>
              </w:rPr>
              <w:t>Ipswich</w:t>
            </w:r>
            <w:r>
              <w:rPr>
                <w:spacing w:val="-12"/>
                <w:sz w:val="20"/>
              </w:rPr>
              <w:t xml:space="preserve"> </w:t>
            </w:r>
            <w:r>
              <w:rPr>
                <w:spacing w:val="-2"/>
                <w:sz w:val="20"/>
              </w:rPr>
              <w:t>High School</w:t>
            </w:r>
          </w:p>
        </w:tc>
        <w:tc>
          <w:tcPr>
            <w:tcW w:w="1560" w:type="dxa"/>
          </w:tcPr>
          <w:p w:rsidR="00C76E6D" w:rsidRDefault="00913831">
            <w:pPr>
              <w:pStyle w:val="TableParagraph"/>
              <w:spacing w:before="98" w:line="276" w:lineRule="auto"/>
              <w:ind w:left="110" w:right="188"/>
              <w:jc w:val="both"/>
              <w:rPr>
                <w:sz w:val="20"/>
              </w:rPr>
            </w:pPr>
            <w:r>
              <w:rPr>
                <w:spacing w:val="-2"/>
                <w:sz w:val="20"/>
              </w:rPr>
              <w:t>Nashoba</w:t>
            </w:r>
            <w:r>
              <w:rPr>
                <w:spacing w:val="-10"/>
                <w:sz w:val="20"/>
              </w:rPr>
              <w:t xml:space="preserve"> </w:t>
            </w:r>
            <w:r>
              <w:rPr>
                <w:spacing w:val="-2"/>
                <w:sz w:val="20"/>
              </w:rPr>
              <w:t xml:space="preserve">Valley </w:t>
            </w:r>
            <w:r>
              <w:rPr>
                <w:sz w:val="20"/>
              </w:rPr>
              <w:t xml:space="preserve">Technical High </w:t>
            </w:r>
            <w:r>
              <w:rPr>
                <w:spacing w:val="-2"/>
                <w:sz w:val="20"/>
              </w:rPr>
              <w:t>School</w:t>
            </w:r>
          </w:p>
        </w:tc>
        <w:tc>
          <w:tcPr>
            <w:tcW w:w="1560" w:type="dxa"/>
          </w:tcPr>
          <w:p w:rsidR="00C76E6D" w:rsidRDefault="00913831">
            <w:pPr>
              <w:pStyle w:val="TableParagraph"/>
              <w:spacing w:before="98" w:line="276" w:lineRule="auto"/>
              <w:ind w:left="110" w:right="130"/>
              <w:rPr>
                <w:sz w:val="20"/>
              </w:rPr>
            </w:pPr>
            <w:r>
              <w:rPr>
                <w:spacing w:val="-2"/>
                <w:sz w:val="20"/>
              </w:rPr>
              <w:t>Scituate</w:t>
            </w:r>
            <w:r>
              <w:rPr>
                <w:spacing w:val="-14"/>
                <w:sz w:val="20"/>
              </w:rPr>
              <w:t xml:space="preserve"> </w:t>
            </w:r>
            <w:r>
              <w:rPr>
                <w:spacing w:val="-2"/>
                <w:sz w:val="20"/>
              </w:rPr>
              <w:t>High School</w:t>
            </w:r>
          </w:p>
        </w:tc>
        <w:tc>
          <w:tcPr>
            <w:tcW w:w="1560" w:type="dxa"/>
          </w:tcPr>
          <w:p w:rsidR="00C76E6D" w:rsidRDefault="00913831">
            <w:pPr>
              <w:pStyle w:val="TableParagraph"/>
              <w:spacing w:before="98" w:line="276" w:lineRule="auto"/>
              <w:ind w:left="110" w:right="130"/>
              <w:rPr>
                <w:sz w:val="20"/>
              </w:rPr>
            </w:pPr>
            <w:r>
              <w:rPr>
                <w:spacing w:val="-2"/>
                <w:sz w:val="20"/>
              </w:rPr>
              <w:t>The</w:t>
            </w:r>
            <w:r>
              <w:rPr>
                <w:spacing w:val="-12"/>
                <w:sz w:val="20"/>
              </w:rPr>
              <w:t xml:space="preserve"> </w:t>
            </w:r>
            <w:r>
              <w:rPr>
                <w:spacing w:val="-2"/>
                <w:sz w:val="20"/>
              </w:rPr>
              <w:t>Victor School</w:t>
            </w:r>
          </w:p>
        </w:tc>
      </w:tr>
      <w:tr w:rsidR="00C76E6D">
        <w:trPr>
          <w:trHeight w:val="1602"/>
        </w:trPr>
        <w:tc>
          <w:tcPr>
            <w:tcW w:w="1560" w:type="dxa"/>
          </w:tcPr>
          <w:p w:rsidR="00C76E6D" w:rsidRDefault="00913831">
            <w:pPr>
              <w:pStyle w:val="TableParagraph"/>
              <w:spacing w:before="98" w:line="276" w:lineRule="auto"/>
              <w:ind w:left="110" w:right="130"/>
              <w:rPr>
                <w:sz w:val="20"/>
              </w:rPr>
            </w:pPr>
            <w:r>
              <w:rPr>
                <w:spacing w:val="-2"/>
                <w:sz w:val="20"/>
              </w:rPr>
              <w:t>Apponequet Regional</w:t>
            </w:r>
            <w:r>
              <w:rPr>
                <w:spacing w:val="-12"/>
                <w:sz w:val="20"/>
              </w:rPr>
              <w:t xml:space="preserve"> </w:t>
            </w:r>
            <w:r>
              <w:rPr>
                <w:spacing w:val="-2"/>
                <w:sz w:val="20"/>
              </w:rPr>
              <w:t>High School</w:t>
            </w:r>
          </w:p>
        </w:tc>
        <w:tc>
          <w:tcPr>
            <w:tcW w:w="1560" w:type="dxa"/>
          </w:tcPr>
          <w:p w:rsidR="00C76E6D" w:rsidRDefault="00913831">
            <w:pPr>
              <w:pStyle w:val="TableParagraph"/>
              <w:spacing w:before="98" w:line="276" w:lineRule="auto"/>
              <w:ind w:left="110" w:right="130"/>
              <w:rPr>
                <w:sz w:val="20"/>
              </w:rPr>
            </w:pPr>
            <w:r>
              <w:rPr>
                <w:spacing w:val="-2"/>
                <w:sz w:val="20"/>
              </w:rPr>
              <w:t>Everett</w:t>
            </w:r>
            <w:r>
              <w:rPr>
                <w:spacing w:val="-12"/>
                <w:sz w:val="20"/>
              </w:rPr>
              <w:t xml:space="preserve"> </w:t>
            </w:r>
            <w:r>
              <w:rPr>
                <w:spacing w:val="-2"/>
                <w:sz w:val="20"/>
              </w:rPr>
              <w:t>High School</w:t>
            </w:r>
          </w:p>
        </w:tc>
        <w:tc>
          <w:tcPr>
            <w:tcW w:w="1560" w:type="dxa"/>
          </w:tcPr>
          <w:p w:rsidR="00C76E6D" w:rsidRDefault="00913831">
            <w:pPr>
              <w:pStyle w:val="TableParagraph"/>
              <w:spacing w:before="98" w:line="276" w:lineRule="auto"/>
              <w:ind w:left="110" w:right="489" w:hanging="1"/>
              <w:jc w:val="both"/>
              <w:rPr>
                <w:sz w:val="20"/>
              </w:rPr>
            </w:pPr>
            <w:r>
              <w:rPr>
                <w:sz w:val="20"/>
              </w:rPr>
              <w:t>Jeremiah</w:t>
            </w:r>
            <w:r>
              <w:rPr>
                <w:spacing w:val="-12"/>
                <w:sz w:val="20"/>
              </w:rPr>
              <w:t xml:space="preserve"> </w:t>
            </w:r>
            <w:r>
              <w:rPr>
                <w:sz w:val="20"/>
              </w:rPr>
              <w:t xml:space="preserve">E. Burke High </w:t>
            </w:r>
            <w:r>
              <w:rPr>
                <w:spacing w:val="-2"/>
                <w:sz w:val="20"/>
              </w:rPr>
              <w:t>School</w:t>
            </w:r>
          </w:p>
        </w:tc>
        <w:tc>
          <w:tcPr>
            <w:tcW w:w="1560" w:type="dxa"/>
          </w:tcPr>
          <w:p w:rsidR="00C76E6D" w:rsidRDefault="00913831">
            <w:pPr>
              <w:pStyle w:val="TableParagraph"/>
              <w:spacing w:before="98" w:line="276" w:lineRule="auto"/>
              <w:ind w:left="110" w:right="130"/>
              <w:rPr>
                <w:sz w:val="20"/>
              </w:rPr>
            </w:pPr>
            <w:r>
              <w:rPr>
                <w:spacing w:val="-2"/>
                <w:sz w:val="20"/>
              </w:rPr>
              <w:t>Norton</w:t>
            </w:r>
            <w:r>
              <w:rPr>
                <w:spacing w:val="-15"/>
                <w:sz w:val="20"/>
              </w:rPr>
              <w:t xml:space="preserve"> </w:t>
            </w:r>
            <w:r>
              <w:rPr>
                <w:spacing w:val="-2"/>
                <w:sz w:val="20"/>
              </w:rPr>
              <w:t>Middle School</w:t>
            </w:r>
          </w:p>
        </w:tc>
        <w:tc>
          <w:tcPr>
            <w:tcW w:w="1560" w:type="dxa"/>
          </w:tcPr>
          <w:p w:rsidR="00C76E6D" w:rsidRDefault="00913831">
            <w:pPr>
              <w:pStyle w:val="TableParagraph"/>
              <w:spacing w:before="98" w:line="276" w:lineRule="auto"/>
              <w:ind w:left="110" w:right="130"/>
              <w:rPr>
                <w:sz w:val="20"/>
              </w:rPr>
            </w:pPr>
            <w:r>
              <w:rPr>
                <w:spacing w:val="-2"/>
                <w:sz w:val="20"/>
              </w:rPr>
              <w:t>Shawsheen Valley</w:t>
            </w:r>
            <w:r>
              <w:rPr>
                <w:spacing w:val="-11"/>
                <w:sz w:val="20"/>
              </w:rPr>
              <w:t xml:space="preserve"> </w:t>
            </w:r>
            <w:r>
              <w:rPr>
                <w:spacing w:val="-2"/>
                <w:sz w:val="20"/>
              </w:rPr>
              <w:t>Technical School</w:t>
            </w:r>
          </w:p>
        </w:tc>
        <w:tc>
          <w:tcPr>
            <w:tcW w:w="1560" w:type="dxa"/>
          </w:tcPr>
          <w:p w:rsidR="00C76E6D" w:rsidRDefault="00913831">
            <w:pPr>
              <w:pStyle w:val="TableParagraph"/>
              <w:spacing w:before="98" w:line="276" w:lineRule="auto"/>
              <w:ind w:left="110" w:right="130"/>
              <w:rPr>
                <w:sz w:val="20"/>
              </w:rPr>
            </w:pPr>
            <w:r>
              <w:rPr>
                <w:spacing w:val="-2"/>
                <w:sz w:val="20"/>
              </w:rPr>
              <w:t>Tri-County Regional Vocational Technical</w:t>
            </w:r>
            <w:r>
              <w:rPr>
                <w:spacing w:val="-13"/>
                <w:sz w:val="20"/>
              </w:rPr>
              <w:t xml:space="preserve"> </w:t>
            </w:r>
            <w:r>
              <w:rPr>
                <w:spacing w:val="-2"/>
                <w:sz w:val="20"/>
              </w:rPr>
              <w:t>High School</w:t>
            </w:r>
          </w:p>
        </w:tc>
      </w:tr>
      <w:tr w:rsidR="00C76E6D">
        <w:trPr>
          <w:trHeight w:val="1324"/>
        </w:trPr>
        <w:tc>
          <w:tcPr>
            <w:tcW w:w="1560" w:type="dxa"/>
          </w:tcPr>
          <w:p w:rsidR="00C76E6D" w:rsidRDefault="00913831">
            <w:pPr>
              <w:pStyle w:val="TableParagraph"/>
              <w:spacing w:before="98" w:line="276" w:lineRule="auto"/>
              <w:ind w:left="110" w:right="89"/>
              <w:rPr>
                <w:sz w:val="20"/>
              </w:rPr>
            </w:pPr>
            <w:r>
              <w:rPr>
                <w:sz w:val="20"/>
              </w:rPr>
              <w:t xml:space="preserve">Assabet Valley </w:t>
            </w:r>
            <w:r>
              <w:rPr>
                <w:spacing w:val="-2"/>
                <w:sz w:val="20"/>
              </w:rPr>
              <w:t>Regional Technical</w:t>
            </w:r>
            <w:r>
              <w:rPr>
                <w:spacing w:val="-13"/>
                <w:sz w:val="20"/>
              </w:rPr>
              <w:t xml:space="preserve"> </w:t>
            </w:r>
            <w:r>
              <w:rPr>
                <w:spacing w:val="-2"/>
                <w:sz w:val="20"/>
              </w:rPr>
              <w:t>School</w:t>
            </w:r>
          </w:p>
        </w:tc>
        <w:tc>
          <w:tcPr>
            <w:tcW w:w="1560" w:type="dxa"/>
          </w:tcPr>
          <w:p w:rsidR="00C76E6D" w:rsidRDefault="00913831">
            <w:pPr>
              <w:pStyle w:val="TableParagraph"/>
              <w:spacing w:before="98" w:line="276" w:lineRule="auto"/>
              <w:ind w:left="110" w:right="130"/>
              <w:rPr>
                <w:sz w:val="20"/>
              </w:rPr>
            </w:pPr>
            <w:r>
              <w:rPr>
                <w:spacing w:val="-2"/>
                <w:sz w:val="20"/>
              </w:rPr>
              <w:t>Falmouth</w:t>
            </w:r>
            <w:r>
              <w:rPr>
                <w:spacing w:val="-13"/>
                <w:sz w:val="20"/>
              </w:rPr>
              <w:t xml:space="preserve"> </w:t>
            </w:r>
            <w:r>
              <w:rPr>
                <w:spacing w:val="-2"/>
                <w:sz w:val="20"/>
              </w:rPr>
              <w:t>High School</w:t>
            </w:r>
          </w:p>
        </w:tc>
        <w:tc>
          <w:tcPr>
            <w:tcW w:w="1560" w:type="dxa"/>
          </w:tcPr>
          <w:p w:rsidR="00C76E6D" w:rsidRDefault="00913831">
            <w:pPr>
              <w:pStyle w:val="TableParagraph"/>
              <w:spacing w:before="98" w:line="276" w:lineRule="auto"/>
              <w:ind w:left="110" w:right="89" w:hanging="1"/>
              <w:rPr>
                <w:sz w:val="20"/>
              </w:rPr>
            </w:pPr>
            <w:r>
              <w:rPr>
                <w:spacing w:val="-2"/>
                <w:sz w:val="20"/>
              </w:rPr>
              <w:t>John</w:t>
            </w:r>
            <w:r>
              <w:rPr>
                <w:spacing w:val="-15"/>
                <w:sz w:val="20"/>
              </w:rPr>
              <w:t xml:space="preserve"> </w:t>
            </w:r>
            <w:r>
              <w:rPr>
                <w:spacing w:val="-2"/>
                <w:sz w:val="20"/>
              </w:rPr>
              <w:t>F.</w:t>
            </w:r>
            <w:r>
              <w:rPr>
                <w:spacing w:val="-11"/>
                <w:sz w:val="20"/>
              </w:rPr>
              <w:t xml:space="preserve"> </w:t>
            </w:r>
            <w:r>
              <w:rPr>
                <w:spacing w:val="-2"/>
                <w:sz w:val="20"/>
              </w:rPr>
              <w:t xml:space="preserve">Kennedy </w:t>
            </w:r>
            <w:r>
              <w:rPr>
                <w:sz w:val="20"/>
              </w:rPr>
              <w:t>Middle School</w:t>
            </w:r>
          </w:p>
        </w:tc>
        <w:tc>
          <w:tcPr>
            <w:tcW w:w="1560" w:type="dxa"/>
          </w:tcPr>
          <w:p w:rsidR="00C76E6D" w:rsidRDefault="00913831">
            <w:pPr>
              <w:pStyle w:val="TableParagraph"/>
              <w:spacing w:before="98" w:line="276" w:lineRule="auto"/>
              <w:ind w:left="110" w:right="130"/>
              <w:rPr>
                <w:sz w:val="20"/>
              </w:rPr>
            </w:pPr>
            <w:r>
              <w:rPr>
                <w:spacing w:val="-2"/>
                <w:sz w:val="20"/>
              </w:rPr>
              <w:t>Odyssey</w:t>
            </w:r>
            <w:r>
              <w:rPr>
                <w:spacing w:val="-15"/>
                <w:sz w:val="20"/>
              </w:rPr>
              <w:t xml:space="preserve"> </w:t>
            </w:r>
            <w:r>
              <w:rPr>
                <w:spacing w:val="-2"/>
                <w:sz w:val="20"/>
              </w:rPr>
              <w:t>Day School</w:t>
            </w:r>
          </w:p>
        </w:tc>
        <w:tc>
          <w:tcPr>
            <w:tcW w:w="1560" w:type="dxa"/>
          </w:tcPr>
          <w:p w:rsidR="00C76E6D" w:rsidRDefault="00913831">
            <w:pPr>
              <w:pStyle w:val="TableParagraph"/>
              <w:spacing w:before="98" w:line="276" w:lineRule="auto"/>
              <w:ind w:left="110" w:right="308"/>
              <w:jc w:val="both"/>
              <w:rPr>
                <w:sz w:val="20"/>
              </w:rPr>
            </w:pPr>
            <w:r>
              <w:rPr>
                <w:sz w:val="20"/>
              </w:rPr>
              <w:t>Shepherd</w:t>
            </w:r>
            <w:r>
              <w:rPr>
                <w:spacing w:val="-7"/>
                <w:sz w:val="20"/>
              </w:rPr>
              <w:t xml:space="preserve"> </w:t>
            </w:r>
            <w:r>
              <w:rPr>
                <w:sz w:val="20"/>
              </w:rPr>
              <w:t>Hill Regional</w:t>
            </w:r>
            <w:r>
              <w:rPr>
                <w:spacing w:val="-12"/>
                <w:sz w:val="20"/>
              </w:rPr>
              <w:t xml:space="preserve"> </w:t>
            </w:r>
            <w:r>
              <w:rPr>
                <w:sz w:val="20"/>
              </w:rPr>
              <w:t xml:space="preserve">High </w:t>
            </w:r>
            <w:r>
              <w:rPr>
                <w:spacing w:val="-2"/>
                <w:sz w:val="20"/>
              </w:rPr>
              <w:t>School</w:t>
            </w:r>
          </w:p>
        </w:tc>
        <w:tc>
          <w:tcPr>
            <w:tcW w:w="1560" w:type="dxa"/>
          </w:tcPr>
          <w:p w:rsidR="00C76E6D" w:rsidRDefault="00913831">
            <w:pPr>
              <w:pStyle w:val="TableParagraph"/>
              <w:spacing w:before="98" w:line="276" w:lineRule="auto"/>
              <w:ind w:left="110" w:right="225" w:hanging="1"/>
              <w:jc w:val="both"/>
              <w:rPr>
                <w:sz w:val="20"/>
              </w:rPr>
            </w:pPr>
            <w:r>
              <w:rPr>
                <w:spacing w:val="-2"/>
                <w:sz w:val="20"/>
              </w:rPr>
              <w:t>Walden</w:t>
            </w:r>
            <w:r>
              <w:rPr>
                <w:spacing w:val="-10"/>
                <w:sz w:val="20"/>
              </w:rPr>
              <w:t xml:space="preserve"> </w:t>
            </w:r>
            <w:r>
              <w:rPr>
                <w:spacing w:val="-2"/>
                <w:sz w:val="20"/>
              </w:rPr>
              <w:t>School at</w:t>
            </w:r>
            <w:r>
              <w:rPr>
                <w:spacing w:val="-10"/>
                <w:sz w:val="20"/>
              </w:rPr>
              <w:t xml:space="preserve"> </w:t>
            </w:r>
            <w:r>
              <w:rPr>
                <w:spacing w:val="-2"/>
                <w:sz w:val="20"/>
              </w:rPr>
              <w:t>the</w:t>
            </w:r>
            <w:r>
              <w:rPr>
                <w:spacing w:val="-9"/>
                <w:sz w:val="20"/>
              </w:rPr>
              <w:t xml:space="preserve"> </w:t>
            </w:r>
            <w:r>
              <w:rPr>
                <w:spacing w:val="-2"/>
                <w:sz w:val="20"/>
              </w:rPr>
              <w:t xml:space="preserve">Learning </w:t>
            </w:r>
            <w:r>
              <w:rPr>
                <w:sz w:val="20"/>
              </w:rPr>
              <w:t xml:space="preserve">Center for the </w:t>
            </w:r>
            <w:r>
              <w:rPr>
                <w:spacing w:val="-4"/>
                <w:sz w:val="20"/>
              </w:rPr>
              <w:t>Deaf</w:t>
            </w:r>
          </w:p>
        </w:tc>
      </w:tr>
      <w:tr w:rsidR="00C76E6D">
        <w:trPr>
          <w:trHeight w:val="1040"/>
        </w:trPr>
        <w:tc>
          <w:tcPr>
            <w:tcW w:w="1560" w:type="dxa"/>
          </w:tcPr>
          <w:p w:rsidR="00C76E6D" w:rsidRDefault="00913831">
            <w:pPr>
              <w:pStyle w:val="TableParagraph"/>
              <w:spacing w:before="97" w:line="276" w:lineRule="auto"/>
              <w:ind w:left="110" w:right="130"/>
              <w:rPr>
                <w:sz w:val="20"/>
              </w:rPr>
            </w:pPr>
            <w:r>
              <w:rPr>
                <w:spacing w:val="-2"/>
                <w:sz w:val="20"/>
              </w:rPr>
              <w:t>Auburn</w:t>
            </w:r>
            <w:r>
              <w:rPr>
                <w:spacing w:val="-15"/>
                <w:sz w:val="20"/>
              </w:rPr>
              <w:t xml:space="preserve"> </w:t>
            </w:r>
            <w:r>
              <w:rPr>
                <w:spacing w:val="-2"/>
                <w:sz w:val="20"/>
              </w:rPr>
              <w:t>High School</w:t>
            </w:r>
          </w:p>
        </w:tc>
        <w:tc>
          <w:tcPr>
            <w:tcW w:w="1560" w:type="dxa"/>
          </w:tcPr>
          <w:p w:rsidR="00C76E6D" w:rsidRDefault="00913831">
            <w:pPr>
              <w:pStyle w:val="TableParagraph"/>
              <w:spacing w:before="97" w:line="276" w:lineRule="auto"/>
              <w:ind w:left="110" w:right="89"/>
              <w:rPr>
                <w:sz w:val="20"/>
              </w:rPr>
            </w:pPr>
            <w:r>
              <w:rPr>
                <w:sz w:val="20"/>
              </w:rPr>
              <w:t xml:space="preserve">Franklin County </w:t>
            </w:r>
            <w:r>
              <w:rPr>
                <w:spacing w:val="-2"/>
                <w:sz w:val="20"/>
              </w:rPr>
              <w:t>Technical</w:t>
            </w:r>
            <w:r>
              <w:rPr>
                <w:spacing w:val="-13"/>
                <w:sz w:val="20"/>
              </w:rPr>
              <w:t xml:space="preserve"> </w:t>
            </w:r>
            <w:r>
              <w:rPr>
                <w:spacing w:val="-2"/>
                <w:sz w:val="20"/>
              </w:rPr>
              <w:t>School</w:t>
            </w:r>
          </w:p>
        </w:tc>
        <w:tc>
          <w:tcPr>
            <w:tcW w:w="1560" w:type="dxa"/>
          </w:tcPr>
          <w:p w:rsidR="00C76E6D" w:rsidRDefault="00913831">
            <w:pPr>
              <w:pStyle w:val="TableParagraph"/>
              <w:spacing w:before="97" w:line="276" w:lineRule="auto"/>
              <w:ind w:left="110" w:right="130"/>
              <w:rPr>
                <w:sz w:val="20"/>
              </w:rPr>
            </w:pPr>
            <w:r>
              <w:rPr>
                <w:sz w:val="20"/>
              </w:rPr>
              <w:t xml:space="preserve">King Philip </w:t>
            </w:r>
            <w:r>
              <w:rPr>
                <w:spacing w:val="-2"/>
                <w:sz w:val="20"/>
              </w:rPr>
              <w:t>Middle</w:t>
            </w:r>
            <w:r>
              <w:rPr>
                <w:spacing w:val="-13"/>
                <w:sz w:val="20"/>
              </w:rPr>
              <w:t xml:space="preserve"> </w:t>
            </w:r>
            <w:r>
              <w:rPr>
                <w:spacing w:val="-2"/>
                <w:sz w:val="20"/>
              </w:rPr>
              <w:t>School</w:t>
            </w:r>
          </w:p>
        </w:tc>
        <w:tc>
          <w:tcPr>
            <w:tcW w:w="1560" w:type="dxa"/>
          </w:tcPr>
          <w:p w:rsidR="00C76E6D" w:rsidRDefault="00913831">
            <w:pPr>
              <w:pStyle w:val="TableParagraph"/>
              <w:spacing w:before="97" w:line="276" w:lineRule="auto"/>
              <w:ind w:left="110" w:right="276"/>
              <w:jc w:val="both"/>
              <w:rPr>
                <w:sz w:val="20"/>
              </w:rPr>
            </w:pPr>
            <w:r>
              <w:rPr>
                <w:sz w:val="20"/>
              </w:rPr>
              <w:t>Old</w:t>
            </w:r>
            <w:r>
              <w:rPr>
                <w:spacing w:val="-12"/>
                <w:sz w:val="20"/>
              </w:rPr>
              <w:t xml:space="preserve"> </w:t>
            </w:r>
            <w:r>
              <w:rPr>
                <w:sz w:val="20"/>
              </w:rPr>
              <w:t>Rochester Regional</w:t>
            </w:r>
            <w:r>
              <w:rPr>
                <w:spacing w:val="-2"/>
                <w:sz w:val="20"/>
              </w:rPr>
              <w:t xml:space="preserve"> </w:t>
            </w:r>
            <w:r>
              <w:rPr>
                <w:sz w:val="20"/>
              </w:rPr>
              <w:t xml:space="preserve">High </w:t>
            </w:r>
            <w:r>
              <w:rPr>
                <w:spacing w:val="-2"/>
                <w:sz w:val="20"/>
              </w:rPr>
              <w:t>School</w:t>
            </w:r>
          </w:p>
        </w:tc>
        <w:tc>
          <w:tcPr>
            <w:tcW w:w="1560" w:type="dxa"/>
          </w:tcPr>
          <w:p w:rsidR="00C76E6D" w:rsidRDefault="00913831">
            <w:pPr>
              <w:pStyle w:val="TableParagraph"/>
              <w:spacing w:before="97" w:line="276" w:lineRule="auto"/>
              <w:ind w:left="110" w:right="130"/>
              <w:rPr>
                <w:sz w:val="20"/>
              </w:rPr>
            </w:pPr>
            <w:r>
              <w:rPr>
                <w:sz w:val="20"/>
              </w:rPr>
              <w:t xml:space="preserve">South Shore </w:t>
            </w:r>
            <w:r>
              <w:rPr>
                <w:spacing w:val="-2"/>
                <w:sz w:val="20"/>
              </w:rPr>
              <w:t>Technical</w:t>
            </w:r>
            <w:r>
              <w:rPr>
                <w:spacing w:val="-13"/>
                <w:sz w:val="20"/>
              </w:rPr>
              <w:t xml:space="preserve"> </w:t>
            </w:r>
            <w:r>
              <w:rPr>
                <w:spacing w:val="-2"/>
                <w:sz w:val="20"/>
              </w:rPr>
              <w:t>High School</w:t>
            </w:r>
          </w:p>
        </w:tc>
        <w:tc>
          <w:tcPr>
            <w:tcW w:w="1560" w:type="dxa"/>
          </w:tcPr>
          <w:p w:rsidR="00C76E6D" w:rsidRDefault="00913831">
            <w:pPr>
              <w:pStyle w:val="TableParagraph"/>
              <w:spacing w:before="97" w:line="276" w:lineRule="auto"/>
              <w:ind w:left="110" w:right="130"/>
              <w:rPr>
                <w:sz w:val="20"/>
              </w:rPr>
            </w:pPr>
            <w:r>
              <w:rPr>
                <w:spacing w:val="-2"/>
                <w:sz w:val="20"/>
              </w:rPr>
              <w:t>Watertown Middle</w:t>
            </w:r>
            <w:r>
              <w:rPr>
                <w:spacing w:val="-13"/>
                <w:sz w:val="20"/>
              </w:rPr>
              <w:t xml:space="preserve"> </w:t>
            </w:r>
            <w:r>
              <w:rPr>
                <w:spacing w:val="-2"/>
                <w:sz w:val="20"/>
              </w:rPr>
              <w:t>School</w:t>
            </w:r>
          </w:p>
        </w:tc>
      </w:tr>
      <w:tr w:rsidR="00C76E6D">
        <w:trPr>
          <w:trHeight w:val="1602"/>
        </w:trPr>
        <w:tc>
          <w:tcPr>
            <w:tcW w:w="1560" w:type="dxa"/>
          </w:tcPr>
          <w:p w:rsidR="00C76E6D" w:rsidRDefault="00913831">
            <w:pPr>
              <w:pStyle w:val="TableParagraph"/>
              <w:spacing w:before="97" w:line="276" w:lineRule="auto"/>
              <w:ind w:left="110" w:right="130"/>
              <w:rPr>
                <w:sz w:val="20"/>
              </w:rPr>
            </w:pPr>
            <w:r>
              <w:rPr>
                <w:spacing w:val="-2"/>
                <w:sz w:val="20"/>
              </w:rPr>
              <w:t>Blackstone Valley</w:t>
            </w:r>
            <w:r>
              <w:rPr>
                <w:spacing w:val="-14"/>
                <w:sz w:val="20"/>
              </w:rPr>
              <w:t xml:space="preserve"> </w:t>
            </w:r>
            <w:r>
              <w:rPr>
                <w:spacing w:val="-2"/>
                <w:sz w:val="20"/>
              </w:rPr>
              <w:t xml:space="preserve">Regional Vocational </w:t>
            </w:r>
            <w:r>
              <w:rPr>
                <w:sz w:val="20"/>
              </w:rPr>
              <w:t xml:space="preserve">Technical High </w:t>
            </w:r>
            <w:r>
              <w:rPr>
                <w:spacing w:val="-2"/>
                <w:sz w:val="20"/>
              </w:rPr>
              <w:t>School</w:t>
            </w:r>
          </w:p>
        </w:tc>
        <w:tc>
          <w:tcPr>
            <w:tcW w:w="1560" w:type="dxa"/>
          </w:tcPr>
          <w:p w:rsidR="00C76E6D" w:rsidRDefault="00913831">
            <w:pPr>
              <w:pStyle w:val="TableParagraph"/>
              <w:spacing w:before="97" w:line="276" w:lineRule="auto"/>
              <w:ind w:left="110" w:right="130"/>
              <w:rPr>
                <w:sz w:val="20"/>
              </w:rPr>
            </w:pPr>
            <w:r>
              <w:rPr>
                <w:spacing w:val="-2"/>
                <w:sz w:val="20"/>
              </w:rPr>
              <w:t>Frontier Regional</w:t>
            </w:r>
            <w:r>
              <w:rPr>
                <w:spacing w:val="-12"/>
                <w:sz w:val="20"/>
              </w:rPr>
              <w:t xml:space="preserve"> </w:t>
            </w:r>
            <w:r>
              <w:rPr>
                <w:spacing w:val="-2"/>
                <w:sz w:val="20"/>
              </w:rPr>
              <w:t>High School</w:t>
            </w:r>
          </w:p>
        </w:tc>
        <w:tc>
          <w:tcPr>
            <w:tcW w:w="1560" w:type="dxa"/>
          </w:tcPr>
          <w:p w:rsidR="00C76E6D" w:rsidRDefault="00913831">
            <w:pPr>
              <w:pStyle w:val="TableParagraph"/>
              <w:spacing w:before="97" w:line="276" w:lineRule="auto"/>
              <w:ind w:left="110" w:right="130"/>
              <w:rPr>
                <w:sz w:val="20"/>
              </w:rPr>
            </w:pPr>
            <w:r>
              <w:rPr>
                <w:sz w:val="20"/>
              </w:rPr>
              <w:t xml:space="preserve">King Philip </w:t>
            </w:r>
            <w:r>
              <w:rPr>
                <w:spacing w:val="-2"/>
                <w:sz w:val="20"/>
              </w:rPr>
              <w:t>Regional</w:t>
            </w:r>
            <w:r>
              <w:rPr>
                <w:spacing w:val="-12"/>
                <w:sz w:val="20"/>
              </w:rPr>
              <w:t xml:space="preserve"> </w:t>
            </w:r>
            <w:r>
              <w:rPr>
                <w:spacing w:val="-2"/>
                <w:sz w:val="20"/>
              </w:rPr>
              <w:t>High School</w:t>
            </w:r>
          </w:p>
        </w:tc>
        <w:tc>
          <w:tcPr>
            <w:tcW w:w="1560" w:type="dxa"/>
          </w:tcPr>
          <w:p w:rsidR="00C76E6D" w:rsidRDefault="00913831">
            <w:pPr>
              <w:pStyle w:val="TableParagraph"/>
              <w:spacing w:before="97" w:line="276" w:lineRule="auto"/>
              <w:ind w:left="110" w:right="130"/>
              <w:rPr>
                <w:sz w:val="20"/>
              </w:rPr>
            </w:pPr>
            <w:r>
              <w:rPr>
                <w:spacing w:val="-2"/>
                <w:sz w:val="20"/>
              </w:rPr>
              <w:t>Oliver</w:t>
            </w:r>
            <w:r>
              <w:rPr>
                <w:spacing w:val="-12"/>
                <w:sz w:val="20"/>
              </w:rPr>
              <w:t xml:space="preserve"> </w:t>
            </w:r>
            <w:r>
              <w:rPr>
                <w:spacing w:val="-2"/>
                <w:sz w:val="20"/>
              </w:rPr>
              <w:t xml:space="preserve">Ames </w:t>
            </w:r>
            <w:r>
              <w:rPr>
                <w:sz w:val="20"/>
              </w:rPr>
              <w:t>High</w:t>
            </w:r>
            <w:r>
              <w:rPr>
                <w:spacing w:val="-5"/>
                <w:sz w:val="20"/>
              </w:rPr>
              <w:t xml:space="preserve"> </w:t>
            </w:r>
            <w:r>
              <w:rPr>
                <w:spacing w:val="-2"/>
                <w:sz w:val="20"/>
              </w:rPr>
              <w:t>School</w:t>
            </w:r>
          </w:p>
        </w:tc>
        <w:tc>
          <w:tcPr>
            <w:tcW w:w="1560" w:type="dxa"/>
          </w:tcPr>
          <w:p w:rsidR="00C76E6D" w:rsidRDefault="00913831">
            <w:pPr>
              <w:pStyle w:val="TableParagraph"/>
              <w:spacing w:before="97" w:line="276" w:lineRule="auto"/>
              <w:ind w:left="110" w:right="130"/>
              <w:rPr>
                <w:sz w:val="20"/>
              </w:rPr>
            </w:pPr>
            <w:r>
              <w:rPr>
                <w:spacing w:val="-4"/>
                <w:sz w:val="20"/>
              </w:rPr>
              <w:t xml:space="preserve">Southeastern </w:t>
            </w:r>
            <w:r>
              <w:rPr>
                <w:spacing w:val="-2"/>
                <w:sz w:val="20"/>
              </w:rPr>
              <w:t>Regional Vocational School</w:t>
            </w:r>
          </w:p>
        </w:tc>
        <w:tc>
          <w:tcPr>
            <w:tcW w:w="1560" w:type="dxa"/>
          </w:tcPr>
          <w:p w:rsidR="00C76E6D" w:rsidRDefault="00913831">
            <w:pPr>
              <w:pStyle w:val="TableParagraph"/>
              <w:spacing w:before="96" w:line="276" w:lineRule="auto"/>
              <w:ind w:left="110" w:right="130"/>
              <w:rPr>
                <w:sz w:val="20"/>
              </w:rPr>
            </w:pPr>
            <w:r>
              <w:rPr>
                <w:spacing w:val="-4"/>
                <w:sz w:val="20"/>
              </w:rPr>
              <w:t xml:space="preserve">Westborough </w:t>
            </w:r>
            <w:r>
              <w:rPr>
                <w:sz w:val="20"/>
              </w:rPr>
              <w:t>High School</w:t>
            </w:r>
          </w:p>
        </w:tc>
      </w:tr>
      <w:tr w:rsidR="00C76E6D">
        <w:trPr>
          <w:trHeight w:val="1324"/>
        </w:trPr>
        <w:tc>
          <w:tcPr>
            <w:tcW w:w="1560" w:type="dxa"/>
          </w:tcPr>
          <w:p w:rsidR="00C76E6D" w:rsidRDefault="00913831">
            <w:pPr>
              <w:pStyle w:val="TableParagraph"/>
              <w:spacing w:before="98" w:line="276" w:lineRule="auto"/>
              <w:ind w:left="110" w:right="130"/>
              <w:rPr>
                <w:sz w:val="20"/>
              </w:rPr>
            </w:pPr>
            <w:r>
              <w:rPr>
                <w:spacing w:val="-2"/>
                <w:sz w:val="20"/>
              </w:rPr>
              <w:t>Bourne</w:t>
            </w:r>
            <w:r>
              <w:rPr>
                <w:spacing w:val="-15"/>
                <w:sz w:val="20"/>
              </w:rPr>
              <w:t xml:space="preserve"> </w:t>
            </w:r>
            <w:r>
              <w:rPr>
                <w:spacing w:val="-2"/>
                <w:sz w:val="20"/>
              </w:rPr>
              <w:t>High School</w:t>
            </w:r>
          </w:p>
        </w:tc>
        <w:tc>
          <w:tcPr>
            <w:tcW w:w="1560" w:type="dxa"/>
          </w:tcPr>
          <w:p w:rsidR="00C76E6D" w:rsidRDefault="00913831">
            <w:pPr>
              <w:pStyle w:val="TableParagraph"/>
              <w:spacing w:before="98" w:line="276" w:lineRule="auto"/>
              <w:ind w:left="110" w:right="130"/>
              <w:rPr>
                <w:sz w:val="20"/>
              </w:rPr>
            </w:pPr>
            <w:r>
              <w:rPr>
                <w:spacing w:val="-2"/>
                <w:sz w:val="20"/>
              </w:rPr>
              <w:t>Gardner</w:t>
            </w:r>
            <w:r>
              <w:rPr>
                <w:spacing w:val="-14"/>
                <w:sz w:val="20"/>
              </w:rPr>
              <w:t xml:space="preserve"> </w:t>
            </w:r>
            <w:r>
              <w:rPr>
                <w:spacing w:val="-2"/>
                <w:sz w:val="20"/>
              </w:rPr>
              <w:t>High School</w:t>
            </w:r>
          </w:p>
        </w:tc>
        <w:tc>
          <w:tcPr>
            <w:tcW w:w="1560" w:type="dxa"/>
          </w:tcPr>
          <w:p w:rsidR="00C76E6D" w:rsidRDefault="00913831">
            <w:pPr>
              <w:pStyle w:val="TableParagraph"/>
              <w:spacing w:before="98" w:line="276" w:lineRule="auto"/>
              <w:ind w:left="110" w:right="130"/>
              <w:rPr>
                <w:sz w:val="20"/>
              </w:rPr>
            </w:pPr>
            <w:r>
              <w:rPr>
                <w:sz w:val="20"/>
              </w:rPr>
              <w:t xml:space="preserve">Marie Philip School at The </w:t>
            </w:r>
            <w:r>
              <w:rPr>
                <w:spacing w:val="-2"/>
                <w:sz w:val="20"/>
              </w:rPr>
              <w:t>Learning</w:t>
            </w:r>
            <w:r>
              <w:rPr>
                <w:spacing w:val="-13"/>
                <w:sz w:val="20"/>
              </w:rPr>
              <w:t xml:space="preserve"> </w:t>
            </w:r>
            <w:r>
              <w:rPr>
                <w:spacing w:val="-2"/>
                <w:sz w:val="20"/>
              </w:rPr>
              <w:t xml:space="preserve">Center </w:t>
            </w:r>
            <w:r>
              <w:rPr>
                <w:sz w:val="20"/>
              </w:rPr>
              <w:t>for the Deaf</w:t>
            </w:r>
          </w:p>
        </w:tc>
        <w:tc>
          <w:tcPr>
            <w:tcW w:w="1560" w:type="dxa"/>
          </w:tcPr>
          <w:p w:rsidR="00C76E6D" w:rsidRDefault="00913831">
            <w:pPr>
              <w:pStyle w:val="TableParagraph"/>
              <w:spacing w:before="98" w:line="276" w:lineRule="auto"/>
              <w:ind w:left="110" w:right="130"/>
              <w:rPr>
                <w:sz w:val="20"/>
              </w:rPr>
            </w:pPr>
            <w:r>
              <w:rPr>
                <w:spacing w:val="-2"/>
                <w:sz w:val="20"/>
              </w:rPr>
              <w:t>Oxford</w:t>
            </w:r>
            <w:r>
              <w:rPr>
                <w:spacing w:val="-15"/>
                <w:sz w:val="20"/>
              </w:rPr>
              <w:t xml:space="preserve"> </w:t>
            </w:r>
            <w:r>
              <w:rPr>
                <w:spacing w:val="-2"/>
                <w:sz w:val="20"/>
              </w:rPr>
              <w:t>High School</w:t>
            </w:r>
          </w:p>
        </w:tc>
        <w:tc>
          <w:tcPr>
            <w:tcW w:w="1560" w:type="dxa"/>
          </w:tcPr>
          <w:p w:rsidR="00C76E6D" w:rsidRDefault="00913831">
            <w:pPr>
              <w:pStyle w:val="TableParagraph"/>
              <w:spacing w:before="98" w:line="276" w:lineRule="auto"/>
              <w:ind w:left="110" w:right="130"/>
              <w:rPr>
                <w:sz w:val="20"/>
              </w:rPr>
            </w:pPr>
            <w:r>
              <w:rPr>
                <w:spacing w:val="-2"/>
                <w:sz w:val="20"/>
              </w:rPr>
              <w:t>Southwick Regional</w:t>
            </w:r>
            <w:r>
              <w:rPr>
                <w:spacing w:val="-12"/>
                <w:sz w:val="20"/>
              </w:rPr>
              <w:t xml:space="preserve"> </w:t>
            </w:r>
            <w:r>
              <w:rPr>
                <w:spacing w:val="-2"/>
                <w:sz w:val="20"/>
              </w:rPr>
              <w:t>High School</w:t>
            </w:r>
          </w:p>
        </w:tc>
        <w:tc>
          <w:tcPr>
            <w:tcW w:w="1560" w:type="dxa"/>
          </w:tcPr>
          <w:p w:rsidR="00C76E6D" w:rsidRDefault="00913831">
            <w:pPr>
              <w:pStyle w:val="TableParagraph"/>
              <w:spacing w:before="98" w:line="276" w:lineRule="auto"/>
              <w:ind w:left="110" w:right="130"/>
              <w:rPr>
                <w:sz w:val="20"/>
              </w:rPr>
            </w:pPr>
            <w:r>
              <w:rPr>
                <w:spacing w:val="-2"/>
                <w:sz w:val="20"/>
              </w:rPr>
              <w:t>Westfield</w:t>
            </w:r>
            <w:r>
              <w:rPr>
                <w:spacing w:val="-13"/>
                <w:sz w:val="20"/>
              </w:rPr>
              <w:t xml:space="preserve"> </w:t>
            </w:r>
            <w:r>
              <w:rPr>
                <w:spacing w:val="-2"/>
                <w:sz w:val="20"/>
              </w:rPr>
              <w:t>High School</w:t>
            </w:r>
          </w:p>
        </w:tc>
      </w:tr>
    </w:tbl>
    <w:p w:rsidR="00C76E6D" w:rsidRDefault="00C76E6D">
      <w:pPr>
        <w:spacing w:line="276" w:lineRule="auto"/>
        <w:rPr>
          <w:sz w:val="20"/>
        </w:rPr>
        <w:sectPr w:rsidR="00C76E6D">
          <w:pgSz w:w="12240" w:h="15840"/>
          <w:pgMar w:top="960" w:right="960" w:bottom="1200" w:left="960" w:header="769" w:footer="1005" w:gutter="0"/>
          <w:cols w:space="720"/>
        </w:sectPr>
      </w:pPr>
    </w:p>
    <w:p w:rsidR="00C76E6D" w:rsidRDefault="00C76E6D">
      <w:pPr>
        <w:pStyle w:val="BodyText"/>
        <w:rPr>
          <w:b/>
          <w:sz w:val="20"/>
        </w:rPr>
      </w:pPr>
    </w:p>
    <w:p w:rsidR="00C76E6D" w:rsidRDefault="00C76E6D">
      <w:pPr>
        <w:pStyle w:val="BodyText"/>
        <w:spacing w:before="1"/>
        <w:rPr>
          <w:b/>
          <w:sz w:val="17"/>
        </w:rPr>
      </w:pPr>
    </w:p>
    <w:tbl>
      <w:tblPr>
        <w:tblW w:w="0" w:type="auto"/>
        <w:tblInd w:w="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60"/>
        <w:gridCol w:w="1560"/>
        <w:gridCol w:w="1560"/>
        <w:gridCol w:w="1560"/>
        <w:gridCol w:w="1560"/>
        <w:gridCol w:w="1560"/>
      </w:tblGrid>
      <w:tr w:rsidR="00C76E6D">
        <w:trPr>
          <w:trHeight w:val="1040"/>
        </w:trPr>
        <w:tc>
          <w:tcPr>
            <w:tcW w:w="1560" w:type="dxa"/>
          </w:tcPr>
          <w:p w:rsidR="00C76E6D" w:rsidRDefault="00913831">
            <w:pPr>
              <w:pStyle w:val="TableParagraph"/>
              <w:spacing w:before="97" w:line="276" w:lineRule="auto"/>
              <w:ind w:left="110" w:right="130"/>
              <w:rPr>
                <w:sz w:val="20"/>
              </w:rPr>
            </w:pPr>
            <w:r>
              <w:rPr>
                <w:spacing w:val="-2"/>
                <w:sz w:val="20"/>
              </w:rPr>
              <w:t>Boston</w:t>
            </w:r>
            <w:r>
              <w:rPr>
                <w:spacing w:val="-15"/>
                <w:sz w:val="20"/>
              </w:rPr>
              <w:t xml:space="preserve"> </w:t>
            </w:r>
            <w:r>
              <w:rPr>
                <w:spacing w:val="-2"/>
                <w:sz w:val="20"/>
              </w:rPr>
              <w:t>Day</w:t>
            </w:r>
            <w:r>
              <w:rPr>
                <w:spacing w:val="-10"/>
                <w:sz w:val="20"/>
              </w:rPr>
              <w:t xml:space="preserve"> </w:t>
            </w:r>
            <w:r>
              <w:rPr>
                <w:spacing w:val="-2"/>
                <w:sz w:val="20"/>
              </w:rPr>
              <w:t>and Evening Academy</w:t>
            </w:r>
          </w:p>
        </w:tc>
        <w:tc>
          <w:tcPr>
            <w:tcW w:w="1560" w:type="dxa"/>
          </w:tcPr>
          <w:p w:rsidR="00C76E6D" w:rsidRDefault="00913831">
            <w:pPr>
              <w:pStyle w:val="TableParagraph"/>
              <w:spacing w:before="97" w:line="276" w:lineRule="auto"/>
              <w:ind w:left="109" w:right="130"/>
              <w:rPr>
                <w:sz w:val="20"/>
              </w:rPr>
            </w:pPr>
            <w:r>
              <w:rPr>
                <w:spacing w:val="-2"/>
                <w:sz w:val="20"/>
              </w:rPr>
              <w:t>Gibbons</w:t>
            </w:r>
            <w:r>
              <w:rPr>
                <w:spacing w:val="-16"/>
                <w:sz w:val="20"/>
              </w:rPr>
              <w:t xml:space="preserve"> </w:t>
            </w:r>
            <w:r>
              <w:rPr>
                <w:spacing w:val="-2"/>
                <w:sz w:val="20"/>
              </w:rPr>
              <w:t>Middle School</w:t>
            </w:r>
          </w:p>
        </w:tc>
        <w:tc>
          <w:tcPr>
            <w:tcW w:w="1560" w:type="dxa"/>
          </w:tcPr>
          <w:p w:rsidR="00C76E6D" w:rsidRDefault="00913831">
            <w:pPr>
              <w:pStyle w:val="TableParagraph"/>
              <w:spacing w:before="97" w:line="276" w:lineRule="auto"/>
              <w:ind w:left="110" w:right="306"/>
              <w:rPr>
                <w:sz w:val="20"/>
              </w:rPr>
            </w:pPr>
            <w:r>
              <w:rPr>
                <w:spacing w:val="-2"/>
                <w:sz w:val="20"/>
              </w:rPr>
              <w:t xml:space="preserve">Masconomet </w:t>
            </w:r>
            <w:r>
              <w:rPr>
                <w:sz w:val="20"/>
              </w:rPr>
              <w:t>Regional</w:t>
            </w:r>
            <w:r>
              <w:rPr>
                <w:spacing w:val="-12"/>
                <w:sz w:val="20"/>
              </w:rPr>
              <w:t xml:space="preserve"> </w:t>
            </w:r>
            <w:r>
              <w:rPr>
                <w:sz w:val="20"/>
              </w:rPr>
              <w:t xml:space="preserve">High </w:t>
            </w:r>
            <w:r>
              <w:rPr>
                <w:spacing w:val="-2"/>
                <w:sz w:val="20"/>
              </w:rPr>
              <w:t>School</w:t>
            </w:r>
          </w:p>
        </w:tc>
        <w:tc>
          <w:tcPr>
            <w:tcW w:w="1560" w:type="dxa"/>
          </w:tcPr>
          <w:p w:rsidR="00C76E6D" w:rsidRDefault="00913831">
            <w:pPr>
              <w:pStyle w:val="TableParagraph"/>
              <w:spacing w:before="97" w:line="276" w:lineRule="auto"/>
              <w:ind w:left="110" w:right="130"/>
              <w:rPr>
                <w:sz w:val="20"/>
              </w:rPr>
            </w:pPr>
            <w:r>
              <w:rPr>
                <w:spacing w:val="-2"/>
                <w:sz w:val="20"/>
              </w:rPr>
              <w:t>Pentucket Regional</w:t>
            </w:r>
            <w:r>
              <w:rPr>
                <w:spacing w:val="-12"/>
                <w:sz w:val="20"/>
              </w:rPr>
              <w:t xml:space="preserve"> </w:t>
            </w:r>
            <w:r>
              <w:rPr>
                <w:spacing w:val="-2"/>
                <w:sz w:val="20"/>
              </w:rPr>
              <w:t>High School</w:t>
            </w:r>
          </w:p>
        </w:tc>
        <w:tc>
          <w:tcPr>
            <w:tcW w:w="1560" w:type="dxa"/>
          </w:tcPr>
          <w:p w:rsidR="00C76E6D" w:rsidRDefault="00913831">
            <w:pPr>
              <w:pStyle w:val="TableParagraph"/>
              <w:spacing w:before="97" w:line="276" w:lineRule="auto"/>
              <w:ind w:left="110" w:right="130"/>
              <w:rPr>
                <w:sz w:val="20"/>
              </w:rPr>
            </w:pPr>
            <w:r>
              <w:rPr>
                <w:spacing w:val="-2"/>
                <w:sz w:val="20"/>
              </w:rPr>
              <w:t>Springfield International Charter</w:t>
            </w:r>
            <w:r>
              <w:rPr>
                <w:spacing w:val="-13"/>
                <w:sz w:val="20"/>
              </w:rPr>
              <w:t xml:space="preserve"> </w:t>
            </w:r>
            <w:r>
              <w:rPr>
                <w:spacing w:val="-2"/>
                <w:sz w:val="20"/>
              </w:rPr>
              <w:t>School</w:t>
            </w:r>
          </w:p>
        </w:tc>
        <w:tc>
          <w:tcPr>
            <w:tcW w:w="1560" w:type="dxa"/>
          </w:tcPr>
          <w:p w:rsidR="00C76E6D" w:rsidRDefault="00913831">
            <w:pPr>
              <w:pStyle w:val="TableParagraph"/>
              <w:spacing w:before="97" w:line="276" w:lineRule="auto"/>
              <w:ind w:left="110" w:right="664"/>
              <w:jc w:val="both"/>
              <w:rPr>
                <w:sz w:val="20"/>
              </w:rPr>
            </w:pPr>
            <w:r>
              <w:rPr>
                <w:spacing w:val="-4"/>
                <w:sz w:val="20"/>
              </w:rPr>
              <w:t xml:space="preserve">Westfield </w:t>
            </w:r>
            <w:r>
              <w:rPr>
                <w:spacing w:val="-2"/>
                <w:sz w:val="20"/>
              </w:rPr>
              <w:t>Technical Academy</w:t>
            </w:r>
          </w:p>
        </w:tc>
      </w:tr>
      <w:tr w:rsidR="00C76E6D">
        <w:trPr>
          <w:trHeight w:val="1321"/>
        </w:trPr>
        <w:tc>
          <w:tcPr>
            <w:tcW w:w="1560" w:type="dxa"/>
          </w:tcPr>
          <w:p w:rsidR="00C76E6D" w:rsidRDefault="00913831">
            <w:pPr>
              <w:pStyle w:val="TableParagraph"/>
              <w:spacing w:before="97" w:line="276" w:lineRule="auto"/>
              <w:ind w:left="109" w:right="130"/>
              <w:rPr>
                <w:sz w:val="20"/>
              </w:rPr>
            </w:pPr>
            <w:r>
              <w:rPr>
                <w:spacing w:val="-2"/>
                <w:sz w:val="20"/>
              </w:rPr>
              <w:t>Bridgewater- Raynham Regional</w:t>
            </w:r>
            <w:r>
              <w:rPr>
                <w:spacing w:val="-12"/>
                <w:sz w:val="20"/>
              </w:rPr>
              <w:t xml:space="preserve"> </w:t>
            </w:r>
            <w:r>
              <w:rPr>
                <w:spacing w:val="-2"/>
                <w:sz w:val="20"/>
              </w:rPr>
              <w:t>High School</w:t>
            </w:r>
          </w:p>
        </w:tc>
        <w:tc>
          <w:tcPr>
            <w:tcW w:w="1560" w:type="dxa"/>
          </w:tcPr>
          <w:p w:rsidR="00C76E6D" w:rsidRDefault="00913831">
            <w:pPr>
              <w:pStyle w:val="TableParagraph"/>
              <w:spacing w:before="97" w:line="276" w:lineRule="auto"/>
              <w:ind w:left="109" w:right="89"/>
              <w:rPr>
                <w:sz w:val="20"/>
              </w:rPr>
            </w:pPr>
            <w:r>
              <w:rPr>
                <w:spacing w:val="-2"/>
                <w:sz w:val="20"/>
              </w:rPr>
              <w:t>Greater Lawrence Technical</w:t>
            </w:r>
            <w:r>
              <w:rPr>
                <w:spacing w:val="-13"/>
                <w:sz w:val="20"/>
              </w:rPr>
              <w:t xml:space="preserve"> </w:t>
            </w:r>
            <w:r>
              <w:rPr>
                <w:spacing w:val="-2"/>
                <w:sz w:val="20"/>
              </w:rPr>
              <w:t>School</w:t>
            </w:r>
          </w:p>
        </w:tc>
        <w:tc>
          <w:tcPr>
            <w:tcW w:w="1560" w:type="dxa"/>
          </w:tcPr>
          <w:p w:rsidR="00C76E6D" w:rsidRDefault="00913831">
            <w:pPr>
              <w:pStyle w:val="TableParagraph"/>
              <w:spacing w:before="97" w:line="276" w:lineRule="auto"/>
              <w:ind w:left="110" w:right="130"/>
              <w:rPr>
                <w:sz w:val="20"/>
              </w:rPr>
            </w:pPr>
            <w:r>
              <w:rPr>
                <w:spacing w:val="-2"/>
                <w:sz w:val="20"/>
              </w:rPr>
              <w:t>Millis</w:t>
            </w:r>
            <w:r>
              <w:rPr>
                <w:spacing w:val="-12"/>
                <w:sz w:val="20"/>
              </w:rPr>
              <w:t xml:space="preserve"> </w:t>
            </w:r>
            <w:r>
              <w:rPr>
                <w:spacing w:val="-2"/>
                <w:sz w:val="20"/>
              </w:rPr>
              <w:t>High School</w:t>
            </w:r>
          </w:p>
        </w:tc>
        <w:tc>
          <w:tcPr>
            <w:tcW w:w="1560" w:type="dxa"/>
          </w:tcPr>
          <w:p w:rsidR="00C76E6D" w:rsidRDefault="00913831">
            <w:pPr>
              <w:pStyle w:val="TableParagraph"/>
              <w:spacing w:before="97" w:line="276" w:lineRule="auto"/>
              <w:ind w:left="110" w:right="89"/>
              <w:rPr>
                <w:sz w:val="20"/>
              </w:rPr>
            </w:pPr>
            <w:r>
              <w:rPr>
                <w:spacing w:val="-2"/>
                <w:sz w:val="20"/>
              </w:rPr>
              <w:t>Quabbin Regional</w:t>
            </w:r>
            <w:r>
              <w:rPr>
                <w:spacing w:val="-14"/>
                <w:sz w:val="20"/>
              </w:rPr>
              <w:t xml:space="preserve"> </w:t>
            </w:r>
            <w:r>
              <w:rPr>
                <w:spacing w:val="-2"/>
                <w:sz w:val="20"/>
              </w:rPr>
              <w:t>Middle School</w:t>
            </w:r>
          </w:p>
        </w:tc>
        <w:tc>
          <w:tcPr>
            <w:tcW w:w="1560" w:type="dxa"/>
          </w:tcPr>
          <w:p w:rsidR="00C76E6D" w:rsidRDefault="00913831">
            <w:pPr>
              <w:pStyle w:val="TableParagraph"/>
              <w:spacing w:before="97" w:line="276" w:lineRule="auto"/>
              <w:ind w:left="110" w:right="89"/>
              <w:rPr>
                <w:sz w:val="20"/>
              </w:rPr>
            </w:pPr>
            <w:r>
              <w:rPr>
                <w:sz w:val="20"/>
              </w:rPr>
              <w:t xml:space="preserve">Susan B. </w:t>
            </w:r>
            <w:r>
              <w:rPr>
                <w:spacing w:val="-2"/>
                <w:sz w:val="20"/>
              </w:rPr>
              <w:t>Anthony</w:t>
            </w:r>
            <w:r>
              <w:rPr>
                <w:spacing w:val="-15"/>
                <w:sz w:val="20"/>
              </w:rPr>
              <w:t xml:space="preserve"> </w:t>
            </w:r>
            <w:r>
              <w:rPr>
                <w:spacing w:val="-2"/>
                <w:sz w:val="20"/>
              </w:rPr>
              <w:t>Middle School</w:t>
            </w:r>
          </w:p>
        </w:tc>
        <w:tc>
          <w:tcPr>
            <w:tcW w:w="1560" w:type="dxa"/>
          </w:tcPr>
          <w:p w:rsidR="00C76E6D" w:rsidRDefault="00913831">
            <w:pPr>
              <w:pStyle w:val="TableParagraph"/>
              <w:spacing w:before="97" w:line="276" w:lineRule="auto"/>
              <w:ind w:left="110" w:right="130"/>
              <w:rPr>
                <w:sz w:val="20"/>
              </w:rPr>
            </w:pPr>
            <w:r>
              <w:rPr>
                <w:spacing w:val="-2"/>
                <w:sz w:val="20"/>
              </w:rPr>
              <w:t>Westwood</w:t>
            </w:r>
            <w:r>
              <w:rPr>
                <w:spacing w:val="-13"/>
                <w:sz w:val="20"/>
              </w:rPr>
              <w:t xml:space="preserve"> </w:t>
            </w:r>
            <w:r>
              <w:rPr>
                <w:spacing w:val="-2"/>
                <w:sz w:val="20"/>
              </w:rPr>
              <w:t>High School</w:t>
            </w:r>
          </w:p>
        </w:tc>
      </w:tr>
      <w:tr w:rsidR="00C76E6D">
        <w:trPr>
          <w:trHeight w:val="1603"/>
        </w:trPr>
        <w:tc>
          <w:tcPr>
            <w:tcW w:w="1560" w:type="dxa"/>
          </w:tcPr>
          <w:p w:rsidR="00C76E6D" w:rsidRDefault="00913831">
            <w:pPr>
              <w:pStyle w:val="TableParagraph"/>
              <w:spacing w:before="98" w:line="276" w:lineRule="auto"/>
              <w:ind w:left="110" w:right="130"/>
              <w:rPr>
                <w:sz w:val="20"/>
              </w:rPr>
            </w:pPr>
            <w:r>
              <w:rPr>
                <w:spacing w:val="-2"/>
                <w:sz w:val="20"/>
              </w:rPr>
              <w:t>Burncoat</w:t>
            </w:r>
            <w:r>
              <w:rPr>
                <w:spacing w:val="-15"/>
                <w:sz w:val="20"/>
              </w:rPr>
              <w:t xml:space="preserve"> </w:t>
            </w:r>
            <w:r>
              <w:rPr>
                <w:spacing w:val="-2"/>
                <w:sz w:val="20"/>
              </w:rPr>
              <w:t>High School</w:t>
            </w:r>
          </w:p>
        </w:tc>
        <w:tc>
          <w:tcPr>
            <w:tcW w:w="1560" w:type="dxa"/>
          </w:tcPr>
          <w:p w:rsidR="00C76E6D" w:rsidRDefault="00913831">
            <w:pPr>
              <w:pStyle w:val="TableParagraph"/>
              <w:spacing w:before="98" w:line="276" w:lineRule="auto"/>
              <w:ind w:left="110" w:right="227"/>
              <w:jc w:val="both"/>
              <w:rPr>
                <w:sz w:val="20"/>
              </w:rPr>
            </w:pPr>
            <w:r>
              <w:rPr>
                <w:sz w:val="20"/>
              </w:rPr>
              <w:t>Greater</w:t>
            </w:r>
            <w:r>
              <w:rPr>
                <w:spacing w:val="-12"/>
                <w:sz w:val="20"/>
              </w:rPr>
              <w:t xml:space="preserve"> </w:t>
            </w:r>
            <w:r>
              <w:rPr>
                <w:sz w:val="20"/>
              </w:rPr>
              <w:t>Lowell Technical</w:t>
            </w:r>
            <w:r>
              <w:rPr>
                <w:spacing w:val="-12"/>
                <w:sz w:val="20"/>
              </w:rPr>
              <w:t xml:space="preserve"> </w:t>
            </w:r>
            <w:r>
              <w:rPr>
                <w:sz w:val="20"/>
              </w:rPr>
              <w:t xml:space="preserve">High </w:t>
            </w:r>
            <w:r>
              <w:rPr>
                <w:spacing w:val="-2"/>
                <w:sz w:val="20"/>
              </w:rPr>
              <w:t>School</w:t>
            </w:r>
          </w:p>
        </w:tc>
        <w:tc>
          <w:tcPr>
            <w:tcW w:w="1560" w:type="dxa"/>
          </w:tcPr>
          <w:p w:rsidR="00C76E6D" w:rsidRDefault="00913831">
            <w:pPr>
              <w:pStyle w:val="TableParagraph"/>
              <w:spacing w:before="98" w:line="276" w:lineRule="auto"/>
              <w:ind w:left="110" w:right="130"/>
              <w:rPr>
                <w:sz w:val="20"/>
              </w:rPr>
            </w:pPr>
            <w:r>
              <w:rPr>
                <w:spacing w:val="-2"/>
                <w:sz w:val="20"/>
              </w:rPr>
              <w:t>Minnechaug Regional</w:t>
            </w:r>
            <w:r>
              <w:rPr>
                <w:spacing w:val="-12"/>
                <w:sz w:val="20"/>
              </w:rPr>
              <w:t xml:space="preserve"> </w:t>
            </w:r>
            <w:r>
              <w:rPr>
                <w:spacing w:val="-2"/>
                <w:sz w:val="20"/>
              </w:rPr>
              <w:t>High School</w:t>
            </w:r>
          </w:p>
        </w:tc>
        <w:tc>
          <w:tcPr>
            <w:tcW w:w="1560" w:type="dxa"/>
          </w:tcPr>
          <w:p w:rsidR="00C76E6D" w:rsidRDefault="00913831">
            <w:pPr>
              <w:pStyle w:val="TableParagraph"/>
              <w:spacing w:before="98" w:line="276" w:lineRule="auto"/>
              <w:ind w:left="110" w:right="130"/>
              <w:rPr>
                <w:sz w:val="20"/>
              </w:rPr>
            </w:pPr>
            <w:r>
              <w:rPr>
                <w:spacing w:val="-2"/>
                <w:sz w:val="20"/>
              </w:rPr>
              <w:t>Reading Memorial</w:t>
            </w:r>
            <w:r>
              <w:rPr>
                <w:spacing w:val="-13"/>
                <w:sz w:val="20"/>
              </w:rPr>
              <w:t xml:space="preserve"> </w:t>
            </w:r>
            <w:r>
              <w:rPr>
                <w:spacing w:val="-2"/>
                <w:sz w:val="20"/>
              </w:rPr>
              <w:t>High School</w:t>
            </w:r>
          </w:p>
        </w:tc>
        <w:tc>
          <w:tcPr>
            <w:tcW w:w="1560" w:type="dxa"/>
          </w:tcPr>
          <w:p w:rsidR="00C76E6D" w:rsidRDefault="00913831">
            <w:pPr>
              <w:pStyle w:val="TableParagraph"/>
              <w:spacing w:before="99"/>
              <w:ind w:left="110"/>
              <w:rPr>
                <w:sz w:val="20"/>
              </w:rPr>
            </w:pPr>
            <w:r>
              <w:rPr>
                <w:spacing w:val="-2"/>
                <w:sz w:val="20"/>
              </w:rPr>
              <w:t>TECCA</w:t>
            </w:r>
          </w:p>
          <w:p w:rsidR="00C76E6D" w:rsidRDefault="00913831">
            <w:pPr>
              <w:pStyle w:val="TableParagraph"/>
              <w:spacing w:before="37" w:line="276" w:lineRule="auto"/>
              <w:ind w:left="110" w:right="130"/>
              <w:rPr>
                <w:sz w:val="20"/>
              </w:rPr>
            </w:pPr>
            <w:r>
              <w:rPr>
                <w:spacing w:val="-2"/>
                <w:sz w:val="20"/>
              </w:rPr>
              <w:t xml:space="preserve">Connections Academy </w:t>
            </w:r>
            <w:r>
              <w:rPr>
                <w:spacing w:val="-4"/>
                <w:sz w:val="20"/>
              </w:rPr>
              <w:t xml:space="preserve">Commonwealth </w:t>
            </w:r>
            <w:r>
              <w:rPr>
                <w:sz w:val="20"/>
              </w:rPr>
              <w:t>Virtual School</w:t>
            </w:r>
          </w:p>
        </w:tc>
        <w:tc>
          <w:tcPr>
            <w:tcW w:w="1560" w:type="dxa"/>
          </w:tcPr>
          <w:p w:rsidR="00C76E6D" w:rsidRDefault="00913831">
            <w:pPr>
              <w:pStyle w:val="TableParagraph"/>
              <w:spacing w:before="98" w:line="276" w:lineRule="auto"/>
              <w:ind w:left="110" w:right="130"/>
              <w:rPr>
                <w:sz w:val="20"/>
              </w:rPr>
            </w:pPr>
            <w:r>
              <w:rPr>
                <w:spacing w:val="-2"/>
                <w:sz w:val="20"/>
              </w:rPr>
              <w:t>Whittier Regional Technical</w:t>
            </w:r>
            <w:r>
              <w:rPr>
                <w:spacing w:val="-13"/>
                <w:sz w:val="20"/>
              </w:rPr>
              <w:t xml:space="preserve"> </w:t>
            </w:r>
            <w:r>
              <w:rPr>
                <w:spacing w:val="-2"/>
                <w:sz w:val="20"/>
              </w:rPr>
              <w:t>High School</w:t>
            </w:r>
          </w:p>
        </w:tc>
      </w:tr>
      <w:tr w:rsidR="00C76E6D">
        <w:trPr>
          <w:trHeight w:val="1042"/>
        </w:trPr>
        <w:tc>
          <w:tcPr>
            <w:tcW w:w="1560" w:type="dxa"/>
          </w:tcPr>
          <w:p w:rsidR="00C76E6D" w:rsidRDefault="00913831">
            <w:pPr>
              <w:pStyle w:val="TableParagraph"/>
              <w:spacing w:before="98" w:line="276" w:lineRule="auto"/>
              <w:ind w:left="110" w:right="130"/>
              <w:rPr>
                <w:sz w:val="20"/>
              </w:rPr>
            </w:pPr>
            <w:r>
              <w:rPr>
                <w:spacing w:val="-2"/>
                <w:sz w:val="20"/>
              </w:rPr>
              <w:t>Canton</w:t>
            </w:r>
            <w:r>
              <w:rPr>
                <w:spacing w:val="-15"/>
                <w:sz w:val="20"/>
              </w:rPr>
              <w:t xml:space="preserve"> </w:t>
            </w:r>
            <w:r>
              <w:rPr>
                <w:spacing w:val="-2"/>
                <w:sz w:val="20"/>
              </w:rPr>
              <w:t>High School</w:t>
            </w:r>
          </w:p>
        </w:tc>
        <w:tc>
          <w:tcPr>
            <w:tcW w:w="1560" w:type="dxa"/>
          </w:tcPr>
          <w:p w:rsidR="00C76E6D" w:rsidRDefault="00913831">
            <w:pPr>
              <w:pStyle w:val="TableParagraph"/>
              <w:spacing w:before="98" w:line="276" w:lineRule="auto"/>
              <w:ind w:left="110" w:right="130"/>
              <w:rPr>
                <w:sz w:val="20"/>
              </w:rPr>
            </w:pPr>
            <w:r>
              <w:rPr>
                <w:spacing w:val="-2"/>
                <w:sz w:val="20"/>
              </w:rPr>
              <w:t>Hanover</w:t>
            </w:r>
            <w:r>
              <w:rPr>
                <w:spacing w:val="-12"/>
                <w:sz w:val="20"/>
              </w:rPr>
              <w:t xml:space="preserve"> </w:t>
            </w:r>
            <w:r>
              <w:rPr>
                <w:spacing w:val="-2"/>
                <w:sz w:val="20"/>
              </w:rPr>
              <w:t>High School</w:t>
            </w:r>
          </w:p>
        </w:tc>
        <w:tc>
          <w:tcPr>
            <w:tcW w:w="1560" w:type="dxa"/>
          </w:tcPr>
          <w:p w:rsidR="00C76E6D" w:rsidRDefault="00913831">
            <w:pPr>
              <w:pStyle w:val="TableParagraph"/>
              <w:spacing w:before="98" w:line="276" w:lineRule="auto"/>
              <w:ind w:left="110" w:right="89"/>
              <w:rPr>
                <w:sz w:val="20"/>
              </w:rPr>
            </w:pPr>
            <w:r>
              <w:rPr>
                <w:spacing w:val="-2"/>
                <w:sz w:val="20"/>
              </w:rPr>
              <w:t>Mount</w:t>
            </w:r>
            <w:r>
              <w:rPr>
                <w:spacing w:val="-12"/>
                <w:sz w:val="20"/>
              </w:rPr>
              <w:t xml:space="preserve"> </w:t>
            </w:r>
            <w:r>
              <w:rPr>
                <w:spacing w:val="-2"/>
                <w:sz w:val="20"/>
              </w:rPr>
              <w:t xml:space="preserve">Greylock </w:t>
            </w:r>
            <w:r>
              <w:rPr>
                <w:sz w:val="20"/>
              </w:rPr>
              <w:t xml:space="preserve">Regional High </w:t>
            </w:r>
            <w:r>
              <w:rPr>
                <w:spacing w:val="-2"/>
                <w:sz w:val="20"/>
              </w:rPr>
              <w:t>School</w:t>
            </w:r>
          </w:p>
        </w:tc>
        <w:tc>
          <w:tcPr>
            <w:tcW w:w="1560" w:type="dxa"/>
          </w:tcPr>
          <w:p w:rsidR="00C76E6D" w:rsidRDefault="00913831">
            <w:pPr>
              <w:pStyle w:val="TableParagraph"/>
              <w:spacing w:before="98" w:line="276" w:lineRule="auto"/>
              <w:ind w:left="110" w:right="130"/>
              <w:rPr>
                <w:sz w:val="20"/>
              </w:rPr>
            </w:pPr>
            <w:r>
              <w:rPr>
                <w:spacing w:val="-2"/>
                <w:sz w:val="20"/>
              </w:rPr>
              <w:t>Sarah</w:t>
            </w:r>
            <w:r>
              <w:rPr>
                <w:spacing w:val="-12"/>
                <w:sz w:val="20"/>
              </w:rPr>
              <w:t xml:space="preserve"> </w:t>
            </w:r>
            <w:r>
              <w:rPr>
                <w:spacing w:val="-2"/>
                <w:sz w:val="20"/>
              </w:rPr>
              <w:t xml:space="preserve">Gibbons </w:t>
            </w:r>
            <w:r>
              <w:rPr>
                <w:sz w:val="20"/>
              </w:rPr>
              <w:t>Middle</w:t>
            </w:r>
            <w:r>
              <w:rPr>
                <w:spacing w:val="-6"/>
                <w:sz w:val="20"/>
              </w:rPr>
              <w:t xml:space="preserve"> </w:t>
            </w:r>
            <w:r>
              <w:rPr>
                <w:spacing w:val="-2"/>
                <w:sz w:val="20"/>
              </w:rPr>
              <w:t>School</w:t>
            </w:r>
          </w:p>
        </w:tc>
        <w:tc>
          <w:tcPr>
            <w:tcW w:w="1560" w:type="dxa"/>
          </w:tcPr>
          <w:p w:rsidR="00C76E6D" w:rsidRDefault="00913831">
            <w:pPr>
              <w:pStyle w:val="TableParagraph"/>
              <w:spacing w:before="98" w:line="276" w:lineRule="auto"/>
              <w:ind w:left="110" w:right="130"/>
              <w:rPr>
                <w:sz w:val="20"/>
              </w:rPr>
            </w:pPr>
            <w:r>
              <w:rPr>
                <w:spacing w:val="-2"/>
                <w:sz w:val="20"/>
              </w:rPr>
              <w:t>The</w:t>
            </w:r>
            <w:r>
              <w:rPr>
                <w:spacing w:val="-14"/>
                <w:sz w:val="20"/>
              </w:rPr>
              <w:t xml:space="preserve"> </w:t>
            </w:r>
            <w:r>
              <w:rPr>
                <w:spacing w:val="-2"/>
                <w:sz w:val="20"/>
              </w:rPr>
              <w:t>Bromfield School</w:t>
            </w:r>
          </w:p>
        </w:tc>
        <w:tc>
          <w:tcPr>
            <w:tcW w:w="1560" w:type="dxa"/>
          </w:tcPr>
          <w:p w:rsidR="00C76E6D" w:rsidRDefault="00913831">
            <w:pPr>
              <w:pStyle w:val="TableParagraph"/>
              <w:spacing w:before="98" w:line="276" w:lineRule="auto"/>
              <w:ind w:left="110" w:right="130"/>
              <w:rPr>
                <w:sz w:val="20"/>
              </w:rPr>
            </w:pPr>
            <w:r>
              <w:rPr>
                <w:spacing w:val="-2"/>
                <w:sz w:val="20"/>
              </w:rPr>
              <w:t>Woburn Memorial</w:t>
            </w:r>
            <w:r>
              <w:rPr>
                <w:spacing w:val="-13"/>
                <w:sz w:val="20"/>
              </w:rPr>
              <w:t xml:space="preserve"> </w:t>
            </w:r>
            <w:r>
              <w:rPr>
                <w:spacing w:val="-2"/>
                <w:sz w:val="20"/>
              </w:rPr>
              <w:t>High School</w:t>
            </w:r>
          </w:p>
        </w:tc>
      </w:tr>
      <w:tr w:rsidR="00C76E6D">
        <w:trPr>
          <w:trHeight w:val="1043"/>
        </w:trPr>
        <w:tc>
          <w:tcPr>
            <w:tcW w:w="1560" w:type="dxa"/>
          </w:tcPr>
          <w:p w:rsidR="00C76E6D" w:rsidRDefault="00913831">
            <w:pPr>
              <w:pStyle w:val="TableParagraph"/>
              <w:spacing w:before="97" w:line="276" w:lineRule="auto"/>
              <w:ind w:left="110" w:right="130"/>
              <w:rPr>
                <w:sz w:val="20"/>
              </w:rPr>
            </w:pPr>
            <w:r>
              <w:rPr>
                <w:spacing w:val="-4"/>
                <w:sz w:val="20"/>
              </w:rPr>
              <w:t xml:space="preserve">East Longmeadow </w:t>
            </w:r>
            <w:r>
              <w:rPr>
                <w:sz w:val="20"/>
              </w:rPr>
              <w:t>High School</w:t>
            </w:r>
          </w:p>
        </w:tc>
        <w:tc>
          <w:tcPr>
            <w:tcW w:w="1560" w:type="dxa"/>
          </w:tcPr>
          <w:p w:rsidR="00C76E6D" w:rsidRDefault="00913831">
            <w:pPr>
              <w:pStyle w:val="TableParagraph"/>
              <w:spacing w:before="97" w:line="276" w:lineRule="auto"/>
              <w:ind w:left="110" w:right="130" w:hanging="1"/>
              <w:rPr>
                <w:sz w:val="20"/>
              </w:rPr>
            </w:pPr>
            <w:r>
              <w:rPr>
                <w:spacing w:val="-2"/>
                <w:sz w:val="20"/>
              </w:rPr>
              <w:t>Holliston</w:t>
            </w:r>
            <w:r>
              <w:rPr>
                <w:spacing w:val="-13"/>
                <w:sz w:val="20"/>
              </w:rPr>
              <w:t xml:space="preserve"> </w:t>
            </w:r>
            <w:r>
              <w:rPr>
                <w:spacing w:val="-2"/>
                <w:sz w:val="20"/>
              </w:rPr>
              <w:t>High School</w:t>
            </w:r>
          </w:p>
        </w:tc>
        <w:tc>
          <w:tcPr>
            <w:tcW w:w="1560" w:type="dxa"/>
          </w:tcPr>
          <w:p w:rsidR="00C76E6D" w:rsidRDefault="00913831">
            <w:pPr>
              <w:pStyle w:val="TableParagraph"/>
              <w:spacing w:before="97" w:line="276" w:lineRule="auto"/>
              <w:ind w:left="110" w:right="130"/>
              <w:rPr>
                <w:sz w:val="20"/>
              </w:rPr>
            </w:pPr>
            <w:r>
              <w:rPr>
                <w:spacing w:val="-2"/>
                <w:sz w:val="20"/>
              </w:rPr>
              <w:t>Nashoba Regional</w:t>
            </w:r>
            <w:r>
              <w:rPr>
                <w:spacing w:val="-12"/>
                <w:sz w:val="20"/>
              </w:rPr>
              <w:t xml:space="preserve"> </w:t>
            </w:r>
            <w:r>
              <w:rPr>
                <w:spacing w:val="-2"/>
                <w:sz w:val="20"/>
              </w:rPr>
              <w:t>High School</w:t>
            </w:r>
          </w:p>
        </w:tc>
        <w:tc>
          <w:tcPr>
            <w:tcW w:w="1560" w:type="dxa"/>
          </w:tcPr>
          <w:p w:rsidR="00C76E6D" w:rsidRDefault="00913831">
            <w:pPr>
              <w:pStyle w:val="TableParagraph"/>
              <w:spacing w:before="97" w:line="276" w:lineRule="auto"/>
              <w:ind w:left="110" w:right="130"/>
              <w:rPr>
                <w:sz w:val="20"/>
              </w:rPr>
            </w:pPr>
            <w:r>
              <w:rPr>
                <w:spacing w:val="-2"/>
                <w:sz w:val="20"/>
              </w:rPr>
              <w:t>Saugus</w:t>
            </w:r>
            <w:r>
              <w:rPr>
                <w:spacing w:val="-15"/>
                <w:sz w:val="20"/>
              </w:rPr>
              <w:t xml:space="preserve"> </w:t>
            </w:r>
            <w:r>
              <w:rPr>
                <w:spacing w:val="-2"/>
                <w:sz w:val="20"/>
              </w:rPr>
              <w:t>High School</w:t>
            </w:r>
          </w:p>
        </w:tc>
        <w:tc>
          <w:tcPr>
            <w:tcW w:w="1560" w:type="dxa"/>
          </w:tcPr>
          <w:p w:rsidR="00C76E6D" w:rsidRDefault="00913831">
            <w:pPr>
              <w:pStyle w:val="TableParagraph"/>
              <w:spacing w:before="97" w:line="276" w:lineRule="auto"/>
              <w:ind w:left="110" w:right="130"/>
              <w:rPr>
                <w:sz w:val="20"/>
              </w:rPr>
            </w:pPr>
            <w:r>
              <w:rPr>
                <w:spacing w:val="-2"/>
                <w:sz w:val="20"/>
              </w:rPr>
              <w:t>The</w:t>
            </w:r>
            <w:r>
              <w:rPr>
                <w:spacing w:val="-12"/>
                <w:sz w:val="20"/>
              </w:rPr>
              <w:t xml:space="preserve"> </w:t>
            </w:r>
            <w:r>
              <w:rPr>
                <w:spacing w:val="-2"/>
                <w:sz w:val="20"/>
              </w:rPr>
              <w:t>Gifford School</w:t>
            </w:r>
          </w:p>
        </w:tc>
        <w:tc>
          <w:tcPr>
            <w:tcW w:w="1560" w:type="dxa"/>
          </w:tcPr>
          <w:p w:rsidR="00C76E6D" w:rsidRDefault="00C76E6D">
            <w:pPr>
              <w:pStyle w:val="TableParagraph"/>
              <w:rPr>
                <w:rFonts w:ascii="Times New Roman"/>
                <w:sz w:val="20"/>
              </w:rPr>
            </w:pPr>
          </w:p>
        </w:tc>
      </w:tr>
    </w:tbl>
    <w:p w:rsidR="00C76E6D" w:rsidRDefault="00C76E6D">
      <w:pPr>
        <w:pStyle w:val="BodyText"/>
        <w:rPr>
          <w:b/>
          <w:sz w:val="20"/>
        </w:rPr>
      </w:pPr>
    </w:p>
    <w:p w:rsidR="00C76E6D" w:rsidRDefault="00C76E6D">
      <w:pPr>
        <w:pStyle w:val="BodyText"/>
        <w:spacing w:before="4"/>
        <w:rPr>
          <w:b/>
          <w:sz w:val="23"/>
        </w:rPr>
      </w:pPr>
    </w:p>
    <w:p w:rsidR="00C76E6D" w:rsidRDefault="00913831">
      <w:pPr>
        <w:pStyle w:val="Heading5"/>
        <w:numPr>
          <w:ilvl w:val="0"/>
          <w:numId w:val="51"/>
        </w:numPr>
        <w:tabs>
          <w:tab w:val="left" w:pos="723"/>
        </w:tabs>
        <w:spacing w:before="51"/>
        <w:ind w:left="722" w:hanging="245"/>
        <w:jc w:val="left"/>
      </w:pPr>
      <w:r>
        <w:pict>
          <v:shape id="docshape244" o:spid="_x0000_s1184" style="position:absolute;left:0;text-align:left;margin-left:70.6pt;margin-top:18.9pt;width:470.95pt;height:.1pt;z-index:-15695360;mso-wrap-distance-left:0;mso-wrap-distance-right:0;mso-position-horizontal-relative:page" coordorigin="1412,378" coordsize="9419,0" path="m1412,378r9419,e" filled="f" strokeweight="1.54pt">
            <v:path arrowok="t"/>
            <w10:wrap type="topAndBottom" anchorx="page"/>
          </v:shape>
        </w:pict>
      </w:r>
      <w:bookmarkStart w:id="106" w:name="C._Partnerships_and_Events"/>
      <w:bookmarkEnd w:id="106"/>
      <w:r>
        <w:rPr>
          <w:spacing w:val="-2"/>
        </w:rPr>
        <w:t>Partnerships</w:t>
      </w:r>
      <w:r>
        <w:rPr>
          <w:spacing w:val="-4"/>
        </w:rPr>
        <w:t xml:space="preserve"> </w:t>
      </w:r>
      <w:r>
        <w:rPr>
          <w:spacing w:val="-2"/>
        </w:rPr>
        <w:t>and</w:t>
      </w:r>
      <w:r>
        <w:rPr>
          <w:spacing w:val="-1"/>
        </w:rPr>
        <w:t xml:space="preserve"> </w:t>
      </w:r>
      <w:r>
        <w:rPr>
          <w:spacing w:val="-2"/>
        </w:rPr>
        <w:t>Events</w:t>
      </w:r>
    </w:p>
    <w:p w:rsidR="00C76E6D" w:rsidRDefault="00C76E6D">
      <w:pPr>
        <w:pStyle w:val="BodyText"/>
        <w:spacing w:before="11"/>
        <w:rPr>
          <w:b/>
          <w:sz w:val="30"/>
        </w:rPr>
      </w:pPr>
    </w:p>
    <w:p w:rsidR="00C76E6D" w:rsidRDefault="00913831">
      <w:pPr>
        <w:pStyle w:val="BodyText"/>
        <w:spacing w:line="276" w:lineRule="auto"/>
        <w:ind w:left="478" w:right="474"/>
        <w:jc w:val="both"/>
      </w:pPr>
      <w:r>
        <w:t>Throughout the year, we partnered with community organizations, institutions, and LGBTQ activists for programming,</w:t>
      </w:r>
      <w:r>
        <w:rPr>
          <w:spacing w:val="-6"/>
        </w:rPr>
        <w:t xml:space="preserve"> </w:t>
      </w:r>
      <w:r>
        <w:t>events,</w:t>
      </w:r>
      <w:r>
        <w:rPr>
          <w:spacing w:val="-6"/>
        </w:rPr>
        <w:t xml:space="preserve"> </w:t>
      </w:r>
      <w:r>
        <w:t>and</w:t>
      </w:r>
      <w:r>
        <w:rPr>
          <w:spacing w:val="-4"/>
        </w:rPr>
        <w:t xml:space="preserve"> </w:t>
      </w:r>
      <w:r>
        <w:t>outreach.</w:t>
      </w:r>
      <w:r>
        <w:rPr>
          <w:spacing w:val="-6"/>
        </w:rPr>
        <w:t xml:space="preserve"> </w:t>
      </w:r>
      <w:r>
        <w:t>We</w:t>
      </w:r>
      <w:r>
        <w:rPr>
          <w:spacing w:val="-5"/>
        </w:rPr>
        <w:t xml:space="preserve"> </w:t>
      </w:r>
      <w:r>
        <w:t>extend</w:t>
      </w:r>
      <w:r>
        <w:rPr>
          <w:spacing w:val="-7"/>
        </w:rPr>
        <w:t xml:space="preserve"> </w:t>
      </w:r>
      <w:r>
        <w:t>a</w:t>
      </w:r>
      <w:r>
        <w:rPr>
          <w:spacing w:val="-6"/>
        </w:rPr>
        <w:t xml:space="preserve"> </w:t>
      </w:r>
      <w:r>
        <w:t>special</w:t>
      </w:r>
      <w:r>
        <w:rPr>
          <w:spacing w:val="-6"/>
        </w:rPr>
        <w:t xml:space="preserve"> </w:t>
      </w:r>
      <w:r>
        <w:t>thank</w:t>
      </w:r>
      <w:r>
        <w:rPr>
          <w:spacing w:val="-7"/>
        </w:rPr>
        <w:t xml:space="preserve"> </w:t>
      </w:r>
      <w:r>
        <w:t>you</w:t>
      </w:r>
      <w:r>
        <w:rPr>
          <w:spacing w:val="-7"/>
        </w:rPr>
        <w:t xml:space="preserve"> </w:t>
      </w:r>
      <w:r>
        <w:t>to</w:t>
      </w:r>
      <w:r>
        <w:rPr>
          <w:spacing w:val="-6"/>
        </w:rPr>
        <w:t xml:space="preserve"> </w:t>
      </w:r>
      <w:r>
        <w:t>these</w:t>
      </w:r>
      <w:r>
        <w:rPr>
          <w:spacing w:val="-5"/>
        </w:rPr>
        <w:t xml:space="preserve"> </w:t>
      </w:r>
      <w:r>
        <w:t>groups</w:t>
      </w:r>
      <w:r>
        <w:rPr>
          <w:spacing w:val="-6"/>
        </w:rPr>
        <w:t xml:space="preserve"> </w:t>
      </w:r>
      <w:r>
        <w:t>that</w:t>
      </w:r>
      <w:r>
        <w:rPr>
          <w:spacing w:val="-7"/>
        </w:rPr>
        <w:t xml:space="preserve"> </w:t>
      </w:r>
      <w:r>
        <w:t>we</w:t>
      </w:r>
      <w:r>
        <w:rPr>
          <w:spacing w:val="-4"/>
        </w:rPr>
        <w:t xml:space="preserve"> </w:t>
      </w:r>
      <w:r>
        <w:t>collaborated closely with this year: BAGLY/AGLY Network, Boston Public Schools, Boston GLASS, Casa Esperanza, Connexion, Fenway Health, The Fenway Institute, Getting to Zero Activist Academy, GLSEN, Gre</w:t>
      </w:r>
      <w:r>
        <w:t>ater Boston PFLAG, History UnErased, Harvard Graduate School of Education, MA Transgender Political Coalition, OUT MetroWest, Queer Youth Assemble, and Transgender Emergency Fund.</w:t>
      </w:r>
    </w:p>
    <w:p w:rsidR="00C76E6D" w:rsidRDefault="00C76E6D">
      <w:pPr>
        <w:pStyle w:val="BodyText"/>
        <w:spacing w:before="4"/>
        <w:rPr>
          <w:sz w:val="25"/>
        </w:rPr>
      </w:pPr>
    </w:p>
    <w:p w:rsidR="00C76E6D" w:rsidRDefault="00913831">
      <w:pPr>
        <w:pStyle w:val="BodyText"/>
        <w:spacing w:before="1"/>
        <w:ind w:left="478"/>
        <w:jc w:val="both"/>
      </w:pPr>
      <w:r>
        <w:rPr>
          <w:w w:val="95"/>
        </w:rPr>
        <w:t>Below</w:t>
      </w:r>
      <w:r>
        <w:rPr>
          <w:spacing w:val="8"/>
        </w:rPr>
        <w:t xml:space="preserve"> </w:t>
      </w:r>
      <w:r>
        <w:rPr>
          <w:w w:val="95"/>
        </w:rPr>
        <w:t>are</w:t>
      </w:r>
      <w:r>
        <w:rPr>
          <w:spacing w:val="10"/>
        </w:rPr>
        <w:t xml:space="preserve"> </w:t>
      </w:r>
      <w:r>
        <w:rPr>
          <w:w w:val="95"/>
        </w:rPr>
        <w:t>a</w:t>
      </w:r>
      <w:r>
        <w:rPr>
          <w:spacing w:val="10"/>
        </w:rPr>
        <w:t xml:space="preserve"> </w:t>
      </w:r>
      <w:r>
        <w:rPr>
          <w:w w:val="95"/>
        </w:rPr>
        <w:t>few</w:t>
      </w:r>
      <w:r>
        <w:rPr>
          <w:spacing w:val="9"/>
        </w:rPr>
        <w:t xml:space="preserve"> </w:t>
      </w:r>
      <w:r>
        <w:rPr>
          <w:w w:val="95"/>
        </w:rPr>
        <w:t>highlights</w:t>
      </w:r>
      <w:r>
        <w:rPr>
          <w:spacing w:val="16"/>
        </w:rPr>
        <w:t xml:space="preserve"> </w:t>
      </w:r>
      <w:r>
        <w:rPr>
          <w:w w:val="95"/>
        </w:rPr>
        <w:t>of</w:t>
      </w:r>
      <w:r>
        <w:rPr>
          <w:spacing w:val="10"/>
        </w:rPr>
        <w:t xml:space="preserve"> </w:t>
      </w:r>
      <w:r>
        <w:rPr>
          <w:w w:val="95"/>
        </w:rPr>
        <w:t>partnership</w:t>
      </w:r>
      <w:r>
        <w:rPr>
          <w:spacing w:val="10"/>
        </w:rPr>
        <w:t xml:space="preserve"> </w:t>
      </w:r>
      <w:r>
        <w:rPr>
          <w:w w:val="95"/>
        </w:rPr>
        <w:t>events</w:t>
      </w:r>
      <w:r>
        <w:rPr>
          <w:spacing w:val="9"/>
        </w:rPr>
        <w:t xml:space="preserve"> </w:t>
      </w:r>
      <w:r>
        <w:rPr>
          <w:w w:val="95"/>
        </w:rPr>
        <w:t>and</w:t>
      </w:r>
      <w:r>
        <w:rPr>
          <w:spacing w:val="12"/>
        </w:rPr>
        <w:t xml:space="preserve"> </w:t>
      </w:r>
      <w:r>
        <w:rPr>
          <w:spacing w:val="-2"/>
          <w:w w:val="95"/>
        </w:rPr>
        <w:t>initiatives.</w:t>
      </w:r>
    </w:p>
    <w:p w:rsidR="00C76E6D" w:rsidRDefault="00C76E6D">
      <w:pPr>
        <w:pStyle w:val="BodyText"/>
        <w:spacing w:before="8"/>
        <w:rPr>
          <w:sz w:val="28"/>
        </w:rPr>
      </w:pPr>
    </w:p>
    <w:p w:rsidR="00C76E6D" w:rsidRDefault="00913831">
      <w:pPr>
        <w:pStyle w:val="Heading6"/>
        <w:ind w:left="478"/>
        <w:jc w:val="both"/>
      </w:pPr>
      <w:bookmarkStart w:id="107" w:name="Harvard_Graduate_School_of_Education"/>
      <w:bookmarkEnd w:id="107"/>
      <w:r>
        <w:rPr>
          <w:w w:val="95"/>
        </w:rPr>
        <w:t>Harvard</w:t>
      </w:r>
      <w:r>
        <w:rPr>
          <w:spacing w:val="11"/>
        </w:rPr>
        <w:t xml:space="preserve"> </w:t>
      </w:r>
      <w:r>
        <w:rPr>
          <w:w w:val="95"/>
        </w:rPr>
        <w:t>Graduate</w:t>
      </w:r>
      <w:r>
        <w:rPr>
          <w:spacing w:val="14"/>
        </w:rPr>
        <w:t xml:space="preserve"> </w:t>
      </w:r>
      <w:r>
        <w:rPr>
          <w:w w:val="95"/>
        </w:rPr>
        <w:t>School</w:t>
      </w:r>
      <w:r>
        <w:rPr>
          <w:spacing w:val="15"/>
        </w:rPr>
        <w:t xml:space="preserve"> </w:t>
      </w:r>
      <w:r>
        <w:rPr>
          <w:w w:val="95"/>
        </w:rPr>
        <w:t>of</w:t>
      </w:r>
      <w:r>
        <w:rPr>
          <w:spacing w:val="14"/>
        </w:rPr>
        <w:t xml:space="preserve"> </w:t>
      </w:r>
      <w:r>
        <w:rPr>
          <w:spacing w:val="-2"/>
          <w:w w:val="95"/>
        </w:rPr>
        <w:t>Education</w:t>
      </w:r>
    </w:p>
    <w:p w:rsidR="00C76E6D" w:rsidRDefault="00C76E6D">
      <w:pPr>
        <w:pStyle w:val="BodyText"/>
        <w:spacing w:before="4"/>
        <w:rPr>
          <w:b/>
          <w:sz w:val="28"/>
        </w:rPr>
      </w:pPr>
    </w:p>
    <w:p w:rsidR="00C76E6D" w:rsidRDefault="00913831">
      <w:pPr>
        <w:pStyle w:val="BodyText"/>
        <w:spacing w:before="1" w:line="276" w:lineRule="auto"/>
        <w:ind w:left="478" w:right="473"/>
        <w:jc w:val="both"/>
      </w:pPr>
      <w:r>
        <w:t>Members of the Research Policy Team for the GSA Student Leadership Council participated as student researchers in a course taught at Harvard Graduate School of Education by Gretchen Brion-Meisels focused</w:t>
      </w:r>
      <w:r>
        <w:rPr>
          <w:spacing w:val="-12"/>
        </w:rPr>
        <w:t xml:space="preserve"> </w:t>
      </w:r>
      <w:r>
        <w:t>on</w:t>
      </w:r>
      <w:r>
        <w:rPr>
          <w:spacing w:val="-10"/>
        </w:rPr>
        <w:t xml:space="preserve"> </w:t>
      </w:r>
      <w:r>
        <w:t>Community</w:t>
      </w:r>
      <w:r>
        <w:rPr>
          <w:spacing w:val="-11"/>
        </w:rPr>
        <w:t xml:space="preserve"> </w:t>
      </w:r>
      <w:r>
        <w:t>Participatory</w:t>
      </w:r>
      <w:r>
        <w:rPr>
          <w:spacing w:val="-11"/>
        </w:rPr>
        <w:t xml:space="preserve"> </w:t>
      </w:r>
      <w:r>
        <w:t>Action</w:t>
      </w:r>
      <w:r>
        <w:rPr>
          <w:spacing w:val="-11"/>
        </w:rPr>
        <w:t xml:space="preserve"> </w:t>
      </w:r>
      <w:r>
        <w:t>Research</w:t>
      </w:r>
      <w:r>
        <w:rPr>
          <w:spacing w:val="-9"/>
        </w:rPr>
        <w:t xml:space="preserve"> </w:t>
      </w:r>
      <w:r>
        <w:t>(CPAR).</w:t>
      </w:r>
      <w:r>
        <w:rPr>
          <w:spacing w:val="-10"/>
        </w:rPr>
        <w:t xml:space="preserve"> </w:t>
      </w:r>
      <w:r>
        <w:t>Alongside</w:t>
      </w:r>
      <w:r>
        <w:rPr>
          <w:spacing w:val="-11"/>
        </w:rPr>
        <w:t xml:space="preserve"> </w:t>
      </w:r>
      <w:r>
        <w:t>graduate</w:t>
      </w:r>
      <w:r>
        <w:rPr>
          <w:spacing w:val="-11"/>
        </w:rPr>
        <w:t xml:space="preserve"> </w:t>
      </w:r>
      <w:r>
        <w:t>students,</w:t>
      </w:r>
      <w:r>
        <w:rPr>
          <w:spacing w:val="-10"/>
        </w:rPr>
        <w:t xml:space="preserve"> </w:t>
      </w:r>
      <w:r>
        <w:t>they</w:t>
      </w:r>
      <w:r>
        <w:rPr>
          <w:spacing w:val="-11"/>
        </w:rPr>
        <w:t xml:space="preserve"> </w:t>
      </w:r>
      <w:r>
        <w:t>designed a research study that collected feedback from MA students about their experiences with bathrooms at school. This research provided meaningful data that has the potential to in</w:t>
      </w:r>
      <w:r>
        <w:t>fluence future policy focused on all-gender restrooms.</w:t>
      </w:r>
    </w:p>
    <w:p w:rsidR="00C76E6D" w:rsidRDefault="00C76E6D">
      <w:pPr>
        <w:spacing w:line="276" w:lineRule="auto"/>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8"/>
        <w:rPr>
          <w:sz w:val="17"/>
        </w:rPr>
      </w:pPr>
    </w:p>
    <w:p w:rsidR="00C76E6D" w:rsidRDefault="00913831">
      <w:pPr>
        <w:pStyle w:val="Heading6"/>
        <w:spacing w:before="55"/>
        <w:ind w:left="480"/>
        <w:jc w:val="both"/>
      </w:pPr>
      <w:bookmarkStart w:id="108" w:name="Youth_Empowerment_Series"/>
      <w:bookmarkEnd w:id="108"/>
      <w:r>
        <w:rPr>
          <w:spacing w:val="-2"/>
        </w:rPr>
        <w:t>Youth</w:t>
      </w:r>
      <w:r>
        <w:rPr>
          <w:spacing w:val="-10"/>
        </w:rPr>
        <w:t xml:space="preserve"> </w:t>
      </w:r>
      <w:r>
        <w:rPr>
          <w:spacing w:val="-2"/>
        </w:rPr>
        <w:t>Empowerment</w:t>
      </w:r>
      <w:r>
        <w:rPr>
          <w:spacing w:val="-11"/>
        </w:rPr>
        <w:t xml:space="preserve"> </w:t>
      </w:r>
      <w:r>
        <w:rPr>
          <w:spacing w:val="-2"/>
        </w:rPr>
        <w:t>Series</w:t>
      </w:r>
    </w:p>
    <w:p w:rsidR="00C76E6D" w:rsidRDefault="00C76E6D">
      <w:pPr>
        <w:pStyle w:val="BodyText"/>
        <w:spacing w:before="8"/>
        <w:rPr>
          <w:b/>
          <w:sz w:val="28"/>
        </w:rPr>
      </w:pPr>
    </w:p>
    <w:p w:rsidR="00C76E6D" w:rsidRDefault="00913831">
      <w:pPr>
        <w:pStyle w:val="BodyText"/>
        <w:spacing w:line="276" w:lineRule="auto"/>
        <w:ind w:left="478" w:right="476"/>
        <w:jc w:val="both"/>
      </w:pPr>
      <w:r>
        <w:t>The</w:t>
      </w:r>
      <w:r>
        <w:rPr>
          <w:spacing w:val="-13"/>
        </w:rPr>
        <w:t xml:space="preserve"> </w:t>
      </w:r>
      <w:r>
        <w:t>Safe</w:t>
      </w:r>
      <w:r>
        <w:rPr>
          <w:spacing w:val="-12"/>
        </w:rPr>
        <w:t xml:space="preserve"> </w:t>
      </w:r>
      <w:r>
        <w:t>Schools</w:t>
      </w:r>
      <w:r>
        <w:rPr>
          <w:spacing w:val="-13"/>
        </w:rPr>
        <w:t xml:space="preserve"> </w:t>
      </w:r>
      <w:r>
        <w:t>Program</w:t>
      </w:r>
      <w:r>
        <w:rPr>
          <w:spacing w:val="-12"/>
        </w:rPr>
        <w:t xml:space="preserve"> </w:t>
      </w:r>
      <w:r>
        <w:t>for</w:t>
      </w:r>
      <w:r>
        <w:rPr>
          <w:spacing w:val="-13"/>
        </w:rPr>
        <w:t xml:space="preserve"> </w:t>
      </w:r>
      <w:r>
        <w:t>LGBTQ</w:t>
      </w:r>
      <w:r>
        <w:rPr>
          <w:spacing w:val="-12"/>
        </w:rPr>
        <w:t xml:space="preserve"> </w:t>
      </w:r>
      <w:r>
        <w:t>Students</w:t>
      </w:r>
      <w:r>
        <w:rPr>
          <w:spacing w:val="-13"/>
        </w:rPr>
        <w:t xml:space="preserve"> </w:t>
      </w:r>
      <w:r>
        <w:t>continued</w:t>
      </w:r>
      <w:r>
        <w:rPr>
          <w:spacing w:val="-12"/>
        </w:rPr>
        <w:t xml:space="preserve"> </w:t>
      </w:r>
      <w:r>
        <w:t>its</w:t>
      </w:r>
      <w:r>
        <w:rPr>
          <w:spacing w:val="-12"/>
        </w:rPr>
        <w:t xml:space="preserve"> </w:t>
      </w:r>
      <w:r>
        <w:t>second</w:t>
      </w:r>
      <w:r>
        <w:rPr>
          <w:spacing w:val="-13"/>
        </w:rPr>
        <w:t xml:space="preserve"> </w:t>
      </w:r>
      <w:r>
        <w:t>year</w:t>
      </w:r>
      <w:r>
        <w:rPr>
          <w:spacing w:val="-12"/>
        </w:rPr>
        <w:t xml:space="preserve"> </w:t>
      </w:r>
      <w:r>
        <w:t>of</w:t>
      </w:r>
      <w:r>
        <w:rPr>
          <w:spacing w:val="-13"/>
        </w:rPr>
        <w:t xml:space="preserve"> </w:t>
      </w:r>
      <w:r>
        <w:t>the</w:t>
      </w:r>
      <w:r>
        <w:rPr>
          <w:spacing w:val="-12"/>
        </w:rPr>
        <w:t xml:space="preserve"> </w:t>
      </w:r>
      <w:r>
        <w:rPr>
          <w:i/>
        </w:rPr>
        <w:t>Youth</w:t>
      </w:r>
      <w:r>
        <w:rPr>
          <w:i/>
          <w:spacing w:val="-13"/>
        </w:rPr>
        <w:t xml:space="preserve"> </w:t>
      </w:r>
      <w:r>
        <w:rPr>
          <w:i/>
        </w:rPr>
        <w:t>Empowerment</w:t>
      </w:r>
      <w:r>
        <w:rPr>
          <w:i/>
          <w:spacing w:val="-12"/>
        </w:rPr>
        <w:t xml:space="preserve"> </w:t>
      </w:r>
      <w:r>
        <w:rPr>
          <w:i/>
        </w:rPr>
        <w:t xml:space="preserve">Series </w:t>
      </w:r>
      <w:r>
        <w:t>to bring in speakers, build partnerships with youth-serving organizations, and highlight the voices and experiences of</w:t>
      </w:r>
      <w:r>
        <w:rPr>
          <w:spacing w:val="-4"/>
        </w:rPr>
        <w:t xml:space="preserve"> </w:t>
      </w:r>
      <w:r>
        <w:t>queer</w:t>
      </w:r>
      <w:r>
        <w:rPr>
          <w:spacing w:val="-3"/>
        </w:rPr>
        <w:t xml:space="preserve"> </w:t>
      </w:r>
      <w:r>
        <w:t>young</w:t>
      </w:r>
      <w:r>
        <w:rPr>
          <w:spacing w:val="-3"/>
        </w:rPr>
        <w:t xml:space="preserve"> </w:t>
      </w:r>
      <w:r>
        <w:t>people.</w:t>
      </w:r>
      <w:r>
        <w:rPr>
          <w:spacing w:val="-3"/>
        </w:rPr>
        <w:t xml:space="preserve"> </w:t>
      </w:r>
      <w:r>
        <w:t>These</w:t>
      </w:r>
      <w:r>
        <w:rPr>
          <w:spacing w:val="-4"/>
        </w:rPr>
        <w:t xml:space="preserve"> </w:t>
      </w:r>
      <w:r>
        <w:t>events</w:t>
      </w:r>
      <w:r>
        <w:rPr>
          <w:spacing w:val="-4"/>
        </w:rPr>
        <w:t xml:space="preserve"> </w:t>
      </w:r>
      <w:r>
        <w:t>are</w:t>
      </w:r>
      <w:r>
        <w:rPr>
          <w:spacing w:val="-4"/>
        </w:rPr>
        <w:t xml:space="preserve"> </w:t>
      </w:r>
      <w:r>
        <w:t>open</w:t>
      </w:r>
      <w:r>
        <w:rPr>
          <w:spacing w:val="-2"/>
        </w:rPr>
        <w:t xml:space="preserve"> </w:t>
      </w:r>
      <w:r>
        <w:t>to</w:t>
      </w:r>
      <w:r>
        <w:rPr>
          <w:spacing w:val="-4"/>
        </w:rPr>
        <w:t xml:space="preserve"> </w:t>
      </w:r>
      <w:r>
        <w:t>all</w:t>
      </w:r>
      <w:r>
        <w:rPr>
          <w:spacing w:val="-2"/>
        </w:rPr>
        <w:t xml:space="preserve"> </w:t>
      </w:r>
      <w:r>
        <w:t>youth</w:t>
      </w:r>
      <w:r>
        <w:rPr>
          <w:spacing w:val="-4"/>
        </w:rPr>
        <w:t xml:space="preserve"> </w:t>
      </w:r>
      <w:r>
        <w:t>25</w:t>
      </w:r>
      <w:r>
        <w:rPr>
          <w:spacing w:val="-3"/>
        </w:rPr>
        <w:t xml:space="preserve"> </w:t>
      </w:r>
      <w:r>
        <w:t>and</w:t>
      </w:r>
      <w:r>
        <w:rPr>
          <w:spacing w:val="-2"/>
        </w:rPr>
        <w:t xml:space="preserve"> </w:t>
      </w:r>
      <w:r>
        <w:t>under</w:t>
      </w:r>
      <w:r>
        <w:rPr>
          <w:spacing w:val="-3"/>
        </w:rPr>
        <w:t xml:space="preserve"> </w:t>
      </w:r>
      <w:r>
        <w:t>in</w:t>
      </w:r>
      <w:r>
        <w:rPr>
          <w:spacing w:val="-2"/>
        </w:rPr>
        <w:t xml:space="preserve"> </w:t>
      </w:r>
      <w:r>
        <w:t>the</w:t>
      </w:r>
      <w:r>
        <w:rPr>
          <w:spacing w:val="-1"/>
        </w:rPr>
        <w:t xml:space="preserve"> </w:t>
      </w:r>
      <w:r>
        <w:t>state</w:t>
      </w:r>
      <w:r>
        <w:rPr>
          <w:spacing w:val="-4"/>
        </w:rPr>
        <w:t xml:space="preserve"> </w:t>
      </w:r>
      <w:r>
        <w:t>and</w:t>
      </w:r>
      <w:r>
        <w:rPr>
          <w:spacing w:val="-3"/>
        </w:rPr>
        <w:t xml:space="preserve"> </w:t>
      </w:r>
      <w:r>
        <w:t>the GSA Student Leadership Council.</w:t>
      </w:r>
    </w:p>
    <w:p w:rsidR="00C76E6D" w:rsidRDefault="00913831">
      <w:pPr>
        <w:pStyle w:val="BodyText"/>
        <w:spacing w:before="4"/>
        <w:rPr>
          <w:sz w:val="23"/>
        </w:rPr>
      </w:pPr>
      <w:r>
        <w:rPr>
          <w:noProof/>
        </w:rPr>
        <w:drawing>
          <wp:anchor distT="0" distB="0" distL="0" distR="0" simplePos="0" relativeHeight="66" behindDoc="0" locked="0" layoutInCell="1" allowOverlap="1">
            <wp:simplePos x="0" y="0"/>
            <wp:positionH relativeFrom="page">
              <wp:posOffset>685165</wp:posOffset>
            </wp:positionH>
            <wp:positionV relativeFrom="paragraph">
              <wp:posOffset>196340</wp:posOffset>
            </wp:positionV>
            <wp:extent cx="6405727" cy="1685544"/>
            <wp:effectExtent l="0" t="0" r="0" b="0"/>
            <wp:wrapTopAndBottom/>
            <wp:docPr id="77"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83.png"/>
                    <pic:cNvPicPr/>
                  </pic:nvPicPr>
                  <pic:blipFill>
                    <a:blip r:embed="rId155" cstate="print"/>
                    <a:stretch>
                      <a:fillRect/>
                    </a:stretch>
                  </pic:blipFill>
                  <pic:spPr>
                    <a:xfrm>
                      <a:off x="0" y="0"/>
                      <a:ext cx="6405727" cy="1685544"/>
                    </a:xfrm>
                    <a:prstGeom prst="rect">
                      <a:avLst/>
                    </a:prstGeom>
                  </pic:spPr>
                </pic:pic>
              </a:graphicData>
            </a:graphic>
          </wp:anchor>
        </w:drawing>
      </w:r>
    </w:p>
    <w:p w:rsidR="00C76E6D" w:rsidRDefault="00C76E6D">
      <w:pPr>
        <w:pStyle w:val="BodyText"/>
        <w:spacing w:before="4"/>
        <w:rPr>
          <w:sz w:val="28"/>
        </w:rPr>
      </w:pPr>
    </w:p>
    <w:p w:rsidR="00C76E6D" w:rsidRDefault="00913831">
      <w:pPr>
        <w:pStyle w:val="Heading6"/>
        <w:spacing w:before="1"/>
        <w:ind w:left="480"/>
        <w:jc w:val="both"/>
      </w:pPr>
      <w:bookmarkStart w:id="109" w:name="Queer_Youth_Assemble"/>
      <w:bookmarkEnd w:id="109"/>
      <w:r>
        <w:rPr>
          <w:w w:val="95"/>
        </w:rPr>
        <w:t>Queer</w:t>
      </w:r>
      <w:r>
        <w:rPr>
          <w:spacing w:val="11"/>
        </w:rPr>
        <w:t xml:space="preserve"> </w:t>
      </w:r>
      <w:r>
        <w:rPr>
          <w:w w:val="95"/>
        </w:rPr>
        <w:t>Youth</w:t>
      </w:r>
      <w:r>
        <w:rPr>
          <w:spacing w:val="13"/>
        </w:rPr>
        <w:t xml:space="preserve"> </w:t>
      </w:r>
      <w:r>
        <w:rPr>
          <w:spacing w:val="-2"/>
          <w:w w:val="95"/>
        </w:rPr>
        <w:t>A</w:t>
      </w:r>
      <w:r>
        <w:rPr>
          <w:spacing w:val="-2"/>
          <w:w w:val="95"/>
        </w:rPr>
        <w:t>ssemble</w:t>
      </w:r>
    </w:p>
    <w:p w:rsidR="00C76E6D" w:rsidRDefault="00C76E6D">
      <w:pPr>
        <w:pStyle w:val="BodyText"/>
        <w:spacing w:before="5"/>
        <w:rPr>
          <w:b/>
          <w:sz w:val="28"/>
        </w:rPr>
      </w:pPr>
    </w:p>
    <w:p w:rsidR="00C76E6D" w:rsidRDefault="00913831">
      <w:pPr>
        <w:pStyle w:val="BodyText"/>
        <w:spacing w:line="276" w:lineRule="auto"/>
        <w:ind w:left="478" w:right="475"/>
        <w:jc w:val="both"/>
      </w:pPr>
      <w:r>
        <w:t>Several former and current GSA Student Leadership Council students formed and volunteered for Queer Youth</w:t>
      </w:r>
      <w:r>
        <w:rPr>
          <w:spacing w:val="-1"/>
        </w:rPr>
        <w:t xml:space="preserve"> </w:t>
      </w:r>
      <w:r>
        <w:t>Assemble, which</w:t>
      </w:r>
      <w:r>
        <w:rPr>
          <w:spacing w:val="-1"/>
        </w:rPr>
        <w:t xml:space="preserve"> </w:t>
      </w:r>
      <w:r>
        <w:t>is a youth-led organization</w:t>
      </w:r>
      <w:r>
        <w:rPr>
          <w:spacing w:val="-1"/>
        </w:rPr>
        <w:t xml:space="preserve"> </w:t>
      </w:r>
      <w:r>
        <w:t>working</w:t>
      </w:r>
      <w:r>
        <w:rPr>
          <w:spacing w:val="-1"/>
        </w:rPr>
        <w:t xml:space="preserve"> </w:t>
      </w:r>
      <w:r>
        <w:t>to bring</w:t>
      </w:r>
      <w:r>
        <w:rPr>
          <w:spacing w:val="-2"/>
        </w:rPr>
        <w:t xml:space="preserve"> </w:t>
      </w:r>
      <w:r>
        <w:t>joy and</w:t>
      </w:r>
      <w:r>
        <w:rPr>
          <w:spacing w:val="-1"/>
        </w:rPr>
        <w:t xml:space="preserve"> </w:t>
      </w:r>
      <w:r>
        <w:t>autonomy to all queer youth under 25 in the United States and territorie</w:t>
      </w:r>
      <w:r>
        <w:t>s. We partnered with Queer Youth Assemble on all of their MA-based events including Let Trans Athletes Play, Over the Rainbow, and Queer Youth on Ice. Esmée Silverman,</w:t>
      </w:r>
      <w:r>
        <w:rPr>
          <w:spacing w:val="-4"/>
        </w:rPr>
        <w:t xml:space="preserve"> </w:t>
      </w:r>
      <w:r>
        <w:t>the</w:t>
      </w:r>
      <w:r>
        <w:rPr>
          <w:spacing w:val="-7"/>
        </w:rPr>
        <w:t xml:space="preserve"> </w:t>
      </w:r>
      <w:r>
        <w:t>co-founder</w:t>
      </w:r>
      <w:r>
        <w:rPr>
          <w:spacing w:val="-4"/>
        </w:rPr>
        <w:t xml:space="preserve"> </w:t>
      </w:r>
      <w:r>
        <w:t>of</w:t>
      </w:r>
      <w:r>
        <w:rPr>
          <w:spacing w:val="-6"/>
        </w:rPr>
        <w:t xml:space="preserve"> </w:t>
      </w:r>
      <w:r>
        <w:t>QYA</w:t>
      </w:r>
      <w:r>
        <w:rPr>
          <w:spacing w:val="-5"/>
        </w:rPr>
        <w:t xml:space="preserve"> </w:t>
      </w:r>
      <w:r>
        <w:t>and</w:t>
      </w:r>
      <w:r>
        <w:rPr>
          <w:spacing w:val="-5"/>
        </w:rPr>
        <w:t xml:space="preserve"> </w:t>
      </w:r>
      <w:r>
        <w:t>former</w:t>
      </w:r>
      <w:r>
        <w:rPr>
          <w:spacing w:val="-6"/>
        </w:rPr>
        <w:t xml:space="preserve"> </w:t>
      </w:r>
      <w:r>
        <w:t>Southeast</w:t>
      </w:r>
      <w:r>
        <w:rPr>
          <w:spacing w:val="-8"/>
        </w:rPr>
        <w:t xml:space="preserve"> </w:t>
      </w:r>
      <w:r>
        <w:t>Council</w:t>
      </w:r>
      <w:r>
        <w:rPr>
          <w:spacing w:val="-4"/>
        </w:rPr>
        <w:t xml:space="preserve"> </w:t>
      </w:r>
      <w:r>
        <w:t>member,</w:t>
      </w:r>
      <w:r>
        <w:rPr>
          <w:spacing w:val="-6"/>
        </w:rPr>
        <w:t xml:space="preserve"> </w:t>
      </w:r>
      <w:r>
        <w:t>spoke</w:t>
      </w:r>
      <w:r>
        <w:rPr>
          <w:spacing w:val="-5"/>
        </w:rPr>
        <w:t xml:space="preserve"> </w:t>
      </w:r>
      <w:r>
        <w:t>about</w:t>
      </w:r>
      <w:r>
        <w:rPr>
          <w:spacing w:val="-6"/>
        </w:rPr>
        <w:t xml:space="preserve"> </w:t>
      </w:r>
      <w:r>
        <w:t>the</w:t>
      </w:r>
      <w:r>
        <w:rPr>
          <w:spacing w:val="-4"/>
        </w:rPr>
        <w:t xml:space="preserve"> </w:t>
      </w:r>
      <w:r>
        <w:t>importance</w:t>
      </w:r>
      <w:r>
        <w:rPr>
          <w:spacing w:val="-5"/>
        </w:rPr>
        <w:t xml:space="preserve"> </w:t>
      </w:r>
      <w:r>
        <w:t>of advocating for transgender athletes at our annual Summit in 2021 and led Field Day.</w:t>
      </w:r>
    </w:p>
    <w:p w:rsidR="00C76E6D" w:rsidRDefault="00913831">
      <w:pPr>
        <w:pStyle w:val="BodyText"/>
        <w:spacing w:before="5"/>
        <w:rPr>
          <w:sz w:val="23"/>
        </w:rPr>
      </w:pPr>
      <w:r>
        <w:pict>
          <v:group id="docshapegroup245" o:spid="_x0000_s1181" style="position:absolute;margin-left:109.55pt;margin-top:15.5pt;width:392.85pt;height:198.3pt;z-index:-15694336;mso-wrap-distance-left:0;mso-wrap-distance-right:0;mso-position-horizontal-relative:page" coordorigin="2191,310" coordsize="7857,3966">
            <v:shape id="docshape246" o:spid="_x0000_s1183" type="#_x0000_t75" style="position:absolute;left:2191;top:315;width:3937;height:3956">
              <v:imagedata r:id="rId156" o:title=""/>
            </v:shape>
            <v:shape id="docshape247" o:spid="_x0000_s1182" type="#_x0000_t75" style="position:absolute;left:6178;top:309;width:3870;height:3966">
              <v:imagedata r:id="rId157" o:title=""/>
            </v:shape>
            <w10:wrap type="topAndBottom" anchorx="page"/>
          </v:group>
        </w:pict>
      </w:r>
    </w:p>
    <w:p w:rsidR="00C76E6D" w:rsidRDefault="00C76E6D">
      <w:pPr>
        <w:rPr>
          <w:sz w:val="23"/>
        </w:rPr>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913831">
      <w:pPr>
        <w:pStyle w:val="Heading4"/>
        <w:numPr>
          <w:ilvl w:val="0"/>
          <w:numId w:val="51"/>
        </w:numPr>
        <w:tabs>
          <w:tab w:val="left" w:pos="752"/>
        </w:tabs>
        <w:spacing w:before="210"/>
        <w:ind w:left="751" w:right="0" w:hanging="274"/>
        <w:jc w:val="left"/>
      </w:pPr>
      <w:r>
        <w:pict>
          <v:shape id="docshape248" o:spid="_x0000_s1180" style="position:absolute;left:0;text-align:left;margin-left:1in;margin-top:28.1pt;width:466.3pt;height:.1pt;z-index:-15693824;mso-wrap-distance-left:0;mso-wrap-distance-right:0;mso-position-horizontal-relative:page" coordorigin="1440,562" coordsize="9326,0" path="m1440,562r9326,e" filled="f" strokeweight=".40958mm">
            <v:path arrowok="t"/>
            <w10:wrap type="topAndBottom" anchorx="page"/>
          </v:shape>
        </w:pict>
      </w:r>
      <w:bookmarkStart w:id="110" w:name="D._TRAINING,_PROFESSIONAL_DEVELOPMENT_&amp;_"/>
      <w:bookmarkEnd w:id="110"/>
      <w:r>
        <w:rPr>
          <w:spacing w:val="-2"/>
        </w:rPr>
        <w:t>TRAINING,</w:t>
      </w:r>
      <w:r>
        <w:rPr>
          <w:spacing w:val="-7"/>
        </w:rPr>
        <w:t xml:space="preserve"> </w:t>
      </w:r>
      <w:r>
        <w:rPr>
          <w:spacing w:val="-2"/>
        </w:rPr>
        <w:t>PROFESSIONAL DEVELOPMENT</w:t>
      </w:r>
      <w:r>
        <w:rPr>
          <w:spacing w:val="4"/>
        </w:rPr>
        <w:t xml:space="preserve"> </w:t>
      </w:r>
      <w:r>
        <w:rPr>
          <w:spacing w:val="-2"/>
        </w:rPr>
        <w:t>&amp;</w:t>
      </w:r>
      <w:r>
        <w:rPr>
          <w:spacing w:val="4"/>
        </w:rPr>
        <w:t xml:space="preserve"> </w:t>
      </w:r>
      <w:r>
        <w:rPr>
          <w:spacing w:val="-2"/>
        </w:rPr>
        <w:t>TECHNICAL</w:t>
      </w:r>
      <w:r>
        <w:rPr>
          <w:spacing w:val="2"/>
        </w:rPr>
        <w:t xml:space="preserve"> </w:t>
      </w:r>
      <w:r>
        <w:rPr>
          <w:spacing w:val="-2"/>
        </w:rPr>
        <w:t>ASSISTANCE</w:t>
      </w:r>
    </w:p>
    <w:p w:rsidR="00C76E6D" w:rsidRDefault="00C76E6D">
      <w:pPr>
        <w:pStyle w:val="BodyText"/>
        <w:spacing w:before="7"/>
        <w:rPr>
          <w:b/>
          <w:sz w:val="32"/>
        </w:rPr>
      </w:pPr>
    </w:p>
    <w:p w:rsidR="00C76E6D" w:rsidRDefault="00913831">
      <w:pPr>
        <w:pStyle w:val="BodyText"/>
        <w:spacing w:line="276" w:lineRule="auto"/>
        <w:ind w:left="479" w:right="477" w:hanging="2"/>
        <w:jc w:val="both"/>
      </w:pPr>
      <w:r>
        <w:t>In</w:t>
      </w:r>
      <w:r>
        <w:rPr>
          <w:spacing w:val="-3"/>
        </w:rPr>
        <w:t xml:space="preserve"> </w:t>
      </w:r>
      <w:r>
        <w:t>the</w:t>
      </w:r>
      <w:r>
        <w:rPr>
          <w:spacing w:val="-3"/>
        </w:rPr>
        <w:t xml:space="preserve"> </w:t>
      </w:r>
      <w:r>
        <w:t>2021-22</w:t>
      </w:r>
      <w:r>
        <w:rPr>
          <w:spacing w:val="-4"/>
        </w:rPr>
        <w:t xml:space="preserve"> </w:t>
      </w:r>
      <w:r>
        <w:t>school</w:t>
      </w:r>
      <w:r>
        <w:rPr>
          <w:spacing w:val="-4"/>
        </w:rPr>
        <w:t xml:space="preserve"> </w:t>
      </w:r>
      <w:r>
        <w:t>year,</w:t>
      </w:r>
      <w:r>
        <w:rPr>
          <w:spacing w:val="-4"/>
        </w:rPr>
        <w:t xml:space="preserve"> </w:t>
      </w:r>
      <w:r>
        <w:t>we</w:t>
      </w:r>
      <w:r>
        <w:rPr>
          <w:spacing w:val="-3"/>
        </w:rPr>
        <w:t xml:space="preserve"> </w:t>
      </w:r>
      <w:r>
        <w:t>provided</w:t>
      </w:r>
      <w:r>
        <w:rPr>
          <w:spacing w:val="-3"/>
        </w:rPr>
        <w:t xml:space="preserve"> </w:t>
      </w:r>
      <w:r>
        <w:t>142</w:t>
      </w:r>
      <w:r>
        <w:rPr>
          <w:spacing w:val="-4"/>
        </w:rPr>
        <w:t xml:space="preserve"> </w:t>
      </w:r>
      <w:r>
        <w:t>trainings</w:t>
      </w:r>
      <w:r>
        <w:rPr>
          <w:spacing w:val="-2"/>
        </w:rPr>
        <w:t xml:space="preserve"> </w:t>
      </w:r>
      <w:r>
        <w:t>to</w:t>
      </w:r>
      <w:r>
        <w:rPr>
          <w:spacing w:val="-3"/>
        </w:rPr>
        <w:t xml:space="preserve"> </w:t>
      </w:r>
      <w:r>
        <w:t>schools,</w:t>
      </w:r>
      <w:r>
        <w:rPr>
          <w:spacing w:val="-4"/>
        </w:rPr>
        <w:t xml:space="preserve"> </w:t>
      </w:r>
      <w:r>
        <w:t>districts,</w:t>
      </w:r>
      <w:r>
        <w:rPr>
          <w:spacing w:val="-4"/>
        </w:rPr>
        <w:t xml:space="preserve"> </w:t>
      </w:r>
      <w:r>
        <w:t>and</w:t>
      </w:r>
      <w:r>
        <w:rPr>
          <w:spacing w:val="-4"/>
        </w:rPr>
        <w:t xml:space="preserve"> </w:t>
      </w:r>
      <w:r>
        <w:t>educational</w:t>
      </w:r>
      <w:r>
        <w:rPr>
          <w:spacing w:val="-3"/>
        </w:rPr>
        <w:t xml:space="preserve"> </w:t>
      </w:r>
      <w:r>
        <w:t>organizations across MA, up from 86 in 2020-21. Training sessions were facilitated by our cadre of experienced facilitators including Jeff Perrotti, Elijah Oyenuga, Landon Callahan, René Rives, James Shultis, Minh Nguyen, and Kimm Topping.</w:t>
      </w:r>
    </w:p>
    <w:p w:rsidR="00C76E6D" w:rsidRDefault="00C76E6D">
      <w:pPr>
        <w:pStyle w:val="BodyText"/>
        <w:spacing w:before="4"/>
        <w:rPr>
          <w:sz w:val="25"/>
        </w:rPr>
      </w:pPr>
    </w:p>
    <w:p w:rsidR="00C76E6D" w:rsidRDefault="00913831">
      <w:pPr>
        <w:pStyle w:val="Heading6"/>
        <w:ind w:left="480"/>
        <w:jc w:val="both"/>
      </w:pPr>
      <w:bookmarkStart w:id="111" w:name="List_of_Schools,_Districts_&amp;_Educational"/>
      <w:bookmarkEnd w:id="111"/>
      <w:r>
        <w:rPr>
          <w:w w:val="95"/>
        </w:rPr>
        <w:t>List</w:t>
      </w:r>
      <w:r>
        <w:rPr>
          <w:spacing w:val="12"/>
        </w:rPr>
        <w:t xml:space="preserve"> </w:t>
      </w:r>
      <w:r>
        <w:rPr>
          <w:w w:val="95"/>
        </w:rPr>
        <w:t>of</w:t>
      </w:r>
      <w:r>
        <w:rPr>
          <w:spacing w:val="13"/>
        </w:rPr>
        <w:t xml:space="preserve"> </w:t>
      </w:r>
      <w:r>
        <w:rPr>
          <w:w w:val="95"/>
        </w:rPr>
        <w:t>Schools,</w:t>
      </w:r>
      <w:r>
        <w:rPr>
          <w:spacing w:val="13"/>
        </w:rPr>
        <w:t xml:space="preserve"> </w:t>
      </w:r>
      <w:r>
        <w:rPr>
          <w:w w:val="95"/>
        </w:rPr>
        <w:t>Districts</w:t>
      </w:r>
      <w:r>
        <w:rPr>
          <w:spacing w:val="13"/>
        </w:rPr>
        <w:t xml:space="preserve"> </w:t>
      </w:r>
      <w:r>
        <w:rPr>
          <w:w w:val="95"/>
        </w:rPr>
        <w:t>&amp;</w:t>
      </w:r>
      <w:r>
        <w:rPr>
          <w:spacing w:val="16"/>
        </w:rPr>
        <w:t xml:space="preserve"> </w:t>
      </w:r>
      <w:r>
        <w:rPr>
          <w:w w:val="95"/>
        </w:rPr>
        <w:t>Educational</w:t>
      </w:r>
      <w:r>
        <w:rPr>
          <w:spacing w:val="17"/>
        </w:rPr>
        <w:t xml:space="preserve"> </w:t>
      </w:r>
      <w:r>
        <w:rPr>
          <w:w w:val="95"/>
        </w:rPr>
        <w:t>Organizations</w:t>
      </w:r>
      <w:r>
        <w:rPr>
          <w:spacing w:val="10"/>
        </w:rPr>
        <w:t xml:space="preserve"> </w:t>
      </w:r>
      <w:r>
        <w:rPr>
          <w:w w:val="95"/>
        </w:rPr>
        <w:t>Reached</w:t>
      </w:r>
      <w:r>
        <w:rPr>
          <w:spacing w:val="13"/>
        </w:rPr>
        <w:t xml:space="preserve"> </w:t>
      </w:r>
      <w:r>
        <w:rPr>
          <w:w w:val="95"/>
        </w:rPr>
        <w:t>(Fall</w:t>
      </w:r>
      <w:r>
        <w:rPr>
          <w:spacing w:val="11"/>
        </w:rPr>
        <w:t xml:space="preserve"> </w:t>
      </w:r>
      <w:r>
        <w:rPr>
          <w:w w:val="95"/>
        </w:rPr>
        <w:t>2021</w:t>
      </w:r>
      <w:r>
        <w:rPr>
          <w:spacing w:val="12"/>
        </w:rPr>
        <w:t xml:space="preserve"> </w:t>
      </w:r>
      <w:r>
        <w:rPr>
          <w:w w:val="95"/>
        </w:rPr>
        <w:t>-</w:t>
      </w:r>
      <w:r>
        <w:rPr>
          <w:spacing w:val="14"/>
        </w:rPr>
        <w:t xml:space="preserve"> </w:t>
      </w:r>
      <w:r>
        <w:rPr>
          <w:w w:val="95"/>
        </w:rPr>
        <w:t>Spring</w:t>
      </w:r>
      <w:r>
        <w:rPr>
          <w:spacing w:val="11"/>
        </w:rPr>
        <w:t xml:space="preserve"> </w:t>
      </w:r>
      <w:r>
        <w:rPr>
          <w:spacing w:val="-4"/>
          <w:w w:val="95"/>
        </w:rPr>
        <w:t>2022)</w:t>
      </w:r>
    </w:p>
    <w:p w:rsidR="00C76E6D" w:rsidRDefault="00C76E6D">
      <w:pPr>
        <w:pStyle w:val="BodyText"/>
        <w:spacing w:before="1"/>
        <w:rPr>
          <w:b/>
          <w:sz w:val="24"/>
        </w:rPr>
      </w:pPr>
    </w:p>
    <w:p w:rsidR="00C76E6D" w:rsidRDefault="00C76E6D">
      <w:pPr>
        <w:rPr>
          <w:sz w:val="24"/>
        </w:rPr>
        <w:sectPr w:rsidR="00C76E6D">
          <w:pgSz w:w="12240" w:h="15840"/>
          <w:pgMar w:top="960" w:right="960" w:bottom="1200" w:left="960" w:header="769" w:footer="1005" w:gutter="0"/>
          <w:cols w:space="720"/>
        </w:sectPr>
      </w:pPr>
    </w:p>
    <w:p w:rsidR="00C76E6D" w:rsidRDefault="00913831">
      <w:pPr>
        <w:pStyle w:val="BodyText"/>
        <w:spacing w:before="56"/>
        <w:ind w:left="479"/>
      </w:pPr>
      <w:r>
        <w:rPr>
          <w:spacing w:val="-2"/>
        </w:rPr>
        <w:t>Angier</w:t>
      </w:r>
      <w:r>
        <w:rPr>
          <w:spacing w:val="-9"/>
        </w:rPr>
        <w:t xml:space="preserve"> </w:t>
      </w:r>
      <w:r>
        <w:rPr>
          <w:spacing w:val="-2"/>
        </w:rPr>
        <w:t>Elementary</w:t>
      </w:r>
      <w:r>
        <w:rPr>
          <w:spacing w:val="-9"/>
        </w:rPr>
        <w:t xml:space="preserve"> </w:t>
      </w:r>
      <w:r>
        <w:rPr>
          <w:spacing w:val="-2"/>
        </w:rPr>
        <w:t xml:space="preserve">School </w:t>
      </w:r>
      <w:r>
        <w:t xml:space="preserve">Arlington Public Schools </w:t>
      </w:r>
      <w:r>
        <w:rPr>
          <w:spacing w:val="-2"/>
        </w:rPr>
        <w:t>Ascentria</w:t>
      </w:r>
    </w:p>
    <w:p w:rsidR="00C76E6D" w:rsidRDefault="00913831">
      <w:pPr>
        <w:pStyle w:val="BodyText"/>
        <w:spacing w:before="2"/>
        <w:ind w:left="479"/>
      </w:pPr>
      <w:r>
        <w:rPr>
          <w:spacing w:val="-2"/>
        </w:rPr>
        <w:t>Assabet</w:t>
      </w:r>
      <w:r>
        <w:rPr>
          <w:spacing w:val="-6"/>
        </w:rPr>
        <w:t xml:space="preserve"> </w:t>
      </w:r>
      <w:r>
        <w:rPr>
          <w:spacing w:val="-2"/>
        </w:rPr>
        <w:t>Valley</w:t>
      </w:r>
      <w:r>
        <w:rPr>
          <w:spacing w:val="-5"/>
        </w:rPr>
        <w:t xml:space="preserve"> </w:t>
      </w:r>
      <w:r>
        <w:rPr>
          <w:spacing w:val="-2"/>
        </w:rPr>
        <w:t xml:space="preserve">Collaborative </w:t>
      </w:r>
      <w:r>
        <w:t>Assumption University Attleboro Public Schools Bates Elementary</w:t>
      </w:r>
    </w:p>
    <w:p w:rsidR="00C76E6D" w:rsidRDefault="00913831">
      <w:pPr>
        <w:pStyle w:val="BodyText"/>
        <w:ind w:left="479"/>
      </w:pPr>
      <w:r>
        <w:rPr>
          <w:spacing w:val="-2"/>
        </w:rPr>
        <w:t>Bay</w:t>
      </w:r>
      <w:r>
        <w:rPr>
          <w:spacing w:val="-10"/>
        </w:rPr>
        <w:t xml:space="preserve"> </w:t>
      </w:r>
      <w:r>
        <w:rPr>
          <w:spacing w:val="-2"/>
        </w:rPr>
        <w:t>Path</w:t>
      </w:r>
      <w:r>
        <w:rPr>
          <w:spacing w:val="-8"/>
        </w:rPr>
        <w:t xml:space="preserve"> </w:t>
      </w:r>
      <w:r>
        <w:rPr>
          <w:spacing w:val="-2"/>
        </w:rPr>
        <w:t>Regional</w:t>
      </w:r>
      <w:r>
        <w:rPr>
          <w:spacing w:val="-10"/>
        </w:rPr>
        <w:t xml:space="preserve"> </w:t>
      </w:r>
      <w:r>
        <w:rPr>
          <w:spacing w:val="-2"/>
        </w:rPr>
        <w:t xml:space="preserve">Technical </w:t>
      </w:r>
      <w:r>
        <w:t>High School</w:t>
      </w:r>
    </w:p>
    <w:p w:rsidR="00C76E6D" w:rsidRDefault="00913831">
      <w:pPr>
        <w:pStyle w:val="BodyText"/>
        <w:ind w:left="479" w:right="137"/>
      </w:pPr>
      <w:r>
        <w:t xml:space="preserve">Baycove Academy </w:t>
      </w:r>
      <w:r>
        <w:rPr>
          <w:spacing w:val="-2"/>
        </w:rPr>
        <w:t>Benjamin</w:t>
      </w:r>
      <w:r>
        <w:rPr>
          <w:spacing w:val="-8"/>
        </w:rPr>
        <w:t xml:space="preserve"> </w:t>
      </w:r>
      <w:r>
        <w:rPr>
          <w:spacing w:val="-2"/>
        </w:rPr>
        <w:t>Franklin</w:t>
      </w:r>
      <w:r>
        <w:rPr>
          <w:spacing w:val="-5"/>
        </w:rPr>
        <w:t xml:space="preserve"> </w:t>
      </w:r>
      <w:r>
        <w:rPr>
          <w:spacing w:val="-2"/>
        </w:rPr>
        <w:t xml:space="preserve">Classical </w:t>
      </w:r>
      <w:r>
        <w:t xml:space="preserve">Charter School Bernardston Elementary </w:t>
      </w:r>
      <w:r>
        <w:rPr>
          <w:spacing w:val="-2"/>
        </w:rPr>
        <w:t>School</w:t>
      </w:r>
    </w:p>
    <w:p w:rsidR="00C76E6D" w:rsidRDefault="00913831">
      <w:pPr>
        <w:pStyle w:val="BodyText"/>
        <w:ind w:left="479" w:right="97"/>
      </w:pPr>
      <w:r>
        <w:t>Blackstone-Millville</w:t>
      </w:r>
      <w:r>
        <w:rPr>
          <w:spacing w:val="-13"/>
        </w:rPr>
        <w:t xml:space="preserve"> </w:t>
      </w:r>
      <w:r>
        <w:t xml:space="preserve">District Bourne School District </w:t>
      </w:r>
      <w:r>
        <w:rPr>
          <w:spacing w:val="-2"/>
        </w:rPr>
        <w:t>Bridgewater-Raynham</w:t>
      </w:r>
      <w:r>
        <w:rPr>
          <w:spacing w:val="-13"/>
        </w:rPr>
        <w:t xml:space="preserve"> </w:t>
      </w:r>
      <w:r>
        <w:rPr>
          <w:spacing w:val="-2"/>
        </w:rPr>
        <w:t>High School</w:t>
      </w:r>
    </w:p>
    <w:p w:rsidR="00C76E6D" w:rsidRDefault="00913831">
      <w:pPr>
        <w:pStyle w:val="BodyText"/>
        <w:ind w:left="479"/>
      </w:pPr>
      <w:r>
        <w:rPr>
          <w:spacing w:val="-2"/>
        </w:rPr>
        <w:t>Broadmeadow</w:t>
      </w:r>
      <w:r>
        <w:rPr>
          <w:spacing w:val="-14"/>
        </w:rPr>
        <w:t xml:space="preserve"> </w:t>
      </w:r>
      <w:r>
        <w:rPr>
          <w:spacing w:val="-2"/>
        </w:rPr>
        <w:t>Elementary School</w:t>
      </w:r>
    </w:p>
    <w:p w:rsidR="00C76E6D" w:rsidRDefault="00913831">
      <w:pPr>
        <w:pStyle w:val="BodyText"/>
        <w:ind w:left="479" w:right="396"/>
      </w:pPr>
      <w:r>
        <w:t>Brockton</w:t>
      </w:r>
      <w:r>
        <w:rPr>
          <w:spacing w:val="-9"/>
        </w:rPr>
        <w:t xml:space="preserve"> </w:t>
      </w:r>
      <w:r>
        <w:t>Public</w:t>
      </w:r>
      <w:r>
        <w:rPr>
          <w:spacing w:val="-10"/>
        </w:rPr>
        <w:t xml:space="preserve"> </w:t>
      </w:r>
      <w:r>
        <w:t xml:space="preserve">Schools Bromfield School Brooke Charter School </w:t>
      </w:r>
      <w:r>
        <w:rPr>
          <w:spacing w:val="-2"/>
        </w:rPr>
        <w:t>Brookline</w:t>
      </w:r>
      <w:r>
        <w:rPr>
          <w:spacing w:val="-11"/>
        </w:rPr>
        <w:t xml:space="preserve"> </w:t>
      </w:r>
      <w:r>
        <w:rPr>
          <w:spacing w:val="-2"/>
        </w:rPr>
        <w:t>Public</w:t>
      </w:r>
      <w:r>
        <w:rPr>
          <w:spacing w:val="-8"/>
        </w:rPr>
        <w:t xml:space="preserve"> </w:t>
      </w:r>
      <w:r>
        <w:rPr>
          <w:spacing w:val="-2"/>
        </w:rPr>
        <w:t>Schools</w:t>
      </w:r>
    </w:p>
    <w:p w:rsidR="00C76E6D" w:rsidRDefault="00913831">
      <w:pPr>
        <w:pStyle w:val="BodyText"/>
        <w:ind w:left="479"/>
      </w:pPr>
      <w:r>
        <w:t xml:space="preserve">Brophy Elementary school </w:t>
      </w:r>
      <w:r>
        <w:rPr>
          <w:spacing w:val="-2"/>
        </w:rPr>
        <w:t>Burke</w:t>
      </w:r>
      <w:r>
        <w:rPr>
          <w:spacing w:val="-8"/>
        </w:rPr>
        <w:t xml:space="preserve"> </w:t>
      </w:r>
      <w:r>
        <w:rPr>
          <w:spacing w:val="-2"/>
        </w:rPr>
        <w:t>Memorial</w:t>
      </w:r>
      <w:r>
        <w:rPr>
          <w:spacing w:val="-8"/>
        </w:rPr>
        <w:t xml:space="preserve"> </w:t>
      </w:r>
      <w:r>
        <w:rPr>
          <w:spacing w:val="-2"/>
        </w:rPr>
        <w:t>Elementary School</w:t>
      </w:r>
    </w:p>
    <w:p w:rsidR="00C76E6D" w:rsidRDefault="00913831">
      <w:pPr>
        <w:pStyle w:val="BodyText"/>
        <w:ind w:left="479" w:right="137"/>
      </w:pPr>
      <w:r>
        <w:t xml:space="preserve">Cape Cod School District Chickering Elementary Coakley Middle School Cohasset High School CREST Collaborative Dartmouth High School </w:t>
      </w:r>
      <w:r>
        <w:rPr>
          <w:spacing w:val="-2"/>
        </w:rPr>
        <w:t>Dartmouth</w:t>
      </w:r>
      <w:r>
        <w:rPr>
          <w:spacing w:val="-11"/>
        </w:rPr>
        <w:t xml:space="preserve"> </w:t>
      </w:r>
      <w:r>
        <w:rPr>
          <w:spacing w:val="-2"/>
        </w:rPr>
        <w:t>Middle</w:t>
      </w:r>
      <w:r>
        <w:rPr>
          <w:spacing w:val="-10"/>
        </w:rPr>
        <w:t xml:space="preserve"> </w:t>
      </w:r>
      <w:r>
        <w:rPr>
          <w:spacing w:val="-2"/>
        </w:rPr>
        <w:t xml:space="preserve">School </w:t>
      </w:r>
      <w:r>
        <w:t>Dedham High School Dedham Middle School</w:t>
      </w:r>
    </w:p>
    <w:p w:rsidR="00C76E6D" w:rsidRDefault="00913831">
      <w:pPr>
        <w:pStyle w:val="BodyText"/>
        <w:spacing w:before="56"/>
        <w:ind w:left="480"/>
      </w:pPr>
      <w:r>
        <w:br w:type="column"/>
      </w:r>
      <w:r>
        <w:rPr>
          <w:spacing w:val="-2"/>
        </w:rPr>
        <w:t>Dennis-Yarmouth</w:t>
      </w:r>
      <w:r>
        <w:rPr>
          <w:spacing w:val="-13"/>
        </w:rPr>
        <w:t xml:space="preserve"> </w:t>
      </w:r>
      <w:r>
        <w:rPr>
          <w:spacing w:val="-2"/>
        </w:rPr>
        <w:t xml:space="preserve">Regional </w:t>
      </w:r>
      <w:r>
        <w:t>School District</w:t>
      </w:r>
    </w:p>
    <w:p w:rsidR="00C76E6D" w:rsidRDefault="00913831">
      <w:pPr>
        <w:pStyle w:val="BodyText"/>
        <w:spacing w:before="2"/>
        <w:ind w:left="480"/>
      </w:pPr>
      <w:r>
        <w:rPr>
          <w:spacing w:val="-2"/>
        </w:rPr>
        <w:t>Dover</w:t>
      </w:r>
      <w:r>
        <w:rPr>
          <w:spacing w:val="-14"/>
        </w:rPr>
        <w:t xml:space="preserve"> </w:t>
      </w:r>
      <w:r>
        <w:rPr>
          <w:spacing w:val="-2"/>
        </w:rPr>
        <w:t>Sherborn</w:t>
      </w:r>
      <w:r>
        <w:rPr>
          <w:spacing w:val="-13"/>
        </w:rPr>
        <w:t xml:space="preserve"> </w:t>
      </w:r>
      <w:r>
        <w:rPr>
          <w:spacing w:val="-2"/>
        </w:rPr>
        <w:t>Mid</w:t>
      </w:r>
      <w:r>
        <w:rPr>
          <w:spacing w:val="-2"/>
        </w:rPr>
        <w:t>dle School</w:t>
      </w:r>
    </w:p>
    <w:p w:rsidR="00C76E6D" w:rsidRDefault="00913831">
      <w:pPr>
        <w:pStyle w:val="BodyText"/>
        <w:ind w:left="480" w:right="121"/>
      </w:pPr>
      <w:r>
        <w:rPr>
          <w:spacing w:val="-2"/>
        </w:rPr>
        <w:t>East</w:t>
      </w:r>
      <w:r>
        <w:rPr>
          <w:spacing w:val="-12"/>
        </w:rPr>
        <w:t xml:space="preserve"> </w:t>
      </w:r>
      <w:r>
        <w:rPr>
          <w:spacing w:val="-2"/>
        </w:rPr>
        <w:t>Longmeadow</w:t>
      </w:r>
      <w:r>
        <w:rPr>
          <w:spacing w:val="-10"/>
        </w:rPr>
        <w:t xml:space="preserve"> </w:t>
      </w:r>
      <w:r>
        <w:rPr>
          <w:spacing w:val="-2"/>
        </w:rPr>
        <w:t>School District</w:t>
      </w:r>
    </w:p>
    <w:p w:rsidR="00C76E6D" w:rsidRDefault="00913831">
      <w:pPr>
        <w:pStyle w:val="BodyText"/>
        <w:ind w:left="480" w:right="121"/>
      </w:pPr>
      <w:r>
        <w:t xml:space="preserve">Education Cooperative Eliot Elementary </w:t>
      </w:r>
      <w:r>
        <w:rPr>
          <w:spacing w:val="-2"/>
        </w:rPr>
        <w:t>Broadmeadow</w:t>
      </w:r>
      <w:r>
        <w:rPr>
          <w:spacing w:val="-14"/>
        </w:rPr>
        <w:t xml:space="preserve"> </w:t>
      </w:r>
      <w:r>
        <w:rPr>
          <w:spacing w:val="-2"/>
        </w:rPr>
        <w:t xml:space="preserve">Elementary </w:t>
      </w:r>
      <w:r>
        <w:t xml:space="preserve">Elizabeth Pole Elementary </w:t>
      </w:r>
      <w:r>
        <w:rPr>
          <w:spacing w:val="-2"/>
        </w:rPr>
        <w:t>School</w:t>
      </w:r>
    </w:p>
    <w:p w:rsidR="00C76E6D" w:rsidRDefault="00913831">
      <w:pPr>
        <w:pStyle w:val="BodyText"/>
        <w:ind w:left="480" w:right="121"/>
      </w:pPr>
      <w:r>
        <w:rPr>
          <w:spacing w:val="-2"/>
        </w:rPr>
        <w:t>Elliott</w:t>
      </w:r>
      <w:r>
        <w:rPr>
          <w:spacing w:val="-8"/>
        </w:rPr>
        <w:t xml:space="preserve"> </w:t>
      </w:r>
      <w:r>
        <w:rPr>
          <w:spacing w:val="-2"/>
        </w:rPr>
        <w:t>Elementary</w:t>
      </w:r>
      <w:r>
        <w:rPr>
          <w:spacing w:val="-8"/>
        </w:rPr>
        <w:t xml:space="preserve"> </w:t>
      </w:r>
      <w:r>
        <w:rPr>
          <w:spacing w:val="-2"/>
        </w:rPr>
        <w:t>School EOHHS</w:t>
      </w:r>
    </w:p>
    <w:p w:rsidR="00C76E6D" w:rsidRDefault="00913831">
      <w:pPr>
        <w:pStyle w:val="BodyText"/>
        <w:ind w:left="480"/>
      </w:pPr>
      <w:r>
        <w:t xml:space="preserve">Everett High School </w:t>
      </w:r>
      <w:r>
        <w:rPr>
          <w:spacing w:val="-2"/>
        </w:rPr>
        <w:t>Federation</w:t>
      </w:r>
      <w:r>
        <w:rPr>
          <w:spacing w:val="-9"/>
        </w:rPr>
        <w:t xml:space="preserve"> </w:t>
      </w:r>
      <w:r>
        <w:rPr>
          <w:spacing w:val="-2"/>
        </w:rPr>
        <w:t>for</w:t>
      </w:r>
      <w:r>
        <w:rPr>
          <w:spacing w:val="-9"/>
        </w:rPr>
        <w:t xml:space="preserve"> </w:t>
      </w:r>
      <w:r>
        <w:rPr>
          <w:spacing w:val="-2"/>
        </w:rPr>
        <w:t>Children</w:t>
      </w:r>
      <w:r>
        <w:rPr>
          <w:spacing w:val="-9"/>
        </w:rPr>
        <w:t xml:space="preserve"> </w:t>
      </w:r>
      <w:r>
        <w:rPr>
          <w:spacing w:val="-2"/>
        </w:rPr>
        <w:t xml:space="preserve">with </w:t>
      </w:r>
      <w:r>
        <w:t>Special Needs</w:t>
      </w:r>
    </w:p>
    <w:p w:rsidR="00C76E6D" w:rsidRDefault="00913831">
      <w:pPr>
        <w:pStyle w:val="BodyText"/>
        <w:ind w:left="480"/>
      </w:pPr>
      <w:r>
        <w:rPr>
          <w:spacing w:val="-2"/>
        </w:rPr>
        <w:t>Framingham</w:t>
      </w:r>
      <w:r>
        <w:rPr>
          <w:spacing w:val="-10"/>
        </w:rPr>
        <w:t xml:space="preserve"> </w:t>
      </w:r>
      <w:r>
        <w:rPr>
          <w:spacing w:val="-2"/>
        </w:rPr>
        <w:t>Public</w:t>
      </w:r>
      <w:r>
        <w:rPr>
          <w:spacing w:val="-8"/>
        </w:rPr>
        <w:t xml:space="preserve"> </w:t>
      </w:r>
      <w:r>
        <w:rPr>
          <w:spacing w:val="-2"/>
        </w:rPr>
        <w:t>Schoo</w:t>
      </w:r>
      <w:r>
        <w:rPr>
          <w:spacing w:val="-2"/>
        </w:rPr>
        <w:t xml:space="preserve">ls </w:t>
      </w:r>
      <w:r>
        <w:t xml:space="preserve">Frontier Regional School Gateway Regional Middle </w:t>
      </w:r>
      <w:r>
        <w:rPr>
          <w:spacing w:val="-2"/>
        </w:rPr>
        <w:t>School</w:t>
      </w:r>
    </w:p>
    <w:p w:rsidR="00C76E6D" w:rsidRDefault="00913831">
      <w:pPr>
        <w:pStyle w:val="BodyText"/>
        <w:spacing w:before="1"/>
        <w:ind w:left="480"/>
      </w:pPr>
      <w:r>
        <w:t xml:space="preserve">Greater Boston PFLAG George Keverian School </w:t>
      </w:r>
      <w:r>
        <w:rPr>
          <w:spacing w:val="-2"/>
        </w:rPr>
        <w:t>Gibbons</w:t>
      </w:r>
      <w:r>
        <w:rPr>
          <w:spacing w:val="-8"/>
        </w:rPr>
        <w:t xml:space="preserve"> </w:t>
      </w:r>
      <w:r>
        <w:rPr>
          <w:spacing w:val="-2"/>
        </w:rPr>
        <w:t>Elementary</w:t>
      </w:r>
      <w:r>
        <w:rPr>
          <w:spacing w:val="-9"/>
        </w:rPr>
        <w:t xml:space="preserve"> </w:t>
      </w:r>
      <w:r>
        <w:rPr>
          <w:spacing w:val="-2"/>
        </w:rPr>
        <w:t xml:space="preserve">School </w:t>
      </w:r>
      <w:r>
        <w:t>Gifford School</w:t>
      </w:r>
    </w:p>
    <w:p w:rsidR="00C76E6D" w:rsidRDefault="00913831">
      <w:pPr>
        <w:pStyle w:val="BodyText"/>
        <w:ind w:left="480"/>
      </w:pPr>
      <w:r>
        <w:t xml:space="preserve">Granby Jr. Sr. High School Granby Public Schools </w:t>
      </w:r>
      <w:r>
        <w:rPr>
          <w:spacing w:val="-2"/>
        </w:rPr>
        <w:t>Hampshire</w:t>
      </w:r>
      <w:r>
        <w:rPr>
          <w:spacing w:val="-9"/>
        </w:rPr>
        <w:t xml:space="preserve"> </w:t>
      </w:r>
      <w:r>
        <w:rPr>
          <w:spacing w:val="-2"/>
        </w:rPr>
        <w:t>Regional</w:t>
      </w:r>
      <w:r>
        <w:rPr>
          <w:spacing w:val="-8"/>
        </w:rPr>
        <w:t xml:space="preserve"> </w:t>
      </w:r>
      <w:r>
        <w:rPr>
          <w:spacing w:val="-2"/>
        </w:rPr>
        <w:t xml:space="preserve">Middle </w:t>
      </w:r>
      <w:r>
        <w:t>and High Schools</w:t>
      </w:r>
    </w:p>
    <w:p w:rsidR="00C76E6D" w:rsidRDefault="00913831">
      <w:pPr>
        <w:pStyle w:val="BodyText"/>
        <w:ind w:left="480"/>
      </w:pPr>
      <w:r>
        <w:rPr>
          <w:spacing w:val="-2"/>
        </w:rPr>
        <w:t>Harvard</w:t>
      </w:r>
      <w:r>
        <w:rPr>
          <w:spacing w:val="-11"/>
        </w:rPr>
        <w:t xml:space="preserve"> </w:t>
      </w:r>
      <w:r>
        <w:rPr>
          <w:spacing w:val="-2"/>
        </w:rPr>
        <w:t>Graduate</w:t>
      </w:r>
      <w:r>
        <w:rPr>
          <w:spacing w:val="-10"/>
        </w:rPr>
        <w:t xml:space="preserve"> </w:t>
      </w:r>
      <w:r>
        <w:rPr>
          <w:spacing w:val="-2"/>
        </w:rPr>
        <w:t>School</w:t>
      </w:r>
      <w:r>
        <w:rPr>
          <w:spacing w:val="-11"/>
        </w:rPr>
        <w:t xml:space="preserve"> </w:t>
      </w:r>
      <w:r>
        <w:rPr>
          <w:spacing w:val="-2"/>
        </w:rPr>
        <w:t>of Education</w:t>
      </w:r>
    </w:p>
    <w:p w:rsidR="00C76E6D" w:rsidRDefault="00913831">
      <w:pPr>
        <w:pStyle w:val="BodyText"/>
        <w:ind w:left="480" w:right="121"/>
      </w:pPr>
      <w:r>
        <w:rPr>
          <w:spacing w:val="-2"/>
        </w:rPr>
        <w:t>Hawthorne</w:t>
      </w:r>
      <w:r>
        <w:rPr>
          <w:spacing w:val="-12"/>
        </w:rPr>
        <w:t xml:space="preserve"> </w:t>
      </w:r>
      <w:r>
        <w:rPr>
          <w:spacing w:val="-2"/>
        </w:rPr>
        <w:t>Brook</w:t>
      </w:r>
      <w:r>
        <w:rPr>
          <w:spacing w:val="-12"/>
        </w:rPr>
        <w:t xml:space="preserve"> </w:t>
      </w:r>
      <w:r>
        <w:rPr>
          <w:spacing w:val="-2"/>
        </w:rPr>
        <w:t>Middle School</w:t>
      </w:r>
    </w:p>
    <w:p w:rsidR="00C76E6D" w:rsidRDefault="00913831">
      <w:pPr>
        <w:pStyle w:val="BodyText"/>
        <w:ind w:left="479"/>
      </w:pPr>
      <w:r>
        <w:t xml:space="preserve">Nissitissit Middle School </w:t>
      </w:r>
      <w:r>
        <w:rPr>
          <w:spacing w:val="-2"/>
        </w:rPr>
        <w:t>Hildreth</w:t>
      </w:r>
      <w:r>
        <w:rPr>
          <w:spacing w:val="-8"/>
        </w:rPr>
        <w:t xml:space="preserve"> </w:t>
      </w:r>
      <w:r>
        <w:rPr>
          <w:spacing w:val="-2"/>
        </w:rPr>
        <w:t>Elementary</w:t>
      </w:r>
      <w:r>
        <w:rPr>
          <w:spacing w:val="-8"/>
        </w:rPr>
        <w:t xml:space="preserve"> </w:t>
      </w:r>
      <w:r>
        <w:rPr>
          <w:spacing w:val="-2"/>
        </w:rPr>
        <w:t xml:space="preserve">School </w:t>
      </w:r>
      <w:r>
        <w:t>Hull High School</w:t>
      </w:r>
    </w:p>
    <w:p w:rsidR="00C76E6D" w:rsidRDefault="00913831">
      <w:pPr>
        <w:pStyle w:val="BodyText"/>
        <w:ind w:left="479"/>
      </w:pPr>
      <w:r>
        <w:t xml:space="preserve">Memorial Middle School </w:t>
      </w:r>
      <w:r>
        <w:rPr>
          <w:spacing w:val="-2"/>
        </w:rPr>
        <w:t>Jacobs</w:t>
      </w:r>
      <w:r>
        <w:rPr>
          <w:spacing w:val="-9"/>
        </w:rPr>
        <w:t xml:space="preserve"> </w:t>
      </w:r>
      <w:r>
        <w:rPr>
          <w:spacing w:val="-2"/>
        </w:rPr>
        <w:t>Elementary</w:t>
      </w:r>
      <w:r>
        <w:rPr>
          <w:spacing w:val="-9"/>
        </w:rPr>
        <w:t xml:space="preserve"> </w:t>
      </w:r>
      <w:r>
        <w:rPr>
          <w:spacing w:val="-2"/>
        </w:rPr>
        <w:t>School</w:t>
      </w:r>
    </w:p>
    <w:p w:rsidR="00C76E6D" w:rsidRDefault="00913831">
      <w:pPr>
        <w:pStyle w:val="BodyText"/>
        <w:spacing w:before="58"/>
        <w:ind w:left="480" w:right="811"/>
      </w:pPr>
      <w:r>
        <w:br w:type="column"/>
      </w:r>
      <w:r>
        <w:t xml:space="preserve">Hull Public Schools </w:t>
      </w:r>
      <w:r>
        <w:rPr>
          <w:spacing w:val="-2"/>
        </w:rPr>
        <w:t>Ipswich</w:t>
      </w:r>
      <w:r>
        <w:rPr>
          <w:spacing w:val="-12"/>
        </w:rPr>
        <w:t xml:space="preserve"> </w:t>
      </w:r>
      <w:r>
        <w:rPr>
          <w:spacing w:val="-2"/>
        </w:rPr>
        <w:t>Middle</w:t>
      </w:r>
      <w:r>
        <w:rPr>
          <w:spacing w:val="-13"/>
        </w:rPr>
        <w:t xml:space="preserve"> </w:t>
      </w:r>
      <w:r>
        <w:rPr>
          <w:spacing w:val="-2"/>
        </w:rPr>
        <w:t xml:space="preserve">School </w:t>
      </w:r>
      <w:r>
        <w:t>Ipswich High School</w:t>
      </w:r>
    </w:p>
    <w:p w:rsidR="00C76E6D" w:rsidRDefault="00913831">
      <w:pPr>
        <w:pStyle w:val="BodyText"/>
        <w:spacing w:before="2"/>
        <w:ind w:left="480" w:right="811"/>
      </w:pPr>
      <w:r>
        <w:rPr>
          <w:spacing w:val="-2"/>
        </w:rPr>
        <w:t>John</w:t>
      </w:r>
      <w:r>
        <w:rPr>
          <w:spacing w:val="-12"/>
        </w:rPr>
        <w:t xml:space="preserve"> </w:t>
      </w:r>
      <w:r>
        <w:rPr>
          <w:spacing w:val="-2"/>
        </w:rPr>
        <w:t>Glenn</w:t>
      </w:r>
      <w:r>
        <w:rPr>
          <w:spacing w:val="-11"/>
        </w:rPr>
        <w:t xml:space="preserve"> </w:t>
      </w:r>
      <w:r>
        <w:rPr>
          <w:spacing w:val="-2"/>
        </w:rPr>
        <w:t>Middle</w:t>
      </w:r>
      <w:r>
        <w:rPr>
          <w:spacing w:val="-12"/>
        </w:rPr>
        <w:t xml:space="preserve"> </w:t>
      </w:r>
      <w:r>
        <w:rPr>
          <w:spacing w:val="-2"/>
        </w:rPr>
        <w:t xml:space="preserve">School </w:t>
      </w:r>
      <w:r>
        <w:t>Johnson Middle School Bird Middle School</w:t>
      </w:r>
    </w:p>
    <w:p w:rsidR="00C76E6D" w:rsidRDefault="00913831">
      <w:pPr>
        <w:pStyle w:val="BodyText"/>
        <w:ind w:left="479" w:right="537"/>
      </w:pPr>
      <w:r>
        <w:t xml:space="preserve">Joyce Kilmer Upper School </w:t>
      </w:r>
      <w:r>
        <w:rPr>
          <w:spacing w:val="-2"/>
        </w:rPr>
        <w:t>JRI</w:t>
      </w:r>
      <w:r>
        <w:rPr>
          <w:spacing w:val="-9"/>
        </w:rPr>
        <w:t xml:space="preserve"> </w:t>
      </w:r>
      <w:r>
        <w:rPr>
          <w:spacing w:val="-2"/>
        </w:rPr>
        <w:t>Therapeutic</w:t>
      </w:r>
      <w:r>
        <w:rPr>
          <w:spacing w:val="-9"/>
        </w:rPr>
        <w:t xml:space="preserve"> </w:t>
      </w:r>
      <w:r>
        <w:rPr>
          <w:spacing w:val="-2"/>
        </w:rPr>
        <w:t>Day</w:t>
      </w:r>
      <w:r>
        <w:rPr>
          <w:spacing w:val="-10"/>
        </w:rPr>
        <w:t xml:space="preserve"> </w:t>
      </w:r>
      <w:r>
        <w:rPr>
          <w:spacing w:val="-2"/>
        </w:rPr>
        <w:t xml:space="preserve">Schools </w:t>
      </w:r>
      <w:r>
        <w:t>King</w:t>
      </w:r>
      <w:r>
        <w:rPr>
          <w:spacing w:val="-11"/>
        </w:rPr>
        <w:t xml:space="preserve"> </w:t>
      </w:r>
      <w:r>
        <w:t>Philip</w:t>
      </w:r>
      <w:r>
        <w:rPr>
          <w:spacing w:val="-10"/>
        </w:rPr>
        <w:t xml:space="preserve"> </w:t>
      </w:r>
      <w:r>
        <w:t>Middle</w:t>
      </w:r>
      <w:r>
        <w:rPr>
          <w:spacing w:val="-11"/>
        </w:rPr>
        <w:t xml:space="preserve"> </w:t>
      </w:r>
      <w:r>
        <w:t>and</w:t>
      </w:r>
      <w:r>
        <w:rPr>
          <w:spacing w:val="-11"/>
        </w:rPr>
        <w:t xml:space="preserve"> </w:t>
      </w:r>
      <w:r>
        <w:t xml:space="preserve">High </w:t>
      </w:r>
      <w:r>
        <w:rPr>
          <w:spacing w:val="-2"/>
        </w:rPr>
        <w:t>Schools</w:t>
      </w:r>
    </w:p>
    <w:p w:rsidR="00C76E6D" w:rsidRDefault="00913831">
      <w:pPr>
        <w:pStyle w:val="BodyText"/>
        <w:ind w:left="479" w:right="470"/>
      </w:pPr>
      <w:r>
        <w:rPr>
          <w:spacing w:val="-2"/>
        </w:rPr>
        <w:t>Laliberte</w:t>
      </w:r>
      <w:r>
        <w:rPr>
          <w:spacing w:val="-7"/>
        </w:rPr>
        <w:t xml:space="preserve"> </w:t>
      </w:r>
      <w:r>
        <w:rPr>
          <w:spacing w:val="-2"/>
        </w:rPr>
        <w:t>Elementary</w:t>
      </w:r>
      <w:r>
        <w:rPr>
          <w:spacing w:val="-5"/>
        </w:rPr>
        <w:t xml:space="preserve"> </w:t>
      </w:r>
      <w:r>
        <w:rPr>
          <w:spacing w:val="-2"/>
        </w:rPr>
        <w:t xml:space="preserve">School </w:t>
      </w:r>
      <w:r>
        <w:t>Merrill Elementary School Mitchell</w:t>
      </w:r>
      <w:r>
        <w:rPr>
          <w:spacing w:val="-4"/>
        </w:rPr>
        <w:t xml:space="preserve"> </w:t>
      </w:r>
      <w:r>
        <w:t>Elementary</w:t>
      </w:r>
      <w:r>
        <w:rPr>
          <w:spacing w:val="-5"/>
        </w:rPr>
        <w:t xml:space="preserve"> </w:t>
      </w:r>
      <w:r>
        <w:t>School Lawrence High School Lexington Community Lib</w:t>
      </w:r>
      <w:r>
        <w:t>ertas Academy</w:t>
      </w:r>
    </w:p>
    <w:p w:rsidR="00C76E6D" w:rsidRDefault="00913831">
      <w:pPr>
        <w:pStyle w:val="BodyText"/>
        <w:ind w:left="479" w:right="537"/>
      </w:pPr>
      <w:r>
        <w:t>MA</w:t>
      </w:r>
      <w:r>
        <w:rPr>
          <w:spacing w:val="-13"/>
        </w:rPr>
        <w:t xml:space="preserve"> </w:t>
      </w:r>
      <w:r>
        <w:t>Commission</w:t>
      </w:r>
      <w:r>
        <w:rPr>
          <w:spacing w:val="-12"/>
        </w:rPr>
        <w:t xml:space="preserve"> </w:t>
      </w:r>
      <w:r>
        <w:t>for</w:t>
      </w:r>
      <w:r>
        <w:rPr>
          <w:spacing w:val="-13"/>
        </w:rPr>
        <w:t xml:space="preserve"> </w:t>
      </w:r>
      <w:r>
        <w:t>the</w:t>
      </w:r>
      <w:r>
        <w:rPr>
          <w:spacing w:val="-12"/>
        </w:rPr>
        <w:t xml:space="preserve"> </w:t>
      </w:r>
      <w:r>
        <w:t xml:space="preserve">Blind Malcolm White Elementary </w:t>
      </w:r>
      <w:r>
        <w:rPr>
          <w:spacing w:val="-2"/>
        </w:rPr>
        <w:t>School</w:t>
      </w:r>
    </w:p>
    <w:p w:rsidR="00C76E6D" w:rsidRDefault="00913831">
      <w:pPr>
        <w:pStyle w:val="BodyText"/>
        <w:ind w:left="480" w:right="517"/>
      </w:pPr>
      <w:r>
        <w:t xml:space="preserve">Marblehead Public Schools </w:t>
      </w:r>
      <w:r>
        <w:rPr>
          <w:spacing w:val="-2"/>
        </w:rPr>
        <w:t>Massachusetts</w:t>
      </w:r>
      <w:r>
        <w:rPr>
          <w:spacing w:val="-6"/>
        </w:rPr>
        <w:t xml:space="preserve"> </w:t>
      </w:r>
      <w:r>
        <w:rPr>
          <w:spacing w:val="-2"/>
        </w:rPr>
        <w:t>Association</w:t>
      </w:r>
      <w:r>
        <w:rPr>
          <w:spacing w:val="-5"/>
        </w:rPr>
        <w:t xml:space="preserve"> </w:t>
      </w:r>
      <w:r>
        <w:rPr>
          <w:spacing w:val="-2"/>
        </w:rPr>
        <w:t xml:space="preserve">of </w:t>
      </w:r>
      <w:r>
        <w:t>School Superintendents McCarty Elementary School Medway High School</w:t>
      </w:r>
      <w:r>
        <w:rPr>
          <w:spacing w:val="40"/>
        </w:rPr>
        <w:t xml:space="preserve"> </w:t>
      </w:r>
      <w:r>
        <w:t>Melican Middle School</w:t>
      </w:r>
    </w:p>
    <w:p w:rsidR="00C76E6D" w:rsidRDefault="00913831">
      <w:pPr>
        <w:pStyle w:val="BodyText"/>
        <w:spacing w:line="268" w:lineRule="exact"/>
        <w:ind w:left="480"/>
      </w:pPr>
      <w:r>
        <w:rPr>
          <w:spacing w:val="-4"/>
        </w:rPr>
        <w:t>MIAA</w:t>
      </w:r>
    </w:p>
    <w:p w:rsidR="00C76E6D" w:rsidRDefault="00913831">
      <w:pPr>
        <w:pStyle w:val="BodyText"/>
        <w:ind w:left="480" w:right="926"/>
      </w:pPr>
      <w:r>
        <w:rPr>
          <w:spacing w:val="-2"/>
        </w:rPr>
        <w:t>Millis</w:t>
      </w:r>
      <w:r>
        <w:rPr>
          <w:spacing w:val="-12"/>
        </w:rPr>
        <w:t xml:space="preserve"> </w:t>
      </w:r>
      <w:r>
        <w:rPr>
          <w:spacing w:val="-2"/>
        </w:rPr>
        <w:t>Middle</w:t>
      </w:r>
      <w:r>
        <w:rPr>
          <w:spacing w:val="-11"/>
        </w:rPr>
        <w:t xml:space="preserve"> </w:t>
      </w:r>
      <w:r>
        <w:rPr>
          <w:spacing w:val="-2"/>
        </w:rPr>
        <w:t xml:space="preserve">School </w:t>
      </w:r>
      <w:r>
        <w:t>Millis High School</w:t>
      </w:r>
    </w:p>
    <w:p w:rsidR="00C76E6D" w:rsidRDefault="00913831">
      <w:pPr>
        <w:pStyle w:val="BodyText"/>
        <w:ind w:left="480" w:right="675"/>
      </w:pPr>
      <w:r>
        <w:rPr>
          <w:spacing w:val="-2"/>
        </w:rPr>
        <w:t>Mindess</w:t>
      </w:r>
      <w:r>
        <w:rPr>
          <w:spacing w:val="-9"/>
        </w:rPr>
        <w:t xml:space="preserve"> </w:t>
      </w:r>
      <w:r>
        <w:rPr>
          <w:spacing w:val="-2"/>
        </w:rPr>
        <w:t>Elementary</w:t>
      </w:r>
      <w:r>
        <w:rPr>
          <w:spacing w:val="-7"/>
        </w:rPr>
        <w:t xml:space="preserve"> </w:t>
      </w:r>
      <w:r>
        <w:rPr>
          <w:spacing w:val="-2"/>
        </w:rPr>
        <w:t xml:space="preserve">School </w:t>
      </w:r>
      <w:r>
        <w:t>Miscoe Hill Middle School Monson Public Schools NAN project</w:t>
      </w:r>
    </w:p>
    <w:p w:rsidR="00C76E6D" w:rsidRDefault="00913831">
      <w:pPr>
        <w:pStyle w:val="BodyText"/>
        <w:ind w:left="480" w:right="537"/>
      </w:pPr>
      <w:r>
        <w:t xml:space="preserve">Nashoba Regional District </w:t>
      </w:r>
      <w:r>
        <w:rPr>
          <w:spacing w:val="-2"/>
        </w:rPr>
        <w:t>Newman</w:t>
      </w:r>
      <w:r>
        <w:rPr>
          <w:spacing w:val="-9"/>
        </w:rPr>
        <w:t xml:space="preserve"> </w:t>
      </w:r>
      <w:r>
        <w:rPr>
          <w:spacing w:val="-2"/>
        </w:rPr>
        <w:t>Elementary</w:t>
      </w:r>
      <w:r>
        <w:rPr>
          <w:spacing w:val="-8"/>
        </w:rPr>
        <w:t xml:space="preserve"> </w:t>
      </w:r>
      <w:r>
        <w:rPr>
          <w:spacing w:val="-2"/>
        </w:rPr>
        <w:t xml:space="preserve">School </w:t>
      </w:r>
      <w:r>
        <w:t>Newton Public Schools Nichols Middle School Project Connect</w:t>
      </w:r>
    </w:p>
    <w:p w:rsidR="00C76E6D" w:rsidRDefault="00C76E6D">
      <w:pPr>
        <w:sectPr w:rsidR="00C76E6D">
          <w:type w:val="continuous"/>
          <w:pgSz w:w="12240" w:h="15840"/>
          <w:pgMar w:top="0" w:right="960" w:bottom="0" w:left="960" w:header="769" w:footer="1005" w:gutter="0"/>
          <w:cols w:num="3" w:space="720" w:equalWidth="0">
            <w:col w:w="3024" w:space="335"/>
            <w:col w:w="3012" w:space="348"/>
            <w:col w:w="3601"/>
          </w:cols>
        </w:sectPr>
      </w:pPr>
    </w:p>
    <w:p w:rsidR="00C76E6D" w:rsidRDefault="00C76E6D">
      <w:pPr>
        <w:pStyle w:val="BodyText"/>
        <w:rPr>
          <w:sz w:val="20"/>
        </w:rPr>
      </w:pPr>
    </w:p>
    <w:p w:rsidR="00C76E6D" w:rsidRDefault="00C76E6D">
      <w:pPr>
        <w:rPr>
          <w:sz w:val="20"/>
        </w:rPr>
        <w:sectPr w:rsidR="00C76E6D">
          <w:pgSz w:w="12240" w:h="15840"/>
          <w:pgMar w:top="960" w:right="960" w:bottom="1200" w:left="960" w:header="769" w:footer="1005" w:gutter="0"/>
          <w:cols w:space="720"/>
        </w:sectPr>
      </w:pPr>
    </w:p>
    <w:p w:rsidR="00C76E6D" w:rsidRDefault="00C76E6D">
      <w:pPr>
        <w:pStyle w:val="BodyText"/>
        <w:rPr>
          <w:sz w:val="17"/>
        </w:rPr>
      </w:pPr>
    </w:p>
    <w:p w:rsidR="00C76E6D" w:rsidRDefault="00913831">
      <w:pPr>
        <w:pStyle w:val="BodyText"/>
        <w:ind w:left="479" w:right="370"/>
        <w:jc w:val="both"/>
      </w:pPr>
      <w:r>
        <w:t>Qualters Middle School Ralph</w:t>
      </w:r>
      <w:r>
        <w:rPr>
          <w:spacing w:val="-12"/>
        </w:rPr>
        <w:t xml:space="preserve"> </w:t>
      </w:r>
      <w:r>
        <w:t>C</w:t>
      </w:r>
      <w:r>
        <w:rPr>
          <w:spacing w:val="-10"/>
        </w:rPr>
        <w:t xml:space="preserve"> </w:t>
      </w:r>
      <w:r>
        <w:t>Mahar</w:t>
      </w:r>
      <w:r>
        <w:rPr>
          <w:spacing w:val="-13"/>
        </w:rPr>
        <w:t xml:space="preserve"> </w:t>
      </w:r>
      <w:r>
        <w:t xml:space="preserve">Regional </w:t>
      </w:r>
      <w:r>
        <w:rPr>
          <w:spacing w:val="-2"/>
        </w:rPr>
        <w:t>School</w:t>
      </w:r>
    </w:p>
    <w:p w:rsidR="00C76E6D" w:rsidRDefault="00913831">
      <w:pPr>
        <w:pStyle w:val="BodyText"/>
        <w:spacing w:before="1"/>
        <w:ind w:left="478"/>
      </w:pPr>
      <w:r>
        <w:t xml:space="preserve">Randolph High School Revere Public Schools </w:t>
      </w:r>
      <w:r>
        <w:rPr>
          <w:spacing w:val="-2"/>
        </w:rPr>
        <w:t>Riverside</w:t>
      </w:r>
      <w:r>
        <w:rPr>
          <w:spacing w:val="-10"/>
        </w:rPr>
        <w:t xml:space="preserve"> </w:t>
      </w:r>
      <w:r>
        <w:rPr>
          <w:spacing w:val="-2"/>
        </w:rPr>
        <w:t>Community</w:t>
      </w:r>
      <w:r>
        <w:rPr>
          <w:spacing w:val="-9"/>
        </w:rPr>
        <w:t xml:space="preserve"> </w:t>
      </w:r>
      <w:r>
        <w:rPr>
          <w:spacing w:val="-2"/>
        </w:rPr>
        <w:t xml:space="preserve">Care </w:t>
      </w:r>
      <w:r>
        <w:t>Rockland HS</w:t>
      </w:r>
    </w:p>
    <w:p w:rsidR="00C76E6D" w:rsidRDefault="00913831">
      <w:pPr>
        <w:pStyle w:val="BodyText"/>
        <w:ind w:left="479"/>
      </w:pPr>
      <w:r>
        <w:rPr>
          <w:w w:val="95"/>
        </w:rPr>
        <w:t>Runkle</w:t>
      </w:r>
      <w:r>
        <w:rPr>
          <w:spacing w:val="11"/>
        </w:rPr>
        <w:t xml:space="preserve"> </w:t>
      </w:r>
      <w:r>
        <w:rPr>
          <w:spacing w:val="-2"/>
        </w:rPr>
        <w:t>School</w:t>
      </w:r>
    </w:p>
    <w:p w:rsidR="00C76E6D" w:rsidRDefault="00913831">
      <w:pPr>
        <w:pStyle w:val="BodyText"/>
        <w:ind w:left="478"/>
      </w:pPr>
      <w:r>
        <w:t xml:space="preserve">Salem Public Schools </w:t>
      </w:r>
      <w:r>
        <w:rPr>
          <w:spacing w:val="-2"/>
        </w:rPr>
        <w:t>Shawsheen</w:t>
      </w:r>
      <w:r>
        <w:rPr>
          <w:spacing w:val="-7"/>
        </w:rPr>
        <w:t xml:space="preserve"> </w:t>
      </w:r>
      <w:r>
        <w:rPr>
          <w:spacing w:val="-2"/>
        </w:rPr>
        <w:t>Valley</w:t>
      </w:r>
      <w:r>
        <w:rPr>
          <w:spacing w:val="-7"/>
        </w:rPr>
        <w:t xml:space="preserve"> </w:t>
      </w:r>
      <w:r>
        <w:rPr>
          <w:spacing w:val="-2"/>
        </w:rPr>
        <w:t xml:space="preserve">Technical </w:t>
      </w:r>
      <w:r>
        <w:t>High School</w:t>
      </w:r>
    </w:p>
    <w:p w:rsidR="00C76E6D" w:rsidRDefault="00913831">
      <w:pPr>
        <w:pStyle w:val="BodyText"/>
        <w:spacing w:before="1"/>
        <w:ind w:left="478"/>
      </w:pPr>
      <w:r>
        <w:rPr>
          <w:spacing w:val="-2"/>
        </w:rPr>
        <w:t>Shepard</w:t>
      </w:r>
      <w:r>
        <w:rPr>
          <w:spacing w:val="-10"/>
        </w:rPr>
        <w:t xml:space="preserve"> </w:t>
      </w:r>
      <w:r>
        <w:rPr>
          <w:spacing w:val="-2"/>
        </w:rPr>
        <w:t>Hill</w:t>
      </w:r>
      <w:r>
        <w:rPr>
          <w:spacing w:val="-9"/>
        </w:rPr>
        <w:t xml:space="preserve"> </w:t>
      </w:r>
      <w:r>
        <w:rPr>
          <w:spacing w:val="-2"/>
        </w:rPr>
        <w:t>Regional</w:t>
      </w:r>
      <w:r>
        <w:rPr>
          <w:spacing w:val="-11"/>
        </w:rPr>
        <w:t xml:space="preserve"> </w:t>
      </w:r>
      <w:r>
        <w:rPr>
          <w:spacing w:val="-2"/>
        </w:rPr>
        <w:t>High School</w:t>
      </w:r>
    </w:p>
    <w:p w:rsidR="00C76E6D" w:rsidRDefault="00913831">
      <w:pPr>
        <w:rPr>
          <w:sz w:val="17"/>
        </w:rPr>
      </w:pPr>
      <w:r>
        <w:br w:type="column"/>
      </w:r>
    </w:p>
    <w:p w:rsidR="00C76E6D" w:rsidRDefault="00913831">
      <w:pPr>
        <w:pStyle w:val="BodyText"/>
        <w:ind w:left="478"/>
      </w:pPr>
      <w:r>
        <w:rPr>
          <w:spacing w:val="-2"/>
        </w:rPr>
        <w:t>Charlton</w:t>
      </w:r>
      <w:r>
        <w:rPr>
          <w:spacing w:val="-12"/>
        </w:rPr>
        <w:t xml:space="preserve"> </w:t>
      </w:r>
      <w:r>
        <w:rPr>
          <w:spacing w:val="-2"/>
        </w:rPr>
        <w:t>Middle</w:t>
      </w:r>
      <w:r>
        <w:rPr>
          <w:spacing w:val="-12"/>
        </w:rPr>
        <w:t xml:space="preserve"> </w:t>
      </w:r>
      <w:r>
        <w:rPr>
          <w:spacing w:val="-2"/>
        </w:rPr>
        <w:t xml:space="preserve">School </w:t>
      </w:r>
      <w:r>
        <w:t>Dudley Middle School Heritage School</w:t>
      </w:r>
    </w:p>
    <w:p w:rsidR="00C76E6D" w:rsidRDefault="00913831">
      <w:pPr>
        <w:pStyle w:val="BodyText"/>
        <w:spacing w:before="1"/>
        <w:ind w:left="478"/>
      </w:pPr>
      <w:r>
        <w:rPr>
          <w:spacing w:val="-2"/>
        </w:rPr>
        <w:t>Mason</w:t>
      </w:r>
      <w:r>
        <w:rPr>
          <w:spacing w:val="-15"/>
        </w:rPr>
        <w:t xml:space="preserve"> </w:t>
      </w:r>
      <w:r>
        <w:rPr>
          <w:spacing w:val="-2"/>
        </w:rPr>
        <w:t>Road</w:t>
      </w:r>
      <w:r>
        <w:rPr>
          <w:spacing w:val="-11"/>
        </w:rPr>
        <w:t xml:space="preserve"> </w:t>
      </w:r>
      <w:r>
        <w:rPr>
          <w:spacing w:val="-2"/>
        </w:rPr>
        <w:t>Elementary School</w:t>
      </w:r>
    </w:p>
    <w:p w:rsidR="00C76E6D" w:rsidRDefault="00913831">
      <w:pPr>
        <w:pStyle w:val="BodyText"/>
        <w:spacing w:before="1"/>
        <w:ind w:left="479"/>
      </w:pPr>
      <w:r>
        <w:t xml:space="preserve">Smith Vocational and Agricultural High School Southeast Regional GSA's </w:t>
      </w:r>
      <w:r>
        <w:rPr>
          <w:spacing w:val="-2"/>
        </w:rPr>
        <w:t>Steward</w:t>
      </w:r>
      <w:r>
        <w:rPr>
          <w:spacing w:val="-9"/>
        </w:rPr>
        <w:t xml:space="preserve"> </w:t>
      </w:r>
      <w:r>
        <w:rPr>
          <w:spacing w:val="-2"/>
        </w:rPr>
        <w:t>Elementary</w:t>
      </w:r>
      <w:r>
        <w:rPr>
          <w:spacing w:val="-9"/>
        </w:rPr>
        <w:t xml:space="preserve"> </w:t>
      </w:r>
      <w:r>
        <w:rPr>
          <w:spacing w:val="-2"/>
        </w:rPr>
        <w:t xml:space="preserve">School </w:t>
      </w:r>
      <w:r>
        <w:t>Stoughton Public</w:t>
      </w:r>
    </w:p>
    <w:p w:rsidR="00C76E6D" w:rsidRDefault="00913831">
      <w:pPr>
        <w:pStyle w:val="BodyText"/>
        <w:ind w:left="479"/>
      </w:pPr>
      <w:r>
        <w:rPr>
          <w:spacing w:val="-2"/>
        </w:rPr>
        <w:t>The</w:t>
      </w:r>
      <w:r>
        <w:rPr>
          <w:spacing w:val="-9"/>
        </w:rPr>
        <w:t xml:space="preserve"> </w:t>
      </w:r>
      <w:r>
        <w:rPr>
          <w:spacing w:val="-2"/>
        </w:rPr>
        <w:t>Education</w:t>
      </w:r>
      <w:r>
        <w:rPr>
          <w:spacing w:val="-9"/>
        </w:rPr>
        <w:t xml:space="preserve"> </w:t>
      </w:r>
      <w:r>
        <w:rPr>
          <w:spacing w:val="-2"/>
        </w:rPr>
        <w:t xml:space="preserve">Cooperative </w:t>
      </w:r>
      <w:r>
        <w:t>Tri County RVTHS</w:t>
      </w:r>
    </w:p>
    <w:p w:rsidR="00C76E6D" w:rsidRDefault="00913831">
      <w:pPr>
        <w:pStyle w:val="BodyText"/>
        <w:spacing w:before="5"/>
        <w:ind w:left="479"/>
      </w:pPr>
      <w:r>
        <w:t>Tri</w:t>
      </w:r>
      <w:r>
        <w:rPr>
          <w:spacing w:val="-13"/>
        </w:rPr>
        <w:t xml:space="preserve"> </w:t>
      </w:r>
      <w:r>
        <w:t>School</w:t>
      </w:r>
      <w:r>
        <w:rPr>
          <w:spacing w:val="-12"/>
        </w:rPr>
        <w:t xml:space="preserve"> </w:t>
      </w:r>
      <w:r>
        <w:rPr>
          <w:spacing w:val="-4"/>
        </w:rPr>
        <w:t>Union</w:t>
      </w:r>
    </w:p>
    <w:p w:rsidR="00C76E6D" w:rsidRDefault="00913831">
      <w:pPr>
        <w:spacing w:before="2"/>
        <w:rPr>
          <w:sz w:val="17"/>
        </w:rPr>
      </w:pPr>
      <w:r>
        <w:br w:type="column"/>
      </w:r>
    </w:p>
    <w:p w:rsidR="00C76E6D" w:rsidRDefault="00913831">
      <w:pPr>
        <w:pStyle w:val="BodyText"/>
        <w:ind w:left="478" w:right="746"/>
      </w:pPr>
      <w:r>
        <w:t xml:space="preserve">Upper Cape Cod Tech Walpole High School </w:t>
      </w:r>
      <w:r>
        <w:rPr>
          <w:spacing w:val="-2"/>
        </w:rPr>
        <w:t>Welch</w:t>
      </w:r>
      <w:r>
        <w:rPr>
          <w:spacing w:val="-11"/>
        </w:rPr>
        <w:t xml:space="preserve"> </w:t>
      </w:r>
      <w:r>
        <w:rPr>
          <w:spacing w:val="-2"/>
        </w:rPr>
        <w:t>Elementary</w:t>
      </w:r>
      <w:r>
        <w:rPr>
          <w:spacing w:val="-11"/>
        </w:rPr>
        <w:t xml:space="preserve"> </w:t>
      </w:r>
      <w:r>
        <w:rPr>
          <w:spacing w:val="-2"/>
        </w:rPr>
        <w:t xml:space="preserve">School </w:t>
      </w:r>
      <w:r>
        <w:t>West Intermediate</w:t>
      </w:r>
    </w:p>
    <w:p w:rsidR="00C76E6D" w:rsidRDefault="00913831">
      <w:pPr>
        <w:pStyle w:val="BodyText"/>
        <w:ind w:left="478" w:right="317"/>
      </w:pPr>
      <w:r>
        <w:rPr>
          <w:spacing w:val="-2"/>
        </w:rPr>
        <w:t>Weston</w:t>
      </w:r>
      <w:r>
        <w:rPr>
          <w:spacing w:val="-9"/>
        </w:rPr>
        <w:t xml:space="preserve"> </w:t>
      </w:r>
      <w:r>
        <w:rPr>
          <w:spacing w:val="-2"/>
        </w:rPr>
        <w:t>Elementary</w:t>
      </w:r>
      <w:r>
        <w:rPr>
          <w:spacing w:val="-9"/>
        </w:rPr>
        <w:t xml:space="preserve"> </w:t>
      </w:r>
      <w:r>
        <w:rPr>
          <w:spacing w:val="-2"/>
        </w:rPr>
        <w:t xml:space="preserve">Schools </w:t>
      </w:r>
      <w:r>
        <w:t>Winchester High School Winchester Middle School Winn Brook</w:t>
      </w:r>
    </w:p>
    <w:p w:rsidR="00C76E6D" w:rsidRDefault="00913831">
      <w:pPr>
        <w:pStyle w:val="BodyText"/>
        <w:ind w:left="478" w:right="746"/>
      </w:pPr>
      <w:r>
        <w:rPr>
          <w:spacing w:val="-2"/>
        </w:rPr>
        <w:t>Worcester</w:t>
      </w:r>
      <w:r>
        <w:rPr>
          <w:spacing w:val="-12"/>
        </w:rPr>
        <w:t xml:space="preserve"> </w:t>
      </w:r>
      <w:r>
        <w:rPr>
          <w:spacing w:val="-2"/>
        </w:rPr>
        <w:t>Public</w:t>
      </w:r>
      <w:r>
        <w:rPr>
          <w:spacing w:val="-10"/>
        </w:rPr>
        <w:t xml:space="preserve"> </w:t>
      </w:r>
      <w:r>
        <w:rPr>
          <w:spacing w:val="-2"/>
        </w:rPr>
        <w:t xml:space="preserve">Schools </w:t>
      </w:r>
      <w:r>
        <w:t>Youth</w:t>
      </w:r>
      <w:r>
        <w:rPr>
          <w:spacing w:val="-12"/>
        </w:rPr>
        <w:t xml:space="preserve"> </w:t>
      </w:r>
      <w:r>
        <w:t>at</w:t>
      </w:r>
      <w:r>
        <w:rPr>
          <w:spacing w:val="-9"/>
        </w:rPr>
        <w:t xml:space="preserve"> </w:t>
      </w:r>
      <w:r>
        <w:t>Risk</w:t>
      </w:r>
      <w:r>
        <w:rPr>
          <w:spacing w:val="-9"/>
        </w:rPr>
        <w:t xml:space="preserve"> </w:t>
      </w:r>
      <w:r>
        <w:rPr>
          <w:spacing w:val="-2"/>
        </w:rPr>
        <w:t>Conference</w:t>
      </w:r>
    </w:p>
    <w:p w:rsidR="00C76E6D" w:rsidRDefault="00C76E6D">
      <w:pPr>
        <w:sectPr w:rsidR="00C76E6D">
          <w:type w:val="continuous"/>
          <w:pgSz w:w="12240" w:h="15840"/>
          <w:pgMar w:top="0" w:right="960" w:bottom="0" w:left="960" w:header="769" w:footer="1005" w:gutter="0"/>
          <w:cols w:num="3" w:space="720" w:equalWidth="0">
            <w:col w:w="2990" w:space="370"/>
            <w:col w:w="2949" w:space="411"/>
            <w:col w:w="3600"/>
          </w:cols>
        </w:sectPr>
      </w:pPr>
    </w:p>
    <w:p w:rsidR="00C76E6D" w:rsidRDefault="00C76E6D">
      <w:pPr>
        <w:pStyle w:val="BodyText"/>
        <w:rPr>
          <w:sz w:val="20"/>
        </w:rPr>
      </w:pPr>
    </w:p>
    <w:p w:rsidR="00C76E6D" w:rsidRDefault="00C76E6D">
      <w:pPr>
        <w:pStyle w:val="BodyText"/>
        <w:spacing w:before="11"/>
        <w:rPr>
          <w:sz w:val="19"/>
        </w:rPr>
      </w:pPr>
    </w:p>
    <w:p w:rsidR="00C76E6D" w:rsidRDefault="00913831">
      <w:pPr>
        <w:pStyle w:val="BodyText"/>
        <w:spacing w:before="55" w:line="276" w:lineRule="auto"/>
        <w:ind w:left="480" w:right="474"/>
        <w:jc w:val="both"/>
      </w:pPr>
      <w:r>
        <w:t>Jeff Perrotti, Senior Consultant, Kimm Topping, Safe Schools Program Manager, and Landon Callahan, Training Consultant, also provided technical assistance to educators, administrators, families, and agencies. Technical as</w:t>
      </w:r>
      <w:r>
        <w:t>sistance consisted of communicating state regulations and guidance; family engagement; data collection and analysis; name and gender marker changes; creating local policy; assisting</w:t>
      </w:r>
      <w:r>
        <w:rPr>
          <w:spacing w:val="-3"/>
        </w:rPr>
        <w:t xml:space="preserve"> </w:t>
      </w:r>
      <w:r>
        <w:t>schools</w:t>
      </w:r>
      <w:r>
        <w:rPr>
          <w:spacing w:val="-2"/>
        </w:rPr>
        <w:t xml:space="preserve"> </w:t>
      </w:r>
      <w:r>
        <w:t>in</w:t>
      </w:r>
      <w:r>
        <w:rPr>
          <w:spacing w:val="-2"/>
        </w:rPr>
        <w:t xml:space="preserve"> </w:t>
      </w:r>
      <w:r>
        <w:t>developing</w:t>
      </w:r>
      <w:r>
        <w:rPr>
          <w:spacing w:val="-1"/>
        </w:rPr>
        <w:t xml:space="preserve"> </w:t>
      </w:r>
      <w:r>
        <w:t>gender</w:t>
      </w:r>
      <w:r>
        <w:rPr>
          <w:spacing w:val="-1"/>
        </w:rPr>
        <w:t xml:space="preserve"> </w:t>
      </w:r>
      <w:r>
        <w:t>support</w:t>
      </w:r>
      <w:r>
        <w:rPr>
          <w:spacing w:val="-2"/>
        </w:rPr>
        <w:t xml:space="preserve"> </w:t>
      </w:r>
      <w:r>
        <w:t>plans;</w:t>
      </w:r>
      <w:r>
        <w:rPr>
          <w:spacing w:val="-3"/>
        </w:rPr>
        <w:t xml:space="preserve"> </w:t>
      </w:r>
      <w:r>
        <w:t>LGBTQ-inclusive</w:t>
      </w:r>
      <w:r>
        <w:rPr>
          <w:spacing w:val="-2"/>
        </w:rPr>
        <w:t xml:space="preserve"> </w:t>
      </w:r>
      <w:r>
        <w:t>curriculum;</w:t>
      </w:r>
      <w:r>
        <w:rPr>
          <w:spacing w:val="-2"/>
        </w:rPr>
        <w:t xml:space="preserve"> </w:t>
      </w:r>
      <w:r>
        <w:t>comprehensive</w:t>
      </w:r>
      <w:r>
        <w:rPr>
          <w:spacing w:val="-2"/>
        </w:rPr>
        <w:t xml:space="preserve"> </w:t>
      </w:r>
      <w:r>
        <w:t>health and sex education; and fostering student leadership.</w:t>
      </w:r>
    </w:p>
    <w:p w:rsidR="00C76E6D" w:rsidRDefault="00C76E6D">
      <w:pPr>
        <w:pStyle w:val="BodyText"/>
        <w:spacing w:before="7"/>
        <w:rPr>
          <w:sz w:val="19"/>
        </w:rPr>
      </w:pPr>
    </w:p>
    <w:p w:rsidR="00C76E6D" w:rsidRDefault="00913831">
      <w:pPr>
        <w:pStyle w:val="BodyText"/>
        <w:spacing w:line="276" w:lineRule="auto"/>
        <w:ind w:left="479" w:right="475"/>
        <w:jc w:val="both"/>
      </w:pPr>
      <w:r>
        <w:t>Several</w:t>
      </w:r>
      <w:r>
        <w:rPr>
          <w:spacing w:val="-13"/>
        </w:rPr>
        <w:t xml:space="preserve"> </w:t>
      </w:r>
      <w:r>
        <w:t>statewide</w:t>
      </w:r>
      <w:r>
        <w:rPr>
          <w:spacing w:val="-12"/>
        </w:rPr>
        <w:t xml:space="preserve"> </w:t>
      </w:r>
      <w:r>
        <w:t>and</w:t>
      </w:r>
      <w:r>
        <w:rPr>
          <w:spacing w:val="-13"/>
        </w:rPr>
        <w:t xml:space="preserve"> </w:t>
      </w:r>
      <w:r>
        <w:t>regional</w:t>
      </w:r>
      <w:r>
        <w:rPr>
          <w:spacing w:val="-12"/>
        </w:rPr>
        <w:t xml:space="preserve"> </w:t>
      </w:r>
      <w:r>
        <w:t>trainings</w:t>
      </w:r>
      <w:r>
        <w:rPr>
          <w:spacing w:val="-13"/>
        </w:rPr>
        <w:t xml:space="preserve"> </w:t>
      </w:r>
      <w:r>
        <w:t>took</w:t>
      </w:r>
      <w:r>
        <w:rPr>
          <w:spacing w:val="-12"/>
        </w:rPr>
        <w:t xml:space="preserve"> </w:t>
      </w:r>
      <w:r>
        <w:t>place,</w:t>
      </w:r>
      <w:r>
        <w:rPr>
          <w:spacing w:val="-13"/>
        </w:rPr>
        <w:t xml:space="preserve"> </w:t>
      </w:r>
      <w:r>
        <w:t>including</w:t>
      </w:r>
      <w:r>
        <w:rPr>
          <w:spacing w:val="-12"/>
        </w:rPr>
        <w:t xml:space="preserve"> </w:t>
      </w:r>
      <w:r>
        <w:t>a</w:t>
      </w:r>
      <w:r>
        <w:rPr>
          <w:spacing w:val="-12"/>
        </w:rPr>
        <w:t xml:space="preserve"> </w:t>
      </w:r>
      <w:r>
        <w:t>statewide</w:t>
      </w:r>
      <w:r>
        <w:rPr>
          <w:spacing w:val="-13"/>
        </w:rPr>
        <w:t xml:space="preserve"> </w:t>
      </w:r>
      <w:r>
        <w:t>workshop</w:t>
      </w:r>
      <w:r>
        <w:rPr>
          <w:spacing w:val="-12"/>
        </w:rPr>
        <w:t xml:space="preserve"> </w:t>
      </w:r>
      <w:r>
        <w:t>for</w:t>
      </w:r>
      <w:r>
        <w:rPr>
          <w:spacing w:val="-13"/>
        </w:rPr>
        <w:t xml:space="preserve"> </w:t>
      </w:r>
      <w:r>
        <w:t>elementary</w:t>
      </w:r>
      <w:r>
        <w:rPr>
          <w:spacing w:val="-12"/>
        </w:rPr>
        <w:t xml:space="preserve"> </w:t>
      </w:r>
      <w:r>
        <w:t>school administrators, and workshops co-sponsored by the Massachusetts Interschola</w:t>
      </w:r>
      <w:r>
        <w:t>stic Athletic Association (MIAA),</w:t>
      </w:r>
      <w:r>
        <w:rPr>
          <w:spacing w:val="-5"/>
        </w:rPr>
        <w:t xml:space="preserve"> </w:t>
      </w:r>
      <w:r>
        <w:t>the</w:t>
      </w:r>
      <w:r>
        <w:rPr>
          <w:spacing w:val="-4"/>
        </w:rPr>
        <w:t xml:space="preserve"> </w:t>
      </w:r>
      <w:r>
        <w:t>Massachusetts</w:t>
      </w:r>
      <w:r>
        <w:rPr>
          <w:spacing w:val="-5"/>
        </w:rPr>
        <w:t xml:space="preserve"> </w:t>
      </w:r>
      <w:r>
        <w:t>School</w:t>
      </w:r>
      <w:r>
        <w:rPr>
          <w:spacing w:val="-6"/>
        </w:rPr>
        <w:t xml:space="preserve"> </w:t>
      </w:r>
      <w:r>
        <w:t>Administrators</w:t>
      </w:r>
      <w:r>
        <w:rPr>
          <w:spacing w:val="-4"/>
        </w:rPr>
        <w:t xml:space="preserve"> </w:t>
      </w:r>
      <w:r>
        <w:t>Association</w:t>
      </w:r>
      <w:r>
        <w:rPr>
          <w:spacing w:val="-6"/>
        </w:rPr>
        <w:t xml:space="preserve"> </w:t>
      </w:r>
      <w:r>
        <w:t>(MSAA),</w:t>
      </w:r>
      <w:r>
        <w:rPr>
          <w:spacing w:val="-6"/>
        </w:rPr>
        <w:t xml:space="preserve"> </w:t>
      </w:r>
      <w:r>
        <w:t>the</w:t>
      </w:r>
      <w:r>
        <w:rPr>
          <w:spacing w:val="-5"/>
        </w:rPr>
        <w:t xml:space="preserve"> </w:t>
      </w:r>
      <w:r>
        <w:t>Massachusetts</w:t>
      </w:r>
      <w:r>
        <w:rPr>
          <w:spacing w:val="-5"/>
        </w:rPr>
        <w:t xml:space="preserve"> </w:t>
      </w:r>
      <w:r>
        <w:t>Department</w:t>
      </w:r>
      <w:r>
        <w:rPr>
          <w:spacing w:val="-8"/>
        </w:rPr>
        <w:t xml:space="preserve"> </w:t>
      </w:r>
      <w:r>
        <w:t>of Early</w:t>
      </w:r>
      <w:r>
        <w:rPr>
          <w:spacing w:val="-3"/>
        </w:rPr>
        <w:t xml:space="preserve"> </w:t>
      </w:r>
      <w:r>
        <w:t>Education</w:t>
      </w:r>
      <w:r>
        <w:rPr>
          <w:spacing w:val="-3"/>
        </w:rPr>
        <w:t xml:space="preserve"> </w:t>
      </w:r>
      <w:r>
        <w:t>and</w:t>
      </w:r>
      <w:r>
        <w:rPr>
          <w:spacing w:val="-3"/>
        </w:rPr>
        <w:t xml:space="preserve"> </w:t>
      </w:r>
      <w:r>
        <w:t>Care</w:t>
      </w:r>
      <w:r>
        <w:rPr>
          <w:spacing w:val="-3"/>
        </w:rPr>
        <w:t xml:space="preserve"> </w:t>
      </w:r>
      <w:r>
        <w:t>(EEC),</w:t>
      </w:r>
      <w:r>
        <w:rPr>
          <w:spacing w:val="-3"/>
        </w:rPr>
        <w:t xml:space="preserve"> </w:t>
      </w:r>
      <w:r>
        <w:t>and</w:t>
      </w:r>
      <w:r>
        <w:rPr>
          <w:spacing w:val="-3"/>
        </w:rPr>
        <w:t xml:space="preserve"> </w:t>
      </w:r>
      <w:r>
        <w:t>the</w:t>
      </w:r>
      <w:r>
        <w:rPr>
          <w:spacing w:val="-2"/>
        </w:rPr>
        <w:t xml:space="preserve"> </w:t>
      </w:r>
      <w:r>
        <w:t>Cape</w:t>
      </w:r>
      <w:r>
        <w:rPr>
          <w:spacing w:val="-3"/>
        </w:rPr>
        <w:t xml:space="preserve"> </w:t>
      </w:r>
      <w:r>
        <w:t>Cod</w:t>
      </w:r>
      <w:r>
        <w:rPr>
          <w:spacing w:val="-3"/>
        </w:rPr>
        <w:t xml:space="preserve"> </w:t>
      </w:r>
      <w:r>
        <w:t>School</w:t>
      </w:r>
      <w:r>
        <w:rPr>
          <w:spacing w:val="-3"/>
        </w:rPr>
        <w:t xml:space="preserve"> </w:t>
      </w:r>
      <w:r>
        <w:t>Counselors.</w:t>
      </w:r>
      <w:r>
        <w:rPr>
          <w:spacing w:val="-3"/>
        </w:rPr>
        <w:t xml:space="preserve"> </w:t>
      </w:r>
      <w:r>
        <w:t>Training</w:t>
      </w:r>
      <w:r>
        <w:rPr>
          <w:spacing w:val="-2"/>
        </w:rPr>
        <w:t xml:space="preserve"> </w:t>
      </w:r>
      <w:r>
        <w:t>requests</w:t>
      </w:r>
      <w:r>
        <w:rPr>
          <w:spacing w:val="-3"/>
        </w:rPr>
        <w:t xml:space="preserve"> </w:t>
      </w:r>
      <w:r>
        <w:t>increased</w:t>
      </w:r>
      <w:r>
        <w:rPr>
          <w:spacing w:val="-3"/>
        </w:rPr>
        <w:t xml:space="preserve"> </w:t>
      </w:r>
      <w:r>
        <w:t>by</w:t>
      </w:r>
      <w:r>
        <w:rPr>
          <w:spacing w:val="-3"/>
        </w:rPr>
        <w:t xml:space="preserve"> </w:t>
      </w:r>
      <w:r>
        <w:t xml:space="preserve">65% in the 2021-22 school year </w:t>
      </w:r>
      <w:r>
        <w:t>with the return to in-person learning. Due to the increased demand, the Department of Elementary and Secondary Education provided additional funding for training.</w:t>
      </w:r>
    </w:p>
    <w:p w:rsidR="00C76E6D" w:rsidRDefault="00C76E6D">
      <w:pPr>
        <w:pStyle w:val="BodyText"/>
        <w:spacing w:before="7"/>
        <w:rPr>
          <w:sz w:val="19"/>
        </w:rPr>
      </w:pPr>
    </w:p>
    <w:p w:rsidR="00C76E6D" w:rsidRDefault="00913831">
      <w:pPr>
        <w:pStyle w:val="BodyText"/>
        <w:spacing w:before="1" w:line="276" w:lineRule="auto"/>
        <w:ind w:left="480" w:right="477"/>
        <w:jc w:val="both"/>
      </w:pPr>
      <w:r>
        <w:t>In FY 2023, we anticipate adding two full-time Lead Trainers in Eastern and Western MA, stan</w:t>
      </w:r>
      <w:r>
        <w:t>dardizing our training curriculum with an emphasis on racial justice, building relationships with DESE for district- wide initiatives, and organizing a curriculum conference for educators and students.</w:t>
      </w:r>
    </w:p>
    <w:p w:rsidR="00C76E6D" w:rsidRDefault="00C76E6D">
      <w:pPr>
        <w:pStyle w:val="BodyText"/>
        <w:spacing w:before="5"/>
        <w:rPr>
          <w:sz w:val="25"/>
        </w:rPr>
      </w:pPr>
    </w:p>
    <w:p w:rsidR="00C76E6D" w:rsidRDefault="00913831">
      <w:pPr>
        <w:pStyle w:val="Heading4"/>
        <w:numPr>
          <w:ilvl w:val="0"/>
          <w:numId w:val="51"/>
        </w:numPr>
        <w:tabs>
          <w:tab w:val="left" w:pos="716"/>
        </w:tabs>
        <w:ind w:left="715" w:right="0" w:hanging="238"/>
        <w:jc w:val="left"/>
      </w:pPr>
      <w:r>
        <w:pict>
          <v:shape id="docshape249" o:spid="_x0000_s1179" style="position:absolute;left:0;text-align:left;margin-left:1in;margin-top:17.65pt;width:466.3pt;height:.1pt;z-index:-15693312;mso-wrap-distance-left:0;mso-wrap-distance-right:0;mso-position-horizontal-relative:page" coordorigin="1440,353" coordsize="9326,0" path="m1440,353r9326,e" filled="f" strokeweight=".40958mm">
            <v:path arrowok="t"/>
            <w10:wrap type="topAndBottom" anchorx="page"/>
          </v:shape>
        </w:pict>
      </w:r>
      <w:bookmarkStart w:id="112" w:name="E._POLICY_INITIATIVES_AND_COLLABORATIONS"/>
      <w:bookmarkEnd w:id="112"/>
      <w:r>
        <w:t>POLICY</w:t>
      </w:r>
      <w:r>
        <w:rPr>
          <w:spacing w:val="-8"/>
        </w:rPr>
        <w:t xml:space="preserve"> </w:t>
      </w:r>
      <w:r>
        <w:t>INITIATIVES</w:t>
      </w:r>
      <w:r>
        <w:rPr>
          <w:spacing w:val="-7"/>
        </w:rPr>
        <w:t xml:space="preserve"> </w:t>
      </w:r>
      <w:r>
        <w:t>AND</w:t>
      </w:r>
      <w:r>
        <w:rPr>
          <w:spacing w:val="-7"/>
        </w:rPr>
        <w:t xml:space="preserve"> </w:t>
      </w:r>
      <w:r>
        <w:rPr>
          <w:spacing w:val="-2"/>
        </w:rPr>
        <w:t>COLLABORATIONS</w:t>
      </w:r>
    </w:p>
    <w:p w:rsidR="00C76E6D" w:rsidRDefault="00C76E6D">
      <w:pPr>
        <w:pStyle w:val="BodyText"/>
        <w:spacing w:before="7"/>
        <w:rPr>
          <w:b/>
          <w:sz w:val="32"/>
        </w:rPr>
      </w:pPr>
    </w:p>
    <w:p w:rsidR="00C76E6D" w:rsidRDefault="00913831">
      <w:pPr>
        <w:pStyle w:val="BodyText"/>
        <w:spacing w:line="276" w:lineRule="auto"/>
        <w:ind w:left="479" w:right="475"/>
        <w:jc w:val="both"/>
      </w:pPr>
      <w:r>
        <w:t>Our services are ultimately designed to help schools implement state laws impacting LGBTQ students, including the state's anti-bullying law, gender identity law, and student anti-discrimination law. Through our relationship with DESE and statewide coalitio</w:t>
      </w:r>
      <w:r>
        <w:t>ns, we also inform and influence future policies. As a pioneering</w:t>
      </w:r>
      <w:r>
        <w:rPr>
          <w:spacing w:val="-7"/>
        </w:rPr>
        <w:t xml:space="preserve"> </w:t>
      </w:r>
      <w:r>
        <w:t>program</w:t>
      </w:r>
      <w:r>
        <w:rPr>
          <w:spacing w:val="-9"/>
        </w:rPr>
        <w:t xml:space="preserve"> </w:t>
      </w:r>
      <w:r>
        <w:t>in</w:t>
      </w:r>
      <w:r>
        <w:rPr>
          <w:spacing w:val="-8"/>
        </w:rPr>
        <w:t xml:space="preserve"> </w:t>
      </w:r>
      <w:r>
        <w:t>the</w:t>
      </w:r>
      <w:r>
        <w:rPr>
          <w:spacing w:val="-5"/>
        </w:rPr>
        <w:t xml:space="preserve"> </w:t>
      </w:r>
      <w:r>
        <w:t>country</w:t>
      </w:r>
      <w:r>
        <w:rPr>
          <w:spacing w:val="-8"/>
        </w:rPr>
        <w:t xml:space="preserve"> </w:t>
      </w:r>
      <w:r>
        <w:t>sponsored</w:t>
      </w:r>
      <w:r>
        <w:rPr>
          <w:spacing w:val="-9"/>
        </w:rPr>
        <w:t xml:space="preserve"> </w:t>
      </w:r>
      <w:r>
        <w:t>by</w:t>
      </w:r>
      <w:r>
        <w:rPr>
          <w:spacing w:val="-7"/>
        </w:rPr>
        <w:t xml:space="preserve"> </w:t>
      </w:r>
      <w:r>
        <w:t>an</w:t>
      </w:r>
      <w:r>
        <w:rPr>
          <w:spacing w:val="-8"/>
        </w:rPr>
        <w:t xml:space="preserve"> </w:t>
      </w:r>
      <w:r>
        <w:t>education</w:t>
      </w:r>
      <w:r>
        <w:rPr>
          <w:spacing w:val="-7"/>
        </w:rPr>
        <w:t xml:space="preserve"> </w:t>
      </w:r>
      <w:r>
        <w:t>department,</w:t>
      </w:r>
      <w:r>
        <w:rPr>
          <w:spacing w:val="-7"/>
        </w:rPr>
        <w:t xml:space="preserve"> </w:t>
      </w:r>
      <w:r>
        <w:t>we</w:t>
      </w:r>
      <w:r>
        <w:rPr>
          <w:spacing w:val="-8"/>
        </w:rPr>
        <w:t xml:space="preserve"> </w:t>
      </w:r>
      <w:r>
        <w:t>serve</w:t>
      </w:r>
      <w:r>
        <w:rPr>
          <w:spacing w:val="-9"/>
        </w:rPr>
        <w:t xml:space="preserve"> </w:t>
      </w:r>
      <w:r>
        <w:t>as</w:t>
      </w:r>
      <w:r>
        <w:rPr>
          <w:spacing w:val="-6"/>
        </w:rPr>
        <w:t xml:space="preserve"> </w:t>
      </w:r>
      <w:r>
        <w:t>a</w:t>
      </w:r>
      <w:r>
        <w:rPr>
          <w:spacing w:val="-6"/>
        </w:rPr>
        <w:t xml:space="preserve"> </w:t>
      </w:r>
      <w:r>
        <w:t>model</w:t>
      </w:r>
      <w:r>
        <w:rPr>
          <w:spacing w:val="-8"/>
        </w:rPr>
        <w:t xml:space="preserve"> </w:t>
      </w:r>
      <w:r>
        <w:t>for</w:t>
      </w:r>
      <w:r>
        <w:rPr>
          <w:spacing w:val="-8"/>
        </w:rPr>
        <w:t xml:space="preserve"> </w:t>
      </w:r>
      <w:r>
        <w:t>other states to institutionalize LGBTQ support at statewide levels. As an example, Jeff Perrotti provided</w:t>
      </w:r>
      <w:r>
        <w:t xml:space="preserve"> direct support to the Michigan Department of Education in the development of policy and programs in their </w:t>
      </w:r>
      <w:r>
        <w:rPr>
          <w:spacing w:val="-2"/>
        </w:rPr>
        <w:t>state.</w:t>
      </w:r>
    </w:p>
    <w:p w:rsidR="00C76E6D" w:rsidRDefault="00C76E6D">
      <w:pPr>
        <w:spacing w:line="276" w:lineRule="auto"/>
        <w:jc w:val="both"/>
        <w:sectPr w:rsidR="00C76E6D">
          <w:type w:val="continuous"/>
          <w:pgSz w:w="12240" w:h="15840"/>
          <w:pgMar w:top="0" w:right="960" w:bottom="0" w:left="960" w:header="769" w:footer="1005"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Heading6"/>
        <w:numPr>
          <w:ilvl w:val="0"/>
          <w:numId w:val="49"/>
        </w:numPr>
        <w:tabs>
          <w:tab w:val="left" w:pos="839"/>
        </w:tabs>
        <w:ind w:hanging="361"/>
      </w:pPr>
      <w:bookmarkStart w:id="113" w:name="1._Collaboration_with_the_Department_of_"/>
      <w:bookmarkEnd w:id="113"/>
      <w:r>
        <w:rPr>
          <w:w w:val="95"/>
        </w:rPr>
        <w:t>Collaboration</w:t>
      </w:r>
      <w:r>
        <w:rPr>
          <w:spacing w:val="12"/>
        </w:rPr>
        <w:t xml:space="preserve"> </w:t>
      </w:r>
      <w:r>
        <w:rPr>
          <w:w w:val="95"/>
        </w:rPr>
        <w:t>with</w:t>
      </w:r>
      <w:r>
        <w:rPr>
          <w:spacing w:val="14"/>
        </w:rPr>
        <w:t xml:space="preserve"> </w:t>
      </w:r>
      <w:r>
        <w:rPr>
          <w:w w:val="95"/>
        </w:rPr>
        <w:t>the</w:t>
      </w:r>
      <w:r>
        <w:rPr>
          <w:spacing w:val="18"/>
        </w:rPr>
        <w:t xml:space="preserve"> </w:t>
      </w:r>
      <w:r>
        <w:rPr>
          <w:w w:val="95"/>
        </w:rPr>
        <w:t>Department</w:t>
      </w:r>
      <w:r>
        <w:rPr>
          <w:spacing w:val="14"/>
        </w:rPr>
        <w:t xml:space="preserve"> </w:t>
      </w:r>
      <w:r>
        <w:rPr>
          <w:w w:val="95"/>
        </w:rPr>
        <w:t>of</w:t>
      </w:r>
      <w:r>
        <w:rPr>
          <w:spacing w:val="18"/>
        </w:rPr>
        <w:t xml:space="preserve"> </w:t>
      </w:r>
      <w:r>
        <w:rPr>
          <w:w w:val="95"/>
        </w:rPr>
        <w:t>Elementary</w:t>
      </w:r>
      <w:r>
        <w:rPr>
          <w:spacing w:val="17"/>
        </w:rPr>
        <w:t xml:space="preserve"> </w:t>
      </w:r>
      <w:r>
        <w:rPr>
          <w:w w:val="95"/>
        </w:rPr>
        <w:t>&amp;</w:t>
      </w:r>
      <w:r>
        <w:rPr>
          <w:spacing w:val="13"/>
        </w:rPr>
        <w:t xml:space="preserve"> </w:t>
      </w:r>
      <w:r>
        <w:rPr>
          <w:w w:val="95"/>
        </w:rPr>
        <w:t>Secondary</w:t>
      </w:r>
      <w:r>
        <w:rPr>
          <w:spacing w:val="19"/>
        </w:rPr>
        <w:t xml:space="preserve"> </w:t>
      </w:r>
      <w:r>
        <w:rPr>
          <w:spacing w:val="-2"/>
          <w:w w:val="95"/>
        </w:rPr>
        <w:t>Education</w:t>
      </w:r>
    </w:p>
    <w:p w:rsidR="00C76E6D" w:rsidRDefault="00C76E6D">
      <w:pPr>
        <w:pStyle w:val="BodyText"/>
        <w:spacing w:before="8"/>
        <w:rPr>
          <w:b/>
          <w:sz w:val="28"/>
        </w:rPr>
      </w:pPr>
    </w:p>
    <w:p w:rsidR="00C76E6D" w:rsidRDefault="00913831">
      <w:pPr>
        <w:pStyle w:val="BodyText"/>
        <w:spacing w:line="276" w:lineRule="auto"/>
        <w:ind w:left="478" w:right="472"/>
        <w:jc w:val="both"/>
      </w:pPr>
      <w:r>
        <w:t>Our</w:t>
      </w:r>
      <w:r>
        <w:rPr>
          <w:spacing w:val="-1"/>
        </w:rPr>
        <w:t xml:space="preserve"> </w:t>
      </w:r>
      <w:r>
        <w:t>strong</w:t>
      </w:r>
      <w:r>
        <w:rPr>
          <w:spacing w:val="-2"/>
        </w:rPr>
        <w:t xml:space="preserve"> </w:t>
      </w:r>
      <w:r>
        <w:t>relationships</w:t>
      </w:r>
      <w:r>
        <w:rPr>
          <w:spacing w:val="-1"/>
        </w:rPr>
        <w:t xml:space="preserve"> </w:t>
      </w:r>
      <w:r>
        <w:t>with</w:t>
      </w:r>
      <w:r>
        <w:rPr>
          <w:spacing w:val="-2"/>
        </w:rPr>
        <w:t xml:space="preserve"> </w:t>
      </w:r>
      <w:r>
        <w:t>DESE</w:t>
      </w:r>
      <w:r>
        <w:rPr>
          <w:spacing w:val="-2"/>
        </w:rPr>
        <w:t xml:space="preserve"> </w:t>
      </w:r>
      <w:r>
        <w:t>allowed</w:t>
      </w:r>
      <w:r>
        <w:rPr>
          <w:spacing w:val="-2"/>
        </w:rPr>
        <w:t xml:space="preserve"> </w:t>
      </w:r>
      <w:r>
        <w:t>us to</w:t>
      </w:r>
      <w:r>
        <w:rPr>
          <w:spacing w:val="-1"/>
        </w:rPr>
        <w:t xml:space="preserve"> </w:t>
      </w:r>
      <w:r>
        <w:t>build</w:t>
      </w:r>
      <w:r>
        <w:rPr>
          <w:spacing w:val="-1"/>
        </w:rPr>
        <w:t xml:space="preserve"> </w:t>
      </w:r>
      <w:r>
        <w:t>new</w:t>
      </w:r>
      <w:r>
        <w:rPr>
          <w:spacing w:val="-1"/>
        </w:rPr>
        <w:t xml:space="preserve"> </w:t>
      </w:r>
      <w:r>
        <w:t>programming</w:t>
      </w:r>
      <w:r>
        <w:rPr>
          <w:spacing w:val="-2"/>
        </w:rPr>
        <w:t xml:space="preserve"> </w:t>
      </w:r>
      <w:r>
        <w:t>this</w:t>
      </w:r>
      <w:r>
        <w:rPr>
          <w:spacing w:val="-1"/>
        </w:rPr>
        <w:t xml:space="preserve"> </w:t>
      </w:r>
      <w:r>
        <w:t>year</w:t>
      </w:r>
      <w:r>
        <w:rPr>
          <w:spacing w:val="-1"/>
        </w:rPr>
        <w:t xml:space="preserve"> </w:t>
      </w:r>
      <w:r>
        <w:t>and</w:t>
      </w:r>
      <w:r>
        <w:rPr>
          <w:spacing w:val="-2"/>
        </w:rPr>
        <w:t xml:space="preserve"> </w:t>
      </w:r>
      <w:r>
        <w:t>provide</w:t>
      </w:r>
      <w:r>
        <w:rPr>
          <w:spacing w:val="-2"/>
        </w:rPr>
        <w:t xml:space="preserve"> </w:t>
      </w:r>
      <w:r>
        <w:t xml:space="preserve">feedback on policies impacting LGBTQ Students. Commissioner Riley </w:t>
      </w:r>
      <w:hyperlink r:id="rId158">
        <w:r>
          <w:rPr>
            <w:u w:val="single"/>
          </w:rPr>
          <w:t>issued a letter</w:t>
        </w:r>
        <w:r>
          <w:t xml:space="preserve"> </w:t>
        </w:r>
      </w:hyperlink>
      <w:r>
        <w:t>to district and school leaders about</w:t>
      </w:r>
      <w:r>
        <w:rPr>
          <w:spacing w:val="-7"/>
        </w:rPr>
        <w:t xml:space="preserve"> </w:t>
      </w:r>
      <w:r>
        <w:t>our</w:t>
      </w:r>
      <w:r>
        <w:rPr>
          <w:spacing w:val="-5"/>
        </w:rPr>
        <w:t xml:space="preserve"> </w:t>
      </w:r>
      <w:r>
        <w:t>services</w:t>
      </w:r>
      <w:r>
        <w:rPr>
          <w:spacing w:val="-6"/>
        </w:rPr>
        <w:t xml:space="preserve"> </w:t>
      </w:r>
      <w:r>
        <w:t>in</w:t>
      </w:r>
      <w:r>
        <w:rPr>
          <w:spacing w:val="-4"/>
        </w:rPr>
        <w:t xml:space="preserve"> </w:t>
      </w:r>
      <w:r>
        <w:t>February</w:t>
      </w:r>
      <w:r>
        <w:rPr>
          <w:spacing w:val="-6"/>
        </w:rPr>
        <w:t xml:space="preserve"> </w:t>
      </w:r>
      <w:r>
        <w:t>of</w:t>
      </w:r>
      <w:r>
        <w:rPr>
          <w:spacing w:val="-6"/>
        </w:rPr>
        <w:t xml:space="preserve"> </w:t>
      </w:r>
      <w:r>
        <w:t>2022.</w:t>
      </w:r>
      <w:r>
        <w:rPr>
          <w:spacing w:val="-4"/>
        </w:rPr>
        <w:t xml:space="preserve"> </w:t>
      </w:r>
      <w:r>
        <w:t>Rachelle</w:t>
      </w:r>
      <w:r>
        <w:rPr>
          <w:spacing w:val="-5"/>
        </w:rPr>
        <w:t xml:space="preserve"> </w:t>
      </w:r>
      <w:r>
        <w:t>Engler</w:t>
      </w:r>
      <w:r>
        <w:rPr>
          <w:spacing w:val="-6"/>
        </w:rPr>
        <w:t xml:space="preserve"> </w:t>
      </w:r>
      <w:r>
        <w:t>Bennett,</w:t>
      </w:r>
      <w:r>
        <w:rPr>
          <w:spacing w:val="-4"/>
        </w:rPr>
        <w:t xml:space="preserve"> </w:t>
      </w:r>
      <w:r>
        <w:t>Associate</w:t>
      </w:r>
      <w:r>
        <w:rPr>
          <w:spacing w:val="-6"/>
        </w:rPr>
        <w:t xml:space="preserve"> </w:t>
      </w:r>
      <w:r>
        <w:t>Commissioner,</w:t>
      </w:r>
      <w:r>
        <w:rPr>
          <w:spacing w:val="-6"/>
        </w:rPr>
        <w:t xml:space="preserve"> </w:t>
      </w:r>
      <w:r>
        <w:t>worked</w:t>
      </w:r>
      <w:r>
        <w:rPr>
          <w:spacing w:val="-5"/>
        </w:rPr>
        <w:t xml:space="preserve"> </w:t>
      </w:r>
      <w:r>
        <w:t>closely with us to provide all-gender bathrooms at the DESE office during Council meetings; organize the first Book</w:t>
      </w:r>
      <w:r>
        <w:rPr>
          <w:spacing w:val="-3"/>
        </w:rPr>
        <w:t xml:space="preserve"> </w:t>
      </w:r>
      <w:r>
        <w:t>Club</w:t>
      </w:r>
      <w:r>
        <w:rPr>
          <w:spacing w:val="-3"/>
        </w:rPr>
        <w:t xml:space="preserve"> </w:t>
      </w:r>
      <w:r>
        <w:t>collaboration;</w:t>
      </w:r>
      <w:r>
        <w:rPr>
          <w:spacing w:val="-3"/>
        </w:rPr>
        <w:t xml:space="preserve"> </w:t>
      </w:r>
      <w:r>
        <w:t>highlight</w:t>
      </w:r>
      <w:r>
        <w:rPr>
          <w:spacing w:val="-4"/>
        </w:rPr>
        <w:t xml:space="preserve"> </w:t>
      </w:r>
      <w:r>
        <w:t>our</w:t>
      </w:r>
      <w:r>
        <w:rPr>
          <w:spacing w:val="-2"/>
        </w:rPr>
        <w:t xml:space="preserve"> </w:t>
      </w:r>
      <w:r>
        <w:t>initiatives</w:t>
      </w:r>
      <w:r>
        <w:rPr>
          <w:spacing w:val="-2"/>
        </w:rPr>
        <w:t xml:space="preserve"> </w:t>
      </w:r>
      <w:r>
        <w:t>in</w:t>
      </w:r>
      <w:r>
        <w:rPr>
          <w:spacing w:val="-1"/>
        </w:rPr>
        <w:t xml:space="preserve"> </w:t>
      </w:r>
      <w:r>
        <w:t>the</w:t>
      </w:r>
      <w:r>
        <w:rPr>
          <w:spacing w:val="-3"/>
        </w:rPr>
        <w:t xml:space="preserve"> </w:t>
      </w:r>
      <w:r>
        <w:t>Commissioner’s</w:t>
      </w:r>
      <w:r>
        <w:rPr>
          <w:spacing w:val="-2"/>
        </w:rPr>
        <w:t xml:space="preserve"> </w:t>
      </w:r>
      <w:r>
        <w:t xml:space="preserve">weekly </w:t>
      </w:r>
      <w:r>
        <w:t>newsletter;</w:t>
      </w:r>
      <w:r>
        <w:rPr>
          <w:spacing w:val="-2"/>
        </w:rPr>
        <w:t xml:space="preserve"> </w:t>
      </w:r>
      <w:r>
        <w:t>and</w:t>
      </w:r>
      <w:r>
        <w:rPr>
          <w:spacing w:val="-3"/>
        </w:rPr>
        <w:t xml:space="preserve"> </w:t>
      </w:r>
      <w:r>
        <w:t>plan</w:t>
      </w:r>
      <w:r>
        <w:rPr>
          <w:spacing w:val="-3"/>
        </w:rPr>
        <w:t xml:space="preserve"> </w:t>
      </w:r>
      <w:r>
        <w:t>for</w:t>
      </w:r>
      <w:r>
        <w:rPr>
          <w:spacing w:val="-3"/>
        </w:rPr>
        <w:t xml:space="preserve"> </w:t>
      </w:r>
      <w:r>
        <w:t>a safe</w:t>
      </w:r>
      <w:r>
        <w:rPr>
          <w:spacing w:val="-1"/>
        </w:rPr>
        <w:t xml:space="preserve"> </w:t>
      </w:r>
      <w:r>
        <w:t>Summit</w:t>
      </w:r>
      <w:r>
        <w:rPr>
          <w:spacing w:val="-1"/>
        </w:rPr>
        <w:t xml:space="preserve"> </w:t>
      </w:r>
      <w:r>
        <w:t>in</w:t>
      </w:r>
      <w:r>
        <w:rPr>
          <w:spacing w:val="-1"/>
        </w:rPr>
        <w:t xml:space="preserve"> </w:t>
      </w:r>
      <w:r>
        <w:t>August</w:t>
      </w:r>
      <w:r>
        <w:rPr>
          <w:spacing w:val="-1"/>
        </w:rPr>
        <w:t xml:space="preserve"> </w:t>
      </w:r>
      <w:r>
        <w:t>of 2021.</w:t>
      </w:r>
      <w:r>
        <w:rPr>
          <w:spacing w:val="-1"/>
        </w:rPr>
        <w:t xml:space="preserve"> </w:t>
      </w:r>
      <w:r>
        <w:t>The Culture</w:t>
      </w:r>
      <w:r>
        <w:rPr>
          <w:spacing w:val="-1"/>
        </w:rPr>
        <w:t xml:space="preserve"> </w:t>
      </w:r>
      <w:r>
        <w:t>and Climate Committee</w:t>
      </w:r>
      <w:r>
        <w:rPr>
          <w:spacing w:val="-1"/>
        </w:rPr>
        <w:t xml:space="preserve"> </w:t>
      </w:r>
      <w:r>
        <w:t>at</w:t>
      </w:r>
      <w:r>
        <w:rPr>
          <w:spacing w:val="-1"/>
        </w:rPr>
        <w:t xml:space="preserve"> </w:t>
      </w:r>
      <w:r>
        <w:t>DESE collaborated with</w:t>
      </w:r>
      <w:r>
        <w:rPr>
          <w:spacing w:val="-1"/>
        </w:rPr>
        <w:t xml:space="preserve"> </w:t>
      </w:r>
      <w:r>
        <w:t>us to plan our third Pride Book Club, as well as the annual DESE Pride Celebration on June 15, 2022.</w:t>
      </w:r>
    </w:p>
    <w:p w:rsidR="00C76E6D" w:rsidRDefault="00913831">
      <w:pPr>
        <w:pStyle w:val="BodyText"/>
        <w:spacing w:before="5"/>
        <w:rPr>
          <w:sz w:val="23"/>
        </w:rPr>
      </w:pPr>
      <w:r>
        <w:pict>
          <v:group id="docshapegroup253" o:spid="_x0000_s1176" style="position:absolute;margin-left:90.4pt;margin-top:15.5pt;width:431.15pt;height:217.5pt;z-index:-15692800;mso-wrap-distance-left:0;mso-wrap-distance-right:0;mso-position-horizontal-relative:page" coordorigin="1808,310" coordsize="8623,4350">
            <v:shape id="docshape254" o:spid="_x0000_s1178" type="#_x0000_t75" style="position:absolute;left:1808;top:332;width:4328;height:4328">
              <v:imagedata r:id="rId159" o:title=""/>
            </v:shape>
            <v:shape id="docshape255" o:spid="_x0000_s1177" type="#_x0000_t75" style="position:absolute;left:6186;top:310;width:4245;height:4342">
              <v:imagedata r:id="rId160" o:title=""/>
            </v:shape>
            <w10:wrap type="topAndBottom" anchorx="page"/>
          </v:group>
        </w:pict>
      </w:r>
    </w:p>
    <w:p w:rsidR="00C76E6D" w:rsidRDefault="00C76E6D">
      <w:pPr>
        <w:pStyle w:val="BodyText"/>
        <w:spacing w:before="7"/>
        <w:rPr>
          <w:sz w:val="28"/>
        </w:rPr>
      </w:pPr>
    </w:p>
    <w:p w:rsidR="00C76E6D" w:rsidRDefault="00913831">
      <w:pPr>
        <w:pStyle w:val="BodyText"/>
        <w:spacing w:line="276" w:lineRule="auto"/>
        <w:ind w:left="479" w:right="474"/>
        <w:jc w:val="both"/>
      </w:pPr>
      <w:r>
        <w:t>Safe</w:t>
      </w:r>
      <w:r>
        <w:rPr>
          <w:spacing w:val="-11"/>
        </w:rPr>
        <w:t xml:space="preserve"> </w:t>
      </w:r>
      <w:r>
        <w:t>Schools</w:t>
      </w:r>
      <w:r>
        <w:rPr>
          <w:spacing w:val="-10"/>
        </w:rPr>
        <w:t xml:space="preserve"> </w:t>
      </w:r>
      <w:r>
        <w:t>Program</w:t>
      </w:r>
      <w:r>
        <w:rPr>
          <w:spacing w:val="-12"/>
        </w:rPr>
        <w:t xml:space="preserve"> </w:t>
      </w:r>
      <w:r>
        <w:t>for</w:t>
      </w:r>
      <w:r>
        <w:rPr>
          <w:spacing w:val="-10"/>
        </w:rPr>
        <w:t xml:space="preserve"> </w:t>
      </w:r>
      <w:r>
        <w:t>LGBTQ</w:t>
      </w:r>
      <w:r>
        <w:rPr>
          <w:spacing w:val="-11"/>
        </w:rPr>
        <w:t xml:space="preserve"> </w:t>
      </w:r>
      <w:r>
        <w:t>Students</w:t>
      </w:r>
      <w:r>
        <w:rPr>
          <w:spacing w:val="-10"/>
        </w:rPr>
        <w:t xml:space="preserve"> </w:t>
      </w:r>
      <w:r>
        <w:t>staff</w:t>
      </w:r>
      <w:r>
        <w:rPr>
          <w:spacing w:val="-11"/>
        </w:rPr>
        <w:t xml:space="preserve"> </w:t>
      </w:r>
      <w:r>
        <w:t>continued</w:t>
      </w:r>
      <w:r>
        <w:rPr>
          <w:spacing w:val="-12"/>
        </w:rPr>
        <w:t xml:space="preserve"> </w:t>
      </w:r>
      <w:r>
        <w:t>our</w:t>
      </w:r>
      <w:r>
        <w:rPr>
          <w:spacing w:val="-10"/>
        </w:rPr>
        <w:t xml:space="preserve"> </w:t>
      </w:r>
      <w:r>
        <w:t>participation</w:t>
      </w:r>
      <w:r>
        <w:rPr>
          <w:spacing w:val="-11"/>
        </w:rPr>
        <w:t xml:space="preserve"> </w:t>
      </w:r>
      <w:r>
        <w:t>in</w:t>
      </w:r>
      <w:r>
        <w:rPr>
          <w:spacing w:val="-10"/>
        </w:rPr>
        <w:t xml:space="preserve"> </w:t>
      </w:r>
      <w:r>
        <w:t>Safe</w:t>
      </w:r>
      <w:r>
        <w:rPr>
          <w:spacing w:val="-11"/>
        </w:rPr>
        <w:t xml:space="preserve"> </w:t>
      </w:r>
      <w:r>
        <w:t>and</w:t>
      </w:r>
      <w:r>
        <w:rPr>
          <w:spacing w:val="-10"/>
        </w:rPr>
        <w:t xml:space="preserve"> </w:t>
      </w:r>
      <w:r>
        <w:t>Supportive</w:t>
      </w:r>
      <w:r>
        <w:rPr>
          <w:spacing w:val="-12"/>
        </w:rPr>
        <w:t xml:space="preserve"> </w:t>
      </w:r>
      <w:r>
        <w:t>Schools Commission meetings. The State Student Advisory Council, which our Council is modeled after, incorporated LGBTQ inclusion into their work and has invited us to speak with their membe</w:t>
      </w:r>
      <w:r>
        <w:t xml:space="preserve">rs regularly. In FY 2023, we look forward to a collaboration with the Getting to Y Pilot alongside the State Student Advisory Council and a few other MA organizations to pursue youth-led community data collection and </w:t>
      </w:r>
      <w:r>
        <w:rPr>
          <w:spacing w:val="-2"/>
        </w:rPr>
        <w:t>education.</w:t>
      </w:r>
    </w:p>
    <w:p w:rsidR="00C76E6D" w:rsidRDefault="00C76E6D">
      <w:pPr>
        <w:pStyle w:val="BodyText"/>
        <w:spacing w:before="4"/>
        <w:rPr>
          <w:sz w:val="25"/>
        </w:rPr>
      </w:pPr>
    </w:p>
    <w:p w:rsidR="00C76E6D" w:rsidRDefault="00913831">
      <w:pPr>
        <w:pStyle w:val="Heading6"/>
        <w:numPr>
          <w:ilvl w:val="0"/>
          <w:numId w:val="49"/>
        </w:numPr>
        <w:tabs>
          <w:tab w:val="left" w:pos="839"/>
        </w:tabs>
        <w:ind w:hanging="362"/>
      </w:pPr>
      <w:bookmarkStart w:id="114" w:name="2._Statewide_Coalitions"/>
      <w:bookmarkEnd w:id="114"/>
      <w:r>
        <w:rPr>
          <w:spacing w:val="-2"/>
        </w:rPr>
        <w:t>Statewide</w:t>
      </w:r>
      <w:r>
        <w:rPr>
          <w:spacing w:val="-10"/>
        </w:rPr>
        <w:t xml:space="preserve"> </w:t>
      </w:r>
      <w:r>
        <w:rPr>
          <w:spacing w:val="-2"/>
        </w:rPr>
        <w:t>Coalitions</w:t>
      </w:r>
    </w:p>
    <w:p w:rsidR="00C76E6D" w:rsidRDefault="00C76E6D">
      <w:pPr>
        <w:pStyle w:val="BodyText"/>
        <w:spacing w:before="7"/>
        <w:rPr>
          <w:b/>
          <w:sz w:val="28"/>
        </w:rPr>
      </w:pPr>
    </w:p>
    <w:p w:rsidR="00C76E6D" w:rsidRDefault="00913831">
      <w:pPr>
        <w:pStyle w:val="BodyText"/>
        <w:spacing w:line="276" w:lineRule="auto"/>
        <w:ind w:left="478" w:right="472"/>
        <w:jc w:val="both"/>
      </w:pPr>
      <w:r>
        <w:t>We participated in and led statewide coalitions advocating for policy change. The MA All-Inclusive Curriculum</w:t>
      </w:r>
      <w:r>
        <w:rPr>
          <w:spacing w:val="-13"/>
        </w:rPr>
        <w:t xml:space="preserve"> </w:t>
      </w:r>
      <w:r>
        <w:t>Task</w:t>
      </w:r>
      <w:r>
        <w:rPr>
          <w:spacing w:val="-12"/>
        </w:rPr>
        <w:t xml:space="preserve"> </w:t>
      </w:r>
      <w:r>
        <w:t>Force</w:t>
      </w:r>
      <w:r>
        <w:rPr>
          <w:spacing w:val="-13"/>
        </w:rPr>
        <w:t xml:space="preserve"> </w:t>
      </w:r>
      <w:r>
        <w:t>began</w:t>
      </w:r>
      <w:r>
        <w:rPr>
          <w:spacing w:val="-12"/>
        </w:rPr>
        <w:t xml:space="preserve"> </w:t>
      </w:r>
      <w:r>
        <w:t>in</w:t>
      </w:r>
      <w:r>
        <w:rPr>
          <w:spacing w:val="-13"/>
        </w:rPr>
        <w:t xml:space="preserve"> </w:t>
      </w:r>
      <w:r>
        <w:t>the</w:t>
      </w:r>
      <w:r>
        <w:rPr>
          <w:spacing w:val="-12"/>
        </w:rPr>
        <w:t xml:space="preserve"> </w:t>
      </w:r>
      <w:r>
        <w:t>summer</w:t>
      </w:r>
      <w:r>
        <w:rPr>
          <w:spacing w:val="-13"/>
        </w:rPr>
        <w:t xml:space="preserve"> </w:t>
      </w:r>
      <w:r>
        <w:t>of</w:t>
      </w:r>
      <w:r>
        <w:rPr>
          <w:spacing w:val="-12"/>
        </w:rPr>
        <w:t xml:space="preserve"> </w:t>
      </w:r>
      <w:r>
        <w:t>2020</w:t>
      </w:r>
      <w:r>
        <w:rPr>
          <w:spacing w:val="-12"/>
        </w:rPr>
        <w:t xml:space="preserve"> </w:t>
      </w:r>
      <w:r>
        <w:t>led</w:t>
      </w:r>
      <w:r>
        <w:rPr>
          <w:spacing w:val="-13"/>
        </w:rPr>
        <w:t xml:space="preserve"> </w:t>
      </w:r>
      <w:r>
        <w:t>by</w:t>
      </w:r>
      <w:r>
        <w:rPr>
          <w:spacing w:val="-12"/>
        </w:rPr>
        <w:t xml:space="preserve"> </w:t>
      </w:r>
      <w:r>
        <w:t>Kimm</w:t>
      </w:r>
      <w:r>
        <w:rPr>
          <w:spacing w:val="-13"/>
        </w:rPr>
        <w:t xml:space="preserve"> </w:t>
      </w:r>
      <w:r>
        <w:t>Topping</w:t>
      </w:r>
      <w:r>
        <w:rPr>
          <w:spacing w:val="-12"/>
        </w:rPr>
        <w:t xml:space="preserve"> </w:t>
      </w:r>
      <w:r>
        <w:t>(Safe</w:t>
      </w:r>
      <w:r>
        <w:rPr>
          <w:spacing w:val="-13"/>
        </w:rPr>
        <w:t xml:space="preserve"> </w:t>
      </w:r>
      <w:r>
        <w:t>Schools</w:t>
      </w:r>
      <w:r>
        <w:rPr>
          <w:spacing w:val="-12"/>
        </w:rPr>
        <w:t xml:space="preserve"> </w:t>
      </w:r>
      <w:r>
        <w:t>Program</w:t>
      </w:r>
      <w:r>
        <w:rPr>
          <w:spacing w:val="-12"/>
        </w:rPr>
        <w:t xml:space="preserve"> </w:t>
      </w:r>
      <w:r>
        <w:t>Manager) and</w:t>
      </w:r>
      <w:r>
        <w:rPr>
          <w:spacing w:val="-6"/>
        </w:rPr>
        <w:t xml:space="preserve"> </w:t>
      </w:r>
      <w:r>
        <w:t>Tim</w:t>
      </w:r>
      <w:r>
        <w:rPr>
          <w:spacing w:val="-4"/>
        </w:rPr>
        <w:t xml:space="preserve"> </w:t>
      </w:r>
      <w:r>
        <w:t>McCarthy</w:t>
      </w:r>
      <w:r>
        <w:rPr>
          <w:spacing w:val="-5"/>
        </w:rPr>
        <w:t xml:space="preserve"> </w:t>
      </w:r>
      <w:r>
        <w:t>(Harvard</w:t>
      </w:r>
      <w:r>
        <w:rPr>
          <w:spacing w:val="-6"/>
        </w:rPr>
        <w:t xml:space="preserve"> </w:t>
      </w:r>
      <w:r>
        <w:t>Graduate</w:t>
      </w:r>
      <w:r>
        <w:rPr>
          <w:spacing w:val="-6"/>
        </w:rPr>
        <w:t xml:space="preserve"> </w:t>
      </w:r>
      <w:r>
        <w:t>School</w:t>
      </w:r>
      <w:r>
        <w:rPr>
          <w:spacing w:val="-6"/>
        </w:rPr>
        <w:t xml:space="preserve"> </w:t>
      </w:r>
      <w:r>
        <w:t>of</w:t>
      </w:r>
      <w:r>
        <w:rPr>
          <w:spacing w:val="-5"/>
        </w:rPr>
        <w:t xml:space="preserve"> </w:t>
      </w:r>
      <w:r>
        <w:t>Education).</w:t>
      </w:r>
      <w:r>
        <w:rPr>
          <w:spacing w:val="-5"/>
        </w:rPr>
        <w:t xml:space="preserve"> </w:t>
      </w:r>
      <w:r>
        <w:t>The</w:t>
      </w:r>
      <w:r>
        <w:rPr>
          <w:spacing w:val="-5"/>
        </w:rPr>
        <w:t xml:space="preserve"> </w:t>
      </w:r>
      <w:r>
        <w:t>Task</w:t>
      </w:r>
      <w:r>
        <w:rPr>
          <w:spacing w:val="-5"/>
        </w:rPr>
        <w:t xml:space="preserve"> </w:t>
      </w:r>
      <w:r>
        <w:t>Force</w:t>
      </w:r>
      <w:r>
        <w:rPr>
          <w:spacing w:val="-5"/>
        </w:rPr>
        <w:t xml:space="preserve"> </w:t>
      </w:r>
      <w:r>
        <w:t>came</w:t>
      </w:r>
      <w:r>
        <w:rPr>
          <w:spacing w:val="-6"/>
        </w:rPr>
        <w:t xml:space="preserve"> </w:t>
      </w:r>
      <w:r>
        <w:t>together</w:t>
      </w:r>
      <w:r>
        <w:rPr>
          <w:spacing w:val="-5"/>
        </w:rPr>
        <w:t xml:space="preserve"> </w:t>
      </w:r>
      <w:r>
        <w:t>to</w:t>
      </w:r>
      <w:r>
        <w:rPr>
          <w:spacing w:val="-3"/>
        </w:rPr>
        <w:t xml:space="preserve"> </w:t>
      </w:r>
      <w:r>
        <w:t>build</w:t>
      </w:r>
      <w:r>
        <w:rPr>
          <w:spacing w:val="-6"/>
        </w:rPr>
        <w:t xml:space="preserve"> </w:t>
      </w:r>
      <w:r>
        <w:t>on</w:t>
      </w:r>
      <w:r>
        <w:rPr>
          <w:spacing w:val="-5"/>
        </w:rPr>
        <w:t xml:space="preserve"> </w:t>
      </w:r>
      <w:r>
        <w:t>the success of including sexual orientation and gender identity in the Massachusetts Student Rights Law by emphasizing</w:t>
      </w:r>
      <w:r>
        <w:rPr>
          <w:spacing w:val="-2"/>
        </w:rPr>
        <w:t xml:space="preserve"> </w:t>
      </w:r>
      <w:r>
        <w:t>the</w:t>
      </w:r>
      <w:r>
        <w:rPr>
          <w:spacing w:val="-4"/>
        </w:rPr>
        <w:t xml:space="preserve"> </w:t>
      </w:r>
      <w:r>
        <w:t>importance</w:t>
      </w:r>
      <w:r>
        <w:rPr>
          <w:spacing w:val="-4"/>
        </w:rPr>
        <w:t xml:space="preserve"> </w:t>
      </w:r>
      <w:r>
        <w:t>of</w:t>
      </w:r>
      <w:r>
        <w:rPr>
          <w:spacing w:val="-4"/>
        </w:rPr>
        <w:t xml:space="preserve"> </w:t>
      </w:r>
      <w:r>
        <w:t>LGBTQ</w:t>
      </w:r>
      <w:r>
        <w:rPr>
          <w:spacing w:val="-3"/>
        </w:rPr>
        <w:t xml:space="preserve"> </w:t>
      </w:r>
      <w:r>
        <w:t>inclusive</w:t>
      </w:r>
      <w:r>
        <w:rPr>
          <w:spacing w:val="-3"/>
        </w:rPr>
        <w:t xml:space="preserve"> </w:t>
      </w:r>
      <w:r>
        <w:t>curriculum.</w:t>
      </w:r>
      <w:r>
        <w:rPr>
          <w:spacing w:val="-3"/>
        </w:rPr>
        <w:t xml:space="preserve"> </w:t>
      </w:r>
      <w:r>
        <w:t>Since</w:t>
      </w:r>
      <w:r>
        <w:rPr>
          <w:spacing w:val="-3"/>
        </w:rPr>
        <w:t xml:space="preserve"> </w:t>
      </w:r>
      <w:r>
        <w:t>its</w:t>
      </w:r>
      <w:r>
        <w:rPr>
          <w:spacing w:val="-3"/>
        </w:rPr>
        <w:t xml:space="preserve"> </w:t>
      </w:r>
      <w:r>
        <w:t>inception,</w:t>
      </w:r>
      <w:r>
        <w:rPr>
          <w:spacing w:val="-1"/>
        </w:rPr>
        <w:t xml:space="preserve"> </w:t>
      </w:r>
      <w:r>
        <w:t>the</w:t>
      </w:r>
      <w:r>
        <w:rPr>
          <w:spacing w:val="-3"/>
        </w:rPr>
        <w:t xml:space="preserve"> </w:t>
      </w:r>
      <w:r>
        <w:t>Task</w:t>
      </w:r>
      <w:r>
        <w:rPr>
          <w:spacing w:val="-4"/>
        </w:rPr>
        <w:t xml:space="preserve"> </w:t>
      </w:r>
      <w:r>
        <w:t>Force</w:t>
      </w:r>
      <w:r>
        <w:rPr>
          <w:spacing w:val="-4"/>
        </w:rPr>
        <w:t xml:space="preserve"> </w:t>
      </w:r>
      <w:r>
        <w:t>has</w:t>
      </w:r>
      <w:r>
        <w:rPr>
          <w:spacing w:val="-4"/>
        </w:rPr>
        <w:t xml:space="preserve"> </w:t>
      </w:r>
      <w:r>
        <w:t xml:space="preserve">grown to </w:t>
      </w:r>
      <w:r>
        <w:t>include students, educators, administrators, and activists from more than 20 different organizations.</w:t>
      </w:r>
    </w:p>
    <w:p w:rsidR="00C76E6D" w:rsidRDefault="00C76E6D">
      <w:pPr>
        <w:spacing w:line="276" w:lineRule="auto"/>
        <w:jc w:val="both"/>
        <w:sectPr w:rsidR="00C76E6D">
          <w:headerReference w:type="default" r:id="rId161"/>
          <w:footerReference w:type="default" r:id="rId162"/>
          <w:pgSz w:w="12240" w:h="15840"/>
          <w:pgMar w:top="960" w:right="960" w:bottom="1200" w:left="960" w:header="769" w:footer="1005"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478" w:right="476"/>
        <w:jc w:val="both"/>
      </w:pPr>
      <w:r>
        <w:t>Representative Natalie Higgins and Representative Jack Lewis introduced An Act Relative to LGBTQ Inclusive Curriculum at the House level (</w:t>
      </w:r>
      <w:hyperlink r:id="rId163">
        <w:r>
          <w:rPr>
            <w:u w:val="single"/>
          </w:rPr>
          <w:t>H.618</w:t>
        </w:r>
      </w:hyperlink>
      <w:r>
        <w:t>), and Senator Julian Cyr introduced the bill at th</w:t>
      </w:r>
      <w:r>
        <w:t>e Senate level</w:t>
      </w:r>
      <w:r>
        <w:rPr>
          <w:spacing w:val="-11"/>
        </w:rPr>
        <w:t xml:space="preserve"> </w:t>
      </w:r>
      <w:r>
        <w:t>(</w:t>
      </w:r>
      <w:hyperlink r:id="rId164">
        <w:r>
          <w:rPr>
            <w:u w:val="single"/>
          </w:rPr>
          <w:t>S.310</w:t>
        </w:r>
      </w:hyperlink>
      <w:r>
        <w:t>).</w:t>
      </w:r>
      <w:r>
        <w:rPr>
          <w:spacing w:val="-9"/>
        </w:rPr>
        <w:t xml:space="preserve"> </w:t>
      </w:r>
      <w:r>
        <w:t>This</w:t>
      </w:r>
      <w:r>
        <w:rPr>
          <w:spacing w:val="-11"/>
        </w:rPr>
        <w:t xml:space="preserve"> </w:t>
      </w:r>
      <w:r>
        <w:t>legislation</w:t>
      </w:r>
      <w:r>
        <w:rPr>
          <w:spacing w:val="-11"/>
        </w:rPr>
        <w:t xml:space="preserve"> </w:t>
      </w:r>
      <w:r>
        <w:t>would</w:t>
      </w:r>
      <w:r>
        <w:rPr>
          <w:spacing w:val="-11"/>
        </w:rPr>
        <w:t xml:space="preserve"> </w:t>
      </w:r>
      <w:r>
        <w:t>ensure</w:t>
      </w:r>
      <w:r>
        <w:rPr>
          <w:spacing w:val="-11"/>
        </w:rPr>
        <w:t xml:space="preserve"> </w:t>
      </w:r>
      <w:r>
        <w:t>that</w:t>
      </w:r>
      <w:r>
        <w:rPr>
          <w:spacing w:val="-11"/>
        </w:rPr>
        <w:t xml:space="preserve"> </w:t>
      </w:r>
      <w:r>
        <w:t>all</w:t>
      </w:r>
      <w:r>
        <w:rPr>
          <w:spacing w:val="-11"/>
        </w:rPr>
        <w:t xml:space="preserve"> </w:t>
      </w:r>
      <w:r>
        <w:t>students</w:t>
      </w:r>
      <w:r>
        <w:rPr>
          <w:spacing w:val="-11"/>
        </w:rPr>
        <w:t xml:space="preserve"> </w:t>
      </w:r>
      <w:r>
        <w:t>receive</w:t>
      </w:r>
      <w:r>
        <w:rPr>
          <w:spacing w:val="-9"/>
        </w:rPr>
        <w:t xml:space="preserve"> </w:t>
      </w:r>
      <w:r>
        <w:t>"sufficient</w:t>
      </w:r>
      <w:r>
        <w:rPr>
          <w:spacing w:val="-11"/>
        </w:rPr>
        <w:t xml:space="preserve"> </w:t>
      </w:r>
      <w:r>
        <w:t>instruction</w:t>
      </w:r>
      <w:r>
        <w:rPr>
          <w:spacing w:val="-10"/>
        </w:rPr>
        <w:t xml:space="preserve"> </w:t>
      </w:r>
      <w:r>
        <w:t>on</w:t>
      </w:r>
      <w:r>
        <w:rPr>
          <w:spacing w:val="-10"/>
        </w:rPr>
        <w:t xml:space="preserve"> </w:t>
      </w:r>
      <w:r>
        <w:t>the</w:t>
      </w:r>
      <w:r>
        <w:rPr>
          <w:spacing w:val="-11"/>
        </w:rPr>
        <w:t xml:space="preserve"> </w:t>
      </w:r>
      <w:r>
        <w:t>histories, roles, and contributions of lesbian, gay, bisexual, transgender, and que</w:t>
      </w:r>
      <w:r>
        <w:t>er people in the history of this country and this</w:t>
      </w:r>
      <w:r>
        <w:rPr>
          <w:spacing w:val="-1"/>
        </w:rPr>
        <w:t xml:space="preserve"> </w:t>
      </w:r>
      <w:r>
        <w:t>Commonwealth."</w:t>
      </w:r>
      <w:r>
        <w:rPr>
          <w:spacing w:val="-1"/>
        </w:rPr>
        <w:t xml:space="preserve"> </w:t>
      </w:r>
      <w:r>
        <w:t>Students, parents,</w:t>
      </w:r>
      <w:r>
        <w:rPr>
          <w:spacing w:val="-1"/>
        </w:rPr>
        <w:t xml:space="preserve"> </w:t>
      </w:r>
      <w:r>
        <w:t>educators,</w:t>
      </w:r>
      <w:r>
        <w:rPr>
          <w:spacing w:val="-1"/>
        </w:rPr>
        <w:t xml:space="preserve"> </w:t>
      </w:r>
      <w:r>
        <w:t>and</w:t>
      </w:r>
      <w:r>
        <w:rPr>
          <w:spacing w:val="-2"/>
        </w:rPr>
        <w:t xml:space="preserve"> </w:t>
      </w:r>
      <w:r>
        <w:t>activists testified in favor</w:t>
      </w:r>
      <w:r>
        <w:rPr>
          <w:spacing w:val="-1"/>
        </w:rPr>
        <w:t xml:space="preserve"> </w:t>
      </w:r>
      <w:r>
        <w:t>of</w:t>
      </w:r>
      <w:r>
        <w:rPr>
          <w:spacing w:val="-1"/>
        </w:rPr>
        <w:t xml:space="preserve"> </w:t>
      </w:r>
      <w:r>
        <w:t>the bill at</w:t>
      </w:r>
      <w:r>
        <w:rPr>
          <w:spacing w:val="-9"/>
        </w:rPr>
        <w:t xml:space="preserve"> </w:t>
      </w:r>
      <w:r>
        <w:t>its</w:t>
      </w:r>
      <w:r>
        <w:rPr>
          <w:spacing w:val="-7"/>
        </w:rPr>
        <w:t xml:space="preserve"> </w:t>
      </w:r>
      <w:r>
        <w:t>hearing</w:t>
      </w:r>
      <w:r>
        <w:rPr>
          <w:spacing w:val="-7"/>
        </w:rPr>
        <w:t xml:space="preserve"> </w:t>
      </w:r>
      <w:r>
        <w:t>by</w:t>
      </w:r>
      <w:r>
        <w:rPr>
          <w:spacing w:val="-9"/>
        </w:rPr>
        <w:t xml:space="preserve"> </w:t>
      </w:r>
      <w:r>
        <w:t>the</w:t>
      </w:r>
      <w:r>
        <w:rPr>
          <w:spacing w:val="-8"/>
        </w:rPr>
        <w:t xml:space="preserve"> </w:t>
      </w:r>
      <w:r>
        <w:t>Joint</w:t>
      </w:r>
      <w:r>
        <w:rPr>
          <w:spacing w:val="-8"/>
        </w:rPr>
        <w:t xml:space="preserve"> </w:t>
      </w:r>
      <w:r>
        <w:t>Committee</w:t>
      </w:r>
      <w:r>
        <w:rPr>
          <w:spacing w:val="-8"/>
        </w:rPr>
        <w:t xml:space="preserve"> </w:t>
      </w:r>
      <w:r>
        <w:t>on</w:t>
      </w:r>
      <w:r>
        <w:rPr>
          <w:spacing w:val="-7"/>
        </w:rPr>
        <w:t xml:space="preserve"> </w:t>
      </w:r>
      <w:r>
        <w:t>Education</w:t>
      </w:r>
      <w:r>
        <w:rPr>
          <w:spacing w:val="-8"/>
        </w:rPr>
        <w:t xml:space="preserve"> </w:t>
      </w:r>
      <w:r>
        <w:t>in</w:t>
      </w:r>
      <w:r>
        <w:rPr>
          <w:spacing w:val="-7"/>
        </w:rPr>
        <w:t xml:space="preserve"> </w:t>
      </w:r>
      <w:r>
        <w:t>September</w:t>
      </w:r>
      <w:r>
        <w:rPr>
          <w:spacing w:val="-8"/>
        </w:rPr>
        <w:t xml:space="preserve"> </w:t>
      </w:r>
      <w:r>
        <w:t>2021.</w:t>
      </w:r>
      <w:r>
        <w:rPr>
          <w:spacing w:val="-9"/>
        </w:rPr>
        <w:t xml:space="preserve"> </w:t>
      </w:r>
      <w:r>
        <w:t>An</w:t>
      </w:r>
      <w:r>
        <w:rPr>
          <w:spacing w:val="-8"/>
        </w:rPr>
        <w:t xml:space="preserve"> </w:t>
      </w:r>
      <w:r>
        <w:t>Act</w:t>
      </w:r>
      <w:r>
        <w:rPr>
          <w:spacing w:val="-8"/>
        </w:rPr>
        <w:t xml:space="preserve"> </w:t>
      </w:r>
      <w:r>
        <w:t>Relative</w:t>
      </w:r>
      <w:r>
        <w:rPr>
          <w:spacing w:val="-7"/>
        </w:rPr>
        <w:t xml:space="preserve"> </w:t>
      </w:r>
      <w:r>
        <w:t>to</w:t>
      </w:r>
      <w:r>
        <w:rPr>
          <w:spacing w:val="-8"/>
        </w:rPr>
        <w:t xml:space="preserve"> </w:t>
      </w:r>
      <w:r>
        <w:t>LGBTQ</w:t>
      </w:r>
      <w:r>
        <w:rPr>
          <w:spacing w:val="-8"/>
        </w:rPr>
        <w:t xml:space="preserve"> </w:t>
      </w:r>
      <w:r>
        <w:t xml:space="preserve">Inclusive Curriculum is now included in a new omnibus bill set forth by the Joint Committee on Education: </w:t>
      </w:r>
      <w:hyperlink r:id="rId165">
        <w:r>
          <w:rPr>
            <w:u w:val="single"/>
          </w:rPr>
          <w:t>H.4539</w:t>
        </w:r>
      </w:hyperlink>
      <w:r>
        <w:t>/</w:t>
      </w:r>
      <w:hyperlink r:id="rId166">
        <w:r>
          <w:rPr>
            <w:u w:val="single"/>
          </w:rPr>
          <w:t>S.2748</w:t>
        </w:r>
        <w:r>
          <w:t xml:space="preserve">, </w:t>
        </w:r>
      </w:hyperlink>
      <w:r>
        <w:t>An Act Relati</w:t>
      </w:r>
      <w:r>
        <w:t>ve to Educator Diversity.</w:t>
      </w:r>
    </w:p>
    <w:p w:rsidR="00C76E6D" w:rsidRDefault="00C76E6D">
      <w:pPr>
        <w:pStyle w:val="BodyText"/>
        <w:spacing w:before="2"/>
        <w:rPr>
          <w:sz w:val="15"/>
        </w:rPr>
      </w:pPr>
    </w:p>
    <w:p w:rsidR="00C76E6D" w:rsidRDefault="00913831">
      <w:pPr>
        <w:pStyle w:val="BodyText"/>
        <w:spacing w:before="55" w:line="276" w:lineRule="auto"/>
        <w:ind w:left="480" w:right="475"/>
        <w:jc w:val="both"/>
      </w:pPr>
      <w:r>
        <w:t>The MA Commission on LGBTQ Youth, among many legislative priorities that it addresses each year, advocated for the Healthy Youth Act this year through testimony at the public hearing and supporting a virtual lobby training. At ou</w:t>
      </w:r>
      <w:r>
        <w:t>r GSA Student Leadership Council regional meetings, we discussed health advocacy and provided the Healthy Youth Act as one example of policy work at the state level impacting LGBTQ students.</w:t>
      </w:r>
    </w:p>
    <w:p w:rsidR="00C76E6D" w:rsidRDefault="00C76E6D">
      <w:pPr>
        <w:pStyle w:val="BodyText"/>
        <w:spacing w:before="7"/>
        <w:rPr>
          <w:sz w:val="19"/>
        </w:rPr>
      </w:pPr>
    </w:p>
    <w:p w:rsidR="00C76E6D" w:rsidRDefault="00913831">
      <w:pPr>
        <w:pStyle w:val="BodyText"/>
        <w:spacing w:line="276" w:lineRule="auto"/>
        <w:ind w:left="480" w:right="478" w:hanging="1"/>
        <w:jc w:val="both"/>
      </w:pPr>
      <w:r>
        <w:t>As we look ahead to next year with LGBTQ youth safety and well-being as priorities, we will be engaging even</w:t>
      </w:r>
      <w:r>
        <w:rPr>
          <w:spacing w:val="-9"/>
        </w:rPr>
        <w:t xml:space="preserve"> </w:t>
      </w:r>
      <w:r>
        <w:t>more</w:t>
      </w:r>
      <w:r>
        <w:rPr>
          <w:spacing w:val="-9"/>
        </w:rPr>
        <w:t xml:space="preserve"> </w:t>
      </w:r>
      <w:r>
        <w:t>in</w:t>
      </w:r>
      <w:r>
        <w:rPr>
          <w:spacing w:val="-8"/>
        </w:rPr>
        <w:t xml:space="preserve"> </w:t>
      </w:r>
      <w:r>
        <w:t>work</w:t>
      </w:r>
      <w:r>
        <w:rPr>
          <w:spacing w:val="-10"/>
        </w:rPr>
        <w:t xml:space="preserve"> </w:t>
      </w:r>
      <w:r>
        <w:t>around</w:t>
      </w:r>
      <w:r>
        <w:rPr>
          <w:spacing w:val="-7"/>
        </w:rPr>
        <w:t xml:space="preserve"> </w:t>
      </w:r>
      <w:r>
        <w:t>all-gender</w:t>
      </w:r>
      <w:r>
        <w:rPr>
          <w:spacing w:val="-6"/>
        </w:rPr>
        <w:t xml:space="preserve"> </w:t>
      </w:r>
      <w:r>
        <w:t>bathrooms,</w:t>
      </w:r>
      <w:r>
        <w:rPr>
          <w:spacing w:val="-9"/>
        </w:rPr>
        <w:t xml:space="preserve"> </w:t>
      </w:r>
      <w:r>
        <w:t>athletics,</w:t>
      </w:r>
      <w:r>
        <w:rPr>
          <w:spacing w:val="-9"/>
        </w:rPr>
        <w:t xml:space="preserve"> </w:t>
      </w:r>
      <w:r>
        <w:t>family</w:t>
      </w:r>
      <w:r>
        <w:rPr>
          <w:spacing w:val="-7"/>
        </w:rPr>
        <w:t xml:space="preserve"> </w:t>
      </w:r>
      <w:r>
        <w:t>engagement,</w:t>
      </w:r>
      <w:r>
        <w:rPr>
          <w:spacing w:val="-7"/>
        </w:rPr>
        <w:t xml:space="preserve"> </w:t>
      </w:r>
      <w:r>
        <w:t>LGBTQ</w:t>
      </w:r>
      <w:r>
        <w:rPr>
          <w:spacing w:val="-8"/>
        </w:rPr>
        <w:t xml:space="preserve"> </w:t>
      </w:r>
      <w:r>
        <w:t>inclusive</w:t>
      </w:r>
      <w:r>
        <w:rPr>
          <w:spacing w:val="-10"/>
        </w:rPr>
        <w:t xml:space="preserve"> </w:t>
      </w:r>
      <w:r>
        <w:t>and</w:t>
      </w:r>
      <w:r>
        <w:rPr>
          <w:spacing w:val="-9"/>
        </w:rPr>
        <w:t xml:space="preserve"> </w:t>
      </w:r>
      <w:r>
        <w:t>anti- racist curriculum, and data collection and analysis.</w:t>
      </w:r>
    </w:p>
    <w:p w:rsidR="00C76E6D" w:rsidRDefault="00C76E6D">
      <w:pPr>
        <w:pStyle w:val="BodyText"/>
        <w:spacing w:before="8"/>
        <w:rPr>
          <w:sz w:val="25"/>
        </w:rPr>
      </w:pPr>
    </w:p>
    <w:p w:rsidR="00C76E6D" w:rsidRDefault="00913831">
      <w:pPr>
        <w:pStyle w:val="Heading4"/>
        <w:numPr>
          <w:ilvl w:val="0"/>
          <w:numId w:val="48"/>
        </w:numPr>
        <w:tabs>
          <w:tab w:val="left" w:pos="716"/>
        </w:tabs>
        <w:ind w:right="0" w:hanging="238"/>
      </w:pPr>
      <w:r>
        <w:pict>
          <v:shape id="docshape256" o:spid="_x0000_s1175" style="position:absolute;left:0;text-align:left;margin-left:1in;margin-top:17.55pt;width:466.3pt;height:.1pt;z-index:-15692288;mso-wrap-distance-left:0;mso-wrap-distance-right:0;mso-position-horizontal-relative:page" coordorigin="1440,351" coordsize="9326,0" path="m1440,351r9326,e" filled="f" strokeweight=".40958mm">
            <v:path arrowok="t"/>
            <w10:wrap type="topAndBottom" anchorx="page"/>
          </v:shape>
        </w:pict>
      </w:r>
      <w:bookmarkStart w:id="115" w:name="E._CURRICULUM"/>
      <w:bookmarkStart w:id="116" w:name="_bookmark68"/>
      <w:bookmarkEnd w:id="115"/>
      <w:bookmarkEnd w:id="116"/>
      <w:r>
        <w:rPr>
          <w:spacing w:val="-2"/>
        </w:rPr>
        <w:t>CURRICULUM</w:t>
      </w:r>
    </w:p>
    <w:p w:rsidR="00C76E6D" w:rsidRDefault="00C76E6D">
      <w:pPr>
        <w:pStyle w:val="BodyText"/>
        <w:spacing w:before="8"/>
        <w:rPr>
          <w:b/>
          <w:sz w:val="32"/>
        </w:rPr>
      </w:pPr>
    </w:p>
    <w:p w:rsidR="00C76E6D" w:rsidRDefault="00913831">
      <w:pPr>
        <w:spacing w:line="276" w:lineRule="auto"/>
        <w:ind w:left="478" w:right="478"/>
        <w:jc w:val="both"/>
        <w:rPr>
          <w:i/>
        </w:rPr>
      </w:pPr>
      <w:r>
        <w:t>The</w:t>
      </w:r>
      <w:r>
        <w:rPr>
          <w:spacing w:val="-12"/>
        </w:rPr>
        <w:t xml:space="preserve"> </w:t>
      </w:r>
      <w:r>
        <w:t>Regulations</w:t>
      </w:r>
      <w:r>
        <w:rPr>
          <w:spacing w:val="-12"/>
        </w:rPr>
        <w:t xml:space="preserve"> </w:t>
      </w:r>
      <w:r>
        <w:t>for</w:t>
      </w:r>
      <w:r>
        <w:rPr>
          <w:spacing w:val="-12"/>
        </w:rPr>
        <w:t xml:space="preserve"> </w:t>
      </w:r>
      <w:r>
        <w:t>the</w:t>
      </w:r>
      <w:r>
        <w:rPr>
          <w:spacing w:val="-11"/>
        </w:rPr>
        <w:t xml:space="preserve"> </w:t>
      </w:r>
      <w:r>
        <w:t>Massachusetts</w:t>
      </w:r>
      <w:r>
        <w:rPr>
          <w:spacing w:val="-11"/>
        </w:rPr>
        <w:t xml:space="preserve"> </w:t>
      </w:r>
      <w:r>
        <w:t>Student</w:t>
      </w:r>
      <w:r>
        <w:rPr>
          <w:spacing w:val="-12"/>
        </w:rPr>
        <w:t xml:space="preserve"> </w:t>
      </w:r>
      <w:r>
        <w:t>Rights</w:t>
      </w:r>
      <w:r>
        <w:rPr>
          <w:spacing w:val="-11"/>
        </w:rPr>
        <w:t xml:space="preserve"> </w:t>
      </w:r>
      <w:r>
        <w:t>Law</w:t>
      </w:r>
      <w:r>
        <w:rPr>
          <w:spacing w:val="-11"/>
        </w:rPr>
        <w:t xml:space="preserve"> </w:t>
      </w:r>
      <w:r>
        <w:t>(MGL</w:t>
      </w:r>
      <w:r>
        <w:rPr>
          <w:spacing w:val="-11"/>
        </w:rPr>
        <w:t xml:space="preserve"> </w:t>
      </w:r>
      <w:r>
        <w:t>Ch.</w:t>
      </w:r>
      <w:r>
        <w:rPr>
          <w:spacing w:val="-13"/>
        </w:rPr>
        <w:t xml:space="preserve"> </w:t>
      </w:r>
      <w:r>
        <w:t>76,</w:t>
      </w:r>
      <w:r>
        <w:rPr>
          <w:spacing w:val="-12"/>
        </w:rPr>
        <w:t xml:space="preserve"> </w:t>
      </w:r>
      <w:r>
        <w:t>Sec.</w:t>
      </w:r>
      <w:r>
        <w:rPr>
          <w:spacing w:val="-13"/>
        </w:rPr>
        <w:t xml:space="preserve"> </w:t>
      </w:r>
      <w:r>
        <w:t>5)</w:t>
      </w:r>
      <w:r>
        <w:rPr>
          <w:spacing w:val="-12"/>
        </w:rPr>
        <w:t xml:space="preserve"> </w:t>
      </w:r>
      <w:r>
        <w:t>state</w:t>
      </w:r>
      <w:r>
        <w:rPr>
          <w:spacing w:val="-13"/>
        </w:rPr>
        <w:t xml:space="preserve"> </w:t>
      </w:r>
      <w:r>
        <w:t>that</w:t>
      </w:r>
      <w:r>
        <w:rPr>
          <w:spacing w:val="-11"/>
        </w:rPr>
        <w:t xml:space="preserve"> </w:t>
      </w:r>
      <w:r>
        <w:rPr>
          <w:i/>
        </w:rPr>
        <w:t>"all</w:t>
      </w:r>
      <w:r>
        <w:rPr>
          <w:i/>
          <w:spacing w:val="-12"/>
        </w:rPr>
        <w:t xml:space="preserve"> </w:t>
      </w:r>
      <w:r>
        <w:rPr>
          <w:i/>
        </w:rPr>
        <w:t>public</w:t>
      </w:r>
      <w:r>
        <w:rPr>
          <w:i/>
          <w:spacing w:val="-12"/>
        </w:rPr>
        <w:t xml:space="preserve"> </w:t>
      </w:r>
      <w:r>
        <w:rPr>
          <w:i/>
        </w:rPr>
        <w:t>school systems shall, through their curricula, encourage respect for the human and</w:t>
      </w:r>
      <w:r>
        <w:rPr>
          <w:i/>
        </w:rPr>
        <w:t xml:space="preserve"> civil rights of all individuals regardless of race, color, sex, gender identity, religion, national origin or sexual orientation."</w:t>
      </w:r>
    </w:p>
    <w:p w:rsidR="00C76E6D" w:rsidRDefault="00C76E6D">
      <w:pPr>
        <w:pStyle w:val="BodyText"/>
        <w:spacing w:before="7"/>
        <w:rPr>
          <w:i/>
          <w:sz w:val="19"/>
        </w:rPr>
      </w:pPr>
    </w:p>
    <w:p w:rsidR="00C76E6D" w:rsidRDefault="00913831">
      <w:pPr>
        <w:pStyle w:val="BodyText"/>
        <w:spacing w:line="276" w:lineRule="auto"/>
        <w:ind w:left="478" w:right="476"/>
        <w:jc w:val="both"/>
      </w:pPr>
      <w:r>
        <w:t>Through</w:t>
      </w:r>
      <w:r>
        <w:rPr>
          <w:spacing w:val="-4"/>
        </w:rPr>
        <w:t xml:space="preserve"> </w:t>
      </w:r>
      <w:r>
        <w:t>our</w:t>
      </w:r>
      <w:r>
        <w:rPr>
          <w:spacing w:val="-3"/>
        </w:rPr>
        <w:t xml:space="preserve"> </w:t>
      </w:r>
      <w:r>
        <w:t>trainings</w:t>
      </w:r>
      <w:r>
        <w:rPr>
          <w:spacing w:val="-3"/>
        </w:rPr>
        <w:t xml:space="preserve"> </w:t>
      </w:r>
      <w:r>
        <w:t>and</w:t>
      </w:r>
      <w:r>
        <w:rPr>
          <w:spacing w:val="-3"/>
        </w:rPr>
        <w:t xml:space="preserve"> </w:t>
      </w:r>
      <w:r>
        <w:t>the</w:t>
      </w:r>
      <w:r>
        <w:rPr>
          <w:spacing w:val="-3"/>
        </w:rPr>
        <w:t xml:space="preserve"> </w:t>
      </w:r>
      <w:r>
        <w:t>GSA</w:t>
      </w:r>
      <w:r>
        <w:rPr>
          <w:spacing w:val="-4"/>
        </w:rPr>
        <w:t xml:space="preserve"> </w:t>
      </w:r>
      <w:r>
        <w:t>Student</w:t>
      </w:r>
      <w:r>
        <w:rPr>
          <w:spacing w:val="-4"/>
        </w:rPr>
        <w:t xml:space="preserve"> </w:t>
      </w:r>
      <w:r>
        <w:t>Leadership</w:t>
      </w:r>
      <w:r>
        <w:rPr>
          <w:spacing w:val="-6"/>
        </w:rPr>
        <w:t xml:space="preserve"> </w:t>
      </w:r>
      <w:r>
        <w:t>Council,</w:t>
      </w:r>
      <w:r>
        <w:rPr>
          <w:spacing w:val="-5"/>
        </w:rPr>
        <w:t xml:space="preserve"> </w:t>
      </w:r>
      <w:r>
        <w:t>we</w:t>
      </w:r>
      <w:r>
        <w:rPr>
          <w:spacing w:val="-3"/>
        </w:rPr>
        <w:t xml:space="preserve"> </w:t>
      </w:r>
      <w:r>
        <w:t>introduced</w:t>
      </w:r>
      <w:r>
        <w:rPr>
          <w:spacing w:val="-4"/>
        </w:rPr>
        <w:t xml:space="preserve"> </w:t>
      </w:r>
      <w:r>
        <w:t>students</w:t>
      </w:r>
      <w:r>
        <w:rPr>
          <w:spacing w:val="-5"/>
        </w:rPr>
        <w:t xml:space="preserve"> </w:t>
      </w:r>
      <w:r>
        <w:t>and</w:t>
      </w:r>
      <w:r>
        <w:rPr>
          <w:spacing w:val="-3"/>
        </w:rPr>
        <w:t xml:space="preserve"> </w:t>
      </w:r>
      <w:r>
        <w:t>educators</w:t>
      </w:r>
      <w:r>
        <w:rPr>
          <w:spacing w:val="-5"/>
        </w:rPr>
        <w:t xml:space="preserve"> </w:t>
      </w:r>
      <w:r>
        <w:t xml:space="preserve">to the </w:t>
      </w:r>
      <w:hyperlink r:id="rId167">
        <w:r>
          <w:rPr>
            <w:u w:val="single"/>
          </w:rPr>
          <w:t>Model Curriculum Units and other curriculum resources.</w:t>
        </w:r>
        <w:r>
          <w:t xml:space="preserve"> </w:t>
        </w:r>
      </w:hyperlink>
      <w:r>
        <w:t>We focused our January and February GSA Student</w:t>
      </w:r>
      <w:r>
        <w:rPr>
          <w:spacing w:val="-13"/>
        </w:rPr>
        <w:t xml:space="preserve"> </w:t>
      </w:r>
      <w:r>
        <w:t>Leadership</w:t>
      </w:r>
      <w:r>
        <w:rPr>
          <w:spacing w:val="-12"/>
        </w:rPr>
        <w:t xml:space="preserve"> </w:t>
      </w:r>
      <w:r>
        <w:t>Council</w:t>
      </w:r>
      <w:r>
        <w:rPr>
          <w:spacing w:val="-13"/>
        </w:rPr>
        <w:t xml:space="preserve"> </w:t>
      </w:r>
      <w:r>
        <w:t>meetings</w:t>
      </w:r>
      <w:r>
        <w:rPr>
          <w:spacing w:val="-12"/>
        </w:rPr>
        <w:t xml:space="preserve"> </w:t>
      </w:r>
      <w:r>
        <w:t>on</w:t>
      </w:r>
      <w:r>
        <w:rPr>
          <w:spacing w:val="-13"/>
        </w:rPr>
        <w:t xml:space="preserve"> </w:t>
      </w:r>
      <w:r>
        <w:t>inclusive</w:t>
      </w:r>
      <w:r>
        <w:rPr>
          <w:spacing w:val="-12"/>
        </w:rPr>
        <w:t xml:space="preserve"> </w:t>
      </w:r>
      <w:r>
        <w:t>curriculum,</w:t>
      </w:r>
      <w:r>
        <w:rPr>
          <w:spacing w:val="-13"/>
        </w:rPr>
        <w:t xml:space="preserve"> </w:t>
      </w:r>
      <w:r>
        <w:t>where</w:t>
      </w:r>
      <w:r>
        <w:rPr>
          <w:spacing w:val="-12"/>
        </w:rPr>
        <w:t xml:space="preserve"> </w:t>
      </w:r>
      <w:r>
        <w:t>students</w:t>
      </w:r>
      <w:r>
        <w:rPr>
          <w:spacing w:val="-12"/>
        </w:rPr>
        <w:t xml:space="preserve"> </w:t>
      </w:r>
      <w:r>
        <w:t>developed</w:t>
      </w:r>
      <w:r>
        <w:rPr>
          <w:spacing w:val="-13"/>
        </w:rPr>
        <w:t xml:space="preserve"> </w:t>
      </w:r>
      <w:r>
        <w:t>their</w:t>
      </w:r>
      <w:r>
        <w:rPr>
          <w:spacing w:val="-12"/>
        </w:rPr>
        <w:t xml:space="preserve"> </w:t>
      </w:r>
      <w:r>
        <w:t>own</w:t>
      </w:r>
      <w:r>
        <w:rPr>
          <w:spacing w:val="-13"/>
        </w:rPr>
        <w:t xml:space="preserve"> </w:t>
      </w:r>
      <w:r>
        <w:t>LGBTQ inclus</w:t>
      </w:r>
      <w:r>
        <w:t>ive curriculum that they’d like to see at their schools. We also discussed ways that students and educators can advocate for these Model Curriculum Units in their schools and districts.</w:t>
      </w:r>
    </w:p>
    <w:p w:rsidR="00C76E6D" w:rsidRDefault="00C76E6D">
      <w:pPr>
        <w:pStyle w:val="BodyText"/>
        <w:spacing w:before="8"/>
        <w:rPr>
          <w:sz w:val="19"/>
        </w:rPr>
      </w:pPr>
    </w:p>
    <w:p w:rsidR="00C76E6D" w:rsidRDefault="00913831">
      <w:pPr>
        <w:pStyle w:val="BodyText"/>
        <w:spacing w:line="276" w:lineRule="auto"/>
        <w:ind w:left="481" w:right="472" w:hanging="3"/>
        <w:jc w:val="both"/>
      </w:pPr>
      <w:r>
        <w:t>At</w:t>
      </w:r>
      <w:r>
        <w:rPr>
          <w:spacing w:val="-4"/>
        </w:rPr>
        <w:t xml:space="preserve"> </w:t>
      </w:r>
      <w:r>
        <w:t>the</w:t>
      </w:r>
      <w:r>
        <w:rPr>
          <w:spacing w:val="-3"/>
        </w:rPr>
        <w:t xml:space="preserve"> </w:t>
      </w:r>
      <w:r>
        <w:t>11</w:t>
      </w:r>
      <w:r>
        <w:rPr>
          <w:vertAlign w:val="superscript"/>
        </w:rPr>
        <w:t>th</w:t>
      </w:r>
      <w:r>
        <w:rPr>
          <w:spacing w:val="-5"/>
        </w:rPr>
        <w:t xml:space="preserve"> </w:t>
      </w:r>
      <w:r>
        <w:t>Annual</w:t>
      </w:r>
      <w:r>
        <w:rPr>
          <w:spacing w:val="-3"/>
        </w:rPr>
        <w:t xml:space="preserve"> </w:t>
      </w:r>
      <w:r>
        <w:t>Summit</w:t>
      </w:r>
      <w:r>
        <w:rPr>
          <w:spacing w:val="-5"/>
        </w:rPr>
        <w:t xml:space="preserve"> </w:t>
      </w:r>
      <w:r>
        <w:t>last</w:t>
      </w:r>
      <w:r>
        <w:rPr>
          <w:spacing w:val="-4"/>
        </w:rPr>
        <w:t xml:space="preserve"> </w:t>
      </w:r>
      <w:r>
        <w:t>year,</w:t>
      </w:r>
      <w:r>
        <w:rPr>
          <w:spacing w:val="-4"/>
        </w:rPr>
        <w:t xml:space="preserve"> </w:t>
      </w:r>
      <w:r>
        <w:t>the</w:t>
      </w:r>
      <w:r>
        <w:rPr>
          <w:spacing w:val="-4"/>
        </w:rPr>
        <w:t xml:space="preserve"> </w:t>
      </w:r>
      <w:r>
        <w:t>GSA</w:t>
      </w:r>
      <w:r>
        <w:rPr>
          <w:spacing w:val="-3"/>
        </w:rPr>
        <w:t xml:space="preserve"> </w:t>
      </w:r>
      <w:r>
        <w:t>Student</w:t>
      </w:r>
      <w:r>
        <w:rPr>
          <w:spacing w:val="-4"/>
        </w:rPr>
        <w:t xml:space="preserve"> </w:t>
      </w:r>
      <w:r>
        <w:t>Leadership</w:t>
      </w:r>
      <w:r>
        <w:rPr>
          <w:spacing w:val="-2"/>
        </w:rPr>
        <w:t xml:space="preserve"> </w:t>
      </w:r>
      <w:r>
        <w:t>Counc</w:t>
      </w:r>
      <w:r>
        <w:t>il</w:t>
      </w:r>
      <w:r>
        <w:rPr>
          <w:spacing w:val="-3"/>
        </w:rPr>
        <w:t xml:space="preserve"> </w:t>
      </w:r>
      <w:r>
        <w:t>developed</w:t>
      </w:r>
      <w:r>
        <w:rPr>
          <w:spacing w:val="-4"/>
        </w:rPr>
        <w:t xml:space="preserve"> </w:t>
      </w:r>
      <w:r>
        <w:t>testimony</w:t>
      </w:r>
      <w:r>
        <w:rPr>
          <w:spacing w:val="-4"/>
        </w:rPr>
        <w:t xml:space="preserve"> </w:t>
      </w:r>
      <w:r>
        <w:t>in</w:t>
      </w:r>
      <w:r>
        <w:rPr>
          <w:spacing w:val="-3"/>
        </w:rPr>
        <w:t xml:space="preserve"> </w:t>
      </w:r>
      <w:r>
        <w:t>favor</w:t>
      </w:r>
      <w:r>
        <w:rPr>
          <w:spacing w:val="-4"/>
        </w:rPr>
        <w:t xml:space="preserve"> </w:t>
      </w:r>
      <w:r>
        <w:t>of Massachusetts Bill H.618/S.310, An Act Relative to LGBTQ+ Inclusive Curriculum. Students, volunteers, and</w:t>
      </w:r>
      <w:r>
        <w:rPr>
          <w:spacing w:val="-6"/>
        </w:rPr>
        <w:t xml:space="preserve"> </w:t>
      </w:r>
      <w:r>
        <w:t>advisors</w:t>
      </w:r>
      <w:r>
        <w:rPr>
          <w:spacing w:val="-4"/>
        </w:rPr>
        <w:t xml:space="preserve"> </w:t>
      </w:r>
      <w:r>
        <w:t>from</w:t>
      </w:r>
      <w:r>
        <w:rPr>
          <w:spacing w:val="-6"/>
        </w:rPr>
        <w:t xml:space="preserve"> </w:t>
      </w:r>
      <w:r>
        <w:t>the</w:t>
      </w:r>
      <w:r>
        <w:rPr>
          <w:spacing w:val="-4"/>
        </w:rPr>
        <w:t xml:space="preserve"> </w:t>
      </w:r>
      <w:r>
        <w:t>GSA</w:t>
      </w:r>
      <w:r>
        <w:rPr>
          <w:spacing w:val="-4"/>
        </w:rPr>
        <w:t xml:space="preserve"> </w:t>
      </w:r>
      <w:r>
        <w:t>Student</w:t>
      </w:r>
      <w:r>
        <w:rPr>
          <w:spacing w:val="-4"/>
        </w:rPr>
        <w:t xml:space="preserve"> </w:t>
      </w:r>
      <w:r>
        <w:t>Leadership</w:t>
      </w:r>
      <w:r>
        <w:rPr>
          <w:spacing w:val="-6"/>
        </w:rPr>
        <w:t xml:space="preserve"> </w:t>
      </w:r>
      <w:r>
        <w:t>Council</w:t>
      </w:r>
      <w:r>
        <w:rPr>
          <w:spacing w:val="-4"/>
        </w:rPr>
        <w:t xml:space="preserve"> </w:t>
      </w:r>
      <w:r>
        <w:t>hosted</w:t>
      </w:r>
      <w:r>
        <w:rPr>
          <w:spacing w:val="-4"/>
        </w:rPr>
        <w:t xml:space="preserve"> </w:t>
      </w:r>
      <w:r>
        <w:t>a</w:t>
      </w:r>
      <w:r>
        <w:rPr>
          <w:spacing w:val="-4"/>
        </w:rPr>
        <w:t xml:space="preserve"> </w:t>
      </w:r>
      <w:r>
        <w:t>series</w:t>
      </w:r>
      <w:r>
        <w:rPr>
          <w:spacing w:val="-4"/>
        </w:rPr>
        <w:t xml:space="preserve"> </w:t>
      </w:r>
      <w:r>
        <w:t>of</w:t>
      </w:r>
      <w:r>
        <w:rPr>
          <w:spacing w:val="-4"/>
        </w:rPr>
        <w:t xml:space="preserve"> </w:t>
      </w:r>
      <w:r>
        <w:t>virtual</w:t>
      </w:r>
      <w:r>
        <w:rPr>
          <w:spacing w:val="-4"/>
        </w:rPr>
        <w:t xml:space="preserve"> </w:t>
      </w:r>
      <w:r>
        <w:t>advocacy</w:t>
      </w:r>
      <w:r>
        <w:rPr>
          <w:spacing w:val="-4"/>
        </w:rPr>
        <w:t xml:space="preserve"> </w:t>
      </w:r>
      <w:r>
        <w:t>workshops</w:t>
      </w:r>
      <w:r>
        <w:rPr>
          <w:spacing w:val="-4"/>
        </w:rPr>
        <w:t xml:space="preserve"> </w:t>
      </w:r>
      <w:r>
        <w:t>and presented</w:t>
      </w:r>
      <w:r>
        <w:rPr>
          <w:spacing w:val="-6"/>
        </w:rPr>
        <w:t xml:space="preserve"> </w:t>
      </w:r>
      <w:r>
        <w:t>moving</w:t>
      </w:r>
      <w:r>
        <w:rPr>
          <w:spacing w:val="-7"/>
        </w:rPr>
        <w:t xml:space="preserve"> </w:t>
      </w:r>
      <w:r>
        <w:t>testimony</w:t>
      </w:r>
      <w:r>
        <w:rPr>
          <w:spacing w:val="-7"/>
        </w:rPr>
        <w:t xml:space="preserve"> </w:t>
      </w:r>
      <w:r>
        <w:t>to</w:t>
      </w:r>
      <w:r>
        <w:rPr>
          <w:spacing w:val="-4"/>
        </w:rPr>
        <w:t xml:space="preserve"> </w:t>
      </w:r>
      <w:r>
        <w:t>the</w:t>
      </w:r>
      <w:r>
        <w:rPr>
          <w:spacing w:val="-5"/>
        </w:rPr>
        <w:t xml:space="preserve"> </w:t>
      </w:r>
      <w:r>
        <w:t>Joint</w:t>
      </w:r>
      <w:r>
        <w:rPr>
          <w:spacing w:val="-8"/>
        </w:rPr>
        <w:t xml:space="preserve"> </w:t>
      </w:r>
      <w:r>
        <w:t>Committee</w:t>
      </w:r>
      <w:r>
        <w:rPr>
          <w:spacing w:val="-3"/>
        </w:rPr>
        <w:t xml:space="preserve"> </w:t>
      </w:r>
      <w:r>
        <w:t>on</w:t>
      </w:r>
      <w:r>
        <w:rPr>
          <w:spacing w:val="-7"/>
        </w:rPr>
        <w:t xml:space="preserve"> </w:t>
      </w:r>
      <w:r>
        <w:t>Education</w:t>
      </w:r>
      <w:r>
        <w:rPr>
          <w:spacing w:val="-4"/>
        </w:rPr>
        <w:t xml:space="preserve"> </w:t>
      </w:r>
      <w:r>
        <w:t>at</w:t>
      </w:r>
      <w:r>
        <w:rPr>
          <w:spacing w:val="-8"/>
        </w:rPr>
        <w:t xml:space="preserve"> </w:t>
      </w:r>
      <w:r>
        <w:t>a</w:t>
      </w:r>
      <w:r>
        <w:rPr>
          <w:spacing w:val="-6"/>
        </w:rPr>
        <w:t xml:space="preserve"> </w:t>
      </w:r>
      <w:r>
        <w:t>public</w:t>
      </w:r>
      <w:r>
        <w:rPr>
          <w:spacing w:val="-6"/>
        </w:rPr>
        <w:t xml:space="preserve"> </w:t>
      </w:r>
      <w:r>
        <w:t>hearing</w:t>
      </w:r>
      <w:r>
        <w:rPr>
          <w:spacing w:val="-7"/>
        </w:rPr>
        <w:t xml:space="preserve"> </w:t>
      </w:r>
      <w:r>
        <w:t>in</w:t>
      </w:r>
      <w:r>
        <w:rPr>
          <w:spacing w:val="-6"/>
        </w:rPr>
        <w:t xml:space="preserve"> </w:t>
      </w:r>
      <w:r>
        <w:t>September</w:t>
      </w:r>
      <w:r>
        <w:rPr>
          <w:spacing w:val="-6"/>
        </w:rPr>
        <w:t xml:space="preserve"> </w:t>
      </w:r>
      <w:r>
        <w:t>2021.</w:t>
      </w:r>
    </w:p>
    <w:p w:rsidR="00C76E6D" w:rsidRDefault="00C76E6D">
      <w:pPr>
        <w:pStyle w:val="BodyText"/>
      </w:pPr>
    </w:p>
    <w:p w:rsidR="00C76E6D" w:rsidRDefault="00C76E6D">
      <w:pPr>
        <w:pStyle w:val="BodyText"/>
        <w:spacing w:before="4"/>
        <w:rPr>
          <w:sz w:val="23"/>
        </w:rPr>
      </w:pPr>
    </w:p>
    <w:p w:rsidR="00C76E6D" w:rsidRDefault="00913831">
      <w:pPr>
        <w:pStyle w:val="Heading4"/>
        <w:numPr>
          <w:ilvl w:val="0"/>
          <w:numId w:val="48"/>
        </w:numPr>
        <w:tabs>
          <w:tab w:val="left" w:pos="708"/>
        </w:tabs>
        <w:ind w:left="708" w:right="0" w:hanging="228"/>
      </w:pPr>
      <w:r>
        <w:pict>
          <v:shape id="docshape257" o:spid="_x0000_s1174" style="position:absolute;left:0;text-align:left;margin-left:1in;margin-top:17.6pt;width:466.3pt;height:.1pt;z-index:-15691776;mso-wrap-distance-left:0;mso-wrap-distance-right:0;mso-position-horizontal-relative:page" coordorigin="1440,352" coordsize="9326,0" path="m1440,352r9326,e" filled="f" strokeweight=".40958mm">
            <v:path arrowok="t"/>
            <w10:wrap type="topAndBottom" anchorx="page"/>
          </v:shape>
        </w:pict>
      </w:r>
      <w:bookmarkStart w:id="117" w:name="F._ADMINISTRATIVE_LEADERSHIP"/>
      <w:bookmarkEnd w:id="117"/>
      <w:r>
        <w:rPr>
          <w:spacing w:val="-2"/>
        </w:rPr>
        <w:t>ADMINISTRATIVE</w:t>
      </w:r>
      <w:r>
        <w:rPr>
          <w:spacing w:val="10"/>
        </w:rPr>
        <w:t xml:space="preserve"> </w:t>
      </w:r>
      <w:r>
        <w:rPr>
          <w:spacing w:val="-2"/>
        </w:rPr>
        <w:t>LEADERSHIP</w:t>
      </w:r>
    </w:p>
    <w:p w:rsidR="00C76E6D" w:rsidRDefault="00C76E6D">
      <w:pPr>
        <w:pStyle w:val="BodyText"/>
        <w:spacing w:before="8"/>
        <w:rPr>
          <w:b/>
          <w:sz w:val="32"/>
        </w:rPr>
      </w:pPr>
    </w:p>
    <w:p w:rsidR="00C76E6D" w:rsidRDefault="00913831">
      <w:pPr>
        <w:pStyle w:val="BodyText"/>
        <w:spacing w:line="276" w:lineRule="auto"/>
        <w:ind w:left="478" w:right="477"/>
        <w:jc w:val="both"/>
      </w:pPr>
      <w:r>
        <w:rPr>
          <w:sz w:val="24"/>
        </w:rPr>
        <w:t>This y</w:t>
      </w:r>
      <w:r>
        <w:t>ear, our program has placed an additional emphasis on building relationships with district-wide administrative leadership teams in collaboration with Diversity, Equity, Inclusion (DEI) staff, including Cambridge</w:t>
      </w:r>
      <w:r>
        <w:rPr>
          <w:spacing w:val="24"/>
        </w:rPr>
        <w:t xml:space="preserve"> </w:t>
      </w:r>
      <w:r>
        <w:t>Public</w:t>
      </w:r>
      <w:r>
        <w:rPr>
          <w:spacing w:val="24"/>
        </w:rPr>
        <w:t xml:space="preserve"> </w:t>
      </w:r>
      <w:r>
        <w:t>Schools,</w:t>
      </w:r>
      <w:r>
        <w:rPr>
          <w:spacing w:val="23"/>
        </w:rPr>
        <w:t xml:space="preserve"> </w:t>
      </w:r>
      <w:r>
        <w:t>Chelsea</w:t>
      </w:r>
      <w:r>
        <w:rPr>
          <w:spacing w:val="23"/>
        </w:rPr>
        <w:t xml:space="preserve"> </w:t>
      </w:r>
      <w:r>
        <w:t>Public</w:t>
      </w:r>
      <w:r>
        <w:rPr>
          <w:spacing w:val="22"/>
        </w:rPr>
        <w:t xml:space="preserve"> </w:t>
      </w:r>
      <w:r>
        <w:t>Schools,</w:t>
      </w:r>
      <w:r>
        <w:rPr>
          <w:spacing w:val="23"/>
        </w:rPr>
        <w:t xml:space="preserve"> </w:t>
      </w:r>
      <w:r>
        <w:t>Danvers</w:t>
      </w:r>
      <w:r>
        <w:rPr>
          <w:spacing w:val="23"/>
        </w:rPr>
        <w:t xml:space="preserve"> </w:t>
      </w:r>
      <w:r>
        <w:t>Public</w:t>
      </w:r>
      <w:r>
        <w:rPr>
          <w:spacing w:val="22"/>
        </w:rPr>
        <w:t xml:space="preserve"> </w:t>
      </w:r>
      <w:r>
        <w:t>Schools,</w:t>
      </w:r>
      <w:r>
        <w:rPr>
          <w:spacing w:val="24"/>
        </w:rPr>
        <w:t xml:space="preserve"> </w:t>
      </w:r>
      <w:r>
        <w:t>King</w:t>
      </w:r>
      <w:r>
        <w:rPr>
          <w:spacing w:val="21"/>
        </w:rPr>
        <w:t xml:space="preserve"> </w:t>
      </w:r>
      <w:r>
        <w:t>Philip</w:t>
      </w:r>
      <w:r>
        <w:rPr>
          <w:spacing w:val="25"/>
        </w:rPr>
        <w:t xml:space="preserve"> </w:t>
      </w:r>
      <w:r>
        <w:t>Regional</w:t>
      </w:r>
      <w:r>
        <w:rPr>
          <w:spacing w:val="22"/>
        </w:rPr>
        <w:t xml:space="preserve"> </w:t>
      </w:r>
      <w:r>
        <w:t>School</w:t>
      </w:r>
    </w:p>
    <w:p w:rsidR="00C76E6D" w:rsidRDefault="00C76E6D">
      <w:pPr>
        <w:spacing w:line="276" w:lineRule="auto"/>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480" w:right="474"/>
        <w:jc w:val="both"/>
      </w:pPr>
      <w:r>
        <w:t>District, Somerville Public Schools, Wilmington Public Schools, and Woburn Public Schools. These partnerships have led to administrative leadership trainings focused on school policies, fo</w:t>
      </w:r>
      <w:r>
        <w:t>llowed by specialized training for staff at individual school buildings, including mental health professionals, health/physical education teachers, and school nurses. We will continue to grow these relationships in partnership</w:t>
      </w:r>
      <w:r>
        <w:rPr>
          <w:spacing w:val="-3"/>
        </w:rPr>
        <w:t xml:space="preserve"> </w:t>
      </w:r>
      <w:r>
        <w:t>with</w:t>
      </w:r>
      <w:r>
        <w:rPr>
          <w:spacing w:val="-5"/>
        </w:rPr>
        <w:t xml:space="preserve"> </w:t>
      </w:r>
      <w:r>
        <w:t>statewide</w:t>
      </w:r>
      <w:r>
        <w:rPr>
          <w:spacing w:val="-5"/>
        </w:rPr>
        <w:t xml:space="preserve"> </w:t>
      </w:r>
      <w:r>
        <w:t>organizations</w:t>
      </w:r>
      <w:r>
        <w:rPr>
          <w:spacing w:val="-5"/>
        </w:rPr>
        <w:t xml:space="preserve"> </w:t>
      </w:r>
      <w:r>
        <w:t>like</w:t>
      </w:r>
      <w:r>
        <w:rPr>
          <w:spacing w:val="-5"/>
        </w:rPr>
        <w:t xml:space="preserve"> </w:t>
      </w:r>
      <w:r>
        <w:t>the</w:t>
      </w:r>
      <w:r>
        <w:rPr>
          <w:spacing w:val="-4"/>
        </w:rPr>
        <w:t xml:space="preserve"> </w:t>
      </w:r>
      <w:r>
        <w:t>MA</w:t>
      </w:r>
      <w:r>
        <w:rPr>
          <w:spacing w:val="-5"/>
        </w:rPr>
        <w:t xml:space="preserve"> </w:t>
      </w:r>
      <w:r>
        <w:t>Association</w:t>
      </w:r>
      <w:r>
        <w:rPr>
          <w:spacing w:val="-5"/>
        </w:rPr>
        <w:t xml:space="preserve"> </w:t>
      </w:r>
      <w:r>
        <w:t>of</w:t>
      </w:r>
      <w:r>
        <w:rPr>
          <w:spacing w:val="-5"/>
        </w:rPr>
        <w:t xml:space="preserve"> </w:t>
      </w:r>
      <w:r>
        <w:t>School</w:t>
      </w:r>
      <w:r>
        <w:rPr>
          <w:spacing w:val="-5"/>
        </w:rPr>
        <w:t xml:space="preserve"> </w:t>
      </w:r>
      <w:r>
        <w:t>Superintendents.</w:t>
      </w:r>
      <w:r>
        <w:rPr>
          <w:spacing w:val="-5"/>
        </w:rPr>
        <w:t xml:space="preserve"> </w:t>
      </w:r>
      <w:r>
        <w:t>Jeff</w:t>
      </w:r>
      <w:r>
        <w:rPr>
          <w:spacing w:val="-5"/>
        </w:rPr>
        <w:t xml:space="preserve"> </w:t>
      </w:r>
      <w:r>
        <w:t>Perrotti received the 2022 Distinguished Service Award from M.A.S.S. on May 26, 2022. This honor not only recognized Jeff’s impactful work across the state, but also affirmed M.A.S.S.’ commitment to u</w:t>
      </w:r>
      <w:r>
        <w:t>plifting LGBTQ students, educators, and policy.</w:t>
      </w:r>
    </w:p>
    <w:p w:rsidR="00C76E6D" w:rsidRDefault="00913831">
      <w:pPr>
        <w:pStyle w:val="BodyText"/>
        <w:spacing w:before="4"/>
        <w:rPr>
          <w:sz w:val="23"/>
        </w:rPr>
      </w:pPr>
      <w:r>
        <w:rPr>
          <w:noProof/>
        </w:rPr>
        <w:drawing>
          <wp:anchor distT="0" distB="0" distL="0" distR="0" simplePos="0" relativeHeight="73" behindDoc="0" locked="0" layoutInCell="1" allowOverlap="1">
            <wp:simplePos x="0" y="0"/>
            <wp:positionH relativeFrom="page">
              <wp:posOffset>2133600</wp:posOffset>
            </wp:positionH>
            <wp:positionV relativeFrom="paragraph">
              <wp:posOffset>196387</wp:posOffset>
            </wp:positionV>
            <wp:extent cx="3522625" cy="3607308"/>
            <wp:effectExtent l="0" t="0" r="0" b="0"/>
            <wp:wrapTopAndBottom/>
            <wp:docPr id="79"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88.jpeg"/>
                    <pic:cNvPicPr/>
                  </pic:nvPicPr>
                  <pic:blipFill>
                    <a:blip r:embed="rId168" cstate="print"/>
                    <a:stretch>
                      <a:fillRect/>
                    </a:stretch>
                  </pic:blipFill>
                  <pic:spPr>
                    <a:xfrm>
                      <a:off x="0" y="0"/>
                      <a:ext cx="3522625" cy="3607308"/>
                    </a:xfrm>
                    <a:prstGeom prst="rect">
                      <a:avLst/>
                    </a:prstGeom>
                  </pic:spPr>
                </pic:pic>
              </a:graphicData>
            </a:graphic>
          </wp:anchor>
        </w:drawing>
      </w:r>
    </w:p>
    <w:p w:rsidR="00C76E6D" w:rsidRDefault="00913831">
      <w:pPr>
        <w:spacing w:before="10" w:line="276" w:lineRule="auto"/>
        <w:ind w:left="1200" w:right="1195"/>
        <w:jc w:val="both"/>
        <w:rPr>
          <w:i/>
        </w:rPr>
      </w:pPr>
      <w:r>
        <w:rPr>
          <w:i/>
        </w:rPr>
        <w:t xml:space="preserve">Photo from the Commissioner’s Weekly, a weekly newsletter sent out by Commissioner Jeffrey C. Riley and the Massachusetts Department of Elementary and Secondary </w:t>
      </w:r>
      <w:r>
        <w:rPr>
          <w:i/>
          <w:spacing w:val="-2"/>
        </w:rPr>
        <w:t>Education</w:t>
      </w:r>
    </w:p>
    <w:p w:rsidR="00C76E6D" w:rsidRDefault="00C76E6D">
      <w:pPr>
        <w:pStyle w:val="BodyText"/>
        <w:spacing w:before="3"/>
        <w:rPr>
          <w:i/>
          <w:sz w:val="25"/>
        </w:rPr>
      </w:pPr>
    </w:p>
    <w:p w:rsidR="00C76E6D" w:rsidRDefault="00913831">
      <w:pPr>
        <w:pStyle w:val="BodyText"/>
        <w:spacing w:line="276" w:lineRule="auto"/>
        <w:ind w:left="479" w:right="476"/>
        <w:jc w:val="both"/>
      </w:pPr>
      <w:r>
        <w:t>This year marked the 10th annivers</w:t>
      </w:r>
      <w:r>
        <w:t>ary of the amendment to our state’s student anti-discrimination law which added gender identity as a protected category. Cas Ford Martin, Policy Fellow, analyzed school handbooks across the state to understand whether this law was reflected in handbooks, w</w:t>
      </w:r>
      <w:r>
        <w:t>hich are important resources for communicating the values and obligations of a school to students and families. The following report, “SPECIAL REPORT ON LGBTQ+ INCLUSIVE EDUCATION POLICY: Evaluating Nondiscrimination on the Basis of Gender Identity in Mass</w:t>
      </w:r>
      <w:r>
        <w:t>achusetts PK-12 Public Schools,” outlines this research and its findings.</w:t>
      </w:r>
    </w:p>
    <w:p w:rsidR="00C76E6D" w:rsidRDefault="00C76E6D">
      <w:pPr>
        <w:spacing w:line="276" w:lineRule="auto"/>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913831">
      <w:pPr>
        <w:pStyle w:val="ListParagraph"/>
        <w:numPr>
          <w:ilvl w:val="0"/>
          <w:numId w:val="48"/>
        </w:numPr>
        <w:tabs>
          <w:tab w:val="left" w:pos="749"/>
          <w:tab w:val="left" w:pos="9805"/>
        </w:tabs>
        <w:spacing w:before="210"/>
        <w:ind w:left="748" w:hanging="271"/>
        <w:rPr>
          <w:b/>
          <w:sz w:val="24"/>
        </w:rPr>
      </w:pPr>
      <w:r>
        <w:rPr>
          <w:b/>
          <w:sz w:val="24"/>
          <w:u w:val="thick"/>
        </w:rPr>
        <w:t>IN</w:t>
      </w:r>
      <w:r>
        <w:rPr>
          <w:b/>
          <w:spacing w:val="-8"/>
          <w:sz w:val="24"/>
          <w:u w:val="thick"/>
        </w:rPr>
        <w:t xml:space="preserve"> </w:t>
      </w:r>
      <w:r>
        <w:rPr>
          <w:b/>
          <w:sz w:val="24"/>
          <w:u w:val="thick"/>
        </w:rPr>
        <w:t>THE</w:t>
      </w:r>
      <w:r>
        <w:rPr>
          <w:b/>
          <w:spacing w:val="-1"/>
          <w:sz w:val="24"/>
          <w:u w:val="thick"/>
        </w:rPr>
        <w:t xml:space="preserve"> </w:t>
      </w:r>
      <w:r>
        <w:rPr>
          <w:b/>
          <w:spacing w:val="-4"/>
          <w:sz w:val="24"/>
          <w:u w:val="thick"/>
        </w:rPr>
        <w:t>NEWS</w:t>
      </w:r>
      <w:r>
        <w:rPr>
          <w:b/>
          <w:sz w:val="24"/>
          <w:u w:val="thick"/>
        </w:rPr>
        <w:tab/>
      </w:r>
    </w:p>
    <w:p w:rsidR="00C76E6D" w:rsidRDefault="00C76E6D">
      <w:pPr>
        <w:pStyle w:val="BodyText"/>
        <w:rPr>
          <w:b/>
          <w:sz w:val="20"/>
        </w:rPr>
      </w:pPr>
    </w:p>
    <w:p w:rsidR="00C76E6D" w:rsidRDefault="00C76E6D">
      <w:pPr>
        <w:pStyle w:val="BodyText"/>
        <w:spacing w:before="2"/>
        <w:rPr>
          <w:b/>
          <w:sz w:val="16"/>
        </w:rPr>
      </w:pPr>
    </w:p>
    <w:p w:rsidR="00C76E6D" w:rsidRDefault="00913831">
      <w:pPr>
        <w:spacing w:before="60"/>
        <w:ind w:left="480"/>
        <w:rPr>
          <w:sz w:val="20"/>
        </w:rPr>
      </w:pPr>
      <w:hyperlink r:id="rId169">
        <w:r>
          <w:rPr>
            <w:sz w:val="20"/>
            <w:u w:val="single"/>
          </w:rPr>
          <w:t>Building</w:t>
        </w:r>
        <w:r>
          <w:rPr>
            <w:spacing w:val="-8"/>
            <w:sz w:val="20"/>
            <w:u w:val="single"/>
          </w:rPr>
          <w:t xml:space="preserve"> </w:t>
        </w:r>
        <w:r>
          <w:rPr>
            <w:sz w:val="20"/>
            <w:u w:val="single"/>
          </w:rPr>
          <w:t>Futures</w:t>
        </w:r>
        <w:r>
          <w:rPr>
            <w:spacing w:val="-7"/>
            <w:sz w:val="20"/>
            <w:u w:val="single"/>
          </w:rPr>
          <w:t xml:space="preserve"> </w:t>
        </w:r>
        <w:r>
          <w:rPr>
            <w:sz w:val="20"/>
            <w:u w:val="single"/>
          </w:rPr>
          <w:t>for</w:t>
        </w:r>
        <w:r>
          <w:rPr>
            <w:spacing w:val="-7"/>
            <w:sz w:val="20"/>
            <w:u w:val="single"/>
          </w:rPr>
          <w:t xml:space="preserve"> </w:t>
        </w:r>
        <w:r>
          <w:rPr>
            <w:sz w:val="20"/>
            <w:u w:val="single"/>
          </w:rPr>
          <w:t>Queer</w:t>
        </w:r>
        <w:r>
          <w:rPr>
            <w:spacing w:val="-8"/>
            <w:sz w:val="20"/>
            <w:u w:val="single"/>
          </w:rPr>
          <w:t xml:space="preserve"> </w:t>
        </w:r>
        <w:r>
          <w:rPr>
            <w:sz w:val="20"/>
            <w:u w:val="single"/>
          </w:rPr>
          <w:t>and</w:t>
        </w:r>
        <w:r>
          <w:rPr>
            <w:spacing w:val="-6"/>
            <w:sz w:val="20"/>
            <w:u w:val="single"/>
          </w:rPr>
          <w:t xml:space="preserve"> </w:t>
        </w:r>
        <w:r>
          <w:rPr>
            <w:sz w:val="20"/>
            <w:u w:val="single"/>
          </w:rPr>
          <w:t>Trans</w:t>
        </w:r>
        <w:r>
          <w:rPr>
            <w:spacing w:val="-8"/>
            <w:sz w:val="20"/>
            <w:u w:val="single"/>
          </w:rPr>
          <w:t xml:space="preserve"> </w:t>
        </w:r>
        <w:r>
          <w:rPr>
            <w:sz w:val="20"/>
            <w:u w:val="single"/>
          </w:rPr>
          <w:t>Youth</w:t>
        </w:r>
        <w:r>
          <w:rPr>
            <w:spacing w:val="-8"/>
            <w:sz w:val="20"/>
          </w:rPr>
          <w:t xml:space="preserve"> </w:t>
        </w:r>
      </w:hyperlink>
      <w:r>
        <w:rPr>
          <w:sz w:val="20"/>
        </w:rPr>
        <w:t>(SELinEDU,</w:t>
      </w:r>
      <w:r>
        <w:rPr>
          <w:spacing w:val="-6"/>
          <w:sz w:val="20"/>
        </w:rPr>
        <w:t xml:space="preserve"> </w:t>
      </w:r>
      <w:r>
        <w:rPr>
          <w:sz w:val="20"/>
        </w:rPr>
        <w:t>April</w:t>
      </w:r>
      <w:r>
        <w:rPr>
          <w:spacing w:val="-7"/>
          <w:sz w:val="20"/>
        </w:rPr>
        <w:t xml:space="preserve"> </w:t>
      </w:r>
      <w:r>
        <w:rPr>
          <w:sz w:val="20"/>
        </w:rPr>
        <w:t>23,</w:t>
      </w:r>
      <w:r>
        <w:rPr>
          <w:spacing w:val="-5"/>
          <w:sz w:val="20"/>
        </w:rPr>
        <w:t xml:space="preserve"> </w:t>
      </w:r>
      <w:r>
        <w:rPr>
          <w:spacing w:val="-2"/>
          <w:sz w:val="20"/>
        </w:rPr>
        <w:t>2022)</w:t>
      </w:r>
    </w:p>
    <w:p w:rsidR="00C76E6D" w:rsidRDefault="00C76E6D">
      <w:pPr>
        <w:pStyle w:val="BodyText"/>
        <w:spacing w:before="1"/>
        <w:rPr>
          <w:sz w:val="21"/>
        </w:rPr>
      </w:pPr>
    </w:p>
    <w:p w:rsidR="00C76E6D" w:rsidRDefault="00913831">
      <w:pPr>
        <w:spacing w:before="60" w:line="276" w:lineRule="auto"/>
        <w:ind w:left="480" w:right="530"/>
        <w:rPr>
          <w:sz w:val="20"/>
        </w:rPr>
      </w:pPr>
      <w:hyperlink r:id="rId170">
        <w:r>
          <w:rPr>
            <w:sz w:val="20"/>
            <w:u w:val="single"/>
          </w:rPr>
          <w:t>‘We</w:t>
        </w:r>
        <w:r>
          <w:rPr>
            <w:spacing w:val="-3"/>
            <w:sz w:val="20"/>
            <w:u w:val="single"/>
          </w:rPr>
          <w:t xml:space="preserve"> </w:t>
        </w:r>
        <w:r>
          <w:rPr>
            <w:sz w:val="20"/>
            <w:u w:val="single"/>
          </w:rPr>
          <w:t>can’t</w:t>
        </w:r>
        <w:r>
          <w:rPr>
            <w:spacing w:val="-3"/>
            <w:sz w:val="20"/>
            <w:u w:val="single"/>
          </w:rPr>
          <w:t xml:space="preserve"> </w:t>
        </w:r>
        <w:r>
          <w:rPr>
            <w:sz w:val="20"/>
            <w:u w:val="single"/>
          </w:rPr>
          <w:t>be</w:t>
        </w:r>
        <w:r>
          <w:rPr>
            <w:spacing w:val="-4"/>
            <w:sz w:val="20"/>
            <w:u w:val="single"/>
          </w:rPr>
          <w:t xml:space="preserve"> </w:t>
        </w:r>
        <w:r>
          <w:rPr>
            <w:sz w:val="20"/>
            <w:u w:val="single"/>
          </w:rPr>
          <w:t>erased,</w:t>
        </w:r>
        <w:r>
          <w:rPr>
            <w:spacing w:val="-2"/>
            <w:sz w:val="20"/>
            <w:u w:val="single"/>
          </w:rPr>
          <w:t xml:space="preserve"> </w:t>
        </w:r>
        <w:r>
          <w:rPr>
            <w:sz w:val="20"/>
            <w:u w:val="single"/>
          </w:rPr>
          <w:t>so</w:t>
        </w:r>
        <w:r>
          <w:rPr>
            <w:spacing w:val="-2"/>
            <w:sz w:val="20"/>
            <w:u w:val="single"/>
          </w:rPr>
          <w:t xml:space="preserve"> </w:t>
        </w:r>
        <w:r>
          <w:rPr>
            <w:sz w:val="20"/>
            <w:u w:val="single"/>
          </w:rPr>
          <w:t>stop</w:t>
        </w:r>
        <w:r>
          <w:rPr>
            <w:spacing w:val="16"/>
            <w:sz w:val="20"/>
            <w:u w:val="single"/>
          </w:rPr>
          <w:t xml:space="preserve"> </w:t>
        </w:r>
        <w:r>
          <w:rPr>
            <w:sz w:val="20"/>
            <w:u w:val="single"/>
          </w:rPr>
          <w:t>trying’:</w:t>
        </w:r>
        <w:r>
          <w:rPr>
            <w:spacing w:val="-3"/>
            <w:sz w:val="20"/>
            <w:u w:val="single"/>
          </w:rPr>
          <w:t xml:space="preserve"> </w:t>
        </w:r>
        <w:r>
          <w:rPr>
            <w:sz w:val="20"/>
            <w:u w:val="single"/>
          </w:rPr>
          <w:t>Transgender</w:t>
        </w:r>
        <w:r>
          <w:rPr>
            <w:spacing w:val="-3"/>
            <w:sz w:val="20"/>
            <w:u w:val="single"/>
          </w:rPr>
          <w:t xml:space="preserve"> </w:t>
        </w:r>
        <w:r>
          <w:rPr>
            <w:sz w:val="20"/>
            <w:u w:val="single"/>
          </w:rPr>
          <w:t>Day</w:t>
        </w:r>
        <w:r>
          <w:rPr>
            <w:spacing w:val="-3"/>
            <w:sz w:val="20"/>
            <w:u w:val="single"/>
          </w:rPr>
          <w:t xml:space="preserve"> </w:t>
        </w:r>
        <w:r>
          <w:rPr>
            <w:sz w:val="20"/>
            <w:u w:val="single"/>
          </w:rPr>
          <w:t>of</w:t>
        </w:r>
        <w:r>
          <w:rPr>
            <w:spacing w:val="-3"/>
            <w:sz w:val="20"/>
            <w:u w:val="single"/>
          </w:rPr>
          <w:t xml:space="preserve"> </w:t>
        </w:r>
        <w:r>
          <w:rPr>
            <w:sz w:val="20"/>
            <w:u w:val="single"/>
          </w:rPr>
          <w:t>Visibility</w:t>
        </w:r>
        <w:r>
          <w:rPr>
            <w:spacing w:val="-2"/>
            <w:sz w:val="20"/>
            <w:u w:val="single"/>
          </w:rPr>
          <w:t xml:space="preserve"> </w:t>
        </w:r>
        <w:r>
          <w:rPr>
            <w:sz w:val="20"/>
            <w:u w:val="single"/>
          </w:rPr>
          <w:t>event</w:t>
        </w:r>
        <w:r>
          <w:rPr>
            <w:spacing w:val="17"/>
            <w:sz w:val="20"/>
            <w:u w:val="single"/>
          </w:rPr>
          <w:t xml:space="preserve"> </w:t>
        </w:r>
        <w:r>
          <w:rPr>
            <w:sz w:val="20"/>
            <w:u w:val="single"/>
          </w:rPr>
          <w:t>offers</w:t>
        </w:r>
        <w:r>
          <w:rPr>
            <w:spacing w:val="-2"/>
            <w:sz w:val="20"/>
            <w:u w:val="single"/>
          </w:rPr>
          <w:t xml:space="preserve"> </w:t>
        </w:r>
        <w:r>
          <w:rPr>
            <w:sz w:val="20"/>
            <w:u w:val="single"/>
          </w:rPr>
          <w:t>love,</w:t>
        </w:r>
        <w:r>
          <w:rPr>
            <w:spacing w:val="-2"/>
            <w:sz w:val="20"/>
            <w:u w:val="single"/>
          </w:rPr>
          <w:t xml:space="preserve"> </w:t>
        </w:r>
        <w:r>
          <w:rPr>
            <w:sz w:val="20"/>
            <w:u w:val="single"/>
          </w:rPr>
          <w:t>reassurance</w:t>
        </w:r>
        <w:r>
          <w:rPr>
            <w:spacing w:val="-3"/>
            <w:sz w:val="20"/>
          </w:rPr>
          <w:t xml:space="preserve"> </w:t>
        </w:r>
      </w:hyperlink>
      <w:r>
        <w:rPr>
          <w:sz w:val="20"/>
        </w:rPr>
        <w:t>(Boston</w:t>
      </w:r>
      <w:r>
        <w:rPr>
          <w:spacing w:val="-2"/>
          <w:sz w:val="20"/>
        </w:rPr>
        <w:t xml:space="preserve"> </w:t>
      </w:r>
      <w:r>
        <w:rPr>
          <w:sz w:val="20"/>
        </w:rPr>
        <w:t>Globe, March 31, 2022)</w:t>
      </w:r>
    </w:p>
    <w:p w:rsidR="00C76E6D" w:rsidRDefault="00C76E6D">
      <w:pPr>
        <w:pStyle w:val="BodyText"/>
        <w:rPr>
          <w:sz w:val="23"/>
        </w:rPr>
      </w:pPr>
    </w:p>
    <w:p w:rsidR="00C76E6D" w:rsidRDefault="00913831">
      <w:pPr>
        <w:spacing w:line="276" w:lineRule="auto"/>
        <w:ind w:left="480" w:right="530"/>
        <w:rPr>
          <w:sz w:val="20"/>
        </w:rPr>
      </w:pPr>
      <w:hyperlink r:id="rId171">
        <w:r>
          <w:rPr>
            <w:sz w:val="20"/>
            <w:u w:val="single"/>
          </w:rPr>
          <w:t>‘We</w:t>
        </w:r>
        <w:r>
          <w:rPr>
            <w:spacing w:val="18"/>
            <w:sz w:val="20"/>
            <w:u w:val="single"/>
          </w:rPr>
          <w:t xml:space="preserve"> </w:t>
        </w:r>
        <w:r>
          <w:rPr>
            <w:sz w:val="20"/>
            <w:u w:val="single"/>
          </w:rPr>
          <w:t>see</w:t>
        </w:r>
        <w:r>
          <w:rPr>
            <w:spacing w:val="17"/>
            <w:sz w:val="20"/>
            <w:u w:val="single"/>
          </w:rPr>
          <w:t xml:space="preserve"> </w:t>
        </w:r>
        <w:r>
          <w:rPr>
            <w:sz w:val="20"/>
            <w:u w:val="single"/>
          </w:rPr>
          <w:t>you,</w:t>
        </w:r>
        <w:r>
          <w:rPr>
            <w:spacing w:val="17"/>
            <w:sz w:val="20"/>
            <w:u w:val="single"/>
          </w:rPr>
          <w:t xml:space="preserve"> </w:t>
        </w:r>
        <w:r>
          <w:rPr>
            <w:sz w:val="20"/>
            <w:u w:val="single"/>
          </w:rPr>
          <w:t>we</w:t>
        </w:r>
        <w:r>
          <w:rPr>
            <w:spacing w:val="19"/>
            <w:sz w:val="20"/>
            <w:u w:val="single"/>
          </w:rPr>
          <w:t xml:space="preserve"> </w:t>
        </w:r>
        <w:r>
          <w:rPr>
            <w:sz w:val="20"/>
            <w:u w:val="single"/>
          </w:rPr>
          <w:t>hear</w:t>
        </w:r>
        <w:r>
          <w:rPr>
            <w:spacing w:val="17"/>
            <w:sz w:val="20"/>
            <w:u w:val="single"/>
          </w:rPr>
          <w:t xml:space="preserve"> </w:t>
        </w:r>
        <w:r>
          <w:rPr>
            <w:sz w:val="20"/>
            <w:u w:val="single"/>
          </w:rPr>
          <w:t>you,</w:t>
        </w:r>
        <w:r>
          <w:rPr>
            <w:spacing w:val="18"/>
            <w:sz w:val="20"/>
            <w:u w:val="single"/>
          </w:rPr>
          <w:t xml:space="preserve"> </w:t>
        </w:r>
        <w:r>
          <w:rPr>
            <w:sz w:val="20"/>
            <w:u w:val="single"/>
          </w:rPr>
          <w:t>we</w:t>
        </w:r>
        <w:r>
          <w:rPr>
            <w:spacing w:val="19"/>
            <w:sz w:val="20"/>
            <w:u w:val="single"/>
          </w:rPr>
          <w:t xml:space="preserve"> </w:t>
        </w:r>
        <w:r>
          <w:rPr>
            <w:sz w:val="20"/>
            <w:u w:val="single"/>
          </w:rPr>
          <w:t>love</w:t>
        </w:r>
        <w:r>
          <w:rPr>
            <w:spacing w:val="18"/>
            <w:sz w:val="20"/>
            <w:u w:val="single"/>
          </w:rPr>
          <w:t xml:space="preserve"> </w:t>
        </w:r>
        <w:r>
          <w:rPr>
            <w:sz w:val="20"/>
            <w:u w:val="single"/>
          </w:rPr>
          <w:t>you’:</w:t>
        </w:r>
        <w:r>
          <w:rPr>
            <w:spacing w:val="17"/>
            <w:sz w:val="20"/>
            <w:u w:val="single"/>
          </w:rPr>
          <w:t xml:space="preserve"> </w:t>
        </w:r>
        <w:r>
          <w:rPr>
            <w:sz w:val="20"/>
            <w:u w:val="single"/>
          </w:rPr>
          <w:t>Advocates</w:t>
        </w:r>
        <w:r>
          <w:rPr>
            <w:spacing w:val="18"/>
            <w:sz w:val="20"/>
            <w:u w:val="single"/>
          </w:rPr>
          <w:t xml:space="preserve"> </w:t>
        </w:r>
        <w:r>
          <w:rPr>
            <w:sz w:val="20"/>
            <w:u w:val="single"/>
          </w:rPr>
          <w:t>gather</w:t>
        </w:r>
        <w:r>
          <w:rPr>
            <w:spacing w:val="19"/>
            <w:sz w:val="20"/>
            <w:u w:val="single"/>
          </w:rPr>
          <w:t xml:space="preserve"> </w:t>
        </w:r>
        <w:r>
          <w:rPr>
            <w:sz w:val="20"/>
            <w:u w:val="single"/>
          </w:rPr>
          <w:t>at</w:t>
        </w:r>
        <w:r>
          <w:rPr>
            <w:spacing w:val="18"/>
            <w:sz w:val="20"/>
            <w:u w:val="single"/>
          </w:rPr>
          <w:t xml:space="preserve"> </w:t>
        </w:r>
        <w:r>
          <w:rPr>
            <w:sz w:val="20"/>
            <w:u w:val="single"/>
          </w:rPr>
          <w:t>State</w:t>
        </w:r>
        <w:r>
          <w:rPr>
            <w:spacing w:val="18"/>
            <w:sz w:val="20"/>
            <w:u w:val="single"/>
          </w:rPr>
          <w:t xml:space="preserve"> </w:t>
        </w:r>
        <w:r>
          <w:rPr>
            <w:sz w:val="20"/>
            <w:u w:val="single"/>
          </w:rPr>
          <w:t>House</w:t>
        </w:r>
        <w:r>
          <w:rPr>
            <w:spacing w:val="19"/>
            <w:sz w:val="20"/>
            <w:u w:val="single"/>
          </w:rPr>
          <w:t xml:space="preserve"> </w:t>
        </w:r>
        <w:r>
          <w:rPr>
            <w:sz w:val="20"/>
            <w:u w:val="single"/>
          </w:rPr>
          <w:t>to</w:t>
        </w:r>
        <w:r>
          <w:rPr>
            <w:spacing w:val="19"/>
            <w:sz w:val="20"/>
            <w:u w:val="single"/>
          </w:rPr>
          <w:t xml:space="preserve"> </w:t>
        </w:r>
        <w:r>
          <w:rPr>
            <w:sz w:val="20"/>
            <w:u w:val="single"/>
          </w:rPr>
          <w:t>express</w:t>
        </w:r>
        <w:r>
          <w:rPr>
            <w:spacing w:val="19"/>
            <w:sz w:val="20"/>
            <w:u w:val="single"/>
          </w:rPr>
          <w:t xml:space="preserve"> </w:t>
        </w:r>
        <w:r>
          <w:rPr>
            <w:sz w:val="20"/>
            <w:u w:val="single"/>
          </w:rPr>
          <w:t>support</w:t>
        </w:r>
        <w:r>
          <w:rPr>
            <w:spacing w:val="20"/>
            <w:sz w:val="20"/>
            <w:u w:val="single"/>
          </w:rPr>
          <w:t xml:space="preserve"> </w:t>
        </w:r>
        <w:r>
          <w:rPr>
            <w:sz w:val="20"/>
            <w:u w:val="single"/>
          </w:rPr>
          <w:t>for</w:t>
        </w:r>
        <w:r>
          <w:rPr>
            <w:spacing w:val="16"/>
            <w:sz w:val="20"/>
            <w:u w:val="single"/>
          </w:rPr>
          <w:t xml:space="preserve"> </w:t>
        </w:r>
        <w:r>
          <w:rPr>
            <w:sz w:val="20"/>
            <w:u w:val="single"/>
          </w:rPr>
          <w:t>LGBTQ</w:t>
        </w:r>
        <w:r>
          <w:rPr>
            <w:spacing w:val="19"/>
            <w:sz w:val="20"/>
            <w:u w:val="single"/>
          </w:rPr>
          <w:t xml:space="preserve"> </w:t>
        </w:r>
        <w:r>
          <w:rPr>
            <w:sz w:val="20"/>
            <w:u w:val="single"/>
          </w:rPr>
          <w:t>youth</w:t>
        </w:r>
      </w:hyperlink>
      <w:r>
        <w:rPr>
          <w:sz w:val="20"/>
        </w:rPr>
        <w:t xml:space="preserve"> (Boston.com, March 31, 2022)</w:t>
      </w:r>
    </w:p>
    <w:p w:rsidR="00C76E6D" w:rsidRDefault="00C76E6D">
      <w:pPr>
        <w:pStyle w:val="BodyText"/>
        <w:spacing w:before="11"/>
      </w:pPr>
    </w:p>
    <w:p w:rsidR="00C76E6D" w:rsidRDefault="00913831">
      <w:pPr>
        <w:spacing w:line="276" w:lineRule="auto"/>
        <w:ind w:left="480" w:right="530"/>
        <w:rPr>
          <w:sz w:val="20"/>
        </w:rPr>
      </w:pPr>
      <w:hyperlink r:id="rId172">
        <w:r>
          <w:rPr>
            <w:sz w:val="20"/>
            <w:u w:val="single"/>
          </w:rPr>
          <w:t>‘My</w:t>
        </w:r>
        <w:r>
          <w:rPr>
            <w:spacing w:val="-6"/>
            <w:sz w:val="20"/>
            <w:u w:val="single"/>
          </w:rPr>
          <w:t xml:space="preserve"> </w:t>
        </w:r>
        <w:r>
          <w:rPr>
            <w:sz w:val="20"/>
            <w:u w:val="single"/>
          </w:rPr>
          <w:t>heart</w:t>
        </w:r>
        <w:r>
          <w:rPr>
            <w:spacing w:val="-4"/>
            <w:sz w:val="20"/>
            <w:u w:val="single"/>
          </w:rPr>
          <w:t xml:space="preserve"> </w:t>
        </w:r>
        <w:r>
          <w:rPr>
            <w:sz w:val="20"/>
            <w:u w:val="single"/>
          </w:rPr>
          <w:t>radiates</w:t>
        </w:r>
        <w:r>
          <w:rPr>
            <w:spacing w:val="-5"/>
            <w:sz w:val="20"/>
            <w:u w:val="single"/>
          </w:rPr>
          <w:t xml:space="preserve"> </w:t>
        </w:r>
        <w:r>
          <w:rPr>
            <w:sz w:val="20"/>
            <w:u w:val="single"/>
          </w:rPr>
          <w:t>for</w:t>
        </w:r>
        <w:r>
          <w:rPr>
            <w:spacing w:val="-5"/>
            <w:sz w:val="20"/>
            <w:u w:val="single"/>
          </w:rPr>
          <w:t xml:space="preserve"> </w:t>
        </w:r>
        <w:r>
          <w:rPr>
            <w:sz w:val="20"/>
            <w:u w:val="single"/>
          </w:rPr>
          <w:t>queer</w:t>
        </w:r>
        <w:r>
          <w:rPr>
            <w:spacing w:val="-8"/>
            <w:sz w:val="20"/>
            <w:u w:val="single"/>
          </w:rPr>
          <w:t xml:space="preserve"> </w:t>
        </w:r>
        <w:r>
          <w:rPr>
            <w:sz w:val="20"/>
            <w:u w:val="single"/>
          </w:rPr>
          <w:t>youth.’</w:t>
        </w:r>
        <w:r>
          <w:rPr>
            <w:spacing w:val="-5"/>
            <w:sz w:val="20"/>
            <w:u w:val="single"/>
          </w:rPr>
          <w:t xml:space="preserve"> </w:t>
        </w:r>
        <w:r>
          <w:rPr>
            <w:sz w:val="20"/>
            <w:u w:val="single"/>
          </w:rPr>
          <w:t>Mass.</w:t>
        </w:r>
        <w:r>
          <w:rPr>
            <w:spacing w:val="-5"/>
            <w:sz w:val="20"/>
            <w:u w:val="single"/>
          </w:rPr>
          <w:t xml:space="preserve"> </w:t>
        </w:r>
        <w:r>
          <w:rPr>
            <w:sz w:val="20"/>
            <w:u w:val="single"/>
          </w:rPr>
          <w:t>students</w:t>
        </w:r>
        <w:r>
          <w:rPr>
            <w:spacing w:val="-5"/>
            <w:sz w:val="20"/>
            <w:u w:val="single"/>
          </w:rPr>
          <w:t xml:space="preserve"> </w:t>
        </w:r>
        <w:r>
          <w:rPr>
            <w:sz w:val="20"/>
            <w:u w:val="single"/>
          </w:rPr>
          <w:t>walk</w:t>
        </w:r>
        <w:r>
          <w:rPr>
            <w:spacing w:val="-4"/>
            <w:sz w:val="20"/>
            <w:u w:val="single"/>
          </w:rPr>
          <w:t xml:space="preserve"> </w:t>
        </w:r>
        <w:r>
          <w:rPr>
            <w:sz w:val="20"/>
            <w:u w:val="single"/>
          </w:rPr>
          <w:t>out</w:t>
        </w:r>
        <w:r>
          <w:rPr>
            <w:spacing w:val="-4"/>
            <w:sz w:val="20"/>
            <w:u w:val="single"/>
          </w:rPr>
          <w:t xml:space="preserve"> </w:t>
        </w:r>
        <w:r>
          <w:rPr>
            <w:sz w:val="20"/>
            <w:u w:val="single"/>
          </w:rPr>
          <w:t>of</w:t>
        </w:r>
        <w:r>
          <w:rPr>
            <w:spacing w:val="-4"/>
            <w:sz w:val="20"/>
            <w:u w:val="single"/>
          </w:rPr>
          <w:t xml:space="preserve"> </w:t>
        </w:r>
        <w:r>
          <w:rPr>
            <w:sz w:val="20"/>
            <w:u w:val="single"/>
          </w:rPr>
          <w:t>class</w:t>
        </w:r>
        <w:r>
          <w:rPr>
            <w:spacing w:val="-5"/>
            <w:sz w:val="20"/>
            <w:u w:val="single"/>
          </w:rPr>
          <w:t xml:space="preserve"> </w:t>
        </w:r>
        <w:r>
          <w:rPr>
            <w:sz w:val="20"/>
            <w:u w:val="single"/>
          </w:rPr>
          <w:t>to</w:t>
        </w:r>
        <w:r>
          <w:rPr>
            <w:spacing w:val="-6"/>
            <w:sz w:val="20"/>
            <w:u w:val="single"/>
          </w:rPr>
          <w:t xml:space="preserve"> </w:t>
        </w:r>
        <w:r>
          <w:rPr>
            <w:sz w:val="20"/>
            <w:u w:val="single"/>
          </w:rPr>
          <w:t>protest</w:t>
        </w:r>
        <w:r>
          <w:rPr>
            <w:spacing w:val="-4"/>
            <w:sz w:val="20"/>
            <w:u w:val="single"/>
          </w:rPr>
          <w:t xml:space="preserve"> </w:t>
        </w:r>
        <w:r>
          <w:rPr>
            <w:sz w:val="20"/>
            <w:u w:val="single"/>
          </w:rPr>
          <w:t>anti-queer</w:t>
        </w:r>
        <w:r>
          <w:rPr>
            <w:spacing w:val="-5"/>
            <w:sz w:val="20"/>
            <w:u w:val="single"/>
          </w:rPr>
          <w:t xml:space="preserve"> </w:t>
        </w:r>
        <w:r>
          <w:rPr>
            <w:sz w:val="20"/>
            <w:u w:val="single"/>
          </w:rPr>
          <w:t>legislation</w:t>
        </w:r>
        <w:r>
          <w:rPr>
            <w:spacing w:val="-3"/>
            <w:sz w:val="20"/>
            <w:u w:val="single"/>
          </w:rPr>
          <w:t xml:space="preserve"> </w:t>
        </w:r>
        <w:r>
          <w:rPr>
            <w:sz w:val="20"/>
            <w:u w:val="single"/>
          </w:rPr>
          <w:t>in</w:t>
        </w:r>
        <w:r>
          <w:rPr>
            <w:spacing w:val="-4"/>
            <w:sz w:val="20"/>
            <w:u w:val="single"/>
          </w:rPr>
          <w:t xml:space="preserve"> </w:t>
        </w:r>
        <w:r>
          <w:rPr>
            <w:sz w:val="20"/>
            <w:u w:val="single"/>
          </w:rPr>
          <w:t>Florida</w:t>
        </w:r>
        <w:r>
          <w:rPr>
            <w:spacing w:val="-5"/>
            <w:sz w:val="20"/>
            <w:u w:val="single"/>
          </w:rPr>
          <w:t xml:space="preserve"> </w:t>
        </w:r>
        <w:r>
          <w:rPr>
            <w:sz w:val="20"/>
            <w:u w:val="single"/>
          </w:rPr>
          <w:t>and</w:t>
        </w:r>
      </w:hyperlink>
      <w:r>
        <w:rPr>
          <w:sz w:val="20"/>
        </w:rPr>
        <w:t xml:space="preserve"> </w:t>
      </w:r>
      <w:hyperlink r:id="rId173">
        <w:r>
          <w:rPr>
            <w:sz w:val="20"/>
            <w:u w:val="single"/>
          </w:rPr>
          <w:t>Texas.</w:t>
        </w:r>
        <w:r>
          <w:rPr>
            <w:sz w:val="20"/>
          </w:rPr>
          <w:t xml:space="preserve"> </w:t>
        </w:r>
      </w:hyperlink>
      <w:r>
        <w:rPr>
          <w:sz w:val="20"/>
        </w:rPr>
        <w:t>(Boston Globe, March 11, 2022)</w:t>
      </w:r>
    </w:p>
    <w:p w:rsidR="00C76E6D" w:rsidRDefault="00C76E6D">
      <w:pPr>
        <w:pStyle w:val="BodyText"/>
        <w:spacing w:before="1"/>
        <w:rPr>
          <w:sz w:val="18"/>
        </w:rPr>
      </w:pPr>
    </w:p>
    <w:p w:rsidR="00C76E6D" w:rsidRDefault="00913831">
      <w:pPr>
        <w:spacing w:before="60"/>
        <w:ind w:left="480"/>
        <w:rPr>
          <w:sz w:val="20"/>
        </w:rPr>
      </w:pPr>
      <w:hyperlink r:id="rId174">
        <w:r>
          <w:rPr>
            <w:sz w:val="20"/>
            <w:u w:val="single"/>
          </w:rPr>
          <w:t>Resources,</w:t>
        </w:r>
        <w:r>
          <w:rPr>
            <w:spacing w:val="-12"/>
            <w:sz w:val="20"/>
            <w:u w:val="single"/>
          </w:rPr>
          <w:t xml:space="preserve"> </w:t>
        </w:r>
        <w:r>
          <w:rPr>
            <w:sz w:val="20"/>
            <w:u w:val="single"/>
          </w:rPr>
          <w:t>Important</w:t>
        </w:r>
        <w:r>
          <w:rPr>
            <w:spacing w:val="-10"/>
            <w:sz w:val="20"/>
            <w:u w:val="single"/>
          </w:rPr>
          <w:t xml:space="preserve"> </w:t>
        </w:r>
        <w:r>
          <w:rPr>
            <w:sz w:val="20"/>
            <w:u w:val="single"/>
          </w:rPr>
          <w:t>Facts</w:t>
        </w:r>
        <w:r>
          <w:rPr>
            <w:spacing w:val="-11"/>
            <w:sz w:val="20"/>
            <w:u w:val="single"/>
          </w:rPr>
          <w:t xml:space="preserve"> </w:t>
        </w:r>
        <w:r>
          <w:rPr>
            <w:sz w:val="20"/>
            <w:u w:val="single"/>
          </w:rPr>
          <w:t>For</w:t>
        </w:r>
        <w:r>
          <w:rPr>
            <w:spacing w:val="-7"/>
            <w:sz w:val="20"/>
            <w:u w:val="single"/>
          </w:rPr>
          <w:t xml:space="preserve"> </w:t>
        </w:r>
        <w:r>
          <w:rPr>
            <w:sz w:val="20"/>
            <w:u w:val="single"/>
          </w:rPr>
          <w:t>Kids</w:t>
        </w:r>
        <w:r>
          <w:rPr>
            <w:spacing w:val="-12"/>
            <w:sz w:val="20"/>
            <w:u w:val="single"/>
          </w:rPr>
          <w:t xml:space="preserve"> </w:t>
        </w:r>
        <w:r>
          <w:rPr>
            <w:sz w:val="20"/>
            <w:u w:val="single"/>
          </w:rPr>
          <w:t>And</w:t>
        </w:r>
        <w:r>
          <w:rPr>
            <w:spacing w:val="-8"/>
            <w:sz w:val="20"/>
            <w:u w:val="single"/>
          </w:rPr>
          <w:t xml:space="preserve"> </w:t>
        </w:r>
        <w:r>
          <w:rPr>
            <w:sz w:val="20"/>
            <w:u w:val="single"/>
          </w:rPr>
          <w:t>Parents:</w:t>
        </w:r>
        <w:r>
          <w:rPr>
            <w:spacing w:val="-8"/>
            <w:sz w:val="20"/>
            <w:u w:val="single"/>
          </w:rPr>
          <w:t xml:space="preserve"> </w:t>
        </w:r>
        <w:r>
          <w:rPr>
            <w:sz w:val="20"/>
            <w:u w:val="single"/>
          </w:rPr>
          <w:t>Understanding</w:t>
        </w:r>
        <w:r>
          <w:rPr>
            <w:spacing w:val="-10"/>
            <w:sz w:val="20"/>
            <w:u w:val="single"/>
          </w:rPr>
          <w:t xml:space="preserve"> </w:t>
        </w:r>
        <w:r>
          <w:rPr>
            <w:sz w:val="20"/>
            <w:u w:val="single"/>
          </w:rPr>
          <w:t>Nonbinary</w:t>
        </w:r>
        <w:r>
          <w:rPr>
            <w:spacing w:val="-7"/>
            <w:sz w:val="20"/>
            <w:u w:val="single"/>
          </w:rPr>
          <w:t xml:space="preserve"> </w:t>
        </w:r>
        <w:r>
          <w:rPr>
            <w:sz w:val="20"/>
            <w:u w:val="single"/>
          </w:rPr>
          <w:t>Identities</w:t>
        </w:r>
        <w:r>
          <w:rPr>
            <w:spacing w:val="-9"/>
            <w:sz w:val="20"/>
          </w:rPr>
          <w:t xml:space="preserve"> </w:t>
        </w:r>
      </w:hyperlink>
      <w:r>
        <w:rPr>
          <w:sz w:val="20"/>
        </w:rPr>
        <w:t>(WBUR,</w:t>
      </w:r>
      <w:r>
        <w:rPr>
          <w:spacing w:val="-9"/>
          <w:sz w:val="20"/>
        </w:rPr>
        <w:t xml:space="preserve"> </w:t>
      </w:r>
      <w:r>
        <w:rPr>
          <w:sz w:val="20"/>
        </w:rPr>
        <w:t>April</w:t>
      </w:r>
      <w:r>
        <w:rPr>
          <w:spacing w:val="-11"/>
          <w:sz w:val="20"/>
        </w:rPr>
        <w:t xml:space="preserve"> </w:t>
      </w:r>
      <w:r>
        <w:rPr>
          <w:sz w:val="20"/>
        </w:rPr>
        <w:t>9,</w:t>
      </w:r>
      <w:r>
        <w:rPr>
          <w:spacing w:val="-9"/>
          <w:sz w:val="20"/>
        </w:rPr>
        <w:t xml:space="preserve"> </w:t>
      </w:r>
      <w:r>
        <w:rPr>
          <w:spacing w:val="-2"/>
          <w:sz w:val="20"/>
        </w:rPr>
        <w:t>2021)</w:t>
      </w:r>
    </w:p>
    <w:p w:rsidR="00C76E6D" w:rsidRDefault="00C76E6D">
      <w:pPr>
        <w:pStyle w:val="BodyText"/>
        <w:rPr>
          <w:sz w:val="21"/>
        </w:rPr>
      </w:pPr>
    </w:p>
    <w:p w:rsidR="00C76E6D" w:rsidRDefault="00913831">
      <w:pPr>
        <w:spacing w:before="60" w:line="276" w:lineRule="auto"/>
        <w:ind w:left="480"/>
        <w:rPr>
          <w:sz w:val="20"/>
        </w:rPr>
      </w:pPr>
      <w:hyperlink r:id="rId175">
        <w:r>
          <w:rPr>
            <w:sz w:val="20"/>
            <w:u w:val="single"/>
          </w:rPr>
          <w:t>‘A</w:t>
        </w:r>
        <w:r>
          <w:rPr>
            <w:spacing w:val="22"/>
            <w:sz w:val="20"/>
            <w:u w:val="single"/>
          </w:rPr>
          <w:t xml:space="preserve"> </w:t>
        </w:r>
        <w:r>
          <w:rPr>
            <w:sz w:val="20"/>
            <w:u w:val="single"/>
          </w:rPr>
          <w:t>very</w:t>
        </w:r>
        <w:r>
          <w:rPr>
            <w:spacing w:val="23"/>
            <w:sz w:val="20"/>
            <w:u w:val="single"/>
          </w:rPr>
          <w:t xml:space="preserve"> </w:t>
        </w:r>
        <w:r>
          <w:rPr>
            <w:sz w:val="20"/>
            <w:u w:val="single"/>
          </w:rPr>
          <w:t>scary</w:t>
        </w:r>
        <w:r>
          <w:rPr>
            <w:spacing w:val="23"/>
            <w:sz w:val="20"/>
            <w:u w:val="single"/>
          </w:rPr>
          <w:t xml:space="preserve"> </w:t>
        </w:r>
        <w:r>
          <w:rPr>
            <w:sz w:val="20"/>
            <w:u w:val="single"/>
          </w:rPr>
          <w:t>thing</w:t>
        </w:r>
        <w:r>
          <w:rPr>
            <w:spacing w:val="21"/>
            <w:sz w:val="20"/>
            <w:u w:val="single"/>
          </w:rPr>
          <w:t xml:space="preserve"> </w:t>
        </w:r>
        <w:r>
          <w:rPr>
            <w:sz w:val="20"/>
            <w:u w:val="single"/>
          </w:rPr>
          <w:t>to</w:t>
        </w:r>
        <w:r>
          <w:rPr>
            <w:spacing w:val="22"/>
            <w:sz w:val="20"/>
            <w:u w:val="single"/>
          </w:rPr>
          <w:t xml:space="preserve"> </w:t>
        </w:r>
        <w:r>
          <w:rPr>
            <w:sz w:val="20"/>
            <w:u w:val="single"/>
          </w:rPr>
          <w:t>tell</w:t>
        </w:r>
        <w:r>
          <w:rPr>
            <w:spacing w:val="23"/>
            <w:sz w:val="20"/>
            <w:u w:val="single"/>
          </w:rPr>
          <w:t xml:space="preserve"> </w:t>
        </w:r>
        <w:r>
          <w:rPr>
            <w:sz w:val="20"/>
            <w:u w:val="single"/>
          </w:rPr>
          <w:t>someone’:</w:t>
        </w:r>
        <w:r>
          <w:rPr>
            <w:spacing w:val="21"/>
            <w:sz w:val="20"/>
            <w:u w:val="single"/>
          </w:rPr>
          <w:t xml:space="preserve"> </w:t>
        </w:r>
        <w:r>
          <w:rPr>
            <w:sz w:val="20"/>
            <w:u w:val="single"/>
          </w:rPr>
          <w:t>The</w:t>
        </w:r>
        <w:r>
          <w:rPr>
            <w:spacing w:val="20"/>
            <w:sz w:val="20"/>
            <w:u w:val="single"/>
          </w:rPr>
          <w:t xml:space="preserve"> </w:t>
        </w:r>
        <w:r>
          <w:rPr>
            <w:sz w:val="20"/>
            <w:u w:val="single"/>
          </w:rPr>
          <w:t>debate</w:t>
        </w:r>
        <w:r>
          <w:rPr>
            <w:spacing w:val="22"/>
            <w:sz w:val="20"/>
            <w:u w:val="single"/>
          </w:rPr>
          <w:t xml:space="preserve"> </w:t>
        </w:r>
        <w:r>
          <w:rPr>
            <w:sz w:val="20"/>
            <w:u w:val="single"/>
          </w:rPr>
          <w:t>over</w:t>
        </w:r>
        <w:r>
          <w:rPr>
            <w:spacing w:val="20"/>
            <w:sz w:val="20"/>
            <w:u w:val="single"/>
          </w:rPr>
          <w:t xml:space="preserve"> </w:t>
        </w:r>
        <w:r>
          <w:rPr>
            <w:sz w:val="20"/>
            <w:u w:val="single"/>
          </w:rPr>
          <w:t>gender</w:t>
        </w:r>
        <w:r>
          <w:rPr>
            <w:spacing w:val="20"/>
            <w:sz w:val="20"/>
            <w:u w:val="single"/>
          </w:rPr>
          <w:t xml:space="preserve"> </w:t>
        </w:r>
        <w:r>
          <w:rPr>
            <w:sz w:val="20"/>
            <w:u w:val="single"/>
          </w:rPr>
          <w:t>pronouns</w:t>
        </w:r>
        <w:r>
          <w:rPr>
            <w:spacing w:val="21"/>
            <w:sz w:val="20"/>
            <w:u w:val="single"/>
          </w:rPr>
          <w:t xml:space="preserve"> </w:t>
        </w:r>
        <w:r>
          <w:rPr>
            <w:sz w:val="20"/>
            <w:u w:val="single"/>
          </w:rPr>
          <w:t>in</w:t>
        </w:r>
        <w:r>
          <w:rPr>
            <w:spacing w:val="23"/>
            <w:sz w:val="20"/>
            <w:u w:val="single"/>
          </w:rPr>
          <w:t xml:space="preserve"> </w:t>
        </w:r>
        <w:r>
          <w:rPr>
            <w:sz w:val="20"/>
            <w:u w:val="single"/>
          </w:rPr>
          <w:t>schools,</w:t>
        </w:r>
        <w:r>
          <w:rPr>
            <w:spacing w:val="21"/>
            <w:sz w:val="20"/>
            <w:u w:val="single"/>
          </w:rPr>
          <w:t xml:space="preserve"> </w:t>
        </w:r>
        <w:r>
          <w:rPr>
            <w:sz w:val="20"/>
            <w:u w:val="single"/>
          </w:rPr>
          <w:t>explained</w:t>
        </w:r>
      </w:hyperlink>
      <w:r>
        <w:rPr>
          <w:spacing w:val="23"/>
          <w:sz w:val="20"/>
        </w:rPr>
        <w:t xml:space="preserve"> </w:t>
      </w:r>
      <w:r>
        <w:rPr>
          <w:sz w:val="20"/>
        </w:rPr>
        <w:t>(Globe</w:t>
      </w:r>
      <w:r>
        <w:rPr>
          <w:spacing w:val="21"/>
          <w:sz w:val="20"/>
        </w:rPr>
        <w:t xml:space="preserve"> </w:t>
      </w:r>
      <w:r>
        <w:rPr>
          <w:sz w:val="20"/>
        </w:rPr>
        <w:t>Magazine, September 28, 20</w:t>
      </w:r>
      <w:r>
        <w:rPr>
          <w:sz w:val="20"/>
        </w:rPr>
        <w:t>21)</w:t>
      </w:r>
    </w:p>
    <w:p w:rsidR="00C76E6D" w:rsidRDefault="00C76E6D">
      <w:pPr>
        <w:pStyle w:val="BodyText"/>
        <w:rPr>
          <w:sz w:val="23"/>
        </w:rPr>
      </w:pPr>
    </w:p>
    <w:p w:rsidR="00C76E6D" w:rsidRDefault="00913831">
      <w:pPr>
        <w:spacing w:line="276" w:lineRule="auto"/>
        <w:ind w:left="480" w:right="526"/>
        <w:rPr>
          <w:sz w:val="20"/>
        </w:rPr>
      </w:pPr>
      <w:hyperlink r:id="rId176">
        <w:r>
          <w:rPr>
            <w:sz w:val="20"/>
            <w:u w:val="single"/>
          </w:rPr>
          <w:t>Day</w:t>
        </w:r>
        <w:r>
          <w:rPr>
            <w:spacing w:val="-5"/>
            <w:sz w:val="20"/>
            <w:u w:val="single"/>
          </w:rPr>
          <w:t xml:space="preserve"> </w:t>
        </w:r>
        <w:r>
          <w:rPr>
            <w:sz w:val="20"/>
            <w:u w:val="single"/>
          </w:rPr>
          <w:t>of</w:t>
        </w:r>
        <w:r>
          <w:rPr>
            <w:spacing w:val="-5"/>
            <w:sz w:val="20"/>
            <w:u w:val="single"/>
          </w:rPr>
          <w:t xml:space="preserve"> </w:t>
        </w:r>
        <w:r>
          <w:rPr>
            <w:sz w:val="20"/>
            <w:u w:val="single"/>
          </w:rPr>
          <w:t>sports</w:t>
        </w:r>
        <w:r>
          <w:rPr>
            <w:spacing w:val="-5"/>
            <w:sz w:val="20"/>
            <w:u w:val="single"/>
          </w:rPr>
          <w:t xml:space="preserve"> </w:t>
        </w:r>
        <w:r>
          <w:rPr>
            <w:sz w:val="20"/>
            <w:u w:val="single"/>
          </w:rPr>
          <w:t>and</w:t>
        </w:r>
        <w:r>
          <w:rPr>
            <w:spacing w:val="-5"/>
            <w:sz w:val="20"/>
            <w:u w:val="single"/>
          </w:rPr>
          <w:t xml:space="preserve"> </w:t>
        </w:r>
        <w:r>
          <w:rPr>
            <w:sz w:val="20"/>
            <w:u w:val="single"/>
          </w:rPr>
          <w:t>camaraderie</w:t>
        </w:r>
        <w:r>
          <w:rPr>
            <w:spacing w:val="-5"/>
            <w:sz w:val="20"/>
            <w:u w:val="single"/>
          </w:rPr>
          <w:t xml:space="preserve"> </w:t>
        </w:r>
        <w:r>
          <w:rPr>
            <w:sz w:val="20"/>
            <w:u w:val="single"/>
          </w:rPr>
          <w:t>in</w:t>
        </w:r>
        <w:r>
          <w:rPr>
            <w:spacing w:val="-5"/>
            <w:sz w:val="20"/>
            <w:u w:val="single"/>
          </w:rPr>
          <w:t xml:space="preserve"> </w:t>
        </w:r>
        <w:r>
          <w:rPr>
            <w:sz w:val="20"/>
            <w:u w:val="single"/>
          </w:rPr>
          <w:t>Cambridge</w:t>
        </w:r>
        <w:r>
          <w:rPr>
            <w:spacing w:val="-6"/>
            <w:sz w:val="20"/>
            <w:u w:val="single"/>
          </w:rPr>
          <w:t xml:space="preserve"> </w:t>
        </w:r>
        <w:r>
          <w:rPr>
            <w:sz w:val="20"/>
            <w:u w:val="single"/>
          </w:rPr>
          <w:t>park</w:t>
        </w:r>
        <w:r>
          <w:rPr>
            <w:spacing w:val="-5"/>
            <w:sz w:val="20"/>
            <w:u w:val="single"/>
          </w:rPr>
          <w:t xml:space="preserve"> </w:t>
        </w:r>
        <w:r>
          <w:rPr>
            <w:sz w:val="20"/>
            <w:u w:val="single"/>
          </w:rPr>
          <w:t>protests</w:t>
        </w:r>
        <w:r>
          <w:rPr>
            <w:spacing w:val="-6"/>
            <w:sz w:val="20"/>
            <w:u w:val="single"/>
          </w:rPr>
          <w:t xml:space="preserve"> </w:t>
        </w:r>
        <w:r>
          <w:rPr>
            <w:sz w:val="20"/>
            <w:u w:val="single"/>
          </w:rPr>
          <w:t>exclusion</w:t>
        </w:r>
        <w:r>
          <w:rPr>
            <w:spacing w:val="-4"/>
            <w:sz w:val="20"/>
            <w:u w:val="single"/>
          </w:rPr>
          <w:t xml:space="preserve"> </w:t>
        </w:r>
        <w:r>
          <w:rPr>
            <w:sz w:val="20"/>
            <w:u w:val="single"/>
          </w:rPr>
          <w:t>of</w:t>
        </w:r>
        <w:r>
          <w:rPr>
            <w:spacing w:val="-4"/>
            <w:sz w:val="20"/>
            <w:u w:val="single"/>
          </w:rPr>
          <w:t xml:space="preserve"> </w:t>
        </w:r>
        <w:r>
          <w:rPr>
            <w:sz w:val="20"/>
            <w:u w:val="single"/>
          </w:rPr>
          <w:t>transgender</w:t>
        </w:r>
        <w:r>
          <w:rPr>
            <w:spacing w:val="-5"/>
            <w:sz w:val="20"/>
            <w:u w:val="single"/>
          </w:rPr>
          <w:t xml:space="preserve"> </w:t>
        </w:r>
        <w:r>
          <w:rPr>
            <w:sz w:val="20"/>
            <w:u w:val="single"/>
          </w:rPr>
          <w:t>athletes</w:t>
        </w:r>
        <w:r>
          <w:rPr>
            <w:spacing w:val="-3"/>
            <w:sz w:val="20"/>
          </w:rPr>
          <w:t xml:space="preserve"> </w:t>
        </w:r>
      </w:hyperlink>
      <w:r>
        <w:rPr>
          <w:sz w:val="20"/>
        </w:rPr>
        <w:t>(Boston</w:t>
      </w:r>
      <w:r>
        <w:rPr>
          <w:spacing w:val="-5"/>
          <w:sz w:val="20"/>
        </w:rPr>
        <w:t xml:space="preserve"> </w:t>
      </w:r>
      <w:r>
        <w:rPr>
          <w:sz w:val="20"/>
        </w:rPr>
        <w:t>Globe,</w:t>
      </w:r>
      <w:r>
        <w:rPr>
          <w:spacing w:val="-5"/>
          <w:sz w:val="20"/>
        </w:rPr>
        <w:t xml:space="preserve"> </w:t>
      </w:r>
      <w:r>
        <w:rPr>
          <w:sz w:val="20"/>
        </w:rPr>
        <w:t>August 1, 2021)</w:t>
      </w:r>
    </w:p>
    <w:p w:rsidR="00C76E6D" w:rsidRDefault="00C76E6D">
      <w:pPr>
        <w:pStyle w:val="BodyText"/>
        <w:spacing w:before="7"/>
        <w:rPr>
          <w:sz w:val="25"/>
        </w:rPr>
      </w:pPr>
    </w:p>
    <w:p w:rsidR="00C76E6D" w:rsidRDefault="00913831">
      <w:pPr>
        <w:tabs>
          <w:tab w:val="left" w:pos="9805"/>
        </w:tabs>
        <w:spacing w:before="1"/>
        <w:ind w:left="480"/>
        <w:rPr>
          <w:b/>
          <w:sz w:val="24"/>
        </w:rPr>
      </w:pPr>
      <w:r>
        <w:rPr>
          <w:b/>
          <w:spacing w:val="42"/>
          <w:sz w:val="24"/>
          <w:u w:val="thick"/>
        </w:rPr>
        <w:t xml:space="preserve"> </w:t>
      </w:r>
      <w:r>
        <w:rPr>
          <w:b/>
          <w:sz w:val="24"/>
          <w:u w:val="thick"/>
        </w:rPr>
        <w:t>H.</w:t>
      </w:r>
      <w:r>
        <w:rPr>
          <w:b/>
          <w:spacing w:val="-2"/>
          <w:sz w:val="24"/>
          <w:u w:val="thick"/>
        </w:rPr>
        <w:t xml:space="preserve"> APPENDIX</w:t>
      </w:r>
      <w:r>
        <w:rPr>
          <w:b/>
          <w:sz w:val="24"/>
          <w:u w:val="thick"/>
        </w:rPr>
        <w:tab/>
      </w:r>
    </w:p>
    <w:p w:rsidR="00C76E6D" w:rsidRDefault="00C76E6D">
      <w:pPr>
        <w:pStyle w:val="BodyText"/>
        <w:rPr>
          <w:b/>
          <w:sz w:val="20"/>
        </w:rPr>
      </w:pPr>
    </w:p>
    <w:p w:rsidR="00C76E6D" w:rsidRDefault="00C76E6D">
      <w:pPr>
        <w:pStyle w:val="BodyText"/>
        <w:spacing w:before="10"/>
        <w:rPr>
          <w:b/>
          <w:sz w:val="16"/>
        </w:rPr>
      </w:pPr>
    </w:p>
    <w:p w:rsidR="00C76E6D" w:rsidRDefault="00913831">
      <w:pPr>
        <w:pStyle w:val="Heading6"/>
        <w:spacing w:before="55"/>
        <w:ind w:left="480"/>
      </w:pPr>
      <w:bookmarkStart w:id="118" w:name="1._FULL_ATTENDANCE_RECORDS_FOR_GSA_STUDE"/>
      <w:bookmarkEnd w:id="118"/>
      <w:r>
        <w:rPr>
          <w:w w:val="95"/>
        </w:rPr>
        <w:t>1.</w:t>
      </w:r>
      <w:r>
        <w:rPr>
          <w:spacing w:val="19"/>
        </w:rPr>
        <w:t xml:space="preserve"> </w:t>
      </w:r>
      <w:r>
        <w:rPr>
          <w:w w:val="95"/>
        </w:rPr>
        <w:t>FULL</w:t>
      </w:r>
      <w:r>
        <w:rPr>
          <w:spacing w:val="19"/>
        </w:rPr>
        <w:t xml:space="preserve"> </w:t>
      </w:r>
      <w:r>
        <w:rPr>
          <w:w w:val="95"/>
        </w:rPr>
        <w:t>ATTENDANCE</w:t>
      </w:r>
      <w:r>
        <w:rPr>
          <w:spacing w:val="17"/>
        </w:rPr>
        <w:t xml:space="preserve"> </w:t>
      </w:r>
      <w:r>
        <w:rPr>
          <w:w w:val="95"/>
        </w:rPr>
        <w:t>RECORDS</w:t>
      </w:r>
      <w:r>
        <w:rPr>
          <w:spacing w:val="21"/>
        </w:rPr>
        <w:t xml:space="preserve"> </w:t>
      </w:r>
      <w:r>
        <w:rPr>
          <w:w w:val="95"/>
        </w:rPr>
        <w:t>FOR</w:t>
      </w:r>
      <w:r>
        <w:rPr>
          <w:spacing w:val="18"/>
        </w:rPr>
        <w:t xml:space="preserve"> </w:t>
      </w:r>
      <w:r>
        <w:rPr>
          <w:w w:val="95"/>
        </w:rPr>
        <w:t>GSA</w:t>
      </w:r>
      <w:r>
        <w:rPr>
          <w:spacing w:val="19"/>
        </w:rPr>
        <w:t xml:space="preserve"> </w:t>
      </w:r>
      <w:r>
        <w:rPr>
          <w:w w:val="95"/>
        </w:rPr>
        <w:t>STUDENT</w:t>
      </w:r>
      <w:r>
        <w:rPr>
          <w:spacing w:val="23"/>
        </w:rPr>
        <w:t xml:space="preserve"> </w:t>
      </w:r>
      <w:r>
        <w:rPr>
          <w:w w:val="95"/>
        </w:rPr>
        <w:t>LEADERSHIP</w:t>
      </w:r>
      <w:r>
        <w:rPr>
          <w:spacing w:val="19"/>
        </w:rPr>
        <w:t xml:space="preserve"> </w:t>
      </w:r>
      <w:r>
        <w:rPr>
          <w:w w:val="95"/>
        </w:rPr>
        <w:t>COUNCIL</w:t>
      </w:r>
      <w:r>
        <w:rPr>
          <w:spacing w:val="17"/>
        </w:rPr>
        <w:t xml:space="preserve"> </w:t>
      </w:r>
      <w:r>
        <w:rPr>
          <w:w w:val="95"/>
        </w:rPr>
        <w:t>2021-</w:t>
      </w:r>
      <w:r>
        <w:rPr>
          <w:spacing w:val="-4"/>
          <w:w w:val="95"/>
        </w:rPr>
        <w:t>2022</w:t>
      </w:r>
    </w:p>
    <w:p w:rsidR="00C76E6D" w:rsidRDefault="00C76E6D">
      <w:pPr>
        <w:pStyle w:val="BodyText"/>
        <w:spacing w:before="5"/>
        <w:rPr>
          <w:b/>
          <w:sz w:val="28"/>
        </w:rPr>
      </w:pPr>
    </w:p>
    <w:p w:rsidR="00C76E6D" w:rsidRDefault="00913831">
      <w:pPr>
        <w:spacing w:after="42"/>
        <w:ind w:left="1601" w:right="1602"/>
        <w:jc w:val="center"/>
        <w:rPr>
          <w:i/>
        </w:rPr>
      </w:pPr>
      <w:r>
        <w:rPr>
          <w:i/>
          <w:w w:val="95"/>
        </w:rPr>
        <w:t>Attendance</w:t>
      </w:r>
      <w:r>
        <w:rPr>
          <w:i/>
          <w:spacing w:val="14"/>
        </w:rPr>
        <w:t xml:space="preserve"> </w:t>
      </w:r>
      <w:r>
        <w:rPr>
          <w:i/>
          <w:w w:val="95"/>
        </w:rPr>
        <w:t>at</w:t>
      </w:r>
      <w:r>
        <w:rPr>
          <w:i/>
          <w:spacing w:val="14"/>
        </w:rPr>
        <w:t xml:space="preserve"> </w:t>
      </w:r>
      <w:r>
        <w:rPr>
          <w:i/>
          <w:w w:val="95"/>
        </w:rPr>
        <w:t>Meetings:</w:t>
      </w:r>
      <w:r>
        <w:rPr>
          <w:i/>
          <w:spacing w:val="14"/>
        </w:rPr>
        <w:t xml:space="preserve"> </w:t>
      </w:r>
      <w:r>
        <w:rPr>
          <w:i/>
          <w:w w:val="95"/>
        </w:rPr>
        <w:t>September</w:t>
      </w:r>
      <w:r>
        <w:rPr>
          <w:i/>
          <w:spacing w:val="14"/>
        </w:rPr>
        <w:t xml:space="preserve"> </w:t>
      </w:r>
      <w:r>
        <w:rPr>
          <w:i/>
          <w:w w:val="95"/>
        </w:rPr>
        <w:t>&amp;</w:t>
      </w:r>
      <w:r>
        <w:rPr>
          <w:i/>
          <w:spacing w:val="17"/>
        </w:rPr>
        <w:t xml:space="preserve"> </w:t>
      </w:r>
      <w:r>
        <w:rPr>
          <w:i/>
          <w:w w:val="95"/>
        </w:rPr>
        <w:t>October</w:t>
      </w:r>
      <w:r>
        <w:rPr>
          <w:i/>
          <w:spacing w:val="14"/>
        </w:rPr>
        <w:t xml:space="preserve"> </w:t>
      </w:r>
      <w:r>
        <w:rPr>
          <w:i/>
          <w:spacing w:val="-4"/>
          <w:w w:val="95"/>
        </w:rPr>
        <w:t>2021</w:t>
      </w:r>
    </w:p>
    <w:tbl>
      <w:tblPr>
        <w:tblW w:w="0" w:type="auto"/>
        <w:tblInd w:w="10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0"/>
        <w:gridCol w:w="1970"/>
        <w:gridCol w:w="1440"/>
        <w:gridCol w:w="2430"/>
      </w:tblGrid>
      <w:tr w:rsidR="00C76E6D">
        <w:trPr>
          <w:trHeight w:val="443"/>
        </w:trPr>
        <w:tc>
          <w:tcPr>
            <w:tcW w:w="2340" w:type="dxa"/>
          </w:tcPr>
          <w:p w:rsidR="00C76E6D" w:rsidRDefault="00C76E6D">
            <w:pPr>
              <w:pStyle w:val="TableParagraph"/>
              <w:rPr>
                <w:rFonts w:ascii="Times New Roman"/>
                <w:sz w:val="20"/>
              </w:rPr>
            </w:pPr>
          </w:p>
        </w:tc>
        <w:tc>
          <w:tcPr>
            <w:tcW w:w="1970" w:type="dxa"/>
          </w:tcPr>
          <w:p w:rsidR="00C76E6D" w:rsidRDefault="00913831">
            <w:pPr>
              <w:pStyle w:val="TableParagraph"/>
              <w:spacing w:before="99"/>
              <w:ind w:left="108"/>
              <w:rPr>
                <w:b/>
                <w:sz w:val="20"/>
              </w:rPr>
            </w:pPr>
            <w:r>
              <w:rPr>
                <w:b/>
                <w:sz w:val="20"/>
              </w:rPr>
              <w:t>Regional</w:t>
            </w:r>
            <w:r>
              <w:rPr>
                <w:b/>
                <w:spacing w:val="-10"/>
                <w:sz w:val="20"/>
              </w:rPr>
              <w:t xml:space="preserve"> </w:t>
            </w:r>
            <w:r>
              <w:rPr>
                <w:b/>
                <w:spacing w:val="-2"/>
                <w:sz w:val="20"/>
              </w:rPr>
              <w:t>Students</w:t>
            </w:r>
          </w:p>
        </w:tc>
        <w:tc>
          <w:tcPr>
            <w:tcW w:w="1440" w:type="dxa"/>
          </w:tcPr>
          <w:p w:rsidR="00C76E6D" w:rsidRDefault="00913831">
            <w:pPr>
              <w:pStyle w:val="TableParagraph"/>
              <w:spacing w:before="99"/>
              <w:ind w:left="109"/>
              <w:rPr>
                <w:b/>
                <w:sz w:val="20"/>
              </w:rPr>
            </w:pPr>
            <w:r>
              <w:rPr>
                <w:b/>
                <w:sz w:val="20"/>
              </w:rPr>
              <w:t>GSA</w:t>
            </w:r>
            <w:r>
              <w:rPr>
                <w:b/>
                <w:spacing w:val="-7"/>
                <w:sz w:val="20"/>
              </w:rPr>
              <w:t xml:space="preserve"> </w:t>
            </w:r>
            <w:r>
              <w:rPr>
                <w:b/>
                <w:spacing w:val="-2"/>
                <w:sz w:val="20"/>
              </w:rPr>
              <w:t>Advisors</w:t>
            </w:r>
          </w:p>
        </w:tc>
        <w:tc>
          <w:tcPr>
            <w:tcW w:w="2430" w:type="dxa"/>
          </w:tcPr>
          <w:p w:rsidR="00C76E6D" w:rsidRDefault="00913831">
            <w:pPr>
              <w:pStyle w:val="TableParagraph"/>
              <w:spacing w:before="99"/>
              <w:ind w:left="109"/>
              <w:rPr>
                <w:b/>
                <w:sz w:val="20"/>
              </w:rPr>
            </w:pPr>
            <w:r>
              <w:rPr>
                <w:b/>
                <w:sz w:val="20"/>
              </w:rPr>
              <w:t>State</w:t>
            </w:r>
            <w:r>
              <w:rPr>
                <w:b/>
                <w:spacing w:val="-7"/>
                <w:sz w:val="20"/>
              </w:rPr>
              <w:t xml:space="preserve"> </w:t>
            </w:r>
            <w:r>
              <w:rPr>
                <w:b/>
                <w:sz w:val="20"/>
              </w:rPr>
              <w:t>Council</w:t>
            </w:r>
            <w:r>
              <w:rPr>
                <w:b/>
                <w:spacing w:val="-6"/>
                <w:sz w:val="20"/>
              </w:rPr>
              <w:t xml:space="preserve"> </w:t>
            </w:r>
            <w:r>
              <w:rPr>
                <w:b/>
                <w:spacing w:val="-2"/>
                <w:sz w:val="20"/>
              </w:rPr>
              <w:t>Members</w:t>
            </w:r>
          </w:p>
        </w:tc>
      </w:tr>
      <w:tr w:rsidR="00C76E6D">
        <w:trPr>
          <w:trHeight w:val="689"/>
        </w:trPr>
        <w:tc>
          <w:tcPr>
            <w:tcW w:w="2340" w:type="dxa"/>
          </w:tcPr>
          <w:p w:rsidR="00C76E6D" w:rsidRDefault="00913831">
            <w:pPr>
              <w:pStyle w:val="TableParagraph"/>
              <w:spacing w:before="99"/>
              <w:ind w:left="108"/>
              <w:rPr>
                <w:b/>
                <w:sz w:val="20"/>
              </w:rPr>
            </w:pPr>
            <w:r>
              <w:rPr>
                <w:b/>
                <w:spacing w:val="-2"/>
                <w:sz w:val="20"/>
              </w:rPr>
              <w:t>September</w:t>
            </w:r>
            <w:r>
              <w:rPr>
                <w:b/>
                <w:spacing w:val="-14"/>
                <w:sz w:val="20"/>
              </w:rPr>
              <w:t xml:space="preserve"> </w:t>
            </w:r>
            <w:r>
              <w:rPr>
                <w:b/>
                <w:spacing w:val="-2"/>
                <w:sz w:val="20"/>
              </w:rPr>
              <w:t xml:space="preserve">Statewide </w:t>
            </w:r>
            <w:r>
              <w:rPr>
                <w:b/>
                <w:sz w:val="20"/>
              </w:rPr>
              <w:t>Meeting (9/15)</w:t>
            </w:r>
          </w:p>
        </w:tc>
        <w:tc>
          <w:tcPr>
            <w:tcW w:w="1970" w:type="dxa"/>
          </w:tcPr>
          <w:p w:rsidR="00C76E6D" w:rsidRDefault="00913831">
            <w:pPr>
              <w:pStyle w:val="TableParagraph"/>
              <w:spacing w:before="99"/>
              <w:ind w:left="108"/>
              <w:rPr>
                <w:sz w:val="20"/>
              </w:rPr>
            </w:pPr>
            <w:r>
              <w:rPr>
                <w:sz w:val="20"/>
              </w:rPr>
              <w:t>-</w:t>
            </w:r>
          </w:p>
        </w:tc>
        <w:tc>
          <w:tcPr>
            <w:tcW w:w="1440" w:type="dxa"/>
          </w:tcPr>
          <w:p w:rsidR="00C76E6D" w:rsidRDefault="00913831">
            <w:pPr>
              <w:pStyle w:val="TableParagraph"/>
              <w:spacing w:before="99"/>
              <w:ind w:left="109"/>
              <w:rPr>
                <w:sz w:val="20"/>
              </w:rPr>
            </w:pPr>
            <w:r>
              <w:rPr>
                <w:sz w:val="20"/>
              </w:rPr>
              <w:t>-</w:t>
            </w:r>
          </w:p>
        </w:tc>
        <w:tc>
          <w:tcPr>
            <w:tcW w:w="2430" w:type="dxa"/>
          </w:tcPr>
          <w:p w:rsidR="00C76E6D" w:rsidRDefault="00913831">
            <w:pPr>
              <w:pStyle w:val="TableParagraph"/>
              <w:spacing w:before="99"/>
              <w:ind w:left="108"/>
              <w:rPr>
                <w:sz w:val="20"/>
              </w:rPr>
            </w:pPr>
            <w:r>
              <w:rPr>
                <w:spacing w:val="-5"/>
                <w:sz w:val="20"/>
              </w:rPr>
              <w:t>20</w:t>
            </w:r>
          </w:p>
        </w:tc>
      </w:tr>
      <w:tr w:rsidR="00C76E6D">
        <w:trPr>
          <w:trHeight w:val="686"/>
        </w:trPr>
        <w:tc>
          <w:tcPr>
            <w:tcW w:w="2340" w:type="dxa"/>
          </w:tcPr>
          <w:p w:rsidR="00C76E6D" w:rsidRDefault="00913831">
            <w:pPr>
              <w:pStyle w:val="TableParagraph"/>
              <w:spacing w:before="98"/>
              <w:ind w:left="108" w:right="175"/>
              <w:rPr>
                <w:b/>
                <w:sz w:val="20"/>
              </w:rPr>
            </w:pPr>
            <w:r>
              <w:rPr>
                <w:b/>
                <w:spacing w:val="-2"/>
                <w:sz w:val="20"/>
              </w:rPr>
              <w:t>Southeast</w:t>
            </w:r>
            <w:r>
              <w:rPr>
                <w:b/>
                <w:spacing w:val="-12"/>
                <w:sz w:val="20"/>
              </w:rPr>
              <w:t xml:space="preserve"> </w:t>
            </w:r>
            <w:r>
              <w:rPr>
                <w:b/>
                <w:spacing w:val="-2"/>
                <w:sz w:val="20"/>
              </w:rPr>
              <w:t>Regional (9/29)</w:t>
            </w:r>
          </w:p>
        </w:tc>
        <w:tc>
          <w:tcPr>
            <w:tcW w:w="1970" w:type="dxa"/>
          </w:tcPr>
          <w:p w:rsidR="00C76E6D" w:rsidRDefault="00913831">
            <w:pPr>
              <w:pStyle w:val="TableParagraph"/>
              <w:spacing w:before="98"/>
              <w:ind w:left="108"/>
              <w:rPr>
                <w:sz w:val="20"/>
              </w:rPr>
            </w:pPr>
            <w:r>
              <w:rPr>
                <w:spacing w:val="-5"/>
                <w:sz w:val="20"/>
              </w:rPr>
              <w:t>26</w:t>
            </w:r>
          </w:p>
        </w:tc>
        <w:tc>
          <w:tcPr>
            <w:tcW w:w="1440" w:type="dxa"/>
          </w:tcPr>
          <w:p w:rsidR="00C76E6D" w:rsidRDefault="00913831">
            <w:pPr>
              <w:pStyle w:val="TableParagraph"/>
              <w:spacing w:before="98"/>
              <w:ind w:left="109"/>
              <w:rPr>
                <w:sz w:val="20"/>
              </w:rPr>
            </w:pPr>
            <w:r>
              <w:rPr>
                <w:spacing w:val="-5"/>
                <w:sz w:val="20"/>
              </w:rPr>
              <w:t>12</w:t>
            </w:r>
          </w:p>
        </w:tc>
        <w:tc>
          <w:tcPr>
            <w:tcW w:w="2430" w:type="dxa"/>
          </w:tcPr>
          <w:p w:rsidR="00C76E6D" w:rsidRDefault="00913831">
            <w:pPr>
              <w:pStyle w:val="TableParagraph"/>
              <w:spacing w:before="98"/>
              <w:ind w:left="109"/>
              <w:rPr>
                <w:sz w:val="20"/>
              </w:rPr>
            </w:pPr>
            <w:r>
              <w:rPr>
                <w:sz w:val="20"/>
              </w:rPr>
              <w:t>7</w:t>
            </w:r>
          </w:p>
        </w:tc>
      </w:tr>
      <w:tr w:rsidR="00C76E6D">
        <w:trPr>
          <w:trHeight w:val="687"/>
        </w:trPr>
        <w:tc>
          <w:tcPr>
            <w:tcW w:w="2340" w:type="dxa"/>
          </w:tcPr>
          <w:p w:rsidR="00C76E6D" w:rsidRDefault="00913831">
            <w:pPr>
              <w:pStyle w:val="TableParagraph"/>
              <w:spacing w:before="99"/>
              <w:ind w:left="108"/>
              <w:rPr>
                <w:b/>
                <w:sz w:val="20"/>
              </w:rPr>
            </w:pPr>
            <w:r>
              <w:rPr>
                <w:b/>
                <w:spacing w:val="-2"/>
                <w:sz w:val="20"/>
              </w:rPr>
              <w:t>Greater</w:t>
            </w:r>
            <w:r>
              <w:rPr>
                <w:b/>
                <w:spacing w:val="-10"/>
                <w:sz w:val="20"/>
              </w:rPr>
              <w:t xml:space="preserve"> </w:t>
            </w:r>
            <w:r>
              <w:rPr>
                <w:b/>
                <w:spacing w:val="-2"/>
                <w:sz w:val="20"/>
              </w:rPr>
              <w:t>Boston</w:t>
            </w:r>
            <w:r>
              <w:rPr>
                <w:b/>
                <w:spacing w:val="-7"/>
                <w:sz w:val="20"/>
              </w:rPr>
              <w:t xml:space="preserve"> </w:t>
            </w:r>
            <w:r>
              <w:rPr>
                <w:b/>
                <w:spacing w:val="-2"/>
                <w:sz w:val="20"/>
              </w:rPr>
              <w:t>Regional (10/13)</w:t>
            </w:r>
          </w:p>
        </w:tc>
        <w:tc>
          <w:tcPr>
            <w:tcW w:w="1970" w:type="dxa"/>
          </w:tcPr>
          <w:p w:rsidR="00C76E6D" w:rsidRDefault="00913831">
            <w:pPr>
              <w:pStyle w:val="TableParagraph"/>
              <w:spacing w:before="99"/>
              <w:ind w:left="108"/>
              <w:rPr>
                <w:sz w:val="20"/>
              </w:rPr>
            </w:pPr>
            <w:r>
              <w:rPr>
                <w:sz w:val="20"/>
              </w:rPr>
              <w:t>-</w:t>
            </w:r>
          </w:p>
        </w:tc>
        <w:tc>
          <w:tcPr>
            <w:tcW w:w="1440" w:type="dxa"/>
          </w:tcPr>
          <w:p w:rsidR="00C76E6D" w:rsidRDefault="00913831">
            <w:pPr>
              <w:pStyle w:val="TableParagraph"/>
              <w:spacing w:before="99"/>
              <w:ind w:left="109"/>
              <w:rPr>
                <w:sz w:val="20"/>
              </w:rPr>
            </w:pPr>
            <w:r>
              <w:rPr>
                <w:sz w:val="20"/>
              </w:rPr>
              <w:t>-</w:t>
            </w:r>
          </w:p>
        </w:tc>
        <w:tc>
          <w:tcPr>
            <w:tcW w:w="2430" w:type="dxa"/>
          </w:tcPr>
          <w:p w:rsidR="00C76E6D" w:rsidRDefault="00913831">
            <w:pPr>
              <w:pStyle w:val="TableParagraph"/>
              <w:spacing w:before="99"/>
              <w:ind w:left="109"/>
              <w:rPr>
                <w:sz w:val="20"/>
              </w:rPr>
            </w:pPr>
            <w:r>
              <w:rPr>
                <w:sz w:val="20"/>
              </w:rPr>
              <w:t>-</w:t>
            </w:r>
          </w:p>
        </w:tc>
      </w:tr>
      <w:tr w:rsidR="00C76E6D">
        <w:trPr>
          <w:trHeight w:val="686"/>
        </w:trPr>
        <w:tc>
          <w:tcPr>
            <w:tcW w:w="2340" w:type="dxa"/>
          </w:tcPr>
          <w:p w:rsidR="00C76E6D" w:rsidRDefault="00913831">
            <w:pPr>
              <w:pStyle w:val="TableParagraph"/>
              <w:spacing w:before="99"/>
              <w:ind w:left="108" w:right="175"/>
              <w:rPr>
                <w:b/>
                <w:sz w:val="20"/>
              </w:rPr>
            </w:pPr>
            <w:r>
              <w:rPr>
                <w:b/>
                <w:spacing w:val="-2"/>
                <w:sz w:val="20"/>
              </w:rPr>
              <w:t>Northeast</w:t>
            </w:r>
            <w:r>
              <w:rPr>
                <w:b/>
                <w:spacing w:val="-12"/>
                <w:sz w:val="20"/>
              </w:rPr>
              <w:t xml:space="preserve"> </w:t>
            </w:r>
            <w:r>
              <w:rPr>
                <w:b/>
                <w:spacing w:val="-2"/>
                <w:sz w:val="20"/>
              </w:rPr>
              <w:t>Regional (10/6)</w:t>
            </w:r>
          </w:p>
        </w:tc>
        <w:tc>
          <w:tcPr>
            <w:tcW w:w="1970" w:type="dxa"/>
          </w:tcPr>
          <w:p w:rsidR="00C76E6D" w:rsidRDefault="00913831">
            <w:pPr>
              <w:pStyle w:val="TableParagraph"/>
              <w:spacing w:before="99"/>
              <w:ind w:left="108"/>
              <w:rPr>
                <w:sz w:val="20"/>
              </w:rPr>
            </w:pPr>
            <w:r>
              <w:rPr>
                <w:spacing w:val="-5"/>
                <w:sz w:val="20"/>
              </w:rPr>
              <w:t>26</w:t>
            </w:r>
          </w:p>
        </w:tc>
        <w:tc>
          <w:tcPr>
            <w:tcW w:w="1440" w:type="dxa"/>
          </w:tcPr>
          <w:p w:rsidR="00C76E6D" w:rsidRDefault="00913831">
            <w:pPr>
              <w:pStyle w:val="TableParagraph"/>
              <w:spacing w:before="99"/>
              <w:ind w:left="109"/>
              <w:rPr>
                <w:sz w:val="20"/>
              </w:rPr>
            </w:pPr>
            <w:r>
              <w:rPr>
                <w:spacing w:val="-5"/>
                <w:sz w:val="20"/>
              </w:rPr>
              <w:t>10</w:t>
            </w:r>
          </w:p>
        </w:tc>
        <w:tc>
          <w:tcPr>
            <w:tcW w:w="2430" w:type="dxa"/>
          </w:tcPr>
          <w:p w:rsidR="00C76E6D" w:rsidRDefault="00913831">
            <w:pPr>
              <w:pStyle w:val="TableParagraph"/>
              <w:spacing w:before="99"/>
              <w:ind w:left="109"/>
              <w:rPr>
                <w:sz w:val="20"/>
              </w:rPr>
            </w:pPr>
            <w:r>
              <w:rPr>
                <w:spacing w:val="-5"/>
                <w:sz w:val="20"/>
              </w:rPr>
              <w:t>11</w:t>
            </w:r>
          </w:p>
        </w:tc>
      </w:tr>
      <w:tr w:rsidR="00C76E6D">
        <w:trPr>
          <w:trHeight w:val="444"/>
        </w:trPr>
        <w:tc>
          <w:tcPr>
            <w:tcW w:w="2340" w:type="dxa"/>
          </w:tcPr>
          <w:p w:rsidR="00C76E6D" w:rsidRDefault="00913831">
            <w:pPr>
              <w:pStyle w:val="TableParagraph"/>
              <w:spacing w:before="99"/>
              <w:ind w:left="123"/>
              <w:rPr>
                <w:b/>
                <w:sz w:val="20"/>
              </w:rPr>
            </w:pPr>
            <w:r>
              <w:rPr>
                <w:b/>
                <w:sz w:val="20"/>
              </w:rPr>
              <w:t>Central</w:t>
            </w:r>
            <w:r>
              <w:rPr>
                <w:b/>
                <w:spacing w:val="-10"/>
                <w:sz w:val="20"/>
              </w:rPr>
              <w:t xml:space="preserve"> </w:t>
            </w:r>
            <w:r>
              <w:rPr>
                <w:b/>
                <w:sz w:val="20"/>
              </w:rPr>
              <w:t>Regional</w:t>
            </w:r>
            <w:r>
              <w:rPr>
                <w:b/>
                <w:spacing w:val="-8"/>
                <w:sz w:val="20"/>
              </w:rPr>
              <w:t xml:space="preserve"> </w:t>
            </w:r>
            <w:r>
              <w:rPr>
                <w:b/>
                <w:spacing w:val="-2"/>
                <w:sz w:val="20"/>
              </w:rPr>
              <w:t>(10/20)</w:t>
            </w:r>
          </w:p>
        </w:tc>
        <w:tc>
          <w:tcPr>
            <w:tcW w:w="1970" w:type="dxa"/>
          </w:tcPr>
          <w:p w:rsidR="00C76E6D" w:rsidRDefault="00913831">
            <w:pPr>
              <w:pStyle w:val="TableParagraph"/>
              <w:spacing w:before="99"/>
              <w:ind w:left="109"/>
              <w:rPr>
                <w:sz w:val="20"/>
              </w:rPr>
            </w:pPr>
            <w:r>
              <w:rPr>
                <w:spacing w:val="-5"/>
                <w:sz w:val="20"/>
              </w:rPr>
              <w:t>45</w:t>
            </w:r>
          </w:p>
        </w:tc>
        <w:tc>
          <w:tcPr>
            <w:tcW w:w="1440" w:type="dxa"/>
          </w:tcPr>
          <w:p w:rsidR="00C76E6D" w:rsidRDefault="00913831">
            <w:pPr>
              <w:pStyle w:val="TableParagraph"/>
              <w:spacing w:before="99"/>
              <w:ind w:left="109"/>
              <w:rPr>
                <w:sz w:val="20"/>
              </w:rPr>
            </w:pPr>
            <w:r>
              <w:rPr>
                <w:sz w:val="20"/>
              </w:rPr>
              <w:t>9</w:t>
            </w:r>
          </w:p>
        </w:tc>
        <w:tc>
          <w:tcPr>
            <w:tcW w:w="2430" w:type="dxa"/>
          </w:tcPr>
          <w:p w:rsidR="00C76E6D" w:rsidRDefault="00913831">
            <w:pPr>
              <w:pStyle w:val="TableParagraph"/>
              <w:spacing w:before="99"/>
              <w:ind w:left="109"/>
              <w:rPr>
                <w:sz w:val="20"/>
              </w:rPr>
            </w:pPr>
            <w:r>
              <w:rPr>
                <w:sz w:val="20"/>
              </w:rPr>
              <w:t>6</w:t>
            </w:r>
          </w:p>
        </w:tc>
      </w:tr>
      <w:tr w:rsidR="00C76E6D">
        <w:trPr>
          <w:trHeight w:val="445"/>
        </w:trPr>
        <w:tc>
          <w:tcPr>
            <w:tcW w:w="2340" w:type="dxa"/>
          </w:tcPr>
          <w:p w:rsidR="00C76E6D" w:rsidRDefault="00913831">
            <w:pPr>
              <w:pStyle w:val="TableParagraph"/>
              <w:spacing w:before="98"/>
              <w:ind w:left="121"/>
              <w:rPr>
                <w:b/>
                <w:sz w:val="20"/>
              </w:rPr>
            </w:pPr>
            <w:r>
              <w:rPr>
                <w:b/>
                <w:sz w:val="20"/>
              </w:rPr>
              <w:t>Western</w:t>
            </w:r>
            <w:r>
              <w:rPr>
                <w:b/>
                <w:spacing w:val="-9"/>
                <w:sz w:val="20"/>
              </w:rPr>
              <w:t xml:space="preserve"> </w:t>
            </w:r>
            <w:r>
              <w:rPr>
                <w:b/>
                <w:sz w:val="20"/>
              </w:rPr>
              <w:t>Regional</w:t>
            </w:r>
            <w:r>
              <w:rPr>
                <w:b/>
                <w:spacing w:val="-8"/>
                <w:sz w:val="20"/>
              </w:rPr>
              <w:t xml:space="preserve"> </w:t>
            </w:r>
            <w:r>
              <w:rPr>
                <w:b/>
                <w:spacing w:val="-2"/>
                <w:sz w:val="20"/>
              </w:rPr>
              <w:t>(10/27)</w:t>
            </w:r>
          </w:p>
        </w:tc>
        <w:tc>
          <w:tcPr>
            <w:tcW w:w="1970" w:type="dxa"/>
          </w:tcPr>
          <w:p w:rsidR="00C76E6D" w:rsidRDefault="00913831">
            <w:pPr>
              <w:pStyle w:val="TableParagraph"/>
              <w:spacing w:before="98"/>
              <w:ind w:left="109"/>
              <w:rPr>
                <w:sz w:val="20"/>
              </w:rPr>
            </w:pPr>
            <w:r>
              <w:rPr>
                <w:spacing w:val="-5"/>
                <w:sz w:val="20"/>
              </w:rPr>
              <w:t>28</w:t>
            </w:r>
          </w:p>
        </w:tc>
        <w:tc>
          <w:tcPr>
            <w:tcW w:w="1440" w:type="dxa"/>
          </w:tcPr>
          <w:p w:rsidR="00C76E6D" w:rsidRDefault="00913831">
            <w:pPr>
              <w:pStyle w:val="TableParagraph"/>
              <w:spacing w:before="98"/>
              <w:ind w:left="109"/>
              <w:rPr>
                <w:sz w:val="20"/>
              </w:rPr>
            </w:pPr>
            <w:r>
              <w:rPr>
                <w:spacing w:val="-5"/>
                <w:sz w:val="20"/>
              </w:rPr>
              <w:t>12</w:t>
            </w:r>
          </w:p>
        </w:tc>
        <w:tc>
          <w:tcPr>
            <w:tcW w:w="2430" w:type="dxa"/>
          </w:tcPr>
          <w:p w:rsidR="00C76E6D" w:rsidRDefault="00913831">
            <w:pPr>
              <w:pStyle w:val="TableParagraph"/>
              <w:spacing w:before="98"/>
              <w:ind w:left="109"/>
              <w:rPr>
                <w:sz w:val="20"/>
              </w:rPr>
            </w:pPr>
            <w:r>
              <w:rPr>
                <w:sz w:val="20"/>
              </w:rPr>
              <w:t>5</w:t>
            </w:r>
          </w:p>
        </w:tc>
      </w:tr>
    </w:tbl>
    <w:p w:rsidR="00C76E6D" w:rsidRDefault="00C76E6D">
      <w:pPr>
        <w:pStyle w:val="BodyText"/>
        <w:spacing w:before="8"/>
        <w:rPr>
          <w:i/>
          <w:sz w:val="25"/>
        </w:rPr>
      </w:pPr>
    </w:p>
    <w:p w:rsidR="00C76E6D" w:rsidRDefault="00913831">
      <w:pPr>
        <w:pStyle w:val="Heading6"/>
        <w:ind w:left="480"/>
      </w:pPr>
      <w:bookmarkStart w:id="119" w:name="Schools_reached:_40"/>
      <w:bookmarkEnd w:id="119"/>
      <w:r>
        <w:rPr>
          <w:w w:val="95"/>
        </w:rPr>
        <w:t>Schools</w:t>
      </w:r>
      <w:r>
        <w:rPr>
          <w:spacing w:val="15"/>
        </w:rPr>
        <w:t xml:space="preserve"> </w:t>
      </w:r>
      <w:r>
        <w:rPr>
          <w:w w:val="95"/>
        </w:rPr>
        <w:t>reached:</w:t>
      </w:r>
      <w:r>
        <w:rPr>
          <w:spacing w:val="11"/>
        </w:rPr>
        <w:t xml:space="preserve"> </w:t>
      </w:r>
      <w:r>
        <w:rPr>
          <w:spacing w:val="-5"/>
          <w:w w:val="95"/>
        </w:rPr>
        <w:t>40</w:t>
      </w:r>
    </w:p>
    <w:p w:rsidR="00C76E6D" w:rsidRDefault="00C76E6D">
      <w:pPr>
        <w:sectPr w:rsidR="00C76E6D">
          <w:pgSz w:w="12240" w:h="15840"/>
          <w:pgMar w:top="960" w:right="960" w:bottom="1200" w:left="960" w:header="769" w:footer="1005" w:gutter="0"/>
          <w:cols w:space="720"/>
        </w:sectPr>
      </w:pPr>
    </w:p>
    <w:p w:rsidR="00C76E6D" w:rsidRDefault="00C76E6D">
      <w:pPr>
        <w:pStyle w:val="BodyText"/>
        <w:rPr>
          <w:b/>
          <w:sz w:val="20"/>
        </w:rPr>
      </w:pPr>
    </w:p>
    <w:p w:rsidR="00C76E6D" w:rsidRDefault="00C76E6D">
      <w:pPr>
        <w:pStyle w:val="BodyText"/>
        <w:rPr>
          <w:b/>
          <w:sz w:val="20"/>
        </w:rPr>
      </w:pPr>
    </w:p>
    <w:p w:rsidR="00C76E6D" w:rsidRDefault="00C76E6D">
      <w:pPr>
        <w:pStyle w:val="BodyText"/>
        <w:spacing w:before="8"/>
        <w:rPr>
          <w:b/>
          <w:sz w:val="17"/>
        </w:rPr>
      </w:pPr>
    </w:p>
    <w:p w:rsidR="00C76E6D" w:rsidRDefault="00913831">
      <w:pPr>
        <w:spacing w:before="55"/>
        <w:ind w:left="480"/>
        <w:jc w:val="both"/>
        <w:rPr>
          <w:b/>
        </w:rPr>
      </w:pPr>
      <w:r>
        <w:rPr>
          <w:b/>
          <w:spacing w:val="-2"/>
        </w:rPr>
        <w:t>Southeast:</w:t>
      </w:r>
      <w:r>
        <w:rPr>
          <w:b/>
          <w:spacing w:val="-9"/>
        </w:rPr>
        <w:t xml:space="preserve"> </w:t>
      </w:r>
      <w:r>
        <w:rPr>
          <w:b/>
          <w:spacing w:val="-7"/>
        </w:rPr>
        <w:t>14</w:t>
      </w:r>
    </w:p>
    <w:p w:rsidR="00C76E6D" w:rsidRDefault="00913831">
      <w:pPr>
        <w:pStyle w:val="BodyText"/>
        <w:spacing w:before="41" w:line="276" w:lineRule="auto"/>
        <w:ind w:left="480" w:right="481"/>
        <w:jc w:val="both"/>
      </w:pPr>
      <w:r>
        <w:t xml:space="preserve">Canton High School, Edward P. Talbot Middle School, Falmouth High School, Hanover High School, King Philip Regional High School, Marie Philip School at The Learning Center for the Deaf, Millis High School, Norton Middle School, Old Rochester Regional High </w:t>
      </w:r>
      <w:r>
        <w:t>School, Oliver Ames High School, Southeastern Regional Vocational School, The Victor School, Watertown Middle School, Westwood High School</w:t>
      </w:r>
    </w:p>
    <w:p w:rsidR="00C76E6D" w:rsidRDefault="00913831">
      <w:pPr>
        <w:pStyle w:val="Heading6"/>
        <w:spacing w:before="27" w:line="616" w:lineRule="exact"/>
        <w:ind w:left="480" w:right="6688" w:hanging="1"/>
        <w:jc w:val="both"/>
      </w:pPr>
      <w:bookmarkStart w:id="120" w:name="Greater_Boston:_Meeting_Canceled_Northea"/>
      <w:bookmarkEnd w:id="120"/>
      <w:r>
        <w:t>Greater</w:t>
      </w:r>
      <w:r>
        <w:rPr>
          <w:spacing w:val="-13"/>
        </w:rPr>
        <w:t xml:space="preserve"> </w:t>
      </w:r>
      <w:r>
        <w:t>Boston:</w:t>
      </w:r>
      <w:r>
        <w:rPr>
          <w:spacing w:val="-12"/>
        </w:rPr>
        <w:t xml:space="preserve"> </w:t>
      </w:r>
      <w:r>
        <w:t>Meeting</w:t>
      </w:r>
      <w:r>
        <w:rPr>
          <w:spacing w:val="-13"/>
        </w:rPr>
        <w:t xml:space="preserve"> </w:t>
      </w:r>
      <w:r>
        <w:t>Canceled Northeast: 9</w:t>
      </w:r>
    </w:p>
    <w:p w:rsidR="00C76E6D" w:rsidRDefault="00913831">
      <w:pPr>
        <w:pStyle w:val="BodyText"/>
        <w:spacing w:line="255" w:lineRule="exact"/>
        <w:ind w:left="480"/>
        <w:jc w:val="both"/>
      </w:pPr>
      <w:r>
        <w:t>Greater</w:t>
      </w:r>
      <w:r>
        <w:rPr>
          <w:spacing w:val="-4"/>
        </w:rPr>
        <w:t xml:space="preserve"> </w:t>
      </w:r>
      <w:r>
        <w:t>Lawrence</w:t>
      </w:r>
      <w:r>
        <w:rPr>
          <w:spacing w:val="-2"/>
        </w:rPr>
        <w:t xml:space="preserve"> </w:t>
      </w:r>
      <w:r>
        <w:t>Technical</w:t>
      </w:r>
      <w:r>
        <w:rPr>
          <w:spacing w:val="-5"/>
        </w:rPr>
        <w:t xml:space="preserve"> </w:t>
      </w:r>
      <w:r>
        <w:t>School,</w:t>
      </w:r>
      <w:r>
        <w:rPr>
          <w:spacing w:val="-3"/>
        </w:rPr>
        <w:t xml:space="preserve"> </w:t>
      </w:r>
      <w:r>
        <w:t>Masconomet</w:t>
      </w:r>
      <w:r>
        <w:rPr>
          <w:spacing w:val="-2"/>
        </w:rPr>
        <w:t xml:space="preserve"> </w:t>
      </w:r>
      <w:r>
        <w:t>Regional</w:t>
      </w:r>
      <w:r>
        <w:rPr>
          <w:spacing w:val="-6"/>
        </w:rPr>
        <w:t xml:space="preserve"> </w:t>
      </w:r>
      <w:r>
        <w:t>High</w:t>
      </w:r>
      <w:r>
        <w:rPr>
          <w:spacing w:val="-3"/>
        </w:rPr>
        <w:t xml:space="preserve"> </w:t>
      </w:r>
      <w:r>
        <w:t>School,</w:t>
      </w:r>
      <w:r>
        <w:rPr>
          <w:spacing w:val="-5"/>
        </w:rPr>
        <w:t xml:space="preserve"> </w:t>
      </w:r>
      <w:r>
        <w:t>Nashoba</w:t>
      </w:r>
      <w:r>
        <w:rPr>
          <w:spacing w:val="-4"/>
        </w:rPr>
        <w:t xml:space="preserve"> </w:t>
      </w:r>
      <w:r>
        <w:t>Valley</w:t>
      </w:r>
      <w:r>
        <w:rPr>
          <w:spacing w:val="-3"/>
        </w:rPr>
        <w:t xml:space="preserve"> </w:t>
      </w:r>
      <w:r>
        <w:t>Technical</w:t>
      </w:r>
      <w:r>
        <w:rPr>
          <w:spacing w:val="-5"/>
        </w:rPr>
        <w:t xml:space="preserve"> </w:t>
      </w:r>
      <w:r>
        <w:rPr>
          <w:spacing w:val="-4"/>
        </w:rPr>
        <w:t>High</w:t>
      </w:r>
    </w:p>
    <w:p w:rsidR="00C76E6D" w:rsidRDefault="00913831">
      <w:pPr>
        <w:pStyle w:val="BodyText"/>
        <w:spacing w:before="30" w:line="276" w:lineRule="auto"/>
        <w:ind w:left="480" w:right="476"/>
        <w:jc w:val="both"/>
      </w:pPr>
      <w:r>
        <w:t>School, Pentucket Regional</w:t>
      </w:r>
      <w:r>
        <w:rPr>
          <w:spacing w:val="-1"/>
        </w:rPr>
        <w:t xml:space="preserve"> </w:t>
      </w:r>
      <w:r>
        <w:t>High School, Reading Memorial High School, Saugus High School, Shawsheen Valley Technical School, TECCA Connections Academy Commonwealth Virtual School, Whittier Regional Technical High School</w:t>
      </w:r>
    </w:p>
    <w:p w:rsidR="00C76E6D" w:rsidRDefault="00C76E6D">
      <w:pPr>
        <w:pStyle w:val="BodyText"/>
        <w:spacing w:before="2"/>
        <w:rPr>
          <w:sz w:val="25"/>
        </w:rPr>
      </w:pPr>
    </w:p>
    <w:p w:rsidR="00C76E6D" w:rsidRDefault="00913831">
      <w:pPr>
        <w:pStyle w:val="Heading6"/>
        <w:ind w:left="480"/>
        <w:jc w:val="both"/>
      </w:pPr>
      <w:bookmarkStart w:id="121" w:name="Central:_10"/>
      <w:bookmarkEnd w:id="121"/>
      <w:r>
        <w:rPr>
          <w:w w:val="95"/>
        </w:rPr>
        <w:t>Centr</w:t>
      </w:r>
      <w:r>
        <w:rPr>
          <w:w w:val="95"/>
        </w:rPr>
        <w:t>al:</w:t>
      </w:r>
      <w:r>
        <w:rPr>
          <w:spacing w:val="12"/>
        </w:rPr>
        <w:t xml:space="preserve"> </w:t>
      </w:r>
      <w:r>
        <w:rPr>
          <w:spacing w:val="-5"/>
        </w:rPr>
        <w:t>10</w:t>
      </w:r>
    </w:p>
    <w:p w:rsidR="00C76E6D" w:rsidRDefault="00913831">
      <w:pPr>
        <w:pStyle w:val="BodyText"/>
        <w:spacing w:before="41" w:line="276" w:lineRule="auto"/>
        <w:ind w:left="480" w:right="480"/>
        <w:jc w:val="both"/>
      </w:pPr>
      <w:r>
        <w:t>Assabet Valley Regional Technical School, The Bromfield School, Gardner High School, Holliston High School, Nashoba Regional High School, Oxford High School, Quabbin Regional Middle School, Sarah Gibbons Middle School, Shepherd Hill Regional High Sc</w:t>
      </w:r>
      <w:r>
        <w:t>hool, Westborough High School</w:t>
      </w:r>
    </w:p>
    <w:p w:rsidR="00C76E6D" w:rsidRDefault="00C76E6D">
      <w:pPr>
        <w:pStyle w:val="BodyText"/>
        <w:spacing w:before="3"/>
        <w:rPr>
          <w:sz w:val="25"/>
        </w:rPr>
      </w:pPr>
    </w:p>
    <w:p w:rsidR="00C76E6D" w:rsidRDefault="00913831">
      <w:pPr>
        <w:pStyle w:val="Heading6"/>
        <w:ind w:left="480"/>
        <w:jc w:val="both"/>
      </w:pPr>
      <w:bookmarkStart w:id="122" w:name="Western:_7"/>
      <w:bookmarkEnd w:id="122"/>
      <w:r>
        <w:rPr>
          <w:spacing w:val="-2"/>
        </w:rPr>
        <w:t>Western:</w:t>
      </w:r>
      <w:r>
        <w:rPr>
          <w:spacing w:val="-11"/>
        </w:rPr>
        <w:t xml:space="preserve"> </w:t>
      </w:r>
      <w:r>
        <w:rPr>
          <w:spacing w:val="-10"/>
        </w:rPr>
        <w:t>7</w:t>
      </w:r>
    </w:p>
    <w:p w:rsidR="00C76E6D" w:rsidRDefault="00913831">
      <w:pPr>
        <w:pStyle w:val="BodyText"/>
        <w:spacing w:before="41" w:line="276" w:lineRule="auto"/>
        <w:ind w:left="480" w:right="472" w:hanging="2"/>
        <w:jc w:val="both"/>
      </w:pPr>
      <w:r>
        <w:t>Agawam</w:t>
      </w:r>
      <w:r>
        <w:rPr>
          <w:spacing w:val="-6"/>
        </w:rPr>
        <w:t xml:space="preserve"> </w:t>
      </w:r>
      <w:r>
        <w:t>High</w:t>
      </w:r>
      <w:r>
        <w:rPr>
          <w:spacing w:val="-6"/>
        </w:rPr>
        <w:t xml:space="preserve"> </w:t>
      </w:r>
      <w:r>
        <w:t>School,</w:t>
      </w:r>
      <w:r>
        <w:rPr>
          <w:spacing w:val="-5"/>
        </w:rPr>
        <w:t xml:space="preserve"> </w:t>
      </w:r>
      <w:r>
        <w:t>East</w:t>
      </w:r>
      <w:r>
        <w:rPr>
          <w:spacing w:val="-6"/>
        </w:rPr>
        <w:t xml:space="preserve"> </w:t>
      </w:r>
      <w:r>
        <w:t>Longmeadow</w:t>
      </w:r>
      <w:r>
        <w:rPr>
          <w:spacing w:val="-5"/>
        </w:rPr>
        <w:t xml:space="preserve"> </w:t>
      </w:r>
      <w:r>
        <w:t>High</w:t>
      </w:r>
      <w:r>
        <w:rPr>
          <w:spacing w:val="-4"/>
        </w:rPr>
        <w:t xml:space="preserve"> </w:t>
      </w:r>
      <w:r>
        <w:t>School,</w:t>
      </w:r>
      <w:r>
        <w:rPr>
          <w:spacing w:val="-5"/>
        </w:rPr>
        <w:t xml:space="preserve"> </w:t>
      </w:r>
      <w:r>
        <w:t>Minnechaug</w:t>
      </w:r>
      <w:r>
        <w:rPr>
          <w:spacing w:val="-6"/>
        </w:rPr>
        <w:t xml:space="preserve"> </w:t>
      </w:r>
      <w:r>
        <w:t>Regional</w:t>
      </w:r>
      <w:r>
        <w:rPr>
          <w:spacing w:val="-4"/>
        </w:rPr>
        <w:t xml:space="preserve"> </w:t>
      </w:r>
      <w:r>
        <w:t>High</w:t>
      </w:r>
      <w:r>
        <w:rPr>
          <w:spacing w:val="-4"/>
        </w:rPr>
        <w:t xml:space="preserve"> </w:t>
      </w:r>
      <w:r>
        <w:t>School,</w:t>
      </w:r>
      <w:r>
        <w:rPr>
          <w:spacing w:val="-4"/>
        </w:rPr>
        <w:t xml:space="preserve"> </w:t>
      </w:r>
      <w:r>
        <w:t>Mount</w:t>
      </w:r>
      <w:r>
        <w:rPr>
          <w:spacing w:val="-5"/>
        </w:rPr>
        <w:t xml:space="preserve"> </w:t>
      </w:r>
      <w:r>
        <w:t>Greylock Regional</w:t>
      </w:r>
      <w:r>
        <w:rPr>
          <w:spacing w:val="-9"/>
        </w:rPr>
        <w:t xml:space="preserve"> </w:t>
      </w:r>
      <w:r>
        <w:t>High</w:t>
      </w:r>
      <w:r>
        <w:rPr>
          <w:spacing w:val="-8"/>
        </w:rPr>
        <w:t xml:space="preserve"> </w:t>
      </w:r>
      <w:r>
        <w:t>School,</w:t>
      </w:r>
      <w:r>
        <w:rPr>
          <w:spacing w:val="-10"/>
        </w:rPr>
        <w:t xml:space="preserve"> </w:t>
      </w:r>
      <w:r>
        <w:t>Southwick</w:t>
      </w:r>
      <w:r>
        <w:rPr>
          <w:spacing w:val="-7"/>
        </w:rPr>
        <w:t xml:space="preserve"> </w:t>
      </w:r>
      <w:r>
        <w:t>Regional</w:t>
      </w:r>
      <w:r>
        <w:rPr>
          <w:spacing w:val="-10"/>
        </w:rPr>
        <w:t xml:space="preserve"> </w:t>
      </w:r>
      <w:r>
        <w:t>High</w:t>
      </w:r>
      <w:r>
        <w:rPr>
          <w:spacing w:val="-9"/>
        </w:rPr>
        <w:t xml:space="preserve"> </w:t>
      </w:r>
      <w:r>
        <w:t>School,</w:t>
      </w:r>
      <w:r>
        <w:rPr>
          <w:spacing w:val="-10"/>
        </w:rPr>
        <w:t xml:space="preserve"> </w:t>
      </w:r>
      <w:r>
        <w:t>Springfield</w:t>
      </w:r>
      <w:r>
        <w:rPr>
          <w:spacing w:val="-9"/>
        </w:rPr>
        <w:t xml:space="preserve"> </w:t>
      </w:r>
      <w:r>
        <w:t>International</w:t>
      </w:r>
      <w:r>
        <w:rPr>
          <w:spacing w:val="-6"/>
        </w:rPr>
        <w:t xml:space="preserve"> </w:t>
      </w:r>
      <w:r>
        <w:t>Charter</w:t>
      </w:r>
      <w:r>
        <w:rPr>
          <w:spacing w:val="-9"/>
        </w:rPr>
        <w:t xml:space="preserve"> </w:t>
      </w:r>
      <w:r>
        <w:t>School,</w:t>
      </w:r>
      <w:r>
        <w:rPr>
          <w:spacing w:val="-8"/>
        </w:rPr>
        <w:t xml:space="preserve"> </w:t>
      </w:r>
      <w:r>
        <w:t>Westfield High School</w:t>
      </w:r>
    </w:p>
    <w:p w:rsidR="00C76E6D" w:rsidRDefault="00C76E6D">
      <w:pPr>
        <w:pStyle w:val="BodyText"/>
        <w:spacing w:before="3"/>
        <w:rPr>
          <w:sz w:val="25"/>
        </w:rPr>
      </w:pPr>
    </w:p>
    <w:p w:rsidR="00C76E6D" w:rsidRDefault="00913831">
      <w:pPr>
        <w:spacing w:before="1" w:after="42"/>
        <w:ind w:left="1602" w:right="1602"/>
        <w:jc w:val="center"/>
        <w:rPr>
          <w:i/>
        </w:rPr>
      </w:pPr>
      <w:r>
        <w:rPr>
          <w:i/>
          <w:w w:val="95"/>
        </w:rPr>
        <w:t>Attendance</w:t>
      </w:r>
      <w:r>
        <w:rPr>
          <w:i/>
          <w:spacing w:val="15"/>
        </w:rPr>
        <w:t xml:space="preserve"> </w:t>
      </w:r>
      <w:r>
        <w:rPr>
          <w:i/>
          <w:w w:val="95"/>
        </w:rPr>
        <w:t>at</w:t>
      </w:r>
      <w:r>
        <w:rPr>
          <w:i/>
          <w:spacing w:val="15"/>
        </w:rPr>
        <w:t xml:space="preserve"> </w:t>
      </w:r>
      <w:r>
        <w:rPr>
          <w:i/>
          <w:w w:val="95"/>
        </w:rPr>
        <w:t>Meetings:</w:t>
      </w:r>
      <w:r>
        <w:rPr>
          <w:i/>
          <w:spacing w:val="15"/>
        </w:rPr>
        <w:t xml:space="preserve"> </w:t>
      </w:r>
      <w:r>
        <w:rPr>
          <w:i/>
          <w:w w:val="95"/>
        </w:rPr>
        <w:t>November</w:t>
      </w:r>
      <w:r>
        <w:rPr>
          <w:i/>
          <w:spacing w:val="18"/>
        </w:rPr>
        <w:t xml:space="preserve"> </w:t>
      </w:r>
      <w:r>
        <w:rPr>
          <w:i/>
          <w:w w:val="95"/>
        </w:rPr>
        <w:t>&amp;</w:t>
      </w:r>
      <w:r>
        <w:rPr>
          <w:i/>
          <w:spacing w:val="13"/>
        </w:rPr>
        <w:t xml:space="preserve"> </w:t>
      </w:r>
      <w:r>
        <w:rPr>
          <w:i/>
          <w:w w:val="95"/>
        </w:rPr>
        <w:t>December</w:t>
      </w:r>
      <w:r>
        <w:rPr>
          <w:i/>
          <w:spacing w:val="17"/>
        </w:rPr>
        <w:t xml:space="preserve"> </w:t>
      </w:r>
      <w:r>
        <w:rPr>
          <w:i/>
          <w:spacing w:val="-4"/>
          <w:w w:val="95"/>
        </w:rPr>
        <w:t>2021</w:t>
      </w:r>
    </w:p>
    <w:tbl>
      <w:tblPr>
        <w:tblW w:w="0" w:type="auto"/>
        <w:tblInd w:w="1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0"/>
        <w:gridCol w:w="1880"/>
        <w:gridCol w:w="1530"/>
        <w:gridCol w:w="2340"/>
      </w:tblGrid>
      <w:tr w:rsidR="00C76E6D">
        <w:trPr>
          <w:trHeight w:val="444"/>
        </w:trPr>
        <w:tc>
          <w:tcPr>
            <w:tcW w:w="2340" w:type="dxa"/>
          </w:tcPr>
          <w:p w:rsidR="00C76E6D" w:rsidRDefault="00C76E6D">
            <w:pPr>
              <w:pStyle w:val="TableParagraph"/>
              <w:rPr>
                <w:rFonts w:ascii="Times New Roman"/>
                <w:sz w:val="20"/>
              </w:rPr>
            </w:pPr>
          </w:p>
        </w:tc>
        <w:tc>
          <w:tcPr>
            <w:tcW w:w="1880" w:type="dxa"/>
          </w:tcPr>
          <w:p w:rsidR="00C76E6D" w:rsidRDefault="00913831">
            <w:pPr>
              <w:pStyle w:val="TableParagraph"/>
              <w:spacing w:before="99"/>
              <w:ind w:left="109"/>
              <w:rPr>
                <w:b/>
                <w:sz w:val="20"/>
              </w:rPr>
            </w:pPr>
            <w:r>
              <w:rPr>
                <w:b/>
                <w:sz w:val="20"/>
              </w:rPr>
              <w:t>Regional</w:t>
            </w:r>
            <w:r>
              <w:rPr>
                <w:b/>
                <w:spacing w:val="-10"/>
                <w:sz w:val="20"/>
              </w:rPr>
              <w:t xml:space="preserve"> </w:t>
            </w:r>
            <w:r>
              <w:rPr>
                <w:b/>
                <w:spacing w:val="-2"/>
                <w:sz w:val="20"/>
              </w:rPr>
              <w:t>Students</w:t>
            </w:r>
          </w:p>
        </w:tc>
        <w:tc>
          <w:tcPr>
            <w:tcW w:w="1530" w:type="dxa"/>
          </w:tcPr>
          <w:p w:rsidR="00C76E6D" w:rsidRDefault="00913831">
            <w:pPr>
              <w:pStyle w:val="TableParagraph"/>
              <w:spacing w:before="99"/>
              <w:ind w:left="108"/>
              <w:rPr>
                <w:b/>
                <w:sz w:val="20"/>
              </w:rPr>
            </w:pPr>
            <w:r>
              <w:rPr>
                <w:b/>
                <w:sz w:val="20"/>
              </w:rPr>
              <w:t>GSA</w:t>
            </w:r>
            <w:r>
              <w:rPr>
                <w:b/>
                <w:spacing w:val="-7"/>
                <w:sz w:val="20"/>
              </w:rPr>
              <w:t xml:space="preserve"> </w:t>
            </w:r>
            <w:r>
              <w:rPr>
                <w:b/>
                <w:spacing w:val="-2"/>
                <w:sz w:val="20"/>
              </w:rPr>
              <w:t>Advisors</w:t>
            </w:r>
          </w:p>
        </w:tc>
        <w:tc>
          <w:tcPr>
            <w:tcW w:w="2340" w:type="dxa"/>
          </w:tcPr>
          <w:p w:rsidR="00C76E6D" w:rsidRDefault="00913831">
            <w:pPr>
              <w:pStyle w:val="TableParagraph"/>
              <w:spacing w:before="99"/>
              <w:ind w:left="108"/>
              <w:rPr>
                <w:b/>
                <w:sz w:val="20"/>
              </w:rPr>
            </w:pPr>
            <w:r>
              <w:rPr>
                <w:b/>
                <w:sz w:val="20"/>
              </w:rPr>
              <w:t>State</w:t>
            </w:r>
            <w:r>
              <w:rPr>
                <w:b/>
                <w:spacing w:val="-7"/>
                <w:sz w:val="20"/>
              </w:rPr>
              <w:t xml:space="preserve"> </w:t>
            </w:r>
            <w:r>
              <w:rPr>
                <w:b/>
                <w:sz w:val="20"/>
              </w:rPr>
              <w:t>Council</w:t>
            </w:r>
            <w:r>
              <w:rPr>
                <w:b/>
                <w:spacing w:val="-6"/>
                <w:sz w:val="20"/>
              </w:rPr>
              <w:t xml:space="preserve"> </w:t>
            </w:r>
            <w:r>
              <w:rPr>
                <w:b/>
                <w:spacing w:val="-2"/>
                <w:sz w:val="20"/>
              </w:rPr>
              <w:t>Members</w:t>
            </w:r>
          </w:p>
        </w:tc>
      </w:tr>
      <w:tr w:rsidR="00C76E6D">
        <w:trPr>
          <w:trHeight w:val="689"/>
        </w:trPr>
        <w:tc>
          <w:tcPr>
            <w:tcW w:w="2340" w:type="dxa"/>
          </w:tcPr>
          <w:p w:rsidR="00C76E6D" w:rsidRDefault="00913831">
            <w:pPr>
              <w:pStyle w:val="TableParagraph"/>
              <w:spacing w:before="98"/>
              <w:ind w:left="109"/>
              <w:rPr>
                <w:b/>
                <w:sz w:val="20"/>
              </w:rPr>
            </w:pPr>
            <w:r>
              <w:rPr>
                <w:b/>
                <w:spacing w:val="-2"/>
                <w:sz w:val="20"/>
              </w:rPr>
              <w:t>November</w:t>
            </w:r>
            <w:r>
              <w:rPr>
                <w:b/>
                <w:spacing w:val="-13"/>
                <w:sz w:val="20"/>
              </w:rPr>
              <w:t xml:space="preserve"> </w:t>
            </w:r>
            <w:r>
              <w:rPr>
                <w:b/>
                <w:spacing w:val="-2"/>
                <w:sz w:val="20"/>
              </w:rPr>
              <w:t xml:space="preserve">Statewide </w:t>
            </w:r>
            <w:r>
              <w:rPr>
                <w:b/>
                <w:sz w:val="20"/>
              </w:rPr>
              <w:t>Meeting (11/17)</w:t>
            </w:r>
          </w:p>
        </w:tc>
        <w:tc>
          <w:tcPr>
            <w:tcW w:w="1880" w:type="dxa"/>
          </w:tcPr>
          <w:p w:rsidR="00C76E6D" w:rsidRDefault="00913831">
            <w:pPr>
              <w:pStyle w:val="TableParagraph"/>
              <w:spacing w:before="98"/>
              <w:ind w:left="109"/>
              <w:rPr>
                <w:sz w:val="20"/>
              </w:rPr>
            </w:pPr>
            <w:r>
              <w:rPr>
                <w:sz w:val="20"/>
              </w:rPr>
              <w:t>-</w:t>
            </w:r>
          </w:p>
        </w:tc>
        <w:tc>
          <w:tcPr>
            <w:tcW w:w="1530" w:type="dxa"/>
          </w:tcPr>
          <w:p w:rsidR="00C76E6D" w:rsidRDefault="00913831">
            <w:pPr>
              <w:pStyle w:val="TableParagraph"/>
              <w:spacing w:before="98"/>
              <w:ind w:left="107"/>
              <w:rPr>
                <w:sz w:val="20"/>
              </w:rPr>
            </w:pPr>
            <w:r>
              <w:rPr>
                <w:sz w:val="20"/>
              </w:rPr>
              <w:t>-</w:t>
            </w:r>
          </w:p>
        </w:tc>
        <w:tc>
          <w:tcPr>
            <w:tcW w:w="2340" w:type="dxa"/>
          </w:tcPr>
          <w:p w:rsidR="00C76E6D" w:rsidRDefault="00913831">
            <w:pPr>
              <w:pStyle w:val="TableParagraph"/>
              <w:spacing w:before="98"/>
              <w:ind w:left="107"/>
              <w:rPr>
                <w:sz w:val="20"/>
              </w:rPr>
            </w:pPr>
            <w:r>
              <w:rPr>
                <w:spacing w:val="-5"/>
                <w:sz w:val="20"/>
              </w:rPr>
              <w:t>19</w:t>
            </w:r>
          </w:p>
        </w:tc>
      </w:tr>
      <w:tr w:rsidR="00C76E6D">
        <w:trPr>
          <w:trHeight w:val="686"/>
        </w:trPr>
        <w:tc>
          <w:tcPr>
            <w:tcW w:w="2340" w:type="dxa"/>
          </w:tcPr>
          <w:p w:rsidR="00C76E6D" w:rsidRDefault="00913831">
            <w:pPr>
              <w:pStyle w:val="TableParagraph"/>
              <w:spacing w:before="98"/>
              <w:ind w:left="109" w:right="175"/>
              <w:rPr>
                <w:b/>
                <w:sz w:val="20"/>
              </w:rPr>
            </w:pPr>
            <w:r>
              <w:rPr>
                <w:b/>
                <w:spacing w:val="-2"/>
                <w:sz w:val="20"/>
              </w:rPr>
              <w:t>Southeast</w:t>
            </w:r>
            <w:r>
              <w:rPr>
                <w:b/>
                <w:spacing w:val="-12"/>
                <w:sz w:val="20"/>
              </w:rPr>
              <w:t xml:space="preserve"> </w:t>
            </w:r>
            <w:r>
              <w:rPr>
                <w:b/>
                <w:spacing w:val="-2"/>
                <w:sz w:val="20"/>
              </w:rPr>
              <w:t>Regional (12/1)</w:t>
            </w:r>
          </w:p>
        </w:tc>
        <w:tc>
          <w:tcPr>
            <w:tcW w:w="1880" w:type="dxa"/>
          </w:tcPr>
          <w:p w:rsidR="00C76E6D" w:rsidRDefault="00913831">
            <w:pPr>
              <w:pStyle w:val="TableParagraph"/>
              <w:spacing w:before="98"/>
              <w:ind w:left="110"/>
              <w:rPr>
                <w:sz w:val="20"/>
              </w:rPr>
            </w:pPr>
            <w:r>
              <w:rPr>
                <w:spacing w:val="-5"/>
                <w:sz w:val="20"/>
              </w:rPr>
              <w:t>33</w:t>
            </w:r>
          </w:p>
        </w:tc>
        <w:tc>
          <w:tcPr>
            <w:tcW w:w="1530" w:type="dxa"/>
          </w:tcPr>
          <w:p w:rsidR="00C76E6D" w:rsidRDefault="00913831">
            <w:pPr>
              <w:pStyle w:val="TableParagraph"/>
              <w:spacing w:before="98"/>
              <w:ind w:left="108"/>
              <w:rPr>
                <w:sz w:val="20"/>
              </w:rPr>
            </w:pPr>
            <w:r>
              <w:rPr>
                <w:spacing w:val="-5"/>
                <w:sz w:val="20"/>
              </w:rPr>
              <w:t>13</w:t>
            </w:r>
          </w:p>
        </w:tc>
        <w:tc>
          <w:tcPr>
            <w:tcW w:w="2340" w:type="dxa"/>
          </w:tcPr>
          <w:p w:rsidR="00C76E6D" w:rsidRDefault="00913831">
            <w:pPr>
              <w:pStyle w:val="TableParagraph"/>
              <w:spacing w:before="98"/>
              <w:ind w:left="108"/>
              <w:rPr>
                <w:sz w:val="20"/>
              </w:rPr>
            </w:pPr>
            <w:r>
              <w:rPr>
                <w:sz w:val="20"/>
              </w:rPr>
              <w:t>4</w:t>
            </w:r>
          </w:p>
        </w:tc>
      </w:tr>
      <w:tr w:rsidR="00C76E6D">
        <w:trPr>
          <w:trHeight w:val="687"/>
        </w:trPr>
        <w:tc>
          <w:tcPr>
            <w:tcW w:w="2340" w:type="dxa"/>
          </w:tcPr>
          <w:p w:rsidR="00C76E6D" w:rsidRDefault="00913831">
            <w:pPr>
              <w:pStyle w:val="TableParagraph"/>
              <w:spacing w:before="98"/>
              <w:ind w:left="109"/>
              <w:rPr>
                <w:b/>
                <w:sz w:val="20"/>
              </w:rPr>
            </w:pPr>
            <w:r>
              <w:rPr>
                <w:b/>
                <w:spacing w:val="-2"/>
                <w:sz w:val="20"/>
              </w:rPr>
              <w:t>Greater</w:t>
            </w:r>
            <w:r>
              <w:rPr>
                <w:b/>
                <w:spacing w:val="-10"/>
                <w:sz w:val="20"/>
              </w:rPr>
              <w:t xml:space="preserve"> </w:t>
            </w:r>
            <w:r>
              <w:rPr>
                <w:b/>
                <w:spacing w:val="-2"/>
                <w:sz w:val="20"/>
              </w:rPr>
              <w:t>Boston</w:t>
            </w:r>
            <w:r>
              <w:rPr>
                <w:b/>
                <w:spacing w:val="-7"/>
                <w:sz w:val="20"/>
              </w:rPr>
              <w:t xml:space="preserve"> </w:t>
            </w:r>
            <w:r>
              <w:rPr>
                <w:b/>
                <w:spacing w:val="-2"/>
                <w:sz w:val="20"/>
              </w:rPr>
              <w:t>Regional (12/10)</w:t>
            </w:r>
          </w:p>
        </w:tc>
        <w:tc>
          <w:tcPr>
            <w:tcW w:w="1880" w:type="dxa"/>
          </w:tcPr>
          <w:p w:rsidR="00C76E6D" w:rsidRDefault="00913831">
            <w:pPr>
              <w:pStyle w:val="TableParagraph"/>
              <w:spacing w:before="98"/>
              <w:ind w:left="110"/>
              <w:rPr>
                <w:sz w:val="20"/>
              </w:rPr>
            </w:pPr>
            <w:r>
              <w:rPr>
                <w:sz w:val="20"/>
              </w:rPr>
              <w:t>9</w:t>
            </w:r>
          </w:p>
        </w:tc>
        <w:tc>
          <w:tcPr>
            <w:tcW w:w="1530" w:type="dxa"/>
          </w:tcPr>
          <w:p w:rsidR="00C76E6D" w:rsidRDefault="00913831">
            <w:pPr>
              <w:pStyle w:val="TableParagraph"/>
              <w:spacing w:before="98"/>
              <w:ind w:left="108"/>
              <w:rPr>
                <w:sz w:val="20"/>
              </w:rPr>
            </w:pPr>
            <w:r>
              <w:rPr>
                <w:sz w:val="20"/>
              </w:rPr>
              <w:t>5</w:t>
            </w:r>
          </w:p>
        </w:tc>
        <w:tc>
          <w:tcPr>
            <w:tcW w:w="2340" w:type="dxa"/>
          </w:tcPr>
          <w:p w:rsidR="00C76E6D" w:rsidRDefault="00913831">
            <w:pPr>
              <w:pStyle w:val="TableParagraph"/>
              <w:spacing w:before="98"/>
              <w:ind w:left="108"/>
              <w:rPr>
                <w:sz w:val="20"/>
              </w:rPr>
            </w:pPr>
            <w:r>
              <w:rPr>
                <w:sz w:val="20"/>
              </w:rPr>
              <w:t>2</w:t>
            </w:r>
          </w:p>
        </w:tc>
      </w:tr>
      <w:tr w:rsidR="00C76E6D">
        <w:trPr>
          <w:trHeight w:val="688"/>
        </w:trPr>
        <w:tc>
          <w:tcPr>
            <w:tcW w:w="2340" w:type="dxa"/>
          </w:tcPr>
          <w:p w:rsidR="00C76E6D" w:rsidRDefault="00913831">
            <w:pPr>
              <w:pStyle w:val="TableParagraph"/>
              <w:spacing w:before="98"/>
              <w:ind w:left="109" w:right="175"/>
              <w:rPr>
                <w:b/>
                <w:sz w:val="20"/>
              </w:rPr>
            </w:pPr>
            <w:r>
              <w:rPr>
                <w:b/>
                <w:spacing w:val="-2"/>
                <w:sz w:val="20"/>
              </w:rPr>
              <w:t>Northeast</w:t>
            </w:r>
            <w:r>
              <w:rPr>
                <w:b/>
                <w:spacing w:val="-12"/>
                <w:sz w:val="20"/>
              </w:rPr>
              <w:t xml:space="preserve"> </w:t>
            </w:r>
            <w:r>
              <w:rPr>
                <w:b/>
                <w:spacing w:val="-2"/>
                <w:sz w:val="20"/>
              </w:rPr>
              <w:t>Regional (12/8)</w:t>
            </w:r>
          </w:p>
        </w:tc>
        <w:tc>
          <w:tcPr>
            <w:tcW w:w="1880" w:type="dxa"/>
          </w:tcPr>
          <w:p w:rsidR="00C76E6D" w:rsidRDefault="00913831">
            <w:pPr>
              <w:pStyle w:val="TableParagraph"/>
              <w:spacing w:before="98"/>
              <w:ind w:left="110"/>
              <w:rPr>
                <w:sz w:val="20"/>
              </w:rPr>
            </w:pPr>
            <w:r>
              <w:rPr>
                <w:spacing w:val="-5"/>
                <w:sz w:val="20"/>
              </w:rPr>
              <w:t>40</w:t>
            </w:r>
          </w:p>
        </w:tc>
        <w:tc>
          <w:tcPr>
            <w:tcW w:w="1530" w:type="dxa"/>
          </w:tcPr>
          <w:p w:rsidR="00C76E6D" w:rsidRDefault="00913831">
            <w:pPr>
              <w:pStyle w:val="TableParagraph"/>
              <w:spacing w:before="98"/>
              <w:ind w:left="108"/>
              <w:rPr>
                <w:sz w:val="20"/>
              </w:rPr>
            </w:pPr>
            <w:r>
              <w:rPr>
                <w:sz w:val="20"/>
              </w:rPr>
              <w:t>7</w:t>
            </w:r>
          </w:p>
        </w:tc>
        <w:tc>
          <w:tcPr>
            <w:tcW w:w="2340" w:type="dxa"/>
          </w:tcPr>
          <w:p w:rsidR="00C76E6D" w:rsidRDefault="00913831">
            <w:pPr>
              <w:pStyle w:val="TableParagraph"/>
              <w:spacing w:before="98"/>
              <w:ind w:left="108"/>
              <w:rPr>
                <w:sz w:val="20"/>
              </w:rPr>
            </w:pPr>
            <w:r>
              <w:rPr>
                <w:sz w:val="20"/>
              </w:rPr>
              <w:t>8</w:t>
            </w:r>
          </w:p>
        </w:tc>
      </w:tr>
      <w:tr w:rsidR="00C76E6D">
        <w:trPr>
          <w:trHeight w:val="444"/>
        </w:trPr>
        <w:tc>
          <w:tcPr>
            <w:tcW w:w="2340" w:type="dxa"/>
          </w:tcPr>
          <w:p w:rsidR="00C76E6D" w:rsidRDefault="00913831">
            <w:pPr>
              <w:pStyle w:val="TableParagraph"/>
              <w:spacing w:before="98"/>
              <w:ind w:left="109"/>
              <w:rPr>
                <w:b/>
                <w:sz w:val="20"/>
              </w:rPr>
            </w:pPr>
            <w:r>
              <w:rPr>
                <w:b/>
                <w:sz w:val="20"/>
              </w:rPr>
              <w:t>Central</w:t>
            </w:r>
            <w:r>
              <w:rPr>
                <w:b/>
                <w:spacing w:val="-10"/>
                <w:sz w:val="20"/>
              </w:rPr>
              <w:t xml:space="preserve"> </w:t>
            </w:r>
            <w:r>
              <w:rPr>
                <w:b/>
                <w:sz w:val="20"/>
              </w:rPr>
              <w:t>Regional</w:t>
            </w:r>
            <w:r>
              <w:rPr>
                <w:b/>
                <w:spacing w:val="-8"/>
                <w:sz w:val="20"/>
              </w:rPr>
              <w:t xml:space="preserve"> </w:t>
            </w:r>
            <w:r>
              <w:rPr>
                <w:b/>
                <w:spacing w:val="-2"/>
                <w:sz w:val="20"/>
              </w:rPr>
              <w:t>(12/15)</w:t>
            </w:r>
          </w:p>
        </w:tc>
        <w:tc>
          <w:tcPr>
            <w:tcW w:w="1880" w:type="dxa"/>
          </w:tcPr>
          <w:p w:rsidR="00C76E6D" w:rsidRDefault="00913831">
            <w:pPr>
              <w:pStyle w:val="TableParagraph"/>
              <w:spacing w:before="98"/>
              <w:ind w:left="110"/>
              <w:rPr>
                <w:sz w:val="20"/>
              </w:rPr>
            </w:pPr>
            <w:r>
              <w:rPr>
                <w:spacing w:val="-5"/>
                <w:sz w:val="20"/>
              </w:rPr>
              <w:t>45</w:t>
            </w:r>
          </w:p>
        </w:tc>
        <w:tc>
          <w:tcPr>
            <w:tcW w:w="1530" w:type="dxa"/>
          </w:tcPr>
          <w:p w:rsidR="00C76E6D" w:rsidRDefault="00913831">
            <w:pPr>
              <w:pStyle w:val="TableParagraph"/>
              <w:spacing w:before="98"/>
              <w:ind w:left="108"/>
              <w:rPr>
                <w:sz w:val="20"/>
              </w:rPr>
            </w:pPr>
            <w:r>
              <w:rPr>
                <w:spacing w:val="-5"/>
                <w:sz w:val="20"/>
              </w:rPr>
              <w:t>10</w:t>
            </w:r>
          </w:p>
        </w:tc>
        <w:tc>
          <w:tcPr>
            <w:tcW w:w="2340" w:type="dxa"/>
          </w:tcPr>
          <w:p w:rsidR="00C76E6D" w:rsidRDefault="00913831">
            <w:pPr>
              <w:pStyle w:val="TableParagraph"/>
              <w:spacing w:before="98"/>
              <w:ind w:left="108"/>
              <w:rPr>
                <w:sz w:val="20"/>
              </w:rPr>
            </w:pPr>
            <w:r>
              <w:rPr>
                <w:sz w:val="20"/>
              </w:rPr>
              <w:t>5</w:t>
            </w:r>
          </w:p>
        </w:tc>
      </w:tr>
      <w:tr w:rsidR="00C76E6D">
        <w:trPr>
          <w:trHeight w:val="444"/>
        </w:trPr>
        <w:tc>
          <w:tcPr>
            <w:tcW w:w="2340" w:type="dxa"/>
          </w:tcPr>
          <w:p w:rsidR="00C76E6D" w:rsidRDefault="00913831">
            <w:pPr>
              <w:pStyle w:val="TableParagraph"/>
              <w:spacing w:before="98"/>
              <w:ind w:left="109"/>
              <w:rPr>
                <w:b/>
                <w:sz w:val="20"/>
              </w:rPr>
            </w:pPr>
            <w:r>
              <w:rPr>
                <w:b/>
                <w:sz w:val="20"/>
              </w:rPr>
              <w:t>Western</w:t>
            </w:r>
            <w:r>
              <w:rPr>
                <w:b/>
                <w:spacing w:val="-9"/>
                <w:sz w:val="20"/>
              </w:rPr>
              <w:t xml:space="preserve"> </w:t>
            </w:r>
            <w:r>
              <w:rPr>
                <w:b/>
                <w:sz w:val="20"/>
              </w:rPr>
              <w:t>Regional</w:t>
            </w:r>
            <w:r>
              <w:rPr>
                <w:b/>
                <w:spacing w:val="-8"/>
                <w:sz w:val="20"/>
              </w:rPr>
              <w:t xml:space="preserve"> </w:t>
            </w:r>
            <w:r>
              <w:rPr>
                <w:b/>
                <w:spacing w:val="-2"/>
                <w:sz w:val="20"/>
              </w:rPr>
              <w:t>(12/17)</w:t>
            </w:r>
          </w:p>
        </w:tc>
        <w:tc>
          <w:tcPr>
            <w:tcW w:w="1880" w:type="dxa"/>
          </w:tcPr>
          <w:p w:rsidR="00C76E6D" w:rsidRDefault="00913831">
            <w:pPr>
              <w:pStyle w:val="TableParagraph"/>
              <w:spacing w:before="98"/>
              <w:ind w:left="110"/>
              <w:rPr>
                <w:sz w:val="20"/>
              </w:rPr>
            </w:pPr>
            <w:r>
              <w:rPr>
                <w:spacing w:val="-5"/>
                <w:sz w:val="20"/>
              </w:rPr>
              <w:t>14</w:t>
            </w:r>
          </w:p>
        </w:tc>
        <w:tc>
          <w:tcPr>
            <w:tcW w:w="1530" w:type="dxa"/>
          </w:tcPr>
          <w:p w:rsidR="00C76E6D" w:rsidRDefault="00913831">
            <w:pPr>
              <w:pStyle w:val="TableParagraph"/>
              <w:spacing w:before="98"/>
              <w:ind w:left="108"/>
              <w:rPr>
                <w:sz w:val="20"/>
              </w:rPr>
            </w:pPr>
            <w:r>
              <w:rPr>
                <w:sz w:val="20"/>
              </w:rPr>
              <w:t>5</w:t>
            </w:r>
          </w:p>
        </w:tc>
        <w:tc>
          <w:tcPr>
            <w:tcW w:w="2340" w:type="dxa"/>
          </w:tcPr>
          <w:p w:rsidR="00C76E6D" w:rsidRDefault="00913831">
            <w:pPr>
              <w:pStyle w:val="TableParagraph"/>
              <w:spacing w:before="98"/>
              <w:ind w:left="108"/>
              <w:rPr>
                <w:sz w:val="20"/>
              </w:rPr>
            </w:pPr>
            <w:r>
              <w:rPr>
                <w:sz w:val="20"/>
              </w:rPr>
              <w:t>5</w:t>
            </w:r>
          </w:p>
        </w:tc>
      </w:tr>
    </w:tbl>
    <w:p w:rsidR="00C76E6D" w:rsidRDefault="00C76E6D">
      <w:pPr>
        <w:pStyle w:val="BodyText"/>
        <w:spacing w:before="7"/>
        <w:rPr>
          <w:i/>
          <w:sz w:val="25"/>
        </w:rPr>
      </w:pPr>
    </w:p>
    <w:p w:rsidR="00C76E6D" w:rsidRDefault="00913831">
      <w:pPr>
        <w:pStyle w:val="Heading6"/>
        <w:ind w:left="480"/>
        <w:jc w:val="both"/>
      </w:pPr>
      <w:r>
        <w:rPr>
          <w:w w:val="95"/>
        </w:rPr>
        <w:t>Schools</w:t>
      </w:r>
      <w:r>
        <w:rPr>
          <w:spacing w:val="15"/>
        </w:rPr>
        <w:t xml:space="preserve"> </w:t>
      </w:r>
      <w:r>
        <w:rPr>
          <w:w w:val="95"/>
        </w:rPr>
        <w:t>reached:</w:t>
      </w:r>
      <w:r>
        <w:rPr>
          <w:spacing w:val="11"/>
        </w:rPr>
        <w:t xml:space="preserve"> </w:t>
      </w:r>
      <w:r>
        <w:rPr>
          <w:spacing w:val="-5"/>
          <w:w w:val="95"/>
        </w:rPr>
        <w:t>43</w:t>
      </w:r>
    </w:p>
    <w:p w:rsidR="00C76E6D" w:rsidRDefault="00C76E6D">
      <w:pPr>
        <w:jc w:val="both"/>
        <w:sectPr w:rsidR="00C76E6D">
          <w:pgSz w:w="12240" w:h="15840"/>
          <w:pgMar w:top="960" w:right="960" w:bottom="1200" w:left="960" w:header="769" w:footer="1005" w:gutter="0"/>
          <w:cols w:space="720"/>
        </w:sectPr>
      </w:pPr>
    </w:p>
    <w:p w:rsidR="00C76E6D" w:rsidRDefault="00C76E6D">
      <w:pPr>
        <w:pStyle w:val="BodyText"/>
        <w:rPr>
          <w:b/>
          <w:sz w:val="20"/>
        </w:rPr>
      </w:pPr>
    </w:p>
    <w:p w:rsidR="00C76E6D" w:rsidRDefault="00C76E6D">
      <w:pPr>
        <w:pStyle w:val="BodyText"/>
        <w:rPr>
          <w:b/>
          <w:sz w:val="20"/>
        </w:rPr>
      </w:pPr>
    </w:p>
    <w:p w:rsidR="00C76E6D" w:rsidRDefault="00C76E6D">
      <w:pPr>
        <w:pStyle w:val="BodyText"/>
        <w:spacing w:before="8"/>
        <w:rPr>
          <w:b/>
          <w:sz w:val="17"/>
        </w:rPr>
      </w:pPr>
    </w:p>
    <w:p w:rsidR="00C76E6D" w:rsidRDefault="00913831">
      <w:pPr>
        <w:spacing w:before="55"/>
        <w:ind w:left="480"/>
        <w:jc w:val="both"/>
        <w:rPr>
          <w:b/>
        </w:rPr>
      </w:pPr>
      <w:r>
        <w:rPr>
          <w:b/>
          <w:spacing w:val="-2"/>
        </w:rPr>
        <w:t>Southeast:</w:t>
      </w:r>
      <w:r>
        <w:rPr>
          <w:b/>
          <w:spacing w:val="-9"/>
        </w:rPr>
        <w:t xml:space="preserve"> </w:t>
      </w:r>
      <w:r>
        <w:rPr>
          <w:b/>
          <w:spacing w:val="-7"/>
        </w:rPr>
        <w:t>13</w:t>
      </w:r>
    </w:p>
    <w:p w:rsidR="00C76E6D" w:rsidRDefault="00913831">
      <w:pPr>
        <w:pStyle w:val="BodyText"/>
        <w:spacing w:before="41" w:line="276" w:lineRule="auto"/>
        <w:ind w:left="480" w:right="475"/>
        <w:jc w:val="both"/>
      </w:pPr>
      <w:r>
        <w:t>Apponequet Regional High School, Bourne High School, Bridgewater-Raynham Regional High School, Canton</w:t>
      </w:r>
      <w:r>
        <w:rPr>
          <w:spacing w:val="-8"/>
        </w:rPr>
        <w:t xml:space="preserve"> </w:t>
      </w:r>
      <w:r>
        <w:t>High</w:t>
      </w:r>
      <w:r>
        <w:rPr>
          <w:spacing w:val="-4"/>
        </w:rPr>
        <w:t xml:space="preserve"> </w:t>
      </w:r>
      <w:r>
        <w:t>School,</w:t>
      </w:r>
      <w:r>
        <w:rPr>
          <w:spacing w:val="-6"/>
        </w:rPr>
        <w:t xml:space="preserve"> </w:t>
      </w:r>
      <w:r>
        <w:t>Falmouth</w:t>
      </w:r>
      <w:r>
        <w:rPr>
          <w:spacing w:val="-6"/>
        </w:rPr>
        <w:t xml:space="preserve"> </w:t>
      </w:r>
      <w:r>
        <w:t>High</w:t>
      </w:r>
      <w:r>
        <w:rPr>
          <w:spacing w:val="-7"/>
        </w:rPr>
        <w:t xml:space="preserve"> </w:t>
      </w:r>
      <w:r>
        <w:t>School,</w:t>
      </w:r>
      <w:r>
        <w:rPr>
          <w:spacing w:val="-6"/>
        </w:rPr>
        <w:t xml:space="preserve"> </w:t>
      </w:r>
      <w:r>
        <w:t>The</w:t>
      </w:r>
      <w:r>
        <w:rPr>
          <w:spacing w:val="-5"/>
        </w:rPr>
        <w:t xml:space="preserve"> </w:t>
      </w:r>
      <w:r>
        <w:t>Gifford</w:t>
      </w:r>
      <w:r>
        <w:rPr>
          <w:spacing w:val="-8"/>
        </w:rPr>
        <w:t xml:space="preserve"> </w:t>
      </w:r>
      <w:r>
        <w:t>School,</w:t>
      </w:r>
      <w:r>
        <w:rPr>
          <w:spacing w:val="-6"/>
        </w:rPr>
        <w:t xml:space="preserve"> </w:t>
      </w:r>
      <w:r>
        <w:t>King</w:t>
      </w:r>
      <w:r>
        <w:rPr>
          <w:spacing w:val="-7"/>
        </w:rPr>
        <w:t xml:space="preserve"> </w:t>
      </w:r>
      <w:r>
        <w:t>Philip</w:t>
      </w:r>
      <w:r>
        <w:rPr>
          <w:spacing w:val="-6"/>
        </w:rPr>
        <w:t xml:space="preserve"> </w:t>
      </w:r>
      <w:r>
        <w:t>High</w:t>
      </w:r>
      <w:r>
        <w:rPr>
          <w:spacing w:val="-5"/>
        </w:rPr>
        <w:t xml:space="preserve"> </w:t>
      </w:r>
      <w:r>
        <w:t>School,</w:t>
      </w:r>
      <w:r>
        <w:rPr>
          <w:spacing w:val="-6"/>
        </w:rPr>
        <w:t xml:space="preserve"> </w:t>
      </w:r>
      <w:r>
        <w:t>King</w:t>
      </w:r>
      <w:r>
        <w:rPr>
          <w:spacing w:val="-4"/>
        </w:rPr>
        <w:t xml:space="preserve"> </w:t>
      </w:r>
      <w:r>
        <w:t>Philip</w:t>
      </w:r>
      <w:r>
        <w:rPr>
          <w:spacing w:val="-6"/>
        </w:rPr>
        <w:t xml:space="preserve"> </w:t>
      </w:r>
      <w:r>
        <w:t>Middle School, Marie</w:t>
      </w:r>
      <w:r>
        <w:rPr>
          <w:spacing w:val="-1"/>
        </w:rPr>
        <w:t xml:space="preserve"> </w:t>
      </w:r>
      <w:r>
        <w:t>Philip School at The Learning Center for the Deaf, Old Rochester Regional High School, Tri- County Regional Vocational Technical High School, Watertown Middle School, Westwood H</w:t>
      </w:r>
      <w:r>
        <w:t>igh School</w:t>
      </w:r>
    </w:p>
    <w:p w:rsidR="00C76E6D" w:rsidRDefault="00C76E6D">
      <w:pPr>
        <w:pStyle w:val="BodyText"/>
        <w:spacing w:before="4"/>
        <w:rPr>
          <w:sz w:val="25"/>
        </w:rPr>
      </w:pPr>
    </w:p>
    <w:p w:rsidR="00C76E6D" w:rsidRDefault="00913831">
      <w:pPr>
        <w:pStyle w:val="Heading6"/>
        <w:ind w:left="480"/>
        <w:jc w:val="both"/>
      </w:pPr>
      <w:bookmarkStart w:id="123" w:name="Northeast:_7"/>
      <w:bookmarkEnd w:id="123"/>
      <w:r>
        <w:rPr>
          <w:spacing w:val="-2"/>
        </w:rPr>
        <w:t>Northeast:</w:t>
      </w:r>
      <w:r>
        <w:rPr>
          <w:spacing w:val="-9"/>
        </w:rPr>
        <w:t xml:space="preserve"> </w:t>
      </w:r>
      <w:r>
        <w:rPr>
          <w:spacing w:val="-10"/>
        </w:rPr>
        <w:t>7</w:t>
      </w:r>
    </w:p>
    <w:p w:rsidR="00C76E6D" w:rsidRDefault="00913831">
      <w:pPr>
        <w:pStyle w:val="BodyText"/>
        <w:spacing w:before="40" w:line="276" w:lineRule="auto"/>
        <w:ind w:left="480" w:right="475"/>
        <w:jc w:val="both"/>
      </w:pPr>
      <w:r>
        <w:t>Greater</w:t>
      </w:r>
      <w:r>
        <w:rPr>
          <w:spacing w:val="-13"/>
        </w:rPr>
        <w:t xml:space="preserve"> </w:t>
      </w:r>
      <w:r>
        <w:t>Lawrence</w:t>
      </w:r>
      <w:r>
        <w:rPr>
          <w:spacing w:val="-12"/>
        </w:rPr>
        <w:t xml:space="preserve"> </w:t>
      </w:r>
      <w:r>
        <w:t>Technical</w:t>
      </w:r>
      <w:r>
        <w:rPr>
          <w:spacing w:val="-13"/>
        </w:rPr>
        <w:t xml:space="preserve"> </w:t>
      </w:r>
      <w:r>
        <w:t>School,</w:t>
      </w:r>
      <w:r>
        <w:rPr>
          <w:spacing w:val="-12"/>
        </w:rPr>
        <w:t xml:space="preserve"> </w:t>
      </w:r>
      <w:r>
        <w:t>Ipswich</w:t>
      </w:r>
      <w:r>
        <w:rPr>
          <w:spacing w:val="-13"/>
        </w:rPr>
        <w:t xml:space="preserve"> </w:t>
      </w:r>
      <w:r>
        <w:t>High</w:t>
      </w:r>
      <w:r>
        <w:rPr>
          <w:spacing w:val="-12"/>
        </w:rPr>
        <w:t xml:space="preserve"> </w:t>
      </w:r>
      <w:r>
        <w:t>School,</w:t>
      </w:r>
      <w:r>
        <w:rPr>
          <w:spacing w:val="-13"/>
        </w:rPr>
        <w:t xml:space="preserve"> </w:t>
      </w:r>
      <w:r>
        <w:t>Nashoba</w:t>
      </w:r>
      <w:r>
        <w:rPr>
          <w:spacing w:val="-12"/>
        </w:rPr>
        <w:t xml:space="preserve"> </w:t>
      </w:r>
      <w:r>
        <w:t>Valley</w:t>
      </w:r>
      <w:r>
        <w:rPr>
          <w:spacing w:val="-12"/>
        </w:rPr>
        <w:t xml:space="preserve"> </w:t>
      </w:r>
      <w:r>
        <w:t>Technical</w:t>
      </w:r>
      <w:r>
        <w:rPr>
          <w:spacing w:val="-13"/>
        </w:rPr>
        <w:t xml:space="preserve"> </w:t>
      </w:r>
      <w:r>
        <w:t>High</w:t>
      </w:r>
      <w:r>
        <w:rPr>
          <w:spacing w:val="-12"/>
        </w:rPr>
        <w:t xml:space="preserve"> </w:t>
      </w:r>
      <w:r>
        <w:t>School,</w:t>
      </w:r>
      <w:r>
        <w:rPr>
          <w:spacing w:val="-13"/>
        </w:rPr>
        <w:t xml:space="preserve"> </w:t>
      </w:r>
      <w:r>
        <w:t>Pentucket Regional</w:t>
      </w:r>
      <w:r>
        <w:rPr>
          <w:spacing w:val="-13"/>
        </w:rPr>
        <w:t xml:space="preserve"> </w:t>
      </w:r>
      <w:r>
        <w:t>High</w:t>
      </w:r>
      <w:r>
        <w:rPr>
          <w:spacing w:val="-12"/>
        </w:rPr>
        <w:t xml:space="preserve"> </w:t>
      </w:r>
      <w:r>
        <w:t>School,</w:t>
      </w:r>
      <w:r>
        <w:rPr>
          <w:spacing w:val="-13"/>
        </w:rPr>
        <w:t xml:space="preserve"> </w:t>
      </w:r>
      <w:r>
        <w:t>Saugus</w:t>
      </w:r>
      <w:r>
        <w:rPr>
          <w:spacing w:val="-12"/>
        </w:rPr>
        <w:t xml:space="preserve"> </w:t>
      </w:r>
      <w:r>
        <w:t>High</w:t>
      </w:r>
      <w:r>
        <w:rPr>
          <w:spacing w:val="-13"/>
        </w:rPr>
        <w:t xml:space="preserve"> </w:t>
      </w:r>
      <w:r>
        <w:t>School,</w:t>
      </w:r>
      <w:r>
        <w:rPr>
          <w:spacing w:val="-12"/>
        </w:rPr>
        <w:t xml:space="preserve"> </w:t>
      </w:r>
      <w:r>
        <w:t>Shawsheen</w:t>
      </w:r>
      <w:r>
        <w:rPr>
          <w:spacing w:val="-13"/>
        </w:rPr>
        <w:t xml:space="preserve"> </w:t>
      </w:r>
      <w:r>
        <w:t>Valley</w:t>
      </w:r>
      <w:r>
        <w:rPr>
          <w:spacing w:val="-12"/>
        </w:rPr>
        <w:t xml:space="preserve"> </w:t>
      </w:r>
      <w:r>
        <w:t>Technical</w:t>
      </w:r>
      <w:r>
        <w:rPr>
          <w:spacing w:val="-12"/>
        </w:rPr>
        <w:t xml:space="preserve"> </w:t>
      </w:r>
      <w:r>
        <w:t>School,</w:t>
      </w:r>
      <w:r>
        <w:rPr>
          <w:spacing w:val="-13"/>
        </w:rPr>
        <w:t xml:space="preserve"> </w:t>
      </w:r>
      <w:r>
        <w:t>Whittier</w:t>
      </w:r>
      <w:r>
        <w:rPr>
          <w:spacing w:val="-12"/>
        </w:rPr>
        <w:t xml:space="preserve"> </w:t>
      </w:r>
      <w:r>
        <w:t>Regional</w:t>
      </w:r>
      <w:r>
        <w:rPr>
          <w:spacing w:val="-13"/>
        </w:rPr>
        <w:t xml:space="preserve"> </w:t>
      </w:r>
      <w:r>
        <w:t>Technical High School</w:t>
      </w:r>
    </w:p>
    <w:p w:rsidR="00C76E6D" w:rsidRDefault="00C76E6D">
      <w:pPr>
        <w:pStyle w:val="BodyText"/>
        <w:spacing w:before="3"/>
        <w:rPr>
          <w:sz w:val="25"/>
        </w:rPr>
      </w:pPr>
    </w:p>
    <w:p w:rsidR="00C76E6D" w:rsidRDefault="00913831">
      <w:pPr>
        <w:pStyle w:val="Heading6"/>
        <w:ind w:left="480"/>
        <w:jc w:val="both"/>
      </w:pPr>
      <w:bookmarkStart w:id="124" w:name="Greater_Boston:_5"/>
      <w:bookmarkEnd w:id="124"/>
      <w:r>
        <w:rPr>
          <w:w w:val="95"/>
        </w:rPr>
        <w:t>Greater</w:t>
      </w:r>
      <w:r>
        <w:rPr>
          <w:spacing w:val="14"/>
        </w:rPr>
        <w:t xml:space="preserve"> </w:t>
      </w:r>
      <w:r>
        <w:rPr>
          <w:w w:val="95"/>
        </w:rPr>
        <w:t>Boston:</w:t>
      </w:r>
      <w:r>
        <w:rPr>
          <w:spacing w:val="11"/>
        </w:rPr>
        <w:t xml:space="preserve"> </w:t>
      </w:r>
      <w:r>
        <w:rPr>
          <w:spacing w:val="-10"/>
          <w:w w:val="95"/>
        </w:rPr>
        <w:t>5</w:t>
      </w:r>
    </w:p>
    <w:p w:rsidR="00C76E6D" w:rsidRDefault="00913831">
      <w:pPr>
        <w:pStyle w:val="BodyText"/>
        <w:spacing w:before="41" w:line="276" w:lineRule="auto"/>
        <w:ind w:left="480" w:right="480" w:hanging="1"/>
        <w:jc w:val="both"/>
      </w:pPr>
      <w:r>
        <w:t>Boston</w:t>
      </w:r>
      <w:r>
        <w:rPr>
          <w:spacing w:val="-4"/>
        </w:rPr>
        <w:t xml:space="preserve"> </w:t>
      </w:r>
      <w:r>
        <w:t>Day</w:t>
      </w:r>
      <w:r>
        <w:rPr>
          <w:spacing w:val="-4"/>
        </w:rPr>
        <w:t xml:space="preserve"> </w:t>
      </w:r>
      <w:r>
        <w:t>and</w:t>
      </w:r>
      <w:r>
        <w:rPr>
          <w:spacing w:val="-3"/>
        </w:rPr>
        <w:t xml:space="preserve"> </w:t>
      </w:r>
      <w:r>
        <w:t>Evening</w:t>
      </w:r>
      <w:r>
        <w:rPr>
          <w:spacing w:val="-3"/>
        </w:rPr>
        <w:t xml:space="preserve"> </w:t>
      </w:r>
      <w:r>
        <w:t>Academy,</w:t>
      </w:r>
      <w:r>
        <w:rPr>
          <w:spacing w:val="-1"/>
        </w:rPr>
        <w:t xml:space="preserve"> </w:t>
      </w:r>
      <w:r>
        <w:t>Everett</w:t>
      </w:r>
      <w:r>
        <w:rPr>
          <w:spacing w:val="-3"/>
        </w:rPr>
        <w:t xml:space="preserve"> </w:t>
      </w:r>
      <w:r>
        <w:t>High</w:t>
      </w:r>
      <w:r>
        <w:rPr>
          <w:spacing w:val="-3"/>
        </w:rPr>
        <w:t xml:space="preserve"> </w:t>
      </w:r>
      <w:r>
        <w:t>School,</w:t>
      </w:r>
      <w:r>
        <w:rPr>
          <w:spacing w:val="-2"/>
        </w:rPr>
        <w:t xml:space="preserve"> </w:t>
      </w:r>
      <w:r>
        <w:t>Jeremiah E.</w:t>
      </w:r>
      <w:r>
        <w:rPr>
          <w:spacing w:val="-3"/>
        </w:rPr>
        <w:t xml:space="preserve"> </w:t>
      </w:r>
      <w:r>
        <w:t>Burke</w:t>
      </w:r>
      <w:r>
        <w:rPr>
          <w:spacing w:val="-2"/>
        </w:rPr>
        <w:t xml:space="preserve"> </w:t>
      </w:r>
      <w:r>
        <w:t>High</w:t>
      </w:r>
      <w:r>
        <w:rPr>
          <w:spacing w:val="-2"/>
        </w:rPr>
        <w:t xml:space="preserve"> </w:t>
      </w:r>
      <w:r>
        <w:t>School,</w:t>
      </w:r>
      <w:r>
        <w:rPr>
          <w:spacing w:val="-2"/>
        </w:rPr>
        <w:t xml:space="preserve"> </w:t>
      </w:r>
      <w:r>
        <w:t>Susan</w:t>
      </w:r>
      <w:r>
        <w:rPr>
          <w:spacing w:val="-4"/>
        </w:rPr>
        <w:t xml:space="preserve"> </w:t>
      </w:r>
      <w:r>
        <w:t>B.</w:t>
      </w:r>
      <w:r>
        <w:rPr>
          <w:spacing w:val="-3"/>
        </w:rPr>
        <w:t xml:space="preserve"> </w:t>
      </w:r>
      <w:r>
        <w:t>Anthony Middle School, TECCA Connections Academy Commonwealth Virtual School</w:t>
      </w:r>
    </w:p>
    <w:p w:rsidR="00C76E6D" w:rsidRDefault="00C76E6D">
      <w:pPr>
        <w:pStyle w:val="BodyText"/>
        <w:spacing w:before="5"/>
        <w:rPr>
          <w:sz w:val="25"/>
        </w:rPr>
      </w:pPr>
    </w:p>
    <w:p w:rsidR="00C76E6D" w:rsidRDefault="00913831">
      <w:pPr>
        <w:pStyle w:val="Heading6"/>
        <w:ind w:left="480"/>
        <w:jc w:val="both"/>
      </w:pPr>
      <w:bookmarkStart w:id="125" w:name="Central:_12"/>
      <w:bookmarkEnd w:id="125"/>
      <w:r>
        <w:rPr>
          <w:w w:val="95"/>
        </w:rPr>
        <w:t>Central:</w:t>
      </w:r>
      <w:r>
        <w:rPr>
          <w:spacing w:val="12"/>
        </w:rPr>
        <w:t xml:space="preserve"> </w:t>
      </w:r>
      <w:r>
        <w:rPr>
          <w:spacing w:val="-5"/>
        </w:rPr>
        <w:t>12</w:t>
      </w:r>
    </w:p>
    <w:p w:rsidR="00C76E6D" w:rsidRDefault="00913831">
      <w:pPr>
        <w:pStyle w:val="BodyText"/>
        <w:spacing w:before="40" w:line="276" w:lineRule="auto"/>
        <w:ind w:left="479" w:right="478"/>
        <w:jc w:val="both"/>
      </w:pPr>
      <w:r>
        <w:t>Assabet Valley Regional Technical School, Auburn High School, B</w:t>
      </w:r>
      <w:r>
        <w:t>lackstone Valley Regional Vocational Technical</w:t>
      </w:r>
      <w:r>
        <w:rPr>
          <w:spacing w:val="-13"/>
        </w:rPr>
        <w:t xml:space="preserve"> </w:t>
      </w:r>
      <w:r>
        <w:t>High</w:t>
      </w:r>
      <w:r>
        <w:rPr>
          <w:spacing w:val="-12"/>
        </w:rPr>
        <w:t xml:space="preserve"> </w:t>
      </w:r>
      <w:r>
        <w:t>School,</w:t>
      </w:r>
      <w:r>
        <w:rPr>
          <w:spacing w:val="-13"/>
        </w:rPr>
        <w:t xml:space="preserve"> </w:t>
      </w:r>
      <w:r>
        <w:t>The</w:t>
      </w:r>
      <w:r>
        <w:rPr>
          <w:spacing w:val="-12"/>
        </w:rPr>
        <w:t xml:space="preserve"> </w:t>
      </w:r>
      <w:r>
        <w:t>Bromfield</w:t>
      </w:r>
      <w:r>
        <w:rPr>
          <w:spacing w:val="-13"/>
        </w:rPr>
        <w:t xml:space="preserve"> </w:t>
      </w:r>
      <w:r>
        <w:t>School,</w:t>
      </w:r>
      <w:r>
        <w:rPr>
          <w:spacing w:val="-12"/>
        </w:rPr>
        <w:t xml:space="preserve"> </w:t>
      </w:r>
      <w:r>
        <w:t>Burncoat</w:t>
      </w:r>
      <w:r>
        <w:rPr>
          <w:spacing w:val="-13"/>
        </w:rPr>
        <w:t xml:space="preserve"> </w:t>
      </w:r>
      <w:r>
        <w:t>High</w:t>
      </w:r>
      <w:r>
        <w:rPr>
          <w:spacing w:val="-12"/>
        </w:rPr>
        <w:t xml:space="preserve"> </w:t>
      </w:r>
      <w:r>
        <w:t>School,</w:t>
      </w:r>
      <w:r>
        <w:rPr>
          <w:spacing w:val="-12"/>
        </w:rPr>
        <w:t xml:space="preserve"> </w:t>
      </w:r>
      <w:r>
        <w:t>Gibbons</w:t>
      </w:r>
      <w:r>
        <w:rPr>
          <w:spacing w:val="-13"/>
        </w:rPr>
        <w:t xml:space="preserve"> </w:t>
      </w:r>
      <w:r>
        <w:t>Middle</w:t>
      </w:r>
      <w:r>
        <w:rPr>
          <w:spacing w:val="-12"/>
        </w:rPr>
        <w:t xml:space="preserve"> </w:t>
      </w:r>
      <w:r>
        <w:t>School,</w:t>
      </w:r>
      <w:r>
        <w:rPr>
          <w:spacing w:val="-13"/>
        </w:rPr>
        <w:t xml:space="preserve"> </w:t>
      </w:r>
      <w:r>
        <w:t>Holliston</w:t>
      </w:r>
      <w:r>
        <w:rPr>
          <w:spacing w:val="-12"/>
        </w:rPr>
        <w:t xml:space="preserve"> </w:t>
      </w:r>
      <w:r>
        <w:t>High School, Nashoba Regional High School, Shepherd Hill Regional High School, South Shore Technical High School, Tri-County Regional Vocational Technical School, Westborough High School</w:t>
      </w:r>
    </w:p>
    <w:p w:rsidR="00C76E6D" w:rsidRDefault="00C76E6D">
      <w:pPr>
        <w:pStyle w:val="BodyText"/>
        <w:spacing w:before="2"/>
        <w:rPr>
          <w:sz w:val="25"/>
        </w:rPr>
      </w:pPr>
    </w:p>
    <w:p w:rsidR="00C76E6D" w:rsidRDefault="00913831">
      <w:pPr>
        <w:pStyle w:val="Heading6"/>
        <w:ind w:left="480"/>
        <w:jc w:val="both"/>
      </w:pPr>
      <w:bookmarkStart w:id="126" w:name="Western:_6"/>
      <w:bookmarkEnd w:id="126"/>
      <w:r>
        <w:rPr>
          <w:spacing w:val="-2"/>
        </w:rPr>
        <w:t>Western:</w:t>
      </w:r>
      <w:r>
        <w:rPr>
          <w:spacing w:val="-11"/>
        </w:rPr>
        <w:t xml:space="preserve"> </w:t>
      </w:r>
      <w:r>
        <w:rPr>
          <w:spacing w:val="-10"/>
        </w:rPr>
        <w:t>6</w:t>
      </w:r>
    </w:p>
    <w:p w:rsidR="00C76E6D" w:rsidRDefault="00913831">
      <w:pPr>
        <w:pStyle w:val="BodyText"/>
        <w:spacing w:before="40" w:line="276" w:lineRule="auto"/>
        <w:ind w:left="480" w:right="476"/>
        <w:jc w:val="both"/>
      </w:pPr>
      <w:r>
        <w:t>East Longmeadow High School, Frontier Regional High School, Mount Greylock Regional High School, Southwick Regional High School, Springfield International Charter School, Westfield High School</w:t>
      </w:r>
    </w:p>
    <w:p w:rsidR="00C76E6D" w:rsidRDefault="00C76E6D">
      <w:pPr>
        <w:pStyle w:val="BodyText"/>
        <w:spacing w:before="5"/>
        <w:rPr>
          <w:sz w:val="25"/>
        </w:rPr>
      </w:pPr>
    </w:p>
    <w:p w:rsidR="00C76E6D" w:rsidRDefault="00913831">
      <w:pPr>
        <w:spacing w:after="42"/>
        <w:ind w:left="1601" w:right="1602"/>
        <w:jc w:val="center"/>
        <w:rPr>
          <w:i/>
        </w:rPr>
      </w:pPr>
      <w:r>
        <w:rPr>
          <w:i/>
          <w:w w:val="95"/>
        </w:rPr>
        <w:t>Attendance</w:t>
      </w:r>
      <w:r>
        <w:rPr>
          <w:i/>
          <w:spacing w:val="10"/>
        </w:rPr>
        <w:t xml:space="preserve"> </w:t>
      </w:r>
      <w:r>
        <w:rPr>
          <w:i/>
          <w:w w:val="95"/>
        </w:rPr>
        <w:t>at</w:t>
      </w:r>
      <w:r>
        <w:rPr>
          <w:i/>
          <w:spacing w:val="13"/>
        </w:rPr>
        <w:t xml:space="preserve"> </w:t>
      </w:r>
      <w:r>
        <w:rPr>
          <w:i/>
          <w:w w:val="95"/>
        </w:rPr>
        <w:t>Meetings:</w:t>
      </w:r>
      <w:r>
        <w:rPr>
          <w:i/>
          <w:spacing w:val="16"/>
        </w:rPr>
        <w:t xml:space="preserve"> </w:t>
      </w:r>
      <w:r>
        <w:rPr>
          <w:i/>
          <w:w w:val="95"/>
        </w:rPr>
        <w:t>January</w:t>
      </w:r>
      <w:r>
        <w:rPr>
          <w:i/>
          <w:spacing w:val="12"/>
        </w:rPr>
        <w:t xml:space="preserve"> </w:t>
      </w:r>
      <w:r>
        <w:rPr>
          <w:i/>
          <w:w w:val="95"/>
        </w:rPr>
        <w:t>&amp;</w:t>
      </w:r>
      <w:r>
        <w:rPr>
          <w:i/>
          <w:spacing w:val="14"/>
        </w:rPr>
        <w:t xml:space="preserve"> </w:t>
      </w:r>
      <w:r>
        <w:rPr>
          <w:i/>
          <w:w w:val="95"/>
        </w:rPr>
        <w:t>February</w:t>
      </w:r>
      <w:r>
        <w:rPr>
          <w:i/>
          <w:spacing w:val="12"/>
        </w:rPr>
        <w:t xml:space="preserve"> </w:t>
      </w:r>
      <w:r>
        <w:rPr>
          <w:i/>
          <w:spacing w:val="-4"/>
          <w:w w:val="95"/>
        </w:rPr>
        <w:t>2022</w:t>
      </w:r>
    </w:p>
    <w:tbl>
      <w:tblPr>
        <w:tblW w:w="0" w:type="auto"/>
        <w:tblInd w:w="1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0"/>
        <w:gridCol w:w="1970"/>
        <w:gridCol w:w="1530"/>
        <w:gridCol w:w="2430"/>
      </w:tblGrid>
      <w:tr w:rsidR="00C76E6D">
        <w:trPr>
          <w:trHeight w:val="443"/>
        </w:trPr>
        <w:tc>
          <w:tcPr>
            <w:tcW w:w="2340" w:type="dxa"/>
          </w:tcPr>
          <w:p w:rsidR="00C76E6D" w:rsidRDefault="00C76E6D">
            <w:pPr>
              <w:pStyle w:val="TableParagraph"/>
              <w:rPr>
                <w:rFonts w:ascii="Times New Roman"/>
                <w:sz w:val="20"/>
              </w:rPr>
            </w:pPr>
          </w:p>
        </w:tc>
        <w:tc>
          <w:tcPr>
            <w:tcW w:w="1970" w:type="dxa"/>
          </w:tcPr>
          <w:p w:rsidR="00C76E6D" w:rsidRDefault="00913831">
            <w:pPr>
              <w:pStyle w:val="TableParagraph"/>
              <w:spacing w:before="98"/>
              <w:ind w:left="110"/>
              <w:rPr>
                <w:b/>
                <w:sz w:val="20"/>
              </w:rPr>
            </w:pPr>
            <w:r>
              <w:rPr>
                <w:b/>
                <w:sz w:val="20"/>
              </w:rPr>
              <w:t>Regional</w:t>
            </w:r>
            <w:r>
              <w:rPr>
                <w:b/>
                <w:spacing w:val="-10"/>
                <w:sz w:val="20"/>
              </w:rPr>
              <w:t xml:space="preserve"> </w:t>
            </w:r>
            <w:r>
              <w:rPr>
                <w:b/>
                <w:spacing w:val="-2"/>
                <w:sz w:val="20"/>
              </w:rPr>
              <w:t>Stud</w:t>
            </w:r>
            <w:r>
              <w:rPr>
                <w:b/>
                <w:spacing w:val="-2"/>
                <w:sz w:val="20"/>
              </w:rPr>
              <w:t>ents</w:t>
            </w:r>
          </w:p>
        </w:tc>
        <w:tc>
          <w:tcPr>
            <w:tcW w:w="1530" w:type="dxa"/>
          </w:tcPr>
          <w:p w:rsidR="00C76E6D" w:rsidRDefault="00913831">
            <w:pPr>
              <w:pStyle w:val="TableParagraph"/>
              <w:spacing w:before="98"/>
              <w:ind w:left="108"/>
              <w:rPr>
                <w:b/>
                <w:sz w:val="20"/>
              </w:rPr>
            </w:pPr>
            <w:r>
              <w:rPr>
                <w:b/>
                <w:sz w:val="20"/>
              </w:rPr>
              <w:t>GSA</w:t>
            </w:r>
            <w:r>
              <w:rPr>
                <w:b/>
                <w:spacing w:val="-7"/>
                <w:sz w:val="20"/>
              </w:rPr>
              <w:t xml:space="preserve"> </w:t>
            </w:r>
            <w:r>
              <w:rPr>
                <w:b/>
                <w:spacing w:val="-2"/>
                <w:sz w:val="20"/>
              </w:rPr>
              <w:t>Advisors</w:t>
            </w:r>
          </w:p>
        </w:tc>
        <w:tc>
          <w:tcPr>
            <w:tcW w:w="2430" w:type="dxa"/>
          </w:tcPr>
          <w:p w:rsidR="00C76E6D" w:rsidRDefault="00913831">
            <w:pPr>
              <w:pStyle w:val="TableParagraph"/>
              <w:spacing w:before="98"/>
              <w:ind w:left="108"/>
              <w:rPr>
                <w:b/>
                <w:sz w:val="20"/>
              </w:rPr>
            </w:pPr>
            <w:r>
              <w:rPr>
                <w:b/>
                <w:sz w:val="20"/>
              </w:rPr>
              <w:t>State</w:t>
            </w:r>
            <w:r>
              <w:rPr>
                <w:b/>
                <w:spacing w:val="-7"/>
                <w:sz w:val="20"/>
              </w:rPr>
              <w:t xml:space="preserve"> </w:t>
            </w:r>
            <w:r>
              <w:rPr>
                <w:b/>
                <w:sz w:val="20"/>
              </w:rPr>
              <w:t>Council</w:t>
            </w:r>
            <w:r>
              <w:rPr>
                <w:b/>
                <w:spacing w:val="-6"/>
                <w:sz w:val="20"/>
              </w:rPr>
              <w:t xml:space="preserve"> </w:t>
            </w:r>
            <w:r>
              <w:rPr>
                <w:b/>
                <w:spacing w:val="-2"/>
                <w:sz w:val="20"/>
              </w:rPr>
              <w:t>Members</w:t>
            </w:r>
          </w:p>
        </w:tc>
      </w:tr>
      <w:tr w:rsidR="00C76E6D">
        <w:trPr>
          <w:trHeight w:val="686"/>
        </w:trPr>
        <w:tc>
          <w:tcPr>
            <w:tcW w:w="2340" w:type="dxa"/>
          </w:tcPr>
          <w:p w:rsidR="00C76E6D" w:rsidRDefault="00913831">
            <w:pPr>
              <w:pStyle w:val="TableParagraph"/>
              <w:spacing w:before="99"/>
              <w:ind w:left="110" w:right="175" w:hanging="1"/>
              <w:rPr>
                <w:b/>
                <w:sz w:val="20"/>
              </w:rPr>
            </w:pPr>
            <w:r>
              <w:rPr>
                <w:b/>
                <w:spacing w:val="-2"/>
                <w:sz w:val="20"/>
              </w:rPr>
              <w:t>January</w:t>
            </w:r>
            <w:r>
              <w:rPr>
                <w:b/>
                <w:spacing w:val="-14"/>
                <w:sz w:val="20"/>
              </w:rPr>
              <w:t xml:space="preserve"> </w:t>
            </w:r>
            <w:r>
              <w:rPr>
                <w:b/>
                <w:spacing w:val="-2"/>
                <w:sz w:val="20"/>
              </w:rPr>
              <w:t xml:space="preserve">Statewide </w:t>
            </w:r>
            <w:r>
              <w:rPr>
                <w:b/>
                <w:sz w:val="20"/>
              </w:rPr>
              <w:t>Meeting (1/19)</w:t>
            </w:r>
          </w:p>
        </w:tc>
        <w:tc>
          <w:tcPr>
            <w:tcW w:w="1970" w:type="dxa"/>
          </w:tcPr>
          <w:p w:rsidR="00C76E6D" w:rsidRDefault="00913831">
            <w:pPr>
              <w:pStyle w:val="TableParagraph"/>
              <w:spacing w:before="99"/>
              <w:ind w:left="110"/>
              <w:rPr>
                <w:sz w:val="20"/>
              </w:rPr>
            </w:pPr>
            <w:r>
              <w:rPr>
                <w:sz w:val="20"/>
              </w:rPr>
              <w:t>-</w:t>
            </w:r>
          </w:p>
        </w:tc>
        <w:tc>
          <w:tcPr>
            <w:tcW w:w="1530" w:type="dxa"/>
          </w:tcPr>
          <w:p w:rsidR="00C76E6D" w:rsidRDefault="00913831">
            <w:pPr>
              <w:pStyle w:val="TableParagraph"/>
              <w:spacing w:before="99"/>
              <w:ind w:left="107"/>
              <w:rPr>
                <w:sz w:val="20"/>
              </w:rPr>
            </w:pPr>
            <w:r>
              <w:rPr>
                <w:sz w:val="20"/>
              </w:rPr>
              <w:t>-</w:t>
            </w:r>
          </w:p>
        </w:tc>
        <w:tc>
          <w:tcPr>
            <w:tcW w:w="2430" w:type="dxa"/>
          </w:tcPr>
          <w:p w:rsidR="00C76E6D" w:rsidRDefault="00913831">
            <w:pPr>
              <w:pStyle w:val="TableParagraph"/>
              <w:spacing w:before="99"/>
              <w:ind w:left="107"/>
              <w:rPr>
                <w:sz w:val="20"/>
              </w:rPr>
            </w:pPr>
            <w:r>
              <w:rPr>
                <w:spacing w:val="-5"/>
                <w:sz w:val="20"/>
              </w:rPr>
              <w:t>17</w:t>
            </w:r>
          </w:p>
        </w:tc>
      </w:tr>
      <w:tr w:rsidR="00C76E6D">
        <w:trPr>
          <w:trHeight w:val="444"/>
        </w:trPr>
        <w:tc>
          <w:tcPr>
            <w:tcW w:w="2340" w:type="dxa"/>
          </w:tcPr>
          <w:p w:rsidR="00C76E6D" w:rsidRDefault="00913831">
            <w:pPr>
              <w:pStyle w:val="TableParagraph"/>
              <w:spacing w:before="99"/>
              <w:ind w:left="110"/>
              <w:rPr>
                <w:b/>
                <w:sz w:val="20"/>
              </w:rPr>
            </w:pPr>
            <w:r>
              <w:rPr>
                <w:b/>
                <w:sz w:val="20"/>
              </w:rPr>
              <w:t>Southeast</w:t>
            </w:r>
            <w:r>
              <w:rPr>
                <w:b/>
                <w:spacing w:val="-8"/>
                <w:sz w:val="20"/>
              </w:rPr>
              <w:t xml:space="preserve"> </w:t>
            </w:r>
            <w:r>
              <w:rPr>
                <w:b/>
                <w:sz w:val="20"/>
              </w:rPr>
              <w:t>Regional</w:t>
            </w:r>
            <w:r>
              <w:rPr>
                <w:b/>
                <w:spacing w:val="-9"/>
                <w:sz w:val="20"/>
              </w:rPr>
              <w:t xml:space="preserve"> </w:t>
            </w:r>
            <w:r>
              <w:rPr>
                <w:b/>
                <w:spacing w:val="-4"/>
                <w:sz w:val="20"/>
              </w:rPr>
              <w:t>(2/2)</w:t>
            </w:r>
          </w:p>
        </w:tc>
        <w:tc>
          <w:tcPr>
            <w:tcW w:w="1970" w:type="dxa"/>
          </w:tcPr>
          <w:p w:rsidR="00C76E6D" w:rsidRDefault="00913831">
            <w:pPr>
              <w:pStyle w:val="TableParagraph"/>
              <w:spacing w:before="99"/>
              <w:ind w:left="110"/>
              <w:rPr>
                <w:sz w:val="20"/>
              </w:rPr>
            </w:pPr>
            <w:r>
              <w:rPr>
                <w:spacing w:val="-5"/>
                <w:sz w:val="20"/>
              </w:rPr>
              <w:t>36</w:t>
            </w:r>
          </w:p>
        </w:tc>
        <w:tc>
          <w:tcPr>
            <w:tcW w:w="1530" w:type="dxa"/>
          </w:tcPr>
          <w:p w:rsidR="00C76E6D" w:rsidRDefault="00913831">
            <w:pPr>
              <w:pStyle w:val="TableParagraph"/>
              <w:spacing w:before="99"/>
              <w:ind w:left="107"/>
              <w:rPr>
                <w:sz w:val="20"/>
              </w:rPr>
            </w:pPr>
            <w:r>
              <w:rPr>
                <w:sz w:val="20"/>
              </w:rPr>
              <w:t>7</w:t>
            </w:r>
          </w:p>
        </w:tc>
        <w:tc>
          <w:tcPr>
            <w:tcW w:w="2430" w:type="dxa"/>
          </w:tcPr>
          <w:p w:rsidR="00C76E6D" w:rsidRDefault="00913831">
            <w:pPr>
              <w:pStyle w:val="TableParagraph"/>
              <w:spacing w:before="99"/>
              <w:ind w:left="108"/>
              <w:rPr>
                <w:sz w:val="20"/>
              </w:rPr>
            </w:pPr>
            <w:r>
              <w:rPr>
                <w:sz w:val="20"/>
              </w:rPr>
              <w:t>9</w:t>
            </w:r>
          </w:p>
        </w:tc>
      </w:tr>
      <w:tr w:rsidR="00C76E6D">
        <w:trPr>
          <w:trHeight w:val="686"/>
        </w:trPr>
        <w:tc>
          <w:tcPr>
            <w:tcW w:w="2340" w:type="dxa"/>
          </w:tcPr>
          <w:p w:rsidR="00C76E6D" w:rsidRDefault="00913831">
            <w:pPr>
              <w:pStyle w:val="TableParagraph"/>
              <w:spacing w:before="99"/>
              <w:ind w:left="110"/>
              <w:rPr>
                <w:b/>
                <w:sz w:val="20"/>
              </w:rPr>
            </w:pPr>
            <w:r>
              <w:rPr>
                <w:b/>
                <w:spacing w:val="-2"/>
                <w:sz w:val="20"/>
              </w:rPr>
              <w:t>Greater</w:t>
            </w:r>
            <w:r>
              <w:rPr>
                <w:b/>
                <w:spacing w:val="-11"/>
                <w:sz w:val="20"/>
              </w:rPr>
              <w:t xml:space="preserve"> </w:t>
            </w:r>
            <w:r>
              <w:rPr>
                <w:b/>
                <w:spacing w:val="-2"/>
                <w:sz w:val="20"/>
              </w:rPr>
              <w:t>Boston</w:t>
            </w:r>
            <w:r>
              <w:rPr>
                <w:b/>
                <w:spacing w:val="-7"/>
                <w:sz w:val="20"/>
              </w:rPr>
              <w:t xml:space="preserve"> </w:t>
            </w:r>
            <w:r>
              <w:rPr>
                <w:b/>
                <w:spacing w:val="-2"/>
                <w:sz w:val="20"/>
              </w:rPr>
              <w:t>Regional (2/16)</w:t>
            </w:r>
          </w:p>
        </w:tc>
        <w:tc>
          <w:tcPr>
            <w:tcW w:w="1970" w:type="dxa"/>
          </w:tcPr>
          <w:p w:rsidR="00C76E6D" w:rsidRDefault="00913831">
            <w:pPr>
              <w:pStyle w:val="TableParagraph"/>
              <w:spacing w:before="99"/>
              <w:ind w:left="110"/>
              <w:rPr>
                <w:sz w:val="20"/>
              </w:rPr>
            </w:pPr>
            <w:r>
              <w:rPr>
                <w:spacing w:val="-5"/>
                <w:sz w:val="20"/>
              </w:rPr>
              <w:t>29</w:t>
            </w:r>
          </w:p>
        </w:tc>
        <w:tc>
          <w:tcPr>
            <w:tcW w:w="1530" w:type="dxa"/>
          </w:tcPr>
          <w:p w:rsidR="00C76E6D" w:rsidRDefault="00913831">
            <w:pPr>
              <w:pStyle w:val="TableParagraph"/>
              <w:spacing w:before="99"/>
              <w:ind w:left="107"/>
              <w:rPr>
                <w:sz w:val="20"/>
              </w:rPr>
            </w:pPr>
            <w:r>
              <w:rPr>
                <w:sz w:val="20"/>
              </w:rPr>
              <w:t>7</w:t>
            </w:r>
          </w:p>
        </w:tc>
        <w:tc>
          <w:tcPr>
            <w:tcW w:w="2430" w:type="dxa"/>
          </w:tcPr>
          <w:p w:rsidR="00C76E6D" w:rsidRDefault="00913831">
            <w:pPr>
              <w:pStyle w:val="TableParagraph"/>
              <w:spacing w:before="99"/>
              <w:ind w:left="108"/>
              <w:rPr>
                <w:sz w:val="20"/>
              </w:rPr>
            </w:pPr>
            <w:r>
              <w:rPr>
                <w:sz w:val="20"/>
              </w:rPr>
              <w:t>2</w:t>
            </w:r>
          </w:p>
        </w:tc>
      </w:tr>
      <w:tr w:rsidR="00C76E6D">
        <w:trPr>
          <w:trHeight w:val="444"/>
        </w:trPr>
        <w:tc>
          <w:tcPr>
            <w:tcW w:w="2340" w:type="dxa"/>
          </w:tcPr>
          <w:p w:rsidR="00C76E6D" w:rsidRDefault="00913831">
            <w:pPr>
              <w:pStyle w:val="TableParagraph"/>
              <w:spacing w:before="99"/>
              <w:ind w:left="110"/>
              <w:rPr>
                <w:b/>
                <w:sz w:val="20"/>
              </w:rPr>
            </w:pPr>
            <w:r>
              <w:rPr>
                <w:b/>
                <w:sz w:val="20"/>
              </w:rPr>
              <w:t>Northeast</w:t>
            </w:r>
            <w:r>
              <w:rPr>
                <w:b/>
                <w:spacing w:val="-9"/>
                <w:sz w:val="20"/>
              </w:rPr>
              <w:t xml:space="preserve"> </w:t>
            </w:r>
            <w:r>
              <w:rPr>
                <w:b/>
                <w:sz w:val="20"/>
              </w:rPr>
              <w:t>Regional</w:t>
            </w:r>
            <w:r>
              <w:rPr>
                <w:b/>
                <w:spacing w:val="-9"/>
                <w:sz w:val="20"/>
              </w:rPr>
              <w:t xml:space="preserve"> </w:t>
            </w:r>
            <w:r>
              <w:rPr>
                <w:b/>
                <w:spacing w:val="-4"/>
                <w:sz w:val="20"/>
              </w:rPr>
              <w:t>(2/9)</w:t>
            </w:r>
          </w:p>
        </w:tc>
        <w:tc>
          <w:tcPr>
            <w:tcW w:w="1970" w:type="dxa"/>
          </w:tcPr>
          <w:p w:rsidR="00C76E6D" w:rsidRDefault="00913831">
            <w:pPr>
              <w:pStyle w:val="TableParagraph"/>
              <w:spacing w:before="99"/>
              <w:ind w:left="110"/>
              <w:rPr>
                <w:sz w:val="20"/>
              </w:rPr>
            </w:pPr>
            <w:r>
              <w:rPr>
                <w:spacing w:val="-5"/>
                <w:sz w:val="20"/>
              </w:rPr>
              <w:t>21</w:t>
            </w:r>
          </w:p>
        </w:tc>
        <w:tc>
          <w:tcPr>
            <w:tcW w:w="1530" w:type="dxa"/>
          </w:tcPr>
          <w:p w:rsidR="00C76E6D" w:rsidRDefault="00913831">
            <w:pPr>
              <w:pStyle w:val="TableParagraph"/>
              <w:spacing w:before="99"/>
              <w:ind w:left="107"/>
              <w:rPr>
                <w:sz w:val="20"/>
              </w:rPr>
            </w:pPr>
            <w:r>
              <w:rPr>
                <w:sz w:val="20"/>
              </w:rPr>
              <w:t>7</w:t>
            </w:r>
          </w:p>
        </w:tc>
        <w:tc>
          <w:tcPr>
            <w:tcW w:w="2430" w:type="dxa"/>
          </w:tcPr>
          <w:p w:rsidR="00C76E6D" w:rsidRDefault="00913831">
            <w:pPr>
              <w:pStyle w:val="TableParagraph"/>
              <w:spacing w:before="99"/>
              <w:ind w:left="108"/>
              <w:rPr>
                <w:sz w:val="20"/>
              </w:rPr>
            </w:pPr>
            <w:r>
              <w:rPr>
                <w:sz w:val="20"/>
              </w:rPr>
              <w:t>8</w:t>
            </w:r>
          </w:p>
        </w:tc>
      </w:tr>
      <w:tr w:rsidR="00C76E6D">
        <w:trPr>
          <w:trHeight w:val="443"/>
        </w:trPr>
        <w:tc>
          <w:tcPr>
            <w:tcW w:w="2340" w:type="dxa"/>
          </w:tcPr>
          <w:p w:rsidR="00C76E6D" w:rsidRDefault="00913831">
            <w:pPr>
              <w:pStyle w:val="TableParagraph"/>
              <w:spacing w:before="99"/>
              <w:ind w:left="110"/>
              <w:rPr>
                <w:b/>
                <w:sz w:val="20"/>
              </w:rPr>
            </w:pPr>
            <w:r>
              <w:rPr>
                <w:b/>
                <w:sz w:val="20"/>
              </w:rPr>
              <w:t>Central</w:t>
            </w:r>
            <w:r>
              <w:rPr>
                <w:b/>
                <w:spacing w:val="-10"/>
                <w:sz w:val="20"/>
              </w:rPr>
              <w:t xml:space="preserve"> </w:t>
            </w:r>
            <w:r>
              <w:rPr>
                <w:b/>
                <w:sz w:val="20"/>
              </w:rPr>
              <w:t>Regional</w:t>
            </w:r>
            <w:r>
              <w:rPr>
                <w:b/>
                <w:spacing w:val="-8"/>
                <w:sz w:val="20"/>
              </w:rPr>
              <w:t xml:space="preserve"> </w:t>
            </w:r>
            <w:r>
              <w:rPr>
                <w:b/>
                <w:spacing w:val="-2"/>
                <w:sz w:val="20"/>
              </w:rPr>
              <w:t>(2/18)</w:t>
            </w:r>
          </w:p>
        </w:tc>
        <w:tc>
          <w:tcPr>
            <w:tcW w:w="1970" w:type="dxa"/>
          </w:tcPr>
          <w:p w:rsidR="00C76E6D" w:rsidRDefault="00913831">
            <w:pPr>
              <w:pStyle w:val="TableParagraph"/>
              <w:spacing w:before="99"/>
              <w:ind w:left="110"/>
              <w:rPr>
                <w:sz w:val="20"/>
              </w:rPr>
            </w:pPr>
            <w:r>
              <w:rPr>
                <w:spacing w:val="-5"/>
                <w:sz w:val="20"/>
              </w:rPr>
              <w:t>15</w:t>
            </w:r>
          </w:p>
        </w:tc>
        <w:tc>
          <w:tcPr>
            <w:tcW w:w="1530" w:type="dxa"/>
          </w:tcPr>
          <w:p w:rsidR="00C76E6D" w:rsidRDefault="00913831">
            <w:pPr>
              <w:pStyle w:val="TableParagraph"/>
              <w:spacing w:before="99"/>
              <w:ind w:left="108"/>
              <w:rPr>
                <w:sz w:val="20"/>
              </w:rPr>
            </w:pPr>
            <w:r>
              <w:rPr>
                <w:sz w:val="20"/>
              </w:rPr>
              <w:t>3</w:t>
            </w:r>
          </w:p>
        </w:tc>
        <w:tc>
          <w:tcPr>
            <w:tcW w:w="2430" w:type="dxa"/>
          </w:tcPr>
          <w:p w:rsidR="00C76E6D" w:rsidRDefault="00913831">
            <w:pPr>
              <w:pStyle w:val="TableParagraph"/>
              <w:spacing w:before="99"/>
              <w:ind w:left="108"/>
              <w:rPr>
                <w:sz w:val="20"/>
              </w:rPr>
            </w:pPr>
            <w:r>
              <w:rPr>
                <w:sz w:val="20"/>
              </w:rPr>
              <w:t>5</w:t>
            </w:r>
          </w:p>
        </w:tc>
      </w:tr>
      <w:tr w:rsidR="00C76E6D">
        <w:trPr>
          <w:trHeight w:val="445"/>
        </w:trPr>
        <w:tc>
          <w:tcPr>
            <w:tcW w:w="2340" w:type="dxa"/>
          </w:tcPr>
          <w:p w:rsidR="00C76E6D" w:rsidRDefault="00913831">
            <w:pPr>
              <w:pStyle w:val="TableParagraph"/>
              <w:spacing w:before="98"/>
              <w:ind w:left="110"/>
              <w:rPr>
                <w:b/>
                <w:sz w:val="20"/>
              </w:rPr>
            </w:pPr>
            <w:r>
              <w:rPr>
                <w:b/>
                <w:sz w:val="20"/>
              </w:rPr>
              <w:t>Western</w:t>
            </w:r>
            <w:r>
              <w:rPr>
                <w:b/>
                <w:spacing w:val="-9"/>
                <w:sz w:val="20"/>
              </w:rPr>
              <w:t xml:space="preserve"> </w:t>
            </w:r>
            <w:r>
              <w:rPr>
                <w:b/>
                <w:sz w:val="20"/>
              </w:rPr>
              <w:t>Regional</w:t>
            </w:r>
            <w:r>
              <w:rPr>
                <w:b/>
                <w:spacing w:val="-8"/>
                <w:sz w:val="20"/>
              </w:rPr>
              <w:t xml:space="preserve"> </w:t>
            </w:r>
            <w:r>
              <w:rPr>
                <w:b/>
                <w:spacing w:val="-2"/>
                <w:sz w:val="20"/>
              </w:rPr>
              <w:t>(2/11)</w:t>
            </w:r>
          </w:p>
        </w:tc>
        <w:tc>
          <w:tcPr>
            <w:tcW w:w="1970" w:type="dxa"/>
          </w:tcPr>
          <w:p w:rsidR="00C76E6D" w:rsidRDefault="00913831">
            <w:pPr>
              <w:pStyle w:val="TableParagraph"/>
              <w:spacing w:before="98"/>
              <w:ind w:left="110"/>
              <w:rPr>
                <w:sz w:val="20"/>
              </w:rPr>
            </w:pPr>
            <w:r>
              <w:rPr>
                <w:spacing w:val="-5"/>
                <w:sz w:val="20"/>
              </w:rPr>
              <w:t>18</w:t>
            </w:r>
          </w:p>
        </w:tc>
        <w:tc>
          <w:tcPr>
            <w:tcW w:w="1530" w:type="dxa"/>
          </w:tcPr>
          <w:p w:rsidR="00C76E6D" w:rsidRDefault="00913831">
            <w:pPr>
              <w:pStyle w:val="TableParagraph"/>
              <w:spacing w:before="98"/>
              <w:ind w:left="108"/>
              <w:rPr>
                <w:sz w:val="20"/>
              </w:rPr>
            </w:pPr>
            <w:r>
              <w:rPr>
                <w:sz w:val="20"/>
              </w:rPr>
              <w:t>7</w:t>
            </w:r>
          </w:p>
        </w:tc>
        <w:tc>
          <w:tcPr>
            <w:tcW w:w="2430" w:type="dxa"/>
          </w:tcPr>
          <w:p w:rsidR="00C76E6D" w:rsidRDefault="00913831">
            <w:pPr>
              <w:pStyle w:val="TableParagraph"/>
              <w:spacing w:before="98"/>
              <w:ind w:left="108"/>
              <w:rPr>
                <w:sz w:val="20"/>
              </w:rPr>
            </w:pPr>
            <w:r>
              <w:rPr>
                <w:sz w:val="20"/>
              </w:rPr>
              <w:t>5</w:t>
            </w:r>
          </w:p>
        </w:tc>
      </w:tr>
    </w:tbl>
    <w:p w:rsidR="00C76E6D" w:rsidRDefault="00C76E6D">
      <w:pPr>
        <w:pStyle w:val="BodyText"/>
        <w:spacing w:before="7"/>
        <w:rPr>
          <w:i/>
          <w:sz w:val="25"/>
        </w:rPr>
      </w:pPr>
    </w:p>
    <w:p w:rsidR="00C76E6D" w:rsidRDefault="00913831">
      <w:pPr>
        <w:pStyle w:val="Heading6"/>
        <w:ind w:left="480"/>
        <w:jc w:val="both"/>
      </w:pPr>
      <w:bookmarkStart w:id="127" w:name="Schools_reached:_43"/>
      <w:bookmarkEnd w:id="127"/>
      <w:r>
        <w:rPr>
          <w:w w:val="95"/>
        </w:rPr>
        <w:t>Schools</w:t>
      </w:r>
      <w:r>
        <w:rPr>
          <w:spacing w:val="15"/>
        </w:rPr>
        <w:t xml:space="preserve"> </w:t>
      </w:r>
      <w:r>
        <w:rPr>
          <w:w w:val="95"/>
        </w:rPr>
        <w:t>reached:</w:t>
      </w:r>
      <w:r>
        <w:rPr>
          <w:spacing w:val="11"/>
        </w:rPr>
        <w:t xml:space="preserve"> </w:t>
      </w:r>
      <w:r>
        <w:rPr>
          <w:spacing w:val="-5"/>
          <w:w w:val="95"/>
        </w:rPr>
        <w:t>43</w:t>
      </w:r>
    </w:p>
    <w:p w:rsidR="00C76E6D" w:rsidRDefault="00C76E6D">
      <w:pPr>
        <w:jc w:val="both"/>
        <w:sectPr w:rsidR="00C76E6D">
          <w:pgSz w:w="12240" w:h="15840"/>
          <w:pgMar w:top="960" w:right="960" w:bottom="1200" w:left="960" w:header="769" w:footer="1005" w:gutter="0"/>
          <w:cols w:space="720"/>
        </w:sectPr>
      </w:pPr>
    </w:p>
    <w:p w:rsidR="00C76E6D" w:rsidRDefault="00C76E6D">
      <w:pPr>
        <w:pStyle w:val="BodyText"/>
        <w:rPr>
          <w:b/>
          <w:sz w:val="20"/>
        </w:rPr>
      </w:pPr>
    </w:p>
    <w:p w:rsidR="00C76E6D" w:rsidRDefault="00C76E6D">
      <w:pPr>
        <w:pStyle w:val="BodyText"/>
        <w:rPr>
          <w:b/>
          <w:sz w:val="20"/>
        </w:rPr>
      </w:pPr>
    </w:p>
    <w:p w:rsidR="00C76E6D" w:rsidRDefault="00C76E6D">
      <w:pPr>
        <w:pStyle w:val="BodyText"/>
        <w:spacing w:before="8"/>
        <w:rPr>
          <w:b/>
          <w:sz w:val="17"/>
        </w:rPr>
      </w:pPr>
    </w:p>
    <w:p w:rsidR="00C76E6D" w:rsidRDefault="00913831">
      <w:pPr>
        <w:spacing w:before="55"/>
        <w:ind w:left="480"/>
        <w:jc w:val="both"/>
        <w:rPr>
          <w:b/>
        </w:rPr>
      </w:pPr>
      <w:r>
        <w:rPr>
          <w:b/>
        </w:rPr>
        <w:t>Southeast:</w:t>
      </w:r>
      <w:r>
        <w:rPr>
          <w:b/>
          <w:spacing w:val="17"/>
        </w:rPr>
        <w:t xml:space="preserve"> </w:t>
      </w:r>
      <w:r>
        <w:rPr>
          <w:b/>
          <w:spacing w:val="-7"/>
        </w:rPr>
        <w:t>13</w:t>
      </w:r>
    </w:p>
    <w:p w:rsidR="00C76E6D" w:rsidRDefault="00913831">
      <w:pPr>
        <w:pStyle w:val="BodyText"/>
        <w:spacing w:before="41" w:line="276" w:lineRule="auto"/>
        <w:ind w:left="479" w:right="477"/>
        <w:jc w:val="both"/>
      </w:pPr>
      <w:r>
        <w:t>Burncoat</w:t>
      </w:r>
      <w:r>
        <w:rPr>
          <w:spacing w:val="-10"/>
        </w:rPr>
        <w:t xml:space="preserve"> </w:t>
      </w:r>
      <w:r>
        <w:t>High</w:t>
      </w:r>
      <w:r>
        <w:rPr>
          <w:spacing w:val="-11"/>
        </w:rPr>
        <w:t xml:space="preserve"> </w:t>
      </w:r>
      <w:r>
        <w:t>School,</w:t>
      </w:r>
      <w:r>
        <w:rPr>
          <w:spacing w:val="-10"/>
        </w:rPr>
        <w:t xml:space="preserve"> </w:t>
      </w:r>
      <w:r>
        <w:t>Canton</w:t>
      </w:r>
      <w:r>
        <w:rPr>
          <w:spacing w:val="-11"/>
        </w:rPr>
        <w:t xml:space="preserve"> </w:t>
      </w:r>
      <w:r>
        <w:t>High</w:t>
      </w:r>
      <w:r>
        <w:rPr>
          <w:spacing w:val="-10"/>
        </w:rPr>
        <w:t xml:space="preserve"> </w:t>
      </w:r>
      <w:r>
        <w:t>School,</w:t>
      </w:r>
      <w:r>
        <w:rPr>
          <w:spacing w:val="-11"/>
        </w:rPr>
        <w:t xml:space="preserve"> </w:t>
      </w:r>
      <w:r>
        <w:t>Falmouth</w:t>
      </w:r>
      <w:r>
        <w:rPr>
          <w:spacing w:val="-9"/>
        </w:rPr>
        <w:t xml:space="preserve"> </w:t>
      </w:r>
      <w:r>
        <w:t>High</w:t>
      </w:r>
      <w:r>
        <w:rPr>
          <w:spacing w:val="-10"/>
        </w:rPr>
        <w:t xml:space="preserve"> </w:t>
      </w:r>
      <w:r>
        <w:t>School,</w:t>
      </w:r>
      <w:r>
        <w:rPr>
          <w:spacing w:val="-10"/>
        </w:rPr>
        <w:t xml:space="preserve"> </w:t>
      </w:r>
      <w:r>
        <w:t>The</w:t>
      </w:r>
      <w:r>
        <w:rPr>
          <w:spacing w:val="-9"/>
        </w:rPr>
        <w:t xml:space="preserve"> </w:t>
      </w:r>
      <w:r>
        <w:t>Gifford</w:t>
      </w:r>
      <w:r>
        <w:rPr>
          <w:spacing w:val="-10"/>
        </w:rPr>
        <w:t xml:space="preserve"> </w:t>
      </w:r>
      <w:r>
        <w:t>School,</w:t>
      </w:r>
      <w:r>
        <w:rPr>
          <w:spacing w:val="21"/>
        </w:rPr>
        <w:t xml:space="preserve"> </w:t>
      </w:r>
      <w:r>
        <w:t>King</w:t>
      </w:r>
      <w:r>
        <w:rPr>
          <w:spacing w:val="-10"/>
        </w:rPr>
        <w:t xml:space="preserve"> </w:t>
      </w:r>
      <w:r>
        <w:t>Philip</w:t>
      </w:r>
      <w:r>
        <w:rPr>
          <w:spacing w:val="-11"/>
        </w:rPr>
        <w:t xml:space="preserve"> </w:t>
      </w:r>
      <w:r>
        <w:t>Regional High School, Marie Philip School at the Learning Center for the Deaf, Millis High School, Norfolk County Agricultural High School, Old Rochester Regional High School, South Shore Vocational Technical School, Sturgis Charter Public School, The Vict</w:t>
      </w:r>
      <w:r>
        <w:t>or School, Westwood High School</w:t>
      </w:r>
    </w:p>
    <w:p w:rsidR="00C76E6D" w:rsidRDefault="00C76E6D">
      <w:pPr>
        <w:pStyle w:val="BodyText"/>
        <w:spacing w:before="4"/>
        <w:rPr>
          <w:sz w:val="25"/>
        </w:rPr>
      </w:pPr>
    </w:p>
    <w:p w:rsidR="00C76E6D" w:rsidRDefault="00913831">
      <w:pPr>
        <w:pStyle w:val="Heading6"/>
        <w:ind w:left="480"/>
        <w:jc w:val="both"/>
      </w:pPr>
      <w:r>
        <w:rPr>
          <w:spacing w:val="-2"/>
        </w:rPr>
        <w:t>Northeast:</w:t>
      </w:r>
      <w:r>
        <w:rPr>
          <w:spacing w:val="-9"/>
        </w:rPr>
        <w:t xml:space="preserve"> </w:t>
      </w:r>
      <w:r>
        <w:rPr>
          <w:spacing w:val="-10"/>
        </w:rPr>
        <w:t>8</w:t>
      </w:r>
    </w:p>
    <w:p w:rsidR="00C76E6D" w:rsidRDefault="00913831">
      <w:pPr>
        <w:pStyle w:val="BodyText"/>
        <w:spacing w:before="40" w:line="276" w:lineRule="auto"/>
        <w:ind w:left="480" w:right="476"/>
        <w:jc w:val="both"/>
      </w:pPr>
      <w:r>
        <w:t>Greater Lawrence Technical School, Greater Lowell Technical High School, Masconomet High School, Nashoba Valley Technical High School, Pentucket Regional High School, Reading Memorial High School, TECCA</w:t>
      </w:r>
      <w:r>
        <w:rPr>
          <w:spacing w:val="-8"/>
        </w:rPr>
        <w:t xml:space="preserve"> </w:t>
      </w:r>
      <w:r>
        <w:t>Connect</w:t>
      </w:r>
      <w:r>
        <w:t>ions</w:t>
      </w:r>
      <w:r>
        <w:rPr>
          <w:spacing w:val="-7"/>
        </w:rPr>
        <w:t xml:space="preserve"> </w:t>
      </w:r>
      <w:r>
        <w:t>Academy</w:t>
      </w:r>
      <w:r>
        <w:rPr>
          <w:spacing w:val="-8"/>
        </w:rPr>
        <w:t xml:space="preserve"> </w:t>
      </w:r>
      <w:r>
        <w:t>Commonwealth</w:t>
      </w:r>
      <w:r>
        <w:rPr>
          <w:spacing w:val="-9"/>
        </w:rPr>
        <w:t xml:space="preserve"> </w:t>
      </w:r>
      <w:r>
        <w:t>Virtual</w:t>
      </w:r>
      <w:r>
        <w:rPr>
          <w:spacing w:val="-8"/>
        </w:rPr>
        <w:t xml:space="preserve"> </w:t>
      </w:r>
      <w:r>
        <w:t>School,</w:t>
      </w:r>
      <w:r>
        <w:rPr>
          <w:spacing w:val="-8"/>
        </w:rPr>
        <w:t xml:space="preserve"> </w:t>
      </w:r>
      <w:r>
        <w:t>Whittier</w:t>
      </w:r>
      <w:r>
        <w:rPr>
          <w:spacing w:val="-7"/>
        </w:rPr>
        <w:t xml:space="preserve"> </w:t>
      </w:r>
      <w:r>
        <w:t>Regional</w:t>
      </w:r>
      <w:r>
        <w:rPr>
          <w:spacing w:val="-6"/>
        </w:rPr>
        <w:t xml:space="preserve"> </w:t>
      </w:r>
      <w:r>
        <w:t>Vocational</w:t>
      </w:r>
      <w:r>
        <w:rPr>
          <w:spacing w:val="-9"/>
        </w:rPr>
        <w:t xml:space="preserve"> </w:t>
      </w:r>
      <w:r>
        <w:t>Technical</w:t>
      </w:r>
      <w:r>
        <w:rPr>
          <w:spacing w:val="-8"/>
        </w:rPr>
        <w:t xml:space="preserve"> </w:t>
      </w:r>
      <w:r>
        <w:t xml:space="preserve">High </w:t>
      </w:r>
      <w:r>
        <w:rPr>
          <w:spacing w:val="-2"/>
        </w:rPr>
        <w:t>School</w:t>
      </w:r>
    </w:p>
    <w:p w:rsidR="00C76E6D" w:rsidRDefault="00C76E6D">
      <w:pPr>
        <w:pStyle w:val="BodyText"/>
        <w:spacing w:before="5"/>
        <w:rPr>
          <w:sz w:val="25"/>
        </w:rPr>
      </w:pPr>
    </w:p>
    <w:p w:rsidR="00C76E6D" w:rsidRDefault="00913831">
      <w:pPr>
        <w:pStyle w:val="Heading6"/>
        <w:ind w:left="480"/>
        <w:jc w:val="both"/>
      </w:pPr>
      <w:bookmarkStart w:id="128" w:name="Greater_Boston:_8"/>
      <w:bookmarkEnd w:id="128"/>
      <w:r>
        <w:rPr>
          <w:w w:val="95"/>
        </w:rPr>
        <w:t>Greater</w:t>
      </w:r>
      <w:r>
        <w:rPr>
          <w:spacing w:val="14"/>
        </w:rPr>
        <w:t xml:space="preserve"> </w:t>
      </w:r>
      <w:r>
        <w:rPr>
          <w:w w:val="95"/>
        </w:rPr>
        <w:t>Boston:</w:t>
      </w:r>
      <w:r>
        <w:rPr>
          <w:spacing w:val="11"/>
        </w:rPr>
        <w:t xml:space="preserve"> </w:t>
      </w:r>
      <w:r>
        <w:rPr>
          <w:spacing w:val="-10"/>
          <w:w w:val="95"/>
        </w:rPr>
        <w:t>8</w:t>
      </w:r>
    </w:p>
    <w:p w:rsidR="00C76E6D" w:rsidRDefault="00913831">
      <w:pPr>
        <w:pStyle w:val="BodyText"/>
        <w:spacing w:before="40" w:line="276" w:lineRule="auto"/>
        <w:ind w:left="479" w:right="475"/>
        <w:jc w:val="both"/>
      </w:pPr>
      <w:r>
        <w:t>Boston Day and Evening Academy, John F. Kennedy Middle School, Odyssey Day School, Saugus High School, Scituate High School, TECCA Connections A</w:t>
      </w:r>
      <w:r>
        <w:t>cademy Commonwealth Virtual School, Watertown Middle School, Woburn Memorial High School,</w:t>
      </w:r>
    </w:p>
    <w:p w:rsidR="00C76E6D" w:rsidRDefault="00C76E6D">
      <w:pPr>
        <w:pStyle w:val="BodyText"/>
        <w:spacing w:before="3"/>
        <w:rPr>
          <w:sz w:val="25"/>
        </w:rPr>
      </w:pPr>
    </w:p>
    <w:p w:rsidR="00C76E6D" w:rsidRDefault="00913831">
      <w:pPr>
        <w:pStyle w:val="Heading6"/>
        <w:ind w:left="480"/>
        <w:jc w:val="both"/>
      </w:pPr>
      <w:bookmarkStart w:id="129" w:name="Central:_6"/>
      <w:bookmarkEnd w:id="129"/>
      <w:r>
        <w:rPr>
          <w:w w:val="95"/>
        </w:rPr>
        <w:t>Central:</w:t>
      </w:r>
      <w:r>
        <w:rPr>
          <w:spacing w:val="12"/>
        </w:rPr>
        <w:t xml:space="preserve"> </w:t>
      </w:r>
      <w:r>
        <w:rPr>
          <w:spacing w:val="-10"/>
        </w:rPr>
        <w:t>6</w:t>
      </w:r>
    </w:p>
    <w:p w:rsidR="00C76E6D" w:rsidRDefault="00913831">
      <w:pPr>
        <w:pStyle w:val="BodyText"/>
        <w:spacing w:before="40" w:line="276" w:lineRule="auto"/>
        <w:ind w:left="480" w:right="476" w:hanging="1"/>
        <w:jc w:val="both"/>
      </w:pPr>
      <w:r>
        <w:t>Auburn</w:t>
      </w:r>
      <w:r>
        <w:rPr>
          <w:spacing w:val="-8"/>
        </w:rPr>
        <w:t xml:space="preserve"> </w:t>
      </w:r>
      <w:r>
        <w:t>High</w:t>
      </w:r>
      <w:r>
        <w:rPr>
          <w:spacing w:val="-7"/>
        </w:rPr>
        <w:t xml:space="preserve"> </w:t>
      </w:r>
      <w:r>
        <w:t>School,</w:t>
      </w:r>
      <w:r>
        <w:rPr>
          <w:spacing w:val="-8"/>
        </w:rPr>
        <w:t xml:space="preserve"> </w:t>
      </w:r>
      <w:r>
        <w:t>Burncoat</w:t>
      </w:r>
      <w:r>
        <w:rPr>
          <w:spacing w:val="-10"/>
        </w:rPr>
        <w:t xml:space="preserve"> </w:t>
      </w:r>
      <w:r>
        <w:t>High</w:t>
      </w:r>
      <w:r>
        <w:rPr>
          <w:spacing w:val="-8"/>
        </w:rPr>
        <w:t xml:space="preserve"> </w:t>
      </w:r>
      <w:r>
        <w:t>School,</w:t>
      </w:r>
      <w:r>
        <w:rPr>
          <w:spacing w:val="-9"/>
        </w:rPr>
        <w:t xml:space="preserve"> </w:t>
      </w:r>
      <w:r>
        <w:t>Nashoba</w:t>
      </w:r>
      <w:r>
        <w:rPr>
          <w:spacing w:val="-7"/>
        </w:rPr>
        <w:t xml:space="preserve"> </w:t>
      </w:r>
      <w:r>
        <w:t>Regional</w:t>
      </w:r>
      <w:r>
        <w:rPr>
          <w:spacing w:val="-9"/>
        </w:rPr>
        <w:t xml:space="preserve"> </w:t>
      </w:r>
      <w:r>
        <w:t>High</w:t>
      </w:r>
      <w:r>
        <w:rPr>
          <w:spacing w:val="-6"/>
        </w:rPr>
        <w:t xml:space="preserve"> </w:t>
      </w:r>
      <w:r>
        <w:t>School,</w:t>
      </w:r>
      <w:r>
        <w:rPr>
          <w:spacing w:val="-8"/>
        </w:rPr>
        <w:t xml:space="preserve"> </w:t>
      </w:r>
      <w:r>
        <w:t>Nashoba</w:t>
      </w:r>
      <w:r>
        <w:rPr>
          <w:spacing w:val="-9"/>
        </w:rPr>
        <w:t xml:space="preserve"> </w:t>
      </w:r>
      <w:r>
        <w:t>Valley</w:t>
      </w:r>
      <w:r>
        <w:rPr>
          <w:spacing w:val="-7"/>
        </w:rPr>
        <w:t xml:space="preserve"> </w:t>
      </w:r>
      <w:r>
        <w:t>Technical</w:t>
      </w:r>
      <w:r>
        <w:rPr>
          <w:spacing w:val="-8"/>
        </w:rPr>
        <w:t xml:space="preserve"> </w:t>
      </w:r>
      <w:r>
        <w:t>High School, Sarah Gibbons Middle School, Shepherd Hill R</w:t>
      </w:r>
      <w:r>
        <w:t>egional High School</w:t>
      </w:r>
    </w:p>
    <w:p w:rsidR="00C76E6D" w:rsidRDefault="00C76E6D">
      <w:pPr>
        <w:pStyle w:val="BodyText"/>
        <w:spacing w:before="3"/>
        <w:rPr>
          <w:sz w:val="25"/>
        </w:rPr>
      </w:pPr>
    </w:p>
    <w:p w:rsidR="00C76E6D" w:rsidRDefault="00913831">
      <w:pPr>
        <w:pStyle w:val="Heading6"/>
        <w:ind w:left="480"/>
        <w:jc w:val="both"/>
      </w:pPr>
      <w:bookmarkStart w:id="130" w:name="Western:_8"/>
      <w:bookmarkEnd w:id="130"/>
      <w:r>
        <w:rPr>
          <w:spacing w:val="-2"/>
        </w:rPr>
        <w:t>Western:</w:t>
      </w:r>
      <w:r>
        <w:rPr>
          <w:spacing w:val="-11"/>
        </w:rPr>
        <w:t xml:space="preserve"> </w:t>
      </w:r>
      <w:r>
        <w:rPr>
          <w:spacing w:val="-10"/>
        </w:rPr>
        <w:t>8</w:t>
      </w:r>
    </w:p>
    <w:p w:rsidR="00C76E6D" w:rsidRDefault="00913831">
      <w:pPr>
        <w:pStyle w:val="BodyText"/>
        <w:spacing w:before="40" w:line="276" w:lineRule="auto"/>
        <w:ind w:left="480" w:right="475" w:hanging="1"/>
        <w:jc w:val="both"/>
      </w:pPr>
      <w:r>
        <w:t>Agawam</w:t>
      </w:r>
      <w:r>
        <w:rPr>
          <w:spacing w:val="-5"/>
        </w:rPr>
        <w:t xml:space="preserve"> </w:t>
      </w:r>
      <w:r>
        <w:t>High</w:t>
      </w:r>
      <w:r>
        <w:rPr>
          <w:spacing w:val="-5"/>
        </w:rPr>
        <w:t xml:space="preserve"> </w:t>
      </w:r>
      <w:r>
        <w:t>School,</w:t>
      </w:r>
      <w:r>
        <w:rPr>
          <w:spacing w:val="-5"/>
        </w:rPr>
        <w:t xml:space="preserve"> </w:t>
      </w:r>
      <w:r>
        <w:t>Easthampton</w:t>
      </w:r>
      <w:r>
        <w:rPr>
          <w:spacing w:val="-5"/>
        </w:rPr>
        <w:t xml:space="preserve"> </w:t>
      </w:r>
      <w:r>
        <w:t>High</w:t>
      </w:r>
      <w:r>
        <w:rPr>
          <w:spacing w:val="-5"/>
        </w:rPr>
        <w:t xml:space="preserve"> </w:t>
      </w:r>
      <w:r>
        <w:t>School,</w:t>
      </w:r>
      <w:r>
        <w:rPr>
          <w:spacing w:val="-5"/>
        </w:rPr>
        <w:t xml:space="preserve"> </w:t>
      </w:r>
      <w:r>
        <w:t>Frontier</w:t>
      </w:r>
      <w:r>
        <w:rPr>
          <w:spacing w:val="-3"/>
        </w:rPr>
        <w:t xml:space="preserve"> </w:t>
      </w:r>
      <w:r>
        <w:t>Regional</w:t>
      </w:r>
      <w:r>
        <w:rPr>
          <w:spacing w:val="-5"/>
        </w:rPr>
        <w:t xml:space="preserve"> </w:t>
      </w:r>
      <w:r>
        <w:t>High</w:t>
      </w:r>
      <w:r>
        <w:rPr>
          <w:spacing w:val="-4"/>
        </w:rPr>
        <w:t xml:space="preserve"> </w:t>
      </w:r>
      <w:r>
        <w:t>School,</w:t>
      </w:r>
      <w:r>
        <w:rPr>
          <w:spacing w:val="-5"/>
        </w:rPr>
        <w:t xml:space="preserve"> </w:t>
      </w:r>
      <w:r>
        <w:t>Mount</w:t>
      </w:r>
      <w:r>
        <w:rPr>
          <w:spacing w:val="-4"/>
        </w:rPr>
        <w:t xml:space="preserve"> </w:t>
      </w:r>
      <w:r>
        <w:t>Greylock</w:t>
      </w:r>
      <w:r>
        <w:rPr>
          <w:spacing w:val="-5"/>
        </w:rPr>
        <w:t xml:space="preserve"> </w:t>
      </w:r>
      <w:r>
        <w:t>Regional High School, Southwick High School, Springfield International Charter School, Westfield High School, Westfield Technical Academy</w:t>
      </w:r>
    </w:p>
    <w:p w:rsidR="00C76E6D" w:rsidRDefault="00C76E6D">
      <w:pPr>
        <w:pStyle w:val="BodyText"/>
        <w:spacing w:before="5"/>
        <w:rPr>
          <w:sz w:val="25"/>
        </w:rPr>
      </w:pPr>
    </w:p>
    <w:p w:rsidR="00C76E6D" w:rsidRDefault="00913831">
      <w:pPr>
        <w:spacing w:before="1" w:after="39"/>
        <w:ind w:left="1602" w:right="1602"/>
        <w:jc w:val="center"/>
        <w:rPr>
          <w:i/>
        </w:rPr>
      </w:pPr>
      <w:r>
        <w:rPr>
          <w:i/>
          <w:w w:val="95"/>
        </w:rPr>
        <w:t>Attendance</w:t>
      </w:r>
      <w:r>
        <w:rPr>
          <w:i/>
          <w:spacing w:val="10"/>
        </w:rPr>
        <w:t xml:space="preserve"> </w:t>
      </w:r>
      <w:r>
        <w:rPr>
          <w:i/>
          <w:w w:val="95"/>
        </w:rPr>
        <w:t>at</w:t>
      </w:r>
      <w:r>
        <w:rPr>
          <w:i/>
          <w:spacing w:val="13"/>
        </w:rPr>
        <w:t xml:space="preserve"> </w:t>
      </w:r>
      <w:r>
        <w:rPr>
          <w:i/>
          <w:w w:val="95"/>
        </w:rPr>
        <w:t>Meetings:</w:t>
      </w:r>
      <w:r>
        <w:rPr>
          <w:i/>
          <w:spacing w:val="16"/>
        </w:rPr>
        <w:t xml:space="preserve"> </w:t>
      </w:r>
      <w:r>
        <w:rPr>
          <w:i/>
          <w:w w:val="95"/>
        </w:rPr>
        <w:t>March</w:t>
      </w:r>
      <w:r>
        <w:rPr>
          <w:i/>
          <w:spacing w:val="12"/>
        </w:rPr>
        <w:t xml:space="preserve"> </w:t>
      </w:r>
      <w:r>
        <w:rPr>
          <w:i/>
          <w:w w:val="95"/>
        </w:rPr>
        <w:t>&amp;</w:t>
      </w:r>
      <w:r>
        <w:rPr>
          <w:i/>
          <w:spacing w:val="12"/>
        </w:rPr>
        <w:t xml:space="preserve"> </w:t>
      </w:r>
      <w:r>
        <w:rPr>
          <w:i/>
          <w:w w:val="95"/>
        </w:rPr>
        <w:t>April</w:t>
      </w:r>
      <w:r>
        <w:rPr>
          <w:i/>
          <w:spacing w:val="9"/>
        </w:rPr>
        <w:t xml:space="preserve"> </w:t>
      </w:r>
      <w:r>
        <w:rPr>
          <w:i/>
          <w:spacing w:val="-4"/>
          <w:w w:val="95"/>
        </w:rPr>
        <w:t>2022</w:t>
      </w:r>
    </w:p>
    <w:tbl>
      <w:tblPr>
        <w:tblW w:w="0" w:type="auto"/>
        <w:tblInd w:w="11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0"/>
        <w:gridCol w:w="1790"/>
        <w:gridCol w:w="1530"/>
        <w:gridCol w:w="2340"/>
      </w:tblGrid>
      <w:tr w:rsidR="00C76E6D">
        <w:trPr>
          <w:trHeight w:val="444"/>
        </w:trPr>
        <w:tc>
          <w:tcPr>
            <w:tcW w:w="2340" w:type="dxa"/>
          </w:tcPr>
          <w:p w:rsidR="00C76E6D" w:rsidRDefault="00C76E6D">
            <w:pPr>
              <w:pStyle w:val="TableParagraph"/>
              <w:rPr>
                <w:rFonts w:ascii="Times New Roman"/>
                <w:sz w:val="20"/>
              </w:rPr>
            </w:pPr>
          </w:p>
        </w:tc>
        <w:tc>
          <w:tcPr>
            <w:tcW w:w="1790" w:type="dxa"/>
          </w:tcPr>
          <w:p w:rsidR="00C76E6D" w:rsidRDefault="00913831">
            <w:pPr>
              <w:pStyle w:val="TableParagraph"/>
              <w:spacing w:before="99"/>
              <w:ind w:left="108"/>
              <w:rPr>
                <w:b/>
                <w:sz w:val="20"/>
              </w:rPr>
            </w:pPr>
            <w:r>
              <w:rPr>
                <w:b/>
                <w:sz w:val="20"/>
              </w:rPr>
              <w:t>Regional</w:t>
            </w:r>
            <w:r>
              <w:rPr>
                <w:b/>
                <w:spacing w:val="-10"/>
                <w:sz w:val="20"/>
              </w:rPr>
              <w:t xml:space="preserve"> </w:t>
            </w:r>
            <w:r>
              <w:rPr>
                <w:b/>
                <w:spacing w:val="-2"/>
                <w:sz w:val="20"/>
              </w:rPr>
              <w:t>Students</w:t>
            </w:r>
          </w:p>
        </w:tc>
        <w:tc>
          <w:tcPr>
            <w:tcW w:w="1530" w:type="dxa"/>
          </w:tcPr>
          <w:p w:rsidR="00C76E6D" w:rsidRDefault="00913831">
            <w:pPr>
              <w:pStyle w:val="TableParagraph"/>
              <w:spacing w:before="99"/>
              <w:ind w:left="109"/>
              <w:rPr>
                <w:b/>
                <w:sz w:val="20"/>
              </w:rPr>
            </w:pPr>
            <w:r>
              <w:rPr>
                <w:b/>
                <w:sz w:val="20"/>
              </w:rPr>
              <w:t>GSA</w:t>
            </w:r>
            <w:r>
              <w:rPr>
                <w:b/>
                <w:spacing w:val="-7"/>
                <w:sz w:val="20"/>
              </w:rPr>
              <w:t xml:space="preserve"> </w:t>
            </w:r>
            <w:r>
              <w:rPr>
                <w:b/>
                <w:spacing w:val="-2"/>
                <w:sz w:val="20"/>
              </w:rPr>
              <w:t>Advisors</w:t>
            </w:r>
          </w:p>
        </w:tc>
        <w:tc>
          <w:tcPr>
            <w:tcW w:w="2340" w:type="dxa"/>
          </w:tcPr>
          <w:p w:rsidR="00C76E6D" w:rsidRDefault="00913831">
            <w:pPr>
              <w:pStyle w:val="TableParagraph"/>
              <w:spacing w:before="99"/>
              <w:ind w:left="109"/>
              <w:rPr>
                <w:b/>
                <w:sz w:val="20"/>
              </w:rPr>
            </w:pPr>
            <w:r>
              <w:rPr>
                <w:b/>
                <w:sz w:val="20"/>
              </w:rPr>
              <w:t>State</w:t>
            </w:r>
            <w:r>
              <w:rPr>
                <w:b/>
                <w:spacing w:val="-7"/>
                <w:sz w:val="20"/>
              </w:rPr>
              <w:t xml:space="preserve"> </w:t>
            </w:r>
            <w:r>
              <w:rPr>
                <w:b/>
                <w:sz w:val="20"/>
              </w:rPr>
              <w:t>Council</w:t>
            </w:r>
            <w:r>
              <w:rPr>
                <w:b/>
                <w:spacing w:val="-6"/>
                <w:sz w:val="20"/>
              </w:rPr>
              <w:t xml:space="preserve"> </w:t>
            </w:r>
            <w:r>
              <w:rPr>
                <w:b/>
                <w:spacing w:val="-2"/>
                <w:sz w:val="20"/>
              </w:rPr>
              <w:t>Members</w:t>
            </w:r>
          </w:p>
        </w:tc>
      </w:tr>
      <w:tr w:rsidR="00C76E6D">
        <w:trPr>
          <w:trHeight w:val="686"/>
        </w:trPr>
        <w:tc>
          <w:tcPr>
            <w:tcW w:w="2340" w:type="dxa"/>
          </w:tcPr>
          <w:p w:rsidR="00C76E6D" w:rsidRDefault="00913831">
            <w:pPr>
              <w:pStyle w:val="TableParagraph"/>
              <w:spacing w:before="98"/>
              <w:ind w:left="109" w:right="175" w:hanging="1"/>
              <w:rPr>
                <w:b/>
                <w:sz w:val="20"/>
              </w:rPr>
            </w:pPr>
            <w:r>
              <w:rPr>
                <w:b/>
                <w:spacing w:val="-2"/>
                <w:sz w:val="20"/>
              </w:rPr>
              <w:t>March</w:t>
            </w:r>
            <w:r>
              <w:rPr>
                <w:b/>
                <w:spacing w:val="-12"/>
                <w:sz w:val="20"/>
              </w:rPr>
              <w:t xml:space="preserve"> </w:t>
            </w:r>
            <w:r>
              <w:rPr>
                <w:b/>
                <w:spacing w:val="-2"/>
                <w:sz w:val="20"/>
              </w:rPr>
              <w:t xml:space="preserve">Statewide </w:t>
            </w:r>
            <w:r>
              <w:rPr>
                <w:b/>
                <w:sz w:val="20"/>
              </w:rPr>
              <w:t>Meeting (3/16)</w:t>
            </w:r>
          </w:p>
        </w:tc>
        <w:tc>
          <w:tcPr>
            <w:tcW w:w="1790" w:type="dxa"/>
          </w:tcPr>
          <w:p w:rsidR="00C76E6D" w:rsidRDefault="00913831">
            <w:pPr>
              <w:pStyle w:val="TableParagraph"/>
              <w:spacing w:before="98"/>
              <w:ind w:left="108"/>
              <w:rPr>
                <w:sz w:val="20"/>
              </w:rPr>
            </w:pPr>
            <w:r>
              <w:rPr>
                <w:sz w:val="20"/>
              </w:rPr>
              <w:t>-</w:t>
            </w:r>
          </w:p>
        </w:tc>
        <w:tc>
          <w:tcPr>
            <w:tcW w:w="1530" w:type="dxa"/>
          </w:tcPr>
          <w:p w:rsidR="00C76E6D" w:rsidRDefault="00913831">
            <w:pPr>
              <w:pStyle w:val="TableParagraph"/>
              <w:spacing w:before="98"/>
              <w:ind w:left="109"/>
              <w:rPr>
                <w:sz w:val="20"/>
              </w:rPr>
            </w:pPr>
            <w:r>
              <w:rPr>
                <w:sz w:val="20"/>
              </w:rPr>
              <w:t>-</w:t>
            </w:r>
          </w:p>
        </w:tc>
        <w:tc>
          <w:tcPr>
            <w:tcW w:w="2340" w:type="dxa"/>
          </w:tcPr>
          <w:p w:rsidR="00C76E6D" w:rsidRDefault="00913831">
            <w:pPr>
              <w:pStyle w:val="TableParagraph"/>
              <w:spacing w:before="98"/>
              <w:ind w:left="109"/>
              <w:rPr>
                <w:sz w:val="20"/>
              </w:rPr>
            </w:pPr>
            <w:r>
              <w:rPr>
                <w:spacing w:val="-5"/>
                <w:sz w:val="20"/>
              </w:rPr>
              <w:t>19</w:t>
            </w:r>
          </w:p>
        </w:tc>
      </w:tr>
      <w:tr w:rsidR="00C76E6D">
        <w:trPr>
          <w:trHeight w:val="444"/>
        </w:trPr>
        <w:tc>
          <w:tcPr>
            <w:tcW w:w="2340" w:type="dxa"/>
          </w:tcPr>
          <w:p w:rsidR="00C76E6D" w:rsidRDefault="00913831">
            <w:pPr>
              <w:pStyle w:val="TableParagraph"/>
              <w:spacing w:before="99"/>
              <w:ind w:left="108"/>
              <w:rPr>
                <w:b/>
                <w:sz w:val="20"/>
              </w:rPr>
            </w:pPr>
            <w:r>
              <w:rPr>
                <w:b/>
                <w:sz w:val="20"/>
              </w:rPr>
              <w:t>Southeast</w:t>
            </w:r>
            <w:r>
              <w:rPr>
                <w:b/>
                <w:spacing w:val="-8"/>
                <w:sz w:val="20"/>
              </w:rPr>
              <w:t xml:space="preserve"> </w:t>
            </w:r>
            <w:r>
              <w:rPr>
                <w:b/>
                <w:sz w:val="20"/>
              </w:rPr>
              <w:t>Regional</w:t>
            </w:r>
            <w:r>
              <w:rPr>
                <w:b/>
                <w:spacing w:val="-9"/>
                <w:sz w:val="20"/>
              </w:rPr>
              <w:t xml:space="preserve"> </w:t>
            </w:r>
            <w:r>
              <w:rPr>
                <w:b/>
                <w:spacing w:val="-4"/>
                <w:sz w:val="20"/>
              </w:rPr>
              <w:t>(4/1)</w:t>
            </w:r>
          </w:p>
        </w:tc>
        <w:tc>
          <w:tcPr>
            <w:tcW w:w="1790" w:type="dxa"/>
          </w:tcPr>
          <w:p w:rsidR="00C76E6D" w:rsidRDefault="00913831">
            <w:pPr>
              <w:pStyle w:val="TableParagraph"/>
              <w:spacing w:before="99"/>
              <w:ind w:left="108"/>
              <w:rPr>
                <w:sz w:val="20"/>
              </w:rPr>
            </w:pPr>
            <w:r>
              <w:rPr>
                <w:spacing w:val="-5"/>
                <w:sz w:val="20"/>
              </w:rPr>
              <w:t>36</w:t>
            </w:r>
          </w:p>
        </w:tc>
        <w:tc>
          <w:tcPr>
            <w:tcW w:w="1530" w:type="dxa"/>
          </w:tcPr>
          <w:p w:rsidR="00C76E6D" w:rsidRDefault="00913831">
            <w:pPr>
              <w:pStyle w:val="TableParagraph"/>
              <w:spacing w:before="99"/>
              <w:ind w:left="109"/>
              <w:rPr>
                <w:sz w:val="20"/>
              </w:rPr>
            </w:pPr>
            <w:r>
              <w:rPr>
                <w:sz w:val="20"/>
              </w:rPr>
              <w:t>5</w:t>
            </w:r>
          </w:p>
        </w:tc>
        <w:tc>
          <w:tcPr>
            <w:tcW w:w="2340" w:type="dxa"/>
          </w:tcPr>
          <w:p w:rsidR="00C76E6D" w:rsidRDefault="00913831">
            <w:pPr>
              <w:pStyle w:val="TableParagraph"/>
              <w:spacing w:before="99"/>
              <w:ind w:left="109"/>
              <w:rPr>
                <w:sz w:val="20"/>
              </w:rPr>
            </w:pPr>
            <w:r>
              <w:rPr>
                <w:sz w:val="20"/>
              </w:rPr>
              <w:t>8</w:t>
            </w:r>
          </w:p>
        </w:tc>
      </w:tr>
      <w:tr w:rsidR="00C76E6D">
        <w:trPr>
          <w:trHeight w:val="688"/>
        </w:trPr>
        <w:tc>
          <w:tcPr>
            <w:tcW w:w="2340" w:type="dxa"/>
          </w:tcPr>
          <w:p w:rsidR="00C76E6D" w:rsidRDefault="00913831">
            <w:pPr>
              <w:pStyle w:val="TableParagraph"/>
              <w:spacing w:before="98"/>
              <w:ind w:left="108"/>
              <w:rPr>
                <w:b/>
                <w:sz w:val="20"/>
              </w:rPr>
            </w:pPr>
            <w:r>
              <w:rPr>
                <w:b/>
                <w:spacing w:val="-2"/>
                <w:sz w:val="20"/>
              </w:rPr>
              <w:t>Greater</w:t>
            </w:r>
            <w:r>
              <w:rPr>
                <w:b/>
                <w:spacing w:val="-10"/>
                <w:sz w:val="20"/>
              </w:rPr>
              <w:t xml:space="preserve"> </w:t>
            </w:r>
            <w:r>
              <w:rPr>
                <w:b/>
                <w:spacing w:val="-2"/>
                <w:sz w:val="20"/>
              </w:rPr>
              <w:t>Boston</w:t>
            </w:r>
            <w:r>
              <w:rPr>
                <w:b/>
                <w:spacing w:val="-7"/>
                <w:sz w:val="20"/>
              </w:rPr>
              <w:t xml:space="preserve"> </w:t>
            </w:r>
            <w:r>
              <w:rPr>
                <w:b/>
                <w:spacing w:val="-2"/>
                <w:sz w:val="20"/>
              </w:rPr>
              <w:t>Regional (4/13)</w:t>
            </w:r>
          </w:p>
        </w:tc>
        <w:tc>
          <w:tcPr>
            <w:tcW w:w="1790" w:type="dxa"/>
          </w:tcPr>
          <w:p w:rsidR="00C76E6D" w:rsidRDefault="00913831">
            <w:pPr>
              <w:pStyle w:val="TableParagraph"/>
              <w:spacing w:before="98"/>
              <w:ind w:left="108"/>
              <w:rPr>
                <w:sz w:val="20"/>
              </w:rPr>
            </w:pPr>
            <w:r>
              <w:rPr>
                <w:sz w:val="20"/>
              </w:rPr>
              <w:t>7</w:t>
            </w:r>
          </w:p>
        </w:tc>
        <w:tc>
          <w:tcPr>
            <w:tcW w:w="1530" w:type="dxa"/>
          </w:tcPr>
          <w:p w:rsidR="00C76E6D" w:rsidRDefault="00913831">
            <w:pPr>
              <w:pStyle w:val="TableParagraph"/>
              <w:spacing w:before="98"/>
              <w:ind w:left="109"/>
              <w:rPr>
                <w:sz w:val="20"/>
              </w:rPr>
            </w:pPr>
            <w:r>
              <w:rPr>
                <w:sz w:val="20"/>
              </w:rPr>
              <w:t>1</w:t>
            </w:r>
          </w:p>
        </w:tc>
        <w:tc>
          <w:tcPr>
            <w:tcW w:w="2340" w:type="dxa"/>
          </w:tcPr>
          <w:p w:rsidR="00C76E6D" w:rsidRDefault="00913831">
            <w:pPr>
              <w:pStyle w:val="TableParagraph"/>
              <w:spacing w:before="98"/>
              <w:ind w:left="109"/>
              <w:rPr>
                <w:sz w:val="20"/>
              </w:rPr>
            </w:pPr>
            <w:r>
              <w:rPr>
                <w:sz w:val="20"/>
              </w:rPr>
              <w:t>2</w:t>
            </w:r>
          </w:p>
        </w:tc>
      </w:tr>
      <w:tr w:rsidR="00C76E6D">
        <w:trPr>
          <w:trHeight w:val="443"/>
        </w:trPr>
        <w:tc>
          <w:tcPr>
            <w:tcW w:w="2340" w:type="dxa"/>
          </w:tcPr>
          <w:p w:rsidR="00C76E6D" w:rsidRDefault="00913831">
            <w:pPr>
              <w:pStyle w:val="TableParagraph"/>
              <w:spacing w:before="98"/>
              <w:ind w:left="108"/>
              <w:rPr>
                <w:b/>
                <w:sz w:val="20"/>
              </w:rPr>
            </w:pPr>
            <w:r>
              <w:rPr>
                <w:b/>
                <w:sz w:val="20"/>
              </w:rPr>
              <w:t>Northeast</w:t>
            </w:r>
            <w:r>
              <w:rPr>
                <w:b/>
                <w:spacing w:val="-9"/>
                <w:sz w:val="20"/>
              </w:rPr>
              <w:t xml:space="preserve"> </w:t>
            </w:r>
            <w:r>
              <w:rPr>
                <w:b/>
                <w:sz w:val="20"/>
              </w:rPr>
              <w:t>Regional</w:t>
            </w:r>
            <w:r>
              <w:rPr>
                <w:b/>
                <w:spacing w:val="-9"/>
                <w:sz w:val="20"/>
              </w:rPr>
              <w:t xml:space="preserve"> </w:t>
            </w:r>
            <w:r>
              <w:rPr>
                <w:b/>
                <w:spacing w:val="-4"/>
                <w:sz w:val="20"/>
              </w:rPr>
              <w:t>(4/6)</w:t>
            </w:r>
          </w:p>
        </w:tc>
        <w:tc>
          <w:tcPr>
            <w:tcW w:w="1790" w:type="dxa"/>
          </w:tcPr>
          <w:p w:rsidR="00C76E6D" w:rsidRDefault="00913831">
            <w:pPr>
              <w:pStyle w:val="TableParagraph"/>
              <w:spacing w:before="98"/>
              <w:ind w:left="108"/>
              <w:rPr>
                <w:sz w:val="20"/>
              </w:rPr>
            </w:pPr>
            <w:r>
              <w:rPr>
                <w:spacing w:val="-5"/>
                <w:sz w:val="20"/>
              </w:rPr>
              <w:t>38</w:t>
            </w:r>
          </w:p>
        </w:tc>
        <w:tc>
          <w:tcPr>
            <w:tcW w:w="1530" w:type="dxa"/>
          </w:tcPr>
          <w:p w:rsidR="00C76E6D" w:rsidRDefault="00913831">
            <w:pPr>
              <w:pStyle w:val="TableParagraph"/>
              <w:spacing w:before="98"/>
              <w:ind w:left="109"/>
              <w:rPr>
                <w:sz w:val="20"/>
              </w:rPr>
            </w:pPr>
            <w:r>
              <w:rPr>
                <w:sz w:val="20"/>
              </w:rPr>
              <w:t>8</w:t>
            </w:r>
          </w:p>
        </w:tc>
        <w:tc>
          <w:tcPr>
            <w:tcW w:w="2340" w:type="dxa"/>
          </w:tcPr>
          <w:p w:rsidR="00C76E6D" w:rsidRDefault="00913831">
            <w:pPr>
              <w:pStyle w:val="TableParagraph"/>
              <w:spacing w:before="98"/>
              <w:ind w:left="109"/>
              <w:rPr>
                <w:sz w:val="20"/>
              </w:rPr>
            </w:pPr>
            <w:r>
              <w:rPr>
                <w:sz w:val="20"/>
              </w:rPr>
              <w:t>9</w:t>
            </w:r>
          </w:p>
        </w:tc>
      </w:tr>
      <w:tr w:rsidR="00C76E6D">
        <w:trPr>
          <w:trHeight w:val="444"/>
        </w:trPr>
        <w:tc>
          <w:tcPr>
            <w:tcW w:w="2340" w:type="dxa"/>
          </w:tcPr>
          <w:p w:rsidR="00C76E6D" w:rsidRDefault="00913831">
            <w:pPr>
              <w:pStyle w:val="TableParagraph"/>
              <w:spacing w:before="99"/>
              <w:ind w:left="108"/>
              <w:rPr>
                <w:b/>
                <w:sz w:val="20"/>
              </w:rPr>
            </w:pPr>
            <w:r>
              <w:rPr>
                <w:b/>
                <w:sz w:val="20"/>
              </w:rPr>
              <w:t>Central</w:t>
            </w:r>
            <w:r>
              <w:rPr>
                <w:b/>
                <w:spacing w:val="-14"/>
                <w:sz w:val="20"/>
              </w:rPr>
              <w:t xml:space="preserve"> </w:t>
            </w:r>
            <w:r>
              <w:rPr>
                <w:b/>
                <w:sz w:val="20"/>
              </w:rPr>
              <w:t>Regional</w:t>
            </w:r>
            <w:r>
              <w:rPr>
                <w:b/>
                <w:spacing w:val="-8"/>
                <w:sz w:val="20"/>
              </w:rPr>
              <w:t xml:space="preserve"> </w:t>
            </w:r>
            <w:r>
              <w:rPr>
                <w:b/>
                <w:spacing w:val="-4"/>
                <w:sz w:val="20"/>
              </w:rPr>
              <w:t>(4/8)</w:t>
            </w:r>
          </w:p>
        </w:tc>
        <w:tc>
          <w:tcPr>
            <w:tcW w:w="1790" w:type="dxa"/>
          </w:tcPr>
          <w:p w:rsidR="00C76E6D" w:rsidRDefault="00913831">
            <w:pPr>
              <w:pStyle w:val="TableParagraph"/>
              <w:spacing w:before="99"/>
              <w:ind w:left="109"/>
              <w:rPr>
                <w:sz w:val="20"/>
              </w:rPr>
            </w:pPr>
            <w:r>
              <w:rPr>
                <w:spacing w:val="-5"/>
                <w:sz w:val="20"/>
              </w:rPr>
              <w:t>19</w:t>
            </w:r>
          </w:p>
        </w:tc>
        <w:tc>
          <w:tcPr>
            <w:tcW w:w="1530" w:type="dxa"/>
          </w:tcPr>
          <w:p w:rsidR="00C76E6D" w:rsidRDefault="00913831">
            <w:pPr>
              <w:pStyle w:val="TableParagraph"/>
              <w:spacing w:before="99"/>
              <w:ind w:left="109"/>
              <w:rPr>
                <w:sz w:val="20"/>
              </w:rPr>
            </w:pPr>
            <w:r>
              <w:rPr>
                <w:sz w:val="20"/>
              </w:rPr>
              <w:t>4</w:t>
            </w:r>
          </w:p>
        </w:tc>
        <w:tc>
          <w:tcPr>
            <w:tcW w:w="2340" w:type="dxa"/>
          </w:tcPr>
          <w:p w:rsidR="00C76E6D" w:rsidRDefault="00913831">
            <w:pPr>
              <w:pStyle w:val="TableParagraph"/>
              <w:spacing w:before="99"/>
              <w:ind w:left="109"/>
              <w:rPr>
                <w:sz w:val="20"/>
              </w:rPr>
            </w:pPr>
            <w:r>
              <w:rPr>
                <w:sz w:val="20"/>
              </w:rPr>
              <w:t>3</w:t>
            </w:r>
          </w:p>
        </w:tc>
      </w:tr>
      <w:tr w:rsidR="00C76E6D">
        <w:trPr>
          <w:trHeight w:val="444"/>
        </w:trPr>
        <w:tc>
          <w:tcPr>
            <w:tcW w:w="2340" w:type="dxa"/>
          </w:tcPr>
          <w:p w:rsidR="00C76E6D" w:rsidRDefault="00913831">
            <w:pPr>
              <w:pStyle w:val="TableParagraph"/>
              <w:spacing w:before="99"/>
              <w:ind w:left="108"/>
              <w:rPr>
                <w:b/>
                <w:sz w:val="20"/>
              </w:rPr>
            </w:pPr>
            <w:r>
              <w:rPr>
                <w:b/>
                <w:sz w:val="20"/>
              </w:rPr>
              <w:t>Western</w:t>
            </w:r>
            <w:r>
              <w:rPr>
                <w:b/>
                <w:spacing w:val="-9"/>
                <w:sz w:val="20"/>
              </w:rPr>
              <w:t xml:space="preserve"> </w:t>
            </w:r>
            <w:r>
              <w:rPr>
                <w:b/>
                <w:sz w:val="20"/>
              </w:rPr>
              <w:t>Regional</w:t>
            </w:r>
            <w:r>
              <w:rPr>
                <w:b/>
                <w:spacing w:val="-8"/>
                <w:sz w:val="20"/>
              </w:rPr>
              <w:t xml:space="preserve"> </w:t>
            </w:r>
            <w:r>
              <w:rPr>
                <w:b/>
                <w:spacing w:val="-2"/>
                <w:sz w:val="20"/>
              </w:rPr>
              <w:t>(5/19)</w:t>
            </w:r>
          </w:p>
        </w:tc>
        <w:tc>
          <w:tcPr>
            <w:tcW w:w="1790" w:type="dxa"/>
          </w:tcPr>
          <w:p w:rsidR="00C76E6D" w:rsidRDefault="00913831">
            <w:pPr>
              <w:pStyle w:val="TableParagraph"/>
              <w:spacing w:before="99"/>
              <w:ind w:left="109"/>
              <w:rPr>
                <w:sz w:val="20"/>
              </w:rPr>
            </w:pPr>
            <w:r>
              <w:rPr>
                <w:spacing w:val="-5"/>
                <w:sz w:val="20"/>
              </w:rPr>
              <w:t>15</w:t>
            </w:r>
          </w:p>
        </w:tc>
        <w:tc>
          <w:tcPr>
            <w:tcW w:w="1530" w:type="dxa"/>
          </w:tcPr>
          <w:p w:rsidR="00C76E6D" w:rsidRDefault="00913831">
            <w:pPr>
              <w:pStyle w:val="TableParagraph"/>
              <w:spacing w:before="99"/>
              <w:ind w:left="109"/>
              <w:rPr>
                <w:sz w:val="20"/>
              </w:rPr>
            </w:pPr>
            <w:r>
              <w:rPr>
                <w:sz w:val="20"/>
              </w:rPr>
              <w:t>4</w:t>
            </w:r>
          </w:p>
        </w:tc>
        <w:tc>
          <w:tcPr>
            <w:tcW w:w="2340" w:type="dxa"/>
          </w:tcPr>
          <w:p w:rsidR="00C76E6D" w:rsidRDefault="00913831">
            <w:pPr>
              <w:pStyle w:val="TableParagraph"/>
              <w:spacing w:before="99"/>
              <w:ind w:left="109"/>
              <w:rPr>
                <w:sz w:val="20"/>
              </w:rPr>
            </w:pPr>
            <w:r>
              <w:rPr>
                <w:sz w:val="20"/>
              </w:rPr>
              <w:t>3</w:t>
            </w:r>
          </w:p>
        </w:tc>
      </w:tr>
    </w:tbl>
    <w:p w:rsidR="00C76E6D" w:rsidRDefault="00C76E6D">
      <w:pPr>
        <w:rPr>
          <w:sz w:val="20"/>
        </w:rPr>
        <w:sectPr w:rsidR="00C76E6D">
          <w:pgSz w:w="12240" w:h="15840"/>
          <w:pgMar w:top="960" w:right="960" w:bottom="1200" w:left="960" w:header="769" w:footer="1005" w:gutter="0"/>
          <w:cols w:space="720"/>
        </w:sectPr>
      </w:pPr>
    </w:p>
    <w:p w:rsidR="00C76E6D" w:rsidRDefault="00C76E6D">
      <w:pPr>
        <w:pStyle w:val="BodyText"/>
        <w:rPr>
          <w:i/>
          <w:sz w:val="20"/>
        </w:rPr>
      </w:pPr>
    </w:p>
    <w:p w:rsidR="00C76E6D" w:rsidRDefault="00C76E6D">
      <w:pPr>
        <w:pStyle w:val="BodyText"/>
        <w:spacing w:before="11"/>
        <w:rPr>
          <w:i/>
          <w:sz w:val="16"/>
        </w:rPr>
      </w:pPr>
    </w:p>
    <w:p w:rsidR="00C76E6D" w:rsidRDefault="00913831">
      <w:pPr>
        <w:pStyle w:val="Heading6"/>
        <w:ind w:left="480"/>
        <w:jc w:val="both"/>
      </w:pPr>
      <w:bookmarkStart w:id="131" w:name="Schools_reached:_26"/>
      <w:bookmarkEnd w:id="131"/>
      <w:r>
        <w:rPr>
          <w:w w:val="95"/>
        </w:rPr>
        <w:t>Schools</w:t>
      </w:r>
      <w:r>
        <w:rPr>
          <w:spacing w:val="15"/>
        </w:rPr>
        <w:t xml:space="preserve"> </w:t>
      </w:r>
      <w:r>
        <w:rPr>
          <w:w w:val="95"/>
        </w:rPr>
        <w:t>reached:</w:t>
      </w:r>
      <w:r>
        <w:rPr>
          <w:spacing w:val="11"/>
        </w:rPr>
        <w:t xml:space="preserve"> </w:t>
      </w:r>
      <w:r>
        <w:rPr>
          <w:spacing w:val="-5"/>
          <w:w w:val="95"/>
        </w:rPr>
        <w:t>26</w:t>
      </w:r>
    </w:p>
    <w:p w:rsidR="00C76E6D" w:rsidRDefault="00C76E6D">
      <w:pPr>
        <w:pStyle w:val="BodyText"/>
        <w:spacing w:before="9"/>
        <w:rPr>
          <w:b/>
          <w:sz w:val="28"/>
        </w:rPr>
      </w:pPr>
    </w:p>
    <w:p w:rsidR="00C76E6D" w:rsidRDefault="00913831">
      <w:pPr>
        <w:ind w:left="480"/>
        <w:jc w:val="both"/>
        <w:rPr>
          <w:b/>
        </w:rPr>
      </w:pPr>
      <w:r>
        <w:rPr>
          <w:b/>
          <w:spacing w:val="-2"/>
        </w:rPr>
        <w:t>Southeast:</w:t>
      </w:r>
      <w:r>
        <w:rPr>
          <w:b/>
          <w:spacing w:val="-9"/>
        </w:rPr>
        <w:t xml:space="preserve"> </w:t>
      </w:r>
      <w:r>
        <w:rPr>
          <w:b/>
          <w:spacing w:val="-10"/>
        </w:rPr>
        <w:t>8</w:t>
      </w:r>
    </w:p>
    <w:p w:rsidR="00C76E6D" w:rsidRDefault="00913831">
      <w:pPr>
        <w:pStyle w:val="BodyText"/>
        <w:spacing w:before="39" w:line="276" w:lineRule="auto"/>
        <w:ind w:left="480" w:right="483"/>
        <w:jc w:val="both"/>
      </w:pPr>
      <w:r>
        <w:t>Canton High School, Falmouth High School, The Gifford School, King Philip High School, Mashpee High School, Millis High School, Old Rochester Regional High School, The Victor School</w:t>
      </w:r>
    </w:p>
    <w:p w:rsidR="00C76E6D" w:rsidRDefault="00C76E6D">
      <w:pPr>
        <w:pStyle w:val="BodyText"/>
        <w:spacing w:before="3"/>
        <w:rPr>
          <w:sz w:val="25"/>
        </w:rPr>
      </w:pPr>
    </w:p>
    <w:p w:rsidR="00C76E6D" w:rsidRDefault="00913831">
      <w:pPr>
        <w:pStyle w:val="Heading6"/>
        <w:ind w:left="480"/>
        <w:jc w:val="both"/>
      </w:pPr>
      <w:bookmarkStart w:id="132" w:name="Northeast:_8"/>
      <w:bookmarkEnd w:id="132"/>
      <w:r>
        <w:rPr>
          <w:spacing w:val="-2"/>
        </w:rPr>
        <w:t>Northeast:</w:t>
      </w:r>
      <w:r>
        <w:rPr>
          <w:spacing w:val="-9"/>
        </w:rPr>
        <w:t xml:space="preserve"> </w:t>
      </w:r>
      <w:r>
        <w:rPr>
          <w:spacing w:val="-10"/>
        </w:rPr>
        <w:t>8</w:t>
      </w:r>
    </w:p>
    <w:p w:rsidR="00C76E6D" w:rsidRDefault="00913831">
      <w:pPr>
        <w:pStyle w:val="BodyText"/>
        <w:spacing w:before="41" w:line="276" w:lineRule="auto"/>
        <w:ind w:left="480" w:right="475"/>
        <w:jc w:val="both"/>
      </w:pPr>
      <w:r>
        <w:t xml:space="preserve">Greater Lawrence Technical School, Greater Lowell Technical </w:t>
      </w:r>
      <w:r>
        <w:t>High School, Ipswich High School, Nashoba Valley</w:t>
      </w:r>
      <w:r>
        <w:rPr>
          <w:spacing w:val="-8"/>
        </w:rPr>
        <w:t xml:space="preserve"> </w:t>
      </w:r>
      <w:r>
        <w:t>Technical</w:t>
      </w:r>
      <w:r>
        <w:rPr>
          <w:spacing w:val="-8"/>
        </w:rPr>
        <w:t xml:space="preserve"> </w:t>
      </w:r>
      <w:r>
        <w:t>High</w:t>
      </w:r>
      <w:r>
        <w:rPr>
          <w:spacing w:val="-9"/>
        </w:rPr>
        <w:t xml:space="preserve"> </w:t>
      </w:r>
      <w:r>
        <w:t>School,</w:t>
      </w:r>
      <w:r>
        <w:rPr>
          <w:spacing w:val="-10"/>
        </w:rPr>
        <w:t xml:space="preserve"> </w:t>
      </w:r>
      <w:r>
        <w:t>Pentucket</w:t>
      </w:r>
      <w:r>
        <w:rPr>
          <w:spacing w:val="-7"/>
        </w:rPr>
        <w:t xml:space="preserve"> </w:t>
      </w:r>
      <w:r>
        <w:t>Regional</w:t>
      </w:r>
      <w:r>
        <w:rPr>
          <w:spacing w:val="-9"/>
        </w:rPr>
        <w:t xml:space="preserve"> </w:t>
      </w:r>
      <w:r>
        <w:t>High</w:t>
      </w:r>
      <w:r>
        <w:rPr>
          <w:spacing w:val="-8"/>
        </w:rPr>
        <w:t xml:space="preserve"> </w:t>
      </w:r>
      <w:r>
        <w:t>School,</w:t>
      </w:r>
      <w:r>
        <w:rPr>
          <w:spacing w:val="-8"/>
        </w:rPr>
        <w:t xml:space="preserve"> </w:t>
      </w:r>
      <w:r>
        <w:t>Reading</w:t>
      </w:r>
      <w:r>
        <w:rPr>
          <w:spacing w:val="-8"/>
        </w:rPr>
        <w:t xml:space="preserve"> </w:t>
      </w:r>
      <w:r>
        <w:t>Memorial</w:t>
      </w:r>
      <w:r>
        <w:rPr>
          <w:spacing w:val="-9"/>
        </w:rPr>
        <w:t xml:space="preserve"> </w:t>
      </w:r>
      <w:r>
        <w:t>High</w:t>
      </w:r>
      <w:r>
        <w:rPr>
          <w:spacing w:val="-8"/>
        </w:rPr>
        <w:t xml:space="preserve"> </w:t>
      </w:r>
      <w:r>
        <w:t>School,</w:t>
      </w:r>
      <w:r>
        <w:rPr>
          <w:spacing w:val="-6"/>
        </w:rPr>
        <w:t xml:space="preserve"> </w:t>
      </w:r>
      <w:r>
        <w:t>Shawsheen Valley Technical High School, Whittier Regional Vocational Technical High School</w:t>
      </w:r>
    </w:p>
    <w:p w:rsidR="00C76E6D" w:rsidRDefault="00C76E6D">
      <w:pPr>
        <w:pStyle w:val="BodyText"/>
        <w:spacing w:before="3"/>
        <w:rPr>
          <w:sz w:val="25"/>
        </w:rPr>
      </w:pPr>
    </w:p>
    <w:p w:rsidR="00C76E6D" w:rsidRDefault="00913831">
      <w:pPr>
        <w:pStyle w:val="Heading6"/>
        <w:ind w:left="480"/>
        <w:jc w:val="both"/>
      </w:pPr>
      <w:r>
        <w:rPr>
          <w:w w:val="95"/>
        </w:rPr>
        <w:t>Greater</w:t>
      </w:r>
      <w:r>
        <w:rPr>
          <w:spacing w:val="14"/>
        </w:rPr>
        <w:t xml:space="preserve"> </w:t>
      </w:r>
      <w:r>
        <w:rPr>
          <w:w w:val="95"/>
        </w:rPr>
        <w:t>Boston:</w:t>
      </w:r>
      <w:r>
        <w:rPr>
          <w:spacing w:val="11"/>
        </w:rPr>
        <w:t xml:space="preserve"> </w:t>
      </w:r>
      <w:r>
        <w:rPr>
          <w:spacing w:val="-10"/>
          <w:w w:val="95"/>
        </w:rPr>
        <w:t>3</w:t>
      </w:r>
    </w:p>
    <w:p w:rsidR="00C76E6D" w:rsidRDefault="00913831">
      <w:pPr>
        <w:pStyle w:val="BodyText"/>
        <w:spacing w:before="40" w:line="276" w:lineRule="auto"/>
        <w:ind w:left="479" w:right="480"/>
        <w:jc w:val="both"/>
      </w:pPr>
      <w:r>
        <w:t>Boston Day and Evening Academy, TECCA Connections Academy Commonwealth Virtual School, Everett High School</w:t>
      </w:r>
    </w:p>
    <w:p w:rsidR="00C76E6D" w:rsidRDefault="00C76E6D">
      <w:pPr>
        <w:pStyle w:val="BodyText"/>
        <w:spacing w:before="5"/>
        <w:rPr>
          <w:sz w:val="25"/>
        </w:rPr>
      </w:pPr>
    </w:p>
    <w:p w:rsidR="00C76E6D" w:rsidRDefault="00913831">
      <w:pPr>
        <w:pStyle w:val="Heading6"/>
        <w:ind w:left="480"/>
        <w:jc w:val="both"/>
      </w:pPr>
      <w:bookmarkStart w:id="133" w:name="Central:_4"/>
      <w:bookmarkEnd w:id="133"/>
      <w:r>
        <w:rPr>
          <w:w w:val="95"/>
        </w:rPr>
        <w:t>Central:</w:t>
      </w:r>
      <w:r>
        <w:rPr>
          <w:spacing w:val="12"/>
        </w:rPr>
        <w:t xml:space="preserve"> </w:t>
      </w:r>
      <w:r>
        <w:rPr>
          <w:spacing w:val="-10"/>
        </w:rPr>
        <w:t>4</w:t>
      </w:r>
    </w:p>
    <w:p w:rsidR="00C76E6D" w:rsidRDefault="00913831">
      <w:pPr>
        <w:pStyle w:val="BodyText"/>
        <w:spacing w:before="41" w:line="273" w:lineRule="auto"/>
        <w:ind w:left="480" w:right="477" w:hanging="1"/>
        <w:jc w:val="both"/>
      </w:pPr>
      <w:r>
        <w:t>Assabet Valley Regional Technical School, Blackstone Valley Regional Vocational Technical High School, Burncoat High School, Nashoba Regi</w:t>
      </w:r>
      <w:r>
        <w:t>onal High School</w:t>
      </w:r>
    </w:p>
    <w:p w:rsidR="00C76E6D" w:rsidRDefault="00C76E6D">
      <w:pPr>
        <w:pStyle w:val="BodyText"/>
        <w:spacing w:before="7"/>
        <w:rPr>
          <w:sz w:val="25"/>
        </w:rPr>
      </w:pPr>
    </w:p>
    <w:p w:rsidR="00C76E6D" w:rsidRDefault="00913831">
      <w:pPr>
        <w:pStyle w:val="Heading6"/>
        <w:spacing w:before="1"/>
        <w:ind w:left="480"/>
        <w:jc w:val="both"/>
      </w:pPr>
      <w:bookmarkStart w:id="134" w:name="Western:_3"/>
      <w:bookmarkEnd w:id="134"/>
      <w:r>
        <w:rPr>
          <w:spacing w:val="-2"/>
        </w:rPr>
        <w:t>Western:</w:t>
      </w:r>
      <w:r>
        <w:rPr>
          <w:spacing w:val="-11"/>
        </w:rPr>
        <w:t xml:space="preserve"> </w:t>
      </w:r>
      <w:r>
        <w:rPr>
          <w:spacing w:val="-10"/>
        </w:rPr>
        <w:t>3</w:t>
      </w:r>
    </w:p>
    <w:p w:rsidR="00C76E6D" w:rsidRDefault="00913831">
      <w:pPr>
        <w:pStyle w:val="BodyText"/>
        <w:spacing w:before="39"/>
        <w:ind w:left="480"/>
        <w:jc w:val="both"/>
      </w:pPr>
      <w:r>
        <w:rPr>
          <w:w w:val="95"/>
        </w:rPr>
        <w:t>Easthampton</w:t>
      </w:r>
      <w:r>
        <w:rPr>
          <w:spacing w:val="14"/>
        </w:rPr>
        <w:t xml:space="preserve"> </w:t>
      </w:r>
      <w:r>
        <w:rPr>
          <w:w w:val="95"/>
        </w:rPr>
        <w:t>High</w:t>
      </w:r>
      <w:r>
        <w:rPr>
          <w:spacing w:val="17"/>
        </w:rPr>
        <w:t xml:space="preserve"> </w:t>
      </w:r>
      <w:r>
        <w:rPr>
          <w:w w:val="95"/>
        </w:rPr>
        <w:t>School,</w:t>
      </w:r>
      <w:r>
        <w:rPr>
          <w:spacing w:val="15"/>
        </w:rPr>
        <w:t xml:space="preserve"> </w:t>
      </w:r>
      <w:r>
        <w:rPr>
          <w:w w:val="95"/>
        </w:rPr>
        <w:t>Franklin</w:t>
      </w:r>
      <w:r>
        <w:rPr>
          <w:spacing w:val="16"/>
        </w:rPr>
        <w:t xml:space="preserve"> </w:t>
      </w:r>
      <w:r>
        <w:rPr>
          <w:w w:val="95"/>
        </w:rPr>
        <w:t>County</w:t>
      </w:r>
      <w:r>
        <w:rPr>
          <w:spacing w:val="12"/>
        </w:rPr>
        <w:t xml:space="preserve"> </w:t>
      </w:r>
      <w:r>
        <w:rPr>
          <w:w w:val="95"/>
        </w:rPr>
        <w:t>Technical</w:t>
      </w:r>
      <w:r>
        <w:rPr>
          <w:spacing w:val="13"/>
        </w:rPr>
        <w:t xml:space="preserve"> </w:t>
      </w:r>
      <w:r>
        <w:rPr>
          <w:w w:val="95"/>
        </w:rPr>
        <w:t>School,</w:t>
      </w:r>
      <w:r>
        <w:rPr>
          <w:spacing w:val="14"/>
        </w:rPr>
        <w:t xml:space="preserve"> </w:t>
      </w:r>
      <w:r>
        <w:rPr>
          <w:w w:val="95"/>
        </w:rPr>
        <w:t>Westfield</w:t>
      </w:r>
      <w:r>
        <w:rPr>
          <w:spacing w:val="11"/>
        </w:rPr>
        <w:t xml:space="preserve"> </w:t>
      </w:r>
      <w:r>
        <w:rPr>
          <w:w w:val="95"/>
        </w:rPr>
        <w:t>High</w:t>
      </w:r>
      <w:r>
        <w:rPr>
          <w:spacing w:val="16"/>
        </w:rPr>
        <w:t xml:space="preserve"> </w:t>
      </w:r>
      <w:r>
        <w:rPr>
          <w:spacing w:val="-2"/>
          <w:w w:val="95"/>
        </w:rPr>
        <w:t>School</w:t>
      </w:r>
    </w:p>
    <w:p w:rsidR="00C76E6D" w:rsidRDefault="00C76E6D">
      <w:pPr>
        <w:pStyle w:val="BodyText"/>
        <w:spacing w:before="9"/>
        <w:rPr>
          <w:sz w:val="28"/>
        </w:rPr>
      </w:pPr>
    </w:p>
    <w:p w:rsidR="00C76E6D" w:rsidRDefault="00913831">
      <w:pPr>
        <w:spacing w:after="41"/>
        <w:ind w:left="1602" w:right="1602"/>
        <w:jc w:val="center"/>
        <w:rPr>
          <w:i/>
        </w:rPr>
      </w:pPr>
      <w:r>
        <w:rPr>
          <w:i/>
          <w:w w:val="95"/>
        </w:rPr>
        <w:t>Attendance</w:t>
      </w:r>
      <w:r>
        <w:rPr>
          <w:i/>
          <w:spacing w:val="8"/>
        </w:rPr>
        <w:t xml:space="preserve"> </w:t>
      </w:r>
      <w:r>
        <w:rPr>
          <w:i/>
          <w:w w:val="95"/>
        </w:rPr>
        <w:t>at</w:t>
      </w:r>
      <w:r>
        <w:rPr>
          <w:i/>
          <w:spacing w:val="12"/>
        </w:rPr>
        <w:t xml:space="preserve"> </w:t>
      </w:r>
      <w:r>
        <w:rPr>
          <w:i/>
          <w:w w:val="95"/>
        </w:rPr>
        <w:t>Meetings:</w:t>
      </w:r>
      <w:r>
        <w:rPr>
          <w:i/>
          <w:spacing w:val="14"/>
        </w:rPr>
        <w:t xml:space="preserve"> </w:t>
      </w:r>
      <w:r>
        <w:rPr>
          <w:i/>
          <w:w w:val="95"/>
        </w:rPr>
        <w:t>May</w:t>
      </w:r>
      <w:r>
        <w:rPr>
          <w:i/>
          <w:spacing w:val="9"/>
        </w:rPr>
        <w:t xml:space="preserve"> </w:t>
      </w:r>
      <w:r>
        <w:rPr>
          <w:i/>
          <w:w w:val="95"/>
        </w:rPr>
        <w:t>&amp;</w:t>
      </w:r>
      <w:r>
        <w:rPr>
          <w:i/>
          <w:spacing w:val="12"/>
        </w:rPr>
        <w:t xml:space="preserve"> </w:t>
      </w:r>
      <w:r>
        <w:rPr>
          <w:i/>
          <w:w w:val="95"/>
        </w:rPr>
        <w:t>June</w:t>
      </w:r>
      <w:r>
        <w:rPr>
          <w:i/>
          <w:spacing w:val="10"/>
        </w:rPr>
        <w:t xml:space="preserve"> </w:t>
      </w:r>
      <w:r>
        <w:rPr>
          <w:i/>
          <w:spacing w:val="-4"/>
          <w:w w:val="95"/>
        </w:rPr>
        <w:t>2022</w:t>
      </w:r>
    </w:p>
    <w:tbl>
      <w:tblPr>
        <w:tblW w:w="0" w:type="auto"/>
        <w:tblInd w:w="12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0"/>
        <w:gridCol w:w="1880"/>
        <w:gridCol w:w="1350"/>
        <w:gridCol w:w="2250"/>
      </w:tblGrid>
      <w:tr w:rsidR="00C76E6D">
        <w:trPr>
          <w:trHeight w:val="480"/>
        </w:trPr>
        <w:tc>
          <w:tcPr>
            <w:tcW w:w="2340" w:type="dxa"/>
          </w:tcPr>
          <w:p w:rsidR="00C76E6D" w:rsidRDefault="00C76E6D">
            <w:pPr>
              <w:pStyle w:val="TableParagraph"/>
              <w:rPr>
                <w:rFonts w:ascii="Times New Roman"/>
                <w:sz w:val="20"/>
              </w:rPr>
            </w:pPr>
          </w:p>
        </w:tc>
        <w:tc>
          <w:tcPr>
            <w:tcW w:w="1880" w:type="dxa"/>
          </w:tcPr>
          <w:p w:rsidR="00C76E6D" w:rsidRDefault="00913831">
            <w:pPr>
              <w:pStyle w:val="TableParagraph"/>
              <w:spacing w:before="98"/>
              <w:ind w:left="191" w:right="154"/>
              <w:jc w:val="center"/>
              <w:rPr>
                <w:b/>
                <w:sz w:val="20"/>
              </w:rPr>
            </w:pPr>
            <w:r>
              <w:rPr>
                <w:b/>
                <w:sz w:val="20"/>
              </w:rPr>
              <w:t>Regional</w:t>
            </w:r>
            <w:r>
              <w:rPr>
                <w:b/>
                <w:spacing w:val="-10"/>
                <w:sz w:val="20"/>
              </w:rPr>
              <w:t xml:space="preserve"> </w:t>
            </w:r>
            <w:r>
              <w:rPr>
                <w:b/>
                <w:spacing w:val="-2"/>
                <w:sz w:val="20"/>
              </w:rPr>
              <w:t>Students</w:t>
            </w:r>
          </w:p>
        </w:tc>
        <w:tc>
          <w:tcPr>
            <w:tcW w:w="1350" w:type="dxa"/>
          </w:tcPr>
          <w:p w:rsidR="00C76E6D" w:rsidRDefault="00913831">
            <w:pPr>
              <w:pStyle w:val="TableParagraph"/>
              <w:spacing w:before="98"/>
              <w:ind w:left="127" w:right="87"/>
              <w:jc w:val="center"/>
              <w:rPr>
                <w:b/>
                <w:sz w:val="20"/>
              </w:rPr>
            </w:pPr>
            <w:r>
              <w:rPr>
                <w:b/>
                <w:sz w:val="20"/>
              </w:rPr>
              <w:t>GSA</w:t>
            </w:r>
            <w:r>
              <w:rPr>
                <w:b/>
                <w:spacing w:val="-7"/>
                <w:sz w:val="20"/>
              </w:rPr>
              <w:t xml:space="preserve"> </w:t>
            </w:r>
            <w:r>
              <w:rPr>
                <w:b/>
                <w:spacing w:val="-2"/>
                <w:sz w:val="20"/>
              </w:rPr>
              <w:t>Advisors</w:t>
            </w:r>
          </w:p>
        </w:tc>
        <w:tc>
          <w:tcPr>
            <w:tcW w:w="2250" w:type="dxa"/>
          </w:tcPr>
          <w:p w:rsidR="00C76E6D" w:rsidRDefault="00913831">
            <w:pPr>
              <w:pStyle w:val="TableParagraph"/>
              <w:spacing w:before="98"/>
              <w:ind w:left="164" w:right="122"/>
              <w:jc w:val="center"/>
              <w:rPr>
                <w:b/>
                <w:sz w:val="20"/>
              </w:rPr>
            </w:pPr>
            <w:r>
              <w:rPr>
                <w:b/>
                <w:sz w:val="20"/>
              </w:rPr>
              <w:t>State</w:t>
            </w:r>
            <w:r>
              <w:rPr>
                <w:b/>
                <w:spacing w:val="-7"/>
                <w:sz w:val="20"/>
              </w:rPr>
              <w:t xml:space="preserve"> </w:t>
            </w:r>
            <w:r>
              <w:rPr>
                <w:b/>
                <w:sz w:val="20"/>
              </w:rPr>
              <w:t>Council</w:t>
            </w:r>
            <w:r>
              <w:rPr>
                <w:b/>
                <w:spacing w:val="-6"/>
                <w:sz w:val="20"/>
              </w:rPr>
              <w:t xml:space="preserve"> </w:t>
            </w:r>
            <w:r>
              <w:rPr>
                <w:b/>
                <w:spacing w:val="-2"/>
                <w:sz w:val="20"/>
              </w:rPr>
              <w:t>Members</w:t>
            </w:r>
          </w:p>
        </w:tc>
      </w:tr>
      <w:tr w:rsidR="00C76E6D">
        <w:trPr>
          <w:trHeight w:val="761"/>
        </w:trPr>
        <w:tc>
          <w:tcPr>
            <w:tcW w:w="2340" w:type="dxa"/>
          </w:tcPr>
          <w:p w:rsidR="00C76E6D" w:rsidRDefault="00913831">
            <w:pPr>
              <w:pStyle w:val="TableParagraph"/>
              <w:spacing w:before="98" w:line="276" w:lineRule="auto"/>
              <w:ind w:left="921" w:hanging="741"/>
              <w:rPr>
                <w:b/>
                <w:sz w:val="20"/>
              </w:rPr>
            </w:pPr>
            <w:r>
              <w:rPr>
                <w:b/>
                <w:spacing w:val="-2"/>
                <w:sz w:val="20"/>
              </w:rPr>
              <w:t>May</w:t>
            </w:r>
            <w:r>
              <w:rPr>
                <w:b/>
                <w:spacing w:val="-11"/>
                <w:sz w:val="20"/>
              </w:rPr>
              <w:t xml:space="preserve"> </w:t>
            </w:r>
            <w:r>
              <w:rPr>
                <w:b/>
                <w:spacing w:val="-2"/>
                <w:sz w:val="20"/>
              </w:rPr>
              <w:t>Statewide</w:t>
            </w:r>
            <w:r>
              <w:rPr>
                <w:b/>
                <w:spacing w:val="-10"/>
                <w:sz w:val="20"/>
              </w:rPr>
              <w:t xml:space="preserve"> </w:t>
            </w:r>
            <w:r>
              <w:rPr>
                <w:b/>
                <w:spacing w:val="-2"/>
                <w:sz w:val="20"/>
              </w:rPr>
              <w:t>Meeting (5/18)</w:t>
            </w:r>
          </w:p>
        </w:tc>
        <w:tc>
          <w:tcPr>
            <w:tcW w:w="1880" w:type="dxa"/>
          </w:tcPr>
          <w:p w:rsidR="00C76E6D" w:rsidRDefault="00913831">
            <w:pPr>
              <w:pStyle w:val="TableParagraph"/>
              <w:spacing w:before="99"/>
              <w:ind w:left="36"/>
              <w:jc w:val="center"/>
              <w:rPr>
                <w:sz w:val="20"/>
              </w:rPr>
            </w:pPr>
            <w:r>
              <w:rPr>
                <w:sz w:val="20"/>
              </w:rPr>
              <w:t>-</w:t>
            </w:r>
          </w:p>
        </w:tc>
        <w:tc>
          <w:tcPr>
            <w:tcW w:w="1350" w:type="dxa"/>
          </w:tcPr>
          <w:p w:rsidR="00C76E6D" w:rsidRDefault="00913831">
            <w:pPr>
              <w:pStyle w:val="TableParagraph"/>
              <w:spacing w:before="99"/>
              <w:ind w:left="38"/>
              <w:jc w:val="center"/>
              <w:rPr>
                <w:sz w:val="20"/>
              </w:rPr>
            </w:pPr>
            <w:r>
              <w:rPr>
                <w:sz w:val="20"/>
              </w:rPr>
              <w:t>-</w:t>
            </w:r>
          </w:p>
        </w:tc>
        <w:tc>
          <w:tcPr>
            <w:tcW w:w="2250" w:type="dxa"/>
          </w:tcPr>
          <w:p w:rsidR="00C76E6D" w:rsidRDefault="00913831">
            <w:pPr>
              <w:pStyle w:val="TableParagraph"/>
              <w:spacing w:before="99"/>
              <w:ind w:left="161" w:right="122"/>
              <w:jc w:val="center"/>
              <w:rPr>
                <w:sz w:val="20"/>
              </w:rPr>
            </w:pPr>
            <w:r>
              <w:rPr>
                <w:spacing w:val="-5"/>
                <w:sz w:val="20"/>
              </w:rPr>
              <w:t>23</w:t>
            </w:r>
          </w:p>
        </w:tc>
      </w:tr>
      <w:tr w:rsidR="00C76E6D">
        <w:trPr>
          <w:trHeight w:val="480"/>
        </w:trPr>
        <w:tc>
          <w:tcPr>
            <w:tcW w:w="2340" w:type="dxa"/>
          </w:tcPr>
          <w:p w:rsidR="00C76E6D" w:rsidRDefault="00913831">
            <w:pPr>
              <w:pStyle w:val="TableParagraph"/>
              <w:spacing w:before="99"/>
              <w:ind w:left="147" w:right="109"/>
              <w:jc w:val="center"/>
              <w:rPr>
                <w:b/>
                <w:sz w:val="20"/>
              </w:rPr>
            </w:pPr>
            <w:r>
              <w:rPr>
                <w:b/>
                <w:sz w:val="20"/>
              </w:rPr>
              <w:t>Southeast</w:t>
            </w:r>
            <w:r>
              <w:rPr>
                <w:b/>
                <w:spacing w:val="-8"/>
                <w:sz w:val="20"/>
              </w:rPr>
              <w:t xml:space="preserve"> </w:t>
            </w:r>
            <w:r>
              <w:rPr>
                <w:b/>
                <w:sz w:val="20"/>
              </w:rPr>
              <w:t>Regional</w:t>
            </w:r>
            <w:r>
              <w:rPr>
                <w:b/>
                <w:spacing w:val="-8"/>
                <w:sz w:val="20"/>
              </w:rPr>
              <w:t xml:space="preserve"> </w:t>
            </w:r>
            <w:r>
              <w:rPr>
                <w:b/>
                <w:spacing w:val="-4"/>
                <w:sz w:val="20"/>
              </w:rPr>
              <w:t>(6/7)</w:t>
            </w:r>
          </w:p>
        </w:tc>
        <w:tc>
          <w:tcPr>
            <w:tcW w:w="1880" w:type="dxa"/>
          </w:tcPr>
          <w:p w:rsidR="00C76E6D" w:rsidRDefault="00913831">
            <w:pPr>
              <w:pStyle w:val="TableParagraph"/>
              <w:spacing w:before="99"/>
              <w:ind w:left="191" w:right="151"/>
              <w:jc w:val="center"/>
              <w:rPr>
                <w:sz w:val="20"/>
              </w:rPr>
            </w:pPr>
            <w:r>
              <w:rPr>
                <w:spacing w:val="-5"/>
                <w:sz w:val="20"/>
              </w:rPr>
              <w:t>27</w:t>
            </w:r>
          </w:p>
        </w:tc>
        <w:tc>
          <w:tcPr>
            <w:tcW w:w="1350" w:type="dxa"/>
          </w:tcPr>
          <w:p w:rsidR="00C76E6D" w:rsidRDefault="00913831">
            <w:pPr>
              <w:pStyle w:val="TableParagraph"/>
              <w:spacing w:before="99"/>
              <w:ind w:left="41"/>
              <w:jc w:val="center"/>
              <w:rPr>
                <w:sz w:val="20"/>
              </w:rPr>
            </w:pPr>
            <w:r>
              <w:rPr>
                <w:sz w:val="20"/>
              </w:rPr>
              <w:t>5</w:t>
            </w:r>
          </w:p>
        </w:tc>
        <w:tc>
          <w:tcPr>
            <w:tcW w:w="2250" w:type="dxa"/>
          </w:tcPr>
          <w:p w:rsidR="00C76E6D" w:rsidRDefault="00913831">
            <w:pPr>
              <w:pStyle w:val="TableParagraph"/>
              <w:spacing w:before="99"/>
              <w:ind w:left="41"/>
              <w:jc w:val="center"/>
              <w:rPr>
                <w:sz w:val="20"/>
              </w:rPr>
            </w:pPr>
            <w:r>
              <w:rPr>
                <w:sz w:val="20"/>
              </w:rPr>
              <w:t>4</w:t>
            </w:r>
          </w:p>
        </w:tc>
      </w:tr>
      <w:tr w:rsidR="00C76E6D">
        <w:trPr>
          <w:trHeight w:val="762"/>
        </w:trPr>
        <w:tc>
          <w:tcPr>
            <w:tcW w:w="2340" w:type="dxa"/>
          </w:tcPr>
          <w:p w:rsidR="00C76E6D" w:rsidRDefault="00913831">
            <w:pPr>
              <w:pStyle w:val="TableParagraph"/>
              <w:spacing w:before="98" w:line="276" w:lineRule="auto"/>
              <w:ind w:left="921" w:hanging="760"/>
              <w:rPr>
                <w:b/>
                <w:sz w:val="20"/>
              </w:rPr>
            </w:pPr>
            <w:r>
              <w:rPr>
                <w:b/>
                <w:spacing w:val="-2"/>
                <w:sz w:val="20"/>
              </w:rPr>
              <w:t>Greater</w:t>
            </w:r>
            <w:r>
              <w:rPr>
                <w:b/>
                <w:spacing w:val="-11"/>
                <w:sz w:val="20"/>
              </w:rPr>
              <w:t xml:space="preserve"> </w:t>
            </w:r>
            <w:r>
              <w:rPr>
                <w:b/>
                <w:spacing w:val="-2"/>
                <w:sz w:val="20"/>
              </w:rPr>
              <w:t>Boston</w:t>
            </w:r>
            <w:r>
              <w:rPr>
                <w:b/>
                <w:spacing w:val="-7"/>
                <w:sz w:val="20"/>
              </w:rPr>
              <w:t xml:space="preserve"> </w:t>
            </w:r>
            <w:r>
              <w:rPr>
                <w:b/>
                <w:spacing w:val="-2"/>
                <w:sz w:val="20"/>
              </w:rPr>
              <w:t>Regional (6/15)</w:t>
            </w:r>
          </w:p>
        </w:tc>
        <w:tc>
          <w:tcPr>
            <w:tcW w:w="1880" w:type="dxa"/>
          </w:tcPr>
          <w:p w:rsidR="00C76E6D" w:rsidRDefault="00913831">
            <w:pPr>
              <w:pStyle w:val="TableParagraph"/>
              <w:spacing w:before="98"/>
              <w:ind w:left="191" w:right="152"/>
              <w:jc w:val="center"/>
              <w:rPr>
                <w:sz w:val="20"/>
              </w:rPr>
            </w:pPr>
            <w:r>
              <w:rPr>
                <w:spacing w:val="-5"/>
                <w:sz w:val="20"/>
              </w:rPr>
              <w:t>15</w:t>
            </w:r>
          </w:p>
        </w:tc>
        <w:tc>
          <w:tcPr>
            <w:tcW w:w="1350" w:type="dxa"/>
          </w:tcPr>
          <w:p w:rsidR="00C76E6D" w:rsidRDefault="00913831">
            <w:pPr>
              <w:pStyle w:val="TableParagraph"/>
              <w:spacing w:before="98"/>
              <w:ind w:left="40"/>
              <w:jc w:val="center"/>
              <w:rPr>
                <w:sz w:val="20"/>
              </w:rPr>
            </w:pPr>
            <w:r>
              <w:rPr>
                <w:sz w:val="20"/>
              </w:rPr>
              <w:t>3</w:t>
            </w:r>
          </w:p>
        </w:tc>
        <w:tc>
          <w:tcPr>
            <w:tcW w:w="2250" w:type="dxa"/>
          </w:tcPr>
          <w:p w:rsidR="00C76E6D" w:rsidRDefault="00913831">
            <w:pPr>
              <w:pStyle w:val="TableParagraph"/>
              <w:spacing w:before="98"/>
              <w:ind w:left="40"/>
              <w:jc w:val="center"/>
              <w:rPr>
                <w:sz w:val="20"/>
              </w:rPr>
            </w:pPr>
            <w:r>
              <w:rPr>
                <w:sz w:val="20"/>
              </w:rPr>
              <w:t>3</w:t>
            </w:r>
          </w:p>
        </w:tc>
      </w:tr>
      <w:tr w:rsidR="00C76E6D">
        <w:trPr>
          <w:trHeight w:val="479"/>
        </w:trPr>
        <w:tc>
          <w:tcPr>
            <w:tcW w:w="2340" w:type="dxa"/>
          </w:tcPr>
          <w:p w:rsidR="00C76E6D" w:rsidRDefault="00913831">
            <w:pPr>
              <w:pStyle w:val="TableParagraph"/>
              <w:spacing w:before="98"/>
              <w:ind w:left="147" w:right="109"/>
              <w:jc w:val="center"/>
              <w:rPr>
                <w:b/>
                <w:sz w:val="20"/>
              </w:rPr>
            </w:pPr>
            <w:r>
              <w:rPr>
                <w:b/>
                <w:sz w:val="20"/>
              </w:rPr>
              <w:t>Northeast</w:t>
            </w:r>
            <w:r>
              <w:rPr>
                <w:b/>
                <w:spacing w:val="-9"/>
                <w:sz w:val="20"/>
              </w:rPr>
              <w:t xml:space="preserve"> </w:t>
            </w:r>
            <w:r>
              <w:rPr>
                <w:b/>
                <w:sz w:val="20"/>
              </w:rPr>
              <w:t>Regional</w:t>
            </w:r>
            <w:r>
              <w:rPr>
                <w:b/>
                <w:spacing w:val="-8"/>
                <w:sz w:val="20"/>
              </w:rPr>
              <w:t xml:space="preserve"> </w:t>
            </w:r>
            <w:r>
              <w:rPr>
                <w:b/>
                <w:spacing w:val="-4"/>
                <w:sz w:val="20"/>
              </w:rPr>
              <w:t>(6/6)</w:t>
            </w:r>
          </w:p>
        </w:tc>
        <w:tc>
          <w:tcPr>
            <w:tcW w:w="1880" w:type="dxa"/>
          </w:tcPr>
          <w:p w:rsidR="00C76E6D" w:rsidRDefault="00913831">
            <w:pPr>
              <w:pStyle w:val="TableParagraph"/>
              <w:spacing w:before="98"/>
              <w:ind w:left="191" w:right="151"/>
              <w:jc w:val="center"/>
              <w:rPr>
                <w:sz w:val="20"/>
              </w:rPr>
            </w:pPr>
            <w:r>
              <w:rPr>
                <w:spacing w:val="-5"/>
                <w:sz w:val="20"/>
              </w:rPr>
              <w:t>44</w:t>
            </w:r>
          </w:p>
        </w:tc>
        <w:tc>
          <w:tcPr>
            <w:tcW w:w="1350" w:type="dxa"/>
          </w:tcPr>
          <w:p w:rsidR="00C76E6D" w:rsidRDefault="00913831">
            <w:pPr>
              <w:pStyle w:val="TableParagraph"/>
              <w:spacing w:before="98"/>
              <w:ind w:left="41"/>
              <w:jc w:val="center"/>
              <w:rPr>
                <w:sz w:val="20"/>
              </w:rPr>
            </w:pPr>
            <w:r>
              <w:rPr>
                <w:sz w:val="20"/>
              </w:rPr>
              <w:t>8</w:t>
            </w:r>
          </w:p>
        </w:tc>
        <w:tc>
          <w:tcPr>
            <w:tcW w:w="2250" w:type="dxa"/>
          </w:tcPr>
          <w:p w:rsidR="00C76E6D" w:rsidRDefault="00913831">
            <w:pPr>
              <w:pStyle w:val="TableParagraph"/>
              <w:spacing w:before="98"/>
              <w:ind w:left="41"/>
              <w:jc w:val="center"/>
              <w:rPr>
                <w:sz w:val="20"/>
              </w:rPr>
            </w:pPr>
            <w:r>
              <w:rPr>
                <w:sz w:val="20"/>
              </w:rPr>
              <w:t>9</w:t>
            </w:r>
          </w:p>
        </w:tc>
      </w:tr>
      <w:tr w:rsidR="00C76E6D">
        <w:trPr>
          <w:trHeight w:val="480"/>
        </w:trPr>
        <w:tc>
          <w:tcPr>
            <w:tcW w:w="2340" w:type="dxa"/>
          </w:tcPr>
          <w:p w:rsidR="00C76E6D" w:rsidRDefault="00913831">
            <w:pPr>
              <w:pStyle w:val="TableParagraph"/>
              <w:spacing w:before="99"/>
              <w:ind w:left="147" w:right="107"/>
              <w:jc w:val="center"/>
              <w:rPr>
                <w:b/>
                <w:sz w:val="20"/>
              </w:rPr>
            </w:pPr>
            <w:r>
              <w:rPr>
                <w:b/>
                <w:sz w:val="20"/>
              </w:rPr>
              <w:t>Central</w:t>
            </w:r>
            <w:r>
              <w:rPr>
                <w:b/>
                <w:spacing w:val="-10"/>
                <w:sz w:val="20"/>
              </w:rPr>
              <w:t xml:space="preserve"> </w:t>
            </w:r>
            <w:r>
              <w:rPr>
                <w:b/>
                <w:sz w:val="20"/>
              </w:rPr>
              <w:t>Regional</w:t>
            </w:r>
            <w:r>
              <w:rPr>
                <w:b/>
                <w:spacing w:val="-8"/>
                <w:sz w:val="20"/>
              </w:rPr>
              <w:t xml:space="preserve"> </w:t>
            </w:r>
            <w:r>
              <w:rPr>
                <w:b/>
                <w:spacing w:val="-2"/>
                <w:sz w:val="20"/>
              </w:rPr>
              <w:t>(6/17)</w:t>
            </w:r>
          </w:p>
        </w:tc>
        <w:tc>
          <w:tcPr>
            <w:tcW w:w="1880" w:type="dxa"/>
          </w:tcPr>
          <w:p w:rsidR="00C76E6D" w:rsidRDefault="00913831">
            <w:pPr>
              <w:pStyle w:val="TableParagraph"/>
              <w:spacing w:before="99"/>
              <w:ind w:left="37"/>
              <w:jc w:val="center"/>
              <w:rPr>
                <w:sz w:val="20"/>
              </w:rPr>
            </w:pPr>
            <w:r>
              <w:rPr>
                <w:sz w:val="20"/>
              </w:rPr>
              <w:t>-</w:t>
            </w:r>
          </w:p>
        </w:tc>
        <w:tc>
          <w:tcPr>
            <w:tcW w:w="1350" w:type="dxa"/>
          </w:tcPr>
          <w:p w:rsidR="00C76E6D" w:rsidRDefault="00913831">
            <w:pPr>
              <w:pStyle w:val="TableParagraph"/>
              <w:spacing w:before="99"/>
              <w:ind w:left="39"/>
              <w:jc w:val="center"/>
              <w:rPr>
                <w:sz w:val="20"/>
              </w:rPr>
            </w:pPr>
            <w:r>
              <w:rPr>
                <w:sz w:val="20"/>
              </w:rPr>
              <w:t>-</w:t>
            </w:r>
          </w:p>
        </w:tc>
        <w:tc>
          <w:tcPr>
            <w:tcW w:w="2250" w:type="dxa"/>
          </w:tcPr>
          <w:p w:rsidR="00C76E6D" w:rsidRDefault="00913831">
            <w:pPr>
              <w:pStyle w:val="TableParagraph"/>
              <w:spacing w:before="99"/>
              <w:ind w:left="39"/>
              <w:jc w:val="center"/>
              <w:rPr>
                <w:sz w:val="20"/>
              </w:rPr>
            </w:pPr>
            <w:r>
              <w:rPr>
                <w:sz w:val="20"/>
              </w:rPr>
              <w:t>-</w:t>
            </w:r>
          </w:p>
        </w:tc>
      </w:tr>
      <w:tr w:rsidR="00C76E6D">
        <w:trPr>
          <w:trHeight w:val="481"/>
        </w:trPr>
        <w:tc>
          <w:tcPr>
            <w:tcW w:w="2340" w:type="dxa"/>
          </w:tcPr>
          <w:p w:rsidR="00C76E6D" w:rsidRDefault="00913831">
            <w:pPr>
              <w:pStyle w:val="TableParagraph"/>
              <w:spacing w:before="99"/>
              <w:ind w:left="146" w:right="109"/>
              <w:jc w:val="center"/>
              <w:rPr>
                <w:b/>
                <w:sz w:val="20"/>
              </w:rPr>
            </w:pPr>
            <w:r>
              <w:rPr>
                <w:b/>
                <w:sz w:val="20"/>
              </w:rPr>
              <w:t>Western</w:t>
            </w:r>
            <w:r>
              <w:rPr>
                <w:b/>
                <w:spacing w:val="-9"/>
                <w:sz w:val="20"/>
              </w:rPr>
              <w:t xml:space="preserve"> </w:t>
            </w:r>
            <w:r>
              <w:rPr>
                <w:b/>
                <w:sz w:val="20"/>
              </w:rPr>
              <w:t>Regional</w:t>
            </w:r>
            <w:r>
              <w:rPr>
                <w:b/>
                <w:spacing w:val="-8"/>
                <w:sz w:val="20"/>
              </w:rPr>
              <w:t xml:space="preserve"> </w:t>
            </w:r>
            <w:r>
              <w:rPr>
                <w:b/>
                <w:spacing w:val="-4"/>
                <w:sz w:val="20"/>
              </w:rPr>
              <w:t>(6/9)</w:t>
            </w:r>
          </w:p>
        </w:tc>
        <w:tc>
          <w:tcPr>
            <w:tcW w:w="1880" w:type="dxa"/>
          </w:tcPr>
          <w:p w:rsidR="00C76E6D" w:rsidRDefault="00913831">
            <w:pPr>
              <w:pStyle w:val="TableParagraph"/>
              <w:spacing w:before="99"/>
              <w:ind w:left="191" w:right="151"/>
              <w:jc w:val="center"/>
              <w:rPr>
                <w:sz w:val="20"/>
              </w:rPr>
            </w:pPr>
            <w:r>
              <w:rPr>
                <w:spacing w:val="-5"/>
                <w:sz w:val="20"/>
              </w:rPr>
              <w:t>14</w:t>
            </w:r>
          </w:p>
        </w:tc>
        <w:tc>
          <w:tcPr>
            <w:tcW w:w="1350" w:type="dxa"/>
          </w:tcPr>
          <w:p w:rsidR="00C76E6D" w:rsidRDefault="00913831">
            <w:pPr>
              <w:pStyle w:val="TableParagraph"/>
              <w:spacing w:before="99"/>
              <w:ind w:left="41"/>
              <w:jc w:val="center"/>
              <w:rPr>
                <w:sz w:val="20"/>
              </w:rPr>
            </w:pPr>
            <w:r>
              <w:rPr>
                <w:sz w:val="20"/>
              </w:rPr>
              <w:t>2</w:t>
            </w:r>
          </w:p>
        </w:tc>
        <w:tc>
          <w:tcPr>
            <w:tcW w:w="2250" w:type="dxa"/>
          </w:tcPr>
          <w:p w:rsidR="00C76E6D" w:rsidRDefault="00913831">
            <w:pPr>
              <w:pStyle w:val="TableParagraph"/>
              <w:spacing w:before="99"/>
              <w:ind w:left="41"/>
              <w:jc w:val="center"/>
              <w:rPr>
                <w:sz w:val="20"/>
              </w:rPr>
            </w:pPr>
            <w:r>
              <w:rPr>
                <w:sz w:val="20"/>
              </w:rPr>
              <w:t>2</w:t>
            </w:r>
          </w:p>
        </w:tc>
      </w:tr>
    </w:tbl>
    <w:p w:rsidR="00C76E6D" w:rsidRDefault="00C76E6D">
      <w:pPr>
        <w:pStyle w:val="BodyText"/>
        <w:spacing w:before="5"/>
        <w:rPr>
          <w:i/>
          <w:sz w:val="25"/>
        </w:rPr>
      </w:pPr>
    </w:p>
    <w:p w:rsidR="00C76E6D" w:rsidRDefault="00913831">
      <w:pPr>
        <w:ind w:left="480"/>
        <w:jc w:val="both"/>
      </w:pPr>
      <w:r>
        <w:rPr>
          <w:b/>
          <w:w w:val="95"/>
        </w:rPr>
        <w:t>Schools</w:t>
      </w:r>
      <w:r>
        <w:rPr>
          <w:b/>
          <w:spacing w:val="11"/>
        </w:rPr>
        <w:t xml:space="preserve"> </w:t>
      </w:r>
      <w:r>
        <w:rPr>
          <w:b/>
          <w:w w:val="95"/>
        </w:rPr>
        <w:t>reached:</w:t>
      </w:r>
      <w:r>
        <w:rPr>
          <w:b/>
          <w:spacing w:val="9"/>
        </w:rPr>
        <w:t xml:space="preserve"> </w:t>
      </w:r>
      <w:r>
        <w:rPr>
          <w:w w:val="95"/>
        </w:rPr>
        <w:t>To</w:t>
      </w:r>
      <w:r>
        <w:rPr>
          <w:spacing w:val="15"/>
        </w:rPr>
        <w:t xml:space="preserve"> </w:t>
      </w:r>
      <w:r>
        <w:rPr>
          <w:w w:val="95"/>
        </w:rPr>
        <w:t>be</w:t>
      </w:r>
      <w:r>
        <w:rPr>
          <w:spacing w:val="12"/>
        </w:rPr>
        <w:t xml:space="preserve"> </w:t>
      </w:r>
      <w:r>
        <w:rPr>
          <w:w w:val="95"/>
        </w:rPr>
        <w:t>determined</w:t>
      </w:r>
      <w:r>
        <w:rPr>
          <w:spacing w:val="12"/>
        </w:rPr>
        <w:t xml:space="preserve"> </w:t>
      </w:r>
      <w:r>
        <w:rPr>
          <w:w w:val="95"/>
        </w:rPr>
        <w:t>July</w:t>
      </w:r>
      <w:r>
        <w:rPr>
          <w:spacing w:val="11"/>
        </w:rPr>
        <w:t xml:space="preserve"> </w:t>
      </w:r>
      <w:r>
        <w:rPr>
          <w:spacing w:val="-4"/>
          <w:w w:val="95"/>
        </w:rPr>
        <w:t>2022</w:t>
      </w:r>
    </w:p>
    <w:p w:rsidR="00C76E6D" w:rsidRDefault="00C76E6D">
      <w:pPr>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8"/>
        <w:rPr>
          <w:sz w:val="17"/>
        </w:rPr>
      </w:pPr>
    </w:p>
    <w:p w:rsidR="00C76E6D" w:rsidRDefault="00913831">
      <w:pPr>
        <w:pStyle w:val="Heading6"/>
        <w:spacing w:before="55"/>
        <w:ind w:left="480"/>
        <w:jc w:val="both"/>
      </w:pPr>
      <w:bookmarkStart w:id="135" w:name="Southeast:_8"/>
      <w:bookmarkEnd w:id="135"/>
      <w:r>
        <w:rPr>
          <w:spacing w:val="-2"/>
        </w:rPr>
        <w:t>Southeast:</w:t>
      </w:r>
      <w:r>
        <w:rPr>
          <w:spacing w:val="-9"/>
        </w:rPr>
        <w:t xml:space="preserve"> </w:t>
      </w:r>
      <w:r>
        <w:rPr>
          <w:spacing w:val="-10"/>
        </w:rPr>
        <w:t>8</w:t>
      </w:r>
    </w:p>
    <w:p w:rsidR="00C76E6D" w:rsidRDefault="00913831">
      <w:pPr>
        <w:pStyle w:val="BodyText"/>
        <w:spacing w:before="41" w:line="276" w:lineRule="auto"/>
        <w:ind w:left="479" w:right="478"/>
        <w:jc w:val="both"/>
      </w:pPr>
      <w:r>
        <w:t>Canton</w:t>
      </w:r>
      <w:r>
        <w:rPr>
          <w:spacing w:val="-8"/>
        </w:rPr>
        <w:t xml:space="preserve"> </w:t>
      </w:r>
      <w:r>
        <w:t>High</w:t>
      </w:r>
      <w:r>
        <w:rPr>
          <w:spacing w:val="-6"/>
        </w:rPr>
        <w:t xml:space="preserve"> </w:t>
      </w:r>
      <w:r>
        <w:t>School,</w:t>
      </w:r>
      <w:r>
        <w:rPr>
          <w:spacing w:val="-8"/>
        </w:rPr>
        <w:t xml:space="preserve"> </w:t>
      </w:r>
      <w:r>
        <w:t>The</w:t>
      </w:r>
      <w:r>
        <w:rPr>
          <w:spacing w:val="-6"/>
        </w:rPr>
        <w:t xml:space="preserve"> </w:t>
      </w:r>
      <w:r>
        <w:t>Gifford</w:t>
      </w:r>
      <w:r>
        <w:rPr>
          <w:spacing w:val="-8"/>
        </w:rPr>
        <w:t xml:space="preserve"> </w:t>
      </w:r>
      <w:r>
        <w:t>School,</w:t>
      </w:r>
      <w:r>
        <w:rPr>
          <w:spacing w:val="-8"/>
        </w:rPr>
        <w:t xml:space="preserve"> </w:t>
      </w:r>
      <w:r>
        <w:t>Marie</w:t>
      </w:r>
      <w:r>
        <w:rPr>
          <w:spacing w:val="-8"/>
        </w:rPr>
        <w:t xml:space="preserve"> </w:t>
      </w:r>
      <w:r>
        <w:t>Philip</w:t>
      </w:r>
      <w:r>
        <w:rPr>
          <w:spacing w:val="-6"/>
        </w:rPr>
        <w:t xml:space="preserve"> </w:t>
      </w:r>
      <w:r>
        <w:t>School</w:t>
      </w:r>
      <w:r>
        <w:rPr>
          <w:spacing w:val="-8"/>
        </w:rPr>
        <w:t xml:space="preserve"> </w:t>
      </w:r>
      <w:r>
        <w:t>at</w:t>
      </w:r>
      <w:r>
        <w:rPr>
          <w:spacing w:val="-8"/>
        </w:rPr>
        <w:t xml:space="preserve"> </w:t>
      </w:r>
      <w:r>
        <w:t>the</w:t>
      </w:r>
      <w:r>
        <w:rPr>
          <w:spacing w:val="-6"/>
        </w:rPr>
        <w:t xml:space="preserve"> </w:t>
      </w:r>
      <w:r>
        <w:t>Learning</w:t>
      </w:r>
      <w:r>
        <w:rPr>
          <w:spacing w:val="-8"/>
        </w:rPr>
        <w:t xml:space="preserve"> </w:t>
      </w:r>
      <w:r>
        <w:t>Center</w:t>
      </w:r>
      <w:r>
        <w:rPr>
          <w:spacing w:val="-8"/>
        </w:rPr>
        <w:t xml:space="preserve"> </w:t>
      </w:r>
      <w:r>
        <w:t>for</w:t>
      </w:r>
      <w:r>
        <w:rPr>
          <w:spacing w:val="-8"/>
        </w:rPr>
        <w:t xml:space="preserve"> </w:t>
      </w:r>
      <w:r>
        <w:t>the</w:t>
      </w:r>
      <w:r>
        <w:rPr>
          <w:spacing w:val="-8"/>
        </w:rPr>
        <w:t xml:space="preserve"> </w:t>
      </w:r>
      <w:r>
        <w:t>Deaf,</w:t>
      </w:r>
      <w:r>
        <w:rPr>
          <w:spacing w:val="-8"/>
        </w:rPr>
        <w:t xml:space="preserve"> </w:t>
      </w:r>
      <w:r>
        <w:t>Mashpee High</w:t>
      </w:r>
      <w:r>
        <w:rPr>
          <w:spacing w:val="-12"/>
        </w:rPr>
        <w:t xml:space="preserve"> </w:t>
      </w:r>
      <w:r>
        <w:t>School,</w:t>
      </w:r>
      <w:r>
        <w:rPr>
          <w:spacing w:val="-12"/>
        </w:rPr>
        <w:t xml:space="preserve"> </w:t>
      </w:r>
      <w:r>
        <w:t>Millis</w:t>
      </w:r>
      <w:r>
        <w:rPr>
          <w:spacing w:val="-10"/>
        </w:rPr>
        <w:t xml:space="preserve"> </w:t>
      </w:r>
      <w:r>
        <w:t>High</w:t>
      </w:r>
      <w:r>
        <w:rPr>
          <w:spacing w:val="-10"/>
        </w:rPr>
        <w:t xml:space="preserve"> </w:t>
      </w:r>
      <w:r>
        <w:t>School,</w:t>
      </w:r>
      <w:r>
        <w:rPr>
          <w:spacing w:val="-12"/>
        </w:rPr>
        <w:t xml:space="preserve"> </w:t>
      </w:r>
      <w:r>
        <w:t>Old</w:t>
      </w:r>
      <w:r>
        <w:rPr>
          <w:spacing w:val="-12"/>
        </w:rPr>
        <w:t xml:space="preserve"> </w:t>
      </w:r>
      <w:r>
        <w:t>Rochester</w:t>
      </w:r>
      <w:r>
        <w:rPr>
          <w:spacing w:val="-11"/>
        </w:rPr>
        <w:t xml:space="preserve"> </w:t>
      </w:r>
      <w:r>
        <w:t>Regional</w:t>
      </w:r>
      <w:r>
        <w:rPr>
          <w:spacing w:val="-13"/>
        </w:rPr>
        <w:t xml:space="preserve"> </w:t>
      </w:r>
      <w:r>
        <w:t>High</w:t>
      </w:r>
      <w:r>
        <w:rPr>
          <w:spacing w:val="-11"/>
        </w:rPr>
        <w:t xml:space="preserve"> </w:t>
      </w:r>
      <w:r>
        <w:t>School,</w:t>
      </w:r>
      <w:r>
        <w:rPr>
          <w:spacing w:val="-12"/>
        </w:rPr>
        <w:t xml:space="preserve"> </w:t>
      </w:r>
      <w:r>
        <w:t>Sturgis</w:t>
      </w:r>
      <w:r>
        <w:rPr>
          <w:spacing w:val="-11"/>
        </w:rPr>
        <w:t xml:space="preserve"> </w:t>
      </w:r>
      <w:r>
        <w:t>Charter</w:t>
      </w:r>
      <w:r>
        <w:rPr>
          <w:spacing w:val="-12"/>
        </w:rPr>
        <w:t xml:space="preserve"> </w:t>
      </w:r>
      <w:r>
        <w:t>Public</w:t>
      </w:r>
      <w:r>
        <w:rPr>
          <w:spacing w:val="-12"/>
        </w:rPr>
        <w:t xml:space="preserve"> </w:t>
      </w:r>
      <w:r>
        <w:t>School,</w:t>
      </w:r>
      <w:r>
        <w:rPr>
          <w:spacing w:val="-12"/>
        </w:rPr>
        <w:t xml:space="preserve"> </w:t>
      </w:r>
      <w:r>
        <w:t>Walden School at the Learning Center for the Deaf</w:t>
      </w:r>
    </w:p>
    <w:p w:rsidR="00C76E6D" w:rsidRDefault="00C76E6D">
      <w:pPr>
        <w:pStyle w:val="BodyText"/>
        <w:spacing w:before="3"/>
        <w:rPr>
          <w:sz w:val="25"/>
        </w:rPr>
      </w:pPr>
    </w:p>
    <w:p w:rsidR="00C76E6D" w:rsidRDefault="00913831">
      <w:pPr>
        <w:pStyle w:val="Heading6"/>
        <w:ind w:left="480"/>
        <w:jc w:val="both"/>
      </w:pPr>
      <w:bookmarkStart w:id="136" w:name="Northeast:_6"/>
      <w:bookmarkEnd w:id="136"/>
      <w:r>
        <w:rPr>
          <w:spacing w:val="-2"/>
        </w:rPr>
        <w:t>Northeast:</w:t>
      </w:r>
      <w:r>
        <w:rPr>
          <w:spacing w:val="-9"/>
        </w:rPr>
        <w:t xml:space="preserve"> </w:t>
      </w:r>
      <w:r>
        <w:rPr>
          <w:spacing w:val="-10"/>
        </w:rPr>
        <w:t>6</w:t>
      </w:r>
    </w:p>
    <w:p w:rsidR="00C76E6D" w:rsidRDefault="00913831">
      <w:pPr>
        <w:pStyle w:val="BodyText"/>
        <w:spacing w:before="41" w:line="276" w:lineRule="auto"/>
        <w:ind w:left="480" w:right="477" w:hanging="1"/>
        <w:jc w:val="both"/>
      </w:pPr>
      <w:r>
        <w:t>Greater</w:t>
      </w:r>
      <w:r>
        <w:rPr>
          <w:spacing w:val="-4"/>
        </w:rPr>
        <w:t xml:space="preserve"> </w:t>
      </w:r>
      <w:r>
        <w:t>Lawrence</w:t>
      </w:r>
      <w:r>
        <w:rPr>
          <w:spacing w:val="-3"/>
        </w:rPr>
        <w:t xml:space="preserve"> </w:t>
      </w:r>
      <w:r>
        <w:t>Technical</w:t>
      </w:r>
      <w:r>
        <w:rPr>
          <w:spacing w:val="-5"/>
        </w:rPr>
        <w:t xml:space="preserve"> </w:t>
      </w:r>
      <w:r>
        <w:t>School,</w:t>
      </w:r>
      <w:r>
        <w:rPr>
          <w:spacing w:val="-4"/>
        </w:rPr>
        <w:t xml:space="preserve"> </w:t>
      </w:r>
      <w:r>
        <w:t>Greater</w:t>
      </w:r>
      <w:r>
        <w:rPr>
          <w:spacing w:val="-5"/>
        </w:rPr>
        <w:t xml:space="preserve"> </w:t>
      </w:r>
      <w:r>
        <w:t>Lowell</w:t>
      </w:r>
      <w:r>
        <w:rPr>
          <w:spacing w:val="-3"/>
        </w:rPr>
        <w:t xml:space="preserve"> </w:t>
      </w:r>
      <w:r>
        <w:t>Technical</w:t>
      </w:r>
      <w:r>
        <w:rPr>
          <w:spacing w:val="-4"/>
        </w:rPr>
        <w:t xml:space="preserve"> </w:t>
      </w:r>
      <w:r>
        <w:t>High</w:t>
      </w:r>
      <w:r>
        <w:rPr>
          <w:spacing w:val="-3"/>
        </w:rPr>
        <w:t xml:space="preserve"> </w:t>
      </w:r>
      <w:r>
        <w:t>School,</w:t>
      </w:r>
      <w:r>
        <w:rPr>
          <w:spacing w:val="-5"/>
        </w:rPr>
        <w:t xml:space="preserve"> </w:t>
      </w:r>
      <w:r>
        <w:t>Nashoba</w:t>
      </w:r>
      <w:r>
        <w:rPr>
          <w:spacing w:val="-5"/>
        </w:rPr>
        <w:t xml:space="preserve"> </w:t>
      </w:r>
      <w:r>
        <w:t>Valley</w:t>
      </w:r>
      <w:r>
        <w:rPr>
          <w:spacing w:val="-3"/>
        </w:rPr>
        <w:t xml:space="preserve"> </w:t>
      </w:r>
      <w:r>
        <w:t>Technical</w:t>
      </w:r>
      <w:r>
        <w:rPr>
          <w:spacing w:val="-4"/>
        </w:rPr>
        <w:t xml:space="preserve"> </w:t>
      </w:r>
      <w:r>
        <w:t>High School, Pentucket Regional High School, Reading Memorial High School, Whittier Regional Vocational Technical High School</w:t>
      </w:r>
    </w:p>
    <w:p w:rsidR="00C76E6D" w:rsidRDefault="00C76E6D">
      <w:pPr>
        <w:pStyle w:val="BodyText"/>
        <w:spacing w:before="4"/>
        <w:rPr>
          <w:sz w:val="25"/>
        </w:rPr>
      </w:pPr>
    </w:p>
    <w:p w:rsidR="00C76E6D" w:rsidRDefault="00913831">
      <w:pPr>
        <w:pStyle w:val="Heading6"/>
        <w:spacing w:before="1"/>
        <w:ind w:left="480"/>
        <w:jc w:val="both"/>
      </w:pPr>
      <w:bookmarkStart w:id="137" w:name="Greater_Boston:_3"/>
      <w:bookmarkEnd w:id="137"/>
      <w:r>
        <w:rPr>
          <w:w w:val="95"/>
        </w:rPr>
        <w:t>Greater</w:t>
      </w:r>
      <w:r>
        <w:rPr>
          <w:spacing w:val="14"/>
        </w:rPr>
        <w:t xml:space="preserve"> </w:t>
      </w:r>
      <w:r>
        <w:rPr>
          <w:w w:val="95"/>
        </w:rPr>
        <w:t>Boston:</w:t>
      </w:r>
      <w:r>
        <w:rPr>
          <w:spacing w:val="11"/>
        </w:rPr>
        <w:t xml:space="preserve"> </w:t>
      </w:r>
      <w:r>
        <w:rPr>
          <w:spacing w:val="-10"/>
          <w:w w:val="95"/>
        </w:rPr>
        <w:t>3</w:t>
      </w:r>
    </w:p>
    <w:p w:rsidR="00C76E6D" w:rsidRDefault="00913831">
      <w:pPr>
        <w:pStyle w:val="BodyText"/>
        <w:spacing w:before="38" w:line="276" w:lineRule="auto"/>
        <w:ind w:left="479" w:right="480"/>
        <w:jc w:val="both"/>
      </w:pPr>
      <w:r>
        <w:t>Boston Day and Evening Academy, TECCA Connections Academy Commonwealth Virtual School, Everett High School</w:t>
      </w:r>
    </w:p>
    <w:p w:rsidR="00C76E6D" w:rsidRDefault="00913831">
      <w:pPr>
        <w:pStyle w:val="Heading6"/>
        <w:spacing w:before="24" w:line="618" w:lineRule="exact"/>
        <w:ind w:left="479" w:right="7464"/>
      </w:pPr>
      <w:bookmarkStart w:id="138" w:name="Central:_Canceled_Western:_2"/>
      <w:bookmarkEnd w:id="138"/>
      <w:r>
        <w:rPr>
          <w:spacing w:val="-2"/>
        </w:rPr>
        <w:t>Central:</w:t>
      </w:r>
      <w:r>
        <w:rPr>
          <w:spacing w:val="-15"/>
        </w:rPr>
        <w:t xml:space="preserve"> </w:t>
      </w:r>
      <w:r>
        <w:rPr>
          <w:spacing w:val="-2"/>
        </w:rPr>
        <w:t xml:space="preserve">Canceled </w:t>
      </w:r>
      <w:r>
        <w:t>Western: 2</w:t>
      </w:r>
    </w:p>
    <w:p w:rsidR="00C76E6D" w:rsidRDefault="00913831">
      <w:pPr>
        <w:pStyle w:val="BodyText"/>
        <w:spacing w:line="256" w:lineRule="exact"/>
        <w:ind w:left="479"/>
      </w:pPr>
      <w:r>
        <w:rPr>
          <w:w w:val="95"/>
        </w:rPr>
        <w:t>Southwick</w:t>
      </w:r>
      <w:r>
        <w:rPr>
          <w:spacing w:val="14"/>
        </w:rPr>
        <w:t xml:space="preserve"> </w:t>
      </w:r>
      <w:r>
        <w:rPr>
          <w:w w:val="95"/>
        </w:rPr>
        <w:t>Regional</w:t>
      </w:r>
      <w:r>
        <w:rPr>
          <w:spacing w:val="13"/>
        </w:rPr>
        <w:t xml:space="preserve"> </w:t>
      </w:r>
      <w:r>
        <w:rPr>
          <w:w w:val="95"/>
        </w:rPr>
        <w:t>High</w:t>
      </w:r>
      <w:r>
        <w:rPr>
          <w:spacing w:val="13"/>
        </w:rPr>
        <w:t xml:space="preserve"> </w:t>
      </w:r>
      <w:r>
        <w:rPr>
          <w:w w:val="95"/>
        </w:rPr>
        <w:t>School,</w:t>
      </w:r>
      <w:r>
        <w:rPr>
          <w:spacing w:val="14"/>
        </w:rPr>
        <w:t xml:space="preserve"> </w:t>
      </w:r>
      <w:r>
        <w:rPr>
          <w:w w:val="95"/>
        </w:rPr>
        <w:t>Westfield</w:t>
      </w:r>
      <w:r>
        <w:rPr>
          <w:spacing w:val="16"/>
        </w:rPr>
        <w:t xml:space="preserve"> </w:t>
      </w:r>
      <w:r>
        <w:rPr>
          <w:w w:val="95"/>
        </w:rPr>
        <w:t>High</w:t>
      </w:r>
      <w:r>
        <w:rPr>
          <w:spacing w:val="18"/>
        </w:rPr>
        <w:t xml:space="preserve"> </w:t>
      </w:r>
      <w:r>
        <w:rPr>
          <w:spacing w:val="-2"/>
          <w:w w:val="95"/>
        </w:rPr>
        <w:t>School</w:t>
      </w:r>
    </w:p>
    <w:p w:rsidR="00C76E6D" w:rsidRDefault="00C76E6D">
      <w:pPr>
        <w:spacing w:line="256" w:lineRule="exact"/>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913831">
      <w:pPr>
        <w:pStyle w:val="Heading2"/>
        <w:spacing w:before="214" w:line="206" w:lineRule="auto"/>
        <w:ind w:left="479" w:right="452"/>
        <w:jc w:val="both"/>
      </w:pPr>
      <w:bookmarkStart w:id="139" w:name="Special_Report_on_LGBTQ+_Inclusive_Educa"/>
      <w:bookmarkStart w:id="140" w:name="_bookmark69"/>
      <w:bookmarkEnd w:id="139"/>
      <w:bookmarkEnd w:id="140"/>
      <w:r>
        <w:t>Special Report on LGBTQ+ Inclusive Education Policy</w:t>
      </w:r>
      <w:r>
        <w:t>: Evaluating Nondiscrimination</w:t>
      </w:r>
      <w:r>
        <w:rPr>
          <w:spacing w:val="-19"/>
        </w:rPr>
        <w:t xml:space="preserve"> </w:t>
      </w:r>
      <w:r>
        <w:t>on</w:t>
      </w:r>
      <w:r>
        <w:rPr>
          <w:spacing w:val="-18"/>
        </w:rPr>
        <w:t xml:space="preserve"> </w:t>
      </w:r>
      <w:r>
        <w:t>the</w:t>
      </w:r>
      <w:r>
        <w:rPr>
          <w:spacing w:val="-18"/>
        </w:rPr>
        <w:t xml:space="preserve"> </w:t>
      </w:r>
      <w:r>
        <w:t>Basis</w:t>
      </w:r>
      <w:r>
        <w:rPr>
          <w:spacing w:val="-18"/>
        </w:rPr>
        <w:t xml:space="preserve"> </w:t>
      </w:r>
      <w:r>
        <w:t>of</w:t>
      </w:r>
      <w:r>
        <w:rPr>
          <w:spacing w:val="-18"/>
        </w:rPr>
        <w:t xml:space="preserve"> </w:t>
      </w:r>
      <w:r>
        <w:t>Gender</w:t>
      </w:r>
      <w:r>
        <w:rPr>
          <w:spacing w:val="-18"/>
        </w:rPr>
        <w:t xml:space="preserve"> </w:t>
      </w:r>
      <w:r>
        <w:t>Identity</w:t>
      </w:r>
      <w:r>
        <w:rPr>
          <w:spacing w:val="-18"/>
        </w:rPr>
        <w:t xml:space="preserve"> </w:t>
      </w:r>
      <w:r>
        <w:t>in</w:t>
      </w:r>
      <w:r>
        <w:rPr>
          <w:spacing w:val="-18"/>
        </w:rPr>
        <w:t xml:space="preserve"> </w:t>
      </w:r>
      <w:r>
        <w:t>Massachusetts</w:t>
      </w:r>
      <w:r>
        <w:rPr>
          <w:spacing w:val="-18"/>
        </w:rPr>
        <w:t xml:space="preserve"> </w:t>
      </w:r>
      <w:r>
        <w:t>PK- 12 Public Schools</w:t>
      </w:r>
    </w:p>
    <w:p w:rsidR="00C76E6D" w:rsidRDefault="00913831">
      <w:pPr>
        <w:pStyle w:val="BodyText"/>
        <w:spacing w:before="7"/>
        <w:rPr>
          <w:b/>
          <w:sz w:val="12"/>
        </w:rPr>
      </w:pPr>
      <w:r>
        <w:pict>
          <v:shape id="docshape258" o:spid="_x0000_s1173" style="position:absolute;margin-left:70.6pt;margin-top:8.9pt;width:470.95pt;height:.1pt;z-index:-15690752;mso-wrap-distance-left:0;mso-wrap-distance-right:0;mso-position-horizontal-relative:page" coordorigin="1412,178" coordsize="9419,0" path="m1412,178r9419,e" filled="f" strokeweight="1.54pt">
            <v:path arrowok="t"/>
            <w10:wrap type="topAndBottom" anchorx="page"/>
          </v:shape>
        </w:pict>
      </w:r>
    </w:p>
    <w:p w:rsidR="00C76E6D" w:rsidRDefault="00913831">
      <w:pPr>
        <w:pStyle w:val="Heading5"/>
        <w:numPr>
          <w:ilvl w:val="0"/>
          <w:numId w:val="47"/>
        </w:numPr>
        <w:tabs>
          <w:tab w:val="left" w:pos="744"/>
        </w:tabs>
        <w:spacing w:before="281"/>
      </w:pPr>
      <w:r>
        <w:rPr>
          <w:spacing w:val="-2"/>
        </w:rPr>
        <w:t>Introduction</w:t>
      </w:r>
    </w:p>
    <w:p w:rsidR="00C76E6D" w:rsidRDefault="00913831">
      <w:pPr>
        <w:pStyle w:val="BodyText"/>
        <w:spacing w:before="2"/>
        <w:rPr>
          <w:b/>
          <w:sz w:val="19"/>
        </w:rPr>
      </w:pPr>
      <w:r>
        <w:pict>
          <v:shape id="docshape259" o:spid="_x0000_s1172" style="position:absolute;margin-left:1in;margin-top:12.95pt;width:466.3pt;height:.1pt;z-index:-15690240;mso-wrap-distance-left:0;mso-wrap-distance-right:0;mso-position-horizontal-relative:page" coordorigin="1440,259" coordsize="9326,0" path="m1440,259r9326,e" filled="f" strokeweight=".40958mm">
            <v:path arrowok="t"/>
            <w10:wrap type="topAndBottom" anchorx="page"/>
          </v:shape>
        </w:pict>
      </w:r>
    </w:p>
    <w:p w:rsidR="00C76E6D" w:rsidRDefault="00C76E6D">
      <w:pPr>
        <w:pStyle w:val="BodyText"/>
        <w:spacing w:before="4"/>
        <w:rPr>
          <w:b/>
          <w:sz w:val="21"/>
        </w:rPr>
      </w:pPr>
    </w:p>
    <w:p w:rsidR="00C76E6D" w:rsidRDefault="00913831">
      <w:pPr>
        <w:pStyle w:val="BodyText"/>
        <w:spacing w:line="276" w:lineRule="auto"/>
        <w:ind w:left="479" w:right="476"/>
        <w:jc w:val="both"/>
      </w:pPr>
      <w:r>
        <w:t>The Massachusetts Student Anti-Discrimination Law, Chapter 76, Section 5, was amended in 1993 to include</w:t>
      </w:r>
      <w:r>
        <w:rPr>
          <w:spacing w:val="-13"/>
        </w:rPr>
        <w:t xml:space="preserve"> </w:t>
      </w:r>
      <w:r>
        <w:t>sexual</w:t>
      </w:r>
      <w:r>
        <w:rPr>
          <w:spacing w:val="-12"/>
        </w:rPr>
        <w:t xml:space="preserve"> </w:t>
      </w:r>
      <w:r>
        <w:t>orientation</w:t>
      </w:r>
      <w:r>
        <w:rPr>
          <w:spacing w:val="-13"/>
        </w:rPr>
        <w:t xml:space="preserve"> </w:t>
      </w:r>
      <w:r>
        <w:t>as</w:t>
      </w:r>
      <w:r>
        <w:rPr>
          <w:spacing w:val="-12"/>
        </w:rPr>
        <w:t xml:space="preserve"> </w:t>
      </w:r>
      <w:r>
        <w:t>a</w:t>
      </w:r>
      <w:r>
        <w:rPr>
          <w:spacing w:val="-13"/>
        </w:rPr>
        <w:t xml:space="preserve"> </w:t>
      </w:r>
      <w:r>
        <w:t>protected</w:t>
      </w:r>
      <w:r>
        <w:rPr>
          <w:spacing w:val="-12"/>
        </w:rPr>
        <w:t xml:space="preserve"> </w:t>
      </w:r>
      <w:r>
        <w:t>category</w:t>
      </w:r>
      <w:r>
        <w:rPr>
          <w:spacing w:val="-13"/>
        </w:rPr>
        <w:t xml:space="preserve"> </w:t>
      </w:r>
      <w:r>
        <w:t>in</w:t>
      </w:r>
      <w:r>
        <w:rPr>
          <w:spacing w:val="-12"/>
        </w:rPr>
        <w:t xml:space="preserve"> </w:t>
      </w:r>
      <w:r>
        <w:t>an</w:t>
      </w:r>
      <w:r>
        <w:rPr>
          <w:spacing w:val="-12"/>
        </w:rPr>
        <w:t xml:space="preserve"> </w:t>
      </w:r>
      <w:r>
        <w:t>effort</w:t>
      </w:r>
      <w:r>
        <w:rPr>
          <w:spacing w:val="-13"/>
        </w:rPr>
        <w:t xml:space="preserve"> </w:t>
      </w:r>
      <w:r>
        <w:t>to</w:t>
      </w:r>
      <w:r>
        <w:rPr>
          <w:spacing w:val="-12"/>
        </w:rPr>
        <w:t xml:space="preserve"> </w:t>
      </w:r>
      <w:r>
        <w:t>combat</w:t>
      </w:r>
      <w:r>
        <w:rPr>
          <w:spacing w:val="-13"/>
        </w:rPr>
        <w:t xml:space="preserve"> </w:t>
      </w:r>
      <w:r>
        <w:t>violent</w:t>
      </w:r>
      <w:r>
        <w:rPr>
          <w:spacing w:val="-12"/>
        </w:rPr>
        <w:t xml:space="preserve"> </w:t>
      </w:r>
      <w:r>
        <w:t>bullying</w:t>
      </w:r>
      <w:r>
        <w:rPr>
          <w:spacing w:val="-13"/>
        </w:rPr>
        <w:t xml:space="preserve"> </w:t>
      </w:r>
      <w:r>
        <w:t>of</w:t>
      </w:r>
      <w:r>
        <w:rPr>
          <w:spacing w:val="-12"/>
        </w:rPr>
        <w:t xml:space="preserve"> </w:t>
      </w:r>
      <w:r>
        <w:t>LGBTQ+</w:t>
      </w:r>
      <w:r>
        <w:rPr>
          <w:spacing w:val="-12"/>
        </w:rPr>
        <w:t xml:space="preserve"> </w:t>
      </w:r>
      <w:r>
        <w:t>youth. In</w:t>
      </w:r>
      <w:r>
        <w:rPr>
          <w:spacing w:val="-2"/>
        </w:rPr>
        <w:t xml:space="preserve"> </w:t>
      </w:r>
      <w:r>
        <w:t>2012,</w:t>
      </w:r>
      <w:r>
        <w:rPr>
          <w:spacing w:val="-1"/>
        </w:rPr>
        <w:t xml:space="preserve"> </w:t>
      </w:r>
      <w:r>
        <w:t>advocates</w:t>
      </w:r>
      <w:r>
        <w:rPr>
          <w:spacing w:val="-1"/>
        </w:rPr>
        <w:t xml:space="preserve"> </w:t>
      </w:r>
      <w:r>
        <w:t>successfully</w:t>
      </w:r>
      <w:r>
        <w:rPr>
          <w:spacing w:val="-1"/>
        </w:rPr>
        <w:t xml:space="preserve"> </w:t>
      </w:r>
      <w:r>
        <w:t>amended</w:t>
      </w:r>
      <w:r>
        <w:rPr>
          <w:spacing w:val="-2"/>
        </w:rPr>
        <w:t xml:space="preserve"> </w:t>
      </w:r>
      <w:r>
        <w:t>Chapter 76, Section</w:t>
      </w:r>
      <w:r>
        <w:rPr>
          <w:spacing w:val="-1"/>
        </w:rPr>
        <w:t xml:space="preserve"> </w:t>
      </w:r>
      <w:r>
        <w:t>5 to prohibit</w:t>
      </w:r>
      <w:r>
        <w:rPr>
          <w:spacing w:val="-1"/>
        </w:rPr>
        <w:t xml:space="preserve"> </w:t>
      </w:r>
      <w:r>
        <w:t>discrimination on the</w:t>
      </w:r>
      <w:r>
        <w:rPr>
          <w:spacing w:val="-1"/>
        </w:rPr>
        <w:t xml:space="preserve"> </w:t>
      </w:r>
      <w:r>
        <w:t>basis of gender identity and protect transgender students</w:t>
      </w:r>
      <w:hyperlink w:anchor="_bookmark70" w:history="1">
        <w:r>
          <w:t>.</w:t>
        </w:r>
        <w:r>
          <w:rPr>
            <w:vertAlign w:val="superscript"/>
          </w:rPr>
          <w:t>1</w:t>
        </w:r>
      </w:hyperlink>
      <w:r>
        <w:t xml:space="preserve"> DESE and the Safe Schools Program for LGBTQ Students (SSP) issue important guidance for school professionals on the implementation of anti- discrimination policies impacting LGBTQ+ students. Ten years after the passage of the revised anti- discrimin</w:t>
      </w:r>
      <w:r>
        <w:t>ation</w:t>
      </w:r>
      <w:r>
        <w:rPr>
          <w:spacing w:val="-11"/>
        </w:rPr>
        <w:t xml:space="preserve"> </w:t>
      </w:r>
      <w:r>
        <w:t>law</w:t>
      </w:r>
      <w:r>
        <w:rPr>
          <w:spacing w:val="-11"/>
        </w:rPr>
        <w:t xml:space="preserve"> </w:t>
      </w:r>
      <w:r>
        <w:t>and</w:t>
      </w:r>
      <w:r>
        <w:rPr>
          <w:spacing w:val="-10"/>
        </w:rPr>
        <w:t xml:space="preserve"> </w:t>
      </w:r>
      <w:r>
        <w:t>DESE’s</w:t>
      </w:r>
      <w:r>
        <w:rPr>
          <w:spacing w:val="-11"/>
        </w:rPr>
        <w:t xml:space="preserve"> </w:t>
      </w:r>
      <w:r>
        <w:t>“Guidance</w:t>
      </w:r>
      <w:r>
        <w:rPr>
          <w:spacing w:val="-11"/>
        </w:rPr>
        <w:t xml:space="preserve"> </w:t>
      </w:r>
      <w:r>
        <w:t>for</w:t>
      </w:r>
      <w:r>
        <w:rPr>
          <w:spacing w:val="-10"/>
        </w:rPr>
        <w:t xml:space="preserve"> </w:t>
      </w:r>
      <w:r>
        <w:t>Massachusetts</w:t>
      </w:r>
      <w:r>
        <w:rPr>
          <w:spacing w:val="-9"/>
        </w:rPr>
        <w:t xml:space="preserve"> </w:t>
      </w:r>
      <w:r>
        <w:t>Public</w:t>
      </w:r>
      <w:r>
        <w:rPr>
          <w:spacing w:val="-12"/>
        </w:rPr>
        <w:t xml:space="preserve"> </w:t>
      </w:r>
      <w:r>
        <w:t>Schools</w:t>
      </w:r>
      <w:r>
        <w:rPr>
          <w:spacing w:val="-11"/>
        </w:rPr>
        <w:t xml:space="preserve"> </w:t>
      </w:r>
      <w:r>
        <w:t>Creating</w:t>
      </w:r>
      <w:r>
        <w:rPr>
          <w:spacing w:val="-10"/>
        </w:rPr>
        <w:t xml:space="preserve"> </w:t>
      </w:r>
      <w:r>
        <w:t>a</w:t>
      </w:r>
      <w:r>
        <w:rPr>
          <w:spacing w:val="-10"/>
        </w:rPr>
        <w:t xml:space="preserve"> </w:t>
      </w:r>
      <w:r>
        <w:t>Safe</w:t>
      </w:r>
      <w:r>
        <w:rPr>
          <w:spacing w:val="-10"/>
        </w:rPr>
        <w:t xml:space="preserve"> </w:t>
      </w:r>
      <w:r>
        <w:t>and</w:t>
      </w:r>
      <w:r>
        <w:rPr>
          <w:spacing w:val="-11"/>
        </w:rPr>
        <w:t xml:space="preserve"> </w:t>
      </w:r>
      <w:r>
        <w:t xml:space="preserve">Supportive School Environment," this report will evaluate public schools throughout the Commonwealth on their implementation of published policy and best practices through </w:t>
      </w:r>
      <w:r>
        <w:t>a textual analysis of more than 1,700 student/caregiver handbooks.</w:t>
      </w:r>
    </w:p>
    <w:p w:rsidR="00C76E6D" w:rsidRDefault="00C76E6D">
      <w:pPr>
        <w:pStyle w:val="BodyText"/>
        <w:spacing w:before="9"/>
        <w:rPr>
          <w:sz w:val="19"/>
        </w:rPr>
      </w:pPr>
    </w:p>
    <w:p w:rsidR="00C76E6D" w:rsidRDefault="00913831">
      <w:pPr>
        <w:pStyle w:val="BodyText"/>
        <w:spacing w:line="276" w:lineRule="auto"/>
        <w:ind w:left="480" w:right="475"/>
        <w:jc w:val="both"/>
      </w:pPr>
      <w:r>
        <w:t>Handbooks</w:t>
      </w:r>
      <w:r>
        <w:rPr>
          <w:spacing w:val="-13"/>
        </w:rPr>
        <w:t xml:space="preserve"> </w:t>
      </w:r>
      <w:r>
        <w:t>illuminate</w:t>
      </w:r>
      <w:r>
        <w:rPr>
          <w:spacing w:val="-12"/>
        </w:rPr>
        <w:t xml:space="preserve"> </w:t>
      </w:r>
      <w:r>
        <w:t>how</w:t>
      </w:r>
      <w:r>
        <w:rPr>
          <w:spacing w:val="-13"/>
        </w:rPr>
        <w:t xml:space="preserve"> </w:t>
      </w:r>
      <w:r>
        <w:t>individual</w:t>
      </w:r>
      <w:r>
        <w:rPr>
          <w:spacing w:val="-12"/>
        </w:rPr>
        <w:t xml:space="preserve"> </w:t>
      </w:r>
      <w:r>
        <w:t>schools</w:t>
      </w:r>
      <w:r>
        <w:rPr>
          <w:spacing w:val="-13"/>
        </w:rPr>
        <w:t xml:space="preserve"> </w:t>
      </w:r>
      <w:r>
        <w:t>interpret</w:t>
      </w:r>
      <w:r>
        <w:rPr>
          <w:spacing w:val="-12"/>
        </w:rPr>
        <w:t xml:space="preserve"> </w:t>
      </w:r>
      <w:r>
        <w:t>and</w:t>
      </w:r>
      <w:r>
        <w:rPr>
          <w:spacing w:val="-13"/>
        </w:rPr>
        <w:t xml:space="preserve"> </w:t>
      </w:r>
      <w:r>
        <w:t>communicate</w:t>
      </w:r>
      <w:r>
        <w:rPr>
          <w:spacing w:val="-12"/>
        </w:rPr>
        <w:t xml:space="preserve"> </w:t>
      </w:r>
      <w:r>
        <w:t>district-wide</w:t>
      </w:r>
      <w:r>
        <w:rPr>
          <w:spacing w:val="-12"/>
        </w:rPr>
        <w:t xml:space="preserve"> </w:t>
      </w:r>
      <w:r>
        <w:t>policies</w:t>
      </w:r>
      <w:r>
        <w:rPr>
          <w:spacing w:val="-13"/>
        </w:rPr>
        <w:t xml:space="preserve"> </w:t>
      </w:r>
      <w:r>
        <w:t>to</w:t>
      </w:r>
      <w:r>
        <w:rPr>
          <w:spacing w:val="-12"/>
        </w:rPr>
        <w:t xml:space="preserve"> </w:t>
      </w:r>
      <w:r>
        <w:t>students and caregivers. These documents can contain valuable information that cannot be parsed from school committee</w:t>
      </w:r>
      <w:r>
        <w:rPr>
          <w:spacing w:val="-10"/>
        </w:rPr>
        <w:t xml:space="preserve"> </w:t>
      </w:r>
      <w:r>
        <w:t>policy</w:t>
      </w:r>
      <w:r>
        <w:rPr>
          <w:spacing w:val="-12"/>
        </w:rPr>
        <w:t xml:space="preserve"> </w:t>
      </w:r>
      <w:r>
        <w:t>manuals</w:t>
      </w:r>
      <w:r>
        <w:rPr>
          <w:spacing w:val="-11"/>
        </w:rPr>
        <w:t xml:space="preserve"> </w:t>
      </w:r>
      <w:r>
        <w:t>regarding</w:t>
      </w:r>
      <w:r>
        <w:rPr>
          <w:spacing w:val="-12"/>
        </w:rPr>
        <w:t xml:space="preserve"> </w:t>
      </w:r>
      <w:r>
        <w:t>school</w:t>
      </w:r>
      <w:r>
        <w:rPr>
          <w:spacing w:val="-12"/>
        </w:rPr>
        <w:t xml:space="preserve"> </w:t>
      </w:r>
      <w:r>
        <w:t>resources</w:t>
      </w:r>
      <w:r>
        <w:rPr>
          <w:spacing w:val="-12"/>
        </w:rPr>
        <w:t xml:space="preserve"> </w:t>
      </w:r>
      <w:r>
        <w:t>for</w:t>
      </w:r>
      <w:r>
        <w:rPr>
          <w:spacing w:val="-12"/>
        </w:rPr>
        <w:t xml:space="preserve"> </w:t>
      </w:r>
      <w:r>
        <w:t>LGBTQ+</w:t>
      </w:r>
      <w:r>
        <w:rPr>
          <w:spacing w:val="-10"/>
        </w:rPr>
        <w:t xml:space="preserve"> </w:t>
      </w:r>
      <w:r>
        <w:t>students,</w:t>
      </w:r>
      <w:r>
        <w:rPr>
          <w:spacing w:val="-12"/>
        </w:rPr>
        <w:t xml:space="preserve"> </w:t>
      </w:r>
      <w:r>
        <w:t>and</w:t>
      </w:r>
      <w:r>
        <w:rPr>
          <w:spacing w:val="-11"/>
        </w:rPr>
        <w:t xml:space="preserve"> </w:t>
      </w:r>
      <w:r>
        <w:t>how</w:t>
      </w:r>
      <w:r>
        <w:rPr>
          <w:spacing w:val="-11"/>
        </w:rPr>
        <w:t xml:space="preserve"> </w:t>
      </w:r>
      <w:r>
        <w:t>topics</w:t>
      </w:r>
      <w:r>
        <w:rPr>
          <w:spacing w:val="-11"/>
        </w:rPr>
        <w:t xml:space="preserve"> </w:t>
      </w:r>
      <w:r>
        <w:t>of</w:t>
      </w:r>
      <w:r>
        <w:rPr>
          <w:spacing w:val="-12"/>
        </w:rPr>
        <w:t xml:space="preserve"> </w:t>
      </w:r>
      <w:r>
        <w:t>gender</w:t>
      </w:r>
      <w:r>
        <w:rPr>
          <w:spacing w:val="-11"/>
        </w:rPr>
        <w:t xml:space="preserve"> </w:t>
      </w:r>
      <w:r>
        <w:t>and sexuality may be publicly communicated to stud</w:t>
      </w:r>
      <w:r>
        <w:t>ents and families. This report will identify school handbooks containing specific guidance and comprehensive policy protections for transgender and nonbinary</w:t>
      </w:r>
      <w:r>
        <w:rPr>
          <w:spacing w:val="-10"/>
        </w:rPr>
        <w:t xml:space="preserve"> </w:t>
      </w:r>
      <w:r>
        <w:t>youth.</w:t>
      </w:r>
      <w:r>
        <w:rPr>
          <w:spacing w:val="-9"/>
        </w:rPr>
        <w:t xml:space="preserve"> </w:t>
      </w:r>
      <w:r>
        <w:t>Terms</w:t>
      </w:r>
      <w:r>
        <w:rPr>
          <w:spacing w:val="-9"/>
        </w:rPr>
        <w:t xml:space="preserve"> </w:t>
      </w:r>
      <w:r>
        <w:t>for</w:t>
      </w:r>
      <w:r>
        <w:rPr>
          <w:spacing w:val="-10"/>
        </w:rPr>
        <w:t xml:space="preserve"> </w:t>
      </w:r>
      <w:r>
        <w:t>analysis</w:t>
      </w:r>
      <w:r>
        <w:rPr>
          <w:spacing w:val="-10"/>
        </w:rPr>
        <w:t xml:space="preserve"> </w:t>
      </w:r>
      <w:r>
        <w:t>were</w:t>
      </w:r>
      <w:r>
        <w:rPr>
          <w:spacing w:val="-10"/>
        </w:rPr>
        <w:t xml:space="preserve"> </w:t>
      </w:r>
      <w:r>
        <w:t>drawn</w:t>
      </w:r>
      <w:r>
        <w:rPr>
          <w:spacing w:val="-10"/>
        </w:rPr>
        <w:t xml:space="preserve"> </w:t>
      </w:r>
      <w:r>
        <w:t>from</w:t>
      </w:r>
      <w:r>
        <w:rPr>
          <w:spacing w:val="-9"/>
        </w:rPr>
        <w:t xml:space="preserve"> </w:t>
      </w:r>
      <w:r>
        <w:t>the</w:t>
      </w:r>
      <w:r>
        <w:rPr>
          <w:spacing w:val="-10"/>
        </w:rPr>
        <w:t xml:space="preserve"> </w:t>
      </w:r>
      <w:r>
        <w:t>five</w:t>
      </w:r>
      <w:r>
        <w:rPr>
          <w:spacing w:val="-9"/>
        </w:rPr>
        <w:t xml:space="preserve"> </w:t>
      </w:r>
      <w:r>
        <w:t>major</w:t>
      </w:r>
      <w:r>
        <w:rPr>
          <w:spacing w:val="-10"/>
        </w:rPr>
        <w:t xml:space="preserve"> </w:t>
      </w:r>
      <w:r>
        <w:t>recommendations</w:t>
      </w:r>
      <w:r>
        <w:rPr>
          <w:spacing w:val="-10"/>
        </w:rPr>
        <w:t xml:space="preserve"> </w:t>
      </w:r>
      <w:r>
        <w:t>outlined</w:t>
      </w:r>
      <w:r>
        <w:rPr>
          <w:spacing w:val="-10"/>
        </w:rPr>
        <w:t xml:space="preserve"> </w:t>
      </w:r>
      <w:r>
        <w:t>in</w:t>
      </w:r>
      <w:r>
        <w:rPr>
          <w:spacing w:val="-10"/>
        </w:rPr>
        <w:t xml:space="preserve"> </w:t>
      </w:r>
      <w:r>
        <w:t>DESE’s guidan</w:t>
      </w:r>
      <w:r>
        <w:t>ce on gender identity</w:t>
      </w:r>
      <w:hyperlink w:anchor="_bookmark71" w:history="1">
        <w:r>
          <w:t>:</w:t>
        </w:r>
        <w:r>
          <w:rPr>
            <w:vertAlign w:val="superscript"/>
          </w:rPr>
          <w:t>2</w:t>
        </w:r>
      </w:hyperlink>
    </w:p>
    <w:p w:rsidR="00C76E6D" w:rsidRDefault="00C76E6D">
      <w:pPr>
        <w:pStyle w:val="BodyText"/>
        <w:spacing w:before="4"/>
        <w:rPr>
          <w:sz w:val="25"/>
        </w:rPr>
      </w:pPr>
    </w:p>
    <w:p w:rsidR="00C76E6D" w:rsidRDefault="00913831">
      <w:pPr>
        <w:pStyle w:val="ListParagraph"/>
        <w:numPr>
          <w:ilvl w:val="1"/>
          <w:numId w:val="47"/>
        </w:numPr>
        <w:tabs>
          <w:tab w:val="left" w:pos="1200"/>
        </w:tabs>
        <w:spacing w:line="276" w:lineRule="auto"/>
        <w:ind w:left="1199" w:right="476" w:hanging="360"/>
        <w:jc w:val="both"/>
      </w:pPr>
      <w:r>
        <w:t>All anti-bullying and non-discrimination statutes written by schools and districts should include “gender identity” to include transgender and nonbinary youth.</w:t>
      </w:r>
    </w:p>
    <w:p w:rsidR="00C76E6D" w:rsidRDefault="00C76E6D">
      <w:pPr>
        <w:pStyle w:val="BodyText"/>
        <w:spacing w:before="7"/>
        <w:rPr>
          <w:sz w:val="19"/>
        </w:rPr>
      </w:pPr>
    </w:p>
    <w:p w:rsidR="00C76E6D" w:rsidRDefault="00913831">
      <w:pPr>
        <w:pStyle w:val="ListParagraph"/>
        <w:numPr>
          <w:ilvl w:val="1"/>
          <w:numId w:val="47"/>
        </w:numPr>
        <w:tabs>
          <w:tab w:val="left" w:pos="1200"/>
        </w:tabs>
        <w:spacing w:line="276" w:lineRule="auto"/>
        <w:ind w:left="1200" w:right="471" w:hanging="360"/>
        <w:jc w:val="both"/>
      </w:pPr>
      <w:r>
        <w:t>The student should be able to self-report their preferred name and gender marker on all school documents</w:t>
      </w:r>
      <w:r>
        <w:rPr>
          <w:spacing w:val="-5"/>
        </w:rPr>
        <w:t xml:space="preserve"> </w:t>
      </w:r>
      <w:r>
        <w:t>in</w:t>
      </w:r>
      <w:r>
        <w:rPr>
          <w:spacing w:val="-4"/>
        </w:rPr>
        <w:t xml:space="preserve"> </w:t>
      </w:r>
      <w:r>
        <w:t>alignment</w:t>
      </w:r>
      <w:r>
        <w:rPr>
          <w:spacing w:val="-5"/>
        </w:rPr>
        <w:t xml:space="preserve"> </w:t>
      </w:r>
      <w:r>
        <w:t>with</w:t>
      </w:r>
      <w:r>
        <w:rPr>
          <w:spacing w:val="-5"/>
        </w:rPr>
        <w:t xml:space="preserve"> </w:t>
      </w:r>
      <w:r>
        <w:t>any</w:t>
      </w:r>
      <w:r>
        <w:rPr>
          <w:spacing w:val="-5"/>
        </w:rPr>
        <w:t xml:space="preserve"> </w:t>
      </w:r>
      <w:r>
        <w:t>privacy</w:t>
      </w:r>
      <w:r>
        <w:rPr>
          <w:spacing w:val="-5"/>
        </w:rPr>
        <w:t xml:space="preserve"> </w:t>
      </w:r>
      <w:r>
        <w:t>needs</w:t>
      </w:r>
      <w:r>
        <w:rPr>
          <w:spacing w:val="-4"/>
        </w:rPr>
        <w:t xml:space="preserve"> </w:t>
      </w:r>
      <w:r>
        <w:t>that</w:t>
      </w:r>
      <w:r>
        <w:rPr>
          <w:spacing w:val="-3"/>
        </w:rPr>
        <w:t xml:space="preserve"> </w:t>
      </w:r>
      <w:r>
        <w:t>might</w:t>
      </w:r>
      <w:r>
        <w:rPr>
          <w:spacing w:val="-5"/>
        </w:rPr>
        <w:t xml:space="preserve"> </w:t>
      </w:r>
      <w:r>
        <w:t>exist</w:t>
      </w:r>
      <w:r>
        <w:rPr>
          <w:spacing w:val="-4"/>
        </w:rPr>
        <w:t xml:space="preserve"> </w:t>
      </w:r>
      <w:r>
        <w:t>at</w:t>
      </w:r>
      <w:r>
        <w:rPr>
          <w:spacing w:val="-4"/>
        </w:rPr>
        <w:t xml:space="preserve"> </w:t>
      </w:r>
      <w:r>
        <w:t>school</w:t>
      </w:r>
      <w:r>
        <w:rPr>
          <w:spacing w:val="-5"/>
        </w:rPr>
        <w:t xml:space="preserve"> </w:t>
      </w:r>
      <w:r>
        <w:t>or</w:t>
      </w:r>
      <w:r>
        <w:rPr>
          <w:spacing w:val="-5"/>
        </w:rPr>
        <w:t xml:space="preserve"> </w:t>
      </w:r>
      <w:r>
        <w:t>at</w:t>
      </w:r>
      <w:r>
        <w:rPr>
          <w:spacing w:val="-4"/>
        </w:rPr>
        <w:t xml:space="preserve"> </w:t>
      </w:r>
      <w:r>
        <w:t>home.</w:t>
      </w:r>
      <w:r>
        <w:rPr>
          <w:spacing w:val="-5"/>
        </w:rPr>
        <w:t xml:space="preserve"> </w:t>
      </w:r>
      <w:r>
        <w:t>The</w:t>
      </w:r>
      <w:r>
        <w:rPr>
          <w:spacing w:val="-5"/>
        </w:rPr>
        <w:t xml:space="preserve"> </w:t>
      </w:r>
      <w:r>
        <w:t>school should have clear procedures for record changes when a student do</w:t>
      </w:r>
      <w:r>
        <w:t>es change their name or gender marker.</w:t>
      </w:r>
    </w:p>
    <w:p w:rsidR="00C76E6D" w:rsidRDefault="00C76E6D">
      <w:pPr>
        <w:pStyle w:val="BodyText"/>
        <w:spacing w:before="8"/>
        <w:rPr>
          <w:sz w:val="19"/>
        </w:rPr>
      </w:pPr>
    </w:p>
    <w:p w:rsidR="00C76E6D" w:rsidRDefault="00913831">
      <w:pPr>
        <w:pStyle w:val="ListParagraph"/>
        <w:numPr>
          <w:ilvl w:val="1"/>
          <w:numId w:val="47"/>
        </w:numPr>
        <w:tabs>
          <w:tab w:val="left" w:pos="1200"/>
        </w:tabs>
        <w:spacing w:before="1" w:line="276" w:lineRule="auto"/>
        <w:ind w:left="1200" w:right="476" w:hanging="360"/>
        <w:jc w:val="both"/>
      </w:pPr>
      <w:r>
        <w:t>Gender-neutral bathrooms, locker rooms, and other school facilities should be accessible, unlocked, and available for use at all times.</w:t>
      </w:r>
    </w:p>
    <w:p w:rsidR="00C76E6D" w:rsidRDefault="00C76E6D">
      <w:pPr>
        <w:pStyle w:val="BodyText"/>
        <w:spacing w:before="8"/>
        <w:rPr>
          <w:sz w:val="19"/>
        </w:rPr>
      </w:pPr>
    </w:p>
    <w:p w:rsidR="00C76E6D" w:rsidRDefault="00913831">
      <w:pPr>
        <w:pStyle w:val="ListParagraph"/>
        <w:numPr>
          <w:ilvl w:val="1"/>
          <w:numId w:val="47"/>
        </w:numPr>
        <w:tabs>
          <w:tab w:val="left" w:pos="1200"/>
        </w:tabs>
        <w:spacing w:line="276" w:lineRule="auto"/>
        <w:ind w:left="1200" w:right="475" w:hanging="360"/>
        <w:jc w:val="both"/>
      </w:pPr>
      <w:r>
        <w:t>The school should maintain strict confidentiality for LGBTQ+ students. It is up</w:t>
      </w:r>
      <w:r>
        <w:t xml:space="preserve"> to the student how/whether/when they want to “come out” to their peers, teachers, or parents. A student’s gender identity is also protected medical information that must be kept confidential by school </w:t>
      </w:r>
      <w:r>
        <w:rPr>
          <w:spacing w:val="-2"/>
        </w:rPr>
        <w:t>staff.</w:t>
      </w:r>
    </w:p>
    <w:p w:rsidR="00C76E6D" w:rsidRDefault="00C76E6D">
      <w:pPr>
        <w:spacing w:line="276" w:lineRule="auto"/>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ListParagraph"/>
        <w:numPr>
          <w:ilvl w:val="1"/>
          <w:numId w:val="47"/>
        </w:numPr>
        <w:tabs>
          <w:tab w:val="left" w:pos="1200"/>
        </w:tabs>
        <w:spacing w:line="276" w:lineRule="auto"/>
        <w:ind w:left="1200" w:right="477" w:hanging="360"/>
        <w:jc w:val="both"/>
      </w:pPr>
      <w:r>
        <w:t>Gendered practices should be avoided at all times. Most institutions operate on a binary gender system that separates students into groups of “boys” and “girls.” This excludes the countless transgender and nonbinary students who are forced to make a public</w:t>
      </w:r>
      <w:r>
        <w:t xml:space="preserve"> choice in front of their classmates based on this rigid system.</w:t>
      </w:r>
    </w:p>
    <w:p w:rsidR="00C76E6D" w:rsidRDefault="00C76E6D">
      <w:pPr>
        <w:pStyle w:val="BodyText"/>
        <w:spacing w:before="4"/>
        <w:rPr>
          <w:sz w:val="25"/>
        </w:rPr>
      </w:pPr>
    </w:p>
    <w:p w:rsidR="00C76E6D" w:rsidRDefault="00913831">
      <w:pPr>
        <w:pStyle w:val="BodyText"/>
        <w:spacing w:line="276" w:lineRule="auto"/>
        <w:ind w:left="480" w:right="476"/>
        <w:jc w:val="both"/>
      </w:pPr>
      <w:r>
        <w:t xml:space="preserve">The R Studio package </w:t>
      </w:r>
      <w:r>
        <w:rPr>
          <w:i/>
        </w:rPr>
        <w:t xml:space="preserve">quanteda </w:t>
      </w:r>
      <w:r>
        <w:t>was used to search all sampled documents for the presence or absence of terms indicating the key policies and practices described above. Quanteda allows researc</w:t>
      </w:r>
      <w:r>
        <w:t>hers to automatically search for concepts across sets of keywords. Relevant terms used for this project and guiding descriptions for interpretation are summarized below (Table 1):</w:t>
      </w:r>
    </w:p>
    <w:p w:rsidR="00C76E6D" w:rsidRDefault="00C76E6D">
      <w:pPr>
        <w:pStyle w:val="BodyText"/>
        <w:spacing w:before="9"/>
        <w:rPr>
          <w:sz w:val="27"/>
        </w:rPr>
      </w:pPr>
    </w:p>
    <w:tbl>
      <w:tblPr>
        <w:tblW w:w="0" w:type="auto"/>
        <w:tblCellSpacing w:w="7" w:type="dxa"/>
        <w:tblInd w:w="524" w:type="dxa"/>
        <w:tblLayout w:type="fixed"/>
        <w:tblCellMar>
          <w:left w:w="0" w:type="dxa"/>
          <w:right w:w="0" w:type="dxa"/>
        </w:tblCellMar>
        <w:tblLook w:val="01E0" w:firstRow="1" w:lastRow="1" w:firstColumn="1" w:lastColumn="1" w:noHBand="0" w:noVBand="0"/>
      </w:tblPr>
      <w:tblGrid>
        <w:gridCol w:w="1115"/>
        <w:gridCol w:w="4212"/>
        <w:gridCol w:w="4369"/>
      </w:tblGrid>
      <w:tr w:rsidR="00C76E6D">
        <w:trPr>
          <w:trHeight w:val="486"/>
          <w:tblCellSpacing w:w="7" w:type="dxa"/>
        </w:trPr>
        <w:tc>
          <w:tcPr>
            <w:tcW w:w="9640" w:type="dxa"/>
            <w:gridSpan w:val="3"/>
            <w:shd w:val="clear" w:color="auto" w:fill="C4CEDF"/>
          </w:tcPr>
          <w:p w:rsidR="00C76E6D" w:rsidRDefault="00913831">
            <w:pPr>
              <w:pStyle w:val="TableParagraph"/>
              <w:spacing w:before="97"/>
              <w:ind w:left="92"/>
              <w:rPr>
                <w:b/>
                <w:sz w:val="20"/>
              </w:rPr>
            </w:pPr>
            <w:r>
              <w:rPr>
                <w:b/>
                <w:sz w:val="20"/>
              </w:rPr>
              <w:t>Table</w:t>
            </w:r>
            <w:r>
              <w:rPr>
                <w:b/>
                <w:spacing w:val="-8"/>
                <w:sz w:val="20"/>
              </w:rPr>
              <w:t xml:space="preserve"> </w:t>
            </w:r>
            <w:r>
              <w:rPr>
                <w:b/>
                <w:sz w:val="20"/>
              </w:rPr>
              <w:t>1.</w:t>
            </w:r>
            <w:r>
              <w:rPr>
                <w:b/>
                <w:spacing w:val="-5"/>
                <w:sz w:val="20"/>
              </w:rPr>
              <w:t xml:space="preserve"> </w:t>
            </w:r>
            <w:r>
              <w:rPr>
                <w:b/>
                <w:sz w:val="20"/>
              </w:rPr>
              <w:t>Keywords</w:t>
            </w:r>
            <w:r>
              <w:rPr>
                <w:b/>
                <w:spacing w:val="-6"/>
                <w:sz w:val="20"/>
              </w:rPr>
              <w:t xml:space="preserve"> </w:t>
            </w:r>
            <w:r>
              <w:rPr>
                <w:b/>
                <w:sz w:val="20"/>
              </w:rPr>
              <w:t>for</w:t>
            </w:r>
            <w:r>
              <w:rPr>
                <w:b/>
                <w:spacing w:val="-6"/>
                <w:sz w:val="20"/>
              </w:rPr>
              <w:t xml:space="preserve"> </w:t>
            </w:r>
            <w:r>
              <w:rPr>
                <w:b/>
                <w:sz w:val="20"/>
              </w:rPr>
              <w:t>Handbook</w:t>
            </w:r>
            <w:r>
              <w:rPr>
                <w:b/>
                <w:spacing w:val="-6"/>
                <w:sz w:val="20"/>
              </w:rPr>
              <w:t xml:space="preserve"> </w:t>
            </w:r>
            <w:r>
              <w:rPr>
                <w:b/>
                <w:spacing w:val="-2"/>
                <w:sz w:val="20"/>
              </w:rPr>
              <w:t>Analysis</w:t>
            </w:r>
          </w:p>
        </w:tc>
      </w:tr>
      <w:tr w:rsidR="00C76E6D">
        <w:trPr>
          <w:trHeight w:val="437"/>
          <w:tblCellSpacing w:w="7" w:type="dxa"/>
        </w:trPr>
        <w:tc>
          <w:tcPr>
            <w:tcW w:w="1094" w:type="dxa"/>
            <w:shd w:val="clear" w:color="auto" w:fill="E1E7EF"/>
          </w:tcPr>
          <w:p w:rsidR="00C76E6D" w:rsidRDefault="00913831">
            <w:pPr>
              <w:pStyle w:val="TableParagraph"/>
              <w:spacing w:before="95"/>
              <w:ind w:left="76"/>
              <w:rPr>
                <w:b/>
                <w:sz w:val="20"/>
              </w:rPr>
            </w:pPr>
            <w:r>
              <w:rPr>
                <w:b/>
                <w:spacing w:val="-2"/>
                <w:sz w:val="20"/>
              </w:rPr>
              <w:t>Variable</w:t>
            </w:r>
          </w:p>
        </w:tc>
        <w:tc>
          <w:tcPr>
            <w:tcW w:w="4198" w:type="dxa"/>
            <w:shd w:val="clear" w:color="auto" w:fill="E1E7EF"/>
          </w:tcPr>
          <w:p w:rsidR="00C76E6D" w:rsidRDefault="00913831">
            <w:pPr>
              <w:pStyle w:val="TableParagraph"/>
              <w:spacing w:before="95"/>
              <w:ind w:left="92"/>
              <w:rPr>
                <w:b/>
                <w:sz w:val="20"/>
              </w:rPr>
            </w:pPr>
            <w:r>
              <w:rPr>
                <w:b/>
                <w:spacing w:val="-2"/>
                <w:sz w:val="20"/>
              </w:rPr>
              <w:t>Keywords</w:t>
            </w:r>
          </w:p>
        </w:tc>
        <w:tc>
          <w:tcPr>
            <w:tcW w:w="4348" w:type="dxa"/>
            <w:shd w:val="clear" w:color="auto" w:fill="E1E7EF"/>
          </w:tcPr>
          <w:p w:rsidR="00C76E6D" w:rsidRDefault="00913831">
            <w:pPr>
              <w:pStyle w:val="TableParagraph"/>
              <w:spacing w:before="95"/>
              <w:ind w:left="93"/>
              <w:rPr>
                <w:b/>
                <w:sz w:val="20"/>
              </w:rPr>
            </w:pPr>
            <w:r>
              <w:rPr>
                <w:b/>
                <w:spacing w:val="-2"/>
                <w:sz w:val="20"/>
              </w:rPr>
              <w:t>Description</w:t>
            </w:r>
          </w:p>
        </w:tc>
      </w:tr>
      <w:tr w:rsidR="00C76E6D">
        <w:trPr>
          <w:trHeight w:val="690"/>
          <w:tblCellSpacing w:w="7" w:type="dxa"/>
        </w:trPr>
        <w:tc>
          <w:tcPr>
            <w:tcW w:w="1094" w:type="dxa"/>
            <w:shd w:val="clear" w:color="auto" w:fill="C4CEDF"/>
          </w:tcPr>
          <w:p w:rsidR="00C76E6D" w:rsidRDefault="00913831">
            <w:pPr>
              <w:pStyle w:val="TableParagraph"/>
              <w:spacing w:before="94"/>
              <w:ind w:left="76"/>
              <w:rPr>
                <w:i/>
                <w:sz w:val="20"/>
              </w:rPr>
            </w:pPr>
            <w:r>
              <w:rPr>
                <w:i/>
                <w:spacing w:val="-2"/>
                <w:sz w:val="20"/>
              </w:rPr>
              <w:t>lgbtq</w:t>
            </w:r>
          </w:p>
        </w:tc>
        <w:tc>
          <w:tcPr>
            <w:tcW w:w="4198" w:type="dxa"/>
            <w:shd w:val="clear" w:color="auto" w:fill="C4CEDF"/>
          </w:tcPr>
          <w:p w:rsidR="00C76E6D" w:rsidRPr="00AB50BD" w:rsidRDefault="00913831">
            <w:pPr>
              <w:pStyle w:val="TableParagraph"/>
              <w:spacing w:before="94"/>
              <w:ind w:left="92"/>
              <w:rPr>
                <w:sz w:val="20"/>
                <w:lang w:val="es-US"/>
              </w:rPr>
            </w:pPr>
            <w:r w:rsidRPr="00AB50BD">
              <w:rPr>
                <w:sz w:val="20"/>
                <w:lang w:val="es-US"/>
              </w:rPr>
              <w:t>"lesbian",</w:t>
            </w:r>
            <w:r w:rsidRPr="00AB50BD">
              <w:rPr>
                <w:spacing w:val="-12"/>
                <w:sz w:val="20"/>
                <w:lang w:val="es-US"/>
              </w:rPr>
              <w:t xml:space="preserve"> </w:t>
            </w:r>
            <w:r w:rsidRPr="00AB50BD">
              <w:rPr>
                <w:sz w:val="20"/>
                <w:lang w:val="es-US"/>
              </w:rPr>
              <w:t>"gay",</w:t>
            </w:r>
            <w:r w:rsidRPr="00AB50BD">
              <w:rPr>
                <w:spacing w:val="-11"/>
                <w:sz w:val="20"/>
                <w:lang w:val="es-US"/>
              </w:rPr>
              <w:t xml:space="preserve"> </w:t>
            </w:r>
            <w:r w:rsidRPr="00AB50BD">
              <w:rPr>
                <w:sz w:val="20"/>
                <w:lang w:val="es-US"/>
              </w:rPr>
              <w:t>"bisexual",</w:t>
            </w:r>
            <w:r w:rsidRPr="00AB50BD">
              <w:rPr>
                <w:spacing w:val="-11"/>
                <w:sz w:val="20"/>
                <w:lang w:val="es-US"/>
              </w:rPr>
              <w:t xml:space="preserve"> </w:t>
            </w:r>
            <w:r w:rsidRPr="00AB50BD">
              <w:rPr>
                <w:sz w:val="20"/>
                <w:lang w:val="es-US"/>
              </w:rPr>
              <w:t>"transgender", "queer", "lgbt", "lgbtq"</w:t>
            </w:r>
          </w:p>
        </w:tc>
        <w:tc>
          <w:tcPr>
            <w:tcW w:w="4348" w:type="dxa"/>
            <w:shd w:val="clear" w:color="auto" w:fill="C4CEDF"/>
          </w:tcPr>
          <w:p w:rsidR="00C76E6D" w:rsidRDefault="00913831">
            <w:pPr>
              <w:pStyle w:val="TableParagraph"/>
              <w:spacing w:before="94"/>
              <w:ind w:left="93" w:right="109"/>
              <w:rPr>
                <w:sz w:val="20"/>
              </w:rPr>
            </w:pPr>
            <w:r>
              <w:rPr>
                <w:sz w:val="20"/>
              </w:rPr>
              <w:t>lgbtq</w:t>
            </w:r>
            <w:r>
              <w:rPr>
                <w:spacing w:val="-8"/>
                <w:sz w:val="20"/>
              </w:rPr>
              <w:t xml:space="preserve"> </w:t>
            </w:r>
            <w:r>
              <w:rPr>
                <w:sz w:val="20"/>
              </w:rPr>
              <w:t>=</w:t>
            </w:r>
            <w:r>
              <w:rPr>
                <w:spacing w:val="-9"/>
                <w:sz w:val="20"/>
              </w:rPr>
              <w:t xml:space="preserve"> </w:t>
            </w:r>
            <w:r>
              <w:rPr>
                <w:sz w:val="20"/>
              </w:rPr>
              <w:t>1</w:t>
            </w:r>
            <w:r>
              <w:rPr>
                <w:spacing w:val="-6"/>
                <w:sz w:val="20"/>
              </w:rPr>
              <w:t xml:space="preserve"> </w:t>
            </w:r>
            <w:r>
              <w:rPr>
                <w:sz w:val="20"/>
              </w:rPr>
              <w:t>indicates</w:t>
            </w:r>
            <w:r>
              <w:rPr>
                <w:spacing w:val="-7"/>
                <w:sz w:val="20"/>
              </w:rPr>
              <w:t xml:space="preserve"> </w:t>
            </w:r>
            <w:r>
              <w:rPr>
                <w:sz w:val="20"/>
              </w:rPr>
              <w:t>presence</w:t>
            </w:r>
            <w:r>
              <w:rPr>
                <w:spacing w:val="-8"/>
                <w:sz w:val="20"/>
              </w:rPr>
              <w:t xml:space="preserve"> </w:t>
            </w:r>
            <w:r>
              <w:rPr>
                <w:sz w:val="20"/>
              </w:rPr>
              <w:t>of</w:t>
            </w:r>
            <w:r>
              <w:rPr>
                <w:spacing w:val="-7"/>
                <w:sz w:val="20"/>
              </w:rPr>
              <w:t xml:space="preserve"> </w:t>
            </w:r>
            <w:r>
              <w:rPr>
                <w:sz w:val="20"/>
              </w:rPr>
              <w:t>policy</w:t>
            </w:r>
            <w:r>
              <w:rPr>
                <w:spacing w:val="-6"/>
                <w:sz w:val="20"/>
              </w:rPr>
              <w:t xml:space="preserve"> </w:t>
            </w:r>
            <w:r>
              <w:rPr>
                <w:sz w:val="20"/>
              </w:rPr>
              <w:t>protections for LGBTQ+ youth</w:t>
            </w:r>
          </w:p>
        </w:tc>
      </w:tr>
      <w:tr w:rsidR="00C76E6D">
        <w:trPr>
          <w:trHeight w:val="682"/>
          <w:tblCellSpacing w:w="7" w:type="dxa"/>
        </w:trPr>
        <w:tc>
          <w:tcPr>
            <w:tcW w:w="1094" w:type="dxa"/>
            <w:shd w:val="clear" w:color="auto" w:fill="E1E7EF"/>
          </w:tcPr>
          <w:p w:rsidR="00C76E6D" w:rsidRDefault="00913831">
            <w:pPr>
              <w:pStyle w:val="TableParagraph"/>
              <w:spacing w:before="95"/>
              <w:ind w:left="76"/>
              <w:rPr>
                <w:i/>
                <w:sz w:val="20"/>
              </w:rPr>
            </w:pPr>
            <w:r>
              <w:rPr>
                <w:i/>
                <w:spacing w:val="-2"/>
                <w:sz w:val="20"/>
              </w:rPr>
              <w:t>genderid</w:t>
            </w:r>
          </w:p>
        </w:tc>
        <w:tc>
          <w:tcPr>
            <w:tcW w:w="4198" w:type="dxa"/>
            <w:shd w:val="clear" w:color="auto" w:fill="E1E7EF"/>
          </w:tcPr>
          <w:p w:rsidR="00C76E6D" w:rsidRDefault="00913831">
            <w:pPr>
              <w:pStyle w:val="TableParagraph"/>
              <w:spacing w:before="95"/>
              <w:ind w:left="92"/>
              <w:rPr>
                <w:sz w:val="20"/>
              </w:rPr>
            </w:pPr>
            <w:r>
              <w:rPr>
                <w:sz w:val="20"/>
              </w:rPr>
              <w:t>"gender</w:t>
            </w:r>
            <w:r>
              <w:rPr>
                <w:spacing w:val="-8"/>
                <w:sz w:val="20"/>
              </w:rPr>
              <w:t xml:space="preserve"> </w:t>
            </w:r>
            <w:r>
              <w:rPr>
                <w:spacing w:val="-2"/>
                <w:sz w:val="20"/>
              </w:rPr>
              <w:t>identity"</w:t>
            </w:r>
          </w:p>
        </w:tc>
        <w:tc>
          <w:tcPr>
            <w:tcW w:w="4348" w:type="dxa"/>
            <w:shd w:val="clear" w:color="auto" w:fill="E1E7EF"/>
          </w:tcPr>
          <w:p w:rsidR="00C76E6D" w:rsidRDefault="00913831">
            <w:pPr>
              <w:pStyle w:val="TableParagraph"/>
              <w:spacing w:before="95"/>
              <w:ind w:left="93" w:right="454"/>
              <w:rPr>
                <w:sz w:val="20"/>
              </w:rPr>
            </w:pPr>
            <w:r>
              <w:rPr>
                <w:sz w:val="20"/>
              </w:rPr>
              <w:t>genderid</w:t>
            </w:r>
            <w:r>
              <w:rPr>
                <w:spacing w:val="-7"/>
                <w:sz w:val="20"/>
              </w:rPr>
              <w:t xml:space="preserve"> </w:t>
            </w:r>
            <w:r>
              <w:rPr>
                <w:sz w:val="20"/>
              </w:rPr>
              <w:t>=</w:t>
            </w:r>
            <w:r>
              <w:rPr>
                <w:spacing w:val="-9"/>
                <w:sz w:val="20"/>
              </w:rPr>
              <w:t xml:space="preserve"> </w:t>
            </w:r>
            <w:r>
              <w:rPr>
                <w:sz w:val="20"/>
              </w:rPr>
              <w:t>1</w:t>
            </w:r>
            <w:r>
              <w:rPr>
                <w:spacing w:val="-6"/>
                <w:sz w:val="20"/>
              </w:rPr>
              <w:t xml:space="preserve"> </w:t>
            </w:r>
            <w:r>
              <w:rPr>
                <w:sz w:val="20"/>
              </w:rPr>
              <w:t>indicates</w:t>
            </w:r>
            <w:r>
              <w:rPr>
                <w:spacing w:val="-7"/>
                <w:sz w:val="20"/>
              </w:rPr>
              <w:t xml:space="preserve"> </w:t>
            </w:r>
            <w:r>
              <w:rPr>
                <w:sz w:val="20"/>
              </w:rPr>
              <w:t>accurate</w:t>
            </w:r>
            <w:r>
              <w:rPr>
                <w:spacing w:val="-7"/>
                <w:sz w:val="20"/>
              </w:rPr>
              <w:t xml:space="preserve"> </w:t>
            </w:r>
            <w:r>
              <w:rPr>
                <w:sz w:val="20"/>
              </w:rPr>
              <w:t>and</w:t>
            </w:r>
            <w:r>
              <w:rPr>
                <w:spacing w:val="-8"/>
                <w:sz w:val="20"/>
              </w:rPr>
              <w:t xml:space="preserve"> </w:t>
            </w:r>
            <w:r>
              <w:rPr>
                <w:sz w:val="20"/>
              </w:rPr>
              <w:t>up-to-date anti-discrimination law</w:t>
            </w:r>
          </w:p>
        </w:tc>
      </w:tr>
      <w:tr w:rsidR="00C76E6D">
        <w:trPr>
          <w:trHeight w:val="681"/>
          <w:tblCellSpacing w:w="7" w:type="dxa"/>
        </w:trPr>
        <w:tc>
          <w:tcPr>
            <w:tcW w:w="1094" w:type="dxa"/>
            <w:shd w:val="clear" w:color="auto" w:fill="C4CEDF"/>
          </w:tcPr>
          <w:p w:rsidR="00C76E6D" w:rsidRDefault="00913831">
            <w:pPr>
              <w:pStyle w:val="TableParagraph"/>
              <w:spacing w:before="95"/>
              <w:ind w:left="76"/>
              <w:rPr>
                <w:i/>
                <w:sz w:val="20"/>
              </w:rPr>
            </w:pPr>
            <w:r>
              <w:rPr>
                <w:i/>
                <w:spacing w:val="-2"/>
                <w:sz w:val="20"/>
              </w:rPr>
              <w:t>binary</w:t>
            </w:r>
          </w:p>
        </w:tc>
        <w:tc>
          <w:tcPr>
            <w:tcW w:w="4198" w:type="dxa"/>
            <w:shd w:val="clear" w:color="auto" w:fill="C4CEDF"/>
          </w:tcPr>
          <w:p w:rsidR="00C76E6D" w:rsidRDefault="00913831">
            <w:pPr>
              <w:pStyle w:val="TableParagraph"/>
              <w:spacing w:before="95"/>
              <w:ind w:left="92"/>
              <w:rPr>
                <w:sz w:val="20"/>
              </w:rPr>
            </w:pPr>
            <w:r>
              <w:rPr>
                <w:sz w:val="20"/>
              </w:rPr>
              <w:t>"his/her",</w:t>
            </w:r>
            <w:r>
              <w:rPr>
                <w:spacing w:val="-8"/>
                <w:sz w:val="20"/>
              </w:rPr>
              <w:t xml:space="preserve"> </w:t>
            </w:r>
            <w:r>
              <w:rPr>
                <w:sz w:val="20"/>
              </w:rPr>
              <w:t>"his</w:t>
            </w:r>
            <w:r>
              <w:rPr>
                <w:spacing w:val="-11"/>
                <w:sz w:val="20"/>
              </w:rPr>
              <w:t xml:space="preserve"> </w:t>
            </w:r>
            <w:r>
              <w:rPr>
                <w:sz w:val="20"/>
              </w:rPr>
              <w:t>or</w:t>
            </w:r>
            <w:r>
              <w:rPr>
                <w:spacing w:val="-7"/>
                <w:sz w:val="20"/>
              </w:rPr>
              <w:t xml:space="preserve"> </w:t>
            </w:r>
            <w:r>
              <w:rPr>
                <w:sz w:val="20"/>
              </w:rPr>
              <w:t>her",</w:t>
            </w:r>
            <w:r>
              <w:rPr>
                <w:spacing w:val="-9"/>
                <w:sz w:val="20"/>
              </w:rPr>
              <w:t xml:space="preserve"> </w:t>
            </w:r>
            <w:r>
              <w:rPr>
                <w:sz w:val="20"/>
              </w:rPr>
              <w:t>"hisher",</w:t>
            </w:r>
            <w:r>
              <w:rPr>
                <w:spacing w:val="-6"/>
                <w:sz w:val="20"/>
              </w:rPr>
              <w:t xml:space="preserve"> </w:t>
            </w:r>
            <w:r>
              <w:rPr>
                <w:sz w:val="20"/>
              </w:rPr>
              <w:t>"s/he”,</w:t>
            </w:r>
            <w:r>
              <w:rPr>
                <w:spacing w:val="-6"/>
                <w:sz w:val="20"/>
              </w:rPr>
              <w:t xml:space="preserve"> </w:t>
            </w:r>
            <w:r>
              <w:rPr>
                <w:spacing w:val="-2"/>
                <w:sz w:val="20"/>
              </w:rPr>
              <w:t>“she”</w:t>
            </w:r>
          </w:p>
        </w:tc>
        <w:tc>
          <w:tcPr>
            <w:tcW w:w="4348" w:type="dxa"/>
            <w:shd w:val="clear" w:color="auto" w:fill="C4CEDF"/>
          </w:tcPr>
          <w:p w:rsidR="00C76E6D" w:rsidRDefault="00913831">
            <w:pPr>
              <w:pStyle w:val="TableParagraph"/>
              <w:spacing w:before="95"/>
              <w:ind w:left="93"/>
              <w:rPr>
                <w:sz w:val="20"/>
              </w:rPr>
            </w:pPr>
            <w:r>
              <w:rPr>
                <w:sz w:val="20"/>
              </w:rPr>
              <w:t>binary</w:t>
            </w:r>
            <w:r>
              <w:rPr>
                <w:spacing w:val="-6"/>
                <w:sz w:val="20"/>
              </w:rPr>
              <w:t xml:space="preserve"> </w:t>
            </w:r>
            <w:r>
              <w:rPr>
                <w:sz w:val="20"/>
              </w:rPr>
              <w:t>=</w:t>
            </w:r>
            <w:r>
              <w:rPr>
                <w:spacing w:val="-7"/>
                <w:sz w:val="20"/>
              </w:rPr>
              <w:t xml:space="preserve"> </w:t>
            </w:r>
            <w:r>
              <w:rPr>
                <w:sz w:val="20"/>
              </w:rPr>
              <w:t>1</w:t>
            </w:r>
            <w:r>
              <w:rPr>
                <w:spacing w:val="-6"/>
                <w:sz w:val="20"/>
              </w:rPr>
              <w:t xml:space="preserve"> </w:t>
            </w:r>
            <w:r>
              <w:rPr>
                <w:sz w:val="20"/>
              </w:rPr>
              <w:t>indicates</w:t>
            </w:r>
            <w:r>
              <w:rPr>
                <w:spacing w:val="-7"/>
                <w:sz w:val="20"/>
              </w:rPr>
              <w:t xml:space="preserve"> </w:t>
            </w:r>
            <w:r>
              <w:rPr>
                <w:sz w:val="20"/>
              </w:rPr>
              <w:t>binary</w:t>
            </w:r>
            <w:r>
              <w:rPr>
                <w:spacing w:val="-6"/>
                <w:sz w:val="20"/>
              </w:rPr>
              <w:t xml:space="preserve"> </w:t>
            </w:r>
            <w:r>
              <w:rPr>
                <w:sz w:val="20"/>
              </w:rPr>
              <w:t>language</w:t>
            </w:r>
            <w:r>
              <w:rPr>
                <w:spacing w:val="-8"/>
                <w:sz w:val="20"/>
              </w:rPr>
              <w:t xml:space="preserve"> </w:t>
            </w:r>
            <w:r>
              <w:rPr>
                <w:sz w:val="20"/>
              </w:rPr>
              <w:t>that</w:t>
            </w:r>
            <w:r>
              <w:rPr>
                <w:spacing w:val="-7"/>
                <w:sz w:val="20"/>
              </w:rPr>
              <w:t xml:space="preserve"> </w:t>
            </w:r>
            <w:r>
              <w:rPr>
                <w:sz w:val="20"/>
              </w:rPr>
              <w:t>may</w:t>
            </w:r>
            <w:r>
              <w:rPr>
                <w:spacing w:val="-6"/>
                <w:sz w:val="20"/>
              </w:rPr>
              <w:t xml:space="preserve"> </w:t>
            </w:r>
            <w:r>
              <w:rPr>
                <w:sz w:val="20"/>
              </w:rPr>
              <w:t>be exclusive of transgender/nonbinary students</w:t>
            </w:r>
          </w:p>
        </w:tc>
      </w:tr>
      <w:tr w:rsidR="00C76E6D">
        <w:trPr>
          <w:trHeight w:val="979"/>
          <w:tblCellSpacing w:w="7" w:type="dxa"/>
        </w:trPr>
        <w:tc>
          <w:tcPr>
            <w:tcW w:w="1094" w:type="dxa"/>
            <w:shd w:val="clear" w:color="auto" w:fill="E1E7EF"/>
          </w:tcPr>
          <w:p w:rsidR="00C76E6D" w:rsidRDefault="00913831">
            <w:pPr>
              <w:pStyle w:val="TableParagraph"/>
              <w:spacing w:before="94"/>
              <w:ind w:left="76"/>
              <w:rPr>
                <w:i/>
                <w:sz w:val="20"/>
              </w:rPr>
            </w:pPr>
            <w:r>
              <w:rPr>
                <w:i/>
                <w:spacing w:val="-2"/>
                <w:sz w:val="20"/>
              </w:rPr>
              <w:t>neutral</w:t>
            </w:r>
          </w:p>
        </w:tc>
        <w:tc>
          <w:tcPr>
            <w:tcW w:w="4198" w:type="dxa"/>
            <w:shd w:val="clear" w:color="auto" w:fill="E1E7EF"/>
          </w:tcPr>
          <w:p w:rsidR="00C76E6D" w:rsidRDefault="00913831">
            <w:pPr>
              <w:pStyle w:val="TableParagraph"/>
              <w:spacing w:before="94"/>
              <w:ind w:left="92"/>
              <w:rPr>
                <w:sz w:val="20"/>
              </w:rPr>
            </w:pPr>
            <w:r>
              <w:rPr>
                <w:sz w:val="20"/>
              </w:rPr>
              <w:t>"gender-neutral", "gender neutral", "genderneutral",</w:t>
            </w:r>
            <w:r>
              <w:rPr>
                <w:spacing w:val="-12"/>
                <w:sz w:val="20"/>
              </w:rPr>
              <w:t xml:space="preserve"> </w:t>
            </w:r>
            <w:r>
              <w:rPr>
                <w:sz w:val="20"/>
              </w:rPr>
              <w:t>"single</w:t>
            </w:r>
            <w:r>
              <w:rPr>
                <w:spacing w:val="-11"/>
                <w:sz w:val="20"/>
              </w:rPr>
              <w:t xml:space="preserve"> </w:t>
            </w:r>
            <w:r>
              <w:rPr>
                <w:sz w:val="20"/>
              </w:rPr>
              <w:t>stall",</w:t>
            </w:r>
            <w:r>
              <w:rPr>
                <w:spacing w:val="-11"/>
                <w:sz w:val="20"/>
              </w:rPr>
              <w:t xml:space="preserve"> </w:t>
            </w:r>
            <w:r>
              <w:rPr>
                <w:sz w:val="20"/>
              </w:rPr>
              <w:t>"singlestall", "private facilities", “unisex”</w:t>
            </w:r>
          </w:p>
        </w:tc>
        <w:tc>
          <w:tcPr>
            <w:tcW w:w="4348" w:type="dxa"/>
            <w:shd w:val="clear" w:color="auto" w:fill="E1E7EF"/>
          </w:tcPr>
          <w:p w:rsidR="00C76E6D" w:rsidRDefault="00913831">
            <w:pPr>
              <w:pStyle w:val="TableParagraph"/>
              <w:spacing w:before="94"/>
              <w:ind w:left="93"/>
              <w:rPr>
                <w:sz w:val="20"/>
              </w:rPr>
            </w:pPr>
            <w:r>
              <w:rPr>
                <w:sz w:val="20"/>
              </w:rPr>
              <w:t>neutral</w:t>
            </w:r>
            <w:r>
              <w:rPr>
                <w:spacing w:val="-7"/>
                <w:sz w:val="20"/>
              </w:rPr>
              <w:t xml:space="preserve"> </w:t>
            </w:r>
            <w:r>
              <w:rPr>
                <w:sz w:val="20"/>
              </w:rPr>
              <w:t>=</w:t>
            </w:r>
            <w:r>
              <w:rPr>
                <w:spacing w:val="-9"/>
                <w:sz w:val="20"/>
              </w:rPr>
              <w:t xml:space="preserve"> </w:t>
            </w:r>
            <w:r>
              <w:rPr>
                <w:sz w:val="20"/>
              </w:rPr>
              <w:t>1</w:t>
            </w:r>
            <w:r>
              <w:rPr>
                <w:spacing w:val="-7"/>
                <w:sz w:val="20"/>
              </w:rPr>
              <w:t xml:space="preserve"> </w:t>
            </w:r>
            <w:r>
              <w:rPr>
                <w:sz w:val="20"/>
              </w:rPr>
              <w:t>indicates</w:t>
            </w:r>
            <w:r>
              <w:rPr>
                <w:spacing w:val="-9"/>
                <w:sz w:val="20"/>
              </w:rPr>
              <w:t xml:space="preserve"> </w:t>
            </w:r>
            <w:r>
              <w:rPr>
                <w:sz w:val="20"/>
              </w:rPr>
              <w:t>presence</w:t>
            </w:r>
            <w:r>
              <w:rPr>
                <w:spacing w:val="-9"/>
                <w:sz w:val="20"/>
              </w:rPr>
              <w:t xml:space="preserve"> </w:t>
            </w:r>
            <w:r>
              <w:rPr>
                <w:sz w:val="20"/>
              </w:rPr>
              <w:t>of</w:t>
            </w:r>
            <w:r>
              <w:rPr>
                <w:spacing w:val="-7"/>
                <w:sz w:val="20"/>
              </w:rPr>
              <w:t xml:space="preserve"> </w:t>
            </w:r>
            <w:r>
              <w:rPr>
                <w:sz w:val="20"/>
              </w:rPr>
              <w:t>gender-neutral facilities, such as restrooms and changing areas</w:t>
            </w:r>
          </w:p>
        </w:tc>
      </w:tr>
      <w:tr w:rsidR="00C76E6D">
        <w:trPr>
          <w:trHeight w:val="1416"/>
          <w:tblCellSpacing w:w="7" w:type="dxa"/>
        </w:trPr>
        <w:tc>
          <w:tcPr>
            <w:tcW w:w="1094" w:type="dxa"/>
            <w:shd w:val="clear" w:color="auto" w:fill="C4CEDF"/>
          </w:tcPr>
          <w:p w:rsidR="00C76E6D" w:rsidRDefault="00913831">
            <w:pPr>
              <w:pStyle w:val="TableParagraph"/>
              <w:spacing w:before="95"/>
              <w:ind w:left="76"/>
              <w:rPr>
                <w:i/>
                <w:sz w:val="20"/>
              </w:rPr>
            </w:pPr>
            <w:r>
              <w:rPr>
                <w:i/>
                <w:spacing w:val="-2"/>
                <w:sz w:val="20"/>
              </w:rPr>
              <w:t>gender</w:t>
            </w:r>
          </w:p>
        </w:tc>
        <w:tc>
          <w:tcPr>
            <w:tcW w:w="4198" w:type="dxa"/>
            <w:shd w:val="clear" w:color="auto" w:fill="C4CEDF"/>
          </w:tcPr>
          <w:p w:rsidR="00C76E6D" w:rsidRDefault="00913831">
            <w:pPr>
              <w:pStyle w:val="TableParagraph"/>
              <w:spacing w:before="95"/>
              <w:ind w:left="92"/>
              <w:rPr>
                <w:sz w:val="20"/>
              </w:rPr>
            </w:pPr>
            <w:r>
              <w:rPr>
                <w:sz w:val="20"/>
              </w:rPr>
              <w:t>"gender</w:t>
            </w:r>
            <w:r>
              <w:rPr>
                <w:spacing w:val="-12"/>
                <w:sz w:val="20"/>
              </w:rPr>
              <w:t xml:space="preserve"> </w:t>
            </w:r>
            <w:r>
              <w:rPr>
                <w:sz w:val="20"/>
              </w:rPr>
              <w:t>support",</w:t>
            </w:r>
            <w:r>
              <w:rPr>
                <w:spacing w:val="-11"/>
                <w:sz w:val="20"/>
              </w:rPr>
              <w:t xml:space="preserve"> </w:t>
            </w:r>
            <w:r>
              <w:rPr>
                <w:sz w:val="20"/>
              </w:rPr>
              <w:t>"gender</w:t>
            </w:r>
            <w:r>
              <w:rPr>
                <w:spacing w:val="-11"/>
                <w:sz w:val="20"/>
              </w:rPr>
              <w:t xml:space="preserve"> </w:t>
            </w:r>
            <w:r>
              <w:rPr>
                <w:sz w:val="20"/>
              </w:rPr>
              <w:t>transition",</w:t>
            </w:r>
            <w:r>
              <w:rPr>
                <w:spacing w:val="-12"/>
                <w:sz w:val="20"/>
              </w:rPr>
              <w:t xml:space="preserve"> </w:t>
            </w:r>
            <w:r>
              <w:rPr>
                <w:sz w:val="20"/>
              </w:rPr>
              <w:t xml:space="preserve">"gender inclusive", "genderinclusive", "transgender", "nonbinary", "genderexpansive", "gender nonconforming", "gendernonconforming", </w:t>
            </w:r>
            <w:r>
              <w:rPr>
                <w:spacing w:val="-2"/>
                <w:sz w:val="20"/>
              </w:rPr>
              <w:t>"nonbinary"</w:t>
            </w:r>
          </w:p>
        </w:tc>
        <w:tc>
          <w:tcPr>
            <w:tcW w:w="4348" w:type="dxa"/>
            <w:shd w:val="clear" w:color="auto" w:fill="C4CEDF"/>
          </w:tcPr>
          <w:p w:rsidR="00C76E6D" w:rsidRDefault="00913831">
            <w:pPr>
              <w:pStyle w:val="TableParagraph"/>
              <w:spacing w:before="95"/>
              <w:ind w:left="93"/>
              <w:rPr>
                <w:sz w:val="20"/>
              </w:rPr>
            </w:pPr>
            <w:r>
              <w:rPr>
                <w:sz w:val="20"/>
              </w:rPr>
              <w:t>gender = 1 indicates acknowledgement of transgender</w:t>
            </w:r>
            <w:r>
              <w:rPr>
                <w:spacing w:val="-9"/>
                <w:sz w:val="20"/>
              </w:rPr>
              <w:t xml:space="preserve"> </w:t>
            </w:r>
            <w:r>
              <w:rPr>
                <w:sz w:val="20"/>
              </w:rPr>
              <w:t>students.</w:t>
            </w:r>
            <w:r>
              <w:rPr>
                <w:spacing w:val="-9"/>
                <w:sz w:val="20"/>
              </w:rPr>
              <w:t xml:space="preserve"> </w:t>
            </w:r>
            <w:r>
              <w:rPr>
                <w:sz w:val="20"/>
              </w:rPr>
              <w:t>High</w:t>
            </w:r>
            <w:r>
              <w:rPr>
                <w:spacing w:val="-9"/>
                <w:sz w:val="20"/>
              </w:rPr>
              <w:t xml:space="preserve"> </w:t>
            </w:r>
            <w:r>
              <w:rPr>
                <w:sz w:val="20"/>
              </w:rPr>
              <w:t>return</w:t>
            </w:r>
            <w:r>
              <w:rPr>
                <w:spacing w:val="-10"/>
                <w:sz w:val="20"/>
              </w:rPr>
              <w:t xml:space="preserve"> </w:t>
            </w:r>
            <w:r>
              <w:rPr>
                <w:sz w:val="20"/>
              </w:rPr>
              <w:t>values</w:t>
            </w:r>
            <w:r>
              <w:rPr>
                <w:spacing w:val="-9"/>
                <w:sz w:val="20"/>
              </w:rPr>
              <w:t xml:space="preserve"> </w:t>
            </w:r>
            <w:r>
              <w:rPr>
                <w:sz w:val="20"/>
              </w:rPr>
              <w:t>indicate presence of gender su</w:t>
            </w:r>
            <w:r>
              <w:rPr>
                <w:sz w:val="20"/>
              </w:rPr>
              <w:t>pport plans; may explicitly reference DESE guidance.</w:t>
            </w:r>
          </w:p>
        </w:tc>
      </w:tr>
    </w:tbl>
    <w:p w:rsidR="00C76E6D" w:rsidRDefault="00C76E6D">
      <w:pPr>
        <w:pStyle w:val="BodyText"/>
        <w:spacing w:before="2"/>
        <w:rPr>
          <w:sz w:val="28"/>
        </w:rPr>
      </w:pPr>
    </w:p>
    <w:p w:rsidR="00C76E6D" w:rsidRDefault="00913831">
      <w:pPr>
        <w:ind w:left="480"/>
        <w:jc w:val="both"/>
        <w:rPr>
          <w:i/>
        </w:rPr>
      </w:pPr>
      <w:r>
        <w:t>Each</w:t>
      </w:r>
      <w:r>
        <w:rPr>
          <w:spacing w:val="-10"/>
        </w:rPr>
        <w:t xml:space="preserve"> </w:t>
      </w:r>
      <w:r>
        <w:t>school’s</w:t>
      </w:r>
      <w:r>
        <w:rPr>
          <w:spacing w:val="-11"/>
        </w:rPr>
        <w:t xml:space="preserve"> </w:t>
      </w:r>
      <w:r>
        <w:t>LGBTQ+</w:t>
      </w:r>
      <w:r>
        <w:rPr>
          <w:spacing w:val="-9"/>
        </w:rPr>
        <w:t xml:space="preserve"> </w:t>
      </w:r>
      <w:r>
        <w:t>inclusion</w:t>
      </w:r>
      <w:r>
        <w:rPr>
          <w:spacing w:val="-12"/>
        </w:rPr>
        <w:t xml:space="preserve"> </w:t>
      </w:r>
      <w:r>
        <w:t>score</w:t>
      </w:r>
      <w:r>
        <w:rPr>
          <w:spacing w:val="-10"/>
        </w:rPr>
        <w:t xml:space="preserve"> </w:t>
      </w:r>
      <w:r>
        <w:t>is</w:t>
      </w:r>
      <w:r>
        <w:rPr>
          <w:spacing w:val="-9"/>
        </w:rPr>
        <w:t xml:space="preserve"> </w:t>
      </w:r>
      <w:r>
        <w:t>calculated</w:t>
      </w:r>
      <w:r>
        <w:rPr>
          <w:spacing w:val="-11"/>
        </w:rPr>
        <w:t xml:space="preserve"> </w:t>
      </w:r>
      <w:r>
        <w:t>using</w:t>
      </w:r>
      <w:r>
        <w:rPr>
          <w:spacing w:val="-11"/>
        </w:rPr>
        <w:t xml:space="preserve"> </w:t>
      </w:r>
      <w:r>
        <w:t>the</w:t>
      </w:r>
      <w:r>
        <w:rPr>
          <w:spacing w:val="-10"/>
        </w:rPr>
        <w:t xml:space="preserve"> </w:t>
      </w:r>
      <w:r>
        <w:t>following</w:t>
      </w:r>
      <w:r>
        <w:rPr>
          <w:spacing w:val="-10"/>
        </w:rPr>
        <w:t xml:space="preserve"> </w:t>
      </w:r>
      <w:r>
        <w:t>formula:</w:t>
      </w:r>
      <w:r>
        <w:rPr>
          <w:spacing w:val="-10"/>
        </w:rPr>
        <w:t xml:space="preserve"> </w:t>
      </w:r>
      <w:r>
        <w:t>(</w:t>
      </w:r>
      <w:r>
        <w:rPr>
          <w:i/>
        </w:rPr>
        <w:t>score</w:t>
      </w:r>
      <w:r>
        <w:rPr>
          <w:i/>
          <w:spacing w:val="-11"/>
        </w:rPr>
        <w:t xml:space="preserve"> </w:t>
      </w:r>
      <w:r>
        <w:rPr>
          <w:i/>
        </w:rPr>
        <w:t>=</w:t>
      </w:r>
      <w:r>
        <w:rPr>
          <w:i/>
          <w:spacing w:val="-9"/>
        </w:rPr>
        <w:t xml:space="preserve"> </w:t>
      </w:r>
      <w:r>
        <w:rPr>
          <w:i/>
        </w:rPr>
        <w:t>lgbtq</w:t>
      </w:r>
      <w:r>
        <w:rPr>
          <w:i/>
          <w:spacing w:val="-9"/>
        </w:rPr>
        <w:t xml:space="preserve"> </w:t>
      </w:r>
      <w:r>
        <w:rPr>
          <w:i/>
        </w:rPr>
        <w:t>+</w:t>
      </w:r>
      <w:r>
        <w:rPr>
          <w:i/>
          <w:spacing w:val="-11"/>
        </w:rPr>
        <w:t xml:space="preserve"> </w:t>
      </w:r>
      <w:r>
        <w:rPr>
          <w:i/>
          <w:spacing w:val="-2"/>
        </w:rPr>
        <w:t>genderid</w:t>
      </w:r>
    </w:p>
    <w:p w:rsidR="00C76E6D" w:rsidRDefault="00913831">
      <w:pPr>
        <w:pStyle w:val="BodyText"/>
        <w:spacing w:before="41" w:line="276" w:lineRule="auto"/>
        <w:ind w:left="480" w:right="477"/>
        <w:jc w:val="both"/>
      </w:pPr>
      <w:r>
        <w:rPr>
          <w:i/>
        </w:rPr>
        <w:t>+ neutral + gender - binary</w:t>
      </w:r>
      <w:r>
        <w:t>). The presence of specific language about LGBTQ+ students, transgender/nonbinary</w:t>
      </w:r>
      <w:r>
        <w:rPr>
          <w:spacing w:val="-7"/>
        </w:rPr>
        <w:t xml:space="preserve"> </w:t>
      </w:r>
      <w:r>
        <w:t>youth,</w:t>
      </w:r>
      <w:r>
        <w:rPr>
          <w:spacing w:val="-7"/>
        </w:rPr>
        <w:t xml:space="preserve"> </w:t>
      </w:r>
      <w:r>
        <w:t>gender</w:t>
      </w:r>
      <w:r>
        <w:rPr>
          <w:spacing w:val="-7"/>
        </w:rPr>
        <w:t xml:space="preserve"> </w:t>
      </w:r>
      <w:r>
        <w:t>identity,</w:t>
      </w:r>
      <w:r>
        <w:rPr>
          <w:spacing w:val="-8"/>
        </w:rPr>
        <w:t xml:space="preserve"> </w:t>
      </w:r>
      <w:r>
        <w:t>and</w:t>
      </w:r>
      <w:r>
        <w:rPr>
          <w:spacing w:val="-6"/>
        </w:rPr>
        <w:t xml:space="preserve"> </w:t>
      </w:r>
      <w:r>
        <w:t>appropriate</w:t>
      </w:r>
      <w:r>
        <w:rPr>
          <w:spacing w:val="-8"/>
        </w:rPr>
        <w:t xml:space="preserve"> </w:t>
      </w:r>
      <w:r>
        <w:t>gender-neutral</w:t>
      </w:r>
      <w:r>
        <w:rPr>
          <w:spacing w:val="-10"/>
        </w:rPr>
        <w:t xml:space="preserve"> </w:t>
      </w:r>
      <w:r>
        <w:t>facilities</w:t>
      </w:r>
      <w:r>
        <w:rPr>
          <w:spacing w:val="-6"/>
        </w:rPr>
        <w:t xml:space="preserve"> </w:t>
      </w:r>
      <w:r>
        <w:t>caused</w:t>
      </w:r>
      <w:r>
        <w:rPr>
          <w:spacing w:val="-9"/>
        </w:rPr>
        <w:t xml:space="preserve"> </w:t>
      </w:r>
      <w:r>
        <w:t>scores</w:t>
      </w:r>
      <w:r>
        <w:rPr>
          <w:spacing w:val="-7"/>
        </w:rPr>
        <w:t xml:space="preserve"> </w:t>
      </w:r>
      <w:r>
        <w:t xml:space="preserve">to increase, while schools could lose a point for employing binary gendered language (see </w:t>
      </w:r>
      <w:r>
        <w:rPr>
          <w:i/>
        </w:rPr>
        <w:t>bina</w:t>
      </w:r>
      <w:r>
        <w:rPr>
          <w:i/>
        </w:rPr>
        <w:t xml:space="preserve">ry </w:t>
      </w:r>
      <w:r>
        <w:t>in Table 1 above). Resulting scores range from -1 to 4. Each score corresponds with a traditional letter grade: -1 or 0 = F, 1 = D, 2 = C, 3 = B, and 4 = A.</w:t>
      </w:r>
    </w:p>
    <w:p w:rsidR="00C76E6D" w:rsidRDefault="00C76E6D">
      <w:pPr>
        <w:pStyle w:val="BodyText"/>
        <w:spacing w:before="6"/>
        <w:rPr>
          <w:sz w:val="19"/>
        </w:rPr>
      </w:pPr>
    </w:p>
    <w:p w:rsidR="00C76E6D" w:rsidRDefault="00913831">
      <w:pPr>
        <w:pStyle w:val="BodyText"/>
        <w:spacing w:line="276" w:lineRule="auto"/>
        <w:ind w:left="480" w:right="472"/>
        <w:jc w:val="both"/>
      </w:pPr>
      <w:r>
        <w:t>Each school handbook received an LGBTQ+ inclusion grade ranging from A (most inclusive) to F (l</w:t>
      </w:r>
      <w:r>
        <w:t>east inclusive) based on the presence or absence of specific protections for LGBTQ+ students. This report will summarize LGBTQ+ inclusion patterns in public schools throughout the Commonwealth, offer standardized handbook language for use by school officia</w:t>
      </w:r>
      <w:r>
        <w:t>ls, and provide recommendations for implementing agencies to support LGBTQ+ students. The following section presents statewide statistics and</w:t>
      </w:r>
      <w:r>
        <w:rPr>
          <w:spacing w:val="-11"/>
        </w:rPr>
        <w:t xml:space="preserve"> </w:t>
      </w:r>
      <w:r>
        <w:t>suggestions</w:t>
      </w:r>
      <w:r>
        <w:rPr>
          <w:spacing w:val="-9"/>
        </w:rPr>
        <w:t xml:space="preserve"> </w:t>
      </w:r>
      <w:r>
        <w:t>for</w:t>
      </w:r>
      <w:r>
        <w:rPr>
          <w:spacing w:val="-10"/>
        </w:rPr>
        <w:t xml:space="preserve"> </w:t>
      </w:r>
      <w:r>
        <w:t>future</w:t>
      </w:r>
      <w:r>
        <w:rPr>
          <w:spacing w:val="-6"/>
        </w:rPr>
        <w:t xml:space="preserve"> </w:t>
      </w:r>
      <w:r>
        <w:t>study.</w:t>
      </w:r>
      <w:r>
        <w:rPr>
          <w:spacing w:val="-8"/>
        </w:rPr>
        <w:t xml:space="preserve"> </w:t>
      </w:r>
      <w:r>
        <w:t>Although</w:t>
      </w:r>
      <w:r>
        <w:rPr>
          <w:spacing w:val="-8"/>
        </w:rPr>
        <w:t xml:space="preserve"> </w:t>
      </w:r>
      <w:r>
        <w:t>the</w:t>
      </w:r>
      <w:r>
        <w:rPr>
          <w:spacing w:val="-8"/>
        </w:rPr>
        <w:t xml:space="preserve"> </w:t>
      </w:r>
      <w:r>
        <w:t>school</w:t>
      </w:r>
      <w:r>
        <w:rPr>
          <w:spacing w:val="-8"/>
        </w:rPr>
        <w:t xml:space="preserve"> </w:t>
      </w:r>
      <w:r>
        <w:t>data</w:t>
      </w:r>
      <w:r>
        <w:rPr>
          <w:spacing w:val="-9"/>
        </w:rPr>
        <w:t xml:space="preserve"> </w:t>
      </w:r>
      <w:r>
        <w:t>presented</w:t>
      </w:r>
      <w:r>
        <w:rPr>
          <w:spacing w:val="-8"/>
        </w:rPr>
        <w:t xml:space="preserve"> </w:t>
      </w:r>
      <w:r>
        <w:t>here</w:t>
      </w:r>
      <w:r>
        <w:rPr>
          <w:spacing w:val="-8"/>
        </w:rPr>
        <w:t xml:space="preserve"> </w:t>
      </w:r>
      <w:r>
        <w:t>is</w:t>
      </w:r>
      <w:r>
        <w:rPr>
          <w:spacing w:val="-8"/>
        </w:rPr>
        <w:t xml:space="preserve"> </w:t>
      </w:r>
      <w:r>
        <w:t>not</w:t>
      </w:r>
      <w:r>
        <w:rPr>
          <w:spacing w:val="-9"/>
        </w:rPr>
        <w:t xml:space="preserve"> </w:t>
      </w:r>
      <w:r>
        <w:t>disaggregated</w:t>
      </w:r>
      <w:r>
        <w:rPr>
          <w:spacing w:val="-10"/>
        </w:rPr>
        <w:t xml:space="preserve"> </w:t>
      </w:r>
      <w:r>
        <w:t>by</w:t>
      </w:r>
      <w:r>
        <w:rPr>
          <w:spacing w:val="-8"/>
        </w:rPr>
        <w:t xml:space="preserve"> </w:t>
      </w:r>
      <w:r>
        <w:t>district</w:t>
      </w:r>
    </w:p>
    <w:p w:rsidR="00C76E6D" w:rsidRDefault="00C76E6D">
      <w:pPr>
        <w:spacing w:line="276" w:lineRule="auto"/>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480" w:right="474" w:hanging="1"/>
        <w:jc w:val="both"/>
      </w:pPr>
      <w:r>
        <w:t>or demographic, it offers useful insights about how Massachusetts school administrators on the whole are applying student non-discrimination policy and published DESE guidance ten years after their most recent revisions.</w:t>
      </w:r>
    </w:p>
    <w:p w:rsidR="00C76E6D" w:rsidRDefault="00C76E6D">
      <w:pPr>
        <w:pStyle w:val="BodyText"/>
        <w:spacing w:before="7"/>
        <w:rPr>
          <w:sz w:val="25"/>
        </w:rPr>
      </w:pPr>
    </w:p>
    <w:p w:rsidR="00C76E6D" w:rsidRDefault="00913831">
      <w:pPr>
        <w:pStyle w:val="Heading5"/>
        <w:numPr>
          <w:ilvl w:val="0"/>
          <w:numId w:val="47"/>
        </w:numPr>
        <w:tabs>
          <w:tab w:val="left" w:pos="732"/>
        </w:tabs>
        <w:ind w:left="732" w:hanging="252"/>
      </w:pPr>
      <w:r>
        <w:pict>
          <v:shape id="docshape260" o:spid="_x0000_s1171" style="position:absolute;left:0;text-align:left;margin-left:1in;margin-top:17.55pt;width:466.3pt;height:.1pt;z-index:-15689728;mso-wrap-distance-left:0;mso-wrap-distance-right:0;mso-position-horizontal-relative:page" coordorigin="1440,351" coordsize="9326,0" path="m1440,351r9326,e" filled="f" strokeweight=".40958mm">
            <v:path arrowok="t"/>
            <w10:wrap type="topAndBottom" anchorx="page"/>
          </v:shape>
        </w:pict>
      </w:r>
      <w:bookmarkStart w:id="141" w:name="B._LGBTQ+_Inclusion_in_School_Handbooks"/>
      <w:bookmarkEnd w:id="141"/>
      <w:r>
        <w:t>LGBTQ+</w:t>
      </w:r>
      <w:r>
        <w:rPr>
          <w:spacing w:val="-7"/>
        </w:rPr>
        <w:t xml:space="preserve"> </w:t>
      </w:r>
      <w:r>
        <w:t>Inclusion</w:t>
      </w:r>
      <w:r>
        <w:rPr>
          <w:spacing w:val="-7"/>
        </w:rPr>
        <w:t xml:space="preserve"> </w:t>
      </w:r>
      <w:r>
        <w:t>in</w:t>
      </w:r>
      <w:r>
        <w:rPr>
          <w:spacing w:val="-6"/>
        </w:rPr>
        <w:t xml:space="preserve"> </w:t>
      </w:r>
      <w:r>
        <w:t>School</w:t>
      </w:r>
      <w:r>
        <w:rPr>
          <w:spacing w:val="-7"/>
        </w:rPr>
        <w:t xml:space="preserve"> </w:t>
      </w:r>
      <w:r>
        <w:rPr>
          <w:spacing w:val="-2"/>
        </w:rPr>
        <w:t>Handbooks</w:t>
      </w:r>
    </w:p>
    <w:p w:rsidR="00C76E6D" w:rsidRDefault="00C76E6D">
      <w:pPr>
        <w:pStyle w:val="BodyText"/>
        <w:spacing w:before="7"/>
        <w:rPr>
          <w:b/>
          <w:sz w:val="32"/>
        </w:rPr>
      </w:pPr>
    </w:p>
    <w:p w:rsidR="00C76E6D" w:rsidRDefault="00913831">
      <w:pPr>
        <w:pStyle w:val="BodyText"/>
        <w:spacing w:line="276" w:lineRule="auto"/>
        <w:ind w:left="480" w:right="475" w:hanging="1"/>
        <w:jc w:val="both"/>
      </w:pPr>
      <w:r>
        <w:t>There</w:t>
      </w:r>
      <w:r>
        <w:rPr>
          <w:spacing w:val="-13"/>
        </w:rPr>
        <w:t xml:space="preserve"> </w:t>
      </w:r>
      <w:r>
        <w:t>are</w:t>
      </w:r>
      <w:r>
        <w:rPr>
          <w:spacing w:val="-11"/>
        </w:rPr>
        <w:t xml:space="preserve"> </w:t>
      </w:r>
      <w:r>
        <w:t>1,119</w:t>
      </w:r>
      <w:r>
        <w:rPr>
          <w:spacing w:val="-11"/>
        </w:rPr>
        <w:t xml:space="preserve"> </w:t>
      </w:r>
      <w:r>
        <w:t>unique</w:t>
      </w:r>
      <w:r>
        <w:rPr>
          <w:spacing w:val="-10"/>
        </w:rPr>
        <w:t xml:space="preserve"> </w:t>
      </w:r>
      <w:r>
        <w:t>.pdf</w:t>
      </w:r>
      <w:r>
        <w:rPr>
          <w:spacing w:val="-12"/>
        </w:rPr>
        <w:t xml:space="preserve"> </w:t>
      </w:r>
      <w:r>
        <w:t>handbooks</w:t>
      </w:r>
      <w:r>
        <w:rPr>
          <w:spacing w:val="-11"/>
        </w:rPr>
        <w:t xml:space="preserve"> </w:t>
      </w:r>
      <w:r>
        <w:t>available</w:t>
      </w:r>
      <w:r>
        <w:rPr>
          <w:spacing w:val="-13"/>
        </w:rPr>
        <w:t xml:space="preserve"> </w:t>
      </w:r>
      <w:r>
        <w:t>for</w:t>
      </w:r>
      <w:r>
        <w:rPr>
          <w:spacing w:val="-10"/>
        </w:rPr>
        <w:t xml:space="preserve"> </w:t>
      </w:r>
      <w:r>
        <w:t>public</w:t>
      </w:r>
      <w:r>
        <w:rPr>
          <w:spacing w:val="-12"/>
        </w:rPr>
        <w:t xml:space="preserve"> </w:t>
      </w:r>
      <w:r>
        <w:t>download</w:t>
      </w:r>
      <w:r>
        <w:rPr>
          <w:spacing w:val="-13"/>
        </w:rPr>
        <w:t xml:space="preserve"> </w:t>
      </w:r>
      <w:r>
        <w:t>and</w:t>
      </w:r>
      <w:r>
        <w:rPr>
          <w:spacing w:val="-12"/>
        </w:rPr>
        <w:t xml:space="preserve"> </w:t>
      </w:r>
      <w:r>
        <w:t>represented</w:t>
      </w:r>
      <w:r>
        <w:rPr>
          <w:spacing w:val="-12"/>
        </w:rPr>
        <w:t xml:space="preserve"> </w:t>
      </w:r>
      <w:r>
        <w:t>in</w:t>
      </w:r>
      <w:r>
        <w:rPr>
          <w:spacing w:val="-11"/>
        </w:rPr>
        <w:t xml:space="preserve"> </w:t>
      </w:r>
      <w:r>
        <w:t>this</w:t>
      </w:r>
      <w:r>
        <w:rPr>
          <w:spacing w:val="-11"/>
        </w:rPr>
        <w:t xml:space="preserve"> </w:t>
      </w:r>
      <w:r>
        <w:t>study.</w:t>
      </w:r>
      <w:r>
        <w:rPr>
          <w:spacing w:val="-13"/>
        </w:rPr>
        <w:t xml:space="preserve"> </w:t>
      </w:r>
      <w:r>
        <w:t>While most</w:t>
      </w:r>
      <w:r>
        <w:rPr>
          <w:spacing w:val="-13"/>
        </w:rPr>
        <w:t xml:space="preserve"> </w:t>
      </w:r>
      <w:r>
        <w:t>handbooks</w:t>
      </w:r>
      <w:r>
        <w:rPr>
          <w:spacing w:val="-12"/>
        </w:rPr>
        <w:t xml:space="preserve"> </w:t>
      </w:r>
      <w:r>
        <w:t>represent</w:t>
      </w:r>
      <w:r>
        <w:rPr>
          <w:spacing w:val="-13"/>
        </w:rPr>
        <w:t xml:space="preserve"> </w:t>
      </w:r>
      <w:r>
        <w:t>individual</w:t>
      </w:r>
      <w:r>
        <w:rPr>
          <w:spacing w:val="-12"/>
        </w:rPr>
        <w:t xml:space="preserve"> </w:t>
      </w:r>
      <w:r>
        <w:t>schools,</w:t>
      </w:r>
      <w:r>
        <w:rPr>
          <w:spacing w:val="-13"/>
        </w:rPr>
        <w:t xml:space="preserve"> </w:t>
      </w:r>
      <w:r>
        <w:t>larger</w:t>
      </w:r>
      <w:r>
        <w:rPr>
          <w:spacing w:val="-12"/>
        </w:rPr>
        <w:t xml:space="preserve"> </w:t>
      </w:r>
      <w:r>
        <w:t>municipalities</w:t>
      </w:r>
      <w:r>
        <w:rPr>
          <w:spacing w:val="-13"/>
        </w:rPr>
        <w:t xml:space="preserve"> </w:t>
      </w:r>
      <w:r>
        <w:t>tend</w:t>
      </w:r>
      <w:r>
        <w:rPr>
          <w:spacing w:val="-12"/>
        </w:rPr>
        <w:t xml:space="preserve"> </w:t>
      </w:r>
      <w:r>
        <w:t>to</w:t>
      </w:r>
      <w:r>
        <w:rPr>
          <w:spacing w:val="-12"/>
        </w:rPr>
        <w:t xml:space="preserve"> </w:t>
      </w:r>
      <w:r>
        <w:t>either</w:t>
      </w:r>
      <w:r>
        <w:rPr>
          <w:spacing w:val="-13"/>
        </w:rPr>
        <w:t xml:space="preserve"> </w:t>
      </w:r>
      <w:r>
        <w:t>distribute</w:t>
      </w:r>
      <w:r>
        <w:rPr>
          <w:spacing w:val="-12"/>
        </w:rPr>
        <w:t xml:space="preserve"> </w:t>
      </w:r>
      <w:r>
        <w:t>a</w:t>
      </w:r>
      <w:r>
        <w:rPr>
          <w:spacing w:val="-13"/>
        </w:rPr>
        <w:t xml:space="preserve"> </w:t>
      </w:r>
      <w:r>
        <w:t>district-wide handbook and/or several handbooks separated by grade level (early childhood education, elementary school, middle school, and high school). 1,704 out of all 1,851 (92%) Massachusetts schools’ handbooks are</w:t>
      </w:r>
      <w:r>
        <w:rPr>
          <w:spacing w:val="-10"/>
        </w:rPr>
        <w:t xml:space="preserve"> </w:t>
      </w:r>
      <w:r>
        <w:t>analyzed</w:t>
      </w:r>
      <w:r>
        <w:rPr>
          <w:spacing w:val="-9"/>
        </w:rPr>
        <w:t xml:space="preserve"> </w:t>
      </w:r>
      <w:r>
        <w:t>in</w:t>
      </w:r>
      <w:r>
        <w:rPr>
          <w:spacing w:val="-10"/>
        </w:rPr>
        <w:t xml:space="preserve"> </w:t>
      </w:r>
      <w:r>
        <w:t>this</w:t>
      </w:r>
      <w:r>
        <w:rPr>
          <w:spacing w:val="-10"/>
        </w:rPr>
        <w:t xml:space="preserve"> </w:t>
      </w:r>
      <w:r>
        <w:t>study</w:t>
      </w:r>
      <w:r>
        <w:rPr>
          <w:spacing w:val="-8"/>
        </w:rPr>
        <w:t xml:space="preserve"> </w:t>
      </w:r>
      <w:r>
        <w:t>(Figure</w:t>
      </w:r>
      <w:r>
        <w:rPr>
          <w:spacing w:val="-11"/>
        </w:rPr>
        <w:t xml:space="preserve"> </w:t>
      </w:r>
      <w:r>
        <w:t>1).</w:t>
      </w:r>
      <w:r>
        <w:rPr>
          <w:spacing w:val="-9"/>
        </w:rPr>
        <w:t xml:space="preserve"> </w:t>
      </w:r>
      <w:r>
        <w:t>Th</w:t>
      </w:r>
      <w:r>
        <w:t>e</w:t>
      </w:r>
      <w:r>
        <w:rPr>
          <w:spacing w:val="-8"/>
        </w:rPr>
        <w:t xml:space="preserve"> </w:t>
      </w:r>
      <w:r>
        <w:t>other</w:t>
      </w:r>
      <w:r>
        <w:rPr>
          <w:spacing w:val="-10"/>
        </w:rPr>
        <w:t xml:space="preserve"> </w:t>
      </w:r>
      <w:r>
        <w:t>147</w:t>
      </w:r>
      <w:r>
        <w:rPr>
          <w:spacing w:val="-9"/>
        </w:rPr>
        <w:t xml:space="preserve"> </w:t>
      </w:r>
      <w:r>
        <w:t>handbooks</w:t>
      </w:r>
      <w:r>
        <w:rPr>
          <w:spacing w:val="-10"/>
        </w:rPr>
        <w:t xml:space="preserve"> </w:t>
      </w:r>
      <w:r>
        <w:t>were</w:t>
      </w:r>
      <w:r>
        <w:rPr>
          <w:spacing w:val="-10"/>
        </w:rPr>
        <w:t xml:space="preserve"> </w:t>
      </w:r>
      <w:r>
        <w:t>unavailable</w:t>
      </w:r>
      <w:r>
        <w:rPr>
          <w:spacing w:val="-8"/>
        </w:rPr>
        <w:t xml:space="preserve"> </w:t>
      </w:r>
      <w:r>
        <w:t>due</w:t>
      </w:r>
      <w:r>
        <w:rPr>
          <w:spacing w:val="-9"/>
        </w:rPr>
        <w:t xml:space="preserve"> </w:t>
      </w:r>
      <w:r>
        <w:t>to</w:t>
      </w:r>
      <w:r>
        <w:rPr>
          <w:spacing w:val="-10"/>
        </w:rPr>
        <w:t xml:space="preserve"> </w:t>
      </w:r>
      <w:r>
        <w:t>issues</w:t>
      </w:r>
      <w:r>
        <w:rPr>
          <w:spacing w:val="-7"/>
        </w:rPr>
        <w:t xml:space="preserve"> </w:t>
      </w:r>
      <w:r>
        <w:t>with</w:t>
      </w:r>
      <w:r>
        <w:rPr>
          <w:spacing w:val="-9"/>
        </w:rPr>
        <w:t xml:space="preserve"> </w:t>
      </w:r>
      <w:r>
        <w:t>broken links, defunct websites, or problems with .pdf scanning.</w:t>
      </w:r>
    </w:p>
    <w:p w:rsidR="00C76E6D" w:rsidRDefault="00913831">
      <w:pPr>
        <w:pStyle w:val="BodyText"/>
        <w:ind w:left="3004"/>
        <w:rPr>
          <w:sz w:val="20"/>
        </w:rPr>
      </w:pPr>
      <w:r>
        <w:rPr>
          <w:noProof/>
          <w:sz w:val="20"/>
        </w:rPr>
        <w:drawing>
          <wp:inline distT="0" distB="0" distL="0" distR="0">
            <wp:extent cx="2735443" cy="1676400"/>
            <wp:effectExtent l="0" t="0" r="0" b="0"/>
            <wp:docPr id="81"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89.jpeg"/>
                    <pic:cNvPicPr/>
                  </pic:nvPicPr>
                  <pic:blipFill>
                    <a:blip r:embed="rId177" cstate="print"/>
                    <a:stretch>
                      <a:fillRect/>
                    </a:stretch>
                  </pic:blipFill>
                  <pic:spPr>
                    <a:xfrm>
                      <a:off x="0" y="0"/>
                      <a:ext cx="2735443" cy="1676400"/>
                    </a:xfrm>
                    <a:prstGeom prst="rect">
                      <a:avLst/>
                    </a:prstGeom>
                  </pic:spPr>
                </pic:pic>
              </a:graphicData>
            </a:graphic>
          </wp:inline>
        </w:drawing>
      </w:r>
    </w:p>
    <w:p w:rsidR="00C76E6D" w:rsidRDefault="00913831">
      <w:pPr>
        <w:spacing w:before="169"/>
        <w:ind w:left="2695"/>
        <w:jc w:val="both"/>
      </w:pPr>
      <w:r>
        <w:rPr>
          <w:i/>
          <w:w w:val="95"/>
        </w:rPr>
        <w:t>Figure</w:t>
      </w:r>
      <w:r>
        <w:rPr>
          <w:i/>
          <w:spacing w:val="11"/>
        </w:rPr>
        <w:t xml:space="preserve"> </w:t>
      </w:r>
      <w:r>
        <w:rPr>
          <w:i/>
          <w:w w:val="95"/>
        </w:rPr>
        <w:t>1:</w:t>
      </w:r>
      <w:r>
        <w:rPr>
          <w:i/>
          <w:spacing w:val="12"/>
        </w:rPr>
        <w:t xml:space="preserve"> </w:t>
      </w:r>
      <w:r>
        <w:rPr>
          <w:i/>
          <w:w w:val="95"/>
        </w:rPr>
        <w:t>1,704</w:t>
      </w:r>
      <w:r>
        <w:rPr>
          <w:i/>
          <w:spacing w:val="14"/>
        </w:rPr>
        <w:t xml:space="preserve"> </w:t>
      </w:r>
      <w:r>
        <w:rPr>
          <w:i/>
          <w:w w:val="95"/>
        </w:rPr>
        <w:t>Massachusetts</w:t>
      </w:r>
      <w:r>
        <w:rPr>
          <w:i/>
          <w:spacing w:val="11"/>
        </w:rPr>
        <w:t xml:space="preserve"> </w:t>
      </w:r>
      <w:r>
        <w:rPr>
          <w:i/>
          <w:w w:val="95"/>
        </w:rPr>
        <w:t>public</w:t>
      </w:r>
      <w:r>
        <w:rPr>
          <w:i/>
          <w:spacing w:val="14"/>
        </w:rPr>
        <w:t xml:space="preserve"> </w:t>
      </w:r>
      <w:r>
        <w:rPr>
          <w:i/>
          <w:w w:val="95"/>
        </w:rPr>
        <w:t>school</w:t>
      </w:r>
      <w:r>
        <w:rPr>
          <w:i/>
          <w:spacing w:val="12"/>
        </w:rPr>
        <w:t xml:space="preserve"> </w:t>
      </w:r>
      <w:r>
        <w:rPr>
          <w:i/>
          <w:spacing w:val="-2"/>
          <w:w w:val="95"/>
        </w:rPr>
        <w:t>handbook</w:t>
      </w:r>
      <w:r>
        <w:rPr>
          <w:spacing w:val="-2"/>
          <w:w w:val="95"/>
        </w:rPr>
        <w:t>s</w:t>
      </w:r>
    </w:p>
    <w:p w:rsidR="00C76E6D" w:rsidRDefault="00913831">
      <w:pPr>
        <w:pStyle w:val="BodyText"/>
        <w:spacing w:before="41" w:line="276" w:lineRule="auto"/>
        <w:ind w:left="479" w:right="476"/>
        <w:jc w:val="both"/>
      </w:pPr>
      <w:r>
        <w:t>86%</w:t>
      </w:r>
      <w:r>
        <w:rPr>
          <w:spacing w:val="-11"/>
        </w:rPr>
        <w:t xml:space="preserve"> </w:t>
      </w:r>
      <w:r>
        <w:t>(1,458)</w:t>
      </w:r>
      <w:r>
        <w:rPr>
          <w:spacing w:val="-13"/>
        </w:rPr>
        <w:t xml:space="preserve"> </w:t>
      </w:r>
      <w:r>
        <w:t>of</w:t>
      </w:r>
      <w:r>
        <w:rPr>
          <w:spacing w:val="-10"/>
        </w:rPr>
        <w:t xml:space="preserve"> </w:t>
      </w:r>
      <w:r>
        <w:t>1,704</w:t>
      </w:r>
      <w:r>
        <w:rPr>
          <w:spacing w:val="-11"/>
        </w:rPr>
        <w:t xml:space="preserve"> </w:t>
      </w:r>
      <w:r>
        <w:t>schools</w:t>
      </w:r>
      <w:r>
        <w:rPr>
          <w:spacing w:val="-11"/>
        </w:rPr>
        <w:t xml:space="preserve"> </w:t>
      </w:r>
      <w:r>
        <w:t>sampled</w:t>
      </w:r>
      <w:r>
        <w:rPr>
          <w:spacing w:val="-12"/>
        </w:rPr>
        <w:t xml:space="preserve"> </w:t>
      </w:r>
      <w:r>
        <w:t>have</w:t>
      </w:r>
      <w:r>
        <w:rPr>
          <w:spacing w:val="-11"/>
        </w:rPr>
        <w:t xml:space="preserve"> </w:t>
      </w:r>
      <w:r>
        <w:t>handbooks</w:t>
      </w:r>
      <w:r>
        <w:rPr>
          <w:spacing w:val="-11"/>
        </w:rPr>
        <w:t xml:space="preserve"> </w:t>
      </w:r>
      <w:r>
        <w:t>containing</w:t>
      </w:r>
      <w:r>
        <w:rPr>
          <w:spacing w:val="-10"/>
        </w:rPr>
        <w:t xml:space="preserve"> </w:t>
      </w:r>
      <w:r>
        <w:t>the</w:t>
      </w:r>
      <w:r>
        <w:rPr>
          <w:spacing w:val="-11"/>
        </w:rPr>
        <w:t xml:space="preserve"> </w:t>
      </w:r>
      <w:r>
        <w:t>phrase</w:t>
      </w:r>
      <w:r>
        <w:rPr>
          <w:spacing w:val="-11"/>
        </w:rPr>
        <w:t xml:space="preserve"> </w:t>
      </w:r>
      <w:r>
        <w:t>“gender</w:t>
      </w:r>
      <w:r>
        <w:rPr>
          <w:spacing w:val="-11"/>
        </w:rPr>
        <w:t xml:space="preserve"> </w:t>
      </w:r>
      <w:r>
        <w:t>identity,”</w:t>
      </w:r>
      <w:r>
        <w:rPr>
          <w:spacing w:val="-11"/>
        </w:rPr>
        <w:t xml:space="preserve"> </w:t>
      </w:r>
      <w:r>
        <w:t>indicating that the majority of Massachusetts districts observe up-to-date anti-discrimination laws. 246 schools (14%)</w:t>
      </w:r>
      <w:r>
        <w:rPr>
          <w:spacing w:val="-13"/>
        </w:rPr>
        <w:t xml:space="preserve"> </w:t>
      </w:r>
      <w:r>
        <w:t>have</w:t>
      </w:r>
      <w:r>
        <w:rPr>
          <w:spacing w:val="-12"/>
        </w:rPr>
        <w:t xml:space="preserve"> </w:t>
      </w:r>
      <w:r>
        <w:t>handbooks</w:t>
      </w:r>
      <w:r>
        <w:rPr>
          <w:spacing w:val="-13"/>
        </w:rPr>
        <w:t xml:space="preserve"> </w:t>
      </w:r>
      <w:r>
        <w:t>without</w:t>
      </w:r>
      <w:r>
        <w:rPr>
          <w:spacing w:val="-12"/>
        </w:rPr>
        <w:t xml:space="preserve"> </w:t>
      </w:r>
      <w:r>
        <w:t>the</w:t>
      </w:r>
      <w:r>
        <w:rPr>
          <w:spacing w:val="-13"/>
        </w:rPr>
        <w:t xml:space="preserve"> </w:t>
      </w:r>
      <w:r>
        <w:t>term</w:t>
      </w:r>
      <w:r>
        <w:rPr>
          <w:spacing w:val="-12"/>
        </w:rPr>
        <w:t xml:space="preserve"> </w:t>
      </w:r>
      <w:r>
        <w:t>“gender</w:t>
      </w:r>
      <w:r>
        <w:rPr>
          <w:spacing w:val="-13"/>
        </w:rPr>
        <w:t xml:space="preserve"> </w:t>
      </w:r>
      <w:r>
        <w:t>identity,”</w:t>
      </w:r>
      <w:r>
        <w:rPr>
          <w:spacing w:val="-12"/>
        </w:rPr>
        <w:t xml:space="preserve"> </w:t>
      </w:r>
      <w:r>
        <w:t>indicating</w:t>
      </w:r>
      <w:r>
        <w:rPr>
          <w:spacing w:val="-12"/>
        </w:rPr>
        <w:t xml:space="preserve"> </w:t>
      </w:r>
      <w:r>
        <w:t>a</w:t>
      </w:r>
      <w:r>
        <w:rPr>
          <w:spacing w:val="-13"/>
        </w:rPr>
        <w:t xml:space="preserve"> </w:t>
      </w:r>
      <w:r>
        <w:t>lack</w:t>
      </w:r>
      <w:r>
        <w:rPr>
          <w:spacing w:val="-12"/>
        </w:rPr>
        <w:t xml:space="preserve"> </w:t>
      </w:r>
      <w:r>
        <w:t>of</w:t>
      </w:r>
      <w:r>
        <w:rPr>
          <w:spacing w:val="-13"/>
        </w:rPr>
        <w:t xml:space="preserve"> </w:t>
      </w:r>
      <w:r>
        <w:t>protections</w:t>
      </w:r>
      <w:r>
        <w:rPr>
          <w:spacing w:val="-12"/>
        </w:rPr>
        <w:t xml:space="preserve"> </w:t>
      </w:r>
      <w:r>
        <w:t>for</w:t>
      </w:r>
      <w:r>
        <w:rPr>
          <w:spacing w:val="-13"/>
        </w:rPr>
        <w:t xml:space="preserve"> </w:t>
      </w:r>
      <w:r>
        <w:t>transgender and</w:t>
      </w:r>
      <w:r>
        <w:rPr>
          <w:spacing w:val="-9"/>
        </w:rPr>
        <w:t xml:space="preserve"> </w:t>
      </w:r>
      <w:r>
        <w:t>nonbinary</w:t>
      </w:r>
      <w:r>
        <w:rPr>
          <w:spacing w:val="-10"/>
        </w:rPr>
        <w:t xml:space="preserve"> </w:t>
      </w:r>
      <w:r>
        <w:t>stud</w:t>
      </w:r>
      <w:r>
        <w:t>ents</w:t>
      </w:r>
      <w:r>
        <w:rPr>
          <w:spacing w:val="-7"/>
        </w:rPr>
        <w:t xml:space="preserve"> </w:t>
      </w:r>
      <w:r>
        <w:t>under</w:t>
      </w:r>
      <w:r>
        <w:rPr>
          <w:spacing w:val="-9"/>
        </w:rPr>
        <w:t xml:space="preserve"> </w:t>
      </w:r>
      <w:r>
        <w:t>anti-discrimination</w:t>
      </w:r>
      <w:r>
        <w:rPr>
          <w:spacing w:val="-7"/>
        </w:rPr>
        <w:t xml:space="preserve"> </w:t>
      </w:r>
      <w:r>
        <w:t>and</w:t>
      </w:r>
      <w:r>
        <w:rPr>
          <w:spacing w:val="-9"/>
        </w:rPr>
        <w:t xml:space="preserve"> </w:t>
      </w:r>
      <w:r>
        <w:t>anti-bullying</w:t>
      </w:r>
      <w:r>
        <w:rPr>
          <w:spacing w:val="-9"/>
        </w:rPr>
        <w:t xml:space="preserve"> </w:t>
      </w:r>
      <w:r>
        <w:t>policies.</w:t>
      </w:r>
      <w:r>
        <w:rPr>
          <w:spacing w:val="-9"/>
        </w:rPr>
        <w:t xml:space="preserve"> </w:t>
      </w:r>
      <w:r>
        <w:t>152</w:t>
      </w:r>
      <w:r>
        <w:rPr>
          <w:spacing w:val="-10"/>
        </w:rPr>
        <w:t xml:space="preserve"> </w:t>
      </w:r>
      <w:r>
        <w:t>schools</w:t>
      </w:r>
      <w:r>
        <w:rPr>
          <w:spacing w:val="-8"/>
        </w:rPr>
        <w:t xml:space="preserve"> </w:t>
      </w:r>
      <w:r>
        <w:t>discuss</w:t>
      </w:r>
      <w:r>
        <w:rPr>
          <w:spacing w:val="-8"/>
        </w:rPr>
        <w:t xml:space="preserve"> </w:t>
      </w:r>
      <w:r>
        <w:t>“gender” but not “gender identity,” while 94 schools (6%) make no mention of gender at all. (Figure 2)</w:t>
      </w:r>
    </w:p>
    <w:p w:rsidR="00C76E6D" w:rsidRDefault="00913831">
      <w:pPr>
        <w:pStyle w:val="BodyText"/>
        <w:spacing w:before="2"/>
        <w:rPr>
          <w:sz w:val="26"/>
        </w:rPr>
      </w:pPr>
      <w:r>
        <w:rPr>
          <w:noProof/>
        </w:rPr>
        <w:drawing>
          <wp:anchor distT="0" distB="0" distL="0" distR="0" simplePos="0" relativeHeight="77" behindDoc="0" locked="0" layoutInCell="1" allowOverlap="1">
            <wp:simplePos x="0" y="0"/>
            <wp:positionH relativeFrom="page">
              <wp:posOffset>2629535</wp:posOffset>
            </wp:positionH>
            <wp:positionV relativeFrom="paragraph">
              <wp:posOffset>218055</wp:posOffset>
            </wp:positionV>
            <wp:extent cx="2599750" cy="1903857"/>
            <wp:effectExtent l="0" t="0" r="0" b="0"/>
            <wp:wrapTopAndBottom/>
            <wp:docPr id="83"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90.jpeg"/>
                    <pic:cNvPicPr/>
                  </pic:nvPicPr>
                  <pic:blipFill>
                    <a:blip r:embed="rId178" cstate="print"/>
                    <a:stretch>
                      <a:fillRect/>
                    </a:stretch>
                  </pic:blipFill>
                  <pic:spPr>
                    <a:xfrm>
                      <a:off x="0" y="0"/>
                      <a:ext cx="2599750" cy="1903857"/>
                    </a:xfrm>
                    <a:prstGeom prst="rect">
                      <a:avLst/>
                    </a:prstGeom>
                  </pic:spPr>
                </pic:pic>
              </a:graphicData>
            </a:graphic>
          </wp:anchor>
        </w:drawing>
      </w:r>
    </w:p>
    <w:p w:rsidR="00C76E6D" w:rsidRDefault="00913831">
      <w:pPr>
        <w:spacing w:before="99"/>
        <w:ind w:left="1602" w:right="1602"/>
        <w:jc w:val="center"/>
      </w:pPr>
      <w:r>
        <w:rPr>
          <w:i/>
          <w:w w:val="95"/>
        </w:rPr>
        <w:t>Figure</w:t>
      </w:r>
      <w:r>
        <w:rPr>
          <w:i/>
          <w:spacing w:val="11"/>
        </w:rPr>
        <w:t xml:space="preserve"> </w:t>
      </w:r>
      <w:r>
        <w:rPr>
          <w:i/>
          <w:w w:val="95"/>
        </w:rPr>
        <w:t>2:</w:t>
      </w:r>
      <w:r>
        <w:rPr>
          <w:i/>
          <w:spacing w:val="11"/>
        </w:rPr>
        <w:t xml:space="preserve"> </w:t>
      </w:r>
      <w:r>
        <w:rPr>
          <w:i/>
          <w:w w:val="95"/>
        </w:rPr>
        <w:t>Pie</w:t>
      </w:r>
      <w:r>
        <w:rPr>
          <w:i/>
          <w:spacing w:val="14"/>
        </w:rPr>
        <w:t xml:space="preserve"> </w:t>
      </w:r>
      <w:r>
        <w:rPr>
          <w:i/>
          <w:w w:val="95"/>
        </w:rPr>
        <w:t>chart</w:t>
      </w:r>
      <w:r>
        <w:rPr>
          <w:i/>
          <w:spacing w:val="9"/>
        </w:rPr>
        <w:t xml:space="preserve"> </w:t>
      </w:r>
      <w:r>
        <w:rPr>
          <w:i/>
          <w:w w:val="95"/>
        </w:rPr>
        <w:t>of</w:t>
      </w:r>
      <w:r>
        <w:rPr>
          <w:i/>
          <w:spacing w:val="11"/>
        </w:rPr>
        <w:t xml:space="preserve"> </w:t>
      </w:r>
      <w:r>
        <w:rPr>
          <w:i/>
          <w:w w:val="95"/>
        </w:rPr>
        <w:t>gender</w:t>
      </w:r>
      <w:r>
        <w:rPr>
          <w:i/>
          <w:spacing w:val="10"/>
        </w:rPr>
        <w:t xml:space="preserve"> </w:t>
      </w:r>
      <w:r>
        <w:rPr>
          <w:i/>
          <w:w w:val="95"/>
        </w:rPr>
        <w:t>identity</w:t>
      </w:r>
      <w:r>
        <w:rPr>
          <w:i/>
          <w:spacing w:val="9"/>
        </w:rPr>
        <w:t xml:space="preserve"> </w:t>
      </w:r>
      <w:r>
        <w:rPr>
          <w:i/>
          <w:w w:val="95"/>
        </w:rPr>
        <w:t>inclusion</w:t>
      </w:r>
      <w:r>
        <w:rPr>
          <w:i/>
          <w:spacing w:val="11"/>
        </w:rPr>
        <w:t xml:space="preserve"> </w:t>
      </w:r>
      <w:r>
        <w:rPr>
          <w:i/>
          <w:w w:val="95"/>
        </w:rPr>
        <w:t>in</w:t>
      </w:r>
      <w:r>
        <w:rPr>
          <w:i/>
          <w:spacing w:val="13"/>
        </w:rPr>
        <w:t xml:space="preserve"> </w:t>
      </w:r>
      <w:r>
        <w:rPr>
          <w:i/>
          <w:w w:val="95"/>
        </w:rPr>
        <w:t>Massachusetts</w:t>
      </w:r>
      <w:r>
        <w:rPr>
          <w:i/>
          <w:spacing w:val="11"/>
        </w:rPr>
        <w:t xml:space="preserve"> </w:t>
      </w:r>
      <w:r>
        <w:rPr>
          <w:i/>
          <w:w w:val="95"/>
        </w:rPr>
        <w:t>school</w:t>
      </w:r>
      <w:r>
        <w:rPr>
          <w:i/>
          <w:spacing w:val="11"/>
        </w:rPr>
        <w:t xml:space="preserve"> </w:t>
      </w:r>
      <w:r>
        <w:rPr>
          <w:i/>
          <w:spacing w:val="-2"/>
          <w:w w:val="95"/>
        </w:rPr>
        <w:t>handbook</w:t>
      </w:r>
      <w:r>
        <w:rPr>
          <w:spacing w:val="-2"/>
          <w:w w:val="95"/>
        </w:rPr>
        <w:t>s</w:t>
      </w:r>
    </w:p>
    <w:p w:rsidR="00C76E6D" w:rsidRDefault="00C76E6D">
      <w:pPr>
        <w:jc w:val="center"/>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480" w:right="474" w:hanging="1"/>
        <w:jc w:val="both"/>
      </w:pPr>
      <w:r>
        <w:t>29%</w:t>
      </w:r>
      <w:r>
        <w:rPr>
          <w:spacing w:val="-2"/>
        </w:rPr>
        <w:t xml:space="preserve"> </w:t>
      </w:r>
      <w:r>
        <w:t>(502)</w:t>
      </w:r>
      <w:r>
        <w:rPr>
          <w:spacing w:val="-3"/>
        </w:rPr>
        <w:t xml:space="preserve"> </w:t>
      </w:r>
      <w:r>
        <w:t>of</w:t>
      </w:r>
      <w:r>
        <w:rPr>
          <w:spacing w:val="-3"/>
        </w:rPr>
        <w:t xml:space="preserve"> </w:t>
      </w:r>
      <w:r>
        <w:t>1,704</w:t>
      </w:r>
      <w:r>
        <w:rPr>
          <w:spacing w:val="-3"/>
        </w:rPr>
        <w:t xml:space="preserve"> </w:t>
      </w:r>
      <w:r>
        <w:t>schools</w:t>
      </w:r>
      <w:r>
        <w:rPr>
          <w:spacing w:val="-2"/>
        </w:rPr>
        <w:t xml:space="preserve"> </w:t>
      </w:r>
      <w:r>
        <w:t>sampled</w:t>
      </w:r>
      <w:r>
        <w:rPr>
          <w:spacing w:val="-3"/>
        </w:rPr>
        <w:t xml:space="preserve"> </w:t>
      </w:r>
      <w:r>
        <w:t>have</w:t>
      </w:r>
      <w:r>
        <w:rPr>
          <w:spacing w:val="-3"/>
        </w:rPr>
        <w:t xml:space="preserve"> </w:t>
      </w:r>
      <w:r>
        <w:t>handbooks containing</w:t>
      </w:r>
      <w:r>
        <w:rPr>
          <w:spacing w:val="-3"/>
        </w:rPr>
        <w:t xml:space="preserve"> </w:t>
      </w:r>
      <w:r>
        <w:t>language</w:t>
      </w:r>
      <w:r>
        <w:rPr>
          <w:spacing w:val="-3"/>
        </w:rPr>
        <w:t xml:space="preserve"> </w:t>
      </w:r>
      <w:r>
        <w:t>around</w:t>
      </w:r>
      <w:r>
        <w:rPr>
          <w:spacing w:val="-3"/>
        </w:rPr>
        <w:t xml:space="preserve"> </w:t>
      </w:r>
      <w:r>
        <w:t>LGBTQ+</w:t>
      </w:r>
      <w:r>
        <w:rPr>
          <w:spacing w:val="-3"/>
        </w:rPr>
        <w:t xml:space="preserve"> </w:t>
      </w:r>
      <w:r>
        <w:t>identity,</w:t>
      </w:r>
      <w:r>
        <w:rPr>
          <w:spacing w:val="-2"/>
        </w:rPr>
        <w:t xml:space="preserve"> </w:t>
      </w:r>
      <w:r>
        <w:t xml:space="preserve">while 71% make no mention of lesbian, gay, bisexual, transgender, queer, or questioning students. Similarly, only 25% (435) of schools </w:t>
      </w:r>
      <w:r>
        <w:t>sampled directly discuss protections for transgender and nonbinary students, while 75% do not discuss transgender students at all. Only 2% (39) describe gender-neutral or “unisex” facilities such as private changing areas or restrooms.</w:t>
      </w:r>
    </w:p>
    <w:p w:rsidR="00C76E6D" w:rsidRDefault="00C76E6D">
      <w:pPr>
        <w:pStyle w:val="BodyText"/>
        <w:spacing w:before="7"/>
        <w:rPr>
          <w:sz w:val="19"/>
        </w:rPr>
      </w:pPr>
    </w:p>
    <w:p w:rsidR="00C76E6D" w:rsidRDefault="00913831">
      <w:pPr>
        <w:pStyle w:val="BodyText"/>
        <w:spacing w:line="276" w:lineRule="auto"/>
        <w:ind w:left="479" w:right="475"/>
        <w:jc w:val="both"/>
      </w:pPr>
      <w:r>
        <w:t>Only 12% (210) of 1</w:t>
      </w:r>
      <w:r>
        <w:t>,704 schools sampled use gender-neutral language throughout their handbooks, indicating policies that are inclusive of transgender, nonbinary, and</w:t>
      </w:r>
      <w:r>
        <w:rPr>
          <w:spacing w:val="-1"/>
        </w:rPr>
        <w:t xml:space="preserve"> </w:t>
      </w:r>
      <w:r>
        <w:t>nonbinary students. 88% (1,494) use binary gendered language, indicating sex-segregated activities and/or exc</w:t>
      </w:r>
      <w:r>
        <w:t>lusion of nonbinary students.</w:t>
      </w:r>
    </w:p>
    <w:p w:rsidR="00C76E6D" w:rsidRDefault="00C76E6D">
      <w:pPr>
        <w:pStyle w:val="BodyText"/>
        <w:spacing w:before="8"/>
        <w:rPr>
          <w:sz w:val="19"/>
        </w:rPr>
      </w:pPr>
    </w:p>
    <w:p w:rsidR="00C76E6D" w:rsidRDefault="00913831">
      <w:pPr>
        <w:pStyle w:val="BodyText"/>
        <w:spacing w:line="276" w:lineRule="auto"/>
        <w:ind w:left="480" w:right="474"/>
        <w:jc w:val="both"/>
      </w:pPr>
      <w:r>
        <w:t>The average score of all sampled handbooks was a D. A total 64% (1,088) of 1,704 schools sampled received</w:t>
      </w:r>
      <w:r>
        <w:rPr>
          <w:spacing w:val="-2"/>
        </w:rPr>
        <w:t xml:space="preserve"> </w:t>
      </w:r>
      <w:r>
        <w:t>an</w:t>
      </w:r>
      <w:r>
        <w:rPr>
          <w:spacing w:val="-1"/>
        </w:rPr>
        <w:t xml:space="preserve"> </w:t>
      </w:r>
      <w:r>
        <w:t>F.</w:t>
      </w:r>
      <w:r>
        <w:rPr>
          <w:spacing w:val="-4"/>
        </w:rPr>
        <w:t xml:space="preserve"> </w:t>
      </w:r>
      <w:r>
        <w:t>Next,</w:t>
      </w:r>
      <w:r>
        <w:rPr>
          <w:spacing w:val="-3"/>
        </w:rPr>
        <w:t xml:space="preserve"> </w:t>
      </w:r>
      <w:r>
        <w:t>12%</w:t>
      </w:r>
      <w:r>
        <w:rPr>
          <w:spacing w:val="-1"/>
        </w:rPr>
        <w:t xml:space="preserve"> </w:t>
      </w:r>
      <w:r>
        <w:t>(197)</w:t>
      </w:r>
      <w:r>
        <w:rPr>
          <w:spacing w:val="-5"/>
        </w:rPr>
        <w:t xml:space="preserve"> </w:t>
      </w:r>
      <w:r>
        <w:t>of</w:t>
      </w:r>
      <w:r>
        <w:rPr>
          <w:spacing w:val="-3"/>
        </w:rPr>
        <w:t xml:space="preserve"> </w:t>
      </w:r>
      <w:r>
        <w:t>schools</w:t>
      </w:r>
      <w:r>
        <w:rPr>
          <w:spacing w:val="-3"/>
        </w:rPr>
        <w:t xml:space="preserve"> </w:t>
      </w:r>
      <w:r>
        <w:t>returned</w:t>
      </w:r>
      <w:r>
        <w:rPr>
          <w:spacing w:val="-4"/>
        </w:rPr>
        <w:t xml:space="preserve"> </w:t>
      </w:r>
      <w:r>
        <w:t>a</w:t>
      </w:r>
      <w:r>
        <w:rPr>
          <w:spacing w:val="-1"/>
        </w:rPr>
        <w:t xml:space="preserve"> </w:t>
      </w:r>
      <w:r>
        <w:t>D</w:t>
      </w:r>
      <w:r>
        <w:rPr>
          <w:spacing w:val="-3"/>
        </w:rPr>
        <w:t xml:space="preserve"> </w:t>
      </w:r>
      <w:r>
        <w:t>grade,</w:t>
      </w:r>
      <w:r>
        <w:rPr>
          <w:spacing w:val="-3"/>
        </w:rPr>
        <w:t xml:space="preserve"> </w:t>
      </w:r>
      <w:r>
        <w:t>while</w:t>
      </w:r>
      <w:r>
        <w:rPr>
          <w:spacing w:val="-4"/>
        </w:rPr>
        <w:t xml:space="preserve"> </w:t>
      </w:r>
      <w:r>
        <w:t>22%</w:t>
      </w:r>
      <w:r>
        <w:rPr>
          <w:spacing w:val="-2"/>
        </w:rPr>
        <w:t xml:space="preserve"> </w:t>
      </w:r>
      <w:r>
        <w:t>(386)</w:t>
      </w:r>
      <w:r>
        <w:rPr>
          <w:spacing w:val="-3"/>
        </w:rPr>
        <w:t xml:space="preserve"> </w:t>
      </w:r>
      <w:r>
        <w:t>received</w:t>
      </w:r>
      <w:r>
        <w:rPr>
          <w:spacing w:val="40"/>
        </w:rPr>
        <w:t xml:space="preserve"> </w:t>
      </w:r>
      <w:r>
        <w:t>a</w:t>
      </w:r>
      <w:r>
        <w:rPr>
          <w:spacing w:val="-3"/>
        </w:rPr>
        <w:t xml:space="preserve"> </w:t>
      </w:r>
      <w:r>
        <w:t>C. Less</w:t>
      </w:r>
      <w:r>
        <w:rPr>
          <w:spacing w:val="-3"/>
        </w:rPr>
        <w:t xml:space="preserve"> </w:t>
      </w:r>
      <w:r>
        <w:t>than</w:t>
      </w:r>
      <w:r>
        <w:rPr>
          <w:spacing w:val="-3"/>
        </w:rPr>
        <w:t xml:space="preserve"> </w:t>
      </w:r>
      <w:r>
        <w:t>2%</w:t>
      </w:r>
    </w:p>
    <w:p w:rsidR="00C76E6D" w:rsidRDefault="00913831">
      <w:pPr>
        <w:pStyle w:val="BodyText"/>
        <w:spacing w:before="3"/>
        <w:ind w:left="480"/>
      </w:pPr>
      <w:r>
        <w:t>(31)</w:t>
      </w:r>
      <w:r>
        <w:rPr>
          <w:spacing w:val="-13"/>
        </w:rPr>
        <w:t xml:space="preserve"> </w:t>
      </w:r>
      <w:r>
        <w:t>of</w:t>
      </w:r>
      <w:r>
        <w:rPr>
          <w:spacing w:val="-9"/>
        </w:rPr>
        <w:t xml:space="preserve"> </w:t>
      </w:r>
      <w:r>
        <w:t>schools</w:t>
      </w:r>
      <w:r>
        <w:rPr>
          <w:spacing w:val="-10"/>
        </w:rPr>
        <w:t xml:space="preserve"> </w:t>
      </w:r>
      <w:r>
        <w:t>earned</w:t>
      </w:r>
      <w:r>
        <w:rPr>
          <w:spacing w:val="-11"/>
        </w:rPr>
        <w:t xml:space="preserve"> </w:t>
      </w:r>
      <w:r>
        <w:t>a</w:t>
      </w:r>
      <w:r>
        <w:rPr>
          <w:spacing w:val="-8"/>
        </w:rPr>
        <w:t xml:space="preserve"> </w:t>
      </w:r>
      <w:r>
        <w:t>B,</w:t>
      </w:r>
      <w:r>
        <w:rPr>
          <w:spacing w:val="-8"/>
        </w:rPr>
        <w:t xml:space="preserve"> </w:t>
      </w:r>
      <w:r>
        <w:t>and</w:t>
      </w:r>
      <w:r>
        <w:rPr>
          <w:spacing w:val="-11"/>
        </w:rPr>
        <w:t xml:space="preserve"> </w:t>
      </w:r>
      <w:r>
        <w:t>less</w:t>
      </w:r>
      <w:r>
        <w:rPr>
          <w:spacing w:val="-10"/>
        </w:rPr>
        <w:t xml:space="preserve"> </w:t>
      </w:r>
      <w:r>
        <w:t>than</w:t>
      </w:r>
      <w:r>
        <w:rPr>
          <w:spacing w:val="-9"/>
        </w:rPr>
        <w:t xml:space="preserve"> </w:t>
      </w:r>
      <w:r>
        <w:t>1%</w:t>
      </w:r>
      <w:r>
        <w:rPr>
          <w:spacing w:val="-11"/>
        </w:rPr>
        <w:t xml:space="preserve"> </w:t>
      </w:r>
      <w:r>
        <w:t>(2)</w:t>
      </w:r>
      <w:r>
        <w:rPr>
          <w:spacing w:val="-12"/>
        </w:rPr>
        <w:t xml:space="preserve"> </w:t>
      </w:r>
      <w:r>
        <w:t>received</w:t>
      </w:r>
      <w:r>
        <w:rPr>
          <w:spacing w:val="-11"/>
        </w:rPr>
        <w:t xml:space="preserve"> </w:t>
      </w:r>
      <w:r>
        <w:t>an</w:t>
      </w:r>
      <w:r>
        <w:rPr>
          <w:spacing w:val="-10"/>
        </w:rPr>
        <w:t xml:space="preserve"> </w:t>
      </w:r>
      <w:r>
        <w:t>A</w:t>
      </w:r>
      <w:r>
        <w:rPr>
          <w:spacing w:val="-8"/>
        </w:rPr>
        <w:t xml:space="preserve"> </w:t>
      </w:r>
      <w:r>
        <w:t>(Figure</w:t>
      </w:r>
      <w:r>
        <w:rPr>
          <w:spacing w:val="-11"/>
        </w:rPr>
        <w:t xml:space="preserve"> </w:t>
      </w:r>
      <w:r>
        <w:rPr>
          <w:spacing w:val="-5"/>
        </w:rPr>
        <w:t>3):</w:t>
      </w:r>
    </w:p>
    <w:p w:rsidR="00C76E6D" w:rsidRDefault="00913831">
      <w:pPr>
        <w:pStyle w:val="BodyText"/>
        <w:rPr>
          <w:sz w:val="9"/>
        </w:rPr>
      </w:pPr>
      <w:r>
        <w:rPr>
          <w:noProof/>
        </w:rPr>
        <w:drawing>
          <wp:anchor distT="0" distB="0" distL="0" distR="0" simplePos="0" relativeHeight="78" behindDoc="0" locked="0" layoutInCell="1" allowOverlap="1">
            <wp:simplePos x="0" y="0"/>
            <wp:positionH relativeFrom="page">
              <wp:posOffset>2172970</wp:posOffset>
            </wp:positionH>
            <wp:positionV relativeFrom="paragraph">
              <wp:posOffset>85373</wp:posOffset>
            </wp:positionV>
            <wp:extent cx="3448182" cy="1645920"/>
            <wp:effectExtent l="0" t="0" r="0" b="0"/>
            <wp:wrapTopAndBottom/>
            <wp:docPr id="85"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91.jpeg"/>
                    <pic:cNvPicPr/>
                  </pic:nvPicPr>
                  <pic:blipFill>
                    <a:blip r:embed="rId179" cstate="print"/>
                    <a:stretch>
                      <a:fillRect/>
                    </a:stretch>
                  </pic:blipFill>
                  <pic:spPr>
                    <a:xfrm>
                      <a:off x="0" y="0"/>
                      <a:ext cx="3448182" cy="1645920"/>
                    </a:xfrm>
                    <a:prstGeom prst="rect">
                      <a:avLst/>
                    </a:prstGeom>
                  </pic:spPr>
                </pic:pic>
              </a:graphicData>
            </a:graphic>
          </wp:anchor>
        </w:drawing>
      </w:r>
    </w:p>
    <w:p w:rsidR="00C76E6D" w:rsidRDefault="00913831">
      <w:pPr>
        <w:spacing w:before="83"/>
        <w:ind w:left="2607"/>
        <w:jc w:val="both"/>
        <w:rPr>
          <w:i/>
        </w:rPr>
      </w:pPr>
      <w:r>
        <w:rPr>
          <w:i/>
          <w:w w:val="95"/>
        </w:rPr>
        <w:t>Figure</w:t>
      </w:r>
      <w:r>
        <w:rPr>
          <w:i/>
          <w:spacing w:val="10"/>
        </w:rPr>
        <w:t xml:space="preserve"> </w:t>
      </w:r>
      <w:r>
        <w:rPr>
          <w:i/>
          <w:w w:val="95"/>
        </w:rPr>
        <w:t>3:</w:t>
      </w:r>
      <w:r>
        <w:rPr>
          <w:i/>
          <w:spacing w:val="14"/>
        </w:rPr>
        <w:t xml:space="preserve"> </w:t>
      </w:r>
      <w:r>
        <w:rPr>
          <w:i/>
          <w:w w:val="95"/>
        </w:rPr>
        <w:t>Map</w:t>
      </w:r>
      <w:r>
        <w:rPr>
          <w:i/>
          <w:spacing w:val="10"/>
        </w:rPr>
        <w:t xml:space="preserve"> </w:t>
      </w:r>
      <w:r>
        <w:rPr>
          <w:i/>
          <w:w w:val="95"/>
        </w:rPr>
        <w:t>of</w:t>
      </w:r>
      <w:r>
        <w:rPr>
          <w:i/>
          <w:spacing w:val="13"/>
        </w:rPr>
        <w:t xml:space="preserve"> </w:t>
      </w:r>
      <w:r>
        <w:rPr>
          <w:i/>
          <w:w w:val="95"/>
        </w:rPr>
        <w:t>Massachusetts</w:t>
      </w:r>
      <w:r>
        <w:rPr>
          <w:i/>
          <w:spacing w:val="13"/>
        </w:rPr>
        <w:t xml:space="preserve"> </w:t>
      </w:r>
      <w:r>
        <w:rPr>
          <w:i/>
          <w:w w:val="95"/>
        </w:rPr>
        <w:t>LGBTQ+</w:t>
      </w:r>
      <w:r>
        <w:rPr>
          <w:i/>
          <w:spacing w:val="13"/>
        </w:rPr>
        <w:t xml:space="preserve"> </w:t>
      </w:r>
      <w:r>
        <w:rPr>
          <w:i/>
          <w:w w:val="95"/>
        </w:rPr>
        <w:t>inclusion</w:t>
      </w:r>
      <w:r>
        <w:rPr>
          <w:i/>
          <w:spacing w:val="13"/>
        </w:rPr>
        <w:t xml:space="preserve"> </w:t>
      </w:r>
      <w:r>
        <w:rPr>
          <w:i/>
          <w:spacing w:val="-2"/>
          <w:w w:val="95"/>
        </w:rPr>
        <w:t>scores.</w:t>
      </w:r>
    </w:p>
    <w:p w:rsidR="00C76E6D" w:rsidRDefault="00913831">
      <w:pPr>
        <w:pStyle w:val="BodyText"/>
        <w:spacing w:before="40" w:line="276" w:lineRule="auto"/>
        <w:ind w:left="479" w:right="472"/>
        <w:jc w:val="both"/>
      </w:pPr>
      <w:r>
        <w:t>The only two schools that earned an “A” are located in the Greater Boston area: Community Charter School of Cambridge (CCSC), and McCall Middle School in Winchester. While CCSC and McCall Middle School received the highest scores and have exemplary handboo</w:t>
      </w:r>
      <w:r>
        <w:t>ks for LGBTQ+ inclusion, it is important to note that most B-scoring schools were penalized only for their use of binary language. Their use of gendered</w:t>
      </w:r>
      <w:r>
        <w:rPr>
          <w:spacing w:val="-12"/>
        </w:rPr>
        <w:t xml:space="preserve"> </w:t>
      </w:r>
      <w:r>
        <w:t>phrases</w:t>
      </w:r>
      <w:r>
        <w:rPr>
          <w:spacing w:val="-11"/>
        </w:rPr>
        <w:t xml:space="preserve"> </w:t>
      </w:r>
      <w:r>
        <w:t>like</w:t>
      </w:r>
      <w:r>
        <w:rPr>
          <w:spacing w:val="-11"/>
        </w:rPr>
        <w:t xml:space="preserve"> </w:t>
      </w:r>
      <w:r>
        <w:t>“his/her”</w:t>
      </w:r>
      <w:r>
        <w:rPr>
          <w:spacing w:val="-11"/>
        </w:rPr>
        <w:t xml:space="preserve"> </w:t>
      </w:r>
      <w:r>
        <w:t>are</w:t>
      </w:r>
      <w:r>
        <w:rPr>
          <w:spacing w:val="-11"/>
        </w:rPr>
        <w:t xml:space="preserve"> </w:t>
      </w:r>
      <w:r>
        <w:t>often</w:t>
      </w:r>
      <w:r>
        <w:rPr>
          <w:spacing w:val="-12"/>
        </w:rPr>
        <w:t xml:space="preserve"> </w:t>
      </w:r>
      <w:r>
        <w:t>residual</w:t>
      </w:r>
      <w:r>
        <w:rPr>
          <w:spacing w:val="-10"/>
        </w:rPr>
        <w:t xml:space="preserve"> </w:t>
      </w:r>
      <w:r>
        <w:t>from</w:t>
      </w:r>
      <w:r>
        <w:rPr>
          <w:spacing w:val="-12"/>
        </w:rPr>
        <w:t xml:space="preserve"> </w:t>
      </w:r>
      <w:r>
        <w:t>past</w:t>
      </w:r>
      <w:r>
        <w:rPr>
          <w:spacing w:val="-12"/>
        </w:rPr>
        <w:t xml:space="preserve"> </w:t>
      </w:r>
      <w:r>
        <w:t>school</w:t>
      </w:r>
      <w:r>
        <w:rPr>
          <w:spacing w:val="-11"/>
        </w:rPr>
        <w:t xml:space="preserve"> </w:t>
      </w:r>
      <w:r>
        <w:t>handbooks</w:t>
      </w:r>
      <w:r>
        <w:rPr>
          <w:spacing w:val="-11"/>
        </w:rPr>
        <w:t xml:space="preserve"> </w:t>
      </w:r>
      <w:r>
        <w:t>or</w:t>
      </w:r>
      <w:r>
        <w:rPr>
          <w:spacing w:val="-11"/>
        </w:rPr>
        <w:t xml:space="preserve"> </w:t>
      </w:r>
      <w:r>
        <w:t>derived</w:t>
      </w:r>
      <w:r>
        <w:rPr>
          <w:spacing w:val="-10"/>
        </w:rPr>
        <w:t xml:space="preserve"> </w:t>
      </w:r>
      <w:r>
        <w:t>from</w:t>
      </w:r>
      <w:r>
        <w:rPr>
          <w:spacing w:val="-12"/>
        </w:rPr>
        <w:t xml:space="preserve"> </w:t>
      </w:r>
      <w:r>
        <w:t>state-level policy</w:t>
      </w:r>
      <w:r>
        <w:t>; they do not</w:t>
      </w:r>
      <w:r>
        <w:rPr>
          <w:spacing w:val="-1"/>
        </w:rPr>
        <w:t xml:space="preserve"> </w:t>
      </w:r>
      <w:r>
        <w:t>necessarily</w:t>
      </w:r>
      <w:r>
        <w:rPr>
          <w:spacing w:val="-1"/>
        </w:rPr>
        <w:t xml:space="preserve"> </w:t>
      </w:r>
      <w:r>
        <w:t>indicate sex-segregated</w:t>
      </w:r>
      <w:r>
        <w:rPr>
          <w:spacing w:val="-2"/>
        </w:rPr>
        <w:t xml:space="preserve"> </w:t>
      </w:r>
      <w:r>
        <w:t>instruction</w:t>
      </w:r>
      <w:r>
        <w:rPr>
          <w:spacing w:val="-2"/>
        </w:rPr>
        <w:t xml:space="preserve"> </w:t>
      </w:r>
      <w:r>
        <w:t>or trans-exclusive practices.</w:t>
      </w:r>
      <w:r>
        <w:rPr>
          <w:spacing w:val="-1"/>
        </w:rPr>
        <w:t xml:space="preserve"> </w:t>
      </w:r>
      <w:r>
        <w:t>There are LGBTQ+ inclusive practices occurring at all grade levels, demographics, and school structures (public, charter, and vocational/technical programs) through</w:t>
      </w:r>
      <w:r>
        <w:t>out the Commonwealth. The few LGBTQ+ inclusive schools represented in this study are evenly distributed among elementary, middle, and high school students, showing that students of all ages across the Commonwealth are benefitting from LGBTQ+ inclusive inst</w:t>
      </w:r>
      <w:r>
        <w:t>ruction.</w:t>
      </w:r>
    </w:p>
    <w:p w:rsidR="00C76E6D" w:rsidRDefault="00C76E6D">
      <w:pPr>
        <w:pStyle w:val="BodyText"/>
        <w:spacing w:before="6"/>
        <w:rPr>
          <w:sz w:val="19"/>
        </w:rPr>
      </w:pPr>
    </w:p>
    <w:p w:rsidR="00C76E6D" w:rsidRDefault="00913831">
      <w:pPr>
        <w:pStyle w:val="BodyText"/>
        <w:spacing w:before="1" w:line="276" w:lineRule="auto"/>
        <w:ind w:left="480" w:right="475" w:hanging="1"/>
        <w:jc w:val="both"/>
      </w:pPr>
      <w:r>
        <w:t>However,</w:t>
      </w:r>
      <w:r>
        <w:rPr>
          <w:spacing w:val="-5"/>
        </w:rPr>
        <w:t xml:space="preserve"> </w:t>
      </w:r>
      <w:r>
        <w:t>despite</w:t>
      </w:r>
      <w:r>
        <w:rPr>
          <w:spacing w:val="-4"/>
        </w:rPr>
        <w:t xml:space="preserve"> </w:t>
      </w:r>
      <w:r>
        <w:t>ten</w:t>
      </w:r>
      <w:r>
        <w:rPr>
          <w:spacing w:val="-5"/>
        </w:rPr>
        <w:t xml:space="preserve"> </w:t>
      </w:r>
      <w:r>
        <w:t>years</w:t>
      </w:r>
      <w:r>
        <w:rPr>
          <w:spacing w:val="-5"/>
        </w:rPr>
        <w:t xml:space="preserve"> </w:t>
      </w:r>
      <w:r>
        <w:t>of</w:t>
      </w:r>
      <w:r>
        <w:rPr>
          <w:spacing w:val="-5"/>
        </w:rPr>
        <w:t xml:space="preserve"> </w:t>
      </w:r>
      <w:r>
        <w:t>inclusive</w:t>
      </w:r>
      <w:r>
        <w:rPr>
          <w:spacing w:val="-5"/>
        </w:rPr>
        <w:t xml:space="preserve"> </w:t>
      </w:r>
      <w:r>
        <w:t>state-level</w:t>
      </w:r>
      <w:r>
        <w:rPr>
          <w:spacing w:val="-4"/>
        </w:rPr>
        <w:t xml:space="preserve"> </w:t>
      </w:r>
      <w:r>
        <w:t>student</w:t>
      </w:r>
      <w:r>
        <w:rPr>
          <w:spacing w:val="-6"/>
        </w:rPr>
        <w:t xml:space="preserve"> </w:t>
      </w:r>
      <w:r>
        <w:t>anti-discrimination</w:t>
      </w:r>
      <w:r>
        <w:rPr>
          <w:spacing w:val="-4"/>
        </w:rPr>
        <w:t xml:space="preserve"> </w:t>
      </w:r>
      <w:r>
        <w:t>policies</w:t>
      </w:r>
      <w:r>
        <w:rPr>
          <w:spacing w:val="-4"/>
        </w:rPr>
        <w:t xml:space="preserve"> </w:t>
      </w:r>
      <w:r>
        <w:t>and</w:t>
      </w:r>
      <w:r>
        <w:rPr>
          <w:spacing w:val="-4"/>
        </w:rPr>
        <w:t xml:space="preserve"> </w:t>
      </w:r>
      <w:r>
        <w:t>robust</w:t>
      </w:r>
      <w:r>
        <w:rPr>
          <w:spacing w:val="-6"/>
        </w:rPr>
        <w:t xml:space="preserve"> </w:t>
      </w:r>
      <w:r>
        <w:t xml:space="preserve">agency resources for implementation, the majority of Massachusetts PK-12 public schools are not adequately communicating protections for their LGBTQ+ students. Most school handbooks only support LGBTQ+ students through baseline compliance with the student </w:t>
      </w:r>
      <w:r>
        <w:t>non-discrimination act: very few handbooks contain any of the comprehensive guidance published by DESE and SSP. Only one in four Massachusetts school handbooks contains explicit protections or resources for LGBTQ+ students.</w:t>
      </w:r>
    </w:p>
    <w:p w:rsidR="00C76E6D" w:rsidRDefault="00C76E6D">
      <w:pPr>
        <w:spacing w:line="276" w:lineRule="auto"/>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479" w:right="478"/>
        <w:jc w:val="both"/>
      </w:pPr>
      <w:r>
        <w:t xml:space="preserve">Transgender and </w:t>
      </w:r>
      <w:r>
        <w:t>nonbinary youth are the most underrepresented and underserved in Massachusetts education policy and practice. In addition to facing disproportionate risk and violence, they are overwhelmingly</w:t>
      </w:r>
      <w:r>
        <w:rPr>
          <w:spacing w:val="-13"/>
        </w:rPr>
        <w:t xml:space="preserve"> </w:t>
      </w:r>
      <w:r>
        <w:t>denied</w:t>
      </w:r>
      <w:r>
        <w:rPr>
          <w:spacing w:val="-12"/>
        </w:rPr>
        <w:t xml:space="preserve"> </w:t>
      </w:r>
      <w:r>
        <w:t>safe</w:t>
      </w:r>
      <w:r>
        <w:rPr>
          <w:spacing w:val="-13"/>
        </w:rPr>
        <w:t xml:space="preserve"> </w:t>
      </w:r>
      <w:r>
        <w:t>access</w:t>
      </w:r>
      <w:r>
        <w:rPr>
          <w:spacing w:val="-12"/>
        </w:rPr>
        <w:t xml:space="preserve"> </w:t>
      </w:r>
      <w:r>
        <w:t>to</w:t>
      </w:r>
      <w:r>
        <w:rPr>
          <w:spacing w:val="-13"/>
        </w:rPr>
        <w:t xml:space="preserve"> </w:t>
      </w:r>
      <w:r>
        <w:t>basic</w:t>
      </w:r>
      <w:r>
        <w:rPr>
          <w:spacing w:val="-12"/>
        </w:rPr>
        <w:t xml:space="preserve"> </w:t>
      </w:r>
      <w:r>
        <w:t>school</w:t>
      </w:r>
      <w:r>
        <w:rPr>
          <w:spacing w:val="-13"/>
        </w:rPr>
        <w:t xml:space="preserve"> </w:t>
      </w:r>
      <w:r>
        <w:t>facilities,</w:t>
      </w:r>
      <w:r>
        <w:rPr>
          <w:spacing w:val="-12"/>
        </w:rPr>
        <w:t xml:space="preserve"> </w:t>
      </w:r>
      <w:r>
        <w:t>including</w:t>
      </w:r>
      <w:r>
        <w:rPr>
          <w:spacing w:val="-12"/>
        </w:rPr>
        <w:t xml:space="preserve"> </w:t>
      </w:r>
      <w:r>
        <w:t>restroo</w:t>
      </w:r>
      <w:r>
        <w:t>ms</w:t>
      </w:r>
      <w:r>
        <w:rPr>
          <w:spacing w:val="-13"/>
        </w:rPr>
        <w:t xml:space="preserve"> </w:t>
      </w:r>
      <w:r>
        <w:t>and</w:t>
      </w:r>
      <w:r>
        <w:rPr>
          <w:spacing w:val="-12"/>
        </w:rPr>
        <w:t xml:space="preserve"> </w:t>
      </w:r>
      <w:r>
        <w:t>changing</w:t>
      </w:r>
      <w:r>
        <w:rPr>
          <w:spacing w:val="-13"/>
        </w:rPr>
        <w:t xml:space="preserve"> </w:t>
      </w:r>
      <w:r>
        <w:t>areas.</w:t>
      </w:r>
      <w:r>
        <w:rPr>
          <w:spacing w:val="-12"/>
        </w:rPr>
        <w:t xml:space="preserve"> </w:t>
      </w:r>
      <w:r>
        <w:t>Most schools also continue using binary gendered language in their handbooks (</w:t>
      </w:r>
      <w:r>
        <w:rPr>
          <w:i/>
        </w:rPr>
        <w:t>e.g.</w:t>
      </w:r>
      <w:r>
        <w:t>, “his or her” instead of “their”), further marginalizing nonbinary, transgender, and nonbinary students.</w:t>
      </w:r>
    </w:p>
    <w:p w:rsidR="00C76E6D" w:rsidRDefault="00C76E6D">
      <w:pPr>
        <w:pStyle w:val="BodyText"/>
        <w:spacing w:before="7"/>
        <w:rPr>
          <w:sz w:val="19"/>
        </w:rPr>
      </w:pPr>
    </w:p>
    <w:p w:rsidR="00C76E6D" w:rsidRDefault="00913831">
      <w:pPr>
        <w:pStyle w:val="BodyText"/>
        <w:spacing w:line="276" w:lineRule="auto"/>
        <w:ind w:left="480" w:right="474"/>
        <w:jc w:val="both"/>
      </w:pPr>
      <w:r>
        <w:t>Moreover,</w:t>
      </w:r>
      <w:r>
        <w:rPr>
          <w:spacing w:val="-13"/>
        </w:rPr>
        <w:t xml:space="preserve"> </w:t>
      </w:r>
      <w:r>
        <w:t>a</w:t>
      </w:r>
      <w:r>
        <w:rPr>
          <w:spacing w:val="-12"/>
        </w:rPr>
        <w:t xml:space="preserve"> </w:t>
      </w:r>
      <w:r>
        <w:t>significant</w:t>
      </w:r>
      <w:r>
        <w:rPr>
          <w:spacing w:val="-13"/>
        </w:rPr>
        <w:t xml:space="preserve"> </w:t>
      </w:r>
      <w:r>
        <w:t>number</w:t>
      </w:r>
      <w:r>
        <w:rPr>
          <w:spacing w:val="-12"/>
        </w:rPr>
        <w:t xml:space="preserve"> </w:t>
      </w:r>
      <w:r>
        <w:t>of</w:t>
      </w:r>
      <w:r>
        <w:rPr>
          <w:spacing w:val="-13"/>
        </w:rPr>
        <w:t xml:space="preserve"> </w:t>
      </w:r>
      <w:r>
        <w:t>schools</w:t>
      </w:r>
      <w:r>
        <w:rPr>
          <w:spacing w:val="-12"/>
        </w:rPr>
        <w:t xml:space="preserve"> </w:t>
      </w:r>
      <w:r>
        <w:t>(5</w:t>
      </w:r>
      <w:r>
        <w:t>.5%</w:t>
      </w:r>
      <w:r>
        <w:rPr>
          <w:spacing w:val="-13"/>
        </w:rPr>
        <w:t xml:space="preserve"> </w:t>
      </w:r>
      <w:r>
        <w:t>total)</w:t>
      </w:r>
      <w:r>
        <w:rPr>
          <w:spacing w:val="-12"/>
        </w:rPr>
        <w:t xml:space="preserve"> </w:t>
      </w:r>
      <w:r>
        <w:t>discuss</w:t>
      </w:r>
      <w:r>
        <w:rPr>
          <w:spacing w:val="-12"/>
        </w:rPr>
        <w:t xml:space="preserve"> </w:t>
      </w:r>
      <w:r>
        <w:t>“gender”</w:t>
      </w:r>
      <w:r>
        <w:rPr>
          <w:spacing w:val="-13"/>
        </w:rPr>
        <w:t xml:space="preserve"> </w:t>
      </w:r>
      <w:r>
        <w:t>but</w:t>
      </w:r>
      <w:r>
        <w:rPr>
          <w:spacing w:val="-12"/>
        </w:rPr>
        <w:t xml:space="preserve"> </w:t>
      </w:r>
      <w:r>
        <w:t>make</w:t>
      </w:r>
      <w:r>
        <w:rPr>
          <w:spacing w:val="-13"/>
        </w:rPr>
        <w:t xml:space="preserve"> </w:t>
      </w:r>
      <w:r>
        <w:t>no</w:t>
      </w:r>
      <w:r>
        <w:rPr>
          <w:spacing w:val="-12"/>
        </w:rPr>
        <w:t xml:space="preserve"> </w:t>
      </w:r>
      <w:r>
        <w:t>mention</w:t>
      </w:r>
      <w:r>
        <w:rPr>
          <w:spacing w:val="-13"/>
        </w:rPr>
        <w:t xml:space="preserve"> </w:t>
      </w:r>
      <w:r>
        <w:t>of</w:t>
      </w:r>
      <w:r>
        <w:rPr>
          <w:spacing w:val="-12"/>
        </w:rPr>
        <w:t xml:space="preserve"> </w:t>
      </w:r>
      <w:r>
        <w:t>“identity” in</w:t>
      </w:r>
      <w:r>
        <w:rPr>
          <w:spacing w:val="-8"/>
        </w:rPr>
        <w:t xml:space="preserve"> </w:t>
      </w:r>
      <w:r>
        <w:t>their</w:t>
      </w:r>
      <w:r>
        <w:rPr>
          <w:spacing w:val="-6"/>
        </w:rPr>
        <w:t xml:space="preserve"> </w:t>
      </w:r>
      <w:r>
        <w:t>anti-discrimination</w:t>
      </w:r>
      <w:r>
        <w:rPr>
          <w:spacing w:val="-3"/>
        </w:rPr>
        <w:t xml:space="preserve"> </w:t>
      </w:r>
      <w:r>
        <w:t>policies.</w:t>
      </w:r>
      <w:r>
        <w:rPr>
          <w:spacing w:val="-5"/>
        </w:rPr>
        <w:t xml:space="preserve"> </w:t>
      </w:r>
      <w:r>
        <w:t>Many</w:t>
      </w:r>
      <w:r>
        <w:rPr>
          <w:spacing w:val="-7"/>
        </w:rPr>
        <w:t xml:space="preserve"> </w:t>
      </w:r>
      <w:r>
        <w:t>handbooks</w:t>
      </w:r>
      <w:r>
        <w:rPr>
          <w:spacing w:val="-6"/>
        </w:rPr>
        <w:t xml:space="preserve"> </w:t>
      </w:r>
      <w:r>
        <w:t>falling</w:t>
      </w:r>
      <w:r>
        <w:rPr>
          <w:spacing w:val="-6"/>
        </w:rPr>
        <w:t xml:space="preserve"> </w:t>
      </w:r>
      <w:r>
        <w:t>under</w:t>
      </w:r>
      <w:r>
        <w:rPr>
          <w:spacing w:val="-5"/>
        </w:rPr>
        <w:t xml:space="preserve"> </w:t>
      </w:r>
      <w:r>
        <w:t>this</w:t>
      </w:r>
      <w:r>
        <w:rPr>
          <w:spacing w:val="-6"/>
        </w:rPr>
        <w:t xml:space="preserve"> </w:t>
      </w:r>
      <w:r>
        <w:t>category</w:t>
      </w:r>
      <w:r>
        <w:rPr>
          <w:spacing w:val="-6"/>
        </w:rPr>
        <w:t xml:space="preserve"> </w:t>
      </w:r>
      <w:r>
        <w:t>use</w:t>
      </w:r>
      <w:r>
        <w:rPr>
          <w:spacing w:val="-7"/>
        </w:rPr>
        <w:t xml:space="preserve"> </w:t>
      </w:r>
      <w:r>
        <w:t>the</w:t>
      </w:r>
      <w:r>
        <w:rPr>
          <w:spacing w:val="-6"/>
        </w:rPr>
        <w:t xml:space="preserve"> </w:t>
      </w:r>
      <w:r>
        <w:t>term</w:t>
      </w:r>
      <w:r>
        <w:rPr>
          <w:spacing w:val="-5"/>
        </w:rPr>
        <w:t xml:space="preserve"> </w:t>
      </w:r>
      <w:r>
        <w:t>“gender”</w:t>
      </w:r>
      <w:r>
        <w:rPr>
          <w:spacing w:val="-6"/>
        </w:rPr>
        <w:t xml:space="preserve"> </w:t>
      </w:r>
      <w:r>
        <w:t>in lieu</w:t>
      </w:r>
      <w:r>
        <w:rPr>
          <w:spacing w:val="-13"/>
        </w:rPr>
        <w:t xml:space="preserve"> </w:t>
      </w:r>
      <w:r>
        <w:t>of</w:t>
      </w:r>
      <w:r>
        <w:rPr>
          <w:spacing w:val="-12"/>
        </w:rPr>
        <w:t xml:space="preserve"> </w:t>
      </w:r>
      <w:r>
        <w:t>“sex,”</w:t>
      </w:r>
      <w:r>
        <w:rPr>
          <w:spacing w:val="-13"/>
        </w:rPr>
        <w:t xml:space="preserve"> </w:t>
      </w:r>
      <w:r>
        <w:t>indicating</w:t>
      </w:r>
      <w:r>
        <w:rPr>
          <w:spacing w:val="-12"/>
        </w:rPr>
        <w:t xml:space="preserve"> </w:t>
      </w:r>
      <w:r>
        <w:t>the</w:t>
      </w:r>
      <w:r>
        <w:rPr>
          <w:spacing w:val="-13"/>
        </w:rPr>
        <w:t xml:space="preserve"> </w:t>
      </w:r>
      <w:r>
        <w:t>policymaker’s</w:t>
      </w:r>
      <w:r>
        <w:rPr>
          <w:spacing w:val="-12"/>
        </w:rPr>
        <w:t xml:space="preserve"> </w:t>
      </w:r>
      <w:r>
        <w:t>potential</w:t>
      </w:r>
      <w:r>
        <w:rPr>
          <w:spacing w:val="-13"/>
        </w:rPr>
        <w:t xml:space="preserve"> </w:t>
      </w:r>
      <w:r>
        <w:t>conflation</w:t>
      </w:r>
      <w:r>
        <w:rPr>
          <w:spacing w:val="-12"/>
        </w:rPr>
        <w:t xml:space="preserve"> </w:t>
      </w:r>
      <w:r>
        <w:t>of</w:t>
      </w:r>
      <w:r>
        <w:rPr>
          <w:spacing w:val="-12"/>
        </w:rPr>
        <w:t xml:space="preserve"> </w:t>
      </w:r>
      <w:r>
        <w:t>gender</w:t>
      </w:r>
      <w:r>
        <w:rPr>
          <w:spacing w:val="-13"/>
        </w:rPr>
        <w:t xml:space="preserve"> </w:t>
      </w:r>
      <w:r>
        <w:t>identity</w:t>
      </w:r>
      <w:r>
        <w:rPr>
          <w:spacing w:val="-12"/>
        </w:rPr>
        <w:t xml:space="preserve"> </w:t>
      </w:r>
      <w:r>
        <w:t>with</w:t>
      </w:r>
      <w:r>
        <w:rPr>
          <w:spacing w:val="-13"/>
        </w:rPr>
        <w:t xml:space="preserve"> </w:t>
      </w:r>
      <w:r>
        <w:t>assigned</w:t>
      </w:r>
      <w:r>
        <w:rPr>
          <w:spacing w:val="-12"/>
        </w:rPr>
        <w:t xml:space="preserve"> </w:t>
      </w:r>
      <w:r>
        <w:t>sex</w:t>
      </w:r>
      <w:r>
        <w:rPr>
          <w:spacing w:val="-13"/>
        </w:rPr>
        <w:t xml:space="preserve"> </w:t>
      </w:r>
      <w:r>
        <w:t>at</w:t>
      </w:r>
      <w:r>
        <w:rPr>
          <w:spacing w:val="-12"/>
        </w:rPr>
        <w:t xml:space="preserve"> </w:t>
      </w:r>
      <w:r>
        <w:t xml:space="preserve">birth. Other handbooks added the term “gender” after “sex” in their anti-discrimination policies’ protected classes but neglected to include “identity,” which may reflect resistance to acknowledging the fluidity of gender identity and </w:t>
      </w:r>
      <w:r>
        <w:t>expression. Both examples illuminate a persistent binary system that excludes transgender and nonbinary students.</w:t>
      </w:r>
    </w:p>
    <w:p w:rsidR="00C76E6D" w:rsidRDefault="00C76E6D">
      <w:pPr>
        <w:pStyle w:val="BodyText"/>
        <w:spacing w:before="9"/>
        <w:rPr>
          <w:sz w:val="19"/>
        </w:rPr>
      </w:pPr>
    </w:p>
    <w:p w:rsidR="00C76E6D" w:rsidRDefault="00913831">
      <w:pPr>
        <w:pStyle w:val="BodyText"/>
        <w:spacing w:line="276" w:lineRule="auto"/>
        <w:ind w:left="480" w:right="474"/>
        <w:jc w:val="both"/>
      </w:pPr>
      <w:r>
        <w:t>It is important to note that the two highest-scoring schools are from well-resourced suburban districts with</w:t>
      </w:r>
      <w:r>
        <w:rPr>
          <w:spacing w:val="-1"/>
        </w:rPr>
        <w:t xml:space="preserve"> </w:t>
      </w:r>
      <w:r>
        <w:t>the</w:t>
      </w:r>
      <w:r>
        <w:rPr>
          <w:spacing w:val="-2"/>
        </w:rPr>
        <w:t xml:space="preserve"> </w:t>
      </w:r>
      <w:r>
        <w:t>funding</w:t>
      </w:r>
      <w:r>
        <w:rPr>
          <w:spacing w:val="-2"/>
        </w:rPr>
        <w:t xml:space="preserve"> </w:t>
      </w:r>
      <w:r>
        <w:t>and staffing</w:t>
      </w:r>
      <w:r>
        <w:rPr>
          <w:spacing w:val="-2"/>
        </w:rPr>
        <w:t xml:space="preserve"> </w:t>
      </w:r>
      <w:r>
        <w:t>power t</w:t>
      </w:r>
      <w:r>
        <w:t>o produce comprehensive handbooks</w:t>
      </w:r>
      <w:r>
        <w:rPr>
          <w:spacing w:val="-1"/>
        </w:rPr>
        <w:t xml:space="preserve"> </w:t>
      </w:r>
      <w:r>
        <w:t>each</w:t>
      </w:r>
      <w:r>
        <w:rPr>
          <w:spacing w:val="-2"/>
        </w:rPr>
        <w:t xml:space="preserve"> </w:t>
      </w:r>
      <w:r>
        <w:t>year.</w:t>
      </w:r>
      <w:r>
        <w:rPr>
          <w:spacing w:val="-1"/>
        </w:rPr>
        <w:t xml:space="preserve"> </w:t>
      </w:r>
      <w:r>
        <w:t>Winchester</w:t>
      </w:r>
      <w:r>
        <w:rPr>
          <w:spacing w:val="-1"/>
        </w:rPr>
        <w:t xml:space="preserve"> </w:t>
      </w:r>
      <w:r>
        <w:t>Public Schools benefit from some of the highest property tax revenue in Massachusetts, while CCSC enjoys funding</w:t>
      </w:r>
      <w:r>
        <w:rPr>
          <w:spacing w:val="-13"/>
        </w:rPr>
        <w:t xml:space="preserve"> </w:t>
      </w:r>
      <w:r>
        <w:t>from</w:t>
      </w:r>
      <w:r>
        <w:rPr>
          <w:spacing w:val="-12"/>
        </w:rPr>
        <w:t xml:space="preserve"> </w:t>
      </w:r>
      <w:r>
        <w:t>numerous</w:t>
      </w:r>
      <w:r>
        <w:rPr>
          <w:spacing w:val="-13"/>
        </w:rPr>
        <w:t xml:space="preserve"> </w:t>
      </w:r>
      <w:r>
        <w:t>sending</w:t>
      </w:r>
      <w:r>
        <w:rPr>
          <w:spacing w:val="-12"/>
        </w:rPr>
        <w:t xml:space="preserve"> </w:t>
      </w:r>
      <w:r>
        <w:t>school</w:t>
      </w:r>
      <w:r>
        <w:rPr>
          <w:spacing w:val="-13"/>
        </w:rPr>
        <w:t xml:space="preserve"> </w:t>
      </w:r>
      <w:r>
        <w:t>districts</w:t>
      </w:r>
      <w:r>
        <w:rPr>
          <w:spacing w:val="-12"/>
        </w:rPr>
        <w:t xml:space="preserve"> </w:t>
      </w:r>
      <w:r>
        <w:t>in</w:t>
      </w:r>
      <w:r>
        <w:rPr>
          <w:spacing w:val="-13"/>
        </w:rPr>
        <w:t xml:space="preserve"> </w:t>
      </w:r>
      <w:r>
        <w:t>the</w:t>
      </w:r>
      <w:r>
        <w:rPr>
          <w:spacing w:val="-12"/>
        </w:rPr>
        <w:t xml:space="preserve"> </w:t>
      </w:r>
      <w:r>
        <w:t>Greater</w:t>
      </w:r>
      <w:r>
        <w:rPr>
          <w:spacing w:val="-12"/>
        </w:rPr>
        <w:t xml:space="preserve"> </w:t>
      </w:r>
      <w:r>
        <w:t>Boston</w:t>
      </w:r>
      <w:r>
        <w:rPr>
          <w:spacing w:val="-13"/>
        </w:rPr>
        <w:t xml:space="preserve"> </w:t>
      </w:r>
      <w:r>
        <w:t>area.</w:t>
      </w:r>
      <w:r>
        <w:rPr>
          <w:spacing w:val="-12"/>
        </w:rPr>
        <w:t xml:space="preserve"> </w:t>
      </w:r>
      <w:r>
        <w:t>Both</w:t>
      </w:r>
      <w:r>
        <w:rPr>
          <w:spacing w:val="-13"/>
        </w:rPr>
        <w:t xml:space="preserve"> </w:t>
      </w:r>
      <w:r>
        <w:t>schools</w:t>
      </w:r>
      <w:r>
        <w:rPr>
          <w:spacing w:val="-12"/>
        </w:rPr>
        <w:t xml:space="preserve"> </w:t>
      </w:r>
      <w:r>
        <w:t>also</w:t>
      </w:r>
      <w:r>
        <w:rPr>
          <w:spacing w:val="-13"/>
        </w:rPr>
        <w:t xml:space="preserve"> </w:t>
      </w:r>
      <w:r>
        <w:t>benefit</w:t>
      </w:r>
      <w:r>
        <w:rPr>
          <w:spacing w:val="-12"/>
        </w:rPr>
        <w:t xml:space="preserve"> </w:t>
      </w:r>
      <w:r>
        <w:t>from affiliate</w:t>
      </w:r>
      <w:r>
        <w:rPr>
          <w:spacing w:val="-7"/>
        </w:rPr>
        <w:t xml:space="preserve"> </w:t>
      </w:r>
      <w:r>
        <w:t>501(c)(3)</w:t>
      </w:r>
      <w:r>
        <w:rPr>
          <w:spacing w:val="-8"/>
        </w:rPr>
        <w:t xml:space="preserve"> </w:t>
      </w:r>
      <w:r>
        <w:t>organizations</w:t>
      </w:r>
      <w:r>
        <w:rPr>
          <w:spacing w:val="-7"/>
        </w:rPr>
        <w:t xml:space="preserve"> </w:t>
      </w:r>
      <w:r>
        <w:t>to</w:t>
      </w:r>
      <w:r>
        <w:rPr>
          <w:spacing w:val="-6"/>
        </w:rPr>
        <w:t xml:space="preserve"> </w:t>
      </w:r>
      <w:r>
        <w:t>bolster</w:t>
      </w:r>
      <w:r>
        <w:rPr>
          <w:spacing w:val="-7"/>
        </w:rPr>
        <w:t xml:space="preserve"> </w:t>
      </w:r>
      <w:r>
        <w:t>their</w:t>
      </w:r>
      <w:r>
        <w:rPr>
          <w:spacing w:val="-6"/>
        </w:rPr>
        <w:t xml:space="preserve"> </w:t>
      </w:r>
      <w:r>
        <w:t>budgets.</w:t>
      </w:r>
      <w:r>
        <w:rPr>
          <w:spacing w:val="-7"/>
        </w:rPr>
        <w:t xml:space="preserve"> </w:t>
      </w:r>
      <w:r>
        <w:t>These</w:t>
      </w:r>
      <w:r>
        <w:rPr>
          <w:spacing w:val="-8"/>
        </w:rPr>
        <w:t xml:space="preserve"> </w:t>
      </w:r>
      <w:r>
        <w:t>initial</w:t>
      </w:r>
      <w:r>
        <w:rPr>
          <w:spacing w:val="-7"/>
        </w:rPr>
        <w:t xml:space="preserve"> </w:t>
      </w:r>
      <w:r>
        <w:t>research</w:t>
      </w:r>
      <w:r>
        <w:rPr>
          <w:spacing w:val="-7"/>
        </w:rPr>
        <w:t xml:space="preserve"> </w:t>
      </w:r>
      <w:r>
        <w:t>results</w:t>
      </w:r>
      <w:r>
        <w:rPr>
          <w:spacing w:val="-7"/>
        </w:rPr>
        <w:t xml:space="preserve"> </w:t>
      </w:r>
      <w:r>
        <w:t>indicate</w:t>
      </w:r>
      <w:r>
        <w:rPr>
          <w:spacing w:val="-5"/>
        </w:rPr>
        <w:t xml:space="preserve"> </w:t>
      </w:r>
      <w:r>
        <w:t>that</w:t>
      </w:r>
      <w:r>
        <w:rPr>
          <w:spacing w:val="-8"/>
        </w:rPr>
        <w:t xml:space="preserve"> </w:t>
      </w:r>
      <w:r>
        <w:t>lower- scoring</w:t>
      </w:r>
      <w:r>
        <w:rPr>
          <w:spacing w:val="-1"/>
        </w:rPr>
        <w:t xml:space="preserve"> </w:t>
      </w:r>
      <w:r>
        <w:t>handbooks</w:t>
      </w:r>
      <w:r>
        <w:rPr>
          <w:spacing w:val="-1"/>
        </w:rPr>
        <w:t xml:space="preserve"> </w:t>
      </w:r>
      <w:r>
        <w:t>may not</w:t>
      </w:r>
      <w:r>
        <w:rPr>
          <w:spacing w:val="-2"/>
        </w:rPr>
        <w:t xml:space="preserve"> </w:t>
      </w:r>
      <w:r>
        <w:t>necessarily</w:t>
      </w:r>
      <w:r>
        <w:rPr>
          <w:spacing w:val="-1"/>
        </w:rPr>
        <w:t xml:space="preserve"> </w:t>
      </w:r>
      <w:r>
        <w:t>reflect attitudes toward</w:t>
      </w:r>
      <w:r>
        <w:rPr>
          <w:spacing w:val="-1"/>
        </w:rPr>
        <w:t xml:space="preserve"> </w:t>
      </w:r>
      <w:r>
        <w:t>LGBTQ+ people: they could also indicate staffing</w:t>
      </w:r>
      <w:r>
        <w:rPr>
          <w:spacing w:val="-4"/>
        </w:rPr>
        <w:t xml:space="preserve"> </w:t>
      </w:r>
      <w:r>
        <w:t>and</w:t>
      </w:r>
      <w:r>
        <w:rPr>
          <w:spacing w:val="-3"/>
        </w:rPr>
        <w:t xml:space="preserve"> </w:t>
      </w:r>
      <w:r>
        <w:t>resource</w:t>
      </w:r>
      <w:r>
        <w:rPr>
          <w:spacing w:val="-4"/>
        </w:rPr>
        <w:t xml:space="preserve"> </w:t>
      </w:r>
      <w:r>
        <w:t>alloca</w:t>
      </w:r>
      <w:r>
        <w:t>tion</w:t>
      </w:r>
      <w:r>
        <w:rPr>
          <w:spacing w:val="-4"/>
        </w:rPr>
        <w:t xml:space="preserve"> </w:t>
      </w:r>
      <w:r>
        <w:t>issues,</w:t>
      </w:r>
      <w:r>
        <w:rPr>
          <w:spacing w:val="-2"/>
        </w:rPr>
        <w:t xml:space="preserve"> </w:t>
      </w:r>
      <w:r>
        <w:t>which</w:t>
      </w:r>
      <w:r>
        <w:rPr>
          <w:spacing w:val="-3"/>
        </w:rPr>
        <w:t xml:space="preserve"> </w:t>
      </w:r>
      <w:r>
        <w:t>are</w:t>
      </w:r>
      <w:r>
        <w:rPr>
          <w:spacing w:val="-3"/>
        </w:rPr>
        <w:t xml:space="preserve"> </w:t>
      </w:r>
      <w:r>
        <w:t>reflective</w:t>
      </w:r>
      <w:r>
        <w:rPr>
          <w:spacing w:val="-3"/>
        </w:rPr>
        <w:t xml:space="preserve"> </w:t>
      </w:r>
      <w:r>
        <w:t>of</w:t>
      </w:r>
      <w:r>
        <w:rPr>
          <w:spacing w:val="-4"/>
        </w:rPr>
        <w:t xml:space="preserve"> </w:t>
      </w:r>
      <w:r>
        <w:t>broader</w:t>
      </w:r>
      <w:r>
        <w:rPr>
          <w:spacing w:val="-4"/>
        </w:rPr>
        <w:t xml:space="preserve"> </w:t>
      </w:r>
      <w:r>
        <w:t>educational</w:t>
      </w:r>
      <w:r>
        <w:rPr>
          <w:spacing w:val="-4"/>
        </w:rPr>
        <w:t xml:space="preserve"> </w:t>
      </w:r>
      <w:r>
        <w:t>inequities</w:t>
      </w:r>
      <w:r>
        <w:rPr>
          <w:spacing w:val="-3"/>
        </w:rPr>
        <w:t xml:space="preserve"> </w:t>
      </w:r>
      <w:r>
        <w:t>throughout the Commonwealth and this country.</w:t>
      </w:r>
    </w:p>
    <w:p w:rsidR="00C76E6D" w:rsidRDefault="00C76E6D">
      <w:pPr>
        <w:pStyle w:val="BodyText"/>
        <w:spacing w:before="3"/>
        <w:rPr>
          <w:sz w:val="25"/>
        </w:rPr>
      </w:pPr>
    </w:p>
    <w:p w:rsidR="00C76E6D" w:rsidRDefault="00913831">
      <w:pPr>
        <w:pStyle w:val="BodyText"/>
        <w:spacing w:line="276" w:lineRule="auto"/>
        <w:ind w:left="480" w:right="473" w:hanging="1"/>
        <w:jc w:val="both"/>
      </w:pPr>
      <w:r>
        <w:t>Schools</w:t>
      </w:r>
      <w:r>
        <w:rPr>
          <w:spacing w:val="-9"/>
        </w:rPr>
        <w:t xml:space="preserve"> </w:t>
      </w:r>
      <w:r>
        <w:t>in</w:t>
      </w:r>
      <w:r>
        <w:rPr>
          <w:spacing w:val="-8"/>
        </w:rPr>
        <w:t xml:space="preserve"> </w:t>
      </w:r>
      <w:r>
        <w:t>different</w:t>
      </w:r>
      <w:r>
        <w:rPr>
          <w:spacing w:val="-9"/>
        </w:rPr>
        <w:t xml:space="preserve"> </w:t>
      </w:r>
      <w:r>
        <w:t>parts</w:t>
      </w:r>
      <w:r>
        <w:rPr>
          <w:spacing w:val="-8"/>
        </w:rPr>
        <w:t xml:space="preserve"> </w:t>
      </w:r>
      <w:r>
        <w:t>of</w:t>
      </w:r>
      <w:r>
        <w:rPr>
          <w:spacing w:val="-10"/>
        </w:rPr>
        <w:t xml:space="preserve"> </w:t>
      </w:r>
      <w:r>
        <w:t>Massachusetts</w:t>
      </w:r>
      <w:r>
        <w:rPr>
          <w:spacing w:val="-9"/>
        </w:rPr>
        <w:t xml:space="preserve"> </w:t>
      </w:r>
      <w:r>
        <w:t>are</w:t>
      </w:r>
      <w:r>
        <w:rPr>
          <w:spacing w:val="-9"/>
        </w:rPr>
        <w:t xml:space="preserve"> </w:t>
      </w:r>
      <w:r>
        <w:t>operating</w:t>
      </w:r>
      <w:r>
        <w:rPr>
          <w:spacing w:val="-10"/>
        </w:rPr>
        <w:t xml:space="preserve"> </w:t>
      </w:r>
      <w:r>
        <w:t>under</w:t>
      </w:r>
      <w:r>
        <w:rPr>
          <w:spacing w:val="-8"/>
        </w:rPr>
        <w:t xml:space="preserve"> </w:t>
      </w:r>
      <w:r>
        <w:t>different</w:t>
      </w:r>
      <w:r>
        <w:rPr>
          <w:spacing w:val="-9"/>
        </w:rPr>
        <w:t xml:space="preserve"> </w:t>
      </w:r>
      <w:r>
        <w:t>material</w:t>
      </w:r>
      <w:r>
        <w:rPr>
          <w:spacing w:val="-10"/>
        </w:rPr>
        <w:t xml:space="preserve"> </w:t>
      </w:r>
      <w:r>
        <w:t>constraints</w:t>
      </w:r>
      <w:r>
        <w:rPr>
          <w:spacing w:val="-8"/>
        </w:rPr>
        <w:t xml:space="preserve"> </w:t>
      </w:r>
      <w:r>
        <w:t>that</w:t>
      </w:r>
      <w:r>
        <w:rPr>
          <w:spacing w:val="-10"/>
        </w:rPr>
        <w:t xml:space="preserve"> </w:t>
      </w:r>
      <w:r>
        <w:t>impact the</w:t>
      </w:r>
      <w:r>
        <w:rPr>
          <w:spacing w:val="-6"/>
        </w:rPr>
        <w:t xml:space="preserve"> </w:t>
      </w:r>
      <w:r>
        <w:t>implementation</w:t>
      </w:r>
      <w:r>
        <w:rPr>
          <w:spacing w:val="-6"/>
        </w:rPr>
        <w:t xml:space="preserve"> </w:t>
      </w:r>
      <w:r>
        <w:t>of</w:t>
      </w:r>
      <w:r>
        <w:rPr>
          <w:spacing w:val="-6"/>
        </w:rPr>
        <w:t xml:space="preserve"> </w:t>
      </w:r>
      <w:r>
        <w:t>district-level</w:t>
      </w:r>
      <w:r>
        <w:rPr>
          <w:spacing w:val="-6"/>
        </w:rPr>
        <w:t xml:space="preserve"> </w:t>
      </w:r>
      <w:r>
        <w:t>policies,</w:t>
      </w:r>
      <w:r>
        <w:rPr>
          <w:spacing w:val="-6"/>
        </w:rPr>
        <w:t xml:space="preserve"> </w:t>
      </w:r>
      <w:r>
        <w:t>particularly</w:t>
      </w:r>
      <w:r>
        <w:rPr>
          <w:spacing w:val="-7"/>
        </w:rPr>
        <w:t xml:space="preserve"> </w:t>
      </w:r>
      <w:r>
        <w:t>those</w:t>
      </w:r>
      <w:r>
        <w:rPr>
          <w:spacing w:val="-6"/>
        </w:rPr>
        <w:t xml:space="preserve"> </w:t>
      </w:r>
      <w:r>
        <w:t>designed</w:t>
      </w:r>
      <w:r>
        <w:rPr>
          <w:spacing w:val="-5"/>
        </w:rPr>
        <w:t xml:space="preserve"> </w:t>
      </w:r>
      <w:r>
        <w:t>to</w:t>
      </w:r>
      <w:r>
        <w:rPr>
          <w:spacing w:val="-6"/>
        </w:rPr>
        <w:t xml:space="preserve"> </w:t>
      </w:r>
      <w:r>
        <w:t>protect</w:t>
      </w:r>
      <w:r>
        <w:rPr>
          <w:spacing w:val="-7"/>
        </w:rPr>
        <w:t xml:space="preserve"> </w:t>
      </w:r>
      <w:r>
        <w:t>LGBTQ+</w:t>
      </w:r>
      <w:r>
        <w:rPr>
          <w:spacing w:val="-4"/>
        </w:rPr>
        <w:t xml:space="preserve"> </w:t>
      </w:r>
      <w:r>
        <w:t>students.</w:t>
      </w:r>
      <w:r>
        <w:rPr>
          <w:spacing w:val="-7"/>
        </w:rPr>
        <w:t xml:space="preserve"> </w:t>
      </w:r>
      <w:r>
        <w:t>The initial</w:t>
      </w:r>
      <w:r>
        <w:rPr>
          <w:spacing w:val="-9"/>
        </w:rPr>
        <w:t xml:space="preserve"> </w:t>
      </w:r>
      <w:r>
        <w:t>results</w:t>
      </w:r>
      <w:r>
        <w:rPr>
          <w:spacing w:val="-7"/>
        </w:rPr>
        <w:t xml:space="preserve"> </w:t>
      </w:r>
      <w:r>
        <w:t>from</w:t>
      </w:r>
      <w:r>
        <w:rPr>
          <w:spacing w:val="-9"/>
        </w:rPr>
        <w:t xml:space="preserve"> </w:t>
      </w:r>
      <w:r>
        <w:t>this</w:t>
      </w:r>
      <w:r>
        <w:rPr>
          <w:spacing w:val="-8"/>
        </w:rPr>
        <w:t xml:space="preserve"> </w:t>
      </w:r>
      <w:r>
        <w:t>study</w:t>
      </w:r>
      <w:r>
        <w:rPr>
          <w:spacing w:val="-9"/>
        </w:rPr>
        <w:t xml:space="preserve"> </w:t>
      </w:r>
      <w:r>
        <w:t>indicate</w:t>
      </w:r>
      <w:r>
        <w:rPr>
          <w:spacing w:val="-9"/>
        </w:rPr>
        <w:t xml:space="preserve"> </w:t>
      </w:r>
      <w:r>
        <w:t>that</w:t>
      </w:r>
      <w:r>
        <w:rPr>
          <w:spacing w:val="-9"/>
        </w:rPr>
        <w:t xml:space="preserve"> </w:t>
      </w:r>
      <w:r>
        <w:t>high</w:t>
      </w:r>
      <w:r>
        <w:rPr>
          <w:spacing w:val="-9"/>
        </w:rPr>
        <w:t xml:space="preserve"> </w:t>
      </w:r>
      <w:r>
        <w:t>scores</w:t>
      </w:r>
      <w:r>
        <w:rPr>
          <w:spacing w:val="-7"/>
        </w:rPr>
        <w:t xml:space="preserve"> </w:t>
      </w:r>
      <w:r>
        <w:t>are</w:t>
      </w:r>
      <w:r>
        <w:rPr>
          <w:spacing w:val="-9"/>
        </w:rPr>
        <w:t xml:space="preserve"> </w:t>
      </w:r>
      <w:r>
        <w:t>concentrated</w:t>
      </w:r>
      <w:r>
        <w:rPr>
          <w:spacing w:val="-9"/>
        </w:rPr>
        <w:t xml:space="preserve"> </w:t>
      </w:r>
      <w:r>
        <w:t>in</w:t>
      </w:r>
      <w:r>
        <w:rPr>
          <w:spacing w:val="-9"/>
        </w:rPr>
        <w:t xml:space="preserve"> </w:t>
      </w:r>
      <w:r>
        <w:t>wealthy</w:t>
      </w:r>
      <w:r>
        <w:rPr>
          <w:spacing w:val="-9"/>
        </w:rPr>
        <w:t xml:space="preserve"> </w:t>
      </w:r>
      <w:r>
        <w:t>suburban</w:t>
      </w:r>
      <w:r>
        <w:rPr>
          <w:spacing w:val="-6"/>
        </w:rPr>
        <w:t xml:space="preserve"> </w:t>
      </w:r>
      <w:r>
        <w:t>districts</w:t>
      </w:r>
      <w:r>
        <w:rPr>
          <w:spacing w:val="-8"/>
        </w:rPr>
        <w:t xml:space="preserve"> </w:t>
      </w:r>
      <w:r>
        <w:t>with high property tax revenue; average-scoring schools are mostly</w:t>
      </w:r>
      <w:r>
        <w:t xml:space="preserve"> located in cities with sweeping district- wide handbooks; and the poorest-scoring schools are located in low-income and/or rural communities with less staffing capacity. We predict that the further a school’s resources are stretched and strained, the less</w:t>
      </w:r>
      <w:r>
        <w:t xml:space="preserve"> likely they are to publish handbooks with comprehensive LGBTQ+ inclusive policies.</w:t>
      </w:r>
    </w:p>
    <w:p w:rsidR="00C76E6D" w:rsidRDefault="00C76E6D">
      <w:pPr>
        <w:pStyle w:val="BodyText"/>
        <w:spacing w:before="8"/>
        <w:rPr>
          <w:sz w:val="19"/>
        </w:rPr>
      </w:pPr>
    </w:p>
    <w:p w:rsidR="00C76E6D" w:rsidRDefault="00913831">
      <w:pPr>
        <w:pStyle w:val="BodyText"/>
        <w:spacing w:before="1" w:line="276" w:lineRule="auto"/>
        <w:ind w:left="479" w:right="474"/>
        <w:jc w:val="both"/>
      </w:pPr>
      <w:r>
        <w:t>Past reports by the Massachusetts Commission on LGBTQ Youth illuminate the significant disproportionate disparities in almost every factor impacting education, from economic and housing instability</w:t>
      </w:r>
      <w:r>
        <w:rPr>
          <w:spacing w:val="-3"/>
        </w:rPr>
        <w:t xml:space="preserve"> </w:t>
      </w:r>
      <w:r>
        <w:t>to</w:t>
      </w:r>
      <w:r>
        <w:rPr>
          <w:spacing w:val="-3"/>
        </w:rPr>
        <w:t xml:space="preserve"> </w:t>
      </w:r>
      <w:r>
        <w:t>mental</w:t>
      </w:r>
      <w:r>
        <w:rPr>
          <w:spacing w:val="-4"/>
        </w:rPr>
        <w:t xml:space="preserve"> </w:t>
      </w:r>
      <w:r>
        <w:t>health</w:t>
      </w:r>
      <w:r>
        <w:rPr>
          <w:spacing w:val="-6"/>
        </w:rPr>
        <w:t xml:space="preserve"> </w:t>
      </w:r>
      <w:r>
        <w:t>that</w:t>
      </w:r>
      <w:r>
        <w:rPr>
          <w:spacing w:val="-5"/>
        </w:rPr>
        <w:t xml:space="preserve"> </w:t>
      </w:r>
      <w:r>
        <w:t>QTBIPOC</w:t>
      </w:r>
      <w:r>
        <w:rPr>
          <w:spacing w:val="-6"/>
        </w:rPr>
        <w:t xml:space="preserve"> </w:t>
      </w:r>
      <w:r>
        <w:t>youth</w:t>
      </w:r>
      <w:r>
        <w:rPr>
          <w:spacing w:val="-5"/>
        </w:rPr>
        <w:t xml:space="preserve"> </w:t>
      </w:r>
      <w:r>
        <w:t>face</w:t>
      </w:r>
      <w:hyperlink w:anchor="_bookmark72" w:history="1">
        <w:r>
          <w:t>.</w:t>
        </w:r>
        <w:r>
          <w:rPr>
            <w:vertAlign w:val="superscript"/>
          </w:rPr>
          <w:t>3</w:t>
        </w:r>
        <w:r>
          <w:rPr>
            <w:spacing w:val="-7"/>
          </w:rPr>
          <w:t xml:space="preserve"> </w:t>
        </w:r>
      </w:hyperlink>
      <w:r>
        <w:t>The</w:t>
      </w:r>
      <w:r>
        <w:rPr>
          <w:spacing w:val="-5"/>
        </w:rPr>
        <w:t xml:space="preserve"> </w:t>
      </w:r>
      <w:r>
        <w:t>implementation</w:t>
      </w:r>
      <w:r>
        <w:rPr>
          <w:spacing w:val="-7"/>
        </w:rPr>
        <w:t xml:space="preserve"> </w:t>
      </w:r>
      <w:r>
        <w:t>of</w:t>
      </w:r>
      <w:r>
        <w:rPr>
          <w:spacing w:val="-4"/>
        </w:rPr>
        <w:t xml:space="preserve"> </w:t>
      </w:r>
      <w:r>
        <w:t>student</w:t>
      </w:r>
      <w:r>
        <w:rPr>
          <w:spacing w:val="-7"/>
        </w:rPr>
        <w:t xml:space="preserve"> </w:t>
      </w:r>
      <w:r>
        <w:t>anti-discrimination policy is likely yet another area in which systemic educational inequities are exacerbated for LGBTQ+ students, especially those who are also marginalized on the basis of rac</w:t>
      </w:r>
      <w:r>
        <w:t>e and gender. It is critical for any follow-up</w:t>
      </w:r>
      <w:r>
        <w:rPr>
          <w:spacing w:val="-9"/>
        </w:rPr>
        <w:t xml:space="preserve"> </w:t>
      </w:r>
      <w:r>
        <w:t>on</w:t>
      </w:r>
      <w:r>
        <w:rPr>
          <w:spacing w:val="-7"/>
        </w:rPr>
        <w:t xml:space="preserve"> </w:t>
      </w:r>
      <w:r>
        <w:t>this</w:t>
      </w:r>
      <w:r>
        <w:rPr>
          <w:spacing w:val="-8"/>
        </w:rPr>
        <w:t xml:space="preserve"> </w:t>
      </w:r>
      <w:r>
        <w:t>study</w:t>
      </w:r>
      <w:r>
        <w:rPr>
          <w:spacing w:val="-6"/>
        </w:rPr>
        <w:t xml:space="preserve"> </w:t>
      </w:r>
      <w:r>
        <w:t>to</w:t>
      </w:r>
      <w:r>
        <w:rPr>
          <w:spacing w:val="-6"/>
        </w:rPr>
        <w:t xml:space="preserve"> </w:t>
      </w:r>
      <w:r>
        <w:t>address</w:t>
      </w:r>
      <w:r>
        <w:rPr>
          <w:spacing w:val="-8"/>
        </w:rPr>
        <w:t xml:space="preserve"> </w:t>
      </w:r>
      <w:r>
        <w:t>potential</w:t>
      </w:r>
      <w:r>
        <w:rPr>
          <w:spacing w:val="-8"/>
        </w:rPr>
        <w:t xml:space="preserve"> </w:t>
      </w:r>
      <w:r>
        <w:t>demographic</w:t>
      </w:r>
      <w:r>
        <w:rPr>
          <w:spacing w:val="-8"/>
        </w:rPr>
        <w:t xml:space="preserve"> </w:t>
      </w:r>
      <w:r>
        <w:t>disparities</w:t>
      </w:r>
      <w:r>
        <w:rPr>
          <w:spacing w:val="-8"/>
        </w:rPr>
        <w:t xml:space="preserve"> </w:t>
      </w:r>
      <w:r>
        <w:t>in</w:t>
      </w:r>
      <w:r>
        <w:rPr>
          <w:spacing w:val="-8"/>
        </w:rPr>
        <w:t xml:space="preserve"> </w:t>
      </w:r>
      <w:r>
        <w:t>LGBTQ+</w:t>
      </w:r>
      <w:r>
        <w:rPr>
          <w:spacing w:val="-8"/>
        </w:rPr>
        <w:t xml:space="preserve"> </w:t>
      </w:r>
      <w:r>
        <w:t>inclusive</w:t>
      </w:r>
      <w:r>
        <w:rPr>
          <w:spacing w:val="-7"/>
        </w:rPr>
        <w:t xml:space="preserve"> </w:t>
      </w:r>
      <w:r>
        <w:t>education</w:t>
      </w:r>
      <w:r>
        <w:rPr>
          <w:spacing w:val="-8"/>
        </w:rPr>
        <w:t xml:space="preserve"> </w:t>
      </w:r>
      <w:r>
        <w:t>policy by</w:t>
      </w:r>
      <w:r>
        <w:rPr>
          <w:spacing w:val="-10"/>
        </w:rPr>
        <w:t xml:space="preserve"> </w:t>
      </w:r>
      <w:r>
        <w:t>incorporating</w:t>
      </w:r>
      <w:r>
        <w:rPr>
          <w:spacing w:val="-10"/>
        </w:rPr>
        <w:t xml:space="preserve"> </w:t>
      </w:r>
      <w:r>
        <w:t>DESE</w:t>
      </w:r>
      <w:r>
        <w:rPr>
          <w:spacing w:val="-11"/>
        </w:rPr>
        <w:t xml:space="preserve"> </w:t>
      </w:r>
      <w:r>
        <w:t>data</w:t>
      </w:r>
      <w:r>
        <w:rPr>
          <w:spacing w:val="-8"/>
        </w:rPr>
        <w:t xml:space="preserve"> </w:t>
      </w:r>
      <w:r>
        <w:t>on</w:t>
      </w:r>
      <w:r>
        <w:rPr>
          <w:spacing w:val="-10"/>
        </w:rPr>
        <w:t xml:space="preserve"> </w:t>
      </w:r>
      <w:r>
        <w:t>race,</w:t>
      </w:r>
      <w:r>
        <w:rPr>
          <w:spacing w:val="-10"/>
        </w:rPr>
        <w:t xml:space="preserve"> </w:t>
      </w:r>
      <w:r>
        <w:t>ethnicity,</w:t>
      </w:r>
      <w:r>
        <w:rPr>
          <w:spacing w:val="-9"/>
        </w:rPr>
        <w:t xml:space="preserve"> </w:t>
      </w:r>
      <w:r>
        <w:t>gender,</w:t>
      </w:r>
      <w:r>
        <w:rPr>
          <w:spacing w:val="-8"/>
        </w:rPr>
        <w:t xml:space="preserve"> </w:t>
      </w:r>
      <w:r>
        <w:t>disability,</w:t>
      </w:r>
      <w:r>
        <w:rPr>
          <w:spacing w:val="-9"/>
        </w:rPr>
        <w:t xml:space="preserve"> </w:t>
      </w:r>
      <w:r>
        <w:t>and</w:t>
      </w:r>
      <w:r>
        <w:rPr>
          <w:spacing w:val="-10"/>
        </w:rPr>
        <w:t xml:space="preserve"> </w:t>
      </w:r>
      <w:r>
        <w:t>socioeconomic</w:t>
      </w:r>
      <w:r>
        <w:rPr>
          <w:spacing w:val="-10"/>
        </w:rPr>
        <w:t xml:space="preserve"> </w:t>
      </w:r>
      <w:r>
        <w:t>status,</w:t>
      </w:r>
      <w:r>
        <w:rPr>
          <w:spacing w:val="-9"/>
        </w:rPr>
        <w:t xml:space="preserve"> </w:t>
      </w:r>
      <w:r>
        <w:t>disaggregated by</w:t>
      </w:r>
      <w:r>
        <w:rPr>
          <w:spacing w:val="-2"/>
        </w:rPr>
        <w:t xml:space="preserve"> </w:t>
      </w:r>
      <w:r>
        <w:t>sch</w:t>
      </w:r>
      <w:r>
        <w:t>ool</w:t>
      </w:r>
      <w:r>
        <w:rPr>
          <w:spacing w:val="-2"/>
        </w:rPr>
        <w:t xml:space="preserve"> </w:t>
      </w:r>
      <w:r>
        <w:t>and</w:t>
      </w:r>
      <w:r>
        <w:rPr>
          <w:spacing w:val="-2"/>
        </w:rPr>
        <w:t xml:space="preserve"> </w:t>
      </w:r>
      <w:r>
        <w:t>by district. Future</w:t>
      </w:r>
      <w:r>
        <w:rPr>
          <w:spacing w:val="-1"/>
        </w:rPr>
        <w:t xml:space="preserve"> </w:t>
      </w:r>
      <w:r>
        <w:t>iterations</w:t>
      </w:r>
      <w:r>
        <w:rPr>
          <w:spacing w:val="-1"/>
        </w:rPr>
        <w:t xml:space="preserve"> </w:t>
      </w:r>
      <w:r>
        <w:t>of</w:t>
      </w:r>
      <w:r>
        <w:rPr>
          <w:spacing w:val="-2"/>
        </w:rPr>
        <w:t xml:space="preserve"> </w:t>
      </w:r>
      <w:r>
        <w:t>this research</w:t>
      </w:r>
      <w:r>
        <w:rPr>
          <w:spacing w:val="-2"/>
        </w:rPr>
        <w:t xml:space="preserve"> </w:t>
      </w:r>
      <w:r>
        <w:t>would</w:t>
      </w:r>
      <w:r>
        <w:rPr>
          <w:spacing w:val="-1"/>
        </w:rPr>
        <w:t xml:space="preserve"> </w:t>
      </w:r>
      <w:r>
        <w:t>also</w:t>
      </w:r>
      <w:r>
        <w:rPr>
          <w:spacing w:val="-1"/>
        </w:rPr>
        <w:t xml:space="preserve"> </w:t>
      </w:r>
      <w:r>
        <w:t>benefit</w:t>
      </w:r>
      <w:r>
        <w:rPr>
          <w:spacing w:val="-1"/>
        </w:rPr>
        <w:t xml:space="preserve"> </w:t>
      </w:r>
      <w:r>
        <w:t>from</w:t>
      </w:r>
      <w:r>
        <w:rPr>
          <w:spacing w:val="-2"/>
        </w:rPr>
        <w:t xml:space="preserve"> </w:t>
      </w:r>
      <w:r>
        <w:t>determining</w:t>
      </w:r>
      <w:r>
        <w:rPr>
          <w:spacing w:val="-1"/>
        </w:rPr>
        <w:t xml:space="preserve"> </w:t>
      </w:r>
      <w:r>
        <w:t>whether districts with designated DEI officers or LGBTQ+ staff members have more inclusive school handbooks.</w:t>
      </w:r>
    </w:p>
    <w:p w:rsidR="00C76E6D" w:rsidRDefault="00C76E6D">
      <w:pPr>
        <w:spacing w:line="276" w:lineRule="auto"/>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913831">
      <w:pPr>
        <w:pStyle w:val="BodyText"/>
        <w:spacing w:before="206" w:line="276" w:lineRule="auto"/>
        <w:ind w:left="479" w:right="473"/>
        <w:jc w:val="both"/>
      </w:pPr>
      <w:r>
        <w:t>Updating</w:t>
      </w:r>
      <w:r>
        <w:rPr>
          <w:spacing w:val="-13"/>
        </w:rPr>
        <w:t xml:space="preserve"> </w:t>
      </w:r>
      <w:r>
        <w:t>school</w:t>
      </w:r>
      <w:r>
        <w:rPr>
          <w:spacing w:val="-12"/>
        </w:rPr>
        <w:t xml:space="preserve"> </w:t>
      </w:r>
      <w:r>
        <w:t>handbook</w:t>
      </w:r>
      <w:r>
        <w:rPr>
          <w:spacing w:val="-13"/>
        </w:rPr>
        <w:t xml:space="preserve"> </w:t>
      </w:r>
      <w:r>
        <w:t>language</w:t>
      </w:r>
      <w:r>
        <w:rPr>
          <w:spacing w:val="-12"/>
        </w:rPr>
        <w:t xml:space="preserve"> </w:t>
      </w:r>
      <w:r>
        <w:t>will</w:t>
      </w:r>
      <w:r>
        <w:rPr>
          <w:spacing w:val="-13"/>
        </w:rPr>
        <w:t xml:space="preserve"> </w:t>
      </w:r>
      <w:r>
        <w:t>not</w:t>
      </w:r>
      <w:r>
        <w:rPr>
          <w:spacing w:val="-12"/>
        </w:rPr>
        <w:t xml:space="preserve"> </w:t>
      </w:r>
      <w:r>
        <w:t>automatically</w:t>
      </w:r>
      <w:r>
        <w:rPr>
          <w:spacing w:val="-13"/>
        </w:rPr>
        <w:t xml:space="preserve"> </w:t>
      </w:r>
      <w:r>
        <w:t>solve</w:t>
      </w:r>
      <w:r>
        <w:rPr>
          <w:spacing w:val="-12"/>
        </w:rPr>
        <w:t xml:space="preserve"> </w:t>
      </w:r>
      <w:r>
        <w:t>these</w:t>
      </w:r>
      <w:r>
        <w:rPr>
          <w:spacing w:val="-12"/>
        </w:rPr>
        <w:t xml:space="preserve"> </w:t>
      </w:r>
      <w:r>
        <w:t>inequities</w:t>
      </w:r>
      <w:r>
        <w:rPr>
          <w:spacing w:val="-13"/>
        </w:rPr>
        <w:t xml:space="preserve"> </w:t>
      </w:r>
      <w:r>
        <w:t>or</w:t>
      </w:r>
      <w:r>
        <w:rPr>
          <w:spacing w:val="-12"/>
        </w:rPr>
        <w:t xml:space="preserve"> </w:t>
      </w:r>
      <w:r>
        <w:t>change</w:t>
      </w:r>
      <w:r>
        <w:rPr>
          <w:spacing w:val="-13"/>
        </w:rPr>
        <w:t xml:space="preserve"> </w:t>
      </w:r>
      <w:r>
        <w:t>discriminatory conditions for LGBTQ+ people on their own. Instead, publishing comprehensive school handbooks in alignment</w:t>
      </w:r>
      <w:r>
        <w:rPr>
          <w:spacing w:val="-13"/>
        </w:rPr>
        <w:t xml:space="preserve"> </w:t>
      </w:r>
      <w:r>
        <w:t>with</w:t>
      </w:r>
      <w:r>
        <w:rPr>
          <w:spacing w:val="-12"/>
        </w:rPr>
        <w:t xml:space="preserve"> </w:t>
      </w:r>
      <w:r>
        <w:t>DESE’s</w:t>
      </w:r>
      <w:r>
        <w:rPr>
          <w:spacing w:val="-13"/>
        </w:rPr>
        <w:t xml:space="preserve"> </w:t>
      </w:r>
      <w:r>
        <w:t>best</w:t>
      </w:r>
      <w:r>
        <w:rPr>
          <w:spacing w:val="-12"/>
        </w:rPr>
        <w:t xml:space="preserve"> </w:t>
      </w:r>
      <w:r>
        <w:t>practices</w:t>
      </w:r>
      <w:r>
        <w:rPr>
          <w:spacing w:val="-13"/>
        </w:rPr>
        <w:t xml:space="preserve"> </w:t>
      </w:r>
      <w:r>
        <w:t>will</w:t>
      </w:r>
      <w:r>
        <w:rPr>
          <w:spacing w:val="-12"/>
        </w:rPr>
        <w:t xml:space="preserve"> </w:t>
      </w:r>
      <w:r>
        <w:t>provide</w:t>
      </w:r>
      <w:r>
        <w:rPr>
          <w:spacing w:val="-13"/>
        </w:rPr>
        <w:t xml:space="preserve"> </w:t>
      </w:r>
      <w:r>
        <w:t>students</w:t>
      </w:r>
      <w:r>
        <w:rPr>
          <w:spacing w:val="-12"/>
        </w:rPr>
        <w:t xml:space="preserve"> </w:t>
      </w:r>
      <w:r>
        <w:t>and</w:t>
      </w:r>
      <w:r>
        <w:rPr>
          <w:spacing w:val="-12"/>
        </w:rPr>
        <w:t xml:space="preserve"> </w:t>
      </w:r>
      <w:r>
        <w:t>their</w:t>
      </w:r>
      <w:r>
        <w:rPr>
          <w:spacing w:val="-13"/>
        </w:rPr>
        <w:t xml:space="preserve"> </w:t>
      </w:r>
      <w:r>
        <w:t>caregivers</w:t>
      </w:r>
      <w:r>
        <w:rPr>
          <w:spacing w:val="-12"/>
        </w:rPr>
        <w:t xml:space="preserve"> </w:t>
      </w:r>
      <w:r>
        <w:t>with</w:t>
      </w:r>
      <w:r>
        <w:rPr>
          <w:spacing w:val="-13"/>
        </w:rPr>
        <w:t xml:space="preserve"> </w:t>
      </w:r>
      <w:r>
        <w:t>key</w:t>
      </w:r>
      <w:r>
        <w:rPr>
          <w:spacing w:val="-12"/>
        </w:rPr>
        <w:t xml:space="preserve"> </w:t>
      </w:r>
      <w:r>
        <w:t>info</w:t>
      </w:r>
      <w:r>
        <w:t>rmation</w:t>
      </w:r>
      <w:r>
        <w:rPr>
          <w:spacing w:val="-13"/>
        </w:rPr>
        <w:t xml:space="preserve"> </w:t>
      </w:r>
      <w:r>
        <w:t>about their</w:t>
      </w:r>
      <w:r>
        <w:rPr>
          <w:spacing w:val="-4"/>
        </w:rPr>
        <w:t xml:space="preserve"> </w:t>
      </w:r>
      <w:r>
        <w:t>rights.</w:t>
      </w:r>
      <w:r>
        <w:rPr>
          <w:spacing w:val="-3"/>
        </w:rPr>
        <w:t xml:space="preserve"> </w:t>
      </w:r>
      <w:r>
        <w:t>An</w:t>
      </w:r>
      <w:r>
        <w:rPr>
          <w:spacing w:val="-4"/>
        </w:rPr>
        <w:t xml:space="preserve"> </w:t>
      </w:r>
      <w:r>
        <w:t>official</w:t>
      </w:r>
      <w:r>
        <w:rPr>
          <w:spacing w:val="-3"/>
        </w:rPr>
        <w:t xml:space="preserve"> </w:t>
      </w:r>
      <w:r>
        <w:t>district</w:t>
      </w:r>
      <w:r>
        <w:rPr>
          <w:spacing w:val="-3"/>
        </w:rPr>
        <w:t xml:space="preserve"> </w:t>
      </w:r>
      <w:r>
        <w:t>document</w:t>
      </w:r>
      <w:r>
        <w:rPr>
          <w:spacing w:val="-3"/>
        </w:rPr>
        <w:t xml:space="preserve"> </w:t>
      </w:r>
      <w:r>
        <w:t>like</w:t>
      </w:r>
      <w:r>
        <w:rPr>
          <w:spacing w:val="-4"/>
        </w:rPr>
        <w:t xml:space="preserve"> </w:t>
      </w:r>
      <w:r>
        <w:t>a</w:t>
      </w:r>
      <w:r>
        <w:rPr>
          <w:spacing w:val="-3"/>
        </w:rPr>
        <w:t xml:space="preserve"> </w:t>
      </w:r>
      <w:r>
        <w:t>handbook</w:t>
      </w:r>
      <w:r>
        <w:rPr>
          <w:spacing w:val="-5"/>
        </w:rPr>
        <w:t xml:space="preserve"> </w:t>
      </w:r>
      <w:r>
        <w:t>is</w:t>
      </w:r>
      <w:r>
        <w:rPr>
          <w:spacing w:val="-4"/>
        </w:rPr>
        <w:t xml:space="preserve"> </w:t>
      </w:r>
      <w:r>
        <w:t>also</w:t>
      </w:r>
      <w:r>
        <w:rPr>
          <w:spacing w:val="-4"/>
        </w:rPr>
        <w:t xml:space="preserve"> </w:t>
      </w:r>
      <w:r>
        <w:t>a</w:t>
      </w:r>
      <w:r>
        <w:rPr>
          <w:spacing w:val="-4"/>
        </w:rPr>
        <w:t xml:space="preserve"> </w:t>
      </w:r>
      <w:r>
        <w:t>critical</w:t>
      </w:r>
      <w:r>
        <w:rPr>
          <w:spacing w:val="-3"/>
        </w:rPr>
        <w:t xml:space="preserve"> </w:t>
      </w:r>
      <w:r>
        <w:t>tool</w:t>
      </w:r>
      <w:r>
        <w:rPr>
          <w:spacing w:val="-4"/>
        </w:rPr>
        <w:t xml:space="preserve"> </w:t>
      </w:r>
      <w:r>
        <w:t>for</w:t>
      </w:r>
      <w:r>
        <w:rPr>
          <w:spacing w:val="-4"/>
        </w:rPr>
        <w:t xml:space="preserve"> </w:t>
      </w:r>
      <w:r>
        <w:t>students</w:t>
      </w:r>
      <w:r>
        <w:rPr>
          <w:spacing w:val="-4"/>
        </w:rPr>
        <w:t xml:space="preserve"> </w:t>
      </w:r>
      <w:r>
        <w:t>and</w:t>
      </w:r>
      <w:r>
        <w:rPr>
          <w:spacing w:val="-3"/>
        </w:rPr>
        <w:t xml:space="preserve"> </w:t>
      </w:r>
      <w:r>
        <w:t>families</w:t>
      </w:r>
      <w:r>
        <w:rPr>
          <w:spacing w:val="-2"/>
        </w:rPr>
        <w:t xml:space="preserve"> </w:t>
      </w:r>
      <w:r>
        <w:t>to hold school officials accountable if their rights are infringed upon. The following section provides model language and suggestions for LGBTQ+ inclusive student/caregiver handbooks. Language is derived from this study’s top-scoring LGBTQ+ inclusive scho</w:t>
      </w:r>
      <w:r>
        <w:t>ol handbooks, McCall Middle School and CCSC</w:t>
      </w:r>
      <w:hyperlink w:anchor="_bookmark73" w:history="1">
        <w:r>
          <w:t>.</w:t>
        </w:r>
        <w:r>
          <w:rPr>
            <w:vertAlign w:val="superscript"/>
          </w:rPr>
          <w:t>4</w:t>
        </w:r>
      </w:hyperlink>
    </w:p>
    <w:p w:rsidR="00C76E6D" w:rsidRDefault="00C76E6D">
      <w:pPr>
        <w:pStyle w:val="BodyText"/>
        <w:spacing w:before="8"/>
        <w:rPr>
          <w:sz w:val="25"/>
        </w:rPr>
      </w:pPr>
    </w:p>
    <w:p w:rsidR="00C76E6D" w:rsidRDefault="00913831">
      <w:pPr>
        <w:pStyle w:val="Heading5"/>
        <w:numPr>
          <w:ilvl w:val="0"/>
          <w:numId w:val="47"/>
        </w:numPr>
        <w:tabs>
          <w:tab w:val="left" w:pos="724"/>
        </w:tabs>
        <w:ind w:left="723" w:hanging="246"/>
      </w:pPr>
      <w:r>
        <w:pict>
          <v:shape id="docshape261" o:spid="_x0000_s1170" style="position:absolute;left:0;text-align:left;margin-left:1in;margin-top:17.55pt;width:466.3pt;height:.1pt;z-index:-15688192;mso-wrap-distance-left:0;mso-wrap-distance-right:0;mso-position-horizontal-relative:page" coordorigin="1440,351" coordsize="9326,0" path="m1440,351r9326,e" filled="f" strokeweight=".40958mm">
            <v:path arrowok="t"/>
            <w10:wrap type="topAndBottom" anchorx="page"/>
          </v:shape>
        </w:pict>
      </w:r>
      <w:bookmarkStart w:id="142" w:name="C._Model_Handbook_Language"/>
      <w:bookmarkEnd w:id="142"/>
      <w:r>
        <w:t>Model</w:t>
      </w:r>
      <w:r>
        <w:rPr>
          <w:spacing w:val="-7"/>
        </w:rPr>
        <w:t xml:space="preserve"> </w:t>
      </w:r>
      <w:r>
        <w:t>Handbook</w:t>
      </w:r>
      <w:r>
        <w:rPr>
          <w:spacing w:val="-6"/>
        </w:rPr>
        <w:t xml:space="preserve"> </w:t>
      </w:r>
      <w:r>
        <w:rPr>
          <w:spacing w:val="-2"/>
        </w:rPr>
        <w:t>Language</w:t>
      </w:r>
    </w:p>
    <w:p w:rsidR="00C76E6D" w:rsidRDefault="00C76E6D">
      <w:pPr>
        <w:pStyle w:val="BodyText"/>
        <w:rPr>
          <w:b/>
          <w:sz w:val="24"/>
        </w:rPr>
      </w:pPr>
    </w:p>
    <w:p w:rsidR="00C76E6D" w:rsidRDefault="00913831">
      <w:pPr>
        <w:pStyle w:val="Heading6"/>
        <w:numPr>
          <w:ilvl w:val="1"/>
          <w:numId w:val="47"/>
        </w:numPr>
        <w:tabs>
          <w:tab w:val="left" w:pos="699"/>
        </w:tabs>
        <w:spacing w:before="174"/>
        <w:ind w:hanging="221"/>
      </w:pPr>
      <w:bookmarkStart w:id="143" w:name="1._Non-Discrimination_Statements"/>
      <w:bookmarkEnd w:id="143"/>
      <w:r>
        <w:rPr>
          <w:w w:val="95"/>
        </w:rPr>
        <w:t>Non-Discrimination</w:t>
      </w:r>
      <w:r>
        <w:rPr>
          <w:spacing w:val="51"/>
        </w:rPr>
        <w:t xml:space="preserve"> </w:t>
      </w:r>
      <w:r>
        <w:rPr>
          <w:spacing w:val="-2"/>
          <w:w w:val="95"/>
        </w:rPr>
        <w:t>Statements</w:t>
      </w:r>
    </w:p>
    <w:p w:rsidR="00C76E6D" w:rsidRDefault="00C76E6D">
      <w:pPr>
        <w:pStyle w:val="BodyText"/>
        <w:spacing w:before="8"/>
        <w:rPr>
          <w:b/>
          <w:sz w:val="28"/>
        </w:rPr>
      </w:pPr>
    </w:p>
    <w:p w:rsidR="00C76E6D" w:rsidRDefault="00913831">
      <w:pPr>
        <w:pStyle w:val="BodyText"/>
        <w:spacing w:line="276" w:lineRule="auto"/>
        <w:ind w:left="479" w:right="473"/>
        <w:jc w:val="both"/>
      </w:pPr>
      <w:r>
        <w:t>All Massachusetts school handbooks should</w:t>
      </w:r>
      <w:r>
        <w:rPr>
          <w:spacing w:val="-1"/>
        </w:rPr>
        <w:t xml:space="preserve"> </w:t>
      </w:r>
      <w:r>
        <w:t>include a comprehensive</w:t>
      </w:r>
      <w:r>
        <w:rPr>
          <w:spacing w:val="-1"/>
        </w:rPr>
        <w:t xml:space="preserve"> </w:t>
      </w:r>
      <w:r>
        <w:t>section</w:t>
      </w:r>
      <w:r>
        <w:rPr>
          <w:spacing w:val="-1"/>
        </w:rPr>
        <w:t xml:space="preserve"> </w:t>
      </w:r>
      <w:r>
        <w:t>on</w:t>
      </w:r>
      <w:r>
        <w:rPr>
          <w:spacing w:val="-1"/>
        </w:rPr>
        <w:t xml:space="preserve"> </w:t>
      </w:r>
      <w:r>
        <w:t>“Non-Discrimination on the Basis of Gender I</w:t>
      </w:r>
      <w:r>
        <w:t>dentity.” It is useful to begin with a summary of existing school and district-level policies</w:t>
      </w:r>
      <w:r>
        <w:rPr>
          <w:spacing w:val="-4"/>
        </w:rPr>
        <w:t xml:space="preserve"> </w:t>
      </w:r>
      <w:r>
        <w:t>that</w:t>
      </w:r>
      <w:r>
        <w:rPr>
          <w:spacing w:val="-3"/>
        </w:rPr>
        <w:t xml:space="preserve"> </w:t>
      </w:r>
      <w:r>
        <w:t>protect</w:t>
      </w:r>
      <w:r>
        <w:rPr>
          <w:spacing w:val="-4"/>
        </w:rPr>
        <w:t xml:space="preserve"> </w:t>
      </w:r>
      <w:r>
        <w:t>LGBTQ+</w:t>
      </w:r>
      <w:r>
        <w:rPr>
          <w:spacing w:val="-5"/>
        </w:rPr>
        <w:t xml:space="preserve"> </w:t>
      </w:r>
      <w:r>
        <w:t>students,</w:t>
      </w:r>
      <w:r>
        <w:rPr>
          <w:spacing w:val="-5"/>
        </w:rPr>
        <w:t xml:space="preserve"> </w:t>
      </w:r>
      <w:r>
        <w:t>including</w:t>
      </w:r>
      <w:r>
        <w:rPr>
          <w:spacing w:val="-4"/>
        </w:rPr>
        <w:t xml:space="preserve"> </w:t>
      </w:r>
      <w:r>
        <w:t>a</w:t>
      </w:r>
      <w:r>
        <w:rPr>
          <w:spacing w:val="-4"/>
        </w:rPr>
        <w:t xml:space="preserve"> </w:t>
      </w:r>
      <w:r>
        <w:t>non-discrimination</w:t>
      </w:r>
      <w:r>
        <w:rPr>
          <w:spacing w:val="-6"/>
        </w:rPr>
        <w:t xml:space="preserve"> </w:t>
      </w:r>
      <w:r>
        <w:t>statement</w:t>
      </w:r>
      <w:r>
        <w:rPr>
          <w:spacing w:val="-5"/>
        </w:rPr>
        <w:t xml:space="preserve"> </w:t>
      </w:r>
      <w:r>
        <w:t>that</w:t>
      </w:r>
      <w:r>
        <w:rPr>
          <w:spacing w:val="-6"/>
        </w:rPr>
        <w:t xml:space="preserve"> </w:t>
      </w:r>
      <w:r>
        <w:t>includes</w:t>
      </w:r>
      <w:r>
        <w:rPr>
          <w:spacing w:val="-5"/>
        </w:rPr>
        <w:t xml:space="preserve"> </w:t>
      </w:r>
      <w:r>
        <w:rPr>
          <w:i/>
        </w:rPr>
        <w:t>sex</w:t>
      </w:r>
      <w:r>
        <w:t>,</w:t>
      </w:r>
      <w:r>
        <w:rPr>
          <w:spacing w:val="-4"/>
        </w:rPr>
        <w:t xml:space="preserve"> </w:t>
      </w:r>
      <w:r>
        <w:rPr>
          <w:i/>
        </w:rPr>
        <w:t>sexual orientation</w:t>
      </w:r>
      <w:r>
        <w:t xml:space="preserve">, and </w:t>
      </w:r>
      <w:r>
        <w:rPr>
          <w:i/>
        </w:rPr>
        <w:t>gender identity</w:t>
      </w:r>
      <w:r>
        <w:t>. Definitions of relevant termino</w:t>
      </w:r>
      <w:r>
        <w:t xml:space="preserve">logy, including </w:t>
      </w:r>
      <w:r>
        <w:rPr>
          <w:i/>
        </w:rPr>
        <w:t xml:space="preserve">gender identity, gender expression, transgender, social and medical transition, </w:t>
      </w:r>
      <w:r>
        <w:t xml:space="preserve">and </w:t>
      </w:r>
      <w:r>
        <w:rPr>
          <w:i/>
        </w:rPr>
        <w:t xml:space="preserve">nonbinary, </w:t>
      </w:r>
      <w:r>
        <w:t>should also be included. Sample definitions are available in DESE’s guidance on gender identity, and published by the Commission in its annual report</w:t>
      </w:r>
      <w:hyperlink w:anchor="_bookmark74" w:history="1">
        <w:r>
          <w:t>.</w:t>
        </w:r>
        <w:r>
          <w:rPr>
            <w:vertAlign w:val="superscript"/>
          </w:rPr>
          <w:t>5</w:t>
        </w:r>
      </w:hyperlink>
    </w:p>
    <w:p w:rsidR="00C76E6D" w:rsidRDefault="00C76E6D">
      <w:pPr>
        <w:pStyle w:val="BodyText"/>
        <w:spacing w:before="6"/>
        <w:rPr>
          <w:sz w:val="19"/>
        </w:rPr>
      </w:pPr>
    </w:p>
    <w:p w:rsidR="00C76E6D" w:rsidRDefault="00913831">
      <w:pPr>
        <w:pStyle w:val="BodyText"/>
        <w:spacing w:line="276" w:lineRule="auto"/>
        <w:ind w:left="479" w:right="476"/>
        <w:jc w:val="both"/>
      </w:pPr>
      <w:r>
        <w:t>It is important for policy protections to expand beyond required non-dis</w:t>
      </w:r>
      <w:r>
        <w:t>crimination statutes. Handbook language should include specific language indicating that their school is committed to safe, supportive learning environments free</w:t>
      </w:r>
      <w:r>
        <w:rPr>
          <w:spacing w:val="-2"/>
        </w:rPr>
        <w:t xml:space="preserve"> </w:t>
      </w:r>
      <w:r>
        <w:t>from</w:t>
      </w:r>
      <w:r>
        <w:rPr>
          <w:spacing w:val="-1"/>
        </w:rPr>
        <w:t xml:space="preserve"> </w:t>
      </w:r>
      <w:r>
        <w:t>discrimination</w:t>
      </w:r>
      <w:r>
        <w:rPr>
          <w:spacing w:val="-1"/>
        </w:rPr>
        <w:t xml:space="preserve"> </w:t>
      </w:r>
      <w:r>
        <w:t>or harassment.</w:t>
      </w:r>
      <w:r>
        <w:rPr>
          <w:spacing w:val="-2"/>
        </w:rPr>
        <w:t xml:space="preserve"> </w:t>
      </w:r>
      <w:r>
        <w:t>Handbooks</w:t>
      </w:r>
      <w:r>
        <w:rPr>
          <w:spacing w:val="-1"/>
        </w:rPr>
        <w:t xml:space="preserve"> </w:t>
      </w:r>
      <w:r>
        <w:t>should</w:t>
      </w:r>
      <w:r>
        <w:rPr>
          <w:spacing w:val="-2"/>
        </w:rPr>
        <w:t xml:space="preserve"> </w:t>
      </w:r>
      <w:r>
        <w:t>also</w:t>
      </w:r>
      <w:r>
        <w:rPr>
          <w:spacing w:val="-1"/>
        </w:rPr>
        <w:t xml:space="preserve"> </w:t>
      </w:r>
      <w:r>
        <w:t>contain</w:t>
      </w:r>
      <w:r>
        <w:rPr>
          <w:spacing w:val="-2"/>
        </w:rPr>
        <w:t xml:space="preserve"> </w:t>
      </w:r>
      <w:r>
        <w:t>guidance for reporting discri</w:t>
      </w:r>
      <w:r>
        <w:t>mination and harassment.</w:t>
      </w:r>
    </w:p>
    <w:p w:rsidR="00C76E6D" w:rsidRDefault="00C76E6D">
      <w:pPr>
        <w:pStyle w:val="BodyText"/>
        <w:spacing w:before="5"/>
        <w:rPr>
          <w:sz w:val="25"/>
        </w:rPr>
      </w:pPr>
    </w:p>
    <w:p w:rsidR="00C76E6D" w:rsidRDefault="00913831">
      <w:pPr>
        <w:pStyle w:val="Heading6"/>
        <w:numPr>
          <w:ilvl w:val="1"/>
          <w:numId w:val="47"/>
        </w:numPr>
        <w:tabs>
          <w:tab w:val="left" w:pos="699"/>
        </w:tabs>
        <w:ind w:hanging="221"/>
      </w:pPr>
      <w:bookmarkStart w:id="144" w:name="2._Names_and_Pronouns"/>
      <w:bookmarkEnd w:id="144"/>
      <w:r>
        <w:rPr>
          <w:spacing w:val="-2"/>
        </w:rPr>
        <w:t>Names</w:t>
      </w:r>
      <w:r>
        <w:rPr>
          <w:spacing w:val="-6"/>
        </w:rPr>
        <w:t xml:space="preserve"> </w:t>
      </w:r>
      <w:r>
        <w:rPr>
          <w:spacing w:val="-2"/>
        </w:rPr>
        <w:t>and</w:t>
      </w:r>
      <w:r>
        <w:rPr>
          <w:spacing w:val="-5"/>
        </w:rPr>
        <w:t xml:space="preserve"> </w:t>
      </w:r>
      <w:r>
        <w:rPr>
          <w:spacing w:val="-2"/>
        </w:rPr>
        <w:t>Pronouns</w:t>
      </w:r>
    </w:p>
    <w:p w:rsidR="00C76E6D" w:rsidRDefault="00C76E6D">
      <w:pPr>
        <w:pStyle w:val="BodyText"/>
        <w:spacing w:before="7"/>
        <w:rPr>
          <w:b/>
          <w:sz w:val="28"/>
        </w:rPr>
      </w:pPr>
    </w:p>
    <w:p w:rsidR="00C76E6D" w:rsidRDefault="00913831">
      <w:pPr>
        <w:pStyle w:val="BodyText"/>
        <w:spacing w:before="1" w:line="276" w:lineRule="auto"/>
        <w:ind w:left="480" w:right="476"/>
        <w:jc w:val="both"/>
      </w:pPr>
      <w:r>
        <w:t>School handbooks should include specific guidance around names and pronouns for transgender and nonbinary students. CCSC’s handbook uses the following language:</w:t>
      </w:r>
    </w:p>
    <w:p w:rsidR="00C76E6D" w:rsidRDefault="00C76E6D">
      <w:pPr>
        <w:pStyle w:val="BodyText"/>
        <w:spacing w:before="2"/>
        <w:rPr>
          <w:sz w:val="25"/>
        </w:rPr>
      </w:pPr>
    </w:p>
    <w:p w:rsidR="00C76E6D" w:rsidRDefault="00913831">
      <w:pPr>
        <w:pStyle w:val="BodyText"/>
        <w:spacing w:line="276" w:lineRule="auto"/>
        <w:ind w:left="768" w:right="760"/>
        <w:jc w:val="both"/>
      </w:pPr>
      <w:r>
        <w:t>“In Massachusetts, an individual may adopt a name that is different from the name that appears on their birth certificate, provided the change of name has no fraudulent intent. When a school receives</w:t>
      </w:r>
      <w:r>
        <w:rPr>
          <w:spacing w:val="-7"/>
        </w:rPr>
        <w:t xml:space="preserve"> </w:t>
      </w:r>
      <w:r>
        <w:t>a</w:t>
      </w:r>
      <w:r>
        <w:rPr>
          <w:spacing w:val="-6"/>
        </w:rPr>
        <w:t xml:space="preserve"> </w:t>
      </w:r>
      <w:r>
        <w:t>request</w:t>
      </w:r>
      <w:r>
        <w:rPr>
          <w:spacing w:val="-8"/>
        </w:rPr>
        <w:t xml:space="preserve"> </w:t>
      </w:r>
      <w:r>
        <w:t>for</w:t>
      </w:r>
      <w:r>
        <w:rPr>
          <w:spacing w:val="-8"/>
        </w:rPr>
        <w:t xml:space="preserve"> </w:t>
      </w:r>
      <w:r>
        <w:t>a</w:t>
      </w:r>
      <w:r>
        <w:rPr>
          <w:spacing w:val="-5"/>
        </w:rPr>
        <w:t xml:space="preserve"> </w:t>
      </w:r>
      <w:r>
        <w:t>name</w:t>
      </w:r>
      <w:r>
        <w:rPr>
          <w:spacing w:val="-6"/>
        </w:rPr>
        <w:t xml:space="preserve"> </w:t>
      </w:r>
      <w:r>
        <w:t>change,</w:t>
      </w:r>
      <w:r>
        <w:rPr>
          <w:spacing w:val="-7"/>
        </w:rPr>
        <w:t xml:space="preserve"> </w:t>
      </w:r>
      <w:r>
        <w:t>schools</w:t>
      </w:r>
      <w:r>
        <w:rPr>
          <w:spacing w:val="-7"/>
        </w:rPr>
        <w:t xml:space="preserve"> </w:t>
      </w:r>
      <w:r>
        <w:t>should</w:t>
      </w:r>
      <w:r>
        <w:rPr>
          <w:spacing w:val="-6"/>
        </w:rPr>
        <w:t xml:space="preserve"> </w:t>
      </w:r>
      <w:r>
        <w:t>accurately</w:t>
      </w:r>
      <w:r>
        <w:rPr>
          <w:spacing w:val="-6"/>
        </w:rPr>
        <w:t xml:space="preserve"> </w:t>
      </w:r>
      <w:r>
        <w:t>r</w:t>
      </w:r>
      <w:r>
        <w:t>ecord</w:t>
      </w:r>
      <w:r>
        <w:rPr>
          <w:spacing w:val="-8"/>
        </w:rPr>
        <w:t xml:space="preserve"> </w:t>
      </w:r>
      <w:r>
        <w:t>the</w:t>
      </w:r>
      <w:r>
        <w:rPr>
          <w:spacing w:val="-8"/>
        </w:rPr>
        <w:t xml:space="preserve"> </w:t>
      </w:r>
      <w:r>
        <w:t>student’s</w:t>
      </w:r>
      <w:r>
        <w:rPr>
          <w:spacing w:val="-6"/>
        </w:rPr>
        <w:t xml:space="preserve"> </w:t>
      </w:r>
      <w:r>
        <w:t>chosen</w:t>
      </w:r>
      <w:r>
        <w:rPr>
          <w:spacing w:val="-5"/>
        </w:rPr>
        <w:t xml:space="preserve"> </w:t>
      </w:r>
      <w:r>
        <w:t>name on all school-based records. A court-ordered name or gender change is not required, and the student</w:t>
      </w:r>
      <w:r>
        <w:rPr>
          <w:spacing w:val="-10"/>
        </w:rPr>
        <w:t xml:space="preserve"> </w:t>
      </w:r>
      <w:r>
        <w:t>does</w:t>
      </w:r>
      <w:r>
        <w:rPr>
          <w:spacing w:val="-8"/>
        </w:rPr>
        <w:t xml:space="preserve"> </w:t>
      </w:r>
      <w:r>
        <w:t>not</w:t>
      </w:r>
      <w:r>
        <w:rPr>
          <w:spacing w:val="-10"/>
        </w:rPr>
        <w:t xml:space="preserve"> </w:t>
      </w:r>
      <w:r>
        <w:t>need</w:t>
      </w:r>
      <w:r>
        <w:rPr>
          <w:spacing w:val="-9"/>
        </w:rPr>
        <w:t xml:space="preserve"> </w:t>
      </w:r>
      <w:r>
        <w:t>to</w:t>
      </w:r>
      <w:r>
        <w:rPr>
          <w:spacing w:val="-8"/>
        </w:rPr>
        <w:t xml:space="preserve"> </w:t>
      </w:r>
      <w:r>
        <w:t>change</w:t>
      </w:r>
      <w:r>
        <w:rPr>
          <w:spacing w:val="-10"/>
        </w:rPr>
        <w:t xml:space="preserve"> </w:t>
      </w:r>
      <w:r>
        <w:t>their</w:t>
      </w:r>
      <w:r>
        <w:rPr>
          <w:spacing w:val="-10"/>
        </w:rPr>
        <w:t xml:space="preserve"> </w:t>
      </w:r>
      <w:r>
        <w:t>official</w:t>
      </w:r>
      <w:r>
        <w:rPr>
          <w:spacing w:val="-11"/>
        </w:rPr>
        <w:t xml:space="preserve"> </w:t>
      </w:r>
      <w:r>
        <w:t>student</w:t>
      </w:r>
      <w:r>
        <w:rPr>
          <w:spacing w:val="-9"/>
        </w:rPr>
        <w:t xml:space="preserve"> </w:t>
      </w:r>
      <w:r>
        <w:t>record.</w:t>
      </w:r>
      <w:r>
        <w:rPr>
          <w:spacing w:val="-10"/>
        </w:rPr>
        <w:t xml:space="preserve"> </w:t>
      </w:r>
      <w:r>
        <w:t>For</w:t>
      </w:r>
      <w:r>
        <w:rPr>
          <w:spacing w:val="-11"/>
        </w:rPr>
        <w:t xml:space="preserve"> </w:t>
      </w:r>
      <w:r>
        <w:t>students</w:t>
      </w:r>
      <w:r>
        <w:rPr>
          <w:spacing w:val="-11"/>
        </w:rPr>
        <w:t xml:space="preserve"> </w:t>
      </w:r>
      <w:r>
        <w:t>who</w:t>
      </w:r>
      <w:r>
        <w:rPr>
          <w:spacing w:val="-9"/>
        </w:rPr>
        <w:t xml:space="preserve"> </w:t>
      </w:r>
      <w:r>
        <w:t>remain</w:t>
      </w:r>
      <w:r>
        <w:rPr>
          <w:spacing w:val="-10"/>
        </w:rPr>
        <w:t xml:space="preserve"> </w:t>
      </w:r>
      <w:r>
        <w:t>in</w:t>
      </w:r>
      <w:r>
        <w:rPr>
          <w:spacing w:val="-9"/>
        </w:rPr>
        <w:t xml:space="preserve"> </w:t>
      </w:r>
      <w:r>
        <w:t>the</w:t>
      </w:r>
      <w:r>
        <w:rPr>
          <w:spacing w:val="-9"/>
        </w:rPr>
        <w:t xml:space="preserve"> </w:t>
      </w:r>
      <w:r>
        <w:t>same school following a gender transition, it is important to develop a plan for ensuring the use of the chosen name and pronouns is consistent with the student’s gender identity.”</w:t>
      </w:r>
      <w:hyperlink w:anchor="_bookmark75" w:history="1">
        <w:r>
          <w:rPr>
            <w:vertAlign w:val="superscript"/>
          </w:rPr>
          <w:t>6</w:t>
        </w:r>
      </w:hyperlink>
    </w:p>
    <w:p w:rsidR="00C76E6D" w:rsidRDefault="00C76E6D">
      <w:pPr>
        <w:pStyle w:val="BodyText"/>
        <w:spacing w:before="5"/>
        <w:rPr>
          <w:sz w:val="25"/>
        </w:rPr>
      </w:pPr>
    </w:p>
    <w:p w:rsidR="00C76E6D" w:rsidRDefault="00913831">
      <w:pPr>
        <w:pStyle w:val="BodyText"/>
        <w:spacing w:line="276" w:lineRule="auto"/>
        <w:ind w:left="480" w:right="476"/>
        <w:jc w:val="both"/>
      </w:pPr>
      <w:r>
        <w:t>Handbooks may also include specific guidan</w:t>
      </w:r>
      <w:r>
        <w:t>ce around transitioning. McCall Middle School’s handbook offers the following policy:</w:t>
      </w:r>
    </w:p>
    <w:p w:rsidR="00C76E6D" w:rsidRDefault="00C76E6D">
      <w:pPr>
        <w:spacing w:line="276" w:lineRule="auto"/>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913831">
      <w:pPr>
        <w:pStyle w:val="BodyText"/>
        <w:spacing w:before="206" w:line="276" w:lineRule="auto"/>
        <w:ind w:left="768" w:right="761"/>
        <w:jc w:val="both"/>
      </w:pPr>
      <w:r>
        <w:t>“When a student transitions, the school may hold a meeting, upon request by the student or the [caregivers]</w:t>
      </w:r>
      <w:r>
        <w:rPr>
          <w:spacing w:val="-8"/>
        </w:rPr>
        <w:t xml:space="preserve"> </w:t>
      </w:r>
      <w:r>
        <w:t>of</w:t>
      </w:r>
      <w:r>
        <w:rPr>
          <w:spacing w:val="-9"/>
        </w:rPr>
        <w:t xml:space="preserve"> </w:t>
      </w:r>
      <w:r>
        <w:t>the</w:t>
      </w:r>
      <w:r>
        <w:rPr>
          <w:spacing w:val="-8"/>
        </w:rPr>
        <w:t xml:space="preserve"> </w:t>
      </w:r>
      <w:r>
        <w:t>student,</w:t>
      </w:r>
      <w:r>
        <w:rPr>
          <w:spacing w:val="-6"/>
        </w:rPr>
        <w:t xml:space="preserve"> </w:t>
      </w:r>
      <w:r>
        <w:t>with</w:t>
      </w:r>
      <w:r>
        <w:rPr>
          <w:spacing w:val="-7"/>
        </w:rPr>
        <w:t xml:space="preserve"> </w:t>
      </w:r>
      <w:r>
        <w:t>the</w:t>
      </w:r>
      <w:r>
        <w:rPr>
          <w:spacing w:val="-8"/>
        </w:rPr>
        <w:t xml:space="preserve"> </w:t>
      </w:r>
      <w:r>
        <w:t>student</w:t>
      </w:r>
      <w:r>
        <w:rPr>
          <w:spacing w:val="-8"/>
        </w:rPr>
        <w:t xml:space="preserve"> </w:t>
      </w:r>
      <w:r>
        <w:t>and</w:t>
      </w:r>
      <w:r>
        <w:rPr>
          <w:spacing w:val="-7"/>
        </w:rPr>
        <w:t xml:space="preserve"> </w:t>
      </w:r>
      <w:r>
        <w:t>the</w:t>
      </w:r>
      <w:r>
        <w:rPr>
          <w:spacing w:val="-7"/>
        </w:rPr>
        <w:t xml:space="preserve"> </w:t>
      </w:r>
      <w:r>
        <w:t>[careg</w:t>
      </w:r>
      <w:r>
        <w:t>ivers]</w:t>
      </w:r>
      <w:r>
        <w:rPr>
          <w:spacing w:val="-8"/>
        </w:rPr>
        <w:t xml:space="preserve"> </w:t>
      </w:r>
      <w:r>
        <w:t>of</w:t>
      </w:r>
      <w:r>
        <w:rPr>
          <w:spacing w:val="-8"/>
        </w:rPr>
        <w:t xml:space="preserve"> </w:t>
      </w:r>
      <w:r>
        <w:t>the</w:t>
      </w:r>
      <w:r>
        <w:rPr>
          <w:spacing w:val="-8"/>
        </w:rPr>
        <w:t xml:space="preserve"> </w:t>
      </w:r>
      <w:r>
        <w:t>student</w:t>
      </w:r>
      <w:r>
        <w:rPr>
          <w:spacing w:val="-8"/>
        </w:rPr>
        <w:t xml:space="preserve"> </w:t>
      </w:r>
      <w:r>
        <w:t>if</w:t>
      </w:r>
      <w:r>
        <w:rPr>
          <w:spacing w:val="-8"/>
        </w:rPr>
        <w:t xml:space="preserve"> </w:t>
      </w:r>
      <w:r>
        <w:t>they</w:t>
      </w:r>
      <w:r>
        <w:rPr>
          <w:spacing w:val="-8"/>
        </w:rPr>
        <w:t xml:space="preserve"> </w:t>
      </w:r>
      <w:r>
        <w:t>are</w:t>
      </w:r>
      <w:r>
        <w:rPr>
          <w:spacing w:val="-7"/>
        </w:rPr>
        <w:t xml:space="preserve"> </w:t>
      </w:r>
      <w:r>
        <w:t>involved in</w:t>
      </w:r>
      <w:r>
        <w:rPr>
          <w:spacing w:val="-2"/>
        </w:rPr>
        <w:t xml:space="preserve"> </w:t>
      </w:r>
      <w:r>
        <w:t>the</w:t>
      </w:r>
      <w:r>
        <w:rPr>
          <w:spacing w:val="-1"/>
        </w:rPr>
        <w:t xml:space="preserve"> </w:t>
      </w:r>
      <w:r>
        <w:t>process,</w:t>
      </w:r>
      <w:r>
        <w:rPr>
          <w:spacing w:val="-1"/>
        </w:rPr>
        <w:t xml:space="preserve"> </w:t>
      </w:r>
      <w:r>
        <w:t>or</w:t>
      </w:r>
      <w:r>
        <w:rPr>
          <w:spacing w:val="-1"/>
        </w:rPr>
        <w:t xml:space="preserve"> </w:t>
      </w:r>
      <w:r>
        <w:t>in the case</w:t>
      </w:r>
      <w:r>
        <w:rPr>
          <w:spacing w:val="-2"/>
        </w:rPr>
        <w:t xml:space="preserve"> </w:t>
      </w:r>
      <w:r>
        <w:t>of</w:t>
      </w:r>
      <w:r>
        <w:rPr>
          <w:spacing w:val="-2"/>
        </w:rPr>
        <w:t xml:space="preserve"> </w:t>
      </w:r>
      <w:r>
        <w:t>a</w:t>
      </w:r>
      <w:r>
        <w:rPr>
          <w:spacing w:val="-1"/>
        </w:rPr>
        <w:t xml:space="preserve"> </w:t>
      </w:r>
      <w:r>
        <w:t>younger</w:t>
      </w:r>
      <w:r>
        <w:rPr>
          <w:spacing w:val="-1"/>
        </w:rPr>
        <w:t xml:space="preserve"> </w:t>
      </w:r>
      <w:r>
        <w:t>student</w:t>
      </w:r>
      <w:r>
        <w:rPr>
          <w:spacing w:val="-1"/>
        </w:rPr>
        <w:t xml:space="preserve"> </w:t>
      </w:r>
      <w:r>
        <w:t>with</w:t>
      </w:r>
      <w:r>
        <w:rPr>
          <w:spacing w:val="-1"/>
        </w:rPr>
        <w:t xml:space="preserve"> </w:t>
      </w:r>
      <w:r>
        <w:t>the</w:t>
      </w:r>
      <w:r>
        <w:rPr>
          <w:spacing w:val="-1"/>
        </w:rPr>
        <w:t xml:space="preserve"> </w:t>
      </w:r>
      <w:r>
        <w:t>student</w:t>
      </w:r>
      <w:r>
        <w:rPr>
          <w:spacing w:val="-2"/>
        </w:rPr>
        <w:t xml:space="preserve"> </w:t>
      </w:r>
      <w:r>
        <w:t>and the</w:t>
      </w:r>
      <w:r>
        <w:rPr>
          <w:spacing w:val="-1"/>
        </w:rPr>
        <w:t xml:space="preserve"> </w:t>
      </w:r>
      <w:r>
        <w:t>student's [caregivers], to</w:t>
      </w:r>
      <w:r>
        <w:rPr>
          <w:spacing w:val="-6"/>
        </w:rPr>
        <w:t xml:space="preserve"> </w:t>
      </w:r>
      <w:r>
        <w:t>develop</w:t>
      </w:r>
      <w:r>
        <w:rPr>
          <w:spacing w:val="-5"/>
        </w:rPr>
        <w:t xml:space="preserve"> </w:t>
      </w:r>
      <w:r>
        <w:t>a</w:t>
      </w:r>
      <w:r>
        <w:rPr>
          <w:spacing w:val="-4"/>
        </w:rPr>
        <w:t xml:space="preserve"> </w:t>
      </w:r>
      <w:r>
        <w:t>plan</w:t>
      </w:r>
      <w:r>
        <w:rPr>
          <w:spacing w:val="-5"/>
        </w:rPr>
        <w:t xml:space="preserve"> </w:t>
      </w:r>
      <w:r>
        <w:t>to</w:t>
      </w:r>
      <w:r>
        <w:rPr>
          <w:spacing w:val="-6"/>
        </w:rPr>
        <w:t xml:space="preserve"> </w:t>
      </w:r>
      <w:r>
        <w:t>provide</w:t>
      </w:r>
      <w:r>
        <w:rPr>
          <w:spacing w:val="-6"/>
        </w:rPr>
        <w:t xml:space="preserve"> </w:t>
      </w:r>
      <w:r>
        <w:t>a</w:t>
      </w:r>
      <w:r>
        <w:rPr>
          <w:spacing w:val="-5"/>
        </w:rPr>
        <w:t xml:space="preserve"> </w:t>
      </w:r>
      <w:r>
        <w:t>safe</w:t>
      </w:r>
      <w:r>
        <w:rPr>
          <w:spacing w:val="-6"/>
        </w:rPr>
        <w:t xml:space="preserve"> </w:t>
      </w:r>
      <w:r>
        <w:t>and</w:t>
      </w:r>
      <w:r>
        <w:rPr>
          <w:spacing w:val="-3"/>
        </w:rPr>
        <w:t xml:space="preserve"> </w:t>
      </w:r>
      <w:r>
        <w:t>supportive</w:t>
      </w:r>
      <w:r>
        <w:rPr>
          <w:spacing w:val="-5"/>
        </w:rPr>
        <w:t xml:space="preserve"> </w:t>
      </w:r>
      <w:r>
        <w:t>educational</w:t>
      </w:r>
      <w:r>
        <w:rPr>
          <w:spacing w:val="-5"/>
        </w:rPr>
        <w:t xml:space="preserve"> </w:t>
      </w:r>
      <w:r>
        <w:t>environment</w:t>
      </w:r>
      <w:r>
        <w:rPr>
          <w:spacing w:val="-6"/>
        </w:rPr>
        <w:t xml:space="preserve"> </w:t>
      </w:r>
      <w:r>
        <w:t>for</w:t>
      </w:r>
      <w:r>
        <w:rPr>
          <w:spacing w:val="-6"/>
        </w:rPr>
        <w:t xml:space="preserve"> </w:t>
      </w:r>
      <w:r>
        <w:t>the</w:t>
      </w:r>
      <w:r>
        <w:rPr>
          <w:spacing w:val="-5"/>
        </w:rPr>
        <w:t xml:space="preserve"> </w:t>
      </w:r>
      <w:r>
        <w:t>student</w:t>
      </w:r>
      <w:r>
        <w:rPr>
          <w:spacing w:val="-4"/>
        </w:rPr>
        <w:t xml:space="preserve"> </w:t>
      </w:r>
      <w:r>
        <w:t>and</w:t>
      </w:r>
      <w:r>
        <w:rPr>
          <w:spacing w:val="-5"/>
        </w:rPr>
        <w:t xml:space="preserve"> </w:t>
      </w:r>
      <w:r>
        <w:t>to address any concerns that may arise.”</w:t>
      </w:r>
      <w:hyperlink w:anchor="_bookmark76" w:history="1">
        <w:r>
          <w:rPr>
            <w:vertAlign w:val="superscript"/>
          </w:rPr>
          <w:t>7</w:t>
        </w:r>
      </w:hyperlink>
    </w:p>
    <w:p w:rsidR="00C76E6D" w:rsidRDefault="00C76E6D">
      <w:pPr>
        <w:pStyle w:val="BodyText"/>
        <w:spacing w:before="4"/>
        <w:rPr>
          <w:sz w:val="25"/>
        </w:rPr>
      </w:pPr>
    </w:p>
    <w:p w:rsidR="00C76E6D" w:rsidRDefault="00913831">
      <w:pPr>
        <w:pStyle w:val="Heading6"/>
        <w:numPr>
          <w:ilvl w:val="1"/>
          <w:numId w:val="47"/>
        </w:numPr>
        <w:tabs>
          <w:tab w:val="left" w:pos="699"/>
        </w:tabs>
        <w:ind w:hanging="221"/>
      </w:pPr>
      <w:bookmarkStart w:id="145" w:name="3._Privacy,_Confidentiality,_and_Student"/>
      <w:bookmarkEnd w:id="145"/>
      <w:r>
        <w:rPr>
          <w:w w:val="95"/>
        </w:rPr>
        <w:t>Privacy,</w:t>
      </w:r>
      <w:r>
        <w:rPr>
          <w:spacing w:val="16"/>
        </w:rPr>
        <w:t xml:space="preserve"> </w:t>
      </w:r>
      <w:r>
        <w:rPr>
          <w:w w:val="95"/>
        </w:rPr>
        <w:t>Confidentiality,</w:t>
      </w:r>
      <w:r>
        <w:rPr>
          <w:spacing w:val="18"/>
        </w:rPr>
        <w:t xml:space="preserve"> </w:t>
      </w:r>
      <w:r>
        <w:rPr>
          <w:w w:val="95"/>
        </w:rPr>
        <w:t>and</w:t>
      </w:r>
      <w:r>
        <w:rPr>
          <w:spacing w:val="18"/>
        </w:rPr>
        <w:t xml:space="preserve"> </w:t>
      </w:r>
      <w:r>
        <w:rPr>
          <w:w w:val="95"/>
        </w:rPr>
        <w:t>Student</w:t>
      </w:r>
      <w:r>
        <w:rPr>
          <w:spacing w:val="20"/>
        </w:rPr>
        <w:t xml:space="preserve"> </w:t>
      </w:r>
      <w:r>
        <w:rPr>
          <w:spacing w:val="-2"/>
          <w:w w:val="95"/>
        </w:rPr>
        <w:t>Records</w:t>
      </w:r>
    </w:p>
    <w:p w:rsidR="00C76E6D" w:rsidRDefault="00C76E6D">
      <w:pPr>
        <w:pStyle w:val="BodyText"/>
        <w:spacing w:before="7"/>
        <w:rPr>
          <w:b/>
          <w:sz w:val="28"/>
        </w:rPr>
      </w:pPr>
    </w:p>
    <w:p w:rsidR="00C76E6D" w:rsidRDefault="00913831">
      <w:pPr>
        <w:pStyle w:val="BodyText"/>
        <w:spacing w:line="276" w:lineRule="auto"/>
        <w:ind w:left="480" w:right="474" w:hanging="1"/>
        <w:jc w:val="both"/>
      </w:pPr>
      <w:r>
        <w:t>Under</w:t>
      </w:r>
      <w:r>
        <w:rPr>
          <w:spacing w:val="-8"/>
        </w:rPr>
        <w:t xml:space="preserve"> </w:t>
      </w:r>
      <w:r>
        <w:t>Student</w:t>
      </w:r>
      <w:r>
        <w:rPr>
          <w:spacing w:val="-9"/>
        </w:rPr>
        <w:t xml:space="preserve"> </w:t>
      </w:r>
      <w:r>
        <w:t>Records</w:t>
      </w:r>
      <w:r>
        <w:rPr>
          <w:spacing w:val="-8"/>
        </w:rPr>
        <w:t xml:space="preserve"> </w:t>
      </w:r>
      <w:r>
        <w:t>Regulations,</w:t>
      </w:r>
      <w:r>
        <w:rPr>
          <w:spacing w:val="-10"/>
        </w:rPr>
        <w:t xml:space="preserve"> </w:t>
      </w:r>
      <w:r>
        <w:t>603</w:t>
      </w:r>
      <w:r>
        <w:rPr>
          <w:spacing w:val="-10"/>
        </w:rPr>
        <w:t xml:space="preserve"> </w:t>
      </w:r>
      <w:r>
        <w:t>CMR</w:t>
      </w:r>
      <w:r>
        <w:rPr>
          <w:spacing w:val="-9"/>
        </w:rPr>
        <w:t xml:space="preserve"> </w:t>
      </w:r>
      <w:r>
        <w:t>23.00,</w:t>
      </w:r>
      <w:r>
        <w:rPr>
          <w:spacing w:val="-7"/>
        </w:rPr>
        <w:t xml:space="preserve"> </w:t>
      </w:r>
      <w:r>
        <w:t>information</w:t>
      </w:r>
      <w:r>
        <w:rPr>
          <w:spacing w:val="-10"/>
        </w:rPr>
        <w:t xml:space="preserve"> </w:t>
      </w:r>
      <w:r>
        <w:t>about</w:t>
      </w:r>
      <w:r>
        <w:rPr>
          <w:spacing w:val="-10"/>
        </w:rPr>
        <w:t xml:space="preserve"> </w:t>
      </w:r>
      <w:r>
        <w:t>a</w:t>
      </w:r>
      <w:r>
        <w:rPr>
          <w:spacing w:val="-10"/>
        </w:rPr>
        <w:t xml:space="preserve"> </w:t>
      </w:r>
      <w:r>
        <w:t>student’s</w:t>
      </w:r>
      <w:r>
        <w:rPr>
          <w:spacing w:val="-9"/>
        </w:rPr>
        <w:t xml:space="preserve"> </w:t>
      </w:r>
      <w:r>
        <w:t>gender</w:t>
      </w:r>
      <w:r>
        <w:rPr>
          <w:spacing w:val="-9"/>
        </w:rPr>
        <w:t xml:space="preserve"> </w:t>
      </w:r>
      <w:r>
        <w:t>identity</w:t>
      </w:r>
      <w:r>
        <w:rPr>
          <w:spacing w:val="-8"/>
        </w:rPr>
        <w:t xml:space="preserve"> </w:t>
      </w:r>
      <w:r>
        <w:t>is</w:t>
      </w:r>
      <w:r>
        <w:rPr>
          <w:spacing w:val="-9"/>
        </w:rPr>
        <w:t xml:space="preserve"> </w:t>
      </w:r>
      <w:r>
        <w:t>part of their student record</w:t>
      </w:r>
      <w:hyperlink w:anchor="_bookmark77" w:history="1">
        <w:r>
          <w:t>.</w:t>
        </w:r>
        <w:r>
          <w:rPr>
            <w:vertAlign w:val="superscript"/>
          </w:rPr>
          <w:t>8</w:t>
        </w:r>
      </w:hyperlink>
      <w:r>
        <w:t xml:space="preserve"> School handbooks should include specific guidance around privacy, confidentiality, and student records in compliance with this law. CCSC uses the following language:</w:t>
      </w:r>
    </w:p>
    <w:p w:rsidR="00C76E6D" w:rsidRDefault="00C76E6D">
      <w:pPr>
        <w:pStyle w:val="BodyText"/>
        <w:spacing w:before="2"/>
        <w:rPr>
          <w:sz w:val="25"/>
        </w:rPr>
      </w:pPr>
    </w:p>
    <w:p w:rsidR="00C76E6D" w:rsidRDefault="00913831">
      <w:pPr>
        <w:pStyle w:val="BodyText"/>
        <w:spacing w:line="276" w:lineRule="auto"/>
        <w:ind w:left="767" w:right="760"/>
        <w:jc w:val="both"/>
      </w:pPr>
      <w:r>
        <w:t>“Student records are confidential and must be kept private and secure, except in limited circumstances, such as when authorized school personnel require the information to provide administrative, teaching, counseling, nursing, or other services to the stud</w:t>
      </w:r>
      <w:r>
        <w:t>ent in the performance of</w:t>
      </w:r>
      <w:r>
        <w:rPr>
          <w:spacing w:val="-3"/>
        </w:rPr>
        <w:t xml:space="preserve"> </w:t>
      </w:r>
      <w:r>
        <w:t>their</w:t>
      </w:r>
      <w:r>
        <w:rPr>
          <w:spacing w:val="-3"/>
        </w:rPr>
        <w:t xml:space="preserve"> </w:t>
      </w:r>
      <w:r>
        <w:t>official</w:t>
      </w:r>
      <w:r>
        <w:rPr>
          <w:spacing w:val="-3"/>
        </w:rPr>
        <w:t xml:space="preserve"> </w:t>
      </w:r>
      <w:r>
        <w:t>duties.</w:t>
      </w:r>
      <w:r>
        <w:rPr>
          <w:spacing w:val="-3"/>
        </w:rPr>
        <w:t xml:space="preserve"> </w:t>
      </w:r>
      <w:r>
        <w:t>Authorized</w:t>
      </w:r>
      <w:r>
        <w:rPr>
          <w:spacing w:val="-3"/>
        </w:rPr>
        <w:t xml:space="preserve"> </w:t>
      </w:r>
      <w:r>
        <w:t>school</w:t>
      </w:r>
      <w:r>
        <w:rPr>
          <w:spacing w:val="-3"/>
        </w:rPr>
        <w:t xml:space="preserve"> </w:t>
      </w:r>
      <w:r>
        <w:t>personnel</w:t>
      </w:r>
      <w:r>
        <w:rPr>
          <w:spacing w:val="-2"/>
        </w:rPr>
        <w:t xml:space="preserve"> </w:t>
      </w:r>
      <w:r>
        <w:t>may</w:t>
      </w:r>
      <w:r>
        <w:rPr>
          <w:spacing w:val="-3"/>
        </w:rPr>
        <w:t xml:space="preserve"> </w:t>
      </w:r>
      <w:r>
        <w:t>include, but</w:t>
      </w:r>
      <w:r>
        <w:rPr>
          <w:spacing w:val="-3"/>
        </w:rPr>
        <w:t xml:space="preserve"> </w:t>
      </w:r>
      <w:r>
        <w:t>are</w:t>
      </w:r>
      <w:r>
        <w:rPr>
          <w:spacing w:val="-2"/>
        </w:rPr>
        <w:t xml:space="preserve"> </w:t>
      </w:r>
      <w:r>
        <w:t>not</w:t>
      </w:r>
      <w:r>
        <w:rPr>
          <w:spacing w:val="-3"/>
        </w:rPr>
        <w:t xml:space="preserve"> </w:t>
      </w:r>
      <w:r>
        <w:t>limited</w:t>
      </w:r>
      <w:r>
        <w:rPr>
          <w:spacing w:val="-1"/>
        </w:rPr>
        <w:t xml:space="preserve"> </w:t>
      </w:r>
      <w:r>
        <w:t>to,</w:t>
      </w:r>
      <w:r>
        <w:rPr>
          <w:spacing w:val="-3"/>
        </w:rPr>
        <w:t xml:space="preserve"> </w:t>
      </w:r>
      <w:r>
        <w:t>individuals such</w:t>
      </w:r>
      <w:r>
        <w:rPr>
          <w:spacing w:val="-11"/>
        </w:rPr>
        <w:t xml:space="preserve"> </w:t>
      </w:r>
      <w:r>
        <w:t>as</w:t>
      </w:r>
      <w:r>
        <w:rPr>
          <w:spacing w:val="-10"/>
        </w:rPr>
        <w:t xml:space="preserve"> </w:t>
      </w:r>
      <w:r>
        <w:t>the</w:t>
      </w:r>
      <w:r>
        <w:rPr>
          <w:spacing w:val="-11"/>
        </w:rPr>
        <w:t xml:space="preserve"> </w:t>
      </w:r>
      <w:r>
        <w:t>principal,</w:t>
      </w:r>
      <w:r>
        <w:rPr>
          <w:spacing w:val="-11"/>
        </w:rPr>
        <w:t xml:space="preserve"> </w:t>
      </w:r>
      <w:r>
        <w:t>school</w:t>
      </w:r>
      <w:r>
        <w:rPr>
          <w:spacing w:val="-11"/>
        </w:rPr>
        <w:t xml:space="preserve"> </w:t>
      </w:r>
      <w:r>
        <w:t>nurse,</w:t>
      </w:r>
      <w:r>
        <w:rPr>
          <w:spacing w:val="-10"/>
        </w:rPr>
        <w:t xml:space="preserve"> </w:t>
      </w:r>
      <w:r>
        <w:t>classroom</w:t>
      </w:r>
      <w:r>
        <w:rPr>
          <w:spacing w:val="-12"/>
        </w:rPr>
        <w:t xml:space="preserve"> </w:t>
      </w:r>
      <w:r>
        <w:t>teacher(s),</w:t>
      </w:r>
      <w:r>
        <w:rPr>
          <w:spacing w:val="-10"/>
        </w:rPr>
        <w:t xml:space="preserve"> </w:t>
      </w:r>
      <w:r>
        <w:t>social</w:t>
      </w:r>
      <w:r>
        <w:rPr>
          <w:spacing w:val="-11"/>
        </w:rPr>
        <w:t xml:space="preserve"> </w:t>
      </w:r>
      <w:r>
        <w:t>worker,</w:t>
      </w:r>
      <w:r>
        <w:rPr>
          <w:spacing w:val="-11"/>
        </w:rPr>
        <w:t xml:space="preserve"> </w:t>
      </w:r>
      <w:r>
        <w:t>and/or</w:t>
      </w:r>
      <w:r>
        <w:rPr>
          <w:spacing w:val="-11"/>
        </w:rPr>
        <w:t xml:space="preserve"> </w:t>
      </w:r>
      <w:r>
        <w:t>guidance</w:t>
      </w:r>
      <w:r>
        <w:rPr>
          <w:spacing w:val="-11"/>
        </w:rPr>
        <w:t xml:space="preserve"> </w:t>
      </w:r>
      <w:r>
        <w:t>counselor.</w:t>
      </w:r>
    </w:p>
    <w:p w:rsidR="00C76E6D" w:rsidRDefault="00C76E6D">
      <w:pPr>
        <w:pStyle w:val="BodyText"/>
        <w:spacing w:before="6"/>
        <w:rPr>
          <w:sz w:val="25"/>
        </w:rPr>
      </w:pPr>
    </w:p>
    <w:p w:rsidR="00C76E6D" w:rsidRDefault="00913831">
      <w:pPr>
        <w:pStyle w:val="BodyText"/>
        <w:spacing w:line="276" w:lineRule="auto"/>
        <w:ind w:left="767" w:right="762"/>
        <w:jc w:val="both"/>
      </w:pPr>
      <w:r>
        <w:t>When a student new to a scho</w:t>
      </w:r>
      <w:r>
        <w:t>ol is using a preferred name, the birth name is considered private information and may be disclosed only with authorization as provided under the Massachusetts Student Records Regulations. If the student has previously been known at school and/or in school</w:t>
      </w:r>
      <w:r>
        <w:t xml:space="preserve"> records by their birth name, school personnel must use the student’s chosen name. School personnel should not disclose information that may reveal a student’s transgender status or gender-nonconforming presentation to others, including parents and other s</w:t>
      </w:r>
      <w:r>
        <w:t>chool personnel, unless legally required to do so, for safety reasons, or if the student and/or guardian has authorized such disclosure.</w:t>
      </w:r>
    </w:p>
    <w:p w:rsidR="00C76E6D" w:rsidRDefault="00C76E6D">
      <w:pPr>
        <w:pStyle w:val="BodyText"/>
        <w:spacing w:before="3"/>
        <w:rPr>
          <w:sz w:val="25"/>
        </w:rPr>
      </w:pPr>
    </w:p>
    <w:p w:rsidR="00C76E6D" w:rsidRDefault="00913831">
      <w:pPr>
        <w:pStyle w:val="BodyText"/>
        <w:spacing w:before="1" w:line="276" w:lineRule="auto"/>
        <w:ind w:left="768" w:right="761" w:hanging="1"/>
        <w:jc w:val="both"/>
      </w:pPr>
      <w:r>
        <w:t>Transgender and gender-nonconforming students have the right to discuss and express their gender identity and expressi</w:t>
      </w:r>
      <w:r>
        <w:t>on openly and to decide when, with whom, and how much information to share. A student who is 14 years of age or older, or who has entered the ninth grade,</w:t>
      </w:r>
      <w:r>
        <w:rPr>
          <w:spacing w:val="-3"/>
        </w:rPr>
        <w:t xml:space="preserve"> </w:t>
      </w:r>
      <w:r>
        <w:t>may</w:t>
      </w:r>
      <w:r>
        <w:rPr>
          <w:spacing w:val="-1"/>
        </w:rPr>
        <w:t xml:space="preserve"> </w:t>
      </w:r>
      <w:r>
        <w:t>consent</w:t>
      </w:r>
      <w:r>
        <w:rPr>
          <w:spacing w:val="-1"/>
        </w:rPr>
        <w:t xml:space="preserve"> </w:t>
      </w:r>
      <w:r>
        <w:t>to</w:t>
      </w:r>
      <w:r>
        <w:rPr>
          <w:spacing w:val="-3"/>
        </w:rPr>
        <w:t xml:space="preserve"> </w:t>
      </w:r>
      <w:r>
        <w:t>disclosure</w:t>
      </w:r>
      <w:r>
        <w:rPr>
          <w:spacing w:val="-3"/>
        </w:rPr>
        <w:t xml:space="preserve"> </w:t>
      </w:r>
      <w:r>
        <w:t>of</w:t>
      </w:r>
      <w:r>
        <w:rPr>
          <w:spacing w:val="-3"/>
        </w:rPr>
        <w:t xml:space="preserve"> </w:t>
      </w:r>
      <w:r>
        <w:t>information</w:t>
      </w:r>
      <w:r>
        <w:rPr>
          <w:spacing w:val="-3"/>
        </w:rPr>
        <w:t xml:space="preserve"> </w:t>
      </w:r>
      <w:r>
        <w:t>from</w:t>
      </w:r>
      <w:r>
        <w:rPr>
          <w:spacing w:val="-3"/>
        </w:rPr>
        <w:t xml:space="preserve"> </w:t>
      </w:r>
      <w:r>
        <w:t>their</w:t>
      </w:r>
      <w:r>
        <w:rPr>
          <w:spacing w:val="-3"/>
        </w:rPr>
        <w:t xml:space="preserve"> </w:t>
      </w:r>
      <w:r>
        <w:t>student</w:t>
      </w:r>
      <w:r>
        <w:rPr>
          <w:spacing w:val="-3"/>
        </w:rPr>
        <w:t xml:space="preserve"> </w:t>
      </w:r>
      <w:r>
        <w:t>record.</w:t>
      </w:r>
      <w:r>
        <w:rPr>
          <w:spacing w:val="-5"/>
        </w:rPr>
        <w:t xml:space="preserve"> </w:t>
      </w:r>
      <w:r>
        <w:t>If</w:t>
      </w:r>
      <w:r>
        <w:rPr>
          <w:spacing w:val="-3"/>
        </w:rPr>
        <w:t xml:space="preserve"> </w:t>
      </w:r>
      <w:r>
        <w:t>a</w:t>
      </w:r>
      <w:r>
        <w:rPr>
          <w:spacing w:val="-1"/>
        </w:rPr>
        <w:t xml:space="preserve"> </w:t>
      </w:r>
      <w:r>
        <w:t>student</w:t>
      </w:r>
      <w:r>
        <w:rPr>
          <w:spacing w:val="-3"/>
        </w:rPr>
        <w:t xml:space="preserve"> </w:t>
      </w:r>
      <w:r>
        <w:t>is</w:t>
      </w:r>
      <w:r>
        <w:rPr>
          <w:spacing w:val="-2"/>
        </w:rPr>
        <w:t xml:space="preserve"> </w:t>
      </w:r>
      <w:r>
        <w:t>under</w:t>
      </w:r>
      <w:r>
        <w:rPr>
          <w:spacing w:val="-2"/>
        </w:rPr>
        <w:t xml:space="preserve"> </w:t>
      </w:r>
      <w:r>
        <w:t>14 and is not yet in the ninth grade, only the student’s parent has the authority to decide on disclosures and other student record matters.</w:t>
      </w:r>
    </w:p>
    <w:p w:rsidR="00C76E6D" w:rsidRDefault="00C76E6D">
      <w:pPr>
        <w:pStyle w:val="BodyText"/>
        <w:spacing w:before="2"/>
        <w:rPr>
          <w:sz w:val="25"/>
        </w:rPr>
      </w:pPr>
    </w:p>
    <w:p w:rsidR="00C76E6D" w:rsidRDefault="00913831">
      <w:pPr>
        <w:pStyle w:val="BodyText"/>
        <w:spacing w:before="1" w:line="276" w:lineRule="auto"/>
        <w:ind w:left="768" w:right="765"/>
        <w:jc w:val="both"/>
      </w:pPr>
      <w:r>
        <w:t>To the extent that</w:t>
      </w:r>
      <w:r>
        <w:rPr>
          <w:spacing w:val="-1"/>
        </w:rPr>
        <w:t xml:space="preserve"> </w:t>
      </w:r>
      <w:r>
        <w:t>CCSC is not</w:t>
      </w:r>
      <w:r>
        <w:rPr>
          <w:spacing w:val="-1"/>
        </w:rPr>
        <w:t xml:space="preserve"> </w:t>
      </w:r>
      <w:r>
        <w:t>legally required to use a student’s legal name and</w:t>
      </w:r>
      <w:r>
        <w:rPr>
          <w:spacing w:val="-1"/>
        </w:rPr>
        <w:t xml:space="preserve"> </w:t>
      </w:r>
      <w:r>
        <w:t>gender on school records or docu</w:t>
      </w:r>
      <w:r>
        <w:t>ments, every effort should be made to update student records with the student’s chosen name and not circulate records with the student’s birth name. Records with the student’s birth name should be kept in a separate, confidential file.</w:t>
      </w:r>
    </w:p>
    <w:p w:rsidR="00C76E6D" w:rsidRDefault="00C76E6D">
      <w:pPr>
        <w:pStyle w:val="BodyText"/>
        <w:spacing w:before="3"/>
        <w:rPr>
          <w:sz w:val="25"/>
        </w:rPr>
      </w:pPr>
    </w:p>
    <w:p w:rsidR="00C76E6D" w:rsidRDefault="00913831">
      <w:pPr>
        <w:pStyle w:val="BodyText"/>
        <w:spacing w:line="276" w:lineRule="auto"/>
        <w:ind w:left="768" w:right="759"/>
        <w:jc w:val="both"/>
      </w:pPr>
      <w:r>
        <w:t>A student and/or [c</w:t>
      </w:r>
      <w:r>
        <w:t>aregiver] can request a change to the student’s official record on the basis of gender</w:t>
      </w:r>
      <w:r>
        <w:rPr>
          <w:spacing w:val="-13"/>
        </w:rPr>
        <w:t xml:space="preserve"> </w:t>
      </w:r>
      <w:r>
        <w:t>identity</w:t>
      </w:r>
      <w:r>
        <w:rPr>
          <w:spacing w:val="-13"/>
        </w:rPr>
        <w:t xml:space="preserve"> </w:t>
      </w:r>
      <w:r>
        <w:t>by</w:t>
      </w:r>
      <w:r>
        <w:rPr>
          <w:spacing w:val="-13"/>
        </w:rPr>
        <w:t xml:space="preserve"> </w:t>
      </w:r>
      <w:r>
        <w:t>contacting</w:t>
      </w:r>
      <w:r>
        <w:rPr>
          <w:spacing w:val="-15"/>
        </w:rPr>
        <w:t xml:space="preserve"> </w:t>
      </w:r>
      <w:r>
        <w:t>a</w:t>
      </w:r>
      <w:r>
        <w:rPr>
          <w:spacing w:val="-13"/>
        </w:rPr>
        <w:t xml:space="preserve"> </w:t>
      </w:r>
      <w:r>
        <w:t>BPS</w:t>
      </w:r>
      <w:r>
        <w:rPr>
          <w:spacing w:val="-13"/>
        </w:rPr>
        <w:t xml:space="preserve"> </w:t>
      </w:r>
      <w:r>
        <w:t>Welcome</w:t>
      </w:r>
      <w:r>
        <w:rPr>
          <w:spacing w:val="-14"/>
        </w:rPr>
        <w:t xml:space="preserve"> </w:t>
      </w:r>
      <w:r>
        <w:t>Center</w:t>
      </w:r>
      <w:r>
        <w:rPr>
          <w:spacing w:val="-13"/>
        </w:rPr>
        <w:t xml:space="preserve"> </w:t>
      </w:r>
      <w:r>
        <w:t>or</w:t>
      </w:r>
      <w:r>
        <w:rPr>
          <w:spacing w:val="-14"/>
        </w:rPr>
        <w:t xml:space="preserve"> </w:t>
      </w:r>
      <w:r>
        <w:t>the</w:t>
      </w:r>
      <w:r>
        <w:rPr>
          <w:spacing w:val="-13"/>
        </w:rPr>
        <w:t xml:space="preserve"> </w:t>
      </w:r>
      <w:r>
        <w:t>Office</w:t>
      </w:r>
      <w:r>
        <w:rPr>
          <w:spacing w:val="-13"/>
        </w:rPr>
        <w:t xml:space="preserve"> </w:t>
      </w:r>
      <w:r>
        <w:t>of</w:t>
      </w:r>
      <w:r>
        <w:rPr>
          <w:spacing w:val="-13"/>
        </w:rPr>
        <w:t xml:space="preserve"> </w:t>
      </w:r>
      <w:r>
        <w:t>Equity.</w:t>
      </w:r>
      <w:r>
        <w:rPr>
          <w:spacing w:val="-13"/>
        </w:rPr>
        <w:t xml:space="preserve"> </w:t>
      </w:r>
      <w:r>
        <w:t>Upon</w:t>
      </w:r>
      <w:r>
        <w:rPr>
          <w:spacing w:val="-14"/>
        </w:rPr>
        <w:t xml:space="preserve"> </w:t>
      </w:r>
      <w:r>
        <w:t>changing</w:t>
      </w:r>
      <w:r>
        <w:rPr>
          <w:spacing w:val="-13"/>
        </w:rPr>
        <w:t xml:space="preserve"> </w:t>
      </w:r>
      <w:r>
        <w:t>records,</w:t>
      </w:r>
    </w:p>
    <w:p w:rsidR="00C76E6D" w:rsidRDefault="00C76E6D">
      <w:pPr>
        <w:spacing w:line="276" w:lineRule="auto"/>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913831">
      <w:pPr>
        <w:pStyle w:val="BodyText"/>
        <w:spacing w:before="206" w:line="276" w:lineRule="auto"/>
        <w:ind w:left="767" w:right="764"/>
        <w:jc w:val="both"/>
      </w:pPr>
      <w:r>
        <w:t>the</w:t>
      </w:r>
      <w:r>
        <w:rPr>
          <w:spacing w:val="-8"/>
        </w:rPr>
        <w:t xml:space="preserve"> </w:t>
      </w:r>
      <w:r>
        <w:t>district</w:t>
      </w:r>
      <w:r>
        <w:rPr>
          <w:spacing w:val="-8"/>
        </w:rPr>
        <w:t xml:space="preserve"> </w:t>
      </w:r>
      <w:r>
        <w:t>will</w:t>
      </w:r>
      <w:r>
        <w:rPr>
          <w:spacing w:val="-9"/>
        </w:rPr>
        <w:t xml:space="preserve"> </w:t>
      </w:r>
      <w:r>
        <w:t>provide</w:t>
      </w:r>
      <w:r>
        <w:rPr>
          <w:spacing w:val="-8"/>
        </w:rPr>
        <w:t xml:space="preserve"> </w:t>
      </w:r>
      <w:r>
        <w:t>an</w:t>
      </w:r>
      <w:r>
        <w:rPr>
          <w:spacing w:val="-7"/>
        </w:rPr>
        <w:t xml:space="preserve"> </w:t>
      </w:r>
      <w:r>
        <w:t>updated</w:t>
      </w:r>
      <w:r>
        <w:rPr>
          <w:spacing w:val="-8"/>
        </w:rPr>
        <w:t xml:space="preserve"> </w:t>
      </w:r>
      <w:r>
        <w:t>transcript</w:t>
      </w:r>
      <w:r>
        <w:rPr>
          <w:spacing w:val="-8"/>
        </w:rPr>
        <w:t xml:space="preserve"> </w:t>
      </w:r>
      <w:r>
        <w:t>and/or</w:t>
      </w:r>
      <w:r>
        <w:rPr>
          <w:spacing w:val="-5"/>
        </w:rPr>
        <w:t xml:space="preserve"> </w:t>
      </w:r>
      <w:r>
        <w:t>diploma</w:t>
      </w:r>
      <w:r>
        <w:rPr>
          <w:spacing w:val="-7"/>
        </w:rPr>
        <w:t xml:space="preserve"> </w:t>
      </w:r>
      <w:r>
        <w:t>reflecting</w:t>
      </w:r>
      <w:r>
        <w:rPr>
          <w:spacing w:val="-8"/>
        </w:rPr>
        <w:t xml:space="preserve"> </w:t>
      </w:r>
      <w:r>
        <w:t>the</w:t>
      </w:r>
      <w:r>
        <w:rPr>
          <w:spacing w:val="-8"/>
        </w:rPr>
        <w:t xml:space="preserve"> </w:t>
      </w:r>
      <w:r>
        <w:t>student’s</w:t>
      </w:r>
      <w:r>
        <w:rPr>
          <w:spacing w:val="-7"/>
        </w:rPr>
        <w:t xml:space="preserve"> </w:t>
      </w:r>
      <w:r>
        <w:t>name</w:t>
      </w:r>
      <w:r>
        <w:rPr>
          <w:spacing w:val="-8"/>
        </w:rPr>
        <w:t xml:space="preserve"> </w:t>
      </w:r>
      <w:r>
        <w:t>and/or gender identity.”</w:t>
      </w:r>
      <w:hyperlink w:anchor="_bookmark78" w:history="1">
        <w:r>
          <w:rPr>
            <w:vertAlign w:val="superscript"/>
          </w:rPr>
          <w:t>9</w:t>
        </w:r>
      </w:hyperlink>
    </w:p>
    <w:p w:rsidR="00C76E6D" w:rsidRDefault="00C76E6D">
      <w:pPr>
        <w:pStyle w:val="BodyText"/>
        <w:spacing w:before="4"/>
        <w:rPr>
          <w:sz w:val="25"/>
        </w:rPr>
      </w:pPr>
    </w:p>
    <w:p w:rsidR="00C76E6D" w:rsidRDefault="00913831">
      <w:pPr>
        <w:pStyle w:val="BodyText"/>
        <w:spacing w:line="276" w:lineRule="auto"/>
        <w:ind w:left="480" w:right="473"/>
        <w:jc w:val="both"/>
      </w:pPr>
      <w:r>
        <w:t xml:space="preserve">This handbook section may conclude with specific instructions for updating a student’s name or gender marker at school. It may also contain guidance about how information relevant to a student’s transition is maintained. Many schools use the </w:t>
      </w:r>
      <w:hyperlink r:id="rId180">
        <w:r>
          <w:rPr>
            <w:u w:val="single"/>
          </w:rPr>
          <w:t>Gender Support Plan (GSP)</w:t>
        </w:r>
        <w:r>
          <w:t>,</w:t>
        </w:r>
      </w:hyperlink>
      <w:r>
        <w:t xml:space="preserve"> a free tool published by Gender Spectrum,</w:t>
      </w:r>
      <w:r>
        <w:rPr>
          <w:spacing w:val="-3"/>
        </w:rPr>
        <w:t xml:space="preserve"> </w:t>
      </w:r>
      <w:r>
        <w:t>to</w:t>
      </w:r>
      <w:r>
        <w:rPr>
          <w:spacing w:val="-3"/>
        </w:rPr>
        <w:t xml:space="preserve"> </w:t>
      </w:r>
      <w:r>
        <w:t>ensure</w:t>
      </w:r>
      <w:r>
        <w:rPr>
          <w:spacing w:val="-4"/>
        </w:rPr>
        <w:t xml:space="preserve"> </w:t>
      </w:r>
      <w:r>
        <w:t>that</w:t>
      </w:r>
      <w:r>
        <w:rPr>
          <w:spacing w:val="-4"/>
        </w:rPr>
        <w:t xml:space="preserve"> </w:t>
      </w:r>
      <w:r>
        <w:t>the</w:t>
      </w:r>
      <w:r>
        <w:rPr>
          <w:spacing w:val="-4"/>
        </w:rPr>
        <w:t xml:space="preserve"> </w:t>
      </w:r>
      <w:r>
        <w:t>needs</w:t>
      </w:r>
      <w:r>
        <w:rPr>
          <w:spacing w:val="-3"/>
        </w:rPr>
        <w:t xml:space="preserve"> </w:t>
      </w:r>
      <w:r>
        <w:t>of</w:t>
      </w:r>
      <w:r>
        <w:rPr>
          <w:spacing w:val="-4"/>
        </w:rPr>
        <w:t xml:space="preserve"> </w:t>
      </w:r>
      <w:r>
        <w:t>their</w:t>
      </w:r>
      <w:r>
        <w:rPr>
          <w:spacing w:val="-4"/>
        </w:rPr>
        <w:t xml:space="preserve"> </w:t>
      </w:r>
      <w:r>
        <w:t>transgender</w:t>
      </w:r>
      <w:r>
        <w:rPr>
          <w:spacing w:val="-4"/>
        </w:rPr>
        <w:t xml:space="preserve"> </w:t>
      </w:r>
      <w:r>
        <w:t>and</w:t>
      </w:r>
      <w:r>
        <w:rPr>
          <w:spacing w:val="-4"/>
        </w:rPr>
        <w:t xml:space="preserve"> </w:t>
      </w:r>
      <w:r>
        <w:t>nonbinary</w:t>
      </w:r>
      <w:r>
        <w:rPr>
          <w:spacing w:val="-4"/>
        </w:rPr>
        <w:t xml:space="preserve"> </w:t>
      </w:r>
      <w:r>
        <w:t>students</w:t>
      </w:r>
      <w:r>
        <w:rPr>
          <w:spacing w:val="-4"/>
        </w:rPr>
        <w:t xml:space="preserve"> </w:t>
      </w:r>
      <w:r>
        <w:t>are</w:t>
      </w:r>
      <w:r>
        <w:rPr>
          <w:spacing w:val="-4"/>
        </w:rPr>
        <w:t xml:space="preserve"> </w:t>
      </w:r>
      <w:r>
        <w:t>adequately</w:t>
      </w:r>
      <w:r>
        <w:rPr>
          <w:spacing w:val="-4"/>
        </w:rPr>
        <w:t xml:space="preserve"> </w:t>
      </w:r>
      <w:r>
        <w:t>met</w:t>
      </w:r>
      <w:r>
        <w:rPr>
          <w:spacing w:val="-4"/>
        </w:rPr>
        <w:t xml:space="preserve"> </w:t>
      </w:r>
      <w:r>
        <w:t xml:space="preserve">and </w:t>
      </w:r>
      <w:r>
        <w:rPr>
          <w:spacing w:val="-2"/>
        </w:rPr>
        <w:t>documented.</w:t>
      </w:r>
      <w:hyperlink w:anchor="_bookmark79" w:history="1">
        <w:r>
          <w:rPr>
            <w:spacing w:val="-2"/>
            <w:vertAlign w:val="superscript"/>
          </w:rPr>
          <w:t>10</w:t>
        </w:r>
      </w:hyperlink>
    </w:p>
    <w:p w:rsidR="00C76E6D" w:rsidRDefault="00C76E6D">
      <w:pPr>
        <w:pStyle w:val="BodyText"/>
        <w:spacing w:before="3"/>
        <w:rPr>
          <w:sz w:val="25"/>
        </w:rPr>
      </w:pPr>
    </w:p>
    <w:p w:rsidR="00C76E6D" w:rsidRDefault="00913831">
      <w:pPr>
        <w:pStyle w:val="Heading6"/>
        <w:numPr>
          <w:ilvl w:val="1"/>
          <w:numId w:val="47"/>
        </w:numPr>
        <w:tabs>
          <w:tab w:val="left" w:pos="699"/>
        </w:tabs>
        <w:ind w:hanging="221"/>
      </w:pPr>
      <w:bookmarkStart w:id="146" w:name="4._Restrooms,_Locker_Rooms,_and_Changing"/>
      <w:bookmarkEnd w:id="146"/>
      <w:r>
        <w:rPr>
          <w:w w:val="95"/>
        </w:rPr>
        <w:t>Restrooms,</w:t>
      </w:r>
      <w:r>
        <w:rPr>
          <w:spacing w:val="16"/>
        </w:rPr>
        <w:t xml:space="preserve"> </w:t>
      </w:r>
      <w:r>
        <w:rPr>
          <w:w w:val="95"/>
        </w:rPr>
        <w:t>Locker</w:t>
      </w:r>
      <w:r>
        <w:rPr>
          <w:spacing w:val="19"/>
        </w:rPr>
        <w:t xml:space="preserve"> </w:t>
      </w:r>
      <w:r>
        <w:rPr>
          <w:w w:val="95"/>
        </w:rPr>
        <w:t>Rooms,</w:t>
      </w:r>
      <w:r>
        <w:rPr>
          <w:spacing w:val="17"/>
        </w:rPr>
        <w:t xml:space="preserve"> </w:t>
      </w:r>
      <w:r>
        <w:rPr>
          <w:w w:val="95"/>
        </w:rPr>
        <w:t>and</w:t>
      </w:r>
      <w:r>
        <w:rPr>
          <w:spacing w:val="19"/>
        </w:rPr>
        <w:t xml:space="preserve"> </w:t>
      </w:r>
      <w:r>
        <w:rPr>
          <w:w w:val="95"/>
        </w:rPr>
        <w:t>Changing</w:t>
      </w:r>
      <w:r>
        <w:rPr>
          <w:spacing w:val="15"/>
        </w:rPr>
        <w:t xml:space="preserve"> </w:t>
      </w:r>
      <w:r>
        <w:rPr>
          <w:spacing w:val="-2"/>
          <w:w w:val="95"/>
        </w:rPr>
        <w:t>Facilities</w:t>
      </w:r>
    </w:p>
    <w:p w:rsidR="00C76E6D" w:rsidRDefault="00C76E6D">
      <w:pPr>
        <w:pStyle w:val="BodyText"/>
        <w:spacing w:before="8"/>
        <w:rPr>
          <w:b/>
          <w:sz w:val="28"/>
        </w:rPr>
      </w:pPr>
    </w:p>
    <w:p w:rsidR="00C76E6D" w:rsidRDefault="00913831">
      <w:pPr>
        <w:pStyle w:val="BodyText"/>
        <w:spacing w:line="276" w:lineRule="auto"/>
        <w:ind w:left="480" w:right="476"/>
        <w:jc w:val="both"/>
      </w:pPr>
      <w:r>
        <w:t>Under Massachusetts law, all students are entitled to access restrooms, locker rooms, and changing facilities</w:t>
      </w:r>
      <w:r>
        <w:rPr>
          <w:spacing w:val="-2"/>
        </w:rPr>
        <w:t xml:space="preserve"> </w:t>
      </w:r>
      <w:r>
        <w:t>consistent</w:t>
      </w:r>
      <w:r>
        <w:rPr>
          <w:spacing w:val="-3"/>
        </w:rPr>
        <w:t xml:space="preserve"> </w:t>
      </w:r>
      <w:r>
        <w:t>with</w:t>
      </w:r>
      <w:r>
        <w:rPr>
          <w:spacing w:val="-2"/>
        </w:rPr>
        <w:t xml:space="preserve"> </w:t>
      </w:r>
      <w:r>
        <w:t>their</w:t>
      </w:r>
      <w:r>
        <w:rPr>
          <w:spacing w:val="-4"/>
        </w:rPr>
        <w:t xml:space="preserve"> </w:t>
      </w:r>
      <w:r>
        <w:t>gender</w:t>
      </w:r>
      <w:r>
        <w:rPr>
          <w:spacing w:val="-3"/>
        </w:rPr>
        <w:t xml:space="preserve"> </w:t>
      </w:r>
      <w:r>
        <w:t>identity</w:t>
      </w:r>
      <w:hyperlink w:anchor="_bookmark80" w:history="1">
        <w:r>
          <w:t>.</w:t>
        </w:r>
        <w:r>
          <w:rPr>
            <w:vertAlign w:val="superscript"/>
          </w:rPr>
          <w:t>11</w:t>
        </w:r>
        <w:r>
          <w:rPr>
            <w:spacing w:val="-2"/>
          </w:rPr>
          <w:t xml:space="preserve"> </w:t>
        </w:r>
      </w:hyperlink>
      <w:r>
        <w:t>McCall</w:t>
      </w:r>
      <w:r>
        <w:rPr>
          <w:spacing w:val="-3"/>
        </w:rPr>
        <w:t xml:space="preserve"> </w:t>
      </w:r>
      <w:r>
        <w:t>Middle</w:t>
      </w:r>
      <w:r>
        <w:rPr>
          <w:spacing w:val="-3"/>
        </w:rPr>
        <w:t xml:space="preserve"> </w:t>
      </w:r>
      <w:r>
        <w:t>School’s</w:t>
      </w:r>
      <w:r>
        <w:rPr>
          <w:spacing w:val="-4"/>
        </w:rPr>
        <w:t xml:space="preserve"> </w:t>
      </w:r>
      <w:r>
        <w:t>handbook</w:t>
      </w:r>
      <w:r>
        <w:rPr>
          <w:spacing w:val="-4"/>
        </w:rPr>
        <w:t xml:space="preserve"> </w:t>
      </w:r>
      <w:r>
        <w:t>provides</w:t>
      </w:r>
      <w:r>
        <w:rPr>
          <w:spacing w:val="-1"/>
        </w:rPr>
        <w:t xml:space="preserve"> </w:t>
      </w:r>
      <w:r>
        <w:t>the</w:t>
      </w:r>
      <w:r>
        <w:rPr>
          <w:spacing w:val="-3"/>
        </w:rPr>
        <w:t xml:space="preserve"> </w:t>
      </w:r>
      <w:r>
        <w:t xml:space="preserve">following </w:t>
      </w:r>
      <w:r>
        <w:rPr>
          <w:spacing w:val="-2"/>
        </w:rPr>
        <w:t>guidance:</w:t>
      </w:r>
    </w:p>
    <w:p w:rsidR="00C76E6D" w:rsidRDefault="00C76E6D">
      <w:pPr>
        <w:pStyle w:val="BodyText"/>
        <w:spacing w:before="3"/>
        <w:rPr>
          <w:sz w:val="25"/>
        </w:rPr>
      </w:pPr>
    </w:p>
    <w:p w:rsidR="00C76E6D" w:rsidRDefault="00913831">
      <w:pPr>
        <w:pStyle w:val="BodyText"/>
        <w:spacing w:line="276" w:lineRule="auto"/>
        <w:ind w:left="767" w:right="763"/>
        <w:jc w:val="both"/>
      </w:pPr>
      <w:r>
        <w:t>“A student… may access the restrooms, locker rooms and changing facilities that correspond to [their] gender identity. Upon a student's… request, any student… who is uncomfortable using a shared facility,</w:t>
      </w:r>
      <w:r>
        <w:t xml:space="preserve"> regardless of the reason, shall be provided with a safe and non-stigmatizing alternative. Based upon availability and the appropriateness to address privacy concerns, accommodations that may be offered to a student… who desires increased privacy may inclu</w:t>
      </w:r>
      <w:r>
        <w:t>de, but are not limited to: (a) use of a nearby private area (such as a gender neutral restroom, gender neutral changing</w:t>
      </w:r>
      <w:r>
        <w:rPr>
          <w:spacing w:val="-2"/>
        </w:rPr>
        <w:t xml:space="preserve"> </w:t>
      </w:r>
      <w:r>
        <w:t>room,</w:t>
      </w:r>
      <w:r>
        <w:rPr>
          <w:spacing w:val="-1"/>
        </w:rPr>
        <w:t xml:space="preserve"> </w:t>
      </w:r>
      <w:r>
        <w:t>nurse's</w:t>
      </w:r>
      <w:r>
        <w:rPr>
          <w:spacing w:val="-1"/>
        </w:rPr>
        <w:t xml:space="preserve"> </w:t>
      </w:r>
      <w:r>
        <w:t>restroom,</w:t>
      </w:r>
      <w:r>
        <w:rPr>
          <w:spacing w:val="-1"/>
        </w:rPr>
        <w:t xml:space="preserve"> </w:t>
      </w:r>
      <w:r>
        <w:t>or</w:t>
      </w:r>
      <w:r>
        <w:rPr>
          <w:spacing w:val="-1"/>
        </w:rPr>
        <w:t xml:space="preserve"> </w:t>
      </w:r>
      <w:r>
        <w:t>a nurse's</w:t>
      </w:r>
      <w:r>
        <w:rPr>
          <w:spacing w:val="-1"/>
        </w:rPr>
        <w:t xml:space="preserve"> </w:t>
      </w:r>
      <w:r>
        <w:t>office); (b)</w:t>
      </w:r>
      <w:r>
        <w:rPr>
          <w:spacing w:val="-2"/>
        </w:rPr>
        <w:t xml:space="preserve"> </w:t>
      </w:r>
      <w:r>
        <w:t>a separate</w:t>
      </w:r>
      <w:r>
        <w:rPr>
          <w:spacing w:val="-1"/>
        </w:rPr>
        <w:t xml:space="preserve"> </w:t>
      </w:r>
      <w:r>
        <w:t>changing schedule,</w:t>
      </w:r>
      <w:r>
        <w:rPr>
          <w:spacing w:val="-1"/>
        </w:rPr>
        <w:t xml:space="preserve"> </w:t>
      </w:r>
      <w:r>
        <w:t>or</w:t>
      </w:r>
    </w:p>
    <w:p w:rsidR="00C76E6D" w:rsidRDefault="00913831">
      <w:pPr>
        <w:pStyle w:val="BodyText"/>
        <w:spacing w:line="276" w:lineRule="auto"/>
        <w:ind w:left="768" w:right="764"/>
        <w:jc w:val="both"/>
      </w:pPr>
      <w:r>
        <w:t>(c) use of private</w:t>
      </w:r>
      <w:r>
        <w:rPr>
          <w:spacing w:val="-1"/>
        </w:rPr>
        <w:t xml:space="preserve"> </w:t>
      </w:r>
      <w:r>
        <w:t>area within</w:t>
      </w:r>
      <w:r>
        <w:rPr>
          <w:spacing w:val="-1"/>
        </w:rPr>
        <w:t xml:space="preserve"> </w:t>
      </w:r>
      <w:r>
        <w:t>a public</w:t>
      </w:r>
      <w:r>
        <w:rPr>
          <w:spacing w:val="-1"/>
        </w:rPr>
        <w:t xml:space="preserve"> </w:t>
      </w:r>
      <w:r>
        <w:t>area (such a</w:t>
      </w:r>
      <w:r>
        <w:t>s, an area separated by a curtain, or a bathroom or</w:t>
      </w:r>
      <w:r>
        <w:rPr>
          <w:spacing w:val="-12"/>
        </w:rPr>
        <w:t xml:space="preserve"> </w:t>
      </w:r>
      <w:r>
        <w:t>changing</w:t>
      </w:r>
      <w:r>
        <w:rPr>
          <w:spacing w:val="-12"/>
        </w:rPr>
        <w:t xml:space="preserve"> </w:t>
      </w:r>
      <w:r>
        <w:t>stall</w:t>
      </w:r>
      <w:r>
        <w:rPr>
          <w:spacing w:val="-13"/>
        </w:rPr>
        <w:t xml:space="preserve"> </w:t>
      </w:r>
      <w:r>
        <w:t>with</w:t>
      </w:r>
      <w:r>
        <w:rPr>
          <w:spacing w:val="-10"/>
        </w:rPr>
        <w:t xml:space="preserve"> </w:t>
      </w:r>
      <w:r>
        <w:t>a</w:t>
      </w:r>
      <w:r>
        <w:rPr>
          <w:spacing w:val="-11"/>
        </w:rPr>
        <w:t xml:space="preserve"> </w:t>
      </w:r>
      <w:r>
        <w:t>door).</w:t>
      </w:r>
      <w:r>
        <w:rPr>
          <w:spacing w:val="-12"/>
        </w:rPr>
        <w:t xml:space="preserve"> </w:t>
      </w:r>
      <w:r>
        <w:t>Schools</w:t>
      </w:r>
      <w:r>
        <w:rPr>
          <w:spacing w:val="-10"/>
        </w:rPr>
        <w:t xml:space="preserve"> </w:t>
      </w:r>
      <w:r>
        <w:t>will</w:t>
      </w:r>
      <w:r>
        <w:rPr>
          <w:spacing w:val="-11"/>
        </w:rPr>
        <w:t xml:space="preserve"> </w:t>
      </w:r>
      <w:r>
        <w:t>consult</w:t>
      </w:r>
      <w:r>
        <w:rPr>
          <w:spacing w:val="-13"/>
        </w:rPr>
        <w:t xml:space="preserve"> </w:t>
      </w:r>
      <w:r>
        <w:t>with</w:t>
      </w:r>
      <w:r>
        <w:rPr>
          <w:spacing w:val="-11"/>
        </w:rPr>
        <w:t xml:space="preserve"> </w:t>
      </w:r>
      <w:r>
        <w:t>a</w:t>
      </w:r>
      <w:r>
        <w:rPr>
          <w:spacing w:val="-12"/>
        </w:rPr>
        <w:t xml:space="preserve"> </w:t>
      </w:r>
      <w:r>
        <w:t>student</w:t>
      </w:r>
      <w:r>
        <w:rPr>
          <w:spacing w:val="-11"/>
        </w:rPr>
        <w:t xml:space="preserve"> </w:t>
      </w:r>
      <w:r>
        <w:t>and</w:t>
      </w:r>
      <w:r>
        <w:rPr>
          <w:spacing w:val="-12"/>
        </w:rPr>
        <w:t xml:space="preserve"> </w:t>
      </w:r>
      <w:r>
        <w:t>the</w:t>
      </w:r>
      <w:r>
        <w:rPr>
          <w:spacing w:val="-12"/>
        </w:rPr>
        <w:t xml:space="preserve"> </w:t>
      </w:r>
      <w:r>
        <w:t>[caregivers]</w:t>
      </w:r>
      <w:r>
        <w:rPr>
          <w:spacing w:val="-13"/>
        </w:rPr>
        <w:t xml:space="preserve"> </w:t>
      </w:r>
      <w:r>
        <w:t>of</w:t>
      </w:r>
      <w:r>
        <w:rPr>
          <w:spacing w:val="-10"/>
        </w:rPr>
        <w:t xml:space="preserve"> </w:t>
      </w:r>
      <w:r>
        <w:t>the</w:t>
      </w:r>
      <w:r>
        <w:rPr>
          <w:spacing w:val="-10"/>
        </w:rPr>
        <w:t xml:space="preserve"> </w:t>
      </w:r>
      <w:r>
        <w:t>student if they are involved in the process, or in the case of a younger student with the student's [caregivers], to ensure accessibility and address any concerns that may arise.”</w:t>
      </w:r>
      <w:hyperlink w:anchor="_bookmark81" w:history="1">
        <w:r>
          <w:rPr>
            <w:vertAlign w:val="superscript"/>
          </w:rPr>
          <w:t>12</w:t>
        </w:r>
      </w:hyperlink>
    </w:p>
    <w:p w:rsidR="00C76E6D" w:rsidRDefault="00C76E6D">
      <w:pPr>
        <w:pStyle w:val="BodyText"/>
        <w:spacing w:before="4"/>
        <w:rPr>
          <w:sz w:val="25"/>
        </w:rPr>
      </w:pPr>
    </w:p>
    <w:p w:rsidR="00C76E6D" w:rsidRDefault="00913831">
      <w:pPr>
        <w:pStyle w:val="BodyText"/>
        <w:spacing w:before="1" w:line="276" w:lineRule="auto"/>
        <w:ind w:left="480" w:right="481"/>
        <w:jc w:val="both"/>
      </w:pPr>
      <w:r>
        <w:t>CCSC’s handbook further specifies that “th</w:t>
      </w:r>
      <w:r>
        <w:t>e single-user facility… may not be given as the only option for transgender or gender-nonconforming students.”</w:t>
      </w:r>
      <w:hyperlink w:anchor="_bookmark82" w:history="1">
        <w:r>
          <w:rPr>
            <w:vertAlign w:val="superscript"/>
          </w:rPr>
          <w:t>13</w:t>
        </w:r>
        <w:r>
          <w:t xml:space="preserve"> I</w:t>
        </w:r>
      </w:hyperlink>
      <w:r>
        <w:t>n addition:</w:t>
      </w:r>
    </w:p>
    <w:p w:rsidR="00C76E6D" w:rsidRDefault="00C76E6D">
      <w:pPr>
        <w:pStyle w:val="BodyText"/>
        <w:spacing w:before="3"/>
        <w:rPr>
          <w:sz w:val="25"/>
        </w:rPr>
      </w:pPr>
    </w:p>
    <w:p w:rsidR="00C76E6D" w:rsidRDefault="00913831">
      <w:pPr>
        <w:pStyle w:val="BodyText"/>
        <w:spacing w:line="276" w:lineRule="auto"/>
        <w:ind w:left="767" w:right="761"/>
        <w:jc w:val="both"/>
      </w:pPr>
      <w:r>
        <w:t>“Some</w:t>
      </w:r>
      <w:r>
        <w:rPr>
          <w:spacing w:val="-13"/>
        </w:rPr>
        <w:t xml:space="preserve"> </w:t>
      </w:r>
      <w:r>
        <w:t>students</w:t>
      </w:r>
      <w:r>
        <w:rPr>
          <w:spacing w:val="-12"/>
        </w:rPr>
        <w:t xml:space="preserve"> </w:t>
      </w:r>
      <w:r>
        <w:t>may</w:t>
      </w:r>
      <w:r>
        <w:rPr>
          <w:spacing w:val="-13"/>
        </w:rPr>
        <w:t xml:space="preserve"> </w:t>
      </w:r>
      <w:r>
        <w:t>feel</w:t>
      </w:r>
      <w:r>
        <w:rPr>
          <w:spacing w:val="-12"/>
        </w:rPr>
        <w:t xml:space="preserve"> </w:t>
      </w:r>
      <w:r>
        <w:t>uncomfortable</w:t>
      </w:r>
      <w:r>
        <w:rPr>
          <w:spacing w:val="-13"/>
        </w:rPr>
        <w:t xml:space="preserve"> </w:t>
      </w:r>
      <w:r>
        <w:t>with</w:t>
      </w:r>
      <w:r>
        <w:rPr>
          <w:spacing w:val="-12"/>
        </w:rPr>
        <w:t xml:space="preserve"> </w:t>
      </w:r>
      <w:r>
        <w:t>a</w:t>
      </w:r>
      <w:r>
        <w:rPr>
          <w:spacing w:val="-13"/>
        </w:rPr>
        <w:t xml:space="preserve"> </w:t>
      </w:r>
      <w:r>
        <w:t>transgender</w:t>
      </w:r>
      <w:r>
        <w:rPr>
          <w:spacing w:val="-12"/>
        </w:rPr>
        <w:t xml:space="preserve"> </w:t>
      </w:r>
      <w:r>
        <w:t>and/or</w:t>
      </w:r>
      <w:r>
        <w:rPr>
          <w:spacing w:val="-12"/>
        </w:rPr>
        <w:t xml:space="preserve"> </w:t>
      </w:r>
      <w:r>
        <w:t>gender-nonconforming</w:t>
      </w:r>
      <w:r>
        <w:rPr>
          <w:spacing w:val="-13"/>
        </w:rPr>
        <w:t xml:space="preserve"> </w:t>
      </w:r>
      <w:r>
        <w:t>student using</w:t>
      </w:r>
      <w:r>
        <w:rPr>
          <w:spacing w:val="-3"/>
        </w:rPr>
        <w:t xml:space="preserve"> </w:t>
      </w:r>
      <w:r>
        <w:t>the</w:t>
      </w:r>
      <w:r>
        <w:rPr>
          <w:spacing w:val="-3"/>
        </w:rPr>
        <w:t xml:space="preserve"> </w:t>
      </w:r>
      <w:r>
        <w:t>same</w:t>
      </w:r>
      <w:r>
        <w:rPr>
          <w:spacing w:val="-4"/>
        </w:rPr>
        <w:t xml:space="preserve"> </w:t>
      </w:r>
      <w:r>
        <w:t>sex-segregated</w:t>
      </w:r>
      <w:r>
        <w:rPr>
          <w:spacing w:val="-3"/>
        </w:rPr>
        <w:t xml:space="preserve"> </w:t>
      </w:r>
      <w:r>
        <w:t>restroom,</w:t>
      </w:r>
      <w:r>
        <w:rPr>
          <w:spacing w:val="-4"/>
        </w:rPr>
        <w:t xml:space="preserve"> </w:t>
      </w:r>
      <w:r>
        <w:t>locker</w:t>
      </w:r>
      <w:r>
        <w:rPr>
          <w:spacing w:val="-3"/>
        </w:rPr>
        <w:t xml:space="preserve"> </w:t>
      </w:r>
      <w:r>
        <w:t>room,</w:t>
      </w:r>
      <w:r>
        <w:rPr>
          <w:spacing w:val="-3"/>
        </w:rPr>
        <w:t xml:space="preserve"> </w:t>
      </w:r>
      <w:r>
        <w:t>or</w:t>
      </w:r>
      <w:r>
        <w:rPr>
          <w:spacing w:val="-4"/>
        </w:rPr>
        <w:t xml:space="preserve"> </w:t>
      </w:r>
      <w:r>
        <w:t>changing</w:t>
      </w:r>
      <w:r>
        <w:rPr>
          <w:spacing w:val="-4"/>
        </w:rPr>
        <w:t xml:space="preserve"> </w:t>
      </w:r>
      <w:r>
        <w:t>facility.</w:t>
      </w:r>
      <w:r>
        <w:rPr>
          <w:spacing w:val="-3"/>
        </w:rPr>
        <w:t xml:space="preserve"> </w:t>
      </w:r>
      <w:r>
        <w:t>This</w:t>
      </w:r>
      <w:r>
        <w:rPr>
          <w:spacing w:val="-1"/>
        </w:rPr>
        <w:t xml:space="preserve"> </w:t>
      </w:r>
      <w:r>
        <w:t>discomfort</w:t>
      </w:r>
      <w:r>
        <w:rPr>
          <w:spacing w:val="-3"/>
        </w:rPr>
        <w:t xml:space="preserve"> </w:t>
      </w:r>
      <w:r>
        <w:t>is</w:t>
      </w:r>
      <w:r>
        <w:rPr>
          <w:spacing w:val="-1"/>
        </w:rPr>
        <w:t xml:space="preserve"> </w:t>
      </w:r>
      <w:r>
        <w:t>not</w:t>
      </w:r>
      <w:r>
        <w:rPr>
          <w:spacing w:val="-3"/>
        </w:rPr>
        <w:t xml:space="preserve"> </w:t>
      </w:r>
      <w:r>
        <w:t>a reason to deny access to the transgender and/or gender-nonconforming student. School administrators,</w:t>
      </w:r>
      <w:r>
        <w:rPr>
          <w:spacing w:val="-13"/>
        </w:rPr>
        <w:t xml:space="preserve"> </w:t>
      </w:r>
      <w:r>
        <w:t>teachers,</w:t>
      </w:r>
      <w:r>
        <w:rPr>
          <w:spacing w:val="-12"/>
        </w:rPr>
        <w:t xml:space="preserve"> </w:t>
      </w:r>
      <w:r>
        <w:t>and</w:t>
      </w:r>
      <w:r>
        <w:rPr>
          <w:spacing w:val="-13"/>
        </w:rPr>
        <w:t xml:space="preserve"> </w:t>
      </w:r>
      <w:r>
        <w:t>counseling</w:t>
      </w:r>
      <w:r>
        <w:rPr>
          <w:spacing w:val="-12"/>
        </w:rPr>
        <w:t xml:space="preserve"> </w:t>
      </w:r>
      <w:r>
        <w:t>staff</w:t>
      </w:r>
      <w:r>
        <w:rPr>
          <w:spacing w:val="-13"/>
        </w:rPr>
        <w:t xml:space="preserve"> </w:t>
      </w:r>
      <w:r>
        <w:t>should</w:t>
      </w:r>
      <w:r>
        <w:rPr>
          <w:spacing w:val="-12"/>
        </w:rPr>
        <w:t xml:space="preserve"> </w:t>
      </w:r>
      <w:r>
        <w:t>work</w:t>
      </w:r>
      <w:r>
        <w:rPr>
          <w:spacing w:val="-13"/>
        </w:rPr>
        <w:t xml:space="preserve"> </w:t>
      </w:r>
      <w:r>
        <w:t>with</w:t>
      </w:r>
      <w:r>
        <w:rPr>
          <w:spacing w:val="-12"/>
        </w:rPr>
        <w:t xml:space="preserve"> </w:t>
      </w:r>
      <w:r>
        <w:t>students</w:t>
      </w:r>
      <w:r>
        <w:rPr>
          <w:spacing w:val="-12"/>
        </w:rPr>
        <w:t xml:space="preserve"> </w:t>
      </w:r>
      <w:r>
        <w:t>to</w:t>
      </w:r>
      <w:r>
        <w:rPr>
          <w:spacing w:val="-13"/>
        </w:rPr>
        <w:t xml:space="preserve"> </w:t>
      </w:r>
      <w:r>
        <w:t>address</w:t>
      </w:r>
      <w:r>
        <w:rPr>
          <w:spacing w:val="-12"/>
        </w:rPr>
        <w:t xml:space="preserve"> </w:t>
      </w:r>
      <w:r>
        <w:t>the</w:t>
      </w:r>
      <w:r>
        <w:rPr>
          <w:spacing w:val="-13"/>
        </w:rPr>
        <w:t xml:space="preserve"> </w:t>
      </w:r>
      <w:r>
        <w:t>discomfort, foster understanding, and create a school culture that respects and values all students. School leaders may contact the Office of Equity for additional support in this area.”</w:t>
      </w:r>
      <w:hyperlink w:anchor="_bookmark83" w:history="1">
        <w:r>
          <w:rPr>
            <w:vertAlign w:val="superscript"/>
          </w:rPr>
          <w:t>14</w:t>
        </w:r>
      </w:hyperlink>
    </w:p>
    <w:p w:rsidR="00C76E6D" w:rsidRDefault="00C76E6D">
      <w:pPr>
        <w:pStyle w:val="BodyText"/>
        <w:spacing w:before="5"/>
        <w:rPr>
          <w:sz w:val="25"/>
        </w:rPr>
      </w:pPr>
    </w:p>
    <w:p w:rsidR="00C76E6D" w:rsidRDefault="00913831">
      <w:pPr>
        <w:pStyle w:val="Heading6"/>
        <w:numPr>
          <w:ilvl w:val="1"/>
          <w:numId w:val="47"/>
        </w:numPr>
        <w:tabs>
          <w:tab w:val="left" w:pos="699"/>
        </w:tabs>
        <w:ind w:hanging="221"/>
      </w:pPr>
      <w:bookmarkStart w:id="147" w:name="5._Athletics_and_Physical_Education"/>
      <w:bookmarkEnd w:id="147"/>
      <w:r>
        <w:rPr>
          <w:w w:val="95"/>
        </w:rPr>
        <w:t>Athletics</w:t>
      </w:r>
      <w:r>
        <w:rPr>
          <w:spacing w:val="13"/>
        </w:rPr>
        <w:t xml:space="preserve"> </w:t>
      </w:r>
      <w:r>
        <w:rPr>
          <w:w w:val="95"/>
        </w:rPr>
        <w:t>and</w:t>
      </w:r>
      <w:r>
        <w:rPr>
          <w:spacing w:val="15"/>
        </w:rPr>
        <w:t xml:space="preserve"> </w:t>
      </w:r>
      <w:r>
        <w:rPr>
          <w:w w:val="95"/>
        </w:rPr>
        <w:t>Physical</w:t>
      </w:r>
      <w:r>
        <w:rPr>
          <w:spacing w:val="17"/>
        </w:rPr>
        <w:t xml:space="preserve"> </w:t>
      </w:r>
      <w:r>
        <w:rPr>
          <w:spacing w:val="-2"/>
          <w:w w:val="95"/>
        </w:rPr>
        <w:t>Education</w:t>
      </w:r>
    </w:p>
    <w:p w:rsidR="00C76E6D" w:rsidRDefault="00C76E6D">
      <w:pPr>
        <w:pStyle w:val="BodyText"/>
        <w:spacing w:before="4"/>
        <w:rPr>
          <w:b/>
          <w:sz w:val="28"/>
        </w:rPr>
      </w:pPr>
    </w:p>
    <w:p w:rsidR="00C76E6D" w:rsidRDefault="00913831">
      <w:pPr>
        <w:pStyle w:val="BodyText"/>
        <w:spacing w:before="1" w:line="276" w:lineRule="auto"/>
        <w:ind w:left="479" w:right="477"/>
        <w:jc w:val="both"/>
      </w:pPr>
      <w:r>
        <w:t>The Massachusetts Interscholastic Athletic Association (MIAA) defers to the student and their school regarding their gender identification.</w:t>
      </w:r>
      <w:hyperlink w:anchor="_bookmark84" w:history="1">
        <w:r>
          <w:rPr>
            <w:vertAlign w:val="superscript"/>
          </w:rPr>
          <w:t>15</w:t>
        </w:r>
        <w:r>
          <w:t xml:space="preserve"> </w:t>
        </w:r>
      </w:hyperlink>
      <w:r>
        <w:t>McCall Middle School and Winchester Public Schools echo this guidance in their handbook:</w:t>
      </w:r>
    </w:p>
    <w:p w:rsidR="00C76E6D" w:rsidRDefault="00C76E6D">
      <w:pPr>
        <w:spacing w:line="276" w:lineRule="auto"/>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9"/>
        <w:rPr>
          <w:sz w:val="17"/>
        </w:rPr>
      </w:pPr>
    </w:p>
    <w:p w:rsidR="00C76E6D" w:rsidRDefault="00913831">
      <w:pPr>
        <w:pStyle w:val="BodyText"/>
        <w:spacing w:before="55" w:line="276" w:lineRule="auto"/>
        <w:ind w:left="768" w:right="764" w:hanging="1"/>
        <w:jc w:val="both"/>
      </w:pPr>
      <w:r>
        <w:t>“In those instances where there are gender-segregated classes or activities, as opposed to co- educational</w:t>
      </w:r>
      <w:r>
        <w:rPr>
          <w:spacing w:val="-3"/>
        </w:rPr>
        <w:t xml:space="preserve"> </w:t>
      </w:r>
      <w:r>
        <w:t>classes</w:t>
      </w:r>
      <w:r>
        <w:rPr>
          <w:spacing w:val="-2"/>
        </w:rPr>
        <w:t xml:space="preserve"> </w:t>
      </w:r>
      <w:r>
        <w:t>and</w:t>
      </w:r>
      <w:r>
        <w:rPr>
          <w:spacing w:val="-4"/>
        </w:rPr>
        <w:t xml:space="preserve"> </w:t>
      </w:r>
      <w:r>
        <w:t>activities,</w:t>
      </w:r>
      <w:r>
        <w:rPr>
          <w:spacing w:val="-3"/>
        </w:rPr>
        <w:t xml:space="preserve"> </w:t>
      </w:r>
      <w:r>
        <w:t>a</w:t>
      </w:r>
      <w:r>
        <w:rPr>
          <w:spacing w:val="-2"/>
        </w:rPr>
        <w:t xml:space="preserve"> </w:t>
      </w:r>
      <w:r>
        <w:t>student</w:t>
      </w:r>
      <w:r>
        <w:rPr>
          <w:spacing w:val="-2"/>
        </w:rPr>
        <w:t xml:space="preserve"> </w:t>
      </w:r>
      <w:r>
        <w:t>must</w:t>
      </w:r>
      <w:r>
        <w:rPr>
          <w:spacing w:val="-3"/>
        </w:rPr>
        <w:t xml:space="preserve"> </w:t>
      </w:r>
      <w:r>
        <w:t>be</w:t>
      </w:r>
      <w:r>
        <w:rPr>
          <w:spacing w:val="-2"/>
        </w:rPr>
        <w:t xml:space="preserve"> </w:t>
      </w:r>
      <w:r>
        <w:t>a</w:t>
      </w:r>
      <w:r>
        <w:t>llowed</w:t>
      </w:r>
      <w:r>
        <w:rPr>
          <w:spacing w:val="-3"/>
        </w:rPr>
        <w:t xml:space="preserve"> </w:t>
      </w:r>
      <w:r>
        <w:t>to</w:t>
      </w:r>
      <w:r>
        <w:rPr>
          <w:spacing w:val="-2"/>
        </w:rPr>
        <w:t xml:space="preserve"> </w:t>
      </w:r>
      <w:r>
        <w:t>participate</w:t>
      </w:r>
      <w:r>
        <w:rPr>
          <w:spacing w:val="-3"/>
        </w:rPr>
        <w:t xml:space="preserve"> </w:t>
      </w:r>
      <w:r>
        <w:t>in</w:t>
      </w:r>
      <w:r>
        <w:rPr>
          <w:spacing w:val="-3"/>
        </w:rPr>
        <w:t xml:space="preserve"> </w:t>
      </w:r>
      <w:r>
        <w:t>a</w:t>
      </w:r>
      <w:r>
        <w:rPr>
          <w:spacing w:val="-1"/>
        </w:rPr>
        <w:t xml:space="preserve"> </w:t>
      </w:r>
      <w:r>
        <w:t>manner</w:t>
      </w:r>
      <w:r>
        <w:rPr>
          <w:spacing w:val="-1"/>
        </w:rPr>
        <w:t xml:space="preserve"> </w:t>
      </w:r>
      <w:r>
        <w:t>consistent with the student's gender identity.”</w:t>
      </w:r>
      <w:hyperlink w:anchor="_bookmark85" w:history="1">
        <w:r>
          <w:rPr>
            <w:vertAlign w:val="superscript"/>
          </w:rPr>
          <w:t>16</w:t>
        </w:r>
      </w:hyperlink>
    </w:p>
    <w:p w:rsidR="00C76E6D" w:rsidRDefault="00C76E6D">
      <w:pPr>
        <w:pStyle w:val="BodyText"/>
        <w:spacing w:before="4"/>
        <w:rPr>
          <w:sz w:val="25"/>
        </w:rPr>
      </w:pPr>
    </w:p>
    <w:p w:rsidR="00C76E6D" w:rsidRDefault="00913831">
      <w:pPr>
        <w:pStyle w:val="Heading6"/>
        <w:numPr>
          <w:ilvl w:val="1"/>
          <w:numId w:val="47"/>
        </w:numPr>
        <w:tabs>
          <w:tab w:val="left" w:pos="699"/>
        </w:tabs>
        <w:spacing w:before="1"/>
        <w:ind w:hanging="221"/>
        <w:jc w:val="both"/>
      </w:pPr>
      <w:bookmarkStart w:id="148" w:name="6._Dress_Codes"/>
      <w:bookmarkEnd w:id="148"/>
      <w:r>
        <w:rPr>
          <w:w w:val="95"/>
        </w:rPr>
        <w:t>Dress</w:t>
      </w:r>
      <w:r>
        <w:rPr>
          <w:spacing w:val="8"/>
        </w:rPr>
        <w:t xml:space="preserve"> </w:t>
      </w:r>
      <w:r>
        <w:rPr>
          <w:spacing w:val="-2"/>
        </w:rPr>
        <w:t>Codes</w:t>
      </w:r>
    </w:p>
    <w:p w:rsidR="00C76E6D" w:rsidRDefault="00C76E6D">
      <w:pPr>
        <w:pStyle w:val="BodyText"/>
        <w:spacing w:before="6"/>
        <w:rPr>
          <w:b/>
          <w:sz w:val="28"/>
        </w:rPr>
      </w:pPr>
    </w:p>
    <w:p w:rsidR="00C76E6D" w:rsidRDefault="00913831">
      <w:pPr>
        <w:pStyle w:val="BodyText"/>
        <w:spacing w:line="276" w:lineRule="auto"/>
        <w:ind w:left="480" w:right="473"/>
        <w:jc w:val="both"/>
      </w:pPr>
      <w:r>
        <w:t>Schools should avoid gendered dress codes in both policy and practice. CCSC’s handbook outlines the following dress code policy for transgender and nonbinary students:</w:t>
      </w:r>
    </w:p>
    <w:p w:rsidR="00C76E6D" w:rsidRDefault="00C76E6D">
      <w:pPr>
        <w:pStyle w:val="BodyText"/>
        <w:spacing w:before="3"/>
        <w:rPr>
          <w:sz w:val="25"/>
        </w:rPr>
      </w:pPr>
    </w:p>
    <w:p w:rsidR="00C76E6D" w:rsidRDefault="00913831">
      <w:pPr>
        <w:pStyle w:val="BodyText"/>
        <w:spacing w:before="1" w:line="276" w:lineRule="auto"/>
        <w:ind w:left="768" w:right="762"/>
        <w:jc w:val="both"/>
      </w:pPr>
      <w:r>
        <w:t>“Transgender and gender-nonconforming students have the right to dress in a manner cons</w:t>
      </w:r>
      <w:r>
        <w:t>istent with their gender identity or expression. In general, schools should eliminate dress codes that restrict</w:t>
      </w:r>
      <w:r>
        <w:rPr>
          <w:spacing w:val="-1"/>
        </w:rPr>
        <w:t xml:space="preserve"> </w:t>
      </w:r>
      <w:r>
        <w:t>students’ clothing or appearance</w:t>
      </w:r>
      <w:r>
        <w:rPr>
          <w:spacing w:val="-1"/>
        </w:rPr>
        <w:t xml:space="preserve"> </w:t>
      </w:r>
      <w:r>
        <w:t>on</w:t>
      </w:r>
      <w:r>
        <w:rPr>
          <w:spacing w:val="-1"/>
        </w:rPr>
        <w:t xml:space="preserve"> </w:t>
      </w:r>
      <w:r>
        <w:t>the basis of gender. School</w:t>
      </w:r>
      <w:r>
        <w:rPr>
          <w:spacing w:val="-2"/>
        </w:rPr>
        <w:t xml:space="preserve"> </w:t>
      </w:r>
      <w:r>
        <w:t>staff must</w:t>
      </w:r>
      <w:r>
        <w:rPr>
          <w:spacing w:val="-1"/>
        </w:rPr>
        <w:t xml:space="preserve"> </w:t>
      </w:r>
      <w:r>
        <w:t>not</w:t>
      </w:r>
      <w:r>
        <w:rPr>
          <w:spacing w:val="-1"/>
        </w:rPr>
        <w:t xml:space="preserve"> </w:t>
      </w:r>
      <w:r>
        <w:t>enforce</w:t>
      </w:r>
      <w:r>
        <w:rPr>
          <w:spacing w:val="-1"/>
        </w:rPr>
        <w:t xml:space="preserve"> </w:t>
      </w:r>
      <w:r>
        <w:t>the dress code more strictly against transgender and gend</w:t>
      </w:r>
      <w:r>
        <w:t xml:space="preserve">er-nonconforming students than other </w:t>
      </w:r>
      <w:r>
        <w:rPr>
          <w:spacing w:val="-2"/>
        </w:rPr>
        <w:t>students.”</w:t>
      </w:r>
      <w:hyperlink w:anchor="_bookmark86" w:history="1">
        <w:r>
          <w:rPr>
            <w:spacing w:val="-2"/>
            <w:vertAlign w:val="superscript"/>
          </w:rPr>
          <w:t>17</w:t>
        </w:r>
      </w:hyperlink>
    </w:p>
    <w:p w:rsidR="00C76E6D" w:rsidRDefault="00C76E6D">
      <w:pPr>
        <w:pStyle w:val="BodyText"/>
        <w:spacing w:before="3"/>
        <w:rPr>
          <w:sz w:val="25"/>
        </w:rPr>
      </w:pPr>
    </w:p>
    <w:p w:rsidR="00C76E6D" w:rsidRDefault="00913831">
      <w:pPr>
        <w:pStyle w:val="Heading6"/>
        <w:numPr>
          <w:ilvl w:val="1"/>
          <w:numId w:val="47"/>
        </w:numPr>
        <w:tabs>
          <w:tab w:val="left" w:pos="699"/>
        </w:tabs>
        <w:ind w:hanging="221"/>
        <w:jc w:val="both"/>
      </w:pPr>
      <w:bookmarkStart w:id="149" w:name="7._Gender-based_Activities,_Rules,_and_P"/>
      <w:bookmarkEnd w:id="149"/>
      <w:r>
        <w:rPr>
          <w:w w:val="95"/>
        </w:rPr>
        <w:t>Gender-based</w:t>
      </w:r>
      <w:r>
        <w:rPr>
          <w:spacing w:val="15"/>
        </w:rPr>
        <w:t xml:space="preserve"> </w:t>
      </w:r>
      <w:r>
        <w:rPr>
          <w:w w:val="95"/>
        </w:rPr>
        <w:t>Activities,</w:t>
      </w:r>
      <w:r>
        <w:rPr>
          <w:spacing w:val="18"/>
        </w:rPr>
        <w:t xml:space="preserve"> </w:t>
      </w:r>
      <w:r>
        <w:rPr>
          <w:w w:val="95"/>
        </w:rPr>
        <w:t>Rules,</w:t>
      </w:r>
      <w:r>
        <w:rPr>
          <w:spacing w:val="19"/>
        </w:rPr>
        <w:t xml:space="preserve"> </w:t>
      </w:r>
      <w:r>
        <w:rPr>
          <w:w w:val="95"/>
        </w:rPr>
        <w:t>and</w:t>
      </w:r>
      <w:r>
        <w:rPr>
          <w:spacing w:val="19"/>
        </w:rPr>
        <w:t xml:space="preserve"> </w:t>
      </w:r>
      <w:r>
        <w:rPr>
          <w:spacing w:val="-2"/>
          <w:w w:val="95"/>
        </w:rPr>
        <w:t>Practices</w:t>
      </w:r>
    </w:p>
    <w:p w:rsidR="00C76E6D" w:rsidRDefault="00C76E6D">
      <w:pPr>
        <w:pStyle w:val="BodyText"/>
        <w:spacing w:before="8"/>
        <w:rPr>
          <w:b/>
          <w:sz w:val="28"/>
        </w:rPr>
      </w:pPr>
    </w:p>
    <w:p w:rsidR="00C76E6D" w:rsidRDefault="00913831">
      <w:pPr>
        <w:pStyle w:val="BodyText"/>
        <w:spacing w:line="276" w:lineRule="auto"/>
        <w:ind w:left="480" w:right="476"/>
        <w:jc w:val="both"/>
      </w:pPr>
      <w:r>
        <w:t>Schools should review and evaluate any gender-based activities, rules, and practices currently being utilized, and replace such gender-based activities, rules, and practices with non-gendered alternatives. CCSC’s handbook states that the school "will conti</w:t>
      </w:r>
      <w:r>
        <w:t>nue to evaluate all gender-based policies, rules, and practices, and maintain only those with a clear and sound pedagogical purpose. Gender-based policies, rules, and practices can have the effect of marginalizing, stigmatizing, and excluding students, inc</w:t>
      </w:r>
      <w:r>
        <w:t>luding gender-nonconforming students."</w:t>
      </w:r>
      <w:hyperlink w:anchor="_bookmark87" w:history="1">
        <w:r>
          <w:rPr>
            <w:vertAlign w:val="superscript"/>
          </w:rPr>
          <w:t>18</w:t>
        </w:r>
      </w:hyperlink>
    </w:p>
    <w:p w:rsidR="00C76E6D" w:rsidRDefault="00913831">
      <w:pPr>
        <w:pStyle w:val="Heading6"/>
        <w:numPr>
          <w:ilvl w:val="1"/>
          <w:numId w:val="47"/>
        </w:numPr>
        <w:tabs>
          <w:tab w:val="left" w:pos="699"/>
        </w:tabs>
        <w:spacing w:before="5"/>
        <w:ind w:hanging="221"/>
        <w:jc w:val="both"/>
      </w:pPr>
      <w:bookmarkStart w:id="150" w:name="8._Education_and_Training"/>
      <w:bookmarkEnd w:id="150"/>
      <w:r>
        <w:rPr>
          <w:w w:val="95"/>
        </w:rPr>
        <w:t>Education</w:t>
      </w:r>
      <w:r>
        <w:rPr>
          <w:spacing w:val="13"/>
        </w:rPr>
        <w:t xml:space="preserve"> </w:t>
      </w:r>
      <w:r>
        <w:rPr>
          <w:w w:val="95"/>
        </w:rPr>
        <w:t>and</w:t>
      </w:r>
      <w:r>
        <w:rPr>
          <w:spacing w:val="12"/>
        </w:rPr>
        <w:t xml:space="preserve"> </w:t>
      </w:r>
      <w:r>
        <w:rPr>
          <w:spacing w:val="-2"/>
          <w:w w:val="95"/>
        </w:rPr>
        <w:t>Training</w:t>
      </w:r>
    </w:p>
    <w:p w:rsidR="00C76E6D" w:rsidRDefault="00C76E6D">
      <w:pPr>
        <w:pStyle w:val="BodyText"/>
        <w:spacing w:before="1"/>
        <w:rPr>
          <w:b/>
          <w:sz w:val="28"/>
        </w:rPr>
      </w:pPr>
    </w:p>
    <w:p w:rsidR="00C76E6D" w:rsidRDefault="00913831">
      <w:pPr>
        <w:pStyle w:val="BodyText"/>
        <w:spacing w:line="276" w:lineRule="auto"/>
        <w:ind w:left="480" w:right="478"/>
        <w:jc w:val="both"/>
      </w:pPr>
      <w:r>
        <w:t>Education, training, and professional development are critical tools for school staff to better serve their LGBTQ+ students. McCall Middle School and Winchester</w:t>
      </w:r>
      <w:r>
        <w:t xml:space="preserve"> Public Schools set forth the following policy in their handbook:</w:t>
      </w:r>
    </w:p>
    <w:p w:rsidR="00C76E6D" w:rsidRDefault="00C76E6D">
      <w:pPr>
        <w:pStyle w:val="BodyText"/>
        <w:spacing w:before="4"/>
        <w:rPr>
          <w:sz w:val="25"/>
        </w:rPr>
      </w:pPr>
    </w:p>
    <w:p w:rsidR="00C76E6D" w:rsidRDefault="00913831">
      <w:pPr>
        <w:pStyle w:val="BodyText"/>
        <w:spacing w:line="276" w:lineRule="auto"/>
        <w:ind w:left="768" w:right="761"/>
        <w:jc w:val="both"/>
      </w:pPr>
      <w:r>
        <w:t>“The school district shall incorporate training about transgender and gender-nonconforming students into its anti-bullying and non-discrimination curriculum, student leadership training, an</w:t>
      </w:r>
      <w:r>
        <w:t>d staff professional development in order to promote a safe and supportive environment for all students and staff.</w:t>
      </w:r>
    </w:p>
    <w:p w:rsidR="00C76E6D" w:rsidRDefault="00C76E6D">
      <w:pPr>
        <w:pStyle w:val="BodyText"/>
        <w:spacing w:before="4"/>
        <w:rPr>
          <w:sz w:val="25"/>
        </w:rPr>
      </w:pPr>
    </w:p>
    <w:p w:rsidR="00C76E6D" w:rsidRDefault="00913831">
      <w:pPr>
        <w:pStyle w:val="BodyText"/>
        <w:spacing w:line="276" w:lineRule="auto"/>
        <w:ind w:left="768" w:right="762"/>
        <w:jc w:val="both"/>
      </w:pPr>
      <w:r>
        <w:t>Consistent with this policy and applicable laws and guidance, the Superintendent of Schools shall promulgate administrative procedures to ad</w:t>
      </w:r>
      <w:r>
        <w:t>dress steps that school staff should take to create a culture</w:t>
      </w:r>
      <w:r>
        <w:rPr>
          <w:spacing w:val="-3"/>
        </w:rPr>
        <w:t xml:space="preserve"> </w:t>
      </w:r>
      <w:r>
        <w:t>where</w:t>
      </w:r>
      <w:r>
        <w:rPr>
          <w:spacing w:val="-4"/>
        </w:rPr>
        <w:t xml:space="preserve"> </w:t>
      </w:r>
      <w:r>
        <w:t>transgender</w:t>
      </w:r>
      <w:r>
        <w:rPr>
          <w:spacing w:val="-4"/>
        </w:rPr>
        <w:t xml:space="preserve"> </w:t>
      </w:r>
      <w:r>
        <w:t>and</w:t>
      </w:r>
      <w:r>
        <w:rPr>
          <w:spacing w:val="-3"/>
        </w:rPr>
        <w:t xml:space="preserve"> </w:t>
      </w:r>
      <w:r>
        <w:t>gender-nonconforming</w:t>
      </w:r>
      <w:r>
        <w:rPr>
          <w:spacing w:val="-4"/>
        </w:rPr>
        <w:t xml:space="preserve"> </w:t>
      </w:r>
      <w:r>
        <w:t>students</w:t>
      </w:r>
      <w:r>
        <w:rPr>
          <w:spacing w:val="-2"/>
        </w:rPr>
        <w:t xml:space="preserve"> </w:t>
      </w:r>
      <w:r>
        <w:t>and</w:t>
      </w:r>
      <w:r>
        <w:rPr>
          <w:spacing w:val="-3"/>
        </w:rPr>
        <w:t xml:space="preserve"> </w:t>
      </w:r>
      <w:r>
        <w:t>staff</w:t>
      </w:r>
      <w:r>
        <w:rPr>
          <w:spacing w:val="-4"/>
        </w:rPr>
        <w:t xml:space="preserve"> </w:t>
      </w:r>
      <w:r>
        <w:t>feel</w:t>
      </w:r>
      <w:r>
        <w:rPr>
          <w:spacing w:val="-3"/>
        </w:rPr>
        <w:t xml:space="preserve"> </w:t>
      </w:r>
      <w:r>
        <w:t>safe,</w:t>
      </w:r>
      <w:r>
        <w:rPr>
          <w:spacing w:val="-4"/>
        </w:rPr>
        <w:t xml:space="preserve"> </w:t>
      </w:r>
      <w:r>
        <w:t>supported</w:t>
      </w:r>
      <w:r>
        <w:rPr>
          <w:spacing w:val="-4"/>
        </w:rPr>
        <w:t xml:space="preserve"> </w:t>
      </w:r>
      <w:r>
        <w:t>and fully included. The administrative guidelines should, at a minimum, address the following areas: gender transition, names and pronouns, privacy, confidentiality and student records, gender markers on student records, restrooms, locker rooms and changin</w:t>
      </w:r>
      <w:r>
        <w:t>g facilities, physical education</w:t>
      </w:r>
    </w:p>
    <w:p w:rsidR="00C76E6D" w:rsidRDefault="00C76E6D">
      <w:pPr>
        <w:spacing w:line="276" w:lineRule="auto"/>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913831">
      <w:pPr>
        <w:pStyle w:val="BodyText"/>
        <w:spacing w:before="206" w:line="276" w:lineRule="auto"/>
        <w:ind w:left="767" w:right="530"/>
      </w:pPr>
      <w:r>
        <w:t>classes,</w:t>
      </w:r>
      <w:r>
        <w:rPr>
          <w:spacing w:val="32"/>
        </w:rPr>
        <w:t xml:space="preserve"> </w:t>
      </w:r>
      <w:r>
        <w:t>intramural</w:t>
      </w:r>
      <w:r>
        <w:rPr>
          <w:spacing w:val="31"/>
        </w:rPr>
        <w:t xml:space="preserve"> </w:t>
      </w:r>
      <w:r>
        <w:t>and</w:t>
      </w:r>
      <w:r>
        <w:rPr>
          <w:spacing w:val="33"/>
        </w:rPr>
        <w:t xml:space="preserve"> </w:t>
      </w:r>
      <w:r>
        <w:t>interscholastic</w:t>
      </w:r>
      <w:r>
        <w:rPr>
          <w:spacing w:val="35"/>
        </w:rPr>
        <w:t xml:space="preserve"> </w:t>
      </w:r>
      <w:r>
        <w:t>athletic</w:t>
      </w:r>
      <w:r>
        <w:rPr>
          <w:spacing w:val="32"/>
        </w:rPr>
        <w:t xml:space="preserve"> </w:t>
      </w:r>
      <w:r>
        <w:t>activities,</w:t>
      </w:r>
      <w:r>
        <w:rPr>
          <w:spacing w:val="32"/>
        </w:rPr>
        <w:t xml:space="preserve"> </w:t>
      </w:r>
      <w:r>
        <w:t>dress</w:t>
      </w:r>
      <w:r>
        <w:rPr>
          <w:spacing w:val="34"/>
        </w:rPr>
        <w:t xml:space="preserve"> </w:t>
      </w:r>
      <w:r>
        <w:t>codes,</w:t>
      </w:r>
      <w:r>
        <w:rPr>
          <w:spacing w:val="31"/>
        </w:rPr>
        <w:t xml:space="preserve"> </w:t>
      </w:r>
      <w:r>
        <w:t>and</w:t>
      </w:r>
      <w:r>
        <w:rPr>
          <w:spacing w:val="32"/>
        </w:rPr>
        <w:t xml:space="preserve"> </w:t>
      </w:r>
      <w:r>
        <w:t>other</w:t>
      </w:r>
      <w:r>
        <w:rPr>
          <w:spacing w:val="31"/>
        </w:rPr>
        <w:t xml:space="preserve"> </w:t>
      </w:r>
      <w:r>
        <w:t>gender-based activities, rules, policies and practices, and education and training.”</w:t>
      </w:r>
      <w:hyperlink w:anchor="_bookmark88" w:history="1">
        <w:r>
          <w:rPr>
            <w:vertAlign w:val="superscript"/>
          </w:rPr>
          <w:t>19</w:t>
        </w:r>
      </w:hyperlink>
    </w:p>
    <w:p w:rsidR="00C76E6D" w:rsidRDefault="00C76E6D">
      <w:pPr>
        <w:pStyle w:val="BodyText"/>
        <w:spacing w:before="5"/>
        <w:rPr>
          <w:sz w:val="25"/>
        </w:rPr>
      </w:pPr>
    </w:p>
    <w:p w:rsidR="00C76E6D" w:rsidRDefault="00913831">
      <w:pPr>
        <w:pStyle w:val="Heading6"/>
        <w:numPr>
          <w:ilvl w:val="1"/>
          <w:numId w:val="47"/>
        </w:numPr>
        <w:tabs>
          <w:tab w:val="left" w:pos="699"/>
        </w:tabs>
        <w:ind w:hanging="221"/>
      </w:pPr>
      <w:bookmarkStart w:id="151" w:name="9._Additional_Considerations"/>
      <w:bookmarkEnd w:id="151"/>
      <w:r>
        <w:rPr>
          <w:spacing w:val="-2"/>
        </w:rPr>
        <w:t>A</w:t>
      </w:r>
      <w:r>
        <w:rPr>
          <w:spacing w:val="-2"/>
        </w:rPr>
        <w:t>dditional</w:t>
      </w:r>
      <w:r>
        <w:rPr>
          <w:spacing w:val="-7"/>
        </w:rPr>
        <w:t xml:space="preserve"> </w:t>
      </w:r>
      <w:r>
        <w:rPr>
          <w:spacing w:val="-2"/>
        </w:rPr>
        <w:t>Considerations</w:t>
      </w:r>
    </w:p>
    <w:p w:rsidR="00C76E6D" w:rsidRDefault="00C76E6D">
      <w:pPr>
        <w:pStyle w:val="BodyText"/>
        <w:spacing w:before="5"/>
        <w:rPr>
          <w:b/>
          <w:sz w:val="28"/>
        </w:rPr>
      </w:pPr>
    </w:p>
    <w:p w:rsidR="00C76E6D" w:rsidRDefault="00913831">
      <w:pPr>
        <w:pStyle w:val="BodyText"/>
        <w:spacing w:line="276" w:lineRule="auto"/>
        <w:ind w:left="479" w:right="473"/>
        <w:jc w:val="both"/>
      </w:pPr>
      <w:r>
        <w:t>School handbooks should be revised and redistributed annually. Administrators should develop policy language in collaboration with transgender and nonbinary students, caregivers, and staff to ensure that the entire handbook is gen</w:t>
      </w:r>
      <w:r>
        <w:t>der-inclusive: not just policies related to gender identity. The following “Principles for Ensuring Safe and Supportive Learning Environments for LGBTQ Students” developed by DESE,</w:t>
      </w:r>
      <w:r>
        <w:rPr>
          <w:spacing w:val="-2"/>
        </w:rPr>
        <w:t xml:space="preserve"> </w:t>
      </w:r>
      <w:r>
        <w:t>and</w:t>
      </w:r>
      <w:r>
        <w:rPr>
          <w:spacing w:val="-2"/>
        </w:rPr>
        <w:t xml:space="preserve"> </w:t>
      </w:r>
      <w:r>
        <w:t>approved</w:t>
      </w:r>
      <w:r>
        <w:rPr>
          <w:spacing w:val="-3"/>
        </w:rPr>
        <w:t xml:space="preserve"> </w:t>
      </w:r>
      <w:r>
        <w:t>unanimously</w:t>
      </w:r>
      <w:r>
        <w:rPr>
          <w:spacing w:val="-3"/>
        </w:rPr>
        <w:t xml:space="preserve"> </w:t>
      </w:r>
      <w:r>
        <w:t>by</w:t>
      </w:r>
      <w:r>
        <w:rPr>
          <w:spacing w:val="-3"/>
        </w:rPr>
        <w:t xml:space="preserve"> </w:t>
      </w:r>
      <w:r>
        <w:t>the</w:t>
      </w:r>
      <w:r>
        <w:rPr>
          <w:spacing w:val="-3"/>
        </w:rPr>
        <w:t xml:space="preserve"> </w:t>
      </w:r>
      <w:r>
        <w:t>Board</w:t>
      </w:r>
      <w:r>
        <w:rPr>
          <w:spacing w:val="-4"/>
        </w:rPr>
        <w:t xml:space="preserve"> </w:t>
      </w:r>
      <w:r>
        <w:t>of</w:t>
      </w:r>
      <w:r>
        <w:rPr>
          <w:spacing w:val="-3"/>
        </w:rPr>
        <w:t xml:space="preserve"> </w:t>
      </w:r>
      <w:r>
        <w:t>Education</w:t>
      </w:r>
      <w:r>
        <w:rPr>
          <w:spacing w:val="-3"/>
        </w:rPr>
        <w:t xml:space="preserve"> </w:t>
      </w:r>
      <w:r>
        <w:t>in</w:t>
      </w:r>
      <w:r>
        <w:rPr>
          <w:spacing w:val="-3"/>
        </w:rPr>
        <w:t xml:space="preserve"> </w:t>
      </w:r>
      <w:r>
        <w:t>2015,</w:t>
      </w:r>
      <w:r>
        <w:rPr>
          <w:spacing w:val="-2"/>
        </w:rPr>
        <w:t xml:space="preserve"> </w:t>
      </w:r>
      <w:r>
        <w:t>offer</w:t>
      </w:r>
      <w:r>
        <w:rPr>
          <w:spacing w:val="-3"/>
        </w:rPr>
        <w:t xml:space="preserve"> </w:t>
      </w:r>
      <w:r>
        <w:t>a</w:t>
      </w:r>
      <w:r>
        <w:rPr>
          <w:spacing w:val="-4"/>
        </w:rPr>
        <w:t xml:space="preserve"> </w:t>
      </w:r>
      <w:r>
        <w:t>strong</w:t>
      </w:r>
      <w:r>
        <w:rPr>
          <w:spacing w:val="-3"/>
        </w:rPr>
        <w:t xml:space="preserve"> </w:t>
      </w:r>
      <w:r>
        <w:t>foundation</w:t>
      </w:r>
      <w:r>
        <w:rPr>
          <w:spacing w:val="-4"/>
        </w:rPr>
        <w:t xml:space="preserve"> </w:t>
      </w:r>
      <w:r>
        <w:t>for</w:t>
      </w:r>
      <w:r>
        <w:rPr>
          <w:spacing w:val="-3"/>
        </w:rPr>
        <w:t xml:space="preserve"> </w:t>
      </w:r>
      <w:r>
        <w:t>school administrators seeking more inclusive policies and practices</w:t>
      </w:r>
      <w:hyperlink w:anchor="_bookmark89" w:history="1">
        <w:r>
          <w:t>:</w:t>
        </w:r>
        <w:r>
          <w:rPr>
            <w:vertAlign w:val="superscript"/>
          </w:rPr>
          <w:t>20</w:t>
        </w:r>
      </w:hyperlink>
    </w:p>
    <w:p w:rsidR="00C76E6D" w:rsidRDefault="00C76E6D">
      <w:pPr>
        <w:pStyle w:val="BodyText"/>
        <w:spacing w:before="3"/>
        <w:rPr>
          <w:sz w:val="25"/>
        </w:rPr>
      </w:pPr>
    </w:p>
    <w:p w:rsidR="00C76E6D" w:rsidRDefault="00913831">
      <w:pPr>
        <w:pStyle w:val="ListParagraph"/>
        <w:numPr>
          <w:ilvl w:val="2"/>
          <w:numId w:val="47"/>
        </w:numPr>
        <w:tabs>
          <w:tab w:val="left" w:pos="1200"/>
        </w:tabs>
        <w:spacing w:line="276" w:lineRule="auto"/>
        <w:ind w:right="622"/>
        <w:jc w:val="both"/>
      </w:pPr>
      <w:r>
        <w:t>Schools must have policies, and update them as needed, protecting LGBTQ students from harassment,</w:t>
      </w:r>
      <w:r>
        <w:rPr>
          <w:spacing w:val="-13"/>
        </w:rPr>
        <w:t xml:space="preserve"> </w:t>
      </w:r>
      <w:r>
        <w:t>violence,</w:t>
      </w:r>
      <w:r>
        <w:rPr>
          <w:spacing w:val="-12"/>
        </w:rPr>
        <w:t xml:space="preserve"> </w:t>
      </w:r>
      <w:r>
        <w:t>and</w:t>
      </w:r>
      <w:r>
        <w:rPr>
          <w:spacing w:val="-10"/>
        </w:rPr>
        <w:t xml:space="preserve"> </w:t>
      </w:r>
      <w:r>
        <w:t>discrimination</w:t>
      </w:r>
      <w:r>
        <w:rPr>
          <w:spacing w:val="-13"/>
        </w:rPr>
        <w:t xml:space="preserve"> </w:t>
      </w:r>
      <w:r>
        <w:t>based</w:t>
      </w:r>
      <w:r>
        <w:rPr>
          <w:spacing w:val="-12"/>
        </w:rPr>
        <w:t xml:space="preserve"> </w:t>
      </w:r>
      <w:r>
        <w:t>on</w:t>
      </w:r>
      <w:r>
        <w:rPr>
          <w:spacing w:val="-13"/>
        </w:rPr>
        <w:t xml:space="preserve"> </w:t>
      </w:r>
      <w:r>
        <w:t>LG</w:t>
      </w:r>
      <w:r>
        <w:t>BTQ</w:t>
      </w:r>
      <w:r>
        <w:rPr>
          <w:spacing w:val="-12"/>
        </w:rPr>
        <w:t xml:space="preserve"> </w:t>
      </w:r>
      <w:r>
        <w:t>status,</w:t>
      </w:r>
      <w:r>
        <w:rPr>
          <w:spacing w:val="-11"/>
        </w:rPr>
        <w:t xml:space="preserve"> </w:t>
      </w:r>
      <w:r>
        <w:t>to</w:t>
      </w:r>
      <w:r>
        <w:rPr>
          <w:spacing w:val="-13"/>
        </w:rPr>
        <w:t xml:space="preserve"> </w:t>
      </w:r>
      <w:r>
        <w:t>ensure</w:t>
      </w:r>
      <w:r>
        <w:rPr>
          <w:spacing w:val="-11"/>
        </w:rPr>
        <w:t xml:space="preserve"> </w:t>
      </w:r>
      <w:r>
        <w:t>compliance</w:t>
      </w:r>
      <w:r>
        <w:rPr>
          <w:spacing w:val="-13"/>
        </w:rPr>
        <w:t xml:space="preserve"> </w:t>
      </w:r>
      <w:r>
        <w:t>with</w:t>
      </w:r>
      <w:r>
        <w:rPr>
          <w:spacing w:val="-12"/>
        </w:rPr>
        <w:t xml:space="preserve"> </w:t>
      </w:r>
      <w:r>
        <w:t xml:space="preserve">the </w:t>
      </w:r>
      <w:r>
        <w:rPr>
          <w:spacing w:val="-4"/>
        </w:rPr>
        <w:t>law.</w:t>
      </w:r>
    </w:p>
    <w:p w:rsidR="00C76E6D" w:rsidRDefault="00C76E6D">
      <w:pPr>
        <w:pStyle w:val="BodyText"/>
        <w:spacing w:before="9"/>
        <w:rPr>
          <w:sz w:val="19"/>
        </w:rPr>
      </w:pPr>
    </w:p>
    <w:p w:rsidR="00C76E6D" w:rsidRDefault="00913831">
      <w:pPr>
        <w:pStyle w:val="ListParagraph"/>
        <w:numPr>
          <w:ilvl w:val="2"/>
          <w:numId w:val="47"/>
        </w:numPr>
        <w:tabs>
          <w:tab w:val="left" w:pos="1200"/>
        </w:tabs>
        <w:spacing w:before="1" w:line="276" w:lineRule="auto"/>
        <w:ind w:left="1199" w:right="619"/>
        <w:jc w:val="both"/>
      </w:pPr>
      <w:r>
        <w:t>Schools</w:t>
      </w:r>
      <w:r>
        <w:rPr>
          <w:spacing w:val="-3"/>
        </w:rPr>
        <w:t xml:space="preserve"> </w:t>
      </w:r>
      <w:r>
        <w:t>must</w:t>
      </w:r>
      <w:r>
        <w:rPr>
          <w:spacing w:val="-3"/>
        </w:rPr>
        <w:t xml:space="preserve"> </w:t>
      </w:r>
      <w:r>
        <w:t>include</w:t>
      </w:r>
      <w:r>
        <w:rPr>
          <w:spacing w:val="-3"/>
        </w:rPr>
        <w:t xml:space="preserve"> </w:t>
      </w:r>
      <w:r>
        <w:t>content</w:t>
      </w:r>
      <w:r>
        <w:rPr>
          <w:spacing w:val="-5"/>
        </w:rPr>
        <w:t xml:space="preserve"> </w:t>
      </w:r>
      <w:r>
        <w:t>about</w:t>
      </w:r>
      <w:r>
        <w:rPr>
          <w:spacing w:val="-4"/>
        </w:rPr>
        <w:t xml:space="preserve"> </w:t>
      </w:r>
      <w:r>
        <w:t>violence</w:t>
      </w:r>
      <w:r>
        <w:rPr>
          <w:spacing w:val="-3"/>
        </w:rPr>
        <w:t xml:space="preserve"> </w:t>
      </w:r>
      <w:r>
        <w:t>and</w:t>
      </w:r>
      <w:r>
        <w:rPr>
          <w:spacing w:val="-4"/>
        </w:rPr>
        <w:t xml:space="preserve"> </w:t>
      </w:r>
      <w:r>
        <w:t>suicide</w:t>
      </w:r>
      <w:r>
        <w:rPr>
          <w:spacing w:val="-3"/>
        </w:rPr>
        <w:t xml:space="preserve"> </w:t>
      </w:r>
      <w:r>
        <w:t>prevention</w:t>
      </w:r>
      <w:r>
        <w:rPr>
          <w:spacing w:val="-4"/>
        </w:rPr>
        <w:t xml:space="preserve"> </w:t>
      </w:r>
      <w:r>
        <w:t>related</w:t>
      </w:r>
      <w:r>
        <w:rPr>
          <w:spacing w:val="-1"/>
        </w:rPr>
        <w:t xml:space="preserve"> </w:t>
      </w:r>
      <w:r>
        <w:t>to</w:t>
      </w:r>
      <w:r>
        <w:rPr>
          <w:spacing w:val="-1"/>
        </w:rPr>
        <w:t xml:space="preserve"> </w:t>
      </w:r>
      <w:r>
        <w:t>LGBTQ</w:t>
      </w:r>
      <w:r>
        <w:rPr>
          <w:spacing w:val="-3"/>
        </w:rPr>
        <w:t xml:space="preserve"> </w:t>
      </w:r>
      <w:r>
        <w:t>students in their required training for school personnel.</w:t>
      </w:r>
    </w:p>
    <w:p w:rsidR="00C76E6D" w:rsidRDefault="00C76E6D">
      <w:pPr>
        <w:pStyle w:val="BodyText"/>
        <w:spacing w:before="9"/>
        <w:rPr>
          <w:sz w:val="19"/>
        </w:rPr>
      </w:pPr>
    </w:p>
    <w:p w:rsidR="00C76E6D" w:rsidRDefault="00913831">
      <w:pPr>
        <w:pStyle w:val="ListParagraph"/>
        <w:numPr>
          <w:ilvl w:val="2"/>
          <w:numId w:val="47"/>
        </w:numPr>
        <w:tabs>
          <w:tab w:val="left" w:pos="1200"/>
        </w:tabs>
        <w:ind w:hanging="362"/>
      </w:pPr>
      <w:r>
        <w:rPr>
          <w:w w:val="95"/>
        </w:rPr>
        <w:t>Schools</w:t>
      </w:r>
      <w:r>
        <w:rPr>
          <w:spacing w:val="12"/>
        </w:rPr>
        <w:t xml:space="preserve"> </w:t>
      </w:r>
      <w:r>
        <w:rPr>
          <w:w w:val="95"/>
        </w:rPr>
        <w:t>are</w:t>
      </w:r>
      <w:r>
        <w:rPr>
          <w:spacing w:val="12"/>
        </w:rPr>
        <w:t xml:space="preserve"> </w:t>
      </w:r>
      <w:r>
        <w:rPr>
          <w:w w:val="95"/>
        </w:rPr>
        <w:t>encouraged</w:t>
      </w:r>
      <w:r>
        <w:rPr>
          <w:spacing w:val="17"/>
        </w:rPr>
        <w:t xml:space="preserve"> </w:t>
      </w:r>
      <w:r>
        <w:rPr>
          <w:w w:val="95"/>
        </w:rPr>
        <w:t>to</w:t>
      </w:r>
      <w:r>
        <w:rPr>
          <w:spacing w:val="19"/>
        </w:rPr>
        <w:t xml:space="preserve"> </w:t>
      </w:r>
      <w:r>
        <w:rPr>
          <w:w w:val="95"/>
        </w:rPr>
        <w:t>offer</w:t>
      </w:r>
      <w:r>
        <w:rPr>
          <w:spacing w:val="12"/>
        </w:rPr>
        <w:t xml:space="preserve"> </w:t>
      </w:r>
      <w:r>
        <w:rPr>
          <w:w w:val="95"/>
        </w:rPr>
        <w:t>school-based</w:t>
      </w:r>
      <w:r>
        <w:rPr>
          <w:spacing w:val="14"/>
        </w:rPr>
        <w:t xml:space="preserve"> </w:t>
      </w:r>
      <w:r>
        <w:rPr>
          <w:w w:val="95"/>
        </w:rPr>
        <w:t>groups</w:t>
      </w:r>
      <w:r>
        <w:rPr>
          <w:spacing w:val="17"/>
        </w:rPr>
        <w:t xml:space="preserve"> </w:t>
      </w:r>
      <w:r>
        <w:rPr>
          <w:w w:val="95"/>
        </w:rPr>
        <w:t>for</w:t>
      </w:r>
      <w:r>
        <w:rPr>
          <w:spacing w:val="12"/>
        </w:rPr>
        <w:t xml:space="preserve"> </w:t>
      </w:r>
      <w:r>
        <w:rPr>
          <w:w w:val="95"/>
        </w:rPr>
        <w:t>LGBTQ</w:t>
      </w:r>
      <w:r>
        <w:rPr>
          <w:spacing w:val="12"/>
        </w:rPr>
        <w:t xml:space="preserve"> </w:t>
      </w:r>
      <w:r>
        <w:rPr>
          <w:w w:val="95"/>
        </w:rPr>
        <w:t>and</w:t>
      </w:r>
      <w:r>
        <w:rPr>
          <w:spacing w:val="13"/>
        </w:rPr>
        <w:t xml:space="preserve"> </w:t>
      </w:r>
      <w:r>
        <w:rPr>
          <w:w w:val="95"/>
        </w:rPr>
        <w:t>heterosexual</w:t>
      </w:r>
      <w:r>
        <w:rPr>
          <w:spacing w:val="12"/>
        </w:rPr>
        <w:t xml:space="preserve"> </w:t>
      </w:r>
      <w:r>
        <w:rPr>
          <w:spacing w:val="-2"/>
          <w:w w:val="95"/>
        </w:rPr>
        <w:t>students.</w:t>
      </w:r>
    </w:p>
    <w:p w:rsidR="00C76E6D" w:rsidRDefault="00C76E6D">
      <w:pPr>
        <w:pStyle w:val="BodyText"/>
        <w:rPr>
          <w:sz w:val="23"/>
        </w:rPr>
      </w:pPr>
    </w:p>
    <w:p w:rsidR="00C76E6D" w:rsidRDefault="00913831">
      <w:pPr>
        <w:pStyle w:val="ListParagraph"/>
        <w:numPr>
          <w:ilvl w:val="2"/>
          <w:numId w:val="47"/>
        </w:numPr>
        <w:tabs>
          <w:tab w:val="left" w:pos="1200"/>
        </w:tabs>
        <w:ind w:hanging="362"/>
      </w:pPr>
      <w:r>
        <w:rPr>
          <w:w w:val="95"/>
        </w:rPr>
        <w:t>Schools</w:t>
      </w:r>
      <w:r>
        <w:rPr>
          <w:spacing w:val="10"/>
        </w:rPr>
        <w:t xml:space="preserve"> </w:t>
      </w:r>
      <w:r>
        <w:rPr>
          <w:w w:val="95"/>
        </w:rPr>
        <w:t>are</w:t>
      </w:r>
      <w:r>
        <w:rPr>
          <w:spacing w:val="13"/>
        </w:rPr>
        <w:t xml:space="preserve"> </w:t>
      </w:r>
      <w:r>
        <w:rPr>
          <w:w w:val="95"/>
        </w:rPr>
        <w:t>encouraged</w:t>
      </w:r>
      <w:r>
        <w:rPr>
          <w:spacing w:val="13"/>
        </w:rPr>
        <w:t xml:space="preserve"> </w:t>
      </w:r>
      <w:r>
        <w:rPr>
          <w:w w:val="95"/>
        </w:rPr>
        <w:t>to</w:t>
      </w:r>
      <w:r>
        <w:rPr>
          <w:spacing w:val="19"/>
        </w:rPr>
        <w:t xml:space="preserve"> </w:t>
      </w:r>
      <w:r>
        <w:rPr>
          <w:w w:val="95"/>
        </w:rPr>
        <w:t>provide</w:t>
      </w:r>
      <w:r>
        <w:rPr>
          <w:spacing w:val="12"/>
        </w:rPr>
        <w:t xml:space="preserve"> </w:t>
      </w:r>
      <w:r>
        <w:rPr>
          <w:w w:val="95"/>
        </w:rPr>
        <w:t>support</w:t>
      </w:r>
      <w:r>
        <w:rPr>
          <w:spacing w:val="9"/>
        </w:rPr>
        <w:t xml:space="preserve"> </w:t>
      </w:r>
      <w:r>
        <w:rPr>
          <w:w w:val="95"/>
        </w:rPr>
        <w:t>for</w:t>
      </w:r>
      <w:r>
        <w:rPr>
          <w:spacing w:val="11"/>
        </w:rPr>
        <w:t xml:space="preserve"> </w:t>
      </w:r>
      <w:r>
        <w:rPr>
          <w:w w:val="95"/>
        </w:rPr>
        <w:t>family</w:t>
      </w:r>
      <w:r>
        <w:rPr>
          <w:spacing w:val="17"/>
        </w:rPr>
        <w:t xml:space="preserve"> </w:t>
      </w:r>
      <w:r>
        <w:rPr>
          <w:w w:val="95"/>
        </w:rPr>
        <w:t>members</w:t>
      </w:r>
      <w:r>
        <w:rPr>
          <w:spacing w:val="12"/>
        </w:rPr>
        <w:t xml:space="preserve"> </w:t>
      </w:r>
      <w:r>
        <w:rPr>
          <w:w w:val="95"/>
        </w:rPr>
        <w:t>of</w:t>
      </w:r>
      <w:r>
        <w:rPr>
          <w:spacing w:val="11"/>
        </w:rPr>
        <w:t xml:space="preserve"> </w:t>
      </w:r>
      <w:r>
        <w:rPr>
          <w:w w:val="95"/>
        </w:rPr>
        <w:t>LGBTQ</w:t>
      </w:r>
      <w:r>
        <w:rPr>
          <w:spacing w:val="13"/>
        </w:rPr>
        <w:t xml:space="preserve"> </w:t>
      </w:r>
      <w:r>
        <w:rPr>
          <w:spacing w:val="-2"/>
          <w:w w:val="95"/>
        </w:rPr>
        <w:t>students.</w:t>
      </w:r>
    </w:p>
    <w:p w:rsidR="00C76E6D" w:rsidRDefault="00C76E6D">
      <w:pPr>
        <w:pStyle w:val="BodyText"/>
        <w:spacing w:before="10"/>
      </w:pPr>
    </w:p>
    <w:p w:rsidR="00C76E6D" w:rsidRDefault="00913831">
      <w:pPr>
        <w:pStyle w:val="ListParagraph"/>
        <w:numPr>
          <w:ilvl w:val="2"/>
          <w:numId w:val="47"/>
        </w:numPr>
        <w:tabs>
          <w:tab w:val="left" w:pos="1200"/>
        </w:tabs>
        <w:spacing w:line="276" w:lineRule="auto"/>
        <w:ind w:right="624"/>
        <w:jc w:val="both"/>
      </w:pPr>
      <w:r>
        <w:t>School districts are encouraged to designate a staff member who is proficient in issues related to sexual orientation and gender identity.</w:t>
      </w:r>
    </w:p>
    <w:p w:rsidR="00C76E6D" w:rsidRDefault="00C76E6D">
      <w:pPr>
        <w:pStyle w:val="BodyText"/>
        <w:spacing w:before="9"/>
        <w:rPr>
          <w:sz w:val="19"/>
        </w:rPr>
      </w:pPr>
    </w:p>
    <w:p w:rsidR="00C76E6D" w:rsidRDefault="00913831">
      <w:pPr>
        <w:pStyle w:val="ListParagraph"/>
        <w:numPr>
          <w:ilvl w:val="2"/>
          <w:numId w:val="47"/>
        </w:numPr>
        <w:tabs>
          <w:tab w:val="left" w:pos="1200"/>
        </w:tabs>
        <w:spacing w:line="276" w:lineRule="auto"/>
        <w:ind w:right="621"/>
        <w:jc w:val="both"/>
      </w:pPr>
      <w:r>
        <w:t>Schools, through their curricula, shall encourage respect for the human and civil rights of all individuals, including LGBTQ individuals.</w:t>
      </w:r>
    </w:p>
    <w:p w:rsidR="00C76E6D" w:rsidRDefault="00C76E6D">
      <w:pPr>
        <w:pStyle w:val="BodyText"/>
        <w:spacing w:before="7"/>
        <w:rPr>
          <w:sz w:val="19"/>
        </w:rPr>
      </w:pPr>
    </w:p>
    <w:p w:rsidR="00C76E6D" w:rsidRDefault="00913831">
      <w:pPr>
        <w:pStyle w:val="ListParagraph"/>
        <w:numPr>
          <w:ilvl w:val="2"/>
          <w:numId w:val="47"/>
        </w:numPr>
        <w:tabs>
          <w:tab w:val="left" w:pos="1200"/>
        </w:tabs>
        <w:spacing w:line="276" w:lineRule="auto"/>
        <w:ind w:right="618"/>
        <w:jc w:val="both"/>
      </w:pPr>
      <w:r>
        <w:t>Schools are encouraged to provide age-appropriate information about LGBTQ issues in school libraries and in student a</w:t>
      </w:r>
      <w:r>
        <w:t>nd faculty resource centers.</w:t>
      </w:r>
    </w:p>
    <w:p w:rsidR="00C76E6D" w:rsidRDefault="00C76E6D">
      <w:pPr>
        <w:pStyle w:val="BodyText"/>
        <w:spacing w:before="8"/>
        <w:rPr>
          <w:sz w:val="19"/>
        </w:rPr>
      </w:pPr>
    </w:p>
    <w:p w:rsidR="00C76E6D" w:rsidRDefault="00913831">
      <w:pPr>
        <w:pStyle w:val="ListParagraph"/>
        <w:numPr>
          <w:ilvl w:val="2"/>
          <w:numId w:val="47"/>
        </w:numPr>
        <w:tabs>
          <w:tab w:val="left" w:pos="1200"/>
        </w:tabs>
        <w:ind w:hanging="362"/>
      </w:pPr>
      <w:r>
        <w:rPr>
          <w:w w:val="95"/>
        </w:rPr>
        <w:t>Schools</w:t>
      </w:r>
      <w:r>
        <w:rPr>
          <w:spacing w:val="7"/>
        </w:rPr>
        <w:t xml:space="preserve"> </w:t>
      </w:r>
      <w:r>
        <w:rPr>
          <w:w w:val="95"/>
        </w:rPr>
        <w:t>are</w:t>
      </w:r>
      <w:r>
        <w:rPr>
          <w:spacing w:val="10"/>
        </w:rPr>
        <w:t xml:space="preserve"> </w:t>
      </w:r>
      <w:r>
        <w:rPr>
          <w:w w:val="95"/>
        </w:rPr>
        <w:t>encouraged</w:t>
      </w:r>
      <w:r>
        <w:rPr>
          <w:spacing w:val="12"/>
        </w:rPr>
        <w:t xml:space="preserve"> </w:t>
      </w:r>
      <w:r>
        <w:rPr>
          <w:w w:val="95"/>
        </w:rPr>
        <w:t>to</w:t>
      </w:r>
      <w:r>
        <w:rPr>
          <w:spacing w:val="13"/>
        </w:rPr>
        <w:t xml:space="preserve"> </w:t>
      </w:r>
      <w:r>
        <w:rPr>
          <w:w w:val="95"/>
        </w:rPr>
        <w:t>have</w:t>
      </w:r>
      <w:r>
        <w:rPr>
          <w:spacing w:val="8"/>
        </w:rPr>
        <w:t xml:space="preserve"> </w:t>
      </w:r>
      <w:r>
        <w:rPr>
          <w:w w:val="95"/>
        </w:rPr>
        <w:t>a</w:t>
      </w:r>
      <w:r>
        <w:rPr>
          <w:spacing w:val="14"/>
        </w:rPr>
        <w:t xml:space="preserve"> </w:t>
      </w:r>
      <w:r>
        <w:rPr>
          <w:w w:val="95"/>
        </w:rPr>
        <w:t>diverse</w:t>
      </w:r>
      <w:r>
        <w:rPr>
          <w:spacing w:val="8"/>
        </w:rPr>
        <w:t xml:space="preserve"> </w:t>
      </w:r>
      <w:r>
        <w:rPr>
          <w:spacing w:val="-2"/>
          <w:w w:val="95"/>
        </w:rPr>
        <w:t>workforce.</w:t>
      </w:r>
    </w:p>
    <w:p w:rsidR="00C76E6D" w:rsidRDefault="00C76E6D">
      <w:pPr>
        <w:pStyle w:val="BodyText"/>
        <w:spacing w:before="10"/>
      </w:pPr>
    </w:p>
    <w:p w:rsidR="00C76E6D" w:rsidRDefault="00913831">
      <w:pPr>
        <w:pStyle w:val="ListParagraph"/>
        <w:numPr>
          <w:ilvl w:val="2"/>
          <w:numId w:val="47"/>
        </w:numPr>
        <w:tabs>
          <w:tab w:val="left" w:pos="1200"/>
        </w:tabs>
        <w:spacing w:before="1" w:line="276" w:lineRule="auto"/>
        <w:ind w:right="622"/>
        <w:jc w:val="both"/>
      </w:pPr>
      <w:r>
        <w:t>Schools are encouraged to review academic and non-academic policies and procedures, and available data, to identify issues or patterns that may create barriers to a safe and successful learning experience for LGBTQ students.</w:t>
      </w:r>
    </w:p>
    <w:p w:rsidR="00C76E6D" w:rsidRDefault="00C76E6D">
      <w:pPr>
        <w:pStyle w:val="BodyText"/>
        <w:spacing w:before="5"/>
        <w:rPr>
          <w:sz w:val="25"/>
        </w:rPr>
      </w:pPr>
    </w:p>
    <w:p w:rsidR="00C76E6D" w:rsidRDefault="00913831">
      <w:pPr>
        <w:pStyle w:val="BodyText"/>
        <w:spacing w:line="276" w:lineRule="auto"/>
        <w:ind w:left="480" w:right="475"/>
        <w:jc w:val="both"/>
      </w:pPr>
      <w:r>
        <w:t>Schools</w:t>
      </w:r>
      <w:r>
        <w:rPr>
          <w:spacing w:val="-12"/>
        </w:rPr>
        <w:t xml:space="preserve"> </w:t>
      </w:r>
      <w:r>
        <w:t>and</w:t>
      </w:r>
      <w:r>
        <w:rPr>
          <w:spacing w:val="-10"/>
        </w:rPr>
        <w:t xml:space="preserve"> </w:t>
      </w:r>
      <w:r>
        <w:t>their</w:t>
      </w:r>
      <w:r>
        <w:rPr>
          <w:spacing w:val="-11"/>
        </w:rPr>
        <w:t xml:space="preserve"> </w:t>
      </w:r>
      <w:r>
        <w:t>handbooks</w:t>
      </w:r>
      <w:r>
        <w:rPr>
          <w:spacing w:val="-12"/>
        </w:rPr>
        <w:t xml:space="preserve"> </w:t>
      </w:r>
      <w:r>
        <w:t>ma</w:t>
      </w:r>
      <w:r>
        <w:t>y</w:t>
      </w:r>
      <w:r>
        <w:rPr>
          <w:spacing w:val="-11"/>
        </w:rPr>
        <w:t xml:space="preserve"> </w:t>
      </w:r>
      <w:r>
        <w:t>also</w:t>
      </w:r>
      <w:r>
        <w:rPr>
          <w:spacing w:val="-12"/>
        </w:rPr>
        <w:t xml:space="preserve"> </w:t>
      </w:r>
      <w:r>
        <w:t>provide</w:t>
      </w:r>
      <w:r>
        <w:rPr>
          <w:spacing w:val="-12"/>
        </w:rPr>
        <w:t xml:space="preserve"> </w:t>
      </w:r>
      <w:r>
        <w:t>targeted</w:t>
      </w:r>
      <w:r>
        <w:rPr>
          <w:spacing w:val="-13"/>
        </w:rPr>
        <w:t xml:space="preserve"> </w:t>
      </w:r>
      <w:r>
        <w:t>resources</w:t>
      </w:r>
      <w:r>
        <w:rPr>
          <w:spacing w:val="-10"/>
        </w:rPr>
        <w:t xml:space="preserve"> </w:t>
      </w:r>
      <w:r>
        <w:t>for</w:t>
      </w:r>
      <w:r>
        <w:rPr>
          <w:spacing w:val="-12"/>
        </w:rPr>
        <w:t xml:space="preserve"> </w:t>
      </w:r>
      <w:r>
        <w:t>LGBTQ+</w:t>
      </w:r>
      <w:r>
        <w:rPr>
          <w:spacing w:val="-13"/>
        </w:rPr>
        <w:t xml:space="preserve"> </w:t>
      </w:r>
      <w:r>
        <w:t>students,</w:t>
      </w:r>
      <w:r>
        <w:rPr>
          <w:spacing w:val="-11"/>
        </w:rPr>
        <w:t xml:space="preserve"> </w:t>
      </w:r>
      <w:r>
        <w:t>including</w:t>
      </w:r>
      <w:r>
        <w:rPr>
          <w:spacing w:val="-10"/>
        </w:rPr>
        <w:t xml:space="preserve"> </w:t>
      </w:r>
      <w:r>
        <w:t>(but</w:t>
      </w:r>
      <w:r>
        <w:rPr>
          <w:spacing w:val="-11"/>
        </w:rPr>
        <w:t xml:space="preserve"> </w:t>
      </w:r>
      <w:r>
        <w:t>not limited to) local nonprofit chapters like</w:t>
      </w:r>
      <w:hyperlink r:id="rId181">
        <w:r>
          <w:rPr>
            <w:u w:val="single"/>
          </w:rPr>
          <w:t xml:space="preserve"> </w:t>
        </w:r>
      </w:hyperlink>
      <w:hyperlink r:id="rId182">
        <w:r>
          <w:rPr>
            <w:u w:val="single"/>
          </w:rPr>
          <w:t>PFLAG</w:t>
        </w:r>
        <w:r>
          <w:t xml:space="preserve"> </w:t>
        </w:r>
      </w:hyperlink>
      <w:r>
        <w:t>and the</w:t>
      </w:r>
      <w:hyperlink r:id="rId183">
        <w:r>
          <w:rPr>
            <w:u w:val="single"/>
          </w:rPr>
          <w:t xml:space="preserve"> AGLY network</w:t>
        </w:r>
        <w:r>
          <w:t xml:space="preserve">; </w:t>
        </w:r>
      </w:hyperlink>
      <w:r>
        <w:t xml:space="preserve">free mental health resources like </w:t>
      </w:r>
      <w:hyperlink r:id="rId184">
        <w:r>
          <w:rPr>
            <w:u w:val="single"/>
          </w:rPr>
          <w:t>Trans Lifeline</w:t>
        </w:r>
        <w:r>
          <w:t>;</w:t>
        </w:r>
      </w:hyperlink>
      <w:r>
        <w:t xml:space="preserve"> and community-building opportunities including</w:t>
      </w:r>
      <w:hyperlink r:id="rId185">
        <w:r>
          <w:rPr>
            <w:u w:val="single"/>
          </w:rPr>
          <w:t xml:space="preserve"> </w:t>
        </w:r>
      </w:hyperlink>
      <w:hyperlink r:id="rId186">
        <w:r>
          <w:rPr>
            <w:u w:val="single"/>
          </w:rPr>
          <w:t>Out Now</w:t>
        </w:r>
      </w:hyperlink>
      <w:r>
        <w:rPr>
          <w:u w:val="single"/>
        </w:rPr>
        <w:t xml:space="preserve">, </w:t>
      </w:r>
      <w:hyperlink r:id="rId187">
        <w:r>
          <w:rPr>
            <w:u w:val="single"/>
          </w:rPr>
          <w:t>OUT MetroWest</w:t>
        </w:r>
        <w:r>
          <w:t>,</w:t>
        </w:r>
      </w:hyperlink>
      <w:r>
        <w:t xml:space="preserve"> and the </w:t>
      </w:r>
      <w:hyperlink r:id="rId188">
        <w:r>
          <w:rPr>
            <w:u w:val="single"/>
          </w:rPr>
          <w:t>Massachusetts GSA Leadership Council</w:t>
        </w:r>
        <w:r>
          <w:t>.</w:t>
        </w:r>
      </w:hyperlink>
      <w:r>
        <w:t xml:space="preserve"> Additional resources are available on the</w:t>
      </w:r>
      <w:hyperlink r:id="rId189">
        <w:r>
          <w:rPr>
            <w:u w:val="single"/>
          </w:rPr>
          <w:t xml:space="preserve"> </w:t>
        </w:r>
      </w:hyperlink>
      <w:hyperlink r:id="rId190">
        <w:r>
          <w:rPr>
            <w:u w:val="single"/>
          </w:rPr>
          <w:t>MA Commission on</w:t>
        </w:r>
      </w:hyperlink>
      <w:r>
        <w:t xml:space="preserve"> </w:t>
      </w:r>
      <w:hyperlink r:id="rId191">
        <w:r>
          <w:rPr>
            <w:u w:val="single"/>
          </w:rPr>
          <w:t>LGBTQ Youth’s website</w:t>
        </w:r>
        <w:r>
          <w:t>.</w:t>
        </w:r>
      </w:hyperlink>
    </w:p>
    <w:p w:rsidR="00C76E6D" w:rsidRDefault="00C76E6D">
      <w:pPr>
        <w:spacing w:line="276" w:lineRule="auto"/>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3"/>
        <w:rPr>
          <w:sz w:val="18"/>
        </w:rPr>
      </w:pPr>
    </w:p>
    <w:p w:rsidR="00C76E6D" w:rsidRDefault="00913831">
      <w:pPr>
        <w:pStyle w:val="Heading5"/>
        <w:numPr>
          <w:ilvl w:val="0"/>
          <w:numId w:val="47"/>
        </w:numPr>
        <w:tabs>
          <w:tab w:val="left" w:pos="748"/>
        </w:tabs>
        <w:spacing w:before="52"/>
        <w:ind w:left="747" w:hanging="270"/>
      </w:pPr>
      <w:r>
        <w:pict>
          <v:shape id="docshape262" o:spid="_x0000_s1169" style="position:absolute;left:0;text-align:left;margin-left:1in;margin-top:20.15pt;width:466.3pt;height:.1pt;z-index:-15687680;mso-wrap-distance-left:0;mso-wrap-distance-right:0;mso-position-horizontal-relative:page" coordorigin="1440,403" coordsize="9326,0" path="m1440,403r9326,e" filled="f" strokeweight=".40958mm">
            <v:path arrowok="t"/>
            <w10:wrap type="topAndBottom" anchorx="page"/>
          </v:shape>
        </w:pict>
      </w:r>
      <w:bookmarkStart w:id="152" w:name="D._Conclusion"/>
      <w:bookmarkEnd w:id="152"/>
      <w:r>
        <w:rPr>
          <w:spacing w:val="-2"/>
        </w:rPr>
        <w:t>Conclusion</w:t>
      </w:r>
    </w:p>
    <w:p w:rsidR="00C76E6D" w:rsidRDefault="00C76E6D">
      <w:pPr>
        <w:pStyle w:val="BodyText"/>
        <w:spacing w:before="6"/>
        <w:rPr>
          <w:b/>
          <w:sz w:val="32"/>
        </w:rPr>
      </w:pPr>
    </w:p>
    <w:p w:rsidR="00C76E6D" w:rsidRDefault="00913831">
      <w:pPr>
        <w:pStyle w:val="BodyText"/>
        <w:spacing w:line="276" w:lineRule="auto"/>
        <w:ind w:left="478" w:right="475" w:firstLine="1"/>
        <w:jc w:val="both"/>
      </w:pPr>
      <w:r>
        <w:t>Massachusetts is the only state in which the Department of Education sponsors a program for LGBTQ+ students.</w:t>
      </w:r>
      <w:r>
        <w:rPr>
          <w:spacing w:val="-13"/>
        </w:rPr>
        <w:t xml:space="preserve"> </w:t>
      </w:r>
      <w:r>
        <w:t>Despite</w:t>
      </w:r>
      <w:r>
        <w:rPr>
          <w:spacing w:val="-12"/>
        </w:rPr>
        <w:t xml:space="preserve"> </w:t>
      </w:r>
      <w:r>
        <w:t>this</w:t>
      </w:r>
      <w:r>
        <w:rPr>
          <w:spacing w:val="-13"/>
        </w:rPr>
        <w:t xml:space="preserve"> </w:t>
      </w:r>
      <w:r>
        <w:t>one-of-a-kind</w:t>
      </w:r>
      <w:r>
        <w:rPr>
          <w:spacing w:val="-12"/>
        </w:rPr>
        <w:t xml:space="preserve"> </w:t>
      </w:r>
      <w:r>
        <w:t>agency</w:t>
      </w:r>
      <w:r>
        <w:rPr>
          <w:spacing w:val="-13"/>
        </w:rPr>
        <w:t xml:space="preserve"> </w:t>
      </w:r>
      <w:r>
        <w:t>resource,</w:t>
      </w:r>
      <w:r>
        <w:rPr>
          <w:spacing w:val="-12"/>
        </w:rPr>
        <w:t xml:space="preserve"> </w:t>
      </w:r>
      <w:r>
        <w:t>relatively</w:t>
      </w:r>
      <w:r>
        <w:rPr>
          <w:spacing w:val="-13"/>
        </w:rPr>
        <w:t xml:space="preserve"> </w:t>
      </w:r>
      <w:r>
        <w:t>inclusive</w:t>
      </w:r>
      <w:r>
        <w:rPr>
          <w:spacing w:val="-12"/>
        </w:rPr>
        <w:t xml:space="preserve"> </w:t>
      </w:r>
      <w:r>
        <w:t>public</w:t>
      </w:r>
      <w:r>
        <w:rPr>
          <w:spacing w:val="-12"/>
        </w:rPr>
        <w:t xml:space="preserve"> </w:t>
      </w:r>
      <w:r>
        <w:t>policy,</w:t>
      </w:r>
      <w:r>
        <w:rPr>
          <w:spacing w:val="-13"/>
        </w:rPr>
        <w:t xml:space="preserve"> </w:t>
      </w:r>
      <w:r>
        <w:t>and</w:t>
      </w:r>
      <w:r>
        <w:rPr>
          <w:spacing w:val="-12"/>
        </w:rPr>
        <w:t xml:space="preserve"> </w:t>
      </w:r>
      <w:r>
        <w:t>comprehensive guidance on LGBTQ+ inclusion published by DESE an</w:t>
      </w:r>
      <w:r>
        <w:t>d SSP, most schools are still not implementing best practices</w:t>
      </w:r>
      <w:r>
        <w:rPr>
          <w:spacing w:val="-10"/>
        </w:rPr>
        <w:t xml:space="preserve"> </w:t>
      </w:r>
      <w:r>
        <w:t>for</w:t>
      </w:r>
      <w:r>
        <w:rPr>
          <w:spacing w:val="-9"/>
        </w:rPr>
        <w:t xml:space="preserve"> </w:t>
      </w:r>
      <w:r>
        <w:t>supporting</w:t>
      </w:r>
      <w:r>
        <w:rPr>
          <w:spacing w:val="-9"/>
        </w:rPr>
        <w:t xml:space="preserve"> </w:t>
      </w:r>
      <w:r>
        <w:t>their</w:t>
      </w:r>
      <w:r>
        <w:rPr>
          <w:spacing w:val="-10"/>
        </w:rPr>
        <w:t xml:space="preserve"> </w:t>
      </w:r>
      <w:r>
        <w:t>LGBTQ+</w:t>
      </w:r>
      <w:r>
        <w:rPr>
          <w:spacing w:val="-10"/>
        </w:rPr>
        <w:t xml:space="preserve"> </w:t>
      </w:r>
      <w:r>
        <w:t>students</w:t>
      </w:r>
      <w:r>
        <w:rPr>
          <w:spacing w:val="-10"/>
        </w:rPr>
        <w:t xml:space="preserve"> </w:t>
      </w:r>
      <w:r>
        <w:t>–</w:t>
      </w:r>
      <w:r>
        <w:rPr>
          <w:spacing w:val="-11"/>
        </w:rPr>
        <w:t xml:space="preserve"> </w:t>
      </w:r>
      <w:r>
        <w:t>even</w:t>
      </w:r>
      <w:r>
        <w:rPr>
          <w:spacing w:val="-10"/>
        </w:rPr>
        <w:t xml:space="preserve"> </w:t>
      </w:r>
      <w:r>
        <w:t>ten</w:t>
      </w:r>
      <w:r>
        <w:rPr>
          <w:spacing w:val="-10"/>
        </w:rPr>
        <w:t xml:space="preserve"> </w:t>
      </w:r>
      <w:r>
        <w:t>years</w:t>
      </w:r>
      <w:r>
        <w:rPr>
          <w:spacing w:val="-10"/>
        </w:rPr>
        <w:t xml:space="preserve"> </w:t>
      </w:r>
      <w:r>
        <w:t>after</w:t>
      </w:r>
      <w:r>
        <w:rPr>
          <w:spacing w:val="-10"/>
        </w:rPr>
        <w:t xml:space="preserve"> </w:t>
      </w:r>
      <w:r>
        <w:t>DESE</w:t>
      </w:r>
      <w:r>
        <w:rPr>
          <w:spacing w:val="-11"/>
        </w:rPr>
        <w:t xml:space="preserve"> </w:t>
      </w:r>
      <w:r>
        <w:t>distributed</w:t>
      </w:r>
      <w:r>
        <w:rPr>
          <w:spacing w:val="-11"/>
        </w:rPr>
        <w:t xml:space="preserve"> </w:t>
      </w:r>
      <w:r>
        <w:t>its</w:t>
      </w:r>
      <w:r>
        <w:rPr>
          <w:spacing w:val="-8"/>
        </w:rPr>
        <w:t xml:space="preserve"> </w:t>
      </w:r>
      <w:r>
        <w:t>guidance</w:t>
      </w:r>
      <w:r>
        <w:rPr>
          <w:spacing w:val="-9"/>
        </w:rPr>
        <w:t xml:space="preserve"> </w:t>
      </w:r>
      <w:r>
        <w:t>on</w:t>
      </w:r>
      <w:r>
        <w:rPr>
          <w:spacing w:val="-10"/>
        </w:rPr>
        <w:t xml:space="preserve"> </w:t>
      </w:r>
      <w:r>
        <w:t>the revised student anti-discrimination law.</w:t>
      </w:r>
    </w:p>
    <w:p w:rsidR="00C76E6D" w:rsidRDefault="00C76E6D">
      <w:pPr>
        <w:pStyle w:val="BodyText"/>
        <w:spacing w:before="9"/>
        <w:rPr>
          <w:sz w:val="19"/>
        </w:rPr>
      </w:pPr>
    </w:p>
    <w:p w:rsidR="00C76E6D" w:rsidRDefault="00913831">
      <w:pPr>
        <w:pStyle w:val="BodyText"/>
        <w:spacing w:before="1" w:line="276" w:lineRule="auto"/>
        <w:ind w:left="480" w:right="475" w:hanging="1"/>
        <w:jc w:val="both"/>
      </w:pPr>
      <w:r>
        <w:t>Only</w:t>
      </w:r>
      <w:r>
        <w:rPr>
          <w:spacing w:val="-5"/>
        </w:rPr>
        <w:t xml:space="preserve"> </w:t>
      </w:r>
      <w:r>
        <w:t>a</w:t>
      </w:r>
      <w:r>
        <w:rPr>
          <w:spacing w:val="-5"/>
        </w:rPr>
        <w:t xml:space="preserve"> </w:t>
      </w:r>
      <w:r>
        <w:t>quarter</w:t>
      </w:r>
      <w:r>
        <w:rPr>
          <w:spacing w:val="-6"/>
        </w:rPr>
        <w:t xml:space="preserve"> </w:t>
      </w:r>
      <w:r>
        <w:t>of</w:t>
      </w:r>
      <w:r>
        <w:rPr>
          <w:spacing w:val="-5"/>
        </w:rPr>
        <w:t xml:space="preserve"> </w:t>
      </w:r>
      <w:r>
        <w:t>Massachusetts</w:t>
      </w:r>
      <w:r>
        <w:rPr>
          <w:spacing w:val="-4"/>
        </w:rPr>
        <w:t xml:space="preserve"> </w:t>
      </w:r>
      <w:r>
        <w:t>public</w:t>
      </w:r>
      <w:r>
        <w:rPr>
          <w:spacing w:val="-3"/>
        </w:rPr>
        <w:t xml:space="preserve"> </w:t>
      </w:r>
      <w:r>
        <w:t>schools</w:t>
      </w:r>
      <w:r>
        <w:rPr>
          <w:spacing w:val="-6"/>
        </w:rPr>
        <w:t xml:space="preserve"> </w:t>
      </w:r>
      <w:r>
        <w:t>explicitly</w:t>
      </w:r>
      <w:r>
        <w:rPr>
          <w:spacing w:val="-6"/>
        </w:rPr>
        <w:t xml:space="preserve"> </w:t>
      </w:r>
      <w:r>
        <w:t>outline</w:t>
      </w:r>
      <w:r>
        <w:rPr>
          <w:spacing w:val="-4"/>
        </w:rPr>
        <w:t xml:space="preserve"> </w:t>
      </w:r>
      <w:r>
        <w:t>protections</w:t>
      </w:r>
      <w:r>
        <w:rPr>
          <w:spacing w:val="-5"/>
        </w:rPr>
        <w:t xml:space="preserve"> </w:t>
      </w:r>
      <w:r>
        <w:t>for</w:t>
      </w:r>
      <w:r>
        <w:rPr>
          <w:spacing w:val="-4"/>
        </w:rPr>
        <w:t xml:space="preserve"> </w:t>
      </w:r>
      <w:r>
        <w:t>LGBTQ+</w:t>
      </w:r>
      <w:r>
        <w:rPr>
          <w:spacing w:val="-5"/>
        </w:rPr>
        <w:t xml:space="preserve"> </w:t>
      </w:r>
      <w:r>
        <w:t>students</w:t>
      </w:r>
      <w:r>
        <w:rPr>
          <w:spacing w:val="-4"/>
        </w:rPr>
        <w:t xml:space="preserve"> </w:t>
      </w:r>
      <w:r>
        <w:t>in</w:t>
      </w:r>
      <w:r>
        <w:rPr>
          <w:spacing w:val="-4"/>
        </w:rPr>
        <w:t xml:space="preserve"> </w:t>
      </w:r>
      <w:r>
        <w:t>their handbooks. Transgender students are the most underrepresented and underserved: they often lack access to appropriate basic facilities at school, such as public restrooms. Initial results also sugg</w:t>
      </w:r>
      <w:r>
        <w:t>est that schools with inclusive policies are typically relegated to higher-income suburban districts, while lower- income and sparsely-staffed schools may publish less comprehensive handbooks. Existing inequities in education funding and staffing are ampli</w:t>
      </w:r>
      <w:r>
        <w:t>fied for LGBTQ+ students throughout the Commonwealth.</w:t>
      </w:r>
    </w:p>
    <w:p w:rsidR="00C76E6D" w:rsidRDefault="00C76E6D">
      <w:pPr>
        <w:pStyle w:val="BodyText"/>
        <w:spacing w:before="6"/>
        <w:rPr>
          <w:sz w:val="19"/>
        </w:rPr>
      </w:pPr>
    </w:p>
    <w:p w:rsidR="00C76E6D" w:rsidRDefault="00913831">
      <w:pPr>
        <w:pStyle w:val="BodyText"/>
        <w:spacing w:line="276" w:lineRule="auto"/>
        <w:ind w:left="479" w:right="474"/>
        <w:jc w:val="both"/>
      </w:pPr>
      <w:r>
        <w:t>As Massachusetts’ student non-discrimination act celebrates its tenth anniversary of transgender protections,</w:t>
      </w:r>
      <w:r>
        <w:rPr>
          <w:spacing w:val="-4"/>
        </w:rPr>
        <w:t xml:space="preserve"> </w:t>
      </w:r>
      <w:r>
        <w:t>state</w:t>
      </w:r>
      <w:r>
        <w:rPr>
          <w:spacing w:val="-3"/>
        </w:rPr>
        <w:t xml:space="preserve"> </w:t>
      </w:r>
      <w:r>
        <w:t>policymakers</w:t>
      </w:r>
      <w:r>
        <w:rPr>
          <w:spacing w:val="-3"/>
        </w:rPr>
        <w:t xml:space="preserve"> </w:t>
      </w:r>
      <w:r>
        <w:t>and</w:t>
      </w:r>
      <w:r>
        <w:rPr>
          <w:spacing w:val="-3"/>
        </w:rPr>
        <w:t xml:space="preserve"> </w:t>
      </w:r>
      <w:r>
        <w:t>implementing</w:t>
      </w:r>
      <w:r>
        <w:rPr>
          <w:spacing w:val="-3"/>
        </w:rPr>
        <w:t xml:space="preserve"> </w:t>
      </w:r>
      <w:r>
        <w:t>agencies</w:t>
      </w:r>
      <w:r>
        <w:rPr>
          <w:spacing w:val="-2"/>
        </w:rPr>
        <w:t xml:space="preserve"> </w:t>
      </w:r>
      <w:r>
        <w:t>like</w:t>
      </w:r>
      <w:r>
        <w:rPr>
          <w:spacing w:val="-3"/>
        </w:rPr>
        <w:t xml:space="preserve"> </w:t>
      </w:r>
      <w:r>
        <w:t>DESE</w:t>
      </w:r>
      <w:r>
        <w:rPr>
          <w:spacing w:val="-4"/>
        </w:rPr>
        <w:t xml:space="preserve"> </w:t>
      </w:r>
      <w:r>
        <w:t>have</w:t>
      </w:r>
      <w:r>
        <w:rPr>
          <w:spacing w:val="-3"/>
        </w:rPr>
        <w:t xml:space="preserve"> </w:t>
      </w:r>
      <w:r>
        <w:t>an</w:t>
      </w:r>
      <w:r>
        <w:rPr>
          <w:spacing w:val="-3"/>
        </w:rPr>
        <w:t xml:space="preserve"> </w:t>
      </w:r>
      <w:r>
        <w:t>ideal</w:t>
      </w:r>
      <w:r>
        <w:rPr>
          <w:spacing w:val="-4"/>
        </w:rPr>
        <w:t xml:space="preserve"> </w:t>
      </w:r>
      <w:r>
        <w:t>opportunity</w:t>
      </w:r>
      <w:r>
        <w:rPr>
          <w:spacing w:val="-4"/>
        </w:rPr>
        <w:t xml:space="preserve"> </w:t>
      </w:r>
      <w:r>
        <w:t>to</w:t>
      </w:r>
      <w:r>
        <w:rPr>
          <w:spacing w:val="-3"/>
        </w:rPr>
        <w:t xml:space="preserve"> </w:t>
      </w:r>
      <w:r>
        <w:t>revisit</w:t>
      </w:r>
      <w:r>
        <w:t xml:space="preserve"> published guidance and existing policy for supporting LGBTQ+ students. The reaffirmation of guidelines for safe and supportive schools locally will also be well-received by Massachusetts educators, many of whom</w:t>
      </w:r>
      <w:r>
        <w:rPr>
          <w:spacing w:val="-5"/>
        </w:rPr>
        <w:t xml:space="preserve"> </w:t>
      </w:r>
      <w:r>
        <w:t>are</w:t>
      </w:r>
      <w:r>
        <w:rPr>
          <w:spacing w:val="-4"/>
        </w:rPr>
        <w:t xml:space="preserve"> </w:t>
      </w:r>
      <w:r>
        <w:t>troubled</w:t>
      </w:r>
      <w:r>
        <w:rPr>
          <w:spacing w:val="-4"/>
        </w:rPr>
        <w:t xml:space="preserve"> </w:t>
      </w:r>
      <w:r>
        <w:t>by</w:t>
      </w:r>
      <w:r>
        <w:rPr>
          <w:spacing w:val="-4"/>
        </w:rPr>
        <w:t xml:space="preserve"> </w:t>
      </w:r>
      <w:r>
        <w:t>anti-LGBTQ+</w:t>
      </w:r>
      <w:r>
        <w:rPr>
          <w:spacing w:val="-5"/>
        </w:rPr>
        <w:t xml:space="preserve"> </w:t>
      </w:r>
      <w:r>
        <w:t>legislation</w:t>
      </w:r>
      <w:r>
        <w:rPr>
          <w:spacing w:val="-5"/>
        </w:rPr>
        <w:t xml:space="preserve"> </w:t>
      </w:r>
      <w:r>
        <w:t>flar</w:t>
      </w:r>
      <w:r>
        <w:t>ing</w:t>
      </w:r>
      <w:r>
        <w:rPr>
          <w:spacing w:val="-3"/>
        </w:rPr>
        <w:t xml:space="preserve"> </w:t>
      </w:r>
      <w:r>
        <w:t>up</w:t>
      </w:r>
      <w:r>
        <w:rPr>
          <w:spacing w:val="-5"/>
        </w:rPr>
        <w:t xml:space="preserve"> </w:t>
      </w:r>
      <w:r>
        <w:t>across</w:t>
      </w:r>
      <w:r>
        <w:rPr>
          <w:spacing w:val="-5"/>
        </w:rPr>
        <w:t xml:space="preserve"> </w:t>
      </w:r>
      <w:r>
        <w:t>the</w:t>
      </w:r>
      <w:r>
        <w:rPr>
          <w:spacing w:val="-5"/>
        </w:rPr>
        <w:t xml:space="preserve"> </w:t>
      </w:r>
      <w:r>
        <w:t>country.</w:t>
      </w:r>
      <w:r>
        <w:rPr>
          <w:spacing w:val="-4"/>
        </w:rPr>
        <w:t xml:space="preserve"> </w:t>
      </w:r>
      <w:r>
        <w:t>The</w:t>
      </w:r>
      <w:r>
        <w:rPr>
          <w:spacing w:val="-5"/>
        </w:rPr>
        <w:t xml:space="preserve"> </w:t>
      </w:r>
      <w:r>
        <w:t>tenth</w:t>
      </w:r>
      <w:r>
        <w:rPr>
          <w:spacing w:val="-4"/>
        </w:rPr>
        <w:t xml:space="preserve"> </w:t>
      </w:r>
      <w:r>
        <w:t>anniversary</w:t>
      </w:r>
      <w:r>
        <w:rPr>
          <w:spacing w:val="-5"/>
        </w:rPr>
        <w:t xml:space="preserve"> </w:t>
      </w:r>
      <w:r>
        <w:t>of</w:t>
      </w:r>
      <w:r>
        <w:rPr>
          <w:spacing w:val="-5"/>
        </w:rPr>
        <w:t xml:space="preserve"> </w:t>
      </w:r>
      <w:r>
        <w:t>the student</w:t>
      </w:r>
      <w:r>
        <w:rPr>
          <w:spacing w:val="-2"/>
        </w:rPr>
        <w:t xml:space="preserve"> </w:t>
      </w:r>
      <w:r>
        <w:t>non-discrimination</w:t>
      </w:r>
      <w:r>
        <w:rPr>
          <w:spacing w:val="-2"/>
        </w:rPr>
        <w:t xml:space="preserve"> </w:t>
      </w:r>
      <w:r>
        <w:t>act,</w:t>
      </w:r>
      <w:r>
        <w:rPr>
          <w:spacing w:val="-1"/>
        </w:rPr>
        <w:t xml:space="preserve"> </w:t>
      </w:r>
      <w:r>
        <w:t>combined</w:t>
      </w:r>
      <w:r>
        <w:rPr>
          <w:spacing w:val="-3"/>
        </w:rPr>
        <w:t xml:space="preserve"> </w:t>
      </w:r>
      <w:r>
        <w:t>with</w:t>
      </w:r>
      <w:r>
        <w:rPr>
          <w:spacing w:val="-2"/>
        </w:rPr>
        <w:t xml:space="preserve"> </w:t>
      </w:r>
      <w:r>
        <w:t>education</w:t>
      </w:r>
      <w:r>
        <w:rPr>
          <w:spacing w:val="-3"/>
        </w:rPr>
        <w:t xml:space="preserve"> </w:t>
      </w:r>
      <w:r>
        <w:t>policy</w:t>
      </w:r>
      <w:r>
        <w:rPr>
          <w:spacing w:val="-2"/>
        </w:rPr>
        <w:t xml:space="preserve"> </w:t>
      </w:r>
      <w:r>
        <w:t>battles</w:t>
      </w:r>
      <w:r>
        <w:rPr>
          <w:spacing w:val="-1"/>
        </w:rPr>
        <w:t xml:space="preserve"> </w:t>
      </w:r>
      <w:r>
        <w:t>like Florida’s</w:t>
      </w:r>
      <w:r>
        <w:rPr>
          <w:spacing w:val="-2"/>
        </w:rPr>
        <w:t xml:space="preserve"> </w:t>
      </w:r>
      <w:r>
        <w:t>“Don’t</w:t>
      </w:r>
      <w:r>
        <w:rPr>
          <w:spacing w:val="-2"/>
        </w:rPr>
        <w:t xml:space="preserve"> </w:t>
      </w:r>
      <w:r>
        <w:t>Say</w:t>
      </w:r>
      <w:r>
        <w:rPr>
          <w:spacing w:val="-3"/>
        </w:rPr>
        <w:t xml:space="preserve"> </w:t>
      </w:r>
      <w:r>
        <w:t>Gay”</w:t>
      </w:r>
      <w:r>
        <w:rPr>
          <w:spacing w:val="-1"/>
        </w:rPr>
        <w:t xml:space="preserve"> </w:t>
      </w:r>
      <w:r>
        <w:t>bill and hundreds of other anti-LGBTQ efforts, create an ideal focusing event for the re-implementation of LGBTQ+ inclusive instruction.</w:t>
      </w:r>
    </w:p>
    <w:p w:rsidR="00C76E6D" w:rsidRDefault="00C76E6D">
      <w:pPr>
        <w:pStyle w:val="BodyText"/>
        <w:spacing w:before="5"/>
        <w:rPr>
          <w:sz w:val="25"/>
        </w:rPr>
      </w:pPr>
    </w:p>
    <w:p w:rsidR="00C76E6D" w:rsidRDefault="00913831">
      <w:pPr>
        <w:pStyle w:val="BodyText"/>
        <w:spacing w:line="276" w:lineRule="auto"/>
        <w:ind w:left="479" w:right="474"/>
        <w:jc w:val="both"/>
      </w:pPr>
      <w:r>
        <w:t>Simply issuing</w:t>
      </w:r>
      <w:r>
        <w:rPr>
          <w:spacing w:val="-1"/>
        </w:rPr>
        <w:t xml:space="preserve"> </w:t>
      </w:r>
      <w:r>
        <w:t>a memorandum</w:t>
      </w:r>
      <w:r>
        <w:rPr>
          <w:spacing w:val="-1"/>
        </w:rPr>
        <w:t xml:space="preserve"> </w:t>
      </w:r>
      <w:r>
        <w:t>on</w:t>
      </w:r>
      <w:r>
        <w:rPr>
          <w:spacing w:val="-1"/>
        </w:rPr>
        <w:t xml:space="preserve"> </w:t>
      </w:r>
      <w:r>
        <w:t>LGBTQ+</w:t>
      </w:r>
      <w:r>
        <w:rPr>
          <w:spacing w:val="-1"/>
        </w:rPr>
        <w:t xml:space="preserve"> </w:t>
      </w:r>
      <w:r>
        <w:t>inclusive</w:t>
      </w:r>
      <w:r>
        <w:rPr>
          <w:spacing w:val="-1"/>
        </w:rPr>
        <w:t xml:space="preserve"> </w:t>
      </w:r>
      <w:r>
        <w:t>instruction and</w:t>
      </w:r>
      <w:r>
        <w:rPr>
          <w:spacing w:val="-2"/>
        </w:rPr>
        <w:t xml:space="preserve"> </w:t>
      </w:r>
      <w:r>
        <w:t>providing model handbook</w:t>
      </w:r>
      <w:r>
        <w:rPr>
          <w:spacing w:val="-2"/>
        </w:rPr>
        <w:t xml:space="preserve"> </w:t>
      </w:r>
      <w:r>
        <w:t>language is by no means an an</w:t>
      </w:r>
      <w:r>
        <w:t xml:space="preserve">tidote for discrimination, but it is certainly an effective step in the right direction. Ensuring that Massachusetts PK-12 public school handbooks contain up-to-date anti-discrimination policies and implementation guidance from DESE will provide students, </w:t>
      </w:r>
      <w:r>
        <w:t>their caregivers, and their educators</w:t>
      </w:r>
      <w:r>
        <w:rPr>
          <w:spacing w:val="-9"/>
        </w:rPr>
        <w:t xml:space="preserve"> </w:t>
      </w:r>
      <w:r>
        <w:t>alike</w:t>
      </w:r>
      <w:r>
        <w:rPr>
          <w:spacing w:val="-9"/>
        </w:rPr>
        <w:t xml:space="preserve"> </w:t>
      </w:r>
      <w:r>
        <w:t>with</w:t>
      </w:r>
      <w:r>
        <w:rPr>
          <w:spacing w:val="-8"/>
        </w:rPr>
        <w:t xml:space="preserve"> </w:t>
      </w:r>
      <w:r>
        <w:t>critical</w:t>
      </w:r>
      <w:r>
        <w:rPr>
          <w:spacing w:val="-9"/>
        </w:rPr>
        <w:t xml:space="preserve"> </w:t>
      </w:r>
      <w:r>
        <w:t>knowledge</w:t>
      </w:r>
      <w:r>
        <w:rPr>
          <w:spacing w:val="-7"/>
        </w:rPr>
        <w:t xml:space="preserve"> </w:t>
      </w:r>
      <w:r>
        <w:t>to</w:t>
      </w:r>
      <w:r>
        <w:rPr>
          <w:spacing w:val="-8"/>
        </w:rPr>
        <w:t xml:space="preserve"> </w:t>
      </w:r>
      <w:r>
        <w:t>advocate</w:t>
      </w:r>
      <w:r>
        <w:rPr>
          <w:spacing w:val="-9"/>
        </w:rPr>
        <w:t xml:space="preserve"> </w:t>
      </w:r>
      <w:r>
        <w:t>for</w:t>
      </w:r>
      <w:r>
        <w:rPr>
          <w:spacing w:val="-9"/>
        </w:rPr>
        <w:t xml:space="preserve"> </w:t>
      </w:r>
      <w:r>
        <w:t>LGBTQ+</w:t>
      </w:r>
      <w:r>
        <w:rPr>
          <w:spacing w:val="-9"/>
        </w:rPr>
        <w:t xml:space="preserve"> </w:t>
      </w:r>
      <w:r>
        <w:t>inclusive</w:t>
      </w:r>
      <w:r>
        <w:rPr>
          <w:spacing w:val="-9"/>
        </w:rPr>
        <w:t xml:space="preserve"> </w:t>
      </w:r>
      <w:r>
        <w:t>schools</w:t>
      </w:r>
      <w:r>
        <w:rPr>
          <w:spacing w:val="-9"/>
        </w:rPr>
        <w:t xml:space="preserve"> </w:t>
      </w:r>
      <w:r>
        <w:t>and</w:t>
      </w:r>
      <w:r>
        <w:rPr>
          <w:spacing w:val="-8"/>
        </w:rPr>
        <w:t xml:space="preserve"> </w:t>
      </w:r>
      <w:r>
        <w:t>hold</w:t>
      </w:r>
      <w:r>
        <w:rPr>
          <w:spacing w:val="-8"/>
        </w:rPr>
        <w:t xml:space="preserve"> </w:t>
      </w:r>
      <w:r>
        <w:t>their</w:t>
      </w:r>
      <w:r>
        <w:rPr>
          <w:spacing w:val="-9"/>
        </w:rPr>
        <w:t xml:space="preserve"> </w:t>
      </w:r>
      <w:r>
        <w:t>education officials</w:t>
      </w:r>
      <w:r>
        <w:rPr>
          <w:spacing w:val="-10"/>
        </w:rPr>
        <w:t xml:space="preserve"> </w:t>
      </w:r>
      <w:r>
        <w:t>accountable.</w:t>
      </w:r>
      <w:r>
        <w:rPr>
          <w:spacing w:val="-12"/>
        </w:rPr>
        <w:t xml:space="preserve"> </w:t>
      </w:r>
      <w:r>
        <w:t>When</w:t>
      </w:r>
      <w:r>
        <w:rPr>
          <w:spacing w:val="-11"/>
        </w:rPr>
        <w:t xml:space="preserve"> </w:t>
      </w:r>
      <w:r>
        <w:t>students</w:t>
      </w:r>
      <w:r>
        <w:rPr>
          <w:spacing w:val="-11"/>
        </w:rPr>
        <w:t xml:space="preserve"> </w:t>
      </w:r>
      <w:r>
        <w:t>firmly</w:t>
      </w:r>
      <w:r>
        <w:rPr>
          <w:spacing w:val="-11"/>
        </w:rPr>
        <w:t xml:space="preserve"> </w:t>
      </w:r>
      <w:r>
        <w:t>understand</w:t>
      </w:r>
      <w:r>
        <w:rPr>
          <w:spacing w:val="-10"/>
        </w:rPr>
        <w:t xml:space="preserve"> </w:t>
      </w:r>
      <w:r>
        <w:t>their</w:t>
      </w:r>
      <w:r>
        <w:rPr>
          <w:spacing w:val="-10"/>
        </w:rPr>
        <w:t xml:space="preserve"> </w:t>
      </w:r>
      <w:r>
        <w:t>rights</w:t>
      </w:r>
      <w:r>
        <w:rPr>
          <w:spacing w:val="-11"/>
        </w:rPr>
        <w:t xml:space="preserve"> </w:t>
      </w:r>
      <w:r>
        <w:t>and</w:t>
      </w:r>
      <w:r>
        <w:rPr>
          <w:spacing w:val="-11"/>
        </w:rPr>
        <w:t xml:space="preserve"> </w:t>
      </w:r>
      <w:r>
        <w:t>responsibilities</w:t>
      </w:r>
      <w:r>
        <w:rPr>
          <w:spacing w:val="-9"/>
        </w:rPr>
        <w:t xml:space="preserve"> </w:t>
      </w:r>
      <w:r>
        <w:t>at</w:t>
      </w:r>
      <w:r>
        <w:rPr>
          <w:spacing w:val="-12"/>
        </w:rPr>
        <w:t xml:space="preserve"> </w:t>
      </w:r>
      <w:r>
        <w:t>school,</w:t>
      </w:r>
      <w:r>
        <w:rPr>
          <w:spacing w:val="-11"/>
        </w:rPr>
        <w:t xml:space="preserve"> </w:t>
      </w:r>
      <w:r>
        <w:t>they</w:t>
      </w:r>
      <w:r>
        <w:rPr>
          <w:spacing w:val="-11"/>
        </w:rPr>
        <w:t xml:space="preserve"> </w:t>
      </w:r>
      <w:r>
        <w:t>are better</w:t>
      </w:r>
      <w:r>
        <w:rPr>
          <w:spacing w:val="-12"/>
        </w:rPr>
        <w:t xml:space="preserve"> </w:t>
      </w:r>
      <w:r>
        <w:t>equipped</w:t>
      </w:r>
      <w:r>
        <w:rPr>
          <w:spacing w:val="-12"/>
        </w:rPr>
        <w:t xml:space="preserve"> </w:t>
      </w:r>
      <w:r>
        <w:t>to</w:t>
      </w:r>
      <w:r>
        <w:rPr>
          <w:spacing w:val="-11"/>
        </w:rPr>
        <w:t xml:space="preserve"> </w:t>
      </w:r>
      <w:r>
        <w:t>advocate</w:t>
      </w:r>
      <w:r>
        <w:rPr>
          <w:spacing w:val="-12"/>
        </w:rPr>
        <w:t xml:space="preserve"> </w:t>
      </w:r>
      <w:r>
        <w:t>for</w:t>
      </w:r>
      <w:r>
        <w:rPr>
          <w:spacing w:val="-11"/>
        </w:rPr>
        <w:t xml:space="preserve"> </w:t>
      </w:r>
      <w:r>
        <w:t>themselves</w:t>
      </w:r>
      <w:r>
        <w:rPr>
          <w:spacing w:val="-11"/>
        </w:rPr>
        <w:t xml:space="preserve"> </w:t>
      </w:r>
      <w:r>
        <w:t>and</w:t>
      </w:r>
      <w:r>
        <w:rPr>
          <w:spacing w:val="-13"/>
        </w:rPr>
        <w:t xml:space="preserve"> </w:t>
      </w:r>
      <w:r>
        <w:t>for</w:t>
      </w:r>
      <w:r>
        <w:rPr>
          <w:spacing w:val="-10"/>
        </w:rPr>
        <w:t xml:space="preserve"> </w:t>
      </w:r>
      <w:r>
        <w:t>each</w:t>
      </w:r>
      <w:r>
        <w:rPr>
          <w:spacing w:val="-12"/>
        </w:rPr>
        <w:t xml:space="preserve"> </w:t>
      </w:r>
      <w:r>
        <w:t>other.</w:t>
      </w:r>
      <w:r>
        <w:rPr>
          <w:spacing w:val="-10"/>
        </w:rPr>
        <w:t xml:space="preserve"> </w:t>
      </w:r>
      <w:r>
        <w:t>Including</w:t>
      </w:r>
      <w:r>
        <w:rPr>
          <w:spacing w:val="-10"/>
        </w:rPr>
        <w:t xml:space="preserve"> </w:t>
      </w:r>
      <w:r>
        <w:t>specific</w:t>
      </w:r>
      <w:r>
        <w:rPr>
          <w:spacing w:val="-12"/>
        </w:rPr>
        <w:t xml:space="preserve"> </w:t>
      </w:r>
      <w:r>
        <w:t>language</w:t>
      </w:r>
      <w:r>
        <w:rPr>
          <w:spacing w:val="-12"/>
        </w:rPr>
        <w:t xml:space="preserve"> </w:t>
      </w:r>
      <w:r>
        <w:t>about</w:t>
      </w:r>
      <w:r>
        <w:rPr>
          <w:spacing w:val="-13"/>
        </w:rPr>
        <w:t xml:space="preserve"> </w:t>
      </w:r>
      <w:r>
        <w:t>LGBTQ+ inclusion in public school</w:t>
      </w:r>
      <w:r>
        <w:rPr>
          <w:spacing w:val="-1"/>
        </w:rPr>
        <w:t xml:space="preserve"> </w:t>
      </w:r>
      <w:r>
        <w:t>handbooks will</w:t>
      </w:r>
      <w:r>
        <w:rPr>
          <w:spacing w:val="-2"/>
        </w:rPr>
        <w:t xml:space="preserve"> </w:t>
      </w:r>
      <w:r>
        <w:t>ensure that LGBTQ+ students have more</w:t>
      </w:r>
      <w:r>
        <w:rPr>
          <w:spacing w:val="-1"/>
        </w:rPr>
        <w:t xml:space="preserve"> </w:t>
      </w:r>
      <w:r>
        <w:t>equal grounds</w:t>
      </w:r>
      <w:r>
        <w:rPr>
          <w:spacing w:val="-1"/>
        </w:rPr>
        <w:t xml:space="preserve"> </w:t>
      </w:r>
      <w:r>
        <w:t>to fight for the safe, supportive schools that all youth deserve.</w:t>
      </w:r>
    </w:p>
    <w:p w:rsidR="00C76E6D" w:rsidRDefault="00C76E6D">
      <w:pPr>
        <w:spacing w:line="276" w:lineRule="auto"/>
        <w:jc w:val="both"/>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11"/>
        <w:rPr>
          <w:sz w:val="13"/>
        </w:rPr>
      </w:pPr>
    </w:p>
    <w:p w:rsidR="00C76E6D" w:rsidRDefault="00913831">
      <w:pPr>
        <w:pStyle w:val="BodyText"/>
        <w:spacing w:line="20" w:lineRule="exact"/>
        <w:ind w:left="482"/>
        <w:rPr>
          <w:sz w:val="2"/>
        </w:rPr>
      </w:pPr>
      <w:r>
        <w:rPr>
          <w:sz w:val="2"/>
        </w:rPr>
      </w:r>
      <w:r>
        <w:rPr>
          <w:sz w:val="2"/>
        </w:rPr>
        <w:pict>
          <v:group id="docshapegroup263" o:spid="_x0000_s1167" style="width:470.95pt;height:1.55pt;mso-position-horizontal-relative:char;mso-position-vertical-relative:line" coordsize="9419,31">
            <v:line id="_x0000_s1168" style="position:absolute" from="0,15" to="9419,15" strokeweight="1.54pt"/>
            <w10:wrap type="none"/>
            <w10:anchorlock/>
          </v:group>
        </w:pict>
      </w:r>
    </w:p>
    <w:p w:rsidR="00C76E6D" w:rsidRDefault="00C76E6D">
      <w:pPr>
        <w:pStyle w:val="BodyText"/>
        <w:spacing w:before="3"/>
        <w:rPr>
          <w:sz w:val="19"/>
        </w:rPr>
      </w:pPr>
    </w:p>
    <w:p w:rsidR="00C76E6D" w:rsidRDefault="00913831">
      <w:pPr>
        <w:pStyle w:val="Heading4"/>
        <w:spacing w:before="52"/>
      </w:pPr>
      <w:r>
        <w:rPr>
          <w:spacing w:val="-2"/>
        </w:rPr>
        <w:t>ENDNOTES</w:t>
      </w:r>
    </w:p>
    <w:p w:rsidR="00C76E6D" w:rsidRDefault="00913831">
      <w:pPr>
        <w:pStyle w:val="BodyText"/>
        <w:spacing w:before="4"/>
        <w:rPr>
          <w:b/>
          <w:sz w:val="23"/>
        </w:rPr>
      </w:pPr>
      <w:r>
        <w:pict>
          <v:shape id="docshape264" o:spid="_x0000_s1166" style="position:absolute;margin-left:70.6pt;margin-top:15.45pt;width:470.95pt;height:.1pt;z-index:-15686656;mso-wrap-distance-left:0;mso-wrap-distance-right:0;mso-position-horizontal-relative:page" coordorigin="1412,309" coordsize="9419,0" path="m1412,309r9419,e" filled="f" strokeweight="1.54pt">
            <v:path arrowok="t"/>
            <w10:wrap type="topAndBottom" anchorx="page"/>
          </v:shape>
        </w:pict>
      </w:r>
    </w:p>
    <w:p w:rsidR="00C76E6D" w:rsidRDefault="00C76E6D">
      <w:pPr>
        <w:pStyle w:val="BodyText"/>
        <w:spacing w:before="5"/>
        <w:rPr>
          <w:b/>
          <w:sz w:val="21"/>
        </w:rPr>
      </w:pPr>
    </w:p>
    <w:p w:rsidR="00C76E6D" w:rsidRDefault="00913831">
      <w:pPr>
        <w:spacing w:line="276" w:lineRule="auto"/>
        <w:ind w:left="478" w:right="477"/>
        <w:jc w:val="both"/>
        <w:rPr>
          <w:i/>
        </w:rPr>
      </w:pPr>
      <w:r>
        <w:rPr>
          <w:i/>
        </w:rPr>
        <w:t>Acknowledgments: Cas Ford Martin, Policy Fellow, lead researcher and author of the Special Report on</w:t>
      </w:r>
      <w:r>
        <w:rPr>
          <w:i/>
        </w:rPr>
        <w:t xml:space="preserve"> LGBTQ+ Inclusive Education Policy; editing and proofreading by Massachusetts Commission on LGBTQ Youth staff</w:t>
      </w:r>
    </w:p>
    <w:p w:rsidR="00C76E6D" w:rsidRDefault="00C76E6D">
      <w:pPr>
        <w:pStyle w:val="BodyText"/>
        <w:spacing w:before="7"/>
        <w:rPr>
          <w:i/>
          <w:sz w:val="20"/>
        </w:rPr>
      </w:pPr>
    </w:p>
    <w:p w:rsidR="00C76E6D" w:rsidRDefault="00913831">
      <w:pPr>
        <w:ind w:left="480" w:right="530" w:hanging="2"/>
        <w:rPr>
          <w:sz w:val="20"/>
        </w:rPr>
      </w:pPr>
      <w:bookmarkStart w:id="153" w:name="_bookmark70"/>
      <w:bookmarkEnd w:id="153"/>
      <w:r>
        <w:rPr>
          <w:sz w:val="20"/>
          <w:vertAlign w:val="superscript"/>
        </w:rPr>
        <w:t>1</w:t>
      </w:r>
      <w:r>
        <w:rPr>
          <w:spacing w:val="-6"/>
          <w:sz w:val="20"/>
        </w:rPr>
        <w:t xml:space="preserve"> </w:t>
      </w:r>
      <w:r>
        <w:rPr>
          <w:sz w:val="20"/>
        </w:rPr>
        <w:t>Massachusetts</w:t>
      </w:r>
      <w:r>
        <w:rPr>
          <w:spacing w:val="-6"/>
          <w:sz w:val="20"/>
        </w:rPr>
        <w:t xml:space="preserve"> </w:t>
      </w:r>
      <w:r>
        <w:rPr>
          <w:sz w:val="20"/>
        </w:rPr>
        <w:t>Department</w:t>
      </w:r>
      <w:r>
        <w:rPr>
          <w:spacing w:val="-7"/>
          <w:sz w:val="20"/>
        </w:rPr>
        <w:t xml:space="preserve"> </w:t>
      </w:r>
      <w:r>
        <w:rPr>
          <w:sz w:val="20"/>
        </w:rPr>
        <w:t>of</w:t>
      </w:r>
      <w:r>
        <w:rPr>
          <w:spacing w:val="-6"/>
          <w:sz w:val="20"/>
        </w:rPr>
        <w:t xml:space="preserve"> </w:t>
      </w:r>
      <w:r>
        <w:rPr>
          <w:sz w:val="20"/>
        </w:rPr>
        <w:t>Elementary</w:t>
      </w:r>
      <w:r>
        <w:rPr>
          <w:spacing w:val="-7"/>
          <w:sz w:val="20"/>
        </w:rPr>
        <w:t xml:space="preserve"> </w:t>
      </w:r>
      <w:r>
        <w:rPr>
          <w:sz w:val="20"/>
        </w:rPr>
        <w:t>and</w:t>
      </w:r>
      <w:r>
        <w:rPr>
          <w:spacing w:val="-6"/>
          <w:sz w:val="20"/>
        </w:rPr>
        <w:t xml:space="preserve"> </w:t>
      </w:r>
      <w:r>
        <w:rPr>
          <w:sz w:val="20"/>
        </w:rPr>
        <w:t>Secondary</w:t>
      </w:r>
      <w:r>
        <w:rPr>
          <w:spacing w:val="-6"/>
          <w:sz w:val="20"/>
        </w:rPr>
        <w:t xml:space="preserve"> </w:t>
      </w:r>
      <w:r>
        <w:rPr>
          <w:sz w:val="20"/>
        </w:rPr>
        <w:t>Education,</w:t>
      </w:r>
      <w:r>
        <w:rPr>
          <w:spacing w:val="-7"/>
          <w:sz w:val="20"/>
        </w:rPr>
        <w:t xml:space="preserve"> </w:t>
      </w:r>
      <w:r>
        <w:rPr>
          <w:sz w:val="20"/>
        </w:rPr>
        <w:t>“Guidance</w:t>
      </w:r>
      <w:r>
        <w:rPr>
          <w:spacing w:val="-6"/>
          <w:sz w:val="20"/>
        </w:rPr>
        <w:t xml:space="preserve"> </w:t>
      </w:r>
      <w:r>
        <w:rPr>
          <w:sz w:val="20"/>
        </w:rPr>
        <w:t>for</w:t>
      </w:r>
      <w:r>
        <w:rPr>
          <w:spacing w:val="-7"/>
          <w:sz w:val="20"/>
        </w:rPr>
        <w:t xml:space="preserve"> </w:t>
      </w:r>
      <w:r>
        <w:rPr>
          <w:sz w:val="20"/>
        </w:rPr>
        <w:t>MA</w:t>
      </w:r>
      <w:r>
        <w:rPr>
          <w:spacing w:val="-6"/>
          <w:sz w:val="20"/>
        </w:rPr>
        <w:t xml:space="preserve"> </w:t>
      </w:r>
      <w:r>
        <w:rPr>
          <w:sz w:val="20"/>
        </w:rPr>
        <w:t>Public</w:t>
      </w:r>
      <w:r>
        <w:rPr>
          <w:spacing w:val="-6"/>
          <w:sz w:val="20"/>
        </w:rPr>
        <w:t xml:space="preserve"> </w:t>
      </w:r>
      <w:r>
        <w:rPr>
          <w:sz w:val="20"/>
        </w:rPr>
        <w:t>Schools</w:t>
      </w:r>
      <w:r>
        <w:rPr>
          <w:spacing w:val="-6"/>
          <w:sz w:val="20"/>
        </w:rPr>
        <w:t xml:space="preserve"> </w:t>
      </w:r>
      <w:r>
        <w:rPr>
          <w:sz w:val="20"/>
        </w:rPr>
        <w:t>Creating</w:t>
      </w:r>
      <w:r>
        <w:rPr>
          <w:spacing w:val="-6"/>
          <w:sz w:val="20"/>
        </w:rPr>
        <w:t xml:space="preserve"> </w:t>
      </w:r>
      <w:r>
        <w:rPr>
          <w:sz w:val="20"/>
        </w:rPr>
        <w:t>a Safe and Supportive School Environme</w:t>
      </w:r>
      <w:r>
        <w:rPr>
          <w:sz w:val="20"/>
        </w:rPr>
        <w:t xml:space="preserve">nt - Student and Family Support,” </w:t>
      </w:r>
      <w:bookmarkStart w:id="154" w:name="_bookmark71"/>
      <w:bookmarkEnd w:id="154"/>
      <w:r>
        <w:rPr>
          <w:spacing w:val="-2"/>
          <w:sz w:val="20"/>
        </w:rPr>
        <w:t>https://</w:t>
      </w:r>
      <w:hyperlink r:id="rId192">
        <w:r>
          <w:rPr>
            <w:spacing w:val="-2"/>
            <w:sz w:val="20"/>
          </w:rPr>
          <w:t>www.doe.mass.edu/sfs/lgbtq/genderidentity.html.</w:t>
        </w:r>
      </w:hyperlink>
    </w:p>
    <w:p w:rsidR="00C76E6D" w:rsidRDefault="00913831">
      <w:pPr>
        <w:spacing w:before="7" w:line="241" w:lineRule="exact"/>
        <w:ind w:left="480"/>
        <w:rPr>
          <w:sz w:val="20"/>
        </w:rPr>
      </w:pPr>
      <w:r>
        <w:rPr>
          <w:sz w:val="20"/>
          <w:vertAlign w:val="superscript"/>
        </w:rPr>
        <w:t>2</w:t>
      </w:r>
      <w:r>
        <w:rPr>
          <w:spacing w:val="-8"/>
          <w:sz w:val="20"/>
        </w:rPr>
        <w:t xml:space="preserve"> </w:t>
      </w:r>
      <w:bookmarkStart w:id="155" w:name="_bookmark72"/>
      <w:bookmarkEnd w:id="155"/>
      <w:r>
        <w:rPr>
          <w:sz w:val="20"/>
        </w:rPr>
        <w:t>Massachusetts</w:t>
      </w:r>
      <w:r>
        <w:rPr>
          <w:spacing w:val="-8"/>
          <w:sz w:val="20"/>
        </w:rPr>
        <w:t xml:space="preserve"> </w:t>
      </w:r>
      <w:r>
        <w:rPr>
          <w:sz w:val="20"/>
        </w:rPr>
        <w:t>Department</w:t>
      </w:r>
      <w:r>
        <w:rPr>
          <w:spacing w:val="-9"/>
          <w:sz w:val="20"/>
        </w:rPr>
        <w:t xml:space="preserve"> </w:t>
      </w:r>
      <w:r>
        <w:rPr>
          <w:sz w:val="20"/>
        </w:rPr>
        <w:t>of</w:t>
      </w:r>
      <w:r>
        <w:rPr>
          <w:spacing w:val="-9"/>
          <w:sz w:val="20"/>
        </w:rPr>
        <w:t xml:space="preserve"> </w:t>
      </w:r>
      <w:r>
        <w:rPr>
          <w:sz w:val="20"/>
        </w:rPr>
        <w:t>Elementary</w:t>
      </w:r>
      <w:r>
        <w:rPr>
          <w:spacing w:val="-9"/>
          <w:sz w:val="20"/>
        </w:rPr>
        <w:t xml:space="preserve"> </w:t>
      </w:r>
      <w:r>
        <w:rPr>
          <w:sz w:val="20"/>
        </w:rPr>
        <w:t>and</w:t>
      </w:r>
      <w:r>
        <w:rPr>
          <w:spacing w:val="-10"/>
          <w:sz w:val="20"/>
        </w:rPr>
        <w:t xml:space="preserve"> </w:t>
      </w:r>
      <w:r>
        <w:rPr>
          <w:sz w:val="20"/>
        </w:rPr>
        <w:t>Secondary</w:t>
      </w:r>
      <w:r>
        <w:rPr>
          <w:spacing w:val="-8"/>
          <w:sz w:val="20"/>
        </w:rPr>
        <w:t xml:space="preserve"> </w:t>
      </w:r>
      <w:r>
        <w:rPr>
          <w:spacing w:val="-2"/>
          <w:sz w:val="20"/>
        </w:rPr>
        <w:t>Education.</w:t>
      </w:r>
    </w:p>
    <w:p w:rsidR="00C76E6D" w:rsidRDefault="00913831">
      <w:pPr>
        <w:ind w:left="480" w:right="530" w:hanging="3"/>
        <w:rPr>
          <w:sz w:val="20"/>
        </w:rPr>
      </w:pPr>
      <w:r>
        <w:rPr>
          <w:sz w:val="20"/>
          <w:vertAlign w:val="superscript"/>
        </w:rPr>
        <w:t>3</w:t>
      </w:r>
      <w:r>
        <w:rPr>
          <w:spacing w:val="-6"/>
          <w:sz w:val="20"/>
        </w:rPr>
        <w:t xml:space="preserve"> </w:t>
      </w:r>
      <w:r>
        <w:rPr>
          <w:sz w:val="20"/>
        </w:rPr>
        <w:t>Massachusetts</w:t>
      </w:r>
      <w:r>
        <w:rPr>
          <w:spacing w:val="-7"/>
          <w:sz w:val="20"/>
        </w:rPr>
        <w:t xml:space="preserve"> </w:t>
      </w:r>
      <w:r>
        <w:rPr>
          <w:sz w:val="20"/>
        </w:rPr>
        <w:t>Commission</w:t>
      </w:r>
      <w:r>
        <w:rPr>
          <w:spacing w:val="-6"/>
          <w:sz w:val="20"/>
        </w:rPr>
        <w:t xml:space="preserve"> </w:t>
      </w:r>
      <w:r>
        <w:rPr>
          <w:sz w:val="20"/>
        </w:rPr>
        <w:t>on</w:t>
      </w:r>
      <w:r>
        <w:rPr>
          <w:spacing w:val="-6"/>
          <w:sz w:val="20"/>
        </w:rPr>
        <w:t xml:space="preserve"> </w:t>
      </w:r>
      <w:r>
        <w:rPr>
          <w:sz w:val="20"/>
        </w:rPr>
        <w:t>LGBTQ</w:t>
      </w:r>
      <w:r>
        <w:rPr>
          <w:spacing w:val="-7"/>
          <w:sz w:val="20"/>
        </w:rPr>
        <w:t xml:space="preserve"> </w:t>
      </w:r>
      <w:r>
        <w:rPr>
          <w:sz w:val="20"/>
        </w:rPr>
        <w:t>Youth,</w:t>
      </w:r>
      <w:r>
        <w:rPr>
          <w:spacing w:val="-6"/>
          <w:sz w:val="20"/>
        </w:rPr>
        <w:t xml:space="preserve"> </w:t>
      </w:r>
      <w:r>
        <w:rPr>
          <w:sz w:val="20"/>
        </w:rPr>
        <w:t>“Massachusetts</w:t>
      </w:r>
      <w:r>
        <w:rPr>
          <w:spacing w:val="-7"/>
          <w:sz w:val="20"/>
        </w:rPr>
        <w:t xml:space="preserve"> </w:t>
      </w:r>
      <w:r>
        <w:rPr>
          <w:sz w:val="20"/>
        </w:rPr>
        <w:t>Commission</w:t>
      </w:r>
      <w:r>
        <w:rPr>
          <w:spacing w:val="-6"/>
          <w:sz w:val="20"/>
        </w:rPr>
        <w:t xml:space="preserve"> </w:t>
      </w:r>
      <w:r>
        <w:rPr>
          <w:sz w:val="20"/>
        </w:rPr>
        <w:t>on</w:t>
      </w:r>
      <w:r>
        <w:rPr>
          <w:spacing w:val="-8"/>
          <w:sz w:val="20"/>
        </w:rPr>
        <w:t xml:space="preserve"> </w:t>
      </w:r>
      <w:r>
        <w:rPr>
          <w:sz w:val="20"/>
        </w:rPr>
        <w:t>LGBTQ</w:t>
      </w:r>
      <w:r>
        <w:rPr>
          <w:spacing w:val="-7"/>
          <w:sz w:val="20"/>
        </w:rPr>
        <w:t xml:space="preserve"> </w:t>
      </w:r>
      <w:r>
        <w:rPr>
          <w:sz w:val="20"/>
        </w:rPr>
        <w:t>Youth:</w:t>
      </w:r>
      <w:r>
        <w:rPr>
          <w:spacing w:val="-6"/>
          <w:sz w:val="20"/>
        </w:rPr>
        <w:t xml:space="preserve"> </w:t>
      </w:r>
      <w:r>
        <w:rPr>
          <w:sz w:val="20"/>
        </w:rPr>
        <w:t>Report</w:t>
      </w:r>
      <w:r>
        <w:rPr>
          <w:spacing w:val="-7"/>
          <w:sz w:val="20"/>
        </w:rPr>
        <w:t xml:space="preserve"> </w:t>
      </w:r>
      <w:r>
        <w:rPr>
          <w:sz w:val="20"/>
        </w:rPr>
        <w:t>and Recommendations for Fiscal Year 2022,” 2021, https://</w:t>
      </w:r>
      <w:hyperlink r:id="rId193">
        <w:r>
          <w:rPr>
            <w:sz w:val="20"/>
          </w:rPr>
          <w:t>www.mass.gov/annualrecommendations.</w:t>
        </w:r>
      </w:hyperlink>
    </w:p>
    <w:p w:rsidR="00C76E6D" w:rsidRDefault="00913831">
      <w:pPr>
        <w:ind w:left="480" w:right="863" w:hanging="2"/>
        <w:rPr>
          <w:sz w:val="20"/>
        </w:rPr>
      </w:pPr>
      <w:bookmarkStart w:id="156" w:name="_bookmark73"/>
      <w:bookmarkEnd w:id="156"/>
      <w:r>
        <w:rPr>
          <w:sz w:val="20"/>
          <w:vertAlign w:val="superscript"/>
        </w:rPr>
        <w:t>4</w:t>
      </w:r>
      <w:r>
        <w:rPr>
          <w:sz w:val="20"/>
        </w:rPr>
        <w:t xml:space="preserve"> Winchester Public Schools, “McCall Middle School Parent And Student Handbook 2021-2022,” 2021, </w:t>
      </w:r>
      <w:r>
        <w:rPr>
          <w:spacing w:val="-2"/>
          <w:sz w:val="20"/>
        </w:rPr>
        <w:t>https://docs.google.com/document/d/11OxPdKpvH5jKRgeTCf_SwYhGJQ4ovfrJWcrHXpyB5L8/edit;</w:t>
      </w:r>
      <w:r>
        <w:rPr>
          <w:spacing w:val="-13"/>
          <w:sz w:val="20"/>
        </w:rPr>
        <w:t xml:space="preserve"> </w:t>
      </w:r>
      <w:r>
        <w:rPr>
          <w:spacing w:val="-2"/>
          <w:sz w:val="20"/>
        </w:rPr>
        <w:t xml:space="preserve">Community </w:t>
      </w:r>
      <w:r>
        <w:rPr>
          <w:sz w:val="20"/>
        </w:rPr>
        <w:t>Charter School of Cambridge, “Student &amp; Family Handbook 2021-202</w:t>
      </w:r>
      <w:r>
        <w:rPr>
          <w:sz w:val="20"/>
        </w:rPr>
        <w:t xml:space="preserve">2,” 2021, </w:t>
      </w:r>
      <w:r>
        <w:rPr>
          <w:spacing w:val="-2"/>
          <w:sz w:val="20"/>
        </w:rPr>
        <w:t>https://docs.google.com/document/d/1cWlm0MH1GhJhysg2SNda_LOI1-QTTSxm4Uz9IvHVvx4/edit.</w:t>
      </w:r>
    </w:p>
    <w:p w:rsidR="00C76E6D" w:rsidRDefault="00913831">
      <w:pPr>
        <w:ind w:left="481" w:right="530" w:hanging="3"/>
        <w:rPr>
          <w:sz w:val="20"/>
        </w:rPr>
      </w:pPr>
      <w:bookmarkStart w:id="157" w:name="_bookmark74"/>
      <w:bookmarkEnd w:id="157"/>
      <w:r>
        <w:rPr>
          <w:sz w:val="20"/>
          <w:vertAlign w:val="superscript"/>
        </w:rPr>
        <w:t>5</w:t>
      </w:r>
      <w:r>
        <w:rPr>
          <w:spacing w:val="-6"/>
          <w:sz w:val="20"/>
        </w:rPr>
        <w:t xml:space="preserve"> </w:t>
      </w:r>
      <w:r>
        <w:rPr>
          <w:sz w:val="20"/>
        </w:rPr>
        <w:t>Massachusetts</w:t>
      </w:r>
      <w:r>
        <w:rPr>
          <w:spacing w:val="-6"/>
          <w:sz w:val="20"/>
        </w:rPr>
        <w:t xml:space="preserve"> </w:t>
      </w:r>
      <w:r>
        <w:rPr>
          <w:sz w:val="20"/>
        </w:rPr>
        <w:t>Department</w:t>
      </w:r>
      <w:r>
        <w:rPr>
          <w:spacing w:val="-7"/>
          <w:sz w:val="20"/>
        </w:rPr>
        <w:t xml:space="preserve"> </w:t>
      </w:r>
      <w:r>
        <w:rPr>
          <w:sz w:val="20"/>
        </w:rPr>
        <w:t>of</w:t>
      </w:r>
      <w:r>
        <w:rPr>
          <w:spacing w:val="-6"/>
          <w:sz w:val="20"/>
        </w:rPr>
        <w:t xml:space="preserve"> </w:t>
      </w:r>
      <w:r>
        <w:rPr>
          <w:sz w:val="20"/>
        </w:rPr>
        <w:t>Elementary</w:t>
      </w:r>
      <w:r>
        <w:rPr>
          <w:spacing w:val="-7"/>
          <w:sz w:val="20"/>
        </w:rPr>
        <w:t xml:space="preserve"> </w:t>
      </w:r>
      <w:r>
        <w:rPr>
          <w:sz w:val="20"/>
        </w:rPr>
        <w:t>and</w:t>
      </w:r>
      <w:r>
        <w:rPr>
          <w:spacing w:val="-6"/>
          <w:sz w:val="20"/>
        </w:rPr>
        <w:t xml:space="preserve"> </w:t>
      </w:r>
      <w:r>
        <w:rPr>
          <w:sz w:val="20"/>
        </w:rPr>
        <w:t>Secondary</w:t>
      </w:r>
      <w:r>
        <w:rPr>
          <w:spacing w:val="-6"/>
          <w:sz w:val="20"/>
        </w:rPr>
        <w:t xml:space="preserve"> </w:t>
      </w:r>
      <w:r>
        <w:rPr>
          <w:sz w:val="20"/>
        </w:rPr>
        <w:t>Education,</w:t>
      </w:r>
      <w:r>
        <w:rPr>
          <w:spacing w:val="-7"/>
          <w:sz w:val="20"/>
        </w:rPr>
        <w:t xml:space="preserve"> </w:t>
      </w:r>
      <w:r>
        <w:rPr>
          <w:sz w:val="20"/>
        </w:rPr>
        <w:t>“Guidance</w:t>
      </w:r>
      <w:r>
        <w:rPr>
          <w:spacing w:val="-6"/>
          <w:sz w:val="20"/>
        </w:rPr>
        <w:t xml:space="preserve"> </w:t>
      </w:r>
      <w:r>
        <w:rPr>
          <w:sz w:val="20"/>
        </w:rPr>
        <w:t>for</w:t>
      </w:r>
      <w:r>
        <w:rPr>
          <w:spacing w:val="-7"/>
          <w:sz w:val="20"/>
        </w:rPr>
        <w:t xml:space="preserve"> </w:t>
      </w:r>
      <w:r>
        <w:rPr>
          <w:sz w:val="20"/>
        </w:rPr>
        <w:t>MA</w:t>
      </w:r>
      <w:r>
        <w:rPr>
          <w:spacing w:val="-6"/>
          <w:sz w:val="20"/>
        </w:rPr>
        <w:t xml:space="preserve"> </w:t>
      </w:r>
      <w:r>
        <w:rPr>
          <w:sz w:val="20"/>
        </w:rPr>
        <w:t>Public</w:t>
      </w:r>
      <w:r>
        <w:rPr>
          <w:spacing w:val="-6"/>
          <w:sz w:val="20"/>
        </w:rPr>
        <w:t xml:space="preserve"> </w:t>
      </w:r>
      <w:r>
        <w:rPr>
          <w:sz w:val="20"/>
        </w:rPr>
        <w:t>Schools</w:t>
      </w:r>
      <w:r>
        <w:rPr>
          <w:spacing w:val="-6"/>
          <w:sz w:val="20"/>
        </w:rPr>
        <w:t xml:space="preserve"> </w:t>
      </w:r>
      <w:r>
        <w:rPr>
          <w:sz w:val="20"/>
        </w:rPr>
        <w:t>Creating</w:t>
      </w:r>
      <w:r>
        <w:rPr>
          <w:spacing w:val="-6"/>
          <w:sz w:val="20"/>
        </w:rPr>
        <w:t xml:space="preserve"> </w:t>
      </w:r>
      <w:r>
        <w:rPr>
          <w:sz w:val="20"/>
        </w:rPr>
        <w:t>a Safe and Supportive School Environment - Student an</w:t>
      </w:r>
      <w:r>
        <w:rPr>
          <w:sz w:val="20"/>
        </w:rPr>
        <w:t>d Family Support.”</w:t>
      </w:r>
    </w:p>
    <w:p w:rsidR="00C76E6D" w:rsidRDefault="00913831">
      <w:pPr>
        <w:spacing w:before="3" w:line="244" w:lineRule="exact"/>
        <w:ind w:left="480"/>
        <w:rPr>
          <w:sz w:val="20"/>
        </w:rPr>
      </w:pPr>
      <w:bookmarkStart w:id="158" w:name="_bookmark75"/>
      <w:bookmarkEnd w:id="158"/>
      <w:r>
        <w:rPr>
          <w:sz w:val="20"/>
          <w:vertAlign w:val="superscript"/>
        </w:rPr>
        <w:t>6</w:t>
      </w:r>
      <w:r>
        <w:rPr>
          <w:spacing w:val="-7"/>
          <w:sz w:val="20"/>
        </w:rPr>
        <w:t xml:space="preserve"> </w:t>
      </w:r>
      <w:bookmarkStart w:id="159" w:name="_bookmark76"/>
      <w:bookmarkEnd w:id="159"/>
      <w:r>
        <w:rPr>
          <w:sz w:val="20"/>
        </w:rPr>
        <w:t>Community</w:t>
      </w:r>
      <w:r>
        <w:rPr>
          <w:spacing w:val="-7"/>
          <w:sz w:val="20"/>
        </w:rPr>
        <w:t xml:space="preserve"> </w:t>
      </w:r>
      <w:r>
        <w:rPr>
          <w:sz w:val="20"/>
        </w:rPr>
        <w:t>Charter</w:t>
      </w:r>
      <w:r>
        <w:rPr>
          <w:spacing w:val="-9"/>
          <w:sz w:val="20"/>
        </w:rPr>
        <w:t xml:space="preserve"> </w:t>
      </w:r>
      <w:r>
        <w:rPr>
          <w:sz w:val="20"/>
        </w:rPr>
        <w:t>School</w:t>
      </w:r>
      <w:r>
        <w:rPr>
          <w:spacing w:val="-11"/>
          <w:sz w:val="20"/>
        </w:rPr>
        <w:t xml:space="preserve"> </w:t>
      </w:r>
      <w:r>
        <w:rPr>
          <w:sz w:val="20"/>
        </w:rPr>
        <w:t>of</w:t>
      </w:r>
      <w:r>
        <w:rPr>
          <w:spacing w:val="-8"/>
          <w:sz w:val="20"/>
        </w:rPr>
        <w:t xml:space="preserve"> </w:t>
      </w:r>
      <w:r>
        <w:rPr>
          <w:sz w:val="20"/>
        </w:rPr>
        <w:t>Cambridge,</w:t>
      </w:r>
      <w:r>
        <w:rPr>
          <w:spacing w:val="-10"/>
          <w:sz w:val="20"/>
        </w:rPr>
        <w:t xml:space="preserve"> </w:t>
      </w:r>
      <w:r>
        <w:rPr>
          <w:sz w:val="20"/>
        </w:rPr>
        <w:t>“Student</w:t>
      </w:r>
      <w:r>
        <w:rPr>
          <w:spacing w:val="-9"/>
          <w:sz w:val="20"/>
        </w:rPr>
        <w:t xml:space="preserve"> </w:t>
      </w:r>
      <w:r>
        <w:rPr>
          <w:sz w:val="20"/>
        </w:rPr>
        <w:t>&amp;</w:t>
      </w:r>
      <w:r>
        <w:rPr>
          <w:spacing w:val="-9"/>
          <w:sz w:val="20"/>
        </w:rPr>
        <w:t xml:space="preserve"> </w:t>
      </w:r>
      <w:r>
        <w:rPr>
          <w:sz w:val="20"/>
        </w:rPr>
        <w:t>Family</w:t>
      </w:r>
      <w:r>
        <w:rPr>
          <w:spacing w:val="-7"/>
          <w:sz w:val="20"/>
        </w:rPr>
        <w:t xml:space="preserve"> </w:t>
      </w:r>
      <w:r>
        <w:rPr>
          <w:sz w:val="20"/>
        </w:rPr>
        <w:t>Handbook</w:t>
      </w:r>
      <w:r>
        <w:rPr>
          <w:spacing w:val="-9"/>
          <w:sz w:val="20"/>
        </w:rPr>
        <w:t xml:space="preserve"> </w:t>
      </w:r>
      <w:r>
        <w:rPr>
          <w:sz w:val="20"/>
        </w:rPr>
        <w:t>2021-</w:t>
      </w:r>
      <w:r>
        <w:rPr>
          <w:spacing w:val="-2"/>
          <w:sz w:val="20"/>
        </w:rPr>
        <w:t>2022.”</w:t>
      </w:r>
    </w:p>
    <w:p w:rsidR="00C76E6D" w:rsidRDefault="00913831">
      <w:pPr>
        <w:spacing w:line="242" w:lineRule="exact"/>
        <w:ind w:left="480"/>
        <w:rPr>
          <w:sz w:val="20"/>
        </w:rPr>
      </w:pPr>
      <w:r>
        <w:rPr>
          <w:sz w:val="20"/>
          <w:vertAlign w:val="superscript"/>
        </w:rPr>
        <w:t>7</w:t>
      </w:r>
      <w:r>
        <w:rPr>
          <w:spacing w:val="-7"/>
          <w:sz w:val="20"/>
        </w:rPr>
        <w:t xml:space="preserve"> </w:t>
      </w:r>
      <w:r>
        <w:rPr>
          <w:sz w:val="20"/>
        </w:rPr>
        <w:t>Winchester</w:t>
      </w:r>
      <w:r>
        <w:rPr>
          <w:spacing w:val="-9"/>
          <w:sz w:val="20"/>
        </w:rPr>
        <w:t xml:space="preserve"> </w:t>
      </w:r>
      <w:r>
        <w:rPr>
          <w:sz w:val="20"/>
        </w:rPr>
        <w:t>Public</w:t>
      </w:r>
      <w:r>
        <w:rPr>
          <w:spacing w:val="-9"/>
          <w:sz w:val="20"/>
        </w:rPr>
        <w:t xml:space="preserve"> </w:t>
      </w:r>
      <w:r>
        <w:rPr>
          <w:sz w:val="20"/>
        </w:rPr>
        <w:t>Schools,</w:t>
      </w:r>
      <w:r>
        <w:rPr>
          <w:spacing w:val="-7"/>
          <w:sz w:val="20"/>
        </w:rPr>
        <w:t xml:space="preserve"> </w:t>
      </w:r>
      <w:r>
        <w:rPr>
          <w:sz w:val="20"/>
        </w:rPr>
        <w:t>“McCall</w:t>
      </w:r>
      <w:r>
        <w:rPr>
          <w:spacing w:val="-10"/>
          <w:sz w:val="20"/>
        </w:rPr>
        <w:t xml:space="preserve"> </w:t>
      </w:r>
      <w:r>
        <w:rPr>
          <w:sz w:val="20"/>
        </w:rPr>
        <w:t>Middle</w:t>
      </w:r>
      <w:r>
        <w:rPr>
          <w:spacing w:val="-10"/>
          <w:sz w:val="20"/>
        </w:rPr>
        <w:t xml:space="preserve"> </w:t>
      </w:r>
      <w:r>
        <w:rPr>
          <w:sz w:val="20"/>
        </w:rPr>
        <w:t>School</w:t>
      </w:r>
      <w:r>
        <w:rPr>
          <w:spacing w:val="-8"/>
          <w:sz w:val="20"/>
        </w:rPr>
        <w:t xml:space="preserve"> </w:t>
      </w:r>
      <w:r>
        <w:rPr>
          <w:sz w:val="20"/>
        </w:rPr>
        <w:t>Parent</w:t>
      </w:r>
      <w:r>
        <w:rPr>
          <w:spacing w:val="-11"/>
          <w:sz w:val="20"/>
        </w:rPr>
        <w:t xml:space="preserve"> </w:t>
      </w:r>
      <w:r>
        <w:rPr>
          <w:sz w:val="20"/>
        </w:rPr>
        <w:t>And</w:t>
      </w:r>
      <w:r>
        <w:rPr>
          <w:spacing w:val="-9"/>
          <w:sz w:val="20"/>
        </w:rPr>
        <w:t xml:space="preserve"> </w:t>
      </w:r>
      <w:r>
        <w:rPr>
          <w:sz w:val="20"/>
        </w:rPr>
        <w:t>Student</w:t>
      </w:r>
      <w:r>
        <w:rPr>
          <w:spacing w:val="-8"/>
          <w:sz w:val="20"/>
        </w:rPr>
        <w:t xml:space="preserve"> </w:t>
      </w:r>
      <w:r>
        <w:rPr>
          <w:sz w:val="20"/>
        </w:rPr>
        <w:t>Handbook</w:t>
      </w:r>
      <w:r>
        <w:rPr>
          <w:spacing w:val="-9"/>
          <w:sz w:val="20"/>
        </w:rPr>
        <w:t xml:space="preserve"> </w:t>
      </w:r>
      <w:r>
        <w:rPr>
          <w:sz w:val="20"/>
        </w:rPr>
        <w:t>2021-</w:t>
      </w:r>
      <w:r>
        <w:rPr>
          <w:spacing w:val="-2"/>
          <w:sz w:val="20"/>
        </w:rPr>
        <w:t>2022.”</w:t>
      </w:r>
    </w:p>
    <w:p w:rsidR="00C76E6D" w:rsidRDefault="00913831">
      <w:pPr>
        <w:ind w:left="481" w:right="530" w:hanging="3"/>
        <w:rPr>
          <w:sz w:val="20"/>
        </w:rPr>
      </w:pPr>
      <w:bookmarkStart w:id="160" w:name="_bookmark77"/>
      <w:bookmarkEnd w:id="160"/>
      <w:r>
        <w:rPr>
          <w:sz w:val="20"/>
          <w:vertAlign w:val="superscript"/>
        </w:rPr>
        <w:t>8</w:t>
      </w:r>
      <w:r>
        <w:rPr>
          <w:spacing w:val="-6"/>
          <w:sz w:val="20"/>
        </w:rPr>
        <w:t xml:space="preserve"> </w:t>
      </w:r>
      <w:r>
        <w:rPr>
          <w:sz w:val="20"/>
        </w:rPr>
        <w:t>Massachusetts</w:t>
      </w:r>
      <w:r>
        <w:rPr>
          <w:spacing w:val="-6"/>
          <w:sz w:val="20"/>
        </w:rPr>
        <w:t xml:space="preserve"> </w:t>
      </w:r>
      <w:r>
        <w:rPr>
          <w:sz w:val="20"/>
        </w:rPr>
        <w:t>Department</w:t>
      </w:r>
      <w:r>
        <w:rPr>
          <w:spacing w:val="-7"/>
          <w:sz w:val="20"/>
        </w:rPr>
        <w:t xml:space="preserve"> </w:t>
      </w:r>
      <w:r>
        <w:rPr>
          <w:sz w:val="20"/>
        </w:rPr>
        <w:t>of</w:t>
      </w:r>
      <w:r>
        <w:rPr>
          <w:spacing w:val="-6"/>
          <w:sz w:val="20"/>
        </w:rPr>
        <w:t xml:space="preserve"> </w:t>
      </w:r>
      <w:r>
        <w:rPr>
          <w:sz w:val="20"/>
        </w:rPr>
        <w:t>Elementary</w:t>
      </w:r>
      <w:r>
        <w:rPr>
          <w:spacing w:val="-7"/>
          <w:sz w:val="20"/>
        </w:rPr>
        <w:t xml:space="preserve"> </w:t>
      </w:r>
      <w:r>
        <w:rPr>
          <w:sz w:val="20"/>
        </w:rPr>
        <w:t>and</w:t>
      </w:r>
      <w:r>
        <w:rPr>
          <w:spacing w:val="-7"/>
          <w:sz w:val="20"/>
        </w:rPr>
        <w:t xml:space="preserve"> </w:t>
      </w:r>
      <w:r>
        <w:rPr>
          <w:sz w:val="20"/>
        </w:rPr>
        <w:t>Secondary</w:t>
      </w:r>
      <w:r>
        <w:rPr>
          <w:spacing w:val="-6"/>
          <w:sz w:val="20"/>
        </w:rPr>
        <w:t xml:space="preserve"> </w:t>
      </w:r>
      <w:r>
        <w:rPr>
          <w:sz w:val="20"/>
        </w:rPr>
        <w:t>Education,</w:t>
      </w:r>
      <w:r>
        <w:rPr>
          <w:spacing w:val="-7"/>
          <w:sz w:val="20"/>
        </w:rPr>
        <w:t xml:space="preserve"> </w:t>
      </w:r>
      <w:r>
        <w:rPr>
          <w:sz w:val="20"/>
        </w:rPr>
        <w:t>“603</w:t>
      </w:r>
      <w:r>
        <w:rPr>
          <w:spacing w:val="-6"/>
          <w:sz w:val="20"/>
        </w:rPr>
        <w:t xml:space="preserve"> </w:t>
      </w:r>
      <w:r>
        <w:rPr>
          <w:sz w:val="20"/>
        </w:rPr>
        <w:t>CMR</w:t>
      </w:r>
      <w:r>
        <w:rPr>
          <w:spacing w:val="-6"/>
          <w:sz w:val="20"/>
        </w:rPr>
        <w:t xml:space="preserve"> </w:t>
      </w:r>
      <w:r>
        <w:rPr>
          <w:sz w:val="20"/>
        </w:rPr>
        <w:t>23.00:</w:t>
      </w:r>
      <w:r>
        <w:rPr>
          <w:spacing w:val="-8"/>
          <w:sz w:val="20"/>
        </w:rPr>
        <w:t xml:space="preserve"> </w:t>
      </w:r>
      <w:r>
        <w:rPr>
          <w:sz w:val="20"/>
        </w:rPr>
        <w:t>Student</w:t>
      </w:r>
      <w:r>
        <w:rPr>
          <w:spacing w:val="-7"/>
          <w:sz w:val="20"/>
        </w:rPr>
        <w:t xml:space="preserve"> </w:t>
      </w:r>
      <w:r>
        <w:rPr>
          <w:sz w:val="20"/>
        </w:rPr>
        <w:t>Records”</w:t>
      </w:r>
      <w:r>
        <w:rPr>
          <w:spacing w:val="-6"/>
          <w:sz w:val="20"/>
        </w:rPr>
        <w:t xml:space="preserve"> </w:t>
      </w:r>
      <w:r>
        <w:rPr>
          <w:sz w:val="20"/>
        </w:rPr>
        <w:t xml:space="preserve">(n.d.), </w:t>
      </w:r>
      <w:r>
        <w:rPr>
          <w:spacing w:val="-2"/>
          <w:sz w:val="20"/>
        </w:rPr>
        <w:t>https://</w:t>
      </w:r>
      <w:hyperlink r:id="rId194">
        <w:r>
          <w:rPr>
            <w:spacing w:val="-2"/>
            <w:sz w:val="20"/>
          </w:rPr>
          <w:t>www.doe.mass.edu/lawsregs/603cmr23.html.</w:t>
        </w:r>
      </w:hyperlink>
    </w:p>
    <w:p w:rsidR="00C76E6D" w:rsidRDefault="00913831">
      <w:pPr>
        <w:spacing w:before="3"/>
        <w:ind w:left="480"/>
        <w:rPr>
          <w:sz w:val="20"/>
        </w:rPr>
      </w:pPr>
      <w:bookmarkStart w:id="161" w:name="_bookmark78"/>
      <w:bookmarkEnd w:id="161"/>
      <w:r>
        <w:rPr>
          <w:sz w:val="20"/>
          <w:vertAlign w:val="superscript"/>
        </w:rPr>
        <w:t>9</w:t>
      </w:r>
      <w:r>
        <w:rPr>
          <w:spacing w:val="-8"/>
          <w:sz w:val="20"/>
        </w:rPr>
        <w:t xml:space="preserve"> </w:t>
      </w:r>
      <w:bookmarkStart w:id="162" w:name="_bookmark79"/>
      <w:bookmarkEnd w:id="162"/>
      <w:r>
        <w:rPr>
          <w:sz w:val="20"/>
        </w:rPr>
        <w:t>Community</w:t>
      </w:r>
      <w:r>
        <w:rPr>
          <w:spacing w:val="-7"/>
          <w:sz w:val="20"/>
        </w:rPr>
        <w:t xml:space="preserve"> </w:t>
      </w:r>
      <w:r>
        <w:rPr>
          <w:sz w:val="20"/>
        </w:rPr>
        <w:t>Charter</w:t>
      </w:r>
      <w:r>
        <w:rPr>
          <w:spacing w:val="-8"/>
          <w:sz w:val="20"/>
        </w:rPr>
        <w:t xml:space="preserve"> </w:t>
      </w:r>
      <w:r>
        <w:rPr>
          <w:sz w:val="20"/>
        </w:rPr>
        <w:t>School</w:t>
      </w:r>
      <w:r>
        <w:rPr>
          <w:spacing w:val="-12"/>
          <w:sz w:val="20"/>
        </w:rPr>
        <w:t xml:space="preserve"> </w:t>
      </w:r>
      <w:r>
        <w:rPr>
          <w:sz w:val="20"/>
        </w:rPr>
        <w:t>of</w:t>
      </w:r>
      <w:r>
        <w:rPr>
          <w:spacing w:val="-7"/>
          <w:sz w:val="20"/>
        </w:rPr>
        <w:t xml:space="preserve"> </w:t>
      </w:r>
      <w:r>
        <w:rPr>
          <w:sz w:val="20"/>
        </w:rPr>
        <w:t>Cambridge,</w:t>
      </w:r>
      <w:r>
        <w:rPr>
          <w:spacing w:val="-10"/>
          <w:sz w:val="20"/>
        </w:rPr>
        <w:t xml:space="preserve"> </w:t>
      </w:r>
      <w:r>
        <w:rPr>
          <w:sz w:val="20"/>
        </w:rPr>
        <w:t>“Student</w:t>
      </w:r>
      <w:r>
        <w:rPr>
          <w:spacing w:val="-10"/>
          <w:sz w:val="20"/>
        </w:rPr>
        <w:t xml:space="preserve"> </w:t>
      </w:r>
      <w:r>
        <w:rPr>
          <w:sz w:val="20"/>
        </w:rPr>
        <w:t>&amp;</w:t>
      </w:r>
      <w:r>
        <w:rPr>
          <w:spacing w:val="-9"/>
          <w:sz w:val="20"/>
        </w:rPr>
        <w:t xml:space="preserve"> </w:t>
      </w:r>
      <w:r>
        <w:rPr>
          <w:sz w:val="20"/>
        </w:rPr>
        <w:t>Family</w:t>
      </w:r>
      <w:r>
        <w:rPr>
          <w:spacing w:val="-6"/>
          <w:sz w:val="20"/>
        </w:rPr>
        <w:t xml:space="preserve"> </w:t>
      </w:r>
      <w:r>
        <w:rPr>
          <w:sz w:val="20"/>
        </w:rPr>
        <w:t>Handbook</w:t>
      </w:r>
      <w:r>
        <w:rPr>
          <w:spacing w:val="-10"/>
          <w:sz w:val="20"/>
        </w:rPr>
        <w:t xml:space="preserve"> </w:t>
      </w:r>
      <w:r>
        <w:rPr>
          <w:sz w:val="20"/>
        </w:rPr>
        <w:t>2021-</w:t>
      </w:r>
      <w:r>
        <w:rPr>
          <w:spacing w:val="-2"/>
          <w:sz w:val="20"/>
        </w:rPr>
        <w:t>2022.”</w:t>
      </w:r>
    </w:p>
    <w:p w:rsidR="00C76E6D" w:rsidRDefault="00913831">
      <w:pPr>
        <w:spacing w:line="241" w:lineRule="exact"/>
        <w:ind w:left="480"/>
        <w:rPr>
          <w:sz w:val="20"/>
        </w:rPr>
      </w:pPr>
      <w:r>
        <w:rPr>
          <w:spacing w:val="-2"/>
          <w:sz w:val="20"/>
          <w:vertAlign w:val="superscript"/>
        </w:rPr>
        <w:t>10</w:t>
      </w:r>
      <w:r>
        <w:rPr>
          <w:spacing w:val="7"/>
          <w:sz w:val="20"/>
        </w:rPr>
        <w:t xml:space="preserve"> </w:t>
      </w:r>
      <w:bookmarkStart w:id="163" w:name="_bookmark80"/>
      <w:bookmarkEnd w:id="163"/>
      <w:r>
        <w:rPr>
          <w:spacing w:val="-2"/>
          <w:sz w:val="20"/>
        </w:rPr>
        <w:t>Gender</w:t>
      </w:r>
      <w:r>
        <w:rPr>
          <w:spacing w:val="4"/>
          <w:sz w:val="20"/>
        </w:rPr>
        <w:t xml:space="preserve"> </w:t>
      </w:r>
      <w:r>
        <w:rPr>
          <w:spacing w:val="-2"/>
          <w:sz w:val="20"/>
        </w:rPr>
        <w:t>Spectrum,</w:t>
      </w:r>
      <w:r>
        <w:rPr>
          <w:spacing w:val="9"/>
          <w:sz w:val="20"/>
        </w:rPr>
        <w:t xml:space="preserve"> </w:t>
      </w:r>
      <w:r>
        <w:rPr>
          <w:spacing w:val="-2"/>
          <w:sz w:val="20"/>
        </w:rPr>
        <w:t>“Using</w:t>
      </w:r>
      <w:r>
        <w:rPr>
          <w:spacing w:val="9"/>
          <w:sz w:val="20"/>
        </w:rPr>
        <w:t xml:space="preserve"> </w:t>
      </w:r>
      <w:r>
        <w:rPr>
          <w:spacing w:val="-2"/>
          <w:sz w:val="20"/>
        </w:rPr>
        <w:t>the</w:t>
      </w:r>
      <w:r>
        <w:rPr>
          <w:spacing w:val="5"/>
          <w:sz w:val="20"/>
        </w:rPr>
        <w:t xml:space="preserve"> </w:t>
      </w:r>
      <w:r>
        <w:rPr>
          <w:spacing w:val="-2"/>
          <w:sz w:val="20"/>
        </w:rPr>
        <w:t>Gender</w:t>
      </w:r>
      <w:r>
        <w:rPr>
          <w:spacing w:val="4"/>
          <w:sz w:val="20"/>
        </w:rPr>
        <w:t xml:space="preserve"> </w:t>
      </w:r>
      <w:r>
        <w:rPr>
          <w:spacing w:val="-2"/>
          <w:sz w:val="20"/>
        </w:rPr>
        <w:t>Support</w:t>
      </w:r>
      <w:r>
        <w:rPr>
          <w:spacing w:val="8"/>
          <w:sz w:val="20"/>
        </w:rPr>
        <w:t xml:space="preserve"> </w:t>
      </w:r>
      <w:r>
        <w:rPr>
          <w:spacing w:val="-2"/>
          <w:sz w:val="20"/>
        </w:rPr>
        <w:t>Plan,”</w:t>
      </w:r>
      <w:r>
        <w:rPr>
          <w:spacing w:val="8"/>
          <w:sz w:val="20"/>
        </w:rPr>
        <w:t xml:space="preserve"> </w:t>
      </w:r>
      <w:r>
        <w:rPr>
          <w:spacing w:val="-2"/>
          <w:sz w:val="20"/>
        </w:rPr>
        <w:t>n.d.,</w:t>
      </w:r>
      <w:r>
        <w:rPr>
          <w:spacing w:val="6"/>
          <w:sz w:val="20"/>
        </w:rPr>
        <w:t xml:space="preserve"> </w:t>
      </w:r>
      <w:r>
        <w:rPr>
          <w:spacing w:val="-2"/>
          <w:sz w:val="20"/>
        </w:rPr>
        <w:t>https://genderspectrum.org/articles/using-the-</w:t>
      </w:r>
      <w:r>
        <w:rPr>
          <w:spacing w:val="-4"/>
          <w:sz w:val="20"/>
        </w:rPr>
        <w:t>gsp.</w:t>
      </w:r>
    </w:p>
    <w:p w:rsidR="00C76E6D" w:rsidRDefault="00913831">
      <w:pPr>
        <w:ind w:left="480" w:right="1974"/>
        <w:jc w:val="both"/>
        <w:rPr>
          <w:sz w:val="20"/>
        </w:rPr>
      </w:pPr>
      <w:r>
        <w:rPr>
          <w:sz w:val="20"/>
          <w:vertAlign w:val="superscript"/>
        </w:rPr>
        <w:t>11</w:t>
      </w:r>
      <w:r>
        <w:rPr>
          <w:spacing w:val="-5"/>
          <w:sz w:val="20"/>
        </w:rPr>
        <w:t xml:space="preserve"> </w:t>
      </w:r>
      <w:r>
        <w:rPr>
          <w:sz w:val="20"/>
        </w:rPr>
        <w:t>The</w:t>
      </w:r>
      <w:r>
        <w:rPr>
          <w:spacing w:val="-6"/>
          <w:sz w:val="20"/>
        </w:rPr>
        <w:t xml:space="preserve"> </w:t>
      </w:r>
      <w:r>
        <w:rPr>
          <w:sz w:val="20"/>
        </w:rPr>
        <w:t>legislature</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State</w:t>
      </w:r>
      <w:r>
        <w:rPr>
          <w:spacing w:val="-8"/>
          <w:sz w:val="20"/>
        </w:rPr>
        <w:t xml:space="preserve"> </w:t>
      </w:r>
      <w:r>
        <w:rPr>
          <w:sz w:val="20"/>
        </w:rPr>
        <w:t>of</w:t>
      </w:r>
      <w:r>
        <w:rPr>
          <w:spacing w:val="-6"/>
          <w:sz w:val="20"/>
        </w:rPr>
        <w:t xml:space="preserve"> </w:t>
      </w:r>
      <w:r>
        <w:rPr>
          <w:sz w:val="20"/>
        </w:rPr>
        <w:t>Massachusetts,</w:t>
      </w:r>
      <w:r>
        <w:rPr>
          <w:spacing w:val="-5"/>
          <w:sz w:val="20"/>
        </w:rPr>
        <w:t xml:space="preserve"> </w:t>
      </w:r>
      <w:r>
        <w:rPr>
          <w:sz w:val="20"/>
        </w:rPr>
        <w:t>“Massachusetts</w:t>
      </w:r>
      <w:r>
        <w:rPr>
          <w:spacing w:val="-6"/>
          <w:sz w:val="20"/>
        </w:rPr>
        <w:t xml:space="preserve"> </w:t>
      </w:r>
      <w:r>
        <w:rPr>
          <w:sz w:val="20"/>
        </w:rPr>
        <w:t>General</w:t>
      </w:r>
      <w:r>
        <w:rPr>
          <w:spacing w:val="-6"/>
          <w:sz w:val="20"/>
        </w:rPr>
        <w:t xml:space="preserve"> </w:t>
      </w:r>
      <w:r>
        <w:rPr>
          <w:sz w:val="20"/>
        </w:rPr>
        <w:t>Laws,”</w:t>
      </w:r>
      <w:r>
        <w:rPr>
          <w:spacing w:val="-5"/>
          <w:sz w:val="20"/>
        </w:rPr>
        <w:t xml:space="preserve"> </w:t>
      </w:r>
      <w:r>
        <w:rPr>
          <w:sz w:val="20"/>
        </w:rPr>
        <w:t>c.</w:t>
      </w:r>
      <w:r>
        <w:rPr>
          <w:spacing w:val="-7"/>
          <w:sz w:val="20"/>
        </w:rPr>
        <w:t xml:space="preserve"> </w:t>
      </w:r>
      <w:r>
        <w:rPr>
          <w:sz w:val="20"/>
        </w:rPr>
        <w:t>272,</w:t>
      </w:r>
      <w:r>
        <w:rPr>
          <w:spacing w:val="-5"/>
          <w:sz w:val="20"/>
        </w:rPr>
        <w:t xml:space="preserve"> </w:t>
      </w:r>
      <w:r>
        <w:rPr>
          <w:sz w:val="20"/>
        </w:rPr>
        <w:t>§§</w:t>
      </w:r>
      <w:r>
        <w:rPr>
          <w:spacing w:val="-6"/>
          <w:sz w:val="20"/>
        </w:rPr>
        <w:t xml:space="preserve"> </w:t>
      </w:r>
      <w:r>
        <w:rPr>
          <w:sz w:val="20"/>
        </w:rPr>
        <w:t>92A.</w:t>
      </w:r>
      <w:r>
        <w:rPr>
          <w:spacing w:val="-6"/>
          <w:sz w:val="20"/>
        </w:rPr>
        <w:t xml:space="preserve"> </w:t>
      </w:r>
      <w:r>
        <w:rPr>
          <w:sz w:val="20"/>
        </w:rPr>
        <w:t xml:space="preserve">§. </w:t>
      </w:r>
      <w:bookmarkStart w:id="164" w:name="_bookmark81"/>
      <w:bookmarkEnd w:id="164"/>
      <w:r>
        <w:rPr>
          <w:sz w:val="20"/>
          <w:vertAlign w:val="superscript"/>
        </w:rPr>
        <w:t>12</w:t>
      </w:r>
      <w:r>
        <w:rPr>
          <w:sz w:val="20"/>
        </w:rPr>
        <w:t xml:space="preserve"> Winchester Public Schools, “McCall Middle School Parent And Stud</w:t>
      </w:r>
      <w:r>
        <w:rPr>
          <w:sz w:val="20"/>
        </w:rPr>
        <w:t>ent</w:t>
      </w:r>
      <w:r>
        <w:rPr>
          <w:spacing w:val="-2"/>
          <w:sz w:val="20"/>
        </w:rPr>
        <w:t xml:space="preserve"> </w:t>
      </w:r>
      <w:r>
        <w:rPr>
          <w:sz w:val="20"/>
        </w:rPr>
        <w:t xml:space="preserve">Handbook 2021-2022.” </w:t>
      </w:r>
      <w:bookmarkStart w:id="165" w:name="_bookmark82"/>
      <w:bookmarkEnd w:id="165"/>
      <w:r>
        <w:rPr>
          <w:sz w:val="20"/>
          <w:vertAlign w:val="superscript"/>
        </w:rPr>
        <w:t>13</w:t>
      </w:r>
      <w:r>
        <w:rPr>
          <w:sz w:val="20"/>
        </w:rPr>
        <w:t xml:space="preserve"> Community Charter School of Cambridge, “Student &amp; Family Handbook 2021-2022.”</w:t>
      </w:r>
    </w:p>
    <w:p w:rsidR="00C76E6D" w:rsidRDefault="00913831">
      <w:pPr>
        <w:spacing w:before="2" w:line="241" w:lineRule="exact"/>
        <w:ind w:left="480"/>
        <w:jc w:val="both"/>
        <w:rPr>
          <w:sz w:val="20"/>
        </w:rPr>
      </w:pPr>
      <w:bookmarkStart w:id="166" w:name="_bookmark83"/>
      <w:bookmarkEnd w:id="166"/>
      <w:r>
        <w:rPr>
          <w:sz w:val="20"/>
          <w:vertAlign w:val="superscript"/>
        </w:rPr>
        <w:t>14</w:t>
      </w:r>
      <w:r>
        <w:rPr>
          <w:spacing w:val="-7"/>
          <w:sz w:val="20"/>
        </w:rPr>
        <w:t xml:space="preserve"> </w:t>
      </w:r>
      <w:bookmarkStart w:id="167" w:name="_bookmark84"/>
      <w:bookmarkEnd w:id="167"/>
      <w:r>
        <w:rPr>
          <w:sz w:val="20"/>
        </w:rPr>
        <w:t>Community</w:t>
      </w:r>
      <w:r>
        <w:rPr>
          <w:spacing w:val="-7"/>
          <w:sz w:val="20"/>
        </w:rPr>
        <w:t xml:space="preserve"> </w:t>
      </w:r>
      <w:r>
        <w:rPr>
          <w:sz w:val="20"/>
        </w:rPr>
        <w:t>Charter</w:t>
      </w:r>
      <w:r>
        <w:rPr>
          <w:spacing w:val="-8"/>
          <w:sz w:val="20"/>
        </w:rPr>
        <w:t xml:space="preserve"> </w:t>
      </w:r>
      <w:r>
        <w:rPr>
          <w:sz w:val="20"/>
        </w:rPr>
        <w:t>School</w:t>
      </w:r>
      <w:r>
        <w:rPr>
          <w:spacing w:val="-9"/>
          <w:sz w:val="20"/>
        </w:rPr>
        <w:t xml:space="preserve"> </w:t>
      </w:r>
      <w:r>
        <w:rPr>
          <w:sz w:val="20"/>
        </w:rPr>
        <w:t>of</w:t>
      </w:r>
      <w:r>
        <w:rPr>
          <w:spacing w:val="-7"/>
          <w:sz w:val="20"/>
        </w:rPr>
        <w:t xml:space="preserve"> </w:t>
      </w:r>
      <w:r>
        <w:rPr>
          <w:spacing w:val="-2"/>
          <w:sz w:val="20"/>
        </w:rPr>
        <w:t>Cambridge.</w:t>
      </w:r>
    </w:p>
    <w:p w:rsidR="00C76E6D" w:rsidRDefault="00913831">
      <w:pPr>
        <w:ind w:left="479" w:right="3089" w:hanging="1"/>
        <w:rPr>
          <w:sz w:val="20"/>
        </w:rPr>
      </w:pPr>
      <w:r>
        <w:rPr>
          <w:sz w:val="20"/>
          <w:vertAlign w:val="superscript"/>
        </w:rPr>
        <w:t>15</w:t>
      </w:r>
      <w:r>
        <w:rPr>
          <w:spacing w:val="-8"/>
          <w:sz w:val="20"/>
        </w:rPr>
        <w:t xml:space="preserve"> </w:t>
      </w:r>
      <w:r>
        <w:rPr>
          <w:sz w:val="20"/>
        </w:rPr>
        <w:t>MIAA,</w:t>
      </w:r>
      <w:r>
        <w:rPr>
          <w:spacing w:val="-10"/>
          <w:sz w:val="20"/>
        </w:rPr>
        <w:t xml:space="preserve"> </w:t>
      </w:r>
      <w:r>
        <w:rPr>
          <w:sz w:val="20"/>
        </w:rPr>
        <w:t>“MIAA</w:t>
      </w:r>
      <w:r>
        <w:rPr>
          <w:spacing w:val="-8"/>
          <w:sz w:val="20"/>
        </w:rPr>
        <w:t xml:space="preserve"> </w:t>
      </w:r>
      <w:r>
        <w:rPr>
          <w:sz w:val="20"/>
        </w:rPr>
        <w:t>Gender</w:t>
      </w:r>
      <w:r>
        <w:rPr>
          <w:spacing w:val="-9"/>
          <w:sz w:val="20"/>
        </w:rPr>
        <w:t xml:space="preserve"> </w:t>
      </w:r>
      <w:r>
        <w:rPr>
          <w:sz w:val="20"/>
        </w:rPr>
        <w:t>Identity</w:t>
      </w:r>
      <w:r>
        <w:rPr>
          <w:spacing w:val="-8"/>
          <w:sz w:val="20"/>
        </w:rPr>
        <w:t xml:space="preserve"> </w:t>
      </w:r>
      <w:r>
        <w:rPr>
          <w:sz w:val="20"/>
        </w:rPr>
        <w:t>Policy</w:t>
      </w:r>
      <w:r>
        <w:rPr>
          <w:spacing w:val="-10"/>
          <w:sz w:val="20"/>
        </w:rPr>
        <w:t xml:space="preserve"> </w:t>
      </w:r>
      <w:r>
        <w:rPr>
          <w:sz w:val="20"/>
        </w:rPr>
        <w:t>Clarification,”</w:t>
      </w:r>
      <w:r>
        <w:rPr>
          <w:spacing w:val="-10"/>
          <w:sz w:val="20"/>
        </w:rPr>
        <w:t xml:space="preserve"> </w:t>
      </w:r>
      <w:r>
        <w:rPr>
          <w:sz w:val="20"/>
        </w:rPr>
        <w:t>n.d.,</w:t>
      </w:r>
      <w:r>
        <w:rPr>
          <w:spacing w:val="-11"/>
          <w:sz w:val="20"/>
        </w:rPr>
        <w:t xml:space="preserve"> </w:t>
      </w:r>
      <w:r>
        <w:rPr>
          <w:sz w:val="20"/>
        </w:rPr>
        <w:t xml:space="preserve">https://ma-lgbtq.org/wp- </w:t>
      </w:r>
      <w:r>
        <w:rPr>
          <w:spacing w:val="-2"/>
          <w:sz w:val="20"/>
        </w:rPr>
        <w:t>content/uploads/2020/05/MIAA-Gender-Identity-Policy-Clarification.pdf.</w:t>
      </w:r>
    </w:p>
    <w:p w:rsidR="00C76E6D" w:rsidRDefault="00913831">
      <w:pPr>
        <w:ind w:left="480"/>
        <w:rPr>
          <w:sz w:val="20"/>
        </w:rPr>
      </w:pPr>
      <w:bookmarkStart w:id="168" w:name="_bookmark85"/>
      <w:bookmarkEnd w:id="168"/>
      <w:r>
        <w:rPr>
          <w:sz w:val="20"/>
          <w:vertAlign w:val="superscript"/>
        </w:rPr>
        <w:t>16</w:t>
      </w:r>
      <w:r>
        <w:rPr>
          <w:spacing w:val="-8"/>
          <w:sz w:val="20"/>
        </w:rPr>
        <w:t xml:space="preserve"> </w:t>
      </w:r>
      <w:r>
        <w:rPr>
          <w:sz w:val="20"/>
        </w:rPr>
        <w:t>Winchester</w:t>
      </w:r>
      <w:r>
        <w:rPr>
          <w:spacing w:val="-9"/>
          <w:sz w:val="20"/>
        </w:rPr>
        <w:t xml:space="preserve"> </w:t>
      </w:r>
      <w:r>
        <w:rPr>
          <w:sz w:val="20"/>
        </w:rPr>
        <w:t>Public</w:t>
      </w:r>
      <w:r>
        <w:rPr>
          <w:spacing w:val="-10"/>
          <w:sz w:val="20"/>
        </w:rPr>
        <w:t xml:space="preserve"> </w:t>
      </w:r>
      <w:r>
        <w:rPr>
          <w:sz w:val="20"/>
        </w:rPr>
        <w:t>Schools,</w:t>
      </w:r>
      <w:r>
        <w:rPr>
          <w:spacing w:val="-7"/>
          <w:sz w:val="20"/>
        </w:rPr>
        <w:t xml:space="preserve"> </w:t>
      </w:r>
      <w:r>
        <w:rPr>
          <w:sz w:val="20"/>
        </w:rPr>
        <w:t>“McCall</w:t>
      </w:r>
      <w:r>
        <w:rPr>
          <w:spacing w:val="-9"/>
          <w:sz w:val="20"/>
        </w:rPr>
        <w:t xml:space="preserve"> </w:t>
      </w:r>
      <w:r>
        <w:rPr>
          <w:sz w:val="20"/>
        </w:rPr>
        <w:t>Middle</w:t>
      </w:r>
      <w:r>
        <w:rPr>
          <w:spacing w:val="-9"/>
          <w:sz w:val="20"/>
        </w:rPr>
        <w:t xml:space="preserve"> </w:t>
      </w:r>
      <w:r>
        <w:rPr>
          <w:sz w:val="20"/>
        </w:rPr>
        <w:t>School</w:t>
      </w:r>
      <w:r>
        <w:rPr>
          <w:spacing w:val="-8"/>
          <w:sz w:val="20"/>
        </w:rPr>
        <w:t xml:space="preserve"> </w:t>
      </w:r>
      <w:r>
        <w:rPr>
          <w:sz w:val="20"/>
        </w:rPr>
        <w:t>Parent</w:t>
      </w:r>
      <w:r>
        <w:rPr>
          <w:spacing w:val="-10"/>
          <w:sz w:val="20"/>
        </w:rPr>
        <w:t xml:space="preserve"> </w:t>
      </w:r>
      <w:r>
        <w:rPr>
          <w:sz w:val="20"/>
        </w:rPr>
        <w:t>And</w:t>
      </w:r>
      <w:r>
        <w:rPr>
          <w:spacing w:val="-8"/>
          <w:sz w:val="20"/>
        </w:rPr>
        <w:t xml:space="preserve"> </w:t>
      </w:r>
      <w:r>
        <w:rPr>
          <w:sz w:val="20"/>
        </w:rPr>
        <w:t>Student</w:t>
      </w:r>
      <w:r>
        <w:rPr>
          <w:spacing w:val="-6"/>
          <w:sz w:val="20"/>
        </w:rPr>
        <w:t xml:space="preserve"> </w:t>
      </w:r>
      <w:r>
        <w:rPr>
          <w:sz w:val="20"/>
        </w:rPr>
        <w:t>Handbook</w:t>
      </w:r>
      <w:r>
        <w:rPr>
          <w:spacing w:val="-10"/>
          <w:sz w:val="20"/>
        </w:rPr>
        <w:t xml:space="preserve"> </w:t>
      </w:r>
      <w:r>
        <w:rPr>
          <w:sz w:val="20"/>
        </w:rPr>
        <w:t>2021-</w:t>
      </w:r>
      <w:r>
        <w:rPr>
          <w:spacing w:val="-2"/>
          <w:sz w:val="20"/>
        </w:rPr>
        <w:t>2022.”</w:t>
      </w:r>
    </w:p>
    <w:p w:rsidR="00C76E6D" w:rsidRDefault="00913831">
      <w:pPr>
        <w:spacing w:before="3" w:line="244" w:lineRule="exact"/>
        <w:ind w:left="480"/>
        <w:rPr>
          <w:sz w:val="20"/>
        </w:rPr>
      </w:pPr>
      <w:bookmarkStart w:id="169" w:name="_bookmark86"/>
      <w:bookmarkEnd w:id="169"/>
      <w:r>
        <w:rPr>
          <w:sz w:val="20"/>
          <w:vertAlign w:val="superscript"/>
        </w:rPr>
        <w:t>17</w:t>
      </w:r>
      <w:r>
        <w:rPr>
          <w:spacing w:val="-7"/>
          <w:sz w:val="20"/>
        </w:rPr>
        <w:t xml:space="preserve"> </w:t>
      </w:r>
      <w:bookmarkStart w:id="170" w:name="_bookmark87"/>
      <w:bookmarkEnd w:id="170"/>
      <w:r>
        <w:rPr>
          <w:sz w:val="20"/>
        </w:rPr>
        <w:t>Community</w:t>
      </w:r>
      <w:r>
        <w:rPr>
          <w:spacing w:val="-9"/>
          <w:sz w:val="20"/>
        </w:rPr>
        <w:t xml:space="preserve"> </w:t>
      </w:r>
      <w:r>
        <w:rPr>
          <w:sz w:val="20"/>
        </w:rPr>
        <w:t>Charter</w:t>
      </w:r>
      <w:r>
        <w:rPr>
          <w:spacing w:val="-9"/>
          <w:sz w:val="20"/>
        </w:rPr>
        <w:t xml:space="preserve"> </w:t>
      </w:r>
      <w:r>
        <w:rPr>
          <w:sz w:val="20"/>
        </w:rPr>
        <w:t>School</w:t>
      </w:r>
      <w:r>
        <w:rPr>
          <w:spacing w:val="-11"/>
          <w:sz w:val="20"/>
        </w:rPr>
        <w:t xml:space="preserve"> </w:t>
      </w:r>
      <w:r>
        <w:rPr>
          <w:sz w:val="20"/>
        </w:rPr>
        <w:t>of</w:t>
      </w:r>
      <w:r>
        <w:rPr>
          <w:spacing w:val="-8"/>
          <w:sz w:val="20"/>
        </w:rPr>
        <w:t xml:space="preserve"> </w:t>
      </w:r>
      <w:r>
        <w:rPr>
          <w:sz w:val="20"/>
        </w:rPr>
        <w:t>Cambridge,</w:t>
      </w:r>
      <w:r>
        <w:rPr>
          <w:spacing w:val="-9"/>
          <w:sz w:val="20"/>
        </w:rPr>
        <w:t xml:space="preserve"> </w:t>
      </w:r>
      <w:r>
        <w:rPr>
          <w:sz w:val="20"/>
        </w:rPr>
        <w:t>“Student</w:t>
      </w:r>
      <w:r>
        <w:rPr>
          <w:spacing w:val="-10"/>
          <w:sz w:val="20"/>
        </w:rPr>
        <w:t xml:space="preserve"> </w:t>
      </w:r>
      <w:r>
        <w:rPr>
          <w:sz w:val="20"/>
        </w:rPr>
        <w:t>&amp;</w:t>
      </w:r>
      <w:r>
        <w:rPr>
          <w:spacing w:val="-9"/>
          <w:sz w:val="20"/>
        </w:rPr>
        <w:t xml:space="preserve"> </w:t>
      </w:r>
      <w:r>
        <w:rPr>
          <w:sz w:val="20"/>
        </w:rPr>
        <w:t>Family</w:t>
      </w:r>
      <w:r>
        <w:rPr>
          <w:spacing w:val="-7"/>
          <w:sz w:val="20"/>
        </w:rPr>
        <w:t xml:space="preserve"> </w:t>
      </w:r>
      <w:r>
        <w:rPr>
          <w:sz w:val="20"/>
        </w:rPr>
        <w:t>Handbook</w:t>
      </w:r>
      <w:r>
        <w:rPr>
          <w:spacing w:val="-10"/>
          <w:sz w:val="20"/>
        </w:rPr>
        <w:t xml:space="preserve"> </w:t>
      </w:r>
      <w:r>
        <w:rPr>
          <w:sz w:val="20"/>
        </w:rPr>
        <w:t>2021-</w:t>
      </w:r>
      <w:r>
        <w:rPr>
          <w:spacing w:val="-2"/>
          <w:sz w:val="20"/>
        </w:rPr>
        <w:t>2022.”</w:t>
      </w:r>
    </w:p>
    <w:p w:rsidR="00C76E6D" w:rsidRDefault="00913831">
      <w:pPr>
        <w:spacing w:line="244" w:lineRule="exact"/>
        <w:ind w:left="480"/>
        <w:rPr>
          <w:sz w:val="20"/>
        </w:rPr>
      </w:pPr>
      <w:r>
        <w:rPr>
          <w:sz w:val="20"/>
          <w:vertAlign w:val="superscript"/>
        </w:rPr>
        <w:t>18</w:t>
      </w:r>
      <w:r>
        <w:rPr>
          <w:spacing w:val="-7"/>
          <w:sz w:val="20"/>
        </w:rPr>
        <w:t xml:space="preserve"> </w:t>
      </w:r>
      <w:bookmarkStart w:id="171" w:name="_bookmark88"/>
      <w:bookmarkEnd w:id="171"/>
      <w:r>
        <w:rPr>
          <w:sz w:val="20"/>
        </w:rPr>
        <w:t>Community</w:t>
      </w:r>
      <w:r>
        <w:rPr>
          <w:spacing w:val="-7"/>
          <w:sz w:val="20"/>
        </w:rPr>
        <w:t xml:space="preserve"> </w:t>
      </w:r>
      <w:r>
        <w:rPr>
          <w:sz w:val="20"/>
        </w:rPr>
        <w:t>Charter</w:t>
      </w:r>
      <w:r>
        <w:rPr>
          <w:spacing w:val="-8"/>
          <w:sz w:val="20"/>
        </w:rPr>
        <w:t xml:space="preserve"> </w:t>
      </w:r>
      <w:r>
        <w:rPr>
          <w:sz w:val="20"/>
        </w:rPr>
        <w:t>School</w:t>
      </w:r>
      <w:r>
        <w:rPr>
          <w:spacing w:val="-9"/>
          <w:sz w:val="20"/>
        </w:rPr>
        <w:t xml:space="preserve"> </w:t>
      </w:r>
      <w:r>
        <w:rPr>
          <w:sz w:val="20"/>
        </w:rPr>
        <w:t>of</w:t>
      </w:r>
      <w:r>
        <w:rPr>
          <w:spacing w:val="-7"/>
          <w:sz w:val="20"/>
        </w:rPr>
        <w:t xml:space="preserve"> </w:t>
      </w:r>
      <w:r>
        <w:rPr>
          <w:spacing w:val="-2"/>
          <w:sz w:val="20"/>
        </w:rPr>
        <w:t>Cambridge.</w:t>
      </w:r>
    </w:p>
    <w:p w:rsidR="00C76E6D" w:rsidRDefault="00913831">
      <w:pPr>
        <w:spacing w:before="2" w:line="241" w:lineRule="exact"/>
        <w:ind w:left="480"/>
        <w:rPr>
          <w:sz w:val="20"/>
        </w:rPr>
      </w:pPr>
      <w:r>
        <w:rPr>
          <w:sz w:val="20"/>
          <w:vertAlign w:val="superscript"/>
        </w:rPr>
        <w:t>19</w:t>
      </w:r>
      <w:r>
        <w:rPr>
          <w:spacing w:val="-8"/>
          <w:sz w:val="20"/>
        </w:rPr>
        <w:t xml:space="preserve"> </w:t>
      </w:r>
      <w:bookmarkStart w:id="172" w:name="_bookmark89"/>
      <w:bookmarkEnd w:id="172"/>
      <w:r>
        <w:rPr>
          <w:sz w:val="20"/>
        </w:rPr>
        <w:t>Winchester</w:t>
      </w:r>
      <w:r>
        <w:rPr>
          <w:spacing w:val="-9"/>
          <w:sz w:val="20"/>
        </w:rPr>
        <w:t xml:space="preserve"> </w:t>
      </w:r>
      <w:r>
        <w:rPr>
          <w:sz w:val="20"/>
        </w:rPr>
        <w:t>Public</w:t>
      </w:r>
      <w:r>
        <w:rPr>
          <w:spacing w:val="-10"/>
          <w:sz w:val="20"/>
        </w:rPr>
        <w:t xml:space="preserve"> </w:t>
      </w:r>
      <w:r>
        <w:rPr>
          <w:sz w:val="20"/>
        </w:rPr>
        <w:t>Schools,</w:t>
      </w:r>
      <w:r>
        <w:rPr>
          <w:spacing w:val="-7"/>
          <w:sz w:val="20"/>
        </w:rPr>
        <w:t xml:space="preserve"> </w:t>
      </w:r>
      <w:r>
        <w:rPr>
          <w:sz w:val="20"/>
        </w:rPr>
        <w:t>“McCall</w:t>
      </w:r>
      <w:r>
        <w:rPr>
          <w:spacing w:val="-9"/>
          <w:sz w:val="20"/>
        </w:rPr>
        <w:t xml:space="preserve"> </w:t>
      </w:r>
      <w:r>
        <w:rPr>
          <w:sz w:val="20"/>
        </w:rPr>
        <w:t>Middle</w:t>
      </w:r>
      <w:r>
        <w:rPr>
          <w:spacing w:val="-9"/>
          <w:sz w:val="20"/>
        </w:rPr>
        <w:t xml:space="preserve"> </w:t>
      </w:r>
      <w:r>
        <w:rPr>
          <w:sz w:val="20"/>
        </w:rPr>
        <w:t>School</w:t>
      </w:r>
      <w:r>
        <w:rPr>
          <w:spacing w:val="-8"/>
          <w:sz w:val="20"/>
        </w:rPr>
        <w:t xml:space="preserve"> </w:t>
      </w:r>
      <w:r>
        <w:rPr>
          <w:sz w:val="20"/>
        </w:rPr>
        <w:t>Parent</w:t>
      </w:r>
      <w:r>
        <w:rPr>
          <w:spacing w:val="-10"/>
          <w:sz w:val="20"/>
        </w:rPr>
        <w:t xml:space="preserve"> </w:t>
      </w:r>
      <w:r>
        <w:rPr>
          <w:sz w:val="20"/>
        </w:rPr>
        <w:t>And</w:t>
      </w:r>
      <w:r>
        <w:rPr>
          <w:spacing w:val="-8"/>
          <w:sz w:val="20"/>
        </w:rPr>
        <w:t xml:space="preserve"> </w:t>
      </w:r>
      <w:r>
        <w:rPr>
          <w:sz w:val="20"/>
        </w:rPr>
        <w:t>Student</w:t>
      </w:r>
      <w:r>
        <w:rPr>
          <w:spacing w:val="-6"/>
          <w:sz w:val="20"/>
        </w:rPr>
        <w:t xml:space="preserve"> </w:t>
      </w:r>
      <w:r>
        <w:rPr>
          <w:sz w:val="20"/>
        </w:rPr>
        <w:t>Handbook</w:t>
      </w:r>
      <w:r>
        <w:rPr>
          <w:spacing w:val="-10"/>
          <w:sz w:val="20"/>
        </w:rPr>
        <w:t xml:space="preserve"> </w:t>
      </w:r>
      <w:r>
        <w:rPr>
          <w:sz w:val="20"/>
        </w:rPr>
        <w:t>2021-</w:t>
      </w:r>
      <w:r>
        <w:rPr>
          <w:spacing w:val="-2"/>
          <w:sz w:val="20"/>
        </w:rPr>
        <w:t>2022.”</w:t>
      </w:r>
    </w:p>
    <w:p w:rsidR="00C76E6D" w:rsidRDefault="00913831">
      <w:pPr>
        <w:ind w:left="480" w:right="541" w:hanging="2"/>
        <w:rPr>
          <w:sz w:val="20"/>
        </w:rPr>
      </w:pPr>
      <w:r>
        <w:rPr>
          <w:sz w:val="20"/>
          <w:vertAlign w:val="superscript"/>
        </w:rPr>
        <w:t>20</w:t>
      </w:r>
      <w:r>
        <w:rPr>
          <w:sz w:val="20"/>
        </w:rPr>
        <w:t xml:space="preserve"> Massachusetts Department of Elementary and Secondary Education, “Principles for Ensuring Safe and Supportive</w:t>
      </w:r>
      <w:r>
        <w:rPr>
          <w:spacing w:val="-7"/>
          <w:sz w:val="20"/>
        </w:rPr>
        <w:t xml:space="preserve"> </w:t>
      </w:r>
      <w:r>
        <w:rPr>
          <w:sz w:val="20"/>
        </w:rPr>
        <w:t>Learning</w:t>
      </w:r>
      <w:r>
        <w:rPr>
          <w:spacing w:val="-7"/>
          <w:sz w:val="20"/>
        </w:rPr>
        <w:t xml:space="preserve"> </w:t>
      </w:r>
      <w:r>
        <w:rPr>
          <w:sz w:val="20"/>
        </w:rPr>
        <w:t>Environments</w:t>
      </w:r>
      <w:r>
        <w:rPr>
          <w:spacing w:val="-7"/>
          <w:sz w:val="20"/>
        </w:rPr>
        <w:t xml:space="preserve"> </w:t>
      </w:r>
      <w:r>
        <w:rPr>
          <w:sz w:val="20"/>
        </w:rPr>
        <w:t>for</w:t>
      </w:r>
      <w:r>
        <w:rPr>
          <w:spacing w:val="-7"/>
          <w:sz w:val="20"/>
        </w:rPr>
        <w:t xml:space="preserve"> </w:t>
      </w:r>
      <w:r>
        <w:rPr>
          <w:sz w:val="20"/>
        </w:rPr>
        <w:t>Lesbian,</w:t>
      </w:r>
      <w:r>
        <w:rPr>
          <w:spacing w:val="-6"/>
          <w:sz w:val="20"/>
        </w:rPr>
        <w:t xml:space="preserve"> </w:t>
      </w:r>
      <w:r>
        <w:rPr>
          <w:sz w:val="20"/>
        </w:rPr>
        <w:t>Gay,</w:t>
      </w:r>
      <w:r>
        <w:rPr>
          <w:spacing w:val="-8"/>
          <w:sz w:val="20"/>
        </w:rPr>
        <w:t xml:space="preserve"> </w:t>
      </w:r>
      <w:r>
        <w:rPr>
          <w:sz w:val="20"/>
        </w:rPr>
        <w:t>Bisexual,</w:t>
      </w:r>
      <w:r>
        <w:rPr>
          <w:spacing w:val="-6"/>
          <w:sz w:val="20"/>
        </w:rPr>
        <w:t xml:space="preserve"> </w:t>
      </w:r>
      <w:r>
        <w:rPr>
          <w:sz w:val="20"/>
        </w:rPr>
        <w:t>Transgender,</w:t>
      </w:r>
      <w:r>
        <w:rPr>
          <w:spacing w:val="-6"/>
          <w:sz w:val="20"/>
        </w:rPr>
        <w:t xml:space="preserve"> </w:t>
      </w:r>
      <w:r>
        <w:rPr>
          <w:sz w:val="20"/>
        </w:rPr>
        <w:t>Queer,</w:t>
      </w:r>
      <w:r>
        <w:rPr>
          <w:spacing w:val="-8"/>
          <w:sz w:val="20"/>
        </w:rPr>
        <w:t xml:space="preserve"> </w:t>
      </w:r>
      <w:r>
        <w:rPr>
          <w:sz w:val="20"/>
        </w:rPr>
        <w:t>and</w:t>
      </w:r>
      <w:r>
        <w:rPr>
          <w:spacing w:val="-8"/>
          <w:sz w:val="20"/>
        </w:rPr>
        <w:t xml:space="preserve"> </w:t>
      </w:r>
      <w:r>
        <w:rPr>
          <w:sz w:val="20"/>
        </w:rPr>
        <w:t>Questioning</w:t>
      </w:r>
      <w:r>
        <w:rPr>
          <w:spacing w:val="-8"/>
          <w:sz w:val="20"/>
        </w:rPr>
        <w:t xml:space="preserve"> </w:t>
      </w:r>
      <w:r>
        <w:rPr>
          <w:sz w:val="20"/>
        </w:rPr>
        <w:t>(LGBTQ) Students,” n.d., https://</w:t>
      </w:r>
      <w:hyperlink r:id="rId195">
        <w:r>
          <w:rPr>
            <w:sz w:val="20"/>
          </w:rPr>
          <w:t>www.doe.mass.edu/sfs/lgbtq/Principles-SafeEnvironment.html.</w:t>
        </w:r>
      </w:hyperlink>
    </w:p>
    <w:p w:rsidR="00C76E6D" w:rsidRDefault="00C76E6D">
      <w:pPr>
        <w:rPr>
          <w:sz w:val="20"/>
        </w:rPr>
        <w:sectPr w:rsidR="00C76E6D">
          <w:pgSz w:w="12240" w:h="15840"/>
          <w:pgMar w:top="960" w:right="960" w:bottom="1200" w:left="960" w:header="769" w:footer="1005" w:gutter="0"/>
          <w:cols w:space="720"/>
        </w:sectPr>
      </w:pPr>
    </w:p>
    <w:p w:rsidR="00C76E6D" w:rsidRDefault="00C76E6D">
      <w:pPr>
        <w:pStyle w:val="BodyText"/>
        <w:rPr>
          <w:sz w:val="20"/>
        </w:rPr>
      </w:pPr>
    </w:p>
    <w:p w:rsidR="00C76E6D" w:rsidRDefault="00913831">
      <w:pPr>
        <w:pStyle w:val="Heading1"/>
        <w:spacing w:before="184"/>
      </w:pPr>
      <w:bookmarkStart w:id="173" w:name="INCREASING_INCLUSION"/>
      <w:bookmarkEnd w:id="173"/>
      <w:r>
        <w:rPr>
          <w:spacing w:val="-2"/>
        </w:rPr>
        <w:t>INCREASING</w:t>
      </w:r>
      <w:r>
        <w:rPr>
          <w:spacing w:val="1"/>
        </w:rPr>
        <w:t xml:space="preserve"> </w:t>
      </w:r>
      <w:r>
        <w:rPr>
          <w:spacing w:val="-2"/>
        </w:rPr>
        <w:t>INCLUSION</w:t>
      </w:r>
    </w:p>
    <w:p w:rsidR="00C76E6D" w:rsidRDefault="00913831">
      <w:pPr>
        <w:pStyle w:val="BodyText"/>
        <w:spacing w:before="8"/>
        <w:rPr>
          <w:b/>
          <w:sz w:val="11"/>
        </w:rPr>
      </w:pPr>
      <w:r>
        <w:pict>
          <v:shape id="docshape268" o:spid="_x0000_s1165" style="position:absolute;margin-left:70.6pt;margin-top:8.3pt;width:470.95pt;height:.1pt;z-index:-15686144;mso-wrap-distance-left:0;mso-wrap-distance-right:0;mso-position-horizontal-relative:page" coordorigin="1412,166" coordsize="9419,0" path="m1412,166r9419,e" filled="f" strokeweight="1.54pt">
            <v:path arrowok="t"/>
            <w10:wrap type="topAndBottom" anchorx="page"/>
          </v:shape>
        </w:pict>
      </w:r>
    </w:p>
    <w:p w:rsidR="00C76E6D" w:rsidRDefault="00913831">
      <w:pPr>
        <w:pStyle w:val="Heading5"/>
        <w:numPr>
          <w:ilvl w:val="0"/>
          <w:numId w:val="46"/>
        </w:numPr>
        <w:tabs>
          <w:tab w:val="left" w:pos="838"/>
        </w:tabs>
        <w:spacing w:before="279"/>
        <w:ind w:hanging="360"/>
        <w:jc w:val="left"/>
      </w:pPr>
      <w:r>
        <w:rPr>
          <w:spacing w:val="-2"/>
        </w:rPr>
        <w:t>Introduction</w:t>
      </w:r>
    </w:p>
    <w:p w:rsidR="00C76E6D" w:rsidRDefault="00913831">
      <w:pPr>
        <w:pStyle w:val="BodyText"/>
        <w:spacing w:before="4"/>
        <w:rPr>
          <w:b/>
          <w:sz w:val="19"/>
        </w:rPr>
      </w:pPr>
      <w:r>
        <w:pict>
          <v:shape id="docshape269" o:spid="_x0000_s1164" style="position:absolute;margin-left:1in;margin-top:13.05pt;width:466.3pt;height:.1pt;z-index:-15685632;mso-wrap-distance-left:0;mso-wrap-distance-right:0;mso-position-horizontal-relative:page" coordorigin="1440,261" coordsize="9326,0" path="m1440,261r9326,e" filled="f" strokeweight=".40958mm">
            <v:path arrowok="t"/>
            <w10:wrap type="topAndBottom" anchorx="page"/>
          </v:shape>
        </w:pict>
      </w:r>
    </w:p>
    <w:p w:rsidR="00C76E6D" w:rsidRDefault="00C76E6D">
      <w:pPr>
        <w:pStyle w:val="BodyText"/>
        <w:spacing w:before="7"/>
        <w:rPr>
          <w:b/>
          <w:sz w:val="20"/>
        </w:rPr>
      </w:pPr>
    </w:p>
    <w:p w:rsidR="00C76E6D" w:rsidRDefault="00913831">
      <w:pPr>
        <w:pStyle w:val="BodyText"/>
        <w:spacing w:line="276" w:lineRule="auto"/>
        <w:ind w:left="480" w:right="471" w:hanging="2"/>
        <w:jc w:val="both"/>
      </w:pPr>
      <w:r>
        <w:rPr>
          <w:sz w:val="24"/>
        </w:rPr>
        <w:t xml:space="preserve">LGBTQ </w:t>
      </w:r>
      <w:r>
        <w:t xml:space="preserve">youth need to be included in all aspects of society, starting with their own homes – where they frequently face familial rejection – and continuing onto community, government, and school settings. Much of the Commission’s work in this field has focused on </w:t>
      </w:r>
      <w:r>
        <w:t>schools, where its Safe Schools Program for LGBTQ Students provides services both for educators and for students themselves. The Commission has also made progress on including LGBTQ youth in government services, though mandatory, statewide training</w:t>
      </w:r>
      <w:r>
        <w:rPr>
          <w:spacing w:val="-9"/>
        </w:rPr>
        <w:t xml:space="preserve"> </w:t>
      </w:r>
      <w:r>
        <w:t>on</w:t>
      </w:r>
      <w:r>
        <w:rPr>
          <w:spacing w:val="-9"/>
        </w:rPr>
        <w:t xml:space="preserve"> </w:t>
      </w:r>
      <w:r>
        <w:t>LGBT</w:t>
      </w:r>
      <w:r>
        <w:t>Q</w:t>
      </w:r>
      <w:r>
        <w:rPr>
          <w:spacing w:val="-9"/>
        </w:rPr>
        <w:t xml:space="preserve"> </w:t>
      </w:r>
      <w:r>
        <w:t>inclusion</w:t>
      </w:r>
      <w:r>
        <w:rPr>
          <w:spacing w:val="-10"/>
        </w:rPr>
        <w:t xml:space="preserve"> </w:t>
      </w:r>
      <w:r>
        <w:t>for</w:t>
      </w:r>
      <w:r>
        <w:rPr>
          <w:spacing w:val="-10"/>
        </w:rPr>
        <w:t xml:space="preserve"> </w:t>
      </w:r>
      <w:r>
        <w:t>state</w:t>
      </w:r>
      <w:r>
        <w:rPr>
          <w:spacing w:val="-9"/>
        </w:rPr>
        <w:t xml:space="preserve"> </w:t>
      </w:r>
      <w:r>
        <w:t>employees</w:t>
      </w:r>
      <w:r>
        <w:rPr>
          <w:spacing w:val="-10"/>
        </w:rPr>
        <w:t xml:space="preserve"> </w:t>
      </w:r>
      <w:r>
        <w:t>and</w:t>
      </w:r>
      <w:r>
        <w:rPr>
          <w:spacing w:val="-10"/>
        </w:rPr>
        <w:t xml:space="preserve"> </w:t>
      </w:r>
      <w:r>
        <w:t>contractors</w:t>
      </w:r>
      <w:r>
        <w:rPr>
          <w:spacing w:val="-7"/>
        </w:rPr>
        <w:t xml:space="preserve"> </w:t>
      </w:r>
      <w:r>
        <w:t>would</w:t>
      </w:r>
      <w:r>
        <w:rPr>
          <w:spacing w:val="-10"/>
        </w:rPr>
        <w:t xml:space="preserve"> </w:t>
      </w:r>
      <w:r>
        <w:t>be</w:t>
      </w:r>
      <w:r>
        <w:rPr>
          <w:spacing w:val="-10"/>
        </w:rPr>
        <w:t xml:space="preserve"> </w:t>
      </w:r>
      <w:r>
        <w:t>a</w:t>
      </w:r>
      <w:r>
        <w:rPr>
          <w:spacing w:val="-7"/>
        </w:rPr>
        <w:t xml:space="preserve"> </w:t>
      </w:r>
      <w:r>
        <w:t>major</w:t>
      </w:r>
      <w:r>
        <w:rPr>
          <w:spacing w:val="-10"/>
        </w:rPr>
        <w:t xml:space="preserve"> </w:t>
      </w:r>
      <w:r>
        <w:t>step</w:t>
      </w:r>
      <w:r>
        <w:rPr>
          <w:spacing w:val="-10"/>
        </w:rPr>
        <w:t xml:space="preserve"> </w:t>
      </w:r>
      <w:r>
        <w:t>forward;</w:t>
      </w:r>
      <w:r>
        <w:rPr>
          <w:spacing w:val="-11"/>
        </w:rPr>
        <w:t xml:space="preserve"> </w:t>
      </w:r>
      <w:r>
        <w:t>that</w:t>
      </w:r>
      <w:r>
        <w:rPr>
          <w:spacing w:val="-11"/>
        </w:rPr>
        <w:t xml:space="preserve"> </w:t>
      </w:r>
      <w:r>
        <w:t>goal is reflected in the recommendations below and is one on which the Commission has made significant progress through the development of a curriculum with an EOHHS workin</w:t>
      </w:r>
      <w:r>
        <w:t>g group. Inclusion in the community is another goal that could be furthered through state action by requiring the same or similar training for community-based providers that receive state funds.</w:t>
      </w:r>
    </w:p>
    <w:p w:rsidR="00C76E6D" w:rsidRDefault="00C76E6D">
      <w:pPr>
        <w:pStyle w:val="BodyText"/>
        <w:spacing w:before="11"/>
        <w:rPr>
          <w:sz w:val="26"/>
        </w:rPr>
      </w:pPr>
    </w:p>
    <w:p w:rsidR="00C76E6D" w:rsidRDefault="00913831">
      <w:pPr>
        <w:pStyle w:val="BodyText"/>
        <w:spacing w:line="276" w:lineRule="auto"/>
        <w:ind w:left="480" w:right="472" w:hanging="1"/>
        <w:jc w:val="both"/>
      </w:pPr>
      <w:r>
        <w:t>Family-based acceptance has been a more elusive goal for the</w:t>
      </w:r>
      <w:r>
        <w:t xml:space="preserve"> Commission, given that there are fewer opportunities</w:t>
      </w:r>
      <w:r>
        <w:rPr>
          <w:spacing w:val="-9"/>
        </w:rPr>
        <w:t xml:space="preserve"> </w:t>
      </w:r>
      <w:r>
        <w:t>to</w:t>
      </w:r>
      <w:r>
        <w:rPr>
          <w:spacing w:val="-11"/>
        </w:rPr>
        <w:t xml:space="preserve"> </w:t>
      </w:r>
      <w:r>
        <w:t>interact</w:t>
      </w:r>
      <w:r>
        <w:rPr>
          <w:spacing w:val="-10"/>
        </w:rPr>
        <w:t xml:space="preserve"> </w:t>
      </w:r>
      <w:r>
        <w:t>with</w:t>
      </w:r>
      <w:r>
        <w:rPr>
          <w:spacing w:val="-10"/>
        </w:rPr>
        <w:t xml:space="preserve"> </w:t>
      </w:r>
      <w:r>
        <w:t>families</w:t>
      </w:r>
      <w:r>
        <w:rPr>
          <w:spacing w:val="-8"/>
        </w:rPr>
        <w:t xml:space="preserve"> </w:t>
      </w:r>
      <w:r>
        <w:t>(particularly</w:t>
      </w:r>
      <w:r>
        <w:rPr>
          <w:spacing w:val="-9"/>
        </w:rPr>
        <w:t xml:space="preserve"> </w:t>
      </w:r>
      <w:r>
        <w:t>those</w:t>
      </w:r>
      <w:r>
        <w:rPr>
          <w:spacing w:val="-10"/>
        </w:rPr>
        <w:t xml:space="preserve"> </w:t>
      </w:r>
      <w:r>
        <w:t>who</w:t>
      </w:r>
      <w:r>
        <w:rPr>
          <w:spacing w:val="-11"/>
        </w:rPr>
        <w:t xml:space="preserve"> </w:t>
      </w:r>
      <w:r>
        <w:t>do</w:t>
      </w:r>
      <w:r>
        <w:rPr>
          <w:spacing w:val="-9"/>
        </w:rPr>
        <w:t xml:space="preserve"> </w:t>
      </w:r>
      <w:r>
        <w:t>not</w:t>
      </w:r>
      <w:r>
        <w:rPr>
          <w:spacing w:val="-12"/>
        </w:rPr>
        <w:t xml:space="preserve"> </w:t>
      </w:r>
      <w:r>
        <w:t>support</w:t>
      </w:r>
      <w:r>
        <w:rPr>
          <w:spacing w:val="-10"/>
        </w:rPr>
        <w:t xml:space="preserve"> </w:t>
      </w:r>
      <w:r>
        <w:t>LGBTQ</w:t>
      </w:r>
      <w:r>
        <w:rPr>
          <w:spacing w:val="-11"/>
        </w:rPr>
        <w:t xml:space="preserve"> </w:t>
      </w:r>
      <w:r>
        <w:t>inclusion)</w:t>
      </w:r>
      <w:r>
        <w:rPr>
          <w:spacing w:val="-10"/>
        </w:rPr>
        <w:t xml:space="preserve"> </w:t>
      </w:r>
      <w:r>
        <w:t>than</w:t>
      </w:r>
      <w:r>
        <w:rPr>
          <w:spacing w:val="-9"/>
        </w:rPr>
        <w:t xml:space="preserve"> </w:t>
      </w:r>
      <w:r>
        <w:t>there are</w:t>
      </w:r>
      <w:r>
        <w:rPr>
          <w:spacing w:val="-7"/>
        </w:rPr>
        <w:t xml:space="preserve"> </w:t>
      </w:r>
      <w:r>
        <w:t>with</w:t>
      </w:r>
      <w:r>
        <w:rPr>
          <w:spacing w:val="-4"/>
        </w:rPr>
        <w:t xml:space="preserve"> </w:t>
      </w:r>
      <w:r>
        <w:t>educators</w:t>
      </w:r>
      <w:r>
        <w:rPr>
          <w:spacing w:val="-6"/>
        </w:rPr>
        <w:t xml:space="preserve"> </w:t>
      </w:r>
      <w:r>
        <w:t>and</w:t>
      </w:r>
      <w:r>
        <w:rPr>
          <w:spacing w:val="-7"/>
        </w:rPr>
        <w:t xml:space="preserve"> </w:t>
      </w:r>
      <w:r>
        <w:t>government</w:t>
      </w:r>
      <w:r>
        <w:rPr>
          <w:spacing w:val="-6"/>
        </w:rPr>
        <w:t xml:space="preserve"> </w:t>
      </w:r>
      <w:r>
        <w:t>personnel,</w:t>
      </w:r>
      <w:r>
        <w:rPr>
          <w:spacing w:val="-6"/>
        </w:rPr>
        <w:t xml:space="preserve"> </w:t>
      </w:r>
      <w:r>
        <w:t>who</w:t>
      </w:r>
      <w:r>
        <w:rPr>
          <w:spacing w:val="-4"/>
        </w:rPr>
        <w:t xml:space="preserve"> </w:t>
      </w:r>
      <w:r>
        <w:t>can</w:t>
      </w:r>
      <w:r>
        <w:rPr>
          <w:spacing w:val="-7"/>
        </w:rPr>
        <w:t xml:space="preserve"> </w:t>
      </w:r>
      <w:r>
        <w:t>be</w:t>
      </w:r>
      <w:r>
        <w:rPr>
          <w:spacing w:val="-5"/>
        </w:rPr>
        <w:t xml:space="preserve"> </w:t>
      </w:r>
      <w:r>
        <w:t>mandated</w:t>
      </w:r>
      <w:r>
        <w:rPr>
          <w:spacing w:val="-5"/>
        </w:rPr>
        <w:t xml:space="preserve"> </w:t>
      </w:r>
      <w:r>
        <w:t>or</w:t>
      </w:r>
      <w:r>
        <w:rPr>
          <w:spacing w:val="-6"/>
        </w:rPr>
        <w:t xml:space="preserve"> </w:t>
      </w:r>
      <w:r>
        <w:t>encouraged</w:t>
      </w:r>
      <w:r>
        <w:rPr>
          <w:spacing w:val="-5"/>
        </w:rPr>
        <w:t xml:space="preserve"> </w:t>
      </w:r>
      <w:r>
        <w:t>by</w:t>
      </w:r>
      <w:r>
        <w:rPr>
          <w:spacing w:val="-4"/>
        </w:rPr>
        <w:t xml:space="preserve"> </w:t>
      </w:r>
      <w:r>
        <w:t>their</w:t>
      </w:r>
      <w:r>
        <w:rPr>
          <w:spacing w:val="-2"/>
        </w:rPr>
        <w:t xml:space="preserve"> </w:t>
      </w:r>
      <w:r>
        <w:t xml:space="preserve">employers. Additionally, the traditional barrier between the family and the state – which has also been a historical issue in intervening against intimate partner violence and child abuse, for example – is another facet of </w:t>
      </w:r>
      <w:bookmarkStart w:id="174" w:name="_bookmark90"/>
      <w:bookmarkEnd w:id="174"/>
      <w:r>
        <w:t>increasing family acceptance of L</w:t>
      </w:r>
      <w:r>
        <w:t>GBTQ youth. However, this year, the Commission has made significant progress in assessing the needs of LGBTQ youth and their families to create more accepting homes.</w:t>
      </w:r>
    </w:p>
    <w:p w:rsidR="00C76E6D" w:rsidRDefault="00C76E6D">
      <w:pPr>
        <w:pStyle w:val="BodyText"/>
        <w:spacing w:before="10"/>
        <w:rPr>
          <w:sz w:val="19"/>
        </w:rPr>
      </w:pPr>
    </w:p>
    <w:p w:rsidR="00C76E6D" w:rsidRDefault="00913831">
      <w:pPr>
        <w:pStyle w:val="Heading5"/>
        <w:numPr>
          <w:ilvl w:val="0"/>
          <w:numId w:val="46"/>
        </w:numPr>
        <w:tabs>
          <w:tab w:val="left" w:pos="732"/>
        </w:tabs>
        <w:ind w:left="732" w:hanging="252"/>
        <w:jc w:val="left"/>
      </w:pPr>
      <w:r>
        <w:pict>
          <v:shape id="docshape270" o:spid="_x0000_s1163" style="position:absolute;left:0;text-align:left;margin-left:70.6pt;margin-top:16.35pt;width:470.95pt;height:.1pt;z-index:-15685120;mso-wrap-distance-left:0;mso-wrap-distance-right:0;mso-position-horizontal-relative:page" coordorigin="1412,327" coordsize="9419,0" path="m1412,327r9419,e" filled="f" strokeweight="1.54pt">
            <v:path arrowok="t"/>
            <w10:wrap type="topAndBottom" anchorx="page"/>
          </v:shape>
        </w:pict>
      </w:r>
      <w:bookmarkStart w:id="175" w:name="B._Recommendations_to_the_Governor_on_In"/>
      <w:bookmarkEnd w:id="175"/>
      <w:r>
        <w:t>Recommendations</w:t>
      </w:r>
      <w:r>
        <w:rPr>
          <w:spacing w:val="-11"/>
        </w:rPr>
        <w:t xml:space="preserve"> </w:t>
      </w:r>
      <w:r>
        <w:t>to</w:t>
      </w:r>
      <w:r>
        <w:rPr>
          <w:spacing w:val="-7"/>
        </w:rPr>
        <w:t xml:space="preserve"> </w:t>
      </w:r>
      <w:r>
        <w:t>the</w:t>
      </w:r>
      <w:r>
        <w:rPr>
          <w:spacing w:val="-5"/>
        </w:rPr>
        <w:t xml:space="preserve"> </w:t>
      </w:r>
      <w:r>
        <w:t>Governor</w:t>
      </w:r>
      <w:r>
        <w:rPr>
          <w:spacing w:val="-8"/>
        </w:rPr>
        <w:t xml:space="preserve"> </w:t>
      </w:r>
      <w:r>
        <w:t>on</w:t>
      </w:r>
      <w:r>
        <w:rPr>
          <w:spacing w:val="-8"/>
        </w:rPr>
        <w:t xml:space="preserve"> </w:t>
      </w:r>
      <w:r>
        <w:t>Increasing</w:t>
      </w:r>
      <w:r>
        <w:rPr>
          <w:spacing w:val="-5"/>
        </w:rPr>
        <w:t xml:space="preserve"> </w:t>
      </w:r>
      <w:r>
        <w:rPr>
          <w:spacing w:val="-2"/>
        </w:rPr>
        <w:t>Inclusion</w:t>
      </w:r>
    </w:p>
    <w:p w:rsidR="00C76E6D" w:rsidRDefault="00C76E6D">
      <w:pPr>
        <w:pStyle w:val="BodyText"/>
        <w:spacing w:before="7"/>
        <w:rPr>
          <w:b/>
          <w:sz w:val="30"/>
        </w:rPr>
      </w:pPr>
    </w:p>
    <w:p w:rsidR="00C76E6D" w:rsidRDefault="00913831">
      <w:pPr>
        <w:pStyle w:val="Heading6"/>
        <w:numPr>
          <w:ilvl w:val="1"/>
          <w:numId w:val="46"/>
        </w:numPr>
        <w:tabs>
          <w:tab w:val="left" w:pos="754"/>
        </w:tabs>
        <w:spacing w:line="276" w:lineRule="auto"/>
        <w:ind w:right="647" w:firstLine="0"/>
      </w:pPr>
      <w:bookmarkStart w:id="176" w:name="1._Provide_inclusive_and_mandatory_LGBTQ"/>
      <w:bookmarkEnd w:id="176"/>
      <w:r>
        <w:t>Provide</w:t>
      </w:r>
      <w:r>
        <w:rPr>
          <w:spacing w:val="36"/>
        </w:rPr>
        <w:t xml:space="preserve"> </w:t>
      </w:r>
      <w:r>
        <w:t>inclusive</w:t>
      </w:r>
      <w:r>
        <w:rPr>
          <w:spacing w:val="35"/>
        </w:rPr>
        <w:t xml:space="preserve"> </w:t>
      </w:r>
      <w:r>
        <w:t>and</w:t>
      </w:r>
      <w:r>
        <w:rPr>
          <w:spacing w:val="36"/>
        </w:rPr>
        <w:t xml:space="preserve"> </w:t>
      </w:r>
      <w:r>
        <w:t>mandatory</w:t>
      </w:r>
      <w:r>
        <w:rPr>
          <w:spacing w:val="36"/>
        </w:rPr>
        <w:t xml:space="preserve"> </w:t>
      </w:r>
      <w:r>
        <w:t>LGBTQ</w:t>
      </w:r>
      <w:r>
        <w:rPr>
          <w:spacing w:val="36"/>
        </w:rPr>
        <w:t xml:space="preserve"> </w:t>
      </w:r>
      <w:r>
        <w:t>cultural</w:t>
      </w:r>
      <w:r>
        <w:rPr>
          <w:spacing w:val="37"/>
        </w:rPr>
        <w:t xml:space="preserve"> </w:t>
      </w:r>
      <w:r>
        <w:t>humility</w:t>
      </w:r>
      <w:r>
        <w:rPr>
          <w:spacing w:val="36"/>
        </w:rPr>
        <w:t xml:space="preserve"> </w:t>
      </w:r>
      <w:r>
        <w:t>training</w:t>
      </w:r>
      <w:r>
        <w:rPr>
          <w:spacing w:val="36"/>
        </w:rPr>
        <w:t xml:space="preserve"> </w:t>
      </w:r>
      <w:r>
        <w:t>to</w:t>
      </w:r>
      <w:r>
        <w:rPr>
          <w:spacing w:val="36"/>
        </w:rPr>
        <w:t xml:space="preserve"> </w:t>
      </w:r>
      <w:r>
        <w:t>all</w:t>
      </w:r>
      <w:r>
        <w:rPr>
          <w:spacing w:val="36"/>
        </w:rPr>
        <w:t xml:space="preserve"> </w:t>
      </w:r>
      <w:r>
        <w:t>state</w:t>
      </w:r>
      <w:r>
        <w:rPr>
          <w:spacing w:val="36"/>
        </w:rPr>
        <w:t xml:space="preserve"> </w:t>
      </w:r>
      <w:r>
        <w:t>employees</w:t>
      </w:r>
      <w:r>
        <w:rPr>
          <w:spacing w:val="36"/>
        </w:rPr>
        <w:t xml:space="preserve"> </w:t>
      </w:r>
      <w:r>
        <w:t xml:space="preserve">and </w:t>
      </w:r>
      <w:r>
        <w:rPr>
          <w:spacing w:val="-2"/>
        </w:rPr>
        <w:t>contractors.</w:t>
      </w:r>
    </w:p>
    <w:p w:rsidR="00C76E6D" w:rsidRDefault="00C76E6D">
      <w:pPr>
        <w:pStyle w:val="BodyText"/>
        <w:spacing w:before="7"/>
        <w:rPr>
          <w:b/>
          <w:sz w:val="19"/>
        </w:rPr>
      </w:pPr>
    </w:p>
    <w:p w:rsidR="00C76E6D" w:rsidRDefault="00913831">
      <w:pPr>
        <w:pStyle w:val="BodyText"/>
        <w:spacing w:line="276" w:lineRule="auto"/>
        <w:ind w:left="478" w:right="475"/>
        <w:jc w:val="both"/>
      </w:pPr>
      <w:r>
        <w:t>The Commission recommends that all state employees and contractors receive basic training on how to deliver competent</w:t>
      </w:r>
      <w:r>
        <w:rPr>
          <w:spacing w:val="-1"/>
        </w:rPr>
        <w:t xml:space="preserve"> </w:t>
      </w:r>
      <w:r>
        <w:t>and equitable services</w:t>
      </w:r>
      <w:r>
        <w:rPr>
          <w:spacing w:val="-1"/>
        </w:rPr>
        <w:t xml:space="preserve"> </w:t>
      </w:r>
      <w:r>
        <w:t>to</w:t>
      </w:r>
      <w:r>
        <w:rPr>
          <w:spacing w:val="-1"/>
        </w:rPr>
        <w:t xml:space="preserve"> </w:t>
      </w:r>
      <w:r>
        <w:t>LGBTQ clients</w:t>
      </w:r>
      <w:r>
        <w:rPr>
          <w:spacing w:val="-1"/>
        </w:rPr>
        <w:t xml:space="preserve"> </w:t>
      </w:r>
      <w:r>
        <w:t>and residents</w:t>
      </w:r>
      <w:r>
        <w:rPr>
          <w:spacing w:val="-1"/>
        </w:rPr>
        <w:t xml:space="preserve"> </w:t>
      </w:r>
      <w:r>
        <w:t>and</w:t>
      </w:r>
      <w:r>
        <w:rPr>
          <w:spacing w:val="-2"/>
        </w:rPr>
        <w:t xml:space="preserve"> </w:t>
      </w:r>
      <w:r>
        <w:t>how</w:t>
      </w:r>
      <w:r>
        <w:rPr>
          <w:spacing w:val="-1"/>
        </w:rPr>
        <w:t xml:space="preserve"> </w:t>
      </w:r>
      <w:r>
        <w:t>to</w:t>
      </w:r>
      <w:r>
        <w:rPr>
          <w:spacing w:val="-1"/>
        </w:rPr>
        <w:t xml:space="preserve"> </w:t>
      </w:r>
      <w:r>
        <w:t>work</w:t>
      </w:r>
      <w:r>
        <w:rPr>
          <w:spacing w:val="-1"/>
        </w:rPr>
        <w:t xml:space="preserve"> </w:t>
      </w:r>
      <w:r>
        <w:t>professionally and respectfully with LGBTQ colleagues in carrying out the multi-faceted work of state government. The Commission further notes the importance of LGBTQ competency among mental health providers, considering that LGBTQ youth still face</w:t>
      </w:r>
      <w:r>
        <w:t xml:space="preserve"> disparate rates of self-harm, suicidal ideation, and suicide </w:t>
      </w:r>
      <w:r>
        <w:rPr>
          <w:spacing w:val="-2"/>
        </w:rPr>
        <w:t>attempts.</w:t>
      </w:r>
    </w:p>
    <w:p w:rsidR="00C76E6D" w:rsidRDefault="00C76E6D">
      <w:pPr>
        <w:pStyle w:val="BodyText"/>
        <w:spacing w:before="11"/>
        <w:rPr>
          <w:sz w:val="26"/>
        </w:rPr>
      </w:pPr>
    </w:p>
    <w:p w:rsidR="00C76E6D" w:rsidRDefault="00913831">
      <w:pPr>
        <w:pStyle w:val="BodyText"/>
        <w:spacing w:before="1" w:line="276" w:lineRule="auto"/>
        <w:ind w:left="480" w:right="475" w:hanging="2"/>
        <w:jc w:val="both"/>
      </w:pPr>
      <w:r>
        <w:t>The</w:t>
      </w:r>
      <w:r>
        <w:rPr>
          <w:spacing w:val="-3"/>
        </w:rPr>
        <w:t xml:space="preserve"> </w:t>
      </w:r>
      <w:r>
        <w:t>Commission</w:t>
      </w:r>
      <w:r>
        <w:rPr>
          <w:spacing w:val="-5"/>
        </w:rPr>
        <w:t xml:space="preserve"> </w:t>
      </w:r>
      <w:r>
        <w:t>has</w:t>
      </w:r>
      <w:r>
        <w:rPr>
          <w:spacing w:val="-1"/>
        </w:rPr>
        <w:t xml:space="preserve"> </w:t>
      </w:r>
      <w:r>
        <w:t>developed</w:t>
      </w:r>
      <w:r>
        <w:rPr>
          <w:spacing w:val="-3"/>
        </w:rPr>
        <w:t xml:space="preserve"> </w:t>
      </w:r>
      <w:r>
        <w:t>a</w:t>
      </w:r>
      <w:r>
        <w:rPr>
          <w:spacing w:val="-4"/>
        </w:rPr>
        <w:t xml:space="preserve"> </w:t>
      </w:r>
      <w:r>
        <w:t>statewide</w:t>
      </w:r>
      <w:r>
        <w:rPr>
          <w:spacing w:val="-3"/>
        </w:rPr>
        <w:t xml:space="preserve"> </w:t>
      </w:r>
      <w:r>
        <w:t>training</w:t>
      </w:r>
      <w:r>
        <w:rPr>
          <w:spacing w:val="-2"/>
        </w:rPr>
        <w:t xml:space="preserve"> </w:t>
      </w:r>
      <w:r>
        <w:t>curriculum</w:t>
      </w:r>
      <w:r>
        <w:rPr>
          <w:spacing w:val="-2"/>
        </w:rPr>
        <w:t xml:space="preserve"> </w:t>
      </w:r>
      <w:r>
        <w:t>in</w:t>
      </w:r>
      <w:r>
        <w:rPr>
          <w:spacing w:val="-1"/>
        </w:rPr>
        <w:t xml:space="preserve"> </w:t>
      </w:r>
      <w:r>
        <w:t>coordination</w:t>
      </w:r>
      <w:r>
        <w:rPr>
          <w:spacing w:val="-2"/>
        </w:rPr>
        <w:t xml:space="preserve"> </w:t>
      </w:r>
      <w:r>
        <w:t>with</w:t>
      </w:r>
      <w:r>
        <w:rPr>
          <w:spacing w:val="-2"/>
        </w:rPr>
        <w:t xml:space="preserve"> </w:t>
      </w:r>
      <w:r>
        <w:t>the</w:t>
      </w:r>
      <w:r>
        <w:rPr>
          <w:spacing w:val="-2"/>
        </w:rPr>
        <w:t xml:space="preserve"> </w:t>
      </w:r>
      <w:r>
        <w:t>Executive</w:t>
      </w:r>
      <w:r>
        <w:rPr>
          <w:spacing w:val="-2"/>
        </w:rPr>
        <w:t xml:space="preserve"> </w:t>
      </w:r>
      <w:r>
        <w:t xml:space="preserve">Office of Health and Human Services (EOHHS) and the agencies that comprise it, as well </w:t>
      </w:r>
      <w:r>
        <w:t>as with several other partners. The Commission recommends that this or a comparable training be made available to all state employees</w:t>
      </w:r>
      <w:r>
        <w:rPr>
          <w:spacing w:val="-5"/>
        </w:rPr>
        <w:t xml:space="preserve"> </w:t>
      </w:r>
      <w:r>
        <w:t>and</w:t>
      </w:r>
      <w:r>
        <w:rPr>
          <w:spacing w:val="-4"/>
        </w:rPr>
        <w:t xml:space="preserve"> </w:t>
      </w:r>
      <w:r>
        <w:t>contractors,</w:t>
      </w:r>
      <w:r>
        <w:rPr>
          <w:spacing w:val="-5"/>
        </w:rPr>
        <w:t xml:space="preserve"> </w:t>
      </w:r>
      <w:r>
        <w:t>both</w:t>
      </w:r>
      <w:r>
        <w:rPr>
          <w:spacing w:val="-5"/>
        </w:rPr>
        <w:t xml:space="preserve"> </w:t>
      </w:r>
      <w:r>
        <w:t>in-person</w:t>
      </w:r>
      <w:r>
        <w:rPr>
          <w:spacing w:val="-5"/>
        </w:rPr>
        <w:t xml:space="preserve"> </w:t>
      </w:r>
      <w:r>
        <w:t>and</w:t>
      </w:r>
      <w:r>
        <w:rPr>
          <w:spacing w:val="-5"/>
        </w:rPr>
        <w:t xml:space="preserve"> </w:t>
      </w:r>
      <w:r>
        <w:t>online</w:t>
      </w:r>
      <w:r>
        <w:rPr>
          <w:spacing w:val="-5"/>
        </w:rPr>
        <w:t xml:space="preserve"> </w:t>
      </w:r>
      <w:r>
        <w:t>via</w:t>
      </w:r>
      <w:r>
        <w:rPr>
          <w:spacing w:val="-5"/>
        </w:rPr>
        <w:t xml:space="preserve"> </w:t>
      </w:r>
      <w:r>
        <w:t>PACE,</w:t>
      </w:r>
      <w:r>
        <w:rPr>
          <w:spacing w:val="-3"/>
        </w:rPr>
        <w:t xml:space="preserve"> </w:t>
      </w:r>
      <w:r>
        <w:t>the</w:t>
      </w:r>
      <w:r>
        <w:rPr>
          <w:spacing w:val="-5"/>
        </w:rPr>
        <w:t xml:space="preserve"> </w:t>
      </w:r>
      <w:r>
        <w:t>Commonwealth’s</w:t>
      </w:r>
      <w:r>
        <w:rPr>
          <w:spacing w:val="-5"/>
        </w:rPr>
        <w:t xml:space="preserve"> </w:t>
      </w:r>
      <w:r>
        <w:t>employee</w:t>
      </w:r>
      <w:r>
        <w:rPr>
          <w:spacing w:val="-5"/>
        </w:rPr>
        <w:t xml:space="preserve"> </w:t>
      </w:r>
      <w:r>
        <w:t>training system;</w:t>
      </w:r>
      <w:r>
        <w:rPr>
          <w:spacing w:val="-5"/>
        </w:rPr>
        <w:t xml:space="preserve"> </w:t>
      </w:r>
      <w:r>
        <w:t>that</w:t>
      </w:r>
      <w:r>
        <w:rPr>
          <w:spacing w:val="-5"/>
        </w:rPr>
        <w:t xml:space="preserve"> </w:t>
      </w:r>
      <w:r>
        <w:t>agencies</w:t>
      </w:r>
      <w:r>
        <w:rPr>
          <w:spacing w:val="-5"/>
        </w:rPr>
        <w:t xml:space="preserve"> </w:t>
      </w:r>
      <w:r>
        <w:t>work</w:t>
      </w:r>
      <w:r>
        <w:rPr>
          <w:spacing w:val="-9"/>
        </w:rPr>
        <w:t xml:space="preserve"> </w:t>
      </w:r>
      <w:r>
        <w:t>on</w:t>
      </w:r>
      <w:r>
        <w:rPr>
          <w:spacing w:val="-7"/>
        </w:rPr>
        <w:t xml:space="preserve"> </w:t>
      </w:r>
      <w:r>
        <w:t>im</w:t>
      </w:r>
      <w:r>
        <w:t>plementing</w:t>
      </w:r>
      <w:r>
        <w:rPr>
          <w:spacing w:val="-5"/>
        </w:rPr>
        <w:t xml:space="preserve"> </w:t>
      </w:r>
      <w:r>
        <w:t>this</w:t>
      </w:r>
      <w:r>
        <w:rPr>
          <w:spacing w:val="-5"/>
        </w:rPr>
        <w:t xml:space="preserve"> </w:t>
      </w:r>
      <w:r>
        <w:t>or</w:t>
      </w:r>
      <w:r>
        <w:rPr>
          <w:spacing w:val="-6"/>
        </w:rPr>
        <w:t xml:space="preserve"> </w:t>
      </w:r>
      <w:r>
        <w:t>their</w:t>
      </w:r>
      <w:r>
        <w:rPr>
          <w:spacing w:val="-8"/>
        </w:rPr>
        <w:t xml:space="preserve"> </w:t>
      </w:r>
      <w:r>
        <w:t>own</w:t>
      </w:r>
      <w:r>
        <w:rPr>
          <w:spacing w:val="-6"/>
        </w:rPr>
        <w:t xml:space="preserve"> </w:t>
      </w:r>
      <w:r>
        <w:t>in-person</w:t>
      </w:r>
      <w:r>
        <w:rPr>
          <w:spacing w:val="-8"/>
        </w:rPr>
        <w:t xml:space="preserve"> </w:t>
      </w:r>
      <w:r>
        <w:t>training</w:t>
      </w:r>
      <w:r>
        <w:rPr>
          <w:spacing w:val="-8"/>
        </w:rPr>
        <w:t xml:space="preserve"> </w:t>
      </w:r>
      <w:r>
        <w:t>on</w:t>
      </w:r>
      <w:r>
        <w:rPr>
          <w:spacing w:val="-7"/>
        </w:rPr>
        <w:t xml:space="preserve"> </w:t>
      </w:r>
      <w:r>
        <w:t>LGBTQ</w:t>
      </w:r>
      <w:r>
        <w:rPr>
          <w:spacing w:val="-6"/>
        </w:rPr>
        <w:t xml:space="preserve"> </w:t>
      </w:r>
      <w:r>
        <w:t>inclusion;</w:t>
      </w:r>
      <w:r>
        <w:rPr>
          <w:spacing w:val="-6"/>
        </w:rPr>
        <w:t xml:space="preserve"> </w:t>
      </w:r>
      <w:r>
        <w:t>and</w:t>
      </w:r>
    </w:p>
    <w:p w:rsidR="00C76E6D" w:rsidRDefault="00C76E6D">
      <w:pPr>
        <w:spacing w:line="276" w:lineRule="auto"/>
        <w:jc w:val="both"/>
        <w:sectPr w:rsidR="00C76E6D">
          <w:headerReference w:type="default" r:id="rId196"/>
          <w:footerReference w:type="default" r:id="rId197"/>
          <w:pgSz w:w="12240" w:h="15840"/>
          <w:pgMar w:top="960" w:right="960" w:bottom="860" w:left="960" w:header="760" w:footer="679" w:gutter="0"/>
          <w:cols w:space="720"/>
        </w:sectPr>
      </w:pPr>
    </w:p>
    <w:p w:rsidR="00C76E6D" w:rsidRDefault="00C76E6D">
      <w:pPr>
        <w:pStyle w:val="BodyText"/>
        <w:rPr>
          <w:sz w:val="20"/>
        </w:rPr>
      </w:pPr>
    </w:p>
    <w:p w:rsidR="00C76E6D" w:rsidRDefault="00C76E6D">
      <w:pPr>
        <w:pStyle w:val="BodyText"/>
        <w:spacing w:before="7"/>
        <w:rPr>
          <w:sz w:val="17"/>
        </w:rPr>
      </w:pPr>
    </w:p>
    <w:p w:rsidR="00C76E6D" w:rsidRDefault="00913831">
      <w:pPr>
        <w:pStyle w:val="BodyText"/>
        <w:spacing w:line="276" w:lineRule="auto"/>
        <w:ind w:left="479" w:right="475" w:hanging="1"/>
        <w:jc w:val="both"/>
      </w:pPr>
      <w:r>
        <w:t>that</w:t>
      </w:r>
      <w:r>
        <w:rPr>
          <w:spacing w:val="-6"/>
        </w:rPr>
        <w:t xml:space="preserve"> </w:t>
      </w:r>
      <w:r>
        <w:t>the</w:t>
      </w:r>
      <w:r>
        <w:rPr>
          <w:spacing w:val="-5"/>
        </w:rPr>
        <w:t xml:space="preserve"> </w:t>
      </w:r>
      <w:r>
        <w:t>Legislature</w:t>
      </w:r>
      <w:r>
        <w:rPr>
          <w:spacing w:val="-5"/>
        </w:rPr>
        <w:t xml:space="preserve"> </w:t>
      </w:r>
      <w:r>
        <w:t>and</w:t>
      </w:r>
      <w:r>
        <w:rPr>
          <w:spacing w:val="-5"/>
        </w:rPr>
        <w:t xml:space="preserve"> </w:t>
      </w:r>
      <w:r>
        <w:t>Administration</w:t>
      </w:r>
      <w:r>
        <w:rPr>
          <w:spacing w:val="-3"/>
        </w:rPr>
        <w:t xml:space="preserve"> </w:t>
      </w:r>
      <w:r>
        <w:t>explore</w:t>
      </w:r>
      <w:r>
        <w:rPr>
          <w:spacing w:val="-6"/>
        </w:rPr>
        <w:t xml:space="preserve"> </w:t>
      </w:r>
      <w:r>
        <w:t>how</w:t>
      </w:r>
      <w:r>
        <w:rPr>
          <w:spacing w:val="-4"/>
        </w:rPr>
        <w:t xml:space="preserve"> </w:t>
      </w:r>
      <w:r>
        <w:t>to</w:t>
      </w:r>
      <w:r>
        <w:rPr>
          <w:spacing w:val="-6"/>
        </w:rPr>
        <w:t xml:space="preserve"> </w:t>
      </w:r>
      <w:r>
        <w:t>make</w:t>
      </w:r>
      <w:r>
        <w:rPr>
          <w:spacing w:val="-5"/>
        </w:rPr>
        <w:t xml:space="preserve"> </w:t>
      </w:r>
      <w:r>
        <w:t>this</w:t>
      </w:r>
      <w:r>
        <w:rPr>
          <w:spacing w:val="-2"/>
        </w:rPr>
        <w:t xml:space="preserve"> </w:t>
      </w:r>
      <w:r>
        <w:t>or</w:t>
      </w:r>
      <w:r>
        <w:rPr>
          <w:spacing w:val="-6"/>
        </w:rPr>
        <w:t xml:space="preserve"> </w:t>
      </w:r>
      <w:r>
        <w:t>comparable</w:t>
      </w:r>
      <w:r>
        <w:rPr>
          <w:spacing w:val="-7"/>
        </w:rPr>
        <w:t xml:space="preserve"> </w:t>
      </w:r>
      <w:r>
        <w:t>training</w:t>
      </w:r>
      <w:r>
        <w:rPr>
          <w:spacing w:val="-5"/>
        </w:rPr>
        <w:t xml:space="preserve"> </w:t>
      </w:r>
      <w:r>
        <w:t>available</w:t>
      </w:r>
      <w:r>
        <w:rPr>
          <w:spacing w:val="-5"/>
        </w:rPr>
        <w:t xml:space="preserve"> </w:t>
      </w:r>
      <w:r>
        <w:t>to</w:t>
      </w:r>
      <w:r>
        <w:rPr>
          <w:spacing w:val="-6"/>
        </w:rPr>
        <w:t xml:space="preserve"> </w:t>
      </w:r>
      <w:r>
        <w:t>and utilized by all state employees and contractors. As is true with the Commission’s training curriculum, training should include concepts of intersectionality and issues particular to QTBIPOC communities. The Commission recognizes that the process of get</w:t>
      </w:r>
      <w:r>
        <w:t>ting a training program online for all state employees will take time. Throughout FY22, the Commission has met with the 19 executive branch agencies to which it issues recommendations, held several such trainings, and scheduled many more for FY 2023.</w:t>
      </w:r>
    </w:p>
    <w:p w:rsidR="00C76E6D" w:rsidRDefault="00C76E6D">
      <w:pPr>
        <w:pStyle w:val="BodyText"/>
        <w:spacing w:before="4"/>
        <w:rPr>
          <w:sz w:val="25"/>
        </w:rPr>
      </w:pPr>
    </w:p>
    <w:p w:rsidR="00C76E6D" w:rsidRDefault="00913831">
      <w:pPr>
        <w:pStyle w:val="Heading6"/>
        <w:numPr>
          <w:ilvl w:val="1"/>
          <w:numId w:val="46"/>
        </w:numPr>
        <w:tabs>
          <w:tab w:val="left" w:pos="699"/>
        </w:tabs>
        <w:ind w:left="698" w:hanging="221"/>
      </w:pPr>
      <w:bookmarkStart w:id="177" w:name="2._Support_the_interagency_collaboration"/>
      <w:bookmarkEnd w:id="177"/>
      <w:r>
        <w:rPr>
          <w:w w:val="95"/>
        </w:rPr>
        <w:t>Supp</w:t>
      </w:r>
      <w:r>
        <w:rPr>
          <w:w w:val="95"/>
        </w:rPr>
        <w:t>ort</w:t>
      </w:r>
      <w:r>
        <w:rPr>
          <w:spacing w:val="14"/>
        </w:rPr>
        <w:t xml:space="preserve"> </w:t>
      </w:r>
      <w:r>
        <w:rPr>
          <w:w w:val="95"/>
        </w:rPr>
        <w:t>the</w:t>
      </w:r>
      <w:r>
        <w:rPr>
          <w:spacing w:val="13"/>
        </w:rPr>
        <w:t xml:space="preserve"> </w:t>
      </w:r>
      <w:r>
        <w:rPr>
          <w:w w:val="95"/>
        </w:rPr>
        <w:t>interagency</w:t>
      </w:r>
      <w:r>
        <w:rPr>
          <w:spacing w:val="14"/>
        </w:rPr>
        <w:t xml:space="preserve"> </w:t>
      </w:r>
      <w:r>
        <w:rPr>
          <w:w w:val="95"/>
        </w:rPr>
        <w:t>collaboration</w:t>
      </w:r>
      <w:r>
        <w:rPr>
          <w:spacing w:val="18"/>
        </w:rPr>
        <w:t xml:space="preserve"> </w:t>
      </w:r>
      <w:r>
        <w:rPr>
          <w:w w:val="95"/>
        </w:rPr>
        <w:t>to</w:t>
      </w:r>
      <w:r>
        <w:rPr>
          <w:spacing w:val="14"/>
        </w:rPr>
        <w:t xml:space="preserve"> </w:t>
      </w:r>
      <w:r>
        <w:rPr>
          <w:w w:val="95"/>
        </w:rPr>
        <w:t>address</w:t>
      </w:r>
      <w:r>
        <w:rPr>
          <w:spacing w:val="13"/>
        </w:rPr>
        <w:t xml:space="preserve"> </w:t>
      </w:r>
      <w:r>
        <w:rPr>
          <w:w w:val="95"/>
        </w:rPr>
        <w:t>family</w:t>
      </w:r>
      <w:r>
        <w:rPr>
          <w:spacing w:val="16"/>
        </w:rPr>
        <w:t xml:space="preserve"> </w:t>
      </w:r>
      <w:r>
        <w:rPr>
          <w:w w:val="95"/>
        </w:rPr>
        <w:t>rejection</w:t>
      </w:r>
      <w:r>
        <w:rPr>
          <w:spacing w:val="15"/>
        </w:rPr>
        <w:t xml:space="preserve"> </w:t>
      </w:r>
      <w:r>
        <w:rPr>
          <w:w w:val="95"/>
        </w:rPr>
        <w:t>of</w:t>
      </w:r>
      <w:r>
        <w:rPr>
          <w:spacing w:val="14"/>
        </w:rPr>
        <w:t xml:space="preserve"> </w:t>
      </w:r>
      <w:r>
        <w:rPr>
          <w:w w:val="95"/>
        </w:rPr>
        <w:t>LGBTQ</w:t>
      </w:r>
      <w:r>
        <w:rPr>
          <w:spacing w:val="13"/>
        </w:rPr>
        <w:t xml:space="preserve"> </w:t>
      </w:r>
      <w:r>
        <w:rPr>
          <w:spacing w:val="-2"/>
          <w:w w:val="95"/>
        </w:rPr>
        <w:t>youth.</w:t>
      </w:r>
    </w:p>
    <w:p w:rsidR="00C76E6D" w:rsidRDefault="00C76E6D">
      <w:pPr>
        <w:pStyle w:val="BodyText"/>
        <w:spacing w:before="12"/>
        <w:rPr>
          <w:b/>
        </w:rPr>
      </w:pPr>
    </w:p>
    <w:p w:rsidR="00C76E6D" w:rsidRDefault="00913831">
      <w:pPr>
        <w:pStyle w:val="BodyText"/>
        <w:spacing w:line="276" w:lineRule="auto"/>
        <w:ind w:left="480" w:right="472"/>
        <w:jc w:val="both"/>
      </w:pPr>
      <w:r>
        <w:t>The level of acceptance or rejection that LGBTQ youth face at home has huge implications for their wellbeing,</w:t>
      </w:r>
      <w:r>
        <w:rPr>
          <w:spacing w:val="-3"/>
        </w:rPr>
        <w:t xml:space="preserve"> </w:t>
      </w:r>
      <w:r>
        <w:t>across</w:t>
      </w:r>
      <w:r>
        <w:rPr>
          <w:spacing w:val="-3"/>
        </w:rPr>
        <w:t xml:space="preserve"> </w:t>
      </w:r>
      <w:r>
        <w:t>the</w:t>
      </w:r>
      <w:r>
        <w:rPr>
          <w:spacing w:val="-3"/>
        </w:rPr>
        <w:t xml:space="preserve"> </w:t>
      </w:r>
      <w:r>
        <w:t>areas</w:t>
      </w:r>
      <w:r>
        <w:rPr>
          <w:spacing w:val="-3"/>
        </w:rPr>
        <w:t xml:space="preserve"> </w:t>
      </w:r>
      <w:r>
        <w:t>of</w:t>
      </w:r>
      <w:r>
        <w:rPr>
          <w:spacing w:val="-3"/>
        </w:rPr>
        <w:t xml:space="preserve"> </w:t>
      </w:r>
      <w:r>
        <w:t>health,</w:t>
      </w:r>
      <w:r>
        <w:rPr>
          <w:spacing w:val="-4"/>
        </w:rPr>
        <w:t xml:space="preserve"> </w:t>
      </w:r>
      <w:r>
        <w:t>homelessness,</w:t>
      </w:r>
      <w:r>
        <w:rPr>
          <w:spacing w:val="-3"/>
        </w:rPr>
        <w:t xml:space="preserve"> </w:t>
      </w:r>
      <w:r>
        <w:t>and</w:t>
      </w:r>
      <w:r>
        <w:rPr>
          <w:spacing w:val="-3"/>
        </w:rPr>
        <w:t xml:space="preserve"> </w:t>
      </w:r>
      <w:r>
        <w:t>juvenile</w:t>
      </w:r>
      <w:r>
        <w:rPr>
          <w:spacing w:val="-3"/>
        </w:rPr>
        <w:t xml:space="preserve"> </w:t>
      </w:r>
      <w:r>
        <w:t>justice</w:t>
      </w:r>
      <w:r>
        <w:rPr>
          <w:spacing w:val="-3"/>
        </w:rPr>
        <w:t xml:space="preserve"> </w:t>
      </w:r>
      <w:r>
        <w:t>in</w:t>
      </w:r>
      <w:r>
        <w:rPr>
          <w:spacing w:val="-3"/>
        </w:rPr>
        <w:t xml:space="preserve"> </w:t>
      </w:r>
      <w:r>
        <w:t>w</w:t>
      </w:r>
      <w:r>
        <w:t>hich</w:t>
      </w:r>
      <w:r>
        <w:rPr>
          <w:spacing w:val="-3"/>
        </w:rPr>
        <w:t xml:space="preserve"> </w:t>
      </w:r>
      <w:r>
        <w:t>the</w:t>
      </w:r>
      <w:r>
        <w:rPr>
          <w:spacing w:val="-4"/>
        </w:rPr>
        <w:t xml:space="preserve"> </w:t>
      </w:r>
      <w:r>
        <w:t>Commission</w:t>
      </w:r>
      <w:r>
        <w:rPr>
          <w:spacing w:val="-3"/>
        </w:rPr>
        <w:t xml:space="preserve"> </w:t>
      </w:r>
      <w:r>
        <w:t>works. In</w:t>
      </w:r>
      <w:r>
        <w:rPr>
          <w:spacing w:val="-1"/>
        </w:rPr>
        <w:t xml:space="preserve"> </w:t>
      </w:r>
      <w:r>
        <w:t>FY</w:t>
      </w:r>
      <w:r>
        <w:rPr>
          <w:spacing w:val="-1"/>
        </w:rPr>
        <w:t xml:space="preserve"> </w:t>
      </w:r>
      <w:r>
        <w:t>2019, the</w:t>
      </w:r>
      <w:r>
        <w:rPr>
          <w:spacing w:val="-2"/>
        </w:rPr>
        <w:t xml:space="preserve"> </w:t>
      </w:r>
      <w:r>
        <w:t>Commission</w:t>
      </w:r>
      <w:r>
        <w:rPr>
          <w:spacing w:val="-2"/>
        </w:rPr>
        <w:t xml:space="preserve"> </w:t>
      </w:r>
      <w:r>
        <w:t>invited</w:t>
      </w:r>
      <w:r>
        <w:rPr>
          <w:spacing w:val="-1"/>
        </w:rPr>
        <w:t xml:space="preserve"> </w:t>
      </w:r>
      <w:r>
        <w:t>representatives from</w:t>
      </w:r>
      <w:r>
        <w:rPr>
          <w:spacing w:val="-2"/>
        </w:rPr>
        <w:t xml:space="preserve"> </w:t>
      </w:r>
      <w:r>
        <w:t>various government</w:t>
      </w:r>
      <w:r>
        <w:rPr>
          <w:spacing w:val="-1"/>
        </w:rPr>
        <w:t xml:space="preserve"> </w:t>
      </w:r>
      <w:r>
        <w:t>agencies</w:t>
      </w:r>
      <w:r>
        <w:rPr>
          <w:spacing w:val="-1"/>
        </w:rPr>
        <w:t xml:space="preserve"> </w:t>
      </w:r>
      <w:r>
        <w:t>and</w:t>
      </w:r>
      <w:r>
        <w:rPr>
          <w:spacing w:val="-1"/>
        </w:rPr>
        <w:t xml:space="preserve"> </w:t>
      </w:r>
      <w:r>
        <w:t>nonprofits</w:t>
      </w:r>
      <w:r>
        <w:rPr>
          <w:spacing w:val="-1"/>
        </w:rPr>
        <w:t xml:space="preserve"> </w:t>
      </w:r>
      <w:r>
        <w:t>to convene</w:t>
      </w:r>
      <w:r>
        <w:rPr>
          <w:spacing w:val="-6"/>
        </w:rPr>
        <w:t xml:space="preserve"> </w:t>
      </w:r>
      <w:r>
        <w:t>and</w:t>
      </w:r>
      <w:r>
        <w:rPr>
          <w:spacing w:val="-4"/>
        </w:rPr>
        <w:t xml:space="preserve"> </w:t>
      </w:r>
      <w:r>
        <w:t>discuss</w:t>
      </w:r>
      <w:r>
        <w:rPr>
          <w:spacing w:val="-6"/>
        </w:rPr>
        <w:t xml:space="preserve"> </w:t>
      </w:r>
      <w:r>
        <w:t>how</w:t>
      </w:r>
      <w:r>
        <w:rPr>
          <w:spacing w:val="-4"/>
        </w:rPr>
        <w:t xml:space="preserve"> </w:t>
      </w:r>
      <w:r>
        <w:t>to</w:t>
      </w:r>
      <w:r>
        <w:rPr>
          <w:spacing w:val="-6"/>
        </w:rPr>
        <w:t xml:space="preserve"> </w:t>
      </w:r>
      <w:r>
        <w:t>better</w:t>
      </w:r>
      <w:r>
        <w:rPr>
          <w:spacing w:val="-5"/>
        </w:rPr>
        <w:t xml:space="preserve"> </w:t>
      </w:r>
      <w:r>
        <w:t>understand</w:t>
      </w:r>
      <w:r>
        <w:rPr>
          <w:spacing w:val="-7"/>
        </w:rPr>
        <w:t xml:space="preserve"> </w:t>
      </w:r>
      <w:r>
        <w:t>and</w:t>
      </w:r>
      <w:r>
        <w:rPr>
          <w:spacing w:val="-5"/>
        </w:rPr>
        <w:t xml:space="preserve"> </w:t>
      </w:r>
      <w:r>
        <w:t>address</w:t>
      </w:r>
      <w:r>
        <w:rPr>
          <w:spacing w:val="-6"/>
        </w:rPr>
        <w:t xml:space="preserve"> </w:t>
      </w:r>
      <w:r>
        <w:t>the</w:t>
      </w:r>
      <w:r>
        <w:rPr>
          <w:spacing w:val="-5"/>
        </w:rPr>
        <w:t xml:space="preserve"> </w:t>
      </w:r>
      <w:r>
        <w:t>issue</w:t>
      </w:r>
      <w:r>
        <w:rPr>
          <w:spacing w:val="-6"/>
        </w:rPr>
        <w:t xml:space="preserve"> </w:t>
      </w:r>
      <w:r>
        <w:t>of</w:t>
      </w:r>
      <w:r>
        <w:rPr>
          <w:spacing w:val="-6"/>
        </w:rPr>
        <w:t xml:space="preserve"> </w:t>
      </w:r>
      <w:r>
        <w:t>familial</w:t>
      </w:r>
      <w:r>
        <w:rPr>
          <w:spacing w:val="-5"/>
        </w:rPr>
        <w:t xml:space="preserve"> </w:t>
      </w:r>
      <w:r>
        <w:t>rejection</w:t>
      </w:r>
      <w:r>
        <w:rPr>
          <w:spacing w:val="-5"/>
        </w:rPr>
        <w:t xml:space="preserve"> </w:t>
      </w:r>
      <w:r>
        <w:t>of</w:t>
      </w:r>
      <w:r>
        <w:rPr>
          <w:spacing w:val="-5"/>
        </w:rPr>
        <w:t xml:space="preserve"> </w:t>
      </w:r>
      <w:r>
        <w:t>LGBTQ</w:t>
      </w:r>
      <w:r>
        <w:rPr>
          <w:spacing w:val="-7"/>
        </w:rPr>
        <w:t xml:space="preserve"> </w:t>
      </w:r>
      <w:r>
        <w:t>youth in</w:t>
      </w:r>
      <w:r>
        <w:rPr>
          <w:spacing w:val="-3"/>
        </w:rPr>
        <w:t xml:space="preserve"> </w:t>
      </w:r>
      <w:r>
        <w:t>Massachusetts.</w:t>
      </w:r>
      <w:r>
        <w:rPr>
          <w:spacing w:val="-3"/>
        </w:rPr>
        <w:t xml:space="preserve"> </w:t>
      </w:r>
      <w:r>
        <w:t>Those</w:t>
      </w:r>
      <w:r>
        <w:rPr>
          <w:spacing w:val="-3"/>
        </w:rPr>
        <w:t xml:space="preserve"> </w:t>
      </w:r>
      <w:r>
        <w:t>who</w:t>
      </w:r>
      <w:r>
        <w:rPr>
          <w:spacing w:val="-3"/>
        </w:rPr>
        <w:t xml:space="preserve"> </w:t>
      </w:r>
      <w:r>
        <w:t>responded</w:t>
      </w:r>
      <w:r>
        <w:rPr>
          <w:spacing w:val="-3"/>
        </w:rPr>
        <w:t xml:space="preserve"> </w:t>
      </w:r>
      <w:r>
        <w:t>formed</w:t>
      </w:r>
      <w:r>
        <w:rPr>
          <w:spacing w:val="-3"/>
        </w:rPr>
        <w:t xml:space="preserve"> </w:t>
      </w:r>
      <w:r>
        <w:t>the</w:t>
      </w:r>
      <w:r>
        <w:rPr>
          <w:spacing w:val="-2"/>
        </w:rPr>
        <w:t xml:space="preserve"> </w:t>
      </w:r>
      <w:r>
        <w:t>Family</w:t>
      </w:r>
      <w:r>
        <w:rPr>
          <w:spacing w:val="-3"/>
        </w:rPr>
        <w:t xml:space="preserve"> </w:t>
      </w:r>
      <w:r>
        <w:t>Acceptance</w:t>
      </w:r>
      <w:r>
        <w:rPr>
          <w:spacing w:val="-3"/>
        </w:rPr>
        <w:t xml:space="preserve"> </w:t>
      </w:r>
      <w:r>
        <w:t>Task</w:t>
      </w:r>
      <w:r>
        <w:rPr>
          <w:spacing w:val="-3"/>
        </w:rPr>
        <w:t xml:space="preserve"> </w:t>
      </w:r>
      <w:r>
        <w:t>Force</w:t>
      </w:r>
      <w:r>
        <w:rPr>
          <w:spacing w:val="-3"/>
        </w:rPr>
        <w:t xml:space="preserve"> </w:t>
      </w:r>
      <w:r>
        <w:t>in</w:t>
      </w:r>
      <w:r>
        <w:rPr>
          <w:spacing w:val="-3"/>
        </w:rPr>
        <w:t xml:space="preserve"> </w:t>
      </w:r>
      <w:r>
        <w:t>December</w:t>
      </w:r>
      <w:r>
        <w:rPr>
          <w:spacing w:val="-3"/>
        </w:rPr>
        <w:t xml:space="preserve"> </w:t>
      </w:r>
      <w:r>
        <w:t>2018.</w:t>
      </w:r>
      <w:r>
        <w:rPr>
          <w:spacing w:val="-4"/>
        </w:rPr>
        <w:t xml:space="preserve"> </w:t>
      </w:r>
      <w:r>
        <w:t>In FY 2020, the Commission conducted listening sessions with youth and their families across the state to determine what was needed to assist families in their paths towards acceptanc</w:t>
      </w:r>
      <w:r>
        <w:t>e. The Commission looks forward to working with the Governor, Legislature, and relevant agencies to begin implementing these recommendations in FY 2023.</w:t>
      </w:r>
    </w:p>
    <w:p w:rsidR="00C76E6D" w:rsidRDefault="00C76E6D">
      <w:pPr>
        <w:pStyle w:val="BodyText"/>
        <w:spacing w:before="9"/>
        <w:rPr>
          <w:sz w:val="26"/>
        </w:rPr>
      </w:pPr>
    </w:p>
    <w:p w:rsidR="00C76E6D" w:rsidRDefault="00913831">
      <w:pPr>
        <w:pStyle w:val="Heading6"/>
        <w:numPr>
          <w:ilvl w:val="1"/>
          <w:numId w:val="46"/>
        </w:numPr>
        <w:tabs>
          <w:tab w:val="left" w:pos="699"/>
        </w:tabs>
        <w:spacing w:before="1" w:line="276" w:lineRule="auto"/>
        <w:ind w:left="480" w:right="522" w:hanging="1"/>
      </w:pPr>
      <w:bookmarkStart w:id="178" w:name="3._Strengthen_protections_against_bullyi"/>
      <w:bookmarkEnd w:id="178"/>
      <w:r>
        <w:t>Strengthen</w:t>
      </w:r>
      <w:r>
        <w:rPr>
          <w:spacing w:val="-8"/>
        </w:rPr>
        <w:t xml:space="preserve"> </w:t>
      </w:r>
      <w:r>
        <w:t>protections</w:t>
      </w:r>
      <w:r>
        <w:rPr>
          <w:spacing w:val="-6"/>
        </w:rPr>
        <w:t xml:space="preserve"> </w:t>
      </w:r>
      <w:r>
        <w:t>against</w:t>
      </w:r>
      <w:r>
        <w:rPr>
          <w:spacing w:val="-8"/>
        </w:rPr>
        <w:t xml:space="preserve"> </w:t>
      </w:r>
      <w:r>
        <w:t>bullying</w:t>
      </w:r>
      <w:r>
        <w:rPr>
          <w:spacing w:val="-6"/>
        </w:rPr>
        <w:t xml:space="preserve"> </w:t>
      </w:r>
      <w:r>
        <w:t>of</w:t>
      </w:r>
      <w:r>
        <w:rPr>
          <w:spacing w:val="-8"/>
        </w:rPr>
        <w:t xml:space="preserve"> </w:t>
      </w:r>
      <w:r>
        <w:t>LGBTQ</w:t>
      </w:r>
      <w:r>
        <w:rPr>
          <w:spacing w:val="-7"/>
        </w:rPr>
        <w:t xml:space="preserve"> </w:t>
      </w:r>
      <w:r>
        <w:t>youth</w:t>
      </w:r>
      <w:r>
        <w:rPr>
          <w:spacing w:val="-7"/>
        </w:rPr>
        <w:t xml:space="preserve"> </w:t>
      </w:r>
      <w:r>
        <w:t>and</w:t>
      </w:r>
      <w:r>
        <w:rPr>
          <w:spacing w:val="-8"/>
        </w:rPr>
        <w:t xml:space="preserve"> </w:t>
      </w:r>
      <w:r>
        <w:t>enact</w:t>
      </w:r>
      <w:r>
        <w:rPr>
          <w:spacing w:val="-8"/>
        </w:rPr>
        <w:t xml:space="preserve"> </w:t>
      </w:r>
      <w:r>
        <w:t>policies</w:t>
      </w:r>
      <w:r>
        <w:rPr>
          <w:spacing w:val="-8"/>
        </w:rPr>
        <w:t xml:space="preserve"> </w:t>
      </w:r>
      <w:r>
        <w:t>to</w:t>
      </w:r>
      <w:r>
        <w:rPr>
          <w:spacing w:val="-8"/>
        </w:rPr>
        <w:t xml:space="preserve"> </w:t>
      </w:r>
      <w:r>
        <w:t>strengthen</w:t>
      </w:r>
      <w:r>
        <w:rPr>
          <w:spacing w:val="-7"/>
        </w:rPr>
        <w:t xml:space="preserve"> </w:t>
      </w:r>
      <w:r>
        <w:t>inclusion</w:t>
      </w:r>
      <w:r>
        <w:rPr>
          <w:spacing w:val="-7"/>
        </w:rPr>
        <w:t xml:space="preserve"> </w:t>
      </w:r>
      <w:r>
        <w:t xml:space="preserve">in </w:t>
      </w:r>
      <w:r>
        <w:rPr>
          <w:spacing w:val="-2"/>
        </w:rPr>
        <w:t>schools.</w:t>
      </w:r>
    </w:p>
    <w:p w:rsidR="00C76E6D" w:rsidRDefault="00C76E6D">
      <w:pPr>
        <w:pStyle w:val="BodyText"/>
        <w:spacing w:before="10"/>
        <w:rPr>
          <w:b/>
          <w:sz w:val="19"/>
        </w:rPr>
      </w:pPr>
    </w:p>
    <w:p w:rsidR="00C76E6D" w:rsidRDefault="00913831">
      <w:pPr>
        <w:pStyle w:val="BodyText"/>
        <w:spacing w:line="276" w:lineRule="auto"/>
        <w:ind w:left="480" w:right="471"/>
        <w:jc w:val="both"/>
      </w:pPr>
      <w:r>
        <w:t>Implementation of the state’s anti-bullying plan has been a key part of the Commission’s work and the cornerstone of its programming for many years. New data on anti-LGBTQ bullying demonstrate the continued</w:t>
      </w:r>
      <w:r>
        <w:rPr>
          <w:spacing w:val="-2"/>
        </w:rPr>
        <w:t xml:space="preserve"> </w:t>
      </w:r>
      <w:r>
        <w:t>need</w:t>
      </w:r>
      <w:r>
        <w:rPr>
          <w:spacing w:val="-3"/>
        </w:rPr>
        <w:t xml:space="preserve"> </w:t>
      </w:r>
      <w:r>
        <w:t>to</w:t>
      </w:r>
      <w:r>
        <w:rPr>
          <w:spacing w:val="-1"/>
        </w:rPr>
        <w:t xml:space="preserve"> </w:t>
      </w:r>
      <w:r>
        <w:t>address</w:t>
      </w:r>
      <w:r>
        <w:rPr>
          <w:spacing w:val="-1"/>
        </w:rPr>
        <w:t xml:space="preserve"> </w:t>
      </w:r>
      <w:r>
        <w:t>this</w:t>
      </w:r>
      <w:r>
        <w:rPr>
          <w:spacing w:val="-3"/>
        </w:rPr>
        <w:t xml:space="preserve"> </w:t>
      </w:r>
      <w:r>
        <w:t>bias</w:t>
      </w:r>
      <w:r>
        <w:rPr>
          <w:spacing w:val="-2"/>
        </w:rPr>
        <w:t xml:space="preserve"> </w:t>
      </w:r>
      <w:r>
        <w:t>in</w:t>
      </w:r>
      <w:r>
        <w:rPr>
          <w:spacing w:val="-3"/>
        </w:rPr>
        <w:t xml:space="preserve"> </w:t>
      </w:r>
      <w:r>
        <w:t>schools</w:t>
      </w:r>
      <w:r>
        <w:rPr>
          <w:spacing w:val="-4"/>
        </w:rPr>
        <w:t xml:space="preserve"> </w:t>
      </w:r>
      <w:r>
        <w:t>as</w:t>
      </w:r>
      <w:r>
        <w:rPr>
          <w:spacing w:val="-4"/>
        </w:rPr>
        <w:t xml:space="preserve"> </w:t>
      </w:r>
      <w:r>
        <w:t>a</w:t>
      </w:r>
      <w:r>
        <w:rPr>
          <w:spacing w:val="-1"/>
        </w:rPr>
        <w:t xml:space="preserve"> </w:t>
      </w:r>
      <w:r>
        <w:t>way</w:t>
      </w:r>
      <w:r>
        <w:rPr>
          <w:spacing w:val="-4"/>
        </w:rPr>
        <w:t xml:space="preserve"> </w:t>
      </w:r>
      <w:r>
        <w:t>of</w:t>
      </w:r>
      <w:r>
        <w:rPr>
          <w:spacing w:val="-3"/>
        </w:rPr>
        <w:t xml:space="preserve"> </w:t>
      </w:r>
      <w:r>
        <w:t>protecting</w:t>
      </w:r>
      <w:r>
        <w:rPr>
          <w:spacing w:val="-3"/>
        </w:rPr>
        <w:t xml:space="preserve"> </w:t>
      </w:r>
      <w:r>
        <w:t>vulnerable</w:t>
      </w:r>
      <w:r>
        <w:rPr>
          <w:spacing w:val="-2"/>
        </w:rPr>
        <w:t xml:space="preserve"> </w:t>
      </w:r>
      <w:r>
        <w:t>students,</w:t>
      </w:r>
      <w:r>
        <w:rPr>
          <w:spacing w:val="-3"/>
        </w:rPr>
        <w:t xml:space="preserve"> </w:t>
      </w:r>
      <w:r>
        <w:t>preventing</w:t>
      </w:r>
      <w:r>
        <w:rPr>
          <w:spacing w:val="-1"/>
        </w:rPr>
        <w:t xml:space="preserve"> </w:t>
      </w:r>
      <w:r>
        <w:t>the negative</w:t>
      </w:r>
      <w:r>
        <w:rPr>
          <w:spacing w:val="-13"/>
        </w:rPr>
        <w:t xml:space="preserve"> </w:t>
      </w:r>
      <w:r>
        <w:t>health</w:t>
      </w:r>
      <w:r>
        <w:rPr>
          <w:spacing w:val="-12"/>
        </w:rPr>
        <w:t xml:space="preserve"> </w:t>
      </w:r>
      <w:r>
        <w:t>consequences</w:t>
      </w:r>
      <w:r>
        <w:rPr>
          <w:spacing w:val="-13"/>
        </w:rPr>
        <w:t xml:space="preserve"> </w:t>
      </w:r>
      <w:r>
        <w:t>of</w:t>
      </w:r>
      <w:r>
        <w:rPr>
          <w:spacing w:val="-12"/>
        </w:rPr>
        <w:t xml:space="preserve"> </w:t>
      </w:r>
      <w:r>
        <w:t>bullying,</w:t>
      </w:r>
      <w:r>
        <w:rPr>
          <w:spacing w:val="-13"/>
        </w:rPr>
        <w:t xml:space="preserve"> </w:t>
      </w:r>
      <w:r>
        <w:t>and</w:t>
      </w:r>
      <w:r>
        <w:rPr>
          <w:spacing w:val="-12"/>
        </w:rPr>
        <w:t xml:space="preserve"> </w:t>
      </w:r>
      <w:r>
        <w:t>improving</w:t>
      </w:r>
      <w:r>
        <w:rPr>
          <w:spacing w:val="-13"/>
        </w:rPr>
        <w:t xml:space="preserve"> </w:t>
      </w:r>
      <w:r>
        <w:t>educational</w:t>
      </w:r>
      <w:r>
        <w:rPr>
          <w:spacing w:val="-12"/>
        </w:rPr>
        <w:t xml:space="preserve"> </w:t>
      </w:r>
      <w:r>
        <w:t>outcomes.</w:t>
      </w:r>
      <w:r>
        <w:rPr>
          <w:spacing w:val="-12"/>
        </w:rPr>
        <w:t xml:space="preserve"> </w:t>
      </w:r>
      <w:r>
        <w:t>The</w:t>
      </w:r>
      <w:r>
        <w:rPr>
          <w:spacing w:val="-13"/>
        </w:rPr>
        <w:t xml:space="preserve"> </w:t>
      </w:r>
      <w:r>
        <w:t>Commission</w:t>
      </w:r>
      <w:r>
        <w:rPr>
          <w:spacing w:val="-12"/>
        </w:rPr>
        <w:t xml:space="preserve"> </w:t>
      </w:r>
      <w:r>
        <w:t>believes that</w:t>
      </w:r>
      <w:r>
        <w:rPr>
          <w:spacing w:val="-9"/>
        </w:rPr>
        <w:t xml:space="preserve"> </w:t>
      </w:r>
      <w:r>
        <w:t>the</w:t>
      </w:r>
      <w:r>
        <w:rPr>
          <w:spacing w:val="-9"/>
        </w:rPr>
        <w:t xml:space="preserve"> </w:t>
      </w:r>
      <w:r>
        <w:t>Commonwealth’s</w:t>
      </w:r>
      <w:r>
        <w:rPr>
          <w:spacing w:val="-6"/>
        </w:rPr>
        <w:t xml:space="preserve"> </w:t>
      </w:r>
      <w:r>
        <w:t>anti-bullying</w:t>
      </w:r>
      <w:r>
        <w:rPr>
          <w:spacing w:val="-9"/>
        </w:rPr>
        <w:t xml:space="preserve"> </w:t>
      </w:r>
      <w:r>
        <w:t>laws</w:t>
      </w:r>
      <w:r>
        <w:rPr>
          <w:spacing w:val="-10"/>
        </w:rPr>
        <w:t xml:space="preserve"> </w:t>
      </w:r>
      <w:r>
        <w:t>need</w:t>
      </w:r>
      <w:r>
        <w:rPr>
          <w:spacing w:val="-9"/>
        </w:rPr>
        <w:t xml:space="preserve"> </w:t>
      </w:r>
      <w:r>
        <w:t>to</w:t>
      </w:r>
      <w:r>
        <w:rPr>
          <w:spacing w:val="-6"/>
        </w:rPr>
        <w:t xml:space="preserve"> </w:t>
      </w:r>
      <w:r>
        <w:t>be</w:t>
      </w:r>
      <w:r>
        <w:rPr>
          <w:spacing w:val="-9"/>
        </w:rPr>
        <w:t xml:space="preserve"> </w:t>
      </w:r>
      <w:r>
        <w:t>strengthened.</w:t>
      </w:r>
      <w:r>
        <w:rPr>
          <w:spacing w:val="-9"/>
        </w:rPr>
        <w:t xml:space="preserve"> </w:t>
      </w:r>
      <w:r>
        <w:t>School</w:t>
      </w:r>
      <w:r>
        <w:rPr>
          <w:spacing w:val="-9"/>
        </w:rPr>
        <w:t xml:space="preserve"> </w:t>
      </w:r>
      <w:r>
        <w:t>districts</w:t>
      </w:r>
      <w:r>
        <w:rPr>
          <w:spacing w:val="-7"/>
        </w:rPr>
        <w:t xml:space="preserve"> </w:t>
      </w:r>
      <w:r>
        <w:t>need</w:t>
      </w:r>
      <w:r>
        <w:rPr>
          <w:spacing w:val="-6"/>
        </w:rPr>
        <w:t xml:space="preserve"> </w:t>
      </w:r>
      <w:r>
        <w:t>more</w:t>
      </w:r>
      <w:r>
        <w:rPr>
          <w:spacing w:val="-9"/>
        </w:rPr>
        <w:t xml:space="preserve"> </w:t>
      </w:r>
      <w:r>
        <w:t>funding and clearly defined mandatory requirements for how to counter bullying and proactively build more inclusive communities; these requirements should explicitly address LGBTQ students and mandate that districts make LGBTQ trainings available to all st</w:t>
      </w:r>
      <w:r>
        <w:t>aff on a regular basis.</w:t>
      </w:r>
    </w:p>
    <w:p w:rsidR="00C76E6D" w:rsidRDefault="00C76E6D">
      <w:pPr>
        <w:pStyle w:val="BodyText"/>
        <w:spacing w:before="1"/>
        <w:rPr>
          <w:sz w:val="25"/>
        </w:rPr>
      </w:pPr>
    </w:p>
    <w:p w:rsidR="00C76E6D" w:rsidRDefault="00913831">
      <w:pPr>
        <w:pStyle w:val="BodyText"/>
        <w:spacing w:line="276" w:lineRule="auto"/>
        <w:ind w:left="478" w:right="473"/>
        <w:jc w:val="both"/>
      </w:pPr>
      <w:r>
        <w:t>Given the intersection between anti-LGBTQ bias and racial and ethnic biases, and the disproportionate needs facing QTBIPOC youth, the Commission recommends that anti-racism components be included in this training. Beyond staff trai</w:t>
      </w:r>
      <w:r>
        <w:t>ning, students also need more education to prepare them to prevent and respond</w:t>
      </w:r>
      <w:r>
        <w:rPr>
          <w:spacing w:val="-8"/>
        </w:rPr>
        <w:t xml:space="preserve"> </w:t>
      </w:r>
      <w:r>
        <w:t>to</w:t>
      </w:r>
      <w:r>
        <w:rPr>
          <w:spacing w:val="-6"/>
        </w:rPr>
        <w:t xml:space="preserve"> </w:t>
      </w:r>
      <w:r>
        <w:t>bullying,</w:t>
      </w:r>
      <w:r>
        <w:rPr>
          <w:spacing w:val="-6"/>
        </w:rPr>
        <w:t xml:space="preserve"> </w:t>
      </w:r>
      <w:r>
        <w:t>bias,</w:t>
      </w:r>
      <w:r>
        <w:rPr>
          <w:spacing w:val="-6"/>
        </w:rPr>
        <w:t xml:space="preserve"> </w:t>
      </w:r>
      <w:r>
        <w:t>and</w:t>
      </w:r>
      <w:r>
        <w:rPr>
          <w:spacing w:val="-8"/>
        </w:rPr>
        <w:t xml:space="preserve"> </w:t>
      </w:r>
      <w:r>
        <w:t>mistreatment;</w:t>
      </w:r>
      <w:r>
        <w:rPr>
          <w:spacing w:val="-6"/>
        </w:rPr>
        <w:t xml:space="preserve"> </w:t>
      </w:r>
      <w:r>
        <w:t>this</w:t>
      </w:r>
      <w:r>
        <w:rPr>
          <w:spacing w:val="-6"/>
        </w:rPr>
        <w:t xml:space="preserve"> </w:t>
      </w:r>
      <w:r>
        <w:t>goal</w:t>
      </w:r>
      <w:r>
        <w:rPr>
          <w:spacing w:val="-8"/>
        </w:rPr>
        <w:t xml:space="preserve"> </w:t>
      </w:r>
      <w:r>
        <w:t>could</w:t>
      </w:r>
      <w:r>
        <w:rPr>
          <w:spacing w:val="-7"/>
        </w:rPr>
        <w:t xml:space="preserve"> </w:t>
      </w:r>
      <w:r>
        <w:t>be</w:t>
      </w:r>
      <w:r>
        <w:rPr>
          <w:spacing w:val="-7"/>
        </w:rPr>
        <w:t xml:space="preserve"> </w:t>
      </w:r>
      <w:r>
        <w:t>advanced</w:t>
      </w:r>
      <w:r>
        <w:rPr>
          <w:spacing w:val="-8"/>
        </w:rPr>
        <w:t xml:space="preserve"> </w:t>
      </w:r>
      <w:r>
        <w:t>with</w:t>
      </w:r>
      <w:r>
        <w:rPr>
          <w:spacing w:val="-5"/>
        </w:rPr>
        <w:t xml:space="preserve"> </w:t>
      </w:r>
      <w:r>
        <w:t>bills</w:t>
      </w:r>
      <w:r>
        <w:rPr>
          <w:spacing w:val="-7"/>
        </w:rPr>
        <w:t xml:space="preserve"> </w:t>
      </w:r>
      <w:r>
        <w:t>such</w:t>
      </w:r>
      <w:r>
        <w:rPr>
          <w:spacing w:val="-7"/>
        </w:rPr>
        <w:t xml:space="preserve"> </w:t>
      </w:r>
      <w:r>
        <w:t>as</w:t>
      </w:r>
      <w:r>
        <w:rPr>
          <w:spacing w:val="-7"/>
        </w:rPr>
        <w:t xml:space="preserve"> </w:t>
      </w:r>
      <w:r>
        <w:t>An</w:t>
      </w:r>
      <w:r>
        <w:rPr>
          <w:spacing w:val="-8"/>
        </w:rPr>
        <w:t xml:space="preserve"> </w:t>
      </w:r>
      <w:r>
        <w:t>Act</w:t>
      </w:r>
      <w:r>
        <w:rPr>
          <w:spacing w:val="-7"/>
        </w:rPr>
        <w:t xml:space="preserve"> </w:t>
      </w:r>
      <w:r>
        <w:t>Relative to</w:t>
      </w:r>
      <w:r>
        <w:rPr>
          <w:spacing w:val="-5"/>
        </w:rPr>
        <w:t xml:space="preserve"> </w:t>
      </w:r>
      <w:r>
        <w:t>Mental</w:t>
      </w:r>
      <w:r>
        <w:rPr>
          <w:spacing w:val="-5"/>
        </w:rPr>
        <w:t xml:space="preserve"> </w:t>
      </w:r>
      <w:r>
        <w:t>Health</w:t>
      </w:r>
      <w:r>
        <w:rPr>
          <w:spacing w:val="-6"/>
        </w:rPr>
        <w:t xml:space="preserve"> </w:t>
      </w:r>
      <w:r>
        <w:t>Education</w:t>
      </w:r>
      <w:r>
        <w:rPr>
          <w:spacing w:val="-6"/>
        </w:rPr>
        <w:t xml:space="preserve"> </w:t>
      </w:r>
      <w:r>
        <w:t>(S.</w:t>
      </w:r>
      <w:r>
        <w:rPr>
          <w:spacing w:val="-6"/>
        </w:rPr>
        <w:t xml:space="preserve"> </w:t>
      </w:r>
      <w:r>
        <w:t>292),</w:t>
      </w:r>
      <w:r>
        <w:rPr>
          <w:spacing w:val="-5"/>
        </w:rPr>
        <w:t xml:space="preserve"> </w:t>
      </w:r>
      <w:r>
        <w:t>which</w:t>
      </w:r>
      <w:r>
        <w:rPr>
          <w:spacing w:val="-6"/>
        </w:rPr>
        <w:t xml:space="preserve"> </w:t>
      </w:r>
      <w:r>
        <w:t>would</w:t>
      </w:r>
      <w:r>
        <w:rPr>
          <w:spacing w:val="-6"/>
        </w:rPr>
        <w:t xml:space="preserve"> </w:t>
      </w:r>
      <w:r>
        <w:t>add</w:t>
      </w:r>
      <w:r>
        <w:rPr>
          <w:spacing w:val="-6"/>
        </w:rPr>
        <w:t xml:space="preserve"> </w:t>
      </w:r>
      <w:r>
        <w:t>mental</w:t>
      </w:r>
      <w:r>
        <w:rPr>
          <w:spacing w:val="-5"/>
        </w:rPr>
        <w:t xml:space="preserve"> </w:t>
      </w:r>
      <w:r>
        <w:t>health</w:t>
      </w:r>
      <w:r>
        <w:rPr>
          <w:spacing w:val="-5"/>
        </w:rPr>
        <w:t xml:space="preserve"> </w:t>
      </w:r>
      <w:r>
        <w:t>as</w:t>
      </w:r>
      <w:r>
        <w:rPr>
          <w:spacing w:val="-5"/>
        </w:rPr>
        <w:t xml:space="preserve"> </w:t>
      </w:r>
      <w:r>
        <w:t>a</w:t>
      </w:r>
      <w:r>
        <w:rPr>
          <w:spacing w:val="-5"/>
        </w:rPr>
        <w:t xml:space="preserve"> </w:t>
      </w:r>
      <w:r>
        <w:t>requi</w:t>
      </w:r>
      <w:r>
        <w:t>red</w:t>
      </w:r>
      <w:r>
        <w:rPr>
          <w:spacing w:val="-7"/>
        </w:rPr>
        <w:t xml:space="preserve"> </w:t>
      </w:r>
      <w:r>
        <w:t>subject</w:t>
      </w:r>
      <w:r>
        <w:rPr>
          <w:spacing w:val="-5"/>
        </w:rPr>
        <w:t xml:space="preserve"> </w:t>
      </w:r>
      <w:r>
        <w:t>in</w:t>
      </w:r>
      <w:r>
        <w:rPr>
          <w:spacing w:val="-3"/>
        </w:rPr>
        <w:t xml:space="preserve"> </w:t>
      </w:r>
      <w:r>
        <w:t>K-12</w:t>
      </w:r>
      <w:r>
        <w:rPr>
          <w:spacing w:val="-5"/>
        </w:rPr>
        <w:t xml:space="preserve"> </w:t>
      </w:r>
      <w:r>
        <w:t>schools (sent to study in March 2022), and An Act to Promote Social-Emotional Learning (H. 543 / S. 301), which could</w:t>
      </w:r>
      <w:r>
        <w:rPr>
          <w:spacing w:val="-3"/>
        </w:rPr>
        <w:t xml:space="preserve"> </w:t>
      </w:r>
      <w:r>
        <w:t>increase</w:t>
      </w:r>
      <w:r>
        <w:rPr>
          <w:spacing w:val="-3"/>
        </w:rPr>
        <w:t xml:space="preserve"> </w:t>
      </w:r>
      <w:r>
        <w:t>the</w:t>
      </w:r>
      <w:r>
        <w:rPr>
          <w:spacing w:val="-2"/>
        </w:rPr>
        <w:t xml:space="preserve"> </w:t>
      </w:r>
      <w:r>
        <w:t>use</w:t>
      </w:r>
      <w:r>
        <w:rPr>
          <w:spacing w:val="-2"/>
        </w:rPr>
        <w:t xml:space="preserve"> </w:t>
      </w:r>
      <w:r>
        <w:t>of</w:t>
      </w:r>
      <w:r>
        <w:rPr>
          <w:spacing w:val="-3"/>
        </w:rPr>
        <w:t xml:space="preserve"> </w:t>
      </w:r>
      <w:r>
        <w:t>social-emotional</w:t>
      </w:r>
      <w:r>
        <w:rPr>
          <w:spacing w:val="-3"/>
        </w:rPr>
        <w:t xml:space="preserve"> </w:t>
      </w:r>
      <w:r>
        <w:t>learning</w:t>
      </w:r>
      <w:r>
        <w:rPr>
          <w:spacing w:val="-3"/>
        </w:rPr>
        <w:t xml:space="preserve"> </w:t>
      </w:r>
      <w:r>
        <w:t>in</w:t>
      </w:r>
      <w:r>
        <w:rPr>
          <w:spacing w:val="-3"/>
        </w:rPr>
        <w:t xml:space="preserve"> </w:t>
      </w:r>
      <w:r>
        <w:t>classrooms</w:t>
      </w:r>
      <w:r>
        <w:rPr>
          <w:spacing w:val="-2"/>
        </w:rPr>
        <w:t xml:space="preserve"> </w:t>
      </w:r>
      <w:r>
        <w:t>(reported</w:t>
      </w:r>
      <w:r>
        <w:rPr>
          <w:spacing w:val="-3"/>
        </w:rPr>
        <w:t xml:space="preserve"> </w:t>
      </w:r>
      <w:r>
        <w:t>favorably</w:t>
      </w:r>
      <w:r>
        <w:rPr>
          <w:spacing w:val="-3"/>
        </w:rPr>
        <w:t xml:space="preserve"> </w:t>
      </w:r>
      <w:r>
        <w:t>to</w:t>
      </w:r>
      <w:r>
        <w:rPr>
          <w:spacing w:val="-2"/>
        </w:rPr>
        <w:t xml:space="preserve"> </w:t>
      </w:r>
      <w:r>
        <w:t>House</w:t>
      </w:r>
      <w:r>
        <w:rPr>
          <w:spacing w:val="-3"/>
        </w:rPr>
        <w:t xml:space="preserve"> </w:t>
      </w:r>
      <w:r>
        <w:t>Ways</w:t>
      </w:r>
      <w:r>
        <w:rPr>
          <w:spacing w:val="-3"/>
        </w:rPr>
        <w:t xml:space="preserve"> </w:t>
      </w:r>
      <w:r>
        <w:t>and Means in July 2021). The Commonwealth should also strengthen existing requirements that schools provide age-appropriate instruction on bullying prevention, to ensure that the state is monitoring for evidence-based instruction at every level.</w:t>
      </w:r>
    </w:p>
    <w:p w:rsidR="00C76E6D" w:rsidRDefault="00C76E6D">
      <w:pPr>
        <w:spacing w:line="276" w:lineRule="auto"/>
        <w:jc w:val="both"/>
        <w:sectPr w:rsidR="00C76E6D">
          <w:pgSz w:w="12240" w:h="15840"/>
          <w:pgMar w:top="960" w:right="960" w:bottom="860" w:left="960" w:header="760" w:footer="679" w:gutter="0"/>
          <w:cols w:space="720"/>
        </w:sectPr>
      </w:pPr>
    </w:p>
    <w:p w:rsidR="00C76E6D" w:rsidRDefault="00C76E6D">
      <w:pPr>
        <w:pStyle w:val="BodyText"/>
        <w:rPr>
          <w:sz w:val="20"/>
        </w:rPr>
      </w:pPr>
    </w:p>
    <w:p w:rsidR="00C76E6D" w:rsidRDefault="00C76E6D">
      <w:pPr>
        <w:pStyle w:val="BodyText"/>
        <w:spacing w:before="7"/>
        <w:rPr>
          <w:sz w:val="17"/>
        </w:rPr>
      </w:pPr>
    </w:p>
    <w:p w:rsidR="00C76E6D" w:rsidRDefault="00913831">
      <w:pPr>
        <w:pStyle w:val="BodyText"/>
        <w:spacing w:line="276" w:lineRule="auto"/>
        <w:ind w:left="479" w:right="474"/>
        <w:jc w:val="both"/>
      </w:pPr>
      <w:r>
        <w:t xml:space="preserve">The Commission further recommends that the state require public schools to adopt policies on student suicide prevention, intervention, and postvention, which should specifically address high-risk groups, including LGBTQ youth, as proposed </w:t>
      </w:r>
      <w:r>
        <w:t>in An Act Relative to Establishing a Model School Policy on Suicide Prevention (S. 1303).</w:t>
      </w:r>
    </w:p>
    <w:p w:rsidR="00C76E6D" w:rsidRDefault="00C76E6D">
      <w:pPr>
        <w:pStyle w:val="BodyText"/>
        <w:spacing w:before="4"/>
        <w:rPr>
          <w:sz w:val="25"/>
        </w:rPr>
      </w:pPr>
    </w:p>
    <w:p w:rsidR="00C76E6D" w:rsidRDefault="00913831">
      <w:pPr>
        <w:pStyle w:val="BodyText"/>
        <w:spacing w:line="276" w:lineRule="auto"/>
        <w:ind w:left="480" w:right="474" w:hanging="1"/>
        <w:jc w:val="both"/>
      </w:pPr>
      <w:r>
        <w:t>Finally,</w:t>
      </w:r>
      <w:r>
        <w:rPr>
          <w:spacing w:val="-1"/>
        </w:rPr>
        <w:t xml:space="preserve"> </w:t>
      </w:r>
      <w:r>
        <w:t>the</w:t>
      </w:r>
      <w:r>
        <w:rPr>
          <w:spacing w:val="-2"/>
        </w:rPr>
        <w:t xml:space="preserve"> </w:t>
      </w:r>
      <w:r>
        <w:t>Commission</w:t>
      </w:r>
      <w:r>
        <w:rPr>
          <w:spacing w:val="-3"/>
        </w:rPr>
        <w:t xml:space="preserve"> </w:t>
      </w:r>
      <w:r>
        <w:t>recommends</w:t>
      </w:r>
      <w:r>
        <w:rPr>
          <w:spacing w:val="-1"/>
        </w:rPr>
        <w:t xml:space="preserve"> </w:t>
      </w:r>
      <w:r>
        <w:t>that</w:t>
      </w:r>
      <w:r>
        <w:rPr>
          <w:spacing w:val="-2"/>
        </w:rPr>
        <w:t xml:space="preserve"> </w:t>
      </w:r>
      <w:r>
        <w:t>the</w:t>
      </w:r>
      <w:r>
        <w:rPr>
          <w:spacing w:val="-2"/>
        </w:rPr>
        <w:t xml:space="preserve"> </w:t>
      </w:r>
      <w:r>
        <w:t>state</w:t>
      </w:r>
      <w:r>
        <w:rPr>
          <w:spacing w:val="-2"/>
        </w:rPr>
        <w:t xml:space="preserve"> </w:t>
      </w:r>
      <w:r>
        <w:t>amend</w:t>
      </w:r>
      <w:r>
        <w:rPr>
          <w:spacing w:val="-2"/>
        </w:rPr>
        <w:t xml:space="preserve"> </w:t>
      </w:r>
      <w:r>
        <w:t>its</w:t>
      </w:r>
      <w:r>
        <w:rPr>
          <w:spacing w:val="-1"/>
        </w:rPr>
        <w:t xml:space="preserve"> </w:t>
      </w:r>
      <w:r>
        <w:t>building</w:t>
      </w:r>
      <w:r>
        <w:rPr>
          <w:spacing w:val="-1"/>
        </w:rPr>
        <w:t xml:space="preserve"> </w:t>
      </w:r>
      <w:r>
        <w:t>code</w:t>
      </w:r>
      <w:r>
        <w:rPr>
          <w:spacing w:val="-2"/>
        </w:rPr>
        <w:t xml:space="preserve"> </w:t>
      </w:r>
      <w:r>
        <w:t>to make</w:t>
      </w:r>
      <w:r>
        <w:rPr>
          <w:spacing w:val="-2"/>
        </w:rPr>
        <w:t xml:space="preserve"> </w:t>
      </w:r>
      <w:r>
        <w:t>it</w:t>
      </w:r>
      <w:r>
        <w:rPr>
          <w:spacing w:val="-1"/>
        </w:rPr>
        <w:t xml:space="preserve"> </w:t>
      </w:r>
      <w:r>
        <w:t>easier</w:t>
      </w:r>
      <w:r>
        <w:rPr>
          <w:spacing w:val="-2"/>
        </w:rPr>
        <w:t xml:space="preserve"> </w:t>
      </w:r>
      <w:r>
        <w:t>for</w:t>
      </w:r>
      <w:r>
        <w:rPr>
          <w:spacing w:val="-3"/>
        </w:rPr>
        <w:t xml:space="preserve"> </w:t>
      </w:r>
      <w:r>
        <w:t>schools and</w:t>
      </w:r>
      <w:r>
        <w:rPr>
          <w:spacing w:val="-4"/>
        </w:rPr>
        <w:t xml:space="preserve"> </w:t>
      </w:r>
      <w:r>
        <w:t>other</w:t>
      </w:r>
      <w:r>
        <w:rPr>
          <w:spacing w:val="-4"/>
        </w:rPr>
        <w:t xml:space="preserve"> </w:t>
      </w:r>
      <w:r>
        <w:t>public</w:t>
      </w:r>
      <w:r>
        <w:rPr>
          <w:spacing w:val="-3"/>
        </w:rPr>
        <w:t xml:space="preserve"> </w:t>
      </w:r>
      <w:r>
        <w:t>facilities</w:t>
      </w:r>
      <w:r>
        <w:rPr>
          <w:spacing w:val="-3"/>
        </w:rPr>
        <w:t xml:space="preserve"> </w:t>
      </w:r>
      <w:r>
        <w:t>to</w:t>
      </w:r>
      <w:r>
        <w:rPr>
          <w:spacing w:val="-4"/>
        </w:rPr>
        <w:t xml:space="preserve"> </w:t>
      </w:r>
      <w:r>
        <w:t>install</w:t>
      </w:r>
      <w:r>
        <w:rPr>
          <w:spacing w:val="-3"/>
        </w:rPr>
        <w:t xml:space="preserve"> </w:t>
      </w:r>
      <w:r>
        <w:t>gender-neutral</w:t>
      </w:r>
      <w:r>
        <w:rPr>
          <w:spacing w:val="-4"/>
        </w:rPr>
        <w:t xml:space="preserve"> </w:t>
      </w:r>
      <w:r>
        <w:t>bathroo</w:t>
      </w:r>
      <w:r>
        <w:t>ms,</w:t>
      </w:r>
      <w:r>
        <w:rPr>
          <w:spacing w:val="-4"/>
        </w:rPr>
        <w:t xml:space="preserve"> </w:t>
      </w:r>
      <w:r>
        <w:t>as</w:t>
      </w:r>
      <w:r>
        <w:rPr>
          <w:spacing w:val="-4"/>
        </w:rPr>
        <w:t xml:space="preserve"> </w:t>
      </w:r>
      <w:r>
        <w:t>proposed</w:t>
      </w:r>
      <w:r>
        <w:rPr>
          <w:spacing w:val="-4"/>
        </w:rPr>
        <w:t xml:space="preserve"> </w:t>
      </w:r>
      <w:r>
        <w:t>in</w:t>
      </w:r>
      <w:r>
        <w:rPr>
          <w:spacing w:val="-4"/>
        </w:rPr>
        <w:t xml:space="preserve"> </w:t>
      </w:r>
      <w:r>
        <w:t>An</w:t>
      </w:r>
      <w:r>
        <w:rPr>
          <w:spacing w:val="-4"/>
        </w:rPr>
        <w:t xml:space="preserve"> </w:t>
      </w:r>
      <w:r>
        <w:t>Act</w:t>
      </w:r>
      <w:r>
        <w:rPr>
          <w:spacing w:val="-3"/>
        </w:rPr>
        <w:t xml:space="preserve"> </w:t>
      </w:r>
      <w:r>
        <w:t>Establishing</w:t>
      </w:r>
      <w:r>
        <w:rPr>
          <w:spacing w:val="-3"/>
        </w:rPr>
        <w:t xml:space="preserve"> </w:t>
      </w:r>
      <w:r>
        <w:t>Gender Neutral Bathrooms (H. 3124 / S. 2026).</w:t>
      </w:r>
    </w:p>
    <w:p w:rsidR="00C76E6D" w:rsidRDefault="00C76E6D">
      <w:pPr>
        <w:pStyle w:val="BodyText"/>
        <w:spacing w:before="11"/>
        <w:rPr>
          <w:sz w:val="26"/>
        </w:rPr>
      </w:pPr>
    </w:p>
    <w:p w:rsidR="00C76E6D" w:rsidRDefault="00913831">
      <w:pPr>
        <w:pStyle w:val="Heading6"/>
        <w:numPr>
          <w:ilvl w:val="1"/>
          <w:numId w:val="46"/>
        </w:numPr>
        <w:tabs>
          <w:tab w:val="left" w:pos="699"/>
        </w:tabs>
        <w:spacing w:line="276" w:lineRule="auto"/>
        <w:ind w:left="480" w:right="522" w:hanging="1"/>
      </w:pPr>
      <w:bookmarkStart w:id="179" w:name="4._Adopt_policies_and_comprehensive_comp"/>
      <w:bookmarkEnd w:id="179"/>
      <w:r>
        <w:t>Adopt</w:t>
      </w:r>
      <w:r>
        <w:rPr>
          <w:spacing w:val="-13"/>
        </w:rPr>
        <w:t xml:space="preserve"> </w:t>
      </w:r>
      <w:r>
        <w:t>policies</w:t>
      </w:r>
      <w:r>
        <w:rPr>
          <w:spacing w:val="-12"/>
        </w:rPr>
        <w:t xml:space="preserve"> </w:t>
      </w:r>
      <w:r>
        <w:t>and</w:t>
      </w:r>
      <w:r>
        <w:rPr>
          <w:spacing w:val="-13"/>
        </w:rPr>
        <w:t xml:space="preserve"> </w:t>
      </w:r>
      <w:r>
        <w:t>comprehensive</w:t>
      </w:r>
      <w:r>
        <w:rPr>
          <w:spacing w:val="-12"/>
        </w:rPr>
        <w:t xml:space="preserve"> </w:t>
      </w:r>
      <w:r>
        <w:t>compliance</w:t>
      </w:r>
      <w:r>
        <w:rPr>
          <w:spacing w:val="-12"/>
        </w:rPr>
        <w:t xml:space="preserve"> </w:t>
      </w:r>
      <w:r>
        <w:t>requirements</w:t>
      </w:r>
      <w:r>
        <w:rPr>
          <w:spacing w:val="-11"/>
        </w:rPr>
        <w:t xml:space="preserve"> </w:t>
      </w:r>
      <w:r>
        <w:t>that</w:t>
      </w:r>
      <w:r>
        <w:rPr>
          <w:spacing w:val="-11"/>
        </w:rPr>
        <w:t xml:space="preserve"> </w:t>
      </w:r>
      <w:r>
        <w:t>recognize</w:t>
      </w:r>
      <w:r>
        <w:rPr>
          <w:spacing w:val="-10"/>
        </w:rPr>
        <w:t xml:space="preserve"> </w:t>
      </w:r>
      <w:r>
        <w:t>gender</w:t>
      </w:r>
      <w:r>
        <w:rPr>
          <w:spacing w:val="-10"/>
        </w:rPr>
        <w:t xml:space="preserve"> </w:t>
      </w:r>
      <w:r>
        <w:t>identity</w:t>
      </w:r>
      <w:r>
        <w:rPr>
          <w:spacing w:val="-11"/>
        </w:rPr>
        <w:t xml:space="preserve"> </w:t>
      </w:r>
      <w:r>
        <w:t>diversity in state workplaces and provide a framework for accountability.</w:t>
      </w:r>
    </w:p>
    <w:p w:rsidR="00C76E6D" w:rsidRDefault="00C76E6D">
      <w:pPr>
        <w:pStyle w:val="BodyText"/>
        <w:spacing w:before="7"/>
        <w:rPr>
          <w:b/>
          <w:sz w:val="19"/>
        </w:rPr>
      </w:pPr>
    </w:p>
    <w:p w:rsidR="00C76E6D" w:rsidRDefault="00913831">
      <w:pPr>
        <w:pStyle w:val="BodyText"/>
        <w:spacing w:before="1" w:line="276" w:lineRule="auto"/>
        <w:ind w:left="478" w:right="475"/>
        <w:jc w:val="both"/>
      </w:pPr>
      <w:r>
        <w:t>The Commission issued policy guidance in 2017 entitled “Workplace Practices to Recognize Gender Identity Diversity.”</w:t>
      </w:r>
      <w:hyperlink w:anchor="_bookmark92" w:history="1">
        <w:r>
          <w:rPr>
            <w:vertAlign w:val="superscript"/>
          </w:rPr>
          <w:t>1</w:t>
        </w:r>
        <w:r>
          <w:t xml:space="preserve"> </w:t>
        </w:r>
      </w:hyperlink>
      <w:r>
        <w:t>The Commission recommends that state agencies review this guidance and share it with employees, either enco</w:t>
      </w:r>
      <w:r>
        <w:t>uraging them to voluntarily share their gender pronouns or, at a minimum, making</w:t>
      </w:r>
      <w:r>
        <w:rPr>
          <w:spacing w:val="-14"/>
        </w:rPr>
        <w:t xml:space="preserve"> </w:t>
      </w:r>
      <w:r>
        <w:t>all</w:t>
      </w:r>
      <w:r>
        <w:rPr>
          <w:spacing w:val="-12"/>
        </w:rPr>
        <w:t xml:space="preserve"> </w:t>
      </w:r>
      <w:r>
        <w:t>employees</w:t>
      </w:r>
      <w:r>
        <w:rPr>
          <w:spacing w:val="-14"/>
        </w:rPr>
        <w:t xml:space="preserve"> </w:t>
      </w:r>
      <w:r>
        <w:t>aware</w:t>
      </w:r>
      <w:r>
        <w:rPr>
          <w:spacing w:val="-13"/>
        </w:rPr>
        <w:t xml:space="preserve"> </w:t>
      </w:r>
      <w:r>
        <w:t>of</w:t>
      </w:r>
      <w:r>
        <w:rPr>
          <w:spacing w:val="-14"/>
        </w:rPr>
        <w:t xml:space="preserve"> </w:t>
      </w:r>
      <w:r>
        <w:t>why</w:t>
      </w:r>
      <w:r>
        <w:rPr>
          <w:spacing w:val="-12"/>
        </w:rPr>
        <w:t xml:space="preserve"> </w:t>
      </w:r>
      <w:r>
        <w:t>some</w:t>
      </w:r>
      <w:r>
        <w:rPr>
          <w:spacing w:val="-14"/>
        </w:rPr>
        <w:t xml:space="preserve"> </w:t>
      </w:r>
      <w:r>
        <w:t>of</w:t>
      </w:r>
      <w:r>
        <w:rPr>
          <w:spacing w:val="-13"/>
        </w:rPr>
        <w:t xml:space="preserve"> </w:t>
      </w:r>
      <w:r>
        <w:t>their</w:t>
      </w:r>
      <w:r>
        <w:rPr>
          <w:spacing w:val="-11"/>
        </w:rPr>
        <w:t xml:space="preserve"> </w:t>
      </w:r>
      <w:r>
        <w:t>colleagues</w:t>
      </w:r>
      <w:r>
        <w:rPr>
          <w:spacing w:val="-13"/>
        </w:rPr>
        <w:t xml:space="preserve"> </w:t>
      </w:r>
      <w:r>
        <w:t>and</w:t>
      </w:r>
      <w:r>
        <w:rPr>
          <w:spacing w:val="-12"/>
        </w:rPr>
        <w:t xml:space="preserve"> </w:t>
      </w:r>
      <w:r>
        <w:t>clients</w:t>
      </w:r>
      <w:r>
        <w:rPr>
          <w:spacing w:val="-13"/>
        </w:rPr>
        <w:t xml:space="preserve"> </w:t>
      </w:r>
      <w:r>
        <w:t>may</w:t>
      </w:r>
      <w:r>
        <w:rPr>
          <w:spacing w:val="-13"/>
        </w:rPr>
        <w:t xml:space="preserve"> </w:t>
      </w:r>
      <w:r>
        <w:t>share</w:t>
      </w:r>
      <w:r>
        <w:rPr>
          <w:spacing w:val="-14"/>
        </w:rPr>
        <w:t xml:space="preserve"> </w:t>
      </w:r>
      <w:r>
        <w:t>their</w:t>
      </w:r>
      <w:r>
        <w:rPr>
          <w:spacing w:val="-13"/>
        </w:rPr>
        <w:t xml:space="preserve"> </w:t>
      </w:r>
      <w:r>
        <w:t>gender</w:t>
      </w:r>
      <w:r>
        <w:rPr>
          <w:spacing w:val="-13"/>
        </w:rPr>
        <w:t xml:space="preserve"> </w:t>
      </w:r>
      <w:r>
        <w:t>pronouns.</w:t>
      </w:r>
    </w:p>
    <w:p w:rsidR="00C76E6D" w:rsidRDefault="00C76E6D">
      <w:pPr>
        <w:pStyle w:val="BodyText"/>
        <w:spacing w:before="5"/>
        <w:rPr>
          <w:sz w:val="25"/>
        </w:rPr>
      </w:pPr>
    </w:p>
    <w:p w:rsidR="00C76E6D" w:rsidRDefault="00913831">
      <w:pPr>
        <w:pStyle w:val="Heading6"/>
        <w:numPr>
          <w:ilvl w:val="1"/>
          <w:numId w:val="46"/>
        </w:numPr>
        <w:tabs>
          <w:tab w:val="left" w:pos="699"/>
        </w:tabs>
        <w:ind w:left="698" w:hanging="222"/>
      </w:pPr>
      <w:bookmarkStart w:id="180" w:name="5._Implement_LGBTQ-inclusive_curriculum_"/>
      <w:bookmarkEnd w:id="180"/>
      <w:r>
        <w:rPr>
          <w:w w:val="95"/>
        </w:rPr>
        <w:t>Implement</w:t>
      </w:r>
      <w:r>
        <w:rPr>
          <w:spacing w:val="20"/>
        </w:rPr>
        <w:t xml:space="preserve"> </w:t>
      </w:r>
      <w:r>
        <w:rPr>
          <w:w w:val="95"/>
        </w:rPr>
        <w:t>LGBTQ-inclusive</w:t>
      </w:r>
      <w:r>
        <w:rPr>
          <w:spacing w:val="16"/>
        </w:rPr>
        <w:t xml:space="preserve"> </w:t>
      </w:r>
      <w:r>
        <w:rPr>
          <w:w w:val="95"/>
        </w:rPr>
        <w:t>curriculum</w:t>
      </w:r>
      <w:r>
        <w:rPr>
          <w:spacing w:val="20"/>
        </w:rPr>
        <w:t xml:space="preserve"> </w:t>
      </w:r>
      <w:r>
        <w:rPr>
          <w:w w:val="95"/>
        </w:rPr>
        <w:t>in</w:t>
      </w:r>
      <w:r>
        <w:rPr>
          <w:spacing w:val="18"/>
        </w:rPr>
        <w:t xml:space="preserve"> </w:t>
      </w:r>
      <w:r>
        <w:rPr>
          <w:w w:val="95"/>
        </w:rPr>
        <w:t>public</w:t>
      </w:r>
      <w:r>
        <w:rPr>
          <w:spacing w:val="24"/>
        </w:rPr>
        <w:t xml:space="preserve"> </w:t>
      </w:r>
      <w:r>
        <w:rPr>
          <w:spacing w:val="-2"/>
          <w:w w:val="95"/>
        </w:rPr>
        <w:t>schools.</w:t>
      </w:r>
    </w:p>
    <w:p w:rsidR="00C76E6D" w:rsidRDefault="00C76E6D">
      <w:pPr>
        <w:pStyle w:val="BodyText"/>
        <w:rPr>
          <w:b/>
          <w:sz w:val="23"/>
        </w:rPr>
      </w:pPr>
    </w:p>
    <w:p w:rsidR="00C76E6D" w:rsidRDefault="00913831">
      <w:pPr>
        <w:pStyle w:val="BodyText"/>
        <w:spacing w:line="276" w:lineRule="auto"/>
        <w:ind w:left="480" w:right="474"/>
        <w:jc w:val="both"/>
      </w:pPr>
      <w:r>
        <w:t xml:space="preserve">California, Illinois, New Jersey, Oregon, and Colorado have recently enacted legislation to require public schools to incorporate LGBTQ history into their curriculum. The Illinois law, for example, requires that history classes in public schools include a </w:t>
      </w:r>
      <w:r>
        <w:t>study of the roles and contributions of LGBTQ people in the United States and the state. The Commission greatly appreciates the Department of Elementary and Secondary</w:t>
      </w:r>
      <w:r>
        <w:rPr>
          <w:spacing w:val="-1"/>
        </w:rPr>
        <w:t xml:space="preserve"> </w:t>
      </w:r>
      <w:r>
        <w:t>Education’s</w:t>
      </w:r>
      <w:r>
        <w:rPr>
          <w:spacing w:val="-2"/>
        </w:rPr>
        <w:t xml:space="preserve"> </w:t>
      </w:r>
      <w:r>
        <w:t>willingness</w:t>
      </w:r>
      <w:r>
        <w:rPr>
          <w:spacing w:val="-2"/>
        </w:rPr>
        <w:t xml:space="preserve"> </w:t>
      </w:r>
      <w:r>
        <w:t>to</w:t>
      </w:r>
      <w:r>
        <w:rPr>
          <w:spacing w:val="-2"/>
        </w:rPr>
        <w:t xml:space="preserve"> </w:t>
      </w:r>
      <w:r>
        <w:t>include</w:t>
      </w:r>
      <w:r>
        <w:rPr>
          <w:spacing w:val="-2"/>
        </w:rPr>
        <w:t xml:space="preserve"> </w:t>
      </w:r>
      <w:r>
        <w:t>inclusive curricular</w:t>
      </w:r>
      <w:r>
        <w:rPr>
          <w:spacing w:val="-3"/>
        </w:rPr>
        <w:t xml:space="preserve"> </w:t>
      </w:r>
      <w:r>
        <w:t>resources</w:t>
      </w:r>
      <w:r>
        <w:rPr>
          <w:spacing w:val="-2"/>
        </w:rPr>
        <w:t xml:space="preserve"> </w:t>
      </w:r>
      <w:r>
        <w:t>on</w:t>
      </w:r>
      <w:r>
        <w:rPr>
          <w:spacing w:val="-2"/>
        </w:rPr>
        <w:t xml:space="preserve"> </w:t>
      </w:r>
      <w:r>
        <w:t>the</w:t>
      </w:r>
      <w:r>
        <w:rPr>
          <w:spacing w:val="-3"/>
        </w:rPr>
        <w:t xml:space="preserve"> </w:t>
      </w:r>
      <w:r>
        <w:t>Department’s</w:t>
      </w:r>
      <w:r>
        <w:rPr>
          <w:spacing w:val="-2"/>
        </w:rPr>
        <w:t xml:space="preserve"> </w:t>
      </w:r>
      <w:r>
        <w:t>web</w:t>
      </w:r>
      <w:r>
        <w:t xml:space="preserve">site, but further urges the state legislature to pass legislation to require public schools to incorporate LGBTQ history into their curriculum, as proposed in Bill H.618/S.310, An Act Relative to LGBTQ+ Inclusive Curriculum. Representative Natalie Higgins </w:t>
      </w:r>
      <w:r>
        <w:t>and Representative Jack Lewis introduced An Act Relative to LGBTQ Inclusive Curriculum at the House level (</w:t>
      </w:r>
      <w:hyperlink r:id="rId198">
        <w:r>
          <w:rPr>
            <w:color w:val="1153CC"/>
            <w:u w:val="single" w:color="1153CC"/>
          </w:rPr>
          <w:t>H.618</w:t>
        </w:r>
      </w:hyperlink>
      <w:r>
        <w:t>), and Senator Julian Cyr introduced the bill at the Senate level (</w:t>
      </w:r>
      <w:hyperlink r:id="rId199">
        <w:r>
          <w:rPr>
            <w:color w:val="1153CC"/>
            <w:u w:val="single" w:color="1153CC"/>
          </w:rPr>
          <w:t>S.310</w:t>
        </w:r>
      </w:hyperlink>
      <w:r>
        <w:t>).</w:t>
      </w:r>
    </w:p>
    <w:p w:rsidR="00C76E6D" w:rsidRDefault="00C76E6D">
      <w:pPr>
        <w:pStyle w:val="BodyText"/>
        <w:spacing w:before="8"/>
        <w:rPr>
          <w:sz w:val="20"/>
        </w:rPr>
      </w:pPr>
    </w:p>
    <w:p w:rsidR="00C76E6D" w:rsidRDefault="00913831">
      <w:pPr>
        <w:pStyle w:val="BodyText"/>
        <w:spacing w:before="55" w:line="276" w:lineRule="auto"/>
        <w:ind w:left="479" w:right="473"/>
        <w:jc w:val="both"/>
      </w:pPr>
      <w:r>
        <w:t>Bill H.618/S.310 is one of many inclusive instruction bills swept up into the new omnibus bill H.4539/S.2748, published and passed on March 10, 2022, by the Joint Committee on Education. If included</w:t>
      </w:r>
      <w:r>
        <w:rPr>
          <w:spacing w:val="-8"/>
        </w:rPr>
        <w:t xml:space="preserve"> </w:t>
      </w:r>
      <w:r>
        <w:t>i</w:t>
      </w:r>
      <w:r>
        <w:t>n</w:t>
      </w:r>
      <w:r>
        <w:rPr>
          <w:spacing w:val="-8"/>
        </w:rPr>
        <w:t xml:space="preserve"> </w:t>
      </w:r>
      <w:r>
        <w:t>the</w:t>
      </w:r>
      <w:r>
        <w:rPr>
          <w:spacing w:val="-9"/>
        </w:rPr>
        <w:t xml:space="preserve"> </w:t>
      </w:r>
      <w:r>
        <w:t>final</w:t>
      </w:r>
      <w:r>
        <w:rPr>
          <w:spacing w:val="-9"/>
        </w:rPr>
        <w:t xml:space="preserve"> </w:t>
      </w:r>
      <w:r>
        <w:t>omnibus</w:t>
      </w:r>
      <w:r>
        <w:rPr>
          <w:spacing w:val="-7"/>
        </w:rPr>
        <w:t xml:space="preserve"> </w:t>
      </w:r>
      <w:r>
        <w:t>Act,</w:t>
      </w:r>
      <w:r>
        <w:rPr>
          <w:spacing w:val="-6"/>
        </w:rPr>
        <w:t xml:space="preserve"> </w:t>
      </w:r>
      <w:r>
        <w:t>Bill</w:t>
      </w:r>
      <w:r>
        <w:rPr>
          <w:spacing w:val="-8"/>
        </w:rPr>
        <w:t xml:space="preserve"> </w:t>
      </w:r>
      <w:r>
        <w:t>H.618/S.310</w:t>
      </w:r>
      <w:r>
        <w:rPr>
          <w:spacing w:val="-9"/>
        </w:rPr>
        <w:t xml:space="preserve"> </w:t>
      </w:r>
      <w:r>
        <w:t>will</w:t>
      </w:r>
      <w:r>
        <w:rPr>
          <w:spacing w:val="-9"/>
        </w:rPr>
        <w:t xml:space="preserve"> </w:t>
      </w:r>
      <w:r>
        <w:t>require</w:t>
      </w:r>
      <w:r>
        <w:rPr>
          <w:spacing w:val="-8"/>
        </w:rPr>
        <w:t xml:space="preserve"> </w:t>
      </w:r>
      <w:r>
        <w:t>all</w:t>
      </w:r>
      <w:r>
        <w:rPr>
          <w:spacing w:val="-6"/>
        </w:rPr>
        <w:t xml:space="preserve"> </w:t>
      </w:r>
      <w:r>
        <w:t>Massachusetts</w:t>
      </w:r>
      <w:r>
        <w:rPr>
          <w:spacing w:val="-7"/>
        </w:rPr>
        <w:t xml:space="preserve"> </w:t>
      </w:r>
      <w:r>
        <w:t>public</w:t>
      </w:r>
      <w:r>
        <w:rPr>
          <w:spacing w:val="-8"/>
        </w:rPr>
        <w:t xml:space="preserve"> </w:t>
      </w:r>
      <w:r>
        <w:t>school</w:t>
      </w:r>
      <w:r>
        <w:rPr>
          <w:spacing w:val="-9"/>
        </w:rPr>
        <w:t xml:space="preserve"> </w:t>
      </w:r>
      <w:r>
        <w:t>students</w:t>
      </w:r>
      <w:r>
        <w:rPr>
          <w:spacing w:val="-6"/>
        </w:rPr>
        <w:t xml:space="preserve"> </w:t>
      </w:r>
      <w:r>
        <w:t>to learn about the “roles, histories, and contributions of LGBTQ+ people in this country and this Commonwealth.”</w:t>
      </w:r>
      <w:hyperlink w:anchor="_bookmark93" w:history="1">
        <w:r>
          <w:rPr>
            <w:vertAlign w:val="superscript"/>
          </w:rPr>
          <w:t>2</w:t>
        </w:r>
        <w:r>
          <w:t xml:space="preserve"> </w:t>
        </w:r>
      </w:hyperlink>
      <w:r>
        <w:t>Passage of Bill</w:t>
      </w:r>
      <w:r>
        <w:t xml:space="preserve"> H.4539/S.2748 in its entirety would also enact accompanying bills for an</w:t>
      </w:r>
      <w:r>
        <w:rPr>
          <w:spacing w:val="-6"/>
        </w:rPr>
        <w:t xml:space="preserve"> </w:t>
      </w:r>
      <w:r>
        <w:t>anti-racist</w:t>
      </w:r>
      <w:r>
        <w:rPr>
          <w:spacing w:val="-4"/>
        </w:rPr>
        <w:t xml:space="preserve"> </w:t>
      </w:r>
      <w:r>
        <w:t>curriculum</w:t>
      </w:r>
      <w:r>
        <w:rPr>
          <w:spacing w:val="-2"/>
        </w:rPr>
        <w:t xml:space="preserve"> </w:t>
      </w:r>
      <w:r>
        <w:t>(An</w:t>
      </w:r>
      <w:r>
        <w:rPr>
          <w:spacing w:val="-6"/>
        </w:rPr>
        <w:t xml:space="preserve"> </w:t>
      </w:r>
      <w:r>
        <w:t>Act</w:t>
      </w:r>
      <w:r>
        <w:rPr>
          <w:spacing w:val="-4"/>
        </w:rPr>
        <w:t xml:space="preserve"> </w:t>
      </w:r>
      <w:r>
        <w:t>Relative</w:t>
      </w:r>
      <w:r>
        <w:rPr>
          <w:spacing w:val="-3"/>
        </w:rPr>
        <w:t xml:space="preserve"> </w:t>
      </w:r>
      <w:r>
        <w:t>to</w:t>
      </w:r>
      <w:r>
        <w:rPr>
          <w:spacing w:val="-4"/>
        </w:rPr>
        <w:t xml:space="preserve"> </w:t>
      </w:r>
      <w:r>
        <w:t>Anti-Racism,</w:t>
      </w:r>
      <w:r>
        <w:rPr>
          <w:spacing w:val="-5"/>
        </w:rPr>
        <w:t xml:space="preserve"> </w:t>
      </w:r>
      <w:r>
        <w:t>Equity,</w:t>
      </w:r>
      <w:r>
        <w:rPr>
          <w:spacing w:val="-5"/>
        </w:rPr>
        <w:t xml:space="preserve"> </w:t>
      </w:r>
      <w:r>
        <w:t>and</w:t>
      </w:r>
      <w:r>
        <w:rPr>
          <w:spacing w:val="-4"/>
        </w:rPr>
        <w:t xml:space="preserve"> </w:t>
      </w:r>
      <w:r>
        <w:t>Justice</w:t>
      </w:r>
      <w:r>
        <w:rPr>
          <w:spacing w:val="-5"/>
        </w:rPr>
        <w:t xml:space="preserve"> </w:t>
      </w:r>
      <w:r>
        <w:t>in</w:t>
      </w:r>
      <w:r>
        <w:rPr>
          <w:spacing w:val="-4"/>
        </w:rPr>
        <w:t xml:space="preserve"> </w:t>
      </w:r>
      <w:r>
        <w:t>Education</w:t>
      </w:r>
      <w:r>
        <w:rPr>
          <w:spacing w:val="-3"/>
        </w:rPr>
        <w:t xml:space="preserve"> </w:t>
      </w:r>
      <w:r>
        <w:t>H.</w:t>
      </w:r>
      <w:r>
        <w:rPr>
          <w:spacing w:val="-4"/>
        </w:rPr>
        <w:t xml:space="preserve"> </w:t>
      </w:r>
      <w:r>
        <w:t>584</w:t>
      </w:r>
      <w:r>
        <w:rPr>
          <w:spacing w:val="-5"/>
        </w:rPr>
        <w:t xml:space="preserve"> </w:t>
      </w:r>
      <w:r>
        <w:t>/</w:t>
      </w:r>
      <w:r>
        <w:rPr>
          <w:spacing w:val="-5"/>
        </w:rPr>
        <w:t xml:space="preserve"> </w:t>
      </w:r>
      <w:r>
        <w:t>S.</w:t>
      </w:r>
      <w:r>
        <w:rPr>
          <w:spacing w:val="-4"/>
        </w:rPr>
        <w:t xml:space="preserve"> </w:t>
      </w:r>
      <w:r>
        <w:t>365), culturally competent instruction related to Native American history and communities (An Act relative to celebrating</w:t>
      </w:r>
      <w:r>
        <w:rPr>
          <w:spacing w:val="-4"/>
        </w:rPr>
        <w:t xml:space="preserve"> </w:t>
      </w:r>
      <w:r>
        <w:t>and</w:t>
      </w:r>
      <w:r>
        <w:rPr>
          <w:spacing w:val="-4"/>
        </w:rPr>
        <w:t xml:space="preserve"> </w:t>
      </w:r>
      <w:r>
        <w:t>teaching</w:t>
      </w:r>
      <w:r>
        <w:rPr>
          <w:spacing w:val="-2"/>
        </w:rPr>
        <w:t xml:space="preserve"> </w:t>
      </w:r>
      <w:r>
        <w:t>Native</w:t>
      </w:r>
      <w:r>
        <w:rPr>
          <w:spacing w:val="-5"/>
        </w:rPr>
        <w:t xml:space="preserve"> </w:t>
      </w:r>
      <w:r>
        <w:t>American</w:t>
      </w:r>
      <w:r>
        <w:rPr>
          <w:spacing w:val="-4"/>
        </w:rPr>
        <w:t xml:space="preserve"> </w:t>
      </w:r>
      <w:r>
        <w:t>culture</w:t>
      </w:r>
      <w:r>
        <w:rPr>
          <w:spacing w:val="-4"/>
        </w:rPr>
        <w:t xml:space="preserve"> </w:t>
      </w:r>
      <w:r>
        <w:t>and</w:t>
      </w:r>
      <w:r>
        <w:rPr>
          <w:spacing w:val="-4"/>
        </w:rPr>
        <w:t xml:space="preserve"> </w:t>
      </w:r>
      <w:r>
        <w:t>history</w:t>
      </w:r>
      <w:r>
        <w:rPr>
          <w:spacing w:val="-5"/>
        </w:rPr>
        <w:t xml:space="preserve"> </w:t>
      </w:r>
      <w:r>
        <w:t>H.</w:t>
      </w:r>
      <w:r>
        <w:rPr>
          <w:spacing w:val="-2"/>
        </w:rPr>
        <w:t xml:space="preserve"> </w:t>
      </w:r>
      <w:r>
        <w:t>651</w:t>
      </w:r>
      <w:r>
        <w:rPr>
          <w:spacing w:val="-5"/>
        </w:rPr>
        <w:t xml:space="preserve"> </w:t>
      </w:r>
      <w:r>
        <w:t>/</w:t>
      </w:r>
      <w:r>
        <w:rPr>
          <w:spacing w:val="-5"/>
        </w:rPr>
        <w:t xml:space="preserve"> </w:t>
      </w:r>
      <w:r>
        <w:t>S.</w:t>
      </w:r>
      <w:r>
        <w:rPr>
          <w:spacing w:val="-4"/>
        </w:rPr>
        <w:t xml:space="preserve"> </w:t>
      </w:r>
      <w:r>
        <w:t>382),</w:t>
      </w:r>
      <w:r>
        <w:rPr>
          <w:spacing w:val="-2"/>
        </w:rPr>
        <w:t xml:space="preserve"> </w:t>
      </w:r>
      <w:r>
        <w:t>and</w:t>
      </w:r>
      <w:r>
        <w:rPr>
          <w:spacing w:val="-5"/>
        </w:rPr>
        <w:t xml:space="preserve"> </w:t>
      </w:r>
      <w:r>
        <w:t>many</w:t>
      </w:r>
      <w:r>
        <w:rPr>
          <w:spacing w:val="-3"/>
        </w:rPr>
        <w:t xml:space="preserve"> </w:t>
      </w:r>
      <w:r>
        <w:t>more.</w:t>
      </w:r>
      <w:r>
        <w:rPr>
          <w:spacing w:val="-5"/>
        </w:rPr>
        <w:t xml:space="preserve"> </w:t>
      </w:r>
      <w:r>
        <w:t>However, the current text of Bill H.4539/S.2748 inte</w:t>
      </w:r>
      <w:r>
        <w:t>nds to bolster “cultural diversity” among school faculty and staff.</w:t>
      </w:r>
      <w:hyperlink w:anchor="_bookmark94" w:history="1">
        <w:r>
          <w:rPr>
            <w:vertAlign w:val="superscript"/>
          </w:rPr>
          <w:t>3</w:t>
        </w:r>
      </w:hyperlink>
      <w:r>
        <w:t xml:space="preserve"> Future iterations of the legislation must specify the underrepresented populations that the Commonwealth intends to serve through the law, including LGBTQ+ </w:t>
      </w:r>
      <w:r>
        <w:t>people, individuals with disabilities, and BIPOC communities.</w:t>
      </w:r>
    </w:p>
    <w:p w:rsidR="00C76E6D" w:rsidRDefault="00C76E6D">
      <w:pPr>
        <w:spacing w:line="276" w:lineRule="auto"/>
        <w:jc w:val="both"/>
        <w:sectPr w:rsidR="00C76E6D">
          <w:pgSz w:w="12240" w:h="15840"/>
          <w:pgMar w:top="960" w:right="960" w:bottom="860" w:left="960" w:header="760" w:footer="679" w:gutter="0"/>
          <w:cols w:space="720"/>
        </w:sectPr>
      </w:pPr>
    </w:p>
    <w:p w:rsidR="00C76E6D" w:rsidRDefault="00C76E6D">
      <w:pPr>
        <w:pStyle w:val="BodyText"/>
        <w:rPr>
          <w:sz w:val="20"/>
        </w:rPr>
      </w:pPr>
    </w:p>
    <w:p w:rsidR="00C76E6D" w:rsidRDefault="00C76E6D">
      <w:pPr>
        <w:pStyle w:val="BodyText"/>
        <w:spacing w:before="11"/>
        <w:rPr>
          <w:sz w:val="17"/>
        </w:rPr>
      </w:pPr>
    </w:p>
    <w:p w:rsidR="00C76E6D" w:rsidRDefault="00913831">
      <w:pPr>
        <w:pStyle w:val="Heading5"/>
        <w:numPr>
          <w:ilvl w:val="0"/>
          <w:numId w:val="46"/>
        </w:numPr>
        <w:tabs>
          <w:tab w:val="left" w:pos="939"/>
        </w:tabs>
        <w:ind w:left="938" w:hanging="361"/>
        <w:jc w:val="left"/>
      </w:pPr>
      <w:r>
        <w:pict>
          <v:shape id="docshape271" o:spid="_x0000_s1162" style="position:absolute;left:0;text-align:left;margin-left:70.6pt;margin-top:16.35pt;width:470.95pt;height:.1pt;z-index:-15684608;mso-wrap-distance-left:0;mso-wrap-distance-right:0;mso-position-horizontal-relative:page" coordorigin="1412,327" coordsize="9419,0" path="m1412,327r9419,e" filled="f" strokeweight="1.54pt">
            <v:path arrowok="t"/>
            <w10:wrap type="topAndBottom" anchorx="page"/>
          </v:shape>
        </w:pict>
      </w:r>
      <w:bookmarkStart w:id="181" w:name="C._Research_on_Inclusion_in_Schools"/>
      <w:bookmarkStart w:id="182" w:name="_bookmark91"/>
      <w:bookmarkEnd w:id="181"/>
      <w:bookmarkEnd w:id="182"/>
      <w:r>
        <w:t>Research</w:t>
      </w:r>
      <w:r>
        <w:rPr>
          <w:spacing w:val="-11"/>
        </w:rPr>
        <w:t xml:space="preserve"> </w:t>
      </w:r>
      <w:r>
        <w:t>on</w:t>
      </w:r>
      <w:r>
        <w:rPr>
          <w:spacing w:val="-7"/>
        </w:rPr>
        <w:t xml:space="preserve"> </w:t>
      </w:r>
      <w:r>
        <w:t>Inclusion</w:t>
      </w:r>
      <w:r>
        <w:rPr>
          <w:spacing w:val="-13"/>
        </w:rPr>
        <w:t xml:space="preserve"> </w:t>
      </w:r>
      <w:r>
        <w:t>in</w:t>
      </w:r>
      <w:r>
        <w:rPr>
          <w:spacing w:val="-7"/>
        </w:rPr>
        <w:t xml:space="preserve"> </w:t>
      </w:r>
      <w:r>
        <w:rPr>
          <w:spacing w:val="-2"/>
        </w:rPr>
        <w:t>Schools</w:t>
      </w:r>
    </w:p>
    <w:p w:rsidR="00C76E6D" w:rsidRDefault="00C76E6D">
      <w:pPr>
        <w:pStyle w:val="BodyText"/>
        <w:rPr>
          <w:b/>
          <w:sz w:val="24"/>
        </w:rPr>
      </w:pPr>
    </w:p>
    <w:p w:rsidR="00C76E6D" w:rsidRDefault="00C76E6D">
      <w:pPr>
        <w:pStyle w:val="BodyText"/>
        <w:spacing w:before="3"/>
        <w:rPr>
          <w:b/>
          <w:sz w:val="19"/>
        </w:rPr>
      </w:pPr>
    </w:p>
    <w:p w:rsidR="00C76E6D" w:rsidRDefault="00913831">
      <w:pPr>
        <w:pStyle w:val="Heading6"/>
        <w:numPr>
          <w:ilvl w:val="0"/>
          <w:numId w:val="45"/>
        </w:numPr>
        <w:tabs>
          <w:tab w:val="left" w:pos="699"/>
        </w:tabs>
        <w:ind w:hanging="221"/>
      </w:pPr>
      <w:bookmarkStart w:id="183" w:name="1._School-based_Inclusion_and_Bullying_i"/>
      <w:bookmarkEnd w:id="183"/>
      <w:r>
        <w:rPr>
          <w:w w:val="95"/>
        </w:rPr>
        <w:t>School-based</w:t>
      </w:r>
      <w:r>
        <w:rPr>
          <w:spacing w:val="14"/>
        </w:rPr>
        <w:t xml:space="preserve"> </w:t>
      </w:r>
      <w:r>
        <w:rPr>
          <w:w w:val="95"/>
        </w:rPr>
        <w:t>Inclusion</w:t>
      </w:r>
      <w:r>
        <w:rPr>
          <w:spacing w:val="18"/>
        </w:rPr>
        <w:t xml:space="preserve"> </w:t>
      </w:r>
      <w:r>
        <w:rPr>
          <w:w w:val="95"/>
        </w:rPr>
        <w:t>and</w:t>
      </w:r>
      <w:r>
        <w:rPr>
          <w:spacing w:val="13"/>
        </w:rPr>
        <w:t xml:space="preserve"> </w:t>
      </w:r>
      <w:r>
        <w:rPr>
          <w:w w:val="95"/>
        </w:rPr>
        <w:t>Bullying</w:t>
      </w:r>
      <w:r>
        <w:rPr>
          <w:spacing w:val="16"/>
        </w:rPr>
        <w:t xml:space="preserve"> </w:t>
      </w:r>
      <w:r>
        <w:rPr>
          <w:w w:val="95"/>
        </w:rPr>
        <w:t>in</w:t>
      </w:r>
      <w:r>
        <w:rPr>
          <w:spacing w:val="16"/>
        </w:rPr>
        <w:t xml:space="preserve"> </w:t>
      </w:r>
      <w:r>
        <w:rPr>
          <w:spacing w:val="-2"/>
          <w:w w:val="95"/>
        </w:rPr>
        <w:t>Massachusetts</w:t>
      </w:r>
    </w:p>
    <w:p w:rsidR="00C76E6D" w:rsidRDefault="00C76E6D">
      <w:pPr>
        <w:pStyle w:val="BodyText"/>
        <w:spacing w:before="1"/>
        <w:rPr>
          <w:b/>
          <w:sz w:val="30"/>
        </w:rPr>
      </w:pPr>
    </w:p>
    <w:p w:rsidR="00C76E6D" w:rsidRDefault="00913831">
      <w:pPr>
        <w:pStyle w:val="BodyText"/>
        <w:spacing w:before="1" w:line="276" w:lineRule="auto"/>
        <w:ind w:left="478" w:right="473"/>
        <w:jc w:val="both"/>
      </w:pPr>
      <w:r>
        <w:t>The Commission on LGBTQ Youth, along with the Department of Elementary and Secondary Education, co-sponsor the Safe Schools Program for LGBTQ Students. In addition to providing students across the state</w:t>
      </w:r>
      <w:r>
        <w:rPr>
          <w:spacing w:val="-13"/>
        </w:rPr>
        <w:t xml:space="preserve"> </w:t>
      </w:r>
      <w:r>
        <w:t>with</w:t>
      </w:r>
      <w:r>
        <w:rPr>
          <w:spacing w:val="-12"/>
        </w:rPr>
        <w:t xml:space="preserve"> </w:t>
      </w:r>
      <w:r>
        <w:t>leadership</w:t>
      </w:r>
      <w:r>
        <w:rPr>
          <w:spacing w:val="-12"/>
        </w:rPr>
        <w:t xml:space="preserve"> </w:t>
      </w:r>
      <w:r>
        <w:t>development</w:t>
      </w:r>
      <w:r>
        <w:rPr>
          <w:spacing w:val="-11"/>
        </w:rPr>
        <w:t xml:space="preserve"> </w:t>
      </w:r>
      <w:r>
        <w:t>opportunities,</w:t>
      </w:r>
      <w:r>
        <w:rPr>
          <w:spacing w:val="-13"/>
        </w:rPr>
        <w:t xml:space="preserve"> </w:t>
      </w:r>
      <w:r>
        <w:t>the</w:t>
      </w:r>
      <w:r>
        <w:rPr>
          <w:spacing w:val="-9"/>
        </w:rPr>
        <w:t xml:space="preserve"> </w:t>
      </w:r>
      <w:r>
        <w:t>progra</w:t>
      </w:r>
      <w:r>
        <w:t>m</w:t>
      </w:r>
      <w:r>
        <w:rPr>
          <w:spacing w:val="-13"/>
        </w:rPr>
        <w:t xml:space="preserve"> </w:t>
      </w:r>
      <w:r>
        <w:t>also</w:t>
      </w:r>
      <w:r>
        <w:rPr>
          <w:spacing w:val="-11"/>
        </w:rPr>
        <w:t xml:space="preserve"> </w:t>
      </w:r>
      <w:r>
        <w:t>offers</w:t>
      </w:r>
      <w:r>
        <w:rPr>
          <w:spacing w:val="-13"/>
        </w:rPr>
        <w:t xml:space="preserve"> </w:t>
      </w:r>
      <w:r>
        <w:t>extensive</w:t>
      </w:r>
      <w:r>
        <w:rPr>
          <w:spacing w:val="-12"/>
        </w:rPr>
        <w:t xml:space="preserve"> </w:t>
      </w:r>
      <w:r>
        <w:t>training</w:t>
      </w:r>
      <w:r>
        <w:rPr>
          <w:spacing w:val="-12"/>
        </w:rPr>
        <w:t xml:space="preserve"> </w:t>
      </w:r>
      <w:r>
        <w:t>and</w:t>
      </w:r>
      <w:r>
        <w:rPr>
          <w:spacing w:val="-13"/>
        </w:rPr>
        <w:t xml:space="preserve"> </w:t>
      </w:r>
      <w:r>
        <w:t>technical assistance to public schools, conducting approximately 140 training/professional development sessions and 160 technical assistance interventions per year. In 2020, as the COVID-19 pandemic closed schools state</w:t>
      </w:r>
      <w:r>
        <w:t>wide, the Safe Schools Program’s trainings were brought primarily online for the first time. 98% of participants in the Safe Schools Program for LGBTQ Students trainings rated the training positively, and Massachusetts was one of nine states out of 38 surv</w:t>
      </w:r>
      <w:r>
        <w:t>eyed that increased LGBTQ inclusion professional development for educators between 2008 and 2014.</w:t>
      </w:r>
    </w:p>
    <w:p w:rsidR="00C76E6D" w:rsidRDefault="00C76E6D">
      <w:pPr>
        <w:pStyle w:val="BodyText"/>
        <w:spacing w:before="2"/>
        <w:rPr>
          <w:sz w:val="25"/>
        </w:rPr>
      </w:pPr>
    </w:p>
    <w:p w:rsidR="00C76E6D" w:rsidRDefault="00913831">
      <w:pPr>
        <w:pStyle w:val="BodyText"/>
        <w:spacing w:line="276" w:lineRule="auto"/>
        <w:ind w:left="478" w:right="475"/>
        <w:jc w:val="both"/>
      </w:pPr>
      <w:r>
        <w:t>The most recent MA Youth Risk Behavior Survey data (Tables 1-4) shows that LGBTQ youth in Massachusetts are more likely to rely on adults at school for suppo</w:t>
      </w:r>
      <w:r>
        <w:t>rt because they are less likely to have support from a parent when compared to non-LGBTQ youth. Building inclusive school environments is therefore critical for supporting the well-being of LGBTQ youth. While progress has been made on many fronts,</w:t>
      </w:r>
      <w:r>
        <w:rPr>
          <w:spacing w:val="-11"/>
        </w:rPr>
        <w:t xml:space="preserve"> </w:t>
      </w:r>
      <w:r>
        <w:t>LGBTQ</w:t>
      </w:r>
      <w:r>
        <w:rPr>
          <w:spacing w:val="-11"/>
        </w:rPr>
        <w:t xml:space="preserve"> </w:t>
      </w:r>
      <w:r>
        <w:t>yo</w:t>
      </w:r>
      <w:r>
        <w:t>uth</w:t>
      </w:r>
      <w:r>
        <w:rPr>
          <w:spacing w:val="-10"/>
        </w:rPr>
        <w:t xml:space="preserve"> </w:t>
      </w:r>
      <w:r>
        <w:t>today</w:t>
      </w:r>
      <w:r>
        <w:rPr>
          <w:spacing w:val="-11"/>
        </w:rPr>
        <w:t xml:space="preserve"> </w:t>
      </w:r>
      <w:r>
        <w:t>are</w:t>
      </w:r>
      <w:r>
        <w:rPr>
          <w:spacing w:val="-11"/>
        </w:rPr>
        <w:t xml:space="preserve"> </w:t>
      </w:r>
      <w:r>
        <w:t>still</w:t>
      </w:r>
      <w:r>
        <w:rPr>
          <w:spacing w:val="-11"/>
        </w:rPr>
        <w:t xml:space="preserve"> </w:t>
      </w:r>
      <w:r>
        <w:t>about</w:t>
      </w:r>
      <w:r>
        <w:rPr>
          <w:spacing w:val="-12"/>
        </w:rPr>
        <w:t xml:space="preserve"> </w:t>
      </w:r>
      <w:r>
        <w:t>70%</w:t>
      </w:r>
      <w:r>
        <w:rPr>
          <w:spacing w:val="-10"/>
        </w:rPr>
        <w:t xml:space="preserve"> </w:t>
      </w:r>
      <w:r>
        <w:t>more</w:t>
      </w:r>
      <w:r>
        <w:rPr>
          <w:spacing w:val="-10"/>
        </w:rPr>
        <w:t xml:space="preserve"> </w:t>
      </w:r>
      <w:r>
        <w:t>likely</w:t>
      </w:r>
      <w:r>
        <w:rPr>
          <w:spacing w:val="-10"/>
        </w:rPr>
        <w:t xml:space="preserve"> </w:t>
      </w:r>
      <w:r>
        <w:t>to</w:t>
      </w:r>
      <w:r>
        <w:rPr>
          <w:spacing w:val="-11"/>
        </w:rPr>
        <w:t xml:space="preserve"> </w:t>
      </w:r>
      <w:r>
        <w:t>experience</w:t>
      </w:r>
      <w:r>
        <w:rPr>
          <w:spacing w:val="-11"/>
        </w:rPr>
        <w:t xml:space="preserve"> </w:t>
      </w:r>
      <w:r>
        <w:t>bullying</w:t>
      </w:r>
      <w:r>
        <w:rPr>
          <w:spacing w:val="-11"/>
        </w:rPr>
        <w:t xml:space="preserve"> </w:t>
      </w:r>
      <w:r>
        <w:t>than</w:t>
      </w:r>
      <w:r>
        <w:rPr>
          <w:spacing w:val="-12"/>
        </w:rPr>
        <w:t xml:space="preserve"> </w:t>
      </w:r>
      <w:r>
        <w:t>are</w:t>
      </w:r>
      <w:r>
        <w:rPr>
          <w:spacing w:val="-10"/>
        </w:rPr>
        <w:t xml:space="preserve"> </w:t>
      </w:r>
      <w:r>
        <w:t>their</w:t>
      </w:r>
      <w:r>
        <w:rPr>
          <w:spacing w:val="-11"/>
        </w:rPr>
        <w:t xml:space="preserve"> </w:t>
      </w:r>
      <w:r>
        <w:t>non-LGBTQ peers, as detailed in the Commission’s 2020 annual report</w:t>
      </w:r>
      <w:hyperlink w:anchor="_bookmark95" w:history="1">
        <w:r>
          <w:t>;</w:t>
        </w:r>
        <w:r>
          <w:rPr>
            <w:vertAlign w:val="superscript"/>
          </w:rPr>
          <w:t>4</w:t>
        </w:r>
        <w:r>
          <w:t xml:space="preserve"> </w:t>
        </w:r>
      </w:hyperlink>
      <w:r>
        <w:t>this trend is also seen nationally</w:t>
      </w:r>
      <w:hyperlink w:anchor="_bookmark96" w:history="1">
        <w:r>
          <w:t>.</w:t>
        </w:r>
        <w:r>
          <w:rPr>
            <w:vertAlign w:val="superscript"/>
          </w:rPr>
          <w:t>5</w:t>
        </w:r>
      </w:hyperlink>
      <w:r>
        <w:rPr>
          <w:spacing w:val="32"/>
        </w:rPr>
        <w:t xml:space="preserve"> </w:t>
      </w:r>
      <w:r>
        <w:t>Research has shown that school-based victimization against LGBTQ youth is linked to their mental health, and can cause higher levels of depression as well as suicidal ideation</w:t>
      </w:r>
      <w:hyperlink w:anchor="_bookmark97" w:history="1">
        <w:r>
          <w:t>.</w:t>
        </w:r>
        <w:r>
          <w:rPr>
            <w:vertAlign w:val="superscript"/>
          </w:rPr>
          <w:t>6</w:t>
        </w:r>
        <w:r>
          <w:t xml:space="preserve"> </w:t>
        </w:r>
      </w:hyperlink>
      <w:r>
        <w:t>Therefore, the disparate rate of bullying faced</w:t>
      </w:r>
      <w:r>
        <w:t xml:space="preserve"> by LGBTQ youth is also tied to the community’s higher suicide risk.</w:t>
      </w:r>
    </w:p>
    <w:p w:rsidR="00C76E6D" w:rsidRDefault="00C76E6D">
      <w:pPr>
        <w:pStyle w:val="BodyText"/>
        <w:spacing w:before="6"/>
        <w:rPr>
          <w:sz w:val="25"/>
        </w:rPr>
      </w:pPr>
    </w:p>
    <w:p w:rsidR="00C76E6D" w:rsidRDefault="00913831">
      <w:pPr>
        <w:pStyle w:val="BodyText"/>
        <w:spacing w:line="276" w:lineRule="auto"/>
        <w:ind w:left="478" w:right="474"/>
        <w:jc w:val="both"/>
      </w:pPr>
      <w:r>
        <w:t>LGBTQ youth are</w:t>
      </w:r>
      <w:r>
        <w:rPr>
          <w:spacing w:val="-2"/>
        </w:rPr>
        <w:t xml:space="preserve"> </w:t>
      </w:r>
      <w:r>
        <w:t>also</w:t>
      </w:r>
      <w:r>
        <w:rPr>
          <w:spacing w:val="-1"/>
        </w:rPr>
        <w:t xml:space="preserve"> </w:t>
      </w:r>
      <w:r>
        <w:t>about</w:t>
      </w:r>
      <w:r>
        <w:rPr>
          <w:spacing w:val="-2"/>
        </w:rPr>
        <w:t xml:space="preserve"> </w:t>
      </w:r>
      <w:r>
        <w:t>70% more likely to experience cyberbullying.</w:t>
      </w:r>
      <w:hyperlink w:anchor="_bookmark98" w:history="1">
        <w:r>
          <w:rPr>
            <w:vertAlign w:val="superscript"/>
          </w:rPr>
          <w:t>7</w:t>
        </w:r>
      </w:hyperlink>
      <w:r>
        <w:rPr>
          <w:spacing w:val="32"/>
        </w:rPr>
        <w:t xml:space="preserve"> </w:t>
      </w:r>
      <w:r>
        <w:t>Little</w:t>
      </w:r>
      <w:r>
        <w:rPr>
          <w:spacing w:val="-2"/>
        </w:rPr>
        <w:t xml:space="preserve"> </w:t>
      </w:r>
      <w:r>
        <w:t>research</w:t>
      </w:r>
      <w:r>
        <w:rPr>
          <w:spacing w:val="-1"/>
        </w:rPr>
        <w:t xml:space="preserve"> </w:t>
      </w:r>
      <w:r>
        <w:t>has</w:t>
      </w:r>
      <w:r>
        <w:rPr>
          <w:spacing w:val="-2"/>
        </w:rPr>
        <w:t xml:space="preserve"> </w:t>
      </w:r>
      <w:r>
        <w:t>been</w:t>
      </w:r>
      <w:r>
        <w:rPr>
          <w:spacing w:val="-3"/>
        </w:rPr>
        <w:t xml:space="preserve"> </w:t>
      </w:r>
      <w:r>
        <w:t xml:space="preserve">done on the effect of cyberbullying on the mental health </w:t>
      </w:r>
      <w:r>
        <w:t>of LGBTQ youth, but studies have found that LGBTQ youth</w:t>
      </w:r>
      <w:r>
        <w:rPr>
          <w:spacing w:val="-2"/>
        </w:rPr>
        <w:t xml:space="preserve"> </w:t>
      </w:r>
      <w:r>
        <w:t>who</w:t>
      </w:r>
      <w:r>
        <w:rPr>
          <w:spacing w:val="-1"/>
        </w:rPr>
        <w:t xml:space="preserve"> </w:t>
      </w:r>
      <w:r>
        <w:t>are</w:t>
      </w:r>
      <w:r>
        <w:rPr>
          <w:spacing w:val="-2"/>
        </w:rPr>
        <w:t xml:space="preserve"> </w:t>
      </w:r>
      <w:r>
        <w:t>cyberbullied</w:t>
      </w:r>
      <w:r>
        <w:rPr>
          <w:spacing w:val="-3"/>
        </w:rPr>
        <w:t xml:space="preserve"> </w:t>
      </w:r>
      <w:r>
        <w:t>are</w:t>
      </w:r>
      <w:r>
        <w:rPr>
          <w:spacing w:val="-2"/>
        </w:rPr>
        <w:t xml:space="preserve"> </w:t>
      </w:r>
      <w:r>
        <w:t>significantly</w:t>
      </w:r>
      <w:r>
        <w:rPr>
          <w:spacing w:val="-1"/>
        </w:rPr>
        <w:t xml:space="preserve"> </w:t>
      </w:r>
      <w:r>
        <w:t>less</w:t>
      </w:r>
      <w:r>
        <w:rPr>
          <w:spacing w:val="-1"/>
        </w:rPr>
        <w:t xml:space="preserve"> </w:t>
      </w:r>
      <w:r>
        <w:t>likely</w:t>
      </w:r>
      <w:r>
        <w:rPr>
          <w:spacing w:val="-1"/>
        </w:rPr>
        <w:t xml:space="preserve"> </w:t>
      </w:r>
      <w:r>
        <w:t>to</w:t>
      </w:r>
      <w:r>
        <w:rPr>
          <w:spacing w:val="-1"/>
        </w:rPr>
        <w:t xml:space="preserve"> </w:t>
      </w:r>
      <w:r>
        <w:t>report</w:t>
      </w:r>
      <w:r>
        <w:rPr>
          <w:spacing w:val="-1"/>
        </w:rPr>
        <w:t xml:space="preserve"> </w:t>
      </w:r>
      <w:r>
        <w:t>talking</w:t>
      </w:r>
      <w:r>
        <w:rPr>
          <w:spacing w:val="-2"/>
        </w:rPr>
        <w:t xml:space="preserve"> </w:t>
      </w:r>
      <w:r>
        <w:t>to a</w:t>
      </w:r>
      <w:r>
        <w:rPr>
          <w:spacing w:val="-1"/>
        </w:rPr>
        <w:t xml:space="preserve"> </w:t>
      </w:r>
      <w:r>
        <w:t>parent</w:t>
      </w:r>
      <w:r>
        <w:rPr>
          <w:spacing w:val="-2"/>
        </w:rPr>
        <w:t xml:space="preserve"> </w:t>
      </w:r>
      <w:r>
        <w:t>or</w:t>
      </w:r>
      <w:r>
        <w:rPr>
          <w:spacing w:val="-2"/>
        </w:rPr>
        <w:t xml:space="preserve"> </w:t>
      </w:r>
      <w:r>
        <w:t>guardian</w:t>
      </w:r>
      <w:r>
        <w:rPr>
          <w:spacing w:val="-3"/>
        </w:rPr>
        <w:t xml:space="preserve"> </w:t>
      </w:r>
      <w:r>
        <w:t>about</w:t>
      </w:r>
      <w:r>
        <w:rPr>
          <w:spacing w:val="-2"/>
        </w:rPr>
        <w:t xml:space="preserve"> </w:t>
      </w:r>
      <w:r>
        <w:t>the abuse than heterosexual youth</w:t>
      </w:r>
      <w:hyperlink w:anchor="_bookmark99" w:history="1">
        <w:r>
          <w:t>.</w:t>
        </w:r>
        <w:r>
          <w:rPr>
            <w:vertAlign w:val="superscript"/>
          </w:rPr>
          <w:t>8</w:t>
        </w:r>
      </w:hyperlink>
      <w:r>
        <w:t xml:space="preserve"> Research suggests that the relationship between experiencing cyberbullying and suicidal ideation is even stronger than that between traditional bullying and thoughts of</w:t>
      </w:r>
      <w:r>
        <w:rPr>
          <w:spacing w:val="-2"/>
        </w:rPr>
        <w:t xml:space="preserve"> </w:t>
      </w:r>
      <w:r>
        <w:t>suicide</w:t>
      </w:r>
      <w:hyperlink w:anchor="_bookmark100" w:history="1">
        <w:r>
          <w:t>,</w:t>
        </w:r>
        <w:r>
          <w:rPr>
            <w:vertAlign w:val="superscript"/>
          </w:rPr>
          <w:t>9</w:t>
        </w:r>
        <w:r>
          <w:rPr>
            <w:spacing w:val="-1"/>
          </w:rPr>
          <w:t xml:space="preserve"> </w:t>
        </w:r>
      </w:hyperlink>
      <w:r>
        <w:t>which is of</w:t>
      </w:r>
      <w:r>
        <w:rPr>
          <w:spacing w:val="-1"/>
        </w:rPr>
        <w:t xml:space="preserve"> </w:t>
      </w:r>
      <w:r>
        <w:t>particular concern</w:t>
      </w:r>
      <w:r>
        <w:rPr>
          <w:spacing w:val="-2"/>
        </w:rPr>
        <w:t xml:space="preserve"> </w:t>
      </w:r>
      <w:r>
        <w:t>for LGBTQ you</w:t>
      </w:r>
      <w:r>
        <w:t>th who are</w:t>
      </w:r>
      <w:r>
        <w:rPr>
          <w:spacing w:val="-2"/>
        </w:rPr>
        <w:t xml:space="preserve"> </w:t>
      </w:r>
      <w:r>
        <w:t>already at higher risk</w:t>
      </w:r>
      <w:r>
        <w:rPr>
          <w:spacing w:val="-1"/>
        </w:rPr>
        <w:t xml:space="preserve"> </w:t>
      </w:r>
      <w:r>
        <w:t>of experiencing both cyberbullying and suicidal ideation.</w:t>
      </w:r>
    </w:p>
    <w:p w:rsidR="00C76E6D" w:rsidRDefault="00C76E6D">
      <w:pPr>
        <w:pStyle w:val="BodyText"/>
        <w:spacing w:before="3"/>
        <w:rPr>
          <w:sz w:val="25"/>
        </w:rPr>
      </w:pPr>
    </w:p>
    <w:p w:rsidR="00C76E6D" w:rsidRDefault="00913831">
      <w:pPr>
        <w:pStyle w:val="BodyText"/>
        <w:spacing w:line="276" w:lineRule="auto"/>
        <w:ind w:left="480" w:right="476"/>
        <w:jc w:val="both"/>
      </w:pPr>
      <w:r>
        <w:t>With LGBTQ students reporting higher rates of facing threats or injuries with weapons at school, as well as a higher likelihood of being in fights, it is not surpr</w:t>
      </w:r>
      <w:r>
        <w:t>ising that they are also more than three times as likely to skip school because they feel unsafe. These factors all likely contribute to poorer academic achievement</w:t>
      </w:r>
      <w:r>
        <w:rPr>
          <w:spacing w:val="-4"/>
        </w:rPr>
        <w:t xml:space="preserve"> </w:t>
      </w:r>
      <w:r>
        <w:t>among</w:t>
      </w:r>
      <w:r>
        <w:rPr>
          <w:spacing w:val="-7"/>
        </w:rPr>
        <w:t xml:space="preserve"> </w:t>
      </w:r>
      <w:r>
        <w:t>LGBTQ</w:t>
      </w:r>
      <w:r>
        <w:rPr>
          <w:spacing w:val="-8"/>
        </w:rPr>
        <w:t xml:space="preserve"> </w:t>
      </w:r>
      <w:r>
        <w:t>students,</w:t>
      </w:r>
      <w:r>
        <w:rPr>
          <w:spacing w:val="-5"/>
        </w:rPr>
        <w:t xml:space="preserve"> </w:t>
      </w:r>
      <w:r>
        <w:t>with</w:t>
      </w:r>
      <w:r>
        <w:rPr>
          <w:spacing w:val="-6"/>
        </w:rPr>
        <w:t xml:space="preserve"> </w:t>
      </w:r>
      <w:r>
        <w:t>LGBTQ</w:t>
      </w:r>
      <w:r>
        <w:rPr>
          <w:spacing w:val="-7"/>
        </w:rPr>
        <w:t xml:space="preserve"> </w:t>
      </w:r>
      <w:r>
        <w:t>students</w:t>
      </w:r>
      <w:r>
        <w:rPr>
          <w:spacing w:val="-6"/>
        </w:rPr>
        <w:t xml:space="preserve"> </w:t>
      </w:r>
      <w:r>
        <w:t>less</w:t>
      </w:r>
      <w:r>
        <w:rPr>
          <w:spacing w:val="-6"/>
        </w:rPr>
        <w:t xml:space="preserve"> </w:t>
      </w:r>
      <w:r>
        <w:t>likely</w:t>
      </w:r>
      <w:r>
        <w:rPr>
          <w:spacing w:val="-6"/>
        </w:rPr>
        <w:t xml:space="preserve"> </w:t>
      </w:r>
      <w:r>
        <w:t>than</w:t>
      </w:r>
      <w:r>
        <w:rPr>
          <w:spacing w:val="-7"/>
        </w:rPr>
        <w:t xml:space="preserve"> </w:t>
      </w:r>
      <w:r>
        <w:t>their</w:t>
      </w:r>
      <w:r>
        <w:rPr>
          <w:spacing w:val="-6"/>
        </w:rPr>
        <w:t xml:space="preserve"> </w:t>
      </w:r>
      <w:r>
        <w:t>non-LGBTQ</w:t>
      </w:r>
      <w:r>
        <w:rPr>
          <w:spacing w:val="-4"/>
        </w:rPr>
        <w:t xml:space="preserve"> </w:t>
      </w:r>
      <w:r>
        <w:t>peers</w:t>
      </w:r>
      <w:r>
        <w:rPr>
          <w:spacing w:val="-6"/>
        </w:rPr>
        <w:t xml:space="preserve"> </w:t>
      </w:r>
      <w:r>
        <w:t>(66.2% ver</w:t>
      </w:r>
      <w:r>
        <w:t>sus 72.8%) to report earning mostly A’s and B’s in school.</w:t>
      </w:r>
      <w:r>
        <w:rPr>
          <w:vertAlign w:val="superscript"/>
        </w:rPr>
        <w:t>10</w:t>
      </w:r>
      <w:hyperlink w:anchor="_bookmark101" w:history="1">
        <w:r>
          <w:rPr>
            <w:vertAlign w:val="superscript"/>
          </w:rPr>
          <w:t>10</w:t>
        </w:r>
      </w:hyperlink>
    </w:p>
    <w:p w:rsidR="00C76E6D" w:rsidRDefault="00C76E6D">
      <w:pPr>
        <w:spacing w:line="276" w:lineRule="auto"/>
        <w:jc w:val="both"/>
        <w:sectPr w:rsidR="00C76E6D">
          <w:pgSz w:w="12240" w:h="15840"/>
          <w:pgMar w:top="960" w:right="960" w:bottom="860" w:left="960" w:header="760" w:footer="679" w:gutter="0"/>
          <w:cols w:space="720"/>
        </w:sectPr>
      </w:pPr>
    </w:p>
    <w:p w:rsidR="00C76E6D" w:rsidRDefault="00C76E6D">
      <w:pPr>
        <w:pStyle w:val="BodyText"/>
        <w:rPr>
          <w:sz w:val="20"/>
        </w:rPr>
      </w:pPr>
    </w:p>
    <w:p w:rsidR="00C76E6D" w:rsidRDefault="00C76E6D">
      <w:pPr>
        <w:pStyle w:val="BodyText"/>
        <w:spacing w:before="9"/>
        <w:rPr>
          <w:sz w:val="17"/>
        </w:rPr>
      </w:pPr>
    </w:p>
    <w:tbl>
      <w:tblPr>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5"/>
        <w:gridCol w:w="1742"/>
        <w:gridCol w:w="2306"/>
      </w:tblGrid>
      <w:tr w:rsidR="00C76E6D">
        <w:trPr>
          <w:trHeight w:val="560"/>
        </w:trPr>
        <w:tc>
          <w:tcPr>
            <w:tcW w:w="9353" w:type="dxa"/>
            <w:gridSpan w:val="3"/>
            <w:shd w:val="clear" w:color="auto" w:fill="C5D9EF"/>
          </w:tcPr>
          <w:p w:rsidR="00C76E6D" w:rsidRDefault="00913831">
            <w:pPr>
              <w:pStyle w:val="TableParagraph"/>
              <w:spacing w:before="3"/>
              <w:ind w:left="111"/>
              <w:rPr>
                <w:b/>
                <w:sz w:val="20"/>
              </w:rPr>
            </w:pPr>
            <w:r>
              <w:rPr>
                <w:b/>
                <w:sz w:val="20"/>
              </w:rPr>
              <w:t>Table</w:t>
            </w:r>
            <w:r>
              <w:rPr>
                <w:b/>
                <w:spacing w:val="-12"/>
                <w:sz w:val="20"/>
              </w:rPr>
              <w:t xml:space="preserve"> </w:t>
            </w:r>
            <w:r>
              <w:rPr>
                <w:b/>
                <w:sz w:val="20"/>
              </w:rPr>
              <w:t>1.</w:t>
            </w:r>
            <w:r>
              <w:rPr>
                <w:b/>
                <w:spacing w:val="-6"/>
                <w:sz w:val="20"/>
              </w:rPr>
              <w:t xml:space="preserve"> </w:t>
            </w:r>
            <w:r>
              <w:rPr>
                <w:b/>
                <w:sz w:val="20"/>
              </w:rPr>
              <w:t>Percent</w:t>
            </w:r>
            <w:r>
              <w:rPr>
                <w:b/>
                <w:spacing w:val="-5"/>
                <w:sz w:val="20"/>
              </w:rPr>
              <w:t xml:space="preserve"> </w:t>
            </w:r>
            <w:r>
              <w:rPr>
                <w:b/>
                <w:sz w:val="20"/>
              </w:rPr>
              <w:t>of</w:t>
            </w:r>
            <w:r>
              <w:rPr>
                <w:b/>
                <w:spacing w:val="-9"/>
                <w:sz w:val="20"/>
              </w:rPr>
              <w:t xml:space="preserve"> </w:t>
            </w:r>
            <w:r>
              <w:rPr>
                <w:b/>
                <w:sz w:val="20"/>
              </w:rPr>
              <w:t>Massachusetts</w:t>
            </w:r>
            <w:r>
              <w:rPr>
                <w:b/>
                <w:spacing w:val="-5"/>
                <w:sz w:val="20"/>
              </w:rPr>
              <w:t xml:space="preserve"> </w:t>
            </w:r>
            <w:r>
              <w:rPr>
                <w:b/>
                <w:sz w:val="20"/>
              </w:rPr>
              <w:t>Students</w:t>
            </w:r>
            <w:r>
              <w:rPr>
                <w:b/>
                <w:spacing w:val="-5"/>
                <w:sz w:val="20"/>
              </w:rPr>
              <w:t xml:space="preserve"> </w:t>
            </w:r>
            <w:r>
              <w:rPr>
                <w:b/>
                <w:sz w:val="20"/>
              </w:rPr>
              <w:t>Who</w:t>
            </w:r>
            <w:r>
              <w:rPr>
                <w:b/>
                <w:spacing w:val="-6"/>
                <w:sz w:val="20"/>
              </w:rPr>
              <w:t xml:space="preserve"> </w:t>
            </w:r>
            <w:r>
              <w:rPr>
                <w:b/>
                <w:sz w:val="20"/>
              </w:rPr>
              <w:t>Reported</w:t>
            </w:r>
            <w:r>
              <w:rPr>
                <w:b/>
                <w:spacing w:val="-5"/>
                <w:sz w:val="20"/>
              </w:rPr>
              <w:t xml:space="preserve"> </w:t>
            </w:r>
            <w:r>
              <w:rPr>
                <w:b/>
                <w:sz w:val="20"/>
              </w:rPr>
              <w:t>Risk</w:t>
            </w:r>
            <w:r>
              <w:rPr>
                <w:b/>
                <w:spacing w:val="-8"/>
                <w:sz w:val="20"/>
              </w:rPr>
              <w:t xml:space="preserve"> </w:t>
            </w:r>
            <w:r>
              <w:rPr>
                <w:b/>
                <w:sz w:val="20"/>
              </w:rPr>
              <w:t>Behaviors</w:t>
            </w:r>
            <w:r>
              <w:rPr>
                <w:b/>
                <w:spacing w:val="-6"/>
                <w:sz w:val="20"/>
              </w:rPr>
              <w:t xml:space="preserve"> </w:t>
            </w:r>
            <w:r>
              <w:rPr>
                <w:b/>
                <w:sz w:val="20"/>
              </w:rPr>
              <w:t>and</w:t>
            </w:r>
            <w:r>
              <w:rPr>
                <w:b/>
                <w:spacing w:val="-5"/>
                <w:sz w:val="20"/>
              </w:rPr>
              <w:t xml:space="preserve"> </w:t>
            </w:r>
            <w:r>
              <w:rPr>
                <w:b/>
                <w:sz w:val="20"/>
              </w:rPr>
              <w:t>Experiences</w:t>
            </w:r>
            <w:r>
              <w:rPr>
                <w:b/>
                <w:spacing w:val="-5"/>
                <w:sz w:val="20"/>
              </w:rPr>
              <w:t xml:space="preserve"> </w:t>
            </w:r>
            <w:r>
              <w:rPr>
                <w:b/>
                <w:sz w:val="20"/>
              </w:rPr>
              <w:t>by</w:t>
            </w:r>
            <w:r>
              <w:rPr>
                <w:b/>
                <w:spacing w:val="-9"/>
                <w:sz w:val="20"/>
              </w:rPr>
              <w:t xml:space="preserve"> </w:t>
            </w:r>
            <w:r>
              <w:rPr>
                <w:b/>
                <w:sz w:val="20"/>
              </w:rPr>
              <w:t>LGBTQ</w:t>
            </w:r>
            <w:r>
              <w:rPr>
                <w:b/>
                <w:spacing w:val="-4"/>
                <w:sz w:val="20"/>
              </w:rPr>
              <w:t xml:space="preserve"> </w:t>
            </w:r>
            <w:r>
              <w:rPr>
                <w:b/>
                <w:spacing w:val="-2"/>
                <w:sz w:val="20"/>
              </w:rPr>
              <w:t>Identity,</w:t>
            </w:r>
          </w:p>
          <w:p w:rsidR="00C76E6D" w:rsidRDefault="00913831">
            <w:pPr>
              <w:pStyle w:val="TableParagraph"/>
              <w:spacing w:before="30"/>
              <w:ind w:left="111"/>
              <w:rPr>
                <w:b/>
                <w:sz w:val="20"/>
              </w:rPr>
            </w:pPr>
            <w:r>
              <w:rPr>
                <w:b/>
                <w:spacing w:val="-4"/>
                <w:sz w:val="20"/>
              </w:rPr>
              <w:t>2019</w:t>
            </w:r>
          </w:p>
        </w:tc>
      </w:tr>
      <w:tr w:rsidR="00C76E6D">
        <w:trPr>
          <w:trHeight w:val="281"/>
        </w:trPr>
        <w:tc>
          <w:tcPr>
            <w:tcW w:w="5305" w:type="dxa"/>
            <w:shd w:val="clear" w:color="auto" w:fill="C5D9EF"/>
          </w:tcPr>
          <w:p w:rsidR="00C76E6D" w:rsidRDefault="00C76E6D">
            <w:pPr>
              <w:pStyle w:val="TableParagraph"/>
              <w:rPr>
                <w:rFonts w:ascii="Times New Roman"/>
                <w:sz w:val="18"/>
              </w:rPr>
            </w:pPr>
          </w:p>
        </w:tc>
        <w:tc>
          <w:tcPr>
            <w:tcW w:w="1742" w:type="dxa"/>
            <w:shd w:val="clear" w:color="auto" w:fill="C5D9EF"/>
          </w:tcPr>
          <w:p w:rsidR="00C76E6D" w:rsidRDefault="00913831">
            <w:pPr>
              <w:pStyle w:val="TableParagraph"/>
              <w:ind w:left="111"/>
              <w:rPr>
                <w:sz w:val="20"/>
              </w:rPr>
            </w:pPr>
            <w:r>
              <w:rPr>
                <w:sz w:val="20"/>
              </w:rPr>
              <w:t>LGBTQ</w:t>
            </w:r>
            <w:r>
              <w:rPr>
                <w:spacing w:val="-4"/>
                <w:sz w:val="20"/>
              </w:rPr>
              <w:t xml:space="preserve"> </w:t>
            </w:r>
            <w:r>
              <w:rPr>
                <w:sz w:val="20"/>
              </w:rPr>
              <w:t>(N</w:t>
            </w:r>
            <w:r>
              <w:rPr>
                <w:spacing w:val="-4"/>
                <w:sz w:val="20"/>
              </w:rPr>
              <w:t xml:space="preserve"> </w:t>
            </w:r>
            <w:r>
              <w:rPr>
                <w:sz w:val="20"/>
              </w:rPr>
              <w:t>=</w:t>
            </w:r>
            <w:r>
              <w:rPr>
                <w:spacing w:val="-4"/>
                <w:sz w:val="20"/>
              </w:rPr>
              <w:t xml:space="preserve"> 375)</w:t>
            </w:r>
          </w:p>
        </w:tc>
        <w:tc>
          <w:tcPr>
            <w:tcW w:w="2306" w:type="dxa"/>
            <w:shd w:val="clear" w:color="auto" w:fill="C5D9EF"/>
          </w:tcPr>
          <w:p w:rsidR="00C76E6D" w:rsidRDefault="00913831">
            <w:pPr>
              <w:pStyle w:val="TableParagraph"/>
              <w:ind w:left="112"/>
              <w:rPr>
                <w:sz w:val="20"/>
              </w:rPr>
            </w:pPr>
            <w:r>
              <w:rPr>
                <w:sz w:val="20"/>
              </w:rPr>
              <w:t>Non-LGBTQ</w:t>
            </w:r>
            <w:r>
              <w:rPr>
                <w:spacing w:val="-10"/>
                <w:sz w:val="20"/>
              </w:rPr>
              <w:t xml:space="preserve"> </w:t>
            </w:r>
            <w:r>
              <w:rPr>
                <w:sz w:val="20"/>
              </w:rPr>
              <w:t>(N</w:t>
            </w:r>
            <w:r>
              <w:rPr>
                <w:spacing w:val="-7"/>
                <w:sz w:val="20"/>
              </w:rPr>
              <w:t xml:space="preserve"> </w:t>
            </w:r>
            <w:r>
              <w:rPr>
                <w:sz w:val="20"/>
              </w:rPr>
              <w:t>=</w:t>
            </w:r>
            <w:r>
              <w:rPr>
                <w:spacing w:val="-3"/>
                <w:sz w:val="20"/>
              </w:rPr>
              <w:t xml:space="preserve"> </w:t>
            </w:r>
            <w:r>
              <w:rPr>
                <w:spacing w:val="-4"/>
                <w:sz w:val="20"/>
              </w:rPr>
              <w:t>1817)</w:t>
            </w:r>
          </w:p>
        </w:tc>
      </w:tr>
      <w:tr w:rsidR="00C76E6D">
        <w:trPr>
          <w:trHeight w:val="394"/>
        </w:trPr>
        <w:tc>
          <w:tcPr>
            <w:tcW w:w="5305" w:type="dxa"/>
            <w:shd w:val="clear" w:color="auto" w:fill="C5D9EF"/>
          </w:tcPr>
          <w:p w:rsidR="00C76E6D" w:rsidRDefault="00913831">
            <w:pPr>
              <w:pStyle w:val="TableParagraph"/>
              <w:spacing w:before="3"/>
              <w:ind w:left="111"/>
              <w:rPr>
                <w:sz w:val="20"/>
              </w:rPr>
            </w:pPr>
            <w:r>
              <w:rPr>
                <w:sz w:val="20"/>
              </w:rPr>
              <w:t>Bullied</w:t>
            </w:r>
            <w:r>
              <w:rPr>
                <w:spacing w:val="-4"/>
                <w:sz w:val="20"/>
              </w:rPr>
              <w:t xml:space="preserve"> </w:t>
            </w:r>
            <w:r>
              <w:rPr>
                <w:sz w:val="20"/>
              </w:rPr>
              <w:t>at</w:t>
            </w:r>
            <w:r>
              <w:rPr>
                <w:spacing w:val="-6"/>
                <w:sz w:val="20"/>
              </w:rPr>
              <w:t xml:space="preserve"> </w:t>
            </w:r>
            <w:r>
              <w:rPr>
                <w:sz w:val="20"/>
              </w:rPr>
              <w:t>school</w:t>
            </w:r>
            <w:r>
              <w:rPr>
                <w:spacing w:val="-5"/>
                <w:sz w:val="20"/>
              </w:rPr>
              <w:t xml:space="preserve"> </w:t>
            </w:r>
            <w:r>
              <w:rPr>
                <w:sz w:val="20"/>
              </w:rPr>
              <w:t>in</w:t>
            </w:r>
            <w:r>
              <w:rPr>
                <w:spacing w:val="-3"/>
                <w:sz w:val="20"/>
              </w:rPr>
              <w:t xml:space="preserve"> </w:t>
            </w:r>
            <w:r>
              <w:rPr>
                <w:sz w:val="20"/>
              </w:rPr>
              <w:t>the</w:t>
            </w:r>
            <w:r>
              <w:rPr>
                <w:spacing w:val="-6"/>
                <w:sz w:val="20"/>
              </w:rPr>
              <w:t xml:space="preserve"> </w:t>
            </w:r>
            <w:r>
              <w:rPr>
                <w:sz w:val="20"/>
              </w:rPr>
              <w:t>past</w:t>
            </w:r>
            <w:r>
              <w:rPr>
                <w:spacing w:val="-7"/>
                <w:sz w:val="20"/>
              </w:rPr>
              <w:t xml:space="preserve"> </w:t>
            </w:r>
            <w:r>
              <w:rPr>
                <w:sz w:val="20"/>
              </w:rPr>
              <w:t>year</w:t>
            </w:r>
            <w:r>
              <w:rPr>
                <w:spacing w:val="-3"/>
                <w:sz w:val="20"/>
              </w:rPr>
              <w:t xml:space="preserve"> </w:t>
            </w:r>
            <w:r>
              <w:rPr>
                <w:spacing w:val="-5"/>
                <w:sz w:val="20"/>
              </w:rPr>
              <w:t>***</w:t>
            </w:r>
          </w:p>
        </w:tc>
        <w:tc>
          <w:tcPr>
            <w:tcW w:w="1742" w:type="dxa"/>
            <w:shd w:val="clear" w:color="auto" w:fill="C5D9EF"/>
          </w:tcPr>
          <w:p w:rsidR="00C76E6D" w:rsidRDefault="00913831">
            <w:pPr>
              <w:pStyle w:val="TableParagraph"/>
              <w:spacing w:before="55"/>
              <w:ind w:left="688" w:right="664"/>
              <w:jc w:val="center"/>
              <w:rPr>
                <w:sz w:val="20"/>
              </w:rPr>
            </w:pPr>
            <w:r>
              <w:rPr>
                <w:spacing w:val="-4"/>
                <w:sz w:val="20"/>
              </w:rPr>
              <w:t>29.8</w:t>
            </w:r>
          </w:p>
        </w:tc>
        <w:tc>
          <w:tcPr>
            <w:tcW w:w="2306" w:type="dxa"/>
            <w:shd w:val="clear" w:color="auto" w:fill="C5D9EF"/>
          </w:tcPr>
          <w:p w:rsidR="00C76E6D" w:rsidRDefault="00913831">
            <w:pPr>
              <w:pStyle w:val="TableParagraph"/>
              <w:spacing w:before="55"/>
              <w:ind w:left="971" w:right="946"/>
              <w:jc w:val="center"/>
              <w:rPr>
                <w:sz w:val="20"/>
              </w:rPr>
            </w:pPr>
            <w:r>
              <w:rPr>
                <w:spacing w:val="-4"/>
                <w:sz w:val="20"/>
              </w:rPr>
              <w:t>14.1</w:t>
            </w:r>
          </w:p>
        </w:tc>
      </w:tr>
      <w:tr w:rsidR="00C76E6D">
        <w:trPr>
          <w:trHeight w:val="350"/>
        </w:trPr>
        <w:tc>
          <w:tcPr>
            <w:tcW w:w="5305" w:type="dxa"/>
            <w:shd w:val="clear" w:color="auto" w:fill="C5D9EF"/>
          </w:tcPr>
          <w:p w:rsidR="00C76E6D" w:rsidRDefault="00913831">
            <w:pPr>
              <w:pStyle w:val="TableParagraph"/>
              <w:spacing w:before="3"/>
              <w:ind w:left="111"/>
              <w:rPr>
                <w:sz w:val="20"/>
              </w:rPr>
            </w:pPr>
            <w:r>
              <w:rPr>
                <w:sz w:val="20"/>
              </w:rPr>
              <w:t>Skipped</w:t>
            </w:r>
            <w:r>
              <w:rPr>
                <w:spacing w:val="-6"/>
                <w:sz w:val="20"/>
              </w:rPr>
              <w:t xml:space="preserve"> </w:t>
            </w:r>
            <w:r>
              <w:rPr>
                <w:sz w:val="20"/>
              </w:rPr>
              <w:t>school</w:t>
            </w:r>
            <w:r>
              <w:rPr>
                <w:spacing w:val="-7"/>
                <w:sz w:val="20"/>
              </w:rPr>
              <w:t xml:space="preserve"> </w:t>
            </w:r>
            <w:r>
              <w:rPr>
                <w:sz w:val="20"/>
              </w:rPr>
              <w:t>in</w:t>
            </w:r>
            <w:r>
              <w:rPr>
                <w:spacing w:val="-5"/>
                <w:sz w:val="20"/>
              </w:rPr>
              <w:t xml:space="preserve"> </w:t>
            </w:r>
            <w:r>
              <w:rPr>
                <w:sz w:val="20"/>
              </w:rPr>
              <w:t>the</w:t>
            </w:r>
            <w:r>
              <w:rPr>
                <w:spacing w:val="-7"/>
                <w:sz w:val="20"/>
              </w:rPr>
              <w:t xml:space="preserve"> </w:t>
            </w:r>
            <w:r>
              <w:rPr>
                <w:sz w:val="20"/>
              </w:rPr>
              <w:t>past</w:t>
            </w:r>
            <w:r>
              <w:rPr>
                <w:spacing w:val="-6"/>
                <w:sz w:val="20"/>
              </w:rPr>
              <w:t xml:space="preserve"> </w:t>
            </w:r>
            <w:r>
              <w:rPr>
                <w:sz w:val="20"/>
              </w:rPr>
              <w:t>month</w:t>
            </w:r>
            <w:r>
              <w:rPr>
                <w:spacing w:val="-6"/>
                <w:sz w:val="20"/>
              </w:rPr>
              <w:t xml:space="preserve"> </w:t>
            </w:r>
            <w:r>
              <w:rPr>
                <w:sz w:val="20"/>
              </w:rPr>
              <w:t>because</w:t>
            </w:r>
            <w:r>
              <w:rPr>
                <w:spacing w:val="-6"/>
                <w:sz w:val="20"/>
              </w:rPr>
              <w:t xml:space="preserve"> </w:t>
            </w:r>
            <w:r>
              <w:rPr>
                <w:sz w:val="20"/>
              </w:rPr>
              <w:t>felt</w:t>
            </w:r>
            <w:r>
              <w:rPr>
                <w:spacing w:val="-6"/>
                <w:sz w:val="20"/>
              </w:rPr>
              <w:t xml:space="preserve"> </w:t>
            </w:r>
            <w:r>
              <w:rPr>
                <w:sz w:val="20"/>
              </w:rPr>
              <w:t>unsafe</w:t>
            </w:r>
            <w:r>
              <w:rPr>
                <w:spacing w:val="-7"/>
                <w:sz w:val="20"/>
              </w:rPr>
              <w:t xml:space="preserve"> </w:t>
            </w:r>
            <w:r>
              <w:rPr>
                <w:spacing w:val="-5"/>
                <w:sz w:val="20"/>
              </w:rPr>
              <w:t>***</w:t>
            </w:r>
          </w:p>
        </w:tc>
        <w:tc>
          <w:tcPr>
            <w:tcW w:w="1742" w:type="dxa"/>
            <w:shd w:val="clear" w:color="auto" w:fill="C5D9EF"/>
          </w:tcPr>
          <w:p w:rsidR="00C76E6D" w:rsidRDefault="00913831">
            <w:pPr>
              <w:pStyle w:val="TableParagraph"/>
              <w:spacing w:before="32"/>
              <w:ind w:left="688" w:right="664"/>
              <w:jc w:val="center"/>
              <w:rPr>
                <w:sz w:val="20"/>
              </w:rPr>
            </w:pPr>
            <w:r>
              <w:rPr>
                <w:spacing w:val="-4"/>
                <w:sz w:val="20"/>
              </w:rPr>
              <w:t>15.4</w:t>
            </w:r>
          </w:p>
        </w:tc>
        <w:tc>
          <w:tcPr>
            <w:tcW w:w="2306" w:type="dxa"/>
            <w:shd w:val="clear" w:color="auto" w:fill="C5D9EF"/>
          </w:tcPr>
          <w:p w:rsidR="00C76E6D" w:rsidRDefault="00913831">
            <w:pPr>
              <w:pStyle w:val="TableParagraph"/>
              <w:spacing w:before="32"/>
              <w:ind w:left="971" w:right="946"/>
              <w:jc w:val="center"/>
              <w:rPr>
                <w:sz w:val="20"/>
              </w:rPr>
            </w:pPr>
            <w:r>
              <w:rPr>
                <w:spacing w:val="-5"/>
                <w:sz w:val="20"/>
              </w:rPr>
              <w:t>4.5</w:t>
            </w:r>
          </w:p>
        </w:tc>
      </w:tr>
      <w:tr w:rsidR="00C76E6D">
        <w:trPr>
          <w:trHeight w:val="340"/>
        </w:trPr>
        <w:tc>
          <w:tcPr>
            <w:tcW w:w="5305" w:type="dxa"/>
            <w:shd w:val="clear" w:color="auto" w:fill="C5D9EF"/>
          </w:tcPr>
          <w:p w:rsidR="00C76E6D" w:rsidRDefault="00913831">
            <w:pPr>
              <w:pStyle w:val="TableParagraph"/>
              <w:spacing w:before="3"/>
              <w:ind w:left="111"/>
              <w:rPr>
                <w:sz w:val="20"/>
              </w:rPr>
            </w:pPr>
            <w:r>
              <w:rPr>
                <w:sz w:val="20"/>
              </w:rPr>
              <w:t>Been</w:t>
            </w:r>
            <w:r>
              <w:rPr>
                <w:spacing w:val="-9"/>
                <w:sz w:val="20"/>
              </w:rPr>
              <w:t xml:space="preserve"> </w:t>
            </w:r>
            <w:r>
              <w:rPr>
                <w:sz w:val="20"/>
              </w:rPr>
              <w:t>in</w:t>
            </w:r>
            <w:r>
              <w:rPr>
                <w:spacing w:val="-5"/>
                <w:sz w:val="20"/>
              </w:rPr>
              <w:t xml:space="preserve"> </w:t>
            </w:r>
            <w:r>
              <w:rPr>
                <w:sz w:val="20"/>
              </w:rPr>
              <w:t>a</w:t>
            </w:r>
            <w:r>
              <w:rPr>
                <w:spacing w:val="-3"/>
                <w:sz w:val="20"/>
              </w:rPr>
              <w:t xml:space="preserve"> </w:t>
            </w:r>
            <w:r>
              <w:rPr>
                <w:sz w:val="20"/>
              </w:rPr>
              <w:t>physical</w:t>
            </w:r>
            <w:r>
              <w:rPr>
                <w:spacing w:val="-5"/>
                <w:sz w:val="20"/>
              </w:rPr>
              <w:t xml:space="preserve"> </w:t>
            </w:r>
            <w:r>
              <w:rPr>
                <w:sz w:val="20"/>
              </w:rPr>
              <w:t>fight</w:t>
            </w:r>
            <w:r>
              <w:rPr>
                <w:spacing w:val="-5"/>
                <w:sz w:val="20"/>
              </w:rPr>
              <w:t xml:space="preserve"> </w:t>
            </w:r>
            <w:r>
              <w:rPr>
                <w:sz w:val="20"/>
              </w:rPr>
              <w:t>at</w:t>
            </w:r>
            <w:r>
              <w:rPr>
                <w:spacing w:val="-4"/>
                <w:sz w:val="20"/>
              </w:rPr>
              <w:t xml:space="preserve"> </w:t>
            </w:r>
            <w:r>
              <w:rPr>
                <w:sz w:val="20"/>
              </w:rPr>
              <w:t>school</w:t>
            </w:r>
            <w:r>
              <w:rPr>
                <w:spacing w:val="-4"/>
                <w:sz w:val="20"/>
              </w:rPr>
              <w:t xml:space="preserve"> </w:t>
            </w:r>
            <w:r>
              <w:rPr>
                <w:sz w:val="20"/>
              </w:rPr>
              <w:t>in</w:t>
            </w:r>
            <w:r>
              <w:rPr>
                <w:spacing w:val="-4"/>
                <w:sz w:val="20"/>
              </w:rPr>
              <w:t xml:space="preserve"> </w:t>
            </w:r>
            <w:r>
              <w:rPr>
                <w:sz w:val="20"/>
              </w:rPr>
              <w:t>the</w:t>
            </w:r>
            <w:r>
              <w:rPr>
                <w:spacing w:val="-2"/>
                <w:sz w:val="20"/>
              </w:rPr>
              <w:t xml:space="preserve"> </w:t>
            </w:r>
            <w:r>
              <w:rPr>
                <w:sz w:val="20"/>
              </w:rPr>
              <w:t>past</w:t>
            </w:r>
            <w:r>
              <w:rPr>
                <w:spacing w:val="-7"/>
                <w:sz w:val="20"/>
              </w:rPr>
              <w:t xml:space="preserve"> </w:t>
            </w:r>
            <w:r>
              <w:rPr>
                <w:sz w:val="20"/>
              </w:rPr>
              <w:t>year</w:t>
            </w:r>
            <w:r>
              <w:rPr>
                <w:spacing w:val="-3"/>
                <w:sz w:val="20"/>
              </w:rPr>
              <w:t xml:space="preserve"> </w:t>
            </w:r>
            <w:r>
              <w:rPr>
                <w:spacing w:val="-5"/>
                <w:sz w:val="20"/>
              </w:rPr>
              <w:t>***</w:t>
            </w:r>
          </w:p>
        </w:tc>
        <w:tc>
          <w:tcPr>
            <w:tcW w:w="1742" w:type="dxa"/>
            <w:shd w:val="clear" w:color="auto" w:fill="C5D9EF"/>
          </w:tcPr>
          <w:p w:rsidR="00C76E6D" w:rsidRDefault="00913831">
            <w:pPr>
              <w:pStyle w:val="TableParagraph"/>
              <w:spacing w:before="29"/>
              <w:ind w:left="688" w:right="664"/>
              <w:jc w:val="center"/>
              <w:rPr>
                <w:sz w:val="20"/>
              </w:rPr>
            </w:pPr>
            <w:r>
              <w:rPr>
                <w:spacing w:val="-4"/>
                <w:sz w:val="20"/>
              </w:rPr>
              <w:t>11.9</w:t>
            </w:r>
          </w:p>
        </w:tc>
        <w:tc>
          <w:tcPr>
            <w:tcW w:w="2306" w:type="dxa"/>
            <w:shd w:val="clear" w:color="auto" w:fill="C5D9EF"/>
          </w:tcPr>
          <w:p w:rsidR="00C76E6D" w:rsidRDefault="00913831">
            <w:pPr>
              <w:pStyle w:val="TableParagraph"/>
              <w:spacing w:before="29"/>
              <w:ind w:left="971" w:right="946"/>
              <w:jc w:val="center"/>
              <w:rPr>
                <w:sz w:val="20"/>
              </w:rPr>
            </w:pPr>
            <w:r>
              <w:rPr>
                <w:spacing w:val="-5"/>
                <w:sz w:val="20"/>
              </w:rPr>
              <w:t>5.6</w:t>
            </w:r>
          </w:p>
        </w:tc>
      </w:tr>
      <w:tr w:rsidR="00C76E6D">
        <w:trPr>
          <w:trHeight w:val="358"/>
        </w:trPr>
        <w:tc>
          <w:tcPr>
            <w:tcW w:w="5305" w:type="dxa"/>
            <w:shd w:val="clear" w:color="auto" w:fill="C5D9EF"/>
          </w:tcPr>
          <w:p w:rsidR="00C76E6D" w:rsidRDefault="00913831">
            <w:pPr>
              <w:pStyle w:val="TableParagraph"/>
              <w:spacing w:before="3"/>
              <w:ind w:left="111"/>
              <w:rPr>
                <w:sz w:val="20"/>
              </w:rPr>
            </w:pPr>
            <w:r>
              <w:rPr>
                <w:sz w:val="20"/>
              </w:rPr>
              <w:t>Threatened</w:t>
            </w:r>
            <w:r>
              <w:rPr>
                <w:spacing w:val="-7"/>
                <w:sz w:val="20"/>
              </w:rPr>
              <w:t xml:space="preserve"> </w:t>
            </w:r>
            <w:r>
              <w:rPr>
                <w:sz w:val="20"/>
              </w:rPr>
              <w:t>or</w:t>
            </w:r>
            <w:r>
              <w:rPr>
                <w:spacing w:val="-8"/>
                <w:sz w:val="20"/>
              </w:rPr>
              <w:t xml:space="preserve"> </w:t>
            </w:r>
            <w:r>
              <w:rPr>
                <w:sz w:val="20"/>
              </w:rPr>
              <w:t>injured</w:t>
            </w:r>
            <w:r>
              <w:rPr>
                <w:spacing w:val="-6"/>
                <w:sz w:val="20"/>
              </w:rPr>
              <w:t xml:space="preserve"> </w:t>
            </w:r>
            <w:r>
              <w:rPr>
                <w:sz w:val="20"/>
              </w:rPr>
              <w:t>with</w:t>
            </w:r>
            <w:r>
              <w:rPr>
                <w:spacing w:val="-6"/>
                <w:sz w:val="20"/>
              </w:rPr>
              <w:t xml:space="preserve"> </w:t>
            </w:r>
            <w:r>
              <w:rPr>
                <w:sz w:val="20"/>
              </w:rPr>
              <w:t>a</w:t>
            </w:r>
            <w:r>
              <w:rPr>
                <w:spacing w:val="-9"/>
                <w:sz w:val="20"/>
              </w:rPr>
              <w:t xml:space="preserve"> </w:t>
            </w:r>
            <w:r>
              <w:rPr>
                <w:sz w:val="20"/>
              </w:rPr>
              <w:t>weapon</w:t>
            </w:r>
            <w:r>
              <w:rPr>
                <w:spacing w:val="-8"/>
                <w:sz w:val="20"/>
              </w:rPr>
              <w:t xml:space="preserve"> </w:t>
            </w:r>
            <w:r>
              <w:rPr>
                <w:sz w:val="20"/>
              </w:rPr>
              <w:t>at</w:t>
            </w:r>
            <w:r>
              <w:rPr>
                <w:spacing w:val="-6"/>
                <w:sz w:val="20"/>
              </w:rPr>
              <w:t xml:space="preserve"> </w:t>
            </w:r>
            <w:r>
              <w:rPr>
                <w:sz w:val="20"/>
              </w:rPr>
              <w:t>school</w:t>
            </w:r>
            <w:r>
              <w:rPr>
                <w:spacing w:val="-5"/>
                <w:sz w:val="20"/>
              </w:rPr>
              <w:t xml:space="preserve"> ***</w:t>
            </w:r>
          </w:p>
        </w:tc>
        <w:tc>
          <w:tcPr>
            <w:tcW w:w="1742" w:type="dxa"/>
            <w:shd w:val="clear" w:color="auto" w:fill="C5D9EF"/>
          </w:tcPr>
          <w:p w:rsidR="00C76E6D" w:rsidRDefault="00913831">
            <w:pPr>
              <w:pStyle w:val="TableParagraph"/>
              <w:spacing w:before="37"/>
              <w:ind w:left="688" w:right="664"/>
              <w:jc w:val="center"/>
              <w:rPr>
                <w:sz w:val="20"/>
              </w:rPr>
            </w:pPr>
            <w:r>
              <w:rPr>
                <w:spacing w:val="-4"/>
                <w:sz w:val="20"/>
              </w:rPr>
              <w:t>11.8</w:t>
            </w:r>
          </w:p>
        </w:tc>
        <w:tc>
          <w:tcPr>
            <w:tcW w:w="2306" w:type="dxa"/>
            <w:shd w:val="clear" w:color="auto" w:fill="C5D9EF"/>
          </w:tcPr>
          <w:p w:rsidR="00C76E6D" w:rsidRDefault="00913831">
            <w:pPr>
              <w:pStyle w:val="TableParagraph"/>
              <w:spacing w:before="37"/>
              <w:ind w:left="971" w:right="946"/>
              <w:jc w:val="center"/>
              <w:rPr>
                <w:sz w:val="20"/>
              </w:rPr>
            </w:pPr>
            <w:r>
              <w:rPr>
                <w:spacing w:val="-5"/>
                <w:sz w:val="20"/>
              </w:rPr>
              <w:t>3.3</w:t>
            </w:r>
          </w:p>
        </w:tc>
      </w:tr>
      <w:tr w:rsidR="00C76E6D">
        <w:trPr>
          <w:trHeight w:val="340"/>
        </w:trPr>
        <w:tc>
          <w:tcPr>
            <w:tcW w:w="5305" w:type="dxa"/>
            <w:shd w:val="clear" w:color="auto" w:fill="C5D9EF"/>
          </w:tcPr>
          <w:p w:rsidR="00C76E6D" w:rsidRDefault="00913831">
            <w:pPr>
              <w:pStyle w:val="TableParagraph"/>
              <w:spacing w:before="3"/>
              <w:ind w:left="111"/>
              <w:rPr>
                <w:sz w:val="20"/>
              </w:rPr>
            </w:pPr>
            <w:r>
              <w:rPr>
                <w:sz w:val="20"/>
              </w:rPr>
              <w:t>Bullied</w:t>
            </w:r>
            <w:r>
              <w:rPr>
                <w:spacing w:val="-7"/>
                <w:sz w:val="20"/>
              </w:rPr>
              <w:t xml:space="preserve"> </w:t>
            </w:r>
            <w:r>
              <w:rPr>
                <w:sz w:val="20"/>
              </w:rPr>
              <w:t>electronically</w:t>
            </w:r>
            <w:r>
              <w:rPr>
                <w:spacing w:val="-6"/>
                <w:sz w:val="20"/>
              </w:rPr>
              <w:t xml:space="preserve"> </w:t>
            </w:r>
            <w:r>
              <w:rPr>
                <w:sz w:val="20"/>
              </w:rPr>
              <w:t>in</w:t>
            </w:r>
            <w:r>
              <w:rPr>
                <w:spacing w:val="-7"/>
                <w:sz w:val="20"/>
              </w:rPr>
              <w:t xml:space="preserve"> </w:t>
            </w:r>
            <w:r>
              <w:rPr>
                <w:sz w:val="20"/>
              </w:rPr>
              <w:t>the</w:t>
            </w:r>
            <w:r>
              <w:rPr>
                <w:spacing w:val="-8"/>
                <w:sz w:val="20"/>
              </w:rPr>
              <w:t xml:space="preserve"> </w:t>
            </w:r>
            <w:r>
              <w:rPr>
                <w:sz w:val="20"/>
              </w:rPr>
              <w:t>past</w:t>
            </w:r>
            <w:r>
              <w:rPr>
                <w:spacing w:val="-7"/>
                <w:sz w:val="20"/>
              </w:rPr>
              <w:t xml:space="preserve"> </w:t>
            </w:r>
            <w:r>
              <w:rPr>
                <w:sz w:val="20"/>
              </w:rPr>
              <w:t>year</w:t>
            </w:r>
            <w:r>
              <w:rPr>
                <w:spacing w:val="-6"/>
                <w:sz w:val="20"/>
              </w:rPr>
              <w:t xml:space="preserve"> </w:t>
            </w:r>
            <w:r>
              <w:rPr>
                <w:spacing w:val="-5"/>
                <w:sz w:val="20"/>
              </w:rPr>
              <w:t>***</w:t>
            </w:r>
          </w:p>
        </w:tc>
        <w:tc>
          <w:tcPr>
            <w:tcW w:w="1742" w:type="dxa"/>
            <w:shd w:val="clear" w:color="auto" w:fill="C5D9EF"/>
          </w:tcPr>
          <w:p w:rsidR="00C76E6D" w:rsidRDefault="00913831">
            <w:pPr>
              <w:pStyle w:val="TableParagraph"/>
              <w:spacing w:before="29"/>
              <w:ind w:left="688" w:right="664"/>
              <w:jc w:val="center"/>
              <w:rPr>
                <w:sz w:val="20"/>
              </w:rPr>
            </w:pPr>
            <w:r>
              <w:rPr>
                <w:spacing w:val="-4"/>
                <w:sz w:val="20"/>
              </w:rPr>
              <w:t>23.8</w:t>
            </w:r>
          </w:p>
        </w:tc>
        <w:tc>
          <w:tcPr>
            <w:tcW w:w="2306" w:type="dxa"/>
            <w:shd w:val="clear" w:color="auto" w:fill="C5D9EF"/>
          </w:tcPr>
          <w:p w:rsidR="00C76E6D" w:rsidRDefault="00913831">
            <w:pPr>
              <w:pStyle w:val="TableParagraph"/>
              <w:spacing w:before="29"/>
              <w:ind w:left="971" w:right="946"/>
              <w:jc w:val="center"/>
              <w:rPr>
                <w:sz w:val="20"/>
              </w:rPr>
            </w:pPr>
            <w:r>
              <w:rPr>
                <w:spacing w:val="-4"/>
                <w:sz w:val="20"/>
              </w:rPr>
              <w:t>11.5</w:t>
            </w:r>
          </w:p>
        </w:tc>
      </w:tr>
      <w:tr w:rsidR="00C76E6D">
        <w:trPr>
          <w:trHeight w:val="628"/>
        </w:trPr>
        <w:tc>
          <w:tcPr>
            <w:tcW w:w="5305" w:type="dxa"/>
            <w:shd w:val="clear" w:color="auto" w:fill="C5D9EF"/>
          </w:tcPr>
          <w:p w:rsidR="00C76E6D" w:rsidRDefault="00913831">
            <w:pPr>
              <w:pStyle w:val="TableParagraph"/>
              <w:spacing w:line="276" w:lineRule="auto"/>
              <w:ind w:left="111"/>
              <w:rPr>
                <w:sz w:val="20"/>
              </w:rPr>
            </w:pPr>
            <w:r>
              <w:rPr>
                <w:sz w:val="20"/>
              </w:rPr>
              <w:t>Hurt</w:t>
            </w:r>
            <w:r>
              <w:rPr>
                <w:spacing w:val="-3"/>
                <w:sz w:val="20"/>
              </w:rPr>
              <w:t xml:space="preserve"> </w:t>
            </w:r>
            <w:r>
              <w:rPr>
                <w:sz w:val="20"/>
              </w:rPr>
              <w:t>self</w:t>
            </w:r>
            <w:r>
              <w:rPr>
                <w:spacing w:val="-3"/>
                <w:sz w:val="20"/>
              </w:rPr>
              <w:t xml:space="preserve"> </w:t>
            </w:r>
            <w:r>
              <w:rPr>
                <w:sz w:val="20"/>
              </w:rPr>
              <w:t>on</w:t>
            </w:r>
            <w:r>
              <w:rPr>
                <w:spacing w:val="-3"/>
                <w:sz w:val="20"/>
              </w:rPr>
              <w:t xml:space="preserve"> </w:t>
            </w:r>
            <w:r>
              <w:rPr>
                <w:sz w:val="20"/>
              </w:rPr>
              <w:t>purpose</w:t>
            </w:r>
            <w:r>
              <w:rPr>
                <w:spacing w:val="-3"/>
                <w:sz w:val="20"/>
              </w:rPr>
              <w:t xml:space="preserve"> </w:t>
            </w:r>
            <w:r>
              <w:rPr>
                <w:sz w:val="20"/>
              </w:rPr>
              <w:t>in</w:t>
            </w:r>
            <w:r>
              <w:rPr>
                <w:spacing w:val="-3"/>
                <w:sz w:val="20"/>
              </w:rPr>
              <w:t xml:space="preserve"> </w:t>
            </w:r>
            <w:r>
              <w:rPr>
                <w:sz w:val="20"/>
              </w:rPr>
              <w:t>the</w:t>
            </w:r>
            <w:r>
              <w:rPr>
                <w:spacing w:val="-5"/>
                <w:sz w:val="20"/>
              </w:rPr>
              <w:t xml:space="preserve"> </w:t>
            </w:r>
            <w:r>
              <w:rPr>
                <w:sz w:val="20"/>
              </w:rPr>
              <w:t>past</w:t>
            </w:r>
            <w:r>
              <w:rPr>
                <w:spacing w:val="-3"/>
                <w:sz w:val="20"/>
              </w:rPr>
              <w:t xml:space="preserve"> </w:t>
            </w:r>
            <w:r>
              <w:rPr>
                <w:sz w:val="20"/>
              </w:rPr>
              <w:t>year</w:t>
            </w:r>
            <w:r>
              <w:rPr>
                <w:spacing w:val="-5"/>
                <w:sz w:val="20"/>
              </w:rPr>
              <w:t xml:space="preserve"> </w:t>
            </w:r>
            <w:r>
              <w:rPr>
                <w:sz w:val="20"/>
              </w:rPr>
              <w:t>(e.g.,</w:t>
            </w:r>
            <w:r>
              <w:rPr>
                <w:spacing w:val="-3"/>
                <w:sz w:val="20"/>
              </w:rPr>
              <w:t xml:space="preserve"> </w:t>
            </w:r>
            <w:r>
              <w:rPr>
                <w:sz w:val="20"/>
              </w:rPr>
              <w:t>by</w:t>
            </w:r>
            <w:r>
              <w:rPr>
                <w:spacing w:val="-3"/>
                <w:sz w:val="20"/>
              </w:rPr>
              <w:t xml:space="preserve"> </w:t>
            </w:r>
            <w:r>
              <w:rPr>
                <w:sz w:val="20"/>
              </w:rPr>
              <w:t>cutting,</w:t>
            </w:r>
            <w:r>
              <w:rPr>
                <w:spacing w:val="-4"/>
                <w:sz w:val="20"/>
              </w:rPr>
              <w:t xml:space="preserve"> </w:t>
            </w:r>
            <w:r>
              <w:rPr>
                <w:sz w:val="20"/>
              </w:rPr>
              <w:t>burning self) ***</w:t>
            </w:r>
          </w:p>
        </w:tc>
        <w:tc>
          <w:tcPr>
            <w:tcW w:w="1742" w:type="dxa"/>
            <w:shd w:val="clear" w:color="auto" w:fill="C5D9EF"/>
          </w:tcPr>
          <w:p w:rsidR="00C76E6D" w:rsidRDefault="00913831">
            <w:pPr>
              <w:pStyle w:val="TableParagraph"/>
              <w:spacing w:before="173"/>
              <w:ind w:left="688" w:right="664"/>
              <w:jc w:val="center"/>
              <w:rPr>
                <w:sz w:val="20"/>
              </w:rPr>
            </w:pPr>
            <w:r>
              <w:rPr>
                <w:spacing w:val="-4"/>
                <w:sz w:val="20"/>
              </w:rPr>
              <w:t>37.3</w:t>
            </w:r>
          </w:p>
        </w:tc>
        <w:tc>
          <w:tcPr>
            <w:tcW w:w="2306" w:type="dxa"/>
            <w:shd w:val="clear" w:color="auto" w:fill="C5D9EF"/>
          </w:tcPr>
          <w:p w:rsidR="00C76E6D" w:rsidRDefault="00913831">
            <w:pPr>
              <w:pStyle w:val="TableParagraph"/>
              <w:spacing w:before="173"/>
              <w:ind w:left="971" w:right="946"/>
              <w:jc w:val="center"/>
              <w:rPr>
                <w:sz w:val="20"/>
              </w:rPr>
            </w:pPr>
            <w:r>
              <w:rPr>
                <w:spacing w:val="-4"/>
                <w:sz w:val="20"/>
              </w:rPr>
              <w:t>12.4</w:t>
            </w:r>
          </w:p>
        </w:tc>
      </w:tr>
      <w:tr w:rsidR="00C76E6D">
        <w:trPr>
          <w:trHeight w:val="350"/>
        </w:trPr>
        <w:tc>
          <w:tcPr>
            <w:tcW w:w="5305" w:type="dxa"/>
            <w:shd w:val="clear" w:color="auto" w:fill="C5D9EF"/>
          </w:tcPr>
          <w:p w:rsidR="00C76E6D" w:rsidRDefault="00913831">
            <w:pPr>
              <w:pStyle w:val="TableParagraph"/>
              <w:spacing w:before="3"/>
              <w:ind w:left="111"/>
              <w:rPr>
                <w:sz w:val="20"/>
              </w:rPr>
            </w:pPr>
            <w:r>
              <w:rPr>
                <w:sz w:val="20"/>
              </w:rPr>
              <w:t>Seriously</w:t>
            </w:r>
            <w:r>
              <w:rPr>
                <w:spacing w:val="-11"/>
                <w:sz w:val="20"/>
              </w:rPr>
              <w:t xml:space="preserve"> </w:t>
            </w:r>
            <w:r>
              <w:rPr>
                <w:sz w:val="20"/>
              </w:rPr>
              <w:t>considered</w:t>
            </w:r>
            <w:r>
              <w:rPr>
                <w:spacing w:val="-6"/>
                <w:sz w:val="20"/>
              </w:rPr>
              <w:t xml:space="preserve"> </w:t>
            </w:r>
            <w:r>
              <w:rPr>
                <w:sz w:val="20"/>
              </w:rPr>
              <w:t>suicide</w:t>
            </w:r>
            <w:r>
              <w:rPr>
                <w:spacing w:val="-6"/>
                <w:sz w:val="20"/>
              </w:rPr>
              <w:t xml:space="preserve"> </w:t>
            </w:r>
            <w:r>
              <w:rPr>
                <w:sz w:val="20"/>
              </w:rPr>
              <w:t>in</w:t>
            </w:r>
            <w:r>
              <w:rPr>
                <w:spacing w:val="-6"/>
                <w:sz w:val="20"/>
              </w:rPr>
              <w:t xml:space="preserve"> </w:t>
            </w:r>
            <w:r>
              <w:rPr>
                <w:sz w:val="20"/>
              </w:rPr>
              <w:t>the</w:t>
            </w:r>
            <w:r>
              <w:rPr>
                <w:spacing w:val="-8"/>
                <w:sz w:val="20"/>
              </w:rPr>
              <w:t xml:space="preserve"> </w:t>
            </w:r>
            <w:r>
              <w:rPr>
                <w:sz w:val="20"/>
              </w:rPr>
              <w:t>past</w:t>
            </w:r>
            <w:r>
              <w:rPr>
                <w:spacing w:val="-8"/>
                <w:sz w:val="20"/>
              </w:rPr>
              <w:t xml:space="preserve"> </w:t>
            </w:r>
            <w:r>
              <w:rPr>
                <w:sz w:val="20"/>
              </w:rPr>
              <w:t>year</w:t>
            </w:r>
            <w:r>
              <w:rPr>
                <w:spacing w:val="-7"/>
                <w:sz w:val="20"/>
              </w:rPr>
              <w:t xml:space="preserve"> </w:t>
            </w:r>
            <w:r>
              <w:rPr>
                <w:spacing w:val="-5"/>
                <w:sz w:val="20"/>
              </w:rPr>
              <w:t>***</w:t>
            </w:r>
          </w:p>
        </w:tc>
        <w:tc>
          <w:tcPr>
            <w:tcW w:w="1742" w:type="dxa"/>
            <w:shd w:val="clear" w:color="auto" w:fill="C5D9EF"/>
          </w:tcPr>
          <w:p w:rsidR="00C76E6D" w:rsidRDefault="00913831">
            <w:pPr>
              <w:pStyle w:val="TableParagraph"/>
              <w:spacing w:before="32"/>
              <w:ind w:left="688" w:right="664"/>
              <w:jc w:val="center"/>
              <w:rPr>
                <w:sz w:val="20"/>
              </w:rPr>
            </w:pPr>
            <w:r>
              <w:rPr>
                <w:spacing w:val="-4"/>
                <w:sz w:val="20"/>
              </w:rPr>
              <w:t>39.0</w:t>
            </w:r>
          </w:p>
        </w:tc>
        <w:tc>
          <w:tcPr>
            <w:tcW w:w="2306" w:type="dxa"/>
            <w:shd w:val="clear" w:color="auto" w:fill="C5D9EF"/>
          </w:tcPr>
          <w:p w:rsidR="00C76E6D" w:rsidRDefault="00913831">
            <w:pPr>
              <w:pStyle w:val="TableParagraph"/>
              <w:spacing w:before="32"/>
              <w:ind w:left="971" w:right="946"/>
              <w:jc w:val="center"/>
              <w:rPr>
                <w:sz w:val="20"/>
              </w:rPr>
            </w:pPr>
            <w:r>
              <w:rPr>
                <w:spacing w:val="-4"/>
                <w:sz w:val="20"/>
              </w:rPr>
              <w:t>12.9</w:t>
            </w:r>
          </w:p>
        </w:tc>
      </w:tr>
      <w:tr w:rsidR="00C76E6D">
        <w:trPr>
          <w:trHeight w:val="430"/>
        </w:trPr>
        <w:tc>
          <w:tcPr>
            <w:tcW w:w="5305" w:type="dxa"/>
            <w:shd w:val="clear" w:color="auto" w:fill="C5D9EF"/>
          </w:tcPr>
          <w:p w:rsidR="00C76E6D" w:rsidRDefault="00913831">
            <w:pPr>
              <w:pStyle w:val="TableParagraph"/>
              <w:spacing w:before="3"/>
              <w:ind w:left="111"/>
              <w:rPr>
                <w:sz w:val="20"/>
              </w:rPr>
            </w:pPr>
            <w:r>
              <w:rPr>
                <w:sz w:val="20"/>
              </w:rPr>
              <w:t>Made</w:t>
            </w:r>
            <w:r>
              <w:rPr>
                <w:spacing w:val="-7"/>
                <w:sz w:val="20"/>
              </w:rPr>
              <w:t xml:space="preserve"> </w:t>
            </w:r>
            <w:r>
              <w:rPr>
                <w:sz w:val="20"/>
              </w:rPr>
              <w:t>a</w:t>
            </w:r>
            <w:r>
              <w:rPr>
                <w:spacing w:val="-2"/>
                <w:sz w:val="20"/>
              </w:rPr>
              <w:t xml:space="preserve"> </w:t>
            </w:r>
            <w:r>
              <w:rPr>
                <w:sz w:val="20"/>
              </w:rPr>
              <w:t>suicide</w:t>
            </w:r>
            <w:r>
              <w:rPr>
                <w:spacing w:val="-7"/>
                <w:sz w:val="20"/>
              </w:rPr>
              <w:t xml:space="preserve"> </w:t>
            </w:r>
            <w:r>
              <w:rPr>
                <w:sz w:val="20"/>
              </w:rPr>
              <w:t>attempt</w:t>
            </w:r>
            <w:r>
              <w:rPr>
                <w:spacing w:val="-3"/>
                <w:sz w:val="20"/>
              </w:rPr>
              <w:t xml:space="preserve"> </w:t>
            </w:r>
            <w:r>
              <w:rPr>
                <w:sz w:val="20"/>
              </w:rPr>
              <w:t>in</w:t>
            </w:r>
            <w:r>
              <w:rPr>
                <w:spacing w:val="-3"/>
                <w:sz w:val="20"/>
              </w:rPr>
              <w:t xml:space="preserve"> </w:t>
            </w:r>
            <w:r>
              <w:rPr>
                <w:sz w:val="20"/>
              </w:rPr>
              <w:t>the</w:t>
            </w:r>
            <w:r>
              <w:rPr>
                <w:spacing w:val="-7"/>
                <w:sz w:val="20"/>
              </w:rPr>
              <w:t xml:space="preserve"> </w:t>
            </w:r>
            <w:r>
              <w:rPr>
                <w:sz w:val="20"/>
              </w:rPr>
              <w:t>past</w:t>
            </w:r>
            <w:r>
              <w:rPr>
                <w:spacing w:val="-5"/>
                <w:sz w:val="20"/>
              </w:rPr>
              <w:t xml:space="preserve"> </w:t>
            </w:r>
            <w:r>
              <w:rPr>
                <w:sz w:val="20"/>
              </w:rPr>
              <w:t>year</w:t>
            </w:r>
            <w:r>
              <w:rPr>
                <w:spacing w:val="-3"/>
                <w:sz w:val="20"/>
              </w:rPr>
              <w:t xml:space="preserve"> </w:t>
            </w:r>
            <w:r>
              <w:rPr>
                <w:spacing w:val="-5"/>
                <w:sz w:val="20"/>
              </w:rPr>
              <w:t>**</w:t>
            </w:r>
          </w:p>
        </w:tc>
        <w:tc>
          <w:tcPr>
            <w:tcW w:w="1742" w:type="dxa"/>
            <w:shd w:val="clear" w:color="auto" w:fill="C5D9EF"/>
          </w:tcPr>
          <w:p w:rsidR="00C76E6D" w:rsidRDefault="00913831">
            <w:pPr>
              <w:pStyle w:val="TableParagraph"/>
              <w:spacing w:before="73"/>
              <w:ind w:left="688" w:right="664"/>
              <w:jc w:val="center"/>
              <w:rPr>
                <w:sz w:val="20"/>
              </w:rPr>
            </w:pPr>
            <w:r>
              <w:rPr>
                <w:spacing w:val="-4"/>
                <w:sz w:val="20"/>
              </w:rPr>
              <w:t>19.9</w:t>
            </w:r>
          </w:p>
        </w:tc>
        <w:tc>
          <w:tcPr>
            <w:tcW w:w="2306" w:type="dxa"/>
            <w:shd w:val="clear" w:color="auto" w:fill="C5D9EF"/>
          </w:tcPr>
          <w:p w:rsidR="00C76E6D" w:rsidRDefault="00913831">
            <w:pPr>
              <w:pStyle w:val="TableParagraph"/>
              <w:spacing w:before="73"/>
              <w:ind w:left="971" w:right="946"/>
              <w:jc w:val="center"/>
              <w:rPr>
                <w:sz w:val="20"/>
              </w:rPr>
            </w:pPr>
            <w:r>
              <w:rPr>
                <w:spacing w:val="-5"/>
                <w:sz w:val="20"/>
              </w:rPr>
              <w:t>4.5</w:t>
            </w:r>
          </w:p>
        </w:tc>
      </w:tr>
      <w:tr w:rsidR="00C76E6D">
        <w:trPr>
          <w:trHeight w:val="280"/>
        </w:trPr>
        <w:tc>
          <w:tcPr>
            <w:tcW w:w="5305" w:type="dxa"/>
            <w:shd w:val="clear" w:color="auto" w:fill="C5D9EF"/>
          </w:tcPr>
          <w:p w:rsidR="00C76E6D" w:rsidRDefault="00913831">
            <w:pPr>
              <w:pStyle w:val="TableParagraph"/>
              <w:spacing w:before="5"/>
              <w:ind w:left="111"/>
              <w:rPr>
                <w:sz w:val="20"/>
              </w:rPr>
            </w:pPr>
            <w:r>
              <w:rPr>
                <w:sz w:val="20"/>
              </w:rPr>
              <w:t>Can</w:t>
            </w:r>
            <w:r>
              <w:rPr>
                <w:spacing w:val="-5"/>
                <w:sz w:val="20"/>
              </w:rPr>
              <w:t xml:space="preserve"> </w:t>
            </w:r>
            <w:r>
              <w:rPr>
                <w:sz w:val="20"/>
              </w:rPr>
              <w:t>talk</w:t>
            </w:r>
            <w:r>
              <w:rPr>
                <w:spacing w:val="-6"/>
                <w:sz w:val="20"/>
              </w:rPr>
              <w:t xml:space="preserve"> </w:t>
            </w:r>
            <w:r>
              <w:rPr>
                <w:sz w:val="20"/>
              </w:rPr>
              <w:t>to</w:t>
            </w:r>
            <w:r>
              <w:rPr>
                <w:spacing w:val="-6"/>
                <w:sz w:val="20"/>
              </w:rPr>
              <w:t xml:space="preserve"> </w:t>
            </w:r>
            <w:r>
              <w:rPr>
                <w:sz w:val="20"/>
              </w:rPr>
              <w:t>parents</w:t>
            </w:r>
            <w:r>
              <w:rPr>
                <w:spacing w:val="-4"/>
                <w:sz w:val="20"/>
              </w:rPr>
              <w:t xml:space="preserve"> </w:t>
            </w:r>
            <w:r>
              <w:rPr>
                <w:sz w:val="20"/>
              </w:rPr>
              <w:t>about</w:t>
            </w:r>
            <w:r>
              <w:rPr>
                <w:spacing w:val="-6"/>
                <w:sz w:val="20"/>
              </w:rPr>
              <w:t xml:space="preserve"> </w:t>
            </w:r>
            <w:r>
              <w:rPr>
                <w:sz w:val="20"/>
              </w:rPr>
              <w:t>“things</w:t>
            </w:r>
            <w:r>
              <w:rPr>
                <w:spacing w:val="-5"/>
                <w:sz w:val="20"/>
              </w:rPr>
              <w:t xml:space="preserve"> </w:t>
            </w:r>
            <w:r>
              <w:rPr>
                <w:sz w:val="20"/>
              </w:rPr>
              <w:t>that</w:t>
            </w:r>
            <w:r>
              <w:rPr>
                <w:spacing w:val="-4"/>
                <w:sz w:val="20"/>
              </w:rPr>
              <w:t xml:space="preserve"> </w:t>
            </w:r>
            <w:r>
              <w:rPr>
                <w:sz w:val="20"/>
              </w:rPr>
              <w:t>are</w:t>
            </w:r>
            <w:r>
              <w:rPr>
                <w:spacing w:val="-5"/>
                <w:sz w:val="20"/>
              </w:rPr>
              <w:t xml:space="preserve"> </w:t>
            </w:r>
            <w:r>
              <w:rPr>
                <w:sz w:val="20"/>
              </w:rPr>
              <w:t>important</w:t>
            </w:r>
            <w:r>
              <w:rPr>
                <w:spacing w:val="-6"/>
                <w:sz w:val="20"/>
              </w:rPr>
              <w:t xml:space="preserve"> </w:t>
            </w:r>
            <w:r>
              <w:rPr>
                <w:sz w:val="20"/>
              </w:rPr>
              <w:t>to</w:t>
            </w:r>
            <w:r>
              <w:rPr>
                <w:spacing w:val="-5"/>
                <w:sz w:val="20"/>
              </w:rPr>
              <w:t xml:space="preserve"> </w:t>
            </w:r>
            <w:r>
              <w:rPr>
                <w:spacing w:val="-2"/>
                <w:sz w:val="20"/>
              </w:rPr>
              <w:t>you”**</w:t>
            </w:r>
          </w:p>
        </w:tc>
        <w:tc>
          <w:tcPr>
            <w:tcW w:w="1742" w:type="dxa"/>
            <w:shd w:val="clear" w:color="auto" w:fill="C5D9EF"/>
          </w:tcPr>
          <w:p w:rsidR="00C76E6D" w:rsidRDefault="00913831">
            <w:pPr>
              <w:pStyle w:val="TableParagraph"/>
              <w:spacing w:before="5"/>
              <w:ind w:left="688" w:right="664"/>
              <w:jc w:val="center"/>
              <w:rPr>
                <w:sz w:val="20"/>
              </w:rPr>
            </w:pPr>
            <w:r>
              <w:rPr>
                <w:spacing w:val="-4"/>
                <w:sz w:val="20"/>
              </w:rPr>
              <w:t>69.3</w:t>
            </w:r>
          </w:p>
        </w:tc>
        <w:tc>
          <w:tcPr>
            <w:tcW w:w="2306" w:type="dxa"/>
            <w:shd w:val="clear" w:color="auto" w:fill="C5D9EF"/>
          </w:tcPr>
          <w:p w:rsidR="00C76E6D" w:rsidRDefault="00913831">
            <w:pPr>
              <w:pStyle w:val="TableParagraph"/>
              <w:spacing w:before="5"/>
              <w:ind w:left="971" w:right="946"/>
              <w:jc w:val="center"/>
              <w:rPr>
                <w:sz w:val="20"/>
              </w:rPr>
            </w:pPr>
            <w:r>
              <w:rPr>
                <w:spacing w:val="-4"/>
                <w:sz w:val="20"/>
              </w:rPr>
              <w:t>82.9</w:t>
            </w:r>
          </w:p>
        </w:tc>
      </w:tr>
      <w:tr w:rsidR="00C76E6D">
        <w:trPr>
          <w:trHeight w:val="358"/>
        </w:trPr>
        <w:tc>
          <w:tcPr>
            <w:tcW w:w="5305" w:type="dxa"/>
            <w:shd w:val="clear" w:color="auto" w:fill="C5D9EF"/>
          </w:tcPr>
          <w:p w:rsidR="00C76E6D" w:rsidRDefault="00913831">
            <w:pPr>
              <w:pStyle w:val="TableParagraph"/>
              <w:spacing w:before="3"/>
              <w:ind w:left="111"/>
              <w:rPr>
                <w:sz w:val="20"/>
              </w:rPr>
            </w:pPr>
            <w:r>
              <w:rPr>
                <w:sz w:val="20"/>
              </w:rPr>
              <w:t>Any</w:t>
            </w:r>
            <w:r>
              <w:rPr>
                <w:spacing w:val="-7"/>
                <w:sz w:val="20"/>
              </w:rPr>
              <w:t xml:space="preserve"> </w:t>
            </w:r>
            <w:r>
              <w:rPr>
                <w:sz w:val="20"/>
              </w:rPr>
              <w:t>lifetime</w:t>
            </w:r>
            <w:r>
              <w:rPr>
                <w:spacing w:val="-9"/>
                <w:sz w:val="20"/>
              </w:rPr>
              <w:t xml:space="preserve"> </w:t>
            </w:r>
            <w:r>
              <w:rPr>
                <w:sz w:val="20"/>
              </w:rPr>
              <w:t>heroin</w:t>
            </w:r>
            <w:r>
              <w:rPr>
                <w:spacing w:val="-6"/>
                <w:sz w:val="20"/>
              </w:rPr>
              <w:t xml:space="preserve"> </w:t>
            </w:r>
            <w:r>
              <w:rPr>
                <w:spacing w:val="-2"/>
                <w:sz w:val="20"/>
              </w:rPr>
              <w:t>use***</w:t>
            </w:r>
          </w:p>
        </w:tc>
        <w:tc>
          <w:tcPr>
            <w:tcW w:w="1742" w:type="dxa"/>
            <w:shd w:val="clear" w:color="auto" w:fill="C5D9EF"/>
          </w:tcPr>
          <w:p w:rsidR="00C76E6D" w:rsidRDefault="00913831">
            <w:pPr>
              <w:pStyle w:val="TableParagraph"/>
              <w:spacing w:before="37"/>
              <w:ind w:left="688" w:right="662"/>
              <w:jc w:val="center"/>
              <w:rPr>
                <w:sz w:val="20"/>
              </w:rPr>
            </w:pPr>
            <w:r>
              <w:rPr>
                <w:spacing w:val="-5"/>
                <w:sz w:val="20"/>
              </w:rPr>
              <w:t>4.6</w:t>
            </w:r>
          </w:p>
        </w:tc>
        <w:tc>
          <w:tcPr>
            <w:tcW w:w="2306" w:type="dxa"/>
            <w:shd w:val="clear" w:color="auto" w:fill="C5D9EF"/>
          </w:tcPr>
          <w:p w:rsidR="00C76E6D" w:rsidRDefault="00913831">
            <w:pPr>
              <w:pStyle w:val="TableParagraph"/>
              <w:spacing w:before="37"/>
              <w:ind w:left="971" w:right="946"/>
              <w:jc w:val="center"/>
              <w:rPr>
                <w:sz w:val="20"/>
              </w:rPr>
            </w:pPr>
            <w:r>
              <w:rPr>
                <w:spacing w:val="-5"/>
                <w:sz w:val="20"/>
              </w:rPr>
              <w:t>1.1</w:t>
            </w:r>
          </w:p>
        </w:tc>
      </w:tr>
      <w:tr w:rsidR="00C76E6D">
        <w:trPr>
          <w:trHeight w:val="350"/>
        </w:trPr>
        <w:tc>
          <w:tcPr>
            <w:tcW w:w="5305" w:type="dxa"/>
            <w:shd w:val="clear" w:color="auto" w:fill="C5D9EF"/>
          </w:tcPr>
          <w:p w:rsidR="00C76E6D" w:rsidRDefault="00913831">
            <w:pPr>
              <w:pStyle w:val="TableParagraph"/>
              <w:spacing w:line="243" w:lineRule="exact"/>
              <w:ind w:left="111"/>
              <w:rPr>
                <w:sz w:val="20"/>
              </w:rPr>
            </w:pPr>
            <w:r>
              <w:rPr>
                <w:sz w:val="20"/>
              </w:rPr>
              <w:t>Had</w:t>
            </w:r>
            <w:r>
              <w:rPr>
                <w:spacing w:val="-11"/>
                <w:sz w:val="20"/>
              </w:rPr>
              <w:t xml:space="preserve"> </w:t>
            </w:r>
            <w:r>
              <w:rPr>
                <w:sz w:val="20"/>
              </w:rPr>
              <w:t>experienced</w:t>
            </w:r>
            <w:r>
              <w:rPr>
                <w:spacing w:val="-8"/>
                <w:sz w:val="20"/>
              </w:rPr>
              <w:t xml:space="preserve"> </w:t>
            </w:r>
            <w:r>
              <w:rPr>
                <w:sz w:val="20"/>
              </w:rPr>
              <w:t>sexual</w:t>
            </w:r>
            <w:r>
              <w:rPr>
                <w:spacing w:val="-11"/>
                <w:sz w:val="20"/>
              </w:rPr>
              <w:t xml:space="preserve"> </w:t>
            </w:r>
            <w:r>
              <w:rPr>
                <w:sz w:val="20"/>
              </w:rPr>
              <w:t>contact</w:t>
            </w:r>
            <w:r>
              <w:rPr>
                <w:spacing w:val="-9"/>
                <w:sz w:val="20"/>
              </w:rPr>
              <w:t xml:space="preserve"> </w:t>
            </w:r>
            <w:r>
              <w:rPr>
                <w:sz w:val="20"/>
              </w:rPr>
              <w:t>against</w:t>
            </w:r>
            <w:r>
              <w:rPr>
                <w:spacing w:val="-9"/>
                <w:sz w:val="20"/>
              </w:rPr>
              <w:t xml:space="preserve"> </w:t>
            </w:r>
            <w:r>
              <w:rPr>
                <w:sz w:val="20"/>
              </w:rPr>
              <w:t>their</w:t>
            </w:r>
            <w:r>
              <w:rPr>
                <w:spacing w:val="-8"/>
                <w:sz w:val="20"/>
              </w:rPr>
              <w:t xml:space="preserve"> </w:t>
            </w:r>
            <w:r>
              <w:rPr>
                <w:spacing w:val="-2"/>
                <w:sz w:val="20"/>
              </w:rPr>
              <w:t>will***</w:t>
            </w:r>
          </w:p>
        </w:tc>
        <w:tc>
          <w:tcPr>
            <w:tcW w:w="1742" w:type="dxa"/>
            <w:shd w:val="clear" w:color="auto" w:fill="C5D9EF"/>
          </w:tcPr>
          <w:p w:rsidR="00C76E6D" w:rsidRDefault="00913831">
            <w:pPr>
              <w:pStyle w:val="TableParagraph"/>
              <w:spacing w:before="35"/>
              <w:ind w:left="688" w:right="664"/>
              <w:jc w:val="center"/>
              <w:rPr>
                <w:sz w:val="20"/>
              </w:rPr>
            </w:pPr>
            <w:r>
              <w:rPr>
                <w:spacing w:val="-4"/>
                <w:sz w:val="20"/>
              </w:rPr>
              <w:t>18.8</w:t>
            </w:r>
          </w:p>
        </w:tc>
        <w:tc>
          <w:tcPr>
            <w:tcW w:w="2306" w:type="dxa"/>
            <w:shd w:val="clear" w:color="auto" w:fill="C5D9EF"/>
          </w:tcPr>
          <w:p w:rsidR="00C76E6D" w:rsidRDefault="00913831">
            <w:pPr>
              <w:pStyle w:val="TableParagraph"/>
              <w:spacing w:before="35"/>
              <w:ind w:left="971" w:right="946"/>
              <w:jc w:val="center"/>
              <w:rPr>
                <w:sz w:val="20"/>
              </w:rPr>
            </w:pPr>
            <w:r>
              <w:rPr>
                <w:spacing w:val="-5"/>
                <w:sz w:val="20"/>
              </w:rPr>
              <w:t>7.3</w:t>
            </w:r>
          </w:p>
        </w:tc>
      </w:tr>
      <w:tr w:rsidR="00C76E6D">
        <w:trPr>
          <w:trHeight w:val="281"/>
        </w:trPr>
        <w:tc>
          <w:tcPr>
            <w:tcW w:w="5305" w:type="dxa"/>
            <w:shd w:val="clear" w:color="auto" w:fill="C5D9EF"/>
          </w:tcPr>
          <w:p w:rsidR="00C76E6D" w:rsidRDefault="00913831">
            <w:pPr>
              <w:pStyle w:val="TableParagraph"/>
              <w:spacing w:line="243" w:lineRule="exact"/>
              <w:ind w:left="111"/>
              <w:rPr>
                <w:sz w:val="20"/>
              </w:rPr>
            </w:pPr>
            <w:r>
              <w:rPr>
                <w:spacing w:val="-2"/>
                <w:sz w:val="20"/>
              </w:rPr>
              <w:t>Homeless***</w:t>
            </w:r>
          </w:p>
        </w:tc>
        <w:tc>
          <w:tcPr>
            <w:tcW w:w="1742" w:type="dxa"/>
            <w:shd w:val="clear" w:color="auto" w:fill="C5D9EF"/>
          </w:tcPr>
          <w:p w:rsidR="00C76E6D" w:rsidRDefault="00913831">
            <w:pPr>
              <w:pStyle w:val="TableParagraph"/>
              <w:spacing w:line="243" w:lineRule="exact"/>
              <w:ind w:left="688" w:right="662"/>
              <w:jc w:val="center"/>
              <w:rPr>
                <w:sz w:val="20"/>
              </w:rPr>
            </w:pPr>
            <w:r>
              <w:rPr>
                <w:spacing w:val="-5"/>
                <w:sz w:val="20"/>
              </w:rPr>
              <w:t>7.0</w:t>
            </w:r>
          </w:p>
        </w:tc>
        <w:tc>
          <w:tcPr>
            <w:tcW w:w="2306" w:type="dxa"/>
            <w:shd w:val="clear" w:color="auto" w:fill="C5D9EF"/>
          </w:tcPr>
          <w:p w:rsidR="00C76E6D" w:rsidRDefault="00913831">
            <w:pPr>
              <w:pStyle w:val="TableParagraph"/>
              <w:spacing w:line="243" w:lineRule="exact"/>
              <w:ind w:left="971" w:right="946"/>
              <w:jc w:val="center"/>
              <w:rPr>
                <w:sz w:val="20"/>
              </w:rPr>
            </w:pPr>
            <w:r>
              <w:rPr>
                <w:spacing w:val="-5"/>
                <w:sz w:val="20"/>
              </w:rPr>
              <w:t>2.0</w:t>
            </w:r>
          </w:p>
        </w:tc>
      </w:tr>
    </w:tbl>
    <w:p w:rsidR="00C76E6D" w:rsidRDefault="00913831">
      <w:pPr>
        <w:spacing w:before="10"/>
        <w:ind w:left="1200"/>
        <w:rPr>
          <w:sz w:val="18"/>
        </w:rPr>
      </w:pPr>
      <w:r>
        <w:rPr>
          <w:sz w:val="18"/>
        </w:rPr>
        <w:t>*</w:t>
      </w:r>
      <w:r>
        <w:rPr>
          <w:spacing w:val="-6"/>
          <w:sz w:val="18"/>
        </w:rPr>
        <w:t xml:space="preserve"> </w:t>
      </w:r>
      <w:r>
        <w:rPr>
          <w:sz w:val="18"/>
        </w:rPr>
        <w:t>p &lt;</w:t>
      </w:r>
      <w:r>
        <w:rPr>
          <w:spacing w:val="-1"/>
          <w:sz w:val="18"/>
        </w:rPr>
        <w:t xml:space="preserve"> </w:t>
      </w:r>
      <w:r>
        <w:rPr>
          <w:sz w:val="18"/>
        </w:rPr>
        <w:t>.05;</w:t>
      </w:r>
      <w:r>
        <w:rPr>
          <w:spacing w:val="-1"/>
          <w:sz w:val="18"/>
        </w:rPr>
        <w:t xml:space="preserve"> </w:t>
      </w:r>
      <w:r>
        <w:rPr>
          <w:sz w:val="18"/>
        </w:rPr>
        <w:t>**</w:t>
      </w:r>
      <w:r>
        <w:rPr>
          <w:spacing w:val="-1"/>
          <w:sz w:val="18"/>
        </w:rPr>
        <w:t xml:space="preserve"> </w:t>
      </w:r>
      <w:r>
        <w:rPr>
          <w:sz w:val="18"/>
        </w:rPr>
        <w:t>p</w:t>
      </w:r>
      <w:r>
        <w:rPr>
          <w:spacing w:val="-1"/>
          <w:sz w:val="18"/>
        </w:rPr>
        <w:t xml:space="preserve"> </w:t>
      </w:r>
      <w:r>
        <w:rPr>
          <w:sz w:val="18"/>
        </w:rPr>
        <w:t>&lt;</w:t>
      </w:r>
      <w:r>
        <w:rPr>
          <w:spacing w:val="-2"/>
          <w:sz w:val="18"/>
        </w:rPr>
        <w:t xml:space="preserve"> </w:t>
      </w:r>
      <w:r>
        <w:rPr>
          <w:sz w:val="18"/>
        </w:rPr>
        <w:t>.01;</w:t>
      </w:r>
      <w:r>
        <w:rPr>
          <w:spacing w:val="-1"/>
          <w:sz w:val="18"/>
        </w:rPr>
        <w:t xml:space="preserve"> </w:t>
      </w:r>
      <w:r>
        <w:rPr>
          <w:sz w:val="18"/>
        </w:rPr>
        <w:t>***</w:t>
      </w:r>
      <w:r>
        <w:rPr>
          <w:spacing w:val="-1"/>
          <w:sz w:val="18"/>
        </w:rPr>
        <w:t xml:space="preserve"> </w:t>
      </w:r>
      <w:r>
        <w:rPr>
          <w:sz w:val="18"/>
        </w:rPr>
        <w:t>p</w:t>
      </w:r>
      <w:r>
        <w:rPr>
          <w:spacing w:val="-1"/>
          <w:sz w:val="18"/>
        </w:rPr>
        <w:t xml:space="preserve"> </w:t>
      </w:r>
      <w:r>
        <w:rPr>
          <w:sz w:val="18"/>
        </w:rPr>
        <w:t>&lt;</w:t>
      </w:r>
      <w:r>
        <w:rPr>
          <w:spacing w:val="-1"/>
          <w:sz w:val="18"/>
        </w:rPr>
        <w:t xml:space="preserve"> </w:t>
      </w:r>
      <w:r>
        <w:rPr>
          <w:spacing w:val="-4"/>
          <w:sz w:val="18"/>
        </w:rPr>
        <w:t>.001</w:t>
      </w:r>
    </w:p>
    <w:p w:rsidR="00C76E6D" w:rsidRDefault="00C76E6D">
      <w:pPr>
        <w:pStyle w:val="BodyText"/>
        <w:spacing w:before="9" w:after="1"/>
        <w:rPr>
          <w:sz w:val="27"/>
        </w:rPr>
      </w:pPr>
    </w:p>
    <w:tbl>
      <w:tblPr>
        <w:tblW w:w="0" w:type="auto"/>
        <w:tblInd w:w="4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72"/>
        <w:gridCol w:w="1350"/>
        <w:gridCol w:w="3330"/>
      </w:tblGrid>
      <w:tr w:rsidR="00C76E6D">
        <w:trPr>
          <w:trHeight w:val="681"/>
        </w:trPr>
        <w:tc>
          <w:tcPr>
            <w:tcW w:w="9352" w:type="dxa"/>
            <w:gridSpan w:val="3"/>
            <w:shd w:val="clear" w:color="auto" w:fill="E2C5D2"/>
          </w:tcPr>
          <w:p w:rsidR="00C76E6D" w:rsidRDefault="00913831">
            <w:pPr>
              <w:pStyle w:val="TableParagraph"/>
              <w:spacing w:before="59" w:line="276" w:lineRule="auto"/>
              <w:ind w:left="65" w:right="47"/>
              <w:rPr>
                <w:b/>
                <w:sz w:val="20"/>
              </w:rPr>
            </w:pPr>
            <w:r>
              <w:rPr>
                <w:b/>
                <w:sz w:val="20"/>
              </w:rPr>
              <w:t>Table</w:t>
            </w:r>
            <w:r>
              <w:rPr>
                <w:b/>
                <w:spacing w:val="-6"/>
                <w:sz w:val="20"/>
              </w:rPr>
              <w:t xml:space="preserve"> </w:t>
            </w:r>
            <w:r>
              <w:rPr>
                <w:b/>
                <w:sz w:val="20"/>
              </w:rPr>
              <w:t>2.</w:t>
            </w:r>
            <w:r>
              <w:rPr>
                <w:b/>
                <w:spacing w:val="-5"/>
                <w:sz w:val="20"/>
              </w:rPr>
              <w:t xml:space="preserve"> </w:t>
            </w:r>
            <w:r>
              <w:rPr>
                <w:b/>
                <w:sz w:val="20"/>
              </w:rPr>
              <w:t>Percent</w:t>
            </w:r>
            <w:r>
              <w:rPr>
                <w:b/>
                <w:spacing w:val="-5"/>
                <w:sz w:val="20"/>
              </w:rPr>
              <w:t xml:space="preserve"> </w:t>
            </w:r>
            <w:r>
              <w:rPr>
                <w:b/>
                <w:sz w:val="20"/>
              </w:rPr>
              <w:t>of</w:t>
            </w:r>
            <w:r>
              <w:rPr>
                <w:b/>
                <w:spacing w:val="-6"/>
                <w:sz w:val="20"/>
              </w:rPr>
              <w:t xml:space="preserve"> </w:t>
            </w:r>
            <w:r>
              <w:rPr>
                <w:b/>
                <w:sz w:val="20"/>
              </w:rPr>
              <w:t>Massachusetts</w:t>
            </w:r>
            <w:r>
              <w:rPr>
                <w:b/>
                <w:spacing w:val="-5"/>
                <w:sz w:val="20"/>
              </w:rPr>
              <w:t xml:space="preserve"> </w:t>
            </w:r>
            <w:r>
              <w:rPr>
                <w:b/>
                <w:sz w:val="20"/>
              </w:rPr>
              <w:t>Students</w:t>
            </w:r>
            <w:r>
              <w:rPr>
                <w:b/>
                <w:spacing w:val="-4"/>
                <w:sz w:val="20"/>
              </w:rPr>
              <w:t xml:space="preserve"> </w:t>
            </w:r>
            <w:r>
              <w:rPr>
                <w:b/>
                <w:sz w:val="20"/>
              </w:rPr>
              <w:t>Who</w:t>
            </w:r>
            <w:r>
              <w:rPr>
                <w:b/>
                <w:spacing w:val="-5"/>
                <w:sz w:val="20"/>
              </w:rPr>
              <w:t xml:space="preserve"> </w:t>
            </w:r>
            <w:r>
              <w:rPr>
                <w:b/>
                <w:sz w:val="20"/>
              </w:rPr>
              <w:t>Reported</w:t>
            </w:r>
            <w:r>
              <w:rPr>
                <w:b/>
                <w:spacing w:val="-4"/>
                <w:sz w:val="20"/>
              </w:rPr>
              <w:t xml:space="preserve"> </w:t>
            </w:r>
            <w:r>
              <w:rPr>
                <w:b/>
                <w:sz w:val="20"/>
              </w:rPr>
              <w:t>Risk</w:t>
            </w:r>
            <w:r>
              <w:rPr>
                <w:b/>
                <w:spacing w:val="-7"/>
                <w:sz w:val="20"/>
              </w:rPr>
              <w:t xml:space="preserve"> </w:t>
            </w:r>
            <w:r>
              <w:rPr>
                <w:b/>
                <w:sz w:val="20"/>
              </w:rPr>
              <w:t>Behaviors</w:t>
            </w:r>
            <w:r>
              <w:rPr>
                <w:b/>
                <w:spacing w:val="-4"/>
                <w:sz w:val="20"/>
              </w:rPr>
              <w:t xml:space="preserve"> </w:t>
            </w:r>
            <w:r>
              <w:rPr>
                <w:b/>
                <w:sz w:val="20"/>
              </w:rPr>
              <w:t>and</w:t>
            </w:r>
            <w:r>
              <w:rPr>
                <w:b/>
                <w:spacing w:val="-4"/>
                <w:sz w:val="20"/>
              </w:rPr>
              <w:t xml:space="preserve"> </w:t>
            </w:r>
            <w:r>
              <w:rPr>
                <w:b/>
                <w:sz w:val="20"/>
              </w:rPr>
              <w:t>Experiences</w:t>
            </w:r>
            <w:r>
              <w:rPr>
                <w:b/>
                <w:spacing w:val="-4"/>
                <w:sz w:val="20"/>
              </w:rPr>
              <w:t xml:space="preserve"> </w:t>
            </w:r>
            <w:r>
              <w:rPr>
                <w:b/>
                <w:sz w:val="20"/>
              </w:rPr>
              <w:t>by</w:t>
            </w:r>
            <w:r>
              <w:rPr>
                <w:b/>
                <w:spacing w:val="-7"/>
                <w:sz w:val="20"/>
              </w:rPr>
              <w:t xml:space="preserve"> </w:t>
            </w:r>
            <w:r>
              <w:rPr>
                <w:b/>
                <w:sz w:val="20"/>
              </w:rPr>
              <w:t>LGBQ</w:t>
            </w:r>
            <w:r>
              <w:rPr>
                <w:b/>
                <w:spacing w:val="-6"/>
                <w:sz w:val="20"/>
              </w:rPr>
              <w:t xml:space="preserve"> </w:t>
            </w:r>
            <w:r>
              <w:rPr>
                <w:b/>
                <w:sz w:val="20"/>
              </w:rPr>
              <w:t>Identity,* Massachusetts and National YRBSS Data, 2019</w:t>
            </w:r>
          </w:p>
        </w:tc>
      </w:tr>
      <w:tr w:rsidR="00C76E6D">
        <w:trPr>
          <w:trHeight w:val="495"/>
        </w:trPr>
        <w:tc>
          <w:tcPr>
            <w:tcW w:w="4672" w:type="dxa"/>
            <w:shd w:val="clear" w:color="auto" w:fill="E2C5D2"/>
          </w:tcPr>
          <w:p w:rsidR="00C76E6D" w:rsidRDefault="00C76E6D">
            <w:pPr>
              <w:pStyle w:val="TableParagraph"/>
              <w:rPr>
                <w:rFonts w:ascii="Times New Roman"/>
                <w:sz w:val="18"/>
              </w:rPr>
            </w:pPr>
          </w:p>
        </w:tc>
        <w:tc>
          <w:tcPr>
            <w:tcW w:w="1350" w:type="dxa"/>
            <w:shd w:val="clear" w:color="auto" w:fill="E2C5D2"/>
          </w:tcPr>
          <w:p w:rsidR="00C76E6D" w:rsidRDefault="00913831">
            <w:pPr>
              <w:pStyle w:val="TableParagraph"/>
              <w:spacing w:before="60"/>
              <w:ind w:left="65"/>
              <w:rPr>
                <w:b/>
                <w:sz w:val="20"/>
              </w:rPr>
            </w:pPr>
            <w:r>
              <w:rPr>
                <w:b/>
                <w:sz w:val="20"/>
              </w:rPr>
              <w:t xml:space="preserve">MA </w:t>
            </w:r>
            <w:r>
              <w:rPr>
                <w:b/>
                <w:spacing w:val="-2"/>
                <w:sz w:val="20"/>
              </w:rPr>
              <w:t>(N=375)</w:t>
            </w:r>
          </w:p>
        </w:tc>
        <w:tc>
          <w:tcPr>
            <w:tcW w:w="3330" w:type="dxa"/>
            <w:shd w:val="clear" w:color="auto" w:fill="E2C5D2"/>
          </w:tcPr>
          <w:p w:rsidR="00C76E6D" w:rsidRDefault="00913831">
            <w:pPr>
              <w:pStyle w:val="TableParagraph"/>
              <w:spacing w:before="60"/>
              <w:ind w:left="65"/>
              <w:rPr>
                <w:b/>
                <w:sz w:val="20"/>
              </w:rPr>
            </w:pPr>
            <w:r>
              <w:rPr>
                <w:b/>
                <w:spacing w:val="-2"/>
                <w:sz w:val="20"/>
              </w:rPr>
              <w:t>National</w:t>
            </w:r>
            <w:r>
              <w:rPr>
                <w:b/>
                <w:spacing w:val="6"/>
                <w:sz w:val="20"/>
              </w:rPr>
              <w:t xml:space="preserve"> </w:t>
            </w:r>
            <w:r>
              <w:rPr>
                <w:b/>
                <w:spacing w:val="-2"/>
                <w:sz w:val="20"/>
              </w:rPr>
              <w:t>(Weighted;</w:t>
            </w:r>
            <w:r>
              <w:rPr>
                <w:b/>
                <w:spacing w:val="7"/>
                <w:sz w:val="20"/>
              </w:rPr>
              <w:t xml:space="preserve"> </w:t>
            </w:r>
            <w:r>
              <w:rPr>
                <w:b/>
                <w:spacing w:val="-2"/>
                <w:sz w:val="20"/>
              </w:rPr>
              <w:t>N=1817)</w:t>
            </w:r>
          </w:p>
        </w:tc>
      </w:tr>
      <w:tr w:rsidR="00C76E6D">
        <w:trPr>
          <w:trHeight w:val="414"/>
        </w:trPr>
        <w:tc>
          <w:tcPr>
            <w:tcW w:w="4672" w:type="dxa"/>
            <w:shd w:val="clear" w:color="auto" w:fill="E2C5D2"/>
          </w:tcPr>
          <w:p w:rsidR="00C76E6D" w:rsidRDefault="00913831">
            <w:pPr>
              <w:pStyle w:val="TableParagraph"/>
              <w:spacing w:before="60"/>
              <w:ind w:left="65"/>
              <w:rPr>
                <w:sz w:val="20"/>
              </w:rPr>
            </w:pPr>
            <w:r>
              <w:rPr>
                <w:sz w:val="20"/>
              </w:rPr>
              <w:t>Bullied</w:t>
            </w:r>
            <w:r>
              <w:rPr>
                <w:spacing w:val="-4"/>
                <w:sz w:val="20"/>
              </w:rPr>
              <w:t xml:space="preserve"> </w:t>
            </w:r>
            <w:r>
              <w:rPr>
                <w:sz w:val="20"/>
              </w:rPr>
              <w:t>at</w:t>
            </w:r>
            <w:r>
              <w:rPr>
                <w:spacing w:val="-6"/>
                <w:sz w:val="20"/>
              </w:rPr>
              <w:t xml:space="preserve"> </w:t>
            </w:r>
            <w:r>
              <w:rPr>
                <w:sz w:val="20"/>
              </w:rPr>
              <w:t>school</w:t>
            </w:r>
            <w:r>
              <w:rPr>
                <w:spacing w:val="-5"/>
                <w:sz w:val="20"/>
              </w:rPr>
              <w:t xml:space="preserve"> </w:t>
            </w:r>
            <w:r>
              <w:rPr>
                <w:sz w:val="20"/>
              </w:rPr>
              <w:t>in</w:t>
            </w:r>
            <w:r>
              <w:rPr>
                <w:spacing w:val="-3"/>
                <w:sz w:val="20"/>
              </w:rPr>
              <w:t xml:space="preserve"> </w:t>
            </w:r>
            <w:r>
              <w:rPr>
                <w:sz w:val="20"/>
              </w:rPr>
              <w:t>the</w:t>
            </w:r>
            <w:r>
              <w:rPr>
                <w:spacing w:val="-6"/>
                <w:sz w:val="20"/>
              </w:rPr>
              <w:t xml:space="preserve"> </w:t>
            </w:r>
            <w:r>
              <w:rPr>
                <w:sz w:val="20"/>
              </w:rPr>
              <w:t>past</w:t>
            </w:r>
            <w:r>
              <w:rPr>
                <w:spacing w:val="-4"/>
                <w:sz w:val="20"/>
              </w:rPr>
              <w:t xml:space="preserve"> year</w:t>
            </w:r>
          </w:p>
        </w:tc>
        <w:tc>
          <w:tcPr>
            <w:tcW w:w="1350" w:type="dxa"/>
            <w:shd w:val="clear" w:color="auto" w:fill="E2C5D2"/>
          </w:tcPr>
          <w:p w:rsidR="00C76E6D" w:rsidRDefault="00913831">
            <w:pPr>
              <w:pStyle w:val="TableParagraph"/>
              <w:spacing w:before="66"/>
              <w:ind w:left="485" w:right="454"/>
              <w:jc w:val="center"/>
              <w:rPr>
                <w:sz w:val="20"/>
              </w:rPr>
            </w:pPr>
            <w:r>
              <w:rPr>
                <w:spacing w:val="-4"/>
                <w:sz w:val="20"/>
              </w:rPr>
              <w:t>29.6</w:t>
            </w:r>
          </w:p>
        </w:tc>
        <w:tc>
          <w:tcPr>
            <w:tcW w:w="3330" w:type="dxa"/>
            <w:shd w:val="clear" w:color="auto" w:fill="E2C5D2"/>
          </w:tcPr>
          <w:p w:rsidR="00C76E6D" w:rsidRDefault="00913831">
            <w:pPr>
              <w:pStyle w:val="TableParagraph"/>
              <w:spacing w:before="66"/>
              <w:ind w:left="1483" w:right="1452"/>
              <w:jc w:val="center"/>
              <w:rPr>
                <w:sz w:val="20"/>
              </w:rPr>
            </w:pPr>
            <w:r>
              <w:rPr>
                <w:spacing w:val="-4"/>
                <w:sz w:val="20"/>
              </w:rPr>
              <w:t>30.5</w:t>
            </w:r>
          </w:p>
        </w:tc>
      </w:tr>
      <w:tr w:rsidR="00C76E6D">
        <w:trPr>
          <w:trHeight w:val="509"/>
        </w:trPr>
        <w:tc>
          <w:tcPr>
            <w:tcW w:w="4672" w:type="dxa"/>
            <w:shd w:val="clear" w:color="auto" w:fill="E2C5D2"/>
          </w:tcPr>
          <w:p w:rsidR="00C76E6D" w:rsidRDefault="00913831">
            <w:pPr>
              <w:pStyle w:val="TableParagraph"/>
              <w:spacing w:before="59"/>
              <w:ind w:left="65"/>
              <w:rPr>
                <w:sz w:val="20"/>
              </w:rPr>
            </w:pPr>
            <w:r>
              <w:rPr>
                <w:sz w:val="20"/>
              </w:rPr>
              <w:t>Skipped</w:t>
            </w:r>
            <w:r>
              <w:rPr>
                <w:spacing w:val="-8"/>
                <w:sz w:val="20"/>
              </w:rPr>
              <w:t xml:space="preserve"> </w:t>
            </w:r>
            <w:r>
              <w:rPr>
                <w:sz w:val="20"/>
              </w:rPr>
              <w:t>school</w:t>
            </w:r>
            <w:r>
              <w:rPr>
                <w:spacing w:val="-8"/>
                <w:sz w:val="20"/>
              </w:rPr>
              <w:t xml:space="preserve"> </w:t>
            </w:r>
            <w:r>
              <w:rPr>
                <w:sz w:val="20"/>
              </w:rPr>
              <w:t>in</w:t>
            </w:r>
            <w:r>
              <w:rPr>
                <w:spacing w:val="-6"/>
                <w:sz w:val="20"/>
              </w:rPr>
              <w:t xml:space="preserve"> </w:t>
            </w:r>
            <w:r>
              <w:rPr>
                <w:sz w:val="20"/>
              </w:rPr>
              <w:t>past</w:t>
            </w:r>
            <w:r>
              <w:rPr>
                <w:spacing w:val="-7"/>
                <w:sz w:val="20"/>
              </w:rPr>
              <w:t xml:space="preserve"> </w:t>
            </w:r>
            <w:r>
              <w:rPr>
                <w:sz w:val="20"/>
              </w:rPr>
              <w:t>month</w:t>
            </w:r>
            <w:r>
              <w:rPr>
                <w:spacing w:val="-9"/>
                <w:sz w:val="20"/>
              </w:rPr>
              <w:t xml:space="preserve"> </w:t>
            </w:r>
            <w:r>
              <w:rPr>
                <w:sz w:val="20"/>
              </w:rPr>
              <w:t>because</w:t>
            </w:r>
            <w:r>
              <w:rPr>
                <w:spacing w:val="-7"/>
                <w:sz w:val="20"/>
              </w:rPr>
              <w:t xml:space="preserve"> </w:t>
            </w:r>
            <w:r>
              <w:rPr>
                <w:sz w:val="20"/>
              </w:rPr>
              <w:t>felt</w:t>
            </w:r>
            <w:r>
              <w:rPr>
                <w:spacing w:val="-5"/>
                <w:sz w:val="20"/>
              </w:rPr>
              <w:t xml:space="preserve"> </w:t>
            </w:r>
            <w:r>
              <w:rPr>
                <w:spacing w:val="-2"/>
                <w:sz w:val="20"/>
              </w:rPr>
              <w:t>unsafe</w:t>
            </w:r>
          </w:p>
        </w:tc>
        <w:tc>
          <w:tcPr>
            <w:tcW w:w="1350" w:type="dxa"/>
            <w:shd w:val="clear" w:color="auto" w:fill="E2C5D2"/>
          </w:tcPr>
          <w:p w:rsidR="00C76E6D" w:rsidRDefault="00913831">
            <w:pPr>
              <w:pStyle w:val="TableParagraph"/>
              <w:spacing w:before="113"/>
              <w:ind w:left="485" w:right="454"/>
              <w:jc w:val="center"/>
              <w:rPr>
                <w:sz w:val="20"/>
              </w:rPr>
            </w:pPr>
            <w:r>
              <w:rPr>
                <w:spacing w:val="-4"/>
                <w:sz w:val="20"/>
              </w:rPr>
              <w:t>14.7</w:t>
            </w:r>
          </w:p>
        </w:tc>
        <w:tc>
          <w:tcPr>
            <w:tcW w:w="3330" w:type="dxa"/>
            <w:shd w:val="clear" w:color="auto" w:fill="E2C5D2"/>
          </w:tcPr>
          <w:p w:rsidR="00C76E6D" w:rsidRDefault="00913831">
            <w:pPr>
              <w:pStyle w:val="TableParagraph"/>
              <w:spacing w:before="113"/>
              <w:ind w:left="1483" w:right="1452"/>
              <w:jc w:val="center"/>
              <w:rPr>
                <w:sz w:val="20"/>
              </w:rPr>
            </w:pPr>
            <w:r>
              <w:rPr>
                <w:spacing w:val="-4"/>
                <w:sz w:val="20"/>
              </w:rPr>
              <w:t>14.1</w:t>
            </w:r>
          </w:p>
        </w:tc>
      </w:tr>
      <w:tr w:rsidR="00C76E6D">
        <w:trPr>
          <w:trHeight w:val="419"/>
        </w:trPr>
        <w:tc>
          <w:tcPr>
            <w:tcW w:w="4672" w:type="dxa"/>
            <w:shd w:val="clear" w:color="auto" w:fill="E2C5D2"/>
          </w:tcPr>
          <w:p w:rsidR="00C76E6D" w:rsidRDefault="00913831">
            <w:pPr>
              <w:pStyle w:val="TableParagraph"/>
              <w:spacing w:before="59"/>
              <w:ind w:left="65"/>
              <w:rPr>
                <w:sz w:val="20"/>
              </w:rPr>
            </w:pPr>
            <w:r>
              <w:rPr>
                <w:sz w:val="20"/>
              </w:rPr>
              <w:t>Been</w:t>
            </w:r>
            <w:r>
              <w:rPr>
                <w:spacing w:val="-6"/>
                <w:sz w:val="20"/>
              </w:rPr>
              <w:t xml:space="preserve"> </w:t>
            </w:r>
            <w:r>
              <w:rPr>
                <w:sz w:val="20"/>
              </w:rPr>
              <w:t>in</w:t>
            </w:r>
            <w:r>
              <w:rPr>
                <w:spacing w:val="-5"/>
                <w:sz w:val="20"/>
              </w:rPr>
              <w:t xml:space="preserve"> </w:t>
            </w:r>
            <w:r>
              <w:rPr>
                <w:sz w:val="20"/>
              </w:rPr>
              <w:t>a</w:t>
            </w:r>
            <w:r>
              <w:rPr>
                <w:spacing w:val="-5"/>
                <w:sz w:val="20"/>
              </w:rPr>
              <w:t xml:space="preserve"> </w:t>
            </w:r>
            <w:r>
              <w:rPr>
                <w:sz w:val="20"/>
              </w:rPr>
              <w:t>physical</w:t>
            </w:r>
            <w:r>
              <w:rPr>
                <w:spacing w:val="-4"/>
                <w:sz w:val="20"/>
              </w:rPr>
              <w:t xml:space="preserve"> </w:t>
            </w:r>
            <w:r>
              <w:rPr>
                <w:sz w:val="20"/>
              </w:rPr>
              <w:t>fight</w:t>
            </w:r>
            <w:r>
              <w:rPr>
                <w:spacing w:val="-4"/>
                <w:sz w:val="20"/>
              </w:rPr>
              <w:t xml:space="preserve"> </w:t>
            </w:r>
            <w:r>
              <w:rPr>
                <w:sz w:val="20"/>
              </w:rPr>
              <w:t>at</w:t>
            </w:r>
            <w:r>
              <w:rPr>
                <w:spacing w:val="-6"/>
                <w:sz w:val="20"/>
              </w:rPr>
              <w:t xml:space="preserve"> </w:t>
            </w:r>
            <w:r>
              <w:rPr>
                <w:sz w:val="20"/>
              </w:rPr>
              <w:t>school</w:t>
            </w:r>
            <w:r>
              <w:rPr>
                <w:spacing w:val="-3"/>
                <w:sz w:val="20"/>
              </w:rPr>
              <w:t xml:space="preserve"> </w:t>
            </w:r>
            <w:r>
              <w:rPr>
                <w:sz w:val="20"/>
              </w:rPr>
              <w:t>in</w:t>
            </w:r>
            <w:r>
              <w:rPr>
                <w:spacing w:val="-4"/>
                <w:sz w:val="20"/>
              </w:rPr>
              <w:t xml:space="preserve"> </w:t>
            </w:r>
            <w:r>
              <w:rPr>
                <w:sz w:val="20"/>
              </w:rPr>
              <w:t>the</w:t>
            </w:r>
            <w:r>
              <w:rPr>
                <w:spacing w:val="-5"/>
                <w:sz w:val="20"/>
              </w:rPr>
              <w:t xml:space="preserve"> </w:t>
            </w:r>
            <w:r>
              <w:rPr>
                <w:sz w:val="20"/>
              </w:rPr>
              <w:t>past</w:t>
            </w:r>
            <w:r>
              <w:rPr>
                <w:spacing w:val="-4"/>
                <w:sz w:val="20"/>
              </w:rPr>
              <w:t xml:space="preserve"> year</w:t>
            </w:r>
          </w:p>
        </w:tc>
        <w:tc>
          <w:tcPr>
            <w:tcW w:w="1350" w:type="dxa"/>
            <w:shd w:val="clear" w:color="auto" w:fill="E2C5D2"/>
          </w:tcPr>
          <w:p w:rsidR="00C76E6D" w:rsidRDefault="00913831">
            <w:pPr>
              <w:pStyle w:val="TableParagraph"/>
              <w:spacing w:before="68"/>
              <w:ind w:left="485" w:right="454"/>
              <w:jc w:val="center"/>
              <w:rPr>
                <w:sz w:val="20"/>
              </w:rPr>
            </w:pPr>
            <w:r>
              <w:rPr>
                <w:spacing w:val="-4"/>
                <w:sz w:val="20"/>
              </w:rPr>
              <w:t>10.4</w:t>
            </w:r>
          </w:p>
        </w:tc>
        <w:tc>
          <w:tcPr>
            <w:tcW w:w="3330" w:type="dxa"/>
            <w:shd w:val="clear" w:color="auto" w:fill="E2C5D2"/>
          </w:tcPr>
          <w:p w:rsidR="00C76E6D" w:rsidRDefault="00913831">
            <w:pPr>
              <w:pStyle w:val="TableParagraph"/>
              <w:spacing w:before="68"/>
              <w:ind w:left="1483" w:right="1452"/>
              <w:jc w:val="center"/>
              <w:rPr>
                <w:sz w:val="20"/>
              </w:rPr>
            </w:pPr>
            <w:r>
              <w:rPr>
                <w:spacing w:val="-5"/>
                <w:sz w:val="20"/>
              </w:rPr>
              <w:t>8.6</w:t>
            </w:r>
          </w:p>
        </w:tc>
      </w:tr>
      <w:tr w:rsidR="00C76E6D">
        <w:trPr>
          <w:trHeight w:val="419"/>
        </w:trPr>
        <w:tc>
          <w:tcPr>
            <w:tcW w:w="4672" w:type="dxa"/>
            <w:shd w:val="clear" w:color="auto" w:fill="E2C5D2"/>
          </w:tcPr>
          <w:p w:rsidR="00C76E6D" w:rsidRDefault="00913831">
            <w:pPr>
              <w:pStyle w:val="TableParagraph"/>
              <w:spacing w:before="59"/>
              <w:ind w:left="65"/>
              <w:rPr>
                <w:sz w:val="20"/>
              </w:rPr>
            </w:pPr>
            <w:r>
              <w:rPr>
                <w:sz w:val="20"/>
              </w:rPr>
              <w:t>Threatened</w:t>
            </w:r>
            <w:r>
              <w:rPr>
                <w:spacing w:val="-6"/>
                <w:sz w:val="20"/>
              </w:rPr>
              <w:t xml:space="preserve"> </w:t>
            </w:r>
            <w:r>
              <w:rPr>
                <w:sz w:val="20"/>
              </w:rPr>
              <w:t>or</w:t>
            </w:r>
            <w:r>
              <w:rPr>
                <w:spacing w:val="-8"/>
                <w:sz w:val="20"/>
              </w:rPr>
              <w:t xml:space="preserve"> </w:t>
            </w:r>
            <w:r>
              <w:rPr>
                <w:sz w:val="20"/>
              </w:rPr>
              <w:t>injured</w:t>
            </w:r>
            <w:r>
              <w:rPr>
                <w:spacing w:val="-4"/>
                <w:sz w:val="20"/>
              </w:rPr>
              <w:t xml:space="preserve"> </w:t>
            </w:r>
            <w:r>
              <w:rPr>
                <w:sz w:val="20"/>
              </w:rPr>
              <w:t>with</w:t>
            </w:r>
            <w:r>
              <w:rPr>
                <w:spacing w:val="-6"/>
                <w:sz w:val="20"/>
              </w:rPr>
              <w:t xml:space="preserve"> </w:t>
            </w:r>
            <w:r>
              <w:rPr>
                <w:sz w:val="20"/>
              </w:rPr>
              <w:t>a</w:t>
            </w:r>
            <w:r>
              <w:rPr>
                <w:spacing w:val="-8"/>
                <w:sz w:val="20"/>
              </w:rPr>
              <w:t xml:space="preserve"> </w:t>
            </w:r>
            <w:r>
              <w:rPr>
                <w:sz w:val="20"/>
              </w:rPr>
              <w:t>weapon</w:t>
            </w:r>
            <w:r>
              <w:rPr>
                <w:spacing w:val="-7"/>
                <w:sz w:val="20"/>
              </w:rPr>
              <w:t xml:space="preserve"> </w:t>
            </w:r>
            <w:r>
              <w:rPr>
                <w:sz w:val="20"/>
              </w:rPr>
              <w:t>at</w:t>
            </w:r>
            <w:r>
              <w:rPr>
                <w:spacing w:val="-4"/>
                <w:sz w:val="20"/>
              </w:rPr>
              <w:t xml:space="preserve"> </w:t>
            </w:r>
            <w:r>
              <w:rPr>
                <w:spacing w:val="-2"/>
                <w:sz w:val="20"/>
              </w:rPr>
              <w:t>school</w:t>
            </w:r>
          </w:p>
        </w:tc>
        <w:tc>
          <w:tcPr>
            <w:tcW w:w="1350" w:type="dxa"/>
            <w:shd w:val="clear" w:color="auto" w:fill="E2C5D2"/>
          </w:tcPr>
          <w:p w:rsidR="00C76E6D" w:rsidRDefault="00913831">
            <w:pPr>
              <w:pStyle w:val="TableParagraph"/>
              <w:spacing w:before="68"/>
              <w:ind w:left="485" w:right="454"/>
              <w:jc w:val="center"/>
              <w:rPr>
                <w:sz w:val="20"/>
              </w:rPr>
            </w:pPr>
            <w:r>
              <w:rPr>
                <w:spacing w:val="-4"/>
                <w:sz w:val="20"/>
              </w:rPr>
              <w:t>10.7</w:t>
            </w:r>
          </w:p>
        </w:tc>
        <w:tc>
          <w:tcPr>
            <w:tcW w:w="3330" w:type="dxa"/>
            <w:shd w:val="clear" w:color="auto" w:fill="E2C5D2"/>
          </w:tcPr>
          <w:p w:rsidR="00C76E6D" w:rsidRDefault="00913831">
            <w:pPr>
              <w:pStyle w:val="TableParagraph"/>
              <w:spacing w:before="68"/>
              <w:ind w:left="1483" w:right="1452"/>
              <w:jc w:val="center"/>
              <w:rPr>
                <w:sz w:val="20"/>
              </w:rPr>
            </w:pPr>
            <w:r>
              <w:rPr>
                <w:spacing w:val="-4"/>
                <w:sz w:val="20"/>
              </w:rPr>
              <w:t>12.2</w:t>
            </w:r>
          </w:p>
        </w:tc>
      </w:tr>
      <w:tr w:rsidR="00C76E6D">
        <w:trPr>
          <w:trHeight w:val="509"/>
        </w:trPr>
        <w:tc>
          <w:tcPr>
            <w:tcW w:w="4672" w:type="dxa"/>
            <w:shd w:val="clear" w:color="auto" w:fill="E2C5D2"/>
          </w:tcPr>
          <w:p w:rsidR="00C76E6D" w:rsidRDefault="00913831">
            <w:pPr>
              <w:pStyle w:val="TableParagraph"/>
              <w:spacing w:before="59"/>
              <w:ind w:left="65"/>
              <w:rPr>
                <w:sz w:val="20"/>
              </w:rPr>
            </w:pPr>
            <w:r>
              <w:rPr>
                <w:sz w:val="20"/>
              </w:rPr>
              <w:t>Bullied</w:t>
            </w:r>
            <w:r>
              <w:rPr>
                <w:spacing w:val="-7"/>
                <w:sz w:val="20"/>
              </w:rPr>
              <w:t xml:space="preserve"> </w:t>
            </w:r>
            <w:r>
              <w:rPr>
                <w:sz w:val="20"/>
              </w:rPr>
              <w:t>electronically</w:t>
            </w:r>
            <w:r>
              <w:rPr>
                <w:spacing w:val="-7"/>
                <w:sz w:val="20"/>
              </w:rPr>
              <w:t xml:space="preserve"> </w:t>
            </w:r>
            <w:r>
              <w:rPr>
                <w:sz w:val="20"/>
              </w:rPr>
              <w:t>in</w:t>
            </w:r>
            <w:r>
              <w:rPr>
                <w:spacing w:val="-7"/>
                <w:sz w:val="20"/>
              </w:rPr>
              <w:t xml:space="preserve"> </w:t>
            </w:r>
            <w:r>
              <w:rPr>
                <w:sz w:val="20"/>
              </w:rPr>
              <w:t>the</w:t>
            </w:r>
            <w:r>
              <w:rPr>
                <w:spacing w:val="-9"/>
                <w:sz w:val="20"/>
              </w:rPr>
              <w:t xml:space="preserve"> </w:t>
            </w:r>
            <w:r>
              <w:rPr>
                <w:sz w:val="20"/>
              </w:rPr>
              <w:t>past</w:t>
            </w:r>
            <w:r>
              <w:rPr>
                <w:spacing w:val="-6"/>
                <w:sz w:val="20"/>
              </w:rPr>
              <w:t xml:space="preserve"> </w:t>
            </w:r>
            <w:r>
              <w:rPr>
                <w:spacing w:val="-4"/>
                <w:sz w:val="20"/>
              </w:rPr>
              <w:t>year</w:t>
            </w:r>
          </w:p>
        </w:tc>
        <w:tc>
          <w:tcPr>
            <w:tcW w:w="1350" w:type="dxa"/>
            <w:shd w:val="clear" w:color="auto" w:fill="E2C5D2"/>
          </w:tcPr>
          <w:p w:rsidR="00C76E6D" w:rsidRDefault="00913831">
            <w:pPr>
              <w:pStyle w:val="TableParagraph"/>
              <w:spacing w:before="113"/>
              <w:ind w:left="485" w:right="454"/>
              <w:jc w:val="center"/>
              <w:rPr>
                <w:sz w:val="20"/>
              </w:rPr>
            </w:pPr>
            <w:r>
              <w:rPr>
                <w:spacing w:val="-4"/>
                <w:sz w:val="20"/>
              </w:rPr>
              <w:t>23.3</w:t>
            </w:r>
          </w:p>
        </w:tc>
        <w:tc>
          <w:tcPr>
            <w:tcW w:w="3330" w:type="dxa"/>
            <w:shd w:val="clear" w:color="auto" w:fill="E2C5D2"/>
          </w:tcPr>
          <w:p w:rsidR="00C76E6D" w:rsidRDefault="00913831">
            <w:pPr>
              <w:pStyle w:val="TableParagraph"/>
              <w:spacing w:before="113"/>
              <w:ind w:left="1483" w:right="1452"/>
              <w:jc w:val="center"/>
              <w:rPr>
                <w:sz w:val="20"/>
              </w:rPr>
            </w:pPr>
            <w:r>
              <w:rPr>
                <w:spacing w:val="-4"/>
                <w:sz w:val="20"/>
              </w:rPr>
              <w:t>24.5</w:t>
            </w:r>
          </w:p>
        </w:tc>
      </w:tr>
      <w:tr w:rsidR="00C76E6D">
        <w:trPr>
          <w:trHeight w:val="509"/>
        </w:trPr>
        <w:tc>
          <w:tcPr>
            <w:tcW w:w="4672" w:type="dxa"/>
            <w:shd w:val="clear" w:color="auto" w:fill="E2C5D2"/>
          </w:tcPr>
          <w:p w:rsidR="00C76E6D" w:rsidRDefault="00913831">
            <w:pPr>
              <w:pStyle w:val="TableParagraph"/>
              <w:spacing w:before="59"/>
              <w:ind w:left="65"/>
              <w:rPr>
                <w:sz w:val="20"/>
              </w:rPr>
            </w:pPr>
            <w:r>
              <w:rPr>
                <w:sz w:val="20"/>
              </w:rPr>
              <w:t>Seriously</w:t>
            </w:r>
            <w:r>
              <w:rPr>
                <w:spacing w:val="-10"/>
                <w:sz w:val="20"/>
              </w:rPr>
              <w:t xml:space="preserve"> </w:t>
            </w:r>
            <w:r>
              <w:rPr>
                <w:sz w:val="20"/>
              </w:rPr>
              <w:t>considered</w:t>
            </w:r>
            <w:r>
              <w:rPr>
                <w:spacing w:val="-6"/>
                <w:sz w:val="20"/>
              </w:rPr>
              <w:t xml:space="preserve"> </w:t>
            </w:r>
            <w:r>
              <w:rPr>
                <w:sz w:val="20"/>
              </w:rPr>
              <w:t>suicide</w:t>
            </w:r>
            <w:r>
              <w:rPr>
                <w:spacing w:val="-6"/>
                <w:sz w:val="20"/>
              </w:rPr>
              <w:t xml:space="preserve"> </w:t>
            </w:r>
            <w:r>
              <w:rPr>
                <w:sz w:val="20"/>
              </w:rPr>
              <w:t>in</w:t>
            </w:r>
            <w:r>
              <w:rPr>
                <w:spacing w:val="-6"/>
                <w:sz w:val="20"/>
              </w:rPr>
              <w:t xml:space="preserve"> </w:t>
            </w:r>
            <w:r>
              <w:rPr>
                <w:sz w:val="20"/>
              </w:rPr>
              <w:t>the</w:t>
            </w:r>
            <w:r>
              <w:rPr>
                <w:spacing w:val="-8"/>
                <w:sz w:val="20"/>
              </w:rPr>
              <w:t xml:space="preserve"> </w:t>
            </w:r>
            <w:r>
              <w:rPr>
                <w:sz w:val="20"/>
              </w:rPr>
              <w:t>past</w:t>
            </w:r>
            <w:r>
              <w:rPr>
                <w:spacing w:val="-9"/>
                <w:sz w:val="20"/>
              </w:rPr>
              <w:t xml:space="preserve"> </w:t>
            </w:r>
            <w:r>
              <w:rPr>
                <w:spacing w:val="-4"/>
                <w:sz w:val="20"/>
              </w:rPr>
              <w:t>year</w:t>
            </w:r>
          </w:p>
        </w:tc>
        <w:tc>
          <w:tcPr>
            <w:tcW w:w="1350" w:type="dxa"/>
            <w:shd w:val="clear" w:color="auto" w:fill="E2C5D2"/>
          </w:tcPr>
          <w:p w:rsidR="00C76E6D" w:rsidRDefault="00913831">
            <w:pPr>
              <w:pStyle w:val="TableParagraph"/>
              <w:spacing w:before="114"/>
              <w:ind w:left="485" w:right="454"/>
              <w:jc w:val="center"/>
              <w:rPr>
                <w:sz w:val="20"/>
              </w:rPr>
            </w:pPr>
            <w:r>
              <w:rPr>
                <w:spacing w:val="-4"/>
                <w:sz w:val="20"/>
              </w:rPr>
              <w:t>39.3</w:t>
            </w:r>
          </w:p>
        </w:tc>
        <w:tc>
          <w:tcPr>
            <w:tcW w:w="3330" w:type="dxa"/>
            <w:shd w:val="clear" w:color="auto" w:fill="E2C5D2"/>
          </w:tcPr>
          <w:p w:rsidR="00C76E6D" w:rsidRDefault="00913831">
            <w:pPr>
              <w:pStyle w:val="TableParagraph"/>
              <w:spacing w:before="114"/>
              <w:ind w:left="1483" w:right="1452"/>
              <w:jc w:val="center"/>
              <w:rPr>
                <w:sz w:val="20"/>
              </w:rPr>
            </w:pPr>
            <w:r>
              <w:rPr>
                <w:spacing w:val="-4"/>
                <w:sz w:val="20"/>
              </w:rPr>
              <w:t>42.2</w:t>
            </w:r>
          </w:p>
        </w:tc>
      </w:tr>
      <w:tr w:rsidR="00C76E6D">
        <w:trPr>
          <w:trHeight w:val="419"/>
        </w:trPr>
        <w:tc>
          <w:tcPr>
            <w:tcW w:w="4672" w:type="dxa"/>
            <w:shd w:val="clear" w:color="auto" w:fill="E2C5D2"/>
          </w:tcPr>
          <w:p w:rsidR="00C76E6D" w:rsidRDefault="00913831">
            <w:pPr>
              <w:pStyle w:val="TableParagraph"/>
              <w:spacing w:before="59"/>
              <w:ind w:left="65"/>
              <w:rPr>
                <w:sz w:val="20"/>
              </w:rPr>
            </w:pPr>
            <w:r>
              <w:rPr>
                <w:sz w:val="20"/>
              </w:rPr>
              <w:t>Made</w:t>
            </w:r>
            <w:r>
              <w:rPr>
                <w:spacing w:val="-7"/>
                <w:sz w:val="20"/>
              </w:rPr>
              <w:t xml:space="preserve"> </w:t>
            </w:r>
            <w:r>
              <w:rPr>
                <w:sz w:val="20"/>
              </w:rPr>
              <w:t>a</w:t>
            </w:r>
            <w:r>
              <w:rPr>
                <w:spacing w:val="-3"/>
                <w:sz w:val="20"/>
              </w:rPr>
              <w:t xml:space="preserve"> </w:t>
            </w:r>
            <w:r>
              <w:rPr>
                <w:sz w:val="20"/>
              </w:rPr>
              <w:t>suicide</w:t>
            </w:r>
            <w:r>
              <w:rPr>
                <w:spacing w:val="-6"/>
                <w:sz w:val="20"/>
              </w:rPr>
              <w:t xml:space="preserve"> </w:t>
            </w:r>
            <w:r>
              <w:rPr>
                <w:sz w:val="20"/>
              </w:rPr>
              <w:t>attempt</w:t>
            </w:r>
            <w:r>
              <w:rPr>
                <w:spacing w:val="-4"/>
                <w:sz w:val="20"/>
              </w:rPr>
              <w:t xml:space="preserve"> </w:t>
            </w:r>
            <w:r>
              <w:rPr>
                <w:sz w:val="20"/>
              </w:rPr>
              <w:t>in</w:t>
            </w:r>
            <w:r>
              <w:rPr>
                <w:spacing w:val="-3"/>
                <w:sz w:val="20"/>
              </w:rPr>
              <w:t xml:space="preserve"> </w:t>
            </w:r>
            <w:r>
              <w:rPr>
                <w:sz w:val="20"/>
              </w:rPr>
              <w:t>the</w:t>
            </w:r>
            <w:r>
              <w:rPr>
                <w:spacing w:val="-6"/>
                <w:sz w:val="20"/>
              </w:rPr>
              <w:t xml:space="preserve"> </w:t>
            </w:r>
            <w:r>
              <w:rPr>
                <w:sz w:val="20"/>
              </w:rPr>
              <w:t>past</w:t>
            </w:r>
            <w:r>
              <w:rPr>
                <w:spacing w:val="-4"/>
                <w:sz w:val="20"/>
              </w:rPr>
              <w:t xml:space="preserve"> year</w:t>
            </w:r>
          </w:p>
        </w:tc>
        <w:tc>
          <w:tcPr>
            <w:tcW w:w="1350" w:type="dxa"/>
            <w:shd w:val="clear" w:color="auto" w:fill="E2C5D2"/>
          </w:tcPr>
          <w:p w:rsidR="00C76E6D" w:rsidRDefault="00913831">
            <w:pPr>
              <w:pStyle w:val="TableParagraph"/>
              <w:spacing w:before="68"/>
              <w:ind w:left="485" w:right="454"/>
              <w:jc w:val="center"/>
              <w:rPr>
                <w:sz w:val="20"/>
              </w:rPr>
            </w:pPr>
            <w:r>
              <w:rPr>
                <w:spacing w:val="-4"/>
                <w:sz w:val="20"/>
              </w:rPr>
              <w:t>18.9</w:t>
            </w:r>
          </w:p>
        </w:tc>
        <w:tc>
          <w:tcPr>
            <w:tcW w:w="3330" w:type="dxa"/>
            <w:shd w:val="clear" w:color="auto" w:fill="E2C5D2"/>
          </w:tcPr>
          <w:p w:rsidR="00C76E6D" w:rsidRDefault="00913831">
            <w:pPr>
              <w:pStyle w:val="TableParagraph"/>
              <w:spacing w:before="68"/>
              <w:ind w:left="1483" w:right="1452"/>
              <w:jc w:val="center"/>
              <w:rPr>
                <w:sz w:val="20"/>
              </w:rPr>
            </w:pPr>
            <w:r>
              <w:rPr>
                <w:spacing w:val="-4"/>
                <w:sz w:val="20"/>
              </w:rPr>
              <w:t>21.5</w:t>
            </w:r>
          </w:p>
        </w:tc>
      </w:tr>
      <w:tr w:rsidR="00C76E6D">
        <w:trPr>
          <w:trHeight w:val="509"/>
        </w:trPr>
        <w:tc>
          <w:tcPr>
            <w:tcW w:w="4672" w:type="dxa"/>
            <w:shd w:val="clear" w:color="auto" w:fill="E2C5D2"/>
          </w:tcPr>
          <w:p w:rsidR="00C76E6D" w:rsidRDefault="00913831">
            <w:pPr>
              <w:pStyle w:val="TableParagraph"/>
              <w:spacing w:before="60"/>
              <w:ind w:left="65"/>
              <w:rPr>
                <w:sz w:val="20"/>
              </w:rPr>
            </w:pPr>
            <w:r>
              <w:rPr>
                <w:sz w:val="20"/>
              </w:rPr>
              <w:t>Any</w:t>
            </w:r>
            <w:r>
              <w:rPr>
                <w:spacing w:val="-7"/>
                <w:sz w:val="20"/>
              </w:rPr>
              <w:t xml:space="preserve"> </w:t>
            </w:r>
            <w:r>
              <w:rPr>
                <w:sz w:val="20"/>
              </w:rPr>
              <w:t>lifetime</w:t>
            </w:r>
            <w:r>
              <w:rPr>
                <w:spacing w:val="-9"/>
                <w:sz w:val="20"/>
              </w:rPr>
              <w:t xml:space="preserve"> </w:t>
            </w:r>
            <w:r>
              <w:rPr>
                <w:sz w:val="20"/>
              </w:rPr>
              <w:t>heroin</w:t>
            </w:r>
            <w:r>
              <w:rPr>
                <w:spacing w:val="-6"/>
                <w:sz w:val="20"/>
              </w:rPr>
              <w:t xml:space="preserve"> </w:t>
            </w:r>
            <w:r>
              <w:rPr>
                <w:spacing w:val="-5"/>
                <w:sz w:val="20"/>
              </w:rPr>
              <w:t>use</w:t>
            </w:r>
          </w:p>
        </w:tc>
        <w:tc>
          <w:tcPr>
            <w:tcW w:w="1350" w:type="dxa"/>
            <w:shd w:val="clear" w:color="auto" w:fill="E2C5D2"/>
          </w:tcPr>
          <w:p w:rsidR="00C76E6D" w:rsidRDefault="00913831">
            <w:pPr>
              <w:pStyle w:val="TableParagraph"/>
              <w:spacing w:before="114"/>
              <w:ind w:left="485" w:right="454"/>
              <w:jc w:val="center"/>
              <w:rPr>
                <w:sz w:val="20"/>
              </w:rPr>
            </w:pPr>
            <w:r>
              <w:rPr>
                <w:spacing w:val="-5"/>
                <w:sz w:val="20"/>
              </w:rPr>
              <w:t>4.0</w:t>
            </w:r>
          </w:p>
        </w:tc>
        <w:tc>
          <w:tcPr>
            <w:tcW w:w="3330" w:type="dxa"/>
            <w:shd w:val="clear" w:color="auto" w:fill="E2C5D2"/>
          </w:tcPr>
          <w:p w:rsidR="00C76E6D" w:rsidRDefault="00913831">
            <w:pPr>
              <w:pStyle w:val="TableParagraph"/>
              <w:spacing w:before="114"/>
              <w:ind w:left="1483" w:right="1452"/>
              <w:jc w:val="center"/>
              <w:rPr>
                <w:sz w:val="20"/>
              </w:rPr>
            </w:pPr>
            <w:r>
              <w:rPr>
                <w:spacing w:val="-5"/>
                <w:sz w:val="20"/>
              </w:rPr>
              <w:t>4.5</w:t>
            </w:r>
          </w:p>
        </w:tc>
      </w:tr>
      <w:tr w:rsidR="00C76E6D">
        <w:trPr>
          <w:trHeight w:val="510"/>
        </w:trPr>
        <w:tc>
          <w:tcPr>
            <w:tcW w:w="4672" w:type="dxa"/>
            <w:shd w:val="clear" w:color="auto" w:fill="E2C5D2"/>
          </w:tcPr>
          <w:p w:rsidR="00C76E6D" w:rsidRDefault="00913831">
            <w:pPr>
              <w:pStyle w:val="TableParagraph"/>
              <w:spacing w:before="60"/>
              <w:ind w:left="65"/>
              <w:rPr>
                <w:sz w:val="20"/>
              </w:rPr>
            </w:pPr>
            <w:r>
              <w:rPr>
                <w:sz w:val="20"/>
              </w:rPr>
              <w:t>Had</w:t>
            </w:r>
            <w:r>
              <w:rPr>
                <w:spacing w:val="-9"/>
                <w:sz w:val="20"/>
              </w:rPr>
              <w:t xml:space="preserve"> </w:t>
            </w:r>
            <w:r>
              <w:rPr>
                <w:sz w:val="20"/>
              </w:rPr>
              <w:t>experienced</w:t>
            </w:r>
            <w:r>
              <w:rPr>
                <w:spacing w:val="-7"/>
                <w:sz w:val="20"/>
              </w:rPr>
              <w:t xml:space="preserve"> </w:t>
            </w:r>
            <w:r>
              <w:rPr>
                <w:sz w:val="20"/>
              </w:rPr>
              <w:t>sexual</w:t>
            </w:r>
            <w:r>
              <w:rPr>
                <w:spacing w:val="-10"/>
                <w:sz w:val="20"/>
              </w:rPr>
              <w:t xml:space="preserve"> </w:t>
            </w:r>
            <w:r>
              <w:rPr>
                <w:sz w:val="20"/>
              </w:rPr>
              <w:t>contact</w:t>
            </w:r>
            <w:r>
              <w:rPr>
                <w:spacing w:val="-9"/>
                <w:sz w:val="20"/>
              </w:rPr>
              <w:t xml:space="preserve"> </w:t>
            </w:r>
            <w:r>
              <w:rPr>
                <w:sz w:val="20"/>
              </w:rPr>
              <w:t>against</w:t>
            </w:r>
            <w:r>
              <w:rPr>
                <w:spacing w:val="-9"/>
                <w:sz w:val="20"/>
              </w:rPr>
              <w:t xml:space="preserve"> </w:t>
            </w:r>
            <w:r>
              <w:rPr>
                <w:sz w:val="20"/>
              </w:rPr>
              <w:t>their</w:t>
            </w:r>
            <w:r>
              <w:rPr>
                <w:spacing w:val="-8"/>
                <w:sz w:val="20"/>
              </w:rPr>
              <w:t xml:space="preserve"> </w:t>
            </w:r>
            <w:r>
              <w:rPr>
                <w:spacing w:val="-4"/>
                <w:sz w:val="20"/>
              </w:rPr>
              <w:t>will</w:t>
            </w:r>
          </w:p>
        </w:tc>
        <w:tc>
          <w:tcPr>
            <w:tcW w:w="1350" w:type="dxa"/>
            <w:shd w:val="clear" w:color="auto" w:fill="E2C5D2"/>
          </w:tcPr>
          <w:p w:rsidR="00C76E6D" w:rsidRDefault="00913831">
            <w:pPr>
              <w:pStyle w:val="TableParagraph"/>
              <w:spacing w:before="114"/>
              <w:ind w:left="485" w:right="454"/>
              <w:jc w:val="center"/>
              <w:rPr>
                <w:sz w:val="20"/>
              </w:rPr>
            </w:pPr>
            <w:r>
              <w:rPr>
                <w:spacing w:val="-4"/>
                <w:sz w:val="20"/>
              </w:rPr>
              <w:t>18.6</w:t>
            </w:r>
          </w:p>
        </w:tc>
        <w:tc>
          <w:tcPr>
            <w:tcW w:w="3330" w:type="dxa"/>
            <w:shd w:val="clear" w:color="auto" w:fill="E2C5D2"/>
          </w:tcPr>
          <w:p w:rsidR="00C76E6D" w:rsidRDefault="00913831">
            <w:pPr>
              <w:pStyle w:val="TableParagraph"/>
              <w:spacing w:before="114"/>
              <w:ind w:left="1483" w:right="1452"/>
              <w:jc w:val="center"/>
              <w:rPr>
                <w:sz w:val="20"/>
              </w:rPr>
            </w:pPr>
            <w:r>
              <w:rPr>
                <w:spacing w:val="-4"/>
                <w:sz w:val="20"/>
              </w:rPr>
              <w:t>17.6</w:t>
            </w:r>
          </w:p>
        </w:tc>
      </w:tr>
      <w:tr w:rsidR="00C76E6D">
        <w:trPr>
          <w:trHeight w:val="510"/>
        </w:trPr>
        <w:tc>
          <w:tcPr>
            <w:tcW w:w="4672" w:type="dxa"/>
            <w:shd w:val="clear" w:color="auto" w:fill="E2C5D2"/>
          </w:tcPr>
          <w:p w:rsidR="00C76E6D" w:rsidRDefault="00913831">
            <w:pPr>
              <w:pStyle w:val="TableParagraph"/>
              <w:spacing w:before="59"/>
              <w:ind w:left="65"/>
              <w:rPr>
                <w:sz w:val="20"/>
              </w:rPr>
            </w:pPr>
            <w:r>
              <w:rPr>
                <w:spacing w:val="-2"/>
                <w:sz w:val="20"/>
              </w:rPr>
              <w:t>Homeless</w:t>
            </w:r>
          </w:p>
        </w:tc>
        <w:tc>
          <w:tcPr>
            <w:tcW w:w="1350" w:type="dxa"/>
            <w:shd w:val="clear" w:color="auto" w:fill="E2C5D2"/>
          </w:tcPr>
          <w:p w:rsidR="00C76E6D" w:rsidRDefault="00913831">
            <w:pPr>
              <w:pStyle w:val="TableParagraph"/>
              <w:spacing w:before="113"/>
              <w:ind w:left="485" w:right="454"/>
              <w:jc w:val="center"/>
              <w:rPr>
                <w:sz w:val="20"/>
              </w:rPr>
            </w:pPr>
            <w:r>
              <w:rPr>
                <w:spacing w:val="-5"/>
                <w:sz w:val="20"/>
              </w:rPr>
              <w:t>6.7</w:t>
            </w:r>
          </w:p>
        </w:tc>
        <w:tc>
          <w:tcPr>
            <w:tcW w:w="3330" w:type="dxa"/>
            <w:shd w:val="clear" w:color="auto" w:fill="E2C5D2"/>
          </w:tcPr>
          <w:p w:rsidR="00C76E6D" w:rsidRDefault="00913831">
            <w:pPr>
              <w:pStyle w:val="TableParagraph"/>
              <w:spacing w:before="113"/>
              <w:ind w:left="1483" w:right="1452"/>
              <w:jc w:val="center"/>
              <w:rPr>
                <w:sz w:val="20"/>
              </w:rPr>
            </w:pPr>
            <w:r>
              <w:rPr>
                <w:spacing w:val="-4"/>
                <w:sz w:val="20"/>
              </w:rPr>
              <w:t>11.9</w:t>
            </w:r>
          </w:p>
        </w:tc>
      </w:tr>
    </w:tbl>
    <w:p w:rsidR="00C76E6D" w:rsidRDefault="00913831">
      <w:pPr>
        <w:spacing w:before="10"/>
        <w:ind w:left="480"/>
        <w:rPr>
          <w:sz w:val="18"/>
        </w:rPr>
      </w:pPr>
      <w:r>
        <w:rPr>
          <w:sz w:val="18"/>
        </w:rPr>
        <w:t>*</w:t>
      </w:r>
      <w:r>
        <w:rPr>
          <w:spacing w:val="-4"/>
          <w:sz w:val="18"/>
        </w:rPr>
        <w:t xml:space="preserve"> </w:t>
      </w:r>
      <w:r>
        <w:rPr>
          <w:sz w:val="18"/>
        </w:rPr>
        <w:t>The</w:t>
      </w:r>
      <w:r>
        <w:rPr>
          <w:spacing w:val="-3"/>
          <w:sz w:val="18"/>
        </w:rPr>
        <w:t xml:space="preserve"> </w:t>
      </w:r>
      <w:r>
        <w:rPr>
          <w:sz w:val="18"/>
        </w:rPr>
        <w:t>national</w:t>
      </w:r>
      <w:r>
        <w:rPr>
          <w:spacing w:val="-4"/>
          <w:sz w:val="18"/>
        </w:rPr>
        <w:t xml:space="preserve"> </w:t>
      </w:r>
      <w:r>
        <w:rPr>
          <w:sz w:val="18"/>
        </w:rPr>
        <w:t>YRBSS</w:t>
      </w:r>
      <w:r>
        <w:rPr>
          <w:spacing w:val="-4"/>
          <w:sz w:val="18"/>
        </w:rPr>
        <w:t xml:space="preserve"> </w:t>
      </w:r>
      <w:r>
        <w:rPr>
          <w:sz w:val="18"/>
        </w:rPr>
        <w:t>does</w:t>
      </w:r>
      <w:r>
        <w:rPr>
          <w:spacing w:val="-4"/>
          <w:sz w:val="18"/>
        </w:rPr>
        <w:t xml:space="preserve"> </w:t>
      </w:r>
      <w:r>
        <w:rPr>
          <w:sz w:val="18"/>
        </w:rPr>
        <w:t>not</w:t>
      </w:r>
      <w:r>
        <w:rPr>
          <w:spacing w:val="-4"/>
          <w:sz w:val="18"/>
        </w:rPr>
        <w:t xml:space="preserve"> </w:t>
      </w:r>
      <w:r>
        <w:rPr>
          <w:sz w:val="18"/>
        </w:rPr>
        <w:t>ask</w:t>
      </w:r>
      <w:r>
        <w:rPr>
          <w:spacing w:val="-5"/>
          <w:sz w:val="18"/>
        </w:rPr>
        <w:t xml:space="preserve"> </w:t>
      </w:r>
      <w:r>
        <w:rPr>
          <w:sz w:val="18"/>
        </w:rPr>
        <w:t>students</w:t>
      </w:r>
      <w:r>
        <w:rPr>
          <w:spacing w:val="-3"/>
          <w:sz w:val="18"/>
        </w:rPr>
        <w:t xml:space="preserve"> </w:t>
      </w:r>
      <w:r>
        <w:rPr>
          <w:sz w:val="18"/>
        </w:rPr>
        <w:t>about</w:t>
      </w:r>
      <w:r>
        <w:rPr>
          <w:spacing w:val="-5"/>
          <w:sz w:val="18"/>
        </w:rPr>
        <w:t xml:space="preserve"> </w:t>
      </w:r>
      <w:r>
        <w:rPr>
          <w:sz w:val="18"/>
        </w:rPr>
        <w:t>trans</w:t>
      </w:r>
      <w:r>
        <w:rPr>
          <w:spacing w:val="-2"/>
          <w:sz w:val="18"/>
        </w:rPr>
        <w:t xml:space="preserve"> identity.</w:t>
      </w:r>
    </w:p>
    <w:p w:rsidR="00C76E6D" w:rsidRDefault="00C76E6D">
      <w:pPr>
        <w:rPr>
          <w:sz w:val="18"/>
        </w:rPr>
        <w:sectPr w:rsidR="00C76E6D">
          <w:pgSz w:w="12240" w:h="15840"/>
          <w:pgMar w:top="960" w:right="960" w:bottom="860" w:left="960" w:header="760" w:footer="679" w:gutter="0"/>
          <w:cols w:space="720"/>
        </w:sectPr>
      </w:pPr>
    </w:p>
    <w:p w:rsidR="00C76E6D" w:rsidRDefault="00C76E6D">
      <w:pPr>
        <w:pStyle w:val="BodyText"/>
        <w:rPr>
          <w:sz w:val="20"/>
        </w:rPr>
      </w:pPr>
    </w:p>
    <w:p w:rsidR="00C76E6D" w:rsidRDefault="00C76E6D">
      <w:pPr>
        <w:pStyle w:val="BodyText"/>
        <w:spacing w:before="9"/>
        <w:rPr>
          <w:sz w:val="17"/>
        </w:rPr>
      </w:pPr>
    </w:p>
    <w:tbl>
      <w:tblPr>
        <w:tblW w:w="0" w:type="auto"/>
        <w:tblInd w:w="4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02"/>
        <w:gridCol w:w="1170"/>
        <w:gridCol w:w="1170"/>
        <w:gridCol w:w="1350"/>
        <w:gridCol w:w="1260"/>
      </w:tblGrid>
      <w:tr w:rsidR="00C76E6D">
        <w:trPr>
          <w:trHeight w:val="679"/>
        </w:trPr>
        <w:tc>
          <w:tcPr>
            <w:tcW w:w="9352" w:type="dxa"/>
            <w:gridSpan w:val="5"/>
            <w:shd w:val="clear" w:color="auto" w:fill="D1E6C6"/>
          </w:tcPr>
          <w:p w:rsidR="00C76E6D" w:rsidRDefault="00913831">
            <w:pPr>
              <w:pStyle w:val="TableParagraph"/>
              <w:spacing w:before="59" w:line="276" w:lineRule="auto"/>
              <w:ind w:left="65" w:right="47"/>
              <w:rPr>
                <w:b/>
                <w:sz w:val="20"/>
              </w:rPr>
            </w:pPr>
            <w:r>
              <w:rPr>
                <w:b/>
                <w:sz w:val="20"/>
              </w:rPr>
              <w:t>Table</w:t>
            </w:r>
            <w:r>
              <w:rPr>
                <w:b/>
                <w:spacing w:val="-13"/>
                <w:sz w:val="20"/>
              </w:rPr>
              <w:t xml:space="preserve"> </w:t>
            </w:r>
            <w:r>
              <w:rPr>
                <w:b/>
                <w:sz w:val="20"/>
              </w:rPr>
              <w:t>3.</w:t>
            </w:r>
            <w:r>
              <w:rPr>
                <w:b/>
                <w:spacing w:val="-12"/>
                <w:sz w:val="20"/>
              </w:rPr>
              <w:t xml:space="preserve"> </w:t>
            </w:r>
            <w:r>
              <w:rPr>
                <w:b/>
                <w:sz w:val="20"/>
              </w:rPr>
              <w:t>Percent</w:t>
            </w:r>
            <w:r>
              <w:rPr>
                <w:b/>
                <w:spacing w:val="-12"/>
                <w:sz w:val="20"/>
              </w:rPr>
              <w:t xml:space="preserve"> </w:t>
            </w:r>
            <w:r>
              <w:rPr>
                <w:b/>
                <w:sz w:val="20"/>
              </w:rPr>
              <w:t>of</w:t>
            </w:r>
            <w:r>
              <w:rPr>
                <w:b/>
                <w:spacing w:val="-13"/>
                <w:sz w:val="20"/>
              </w:rPr>
              <w:t xml:space="preserve"> </w:t>
            </w:r>
            <w:r>
              <w:rPr>
                <w:b/>
                <w:sz w:val="20"/>
              </w:rPr>
              <w:t>Massachusetts</w:t>
            </w:r>
            <w:r>
              <w:rPr>
                <w:b/>
                <w:spacing w:val="-13"/>
                <w:sz w:val="20"/>
              </w:rPr>
              <w:t xml:space="preserve"> </w:t>
            </w:r>
            <w:r>
              <w:rPr>
                <w:b/>
                <w:sz w:val="20"/>
              </w:rPr>
              <w:t>Students</w:t>
            </w:r>
            <w:r>
              <w:rPr>
                <w:b/>
                <w:spacing w:val="-12"/>
                <w:sz w:val="20"/>
              </w:rPr>
              <w:t xml:space="preserve"> </w:t>
            </w:r>
            <w:r>
              <w:rPr>
                <w:b/>
                <w:sz w:val="20"/>
              </w:rPr>
              <w:t>Who</w:t>
            </w:r>
            <w:r>
              <w:rPr>
                <w:b/>
                <w:spacing w:val="-12"/>
                <w:sz w:val="20"/>
              </w:rPr>
              <w:t xml:space="preserve"> </w:t>
            </w:r>
            <w:r>
              <w:rPr>
                <w:b/>
                <w:sz w:val="20"/>
              </w:rPr>
              <w:t>Reported</w:t>
            </w:r>
            <w:r>
              <w:rPr>
                <w:b/>
                <w:spacing w:val="-11"/>
                <w:sz w:val="20"/>
              </w:rPr>
              <w:t xml:space="preserve"> </w:t>
            </w:r>
            <w:r>
              <w:rPr>
                <w:b/>
                <w:sz w:val="20"/>
              </w:rPr>
              <w:t>Risk</w:t>
            </w:r>
            <w:r>
              <w:rPr>
                <w:b/>
                <w:spacing w:val="-13"/>
                <w:sz w:val="20"/>
              </w:rPr>
              <w:t xml:space="preserve"> </w:t>
            </w:r>
            <w:r>
              <w:rPr>
                <w:b/>
                <w:sz w:val="20"/>
              </w:rPr>
              <w:t>Behaviors</w:t>
            </w:r>
            <w:r>
              <w:rPr>
                <w:b/>
                <w:spacing w:val="-11"/>
                <w:sz w:val="20"/>
              </w:rPr>
              <w:t xml:space="preserve"> </w:t>
            </w:r>
            <w:r>
              <w:rPr>
                <w:b/>
                <w:sz w:val="20"/>
              </w:rPr>
              <w:t>and</w:t>
            </w:r>
            <w:r>
              <w:rPr>
                <w:b/>
                <w:spacing w:val="-12"/>
                <w:sz w:val="20"/>
              </w:rPr>
              <w:t xml:space="preserve"> </w:t>
            </w:r>
            <w:r>
              <w:rPr>
                <w:b/>
                <w:sz w:val="20"/>
              </w:rPr>
              <w:t>Experiences</w:t>
            </w:r>
            <w:r>
              <w:rPr>
                <w:b/>
                <w:spacing w:val="-13"/>
                <w:sz w:val="20"/>
              </w:rPr>
              <w:t xml:space="preserve"> </w:t>
            </w:r>
            <w:r>
              <w:rPr>
                <w:b/>
                <w:sz w:val="20"/>
              </w:rPr>
              <w:t>by</w:t>
            </w:r>
            <w:r>
              <w:rPr>
                <w:b/>
                <w:spacing w:val="-12"/>
                <w:sz w:val="20"/>
              </w:rPr>
              <w:t xml:space="preserve"> </w:t>
            </w:r>
            <w:r>
              <w:rPr>
                <w:b/>
                <w:sz w:val="20"/>
              </w:rPr>
              <w:t>Gender</w:t>
            </w:r>
            <w:r>
              <w:rPr>
                <w:b/>
                <w:spacing w:val="-12"/>
                <w:sz w:val="20"/>
              </w:rPr>
              <w:t xml:space="preserve"> </w:t>
            </w:r>
            <w:r>
              <w:rPr>
                <w:b/>
                <w:sz w:val="20"/>
              </w:rPr>
              <w:t>and</w:t>
            </w:r>
            <w:r>
              <w:rPr>
                <w:b/>
                <w:spacing w:val="-12"/>
                <w:sz w:val="20"/>
              </w:rPr>
              <w:t xml:space="preserve"> </w:t>
            </w:r>
            <w:r>
              <w:rPr>
                <w:b/>
                <w:sz w:val="20"/>
              </w:rPr>
              <w:t>LGBTQ Identity, 2017-2019</w:t>
            </w:r>
          </w:p>
        </w:tc>
      </w:tr>
      <w:tr w:rsidR="00C76E6D">
        <w:trPr>
          <w:trHeight w:val="459"/>
        </w:trPr>
        <w:tc>
          <w:tcPr>
            <w:tcW w:w="4402" w:type="dxa"/>
            <w:shd w:val="clear" w:color="auto" w:fill="D1E6C6"/>
          </w:tcPr>
          <w:p w:rsidR="00C76E6D" w:rsidRDefault="00C76E6D">
            <w:pPr>
              <w:pStyle w:val="TableParagraph"/>
              <w:rPr>
                <w:rFonts w:ascii="Times New Roman"/>
                <w:sz w:val="20"/>
              </w:rPr>
            </w:pPr>
          </w:p>
        </w:tc>
        <w:tc>
          <w:tcPr>
            <w:tcW w:w="2340" w:type="dxa"/>
            <w:gridSpan w:val="2"/>
            <w:shd w:val="clear" w:color="auto" w:fill="D1E6C6"/>
          </w:tcPr>
          <w:p w:rsidR="00C76E6D" w:rsidRDefault="00913831">
            <w:pPr>
              <w:pStyle w:val="TableParagraph"/>
              <w:spacing w:before="59"/>
              <w:ind w:left="65"/>
              <w:rPr>
                <w:b/>
                <w:sz w:val="20"/>
              </w:rPr>
            </w:pPr>
            <w:r>
              <w:rPr>
                <w:b/>
                <w:spacing w:val="-4"/>
                <w:sz w:val="20"/>
              </w:rPr>
              <w:t>LGBTQ</w:t>
            </w:r>
          </w:p>
        </w:tc>
        <w:tc>
          <w:tcPr>
            <w:tcW w:w="2610" w:type="dxa"/>
            <w:gridSpan w:val="2"/>
            <w:shd w:val="clear" w:color="auto" w:fill="D1E6C6"/>
          </w:tcPr>
          <w:p w:rsidR="00C76E6D" w:rsidRDefault="00913831">
            <w:pPr>
              <w:pStyle w:val="TableParagraph"/>
              <w:spacing w:before="59"/>
              <w:ind w:left="65"/>
              <w:rPr>
                <w:b/>
                <w:sz w:val="20"/>
              </w:rPr>
            </w:pPr>
            <w:r>
              <w:rPr>
                <w:b/>
                <w:spacing w:val="-4"/>
                <w:sz w:val="20"/>
              </w:rPr>
              <w:t>Non-</w:t>
            </w:r>
            <w:r>
              <w:rPr>
                <w:b/>
                <w:spacing w:val="-2"/>
                <w:sz w:val="20"/>
              </w:rPr>
              <w:t>LGBTQ</w:t>
            </w:r>
          </w:p>
        </w:tc>
      </w:tr>
      <w:tr w:rsidR="00C76E6D">
        <w:trPr>
          <w:trHeight w:val="682"/>
        </w:trPr>
        <w:tc>
          <w:tcPr>
            <w:tcW w:w="4402" w:type="dxa"/>
            <w:shd w:val="clear" w:color="auto" w:fill="D1E6C6"/>
          </w:tcPr>
          <w:p w:rsidR="00C76E6D" w:rsidRDefault="00C76E6D">
            <w:pPr>
              <w:pStyle w:val="TableParagraph"/>
              <w:rPr>
                <w:rFonts w:ascii="Times New Roman"/>
                <w:sz w:val="20"/>
              </w:rPr>
            </w:pPr>
          </w:p>
        </w:tc>
        <w:tc>
          <w:tcPr>
            <w:tcW w:w="1170" w:type="dxa"/>
            <w:shd w:val="clear" w:color="auto" w:fill="D1E6C6"/>
          </w:tcPr>
          <w:p w:rsidR="00C76E6D" w:rsidRDefault="00913831">
            <w:pPr>
              <w:pStyle w:val="TableParagraph"/>
              <w:spacing w:before="59" w:line="276" w:lineRule="auto"/>
              <w:ind w:left="65" w:right="437"/>
              <w:rPr>
                <w:b/>
                <w:sz w:val="20"/>
              </w:rPr>
            </w:pPr>
            <w:r>
              <w:rPr>
                <w:b/>
                <w:spacing w:val="-2"/>
                <w:sz w:val="20"/>
              </w:rPr>
              <w:t xml:space="preserve">Female </w:t>
            </w:r>
            <w:r>
              <w:rPr>
                <w:b/>
                <w:spacing w:val="-4"/>
                <w:sz w:val="20"/>
              </w:rPr>
              <w:t>(N=571)</w:t>
            </w:r>
          </w:p>
        </w:tc>
        <w:tc>
          <w:tcPr>
            <w:tcW w:w="1170" w:type="dxa"/>
            <w:shd w:val="clear" w:color="auto" w:fill="D1E6C6"/>
          </w:tcPr>
          <w:p w:rsidR="00C76E6D" w:rsidRDefault="00913831">
            <w:pPr>
              <w:pStyle w:val="TableParagraph"/>
              <w:spacing w:before="59" w:line="276" w:lineRule="auto"/>
              <w:ind w:left="65" w:right="437"/>
              <w:rPr>
                <w:b/>
                <w:sz w:val="20"/>
              </w:rPr>
            </w:pPr>
            <w:r>
              <w:rPr>
                <w:b/>
                <w:spacing w:val="-4"/>
                <w:sz w:val="20"/>
              </w:rPr>
              <w:t>Male (N=278)</w:t>
            </w:r>
          </w:p>
        </w:tc>
        <w:tc>
          <w:tcPr>
            <w:tcW w:w="1350" w:type="dxa"/>
            <w:shd w:val="clear" w:color="auto" w:fill="D1E6C6"/>
          </w:tcPr>
          <w:p w:rsidR="00C76E6D" w:rsidRDefault="00913831">
            <w:pPr>
              <w:pStyle w:val="TableParagraph"/>
              <w:spacing w:before="59" w:line="276" w:lineRule="auto"/>
              <w:ind w:left="65" w:right="520"/>
              <w:rPr>
                <w:b/>
                <w:sz w:val="20"/>
              </w:rPr>
            </w:pPr>
            <w:r>
              <w:rPr>
                <w:b/>
                <w:spacing w:val="-2"/>
                <w:sz w:val="20"/>
              </w:rPr>
              <w:t xml:space="preserve">Female </w:t>
            </w:r>
            <w:r>
              <w:rPr>
                <w:b/>
                <w:spacing w:val="-4"/>
                <w:sz w:val="20"/>
              </w:rPr>
              <w:t>(N=2147)</w:t>
            </w:r>
          </w:p>
        </w:tc>
        <w:tc>
          <w:tcPr>
            <w:tcW w:w="1260" w:type="dxa"/>
            <w:shd w:val="clear" w:color="auto" w:fill="D1E6C6"/>
          </w:tcPr>
          <w:p w:rsidR="00C76E6D" w:rsidRDefault="00913831">
            <w:pPr>
              <w:pStyle w:val="TableParagraph"/>
              <w:spacing w:before="59" w:line="276" w:lineRule="auto"/>
              <w:ind w:left="65" w:right="430"/>
              <w:rPr>
                <w:b/>
                <w:sz w:val="20"/>
              </w:rPr>
            </w:pPr>
            <w:r>
              <w:rPr>
                <w:b/>
                <w:spacing w:val="-4"/>
                <w:sz w:val="20"/>
              </w:rPr>
              <w:t>Male (N=2402)</w:t>
            </w:r>
          </w:p>
        </w:tc>
      </w:tr>
      <w:tr w:rsidR="00C76E6D">
        <w:trPr>
          <w:trHeight w:val="508"/>
        </w:trPr>
        <w:tc>
          <w:tcPr>
            <w:tcW w:w="4402" w:type="dxa"/>
            <w:shd w:val="clear" w:color="auto" w:fill="D1E6C6"/>
          </w:tcPr>
          <w:p w:rsidR="00C76E6D" w:rsidRDefault="00913831">
            <w:pPr>
              <w:pStyle w:val="TableParagraph"/>
              <w:spacing w:before="59"/>
              <w:ind w:left="65"/>
              <w:rPr>
                <w:sz w:val="20"/>
              </w:rPr>
            </w:pPr>
            <w:r>
              <w:rPr>
                <w:sz w:val="20"/>
              </w:rPr>
              <w:t>Bullied</w:t>
            </w:r>
            <w:r>
              <w:rPr>
                <w:spacing w:val="-4"/>
                <w:sz w:val="20"/>
              </w:rPr>
              <w:t xml:space="preserve"> </w:t>
            </w:r>
            <w:r>
              <w:rPr>
                <w:sz w:val="20"/>
              </w:rPr>
              <w:t>at</w:t>
            </w:r>
            <w:r>
              <w:rPr>
                <w:spacing w:val="-6"/>
                <w:sz w:val="20"/>
              </w:rPr>
              <w:t xml:space="preserve"> </w:t>
            </w:r>
            <w:r>
              <w:rPr>
                <w:sz w:val="20"/>
              </w:rPr>
              <w:t>school</w:t>
            </w:r>
            <w:r>
              <w:rPr>
                <w:spacing w:val="-5"/>
                <w:sz w:val="20"/>
              </w:rPr>
              <w:t xml:space="preserve"> </w:t>
            </w:r>
            <w:r>
              <w:rPr>
                <w:sz w:val="20"/>
              </w:rPr>
              <w:t>in</w:t>
            </w:r>
            <w:r>
              <w:rPr>
                <w:spacing w:val="-3"/>
                <w:sz w:val="20"/>
              </w:rPr>
              <w:t xml:space="preserve"> </w:t>
            </w:r>
            <w:r>
              <w:rPr>
                <w:sz w:val="20"/>
              </w:rPr>
              <w:t>the</w:t>
            </w:r>
            <w:r>
              <w:rPr>
                <w:spacing w:val="-6"/>
                <w:sz w:val="20"/>
              </w:rPr>
              <w:t xml:space="preserve"> </w:t>
            </w:r>
            <w:r>
              <w:rPr>
                <w:sz w:val="20"/>
              </w:rPr>
              <w:t>past</w:t>
            </w:r>
            <w:r>
              <w:rPr>
                <w:spacing w:val="-4"/>
                <w:sz w:val="20"/>
              </w:rPr>
              <w:t xml:space="preserve"> </w:t>
            </w:r>
            <w:r>
              <w:rPr>
                <w:spacing w:val="-2"/>
                <w:sz w:val="20"/>
              </w:rPr>
              <w:t>year***</w:t>
            </w:r>
          </w:p>
        </w:tc>
        <w:tc>
          <w:tcPr>
            <w:tcW w:w="1170" w:type="dxa"/>
            <w:shd w:val="clear" w:color="auto" w:fill="D1E6C6"/>
          </w:tcPr>
          <w:p w:rsidR="00C76E6D" w:rsidRDefault="00913831">
            <w:pPr>
              <w:pStyle w:val="TableParagraph"/>
              <w:spacing w:before="113"/>
              <w:ind w:left="386" w:right="372"/>
              <w:jc w:val="center"/>
              <w:rPr>
                <w:sz w:val="20"/>
              </w:rPr>
            </w:pPr>
            <w:r>
              <w:rPr>
                <w:spacing w:val="-4"/>
                <w:sz w:val="20"/>
              </w:rPr>
              <w:t>25.0</w:t>
            </w:r>
          </w:p>
        </w:tc>
        <w:tc>
          <w:tcPr>
            <w:tcW w:w="1170" w:type="dxa"/>
            <w:shd w:val="clear" w:color="auto" w:fill="D1E6C6"/>
          </w:tcPr>
          <w:p w:rsidR="00C76E6D" w:rsidRDefault="00913831">
            <w:pPr>
              <w:pStyle w:val="TableParagraph"/>
              <w:spacing w:before="113"/>
              <w:ind w:left="395" w:right="364"/>
              <w:jc w:val="center"/>
              <w:rPr>
                <w:sz w:val="20"/>
              </w:rPr>
            </w:pPr>
            <w:r>
              <w:rPr>
                <w:spacing w:val="-4"/>
                <w:sz w:val="20"/>
              </w:rPr>
              <w:t>25.1</w:t>
            </w:r>
          </w:p>
        </w:tc>
        <w:tc>
          <w:tcPr>
            <w:tcW w:w="1350" w:type="dxa"/>
            <w:shd w:val="clear" w:color="auto" w:fill="D1E6C6"/>
          </w:tcPr>
          <w:p w:rsidR="00C76E6D" w:rsidRDefault="00913831">
            <w:pPr>
              <w:pStyle w:val="TableParagraph"/>
              <w:spacing w:before="113"/>
              <w:ind w:left="476" w:right="462"/>
              <w:jc w:val="center"/>
              <w:rPr>
                <w:sz w:val="20"/>
              </w:rPr>
            </w:pPr>
            <w:r>
              <w:rPr>
                <w:spacing w:val="-4"/>
                <w:sz w:val="20"/>
              </w:rPr>
              <w:t>15.5</w:t>
            </w:r>
          </w:p>
        </w:tc>
        <w:tc>
          <w:tcPr>
            <w:tcW w:w="1260" w:type="dxa"/>
            <w:shd w:val="clear" w:color="auto" w:fill="D1E6C6"/>
          </w:tcPr>
          <w:p w:rsidR="00C76E6D" w:rsidRDefault="00913831">
            <w:pPr>
              <w:pStyle w:val="TableParagraph"/>
              <w:spacing w:before="113"/>
              <w:ind w:left="447" w:right="418"/>
              <w:jc w:val="center"/>
              <w:rPr>
                <w:sz w:val="20"/>
              </w:rPr>
            </w:pPr>
            <w:r>
              <w:rPr>
                <w:spacing w:val="-4"/>
                <w:sz w:val="20"/>
              </w:rPr>
              <w:t>11.3</w:t>
            </w:r>
          </w:p>
        </w:tc>
      </w:tr>
      <w:tr w:rsidR="00C76E6D">
        <w:trPr>
          <w:trHeight w:val="420"/>
        </w:trPr>
        <w:tc>
          <w:tcPr>
            <w:tcW w:w="4402" w:type="dxa"/>
            <w:shd w:val="clear" w:color="auto" w:fill="D1E6C6"/>
          </w:tcPr>
          <w:p w:rsidR="00C76E6D" w:rsidRDefault="00913831">
            <w:pPr>
              <w:pStyle w:val="TableParagraph"/>
              <w:spacing w:before="60"/>
              <w:ind w:left="65"/>
              <w:rPr>
                <w:sz w:val="20"/>
              </w:rPr>
            </w:pPr>
            <w:r>
              <w:rPr>
                <w:sz w:val="20"/>
              </w:rPr>
              <w:t>Skipped</w:t>
            </w:r>
            <w:r>
              <w:rPr>
                <w:spacing w:val="-11"/>
                <w:sz w:val="20"/>
              </w:rPr>
              <w:t xml:space="preserve"> </w:t>
            </w:r>
            <w:r>
              <w:rPr>
                <w:sz w:val="20"/>
              </w:rPr>
              <w:t>school</w:t>
            </w:r>
            <w:r>
              <w:rPr>
                <w:spacing w:val="-11"/>
                <w:sz w:val="20"/>
              </w:rPr>
              <w:t xml:space="preserve"> </w:t>
            </w:r>
            <w:r>
              <w:rPr>
                <w:sz w:val="20"/>
              </w:rPr>
              <w:t>in</w:t>
            </w:r>
            <w:r>
              <w:rPr>
                <w:spacing w:val="-11"/>
                <w:sz w:val="20"/>
              </w:rPr>
              <w:t xml:space="preserve"> </w:t>
            </w:r>
            <w:r>
              <w:rPr>
                <w:sz w:val="20"/>
              </w:rPr>
              <w:t>past</w:t>
            </w:r>
            <w:r>
              <w:rPr>
                <w:spacing w:val="-10"/>
                <w:sz w:val="20"/>
              </w:rPr>
              <w:t xml:space="preserve"> </w:t>
            </w:r>
            <w:r>
              <w:rPr>
                <w:sz w:val="20"/>
              </w:rPr>
              <w:t>month</w:t>
            </w:r>
            <w:r>
              <w:rPr>
                <w:spacing w:val="-11"/>
                <w:sz w:val="20"/>
              </w:rPr>
              <w:t xml:space="preserve"> </w:t>
            </w:r>
            <w:r>
              <w:rPr>
                <w:sz w:val="20"/>
              </w:rPr>
              <w:t>because</w:t>
            </w:r>
            <w:r>
              <w:rPr>
                <w:spacing w:val="-10"/>
                <w:sz w:val="20"/>
              </w:rPr>
              <w:t xml:space="preserve"> </w:t>
            </w:r>
            <w:r>
              <w:rPr>
                <w:sz w:val="20"/>
              </w:rPr>
              <w:t>felt</w:t>
            </w:r>
            <w:r>
              <w:rPr>
                <w:spacing w:val="-9"/>
                <w:sz w:val="20"/>
              </w:rPr>
              <w:t xml:space="preserve"> </w:t>
            </w:r>
            <w:r>
              <w:rPr>
                <w:spacing w:val="-2"/>
                <w:sz w:val="20"/>
              </w:rPr>
              <w:t>unsafe***</w:t>
            </w:r>
          </w:p>
        </w:tc>
        <w:tc>
          <w:tcPr>
            <w:tcW w:w="1170" w:type="dxa"/>
            <w:shd w:val="clear" w:color="auto" w:fill="D1E6C6"/>
          </w:tcPr>
          <w:p w:rsidR="00C76E6D" w:rsidRDefault="00913831">
            <w:pPr>
              <w:pStyle w:val="TableParagraph"/>
              <w:spacing w:before="69"/>
              <w:ind w:left="386" w:right="372"/>
              <w:jc w:val="center"/>
              <w:rPr>
                <w:sz w:val="20"/>
              </w:rPr>
            </w:pPr>
            <w:r>
              <w:rPr>
                <w:spacing w:val="-4"/>
                <w:sz w:val="20"/>
              </w:rPr>
              <w:t>11.9</w:t>
            </w:r>
          </w:p>
        </w:tc>
        <w:tc>
          <w:tcPr>
            <w:tcW w:w="1170" w:type="dxa"/>
            <w:shd w:val="clear" w:color="auto" w:fill="D1E6C6"/>
          </w:tcPr>
          <w:p w:rsidR="00C76E6D" w:rsidRDefault="00913831">
            <w:pPr>
              <w:pStyle w:val="TableParagraph"/>
              <w:spacing w:before="69"/>
              <w:ind w:left="395" w:right="364"/>
              <w:jc w:val="center"/>
              <w:rPr>
                <w:sz w:val="20"/>
              </w:rPr>
            </w:pPr>
            <w:r>
              <w:rPr>
                <w:spacing w:val="-4"/>
                <w:sz w:val="20"/>
              </w:rPr>
              <w:t>13.6</w:t>
            </w:r>
          </w:p>
        </w:tc>
        <w:tc>
          <w:tcPr>
            <w:tcW w:w="1350" w:type="dxa"/>
            <w:shd w:val="clear" w:color="auto" w:fill="D1E6C6"/>
          </w:tcPr>
          <w:p w:rsidR="00C76E6D" w:rsidRDefault="00913831">
            <w:pPr>
              <w:pStyle w:val="TableParagraph"/>
              <w:spacing w:before="69"/>
              <w:ind w:left="478" w:right="462"/>
              <w:jc w:val="center"/>
              <w:rPr>
                <w:sz w:val="20"/>
              </w:rPr>
            </w:pPr>
            <w:r>
              <w:rPr>
                <w:spacing w:val="-5"/>
                <w:sz w:val="20"/>
              </w:rPr>
              <w:t>4.8</w:t>
            </w:r>
          </w:p>
        </w:tc>
        <w:tc>
          <w:tcPr>
            <w:tcW w:w="1260" w:type="dxa"/>
            <w:shd w:val="clear" w:color="auto" w:fill="D1E6C6"/>
          </w:tcPr>
          <w:p w:rsidR="00C76E6D" w:rsidRDefault="00913831">
            <w:pPr>
              <w:pStyle w:val="TableParagraph"/>
              <w:spacing w:before="69"/>
              <w:ind w:left="447" w:right="418"/>
              <w:jc w:val="center"/>
              <w:rPr>
                <w:sz w:val="20"/>
              </w:rPr>
            </w:pPr>
            <w:r>
              <w:rPr>
                <w:spacing w:val="-5"/>
                <w:sz w:val="20"/>
              </w:rPr>
              <w:t>2.8</w:t>
            </w:r>
          </w:p>
        </w:tc>
      </w:tr>
      <w:tr w:rsidR="00C76E6D">
        <w:trPr>
          <w:trHeight w:val="418"/>
        </w:trPr>
        <w:tc>
          <w:tcPr>
            <w:tcW w:w="4402" w:type="dxa"/>
            <w:shd w:val="clear" w:color="auto" w:fill="D1E6C6"/>
          </w:tcPr>
          <w:p w:rsidR="00C76E6D" w:rsidRDefault="00913831">
            <w:pPr>
              <w:pStyle w:val="TableParagraph"/>
              <w:spacing w:before="59"/>
              <w:ind w:left="65"/>
              <w:rPr>
                <w:sz w:val="20"/>
              </w:rPr>
            </w:pPr>
            <w:r>
              <w:rPr>
                <w:sz w:val="20"/>
              </w:rPr>
              <w:t>Been</w:t>
            </w:r>
            <w:r>
              <w:rPr>
                <w:spacing w:val="-8"/>
                <w:sz w:val="20"/>
              </w:rPr>
              <w:t xml:space="preserve"> </w:t>
            </w:r>
            <w:r>
              <w:rPr>
                <w:sz w:val="20"/>
              </w:rPr>
              <w:t>in</w:t>
            </w:r>
            <w:r>
              <w:rPr>
                <w:spacing w:val="-5"/>
                <w:sz w:val="20"/>
              </w:rPr>
              <w:t xml:space="preserve"> </w:t>
            </w:r>
            <w:r>
              <w:rPr>
                <w:sz w:val="20"/>
              </w:rPr>
              <w:t>a</w:t>
            </w:r>
            <w:r>
              <w:rPr>
                <w:spacing w:val="-3"/>
                <w:sz w:val="20"/>
              </w:rPr>
              <w:t xml:space="preserve"> </w:t>
            </w:r>
            <w:r>
              <w:rPr>
                <w:sz w:val="20"/>
              </w:rPr>
              <w:t>physical</w:t>
            </w:r>
            <w:r>
              <w:rPr>
                <w:spacing w:val="-5"/>
                <w:sz w:val="20"/>
              </w:rPr>
              <w:t xml:space="preserve"> </w:t>
            </w:r>
            <w:r>
              <w:rPr>
                <w:sz w:val="20"/>
              </w:rPr>
              <w:t>fight</w:t>
            </w:r>
            <w:r>
              <w:rPr>
                <w:spacing w:val="-5"/>
                <w:sz w:val="20"/>
              </w:rPr>
              <w:t xml:space="preserve"> </w:t>
            </w:r>
            <w:r>
              <w:rPr>
                <w:sz w:val="20"/>
              </w:rPr>
              <w:t>at</w:t>
            </w:r>
            <w:r>
              <w:rPr>
                <w:spacing w:val="-4"/>
                <w:sz w:val="20"/>
              </w:rPr>
              <w:t xml:space="preserve"> </w:t>
            </w:r>
            <w:r>
              <w:rPr>
                <w:sz w:val="20"/>
              </w:rPr>
              <w:t>school</w:t>
            </w:r>
            <w:r>
              <w:rPr>
                <w:spacing w:val="-6"/>
                <w:sz w:val="20"/>
              </w:rPr>
              <w:t xml:space="preserve"> </w:t>
            </w:r>
            <w:r>
              <w:rPr>
                <w:sz w:val="20"/>
              </w:rPr>
              <w:t>in</w:t>
            </w:r>
            <w:r>
              <w:rPr>
                <w:spacing w:val="-1"/>
                <w:sz w:val="20"/>
              </w:rPr>
              <w:t xml:space="preserve"> </w:t>
            </w:r>
            <w:r>
              <w:rPr>
                <w:sz w:val="20"/>
              </w:rPr>
              <w:t>the</w:t>
            </w:r>
            <w:r>
              <w:rPr>
                <w:spacing w:val="-5"/>
                <w:sz w:val="20"/>
              </w:rPr>
              <w:t xml:space="preserve"> </w:t>
            </w:r>
            <w:r>
              <w:rPr>
                <w:sz w:val="20"/>
              </w:rPr>
              <w:t>past</w:t>
            </w:r>
            <w:r>
              <w:rPr>
                <w:spacing w:val="-4"/>
                <w:sz w:val="20"/>
              </w:rPr>
              <w:t xml:space="preserve"> </w:t>
            </w:r>
            <w:r>
              <w:rPr>
                <w:spacing w:val="-2"/>
                <w:sz w:val="20"/>
              </w:rPr>
              <w:t>year***</w:t>
            </w:r>
          </w:p>
        </w:tc>
        <w:tc>
          <w:tcPr>
            <w:tcW w:w="1170" w:type="dxa"/>
            <w:shd w:val="clear" w:color="auto" w:fill="D1E6C6"/>
          </w:tcPr>
          <w:p w:rsidR="00C76E6D" w:rsidRDefault="00913831">
            <w:pPr>
              <w:pStyle w:val="TableParagraph"/>
              <w:spacing w:before="67"/>
              <w:ind w:left="388" w:right="372"/>
              <w:jc w:val="center"/>
              <w:rPr>
                <w:sz w:val="20"/>
              </w:rPr>
            </w:pPr>
            <w:r>
              <w:rPr>
                <w:spacing w:val="-5"/>
                <w:sz w:val="20"/>
              </w:rPr>
              <w:t>7.5</w:t>
            </w:r>
          </w:p>
        </w:tc>
        <w:tc>
          <w:tcPr>
            <w:tcW w:w="1170" w:type="dxa"/>
            <w:shd w:val="clear" w:color="auto" w:fill="D1E6C6"/>
          </w:tcPr>
          <w:p w:rsidR="00C76E6D" w:rsidRDefault="00913831">
            <w:pPr>
              <w:pStyle w:val="TableParagraph"/>
              <w:spacing w:before="67"/>
              <w:ind w:left="395" w:right="364"/>
              <w:jc w:val="center"/>
              <w:rPr>
                <w:sz w:val="20"/>
              </w:rPr>
            </w:pPr>
            <w:r>
              <w:rPr>
                <w:spacing w:val="-4"/>
                <w:sz w:val="20"/>
              </w:rPr>
              <w:t>16.0</w:t>
            </w:r>
          </w:p>
        </w:tc>
        <w:tc>
          <w:tcPr>
            <w:tcW w:w="1350" w:type="dxa"/>
            <w:shd w:val="clear" w:color="auto" w:fill="D1E6C6"/>
          </w:tcPr>
          <w:p w:rsidR="00C76E6D" w:rsidRDefault="00913831">
            <w:pPr>
              <w:pStyle w:val="TableParagraph"/>
              <w:spacing w:before="67"/>
              <w:ind w:left="478" w:right="462"/>
              <w:jc w:val="center"/>
              <w:rPr>
                <w:sz w:val="20"/>
              </w:rPr>
            </w:pPr>
            <w:r>
              <w:rPr>
                <w:spacing w:val="-5"/>
                <w:sz w:val="20"/>
              </w:rPr>
              <w:t>3.4</w:t>
            </w:r>
          </w:p>
        </w:tc>
        <w:tc>
          <w:tcPr>
            <w:tcW w:w="1260" w:type="dxa"/>
            <w:shd w:val="clear" w:color="auto" w:fill="D1E6C6"/>
          </w:tcPr>
          <w:p w:rsidR="00C76E6D" w:rsidRDefault="00913831">
            <w:pPr>
              <w:pStyle w:val="TableParagraph"/>
              <w:spacing w:before="67"/>
              <w:ind w:left="447" w:right="418"/>
              <w:jc w:val="center"/>
              <w:rPr>
                <w:sz w:val="20"/>
              </w:rPr>
            </w:pPr>
            <w:r>
              <w:rPr>
                <w:spacing w:val="-5"/>
                <w:sz w:val="20"/>
              </w:rPr>
              <w:t>7.1</w:t>
            </w:r>
          </w:p>
        </w:tc>
      </w:tr>
      <w:tr w:rsidR="00C76E6D">
        <w:trPr>
          <w:trHeight w:val="510"/>
        </w:trPr>
        <w:tc>
          <w:tcPr>
            <w:tcW w:w="4402" w:type="dxa"/>
            <w:shd w:val="clear" w:color="auto" w:fill="D1E6C6"/>
          </w:tcPr>
          <w:p w:rsidR="00C76E6D" w:rsidRDefault="00913831">
            <w:pPr>
              <w:pStyle w:val="TableParagraph"/>
              <w:spacing w:before="60"/>
              <w:ind w:left="65"/>
              <w:rPr>
                <w:sz w:val="20"/>
              </w:rPr>
            </w:pPr>
            <w:r>
              <w:rPr>
                <w:sz w:val="20"/>
              </w:rPr>
              <w:t>Threatened</w:t>
            </w:r>
            <w:r>
              <w:rPr>
                <w:spacing w:val="-6"/>
                <w:sz w:val="20"/>
              </w:rPr>
              <w:t xml:space="preserve"> </w:t>
            </w:r>
            <w:r>
              <w:rPr>
                <w:sz w:val="20"/>
              </w:rPr>
              <w:t>or</w:t>
            </w:r>
            <w:r>
              <w:rPr>
                <w:spacing w:val="-8"/>
                <w:sz w:val="20"/>
              </w:rPr>
              <w:t xml:space="preserve"> </w:t>
            </w:r>
            <w:r>
              <w:rPr>
                <w:sz w:val="20"/>
              </w:rPr>
              <w:t>injured</w:t>
            </w:r>
            <w:r>
              <w:rPr>
                <w:spacing w:val="-4"/>
                <w:sz w:val="20"/>
              </w:rPr>
              <w:t xml:space="preserve"> </w:t>
            </w:r>
            <w:r>
              <w:rPr>
                <w:sz w:val="20"/>
              </w:rPr>
              <w:t>with</w:t>
            </w:r>
            <w:r>
              <w:rPr>
                <w:spacing w:val="-6"/>
                <w:sz w:val="20"/>
              </w:rPr>
              <w:t xml:space="preserve"> </w:t>
            </w:r>
            <w:r>
              <w:rPr>
                <w:sz w:val="20"/>
              </w:rPr>
              <w:t>a</w:t>
            </w:r>
            <w:r>
              <w:rPr>
                <w:spacing w:val="-8"/>
                <w:sz w:val="20"/>
              </w:rPr>
              <w:t xml:space="preserve"> </w:t>
            </w:r>
            <w:r>
              <w:rPr>
                <w:sz w:val="20"/>
              </w:rPr>
              <w:t>weapon</w:t>
            </w:r>
            <w:r>
              <w:rPr>
                <w:spacing w:val="-7"/>
                <w:sz w:val="20"/>
              </w:rPr>
              <w:t xml:space="preserve"> </w:t>
            </w:r>
            <w:r>
              <w:rPr>
                <w:sz w:val="20"/>
              </w:rPr>
              <w:t>at</w:t>
            </w:r>
            <w:r>
              <w:rPr>
                <w:spacing w:val="-4"/>
                <w:sz w:val="20"/>
              </w:rPr>
              <w:t xml:space="preserve"> </w:t>
            </w:r>
            <w:r>
              <w:rPr>
                <w:spacing w:val="-2"/>
                <w:sz w:val="20"/>
              </w:rPr>
              <w:t>school***</w:t>
            </w:r>
          </w:p>
        </w:tc>
        <w:tc>
          <w:tcPr>
            <w:tcW w:w="1170" w:type="dxa"/>
            <w:shd w:val="clear" w:color="auto" w:fill="D1E6C6"/>
          </w:tcPr>
          <w:p w:rsidR="00C76E6D" w:rsidRDefault="00913831">
            <w:pPr>
              <w:pStyle w:val="TableParagraph"/>
              <w:spacing w:before="114"/>
              <w:ind w:left="388" w:right="372"/>
              <w:jc w:val="center"/>
              <w:rPr>
                <w:sz w:val="20"/>
              </w:rPr>
            </w:pPr>
            <w:r>
              <w:rPr>
                <w:spacing w:val="-5"/>
                <w:sz w:val="20"/>
              </w:rPr>
              <w:t>7.9</w:t>
            </w:r>
          </w:p>
        </w:tc>
        <w:tc>
          <w:tcPr>
            <w:tcW w:w="1170" w:type="dxa"/>
            <w:shd w:val="clear" w:color="auto" w:fill="D1E6C6"/>
          </w:tcPr>
          <w:p w:rsidR="00C76E6D" w:rsidRDefault="00913831">
            <w:pPr>
              <w:pStyle w:val="TableParagraph"/>
              <w:spacing w:before="114"/>
              <w:ind w:left="395" w:right="364"/>
              <w:jc w:val="center"/>
              <w:rPr>
                <w:sz w:val="20"/>
              </w:rPr>
            </w:pPr>
            <w:r>
              <w:rPr>
                <w:spacing w:val="-4"/>
                <w:sz w:val="20"/>
              </w:rPr>
              <w:t>13.0</w:t>
            </w:r>
          </w:p>
        </w:tc>
        <w:tc>
          <w:tcPr>
            <w:tcW w:w="1350" w:type="dxa"/>
            <w:shd w:val="clear" w:color="auto" w:fill="D1E6C6"/>
          </w:tcPr>
          <w:p w:rsidR="00C76E6D" w:rsidRDefault="00913831">
            <w:pPr>
              <w:pStyle w:val="TableParagraph"/>
              <w:spacing w:before="114"/>
              <w:ind w:left="478" w:right="462"/>
              <w:jc w:val="center"/>
              <w:rPr>
                <w:sz w:val="20"/>
              </w:rPr>
            </w:pPr>
            <w:r>
              <w:rPr>
                <w:spacing w:val="-5"/>
                <w:sz w:val="20"/>
              </w:rPr>
              <w:t>2.6</w:t>
            </w:r>
          </w:p>
        </w:tc>
        <w:tc>
          <w:tcPr>
            <w:tcW w:w="1260" w:type="dxa"/>
            <w:shd w:val="clear" w:color="auto" w:fill="D1E6C6"/>
          </w:tcPr>
          <w:p w:rsidR="00C76E6D" w:rsidRDefault="00913831">
            <w:pPr>
              <w:pStyle w:val="TableParagraph"/>
              <w:spacing w:before="114"/>
              <w:ind w:left="447" w:right="418"/>
              <w:jc w:val="center"/>
              <w:rPr>
                <w:sz w:val="20"/>
              </w:rPr>
            </w:pPr>
            <w:r>
              <w:rPr>
                <w:spacing w:val="-5"/>
                <w:sz w:val="20"/>
              </w:rPr>
              <w:t>5.1</w:t>
            </w:r>
          </w:p>
        </w:tc>
      </w:tr>
      <w:tr w:rsidR="00C76E6D">
        <w:trPr>
          <w:trHeight w:val="419"/>
        </w:trPr>
        <w:tc>
          <w:tcPr>
            <w:tcW w:w="4402" w:type="dxa"/>
            <w:shd w:val="clear" w:color="auto" w:fill="D1E6C6"/>
          </w:tcPr>
          <w:p w:rsidR="00C76E6D" w:rsidRDefault="00913831">
            <w:pPr>
              <w:pStyle w:val="TableParagraph"/>
              <w:spacing w:before="59"/>
              <w:ind w:left="65"/>
              <w:rPr>
                <w:sz w:val="20"/>
              </w:rPr>
            </w:pPr>
            <w:r>
              <w:rPr>
                <w:sz w:val="20"/>
              </w:rPr>
              <w:t>Bullied</w:t>
            </w:r>
            <w:r>
              <w:rPr>
                <w:spacing w:val="-7"/>
                <w:sz w:val="20"/>
              </w:rPr>
              <w:t xml:space="preserve"> </w:t>
            </w:r>
            <w:r>
              <w:rPr>
                <w:sz w:val="20"/>
              </w:rPr>
              <w:t>electronically</w:t>
            </w:r>
            <w:r>
              <w:rPr>
                <w:spacing w:val="-7"/>
                <w:sz w:val="20"/>
              </w:rPr>
              <w:t xml:space="preserve"> </w:t>
            </w:r>
            <w:r>
              <w:rPr>
                <w:sz w:val="20"/>
              </w:rPr>
              <w:t>in</w:t>
            </w:r>
            <w:r>
              <w:rPr>
                <w:spacing w:val="-7"/>
                <w:sz w:val="20"/>
              </w:rPr>
              <w:t xml:space="preserve"> </w:t>
            </w:r>
            <w:r>
              <w:rPr>
                <w:sz w:val="20"/>
              </w:rPr>
              <w:t>the</w:t>
            </w:r>
            <w:r>
              <w:rPr>
                <w:spacing w:val="-9"/>
                <w:sz w:val="20"/>
              </w:rPr>
              <w:t xml:space="preserve"> </w:t>
            </w:r>
            <w:r>
              <w:rPr>
                <w:sz w:val="20"/>
              </w:rPr>
              <w:t>past</w:t>
            </w:r>
            <w:r>
              <w:rPr>
                <w:spacing w:val="-6"/>
                <w:sz w:val="20"/>
              </w:rPr>
              <w:t xml:space="preserve"> </w:t>
            </w:r>
            <w:r>
              <w:rPr>
                <w:spacing w:val="-2"/>
                <w:sz w:val="20"/>
              </w:rPr>
              <w:t>year***</w:t>
            </w:r>
          </w:p>
        </w:tc>
        <w:tc>
          <w:tcPr>
            <w:tcW w:w="1170" w:type="dxa"/>
            <w:shd w:val="clear" w:color="auto" w:fill="D1E6C6"/>
          </w:tcPr>
          <w:p w:rsidR="00C76E6D" w:rsidRDefault="00913831">
            <w:pPr>
              <w:pStyle w:val="TableParagraph"/>
              <w:spacing w:before="67"/>
              <w:ind w:left="386" w:right="372"/>
              <w:jc w:val="center"/>
              <w:rPr>
                <w:sz w:val="20"/>
              </w:rPr>
            </w:pPr>
            <w:r>
              <w:rPr>
                <w:spacing w:val="-4"/>
                <w:sz w:val="20"/>
              </w:rPr>
              <w:t>22.7</w:t>
            </w:r>
          </w:p>
        </w:tc>
        <w:tc>
          <w:tcPr>
            <w:tcW w:w="1170" w:type="dxa"/>
            <w:shd w:val="clear" w:color="auto" w:fill="D1E6C6"/>
          </w:tcPr>
          <w:p w:rsidR="00C76E6D" w:rsidRDefault="00913831">
            <w:pPr>
              <w:pStyle w:val="TableParagraph"/>
              <w:spacing w:before="67"/>
              <w:ind w:left="395" w:right="364"/>
              <w:jc w:val="center"/>
              <w:rPr>
                <w:sz w:val="20"/>
              </w:rPr>
            </w:pPr>
            <w:r>
              <w:rPr>
                <w:spacing w:val="-4"/>
                <w:sz w:val="20"/>
              </w:rPr>
              <w:t>19.2</w:t>
            </w:r>
          </w:p>
        </w:tc>
        <w:tc>
          <w:tcPr>
            <w:tcW w:w="1350" w:type="dxa"/>
            <w:shd w:val="clear" w:color="auto" w:fill="D1E6C6"/>
          </w:tcPr>
          <w:p w:rsidR="00C76E6D" w:rsidRDefault="00913831">
            <w:pPr>
              <w:pStyle w:val="TableParagraph"/>
              <w:spacing w:before="67"/>
              <w:ind w:left="476" w:right="462"/>
              <w:jc w:val="center"/>
              <w:rPr>
                <w:sz w:val="20"/>
              </w:rPr>
            </w:pPr>
            <w:r>
              <w:rPr>
                <w:spacing w:val="-4"/>
                <w:sz w:val="20"/>
              </w:rPr>
              <w:t>15.3</w:t>
            </w:r>
          </w:p>
        </w:tc>
        <w:tc>
          <w:tcPr>
            <w:tcW w:w="1260" w:type="dxa"/>
            <w:shd w:val="clear" w:color="auto" w:fill="D1E6C6"/>
          </w:tcPr>
          <w:p w:rsidR="00C76E6D" w:rsidRDefault="00913831">
            <w:pPr>
              <w:pStyle w:val="TableParagraph"/>
              <w:spacing w:before="67"/>
              <w:ind w:left="447" w:right="418"/>
              <w:jc w:val="center"/>
              <w:rPr>
                <w:sz w:val="20"/>
              </w:rPr>
            </w:pPr>
            <w:r>
              <w:rPr>
                <w:spacing w:val="-5"/>
                <w:sz w:val="20"/>
              </w:rPr>
              <w:t>8.5</w:t>
            </w:r>
          </w:p>
        </w:tc>
      </w:tr>
      <w:tr w:rsidR="00C76E6D">
        <w:trPr>
          <w:trHeight w:val="680"/>
        </w:trPr>
        <w:tc>
          <w:tcPr>
            <w:tcW w:w="4402" w:type="dxa"/>
            <w:shd w:val="clear" w:color="auto" w:fill="D1E6C6"/>
          </w:tcPr>
          <w:p w:rsidR="00C76E6D" w:rsidRDefault="00913831">
            <w:pPr>
              <w:pStyle w:val="TableParagraph"/>
              <w:spacing w:before="59" w:line="276" w:lineRule="auto"/>
              <w:ind w:left="65"/>
              <w:rPr>
                <w:sz w:val="20"/>
              </w:rPr>
            </w:pPr>
            <w:r>
              <w:rPr>
                <w:sz w:val="20"/>
              </w:rPr>
              <w:t>Hurt</w:t>
            </w:r>
            <w:r>
              <w:rPr>
                <w:spacing w:val="-12"/>
                <w:sz w:val="20"/>
              </w:rPr>
              <w:t xml:space="preserve"> </w:t>
            </w:r>
            <w:r>
              <w:rPr>
                <w:sz w:val="20"/>
              </w:rPr>
              <w:t>self</w:t>
            </w:r>
            <w:r>
              <w:rPr>
                <w:spacing w:val="-11"/>
                <w:sz w:val="20"/>
              </w:rPr>
              <w:t xml:space="preserve"> </w:t>
            </w:r>
            <w:r>
              <w:rPr>
                <w:sz w:val="20"/>
              </w:rPr>
              <w:t>on</w:t>
            </w:r>
            <w:r>
              <w:rPr>
                <w:spacing w:val="-11"/>
                <w:sz w:val="20"/>
              </w:rPr>
              <w:t xml:space="preserve"> </w:t>
            </w:r>
            <w:r>
              <w:rPr>
                <w:sz w:val="20"/>
              </w:rPr>
              <w:t>purpose</w:t>
            </w:r>
            <w:r>
              <w:rPr>
                <w:spacing w:val="-12"/>
                <w:sz w:val="20"/>
              </w:rPr>
              <w:t xml:space="preserve"> </w:t>
            </w:r>
            <w:r>
              <w:rPr>
                <w:sz w:val="20"/>
              </w:rPr>
              <w:t>in</w:t>
            </w:r>
            <w:r>
              <w:rPr>
                <w:spacing w:val="-11"/>
                <w:sz w:val="20"/>
              </w:rPr>
              <w:t xml:space="preserve"> </w:t>
            </w:r>
            <w:r>
              <w:rPr>
                <w:sz w:val="20"/>
              </w:rPr>
              <w:t>the</w:t>
            </w:r>
            <w:r>
              <w:rPr>
                <w:spacing w:val="-11"/>
                <w:sz w:val="20"/>
              </w:rPr>
              <w:t xml:space="preserve"> </w:t>
            </w:r>
            <w:r>
              <w:rPr>
                <w:sz w:val="20"/>
              </w:rPr>
              <w:t>past</w:t>
            </w:r>
            <w:r>
              <w:rPr>
                <w:spacing w:val="-12"/>
                <w:sz w:val="20"/>
              </w:rPr>
              <w:t xml:space="preserve"> </w:t>
            </w:r>
            <w:r>
              <w:rPr>
                <w:sz w:val="20"/>
              </w:rPr>
              <w:t>year</w:t>
            </w:r>
            <w:r>
              <w:rPr>
                <w:spacing w:val="-11"/>
                <w:sz w:val="20"/>
              </w:rPr>
              <w:t xml:space="preserve"> </w:t>
            </w:r>
            <w:r>
              <w:rPr>
                <w:sz w:val="20"/>
              </w:rPr>
              <w:t>(e.g.,</w:t>
            </w:r>
            <w:r>
              <w:rPr>
                <w:spacing w:val="-11"/>
                <w:sz w:val="20"/>
              </w:rPr>
              <w:t xml:space="preserve"> </w:t>
            </w:r>
            <w:r>
              <w:rPr>
                <w:sz w:val="20"/>
              </w:rPr>
              <w:t>by</w:t>
            </w:r>
            <w:r>
              <w:rPr>
                <w:spacing w:val="-12"/>
                <w:sz w:val="20"/>
              </w:rPr>
              <w:t xml:space="preserve"> </w:t>
            </w:r>
            <w:r>
              <w:rPr>
                <w:sz w:val="20"/>
              </w:rPr>
              <w:t>cutting, burning self)***</w:t>
            </w:r>
          </w:p>
        </w:tc>
        <w:tc>
          <w:tcPr>
            <w:tcW w:w="1170" w:type="dxa"/>
            <w:shd w:val="clear" w:color="auto" w:fill="D1E6C6"/>
          </w:tcPr>
          <w:p w:rsidR="00C76E6D" w:rsidRDefault="00C76E6D">
            <w:pPr>
              <w:pStyle w:val="TableParagraph"/>
              <w:spacing w:before="3"/>
              <w:rPr>
                <w:sz w:val="16"/>
              </w:rPr>
            </w:pPr>
          </w:p>
          <w:p w:rsidR="00C76E6D" w:rsidRDefault="00913831">
            <w:pPr>
              <w:pStyle w:val="TableParagraph"/>
              <w:spacing w:before="1"/>
              <w:ind w:left="386" w:right="372"/>
              <w:jc w:val="center"/>
              <w:rPr>
                <w:sz w:val="20"/>
              </w:rPr>
            </w:pPr>
            <w:r>
              <w:rPr>
                <w:spacing w:val="-4"/>
                <w:sz w:val="20"/>
              </w:rPr>
              <w:t>37.8</w:t>
            </w:r>
          </w:p>
        </w:tc>
        <w:tc>
          <w:tcPr>
            <w:tcW w:w="1170" w:type="dxa"/>
            <w:shd w:val="clear" w:color="auto" w:fill="D1E6C6"/>
          </w:tcPr>
          <w:p w:rsidR="00C76E6D" w:rsidRDefault="00C76E6D">
            <w:pPr>
              <w:pStyle w:val="TableParagraph"/>
              <w:spacing w:before="3"/>
              <w:rPr>
                <w:sz w:val="16"/>
              </w:rPr>
            </w:pPr>
          </w:p>
          <w:p w:rsidR="00C76E6D" w:rsidRDefault="00913831">
            <w:pPr>
              <w:pStyle w:val="TableParagraph"/>
              <w:spacing w:before="1"/>
              <w:ind w:left="395" w:right="364"/>
              <w:jc w:val="center"/>
              <w:rPr>
                <w:sz w:val="20"/>
              </w:rPr>
            </w:pPr>
            <w:r>
              <w:rPr>
                <w:spacing w:val="-4"/>
                <w:sz w:val="20"/>
              </w:rPr>
              <w:t>31.1</w:t>
            </w:r>
          </w:p>
        </w:tc>
        <w:tc>
          <w:tcPr>
            <w:tcW w:w="1350" w:type="dxa"/>
            <w:shd w:val="clear" w:color="auto" w:fill="D1E6C6"/>
          </w:tcPr>
          <w:p w:rsidR="00C76E6D" w:rsidRDefault="00C76E6D">
            <w:pPr>
              <w:pStyle w:val="TableParagraph"/>
              <w:spacing w:before="3"/>
              <w:rPr>
                <w:sz w:val="16"/>
              </w:rPr>
            </w:pPr>
          </w:p>
          <w:p w:rsidR="00C76E6D" w:rsidRDefault="00913831">
            <w:pPr>
              <w:pStyle w:val="TableParagraph"/>
              <w:spacing w:before="1"/>
              <w:ind w:left="476" w:right="462"/>
              <w:jc w:val="center"/>
              <w:rPr>
                <w:sz w:val="20"/>
              </w:rPr>
            </w:pPr>
            <w:r>
              <w:rPr>
                <w:spacing w:val="-4"/>
                <w:sz w:val="20"/>
              </w:rPr>
              <w:t>14.5</w:t>
            </w:r>
          </w:p>
        </w:tc>
        <w:tc>
          <w:tcPr>
            <w:tcW w:w="1260" w:type="dxa"/>
            <w:shd w:val="clear" w:color="auto" w:fill="D1E6C6"/>
          </w:tcPr>
          <w:p w:rsidR="00C76E6D" w:rsidRDefault="00C76E6D">
            <w:pPr>
              <w:pStyle w:val="TableParagraph"/>
              <w:spacing w:before="3"/>
              <w:rPr>
                <w:sz w:val="16"/>
              </w:rPr>
            </w:pPr>
          </w:p>
          <w:p w:rsidR="00C76E6D" w:rsidRDefault="00913831">
            <w:pPr>
              <w:pStyle w:val="TableParagraph"/>
              <w:spacing w:before="1"/>
              <w:ind w:left="447" w:right="418"/>
              <w:jc w:val="center"/>
              <w:rPr>
                <w:sz w:val="20"/>
              </w:rPr>
            </w:pPr>
            <w:r>
              <w:rPr>
                <w:spacing w:val="-5"/>
                <w:sz w:val="20"/>
              </w:rPr>
              <w:t>9.2</w:t>
            </w:r>
          </w:p>
        </w:tc>
      </w:tr>
      <w:tr w:rsidR="00C76E6D">
        <w:trPr>
          <w:trHeight w:val="509"/>
        </w:trPr>
        <w:tc>
          <w:tcPr>
            <w:tcW w:w="4402" w:type="dxa"/>
            <w:shd w:val="clear" w:color="auto" w:fill="D1E6C6"/>
          </w:tcPr>
          <w:p w:rsidR="00C76E6D" w:rsidRDefault="00913831">
            <w:pPr>
              <w:pStyle w:val="TableParagraph"/>
              <w:spacing w:before="59"/>
              <w:ind w:left="65"/>
              <w:rPr>
                <w:sz w:val="20"/>
              </w:rPr>
            </w:pPr>
            <w:r>
              <w:rPr>
                <w:sz w:val="20"/>
              </w:rPr>
              <w:t>Seriously</w:t>
            </w:r>
            <w:r>
              <w:rPr>
                <w:spacing w:val="-11"/>
                <w:sz w:val="20"/>
              </w:rPr>
              <w:t xml:space="preserve"> </w:t>
            </w:r>
            <w:r>
              <w:rPr>
                <w:sz w:val="20"/>
              </w:rPr>
              <w:t>considered</w:t>
            </w:r>
            <w:r>
              <w:rPr>
                <w:spacing w:val="-7"/>
                <w:sz w:val="20"/>
              </w:rPr>
              <w:t xml:space="preserve"> </w:t>
            </w:r>
            <w:r>
              <w:rPr>
                <w:sz w:val="20"/>
              </w:rPr>
              <w:t>suicide</w:t>
            </w:r>
            <w:r>
              <w:rPr>
                <w:spacing w:val="-6"/>
                <w:sz w:val="20"/>
              </w:rPr>
              <w:t xml:space="preserve"> </w:t>
            </w:r>
            <w:r>
              <w:rPr>
                <w:sz w:val="20"/>
              </w:rPr>
              <w:t>in</w:t>
            </w:r>
            <w:r>
              <w:rPr>
                <w:spacing w:val="-6"/>
                <w:sz w:val="20"/>
              </w:rPr>
              <w:t xml:space="preserve"> </w:t>
            </w:r>
            <w:r>
              <w:rPr>
                <w:sz w:val="20"/>
              </w:rPr>
              <w:t>the</w:t>
            </w:r>
            <w:r>
              <w:rPr>
                <w:spacing w:val="-8"/>
                <w:sz w:val="20"/>
              </w:rPr>
              <w:t xml:space="preserve"> </w:t>
            </w:r>
            <w:r>
              <w:rPr>
                <w:sz w:val="20"/>
              </w:rPr>
              <w:t>past</w:t>
            </w:r>
            <w:r>
              <w:rPr>
                <w:spacing w:val="-8"/>
                <w:sz w:val="20"/>
              </w:rPr>
              <w:t xml:space="preserve"> </w:t>
            </w:r>
            <w:r>
              <w:rPr>
                <w:spacing w:val="-2"/>
                <w:sz w:val="20"/>
              </w:rPr>
              <w:t>year***</w:t>
            </w:r>
          </w:p>
        </w:tc>
        <w:tc>
          <w:tcPr>
            <w:tcW w:w="1170" w:type="dxa"/>
            <w:shd w:val="clear" w:color="auto" w:fill="D1E6C6"/>
          </w:tcPr>
          <w:p w:rsidR="00C76E6D" w:rsidRDefault="00913831">
            <w:pPr>
              <w:pStyle w:val="TableParagraph"/>
              <w:spacing w:before="114"/>
              <w:ind w:left="386" w:right="372"/>
              <w:jc w:val="center"/>
              <w:rPr>
                <w:sz w:val="20"/>
              </w:rPr>
            </w:pPr>
            <w:r>
              <w:rPr>
                <w:spacing w:val="-4"/>
                <w:sz w:val="20"/>
              </w:rPr>
              <w:t>36.9</w:t>
            </w:r>
          </w:p>
        </w:tc>
        <w:tc>
          <w:tcPr>
            <w:tcW w:w="1170" w:type="dxa"/>
            <w:shd w:val="clear" w:color="auto" w:fill="D1E6C6"/>
          </w:tcPr>
          <w:p w:rsidR="00C76E6D" w:rsidRDefault="00913831">
            <w:pPr>
              <w:pStyle w:val="TableParagraph"/>
              <w:spacing w:before="114"/>
              <w:ind w:left="395" w:right="364"/>
              <w:jc w:val="center"/>
              <w:rPr>
                <w:sz w:val="20"/>
              </w:rPr>
            </w:pPr>
            <w:r>
              <w:rPr>
                <w:spacing w:val="-4"/>
                <w:sz w:val="20"/>
              </w:rPr>
              <w:t>27.9</w:t>
            </w:r>
          </w:p>
        </w:tc>
        <w:tc>
          <w:tcPr>
            <w:tcW w:w="1350" w:type="dxa"/>
            <w:shd w:val="clear" w:color="auto" w:fill="D1E6C6"/>
          </w:tcPr>
          <w:p w:rsidR="00C76E6D" w:rsidRDefault="00913831">
            <w:pPr>
              <w:pStyle w:val="TableParagraph"/>
              <w:spacing w:before="114"/>
              <w:ind w:left="476" w:right="462"/>
              <w:jc w:val="center"/>
              <w:rPr>
                <w:sz w:val="20"/>
              </w:rPr>
            </w:pPr>
            <w:r>
              <w:rPr>
                <w:spacing w:val="-4"/>
                <w:sz w:val="20"/>
              </w:rPr>
              <w:t>13.0</w:t>
            </w:r>
          </w:p>
        </w:tc>
        <w:tc>
          <w:tcPr>
            <w:tcW w:w="1260" w:type="dxa"/>
            <w:shd w:val="clear" w:color="auto" w:fill="D1E6C6"/>
          </w:tcPr>
          <w:p w:rsidR="00C76E6D" w:rsidRDefault="00913831">
            <w:pPr>
              <w:pStyle w:val="TableParagraph"/>
              <w:spacing w:before="114"/>
              <w:ind w:left="447" w:right="418"/>
              <w:jc w:val="center"/>
              <w:rPr>
                <w:sz w:val="20"/>
              </w:rPr>
            </w:pPr>
            <w:r>
              <w:rPr>
                <w:spacing w:val="-5"/>
                <w:sz w:val="20"/>
              </w:rPr>
              <w:t>9.4</w:t>
            </w:r>
          </w:p>
        </w:tc>
      </w:tr>
      <w:tr w:rsidR="00C76E6D">
        <w:trPr>
          <w:trHeight w:val="420"/>
        </w:trPr>
        <w:tc>
          <w:tcPr>
            <w:tcW w:w="4402" w:type="dxa"/>
            <w:shd w:val="clear" w:color="auto" w:fill="D1E6C6"/>
          </w:tcPr>
          <w:p w:rsidR="00C76E6D" w:rsidRDefault="00913831">
            <w:pPr>
              <w:pStyle w:val="TableParagraph"/>
              <w:spacing w:before="60"/>
              <w:ind w:left="65"/>
              <w:rPr>
                <w:sz w:val="20"/>
              </w:rPr>
            </w:pPr>
            <w:r>
              <w:rPr>
                <w:sz w:val="20"/>
              </w:rPr>
              <w:t>Made</w:t>
            </w:r>
            <w:r>
              <w:rPr>
                <w:spacing w:val="-7"/>
                <w:sz w:val="20"/>
              </w:rPr>
              <w:t xml:space="preserve"> </w:t>
            </w:r>
            <w:r>
              <w:rPr>
                <w:sz w:val="20"/>
              </w:rPr>
              <w:t>a</w:t>
            </w:r>
            <w:r>
              <w:rPr>
                <w:spacing w:val="-3"/>
                <w:sz w:val="20"/>
              </w:rPr>
              <w:t xml:space="preserve"> </w:t>
            </w:r>
            <w:r>
              <w:rPr>
                <w:sz w:val="20"/>
              </w:rPr>
              <w:t>suicide</w:t>
            </w:r>
            <w:r>
              <w:rPr>
                <w:spacing w:val="-6"/>
                <w:sz w:val="20"/>
              </w:rPr>
              <w:t xml:space="preserve"> </w:t>
            </w:r>
            <w:r>
              <w:rPr>
                <w:sz w:val="20"/>
              </w:rPr>
              <w:t>attempt</w:t>
            </w:r>
            <w:r>
              <w:rPr>
                <w:spacing w:val="-4"/>
                <w:sz w:val="20"/>
              </w:rPr>
              <w:t xml:space="preserve"> </w:t>
            </w:r>
            <w:r>
              <w:rPr>
                <w:sz w:val="20"/>
              </w:rPr>
              <w:t>in</w:t>
            </w:r>
            <w:r>
              <w:rPr>
                <w:spacing w:val="-3"/>
                <w:sz w:val="20"/>
              </w:rPr>
              <w:t xml:space="preserve"> </w:t>
            </w:r>
            <w:r>
              <w:rPr>
                <w:sz w:val="20"/>
              </w:rPr>
              <w:t>the</w:t>
            </w:r>
            <w:r>
              <w:rPr>
                <w:spacing w:val="-6"/>
                <w:sz w:val="20"/>
              </w:rPr>
              <w:t xml:space="preserve"> </w:t>
            </w:r>
            <w:r>
              <w:rPr>
                <w:sz w:val="20"/>
              </w:rPr>
              <w:t>past</w:t>
            </w:r>
            <w:r>
              <w:rPr>
                <w:spacing w:val="-3"/>
                <w:sz w:val="20"/>
              </w:rPr>
              <w:t xml:space="preserve"> </w:t>
            </w:r>
            <w:r>
              <w:rPr>
                <w:spacing w:val="-2"/>
                <w:sz w:val="20"/>
              </w:rPr>
              <w:t>year**</w:t>
            </w:r>
          </w:p>
        </w:tc>
        <w:tc>
          <w:tcPr>
            <w:tcW w:w="1170" w:type="dxa"/>
            <w:shd w:val="clear" w:color="auto" w:fill="D1E6C6"/>
          </w:tcPr>
          <w:p w:rsidR="00C76E6D" w:rsidRDefault="00913831">
            <w:pPr>
              <w:pStyle w:val="TableParagraph"/>
              <w:spacing w:before="68"/>
              <w:ind w:left="386" w:right="372"/>
              <w:jc w:val="center"/>
              <w:rPr>
                <w:sz w:val="20"/>
              </w:rPr>
            </w:pPr>
            <w:r>
              <w:rPr>
                <w:spacing w:val="-4"/>
                <w:sz w:val="20"/>
              </w:rPr>
              <w:t>17.2</w:t>
            </w:r>
          </w:p>
        </w:tc>
        <w:tc>
          <w:tcPr>
            <w:tcW w:w="1170" w:type="dxa"/>
            <w:shd w:val="clear" w:color="auto" w:fill="D1E6C6"/>
          </w:tcPr>
          <w:p w:rsidR="00C76E6D" w:rsidRDefault="00913831">
            <w:pPr>
              <w:pStyle w:val="TableParagraph"/>
              <w:spacing w:before="68"/>
              <w:ind w:left="395" w:right="364"/>
              <w:jc w:val="center"/>
              <w:rPr>
                <w:sz w:val="20"/>
              </w:rPr>
            </w:pPr>
            <w:r>
              <w:rPr>
                <w:spacing w:val="-4"/>
                <w:sz w:val="20"/>
              </w:rPr>
              <w:t>17.0</w:t>
            </w:r>
          </w:p>
        </w:tc>
        <w:tc>
          <w:tcPr>
            <w:tcW w:w="1350" w:type="dxa"/>
            <w:shd w:val="clear" w:color="auto" w:fill="D1E6C6"/>
          </w:tcPr>
          <w:p w:rsidR="00C76E6D" w:rsidRDefault="00913831">
            <w:pPr>
              <w:pStyle w:val="TableParagraph"/>
              <w:spacing w:before="68"/>
              <w:ind w:left="478" w:right="462"/>
              <w:jc w:val="center"/>
              <w:rPr>
                <w:sz w:val="20"/>
              </w:rPr>
            </w:pPr>
            <w:r>
              <w:rPr>
                <w:spacing w:val="-5"/>
                <w:sz w:val="20"/>
              </w:rPr>
              <w:t>4.9</w:t>
            </w:r>
          </w:p>
        </w:tc>
        <w:tc>
          <w:tcPr>
            <w:tcW w:w="1260" w:type="dxa"/>
            <w:shd w:val="clear" w:color="auto" w:fill="D1E6C6"/>
          </w:tcPr>
          <w:p w:rsidR="00C76E6D" w:rsidRDefault="00913831">
            <w:pPr>
              <w:pStyle w:val="TableParagraph"/>
              <w:spacing w:before="68"/>
              <w:ind w:left="447" w:right="418"/>
              <w:jc w:val="center"/>
              <w:rPr>
                <w:sz w:val="20"/>
              </w:rPr>
            </w:pPr>
            <w:r>
              <w:rPr>
                <w:spacing w:val="-5"/>
                <w:sz w:val="20"/>
              </w:rPr>
              <w:t>3.7</w:t>
            </w:r>
          </w:p>
        </w:tc>
      </w:tr>
      <w:tr w:rsidR="00C76E6D">
        <w:trPr>
          <w:trHeight w:val="679"/>
        </w:trPr>
        <w:tc>
          <w:tcPr>
            <w:tcW w:w="4402" w:type="dxa"/>
            <w:shd w:val="clear" w:color="auto" w:fill="D1E6C6"/>
          </w:tcPr>
          <w:p w:rsidR="00C76E6D" w:rsidRDefault="00913831">
            <w:pPr>
              <w:pStyle w:val="TableParagraph"/>
              <w:spacing w:before="57" w:line="276" w:lineRule="auto"/>
              <w:ind w:left="65"/>
              <w:rPr>
                <w:sz w:val="20"/>
              </w:rPr>
            </w:pPr>
            <w:r>
              <w:rPr>
                <w:sz w:val="20"/>
              </w:rPr>
              <w:t>Can</w:t>
            </w:r>
            <w:r>
              <w:rPr>
                <w:spacing w:val="-4"/>
                <w:sz w:val="20"/>
              </w:rPr>
              <w:t xml:space="preserve"> </w:t>
            </w:r>
            <w:r>
              <w:rPr>
                <w:sz w:val="20"/>
              </w:rPr>
              <w:t>talk</w:t>
            </w:r>
            <w:r>
              <w:rPr>
                <w:spacing w:val="-5"/>
                <w:sz w:val="20"/>
              </w:rPr>
              <w:t xml:space="preserve"> </w:t>
            </w:r>
            <w:r>
              <w:rPr>
                <w:sz w:val="20"/>
              </w:rPr>
              <w:t>to</w:t>
            </w:r>
            <w:r>
              <w:rPr>
                <w:spacing w:val="-5"/>
                <w:sz w:val="20"/>
              </w:rPr>
              <w:t xml:space="preserve"> </w:t>
            </w:r>
            <w:r>
              <w:rPr>
                <w:sz w:val="20"/>
              </w:rPr>
              <w:t>parents</w:t>
            </w:r>
            <w:r>
              <w:rPr>
                <w:spacing w:val="-4"/>
                <w:sz w:val="20"/>
              </w:rPr>
              <w:t xml:space="preserve"> </w:t>
            </w:r>
            <w:r>
              <w:rPr>
                <w:sz w:val="20"/>
              </w:rPr>
              <w:t>about</w:t>
            </w:r>
            <w:r>
              <w:rPr>
                <w:spacing w:val="-5"/>
                <w:sz w:val="20"/>
              </w:rPr>
              <w:t xml:space="preserve"> </w:t>
            </w:r>
            <w:r>
              <w:rPr>
                <w:sz w:val="20"/>
              </w:rPr>
              <w:t>“things</w:t>
            </w:r>
            <w:r>
              <w:rPr>
                <w:spacing w:val="-4"/>
                <w:sz w:val="20"/>
              </w:rPr>
              <w:t xml:space="preserve"> </w:t>
            </w:r>
            <w:r>
              <w:rPr>
                <w:sz w:val="20"/>
              </w:rPr>
              <w:t>that</w:t>
            </w:r>
            <w:r>
              <w:rPr>
                <w:spacing w:val="-5"/>
                <w:sz w:val="20"/>
              </w:rPr>
              <w:t xml:space="preserve"> </w:t>
            </w:r>
            <w:r>
              <w:rPr>
                <w:sz w:val="20"/>
              </w:rPr>
              <w:t>are</w:t>
            </w:r>
            <w:r>
              <w:rPr>
                <w:spacing w:val="-4"/>
                <w:sz w:val="20"/>
              </w:rPr>
              <w:t xml:space="preserve"> </w:t>
            </w:r>
            <w:r>
              <w:rPr>
                <w:sz w:val="20"/>
              </w:rPr>
              <w:t>important to you”</w:t>
            </w:r>
          </w:p>
        </w:tc>
        <w:tc>
          <w:tcPr>
            <w:tcW w:w="1170" w:type="dxa"/>
            <w:shd w:val="clear" w:color="auto" w:fill="D1E6C6"/>
          </w:tcPr>
          <w:p w:rsidR="00C76E6D" w:rsidRDefault="00C76E6D">
            <w:pPr>
              <w:pStyle w:val="TableParagraph"/>
              <w:spacing w:before="2"/>
              <w:rPr>
                <w:sz w:val="16"/>
              </w:rPr>
            </w:pPr>
          </w:p>
          <w:p w:rsidR="00C76E6D" w:rsidRDefault="00913831">
            <w:pPr>
              <w:pStyle w:val="TableParagraph"/>
              <w:ind w:left="386" w:right="372"/>
              <w:jc w:val="center"/>
              <w:rPr>
                <w:sz w:val="20"/>
              </w:rPr>
            </w:pPr>
            <w:r>
              <w:rPr>
                <w:spacing w:val="-4"/>
                <w:sz w:val="20"/>
              </w:rPr>
              <w:t>72.3</w:t>
            </w:r>
          </w:p>
        </w:tc>
        <w:tc>
          <w:tcPr>
            <w:tcW w:w="1170" w:type="dxa"/>
            <w:shd w:val="clear" w:color="auto" w:fill="D1E6C6"/>
          </w:tcPr>
          <w:p w:rsidR="00C76E6D" w:rsidRDefault="00C76E6D">
            <w:pPr>
              <w:pStyle w:val="TableParagraph"/>
              <w:spacing w:before="2"/>
              <w:rPr>
                <w:sz w:val="16"/>
              </w:rPr>
            </w:pPr>
          </w:p>
          <w:p w:rsidR="00C76E6D" w:rsidRDefault="00913831">
            <w:pPr>
              <w:pStyle w:val="TableParagraph"/>
              <w:ind w:left="395" w:right="364"/>
              <w:jc w:val="center"/>
              <w:rPr>
                <w:sz w:val="20"/>
              </w:rPr>
            </w:pPr>
            <w:r>
              <w:rPr>
                <w:spacing w:val="-4"/>
                <w:sz w:val="20"/>
              </w:rPr>
              <w:t>69.9</w:t>
            </w:r>
          </w:p>
        </w:tc>
        <w:tc>
          <w:tcPr>
            <w:tcW w:w="1350" w:type="dxa"/>
            <w:shd w:val="clear" w:color="auto" w:fill="D1E6C6"/>
          </w:tcPr>
          <w:p w:rsidR="00C76E6D" w:rsidRDefault="00C76E6D">
            <w:pPr>
              <w:pStyle w:val="TableParagraph"/>
              <w:spacing w:before="2"/>
              <w:rPr>
                <w:sz w:val="16"/>
              </w:rPr>
            </w:pPr>
          </w:p>
          <w:p w:rsidR="00C76E6D" w:rsidRDefault="00913831">
            <w:pPr>
              <w:pStyle w:val="TableParagraph"/>
              <w:ind w:left="476" w:right="462"/>
              <w:jc w:val="center"/>
              <w:rPr>
                <w:sz w:val="20"/>
              </w:rPr>
            </w:pPr>
            <w:r>
              <w:rPr>
                <w:spacing w:val="-4"/>
                <w:sz w:val="20"/>
              </w:rPr>
              <w:t>82.2</w:t>
            </w:r>
          </w:p>
        </w:tc>
        <w:tc>
          <w:tcPr>
            <w:tcW w:w="1260" w:type="dxa"/>
            <w:shd w:val="clear" w:color="auto" w:fill="D1E6C6"/>
          </w:tcPr>
          <w:p w:rsidR="00C76E6D" w:rsidRDefault="00C76E6D">
            <w:pPr>
              <w:pStyle w:val="TableParagraph"/>
              <w:spacing w:before="2"/>
              <w:rPr>
                <w:sz w:val="16"/>
              </w:rPr>
            </w:pPr>
          </w:p>
          <w:p w:rsidR="00C76E6D" w:rsidRDefault="00913831">
            <w:pPr>
              <w:pStyle w:val="TableParagraph"/>
              <w:ind w:left="447" w:right="418"/>
              <w:jc w:val="center"/>
              <w:rPr>
                <w:sz w:val="20"/>
              </w:rPr>
            </w:pPr>
            <w:r>
              <w:rPr>
                <w:spacing w:val="-4"/>
                <w:sz w:val="20"/>
              </w:rPr>
              <w:t>81.7</w:t>
            </w:r>
          </w:p>
        </w:tc>
      </w:tr>
      <w:tr w:rsidR="00C76E6D">
        <w:trPr>
          <w:trHeight w:val="509"/>
        </w:trPr>
        <w:tc>
          <w:tcPr>
            <w:tcW w:w="4402" w:type="dxa"/>
            <w:shd w:val="clear" w:color="auto" w:fill="D1E6C6"/>
          </w:tcPr>
          <w:p w:rsidR="00C76E6D" w:rsidRDefault="00913831">
            <w:pPr>
              <w:pStyle w:val="TableParagraph"/>
              <w:spacing w:before="59"/>
              <w:ind w:left="65"/>
              <w:rPr>
                <w:sz w:val="20"/>
              </w:rPr>
            </w:pPr>
            <w:r>
              <w:rPr>
                <w:sz w:val="20"/>
              </w:rPr>
              <w:t>Any</w:t>
            </w:r>
            <w:r>
              <w:rPr>
                <w:spacing w:val="-7"/>
                <w:sz w:val="20"/>
              </w:rPr>
              <w:t xml:space="preserve"> </w:t>
            </w:r>
            <w:r>
              <w:rPr>
                <w:sz w:val="20"/>
              </w:rPr>
              <w:t>lifetime</w:t>
            </w:r>
            <w:r>
              <w:rPr>
                <w:spacing w:val="-9"/>
                <w:sz w:val="20"/>
              </w:rPr>
              <w:t xml:space="preserve"> </w:t>
            </w:r>
            <w:r>
              <w:rPr>
                <w:sz w:val="20"/>
              </w:rPr>
              <w:t>heroin</w:t>
            </w:r>
            <w:r>
              <w:rPr>
                <w:spacing w:val="-6"/>
                <w:sz w:val="20"/>
              </w:rPr>
              <w:t xml:space="preserve"> </w:t>
            </w:r>
            <w:r>
              <w:rPr>
                <w:spacing w:val="-2"/>
                <w:sz w:val="20"/>
              </w:rPr>
              <w:t>use***</w:t>
            </w:r>
          </w:p>
        </w:tc>
        <w:tc>
          <w:tcPr>
            <w:tcW w:w="1170" w:type="dxa"/>
            <w:shd w:val="clear" w:color="auto" w:fill="D1E6C6"/>
          </w:tcPr>
          <w:p w:rsidR="00C76E6D" w:rsidRDefault="00913831">
            <w:pPr>
              <w:pStyle w:val="TableParagraph"/>
              <w:spacing w:before="113"/>
              <w:ind w:left="388" w:right="372"/>
              <w:jc w:val="center"/>
              <w:rPr>
                <w:sz w:val="20"/>
              </w:rPr>
            </w:pPr>
            <w:r>
              <w:rPr>
                <w:spacing w:val="-5"/>
                <w:sz w:val="20"/>
              </w:rPr>
              <w:t>1.1</w:t>
            </w:r>
          </w:p>
        </w:tc>
        <w:tc>
          <w:tcPr>
            <w:tcW w:w="1170" w:type="dxa"/>
            <w:shd w:val="clear" w:color="auto" w:fill="D1E6C6"/>
          </w:tcPr>
          <w:p w:rsidR="00C76E6D" w:rsidRDefault="00913831">
            <w:pPr>
              <w:pStyle w:val="TableParagraph"/>
              <w:spacing w:before="113"/>
              <w:ind w:left="395" w:right="364"/>
              <w:jc w:val="center"/>
              <w:rPr>
                <w:sz w:val="20"/>
              </w:rPr>
            </w:pPr>
            <w:r>
              <w:rPr>
                <w:spacing w:val="-4"/>
                <w:sz w:val="20"/>
              </w:rPr>
              <w:t>10.8</w:t>
            </w:r>
          </w:p>
        </w:tc>
        <w:tc>
          <w:tcPr>
            <w:tcW w:w="1350" w:type="dxa"/>
            <w:shd w:val="clear" w:color="auto" w:fill="D1E6C6"/>
          </w:tcPr>
          <w:p w:rsidR="00C76E6D" w:rsidRDefault="00913831">
            <w:pPr>
              <w:pStyle w:val="TableParagraph"/>
              <w:spacing w:before="113"/>
              <w:ind w:left="478" w:right="462"/>
              <w:jc w:val="center"/>
              <w:rPr>
                <w:sz w:val="20"/>
              </w:rPr>
            </w:pPr>
            <w:r>
              <w:rPr>
                <w:spacing w:val="-5"/>
                <w:sz w:val="20"/>
              </w:rPr>
              <w:t>0.4</w:t>
            </w:r>
          </w:p>
        </w:tc>
        <w:tc>
          <w:tcPr>
            <w:tcW w:w="1260" w:type="dxa"/>
            <w:shd w:val="clear" w:color="auto" w:fill="D1E6C6"/>
          </w:tcPr>
          <w:p w:rsidR="00C76E6D" w:rsidRDefault="00913831">
            <w:pPr>
              <w:pStyle w:val="TableParagraph"/>
              <w:spacing w:before="113"/>
              <w:ind w:left="447" w:right="418"/>
              <w:jc w:val="center"/>
              <w:rPr>
                <w:sz w:val="20"/>
              </w:rPr>
            </w:pPr>
            <w:r>
              <w:rPr>
                <w:spacing w:val="-5"/>
                <w:sz w:val="20"/>
              </w:rPr>
              <w:t>1.5</w:t>
            </w:r>
          </w:p>
        </w:tc>
      </w:tr>
      <w:tr w:rsidR="00C76E6D">
        <w:trPr>
          <w:trHeight w:val="509"/>
        </w:trPr>
        <w:tc>
          <w:tcPr>
            <w:tcW w:w="4402" w:type="dxa"/>
            <w:shd w:val="clear" w:color="auto" w:fill="D1E6C6"/>
          </w:tcPr>
          <w:p w:rsidR="00C76E6D" w:rsidRDefault="00913831">
            <w:pPr>
              <w:pStyle w:val="TableParagraph"/>
              <w:spacing w:before="59"/>
              <w:ind w:left="65"/>
              <w:rPr>
                <w:sz w:val="20"/>
              </w:rPr>
            </w:pPr>
            <w:r>
              <w:rPr>
                <w:sz w:val="20"/>
              </w:rPr>
              <w:t>Had</w:t>
            </w:r>
            <w:r>
              <w:rPr>
                <w:spacing w:val="-10"/>
                <w:sz w:val="20"/>
              </w:rPr>
              <w:t xml:space="preserve"> </w:t>
            </w:r>
            <w:r>
              <w:rPr>
                <w:sz w:val="20"/>
              </w:rPr>
              <w:t>experienced</w:t>
            </w:r>
            <w:r>
              <w:rPr>
                <w:spacing w:val="-9"/>
                <w:sz w:val="20"/>
              </w:rPr>
              <w:t xml:space="preserve"> </w:t>
            </w:r>
            <w:r>
              <w:rPr>
                <w:sz w:val="20"/>
              </w:rPr>
              <w:t>sexual</w:t>
            </w:r>
            <w:r>
              <w:rPr>
                <w:spacing w:val="-10"/>
                <w:sz w:val="20"/>
              </w:rPr>
              <w:t xml:space="preserve"> </w:t>
            </w:r>
            <w:r>
              <w:rPr>
                <w:sz w:val="20"/>
              </w:rPr>
              <w:t>contact</w:t>
            </w:r>
            <w:r>
              <w:rPr>
                <w:spacing w:val="-9"/>
                <w:sz w:val="20"/>
              </w:rPr>
              <w:t xml:space="preserve"> </w:t>
            </w:r>
            <w:r>
              <w:rPr>
                <w:sz w:val="20"/>
              </w:rPr>
              <w:t>against</w:t>
            </w:r>
            <w:r>
              <w:rPr>
                <w:spacing w:val="-9"/>
                <w:sz w:val="20"/>
              </w:rPr>
              <w:t xml:space="preserve"> </w:t>
            </w:r>
            <w:r>
              <w:rPr>
                <w:sz w:val="20"/>
              </w:rPr>
              <w:t>their</w:t>
            </w:r>
            <w:r>
              <w:rPr>
                <w:spacing w:val="-8"/>
                <w:sz w:val="20"/>
              </w:rPr>
              <w:t xml:space="preserve"> </w:t>
            </w:r>
            <w:r>
              <w:rPr>
                <w:spacing w:val="-2"/>
                <w:sz w:val="20"/>
              </w:rPr>
              <w:t>will***</w:t>
            </w:r>
          </w:p>
        </w:tc>
        <w:tc>
          <w:tcPr>
            <w:tcW w:w="1170" w:type="dxa"/>
            <w:shd w:val="clear" w:color="auto" w:fill="D1E6C6"/>
          </w:tcPr>
          <w:p w:rsidR="00C76E6D" w:rsidRDefault="00913831">
            <w:pPr>
              <w:pStyle w:val="TableParagraph"/>
              <w:spacing w:before="114"/>
              <w:ind w:left="386" w:right="372"/>
              <w:jc w:val="center"/>
              <w:rPr>
                <w:sz w:val="20"/>
              </w:rPr>
            </w:pPr>
            <w:r>
              <w:rPr>
                <w:spacing w:val="-4"/>
                <w:sz w:val="20"/>
              </w:rPr>
              <w:t>17.4</w:t>
            </w:r>
          </w:p>
        </w:tc>
        <w:tc>
          <w:tcPr>
            <w:tcW w:w="1170" w:type="dxa"/>
            <w:shd w:val="clear" w:color="auto" w:fill="D1E6C6"/>
          </w:tcPr>
          <w:p w:rsidR="00C76E6D" w:rsidRDefault="00913831">
            <w:pPr>
              <w:pStyle w:val="TableParagraph"/>
              <w:spacing w:before="114"/>
              <w:ind w:left="395" w:right="364"/>
              <w:jc w:val="center"/>
              <w:rPr>
                <w:sz w:val="20"/>
              </w:rPr>
            </w:pPr>
            <w:r>
              <w:rPr>
                <w:spacing w:val="-4"/>
                <w:sz w:val="20"/>
              </w:rPr>
              <w:t>15.7</w:t>
            </w:r>
          </w:p>
        </w:tc>
        <w:tc>
          <w:tcPr>
            <w:tcW w:w="1350" w:type="dxa"/>
            <w:shd w:val="clear" w:color="auto" w:fill="D1E6C6"/>
          </w:tcPr>
          <w:p w:rsidR="00C76E6D" w:rsidRDefault="00913831">
            <w:pPr>
              <w:pStyle w:val="TableParagraph"/>
              <w:spacing w:before="114"/>
              <w:ind w:left="478" w:right="462"/>
              <w:jc w:val="center"/>
              <w:rPr>
                <w:sz w:val="20"/>
              </w:rPr>
            </w:pPr>
            <w:r>
              <w:rPr>
                <w:spacing w:val="-5"/>
                <w:sz w:val="20"/>
              </w:rPr>
              <w:t>8.3</w:t>
            </w:r>
          </w:p>
        </w:tc>
        <w:tc>
          <w:tcPr>
            <w:tcW w:w="1260" w:type="dxa"/>
            <w:shd w:val="clear" w:color="auto" w:fill="D1E6C6"/>
          </w:tcPr>
          <w:p w:rsidR="00C76E6D" w:rsidRDefault="00913831">
            <w:pPr>
              <w:pStyle w:val="TableParagraph"/>
              <w:spacing w:before="114"/>
              <w:ind w:left="447" w:right="418"/>
              <w:jc w:val="center"/>
              <w:rPr>
                <w:sz w:val="20"/>
              </w:rPr>
            </w:pPr>
            <w:r>
              <w:rPr>
                <w:spacing w:val="-5"/>
                <w:sz w:val="20"/>
              </w:rPr>
              <w:t>5.0</w:t>
            </w:r>
          </w:p>
        </w:tc>
      </w:tr>
      <w:tr w:rsidR="00C76E6D">
        <w:trPr>
          <w:trHeight w:val="420"/>
        </w:trPr>
        <w:tc>
          <w:tcPr>
            <w:tcW w:w="4402" w:type="dxa"/>
            <w:shd w:val="clear" w:color="auto" w:fill="D1E6C6"/>
          </w:tcPr>
          <w:p w:rsidR="00C76E6D" w:rsidRDefault="00913831">
            <w:pPr>
              <w:pStyle w:val="TableParagraph"/>
              <w:spacing w:before="59"/>
              <w:ind w:left="65"/>
              <w:rPr>
                <w:sz w:val="20"/>
              </w:rPr>
            </w:pPr>
            <w:r>
              <w:rPr>
                <w:spacing w:val="-2"/>
                <w:sz w:val="20"/>
              </w:rPr>
              <w:t>Homeless</w:t>
            </w:r>
          </w:p>
        </w:tc>
        <w:tc>
          <w:tcPr>
            <w:tcW w:w="1170" w:type="dxa"/>
            <w:shd w:val="clear" w:color="auto" w:fill="D1E6C6"/>
          </w:tcPr>
          <w:p w:rsidR="00C76E6D" w:rsidRDefault="00913831">
            <w:pPr>
              <w:pStyle w:val="TableParagraph"/>
              <w:spacing w:before="68"/>
              <w:ind w:left="388" w:right="372"/>
              <w:jc w:val="center"/>
              <w:rPr>
                <w:sz w:val="20"/>
              </w:rPr>
            </w:pPr>
            <w:r>
              <w:rPr>
                <w:spacing w:val="-5"/>
                <w:sz w:val="20"/>
              </w:rPr>
              <w:t>2.6</w:t>
            </w:r>
          </w:p>
        </w:tc>
        <w:tc>
          <w:tcPr>
            <w:tcW w:w="1170" w:type="dxa"/>
            <w:shd w:val="clear" w:color="auto" w:fill="D1E6C6"/>
          </w:tcPr>
          <w:p w:rsidR="00C76E6D" w:rsidRDefault="00913831">
            <w:pPr>
              <w:pStyle w:val="TableParagraph"/>
              <w:spacing w:before="68"/>
              <w:ind w:left="395" w:right="364"/>
              <w:jc w:val="center"/>
              <w:rPr>
                <w:sz w:val="20"/>
              </w:rPr>
            </w:pPr>
            <w:r>
              <w:rPr>
                <w:spacing w:val="-5"/>
                <w:sz w:val="20"/>
              </w:rPr>
              <w:t>6.2</w:t>
            </w:r>
          </w:p>
        </w:tc>
        <w:tc>
          <w:tcPr>
            <w:tcW w:w="1350" w:type="dxa"/>
            <w:shd w:val="clear" w:color="auto" w:fill="D1E6C6"/>
          </w:tcPr>
          <w:p w:rsidR="00C76E6D" w:rsidRDefault="00913831">
            <w:pPr>
              <w:pStyle w:val="TableParagraph"/>
              <w:spacing w:before="68"/>
              <w:ind w:left="478" w:right="462"/>
              <w:jc w:val="center"/>
              <w:rPr>
                <w:sz w:val="20"/>
              </w:rPr>
            </w:pPr>
            <w:r>
              <w:rPr>
                <w:spacing w:val="-5"/>
                <w:sz w:val="20"/>
              </w:rPr>
              <w:t>1.5</w:t>
            </w:r>
          </w:p>
        </w:tc>
        <w:tc>
          <w:tcPr>
            <w:tcW w:w="1260" w:type="dxa"/>
            <w:shd w:val="clear" w:color="auto" w:fill="D1E6C6"/>
          </w:tcPr>
          <w:p w:rsidR="00C76E6D" w:rsidRDefault="00913831">
            <w:pPr>
              <w:pStyle w:val="TableParagraph"/>
              <w:spacing w:before="68"/>
              <w:ind w:left="447" w:right="418"/>
              <w:jc w:val="center"/>
              <w:rPr>
                <w:sz w:val="20"/>
              </w:rPr>
            </w:pPr>
            <w:r>
              <w:rPr>
                <w:spacing w:val="-5"/>
                <w:sz w:val="20"/>
              </w:rPr>
              <w:t>1.0</w:t>
            </w:r>
          </w:p>
        </w:tc>
      </w:tr>
    </w:tbl>
    <w:p w:rsidR="00C76E6D" w:rsidRDefault="00913831">
      <w:pPr>
        <w:spacing w:before="15"/>
        <w:ind w:left="480"/>
        <w:rPr>
          <w:sz w:val="18"/>
        </w:rPr>
      </w:pPr>
      <w:r>
        <w:rPr>
          <w:sz w:val="18"/>
        </w:rPr>
        <w:t>*p</w:t>
      </w:r>
      <w:r>
        <w:rPr>
          <w:spacing w:val="-5"/>
          <w:sz w:val="18"/>
        </w:rPr>
        <w:t xml:space="preserve"> </w:t>
      </w:r>
      <w:r>
        <w:rPr>
          <w:sz w:val="18"/>
        </w:rPr>
        <w:t>&lt;</w:t>
      </w:r>
      <w:r>
        <w:rPr>
          <w:spacing w:val="-1"/>
          <w:sz w:val="18"/>
        </w:rPr>
        <w:t xml:space="preserve"> </w:t>
      </w:r>
      <w:r>
        <w:rPr>
          <w:sz w:val="18"/>
        </w:rPr>
        <w:t>.05;</w:t>
      </w:r>
      <w:r>
        <w:rPr>
          <w:spacing w:val="-2"/>
          <w:sz w:val="18"/>
        </w:rPr>
        <w:t xml:space="preserve"> </w:t>
      </w:r>
      <w:r>
        <w:rPr>
          <w:sz w:val="18"/>
        </w:rPr>
        <w:t>** p</w:t>
      </w:r>
      <w:r>
        <w:rPr>
          <w:spacing w:val="-1"/>
          <w:sz w:val="18"/>
        </w:rPr>
        <w:t xml:space="preserve"> </w:t>
      </w:r>
      <w:r>
        <w:rPr>
          <w:sz w:val="18"/>
        </w:rPr>
        <w:t>&lt;</w:t>
      </w:r>
      <w:r>
        <w:rPr>
          <w:spacing w:val="-3"/>
          <w:sz w:val="18"/>
        </w:rPr>
        <w:t xml:space="preserve"> </w:t>
      </w:r>
      <w:r>
        <w:rPr>
          <w:sz w:val="18"/>
        </w:rPr>
        <w:t>.01;</w:t>
      </w:r>
      <w:r>
        <w:rPr>
          <w:spacing w:val="-1"/>
          <w:sz w:val="18"/>
        </w:rPr>
        <w:t xml:space="preserve"> </w:t>
      </w:r>
      <w:r>
        <w:rPr>
          <w:sz w:val="18"/>
        </w:rPr>
        <w:t>***</w:t>
      </w:r>
      <w:r>
        <w:rPr>
          <w:spacing w:val="-1"/>
          <w:sz w:val="18"/>
        </w:rPr>
        <w:t xml:space="preserve"> </w:t>
      </w:r>
      <w:r>
        <w:rPr>
          <w:sz w:val="18"/>
        </w:rPr>
        <w:t>p</w:t>
      </w:r>
      <w:r>
        <w:rPr>
          <w:spacing w:val="-1"/>
          <w:sz w:val="18"/>
        </w:rPr>
        <w:t xml:space="preserve"> </w:t>
      </w:r>
      <w:r>
        <w:rPr>
          <w:sz w:val="18"/>
        </w:rPr>
        <w:t>&lt;</w:t>
      </w:r>
      <w:r>
        <w:rPr>
          <w:spacing w:val="-2"/>
          <w:sz w:val="18"/>
        </w:rPr>
        <w:t xml:space="preserve"> </w:t>
      </w:r>
      <w:r>
        <w:rPr>
          <w:spacing w:val="-4"/>
          <w:sz w:val="18"/>
        </w:rPr>
        <w:t>.001</w:t>
      </w:r>
    </w:p>
    <w:p w:rsidR="00C76E6D" w:rsidRDefault="00C76E6D">
      <w:pPr>
        <w:pStyle w:val="BodyText"/>
        <w:rPr>
          <w:sz w:val="20"/>
        </w:rPr>
      </w:pPr>
    </w:p>
    <w:p w:rsidR="00C76E6D" w:rsidRDefault="00C76E6D">
      <w:pPr>
        <w:pStyle w:val="BodyText"/>
        <w:rPr>
          <w:sz w:val="20"/>
        </w:rPr>
      </w:pPr>
    </w:p>
    <w:p w:rsidR="00C76E6D" w:rsidRDefault="00C76E6D">
      <w:pPr>
        <w:pStyle w:val="BodyText"/>
        <w:spacing w:before="2"/>
        <w:rPr>
          <w:sz w:val="13"/>
        </w:rPr>
      </w:pPr>
    </w:p>
    <w:tbl>
      <w:tblPr>
        <w:tblW w:w="0" w:type="auto"/>
        <w:tblInd w:w="4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0"/>
        <w:gridCol w:w="982"/>
        <w:gridCol w:w="1260"/>
        <w:gridCol w:w="900"/>
        <w:gridCol w:w="1080"/>
        <w:gridCol w:w="1620"/>
        <w:gridCol w:w="1890"/>
      </w:tblGrid>
      <w:tr w:rsidR="00C76E6D">
        <w:trPr>
          <w:trHeight w:val="681"/>
        </w:trPr>
        <w:tc>
          <w:tcPr>
            <w:tcW w:w="9352" w:type="dxa"/>
            <w:gridSpan w:val="7"/>
            <w:shd w:val="clear" w:color="auto" w:fill="F8DEC2"/>
          </w:tcPr>
          <w:p w:rsidR="00C76E6D" w:rsidRDefault="00913831">
            <w:pPr>
              <w:pStyle w:val="TableParagraph"/>
              <w:spacing w:before="59" w:line="276" w:lineRule="auto"/>
              <w:ind w:left="65" w:right="246"/>
              <w:rPr>
                <w:b/>
                <w:sz w:val="20"/>
              </w:rPr>
            </w:pPr>
            <w:r>
              <w:rPr>
                <w:b/>
                <w:sz w:val="20"/>
              </w:rPr>
              <w:t>Table</w:t>
            </w:r>
            <w:r>
              <w:rPr>
                <w:b/>
                <w:spacing w:val="76"/>
                <w:sz w:val="20"/>
              </w:rPr>
              <w:t xml:space="preserve"> </w:t>
            </w:r>
            <w:r>
              <w:rPr>
                <w:b/>
                <w:sz w:val="20"/>
              </w:rPr>
              <w:t>4.</w:t>
            </w:r>
            <w:r>
              <w:rPr>
                <w:b/>
                <w:spacing w:val="-3"/>
                <w:sz w:val="20"/>
              </w:rPr>
              <w:t xml:space="preserve"> </w:t>
            </w:r>
            <w:r>
              <w:rPr>
                <w:b/>
                <w:sz w:val="20"/>
              </w:rPr>
              <w:t>Percent</w:t>
            </w:r>
            <w:r>
              <w:rPr>
                <w:b/>
                <w:spacing w:val="76"/>
                <w:sz w:val="20"/>
              </w:rPr>
              <w:t xml:space="preserve"> </w:t>
            </w:r>
            <w:r>
              <w:rPr>
                <w:b/>
                <w:sz w:val="20"/>
              </w:rPr>
              <w:t>of</w:t>
            </w:r>
            <w:r>
              <w:rPr>
                <w:b/>
                <w:spacing w:val="76"/>
                <w:sz w:val="20"/>
              </w:rPr>
              <w:t xml:space="preserve"> </w:t>
            </w:r>
            <w:r>
              <w:rPr>
                <w:b/>
                <w:sz w:val="20"/>
              </w:rPr>
              <w:t>Massachusetts</w:t>
            </w:r>
            <w:r>
              <w:rPr>
                <w:b/>
                <w:spacing w:val="76"/>
                <w:sz w:val="20"/>
              </w:rPr>
              <w:t xml:space="preserve"> </w:t>
            </w:r>
            <w:r>
              <w:rPr>
                <w:b/>
                <w:sz w:val="20"/>
              </w:rPr>
              <w:t>LGBTQ</w:t>
            </w:r>
            <w:r>
              <w:rPr>
                <w:b/>
                <w:spacing w:val="76"/>
                <w:sz w:val="20"/>
              </w:rPr>
              <w:t xml:space="preserve"> </w:t>
            </w:r>
            <w:r>
              <w:rPr>
                <w:b/>
                <w:sz w:val="20"/>
              </w:rPr>
              <w:t>Students</w:t>
            </w:r>
            <w:r>
              <w:rPr>
                <w:b/>
                <w:spacing w:val="76"/>
                <w:sz w:val="20"/>
              </w:rPr>
              <w:t xml:space="preserve"> </w:t>
            </w:r>
            <w:r>
              <w:rPr>
                <w:b/>
                <w:sz w:val="20"/>
              </w:rPr>
              <w:t>Who</w:t>
            </w:r>
            <w:r>
              <w:rPr>
                <w:b/>
                <w:spacing w:val="77"/>
                <w:sz w:val="20"/>
              </w:rPr>
              <w:t xml:space="preserve"> </w:t>
            </w:r>
            <w:r>
              <w:rPr>
                <w:b/>
                <w:sz w:val="20"/>
              </w:rPr>
              <w:t>Reported</w:t>
            </w:r>
            <w:r>
              <w:rPr>
                <w:b/>
                <w:spacing w:val="77"/>
                <w:sz w:val="20"/>
              </w:rPr>
              <w:t xml:space="preserve"> </w:t>
            </w:r>
            <w:r>
              <w:rPr>
                <w:b/>
                <w:sz w:val="20"/>
              </w:rPr>
              <w:t>Risk</w:t>
            </w:r>
            <w:r>
              <w:rPr>
                <w:b/>
                <w:spacing w:val="76"/>
                <w:sz w:val="20"/>
              </w:rPr>
              <w:t xml:space="preserve"> </w:t>
            </w:r>
            <w:r>
              <w:rPr>
                <w:b/>
                <w:sz w:val="20"/>
              </w:rPr>
              <w:t>Behaviors,</w:t>
            </w:r>
            <w:r>
              <w:rPr>
                <w:b/>
                <w:spacing w:val="75"/>
                <w:sz w:val="20"/>
              </w:rPr>
              <w:t xml:space="preserve"> </w:t>
            </w:r>
            <w:r>
              <w:rPr>
                <w:b/>
                <w:sz w:val="20"/>
              </w:rPr>
              <w:t>by Race/Ethnicity, 2015-2017</w:t>
            </w:r>
          </w:p>
        </w:tc>
      </w:tr>
      <w:tr w:rsidR="00C76E6D">
        <w:trPr>
          <w:trHeight w:val="1242"/>
        </w:trPr>
        <w:tc>
          <w:tcPr>
            <w:tcW w:w="1620" w:type="dxa"/>
            <w:shd w:val="clear" w:color="auto" w:fill="F8DEC2"/>
          </w:tcPr>
          <w:p w:rsidR="00C76E6D" w:rsidRDefault="00C76E6D">
            <w:pPr>
              <w:pStyle w:val="TableParagraph"/>
              <w:rPr>
                <w:rFonts w:ascii="Times New Roman"/>
                <w:sz w:val="20"/>
              </w:rPr>
            </w:pPr>
          </w:p>
        </w:tc>
        <w:tc>
          <w:tcPr>
            <w:tcW w:w="982" w:type="dxa"/>
            <w:shd w:val="clear" w:color="auto" w:fill="F8DEC2"/>
          </w:tcPr>
          <w:p w:rsidR="00C76E6D" w:rsidRDefault="00913831">
            <w:pPr>
              <w:pStyle w:val="TableParagraph"/>
              <w:spacing w:before="59"/>
              <w:ind w:left="65"/>
              <w:rPr>
                <w:b/>
                <w:sz w:val="20"/>
              </w:rPr>
            </w:pPr>
            <w:r>
              <w:rPr>
                <w:b/>
                <w:spacing w:val="-2"/>
                <w:sz w:val="20"/>
              </w:rPr>
              <w:t>Asian</w:t>
            </w:r>
          </w:p>
          <w:p w:rsidR="00C76E6D" w:rsidRDefault="00913831">
            <w:pPr>
              <w:pStyle w:val="TableParagraph"/>
              <w:spacing w:before="35"/>
              <w:ind w:left="216"/>
              <w:rPr>
                <w:b/>
                <w:sz w:val="20"/>
              </w:rPr>
            </w:pPr>
            <w:r>
              <w:rPr>
                <w:b/>
                <w:spacing w:val="-2"/>
                <w:sz w:val="20"/>
              </w:rPr>
              <w:t>(N=48)</w:t>
            </w:r>
          </w:p>
        </w:tc>
        <w:tc>
          <w:tcPr>
            <w:tcW w:w="1260" w:type="dxa"/>
            <w:shd w:val="clear" w:color="auto" w:fill="F8DEC2"/>
          </w:tcPr>
          <w:p w:rsidR="00C76E6D" w:rsidRDefault="00913831">
            <w:pPr>
              <w:pStyle w:val="TableParagraph"/>
              <w:spacing w:before="59" w:line="276" w:lineRule="auto"/>
              <w:ind w:left="65" w:right="397"/>
              <w:rPr>
                <w:b/>
                <w:sz w:val="20"/>
              </w:rPr>
            </w:pPr>
            <w:r>
              <w:rPr>
                <w:b/>
                <w:sz w:val="20"/>
              </w:rPr>
              <w:t xml:space="preserve">Black or </w:t>
            </w:r>
            <w:r>
              <w:rPr>
                <w:b/>
                <w:spacing w:val="-2"/>
                <w:sz w:val="20"/>
              </w:rPr>
              <w:t xml:space="preserve">African </w:t>
            </w:r>
            <w:r>
              <w:rPr>
                <w:b/>
                <w:spacing w:val="-4"/>
                <w:sz w:val="20"/>
              </w:rPr>
              <w:t xml:space="preserve">American </w:t>
            </w:r>
            <w:r>
              <w:rPr>
                <w:b/>
                <w:spacing w:val="-2"/>
                <w:sz w:val="20"/>
              </w:rPr>
              <w:t>(N=94)</w:t>
            </w:r>
          </w:p>
        </w:tc>
        <w:tc>
          <w:tcPr>
            <w:tcW w:w="900" w:type="dxa"/>
            <w:shd w:val="clear" w:color="auto" w:fill="F8DEC2"/>
          </w:tcPr>
          <w:p w:rsidR="00C76E6D" w:rsidRDefault="00913831">
            <w:pPr>
              <w:pStyle w:val="TableParagraph"/>
              <w:spacing w:before="59" w:line="276" w:lineRule="auto"/>
              <w:ind w:left="125" w:right="107" w:hanging="60"/>
              <w:rPr>
                <w:b/>
                <w:sz w:val="20"/>
              </w:rPr>
            </w:pPr>
            <w:r>
              <w:rPr>
                <w:b/>
                <w:spacing w:val="-2"/>
                <w:sz w:val="20"/>
              </w:rPr>
              <w:t xml:space="preserve">White </w:t>
            </w:r>
            <w:r>
              <w:rPr>
                <w:b/>
                <w:spacing w:val="-4"/>
                <w:sz w:val="20"/>
              </w:rPr>
              <w:t>(N=396)</w:t>
            </w:r>
          </w:p>
        </w:tc>
        <w:tc>
          <w:tcPr>
            <w:tcW w:w="1080" w:type="dxa"/>
            <w:shd w:val="clear" w:color="auto" w:fill="F8DEC2"/>
          </w:tcPr>
          <w:p w:rsidR="00C76E6D" w:rsidRDefault="00913831">
            <w:pPr>
              <w:pStyle w:val="TableParagraph"/>
              <w:spacing w:before="59" w:line="276" w:lineRule="auto"/>
              <w:ind w:left="65"/>
              <w:rPr>
                <w:b/>
                <w:sz w:val="20"/>
              </w:rPr>
            </w:pPr>
            <w:r>
              <w:rPr>
                <w:b/>
                <w:spacing w:val="-4"/>
                <w:sz w:val="20"/>
              </w:rPr>
              <w:t xml:space="preserve">Hispanic/ </w:t>
            </w:r>
            <w:r>
              <w:rPr>
                <w:b/>
                <w:spacing w:val="-2"/>
                <w:sz w:val="20"/>
              </w:rPr>
              <w:t>Latinx (N=75)</w:t>
            </w:r>
          </w:p>
        </w:tc>
        <w:tc>
          <w:tcPr>
            <w:tcW w:w="1620" w:type="dxa"/>
            <w:shd w:val="clear" w:color="auto" w:fill="F8DEC2"/>
          </w:tcPr>
          <w:p w:rsidR="00C76E6D" w:rsidRDefault="00913831">
            <w:pPr>
              <w:pStyle w:val="TableParagraph"/>
              <w:spacing w:before="59" w:line="276" w:lineRule="auto"/>
              <w:ind w:left="65" w:right="189"/>
              <w:rPr>
                <w:b/>
                <w:sz w:val="20"/>
              </w:rPr>
            </w:pPr>
            <w:r>
              <w:rPr>
                <w:b/>
                <w:spacing w:val="-2"/>
                <w:sz w:val="20"/>
              </w:rPr>
              <w:t>Multiracial, Hispanic/</w:t>
            </w:r>
            <w:r>
              <w:rPr>
                <w:b/>
                <w:spacing w:val="-13"/>
                <w:sz w:val="20"/>
              </w:rPr>
              <w:t xml:space="preserve"> </w:t>
            </w:r>
            <w:r>
              <w:rPr>
                <w:b/>
                <w:spacing w:val="-2"/>
                <w:sz w:val="20"/>
              </w:rPr>
              <w:t>Latinx (N=174)</w:t>
            </w:r>
          </w:p>
        </w:tc>
        <w:tc>
          <w:tcPr>
            <w:tcW w:w="1890" w:type="dxa"/>
            <w:shd w:val="clear" w:color="auto" w:fill="F8DEC2"/>
          </w:tcPr>
          <w:p w:rsidR="00C76E6D" w:rsidRDefault="00913831">
            <w:pPr>
              <w:pStyle w:val="TableParagraph"/>
              <w:spacing w:before="59" w:line="276" w:lineRule="auto"/>
              <w:ind w:left="65" w:right="414"/>
              <w:jc w:val="both"/>
              <w:rPr>
                <w:b/>
                <w:sz w:val="20"/>
              </w:rPr>
            </w:pPr>
            <w:r>
              <w:rPr>
                <w:b/>
                <w:spacing w:val="-2"/>
                <w:sz w:val="20"/>
              </w:rPr>
              <w:t>Multiracial,</w:t>
            </w:r>
            <w:r>
              <w:rPr>
                <w:b/>
                <w:spacing w:val="-10"/>
                <w:sz w:val="20"/>
              </w:rPr>
              <w:t xml:space="preserve"> </w:t>
            </w:r>
            <w:r>
              <w:rPr>
                <w:b/>
                <w:spacing w:val="-2"/>
                <w:sz w:val="20"/>
              </w:rPr>
              <w:t xml:space="preserve">Non- </w:t>
            </w:r>
            <w:r>
              <w:rPr>
                <w:b/>
                <w:sz w:val="20"/>
              </w:rPr>
              <w:t xml:space="preserve">Hispanic/ Latinx </w:t>
            </w:r>
            <w:r>
              <w:rPr>
                <w:b/>
                <w:spacing w:val="-2"/>
                <w:sz w:val="20"/>
              </w:rPr>
              <w:t>(N=52)</w:t>
            </w:r>
          </w:p>
        </w:tc>
      </w:tr>
      <w:tr w:rsidR="00C76E6D">
        <w:trPr>
          <w:trHeight w:val="689"/>
        </w:trPr>
        <w:tc>
          <w:tcPr>
            <w:tcW w:w="1620" w:type="dxa"/>
            <w:shd w:val="clear" w:color="auto" w:fill="F8DEC2"/>
          </w:tcPr>
          <w:p w:rsidR="00C76E6D" w:rsidRDefault="00913831">
            <w:pPr>
              <w:pStyle w:val="TableParagraph"/>
              <w:spacing w:before="59" w:line="276" w:lineRule="auto"/>
              <w:ind w:left="65" w:right="189"/>
              <w:rPr>
                <w:sz w:val="20"/>
              </w:rPr>
            </w:pPr>
            <w:r>
              <w:rPr>
                <w:sz w:val="20"/>
              </w:rPr>
              <w:t>Bullied</w:t>
            </w:r>
            <w:r>
              <w:rPr>
                <w:spacing w:val="-12"/>
                <w:sz w:val="20"/>
              </w:rPr>
              <w:t xml:space="preserve"> </w:t>
            </w:r>
            <w:r>
              <w:rPr>
                <w:sz w:val="20"/>
              </w:rPr>
              <w:t>at</w:t>
            </w:r>
            <w:r>
              <w:rPr>
                <w:spacing w:val="-11"/>
                <w:sz w:val="20"/>
              </w:rPr>
              <w:t xml:space="preserve"> </w:t>
            </w:r>
            <w:r>
              <w:rPr>
                <w:sz w:val="20"/>
              </w:rPr>
              <w:t>school in</w:t>
            </w:r>
            <w:r>
              <w:rPr>
                <w:spacing w:val="-4"/>
                <w:sz w:val="20"/>
              </w:rPr>
              <w:t xml:space="preserve"> </w:t>
            </w:r>
            <w:r>
              <w:rPr>
                <w:sz w:val="20"/>
              </w:rPr>
              <w:t>the</w:t>
            </w:r>
            <w:r>
              <w:rPr>
                <w:spacing w:val="-2"/>
                <w:sz w:val="20"/>
              </w:rPr>
              <w:t xml:space="preserve"> </w:t>
            </w:r>
            <w:r>
              <w:rPr>
                <w:sz w:val="20"/>
              </w:rPr>
              <w:t>past</w:t>
            </w:r>
            <w:r>
              <w:rPr>
                <w:spacing w:val="-3"/>
                <w:sz w:val="20"/>
              </w:rPr>
              <w:t xml:space="preserve"> </w:t>
            </w:r>
            <w:r>
              <w:rPr>
                <w:spacing w:val="-4"/>
                <w:sz w:val="20"/>
              </w:rPr>
              <w:t>year*</w:t>
            </w:r>
          </w:p>
        </w:tc>
        <w:tc>
          <w:tcPr>
            <w:tcW w:w="982" w:type="dxa"/>
            <w:shd w:val="clear" w:color="auto" w:fill="F8DEC2"/>
          </w:tcPr>
          <w:p w:rsidR="00C76E6D" w:rsidRDefault="00C76E6D">
            <w:pPr>
              <w:pStyle w:val="TableParagraph"/>
              <w:spacing w:before="1"/>
              <w:rPr>
                <w:sz w:val="28"/>
              </w:rPr>
            </w:pPr>
          </w:p>
          <w:p w:rsidR="00C76E6D" w:rsidRDefault="00913831">
            <w:pPr>
              <w:pStyle w:val="TableParagraph"/>
              <w:ind w:left="309" w:right="279"/>
              <w:jc w:val="center"/>
              <w:rPr>
                <w:sz w:val="20"/>
              </w:rPr>
            </w:pPr>
            <w:r>
              <w:rPr>
                <w:spacing w:val="-4"/>
                <w:sz w:val="20"/>
              </w:rPr>
              <w:t>14.3</w:t>
            </w:r>
          </w:p>
        </w:tc>
        <w:tc>
          <w:tcPr>
            <w:tcW w:w="1260" w:type="dxa"/>
            <w:shd w:val="clear" w:color="auto" w:fill="F8DEC2"/>
          </w:tcPr>
          <w:p w:rsidR="00C76E6D" w:rsidRDefault="00C76E6D">
            <w:pPr>
              <w:pStyle w:val="TableParagraph"/>
              <w:spacing w:before="1"/>
              <w:rPr>
                <w:sz w:val="28"/>
              </w:rPr>
            </w:pPr>
          </w:p>
          <w:p w:rsidR="00C76E6D" w:rsidRDefault="00913831">
            <w:pPr>
              <w:pStyle w:val="TableParagraph"/>
              <w:ind w:left="447" w:right="418"/>
              <w:jc w:val="center"/>
              <w:rPr>
                <w:sz w:val="20"/>
              </w:rPr>
            </w:pPr>
            <w:r>
              <w:rPr>
                <w:spacing w:val="-4"/>
                <w:sz w:val="20"/>
              </w:rPr>
              <w:t>20.8</w:t>
            </w:r>
          </w:p>
        </w:tc>
        <w:tc>
          <w:tcPr>
            <w:tcW w:w="900" w:type="dxa"/>
            <w:shd w:val="clear" w:color="auto" w:fill="F8DEC2"/>
          </w:tcPr>
          <w:p w:rsidR="00C76E6D" w:rsidRDefault="00C76E6D">
            <w:pPr>
              <w:pStyle w:val="TableParagraph"/>
              <w:spacing w:before="1"/>
              <w:rPr>
                <w:sz w:val="28"/>
              </w:rPr>
            </w:pPr>
          </w:p>
          <w:p w:rsidR="00C76E6D" w:rsidRDefault="00913831">
            <w:pPr>
              <w:pStyle w:val="TableParagraph"/>
              <w:ind w:left="267" w:right="238"/>
              <w:jc w:val="center"/>
              <w:rPr>
                <w:sz w:val="20"/>
              </w:rPr>
            </w:pPr>
            <w:r>
              <w:rPr>
                <w:spacing w:val="-4"/>
                <w:sz w:val="20"/>
              </w:rPr>
              <w:t>30.1</w:t>
            </w:r>
          </w:p>
        </w:tc>
        <w:tc>
          <w:tcPr>
            <w:tcW w:w="1080" w:type="dxa"/>
            <w:shd w:val="clear" w:color="auto" w:fill="F8DEC2"/>
          </w:tcPr>
          <w:p w:rsidR="00C76E6D" w:rsidRDefault="00C76E6D">
            <w:pPr>
              <w:pStyle w:val="TableParagraph"/>
              <w:spacing w:before="1"/>
              <w:rPr>
                <w:sz w:val="28"/>
              </w:rPr>
            </w:pPr>
          </w:p>
          <w:p w:rsidR="00C76E6D" w:rsidRDefault="00913831">
            <w:pPr>
              <w:pStyle w:val="TableParagraph"/>
              <w:ind w:left="357" w:right="328"/>
              <w:jc w:val="center"/>
              <w:rPr>
                <w:sz w:val="20"/>
              </w:rPr>
            </w:pPr>
            <w:r>
              <w:rPr>
                <w:spacing w:val="-4"/>
                <w:sz w:val="20"/>
              </w:rPr>
              <w:t>10.3</w:t>
            </w:r>
          </w:p>
        </w:tc>
        <w:tc>
          <w:tcPr>
            <w:tcW w:w="1620" w:type="dxa"/>
            <w:shd w:val="clear" w:color="auto" w:fill="F8DEC2"/>
          </w:tcPr>
          <w:p w:rsidR="00C76E6D" w:rsidRDefault="00C76E6D">
            <w:pPr>
              <w:pStyle w:val="TableParagraph"/>
              <w:spacing w:before="1"/>
              <w:rPr>
                <w:sz w:val="28"/>
              </w:rPr>
            </w:pPr>
          </w:p>
          <w:p w:rsidR="00C76E6D" w:rsidRDefault="00913831">
            <w:pPr>
              <w:pStyle w:val="TableParagraph"/>
              <w:ind w:left="627" w:right="598"/>
              <w:jc w:val="center"/>
              <w:rPr>
                <w:sz w:val="20"/>
              </w:rPr>
            </w:pPr>
            <w:r>
              <w:rPr>
                <w:spacing w:val="-4"/>
                <w:sz w:val="20"/>
              </w:rPr>
              <w:t>24.0</w:t>
            </w:r>
          </w:p>
        </w:tc>
        <w:tc>
          <w:tcPr>
            <w:tcW w:w="1890" w:type="dxa"/>
            <w:shd w:val="clear" w:color="auto" w:fill="F8DEC2"/>
          </w:tcPr>
          <w:p w:rsidR="00C76E6D" w:rsidRDefault="00C76E6D">
            <w:pPr>
              <w:pStyle w:val="TableParagraph"/>
              <w:spacing w:before="1"/>
              <w:rPr>
                <w:sz w:val="28"/>
              </w:rPr>
            </w:pPr>
          </w:p>
          <w:p w:rsidR="00C76E6D" w:rsidRDefault="00913831">
            <w:pPr>
              <w:pStyle w:val="TableParagraph"/>
              <w:ind w:left="763" w:right="732"/>
              <w:jc w:val="center"/>
              <w:rPr>
                <w:sz w:val="20"/>
              </w:rPr>
            </w:pPr>
            <w:r>
              <w:rPr>
                <w:spacing w:val="-4"/>
                <w:sz w:val="20"/>
              </w:rPr>
              <w:t>28.6</w:t>
            </w:r>
          </w:p>
        </w:tc>
      </w:tr>
      <w:tr w:rsidR="00C76E6D">
        <w:trPr>
          <w:trHeight w:val="1243"/>
        </w:trPr>
        <w:tc>
          <w:tcPr>
            <w:tcW w:w="1620" w:type="dxa"/>
            <w:shd w:val="clear" w:color="auto" w:fill="F8DEC2"/>
          </w:tcPr>
          <w:p w:rsidR="00C76E6D" w:rsidRDefault="00913831">
            <w:pPr>
              <w:pStyle w:val="TableParagraph"/>
              <w:spacing w:before="59" w:line="276" w:lineRule="auto"/>
              <w:ind w:left="65" w:right="69"/>
              <w:rPr>
                <w:sz w:val="20"/>
              </w:rPr>
            </w:pPr>
            <w:r>
              <w:rPr>
                <w:spacing w:val="-2"/>
                <w:sz w:val="20"/>
              </w:rPr>
              <w:t>Skipped</w:t>
            </w:r>
            <w:r>
              <w:rPr>
                <w:spacing w:val="-11"/>
                <w:sz w:val="20"/>
              </w:rPr>
              <w:t xml:space="preserve"> </w:t>
            </w:r>
            <w:r>
              <w:rPr>
                <w:spacing w:val="-2"/>
                <w:sz w:val="20"/>
              </w:rPr>
              <w:t>school</w:t>
            </w:r>
            <w:r>
              <w:rPr>
                <w:spacing w:val="-12"/>
                <w:sz w:val="20"/>
              </w:rPr>
              <w:t xml:space="preserve"> </w:t>
            </w:r>
            <w:r>
              <w:rPr>
                <w:spacing w:val="-2"/>
                <w:sz w:val="20"/>
              </w:rPr>
              <w:t xml:space="preserve">in </w:t>
            </w:r>
            <w:r>
              <w:rPr>
                <w:sz w:val="20"/>
              </w:rPr>
              <w:t xml:space="preserve">past month because felt </w:t>
            </w:r>
            <w:r>
              <w:rPr>
                <w:spacing w:val="-2"/>
                <w:sz w:val="20"/>
              </w:rPr>
              <w:t>unsafe**</w:t>
            </w:r>
          </w:p>
        </w:tc>
        <w:tc>
          <w:tcPr>
            <w:tcW w:w="982"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left="309" w:right="279"/>
              <w:jc w:val="center"/>
              <w:rPr>
                <w:sz w:val="20"/>
              </w:rPr>
            </w:pPr>
            <w:r>
              <w:rPr>
                <w:spacing w:val="-4"/>
                <w:sz w:val="20"/>
              </w:rPr>
              <w:t>10.5</w:t>
            </w:r>
          </w:p>
        </w:tc>
        <w:tc>
          <w:tcPr>
            <w:tcW w:w="126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left="447" w:right="418"/>
              <w:jc w:val="center"/>
              <w:rPr>
                <w:sz w:val="20"/>
              </w:rPr>
            </w:pPr>
            <w:r>
              <w:rPr>
                <w:spacing w:val="-4"/>
                <w:sz w:val="20"/>
              </w:rPr>
              <w:t>12.6</w:t>
            </w:r>
          </w:p>
        </w:tc>
        <w:tc>
          <w:tcPr>
            <w:tcW w:w="90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left="267" w:right="238"/>
              <w:jc w:val="center"/>
              <w:rPr>
                <w:sz w:val="20"/>
              </w:rPr>
            </w:pPr>
            <w:r>
              <w:rPr>
                <w:spacing w:val="-5"/>
                <w:sz w:val="20"/>
              </w:rPr>
              <w:t>9.0</w:t>
            </w:r>
          </w:p>
        </w:tc>
        <w:tc>
          <w:tcPr>
            <w:tcW w:w="108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left="357" w:right="328"/>
              <w:jc w:val="center"/>
              <w:rPr>
                <w:sz w:val="20"/>
              </w:rPr>
            </w:pPr>
            <w:r>
              <w:rPr>
                <w:spacing w:val="-4"/>
                <w:sz w:val="20"/>
              </w:rPr>
              <w:t>14.0</w:t>
            </w:r>
          </w:p>
        </w:tc>
        <w:tc>
          <w:tcPr>
            <w:tcW w:w="162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left="627" w:right="598"/>
              <w:jc w:val="center"/>
              <w:rPr>
                <w:sz w:val="20"/>
              </w:rPr>
            </w:pPr>
            <w:r>
              <w:rPr>
                <w:spacing w:val="-4"/>
                <w:sz w:val="20"/>
              </w:rPr>
              <w:t>21.9</w:t>
            </w:r>
          </w:p>
        </w:tc>
        <w:tc>
          <w:tcPr>
            <w:tcW w:w="189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left="763" w:right="732"/>
              <w:jc w:val="center"/>
              <w:rPr>
                <w:sz w:val="20"/>
              </w:rPr>
            </w:pPr>
            <w:r>
              <w:rPr>
                <w:spacing w:val="-4"/>
                <w:sz w:val="20"/>
              </w:rPr>
              <w:t>10.7</w:t>
            </w:r>
          </w:p>
        </w:tc>
      </w:tr>
    </w:tbl>
    <w:p w:rsidR="00C76E6D" w:rsidRDefault="00C76E6D">
      <w:pPr>
        <w:jc w:val="center"/>
        <w:rPr>
          <w:sz w:val="20"/>
        </w:rPr>
        <w:sectPr w:rsidR="00C76E6D">
          <w:pgSz w:w="12240" w:h="15840"/>
          <w:pgMar w:top="960" w:right="960" w:bottom="860" w:left="960" w:header="760" w:footer="679" w:gutter="0"/>
          <w:cols w:space="720"/>
        </w:sectPr>
      </w:pPr>
    </w:p>
    <w:p w:rsidR="00C76E6D" w:rsidRDefault="00C76E6D">
      <w:pPr>
        <w:pStyle w:val="BodyText"/>
        <w:rPr>
          <w:sz w:val="20"/>
        </w:rPr>
      </w:pPr>
    </w:p>
    <w:p w:rsidR="00C76E6D" w:rsidRDefault="00C76E6D">
      <w:pPr>
        <w:pStyle w:val="BodyText"/>
        <w:spacing w:before="9"/>
        <w:rPr>
          <w:sz w:val="17"/>
        </w:rPr>
      </w:pPr>
    </w:p>
    <w:tbl>
      <w:tblPr>
        <w:tblW w:w="0" w:type="auto"/>
        <w:tblInd w:w="4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0"/>
        <w:gridCol w:w="982"/>
        <w:gridCol w:w="1260"/>
        <w:gridCol w:w="900"/>
        <w:gridCol w:w="1080"/>
        <w:gridCol w:w="1620"/>
        <w:gridCol w:w="1890"/>
      </w:tblGrid>
      <w:tr w:rsidR="00C76E6D">
        <w:trPr>
          <w:trHeight w:val="960"/>
        </w:trPr>
        <w:tc>
          <w:tcPr>
            <w:tcW w:w="1620" w:type="dxa"/>
            <w:shd w:val="clear" w:color="auto" w:fill="F8DEC2"/>
          </w:tcPr>
          <w:p w:rsidR="00C76E6D" w:rsidRDefault="00913831">
            <w:pPr>
              <w:pStyle w:val="TableParagraph"/>
              <w:spacing w:before="59" w:line="276" w:lineRule="auto"/>
              <w:ind w:left="65" w:right="69"/>
              <w:rPr>
                <w:sz w:val="20"/>
              </w:rPr>
            </w:pPr>
            <w:r>
              <w:rPr>
                <w:spacing w:val="-2"/>
                <w:sz w:val="20"/>
              </w:rPr>
              <w:t>Been</w:t>
            </w:r>
            <w:r>
              <w:rPr>
                <w:spacing w:val="-14"/>
                <w:sz w:val="20"/>
              </w:rPr>
              <w:t xml:space="preserve"> </w:t>
            </w:r>
            <w:r>
              <w:rPr>
                <w:spacing w:val="-2"/>
                <w:sz w:val="20"/>
              </w:rPr>
              <w:t>in</w:t>
            </w:r>
            <w:r>
              <w:rPr>
                <w:spacing w:val="-12"/>
                <w:sz w:val="20"/>
              </w:rPr>
              <w:t xml:space="preserve"> </w:t>
            </w:r>
            <w:r>
              <w:rPr>
                <w:spacing w:val="-2"/>
                <w:sz w:val="20"/>
              </w:rPr>
              <w:t>a</w:t>
            </w:r>
            <w:r>
              <w:rPr>
                <w:spacing w:val="-12"/>
                <w:sz w:val="20"/>
              </w:rPr>
              <w:t xml:space="preserve"> </w:t>
            </w:r>
            <w:r>
              <w:rPr>
                <w:spacing w:val="-2"/>
                <w:sz w:val="20"/>
              </w:rPr>
              <w:t xml:space="preserve">physical </w:t>
            </w:r>
            <w:r>
              <w:rPr>
                <w:sz w:val="20"/>
              </w:rPr>
              <w:t>fight at school in the past year*</w:t>
            </w:r>
          </w:p>
        </w:tc>
        <w:tc>
          <w:tcPr>
            <w:tcW w:w="982" w:type="dxa"/>
            <w:shd w:val="clear" w:color="auto" w:fill="F8DEC2"/>
          </w:tcPr>
          <w:p w:rsidR="00C76E6D" w:rsidRDefault="00C76E6D">
            <w:pPr>
              <w:pStyle w:val="TableParagraph"/>
              <w:rPr>
                <w:sz w:val="20"/>
              </w:rPr>
            </w:pPr>
          </w:p>
          <w:p w:rsidR="00C76E6D" w:rsidRDefault="00C76E6D">
            <w:pPr>
              <w:pStyle w:val="TableParagraph"/>
              <w:spacing w:before="2"/>
              <w:rPr>
                <w:sz w:val="19"/>
              </w:rPr>
            </w:pPr>
          </w:p>
          <w:p w:rsidR="00C76E6D" w:rsidRDefault="00913831">
            <w:pPr>
              <w:pStyle w:val="TableParagraph"/>
              <w:ind w:right="342"/>
              <w:jc w:val="right"/>
              <w:rPr>
                <w:sz w:val="20"/>
              </w:rPr>
            </w:pPr>
            <w:r>
              <w:rPr>
                <w:spacing w:val="-5"/>
                <w:sz w:val="20"/>
              </w:rPr>
              <w:t>7.1</w:t>
            </w:r>
          </w:p>
        </w:tc>
        <w:tc>
          <w:tcPr>
            <w:tcW w:w="1260" w:type="dxa"/>
            <w:shd w:val="clear" w:color="auto" w:fill="F8DEC2"/>
          </w:tcPr>
          <w:p w:rsidR="00C76E6D" w:rsidRDefault="00C76E6D">
            <w:pPr>
              <w:pStyle w:val="TableParagraph"/>
              <w:rPr>
                <w:sz w:val="20"/>
              </w:rPr>
            </w:pPr>
          </w:p>
          <w:p w:rsidR="00C76E6D" w:rsidRDefault="00C76E6D">
            <w:pPr>
              <w:pStyle w:val="TableParagraph"/>
              <w:spacing w:before="2"/>
              <w:rPr>
                <w:sz w:val="19"/>
              </w:rPr>
            </w:pPr>
          </w:p>
          <w:p w:rsidR="00C76E6D" w:rsidRDefault="00913831">
            <w:pPr>
              <w:pStyle w:val="TableParagraph"/>
              <w:ind w:right="434"/>
              <w:jc w:val="right"/>
              <w:rPr>
                <w:sz w:val="20"/>
              </w:rPr>
            </w:pPr>
            <w:r>
              <w:rPr>
                <w:spacing w:val="-4"/>
                <w:sz w:val="20"/>
              </w:rPr>
              <w:t>15.8</w:t>
            </w:r>
          </w:p>
        </w:tc>
        <w:tc>
          <w:tcPr>
            <w:tcW w:w="900" w:type="dxa"/>
            <w:shd w:val="clear" w:color="auto" w:fill="F8DEC2"/>
          </w:tcPr>
          <w:p w:rsidR="00C76E6D" w:rsidRDefault="00C76E6D">
            <w:pPr>
              <w:pStyle w:val="TableParagraph"/>
              <w:rPr>
                <w:sz w:val="20"/>
              </w:rPr>
            </w:pPr>
          </w:p>
          <w:p w:rsidR="00C76E6D" w:rsidRDefault="00C76E6D">
            <w:pPr>
              <w:pStyle w:val="TableParagraph"/>
              <w:spacing w:before="2"/>
              <w:rPr>
                <w:sz w:val="19"/>
              </w:rPr>
            </w:pPr>
          </w:p>
          <w:p w:rsidR="00C76E6D" w:rsidRDefault="00913831">
            <w:pPr>
              <w:pStyle w:val="TableParagraph"/>
              <w:ind w:left="267" w:right="238"/>
              <w:jc w:val="center"/>
              <w:rPr>
                <w:sz w:val="20"/>
              </w:rPr>
            </w:pPr>
            <w:r>
              <w:rPr>
                <w:spacing w:val="-5"/>
                <w:sz w:val="20"/>
              </w:rPr>
              <w:t>6.9</w:t>
            </w:r>
          </w:p>
        </w:tc>
        <w:tc>
          <w:tcPr>
            <w:tcW w:w="1080" w:type="dxa"/>
            <w:shd w:val="clear" w:color="auto" w:fill="F8DEC2"/>
          </w:tcPr>
          <w:p w:rsidR="00C76E6D" w:rsidRDefault="00C76E6D">
            <w:pPr>
              <w:pStyle w:val="TableParagraph"/>
              <w:rPr>
                <w:sz w:val="20"/>
              </w:rPr>
            </w:pPr>
          </w:p>
          <w:p w:rsidR="00C76E6D" w:rsidRDefault="00C76E6D">
            <w:pPr>
              <w:pStyle w:val="TableParagraph"/>
              <w:spacing w:before="2"/>
              <w:rPr>
                <w:sz w:val="19"/>
              </w:rPr>
            </w:pPr>
          </w:p>
          <w:p w:rsidR="00C76E6D" w:rsidRDefault="00913831">
            <w:pPr>
              <w:pStyle w:val="TableParagraph"/>
              <w:ind w:left="357" w:right="328"/>
              <w:jc w:val="center"/>
              <w:rPr>
                <w:sz w:val="20"/>
              </w:rPr>
            </w:pPr>
            <w:r>
              <w:rPr>
                <w:spacing w:val="-4"/>
                <w:sz w:val="20"/>
              </w:rPr>
              <w:t>12.3</w:t>
            </w:r>
          </w:p>
        </w:tc>
        <w:tc>
          <w:tcPr>
            <w:tcW w:w="1620" w:type="dxa"/>
            <w:shd w:val="clear" w:color="auto" w:fill="F8DEC2"/>
          </w:tcPr>
          <w:p w:rsidR="00C76E6D" w:rsidRDefault="00C76E6D">
            <w:pPr>
              <w:pStyle w:val="TableParagraph"/>
              <w:rPr>
                <w:sz w:val="20"/>
              </w:rPr>
            </w:pPr>
          </w:p>
          <w:p w:rsidR="00C76E6D" w:rsidRDefault="00C76E6D">
            <w:pPr>
              <w:pStyle w:val="TableParagraph"/>
              <w:spacing w:before="2"/>
              <w:rPr>
                <w:sz w:val="19"/>
              </w:rPr>
            </w:pPr>
          </w:p>
          <w:p w:rsidR="00C76E6D" w:rsidRDefault="00913831">
            <w:pPr>
              <w:pStyle w:val="TableParagraph"/>
              <w:ind w:left="627" w:right="598"/>
              <w:jc w:val="center"/>
              <w:rPr>
                <w:sz w:val="20"/>
              </w:rPr>
            </w:pPr>
            <w:r>
              <w:rPr>
                <w:spacing w:val="-4"/>
                <w:sz w:val="20"/>
              </w:rPr>
              <w:t>16.6</w:t>
            </w:r>
          </w:p>
        </w:tc>
        <w:tc>
          <w:tcPr>
            <w:tcW w:w="1890" w:type="dxa"/>
            <w:shd w:val="clear" w:color="auto" w:fill="F8DEC2"/>
          </w:tcPr>
          <w:p w:rsidR="00C76E6D" w:rsidRDefault="00C76E6D">
            <w:pPr>
              <w:pStyle w:val="TableParagraph"/>
              <w:rPr>
                <w:sz w:val="20"/>
              </w:rPr>
            </w:pPr>
          </w:p>
          <w:p w:rsidR="00C76E6D" w:rsidRDefault="00C76E6D">
            <w:pPr>
              <w:pStyle w:val="TableParagraph"/>
              <w:spacing w:before="2"/>
              <w:rPr>
                <w:sz w:val="19"/>
              </w:rPr>
            </w:pPr>
          </w:p>
          <w:p w:rsidR="00C76E6D" w:rsidRDefault="00913831">
            <w:pPr>
              <w:pStyle w:val="TableParagraph"/>
              <w:ind w:left="763" w:right="732"/>
              <w:jc w:val="center"/>
              <w:rPr>
                <w:sz w:val="20"/>
              </w:rPr>
            </w:pPr>
            <w:r>
              <w:rPr>
                <w:spacing w:val="-5"/>
                <w:sz w:val="20"/>
              </w:rPr>
              <w:t>7.5</w:t>
            </w:r>
          </w:p>
        </w:tc>
      </w:tr>
      <w:tr w:rsidR="00C76E6D">
        <w:trPr>
          <w:trHeight w:val="1242"/>
        </w:trPr>
        <w:tc>
          <w:tcPr>
            <w:tcW w:w="1620" w:type="dxa"/>
            <w:shd w:val="clear" w:color="auto" w:fill="F8DEC2"/>
          </w:tcPr>
          <w:p w:rsidR="00C76E6D" w:rsidRDefault="00913831">
            <w:pPr>
              <w:pStyle w:val="TableParagraph"/>
              <w:spacing w:before="59" w:line="276" w:lineRule="auto"/>
              <w:ind w:left="65" w:right="189"/>
              <w:rPr>
                <w:sz w:val="20"/>
              </w:rPr>
            </w:pPr>
            <w:r>
              <w:rPr>
                <w:spacing w:val="-2"/>
                <w:sz w:val="20"/>
              </w:rPr>
              <w:t>Threatened</w:t>
            </w:r>
            <w:r>
              <w:rPr>
                <w:spacing w:val="-14"/>
                <w:sz w:val="20"/>
              </w:rPr>
              <w:t xml:space="preserve"> </w:t>
            </w:r>
            <w:r>
              <w:rPr>
                <w:spacing w:val="-2"/>
                <w:sz w:val="20"/>
              </w:rPr>
              <w:t xml:space="preserve">or </w:t>
            </w:r>
            <w:r>
              <w:rPr>
                <w:sz w:val="20"/>
              </w:rPr>
              <w:t>injured</w:t>
            </w:r>
            <w:r>
              <w:rPr>
                <w:spacing w:val="-5"/>
                <w:sz w:val="20"/>
              </w:rPr>
              <w:t xml:space="preserve"> </w:t>
            </w:r>
            <w:r>
              <w:rPr>
                <w:sz w:val="20"/>
              </w:rPr>
              <w:t>with</w:t>
            </w:r>
            <w:r>
              <w:rPr>
                <w:spacing w:val="-5"/>
                <w:sz w:val="20"/>
              </w:rPr>
              <w:t xml:space="preserve"> </w:t>
            </w:r>
            <w:r>
              <w:rPr>
                <w:sz w:val="20"/>
              </w:rPr>
              <w:t xml:space="preserve">a weapon at </w:t>
            </w:r>
            <w:r>
              <w:rPr>
                <w:spacing w:val="-2"/>
                <w:sz w:val="20"/>
              </w:rPr>
              <w:t>school***</w:t>
            </w:r>
          </w:p>
        </w:tc>
        <w:tc>
          <w:tcPr>
            <w:tcW w:w="982"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right="342"/>
              <w:jc w:val="right"/>
              <w:rPr>
                <w:sz w:val="20"/>
              </w:rPr>
            </w:pPr>
            <w:r>
              <w:rPr>
                <w:spacing w:val="-5"/>
                <w:sz w:val="20"/>
              </w:rPr>
              <w:t>5.3</w:t>
            </w:r>
          </w:p>
        </w:tc>
        <w:tc>
          <w:tcPr>
            <w:tcW w:w="126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right="434"/>
              <w:jc w:val="right"/>
              <w:rPr>
                <w:sz w:val="20"/>
              </w:rPr>
            </w:pPr>
            <w:r>
              <w:rPr>
                <w:spacing w:val="-4"/>
                <w:sz w:val="20"/>
              </w:rPr>
              <w:t>11.4</w:t>
            </w:r>
          </w:p>
        </w:tc>
        <w:tc>
          <w:tcPr>
            <w:tcW w:w="90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left="267" w:right="238"/>
              <w:jc w:val="center"/>
              <w:rPr>
                <w:sz w:val="20"/>
              </w:rPr>
            </w:pPr>
            <w:r>
              <w:rPr>
                <w:spacing w:val="-5"/>
                <w:sz w:val="20"/>
              </w:rPr>
              <w:t>5.8</w:t>
            </w:r>
          </w:p>
        </w:tc>
        <w:tc>
          <w:tcPr>
            <w:tcW w:w="108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left="357" w:right="328"/>
              <w:jc w:val="center"/>
              <w:rPr>
                <w:sz w:val="20"/>
              </w:rPr>
            </w:pPr>
            <w:r>
              <w:rPr>
                <w:spacing w:val="-5"/>
                <w:sz w:val="20"/>
              </w:rPr>
              <w:t>6.9</w:t>
            </w:r>
          </w:p>
        </w:tc>
        <w:tc>
          <w:tcPr>
            <w:tcW w:w="162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left="627" w:right="598"/>
              <w:jc w:val="center"/>
              <w:rPr>
                <w:sz w:val="20"/>
              </w:rPr>
            </w:pPr>
            <w:r>
              <w:rPr>
                <w:spacing w:val="-4"/>
                <w:sz w:val="20"/>
              </w:rPr>
              <w:t>15.9</w:t>
            </w:r>
          </w:p>
        </w:tc>
        <w:tc>
          <w:tcPr>
            <w:tcW w:w="189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left="763" w:right="732"/>
              <w:jc w:val="center"/>
              <w:rPr>
                <w:sz w:val="20"/>
              </w:rPr>
            </w:pPr>
            <w:r>
              <w:rPr>
                <w:spacing w:val="-5"/>
                <w:sz w:val="20"/>
              </w:rPr>
              <w:t>8.9</w:t>
            </w:r>
          </w:p>
        </w:tc>
      </w:tr>
      <w:tr w:rsidR="00C76E6D">
        <w:trPr>
          <w:trHeight w:val="961"/>
        </w:trPr>
        <w:tc>
          <w:tcPr>
            <w:tcW w:w="1620" w:type="dxa"/>
            <w:shd w:val="clear" w:color="auto" w:fill="F8DEC2"/>
          </w:tcPr>
          <w:p w:rsidR="00C76E6D" w:rsidRDefault="00913831">
            <w:pPr>
              <w:pStyle w:val="TableParagraph"/>
              <w:spacing w:before="59" w:line="276" w:lineRule="auto"/>
              <w:ind w:left="65" w:right="189"/>
              <w:rPr>
                <w:sz w:val="20"/>
              </w:rPr>
            </w:pPr>
            <w:r>
              <w:rPr>
                <w:spacing w:val="-2"/>
                <w:sz w:val="20"/>
              </w:rPr>
              <w:t>Bullied electronically</w:t>
            </w:r>
            <w:r>
              <w:rPr>
                <w:spacing w:val="-12"/>
                <w:sz w:val="20"/>
              </w:rPr>
              <w:t xml:space="preserve"> </w:t>
            </w:r>
            <w:r>
              <w:rPr>
                <w:spacing w:val="-2"/>
                <w:sz w:val="20"/>
              </w:rPr>
              <w:t xml:space="preserve">in </w:t>
            </w:r>
            <w:r>
              <w:rPr>
                <w:sz w:val="20"/>
              </w:rPr>
              <w:t>the</w:t>
            </w:r>
            <w:r>
              <w:rPr>
                <w:spacing w:val="-5"/>
                <w:sz w:val="20"/>
              </w:rPr>
              <w:t xml:space="preserve"> </w:t>
            </w:r>
            <w:r>
              <w:rPr>
                <w:sz w:val="20"/>
              </w:rPr>
              <w:t>past</w:t>
            </w:r>
            <w:r>
              <w:rPr>
                <w:spacing w:val="-1"/>
                <w:sz w:val="20"/>
              </w:rPr>
              <w:t xml:space="preserve"> </w:t>
            </w:r>
            <w:r>
              <w:rPr>
                <w:spacing w:val="-2"/>
                <w:sz w:val="20"/>
              </w:rPr>
              <w:t>year**</w:t>
            </w:r>
          </w:p>
        </w:tc>
        <w:tc>
          <w:tcPr>
            <w:tcW w:w="982" w:type="dxa"/>
            <w:shd w:val="clear" w:color="auto" w:fill="F8DEC2"/>
          </w:tcPr>
          <w:p w:rsidR="00C76E6D" w:rsidRDefault="00C76E6D">
            <w:pPr>
              <w:pStyle w:val="TableParagraph"/>
              <w:rPr>
                <w:sz w:val="20"/>
              </w:rPr>
            </w:pPr>
          </w:p>
          <w:p w:rsidR="00C76E6D" w:rsidRDefault="00C76E6D">
            <w:pPr>
              <w:pStyle w:val="TableParagraph"/>
              <w:spacing w:before="4"/>
              <w:rPr>
                <w:sz w:val="19"/>
              </w:rPr>
            </w:pPr>
          </w:p>
          <w:p w:rsidR="00C76E6D" w:rsidRDefault="00913831">
            <w:pPr>
              <w:pStyle w:val="TableParagraph"/>
              <w:ind w:right="342"/>
              <w:jc w:val="right"/>
              <w:rPr>
                <w:sz w:val="20"/>
              </w:rPr>
            </w:pPr>
            <w:r>
              <w:rPr>
                <w:spacing w:val="-5"/>
                <w:sz w:val="20"/>
              </w:rPr>
              <w:t>7.1</w:t>
            </w:r>
          </w:p>
        </w:tc>
        <w:tc>
          <w:tcPr>
            <w:tcW w:w="1260" w:type="dxa"/>
            <w:shd w:val="clear" w:color="auto" w:fill="F8DEC2"/>
          </w:tcPr>
          <w:p w:rsidR="00C76E6D" w:rsidRDefault="00C76E6D">
            <w:pPr>
              <w:pStyle w:val="TableParagraph"/>
              <w:rPr>
                <w:sz w:val="20"/>
              </w:rPr>
            </w:pPr>
          </w:p>
          <w:p w:rsidR="00C76E6D" w:rsidRDefault="00C76E6D">
            <w:pPr>
              <w:pStyle w:val="TableParagraph"/>
              <w:spacing w:before="4"/>
              <w:rPr>
                <w:sz w:val="19"/>
              </w:rPr>
            </w:pPr>
          </w:p>
          <w:p w:rsidR="00C76E6D" w:rsidRDefault="00913831">
            <w:pPr>
              <w:pStyle w:val="TableParagraph"/>
              <w:ind w:right="434"/>
              <w:jc w:val="right"/>
              <w:rPr>
                <w:sz w:val="20"/>
              </w:rPr>
            </w:pPr>
            <w:r>
              <w:rPr>
                <w:spacing w:val="-4"/>
                <w:sz w:val="20"/>
              </w:rPr>
              <w:t>15.8</w:t>
            </w:r>
          </w:p>
        </w:tc>
        <w:tc>
          <w:tcPr>
            <w:tcW w:w="900" w:type="dxa"/>
            <w:shd w:val="clear" w:color="auto" w:fill="F8DEC2"/>
          </w:tcPr>
          <w:p w:rsidR="00C76E6D" w:rsidRDefault="00C76E6D">
            <w:pPr>
              <w:pStyle w:val="TableParagraph"/>
              <w:rPr>
                <w:sz w:val="20"/>
              </w:rPr>
            </w:pPr>
          </w:p>
          <w:p w:rsidR="00C76E6D" w:rsidRDefault="00C76E6D">
            <w:pPr>
              <w:pStyle w:val="TableParagraph"/>
              <w:spacing w:before="4"/>
              <w:rPr>
                <w:sz w:val="19"/>
              </w:rPr>
            </w:pPr>
          </w:p>
          <w:p w:rsidR="00C76E6D" w:rsidRDefault="00913831">
            <w:pPr>
              <w:pStyle w:val="TableParagraph"/>
              <w:ind w:left="267" w:right="238"/>
              <w:jc w:val="center"/>
              <w:rPr>
                <w:sz w:val="20"/>
              </w:rPr>
            </w:pPr>
            <w:r>
              <w:rPr>
                <w:spacing w:val="-4"/>
                <w:sz w:val="20"/>
              </w:rPr>
              <w:t>24.5</w:t>
            </w:r>
          </w:p>
        </w:tc>
        <w:tc>
          <w:tcPr>
            <w:tcW w:w="1080" w:type="dxa"/>
            <w:shd w:val="clear" w:color="auto" w:fill="F8DEC2"/>
          </w:tcPr>
          <w:p w:rsidR="00C76E6D" w:rsidRDefault="00C76E6D">
            <w:pPr>
              <w:pStyle w:val="TableParagraph"/>
              <w:rPr>
                <w:sz w:val="20"/>
              </w:rPr>
            </w:pPr>
          </w:p>
          <w:p w:rsidR="00C76E6D" w:rsidRDefault="00C76E6D">
            <w:pPr>
              <w:pStyle w:val="TableParagraph"/>
              <w:spacing w:before="4"/>
              <w:rPr>
                <w:sz w:val="19"/>
              </w:rPr>
            </w:pPr>
          </w:p>
          <w:p w:rsidR="00C76E6D" w:rsidRDefault="00913831">
            <w:pPr>
              <w:pStyle w:val="TableParagraph"/>
              <w:ind w:left="357" w:right="328"/>
              <w:jc w:val="center"/>
              <w:rPr>
                <w:sz w:val="20"/>
              </w:rPr>
            </w:pPr>
            <w:r>
              <w:rPr>
                <w:spacing w:val="-5"/>
                <w:sz w:val="20"/>
              </w:rPr>
              <w:t>7.1</w:t>
            </w:r>
          </w:p>
        </w:tc>
        <w:tc>
          <w:tcPr>
            <w:tcW w:w="1620" w:type="dxa"/>
            <w:shd w:val="clear" w:color="auto" w:fill="F8DEC2"/>
          </w:tcPr>
          <w:p w:rsidR="00C76E6D" w:rsidRDefault="00C76E6D">
            <w:pPr>
              <w:pStyle w:val="TableParagraph"/>
              <w:rPr>
                <w:sz w:val="20"/>
              </w:rPr>
            </w:pPr>
          </w:p>
          <w:p w:rsidR="00C76E6D" w:rsidRDefault="00C76E6D">
            <w:pPr>
              <w:pStyle w:val="TableParagraph"/>
              <w:spacing w:before="4"/>
              <w:rPr>
                <w:sz w:val="19"/>
              </w:rPr>
            </w:pPr>
          </w:p>
          <w:p w:rsidR="00C76E6D" w:rsidRDefault="00913831">
            <w:pPr>
              <w:pStyle w:val="TableParagraph"/>
              <w:ind w:left="627" w:right="598"/>
              <w:jc w:val="center"/>
              <w:rPr>
                <w:sz w:val="20"/>
              </w:rPr>
            </w:pPr>
            <w:r>
              <w:rPr>
                <w:spacing w:val="-4"/>
                <w:sz w:val="20"/>
              </w:rPr>
              <w:t>27.5</w:t>
            </w:r>
          </w:p>
        </w:tc>
        <w:tc>
          <w:tcPr>
            <w:tcW w:w="1890" w:type="dxa"/>
            <w:shd w:val="clear" w:color="auto" w:fill="F8DEC2"/>
          </w:tcPr>
          <w:p w:rsidR="00C76E6D" w:rsidRDefault="00C76E6D">
            <w:pPr>
              <w:pStyle w:val="TableParagraph"/>
              <w:rPr>
                <w:sz w:val="20"/>
              </w:rPr>
            </w:pPr>
          </w:p>
          <w:p w:rsidR="00C76E6D" w:rsidRDefault="00C76E6D">
            <w:pPr>
              <w:pStyle w:val="TableParagraph"/>
              <w:spacing w:before="4"/>
              <w:rPr>
                <w:sz w:val="19"/>
              </w:rPr>
            </w:pPr>
          </w:p>
          <w:p w:rsidR="00C76E6D" w:rsidRDefault="00913831">
            <w:pPr>
              <w:pStyle w:val="TableParagraph"/>
              <w:ind w:left="763" w:right="732"/>
              <w:jc w:val="center"/>
              <w:rPr>
                <w:sz w:val="20"/>
              </w:rPr>
            </w:pPr>
            <w:r>
              <w:rPr>
                <w:spacing w:val="-4"/>
                <w:sz w:val="20"/>
              </w:rPr>
              <w:t>25.9</w:t>
            </w:r>
          </w:p>
        </w:tc>
      </w:tr>
      <w:tr w:rsidR="00C76E6D">
        <w:trPr>
          <w:trHeight w:val="1523"/>
        </w:trPr>
        <w:tc>
          <w:tcPr>
            <w:tcW w:w="1620" w:type="dxa"/>
            <w:shd w:val="clear" w:color="auto" w:fill="F8DEC2"/>
          </w:tcPr>
          <w:p w:rsidR="00C76E6D" w:rsidRDefault="00913831">
            <w:pPr>
              <w:pStyle w:val="TableParagraph"/>
              <w:spacing w:before="59" w:line="276" w:lineRule="auto"/>
              <w:ind w:left="65" w:right="69"/>
              <w:rPr>
                <w:sz w:val="20"/>
              </w:rPr>
            </w:pPr>
            <w:r>
              <w:rPr>
                <w:sz w:val="20"/>
              </w:rPr>
              <w:t xml:space="preserve">Hurt self on purpose in the </w:t>
            </w:r>
            <w:r>
              <w:rPr>
                <w:spacing w:val="-2"/>
                <w:sz w:val="20"/>
              </w:rPr>
              <w:t>past</w:t>
            </w:r>
            <w:r>
              <w:rPr>
                <w:spacing w:val="-12"/>
                <w:sz w:val="20"/>
              </w:rPr>
              <w:t xml:space="preserve"> </w:t>
            </w:r>
            <w:r>
              <w:rPr>
                <w:spacing w:val="-2"/>
                <w:sz w:val="20"/>
              </w:rPr>
              <w:t>year</w:t>
            </w:r>
            <w:r>
              <w:rPr>
                <w:spacing w:val="-12"/>
                <w:sz w:val="20"/>
              </w:rPr>
              <w:t xml:space="preserve"> </w:t>
            </w:r>
            <w:r>
              <w:rPr>
                <w:spacing w:val="-2"/>
                <w:sz w:val="20"/>
              </w:rPr>
              <w:t>(e.g.,</w:t>
            </w:r>
            <w:r>
              <w:rPr>
                <w:spacing w:val="-13"/>
                <w:sz w:val="20"/>
              </w:rPr>
              <w:t xml:space="preserve"> </w:t>
            </w:r>
            <w:r>
              <w:rPr>
                <w:spacing w:val="-2"/>
                <w:sz w:val="20"/>
              </w:rPr>
              <w:t xml:space="preserve">by </w:t>
            </w:r>
            <w:r>
              <w:rPr>
                <w:sz w:val="20"/>
              </w:rPr>
              <w:t xml:space="preserve">cutting, burning </w:t>
            </w:r>
            <w:r>
              <w:rPr>
                <w:spacing w:val="-2"/>
                <w:sz w:val="20"/>
              </w:rPr>
              <w:t>self)</w:t>
            </w:r>
          </w:p>
        </w:tc>
        <w:tc>
          <w:tcPr>
            <w:tcW w:w="982"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C76E6D">
            <w:pPr>
              <w:pStyle w:val="TableParagraph"/>
              <w:spacing w:before="4"/>
            </w:pPr>
          </w:p>
          <w:p w:rsidR="00C76E6D" w:rsidRDefault="00913831">
            <w:pPr>
              <w:pStyle w:val="TableParagraph"/>
              <w:ind w:right="294"/>
              <w:jc w:val="right"/>
              <w:rPr>
                <w:sz w:val="20"/>
              </w:rPr>
            </w:pPr>
            <w:r>
              <w:rPr>
                <w:spacing w:val="-4"/>
                <w:sz w:val="20"/>
              </w:rPr>
              <w:t>31.6</w:t>
            </w:r>
          </w:p>
        </w:tc>
        <w:tc>
          <w:tcPr>
            <w:tcW w:w="126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C76E6D">
            <w:pPr>
              <w:pStyle w:val="TableParagraph"/>
              <w:spacing w:before="4"/>
            </w:pPr>
          </w:p>
          <w:p w:rsidR="00C76E6D" w:rsidRDefault="00913831">
            <w:pPr>
              <w:pStyle w:val="TableParagraph"/>
              <w:ind w:right="434"/>
              <w:jc w:val="right"/>
              <w:rPr>
                <w:sz w:val="20"/>
              </w:rPr>
            </w:pPr>
            <w:r>
              <w:rPr>
                <w:spacing w:val="-4"/>
                <w:sz w:val="20"/>
              </w:rPr>
              <w:t>28.2</w:t>
            </w:r>
          </w:p>
        </w:tc>
        <w:tc>
          <w:tcPr>
            <w:tcW w:w="90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C76E6D">
            <w:pPr>
              <w:pStyle w:val="TableParagraph"/>
              <w:spacing w:before="4"/>
            </w:pPr>
          </w:p>
          <w:p w:rsidR="00C76E6D" w:rsidRDefault="00913831">
            <w:pPr>
              <w:pStyle w:val="TableParagraph"/>
              <w:ind w:left="267" w:right="238"/>
              <w:jc w:val="center"/>
              <w:rPr>
                <w:sz w:val="20"/>
              </w:rPr>
            </w:pPr>
            <w:r>
              <w:rPr>
                <w:spacing w:val="-4"/>
                <w:sz w:val="20"/>
              </w:rPr>
              <w:t>38.7</w:t>
            </w:r>
          </w:p>
        </w:tc>
        <w:tc>
          <w:tcPr>
            <w:tcW w:w="108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C76E6D">
            <w:pPr>
              <w:pStyle w:val="TableParagraph"/>
              <w:spacing w:before="4"/>
            </w:pPr>
          </w:p>
          <w:p w:rsidR="00C76E6D" w:rsidRDefault="00913831">
            <w:pPr>
              <w:pStyle w:val="TableParagraph"/>
              <w:ind w:left="357" w:right="328"/>
              <w:jc w:val="center"/>
              <w:rPr>
                <w:sz w:val="20"/>
              </w:rPr>
            </w:pPr>
            <w:r>
              <w:rPr>
                <w:spacing w:val="-4"/>
                <w:sz w:val="20"/>
              </w:rPr>
              <w:t>25.0</w:t>
            </w:r>
          </w:p>
        </w:tc>
        <w:tc>
          <w:tcPr>
            <w:tcW w:w="162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C76E6D">
            <w:pPr>
              <w:pStyle w:val="TableParagraph"/>
              <w:spacing w:before="4"/>
            </w:pPr>
          </w:p>
          <w:p w:rsidR="00C76E6D" w:rsidRDefault="00913831">
            <w:pPr>
              <w:pStyle w:val="TableParagraph"/>
              <w:ind w:left="627" w:right="598"/>
              <w:jc w:val="center"/>
              <w:rPr>
                <w:sz w:val="20"/>
              </w:rPr>
            </w:pPr>
            <w:r>
              <w:rPr>
                <w:spacing w:val="-4"/>
                <w:sz w:val="20"/>
              </w:rPr>
              <w:t>37.3</w:t>
            </w:r>
          </w:p>
        </w:tc>
        <w:tc>
          <w:tcPr>
            <w:tcW w:w="189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C76E6D">
            <w:pPr>
              <w:pStyle w:val="TableParagraph"/>
              <w:spacing w:before="4"/>
            </w:pPr>
          </w:p>
          <w:p w:rsidR="00C76E6D" w:rsidRDefault="00913831">
            <w:pPr>
              <w:pStyle w:val="TableParagraph"/>
              <w:ind w:left="763" w:right="732"/>
              <w:jc w:val="center"/>
              <w:rPr>
                <w:sz w:val="20"/>
              </w:rPr>
            </w:pPr>
            <w:r>
              <w:rPr>
                <w:spacing w:val="-4"/>
                <w:sz w:val="20"/>
              </w:rPr>
              <w:t>30.9</w:t>
            </w:r>
          </w:p>
        </w:tc>
      </w:tr>
      <w:tr w:rsidR="00C76E6D">
        <w:trPr>
          <w:trHeight w:val="1242"/>
        </w:trPr>
        <w:tc>
          <w:tcPr>
            <w:tcW w:w="1620" w:type="dxa"/>
            <w:shd w:val="clear" w:color="auto" w:fill="F8DEC2"/>
          </w:tcPr>
          <w:p w:rsidR="00C76E6D" w:rsidRDefault="00913831">
            <w:pPr>
              <w:pStyle w:val="TableParagraph"/>
              <w:spacing w:before="59" w:line="276" w:lineRule="auto"/>
              <w:ind w:left="65" w:right="101"/>
              <w:rPr>
                <w:sz w:val="20"/>
              </w:rPr>
            </w:pPr>
            <w:r>
              <w:rPr>
                <w:spacing w:val="-2"/>
                <w:sz w:val="20"/>
              </w:rPr>
              <w:t>Seriously considered</w:t>
            </w:r>
            <w:r>
              <w:rPr>
                <w:spacing w:val="40"/>
                <w:sz w:val="20"/>
              </w:rPr>
              <w:t xml:space="preserve"> </w:t>
            </w:r>
            <w:r>
              <w:rPr>
                <w:spacing w:val="-2"/>
                <w:sz w:val="20"/>
              </w:rPr>
              <w:t>suicide</w:t>
            </w:r>
            <w:r>
              <w:rPr>
                <w:spacing w:val="-12"/>
                <w:sz w:val="20"/>
              </w:rPr>
              <w:t xml:space="preserve"> </w:t>
            </w:r>
            <w:r>
              <w:rPr>
                <w:spacing w:val="-2"/>
                <w:sz w:val="20"/>
              </w:rPr>
              <w:t>in</w:t>
            </w:r>
            <w:r>
              <w:rPr>
                <w:spacing w:val="-12"/>
                <w:sz w:val="20"/>
              </w:rPr>
              <w:t xml:space="preserve"> </w:t>
            </w:r>
            <w:r>
              <w:rPr>
                <w:spacing w:val="-2"/>
                <w:sz w:val="20"/>
              </w:rPr>
              <w:t>the</w:t>
            </w:r>
            <w:r>
              <w:rPr>
                <w:spacing w:val="-12"/>
                <w:sz w:val="20"/>
              </w:rPr>
              <w:t xml:space="preserve"> </w:t>
            </w:r>
            <w:r>
              <w:rPr>
                <w:spacing w:val="-2"/>
                <w:sz w:val="20"/>
              </w:rPr>
              <w:t xml:space="preserve">past </w:t>
            </w:r>
            <w:r>
              <w:rPr>
                <w:spacing w:val="-4"/>
                <w:sz w:val="20"/>
              </w:rPr>
              <w:t>year</w:t>
            </w:r>
          </w:p>
        </w:tc>
        <w:tc>
          <w:tcPr>
            <w:tcW w:w="982"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1"/>
              <w:ind w:right="294"/>
              <w:jc w:val="right"/>
              <w:rPr>
                <w:sz w:val="20"/>
              </w:rPr>
            </w:pPr>
            <w:r>
              <w:rPr>
                <w:spacing w:val="-4"/>
                <w:sz w:val="20"/>
              </w:rPr>
              <w:t>32.7</w:t>
            </w:r>
          </w:p>
        </w:tc>
        <w:tc>
          <w:tcPr>
            <w:tcW w:w="126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1"/>
              <w:ind w:right="434"/>
              <w:jc w:val="right"/>
              <w:rPr>
                <w:sz w:val="20"/>
              </w:rPr>
            </w:pPr>
            <w:r>
              <w:rPr>
                <w:spacing w:val="-4"/>
                <w:sz w:val="20"/>
              </w:rPr>
              <w:t>28.7</w:t>
            </w:r>
          </w:p>
        </w:tc>
        <w:tc>
          <w:tcPr>
            <w:tcW w:w="90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1"/>
              <w:ind w:left="267" w:right="238"/>
              <w:jc w:val="center"/>
              <w:rPr>
                <w:sz w:val="20"/>
              </w:rPr>
            </w:pPr>
            <w:r>
              <w:rPr>
                <w:spacing w:val="-4"/>
                <w:sz w:val="20"/>
              </w:rPr>
              <w:t>34.7</w:t>
            </w:r>
          </w:p>
        </w:tc>
        <w:tc>
          <w:tcPr>
            <w:tcW w:w="108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1"/>
              <w:ind w:left="357" w:right="328"/>
              <w:jc w:val="center"/>
              <w:rPr>
                <w:sz w:val="20"/>
              </w:rPr>
            </w:pPr>
            <w:r>
              <w:rPr>
                <w:spacing w:val="-4"/>
                <w:sz w:val="20"/>
              </w:rPr>
              <w:t>26.3</w:t>
            </w:r>
          </w:p>
        </w:tc>
        <w:tc>
          <w:tcPr>
            <w:tcW w:w="162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1"/>
              <w:ind w:left="627" w:right="598"/>
              <w:jc w:val="center"/>
              <w:rPr>
                <w:sz w:val="20"/>
              </w:rPr>
            </w:pPr>
            <w:r>
              <w:rPr>
                <w:spacing w:val="-4"/>
                <w:sz w:val="20"/>
              </w:rPr>
              <w:t>36.4</w:t>
            </w:r>
          </w:p>
        </w:tc>
        <w:tc>
          <w:tcPr>
            <w:tcW w:w="189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1"/>
              <w:ind w:left="763" w:right="732"/>
              <w:jc w:val="center"/>
              <w:rPr>
                <w:sz w:val="20"/>
              </w:rPr>
            </w:pPr>
            <w:r>
              <w:rPr>
                <w:spacing w:val="-4"/>
                <w:sz w:val="20"/>
              </w:rPr>
              <w:t>48.2</w:t>
            </w:r>
          </w:p>
        </w:tc>
      </w:tr>
      <w:tr w:rsidR="00C76E6D">
        <w:trPr>
          <w:trHeight w:val="960"/>
        </w:trPr>
        <w:tc>
          <w:tcPr>
            <w:tcW w:w="1620" w:type="dxa"/>
            <w:shd w:val="clear" w:color="auto" w:fill="F8DEC2"/>
          </w:tcPr>
          <w:p w:rsidR="00C76E6D" w:rsidRDefault="00913831">
            <w:pPr>
              <w:pStyle w:val="TableParagraph"/>
              <w:spacing w:before="57" w:line="276" w:lineRule="auto"/>
              <w:ind w:left="65" w:right="309"/>
              <w:jc w:val="both"/>
              <w:rPr>
                <w:sz w:val="20"/>
              </w:rPr>
            </w:pPr>
            <w:r>
              <w:rPr>
                <w:sz w:val="20"/>
              </w:rPr>
              <w:t>Made</w:t>
            </w:r>
            <w:r>
              <w:rPr>
                <w:spacing w:val="-12"/>
                <w:sz w:val="20"/>
              </w:rPr>
              <w:t xml:space="preserve"> </w:t>
            </w:r>
            <w:r>
              <w:rPr>
                <w:sz w:val="20"/>
              </w:rPr>
              <w:t>a</w:t>
            </w:r>
            <w:r>
              <w:rPr>
                <w:spacing w:val="-11"/>
                <w:sz w:val="20"/>
              </w:rPr>
              <w:t xml:space="preserve"> </w:t>
            </w:r>
            <w:r>
              <w:rPr>
                <w:sz w:val="20"/>
              </w:rPr>
              <w:t>suicide attempt in the past year</w:t>
            </w:r>
          </w:p>
        </w:tc>
        <w:tc>
          <w:tcPr>
            <w:tcW w:w="982" w:type="dxa"/>
            <w:shd w:val="clear" w:color="auto" w:fill="F8DEC2"/>
          </w:tcPr>
          <w:p w:rsidR="00C76E6D" w:rsidRDefault="00C76E6D">
            <w:pPr>
              <w:pStyle w:val="TableParagraph"/>
              <w:rPr>
                <w:sz w:val="20"/>
              </w:rPr>
            </w:pPr>
          </w:p>
          <w:p w:rsidR="00C76E6D" w:rsidRDefault="00C76E6D">
            <w:pPr>
              <w:pStyle w:val="TableParagraph"/>
              <w:spacing w:before="2"/>
              <w:rPr>
                <w:sz w:val="19"/>
              </w:rPr>
            </w:pPr>
          </w:p>
          <w:p w:rsidR="00C76E6D" w:rsidRDefault="00913831">
            <w:pPr>
              <w:pStyle w:val="TableParagraph"/>
              <w:ind w:right="294"/>
              <w:jc w:val="right"/>
              <w:rPr>
                <w:sz w:val="20"/>
              </w:rPr>
            </w:pPr>
            <w:r>
              <w:rPr>
                <w:spacing w:val="-4"/>
                <w:sz w:val="20"/>
              </w:rPr>
              <w:t>19.2</w:t>
            </w:r>
          </w:p>
        </w:tc>
        <w:tc>
          <w:tcPr>
            <w:tcW w:w="1260" w:type="dxa"/>
            <w:shd w:val="clear" w:color="auto" w:fill="F8DEC2"/>
          </w:tcPr>
          <w:p w:rsidR="00C76E6D" w:rsidRDefault="00C76E6D">
            <w:pPr>
              <w:pStyle w:val="TableParagraph"/>
              <w:rPr>
                <w:sz w:val="20"/>
              </w:rPr>
            </w:pPr>
          </w:p>
          <w:p w:rsidR="00C76E6D" w:rsidRDefault="00C76E6D">
            <w:pPr>
              <w:pStyle w:val="TableParagraph"/>
              <w:spacing w:before="2"/>
              <w:rPr>
                <w:sz w:val="19"/>
              </w:rPr>
            </w:pPr>
          </w:p>
          <w:p w:rsidR="00C76E6D" w:rsidRDefault="00913831">
            <w:pPr>
              <w:pStyle w:val="TableParagraph"/>
              <w:ind w:right="434"/>
              <w:jc w:val="right"/>
              <w:rPr>
                <w:sz w:val="20"/>
              </w:rPr>
            </w:pPr>
            <w:r>
              <w:rPr>
                <w:spacing w:val="-4"/>
                <w:sz w:val="20"/>
              </w:rPr>
              <w:t>16.0</w:t>
            </w:r>
          </w:p>
        </w:tc>
        <w:tc>
          <w:tcPr>
            <w:tcW w:w="900" w:type="dxa"/>
            <w:shd w:val="clear" w:color="auto" w:fill="F8DEC2"/>
          </w:tcPr>
          <w:p w:rsidR="00C76E6D" w:rsidRDefault="00C76E6D">
            <w:pPr>
              <w:pStyle w:val="TableParagraph"/>
              <w:rPr>
                <w:sz w:val="20"/>
              </w:rPr>
            </w:pPr>
          </w:p>
          <w:p w:rsidR="00C76E6D" w:rsidRDefault="00C76E6D">
            <w:pPr>
              <w:pStyle w:val="TableParagraph"/>
              <w:spacing w:before="2"/>
              <w:rPr>
                <w:sz w:val="19"/>
              </w:rPr>
            </w:pPr>
          </w:p>
          <w:p w:rsidR="00C76E6D" w:rsidRDefault="00913831">
            <w:pPr>
              <w:pStyle w:val="TableParagraph"/>
              <w:ind w:left="267" w:right="238"/>
              <w:jc w:val="center"/>
              <w:rPr>
                <w:sz w:val="20"/>
              </w:rPr>
            </w:pPr>
            <w:r>
              <w:rPr>
                <w:spacing w:val="-4"/>
                <w:sz w:val="20"/>
              </w:rPr>
              <w:t>13.1</w:t>
            </w:r>
          </w:p>
        </w:tc>
        <w:tc>
          <w:tcPr>
            <w:tcW w:w="1080" w:type="dxa"/>
            <w:shd w:val="clear" w:color="auto" w:fill="F8DEC2"/>
          </w:tcPr>
          <w:p w:rsidR="00C76E6D" w:rsidRDefault="00C76E6D">
            <w:pPr>
              <w:pStyle w:val="TableParagraph"/>
              <w:rPr>
                <w:sz w:val="20"/>
              </w:rPr>
            </w:pPr>
          </w:p>
          <w:p w:rsidR="00C76E6D" w:rsidRDefault="00C76E6D">
            <w:pPr>
              <w:pStyle w:val="TableParagraph"/>
              <w:spacing w:before="2"/>
              <w:rPr>
                <w:sz w:val="19"/>
              </w:rPr>
            </w:pPr>
          </w:p>
          <w:p w:rsidR="00C76E6D" w:rsidRDefault="00913831">
            <w:pPr>
              <w:pStyle w:val="TableParagraph"/>
              <w:ind w:left="357" w:right="328"/>
              <w:jc w:val="center"/>
              <w:rPr>
                <w:sz w:val="20"/>
              </w:rPr>
            </w:pPr>
            <w:r>
              <w:rPr>
                <w:spacing w:val="-4"/>
                <w:sz w:val="20"/>
              </w:rPr>
              <w:t>16.0</w:t>
            </w:r>
          </w:p>
        </w:tc>
        <w:tc>
          <w:tcPr>
            <w:tcW w:w="1620" w:type="dxa"/>
            <w:shd w:val="clear" w:color="auto" w:fill="F8DEC2"/>
          </w:tcPr>
          <w:p w:rsidR="00C76E6D" w:rsidRDefault="00C76E6D">
            <w:pPr>
              <w:pStyle w:val="TableParagraph"/>
              <w:rPr>
                <w:sz w:val="20"/>
              </w:rPr>
            </w:pPr>
          </w:p>
          <w:p w:rsidR="00C76E6D" w:rsidRDefault="00C76E6D">
            <w:pPr>
              <w:pStyle w:val="TableParagraph"/>
              <w:spacing w:before="2"/>
              <w:rPr>
                <w:sz w:val="19"/>
              </w:rPr>
            </w:pPr>
          </w:p>
          <w:p w:rsidR="00C76E6D" w:rsidRDefault="00913831">
            <w:pPr>
              <w:pStyle w:val="TableParagraph"/>
              <w:ind w:left="627" w:right="598"/>
              <w:jc w:val="center"/>
              <w:rPr>
                <w:sz w:val="20"/>
              </w:rPr>
            </w:pPr>
            <w:r>
              <w:rPr>
                <w:spacing w:val="-4"/>
                <w:sz w:val="20"/>
              </w:rPr>
              <w:t>21.8</w:t>
            </w:r>
          </w:p>
        </w:tc>
        <w:tc>
          <w:tcPr>
            <w:tcW w:w="1890" w:type="dxa"/>
            <w:shd w:val="clear" w:color="auto" w:fill="F8DEC2"/>
          </w:tcPr>
          <w:p w:rsidR="00C76E6D" w:rsidRDefault="00C76E6D">
            <w:pPr>
              <w:pStyle w:val="TableParagraph"/>
              <w:rPr>
                <w:sz w:val="20"/>
              </w:rPr>
            </w:pPr>
          </w:p>
          <w:p w:rsidR="00C76E6D" w:rsidRDefault="00C76E6D">
            <w:pPr>
              <w:pStyle w:val="TableParagraph"/>
              <w:spacing w:before="2"/>
              <w:rPr>
                <w:sz w:val="19"/>
              </w:rPr>
            </w:pPr>
          </w:p>
          <w:p w:rsidR="00C76E6D" w:rsidRDefault="00913831">
            <w:pPr>
              <w:pStyle w:val="TableParagraph"/>
              <w:ind w:left="763" w:right="732"/>
              <w:jc w:val="center"/>
              <w:rPr>
                <w:sz w:val="20"/>
              </w:rPr>
            </w:pPr>
            <w:r>
              <w:rPr>
                <w:spacing w:val="-4"/>
                <w:sz w:val="20"/>
              </w:rPr>
              <w:t>22.9</w:t>
            </w:r>
          </w:p>
        </w:tc>
      </w:tr>
      <w:tr w:rsidR="00C76E6D">
        <w:trPr>
          <w:trHeight w:val="1242"/>
        </w:trPr>
        <w:tc>
          <w:tcPr>
            <w:tcW w:w="1620" w:type="dxa"/>
            <w:shd w:val="clear" w:color="auto" w:fill="F8DEC2"/>
          </w:tcPr>
          <w:p w:rsidR="00C76E6D" w:rsidRDefault="00913831">
            <w:pPr>
              <w:pStyle w:val="TableParagraph"/>
              <w:spacing w:before="59" w:line="276" w:lineRule="auto"/>
              <w:ind w:left="65" w:right="69"/>
              <w:rPr>
                <w:sz w:val="20"/>
              </w:rPr>
            </w:pPr>
            <w:r>
              <w:rPr>
                <w:sz w:val="20"/>
              </w:rPr>
              <w:t xml:space="preserve">Can talk to parents about “things that are </w:t>
            </w:r>
            <w:r>
              <w:rPr>
                <w:spacing w:val="-2"/>
                <w:sz w:val="20"/>
              </w:rPr>
              <w:t>important</w:t>
            </w:r>
            <w:r>
              <w:rPr>
                <w:spacing w:val="-13"/>
                <w:sz w:val="20"/>
              </w:rPr>
              <w:t xml:space="preserve"> </w:t>
            </w:r>
            <w:r>
              <w:rPr>
                <w:spacing w:val="-2"/>
                <w:sz w:val="20"/>
              </w:rPr>
              <w:t>to</w:t>
            </w:r>
            <w:r>
              <w:rPr>
                <w:spacing w:val="-12"/>
                <w:sz w:val="20"/>
              </w:rPr>
              <w:t xml:space="preserve"> </w:t>
            </w:r>
            <w:r>
              <w:rPr>
                <w:spacing w:val="-2"/>
                <w:sz w:val="20"/>
              </w:rPr>
              <w:t>you”</w:t>
            </w:r>
          </w:p>
        </w:tc>
        <w:tc>
          <w:tcPr>
            <w:tcW w:w="982"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right="294"/>
              <w:jc w:val="right"/>
              <w:rPr>
                <w:sz w:val="20"/>
              </w:rPr>
            </w:pPr>
            <w:r>
              <w:rPr>
                <w:spacing w:val="-4"/>
                <w:sz w:val="20"/>
              </w:rPr>
              <w:t>66.7</w:t>
            </w:r>
          </w:p>
        </w:tc>
        <w:tc>
          <w:tcPr>
            <w:tcW w:w="126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right="434"/>
              <w:jc w:val="right"/>
              <w:rPr>
                <w:sz w:val="20"/>
              </w:rPr>
            </w:pPr>
            <w:r>
              <w:rPr>
                <w:spacing w:val="-4"/>
                <w:sz w:val="20"/>
              </w:rPr>
              <w:t>68.4</w:t>
            </w:r>
          </w:p>
        </w:tc>
        <w:tc>
          <w:tcPr>
            <w:tcW w:w="90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left="267" w:right="238"/>
              <w:jc w:val="center"/>
              <w:rPr>
                <w:sz w:val="20"/>
              </w:rPr>
            </w:pPr>
            <w:r>
              <w:rPr>
                <w:spacing w:val="-4"/>
                <w:sz w:val="20"/>
              </w:rPr>
              <w:t>74.9</w:t>
            </w:r>
          </w:p>
        </w:tc>
        <w:tc>
          <w:tcPr>
            <w:tcW w:w="108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left="357" w:right="328"/>
              <w:jc w:val="center"/>
              <w:rPr>
                <w:sz w:val="20"/>
              </w:rPr>
            </w:pPr>
            <w:r>
              <w:rPr>
                <w:spacing w:val="-4"/>
                <w:sz w:val="20"/>
              </w:rPr>
              <w:t>77.8</w:t>
            </w:r>
          </w:p>
        </w:tc>
        <w:tc>
          <w:tcPr>
            <w:tcW w:w="162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left="627" w:right="598"/>
              <w:jc w:val="center"/>
              <w:rPr>
                <w:sz w:val="20"/>
              </w:rPr>
            </w:pPr>
            <w:r>
              <w:rPr>
                <w:spacing w:val="-4"/>
                <w:sz w:val="20"/>
              </w:rPr>
              <w:t>69.7</w:t>
            </w:r>
          </w:p>
        </w:tc>
        <w:tc>
          <w:tcPr>
            <w:tcW w:w="1890" w:type="dxa"/>
            <w:shd w:val="clear" w:color="auto" w:fill="F8DEC2"/>
          </w:tcPr>
          <w:p w:rsidR="00C76E6D" w:rsidRDefault="00C76E6D">
            <w:pPr>
              <w:pStyle w:val="TableParagraph"/>
              <w:rPr>
                <w:sz w:val="20"/>
              </w:rPr>
            </w:pPr>
          </w:p>
          <w:p w:rsidR="00C76E6D" w:rsidRDefault="00C76E6D">
            <w:pPr>
              <w:pStyle w:val="TableParagraph"/>
              <w:rPr>
                <w:sz w:val="20"/>
              </w:rPr>
            </w:pPr>
          </w:p>
          <w:p w:rsidR="00C76E6D" w:rsidRDefault="00913831">
            <w:pPr>
              <w:pStyle w:val="TableParagraph"/>
              <w:spacing w:before="132"/>
              <w:ind w:left="763" w:right="732"/>
              <w:jc w:val="center"/>
              <w:rPr>
                <w:sz w:val="20"/>
              </w:rPr>
            </w:pPr>
            <w:r>
              <w:rPr>
                <w:spacing w:val="-4"/>
                <w:sz w:val="20"/>
              </w:rPr>
              <w:t>70.5</w:t>
            </w:r>
          </w:p>
        </w:tc>
      </w:tr>
      <w:tr w:rsidR="00C76E6D">
        <w:trPr>
          <w:trHeight w:val="679"/>
        </w:trPr>
        <w:tc>
          <w:tcPr>
            <w:tcW w:w="1620" w:type="dxa"/>
            <w:shd w:val="clear" w:color="auto" w:fill="F8DEC2"/>
          </w:tcPr>
          <w:p w:rsidR="00C76E6D" w:rsidRDefault="00913831">
            <w:pPr>
              <w:pStyle w:val="TableParagraph"/>
              <w:spacing w:before="59" w:line="276" w:lineRule="auto"/>
              <w:ind w:left="65" w:right="189"/>
              <w:rPr>
                <w:sz w:val="20"/>
              </w:rPr>
            </w:pPr>
            <w:r>
              <w:rPr>
                <w:sz w:val="20"/>
              </w:rPr>
              <w:t xml:space="preserve">Any lifetime </w:t>
            </w:r>
            <w:r>
              <w:rPr>
                <w:spacing w:val="-2"/>
                <w:sz w:val="20"/>
              </w:rPr>
              <w:t>heroin</w:t>
            </w:r>
            <w:r>
              <w:rPr>
                <w:spacing w:val="-12"/>
                <w:sz w:val="20"/>
              </w:rPr>
              <w:t xml:space="preserve"> </w:t>
            </w:r>
            <w:r>
              <w:rPr>
                <w:spacing w:val="-2"/>
                <w:sz w:val="20"/>
              </w:rPr>
              <w:t>use**</w:t>
            </w:r>
          </w:p>
        </w:tc>
        <w:tc>
          <w:tcPr>
            <w:tcW w:w="982" w:type="dxa"/>
            <w:shd w:val="clear" w:color="auto" w:fill="F8DEC2"/>
          </w:tcPr>
          <w:p w:rsidR="00C76E6D" w:rsidRDefault="00C76E6D">
            <w:pPr>
              <w:pStyle w:val="TableParagraph"/>
              <w:spacing w:before="10"/>
              <w:rPr>
                <w:sz w:val="27"/>
              </w:rPr>
            </w:pPr>
          </w:p>
          <w:p w:rsidR="00C76E6D" w:rsidRDefault="00913831">
            <w:pPr>
              <w:pStyle w:val="TableParagraph"/>
              <w:ind w:right="342"/>
              <w:jc w:val="right"/>
              <w:rPr>
                <w:sz w:val="20"/>
              </w:rPr>
            </w:pPr>
            <w:r>
              <w:rPr>
                <w:spacing w:val="-5"/>
                <w:sz w:val="20"/>
              </w:rPr>
              <w:t>3.6</w:t>
            </w:r>
          </w:p>
        </w:tc>
        <w:tc>
          <w:tcPr>
            <w:tcW w:w="1260" w:type="dxa"/>
            <w:shd w:val="clear" w:color="auto" w:fill="F8DEC2"/>
          </w:tcPr>
          <w:p w:rsidR="00C76E6D" w:rsidRDefault="00C76E6D">
            <w:pPr>
              <w:pStyle w:val="TableParagraph"/>
              <w:spacing w:before="10"/>
              <w:rPr>
                <w:sz w:val="27"/>
              </w:rPr>
            </w:pPr>
          </w:p>
          <w:p w:rsidR="00C76E6D" w:rsidRDefault="00913831">
            <w:pPr>
              <w:pStyle w:val="TableParagraph"/>
              <w:ind w:right="483"/>
              <w:jc w:val="right"/>
              <w:rPr>
                <w:sz w:val="20"/>
              </w:rPr>
            </w:pPr>
            <w:r>
              <w:rPr>
                <w:spacing w:val="-5"/>
                <w:sz w:val="20"/>
              </w:rPr>
              <w:t>7.7</w:t>
            </w:r>
          </w:p>
        </w:tc>
        <w:tc>
          <w:tcPr>
            <w:tcW w:w="900" w:type="dxa"/>
            <w:shd w:val="clear" w:color="auto" w:fill="F8DEC2"/>
          </w:tcPr>
          <w:p w:rsidR="00C76E6D" w:rsidRDefault="00C76E6D">
            <w:pPr>
              <w:pStyle w:val="TableParagraph"/>
              <w:spacing w:before="10"/>
              <w:rPr>
                <w:sz w:val="27"/>
              </w:rPr>
            </w:pPr>
          </w:p>
          <w:p w:rsidR="00C76E6D" w:rsidRDefault="00913831">
            <w:pPr>
              <w:pStyle w:val="TableParagraph"/>
              <w:ind w:left="267" w:right="238"/>
              <w:jc w:val="center"/>
              <w:rPr>
                <w:sz w:val="20"/>
              </w:rPr>
            </w:pPr>
            <w:r>
              <w:rPr>
                <w:spacing w:val="-5"/>
                <w:sz w:val="20"/>
              </w:rPr>
              <w:t>1.9</w:t>
            </w:r>
          </w:p>
        </w:tc>
        <w:tc>
          <w:tcPr>
            <w:tcW w:w="1080" w:type="dxa"/>
            <w:shd w:val="clear" w:color="auto" w:fill="F8DEC2"/>
          </w:tcPr>
          <w:p w:rsidR="00C76E6D" w:rsidRDefault="00C76E6D">
            <w:pPr>
              <w:pStyle w:val="TableParagraph"/>
              <w:spacing w:before="10"/>
              <w:rPr>
                <w:sz w:val="27"/>
              </w:rPr>
            </w:pPr>
          </w:p>
          <w:p w:rsidR="00C76E6D" w:rsidRDefault="00913831">
            <w:pPr>
              <w:pStyle w:val="TableParagraph"/>
              <w:ind w:left="357" w:right="328"/>
              <w:jc w:val="center"/>
              <w:rPr>
                <w:sz w:val="20"/>
              </w:rPr>
            </w:pPr>
            <w:r>
              <w:rPr>
                <w:spacing w:val="-5"/>
                <w:sz w:val="20"/>
              </w:rPr>
              <w:t>3.6</w:t>
            </w:r>
          </w:p>
        </w:tc>
        <w:tc>
          <w:tcPr>
            <w:tcW w:w="1620" w:type="dxa"/>
            <w:shd w:val="clear" w:color="auto" w:fill="F8DEC2"/>
          </w:tcPr>
          <w:p w:rsidR="00C76E6D" w:rsidRDefault="00C76E6D">
            <w:pPr>
              <w:pStyle w:val="TableParagraph"/>
              <w:spacing w:before="10"/>
              <w:rPr>
                <w:sz w:val="27"/>
              </w:rPr>
            </w:pPr>
          </w:p>
          <w:p w:rsidR="00C76E6D" w:rsidRDefault="00913831">
            <w:pPr>
              <w:pStyle w:val="TableParagraph"/>
              <w:ind w:left="627" w:right="598"/>
              <w:jc w:val="center"/>
              <w:rPr>
                <w:sz w:val="20"/>
              </w:rPr>
            </w:pPr>
            <w:r>
              <w:rPr>
                <w:spacing w:val="-5"/>
                <w:sz w:val="20"/>
              </w:rPr>
              <w:t>8.4</w:t>
            </w:r>
          </w:p>
        </w:tc>
        <w:tc>
          <w:tcPr>
            <w:tcW w:w="1890" w:type="dxa"/>
            <w:shd w:val="clear" w:color="auto" w:fill="F8DEC2"/>
          </w:tcPr>
          <w:p w:rsidR="00C76E6D" w:rsidRDefault="00C76E6D">
            <w:pPr>
              <w:pStyle w:val="TableParagraph"/>
              <w:spacing w:before="10"/>
              <w:rPr>
                <w:sz w:val="27"/>
              </w:rPr>
            </w:pPr>
          </w:p>
          <w:p w:rsidR="00C76E6D" w:rsidRDefault="00913831">
            <w:pPr>
              <w:pStyle w:val="TableParagraph"/>
              <w:ind w:left="763" w:right="732"/>
              <w:jc w:val="center"/>
              <w:rPr>
                <w:sz w:val="20"/>
              </w:rPr>
            </w:pPr>
            <w:r>
              <w:rPr>
                <w:spacing w:val="-5"/>
                <w:sz w:val="20"/>
              </w:rPr>
              <w:t>1.8</w:t>
            </w:r>
          </w:p>
        </w:tc>
      </w:tr>
      <w:tr w:rsidR="00C76E6D">
        <w:trPr>
          <w:trHeight w:val="963"/>
        </w:trPr>
        <w:tc>
          <w:tcPr>
            <w:tcW w:w="1620" w:type="dxa"/>
            <w:shd w:val="clear" w:color="auto" w:fill="F8DEC2"/>
          </w:tcPr>
          <w:p w:rsidR="00C76E6D" w:rsidRDefault="00913831">
            <w:pPr>
              <w:pStyle w:val="TableParagraph"/>
              <w:spacing w:before="60" w:line="276" w:lineRule="auto"/>
              <w:ind w:left="65" w:right="69"/>
              <w:rPr>
                <w:sz w:val="20"/>
              </w:rPr>
            </w:pPr>
            <w:r>
              <w:rPr>
                <w:sz w:val="20"/>
              </w:rPr>
              <w:t xml:space="preserve">Had experienced sexual contact </w:t>
            </w:r>
            <w:r>
              <w:rPr>
                <w:spacing w:val="-2"/>
                <w:sz w:val="20"/>
              </w:rPr>
              <w:t>against</w:t>
            </w:r>
            <w:r>
              <w:rPr>
                <w:spacing w:val="-13"/>
                <w:sz w:val="20"/>
              </w:rPr>
              <w:t xml:space="preserve"> </w:t>
            </w:r>
            <w:r>
              <w:rPr>
                <w:spacing w:val="-2"/>
                <w:sz w:val="20"/>
              </w:rPr>
              <w:t>their</w:t>
            </w:r>
            <w:r>
              <w:rPr>
                <w:spacing w:val="-11"/>
                <w:sz w:val="20"/>
              </w:rPr>
              <w:t xml:space="preserve"> </w:t>
            </w:r>
            <w:r>
              <w:rPr>
                <w:spacing w:val="-2"/>
                <w:sz w:val="20"/>
              </w:rPr>
              <w:t>will*</w:t>
            </w:r>
          </w:p>
        </w:tc>
        <w:tc>
          <w:tcPr>
            <w:tcW w:w="982" w:type="dxa"/>
            <w:shd w:val="clear" w:color="auto" w:fill="F8DEC2"/>
          </w:tcPr>
          <w:p w:rsidR="00C76E6D" w:rsidRDefault="00C76E6D">
            <w:pPr>
              <w:pStyle w:val="TableParagraph"/>
              <w:rPr>
                <w:sz w:val="20"/>
              </w:rPr>
            </w:pPr>
          </w:p>
          <w:p w:rsidR="00C76E6D" w:rsidRDefault="00C76E6D">
            <w:pPr>
              <w:pStyle w:val="TableParagraph"/>
              <w:spacing w:before="5"/>
              <w:rPr>
                <w:sz w:val="19"/>
              </w:rPr>
            </w:pPr>
          </w:p>
          <w:p w:rsidR="00C76E6D" w:rsidRDefault="00913831">
            <w:pPr>
              <w:pStyle w:val="TableParagraph"/>
              <w:ind w:right="294"/>
              <w:jc w:val="right"/>
              <w:rPr>
                <w:sz w:val="20"/>
              </w:rPr>
            </w:pPr>
            <w:r>
              <w:rPr>
                <w:spacing w:val="-4"/>
                <w:sz w:val="20"/>
              </w:rPr>
              <w:t>10.9</w:t>
            </w:r>
          </w:p>
        </w:tc>
        <w:tc>
          <w:tcPr>
            <w:tcW w:w="1260" w:type="dxa"/>
            <w:shd w:val="clear" w:color="auto" w:fill="F8DEC2"/>
          </w:tcPr>
          <w:p w:rsidR="00C76E6D" w:rsidRDefault="00C76E6D">
            <w:pPr>
              <w:pStyle w:val="TableParagraph"/>
              <w:rPr>
                <w:sz w:val="20"/>
              </w:rPr>
            </w:pPr>
          </w:p>
          <w:p w:rsidR="00C76E6D" w:rsidRDefault="00C76E6D">
            <w:pPr>
              <w:pStyle w:val="TableParagraph"/>
              <w:spacing w:before="5"/>
              <w:rPr>
                <w:sz w:val="19"/>
              </w:rPr>
            </w:pPr>
          </w:p>
          <w:p w:rsidR="00C76E6D" w:rsidRDefault="00913831">
            <w:pPr>
              <w:pStyle w:val="TableParagraph"/>
              <w:ind w:right="434"/>
              <w:jc w:val="right"/>
              <w:rPr>
                <w:sz w:val="20"/>
              </w:rPr>
            </w:pPr>
            <w:r>
              <w:rPr>
                <w:spacing w:val="-4"/>
                <w:sz w:val="20"/>
              </w:rPr>
              <w:t>20.8</w:t>
            </w:r>
          </w:p>
        </w:tc>
        <w:tc>
          <w:tcPr>
            <w:tcW w:w="900" w:type="dxa"/>
            <w:shd w:val="clear" w:color="auto" w:fill="F8DEC2"/>
          </w:tcPr>
          <w:p w:rsidR="00C76E6D" w:rsidRDefault="00C76E6D">
            <w:pPr>
              <w:pStyle w:val="TableParagraph"/>
              <w:rPr>
                <w:sz w:val="20"/>
              </w:rPr>
            </w:pPr>
          </w:p>
          <w:p w:rsidR="00C76E6D" w:rsidRDefault="00C76E6D">
            <w:pPr>
              <w:pStyle w:val="TableParagraph"/>
              <w:spacing w:before="5"/>
              <w:rPr>
                <w:sz w:val="19"/>
              </w:rPr>
            </w:pPr>
          </w:p>
          <w:p w:rsidR="00C76E6D" w:rsidRDefault="00913831">
            <w:pPr>
              <w:pStyle w:val="TableParagraph"/>
              <w:ind w:left="267" w:right="238"/>
              <w:jc w:val="center"/>
              <w:rPr>
                <w:sz w:val="20"/>
              </w:rPr>
            </w:pPr>
            <w:r>
              <w:rPr>
                <w:spacing w:val="-4"/>
                <w:sz w:val="20"/>
              </w:rPr>
              <w:t>13.8</w:t>
            </w:r>
          </w:p>
        </w:tc>
        <w:tc>
          <w:tcPr>
            <w:tcW w:w="1080" w:type="dxa"/>
            <w:shd w:val="clear" w:color="auto" w:fill="F8DEC2"/>
          </w:tcPr>
          <w:p w:rsidR="00C76E6D" w:rsidRDefault="00C76E6D">
            <w:pPr>
              <w:pStyle w:val="TableParagraph"/>
              <w:rPr>
                <w:sz w:val="20"/>
              </w:rPr>
            </w:pPr>
          </w:p>
          <w:p w:rsidR="00C76E6D" w:rsidRDefault="00C76E6D">
            <w:pPr>
              <w:pStyle w:val="TableParagraph"/>
              <w:spacing w:before="5"/>
              <w:rPr>
                <w:sz w:val="19"/>
              </w:rPr>
            </w:pPr>
          </w:p>
          <w:p w:rsidR="00C76E6D" w:rsidRDefault="00913831">
            <w:pPr>
              <w:pStyle w:val="TableParagraph"/>
              <w:ind w:left="357" w:right="328"/>
              <w:jc w:val="center"/>
              <w:rPr>
                <w:sz w:val="20"/>
              </w:rPr>
            </w:pPr>
            <w:r>
              <w:rPr>
                <w:spacing w:val="-4"/>
                <w:sz w:val="20"/>
              </w:rPr>
              <w:t>10.5</w:t>
            </w:r>
          </w:p>
        </w:tc>
        <w:tc>
          <w:tcPr>
            <w:tcW w:w="1620" w:type="dxa"/>
            <w:shd w:val="clear" w:color="auto" w:fill="F8DEC2"/>
          </w:tcPr>
          <w:p w:rsidR="00C76E6D" w:rsidRDefault="00C76E6D">
            <w:pPr>
              <w:pStyle w:val="TableParagraph"/>
              <w:rPr>
                <w:sz w:val="20"/>
              </w:rPr>
            </w:pPr>
          </w:p>
          <w:p w:rsidR="00C76E6D" w:rsidRDefault="00C76E6D">
            <w:pPr>
              <w:pStyle w:val="TableParagraph"/>
              <w:spacing w:before="5"/>
              <w:rPr>
                <w:sz w:val="19"/>
              </w:rPr>
            </w:pPr>
          </w:p>
          <w:p w:rsidR="00C76E6D" w:rsidRDefault="00913831">
            <w:pPr>
              <w:pStyle w:val="TableParagraph"/>
              <w:ind w:left="627" w:right="598"/>
              <w:jc w:val="center"/>
              <w:rPr>
                <w:sz w:val="20"/>
              </w:rPr>
            </w:pPr>
            <w:r>
              <w:rPr>
                <w:spacing w:val="-4"/>
                <w:sz w:val="20"/>
              </w:rPr>
              <w:t>24.3</w:t>
            </w:r>
          </w:p>
        </w:tc>
        <w:tc>
          <w:tcPr>
            <w:tcW w:w="1890" w:type="dxa"/>
            <w:shd w:val="clear" w:color="auto" w:fill="F8DEC2"/>
          </w:tcPr>
          <w:p w:rsidR="00C76E6D" w:rsidRDefault="00C76E6D">
            <w:pPr>
              <w:pStyle w:val="TableParagraph"/>
              <w:rPr>
                <w:sz w:val="20"/>
              </w:rPr>
            </w:pPr>
          </w:p>
          <w:p w:rsidR="00C76E6D" w:rsidRDefault="00C76E6D">
            <w:pPr>
              <w:pStyle w:val="TableParagraph"/>
              <w:spacing w:before="5"/>
              <w:rPr>
                <w:sz w:val="19"/>
              </w:rPr>
            </w:pPr>
          </w:p>
          <w:p w:rsidR="00C76E6D" w:rsidRDefault="00913831">
            <w:pPr>
              <w:pStyle w:val="TableParagraph"/>
              <w:ind w:left="763" w:right="732"/>
              <w:jc w:val="center"/>
              <w:rPr>
                <w:sz w:val="20"/>
              </w:rPr>
            </w:pPr>
            <w:r>
              <w:rPr>
                <w:spacing w:val="-4"/>
                <w:sz w:val="20"/>
              </w:rPr>
              <w:t>25.0</w:t>
            </w:r>
          </w:p>
        </w:tc>
      </w:tr>
      <w:tr w:rsidR="00C76E6D">
        <w:trPr>
          <w:trHeight w:val="510"/>
        </w:trPr>
        <w:tc>
          <w:tcPr>
            <w:tcW w:w="1620" w:type="dxa"/>
            <w:shd w:val="clear" w:color="auto" w:fill="F8DEC2"/>
          </w:tcPr>
          <w:p w:rsidR="00C76E6D" w:rsidRDefault="00913831">
            <w:pPr>
              <w:pStyle w:val="TableParagraph"/>
              <w:spacing w:before="59"/>
              <w:ind w:left="65"/>
              <w:rPr>
                <w:sz w:val="20"/>
              </w:rPr>
            </w:pPr>
            <w:r>
              <w:rPr>
                <w:spacing w:val="-2"/>
                <w:sz w:val="20"/>
              </w:rPr>
              <w:t>Homeless</w:t>
            </w:r>
          </w:p>
        </w:tc>
        <w:tc>
          <w:tcPr>
            <w:tcW w:w="982" w:type="dxa"/>
            <w:shd w:val="clear" w:color="auto" w:fill="F8DEC2"/>
          </w:tcPr>
          <w:p w:rsidR="00C76E6D" w:rsidRDefault="00913831">
            <w:pPr>
              <w:pStyle w:val="TableParagraph"/>
              <w:spacing w:before="114"/>
              <w:ind w:left="25"/>
              <w:jc w:val="center"/>
              <w:rPr>
                <w:sz w:val="20"/>
              </w:rPr>
            </w:pPr>
            <w:r>
              <w:rPr>
                <w:sz w:val="20"/>
              </w:rPr>
              <w:t>a</w:t>
            </w:r>
          </w:p>
        </w:tc>
        <w:tc>
          <w:tcPr>
            <w:tcW w:w="1260" w:type="dxa"/>
            <w:shd w:val="clear" w:color="auto" w:fill="F8DEC2"/>
          </w:tcPr>
          <w:p w:rsidR="00C76E6D" w:rsidRDefault="00913831">
            <w:pPr>
              <w:pStyle w:val="TableParagraph"/>
              <w:spacing w:before="114"/>
              <w:ind w:left="25"/>
              <w:jc w:val="center"/>
              <w:rPr>
                <w:sz w:val="20"/>
              </w:rPr>
            </w:pPr>
            <w:r>
              <w:rPr>
                <w:sz w:val="20"/>
              </w:rPr>
              <w:t>a</w:t>
            </w:r>
          </w:p>
        </w:tc>
        <w:tc>
          <w:tcPr>
            <w:tcW w:w="900" w:type="dxa"/>
            <w:shd w:val="clear" w:color="auto" w:fill="F8DEC2"/>
          </w:tcPr>
          <w:p w:rsidR="00C76E6D" w:rsidRDefault="00913831">
            <w:pPr>
              <w:pStyle w:val="TableParagraph"/>
              <w:spacing w:before="114"/>
              <w:ind w:left="25"/>
              <w:jc w:val="center"/>
              <w:rPr>
                <w:sz w:val="20"/>
              </w:rPr>
            </w:pPr>
            <w:r>
              <w:rPr>
                <w:sz w:val="20"/>
              </w:rPr>
              <w:t>a</w:t>
            </w:r>
          </w:p>
        </w:tc>
        <w:tc>
          <w:tcPr>
            <w:tcW w:w="1080" w:type="dxa"/>
            <w:shd w:val="clear" w:color="auto" w:fill="F8DEC2"/>
          </w:tcPr>
          <w:p w:rsidR="00C76E6D" w:rsidRDefault="00913831">
            <w:pPr>
              <w:pStyle w:val="TableParagraph"/>
              <w:spacing w:before="114"/>
              <w:ind w:left="25"/>
              <w:jc w:val="center"/>
              <w:rPr>
                <w:sz w:val="20"/>
              </w:rPr>
            </w:pPr>
            <w:r>
              <w:rPr>
                <w:sz w:val="20"/>
              </w:rPr>
              <w:t>a</w:t>
            </w:r>
          </w:p>
        </w:tc>
        <w:tc>
          <w:tcPr>
            <w:tcW w:w="1620" w:type="dxa"/>
            <w:shd w:val="clear" w:color="auto" w:fill="F8DEC2"/>
          </w:tcPr>
          <w:p w:rsidR="00C76E6D" w:rsidRDefault="00913831">
            <w:pPr>
              <w:pStyle w:val="TableParagraph"/>
              <w:spacing w:before="114"/>
              <w:ind w:left="25"/>
              <w:jc w:val="center"/>
              <w:rPr>
                <w:sz w:val="20"/>
              </w:rPr>
            </w:pPr>
            <w:r>
              <w:rPr>
                <w:sz w:val="20"/>
              </w:rPr>
              <w:t>a</w:t>
            </w:r>
          </w:p>
        </w:tc>
        <w:tc>
          <w:tcPr>
            <w:tcW w:w="1890" w:type="dxa"/>
            <w:shd w:val="clear" w:color="auto" w:fill="F8DEC2"/>
          </w:tcPr>
          <w:p w:rsidR="00C76E6D" w:rsidRDefault="00913831">
            <w:pPr>
              <w:pStyle w:val="TableParagraph"/>
              <w:spacing w:before="114"/>
              <w:ind w:left="24"/>
              <w:jc w:val="center"/>
              <w:rPr>
                <w:sz w:val="20"/>
              </w:rPr>
            </w:pPr>
            <w:r>
              <w:rPr>
                <w:sz w:val="20"/>
              </w:rPr>
              <w:t>a</w:t>
            </w:r>
          </w:p>
        </w:tc>
      </w:tr>
    </w:tbl>
    <w:p w:rsidR="00C76E6D" w:rsidRDefault="00913831">
      <w:pPr>
        <w:spacing w:before="12" w:line="278" w:lineRule="auto"/>
        <w:ind w:left="480" w:right="1919" w:hanging="1"/>
        <w:rPr>
          <w:sz w:val="18"/>
        </w:rPr>
      </w:pPr>
      <w:r>
        <w:rPr>
          <w:sz w:val="18"/>
        </w:rPr>
        <w:t>Note:</w:t>
      </w:r>
      <w:r>
        <w:rPr>
          <w:spacing w:val="-7"/>
          <w:sz w:val="18"/>
        </w:rPr>
        <w:t xml:space="preserve"> </w:t>
      </w:r>
      <w:r>
        <w:rPr>
          <w:sz w:val="18"/>
        </w:rPr>
        <w:t>Native</w:t>
      </w:r>
      <w:r>
        <w:rPr>
          <w:spacing w:val="-7"/>
          <w:sz w:val="18"/>
        </w:rPr>
        <w:t xml:space="preserve"> </w:t>
      </w:r>
      <w:r>
        <w:rPr>
          <w:sz w:val="18"/>
        </w:rPr>
        <w:t>American/Alaskan</w:t>
      </w:r>
      <w:r>
        <w:rPr>
          <w:spacing w:val="-7"/>
          <w:sz w:val="18"/>
        </w:rPr>
        <w:t xml:space="preserve"> </w:t>
      </w:r>
      <w:r>
        <w:rPr>
          <w:sz w:val="18"/>
        </w:rPr>
        <w:t>Native</w:t>
      </w:r>
      <w:r>
        <w:rPr>
          <w:spacing w:val="-7"/>
          <w:sz w:val="18"/>
        </w:rPr>
        <w:t xml:space="preserve"> </w:t>
      </w:r>
      <w:r>
        <w:rPr>
          <w:sz w:val="18"/>
        </w:rPr>
        <w:t>youth</w:t>
      </w:r>
      <w:r>
        <w:rPr>
          <w:spacing w:val="-7"/>
          <w:sz w:val="18"/>
        </w:rPr>
        <w:t xml:space="preserve"> </w:t>
      </w:r>
      <w:r>
        <w:rPr>
          <w:sz w:val="18"/>
        </w:rPr>
        <w:t>(N=5)</w:t>
      </w:r>
      <w:r>
        <w:rPr>
          <w:spacing w:val="-7"/>
          <w:sz w:val="18"/>
        </w:rPr>
        <w:t xml:space="preserve"> </w:t>
      </w:r>
      <w:r>
        <w:rPr>
          <w:sz w:val="18"/>
        </w:rPr>
        <w:t>and</w:t>
      </w:r>
      <w:r>
        <w:rPr>
          <w:spacing w:val="-7"/>
          <w:sz w:val="18"/>
        </w:rPr>
        <w:t xml:space="preserve"> </w:t>
      </w:r>
      <w:r>
        <w:rPr>
          <w:sz w:val="18"/>
        </w:rPr>
        <w:t>Native</w:t>
      </w:r>
      <w:r>
        <w:rPr>
          <w:spacing w:val="-7"/>
          <w:sz w:val="18"/>
        </w:rPr>
        <w:t xml:space="preserve"> </w:t>
      </w:r>
      <w:r>
        <w:rPr>
          <w:sz w:val="18"/>
        </w:rPr>
        <w:t>Hawaiian</w:t>
      </w:r>
      <w:r>
        <w:rPr>
          <w:spacing w:val="-7"/>
          <w:sz w:val="18"/>
        </w:rPr>
        <w:t xml:space="preserve"> </w:t>
      </w:r>
      <w:r>
        <w:rPr>
          <w:sz w:val="18"/>
        </w:rPr>
        <w:t>and</w:t>
      </w:r>
      <w:r>
        <w:rPr>
          <w:spacing w:val="-7"/>
          <w:sz w:val="18"/>
        </w:rPr>
        <w:t xml:space="preserve"> </w:t>
      </w:r>
      <w:r>
        <w:rPr>
          <w:sz w:val="18"/>
        </w:rPr>
        <w:t>other</w:t>
      </w:r>
      <w:r>
        <w:rPr>
          <w:spacing w:val="-7"/>
          <w:sz w:val="18"/>
        </w:rPr>
        <w:t xml:space="preserve"> </w:t>
      </w:r>
      <w:r>
        <w:rPr>
          <w:sz w:val="18"/>
        </w:rPr>
        <w:t>Pacific</w:t>
      </w:r>
      <w:r>
        <w:rPr>
          <w:spacing w:val="-7"/>
          <w:sz w:val="18"/>
        </w:rPr>
        <w:t xml:space="preserve"> </w:t>
      </w:r>
      <w:r>
        <w:rPr>
          <w:sz w:val="18"/>
        </w:rPr>
        <w:t>Islander</w:t>
      </w:r>
      <w:r>
        <w:rPr>
          <w:spacing w:val="-7"/>
          <w:sz w:val="18"/>
        </w:rPr>
        <w:t xml:space="preserve"> </w:t>
      </w:r>
      <w:r>
        <w:rPr>
          <w:sz w:val="18"/>
        </w:rPr>
        <w:t>youth (N=3) are not included here due to the very small sample sizes.</w:t>
      </w:r>
    </w:p>
    <w:p w:rsidR="00C76E6D" w:rsidRDefault="00913831">
      <w:pPr>
        <w:spacing w:line="215" w:lineRule="exact"/>
        <w:ind w:left="480"/>
        <w:rPr>
          <w:sz w:val="18"/>
        </w:rPr>
      </w:pPr>
      <w:r>
        <w:rPr>
          <w:sz w:val="18"/>
        </w:rPr>
        <w:t>*</w:t>
      </w:r>
      <w:r>
        <w:rPr>
          <w:spacing w:val="-6"/>
          <w:sz w:val="18"/>
        </w:rPr>
        <w:t xml:space="preserve"> </w:t>
      </w:r>
      <w:r>
        <w:rPr>
          <w:sz w:val="18"/>
        </w:rPr>
        <w:t>p &lt;</w:t>
      </w:r>
      <w:r>
        <w:rPr>
          <w:spacing w:val="-1"/>
          <w:sz w:val="18"/>
        </w:rPr>
        <w:t xml:space="preserve"> </w:t>
      </w:r>
      <w:r>
        <w:rPr>
          <w:sz w:val="18"/>
        </w:rPr>
        <w:t>.05;</w:t>
      </w:r>
      <w:r>
        <w:rPr>
          <w:spacing w:val="-1"/>
          <w:sz w:val="18"/>
        </w:rPr>
        <w:t xml:space="preserve"> </w:t>
      </w:r>
      <w:r>
        <w:rPr>
          <w:sz w:val="18"/>
        </w:rPr>
        <w:t>**</w:t>
      </w:r>
      <w:r>
        <w:rPr>
          <w:spacing w:val="-1"/>
          <w:sz w:val="18"/>
        </w:rPr>
        <w:t xml:space="preserve"> </w:t>
      </w:r>
      <w:r>
        <w:rPr>
          <w:sz w:val="18"/>
        </w:rPr>
        <w:t>p</w:t>
      </w:r>
      <w:r>
        <w:rPr>
          <w:spacing w:val="-1"/>
          <w:sz w:val="18"/>
        </w:rPr>
        <w:t xml:space="preserve"> </w:t>
      </w:r>
      <w:r>
        <w:rPr>
          <w:sz w:val="18"/>
        </w:rPr>
        <w:t>&lt;</w:t>
      </w:r>
      <w:r>
        <w:rPr>
          <w:spacing w:val="-2"/>
          <w:sz w:val="18"/>
        </w:rPr>
        <w:t xml:space="preserve"> </w:t>
      </w:r>
      <w:r>
        <w:rPr>
          <w:sz w:val="18"/>
        </w:rPr>
        <w:t>.01;</w:t>
      </w:r>
      <w:r>
        <w:rPr>
          <w:spacing w:val="-1"/>
          <w:sz w:val="18"/>
        </w:rPr>
        <w:t xml:space="preserve"> </w:t>
      </w:r>
      <w:r>
        <w:rPr>
          <w:sz w:val="18"/>
        </w:rPr>
        <w:t>***</w:t>
      </w:r>
      <w:r>
        <w:rPr>
          <w:spacing w:val="-1"/>
          <w:sz w:val="18"/>
        </w:rPr>
        <w:t xml:space="preserve"> </w:t>
      </w:r>
      <w:r>
        <w:rPr>
          <w:sz w:val="18"/>
        </w:rPr>
        <w:t>p</w:t>
      </w:r>
      <w:r>
        <w:rPr>
          <w:spacing w:val="-1"/>
          <w:sz w:val="18"/>
        </w:rPr>
        <w:t xml:space="preserve"> </w:t>
      </w:r>
      <w:r>
        <w:rPr>
          <w:sz w:val="18"/>
        </w:rPr>
        <w:t>&lt;</w:t>
      </w:r>
      <w:r>
        <w:rPr>
          <w:spacing w:val="-1"/>
          <w:sz w:val="18"/>
        </w:rPr>
        <w:t xml:space="preserve"> </w:t>
      </w:r>
      <w:r>
        <w:rPr>
          <w:spacing w:val="-4"/>
          <w:sz w:val="18"/>
        </w:rPr>
        <w:t>.001</w:t>
      </w:r>
    </w:p>
    <w:p w:rsidR="00C76E6D" w:rsidRDefault="00913831">
      <w:pPr>
        <w:spacing w:before="32"/>
        <w:ind w:left="480"/>
        <w:rPr>
          <w:sz w:val="18"/>
        </w:rPr>
      </w:pPr>
      <w:r>
        <w:rPr>
          <w:sz w:val="18"/>
        </w:rPr>
        <w:t>a</w:t>
      </w:r>
      <w:r>
        <w:rPr>
          <w:spacing w:val="-5"/>
          <w:sz w:val="18"/>
        </w:rPr>
        <w:t xml:space="preserve"> </w:t>
      </w:r>
      <w:r>
        <w:rPr>
          <w:sz w:val="18"/>
        </w:rPr>
        <w:t>Cell</w:t>
      </w:r>
      <w:r>
        <w:rPr>
          <w:spacing w:val="-4"/>
          <w:sz w:val="18"/>
        </w:rPr>
        <w:t xml:space="preserve"> </w:t>
      </w:r>
      <w:r>
        <w:rPr>
          <w:sz w:val="18"/>
        </w:rPr>
        <w:t>sizes</w:t>
      </w:r>
      <w:r>
        <w:rPr>
          <w:spacing w:val="-2"/>
          <w:sz w:val="18"/>
        </w:rPr>
        <w:t xml:space="preserve"> </w:t>
      </w:r>
      <w:r>
        <w:rPr>
          <w:sz w:val="18"/>
        </w:rPr>
        <w:t>too</w:t>
      </w:r>
      <w:r>
        <w:rPr>
          <w:spacing w:val="-4"/>
          <w:sz w:val="18"/>
        </w:rPr>
        <w:t xml:space="preserve"> </w:t>
      </w:r>
      <w:r>
        <w:rPr>
          <w:sz w:val="18"/>
        </w:rPr>
        <w:t>small</w:t>
      </w:r>
      <w:r>
        <w:rPr>
          <w:spacing w:val="-5"/>
          <w:sz w:val="18"/>
        </w:rPr>
        <w:t xml:space="preserve"> </w:t>
      </w:r>
      <w:r>
        <w:rPr>
          <w:sz w:val="18"/>
        </w:rPr>
        <w:t>for</w:t>
      </w:r>
      <w:r>
        <w:rPr>
          <w:spacing w:val="-4"/>
          <w:sz w:val="18"/>
        </w:rPr>
        <w:t xml:space="preserve"> </w:t>
      </w:r>
      <w:r>
        <w:rPr>
          <w:sz w:val="18"/>
        </w:rPr>
        <w:t>subgroup</w:t>
      </w:r>
      <w:r>
        <w:rPr>
          <w:spacing w:val="-2"/>
          <w:sz w:val="18"/>
        </w:rPr>
        <w:t xml:space="preserve"> analysis</w:t>
      </w:r>
    </w:p>
    <w:p w:rsidR="00C76E6D" w:rsidRDefault="00C76E6D">
      <w:pPr>
        <w:rPr>
          <w:sz w:val="18"/>
        </w:rPr>
        <w:sectPr w:rsidR="00C76E6D">
          <w:pgSz w:w="12240" w:h="15840"/>
          <w:pgMar w:top="960" w:right="960" w:bottom="860" w:left="960" w:header="760" w:footer="679" w:gutter="0"/>
          <w:cols w:space="720"/>
        </w:sectPr>
      </w:pPr>
    </w:p>
    <w:p w:rsidR="00C76E6D" w:rsidRDefault="00C76E6D">
      <w:pPr>
        <w:pStyle w:val="BodyText"/>
        <w:rPr>
          <w:sz w:val="20"/>
        </w:rPr>
      </w:pPr>
    </w:p>
    <w:p w:rsidR="00C76E6D" w:rsidRDefault="00913831">
      <w:pPr>
        <w:pStyle w:val="BodyText"/>
        <w:spacing w:before="215" w:line="276" w:lineRule="auto"/>
        <w:ind w:left="479" w:right="472"/>
        <w:jc w:val="both"/>
      </w:pPr>
      <w:r>
        <w:t>Key differences in school safety and inclusion exist along racial and ethnic lines. While white LGBTQ students were more likely to report experiences of bullying in the last year than were mo</w:t>
      </w:r>
      <w:r>
        <w:t>st other racial and ethnic groups—except multiracial, non-Latinx youth, who faced the highest bullying rate—LGBTQ students</w:t>
      </w:r>
      <w:r>
        <w:rPr>
          <w:spacing w:val="-8"/>
        </w:rPr>
        <w:t xml:space="preserve"> </w:t>
      </w:r>
      <w:r>
        <w:t>of</w:t>
      </w:r>
      <w:r>
        <w:rPr>
          <w:spacing w:val="-6"/>
        </w:rPr>
        <w:t xml:space="preserve"> </w:t>
      </w:r>
      <w:r>
        <w:t>color</w:t>
      </w:r>
      <w:r>
        <w:rPr>
          <w:spacing w:val="-8"/>
        </w:rPr>
        <w:t xml:space="preserve"> </w:t>
      </w:r>
      <w:r>
        <w:t>reported</w:t>
      </w:r>
      <w:r>
        <w:rPr>
          <w:spacing w:val="-8"/>
        </w:rPr>
        <w:t xml:space="preserve"> </w:t>
      </w:r>
      <w:r>
        <w:t>higher</w:t>
      </w:r>
      <w:r>
        <w:rPr>
          <w:spacing w:val="-6"/>
        </w:rPr>
        <w:t xml:space="preserve"> </w:t>
      </w:r>
      <w:r>
        <w:t>disparities</w:t>
      </w:r>
      <w:r>
        <w:rPr>
          <w:spacing w:val="-8"/>
        </w:rPr>
        <w:t xml:space="preserve"> </w:t>
      </w:r>
      <w:r>
        <w:t>in</w:t>
      </w:r>
      <w:r>
        <w:rPr>
          <w:spacing w:val="-7"/>
        </w:rPr>
        <w:t xml:space="preserve"> </w:t>
      </w:r>
      <w:r>
        <w:t>many</w:t>
      </w:r>
      <w:r>
        <w:rPr>
          <w:spacing w:val="-6"/>
        </w:rPr>
        <w:t xml:space="preserve"> </w:t>
      </w:r>
      <w:r>
        <w:t>other</w:t>
      </w:r>
      <w:r>
        <w:rPr>
          <w:spacing w:val="-8"/>
        </w:rPr>
        <w:t xml:space="preserve"> </w:t>
      </w:r>
      <w:r>
        <w:t>safety</w:t>
      </w:r>
      <w:r>
        <w:rPr>
          <w:spacing w:val="-7"/>
        </w:rPr>
        <w:t xml:space="preserve"> </w:t>
      </w:r>
      <w:r>
        <w:t>indicators.</w:t>
      </w:r>
      <w:r>
        <w:rPr>
          <w:spacing w:val="-8"/>
        </w:rPr>
        <w:t xml:space="preserve"> </w:t>
      </w:r>
      <w:r>
        <w:t>Black,</w:t>
      </w:r>
      <w:r>
        <w:rPr>
          <w:spacing w:val="-7"/>
        </w:rPr>
        <w:t xml:space="preserve"> </w:t>
      </w:r>
      <w:r>
        <w:t>Latinx,</w:t>
      </w:r>
      <w:r>
        <w:rPr>
          <w:spacing w:val="-8"/>
        </w:rPr>
        <w:t xml:space="preserve"> </w:t>
      </w:r>
      <w:r>
        <w:t>and</w:t>
      </w:r>
      <w:r>
        <w:rPr>
          <w:spacing w:val="-8"/>
        </w:rPr>
        <w:t xml:space="preserve"> </w:t>
      </w:r>
      <w:r>
        <w:t>multiracial LGBTQ</w:t>
      </w:r>
      <w:r>
        <w:rPr>
          <w:spacing w:val="-4"/>
        </w:rPr>
        <w:t xml:space="preserve"> </w:t>
      </w:r>
      <w:r>
        <w:t>students</w:t>
      </w:r>
      <w:r>
        <w:rPr>
          <w:spacing w:val="-4"/>
        </w:rPr>
        <w:t xml:space="preserve"> </w:t>
      </w:r>
      <w:r>
        <w:t>were</w:t>
      </w:r>
      <w:r>
        <w:rPr>
          <w:spacing w:val="-3"/>
        </w:rPr>
        <w:t xml:space="preserve"> </w:t>
      </w:r>
      <w:r>
        <w:t>all</w:t>
      </w:r>
      <w:r>
        <w:rPr>
          <w:spacing w:val="-3"/>
        </w:rPr>
        <w:t xml:space="preserve"> </w:t>
      </w:r>
      <w:r>
        <w:t>more</w:t>
      </w:r>
      <w:r>
        <w:rPr>
          <w:spacing w:val="-5"/>
        </w:rPr>
        <w:t xml:space="preserve"> </w:t>
      </w:r>
      <w:r>
        <w:t>likely</w:t>
      </w:r>
      <w:r>
        <w:rPr>
          <w:spacing w:val="-2"/>
        </w:rPr>
        <w:t xml:space="preserve"> </w:t>
      </w:r>
      <w:r>
        <w:t>to</w:t>
      </w:r>
      <w:r>
        <w:rPr>
          <w:spacing w:val="-2"/>
        </w:rPr>
        <w:t xml:space="preserve"> </w:t>
      </w:r>
      <w:r>
        <w:t>report</w:t>
      </w:r>
      <w:r>
        <w:rPr>
          <w:spacing w:val="-5"/>
        </w:rPr>
        <w:t xml:space="preserve"> </w:t>
      </w:r>
      <w:r>
        <w:t>skipping</w:t>
      </w:r>
      <w:r>
        <w:rPr>
          <w:spacing w:val="-4"/>
        </w:rPr>
        <w:t xml:space="preserve"> </w:t>
      </w:r>
      <w:r>
        <w:t>school</w:t>
      </w:r>
      <w:r>
        <w:rPr>
          <w:spacing w:val="-4"/>
        </w:rPr>
        <w:t xml:space="preserve"> </w:t>
      </w:r>
      <w:r>
        <w:t>because</w:t>
      </w:r>
      <w:r>
        <w:rPr>
          <w:spacing w:val="-4"/>
        </w:rPr>
        <w:t xml:space="preserve"> </w:t>
      </w:r>
      <w:r>
        <w:t>they</w:t>
      </w:r>
      <w:r>
        <w:rPr>
          <w:spacing w:val="-3"/>
        </w:rPr>
        <w:t xml:space="preserve"> </w:t>
      </w:r>
      <w:r>
        <w:t>felt</w:t>
      </w:r>
      <w:r>
        <w:rPr>
          <w:spacing w:val="-3"/>
        </w:rPr>
        <w:t xml:space="preserve"> </w:t>
      </w:r>
      <w:r>
        <w:t>unsafe.</w:t>
      </w:r>
      <w:r>
        <w:rPr>
          <w:spacing w:val="-4"/>
        </w:rPr>
        <w:t xml:space="preserve"> </w:t>
      </w:r>
      <w:r>
        <w:t>Black,</w:t>
      </w:r>
      <w:r>
        <w:rPr>
          <w:spacing w:val="-4"/>
        </w:rPr>
        <w:t xml:space="preserve"> </w:t>
      </w:r>
      <w:r>
        <w:t>Latinx,</w:t>
      </w:r>
      <w:r>
        <w:rPr>
          <w:spacing w:val="-4"/>
        </w:rPr>
        <w:t xml:space="preserve"> </w:t>
      </w:r>
      <w:r>
        <w:t>and multiracial</w:t>
      </w:r>
      <w:r>
        <w:rPr>
          <w:spacing w:val="-2"/>
        </w:rPr>
        <w:t xml:space="preserve"> </w:t>
      </w:r>
      <w:r>
        <w:t>Latinx</w:t>
      </w:r>
      <w:r>
        <w:rPr>
          <w:spacing w:val="-3"/>
        </w:rPr>
        <w:t xml:space="preserve"> </w:t>
      </w:r>
      <w:r>
        <w:t>LGBTQ</w:t>
      </w:r>
      <w:r>
        <w:rPr>
          <w:spacing w:val="-3"/>
        </w:rPr>
        <w:t xml:space="preserve"> </w:t>
      </w:r>
      <w:r>
        <w:t>students</w:t>
      </w:r>
      <w:r>
        <w:rPr>
          <w:spacing w:val="-4"/>
        </w:rPr>
        <w:t xml:space="preserve"> </w:t>
      </w:r>
      <w:r>
        <w:t>were</w:t>
      </w:r>
      <w:r>
        <w:rPr>
          <w:spacing w:val="-2"/>
        </w:rPr>
        <w:t xml:space="preserve"> </w:t>
      </w:r>
      <w:r>
        <w:t>more</w:t>
      </w:r>
      <w:r>
        <w:rPr>
          <w:spacing w:val="-5"/>
        </w:rPr>
        <w:t xml:space="preserve"> </w:t>
      </w:r>
      <w:r>
        <w:t>likely</w:t>
      </w:r>
      <w:r>
        <w:rPr>
          <w:spacing w:val="-1"/>
        </w:rPr>
        <w:t xml:space="preserve"> </w:t>
      </w:r>
      <w:r>
        <w:t>to</w:t>
      </w:r>
      <w:r>
        <w:rPr>
          <w:spacing w:val="-2"/>
        </w:rPr>
        <w:t xml:space="preserve"> </w:t>
      </w:r>
      <w:r>
        <w:t>report</w:t>
      </w:r>
      <w:r>
        <w:rPr>
          <w:spacing w:val="-3"/>
        </w:rPr>
        <w:t xml:space="preserve"> </w:t>
      </w:r>
      <w:r>
        <w:t>being</w:t>
      </w:r>
      <w:r>
        <w:rPr>
          <w:spacing w:val="-1"/>
        </w:rPr>
        <w:t xml:space="preserve"> </w:t>
      </w:r>
      <w:r>
        <w:t>in</w:t>
      </w:r>
      <w:r>
        <w:rPr>
          <w:spacing w:val="-4"/>
        </w:rPr>
        <w:t xml:space="preserve"> </w:t>
      </w:r>
      <w:r>
        <w:t>a</w:t>
      </w:r>
      <w:r>
        <w:rPr>
          <w:spacing w:val="-1"/>
        </w:rPr>
        <w:t xml:space="preserve"> </w:t>
      </w:r>
      <w:r>
        <w:t>physical</w:t>
      </w:r>
      <w:r>
        <w:rPr>
          <w:spacing w:val="-3"/>
        </w:rPr>
        <w:t xml:space="preserve"> </w:t>
      </w:r>
      <w:r>
        <w:t>fight</w:t>
      </w:r>
      <w:r>
        <w:rPr>
          <w:spacing w:val="-4"/>
        </w:rPr>
        <w:t xml:space="preserve"> </w:t>
      </w:r>
      <w:r>
        <w:t>at</w:t>
      </w:r>
      <w:r>
        <w:rPr>
          <w:spacing w:val="-3"/>
        </w:rPr>
        <w:t xml:space="preserve"> </w:t>
      </w:r>
      <w:r>
        <w:t>school</w:t>
      </w:r>
      <w:r>
        <w:rPr>
          <w:spacing w:val="-4"/>
        </w:rPr>
        <w:t xml:space="preserve"> </w:t>
      </w:r>
      <w:r>
        <w:t>than</w:t>
      </w:r>
      <w:r>
        <w:rPr>
          <w:spacing w:val="-3"/>
        </w:rPr>
        <w:t xml:space="preserve"> </w:t>
      </w:r>
      <w:r>
        <w:t>were white</w:t>
      </w:r>
      <w:r>
        <w:rPr>
          <w:spacing w:val="-13"/>
        </w:rPr>
        <w:t xml:space="preserve"> </w:t>
      </w:r>
      <w:r>
        <w:t>LGBTQ</w:t>
      </w:r>
      <w:r>
        <w:rPr>
          <w:spacing w:val="-12"/>
        </w:rPr>
        <w:t xml:space="preserve"> </w:t>
      </w:r>
      <w:r>
        <w:t>students,</w:t>
      </w:r>
      <w:r>
        <w:rPr>
          <w:spacing w:val="-13"/>
        </w:rPr>
        <w:t xml:space="preserve"> </w:t>
      </w:r>
      <w:r>
        <w:t>and</w:t>
      </w:r>
      <w:r>
        <w:rPr>
          <w:spacing w:val="-12"/>
        </w:rPr>
        <w:t xml:space="preserve"> </w:t>
      </w:r>
      <w:r>
        <w:t>Asian,</w:t>
      </w:r>
      <w:r>
        <w:rPr>
          <w:spacing w:val="-13"/>
        </w:rPr>
        <w:t xml:space="preserve"> </w:t>
      </w:r>
      <w:r>
        <w:t>Black,</w:t>
      </w:r>
      <w:r>
        <w:rPr>
          <w:spacing w:val="-12"/>
        </w:rPr>
        <w:t xml:space="preserve"> </w:t>
      </w:r>
      <w:r>
        <w:t>and</w:t>
      </w:r>
      <w:r>
        <w:rPr>
          <w:spacing w:val="-13"/>
        </w:rPr>
        <w:t xml:space="preserve"> </w:t>
      </w:r>
      <w:r>
        <w:t>multiracial</w:t>
      </w:r>
      <w:r>
        <w:rPr>
          <w:spacing w:val="-12"/>
        </w:rPr>
        <w:t xml:space="preserve"> </w:t>
      </w:r>
      <w:r>
        <w:t>students</w:t>
      </w:r>
      <w:r>
        <w:rPr>
          <w:spacing w:val="-12"/>
        </w:rPr>
        <w:t xml:space="preserve"> </w:t>
      </w:r>
      <w:r>
        <w:t>of</w:t>
      </w:r>
      <w:r>
        <w:rPr>
          <w:spacing w:val="-13"/>
        </w:rPr>
        <w:t xml:space="preserve"> </w:t>
      </w:r>
      <w:r>
        <w:t>all</w:t>
      </w:r>
      <w:r>
        <w:rPr>
          <w:spacing w:val="-12"/>
        </w:rPr>
        <w:t xml:space="preserve"> </w:t>
      </w:r>
      <w:r>
        <w:t>ethnicities</w:t>
      </w:r>
      <w:r>
        <w:rPr>
          <w:spacing w:val="-13"/>
        </w:rPr>
        <w:t xml:space="preserve"> </w:t>
      </w:r>
      <w:r>
        <w:t>were</w:t>
      </w:r>
      <w:r>
        <w:rPr>
          <w:spacing w:val="-12"/>
        </w:rPr>
        <w:t xml:space="preserve"> </w:t>
      </w:r>
      <w:r>
        <w:t>more</w:t>
      </w:r>
      <w:r>
        <w:rPr>
          <w:spacing w:val="-13"/>
        </w:rPr>
        <w:t xml:space="preserve"> </w:t>
      </w:r>
      <w:r>
        <w:t>likely</w:t>
      </w:r>
      <w:r>
        <w:rPr>
          <w:spacing w:val="-12"/>
        </w:rPr>
        <w:t xml:space="preserve"> </w:t>
      </w:r>
      <w:r>
        <w:t>to</w:t>
      </w:r>
      <w:r>
        <w:rPr>
          <w:spacing w:val="-12"/>
        </w:rPr>
        <w:t xml:space="preserve"> </w:t>
      </w:r>
      <w:r>
        <w:t>have been</w:t>
      </w:r>
      <w:r>
        <w:rPr>
          <w:spacing w:val="-5"/>
        </w:rPr>
        <w:t xml:space="preserve"> </w:t>
      </w:r>
      <w:r>
        <w:t>threatened</w:t>
      </w:r>
      <w:r>
        <w:rPr>
          <w:spacing w:val="-7"/>
        </w:rPr>
        <w:t xml:space="preserve"> </w:t>
      </w:r>
      <w:r>
        <w:t>or</w:t>
      </w:r>
      <w:r>
        <w:rPr>
          <w:spacing w:val="-6"/>
        </w:rPr>
        <w:t xml:space="preserve"> </w:t>
      </w:r>
      <w:r>
        <w:t>injured</w:t>
      </w:r>
      <w:r>
        <w:rPr>
          <w:spacing w:val="-7"/>
        </w:rPr>
        <w:t xml:space="preserve"> </w:t>
      </w:r>
      <w:r>
        <w:t>by</w:t>
      </w:r>
      <w:r>
        <w:rPr>
          <w:spacing w:val="-6"/>
        </w:rPr>
        <w:t xml:space="preserve"> </w:t>
      </w:r>
      <w:r>
        <w:t>a</w:t>
      </w:r>
      <w:r>
        <w:rPr>
          <w:spacing w:val="-6"/>
        </w:rPr>
        <w:t xml:space="preserve"> </w:t>
      </w:r>
      <w:r>
        <w:t>weapon</w:t>
      </w:r>
      <w:r>
        <w:rPr>
          <w:spacing w:val="-8"/>
        </w:rPr>
        <w:t xml:space="preserve"> </w:t>
      </w:r>
      <w:r>
        <w:t>at</w:t>
      </w:r>
      <w:r>
        <w:rPr>
          <w:spacing w:val="-7"/>
        </w:rPr>
        <w:t xml:space="preserve"> </w:t>
      </w:r>
      <w:r>
        <w:t>school.</w:t>
      </w:r>
      <w:r>
        <w:rPr>
          <w:spacing w:val="-7"/>
        </w:rPr>
        <w:t xml:space="preserve"> </w:t>
      </w:r>
      <w:r>
        <w:t>Therefore,</w:t>
      </w:r>
      <w:r>
        <w:rPr>
          <w:spacing w:val="-6"/>
        </w:rPr>
        <w:t xml:space="preserve"> </w:t>
      </w:r>
      <w:r>
        <w:t>a</w:t>
      </w:r>
      <w:r>
        <w:rPr>
          <w:spacing w:val="-6"/>
        </w:rPr>
        <w:t xml:space="preserve"> </w:t>
      </w:r>
      <w:r>
        <w:t>narrow</w:t>
      </w:r>
      <w:r>
        <w:rPr>
          <w:spacing w:val="-7"/>
        </w:rPr>
        <w:t xml:space="preserve"> </w:t>
      </w:r>
      <w:r>
        <w:t>focus</w:t>
      </w:r>
      <w:r>
        <w:rPr>
          <w:spacing w:val="-6"/>
        </w:rPr>
        <w:t xml:space="preserve"> </w:t>
      </w:r>
      <w:r>
        <w:t>on</w:t>
      </w:r>
      <w:r>
        <w:rPr>
          <w:spacing w:val="-8"/>
        </w:rPr>
        <w:t xml:space="preserve"> </w:t>
      </w:r>
      <w:r>
        <w:t>LGBTQ</w:t>
      </w:r>
      <w:r>
        <w:rPr>
          <w:spacing w:val="-7"/>
        </w:rPr>
        <w:t xml:space="preserve"> </w:t>
      </w:r>
      <w:r>
        <w:t>anti-bullying</w:t>
      </w:r>
      <w:r>
        <w:rPr>
          <w:spacing w:val="-6"/>
        </w:rPr>
        <w:t xml:space="preserve"> </w:t>
      </w:r>
      <w:r>
        <w:t>that does not also include a consideration of other school safety concerns is likely to offer limited support to LGBTQ</w:t>
      </w:r>
      <w:r>
        <w:rPr>
          <w:spacing w:val="-10"/>
        </w:rPr>
        <w:t xml:space="preserve"> </w:t>
      </w:r>
      <w:r>
        <w:t>students</w:t>
      </w:r>
      <w:r>
        <w:rPr>
          <w:spacing w:val="-11"/>
        </w:rPr>
        <w:t xml:space="preserve"> </w:t>
      </w:r>
      <w:r>
        <w:t>of</w:t>
      </w:r>
      <w:r>
        <w:rPr>
          <w:spacing w:val="-10"/>
        </w:rPr>
        <w:t xml:space="preserve"> </w:t>
      </w:r>
      <w:r>
        <w:t>color.</w:t>
      </w:r>
      <w:r>
        <w:rPr>
          <w:spacing w:val="-12"/>
        </w:rPr>
        <w:t xml:space="preserve"> </w:t>
      </w:r>
      <w:r>
        <w:t>“Bullying”</w:t>
      </w:r>
      <w:r>
        <w:rPr>
          <w:spacing w:val="-10"/>
        </w:rPr>
        <w:t xml:space="preserve"> </w:t>
      </w:r>
      <w:r>
        <w:t>as</w:t>
      </w:r>
      <w:r>
        <w:rPr>
          <w:spacing w:val="-11"/>
        </w:rPr>
        <w:t xml:space="preserve"> </w:t>
      </w:r>
      <w:r>
        <w:t>such—especially</w:t>
      </w:r>
      <w:r>
        <w:rPr>
          <w:spacing w:val="-11"/>
        </w:rPr>
        <w:t xml:space="preserve"> </w:t>
      </w:r>
      <w:r>
        <w:t>if</w:t>
      </w:r>
      <w:r>
        <w:rPr>
          <w:spacing w:val="-10"/>
        </w:rPr>
        <w:t xml:space="preserve"> </w:t>
      </w:r>
      <w:r>
        <w:t>narrowly</w:t>
      </w:r>
      <w:r>
        <w:rPr>
          <w:spacing w:val="-11"/>
        </w:rPr>
        <w:t xml:space="preserve"> </w:t>
      </w:r>
      <w:r>
        <w:t>defined—is</w:t>
      </w:r>
      <w:r>
        <w:rPr>
          <w:spacing w:val="-10"/>
        </w:rPr>
        <w:t xml:space="preserve"> </w:t>
      </w:r>
      <w:r>
        <w:t>unlikely</w:t>
      </w:r>
      <w:r>
        <w:rPr>
          <w:spacing w:val="-9"/>
        </w:rPr>
        <w:t xml:space="preserve"> </w:t>
      </w:r>
      <w:r>
        <w:t>to</w:t>
      </w:r>
      <w:r>
        <w:rPr>
          <w:spacing w:val="-10"/>
        </w:rPr>
        <w:t xml:space="preserve"> </w:t>
      </w:r>
      <w:r>
        <w:t>be</w:t>
      </w:r>
      <w:r>
        <w:rPr>
          <w:spacing w:val="-10"/>
        </w:rPr>
        <w:t xml:space="preserve"> </w:t>
      </w:r>
      <w:r>
        <w:t>as</w:t>
      </w:r>
      <w:r>
        <w:rPr>
          <w:spacing w:val="-11"/>
        </w:rPr>
        <w:t xml:space="preserve"> </w:t>
      </w:r>
      <w:r>
        <w:t>significant a safety concern for students if they are also dealing with threats, injuries, and other dangers that are forcing them to leave school</w:t>
      </w:r>
      <w:hyperlink w:anchor="_bookmark102" w:history="1">
        <w:r>
          <w:t>.</w:t>
        </w:r>
        <w:r>
          <w:rPr>
            <w:vertAlign w:val="superscript"/>
          </w:rPr>
          <w:t>11</w:t>
        </w:r>
      </w:hyperlink>
    </w:p>
    <w:p w:rsidR="00C76E6D" w:rsidRDefault="00C76E6D">
      <w:pPr>
        <w:pStyle w:val="BodyText"/>
        <w:spacing w:before="11"/>
        <w:rPr>
          <w:sz w:val="26"/>
        </w:rPr>
      </w:pPr>
    </w:p>
    <w:p w:rsidR="00C76E6D" w:rsidRDefault="00913831">
      <w:pPr>
        <w:pStyle w:val="BodyText"/>
        <w:spacing w:line="276" w:lineRule="auto"/>
        <w:ind w:left="480" w:right="473"/>
        <w:jc w:val="both"/>
      </w:pPr>
      <w:r>
        <w:t>Youth who are questioning their sexuality are rarely given much attention by LGBTQ organizations and research, but evidence suggests that questioning students do need additional support. Research has found</w:t>
      </w:r>
      <w:r>
        <w:rPr>
          <w:spacing w:val="-5"/>
        </w:rPr>
        <w:t xml:space="preserve"> </w:t>
      </w:r>
      <w:r>
        <w:t>that</w:t>
      </w:r>
      <w:r>
        <w:rPr>
          <w:spacing w:val="-6"/>
        </w:rPr>
        <w:t xml:space="preserve"> </w:t>
      </w:r>
      <w:r>
        <w:t>questionin</w:t>
      </w:r>
      <w:r>
        <w:t>g</w:t>
      </w:r>
      <w:r>
        <w:rPr>
          <w:spacing w:val="-5"/>
        </w:rPr>
        <w:t xml:space="preserve"> </w:t>
      </w:r>
      <w:r>
        <w:t>students</w:t>
      </w:r>
      <w:r>
        <w:rPr>
          <w:spacing w:val="-5"/>
        </w:rPr>
        <w:t xml:space="preserve"> </w:t>
      </w:r>
      <w:r>
        <w:t>are</w:t>
      </w:r>
      <w:r>
        <w:rPr>
          <w:spacing w:val="-5"/>
        </w:rPr>
        <w:t xml:space="preserve"> </w:t>
      </w:r>
      <w:r>
        <w:t>at</w:t>
      </w:r>
      <w:r>
        <w:rPr>
          <w:spacing w:val="-3"/>
        </w:rPr>
        <w:t xml:space="preserve"> </w:t>
      </w:r>
      <w:r>
        <w:t>higher</w:t>
      </w:r>
      <w:r>
        <w:rPr>
          <w:spacing w:val="-5"/>
        </w:rPr>
        <w:t xml:space="preserve"> </w:t>
      </w:r>
      <w:r>
        <w:t>risk</w:t>
      </w:r>
      <w:r>
        <w:rPr>
          <w:spacing w:val="-4"/>
        </w:rPr>
        <w:t xml:space="preserve"> </w:t>
      </w:r>
      <w:r>
        <w:t>of</w:t>
      </w:r>
      <w:r>
        <w:rPr>
          <w:spacing w:val="-4"/>
        </w:rPr>
        <w:t xml:space="preserve"> </w:t>
      </w:r>
      <w:r>
        <w:t>negative</w:t>
      </w:r>
      <w:r>
        <w:rPr>
          <w:spacing w:val="-5"/>
        </w:rPr>
        <w:t xml:space="preserve"> </w:t>
      </w:r>
      <w:r>
        <w:t>outcomes</w:t>
      </w:r>
      <w:r>
        <w:rPr>
          <w:spacing w:val="-5"/>
        </w:rPr>
        <w:t xml:space="preserve"> </w:t>
      </w:r>
      <w:r>
        <w:t>than</w:t>
      </w:r>
      <w:r>
        <w:rPr>
          <w:spacing w:val="-4"/>
        </w:rPr>
        <w:t xml:space="preserve"> </w:t>
      </w:r>
      <w:r>
        <w:t>both</w:t>
      </w:r>
      <w:r>
        <w:rPr>
          <w:spacing w:val="-5"/>
        </w:rPr>
        <w:t xml:space="preserve"> </w:t>
      </w:r>
      <w:r>
        <w:t>heterosexual</w:t>
      </w:r>
      <w:r>
        <w:rPr>
          <w:spacing w:val="-5"/>
        </w:rPr>
        <w:t xml:space="preserve"> </w:t>
      </w:r>
      <w:r>
        <w:t>students and students with confirmed LGB identities. Questioning students reported experiencing more homophobic bullying and higher rates of depression and suicidal feelings than het</w:t>
      </w:r>
      <w:r>
        <w:t>erosexual or LGB students.</w:t>
      </w:r>
      <w:r>
        <w:rPr>
          <w:spacing w:val="-5"/>
        </w:rPr>
        <w:t xml:space="preserve"> </w:t>
      </w:r>
      <w:r>
        <w:t>Questioning</w:t>
      </w:r>
      <w:r>
        <w:rPr>
          <w:spacing w:val="-6"/>
        </w:rPr>
        <w:t xml:space="preserve"> </w:t>
      </w:r>
      <w:r>
        <w:t>students</w:t>
      </w:r>
      <w:r>
        <w:rPr>
          <w:spacing w:val="-5"/>
        </w:rPr>
        <w:t xml:space="preserve"> </w:t>
      </w:r>
      <w:r>
        <w:t>who</w:t>
      </w:r>
      <w:r>
        <w:rPr>
          <w:spacing w:val="-5"/>
        </w:rPr>
        <w:t xml:space="preserve"> </w:t>
      </w:r>
      <w:r>
        <w:t>experienced</w:t>
      </w:r>
      <w:r>
        <w:rPr>
          <w:spacing w:val="-4"/>
        </w:rPr>
        <w:t xml:space="preserve"> </w:t>
      </w:r>
      <w:r>
        <w:t>homophobic</w:t>
      </w:r>
      <w:r>
        <w:rPr>
          <w:spacing w:val="-6"/>
        </w:rPr>
        <w:t xml:space="preserve"> </w:t>
      </w:r>
      <w:r>
        <w:t>bullying</w:t>
      </w:r>
      <w:r>
        <w:rPr>
          <w:spacing w:val="-7"/>
        </w:rPr>
        <w:t xml:space="preserve"> </w:t>
      </w:r>
      <w:r>
        <w:t>were</w:t>
      </w:r>
      <w:r>
        <w:rPr>
          <w:spacing w:val="-4"/>
        </w:rPr>
        <w:t xml:space="preserve"> </w:t>
      </w:r>
      <w:r>
        <w:t>more</w:t>
      </w:r>
      <w:r>
        <w:rPr>
          <w:spacing w:val="-7"/>
        </w:rPr>
        <w:t xml:space="preserve"> </w:t>
      </w:r>
      <w:r>
        <w:t>likely</w:t>
      </w:r>
      <w:r>
        <w:rPr>
          <w:spacing w:val="-5"/>
        </w:rPr>
        <w:t xml:space="preserve"> </w:t>
      </w:r>
      <w:r>
        <w:t>to</w:t>
      </w:r>
      <w:r>
        <w:rPr>
          <w:spacing w:val="-5"/>
        </w:rPr>
        <w:t xml:space="preserve"> </w:t>
      </w:r>
      <w:r>
        <w:t>use</w:t>
      </w:r>
      <w:r>
        <w:rPr>
          <w:spacing w:val="-6"/>
        </w:rPr>
        <w:t xml:space="preserve"> </w:t>
      </w:r>
      <w:r>
        <w:t>alcohol</w:t>
      </w:r>
      <w:r>
        <w:rPr>
          <w:spacing w:val="-7"/>
        </w:rPr>
        <w:t xml:space="preserve"> </w:t>
      </w:r>
      <w:r>
        <w:t xml:space="preserve">or drugs than their heterosexual and LGB peers. Some research suggests that LGB students, while marginalized, are able to draw support from </w:t>
      </w:r>
      <w:r>
        <w:t xml:space="preserve">other LGB peers, but questioning students do not have the same sense of support. This suggests that more work needs to be done to support students who are questioning their sexuality; and that research data specific to questioning students would be highly </w:t>
      </w:r>
      <w:r>
        <w:rPr>
          <w:spacing w:val="-2"/>
        </w:rPr>
        <w:t>beneficial</w:t>
      </w:r>
      <w:hyperlink w:anchor="_bookmark103" w:history="1">
        <w:r>
          <w:rPr>
            <w:spacing w:val="-2"/>
          </w:rPr>
          <w:t>.</w:t>
        </w:r>
        <w:r>
          <w:rPr>
            <w:spacing w:val="-2"/>
            <w:vertAlign w:val="superscript"/>
          </w:rPr>
          <w:t>12</w:t>
        </w:r>
      </w:hyperlink>
    </w:p>
    <w:p w:rsidR="00C76E6D" w:rsidRDefault="00C76E6D">
      <w:pPr>
        <w:pStyle w:val="BodyText"/>
        <w:spacing w:before="4"/>
        <w:rPr>
          <w:sz w:val="25"/>
        </w:rPr>
      </w:pPr>
    </w:p>
    <w:p w:rsidR="00C76E6D" w:rsidRDefault="00913831">
      <w:pPr>
        <w:pStyle w:val="Heading6"/>
        <w:numPr>
          <w:ilvl w:val="0"/>
          <w:numId w:val="45"/>
        </w:numPr>
        <w:tabs>
          <w:tab w:val="left" w:pos="699"/>
        </w:tabs>
        <w:ind w:hanging="221"/>
      </w:pPr>
      <w:bookmarkStart w:id="184" w:name="2._Educator_Trainings_to_Increase_School"/>
      <w:bookmarkEnd w:id="184"/>
      <w:r>
        <w:rPr>
          <w:w w:val="95"/>
        </w:rPr>
        <w:t>Educator</w:t>
      </w:r>
      <w:r>
        <w:rPr>
          <w:spacing w:val="12"/>
        </w:rPr>
        <w:t xml:space="preserve"> </w:t>
      </w:r>
      <w:r>
        <w:rPr>
          <w:w w:val="95"/>
        </w:rPr>
        <w:t>Trainings</w:t>
      </w:r>
      <w:r>
        <w:rPr>
          <w:spacing w:val="13"/>
        </w:rPr>
        <w:t xml:space="preserve"> </w:t>
      </w:r>
      <w:r>
        <w:rPr>
          <w:w w:val="95"/>
        </w:rPr>
        <w:t>to</w:t>
      </w:r>
      <w:r>
        <w:rPr>
          <w:spacing w:val="14"/>
        </w:rPr>
        <w:t xml:space="preserve"> </w:t>
      </w:r>
      <w:r>
        <w:rPr>
          <w:w w:val="95"/>
        </w:rPr>
        <w:t>Increase</w:t>
      </w:r>
      <w:r>
        <w:rPr>
          <w:spacing w:val="14"/>
        </w:rPr>
        <w:t xml:space="preserve"> </w:t>
      </w:r>
      <w:r>
        <w:rPr>
          <w:w w:val="95"/>
        </w:rPr>
        <w:t>School</w:t>
      </w:r>
      <w:r>
        <w:rPr>
          <w:spacing w:val="12"/>
        </w:rPr>
        <w:t xml:space="preserve"> </w:t>
      </w:r>
      <w:r>
        <w:rPr>
          <w:spacing w:val="-2"/>
          <w:w w:val="95"/>
        </w:rPr>
        <w:t>Inclusion</w:t>
      </w:r>
    </w:p>
    <w:p w:rsidR="00C76E6D" w:rsidRDefault="00C76E6D">
      <w:pPr>
        <w:pStyle w:val="BodyText"/>
        <w:spacing w:before="8"/>
        <w:rPr>
          <w:b/>
          <w:sz w:val="28"/>
        </w:rPr>
      </w:pPr>
    </w:p>
    <w:p w:rsidR="00C76E6D" w:rsidRDefault="00913831">
      <w:pPr>
        <w:pStyle w:val="BodyText"/>
        <w:spacing w:line="276" w:lineRule="auto"/>
        <w:ind w:left="478" w:right="474"/>
        <w:jc w:val="both"/>
      </w:pPr>
      <w:r>
        <w:t>Training school staff is an important strategy for supporting LGBTQ youth</w:t>
      </w:r>
      <w:hyperlink w:anchor="_bookmark104" w:history="1">
        <w:r>
          <w:t>.</w:t>
        </w:r>
        <w:r>
          <w:rPr>
            <w:vertAlign w:val="superscript"/>
          </w:rPr>
          <w:t>13</w:t>
        </w:r>
        <w:r>
          <w:t xml:space="preserve"> </w:t>
        </w:r>
      </w:hyperlink>
      <w:r>
        <w:t>Often, this training occurs through professional development programs, where staff (e.g., teachers, counselors, and school administrators)</w:t>
      </w:r>
      <w:r>
        <w:rPr>
          <w:spacing w:val="-8"/>
        </w:rPr>
        <w:t xml:space="preserve"> </w:t>
      </w:r>
      <w:r>
        <w:t>learn</w:t>
      </w:r>
      <w:r>
        <w:rPr>
          <w:spacing w:val="-7"/>
        </w:rPr>
        <w:t xml:space="preserve"> </w:t>
      </w:r>
      <w:r>
        <w:t>about</w:t>
      </w:r>
      <w:r>
        <w:rPr>
          <w:spacing w:val="-7"/>
        </w:rPr>
        <w:t xml:space="preserve"> </w:t>
      </w:r>
      <w:r>
        <w:t>the</w:t>
      </w:r>
      <w:r>
        <w:rPr>
          <w:spacing w:val="-6"/>
        </w:rPr>
        <w:t xml:space="preserve"> </w:t>
      </w:r>
      <w:r>
        <w:t>experiences</w:t>
      </w:r>
      <w:r>
        <w:rPr>
          <w:spacing w:val="-6"/>
        </w:rPr>
        <w:t xml:space="preserve"> </w:t>
      </w:r>
      <w:r>
        <w:t>of</w:t>
      </w:r>
      <w:r>
        <w:rPr>
          <w:spacing w:val="-7"/>
        </w:rPr>
        <w:t xml:space="preserve"> </w:t>
      </w:r>
      <w:r>
        <w:t>LGBTQ</w:t>
      </w:r>
      <w:r>
        <w:rPr>
          <w:spacing w:val="-7"/>
        </w:rPr>
        <w:t xml:space="preserve"> </w:t>
      </w:r>
      <w:r>
        <w:t>students</w:t>
      </w:r>
      <w:r>
        <w:rPr>
          <w:spacing w:val="-6"/>
        </w:rPr>
        <w:t xml:space="preserve"> </w:t>
      </w:r>
      <w:r>
        <w:t>and</w:t>
      </w:r>
      <w:r>
        <w:rPr>
          <w:spacing w:val="-7"/>
        </w:rPr>
        <w:t xml:space="preserve"> </w:t>
      </w:r>
      <w:r>
        <w:t>the</w:t>
      </w:r>
      <w:r>
        <w:rPr>
          <w:spacing w:val="-6"/>
        </w:rPr>
        <w:t xml:space="preserve"> </w:t>
      </w:r>
      <w:r>
        <w:t>issues</w:t>
      </w:r>
      <w:r>
        <w:rPr>
          <w:spacing w:val="-6"/>
        </w:rPr>
        <w:t xml:space="preserve"> </w:t>
      </w:r>
      <w:r>
        <w:t>they</w:t>
      </w:r>
      <w:r>
        <w:rPr>
          <w:spacing w:val="-8"/>
        </w:rPr>
        <w:t xml:space="preserve"> </w:t>
      </w:r>
      <w:r>
        <w:t>face</w:t>
      </w:r>
      <w:hyperlink w:anchor="_bookmark105" w:history="1">
        <w:r>
          <w:t>.</w:t>
        </w:r>
        <w:r>
          <w:rPr>
            <w:vertAlign w:val="superscript"/>
          </w:rPr>
          <w:t>14</w:t>
        </w:r>
      </w:hyperlink>
      <w:r>
        <w:rPr>
          <w:spacing w:val="26"/>
        </w:rPr>
        <w:t xml:space="preserve"> </w:t>
      </w:r>
      <w:r>
        <w:t>Training</w:t>
      </w:r>
      <w:r>
        <w:rPr>
          <w:spacing w:val="-9"/>
        </w:rPr>
        <w:t xml:space="preserve"> </w:t>
      </w:r>
      <w:r>
        <w:t>to</w:t>
      </w:r>
      <w:r>
        <w:t>pics can include sexual orientation, gender identity, and gender expression (SOGIE); appropriate LGBTQ terminology; and stigma and bullying towards LGBTQ and gender-nonconforming students</w:t>
      </w:r>
      <w:hyperlink w:anchor="_bookmark106" w:history="1">
        <w:r>
          <w:t>.</w:t>
        </w:r>
        <w:r>
          <w:rPr>
            <w:vertAlign w:val="superscript"/>
          </w:rPr>
          <w:t>15</w:t>
        </w:r>
        <w:r>
          <w:t xml:space="preserve"> </w:t>
        </w:r>
      </w:hyperlink>
      <w:r>
        <w:t xml:space="preserve">Research shows that schools with </w:t>
      </w:r>
      <w:r>
        <w:t>LGBTQ-focused professional development programs, such as those offered by the</w:t>
      </w:r>
      <w:r>
        <w:rPr>
          <w:spacing w:val="-3"/>
        </w:rPr>
        <w:t xml:space="preserve"> </w:t>
      </w:r>
      <w:r>
        <w:t>Safe</w:t>
      </w:r>
      <w:r>
        <w:rPr>
          <w:spacing w:val="-2"/>
        </w:rPr>
        <w:t xml:space="preserve"> </w:t>
      </w:r>
      <w:r>
        <w:t>Schools</w:t>
      </w:r>
      <w:r>
        <w:rPr>
          <w:spacing w:val="-2"/>
        </w:rPr>
        <w:t xml:space="preserve"> </w:t>
      </w:r>
      <w:r>
        <w:t>Program</w:t>
      </w:r>
      <w:r>
        <w:rPr>
          <w:spacing w:val="-3"/>
        </w:rPr>
        <w:t xml:space="preserve"> </w:t>
      </w:r>
      <w:r>
        <w:t>for</w:t>
      </w:r>
      <w:r>
        <w:rPr>
          <w:spacing w:val="-2"/>
        </w:rPr>
        <w:t xml:space="preserve"> </w:t>
      </w:r>
      <w:r>
        <w:t>LGBTQ</w:t>
      </w:r>
      <w:r>
        <w:rPr>
          <w:spacing w:val="-3"/>
        </w:rPr>
        <w:t xml:space="preserve"> </w:t>
      </w:r>
      <w:r>
        <w:t>Students,</w:t>
      </w:r>
      <w:r>
        <w:rPr>
          <w:spacing w:val="-2"/>
        </w:rPr>
        <w:t xml:space="preserve"> </w:t>
      </w:r>
      <w:r>
        <w:t>are</w:t>
      </w:r>
      <w:r>
        <w:rPr>
          <w:spacing w:val="-3"/>
        </w:rPr>
        <w:t xml:space="preserve"> </w:t>
      </w:r>
      <w:r>
        <w:t>safer</w:t>
      </w:r>
      <w:r>
        <w:rPr>
          <w:spacing w:val="-2"/>
        </w:rPr>
        <w:t xml:space="preserve"> </w:t>
      </w:r>
      <w:r>
        <w:t>and</w:t>
      </w:r>
      <w:r>
        <w:rPr>
          <w:spacing w:val="-3"/>
        </w:rPr>
        <w:t xml:space="preserve"> </w:t>
      </w:r>
      <w:r>
        <w:t>more</w:t>
      </w:r>
      <w:r>
        <w:rPr>
          <w:spacing w:val="-2"/>
        </w:rPr>
        <w:t xml:space="preserve"> </w:t>
      </w:r>
      <w:r>
        <w:t>welcoming</w:t>
      </w:r>
      <w:hyperlink w:anchor="_bookmark107" w:history="1">
        <w:r>
          <w:t>.</w:t>
        </w:r>
        <w:r>
          <w:rPr>
            <w:vertAlign w:val="superscript"/>
          </w:rPr>
          <w:t>16</w:t>
        </w:r>
      </w:hyperlink>
      <w:r>
        <w:rPr>
          <w:spacing w:val="33"/>
        </w:rPr>
        <w:t xml:space="preserve"> </w:t>
      </w:r>
      <w:r>
        <w:t>Further,</w:t>
      </w:r>
      <w:r>
        <w:rPr>
          <w:spacing w:val="-2"/>
        </w:rPr>
        <w:t xml:space="preserve"> </w:t>
      </w:r>
      <w:r>
        <w:t>the</w:t>
      </w:r>
      <w:r>
        <w:rPr>
          <w:spacing w:val="-3"/>
        </w:rPr>
        <w:t xml:space="preserve"> </w:t>
      </w:r>
      <w:r>
        <w:t>presence</w:t>
      </w:r>
      <w:r>
        <w:rPr>
          <w:spacing w:val="-4"/>
        </w:rPr>
        <w:t xml:space="preserve"> </w:t>
      </w:r>
      <w:r>
        <w:t>of adults at school who are supportive of LGBTQ youth is linked to less hostile school climates — as well as greater academic and health outcomes for LGBTQ students</w:t>
      </w:r>
      <w:hyperlink w:anchor="_bookmark108" w:history="1">
        <w:r>
          <w:t>.</w:t>
        </w:r>
        <w:r>
          <w:rPr>
            <w:vertAlign w:val="superscript"/>
          </w:rPr>
          <w:t>17</w:t>
        </w:r>
      </w:hyperlink>
    </w:p>
    <w:p w:rsidR="00C76E6D" w:rsidRDefault="00C76E6D">
      <w:pPr>
        <w:pStyle w:val="BodyText"/>
        <w:spacing w:before="2"/>
        <w:rPr>
          <w:sz w:val="25"/>
        </w:rPr>
      </w:pPr>
    </w:p>
    <w:p w:rsidR="00C76E6D" w:rsidRDefault="00913831">
      <w:pPr>
        <w:pStyle w:val="BodyText"/>
        <w:spacing w:before="1" w:line="276" w:lineRule="auto"/>
        <w:ind w:left="478" w:right="476"/>
        <w:jc w:val="both"/>
      </w:pPr>
      <w:r>
        <w:t>Overall, the effects of school-based LGBTQ trainings ca</w:t>
      </w:r>
      <w:r>
        <w:t>n be categorized as: (1) increased school staff knowledge, awareness, and beliefs, (2) increased staff self-efficacy, (3) behavior change by staff (e.g., increased</w:t>
      </w:r>
      <w:r>
        <w:rPr>
          <w:spacing w:val="-8"/>
        </w:rPr>
        <w:t xml:space="preserve"> </w:t>
      </w:r>
      <w:r>
        <w:t>intervention</w:t>
      </w:r>
      <w:r>
        <w:rPr>
          <w:spacing w:val="-8"/>
        </w:rPr>
        <w:t xml:space="preserve"> </w:t>
      </w:r>
      <w:r>
        <w:t>in</w:t>
      </w:r>
      <w:r>
        <w:rPr>
          <w:spacing w:val="-5"/>
        </w:rPr>
        <w:t xml:space="preserve"> </w:t>
      </w:r>
      <w:r>
        <w:t>anti-LGBTQ</w:t>
      </w:r>
      <w:r>
        <w:rPr>
          <w:spacing w:val="-8"/>
        </w:rPr>
        <w:t xml:space="preserve"> </w:t>
      </w:r>
      <w:r>
        <w:t>remarks),</w:t>
      </w:r>
      <w:r>
        <w:rPr>
          <w:spacing w:val="-7"/>
        </w:rPr>
        <w:t xml:space="preserve"> </w:t>
      </w:r>
      <w:r>
        <w:t>and</w:t>
      </w:r>
      <w:r>
        <w:rPr>
          <w:spacing w:val="-7"/>
        </w:rPr>
        <w:t xml:space="preserve"> </w:t>
      </w:r>
      <w:r>
        <w:t>(4)</w:t>
      </w:r>
      <w:r>
        <w:rPr>
          <w:spacing w:val="-8"/>
        </w:rPr>
        <w:t xml:space="preserve"> </w:t>
      </w:r>
      <w:r>
        <w:t>a</w:t>
      </w:r>
      <w:r>
        <w:rPr>
          <w:spacing w:val="-6"/>
        </w:rPr>
        <w:t xml:space="preserve"> </w:t>
      </w:r>
      <w:r>
        <w:t>more</w:t>
      </w:r>
      <w:r>
        <w:rPr>
          <w:spacing w:val="-7"/>
        </w:rPr>
        <w:t xml:space="preserve"> </w:t>
      </w:r>
      <w:r>
        <w:t>positive</w:t>
      </w:r>
      <w:r>
        <w:rPr>
          <w:spacing w:val="-8"/>
        </w:rPr>
        <w:t xml:space="preserve"> </w:t>
      </w:r>
      <w:r>
        <w:t>school</w:t>
      </w:r>
      <w:r>
        <w:rPr>
          <w:spacing w:val="-8"/>
        </w:rPr>
        <w:t xml:space="preserve"> </w:t>
      </w:r>
      <w:r>
        <w:t>climate.</w:t>
      </w:r>
      <w:r>
        <w:rPr>
          <w:spacing w:val="-8"/>
        </w:rPr>
        <w:t xml:space="preserve"> </w:t>
      </w:r>
      <w:r>
        <w:t>These</w:t>
      </w:r>
      <w:r>
        <w:rPr>
          <w:spacing w:val="-8"/>
        </w:rPr>
        <w:t xml:space="preserve"> </w:t>
      </w:r>
      <w:r>
        <w:t>effects</w:t>
      </w:r>
      <w:r>
        <w:rPr>
          <w:spacing w:val="-7"/>
        </w:rPr>
        <w:t xml:space="preserve"> </w:t>
      </w:r>
      <w:r>
        <w:t>a</w:t>
      </w:r>
      <w:r>
        <w:t>lign with</w:t>
      </w:r>
      <w:r>
        <w:rPr>
          <w:spacing w:val="-13"/>
        </w:rPr>
        <w:t xml:space="preserve"> </w:t>
      </w:r>
      <w:r>
        <w:t>the</w:t>
      </w:r>
      <w:r>
        <w:rPr>
          <w:spacing w:val="-10"/>
        </w:rPr>
        <w:t xml:space="preserve"> </w:t>
      </w:r>
      <w:r>
        <w:t>theory</w:t>
      </w:r>
      <w:r>
        <w:rPr>
          <w:spacing w:val="-12"/>
        </w:rPr>
        <w:t xml:space="preserve"> </w:t>
      </w:r>
      <w:r>
        <w:t>of</w:t>
      </w:r>
      <w:r>
        <w:rPr>
          <w:spacing w:val="-12"/>
        </w:rPr>
        <w:t xml:space="preserve"> </w:t>
      </w:r>
      <w:r>
        <w:t>change</w:t>
      </w:r>
      <w:r>
        <w:rPr>
          <w:spacing w:val="-10"/>
        </w:rPr>
        <w:t xml:space="preserve"> </w:t>
      </w:r>
      <w:r>
        <w:t>models</w:t>
      </w:r>
      <w:r>
        <w:rPr>
          <w:spacing w:val="-12"/>
        </w:rPr>
        <w:t xml:space="preserve"> </w:t>
      </w:r>
      <w:r>
        <w:t>and</w:t>
      </w:r>
      <w:r>
        <w:rPr>
          <w:spacing w:val="-13"/>
        </w:rPr>
        <w:t xml:space="preserve"> </w:t>
      </w:r>
      <w:r>
        <w:t>ally</w:t>
      </w:r>
      <w:r>
        <w:rPr>
          <w:spacing w:val="-11"/>
        </w:rPr>
        <w:t xml:space="preserve"> </w:t>
      </w:r>
      <w:r>
        <w:t>development</w:t>
      </w:r>
      <w:r>
        <w:rPr>
          <w:spacing w:val="-13"/>
        </w:rPr>
        <w:t xml:space="preserve"> </w:t>
      </w:r>
      <w:r>
        <w:t>models</w:t>
      </w:r>
      <w:r>
        <w:rPr>
          <w:spacing w:val="-10"/>
        </w:rPr>
        <w:t xml:space="preserve"> </w:t>
      </w:r>
      <w:r>
        <w:t>described</w:t>
      </w:r>
      <w:r>
        <w:rPr>
          <w:spacing w:val="-11"/>
        </w:rPr>
        <w:t xml:space="preserve"> </w:t>
      </w:r>
      <w:r>
        <w:t>throughout</w:t>
      </w:r>
      <w:r>
        <w:rPr>
          <w:spacing w:val="-12"/>
        </w:rPr>
        <w:t xml:space="preserve"> </w:t>
      </w:r>
      <w:r>
        <w:t>the</w:t>
      </w:r>
      <w:r>
        <w:rPr>
          <w:spacing w:val="-11"/>
        </w:rPr>
        <w:t xml:space="preserve"> </w:t>
      </w:r>
      <w:r>
        <w:t>literature.</w:t>
      </w:r>
      <w:r>
        <w:rPr>
          <w:spacing w:val="-12"/>
        </w:rPr>
        <w:t xml:space="preserve"> </w:t>
      </w:r>
      <w:r>
        <w:t>First, teachers</w:t>
      </w:r>
      <w:r>
        <w:rPr>
          <w:spacing w:val="-8"/>
        </w:rPr>
        <w:t xml:space="preserve"> </w:t>
      </w:r>
      <w:r>
        <w:t>and</w:t>
      </w:r>
      <w:r>
        <w:rPr>
          <w:spacing w:val="-7"/>
        </w:rPr>
        <w:t xml:space="preserve"> </w:t>
      </w:r>
      <w:r>
        <w:t>school</w:t>
      </w:r>
      <w:r>
        <w:rPr>
          <w:spacing w:val="-11"/>
        </w:rPr>
        <w:t xml:space="preserve"> </w:t>
      </w:r>
      <w:r>
        <w:t>personnel</w:t>
      </w:r>
      <w:r>
        <w:rPr>
          <w:spacing w:val="-7"/>
        </w:rPr>
        <w:t xml:space="preserve"> </w:t>
      </w:r>
      <w:r>
        <w:t>must</w:t>
      </w:r>
      <w:r>
        <w:rPr>
          <w:spacing w:val="-8"/>
        </w:rPr>
        <w:t xml:space="preserve"> </w:t>
      </w:r>
      <w:r>
        <w:t>develop</w:t>
      </w:r>
      <w:r>
        <w:rPr>
          <w:spacing w:val="-11"/>
        </w:rPr>
        <w:t xml:space="preserve"> </w:t>
      </w:r>
      <w:r>
        <w:t>knowledge</w:t>
      </w:r>
      <w:r>
        <w:rPr>
          <w:spacing w:val="-10"/>
        </w:rPr>
        <w:t xml:space="preserve"> </w:t>
      </w:r>
      <w:r>
        <w:t>and</w:t>
      </w:r>
      <w:r>
        <w:rPr>
          <w:spacing w:val="-10"/>
        </w:rPr>
        <w:t xml:space="preserve"> </w:t>
      </w:r>
      <w:r>
        <w:t>awareness</w:t>
      </w:r>
      <w:r>
        <w:rPr>
          <w:spacing w:val="-9"/>
        </w:rPr>
        <w:t xml:space="preserve"> </w:t>
      </w:r>
      <w:r>
        <w:t>around</w:t>
      </w:r>
      <w:r>
        <w:rPr>
          <w:spacing w:val="-8"/>
        </w:rPr>
        <w:t xml:space="preserve"> </w:t>
      </w:r>
      <w:r>
        <w:t>LGBTQ</w:t>
      </w:r>
      <w:r>
        <w:rPr>
          <w:spacing w:val="-8"/>
        </w:rPr>
        <w:t xml:space="preserve"> </w:t>
      </w:r>
      <w:r>
        <w:t>experiences.</w:t>
      </w:r>
      <w:r>
        <w:rPr>
          <w:spacing w:val="-8"/>
        </w:rPr>
        <w:t xml:space="preserve"> </w:t>
      </w:r>
      <w:r>
        <w:t>With</w:t>
      </w:r>
    </w:p>
    <w:p w:rsidR="00C76E6D" w:rsidRDefault="00C76E6D">
      <w:pPr>
        <w:spacing w:line="276" w:lineRule="auto"/>
        <w:jc w:val="both"/>
        <w:sectPr w:rsidR="00C76E6D">
          <w:pgSz w:w="12240" w:h="15840"/>
          <w:pgMar w:top="960" w:right="960" w:bottom="860" w:left="960" w:header="760" w:footer="679" w:gutter="0"/>
          <w:cols w:space="720"/>
        </w:sectPr>
      </w:pPr>
    </w:p>
    <w:p w:rsidR="00C76E6D" w:rsidRDefault="00C76E6D">
      <w:pPr>
        <w:pStyle w:val="BodyText"/>
        <w:rPr>
          <w:sz w:val="20"/>
        </w:rPr>
      </w:pPr>
    </w:p>
    <w:p w:rsidR="00C76E6D" w:rsidRDefault="00913831">
      <w:pPr>
        <w:pStyle w:val="BodyText"/>
        <w:spacing w:before="215" w:line="276" w:lineRule="auto"/>
        <w:ind w:left="478" w:right="475"/>
        <w:jc w:val="both"/>
      </w:pPr>
      <w:r>
        <w:t>this foundation, they can build skills to support LGBTQ youth and intervene in anti-LGBTQ behavior. Feeling competent in these skills, they are then more likely to take action and become advocates for LGBTQ youth. In turn, this can help create a safer, mor</w:t>
      </w:r>
      <w:r>
        <w:t>e inclusive school environment</w:t>
      </w:r>
      <w:hyperlink w:anchor="_bookmark109" w:history="1">
        <w:r>
          <w:t>.</w:t>
        </w:r>
        <w:r>
          <w:rPr>
            <w:vertAlign w:val="superscript"/>
          </w:rPr>
          <w:t>18</w:t>
        </w:r>
      </w:hyperlink>
    </w:p>
    <w:p w:rsidR="00C76E6D" w:rsidRDefault="00C76E6D">
      <w:pPr>
        <w:pStyle w:val="BodyText"/>
        <w:spacing w:before="11"/>
        <w:rPr>
          <w:sz w:val="26"/>
        </w:rPr>
      </w:pPr>
    </w:p>
    <w:p w:rsidR="00C76E6D" w:rsidRDefault="00913831">
      <w:pPr>
        <w:pStyle w:val="Heading7"/>
        <w:numPr>
          <w:ilvl w:val="1"/>
          <w:numId w:val="45"/>
        </w:numPr>
        <w:tabs>
          <w:tab w:val="left" w:pos="1425"/>
        </w:tabs>
        <w:ind w:hanging="227"/>
      </w:pPr>
      <w:bookmarkStart w:id="185" w:name="a._Increased_Knowledge,_Awareness,_and_B"/>
      <w:bookmarkEnd w:id="185"/>
      <w:r>
        <w:rPr>
          <w:w w:val="95"/>
        </w:rPr>
        <w:t>Increased</w:t>
      </w:r>
      <w:r>
        <w:rPr>
          <w:spacing w:val="22"/>
        </w:rPr>
        <w:t xml:space="preserve"> </w:t>
      </w:r>
      <w:r>
        <w:rPr>
          <w:w w:val="95"/>
        </w:rPr>
        <w:t>Knowledge,</w:t>
      </w:r>
      <w:r>
        <w:rPr>
          <w:spacing w:val="20"/>
        </w:rPr>
        <w:t xml:space="preserve"> </w:t>
      </w:r>
      <w:r>
        <w:rPr>
          <w:w w:val="95"/>
        </w:rPr>
        <w:t>Awareness,</w:t>
      </w:r>
      <w:r>
        <w:rPr>
          <w:spacing w:val="19"/>
        </w:rPr>
        <w:t xml:space="preserve"> </w:t>
      </w:r>
      <w:r>
        <w:rPr>
          <w:w w:val="95"/>
        </w:rPr>
        <w:t>and</w:t>
      </w:r>
      <w:r>
        <w:rPr>
          <w:spacing w:val="22"/>
        </w:rPr>
        <w:t xml:space="preserve"> </w:t>
      </w:r>
      <w:r>
        <w:rPr>
          <w:spacing w:val="-2"/>
          <w:w w:val="95"/>
        </w:rPr>
        <w:t>Beliefs</w:t>
      </w:r>
    </w:p>
    <w:p w:rsidR="00C76E6D" w:rsidRDefault="00C76E6D">
      <w:pPr>
        <w:pStyle w:val="BodyText"/>
        <w:spacing w:before="4"/>
        <w:rPr>
          <w:b/>
          <w:i/>
          <w:sz w:val="30"/>
        </w:rPr>
      </w:pPr>
    </w:p>
    <w:p w:rsidR="00C76E6D" w:rsidRDefault="00913831">
      <w:pPr>
        <w:pStyle w:val="BodyText"/>
        <w:spacing w:line="276" w:lineRule="auto"/>
        <w:ind w:left="478" w:right="476"/>
        <w:jc w:val="both"/>
      </w:pPr>
      <w:r>
        <w:t>Research has found that increasing staff knowledge of LGBTQ students can help ensure safer schools. According to national survey analysis, knowi</w:t>
      </w:r>
      <w:r>
        <w:t>ng LGBTQ students is a significant predictor of how often teachers intervene in homophobic remarks</w:t>
      </w:r>
      <w:hyperlink w:anchor="_bookmark110" w:history="1">
        <w:r>
          <w:t>.</w:t>
        </w:r>
        <w:r>
          <w:rPr>
            <w:vertAlign w:val="superscript"/>
          </w:rPr>
          <w:t>19</w:t>
        </w:r>
        <w:r>
          <w:t xml:space="preserve"> </w:t>
        </w:r>
      </w:hyperlink>
      <w:r>
        <w:t>Many other studies use pre-and post-surveys to measure knowledge gained. The results show that after LGBTQ trainings, scho</w:t>
      </w:r>
      <w:r>
        <w:t>ol staff report increased knowledge across a variety of topics, including:</w:t>
      </w:r>
    </w:p>
    <w:p w:rsidR="00C76E6D" w:rsidRDefault="00C76E6D">
      <w:pPr>
        <w:pStyle w:val="BodyText"/>
        <w:spacing w:before="10"/>
        <w:rPr>
          <w:sz w:val="26"/>
        </w:rPr>
      </w:pPr>
    </w:p>
    <w:p w:rsidR="00C76E6D" w:rsidRDefault="00913831">
      <w:pPr>
        <w:pStyle w:val="ListParagraph"/>
        <w:numPr>
          <w:ilvl w:val="0"/>
          <w:numId w:val="44"/>
        </w:numPr>
        <w:tabs>
          <w:tab w:val="left" w:pos="1198"/>
          <w:tab w:val="left" w:pos="1199"/>
        </w:tabs>
      </w:pPr>
      <w:r>
        <w:rPr>
          <w:w w:val="95"/>
        </w:rPr>
        <w:t>Transgender</w:t>
      </w:r>
      <w:r>
        <w:rPr>
          <w:spacing w:val="19"/>
        </w:rPr>
        <w:t xml:space="preserve"> </w:t>
      </w:r>
      <w:r>
        <w:rPr>
          <w:w w:val="95"/>
        </w:rPr>
        <w:t>youth</w:t>
      </w:r>
      <w:r>
        <w:rPr>
          <w:spacing w:val="14"/>
        </w:rPr>
        <w:t xml:space="preserve"> </w:t>
      </w:r>
      <w:r>
        <w:rPr>
          <w:spacing w:val="-2"/>
          <w:w w:val="95"/>
        </w:rPr>
        <w:t>identities</w:t>
      </w:r>
      <w:hyperlink w:anchor="_bookmark111" w:history="1">
        <w:r>
          <w:rPr>
            <w:spacing w:val="-2"/>
            <w:w w:val="95"/>
            <w:vertAlign w:val="superscript"/>
          </w:rPr>
          <w:t>20</w:t>
        </w:r>
      </w:hyperlink>
    </w:p>
    <w:p w:rsidR="00C76E6D" w:rsidRDefault="00913831">
      <w:pPr>
        <w:pStyle w:val="ListParagraph"/>
        <w:numPr>
          <w:ilvl w:val="0"/>
          <w:numId w:val="44"/>
        </w:numPr>
        <w:tabs>
          <w:tab w:val="left" w:pos="1198"/>
          <w:tab w:val="left" w:pos="1199"/>
        </w:tabs>
        <w:spacing w:before="42"/>
        <w:ind w:hanging="361"/>
      </w:pPr>
      <w:r>
        <w:rPr>
          <w:w w:val="95"/>
        </w:rPr>
        <w:t>LGBTQ-related</w:t>
      </w:r>
      <w:r>
        <w:rPr>
          <w:spacing w:val="14"/>
        </w:rPr>
        <w:t xml:space="preserve"> </w:t>
      </w:r>
      <w:r>
        <w:rPr>
          <w:w w:val="95"/>
        </w:rPr>
        <w:t>terminology</w:t>
      </w:r>
      <w:r>
        <w:rPr>
          <w:spacing w:val="17"/>
        </w:rPr>
        <w:t xml:space="preserve"> </w:t>
      </w:r>
      <w:r>
        <w:rPr>
          <w:w w:val="95"/>
        </w:rPr>
        <w:t>and</w:t>
      </w:r>
      <w:r>
        <w:rPr>
          <w:spacing w:val="14"/>
        </w:rPr>
        <w:t xml:space="preserve"> </w:t>
      </w:r>
      <w:r>
        <w:rPr>
          <w:w w:val="95"/>
        </w:rPr>
        <w:t>where</w:t>
      </w:r>
      <w:r>
        <w:rPr>
          <w:spacing w:val="20"/>
        </w:rPr>
        <w:t xml:space="preserve"> </w:t>
      </w:r>
      <w:r>
        <w:rPr>
          <w:w w:val="95"/>
        </w:rPr>
        <w:t>to</w:t>
      </w:r>
      <w:r>
        <w:rPr>
          <w:spacing w:val="17"/>
        </w:rPr>
        <w:t xml:space="preserve"> </w:t>
      </w:r>
      <w:r>
        <w:rPr>
          <w:w w:val="95"/>
        </w:rPr>
        <w:t>find</w:t>
      </w:r>
      <w:r>
        <w:rPr>
          <w:spacing w:val="16"/>
        </w:rPr>
        <w:t xml:space="preserve"> </w:t>
      </w:r>
      <w:r>
        <w:rPr>
          <w:w w:val="95"/>
        </w:rPr>
        <w:t>LGBTQ-related</w:t>
      </w:r>
      <w:r>
        <w:rPr>
          <w:spacing w:val="16"/>
        </w:rPr>
        <w:t xml:space="preserve"> </w:t>
      </w:r>
      <w:r>
        <w:rPr>
          <w:spacing w:val="-2"/>
          <w:w w:val="95"/>
        </w:rPr>
        <w:t>resources</w:t>
      </w:r>
      <w:hyperlink w:anchor="_bookmark112" w:history="1">
        <w:r>
          <w:rPr>
            <w:spacing w:val="-2"/>
            <w:w w:val="95"/>
            <w:vertAlign w:val="superscript"/>
          </w:rPr>
          <w:t>21</w:t>
        </w:r>
      </w:hyperlink>
    </w:p>
    <w:p w:rsidR="00C76E6D" w:rsidRDefault="00913831">
      <w:pPr>
        <w:pStyle w:val="ListParagraph"/>
        <w:numPr>
          <w:ilvl w:val="0"/>
          <w:numId w:val="44"/>
        </w:numPr>
        <w:tabs>
          <w:tab w:val="left" w:pos="1198"/>
          <w:tab w:val="left" w:pos="1199"/>
        </w:tabs>
        <w:spacing w:before="40"/>
        <w:ind w:hanging="361"/>
      </w:pPr>
      <w:r>
        <w:rPr>
          <w:w w:val="95"/>
        </w:rPr>
        <w:t>Demographics</w:t>
      </w:r>
      <w:r>
        <w:rPr>
          <w:spacing w:val="16"/>
        </w:rPr>
        <w:t xml:space="preserve"> </w:t>
      </w:r>
      <w:r>
        <w:rPr>
          <w:w w:val="95"/>
        </w:rPr>
        <w:t>and</w:t>
      </w:r>
      <w:r>
        <w:rPr>
          <w:spacing w:val="16"/>
        </w:rPr>
        <w:t xml:space="preserve"> </w:t>
      </w:r>
      <w:r>
        <w:rPr>
          <w:w w:val="95"/>
        </w:rPr>
        <w:t>development</w:t>
      </w:r>
      <w:r>
        <w:rPr>
          <w:spacing w:val="15"/>
        </w:rPr>
        <w:t xml:space="preserve"> </w:t>
      </w:r>
      <w:r>
        <w:rPr>
          <w:w w:val="95"/>
        </w:rPr>
        <w:t>of</w:t>
      </w:r>
      <w:r>
        <w:rPr>
          <w:spacing w:val="15"/>
        </w:rPr>
        <w:t xml:space="preserve"> </w:t>
      </w:r>
      <w:r>
        <w:rPr>
          <w:w w:val="95"/>
        </w:rPr>
        <w:t>LGBTQ</w:t>
      </w:r>
      <w:r>
        <w:rPr>
          <w:spacing w:val="15"/>
        </w:rPr>
        <w:t xml:space="preserve"> </w:t>
      </w:r>
      <w:r>
        <w:rPr>
          <w:spacing w:val="-2"/>
          <w:w w:val="95"/>
        </w:rPr>
        <w:t>youth</w:t>
      </w:r>
      <w:hyperlink w:anchor="_bookmark113" w:history="1">
        <w:r>
          <w:rPr>
            <w:spacing w:val="-2"/>
            <w:w w:val="95"/>
            <w:vertAlign w:val="superscript"/>
          </w:rPr>
          <w:t>22</w:t>
        </w:r>
      </w:hyperlink>
    </w:p>
    <w:p w:rsidR="00C76E6D" w:rsidRDefault="00913831">
      <w:pPr>
        <w:pStyle w:val="ListParagraph"/>
        <w:numPr>
          <w:ilvl w:val="0"/>
          <w:numId w:val="44"/>
        </w:numPr>
        <w:tabs>
          <w:tab w:val="left" w:pos="1198"/>
          <w:tab w:val="left" w:pos="1199"/>
        </w:tabs>
        <w:spacing w:before="40"/>
      </w:pPr>
      <w:r>
        <w:rPr>
          <w:w w:val="95"/>
        </w:rPr>
        <w:t>Common</w:t>
      </w:r>
      <w:r>
        <w:rPr>
          <w:spacing w:val="11"/>
        </w:rPr>
        <w:t xml:space="preserve"> </w:t>
      </w:r>
      <w:r>
        <w:rPr>
          <w:w w:val="95"/>
        </w:rPr>
        <w:t>challenges</w:t>
      </w:r>
      <w:r>
        <w:rPr>
          <w:spacing w:val="15"/>
        </w:rPr>
        <w:t xml:space="preserve"> </w:t>
      </w:r>
      <w:r>
        <w:rPr>
          <w:w w:val="95"/>
        </w:rPr>
        <w:t>and</w:t>
      </w:r>
      <w:r>
        <w:rPr>
          <w:spacing w:val="15"/>
        </w:rPr>
        <w:t xml:space="preserve"> </w:t>
      </w:r>
      <w:r>
        <w:rPr>
          <w:w w:val="95"/>
        </w:rPr>
        <w:t>risk</w:t>
      </w:r>
      <w:r>
        <w:rPr>
          <w:spacing w:val="14"/>
        </w:rPr>
        <w:t xml:space="preserve"> </w:t>
      </w:r>
      <w:r>
        <w:rPr>
          <w:w w:val="95"/>
        </w:rPr>
        <w:t>factors</w:t>
      </w:r>
      <w:r>
        <w:rPr>
          <w:spacing w:val="13"/>
        </w:rPr>
        <w:t xml:space="preserve"> </w:t>
      </w:r>
      <w:r>
        <w:rPr>
          <w:w w:val="95"/>
        </w:rPr>
        <w:t>facing</w:t>
      </w:r>
      <w:r>
        <w:rPr>
          <w:spacing w:val="12"/>
        </w:rPr>
        <w:t xml:space="preserve"> </w:t>
      </w:r>
      <w:r>
        <w:rPr>
          <w:w w:val="95"/>
        </w:rPr>
        <w:t>LGBTQ</w:t>
      </w:r>
      <w:r>
        <w:rPr>
          <w:spacing w:val="15"/>
        </w:rPr>
        <w:t xml:space="preserve"> </w:t>
      </w:r>
      <w:r>
        <w:rPr>
          <w:spacing w:val="-2"/>
          <w:w w:val="95"/>
        </w:rPr>
        <w:t>students</w:t>
      </w:r>
      <w:hyperlink w:anchor="_bookmark114" w:history="1">
        <w:r>
          <w:rPr>
            <w:spacing w:val="-2"/>
            <w:w w:val="95"/>
            <w:vertAlign w:val="superscript"/>
          </w:rPr>
          <w:t>23</w:t>
        </w:r>
      </w:hyperlink>
    </w:p>
    <w:p w:rsidR="00C76E6D" w:rsidRDefault="00913831">
      <w:pPr>
        <w:pStyle w:val="ListParagraph"/>
        <w:numPr>
          <w:ilvl w:val="0"/>
          <w:numId w:val="44"/>
        </w:numPr>
        <w:tabs>
          <w:tab w:val="left" w:pos="1198"/>
          <w:tab w:val="left" w:pos="1199"/>
        </w:tabs>
        <w:spacing w:before="40"/>
        <w:ind w:hanging="359"/>
      </w:pPr>
      <w:r>
        <w:rPr>
          <w:w w:val="95"/>
        </w:rPr>
        <w:t>Best</w:t>
      </w:r>
      <w:r>
        <w:rPr>
          <w:spacing w:val="10"/>
        </w:rPr>
        <w:t xml:space="preserve"> </w:t>
      </w:r>
      <w:r>
        <w:rPr>
          <w:w w:val="95"/>
        </w:rPr>
        <w:t>practices</w:t>
      </w:r>
      <w:r>
        <w:rPr>
          <w:spacing w:val="13"/>
        </w:rPr>
        <w:t xml:space="preserve"> </w:t>
      </w:r>
      <w:r>
        <w:rPr>
          <w:w w:val="95"/>
        </w:rPr>
        <w:t>in</w:t>
      </w:r>
      <w:r>
        <w:rPr>
          <w:spacing w:val="15"/>
        </w:rPr>
        <w:t xml:space="preserve"> </w:t>
      </w:r>
      <w:r>
        <w:rPr>
          <w:w w:val="95"/>
        </w:rPr>
        <w:t>counseling</w:t>
      </w:r>
      <w:r>
        <w:rPr>
          <w:spacing w:val="11"/>
        </w:rPr>
        <w:t xml:space="preserve"> </w:t>
      </w:r>
      <w:r>
        <w:rPr>
          <w:w w:val="95"/>
        </w:rPr>
        <w:t>LGBTQ</w:t>
      </w:r>
      <w:r>
        <w:rPr>
          <w:spacing w:val="12"/>
        </w:rPr>
        <w:t xml:space="preserve"> </w:t>
      </w:r>
      <w:r>
        <w:rPr>
          <w:w w:val="95"/>
        </w:rPr>
        <w:t>students</w:t>
      </w:r>
      <w:r>
        <w:rPr>
          <w:spacing w:val="18"/>
        </w:rPr>
        <w:t xml:space="preserve"> </w:t>
      </w:r>
      <w:r>
        <w:rPr>
          <w:w w:val="95"/>
        </w:rPr>
        <w:t>(reported</w:t>
      </w:r>
      <w:r>
        <w:rPr>
          <w:spacing w:val="12"/>
        </w:rPr>
        <w:t xml:space="preserve"> </w:t>
      </w:r>
      <w:r>
        <w:rPr>
          <w:w w:val="95"/>
        </w:rPr>
        <w:t>by</w:t>
      </w:r>
      <w:r>
        <w:rPr>
          <w:spacing w:val="15"/>
        </w:rPr>
        <w:t xml:space="preserve"> </w:t>
      </w:r>
      <w:r>
        <w:rPr>
          <w:w w:val="95"/>
        </w:rPr>
        <w:t>school</w:t>
      </w:r>
      <w:r>
        <w:rPr>
          <w:spacing w:val="14"/>
        </w:rPr>
        <w:t xml:space="preserve"> </w:t>
      </w:r>
      <w:r>
        <w:rPr>
          <w:spacing w:val="-2"/>
          <w:w w:val="95"/>
        </w:rPr>
        <w:t>counselors)</w:t>
      </w:r>
      <w:hyperlink w:anchor="_bookmark115" w:history="1">
        <w:r>
          <w:rPr>
            <w:spacing w:val="-2"/>
            <w:w w:val="95"/>
            <w:vertAlign w:val="superscript"/>
          </w:rPr>
          <w:t>24</w:t>
        </w:r>
      </w:hyperlink>
    </w:p>
    <w:p w:rsidR="00C76E6D" w:rsidRDefault="00C76E6D">
      <w:pPr>
        <w:pStyle w:val="BodyText"/>
        <w:spacing w:before="6"/>
        <w:rPr>
          <w:sz w:val="28"/>
        </w:rPr>
      </w:pPr>
    </w:p>
    <w:p w:rsidR="00C76E6D" w:rsidRDefault="00913831">
      <w:pPr>
        <w:pStyle w:val="BodyText"/>
        <w:spacing w:before="1" w:line="276" w:lineRule="auto"/>
        <w:ind w:left="478" w:right="475"/>
        <w:jc w:val="both"/>
      </w:pPr>
      <w:r>
        <w:t>The survey evaluations collected by the Safe Schools Program for LGBTQ Students show that 96% of participants learn to better understand the experiences of LGBTQ students and families. Further, most participants learn more about DESE (Department of Element</w:t>
      </w:r>
      <w:r>
        <w:t xml:space="preserve">ary and Secondary Education) policy guidelines and about resources for creating safe and supportive learning environments for LGBTQ </w:t>
      </w:r>
      <w:r>
        <w:rPr>
          <w:spacing w:val="-2"/>
        </w:rPr>
        <w:t>students</w:t>
      </w:r>
      <w:hyperlink w:anchor="_bookmark116" w:history="1">
        <w:r>
          <w:rPr>
            <w:spacing w:val="-2"/>
          </w:rPr>
          <w:t>.</w:t>
        </w:r>
        <w:r>
          <w:rPr>
            <w:spacing w:val="-2"/>
            <w:vertAlign w:val="superscript"/>
          </w:rPr>
          <w:t>25</w:t>
        </w:r>
      </w:hyperlink>
    </w:p>
    <w:p w:rsidR="00C76E6D" w:rsidRDefault="00C76E6D">
      <w:pPr>
        <w:pStyle w:val="BodyText"/>
        <w:spacing w:before="4"/>
        <w:rPr>
          <w:sz w:val="25"/>
        </w:rPr>
      </w:pPr>
    </w:p>
    <w:p w:rsidR="00C76E6D" w:rsidRDefault="00913831">
      <w:pPr>
        <w:pStyle w:val="BodyText"/>
        <w:spacing w:line="276" w:lineRule="auto"/>
        <w:ind w:left="478" w:right="475"/>
        <w:jc w:val="both"/>
      </w:pPr>
      <w:r>
        <w:t>Researchers have also noted increases in school staff awareness, although the d</w:t>
      </w:r>
      <w:r>
        <w:t>efinition of “awareness” greatly varies</w:t>
      </w:r>
      <w:hyperlink w:anchor="_bookmark117" w:history="1">
        <w:r>
          <w:t>.</w:t>
        </w:r>
        <w:r>
          <w:rPr>
            <w:vertAlign w:val="superscript"/>
          </w:rPr>
          <w:t>26</w:t>
        </w:r>
      </w:hyperlink>
      <w:r>
        <w:t xml:space="preserve"> For instance, in a survey evaluation of “Step In, Step Up!”— an online simulation to practice</w:t>
      </w:r>
      <w:r>
        <w:rPr>
          <w:spacing w:val="-2"/>
        </w:rPr>
        <w:t xml:space="preserve"> </w:t>
      </w:r>
      <w:r>
        <w:t>engaging</w:t>
      </w:r>
      <w:r>
        <w:rPr>
          <w:spacing w:val="-2"/>
        </w:rPr>
        <w:t xml:space="preserve"> </w:t>
      </w:r>
      <w:r>
        <w:t>with</w:t>
      </w:r>
      <w:r>
        <w:rPr>
          <w:spacing w:val="-2"/>
        </w:rPr>
        <w:t xml:space="preserve"> </w:t>
      </w:r>
      <w:r>
        <w:t>LGBTQ</w:t>
      </w:r>
      <w:r>
        <w:rPr>
          <w:spacing w:val="-3"/>
        </w:rPr>
        <w:t xml:space="preserve"> </w:t>
      </w:r>
      <w:r>
        <w:t>youth</w:t>
      </w:r>
      <w:r>
        <w:rPr>
          <w:spacing w:val="-2"/>
        </w:rPr>
        <w:t xml:space="preserve"> </w:t>
      </w:r>
      <w:r>
        <w:t>—</w:t>
      </w:r>
      <w:r>
        <w:rPr>
          <w:spacing w:val="-1"/>
        </w:rPr>
        <w:t xml:space="preserve"> </w:t>
      </w:r>
      <w:r>
        <w:t>researchers</w:t>
      </w:r>
      <w:r>
        <w:rPr>
          <w:spacing w:val="-2"/>
        </w:rPr>
        <w:t xml:space="preserve"> </w:t>
      </w:r>
      <w:r>
        <w:t>show</w:t>
      </w:r>
      <w:r>
        <w:rPr>
          <w:spacing w:val="-3"/>
        </w:rPr>
        <w:t xml:space="preserve"> </w:t>
      </w:r>
      <w:r>
        <w:t>a</w:t>
      </w:r>
      <w:r>
        <w:rPr>
          <w:spacing w:val="-3"/>
        </w:rPr>
        <w:t xml:space="preserve"> </w:t>
      </w:r>
      <w:r>
        <w:t>significant</w:t>
      </w:r>
      <w:r>
        <w:rPr>
          <w:spacing w:val="-4"/>
        </w:rPr>
        <w:t xml:space="preserve"> </w:t>
      </w:r>
      <w:r>
        <w:t>increase</w:t>
      </w:r>
      <w:r>
        <w:rPr>
          <w:spacing w:val="-2"/>
        </w:rPr>
        <w:t xml:space="preserve"> </w:t>
      </w:r>
      <w:r>
        <w:t>in</w:t>
      </w:r>
      <w:r>
        <w:rPr>
          <w:spacing w:val="-2"/>
        </w:rPr>
        <w:t xml:space="preserve"> </w:t>
      </w:r>
      <w:r>
        <w:t>teachers’</w:t>
      </w:r>
      <w:r>
        <w:rPr>
          <w:spacing w:val="-3"/>
        </w:rPr>
        <w:t xml:space="preserve"> </w:t>
      </w:r>
      <w:r>
        <w:t>awaren</w:t>
      </w:r>
      <w:r>
        <w:t>ess</w:t>
      </w:r>
      <w:r>
        <w:rPr>
          <w:spacing w:val="-2"/>
        </w:rPr>
        <w:t xml:space="preserve"> </w:t>
      </w:r>
      <w:r>
        <w:t>to use gender-neutral language in class</w:t>
      </w:r>
      <w:hyperlink w:anchor="_bookmark118" w:history="1">
        <w:r>
          <w:t>.</w:t>
        </w:r>
        <w:r>
          <w:rPr>
            <w:vertAlign w:val="superscript"/>
          </w:rPr>
          <w:t>27</w:t>
        </w:r>
        <w:r>
          <w:t xml:space="preserve"> </w:t>
        </w:r>
      </w:hyperlink>
      <w:r>
        <w:t>In a study on the Safe Schools Program for LGBTQ Students, two- thirds</w:t>
      </w:r>
      <w:r>
        <w:rPr>
          <w:spacing w:val="-8"/>
        </w:rPr>
        <w:t xml:space="preserve"> </w:t>
      </w:r>
      <w:r>
        <w:t>of</w:t>
      </w:r>
      <w:r>
        <w:rPr>
          <w:spacing w:val="-9"/>
        </w:rPr>
        <w:t xml:space="preserve"> </w:t>
      </w:r>
      <w:r>
        <w:t>teachers</w:t>
      </w:r>
      <w:r>
        <w:rPr>
          <w:spacing w:val="-9"/>
        </w:rPr>
        <w:t xml:space="preserve"> </w:t>
      </w:r>
      <w:r>
        <w:t>and</w:t>
      </w:r>
      <w:r>
        <w:rPr>
          <w:spacing w:val="-9"/>
        </w:rPr>
        <w:t xml:space="preserve"> </w:t>
      </w:r>
      <w:r>
        <w:t>administrators</w:t>
      </w:r>
      <w:r>
        <w:rPr>
          <w:spacing w:val="-10"/>
        </w:rPr>
        <w:t xml:space="preserve"> </w:t>
      </w:r>
      <w:r>
        <w:t>who</w:t>
      </w:r>
      <w:r>
        <w:rPr>
          <w:spacing w:val="-10"/>
        </w:rPr>
        <w:t xml:space="preserve"> </w:t>
      </w:r>
      <w:r>
        <w:t>completed</w:t>
      </w:r>
      <w:r>
        <w:rPr>
          <w:spacing w:val="-8"/>
        </w:rPr>
        <w:t xml:space="preserve"> </w:t>
      </w:r>
      <w:r>
        <w:t>the</w:t>
      </w:r>
      <w:r>
        <w:rPr>
          <w:spacing w:val="-9"/>
        </w:rPr>
        <w:t xml:space="preserve"> </w:t>
      </w:r>
      <w:r>
        <w:t>training</w:t>
      </w:r>
      <w:r>
        <w:rPr>
          <w:spacing w:val="-7"/>
        </w:rPr>
        <w:t xml:space="preserve"> </w:t>
      </w:r>
      <w:r>
        <w:t>were</w:t>
      </w:r>
      <w:r>
        <w:rPr>
          <w:spacing w:val="-9"/>
        </w:rPr>
        <w:t xml:space="preserve"> </w:t>
      </w:r>
      <w:r>
        <w:t>more</w:t>
      </w:r>
      <w:r>
        <w:rPr>
          <w:spacing w:val="-9"/>
        </w:rPr>
        <w:t xml:space="preserve"> </w:t>
      </w:r>
      <w:r>
        <w:t>aware</w:t>
      </w:r>
      <w:r>
        <w:rPr>
          <w:spacing w:val="-9"/>
        </w:rPr>
        <w:t xml:space="preserve"> </w:t>
      </w:r>
      <w:r>
        <w:t>of</w:t>
      </w:r>
      <w:r>
        <w:rPr>
          <w:spacing w:val="-9"/>
        </w:rPr>
        <w:t xml:space="preserve"> </w:t>
      </w:r>
      <w:r>
        <w:t>LGBTQ</w:t>
      </w:r>
      <w:r>
        <w:rPr>
          <w:spacing w:val="-9"/>
        </w:rPr>
        <w:t xml:space="preserve"> </w:t>
      </w:r>
      <w:r>
        <w:t>community resources</w:t>
      </w:r>
      <w:hyperlink w:anchor="_bookmark119" w:history="1">
        <w:r>
          <w:t>.</w:t>
        </w:r>
        <w:r>
          <w:rPr>
            <w:vertAlign w:val="superscript"/>
          </w:rPr>
          <w:t>28</w:t>
        </w:r>
      </w:hyperlink>
      <w:r>
        <w:t xml:space="preserve"> In another study with school counselors, those who completed an LGBTQ training rated higher</w:t>
      </w:r>
      <w:r>
        <w:rPr>
          <w:spacing w:val="-13"/>
        </w:rPr>
        <w:t xml:space="preserve"> </w:t>
      </w:r>
      <w:r>
        <w:t>awareness</w:t>
      </w:r>
      <w:r>
        <w:rPr>
          <w:spacing w:val="-12"/>
        </w:rPr>
        <w:t xml:space="preserve"> </w:t>
      </w:r>
      <w:r>
        <w:t>of</w:t>
      </w:r>
      <w:r>
        <w:rPr>
          <w:spacing w:val="-13"/>
        </w:rPr>
        <w:t xml:space="preserve"> </w:t>
      </w:r>
      <w:r>
        <w:t>working</w:t>
      </w:r>
      <w:r>
        <w:rPr>
          <w:spacing w:val="-12"/>
        </w:rPr>
        <w:t xml:space="preserve"> </w:t>
      </w:r>
      <w:r>
        <w:t>with</w:t>
      </w:r>
      <w:r>
        <w:rPr>
          <w:spacing w:val="-12"/>
        </w:rPr>
        <w:t xml:space="preserve"> </w:t>
      </w:r>
      <w:r>
        <w:t>LGBTQ</w:t>
      </w:r>
      <w:r>
        <w:rPr>
          <w:spacing w:val="-13"/>
        </w:rPr>
        <w:t xml:space="preserve"> </w:t>
      </w:r>
      <w:r>
        <w:t>students</w:t>
      </w:r>
      <w:r>
        <w:rPr>
          <w:spacing w:val="-12"/>
        </w:rPr>
        <w:t xml:space="preserve"> </w:t>
      </w:r>
      <w:r>
        <w:t>on</w:t>
      </w:r>
      <w:r>
        <w:rPr>
          <w:spacing w:val="-12"/>
        </w:rPr>
        <w:t xml:space="preserve"> </w:t>
      </w:r>
      <w:r>
        <w:t>the</w:t>
      </w:r>
      <w:r>
        <w:rPr>
          <w:spacing w:val="-11"/>
        </w:rPr>
        <w:t xml:space="preserve"> </w:t>
      </w:r>
      <w:r>
        <w:t>Sexual</w:t>
      </w:r>
      <w:r>
        <w:rPr>
          <w:spacing w:val="-11"/>
        </w:rPr>
        <w:t xml:space="preserve"> </w:t>
      </w:r>
      <w:r>
        <w:t>Orientation</w:t>
      </w:r>
      <w:r>
        <w:rPr>
          <w:spacing w:val="-12"/>
        </w:rPr>
        <w:t xml:space="preserve"> </w:t>
      </w:r>
      <w:r>
        <w:t>Counselor</w:t>
      </w:r>
      <w:r>
        <w:rPr>
          <w:spacing w:val="-12"/>
        </w:rPr>
        <w:t xml:space="preserve"> </w:t>
      </w:r>
      <w:r>
        <w:t>Competency</w:t>
      </w:r>
      <w:r>
        <w:rPr>
          <w:spacing w:val="-11"/>
        </w:rPr>
        <w:t xml:space="preserve"> </w:t>
      </w:r>
      <w:r>
        <w:t xml:space="preserve">Scale (SOCCS). Notably, school counselors </w:t>
      </w:r>
      <w:r>
        <w:t>who reported higher awareness levels of sexism and heterosexism also had greater LGBTQ competency</w:t>
      </w:r>
      <w:hyperlink w:anchor="_bookmark120" w:history="1">
        <w:r>
          <w:t>.</w:t>
        </w:r>
        <w:r>
          <w:rPr>
            <w:vertAlign w:val="superscript"/>
          </w:rPr>
          <w:t>29</w:t>
        </w:r>
      </w:hyperlink>
    </w:p>
    <w:p w:rsidR="00C76E6D" w:rsidRDefault="00C76E6D">
      <w:pPr>
        <w:pStyle w:val="BodyText"/>
        <w:spacing w:before="2"/>
        <w:rPr>
          <w:sz w:val="25"/>
        </w:rPr>
      </w:pPr>
    </w:p>
    <w:p w:rsidR="00C76E6D" w:rsidRDefault="00913831">
      <w:pPr>
        <w:pStyle w:val="BodyText"/>
        <w:spacing w:line="276" w:lineRule="auto"/>
        <w:ind w:left="480" w:right="474"/>
        <w:jc w:val="both"/>
      </w:pPr>
      <w:r>
        <w:t>A few studies found mixed results or no significant increase in awareness. After a two-hour professional development</w:t>
      </w:r>
      <w:r>
        <w:rPr>
          <w:spacing w:val="-8"/>
        </w:rPr>
        <w:t xml:space="preserve"> </w:t>
      </w:r>
      <w:r>
        <w:t>train</w:t>
      </w:r>
      <w:r>
        <w:t>ing,</w:t>
      </w:r>
      <w:r>
        <w:rPr>
          <w:spacing w:val="-8"/>
        </w:rPr>
        <w:t xml:space="preserve"> </w:t>
      </w:r>
      <w:r>
        <w:t>researchers</w:t>
      </w:r>
      <w:r>
        <w:rPr>
          <w:spacing w:val="-8"/>
        </w:rPr>
        <w:t xml:space="preserve"> </w:t>
      </w:r>
      <w:r>
        <w:t>learned</w:t>
      </w:r>
      <w:r>
        <w:rPr>
          <w:spacing w:val="-9"/>
        </w:rPr>
        <w:t xml:space="preserve"> </w:t>
      </w:r>
      <w:r>
        <w:t>that</w:t>
      </w:r>
      <w:r>
        <w:rPr>
          <w:spacing w:val="-9"/>
        </w:rPr>
        <w:t xml:space="preserve"> </w:t>
      </w:r>
      <w:r>
        <w:t>only</w:t>
      </w:r>
      <w:r>
        <w:rPr>
          <w:spacing w:val="-8"/>
        </w:rPr>
        <w:t xml:space="preserve"> </w:t>
      </w:r>
      <w:r>
        <w:t>school</w:t>
      </w:r>
      <w:r>
        <w:rPr>
          <w:spacing w:val="-9"/>
        </w:rPr>
        <w:t xml:space="preserve"> </w:t>
      </w:r>
      <w:r>
        <w:t>administrators,</w:t>
      </w:r>
      <w:r>
        <w:rPr>
          <w:spacing w:val="-8"/>
        </w:rPr>
        <w:t xml:space="preserve"> </w:t>
      </w:r>
      <w:r>
        <w:t>not</w:t>
      </w:r>
      <w:r>
        <w:rPr>
          <w:spacing w:val="-9"/>
        </w:rPr>
        <w:t xml:space="preserve"> </w:t>
      </w:r>
      <w:r>
        <w:t>teachers</w:t>
      </w:r>
      <w:r>
        <w:rPr>
          <w:spacing w:val="-8"/>
        </w:rPr>
        <w:t xml:space="preserve"> </w:t>
      </w:r>
      <w:r>
        <w:t>or</w:t>
      </w:r>
      <w:r>
        <w:rPr>
          <w:spacing w:val="-7"/>
        </w:rPr>
        <w:t xml:space="preserve"> </w:t>
      </w:r>
      <w:r>
        <w:t>mental</w:t>
      </w:r>
      <w:r>
        <w:rPr>
          <w:spacing w:val="-7"/>
        </w:rPr>
        <w:t xml:space="preserve"> </w:t>
      </w:r>
      <w:r>
        <w:t>health professionals,</w:t>
      </w:r>
      <w:r>
        <w:rPr>
          <w:spacing w:val="-8"/>
        </w:rPr>
        <w:t xml:space="preserve"> </w:t>
      </w:r>
      <w:r>
        <w:t>reported</w:t>
      </w:r>
      <w:r>
        <w:rPr>
          <w:spacing w:val="-9"/>
        </w:rPr>
        <w:t xml:space="preserve"> </w:t>
      </w:r>
      <w:r>
        <w:t>increased</w:t>
      </w:r>
      <w:r>
        <w:rPr>
          <w:spacing w:val="-9"/>
        </w:rPr>
        <w:t xml:space="preserve"> </w:t>
      </w:r>
      <w:r>
        <w:t>awareness</w:t>
      </w:r>
      <w:r>
        <w:rPr>
          <w:spacing w:val="-8"/>
        </w:rPr>
        <w:t xml:space="preserve"> </w:t>
      </w:r>
      <w:r>
        <w:t>of</w:t>
      </w:r>
      <w:r>
        <w:rPr>
          <w:spacing w:val="-8"/>
        </w:rPr>
        <w:t xml:space="preserve"> </w:t>
      </w:r>
      <w:r>
        <w:t>LGBTQ-based</w:t>
      </w:r>
      <w:r>
        <w:rPr>
          <w:spacing w:val="-8"/>
        </w:rPr>
        <w:t xml:space="preserve"> </w:t>
      </w:r>
      <w:r>
        <w:t>bullying</w:t>
      </w:r>
      <w:r>
        <w:rPr>
          <w:spacing w:val="-9"/>
        </w:rPr>
        <w:t xml:space="preserve"> </w:t>
      </w:r>
      <w:r>
        <w:t>and</w:t>
      </w:r>
      <w:r>
        <w:rPr>
          <w:spacing w:val="-9"/>
        </w:rPr>
        <w:t xml:space="preserve"> </w:t>
      </w:r>
      <w:r>
        <w:t>harassment.</w:t>
      </w:r>
      <w:r>
        <w:rPr>
          <w:spacing w:val="-8"/>
        </w:rPr>
        <w:t xml:space="preserve"> </w:t>
      </w:r>
      <w:r>
        <w:t>This</w:t>
      </w:r>
      <w:r>
        <w:rPr>
          <w:spacing w:val="-8"/>
        </w:rPr>
        <w:t xml:space="preserve"> </w:t>
      </w:r>
      <w:r>
        <w:t>suggests</w:t>
      </w:r>
      <w:r>
        <w:rPr>
          <w:spacing w:val="-6"/>
        </w:rPr>
        <w:t xml:space="preserve"> </w:t>
      </w:r>
      <w:r>
        <w:t>that different types of school personnel have varying awareness levels — and may need different content during</w:t>
      </w:r>
      <w:r>
        <w:rPr>
          <w:spacing w:val="-5"/>
        </w:rPr>
        <w:t xml:space="preserve"> </w:t>
      </w:r>
      <w:r>
        <w:t>trainings</w:t>
      </w:r>
      <w:hyperlink w:anchor="_bookmark121" w:history="1">
        <w:r>
          <w:t>.</w:t>
        </w:r>
        <w:r>
          <w:rPr>
            <w:vertAlign w:val="superscript"/>
          </w:rPr>
          <w:t>30</w:t>
        </w:r>
        <w:r>
          <w:rPr>
            <w:spacing w:val="-7"/>
          </w:rPr>
          <w:t xml:space="preserve"> </w:t>
        </w:r>
      </w:hyperlink>
      <w:r>
        <w:t>However,</w:t>
      </w:r>
      <w:r>
        <w:rPr>
          <w:spacing w:val="-6"/>
        </w:rPr>
        <w:t xml:space="preserve"> </w:t>
      </w:r>
      <w:r>
        <w:t>building</w:t>
      </w:r>
      <w:r>
        <w:rPr>
          <w:spacing w:val="-8"/>
        </w:rPr>
        <w:t xml:space="preserve"> </w:t>
      </w:r>
      <w:r>
        <w:t>awareness</w:t>
      </w:r>
      <w:r>
        <w:rPr>
          <w:spacing w:val="-6"/>
        </w:rPr>
        <w:t xml:space="preserve"> </w:t>
      </w:r>
      <w:r>
        <w:t>is</w:t>
      </w:r>
      <w:r>
        <w:rPr>
          <w:spacing w:val="-6"/>
        </w:rPr>
        <w:t xml:space="preserve"> </w:t>
      </w:r>
      <w:r>
        <w:t>a</w:t>
      </w:r>
      <w:r>
        <w:rPr>
          <w:spacing w:val="-6"/>
        </w:rPr>
        <w:t xml:space="preserve"> </w:t>
      </w:r>
      <w:r>
        <w:t>crucial</w:t>
      </w:r>
      <w:r>
        <w:rPr>
          <w:spacing w:val="-8"/>
        </w:rPr>
        <w:t xml:space="preserve"> </w:t>
      </w:r>
      <w:r>
        <w:t>aspect</w:t>
      </w:r>
      <w:r>
        <w:rPr>
          <w:spacing w:val="-6"/>
        </w:rPr>
        <w:t xml:space="preserve"> </w:t>
      </w:r>
      <w:r>
        <w:t>for</w:t>
      </w:r>
      <w:r>
        <w:rPr>
          <w:spacing w:val="-6"/>
        </w:rPr>
        <w:t xml:space="preserve"> </w:t>
      </w:r>
      <w:r>
        <w:t>all</w:t>
      </w:r>
      <w:r>
        <w:rPr>
          <w:spacing w:val="-7"/>
        </w:rPr>
        <w:t xml:space="preserve"> </w:t>
      </w:r>
      <w:r>
        <w:t>staff.</w:t>
      </w:r>
      <w:r>
        <w:rPr>
          <w:spacing w:val="-7"/>
        </w:rPr>
        <w:t xml:space="preserve"> </w:t>
      </w:r>
      <w:r>
        <w:t>Understanding</w:t>
      </w:r>
      <w:r>
        <w:rPr>
          <w:spacing w:val="-6"/>
        </w:rPr>
        <w:t xml:space="preserve"> </w:t>
      </w:r>
      <w:r>
        <w:t>anti-LGBTQ bullying and</w:t>
      </w:r>
      <w:r>
        <w:t xml:space="preserve"> harassment in schools strongly predicts how often teachers intervene in homophobic </w:t>
      </w:r>
      <w:r>
        <w:rPr>
          <w:spacing w:val="-2"/>
        </w:rPr>
        <w:t>remarks</w:t>
      </w:r>
      <w:hyperlink w:anchor="_bookmark122" w:history="1">
        <w:r>
          <w:rPr>
            <w:spacing w:val="-2"/>
          </w:rPr>
          <w:t>.</w:t>
        </w:r>
        <w:r>
          <w:rPr>
            <w:spacing w:val="-2"/>
            <w:vertAlign w:val="superscript"/>
          </w:rPr>
          <w:t>31</w:t>
        </w:r>
      </w:hyperlink>
    </w:p>
    <w:p w:rsidR="00C76E6D" w:rsidRDefault="00C76E6D">
      <w:pPr>
        <w:spacing w:line="276" w:lineRule="auto"/>
        <w:jc w:val="both"/>
        <w:sectPr w:rsidR="00C76E6D">
          <w:pgSz w:w="12240" w:h="15840"/>
          <w:pgMar w:top="960" w:right="960" w:bottom="860" w:left="960" w:header="760" w:footer="679"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3"/>
        <w:rPr>
          <w:sz w:val="18"/>
        </w:rPr>
      </w:pPr>
    </w:p>
    <w:p w:rsidR="00C76E6D" w:rsidRDefault="00913831">
      <w:pPr>
        <w:pStyle w:val="BodyText"/>
        <w:spacing w:before="55" w:line="276" w:lineRule="auto"/>
        <w:ind w:left="478" w:right="476"/>
        <w:jc w:val="both"/>
      </w:pPr>
      <w:r>
        <w:t>In a study of a two-day LGBTQ training in New York City, school staff commonly expressed greater awareness of LG</w:t>
      </w:r>
      <w:r>
        <w:t>BTQ experiences and biases during focus groups. Yet in the post-surveys, staff reported diminishing awareness of how their actions affected LGBTQ students</w:t>
      </w:r>
      <w:hyperlink w:anchor="_bookmark123" w:history="1">
        <w:r>
          <w:t>.</w:t>
        </w:r>
        <w:r>
          <w:rPr>
            <w:vertAlign w:val="superscript"/>
          </w:rPr>
          <w:t>32</w:t>
        </w:r>
        <w:r>
          <w:t xml:space="preserve"> </w:t>
        </w:r>
      </w:hyperlink>
      <w:r>
        <w:t>This supports the idea that one- time LGBTQ trainings in schools may not contribute to long-term changes — and that ongoing interventions may be beneficial.</w:t>
      </w:r>
    </w:p>
    <w:p w:rsidR="00C76E6D" w:rsidRDefault="00C76E6D">
      <w:pPr>
        <w:pStyle w:val="BodyText"/>
        <w:spacing w:before="1"/>
        <w:rPr>
          <w:sz w:val="27"/>
        </w:rPr>
      </w:pPr>
    </w:p>
    <w:p w:rsidR="00C76E6D" w:rsidRDefault="00913831">
      <w:pPr>
        <w:pStyle w:val="BodyText"/>
        <w:spacing w:line="276" w:lineRule="auto"/>
        <w:ind w:left="477" w:right="475"/>
        <w:jc w:val="both"/>
      </w:pPr>
      <w:r>
        <w:t>Finally, LGBTQ trainings can positively affect school staff’s beliefs. Teachers who receive high l</w:t>
      </w:r>
      <w:r>
        <w:t>evels of training</w:t>
      </w:r>
      <w:r>
        <w:rPr>
          <w:spacing w:val="-1"/>
        </w:rPr>
        <w:t xml:space="preserve"> </w:t>
      </w:r>
      <w:r>
        <w:t>have more</w:t>
      </w:r>
      <w:r>
        <w:rPr>
          <w:spacing w:val="-2"/>
        </w:rPr>
        <w:t xml:space="preserve"> </w:t>
      </w:r>
      <w:r>
        <w:t>positive</w:t>
      </w:r>
      <w:r>
        <w:rPr>
          <w:spacing w:val="-1"/>
        </w:rPr>
        <w:t xml:space="preserve"> </w:t>
      </w:r>
      <w:r>
        <w:t>attitudes towards</w:t>
      </w:r>
      <w:r>
        <w:rPr>
          <w:spacing w:val="-1"/>
        </w:rPr>
        <w:t xml:space="preserve"> </w:t>
      </w:r>
      <w:r>
        <w:t>LGBTQ</w:t>
      </w:r>
      <w:r>
        <w:rPr>
          <w:spacing w:val="-1"/>
        </w:rPr>
        <w:t xml:space="preserve"> </w:t>
      </w:r>
      <w:r>
        <w:t>youth</w:t>
      </w:r>
      <w:r>
        <w:rPr>
          <w:spacing w:val="-1"/>
        </w:rPr>
        <w:t xml:space="preserve"> </w:t>
      </w:r>
      <w:r>
        <w:t>compared</w:t>
      </w:r>
      <w:r>
        <w:rPr>
          <w:spacing w:val="-2"/>
        </w:rPr>
        <w:t xml:space="preserve"> </w:t>
      </w:r>
      <w:r>
        <w:t>to those</w:t>
      </w:r>
      <w:r>
        <w:rPr>
          <w:spacing w:val="-2"/>
        </w:rPr>
        <w:t xml:space="preserve"> </w:t>
      </w:r>
      <w:r>
        <w:t>with limited professional development</w:t>
      </w:r>
      <w:hyperlink w:anchor="_bookmark124" w:history="1">
        <w:r>
          <w:t>.</w:t>
        </w:r>
        <w:r>
          <w:rPr>
            <w:vertAlign w:val="superscript"/>
          </w:rPr>
          <w:t>33</w:t>
        </w:r>
      </w:hyperlink>
      <w:r>
        <w:t xml:space="preserve"> Other post-survey evaluations indicate that school staff rate the importance of intervening in hom</w:t>
      </w:r>
      <w:r>
        <w:t>ophobic comments more highly after training.</w:t>
      </w:r>
      <w:hyperlink w:anchor="_bookmark125" w:history="1">
        <w:r>
          <w:rPr>
            <w:vertAlign w:val="superscript"/>
          </w:rPr>
          <w:t>34</w:t>
        </w:r>
      </w:hyperlink>
      <w:r>
        <w:t xml:space="preserve"> They also have more positive perceptions</w:t>
      </w:r>
      <w:r>
        <w:rPr>
          <w:spacing w:val="-13"/>
        </w:rPr>
        <w:t xml:space="preserve"> </w:t>
      </w:r>
      <w:r>
        <w:t>about</w:t>
      </w:r>
      <w:r>
        <w:rPr>
          <w:spacing w:val="-12"/>
        </w:rPr>
        <w:t xml:space="preserve"> </w:t>
      </w:r>
      <w:r>
        <w:t>the</w:t>
      </w:r>
      <w:r>
        <w:rPr>
          <w:spacing w:val="-13"/>
        </w:rPr>
        <w:t xml:space="preserve"> </w:t>
      </w:r>
      <w:r>
        <w:t>role</w:t>
      </w:r>
      <w:r>
        <w:rPr>
          <w:spacing w:val="-12"/>
        </w:rPr>
        <w:t xml:space="preserve"> </w:t>
      </w:r>
      <w:r>
        <w:t>of</w:t>
      </w:r>
      <w:r>
        <w:rPr>
          <w:spacing w:val="-13"/>
        </w:rPr>
        <w:t xml:space="preserve"> </w:t>
      </w:r>
      <w:r>
        <w:t>school</w:t>
      </w:r>
      <w:r>
        <w:rPr>
          <w:spacing w:val="-12"/>
        </w:rPr>
        <w:t xml:space="preserve"> </w:t>
      </w:r>
      <w:r>
        <w:t>staff</w:t>
      </w:r>
      <w:r>
        <w:rPr>
          <w:spacing w:val="-13"/>
        </w:rPr>
        <w:t xml:space="preserve"> </w:t>
      </w:r>
      <w:r>
        <w:t>in</w:t>
      </w:r>
      <w:r>
        <w:rPr>
          <w:spacing w:val="-12"/>
        </w:rPr>
        <w:t xml:space="preserve"> </w:t>
      </w:r>
      <w:r>
        <w:t>supporting</w:t>
      </w:r>
      <w:r>
        <w:rPr>
          <w:spacing w:val="-12"/>
        </w:rPr>
        <w:t xml:space="preserve"> </w:t>
      </w:r>
      <w:r>
        <w:t>LGBTQ</w:t>
      </w:r>
      <w:r>
        <w:rPr>
          <w:spacing w:val="-13"/>
        </w:rPr>
        <w:t xml:space="preserve"> </w:t>
      </w:r>
      <w:r>
        <w:t>students</w:t>
      </w:r>
      <w:r>
        <w:rPr>
          <w:spacing w:val="-12"/>
        </w:rPr>
        <w:t xml:space="preserve"> </w:t>
      </w:r>
      <w:r>
        <w:t>by</w:t>
      </w:r>
      <w:r>
        <w:rPr>
          <w:spacing w:val="-13"/>
        </w:rPr>
        <w:t xml:space="preserve"> </w:t>
      </w:r>
      <w:r>
        <w:t>creating</w:t>
      </w:r>
      <w:r>
        <w:rPr>
          <w:spacing w:val="-12"/>
        </w:rPr>
        <w:t xml:space="preserve"> </w:t>
      </w:r>
      <w:r>
        <w:t>a</w:t>
      </w:r>
      <w:r>
        <w:rPr>
          <w:spacing w:val="-13"/>
        </w:rPr>
        <w:t xml:space="preserve"> </w:t>
      </w:r>
      <w:r>
        <w:t>safer,</w:t>
      </w:r>
      <w:r>
        <w:rPr>
          <w:spacing w:val="-12"/>
        </w:rPr>
        <w:t xml:space="preserve"> </w:t>
      </w:r>
      <w:r>
        <w:t>more</w:t>
      </w:r>
      <w:r>
        <w:rPr>
          <w:spacing w:val="-12"/>
        </w:rPr>
        <w:t xml:space="preserve"> </w:t>
      </w:r>
      <w:r>
        <w:t>affirming environment</w:t>
      </w:r>
      <w:hyperlink w:anchor="_bookmark126" w:history="1">
        <w:r>
          <w:t>.</w:t>
        </w:r>
        <w:r>
          <w:rPr>
            <w:vertAlign w:val="superscript"/>
          </w:rPr>
          <w:t>35</w:t>
        </w:r>
      </w:hyperlink>
      <w:r>
        <w:rPr>
          <w:spacing w:val="31"/>
        </w:rPr>
        <w:t xml:space="preserve"> </w:t>
      </w:r>
      <w:r>
        <w:t>However, similar to the diminishing effects of self-awareness, the same study</w:t>
      </w:r>
      <w:r>
        <w:rPr>
          <w:spacing w:val="-1"/>
        </w:rPr>
        <w:t xml:space="preserve"> </w:t>
      </w:r>
      <w:r>
        <w:t>witnessed school</w:t>
      </w:r>
      <w:r>
        <w:rPr>
          <w:spacing w:val="-6"/>
        </w:rPr>
        <w:t xml:space="preserve"> </w:t>
      </w:r>
      <w:r>
        <w:t>staff’s</w:t>
      </w:r>
      <w:r>
        <w:rPr>
          <w:spacing w:val="-5"/>
        </w:rPr>
        <w:t xml:space="preserve"> </w:t>
      </w:r>
      <w:r>
        <w:t>empathy</w:t>
      </w:r>
      <w:r>
        <w:rPr>
          <w:spacing w:val="-6"/>
        </w:rPr>
        <w:t xml:space="preserve"> </w:t>
      </w:r>
      <w:r>
        <w:t>for</w:t>
      </w:r>
      <w:r>
        <w:rPr>
          <w:spacing w:val="-4"/>
        </w:rPr>
        <w:t xml:space="preserve"> </w:t>
      </w:r>
      <w:r>
        <w:t>LGBTQ</w:t>
      </w:r>
      <w:r>
        <w:rPr>
          <w:spacing w:val="-4"/>
        </w:rPr>
        <w:t xml:space="preserve"> </w:t>
      </w:r>
      <w:r>
        <w:t>students</w:t>
      </w:r>
      <w:r>
        <w:rPr>
          <w:spacing w:val="-5"/>
        </w:rPr>
        <w:t xml:space="preserve"> </w:t>
      </w:r>
      <w:r>
        <w:t>diminish</w:t>
      </w:r>
      <w:r>
        <w:rPr>
          <w:spacing w:val="-3"/>
        </w:rPr>
        <w:t xml:space="preserve"> </w:t>
      </w:r>
      <w:r>
        <w:t>over</w:t>
      </w:r>
      <w:r>
        <w:rPr>
          <w:spacing w:val="-5"/>
        </w:rPr>
        <w:t xml:space="preserve"> </w:t>
      </w:r>
      <w:r>
        <w:t>time,</w:t>
      </w:r>
      <w:r>
        <w:rPr>
          <w:spacing w:val="-4"/>
        </w:rPr>
        <w:t xml:space="preserve"> </w:t>
      </w:r>
      <w:r>
        <w:t>hinting</w:t>
      </w:r>
      <w:r>
        <w:rPr>
          <w:spacing w:val="-4"/>
        </w:rPr>
        <w:t xml:space="preserve"> </w:t>
      </w:r>
      <w:r>
        <w:t>again</w:t>
      </w:r>
      <w:r>
        <w:rPr>
          <w:spacing w:val="-4"/>
        </w:rPr>
        <w:t xml:space="preserve"> </w:t>
      </w:r>
      <w:r>
        <w:t>that</w:t>
      </w:r>
      <w:r>
        <w:rPr>
          <w:spacing w:val="-7"/>
        </w:rPr>
        <w:t xml:space="preserve"> </w:t>
      </w:r>
      <w:r>
        <w:t>a</w:t>
      </w:r>
      <w:r>
        <w:rPr>
          <w:spacing w:val="-5"/>
        </w:rPr>
        <w:t xml:space="preserve"> </w:t>
      </w:r>
      <w:r>
        <w:t>one-time</w:t>
      </w:r>
      <w:r>
        <w:rPr>
          <w:spacing w:val="-3"/>
        </w:rPr>
        <w:t xml:space="preserve"> </w:t>
      </w:r>
      <w:r>
        <w:t>training</w:t>
      </w:r>
      <w:r>
        <w:rPr>
          <w:spacing w:val="-4"/>
        </w:rPr>
        <w:t xml:space="preserve"> </w:t>
      </w:r>
      <w:r>
        <w:t>may not be enough</w:t>
      </w:r>
      <w:hyperlink w:anchor="_bookmark127" w:history="1">
        <w:r>
          <w:t>.</w:t>
        </w:r>
        <w:r>
          <w:rPr>
            <w:vertAlign w:val="superscript"/>
          </w:rPr>
          <w:t>36</w:t>
        </w:r>
      </w:hyperlink>
    </w:p>
    <w:p w:rsidR="00C76E6D" w:rsidRDefault="00C76E6D">
      <w:pPr>
        <w:pStyle w:val="BodyText"/>
        <w:spacing w:before="3"/>
        <w:rPr>
          <w:sz w:val="25"/>
        </w:rPr>
      </w:pPr>
    </w:p>
    <w:p w:rsidR="00C76E6D" w:rsidRDefault="00913831">
      <w:pPr>
        <w:pStyle w:val="BodyText"/>
        <w:spacing w:line="276" w:lineRule="auto"/>
        <w:ind w:left="480" w:right="474"/>
        <w:jc w:val="both"/>
      </w:pPr>
      <w:r>
        <w:t xml:space="preserve">While a handful of researchers recommend professional development trainings that discuss beliefs beyond LGBTQ bullying and risk factors — such as understanding social justice, recognizing heteronormativity, and challenging systems of oppression in schools </w:t>
      </w:r>
      <w:r>
        <w:t xml:space="preserve">— these are not commonly measured in the literature. Authors suggest that current trainings, especially short ones, may not be equipped to cover these deeper topics, but that they’re key to changing foundational beliefs around gender and sexual minorities </w:t>
      </w:r>
      <w:r>
        <w:t>and shifting school climates to focus not just on inclusivity but on equity</w:t>
      </w:r>
      <w:hyperlink w:anchor="_bookmark128" w:history="1">
        <w:r>
          <w:t>.</w:t>
        </w:r>
        <w:r>
          <w:rPr>
            <w:vertAlign w:val="superscript"/>
          </w:rPr>
          <w:t>37</w:t>
        </w:r>
      </w:hyperlink>
    </w:p>
    <w:p w:rsidR="00C76E6D" w:rsidRDefault="00C76E6D">
      <w:pPr>
        <w:pStyle w:val="BodyText"/>
        <w:spacing w:before="1"/>
        <w:rPr>
          <w:sz w:val="27"/>
        </w:rPr>
      </w:pPr>
    </w:p>
    <w:p w:rsidR="00C76E6D" w:rsidRDefault="00913831">
      <w:pPr>
        <w:pStyle w:val="Heading7"/>
        <w:numPr>
          <w:ilvl w:val="1"/>
          <w:numId w:val="45"/>
        </w:numPr>
        <w:tabs>
          <w:tab w:val="left" w:pos="1425"/>
        </w:tabs>
        <w:ind w:hanging="227"/>
      </w:pPr>
      <w:bookmarkStart w:id="186" w:name="b._Increased_Self-efficacy"/>
      <w:bookmarkEnd w:id="186"/>
      <w:r>
        <w:rPr>
          <w:spacing w:val="-2"/>
        </w:rPr>
        <w:t>Increased</w:t>
      </w:r>
      <w:r>
        <w:rPr>
          <w:spacing w:val="-9"/>
        </w:rPr>
        <w:t xml:space="preserve"> </w:t>
      </w:r>
      <w:r>
        <w:rPr>
          <w:spacing w:val="-2"/>
        </w:rPr>
        <w:t>Self-efficacy</w:t>
      </w:r>
    </w:p>
    <w:p w:rsidR="00C76E6D" w:rsidRDefault="00C76E6D">
      <w:pPr>
        <w:pStyle w:val="BodyText"/>
        <w:spacing w:before="6"/>
        <w:rPr>
          <w:b/>
          <w:i/>
          <w:sz w:val="28"/>
        </w:rPr>
      </w:pPr>
    </w:p>
    <w:p w:rsidR="00C76E6D" w:rsidRDefault="00913831">
      <w:pPr>
        <w:pStyle w:val="BodyText"/>
        <w:spacing w:line="276" w:lineRule="auto"/>
        <w:ind w:left="478" w:right="475"/>
        <w:jc w:val="both"/>
      </w:pPr>
      <w:r>
        <w:t>Most</w:t>
      </w:r>
      <w:r>
        <w:rPr>
          <w:spacing w:val="-5"/>
        </w:rPr>
        <w:t xml:space="preserve"> </w:t>
      </w:r>
      <w:r>
        <w:t>of</w:t>
      </w:r>
      <w:r>
        <w:rPr>
          <w:spacing w:val="-3"/>
        </w:rPr>
        <w:t xml:space="preserve"> </w:t>
      </w:r>
      <w:r>
        <w:t>the</w:t>
      </w:r>
      <w:r>
        <w:rPr>
          <w:spacing w:val="-3"/>
        </w:rPr>
        <w:t xml:space="preserve"> </w:t>
      </w:r>
      <w:r>
        <w:t>data</w:t>
      </w:r>
      <w:r>
        <w:rPr>
          <w:spacing w:val="-4"/>
        </w:rPr>
        <w:t xml:space="preserve"> </w:t>
      </w:r>
      <w:r>
        <w:t>on</w:t>
      </w:r>
      <w:r>
        <w:rPr>
          <w:spacing w:val="-3"/>
        </w:rPr>
        <w:t xml:space="preserve"> </w:t>
      </w:r>
      <w:r>
        <w:t>the</w:t>
      </w:r>
      <w:r>
        <w:rPr>
          <w:spacing w:val="-2"/>
        </w:rPr>
        <w:t xml:space="preserve"> </w:t>
      </w:r>
      <w:r>
        <w:t>effects</w:t>
      </w:r>
      <w:r>
        <w:rPr>
          <w:spacing w:val="-2"/>
        </w:rPr>
        <w:t xml:space="preserve"> </w:t>
      </w:r>
      <w:r>
        <w:t>of</w:t>
      </w:r>
      <w:r>
        <w:rPr>
          <w:spacing w:val="-4"/>
        </w:rPr>
        <w:t xml:space="preserve"> </w:t>
      </w:r>
      <w:r>
        <w:t>LGBTQ</w:t>
      </w:r>
      <w:r>
        <w:rPr>
          <w:spacing w:val="-4"/>
        </w:rPr>
        <w:t xml:space="preserve"> </w:t>
      </w:r>
      <w:r>
        <w:t>trainings</w:t>
      </w:r>
      <w:r>
        <w:rPr>
          <w:spacing w:val="-3"/>
        </w:rPr>
        <w:t xml:space="preserve"> </w:t>
      </w:r>
      <w:r>
        <w:t>indicate</w:t>
      </w:r>
      <w:r>
        <w:rPr>
          <w:spacing w:val="-3"/>
        </w:rPr>
        <w:t xml:space="preserve"> </w:t>
      </w:r>
      <w:r>
        <w:t>an</w:t>
      </w:r>
      <w:r>
        <w:rPr>
          <w:spacing w:val="-3"/>
        </w:rPr>
        <w:t xml:space="preserve"> </w:t>
      </w:r>
      <w:r>
        <w:t>increase</w:t>
      </w:r>
      <w:r>
        <w:rPr>
          <w:spacing w:val="-4"/>
        </w:rPr>
        <w:t xml:space="preserve"> </w:t>
      </w:r>
      <w:r>
        <w:t>in</w:t>
      </w:r>
      <w:r>
        <w:rPr>
          <w:spacing w:val="-3"/>
        </w:rPr>
        <w:t xml:space="preserve"> </w:t>
      </w:r>
      <w:r>
        <w:t>participant</w:t>
      </w:r>
      <w:r>
        <w:rPr>
          <w:spacing w:val="-3"/>
        </w:rPr>
        <w:t xml:space="preserve"> </w:t>
      </w:r>
      <w:r>
        <w:t>self-efficacy.</w:t>
      </w:r>
      <w:r>
        <w:rPr>
          <w:spacing w:val="-2"/>
        </w:rPr>
        <w:t xml:space="preserve"> </w:t>
      </w:r>
      <w:r>
        <w:t>Even</w:t>
      </w:r>
      <w:r>
        <w:rPr>
          <w:spacing w:val="-4"/>
        </w:rPr>
        <w:t xml:space="preserve"> </w:t>
      </w:r>
      <w:r>
        <w:t>a brief two-hour training can improve school staff’s self-efficacy in addressing anti-LGBTQ behaviors and creating inclusive school environments</w:t>
      </w:r>
      <w:hyperlink w:anchor="_bookmark129" w:history="1">
        <w:r>
          <w:t>.</w:t>
        </w:r>
        <w:r>
          <w:rPr>
            <w:vertAlign w:val="superscript"/>
          </w:rPr>
          <w:t>38</w:t>
        </w:r>
        <w:r>
          <w:t xml:space="preserve"> </w:t>
        </w:r>
      </w:hyperlink>
      <w:r>
        <w:t>Specifically, school staff report a significant increase in their comfort in</w:t>
      </w:r>
      <w:r>
        <w:t xml:space="preserve"> intervening in homophobic comments, their competence in addressing anti-LGBTQ bullying and harassment, and their confidence in promoting an inclusive environment</w:t>
      </w:r>
      <w:hyperlink w:anchor="_bookmark130" w:history="1">
        <w:r>
          <w:t>.</w:t>
        </w:r>
        <w:r>
          <w:rPr>
            <w:vertAlign w:val="superscript"/>
          </w:rPr>
          <w:t>39</w:t>
        </w:r>
      </w:hyperlink>
      <w:r>
        <w:t xml:space="preserve"> Other studies also highlight</w:t>
      </w:r>
      <w:r>
        <w:rPr>
          <w:spacing w:val="-6"/>
        </w:rPr>
        <w:t xml:space="preserve"> </w:t>
      </w:r>
      <w:r>
        <w:t>a</w:t>
      </w:r>
      <w:r>
        <w:rPr>
          <w:spacing w:val="-5"/>
        </w:rPr>
        <w:t xml:space="preserve"> </w:t>
      </w:r>
      <w:r>
        <w:t>significant</w:t>
      </w:r>
      <w:r>
        <w:rPr>
          <w:spacing w:val="-4"/>
        </w:rPr>
        <w:t xml:space="preserve"> </w:t>
      </w:r>
      <w:r>
        <w:t>improvement</w:t>
      </w:r>
      <w:r>
        <w:rPr>
          <w:spacing w:val="-6"/>
        </w:rPr>
        <w:t xml:space="preserve"> </w:t>
      </w:r>
      <w:r>
        <w:t>in</w:t>
      </w:r>
      <w:r>
        <w:rPr>
          <w:spacing w:val="-5"/>
        </w:rPr>
        <w:t xml:space="preserve"> </w:t>
      </w:r>
      <w:r>
        <w:t>confidence</w:t>
      </w:r>
      <w:r>
        <w:rPr>
          <w:spacing w:val="-5"/>
        </w:rPr>
        <w:t xml:space="preserve"> </w:t>
      </w:r>
      <w:r>
        <w:t>in</w:t>
      </w:r>
      <w:r>
        <w:rPr>
          <w:spacing w:val="-3"/>
        </w:rPr>
        <w:t xml:space="preserve"> </w:t>
      </w:r>
      <w:r>
        <w:t>both</w:t>
      </w:r>
      <w:r>
        <w:rPr>
          <w:spacing w:val="-5"/>
        </w:rPr>
        <w:t xml:space="preserve"> </w:t>
      </w:r>
      <w:r>
        <w:t>addressing</w:t>
      </w:r>
      <w:r>
        <w:rPr>
          <w:spacing w:val="-5"/>
        </w:rPr>
        <w:t xml:space="preserve"> </w:t>
      </w:r>
      <w:r>
        <w:t>anti-LGBTQ</w:t>
      </w:r>
      <w:r>
        <w:rPr>
          <w:spacing w:val="-5"/>
        </w:rPr>
        <w:t xml:space="preserve"> </w:t>
      </w:r>
      <w:r>
        <w:t>language</w:t>
      </w:r>
      <w:r>
        <w:rPr>
          <w:spacing w:val="-5"/>
        </w:rPr>
        <w:t xml:space="preserve"> </w:t>
      </w:r>
      <w:r>
        <w:t>and</w:t>
      </w:r>
      <w:r>
        <w:rPr>
          <w:spacing w:val="-5"/>
        </w:rPr>
        <w:t xml:space="preserve"> </w:t>
      </w:r>
      <w:r>
        <w:t>discussing concerns about being teased, harassed, or bullied with students</w:t>
      </w:r>
      <w:hyperlink w:anchor="_bookmark131" w:history="1">
        <w:r>
          <w:t>.</w:t>
        </w:r>
        <w:r>
          <w:rPr>
            <w:vertAlign w:val="superscript"/>
          </w:rPr>
          <w:t>40</w:t>
        </w:r>
        <w:r>
          <w:t xml:space="preserve"> </w:t>
        </w:r>
      </w:hyperlink>
      <w:r>
        <w:t>Similar to the findings of knowledge and awareness, self-efficacy is also a significant pred</w:t>
      </w:r>
      <w:r>
        <w:t>ictor of how frequently teachers intervene in anti- LGBTQ remarks</w:t>
      </w:r>
      <w:hyperlink w:anchor="_bookmark132" w:history="1">
        <w:r>
          <w:t>.</w:t>
        </w:r>
        <w:r>
          <w:rPr>
            <w:vertAlign w:val="superscript"/>
          </w:rPr>
          <w:t>41</w:t>
        </w:r>
      </w:hyperlink>
    </w:p>
    <w:p w:rsidR="00C76E6D" w:rsidRDefault="00C76E6D">
      <w:pPr>
        <w:pStyle w:val="BodyText"/>
        <w:spacing w:before="4"/>
        <w:rPr>
          <w:sz w:val="25"/>
        </w:rPr>
      </w:pPr>
    </w:p>
    <w:p w:rsidR="00C76E6D" w:rsidRDefault="00913831">
      <w:pPr>
        <w:pStyle w:val="BodyText"/>
        <w:spacing w:line="276" w:lineRule="auto"/>
        <w:ind w:left="478" w:right="476"/>
        <w:jc w:val="both"/>
      </w:pPr>
      <w:r>
        <w:t>One study noticed that self-efficacy decreased after training. The authors theorize that teachers may realize they’re less equipped to support LGBTQ youth</w:t>
      </w:r>
      <w:r>
        <w:t xml:space="preserve"> after discussing real-life situations during the trainings</w:t>
      </w:r>
      <w:hyperlink w:anchor="_bookmark133" w:history="1">
        <w:r>
          <w:t>.</w:t>
        </w:r>
        <w:r>
          <w:rPr>
            <w:vertAlign w:val="superscript"/>
          </w:rPr>
          <w:t>42</w:t>
        </w:r>
        <w:r>
          <w:t xml:space="preserve"> </w:t>
        </w:r>
      </w:hyperlink>
      <w:r>
        <w:t>Nonetheless, there is strong evidence that self-efficacy is necessary for school personnel to take action. The more comfortable teachers feel intervening in bull</w:t>
      </w:r>
      <w:r>
        <w:t>ying and harassment towards LGBTQ students, the more often they report intervening</w:t>
      </w:r>
      <w:hyperlink w:anchor="_bookmark134" w:history="1">
        <w:r>
          <w:t>.</w:t>
        </w:r>
        <w:r>
          <w:rPr>
            <w:vertAlign w:val="superscript"/>
          </w:rPr>
          <w:t>43</w:t>
        </w:r>
      </w:hyperlink>
      <w:r>
        <w:t xml:space="preserve"> Numerous studies illustrate ways to build self- efficacy</w:t>
      </w:r>
      <w:r>
        <w:rPr>
          <w:spacing w:val="33"/>
        </w:rPr>
        <w:t xml:space="preserve"> </w:t>
      </w:r>
      <w:r>
        <w:t>during</w:t>
      </w:r>
      <w:r>
        <w:rPr>
          <w:spacing w:val="31"/>
        </w:rPr>
        <w:t xml:space="preserve"> </w:t>
      </w:r>
      <w:r>
        <w:t>trainings,</w:t>
      </w:r>
      <w:r>
        <w:rPr>
          <w:spacing w:val="34"/>
        </w:rPr>
        <w:t xml:space="preserve"> </w:t>
      </w:r>
      <w:r>
        <w:t>such</w:t>
      </w:r>
      <w:r>
        <w:rPr>
          <w:spacing w:val="31"/>
        </w:rPr>
        <w:t xml:space="preserve"> </w:t>
      </w:r>
      <w:r>
        <w:t>as</w:t>
      </w:r>
      <w:r>
        <w:rPr>
          <w:spacing w:val="32"/>
        </w:rPr>
        <w:t xml:space="preserve"> </w:t>
      </w:r>
      <w:r>
        <w:t>using</w:t>
      </w:r>
      <w:r>
        <w:rPr>
          <w:spacing w:val="31"/>
        </w:rPr>
        <w:t xml:space="preserve"> </w:t>
      </w:r>
      <w:r>
        <w:t>case</w:t>
      </w:r>
      <w:r>
        <w:rPr>
          <w:spacing w:val="30"/>
        </w:rPr>
        <w:t xml:space="preserve"> </w:t>
      </w:r>
      <w:r>
        <w:t>studies,</w:t>
      </w:r>
      <w:r>
        <w:rPr>
          <w:spacing w:val="32"/>
        </w:rPr>
        <w:t xml:space="preserve"> </w:t>
      </w:r>
      <w:r>
        <w:t>role</w:t>
      </w:r>
      <w:r>
        <w:rPr>
          <w:spacing w:val="32"/>
        </w:rPr>
        <w:t xml:space="preserve"> </w:t>
      </w:r>
      <w:r>
        <w:t>play,</w:t>
      </w:r>
      <w:r>
        <w:rPr>
          <w:spacing w:val="32"/>
        </w:rPr>
        <w:t xml:space="preserve"> </w:t>
      </w:r>
      <w:r>
        <w:t>interactive</w:t>
      </w:r>
      <w:r>
        <w:rPr>
          <w:spacing w:val="32"/>
        </w:rPr>
        <w:t xml:space="preserve"> </w:t>
      </w:r>
      <w:r>
        <w:t>exercises,</w:t>
      </w:r>
      <w:r>
        <w:rPr>
          <w:spacing w:val="32"/>
        </w:rPr>
        <w:t xml:space="preserve"> </w:t>
      </w:r>
      <w:r>
        <w:t>and</w:t>
      </w:r>
      <w:r>
        <w:rPr>
          <w:spacing w:val="34"/>
        </w:rPr>
        <w:t xml:space="preserve"> </w:t>
      </w:r>
      <w:r>
        <w:t>open</w:t>
      </w:r>
      <w:r>
        <w:rPr>
          <w:spacing w:val="31"/>
        </w:rPr>
        <w:t xml:space="preserve"> </w:t>
      </w:r>
      <w:r>
        <w:t>group</w:t>
      </w:r>
    </w:p>
    <w:p w:rsidR="00C76E6D" w:rsidRDefault="00C76E6D">
      <w:pPr>
        <w:spacing w:line="276" w:lineRule="auto"/>
        <w:jc w:val="both"/>
        <w:sectPr w:rsidR="00C76E6D">
          <w:pgSz w:w="12240" w:h="15840"/>
          <w:pgMar w:top="960" w:right="960" w:bottom="860" w:left="960" w:header="760" w:footer="679" w:gutter="0"/>
          <w:cols w:space="720"/>
        </w:sectPr>
      </w:pPr>
    </w:p>
    <w:p w:rsidR="00C76E6D" w:rsidRDefault="00C76E6D">
      <w:pPr>
        <w:pStyle w:val="BodyText"/>
        <w:rPr>
          <w:sz w:val="20"/>
        </w:rPr>
      </w:pPr>
    </w:p>
    <w:p w:rsidR="00C76E6D" w:rsidRDefault="00C76E6D">
      <w:pPr>
        <w:pStyle w:val="BodyText"/>
        <w:spacing w:before="7"/>
        <w:rPr>
          <w:sz w:val="17"/>
        </w:rPr>
      </w:pPr>
    </w:p>
    <w:p w:rsidR="00C76E6D" w:rsidRDefault="00913831">
      <w:pPr>
        <w:pStyle w:val="BodyText"/>
        <w:spacing w:line="276" w:lineRule="auto"/>
        <w:ind w:left="480" w:right="479"/>
        <w:jc w:val="both"/>
      </w:pPr>
      <w:r>
        <w:t>discussions.</w:t>
      </w:r>
      <w:hyperlink w:anchor="_bookmark135" w:history="1">
        <w:r>
          <w:rPr>
            <w:vertAlign w:val="superscript"/>
          </w:rPr>
          <w:t>44</w:t>
        </w:r>
      </w:hyperlink>
      <w:r>
        <w:t xml:space="preserve"> These activities can help school personnel practice skills and feel more confident intervening when anti-LGBTQ behavior actually occurs.</w:t>
      </w:r>
    </w:p>
    <w:p w:rsidR="00C76E6D" w:rsidRDefault="00C76E6D">
      <w:pPr>
        <w:pStyle w:val="BodyText"/>
        <w:spacing w:before="4"/>
        <w:rPr>
          <w:sz w:val="25"/>
        </w:rPr>
      </w:pPr>
    </w:p>
    <w:p w:rsidR="00C76E6D" w:rsidRDefault="00913831">
      <w:pPr>
        <w:pStyle w:val="Heading7"/>
        <w:numPr>
          <w:ilvl w:val="1"/>
          <w:numId w:val="45"/>
        </w:numPr>
        <w:tabs>
          <w:tab w:val="left" w:pos="1398"/>
        </w:tabs>
        <w:ind w:left="1398" w:hanging="200"/>
      </w:pPr>
      <w:bookmarkStart w:id="187" w:name="c._Behavior_Change"/>
      <w:bookmarkEnd w:id="187"/>
      <w:r>
        <w:rPr>
          <w:w w:val="95"/>
        </w:rPr>
        <w:t>Behavior</w:t>
      </w:r>
      <w:r>
        <w:rPr>
          <w:spacing w:val="19"/>
        </w:rPr>
        <w:t xml:space="preserve"> </w:t>
      </w:r>
      <w:r>
        <w:rPr>
          <w:spacing w:val="-2"/>
          <w:w w:val="95"/>
        </w:rPr>
        <w:t>Change</w:t>
      </w:r>
    </w:p>
    <w:p w:rsidR="00C76E6D" w:rsidRDefault="00C76E6D">
      <w:pPr>
        <w:pStyle w:val="BodyText"/>
        <w:spacing w:before="6"/>
        <w:rPr>
          <w:b/>
          <w:i/>
          <w:sz w:val="28"/>
        </w:rPr>
      </w:pPr>
    </w:p>
    <w:p w:rsidR="00C76E6D" w:rsidRDefault="00913831">
      <w:pPr>
        <w:pStyle w:val="BodyText"/>
        <w:spacing w:line="276" w:lineRule="auto"/>
        <w:ind w:left="479" w:right="474"/>
        <w:jc w:val="both"/>
      </w:pPr>
      <w:r>
        <w:t>Two</w:t>
      </w:r>
      <w:r>
        <w:rPr>
          <w:spacing w:val="-13"/>
        </w:rPr>
        <w:t xml:space="preserve"> </w:t>
      </w:r>
      <w:r>
        <w:t>common</w:t>
      </w:r>
      <w:r>
        <w:rPr>
          <w:spacing w:val="-12"/>
        </w:rPr>
        <w:t xml:space="preserve"> </w:t>
      </w:r>
      <w:r>
        <w:t>behavior</w:t>
      </w:r>
      <w:r>
        <w:rPr>
          <w:spacing w:val="-13"/>
        </w:rPr>
        <w:t xml:space="preserve"> </w:t>
      </w:r>
      <w:r>
        <w:t>cha</w:t>
      </w:r>
      <w:r>
        <w:t>nges</w:t>
      </w:r>
      <w:r>
        <w:rPr>
          <w:spacing w:val="-12"/>
        </w:rPr>
        <w:t xml:space="preserve"> </w:t>
      </w:r>
      <w:r>
        <w:t>associated</w:t>
      </w:r>
      <w:r>
        <w:rPr>
          <w:spacing w:val="-13"/>
        </w:rPr>
        <w:t xml:space="preserve"> </w:t>
      </w:r>
      <w:r>
        <w:t>with</w:t>
      </w:r>
      <w:r>
        <w:rPr>
          <w:spacing w:val="-12"/>
        </w:rPr>
        <w:t xml:space="preserve"> </w:t>
      </w:r>
      <w:r>
        <w:t>LGBTQ</w:t>
      </w:r>
      <w:r>
        <w:rPr>
          <w:spacing w:val="-13"/>
        </w:rPr>
        <w:t xml:space="preserve"> </w:t>
      </w:r>
      <w:r>
        <w:t>professional</w:t>
      </w:r>
      <w:r>
        <w:rPr>
          <w:spacing w:val="-12"/>
        </w:rPr>
        <w:t xml:space="preserve"> </w:t>
      </w:r>
      <w:r>
        <w:t>development</w:t>
      </w:r>
      <w:r>
        <w:rPr>
          <w:spacing w:val="-12"/>
        </w:rPr>
        <w:t xml:space="preserve"> </w:t>
      </w:r>
      <w:r>
        <w:t>programs</w:t>
      </w:r>
      <w:r>
        <w:rPr>
          <w:spacing w:val="-13"/>
        </w:rPr>
        <w:t xml:space="preserve"> </w:t>
      </w:r>
      <w:r>
        <w:t>are</w:t>
      </w:r>
      <w:r>
        <w:rPr>
          <w:spacing w:val="-12"/>
        </w:rPr>
        <w:t xml:space="preserve"> </w:t>
      </w:r>
      <w:r>
        <w:t xml:space="preserve">increased school staff intervention in anti-LGBTQ behavior and increased communication with students and teachers about LGBTQ topics. For instance, school personnel report more communication </w:t>
      </w:r>
      <w:r>
        <w:t>with students and</w:t>
      </w:r>
      <w:r>
        <w:rPr>
          <w:spacing w:val="-10"/>
        </w:rPr>
        <w:t xml:space="preserve"> </w:t>
      </w:r>
      <w:r>
        <w:t>other</w:t>
      </w:r>
      <w:r>
        <w:rPr>
          <w:spacing w:val="-8"/>
        </w:rPr>
        <w:t xml:space="preserve"> </w:t>
      </w:r>
      <w:r>
        <w:t>staff</w:t>
      </w:r>
      <w:r>
        <w:rPr>
          <w:spacing w:val="-8"/>
        </w:rPr>
        <w:t xml:space="preserve"> </w:t>
      </w:r>
      <w:r>
        <w:t>about</w:t>
      </w:r>
      <w:r>
        <w:rPr>
          <w:spacing w:val="-7"/>
        </w:rPr>
        <w:t xml:space="preserve"> </w:t>
      </w:r>
      <w:r>
        <w:t>LGBTQ</w:t>
      </w:r>
      <w:r>
        <w:rPr>
          <w:spacing w:val="-8"/>
        </w:rPr>
        <w:t xml:space="preserve"> </w:t>
      </w:r>
      <w:r>
        <w:t>issues</w:t>
      </w:r>
      <w:r>
        <w:rPr>
          <w:spacing w:val="-6"/>
        </w:rPr>
        <w:t xml:space="preserve"> </w:t>
      </w:r>
      <w:r>
        <w:t>following</w:t>
      </w:r>
      <w:r>
        <w:rPr>
          <w:spacing w:val="-6"/>
        </w:rPr>
        <w:t xml:space="preserve"> </w:t>
      </w:r>
      <w:r>
        <w:t>their</w:t>
      </w:r>
      <w:r>
        <w:rPr>
          <w:spacing w:val="-6"/>
        </w:rPr>
        <w:t xml:space="preserve"> </w:t>
      </w:r>
      <w:r>
        <w:t>training.</w:t>
      </w:r>
      <w:hyperlink w:anchor="_bookmark136" w:history="1">
        <w:r>
          <w:rPr>
            <w:vertAlign w:val="superscript"/>
          </w:rPr>
          <w:t>45</w:t>
        </w:r>
        <w:r>
          <w:rPr>
            <w:spacing w:val="-9"/>
          </w:rPr>
          <w:t xml:space="preserve"> </w:t>
        </w:r>
      </w:hyperlink>
      <w:r>
        <w:t>Results</w:t>
      </w:r>
      <w:r>
        <w:rPr>
          <w:spacing w:val="-5"/>
        </w:rPr>
        <w:t xml:space="preserve"> </w:t>
      </w:r>
      <w:r>
        <w:t>from</w:t>
      </w:r>
      <w:r>
        <w:rPr>
          <w:spacing w:val="-7"/>
        </w:rPr>
        <w:t xml:space="preserve"> </w:t>
      </w:r>
      <w:r>
        <w:t>the</w:t>
      </w:r>
      <w:r>
        <w:rPr>
          <w:spacing w:val="-7"/>
        </w:rPr>
        <w:t xml:space="preserve"> </w:t>
      </w:r>
      <w:r>
        <w:t>“Step</w:t>
      </w:r>
      <w:r>
        <w:rPr>
          <w:spacing w:val="-7"/>
        </w:rPr>
        <w:t xml:space="preserve"> </w:t>
      </w:r>
      <w:r>
        <w:t>In,</w:t>
      </w:r>
      <w:r>
        <w:rPr>
          <w:spacing w:val="-5"/>
        </w:rPr>
        <w:t xml:space="preserve"> </w:t>
      </w:r>
      <w:r>
        <w:t>Speak</w:t>
      </w:r>
      <w:r>
        <w:rPr>
          <w:spacing w:val="-4"/>
        </w:rPr>
        <w:t xml:space="preserve"> </w:t>
      </w:r>
      <w:r>
        <w:t>Up!”</w:t>
      </w:r>
      <w:r>
        <w:rPr>
          <w:spacing w:val="-7"/>
        </w:rPr>
        <w:t xml:space="preserve"> </w:t>
      </w:r>
      <w:r>
        <w:t>online simulation found that afterwards, most teachers reported an increase in connecting LGBTQ youth to support services (51%), speaking with students after class to see if they were okay (54%), and having conversations with other adults at school about L</w:t>
      </w:r>
      <w:r>
        <w:t>GBTQ harassment and bullying (58%), discriminatory language in classrooms (64%), and how to better support LGBTQ students (78%)</w:t>
      </w:r>
      <w:hyperlink w:anchor="_bookmark137" w:history="1">
        <w:r>
          <w:t>.</w:t>
        </w:r>
        <w:r>
          <w:rPr>
            <w:vertAlign w:val="superscript"/>
          </w:rPr>
          <w:t>46</w:t>
        </w:r>
      </w:hyperlink>
    </w:p>
    <w:p w:rsidR="00C76E6D" w:rsidRDefault="00C76E6D">
      <w:pPr>
        <w:pStyle w:val="BodyText"/>
        <w:spacing w:before="5"/>
        <w:rPr>
          <w:sz w:val="25"/>
        </w:rPr>
      </w:pPr>
    </w:p>
    <w:p w:rsidR="00C76E6D" w:rsidRDefault="00913831">
      <w:pPr>
        <w:pStyle w:val="BodyText"/>
        <w:spacing w:line="276" w:lineRule="auto"/>
        <w:ind w:left="478" w:right="473"/>
        <w:jc w:val="both"/>
      </w:pPr>
      <w:r>
        <w:t>In</w:t>
      </w:r>
      <w:r>
        <w:rPr>
          <w:spacing w:val="-1"/>
        </w:rPr>
        <w:t xml:space="preserve"> </w:t>
      </w:r>
      <w:r>
        <w:t>the same study, over 50% of school</w:t>
      </w:r>
      <w:r>
        <w:rPr>
          <w:spacing w:val="-1"/>
        </w:rPr>
        <w:t xml:space="preserve"> </w:t>
      </w:r>
      <w:r>
        <w:t>staff reported an</w:t>
      </w:r>
      <w:r>
        <w:rPr>
          <w:spacing w:val="-1"/>
        </w:rPr>
        <w:t xml:space="preserve"> </w:t>
      </w:r>
      <w:r>
        <w:t>increase</w:t>
      </w:r>
      <w:r>
        <w:rPr>
          <w:spacing w:val="-1"/>
        </w:rPr>
        <w:t xml:space="preserve"> </w:t>
      </w:r>
      <w:r>
        <w:t>in</w:t>
      </w:r>
      <w:r>
        <w:rPr>
          <w:spacing w:val="-1"/>
        </w:rPr>
        <w:t xml:space="preserve"> </w:t>
      </w:r>
      <w:r>
        <w:t>the number of times they</w:t>
      </w:r>
      <w:r>
        <w:rPr>
          <w:spacing w:val="-1"/>
        </w:rPr>
        <w:t xml:space="preserve"> </w:t>
      </w:r>
      <w:r>
        <w:t>intervened when students were being teased, harassed, or bullied by students labeling them as LGBTQ.</w:t>
      </w:r>
      <w:hyperlink w:anchor="_bookmark138" w:history="1">
        <w:r>
          <w:rPr>
            <w:vertAlign w:val="superscript"/>
          </w:rPr>
          <w:t>47</w:t>
        </w:r>
      </w:hyperlink>
      <w:r>
        <w:t xml:space="preserve"> After receiving training from the Safe Schools Program for LGBTQ Students, 88% of participants say they develop</w:t>
      </w:r>
      <w:r>
        <w:rPr>
          <w:spacing w:val="-11"/>
        </w:rPr>
        <w:t xml:space="preserve"> </w:t>
      </w:r>
      <w:r>
        <w:t>either</w:t>
      </w:r>
      <w:r>
        <w:rPr>
          <w:spacing w:val="-11"/>
        </w:rPr>
        <w:t xml:space="preserve"> </w:t>
      </w:r>
      <w:r>
        <w:t>“</w:t>
      </w:r>
      <w:r>
        <w:t>some”</w:t>
      </w:r>
      <w:r>
        <w:rPr>
          <w:spacing w:val="-11"/>
        </w:rPr>
        <w:t xml:space="preserve"> </w:t>
      </w:r>
      <w:r>
        <w:t>or</w:t>
      </w:r>
      <w:r>
        <w:rPr>
          <w:spacing w:val="-11"/>
        </w:rPr>
        <w:t xml:space="preserve"> </w:t>
      </w:r>
      <w:r>
        <w:t>“a</w:t>
      </w:r>
      <w:r>
        <w:rPr>
          <w:spacing w:val="-11"/>
        </w:rPr>
        <w:t xml:space="preserve"> </w:t>
      </w:r>
      <w:r>
        <w:t>lot”</w:t>
      </w:r>
      <w:r>
        <w:rPr>
          <w:spacing w:val="-11"/>
        </w:rPr>
        <w:t xml:space="preserve"> </w:t>
      </w:r>
      <w:r>
        <w:t>of</w:t>
      </w:r>
      <w:r>
        <w:rPr>
          <w:spacing w:val="-11"/>
        </w:rPr>
        <w:t xml:space="preserve"> </w:t>
      </w:r>
      <w:r>
        <w:t>skills</w:t>
      </w:r>
      <w:r>
        <w:rPr>
          <w:spacing w:val="-9"/>
        </w:rPr>
        <w:t xml:space="preserve"> </w:t>
      </w:r>
      <w:r>
        <w:t>to</w:t>
      </w:r>
      <w:r>
        <w:rPr>
          <w:spacing w:val="-11"/>
        </w:rPr>
        <w:t xml:space="preserve"> </w:t>
      </w:r>
      <w:r>
        <w:t>respond</w:t>
      </w:r>
      <w:r>
        <w:rPr>
          <w:spacing w:val="-12"/>
        </w:rPr>
        <w:t xml:space="preserve"> </w:t>
      </w:r>
      <w:r>
        <w:t>to</w:t>
      </w:r>
      <w:r>
        <w:rPr>
          <w:spacing w:val="-8"/>
        </w:rPr>
        <w:t xml:space="preserve"> </w:t>
      </w:r>
      <w:r>
        <w:t>bias-based</w:t>
      </w:r>
      <w:r>
        <w:rPr>
          <w:spacing w:val="-11"/>
        </w:rPr>
        <w:t xml:space="preserve"> </w:t>
      </w:r>
      <w:r>
        <w:t>bullying</w:t>
      </w:r>
      <w:r>
        <w:rPr>
          <w:spacing w:val="-12"/>
        </w:rPr>
        <w:t xml:space="preserve"> </w:t>
      </w:r>
      <w:r>
        <w:t>—</w:t>
      </w:r>
      <w:r>
        <w:rPr>
          <w:spacing w:val="-10"/>
        </w:rPr>
        <w:t xml:space="preserve"> </w:t>
      </w:r>
      <w:r>
        <w:t>and</w:t>
      </w:r>
      <w:r>
        <w:rPr>
          <w:spacing w:val="-9"/>
        </w:rPr>
        <w:t xml:space="preserve"> </w:t>
      </w:r>
      <w:r>
        <w:t>89%</w:t>
      </w:r>
      <w:r>
        <w:rPr>
          <w:spacing w:val="-11"/>
        </w:rPr>
        <w:t xml:space="preserve"> </w:t>
      </w:r>
      <w:r>
        <w:t>say</w:t>
      </w:r>
      <w:r>
        <w:rPr>
          <w:spacing w:val="-11"/>
        </w:rPr>
        <w:t xml:space="preserve"> </w:t>
      </w:r>
      <w:r>
        <w:t>they</w:t>
      </w:r>
      <w:r>
        <w:rPr>
          <w:spacing w:val="-9"/>
        </w:rPr>
        <w:t xml:space="preserve"> </w:t>
      </w:r>
      <w:r>
        <w:t>will</w:t>
      </w:r>
      <w:r>
        <w:rPr>
          <w:spacing w:val="-11"/>
        </w:rPr>
        <w:t xml:space="preserve"> </w:t>
      </w:r>
      <w:r>
        <w:t>change their practice/policies based on what they heard or talked about during the training.</w:t>
      </w:r>
      <w:hyperlink w:anchor="_bookmark139" w:history="1">
        <w:r>
          <w:rPr>
            <w:vertAlign w:val="superscript"/>
          </w:rPr>
          <w:t>48</w:t>
        </w:r>
      </w:hyperlink>
      <w:r>
        <w:rPr>
          <w:spacing w:val="35"/>
        </w:rPr>
        <w:t xml:space="preserve"> </w:t>
      </w:r>
      <w:r>
        <w:t>In a case</w:t>
      </w:r>
      <w:r>
        <w:rPr>
          <w:spacing w:val="-2"/>
        </w:rPr>
        <w:t xml:space="preserve"> </w:t>
      </w:r>
      <w:r>
        <w:t>study of the Welcoming Schools program, which offers similar training to the Safe Schools Program for LGBTQ Students, schools that completed the training experienced a 50% reduction in bullying behavior within two years</w:t>
      </w:r>
      <w:hyperlink w:anchor="_bookmark140" w:history="1">
        <w:r>
          <w:t>.</w:t>
        </w:r>
        <w:r>
          <w:rPr>
            <w:vertAlign w:val="superscript"/>
          </w:rPr>
          <w:t>49</w:t>
        </w:r>
      </w:hyperlink>
    </w:p>
    <w:p w:rsidR="00C76E6D" w:rsidRDefault="00C76E6D">
      <w:pPr>
        <w:pStyle w:val="BodyText"/>
        <w:spacing w:before="2"/>
        <w:rPr>
          <w:sz w:val="25"/>
        </w:rPr>
      </w:pPr>
    </w:p>
    <w:p w:rsidR="00C76E6D" w:rsidRDefault="00913831">
      <w:pPr>
        <w:pStyle w:val="BodyText"/>
        <w:spacing w:line="276" w:lineRule="auto"/>
        <w:ind w:left="478" w:right="472"/>
        <w:jc w:val="both"/>
      </w:pPr>
      <w:r>
        <w:t>While the Welcoming School study is one of the few that looked at the long-term effects of professional development training, the researchers do not explain how they measured bullying reduction. In most studies, the data is collected through self-reporting</w:t>
      </w:r>
      <w:r>
        <w:t>. This is a limitation since there can be a discrepancy between</w:t>
      </w:r>
      <w:r>
        <w:rPr>
          <w:spacing w:val="-4"/>
        </w:rPr>
        <w:t xml:space="preserve"> </w:t>
      </w:r>
      <w:r>
        <w:t>what</w:t>
      </w:r>
      <w:r>
        <w:rPr>
          <w:spacing w:val="-5"/>
        </w:rPr>
        <w:t xml:space="preserve"> </w:t>
      </w:r>
      <w:r>
        <w:t>school</w:t>
      </w:r>
      <w:r>
        <w:rPr>
          <w:spacing w:val="-4"/>
        </w:rPr>
        <w:t xml:space="preserve"> </w:t>
      </w:r>
      <w:r>
        <w:t>staff</w:t>
      </w:r>
      <w:r>
        <w:rPr>
          <w:spacing w:val="-2"/>
        </w:rPr>
        <w:t xml:space="preserve"> </w:t>
      </w:r>
      <w:r>
        <w:t>say</w:t>
      </w:r>
      <w:r>
        <w:rPr>
          <w:spacing w:val="-4"/>
        </w:rPr>
        <w:t xml:space="preserve"> </w:t>
      </w:r>
      <w:r>
        <w:t>they</w:t>
      </w:r>
      <w:r>
        <w:rPr>
          <w:spacing w:val="-3"/>
        </w:rPr>
        <w:t xml:space="preserve"> </w:t>
      </w:r>
      <w:r>
        <w:t>did</w:t>
      </w:r>
      <w:r>
        <w:rPr>
          <w:spacing w:val="-2"/>
        </w:rPr>
        <w:t xml:space="preserve"> </w:t>
      </w:r>
      <w:r>
        <w:t>(or</w:t>
      </w:r>
      <w:r>
        <w:rPr>
          <w:spacing w:val="-4"/>
        </w:rPr>
        <w:t xml:space="preserve"> </w:t>
      </w:r>
      <w:r>
        <w:t>will</w:t>
      </w:r>
      <w:r>
        <w:rPr>
          <w:spacing w:val="-4"/>
        </w:rPr>
        <w:t xml:space="preserve"> </w:t>
      </w:r>
      <w:r>
        <w:t>do)</w:t>
      </w:r>
      <w:r>
        <w:rPr>
          <w:spacing w:val="-5"/>
        </w:rPr>
        <w:t xml:space="preserve"> </w:t>
      </w:r>
      <w:r>
        <w:t>and</w:t>
      </w:r>
      <w:r>
        <w:rPr>
          <w:spacing w:val="-4"/>
        </w:rPr>
        <w:t xml:space="preserve"> </w:t>
      </w:r>
      <w:r>
        <w:t>what</w:t>
      </w:r>
      <w:r>
        <w:rPr>
          <w:spacing w:val="-2"/>
        </w:rPr>
        <w:t xml:space="preserve"> </w:t>
      </w:r>
      <w:r>
        <w:t>they</w:t>
      </w:r>
      <w:r>
        <w:rPr>
          <w:spacing w:val="-3"/>
        </w:rPr>
        <w:t xml:space="preserve"> </w:t>
      </w:r>
      <w:r>
        <w:t>actually</w:t>
      </w:r>
      <w:r>
        <w:rPr>
          <w:spacing w:val="-3"/>
        </w:rPr>
        <w:t xml:space="preserve"> </w:t>
      </w:r>
      <w:r>
        <w:t>do</w:t>
      </w:r>
      <w:r>
        <w:rPr>
          <w:spacing w:val="-2"/>
        </w:rPr>
        <w:t xml:space="preserve"> </w:t>
      </w:r>
      <w:r>
        <w:t>—</w:t>
      </w:r>
      <w:r>
        <w:rPr>
          <w:spacing w:val="-3"/>
        </w:rPr>
        <w:t xml:space="preserve"> </w:t>
      </w:r>
      <w:r>
        <w:t>especially</w:t>
      </w:r>
      <w:r>
        <w:rPr>
          <w:spacing w:val="-3"/>
        </w:rPr>
        <w:t xml:space="preserve"> </w:t>
      </w:r>
      <w:r>
        <w:t>when</w:t>
      </w:r>
      <w:r>
        <w:rPr>
          <w:spacing w:val="-4"/>
        </w:rPr>
        <w:t xml:space="preserve"> </w:t>
      </w:r>
      <w:r>
        <w:t>it</w:t>
      </w:r>
      <w:r>
        <w:rPr>
          <w:spacing w:val="-2"/>
        </w:rPr>
        <w:t xml:space="preserve"> </w:t>
      </w:r>
      <w:r>
        <w:t>comes to advocating for LGBTQ youth or intervening in anti-LGBTQ bullying and harassment</w:t>
      </w:r>
      <w:hyperlink w:anchor="_bookmark141" w:history="1">
        <w:r>
          <w:t>.</w:t>
        </w:r>
        <w:r>
          <w:rPr>
            <w:vertAlign w:val="superscript"/>
          </w:rPr>
          <w:t>50</w:t>
        </w:r>
        <w:r>
          <w:t xml:space="preserve"> </w:t>
        </w:r>
      </w:hyperlink>
      <w:r>
        <w:t>Some experts claim that it’s more realistic to change knowledge and awareness through a professional development training than actual behaviors</w:t>
      </w:r>
      <w:hyperlink w:anchor="_bookmark142" w:history="1">
        <w:r>
          <w:t>.</w:t>
        </w:r>
        <w:r>
          <w:rPr>
            <w:vertAlign w:val="superscript"/>
          </w:rPr>
          <w:t>51</w:t>
        </w:r>
      </w:hyperlink>
      <w:r>
        <w:t xml:space="preserve"> For example, results from the Commission’s Safe School</w:t>
      </w:r>
      <w:r>
        <w:t xml:space="preserve"> evaluations indicate that participants had the least understanding of developing bullying intervention skills</w:t>
      </w:r>
      <w:hyperlink w:anchor="_bookmark143" w:history="1">
        <w:r>
          <w:t>.</w:t>
        </w:r>
        <w:r>
          <w:rPr>
            <w:vertAlign w:val="superscript"/>
          </w:rPr>
          <w:t>52</w:t>
        </w:r>
        <w:r>
          <w:t xml:space="preserve"> </w:t>
        </w:r>
      </w:hyperlink>
      <w:r>
        <w:t>More ongoing trainings and practice are called for to build skills that affect behavior change for supporting LGBTQ youth</w:t>
      </w:r>
      <w:hyperlink w:anchor="_bookmark144" w:history="1">
        <w:r>
          <w:t>.</w:t>
        </w:r>
        <w:r>
          <w:rPr>
            <w:vertAlign w:val="superscript"/>
          </w:rPr>
          <w:t>53</w:t>
        </w:r>
      </w:hyperlink>
    </w:p>
    <w:p w:rsidR="00C76E6D" w:rsidRDefault="00C76E6D">
      <w:pPr>
        <w:pStyle w:val="BodyText"/>
        <w:spacing w:before="6"/>
        <w:rPr>
          <w:sz w:val="25"/>
        </w:rPr>
      </w:pPr>
    </w:p>
    <w:p w:rsidR="00C76E6D" w:rsidRDefault="00913831">
      <w:pPr>
        <w:pStyle w:val="Heading7"/>
        <w:numPr>
          <w:ilvl w:val="1"/>
          <w:numId w:val="45"/>
        </w:numPr>
        <w:tabs>
          <w:tab w:val="left" w:pos="1425"/>
        </w:tabs>
        <w:ind w:hanging="227"/>
      </w:pPr>
      <w:bookmarkStart w:id="188" w:name="d._School_Climate"/>
      <w:bookmarkEnd w:id="188"/>
      <w:r>
        <w:rPr>
          <w:w w:val="95"/>
        </w:rPr>
        <w:t>School</w:t>
      </w:r>
      <w:r>
        <w:rPr>
          <w:spacing w:val="10"/>
        </w:rPr>
        <w:t xml:space="preserve"> </w:t>
      </w:r>
      <w:r>
        <w:rPr>
          <w:spacing w:val="-2"/>
        </w:rPr>
        <w:t>Climate</w:t>
      </w:r>
    </w:p>
    <w:p w:rsidR="00C76E6D" w:rsidRDefault="00C76E6D">
      <w:pPr>
        <w:pStyle w:val="BodyText"/>
        <w:spacing w:before="1"/>
        <w:rPr>
          <w:b/>
          <w:i/>
          <w:sz w:val="30"/>
        </w:rPr>
      </w:pPr>
    </w:p>
    <w:p w:rsidR="00C76E6D" w:rsidRDefault="00913831">
      <w:pPr>
        <w:pStyle w:val="BodyText"/>
        <w:spacing w:line="276" w:lineRule="auto"/>
        <w:ind w:left="478" w:right="474"/>
        <w:jc w:val="both"/>
      </w:pPr>
      <w:r>
        <w:t>There is evidence that LGBTQ-focused professional development trainings can positi</w:t>
      </w:r>
      <w:r>
        <w:t>vely impact school climate,</w:t>
      </w:r>
      <w:r>
        <w:rPr>
          <w:spacing w:val="-4"/>
        </w:rPr>
        <w:t xml:space="preserve"> </w:t>
      </w:r>
      <w:r>
        <w:t>especially</w:t>
      </w:r>
      <w:r>
        <w:rPr>
          <w:spacing w:val="-3"/>
        </w:rPr>
        <w:t xml:space="preserve"> </w:t>
      </w:r>
      <w:r>
        <w:t>compared</w:t>
      </w:r>
      <w:r>
        <w:rPr>
          <w:spacing w:val="-5"/>
        </w:rPr>
        <w:t xml:space="preserve"> </w:t>
      </w:r>
      <w:r>
        <w:t>to</w:t>
      </w:r>
      <w:r>
        <w:rPr>
          <w:spacing w:val="-4"/>
        </w:rPr>
        <w:t xml:space="preserve"> </w:t>
      </w:r>
      <w:r>
        <w:t>schools</w:t>
      </w:r>
      <w:r>
        <w:rPr>
          <w:spacing w:val="-5"/>
        </w:rPr>
        <w:t xml:space="preserve"> </w:t>
      </w:r>
      <w:r>
        <w:t>without</w:t>
      </w:r>
      <w:r>
        <w:rPr>
          <w:spacing w:val="-4"/>
        </w:rPr>
        <w:t xml:space="preserve"> </w:t>
      </w:r>
      <w:r>
        <w:t>this</w:t>
      </w:r>
      <w:r>
        <w:rPr>
          <w:spacing w:val="-5"/>
        </w:rPr>
        <w:t xml:space="preserve"> </w:t>
      </w:r>
      <w:r>
        <w:t>training.</w:t>
      </w:r>
      <w:hyperlink w:anchor="_bookmark145" w:history="1">
        <w:r>
          <w:rPr>
            <w:vertAlign w:val="superscript"/>
          </w:rPr>
          <w:t>54</w:t>
        </w:r>
      </w:hyperlink>
      <w:r>
        <w:rPr>
          <w:spacing w:val="31"/>
        </w:rPr>
        <w:t xml:space="preserve"> </w:t>
      </w:r>
      <w:r>
        <w:t>School</w:t>
      </w:r>
      <w:r>
        <w:rPr>
          <w:spacing w:val="-5"/>
        </w:rPr>
        <w:t xml:space="preserve"> </w:t>
      </w:r>
      <w:r>
        <w:t>staff</w:t>
      </w:r>
      <w:r>
        <w:rPr>
          <w:spacing w:val="-5"/>
        </w:rPr>
        <w:t xml:space="preserve"> </w:t>
      </w:r>
      <w:r>
        <w:t>who</w:t>
      </w:r>
      <w:r>
        <w:rPr>
          <w:spacing w:val="-5"/>
        </w:rPr>
        <w:t xml:space="preserve"> </w:t>
      </w:r>
      <w:r>
        <w:t>experience</w:t>
      </w:r>
      <w:r>
        <w:rPr>
          <w:spacing w:val="-3"/>
        </w:rPr>
        <w:t xml:space="preserve"> </w:t>
      </w:r>
      <w:r>
        <w:t>trainings</w:t>
      </w:r>
      <w:r>
        <w:rPr>
          <w:spacing w:val="-6"/>
        </w:rPr>
        <w:t xml:space="preserve"> </w:t>
      </w:r>
      <w:r>
        <w:t>say they engage more in activities to create safer schools for LGBTQ students, such as supporting GSAs</w:t>
      </w:r>
      <w:r>
        <w:t xml:space="preserve"> and including LGBTQ content in the curriculum.</w:t>
      </w:r>
      <w:hyperlink w:anchor="_bookmark146" w:history="1">
        <w:r>
          <w:rPr>
            <w:vertAlign w:val="superscript"/>
          </w:rPr>
          <w:t>55</w:t>
        </w:r>
        <w:r>
          <w:t xml:space="preserve"> </w:t>
        </w:r>
      </w:hyperlink>
      <w:r>
        <w:t>Twenty years ago, researcher Laura A. Szalacha conducted</w:t>
      </w:r>
      <w:r>
        <w:rPr>
          <w:spacing w:val="40"/>
        </w:rPr>
        <w:t xml:space="preserve"> </w:t>
      </w:r>
      <w:r>
        <w:t>a</w:t>
      </w:r>
      <w:r>
        <w:rPr>
          <w:spacing w:val="-3"/>
        </w:rPr>
        <w:t xml:space="preserve"> </w:t>
      </w:r>
      <w:r>
        <w:t>mixed</w:t>
      </w:r>
      <w:r>
        <w:rPr>
          <w:spacing w:val="-1"/>
        </w:rPr>
        <w:t xml:space="preserve"> </w:t>
      </w:r>
      <w:r>
        <w:t>methods</w:t>
      </w:r>
      <w:r>
        <w:rPr>
          <w:spacing w:val="-2"/>
        </w:rPr>
        <w:t xml:space="preserve"> </w:t>
      </w:r>
      <w:r>
        <w:t>study</w:t>
      </w:r>
      <w:r>
        <w:rPr>
          <w:spacing w:val="-2"/>
        </w:rPr>
        <w:t xml:space="preserve"> </w:t>
      </w:r>
      <w:r>
        <w:t>on</w:t>
      </w:r>
      <w:r>
        <w:rPr>
          <w:spacing w:val="-1"/>
        </w:rPr>
        <w:t xml:space="preserve"> </w:t>
      </w:r>
      <w:r>
        <w:t>the</w:t>
      </w:r>
      <w:r>
        <w:rPr>
          <w:spacing w:val="-2"/>
        </w:rPr>
        <w:t xml:space="preserve"> </w:t>
      </w:r>
      <w:r>
        <w:t>Safe</w:t>
      </w:r>
      <w:r>
        <w:rPr>
          <w:spacing w:val="-2"/>
        </w:rPr>
        <w:t xml:space="preserve"> </w:t>
      </w:r>
      <w:r>
        <w:t>Schools</w:t>
      </w:r>
      <w:r>
        <w:rPr>
          <w:spacing w:val="-3"/>
        </w:rPr>
        <w:t xml:space="preserve"> </w:t>
      </w:r>
      <w:r>
        <w:t>Program</w:t>
      </w:r>
      <w:r>
        <w:rPr>
          <w:spacing w:val="-4"/>
        </w:rPr>
        <w:t xml:space="preserve"> </w:t>
      </w:r>
      <w:r>
        <w:t>for</w:t>
      </w:r>
      <w:r>
        <w:rPr>
          <w:spacing w:val="-3"/>
        </w:rPr>
        <w:t xml:space="preserve"> </w:t>
      </w:r>
      <w:r>
        <w:t>LGBTQ</w:t>
      </w:r>
      <w:r>
        <w:rPr>
          <w:spacing w:val="-2"/>
        </w:rPr>
        <w:t xml:space="preserve"> </w:t>
      </w:r>
      <w:r>
        <w:t>Students</w:t>
      </w:r>
      <w:hyperlink w:anchor="_bookmark147" w:history="1">
        <w:r>
          <w:t>.</w:t>
        </w:r>
        <w:r>
          <w:rPr>
            <w:vertAlign w:val="superscript"/>
          </w:rPr>
          <w:t>56</w:t>
        </w:r>
        <w:r>
          <w:rPr>
            <w:spacing w:val="-1"/>
          </w:rPr>
          <w:t xml:space="preserve"> </w:t>
        </w:r>
      </w:hyperlink>
      <w:r>
        <w:t>The</w:t>
      </w:r>
      <w:r>
        <w:rPr>
          <w:spacing w:val="-2"/>
        </w:rPr>
        <w:t xml:space="preserve"> </w:t>
      </w:r>
      <w:r>
        <w:t>results</w:t>
      </w:r>
      <w:r>
        <w:rPr>
          <w:spacing w:val="-2"/>
        </w:rPr>
        <w:t xml:space="preserve"> </w:t>
      </w:r>
      <w:r>
        <w:t>state</w:t>
      </w:r>
      <w:r>
        <w:rPr>
          <w:spacing w:val="-2"/>
        </w:rPr>
        <w:t xml:space="preserve"> </w:t>
      </w:r>
      <w:r>
        <w:t>that</w:t>
      </w:r>
      <w:r>
        <w:rPr>
          <w:spacing w:val="-3"/>
        </w:rPr>
        <w:t xml:space="preserve"> </w:t>
      </w:r>
      <w:r>
        <w:t>schools that</w:t>
      </w:r>
      <w:r>
        <w:rPr>
          <w:spacing w:val="31"/>
        </w:rPr>
        <w:t xml:space="preserve"> </w:t>
      </w:r>
      <w:r>
        <w:t>receive</w:t>
      </w:r>
      <w:r>
        <w:rPr>
          <w:spacing w:val="34"/>
        </w:rPr>
        <w:t xml:space="preserve"> </w:t>
      </w:r>
      <w:r>
        <w:t>training</w:t>
      </w:r>
      <w:r>
        <w:rPr>
          <w:spacing w:val="31"/>
        </w:rPr>
        <w:t xml:space="preserve"> </w:t>
      </w:r>
      <w:r>
        <w:t>from</w:t>
      </w:r>
      <w:r>
        <w:rPr>
          <w:spacing w:val="32"/>
        </w:rPr>
        <w:t xml:space="preserve"> </w:t>
      </w:r>
      <w:r>
        <w:t>the</w:t>
      </w:r>
      <w:r>
        <w:rPr>
          <w:spacing w:val="32"/>
        </w:rPr>
        <w:t xml:space="preserve"> </w:t>
      </w:r>
      <w:r>
        <w:t>Safe</w:t>
      </w:r>
      <w:r>
        <w:rPr>
          <w:spacing w:val="31"/>
        </w:rPr>
        <w:t xml:space="preserve"> </w:t>
      </w:r>
      <w:r>
        <w:t>Schools</w:t>
      </w:r>
      <w:r>
        <w:rPr>
          <w:spacing w:val="31"/>
        </w:rPr>
        <w:t xml:space="preserve"> </w:t>
      </w:r>
      <w:r>
        <w:t>Program</w:t>
      </w:r>
      <w:r>
        <w:rPr>
          <w:spacing w:val="30"/>
        </w:rPr>
        <w:t xml:space="preserve"> </w:t>
      </w:r>
      <w:r>
        <w:t>for</w:t>
      </w:r>
      <w:r>
        <w:rPr>
          <w:spacing w:val="30"/>
        </w:rPr>
        <w:t xml:space="preserve"> </w:t>
      </w:r>
      <w:r>
        <w:t>LGBTQ</w:t>
      </w:r>
      <w:r>
        <w:rPr>
          <w:spacing w:val="32"/>
        </w:rPr>
        <w:t xml:space="preserve"> </w:t>
      </w:r>
      <w:r>
        <w:t>Students</w:t>
      </w:r>
      <w:r>
        <w:rPr>
          <w:spacing w:val="32"/>
        </w:rPr>
        <w:t xml:space="preserve"> </w:t>
      </w:r>
      <w:r>
        <w:t>have</w:t>
      </w:r>
      <w:r>
        <w:rPr>
          <w:spacing w:val="30"/>
        </w:rPr>
        <w:t xml:space="preserve"> </w:t>
      </w:r>
      <w:r>
        <w:t>more</w:t>
      </w:r>
      <w:r>
        <w:rPr>
          <w:spacing w:val="31"/>
        </w:rPr>
        <w:t xml:space="preserve"> </w:t>
      </w:r>
      <w:r>
        <w:t>positive</w:t>
      </w:r>
      <w:r>
        <w:rPr>
          <w:spacing w:val="30"/>
        </w:rPr>
        <w:t xml:space="preserve"> </w:t>
      </w:r>
      <w:r>
        <w:t>“sexual</w:t>
      </w:r>
    </w:p>
    <w:p w:rsidR="00C76E6D" w:rsidRDefault="00C76E6D">
      <w:pPr>
        <w:spacing w:line="276" w:lineRule="auto"/>
        <w:jc w:val="both"/>
        <w:sectPr w:rsidR="00C76E6D">
          <w:pgSz w:w="12240" w:h="15840"/>
          <w:pgMar w:top="960" w:right="960" w:bottom="860" w:left="960" w:header="760" w:footer="679" w:gutter="0"/>
          <w:cols w:space="720"/>
        </w:sectPr>
      </w:pPr>
    </w:p>
    <w:p w:rsidR="00C76E6D" w:rsidRDefault="00C76E6D">
      <w:pPr>
        <w:pStyle w:val="BodyText"/>
        <w:rPr>
          <w:sz w:val="20"/>
        </w:rPr>
      </w:pPr>
    </w:p>
    <w:p w:rsidR="00C76E6D" w:rsidRDefault="00C76E6D">
      <w:pPr>
        <w:pStyle w:val="BodyText"/>
        <w:spacing w:before="7"/>
        <w:rPr>
          <w:sz w:val="17"/>
        </w:rPr>
      </w:pPr>
    </w:p>
    <w:p w:rsidR="00C76E6D" w:rsidRDefault="00913831">
      <w:pPr>
        <w:pStyle w:val="BodyText"/>
        <w:spacing w:line="276" w:lineRule="auto"/>
        <w:ind w:left="479" w:right="476" w:hanging="1"/>
        <w:jc w:val="both"/>
      </w:pPr>
      <w:r>
        <w:t>diversity</w:t>
      </w:r>
      <w:r>
        <w:rPr>
          <w:spacing w:val="-6"/>
        </w:rPr>
        <w:t xml:space="preserve"> </w:t>
      </w:r>
      <w:r>
        <w:t>climates,”</w:t>
      </w:r>
      <w:r>
        <w:rPr>
          <w:spacing w:val="-6"/>
        </w:rPr>
        <w:t xml:space="preserve"> </w:t>
      </w:r>
      <w:r>
        <w:t>meaning</w:t>
      </w:r>
      <w:r>
        <w:rPr>
          <w:spacing w:val="-7"/>
        </w:rPr>
        <w:t xml:space="preserve"> </w:t>
      </w:r>
      <w:r>
        <w:t>greater</w:t>
      </w:r>
      <w:r>
        <w:rPr>
          <w:spacing w:val="-5"/>
        </w:rPr>
        <w:t xml:space="preserve"> </w:t>
      </w:r>
      <w:r>
        <w:t>tolerance</w:t>
      </w:r>
      <w:r>
        <w:rPr>
          <w:spacing w:val="-7"/>
        </w:rPr>
        <w:t xml:space="preserve"> </w:t>
      </w:r>
      <w:r>
        <w:t>and</w:t>
      </w:r>
      <w:r>
        <w:rPr>
          <w:spacing w:val="-7"/>
        </w:rPr>
        <w:t xml:space="preserve"> </w:t>
      </w:r>
      <w:r>
        <w:t>lower</w:t>
      </w:r>
      <w:r>
        <w:rPr>
          <w:spacing w:val="-6"/>
        </w:rPr>
        <w:t xml:space="preserve"> </w:t>
      </w:r>
      <w:r>
        <w:t>sexual</w:t>
      </w:r>
      <w:r>
        <w:rPr>
          <w:spacing w:val="-6"/>
        </w:rPr>
        <w:t xml:space="preserve"> </w:t>
      </w:r>
      <w:r>
        <w:t>prejudice.</w:t>
      </w:r>
      <w:r>
        <w:rPr>
          <w:spacing w:val="-7"/>
        </w:rPr>
        <w:t xml:space="preserve"> </w:t>
      </w:r>
      <w:r>
        <w:t>Importantly,</w:t>
      </w:r>
      <w:r>
        <w:rPr>
          <w:spacing w:val="-6"/>
        </w:rPr>
        <w:t xml:space="preserve"> </w:t>
      </w:r>
      <w:r>
        <w:t>students</w:t>
      </w:r>
      <w:r>
        <w:rPr>
          <w:spacing w:val="-6"/>
        </w:rPr>
        <w:t xml:space="preserve"> </w:t>
      </w:r>
      <w:r>
        <w:t>at</w:t>
      </w:r>
      <w:r>
        <w:rPr>
          <w:spacing w:val="-7"/>
        </w:rPr>
        <w:t xml:space="preserve"> </w:t>
      </w:r>
      <w:r>
        <w:t>these schools</w:t>
      </w:r>
      <w:r>
        <w:rPr>
          <w:spacing w:val="-5"/>
        </w:rPr>
        <w:t xml:space="preserve"> </w:t>
      </w:r>
      <w:r>
        <w:t>report</w:t>
      </w:r>
      <w:r>
        <w:rPr>
          <w:spacing w:val="-6"/>
        </w:rPr>
        <w:t xml:space="preserve"> </w:t>
      </w:r>
      <w:r>
        <w:t>feeling</w:t>
      </w:r>
      <w:r>
        <w:rPr>
          <w:spacing w:val="-3"/>
        </w:rPr>
        <w:t xml:space="preserve"> </w:t>
      </w:r>
      <w:r>
        <w:t>more</w:t>
      </w:r>
      <w:r>
        <w:rPr>
          <w:spacing w:val="-6"/>
        </w:rPr>
        <w:t xml:space="preserve"> </w:t>
      </w:r>
      <w:r>
        <w:t>supported</w:t>
      </w:r>
      <w:r>
        <w:rPr>
          <w:spacing w:val="-3"/>
        </w:rPr>
        <w:t xml:space="preserve"> </w:t>
      </w:r>
      <w:r>
        <w:t>by</w:t>
      </w:r>
      <w:r>
        <w:rPr>
          <w:spacing w:val="-4"/>
        </w:rPr>
        <w:t xml:space="preserve"> </w:t>
      </w:r>
      <w:r>
        <w:t>teachers</w:t>
      </w:r>
      <w:r>
        <w:rPr>
          <w:spacing w:val="-5"/>
        </w:rPr>
        <w:t xml:space="preserve"> </w:t>
      </w:r>
      <w:r>
        <w:t>and</w:t>
      </w:r>
      <w:r>
        <w:rPr>
          <w:spacing w:val="-4"/>
        </w:rPr>
        <w:t xml:space="preserve"> </w:t>
      </w:r>
      <w:r>
        <w:t>counselors</w:t>
      </w:r>
      <w:r>
        <w:rPr>
          <w:spacing w:val="-5"/>
        </w:rPr>
        <w:t xml:space="preserve"> </w:t>
      </w:r>
      <w:r>
        <w:t>and</w:t>
      </w:r>
      <w:r>
        <w:rPr>
          <w:spacing w:val="-4"/>
        </w:rPr>
        <w:t xml:space="preserve"> </w:t>
      </w:r>
      <w:r>
        <w:t>believe</w:t>
      </w:r>
      <w:r>
        <w:rPr>
          <w:spacing w:val="-1"/>
        </w:rPr>
        <w:t xml:space="preserve"> </w:t>
      </w:r>
      <w:r>
        <w:t>their</w:t>
      </w:r>
      <w:r>
        <w:rPr>
          <w:spacing w:val="-4"/>
        </w:rPr>
        <w:t xml:space="preserve"> </w:t>
      </w:r>
      <w:r>
        <w:t>school</w:t>
      </w:r>
      <w:r>
        <w:rPr>
          <w:spacing w:val="-4"/>
        </w:rPr>
        <w:t xml:space="preserve"> </w:t>
      </w:r>
      <w:r>
        <w:t>is</w:t>
      </w:r>
      <w:r>
        <w:rPr>
          <w:spacing w:val="-5"/>
        </w:rPr>
        <w:t xml:space="preserve"> </w:t>
      </w:r>
      <w:r>
        <w:t>safer</w:t>
      </w:r>
      <w:r>
        <w:rPr>
          <w:spacing w:val="-5"/>
        </w:rPr>
        <w:t xml:space="preserve"> </w:t>
      </w:r>
      <w:r>
        <w:t>with</w:t>
      </w:r>
      <w:r>
        <w:rPr>
          <w:spacing w:val="-3"/>
        </w:rPr>
        <w:t xml:space="preserve"> </w:t>
      </w:r>
      <w:r>
        <w:t>a less sexually prejudiced environment. This is the only study reviewed that measures the effectiveness of professional development trainings from the perspective of s</w:t>
      </w:r>
      <w:r>
        <w:t>tudents.</w:t>
      </w:r>
    </w:p>
    <w:p w:rsidR="00C76E6D" w:rsidRDefault="00C76E6D">
      <w:pPr>
        <w:pStyle w:val="BodyText"/>
        <w:rPr>
          <w:sz w:val="27"/>
        </w:rPr>
      </w:pPr>
    </w:p>
    <w:p w:rsidR="00C76E6D" w:rsidRDefault="00913831">
      <w:pPr>
        <w:pStyle w:val="Heading7"/>
        <w:numPr>
          <w:ilvl w:val="1"/>
          <w:numId w:val="45"/>
        </w:numPr>
        <w:tabs>
          <w:tab w:val="left" w:pos="1416"/>
        </w:tabs>
        <w:ind w:left="1416" w:hanging="218"/>
      </w:pPr>
      <w:bookmarkStart w:id="189" w:name="e._Lessons_Learned"/>
      <w:bookmarkEnd w:id="189"/>
      <w:r>
        <w:rPr>
          <w:w w:val="95"/>
        </w:rPr>
        <w:t>Lessons</w:t>
      </w:r>
      <w:r>
        <w:rPr>
          <w:spacing w:val="14"/>
        </w:rPr>
        <w:t xml:space="preserve"> </w:t>
      </w:r>
      <w:r>
        <w:rPr>
          <w:spacing w:val="-2"/>
        </w:rPr>
        <w:t>Learned</w:t>
      </w:r>
    </w:p>
    <w:p w:rsidR="00C76E6D" w:rsidRDefault="00C76E6D">
      <w:pPr>
        <w:pStyle w:val="BodyText"/>
        <w:spacing w:before="9"/>
        <w:rPr>
          <w:b/>
          <w:i/>
          <w:sz w:val="31"/>
        </w:rPr>
      </w:pPr>
    </w:p>
    <w:p w:rsidR="00C76E6D" w:rsidRDefault="00913831">
      <w:pPr>
        <w:pStyle w:val="BodyText"/>
        <w:spacing w:before="1" w:line="276" w:lineRule="auto"/>
        <w:ind w:left="479" w:right="474" w:hanging="1"/>
        <w:jc w:val="both"/>
      </w:pPr>
      <w:r>
        <w:t>Overall,</w:t>
      </w:r>
      <w:r>
        <w:rPr>
          <w:spacing w:val="-13"/>
        </w:rPr>
        <w:t xml:space="preserve"> </w:t>
      </w:r>
      <w:r>
        <w:t>the</w:t>
      </w:r>
      <w:r>
        <w:rPr>
          <w:spacing w:val="-12"/>
        </w:rPr>
        <w:t xml:space="preserve"> </w:t>
      </w:r>
      <w:r>
        <w:t>literature</w:t>
      </w:r>
      <w:r>
        <w:rPr>
          <w:spacing w:val="-13"/>
        </w:rPr>
        <w:t xml:space="preserve"> </w:t>
      </w:r>
      <w:r>
        <w:t>emphasizes</w:t>
      </w:r>
      <w:r>
        <w:rPr>
          <w:spacing w:val="-12"/>
        </w:rPr>
        <w:t xml:space="preserve"> </w:t>
      </w:r>
      <w:r>
        <w:t>positive</w:t>
      </w:r>
      <w:r>
        <w:rPr>
          <w:spacing w:val="-13"/>
        </w:rPr>
        <w:t xml:space="preserve"> </w:t>
      </w:r>
      <w:r>
        <w:t>results</w:t>
      </w:r>
      <w:r>
        <w:rPr>
          <w:spacing w:val="-12"/>
        </w:rPr>
        <w:t xml:space="preserve"> </w:t>
      </w:r>
      <w:r>
        <w:t>of</w:t>
      </w:r>
      <w:r>
        <w:rPr>
          <w:spacing w:val="-13"/>
        </w:rPr>
        <w:t xml:space="preserve"> </w:t>
      </w:r>
      <w:r>
        <w:t>professional</w:t>
      </w:r>
      <w:r>
        <w:rPr>
          <w:spacing w:val="-12"/>
        </w:rPr>
        <w:t xml:space="preserve"> </w:t>
      </w:r>
      <w:r>
        <w:t>development</w:t>
      </w:r>
      <w:r>
        <w:rPr>
          <w:spacing w:val="-12"/>
        </w:rPr>
        <w:t xml:space="preserve"> </w:t>
      </w:r>
      <w:r>
        <w:t>trainings</w:t>
      </w:r>
      <w:r>
        <w:rPr>
          <w:spacing w:val="-13"/>
        </w:rPr>
        <w:t xml:space="preserve"> </w:t>
      </w:r>
      <w:r>
        <w:t>in</w:t>
      </w:r>
      <w:r>
        <w:rPr>
          <w:spacing w:val="-12"/>
        </w:rPr>
        <w:t xml:space="preserve"> </w:t>
      </w:r>
      <w:r>
        <w:t>schools</w:t>
      </w:r>
      <w:r>
        <w:rPr>
          <w:spacing w:val="-13"/>
        </w:rPr>
        <w:t xml:space="preserve"> </w:t>
      </w:r>
      <w:r>
        <w:t>around LGBTQ topics. However, researchers offer lessons learned and recommendations to improve LGBTQ trainings and the methods used to collect data on their effectiveness. These include:</w:t>
      </w:r>
    </w:p>
    <w:p w:rsidR="00C76E6D" w:rsidRDefault="00C76E6D">
      <w:pPr>
        <w:pStyle w:val="BodyText"/>
        <w:rPr>
          <w:sz w:val="27"/>
        </w:rPr>
      </w:pPr>
    </w:p>
    <w:p w:rsidR="00C76E6D" w:rsidRDefault="00913831">
      <w:pPr>
        <w:pStyle w:val="ListParagraph"/>
        <w:numPr>
          <w:ilvl w:val="0"/>
          <w:numId w:val="43"/>
        </w:numPr>
        <w:tabs>
          <w:tab w:val="left" w:pos="1127"/>
        </w:tabs>
        <w:spacing w:line="271" w:lineRule="auto"/>
        <w:ind w:right="765"/>
        <w:jc w:val="both"/>
      </w:pPr>
      <w:r>
        <w:rPr>
          <w:b/>
        </w:rPr>
        <w:t>More observational data and self-reported data from students are nee</w:t>
      </w:r>
      <w:r>
        <w:rPr>
          <w:b/>
        </w:rPr>
        <w:t xml:space="preserve">ded. </w:t>
      </w:r>
      <w:r>
        <w:t>The existing studies mostly rely on self-reported, quantitative survey data from school staff participants.</w:t>
      </w:r>
    </w:p>
    <w:p w:rsidR="00C76E6D" w:rsidRDefault="00913831">
      <w:pPr>
        <w:pStyle w:val="ListParagraph"/>
        <w:numPr>
          <w:ilvl w:val="0"/>
          <w:numId w:val="43"/>
        </w:numPr>
        <w:tabs>
          <w:tab w:val="left" w:pos="1127"/>
        </w:tabs>
        <w:spacing w:before="8" w:line="276" w:lineRule="auto"/>
        <w:ind w:left="1125" w:right="763"/>
        <w:jc w:val="both"/>
      </w:pPr>
      <w:r>
        <w:rPr>
          <w:b/>
        </w:rPr>
        <w:t>More longitudinal studies are needed to</w:t>
      </w:r>
      <w:r>
        <w:rPr>
          <w:b/>
          <w:spacing w:val="-1"/>
        </w:rPr>
        <w:t xml:space="preserve"> </w:t>
      </w:r>
      <w:r>
        <w:rPr>
          <w:b/>
        </w:rPr>
        <w:t>measure the</w:t>
      </w:r>
      <w:r>
        <w:rPr>
          <w:b/>
          <w:spacing w:val="-1"/>
        </w:rPr>
        <w:t xml:space="preserve"> </w:t>
      </w:r>
      <w:r>
        <w:rPr>
          <w:b/>
        </w:rPr>
        <w:t>long-term, sustained</w:t>
      </w:r>
      <w:r>
        <w:rPr>
          <w:b/>
          <w:spacing w:val="-1"/>
        </w:rPr>
        <w:t xml:space="preserve"> </w:t>
      </w:r>
      <w:r>
        <w:rPr>
          <w:b/>
        </w:rPr>
        <w:t>effects of LGBTQ trainings</w:t>
      </w:r>
      <w:r>
        <w:rPr>
          <w:b/>
          <w:spacing w:val="-1"/>
        </w:rPr>
        <w:t xml:space="preserve"> </w:t>
      </w:r>
      <w:r>
        <w:rPr>
          <w:b/>
        </w:rPr>
        <w:t>in</w:t>
      </w:r>
      <w:r>
        <w:rPr>
          <w:b/>
          <w:spacing w:val="-1"/>
        </w:rPr>
        <w:t xml:space="preserve"> </w:t>
      </w:r>
      <w:r>
        <w:rPr>
          <w:b/>
        </w:rPr>
        <w:t>schools</w:t>
      </w:r>
      <w:hyperlink w:anchor="_bookmark148" w:history="1">
        <w:r>
          <w:t>.</w:t>
        </w:r>
        <w:r>
          <w:rPr>
            <w:vertAlign w:val="superscript"/>
          </w:rPr>
          <w:t>57</w:t>
        </w:r>
        <w:r>
          <w:rPr>
            <w:spacing w:val="-3"/>
          </w:rPr>
          <w:t xml:space="preserve"> </w:t>
        </w:r>
      </w:hyperlink>
      <w:r>
        <w:t>Most</w:t>
      </w:r>
      <w:r>
        <w:rPr>
          <w:spacing w:val="-5"/>
        </w:rPr>
        <w:t xml:space="preserve"> </w:t>
      </w:r>
      <w:r>
        <w:t>of</w:t>
      </w:r>
      <w:r>
        <w:rPr>
          <w:spacing w:val="-3"/>
        </w:rPr>
        <w:t xml:space="preserve"> </w:t>
      </w:r>
      <w:r>
        <w:t>the</w:t>
      </w:r>
      <w:r>
        <w:rPr>
          <w:spacing w:val="-3"/>
        </w:rPr>
        <w:t xml:space="preserve"> </w:t>
      </w:r>
      <w:r>
        <w:t>studies</w:t>
      </w:r>
      <w:r>
        <w:rPr>
          <w:spacing w:val="-4"/>
        </w:rPr>
        <w:t xml:space="preserve"> </w:t>
      </w:r>
      <w:r>
        <w:t>collect</w:t>
      </w:r>
      <w:r>
        <w:rPr>
          <w:spacing w:val="-4"/>
        </w:rPr>
        <w:t xml:space="preserve"> </w:t>
      </w:r>
      <w:r>
        <w:t>data</w:t>
      </w:r>
      <w:r>
        <w:rPr>
          <w:spacing w:val="-4"/>
        </w:rPr>
        <w:t xml:space="preserve"> </w:t>
      </w:r>
      <w:r>
        <w:t>before</w:t>
      </w:r>
      <w:r>
        <w:rPr>
          <w:spacing w:val="-3"/>
        </w:rPr>
        <w:t xml:space="preserve"> </w:t>
      </w:r>
      <w:r>
        <w:t>the</w:t>
      </w:r>
      <w:r>
        <w:rPr>
          <w:spacing w:val="-2"/>
        </w:rPr>
        <w:t xml:space="preserve"> </w:t>
      </w:r>
      <w:r>
        <w:t>training</w:t>
      </w:r>
      <w:r>
        <w:rPr>
          <w:spacing w:val="-4"/>
        </w:rPr>
        <w:t xml:space="preserve"> </w:t>
      </w:r>
      <w:r>
        <w:t>at</w:t>
      </w:r>
      <w:r>
        <w:rPr>
          <w:spacing w:val="-2"/>
        </w:rPr>
        <w:t xml:space="preserve"> </w:t>
      </w:r>
      <w:r>
        <w:t>baseline</w:t>
      </w:r>
      <w:r>
        <w:rPr>
          <w:spacing w:val="-4"/>
        </w:rPr>
        <w:t xml:space="preserve"> </w:t>
      </w:r>
      <w:r>
        <w:t>and</w:t>
      </w:r>
      <w:r>
        <w:rPr>
          <w:spacing w:val="-4"/>
        </w:rPr>
        <w:t xml:space="preserve"> </w:t>
      </w:r>
      <w:r>
        <w:t>soon after the training.</w:t>
      </w:r>
    </w:p>
    <w:p w:rsidR="00C76E6D" w:rsidRDefault="00913831">
      <w:pPr>
        <w:pStyle w:val="ListParagraph"/>
        <w:numPr>
          <w:ilvl w:val="0"/>
          <w:numId w:val="43"/>
        </w:numPr>
        <w:tabs>
          <w:tab w:val="left" w:pos="1127"/>
        </w:tabs>
        <w:spacing w:before="1" w:line="276" w:lineRule="auto"/>
        <w:ind w:right="765"/>
        <w:jc w:val="both"/>
      </w:pPr>
      <w:r>
        <w:rPr>
          <w:b/>
        </w:rPr>
        <w:t>Trainings are too short and</w:t>
      </w:r>
      <w:r>
        <w:rPr>
          <w:b/>
          <w:spacing w:val="-2"/>
        </w:rPr>
        <w:t xml:space="preserve"> </w:t>
      </w:r>
      <w:r>
        <w:rPr>
          <w:b/>
        </w:rPr>
        <w:t>infrequent</w:t>
      </w:r>
      <w:r>
        <w:t>.</w:t>
      </w:r>
      <w:r>
        <w:rPr>
          <w:spacing w:val="-3"/>
        </w:rPr>
        <w:t xml:space="preserve"> </w:t>
      </w:r>
      <w:r>
        <w:t>Throughout</w:t>
      </w:r>
      <w:r>
        <w:rPr>
          <w:spacing w:val="-2"/>
        </w:rPr>
        <w:t xml:space="preserve"> </w:t>
      </w:r>
      <w:r>
        <w:t>the</w:t>
      </w:r>
      <w:r>
        <w:rPr>
          <w:spacing w:val="-4"/>
        </w:rPr>
        <w:t xml:space="preserve"> </w:t>
      </w:r>
      <w:r>
        <w:t>literature,</w:t>
      </w:r>
      <w:r>
        <w:rPr>
          <w:spacing w:val="-5"/>
        </w:rPr>
        <w:t xml:space="preserve"> </w:t>
      </w:r>
      <w:r>
        <w:t>school</w:t>
      </w:r>
      <w:r>
        <w:rPr>
          <w:spacing w:val="-4"/>
        </w:rPr>
        <w:t xml:space="preserve"> </w:t>
      </w:r>
      <w:r>
        <w:t>staff</w:t>
      </w:r>
      <w:r>
        <w:rPr>
          <w:spacing w:val="-1"/>
        </w:rPr>
        <w:t xml:space="preserve"> </w:t>
      </w:r>
      <w:r>
        <w:t>claim</w:t>
      </w:r>
      <w:r>
        <w:rPr>
          <w:spacing w:val="-3"/>
        </w:rPr>
        <w:t xml:space="preserve"> </w:t>
      </w:r>
      <w:r>
        <w:t>that</w:t>
      </w:r>
      <w:r>
        <w:rPr>
          <w:spacing w:val="-3"/>
        </w:rPr>
        <w:t xml:space="preserve"> </w:t>
      </w:r>
      <w:r>
        <w:t>they need more training, knowledge, and skills (especially to addres</w:t>
      </w:r>
      <w:r>
        <w:t>s anti-LGBTQ bullying and harassment)</w:t>
      </w:r>
      <w:hyperlink w:anchor="_bookmark149" w:history="1">
        <w:r>
          <w:t>.</w:t>
        </w:r>
        <w:r>
          <w:rPr>
            <w:vertAlign w:val="superscript"/>
          </w:rPr>
          <w:t>58</w:t>
        </w:r>
      </w:hyperlink>
      <w:r>
        <w:t xml:space="preserve"> Some of the training outcomes — increased empathy and awareness — diminished during the follow-up evaluations</w:t>
      </w:r>
      <w:hyperlink w:anchor="_bookmark150" w:history="1">
        <w:r>
          <w:t>.</w:t>
        </w:r>
        <w:r>
          <w:rPr>
            <w:vertAlign w:val="superscript"/>
          </w:rPr>
          <w:t>59</w:t>
        </w:r>
      </w:hyperlink>
    </w:p>
    <w:p w:rsidR="00C76E6D" w:rsidRDefault="00913831">
      <w:pPr>
        <w:pStyle w:val="ListParagraph"/>
        <w:numPr>
          <w:ilvl w:val="0"/>
          <w:numId w:val="43"/>
        </w:numPr>
        <w:tabs>
          <w:tab w:val="left" w:pos="1128"/>
        </w:tabs>
        <w:spacing w:line="276" w:lineRule="auto"/>
        <w:ind w:left="1127" w:right="761"/>
        <w:jc w:val="both"/>
      </w:pPr>
      <w:r>
        <w:rPr>
          <w:b/>
        </w:rPr>
        <w:t>Trainings should have a broader focus than bullying and health risks</w:t>
      </w:r>
      <w:r>
        <w:t>. Framing LGBTQ issues as “risk” issues rather than “equity” issues can mark students as “victims” or “problems” instead of valued members of their school culture</w:t>
      </w:r>
      <w:hyperlink w:anchor="_bookmark151" w:history="1">
        <w:r>
          <w:t>.</w:t>
        </w:r>
        <w:r>
          <w:rPr>
            <w:vertAlign w:val="superscript"/>
          </w:rPr>
          <w:t>60</w:t>
        </w:r>
      </w:hyperlink>
      <w:r>
        <w:rPr>
          <w:spacing w:val="34"/>
        </w:rPr>
        <w:t xml:space="preserve"> </w:t>
      </w:r>
      <w:r>
        <w:t>It’s important to portray positive</w:t>
      </w:r>
      <w:r>
        <w:rPr>
          <w:spacing w:val="-3"/>
        </w:rPr>
        <w:t xml:space="preserve"> </w:t>
      </w:r>
      <w:r>
        <w:t>aspects of LGBTQ identities as well</w:t>
      </w:r>
      <w:hyperlink w:anchor="_bookmark152" w:history="1">
        <w:r>
          <w:t>.</w:t>
        </w:r>
        <w:r>
          <w:rPr>
            <w:vertAlign w:val="superscript"/>
          </w:rPr>
          <w:t>61</w:t>
        </w:r>
      </w:hyperlink>
    </w:p>
    <w:p w:rsidR="00C76E6D" w:rsidRDefault="00913831">
      <w:pPr>
        <w:pStyle w:val="ListParagraph"/>
        <w:numPr>
          <w:ilvl w:val="0"/>
          <w:numId w:val="43"/>
        </w:numPr>
        <w:tabs>
          <w:tab w:val="left" w:pos="1127"/>
        </w:tabs>
        <w:spacing w:line="276" w:lineRule="auto"/>
        <w:ind w:right="762"/>
        <w:jc w:val="both"/>
      </w:pPr>
      <w:r>
        <w:rPr>
          <w:b/>
        </w:rPr>
        <w:t xml:space="preserve">More trainings are needed to build skills and elicit behavior change. </w:t>
      </w:r>
      <w:r>
        <w:t>Longer, more frequent trainings</w:t>
      </w:r>
      <w:r>
        <w:rPr>
          <w:spacing w:val="-1"/>
        </w:rPr>
        <w:t xml:space="preserve"> </w:t>
      </w:r>
      <w:r>
        <w:t>may</w:t>
      </w:r>
      <w:r>
        <w:rPr>
          <w:spacing w:val="-1"/>
        </w:rPr>
        <w:t xml:space="preserve"> </w:t>
      </w:r>
      <w:r>
        <w:t>be</w:t>
      </w:r>
      <w:r>
        <w:rPr>
          <w:spacing w:val="-2"/>
        </w:rPr>
        <w:t xml:space="preserve"> </w:t>
      </w:r>
      <w:r>
        <w:t>needed</w:t>
      </w:r>
      <w:r>
        <w:rPr>
          <w:spacing w:val="-2"/>
        </w:rPr>
        <w:t xml:space="preserve"> </w:t>
      </w:r>
      <w:r>
        <w:t>to</w:t>
      </w:r>
      <w:r>
        <w:rPr>
          <w:spacing w:val="-2"/>
        </w:rPr>
        <w:t xml:space="preserve"> </w:t>
      </w:r>
      <w:r>
        <w:t>build</w:t>
      </w:r>
      <w:r>
        <w:rPr>
          <w:spacing w:val="-2"/>
        </w:rPr>
        <w:t xml:space="preserve"> </w:t>
      </w:r>
      <w:r>
        <w:t>skills</w:t>
      </w:r>
      <w:r>
        <w:rPr>
          <w:spacing w:val="-1"/>
        </w:rPr>
        <w:t xml:space="preserve"> </w:t>
      </w:r>
      <w:r>
        <w:t>that</w:t>
      </w:r>
      <w:r>
        <w:rPr>
          <w:spacing w:val="-3"/>
        </w:rPr>
        <w:t xml:space="preserve"> </w:t>
      </w:r>
      <w:r>
        <w:t>aff</w:t>
      </w:r>
      <w:r>
        <w:t>ect</w:t>
      </w:r>
      <w:r>
        <w:rPr>
          <w:spacing w:val="-2"/>
        </w:rPr>
        <w:t xml:space="preserve"> </w:t>
      </w:r>
      <w:r>
        <w:t>behavior</w:t>
      </w:r>
      <w:r>
        <w:rPr>
          <w:spacing w:val="-4"/>
        </w:rPr>
        <w:t xml:space="preserve"> </w:t>
      </w:r>
      <w:r>
        <w:t>change.</w:t>
      </w:r>
      <w:hyperlink w:anchor="_bookmark153" w:history="1">
        <w:r>
          <w:rPr>
            <w:vertAlign w:val="superscript"/>
          </w:rPr>
          <w:t>62</w:t>
        </w:r>
        <w:r>
          <w:rPr>
            <w:spacing w:val="-3"/>
          </w:rPr>
          <w:t xml:space="preserve"> </w:t>
        </w:r>
      </w:hyperlink>
      <w:r>
        <w:t>One</w:t>
      </w:r>
      <w:r>
        <w:rPr>
          <w:spacing w:val="-3"/>
        </w:rPr>
        <w:t xml:space="preserve"> </w:t>
      </w:r>
      <w:r>
        <w:t>study</w:t>
      </w:r>
      <w:r>
        <w:rPr>
          <w:spacing w:val="-3"/>
        </w:rPr>
        <w:t xml:space="preserve"> </w:t>
      </w:r>
      <w:r>
        <w:t>correlates</w:t>
      </w:r>
      <w:r>
        <w:rPr>
          <w:spacing w:val="-2"/>
        </w:rPr>
        <w:t xml:space="preserve"> </w:t>
      </w:r>
      <w:r>
        <w:t>this to “the problem of enactment” where “teachers learn and espouse one idea, but continue enacting a different idea, out of habit.”</w:t>
      </w:r>
      <w:hyperlink w:anchor="_bookmark154" w:history="1">
        <w:r>
          <w:rPr>
            <w:vertAlign w:val="superscript"/>
          </w:rPr>
          <w:t>63</w:t>
        </w:r>
      </w:hyperlink>
    </w:p>
    <w:p w:rsidR="00C76E6D" w:rsidRDefault="00913831">
      <w:pPr>
        <w:pStyle w:val="ListParagraph"/>
        <w:numPr>
          <w:ilvl w:val="0"/>
          <w:numId w:val="43"/>
        </w:numPr>
        <w:tabs>
          <w:tab w:val="left" w:pos="1127"/>
        </w:tabs>
        <w:spacing w:line="276" w:lineRule="auto"/>
        <w:ind w:right="763"/>
        <w:jc w:val="both"/>
      </w:pPr>
      <w:r>
        <w:rPr>
          <w:b/>
        </w:rPr>
        <w:t>LGBTQ traini</w:t>
      </w:r>
      <w:r>
        <w:rPr>
          <w:b/>
        </w:rPr>
        <w:t xml:space="preserve">ngs should help school staff self-reflect. </w:t>
      </w:r>
      <w:r>
        <w:t>A handful of researchers urge trainings to focus on participants own views of gender and sexuality — as well as their role in</w:t>
      </w:r>
      <w:r>
        <w:rPr>
          <w:spacing w:val="80"/>
        </w:rPr>
        <w:t xml:space="preserve"> </w:t>
      </w:r>
      <w:r>
        <w:t>upholding systems of inequity towards LGBTQ and gender-nonconforming groups</w:t>
      </w:r>
      <w:hyperlink w:anchor="_bookmark155" w:history="1">
        <w:r>
          <w:t>.</w:t>
        </w:r>
        <w:r>
          <w:rPr>
            <w:vertAlign w:val="superscript"/>
          </w:rPr>
          <w:t>64</w:t>
        </w:r>
      </w:hyperlink>
      <w:r>
        <w:t xml:space="preserve"> More</w:t>
      </w:r>
      <w:r>
        <w:rPr>
          <w:spacing w:val="40"/>
        </w:rPr>
        <w:t xml:space="preserve"> </w:t>
      </w:r>
      <w:r>
        <w:t xml:space="preserve">self-awareness of inclusivity by school personnel is strongly related to efforts to create a safer </w:t>
      </w:r>
      <w:r>
        <w:rPr>
          <w:spacing w:val="-2"/>
        </w:rPr>
        <w:t>school</w:t>
      </w:r>
      <w:hyperlink w:anchor="_bookmark156" w:history="1">
        <w:r>
          <w:rPr>
            <w:spacing w:val="-2"/>
          </w:rPr>
          <w:t>.</w:t>
        </w:r>
        <w:r>
          <w:rPr>
            <w:spacing w:val="-2"/>
            <w:vertAlign w:val="superscript"/>
          </w:rPr>
          <w:t>65</w:t>
        </w:r>
      </w:hyperlink>
    </w:p>
    <w:p w:rsidR="00C76E6D" w:rsidRDefault="00913831">
      <w:pPr>
        <w:pStyle w:val="ListParagraph"/>
        <w:numPr>
          <w:ilvl w:val="0"/>
          <w:numId w:val="43"/>
        </w:numPr>
        <w:tabs>
          <w:tab w:val="left" w:pos="1127"/>
        </w:tabs>
        <w:spacing w:line="276" w:lineRule="auto"/>
        <w:ind w:right="763"/>
        <w:jc w:val="both"/>
      </w:pPr>
      <w:r>
        <w:rPr>
          <w:b/>
        </w:rPr>
        <w:t xml:space="preserve">Research highlights successful components of LGBTQ trainings. </w:t>
      </w:r>
      <w:r>
        <w:t>These include videos or discussions with local students or staff who identify as LGBTQ, small group interactions and reflection,</w:t>
      </w:r>
      <w:r>
        <w:rPr>
          <w:spacing w:val="-10"/>
        </w:rPr>
        <w:t xml:space="preserve"> </w:t>
      </w:r>
      <w:r>
        <w:t>and</w:t>
      </w:r>
      <w:r>
        <w:rPr>
          <w:spacing w:val="-13"/>
        </w:rPr>
        <w:t xml:space="preserve"> </w:t>
      </w:r>
      <w:r>
        <w:t>experimental</w:t>
      </w:r>
      <w:r>
        <w:rPr>
          <w:spacing w:val="-12"/>
        </w:rPr>
        <w:t xml:space="preserve"> </w:t>
      </w:r>
      <w:r>
        <w:t>learning</w:t>
      </w:r>
      <w:r>
        <w:rPr>
          <w:spacing w:val="-10"/>
        </w:rPr>
        <w:t xml:space="preserve"> </w:t>
      </w:r>
      <w:r>
        <w:t>(e.g.,</w:t>
      </w:r>
      <w:r>
        <w:rPr>
          <w:spacing w:val="-12"/>
        </w:rPr>
        <w:t xml:space="preserve"> </w:t>
      </w:r>
      <w:r>
        <w:t>using</w:t>
      </w:r>
      <w:r>
        <w:rPr>
          <w:spacing w:val="-11"/>
        </w:rPr>
        <w:t xml:space="preserve"> </w:t>
      </w:r>
      <w:r>
        <w:t>case</w:t>
      </w:r>
      <w:r>
        <w:rPr>
          <w:spacing w:val="-10"/>
        </w:rPr>
        <w:t xml:space="preserve"> </w:t>
      </w:r>
      <w:r>
        <w:t>studies,</w:t>
      </w:r>
      <w:r>
        <w:rPr>
          <w:spacing w:val="-12"/>
        </w:rPr>
        <w:t xml:space="preserve"> </w:t>
      </w:r>
      <w:r>
        <w:t>scenarios,</w:t>
      </w:r>
      <w:r>
        <w:rPr>
          <w:spacing w:val="-12"/>
        </w:rPr>
        <w:t xml:space="preserve"> </w:t>
      </w:r>
      <w:r>
        <w:t>or</w:t>
      </w:r>
      <w:r>
        <w:rPr>
          <w:spacing w:val="-12"/>
        </w:rPr>
        <w:t xml:space="preserve"> </w:t>
      </w:r>
      <w:r>
        <w:t>role</w:t>
      </w:r>
      <w:r>
        <w:rPr>
          <w:spacing w:val="-12"/>
        </w:rPr>
        <w:t xml:space="preserve"> </w:t>
      </w:r>
      <w:r>
        <w:t>play</w:t>
      </w:r>
      <w:r>
        <w:rPr>
          <w:spacing w:val="-12"/>
        </w:rPr>
        <w:t xml:space="preserve"> </w:t>
      </w:r>
      <w:r>
        <w:t>to</w:t>
      </w:r>
      <w:r>
        <w:rPr>
          <w:spacing w:val="-11"/>
        </w:rPr>
        <w:t xml:space="preserve"> </w:t>
      </w:r>
      <w:r>
        <w:t>practice responding to anti-LGBTQ behavior)</w:t>
      </w:r>
      <w:hyperlink w:anchor="_bookmark157" w:history="1">
        <w:r>
          <w:t>.</w:t>
        </w:r>
        <w:r>
          <w:rPr>
            <w:vertAlign w:val="superscript"/>
          </w:rPr>
          <w:t>66</w:t>
        </w:r>
      </w:hyperlink>
    </w:p>
    <w:p w:rsidR="00C76E6D" w:rsidRDefault="00913831">
      <w:pPr>
        <w:pStyle w:val="ListParagraph"/>
        <w:numPr>
          <w:ilvl w:val="0"/>
          <w:numId w:val="43"/>
        </w:numPr>
        <w:tabs>
          <w:tab w:val="left" w:pos="1127"/>
        </w:tabs>
        <w:spacing w:line="276" w:lineRule="auto"/>
        <w:ind w:right="763"/>
        <w:jc w:val="both"/>
      </w:pPr>
      <w:r>
        <w:rPr>
          <w:b/>
        </w:rPr>
        <w:t>Customize</w:t>
      </w:r>
      <w:r>
        <w:rPr>
          <w:b/>
          <w:spacing w:val="-13"/>
        </w:rPr>
        <w:t xml:space="preserve"> </w:t>
      </w:r>
      <w:r>
        <w:rPr>
          <w:b/>
        </w:rPr>
        <w:t>trainings</w:t>
      </w:r>
      <w:r>
        <w:rPr>
          <w:b/>
          <w:spacing w:val="-11"/>
        </w:rPr>
        <w:t xml:space="preserve"> </w:t>
      </w:r>
      <w:r>
        <w:rPr>
          <w:b/>
        </w:rPr>
        <w:t>for</w:t>
      </w:r>
      <w:r>
        <w:rPr>
          <w:b/>
          <w:spacing w:val="-9"/>
        </w:rPr>
        <w:t xml:space="preserve"> </w:t>
      </w:r>
      <w:r>
        <w:rPr>
          <w:b/>
        </w:rPr>
        <w:t>specific</w:t>
      </w:r>
      <w:r>
        <w:rPr>
          <w:b/>
          <w:spacing w:val="-11"/>
        </w:rPr>
        <w:t xml:space="preserve"> </w:t>
      </w:r>
      <w:r>
        <w:rPr>
          <w:b/>
        </w:rPr>
        <w:t>audiences.</w:t>
      </w:r>
      <w:r>
        <w:rPr>
          <w:b/>
          <w:spacing w:val="-11"/>
        </w:rPr>
        <w:t xml:space="preserve"> </w:t>
      </w:r>
      <w:r>
        <w:t>In</w:t>
      </w:r>
      <w:r>
        <w:rPr>
          <w:spacing w:val="-13"/>
        </w:rPr>
        <w:t xml:space="preserve"> </w:t>
      </w:r>
      <w:r>
        <w:t>order</w:t>
      </w:r>
      <w:r>
        <w:rPr>
          <w:spacing w:val="-11"/>
        </w:rPr>
        <w:t xml:space="preserve"> </w:t>
      </w:r>
      <w:r>
        <w:t>to</w:t>
      </w:r>
      <w:r>
        <w:rPr>
          <w:spacing w:val="-13"/>
        </w:rPr>
        <w:t xml:space="preserve"> </w:t>
      </w:r>
      <w:r>
        <w:t>have</w:t>
      </w:r>
      <w:r>
        <w:rPr>
          <w:spacing w:val="-12"/>
        </w:rPr>
        <w:t xml:space="preserve"> </w:t>
      </w:r>
      <w:r>
        <w:t>an</w:t>
      </w:r>
      <w:r>
        <w:rPr>
          <w:spacing w:val="-13"/>
        </w:rPr>
        <w:t xml:space="preserve"> </w:t>
      </w:r>
      <w:r>
        <w:t>impact</w:t>
      </w:r>
      <w:r>
        <w:rPr>
          <w:spacing w:val="-12"/>
        </w:rPr>
        <w:t xml:space="preserve"> </w:t>
      </w:r>
      <w:r>
        <w:t>on</w:t>
      </w:r>
      <w:r>
        <w:rPr>
          <w:spacing w:val="-13"/>
        </w:rPr>
        <w:t xml:space="preserve"> </w:t>
      </w:r>
      <w:r>
        <w:t>school</w:t>
      </w:r>
      <w:r>
        <w:rPr>
          <w:spacing w:val="-12"/>
        </w:rPr>
        <w:t xml:space="preserve"> </w:t>
      </w:r>
      <w:r>
        <w:t>environments, LGBTQ trainings must be accessible to all staff, including nurses, safety officers, and administrators. However, since these audi</w:t>
      </w:r>
      <w:r>
        <w:t>ences have different roles and experiences, they should receive tailored trainings that acknowledge this</w:t>
      </w:r>
      <w:hyperlink w:anchor="_bookmark158" w:history="1">
        <w:r>
          <w:t>.</w:t>
        </w:r>
        <w:r>
          <w:rPr>
            <w:vertAlign w:val="superscript"/>
          </w:rPr>
          <w:t>67</w:t>
        </w:r>
      </w:hyperlink>
    </w:p>
    <w:p w:rsidR="00C76E6D" w:rsidRDefault="00C76E6D">
      <w:pPr>
        <w:spacing w:line="276" w:lineRule="auto"/>
        <w:jc w:val="both"/>
        <w:sectPr w:rsidR="00C76E6D">
          <w:pgSz w:w="12240" w:h="15840"/>
          <w:pgMar w:top="960" w:right="960" w:bottom="860" w:left="960" w:header="760" w:footer="679" w:gutter="0"/>
          <w:cols w:space="720"/>
        </w:sectPr>
      </w:pPr>
    </w:p>
    <w:p w:rsidR="00C76E6D" w:rsidRDefault="00C76E6D">
      <w:pPr>
        <w:pStyle w:val="BodyText"/>
        <w:spacing w:before="7"/>
        <w:rPr>
          <w:sz w:val="29"/>
        </w:rPr>
      </w:pPr>
    </w:p>
    <w:p w:rsidR="00C76E6D" w:rsidRDefault="00913831">
      <w:pPr>
        <w:pStyle w:val="ListParagraph"/>
        <w:numPr>
          <w:ilvl w:val="0"/>
          <w:numId w:val="43"/>
        </w:numPr>
        <w:tabs>
          <w:tab w:val="left" w:pos="1126"/>
          <w:tab w:val="left" w:pos="1127"/>
        </w:tabs>
        <w:spacing w:before="99" w:line="271" w:lineRule="auto"/>
        <w:ind w:right="847"/>
      </w:pPr>
      <w:r>
        <w:rPr>
          <w:b/>
        </w:rPr>
        <w:t xml:space="preserve">Consider different types of training models. </w:t>
      </w:r>
      <w:r>
        <w:t>A few authors illustrate the success of peer-to- peer</w:t>
      </w:r>
      <w:r>
        <w:rPr>
          <w:spacing w:val="-3"/>
        </w:rPr>
        <w:t xml:space="preserve"> </w:t>
      </w:r>
      <w:r>
        <w:t>models</w:t>
      </w:r>
      <w:r>
        <w:rPr>
          <w:spacing w:val="-2"/>
        </w:rPr>
        <w:t xml:space="preserve"> </w:t>
      </w:r>
      <w:r>
        <w:t>and</w:t>
      </w:r>
      <w:r>
        <w:rPr>
          <w:spacing w:val="-4"/>
        </w:rPr>
        <w:t xml:space="preserve"> </w:t>
      </w:r>
      <w:r>
        <w:t>online</w:t>
      </w:r>
      <w:r>
        <w:rPr>
          <w:spacing w:val="-4"/>
        </w:rPr>
        <w:t xml:space="preserve"> </w:t>
      </w:r>
      <w:r>
        <w:t>programs</w:t>
      </w:r>
      <w:r>
        <w:rPr>
          <w:spacing w:val="-3"/>
        </w:rPr>
        <w:t xml:space="preserve"> </w:t>
      </w:r>
      <w:r>
        <w:t>to</w:t>
      </w:r>
      <w:r>
        <w:rPr>
          <w:spacing w:val="-3"/>
        </w:rPr>
        <w:t xml:space="preserve"> </w:t>
      </w:r>
      <w:r>
        <w:t>help</w:t>
      </w:r>
      <w:r>
        <w:rPr>
          <w:spacing w:val="-4"/>
        </w:rPr>
        <w:t xml:space="preserve"> </w:t>
      </w:r>
      <w:r>
        <w:t>train</w:t>
      </w:r>
      <w:r>
        <w:rPr>
          <w:spacing w:val="-3"/>
        </w:rPr>
        <w:t xml:space="preserve"> </w:t>
      </w:r>
      <w:r>
        <w:t>school</w:t>
      </w:r>
      <w:r>
        <w:rPr>
          <w:spacing w:val="-3"/>
        </w:rPr>
        <w:t xml:space="preserve"> </w:t>
      </w:r>
      <w:r>
        <w:t>staff</w:t>
      </w:r>
      <w:r>
        <w:rPr>
          <w:spacing w:val="-4"/>
        </w:rPr>
        <w:t xml:space="preserve"> </w:t>
      </w:r>
      <w:r>
        <w:t>around</w:t>
      </w:r>
      <w:r>
        <w:rPr>
          <w:spacing w:val="-2"/>
        </w:rPr>
        <w:t xml:space="preserve"> </w:t>
      </w:r>
      <w:r>
        <w:t>LGBTQ</w:t>
      </w:r>
      <w:r>
        <w:rPr>
          <w:spacing w:val="-3"/>
        </w:rPr>
        <w:t xml:space="preserve"> </w:t>
      </w:r>
      <w:r>
        <w:t>topics</w:t>
      </w:r>
      <w:r>
        <w:rPr>
          <w:spacing w:val="-4"/>
        </w:rPr>
        <w:t xml:space="preserve"> </w:t>
      </w:r>
      <w:r>
        <w:t>and</w:t>
      </w:r>
      <w:r>
        <w:rPr>
          <w:spacing w:val="-4"/>
        </w:rPr>
        <w:t xml:space="preserve"> </w:t>
      </w:r>
      <w:r>
        <w:t>issues</w:t>
      </w:r>
      <w:hyperlink w:anchor="_bookmark159" w:history="1">
        <w:r>
          <w:t>.</w:t>
        </w:r>
        <w:r>
          <w:rPr>
            <w:vertAlign w:val="superscript"/>
          </w:rPr>
          <w:t>68</w:t>
        </w:r>
      </w:hyperlink>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913831">
      <w:pPr>
        <w:pStyle w:val="BodyText"/>
        <w:spacing w:before="3"/>
        <w:rPr>
          <w:sz w:val="14"/>
        </w:rPr>
      </w:pPr>
      <w:r>
        <w:pict>
          <v:shape id="docshape272" o:spid="_x0000_s1161" style="position:absolute;margin-left:70.6pt;margin-top:9.9pt;width:470.95pt;height:.1pt;z-index:-15684096;mso-wrap-distance-left:0;mso-wrap-distance-right:0;mso-position-horizontal-relative:page" coordorigin="1412,198" coordsize="9419,0" path="m1412,198r9419,e" filled="f" strokeweight="1.54pt">
            <v:path arrowok="t"/>
            <w10:wrap type="topAndBottom" anchorx="page"/>
          </v:shape>
        </w:pict>
      </w:r>
    </w:p>
    <w:p w:rsidR="00C76E6D" w:rsidRDefault="00C76E6D">
      <w:pPr>
        <w:pStyle w:val="BodyText"/>
        <w:spacing w:before="6"/>
        <w:rPr>
          <w:sz w:val="21"/>
        </w:rPr>
      </w:pPr>
    </w:p>
    <w:p w:rsidR="00C76E6D" w:rsidRDefault="00913831">
      <w:pPr>
        <w:pStyle w:val="Heading4"/>
      </w:pPr>
      <w:r>
        <w:rPr>
          <w:spacing w:val="-2"/>
        </w:rPr>
        <w:t>ENDNOTES</w:t>
      </w:r>
    </w:p>
    <w:p w:rsidR="00C76E6D" w:rsidRDefault="00913831">
      <w:pPr>
        <w:pStyle w:val="BodyText"/>
        <w:spacing w:before="6"/>
        <w:rPr>
          <w:b/>
          <w:sz w:val="23"/>
        </w:rPr>
      </w:pPr>
      <w:r>
        <w:pict>
          <v:shape id="docshape273" o:spid="_x0000_s1160" style="position:absolute;margin-left:70.6pt;margin-top:15.55pt;width:470.95pt;height:.1pt;z-index:-15683584;mso-wrap-distance-left:0;mso-wrap-distance-right:0;mso-position-horizontal-relative:page" coordorigin="1412,311" coordsize="9419,0" path="m1412,311r9419,e" filled="f" strokeweight="1.54pt">
            <v:path arrowok="t"/>
            <w10:wrap type="topAndBottom" anchorx="page"/>
          </v:shape>
        </w:pict>
      </w:r>
    </w:p>
    <w:p w:rsidR="00C76E6D" w:rsidRDefault="00C76E6D">
      <w:pPr>
        <w:pStyle w:val="BodyText"/>
        <w:spacing w:before="9"/>
        <w:rPr>
          <w:b/>
        </w:rPr>
      </w:pPr>
    </w:p>
    <w:p w:rsidR="00C76E6D" w:rsidRDefault="00913831">
      <w:pPr>
        <w:ind w:left="478"/>
        <w:rPr>
          <w:i/>
        </w:rPr>
      </w:pPr>
      <w:r>
        <w:rPr>
          <w:i/>
        </w:rPr>
        <w:t>Acknowledgments:</w:t>
      </w:r>
      <w:r>
        <w:rPr>
          <w:i/>
          <w:spacing w:val="-12"/>
        </w:rPr>
        <w:t xml:space="preserve"> </w:t>
      </w:r>
      <w:r>
        <w:rPr>
          <w:i/>
        </w:rPr>
        <w:t>Kimm</w:t>
      </w:r>
      <w:r>
        <w:rPr>
          <w:i/>
          <w:spacing w:val="-7"/>
        </w:rPr>
        <w:t xml:space="preserve"> </w:t>
      </w:r>
      <w:r>
        <w:rPr>
          <w:i/>
        </w:rPr>
        <w:t>Topping,</w:t>
      </w:r>
      <w:r>
        <w:rPr>
          <w:i/>
          <w:spacing w:val="-12"/>
        </w:rPr>
        <w:t xml:space="preserve"> </w:t>
      </w:r>
      <w:r>
        <w:rPr>
          <w:i/>
        </w:rPr>
        <w:t>Safe</w:t>
      </w:r>
      <w:r>
        <w:rPr>
          <w:i/>
          <w:spacing w:val="-12"/>
        </w:rPr>
        <w:t xml:space="preserve"> </w:t>
      </w:r>
      <w:r>
        <w:rPr>
          <w:i/>
        </w:rPr>
        <w:t>Schools</w:t>
      </w:r>
      <w:r>
        <w:rPr>
          <w:i/>
          <w:spacing w:val="-13"/>
        </w:rPr>
        <w:t xml:space="preserve"> </w:t>
      </w:r>
      <w:r>
        <w:rPr>
          <w:i/>
        </w:rPr>
        <w:t>Program</w:t>
      </w:r>
      <w:r>
        <w:rPr>
          <w:i/>
          <w:spacing w:val="-9"/>
        </w:rPr>
        <w:t xml:space="preserve"> </w:t>
      </w:r>
      <w:r>
        <w:rPr>
          <w:i/>
        </w:rPr>
        <w:t>Manager,</w:t>
      </w:r>
      <w:r>
        <w:rPr>
          <w:i/>
          <w:spacing w:val="-11"/>
        </w:rPr>
        <w:t xml:space="preserve"> </w:t>
      </w:r>
      <w:r>
        <w:rPr>
          <w:i/>
        </w:rPr>
        <w:t>and</w:t>
      </w:r>
      <w:r>
        <w:rPr>
          <w:i/>
          <w:spacing w:val="-12"/>
        </w:rPr>
        <w:t xml:space="preserve"> </w:t>
      </w:r>
      <w:r>
        <w:rPr>
          <w:i/>
        </w:rPr>
        <w:t>lead</w:t>
      </w:r>
      <w:r>
        <w:rPr>
          <w:i/>
          <w:spacing w:val="-13"/>
        </w:rPr>
        <w:t xml:space="preserve"> </w:t>
      </w:r>
      <w:r>
        <w:rPr>
          <w:i/>
        </w:rPr>
        <w:t>researcher</w:t>
      </w:r>
      <w:r>
        <w:rPr>
          <w:i/>
          <w:spacing w:val="-10"/>
        </w:rPr>
        <w:t xml:space="preserve"> </w:t>
      </w:r>
      <w:r>
        <w:rPr>
          <w:i/>
        </w:rPr>
        <w:t>and</w:t>
      </w:r>
      <w:r>
        <w:rPr>
          <w:i/>
          <w:spacing w:val="-10"/>
        </w:rPr>
        <w:t xml:space="preserve"> </w:t>
      </w:r>
      <w:r>
        <w:rPr>
          <w:i/>
        </w:rPr>
        <w:t>author</w:t>
      </w:r>
      <w:r>
        <w:rPr>
          <w:i/>
          <w:spacing w:val="-10"/>
        </w:rPr>
        <w:t xml:space="preserve"> </w:t>
      </w:r>
      <w:r>
        <w:rPr>
          <w:i/>
        </w:rPr>
        <w:t>of</w:t>
      </w:r>
      <w:r>
        <w:rPr>
          <w:i/>
          <w:spacing w:val="-10"/>
        </w:rPr>
        <w:t xml:space="preserve"> </w:t>
      </w:r>
      <w:r>
        <w:rPr>
          <w:i/>
        </w:rPr>
        <w:t xml:space="preserve">the </w:t>
      </w:r>
      <w:r>
        <w:rPr>
          <w:i/>
          <w:w w:val="95"/>
        </w:rPr>
        <w:t>Increasing Inclusion</w:t>
      </w:r>
      <w:r>
        <w:rPr>
          <w:i/>
        </w:rPr>
        <w:t xml:space="preserve"> </w:t>
      </w:r>
      <w:r>
        <w:rPr>
          <w:i/>
          <w:w w:val="95"/>
        </w:rPr>
        <w:t>Report;</w:t>
      </w:r>
      <w:r>
        <w:rPr>
          <w:i/>
        </w:rPr>
        <w:t xml:space="preserve"> </w:t>
      </w:r>
      <w:r>
        <w:rPr>
          <w:i/>
          <w:w w:val="95"/>
        </w:rPr>
        <w:t>editing</w:t>
      </w:r>
      <w:r>
        <w:rPr>
          <w:i/>
        </w:rPr>
        <w:t xml:space="preserve"> </w:t>
      </w:r>
      <w:r>
        <w:rPr>
          <w:i/>
          <w:w w:val="95"/>
        </w:rPr>
        <w:t>and</w:t>
      </w:r>
      <w:r>
        <w:rPr>
          <w:i/>
        </w:rPr>
        <w:t xml:space="preserve"> </w:t>
      </w:r>
      <w:r>
        <w:rPr>
          <w:i/>
          <w:w w:val="95"/>
        </w:rPr>
        <w:t>proofreading by Massachusetts Commission on LGBTQ</w:t>
      </w:r>
      <w:r>
        <w:rPr>
          <w:i/>
        </w:rPr>
        <w:t xml:space="preserve"> </w:t>
      </w:r>
      <w:r>
        <w:rPr>
          <w:i/>
          <w:w w:val="95"/>
        </w:rPr>
        <w:t>Youth</w:t>
      </w:r>
      <w:r>
        <w:rPr>
          <w:i/>
        </w:rPr>
        <w:t xml:space="preserve"> </w:t>
      </w:r>
      <w:r>
        <w:rPr>
          <w:i/>
          <w:w w:val="95"/>
        </w:rPr>
        <w:t>staff</w:t>
      </w:r>
    </w:p>
    <w:p w:rsidR="00C76E6D" w:rsidRDefault="00C76E6D">
      <w:pPr>
        <w:pStyle w:val="BodyText"/>
        <w:rPr>
          <w:i/>
        </w:rPr>
      </w:pPr>
    </w:p>
    <w:p w:rsidR="00C76E6D" w:rsidRDefault="00C76E6D">
      <w:pPr>
        <w:pStyle w:val="BodyText"/>
        <w:spacing w:before="10"/>
        <w:rPr>
          <w:i/>
          <w:sz w:val="23"/>
        </w:rPr>
      </w:pPr>
    </w:p>
    <w:p w:rsidR="00C76E6D" w:rsidRDefault="00913831">
      <w:pPr>
        <w:ind w:left="481" w:right="649" w:hanging="3"/>
        <w:rPr>
          <w:sz w:val="20"/>
        </w:rPr>
      </w:pPr>
      <w:bookmarkStart w:id="190" w:name="_bookmark92"/>
      <w:bookmarkEnd w:id="190"/>
      <w:r>
        <w:rPr>
          <w:sz w:val="20"/>
          <w:vertAlign w:val="superscript"/>
        </w:rPr>
        <w:t>1</w:t>
      </w:r>
      <w:r>
        <w:rPr>
          <w:spacing w:val="-6"/>
          <w:sz w:val="20"/>
        </w:rPr>
        <w:t xml:space="preserve"> </w:t>
      </w:r>
      <w:r>
        <w:rPr>
          <w:sz w:val="20"/>
        </w:rPr>
        <w:t>Massachusetts</w:t>
      </w:r>
      <w:r>
        <w:rPr>
          <w:spacing w:val="-7"/>
          <w:sz w:val="20"/>
        </w:rPr>
        <w:t xml:space="preserve"> </w:t>
      </w:r>
      <w:r>
        <w:rPr>
          <w:sz w:val="20"/>
        </w:rPr>
        <w:t>Commission</w:t>
      </w:r>
      <w:r>
        <w:rPr>
          <w:spacing w:val="-6"/>
          <w:sz w:val="20"/>
        </w:rPr>
        <w:t xml:space="preserve"> </w:t>
      </w:r>
      <w:r>
        <w:rPr>
          <w:sz w:val="20"/>
        </w:rPr>
        <w:t>on</w:t>
      </w:r>
      <w:r>
        <w:rPr>
          <w:spacing w:val="-6"/>
          <w:sz w:val="20"/>
        </w:rPr>
        <w:t xml:space="preserve"> </w:t>
      </w:r>
      <w:r>
        <w:rPr>
          <w:sz w:val="20"/>
        </w:rPr>
        <w:t>LGBTQ</w:t>
      </w:r>
      <w:r>
        <w:rPr>
          <w:spacing w:val="-7"/>
          <w:sz w:val="20"/>
        </w:rPr>
        <w:t xml:space="preserve"> </w:t>
      </w:r>
      <w:r>
        <w:rPr>
          <w:sz w:val="20"/>
        </w:rPr>
        <w:t>Youth,</w:t>
      </w:r>
      <w:r>
        <w:rPr>
          <w:spacing w:val="-6"/>
          <w:sz w:val="20"/>
        </w:rPr>
        <w:t xml:space="preserve"> </w:t>
      </w:r>
      <w:r>
        <w:rPr>
          <w:sz w:val="20"/>
        </w:rPr>
        <w:t>“Guidance</w:t>
      </w:r>
      <w:r>
        <w:rPr>
          <w:spacing w:val="-6"/>
          <w:sz w:val="20"/>
        </w:rPr>
        <w:t xml:space="preserve"> </w:t>
      </w:r>
      <w:r>
        <w:rPr>
          <w:sz w:val="20"/>
        </w:rPr>
        <w:t>for</w:t>
      </w:r>
      <w:r>
        <w:rPr>
          <w:spacing w:val="-7"/>
          <w:sz w:val="20"/>
        </w:rPr>
        <w:t xml:space="preserve"> </w:t>
      </w:r>
      <w:r>
        <w:rPr>
          <w:sz w:val="20"/>
        </w:rPr>
        <w:t>Massachusetts</w:t>
      </w:r>
      <w:r>
        <w:rPr>
          <w:spacing w:val="-7"/>
          <w:sz w:val="20"/>
        </w:rPr>
        <w:t xml:space="preserve"> </w:t>
      </w:r>
      <w:r>
        <w:rPr>
          <w:sz w:val="20"/>
        </w:rPr>
        <w:t>State</w:t>
      </w:r>
      <w:r>
        <w:rPr>
          <w:spacing w:val="-7"/>
          <w:sz w:val="20"/>
        </w:rPr>
        <w:t xml:space="preserve"> </w:t>
      </w:r>
      <w:r>
        <w:rPr>
          <w:sz w:val="20"/>
        </w:rPr>
        <w:t>Agencies:</w:t>
      </w:r>
      <w:r>
        <w:rPr>
          <w:spacing w:val="-6"/>
          <w:sz w:val="20"/>
        </w:rPr>
        <w:t xml:space="preserve"> </w:t>
      </w:r>
      <w:r>
        <w:rPr>
          <w:sz w:val="20"/>
        </w:rPr>
        <w:t>Workplace</w:t>
      </w:r>
      <w:r>
        <w:rPr>
          <w:spacing w:val="-8"/>
          <w:sz w:val="20"/>
        </w:rPr>
        <w:t xml:space="preserve"> </w:t>
      </w:r>
      <w:r>
        <w:rPr>
          <w:sz w:val="20"/>
        </w:rPr>
        <w:t>Practices to Recognize Gender Identity Diversity,” November 29, 2017, https://</w:t>
      </w:r>
      <w:hyperlink r:id="rId200">
        <w:r>
          <w:rPr>
            <w:sz w:val="20"/>
          </w:rPr>
          <w:t>www.mass.gov/special-guidance-for-</w:t>
        </w:r>
      </w:hyperlink>
      <w:r>
        <w:rPr>
          <w:sz w:val="20"/>
        </w:rPr>
        <w:t xml:space="preserve"> </w:t>
      </w:r>
      <w:r>
        <w:rPr>
          <w:spacing w:val="-2"/>
          <w:sz w:val="20"/>
        </w:rPr>
        <w:t>stateagencies.</w:t>
      </w:r>
    </w:p>
    <w:p w:rsidR="00C76E6D" w:rsidRDefault="00913831">
      <w:pPr>
        <w:spacing w:before="1"/>
        <w:ind w:left="480" w:right="1600" w:hanging="2"/>
        <w:rPr>
          <w:sz w:val="20"/>
        </w:rPr>
      </w:pPr>
      <w:bookmarkStart w:id="191" w:name="_bookmark93"/>
      <w:bookmarkEnd w:id="191"/>
      <w:r>
        <w:rPr>
          <w:sz w:val="20"/>
          <w:vertAlign w:val="superscript"/>
        </w:rPr>
        <w:t>2</w:t>
      </w:r>
      <w:r>
        <w:rPr>
          <w:spacing w:val="-6"/>
          <w:sz w:val="20"/>
        </w:rPr>
        <w:t xml:space="preserve"> </w:t>
      </w:r>
      <w:r>
        <w:rPr>
          <w:sz w:val="20"/>
        </w:rPr>
        <w:t>The</w:t>
      </w:r>
      <w:r>
        <w:rPr>
          <w:spacing w:val="-7"/>
          <w:sz w:val="20"/>
        </w:rPr>
        <w:t xml:space="preserve"> </w:t>
      </w:r>
      <w:r>
        <w:rPr>
          <w:sz w:val="20"/>
        </w:rPr>
        <w:t>legislature</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z w:val="20"/>
        </w:rPr>
        <w:t>State</w:t>
      </w:r>
      <w:r>
        <w:rPr>
          <w:spacing w:val="-7"/>
          <w:sz w:val="20"/>
        </w:rPr>
        <w:t xml:space="preserve"> </w:t>
      </w:r>
      <w:r>
        <w:rPr>
          <w:sz w:val="20"/>
        </w:rPr>
        <w:t>of</w:t>
      </w:r>
      <w:r>
        <w:rPr>
          <w:spacing w:val="-7"/>
          <w:sz w:val="20"/>
        </w:rPr>
        <w:t xml:space="preserve"> </w:t>
      </w:r>
      <w:r>
        <w:rPr>
          <w:sz w:val="20"/>
        </w:rPr>
        <w:t>Massachusetts,</w:t>
      </w:r>
      <w:r>
        <w:rPr>
          <w:spacing w:val="-6"/>
          <w:sz w:val="20"/>
        </w:rPr>
        <w:t xml:space="preserve"> </w:t>
      </w:r>
      <w:r>
        <w:rPr>
          <w:sz w:val="20"/>
        </w:rPr>
        <w:t>“Bill</w:t>
      </w:r>
      <w:r>
        <w:rPr>
          <w:spacing w:val="-7"/>
          <w:sz w:val="20"/>
        </w:rPr>
        <w:t xml:space="preserve"> </w:t>
      </w:r>
      <w:r>
        <w:rPr>
          <w:sz w:val="20"/>
        </w:rPr>
        <w:t>H.618,”</w:t>
      </w:r>
      <w:r>
        <w:rPr>
          <w:spacing w:val="-6"/>
          <w:sz w:val="20"/>
        </w:rPr>
        <w:t xml:space="preserve"> </w:t>
      </w:r>
      <w:r>
        <w:rPr>
          <w:sz w:val="20"/>
        </w:rPr>
        <w:t>acce</w:t>
      </w:r>
      <w:r>
        <w:rPr>
          <w:sz w:val="20"/>
        </w:rPr>
        <w:t>ssed</w:t>
      </w:r>
      <w:r>
        <w:rPr>
          <w:spacing w:val="-6"/>
          <w:sz w:val="20"/>
        </w:rPr>
        <w:t xml:space="preserve"> </w:t>
      </w:r>
      <w:r>
        <w:rPr>
          <w:sz w:val="20"/>
        </w:rPr>
        <w:t>June</w:t>
      </w:r>
      <w:r>
        <w:rPr>
          <w:spacing w:val="-7"/>
          <w:sz w:val="20"/>
        </w:rPr>
        <w:t xml:space="preserve"> </w:t>
      </w:r>
      <w:r>
        <w:rPr>
          <w:sz w:val="20"/>
        </w:rPr>
        <w:t>9,</w:t>
      </w:r>
      <w:r>
        <w:rPr>
          <w:spacing w:val="-7"/>
          <w:sz w:val="20"/>
        </w:rPr>
        <w:t xml:space="preserve"> </w:t>
      </w:r>
      <w:r>
        <w:rPr>
          <w:sz w:val="20"/>
        </w:rPr>
        <w:t xml:space="preserve">2022, </w:t>
      </w:r>
      <w:r>
        <w:rPr>
          <w:spacing w:val="-2"/>
          <w:sz w:val="20"/>
        </w:rPr>
        <w:t>https://malegislature.gov/Bills/192/H618.</w:t>
      </w:r>
    </w:p>
    <w:p w:rsidR="00C76E6D" w:rsidRDefault="00913831">
      <w:pPr>
        <w:spacing w:before="1"/>
        <w:ind w:left="480" w:right="1600" w:hanging="2"/>
        <w:rPr>
          <w:sz w:val="20"/>
        </w:rPr>
      </w:pPr>
      <w:bookmarkStart w:id="192" w:name="_bookmark94"/>
      <w:bookmarkEnd w:id="192"/>
      <w:r>
        <w:rPr>
          <w:sz w:val="20"/>
          <w:vertAlign w:val="superscript"/>
        </w:rPr>
        <w:t>3</w:t>
      </w:r>
      <w:r>
        <w:rPr>
          <w:spacing w:val="-6"/>
          <w:sz w:val="20"/>
        </w:rPr>
        <w:t xml:space="preserve"> </w:t>
      </w:r>
      <w:r>
        <w:rPr>
          <w:sz w:val="20"/>
        </w:rPr>
        <w:t>The</w:t>
      </w:r>
      <w:r>
        <w:rPr>
          <w:spacing w:val="-7"/>
          <w:sz w:val="20"/>
        </w:rPr>
        <w:t xml:space="preserve"> </w:t>
      </w:r>
      <w:r>
        <w:rPr>
          <w:sz w:val="20"/>
        </w:rPr>
        <w:t>legislature</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z w:val="20"/>
        </w:rPr>
        <w:t>State</w:t>
      </w:r>
      <w:r>
        <w:rPr>
          <w:spacing w:val="-7"/>
          <w:sz w:val="20"/>
        </w:rPr>
        <w:t xml:space="preserve"> </w:t>
      </w:r>
      <w:r>
        <w:rPr>
          <w:sz w:val="20"/>
        </w:rPr>
        <w:t>of</w:t>
      </w:r>
      <w:r>
        <w:rPr>
          <w:spacing w:val="-7"/>
          <w:sz w:val="20"/>
        </w:rPr>
        <w:t xml:space="preserve"> </w:t>
      </w:r>
      <w:r>
        <w:rPr>
          <w:sz w:val="20"/>
        </w:rPr>
        <w:t>Massachusetts,</w:t>
      </w:r>
      <w:r>
        <w:rPr>
          <w:spacing w:val="-6"/>
          <w:sz w:val="20"/>
        </w:rPr>
        <w:t xml:space="preserve"> </w:t>
      </w:r>
      <w:r>
        <w:rPr>
          <w:sz w:val="20"/>
        </w:rPr>
        <w:t>“Bill</w:t>
      </w:r>
      <w:r>
        <w:rPr>
          <w:spacing w:val="-7"/>
          <w:sz w:val="20"/>
        </w:rPr>
        <w:t xml:space="preserve"> </w:t>
      </w:r>
      <w:r>
        <w:rPr>
          <w:sz w:val="20"/>
        </w:rPr>
        <w:t>S.2748,”</w:t>
      </w:r>
      <w:r>
        <w:rPr>
          <w:spacing w:val="-7"/>
          <w:sz w:val="20"/>
        </w:rPr>
        <w:t xml:space="preserve"> </w:t>
      </w:r>
      <w:r>
        <w:rPr>
          <w:sz w:val="20"/>
        </w:rPr>
        <w:t>accessed</w:t>
      </w:r>
      <w:r>
        <w:rPr>
          <w:spacing w:val="-6"/>
          <w:sz w:val="20"/>
        </w:rPr>
        <w:t xml:space="preserve"> </w:t>
      </w:r>
      <w:r>
        <w:rPr>
          <w:sz w:val="20"/>
        </w:rPr>
        <w:t>June</w:t>
      </w:r>
      <w:r>
        <w:rPr>
          <w:spacing w:val="-7"/>
          <w:sz w:val="20"/>
        </w:rPr>
        <w:t xml:space="preserve"> </w:t>
      </w:r>
      <w:r>
        <w:rPr>
          <w:sz w:val="20"/>
        </w:rPr>
        <w:t>9,</w:t>
      </w:r>
      <w:r>
        <w:rPr>
          <w:spacing w:val="-7"/>
          <w:sz w:val="20"/>
        </w:rPr>
        <w:t xml:space="preserve"> </w:t>
      </w:r>
      <w:r>
        <w:rPr>
          <w:sz w:val="20"/>
        </w:rPr>
        <w:t xml:space="preserve">2022, </w:t>
      </w:r>
      <w:r>
        <w:rPr>
          <w:spacing w:val="-2"/>
          <w:sz w:val="20"/>
        </w:rPr>
        <w:t>https://malegislature.gov/Bills/192/S2748.</w:t>
      </w:r>
    </w:p>
    <w:p w:rsidR="00C76E6D" w:rsidRDefault="00913831">
      <w:pPr>
        <w:ind w:left="480" w:right="530" w:hanging="3"/>
        <w:rPr>
          <w:sz w:val="20"/>
        </w:rPr>
      </w:pPr>
      <w:bookmarkStart w:id="193" w:name="_bookmark95"/>
      <w:bookmarkEnd w:id="193"/>
      <w:r>
        <w:rPr>
          <w:sz w:val="20"/>
          <w:vertAlign w:val="superscript"/>
        </w:rPr>
        <w:t>4</w:t>
      </w:r>
      <w:r>
        <w:rPr>
          <w:spacing w:val="-6"/>
          <w:sz w:val="20"/>
        </w:rPr>
        <w:t xml:space="preserve"> </w:t>
      </w:r>
      <w:r>
        <w:rPr>
          <w:sz w:val="20"/>
        </w:rPr>
        <w:t>Massachusetts</w:t>
      </w:r>
      <w:r>
        <w:rPr>
          <w:spacing w:val="-7"/>
          <w:sz w:val="20"/>
        </w:rPr>
        <w:t xml:space="preserve"> </w:t>
      </w:r>
      <w:r>
        <w:rPr>
          <w:sz w:val="20"/>
        </w:rPr>
        <w:t>Commission</w:t>
      </w:r>
      <w:r>
        <w:rPr>
          <w:spacing w:val="-6"/>
          <w:sz w:val="20"/>
        </w:rPr>
        <w:t xml:space="preserve"> </w:t>
      </w:r>
      <w:r>
        <w:rPr>
          <w:sz w:val="20"/>
        </w:rPr>
        <w:t>on</w:t>
      </w:r>
      <w:r>
        <w:rPr>
          <w:spacing w:val="-6"/>
          <w:sz w:val="20"/>
        </w:rPr>
        <w:t xml:space="preserve"> </w:t>
      </w:r>
      <w:r>
        <w:rPr>
          <w:sz w:val="20"/>
        </w:rPr>
        <w:t>LGBTQ</w:t>
      </w:r>
      <w:r>
        <w:rPr>
          <w:spacing w:val="-7"/>
          <w:sz w:val="20"/>
        </w:rPr>
        <w:t xml:space="preserve"> </w:t>
      </w:r>
      <w:r>
        <w:rPr>
          <w:sz w:val="20"/>
        </w:rPr>
        <w:t>Youth,</w:t>
      </w:r>
      <w:r>
        <w:rPr>
          <w:spacing w:val="-6"/>
          <w:sz w:val="20"/>
        </w:rPr>
        <w:t xml:space="preserve"> </w:t>
      </w:r>
      <w:r>
        <w:rPr>
          <w:sz w:val="20"/>
        </w:rPr>
        <w:t>“Massachusetts</w:t>
      </w:r>
      <w:r>
        <w:rPr>
          <w:spacing w:val="-7"/>
          <w:sz w:val="20"/>
        </w:rPr>
        <w:t xml:space="preserve"> </w:t>
      </w:r>
      <w:r>
        <w:rPr>
          <w:sz w:val="20"/>
        </w:rPr>
        <w:t>Commiss</w:t>
      </w:r>
      <w:r>
        <w:rPr>
          <w:sz w:val="20"/>
        </w:rPr>
        <w:t>ion</w:t>
      </w:r>
      <w:r>
        <w:rPr>
          <w:spacing w:val="-6"/>
          <w:sz w:val="20"/>
        </w:rPr>
        <w:t xml:space="preserve"> </w:t>
      </w:r>
      <w:r>
        <w:rPr>
          <w:sz w:val="20"/>
        </w:rPr>
        <w:t>on</w:t>
      </w:r>
      <w:r>
        <w:rPr>
          <w:spacing w:val="-8"/>
          <w:sz w:val="20"/>
        </w:rPr>
        <w:t xml:space="preserve"> </w:t>
      </w:r>
      <w:r>
        <w:rPr>
          <w:sz w:val="20"/>
        </w:rPr>
        <w:t>LGBTQ</w:t>
      </w:r>
      <w:r>
        <w:rPr>
          <w:spacing w:val="-7"/>
          <w:sz w:val="20"/>
        </w:rPr>
        <w:t xml:space="preserve"> </w:t>
      </w:r>
      <w:r>
        <w:rPr>
          <w:sz w:val="20"/>
        </w:rPr>
        <w:t>Youth:</w:t>
      </w:r>
      <w:r>
        <w:rPr>
          <w:spacing w:val="-6"/>
          <w:sz w:val="20"/>
        </w:rPr>
        <w:t xml:space="preserve"> </w:t>
      </w:r>
      <w:r>
        <w:rPr>
          <w:sz w:val="20"/>
        </w:rPr>
        <w:t>2020</w:t>
      </w:r>
      <w:r>
        <w:rPr>
          <w:spacing w:val="-7"/>
          <w:sz w:val="20"/>
        </w:rPr>
        <w:t xml:space="preserve"> </w:t>
      </w:r>
      <w:r>
        <w:rPr>
          <w:sz w:val="20"/>
        </w:rPr>
        <w:t>Report</w:t>
      </w:r>
      <w:r>
        <w:rPr>
          <w:spacing w:val="-7"/>
          <w:sz w:val="20"/>
        </w:rPr>
        <w:t xml:space="preserve"> </w:t>
      </w:r>
      <w:r>
        <w:rPr>
          <w:sz w:val="20"/>
        </w:rPr>
        <w:t>and Recommendations,” 2019, https://</w:t>
      </w:r>
      <w:hyperlink r:id="rId201">
        <w:r>
          <w:rPr>
            <w:sz w:val="20"/>
          </w:rPr>
          <w:t>www.mass.gov/annual-recommendations.</w:t>
        </w:r>
      </w:hyperlink>
    </w:p>
    <w:p w:rsidR="00C76E6D" w:rsidRDefault="00913831">
      <w:pPr>
        <w:ind w:left="481" w:right="530" w:hanging="3"/>
        <w:rPr>
          <w:sz w:val="20"/>
        </w:rPr>
      </w:pPr>
      <w:bookmarkStart w:id="194" w:name="_bookmark96"/>
      <w:bookmarkEnd w:id="194"/>
      <w:r>
        <w:rPr>
          <w:sz w:val="20"/>
          <w:vertAlign w:val="superscript"/>
        </w:rPr>
        <w:t>5</w:t>
      </w:r>
      <w:r>
        <w:rPr>
          <w:spacing w:val="-4"/>
          <w:sz w:val="20"/>
        </w:rPr>
        <w:t xml:space="preserve"> </w:t>
      </w:r>
      <w:r>
        <w:rPr>
          <w:sz w:val="20"/>
        </w:rPr>
        <w:t>Jeremy</w:t>
      </w:r>
      <w:r>
        <w:rPr>
          <w:spacing w:val="-5"/>
          <w:sz w:val="20"/>
        </w:rPr>
        <w:t xml:space="preserve"> </w:t>
      </w:r>
      <w:r>
        <w:rPr>
          <w:sz w:val="20"/>
        </w:rPr>
        <w:t>W.</w:t>
      </w:r>
      <w:r>
        <w:rPr>
          <w:spacing w:val="-5"/>
          <w:sz w:val="20"/>
        </w:rPr>
        <w:t xml:space="preserve"> </w:t>
      </w:r>
      <w:r>
        <w:rPr>
          <w:sz w:val="20"/>
        </w:rPr>
        <w:t>Luk</w:t>
      </w:r>
      <w:r>
        <w:rPr>
          <w:spacing w:val="-6"/>
          <w:sz w:val="20"/>
        </w:rPr>
        <w:t xml:space="preserve"> </w:t>
      </w:r>
      <w:r>
        <w:rPr>
          <w:sz w:val="20"/>
        </w:rPr>
        <w:t>et</w:t>
      </w:r>
      <w:r>
        <w:rPr>
          <w:spacing w:val="-4"/>
          <w:sz w:val="20"/>
        </w:rPr>
        <w:t xml:space="preserve"> </w:t>
      </w:r>
      <w:r>
        <w:rPr>
          <w:sz w:val="20"/>
        </w:rPr>
        <w:t>al.,</w:t>
      </w:r>
      <w:r>
        <w:rPr>
          <w:spacing w:val="-5"/>
          <w:sz w:val="20"/>
        </w:rPr>
        <w:t xml:space="preserve"> </w:t>
      </w:r>
      <w:r>
        <w:rPr>
          <w:sz w:val="20"/>
        </w:rPr>
        <w:t>“Sexual</w:t>
      </w:r>
      <w:r>
        <w:rPr>
          <w:spacing w:val="-6"/>
          <w:sz w:val="20"/>
        </w:rPr>
        <w:t xml:space="preserve"> </w:t>
      </w:r>
      <w:r>
        <w:rPr>
          <w:sz w:val="20"/>
        </w:rPr>
        <w:t>Orientation</w:t>
      </w:r>
      <w:r>
        <w:rPr>
          <w:spacing w:val="-4"/>
          <w:sz w:val="20"/>
        </w:rPr>
        <w:t xml:space="preserve"> </w:t>
      </w:r>
      <w:r>
        <w:rPr>
          <w:sz w:val="20"/>
        </w:rPr>
        <w:t>and</w:t>
      </w:r>
      <w:r>
        <w:rPr>
          <w:spacing w:val="-4"/>
          <w:sz w:val="20"/>
        </w:rPr>
        <w:t xml:space="preserve"> </w:t>
      </w:r>
      <w:r>
        <w:rPr>
          <w:sz w:val="20"/>
        </w:rPr>
        <w:t>Depressive</w:t>
      </w:r>
      <w:r>
        <w:rPr>
          <w:spacing w:val="-4"/>
          <w:sz w:val="20"/>
        </w:rPr>
        <w:t xml:space="preserve"> </w:t>
      </w:r>
      <w:r>
        <w:rPr>
          <w:sz w:val="20"/>
        </w:rPr>
        <w:t>Symptoms</w:t>
      </w:r>
      <w:r>
        <w:rPr>
          <w:spacing w:val="-6"/>
          <w:sz w:val="20"/>
        </w:rPr>
        <w:t xml:space="preserve"> </w:t>
      </w:r>
      <w:r>
        <w:rPr>
          <w:sz w:val="20"/>
        </w:rPr>
        <w:t>in</w:t>
      </w:r>
      <w:r>
        <w:rPr>
          <w:spacing w:val="-5"/>
          <w:sz w:val="20"/>
        </w:rPr>
        <w:t xml:space="preserve"> </w:t>
      </w:r>
      <w:r>
        <w:rPr>
          <w:sz w:val="20"/>
        </w:rPr>
        <w:t>Adolescents,”</w:t>
      </w:r>
      <w:r>
        <w:rPr>
          <w:spacing w:val="-5"/>
          <w:sz w:val="20"/>
        </w:rPr>
        <w:t xml:space="preserve"> </w:t>
      </w:r>
      <w:r>
        <w:rPr>
          <w:i/>
          <w:sz w:val="20"/>
        </w:rPr>
        <w:t>Pediatrics</w:t>
      </w:r>
      <w:r>
        <w:rPr>
          <w:i/>
          <w:spacing w:val="-4"/>
          <w:sz w:val="20"/>
        </w:rPr>
        <w:t xml:space="preserve"> </w:t>
      </w:r>
      <w:r>
        <w:rPr>
          <w:sz w:val="20"/>
        </w:rPr>
        <w:t>141,</w:t>
      </w:r>
      <w:r>
        <w:rPr>
          <w:spacing w:val="-7"/>
          <w:sz w:val="20"/>
        </w:rPr>
        <w:t xml:space="preserve"> </w:t>
      </w:r>
      <w:r>
        <w:rPr>
          <w:sz w:val="20"/>
        </w:rPr>
        <w:t>no.</w:t>
      </w:r>
      <w:r>
        <w:rPr>
          <w:spacing w:val="-5"/>
          <w:sz w:val="20"/>
        </w:rPr>
        <w:t xml:space="preserve"> </w:t>
      </w:r>
      <w:r>
        <w:rPr>
          <w:sz w:val="20"/>
        </w:rPr>
        <w:t>5</w:t>
      </w:r>
      <w:r>
        <w:rPr>
          <w:spacing w:val="-5"/>
          <w:sz w:val="20"/>
        </w:rPr>
        <w:t xml:space="preserve"> </w:t>
      </w:r>
      <w:r>
        <w:rPr>
          <w:sz w:val="20"/>
        </w:rPr>
        <w:t xml:space="preserve">(May </w:t>
      </w:r>
      <w:bookmarkStart w:id="195" w:name="_bookmark97"/>
      <w:bookmarkEnd w:id="195"/>
      <w:r>
        <w:rPr>
          <w:sz w:val="20"/>
        </w:rPr>
        <w:t>2018): e20173309, https://doi.org/10.1542/peds.2017-3309.</w:t>
      </w:r>
    </w:p>
    <w:p w:rsidR="00C76E6D" w:rsidRDefault="00913831">
      <w:pPr>
        <w:ind w:left="481" w:right="695" w:hanging="3"/>
        <w:rPr>
          <w:sz w:val="20"/>
        </w:rPr>
      </w:pPr>
      <w:r>
        <w:rPr>
          <w:sz w:val="20"/>
          <w:vertAlign w:val="superscript"/>
        </w:rPr>
        <w:t>6</w:t>
      </w:r>
      <w:r>
        <w:rPr>
          <w:spacing w:val="-5"/>
          <w:sz w:val="20"/>
        </w:rPr>
        <w:t xml:space="preserve"> </w:t>
      </w:r>
      <w:r>
        <w:rPr>
          <w:sz w:val="20"/>
        </w:rPr>
        <w:t>Stephen</w:t>
      </w:r>
      <w:r>
        <w:rPr>
          <w:spacing w:val="-7"/>
          <w:sz w:val="20"/>
        </w:rPr>
        <w:t xml:space="preserve"> </w:t>
      </w:r>
      <w:r>
        <w:rPr>
          <w:sz w:val="20"/>
        </w:rPr>
        <w:t>T.</w:t>
      </w:r>
      <w:r>
        <w:rPr>
          <w:spacing w:val="-6"/>
          <w:sz w:val="20"/>
        </w:rPr>
        <w:t xml:space="preserve"> </w:t>
      </w:r>
      <w:r>
        <w:rPr>
          <w:sz w:val="20"/>
        </w:rPr>
        <w:t>Russell</w:t>
      </w:r>
      <w:r>
        <w:rPr>
          <w:spacing w:val="-6"/>
          <w:sz w:val="20"/>
        </w:rPr>
        <w:t xml:space="preserve"> </w:t>
      </w:r>
      <w:r>
        <w:rPr>
          <w:sz w:val="20"/>
        </w:rPr>
        <w:t>et</w:t>
      </w:r>
      <w:r>
        <w:rPr>
          <w:spacing w:val="-6"/>
          <w:sz w:val="20"/>
        </w:rPr>
        <w:t xml:space="preserve"> </w:t>
      </w:r>
      <w:r>
        <w:rPr>
          <w:sz w:val="20"/>
        </w:rPr>
        <w:t>al.,</w:t>
      </w:r>
      <w:r>
        <w:rPr>
          <w:spacing w:val="-5"/>
          <w:sz w:val="20"/>
        </w:rPr>
        <w:t xml:space="preserve"> </w:t>
      </w:r>
      <w:r>
        <w:rPr>
          <w:sz w:val="20"/>
        </w:rPr>
        <w:t>“Lesbian,</w:t>
      </w:r>
      <w:r>
        <w:rPr>
          <w:spacing w:val="-5"/>
          <w:sz w:val="20"/>
        </w:rPr>
        <w:t xml:space="preserve"> </w:t>
      </w:r>
      <w:r>
        <w:rPr>
          <w:sz w:val="20"/>
        </w:rPr>
        <w:t>Gay,</w:t>
      </w:r>
      <w:r>
        <w:rPr>
          <w:spacing w:val="-7"/>
          <w:sz w:val="20"/>
        </w:rPr>
        <w:t xml:space="preserve"> </w:t>
      </w:r>
      <w:r>
        <w:rPr>
          <w:sz w:val="20"/>
        </w:rPr>
        <w:t>Bisexual,</w:t>
      </w:r>
      <w:r>
        <w:rPr>
          <w:spacing w:val="-5"/>
          <w:sz w:val="20"/>
        </w:rPr>
        <w:t xml:space="preserve"> </w:t>
      </w:r>
      <w:r>
        <w:rPr>
          <w:sz w:val="20"/>
        </w:rPr>
        <w:t>and</w:t>
      </w:r>
      <w:r>
        <w:rPr>
          <w:spacing w:val="-5"/>
          <w:sz w:val="20"/>
        </w:rPr>
        <w:t xml:space="preserve"> </w:t>
      </w:r>
      <w:r>
        <w:rPr>
          <w:sz w:val="20"/>
        </w:rPr>
        <w:t>Transgender</w:t>
      </w:r>
      <w:r>
        <w:rPr>
          <w:spacing w:val="-7"/>
          <w:sz w:val="20"/>
        </w:rPr>
        <w:t xml:space="preserve"> </w:t>
      </w:r>
      <w:r>
        <w:rPr>
          <w:sz w:val="20"/>
        </w:rPr>
        <w:t>Adolescent</w:t>
      </w:r>
      <w:r>
        <w:rPr>
          <w:spacing w:val="-7"/>
          <w:sz w:val="20"/>
        </w:rPr>
        <w:t xml:space="preserve"> </w:t>
      </w:r>
      <w:r>
        <w:rPr>
          <w:sz w:val="20"/>
        </w:rPr>
        <w:t>School</w:t>
      </w:r>
      <w:r>
        <w:rPr>
          <w:spacing w:val="-8"/>
          <w:sz w:val="20"/>
        </w:rPr>
        <w:t xml:space="preserve"> </w:t>
      </w:r>
      <w:r>
        <w:rPr>
          <w:sz w:val="20"/>
        </w:rPr>
        <w:t>Victimization:</w:t>
      </w:r>
      <w:r>
        <w:rPr>
          <w:spacing w:val="-6"/>
          <w:sz w:val="20"/>
        </w:rPr>
        <w:t xml:space="preserve"> </w:t>
      </w:r>
      <w:r>
        <w:rPr>
          <w:sz w:val="20"/>
        </w:rPr>
        <w:t xml:space="preserve">Implications for Young Adult Health and Adjustment,” </w:t>
      </w:r>
      <w:r>
        <w:rPr>
          <w:i/>
          <w:sz w:val="20"/>
        </w:rPr>
        <w:t xml:space="preserve">Journal of School Health </w:t>
      </w:r>
      <w:r>
        <w:rPr>
          <w:sz w:val="20"/>
        </w:rPr>
        <w:t xml:space="preserve">81, no. 5 (May 2011): 223–30, </w:t>
      </w:r>
      <w:r>
        <w:rPr>
          <w:spacing w:val="-2"/>
          <w:sz w:val="20"/>
        </w:rPr>
        <w:t>https://doi.org/10.1111/j.1746-1561.2011.00583.x.</w:t>
      </w:r>
    </w:p>
    <w:p w:rsidR="00C76E6D" w:rsidRDefault="00913831">
      <w:pPr>
        <w:spacing w:before="5"/>
        <w:ind w:left="480"/>
        <w:rPr>
          <w:sz w:val="20"/>
        </w:rPr>
      </w:pPr>
      <w:bookmarkStart w:id="196" w:name="_bookmark98"/>
      <w:bookmarkEnd w:id="196"/>
      <w:r>
        <w:rPr>
          <w:sz w:val="20"/>
          <w:vertAlign w:val="superscript"/>
        </w:rPr>
        <w:t>7</w:t>
      </w:r>
      <w:r>
        <w:rPr>
          <w:spacing w:val="-10"/>
          <w:sz w:val="20"/>
        </w:rPr>
        <w:t xml:space="preserve"> </w:t>
      </w:r>
      <w:bookmarkStart w:id="197" w:name="_bookmark99"/>
      <w:bookmarkEnd w:id="197"/>
      <w:r>
        <w:rPr>
          <w:sz w:val="20"/>
        </w:rPr>
        <w:t>Massachusetts</w:t>
      </w:r>
      <w:r>
        <w:rPr>
          <w:spacing w:val="-9"/>
          <w:sz w:val="20"/>
        </w:rPr>
        <w:t xml:space="preserve"> </w:t>
      </w:r>
      <w:r>
        <w:rPr>
          <w:sz w:val="20"/>
        </w:rPr>
        <w:t>Commission</w:t>
      </w:r>
      <w:r>
        <w:rPr>
          <w:spacing w:val="-8"/>
          <w:sz w:val="20"/>
        </w:rPr>
        <w:t xml:space="preserve"> </w:t>
      </w:r>
      <w:r>
        <w:rPr>
          <w:sz w:val="20"/>
        </w:rPr>
        <w:t>on</w:t>
      </w:r>
      <w:r>
        <w:rPr>
          <w:spacing w:val="-8"/>
          <w:sz w:val="20"/>
        </w:rPr>
        <w:t xml:space="preserve"> </w:t>
      </w:r>
      <w:r>
        <w:rPr>
          <w:sz w:val="20"/>
        </w:rPr>
        <w:t>LGBTQ</w:t>
      </w:r>
      <w:r>
        <w:rPr>
          <w:spacing w:val="-9"/>
          <w:sz w:val="20"/>
        </w:rPr>
        <w:t xml:space="preserve"> </w:t>
      </w:r>
      <w:r>
        <w:rPr>
          <w:sz w:val="20"/>
        </w:rPr>
        <w:t>Youth,</w:t>
      </w:r>
      <w:r>
        <w:rPr>
          <w:spacing w:val="-8"/>
          <w:sz w:val="20"/>
        </w:rPr>
        <w:t xml:space="preserve"> </w:t>
      </w:r>
      <w:r>
        <w:rPr>
          <w:sz w:val="20"/>
        </w:rPr>
        <w:t>“Analysis</w:t>
      </w:r>
      <w:r>
        <w:rPr>
          <w:spacing w:val="-9"/>
          <w:sz w:val="20"/>
        </w:rPr>
        <w:t xml:space="preserve"> </w:t>
      </w:r>
      <w:r>
        <w:rPr>
          <w:sz w:val="20"/>
        </w:rPr>
        <w:t>of</w:t>
      </w:r>
      <w:r>
        <w:rPr>
          <w:spacing w:val="-10"/>
          <w:sz w:val="20"/>
        </w:rPr>
        <w:t xml:space="preserve"> </w:t>
      </w:r>
      <w:r>
        <w:rPr>
          <w:sz w:val="20"/>
        </w:rPr>
        <w:t>2015-2017</w:t>
      </w:r>
      <w:r>
        <w:rPr>
          <w:spacing w:val="-10"/>
          <w:sz w:val="20"/>
        </w:rPr>
        <w:t xml:space="preserve"> </w:t>
      </w:r>
      <w:r>
        <w:rPr>
          <w:sz w:val="20"/>
        </w:rPr>
        <w:t>Massachusetts</w:t>
      </w:r>
      <w:r>
        <w:rPr>
          <w:spacing w:val="-11"/>
          <w:sz w:val="20"/>
        </w:rPr>
        <w:t xml:space="preserve"> </w:t>
      </w:r>
      <w:r>
        <w:rPr>
          <w:sz w:val="20"/>
        </w:rPr>
        <w:t>YRBS</w:t>
      </w:r>
      <w:r>
        <w:rPr>
          <w:spacing w:val="-8"/>
          <w:sz w:val="20"/>
        </w:rPr>
        <w:t xml:space="preserve"> </w:t>
      </w:r>
      <w:r>
        <w:rPr>
          <w:spacing w:val="-2"/>
          <w:sz w:val="20"/>
        </w:rPr>
        <w:t>Data".</w:t>
      </w:r>
    </w:p>
    <w:p w:rsidR="00C76E6D" w:rsidRDefault="00913831">
      <w:pPr>
        <w:spacing w:before="1" w:line="244" w:lineRule="exact"/>
        <w:ind w:left="480"/>
        <w:rPr>
          <w:sz w:val="20"/>
        </w:rPr>
      </w:pPr>
      <w:r>
        <w:rPr>
          <w:sz w:val="20"/>
          <w:vertAlign w:val="superscript"/>
        </w:rPr>
        <w:t>8</w:t>
      </w:r>
      <w:r>
        <w:rPr>
          <w:spacing w:val="-7"/>
          <w:sz w:val="20"/>
        </w:rPr>
        <w:t xml:space="preserve"> </w:t>
      </w:r>
      <w:r>
        <w:rPr>
          <w:sz w:val="20"/>
        </w:rPr>
        <w:t>Warren</w:t>
      </w:r>
      <w:r>
        <w:rPr>
          <w:spacing w:val="-8"/>
          <w:sz w:val="20"/>
        </w:rPr>
        <w:t xml:space="preserve"> </w:t>
      </w:r>
      <w:r>
        <w:rPr>
          <w:sz w:val="20"/>
        </w:rPr>
        <w:t>Blumenfeld</w:t>
      </w:r>
      <w:r>
        <w:rPr>
          <w:spacing w:val="-7"/>
          <w:sz w:val="20"/>
        </w:rPr>
        <w:t xml:space="preserve"> </w:t>
      </w:r>
      <w:r>
        <w:rPr>
          <w:sz w:val="20"/>
        </w:rPr>
        <w:t>and</w:t>
      </w:r>
      <w:r>
        <w:rPr>
          <w:spacing w:val="-8"/>
          <w:sz w:val="20"/>
        </w:rPr>
        <w:t xml:space="preserve"> </w:t>
      </w:r>
      <w:r>
        <w:rPr>
          <w:sz w:val="20"/>
        </w:rPr>
        <w:t>Robyn</w:t>
      </w:r>
      <w:r>
        <w:rPr>
          <w:spacing w:val="-9"/>
          <w:sz w:val="20"/>
        </w:rPr>
        <w:t xml:space="preserve"> </w:t>
      </w:r>
      <w:r>
        <w:rPr>
          <w:sz w:val="20"/>
        </w:rPr>
        <w:t>Cooper,</w:t>
      </w:r>
      <w:r>
        <w:rPr>
          <w:spacing w:val="-9"/>
          <w:sz w:val="20"/>
        </w:rPr>
        <w:t xml:space="preserve"> </w:t>
      </w:r>
      <w:r>
        <w:rPr>
          <w:sz w:val="20"/>
        </w:rPr>
        <w:t>“LGBT</w:t>
      </w:r>
      <w:r>
        <w:rPr>
          <w:spacing w:val="-8"/>
          <w:sz w:val="20"/>
        </w:rPr>
        <w:t xml:space="preserve"> </w:t>
      </w:r>
      <w:r>
        <w:rPr>
          <w:sz w:val="20"/>
        </w:rPr>
        <w:t>and</w:t>
      </w:r>
      <w:r>
        <w:rPr>
          <w:spacing w:val="-9"/>
          <w:sz w:val="20"/>
        </w:rPr>
        <w:t xml:space="preserve"> </w:t>
      </w:r>
      <w:r>
        <w:rPr>
          <w:sz w:val="20"/>
        </w:rPr>
        <w:t>Allied</w:t>
      </w:r>
      <w:r>
        <w:rPr>
          <w:spacing w:val="-7"/>
          <w:sz w:val="20"/>
        </w:rPr>
        <w:t xml:space="preserve"> </w:t>
      </w:r>
      <w:r>
        <w:rPr>
          <w:sz w:val="20"/>
        </w:rPr>
        <w:t>Yout</w:t>
      </w:r>
      <w:r>
        <w:rPr>
          <w:sz w:val="20"/>
        </w:rPr>
        <w:t>h</w:t>
      </w:r>
      <w:r>
        <w:rPr>
          <w:spacing w:val="-7"/>
          <w:sz w:val="20"/>
        </w:rPr>
        <w:t xml:space="preserve"> </w:t>
      </w:r>
      <w:r>
        <w:rPr>
          <w:sz w:val="20"/>
        </w:rPr>
        <w:t>Responses</w:t>
      </w:r>
      <w:r>
        <w:rPr>
          <w:spacing w:val="-8"/>
          <w:sz w:val="20"/>
        </w:rPr>
        <w:t xml:space="preserve"> </w:t>
      </w:r>
      <w:r>
        <w:rPr>
          <w:sz w:val="20"/>
        </w:rPr>
        <w:t>to</w:t>
      </w:r>
      <w:r>
        <w:rPr>
          <w:spacing w:val="-8"/>
          <w:sz w:val="20"/>
        </w:rPr>
        <w:t xml:space="preserve"> </w:t>
      </w:r>
      <w:r>
        <w:rPr>
          <w:sz w:val="20"/>
        </w:rPr>
        <w:t>Cyberbullying:</w:t>
      </w:r>
      <w:r>
        <w:rPr>
          <w:spacing w:val="-7"/>
          <w:sz w:val="20"/>
        </w:rPr>
        <w:t xml:space="preserve"> </w:t>
      </w:r>
      <w:r>
        <w:rPr>
          <w:sz w:val="20"/>
        </w:rPr>
        <w:t>Policy</w:t>
      </w:r>
      <w:r>
        <w:rPr>
          <w:spacing w:val="-6"/>
          <w:sz w:val="20"/>
        </w:rPr>
        <w:t xml:space="preserve"> </w:t>
      </w:r>
      <w:r>
        <w:rPr>
          <w:spacing w:val="-2"/>
          <w:sz w:val="20"/>
        </w:rPr>
        <w:t>Implications,”</w:t>
      </w:r>
    </w:p>
    <w:p w:rsidR="00C76E6D" w:rsidRDefault="00913831">
      <w:pPr>
        <w:spacing w:line="241" w:lineRule="exact"/>
        <w:ind w:left="480"/>
        <w:rPr>
          <w:sz w:val="20"/>
        </w:rPr>
      </w:pPr>
      <w:r>
        <w:rPr>
          <w:i/>
          <w:sz w:val="20"/>
        </w:rPr>
        <w:t>International</w:t>
      </w:r>
      <w:r>
        <w:rPr>
          <w:i/>
          <w:spacing w:val="-9"/>
          <w:sz w:val="20"/>
        </w:rPr>
        <w:t xml:space="preserve"> </w:t>
      </w:r>
      <w:r>
        <w:rPr>
          <w:i/>
          <w:sz w:val="20"/>
        </w:rPr>
        <w:t>Journal</w:t>
      </w:r>
      <w:r>
        <w:rPr>
          <w:i/>
          <w:spacing w:val="-7"/>
          <w:sz w:val="20"/>
        </w:rPr>
        <w:t xml:space="preserve"> </w:t>
      </w:r>
      <w:r>
        <w:rPr>
          <w:i/>
          <w:sz w:val="20"/>
        </w:rPr>
        <w:t>of</w:t>
      </w:r>
      <w:r>
        <w:rPr>
          <w:i/>
          <w:spacing w:val="-7"/>
          <w:sz w:val="20"/>
        </w:rPr>
        <w:t xml:space="preserve"> </w:t>
      </w:r>
      <w:r>
        <w:rPr>
          <w:i/>
          <w:sz w:val="20"/>
        </w:rPr>
        <w:t>Critical</w:t>
      </w:r>
      <w:r>
        <w:rPr>
          <w:i/>
          <w:spacing w:val="-6"/>
          <w:sz w:val="20"/>
        </w:rPr>
        <w:t xml:space="preserve"> </w:t>
      </w:r>
      <w:r>
        <w:rPr>
          <w:i/>
          <w:sz w:val="20"/>
        </w:rPr>
        <w:t>Pedagogy</w:t>
      </w:r>
      <w:r>
        <w:rPr>
          <w:i/>
          <w:spacing w:val="-7"/>
          <w:sz w:val="20"/>
        </w:rPr>
        <w:t xml:space="preserve"> </w:t>
      </w:r>
      <w:r>
        <w:rPr>
          <w:sz w:val="20"/>
        </w:rPr>
        <w:t>3</w:t>
      </w:r>
      <w:r>
        <w:rPr>
          <w:spacing w:val="-7"/>
          <w:sz w:val="20"/>
        </w:rPr>
        <w:t xml:space="preserve"> </w:t>
      </w:r>
      <w:r>
        <w:rPr>
          <w:sz w:val="20"/>
        </w:rPr>
        <w:t>(January</w:t>
      </w:r>
      <w:r>
        <w:rPr>
          <w:spacing w:val="-5"/>
          <w:sz w:val="20"/>
        </w:rPr>
        <w:t xml:space="preserve"> </w:t>
      </w:r>
      <w:r>
        <w:rPr>
          <w:sz w:val="20"/>
        </w:rPr>
        <w:t>1,</w:t>
      </w:r>
      <w:r>
        <w:rPr>
          <w:spacing w:val="-5"/>
          <w:sz w:val="20"/>
        </w:rPr>
        <w:t xml:space="preserve"> </w:t>
      </w:r>
      <w:r>
        <w:rPr>
          <w:spacing w:val="-2"/>
          <w:sz w:val="20"/>
        </w:rPr>
        <w:t>2010).</w:t>
      </w:r>
    </w:p>
    <w:p w:rsidR="00C76E6D" w:rsidRDefault="00913831">
      <w:pPr>
        <w:ind w:left="481" w:right="530" w:hanging="3"/>
        <w:rPr>
          <w:sz w:val="20"/>
        </w:rPr>
      </w:pPr>
      <w:bookmarkStart w:id="198" w:name="_bookmark100"/>
      <w:bookmarkEnd w:id="198"/>
      <w:r>
        <w:rPr>
          <w:sz w:val="20"/>
          <w:vertAlign w:val="superscript"/>
        </w:rPr>
        <w:t>9</w:t>
      </w:r>
      <w:r>
        <w:rPr>
          <w:spacing w:val="-6"/>
          <w:sz w:val="20"/>
        </w:rPr>
        <w:t xml:space="preserve"> </w:t>
      </w:r>
      <w:r>
        <w:rPr>
          <w:sz w:val="20"/>
        </w:rPr>
        <w:t>Mitch</w:t>
      </w:r>
      <w:r>
        <w:rPr>
          <w:spacing w:val="-6"/>
          <w:sz w:val="20"/>
        </w:rPr>
        <w:t xml:space="preserve"> </w:t>
      </w:r>
      <w:r>
        <w:rPr>
          <w:sz w:val="20"/>
        </w:rPr>
        <w:t>van</w:t>
      </w:r>
      <w:r>
        <w:rPr>
          <w:spacing w:val="-8"/>
          <w:sz w:val="20"/>
        </w:rPr>
        <w:t xml:space="preserve"> </w:t>
      </w:r>
      <w:r>
        <w:rPr>
          <w:sz w:val="20"/>
        </w:rPr>
        <w:t>Geel,</w:t>
      </w:r>
      <w:r>
        <w:rPr>
          <w:spacing w:val="-6"/>
          <w:sz w:val="20"/>
        </w:rPr>
        <w:t xml:space="preserve"> </w:t>
      </w:r>
      <w:r>
        <w:rPr>
          <w:sz w:val="20"/>
        </w:rPr>
        <w:t>Paul</w:t>
      </w:r>
      <w:r>
        <w:rPr>
          <w:spacing w:val="-8"/>
          <w:sz w:val="20"/>
        </w:rPr>
        <w:t xml:space="preserve"> </w:t>
      </w:r>
      <w:r>
        <w:rPr>
          <w:sz w:val="20"/>
        </w:rPr>
        <w:t>Vedder,</w:t>
      </w:r>
      <w:r>
        <w:rPr>
          <w:spacing w:val="-6"/>
          <w:sz w:val="20"/>
        </w:rPr>
        <w:t xml:space="preserve"> </w:t>
      </w:r>
      <w:r>
        <w:rPr>
          <w:sz w:val="20"/>
        </w:rPr>
        <w:t>and</w:t>
      </w:r>
      <w:r>
        <w:rPr>
          <w:spacing w:val="-6"/>
          <w:sz w:val="20"/>
        </w:rPr>
        <w:t xml:space="preserve"> </w:t>
      </w:r>
      <w:r>
        <w:rPr>
          <w:sz w:val="20"/>
        </w:rPr>
        <w:t>Jenny</w:t>
      </w:r>
      <w:r>
        <w:rPr>
          <w:spacing w:val="-5"/>
          <w:sz w:val="20"/>
        </w:rPr>
        <w:t xml:space="preserve"> </w:t>
      </w:r>
      <w:r>
        <w:rPr>
          <w:sz w:val="20"/>
        </w:rPr>
        <w:t>Tanilon,</w:t>
      </w:r>
      <w:r>
        <w:rPr>
          <w:spacing w:val="-6"/>
          <w:sz w:val="20"/>
        </w:rPr>
        <w:t xml:space="preserve"> </w:t>
      </w:r>
      <w:r>
        <w:rPr>
          <w:sz w:val="20"/>
        </w:rPr>
        <w:t>“Relationship</w:t>
      </w:r>
      <w:r>
        <w:rPr>
          <w:spacing w:val="-6"/>
          <w:sz w:val="20"/>
        </w:rPr>
        <w:t xml:space="preserve"> </w:t>
      </w:r>
      <w:r>
        <w:rPr>
          <w:sz w:val="20"/>
        </w:rPr>
        <w:t>Between</w:t>
      </w:r>
      <w:r>
        <w:rPr>
          <w:spacing w:val="-8"/>
          <w:sz w:val="20"/>
        </w:rPr>
        <w:t xml:space="preserve"> </w:t>
      </w:r>
      <w:r>
        <w:rPr>
          <w:sz w:val="20"/>
        </w:rPr>
        <w:t>Peer</w:t>
      </w:r>
      <w:r>
        <w:rPr>
          <w:spacing w:val="-7"/>
          <w:sz w:val="20"/>
        </w:rPr>
        <w:t xml:space="preserve"> </w:t>
      </w:r>
      <w:r>
        <w:rPr>
          <w:sz w:val="20"/>
        </w:rPr>
        <w:t>Victimization,</w:t>
      </w:r>
      <w:r>
        <w:rPr>
          <w:spacing w:val="-6"/>
          <w:sz w:val="20"/>
        </w:rPr>
        <w:t xml:space="preserve"> </w:t>
      </w:r>
      <w:r>
        <w:rPr>
          <w:sz w:val="20"/>
        </w:rPr>
        <w:t>Cyberbullying,</w:t>
      </w:r>
      <w:r>
        <w:rPr>
          <w:spacing w:val="-7"/>
          <w:sz w:val="20"/>
        </w:rPr>
        <w:t xml:space="preserve"> </w:t>
      </w:r>
      <w:r>
        <w:rPr>
          <w:sz w:val="20"/>
        </w:rPr>
        <w:t xml:space="preserve">and Suicide in Children and Adolescents: A Meta-Analysis,” </w:t>
      </w:r>
      <w:r>
        <w:rPr>
          <w:i/>
          <w:sz w:val="20"/>
        </w:rPr>
        <w:t xml:space="preserve">JAMA Pediatrics </w:t>
      </w:r>
      <w:r>
        <w:rPr>
          <w:sz w:val="20"/>
        </w:rPr>
        <w:t xml:space="preserve">168, no. 5 (May 1, 2014): 435, </w:t>
      </w:r>
      <w:bookmarkStart w:id="199" w:name="_bookmark101"/>
      <w:bookmarkEnd w:id="199"/>
      <w:r>
        <w:rPr>
          <w:spacing w:val="-2"/>
          <w:sz w:val="20"/>
        </w:rPr>
        <w:t>https://doi.org/10.1001/jamapediatrics.2013.4143.</w:t>
      </w:r>
    </w:p>
    <w:p w:rsidR="00C76E6D" w:rsidRDefault="00913831">
      <w:pPr>
        <w:spacing w:before="3" w:line="241" w:lineRule="exact"/>
        <w:ind w:left="480"/>
        <w:rPr>
          <w:sz w:val="20"/>
        </w:rPr>
      </w:pPr>
      <w:r>
        <w:rPr>
          <w:sz w:val="20"/>
          <w:vertAlign w:val="superscript"/>
        </w:rPr>
        <w:t>10</w:t>
      </w:r>
      <w:r>
        <w:rPr>
          <w:spacing w:val="-8"/>
          <w:sz w:val="20"/>
        </w:rPr>
        <w:t xml:space="preserve"> </w:t>
      </w:r>
      <w:r>
        <w:rPr>
          <w:sz w:val="20"/>
        </w:rPr>
        <w:t>Massachusetts</w:t>
      </w:r>
      <w:r>
        <w:rPr>
          <w:spacing w:val="-9"/>
          <w:sz w:val="20"/>
        </w:rPr>
        <w:t xml:space="preserve"> </w:t>
      </w:r>
      <w:r>
        <w:rPr>
          <w:sz w:val="20"/>
        </w:rPr>
        <w:t>Commission</w:t>
      </w:r>
      <w:r>
        <w:rPr>
          <w:spacing w:val="-7"/>
          <w:sz w:val="20"/>
        </w:rPr>
        <w:t xml:space="preserve"> </w:t>
      </w:r>
      <w:r>
        <w:rPr>
          <w:sz w:val="20"/>
        </w:rPr>
        <w:t>on</w:t>
      </w:r>
      <w:r>
        <w:rPr>
          <w:spacing w:val="-7"/>
          <w:sz w:val="20"/>
        </w:rPr>
        <w:t xml:space="preserve"> </w:t>
      </w:r>
      <w:r>
        <w:rPr>
          <w:sz w:val="20"/>
        </w:rPr>
        <w:t>LGBTQ</w:t>
      </w:r>
      <w:r>
        <w:rPr>
          <w:spacing w:val="-10"/>
          <w:sz w:val="20"/>
        </w:rPr>
        <w:t xml:space="preserve"> </w:t>
      </w:r>
      <w:r>
        <w:rPr>
          <w:sz w:val="20"/>
        </w:rPr>
        <w:t>Youth,</w:t>
      </w:r>
      <w:r>
        <w:rPr>
          <w:spacing w:val="-8"/>
          <w:sz w:val="20"/>
        </w:rPr>
        <w:t xml:space="preserve"> </w:t>
      </w:r>
      <w:r>
        <w:rPr>
          <w:sz w:val="20"/>
        </w:rPr>
        <w:t>“Analysis</w:t>
      </w:r>
      <w:r>
        <w:rPr>
          <w:spacing w:val="-10"/>
          <w:sz w:val="20"/>
        </w:rPr>
        <w:t xml:space="preserve"> </w:t>
      </w:r>
      <w:r>
        <w:rPr>
          <w:sz w:val="20"/>
        </w:rPr>
        <w:t>of</w:t>
      </w:r>
      <w:r>
        <w:rPr>
          <w:spacing w:val="-9"/>
          <w:sz w:val="20"/>
        </w:rPr>
        <w:t xml:space="preserve"> </w:t>
      </w:r>
      <w:r>
        <w:rPr>
          <w:sz w:val="20"/>
        </w:rPr>
        <w:t>2015-2017</w:t>
      </w:r>
      <w:r>
        <w:rPr>
          <w:spacing w:val="-9"/>
          <w:sz w:val="20"/>
        </w:rPr>
        <w:t xml:space="preserve"> </w:t>
      </w:r>
      <w:r>
        <w:rPr>
          <w:sz w:val="20"/>
        </w:rPr>
        <w:t>Massachusetts</w:t>
      </w:r>
      <w:r>
        <w:rPr>
          <w:spacing w:val="-11"/>
          <w:sz w:val="20"/>
        </w:rPr>
        <w:t xml:space="preserve"> </w:t>
      </w:r>
      <w:r>
        <w:rPr>
          <w:sz w:val="20"/>
        </w:rPr>
        <w:t>YRBS</w:t>
      </w:r>
      <w:r>
        <w:rPr>
          <w:spacing w:val="-10"/>
          <w:sz w:val="20"/>
        </w:rPr>
        <w:t xml:space="preserve"> </w:t>
      </w:r>
      <w:r>
        <w:rPr>
          <w:spacing w:val="-2"/>
          <w:sz w:val="20"/>
        </w:rPr>
        <w:t>Data.”</w:t>
      </w:r>
    </w:p>
    <w:p w:rsidR="00C76E6D" w:rsidRDefault="00913831">
      <w:pPr>
        <w:ind w:left="481" w:right="530" w:hanging="3"/>
        <w:rPr>
          <w:sz w:val="20"/>
        </w:rPr>
      </w:pPr>
      <w:bookmarkStart w:id="200" w:name="_bookmark102"/>
      <w:bookmarkEnd w:id="200"/>
      <w:r>
        <w:rPr>
          <w:sz w:val="20"/>
          <w:vertAlign w:val="superscript"/>
        </w:rPr>
        <w:t>11</w:t>
      </w:r>
      <w:r>
        <w:rPr>
          <w:spacing w:val="-6"/>
          <w:sz w:val="20"/>
        </w:rPr>
        <w:t xml:space="preserve"> </w:t>
      </w:r>
      <w:r>
        <w:rPr>
          <w:sz w:val="20"/>
        </w:rPr>
        <w:t>Massachusetts</w:t>
      </w:r>
      <w:r>
        <w:rPr>
          <w:spacing w:val="-7"/>
          <w:sz w:val="20"/>
        </w:rPr>
        <w:t xml:space="preserve"> </w:t>
      </w:r>
      <w:r>
        <w:rPr>
          <w:sz w:val="20"/>
        </w:rPr>
        <w:t>Commission</w:t>
      </w:r>
      <w:r>
        <w:rPr>
          <w:spacing w:val="-6"/>
          <w:sz w:val="20"/>
        </w:rPr>
        <w:t xml:space="preserve"> </w:t>
      </w:r>
      <w:r>
        <w:rPr>
          <w:sz w:val="20"/>
        </w:rPr>
        <w:t>on</w:t>
      </w:r>
      <w:r>
        <w:rPr>
          <w:spacing w:val="-6"/>
          <w:sz w:val="20"/>
        </w:rPr>
        <w:t xml:space="preserve"> </w:t>
      </w:r>
      <w:r>
        <w:rPr>
          <w:sz w:val="20"/>
        </w:rPr>
        <w:t>LGBTQ</w:t>
      </w:r>
      <w:r>
        <w:rPr>
          <w:spacing w:val="-7"/>
          <w:sz w:val="20"/>
        </w:rPr>
        <w:t xml:space="preserve"> </w:t>
      </w:r>
      <w:r>
        <w:rPr>
          <w:sz w:val="20"/>
        </w:rPr>
        <w:t>Youth,</w:t>
      </w:r>
      <w:r>
        <w:rPr>
          <w:spacing w:val="-7"/>
          <w:sz w:val="20"/>
        </w:rPr>
        <w:t xml:space="preserve"> </w:t>
      </w:r>
      <w:r>
        <w:rPr>
          <w:sz w:val="20"/>
        </w:rPr>
        <w:t>“Massachusetts</w:t>
      </w:r>
      <w:r>
        <w:rPr>
          <w:spacing w:val="-7"/>
          <w:sz w:val="20"/>
        </w:rPr>
        <w:t xml:space="preserve"> </w:t>
      </w:r>
      <w:r>
        <w:rPr>
          <w:sz w:val="20"/>
        </w:rPr>
        <w:t>Commission</w:t>
      </w:r>
      <w:r>
        <w:rPr>
          <w:spacing w:val="-6"/>
          <w:sz w:val="20"/>
        </w:rPr>
        <w:t xml:space="preserve"> </w:t>
      </w:r>
      <w:r>
        <w:rPr>
          <w:sz w:val="20"/>
        </w:rPr>
        <w:t>on</w:t>
      </w:r>
      <w:r>
        <w:rPr>
          <w:spacing w:val="-6"/>
          <w:sz w:val="20"/>
        </w:rPr>
        <w:t xml:space="preserve"> </w:t>
      </w:r>
      <w:r>
        <w:rPr>
          <w:sz w:val="20"/>
        </w:rPr>
        <w:t>LGBTQ</w:t>
      </w:r>
      <w:r>
        <w:rPr>
          <w:spacing w:val="-9"/>
          <w:sz w:val="20"/>
        </w:rPr>
        <w:t xml:space="preserve"> </w:t>
      </w:r>
      <w:r>
        <w:rPr>
          <w:sz w:val="20"/>
        </w:rPr>
        <w:t>Youth:</w:t>
      </w:r>
      <w:r>
        <w:rPr>
          <w:spacing w:val="-7"/>
          <w:sz w:val="20"/>
        </w:rPr>
        <w:t xml:space="preserve"> </w:t>
      </w:r>
      <w:r>
        <w:rPr>
          <w:sz w:val="20"/>
        </w:rPr>
        <w:t>2020</w:t>
      </w:r>
      <w:r>
        <w:rPr>
          <w:spacing w:val="-7"/>
          <w:sz w:val="20"/>
        </w:rPr>
        <w:t xml:space="preserve"> </w:t>
      </w:r>
      <w:r>
        <w:rPr>
          <w:sz w:val="20"/>
        </w:rPr>
        <w:t>Report</w:t>
      </w:r>
      <w:r>
        <w:rPr>
          <w:spacing w:val="-7"/>
          <w:sz w:val="20"/>
        </w:rPr>
        <w:t xml:space="preserve"> </w:t>
      </w:r>
      <w:r>
        <w:rPr>
          <w:sz w:val="20"/>
        </w:rPr>
        <w:t xml:space="preserve">and </w:t>
      </w:r>
      <w:r>
        <w:rPr>
          <w:spacing w:val="-2"/>
          <w:sz w:val="20"/>
        </w:rPr>
        <w:t>Recommendations.”</w:t>
      </w:r>
    </w:p>
    <w:p w:rsidR="00C76E6D" w:rsidRDefault="00913831">
      <w:pPr>
        <w:ind w:left="480" w:right="530" w:hanging="3"/>
        <w:rPr>
          <w:sz w:val="20"/>
        </w:rPr>
      </w:pPr>
      <w:bookmarkStart w:id="201" w:name="_bookmark103"/>
      <w:bookmarkEnd w:id="201"/>
      <w:r>
        <w:rPr>
          <w:sz w:val="20"/>
          <w:vertAlign w:val="superscript"/>
        </w:rPr>
        <w:t>12</w:t>
      </w:r>
      <w:r>
        <w:rPr>
          <w:spacing w:val="-6"/>
          <w:sz w:val="20"/>
        </w:rPr>
        <w:t xml:space="preserve"> </w:t>
      </w:r>
      <w:r>
        <w:rPr>
          <w:sz w:val="20"/>
        </w:rPr>
        <w:t>Dorothy</w:t>
      </w:r>
      <w:r>
        <w:rPr>
          <w:spacing w:val="-6"/>
          <w:sz w:val="20"/>
        </w:rPr>
        <w:t xml:space="preserve"> </w:t>
      </w:r>
      <w:r>
        <w:rPr>
          <w:sz w:val="20"/>
        </w:rPr>
        <w:t>L.</w:t>
      </w:r>
      <w:r>
        <w:rPr>
          <w:spacing w:val="-7"/>
          <w:sz w:val="20"/>
        </w:rPr>
        <w:t xml:space="preserve"> </w:t>
      </w:r>
      <w:r>
        <w:rPr>
          <w:sz w:val="20"/>
        </w:rPr>
        <w:t>Espelage</w:t>
      </w:r>
      <w:r>
        <w:rPr>
          <w:spacing w:val="-6"/>
          <w:sz w:val="20"/>
        </w:rPr>
        <w:t xml:space="preserve"> </w:t>
      </w:r>
      <w:r>
        <w:rPr>
          <w:sz w:val="20"/>
        </w:rPr>
        <w:t>et</w:t>
      </w:r>
      <w:r>
        <w:rPr>
          <w:spacing w:val="-7"/>
          <w:sz w:val="20"/>
        </w:rPr>
        <w:t xml:space="preserve"> </w:t>
      </w:r>
      <w:r>
        <w:rPr>
          <w:sz w:val="20"/>
        </w:rPr>
        <w:t>al.,</w:t>
      </w:r>
      <w:r>
        <w:rPr>
          <w:spacing w:val="-6"/>
          <w:sz w:val="20"/>
        </w:rPr>
        <w:t xml:space="preserve"> </w:t>
      </w:r>
      <w:r>
        <w:rPr>
          <w:sz w:val="20"/>
        </w:rPr>
        <w:t>“Homophobic</w:t>
      </w:r>
      <w:r>
        <w:rPr>
          <w:spacing w:val="-6"/>
          <w:sz w:val="20"/>
        </w:rPr>
        <w:t xml:space="preserve"> </w:t>
      </w:r>
      <w:r>
        <w:rPr>
          <w:sz w:val="20"/>
        </w:rPr>
        <w:t>Teasing,</w:t>
      </w:r>
      <w:r>
        <w:rPr>
          <w:spacing w:val="-6"/>
          <w:sz w:val="20"/>
        </w:rPr>
        <w:t xml:space="preserve"> </w:t>
      </w:r>
      <w:r>
        <w:rPr>
          <w:sz w:val="20"/>
        </w:rPr>
        <w:t>Psychological</w:t>
      </w:r>
      <w:r>
        <w:rPr>
          <w:spacing w:val="-7"/>
          <w:sz w:val="20"/>
        </w:rPr>
        <w:t xml:space="preserve"> </w:t>
      </w:r>
      <w:r>
        <w:rPr>
          <w:sz w:val="20"/>
        </w:rPr>
        <w:t>Outcomes,</w:t>
      </w:r>
      <w:r>
        <w:rPr>
          <w:spacing w:val="-6"/>
          <w:sz w:val="20"/>
        </w:rPr>
        <w:t xml:space="preserve"> </w:t>
      </w:r>
      <w:r>
        <w:rPr>
          <w:sz w:val="20"/>
        </w:rPr>
        <w:t>and</w:t>
      </w:r>
      <w:r>
        <w:rPr>
          <w:spacing w:val="-6"/>
          <w:sz w:val="20"/>
        </w:rPr>
        <w:t xml:space="preserve"> </w:t>
      </w:r>
      <w:r>
        <w:rPr>
          <w:sz w:val="20"/>
        </w:rPr>
        <w:t>Sexual</w:t>
      </w:r>
      <w:r>
        <w:rPr>
          <w:spacing w:val="-6"/>
          <w:sz w:val="20"/>
        </w:rPr>
        <w:t xml:space="preserve"> </w:t>
      </w:r>
      <w:r>
        <w:rPr>
          <w:sz w:val="20"/>
        </w:rPr>
        <w:t>Orientation</w:t>
      </w:r>
      <w:r>
        <w:rPr>
          <w:spacing w:val="-8"/>
          <w:sz w:val="20"/>
        </w:rPr>
        <w:t xml:space="preserve"> </w:t>
      </w:r>
      <w:r>
        <w:rPr>
          <w:sz w:val="20"/>
        </w:rPr>
        <w:t>Among</w:t>
      </w:r>
      <w:r>
        <w:rPr>
          <w:spacing w:val="-6"/>
          <w:sz w:val="20"/>
        </w:rPr>
        <w:t xml:space="preserve"> </w:t>
      </w:r>
      <w:r>
        <w:rPr>
          <w:sz w:val="20"/>
        </w:rPr>
        <w:t>High School Students: What Influen</w:t>
      </w:r>
      <w:r>
        <w:rPr>
          <w:sz w:val="20"/>
        </w:rPr>
        <w:t xml:space="preserve">ce Do Parents and Schools Have?,” </w:t>
      </w:r>
      <w:r>
        <w:rPr>
          <w:i/>
          <w:sz w:val="20"/>
        </w:rPr>
        <w:t xml:space="preserve">School Psychology Review </w:t>
      </w:r>
      <w:r>
        <w:rPr>
          <w:sz w:val="20"/>
        </w:rPr>
        <w:t>37, no. 2 (June 1, 2008): 202–16, https://doi.org/10.1080/02796015.2008.12087894.</w:t>
      </w:r>
    </w:p>
    <w:p w:rsidR="00C76E6D" w:rsidRDefault="00913831">
      <w:pPr>
        <w:ind w:left="479" w:right="526" w:hanging="1"/>
        <w:rPr>
          <w:sz w:val="20"/>
        </w:rPr>
      </w:pPr>
      <w:bookmarkStart w:id="202" w:name="_bookmark104"/>
      <w:bookmarkEnd w:id="202"/>
      <w:r>
        <w:rPr>
          <w:sz w:val="20"/>
          <w:vertAlign w:val="superscript"/>
        </w:rPr>
        <w:t>13</w:t>
      </w:r>
      <w:r>
        <w:rPr>
          <w:spacing w:val="-6"/>
          <w:sz w:val="20"/>
        </w:rPr>
        <w:t xml:space="preserve"> </w:t>
      </w:r>
      <w:r>
        <w:rPr>
          <w:sz w:val="20"/>
        </w:rPr>
        <w:t>Katie</w:t>
      </w:r>
      <w:r>
        <w:rPr>
          <w:spacing w:val="-8"/>
          <w:sz w:val="20"/>
        </w:rPr>
        <w:t xml:space="preserve"> </w:t>
      </w:r>
      <w:r>
        <w:rPr>
          <w:sz w:val="20"/>
        </w:rPr>
        <w:t>Swanson</w:t>
      </w:r>
      <w:r>
        <w:rPr>
          <w:spacing w:val="-6"/>
          <w:sz w:val="20"/>
        </w:rPr>
        <w:t xml:space="preserve"> </w:t>
      </w:r>
      <w:r>
        <w:rPr>
          <w:sz w:val="20"/>
        </w:rPr>
        <w:t>and</w:t>
      </w:r>
      <w:r>
        <w:rPr>
          <w:spacing w:val="-8"/>
          <w:sz w:val="20"/>
        </w:rPr>
        <w:t xml:space="preserve"> </w:t>
      </w:r>
      <w:r>
        <w:rPr>
          <w:sz w:val="20"/>
        </w:rPr>
        <w:t>Maribeth</w:t>
      </w:r>
      <w:r>
        <w:rPr>
          <w:spacing w:val="-6"/>
          <w:sz w:val="20"/>
        </w:rPr>
        <w:t xml:space="preserve"> </w:t>
      </w:r>
      <w:r>
        <w:rPr>
          <w:sz w:val="20"/>
        </w:rPr>
        <w:t>Gettinger,</w:t>
      </w:r>
      <w:r>
        <w:rPr>
          <w:spacing w:val="-7"/>
          <w:sz w:val="20"/>
        </w:rPr>
        <w:t xml:space="preserve"> </w:t>
      </w:r>
      <w:r>
        <w:rPr>
          <w:sz w:val="20"/>
        </w:rPr>
        <w:t>“Teachers’</w:t>
      </w:r>
      <w:r>
        <w:rPr>
          <w:spacing w:val="-8"/>
          <w:sz w:val="20"/>
        </w:rPr>
        <w:t xml:space="preserve"> </w:t>
      </w:r>
      <w:r>
        <w:rPr>
          <w:sz w:val="20"/>
        </w:rPr>
        <w:t>Knowledge,</w:t>
      </w:r>
      <w:r>
        <w:rPr>
          <w:spacing w:val="-7"/>
          <w:sz w:val="20"/>
        </w:rPr>
        <w:t xml:space="preserve"> </w:t>
      </w:r>
      <w:r>
        <w:rPr>
          <w:sz w:val="20"/>
        </w:rPr>
        <w:t>Attitudes,</w:t>
      </w:r>
      <w:r>
        <w:rPr>
          <w:spacing w:val="-6"/>
          <w:sz w:val="20"/>
        </w:rPr>
        <w:t xml:space="preserve"> </w:t>
      </w:r>
      <w:r>
        <w:rPr>
          <w:sz w:val="20"/>
        </w:rPr>
        <w:t>and</w:t>
      </w:r>
      <w:r>
        <w:rPr>
          <w:spacing w:val="-6"/>
          <w:sz w:val="20"/>
        </w:rPr>
        <w:t xml:space="preserve"> </w:t>
      </w:r>
      <w:r>
        <w:rPr>
          <w:sz w:val="20"/>
        </w:rPr>
        <w:t>Supportive</w:t>
      </w:r>
      <w:r>
        <w:rPr>
          <w:spacing w:val="-7"/>
          <w:sz w:val="20"/>
        </w:rPr>
        <w:t xml:space="preserve"> </w:t>
      </w:r>
      <w:r>
        <w:rPr>
          <w:sz w:val="20"/>
        </w:rPr>
        <w:t>Behaviors</w:t>
      </w:r>
      <w:r>
        <w:rPr>
          <w:spacing w:val="-7"/>
          <w:sz w:val="20"/>
        </w:rPr>
        <w:t xml:space="preserve"> </w:t>
      </w:r>
      <w:r>
        <w:rPr>
          <w:sz w:val="20"/>
        </w:rPr>
        <w:t>toward</w:t>
      </w:r>
      <w:r>
        <w:rPr>
          <w:spacing w:val="-6"/>
          <w:sz w:val="20"/>
        </w:rPr>
        <w:t xml:space="preserve"> </w:t>
      </w:r>
      <w:r>
        <w:rPr>
          <w:sz w:val="20"/>
        </w:rPr>
        <w:t xml:space="preserve">LGBT Students: Relationship to Gay-Straight Alliances, Antibullying Policy, and Teacher Training,” </w:t>
      </w:r>
      <w:r>
        <w:rPr>
          <w:i/>
          <w:sz w:val="20"/>
        </w:rPr>
        <w:t xml:space="preserve">Journal of LGBT Youth </w:t>
      </w:r>
      <w:r>
        <w:rPr>
          <w:sz w:val="20"/>
        </w:rPr>
        <w:t xml:space="preserve">13, no. 4 (October 2016): 326–51, https://doi.org/10.1080/19361653.2016.1185765; Emily S. Fisher et al., “Promoting School Success for </w:t>
      </w:r>
      <w:r>
        <w:rPr>
          <w:sz w:val="20"/>
        </w:rPr>
        <w:t xml:space="preserve">Lesbian, Gay, Bisexual, Transgendered, and Questioning Students: Primary, Secondary, and Tertiary Prevention and Intervention Strategies,” </w:t>
      </w:r>
      <w:r>
        <w:rPr>
          <w:i/>
          <w:sz w:val="20"/>
        </w:rPr>
        <w:t xml:space="preserve">The California School Psychologist </w:t>
      </w:r>
      <w:r>
        <w:rPr>
          <w:sz w:val="20"/>
        </w:rPr>
        <w:t>13, no. 1 (January</w:t>
      </w:r>
      <w:r>
        <w:rPr>
          <w:spacing w:val="-6"/>
          <w:sz w:val="20"/>
        </w:rPr>
        <w:t xml:space="preserve"> </w:t>
      </w:r>
      <w:r>
        <w:rPr>
          <w:sz w:val="20"/>
        </w:rPr>
        <w:t>2008):</w:t>
      </w:r>
      <w:r>
        <w:rPr>
          <w:spacing w:val="-4"/>
          <w:sz w:val="20"/>
        </w:rPr>
        <w:t xml:space="preserve"> </w:t>
      </w:r>
      <w:r>
        <w:rPr>
          <w:sz w:val="20"/>
        </w:rPr>
        <w:t>79–91,</w:t>
      </w:r>
      <w:r>
        <w:rPr>
          <w:spacing w:val="-6"/>
          <w:sz w:val="20"/>
        </w:rPr>
        <w:t xml:space="preserve"> </w:t>
      </w:r>
      <w:r>
        <w:rPr>
          <w:sz w:val="20"/>
        </w:rPr>
        <w:t>https://doi.org/10.1007/BF03340944;</w:t>
      </w:r>
      <w:r>
        <w:rPr>
          <w:spacing w:val="-6"/>
          <w:sz w:val="20"/>
        </w:rPr>
        <w:t xml:space="preserve"> </w:t>
      </w:r>
      <w:r>
        <w:rPr>
          <w:sz w:val="20"/>
        </w:rPr>
        <w:t>Rebekah</w:t>
      </w:r>
      <w:r>
        <w:rPr>
          <w:spacing w:val="-5"/>
          <w:sz w:val="20"/>
        </w:rPr>
        <w:t xml:space="preserve"> </w:t>
      </w:r>
      <w:r>
        <w:rPr>
          <w:sz w:val="20"/>
        </w:rPr>
        <w:t>Byrd</w:t>
      </w:r>
      <w:r>
        <w:rPr>
          <w:spacing w:val="-4"/>
          <w:sz w:val="20"/>
        </w:rPr>
        <w:t xml:space="preserve"> </w:t>
      </w:r>
      <w:r>
        <w:rPr>
          <w:sz w:val="20"/>
        </w:rPr>
        <w:t>and</w:t>
      </w:r>
      <w:r>
        <w:rPr>
          <w:spacing w:val="-6"/>
          <w:sz w:val="20"/>
        </w:rPr>
        <w:t xml:space="preserve"> </w:t>
      </w:r>
      <w:r>
        <w:rPr>
          <w:sz w:val="20"/>
        </w:rPr>
        <w:t>Danica</w:t>
      </w:r>
      <w:r>
        <w:rPr>
          <w:spacing w:val="-7"/>
          <w:sz w:val="20"/>
        </w:rPr>
        <w:t xml:space="preserve"> </w:t>
      </w:r>
      <w:r>
        <w:rPr>
          <w:sz w:val="20"/>
        </w:rPr>
        <w:t>G.</w:t>
      </w:r>
      <w:r>
        <w:rPr>
          <w:spacing w:val="-5"/>
          <w:sz w:val="20"/>
        </w:rPr>
        <w:t xml:space="preserve"> </w:t>
      </w:r>
      <w:r>
        <w:rPr>
          <w:sz w:val="20"/>
        </w:rPr>
        <w:t>Hays,</w:t>
      </w:r>
      <w:r>
        <w:rPr>
          <w:spacing w:val="-4"/>
          <w:sz w:val="20"/>
        </w:rPr>
        <w:t xml:space="preserve"> </w:t>
      </w:r>
      <w:r>
        <w:rPr>
          <w:sz w:val="20"/>
        </w:rPr>
        <w:t>“Evaluating</w:t>
      </w:r>
      <w:r>
        <w:rPr>
          <w:spacing w:val="-4"/>
          <w:sz w:val="20"/>
        </w:rPr>
        <w:t xml:space="preserve"> </w:t>
      </w:r>
      <w:r>
        <w:rPr>
          <w:sz w:val="20"/>
        </w:rPr>
        <w:t>A</w:t>
      </w:r>
      <w:r>
        <w:rPr>
          <w:spacing w:val="-6"/>
          <w:sz w:val="20"/>
        </w:rPr>
        <w:t xml:space="preserve"> </w:t>
      </w:r>
      <w:r>
        <w:rPr>
          <w:sz w:val="20"/>
        </w:rPr>
        <w:t>Safe Space</w:t>
      </w:r>
      <w:r>
        <w:rPr>
          <w:spacing w:val="-2"/>
          <w:sz w:val="20"/>
        </w:rPr>
        <w:t xml:space="preserve"> </w:t>
      </w:r>
      <w:r>
        <w:rPr>
          <w:sz w:val="20"/>
        </w:rPr>
        <w:t>Training</w:t>
      </w:r>
      <w:r>
        <w:rPr>
          <w:spacing w:val="-3"/>
          <w:sz w:val="20"/>
        </w:rPr>
        <w:t xml:space="preserve"> </w:t>
      </w:r>
      <w:r>
        <w:rPr>
          <w:sz w:val="20"/>
        </w:rPr>
        <w:t>for</w:t>
      </w:r>
      <w:r>
        <w:rPr>
          <w:spacing w:val="-2"/>
          <w:sz w:val="20"/>
        </w:rPr>
        <w:t xml:space="preserve"> </w:t>
      </w:r>
      <w:r>
        <w:rPr>
          <w:sz w:val="20"/>
        </w:rPr>
        <w:t>School</w:t>
      </w:r>
      <w:r>
        <w:rPr>
          <w:spacing w:val="-3"/>
          <w:sz w:val="20"/>
        </w:rPr>
        <w:t xml:space="preserve"> </w:t>
      </w:r>
      <w:r>
        <w:rPr>
          <w:sz w:val="20"/>
        </w:rPr>
        <w:t>Counselors</w:t>
      </w:r>
      <w:r>
        <w:rPr>
          <w:spacing w:val="-2"/>
          <w:sz w:val="20"/>
        </w:rPr>
        <w:t xml:space="preserve"> </w:t>
      </w:r>
      <w:r>
        <w:rPr>
          <w:sz w:val="20"/>
        </w:rPr>
        <w:t>and</w:t>
      </w:r>
      <w:r>
        <w:rPr>
          <w:spacing w:val="-3"/>
          <w:sz w:val="20"/>
        </w:rPr>
        <w:t xml:space="preserve"> </w:t>
      </w:r>
      <w:r>
        <w:rPr>
          <w:sz w:val="20"/>
        </w:rPr>
        <w:t>Trainees</w:t>
      </w:r>
      <w:r>
        <w:rPr>
          <w:spacing w:val="-2"/>
          <w:sz w:val="20"/>
        </w:rPr>
        <w:t xml:space="preserve"> </w:t>
      </w:r>
      <w:r>
        <w:rPr>
          <w:sz w:val="20"/>
        </w:rPr>
        <w:t>Using</w:t>
      </w:r>
      <w:r>
        <w:rPr>
          <w:spacing w:val="-3"/>
          <w:sz w:val="20"/>
        </w:rPr>
        <w:t xml:space="preserve"> </w:t>
      </w:r>
      <w:r>
        <w:rPr>
          <w:sz w:val="20"/>
        </w:rPr>
        <w:t>a</w:t>
      </w:r>
      <w:r>
        <w:rPr>
          <w:spacing w:val="-3"/>
          <w:sz w:val="20"/>
        </w:rPr>
        <w:t xml:space="preserve"> </w:t>
      </w:r>
      <w:r>
        <w:rPr>
          <w:sz w:val="20"/>
        </w:rPr>
        <w:t>Randomized</w:t>
      </w:r>
      <w:r>
        <w:rPr>
          <w:spacing w:val="-2"/>
          <w:sz w:val="20"/>
        </w:rPr>
        <w:t xml:space="preserve"> </w:t>
      </w:r>
      <w:r>
        <w:rPr>
          <w:sz w:val="20"/>
        </w:rPr>
        <w:t>Control</w:t>
      </w:r>
      <w:r>
        <w:rPr>
          <w:spacing w:val="-2"/>
          <w:sz w:val="20"/>
        </w:rPr>
        <w:t xml:space="preserve"> </w:t>
      </w:r>
      <w:r>
        <w:rPr>
          <w:sz w:val="20"/>
        </w:rPr>
        <w:t>Group</w:t>
      </w:r>
      <w:r>
        <w:rPr>
          <w:spacing w:val="-2"/>
          <w:sz w:val="20"/>
        </w:rPr>
        <w:t xml:space="preserve"> </w:t>
      </w:r>
      <w:r>
        <w:rPr>
          <w:sz w:val="20"/>
        </w:rPr>
        <w:t>Design,”</w:t>
      </w:r>
      <w:r>
        <w:rPr>
          <w:spacing w:val="-3"/>
          <w:sz w:val="20"/>
        </w:rPr>
        <w:t xml:space="preserve"> </w:t>
      </w:r>
      <w:r>
        <w:rPr>
          <w:i/>
          <w:sz w:val="20"/>
        </w:rPr>
        <w:t>Professional</w:t>
      </w:r>
      <w:r>
        <w:rPr>
          <w:i/>
          <w:spacing w:val="-4"/>
          <w:sz w:val="20"/>
        </w:rPr>
        <w:t xml:space="preserve"> </w:t>
      </w:r>
      <w:r>
        <w:rPr>
          <w:i/>
          <w:sz w:val="20"/>
        </w:rPr>
        <w:t xml:space="preserve">School </w:t>
      </w:r>
      <w:bookmarkStart w:id="203" w:name="_bookmark105"/>
      <w:bookmarkEnd w:id="203"/>
      <w:r>
        <w:rPr>
          <w:i/>
          <w:sz w:val="20"/>
        </w:rPr>
        <w:t xml:space="preserve">Counseling </w:t>
      </w:r>
      <w:r>
        <w:rPr>
          <w:sz w:val="20"/>
        </w:rPr>
        <w:t>17, no. 1 (January 2013): 2156759X0001700, https://doi.org/10.1177/2156759X0001700103.</w:t>
      </w:r>
    </w:p>
    <w:p w:rsidR="00C76E6D" w:rsidRDefault="00913831">
      <w:pPr>
        <w:ind w:left="478" w:right="846"/>
        <w:rPr>
          <w:sz w:val="20"/>
        </w:rPr>
      </w:pPr>
      <w:r>
        <w:rPr>
          <w:sz w:val="20"/>
          <w:vertAlign w:val="superscript"/>
        </w:rPr>
        <w:t>14</w:t>
      </w:r>
      <w:r>
        <w:rPr>
          <w:spacing w:val="-6"/>
          <w:sz w:val="20"/>
        </w:rPr>
        <w:t xml:space="preserve"> </w:t>
      </w:r>
      <w:bookmarkStart w:id="204" w:name="_bookmark106"/>
      <w:bookmarkEnd w:id="204"/>
      <w:r>
        <w:rPr>
          <w:sz w:val="20"/>
        </w:rPr>
        <w:t>S</w:t>
      </w:r>
      <w:r>
        <w:rPr>
          <w:sz w:val="20"/>
        </w:rPr>
        <w:t>wanson</w:t>
      </w:r>
      <w:r>
        <w:rPr>
          <w:spacing w:val="-6"/>
          <w:sz w:val="20"/>
        </w:rPr>
        <w:t xml:space="preserve"> </w:t>
      </w:r>
      <w:r>
        <w:rPr>
          <w:sz w:val="20"/>
        </w:rPr>
        <w:t>and</w:t>
      </w:r>
      <w:r>
        <w:rPr>
          <w:spacing w:val="-7"/>
          <w:sz w:val="20"/>
        </w:rPr>
        <w:t xml:space="preserve"> </w:t>
      </w:r>
      <w:r>
        <w:rPr>
          <w:sz w:val="20"/>
        </w:rPr>
        <w:t>Gettinger,</w:t>
      </w:r>
      <w:r>
        <w:rPr>
          <w:spacing w:val="-6"/>
          <w:sz w:val="20"/>
        </w:rPr>
        <w:t xml:space="preserve"> </w:t>
      </w:r>
      <w:r>
        <w:rPr>
          <w:sz w:val="20"/>
        </w:rPr>
        <w:t>“Teachers’</w:t>
      </w:r>
      <w:r>
        <w:rPr>
          <w:spacing w:val="-8"/>
          <w:sz w:val="20"/>
        </w:rPr>
        <w:t xml:space="preserve"> </w:t>
      </w:r>
      <w:r>
        <w:rPr>
          <w:sz w:val="20"/>
        </w:rPr>
        <w:t>Knowledge,</w:t>
      </w:r>
      <w:r>
        <w:rPr>
          <w:spacing w:val="-6"/>
          <w:sz w:val="20"/>
        </w:rPr>
        <w:t xml:space="preserve"> </w:t>
      </w:r>
      <w:r>
        <w:rPr>
          <w:sz w:val="20"/>
        </w:rPr>
        <w:t>Attitudes,</w:t>
      </w:r>
      <w:r>
        <w:rPr>
          <w:spacing w:val="-6"/>
          <w:sz w:val="20"/>
        </w:rPr>
        <w:t xml:space="preserve"> </w:t>
      </w:r>
      <w:r>
        <w:rPr>
          <w:sz w:val="20"/>
        </w:rPr>
        <w:t>and</w:t>
      </w:r>
      <w:r>
        <w:rPr>
          <w:spacing w:val="-7"/>
          <w:sz w:val="20"/>
        </w:rPr>
        <w:t xml:space="preserve"> </w:t>
      </w:r>
      <w:r>
        <w:rPr>
          <w:sz w:val="20"/>
        </w:rPr>
        <w:t>Supportive</w:t>
      </w:r>
      <w:r>
        <w:rPr>
          <w:spacing w:val="-7"/>
          <w:sz w:val="20"/>
        </w:rPr>
        <w:t xml:space="preserve"> </w:t>
      </w:r>
      <w:r>
        <w:rPr>
          <w:sz w:val="20"/>
        </w:rPr>
        <w:t>Behaviors</w:t>
      </w:r>
      <w:r>
        <w:rPr>
          <w:spacing w:val="-7"/>
          <w:sz w:val="20"/>
        </w:rPr>
        <w:t xml:space="preserve"> </w:t>
      </w:r>
      <w:r>
        <w:rPr>
          <w:sz w:val="20"/>
        </w:rPr>
        <w:t>toward</w:t>
      </w:r>
      <w:r>
        <w:rPr>
          <w:spacing w:val="-6"/>
          <w:sz w:val="20"/>
        </w:rPr>
        <w:t xml:space="preserve"> </w:t>
      </w:r>
      <w:r>
        <w:rPr>
          <w:sz w:val="20"/>
        </w:rPr>
        <w:t>LGBT</w:t>
      </w:r>
      <w:r>
        <w:rPr>
          <w:spacing w:val="-7"/>
          <w:sz w:val="20"/>
        </w:rPr>
        <w:t xml:space="preserve"> </w:t>
      </w:r>
      <w:r>
        <w:rPr>
          <w:sz w:val="20"/>
        </w:rPr>
        <w:t xml:space="preserve">Students.” </w:t>
      </w:r>
      <w:r>
        <w:rPr>
          <w:sz w:val="20"/>
          <w:vertAlign w:val="superscript"/>
        </w:rPr>
        <w:t>15</w:t>
      </w:r>
      <w:r>
        <w:rPr>
          <w:sz w:val="20"/>
        </w:rPr>
        <w:t xml:space="preserve"> Elizabethe C. Payne and Melissa J. Smith, “Safety, Celebration, and Risk: Educator Responses to LGBTQ Professional Development,” </w:t>
      </w:r>
      <w:r>
        <w:rPr>
          <w:i/>
          <w:sz w:val="20"/>
        </w:rPr>
        <w:t xml:space="preserve">Teaching Education </w:t>
      </w:r>
      <w:r>
        <w:rPr>
          <w:sz w:val="20"/>
        </w:rPr>
        <w:t>23</w:t>
      </w:r>
      <w:r>
        <w:rPr>
          <w:sz w:val="20"/>
        </w:rPr>
        <w:t>, no. 3 (September 2012): 265–85,</w:t>
      </w:r>
    </w:p>
    <w:p w:rsidR="00C76E6D" w:rsidRDefault="00C76E6D">
      <w:pPr>
        <w:rPr>
          <w:sz w:val="20"/>
        </w:rPr>
        <w:sectPr w:rsidR="00C76E6D">
          <w:pgSz w:w="12240" w:h="15840"/>
          <w:pgMar w:top="960" w:right="960" w:bottom="860" w:left="960" w:header="760" w:footer="679"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4"/>
        <w:rPr>
          <w:sz w:val="18"/>
        </w:rPr>
      </w:pPr>
    </w:p>
    <w:p w:rsidR="00C76E6D" w:rsidRDefault="00913831">
      <w:pPr>
        <w:ind w:left="478" w:right="530"/>
        <w:rPr>
          <w:sz w:val="20"/>
        </w:rPr>
      </w:pPr>
      <w:r>
        <w:rPr>
          <w:sz w:val="20"/>
        </w:rPr>
        <w:t xml:space="preserve">https://doi.org/10.1080/10476210.2012.699520; Robert Marx, Leah Roberts, and Carol Nixon, “When Care and Concern Are Not Enough: School Personnel’s Development as Allies for Trans and Gender Non-Conforming Students,” </w:t>
      </w:r>
      <w:r>
        <w:rPr>
          <w:i/>
          <w:sz w:val="20"/>
        </w:rPr>
        <w:t xml:space="preserve">Social Sciences </w:t>
      </w:r>
      <w:r>
        <w:rPr>
          <w:sz w:val="20"/>
        </w:rPr>
        <w:t>6, no. 1 (January 25, 2</w:t>
      </w:r>
      <w:r>
        <w:rPr>
          <w:sz w:val="20"/>
        </w:rPr>
        <w:t>017): 11, https://doi.org/10.3390/socsci6010011; Jennifer M. Cooper</w:t>
      </w:r>
      <w:r>
        <w:rPr>
          <w:spacing w:val="-1"/>
          <w:sz w:val="20"/>
        </w:rPr>
        <w:t xml:space="preserve"> </w:t>
      </w:r>
      <w:r>
        <w:rPr>
          <w:sz w:val="20"/>
        </w:rPr>
        <w:t>et</w:t>
      </w:r>
      <w:r>
        <w:rPr>
          <w:spacing w:val="-2"/>
          <w:sz w:val="20"/>
        </w:rPr>
        <w:t xml:space="preserve"> </w:t>
      </w:r>
      <w:r>
        <w:rPr>
          <w:sz w:val="20"/>
        </w:rPr>
        <w:t>al.,</w:t>
      </w:r>
      <w:r>
        <w:rPr>
          <w:spacing w:val="-2"/>
          <w:sz w:val="20"/>
        </w:rPr>
        <w:t xml:space="preserve"> </w:t>
      </w:r>
      <w:r>
        <w:rPr>
          <w:sz w:val="20"/>
        </w:rPr>
        <w:t>“No</w:t>
      </w:r>
      <w:r>
        <w:rPr>
          <w:spacing w:val="-1"/>
          <w:sz w:val="20"/>
        </w:rPr>
        <w:t xml:space="preserve"> </w:t>
      </w:r>
      <w:r>
        <w:rPr>
          <w:sz w:val="20"/>
        </w:rPr>
        <w:t>Lone</w:t>
      </w:r>
      <w:r>
        <w:rPr>
          <w:spacing w:val="-2"/>
          <w:sz w:val="20"/>
        </w:rPr>
        <w:t xml:space="preserve"> </w:t>
      </w:r>
      <w:r>
        <w:rPr>
          <w:sz w:val="20"/>
        </w:rPr>
        <w:t>Wolf:</w:t>
      </w:r>
      <w:r>
        <w:rPr>
          <w:spacing w:val="-2"/>
          <w:sz w:val="20"/>
        </w:rPr>
        <w:t xml:space="preserve"> </w:t>
      </w:r>
      <w:r>
        <w:rPr>
          <w:sz w:val="20"/>
        </w:rPr>
        <w:t>A</w:t>
      </w:r>
      <w:r>
        <w:rPr>
          <w:spacing w:val="-1"/>
          <w:sz w:val="20"/>
        </w:rPr>
        <w:t xml:space="preserve"> </w:t>
      </w:r>
      <w:r>
        <w:rPr>
          <w:sz w:val="20"/>
        </w:rPr>
        <w:t>Multidisciplinary</w:t>
      </w:r>
      <w:r>
        <w:rPr>
          <w:spacing w:val="-2"/>
          <w:sz w:val="20"/>
        </w:rPr>
        <w:t xml:space="preserve"> </w:t>
      </w:r>
      <w:r>
        <w:rPr>
          <w:sz w:val="20"/>
        </w:rPr>
        <w:t>Approach</w:t>
      </w:r>
      <w:r>
        <w:rPr>
          <w:spacing w:val="-2"/>
          <w:sz w:val="20"/>
        </w:rPr>
        <w:t xml:space="preserve"> </w:t>
      </w:r>
      <w:r>
        <w:rPr>
          <w:sz w:val="20"/>
        </w:rPr>
        <w:t>to</w:t>
      </w:r>
      <w:r>
        <w:rPr>
          <w:spacing w:val="-1"/>
          <w:sz w:val="20"/>
        </w:rPr>
        <w:t xml:space="preserve"> </w:t>
      </w:r>
      <w:r>
        <w:rPr>
          <w:sz w:val="20"/>
        </w:rPr>
        <w:t>Creating</w:t>
      </w:r>
      <w:r>
        <w:rPr>
          <w:spacing w:val="-2"/>
          <w:sz w:val="20"/>
        </w:rPr>
        <w:t xml:space="preserve"> </w:t>
      </w:r>
      <w:r>
        <w:rPr>
          <w:sz w:val="20"/>
        </w:rPr>
        <w:t>Safe</w:t>
      </w:r>
      <w:r>
        <w:rPr>
          <w:spacing w:val="-1"/>
          <w:sz w:val="20"/>
        </w:rPr>
        <w:t xml:space="preserve"> </w:t>
      </w:r>
      <w:r>
        <w:rPr>
          <w:sz w:val="20"/>
        </w:rPr>
        <w:t>Schools</w:t>
      </w:r>
      <w:r>
        <w:rPr>
          <w:spacing w:val="-1"/>
          <w:sz w:val="20"/>
        </w:rPr>
        <w:t xml:space="preserve"> </w:t>
      </w:r>
      <w:r>
        <w:rPr>
          <w:sz w:val="20"/>
        </w:rPr>
        <w:t>for</w:t>
      </w:r>
      <w:r>
        <w:rPr>
          <w:spacing w:val="-3"/>
          <w:sz w:val="20"/>
        </w:rPr>
        <w:t xml:space="preserve"> </w:t>
      </w:r>
      <w:r>
        <w:rPr>
          <w:sz w:val="20"/>
        </w:rPr>
        <w:t>LGBTQ</w:t>
      </w:r>
      <w:r>
        <w:rPr>
          <w:spacing w:val="-1"/>
          <w:sz w:val="20"/>
        </w:rPr>
        <w:t xml:space="preserve"> </w:t>
      </w:r>
      <w:r>
        <w:rPr>
          <w:sz w:val="20"/>
        </w:rPr>
        <w:t>Youth</w:t>
      </w:r>
      <w:r>
        <w:rPr>
          <w:spacing w:val="-1"/>
          <w:sz w:val="20"/>
        </w:rPr>
        <w:t xml:space="preserve"> </w:t>
      </w:r>
      <w:r>
        <w:rPr>
          <w:sz w:val="20"/>
        </w:rPr>
        <w:t>Through</w:t>
      </w:r>
      <w:r>
        <w:rPr>
          <w:spacing w:val="-1"/>
          <w:sz w:val="20"/>
        </w:rPr>
        <w:t xml:space="preserve"> </w:t>
      </w:r>
      <w:r>
        <w:rPr>
          <w:sz w:val="20"/>
        </w:rPr>
        <w:t xml:space="preserve">the Development of Allies,” </w:t>
      </w:r>
      <w:r>
        <w:rPr>
          <w:i/>
          <w:sz w:val="20"/>
        </w:rPr>
        <w:t xml:space="preserve">Journal of LGBT Issues in Counseling </w:t>
      </w:r>
      <w:r>
        <w:rPr>
          <w:sz w:val="20"/>
        </w:rPr>
        <w:t>8, no. 4 (October 2, 2</w:t>
      </w:r>
      <w:r>
        <w:rPr>
          <w:sz w:val="20"/>
        </w:rPr>
        <w:t>014): 344–60, https://doi.org/10.1080/15538605.2014.960128; Joy S. Whitman, Stacey S. Horn, and Cyndy J. Boyd, “Activism in the</w:t>
      </w:r>
      <w:r>
        <w:rPr>
          <w:spacing w:val="-1"/>
          <w:sz w:val="20"/>
        </w:rPr>
        <w:t xml:space="preserve"> </w:t>
      </w:r>
      <w:r>
        <w:rPr>
          <w:sz w:val="20"/>
        </w:rPr>
        <w:t>Schools:</w:t>
      </w:r>
      <w:r>
        <w:rPr>
          <w:spacing w:val="-1"/>
          <w:sz w:val="20"/>
        </w:rPr>
        <w:t xml:space="preserve"> </w:t>
      </w:r>
      <w:r>
        <w:rPr>
          <w:sz w:val="20"/>
        </w:rPr>
        <w:t>Providing</w:t>
      </w:r>
      <w:r>
        <w:rPr>
          <w:spacing w:val="-1"/>
          <w:sz w:val="20"/>
        </w:rPr>
        <w:t xml:space="preserve"> </w:t>
      </w:r>
      <w:r>
        <w:rPr>
          <w:sz w:val="20"/>
        </w:rPr>
        <w:t>LGBTQ</w:t>
      </w:r>
      <w:r>
        <w:rPr>
          <w:spacing w:val="-3"/>
          <w:sz w:val="20"/>
        </w:rPr>
        <w:t xml:space="preserve"> </w:t>
      </w:r>
      <w:r>
        <w:rPr>
          <w:sz w:val="20"/>
        </w:rPr>
        <w:t>Affirmative</w:t>
      </w:r>
      <w:r>
        <w:rPr>
          <w:spacing w:val="-1"/>
          <w:sz w:val="20"/>
        </w:rPr>
        <w:t xml:space="preserve"> </w:t>
      </w:r>
      <w:r>
        <w:rPr>
          <w:sz w:val="20"/>
        </w:rPr>
        <w:t>Training</w:t>
      </w:r>
      <w:r>
        <w:rPr>
          <w:spacing w:val="-2"/>
          <w:sz w:val="20"/>
        </w:rPr>
        <w:t xml:space="preserve"> </w:t>
      </w:r>
      <w:r>
        <w:rPr>
          <w:sz w:val="20"/>
        </w:rPr>
        <w:t>to</w:t>
      </w:r>
      <w:r>
        <w:rPr>
          <w:spacing w:val="-1"/>
          <w:sz w:val="20"/>
        </w:rPr>
        <w:t xml:space="preserve"> </w:t>
      </w:r>
      <w:r>
        <w:rPr>
          <w:sz w:val="20"/>
        </w:rPr>
        <w:t>School</w:t>
      </w:r>
      <w:r>
        <w:rPr>
          <w:spacing w:val="-2"/>
          <w:sz w:val="20"/>
        </w:rPr>
        <w:t xml:space="preserve"> </w:t>
      </w:r>
      <w:r>
        <w:rPr>
          <w:sz w:val="20"/>
        </w:rPr>
        <w:t>Counselors,”</w:t>
      </w:r>
      <w:r>
        <w:rPr>
          <w:spacing w:val="-1"/>
          <w:sz w:val="20"/>
        </w:rPr>
        <w:t xml:space="preserve"> </w:t>
      </w:r>
      <w:r>
        <w:rPr>
          <w:i/>
          <w:sz w:val="20"/>
        </w:rPr>
        <w:t>Journal</w:t>
      </w:r>
      <w:r>
        <w:rPr>
          <w:i/>
          <w:spacing w:val="-2"/>
          <w:sz w:val="20"/>
        </w:rPr>
        <w:t xml:space="preserve"> </w:t>
      </w:r>
      <w:r>
        <w:rPr>
          <w:i/>
          <w:sz w:val="20"/>
        </w:rPr>
        <w:t>of</w:t>
      </w:r>
      <w:r>
        <w:rPr>
          <w:i/>
          <w:spacing w:val="-2"/>
          <w:sz w:val="20"/>
        </w:rPr>
        <w:t xml:space="preserve"> </w:t>
      </w:r>
      <w:r>
        <w:rPr>
          <w:i/>
          <w:sz w:val="20"/>
        </w:rPr>
        <w:t>Gay</w:t>
      </w:r>
      <w:r>
        <w:rPr>
          <w:i/>
          <w:spacing w:val="-1"/>
          <w:sz w:val="20"/>
        </w:rPr>
        <w:t xml:space="preserve"> </w:t>
      </w:r>
      <w:r>
        <w:rPr>
          <w:i/>
          <w:sz w:val="20"/>
        </w:rPr>
        <w:t>&amp;</w:t>
      </w:r>
      <w:r>
        <w:rPr>
          <w:i/>
          <w:spacing w:val="-1"/>
          <w:sz w:val="20"/>
        </w:rPr>
        <w:t xml:space="preserve"> </w:t>
      </w:r>
      <w:r>
        <w:rPr>
          <w:i/>
          <w:sz w:val="20"/>
        </w:rPr>
        <w:t>Lesbian</w:t>
      </w:r>
      <w:r>
        <w:rPr>
          <w:i/>
          <w:spacing w:val="-1"/>
          <w:sz w:val="20"/>
        </w:rPr>
        <w:t xml:space="preserve"> </w:t>
      </w:r>
      <w:r>
        <w:rPr>
          <w:i/>
          <w:sz w:val="20"/>
        </w:rPr>
        <w:t xml:space="preserve">Psychotherapy </w:t>
      </w:r>
      <w:r>
        <w:rPr>
          <w:sz w:val="20"/>
        </w:rPr>
        <w:t>11, no. 3–4 (December 4, 2007): 143–54, https://doi.org/10.1300/J236v11n03_08; Emily A Greytak, Joseph G Kosciw,</w:t>
      </w:r>
      <w:r>
        <w:rPr>
          <w:spacing w:val="-4"/>
          <w:sz w:val="20"/>
        </w:rPr>
        <w:t xml:space="preserve"> </w:t>
      </w:r>
      <w:r>
        <w:rPr>
          <w:sz w:val="20"/>
        </w:rPr>
        <w:t>and</w:t>
      </w:r>
      <w:r>
        <w:rPr>
          <w:spacing w:val="-5"/>
          <w:sz w:val="20"/>
        </w:rPr>
        <w:t xml:space="preserve"> </w:t>
      </w:r>
      <w:r>
        <w:rPr>
          <w:sz w:val="20"/>
        </w:rPr>
        <w:t>Lesbian</w:t>
      </w:r>
      <w:r>
        <w:rPr>
          <w:spacing w:val="-4"/>
          <w:sz w:val="20"/>
        </w:rPr>
        <w:t xml:space="preserve"> </w:t>
      </w:r>
      <w:r>
        <w:rPr>
          <w:sz w:val="20"/>
        </w:rPr>
        <w:t>Gay</w:t>
      </w:r>
      <w:r>
        <w:rPr>
          <w:spacing w:val="-4"/>
          <w:sz w:val="20"/>
        </w:rPr>
        <w:t xml:space="preserve"> </w:t>
      </w:r>
      <w:r>
        <w:rPr>
          <w:sz w:val="20"/>
        </w:rPr>
        <w:t>and</w:t>
      </w:r>
      <w:r>
        <w:rPr>
          <w:spacing w:val="-7"/>
          <w:sz w:val="20"/>
        </w:rPr>
        <w:t xml:space="preserve"> </w:t>
      </w:r>
      <w:r>
        <w:rPr>
          <w:sz w:val="20"/>
        </w:rPr>
        <w:t>Straight</w:t>
      </w:r>
      <w:r>
        <w:rPr>
          <w:spacing w:val="-6"/>
          <w:sz w:val="20"/>
        </w:rPr>
        <w:t xml:space="preserve"> </w:t>
      </w:r>
      <w:r>
        <w:rPr>
          <w:sz w:val="20"/>
        </w:rPr>
        <w:t>Education</w:t>
      </w:r>
      <w:r>
        <w:rPr>
          <w:spacing w:val="-4"/>
          <w:sz w:val="20"/>
        </w:rPr>
        <w:t xml:space="preserve"> </w:t>
      </w:r>
      <w:r>
        <w:rPr>
          <w:sz w:val="20"/>
        </w:rPr>
        <w:t>Network,</w:t>
      </w:r>
      <w:r>
        <w:rPr>
          <w:spacing w:val="-5"/>
          <w:sz w:val="20"/>
        </w:rPr>
        <w:t xml:space="preserve"> </w:t>
      </w:r>
      <w:r>
        <w:rPr>
          <w:i/>
          <w:sz w:val="20"/>
        </w:rPr>
        <w:t>Year</w:t>
      </w:r>
      <w:r>
        <w:rPr>
          <w:i/>
          <w:spacing w:val="-5"/>
          <w:sz w:val="20"/>
        </w:rPr>
        <w:t xml:space="preserve"> </w:t>
      </w:r>
      <w:r>
        <w:rPr>
          <w:i/>
          <w:sz w:val="20"/>
        </w:rPr>
        <w:t>One</w:t>
      </w:r>
      <w:r>
        <w:rPr>
          <w:i/>
          <w:spacing w:val="-5"/>
          <w:sz w:val="20"/>
        </w:rPr>
        <w:t xml:space="preserve"> </w:t>
      </w:r>
      <w:r>
        <w:rPr>
          <w:i/>
          <w:sz w:val="20"/>
        </w:rPr>
        <w:t>Evaluation</w:t>
      </w:r>
      <w:r>
        <w:rPr>
          <w:i/>
          <w:spacing w:val="-6"/>
          <w:sz w:val="20"/>
        </w:rPr>
        <w:t xml:space="preserve"> </w:t>
      </w:r>
      <w:r>
        <w:rPr>
          <w:i/>
          <w:sz w:val="20"/>
        </w:rPr>
        <w:t>of</w:t>
      </w:r>
      <w:r>
        <w:rPr>
          <w:i/>
          <w:spacing w:val="-6"/>
          <w:sz w:val="20"/>
        </w:rPr>
        <w:t xml:space="preserve"> </w:t>
      </w:r>
      <w:r>
        <w:rPr>
          <w:i/>
          <w:sz w:val="20"/>
        </w:rPr>
        <w:t>the</w:t>
      </w:r>
      <w:r>
        <w:rPr>
          <w:i/>
          <w:spacing w:val="-7"/>
          <w:sz w:val="20"/>
        </w:rPr>
        <w:t xml:space="preserve"> </w:t>
      </w:r>
      <w:r>
        <w:rPr>
          <w:i/>
          <w:sz w:val="20"/>
        </w:rPr>
        <w:t>New</w:t>
      </w:r>
      <w:r>
        <w:rPr>
          <w:i/>
          <w:spacing w:val="-5"/>
          <w:sz w:val="20"/>
        </w:rPr>
        <w:t xml:space="preserve"> </w:t>
      </w:r>
      <w:r>
        <w:rPr>
          <w:i/>
          <w:sz w:val="20"/>
        </w:rPr>
        <w:t>York</w:t>
      </w:r>
      <w:r>
        <w:rPr>
          <w:i/>
          <w:spacing w:val="-4"/>
          <w:sz w:val="20"/>
        </w:rPr>
        <w:t xml:space="preserve"> </w:t>
      </w:r>
      <w:r>
        <w:rPr>
          <w:i/>
          <w:sz w:val="20"/>
        </w:rPr>
        <w:t>City</w:t>
      </w:r>
      <w:r>
        <w:rPr>
          <w:i/>
          <w:spacing w:val="-5"/>
          <w:sz w:val="20"/>
        </w:rPr>
        <w:t xml:space="preserve"> </w:t>
      </w:r>
      <w:r>
        <w:rPr>
          <w:i/>
          <w:sz w:val="20"/>
        </w:rPr>
        <w:t>Department</w:t>
      </w:r>
      <w:r>
        <w:rPr>
          <w:i/>
          <w:spacing w:val="-6"/>
          <w:sz w:val="20"/>
        </w:rPr>
        <w:t xml:space="preserve"> </w:t>
      </w:r>
      <w:r>
        <w:rPr>
          <w:i/>
          <w:sz w:val="20"/>
        </w:rPr>
        <w:t>of Education"Respect for All" Training Prog</w:t>
      </w:r>
      <w:r>
        <w:rPr>
          <w:i/>
          <w:sz w:val="20"/>
        </w:rPr>
        <w:t xml:space="preserve">ram. </w:t>
      </w:r>
      <w:r>
        <w:rPr>
          <w:sz w:val="20"/>
        </w:rPr>
        <w:t>(Gay, Lesbian and Straight Education Network, 2010).</w:t>
      </w:r>
    </w:p>
    <w:p w:rsidR="00C76E6D" w:rsidRDefault="00913831">
      <w:pPr>
        <w:ind w:left="481" w:right="530" w:hanging="3"/>
        <w:rPr>
          <w:sz w:val="20"/>
        </w:rPr>
      </w:pPr>
      <w:bookmarkStart w:id="205" w:name="_bookmark107"/>
      <w:bookmarkEnd w:id="205"/>
      <w:r>
        <w:rPr>
          <w:sz w:val="20"/>
          <w:vertAlign w:val="superscript"/>
        </w:rPr>
        <w:t>16</w:t>
      </w:r>
      <w:r>
        <w:rPr>
          <w:spacing w:val="-4"/>
          <w:sz w:val="20"/>
        </w:rPr>
        <w:t xml:space="preserve"> </w:t>
      </w:r>
      <w:r>
        <w:rPr>
          <w:sz w:val="20"/>
        </w:rPr>
        <w:t>Stephen</w:t>
      </w:r>
      <w:r>
        <w:rPr>
          <w:spacing w:val="-6"/>
          <w:sz w:val="20"/>
        </w:rPr>
        <w:t xml:space="preserve"> </w:t>
      </w:r>
      <w:r>
        <w:rPr>
          <w:sz w:val="20"/>
        </w:rPr>
        <w:t>T.</w:t>
      </w:r>
      <w:r>
        <w:rPr>
          <w:spacing w:val="-5"/>
          <w:sz w:val="20"/>
        </w:rPr>
        <w:t xml:space="preserve"> </w:t>
      </w:r>
      <w:r>
        <w:rPr>
          <w:sz w:val="20"/>
        </w:rPr>
        <w:t>Russell</w:t>
      </w:r>
      <w:r>
        <w:rPr>
          <w:spacing w:val="-5"/>
          <w:sz w:val="20"/>
        </w:rPr>
        <w:t xml:space="preserve"> </w:t>
      </w:r>
      <w:r>
        <w:rPr>
          <w:sz w:val="20"/>
        </w:rPr>
        <w:t>et</w:t>
      </w:r>
      <w:r>
        <w:rPr>
          <w:spacing w:val="-4"/>
          <w:sz w:val="20"/>
        </w:rPr>
        <w:t xml:space="preserve"> </w:t>
      </w:r>
      <w:r>
        <w:rPr>
          <w:sz w:val="20"/>
        </w:rPr>
        <w:t>al.,</w:t>
      </w:r>
      <w:r>
        <w:rPr>
          <w:spacing w:val="-4"/>
          <w:sz w:val="20"/>
        </w:rPr>
        <w:t xml:space="preserve"> </w:t>
      </w:r>
      <w:r>
        <w:rPr>
          <w:sz w:val="20"/>
        </w:rPr>
        <w:t>“Are</w:t>
      </w:r>
      <w:r>
        <w:rPr>
          <w:spacing w:val="-5"/>
          <w:sz w:val="20"/>
        </w:rPr>
        <w:t xml:space="preserve"> </w:t>
      </w:r>
      <w:r>
        <w:rPr>
          <w:sz w:val="20"/>
        </w:rPr>
        <w:t>School</w:t>
      </w:r>
      <w:r>
        <w:rPr>
          <w:spacing w:val="-6"/>
          <w:sz w:val="20"/>
        </w:rPr>
        <w:t xml:space="preserve"> </w:t>
      </w:r>
      <w:r>
        <w:rPr>
          <w:sz w:val="20"/>
        </w:rPr>
        <w:t>Policies</w:t>
      </w:r>
      <w:r>
        <w:rPr>
          <w:spacing w:val="-4"/>
          <w:sz w:val="20"/>
        </w:rPr>
        <w:t xml:space="preserve"> </w:t>
      </w:r>
      <w:r>
        <w:rPr>
          <w:sz w:val="20"/>
        </w:rPr>
        <w:t>Focused</w:t>
      </w:r>
      <w:r>
        <w:rPr>
          <w:spacing w:val="-4"/>
          <w:sz w:val="20"/>
        </w:rPr>
        <w:t xml:space="preserve"> </w:t>
      </w:r>
      <w:r>
        <w:rPr>
          <w:sz w:val="20"/>
        </w:rPr>
        <w:t>on</w:t>
      </w:r>
      <w:r>
        <w:rPr>
          <w:spacing w:val="-7"/>
          <w:sz w:val="20"/>
        </w:rPr>
        <w:t xml:space="preserve"> </w:t>
      </w:r>
      <w:r>
        <w:rPr>
          <w:sz w:val="20"/>
        </w:rPr>
        <w:t>Sexual</w:t>
      </w:r>
      <w:r>
        <w:rPr>
          <w:spacing w:val="-7"/>
          <w:sz w:val="20"/>
        </w:rPr>
        <w:t xml:space="preserve"> </w:t>
      </w:r>
      <w:r>
        <w:rPr>
          <w:sz w:val="20"/>
        </w:rPr>
        <w:t>Orientation</w:t>
      </w:r>
      <w:r>
        <w:rPr>
          <w:spacing w:val="-4"/>
          <w:sz w:val="20"/>
        </w:rPr>
        <w:t xml:space="preserve"> </w:t>
      </w:r>
      <w:r>
        <w:rPr>
          <w:sz w:val="20"/>
        </w:rPr>
        <w:t>and</w:t>
      </w:r>
      <w:r>
        <w:rPr>
          <w:spacing w:val="-4"/>
          <w:sz w:val="20"/>
        </w:rPr>
        <w:t xml:space="preserve"> </w:t>
      </w:r>
      <w:r>
        <w:rPr>
          <w:sz w:val="20"/>
        </w:rPr>
        <w:t>Gender</w:t>
      </w:r>
      <w:r>
        <w:rPr>
          <w:spacing w:val="-5"/>
          <w:sz w:val="20"/>
        </w:rPr>
        <w:t xml:space="preserve"> </w:t>
      </w:r>
      <w:r>
        <w:rPr>
          <w:sz w:val="20"/>
        </w:rPr>
        <w:t>Identity</w:t>
      </w:r>
      <w:r>
        <w:rPr>
          <w:spacing w:val="-5"/>
          <w:sz w:val="20"/>
        </w:rPr>
        <w:t xml:space="preserve"> </w:t>
      </w:r>
      <w:r>
        <w:rPr>
          <w:sz w:val="20"/>
        </w:rPr>
        <w:t>Associated</w:t>
      </w:r>
      <w:r>
        <w:rPr>
          <w:spacing w:val="-5"/>
          <w:sz w:val="20"/>
        </w:rPr>
        <w:t xml:space="preserve"> </w:t>
      </w:r>
      <w:r>
        <w:rPr>
          <w:sz w:val="20"/>
        </w:rPr>
        <w:t xml:space="preserve">with Less Bullying? Teachers’ Perspectives,” </w:t>
      </w:r>
      <w:r>
        <w:rPr>
          <w:i/>
          <w:sz w:val="20"/>
        </w:rPr>
        <w:t xml:space="preserve">Journal of School Psychology </w:t>
      </w:r>
      <w:r>
        <w:rPr>
          <w:sz w:val="20"/>
        </w:rPr>
        <w:t xml:space="preserve">54 (February 2016): 29–38, https://doi.org/10.1016/j.jsp.2015.10.005; Laura A. Szalacha, “Safer Sexual Diversity Climates: Lessons Learned from an Evaluation of Massachusetts Safe Schools Program for Gay and Lesbian Students,” </w:t>
      </w:r>
      <w:r>
        <w:rPr>
          <w:i/>
          <w:sz w:val="20"/>
        </w:rPr>
        <w:t>American Journal of Education</w:t>
      </w:r>
      <w:r>
        <w:rPr>
          <w:i/>
          <w:sz w:val="20"/>
        </w:rPr>
        <w:t xml:space="preserve"> </w:t>
      </w:r>
      <w:r>
        <w:rPr>
          <w:sz w:val="20"/>
        </w:rPr>
        <w:t>110, no. 1 (November 2003): 58–88, https://doi.org/10.1086/377673.</w:t>
      </w:r>
    </w:p>
    <w:p w:rsidR="00C76E6D" w:rsidRDefault="00913831">
      <w:pPr>
        <w:ind w:left="480" w:right="530" w:hanging="2"/>
        <w:rPr>
          <w:i/>
          <w:sz w:val="20"/>
        </w:rPr>
      </w:pPr>
      <w:bookmarkStart w:id="206" w:name="_bookmark108"/>
      <w:bookmarkEnd w:id="206"/>
      <w:r>
        <w:rPr>
          <w:sz w:val="20"/>
          <w:vertAlign w:val="superscript"/>
        </w:rPr>
        <w:t>17</w:t>
      </w:r>
      <w:r>
        <w:rPr>
          <w:spacing w:val="-1"/>
          <w:sz w:val="20"/>
        </w:rPr>
        <w:t xml:space="preserve"> </w:t>
      </w:r>
      <w:r>
        <w:rPr>
          <w:sz w:val="20"/>
        </w:rPr>
        <w:t>Kristie</w:t>
      </w:r>
      <w:r>
        <w:rPr>
          <w:spacing w:val="-1"/>
          <w:sz w:val="20"/>
        </w:rPr>
        <w:t xml:space="preserve"> </w:t>
      </w:r>
      <w:r>
        <w:rPr>
          <w:sz w:val="20"/>
        </w:rPr>
        <w:t>L.</w:t>
      </w:r>
      <w:r>
        <w:rPr>
          <w:spacing w:val="-1"/>
          <w:sz w:val="20"/>
        </w:rPr>
        <w:t xml:space="preserve"> </w:t>
      </w:r>
      <w:r>
        <w:rPr>
          <w:sz w:val="20"/>
        </w:rPr>
        <w:t>Seelman</w:t>
      </w:r>
      <w:r>
        <w:rPr>
          <w:spacing w:val="-1"/>
          <w:sz w:val="20"/>
        </w:rPr>
        <w:t xml:space="preserve"> </w:t>
      </w:r>
      <w:r>
        <w:rPr>
          <w:sz w:val="20"/>
        </w:rPr>
        <w:t>et</w:t>
      </w:r>
      <w:r>
        <w:rPr>
          <w:spacing w:val="-1"/>
          <w:sz w:val="20"/>
        </w:rPr>
        <w:t xml:space="preserve"> </w:t>
      </w:r>
      <w:r>
        <w:rPr>
          <w:sz w:val="20"/>
        </w:rPr>
        <w:t>al.,</w:t>
      </w:r>
      <w:r>
        <w:rPr>
          <w:spacing w:val="-2"/>
          <w:sz w:val="20"/>
        </w:rPr>
        <w:t xml:space="preserve"> </w:t>
      </w:r>
      <w:r>
        <w:rPr>
          <w:sz w:val="20"/>
        </w:rPr>
        <w:t>“School</w:t>
      </w:r>
      <w:r>
        <w:rPr>
          <w:spacing w:val="-2"/>
          <w:sz w:val="20"/>
        </w:rPr>
        <w:t xml:space="preserve"> </w:t>
      </w:r>
      <w:r>
        <w:rPr>
          <w:sz w:val="20"/>
        </w:rPr>
        <w:t>Engagement</w:t>
      </w:r>
      <w:r>
        <w:rPr>
          <w:spacing w:val="-1"/>
          <w:sz w:val="20"/>
        </w:rPr>
        <w:t xml:space="preserve"> </w:t>
      </w:r>
      <w:r>
        <w:rPr>
          <w:sz w:val="20"/>
        </w:rPr>
        <w:t>among</w:t>
      </w:r>
      <w:r>
        <w:rPr>
          <w:spacing w:val="-1"/>
          <w:sz w:val="20"/>
        </w:rPr>
        <w:t xml:space="preserve"> </w:t>
      </w:r>
      <w:r>
        <w:rPr>
          <w:sz w:val="20"/>
        </w:rPr>
        <w:t>LGBTQ</w:t>
      </w:r>
      <w:r>
        <w:rPr>
          <w:spacing w:val="-1"/>
          <w:sz w:val="20"/>
        </w:rPr>
        <w:t xml:space="preserve"> </w:t>
      </w:r>
      <w:r>
        <w:rPr>
          <w:sz w:val="20"/>
        </w:rPr>
        <w:t>High</w:t>
      </w:r>
      <w:r>
        <w:rPr>
          <w:spacing w:val="-2"/>
          <w:sz w:val="20"/>
        </w:rPr>
        <w:t xml:space="preserve"> </w:t>
      </w:r>
      <w:r>
        <w:rPr>
          <w:sz w:val="20"/>
        </w:rPr>
        <w:t>School</w:t>
      </w:r>
      <w:r>
        <w:rPr>
          <w:spacing w:val="-1"/>
          <w:sz w:val="20"/>
        </w:rPr>
        <w:t xml:space="preserve"> </w:t>
      </w:r>
      <w:r>
        <w:rPr>
          <w:sz w:val="20"/>
        </w:rPr>
        <w:t>Students:</w:t>
      </w:r>
      <w:r>
        <w:rPr>
          <w:spacing w:val="-1"/>
          <w:sz w:val="20"/>
        </w:rPr>
        <w:t xml:space="preserve"> </w:t>
      </w:r>
      <w:r>
        <w:rPr>
          <w:sz w:val="20"/>
        </w:rPr>
        <w:t>The</w:t>
      </w:r>
      <w:r>
        <w:rPr>
          <w:spacing w:val="-1"/>
          <w:sz w:val="20"/>
        </w:rPr>
        <w:t xml:space="preserve"> </w:t>
      </w:r>
      <w:r>
        <w:rPr>
          <w:sz w:val="20"/>
        </w:rPr>
        <w:t>Roles</w:t>
      </w:r>
      <w:r>
        <w:rPr>
          <w:spacing w:val="-1"/>
          <w:sz w:val="20"/>
        </w:rPr>
        <w:t xml:space="preserve"> </w:t>
      </w:r>
      <w:r>
        <w:rPr>
          <w:sz w:val="20"/>
        </w:rPr>
        <w:t>of</w:t>
      </w:r>
      <w:r>
        <w:rPr>
          <w:spacing w:val="-2"/>
          <w:sz w:val="20"/>
        </w:rPr>
        <w:t xml:space="preserve"> </w:t>
      </w:r>
      <w:r>
        <w:rPr>
          <w:sz w:val="20"/>
        </w:rPr>
        <w:t>Safe</w:t>
      </w:r>
      <w:r>
        <w:rPr>
          <w:spacing w:val="-2"/>
          <w:sz w:val="20"/>
        </w:rPr>
        <w:t xml:space="preserve"> </w:t>
      </w:r>
      <w:r>
        <w:rPr>
          <w:sz w:val="20"/>
        </w:rPr>
        <w:t>Adults</w:t>
      </w:r>
      <w:r>
        <w:rPr>
          <w:spacing w:val="-1"/>
          <w:sz w:val="20"/>
        </w:rPr>
        <w:t xml:space="preserve"> </w:t>
      </w:r>
      <w:r>
        <w:rPr>
          <w:sz w:val="20"/>
        </w:rPr>
        <w:t xml:space="preserve">and Gay–Straight Alliance Characteristics,” </w:t>
      </w:r>
      <w:r>
        <w:rPr>
          <w:i/>
          <w:sz w:val="20"/>
        </w:rPr>
        <w:t xml:space="preserve">Children and Youth Services Review </w:t>
      </w:r>
      <w:r>
        <w:rPr>
          <w:sz w:val="20"/>
        </w:rPr>
        <w:t>5</w:t>
      </w:r>
      <w:r>
        <w:rPr>
          <w:sz w:val="20"/>
        </w:rPr>
        <w:t>7 (October 2015): 19–29, https://doi.org/10.1016/j.childyouth.2015.07.021;</w:t>
      </w:r>
      <w:r>
        <w:rPr>
          <w:spacing w:val="-8"/>
          <w:sz w:val="20"/>
        </w:rPr>
        <w:t xml:space="preserve"> </w:t>
      </w:r>
      <w:r>
        <w:rPr>
          <w:sz w:val="20"/>
        </w:rPr>
        <w:t>Greytak,</w:t>
      </w:r>
      <w:r>
        <w:rPr>
          <w:spacing w:val="-6"/>
          <w:sz w:val="20"/>
        </w:rPr>
        <w:t xml:space="preserve"> </w:t>
      </w:r>
      <w:r>
        <w:rPr>
          <w:sz w:val="20"/>
        </w:rPr>
        <w:t>Kosciw,</w:t>
      </w:r>
      <w:r>
        <w:rPr>
          <w:spacing w:val="-6"/>
          <w:sz w:val="20"/>
        </w:rPr>
        <w:t xml:space="preserve"> </w:t>
      </w:r>
      <w:r>
        <w:rPr>
          <w:sz w:val="20"/>
        </w:rPr>
        <w:t>and</w:t>
      </w:r>
      <w:r>
        <w:rPr>
          <w:spacing w:val="-8"/>
          <w:sz w:val="20"/>
        </w:rPr>
        <w:t xml:space="preserve"> </w:t>
      </w:r>
      <w:r>
        <w:rPr>
          <w:sz w:val="20"/>
        </w:rPr>
        <w:t>Gay,</w:t>
      </w:r>
      <w:r>
        <w:rPr>
          <w:spacing w:val="-6"/>
          <w:sz w:val="20"/>
        </w:rPr>
        <w:t xml:space="preserve"> </w:t>
      </w:r>
      <w:r>
        <w:rPr>
          <w:i/>
          <w:sz w:val="20"/>
        </w:rPr>
        <w:t>Year</w:t>
      </w:r>
      <w:r>
        <w:rPr>
          <w:i/>
          <w:spacing w:val="-7"/>
          <w:sz w:val="20"/>
        </w:rPr>
        <w:t xml:space="preserve"> </w:t>
      </w:r>
      <w:r>
        <w:rPr>
          <w:i/>
          <w:sz w:val="20"/>
        </w:rPr>
        <w:t>One</w:t>
      </w:r>
      <w:r>
        <w:rPr>
          <w:i/>
          <w:spacing w:val="-8"/>
          <w:sz w:val="20"/>
        </w:rPr>
        <w:t xml:space="preserve"> </w:t>
      </w:r>
      <w:r>
        <w:rPr>
          <w:i/>
          <w:sz w:val="20"/>
        </w:rPr>
        <w:t>Evaluation</w:t>
      </w:r>
      <w:r>
        <w:rPr>
          <w:i/>
          <w:spacing w:val="-8"/>
          <w:sz w:val="20"/>
        </w:rPr>
        <w:t xml:space="preserve"> </w:t>
      </w:r>
      <w:r>
        <w:rPr>
          <w:i/>
          <w:sz w:val="20"/>
        </w:rPr>
        <w:t>of</w:t>
      </w:r>
      <w:r>
        <w:rPr>
          <w:i/>
          <w:spacing w:val="-7"/>
          <w:sz w:val="20"/>
        </w:rPr>
        <w:t xml:space="preserve"> </w:t>
      </w:r>
      <w:r>
        <w:rPr>
          <w:i/>
          <w:sz w:val="20"/>
        </w:rPr>
        <w:t>the</w:t>
      </w:r>
      <w:r>
        <w:rPr>
          <w:i/>
          <w:spacing w:val="-8"/>
          <w:sz w:val="20"/>
        </w:rPr>
        <w:t xml:space="preserve"> </w:t>
      </w:r>
      <w:r>
        <w:rPr>
          <w:i/>
          <w:sz w:val="20"/>
        </w:rPr>
        <w:t>New</w:t>
      </w:r>
      <w:r>
        <w:rPr>
          <w:i/>
          <w:spacing w:val="-8"/>
          <w:sz w:val="20"/>
        </w:rPr>
        <w:t xml:space="preserve"> </w:t>
      </w:r>
      <w:r>
        <w:rPr>
          <w:i/>
          <w:sz w:val="20"/>
        </w:rPr>
        <w:t>York City Department of Education"Respect for All" Training Program.</w:t>
      </w:r>
    </w:p>
    <w:p w:rsidR="00C76E6D" w:rsidRDefault="00913831">
      <w:pPr>
        <w:ind w:left="480" w:right="530" w:hanging="2"/>
        <w:rPr>
          <w:sz w:val="20"/>
        </w:rPr>
      </w:pPr>
      <w:bookmarkStart w:id="207" w:name="_bookmark109"/>
      <w:bookmarkEnd w:id="207"/>
      <w:r>
        <w:rPr>
          <w:sz w:val="20"/>
          <w:vertAlign w:val="superscript"/>
        </w:rPr>
        <w:t>18</w:t>
      </w:r>
      <w:r>
        <w:rPr>
          <w:sz w:val="20"/>
        </w:rPr>
        <w:t xml:space="preserve"> Swanson and Gettinger, “Teachers’ Knowledge, Attitudes, and Supportive Behaviors toward LGBT Students”; Marx, Roberts, and Nixon, “When Care and Concern Are Not Enough”; Cooper et al., “No Lone Wolf”; Greytak, Kosciw, and Gay, </w:t>
      </w:r>
      <w:r>
        <w:rPr>
          <w:i/>
          <w:sz w:val="20"/>
        </w:rPr>
        <w:t>Year One Evaluation of the N</w:t>
      </w:r>
      <w:r>
        <w:rPr>
          <w:i/>
          <w:sz w:val="20"/>
        </w:rPr>
        <w:t>ew York City Department of Education"Respect for All" Training Program.</w:t>
      </w:r>
      <w:r>
        <w:rPr>
          <w:sz w:val="20"/>
        </w:rPr>
        <w:t xml:space="preserve">; Jamie Washington and Nancy Evans, “Becoming an Ally: A New Examination,” in </w:t>
      </w:r>
      <w:r>
        <w:rPr>
          <w:i/>
          <w:sz w:val="20"/>
        </w:rPr>
        <w:t>Readings for Diversity and</w:t>
      </w:r>
      <w:r>
        <w:rPr>
          <w:i/>
          <w:spacing w:val="-6"/>
          <w:sz w:val="20"/>
        </w:rPr>
        <w:t xml:space="preserve"> </w:t>
      </w:r>
      <w:r>
        <w:rPr>
          <w:i/>
          <w:sz w:val="20"/>
        </w:rPr>
        <w:t>Social</w:t>
      </w:r>
      <w:r>
        <w:rPr>
          <w:i/>
          <w:spacing w:val="-5"/>
          <w:sz w:val="20"/>
        </w:rPr>
        <w:t xml:space="preserve"> </w:t>
      </w:r>
      <w:r>
        <w:rPr>
          <w:i/>
          <w:sz w:val="20"/>
        </w:rPr>
        <w:t>Justice</w:t>
      </w:r>
      <w:r>
        <w:rPr>
          <w:sz w:val="20"/>
        </w:rPr>
        <w:t>,</w:t>
      </w:r>
      <w:r>
        <w:rPr>
          <w:spacing w:val="-4"/>
          <w:sz w:val="20"/>
        </w:rPr>
        <w:t xml:space="preserve"> </w:t>
      </w:r>
      <w:r>
        <w:rPr>
          <w:sz w:val="20"/>
        </w:rPr>
        <w:t>ed.</w:t>
      </w:r>
      <w:r>
        <w:rPr>
          <w:spacing w:val="-6"/>
          <w:sz w:val="20"/>
        </w:rPr>
        <w:t xml:space="preserve"> </w:t>
      </w:r>
      <w:r>
        <w:rPr>
          <w:sz w:val="20"/>
        </w:rPr>
        <w:t>Maurianne</w:t>
      </w:r>
      <w:r>
        <w:rPr>
          <w:spacing w:val="-7"/>
          <w:sz w:val="20"/>
        </w:rPr>
        <w:t xml:space="preserve"> </w:t>
      </w:r>
      <w:r>
        <w:rPr>
          <w:sz w:val="20"/>
        </w:rPr>
        <w:t>Adams</w:t>
      </w:r>
      <w:r>
        <w:rPr>
          <w:spacing w:val="-6"/>
          <w:sz w:val="20"/>
        </w:rPr>
        <w:t xml:space="preserve"> </w:t>
      </w:r>
      <w:r>
        <w:rPr>
          <w:sz w:val="20"/>
        </w:rPr>
        <w:t>et</w:t>
      </w:r>
      <w:r>
        <w:rPr>
          <w:spacing w:val="-7"/>
          <w:sz w:val="20"/>
        </w:rPr>
        <w:t xml:space="preserve"> </w:t>
      </w:r>
      <w:r>
        <w:rPr>
          <w:sz w:val="20"/>
        </w:rPr>
        <w:t>al.</w:t>
      </w:r>
      <w:r>
        <w:rPr>
          <w:spacing w:val="-5"/>
          <w:sz w:val="20"/>
        </w:rPr>
        <w:t xml:space="preserve"> </w:t>
      </w:r>
      <w:r>
        <w:rPr>
          <w:sz w:val="20"/>
        </w:rPr>
        <w:t>(New</w:t>
      </w:r>
      <w:r>
        <w:rPr>
          <w:spacing w:val="-6"/>
          <w:sz w:val="20"/>
        </w:rPr>
        <w:t xml:space="preserve"> </w:t>
      </w:r>
      <w:r>
        <w:rPr>
          <w:sz w:val="20"/>
        </w:rPr>
        <w:t>York:</w:t>
      </w:r>
      <w:r>
        <w:rPr>
          <w:spacing w:val="-6"/>
          <w:sz w:val="20"/>
        </w:rPr>
        <w:t xml:space="preserve"> </w:t>
      </w:r>
      <w:r>
        <w:rPr>
          <w:sz w:val="20"/>
        </w:rPr>
        <w:t>Routledge</w:t>
      </w:r>
      <w:r>
        <w:rPr>
          <w:spacing w:val="-4"/>
          <w:sz w:val="20"/>
        </w:rPr>
        <w:t xml:space="preserve"> </w:t>
      </w:r>
      <w:r>
        <w:rPr>
          <w:sz w:val="20"/>
        </w:rPr>
        <w:t>Taylor</w:t>
      </w:r>
      <w:r>
        <w:rPr>
          <w:spacing w:val="-4"/>
          <w:sz w:val="20"/>
        </w:rPr>
        <w:t xml:space="preserve"> </w:t>
      </w:r>
      <w:r>
        <w:rPr>
          <w:sz w:val="20"/>
        </w:rPr>
        <w:t>&amp;</w:t>
      </w:r>
      <w:r>
        <w:rPr>
          <w:spacing w:val="-4"/>
          <w:sz w:val="20"/>
        </w:rPr>
        <w:t xml:space="preserve"> </w:t>
      </w:r>
      <w:r>
        <w:rPr>
          <w:sz w:val="20"/>
        </w:rPr>
        <w:t>Francis</w:t>
      </w:r>
      <w:r>
        <w:rPr>
          <w:spacing w:val="-5"/>
          <w:sz w:val="20"/>
        </w:rPr>
        <w:t xml:space="preserve"> </w:t>
      </w:r>
      <w:r>
        <w:rPr>
          <w:sz w:val="20"/>
        </w:rPr>
        <w:t>Group,</w:t>
      </w:r>
      <w:r>
        <w:rPr>
          <w:spacing w:val="-7"/>
          <w:sz w:val="20"/>
        </w:rPr>
        <w:t xml:space="preserve"> </w:t>
      </w:r>
      <w:r>
        <w:rPr>
          <w:sz w:val="20"/>
        </w:rPr>
        <w:t>2010),</w:t>
      </w:r>
      <w:r>
        <w:rPr>
          <w:spacing w:val="-6"/>
          <w:sz w:val="20"/>
        </w:rPr>
        <w:t xml:space="preserve"> </w:t>
      </w:r>
      <w:r>
        <w:rPr>
          <w:sz w:val="20"/>
        </w:rPr>
        <w:t>413–21;</w:t>
      </w:r>
      <w:r>
        <w:rPr>
          <w:spacing w:val="-5"/>
          <w:sz w:val="20"/>
        </w:rPr>
        <w:t xml:space="preserve"> </w:t>
      </w:r>
      <w:r>
        <w:rPr>
          <w:sz w:val="20"/>
        </w:rPr>
        <w:t>Emily</w:t>
      </w:r>
    </w:p>
    <w:p w:rsidR="00C76E6D" w:rsidRDefault="00913831">
      <w:pPr>
        <w:spacing w:before="1"/>
        <w:ind w:left="482" w:right="1169" w:hanging="1"/>
        <w:jc w:val="both"/>
        <w:rPr>
          <w:sz w:val="20"/>
        </w:rPr>
      </w:pPr>
      <w:r>
        <w:rPr>
          <w:sz w:val="20"/>
        </w:rPr>
        <w:t>A.</w:t>
      </w:r>
      <w:r>
        <w:rPr>
          <w:spacing w:val="-2"/>
          <w:sz w:val="20"/>
        </w:rPr>
        <w:t xml:space="preserve"> </w:t>
      </w:r>
      <w:r>
        <w:rPr>
          <w:sz w:val="20"/>
        </w:rPr>
        <w:t>Greytak,</w:t>
      </w:r>
      <w:r>
        <w:rPr>
          <w:spacing w:val="-2"/>
          <w:sz w:val="20"/>
        </w:rPr>
        <w:t xml:space="preserve"> </w:t>
      </w:r>
      <w:r>
        <w:rPr>
          <w:sz w:val="20"/>
        </w:rPr>
        <w:t>Joseph</w:t>
      </w:r>
      <w:r>
        <w:rPr>
          <w:spacing w:val="-2"/>
          <w:sz w:val="20"/>
        </w:rPr>
        <w:t xml:space="preserve"> </w:t>
      </w:r>
      <w:r>
        <w:rPr>
          <w:sz w:val="20"/>
        </w:rPr>
        <w:t>G.</w:t>
      </w:r>
      <w:r>
        <w:rPr>
          <w:spacing w:val="-4"/>
          <w:sz w:val="20"/>
        </w:rPr>
        <w:t xml:space="preserve"> </w:t>
      </w:r>
      <w:r>
        <w:rPr>
          <w:sz w:val="20"/>
        </w:rPr>
        <w:t>Kosciw,</w:t>
      </w:r>
      <w:r>
        <w:rPr>
          <w:spacing w:val="-3"/>
          <w:sz w:val="20"/>
        </w:rPr>
        <w:t xml:space="preserve"> </w:t>
      </w:r>
      <w:r>
        <w:rPr>
          <w:sz w:val="20"/>
        </w:rPr>
        <w:t>and</w:t>
      </w:r>
      <w:r>
        <w:rPr>
          <w:spacing w:val="-3"/>
          <w:sz w:val="20"/>
        </w:rPr>
        <w:t xml:space="preserve"> </w:t>
      </w:r>
      <w:r>
        <w:rPr>
          <w:sz w:val="20"/>
        </w:rPr>
        <w:t>Madelyn</w:t>
      </w:r>
      <w:r>
        <w:rPr>
          <w:spacing w:val="-2"/>
          <w:sz w:val="20"/>
        </w:rPr>
        <w:t xml:space="preserve"> </w:t>
      </w:r>
      <w:r>
        <w:rPr>
          <w:sz w:val="20"/>
        </w:rPr>
        <w:t>J.</w:t>
      </w:r>
      <w:r>
        <w:rPr>
          <w:spacing w:val="-2"/>
          <w:sz w:val="20"/>
        </w:rPr>
        <w:t xml:space="preserve"> </w:t>
      </w:r>
      <w:r>
        <w:rPr>
          <w:sz w:val="20"/>
        </w:rPr>
        <w:t>Boesen,</w:t>
      </w:r>
      <w:r>
        <w:rPr>
          <w:spacing w:val="-2"/>
          <w:sz w:val="20"/>
        </w:rPr>
        <w:t xml:space="preserve"> </w:t>
      </w:r>
      <w:r>
        <w:rPr>
          <w:sz w:val="20"/>
        </w:rPr>
        <w:t>“Educating</w:t>
      </w:r>
      <w:r>
        <w:rPr>
          <w:spacing w:val="-1"/>
          <w:sz w:val="20"/>
        </w:rPr>
        <w:t xml:space="preserve"> </w:t>
      </w:r>
      <w:r>
        <w:rPr>
          <w:sz w:val="20"/>
        </w:rPr>
        <w:t>the</w:t>
      </w:r>
      <w:r>
        <w:rPr>
          <w:spacing w:val="-3"/>
          <w:sz w:val="20"/>
        </w:rPr>
        <w:t xml:space="preserve"> </w:t>
      </w:r>
      <w:r>
        <w:rPr>
          <w:sz w:val="20"/>
        </w:rPr>
        <w:t>Educator:</w:t>
      </w:r>
      <w:r>
        <w:rPr>
          <w:spacing w:val="-3"/>
          <w:sz w:val="20"/>
        </w:rPr>
        <w:t xml:space="preserve"> </w:t>
      </w:r>
      <w:r>
        <w:rPr>
          <w:sz w:val="20"/>
        </w:rPr>
        <w:t>Creating</w:t>
      </w:r>
      <w:r>
        <w:rPr>
          <w:spacing w:val="-3"/>
          <w:sz w:val="20"/>
        </w:rPr>
        <w:t xml:space="preserve"> </w:t>
      </w:r>
      <w:r>
        <w:rPr>
          <w:sz w:val="20"/>
        </w:rPr>
        <w:t>Supportive</w:t>
      </w:r>
      <w:r>
        <w:rPr>
          <w:spacing w:val="-2"/>
          <w:sz w:val="20"/>
        </w:rPr>
        <w:t xml:space="preserve"> </w:t>
      </w:r>
      <w:r>
        <w:rPr>
          <w:sz w:val="20"/>
        </w:rPr>
        <w:t>School Personnel</w:t>
      </w:r>
      <w:r>
        <w:rPr>
          <w:spacing w:val="-2"/>
          <w:sz w:val="20"/>
        </w:rPr>
        <w:t xml:space="preserve"> </w:t>
      </w:r>
      <w:r>
        <w:rPr>
          <w:sz w:val="20"/>
        </w:rPr>
        <w:t>Through</w:t>
      </w:r>
      <w:r>
        <w:rPr>
          <w:spacing w:val="-1"/>
          <w:sz w:val="20"/>
        </w:rPr>
        <w:t xml:space="preserve"> </w:t>
      </w:r>
      <w:r>
        <w:rPr>
          <w:sz w:val="20"/>
        </w:rPr>
        <w:t>Professional</w:t>
      </w:r>
      <w:r>
        <w:rPr>
          <w:spacing w:val="-3"/>
          <w:sz w:val="20"/>
        </w:rPr>
        <w:t xml:space="preserve"> </w:t>
      </w:r>
      <w:r>
        <w:rPr>
          <w:sz w:val="20"/>
        </w:rPr>
        <w:t>Development,”</w:t>
      </w:r>
      <w:r>
        <w:rPr>
          <w:spacing w:val="-3"/>
          <w:sz w:val="20"/>
        </w:rPr>
        <w:t xml:space="preserve"> </w:t>
      </w:r>
      <w:r>
        <w:rPr>
          <w:i/>
          <w:sz w:val="20"/>
        </w:rPr>
        <w:t>Journal</w:t>
      </w:r>
      <w:r>
        <w:rPr>
          <w:i/>
          <w:spacing w:val="-2"/>
          <w:sz w:val="20"/>
        </w:rPr>
        <w:t xml:space="preserve"> </w:t>
      </w:r>
      <w:r>
        <w:rPr>
          <w:i/>
          <w:sz w:val="20"/>
        </w:rPr>
        <w:t>of</w:t>
      </w:r>
      <w:r>
        <w:rPr>
          <w:i/>
          <w:spacing w:val="-4"/>
          <w:sz w:val="20"/>
        </w:rPr>
        <w:t xml:space="preserve"> </w:t>
      </w:r>
      <w:r>
        <w:rPr>
          <w:i/>
          <w:sz w:val="20"/>
        </w:rPr>
        <w:t>School</w:t>
      </w:r>
      <w:r>
        <w:rPr>
          <w:i/>
          <w:spacing w:val="-2"/>
          <w:sz w:val="20"/>
        </w:rPr>
        <w:t xml:space="preserve"> </w:t>
      </w:r>
      <w:r>
        <w:rPr>
          <w:i/>
          <w:sz w:val="20"/>
        </w:rPr>
        <w:t>Violence</w:t>
      </w:r>
      <w:r>
        <w:rPr>
          <w:i/>
          <w:spacing w:val="-1"/>
          <w:sz w:val="20"/>
        </w:rPr>
        <w:t xml:space="preserve"> </w:t>
      </w:r>
      <w:r>
        <w:rPr>
          <w:sz w:val="20"/>
        </w:rPr>
        <w:t>12,</w:t>
      </w:r>
      <w:r>
        <w:rPr>
          <w:spacing w:val="-3"/>
          <w:sz w:val="20"/>
        </w:rPr>
        <w:t xml:space="preserve"> </w:t>
      </w:r>
      <w:r>
        <w:rPr>
          <w:sz w:val="20"/>
        </w:rPr>
        <w:t>no.</w:t>
      </w:r>
      <w:r>
        <w:rPr>
          <w:spacing w:val="-3"/>
          <w:sz w:val="20"/>
        </w:rPr>
        <w:t xml:space="preserve"> </w:t>
      </w:r>
      <w:r>
        <w:rPr>
          <w:sz w:val="20"/>
        </w:rPr>
        <w:t>1</w:t>
      </w:r>
      <w:r>
        <w:rPr>
          <w:spacing w:val="-3"/>
          <w:sz w:val="20"/>
        </w:rPr>
        <w:t xml:space="preserve"> </w:t>
      </w:r>
      <w:r>
        <w:rPr>
          <w:sz w:val="20"/>
        </w:rPr>
        <w:t>(January</w:t>
      </w:r>
      <w:r>
        <w:rPr>
          <w:spacing w:val="-3"/>
          <w:sz w:val="20"/>
        </w:rPr>
        <w:t xml:space="preserve"> </w:t>
      </w:r>
      <w:r>
        <w:rPr>
          <w:sz w:val="20"/>
        </w:rPr>
        <w:t>2013):</w:t>
      </w:r>
      <w:r>
        <w:rPr>
          <w:spacing w:val="-3"/>
          <w:sz w:val="20"/>
        </w:rPr>
        <w:t xml:space="preserve"> </w:t>
      </w:r>
      <w:r>
        <w:rPr>
          <w:sz w:val="20"/>
        </w:rPr>
        <w:t xml:space="preserve">80–97, </w:t>
      </w:r>
      <w:bookmarkStart w:id="208" w:name="_bookmark110"/>
      <w:bookmarkEnd w:id="208"/>
      <w:r>
        <w:rPr>
          <w:spacing w:val="-2"/>
          <w:sz w:val="20"/>
        </w:rPr>
        <w:t>ht</w:t>
      </w:r>
      <w:r>
        <w:rPr>
          <w:spacing w:val="-2"/>
          <w:sz w:val="20"/>
        </w:rPr>
        <w:t>tps://doi.org/10.1080/15388220.2012.731586.</w:t>
      </w:r>
    </w:p>
    <w:p w:rsidR="00C76E6D" w:rsidRDefault="00913831">
      <w:pPr>
        <w:ind w:left="480" w:right="530" w:hanging="3"/>
        <w:rPr>
          <w:sz w:val="20"/>
        </w:rPr>
      </w:pPr>
      <w:r>
        <w:rPr>
          <w:sz w:val="20"/>
          <w:vertAlign w:val="superscript"/>
        </w:rPr>
        <w:t>19</w:t>
      </w:r>
      <w:r>
        <w:rPr>
          <w:spacing w:val="-4"/>
          <w:sz w:val="20"/>
        </w:rPr>
        <w:t xml:space="preserve"> </w:t>
      </w:r>
      <w:r>
        <w:rPr>
          <w:sz w:val="20"/>
        </w:rPr>
        <w:t>Emily</w:t>
      </w:r>
      <w:r>
        <w:rPr>
          <w:spacing w:val="-5"/>
          <w:sz w:val="20"/>
        </w:rPr>
        <w:t xml:space="preserve"> </w:t>
      </w:r>
      <w:r>
        <w:rPr>
          <w:sz w:val="20"/>
        </w:rPr>
        <w:t>A.</w:t>
      </w:r>
      <w:r>
        <w:rPr>
          <w:spacing w:val="-5"/>
          <w:sz w:val="20"/>
        </w:rPr>
        <w:t xml:space="preserve"> </w:t>
      </w:r>
      <w:r>
        <w:rPr>
          <w:sz w:val="20"/>
        </w:rPr>
        <w:t>Greytak</w:t>
      </w:r>
      <w:r>
        <w:rPr>
          <w:spacing w:val="-4"/>
          <w:sz w:val="20"/>
        </w:rPr>
        <w:t xml:space="preserve"> </w:t>
      </w:r>
      <w:r>
        <w:rPr>
          <w:sz w:val="20"/>
        </w:rPr>
        <w:t>and</w:t>
      </w:r>
      <w:r>
        <w:rPr>
          <w:spacing w:val="-4"/>
          <w:sz w:val="20"/>
        </w:rPr>
        <w:t xml:space="preserve"> </w:t>
      </w:r>
      <w:r>
        <w:rPr>
          <w:sz w:val="20"/>
        </w:rPr>
        <w:t>Joseph</w:t>
      </w:r>
      <w:r>
        <w:rPr>
          <w:spacing w:val="-6"/>
          <w:sz w:val="20"/>
        </w:rPr>
        <w:t xml:space="preserve"> </w:t>
      </w:r>
      <w:r>
        <w:rPr>
          <w:sz w:val="20"/>
        </w:rPr>
        <w:t>G.</w:t>
      </w:r>
      <w:r>
        <w:rPr>
          <w:spacing w:val="-5"/>
          <w:sz w:val="20"/>
        </w:rPr>
        <w:t xml:space="preserve"> </w:t>
      </w:r>
      <w:r>
        <w:rPr>
          <w:sz w:val="20"/>
        </w:rPr>
        <w:t>Kosciw,</w:t>
      </w:r>
      <w:r>
        <w:rPr>
          <w:spacing w:val="-5"/>
          <w:sz w:val="20"/>
        </w:rPr>
        <w:t xml:space="preserve"> </w:t>
      </w:r>
      <w:r>
        <w:rPr>
          <w:sz w:val="20"/>
        </w:rPr>
        <w:t>“Predictors</w:t>
      </w:r>
      <w:r>
        <w:rPr>
          <w:spacing w:val="-5"/>
          <w:sz w:val="20"/>
        </w:rPr>
        <w:t xml:space="preserve"> </w:t>
      </w:r>
      <w:r>
        <w:rPr>
          <w:sz w:val="20"/>
        </w:rPr>
        <w:t>of</w:t>
      </w:r>
      <w:r>
        <w:rPr>
          <w:spacing w:val="-6"/>
          <w:sz w:val="20"/>
        </w:rPr>
        <w:t xml:space="preserve"> </w:t>
      </w:r>
      <w:r>
        <w:rPr>
          <w:sz w:val="20"/>
        </w:rPr>
        <w:t>US</w:t>
      </w:r>
      <w:r>
        <w:rPr>
          <w:spacing w:val="-7"/>
          <w:sz w:val="20"/>
        </w:rPr>
        <w:t xml:space="preserve"> </w:t>
      </w:r>
      <w:r>
        <w:rPr>
          <w:sz w:val="20"/>
        </w:rPr>
        <w:t>Teachers’</w:t>
      </w:r>
      <w:r>
        <w:rPr>
          <w:spacing w:val="-5"/>
          <w:sz w:val="20"/>
        </w:rPr>
        <w:t xml:space="preserve"> </w:t>
      </w:r>
      <w:r>
        <w:rPr>
          <w:sz w:val="20"/>
        </w:rPr>
        <w:t>Intervention</w:t>
      </w:r>
      <w:r>
        <w:rPr>
          <w:spacing w:val="-4"/>
          <w:sz w:val="20"/>
        </w:rPr>
        <w:t xml:space="preserve"> </w:t>
      </w:r>
      <w:r>
        <w:rPr>
          <w:sz w:val="20"/>
        </w:rPr>
        <w:t>in</w:t>
      </w:r>
      <w:r>
        <w:rPr>
          <w:spacing w:val="-5"/>
          <w:sz w:val="20"/>
        </w:rPr>
        <w:t xml:space="preserve"> </w:t>
      </w:r>
      <w:r>
        <w:rPr>
          <w:sz w:val="20"/>
        </w:rPr>
        <w:t>Anti-Lesbian,</w:t>
      </w:r>
      <w:r>
        <w:rPr>
          <w:spacing w:val="-4"/>
          <w:sz w:val="20"/>
        </w:rPr>
        <w:t xml:space="preserve"> </w:t>
      </w:r>
      <w:r>
        <w:rPr>
          <w:sz w:val="20"/>
        </w:rPr>
        <w:t>Gay,</w:t>
      </w:r>
      <w:r>
        <w:rPr>
          <w:spacing w:val="-7"/>
          <w:sz w:val="20"/>
        </w:rPr>
        <w:t xml:space="preserve"> </w:t>
      </w:r>
      <w:r>
        <w:rPr>
          <w:sz w:val="20"/>
        </w:rPr>
        <w:t xml:space="preserve">Bisexual, and Transgender Bullying and Harassment,” </w:t>
      </w:r>
      <w:r>
        <w:rPr>
          <w:i/>
          <w:sz w:val="20"/>
        </w:rPr>
        <w:t xml:space="preserve">Teaching Education </w:t>
      </w:r>
      <w:r>
        <w:rPr>
          <w:sz w:val="20"/>
        </w:rPr>
        <w:t xml:space="preserve">25, no. 4 (October 2, 2014): 410–26, </w:t>
      </w:r>
      <w:r>
        <w:rPr>
          <w:spacing w:val="-2"/>
          <w:sz w:val="20"/>
        </w:rPr>
        <w:t>https://doi.org/10.1080/10476210.2014.920000.</w:t>
      </w:r>
    </w:p>
    <w:p w:rsidR="00C76E6D" w:rsidRDefault="00913831">
      <w:pPr>
        <w:spacing w:before="4" w:line="241" w:lineRule="exact"/>
        <w:ind w:left="480"/>
        <w:rPr>
          <w:sz w:val="20"/>
        </w:rPr>
      </w:pPr>
      <w:bookmarkStart w:id="209" w:name="_bookmark111"/>
      <w:bookmarkEnd w:id="209"/>
      <w:r>
        <w:rPr>
          <w:sz w:val="20"/>
          <w:vertAlign w:val="superscript"/>
        </w:rPr>
        <w:t>20</w:t>
      </w:r>
      <w:r>
        <w:rPr>
          <w:spacing w:val="-6"/>
          <w:sz w:val="20"/>
        </w:rPr>
        <w:t xml:space="preserve"> </w:t>
      </w:r>
      <w:bookmarkStart w:id="210" w:name="_bookmark112"/>
      <w:bookmarkEnd w:id="210"/>
      <w:r>
        <w:rPr>
          <w:sz w:val="20"/>
        </w:rPr>
        <w:t>Marx,</w:t>
      </w:r>
      <w:r>
        <w:rPr>
          <w:spacing w:val="-6"/>
          <w:sz w:val="20"/>
        </w:rPr>
        <w:t xml:space="preserve"> </w:t>
      </w:r>
      <w:r>
        <w:rPr>
          <w:sz w:val="20"/>
        </w:rPr>
        <w:t>Roberts,</w:t>
      </w:r>
      <w:r>
        <w:rPr>
          <w:spacing w:val="-5"/>
          <w:sz w:val="20"/>
        </w:rPr>
        <w:t xml:space="preserve"> </w:t>
      </w:r>
      <w:r>
        <w:rPr>
          <w:sz w:val="20"/>
        </w:rPr>
        <w:t>and</w:t>
      </w:r>
      <w:r>
        <w:rPr>
          <w:spacing w:val="-8"/>
          <w:sz w:val="20"/>
        </w:rPr>
        <w:t xml:space="preserve"> </w:t>
      </w:r>
      <w:r>
        <w:rPr>
          <w:sz w:val="20"/>
        </w:rPr>
        <w:t>Nixon,</w:t>
      </w:r>
      <w:r>
        <w:rPr>
          <w:spacing w:val="-8"/>
          <w:sz w:val="20"/>
        </w:rPr>
        <w:t xml:space="preserve"> </w:t>
      </w:r>
      <w:r>
        <w:rPr>
          <w:sz w:val="20"/>
        </w:rPr>
        <w:t>“When</w:t>
      </w:r>
      <w:r>
        <w:rPr>
          <w:spacing w:val="-5"/>
          <w:sz w:val="20"/>
        </w:rPr>
        <w:t xml:space="preserve"> </w:t>
      </w:r>
      <w:r>
        <w:rPr>
          <w:sz w:val="20"/>
        </w:rPr>
        <w:t>Care</w:t>
      </w:r>
      <w:r>
        <w:rPr>
          <w:spacing w:val="-6"/>
          <w:sz w:val="20"/>
        </w:rPr>
        <w:t xml:space="preserve"> </w:t>
      </w:r>
      <w:r>
        <w:rPr>
          <w:sz w:val="20"/>
        </w:rPr>
        <w:t>and</w:t>
      </w:r>
      <w:r>
        <w:rPr>
          <w:spacing w:val="-6"/>
          <w:sz w:val="20"/>
        </w:rPr>
        <w:t xml:space="preserve"> </w:t>
      </w:r>
      <w:r>
        <w:rPr>
          <w:sz w:val="20"/>
        </w:rPr>
        <w:t>Concern</w:t>
      </w:r>
      <w:r>
        <w:rPr>
          <w:spacing w:val="-7"/>
          <w:sz w:val="20"/>
        </w:rPr>
        <w:t xml:space="preserve"> </w:t>
      </w:r>
      <w:r>
        <w:rPr>
          <w:sz w:val="20"/>
        </w:rPr>
        <w:t>Are</w:t>
      </w:r>
      <w:r>
        <w:rPr>
          <w:spacing w:val="-7"/>
          <w:sz w:val="20"/>
        </w:rPr>
        <w:t xml:space="preserve"> </w:t>
      </w:r>
      <w:r>
        <w:rPr>
          <w:sz w:val="20"/>
        </w:rPr>
        <w:t>Not</w:t>
      </w:r>
      <w:r>
        <w:rPr>
          <w:spacing w:val="-8"/>
          <w:sz w:val="20"/>
        </w:rPr>
        <w:t xml:space="preserve"> </w:t>
      </w:r>
      <w:r>
        <w:rPr>
          <w:spacing w:val="-2"/>
          <w:sz w:val="20"/>
        </w:rPr>
        <w:t>Enough.”</w:t>
      </w:r>
    </w:p>
    <w:p w:rsidR="00C76E6D" w:rsidRDefault="00913831">
      <w:pPr>
        <w:ind w:left="481" w:right="530" w:hanging="3"/>
        <w:rPr>
          <w:i/>
          <w:sz w:val="20"/>
        </w:rPr>
      </w:pPr>
      <w:r>
        <w:rPr>
          <w:sz w:val="20"/>
          <w:vertAlign w:val="superscript"/>
        </w:rPr>
        <w:t>21</w:t>
      </w:r>
      <w:r>
        <w:rPr>
          <w:spacing w:val="-4"/>
          <w:sz w:val="20"/>
        </w:rPr>
        <w:t xml:space="preserve"> </w:t>
      </w:r>
      <w:r>
        <w:rPr>
          <w:sz w:val="20"/>
        </w:rPr>
        <w:t>Greytak,</w:t>
      </w:r>
      <w:r>
        <w:rPr>
          <w:spacing w:val="-4"/>
          <w:sz w:val="20"/>
        </w:rPr>
        <w:t xml:space="preserve"> </w:t>
      </w:r>
      <w:r>
        <w:rPr>
          <w:sz w:val="20"/>
        </w:rPr>
        <w:t>Kosciw,</w:t>
      </w:r>
      <w:r>
        <w:rPr>
          <w:spacing w:val="-4"/>
          <w:sz w:val="20"/>
        </w:rPr>
        <w:t xml:space="preserve"> </w:t>
      </w:r>
      <w:r>
        <w:rPr>
          <w:sz w:val="20"/>
        </w:rPr>
        <w:t>and</w:t>
      </w:r>
      <w:r>
        <w:rPr>
          <w:spacing w:val="-4"/>
          <w:sz w:val="20"/>
        </w:rPr>
        <w:t xml:space="preserve"> </w:t>
      </w:r>
      <w:r>
        <w:rPr>
          <w:sz w:val="20"/>
        </w:rPr>
        <w:t>Gay,</w:t>
      </w:r>
      <w:r>
        <w:rPr>
          <w:spacing w:val="-4"/>
          <w:sz w:val="20"/>
        </w:rPr>
        <w:t xml:space="preserve"> </w:t>
      </w:r>
      <w:r>
        <w:rPr>
          <w:i/>
          <w:sz w:val="20"/>
        </w:rPr>
        <w:t>Year</w:t>
      </w:r>
      <w:r>
        <w:rPr>
          <w:i/>
          <w:spacing w:val="-5"/>
          <w:sz w:val="20"/>
        </w:rPr>
        <w:t xml:space="preserve"> </w:t>
      </w:r>
      <w:r>
        <w:rPr>
          <w:i/>
          <w:sz w:val="20"/>
        </w:rPr>
        <w:t>One</w:t>
      </w:r>
      <w:r>
        <w:rPr>
          <w:i/>
          <w:spacing w:val="-6"/>
          <w:sz w:val="20"/>
        </w:rPr>
        <w:t xml:space="preserve"> </w:t>
      </w:r>
      <w:r>
        <w:rPr>
          <w:i/>
          <w:sz w:val="20"/>
        </w:rPr>
        <w:t>Evaluation</w:t>
      </w:r>
      <w:r>
        <w:rPr>
          <w:i/>
          <w:spacing w:val="-4"/>
          <w:sz w:val="20"/>
        </w:rPr>
        <w:t xml:space="preserve"> </w:t>
      </w:r>
      <w:r>
        <w:rPr>
          <w:i/>
          <w:sz w:val="20"/>
        </w:rPr>
        <w:t>of</w:t>
      </w:r>
      <w:r>
        <w:rPr>
          <w:i/>
          <w:spacing w:val="-6"/>
          <w:sz w:val="20"/>
        </w:rPr>
        <w:t xml:space="preserve"> </w:t>
      </w:r>
      <w:r>
        <w:rPr>
          <w:i/>
          <w:sz w:val="20"/>
        </w:rPr>
        <w:t>the</w:t>
      </w:r>
      <w:r>
        <w:rPr>
          <w:i/>
          <w:spacing w:val="-5"/>
          <w:sz w:val="20"/>
        </w:rPr>
        <w:t xml:space="preserve"> </w:t>
      </w:r>
      <w:r>
        <w:rPr>
          <w:i/>
          <w:sz w:val="20"/>
        </w:rPr>
        <w:t>New</w:t>
      </w:r>
      <w:r>
        <w:rPr>
          <w:i/>
          <w:spacing w:val="-6"/>
          <w:sz w:val="20"/>
        </w:rPr>
        <w:t xml:space="preserve"> </w:t>
      </w:r>
      <w:r>
        <w:rPr>
          <w:i/>
          <w:sz w:val="20"/>
        </w:rPr>
        <w:t>York</w:t>
      </w:r>
      <w:r>
        <w:rPr>
          <w:i/>
          <w:spacing w:val="-4"/>
          <w:sz w:val="20"/>
        </w:rPr>
        <w:t xml:space="preserve"> </w:t>
      </w:r>
      <w:r>
        <w:rPr>
          <w:i/>
          <w:sz w:val="20"/>
        </w:rPr>
        <w:t>City</w:t>
      </w:r>
      <w:r>
        <w:rPr>
          <w:i/>
          <w:spacing w:val="-5"/>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Education</w:t>
      </w:r>
      <w:r>
        <w:rPr>
          <w:i/>
          <w:spacing w:val="-5"/>
          <w:sz w:val="20"/>
        </w:rPr>
        <w:t xml:space="preserve"> </w:t>
      </w:r>
      <w:r>
        <w:rPr>
          <w:i/>
          <w:sz w:val="20"/>
        </w:rPr>
        <w:t>"Respect</w:t>
      </w:r>
      <w:r>
        <w:rPr>
          <w:i/>
          <w:spacing w:val="-5"/>
          <w:sz w:val="20"/>
        </w:rPr>
        <w:t xml:space="preserve"> </w:t>
      </w:r>
      <w:r>
        <w:rPr>
          <w:i/>
          <w:sz w:val="20"/>
        </w:rPr>
        <w:t>for</w:t>
      </w:r>
      <w:r>
        <w:rPr>
          <w:i/>
          <w:spacing w:val="-5"/>
          <w:sz w:val="20"/>
        </w:rPr>
        <w:t xml:space="preserve"> </w:t>
      </w:r>
      <w:r>
        <w:rPr>
          <w:i/>
          <w:sz w:val="20"/>
        </w:rPr>
        <w:t>All" Training Program.</w:t>
      </w:r>
    </w:p>
    <w:p w:rsidR="00C76E6D" w:rsidRDefault="00913831">
      <w:pPr>
        <w:ind w:left="478" w:right="530" w:hanging="1"/>
        <w:rPr>
          <w:sz w:val="20"/>
        </w:rPr>
      </w:pPr>
      <w:bookmarkStart w:id="211" w:name="_bookmark113"/>
      <w:bookmarkEnd w:id="211"/>
      <w:r>
        <w:rPr>
          <w:sz w:val="20"/>
          <w:vertAlign w:val="superscript"/>
        </w:rPr>
        <w:t>22</w:t>
      </w:r>
      <w:r>
        <w:rPr>
          <w:sz w:val="20"/>
        </w:rPr>
        <w:t xml:space="preserve"> Katie Ann McGravey, </w:t>
      </w:r>
      <w:r>
        <w:rPr>
          <w:i/>
          <w:sz w:val="20"/>
        </w:rPr>
        <w:t>Measuring the Effectiveness of a Professional Development Workshop on Awareness, Knowledge,</w:t>
      </w:r>
      <w:r>
        <w:rPr>
          <w:i/>
          <w:spacing w:val="-6"/>
          <w:sz w:val="20"/>
        </w:rPr>
        <w:t xml:space="preserve"> </w:t>
      </w:r>
      <w:r>
        <w:rPr>
          <w:i/>
          <w:sz w:val="20"/>
        </w:rPr>
        <w:t>and</w:t>
      </w:r>
      <w:r>
        <w:rPr>
          <w:i/>
          <w:spacing w:val="-6"/>
          <w:sz w:val="20"/>
        </w:rPr>
        <w:t xml:space="preserve"> </w:t>
      </w:r>
      <w:r>
        <w:rPr>
          <w:i/>
          <w:sz w:val="20"/>
        </w:rPr>
        <w:t>Skills</w:t>
      </w:r>
      <w:r>
        <w:rPr>
          <w:i/>
          <w:spacing w:val="-6"/>
          <w:sz w:val="20"/>
        </w:rPr>
        <w:t xml:space="preserve"> </w:t>
      </w:r>
      <w:r>
        <w:rPr>
          <w:i/>
          <w:sz w:val="20"/>
        </w:rPr>
        <w:t>of</w:t>
      </w:r>
      <w:r>
        <w:rPr>
          <w:i/>
          <w:spacing w:val="-8"/>
          <w:sz w:val="20"/>
        </w:rPr>
        <w:t xml:space="preserve"> </w:t>
      </w:r>
      <w:r>
        <w:rPr>
          <w:i/>
          <w:sz w:val="20"/>
        </w:rPr>
        <w:t>Mental</w:t>
      </w:r>
      <w:r>
        <w:rPr>
          <w:i/>
          <w:spacing w:val="-7"/>
          <w:sz w:val="20"/>
        </w:rPr>
        <w:t xml:space="preserve"> </w:t>
      </w:r>
      <w:r>
        <w:rPr>
          <w:i/>
          <w:sz w:val="20"/>
        </w:rPr>
        <w:t>Health</w:t>
      </w:r>
      <w:r>
        <w:rPr>
          <w:i/>
          <w:spacing w:val="-6"/>
          <w:sz w:val="20"/>
        </w:rPr>
        <w:t xml:space="preserve"> </w:t>
      </w:r>
      <w:r>
        <w:rPr>
          <w:i/>
          <w:sz w:val="20"/>
        </w:rPr>
        <w:t>Professionals</w:t>
      </w:r>
      <w:r>
        <w:rPr>
          <w:i/>
          <w:spacing w:val="-7"/>
          <w:sz w:val="20"/>
        </w:rPr>
        <w:t xml:space="preserve"> </w:t>
      </w:r>
      <w:r>
        <w:rPr>
          <w:i/>
          <w:sz w:val="20"/>
        </w:rPr>
        <w:t>in</w:t>
      </w:r>
      <w:r>
        <w:rPr>
          <w:i/>
          <w:spacing w:val="-7"/>
          <w:sz w:val="20"/>
        </w:rPr>
        <w:t xml:space="preserve"> </w:t>
      </w:r>
      <w:r>
        <w:rPr>
          <w:i/>
          <w:sz w:val="20"/>
        </w:rPr>
        <w:t>Working</w:t>
      </w:r>
      <w:r>
        <w:rPr>
          <w:i/>
          <w:spacing w:val="-6"/>
          <w:sz w:val="20"/>
        </w:rPr>
        <w:t xml:space="preserve"> </w:t>
      </w:r>
      <w:r>
        <w:rPr>
          <w:i/>
          <w:sz w:val="20"/>
        </w:rPr>
        <w:t>with</w:t>
      </w:r>
      <w:r>
        <w:rPr>
          <w:i/>
          <w:spacing w:val="-7"/>
          <w:sz w:val="20"/>
        </w:rPr>
        <w:t xml:space="preserve"> </w:t>
      </w:r>
      <w:r>
        <w:rPr>
          <w:i/>
          <w:sz w:val="20"/>
        </w:rPr>
        <w:t>Lesbian,</w:t>
      </w:r>
      <w:r>
        <w:rPr>
          <w:i/>
          <w:spacing w:val="-6"/>
          <w:sz w:val="20"/>
        </w:rPr>
        <w:t xml:space="preserve"> </w:t>
      </w:r>
      <w:r>
        <w:rPr>
          <w:i/>
          <w:sz w:val="20"/>
        </w:rPr>
        <w:t>Gay,</w:t>
      </w:r>
      <w:r>
        <w:rPr>
          <w:i/>
          <w:spacing w:val="-7"/>
          <w:sz w:val="20"/>
        </w:rPr>
        <w:t xml:space="preserve"> </w:t>
      </w:r>
      <w:r>
        <w:rPr>
          <w:i/>
          <w:sz w:val="20"/>
        </w:rPr>
        <w:t>Bisexual,</w:t>
      </w:r>
      <w:r>
        <w:rPr>
          <w:i/>
          <w:spacing w:val="-6"/>
          <w:sz w:val="20"/>
        </w:rPr>
        <w:t xml:space="preserve"> </w:t>
      </w:r>
      <w:r>
        <w:rPr>
          <w:i/>
          <w:sz w:val="20"/>
        </w:rPr>
        <w:t>Transgender,</w:t>
      </w:r>
      <w:r>
        <w:rPr>
          <w:i/>
          <w:spacing w:val="-6"/>
          <w:sz w:val="20"/>
        </w:rPr>
        <w:t xml:space="preserve"> </w:t>
      </w:r>
      <w:r>
        <w:rPr>
          <w:i/>
          <w:sz w:val="20"/>
        </w:rPr>
        <w:t>and Questioning (LG</w:t>
      </w:r>
      <w:r>
        <w:rPr>
          <w:i/>
          <w:sz w:val="20"/>
        </w:rPr>
        <w:t>BTQ) Youth</w:t>
      </w:r>
      <w:r>
        <w:rPr>
          <w:sz w:val="20"/>
        </w:rPr>
        <w:t xml:space="preserve">, </w:t>
      </w:r>
      <w:r>
        <w:rPr>
          <w:i/>
          <w:sz w:val="20"/>
        </w:rPr>
        <w:t xml:space="preserve">ProQuest LLC </w:t>
      </w:r>
      <w:r>
        <w:rPr>
          <w:sz w:val="20"/>
        </w:rPr>
        <w:t>(ProQuest LLC, 2014).</w:t>
      </w:r>
    </w:p>
    <w:p w:rsidR="00C76E6D" w:rsidRDefault="00913831">
      <w:pPr>
        <w:ind w:left="481" w:right="541" w:hanging="3"/>
        <w:rPr>
          <w:sz w:val="20"/>
        </w:rPr>
      </w:pPr>
      <w:bookmarkStart w:id="212" w:name="_bookmark114"/>
      <w:bookmarkEnd w:id="212"/>
      <w:r>
        <w:rPr>
          <w:sz w:val="20"/>
          <w:vertAlign w:val="superscript"/>
        </w:rPr>
        <w:t>23</w:t>
      </w:r>
      <w:r>
        <w:rPr>
          <w:spacing w:val="-4"/>
          <w:sz w:val="20"/>
        </w:rPr>
        <w:t xml:space="preserve"> </w:t>
      </w:r>
      <w:r>
        <w:rPr>
          <w:sz w:val="20"/>
        </w:rPr>
        <w:t>McGravey;</w:t>
      </w:r>
      <w:r>
        <w:rPr>
          <w:spacing w:val="-5"/>
          <w:sz w:val="20"/>
        </w:rPr>
        <w:t xml:space="preserve"> </w:t>
      </w:r>
      <w:r>
        <w:rPr>
          <w:sz w:val="20"/>
        </w:rPr>
        <w:t>Elizabeth</w:t>
      </w:r>
      <w:r>
        <w:rPr>
          <w:spacing w:val="-5"/>
          <w:sz w:val="20"/>
        </w:rPr>
        <w:t xml:space="preserve"> </w:t>
      </w:r>
      <w:r>
        <w:rPr>
          <w:sz w:val="20"/>
        </w:rPr>
        <w:t>Bradley</w:t>
      </w:r>
      <w:r>
        <w:rPr>
          <w:spacing w:val="-5"/>
          <w:sz w:val="20"/>
        </w:rPr>
        <w:t xml:space="preserve"> </w:t>
      </w:r>
      <w:r>
        <w:rPr>
          <w:sz w:val="20"/>
        </w:rPr>
        <w:t>et</w:t>
      </w:r>
      <w:r>
        <w:rPr>
          <w:spacing w:val="-4"/>
          <w:sz w:val="20"/>
        </w:rPr>
        <w:t xml:space="preserve"> </w:t>
      </w:r>
      <w:r>
        <w:rPr>
          <w:sz w:val="20"/>
        </w:rPr>
        <w:t>al.,</w:t>
      </w:r>
      <w:r>
        <w:rPr>
          <w:spacing w:val="-5"/>
          <w:sz w:val="20"/>
        </w:rPr>
        <w:t xml:space="preserve"> </w:t>
      </w:r>
      <w:r>
        <w:rPr>
          <w:sz w:val="20"/>
        </w:rPr>
        <w:t>“Impact</w:t>
      </w:r>
      <w:r>
        <w:rPr>
          <w:spacing w:val="-5"/>
          <w:sz w:val="20"/>
        </w:rPr>
        <w:t xml:space="preserve"> </w:t>
      </w:r>
      <w:r>
        <w:rPr>
          <w:sz w:val="20"/>
        </w:rPr>
        <w:t>of</w:t>
      </w:r>
      <w:r>
        <w:rPr>
          <w:spacing w:val="-4"/>
          <w:sz w:val="20"/>
        </w:rPr>
        <w:t xml:space="preserve"> </w:t>
      </w:r>
      <w:r>
        <w:rPr>
          <w:sz w:val="20"/>
        </w:rPr>
        <w:t>a</w:t>
      </w:r>
      <w:r>
        <w:rPr>
          <w:spacing w:val="-6"/>
          <w:sz w:val="20"/>
        </w:rPr>
        <w:t xml:space="preserve"> </w:t>
      </w:r>
      <w:r>
        <w:rPr>
          <w:sz w:val="20"/>
        </w:rPr>
        <w:t>Simulation</w:t>
      </w:r>
      <w:r>
        <w:rPr>
          <w:spacing w:val="-4"/>
          <w:sz w:val="20"/>
        </w:rPr>
        <w:t xml:space="preserve"> </w:t>
      </w:r>
      <w:r>
        <w:rPr>
          <w:sz w:val="20"/>
        </w:rPr>
        <w:t>on</w:t>
      </w:r>
      <w:r>
        <w:rPr>
          <w:spacing w:val="-5"/>
          <w:sz w:val="20"/>
        </w:rPr>
        <w:t xml:space="preserve"> </w:t>
      </w:r>
      <w:r>
        <w:rPr>
          <w:sz w:val="20"/>
        </w:rPr>
        <w:t>Educator</w:t>
      </w:r>
      <w:r>
        <w:rPr>
          <w:spacing w:val="-8"/>
          <w:sz w:val="20"/>
        </w:rPr>
        <w:t xml:space="preserve"> </w:t>
      </w:r>
      <w:r>
        <w:rPr>
          <w:sz w:val="20"/>
        </w:rPr>
        <w:t>Support</w:t>
      </w:r>
      <w:r>
        <w:rPr>
          <w:spacing w:val="-4"/>
          <w:sz w:val="20"/>
        </w:rPr>
        <w:t xml:space="preserve"> </w:t>
      </w:r>
      <w:r>
        <w:rPr>
          <w:sz w:val="20"/>
        </w:rPr>
        <w:t>of</w:t>
      </w:r>
      <w:r>
        <w:rPr>
          <w:spacing w:val="-6"/>
          <w:sz w:val="20"/>
        </w:rPr>
        <w:t xml:space="preserve"> </w:t>
      </w:r>
      <w:r>
        <w:rPr>
          <w:sz w:val="20"/>
        </w:rPr>
        <w:t>LGBTQ</w:t>
      </w:r>
      <w:r>
        <w:rPr>
          <w:spacing w:val="-6"/>
          <w:sz w:val="20"/>
        </w:rPr>
        <w:t xml:space="preserve"> </w:t>
      </w:r>
      <w:r>
        <w:rPr>
          <w:sz w:val="20"/>
        </w:rPr>
        <w:t>Youth,”</w:t>
      </w:r>
      <w:r>
        <w:rPr>
          <w:spacing w:val="-4"/>
          <w:sz w:val="20"/>
        </w:rPr>
        <w:t xml:space="preserve"> </w:t>
      </w:r>
      <w:r>
        <w:rPr>
          <w:i/>
          <w:sz w:val="20"/>
        </w:rPr>
        <w:t>Journal</w:t>
      </w:r>
      <w:r>
        <w:rPr>
          <w:i/>
          <w:spacing w:val="-5"/>
          <w:sz w:val="20"/>
        </w:rPr>
        <w:t xml:space="preserve"> </w:t>
      </w:r>
      <w:r>
        <w:rPr>
          <w:i/>
          <w:sz w:val="20"/>
        </w:rPr>
        <w:t xml:space="preserve">of LGBT Youth </w:t>
      </w:r>
      <w:r>
        <w:rPr>
          <w:sz w:val="20"/>
        </w:rPr>
        <w:t>16, no. 3 (July 3, 2019): 317–39, https://doi.org/10.1080/19361653.2019.1578324.</w:t>
      </w:r>
    </w:p>
    <w:p w:rsidR="00C76E6D" w:rsidRDefault="00913831">
      <w:pPr>
        <w:ind w:left="480" w:right="1109" w:hanging="2"/>
        <w:rPr>
          <w:sz w:val="20"/>
        </w:rPr>
      </w:pPr>
      <w:bookmarkStart w:id="213" w:name="_bookmark115"/>
      <w:bookmarkEnd w:id="213"/>
      <w:r>
        <w:rPr>
          <w:sz w:val="20"/>
          <w:vertAlign w:val="superscript"/>
        </w:rPr>
        <w:t>24</w:t>
      </w:r>
      <w:r>
        <w:rPr>
          <w:spacing w:val="-2"/>
          <w:sz w:val="20"/>
        </w:rPr>
        <w:t xml:space="preserve"> </w:t>
      </w:r>
      <w:r>
        <w:rPr>
          <w:sz w:val="20"/>
        </w:rPr>
        <w:t>Byrd</w:t>
      </w:r>
      <w:r>
        <w:rPr>
          <w:spacing w:val="-2"/>
          <w:sz w:val="20"/>
        </w:rPr>
        <w:t xml:space="preserve"> </w:t>
      </w:r>
      <w:r>
        <w:rPr>
          <w:sz w:val="20"/>
        </w:rPr>
        <w:t>and</w:t>
      </w:r>
      <w:r>
        <w:rPr>
          <w:spacing w:val="-3"/>
          <w:sz w:val="20"/>
        </w:rPr>
        <w:t xml:space="preserve"> </w:t>
      </w:r>
      <w:r>
        <w:rPr>
          <w:sz w:val="20"/>
        </w:rPr>
        <w:t>Hays,</w:t>
      </w:r>
      <w:r>
        <w:rPr>
          <w:spacing w:val="-2"/>
          <w:sz w:val="20"/>
        </w:rPr>
        <w:t xml:space="preserve"> </w:t>
      </w:r>
      <w:r>
        <w:rPr>
          <w:sz w:val="20"/>
        </w:rPr>
        <w:t>“Evaluating</w:t>
      </w:r>
      <w:r>
        <w:rPr>
          <w:spacing w:val="-4"/>
          <w:sz w:val="20"/>
        </w:rPr>
        <w:t xml:space="preserve"> </w:t>
      </w:r>
      <w:r>
        <w:rPr>
          <w:sz w:val="20"/>
        </w:rPr>
        <w:t>A</w:t>
      </w:r>
      <w:r>
        <w:rPr>
          <w:spacing w:val="-3"/>
          <w:sz w:val="20"/>
        </w:rPr>
        <w:t xml:space="preserve"> </w:t>
      </w:r>
      <w:r>
        <w:rPr>
          <w:sz w:val="20"/>
        </w:rPr>
        <w:t>Safe</w:t>
      </w:r>
      <w:r>
        <w:rPr>
          <w:spacing w:val="-3"/>
          <w:sz w:val="20"/>
        </w:rPr>
        <w:t xml:space="preserve"> </w:t>
      </w:r>
      <w:r>
        <w:rPr>
          <w:sz w:val="20"/>
        </w:rPr>
        <w:t>Space</w:t>
      </w:r>
      <w:r>
        <w:rPr>
          <w:spacing w:val="-3"/>
          <w:sz w:val="20"/>
        </w:rPr>
        <w:t xml:space="preserve"> </w:t>
      </w:r>
      <w:r>
        <w:rPr>
          <w:sz w:val="20"/>
        </w:rPr>
        <w:t>Training</w:t>
      </w:r>
      <w:r>
        <w:rPr>
          <w:spacing w:val="-3"/>
          <w:sz w:val="20"/>
        </w:rPr>
        <w:t xml:space="preserve"> </w:t>
      </w:r>
      <w:r>
        <w:rPr>
          <w:sz w:val="20"/>
        </w:rPr>
        <w:t>for</w:t>
      </w:r>
      <w:r>
        <w:rPr>
          <w:spacing w:val="-4"/>
          <w:sz w:val="20"/>
        </w:rPr>
        <w:t xml:space="preserve"> </w:t>
      </w:r>
      <w:r>
        <w:rPr>
          <w:sz w:val="20"/>
        </w:rPr>
        <w:t>School</w:t>
      </w:r>
      <w:r>
        <w:rPr>
          <w:spacing w:val="-3"/>
          <w:sz w:val="20"/>
        </w:rPr>
        <w:t xml:space="preserve"> </w:t>
      </w:r>
      <w:r>
        <w:rPr>
          <w:sz w:val="20"/>
        </w:rPr>
        <w:t>Counselors</w:t>
      </w:r>
      <w:r>
        <w:rPr>
          <w:spacing w:val="-4"/>
          <w:sz w:val="20"/>
        </w:rPr>
        <w:t xml:space="preserve"> </w:t>
      </w:r>
      <w:r>
        <w:rPr>
          <w:sz w:val="20"/>
        </w:rPr>
        <w:t>and</w:t>
      </w:r>
      <w:r>
        <w:rPr>
          <w:spacing w:val="-3"/>
          <w:sz w:val="20"/>
        </w:rPr>
        <w:t xml:space="preserve"> </w:t>
      </w:r>
      <w:r>
        <w:rPr>
          <w:sz w:val="20"/>
        </w:rPr>
        <w:t>Trainees</w:t>
      </w:r>
      <w:r>
        <w:rPr>
          <w:spacing w:val="-4"/>
          <w:sz w:val="20"/>
        </w:rPr>
        <w:t xml:space="preserve"> </w:t>
      </w:r>
      <w:r>
        <w:rPr>
          <w:sz w:val="20"/>
        </w:rPr>
        <w:t>Using</w:t>
      </w:r>
      <w:r>
        <w:rPr>
          <w:spacing w:val="-2"/>
          <w:sz w:val="20"/>
        </w:rPr>
        <w:t xml:space="preserve"> </w:t>
      </w:r>
      <w:r>
        <w:rPr>
          <w:sz w:val="20"/>
        </w:rPr>
        <w:t>a</w:t>
      </w:r>
      <w:r>
        <w:rPr>
          <w:spacing w:val="-4"/>
          <w:sz w:val="20"/>
        </w:rPr>
        <w:t xml:space="preserve"> </w:t>
      </w:r>
      <w:r>
        <w:rPr>
          <w:sz w:val="20"/>
        </w:rPr>
        <w:t>Randomized Control</w:t>
      </w:r>
      <w:r>
        <w:rPr>
          <w:spacing w:val="-7"/>
          <w:sz w:val="20"/>
        </w:rPr>
        <w:t xml:space="preserve"> </w:t>
      </w:r>
      <w:r>
        <w:rPr>
          <w:sz w:val="20"/>
        </w:rPr>
        <w:t>Group</w:t>
      </w:r>
      <w:r>
        <w:rPr>
          <w:spacing w:val="-8"/>
          <w:sz w:val="20"/>
        </w:rPr>
        <w:t xml:space="preserve"> </w:t>
      </w:r>
      <w:r>
        <w:rPr>
          <w:sz w:val="20"/>
        </w:rPr>
        <w:t>Design”;</w:t>
      </w:r>
      <w:r>
        <w:rPr>
          <w:spacing w:val="-8"/>
          <w:sz w:val="20"/>
        </w:rPr>
        <w:t xml:space="preserve"> </w:t>
      </w:r>
      <w:r>
        <w:rPr>
          <w:sz w:val="20"/>
        </w:rPr>
        <w:t>McGravey,</w:t>
      </w:r>
      <w:r>
        <w:rPr>
          <w:spacing w:val="-7"/>
          <w:sz w:val="20"/>
        </w:rPr>
        <w:t xml:space="preserve"> </w:t>
      </w:r>
      <w:r>
        <w:rPr>
          <w:i/>
          <w:sz w:val="20"/>
        </w:rPr>
        <w:t>Measuring</w:t>
      </w:r>
      <w:r>
        <w:rPr>
          <w:i/>
          <w:spacing w:val="-7"/>
          <w:sz w:val="20"/>
        </w:rPr>
        <w:t xml:space="preserve"> </w:t>
      </w:r>
      <w:r>
        <w:rPr>
          <w:i/>
          <w:sz w:val="20"/>
        </w:rPr>
        <w:t>the</w:t>
      </w:r>
      <w:r>
        <w:rPr>
          <w:i/>
          <w:spacing w:val="-8"/>
          <w:sz w:val="20"/>
        </w:rPr>
        <w:t xml:space="preserve"> </w:t>
      </w:r>
      <w:r>
        <w:rPr>
          <w:i/>
          <w:sz w:val="20"/>
        </w:rPr>
        <w:t>Effectiveness</w:t>
      </w:r>
      <w:r>
        <w:rPr>
          <w:i/>
          <w:spacing w:val="-9"/>
          <w:sz w:val="20"/>
        </w:rPr>
        <w:t xml:space="preserve"> </w:t>
      </w:r>
      <w:r>
        <w:rPr>
          <w:i/>
          <w:sz w:val="20"/>
        </w:rPr>
        <w:t>of</w:t>
      </w:r>
      <w:r>
        <w:rPr>
          <w:i/>
          <w:spacing w:val="-8"/>
          <w:sz w:val="20"/>
        </w:rPr>
        <w:t xml:space="preserve"> </w:t>
      </w:r>
      <w:r>
        <w:rPr>
          <w:i/>
          <w:sz w:val="20"/>
        </w:rPr>
        <w:t>a</w:t>
      </w:r>
      <w:r>
        <w:rPr>
          <w:i/>
          <w:spacing w:val="-6"/>
          <w:sz w:val="20"/>
        </w:rPr>
        <w:t xml:space="preserve"> </w:t>
      </w:r>
      <w:r>
        <w:rPr>
          <w:i/>
          <w:sz w:val="20"/>
        </w:rPr>
        <w:t>Professional</w:t>
      </w:r>
      <w:r>
        <w:rPr>
          <w:i/>
          <w:spacing w:val="-7"/>
          <w:sz w:val="20"/>
        </w:rPr>
        <w:t xml:space="preserve"> </w:t>
      </w:r>
      <w:r>
        <w:rPr>
          <w:i/>
          <w:sz w:val="20"/>
        </w:rPr>
        <w:t>Development</w:t>
      </w:r>
      <w:r>
        <w:rPr>
          <w:i/>
          <w:spacing w:val="-8"/>
          <w:sz w:val="20"/>
        </w:rPr>
        <w:t xml:space="preserve"> </w:t>
      </w:r>
      <w:r>
        <w:rPr>
          <w:i/>
          <w:sz w:val="20"/>
        </w:rPr>
        <w:t>Workshop</w:t>
      </w:r>
      <w:r>
        <w:rPr>
          <w:i/>
          <w:spacing w:val="-8"/>
          <w:sz w:val="20"/>
        </w:rPr>
        <w:t xml:space="preserve"> </w:t>
      </w:r>
      <w:r>
        <w:rPr>
          <w:i/>
          <w:sz w:val="20"/>
        </w:rPr>
        <w:t>on</w:t>
      </w:r>
      <w:r>
        <w:rPr>
          <w:i/>
          <w:sz w:val="20"/>
        </w:rPr>
        <w:t xml:space="preserve"> Awareness, Knowledge, and Skills of Mental Health Professionals in Working with Lesbian, Gay, Bisexual, </w:t>
      </w:r>
      <w:bookmarkStart w:id="214" w:name="_bookmark116"/>
      <w:bookmarkEnd w:id="214"/>
      <w:r>
        <w:rPr>
          <w:i/>
          <w:sz w:val="20"/>
        </w:rPr>
        <w:t>Transgender, and Questioning (LGBTQ) Youth</w:t>
      </w:r>
      <w:r>
        <w:rPr>
          <w:sz w:val="20"/>
        </w:rPr>
        <w:t>.</w:t>
      </w:r>
    </w:p>
    <w:p w:rsidR="00C76E6D" w:rsidRDefault="00913831">
      <w:pPr>
        <w:ind w:left="480" w:right="1439" w:hanging="2"/>
        <w:rPr>
          <w:sz w:val="20"/>
        </w:rPr>
      </w:pPr>
      <w:r>
        <w:rPr>
          <w:sz w:val="20"/>
          <w:vertAlign w:val="superscript"/>
        </w:rPr>
        <w:t>25</w:t>
      </w:r>
      <w:r>
        <w:rPr>
          <w:spacing w:val="-6"/>
          <w:sz w:val="20"/>
        </w:rPr>
        <w:t xml:space="preserve"> </w:t>
      </w:r>
      <w:r>
        <w:rPr>
          <w:sz w:val="20"/>
        </w:rPr>
        <w:t>Massachusetts</w:t>
      </w:r>
      <w:r>
        <w:rPr>
          <w:spacing w:val="-7"/>
          <w:sz w:val="20"/>
        </w:rPr>
        <w:t xml:space="preserve"> </w:t>
      </w:r>
      <w:r>
        <w:rPr>
          <w:sz w:val="20"/>
        </w:rPr>
        <w:t>Commission</w:t>
      </w:r>
      <w:r>
        <w:rPr>
          <w:spacing w:val="-6"/>
          <w:sz w:val="20"/>
        </w:rPr>
        <w:t xml:space="preserve"> </w:t>
      </w:r>
      <w:r>
        <w:rPr>
          <w:sz w:val="20"/>
        </w:rPr>
        <w:t>on</w:t>
      </w:r>
      <w:r>
        <w:rPr>
          <w:spacing w:val="-6"/>
          <w:sz w:val="20"/>
        </w:rPr>
        <w:t xml:space="preserve"> </w:t>
      </w:r>
      <w:r>
        <w:rPr>
          <w:sz w:val="20"/>
        </w:rPr>
        <w:t>LGBTQ</w:t>
      </w:r>
      <w:r>
        <w:rPr>
          <w:spacing w:val="-7"/>
          <w:sz w:val="20"/>
        </w:rPr>
        <w:t xml:space="preserve"> </w:t>
      </w:r>
      <w:r>
        <w:rPr>
          <w:sz w:val="20"/>
        </w:rPr>
        <w:t>Youth,</w:t>
      </w:r>
      <w:r>
        <w:rPr>
          <w:spacing w:val="-7"/>
          <w:sz w:val="20"/>
        </w:rPr>
        <w:t xml:space="preserve"> </w:t>
      </w:r>
      <w:r>
        <w:rPr>
          <w:sz w:val="20"/>
        </w:rPr>
        <w:t>“Safe</w:t>
      </w:r>
      <w:r>
        <w:rPr>
          <w:spacing w:val="-8"/>
          <w:sz w:val="20"/>
        </w:rPr>
        <w:t xml:space="preserve"> </w:t>
      </w:r>
      <w:r>
        <w:rPr>
          <w:sz w:val="20"/>
        </w:rPr>
        <w:t>Schools</w:t>
      </w:r>
      <w:r>
        <w:rPr>
          <w:spacing w:val="-7"/>
          <w:sz w:val="20"/>
        </w:rPr>
        <w:t xml:space="preserve"> </w:t>
      </w:r>
      <w:r>
        <w:rPr>
          <w:sz w:val="20"/>
        </w:rPr>
        <w:t>Program</w:t>
      </w:r>
      <w:r>
        <w:rPr>
          <w:spacing w:val="-8"/>
          <w:sz w:val="20"/>
        </w:rPr>
        <w:t xml:space="preserve"> </w:t>
      </w:r>
      <w:r>
        <w:rPr>
          <w:sz w:val="20"/>
        </w:rPr>
        <w:t>Training</w:t>
      </w:r>
      <w:r>
        <w:rPr>
          <w:spacing w:val="-7"/>
          <w:sz w:val="20"/>
        </w:rPr>
        <w:t xml:space="preserve"> </w:t>
      </w:r>
      <w:r>
        <w:rPr>
          <w:sz w:val="20"/>
        </w:rPr>
        <w:t>Evaluation</w:t>
      </w:r>
      <w:r>
        <w:rPr>
          <w:spacing w:val="-6"/>
          <w:sz w:val="20"/>
        </w:rPr>
        <w:t xml:space="preserve"> </w:t>
      </w:r>
      <w:r>
        <w:rPr>
          <w:sz w:val="20"/>
        </w:rPr>
        <w:t>Data.,”</w:t>
      </w:r>
      <w:r>
        <w:rPr>
          <w:spacing w:val="-8"/>
          <w:sz w:val="20"/>
        </w:rPr>
        <w:t xml:space="preserve"> </w:t>
      </w:r>
      <w:r>
        <w:rPr>
          <w:sz w:val="20"/>
        </w:rPr>
        <w:t xml:space="preserve">2019, </w:t>
      </w:r>
      <w:r>
        <w:rPr>
          <w:spacing w:val="-2"/>
          <w:sz w:val="20"/>
        </w:rPr>
        <w:t>https:/</w:t>
      </w:r>
      <w:r>
        <w:rPr>
          <w:spacing w:val="-2"/>
          <w:sz w:val="20"/>
        </w:rPr>
        <w:t>/docs.google.com/document/d/15SzsGZwNN0k-JaeW1XeDcKFsrjlynZxaz9AM_qzNAg/edit?pli=1.</w:t>
      </w:r>
    </w:p>
    <w:p w:rsidR="00C76E6D" w:rsidRDefault="00913831">
      <w:pPr>
        <w:ind w:left="480" w:right="526" w:hanging="2"/>
        <w:rPr>
          <w:sz w:val="20"/>
        </w:rPr>
      </w:pPr>
      <w:bookmarkStart w:id="215" w:name="_bookmark117"/>
      <w:bookmarkEnd w:id="215"/>
      <w:r>
        <w:rPr>
          <w:sz w:val="20"/>
          <w:vertAlign w:val="superscript"/>
        </w:rPr>
        <w:t>26</w:t>
      </w:r>
      <w:r>
        <w:rPr>
          <w:sz w:val="20"/>
        </w:rPr>
        <w:t xml:space="preserve"> Byrd and Hays, “Evaluating A Safe Space Training for School Counselors and Trainees Using a Randomized Control Group Design”; Greytak, Kosciw, and Gay, </w:t>
      </w:r>
      <w:r>
        <w:rPr>
          <w:i/>
          <w:sz w:val="20"/>
        </w:rPr>
        <w:t>Year One Evaluation of the New York City Department of Education"Respect</w:t>
      </w:r>
      <w:r>
        <w:rPr>
          <w:i/>
          <w:spacing w:val="-4"/>
          <w:sz w:val="20"/>
        </w:rPr>
        <w:t xml:space="preserve"> </w:t>
      </w:r>
      <w:r>
        <w:rPr>
          <w:i/>
          <w:sz w:val="20"/>
        </w:rPr>
        <w:t>for</w:t>
      </w:r>
      <w:r>
        <w:rPr>
          <w:i/>
          <w:spacing w:val="-7"/>
          <w:sz w:val="20"/>
        </w:rPr>
        <w:t xml:space="preserve"> </w:t>
      </w:r>
      <w:r>
        <w:rPr>
          <w:i/>
          <w:sz w:val="20"/>
        </w:rPr>
        <w:t>All"</w:t>
      </w:r>
      <w:r>
        <w:rPr>
          <w:i/>
          <w:spacing w:val="-4"/>
          <w:sz w:val="20"/>
        </w:rPr>
        <w:t xml:space="preserve"> </w:t>
      </w:r>
      <w:r>
        <w:rPr>
          <w:i/>
          <w:sz w:val="20"/>
        </w:rPr>
        <w:t>Training</w:t>
      </w:r>
      <w:r>
        <w:rPr>
          <w:i/>
          <w:spacing w:val="-4"/>
          <w:sz w:val="20"/>
        </w:rPr>
        <w:t xml:space="preserve"> </w:t>
      </w:r>
      <w:r>
        <w:rPr>
          <w:i/>
          <w:sz w:val="20"/>
        </w:rPr>
        <w:t>Program.</w:t>
      </w:r>
      <w:r>
        <w:rPr>
          <w:sz w:val="20"/>
        </w:rPr>
        <w:t>;</w:t>
      </w:r>
      <w:r>
        <w:rPr>
          <w:spacing w:val="-4"/>
          <w:sz w:val="20"/>
        </w:rPr>
        <w:t xml:space="preserve"> </w:t>
      </w:r>
      <w:r>
        <w:rPr>
          <w:sz w:val="20"/>
        </w:rPr>
        <w:t>Bradley</w:t>
      </w:r>
      <w:r>
        <w:rPr>
          <w:spacing w:val="-4"/>
          <w:sz w:val="20"/>
        </w:rPr>
        <w:t xml:space="preserve"> </w:t>
      </w:r>
      <w:r>
        <w:rPr>
          <w:sz w:val="20"/>
        </w:rPr>
        <w:t>et</w:t>
      </w:r>
      <w:r>
        <w:rPr>
          <w:spacing w:val="-7"/>
          <w:sz w:val="20"/>
        </w:rPr>
        <w:t xml:space="preserve"> </w:t>
      </w:r>
      <w:r>
        <w:rPr>
          <w:sz w:val="20"/>
        </w:rPr>
        <w:t>al.,</w:t>
      </w:r>
      <w:r>
        <w:rPr>
          <w:spacing w:val="-4"/>
          <w:sz w:val="20"/>
        </w:rPr>
        <w:t xml:space="preserve"> </w:t>
      </w:r>
      <w:r>
        <w:rPr>
          <w:sz w:val="20"/>
        </w:rPr>
        <w:t>“Impact</w:t>
      </w:r>
      <w:r>
        <w:rPr>
          <w:spacing w:val="-4"/>
          <w:sz w:val="20"/>
        </w:rPr>
        <w:t xml:space="preserve"> </w:t>
      </w:r>
      <w:r>
        <w:rPr>
          <w:sz w:val="20"/>
        </w:rPr>
        <w:t>of</w:t>
      </w:r>
      <w:r>
        <w:rPr>
          <w:spacing w:val="-7"/>
          <w:sz w:val="20"/>
        </w:rPr>
        <w:t xml:space="preserve"> </w:t>
      </w:r>
      <w:r>
        <w:rPr>
          <w:sz w:val="20"/>
        </w:rPr>
        <w:t>a</w:t>
      </w:r>
      <w:r>
        <w:rPr>
          <w:spacing w:val="-4"/>
          <w:sz w:val="20"/>
        </w:rPr>
        <w:t xml:space="preserve"> </w:t>
      </w:r>
      <w:r>
        <w:rPr>
          <w:sz w:val="20"/>
        </w:rPr>
        <w:t>Simulation</w:t>
      </w:r>
      <w:r>
        <w:rPr>
          <w:spacing w:val="-5"/>
          <w:sz w:val="20"/>
        </w:rPr>
        <w:t xml:space="preserve"> </w:t>
      </w:r>
      <w:r>
        <w:rPr>
          <w:sz w:val="20"/>
        </w:rPr>
        <w:t>on</w:t>
      </w:r>
      <w:r>
        <w:rPr>
          <w:spacing w:val="-4"/>
          <w:sz w:val="20"/>
        </w:rPr>
        <w:t xml:space="preserve"> </w:t>
      </w:r>
      <w:r>
        <w:rPr>
          <w:sz w:val="20"/>
        </w:rPr>
        <w:t>Educator</w:t>
      </w:r>
      <w:r>
        <w:rPr>
          <w:spacing w:val="-7"/>
          <w:sz w:val="20"/>
        </w:rPr>
        <w:t xml:space="preserve"> </w:t>
      </w:r>
      <w:r>
        <w:rPr>
          <w:sz w:val="20"/>
        </w:rPr>
        <w:t>Support</w:t>
      </w:r>
      <w:r>
        <w:rPr>
          <w:spacing w:val="-4"/>
          <w:sz w:val="20"/>
        </w:rPr>
        <w:t xml:space="preserve"> </w:t>
      </w:r>
      <w:r>
        <w:rPr>
          <w:sz w:val="20"/>
        </w:rPr>
        <w:t>of</w:t>
      </w:r>
      <w:r>
        <w:rPr>
          <w:spacing w:val="-6"/>
          <w:sz w:val="20"/>
        </w:rPr>
        <w:t xml:space="preserve"> </w:t>
      </w:r>
      <w:r>
        <w:rPr>
          <w:sz w:val="20"/>
        </w:rPr>
        <w:t>LGBTQ Youth”; Laura A. Szalacha, “Educating Teachers on LGBTQ Issues: A Review of Research and Program</w:t>
      </w:r>
      <w:r>
        <w:rPr>
          <w:spacing w:val="-1"/>
          <w:sz w:val="20"/>
        </w:rPr>
        <w:t xml:space="preserve"> </w:t>
      </w:r>
      <w:r>
        <w:rPr>
          <w:sz w:val="20"/>
        </w:rPr>
        <w:t xml:space="preserve">Evaluations,” </w:t>
      </w:r>
      <w:r>
        <w:rPr>
          <w:i/>
          <w:sz w:val="20"/>
        </w:rPr>
        <w:t xml:space="preserve">Journal of Gay &amp; Lesbian Issues in Education </w:t>
      </w:r>
      <w:r>
        <w:rPr>
          <w:sz w:val="20"/>
        </w:rPr>
        <w:t xml:space="preserve">1, no. 4 (May 10, 2004): 67–79, </w:t>
      </w:r>
      <w:r>
        <w:rPr>
          <w:spacing w:val="-2"/>
          <w:sz w:val="20"/>
        </w:rPr>
        <w:t>https://doi.org/10.1300/J367v01n04_07.</w:t>
      </w:r>
    </w:p>
    <w:p w:rsidR="00C76E6D" w:rsidRDefault="00913831">
      <w:pPr>
        <w:spacing w:before="2" w:line="242" w:lineRule="exact"/>
        <w:ind w:left="480"/>
        <w:rPr>
          <w:sz w:val="20"/>
        </w:rPr>
      </w:pPr>
      <w:bookmarkStart w:id="216" w:name="_bookmark118"/>
      <w:bookmarkEnd w:id="216"/>
      <w:r>
        <w:rPr>
          <w:sz w:val="20"/>
          <w:vertAlign w:val="superscript"/>
        </w:rPr>
        <w:t>27</w:t>
      </w:r>
      <w:r>
        <w:rPr>
          <w:spacing w:val="-6"/>
          <w:sz w:val="20"/>
        </w:rPr>
        <w:t xml:space="preserve"> </w:t>
      </w:r>
      <w:bookmarkStart w:id="217" w:name="_bookmark119"/>
      <w:bookmarkEnd w:id="217"/>
      <w:r>
        <w:rPr>
          <w:sz w:val="20"/>
        </w:rPr>
        <w:t>Bradley</w:t>
      </w:r>
      <w:r>
        <w:rPr>
          <w:spacing w:val="-4"/>
          <w:sz w:val="20"/>
        </w:rPr>
        <w:t xml:space="preserve"> </w:t>
      </w:r>
      <w:r>
        <w:rPr>
          <w:sz w:val="20"/>
        </w:rPr>
        <w:t>et</w:t>
      </w:r>
      <w:r>
        <w:rPr>
          <w:spacing w:val="-7"/>
          <w:sz w:val="20"/>
        </w:rPr>
        <w:t xml:space="preserve"> </w:t>
      </w:r>
      <w:r>
        <w:rPr>
          <w:sz w:val="20"/>
        </w:rPr>
        <w:t>al.,</w:t>
      </w:r>
      <w:r>
        <w:rPr>
          <w:spacing w:val="-5"/>
          <w:sz w:val="20"/>
        </w:rPr>
        <w:t xml:space="preserve"> </w:t>
      </w:r>
      <w:r>
        <w:rPr>
          <w:sz w:val="20"/>
        </w:rPr>
        <w:t>“Imp</w:t>
      </w:r>
      <w:r>
        <w:rPr>
          <w:sz w:val="20"/>
        </w:rPr>
        <w:t>act</w:t>
      </w:r>
      <w:r>
        <w:rPr>
          <w:spacing w:val="-6"/>
          <w:sz w:val="20"/>
        </w:rPr>
        <w:t xml:space="preserve"> </w:t>
      </w:r>
      <w:r>
        <w:rPr>
          <w:sz w:val="20"/>
        </w:rPr>
        <w:t>of</w:t>
      </w:r>
      <w:r>
        <w:rPr>
          <w:spacing w:val="-7"/>
          <w:sz w:val="20"/>
        </w:rPr>
        <w:t xml:space="preserve"> </w:t>
      </w:r>
      <w:r>
        <w:rPr>
          <w:sz w:val="20"/>
        </w:rPr>
        <w:t>a</w:t>
      </w:r>
      <w:r>
        <w:rPr>
          <w:spacing w:val="-4"/>
          <w:sz w:val="20"/>
        </w:rPr>
        <w:t xml:space="preserve"> </w:t>
      </w:r>
      <w:r>
        <w:rPr>
          <w:sz w:val="20"/>
        </w:rPr>
        <w:t>Simulation</w:t>
      </w:r>
      <w:r>
        <w:rPr>
          <w:spacing w:val="-5"/>
          <w:sz w:val="20"/>
        </w:rPr>
        <w:t xml:space="preserve"> </w:t>
      </w:r>
      <w:r>
        <w:rPr>
          <w:sz w:val="20"/>
        </w:rPr>
        <w:t>on</w:t>
      </w:r>
      <w:r>
        <w:rPr>
          <w:spacing w:val="-8"/>
          <w:sz w:val="20"/>
        </w:rPr>
        <w:t xml:space="preserve"> </w:t>
      </w:r>
      <w:r>
        <w:rPr>
          <w:sz w:val="20"/>
        </w:rPr>
        <w:t>Educator</w:t>
      </w:r>
      <w:r>
        <w:rPr>
          <w:spacing w:val="-7"/>
          <w:sz w:val="20"/>
        </w:rPr>
        <w:t xml:space="preserve"> </w:t>
      </w:r>
      <w:r>
        <w:rPr>
          <w:sz w:val="20"/>
        </w:rPr>
        <w:t>Support</w:t>
      </w:r>
      <w:r>
        <w:rPr>
          <w:spacing w:val="-4"/>
          <w:sz w:val="20"/>
        </w:rPr>
        <w:t xml:space="preserve"> </w:t>
      </w:r>
      <w:r>
        <w:rPr>
          <w:sz w:val="20"/>
        </w:rPr>
        <w:t>of</w:t>
      </w:r>
      <w:r>
        <w:rPr>
          <w:spacing w:val="-7"/>
          <w:sz w:val="20"/>
        </w:rPr>
        <w:t xml:space="preserve"> </w:t>
      </w:r>
      <w:r>
        <w:rPr>
          <w:sz w:val="20"/>
        </w:rPr>
        <w:t>LGBTQ</w:t>
      </w:r>
      <w:r>
        <w:rPr>
          <w:spacing w:val="-6"/>
          <w:sz w:val="20"/>
        </w:rPr>
        <w:t xml:space="preserve"> </w:t>
      </w:r>
      <w:r>
        <w:rPr>
          <w:spacing w:val="-2"/>
          <w:sz w:val="20"/>
        </w:rPr>
        <w:t>Youth.”</w:t>
      </w:r>
    </w:p>
    <w:p w:rsidR="00C76E6D" w:rsidRDefault="00913831">
      <w:pPr>
        <w:spacing w:line="242" w:lineRule="exact"/>
        <w:ind w:left="480"/>
        <w:rPr>
          <w:sz w:val="20"/>
        </w:rPr>
      </w:pPr>
      <w:r>
        <w:rPr>
          <w:sz w:val="20"/>
          <w:vertAlign w:val="superscript"/>
        </w:rPr>
        <w:t>28</w:t>
      </w:r>
      <w:r>
        <w:rPr>
          <w:spacing w:val="-7"/>
          <w:sz w:val="20"/>
        </w:rPr>
        <w:t xml:space="preserve"> </w:t>
      </w:r>
      <w:r>
        <w:rPr>
          <w:sz w:val="20"/>
        </w:rPr>
        <w:t>Szalacha,</w:t>
      </w:r>
      <w:r>
        <w:rPr>
          <w:spacing w:val="-8"/>
          <w:sz w:val="20"/>
        </w:rPr>
        <w:t xml:space="preserve"> </w:t>
      </w:r>
      <w:r>
        <w:rPr>
          <w:sz w:val="20"/>
        </w:rPr>
        <w:t>“Educating</w:t>
      </w:r>
      <w:r>
        <w:rPr>
          <w:spacing w:val="-7"/>
          <w:sz w:val="20"/>
        </w:rPr>
        <w:t xml:space="preserve"> </w:t>
      </w:r>
      <w:r>
        <w:rPr>
          <w:sz w:val="20"/>
        </w:rPr>
        <w:t>Teachers</w:t>
      </w:r>
      <w:r>
        <w:rPr>
          <w:spacing w:val="-8"/>
          <w:sz w:val="20"/>
        </w:rPr>
        <w:t xml:space="preserve"> </w:t>
      </w:r>
      <w:r>
        <w:rPr>
          <w:sz w:val="20"/>
        </w:rPr>
        <w:t>on</w:t>
      </w:r>
      <w:r>
        <w:rPr>
          <w:spacing w:val="-8"/>
          <w:sz w:val="20"/>
        </w:rPr>
        <w:t xml:space="preserve"> </w:t>
      </w:r>
      <w:r>
        <w:rPr>
          <w:sz w:val="20"/>
        </w:rPr>
        <w:t>LGBTQ</w:t>
      </w:r>
      <w:r>
        <w:rPr>
          <w:spacing w:val="-9"/>
          <w:sz w:val="20"/>
        </w:rPr>
        <w:t xml:space="preserve"> </w:t>
      </w:r>
      <w:r>
        <w:rPr>
          <w:spacing w:val="-2"/>
          <w:sz w:val="20"/>
        </w:rPr>
        <w:t>Issues.”</w:t>
      </w:r>
    </w:p>
    <w:p w:rsidR="00C76E6D" w:rsidRDefault="00C76E6D">
      <w:pPr>
        <w:spacing w:line="242" w:lineRule="exact"/>
        <w:rPr>
          <w:sz w:val="20"/>
        </w:rPr>
        <w:sectPr w:rsidR="00C76E6D">
          <w:pgSz w:w="12240" w:h="15840"/>
          <w:pgMar w:top="960" w:right="960" w:bottom="860" w:left="960" w:header="760" w:footer="679"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4"/>
        <w:rPr>
          <w:sz w:val="18"/>
        </w:rPr>
      </w:pPr>
    </w:p>
    <w:p w:rsidR="00C76E6D" w:rsidRDefault="00913831">
      <w:pPr>
        <w:ind w:left="481" w:right="1109" w:hanging="3"/>
        <w:rPr>
          <w:sz w:val="20"/>
        </w:rPr>
      </w:pPr>
      <w:bookmarkStart w:id="218" w:name="_bookmark120"/>
      <w:bookmarkEnd w:id="218"/>
      <w:r>
        <w:rPr>
          <w:sz w:val="20"/>
          <w:vertAlign w:val="superscript"/>
        </w:rPr>
        <w:t>29</w:t>
      </w:r>
      <w:r>
        <w:rPr>
          <w:spacing w:val="-4"/>
          <w:sz w:val="20"/>
        </w:rPr>
        <w:t xml:space="preserve"> </w:t>
      </w:r>
      <w:r>
        <w:rPr>
          <w:sz w:val="20"/>
        </w:rPr>
        <w:t>Byrd</w:t>
      </w:r>
      <w:r>
        <w:rPr>
          <w:spacing w:val="-5"/>
          <w:sz w:val="20"/>
        </w:rPr>
        <w:t xml:space="preserve"> </w:t>
      </w:r>
      <w:r>
        <w:rPr>
          <w:sz w:val="20"/>
        </w:rPr>
        <w:t>and</w:t>
      </w:r>
      <w:r>
        <w:rPr>
          <w:spacing w:val="-5"/>
          <w:sz w:val="20"/>
        </w:rPr>
        <w:t xml:space="preserve"> </w:t>
      </w:r>
      <w:r>
        <w:rPr>
          <w:sz w:val="20"/>
        </w:rPr>
        <w:t>Hays,</w:t>
      </w:r>
      <w:r>
        <w:rPr>
          <w:spacing w:val="-4"/>
          <w:sz w:val="20"/>
        </w:rPr>
        <w:t xml:space="preserve"> </w:t>
      </w:r>
      <w:r>
        <w:rPr>
          <w:sz w:val="20"/>
        </w:rPr>
        <w:t>“Evaluating</w:t>
      </w:r>
      <w:r>
        <w:rPr>
          <w:spacing w:val="-6"/>
          <w:sz w:val="20"/>
        </w:rPr>
        <w:t xml:space="preserve"> </w:t>
      </w:r>
      <w:r>
        <w:rPr>
          <w:sz w:val="20"/>
        </w:rPr>
        <w:t>A</w:t>
      </w:r>
      <w:r>
        <w:rPr>
          <w:spacing w:val="-5"/>
          <w:sz w:val="20"/>
        </w:rPr>
        <w:t xml:space="preserve"> </w:t>
      </w:r>
      <w:r>
        <w:rPr>
          <w:sz w:val="20"/>
        </w:rPr>
        <w:t>Safe</w:t>
      </w:r>
      <w:r>
        <w:rPr>
          <w:spacing w:val="-6"/>
          <w:sz w:val="20"/>
        </w:rPr>
        <w:t xml:space="preserve"> </w:t>
      </w:r>
      <w:r>
        <w:rPr>
          <w:sz w:val="20"/>
        </w:rPr>
        <w:t>Space</w:t>
      </w:r>
      <w:r>
        <w:rPr>
          <w:spacing w:val="-4"/>
          <w:sz w:val="20"/>
        </w:rPr>
        <w:t xml:space="preserve"> </w:t>
      </w:r>
      <w:r>
        <w:rPr>
          <w:sz w:val="20"/>
        </w:rPr>
        <w:t>Training</w:t>
      </w:r>
      <w:r>
        <w:rPr>
          <w:spacing w:val="-5"/>
          <w:sz w:val="20"/>
        </w:rPr>
        <w:t xml:space="preserve"> </w:t>
      </w:r>
      <w:r>
        <w:rPr>
          <w:sz w:val="20"/>
        </w:rPr>
        <w:t>for</w:t>
      </w:r>
      <w:r>
        <w:rPr>
          <w:spacing w:val="-5"/>
          <w:sz w:val="20"/>
        </w:rPr>
        <w:t xml:space="preserve"> </w:t>
      </w:r>
      <w:r>
        <w:rPr>
          <w:sz w:val="20"/>
        </w:rPr>
        <w:t>School</w:t>
      </w:r>
      <w:r>
        <w:rPr>
          <w:spacing w:val="-6"/>
          <w:sz w:val="20"/>
        </w:rPr>
        <w:t xml:space="preserve"> </w:t>
      </w:r>
      <w:r>
        <w:rPr>
          <w:sz w:val="20"/>
        </w:rPr>
        <w:t>Counselors</w:t>
      </w:r>
      <w:r>
        <w:rPr>
          <w:spacing w:val="-5"/>
          <w:sz w:val="20"/>
        </w:rPr>
        <w:t xml:space="preserve"> </w:t>
      </w:r>
      <w:r>
        <w:rPr>
          <w:sz w:val="20"/>
        </w:rPr>
        <w:t>and</w:t>
      </w:r>
      <w:r>
        <w:rPr>
          <w:spacing w:val="-4"/>
          <w:sz w:val="20"/>
        </w:rPr>
        <w:t xml:space="preserve"> </w:t>
      </w:r>
      <w:r>
        <w:rPr>
          <w:sz w:val="20"/>
        </w:rPr>
        <w:t>Trainees</w:t>
      </w:r>
      <w:r>
        <w:rPr>
          <w:spacing w:val="-6"/>
          <w:sz w:val="20"/>
        </w:rPr>
        <w:t xml:space="preserve"> </w:t>
      </w:r>
      <w:r>
        <w:rPr>
          <w:sz w:val="20"/>
        </w:rPr>
        <w:t>Using</w:t>
      </w:r>
      <w:r>
        <w:rPr>
          <w:spacing w:val="-4"/>
          <w:sz w:val="20"/>
        </w:rPr>
        <w:t xml:space="preserve"> </w:t>
      </w:r>
      <w:r>
        <w:rPr>
          <w:sz w:val="20"/>
        </w:rPr>
        <w:t>a</w:t>
      </w:r>
      <w:r>
        <w:rPr>
          <w:spacing w:val="-6"/>
          <w:sz w:val="20"/>
        </w:rPr>
        <w:t xml:space="preserve"> </w:t>
      </w:r>
      <w:r>
        <w:rPr>
          <w:sz w:val="20"/>
        </w:rPr>
        <w:t>Randomized Control Group Design.”</w:t>
      </w:r>
    </w:p>
    <w:p w:rsidR="00C76E6D" w:rsidRDefault="00913831">
      <w:pPr>
        <w:spacing w:before="5" w:line="241" w:lineRule="exact"/>
        <w:ind w:left="480"/>
        <w:rPr>
          <w:sz w:val="20"/>
        </w:rPr>
      </w:pPr>
      <w:bookmarkStart w:id="219" w:name="_bookmark121"/>
      <w:bookmarkEnd w:id="219"/>
      <w:r>
        <w:rPr>
          <w:sz w:val="20"/>
          <w:vertAlign w:val="superscript"/>
        </w:rPr>
        <w:t>30</w:t>
      </w:r>
      <w:r>
        <w:rPr>
          <w:spacing w:val="-7"/>
          <w:sz w:val="20"/>
        </w:rPr>
        <w:t xml:space="preserve"> </w:t>
      </w:r>
      <w:bookmarkStart w:id="220" w:name="_bookmark122"/>
      <w:bookmarkEnd w:id="220"/>
      <w:r>
        <w:rPr>
          <w:sz w:val="20"/>
        </w:rPr>
        <w:t>Greytak,</w:t>
      </w:r>
      <w:r>
        <w:rPr>
          <w:spacing w:val="-8"/>
          <w:sz w:val="20"/>
        </w:rPr>
        <w:t xml:space="preserve"> </w:t>
      </w:r>
      <w:r>
        <w:rPr>
          <w:sz w:val="20"/>
        </w:rPr>
        <w:t>Kosciw,</w:t>
      </w:r>
      <w:r>
        <w:rPr>
          <w:spacing w:val="-6"/>
          <w:sz w:val="20"/>
        </w:rPr>
        <w:t xml:space="preserve"> </w:t>
      </w:r>
      <w:r>
        <w:rPr>
          <w:sz w:val="20"/>
        </w:rPr>
        <w:t>and</w:t>
      </w:r>
      <w:r>
        <w:rPr>
          <w:spacing w:val="-9"/>
          <w:sz w:val="20"/>
        </w:rPr>
        <w:t xml:space="preserve"> </w:t>
      </w:r>
      <w:r>
        <w:rPr>
          <w:sz w:val="20"/>
        </w:rPr>
        <w:t>Boesen,</w:t>
      </w:r>
      <w:r>
        <w:rPr>
          <w:spacing w:val="-7"/>
          <w:sz w:val="20"/>
        </w:rPr>
        <w:t xml:space="preserve"> </w:t>
      </w:r>
      <w:r>
        <w:rPr>
          <w:sz w:val="20"/>
        </w:rPr>
        <w:t>“Educating</w:t>
      </w:r>
      <w:r>
        <w:rPr>
          <w:spacing w:val="-8"/>
          <w:sz w:val="20"/>
        </w:rPr>
        <w:t xml:space="preserve"> </w:t>
      </w:r>
      <w:r>
        <w:rPr>
          <w:sz w:val="20"/>
        </w:rPr>
        <w:t>the</w:t>
      </w:r>
      <w:r>
        <w:rPr>
          <w:spacing w:val="-8"/>
          <w:sz w:val="20"/>
        </w:rPr>
        <w:t xml:space="preserve"> </w:t>
      </w:r>
      <w:r>
        <w:rPr>
          <w:spacing w:val="-2"/>
          <w:sz w:val="20"/>
        </w:rPr>
        <w:t>Educator.”</w:t>
      </w:r>
    </w:p>
    <w:p w:rsidR="00C76E6D" w:rsidRDefault="00913831">
      <w:pPr>
        <w:ind w:left="479" w:right="530" w:hanging="1"/>
        <w:rPr>
          <w:sz w:val="20"/>
        </w:rPr>
      </w:pPr>
      <w:r>
        <w:rPr>
          <w:sz w:val="20"/>
          <w:vertAlign w:val="superscript"/>
        </w:rPr>
        <w:t>31</w:t>
      </w:r>
      <w:r>
        <w:rPr>
          <w:spacing w:val="-6"/>
          <w:sz w:val="20"/>
        </w:rPr>
        <w:t xml:space="preserve"> </w:t>
      </w:r>
      <w:r>
        <w:rPr>
          <w:sz w:val="20"/>
        </w:rPr>
        <w:t>Greytak</w:t>
      </w:r>
      <w:r>
        <w:rPr>
          <w:spacing w:val="-8"/>
          <w:sz w:val="20"/>
        </w:rPr>
        <w:t xml:space="preserve"> </w:t>
      </w:r>
      <w:r>
        <w:rPr>
          <w:sz w:val="20"/>
        </w:rPr>
        <w:t>and</w:t>
      </w:r>
      <w:r>
        <w:rPr>
          <w:spacing w:val="-8"/>
          <w:sz w:val="20"/>
        </w:rPr>
        <w:t xml:space="preserve"> </w:t>
      </w:r>
      <w:r>
        <w:rPr>
          <w:sz w:val="20"/>
        </w:rPr>
        <w:t>Kosciw,</w:t>
      </w:r>
      <w:r>
        <w:rPr>
          <w:spacing w:val="-6"/>
          <w:sz w:val="20"/>
        </w:rPr>
        <w:t xml:space="preserve"> </w:t>
      </w:r>
      <w:r>
        <w:rPr>
          <w:sz w:val="20"/>
        </w:rPr>
        <w:t>“Predictors</w:t>
      </w:r>
      <w:r>
        <w:rPr>
          <w:spacing w:val="-7"/>
          <w:sz w:val="20"/>
        </w:rPr>
        <w:t xml:space="preserve"> </w:t>
      </w:r>
      <w:r>
        <w:rPr>
          <w:sz w:val="20"/>
        </w:rPr>
        <w:t>of</w:t>
      </w:r>
      <w:r>
        <w:rPr>
          <w:spacing w:val="-7"/>
          <w:sz w:val="20"/>
        </w:rPr>
        <w:t xml:space="preserve"> </w:t>
      </w:r>
      <w:r>
        <w:rPr>
          <w:sz w:val="20"/>
        </w:rPr>
        <w:t>US</w:t>
      </w:r>
      <w:r>
        <w:rPr>
          <w:spacing w:val="-8"/>
          <w:sz w:val="20"/>
        </w:rPr>
        <w:t xml:space="preserve"> </w:t>
      </w:r>
      <w:r>
        <w:rPr>
          <w:sz w:val="20"/>
        </w:rPr>
        <w:t>Teachers’</w:t>
      </w:r>
      <w:r>
        <w:rPr>
          <w:spacing w:val="-6"/>
          <w:sz w:val="20"/>
        </w:rPr>
        <w:t xml:space="preserve"> </w:t>
      </w:r>
      <w:r>
        <w:rPr>
          <w:sz w:val="20"/>
        </w:rPr>
        <w:t>Intervention</w:t>
      </w:r>
      <w:r>
        <w:rPr>
          <w:spacing w:val="-6"/>
          <w:sz w:val="20"/>
        </w:rPr>
        <w:t xml:space="preserve"> </w:t>
      </w:r>
      <w:r>
        <w:rPr>
          <w:sz w:val="20"/>
        </w:rPr>
        <w:t>in</w:t>
      </w:r>
      <w:r>
        <w:rPr>
          <w:spacing w:val="-8"/>
          <w:sz w:val="20"/>
        </w:rPr>
        <w:t xml:space="preserve"> </w:t>
      </w:r>
      <w:r>
        <w:rPr>
          <w:sz w:val="20"/>
        </w:rPr>
        <w:t>Anti-Lesbian,</w:t>
      </w:r>
      <w:r>
        <w:rPr>
          <w:spacing w:val="-7"/>
          <w:sz w:val="20"/>
        </w:rPr>
        <w:t xml:space="preserve"> </w:t>
      </w:r>
      <w:r>
        <w:rPr>
          <w:sz w:val="20"/>
        </w:rPr>
        <w:t>Gay,</w:t>
      </w:r>
      <w:r>
        <w:rPr>
          <w:spacing w:val="-6"/>
          <w:sz w:val="20"/>
        </w:rPr>
        <w:t xml:space="preserve"> </w:t>
      </w:r>
      <w:r>
        <w:rPr>
          <w:sz w:val="20"/>
        </w:rPr>
        <w:t>Bisexual,</w:t>
      </w:r>
      <w:r>
        <w:rPr>
          <w:spacing w:val="-6"/>
          <w:sz w:val="20"/>
        </w:rPr>
        <w:t xml:space="preserve"> </w:t>
      </w:r>
      <w:r>
        <w:rPr>
          <w:sz w:val="20"/>
        </w:rPr>
        <w:t>and</w:t>
      </w:r>
      <w:r>
        <w:rPr>
          <w:spacing w:val="-6"/>
          <w:sz w:val="20"/>
        </w:rPr>
        <w:t xml:space="preserve"> </w:t>
      </w:r>
      <w:r>
        <w:rPr>
          <w:sz w:val="20"/>
        </w:rPr>
        <w:t>Transgender Bullying and Harassment.”</w:t>
      </w:r>
    </w:p>
    <w:p w:rsidR="00C76E6D" w:rsidRDefault="00913831">
      <w:pPr>
        <w:ind w:left="480" w:right="811" w:hanging="3"/>
        <w:jc w:val="both"/>
        <w:rPr>
          <w:i/>
          <w:sz w:val="20"/>
        </w:rPr>
      </w:pPr>
      <w:bookmarkStart w:id="221" w:name="_bookmark123"/>
      <w:bookmarkEnd w:id="221"/>
      <w:r>
        <w:rPr>
          <w:sz w:val="20"/>
          <w:vertAlign w:val="superscript"/>
        </w:rPr>
        <w:t>32</w:t>
      </w:r>
      <w:r>
        <w:rPr>
          <w:spacing w:val="-4"/>
          <w:sz w:val="20"/>
        </w:rPr>
        <w:t xml:space="preserve"> </w:t>
      </w:r>
      <w:r>
        <w:rPr>
          <w:sz w:val="20"/>
        </w:rPr>
        <w:t>Greytak,</w:t>
      </w:r>
      <w:r>
        <w:rPr>
          <w:spacing w:val="-4"/>
          <w:sz w:val="20"/>
        </w:rPr>
        <w:t xml:space="preserve"> </w:t>
      </w:r>
      <w:r>
        <w:rPr>
          <w:sz w:val="20"/>
        </w:rPr>
        <w:t>Kosciw,</w:t>
      </w:r>
      <w:r>
        <w:rPr>
          <w:spacing w:val="-4"/>
          <w:sz w:val="20"/>
        </w:rPr>
        <w:t xml:space="preserve"> </w:t>
      </w:r>
      <w:r>
        <w:rPr>
          <w:sz w:val="20"/>
        </w:rPr>
        <w:t>and</w:t>
      </w:r>
      <w:r>
        <w:rPr>
          <w:spacing w:val="-4"/>
          <w:sz w:val="20"/>
        </w:rPr>
        <w:t xml:space="preserve"> </w:t>
      </w:r>
      <w:r>
        <w:rPr>
          <w:sz w:val="20"/>
        </w:rPr>
        <w:t>Gay,</w:t>
      </w:r>
      <w:r>
        <w:rPr>
          <w:spacing w:val="-4"/>
          <w:sz w:val="20"/>
        </w:rPr>
        <w:t xml:space="preserve"> </w:t>
      </w:r>
      <w:r>
        <w:rPr>
          <w:i/>
          <w:sz w:val="20"/>
        </w:rPr>
        <w:t>Year</w:t>
      </w:r>
      <w:r>
        <w:rPr>
          <w:i/>
          <w:spacing w:val="-5"/>
          <w:sz w:val="20"/>
        </w:rPr>
        <w:t xml:space="preserve"> </w:t>
      </w:r>
      <w:r>
        <w:rPr>
          <w:i/>
          <w:sz w:val="20"/>
        </w:rPr>
        <w:t>One</w:t>
      </w:r>
      <w:r>
        <w:rPr>
          <w:i/>
          <w:spacing w:val="-6"/>
          <w:sz w:val="20"/>
        </w:rPr>
        <w:t xml:space="preserve"> </w:t>
      </w:r>
      <w:r>
        <w:rPr>
          <w:i/>
          <w:sz w:val="20"/>
        </w:rPr>
        <w:t>Evaluation</w:t>
      </w:r>
      <w:r>
        <w:rPr>
          <w:i/>
          <w:spacing w:val="-4"/>
          <w:sz w:val="20"/>
        </w:rPr>
        <w:t xml:space="preserve"> </w:t>
      </w:r>
      <w:r>
        <w:rPr>
          <w:i/>
          <w:sz w:val="20"/>
        </w:rPr>
        <w:t>of</w:t>
      </w:r>
      <w:r>
        <w:rPr>
          <w:i/>
          <w:spacing w:val="-6"/>
          <w:sz w:val="20"/>
        </w:rPr>
        <w:t xml:space="preserve"> </w:t>
      </w:r>
      <w:r>
        <w:rPr>
          <w:i/>
          <w:sz w:val="20"/>
        </w:rPr>
        <w:t>the</w:t>
      </w:r>
      <w:r>
        <w:rPr>
          <w:i/>
          <w:spacing w:val="-5"/>
          <w:sz w:val="20"/>
        </w:rPr>
        <w:t xml:space="preserve"> </w:t>
      </w:r>
      <w:r>
        <w:rPr>
          <w:i/>
          <w:sz w:val="20"/>
        </w:rPr>
        <w:t>New</w:t>
      </w:r>
      <w:r>
        <w:rPr>
          <w:i/>
          <w:spacing w:val="-6"/>
          <w:sz w:val="20"/>
        </w:rPr>
        <w:t xml:space="preserve"> </w:t>
      </w:r>
      <w:r>
        <w:rPr>
          <w:i/>
          <w:sz w:val="20"/>
        </w:rPr>
        <w:t>York</w:t>
      </w:r>
      <w:r>
        <w:rPr>
          <w:i/>
          <w:spacing w:val="-4"/>
          <w:sz w:val="20"/>
        </w:rPr>
        <w:t xml:space="preserve"> </w:t>
      </w:r>
      <w:r>
        <w:rPr>
          <w:i/>
          <w:sz w:val="20"/>
        </w:rPr>
        <w:t>City</w:t>
      </w:r>
      <w:r>
        <w:rPr>
          <w:i/>
          <w:spacing w:val="-5"/>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Education"Respect</w:t>
      </w:r>
      <w:r>
        <w:rPr>
          <w:i/>
          <w:spacing w:val="-5"/>
          <w:sz w:val="20"/>
        </w:rPr>
        <w:t xml:space="preserve"> </w:t>
      </w:r>
      <w:r>
        <w:rPr>
          <w:i/>
          <w:sz w:val="20"/>
        </w:rPr>
        <w:t>for</w:t>
      </w:r>
      <w:r>
        <w:rPr>
          <w:i/>
          <w:spacing w:val="-5"/>
          <w:sz w:val="20"/>
        </w:rPr>
        <w:t xml:space="preserve"> </w:t>
      </w:r>
      <w:r>
        <w:rPr>
          <w:i/>
          <w:sz w:val="20"/>
        </w:rPr>
        <w:t>All" Training Program.</w:t>
      </w:r>
    </w:p>
    <w:p w:rsidR="00C76E6D" w:rsidRDefault="00913831">
      <w:pPr>
        <w:ind w:left="480" w:right="795"/>
        <w:jc w:val="both"/>
        <w:rPr>
          <w:i/>
          <w:sz w:val="20"/>
        </w:rPr>
      </w:pPr>
      <w:bookmarkStart w:id="222" w:name="_bookmark124"/>
      <w:bookmarkEnd w:id="222"/>
      <w:r>
        <w:rPr>
          <w:sz w:val="20"/>
          <w:vertAlign w:val="superscript"/>
        </w:rPr>
        <w:t>33</w:t>
      </w:r>
      <w:r>
        <w:rPr>
          <w:sz w:val="20"/>
        </w:rPr>
        <w:t xml:space="preserve"> </w:t>
      </w:r>
      <w:bookmarkStart w:id="223" w:name="_bookmark125"/>
      <w:bookmarkEnd w:id="223"/>
      <w:r>
        <w:rPr>
          <w:sz w:val="20"/>
        </w:rPr>
        <w:t xml:space="preserve">Swanson and Gettinger, “Teachers’ Knowledge, Attitudes, and Supportive Behaviors toward LGBT Students.” </w:t>
      </w:r>
      <w:r>
        <w:rPr>
          <w:sz w:val="20"/>
          <w:vertAlign w:val="superscript"/>
        </w:rPr>
        <w:t>34</w:t>
      </w:r>
      <w:r>
        <w:rPr>
          <w:spacing w:val="-5"/>
          <w:sz w:val="20"/>
        </w:rPr>
        <w:t xml:space="preserve"> </w:t>
      </w:r>
      <w:r>
        <w:rPr>
          <w:sz w:val="20"/>
        </w:rPr>
        <w:t>Greytak,</w:t>
      </w:r>
      <w:r>
        <w:rPr>
          <w:spacing w:val="-5"/>
          <w:sz w:val="20"/>
        </w:rPr>
        <w:t xml:space="preserve"> </w:t>
      </w:r>
      <w:r>
        <w:rPr>
          <w:sz w:val="20"/>
        </w:rPr>
        <w:t>Kosciw,</w:t>
      </w:r>
      <w:r>
        <w:rPr>
          <w:spacing w:val="-5"/>
          <w:sz w:val="20"/>
        </w:rPr>
        <w:t xml:space="preserve"> </w:t>
      </w:r>
      <w:r>
        <w:rPr>
          <w:sz w:val="20"/>
        </w:rPr>
        <w:t>and</w:t>
      </w:r>
      <w:r>
        <w:rPr>
          <w:spacing w:val="-5"/>
          <w:sz w:val="20"/>
        </w:rPr>
        <w:t xml:space="preserve"> </w:t>
      </w:r>
      <w:r>
        <w:rPr>
          <w:sz w:val="20"/>
        </w:rPr>
        <w:t>Boesen,</w:t>
      </w:r>
      <w:r>
        <w:rPr>
          <w:spacing w:val="-5"/>
          <w:sz w:val="20"/>
        </w:rPr>
        <w:t xml:space="preserve"> </w:t>
      </w:r>
      <w:r>
        <w:rPr>
          <w:sz w:val="20"/>
        </w:rPr>
        <w:t>“Educating</w:t>
      </w:r>
      <w:r>
        <w:rPr>
          <w:spacing w:val="-6"/>
          <w:sz w:val="20"/>
        </w:rPr>
        <w:t xml:space="preserve"> </w:t>
      </w:r>
      <w:r>
        <w:rPr>
          <w:sz w:val="20"/>
        </w:rPr>
        <w:t>the</w:t>
      </w:r>
      <w:r>
        <w:rPr>
          <w:spacing w:val="-6"/>
          <w:sz w:val="20"/>
        </w:rPr>
        <w:t xml:space="preserve"> </w:t>
      </w:r>
      <w:r>
        <w:rPr>
          <w:sz w:val="20"/>
        </w:rPr>
        <w:t>Educator”;</w:t>
      </w:r>
      <w:r>
        <w:rPr>
          <w:spacing w:val="-6"/>
          <w:sz w:val="20"/>
        </w:rPr>
        <w:t xml:space="preserve"> </w:t>
      </w:r>
      <w:r>
        <w:rPr>
          <w:sz w:val="20"/>
        </w:rPr>
        <w:t>Greytak,</w:t>
      </w:r>
      <w:r>
        <w:rPr>
          <w:spacing w:val="-6"/>
          <w:sz w:val="20"/>
        </w:rPr>
        <w:t xml:space="preserve"> </w:t>
      </w:r>
      <w:r>
        <w:rPr>
          <w:sz w:val="20"/>
        </w:rPr>
        <w:t>Kosciw,</w:t>
      </w:r>
      <w:r>
        <w:rPr>
          <w:spacing w:val="-6"/>
          <w:sz w:val="20"/>
        </w:rPr>
        <w:t xml:space="preserve"> </w:t>
      </w:r>
      <w:r>
        <w:rPr>
          <w:sz w:val="20"/>
        </w:rPr>
        <w:t>and</w:t>
      </w:r>
      <w:r>
        <w:rPr>
          <w:spacing w:val="-6"/>
          <w:sz w:val="20"/>
        </w:rPr>
        <w:t xml:space="preserve"> </w:t>
      </w:r>
      <w:r>
        <w:rPr>
          <w:sz w:val="20"/>
        </w:rPr>
        <w:t>G</w:t>
      </w:r>
      <w:r>
        <w:rPr>
          <w:sz w:val="20"/>
        </w:rPr>
        <w:t>ay,</w:t>
      </w:r>
      <w:r>
        <w:rPr>
          <w:spacing w:val="-5"/>
          <w:sz w:val="20"/>
        </w:rPr>
        <w:t xml:space="preserve"> </w:t>
      </w:r>
      <w:r>
        <w:rPr>
          <w:i/>
          <w:sz w:val="20"/>
        </w:rPr>
        <w:t>Year</w:t>
      </w:r>
      <w:r>
        <w:rPr>
          <w:i/>
          <w:spacing w:val="-7"/>
          <w:sz w:val="20"/>
        </w:rPr>
        <w:t xml:space="preserve"> </w:t>
      </w:r>
      <w:r>
        <w:rPr>
          <w:i/>
          <w:sz w:val="20"/>
        </w:rPr>
        <w:t>One</w:t>
      </w:r>
      <w:r>
        <w:rPr>
          <w:i/>
          <w:spacing w:val="-6"/>
          <w:sz w:val="20"/>
        </w:rPr>
        <w:t xml:space="preserve"> </w:t>
      </w:r>
      <w:r>
        <w:rPr>
          <w:i/>
          <w:sz w:val="20"/>
        </w:rPr>
        <w:t>Evaluation</w:t>
      </w:r>
      <w:r>
        <w:rPr>
          <w:i/>
          <w:spacing w:val="-5"/>
          <w:sz w:val="20"/>
        </w:rPr>
        <w:t xml:space="preserve"> </w:t>
      </w:r>
      <w:r>
        <w:rPr>
          <w:i/>
          <w:sz w:val="20"/>
        </w:rPr>
        <w:t>of</w:t>
      </w:r>
      <w:r>
        <w:rPr>
          <w:i/>
          <w:spacing w:val="-7"/>
          <w:sz w:val="20"/>
        </w:rPr>
        <w:t xml:space="preserve"> </w:t>
      </w:r>
      <w:r>
        <w:rPr>
          <w:i/>
          <w:sz w:val="20"/>
        </w:rPr>
        <w:t>the New York City Department of Education"Respect for All" Training Program.</w:t>
      </w:r>
    </w:p>
    <w:p w:rsidR="00C76E6D" w:rsidRDefault="00913831">
      <w:pPr>
        <w:spacing w:before="3" w:line="241" w:lineRule="exact"/>
        <w:ind w:left="480"/>
        <w:jc w:val="both"/>
        <w:rPr>
          <w:sz w:val="20"/>
        </w:rPr>
      </w:pPr>
      <w:bookmarkStart w:id="224" w:name="_bookmark126"/>
      <w:bookmarkEnd w:id="224"/>
      <w:r>
        <w:rPr>
          <w:sz w:val="20"/>
          <w:vertAlign w:val="superscript"/>
        </w:rPr>
        <w:t>35</w:t>
      </w:r>
      <w:r>
        <w:rPr>
          <w:spacing w:val="-6"/>
          <w:sz w:val="20"/>
        </w:rPr>
        <w:t xml:space="preserve"> </w:t>
      </w:r>
      <w:bookmarkStart w:id="225" w:name="_bookmark127"/>
      <w:bookmarkEnd w:id="225"/>
      <w:r>
        <w:rPr>
          <w:sz w:val="20"/>
        </w:rPr>
        <w:t>Bradley</w:t>
      </w:r>
      <w:r>
        <w:rPr>
          <w:spacing w:val="-4"/>
          <w:sz w:val="20"/>
        </w:rPr>
        <w:t xml:space="preserve"> </w:t>
      </w:r>
      <w:r>
        <w:rPr>
          <w:sz w:val="20"/>
        </w:rPr>
        <w:t>et</w:t>
      </w:r>
      <w:r>
        <w:rPr>
          <w:spacing w:val="-7"/>
          <w:sz w:val="20"/>
        </w:rPr>
        <w:t xml:space="preserve"> </w:t>
      </w:r>
      <w:r>
        <w:rPr>
          <w:sz w:val="20"/>
        </w:rPr>
        <w:t>al.,</w:t>
      </w:r>
      <w:r>
        <w:rPr>
          <w:spacing w:val="-5"/>
          <w:sz w:val="20"/>
        </w:rPr>
        <w:t xml:space="preserve"> </w:t>
      </w:r>
      <w:r>
        <w:rPr>
          <w:sz w:val="20"/>
        </w:rPr>
        <w:t>“Impact</w:t>
      </w:r>
      <w:r>
        <w:rPr>
          <w:spacing w:val="-6"/>
          <w:sz w:val="20"/>
        </w:rPr>
        <w:t xml:space="preserve"> </w:t>
      </w:r>
      <w:r>
        <w:rPr>
          <w:sz w:val="20"/>
        </w:rPr>
        <w:t>of</w:t>
      </w:r>
      <w:r>
        <w:rPr>
          <w:spacing w:val="-7"/>
          <w:sz w:val="20"/>
        </w:rPr>
        <w:t xml:space="preserve"> </w:t>
      </w:r>
      <w:r>
        <w:rPr>
          <w:sz w:val="20"/>
        </w:rPr>
        <w:t>a</w:t>
      </w:r>
      <w:r>
        <w:rPr>
          <w:spacing w:val="-4"/>
          <w:sz w:val="20"/>
        </w:rPr>
        <w:t xml:space="preserve"> </w:t>
      </w:r>
      <w:r>
        <w:rPr>
          <w:sz w:val="20"/>
        </w:rPr>
        <w:t>Simulation</w:t>
      </w:r>
      <w:r>
        <w:rPr>
          <w:spacing w:val="-5"/>
          <w:sz w:val="20"/>
        </w:rPr>
        <w:t xml:space="preserve"> </w:t>
      </w:r>
      <w:r>
        <w:rPr>
          <w:sz w:val="20"/>
        </w:rPr>
        <w:t>on</w:t>
      </w:r>
      <w:r>
        <w:rPr>
          <w:spacing w:val="-8"/>
          <w:sz w:val="20"/>
        </w:rPr>
        <w:t xml:space="preserve"> </w:t>
      </w:r>
      <w:r>
        <w:rPr>
          <w:sz w:val="20"/>
        </w:rPr>
        <w:t>Educator</w:t>
      </w:r>
      <w:r>
        <w:rPr>
          <w:spacing w:val="-7"/>
          <w:sz w:val="20"/>
        </w:rPr>
        <w:t xml:space="preserve"> </w:t>
      </w:r>
      <w:r>
        <w:rPr>
          <w:sz w:val="20"/>
        </w:rPr>
        <w:t>Support</w:t>
      </w:r>
      <w:r>
        <w:rPr>
          <w:spacing w:val="-4"/>
          <w:sz w:val="20"/>
        </w:rPr>
        <w:t xml:space="preserve"> </w:t>
      </w:r>
      <w:r>
        <w:rPr>
          <w:sz w:val="20"/>
        </w:rPr>
        <w:t>of</w:t>
      </w:r>
      <w:r>
        <w:rPr>
          <w:spacing w:val="-7"/>
          <w:sz w:val="20"/>
        </w:rPr>
        <w:t xml:space="preserve"> </w:t>
      </w:r>
      <w:r>
        <w:rPr>
          <w:sz w:val="20"/>
        </w:rPr>
        <w:t>LGBTQ</w:t>
      </w:r>
      <w:r>
        <w:rPr>
          <w:spacing w:val="-6"/>
          <w:sz w:val="20"/>
        </w:rPr>
        <w:t xml:space="preserve"> </w:t>
      </w:r>
      <w:r>
        <w:rPr>
          <w:spacing w:val="-2"/>
          <w:sz w:val="20"/>
        </w:rPr>
        <w:t>Youth.”</w:t>
      </w:r>
    </w:p>
    <w:p w:rsidR="00C76E6D" w:rsidRDefault="00913831">
      <w:pPr>
        <w:ind w:left="480" w:right="811" w:hanging="3"/>
        <w:jc w:val="both"/>
        <w:rPr>
          <w:i/>
          <w:sz w:val="20"/>
        </w:rPr>
      </w:pPr>
      <w:r>
        <w:rPr>
          <w:sz w:val="20"/>
          <w:vertAlign w:val="superscript"/>
        </w:rPr>
        <w:t>36</w:t>
      </w:r>
      <w:r>
        <w:rPr>
          <w:spacing w:val="-4"/>
          <w:sz w:val="20"/>
        </w:rPr>
        <w:t xml:space="preserve"> </w:t>
      </w:r>
      <w:r>
        <w:rPr>
          <w:sz w:val="20"/>
        </w:rPr>
        <w:t>Greytak,</w:t>
      </w:r>
      <w:r>
        <w:rPr>
          <w:spacing w:val="-4"/>
          <w:sz w:val="20"/>
        </w:rPr>
        <w:t xml:space="preserve"> </w:t>
      </w:r>
      <w:r>
        <w:rPr>
          <w:sz w:val="20"/>
        </w:rPr>
        <w:t>Kosciw,</w:t>
      </w:r>
      <w:r>
        <w:rPr>
          <w:spacing w:val="-4"/>
          <w:sz w:val="20"/>
        </w:rPr>
        <w:t xml:space="preserve"> </w:t>
      </w:r>
      <w:r>
        <w:rPr>
          <w:sz w:val="20"/>
        </w:rPr>
        <w:t>and</w:t>
      </w:r>
      <w:r>
        <w:rPr>
          <w:spacing w:val="-4"/>
          <w:sz w:val="20"/>
        </w:rPr>
        <w:t xml:space="preserve"> </w:t>
      </w:r>
      <w:r>
        <w:rPr>
          <w:sz w:val="20"/>
        </w:rPr>
        <w:t>Gay,</w:t>
      </w:r>
      <w:r>
        <w:rPr>
          <w:spacing w:val="-4"/>
          <w:sz w:val="20"/>
        </w:rPr>
        <w:t xml:space="preserve"> </w:t>
      </w:r>
      <w:r>
        <w:rPr>
          <w:i/>
          <w:sz w:val="20"/>
        </w:rPr>
        <w:t>Year</w:t>
      </w:r>
      <w:r>
        <w:rPr>
          <w:i/>
          <w:spacing w:val="-5"/>
          <w:sz w:val="20"/>
        </w:rPr>
        <w:t xml:space="preserve"> </w:t>
      </w:r>
      <w:r>
        <w:rPr>
          <w:i/>
          <w:sz w:val="20"/>
        </w:rPr>
        <w:t>One</w:t>
      </w:r>
      <w:r>
        <w:rPr>
          <w:i/>
          <w:spacing w:val="-6"/>
          <w:sz w:val="20"/>
        </w:rPr>
        <w:t xml:space="preserve"> </w:t>
      </w:r>
      <w:r>
        <w:rPr>
          <w:i/>
          <w:sz w:val="20"/>
        </w:rPr>
        <w:t>Evaluation</w:t>
      </w:r>
      <w:r>
        <w:rPr>
          <w:i/>
          <w:spacing w:val="-4"/>
          <w:sz w:val="20"/>
        </w:rPr>
        <w:t xml:space="preserve"> </w:t>
      </w:r>
      <w:r>
        <w:rPr>
          <w:i/>
          <w:sz w:val="20"/>
        </w:rPr>
        <w:t>of</w:t>
      </w:r>
      <w:r>
        <w:rPr>
          <w:i/>
          <w:spacing w:val="-6"/>
          <w:sz w:val="20"/>
        </w:rPr>
        <w:t xml:space="preserve"> </w:t>
      </w:r>
      <w:r>
        <w:rPr>
          <w:i/>
          <w:sz w:val="20"/>
        </w:rPr>
        <w:t>the</w:t>
      </w:r>
      <w:r>
        <w:rPr>
          <w:i/>
          <w:spacing w:val="-5"/>
          <w:sz w:val="20"/>
        </w:rPr>
        <w:t xml:space="preserve"> </w:t>
      </w:r>
      <w:r>
        <w:rPr>
          <w:i/>
          <w:sz w:val="20"/>
        </w:rPr>
        <w:t>New</w:t>
      </w:r>
      <w:r>
        <w:rPr>
          <w:i/>
          <w:spacing w:val="-6"/>
          <w:sz w:val="20"/>
        </w:rPr>
        <w:t xml:space="preserve"> </w:t>
      </w:r>
      <w:r>
        <w:rPr>
          <w:i/>
          <w:sz w:val="20"/>
        </w:rPr>
        <w:t>York</w:t>
      </w:r>
      <w:r>
        <w:rPr>
          <w:i/>
          <w:spacing w:val="-4"/>
          <w:sz w:val="20"/>
        </w:rPr>
        <w:t xml:space="preserve"> </w:t>
      </w:r>
      <w:r>
        <w:rPr>
          <w:i/>
          <w:sz w:val="20"/>
        </w:rPr>
        <w:t>City</w:t>
      </w:r>
      <w:r>
        <w:rPr>
          <w:i/>
          <w:spacing w:val="-5"/>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Education"Respect</w:t>
      </w:r>
      <w:r>
        <w:rPr>
          <w:i/>
          <w:spacing w:val="-5"/>
          <w:sz w:val="20"/>
        </w:rPr>
        <w:t xml:space="preserve"> </w:t>
      </w:r>
      <w:r>
        <w:rPr>
          <w:i/>
          <w:sz w:val="20"/>
        </w:rPr>
        <w:t>for</w:t>
      </w:r>
      <w:r>
        <w:rPr>
          <w:i/>
          <w:spacing w:val="-5"/>
          <w:sz w:val="20"/>
        </w:rPr>
        <w:t xml:space="preserve"> </w:t>
      </w:r>
      <w:r>
        <w:rPr>
          <w:i/>
          <w:sz w:val="20"/>
        </w:rPr>
        <w:t xml:space="preserve">All" </w:t>
      </w:r>
      <w:bookmarkStart w:id="226" w:name="_bookmark128"/>
      <w:bookmarkEnd w:id="226"/>
      <w:r>
        <w:rPr>
          <w:i/>
          <w:sz w:val="20"/>
        </w:rPr>
        <w:t>Training Program.</w:t>
      </w:r>
    </w:p>
    <w:p w:rsidR="00C76E6D" w:rsidRDefault="00913831">
      <w:pPr>
        <w:ind w:left="480" w:right="530" w:hanging="3"/>
        <w:rPr>
          <w:sz w:val="20"/>
        </w:rPr>
      </w:pPr>
      <w:r>
        <w:rPr>
          <w:sz w:val="20"/>
          <w:vertAlign w:val="superscript"/>
        </w:rPr>
        <w:t>37</w:t>
      </w:r>
      <w:r>
        <w:rPr>
          <w:spacing w:val="-6"/>
          <w:sz w:val="20"/>
        </w:rPr>
        <w:t xml:space="preserve"> </w:t>
      </w:r>
      <w:r>
        <w:rPr>
          <w:sz w:val="20"/>
        </w:rPr>
        <w:t>Swanson</w:t>
      </w:r>
      <w:r>
        <w:rPr>
          <w:spacing w:val="-6"/>
          <w:sz w:val="20"/>
        </w:rPr>
        <w:t xml:space="preserve"> </w:t>
      </w:r>
      <w:r>
        <w:rPr>
          <w:sz w:val="20"/>
        </w:rPr>
        <w:t>and</w:t>
      </w:r>
      <w:r>
        <w:rPr>
          <w:spacing w:val="-6"/>
          <w:sz w:val="20"/>
        </w:rPr>
        <w:t xml:space="preserve"> </w:t>
      </w:r>
      <w:r>
        <w:rPr>
          <w:sz w:val="20"/>
        </w:rPr>
        <w:t>Gettinger,</w:t>
      </w:r>
      <w:r>
        <w:rPr>
          <w:spacing w:val="-6"/>
          <w:sz w:val="20"/>
        </w:rPr>
        <w:t xml:space="preserve"> </w:t>
      </w:r>
      <w:r>
        <w:rPr>
          <w:sz w:val="20"/>
        </w:rPr>
        <w:t>“Teachers’</w:t>
      </w:r>
      <w:r>
        <w:rPr>
          <w:spacing w:val="-8"/>
          <w:sz w:val="20"/>
        </w:rPr>
        <w:t xml:space="preserve"> </w:t>
      </w:r>
      <w:r>
        <w:rPr>
          <w:sz w:val="20"/>
        </w:rPr>
        <w:t>Knowledge,</w:t>
      </w:r>
      <w:r>
        <w:rPr>
          <w:spacing w:val="-6"/>
          <w:sz w:val="20"/>
        </w:rPr>
        <w:t xml:space="preserve"> </w:t>
      </w:r>
      <w:r>
        <w:rPr>
          <w:sz w:val="20"/>
        </w:rPr>
        <w:t>Attitudes,</w:t>
      </w:r>
      <w:r>
        <w:rPr>
          <w:spacing w:val="-6"/>
          <w:sz w:val="20"/>
        </w:rPr>
        <w:t xml:space="preserve"> </w:t>
      </w:r>
      <w:r>
        <w:rPr>
          <w:sz w:val="20"/>
        </w:rPr>
        <w:t>and</w:t>
      </w:r>
      <w:r>
        <w:rPr>
          <w:spacing w:val="-6"/>
          <w:sz w:val="20"/>
        </w:rPr>
        <w:t xml:space="preserve"> </w:t>
      </w:r>
      <w:r>
        <w:rPr>
          <w:sz w:val="20"/>
        </w:rPr>
        <w:t>Supportive</w:t>
      </w:r>
      <w:r>
        <w:rPr>
          <w:spacing w:val="-7"/>
          <w:sz w:val="20"/>
        </w:rPr>
        <w:t xml:space="preserve"> </w:t>
      </w:r>
      <w:r>
        <w:rPr>
          <w:sz w:val="20"/>
        </w:rPr>
        <w:t>Behaviors</w:t>
      </w:r>
      <w:r>
        <w:rPr>
          <w:spacing w:val="-7"/>
          <w:sz w:val="20"/>
        </w:rPr>
        <w:t xml:space="preserve"> </w:t>
      </w:r>
      <w:r>
        <w:rPr>
          <w:sz w:val="20"/>
        </w:rPr>
        <w:t>toward</w:t>
      </w:r>
      <w:r>
        <w:rPr>
          <w:spacing w:val="-6"/>
          <w:sz w:val="20"/>
        </w:rPr>
        <w:t xml:space="preserve"> </w:t>
      </w:r>
      <w:r>
        <w:rPr>
          <w:sz w:val="20"/>
        </w:rPr>
        <w:t>LGBT</w:t>
      </w:r>
      <w:r>
        <w:rPr>
          <w:spacing w:val="-7"/>
          <w:sz w:val="20"/>
        </w:rPr>
        <w:t xml:space="preserve"> </w:t>
      </w:r>
      <w:r>
        <w:rPr>
          <w:sz w:val="20"/>
        </w:rPr>
        <w:t>Students”; Payne</w:t>
      </w:r>
      <w:r>
        <w:rPr>
          <w:spacing w:val="-2"/>
          <w:sz w:val="20"/>
        </w:rPr>
        <w:t xml:space="preserve"> </w:t>
      </w:r>
      <w:r>
        <w:rPr>
          <w:sz w:val="20"/>
        </w:rPr>
        <w:t>and</w:t>
      </w:r>
      <w:r>
        <w:rPr>
          <w:spacing w:val="-2"/>
          <w:sz w:val="20"/>
        </w:rPr>
        <w:t xml:space="preserve"> </w:t>
      </w:r>
      <w:r>
        <w:rPr>
          <w:sz w:val="20"/>
        </w:rPr>
        <w:t>Smith,</w:t>
      </w:r>
      <w:r>
        <w:rPr>
          <w:spacing w:val="-2"/>
          <w:sz w:val="20"/>
        </w:rPr>
        <w:t xml:space="preserve"> </w:t>
      </w:r>
      <w:r>
        <w:rPr>
          <w:sz w:val="20"/>
        </w:rPr>
        <w:t>“Safety,</w:t>
      </w:r>
      <w:r>
        <w:rPr>
          <w:spacing w:val="-2"/>
          <w:sz w:val="20"/>
        </w:rPr>
        <w:t xml:space="preserve"> </w:t>
      </w:r>
      <w:r>
        <w:rPr>
          <w:sz w:val="20"/>
        </w:rPr>
        <w:t>Celebration,</w:t>
      </w:r>
      <w:r>
        <w:rPr>
          <w:spacing w:val="-2"/>
          <w:sz w:val="20"/>
        </w:rPr>
        <w:t xml:space="preserve"> </w:t>
      </w:r>
      <w:r>
        <w:rPr>
          <w:sz w:val="20"/>
        </w:rPr>
        <w:t>and</w:t>
      </w:r>
      <w:r>
        <w:rPr>
          <w:spacing w:val="-2"/>
          <w:sz w:val="20"/>
        </w:rPr>
        <w:t xml:space="preserve"> </w:t>
      </w:r>
      <w:r>
        <w:rPr>
          <w:sz w:val="20"/>
        </w:rPr>
        <w:t>Risk”;</w:t>
      </w:r>
      <w:r>
        <w:rPr>
          <w:spacing w:val="-2"/>
          <w:sz w:val="20"/>
        </w:rPr>
        <w:t xml:space="preserve"> </w:t>
      </w:r>
      <w:r>
        <w:rPr>
          <w:sz w:val="20"/>
        </w:rPr>
        <w:t>Marx,</w:t>
      </w:r>
      <w:r>
        <w:rPr>
          <w:spacing w:val="-2"/>
          <w:sz w:val="20"/>
        </w:rPr>
        <w:t xml:space="preserve"> </w:t>
      </w:r>
      <w:r>
        <w:rPr>
          <w:sz w:val="20"/>
        </w:rPr>
        <w:t>Roberts,</w:t>
      </w:r>
      <w:r>
        <w:rPr>
          <w:spacing w:val="-2"/>
          <w:sz w:val="20"/>
        </w:rPr>
        <w:t xml:space="preserve"> </w:t>
      </w:r>
      <w:r>
        <w:rPr>
          <w:sz w:val="20"/>
        </w:rPr>
        <w:t>and</w:t>
      </w:r>
      <w:r>
        <w:rPr>
          <w:spacing w:val="-2"/>
          <w:sz w:val="20"/>
        </w:rPr>
        <w:t xml:space="preserve"> </w:t>
      </w:r>
      <w:r>
        <w:rPr>
          <w:sz w:val="20"/>
        </w:rPr>
        <w:t>Nixon,</w:t>
      </w:r>
      <w:r>
        <w:rPr>
          <w:spacing w:val="-2"/>
          <w:sz w:val="20"/>
        </w:rPr>
        <w:t xml:space="preserve"> </w:t>
      </w:r>
      <w:r>
        <w:rPr>
          <w:sz w:val="20"/>
        </w:rPr>
        <w:t>“When</w:t>
      </w:r>
      <w:r>
        <w:rPr>
          <w:spacing w:val="-2"/>
          <w:sz w:val="20"/>
        </w:rPr>
        <w:t xml:space="preserve"> </w:t>
      </w:r>
      <w:r>
        <w:rPr>
          <w:sz w:val="20"/>
        </w:rPr>
        <w:t>Care</w:t>
      </w:r>
      <w:r>
        <w:rPr>
          <w:spacing w:val="-2"/>
          <w:sz w:val="20"/>
        </w:rPr>
        <w:t xml:space="preserve"> </w:t>
      </w:r>
      <w:r>
        <w:rPr>
          <w:sz w:val="20"/>
        </w:rPr>
        <w:t>and</w:t>
      </w:r>
      <w:r>
        <w:rPr>
          <w:spacing w:val="-2"/>
          <w:sz w:val="20"/>
        </w:rPr>
        <w:t xml:space="preserve"> </w:t>
      </w:r>
      <w:r>
        <w:rPr>
          <w:sz w:val="20"/>
        </w:rPr>
        <w:t>Concern</w:t>
      </w:r>
      <w:r>
        <w:rPr>
          <w:spacing w:val="-2"/>
          <w:sz w:val="20"/>
        </w:rPr>
        <w:t xml:space="preserve"> </w:t>
      </w:r>
      <w:r>
        <w:rPr>
          <w:sz w:val="20"/>
        </w:rPr>
        <w:t>Are</w:t>
      </w:r>
      <w:r>
        <w:rPr>
          <w:spacing w:val="-2"/>
          <w:sz w:val="20"/>
        </w:rPr>
        <w:t xml:space="preserve"> </w:t>
      </w:r>
      <w:r>
        <w:rPr>
          <w:sz w:val="20"/>
        </w:rPr>
        <w:t xml:space="preserve">Not Enough”; Summer Melody Pennell, “Training Secondary Teachers to Support LGBTQ+ Students: Practical Applications from Theory and Research,” </w:t>
      </w:r>
      <w:r>
        <w:rPr>
          <w:i/>
          <w:sz w:val="20"/>
        </w:rPr>
        <w:t xml:space="preserve">The High School Journal </w:t>
      </w:r>
      <w:r>
        <w:rPr>
          <w:sz w:val="20"/>
        </w:rPr>
        <w:t xml:space="preserve">101, no. 1 (2017): 62–72, </w:t>
      </w:r>
      <w:bookmarkStart w:id="227" w:name="_bookmark129"/>
      <w:bookmarkEnd w:id="227"/>
      <w:r>
        <w:rPr>
          <w:spacing w:val="-2"/>
          <w:sz w:val="20"/>
        </w:rPr>
        <w:t>https://doi.org/10.1353/hsj.2017.0016.</w:t>
      </w:r>
    </w:p>
    <w:p w:rsidR="00C76E6D" w:rsidRDefault="00913831">
      <w:pPr>
        <w:spacing w:before="3" w:line="244" w:lineRule="exact"/>
        <w:ind w:left="480"/>
        <w:rPr>
          <w:sz w:val="20"/>
        </w:rPr>
      </w:pPr>
      <w:r>
        <w:rPr>
          <w:sz w:val="20"/>
          <w:vertAlign w:val="superscript"/>
        </w:rPr>
        <w:t>38</w:t>
      </w:r>
      <w:r>
        <w:rPr>
          <w:spacing w:val="-7"/>
          <w:sz w:val="20"/>
        </w:rPr>
        <w:t xml:space="preserve"> </w:t>
      </w:r>
      <w:r>
        <w:rPr>
          <w:sz w:val="20"/>
        </w:rPr>
        <w:t>Greytak,</w:t>
      </w:r>
      <w:r>
        <w:rPr>
          <w:spacing w:val="-7"/>
          <w:sz w:val="20"/>
        </w:rPr>
        <w:t xml:space="preserve"> </w:t>
      </w:r>
      <w:r>
        <w:rPr>
          <w:sz w:val="20"/>
        </w:rPr>
        <w:t>Kosciw,</w:t>
      </w:r>
      <w:r>
        <w:rPr>
          <w:spacing w:val="-7"/>
          <w:sz w:val="20"/>
        </w:rPr>
        <w:t xml:space="preserve"> </w:t>
      </w:r>
      <w:r>
        <w:rPr>
          <w:sz w:val="20"/>
        </w:rPr>
        <w:t>and</w:t>
      </w:r>
      <w:r>
        <w:rPr>
          <w:spacing w:val="-8"/>
          <w:sz w:val="20"/>
        </w:rPr>
        <w:t xml:space="preserve"> </w:t>
      </w:r>
      <w:r>
        <w:rPr>
          <w:sz w:val="20"/>
        </w:rPr>
        <w:t>Boesen,</w:t>
      </w:r>
      <w:r>
        <w:rPr>
          <w:spacing w:val="-8"/>
          <w:sz w:val="20"/>
        </w:rPr>
        <w:t xml:space="preserve"> </w:t>
      </w:r>
      <w:r>
        <w:rPr>
          <w:sz w:val="20"/>
        </w:rPr>
        <w:t>“Educating</w:t>
      </w:r>
      <w:r>
        <w:rPr>
          <w:spacing w:val="-7"/>
          <w:sz w:val="20"/>
        </w:rPr>
        <w:t xml:space="preserve"> </w:t>
      </w:r>
      <w:r>
        <w:rPr>
          <w:sz w:val="20"/>
        </w:rPr>
        <w:t>the</w:t>
      </w:r>
      <w:r>
        <w:rPr>
          <w:spacing w:val="-8"/>
          <w:sz w:val="20"/>
        </w:rPr>
        <w:t xml:space="preserve"> </w:t>
      </w:r>
      <w:r>
        <w:rPr>
          <w:spacing w:val="-2"/>
          <w:sz w:val="20"/>
        </w:rPr>
        <w:t>Educator.”</w:t>
      </w:r>
    </w:p>
    <w:p w:rsidR="00C76E6D" w:rsidRDefault="00913831">
      <w:pPr>
        <w:spacing w:line="242" w:lineRule="exact"/>
        <w:ind w:left="480"/>
        <w:rPr>
          <w:sz w:val="20"/>
        </w:rPr>
      </w:pPr>
      <w:bookmarkStart w:id="228" w:name="_bookmark130"/>
      <w:bookmarkEnd w:id="228"/>
      <w:r>
        <w:rPr>
          <w:sz w:val="20"/>
          <w:vertAlign w:val="superscript"/>
        </w:rPr>
        <w:t>39</w:t>
      </w:r>
      <w:r>
        <w:rPr>
          <w:spacing w:val="-6"/>
          <w:sz w:val="20"/>
        </w:rPr>
        <w:t xml:space="preserve"> </w:t>
      </w:r>
      <w:r>
        <w:rPr>
          <w:sz w:val="20"/>
        </w:rPr>
        <w:t>Greytak,</w:t>
      </w:r>
      <w:r>
        <w:rPr>
          <w:spacing w:val="-6"/>
          <w:sz w:val="20"/>
        </w:rPr>
        <w:t xml:space="preserve"> </w:t>
      </w:r>
      <w:r>
        <w:rPr>
          <w:sz w:val="20"/>
        </w:rPr>
        <w:t>Kosciw,</w:t>
      </w:r>
      <w:r>
        <w:rPr>
          <w:spacing w:val="-6"/>
          <w:sz w:val="20"/>
        </w:rPr>
        <w:t xml:space="preserve"> </w:t>
      </w:r>
      <w:r>
        <w:rPr>
          <w:sz w:val="20"/>
        </w:rPr>
        <w:t>and</w:t>
      </w:r>
      <w:r>
        <w:rPr>
          <w:spacing w:val="-8"/>
          <w:sz w:val="20"/>
        </w:rPr>
        <w:t xml:space="preserve"> </w:t>
      </w:r>
      <w:r>
        <w:rPr>
          <w:spacing w:val="-2"/>
          <w:sz w:val="20"/>
        </w:rPr>
        <w:t>Boesen.</w:t>
      </w:r>
    </w:p>
    <w:p w:rsidR="00C76E6D" w:rsidRDefault="00913831">
      <w:pPr>
        <w:ind w:left="480" w:right="609"/>
        <w:rPr>
          <w:sz w:val="20"/>
        </w:rPr>
      </w:pPr>
      <w:bookmarkStart w:id="229" w:name="_bookmark131"/>
      <w:bookmarkEnd w:id="229"/>
      <w:r>
        <w:rPr>
          <w:sz w:val="20"/>
          <w:vertAlign w:val="superscript"/>
        </w:rPr>
        <w:t>40</w:t>
      </w:r>
      <w:r>
        <w:rPr>
          <w:sz w:val="20"/>
        </w:rPr>
        <w:t xml:space="preserve"> Bradley et al., “Impact of a Simulation on Educator Support of LGBTQ Youth”; Greytak, Kosciw, and Gay, </w:t>
      </w:r>
      <w:r>
        <w:rPr>
          <w:i/>
          <w:sz w:val="20"/>
        </w:rPr>
        <w:t>Year</w:t>
      </w:r>
      <w:r>
        <w:rPr>
          <w:i/>
          <w:sz w:val="20"/>
        </w:rPr>
        <w:t xml:space="preserve"> One Evaluation of the New York City Department of Education"Respect for All" Training Program.</w:t>
      </w:r>
      <w:r>
        <w:rPr>
          <w:sz w:val="20"/>
        </w:rPr>
        <w:t xml:space="preserve">; Swanson and Gettinger, “Teachers’ Knowledge, Attitudes, and Supportive Behaviors toward LGBT Students”; McGravey, </w:t>
      </w:r>
      <w:r>
        <w:rPr>
          <w:i/>
          <w:sz w:val="20"/>
        </w:rPr>
        <w:t>Measuring the Effectiveness of a Professional</w:t>
      </w:r>
      <w:r>
        <w:rPr>
          <w:i/>
          <w:sz w:val="20"/>
        </w:rPr>
        <w:t xml:space="preserve"> Development Workshop on Awareness, Knowledge, and Skills of Mental</w:t>
      </w:r>
      <w:r>
        <w:rPr>
          <w:i/>
          <w:spacing w:val="-7"/>
          <w:sz w:val="20"/>
        </w:rPr>
        <w:t xml:space="preserve"> </w:t>
      </w:r>
      <w:r>
        <w:rPr>
          <w:i/>
          <w:sz w:val="20"/>
        </w:rPr>
        <w:t>Health</w:t>
      </w:r>
      <w:r>
        <w:rPr>
          <w:i/>
          <w:spacing w:val="-9"/>
          <w:sz w:val="20"/>
        </w:rPr>
        <w:t xml:space="preserve"> </w:t>
      </w:r>
      <w:r>
        <w:rPr>
          <w:i/>
          <w:sz w:val="20"/>
        </w:rPr>
        <w:t>Professionals</w:t>
      </w:r>
      <w:r>
        <w:rPr>
          <w:i/>
          <w:spacing w:val="-7"/>
          <w:sz w:val="20"/>
        </w:rPr>
        <w:t xml:space="preserve"> </w:t>
      </w:r>
      <w:r>
        <w:rPr>
          <w:i/>
          <w:sz w:val="20"/>
        </w:rPr>
        <w:t>in</w:t>
      </w:r>
      <w:r>
        <w:rPr>
          <w:i/>
          <w:spacing w:val="-6"/>
          <w:sz w:val="20"/>
        </w:rPr>
        <w:t xml:space="preserve"> </w:t>
      </w:r>
      <w:r>
        <w:rPr>
          <w:i/>
          <w:sz w:val="20"/>
        </w:rPr>
        <w:t>Working</w:t>
      </w:r>
      <w:r>
        <w:rPr>
          <w:i/>
          <w:spacing w:val="-6"/>
          <w:sz w:val="20"/>
        </w:rPr>
        <w:t xml:space="preserve"> </w:t>
      </w:r>
      <w:r>
        <w:rPr>
          <w:i/>
          <w:sz w:val="20"/>
        </w:rPr>
        <w:t>with</w:t>
      </w:r>
      <w:r>
        <w:rPr>
          <w:i/>
          <w:spacing w:val="-7"/>
          <w:sz w:val="20"/>
        </w:rPr>
        <w:t xml:space="preserve"> </w:t>
      </w:r>
      <w:r>
        <w:rPr>
          <w:i/>
          <w:sz w:val="20"/>
        </w:rPr>
        <w:t>Lesbian,</w:t>
      </w:r>
      <w:r>
        <w:rPr>
          <w:i/>
          <w:spacing w:val="-6"/>
          <w:sz w:val="20"/>
        </w:rPr>
        <w:t xml:space="preserve"> </w:t>
      </w:r>
      <w:r>
        <w:rPr>
          <w:i/>
          <w:sz w:val="20"/>
        </w:rPr>
        <w:t>Gay,</w:t>
      </w:r>
      <w:r>
        <w:rPr>
          <w:i/>
          <w:spacing w:val="-8"/>
          <w:sz w:val="20"/>
        </w:rPr>
        <w:t xml:space="preserve"> </w:t>
      </w:r>
      <w:r>
        <w:rPr>
          <w:i/>
          <w:sz w:val="20"/>
        </w:rPr>
        <w:t>Bisexual,</w:t>
      </w:r>
      <w:r>
        <w:rPr>
          <w:i/>
          <w:spacing w:val="-6"/>
          <w:sz w:val="20"/>
        </w:rPr>
        <w:t xml:space="preserve"> </w:t>
      </w:r>
      <w:r>
        <w:rPr>
          <w:i/>
          <w:sz w:val="20"/>
        </w:rPr>
        <w:t>Transgender,</w:t>
      </w:r>
      <w:r>
        <w:rPr>
          <w:i/>
          <w:spacing w:val="-7"/>
          <w:sz w:val="20"/>
        </w:rPr>
        <w:t xml:space="preserve"> </w:t>
      </w:r>
      <w:r>
        <w:rPr>
          <w:i/>
          <w:sz w:val="20"/>
        </w:rPr>
        <w:t>and</w:t>
      </w:r>
      <w:r>
        <w:rPr>
          <w:i/>
          <w:spacing w:val="-8"/>
          <w:sz w:val="20"/>
        </w:rPr>
        <w:t xml:space="preserve"> </w:t>
      </w:r>
      <w:r>
        <w:rPr>
          <w:i/>
          <w:sz w:val="20"/>
        </w:rPr>
        <w:t>Questioning</w:t>
      </w:r>
      <w:r>
        <w:rPr>
          <w:i/>
          <w:spacing w:val="-7"/>
          <w:sz w:val="20"/>
        </w:rPr>
        <w:t xml:space="preserve"> </w:t>
      </w:r>
      <w:r>
        <w:rPr>
          <w:i/>
          <w:sz w:val="20"/>
        </w:rPr>
        <w:t>(LGBTQ)</w:t>
      </w:r>
      <w:r>
        <w:rPr>
          <w:i/>
          <w:spacing w:val="-6"/>
          <w:sz w:val="20"/>
        </w:rPr>
        <w:t xml:space="preserve"> </w:t>
      </w:r>
      <w:r>
        <w:rPr>
          <w:i/>
          <w:sz w:val="20"/>
        </w:rPr>
        <w:t>Youth</w:t>
      </w:r>
      <w:r>
        <w:rPr>
          <w:sz w:val="20"/>
        </w:rPr>
        <w:t xml:space="preserve">. </w:t>
      </w:r>
      <w:bookmarkStart w:id="230" w:name="_bookmark132"/>
      <w:bookmarkEnd w:id="230"/>
      <w:r>
        <w:rPr>
          <w:sz w:val="20"/>
          <w:vertAlign w:val="superscript"/>
        </w:rPr>
        <w:t>41</w:t>
      </w:r>
      <w:r>
        <w:rPr>
          <w:sz w:val="20"/>
        </w:rPr>
        <w:t xml:space="preserve"> Greytak and Kosciw, “Predictors of US Teachers’ Intervention in Anti-Lesbian, Ga</w:t>
      </w:r>
      <w:r>
        <w:rPr>
          <w:sz w:val="20"/>
        </w:rPr>
        <w:t xml:space="preserve">y, Bisexual, and Transgender </w:t>
      </w:r>
      <w:bookmarkStart w:id="231" w:name="_bookmark133"/>
      <w:bookmarkEnd w:id="231"/>
      <w:r>
        <w:rPr>
          <w:sz w:val="20"/>
        </w:rPr>
        <w:t>Bullying and Harassment.”</w:t>
      </w:r>
    </w:p>
    <w:p w:rsidR="00C76E6D" w:rsidRDefault="00913831">
      <w:pPr>
        <w:ind w:left="480" w:right="762" w:hanging="3"/>
        <w:jc w:val="both"/>
        <w:rPr>
          <w:sz w:val="20"/>
        </w:rPr>
      </w:pPr>
      <w:r>
        <w:rPr>
          <w:sz w:val="20"/>
          <w:vertAlign w:val="superscript"/>
        </w:rPr>
        <w:t>42</w:t>
      </w:r>
      <w:r>
        <w:rPr>
          <w:spacing w:val="-2"/>
          <w:sz w:val="20"/>
        </w:rPr>
        <w:t xml:space="preserve"> </w:t>
      </w:r>
      <w:r>
        <w:rPr>
          <w:sz w:val="20"/>
        </w:rPr>
        <w:t>Greytak,</w:t>
      </w:r>
      <w:r>
        <w:rPr>
          <w:spacing w:val="-3"/>
          <w:sz w:val="20"/>
        </w:rPr>
        <w:t xml:space="preserve"> </w:t>
      </w:r>
      <w:r>
        <w:rPr>
          <w:sz w:val="20"/>
        </w:rPr>
        <w:t>Kosciw,</w:t>
      </w:r>
      <w:r>
        <w:rPr>
          <w:spacing w:val="-1"/>
          <w:sz w:val="20"/>
        </w:rPr>
        <w:t xml:space="preserve"> </w:t>
      </w:r>
      <w:r>
        <w:rPr>
          <w:sz w:val="20"/>
        </w:rPr>
        <w:t>and</w:t>
      </w:r>
      <w:r>
        <w:rPr>
          <w:spacing w:val="-2"/>
          <w:sz w:val="20"/>
        </w:rPr>
        <w:t xml:space="preserve"> </w:t>
      </w:r>
      <w:r>
        <w:rPr>
          <w:sz w:val="20"/>
        </w:rPr>
        <w:t>Gay,</w:t>
      </w:r>
      <w:r>
        <w:rPr>
          <w:spacing w:val="-2"/>
          <w:sz w:val="20"/>
        </w:rPr>
        <w:t xml:space="preserve"> </w:t>
      </w:r>
      <w:r>
        <w:rPr>
          <w:i/>
          <w:sz w:val="20"/>
        </w:rPr>
        <w:t>Year</w:t>
      </w:r>
      <w:r>
        <w:rPr>
          <w:i/>
          <w:spacing w:val="-2"/>
          <w:sz w:val="20"/>
        </w:rPr>
        <w:t xml:space="preserve"> </w:t>
      </w:r>
      <w:r>
        <w:rPr>
          <w:i/>
          <w:sz w:val="20"/>
        </w:rPr>
        <w:t>One</w:t>
      </w:r>
      <w:r>
        <w:rPr>
          <w:i/>
          <w:spacing w:val="-3"/>
          <w:sz w:val="20"/>
        </w:rPr>
        <w:t xml:space="preserve"> </w:t>
      </w:r>
      <w:r>
        <w:rPr>
          <w:i/>
          <w:sz w:val="20"/>
        </w:rPr>
        <w:t>Evaluation</w:t>
      </w:r>
      <w:r>
        <w:rPr>
          <w:i/>
          <w:spacing w:val="-2"/>
          <w:sz w:val="20"/>
        </w:rPr>
        <w:t xml:space="preserve"> </w:t>
      </w:r>
      <w:r>
        <w:rPr>
          <w:i/>
          <w:sz w:val="20"/>
        </w:rPr>
        <w:t>of</w:t>
      </w:r>
      <w:r>
        <w:rPr>
          <w:i/>
          <w:spacing w:val="-2"/>
          <w:sz w:val="20"/>
        </w:rPr>
        <w:t xml:space="preserve"> </w:t>
      </w:r>
      <w:r>
        <w:rPr>
          <w:i/>
          <w:sz w:val="20"/>
        </w:rPr>
        <w:t>the</w:t>
      </w:r>
      <w:r>
        <w:rPr>
          <w:i/>
          <w:spacing w:val="-3"/>
          <w:sz w:val="20"/>
        </w:rPr>
        <w:t xml:space="preserve"> </w:t>
      </w:r>
      <w:r>
        <w:rPr>
          <w:i/>
          <w:sz w:val="20"/>
        </w:rPr>
        <w:t>New</w:t>
      </w:r>
      <w:r>
        <w:rPr>
          <w:i/>
          <w:spacing w:val="-3"/>
          <w:sz w:val="20"/>
        </w:rPr>
        <w:t xml:space="preserve"> </w:t>
      </w:r>
      <w:r>
        <w:rPr>
          <w:i/>
          <w:sz w:val="20"/>
        </w:rPr>
        <w:t>York</w:t>
      </w:r>
      <w:r>
        <w:rPr>
          <w:i/>
          <w:spacing w:val="-2"/>
          <w:sz w:val="20"/>
        </w:rPr>
        <w:t xml:space="preserve"> </w:t>
      </w:r>
      <w:r>
        <w:rPr>
          <w:i/>
          <w:sz w:val="20"/>
        </w:rPr>
        <w:t>City</w:t>
      </w:r>
      <w:r>
        <w:rPr>
          <w:i/>
          <w:spacing w:val="-3"/>
          <w:sz w:val="20"/>
        </w:rPr>
        <w:t xml:space="preserve"> </w:t>
      </w:r>
      <w:r>
        <w:rPr>
          <w:i/>
          <w:sz w:val="20"/>
        </w:rPr>
        <w:t>Department</w:t>
      </w:r>
      <w:r>
        <w:rPr>
          <w:i/>
          <w:spacing w:val="-3"/>
          <w:sz w:val="20"/>
        </w:rPr>
        <w:t xml:space="preserve"> </w:t>
      </w:r>
      <w:r>
        <w:rPr>
          <w:i/>
          <w:sz w:val="20"/>
        </w:rPr>
        <w:t>of</w:t>
      </w:r>
      <w:r>
        <w:rPr>
          <w:i/>
          <w:spacing w:val="-3"/>
          <w:sz w:val="20"/>
        </w:rPr>
        <w:t xml:space="preserve"> </w:t>
      </w:r>
      <w:r>
        <w:rPr>
          <w:i/>
          <w:sz w:val="20"/>
        </w:rPr>
        <w:t>Education"Respect</w:t>
      </w:r>
      <w:r>
        <w:rPr>
          <w:i/>
          <w:spacing w:val="-2"/>
          <w:sz w:val="20"/>
        </w:rPr>
        <w:t xml:space="preserve"> </w:t>
      </w:r>
      <w:r>
        <w:rPr>
          <w:i/>
          <w:sz w:val="20"/>
        </w:rPr>
        <w:t>for</w:t>
      </w:r>
      <w:r>
        <w:rPr>
          <w:i/>
          <w:spacing w:val="-2"/>
          <w:sz w:val="20"/>
        </w:rPr>
        <w:t xml:space="preserve"> </w:t>
      </w:r>
      <w:r>
        <w:rPr>
          <w:i/>
          <w:sz w:val="20"/>
        </w:rPr>
        <w:t>All" Training Program.</w:t>
      </w:r>
      <w:r>
        <w:rPr>
          <w:sz w:val="20"/>
        </w:rPr>
        <w:t>; Swanson and Gettinger, “Teachers’ Knowledge, Attitudes, and Supportive Behaviors toward LGBT Students.”</w:t>
      </w:r>
    </w:p>
    <w:p w:rsidR="00C76E6D" w:rsidRDefault="00913831">
      <w:pPr>
        <w:ind w:left="481" w:right="530" w:hanging="3"/>
        <w:rPr>
          <w:sz w:val="20"/>
        </w:rPr>
      </w:pPr>
      <w:bookmarkStart w:id="232" w:name="_bookmark134"/>
      <w:bookmarkEnd w:id="232"/>
      <w:r>
        <w:rPr>
          <w:sz w:val="20"/>
          <w:vertAlign w:val="superscript"/>
        </w:rPr>
        <w:t>43</w:t>
      </w:r>
      <w:r>
        <w:rPr>
          <w:spacing w:val="-6"/>
          <w:sz w:val="20"/>
        </w:rPr>
        <w:t xml:space="preserve"> </w:t>
      </w:r>
      <w:r>
        <w:rPr>
          <w:sz w:val="20"/>
        </w:rPr>
        <w:t>Greytak</w:t>
      </w:r>
      <w:r>
        <w:rPr>
          <w:spacing w:val="-8"/>
          <w:sz w:val="20"/>
        </w:rPr>
        <w:t xml:space="preserve"> </w:t>
      </w:r>
      <w:r>
        <w:rPr>
          <w:sz w:val="20"/>
        </w:rPr>
        <w:t>and</w:t>
      </w:r>
      <w:r>
        <w:rPr>
          <w:spacing w:val="-8"/>
          <w:sz w:val="20"/>
        </w:rPr>
        <w:t xml:space="preserve"> </w:t>
      </w:r>
      <w:r>
        <w:rPr>
          <w:sz w:val="20"/>
        </w:rPr>
        <w:t>Kosciw,</w:t>
      </w:r>
      <w:r>
        <w:rPr>
          <w:spacing w:val="-6"/>
          <w:sz w:val="20"/>
        </w:rPr>
        <w:t xml:space="preserve"> </w:t>
      </w:r>
      <w:r>
        <w:rPr>
          <w:sz w:val="20"/>
        </w:rPr>
        <w:t>“Predictors</w:t>
      </w:r>
      <w:r>
        <w:rPr>
          <w:spacing w:val="-7"/>
          <w:sz w:val="20"/>
        </w:rPr>
        <w:t xml:space="preserve"> </w:t>
      </w:r>
      <w:r>
        <w:rPr>
          <w:sz w:val="20"/>
        </w:rPr>
        <w:t>of</w:t>
      </w:r>
      <w:r>
        <w:rPr>
          <w:spacing w:val="-7"/>
          <w:sz w:val="20"/>
        </w:rPr>
        <w:t xml:space="preserve"> </w:t>
      </w:r>
      <w:r>
        <w:rPr>
          <w:sz w:val="20"/>
        </w:rPr>
        <w:t>US</w:t>
      </w:r>
      <w:r>
        <w:rPr>
          <w:spacing w:val="-8"/>
          <w:sz w:val="20"/>
        </w:rPr>
        <w:t xml:space="preserve"> </w:t>
      </w:r>
      <w:r>
        <w:rPr>
          <w:sz w:val="20"/>
        </w:rPr>
        <w:t>Teachers’</w:t>
      </w:r>
      <w:r>
        <w:rPr>
          <w:spacing w:val="-6"/>
          <w:sz w:val="20"/>
        </w:rPr>
        <w:t xml:space="preserve"> </w:t>
      </w:r>
      <w:r>
        <w:rPr>
          <w:sz w:val="20"/>
        </w:rPr>
        <w:t>Intervention</w:t>
      </w:r>
      <w:r>
        <w:rPr>
          <w:spacing w:val="-6"/>
          <w:sz w:val="20"/>
        </w:rPr>
        <w:t xml:space="preserve"> </w:t>
      </w:r>
      <w:r>
        <w:rPr>
          <w:sz w:val="20"/>
        </w:rPr>
        <w:t>in</w:t>
      </w:r>
      <w:r>
        <w:rPr>
          <w:spacing w:val="-8"/>
          <w:sz w:val="20"/>
        </w:rPr>
        <w:t xml:space="preserve"> </w:t>
      </w:r>
      <w:r>
        <w:rPr>
          <w:sz w:val="20"/>
        </w:rPr>
        <w:t>Anti-Lesbian,</w:t>
      </w:r>
      <w:r>
        <w:rPr>
          <w:spacing w:val="-7"/>
          <w:sz w:val="20"/>
        </w:rPr>
        <w:t xml:space="preserve"> </w:t>
      </w:r>
      <w:r>
        <w:rPr>
          <w:sz w:val="20"/>
        </w:rPr>
        <w:t>Gay,</w:t>
      </w:r>
      <w:r>
        <w:rPr>
          <w:spacing w:val="-6"/>
          <w:sz w:val="20"/>
        </w:rPr>
        <w:t xml:space="preserve"> </w:t>
      </w:r>
      <w:r>
        <w:rPr>
          <w:sz w:val="20"/>
        </w:rPr>
        <w:t>Bisexual,</w:t>
      </w:r>
      <w:r>
        <w:rPr>
          <w:spacing w:val="-6"/>
          <w:sz w:val="20"/>
        </w:rPr>
        <w:t xml:space="preserve"> </w:t>
      </w:r>
      <w:r>
        <w:rPr>
          <w:sz w:val="20"/>
        </w:rPr>
        <w:t>and</w:t>
      </w:r>
      <w:r>
        <w:rPr>
          <w:spacing w:val="-6"/>
          <w:sz w:val="20"/>
        </w:rPr>
        <w:t xml:space="preserve"> </w:t>
      </w:r>
      <w:r>
        <w:rPr>
          <w:sz w:val="20"/>
        </w:rPr>
        <w:t xml:space="preserve">Transgender </w:t>
      </w:r>
      <w:bookmarkStart w:id="233" w:name="_bookmark135"/>
      <w:bookmarkEnd w:id="233"/>
      <w:r>
        <w:rPr>
          <w:sz w:val="20"/>
        </w:rPr>
        <w:t>Bullying and Harassment.”</w:t>
      </w:r>
    </w:p>
    <w:p w:rsidR="00C76E6D" w:rsidRDefault="00913831">
      <w:pPr>
        <w:ind w:left="480" w:right="530" w:hanging="2"/>
        <w:rPr>
          <w:sz w:val="20"/>
        </w:rPr>
      </w:pPr>
      <w:r>
        <w:rPr>
          <w:sz w:val="20"/>
          <w:vertAlign w:val="superscript"/>
        </w:rPr>
        <w:t>44</w:t>
      </w:r>
      <w:r>
        <w:rPr>
          <w:sz w:val="20"/>
        </w:rPr>
        <w:t xml:space="preserve"> Byrd and </w:t>
      </w:r>
      <w:r>
        <w:rPr>
          <w:sz w:val="20"/>
        </w:rPr>
        <w:t>Hays, “Evaluating A Safe Space Training for School Counselors and Trainees Using a Randomized Control</w:t>
      </w:r>
      <w:r>
        <w:rPr>
          <w:spacing w:val="-1"/>
          <w:sz w:val="20"/>
        </w:rPr>
        <w:t xml:space="preserve"> </w:t>
      </w:r>
      <w:r>
        <w:rPr>
          <w:sz w:val="20"/>
        </w:rPr>
        <w:t>Group</w:t>
      </w:r>
      <w:r>
        <w:rPr>
          <w:spacing w:val="-2"/>
          <w:sz w:val="20"/>
        </w:rPr>
        <w:t xml:space="preserve"> </w:t>
      </w:r>
      <w:r>
        <w:rPr>
          <w:sz w:val="20"/>
        </w:rPr>
        <w:t>Design”;</w:t>
      </w:r>
      <w:r>
        <w:rPr>
          <w:spacing w:val="-1"/>
          <w:sz w:val="20"/>
        </w:rPr>
        <w:t xml:space="preserve"> </w:t>
      </w:r>
      <w:r>
        <w:rPr>
          <w:sz w:val="20"/>
        </w:rPr>
        <w:t>Greytak,</w:t>
      </w:r>
      <w:r>
        <w:rPr>
          <w:spacing w:val="-2"/>
          <w:sz w:val="20"/>
        </w:rPr>
        <w:t xml:space="preserve"> </w:t>
      </w:r>
      <w:r>
        <w:rPr>
          <w:sz w:val="20"/>
        </w:rPr>
        <w:t>Kosciw,</w:t>
      </w:r>
      <w:r>
        <w:rPr>
          <w:spacing w:val="-2"/>
          <w:sz w:val="20"/>
        </w:rPr>
        <w:t xml:space="preserve"> </w:t>
      </w:r>
      <w:r>
        <w:rPr>
          <w:sz w:val="20"/>
        </w:rPr>
        <w:t>and</w:t>
      </w:r>
      <w:r>
        <w:rPr>
          <w:spacing w:val="-1"/>
          <w:sz w:val="20"/>
        </w:rPr>
        <w:t xml:space="preserve"> </w:t>
      </w:r>
      <w:r>
        <w:rPr>
          <w:sz w:val="20"/>
        </w:rPr>
        <w:t>Boesen,</w:t>
      </w:r>
      <w:r>
        <w:rPr>
          <w:spacing w:val="-2"/>
          <w:sz w:val="20"/>
        </w:rPr>
        <w:t xml:space="preserve"> </w:t>
      </w:r>
      <w:r>
        <w:rPr>
          <w:sz w:val="20"/>
        </w:rPr>
        <w:t>“Educating</w:t>
      </w:r>
      <w:r>
        <w:rPr>
          <w:spacing w:val="-2"/>
          <w:sz w:val="20"/>
        </w:rPr>
        <w:t xml:space="preserve"> </w:t>
      </w:r>
      <w:r>
        <w:rPr>
          <w:sz w:val="20"/>
        </w:rPr>
        <w:t>the</w:t>
      </w:r>
      <w:r>
        <w:rPr>
          <w:spacing w:val="-2"/>
          <w:sz w:val="20"/>
        </w:rPr>
        <w:t xml:space="preserve"> </w:t>
      </w:r>
      <w:r>
        <w:rPr>
          <w:sz w:val="20"/>
        </w:rPr>
        <w:t>Educator”;</w:t>
      </w:r>
      <w:r>
        <w:rPr>
          <w:spacing w:val="-2"/>
          <w:sz w:val="20"/>
        </w:rPr>
        <w:t xml:space="preserve"> </w:t>
      </w:r>
      <w:r>
        <w:rPr>
          <w:sz w:val="20"/>
        </w:rPr>
        <w:t>Marx,</w:t>
      </w:r>
      <w:r>
        <w:rPr>
          <w:spacing w:val="-2"/>
          <w:sz w:val="20"/>
        </w:rPr>
        <w:t xml:space="preserve"> </w:t>
      </w:r>
      <w:r>
        <w:rPr>
          <w:sz w:val="20"/>
        </w:rPr>
        <w:t>Roberts,</w:t>
      </w:r>
      <w:r>
        <w:rPr>
          <w:spacing w:val="-1"/>
          <w:sz w:val="20"/>
        </w:rPr>
        <w:t xml:space="preserve"> </w:t>
      </w:r>
      <w:r>
        <w:rPr>
          <w:sz w:val="20"/>
        </w:rPr>
        <w:t>and</w:t>
      </w:r>
      <w:r>
        <w:rPr>
          <w:spacing w:val="-2"/>
          <w:sz w:val="20"/>
        </w:rPr>
        <w:t xml:space="preserve"> </w:t>
      </w:r>
      <w:r>
        <w:rPr>
          <w:sz w:val="20"/>
        </w:rPr>
        <w:t>Nixon,</w:t>
      </w:r>
      <w:r>
        <w:rPr>
          <w:spacing w:val="-2"/>
          <w:sz w:val="20"/>
        </w:rPr>
        <w:t xml:space="preserve"> </w:t>
      </w:r>
      <w:r>
        <w:rPr>
          <w:sz w:val="20"/>
        </w:rPr>
        <w:t>“When Care</w:t>
      </w:r>
      <w:r>
        <w:rPr>
          <w:spacing w:val="-6"/>
          <w:sz w:val="20"/>
        </w:rPr>
        <w:t xml:space="preserve"> </w:t>
      </w:r>
      <w:r>
        <w:rPr>
          <w:sz w:val="20"/>
        </w:rPr>
        <w:t>and</w:t>
      </w:r>
      <w:r>
        <w:rPr>
          <w:spacing w:val="-5"/>
          <w:sz w:val="20"/>
        </w:rPr>
        <w:t xml:space="preserve"> </w:t>
      </w:r>
      <w:r>
        <w:rPr>
          <w:sz w:val="20"/>
        </w:rPr>
        <w:t>Concern</w:t>
      </w:r>
      <w:r>
        <w:rPr>
          <w:spacing w:val="-5"/>
          <w:sz w:val="20"/>
        </w:rPr>
        <w:t xml:space="preserve"> </w:t>
      </w:r>
      <w:r>
        <w:rPr>
          <w:sz w:val="20"/>
        </w:rPr>
        <w:t>Are</w:t>
      </w:r>
      <w:r>
        <w:rPr>
          <w:spacing w:val="-7"/>
          <w:sz w:val="20"/>
        </w:rPr>
        <w:t xml:space="preserve"> </w:t>
      </w:r>
      <w:r>
        <w:rPr>
          <w:sz w:val="20"/>
        </w:rPr>
        <w:t>Not</w:t>
      </w:r>
      <w:r>
        <w:rPr>
          <w:spacing w:val="-7"/>
          <w:sz w:val="20"/>
        </w:rPr>
        <w:t xml:space="preserve"> </w:t>
      </w:r>
      <w:r>
        <w:rPr>
          <w:sz w:val="20"/>
        </w:rPr>
        <w:t>Enough”;</w:t>
      </w:r>
      <w:r>
        <w:rPr>
          <w:spacing w:val="-6"/>
          <w:sz w:val="20"/>
        </w:rPr>
        <w:t xml:space="preserve"> </w:t>
      </w:r>
      <w:r>
        <w:rPr>
          <w:sz w:val="20"/>
        </w:rPr>
        <w:t>Pennell,</w:t>
      </w:r>
      <w:r>
        <w:rPr>
          <w:spacing w:val="-5"/>
          <w:sz w:val="20"/>
        </w:rPr>
        <w:t xml:space="preserve"> </w:t>
      </w:r>
      <w:r>
        <w:rPr>
          <w:sz w:val="20"/>
        </w:rPr>
        <w:t>“Training</w:t>
      </w:r>
      <w:r>
        <w:rPr>
          <w:spacing w:val="-6"/>
          <w:sz w:val="20"/>
        </w:rPr>
        <w:t xml:space="preserve"> </w:t>
      </w:r>
      <w:r>
        <w:rPr>
          <w:sz w:val="20"/>
        </w:rPr>
        <w:t>Secondary</w:t>
      </w:r>
      <w:r>
        <w:rPr>
          <w:spacing w:val="-5"/>
          <w:sz w:val="20"/>
        </w:rPr>
        <w:t xml:space="preserve"> </w:t>
      </w:r>
      <w:r>
        <w:rPr>
          <w:sz w:val="20"/>
        </w:rPr>
        <w:t>Teachers</w:t>
      </w:r>
      <w:r>
        <w:rPr>
          <w:spacing w:val="-6"/>
          <w:sz w:val="20"/>
        </w:rPr>
        <w:t xml:space="preserve"> </w:t>
      </w:r>
      <w:r>
        <w:rPr>
          <w:sz w:val="20"/>
        </w:rPr>
        <w:t>to</w:t>
      </w:r>
      <w:r>
        <w:rPr>
          <w:spacing w:val="-6"/>
          <w:sz w:val="20"/>
        </w:rPr>
        <w:t xml:space="preserve"> </w:t>
      </w:r>
      <w:r>
        <w:rPr>
          <w:sz w:val="20"/>
        </w:rPr>
        <w:t>Support</w:t>
      </w:r>
      <w:r>
        <w:rPr>
          <w:spacing w:val="-5"/>
          <w:sz w:val="20"/>
        </w:rPr>
        <w:t xml:space="preserve"> </w:t>
      </w:r>
      <w:r>
        <w:rPr>
          <w:sz w:val="20"/>
        </w:rPr>
        <w:t>LGBTQ+</w:t>
      </w:r>
      <w:r>
        <w:rPr>
          <w:spacing w:val="-6"/>
          <w:sz w:val="20"/>
        </w:rPr>
        <w:t xml:space="preserve"> </w:t>
      </w:r>
      <w:r>
        <w:rPr>
          <w:sz w:val="20"/>
        </w:rPr>
        <w:t>Students”;</w:t>
      </w:r>
      <w:r>
        <w:rPr>
          <w:spacing w:val="-5"/>
          <w:sz w:val="20"/>
        </w:rPr>
        <w:t xml:space="preserve"> </w:t>
      </w:r>
      <w:r>
        <w:rPr>
          <w:sz w:val="20"/>
        </w:rPr>
        <w:t>Fisher</w:t>
      </w:r>
      <w:r>
        <w:rPr>
          <w:spacing w:val="-7"/>
          <w:sz w:val="20"/>
        </w:rPr>
        <w:t xml:space="preserve"> </w:t>
      </w:r>
      <w:r>
        <w:rPr>
          <w:sz w:val="20"/>
        </w:rPr>
        <w:t xml:space="preserve">et al., “Promoting School Success for Lesbian, Gay, Bisexual, Transgendered, and Questioning Students”; McGravey, </w:t>
      </w:r>
      <w:r>
        <w:rPr>
          <w:i/>
          <w:sz w:val="20"/>
        </w:rPr>
        <w:t>Measuring the Effectiveness of a Professional Development Workshop on Awareness, Knowl</w:t>
      </w:r>
      <w:r>
        <w:rPr>
          <w:i/>
          <w:sz w:val="20"/>
        </w:rPr>
        <w:t>edge, and Skills of Mental</w:t>
      </w:r>
      <w:r>
        <w:rPr>
          <w:i/>
          <w:spacing w:val="-2"/>
          <w:sz w:val="20"/>
        </w:rPr>
        <w:t xml:space="preserve"> </w:t>
      </w:r>
      <w:r>
        <w:rPr>
          <w:i/>
          <w:sz w:val="20"/>
        </w:rPr>
        <w:t>Health</w:t>
      </w:r>
      <w:r>
        <w:rPr>
          <w:i/>
          <w:spacing w:val="-3"/>
          <w:sz w:val="20"/>
        </w:rPr>
        <w:t xml:space="preserve"> </w:t>
      </w:r>
      <w:r>
        <w:rPr>
          <w:i/>
          <w:sz w:val="20"/>
        </w:rPr>
        <w:t>Professionals</w:t>
      </w:r>
      <w:r>
        <w:rPr>
          <w:i/>
          <w:spacing w:val="-2"/>
          <w:sz w:val="20"/>
        </w:rPr>
        <w:t xml:space="preserve"> </w:t>
      </w:r>
      <w:r>
        <w:rPr>
          <w:i/>
          <w:sz w:val="20"/>
        </w:rPr>
        <w:t>in</w:t>
      </w:r>
      <w:r>
        <w:rPr>
          <w:i/>
          <w:spacing w:val="-2"/>
          <w:sz w:val="20"/>
        </w:rPr>
        <w:t xml:space="preserve"> </w:t>
      </w:r>
      <w:r>
        <w:rPr>
          <w:i/>
          <w:sz w:val="20"/>
        </w:rPr>
        <w:t>Working</w:t>
      </w:r>
      <w:r>
        <w:rPr>
          <w:i/>
          <w:spacing w:val="-3"/>
          <w:sz w:val="20"/>
        </w:rPr>
        <w:t xml:space="preserve"> </w:t>
      </w:r>
      <w:r>
        <w:rPr>
          <w:i/>
          <w:sz w:val="20"/>
        </w:rPr>
        <w:t>with</w:t>
      </w:r>
      <w:r>
        <w:rPr>
          <w:i/>
          <w:spacing w:val="-2"/>
          <w:sz w:val="20"/>
        </w:rPr>
        <w:t xml:space="preserve"> </w:t>
      </w:r>
      <w:r>
        <w:rPr>
          <w:i/>
          <w:sz w:val="20"/>
        </w:rPr>
        <w:t>Lesbian,</w:t>
      </w:r>
      <w:r>
        <w:rPr>
          <w:i/>
          <w:spacing w:val="-3"/>
          <w:sz w:val="20"/>
        </w:rPr>
        <w:t xml:space="preserve"> </w:t>
      </w:r>
      <w:r>
        <w:rPr>
          <w:i/>
          <w:sz w:val="20"/>
        </w:rPr>
        <w:t>Gay,</w:t>
      </w:r>
      <w:r>
        <w:rPr>
          <w:i/>
          <w:spacing w:val="-3"/>
          <w:sz w:val="20"/>
        </w:rPr>
        <w:t xml:space="preserve"> </w:t>
      </w:r>
      <w:r>
        <w:rPr>
          <w:i/>
          <w:sz w:val="20"/>
        </w:rPr>
        <w:t>Bisexual,</w:t>
      </w:r>
      <w:r>
        <w:rPr>
          <w:i/>
          <w:spacing w:val="-2"/>
          <w:sz w:val="20"/>
        </w:rPr>
        <w:t xml:space="preserve"> </w:t>
      </w:r>
      <w:r>
        <w:rPr>
          <w:i/>
          <w:sz w:val="20"/>
        </w:rPr>
        <w:t>Transgender,</w:t>
      </w:r>
      <w:r>
        <w:rPr>
          <w:i/>
          <w:spacing w:val="-3"/>
          <w:sz w:val="20"/>
        </w:rPr>
        <w:t xml:space="preserve"> </w:t>
      </w:r>
      <w:r>
        <w:rPr>
          <w:i/>
          <w:sz w:val="20"/>
        </w:rPr>
        <w:t>and</w:t>
      </w:r>
      <w:r>
        <w:rPr>
          <w:i/>
          <w:spacing w:val="-3"/>
          <w:sz w:val="20"/>
        </w:rPr>
        <w:t xml:space="preserve"> </w:t>
      </w:r>
      <w:r>
        <w:rPr>
          <w:i/>
          <w:sz w:val="20"/>
        </w:rPr>
        <w:t>Questioning</w:t>
      </w:r>
      <w:r>
        <w:rPr>
          <w:i/>
          <w:spacing w:val="-3"/>
          <w:sz w:val="20"/>
        </w:rPr>
        <w:t xml:space="preserve"> </w:t>
      </w:r>
      <w:r>
        <w:rPr>
          <w:i/>
          <w:sz w:val="20"/>
        </w:rPr>
        <w:t>(LGBTQ)</w:t>
      </w:r>
      <w:r>
        <w:rPr>
          <w:i/>
          <w:spacing w:val="-2"/>
          <w:sz w:val="20"/>
        </w:rPr>
        <w:t xml:space="preserve"> </w:t>
      </w:r>
      <w:r>
        <w:rPr>
          <w:i/>
          <w:sz w:val="20"/>
        </w:rPr>
        <w:t>Youth</w:t>
      </w:r>
      <w:r>
        <w:rPr>
          <w:sz w:val="20"/>
        </w:rPr>
        <w:t>; Massachusetts Commission on LGBTQ Youth, “Safe Schools Program Training Evaluation Data.”</w:t>
      </w:r>
    </w:p>
    <w:p w:rsidR="00C76E6D" w:rsidRDefault="00913831">
      <w:pPr>
        <w:ind w:left="480" w:right="530" w:hanging="3"/>
        <w:rPr>
          <w:i/>
          <w:sz w:val="20"/>
        </w:rPr>
      </w:pPr>
      <w:bookmarkStart w:id="234" w:name="_bookmark136"/>
      <w:bookmarkEnd w:id="234"/>
      <w:r>
        <w:rPr>
          <w:sz w:val="20"/>
          <w:vertAlign w:val="superscript"/>
        </w:rPr>
        <w:t>45</w:t>
      </w:r>
      <w:r>
        <w:rPr>
          <w:spacing w:val="-4"/>
          <w:sz w:val="20"/>
        </w:rPr>
        <w:t xml:space="preserve"> </w:t>
      </w:r>
      <w:r>
        <w:rPr>
          <w:sz w:val="20"/>
        </w:rPr>
        <w:t>Greytak,</w:t>
      </w:r>
      <w:r>
        <w:rPr>
          <w:spacing w:val="-4"/>
          <w:sz w:val="20"/>
        </w:rPr>
        <w:t xml:space="preserve"> </w:t>
      </w:r>
      <w:r>
        <w:rPr>
          <w:sz w:val="20"/>
        </w:rPr>
        <w:t>Kosciw,</w:t>
      </w:r>
      <w:r>
        <w:rPr>
          <w:spacing w:val="-4"/>
          <w:sz w:val="20"/>
        </w:rPr>
        <w:t xml:space="preserve"> </w:t>
      </w:r>
      <w:r>
        <w:rPr>
          <w:sz w:val="20"/>
        </w:rPr>
        <w:t>and</w:t>
      </w:r>
      <w:r>
        <w:rPr>
          <w:spacing w:val="-4"/>
          <w:sz w:val="20"/>
        </w:rPr>
        <w:t xml:space="preserve"> </w:t>
      </w:r>
      <w:r>
        <w:rPr>
          <w:sz w:val="20"/>
        </w:rPr>
        <w:t>Gay,</w:t>
      </w:r>
      <w:r>
        <w:rPr>
          <w:spacing w:val="-4"/>
          <w:sz w:val="20"/>
        </w:rPr>
        <w:t xml:space="preserve"> </w:t>
      </w:r>
      <w:r>
        <w:rPr>
          <w:i/>
          <w:sz w:val="20"/>
        </w:rPr>
        <w:t>Year</w:t>
      </w:r>
      <w:r>
        <w:rPr>
          <w:i/>
          <w:spacing w:val="-5"/>
          <w:sz w:val="20"/>
        </w:rPr>
        <w:t xml:space="preserve"> </w:t>
      </w:r>
      <w:r>
        <w:rPr>
          <w:i/>
          <w:sz w:val="20"/>
        </w:rPr>
        <w:t>One</w:t>
      </w:r>
      <w:r>
        <w:rPr>
          <w:i/>
          <w:spacing w:val="-6"/>
          <w:sz w:val="20"/>
        </w:rPr>
        <w:t xml:space="preserve"> </w:t>
      </w:r>
      <w:r>
        <w:rPr>
          <w:i/>
          <w:sz w:val="20"/>
        </w:rPr>
        <w:t>Evaluation</w:t>
      </w:r>
      <w:r>
        <w:rPr>
          <w:i/>
          <w:spacing w:val="-4"/>
          <w:sz w:val="20"/>
        </w:rPr>
        <w:t xml:space="preserve"> </w:t>
      </w:r>
      <w:r>
        <w:rPr>
          <w:i/>
          <w:sz w:val="20"/>
        </w:rPr>
        <w:t>of</w:t>
      </w:r>
      <w:r>
        <w:rPr>
          <w:i/>
          <w:spacing w:val="-6"/>
          <w:sz w:val="20"/>
        </w:rPr>
        <w:t xml:space="preserve"> </w:t>
      </w:r>
      <w:r>
        <w:rPr>
          <w:i/>
          <w:sz w:val="20"/>
        </w:rPr>
        <w:t>the</w:t>
      </w:r>
      <w:r>
        <w:rPr>
          <w:i/>
          <w:spacing w:val="-5"/>
          <w:sz w:val="20"/>
        </w:rPr>
        <w:t xml:space="preserve"> </w:t>
      </w:r>
      <w:r>
        <w:rPr>
          <w:i/>
          <w:sz w:val="20"/>
        </w:rPr>
        <w:t>New</w:t>
      </w:r>
      <w:r>
        <w:rPr>
          <w:i/>
          <w:spacing w:val="-6"/>
          <w:sz w:val="20"/>
        </w:rPr>
        <w:t xml:space="preserve"> </w:t>
      </w:r>
      <w:r>
        <w:rPr>
          <w:i/>
          <w:sz w:val="20"/>
        </w:rPr>
        <w:t>York</w:t>
      </w:r>
      <w:r>
        <w:rPr>
          <w:i/>
          <w:spacing w:val="-4"/>
          <w:sz w:val="20"/>
        </w:rPr>
        <w:t xml:space="preserve"> </w:t>
      </w:r>
      <w:r>
        <w:rPr>
          <w:i/>
          <w:sz w:val="20"/>
        </w:rPr>
        <w:t>City</w:t>
      </w:r>
      <w:r>
        <w:rPr>
          <w:i/>
          <w:spacing w:val="-5"/>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Education"Respect</w:t>
      </w:r>
      <w:r>
        <w:rPr>
          <w:i/>
          <w:spacing w:val="-5"/>
          <w:sz w:val="20"/>
        </w:rPr>
        <w:t xml:space="preserve"> </w:t>
      </w:r>
      <w:r>
        <w:rPr>
          <w:i/>
          <w:sz w:val="20"/>
        </w:rPr>
        <w:t>for</w:t>
      </w:r>
      <w:r>
        <w:rPr>
          <w:i/>
          <w:spacing w:val="-5"/>
          <w:sz w:val="20"/>
        </w:rPr>
        <w:t xml:space="preserve"> </w:t>
      </w:r>
      <w:r>
        <w:rPr>
          <w:i/>
          <w:sz w:val="20"/>
        </w:rPr>
        <w:t xml:space="preserve">All" </w:t>
      </w:r>
      <w:bookmarkStart w:id="235" w:name="_bookmark137"/>
      <w:bookmarkEnd w:id="235"/>
      <w:r>
        <w:rPr>
          <w:i/>
          <w:sz w:val="20"/>
        </w:rPr>
        <w:t>Training Program.</w:t>
      </w:r>
    </w:p>
    <w:p w:rsidR="00C76E6D" w:rsidRDefault="00913831">
      <w:pPr>
        <w:ind w:left="480"/>
        <w:rPr>
          <w:sz w:val="20"/>
        </w:rPr>
      </w:pPr>
      <w:r>
        <w:rPr>
          <w:sz w:val="20"/>
          <w:vertAlign w:val="superscript"/>
        </w:rPr>
        <w:t>46</w:t>
      </w:r>
      <w:r>
        <w:rPr>
          <w:spacing w:val="-6"/>
          <w:sz w:val="20"/>
        </w:rPr>
        <w:t xml:space="preserve"> </w:t>
      </w:r>
      <w:bookmarkStart w:id="236" w:name="_bookmark138"/>
      <w:bookmarkEnd w:id="236"/>
      <w:r>
        <w:rPr>
          <w:sz w:val="20"/>
        </w:rPr>
        <w:t>Bradley</w:t>
      </w:r>
      <w:r>
        <w:rPr>
          <w:spacing w:val="-4"/>
          <w:sz w:val="20"/>
        </w:rPr>
        <w:t xml:space="preserve"> </w:t>
      </w:r>
      <w:r>
        <w:rPr>
          <w:sz w:val="20"/>
        </w:rPr>
        <w:t>et</w:t>
      </w:r>
      <w:r>
        <w:rPr>
          <w:spacing w:val="-7"/>
          <w:sz w:val="20"/>
        </w:rPr>
        <w:t xml:space="preserve"> </w:t>
      </w:r>
      <w:r>
        <w:rPr>
          <w:sz w:val="20"/>
        </w:rPr>
        <w:t>al.,</w:t>
      </w:r>
      <w:r>
        <w:rPr>
          <w:spacing w:val="-5"/>
          <w:sz w:val="20"/>
        </w:rPr>
        <w:t xml:space="preserve"> </w:t>
      </w:r>
      <w:r>
        <w:rPr>
          <w:sz w:val="20"/>
        </w:rPr>
        <w:t>“Impact</w:t>
      </w:r>
      <w:r>
        <w:rPr>
          <w:spacing w:val="-6"/>
          <w:sz w:val="20"/>
        </w:rPr>
        <w:t xml:space="preserve"> </w:t>
      </w:r>
      <w:r>
        <w:rPr>
          <w:sz w:val="20"/>
        </w:rPr>
        <w:t>of</w:t>
      </w:r>
      <w:r>
        <w:rPr>
          <w:spacing w:val="-7"/>
          <w:sz w:val="20"/>
        </w:rPr>
        <w:t xml:space="preserve"> </w:t>
      </w:r>
      <w:r>
        <w:rPr>
          <w:sz w:val="20"/>
        </w:rPr>
        <w:t>a</w:t>
      </w:r>
      <w:r>
        <w:rPr>
          <w:spacing w:val="-4"/>
          <w:sz w:val="20"/>
        </w:rPr>
        <w:t xml:space="preserve"> </w:t>
      </w:r>
      <w:r>
        <w:rPr>
          <w:sz w:val="20"/>
        </w:rPr>
        <w:t>Simulation</w:t>
      </w:r>
      <w:r>
        <w:rPr>
          <w:spacing w:val="-5"/>
          <w:sz w:val="20"/>
        </w:rPr>
        <w:t xml:space="preserve"> </w:t>
      </w:r>
      <w:r>
        <w:rPr>
          <w:sz w:val="20"/>
        </w:rPr>
        <w:t>on</w:t>
      </w:r>
      <w:r>
        <w:rPr>
          <w:spacing w:val="-8"/>
          <w:sz w:val="20"/>
        </w:rPr>
        <w:t xml:space="preserve"> </w:t>
      </w:r>
      <w:r>
        <w:rPr>
          <w:sz w:val="20"/>
        </w:rPr>
        <w:t>Educator</w:t>
      </w:r>
      <w:r>
        <w:rPr>
          <w:spacing w:val="-7"/>
          <w:sz w:val="20"/>
        </w:rPr>
        <w:t xml:space="preserve"> </w:t>
      </w:r>
      <w:r>
        <w:rPr>
          <w:sz w:val="20"/>
        </w:rPr>
        <w:t>Support</w:t>
      </w:r>
      <w:r>
        <w:rPr>
          <w:spacing w:val="-4"/>
          <w:sz w:val="20"/>
        </w:rPr>
        <w:t xml:space="preserve"> </w:t>
      </w:r>
      <w:r>
        <w:rPr>
          <w:sz w:val="20"/>
        </w:rPr>
        <w:t>of</w:t>
      </w:r>
      <w:r>
        <w:rPr>
          <w:spacing w:val="-7"/>
          <w:sz w:val="20"/>
        </w:rPr>
        <w:t xml:space="preserve"> </w:t>
      </w:r>
      <w:r>
        <w:rPr>
          <w:sz w:val="20"/>
        </w:rPr>
        <w:t>LGBTQ</w:t>
      </w:r>
      <w:r>
        <w:rPr>
          <w:spacing w:val="-6"/>
          <w:sz w:val="20"/>
        </w:rPr>
        <w:t xml:space="preserve"> </w:t>
      </w:r>
      <w:r>
        <w:rPr>
          <w:spacing w:val="-2"/>
          <w:sz w:val="20"/>
        </w:rPr>
        <w:t>Youth.”</w:t>
      </w:r>
    </w:p>
    <w:p w:rsidR="00C76E6D" w:rsidRDefault="00913831">
      <w:pPr>
        <w:spacing w:before="4" w:line="244" w:lineRule="exact"/>
        <w:ind w:left="480"/>
        <w:rPr>
          <w:sz w:val="20"/>
        </w:rPr>
      </w:pPr>
      <w:r>
        <w:rPr>
          <w:sz w:val="20"/>
          <w:vertAlign w:val="superscript"/>
        </w:rPr>
        <w:t>47</w:t>
      </w:r>
      <w:r>
        <w:rPr>
          <w:spacing w:val="-5"/>
          <w:sz w:val="20"/>
        </w:rPr>
        <w:t xml:space="preserve"> </w:t>
      </w:r>
      <w:r>
        <w:rPr>
          <w:sz w:val="20"/>
        </w:rPr>
        <w:t>Bradley</w:t>
      </w:r>
      <w:r>
        <w:rPr>
          <w:spacing w:val="-4"/>
          <w:sz w:val="20"/>
        </w:rPr>
        <w:t xml:space="preserve"> </w:t>
      </w:r>
      <w:r>
        <w:rPr>
          <w:sz w:val="20"/>
        </w:rPr>
        <w:t>et</w:t>
      </w:r>
      <w:r>
        <w:rPr>
          <w:spacing w:val="-7"/>
          <w:sz w:val="20"/>
        </w:rPr>
        <w:t xml:space="preserve"> </w:t>
      </w:r>
      <w:r>
        <w:rPr>
          <w:spacing w:val="-5"/>
          <w:sz w:val="20"/>
        </w:rPr>
        <w:t>al.</w:t>
      </w:r>
    </w:p>
    <w:p w:rsidR="00C76E6D" w:rsidRDefault="00913831">
      <w:pPr>
        <w:spacing w:line="241" w:lineRule="exact"/>
        <w:ind w:left="480"/>
        <w:rPr>
          <w:sz w:val="20"/>
        </w:rPr>
      </w:pPr>
      <w:bookmarkStart w:id="237" w:name="_bookmark139"/>
      <w:bookmarkEnd w:id="237"/>
      <w:r>
        <w:rPr>
          <w:sz w:val="20"/>
          <w:vertAlign w:val="superscript"/>
        </w:rPr>
        <w:t>48</w:t>
      </w:r>
      <w:r>
        <w:rPr>
          <w:spacing w:val="-9"/>
          <w:sz w:val="20"/>
        </w:rPr>
        <w:t xml:space="preserve"> </w:t>
      </w:r>
      <w:r>
        <w:rPr>
          <w:sz w:val="20"/>
        </w:rPr>
        <w:t>Massachusetts</w:t>
      </w:r>
      <w:r>
        <w:rPr>
          <w:spacing w:val="-9"/>
          <w:sz w:val="20"/>
        </w:rPr>
        <w:t xml:space="preserve"> </w:t>
      </w:r>
      <w:r>
        <w:rPr>
          <w:sz w:val="20"/>
        </w:rPr>
        <w:t>Commission</w:t>
      </w:r>
      <w:r>
        <w:rPr>
          <w:spacing w:val="-7"/>
          <w:sz w:val="20"/>
        </w:rPr>
        <w:t xml:space="preserve"> </w:t>
      </w:r>
      <w:r>
        <w:rPr>
          <w:sz w:val="20"/>
        </w:rPr>
        <w:t>on</w:t>
      </w:r>
      <w:r>
        <w:rPr>
          <w:spacing w:val="-8"/>
          <w:sz w:val="20"/>
        </w:rPr>
        <w:t xml:space="preserve"> </w:t>
      </w:r>
      <w:r>
        <w:rPr>
          <w:sz w:val="20"/>
        </w:rPr>
        <w:t>LGBTQ</w:t>
      </w:r>
      <w:r>
        <w:rPr>
          <w:spacing w:val="-11"/>
          <w:sz w:val="20"/>
        </w:rPr>
        <w:t xml:space="preserve"> </w:t>
      </w:r>
      <w:r>
        <w:rPr>
          <w:sz w:val="20"/>
        </w:rPr>
        <w:t>Youth,</w:t>
      </w:r>
      <w:r>
        <w:rPr>
          <w:spacing w:val="-8"/>
          <w:sz w:val="20"/>
        </w:rPr>
        <w:t xml:space="preserve"> </w:t>
      </w:r>
      <w:r>
        <w:rPr>
          <w:sz w:val="20"/>
        </w:rPr>
        <w:t>“Safe</w:t>
      </w:r>
      <w:r>
        <w:rPr>
          <w:spacing w:val="-10"/>
          <w:sz w:val="20"/>
        </w:rPr>
        <w:t xml:space="preserve"> </w:t>
      </w:r>
      <w:r>
        <w:rPr>
          <w:sz w:val="20"/>
        </w:rPr>
        <w:t>Schools</w:t>
      </w:r>
      <w:r>
        <w:rPr>
          <w:spacing w:val="-9"/>
          <w:sz w:val="20"/>
        </w:rPr>
        <w:t xml:space="preserve"> </w:t>
      </w:r>
      <w:r>
        <w:rPr>
          <w:sz w:val="20"/>
        </w:rPr>
        <w:t>Program</w:t>
      </w:r>
      <w:r>
        <w:rPr>
          <w:spacing w:val="-8"/>
          <w:sz w:val="20"/>
        </w:rPr>
        <w:t xml:space="preserve"> </w:t>
      </w:r>
      <w:r>
        <w:rPr>
          <w:sz w:val="20"/>
        </w:rPr>
        <w:t>Training</w:t>
      </w:r>
      <w:r>
        <w:rPr>
          <w:spacing w:val="-11"/>
          <w:sz w:val="20"/>
        </w:rPr>
        <w:t xml:space="preserve"> </w:t>
      </w:r>
      <w:r>
        <w:rPr>
          <w:sz w:val="20"/>
        </w:rPr>
        <w:t>Evaluation</w:t>
      </w:r>
      <w:r>
        <w:rPr>
          <w:spacing w:val="-8"/>
          <w:sz w:val="20"/>
        </w:rPr>
        <w:t xml:space="preserve"> </w:t>
      </w:r>
      <w:r>
        <w:rPr>
          <w:spacing w:val="-2"/>
          <w:sz w:val="20"/>
        </w:rPr>
        <w:t>Data.”</w:t>
      </w:r>
    </w:p>
    <w:p w:rsidR="00C76E6D" w:rsidRDefault="00913831">
      <w:pPr>
        <w:ind w:left="480" w:right="830"/>
        <w:rPr>
          <w:sz w:val="20"/>
        </w:rPr>
      </w:pPr>
      <w:bookmarkStart w:id="238" w:name="_bookmark140"/>
      <w:bookmarkEnd w:id="238"/>
      <w:r>
        <w:rPr>
          <w:sz w:val="20"/>
          <w:vertAlign w:val="superscript"/>
        </w:rPr>
        <w:t>49</w:t>
      </w:r>
      <w:r>
        <w:rPr>
          <w:sz w:val="20"/>
        </w:rPr>
        <w:t xml:space="preserve"> Laura Szalacha, “Welcoming Schools – Gender and LGBTQ+ Inclusive Schools,” Welcoming Schools, accessed </w:t>
      </w:r>
      <w:bookmarkStart w:id="239" w:name="_bookmark141"/>
      <w:bookmarkEnd w:id="239"/>
      <w:r>
        <w:rPr>
          <w:spacing w:val="-2"/>
          <w:sz w:val="20"/>
        </w:rPr>
        <w:t>June 9, 2022, https://assets2.hrc.org/welcoming-schools/documents/Welcoming_Schools_Pilot_Evaluation.pdf.</w:t>
      </w:r>
      <w:r>
        <w:rPr>
          <w:spacing w:val="80"/>
          <w:sz w:val="20"/>
        </w:rPr>
        <w:t xml:space="preserve"> </w:t>
      </w:r>
      <w:r>
        <w:rPr>
          <w:sz w:val="20"/>
          <w:vertAlign w:val="superscript"/>
        </w:rPr>
        <w:t>50</w:t>
      </w:r>
      <w:r>
        <w:rPr>
          <w:sz w:val="20"/>
        </w:rPr>
        <w:t xml:space="preserve"> Hillar</w:t>
      </w:r>
      <w:r>
        <w:rPr>
          <w:sz w:val="20"/>
        </w:rPr>
        <w:t xml:space="preserve">y Parkhouse, Chu Yi Lu, and Virginia R. Massaro, “Multicultural Education Professional Development: A Review of the Literature,” </w:t>
      </w:r>
      <w:r>
        <w:rPr>
          <w:i/>
          <w:sz w:val="20"/>
        </w:rPr>
        <w:t xml:space="preserve">Review of Educational Research </w:t>
      </w:r>
      <w:r>
        <w:rPr>
          <w:sz w:val="20"/>
        </w:rPr>
        <w:t xml:space="preserve">89, no. 3 (June 2019): 416–58, </w:t>
      </w:r>
      <w:r>
        <w:rPr>
          <w:spacing w:val="-2"/>
          <w:sz w:val="20"/>
        </w:rPr>
        <w:t>https://doi.org/10.3102/0034654319840359.</w:t>
      </w:r>
    </w:p>
    <w:p w:rsidR="00C76E6D" w:rsidRDefault="00913831">
      <w:pPr>
        <w:spacing w:before="3"/>
        <w:ind w:left="480"/>
        <w:rPr>
          <w:sz w:val="20"/>
        </w:rPr>
      </w:pPr>
      <w:bookmarkStart w:id="240" w:name="_bookmark142"/>
      <w:bookmarkEnd w:id="240"/>
      <w:r>
        <w:rPr>
          <w:sz w:val="20"/>
          <w:vertAlign w:val="superscript"/>
        </w:rPr>
        <w:t>51</w:t>
      </w:r>
      <w:r>
        <w:rPr>
          <w:spacing w:val="-6"/>
          <w:sz w:val="20"/>
        </w:rPr>
        <w:t xml:space="preserve"> </w:t>
      </w:r>
      <w:bookmarkStart w:id="241" w:name="_bookmark143"/>
      <w:bookmarkEnd w:id="241"/>
      <w:r>
        <w:rPr>
          <w:sz w:val="20"/>
        </w:rPr>
        <w:t>Parkhouse,</w:t>
      </w:r>
      <w:r>
        <w:rPr>
          <w:spacing w:val="-5"/>
          <w:sz w:val="20"/>
        </w:rPr>
        <w:t xml:space="preserve"> </w:t>
      </w:r>
      <w:r>
        <w:rPr>
          <w:sz w:val="20"/>
        </w:rPr>
        <w:t>Lu,</w:t>
      </w:r>
      <w:r>
        <w:rPr>
          <w:spacing w:val="-6"/>
          <w:sz w:val="20"/>
        </w:rPr>
        <w:t xml:space="preserve"> </w:t>
      </w:r>
      <w:r>
        <w:rPr>
          <w:sz w:val="20"/>
        </w:rPr>
        <w:t>and</w:t>
      </w:r>
      <w:r>
        <w:rPr>
          <w:spacing w:val="-7"/>
          <w:sz w:val="20"/>
        </w:rPr>
        <w:t xml:space="preserve"> </w:t>
      </w:r>
      <w:r>
        <w:rPr>
          <w:spacing w:val="-2"/>
          <w:sz w:val="20"/>
        </w:rPr>
        <w:t>M</w:t>
      </w:r>
      <w:r>
        <w:rPr>
          <w:spacing w:val="-2"/>
          <w:sz w:val="20"/>
        </w:rPr>
        <w:t>assaro.</w:t>
      </w:r>
    </w:p>
    <w:p w:rsidR="00C76E6D" w:rsidRDefault="00913831">
      <w:pPr>
        <w:spacing w:line="241" w:lineRule="exact"/>
        <w:ind w:left="480"/>
        <w:rPr>
          <w:sz w:val="20"/>
        </w:rPr>
      </w:pPr>
      <w:r>
        <w:rPr>
          <w:sz w:val="20"/>
          <w:vertAlign w:val="superscript"/>
        </w:rPr>
        <w:t>52</w:t>
      </w:r>
      <w:r>
        <w:rPr>
          <w:spacing w:val="-9"/>
          <w:sz w:val="20"/>
        </w:rPr>
        <w:t xml:space="preserve"> </w:t>
      </w:r>
      <w:bookmarkStart w:id="242" w:name="_bookmark144"/>
      <w:bookmarkEnd w:id="242"/>
      <w:r>
        <w:rPr>
          <w:sz w:val="20"/>
        </w:rPr>
        <w:t>Massachusetts</w:t>
      </w:r>
      <w:r>
        <w:rPr>
          <w:spacing w:val="-9"/>
          <w:sz w:val="20"/>
        </w:rPr>
        <w:t xml:space="preserve"> </w:t>
      </w:r>
      <w:r>
        <w:rPr>
          <w:sz w:val="20"/>
        </w:rPr>
        <w:t>Commission</w:t>
      </w:r>
      <w:r>
        <w:rPr>
          <w:spacing w:val="-8"/>
          <w:sz w:val="20"/>
        </w:rPr>
        <w:t xml:space="preserve"> </w:t>
      </w:r>
      <w:r>
        <w:rPr>
          <w:sz w:val="20"/>
        </w:rPr>
        <w:t>on</w:t>
      </w:r>
      <w:r>
        <w:rPr>
          <w:spacing w:val="-9"/>
          <w:sz w:val="20"/>
        </w:rPr>
        <w:t xml:space="preserve"> </w:t>
      </w:r>
      <w:r>
        <w:rPr>
          <w:sz w:val="20"/>
        </w:rPr>
        <w:t>LGBTQ</w:t>
      </w:r>
      <w:r>
        <w:rPr>
          <w:spacing w:val="-9"/>
          <w:sz w:val="20"/>
        </w:rPr>
        <w:t xml:space="preserve"> </w:t>
      </w:r>
      <w:r>
        <w:rPr>
          <w:sz w:val="20"/>
        </w:rPr>
        <w:t>Youth,</w:t>
      </w:r>
      <w:r>
        <w:rPr>
          <w:spacing w:val="-9"/>
          <w:sz w:val="20"/>
        </w:rPr>
        <w:t xml:space="preserve"> </w:t>
      </w:r>
      <w:r>
        <w:rPr>
          <w:sz w:val="20"/>
        </w:rPr>
        <w:t>“Safe</w:t>
      </w:r>
      <w:r>
        <w:rPr>
          <w:spacing w:val="-11"/>
          <w:sz w:val="20"/>
        </w:rPr>
        <w:t xml:space="preserve"> </w:t>
      </w:r>
      <w:r>
        <w:rPr>
          <w:sz w:val="20"/>
        </w:rPr>
        <w:t>Schools</w:t>
      </w:r>
      <w:r>
        <w:rPr>
          <w:spacing w:val="-9"/>
          <w:sz w:val="20"/>
        </w:rPr>
        <w:t xml:space="preserve"> </w:t>
      </w:r>
      <w:r>
        <w:rPr>
          <w:sz w:val="20"/>
        </w:rPr>
        <w:t>Program</w:t>
      </w:r>
      <w:r>
        <w:rPr>
          <w:spacing w:val="-9"/>
          <w:sz w:val="20"/>
        </w:rPr>
        <w:t xml:space="preserve"> </w:t>
      </w:r>
      <w:r>
        <w:rPr>
          <w:sz w:val="20"/>
        </w:rPr>
        <w:t>Training</w:t>
      </w:r>
      <w:r>
        <w:rPr>
          <w:spacing w:val="-10"/>
          <w:sz w:val="20"/>
        </w:rPr>
        <w:t xml:space="preserve"> </w:t>
      </w:r>
      <w:r>
        <w:rPr>
          <w:sz w:val="20"/>
        </w:rPr>
        <w:t>Evaluation</w:t>
      </w:r>
      <w:r>
        <w:rPr>
          <w:spacing w:val="-9"/>
          <w:sz w:val="20"/>
        </w:rPr>
        <w:t xml:space="preserve"> </w:t>
      </w:r>
      <w:r>
        <w:rPr>
          <w:spacing w:val="-2"/>
          <w:sz w:val="20"/>
        </w:rPr>
        <w:t>Data.”</w:t>
      </w:r>
    </w:p>
    <w:p w:rsidR="00C76E6D" w:rsidRDefault="00913831">
      <w:pPr>
        <w:ind w:left="480" w:right="530" w:hanging="2"/>
        <w:rPr>
          <w:i/>
          <w:sz w:val="20"/>
        </w:rPr>
      </w:pPr>
      <w:r>
        <w:rPr>
          <w:sz w:val="20"/>
          <w:vertAlign w:val="superscript"/>
        </w:rPr>
        <w:t>53</w:t>
      </w:r>
      <w:r>
        <w:rPr>
          <w:sz w:val="20"/>
        </w:rPr>
        <w:t xml:space="preserve"> Szalacha, “Educating Teachers on LGBTQ Issues”; Greytak, Kosciw, and Boesen, “Educating the Educator”; Cooper</w:t>
      </w:r>
      <w:r>
        <w:rPr>
          <w:spacing w:val="-5"/>
          <w:sz w:val="20"/>
        </w:rPr>
        <w:t xml:space="preserve"> </w:t>
      </w:r>
      <w:r>
        <w:rPr>
          <w:sz w:val="20"/>
        </w:rPr>
        <w:t>et</w:t>
      </w:r>
      <w:r>
        <w:rPr>
          <w:spacing w:val="-6"/>
          <w:sz w:val="20"/>
        </w:rPr>
        <w:t xml:space="preserve"> </w:t>
      </w:r>
      <w:r>
        <w:rPr>
          <w:sz w:val="20"/>
        </w:rPr>
        <w:t>al.,</w:t>
      </w:r>
      <w:r>
        <w:rPr>
          <w:spacing w:val="-5"/>
          <w:sz w:val="20"/>
        </w:rPr>
        <w:t xml:space="preserve"> </w:t>
      </w:r>
      <w:r>
        <w:rPr>
          <w:sz w:val="20"/>
        </w:rPr>
        <w:t>“No</w:t>
      </w:r>
      <w:r>
        <w:rPr>
          <w:spacing w:val="-4"/>
          <w:sz w:val="20"/>
        </w:rPr>
        <w:t xml:space="preserve"> </w:t>
      </w:r>
      <w:r>
        <w:rPr>
          <w:sz w:val="20"/>
        </w:rPr>
        <w:t>Lone</w:t>
      </w:r>
      <w:r>
        <w:rPr>
          <w:spacing w:val="-7"/>
          <w:sz w:val="20"/>
        </w:rPr>
        <w:t xml:space="preserve"> </w:t>
      </w:r>
      <w:r>
        <w:rPr>
          <w:sz w:val="20"/>
        </w:rPr>
        <w:t>Wolf”;</w:t>
      </w:r>
      <w:r>
        <w:rPr>
          <w:spacing w:val="-4"/>
          <w:sz w:val="20"/>
        </w:rPr>
        <w:t xml:space="preserve"> </w:t>
      </w:r>
      <w:r>
        <w:rPr>
          <w:sz w:val="20"/>
        </w:rPr>
        <w:t>Greytak,</w:t>
      </w:r>
      <w:r>
        <w:rPr>
          <w:spacing w:val="-5"/>
          <w:sz w:val="20"/>
        </w:rPr>
        <w:t xml:space="preserve"> </w:t>
      </w:r>
      <w:r>
        <w:rPr>
          <w:sz w:val="20"/>
        </w:rPr>
        <w:t>Kosciw,</w:t>
      </w:r>
      <w:r>
        <w:rPr>
          <w:spacing w:val="-4"/>
          <w:sz w:val="20"/>
        </w:rPr>
        <w:t xml:space="preserve"> </w:t>
      </w:r>
      <w:r>
        <w:rPr>
          <w:sz w:val="20"/>
        </w:rPr>
        <w:t>and</w:t>
      </w:r>
      <w:r>
        <w:rPr>
          <w:spacing w:val="-5"/>
          <w:sz w:val="20"/>
        </w:rPr>
        <w:t xml:space="preserve"> </w:t>
      </w:r>
      <w:r>
        <w:rPr>
          <w:sz w:val="20"/>
        </w:rPr>
        <w:t>Gay,</w:t>
      </w:r>
      <w:r>
        <w:rPr>
          <w:spacing w:val="-4"/>
          <w:sz w:val="20"/>
        </w:rPr>
        <w:t xml:space="preserve"> </w:t>
      </w:r>
      <w:r>
        <w:rPr>
          <w:i/>
          <w:sz w:val="20"/>
        </w:rPr>
        <w:t>Year</w:t>
      </w:r>
      <w:r>
        <w:rPr>
          <w:i/>
          <w:spacing w:val="-5"/>
          <w:sz w:val="20"/>
        </w:rPr>
        <w:t xml:space="preserve"> </w:t>
      </w:r>
      <w:r>
        <w:rPr>
          <w:i/>
          <w:sz w:val="20"/>
        </w:rPr>
        <w:t>One</w:t>
      </w:r>
      <w:r>
        <w:rPr>
          <w:i/>
          <w:spacing w:val="-6"/>
          <w:sz w:val="20"/>
        </w:rPr>
        <w:t xml:space="preserve"> </w:t>
      </w:r>
      <w:r>
        <w:rPr>
          <w:i/>
          <w:sz w:val="20"/>
        </w:rPr>
        <w:t>Evaluation</w:t>
      </w:r>
      <w:r>
        <w:rPr>
          <w:i/>
          <w:spacing w:val="-5"/>
          <w:sz w:val="20"/>
        </w:rPr>
        <w:t xml:space="preserve"> </w:t>
      </w:r>
      <w:r>
        <w:rPr>
          <w:i/>
          <w:sz w:val="20"/>
        </w:rPr>
        <w:t>of</w:t>
      </w:r>
      <w:r>
        <w:rPr>
          <w:i/>
          <w:spacing w:val="-4"/>
          <w:sz w:val="20"/>
        </w:rPr>
        <w:t xml:space="preserve"> </w:t>
      </w:r>
      <w:r>
        <w:rPr>
          <w:i/>
          <w:sz w:val="20"/>
        </w:rPr>
        <w:t>the</w:t>
      </w:r>
      <w:r>
        <w:rPr>
          <w:i/>
          <w:spacing w:val="-5"/>
          <w:sz w:val="20"/>
        </w:rPr>
        <w:t xml:space="preserve"> </w:t>
      </w:r>
      <w:r>
        <w:rPr>
          <w:i/>
          <w:sz w:val="20"/>
        </w:rPr>
        <w:t>New</w:t>
      </w:r>
      <w:r>
        <w:rPr>
          <w:i/>
          <w:spacing w:val="-5"/>
          <w:sz w:val="20"/>
        </w:rPr>
        <w:t xml:space="preserve"> </w:t>
      </w:r>
      <w:r>
        <w:rPr>
          <w:i/>
          <w:sz w:val="20"/>
        </w:rPr>
        <w:t>York</w:t>
      </w:r>
      <w:r>
        <w:rPr>
          <w:i/>
          <w:spacing w:val="-4"/>
          <w:sz w:val="20"/>
        </w:rPr>
        <w:t xml:space="preserve"> </w:t>
      </w:r>
      <w:r>
        <w:rPr>
          <w:i/>
          <w:sz w:val="20"/>
        </w:rPr>
        <w:t>City</w:t>
      </w:r>
      <w:r>
        <w:rPr>
          <w:i/>
          <w:spacing w:val="-5"/>
          <w:sz w:val="20"/>
        </w:rPr>
        <w:t xml:space="preserve"> </w:t>
      </w:r>
      <w:r>
        <w:rPr>
          <w:i/>
          <w:sz w:val="20"/>
        </w:rPr>
        <w:t>Department</w:t>
      </w:r>
      <w:r>
        <w:rPr>
          <w:i/>
          <w:spacing w:val="-6"/>
          <w:sz w:val="20"/>
        </w:rPr>
        <w:t xml:space="preserve"> </w:t>
      </w:r>
      <w:r>
        <w:rPr>
          <w:i/>
          <w:sz w:val="20"/>
        </w:rPr>
        <w:t>of</w:t>
      </w:r>
    </w:p>
    <w:p w:rsidR="00C76E6D" w:rsidRDefault="00C76E6D">
      <w:pPr>
        <w:rPr>
          <w:sz w:val="20"/>
        </w:rPr>
        <w:sectPr w:rsidR="00C76E6D">
          <w:pgSz w:w="12240" w:h="15840"/>
          <w:pgMar w:top="960" w:right="960" w:bottom="860" w:left="960" w:header="760" w:footer="679" w:gutter="0"/>
          <w:cols w:space="720"/>
        </w:sectPr>
      </w:pPr>
    </w:p>
    <w:p w:rsidR="00C76E6D" w:rsidRDefault="00C76E6D">
      <w:pPr>
        <w:pStyle w:val="BodyText"/>
        <w:rPr>
          <w:i/>
          <w:sz w:val="20"/>
        </w:rPr>
      </w:pPr>
    </w:p>
    <w:p w:rsidR="00C76E6D" w:rsidRDefault="00C76E6D">
      <w:pPr>
        <w:pStyle w:val="BodyText"/>
        <w:rPr>
          <w:i/>
          <w:sz w:val="20"/>
        </w:rPr>
      </w:pPr>
    </w:p>
    <w:p w:rsidR="00C76E6D" w:rsidRDefault="00C76E6D">
      <w:pPr>
        <w:pStyle w:val="BodyText"/>
        <w:spacing w:before="4"/>
        <w:rPr>
          <w:i/>
          <w:sz w:val="18"/>
        </w:rPr>
      </w:pPr>
    </w:p>
    <w:p w:rsidR="00C76E6D" w:rsidRDefault="00913831">
      <w:pPr>
        <w:ind w:left="480" w:right="543"/>
        <w:rPr>
          <w:sz w:val="20"/>
        </w:rPr>
      </w:pPr>
      <w:r>
        <w:rPr>
          <w:i/>
          <w:sz w:val="20"/>
        </w:rPr>
        <w:t>Education"Respect for All" Training Program.</w:t>
      </w:r>
      <w:r>
        <w:rPr>
          <w:sz w:val="20"/>
        </w:rPr>
        <w:t>; Harris Interactive, Inc. and GLSEN, “Playgrounds and Prejudice: Elementary School Climate in the United States. A Survey of Stude</w:t>
      </w:r>
      <w:r>
        <w:rPr>
          <w:sz w:val="20"/>
        </w:rPr>
        <w:t>nts and Teachers.” (New York: GLSEN, 2012), https://</w:t>
      </w:r>
      <w:hyperlink r:id="rId202">
        <w:r>
          <w:rPr>
            <w:sz w:val="20"/>
          </w:rPr>
          <w:t>www.glsen.org/sites/default/files/2020-04/Playgrounds_Prejudice.pdf;</w:t>
        </w:r>
        <w:r>
          <w:rPr>
            <w:spacing w:val="-12"/>
            <w:sz w:val="20"/>
          </w:rPr>
          <w:t xml:space="preserve"> </w:t>
        </w:r>
      </w:hyperlink>
      <w:r>
        <w:rPr>
          <w:sz w:val="20"/>
        </w:rPr>
        <w:t>Dorothy</w:t>
      </w:r>
      <w:r>
        <w:rPr>
          <w:spacing w:val="-11"/>
          <w:sz w:val="20"/>
        </w:rPr>
        <w:t xml:space="preserve"> </w:t>
      </w:r>
      <w:r>
        <w:rPr>
          <w:sz w:val="20"/>
        </w:rPr>
        <w:t>L.</w:t>
      </w:r>
      <w:r>
        <w:rPr>
          <w:spacing w:val="-11"/>
          <w:sz w:val="20"/>
        </w:rPr>
        <w:t xml:space="preserve"> </w:t>
      </w:r>
      <w:r>
        <w:rPr>
          <w:sz w:val="20"/>
        </w:rPr>
        <w:t>Espelage,</w:t>
      </w:r>
      <w:r>
        <w:rPr>
          <w:spacing w:val="-12"/>
          <w:sz w:val="20"/>
        </w:rPr>
        <w:t xml:space="preserve"> </w:t>
      </w:r>
      <w:r>
        <w:rPr>
          <w:sz w:val="20"/>
        </w:rPr>
        <w:t>Sabina</w:t>
      </w:r>
      <w:r>
        <w:rPr>
          <w:spacing w:val="-11"/>
          <w:sz w:val="20"/>
        </w:rPr>
        <w:t xml:space="preserve"> </w:t>
      </w:r>
      <w:r>
        <w:rPr>
          <w:sz w:val="20"/>
        </w:rPr>
        <w:t>K.</w:t>
      </w:r>
      <w:r>
        <w:rPr>
          <w:spacing w:val="-11"/>
          <w:sz w:val="20"/>
        </w:rPr>
        <w:t xml:space="preserve"> </w:t>
      </w:r>
      <w:r>
        <w:rPr>
          <w:sz w:val="20"/>
        </w:rPr>
        <w:t>Low, an</w:t>
      </w:r>
      <w:r>
        <w:rPr>
          <w:sz w:val="20"/>
        </w:rPr>
        <w:t xml:space="preserve">d Shane R. Jimerson, “Understanding School Climate, Aggression, Peer Victimization, and Bully Perpetration: Contemporary Science, Practice, and Policy.,” </w:t>
      </w:r>
      <w:r>
        <w:rPr>
          <w:i/>
          <w:sz w:val="20"/>
        </w:rPr>
        <w:t xml:space="preserve">School Psychology Quarterly </w:t>
      </w:r>
      <w:r>
        <w:rPr>
          <w:sz w:val="20"/>
        </w:rPr>
        <w:t xml:space="preserve">29, no. 3 (September 2014): 233–37, </w:t>
      </w:r>
      <w:r>
        <w:rPr>
          <w:spacing w:val="-2"/>
          <w:sz w:val="20"/>
        </w:rPr>
        <w:t>https://doi.org/10.1037/spq0000090.</w:t>
      </w:r>
    </w:p>
    <w:p w:rsidR="00C76E6D" w:rsidRDefault="00913831">
      <w:pPr>
        <w:spacing w:before="5" w:line="241" w:lineRule="exact"/>
        <w:ind w:left="480"/>
        <w:rPr>
          <w:sz w:val="20"/>
        </w:rPr>
      </w:pPr>
      <w:bookmarkStart w:id="243" w:name="_bookmark145"/>
      <w:bookmarkEnd w:id="243"/>
      <w:r>
        <w:rPr>
          <w:sz w:val="20"/>
          <w:vertAlign w:val="superscript"/>
        </w:rPr>
        <w:t>54</w:t>
      </w:r>
      <w:r>
        <w:rPr>
          <w:spacing w:val="-7"/>
          <w:sz w:val="20"/>
        </w:rPr>
        <w:t xml:space="preserve"> </w:t>
      </w:r>
      <w:bookmarkStart w:id="244" w:name="_bookmark146"/>
      <w:bookmarkEnd w:id="244"/>
      <w:r>
        <w:rPr>
          <w:sz w:val="20"/>
        </w:rPr>
        <w:t>Szalacha,</w:t>
      </w:r>
      <w:r>
        <w:rPr>
          <w:spacing w:val="-8"/>
          <w:sz w:val="20"/>
        </w:rPr>
        <w:t xml:space="preserve"> </w:t>
      </w:r>
      <w:r>
        <w:rPr>
          <w:sz w:val="20"/>
        </w:rPr>
        <w:t>“Educating</w:t>
      </w:r>
      <w:r>
        <w:rPr>
          <w:spacing w:val="-7"/>
          <w:sz w:val="20"/>
        </w:rPr>
        <w:t xml:space="preserve"> </w:t>
      </w:r>
      <w:r>
        <w:rPr>
          <w:sz w:val="20"/>
        </w:rPr>
        <w:t>Teachers</w:t>
      </w:r>
      <w:r>
        <w:rPr>
          <w:spacing w:val="-8"/>
          <w:sz w:val="20"/>
        </w:rPr>
        <w:t xml:space="preserve"> </w:t>
      </w:r>
      <w:r>
        <w:rPr>
          <w:sz w:val="20"/>
        </w:rPr>
        <w:t>on</w:t>
      </w:r>
      <w:r>
        <w:rPr>
          <w:spacing w:val="-8"/>
          <w:sz w:val="20"/>
        </w:rPr>
        <w:t xml:space="preserve"> </w:t>
      </w:r>
      <w:r>
        <w:rPr>
          <w:sz w:val="20"/>
        </w:rPr>
        <w:t>LGBTQ</w:t>
      </w:r>
      <w:r>
        <w:rPr>
          <w:spacing w:val="-9"/>
          <w:sz w:val="20"/>
        </w:rPr>
        <w:t xml:space="preserve"> </w:t>
      </w:r>
      <w:r>
        <w:rPr>
          <w:spacing w:val="-2"/>
          <w:sz w:val="20"/>
        </w:rPr>
        <w:t>Issues.”</w:t>
      </w:r>
    </w:p>
    <w:p w:rsidR="00C76E6D" w:rsidRDefault="00913831">
      <w:pPr>
        <w:ind w:left="480" w:right="885" w:hanging="3"/>
        <w:jc w:val="both"/>
        <w:rPr>
          <w:sz w:val="20"/>
        </w:rPr>
      </w:pPr>
      <w:r>
        <w:rPr>
          <w:sz w:val="20"/>
          <w:vertAlign w:val="superscript"/>
        </w:rPr>
        <w:t>55</w:t>
      </w:r>
      <w:r>
        <w:rPr>
          <w:spacing w:val="-6"/>
          <w:sz w:val="20"/>
        </w:rPr>
        <w:t xml:space="preserve"> </w:t>
      </w:r>
      <w:r>
        <w:rPr>
          <w:sz w:val="20"/>
        </w:rPr>
        <w:t>Swanson</w:t>
      </w:r>
      <w:r>
        <w:rPr>
          <w:spacing w:val="-6"/>
          <w:sz w:val="20"/>
        </w:rPr>
        <w:t xml:space="preserve"> </w:t>
      </w:r>
      <w:r>
        <w:rPr>
          <w:sz w:val="20"/>
        </w:rPr>
        <w:t>and</w:t>
      </w:r>
      <w:r>
        <w:rPr>
          <w:spacing w:val="-6"/>
          <w:sz w:val="20"/>
        </w:rPr>
        <w:t xml:space="preserve"> </w:t>
      </w:r>
      <w:r>
        <w:rPr>
          <w:sz w:val="20"/>
        </w:rPr>
        <w:t>Gettinger,</w:t>
      </w:r>
      <w:r>
        <w:rPr>
          <w:spacing w:val="-6"/>
          <w:sz w:val="20"/>
        </w:rPr>
        <w:t xml:space="preserve"> </w:t>
      </w:r>
      <w:r>
        <w:rPr>
          <w:sz w:val="20"/>
        </w:rPr>
        <w:t>“Teachers’</w:t>
      </w:r>
      <w:r>
        <w:rPr>
          <w:spacing w:val="-8"/>
          <w:sz w:val="20"/>
        </w:rPr>
        <w:t xml:space="preserve"> </w:t>
      </w:r>
      <w:r>
        <w:rPr>
          <w:sz w:val="20"/>
        </w:rPr>
        <w:t>Knowledge,</w:t>
      </w:r>
      <w:r>
        <w:rPr>
          <w:spacing w:val="-6"/>
          <w:sz w:val="20"/>
        </w:rPr>
        <w:t xml:space="preserve"> </w:t>
      </w:r>
      <w:r>
        <w:rPr>
          <w:sz w:val="20"/>
        </w:rPr>
        <w:t>Attitudes,</w:t>
      </w:r>
      <w:r>
        <w:rPr>
          <w:spacing w:val="-6"/>
          <w:sz w:val="20"/>
        </w:rPr>
        <w:t xml:space="preserve"> </w:t>
      </w:r>
      <w:r>
        <w:rPr>
          <w:sz w:val="20"/>
        </w:rPr>
        <w:t>and</w:t>
      </w:r>
      <w:r>
        <w:rPr>
          <w:spacing w:val="-6"/>
          <w:sz w:val="20"/>
        </w:rPr>
        <w:t xml:space="preserve"> </w:t>
      </w:r>
      <w:r>
        <w:rPr>
          <w:sz w:val="20"/>
        </w:rPr>
        <w:t>Supportive</w:t>
      </w:r>
      <w:r>
        <w:rPr>
          <w:spacing w:val="-7"/>
          <w:sz w:val="20"/>
        </w:rPr>
        <w:t xml:space="preserve"> </w:t>
      </w:r>
      <w:r>
        <w:rPr>
          <w:sz w:val="20"/>
        </w:rPr>
        <w:t>Behaviors</w:t>
      </w:r>
      <w:r>
        <w:rPr>
          <w:spacing w:val="-7"/>
          <w:sz w:val="20"/>
        </w:rPr>
        <w:t xml:space="preserve"> </w:t>
      </w:r>
      <w:r>
        <w:rPr>
          <w:sz w:val="20"/>
        </w:rPr>
        <w:t>toward</w:t>
      </w:r>
      <w:r>
        <w:rPr>
          <w:spacing w:val="-6"/>
          <w:sz w:val="20"/>
        </w:rPr>
        <w:t xml:space="preserve"> </w:t>
      </w:r>
      <w:r>
        <w:rPr>
          <w:sz w:val="20"/>
        </w:rPr>
        <w:t>LGBT</w:t>
      </w:r>
      <w:r>
        <w:rPr>
          <w:spacing w:val="-7"/>
          <w:sz w:val="20"/>
        </w:rPr>
        <w:t xml:space="preserve"> </w:t>
      </w:r>
      <w:r>
        <w:rPr>
          <w:sz w:val="20"/>
        </w:rPr>
        <w:t xml:space="preserve">Students”; Greytak, Kosciw, and Gay, </w:t>
      </w:r>
      <w:r>
        <w:rPr>
          <w:i/>
          <w:sz w:val="20"/>
        </w:rPr>
        <w:t>Year One Evaluation of the New</w:t>
      </w:r>
      <w:r>
        <w:rPr>
          <w:i/>
          <w:spacing w:val="-1"/>
          <w:sz w:val="20"/>
        </w:rPr>
        <w:t xml:space="preserve"> </w:t>
      </w:r>
      <w:r>
        <w:rPr>
          <w:i/>
          <w:sz w:val="20"/>
        </w:rPr>
        <w:t>York City Department of Education"Respect for All" Training Program.</w:t>
      </w:r>
      <w:r>
        <w:rPr>
          <w:sz w:val="20"/>
        </w:rPr>
        <w:t>; Parkhouse, Lu, and Massaro, “Multicultural Education Professional Development.”</w:t>
      </w:r>
    </w:p>
    <w:p w:rsidR="00C76E6D" w:rsidRDefault="00913831">
      <w:pPr>
        <w:spacing w:before="3" w:line="241" w:lineRule="exact"/>
        <w:ind w:left="480"/>
        <w:jc w:val="both"/>
        <w:rPr>
          <w:sz w:val="20"/>
        </w:rPr>
      </w:pPr>
      <w:bookmarkStart w:id="245" w:name="_bookmark147"/>
      <w:bookmarkEnd w:id="245"/>
      <w:r>
        <w:rPr>
          <w:sz w:val="20"/>
          <w:vertAlign w:val="superscript"/>
        </w:rPr>
        <w:t>56</w:t>
      </w:r>
      <w:r>
        <w:rPr>
          <w:spacing w:val="-7"/>
          <w:sz w:val="20"/>
        </w:rPr>
        <w:t xml:space="preserve"> </w:t>
      </w:r>
      <w:bookmarkStart w:id="246" w:name="_bookmark148"/>
      <w:bookmarkEnd w:id="246"/>
      <w:r>
        <w:rPr>
          <w:sz w:val="20"/>
        </w:rPr>
        <w:t>Szalacha,</w:t>
      </w:r>
      <w:r>
        <w:rPr>
          <w:spacing w:val="-8"/>
          <w:sz w:val="20"/>
        </w:rPr>
        <w:t xml:space="preserve"> </w:t>
      </w:r>
      <w:r>
        <w:rPr>
          <w:sz w:val="20"/>
        </w:rPr>
        <w:t>“Educating</w:t>
      </w:r>
      <w:r>
        <w:rPr>
          <w:spacing w:val="-7"/>
          <w:sz w:val="20"/>
        </w:rPr>
        <w:t xml:space="preserve"> </w:t>
      </w:r>
      <w:r>
        <w:rPr>
          <w:sz w:val="20"/>
        </w:rPr>
        <w:t>Teachers</w:t>
      </w:r>
      <w:r>
        <w:rPr>
          <w:spacing w:val="-8"/>
          <w:sz w:val="20"/>
        </w:rPr>
        <w:t xml:space="preserve"> </w:t>
      </w:r>
      <w:r>
        <w:rPr>
          <w:sz w:val="20"/>
        </w:rPr>
        <w:t>on</w:t>
      </w:r>
      <w:r>
        <w:rPr>
          <w:spacing w:val="-8"/>
          <w:sz w:val="20"/>
        </w:rPr>
        <w:t xml:space="preserve"> </w:t>
      </w:r>
      <w:r>
        <w:rPr>
          <w:sz w:val="20"/>
        </w:rPr>
        <w:t>LGBTQ</w:t>
      </w:r>
      <w:r>
        <w:rPr>
          <w:spacing w:val="-9"/>
          <w:sz w:val="20"/>
        </w:rPr>
        <w:t xml:space="preserve"> </w:t>
      </w:r>
      <w:r>
        <w:rPr>
          <w:spacing w:val="-2"/>
          <w:sz w:val="20"/>
        </w:rPr>
        <w:t>Issues.”</w:t>
      </w:r>
    </w:p>
    <w:p w:rsidR="00C76E6D" w:rsidRDefault="00913831">
      <w:pPr>
        <w:ind w:left="481" w:right="649" w:hanging="3"/>
        <w:rPr>
          <w:sz w:val="20"/>
        </w:rPr>
      </w:pPr>
      <w:r>
        <w:rPr>
          <w:sz w:val="20"/>
          <w:vertAlign w:val="superscript"/>
        </w:rPr>
        <w:t>57</w:t>
      </w:r>
      <w:r>
        <w:rPr>
          <w:spacing w:val="-5"/>
          <w:sz w:val="20"/>
        </w:rPr>
        <w:t xml:space="preserve"> </w:t>
      </w:r>
      <w:r>
        <w:rPr>
          <w:sz w:val="20"/>
        </w:rPr>
        <w:t>Harris</w:t>
      </w:r>
      <w:r>
        <w:rPr>
          <w:spacing w:val="-6"/>
          <w:sz w:val="20"/>
        </w:rPr>
        <w:t xml:space="preserve"> </w:t>
      </w:r>
      <w:r>
        <w:rPr>
          <w:sz w:val="20"/>
        </w:rPr>
        <w:t>Interactive,</w:t>
      </w:r>
      <w:r>
        <w:rPr>
          <w:spacing w:val="-5"/>
          <w:sz w:val="20"/>
        </w:rPr>
        <w:t xml:space="preserve"> </w:t>
      </w:r>
      <w:r>
        <w:rPr>
          <w:sz w:val="20"/>
        </w:rPr>
        <w:t>Inc.</w:t>
      </w:r>
      <w:r>
        <w:rPr>
          <w:spacing w:val="-7"/>
          <w:sz w:val="20"/>
        </w:rPr>
        <w:t xml:space="preserve"> </w:t>
      </w:r>
      <w:r>
        <w:rPr>
          <w:sz w:val="20"/>
        </w:rPr>
        <w:t>and</w:t>
      </w:r>
      <w:r>
        <w:rPr>
          <w:spacing w:val="-7"/>
          <w:sz w:val="20"/>
        </w:rPr>
        <w:t xml:space="preserve"> </w:t>
      </w:r>
      <w:r>
        <w:rPr>
          <w:sz w:val="20"/>
        </w:rPr>
        <w:t>GLSEN,</w:t>
      </w:r>
      <w:r>
        <w:rPr>
          <w:spacing w:val="-5"/>
          <w:sz w:val="20"/>
        </w:rPr>
        <w:t xml:space="preserve"> </w:t>
      </w:r>
      <w:r>
        <w:rPr>
          <w:sz w:val="20"/>
        </w:rPr>
        <w:t>“Playgrounds</w:t>
      </w:r>
      <w:r>
        <w:rPr>
          <w:spacing w:val="-6"/>
          <w:sz w:val="20"/>
        </w:rPr>
        <w:t xml:space="preserve"> </w:t>
      </w:r>
      <w:r>
        <w:rPr>
          <w:sz w:val="20"/>
        </w:rPr>
        <w:t>and</w:t>
      </w:r>
      <w:r>
        <w:rPr>
          <w:spacing w:val="-5"/>
          <w:sz w:val="20"/>
        </w:rPr>
        <w:t xml:space="preserve"> </w:t>
      </w:r>
      <w:r>
        <w:rPr>
          <w:sz w:val="20"/>
        </w:rPr>
        <w:t>Prejudice:</w:t>
      </w:r>
      <w:r>
        <w:rPr>
          <w:spacing w:val="-6"/>
          <w:sz w:val="20"/>
        </w:rPr>
        <w:t xml:space="preserve"> </w:t>
      </w:r>
      <w:r>
        <w:rPr>
          <w:sz w:val="20"/>
        </w:rPr>
        <w:t>Elementary</w:t>
      </w:r>
      <w:r>
        <w:rPr>
          <w:spacing w:val="-4"/>
          <w:sz w:val="20"/>
        </w:rPr>
        <w:t xml:space="preserve"> </w:t>
      </w:r>
      <w:r>
        <w:rPr>
          <w:sz w:val="20"/>
        </w:rPr>
        <w:t>School</w:t>
      </w:r>
      <w:r>
        <w:rPr>
          <w:spacing w:val="-6"/>
          <w:sz w:val="20"/>
        </w:rPr>
        <w:t xml:space="preserve"> </w:t>
      </w:r>
      <w:r>
        <w:rPr>
          <w:sz w:val="20"/>
        </w:rPr>
        <w:t>Climate</w:t>
      </w:r>
      <w:r>
        <w:rPr>
          <w:spacing w:val="-5"/>
          <w:sz w:val="20"/>
        </w:rPr>
        <w:t xml:space="preserve"> </w:t>
      </w:r>
      <w:r>
        <w:rPr>
          <w:sz w:val="20"/>
        </w:rPr>
        <w:t>in</w:t>
      </w:r>
      <w:r>
        <w:rPr>
          <w:spacing w:val="-5"/>
          <w:sz w:val="20"/>
        </w:rPr>
        <w:t xml:space="preserve"> </w:t>
      </w:r>
      <w:r>
        <w:rPr>
          <w:sz w:val="20"/>
        </w:rPr>
        <w:t>the</w:t>
      </w:r>
      <w:r>
        <w:rPr>
          <w:spacing w:val="-6"/>
          <w:sz w:val="20"/>
        </w:rPr>
        <w:t xml:space="preserve"> </w:t>
      </w:r>
      <w:r>
        <w:rPr>
          <w:sz w:val="20"/>
        </w:rPr>
        <w:t>United</w:t>
      </w:r>
      <w:r>
        <w:rPr>
          <w:spacing w:val="-5"/>
          <w:sz w:val="20"/>
        </w:rPr>
        <w:t xml:space="preserve"> </w:t>
      </w:r>
      <w:r>
        <w:rPr>
          <w:sz w:val="20"/>
        </w:rPr>
        <w:t xml:space="preserve">States. </w:t>
      </w:r>
      <w:bookmarkStart w:id="247" w:name="_bookmark149"/>
      <w:bookmarkEnd w:id="247"/>
      <w:r>
        <w:rPr>
          <w:sz w:val="20"/>
        </w:rPr>
        <w:t>A Survey of Students and Teachers.”</w:t>
      </w:r>
    </w:p>
    <w:p w:rsidR="00C76E6D" w:rsidRDefault="00913831">
      <w:pPr>
        <w:ind w:left="481" w:right="534" w:hanging="3"/>
        <w:rPr>
          <w:sz w:val="20"/>
        </w:rPr>
      </w:pPr>
      <w:r>
        <w:rPr>
          <w:sz w:val="20"/>
          <w:vertAlign w:val="superscript"/>
        </w:rPr>
        <w:t>58</w:t>
      </w:r>
      <w:r>
        <w:rPr>
          <w:spacing w:val="-5"/>
          <w:sz w:val="20"/>
        </w:rPr>
        <w:t xml:space="preserve"> </w:t>
      </w:r>
      <w:r>
        <w:rPr>
          <w:sz w:val="20"/>
        </w:rPr>
        <w:t>Szalacha,</w:t>
      </w:r>
      <w:r>
        <w:rPr>
          <w:spacing w:val="-5"/>
          <w:sz w:val="20"/>
        </w:rPr>
        <w:t xml:space="preserve"> </w:t>
      </w:r>
      <w:r>
        <w:rPr>
          <w:sz w:val="20"/>
        </w:rPr>
        <w:t>“Educating</w:t>
      </w:r>
      <w:r>
        <w:rPr>
          <w:spacing w:val="-4"/>
          <w:sz w:val="20"/>
        </w:rPr>
        <w:t xml:space="preserve"> </w:t>
      </w:r>
      <w:r>
        <w:rPr>
          <w:sz w:val="20"/>
        </w:rPr>
        <w:t>Teachers</w:t>
      </w:r>
      <w:r>
        <w:rPr>
          <w:spacing w:val="-6"/>
          <w:sz w:val="20"/>
        </w:rPr>
        <w:t xml:space="preserve"> </w:t>
      </w:r>
      <w:r>
        <w:rPr>
          <w:sz w:val="20"/>
        </w:rPr>
        <w:t>on</w:t>
      </w:r>
      <w:r>
        <w:rPr>
          <w:spacing w:val="-5"/>
          <w:sz w:val="20"/>
        </w:rPr>
        <w:t xml:space="preserve"> </w:t>
      </w:r>
      <w:r>
        <w:rPr>
          <w:sz w:val="20"/>
        </w:rPr>
        <w:t>LGBTQ</w:t>
      </w:r>
      <w:r>
        <w:rPr>
          <w:spacing w:val="-6"/>
          <w:sz w:val="20"/>
        </w:rPr>
        <w:t xml:space="preserve"> </w:t>
      </w:r>
      <w:r>
        <w:rPr>
          <w:sz w:val="20"/>
        </w:rPr>
        <w:t>Issues”;</w:t>
      </w:r>
      <w:r>
        <w:rPr>
          <w:spacing w:val="-5"/>
          <w:sz w:val="20"/>
        </w:rPr>
        <w:t xml:space="preserve"> </w:t>
      </w:r>
      <w:r>
        <w:rPr>
          <w:sz w:val="20"/>
        </w:rPr>
        <w:t>Greytak</w:t>
      </w:r>
      <w:r>
        <w:rPr>
          <w:spacing w:val="-7"/>
          <w:sz w:val="20"/>
        </w:rPr>
        <w:t xml:space="preserve"> </w:t>
      </w:r>
      <w:r>
        <w:rPr>
          <w:sz w:val="20"/>
        </w:rPr>
        <w:t>and</w:t>
      </w:r>
      <w:r>
        <w:rPr>
          <w:spacing w:val="-7"/>
          <w:sz w:val="20"/>
        </w:rPr>
        <w:t xml:space="preserve"> </w:t>
      </w:r>
      <w:r>
        <w:rPr>
          <w:sz w:val="20"/>
        </w:rPr>
        <w:t>Kosciw,</w:t>
      </w:r>
      <w:r>
        <w:rPr>
          <w:spacing w:val="-6"/>
          <w:sz w:val="20"/>
        </w:rPr>
        <w:t xml:space="preserve"> </w:t>
      </w:r>
      <w:r>
        <w:rPr>
          <w:sz w:val="20"/>
        </w:rPr>
        <w:t>“Predictors</w:t>
      </w:r>
      <w:r>
        <w:rPr>
          <w:spacing w:val="-6"/>
          <w:sz w:val="20"/>
        </w:rPr>
        <w:t xml:space="preserve"> </w:t>
      </w:r>
      <w:r>
        <w:rPr>
          <w:sz w:val="20"/>
        </w:rPr>
        <w:t>of</w:t>
      </w:r>
      <w:r>
        <w:rPr>
          <w:spacing w:val="-8"/>
          <w:sz w:val="20"/>
        </w:rPr>
        <w:t xml:space="preserve"> </w:t>
      </w:r>
      <w:r>
        <w:rPr>
          <w:sz w:val="20"/>
        </w:rPr>
        <w:t>US</w:t>
      </w:r>
      <w:r>
        <w:rPr>
          <w:spacing w:val="-5"/>
          <w:sz w:val="20"/>
        </w:rPr>
        <w:t xml:space="preserve"> </w:t>
      </w:r>
      <w:r>
        <w:rPr>
          <w:sz w:val="20"/>
        </w:rPr>
        <w:t>Teachers’</w:t>
      </w:r>
      <w:r>
        <w:rPr>
          <w:spacing w:val="-5"/>
          <w:sz w:val="20"/>
        </w:rPr>
        <w:t xml:space="preserve"> </w:t>
      </w:r>
      <w:r>
        <w:rPr>
          <w:sz w:val="20"/>
        </w:rPr>
        <w:t>Intervention</w:t>
      </w:r>
      <w:r>
        <w:rPr>
          <w:spacing w:val="-6"/>
          <w:sz w:val="20"/>
        </w:rPr>
        <w:t xml:space="preserve"> </w:t>
      </w:r>
      <w:r>
        <w:rPr>
          <w:sz w:val="20"/>
        </w:rPr>
        <w:t xml:space="preserve">in Anti-Lesbian, Gay, Bisexual, and Transgender Bullying and Harassment”; Greytak, Kosciw, and Gay, </w:t>
      </w:r>
      <w:r>
        <w:rPr>
          <w:i/>
          <w:sz w:val="20"/>
        </w:rPr>
        <w:t>Year One Evaluation of the New York City Department of Education"Respect for All" Training Program.</w:t>
      </w:r>
      <w:r>
        <w:rPr>
          <w:sz w:val="20"/>
        </w:rPr>
        <w:t>; Swanson and Gettinger, “Teachers’ Knowledge, Attitudes,</w:t>
      </w:r>
      <w:r>
        <w:rPr>
          <w:sz w:val="20"/>
        </w:rPr>
        <w:t xml:space="preserve"> and Supportive Behaviors toward LGBT Students”; Harris Interactive, Inc. and</w:t>
      </w:r>
      <w:r>
        <w:rPr>
          <w:spacing w:val="-1"/>
          <w:sz w:val="20"/>
        </w:rPr>
        <w:t xml:space="preserve"> </w:t>
      </w:r>
      <w:r>
        <w:rPr>
          <w:sz w:val="20"/>
        </w:rPr>
        <w:t>GLSEN, “Playgrounds</w:t>
      </w:r>
      <w:r>
        <w:rPr>
          <w:spacing w:val="-2"/>
          <w:sz w:val="20"/>
        </w:rPr>
        <w:t xml:space="preserve"> </w:t>
      </w:r>
      <w:r>
        <w:rPr>
          <w:sz w:val="20"/>
        </w:rPr>
        <w:t>and Prejudice:</w:t>
      </w:r>
      <w:r>
        <w:rPr>
          <w:spacing w:val="-1"/>
          <w:sz w:val="20"/>
        </w:rPr>
        <w:t xml:space="preserve"> </w:t>
      </w:r>
      <w:r>
        <w:rPr>
          <w:sz w:val="20"/>
        </w:rPr>
        <w:t>Elementary School Climate in</w:t>
      </w:r>
      <w:r>
        <w:rPr>
          <w:spacing w:val="-1"/>
          <w:sz w:val="20"/>
        </w:rPr>
        <w:t xml:space="preserve"> </w:t>
      </w:r>
      <w:r>
        <w:rPr>
          <w:sz w:val="20"/>
        </w:rPr>
        <w:t>the United</w:t>
      </w:r>
      <w:r>
        <w:rPr>
          <w:spacing w:val="-1"/>
          <w:sz w:val="20"/>
        </w:rPr>
        <w:t xml:space="preserve"> </w:t>
      </w:r>
      <w:r>
        <w:rPr>
          <w:sz w:val="20"/>
        </w:rPr>
        <w:t>States. A</w:t>
      </w:r>
      <w:r>
        <w:rPr>
          <w:spacing w:val="-1"/>
          <w:sz w:val="20"/>
        </w:rPr>
        <w:t xml:space="preserve"> </w:t>
      </w:r>
      <w:r>
        <w:rPr>
          <w:sz w:val="20"/>
        </w:rPr>
        <w:t>Survey</w:t>
      </w:r>
      <w:r>
        <w:rPr>
          <w:spacing w:val="-1"/>
          <w:sz w:val="20"/>
        </w:rPr>
        <w:t xml:space="preserve"> </w:t>
      </w:r>
      <w:r>
        <w:rPr>
          <w:sz w:val="20"/>
        </w:rPr>
        <w:t>of Students and Teachers.”</w:t>
      </w:r>
    </w:p>
    <w:p w:rsidR="00C76E6D" w:rsidRDefault="00913831">
      <w:pPr>
        <w:ind w:left="480" w:right="530" w:hanging="3"/>
        <w:rPr>
          <w:sz w:val="20"/>
        </w:rPr>
      </w:pPr>
      <w:bookmarkStart w:id="248" w:name="_bookmark150"/>
      <w:bookmarkEnd w:id="248"/>
      <w:r>
        <w:rPr>
          <w:sz w:val="20"/>
          <w:vertAlign w:val="superscript"/>
        </w:rPr>
        <w:t>59</w:t>
      </w:r>
      <w:r>
        <w:rPr>
          <w:spacing w:val="-4"/>
          <w:sz w:val="20"/>
        </w:rPr>
        <w:t xml:space="preserve"> </w:t>
      </w:r>
      <w:r>
        <w:rPr>
          <w:sz w:val="20"/>
        </w:rPr>
        <w:t>Greytak,</w:t>
      </w:r>
      <w:r>
        <w:rPr>
          <w:spacing w:val="-4"/>
          <w:sz w:val="20"/>
        </w:rPr>
        <w:t xml:space="preserve"> </w:t>
      </w:r>
      <w:r>
        <w:rPr>
          <w:sz w:val="20"/>
        </w:rPr>
        <w:t>Kosciw,</w:t>
      </w:r>
      <w:r>
        <w:rPr>
          <w:spacing w:val="-4"/>
          <w:sz w:val="20"/>
        </w:rPr>
        <w:t xml:space="preserve"> </w:t>
      </w:r>
      <w:r>
        <w:rPr>
          <w:sz w:val="20"/>
        </w:rPr>
        <w:t>and</w:t>
      </w:r>
      <w:r>
        <w:rPr>
          <w:spacing w:val="-4"/>
          <w:sz w:val="20"/>
        </w:rPr>
        <w:t xml:space="preserve"> </w:t>
      </w:r>
      <w:r>
        <w:rPr>
          <w:sz w:val="20"/>
        </w:rPr>
        <w:t>Gay,</w:t>
      </w:r>
      <w:r>
        <w:rPr>
          <w:spacing w:val="-4"/>
          <w:sz w:val="20"/>
        </w:rPr>
        <w:t xml:space="preserve"> </w:t>
      </w:r>
      <w:r>
        <w:rPr>
          <w:i/>
          <w:sz w:val="20"/>
        </w:rPr>
        <w:t>Year</w:t>
      </w:r>
      <w:r>
        <w:rPr>
          <w:i/>
          <w:spacing w:val="-5"/>
          <w:sz w:val="20"/>
        </w:rPr>
        <w:t xml:space="preserve"> </w:t>
      </w:r>
      <w:r>
        <w:rPr>
          <w:i/>
          <w:sz w:val="20"/>
        </w:rPr>
        <w:t>One</w:t>
      </w:r>
      <w:r>
        <w:rPr>
          <w:i/>
          <w:spacing w:val="-6"/>
          <w:sz w:val="20"/>
        </w:rPr>
        <w:t xml:space="preserve"> </w:t>
      </w:r>
      <w:r>
        <w:rPr>
          <w:i/>
          <w:sz w:val="20"/>
        </w:rPr>
        <w:t>Evaluation</w:t>
      </w:r>
      <w:r>
        <w:rPr>
          <w:i/>
          <w:spacing w:val="-4"/>
          <w:sz w:val="20"/>
        </w:rPr>
        <w:t xml:space="preserve"> </w:t>
      </w:r>
      <w:r>
        <w:rPr>
          <w:i/>
          <w:sz w:val="20"/>
        </w:rPr>
        <w:t>of</w:t>
      </w:r>
      <w:r>
        <w:rPr>
          <w:i/>
          <w:spacing w:val="-6"/>
          <w:sz w:val="20"/>
        </w:rPr>
        <w:t xml:space="preserve"> </w:t>
      </w:r>
      <w:r>
        <w:rPr>
          <w:i/>
          <w:sz w:val="20"/>
        </w:rPr>
        <w:t>the</w:t>
      </w:r>
      <w:r>
        <w:rPr>
          <w:i/>
          <w:spacing w:val="-5"/>
          <w:sz w:val="20"/>
        </w:rPr>
        <w:t xml:space="preserve"> </w:t>
      </w:r>
      <w:r>
        <w:rPr>
          <w:i/>
          <w:sz w:val="20"/>
        </w:rPr>
        <w:t>New</w:t>
      </w:r>
      <w:r>
        <w:rPr>
          <w:i/>
          <w:spacing w:val="-6"/>
          <w:sz w:val="20"/>
        </w:rPr>
        <w:t xml:space="preserve"> </w:t>
      </w:r>
      <w:r>
        <w:rPr>
          <w:i/>
          <w:sz w:val="20"/>
        </w:rPr>
        <w:t>York</w:t>
      </w:r>
      <w:r>
        <w:rPr>
          <w:i/>
          <w:spacing w:val="-4"/>
          <w:sz w:val="20"/>
        </w:rPr>
        <w:t xml:space="preserve"> </w:t>
      </w:r>
      <w:r>
        <w:rPr>
          <w:i/>
          <w:sz w:val="20"/>
        </w:rPr>
        <w:t>City</w:t>
      </w:r>
      <w:r>
        <w:rPr>
          <w:i/>
          <w:spacing w:val="-5"/>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Education"Respect</w:t>
      </w:r>
      <w:r>
        <w:rPr>
          <w:i/>
          <w:spacing w:val="-5"/>
          <w:sz w:val="20"/>
        </w:rPr>
        <w:t xml:space="preserve"> </w:t>
      </w:r>
      <w:r>
        <w:rPr>
          <w:i/>
          <w:sz w:val="20"/>
        </w:rPr>
        <w:t>for</w:t>
      </w:r>
      <w:r>
        <w:rPr>
          <w:i/>
          <w:spacing w:val="-5"/>
          <w:sz w:val="20"/>
        </w:rPr>
        <w:t xml:space="preserve"> </w:t>
      </w:r>
      <w:r>
        <w:rPr>
          <w:i/>
          <w:sz w:val="20"/>
        </w:rPr>
        <w:t>All" Training Program.</w:t>
      </w:r>
      <w:r>
        <w:rPr>
          <w:sz w:val="20"/>
        </w:rPr>
        <w:t xml:space="preserve">; McGravey, </w:t>
      </w:r>
      <w:r>
        <w:rPr>
          <w:i/>
          <w:sz w:val="20"/>
        </w:rPr>
        <w:t xml:space="preserve">Measuring the Effectiveness of a Professional Development Workshop on Awareness, Knowledge, and Skills of Mental Health Professionals in Working with Lesbian, Gay, Bisexual, </w:t>
      </w:r>
      <w:bookmarkStart w:id="249" w:name="_bookmark151"/>
      <w:bookmarkEnd w:id="249"/>
      <w:r>
        <w:rPr>
          <w:i/>
          <w:sz w:val="20"/>
        </w:rPr>
        <w:t>T</w:t>
      </w:r>
      <w:r>
        <w:rPr>
          <w:i/>
          <w:sz w:val="20"/>
        </w:rPr>
        <w:t>ransgender, and Questioning (LGBTQ) Youth</w:t>
      </w:r>
      <w:r>
        <w:rPr>
          <w:sz w:val="20"/>
        </w:rPr>
        <w:t>.</w:t>
      </w:r>
    </w:p>
    <w:p w:rsidR="00C76E6D" w:rsidRDefault="00913831">
      <w:pPr>
        <w:ind w:left="480" w:right="530" w:hanging="2"/>
        <w:rPr>
          <w:sz w:val="20"/>
        </w:rPr>
      </w:pPr>
      <w:r>
        <w:rPr>
          <w:sz w:val="20"/>
          <w:vertAlign w:val="superscript"/>
        </w:rPr>
        <w:t>60</w:t>
      </w:r>
      <w:r>
        <w:rPr>
          <w:sz w:val="20"/>
        </w:rPr>
        <w:t xml:space="preserve"> Payne and Smith, “Safety,</w:t>
      </w:r>
      <w:r>
        <w:rPr>
          <w:spacing w:val="-1"/>
          <w:sz w:val="20"/>
        </w:rPr>
        <w:t xml:space="preserve"> </w:t>
      </w:r>
      <w:r>
        <w:rPr>
          <w:sz w:val="20"/>
        </w:rPr>
        <w:t>Celebration, and Risk”; Marx, Roberts, and Nixon, “When</w:t>
      </w:r>
      <w:r>
        <w:rPr>
          <w:spacing w:val="-1"/>
          <w:sz w:val="20"/>
        </w:rPr>
        <w:t xml:space="preserve"> </w:t>
      </w:r>
      <w:r>
        <w:rPr>
          <w:sz w:val="20"/>
        </w:rPr>
        <w:t>Care and Concern Are Not Enough”;</w:t>
      </w:r>
      <w:r>
        <w:rPr>
          <w:spacing w:val="-7"/>
          <w:sz w:val="20"/>
        </w:rPr>
        <w:t xml:space="preserve"> </w:t>
      </w:r>
      <w:r>
        <w:rPr>
          <w:sz w:val="20"/>
        </w:rPr>
        <w:t>Pennell,</w:t>
      </w:r>
      <w:r>
        <w:rPr>
          <w:spacing w:val="-6"/>
          <w:sz w:val="20"/>
        </w:rPr>
        <w:t xml:space="preserve"> </w:t>
      </w:r>
      <w:r>
        <w:rPr>
          <w:sz w:val="20"/>
        </w:rPr>
        <w:t>“Training</w:t>
      </w:r>
      <w:r>
        <w:rPr>
          <w:spacing w:val="-7"/>
          <w:sz w:val="20"/>
        </w:rPr>
        <w:t xml:space="preserve"> </w:t>
      </w:r>
      <w:r>
        <w:rPr>
          <w:sz w:val="20"/>
        </w:rPr>
        <w:t>Secondary</w:t>
      </w:r>
      <w:r>
        <w:rPr>
          <w:spacing w:val="-7"/>
          <w:sz w:val="20"/>
        </w:rPr>
        <w:t xml:space="preserve"> </w:t>
      </w:r>
      <w:r>
        <w:rPr>
          <w:sz w:val="20"/>
        </w:rPr>
        <w:t>Teachers</w:t>
      </w:r>
      <w:r>
        <w:rPr>
          <w:spacing w:val="-7"/>
          <w:sz w:val="20"/>
        </w:rPr>
        <w:t xml:space="preserve"> </w:t>
      </w:r>
      <w:r>
        <w:rPr>
          <w:sz w:val="20"/>
        </w:rPr>
        <w:t>to</w:t>
      </w:r>
      <w:r>
        <w:rPr>
          <w:spacing w:val="-7"/>
          <w:sz w:val="20"/>
        </w:rPr>
        <w:t xml:space="preserve"> </w:t>
      </w:r>
      <w:r>
        <w:rPr>
          <w:sz w:val="20"/>
        </w:rPr>
        <w:t>Support</w:t>
      </w:r>
      <w:r>
        <w:rPr>
          <w:spacing w:val="-6"/>
          <w:sz w:val="20"/>
        </w:rPr>
        <w:t xml:space="preserve"> </w:t>
      </w:r>
      <w:r>
        <w:rPr>
          <w:sz w:val="20"/>
        </w:rPr>
        <w:t>LGBTQ+</w:t>
      </w:r>
      <w:r>
        <w:rPr>
          <w:spacing w:val="-7"/>
          <w:sz w:val="20"/>
        </w:rPr>
        <w:t xml:space="preserve"> </w:t>
      </w:r>
      <w:r>
        <w:rPr>
          <w:sz w:val="20"/>
        </w:rPr>
        <w:t>Students”;</w:t>
      </w:r>
      <w:r>
        <w:rPr>
          <w:spacing w:val="-7"/>
          <w:sz w:val="20"/>
        </w:rPr>
        <w:t xml:space="preserve"> </w:t>
      </w:r>
      <w:r>
        <w:rPr>
          <w:sz w:val="20"/>
        </w:rPr>
        <w:t>Elizabethe</w:t>
      </w:r>
      <w:r>
        <w:rPr>
          <w:spacing w:val="-7"/>
          <w:sz w:val="20"/>
        </w:rPr>
        <w:t xml:space="preserve"> </w:t>
      </w:r>
      <w:r>
        <w:rPr>
          <w:sz w:val="20"/>
        </w:rPr>
        <w:t>C.</w:t>
      </w:r>
      <w:r>
        <w:rPr>
          <w:spacing w:val="-7"/>
          <w:sz w:val="20"/>
        </w:rPr>
        <w:t xml:space="preserve"> </w:t>
      </w:r>
      <w:r>
        <w:rPr>
          <w:sz w:val="20"/>
        </w:rPr>
        <w:t>Payne</w:t>
      </w:r>
      <w:r>
        <w:rPr>
          <w:spacing w:val="-8"/>
          <w:sz w:val="20"/>
        </w:rPr>
        <w:t xml:space="preserve"> </w:t>
      </w:r>
      <w:r>
        <w:rPr>
          <w:sz w:val="20"/>
        </w:rPr>
        <w:t>and</w:t>
      </w:r>
      <w:r>
        <w:rPr>
          <w:spacing w:val="-6"/>
          <w:sz w:val="20"/>
        </w:rPr>
        <w:t xml:space="preserve"> </w:t>
      </w:r>
      <w:r>
        <w:rPr>
          <w:sz w:val="20"/>
        </w:rPr>
        <w:t>Mel</w:t>
      </w:r>
      <w:r>
        <w:rPr>
          <w:sz w:val="20"/>
        </w:rPr>
        <w:t>issa</w:t>
      </w:r>
      <w:r>
        <w:rPr>
          <w:spacing w:val="-6"/>
          <w:sz w:val="20"/>
        </w:rPr>
        <w:t xml:space="preserve"> </w:t>
      </w:r>
      <w:r>
        <w:rPr>
          <w:sz w:val="20"/>
        </w:rPr>
        <w:t xml:space="preserve">J. Smith, “Refusing Relevance: School Administrator Resistance to Offering Professional Development Addressing LGBTQ Issues in Schools,” </w:t>
      </w:r>
      <w:r>
        <w:rPr>
          <w:i/>
          <w:sz w:val="20"/>
        </w:rPr>
        <w:t xml:space="preserve">Educational Administration Quarterly </w:t>
      </w:r>
      <w:r>
        <w:rPr>
          <w:sz w:val="20"/>
        </w:rPr>
        <w:t xml:space="preserve">54, no. 2 (April 2018): 183–215, </w:t>
      </w:r>
      <w:r>
        <w:rPr>
          <w:spacing w:val="-2"/>
          <w:sz w:val="20"/>
        </w:rPr>
        <w:t>https://doi.org/10.1177/0013161X17723426.</w:t>
      </w:r>
    </w:p>
    <w:p w:rsidR="00C76E6D" w:rsidRDefault="00913831">
      <w:pPr>
        <w:ind w:left="481" w:right="530" w:hanging="3"/>
        <w:rPr>
          <w:sz w:val="20"/>
        </w:rPr>
      </w:pPr>
      <w:bookmarkStart w:id="250" w:name="_bookmark152"/>
      <w:bookmarkEnd w:id="250"/>
      <w:r>
        <w:rPr>
          <w:sz w:val="20"/>
          <w:vertAlign w:val="superscript"/>
        </w:rPr>
        <w:t>61</w:t>
      </w:r>
      <w:r>
        <w:rPr>
          <w:spacing w:val="-4"/>
          <w:sz w:val="20"/>
        </w:rPr>
        <w:t xml:space="preserve"> </w:t>
      </w:r>
      <w:r>
        <w:rPr>
          <w:sz w:val="20"/>
        </w:rPr>
        <w:t>Marx,</w:t>
      </w:r>
      <w:r>
        <w:rPr>
          <w:spacing w:val="-5"/>
          <w:sz w:val="20"/>
        </w:rPr>
        <w:t xml:space="preserve"> </w:t>
      </w:r>
      <w:r>
        <w:rPr>
          <w:sz w:val="20"/>
        </w:rPr>
        <w:t>Roberts,</w:t>
      </w:r>
      <w:r>
        <w:rPr>
          <w:spacing w:val="-4"/>
          <w:sz w:val="20"/>
        </w:rPr>
        <w:t xml:space="preserve"> </w:t>
      </w:r>
      <w:r>
        <w:rPr>
          <w:sz w:val="20"/>
        </w:rPr>
        <w:t>and</w:t>
      </w:r>
      <w:r>
        <w:rPr>
          <w:spacing w:val="-7"/>
          <w:sz w:val="20"/>
        </w:rPr>
        <w:t xml:space="preserve"> </w:t>
      </w:r>
      <w:r>
        <w:rPr>
          <w:sz w:val="20"/>
        </w:rPr>
        <w:t>Nixon,</w:t>
      </w:r>
      <w:r>
        <w:rPr>
          <w:spacing w:val="-6"/>
          <w:sz w:val="20"/>
        </w:rPr>
        <w:t xml:space="preserve"> </w:t>
      </w:r>
      <w:r>
        <w:rPr>
          <w:sz w:val="20"/>
        </w:rPr>
        <w:t>“When</w:t>
      </w:r>
      <w:r>
        <w:rPr>
          <w:spacing w:val="-4"/>
          <w:sz w:val="20"/>
        </w:rPr>
        <w:t xml:space="preserve"> </w:t>
      </w:r>
      <w:r>
        <w:rPr>
          <w:sz w:val="20"/>
        </w:rPr>
        <w:t>Care</w:t>
      </w:r>
      <w:r>
        <w:rPr>
          <w:spacing w:val="-6"/>
          <w:sz w:val="20"/>
        </w:rPr>
        <w:t xml:space="preserve"> </w:t>
      </w:r>
      <w:r>
        <w:rPr>
          <w:sz w:val="20"/>
        </w:rPr>
        <w:t>and</w:t>
      </w:r>
      <w:r>
        <w:rPr>
          <w:spacing w:val="-4"/>
          <w:sz w:val="20"/>
        </w:rPr>
        <w:t xml:space="preserve"> </w:t>
      </w:r>
      <w:r>
        <w:rPr>
          <w:sz w:val="20"/>
        </w:rPr>
        <w:t>Concern</w:t>
      </w:r>
      <w:r>
        <w:rPr>
          <w:spacing w:val="-7"/>
          <w:sz w:val="20"/>
        </w:rPr>
        <w:t xml:space="preserve"> </w:t>
      </w:r>
      <w:r>
        <w:rPr>
          <w:sz w:val="20"/>
        </w:rPr>
        <w:t>Are</w:t>
      </w:r>
      <w:r>
        <w:rPr>
          <w:spacing w:val="-7"/>
          <w:sz w:val="20"/>
        </w:rPr>
        <w:t xml:space="preserve"> </w:t>
      </w:r>
      <w:r>
        <w:rPr>
          <w:sz w:val="20"/>
        </w:rPr>
        <w:t>Not</w:t>
      </w:r>
      <w:r>
        <w:rPr>
          <w:spacing w:val="-7"/>
          <w:sz w:val="20"/>
        </w:rPr>
        <w:t xml:space="preserve"> </w:t>
      </w:r>
      <w:r>
        <w:rPr>
          <w:sz w:val="20"/>
        </w:rPr>
        <w:t>Enough”;</w:t>
      </w:r>
      <w:r>
        <w:rPr>
          <w:spacing w:val="-5"/>
          <w:sz w:val="20"/>
        </w:rPr>
        <w:t xml:space="preserve"> </w:t>
      </w:r>
      <w:r>
        <w:rPr>
          <w:sz w:val="20"/>
        </w:rPr>
        <w:t>Pennell,</w:t>
      </w:r>
      <w:r>
        <w:rPr>
          <w:spacing w:val="-4"/>
          <w:sz w:val="20"/>
        </w:rPr>
        <w:t xml:space="preserve"> </w:t>
      </w:r>
      <w:r>
        <w:rPr>
          <w:sz w:val="20"/>
        </w:rPr>
        <w:t>“Training</w:t>
      </w:r>
      <w:r>
        <w:rPr>
          <w:spacing w:val="-5"/>
          <w:sz w:val="20"/>
        </w:rPr>
        <w:t xml:space="preserve"> </w:t>
      </w:r>
      <w:r>
        <w:rPr>
          <w:sz w:val="20"/>
        </w:rPr>
        <w:t>Secondary</w:t>
      </w:r>
      <w:r>
        <w:rPr>
          <w:spacing w:val="-5"/>
          <w:sz w:val="20"/>
        </w:rPr>
        <w:t xml:space="preserve"> </w:t>
      </w:r>
      <w:r>
        <w:rPr>
          <w:sz w:val="20"/>
        </w:rPr>
        <w:t>Teachers</w:t>
      </w:r>
      <w:r>
        <w:rPr>
          <w:spacing w:val="-5"/>
          <w:sz w:val="20"/>
        </w:rPr>
        <w:t xml:space="preserve"> </w:t>
      </w:r>
      <w:r>
        <w:rPr>
          <w:sz w:val="20"/>
        </w:rPr>
        <w:t>to Support LGBTQ+ Students.”</w:t>
      </w:r>
    </w:p>
    <w:p w:rsidR="00C76E6D" w:rsidRDefault="00913831">
      <w:pPr>
        <w:ind w:left="481" w:right="649" w:hanging="3"/>
        <w:rPr>
          <w:sz w:val="20"/>
        </w:rPr>
      </w:pPr>
      <w:bookmarkStart w:id="251" w:name="_bookmark153"/>
      <w:bookmarkEnd w:id="251"/>
      <w:r>
        <w:rPr>
          <w:sz w:val="20"/>
          <w:vertAlign w:val="superscript"/>
        </w:rPr>
        <w:t>62</w:t>
      </w:r>
      <w:r>
        <w:rPr>
          <w:spacing w:val="-5"/>
          <w:sz w:val="20"/>
        </w:rPr>
        <w:t xml:space="preserve"> </w:t>
      </w:r>
      <w:r>
        <w:rPr>
          <w:sz w:val="20"/>
        </w:rPr>
        <w:t>Harris</w:t>
      </w:r>
      <w:r>
        <w:rPr>
          <w:spacing w:val="-6"/>
          <w:sz w:val="20"/>
        </w:rPr>
        <w:t xml:space="preserve"> </w:t>
      </w:r>
      <w:r>
        <w:rPr>
          <w:sz w:val="20"/>
        </w:rPr>
        <w:t>Interactive,</w:t>
      </w:r>
      <w:r>
        <w:rPr>
          <w:spacing w:val="-5"/>
          <w:sz w:val="20"/>
        </w:rPr>
        <w:t xml:space="preserve"> </w:t>
      </w:r>
      <w:r>
        <w:rPr>
          <w:sz w:val="20"/>
        </w:rPr>
        <w:t>Inc.</w:t>
      </w:r>
      <w:r>
        <w:rPr>
          <w:spacing w:val="-7"/>
          <w:sz w:val="20"/>
        </w:rPr>
        <w:t xml:space="preserve"> </w:t>
      </w:r>
      <w:r>
        <w:rPr>
          <w:sz w:val="20"/>
        </w:rPr>
        <w:t>and</w:t>
      </w:r>
      <w:r>
        <w:rPr>
          <w:spacing w:val="-7"/>
          <w:sz w:val="20"/>
        </w:rPr>
        <w:t xml:space="preserve"> </w:t>
      </w:r>
      <w:r>
        <w:rPr>
          <w:sz w:val="20"/>
        </w:rPr>
        <w:t>GLSEN,</w:t>
      </w:r>
      <w:r>
        <w:rPr>
          <w:spacing w:val="-5"/>
          <w:sz w:val="20"/>
        </w:rPr>
        <w:t xml:space="preserve"> </w:t>
      </w:r>
      <w:r>
        <w:rPr>
          <w:sz w:val="20"/>
        </w:rPr>
        <w:t>“Playgrounds</w:t>
      </w:r>
      <w:r>
        <w:rPr>
          <w:spacing w:val="-6"/>
          <w:sz w:val="20"/>
        </w:rPr>
        <w:t xml:space="preserve"> </w:t>
      </w:r>
      <w:r>
        <w:rPr>
          <w:sz w:val="20"/>
        </w:rPr>
        <w:t>and</w:t>
      </w:r>
      <w:r>
        <w:rPr>
          <w:spacing w:val="-5"/>
          <w:sz w:val="20"/>
        </w:rPr>
        <w:t xml:space="preserve"> </w:t>
      </w:r>
      <w:r>
        <w:rPr>
          <w:sz w:val="20"/>
        </w:rPr>
        <w:t>Prejudice:</w:t>
      </w:r>
      <w:r>
        <w:rPr>
          <w:spacing w:val="-6"/>
          <w:sz w:val="20"/>
        </w:rPr>
        <w:t xml:space="preserve"> </w:t>
      </w:r>
      <w:r>
        <w:rPr>
          <w:sz w:val="20"/>
        </w:rPr>
        <w:t>Elementary</w:t>
      </w:r>
      <w:r>
        <w:rPr>
          <w:spacing w:val="-4"/>
          <w:sz w:val="20"/>
        </w:rPr>
        <w:t xml:space="preserve"> </w:t>
      </w:r>
      <w:r>
        <w:rPr>
          <w:sz w:val="20"/>
        </w:rPr>
        <w:t>School</w:t>
      </w:r>
      <w:r>
        <w:rPr>
          <w:spacing w:val="-6"/>
          <w:sz w:val="20"/>
        </w:rPr>
        <w:t xml:space="preserve"> </w:t>
      </w:r>
      <w:r>
        <w:rPr>
          <w:sz w:val="20"/>
        </w:rPr>
        <w:t>Climate</w:t>
      </w:r>
      <w:r>
        <w:rPr>
          <w:spacing w:val="-5"/>
          <w:sz w:val="20"/>
        </w:rPr>
        <w:t xml:space="preserve"> </w:t>
      </w:r>
      <w:r>
        <w:rPr>
          <w:sz w:val="20"/>
        </w:rPr>
        <w:t>in</w:t>
      </w:r>
      <w:r>
        <w:rPr>
          <w:spacing w:val="-5"/>
          <w:sz w:val="20"/>
        </w:rPr>
        <w:t xml:space="preserve"> </w:t>
      </w:r>
      <w:r>
        <w:rPr>
          <w:sz w:val="20"/>
        </w:rPr>
        <w:t>the</w:t>
      </w:r>
      <w:r>
        <w:rPr>
          <w:spacing w:val="-6"/>
          <w:sz w:val="20"/>
        </w:rPr>
        <w:t xml:space="preserve"> </w:t>
      </w:r>
      <w:r>
        <w:rPr>
          <w:sz w:val="20"/>
        </w:rPr>
        <w:t>United</w:t>
      </w:r>
      <w:r>
        <w:rPr>
          <w:spacing w:val="-5"/>
          <w:sz w:val="20"/>
        </w:rPr>
        <w:t xml:space="preserve"> </w:t>
      </w:r>
      <w:r>
        <w:rPr>
          <w:sz w:val="20"/>
        </w:rPr>
        <w:t xml:space="preserve">States. </w:t>
      </w:r>
      <w:bookmarkStart w:id="252" w:name="_bookmark154"/>
      <w:bookmarkEnd w:id="252"/>
      <w:r>
        <w:rPr>
          <w:sz w:val="20"/>
        </w:rPr>
        <w:t>A</w:t>
      </w:r>
      <w:r>
        <w:rPr>
          <w:sz w:val="20"/>
        </w:rPr>
        <w:t xml:space="preserve"> Survey of Students and Teachers.”</w:t>
      </w:r>
    </w:p>
    <w:p w:rsidR="00C76E6D" w:rsidRDefault="00913831">
      <w:pPr>
        <w:spacing w:line="244" w:lineRule="exact"/>
        <w:ind w:left="480"/>
        <w:rPr>
          <w:sz w:val="20"/>
        </w:rPr>
      </w:pPr>
      <w:r>
        <w:rPr>
          <w:sz w:val="20"/>
          <w:vertAlign w:val="superscript"/>
        </w:rPr>
        <w:t>63</w:t>
      </w:r>
      <w:r>
        <w:rPr>
          <w:spacing w:val="-9"/>
          <w:sz w:val="20"/>
        </w:rPr>
        <w:t xml:space="preserve"> </w:t>
      </w:r>
      <w:r>
        <w:rPr>
          <w:sz w:val="20"/>
        </w:rPr>
        <w:t>Parkhouse,</w:t>
      </w:r>
      <w:r>
        <w:rPr>
          <w:spacing w:val="-8"/>
          <w:sz w:val="20"/>
        </w:rPr>
        <w:t xml:space="preserve"> </w:t>
      </w:r>
      <w:r>
        <w:rPr>
          <w:sz w:val="20"/>
        </w:rPr>
        <w:t>Lu,</w:t>
      </w:r>
      <w:r>
        <w:rPr>
          <w:spacing w:val="-11"/>
          <w:sz w:val="20"/>
        </w:rPr>
        <w:t xml:space="preserve"> </w:t>
      </w:r>
      <w:r>
        <w:rPr>
          <w:sz w:val="20"/>
        </w:rPr>
        <w:t>and</w:t>
      </w:r>
      <w:r>
        <w:rPr>
          <w:spacing w:val="-10"/>
          <w:sz w:val="20"/>
        </w:rPr>
        <w:t xml:space="preserve"> </w:t>
      </w:r>
      <w:r>
        <w:rPr>
          <w:sz w:val="20"/>
        </w:rPr>
        <w:t>Massaro,</w:t>
      </w:r>
      <w:r>
        <w:rPr>
          <w:spacing w:val="-9"/>
          <w:sz w:val="20"/>
        </w:rPr>
        <w:t xml:space="preserve"> </w:t>
      </w:r>
      <w:r>
        <w:rPr>
          <w:sz w:val="20"/>
        </w:rPr>
        <w:t>“Multicultural</w:t>
      </w:r>
      <w:r>
        <w:rPr>
          <w:spacing w:val="-10"/>
          <w:sz w:val="20"/>
        </w:rPr>
        <w:t xml:space="preserve"> </w:t>
      </w:r>
      <w:r>
        <w:rPr>
          <w:sz w:val="20"/>
        </w:rPr>
        <w:t>Education</w:t>
      </w:r>
      <w:r>
        <w:rPr>
          <w:spacing w:val="-10"/>
          <w:sz w:val="20"/>
        </w:rPr>
        <w:t xml:space="preserve"> </w:t>
      </w:r>
      <w:r>
        <w:rPr>
          <w:sz w:val="20"/>
        </w:rPr>
        <w:t>Professional</w:t>
      </w:r>
      <w:r>
        <w:rPr>
          <w:spacing w:val="-10"/>
          <w:sz w:val="20"/>
        </w:rPr>
        <w:t xml:space="preserve"> </w:t>
      </w:r>
      <w:r>
        <w:rPr>
          <w:spacing w:val="-2"/>
          <w:sz w:val="20"/>
        </w:rPr>
        <w:t>Development.”</w:t>
      </w:r>
    </w:p>
    <w:p w:rsidR="00C76E6D" w:rsidRDefault="00913831">
      <w:pPr>
        <w:ind w:left="479" w:right="437" w:hanging="2"/>
        <w:rPr>
          <w:sz w:val="20"/>
        </w:rPr>
      </w:pPr>
      <w:bookmarkStart w:id="253" w:name="_bookmark155"/>
      <w:bookmarkEnd w:id="253"/>
      <w:r>
        <w:rPr>
          <w:sz w:val="20"/>
          <w:vertAlign w:val="superscript"/>
        </w:rPr>
        <w:t>64</w:t>
      </w:r>
      <w:r>
        <w:rPr>
          <w:spacing w:val="-4"/>
          <w:sz w:val="20"/>
        </w:rPr>
        <w:t xml:space="preserve"> </w:t>
      </w:r>
      <w:r>
        <w:rPr>
          <w:sz w:val="20"/>
        </w:rPr>
        <w:t>Marx,</w:t>
      </w:r>
      <w:r>
        <w:rPr>
          <w:spacing w:val="-5"/>
          <w:sz w:val="20"/>
        </w:rPr>
        <w:t xml:space="preserve"> </w:t>
      </w:r>
      <w:r>
        <w:rPr>
          <w:sz w:val="20"/>
        </w:rPr>
        <w:t>Roberts,</w:t>
      </w:r>
      <w:r>
        <w:rPr>
          <w:spacing w:val="-4"/>
          <w:sz w:val="20"/>
        </w:rPr>
        <w:t xml:space="preserve"> </w:t>
      </w:r>
      <w:r>
        <w:rPr>
          <w:sz w:val="20"/>
        </w:rPr>
        <w:t>and</w:t>
      </w:r>
      <w:r>
        <w:rPr>
          <w:spacing w:val="-7"/>
          <w:sz w:val="20"/>
        </w:rPr>
        <w:t xml:space="preserve"> </w:t>
      </w:r>
      <w:r>
        <w:rPr>
          <w:sz w:val="20"/>
        </w:rPr>
        <w:t>Nixon,</w:t>
      </w:r>
      <w:r>
        <w:rPr>
          <w:spacing w:val="-6"/>
          <w:sz w:val="20"/>
        </w:rPr>
        <w:t xml:space="preserve"> </w:t>
      </w:r>
      <w:r>
        <w:rPr>
          <w:sz w:val="20"/>
        </w:rPr>
        <w:t>“When</w:t>
      </w:r>
      <w:r>
        <w:rPr>
          <w:spacing w:val="-4"/>
          <w:sz w:val="20"/>
        </w:rPr>
        <w:t xml:space="preserve"> </w:t>
      </w:r>
      <w:r>
        <w:rPr>
          <w:sz w:val="20"/>
        </w:rPr>
        <w:t>Care</w:t>
      </w:r>
      <w:r>
        <w:rPr>
          <w:spacing w:val="-6"/>
          <w:sz w:val="20"/>
        </w:rPr>
        <w:t xml:space="preserve"> </w:t>
      </w:r>
      <w:r>
        <w:rPr>
          <w:sz w:val="20"/>
        </w:rPr>
        <w:t>and</w:t>
      </w:r>
      <w:r>
        <w:rPr>
          <w:spacing w:val="-4"/>
          <w:sz w:val="20"/>
        </w:rPr>
        <w:t xml:space="preserve"> </w:t>
      </w:r>
      <w:r>
        <w:rPr>
          <w:sz w:val="20"/>
        </w:rPr>
        <w:t>Concern</w:t>
      </w:r>
      <w:r>
        <w:rPr>
          <w:spacing w:val="-7"/>
          <w:sz w:val="20"/>
        </w:rPr>
        <w:t xml:space="preserve"> </w:t>
      </w:r>
      <w:r>
        <w:rPr>
          <w:sz w:val="20"/>
        </w:rPr>
        <w:t>Are</w:t>
      </w:r>
      <w:r>
        <w:rPr>
          <w:spacing w:val="-7"/>
          <w:sz w:val="20"/>
        </w:rPr>
        <w:t xml:space="preserve"> </w:t>
      </w:r>
      <w:r>
        <w:rPr>
          <w:sz w:val="20"/>
        </w:rPr>
        <w:t>Not</w:t>
      </w:r>
      <w:r>
        <w:rPr>
          <w:spacing w:val="-7"/>
          <w:sz w:val="20"/>
        </w:rPr>
        <w:t xml:space="preserve"> </w:t>
      </w:r>
      <w:r>
        <w:rPr>
          <w:sz w:val="20"/>
        </w:rPr>
        <w:t>Enough”;</w:t>
      </w:r>
      <w:r>
        <w:rPr>
          <w:spacing w:val="-5"/>
          <w:sz w:val="20"/>
        </w:rPr>
        <w:t xml:space="preserve"> </w:t>
      </w:r>
      <w:r>
        <w:rPr>
          <w:sz w:val="20"/>
        </w:rPr>
        <w:t>Pennell,</w:t>
      </w:r>
      <w:r>
        <w:rPr>
          <w:spacing w:val="-4"/>
          <w:sz w:val="20"/>
        </w:rPr>
        <w:t xml:space="preserve"> </w:t>
      </w:r>
      <w:r>
        <w:rPr>
          <w:sz w:val="20"/>
        </w:rPr>
        <w:t>“Training</w:t>
      </w:r>
      <w:r>
        <w:rPr>
          <w:spacing w:val="-5"/>
          <w:sz w:val="20"/>
        </w:rPr>
        <w:t xml:space="preserve"> </w:t>
      </w:r>
      <w:r>
        <w:rPr>
          <w:sz w:val="20"/>
        </w:rPr>
        <w:t>Secondary</w:t>
      </w:r>
      <w:r>
        <w:rPr>
          <w:spacing w:val="-5"/>
          <w:sz w:val="20"/>
        </w:rPr>
        <w:t xml:space="preserve"> </w:t>
      </w:r>
      <w:r>
        <w:rPr>
          <w:sz w:val="20"/>
        </w:rPr>
        <w:t>Teachers</w:t>
      </w:r>
      <w:r>
        <w:rPr>
          <w:spacing w:val="-5"/>
          <w:sz w:val="20"/>
        </w:rPr>
        <w:t xml:space="preserve"> </w:t>
      </w:r>
      <w:r>
        <w:rPr>
          <w:sz w:val="20"/>
        </w:rPr>
        <w:t>to Support LGBTQ+ Students”; Cooper et al., “No Lone Wolf”; Payne and Smith, “Refusing Relevance”; Payne and Smith, “Safety, Celebration, and Risk.”</w:t>
      </w:r>
    </w:p>
    <w:p w:rsidR="00C76E6D" w:rsidRDefault="00913831">
      <w:pPr>
        <w:ind w:left="480" w:right="530" w:hanging="3"/>
        <w:rPr>
          <w:i/>
          <w:sz w:val="20"/>
        </w:rPr>
      </w:pPr>
      <w:bookmarkStart w:id="254" w:name="_bookmark156"/>
      <w:bookmarkEnd w:id="254"/>
      <w:r>
        <w:rPr>
          <w:sz w:val="20"/>
          <w:vertAlign w:val="superscript"/>
        </w:rPr>
        <w:t>65</w:t>
      </w:r>
      <w:r>
        <w:rPr>
          <w:spacing w:val="-4"/>
          <w:sz w:val="20"/>
        </w:rPr>
        <w:t xml:space="preserve"> </w:t>
      </w:r>
      <w:r>
        <w:rPr>
          <w:sz w:val="20"/>
        </w:rPr>
        <w:t>Greytak,</w:t>
      </w:r>
      <w:r>
        <w:rPr>
          <w:spacing w:val="-4"/>
          <w:sz w:val="20"/>
        </w:rPr>
        <w:t xml:space="preserve"> </w:t>
      </w:r>
      <w:r>
        <w:rPr>
          <w:sz w:val="20"/>
        </w:rPr>
        <w:t>Kosciw,</w:t>
      </w:r>
      <w:r>
        <w:rPr>
          <w:spacing w:val="-4"/>
          <w:sz w:val="20"/>
        </w:rPr>
        <w:t xml:space="preserve"> </w:t>
      </w:r>
      <w:r>
        <w:rPr>
          <w:sz w:val="20"/>
        </w:rPr>
        <w:t>and</w:t>
      </w:r>
      <w:r>
        <w:rPr>
          <w:spacing w:val="-4"/>
          <w:sz w:val="20"/>
        </w:rPr>
        <w:t xml:space="preserve"> </w:t>
      </w:r>
      <w:r>
        <w:rPr>
          <w:sz w:val="20"/>
        </w:rPr>
        <w:t>Gay,</w:t>
      </w:r>
      <w:r>
        <w:rPr>
          <w:spacing w:val="-4"/>
          <w:sz w:val="20"/>
        </w:rPr>
        <w:t xml:space="preserve"> </w:t>
      </w:r>
      <w:r>
        <w:rPr>
          <w:i/>
          <w:sz w:val="20"/>
        </w:rPr>
        <w:t>Year</w:t>
      </w:r>
      <w:r>
        <w:rPr>
          <w:i/>
          <w:spacing w:val="-5"/>
          <w:sz w:val="20"/>
        </w:rPr>
        <w:t xml:space="preserve"> </w:t>
      </w:r>
      <w:r>
        <w:rPr>
          <w:i/>
          <w:sz w:val="20"/>
        </w:rPr>
        <w:t>One</w:t>
      </w:r>
      <w:r>
        <w:rPr>
          <w:i/>
          <w:spacing w:val="-6"/>
          <w:sz w:val="20"/>
        </w:rPr>
        <w:t xml:space="preserve"> </w:t>
      </w:r>
      <w:r>
        <w:rPr>
          <w:i/>
          <w:sz w:val="20"/>
        </w:rPr>
        <w:t>Evaluation</w:t>
      </w:r>
      <w:r>
        <w:rPr>
          <w:i/>
          <w:spacing w:val="-4"/>
          <w:sz w:val="20"/>
        </w:rPr>
        <w:t xml:space="preserve"> </w:t>
      </w:r>
      <w:r>
        <w:rPr>
          <w:i/>
          <w:sz w:val="20"/>
        </w:rPr>
        <w:t>of</w:t>
      </w:r>
      <w:r>
        <w:rPr>
          <w:i/>
          <w:spacing w:val="-6"/>
          <w:sz w:val="20"/>
        </w:rPr>
        <w:t xml:space="preserve"> </w:t>
      </w:r>
      <w:r>
        <w:rPr>
          <w:i/>
          <w:sz w:val="20"/>
        </w:rPr>
        <w:t>the</w:t>
      </w:r>
      <w:r>
        <w:rPr>
          <w:i/>
          <w:spacing w:val="-5"/>
          <w:sz w:val="20"/>
        </w:rPr>
        <w:t xml:space="preserve"> </w:t>
      </w:r>
      <w:r>
        <w:rPr>
          <w:i/>
          <w:sz w:val="20"/>
        </w:rPr>
        <w:t>New</w:t>
      </w:r>
      <w:r>
        <w:rPr>
          <w:i/>
          <w:spacing w:val="-6"/>
          <w:sz w:val="20"/>
        </w:rPr>
        <w:t xml:space="preserve"> </w:t>
      </w:r>
      <w:r>
        <w:rPr>
          <w:i/>
          <w:sz w:val="20"/>
        </w:rPr>
        <w:t>York</w:t>
      </w:r>
      <w:r>
        <w:rPr>
          <w:i/>
          <w:spacing w:val="-4"/>
          <w:sz w:val="20"/>
        </w:rPr>
        <w:t xml:space="preserve"> </w:t>
      </w:r>
      <w:r>
        <w:rPr>
          <w:i/>
          <w:sz w:val="20"/>
        </w:rPr>
        <w:t>City</w:t>
      </w:r>
      <w:r>
        <w:rPr>
          <w:i/>
          <w:spacing w:val="-5"/>
          <w:sz w:val="20"/>
        </w:rPr>
        <w:t xml:space="preserve"> </w:t>
      </w:r>
      <w:r>
        <w:rPr>
          <w:i/>
          <w:sz w:val="20"/>
        </w:rPr>
        <w:t>Department</w:t>
      </w:r>
      <w:r>
        <w:rPr>
          <w:i/>
          <w:spacing w:val="-5"/>
          <w:sz w:val="20"/>
        </w:rPr>
        <w:t xml:space="preserve"> </w:t>
      </w:r>
      <w:r>
        <w:rPr>
          <w:i/>
          <w:sz w:val="20"/>
        </w:rPr>
        <w:t>of</w:t>
      </w:r>
      <w:r>
        <w:rPr>
          <w:i/>
          <w:spacing w:val="-7"/>
          <w:sz w:val="20"/>
        </w:rPr>
        <w:t xml:space="preserve"> </w:t>
      </w:r>
      <w:r>
        <w:rPr>
          <w:i/>
          <w:sz w:val="20"/>
        </w:rPr>
        <w:t>Education"Respect</w:t>
      </w:r>
      <w:r>
        <w:rPr>
          <w:i/>
          <w:spacing w:val="-5"/>
          <w:sz w:val="20"/>
        </w:rPr>
        <w:t xml:space="preserve"> </w:t>
      </w:r>
      <w:r>
        <w:rPr>
          <w:i/>
          <w:sz w:val="20"/>
        </w:rPr>
        <w:t>for</w:t>
      </w:r>
      <w:r>
        <w:rPr>
          <w:i/>
          <w:spacing w:val="-5"/>
          <w:sz w:val="20"/>
        </w:rPr>
        <w:t xml:space="preserve"> </w:t>
      </w:r>
      <w:r>
        <w:rPr>
          <w:i/>
          <w:sz w:val="20"/>
        </w:rPr>
        <w:t>All" Training Program.</w:t>
      </w:r>
    </w:p>
    <w:p w:rsidR="00C76E6D" w:rsidRDefault="00913831">
      <w:pPr>
        <w:ind w:left="480" w:right="530" w:hanging="2"/>
        <w:rPr>
          <w:sz w:val="20"/>
        </w:rPr>
      </w:pPr>
      <w:bookmarkStart w:id="255" w:name="_bookmark157"/>
      <w:bookmarkEnd w:id="255"/>
      <w:r>
        <w:rPr>
          <w:sz w:val="20"/>
          <w:vertAlign w:val="superscript"/>
        </w:rPr>
        <w:t>66</w:t>
      </w:r>
      <w:r>
        <w:rPr>
          <w:sz w:val="20"/>
        </w:rPr>
        <w:t xml:space="preserve"> Byrd and Hays, “Evaluating A Safe Space Training for School Counselors and Trainees Using a Randomized Control</w:t>
      </w:r>
      <w:r>
        <w:rPr>
          <w:spacing w:val="-2"/>
          <w:sz w:val="20"/>
        </w:rPr>
        <w:t xml:space="preserve"> </w:t>
      </w:r>
      <w:r>
        <w:rPr>
          <w:sz w:val="20"/>
        </w:rPr>
        <w:t>Group</w:t>
      </w:r>
      <w:r>
        <w:rPr>
          <w:spacing w:val="-3"/>
          <w:sz w:val="20"/>
        </w:rPr>
        <w:t xml:space="preserve"> </w:t>
      </w:r>
      <w:r>
        <w:rPr>
          <w:sz w:val="20"/>
        </w:rPr>
        <w:t>Design”;</w:t>
      </w:r>
      <w:r>
        <w:rPr>
          <w:spacing w:val="-2"/>
          <w:sz w:val="20"/>
        </w:rPr>
        <w:t xml:space="preserve"> </w:t>
      </w:r>
      <w:r>
        <w:rPr>
          <w:sz w:val="20"/>
        </w:rPr>
        <w:t>Greytak,</w:t>
      </w:r>
      <w:r>
        <w:rPr>
          <w:spacing w:val="-3"/>
          <w:sz w:val="20"/>
        </w:rPr>
        <w:t xml:space="preserve"> </w:t>
      </w:r>
      <w:r>
        <w:rPr>
          <w:sz w:val="20"/>
        </w:rPr>
        <w:t>Kosciw,</w:t>
      </w:r>
      <w:r>
        <w:rPr>
          <w:spacing w:val="-3"/>
          <w:sz w:val="20"/>
        </w:rPr>
        <w:t xml:space="preserve"> </w:t>
      </w:r>
      <w:r>
        <w:rPr>
          <w:sz w:val="20"/>
        </w:rPr>
        <w:t>and</w:t>
      </w:r>
      <w:r>
        <w:rPr>
          <w:spacing w:val="-2"/>
          <w:sz w:val="20"/>
        </w:rPr>
        <w:t xml:space="preserve"> </w:t>
      </w:r>
      <w:r>
        <w:rPr>
          <w:sz w:val="20"/>
        </w:rPr>
        <w:t>Boesen,</w:t>
      </w:r>
      <w:r>
        <w:rPr>
          <w:spacing w:val="-3"/>
          <w:sz w:val="20"/>
        </w:rPr>
        <w:t xml:space="preserve"> </w:t>
      </w:r>
      <w:r>
        <w:rPr>
          <w:sz w:val="20"/>
        </w:rPr>
        <w:t>“Educating</w:t>
      </w:r>
      <w:r>
        <w:rPr>
          <w:spacing w:val="-3"/>
          <w:sz w:val="20"/>
        </w:rPr>
        <w:t xml:space="preserve"> </w:t>
      </w:r>
      <w:r>
        <w:rPr>
          <w:sz w:val="20"/>
        </w:rPr>
        <w:t>the</w:t>
      </w:r>
      <w:r>
        <w:rPr>
          <w:spacing w:val="-3"/>
          <w:sz w:val="20"/>
        </w:rPr>
        <w:t xml:space="preserve"> </w:t>
      </w:r>
      <w:r>
        <w:rPr>
          <w:sz w:val="20"/>
        </w:rPr>
        <w:t>Educator”;</w:t>
      </w:r>
      <w:r>
        <w:rPr>
          <w:spacing w:val="-3"/>
          <w:sz w:val="20"/>
        </w:rPr>
        <w:t xml:space="preserve"> </w:t>
      </w:r>
      <w:r>
        <w:rPr>
          <w:sz w:val="20"/>
        </w:rPr>
        <w:t>Marx,</w:t>
      </w:r>
      <w:r>
        <w:rPr>
          <w:spacing w:val="-3"/>
          <w:sz w:val="20"/>
        </w:rPr>
        <w:t xml:space="preserve"> </w:t>
      </w:r>
      <w:r>
        <w:rPr>
          <w:sz w:val="20"/>
        </w:rPr>
        <w:t>Roberts,</w:t>
      </w:r>
      <w:r>
        <w:rPr>
          <w:spacing w:val="-2"/>
          <w:sz w:val="20"/>
        </w:rPr>
        <w:t xml:space="preserve"> </w:t>
      </w:r>
      <w:r>
        <w:rPr>
          <w:sz w:val="20"/>
        </w:rPr>
        <w:t>and</w:t>
      </w:r>
      <w:r>
        <w:rPr>
          <w:spacing w:val="-3"/>
          <w:sz w:val="20"/>
        </w:rPr>
        <w:t xml:space="preserve"> </w:t>
      </w:r>
      <w:r>
        <w:rPr>
          <w:sz w:val="20"/>
        </w:rPr>
        <w:t>Nixon,</w:t>
      </w:r>
      <w:r>
        <w:rPr>
          <w:spacing w:val="-3"/>
          <w:sz w:val="20"/>
        </w:rPr>
        <w:t xml:space="preserve"> </w:t>
      </w:r>
      <w:r>
        <w:rPr>
          <w:sz w:val="20"/>
        </w:rPr>
        <w:t xml:space="preserve">“When Care and Concern </w:t>
      </w:r>
      <w:r>
        <w:rPr>
          <w:sz w:val="20"/>
        </w:rPr>
        <w:t>Are Not Enough”; Fisher et al., “Promoting School Success for Lesbian, Gay, Bisexual, Transgendered,</w:t>
      </w:r>
      <w:r>
        <w:rPr>
          <w:spacing w:val="-7"/>
          <w:sz w:val="20"/>
        </w:rPr>
        <w:t xml:space="preserve"> </w:t>
      </w:r>
      <w:r>
        <w:rPr>
          <w:sz w:val="20"/>
        </w:rPr>
        <w:t>and</w:t>
      </w:r>
      <w:r>
        <w:rPr>
          <w:spacing w:val="-6"/>
          <w:sz w:val="20"/>
        </w:rPr>
        <w:t xml:space="preserve"> </w:t>
      </w:r>
      <w:r>
        <w:rPr>
          <w:sz w:val="20"/>
        </w:rPr>
        <w:t>Questioning</w:t>
      </w:r>
      <w:r>
        <w:rPr>
          <w:spacing w:val="-6"/>
          <w:sz w:val="20"/>
        </w:rPr>
        <w:t xml:space="preserve"> </w:t>
      </w:r>
      <w:r>
        <w:rPr>
          <w:sz w:val="20"/>
        </w:rPr>
        <w:t>Students”;</w:t>
      </w:r>
      <w:r>
        <w:rPr>
          <w:spacing w:val="-8"/>
          <w:sz w:val="20"/>
        </w:rPr>
        <w:t xml:space="preserve"> </w:t>
      </w:r>
      <w:r>
        <w:rPr>
          <w:sz w:val="20"/>
        </w:rPr>
        <w:t>McGravey,</w:t>
      </w:r>
      <w:r>
        <w:rPr>
          <w:spacing w:val="-6"/>
          <w:sz w:val="20"/>
        </w:rPr>
        <w:t xml:space="preserve"> </w:t>
      </w:r>
      <w:r>
        <w:rPr>
          <w:i/>
          <w:sz w:val="20"/>
        </w:rPr>
        <w:t>Measuring</w:t>
      </w:r>
      <w:r>
        <w:rPr>
          <w:i/>
          <w:spacing w:val="-7"/>
          <w:sz w:val="20"/>
        </w:rPr>
        <w:t xml:space="preserve"> </w:t>
      </w:r>
      <w:r>
        <w:rPr>
          <w:i/>
          <w:sz w:val="20"/>
        </w:rPr>
        <w:t>the</w:t>
      </w:r>
      <w:r>
        <w:rPr>
          <w:i/>
          <w:spacing w:val="-8"/>
          <w:sz w:val="20"/>
        </w:rPr>
        <w:t xml:space="preserve"> </w:t>
      </w:r>
      <w:r>
        <w:rPr>
          <w:i/>
          <w:sz w:val="20"/>
        </w:rPr>
        <w:t>Effectiveness</w:t>
      </w:r>
      <w:r>
        <w:rPr>
          <w:i/>
          <w:spacing w:val="-8"/>
          <w:sz w:val="20"/>
        </w:rPr>
        <w:t xml:space="preserve"> </w:t>
      </w:r>
      <w:r>
        <w:rPr>
          <w:i/>
          <w:sz w:val="20"/>
        </w:rPr>
        <w:t>of</w:t>
      </w:r>
      <w:r>
        <w:rPr>
          <w:i/>
          <w:spacing w:val="-8"/>
          <w:sz w:val="20"/>
        </w:rPr>
        <w:t xml:space="preserve"> </w:t>
      </w:r>
      <w:r>
        <w:rPr>
          <w:i/>
          <w:sz w:val="20"/>
        </w:rPr>
        <w:t>a</w:t>
      </w:r>
      <w:r>
        <w:rPr>
          <w:i/>
          <w:spacing w:val="-9"/>
          <w:sz w:val="20"/>
        </w:rPr>
        <w:t xml:space="preserve"> </w:t>
      </w:r>
      <w:r>
        <w:rPr>
          <w:i/>
          <w:sz w:val="20"/>
        </w:rPr>
        <w:t>Professional</w:t>
      </w:r>
      <w:r>
        <w:rPr>
          <w:i/>
          <w:spacing w:val="-9"/>
          <w:sz w:val="20"/>
        </w:rPr>
        <w:t xml:space="preserve"> </w:t>
      </w:r>
      <w:r>
        <w:rPr>
          <w:i/>
          <w:sz w:val="20"/>
        </w:rPr>
        <w:t>Development Workshop on Awareness, Knowledge, and Skills of Mental Healt</w:t>
      </w:r>
      <w:r>
        <w:rPr>
          <w:i/>
          <w:sz w:val="20"/>
        </w:rPr>
        <w:t>h Professionals in Working with Lesbian, Gay, Bisexual, Transgender, and Questioning (LGBTQ) Youth</w:t>
      </w:r>
      <w:r>
        <w:rPr>
          <w:sz w:val="20"/>
        </w:rPr>
        <w:t>.</w:t>
      </w:r>
    </w:p>
    <w:p w:rsidR="00C76E6D" w:rsidRDefault="00913831">
      <w:pPr>
        <w:ind w:left="481" w:right="530" w:hanging="3"/>
        <w:rPr>
          <w:i/>
          <w:sz w:val="20"/>
        </w:rPr>
      </w:pPr>
      <w:bookmarkStart w:id="256" w:name="_bookmark158"/>
      <w:bookmarkEnd w:id="256"/>
      <w:r>
        <w:rPr>
          <w:sz w:val="20"/>
          <w:vertAlign w:val="superscript"/>
        </w:rPr>
        <w:t>67</w:t>
      </w:r>
      <w:r>
        <w:rPr>
          <w:spacing w:val="-5"/>
          <w:sz w:val="20"/>
        </w:rPr>
        <w:t xml:space="preserve"> </w:t>
      </w:r>
      <w:r>
        <w:rPr>
          <w:sz w:val="20"/>
        </w:rPr>
        <w:t>Greytak,</w:t>
      </w:r>
      <w:r>
        <w:rPr>
          <w:spacing w:val="-5"/>
          <w:sz w:val="20"/>
        </w:rPr>
        <w:t xml:space="preserve"> </w:t>
      </w:r>
      <w:r>
        <w:rPr>
          <w:sz w:val="20"/>
        </w:rPr>
        <w:t>Kosciw,</w:t>
      </w:r>
      <w:r>
        <w:rPr>
          <w:spacing w:val="-5"/>
          <w:sz w:val="20"/>
        </w:rPr>
        <w:t xml:space="preserve"> </w:t>
      </w:r>
      <w:r>
        <w:rPr>
          <w:sz w:val="20"/>
        </w:rPr>
        <w:t>and</w:t>
      </w:r>
      <w:r>
        <w:rPr>
          <w:spacing w:val="-5"/>
          <w:sz w:val="20"/>
        </w:rPr>
        <w:t xml:space="preserve"> </w:t>
      </w:r>
      <w:r>
        <w:rPr>
          <w:sz w:val="20"/>
        </w:rPr>
        <w:t>Boesen,</w:t>
      </w:r>
      <w:r>
        <w:rPr>
          <w:spacing w:val="-5"/>
          <w:sz w:val="20"/>
        </w:rPr>
        <w:t xml:space="preserve"> </w:t>
      </w:r>
      <w:r>
        <w:rPr>
          <w:sz w:val="20"/>
        </w:rPr>
        <w:t>“Educating</w:t>
      </w:r>
      <w:r>
        <w:rPr>
          <w:spacing w:val="-6"/>
          <w:sz w:val="20"/>
        </w:rPr>
        <w:t xml:space="preserve"> </w:t>
      </w:r>
      <w:r>
        <w:rPr>
          <w:sz w:val="20"/>
        </w:rPr>
        <w:t>the</w:t>
      </w:r>
      <w:r>
        <w:rPr>
          <w:spacing w:val="-6"/>
          <w:sz w:val="20"/>
        </w:rPr>
        <w:t xml:space="preserve"> </w:t>
      </w:r>
      <w:r>
        <w:rPr>
          <w:sz w:val="20"/>
        </w:rPr>
        <w:t>Educator”;</w:t>
      </w:r>
      <w:r>
        <w:rPr>
          <w:spacing w:val="-6"/>
          <w:sz w:val="20"/>
        </w:rPr>
        <w:t xml:space="preserve"> </w:t>
      </w:r>
      <w:r>
        <w:rPr>
          <w:sz w:val="20"/>
        </w:rPr>
        <w:t>Greytak,</w:t>
      </w:r>
      <w:r>
        <w:rPr>
          <w:spacing w:val="-6"/>
          <w:sz w:val="20"/>
        </w:rPr>
        <w:t xml:space="preserve"> </w:t>
      </w:r>
      <w:r>
        <w:rPr>
          <w:sz w:val="20"/>
        </w:rPr>
        <w:t>Kosciw,</w:t>
      </w:r>
      <w:r>
        <w:rPr>
          <w:spacing w:val="-6"/>
          <w:sz w:val="20"/>
        </w:rPr>
        <w:t xml:space="preserve"> </w:t>
      </w:r>
      <w:r>
        <w:rPr>
          <w:sz w:val="20"/>
        </w:rPr>
        <w:t>and</w:t>
      </w:r>
      <w:r>
        <w:rPr>
          <w:spacing w:val="-6"/>
          <w:sz w:val="20"/>
        </w:rPr>
        <w:t xml:space="preserve"> </w:t>
      </w:r>
      <w:r>
        <w:rPr>
          <w:sz w:val="20"/>
        </w:rPr>
        <w:t>Gay,</w:t>
      </w:r>
      <w:r>
        <w:rPr>
          <w:spacing w:val="-5"/>
          <w:sz w:val="20"/>
        </w:rPr>
        <w:t xml:space="preserve"> </w:t>
      </w:r>
      <w:r>
        <w:rPr>
          <w:i/>
          <w:sz w:val="20"/>
        </w:rPr>
        <w:t>Year</w:t>
      </w:r>
      <w:r>
        <w:rPr>
          <w:i/>
          <w:spacing w:val="-7"/>
          <w:sz w:val="20"/>
        </w:rPr>
        <w:t xml:space="preserve"> </w:t>
      </w:r>
      <w:r>
        <w:rPr>
          <w:i/>
          <w:sz w:val="20"/>
        </w:rPr>
        <w:t>One</w:t>
      </w:r>
      <w:r>
        <w:rPr>
          <w:i/>
          <w:spacing w:val="-6"/>
          <w:sz w:val="20"/>
        </w:rPr>
        <w:t xml:space="preserve"> </w:t>
      </w:r>
      <w:r>
        <w:rPr>
          <w:i/>
          <w:sz w:val="20"/>
        </w:rPr>
        <w:t>Evaluation</w:t>
      </w:r>
      <w:r>
        <w:rPr>
          <w:i/>
          <w:spacing w:val="-5"/>
          <w:sz w:val="20"/>
        </w:rPr>
        <w:t xml:space="preserve"> </w:t>
      </w:r>
      <w:r>
        <w:rPr>
          <w:i/>
          <w:sz w:val="20"/>
        </w:rPr>
        <w:t>of</w:t>
      </w:r>
      <w:r>
        <w:rPr>
          <w:i/>
          <w:spacing w:val="-7"/>
          <w:sz w:val="20"/>
        </w:rPr>
        <w:t xml:space="preserve"> </w:t>
      </w:r>
      <w:r>
        <w:rPr>
          <w:i/>
          <w:sz w:val="20"/>
        </w:rPr>
        <w:t xml:space="preserve">the </w:t>
      </w:r>
      <w:bookmarkStart w:id="257" w:name="_bookmark159"/>
      <w:bookmarkEnd w:id="257"/>
      <w:r>
        <w:rPr>
          <w:i/>
          <w:sz w:val="20"/>
        </w:rPr>
        <w:t>New</w:t>
      </w:r>
      <w:r>
        <w:rPr>
          <w:i/>
          <w:sz w:val="20"/>
        </w:rPr>
        <w:t xml:space="preserve"> York City Department of Education"Respect for All" Training Program.</w:t>
      </w:r>
    </w:p>
    <w:p w:rsidR="00C76E6D" w:rsidRDefault="00913831">
      <w:pPr>
        <w:ind w:left="481" w:right="530" w:hanging="3"/>
        <w:rPr>
          <w:sz w:val="20"/>
        </w:rPr>
      </w:pPr>
      <w:r>
        <w:rPr>
          <w:sz w:val="20"/>
          <w:vertAlign w:val="superscript"/>
        </w:rPr>
        <w:t>68</w:t>
      </w:r>
      <w:r>
        <w:rPr>
          <w:spacing w:val="-4"/>
          <w:sz w:val="20"/>
        </w:rPr>
        <w:t xml:space="preserve"> </w:t>
      </w:r>
      <w:r>
        <w:rPr>
          <w:sz w:val="20"/>
        </w:rPr>
        <w:t>Bradley</w:t>
      </w:r>
      <w:r>
        <w:rPr>
          <w:spacing w:val="-4"/>
          <w:sz w:val="20"/>
        </w:rPr>
        <w:t xml:space="preserve"> </w:t>
      </w:r>
      <w:r>
        <w:rPr>
          <w:sz w:val="20"/>
        </w:rPr>
        <w:t>et</w:t>
      </w:r>
      <w:r>
        <w:rPr>
          <w:spacing w:val="-6"/>
          <w:sz w:val="20"/>
        </w:rPr>
        <w:t xml:space="preserve"> </w:t>
      </w:r>
      <w:r>
        <w:rPr>
          <w:sz w:val="20"/>
        </w:rPr>
        <w:t>al.,</w:t>
      </w:r>
      <w:r>
        <w:rPr>
          <w:spacing w:val="-5"/>
          <w:sz w:val="20"/>
        </w:rPr>
        <w:t xml:space="preserve"> </w:t>
      </w:r>
      <w:r>
        <w:rPr>
          <w:sz w:val="20"/>
        </w:rPr>
        <w:t>“Impact</w:t>
      </w:r>
      <w:r>
        <w:rPr>
          <w:spacing w:val="-6"/>
          <w:sz w:val="20"/>
        </w:rPr>
        <w:t xml:space="preserve"> </w:t>
      </w:r>
      <w:r>
        <w:rPr>
          <w:sz w:val="20"/>
        </w:rPr>
        <w:t>of</w:t>
      </w:r>
      <w:r>
        <w:rPr>
          <w:spacing w:val="-6"/>
          <w:sz w:val="20"/>
        </w:rPr>
        <w:t xml:space="preserve"> </w:t>
      </w:r>
      <w:r>
        <w:rPr>
          <w:sz w:val="20"/>
        </w:rPr>
        <w:t>a</w:t>
      </w:r>
      <w:r>
        <w:rPr>
          <w:spacing w:val="-6"/>
          <w:sz w:val="20"/>
        </w:rPr>
        <w:t xml:space="preserve"> </w:t>
      </w:r>
      <w:r>
        <w:rPr>
          <w:sz w:val="20"/>
        </w:rPr>
        <w:t>Simulation</w:t>
      </w:r>
      <w:r>
        <w:rPr>
          <w:spacing w:val="-4"/>
          <w:sz w:val="20"/>
        </w:rPr>
        <w:t xml:space="preserve"> </w:t>
      </w:r>
      <w:r>
        <w:rPr>
          <w:sz w:val="20"/>
        </w:rPr>
        <w:t>on</w:t>
      </w:r>
      <w:r>
        <w:rPr>
          <w:spacing w:val="-7"/>
          <w:sz w:val="20"/>
        </w:rPr>
        <w:t xml:space="preserve"> </w:t>
      </w:r>
      <w:r>
        <w:rPr>
          <w:sz w:val="20"/>
        </w:rPr>
        <w:t>Educator</w:t>
      </w:r>
      <w:r>
        <w:rPr>
          <w:spacing w:val="-7"/>
          <w:sz w:val="20"/>
        </w:rPr>
        <w:t xml:space="preserve"> </w:t>
      </w:r>
      <w:r>
        <w:rPr>
          <w:sz w:val="20"/>
        </w:rPr>
        <w:t>Support</w:t>
      </w:r>
      <w:r>
        <w:rPr>
          <w:spacing w:val="-4"/>
          <w:sz w:val="20"/>
        </w:rPr>
        <w:t xml:space="preserve"> </w:t>
      </w:r>
      <w:r>
        <w:rPr>
          <w:sz w:val="20"/>
        </w:rPr>
        <w:t>of</w:t>
      </w:r>
      <w:r>
        <w:rPr>
          <w:spacing w:val="-4"/>
          <w:sz w:val="20"/>
        </w:rPr>
        <w:t xml:space="preserve"> </w:t>
      </w:r>
      <w:r>
        <w:rPr>
          <w:sz w:val="20"/>
        </w:rPr>
        <w:t>LGBTQ</w:t>
      </w:r>
      <w:r>
        <w:rPr>
          <w:spacing w:val="-6"/>
          <w:sz w:val="20"/>
        </w:rPr>
        <w:t xml:space="preserve"> </w:t>
      </w:r>
      <w:r>
        <w:rPr>
          <w:sz w:val="20"/>
        </w:rPr>
        <w:t>Youth”;</w:t>
      </w:r>
      <w:r>
        <w:rPr>
          <w:spacing w:val="-4"/>
          <w:sz w:val="20"/>
        </w:rPr>
        <w:t xml:space="preserve"> </w:t>
      </w:r>
      <w:r>
        <w:rPr>
          <w:sz w:val="20"/>
        </w:rPr>
        <w:t>Byrd</w:t>
      </w:r>
      <w:r>
        <w:rPr>
          <w:spacing w:val="-5"/>
          <w:sz w:val="20"/>
        </w:rPr>
        <w:t xml:space="preserve"> </w:t>
      </w:r>
      <w:r>
        <w:rPr>
          <w:sz w:val="20"/>
        </w:rPr>
        <w:t>and</w:t>
      </w:r>
      <w:r>
        <w:rPr>
          <w:spacing w:val="-5"/>
          <w:sz w:val="20"/>
        </w:rPr>
        <w:t xml:space="preserve"> </w:t>
      </w:r>
      <w:r>
        <w:rPr>
          <w:sz w:val="20"/>
        </w:rPr>
        <w:t>Hays,</w:t>
      </w:r>
      <w:r>
        <w:rPr>
          <w:spacing w:val="-5"/>
          <w:sz w:val="20"/>
        </w:rPr>
        <w:t xml:space="preserve"> </w:t>
      </w:r>
      <w:r>
        <w:rPr>
          <w:sz w:val="20"/>
        </w:rPr>
        <w:t>“Evaluating</w:t>
      </w:r>
      <w:r>
        <w:rPr>
          <w:spacing w:val="-5"/>
          <w:sz w:val="20"/>
        </w:rPr>
        <w:t xml:space="preserve"> </w:t>
      </w:r>
      <w:r>
        <w:rPr>
          <w:sz w:val="20"/>
        </w:rPr>
        <w:t>A</w:t>
      </w:r>
      <w:r>
        <w:rPr>
          <w:spacing w:val="-5"/>
          <w:sz w:val="20"/>
        </w:rPr>
        <w:t xml:space="preserve"> </w:t>
      </w:r>
      <w:r>
        <w:rPr>
          <w:sz w:val="20"/>
        </w:rPr>
        <w:t>Safe Space Training for School Counselors and Trainees Using a Randomized Con</w:t>
      </w:r>
      <w:r>
        <w:rPr>
          <w:sz w:val="20"/>
        </w:rPr>
        <w:t>trol Group Design.”</w:t>
      </w:r>
    </w:p>
    <w:p w:rsidR="00C76E6D" w:rsidRDefault="00C76E6D">
      <w:pPr>
        <w:rPr>
          <w:sz w:val="20"/>
        </w:rPr>
        <w:sectPr w:rsidR="00C76E6D">
          <w:pgSz w:w="12240" w:h="15840"/>
          <w:pgMar w:top="960" w:right="960" w:bottom="860" w:left="960" w:header="760" w:footer="679" w:gutter="0"/>
          <w:cols w:space="720"/>
        </w:sectPr>
      </w:pPr>
    </w:p>
    <w:p w:rsidR="00C76E6D" w:rsidRDefault="00C76E6D">
      <w:pPr>
        <w:pStyle w:val="BodyText"/>
        <w:rPr>
          <w:sz w:val="20"/>
        </w:rPr>
      </w:pPr>
    </w:p>
    <w:p w:rsidR="00C76E6D" w:rsidRDefault="00913831">
      <w:pPr>
        <w:pStyle w:val="Heading1"/>
        <w:spacing w:before="170"/>
      </w:pPr>
      <w:bookmarkStart w:id="258" w:name="ENDING_HOMELESSNESS"/>
      <w:bookmarkEnd w:id="258"/>
      <w:r>
        <w:t>ENDING</w:t>
      </w:r>
      <w:r>
        <w:rPr>
          <w:spacing w:val="-9"/>
        </w:rPr>
        <w:t xml:space="preserve"> </w:t>
      </w:r>
      <w:r>
        <w:rPr>
          <w:spacing w:val="-2"/>
        </w:rPr>
        <w:t>HOMELESSNESS</w:t>
      </w:r>
    </w:p>
    <w:p w:rsidR="00C76E6D" w:rsidRDefault="00913831">
      <w:pPr>
        <w:pStyle w:val="BodyText"/>
        <w:spacing w:before="7"/>
        <w:rPr>
          <w:b/>
          <w:sz w:val="11"/>
        </w:rPr>
      </w:pPr>
      <w:r>
        <w:pict>
          <v:shape id="docshape277" o:spid="_x0000_s1159" style="position:absolute;margin-left:70.6pt;margin-top:8.3pt;width:470.95pt;height:.1pt;z-index:-15683072;mso-wrap-distance-left:0;mso-wrap-distance-right:0;mso-position-horizontal-relative:page" coordorigin="1412,166" coordsize="9419,0" path="m1412,166r9419,e" filled="f" strokeweight="1.54pt">
            <v:path arrowok="t"/>
            <w10:wrap type="topAndBottom" anchorx="page"/>
          </v:shape>
        </w:pict>
      </w:r>
    </w:p>
    <w:p w:rsidR="00C76E6D" w:rsidRDefault="00913831">
      <w:pPr>
        <w:pStyle w:val="Heading5"/>
        <w:numPr>
          <w:ilvl w:val="0"/>
          <w:numId w:val="42"/>
        </w:numPr>
        <w:tabs>
          <w:tab w:val="left" w:pos="838"/>
        </w:tabs>
        <w:spacing w:before="279"/>
        <w:ind w:hanging="360"/>
        <w:jc w:val="both"/>
      </w:pPr>
      <w:r>
        <w:rPr>
          <w:spacing w:val="-2"/>
        </w:rPr>
        <w:t>Introduction</w:t>
      </w:r>
    </w:p>
    <w:p w:rsidR="00C76E6D" w:rsidRDefault="00913831">
      <w:pPr>
        <w:pStyle w:val="BodyText"/>
        <w:spacing w:before="4"/>
        <w:rPr>
          <w:b/>
          <w:sz w:val="19"/>
        </w:rPr>
      </w:pPr>
      <w:r>
        <w:pict>
          <v:shape id="docshape278" o:spid="_x0000_s1158" style="position:absolute;margin-left:1in;margin-top:13.05pt;width:466.3pt;height:.1pt;z-index:-15682560;mso-wrap-distance-left:0;mso-wrap-distance-right:0;mso-position-horizontal-relative:page" coordorigin="1440,261" coordsize="9326,0" path="m1440,261r9326,e" filled="f" strokeweight=".40958mm">
            <v:path arrowok="t"/>
            <w10:wrap type="topAndBottom" anchorx="page"/>
          </v:shape>
        </w:pict>
      </w:r>
    </w:p>
    <w:p w:rsidR="00C76E6D" w:rsidRDefault="00C76E6D">
      <w:pPr>
        <w:pStyle w:val="BodyText"/>
        <w:rPr>
          <w:b/>
          <w:sz w:val="24"/>
        </w:rPr>
      </w:pPr>
    </w:p>
    <w:p w:rsidR="00C76E6D" w:rsidRDefault="00913831">
      <w:pPr>
        <w:pStyle w:val="BodyText"/>
        <w:spacing w:before="186" w:line="276" w:lineRule="auto"/>
        <w:ind w:left="478" w:right="474"/>
        <w:jc w:val="both"/>
      </w:pPr>
      <w:r>
        <w:t>In the Commonwealth of Massachusetts, LGBTQ youth—particularly Queer, Transgender, Black, Indigenous, and people of color (QTBIPOC), and gender expansive LGBTQ youth—are disproportionally represented</w:t>
      </w:r>
      <w:r>
        <w:rPr>
          <w:spacing w:val="-6"/>
        </w:rPr>
        <w:t xml:space="preserve"> </w:t>
      </w:r>
      <w:r>
        <w:t>among</w:t>
      </w:r>
      <w:r>
        <w:rPr>
          <w:spacing w:val="-9"/>
        </w:rPr>
        <w:t xml:space="preserve"> </w:t>
      </w:r>
      <w:r>
        <w:t>youth</w:t>
      </w:r>
      <w:r>
        <w:rPr>
          <w:spacing w:val="-6"/>
        </w:rPr>
        <w:t xml:space="preserve"> </w:t>
      </w:r>
      <w:r>
        <w:t>experiencing</w:t>
      </w:r>
      <w:r>
        <w:rPr>
          <w:spacing w:val="-7"/>
        </w:rPr>
        <w:t xml:space="preserve"> </w:t>
      </w:r>
      <w:r>
        <w:t>homelessness</w:t>
      </w:r>
      <w:hyperlink w:anchor="_bookmark163" w:history="1">
        <w:r>
          <w:t>.</w:t>
        </w:r>
        <w:r>
          <w:rPr>
            <w:vertAlign w:val="superscript"/>
          </w:rPr>
          <w:t>1</w:t>
        </w:r>
        <w:r>
          <w:rPr>
            <w:spacing w:val="-9"/>
          </w:rPr>
          <w:t xml:space="preserve"> </w:t>
        </w:r>
      </w:hyperlink>
      <w:r>
        <w:t>Of</w:t>
      </w:r>
      <w:r>
        <w:rPr>
          <w:spacing w:val="-6"/>
        </w:rPr>
        <w:t xml:space="preserve"> </w:t>
      </w:r>
      <w:r>
        <w:t>note,</w:t>
      </w:r>
      <w:r>
        <w:rPr>
          <w:spacing w:val="-6"/>
        </w:rPr>
        <w:t xml:space="preserve"> </w:t>
      </w:r>
      <w:r>
        <w:t>this</w:t>
      </w:r>
      <w:r>
        <w:rPr>
          <w:spacing w:val="-7"/>
        </w:rPr>
        <w:t xml:space="preserve"> </w:t>
      </w:r>
      <w:r>
        <w:t>trend</w:t>
      </w:r>
      <w:r>
        <w:rPr>
          <w:spacing w:val="-6"/>
        </w:rPr>
        <w:t xml:space="preserve"> </w:t>
      </w:r>
      <w:r>
        <w:t>is</w:t>
      </w:r>
      <w:r>
        <w:rPr>
          <w:spacing w:val="-7"/>
        </w:rPr>
        <w:t xml:space="preserve"> </w:t>
      </w:r>
      <w:r>
        <w:t>also</w:t>
      </w:r>
      <w:r>
        <w:rPr>
          <w:spacing w:val="-7"/>
        </w:rPr>
        <w:t xml:space="preserve"> </w:t>
      </w:r>
      <w:r>
        <w:t>consistent</w:t>
      </w:r>
      <w:r>
        <w:rPr>
          <w:spacing w:val="-7"/>
        </w:rPr>
        <w:t xml:space="preserve"> </w:t>
      </w:r>
      <w:r>
        <w:t>with</w:t>
      </w:r>
      <w:r>
        <w:rPr>
          <w:spacing w:val="-8"/>
        </w:rPr>
        <w:t xml:space="preserve"> </w:t>
      </w:r>
      <w:r>
        <w:t>findings of</w:t>
      </w:r>
      <w:r>
        <w:rPr>
          <w:spacing w:val="-9"/>
        </w:rPr>
        <w:t xml:space="preserve"> </w:t>
      </w:r>
      <w:r>
        <w:t>national</w:t>
      </w:r>
      <w:r>
        <w:rPr>
          <w:spacing w:val="-8"/>
        </w:rPr>
        <w:t xml:space="preserve"> </w:t>
      </w:r>
      <w:r>
        <w:t>demographic</w:t>
      </w:r>
      <w:r>
        <w:rPr>
          <w:spacing w:val="-8"/>
        </w:rPr>
        <w:t xml:space="preserve"> </w:t>
      </w:r>
      <w:r>
        <w:t>data</w:t>
      </w:r>
      <w:r>
        <w:rPr>
          <w:spacing w:val="-9"/>
        </w:rPr>
        <w:t xml:space="preserve"> </w:t>
      </w:r>
      <w:r>
        <w:t>on</w:t>
      </w:r>
      <w:r>
        <w:rPr>
          <w:spacing w:val="-8"/>
        </w:rPr>
        <w:t xml:space="preserve"> </w:t>
      </w:r>
      <w:r>
        <w:t>homeless</w:t>
      </w:r>
      <w:r>
        <w:rPr>
          <w:spacing w:val="-8"/>
        </w:rPr>
        <w:t xml:space="preserve"> </w:t>
      </w:r>
      <w:r>
        <w:t>and</w:t>
      </w:r>
      <w:r>
        <w:rPr>
          <w:spacing w:val="-8"/>
        </w:rPr>
        <w:t xml:space="preserve"> </w:t>
      </w:r>
      <w:r>
        <w:t>housing</w:t>
      </w:r>
      <w:r>
        <w:rPr>
          <w:spacing w:val="-9"/>
        </w:rPr>
        <w:t xml:space="preserve"> </w:t>
      </w:r>
      <w:r>
        <w:t>insecure</w:t>
      </w:r>
      <w:r>
        <w:rPr>
          <w:spacing w:val="-8"/>
        </w:rPr>
        <w:t xml:space="preserve"> </w:t>
      </w:r>
      <w:r>
        <w:t>people</w:t>
      </w:r>
      <w:hyperlink w:anchor="_bookmark164" w:history="1">
        <w:r>
          <w:t>.</w:t>
        </w:r>
        <w:r>
          <w:rPr>
            <w:vertAlign w:val="superscript"/>
          </w:rPr>
          <w:t>2</w:t>
        </w:r>
        <w:r>
          <w:rPr>
            <w:spacing w:val="-9"/>
          </w:rPr>
          <w:t xml:space="preserve"> </w:t>
        </w:r>
      </w:hyperlink>
      <w:r>
        <w:t>Strategies</w:t>
      </w:r>
      <w:r>
        <w:rPr>
          <w:spacing w:val="-8"/>
        </w:rPr>
        <w:t xml:space="preserve"> </w:t>
      </w:r>
      <w:r>
        <w:t>to</w:t>
      </w:r>
      <w:r>
        <w:rPr>
          <w:spacing w:val="-7"/>
        </w:rPr>
        <w:t xml:space="preserve"> </w:t>
      </w:r>
      <w:r>
        <w:t>end</w:t>
      </w:r>
      <w:r>
        <w:rPr>
          <w:spacing w:val="-8"/>
        </w:rPr>
        <w:t xml:space="preserve"> </w:t>
      </w:r>
      <w:r>
        <w:t>homelessness must integrate prevention and intervention measures for individuals, families, communities, and institutions, while appreciating the intersecting identities of race, ethnicity, sexual orientation, gender identity, and gender expression. Multip</w:t>
      </w:r>
      <w:r>
        <w:t>le risk factors contribute to LGBTQ youth’s experience of higher rates of homelessness, such as family rejection, abandonment and conflict, poverty, medical and mental health difficulties, discrimination, and racism. Moreover, many LGBTQ youth have cited a</w:t>
      </w:r>
      <w:r>
        <w:t xml:space="preserve">dditional </w:t>
      </w:r>
      <w:r>
        <w:rPr>
          <w:spacing w:val="-2"/>
        </w:rPr>
        <w:t>vulnerabilities</w:t>
      </w:r>
      <w:r>
        <w:rPr>
          <w:spacing w:val="-3"/>
        </w:rPr>
        <w:t xml:space="preserve"> </w:t>
      </w:r>
      <w:r>
        <w:rPr>
          <w:spacing w:val="-2"/>
        </w:rPr>
        <w:t>with regard to familial and communal</w:t>
      </w:r>
      <w:r>
        <w:rPr>
          <w:spacing w:val="-3"/>
        </w:rPr>
        <w:t xml:space="preserve"> </w:t>
      </w:r>
      <w:r>
        <w:rPr>
          <w:spacing w:val="-2"/>
        </w:rPr>
        <w:t xml:space="preserve">rejection of their identities based on claimed religious </w:t>
      </w:r>
      <w:r>
        <w:t>values and beliefs.</w:t>
      </w:r>
    </w:p>
    <w:p w:rsidR="00C76E6D" w:rsidRDefault="00C76E6D">
      <w:pPr>
        <w:pStyle w:val="BodyText"/>
        <w:spacing w:before="11"/>
        <w:rPr>
          <w:sz w:val="26"/>
        </w:rPr>
      </w:pPr>
    </w:p>
    <w:p w:rsidR="00C76E6D" w:rsidRDefault="00913831">
      <w:pPr>
        <w:pStyle w:val="BodyText"/>
        <w:spacing w:line="276" w:lineRule="auto"/>
        <w:ind w:left="480" w:right="474" w:hanging="1"/>
        <w:jc w:val="both"/>
      </w:pPr>
      <w:r>
        <w:t>The</w:t>
      </w:r>
      <w:r>
        <w:rPr>
          <w:spacing w:val="-3"/>
        </w:rPr>
        <w:t xml:space="preserve"> </w:t>
      </w:r>
      <w:r>
        <w:t>Commission</w:t>
      </w:r>
      <w:r>
        <w:rPr>
          <w:spacing w:val="-3"/>
        </w:rPr>
        <w:t xml:space="preserve"> </w:t>
      </w:r>
      <w:r>
        <w:t>has,</w:t>
      </w:r>
      <w:r>
        <w:rPr>
          <w:spacing w:val="-2"/>
        </w:rPr>
        <w:t xml:space="preserve"> </w:t>
      </w:r>
      <w:r>
        <w:t>therefore,</w:t>
      </w:r>
      <w:r>
        <w:rPr>
          <w:spacing w:val="-2"/>
        </w:rPr>
        <w:t xml:space="preserve"> </w:t>
      </w:r>
      <w:r>
        <w:t>increased</w:t>
      </w:r>
      <w:r>
        <w:rPr>
          <w:spacing w:val="-3"/>
        </w:rPr>
        <w:t xml:space="preserve"> </w:t>
      </w:r>
      <w:r>
        <w:t>its</w:t>
      </w:r>
      <w:r>
        <w:rPr>
          <w:spacing w:val="-2"/>
        </w:rPr>
        <w:t xml:space="preserve"> </w:t>
      </w:r>
      <w:r>
        <w:t>focus</w:t>
      </w:r>
      <w:r>
        <w:rPr>
          <w:spacing w:val="-2"/>
        </w:rPr>
        <w:t xml:space="preserve"> </w:t>
      </w:r>
      <w:r>
        <w:t>and</w:t>
      </w:r>
      <w:r>
        <w:rPr>
          <w:spacing w:val="-3"/>
        </w:rPr>
        <w:t xml:space="preserve"> </w:t>
      </w:r>
      <w:r>
        <w:t>commitment</w:t>
      </w:r>
      <w:r>
        <w:rPr>
          <w:spacing w:val="-4"/>
        </w:rPr>
        <w:t xml:space="preserve"> </w:t>
      </w:r>
      <w:r>
        <w:t>to</w:t>
      </w:r>
      <w:r>
        <w:rPr>
          <w:spacing w:val="-1"/>
        </w:rPr>
        <w:t xml:space="preserve"> </w:t>
      </w:r>
      <w:r>
        <w:t>ending</w:t>
      </w:r>
      <w:r>
        <w:rPr>
          <w:spacing w:val="-3"/>
        </w:rPr>
        <w:t xml:space="preserve"> </w:t>
      </w:r>
      <w:r>
        <w:t>youth</w:t>
      </w:r>
      <w:r>
        <w:rPr>
          <w:spacing w:val="-3"/>
        </w:rPr>
        <w:t xml:space="preserve"> </w:t>
      </w:r>
      <w:r>
        <w:t>homelessness</w:t>
      </w:r>
      <w:r>
        <w:rPr>
          <w:spacing w:val="-2"/>
        </w:rPr>
        <w:t xml:space="preserve"> </w:t>
      </w:r>
      <w:r>
        <w:t>over the last severa</w:t>
      </w:r>
      <w:r>
        <w:t>l years. Additionally, the Commission has taken into consideration the impact of uncertainties</w:t>
      </w:r>
      <w:r>
        <w:rPr>
          <w:spacing w:val="-13"/>
        </w:rPr>
        <w:t xml:space="preserve"> </w:t>
      </w:r>
      <w:r>
        <w:t>faced</w:t>
      </w:r>
      <w:r>
        <w:rPr>
          <w:spacing w:val="-13"/>
        </w:rPr>
        <w:t xml:space="preserve"> </w:t>
      </w:r>
      <w:r>
        <w:t>by</w:t>
      </w:r>
      <w:r>
        <w:rPr>
          <w:spacing w:val="-14"/>
        </w:rPr>
        <w:t xml:space="preserve"> </w:t>
      </w:r>
      <w:r>
        <w:t>LGBTQ</w:t>
      </w:r>
      <w:r>
        <w:rPr>
          <w:spacing w:val="-13"/>
        </w:rPr>
        <w:t xml:space="preserve"> </w:t>
      </w:r>
      <w:r>
        <w:t>youth</w:t>
      </w:r>
      <w:r>
        <w:rPr>
          <w:spacing w:val="-13"/>
        </w:rPr>
        <w:t xml:space="preserve"> </w:t>
      </w:r>
      <w:r>
        <w:t>–</w:t>
      </w:r>
      <w:r>
        <w:rPr>
          <w:spacing w:val="-13"/>
        </w:rPr>
        <w:t xml:space="preserve"> </w:t>
      </w:r>
      <w:r>
        <w:t>especially</w:t>
      </w:r>
      <w:r>
        <w:rPr>
          <w:spacing w:val="-12"/>
        </w:rPr>
        <w:t xml:space="preserve"> </w:t>
      </w:r>
      <w:r>
        <w:t>QTBIPOC</w:t>
      </w:r>
      <w:r>
        <w:rPr>
          <w:spacing w:val="-13"/>
        </w:rPr>
        <w:t xml:space="preserve"> </w:t>
      </w:r>
      <w:r>
        <w:t>and</w:t>
      </w:r>
      <w:r>
        <w:rPr>
          <w:spacing w:val="-13"/>
        </w:rPr>
        <w:t xml:space="preserve"> </w:t>
      </w:r>
      <w:r>
        <w:t>non-binary</w:t>
      </w:r>
      <w:r>
        <w:rPr>
          <w:spacing w:val="-14"/>
        </w:rPr>
        <w:t xml:space="preserve"> </w:t>
      </w:r>
      <w:r>
        <w:t>LGBTQ</w:t>
      </w:r>
      <w:r>
        <w:rPr>
          <w:spacing w:val="-12"/>
        </w:rPr>
        <w:t xml:space="preserve"> </w:t>
      </w:r>
      <w:r>
        <w:t>youth,</w:t>
      </w:r>
      <w:r>
        <w:rPr>
          <w:spacing w:val="-13"/>
        </w:rPr>
        <w:t xml:space="preserve"> </w:t>
      </w:r>
      <w:r>
        <w:t>during</w:t>
      </w:r>
      <w:r>
        <w:rPr>
          <w:spacing w:val="-13"/>
        </w:rPr>
        <w:t xml:space="preserve"> </w:t>
      </w:r>
      <w:r>
        <w:t>the</w:t>
      </w:r>
      <w:r>
        <w:rPr>
          <w:spacing w:val="-13"/>
        </w:rPr>
        <w:t xml:space="preserve"> </w:t>
      </w:r>
      <w:r>
        <w:t>COVID-</w:t>
      </w:r>
    </w:p>
    <w:p w:rsidR="00C76E6D" w:rsidRDefault="00913831">
      <w:pPr>
        <w:pStyle w:val="BodyText"/>
        <w:spacing w:line="276" w:lineRule="auto"/>
        <w:ind w:left="479" w:right="473"/>
        <w:jc w:val="both"/>
      </w:pPr>
      <w:r>
        <w:t>19 pandemic. The COVID-19 pandemic has highlighted and exacerbated the ex</w:t>
      </w:r>
      <w:r>
        <w:t xml:space="preserve">isting multifaceted disparities impacting marginalized communities. To address the current state of young people experiencing homelessness and housing insecurity in Massachusetts, the Commonwealth must commit to collaborating with stakeholders to advocate </w:t>
      </w:r>
      <w:r>
        <w:t>for prevention, assistance, and ongoing support for housing insecure youth.</w:t>
      </w:r>
    </w:p>
    <w:p w:rsidR="00C76E6D" w:rsidRDefault="00C76E6D">
      <w:pPr>
        <w:pStyle w:val="BodyText"/>
        <w:spacing w:before="5"/>
        <w:rPr>
          <w:sz w:val="26"/>
        </w:rPr>
      </w:pPr>
    </w:p>
    <w:p w:rsidR="00C76E6D" w:rsidRDefault="00913831">
      <w:pPr>
        <w:pStyle w:val="BodyText"/>
        <w:spacing w:line="276" w:lineRule="auto"/>
        <w:ind w:left="481" w:right="522" w:hanging="2"/>
        <w:jc w:val="both"/>
      </w:pPr>
      <w:r>
        <w:t>The</w:t>
      </w:r>
      <w:r>
        <w:rPr>
          <w:spacing w:val="-2"/>
        </w:rPr>
        <w:t xml:space="preserve"> </w:t>
      </w:r>
      <w:r>
        <w:t>Commission</w:t>
      </w:r>
      <w:r>
        <w:rPr>
          <w:spacing w:val="-2"/>
        </w:rPr>
        <w:t xml:space="preserve"> </w:t>
      </w:r>
      <w:r>
        <w:t>is</w:t>
      </w:r>
      <w:r>
        <w:rPr>
          <w:spacing w:val="-1"/>
        </w:rPr>
        <w:t xml:space="preserve"> </w:t>
      </w:r>
      <w:r>
        <w:t>committed</w:t>
      </w:r>
      <w:r>
        <w:rPr>
          <w:spacing w:val="-1"/>
        </w:rPr>
        <w:t xml:space="preserve"> </w:t>
      </w:r>
      <w:r>
        <w:t>to</w:t>
      </w:r>
      <w:r>
        <w:rPr>
          <w:spacing w:val="-1"/>
        </w:rPr>
        <w:t xml:space="preserve"> </w:t>
      </w:r>
      <w:r>
        <w:t>partnering</w:t>
      </w:r>
      <w:r>
        <w:rPr>
          <w:spacing w:val="-2"/>
        </w:rPr>
        <w:t xml:space="preserve"> </w:t>
      </w:r>
      <w:r>
        <w:t>with</w:t>
      </w:r>
      <w:r>
        <w:rPr>
          <w:spacing w:val="-1"/>
        </w:rPr>
        <w:t xml:space="preserve"> </w:t>
      </w:r>
      <w:r>
        <w:t>executive</w:t>
      </w:r>
      <w:r>
        <w:rPr>
          <w:spacing w:val="-1"/>
        </w:rPr>
        <w:t xml:space="preserve"> </w:t>
      </w:r>
      <w:r>
        <w:t>agencies</w:t>
      </w:r>
      <w:r>
        <w:rPr>
          <w:spacing w:val="-1"/>
        </w:rPr>
        <w:t xml:space="preserve"> </w:t>
      </w:r>
      <w:r>
        <w:t>such</w:t>
      </w:r>
      <w:r>
        <w:rPr>
          <w:spacing w:val="-1"/>
        </w:rPr>
        <w:t xml:space="preserve"> </w:t>
      </w:r>
      <w:r>
        <w:t>as the</w:t>
      </w:r>
      <w:r>
        <w:rPr>
          <w:spacing w:val="-2"/>
        </w:rPr>
        <w:t xml:space="preserve"> </w:t>
      </w:r>
      <w:r>
        <w:t>Department</w:t>
      </w:r>
      <w:r>
        <w:rPr>
          <w:spacing w:val="-2"/>
        </w:rPr>
        <w:t xml:space="preserve"> </w:t>
      </w:r>
      <w:r>
        <w:t>of</w:t>
      </w:r>
      <w:r>
        <w:rPr>
          <w:spacing w:val="-2"/>
        </w:rPr>
        <w:t xml:space="preserve"> </w:t>
      </w:r>
      <w:r>
        <w:t>Housing and Community Development and the Executive Office of Health and Human Services (EOHHS), the MA Special Commission on Unaccompanied Homeless Youth, as well as many other advocacy groups, to advance policies and legislation aimed at ending youth hom</w:t>
      </w:r>
      <w:r>
        <w:t>elessness. The Commission continues to partner with the MA Special Commission on Unaccompanied Homeless Youth and Massachusetts Coalition for Homelessness to support the Massachusetts Youth Count. Further, the Commission is a named stakeholder on the MA Sp</w:t>
      </w:r>
      <w:r>
        <w:t>ecial Commission on Unaccompanied Homeless Youth that guides the implementation of the Massachusetts State Plan to End Youth Homelessness released in 2018.</w:t>
      </w:r>
    </w:p>
    <w:p w:rsidR="00C76E6D" w:rsidRDefault="00C76E6D">
      <w:pPr>
        <w:spacing w:line="276" w:lineRule="auto"/>
        <w:jc w:val="both"/>
        <w:sectPr w:rsidR="00C76E6D">
          <w:headerReference w:type="default" r:id="rId203"/>
          <w:footerReference w:type="default" r:id="rId204"/>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spacing w:before="3"/>
        <w:rPr>
          <w:sz w:val="18"/>
        </w:rPr>
      </w:pPr>
    </w:p>
    <w:p w:rsidR="00C76E6D" w:rsidRDefault="00913831">
      <w:pPr>
        <w:pStyle w:val="Heading6"/>
        <w:numPr>
          <w:ilvl w:val="0"/>
          <w:numId w:val="42"/>
        </w:numPr>
        <w:tabs>
          <w:tab w:val="left" w:pos="813"/>
        </w:tabs>
        <w:ind w:left="812" w:hanging="335"/>
      </w:pPr>
      <w:bookmarkStart w:id="259" w:name="_bookmark160"/>
      <w:bookmarkEnd w:id="259"/>
      <w:r>
        <w:rPr>
          <w:w w:val="95"/>
        </w:rPr>
        <w:t>Recommendations</w:t>
      </w:r>
      <w:r>
        <w:rPr>
          <w:spacing w:val="10"/>
        </w:rPr>
        <w:t xml:space="preserve"> </w:t>
      </w:r>
      <w:r>
        <w:rPr>
          <w:w w:val="95"/>
        </w:rPr>
        <w:t>to</w:t>
      </w:r>
      <w:r>
        <w:rPr>
          <w:spacing w:val="12"/>
        </w:rPr>
        <w:t xml:space="preserve"> </w:t>
      </w:r>
      <w:r>
        <w:rPr>
          <w:w w:val="95"/>
        </w:rPr>
        <w:t>the</w:t>
      </w:r>
      <w:r>
        <w:rPr>
          <w:spacing w:val="10"/>
        </w:rPr>
        <w:t xml:space="preserve"> </w:t>
      </w:r>
      <w:r>
        <w:rPr>
          <w:w w:val="95"/>
        </w:rPr>
        <w:t>Governor</w:t>
      </w:r>
      <w:r>
        <w:rPr>
          <w:spacing w:val="16"/>
        </w:rPr>
        <w:t xml:space="preserve"> </w:t>
      </w:r>
      <w:r>
        <w:rPr>
          <w:w w:val="95"/>
        </w:rPr>
        <w:t>and</w:t>
      </w:r>
      <w:r>
        <w:rPr>
          <w:spacing w:val="14"/>
        </w:rPr>
        <w:t xml:space="preserve"> </w:t>
      </w:r>
      <w:r>
        <w:rPr>
          <w:w w:val="95"/>
        </w:rPr>
        <w:t>Legislature</w:t>
      </w:r>
      <w:r>
        <w:rPr>
          <w:spacing w:val="12"/>
        </w:rPr>
        <w:t xml:space="preserve"> </w:t>
      </w:r>
      <w:r>
        <w:rPr>
          <w:w w:val="95"/>
        </w:rPr>
        <w:t>on</w:t>
      </w:r>
      <w:r>
        <w:rPr>
          <w:spacing w:val="12"/>
        </w:rPr>
        <w:t xml:space="preserve"> </w:t>
      </w:r>
      <w:r>
        <w:rPr>
          <w:spacing w:val="-2"/>
          <w:w w:val="95"/>
        </w:rPr>
        <w:t>Homelessness</w:t>
      </w:r>
    </w:p>
    <w:p w:rsidR="00C76E6D" w:rsidRDefault="00913831">
      <w:pPr>
        <w:pStyle w:val="BodyText"/>
        <w:spacing w:before="7"/>
        <w:rPr>
          <w:b/>
          <w:sz w:val="19"/>
        </w:rPr>
      </w:pPr>
      <w:r>
        <w:pict>
          <v:shape id="docshape279" o:spid="_x0000_s1157" style="position:absolute;margin-left:1in;margin-top:13.15pt;width:466.2pt;height:.1pt;z-index:-15682048;mso-wrap-distance-left:0;mso-wrap-distance-right:0;mso-position-horizontal-relative:page" coordorigin="1440,263" coordsize="9324,0" path="m1440,263r9324,e" filled="f" strokeweight=".38489mm">
            <v:path arrowok="t"/>
            <w10:wrap type="topAndBottom" anchorx="page"/>
          </v:shape>
        </w:pict>
      </w:r>
    </w:p>
    <w:p w:rsidR="00C76E6D" w:rsidRDefault="00C76E6D">
      <w:pPr>
        <w:pStyle w:val="BodyText"/>
        <w:rPr>
          <w:b/>
        </w:rPr>
      </w:pPr>
    </w:p>
    <w:p w:rsidR="00C76E6D" w:rsidRDefault="00C76E6D">
      <w:pPr>
        <w:pStyle w:val="BodyText"/>
        <w:spacing w:before="5"/>
        <w:rPr>
          <w:b/>
          <w:sz w:val="17"/>
        </w:rPr>
      </w:pPr>
    </w:p>
    <w:p w:rsidR="00C76E6D" w:rsidRDefault="00913831">
      <w:pPr>
        <w:pStyle w:val="ListParagraph"/>
        <w:numPr>
          <w:ilvl w:val="1"/>
          <w:numId w:val="42"/>
        </w:numPr>
        <w:tabs>
          <w:tab w:val="left" w:pos="839"/>
        </w:tabs>
        <w:ind w:hanging="361"/>
        <w:rPr>
          <w:b/>
        </w:rPr>
      </w:pPr>
      <w:r>
        <w:rPr>
          <w:b/>
        </w:rPr>
        <w:t>Improve</w:t>
      </w:r>
      <w:r>
        <w:rPr>
          <w:b/>
          <w:spacing w:val="14"/>
        </w:rPr>
        <w:t xml:space="preserve"> </w:t>
      </w:r>
      <w:r>
        <w:rPr>
          <w:b/>
        </w:rPr>
        <w:t>access</w:t>
      </w:r>
      <w:r>
        <w:rPr>
          <w:b/>
          <w:spacing w:val="15"/>
        </w:rPr>
        <w:t xml:space="preserve"> </w:t>
      </w:r>
      <w:r>
        <w:rPr>
          <w:b/>
        </w:rPr>
        <w:t>to</w:t>
      </w:r>
      <w:r>
        <w:rPr>
          <w:b/>
          <w:spacing w:val="12"/>
        </w:rPr>
        <w:t xml:space="preserve"> </w:t>
      </w:r>
      <w:r>
        <w:rPr>
          <w:b/>
        </w:rPr>
        <w:t>state</w:t>
      </w:r>
      <w:r>
        <w:rPr>
          <w:b/>
          <w:spacing w:val="16"/>
        </w:rPr>
        <w:t xml:space="preserve"> </w:t>
      </w:r>
      <w:r>
        <w:rPr>
          <w:b/>
        </w:rPr>
        <w:t>IDs</w:t>
      </w:r>
      <w:r>
        <w:rPr>
          <w:b/>
          <w:spacing w:val="13"/>
        </w:rPr>
        <w:t xml:space="preserve"> </w:t>
      </w:r>
      <w:r>
        <w:rPr>
          <w:b/>
        </w:rPr>
        <w:t>for</w:t>
      </w:r>
      <w:r>
        <w:rPr>
          <w:b/>
          <w:spacing w:val="16"/>
        </w:rPr>
        <w:t xml:space="preserve"> </w:t>
      </w:r>
      <w:r>
        <w:rPr>
          <w:b/>
        </w:rPr>
        <w:t>youth</w:t>
      </w:r>
      <w:r>
        <w:rPr>
          <w:b/>
          <w:spacing w:val="12"/>
        </w:rPr>
        <w:t xml:space="preserve"> </w:t>
      </w:r>
      <w:r>
        <w:rPr>
          <w:b/>
        </w:rPr>
        <w:t>experiencing</w:t>
      </w:r>
      <w:r>
        <w:rPr>
          <w:b/>
          <w:spacing w:val="12"/>
        </w:rPr>
        <w:t xml:space="preserve"> </w:t>
      </w:r>
      <w:r>
        <w:rPr>
          <w:b/>
        </w:rPr>
        <w:t>homelessness</w:t>
      </w:r>
      <w:r>
        <w:rPr>
          <w:b/>
          <w:spacing w:val="10"/>
        </w:rPr>
        <w:t xml:space="preserve"> </w:t>
      </w:r>
      <w:r>
        <w:rPr>
          <w:b/>
        </w:rPr>
        <w:t>and</w:t>
      </w:r>
      <w:r>
        <w:rPr>
          <w:b/>
          <w:spacing w:val="16"/>
        </w:rPr>
        <w:t xml:space="preserve"> </w:t>
      </w:r>
      <w:r>
        <w:rPr>
          <w:b/>
        </w:rPr>
        <w:t>gender</w:t>
      </w:r>
      <w:r>
        <w:rPr>
          <w:b/>
          <w:spacing w:val="13"/>
        </w:rPr>
        <w:t xml:space="preserve"> </w:t>
      </w:r>
      <w:r>
        <w:rPr>
          <w:b/>
        </w:rPr>
        <w:t>expansive</w:t>
      </w:r>
      <w:r>
        <w:rPr>
          <w:b/>
          <w:spacing w:val="-11"/>
        </w:rPr>
        <w:t xml:space="preserve"> </w:t>
      </w:r>
      <w:r>
        <w:rPr>
          <w:b/>
          <w:spacing w:val="-2"/>
        </w:rPr>
        <w:t>youth.</w:t>
      </w:r>
    </w:p>
    <w:p w:rsidR="00C76E6D" w:rsidRDefault="00C76E6D">
      <w:pPr>
        <w:pStyle w:val="BodyText"/>
        <w:spacing w:before="2"/>
        <w:rPr>
          <w:b/>
          <w:sz w:val="26"/>
        </w:rPr>
      </w:pPr>
    </w:p>
    <w:p w:rsidR="00C76E6D" w:rsidRDefault="00913831">
      <w:pPr>
        <w:pStyle w:val="BodyText"/>
        <w:spacing w:line="276" w:lineRule="auto"/>
        <w:ind w:left="478" w:right="477"/>
        <w:jc w:val="both"/>
      </w:pPr>
      <w:r>
        <w:t>Proper identification is crucial for homeless individuals, especially youth, to prove eligibility to access services such as financial benefits, housing assistance, food assistance, and educational and vocational opportunities</w:t>
      </w:r>
      <w:hyperlink w:anchor="_bookmark165" w:history="1">
        <w:r>
          <w:t>.</w:t>
        </w:r>
        <w:r>
          <w:rPr>
            <w:vertAlign w:val="superscript"/>
          </w:rPr>
          <w:t>3</w:t>
        </w:r>
        <w:r>
          <w:t xml:space="preserve"> </w:t>
        </w:r>
      </w:hyperlink>
      <w:r>
        <w:t>Barriers to accessing and maintaining legitimate forms of identification for homeless and unaccompanied youth include but are not limited to the identity verification catch-22 (requirement of official ID(s) to request an ID), residency verification, v</w:t>
      </w:r>
      <w:r>
        <w:t>aried limits on type and age of ID requestor (parent/guardian/self), cost and arduous bureaucratic process, limited to no access of space for safekeeping personal items, and lack of accessible amendment policies to gender marking and name change</w:t>
      </w:r>
      <w:hyperlink w:anchor="_bookmark166" w:history="1">
        <w:r>
          <w:t>.</w:t>
        </w:r>
        <w:r>
          <w:rPr>
            <w:vertAlign w:val="superscript"/>
          </w:rPr>
          <w:t>4</w:t>
        </w:r>
        <w:r>
          <w:rPr>
            <w:spacing w:val="-13"/>
          </w:rPr>
          <w:t xml:space="preserve"> </w:t>
        </w:r>
      </w:hyperlink>
      <w:r>
        <w:t>LGBTQ</w:t>
      </w:r>
      <w:r>
        <w:rPr>
          <w:spacing w:val="-12"/>
        </w:rPr>
        <w:t xml:space="preserve"> </w:t>
      </w:r>
      <w:r>
        <w:t>people</w:t>
      </w:r>
      <w:r>
        <w:rPr>
          <w:spacing w:val="-13"/>
        </w:rPr>
        <w:t xml:space="preserve"> </w:t>
      </w:r>
      <w:r>
        <w:t>are</w:t>
      </w:r>
      <w:r>
        <w:rPr>
          <w:spacing w:val="-12"/>
        </w:rPr>
        <w:t xml:space="preserve"> </w:t>
      </w:r>
      <w:r>
        <w:t>more</w:t>
      </w:r>
      <w:r>
        <w:rPr>
          <w:spacing w:val="-13"/>
        </w:rPr>
        <w:t xml:space="preserve"> </w:t>
      </w:r>
      <w:r>
        <w:t>likely</w:t>
      </w:r>
      <w:r>
        <w:rPr>
          <w:spacing w:val="-12"/>
        </w:rPr>
        <w:t xml:space="preserve"> </w:t>
      </w:r>
      <w:r>
        <w:t>to</w:t>
      </w:r>
      <w:r>
        <w:rPr>
          <w:spacing w:val="-13"/>
        </w:rPr>
        <w:t xml:space="preserve"> </w:t>
      </w:r>
      <w:r>
        <w:t>experience</w:t>
      </w:r>
      <w:r>
        <w:rPr>
          <w:spacing w:val="-12"/>
        </w:rPr>
        <w:t xml:space="preserve"> </w:t>
      </w:r>
      <w:r>
        <w:t>harassment</w:t>
      </w:r>
      <w:r>
        <w:rPr>
          <w:spacing w:val="-12"/>
        </w:rPr>
        <w:t xml:space="preserve"> </w:t>
      </w:r>
      <w:r>
        <w:t>and</w:t>
      </w:r>
      <w:r>
        <w:rPr>
          <w:spacing w:val="-13"/>
        </w:rPr>
        <w:t xml:space="preserve"> </w:t>
      </w:r>
      <w:r>
        <w:t>discrimination</w:t>
      </w:r>
      <w:r>
        <w:rPr>
          <w:spacing w:val="-12"/>
        </w:rPr>
        <w:t xml:space="preserve"> </w:t>
      </w:r>
      <w:r>
        <w:t>when</w:t>
      </w:r>
      <w:r>
        <w:rPr>
          <w:spacing w:val="-13"/>
        </w:rPr>
        <w:t xml:space="preserve"> </w:t>
      </w:r>
      <w:r>
        <w:t>seeking</w:t>
      </w:r>
      <w:r>
        <w:rPr>
          <w:spacing w:val="-12"/>
        </w:rPr>
        <w:t xml:space="preserve"> </w:t>
      </w:r>
      <w:r>
        <w:t>shelter and housing assistance, which may be complicated by a lack of proper identification and youth status</w:t>
      </w:r>
      <w:hyperlink w:anchor="_bookmark167" w:history="1">
        <w:r>
          <w:t>.</w:t>
        </w:r>
        <w:r>
          <w:rPr>
            <w:vertAlign w:val="superscript"/>
          </w:rPr>
          <w:t>5</w:t>
        </w:r>
      </w:hyperlink>
      <w:hyperlink w:anchor="_bookmark168" w:history="1">
        <w:r>
          <w:rPr>
            <w:vertAlign w:val="superscript"/>
          </w:rPr>
          <w:t>,6</w:t>
        </w:r>
      </w:hyperlink>
    </w:p>
    <w:p w:rsidR="00C76E6D" w:rsidRDefault="00C76E6D">
      <w:pPr>
        <w:pStyle w:val="BodyText"/>
        <w:spacing w:before="4"/>
        <w:rPr>
          <w:sz w:val="25"/>
        </w:rPr>
      </w:pPr>
    </w:p>
    <w:p w:rsidR="00C76E6D" w:rsidRDefault="00913831">
      <w:pPr>
        <w:pStyle w:val="BodyText"/>
        <w:spacing w:line="276" w:lineRule="auto"/>
        <w:ind w:left="478" w:right="474"/>
        <w:jc w:val="both"/>
      </w:pPr>
      <w:r>
        <w:t>Access to gender-affirming identification is of particular importance for QTBIPOC, transgender, and gender expansive LGBTQ youth and those experiencing homelessness. Using data from a landmark 2015 national survey of trans</w:t>
      </w:r>
      <w:r>
        <w:t>gender individuals, researchers estimate that in 2021, approximately 467,000 transgender adults did not have IDs reflecting their gender identity</w:t>
      </w:r>
      <w:hyperlink w:anchor="_bookmark169" w:history="1">
        <w:r>
          <w:t>.</w:t>
        </w:r>
        <w:r>
          <w:rPr>
            <w:vertAlign w:val="superscript"/>
          </w:rPr>
          <w:t>7</w:t>
        </w:r>
      </w:hyperlink>
      <w:r>
        <w:t xml:space="preserve"> Additionally, based on a 2022 national study, researchers found that youth w</w:t>
      </w:r>
      <w:r>
        <w:t>ith nonbinary pronouns (i.e. they/them) are less likely to have access to and the ability to obtain updated identification documents when compared to their transgender and gender expansive counterparts with binary pronouns (i.e. she/her and he/him)</w:t>
      </w:r>
      <w:hyperlink w:anchor="_bookmark170" w:history="1">
        <w:r>
          <w:t>.</w:t>
        </w:r>
        <w:r>
          <w:rPr>
            <w:vertAlign w:val="superscript"/>
          </w:rPr>
          <w:t>8</w:t>
        </w:r>
      </w:hyperlink>
      <w:r>
        <w:t xml:space="preserve"> The absence</w:t>
      </w:r>
      <w:r>
        <w:rPr>
          <w:spacing w:val="-7"/>
        </w:rPr>
        <w:t xml:space="preserve"> </w:t>
      </w:r>
      <w:r>
        <w:t>of</w:t>
      </w:r>
      <w:r>
        <w:rPr>
          <w:spacing w:val="-6"/>
        </w:rPr>
        <w:t xml:space="preserve"> </w:t>
      </w:r>
      <w:r>
        <w:t>gender-affirming</w:t>
      </w:r>
      <w:r>
        <w:rPr>
          <w:spacing w:val="-8"/>
        </w:rPr>
        <w:t xml:space="preserve"> </w:t>
      </w:r>
      <w:r>
        <w:t>identification</w:t>
      </w:r>
      <w:r>
        <w:rPr>
          <w:spacing w:val="-8"/>
        </w:rPr>
        <w:t xml:space="preserve"> </w:t>
      </w:r>
      <w:r>
        <w:t>may</w:t>
      </w:r>
      <w:r>
        <w:rPr>
          <w:spacing w:val="-5"/>
        </w:rPr>
        <w:t xml:space="preserve"> </w:t>
      </w:r>
      <w:r>
        <w:t>contribute</w:t>
      </w:r>
      <w:r>
        <w:rPr>
          <w:spacing w:val="-5"/>
        </w:rPr>
        <w:t xml:space="preserve"> </w:t>
      </w:r>
      <w:r>
        <w:t>to</w:t>
      </w:r>
      <w:r>
        <w:rPr>
          <w:spacing w:val="-6"/>
        </w:rPr>
        <w:t xml:space="preserve"> </w:t>
      </w:r>
      <w:r>
        <w:t>a</w:t>
      </w:r>
      <w:r>
        <w:rPr>
          <w:spacing w:val="-6"/>
        </w:rPr>
        <w:t xml:space="preserve"> </w:t>
      </w:r>
      <w:r>
        <w:t>number</w:t>
      </w:r>
      <w:r>
        <w:rPr>
          <w:spacing w:val="-6"/>
        </w:rPr>
        <w:t xml:space="preserve"> </w:t>
      </w:r>
      <w:r>
        <w:t>of</w:t>
      </w:r>
      <w:r>
        <w:rPr>
          <w:spacing w:val="-6"/>
        </w:rPr>
        <w:t xml:space="preserve"> </w:t>
      </w:r>
      <w:r>
        <w:t>negative</w:t>
      </w:r>
      <w:r>
        <w:rPr>
          <w:spacing w:val="-7"/>
        </w:rPr>
        <w:t xml:space="preserve"> </w:t>
      </w:r>
      <w:r>
        <w:t>consequences</w:t>
      </w:r>
      <w:r>
        <w:rPr>
          <w:spacing w:val="-6"/>
        </w:rPr>
        <w:t xml:space="preserve"> </w:t>
      </w:r>
      <w:r>
        <w:t>such</w:t>
      </w:r>
      <w:r>
        <w:rPr>
          <w:spacing w:val="-8"/>
        </w:rPr>
        <w:t xml:space="preserve"> </w:t>
      </w:r>
      <w:r>
        <w:t>as harassment and violence when presenting gender incongruent identification, travel safety risks, limited access to healthca</w:t>
      </w:r>
      <w:r>
        <w:t>re, and worsening mental health status</w:t>
      </w:r>
      <w:hyperlink w:anchor="_bookmark171" w:history="1">
        <w:r>
          <w:t>.</w:t>
        </w:r>
        <w:r>
          <w:rPr>
            <w:vertAlign w:val="superscript"/>
          </w:rPr>
          <w:t>9</w:t>
        </w:r>
      </w:hyperlink>
    </w:p>
    <w:p w:rsidR="00C76E6D" w:rsidRDefault="00C76E6D">
      <w:pPr>
        <w:pStyle w:val="BodyText"/>
        <w:spacing w:before="4"/>
        <w:rPr>
          <w:sz w:val="25"/>
        </w:rPr>
      </w:pPr>
    </w:p>
    <w:p w:rsidR="00C76E6D" w:rsidRDefault="00913831">
      <w:pPr>
        <w:pStyle w:val="BodyText"/>
        <w:spacing w:line="276" w:lineRule="auto"/>
        <w:ind w:left="478" w:right="472"/>
        <w:jc w:val="both"/>
      </w:pPr>
      <w:r>
        <w:t>In the Commission’s FY22 Recommendations Report, the Commission was glad to highlight the Massachusetts</w:t>
      </w:r>
      <w:r>
        <w:rPr>
          <w:spacing w:val="-13"/>
        </w:rPr>
        <w:t xml:space="preserve"> </w:t>
      </w:r>
      <w:r>
        <w:t>Senate</w:t>
      </w:r>
      <w:r>
        <w:rPr>
          <w:spacing w:val="-12"/>
        </w:rPr>
        <w:t xml:space="preserve"> </w:t>
      </w:r>
      <w:r>
        <w:t>passing</w:t>
      </w:r>
      <w:r>
        <w:rPr>
          <w:spacing w:val="-13"/>
        </w:rPr>
        <w:t xml:space="preserve"> </w:t>
      </w:r>
      <w:r>
        <w:t>An</w:t>
      </w:r>
      <w:r>
        <w:rPr>
          <w:spacing w:val="-12"/>
        </w:rPr>
        <w:t xml:space="preserve"> </w:t>
      </w:r>
      <w:r>
        <w:t>Act</w:t>
      </w:r>
      <w:r>
        <w:rPr>
          <w:spacing w:val="-13"/>
        </w:rPr>
        <w:t xml:space="preserve"> </w:t>
      </w:r>
      <w:r>
        <w:t>Relative</w:t>
      </w:r>
      <w:r>
        <w:rPr>
          <w:spacing w:val="-12"/>
        </w:rPr>
        <w:t xml:space="preserve"> </w:t>
      </w:r>
      <w:r>
        <w:t>to</w:t>
      </w:r>
      <w:r>
        <w:rPr>
          <w:spacing w:val="-13"/>
        </w:rPr>
        <w:t xml:space="preserve"> </w:t>
      </w:r>
      <w:r>
        <w:t>Gender</w:t>
      </w:r>
      <w:r>
        <w:rPr>
          <w:spacing w:val="-12"/>
        </w:rPr>
        <w:t xml:space="preserve"> </w:t>
      </w:r>
      <w:r>
        <w:t>Identity</w:t>
      </w:r>
      <w:r>
        <w:rPr>
          <w:spacing w:val="-12"/>
        </w:rPr>
        <w:t xml:space="preserve"> </w:t>
      </w:r>
      <w:r>
        <w:t>on</w:t>
      </w:r>
      <w:r>
        <w:rPr>
          <w:spacing w:val="-13"/>
        </w:rPr>
        <w:t xml:space="preserve"> </w:t>
      </w:r>
      <w:r>
        <w:t>Massachusetts</w:t>
      </w:r>
      <w:r>
        <w:rPr>
          <w:spacing w:val="-12"/>
        </w:rPr>
        <w:t xml:space="preserve"> </w:t>
      </w:r>
      <w:r>
        <w:t>Identification</w:t>
      </w:r>
      <w:r>
        <w:rPr>
          <w:spacing w:val="-13"/>
        </w:rPr>
        <w:t xml:space="preserve"> </w:t>
      </w:r>
      <w:r>
        <w:t>(S.2213) in</w:t>
      </w:r>
      <w:r>
        <w:rPr>
          <w:spacing w:val="-4"/>
        </w:rPr>
        <w:t xml:space="preserve"> </w:t>
      </w:r>
      <w:r>
        <w:t>the</w:t>
      </w:r>
      <w:r>
        <w:rPr>
          <w:spacing w:val="-4"/>
        </w:rPr>
        <w:t xml:space="preserve"> </w:t>
      </w:r>
      <w:r>
        <w:t>191</w:t>
      </w:r>
      <w:r>
        <w:rPr>
          <w:vertAlign w:val="superscript"/>
        </w:rPr>
        <w:t>st</w:t>
      </w:r>
      <w:r>
        <w:rPr>
          <w:spacing w:val="-3"/>
        </w:rPr>
        <w:t xml:space="preserve"> </w:t>
      </w:r>
      <w:r>
        <w:t>(2019-2020)</w:t>
      </w:r>
      <w:r>
        <w:rPr>
          <w:spacing w:val="-4"/>
        </w:rPr>
        <w:t xml:space="preserve"> </w:t>
      </w:r>
      <w:r>
        <w:t>General</w:t>
      </w:r>
      <w:r>
        <w:rPr>
          <w:spacing w:val="-4"/>
        </w:rPr>
        <w:t xml:space="preserve"> </w:t>
      </w:r>
      <w:r>
        <w:t>Court</w:t>
      </w:r>
      <w:r>
        <w:rPr>
          <w:spacing w:val="-5"/>
        </w:rPr>
        <w:t xml:space="preserve"> </w:t>
      </w:r>
      <w:r>
        <w:t>session.</w:t>
      </w:r>
      <w:r>
        <w:rPr>
          <w:spacing w:val="-4"/>
        </w:rPr>
        <w:t xml:space="preserve"> </w:t>
      </w:r>
      <w:r>
        <w:t>This</w:t>
      </w:r>
      <w:r>
        <w:rPr>
          <w:spacing w:val="-3"/>
        </w:rPr>
        <w:t xml:space="preserve"> </w:t>
      </w:r>
      <w:r>
        <w:t>bill</w:t>
      </w:r>
      <w:r>
        <w:rPr>
          <w:spacing w:val="-4"/>
        </w:rPr>
        <w:t xml:space="preserve"> </w:t>
      </w:r>
      <w:r>
        <w:t>would</w:t>
      </w:r>
      <w:r>
        <w:rPr>
          <w:spacing w:val="-3"/>
        </w:rPr>
        <w:t xml:space="preserve"> </w:t>
      </w:r>
      <w:r>
        <w:t>expand</w:t>
      </w:r>
      <w:r>
        <w:rPr>
          <w:spacing w:val="-4"/>
        </w:rPr>
        <w:t xml:space="preserve"> </w:t>
      </w:r>
      <w:r>
        <w:t>nonbinary</w:t>
      </w:r>
      <w:r>
        <w:rPr>
          <w:spacing w:val="-4"/>
        </w:rPr>
        <w:t xml:space="preserve"> </w:t>
      </w:r>
      <w:r>
        <w:t>gender</w:t>
      </w:r>
      <w:r>
        <w:rPr>
          <w:spacing w:val="-3"/>
        </w:rPr>
        <w:t xml:space="preserve"> </w:t>
      </w:r>
      <w:r>
        <w:t>markers</w:t>
      </w:r>
      <w:r>
        <w:rPr>
          <w:spacing w:val="-4"/>
        </w:rPr>
        <w:t xml:space="preserve"> </w:t>
      </w:r>
      <w:r>
        <w:t>to</w:t>
      </w:r>
      <w:r>
        <w:rPr>
          <w:spacing w:val="-2"/>
        </w:rPr>
        <w:t xml:space="preserve"> </w:t>
      </w:r>
      <w:r>
        <w:t xml:space="preserve">birth certificates issued in Massachusetts, allow individuals to change their gender marker without a doctor’s note, and empower the </w:t>
      </w:r>
      <w:r>
        <w:t>Attorney General to expand nonbinary markers in other state records systems. Inconsistencies across state agencies regarding gender markers may prevent transgender and gender expansive</w:t>
      </w:r>
      <w:r>
        <w:rPr>
          <w:spacing w:val="-2"/>
        </w:rPr>
        <w:t xml:space="preserve"> </w:t>
      </w:r>
      <w:r>
        <w:t>youth</w:t>
      </w:r>
      <w:r>
        <w:rPr>
          <w:spacing w:val="-2"/>
        </w:rPr>
        <w:t xml:space="preserve"> </w:t>
      </w:r>
      <w:r>
        <w:t>from</w:t>
      </w:r>
      <w:r>
        <w:rPr>
          <w:spacing w:val="-2"/>
        </w:rPr>
        <w:t xml:space="preserve"> </w:t>
      </w:r>
      <w:r>
        <w:t>accessing</w:t>
      </w:r>
      <w:r>
        <w:rPr>
          <w:spacing w:val="-3"/>
        </w:rPr>
        <w:t xml:space="preserve"> </w:t>
      </w:r>
      <w:r>
        <w:t>services</w:t>
      </w:r>
      <w:r>
        <w:rPr>
          <w:spacing w:val="-2"/>
        </w:rPr>
        <w:t xml:space="preserve"> </w:t>
      </w:r>
      <w:r>
        <w:t>to</w:t>
      </w:r>
      <w:r>
        <w:rPr>
          <w:spacing w:val="-1"/>
        </w:rPr>
        <w:t xml:space="preserve"> </w:t>
      </w:r>
      <w:r>
        <w:t>mitigate their</w:t>
      </w:r>
      <w:r>
        <w:rPr>
          <w:spacing w:val="-1"/>
        </w:rPr>
        <w:t xml:space="preserve"> </w:t>
      </w:r>
      <w:r>
        <w:t>risk</w:t>
      </w:r>
      <w:r>
        <w:rPr>
          <w:spacing w:val="-1"/>
        </w:rPr>
        <w:t xml:space="preserve"> </w:t>
      </w:r>
      <w:r>
        <w:t>for homelessness</w:t>
      </w:r>
      <w:r>
        <w:rPr>
          <w:spacing w:val="-2"/>
        </w:rPr>
        <w:t xml:space="preserve"> </w:t>
      </w:r>
      <w:r>
        <w:t>a</w:t>
      </w:r>
      <w:r>
        <w:t>nd</w:t>
      </w:r>
      <w:r>
        <w:rPr>
          <w:spacing w:val="-2"/>
        </w:rPr>
        <w:t xml:space="preserve"> </w:t>
      </w:r>
      <w:r>
        <w:t>support</w:t>
      </w:r>
      <w:r>
        <w:rPr>
          <w:spacing w:val="-2"/>
        </w:rPr>
        <w:t xml:space="preserve"> </w:t>
      </w:r>
      <w:r>
        <w:t>to</w:t>
      </w:r>
      <w:r>
        <w:rPr>
          <w:spacing w:val="-1"/>
        </w:rPr>
        <w:t xml:space="preserve"> </w:t>
      </w:r>
      <w:r>
        <w:t>accessing housing opportunities. The Commission commends the Senate for passing its version (S.2540) of the “Gender X Bill” once more in September 2021, and strongly urges the House Committee on Ways and Means to review and pass An Act Relati</w:t>
      </w:r>
      <w:r>
        <w:t>ve to Gender Identity on Massachusetts Identification in the current 192</w:t>
      </w:r>
      <w:r>
        <w:rPr>
          <w:vertAlign w:val="superscript"/>
        </w:rPr>
        <w:t>nd</w:t>
      </w:r>
      <w:r>
        <w:t xml:space="preserve"> legislative session.</w:t>
      </w:r>
    </w:p>
    <w:p w:rsidR="00C76E6D" w:rsidRDefault="00C76E6D">
      <w:pPr>
        <w:pStyle w:val="BodyText"/>
        <w:spacing w:before="3"/>
        <w:rPr>
          <w:sz w:val="25"/>
        </w:rPr>
      </w:pPr>
    </w:p>
    <w:p w:rsidR="00C76E6D" w:rsidRDefault="00913831">
      <w:pPr>
        <w:pStyle w:val="BodyText"/>
        <w:spacing w:line="276" w:lineRule="auto"/>
        <w:ind w:left="479" w:right="477"/>
        <w:jc w:val="both"/>
      </w:pPr>
      <w:r>
        <w:t>Concerning</w:t>
      </w:r>
      <w:r>
        <w:rPr>
          <w:spacing w:val="-13"/>
        </w:rPr>
        <w:t xml:space="preserve"> </w:t>
      </w:r>
      <w:r>
        <w:t>the</w:t>
      </w:r>
      <w:r>
        <w:rPr>
          <w:spacing w:val="-12"/>
        </w:rPr>
        <w:t xml:space="preserve"> </w:t>
      </w:r>
      <w:r>
        <w:t>Commonwealth’s</w:t>
      </w:r>
      <w:r>
        <w:rPr>
          <w:spacing w:val="-13"/>
        </w:rPr>
        <w:t xml:space="preserve"> </w:t>
      </w:r>
      <w:r>
        <w:t>progress</w:t>
      </w:r>
      <w:r>
        <w:rPr>
          <w:spacing w:val="-12"/>
        </w:rPr>
        <w:t xml:space="preserve"> </w:t>
      </w:r>
      <w:r>
        <w:t>towards</w:t>
      </w:r>
      <w:r>
        <w:rPr>
          <w:spacing w:val="-13"/>
        </w:rPr>
        <w:t xml:space="preserve"> </w:t>
      </w:r>
      <w:r>
        <w:t>increased</w:t>
      </w:r>
      <w:r>
        <w:rPr>
          <w:spacing w:val="-12"/>
        </w:rPr>
        <w:t xml:space="preserve"> </w:t>
      </w:r>
      <w:r>
        <w:t>access</w:t>
      </w:r>
      <w:r>
        <w:rPr>
          <w:spacing w:val="-13"/>
        </w:rPr>
        <w:t xml:space="preserve"> </w:t>
      </w:r>
      <w:r>
        <w:t>to</w:t>
      </w:r>
      <w:r>
        <w:rPr>
          <w:spacing w:val="-12"/>
        </w:rPr>
        <w:t xml:space="preserve"> </w:t>
      </w:r>
      <w:r>
        <w:t>proper</w:t>
      </w:r>
      <w:r>
        <w:rPr>
          <w:spacing w:val="-12"/>
        </w:rPr>
        <w:t xml:space="preserve"> </w:t>
      </w:r>
      <w:r>
        <w:t>identification</w:t>
      </w:r>
      <w:r>
        <w:rPr>
          <w:spacing w:val="-12"/>
        </w:rPr>
        <w:t xml:space="preserve"> </w:t>
      </w:r>
      <w:r>
        <w:t>for</w:t>
      </w:r>
      <w:r>
        <w:rPr>
          <w:spacing w:val="-12"/>
        </w:rPr>
        <w:t xml:space="preserve"> </w:t>
      </w:r>
      <w:r>
        <w:t>homeless LGBTQ youth, the Commission commends the State Senate for unanimously passing An Act to Provide Identification to Youth and Adults Experiencing Homelessness (S.2612)</w:t>
      </w:r>
      <w:r>
        <w:rPr>
          <w:spacing w:val="-2"/>
        </w:rPr>
        <w:t xml:space="preserve"> </w:t>
      </w:r>
      <w:r>
        <w:t>in January 2022 with a 39-0 vote.</w:t>
      </w:r>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spacing w:before="5"/>
        <w:rPr>
          <w:sz w:val="16"/>
        </w:rPr>
      </w:pPr>
    </w:p>
    <w:p w:rsidR="00C76E6D" w:rsidRDefault="00913831">
      <w:pPr>
        <w:pStyle w:val="BodyText"/>
        <w:spacing w:line="276" w:lineRule="auto"/>
        <w:ind w:left="479" w:right="473"/>
        <w:jc w:val="both"/>
      </w:pPr>
      <w:r>
        <w:t>The Commission urges the House Committee on Ways and Means to pass this bill, to mitigate barriers LGBTQ youth face, particularly those experiencing homelessness, to acquiring an ID and urge Gov. Baker to</w:t>
      </w:r>
      <w:r>
        <w:rPr>
          <w:spacing w:val="-5"/>
        </w:rPr>
        <w:t xml:space="preserve"> </w:t>
      </w:r>
      <w:r>
        <w:t>sign</w:t>
      </w:r>
      <w:r>
        <w:rPr>
          <w:spacing w:val="-6"/>
        </w:rPr>
        <w:t xml:space="preserve"> </w:t>
      </w:r>
      <w:r>
        <w:t>this</w:t>
      </w:r>
      <w:r>
        <w:rPr>
          <w:spacing w:val="-4"/>
        </w:rPr>
        <w:t xml:space="preserve"> </w:t>
      </w:r>
      <w:r>
        <w:t>bill</w:t>
      </w:r>
      <w:r>
        <w:rPr>
          <w:spacing w:val="-6"/>
        </w:rPr>
        <w:t xml:space="preserve"> </w:t>
      </w:r>
      <w:r>
        <w:t>into</w:t>
      </w:r>
      <w:r>
        <w:rPr>
          <w:spacing w:val="-3"/>
        </w:rPr>
        <w:t xml:space="preserve"> </w:t>
      </w:r>
      <w:r>
        <w:t>Massachusetts</w:t>
      </w:r>
      <w:r>
        <w:rPr>
          <w:spacing w:val="-5"/>
        </w:rPr>
        <w:t xml:space="preserve"> </w:t>
      </w:r>
      <w:r>
        <w:t>law.</w:t>
      </w:r>
      <w:r>
        <w:rPr>
          <w:spacing w:val="-4"/>
        </w:rPr>
        <w:t xml:space="preserve"> </w:t>
      </w:r>
      <w:r>
        <w:t>This</w:t>
      </w:r>
      <w:r>
        <w:rPr>
          <w:spacing w:val="-5"/>
        </w:rPr>
        <w:t xml:space="preserve"> </w:t>
      </w:r>
      <w:r>
        <w:t>bill</w:t>
      </w:r>
      <w:r>
        <w:rPr>
          <w:spacing w:val="-4"/>
        </w:rPr>
        <w:t xml:space="preserve"> </w:t>
      </w:r>
      <w:r>
        <w:t>di</w:t>
      </w:r>
      <w:r>
        <w:t>rects</w:t>
      </w:r>
      <w:r>
        <w:rPr>
          <w:spacing w:val="-5"/>
        </w:rPr>
        <w:t xml:space="preserve"> </w:t>
      </w:r>
      <w:r>
        <w:t>the</w:t>
      </w:r>
      <w:r>
        <w:rPr>
          <w:spacing w:val="-3"/>
        </w:rPr>
        <w:t xml:space="preserve"> </w:t>
      </w:r>
      <w:r>
        <w:t>Registry</w:t>
      </w:r>
      <w:r>
        <w:rPr>
          <w:spacing w:val="-5"/>
        </w:rPr>
        <w:t xml:space="preserve"> </w:t>
      </w:r>
      <w:r>
        <w:t>of</w:t>
      </w:r>
      <w:r>
        <w:rPr>
          <w:spacing w:val="-5"/>
        </w:rPr>
        <w:t xml:space="preserve"> </w:t>
      </w:r>
      <w:r>
        <w:t>Motor</w:t>
      </w:r>
      <w:r>
        <w:rPr>
          <w:spacing w:val="-5"/>
        </w:rPr>
        <w:t xml:space="preserve"> </w:t>
      </w:r>
      <w:r>
        <w:t>Vehicles</w:t>
      </w:r>
      <w:r>
        <w:rPr>
          <w:spacing w:val="-3"/>
        </w:rPr>
        <w:t xml:space="preserve"> </w:t>
      </w:r>
      <w:r>
        <w:t>to</w:t>
      </w:r>
      <w:r>
        <w:rPr>
          <w:spacing w:val="-5"/>
        </w:rPr>
        <w:t xml:space="preserve"> </w:t>
      </w:r>
      <w:r>
        <w:t>enable</w:t>
      </w:r>
      <w:r>
        <w:rPr>
          <w:spacing w:val="-7"/>
        </w:rPr>
        <w:t xml:space="preserve"> </w:t>
      </w:r>
      <w:r>
        <w:t>a</w:t>
      </w:r>
      <w:r>
        <w:rPr>
          <w:spacing w:val="-4"/>
        </w:rPr>
        <w:t xml:space="preserve"> </w:t>
      </w:r>
      <w:r>
        <w:t>process allowing</w:t>
      </w:r>
      <w:r>
        <w:rPr>
          <w:spacing w:val="-5"/>
        </w:rPr>
        <w:t xml:space="preserve"> </w:t>
      </w:r>
      <w:r>
        <w:t>people</w:t>
      </w:r>
      <w:r>
        <w:rPr>
          <w:spacing w:val="-4"/>
        </w:rPr>
        <w:t xml:space="preserve"> </w:t>
      </w:r>
      <w:r>
        <w:t>experiencing</w:t>
      </w:r>
      <w:r>
        <w:rPr>
          <w:spacing w:val="-4"/>
        </w:rPr>
        <w:t xml:space="preserve"> </w:t>
      </w:r>
      <w:r>
        <w:t>homelessness</w:t>
      </w:r>
      <w:r>
        <w:rPr>
          <w:spacing w:val="-5"/>
        </w:rPr>
        <w:t xml:space="preserve"> </w:t>
      </w:r>
      <w:r>
        <w:t>to</w:t>
      </w:r>
      <w:r>
        <w:rPr>
          <w:spacing w:val="-5"/>
        </w:rPr>
        <w:t xml:space="preserve"> </w:t>
      </w:r>
      <w:r>
        <w:t>obtain</w:t>
      </w:r>
      <w:r>
        <w:rPr>
          <w:spacing w:val="-5"/>
        </w:rPr>
        <w:t xml:space="preserve"> </w:t>
      </w:r>
      <w:r>
        <w:t>a</w:t>
      </w:r>
      <w:r>
        <w:rPr>
          <w:spacing w:val="-2"/>
        </w:rPr>
        <w:t xml:space="preserve"> </w:t>
      </w:r>
      <w:r>
        <w:t>Massachusetts</w:t>
      </w:r>
      <w:r>
        <w:rPr>
          <w:spacing w:val="-4"/>
        </w:rPr>
        <w:t xml:space="preserve"> </w:t>
      </w:r>
      <w:r>
        <w:t>identification</w:t>
      </w:r>
      <w:r>
        <w:rPr>
          <w:spacing w:val="-3"/>
        </w:rPr>
        <w:t xml:space="preserve"> </w:t>
      </w:r>
      <w:r>
        <w:t>card</w:t>
      </w:r>
      <w:r>
        <w:rPr>
          <w:spacing w:val="-4"/>
        </w:rPr>
        <w:t xml:space="preserve"> </w:t>
      </w:r>
      <w:r>
        <w:t>without</w:t>
      </w:r>
      <w:r>
        <w:rPr>
          <w:spacing w:val="-3"/>
        </w:rPr>
        <w:t xml:space="preserve"> </w:t>
      </w:r>
      <w:r>
        <w:t>paying fees,</w:t>
      </w:r>
      <w:r>
        <w:rPr>
          <w:spacing w:val="-9"/>
        </w:rPr>
        <w:t xml:space="preserve"> </w:t>
      </w:r>
      <w:r>
        <w:t>and</w:t>
      </w:r>
      <w:r>
        <w:rPr>
          <w:spacing w:val="-8"/>
        </w:rPr>
        <w:t xml:space="preserve"> </w:t>
      </w:r>
      <w:r>
        <w:t>the</w:t>
      </w:r>
      <w:r>
        <w:rPr>
          <w:spacing w:val="-5"/>
        </w:rPr>
        <w:t xml:space="preserve"> </w:t>
      </w:r>
      <w:r>
        <w:t>ability</w:t>
      </w:r>
      <w:r>
        <w:rPr>
          <w:spacing w:val="-7"/>
        </w:rPr>
        <w:t xml:space="preserve"> </w:t>
      </w:r>
      <w:r>
        <w:t>to</w:t>
      </w:r>
      <w:r>
        <w:rPr>
          <w:spacing w:val="-7"/>
        </w:rPr>
        <w:t xml:space="preserve"> </w:t>
      </w:r>
      <w:r>
        <w:t>provide</w:t>
      </w:r>
      <w:r>
        <w:rPr>
          <w:spacing w:val="-9"/>
        </w:rPr>
        <w:t xml:space="preserve"> </w:t>
      </w:r>
      <w:r>
        <w:t>alternative</w:t>
      </w:r>
      <w:r>
        <w:rPr>
          <w:spacing w:val="-9"/>
        </w:rPr>
        <w:t xml:space="preserve"> </w:t>
      </w:r>
      <w:r>
        <w:t>residence</w:t>
      </w:r>
      <w:r>
        <w:rPr>
          <w:spacing w:val="-7"/>
        </w:rPr>
        <w:t xml:space="preserve"> </w:t>
      </w:r>
      <w:r>
        <w:t>documentation,</w:t>
      </w:r>
      <w:r>
        <w:rPr>
          <w:spacing w:val="-8"/>
        </w:rPr>
        <w:t xml:space="preserve"> </w:t>
      </w:r>
      <w:r>
        <w:t>in</w:t>
      </w:r>
      <w:r>
        <w:rPr>
          <w:spacing w:val="-9"/>
        </w:rPr>
        <w:t xml:space="preserve"> </w:t>
      </w:r>
      <w:r>
        <w:t>lieu</w:t>
      </w:r>
      <w:r>
        <w:rPr>
          <w:spacing w:val="-8"/>
        </w:rPr>
        <w:t xml:space="preserve"> </w:t>
      </w:r>
      <w:r>
        <w:t>of</w:t>
      </w:r>
      <w:r>
        <w:rPr>
          <w:spacing w:val="-7"/>
        </w:rPr>
        <w:t xml:space="preserve"> </w:t>
      </w:r>
      <w:r>
        <w:t>a</w:t>
      </w:r>
      <w:r>
        <w:rPr>
          <w:spacing w:val="-8"/>
        </w:rPr>
        <w:t xml:space="preserve"> </w:t>
      </w:r>
      <w:r>
        <w:t>permanent</w:t>
      </w:r>
      <w:r>
        <w:rPr>
          <w:spacing w:val="-7"/>
        </w:rPr>
        <w:t xml:space="preserve"> </w:t>
      </w:r>
      <w:r>
        <w:t>address,</w:t>
      </w:r>
      <w:r>
        <w:rPr>
          <w:spacing w:val="-8"/>
        </w:rPr>
        <w:t xml:space="preserve"> </w:t>
      </w:r>
      <w:r>
        <w:t>such as verification from a homelessness community service provider. Policies, such as this, would improve access to IDs in general, and significantly enhance LGBTQ youth’s access to services, as they are more likely</w:t>
      </w:r>
      <w:r>
        <w:rPr>
          <w:spacing w:val="-3"/>
        </w:rPr>
        <w:t xml:space="preserve"> </w:t>
      </w:r>
      <w:r>
        <w:t>to</w:t>
      </w:r>
      <w:r>
        <w:rPr>
          <w:spacing w:val="-4"/>
        </w:rPr>
        <w:t xml:space="preserve"> </w:t>
      </w:r>
      <w:r>
        <w:t>experience</w:t>
      </w:r>
      <w:r>
        <w:rPr>
          <w:spacing w:val="-3"/>
        </w:rPr>
        <w:t xml:space="preserve"> </w:t>
      </w:r>
      <w:r>
        <w:t>discrimination</w:t>
      </w:r>
      <w:r>
        <w:rPr>
          <w:spacing w:val="-4"/>
        </w:rPr>
        <w:t xml:space="preserve"> </w:t>
      </w:r>
      <w:r>
        <w:t>a</w:t>
      </w:r>
      <w:r>
        <w:t>nd</w:t>
      </w:r>
      <w:r>
        <w:rPr>
          <w:spacing w:val="-3"/>
        </w:rPr>
        <w:t xml:space="preserve"> </w:t>
      </w:r>
      <w:r>
        <w:t>asked</w:t>
      </w:r>
      <w:r>
        <w:rPr>
          <w:spacing w:val="-4"/>
        </w:rPr>
        <w:t xml:space="preserve"> </w:t>
      </w:r>
      <w:r>
        <w:t>for</w:t>
      </w:r>
      <w:r>
        <w:rPr>
          <w:spacing w:val="-5"/>
        </w:rPr>
        <w:t xml:space="preserve"> </w:t>
      </w:r>
      <w:r>
        <w:t>proper</w:t>
      </w:r>
      <w:r>
        <w:rPr>
          <w:spacing w:val="-5"/>
        </w:rPr>
        <w:t xml:space="preserve"> </w:t>
      </w:r>
      <w:r>
        <w:t>identification</w:t>
      </w:r>
      <w:r>
        <w:rPr>
          <w:spacing w:val="-5"/>
        </w:rPr>
        <w:t xml:space="preserve"> </w:t>
      </w:r>
      <w:r>
        <w:t>when</w:t>
      </w:r>
      <w:r>
        <w:rPr>
          <w:spacing w:val="-4"/>
        </w:rPr>
        <w:t xml:space="preserve"> </w:t>
      </w:r>
      <w:r>
        <w:t>seeking</w:t>
      </w:r>
      <w:r>
        <w:rPr>
          <w:spacing w:val="-1"/>
        </w:rPr>
        <w:t xml:space="preserve"> </w:t>
      </w:r>
      <w:r>
        <w:t>community</w:t>
      </w:r>
      <w:r>
        <w:rPr>
          <w:spacing w:val="-3"/>
        </w:rPr>
        <w:t xml:space="preserve"> </w:t>
      </w:r>
      <w:r>
        <w:t>services.</w:t>
      </w:r>
    </w:p>
    <w:p w:rsidR="00C76E6D" w:rsidRDefault="00C76E6D">
      <w:pPr>
        <w:pStyle w:val="BodyText"/>
        <w:spacing w:before="2"/>
        <w:rPr>
          <w:sz w:val="25"/>
        </w:rPr>
      </w:pPr>
    </w:p>
    <w:p w:rsidR="00C76E6D" w:rsidRDefault="00913831">
      <w:pPr>
        <w:pStyle w:val="BodyText"/>
        <w:spacing w:line="276" w:lineRule="auto"/>
        <w:ind w:left="478" w:right="473"/>
        <w:jc w:val="both"/>
      </w:pPr>
      <w:r>
        <w:t>Lastly,</w:t>
      </w:r>
      <w:r>
        <w:rPr>
          <w:spacing w:val="-9"/>
        </w:rPr>
        <w:t xml:space="preserve"> </w:t>
      </w:r>
      <w:r>
        <w:t>the</w:t>
      </w:r>
      <w:r>
        <w:rPr>
          <w:spacing w:val="-10"/>
        </w:rPr>
        <w:t xml:space="preserve"> </w:t>
      </w:r>
      <w:r>
        <w:t>Commission</w:t>
      </w:r>
      <w:r>
        <w:rPr>
          <w:spacing w:val="-10"/>
        </w:rPr>
        <w:t xml:space="preserve"> </w:t>
      </w:r>
      <w:r>
        <w:t>will</w:t>
      </w:r>
      <w:r>
        <w:rPr>
          <w:spacing w:val="-10"/>
        </w:rPr>
        <w:t xml:space="preserve"> </w:t>
      </w:r>
      <w:r>
        <w:t>again</w:t>
      </w:r>
      <w:r>
        <w:rPr>
          <w:spacing w:val="-10"/>
        </w:rPr>
        <w:t xml:space="preserve"> </w:t>
      </w:r>
      <w:r>
        <w:t>recommend</w:t>
      </w:r>
      <w:r>
        <w:rPr>
          <w:spacing w:val="-9"/>
        </w:rPr>
        <w:t xml:space="preserve"> </w:t>
      </w:r>
      <w:r>
        <w:t>that</w:t>
      </w:r>
      <w:r>
        <w:rPr>
          <w:spacing w:val="-9"/>
        </w:rPr>
        <w:t xml:space="preserve"> </w:t>
      </w:r>
      <w:r>
        <w:t>the</w:t>
      </w:r>
      <w:r>
        <w:rPr>
          <w:spacing w:val="-10"/>
        </w:rPr>
        <w:t xml:space="preserve"> </w:t>
      </w:r>
      <w:r>
        <w:t>legislature</w:t>
      </w:r>
      <w:r>
        <w:rPr>
          <w:spacing w:val="-7"/>
        </w:rPr>
        <w:t xml:space="preserve"> </w:t>
      </w:r>
      <w:r>
        <w:t>pass</w:t>
      </w:r>
      <w:r>
        <w:rPr>
          <w:spacing w:val="-9"/>
        </w:rPr>
        <w:t xml:space="preserve"> </w:t>
      </w:r>
      <w:r>
        <w:t>An</w:t>
      </w:r>
      <w:r>
        <w:rPr>
          <w:spacing w:val="-11"/>
        </w:rPr>
        <w:t xml:space="preserve"> </w:t>
      </w:r>
      <w:r>
        <w:t>Act</w:t>
      </w:r>
      <w:r>
        <w:rPr>
          <w:spacing w:val="-9"/>
        </w:rPr>
        <w:t xml:space="preserve"> </w:t>
      </w:r>
      <w:r>
        <w:t>Relative</w:t>
      </w:r>
      <w:r>
        <w:rPr>
          <w:spacing w:val="-10"/>
        </w:rPr>
        <w:t xml:space="preserve"> </w:t>
      </w:r>
      <w:r>
        <w:t>to</w:t>
      </w:r>
      <w:r>
        <w:rPr>
          <w:spacing w:val="-8"/>
        </w:rPr>
        <w:t xml:space="preserve"> </w:t>
      </w:r>
      <w:r>
        <w:t>Work</w:t>
      </w:r>
      <w:r>
        <w:rPr>
          <w:spacing w:val="-11"/>
        </w:rPr>
        <w:t xml:space="preserve"> </w:t>
      </w:r>
      <w:r>
        <w:t>and</w:t>
      </w:r>
      <w:r>
        <w:rPr>
          <w:spacing w:val="-9"/>
        </w:rPr>
        <w:t xml:space="preserve"> </w:t>
      </w:r>
      <w:r>
        <w:t>Family Mobility</w:t>
      </w:r>
      <w:r>
        <w:rPr>
          <w:spacing w:val="-13"/>
        </w:rPr>
        <w:t xml:space="preserve"> </w:t>
      </w:r>
      <w:r>
        <w:t>During</w:t>
      </w:r>
      <w:r>
        <w:rPr>
          <w:spacing w:val="-12"/>
        </w:rPr>
        <w:t xml:space="preserve"> </w:t>
      </w:r>
      <w:r>
        <w:t>and</w:t>
      </w:r>
      <w:r>
        <w:rPr>
          <w:spacing w:val="-13"/>
        </w:rPr>
        <w:t xml:space="preserve"> </w:t>
      </w:r>
      <w:r>
        <w:t>Subsequent</w:t>
      </w:r>
      <w:r>
        <w:rPr>
          <w:spacing w:val="-12"/>
        </w:rPr>
        <w:t xml:space="preserve"> </w:t>
      </w:r>
      <w:r>
        <w:t>to</w:t>
      </w:r>
      <w:r>
        <w:rPr>
          <w:spacing w:val="-13"/>
        </w:rPr>
        <w:t xml:space="preserve"> </w:t>
      </w:r>
      <w:r>
        <w:t>the</w:t>
      </w:r>
      <w:r>
        <w:rPr>
          <w:spacing w:val="-12"/>
        </w:rPr>
        <w:t xml:space="preserve"> </w:t>
      </w:r>
      <w:r>
        <w:t>COVID-19</w:t>
      </w:r>
      <w:r>
        <w:rPr>
          <w:spacing w:val="-13"/>
        </w:rPr>
        <w:t xml:space="preserve"> </w:t>
      </w:r>
      <w:r>
        <w:t>Emergency</w:t>
      </w:r>
      <w:r>
        <w:rPr>
          <w:spacing w:val="-12"/>
        </w:rPr>
        <w:t xml:space="preserve"> </w:t>
      </w:r>
      <w:r>
        <w:t>(H.</w:t>
      </w:r>
      <w:r>
        <w:rPr>
          <w:spacing w:val="-12"/>
        </w:rPr>
        <w:t xml:space="preserve"> </w:t>
      </w:r>
      <w:r>
        <w:t>4805),</w:t>
      </w:r>
      <w:r>
        <w:rPr>
          <w:spacing w:val="-13"/>
        </w:rPr>
        <w:t xml:space="preserve"> </w:t>
      </w:r>
      <w:r>
        <w:t>which</w:t>
      </w:r>
      <w:r>
        <w:rPr>
          <w:spacing w:val="-12"/>
        </w:rPr>
        <w:t xml:space="preserve"> </w:t>
      </w:r>
      <w:r>
        <w:t>would</w:t>
      </w:r>
      <w:r>
        <w:rPr>
          <w:spacing w:val="-13"/>
        </w:rPr>
        <w:t xml:space="preserve"> </w:t>
      </w:r>
      <w:r>
        <w:t>allow</w:t>
      </w:r>
      <w:r>
        <w:rPr>
          <w:spacing w:val="-12"/>
        </w:rPr>
        <w:t xml:space="preserve"> </w:t>
      </w:r>
      <w:r>
        <w:t>undocumented immigrants to acquire driver’s licenses and state IDs. This bill would allow all qualified state residents to apply</w:t>
      </w:r>
      <w:r>
        <w:rPr>
          <w:spacing w:val="-6"/>
        </w:rPr>
        <w:t xml:space="preserve"> </w:t>
      </w:r>
      <w:r>
        <w:t>for</w:t>
      </w:r>
      <w:r>
        <w:rPr>
          <w:spacing w:val="-6"/>
        </w:rPr>
        <w:t xml:space="preserve"> </w:t>
      </w:r>
      <w:r>
        <w:t>a</w:t>
      </w:r>
      <w:r>
        <w:rPr>
          <w:spacing w:val="-6"/>
        </w:rPr>
        <w:t xml:space="preserve"> </w:t>
      </w:r>
      <w:r>
        <w:t>standard</w:t>
      </w:r>
      <w:r>
        <w:rPr>
          <w:spacing w:val="-7"/>
        </w:rPr>
        <w:t xml:space="preserve"> </w:t>
      </w:r>
      <w:r>
        <w:t>Massachusetts</w:t>
      </w:r>
      <w:r>
        <w:rPr>
          <w:spacing w:val="-6"/>
        </w:rPr>
        <w:t xml:space="preserve"> </w:t>
      </w:r>
      <w:r>
        <w:t>driver’s</w:t>
      </w:r>
      <w:r>
        <w:rPr>
          <w:spacing w:val="-6"/>
        </w:rPr>
        <w:t xml:space="preserve"> </w:t>
      </w:r>
      <w:r>
        <w:t>license</w:t>
      </w:r>
      <w:r>
        <w:rPr>
          <w:spacing w:val="-4"/>
        </w:rPr>
        <w:t xml:space="preserve"> </w:t>
      </w:r>
      <w:r>
        <w:t>or</w:t>
      </w:r>
      <w:r>
        <w:rPr>
          <w:spacing w:val="-6"/>
        </w:rPr>
        <w:t xml:space="preserve"> </w:t>
      </w:r>
      <w:r>
        <w:t>ID,</w:t>
      </w:r>
      <w:r>
        <w:rPr>
          <w:spacing w:val="-6"/>
        </w:rPr>
        <w:t xml:space="preserve"> </w:t>
      </w:r>
      <w:r>
        <w:t>regardless</w:t>
      </w:r>
      <w:r>
        <w:rPr>
          <w:spacing w:val="-6"/>
        </w:rPr>
        <w:t xml:space="preserve"> </w:t>
      </w:r>
      <w:r>
        <w:t>of</w:t>
      </w:r>
      <w:r>
        <w:rPr>
          <w:spacing w:val="-6"/>
        </w:rPr>
        <w:t xml:space="preserve"> </w:t>
      </w:r>
      <w:r>
        <w:t>immigrant</w:t>
      </w:r>
      <w:r>
        <w:rPr>
          <w:spacing w:val="-7"/>
        </w:rPr>
        <w:t xml:space="preserve"> </w:t>
      </w:r>
      <w:r>
        <w:t>status,</w:t>
      </w:r>
      <w:r>
        <w:rPr>
          <w:spacing w:val="-6"/>
        </w:rPr>
        <w:t xml:space="preserve"> </w:t>
      </w:r>
      <w:r>
        <w:t>while</w:t>
      </w:r>
      <w:r>
        <w:rPr>
          <w:spacing w:val="-6"/>
        </w:rPr>
        <w:t xml:space="preserve"> </w:t>
      </w:r>
      <w:r>
        <w:t>remaining in full compliance w</w:t>
      </w:r>
      <w:r>
        <w:t>ith federal REAL ID regulations. The Commission is acutely aware of many LGBTQ youth who have sought refuge and protection from threats of physical and mental harm in addition to legal and religious persecution from their countries of origin due to their s</w:t>
      </w:r>
      <w:r>
        <w:t>exual orientation, gender identity, or gender expression.</w:t>
      </w:r>
    </w:p>
    <w:p w:rsidR="00C76E6D" w:rsidRDefault="00C76E6D">
      <w:pPr>
        <w:pStyle w:val="BodyText"/>
        <w:spacing w:before="6"/>
        <w:rPr>
          <w:sz w:val="26"/>
        </w:rPr>
      </w:pPr>
    </w:p>
    <w:p w:rsidR="00C76E6D" w:rsidRDefault="00913831">
      <w:pPr>
        <w:pStyle w:val="Heading6"/>
        <w:numPr>
          <w:ilvl w:val="1"/>
          <w:numId w:val="42"/>
        </w:numPr>
        <w:tabs>
          <w:tab w:val="left" w:pos="699"/>
        </w:tabs>
        <w:ind w:left="698" w:hanging="222"/>
      </w:pPr>
      <w:bookmarkStart w:id="260" w:name="2._Increase_services_for_youth_at_risk_f"/>
      <w:bookmarkEnd w:id="260"/>
      <w:r>
        <w:rPr>
          <w:w w:val="95"/>
        </w:rPr>
        <w:t>Increase</w:t>
      </w:r>
      <w:r>
        <w:rPr>
          <w:spacing w:val="10"/>
        </w:rPr>
        <w:t xml:space="preserve"> </w:t>
      </w:r>
      <w:r>
        <w:rPr>
          <w:w w:val="95"/>
        </w:rPr>
        <w:t>services</w:t>
      </w:r>
      <w:r>
        <w:rPr>
          <w:spacing w:val="10"/>
        </w:rPr>
        <w:t xml:space="preserve"> </w:t>
      </w:r>
      <w:r>
        <w:rPr>
          <w:w w:val="95"/>
        </w:rPr>
        <w:t>for</w:t>
      </w:r>
      <w:r>
        <w:rPr>
          <w:spacing w:val="10"/>
        </w:rPr>
        <w:t xml:space="preserve"> </w:t>
      </w:r>
      <w:r>
        <w:rPr>
          <w:w w:val="95"/>
        </w:rPr>
        <w:t>youth</w:t>
      </w:r>
      <w:r>
        <w:rPr>
          <w:spacing w:val="11"/>
        </w:rPr>
        <w:t xml:space="preserve"> </w:t>
      </w:r>
      <w:r>
        <w:rPr>
          <w:w w:val="95"/>
        </w:rPr>
        <w:t>at</w:t>
      </w:r>
      <w:r>
        <w:rPr>
          <w:spacing w:val="9"/>
        </w:rPr>
        <w:t xml:space="preserve"> </w:t>
      </w:r>
      <w:r>
        <w:rPr>
          <w:w w:val="95"/>
        </w:rPr>
        <w:t>risk</w:t>
      </w:r>
      <w:r>
        <w:rPr>
          <w:spacing w:val="11"/>
        </w:rPr>
        <w:t xml:space="preserve"> </w:t>
      </w:r>
      <w:r>
        <w:rPr>
          <w:w w:val="95"/>
        </w:rPr>
        <w:t>for</w:t>
      </w:r>
      <w:r>
        <w:rPr>
          <w:spacing w:val="11"/>
        </w:rPr>
        <w:t xml:space="preserve"> </w:t>
      </w:r>
      <w:r>
        <w:rPr>
          <w:w w:val="95"/>
        </w:rPr>
        <w:t>or</w:t>
      </w:r>
      <w:r>
        <w:rPr>
          <w:spacing w:val="12"/>
        </w:rPr>
        <w:t xml:space="preserve"> </w:t>
      </w:r>
      <w:r>
        <w:rPr>
          <w:w w:val="95"/>
        </w:rPr>
        <w:t>experiencing</w:t>
      </w:r>
      <w:r>
        <w:rPr>
          <w:spacing w:val="10"/>
        </w:rPr>
        <w:t xml:space="preserve"> </w:t>
      </w:r>
      <w:r>
        <w:rPr>
          <w:spacing w:val="-2"/>
          <w:w w:val="95"/>
        </w:rPr>
        <w:t>homelessness.</w:t>
      </w:r>
    </w:p>
    <w:p w:rsidR="00C76E6D" w:rsidRDefault="00C76E6D">
      <w:pPr>
        <w:pStyle w:val="BodyText"/>
        <w:spacing w:before="5"/>
        <w:rPr>
          <w:b/>
          <w:sz w:val="28"/>
        </w:rPr>
      </w:pPr>
    </w:p>
    <w:p w:rsidR="00C76E6D" w:rsidRDefault="00913831">
      <w:pPr>
        <w:pStyle w:val="BodyText"/>
        <w:spacing w:line="276" w:lineRule="auto"/>
        <w:ind w:left="478" w:right="473"/>
        <w:jc w:val="both"/>
      </w:pPr>
      <w:r>
        <w:t>The Commission urges the Commonwealth’s legislature to include specific line items for services for unaccompanied</w:t>
      </w:r>
      <w:r>
        <w:rPr>
          <w:spacing w:val="-13"/>
        </w:rPr>
        <w:t xml:space="preserve"> </w:t>
      </w:r>
      <w:r>
        <w:t>and</w:t>
      </w:r>
      <w:r>
        <w:rPr>
          <w:spacing w:val="-12"/>
        </w:rPr>
        <w:t xml:space="preserve"> </w:t>
      </w:r>
      <w:r>
        <w:t>transien</w:t>
      </w:r>
      <w:r>
        <w:t>t</w:t>
      </w:r>
      <w:r>
        <w:rPr>
          <w:spacing w:val="-13"/>
        </w:rPr>
        <w:t xml:space="preserve"> </w:t>
      </w:r>
      <w:r>
        <w:t>homeless</w:t>
      </w:r>
      <w:r>
        <w:rPr>
          <w:spacing w:val="-12"/>
        </w:rPr>
        <w:t xml:space="preserve"> </w:t>
      </w:r>
      <w:r>
        <w:t>youth</w:t>
      </w:r>
      <w:r>
        <w:rPr>
          <w:spacing w:val="-13"/>
        </w:rPr>
        <w:t xml:space="preserve"> </w:t>
      </w:r>
      <w:r>
        <w:t>and</w:t>
      </w:r>
      <w:r>
        <w:rPr>
          <w:spacing w:val="-12"/>
        </w:rPr>
        <w:t xml:space="preserve"> </w:t>
      </w:r>
      <w:r>
        <w:t>young</w:t>
      </w:r>
      <w:r>
        <w:rPr>
          <w:spacing w:val="-13"/>
        </w:rPr>
        <w:t xml:space="preserve"> </w:t>
      </w:r>
      <w:r>
        <w:t>adults.</w:t>
      </w:r>
      <w:r>
        <w:rPr>
          <w:spacing w:val="-11"/>
        </w:rPr>
        <w:t xml:space="preserve"> </w:t>
      </w:r>
      <w:r>
        <w:t>The</w:t>
      </w:r>
      <w:r>
        <w:rPr>
          <w:spacing w:val="-12"/>
        </w:rPr>
        <w:t xml:space="preserve"> </w:t>
      </w:r>
      <w:r>
        <w:t>COVID-19</w:t>
      </w:r>
      <w:r>
        <w:rPr>
          <w:spacing w:val="-12"/>
        </w:rPr>
        <w:t xml:space="preserve"> </w:t>
      </w:r>
      <w:r>
        <w:t>pandemic</w:t>
      </w:r>
      <w:r>
        <w:rPr>
          <w:spacing w:val="-12"/>
        </w:rPr>
        <w:t xml:space="preserve"> </w:t>
      </w:r>
      <w:r>
        <w:t>has</w:t>
      </w:r>
      <w:r>
        <w:rPr>
          <w:spacing w:val="-13"/>
        </w:rPr>
        <w:t xml:space="preserve"> </w:t>
      </w:r>
      <w:r>
        <w:t>significantly contributed to challenges faced by people experiencing homelessness including worsening physical and mental</w:t>
      </w:r>
      <w:r>
        <w:rPr>
          <w:spacing w:val="-13"/>
        </w:rPr>
        <w:t xml:space="preserve"> </w:t>
      </w:r>
      <w:r>
        <w:t>health</w:t>
      </w:r>
      <w:r>
        <w:rPr>
          <w:spacing w:val="-12"/>
        </w:rPr>
        <w:t xml:space="preserve"> </w:t>
      </w:r>
      <w:r>
        <w:t>conditions/prognosis</w:t>
      </w:r>
      <w:r>
        <w:rPr>
          <w:spacing w:val="-13"/>
        </w:rPr>
        <w:t xml:space="preserve"> </w:t>
      </w:r>
      <w:r>
        <w:t>and</w:t>
      </w:r>
      <w:r>
        <w:rPr>
          <w:spacing w:val="-12"/>
        </w:rPr>
        <w:t xml:space="preserve"> </w:t>
      </w:r>
      <w:r>
        <w:t>increased</w:t>
      </w:r>
      <w:r>
        <w:rPr>
          <w:spacing w:val="-13"/>
        </w:rPr>
        <w:t xml:space="preserve"> </w:t>
      </w:r>
      <w:r>
        <w:t>obstacles</w:t>
      </w:r>
      <w:r>
        <w:rPr>
          <w:spacing w:val="-12"/>
        </w:rPr>
        <w:t xml:space="preserve"> </w:t>
      </w:r>
      <w:r>
        <w:t>to</w:t>
      </w:r>
      <w:r>
        <w:rPr>
          <w:spacing w:val="-13"/>
        </w:rPr>
        <w:t xml:space="preserve"> </w:t>
      </w:r>
      <w:r>
        <w:t>accessing</w:t>
      </w:r>
      <w:r>
        <w:rPr>
          <w:spacing w:val="-12"/>
        </w:rPr>
        <w:t xml:space="preserve"> </w:t>
      </w:r>
      <w:r>
        <w:t>basic</w:t>
      </w:r>
      <w:r>
        <w:rPr>
          <w:spacing w:val="-12"/>
        </w:rPr>
        <w:t xml:space="preserve"> </w:t>
      </w:r>
      <w:r>
        <w:t>needs</w:t>
      </w:r>
      <w:hyperlink w:anchor="_bookmark172" w:history="1">
        <w:r>
          <w:t>.</w:t>
        </w:r>
        <w:r>
          <w:rPr>
            <w:vertAlign w:val="superscript"/>
          </w:rPr>
          <w:t>10</w:t>
        </w:r>
        <w:r>
          <w:rPr>
            <w:spacing w:val="-13"/>
          </w:rPr>
          <w:t xml:space="preserve"> </w:t>
        </w:r>
      </w:hyperlink>
      <w:r>
        <w:t>Many</w:t>
      </w:r>
      <w:r>
        <w:rPr>
          <w:spacing w:val="-12"/>
        </w:rPr>
        <w:t xml:space="preserve"> </w:t>
      </w:r>
      <w:r>
        <w:t>factors</w:t>
      </w:r>
      <w:r>
        <w:rPr>
          <w:spacing w:val="-13"/>
        </w:rPr>
        <w:t xml:space="preserve"> </w:t>
      </w:r>
      <w:r>
        <w:t>have contributed</w:t>
      </w:r>
      <w:r>
        <w:rPr>
          <w:spacing w:val="-8"/>
        </w:rPr>
        <w:t xml:space="preserve"> </w:t>
      </w:r>
      <w:r>
        <w:t>to</w:t>
      </w:r>
      <w:r>
        <w:rPr>
          <w:spacing w:val="-9"/>
        </w:rPr>
        <w:t xml:space="preserve"> </w:t>
      </w:r>
      <w:r>
        <w:t>these</w:t>
      </w:r>
      <w:r>
        <w:rPr>
          <w:spacing w:val="-9"/>
        </w:rPr>
        <w:t xml:space="preserve"> </w:t>
      </w:r>
      <w:r>
        <w:t>difficulties</w:t>
      </w:r>
      <w:r>
        <w:rPr>
          <w:spacing w:val="-8"/>
        </w:rPr>
        <w:t xml:space="preserve"> </w:t>
      </w:r>
      <w:r>
        <w:t>including,</w:t>
      </w:r>
      <w:r>
        <w:rPr>
          <w:spacing w:val="-10"/>
        </w:rPr>
        <w:t xml:space="preserve"> </w:t>
      </w:r>
      <w:r>
        <w:t>but</w:t>
      </w:r>
      <w:r>
        <w:rPr>
          <w:spacing w:val="-9"/>
        </w:rPr>
        <w:t xml:space="preserve"> </w:t>
      </w:r>
      <w:r>
        <w:t>not</w:t>
      </w:r>
      <w:r>
        <w:rPr>
          <w:spacing w:val="-10"/>
        </w:rPr>
        <w:t xml:space="preserve"> </w:t>
      </w:r>
      <w:r>
        <w:t>limited</w:t>
      </w:r>
      <w:r>
        <w:rPr>
          <w:spacing w:val="-8"/>
        </w:rPr>
        <w:t xml:space="preserve"> </w:t>
      </w:r>
      <w:r>
        <w:t>to,</w:t>
      </w:r>
      <w:r>
        <w:rPr>
          <w:spacing w:val="-10"/>
        </w:rPr>
        <w:t xml:space="preserve"> </w:t>
      </w:r>
      <w:r>
        <w:t>notable</w:t>
      </w:r>
      <w:r>
        <w:rPr>
          <w:spacing w:val="-10"/>
        </w:rPr>
        <w:t xml:space="preserve"> </w:t>
      </w:r>
      <w:r>
        <w:t>disruptions</w:t>
      </w:r>
      <w:r>
        <w:rPr>
          <w:spacing w:val="-10"/>
        </w:rPr>
        <w:t xml:space="preserve"> </w:t>
      </w:r>
      <w:r>
        <w:t>in</w:t>
      </w:r>
      <w:r>
        <w:rPr>
          <w:spacing w:val="-9"/>
        </w:rPr>
        <w:t xml:space="preserve"> </w:t>
      </w:r>
      <w:r>
        <w:t>accessing</w:t>
      </w:r>
      <w:r>
        <w:rPr>
          <w:spacing w:val="-10"/>
        </w:rPr>
        <w:t xml:space="preserve"> </w:t>
      </w:r>
      <w:r>
        <w:t>medical</w:t>
      </w:r>
      <w:r>
        <w:rPr>
          <w:spacing w:val="-9"/>
        </w:rPr>
        <w:t xml:space="preserve"> </w:t>
      </w:r>
      <w:r>
        <w:t xml:space="preserve">and mental health services, rapid spread of infection, and many closed or limited capacity </w:t>
      </w:r>
      <w:r>
        <w:t>shelters and community centers</w:t>
      </w:r>
      <w:hyperlink w:anchor="_bookmark173" w:history="1">
        <w:r>
          <w:t>.</w:t>
        </w:r>
        <w:r>
          <w:rPr>
            <w:vertAlign w:val="superscript"/>
          </w:rPr>
          <w:t>11</w:t>
        </w:r>
      </w:hyperlink>
      <w:r>
        <w:t xml:space="preserve"> Further, safe spaces for unhoused young people, especially LGBTQ youth, that provide</w:t>
      </w:r>
      <w:r>
        <w:rPr>
          <w:spacing w:val="-5"/>
        </w:rPr>
        <w:t xml:space="preserve"> </w:t>
      </w:r>
      <w:r>
        <w:t>food,</w:t>
      </w:r>
      <w:r>
        <w:rPr>
          <w:spacing w:val="-5"/>
        </w:rPr>
        <w:t xml:space="preserve"> </w:t>
      </w:r>
      <w:r>
        <w:t>shelter,</w:t>
      </w:r>
      <w:r>
        <w:rPr>
          <w:spacing w:val="-5"/>
        </w:rPr>
        <w:t xml:space="preserve"> </w:t>
      </w:r>
      <w:r>
        <w:t>social</w:t>
      </w:r>
      <w:r>
        <w:rPr>
          <w:spacing w:val="-5"/>
        </w:rPr>
        <w:t xml:space="preserve"> </w:t>
      </w:r>
      <w:r>
        <w:t>connection,</w:t>
      </w:r>
      <w:r>
        <w:rPr>
          <w:spacing w:val="-4"/>
        </w:rPr>
        <w:t xml:space="preserve"> </w:t>
      </w:r>
      <w:r>
        <w:t>healthcare,</w:t>
      </w:r>
      <w:r>
        <w:rPr>
          <w:spacing w:val="-4"/>
        </w:rPr>
        <w:t xml:space="preserve"> </w:t>
      </w:r>
      <w:r>
        <w:t>and</w:t>
      </w:r>
      <w:r>
        <w:rPr>
          <w:spacing w:val="-5"/>
        </w:rPr>
        <w:t xml:space="preserve"> </w:t>
      </w:r>
      <w:r>
        <w:t>social</w:t>
      </w:r>
      <w:r>
        <w:rPr>
          <w:spacing w:val="-5"/>
        </w:rPr>
        <w:t xml:space="preserve"> </w:t>
      </w:r>
      <w:r>
        <w:t>services</w:t>
      </w:r>
      <w:r>
        <w:rPr>
          <w:spacing w:val="-4"/>
        </w:rPr>
        <w:t xml:space="preserve"> </w:t>
      </w:r>
      <w:r>
        <w:t>have</w:t>
      </w:r>
      <w:r>
        <w:rPr>
          <w:spacing w:val="-5"/>
        </w:rPr>
        <w:t xml:space="preserve"> </w:t>
      </w:r>
      <w:r>
        <w:t>faced</w:t>
      </w:r>
      <w:r>
        <w:rPr>
          <w:spacing w:val="-5"/>
        </w:rPr>
        <w:t xml:space="preserve"> </w:t>
      </w:r>
      <w:r>
        <w:t>logistical</w:t>
      </w:r>
      <w:r>
        <w:rPr>
          <w:spacing w:val="-4"/>
        </w:rPr>
        <w:t xml:space="preserve"> </w:t>
      </w:r>
      <w:r>
        <w:t>and</w:t>
      </w:r>
      <w:r>
        <w:rPr>
          <w:spacing w:val="-5"/>
        </w:rPr>
        <w:t xml:space="preserve"> </w:t>
      </w:r>
      <w:r>
        <w:t xml:space="preserve">financial barriers in keeping up with funding for PPE, adequate staffing, standardization of cleaning protocols, maintenance of physical capacity limits, and physical distancing regulations. These issues have contributed to limited access, and, in certain </w:t>
      </w:r>
      <w:r>
        <w:t>circumstances, forced closures of community spaces that mitigate risks</w:t>
      </w:r>
      <w:hyperlink w:anchor="_bookmark174" w:history="1">
        <w:r>
          <w:t>.</w:t>
        </w:r>
        <w:r>
          <w:rPr>
            <w:vertAlign w:val="superscript"/>
          </w:rPr>
          <w:t>12</w:t>
        </w:r>
      </w:hyperlink>
      <w:r>
        <w:t xml:space="preserve"> Young people have continued experiencing hardships and traumas leaving them vulnerable</w:t>
      </w:r>
      <w:r>
        <w:rPr>
          <w:spacing w:val="-13"/>
        </w:rPr>
        <w:t xml:space="preserve"> </w:t>
      </w:r>
      <w:r>
        <w:t>to</w:t>
      </w:r>
      <w:r>
        <w:rPr>
          <w:spacing w:val="-12"/>
        </w:rPr>
        <w:t xml:space="preserve"> </w:t>
      </w:r>
      <w:r>
        <w:t>homelessness</w:t>
      </w:r>
      <w:r>
        <w:rPr>
          <w:spacing w:val="-13"/>
        </w:rPr>
        <w:t xml:space="preserve"> </w:t>
      </w:r>
      <w:r>
        <w:t>including</w:t>
      </w:r>
      <w:r>
        <w:rPr>
          <w:spacing w:val="-12"/>
        </w:rPr>
        <w:t xml:space="preserve"> </w:t>
      </w:r>
      <w:r>
        <w:t>but</w:t>
      </w:r>
      <w:r>
        <w:rPr>
          <w:spacing w:val="-13"/>
        </w:rPr>
        <w:t xml:space="preserve"> </w:t>
      </w:r>
      <w:r>
        <w:t>not</w:t>
      </w:r>
      <w:r>
        <w:rPr>
          <w:spacing w:val="-12"/>
        </w:rPr>
        <w:t xml:space="preserve"> </w:t>
      </w:r>
      <w:r>
        <w:t>limited</w:t>
      </w:r>
      <w:r>
        <w:rPr>
          <w:spacing w:val="-13"/>
        </w:rPr>
        <w:t xml:space="preserve"> </w:t>
      </w:r>
      <w:r>
        <w:t>to:</w:t>
      </w:r>
      <w:r>
        <w:rPr>
          <w:spacing w:val="-12"/>
        </w:rPr>
        <w:t xml:space="preserve"> </w:t>
      </w:r>
      <w:r>
        <w:t>parental,</w:t>
      </w:r>
      <w:r>
        <w:rPr>
          <w:spacing w:val="-12"/>
        </w:rPr>
        <w:t xml:space="preserve"> </w:t>
      </w:r>
      <w:r>
        <w:t>guardia</w:t>
      </w:r>
      <w:r>
        <w:t>n,</w:t>
      </w:r>
      <w:r>
        <w:rPr>
          <w:spacing w:val="-13"/>
        </w:rPr>
        <w:t xml:space="preserve"> </w:t>
      </w:r>
      <w:r>
        <w:t>and</w:t>
      </w:r>
      <w:r>
        <w:rPr>
          <w:spacing w:val="-12"/>
        </w:rPr>
        <w:t xml:space="preserve"> </w:t>
      </w:r>
      <w:r>
        <w:t>familial</w:t>
      </w:r>
      <w:r>
        <w:rPr>
          <w:spacing w:val="-13"/>
        </w:rPr>
        <w:t xml:space="preserve"> </w:t>
      </w:r>
      <w:r>
        <w:t>mortality</w:t>
      </w:r>
      <w:r>
        <w:rPr>
          <w:spacing w:val="-12"/>
        </w:rPr>
        <w:t xml:space="preserve"> </w:t>
      </w:r>
      <w:r>
        <w:t>or</w:t>
      </w:r>
      <w:r>
        <w:rPr>
          <w:spacing w:val="-13"/>
        </w:rPr>
        <w:t xml:space="preserve"> </w:t>
      </w:r>
      <w:r>
        <w:t>acute medical hospitalization for COVID-19 infection, significant isolation, increased familial conflict and tension, and increased risk for the following: physical and sexual abuse, gender-based and sexual- orientation based v</w:t>
      </w:r>
      <w:r>
        <w:t>iolence, witnessing domestic violence, intimate partner violence, and mental health exacerbation including substance dependence and misuse.</w:t>
      </w:r>
      <w:hyperlink w:anchor="_bookmark175" w:history="1">
        <w:r>
          <w:rPr>
            <w:vertAlign w:val="superscript"/>
          </w:rPr>
          <w:t>13</w:t>
        </w:r>
      </w:hyperlink>
    </w:p>
    <w:p w:rsidR="00C76E6D" w:rsidRDefault="00C76E6D">
      <w:pPr>
        <w:pStyle w:val="BodyText"/>
        <w:spacing w:before="5"/>
        <w:rPr>
          <w:sz w:val="25"/>
        </w:rPr>
      </w:pPr>
    </w:p>
    <w:p w:rsidR="00C76E6D" w:rsidRDefault="00913831">
      <w:pPr>
        <w:pStyle w:val="BodyText"/>
        <w:ind w:left="478"/>
        <w:jc w:val="both"/>
      </w:pPr>
      <w:r>
        <w:rPr>
          <w:w w:val="95"/>
        </w:rPr>
        <w:t>The</w:t>
      </w:r>
      <w:r>
        <w:rPr>
          <w:spacing w:val="11"/>
        </w:rPr>
        <w:t xml:space="preserve"> </w:t>
      </w:r>
      <w:r>
        <w:rPr>
          <w:w w:val="95"/>
        </w:rPr>
        <w:t>Commission’s</w:t>
      </w:r>
      <w:r>
        <w:rPr>
          <w:spacing w:val="11"/>
        </w:rPr>
        <w:t xml:space="preserve"> </w:t>
      </w:r>
      <w:r>
        <w:rPr>
          <w:w w:val="95"/>
        </w:rPr>
        <w:t>recommendations</w:t>
      </w:r>
      <w:r>
        <w:rPr>
          <w:spacing w:val="13"/>
        </w:rPr>
        <w:t xml:space="preserve"> </w:t>
      </w:r>
      <w:r>
        <w:rPr>
          <w:w w:val="95"/>
        </w:rPr>
        <w:t>for</w:t>
      </w:r>
      <w:r>
        <w:rPr>
          <w:spacing w:val="13"/>
        </w:rPr>
        <w:t xml:space="preserve"> </w:t>
      </w:r>
      <w:r>
        <w:rPr>
          <w:w w:val="95"/>
        </w:rPr>
        <w:t>these</w:t>
      </w:r>
      <w:r>
        <w:rPr>
          <w:spacing w:val="11"/>
        </w:rPr>
        <w:t xml:space="preserve"> </w:t>
      </w:r>
      <w:r>
        <w:rPr>
          <w:w w:val="95"/>
        </w:rPr>
        <w:t>FY</w:t>
      </w:r>
      <w:r>
        <w:rPr>
          <w:spacing w:val="26"/>
        </w:rPr>
        <w:t xml:space="preserve"> </w:t>
      </w:r>
      <w:r>
        <w:rPr>
          <w:w w:val="95"/>
        </w:rPr>
        <w:t>2023</w:t>
      </w:r>
      <w:r>
        <w:rPr>
          <w:spacing w:val="13"/>
        </w:rPr>
        <w:t xml:space="preserve"> </w:t>
      </w:r>
      <w:r>
        <w:rPr>
          <w:w w:val="95"/>
        </w:rPr>
        <w:t>budget</w:t>
      </w:r>
      <w:r>
        <w:rPr>
          <w:spacing w:val="11"/>
        </w:rPr>
        <w:t xml:space="preserve"> </w:t>
      </w:r>
      <w:r>
        <w:rPr>
          <w:w w:val="95"/>
        </w:rPr>
        <w:t>line</w:t>
      </w:r>
      <w:r>
        <w:rPr>
          <w:spacing w:val="13"/>
        </w:rPr>
        <w:t xml:space="preserve"> </w:t>
      </w:r>
      <w:r>
        <w:rPr>
          <w:w w:val="95"/>
        </w:rPr>
        <w:t>items</w:t>
      </w:r>
      <w:r>
        <w:rPr>
          <w:spacing w:val="16"/>
        </w:rPr>
        <w:t xml:space="preserve"> </w:t>
      </w:r>
      <w:r>
        <w:rPr>
          <w:spacing w:val="-2"/>
          <w:w w:val="95"/>
        </w:rPr>
        <w:t>include:</w:t>
      </w:r>
    </w:p>
    <w:p w:rsidR="00C76E6D" w:rsidRDefault="00C76E6D">
      <w:pPr>
        <w:pStyle w:val="BodyText"/>
        <w:spacing w:before="8"/>
        <w:rPr>
          <w:sz w:val="28"/>
        </w:rPr>
      </w:pPr>
    </w:p>
    <w:p w:rsidR="00C76E6D" w:rsidRDefault="00913831">
      <w:pPr>
        <w:pStyle w:val="ListParagraph"/>
        <w:numPr>
          <w:ilvl w:val="2"/>
          <w:numId w:val="42"/>
        </w:numPr>
        <w:tabs>
          <w:tab w:val="left" w:pos="1558"/>
          <w:tab w:val="left" w:pos="1559"/>
        </w:tabs>
        <w:spacing w:line="271" w:lineRule="auto"/>
        <w:ind w:right="492"/>
      </w:pPr>
      <w:r>
        <w:rPr>
          <w:spacing w:val="-2"/>
        </w:rPr>
        <w:t>Housing and Services for Unaccompanied Youth and Young</w:t>
      </w:r>
      <w:r>
        <w:rPr>
          <w:spacing w:val="-5"/>
        </w:rPr>
        <w:t xml:space="preserve"> </w:t>
      </w:r>
      <w:r>
        <w:rPr>
          <w:spacing w:val="-2"/>
        </w:rPr>
        <w:t xml:space="preserve">Adults Experiencing Homelessness </w:t>
      </w:r>
      <w:r>
        <w:t>(4000-0007): At least $8 million to provide housing and wraparound services for youth and</w:t>
      </w:r>
    </w:p>
    <w:p w:rsidR="00C76E6D" w:rsidRDefault="00C76E6D">
      <w:pPr>
        <w:spacing w:line="271" w:lineRule="auto"/>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spacing w:before="5"/>
        <w:rPr>
          <w:sz w:val="16"/>
        </w:rPr>
      </w:pPr>
    </w:p>
    <w:p w:rsidR="00C76E6D" w:rsidRDefault="00913831">
      <w:pPr>
        <w:pStyle w:val="BodyText"/>
        <w:ind w:left="1560"/>
      </w:pPr>
      <w:r>
        <w:rPr>
          <w:w w:val="95"/>
        </w:rPr>
        <w:t>young</w:t>
      </w:r>
      <w:r>
        <w:rPr>
          <w:spacing w:val="14"/>
        </w:rPr>
        <w:t xml:space="preserve"> </w:t>
      </w:r>
      <w:r>
        <w:rPr>
          <w:w w:val="95"/>
        </w:rPr>
        <w:t>adults</w:t>
      </w:r>
      <w:r>
        <w:rPr>
          <w:spacing w:val="19"/>
        </w:rPr>
        <w:t xml:space="preserve"> </w:t>
      </w:r>
      <w:r>
        <w:rPr>
          <w:w w:val="95"/>
        </w:rPr>
        <w:t>experiencing</w:t>
      </w:r>
      <w:r>
        <w:rPr>
          <w:spacing w:val="18"/>
        </w:rPr>
        <w:t xml:space="preserve"> </w:t>
      </w:r>
      <w:r>
        <w:rPr>
          <w:w w:val="95"/>
        </w:rPr>
        <w:t>homelessness</w:t>
      </w:r>
      <w:r>
        <w:rPr>
          <w:spacing w:val="16"/>
        </w:rPr>
        <w:t xml:space="preserve"> </w:t>
      </w:r>
      <w:r>
        <w:rPr>
          <w:w w:val="95"/>
        </w:rPr>
        <w:t>and</w:t>
      </w:r>
      <w:r>
        <w:rPr>
          <w:spacing w:val="14"/>
        </w:rPr>
        <w:t xml:space="preserve"> </w:t>
      </w:r>
      <w:r>
        <w:rPr>
          <w:w w:val="95"/>
        </w:rPr>
        <w:t>housing</w:t>
      </w:r>
      <w:r>
        <w:rPr>
          <w:spacing w:val="18"/>
        </w:rPr>
        <w:t xml:space="preserve"> </w:t>
      </w:r>
      <w:r>
        <w:rPr>
          <w:spacing w:val="-2"/>
          <w:w w:val="95"/>
        </w:rPr>
        <w:t>instability</w:t>
      </w:r>
      <w:r>
        <w:rPr>
          <w:spacing w:val="-2"/>
          <w:w w:val="95"/>
        </w:rPr>
        <w:t>.</w:t>
      </w:r>
    </w:p>
    <w:p w:rsidR="00C76E6D" w:rsidRDefault="00913831">
      <w:pPr>
        <w:pStyle w:val="ListParagraph"/>
        <w:numPr>
          <w:ilvl w:val="2"/>
          <w:numId w:val="42"/>
        </w:numPr>
        <w:tabs>
          <w:tab w:val="left" w:pos="1560"/>
        </w:tabs>
        <w:spacing w:before="40" w:line="271" w:lineRule="auto"/>
        <w:ind w:left="1560" w:right="476"/>
        <w:jc w:val="both"/>
      </w:pPr>
      <w:r>
        <w:t>Residential Assistance for Families in Transition (7004-9316): At least $55 million to address the COVID-19 pandemic and related ongoing needs.</w:t>
      </w:r>
    </w:p>
    <w:p w:rsidR="00C76E6D" w:rsidRDefault="00C76E6D">
      <w:pPr>
        <w:pStyle w:val="BodyText"/>
        <w:rPr>
          <w:sz w:val="26"/>
        </w:rPr>
      </w:pPr>
    </w:p>
    <w:p w:rsidR="00C76E6D" w:rsidRDefault="00913831">
      <w:pPr>
        <w:pStyle w:val="ListParagraph"/>
        <w:numPr>
          <w:ilvl w:val="2"/>
          <w:numId w:val="42"/>
        </w:numPr>
        <w:tabs>
          <w:tab w:val="left" w:pos="1560"/>
        </w:tabs>
        <w:spacing w:line="276" w:lineRule="auto"/>
        <w:ind w:left="1560" w:right="475"/>
        <w:jc w:val="both"/>
      </w:pPr>
      <w:r>
        <w:t>Home</w:t>
      </w:r>
      <w:r>
        <w:rPr>
          <w:spacing w:val="-2"/>
        </w:rPr>
        <w:t xml:space="preserve"> </w:t>
      </w:r>
      <w:r>
        <w:t>and</w:t>
      </w:r>
      <w:r>
        <w:rPr>
          <w:spacing w:val="-2"/>
        </w:rPr>
        <w:t xml:space="preserve"> </w:t>
      </w:r>
      <w:r>
        <w:t>Healthy for Good</w:t>
      </w:r>
      <w:r>
        <w:rPr>
          <w:spacing w:val="-2"/>
        </w:rPr>
        <w:t xml:space="preserve"> </w:t>
      </w:r>
      <w:r>
        <w:t>Program</w:t>
      </w:r>
      <w:r>
        <w:rPr>
          <w:spacing w:val="-1"/>
        </w:rPr>
        <w:t xml:space="preserve"> </w:t>
      </w:r>
      <w:r>
        <w:t>(7004-0104):</w:t>
      </w:r>
      <w:r>
        <w:rPr>
          <w:spacing w:val="-2"/>
        </w:rPr>
        <w:t xml:space="preserve"> </w:t>
      </w:r>
      <w:r>
        <w:t>At</w:t>
      </w:r>
      <w:r>
        <w:rPr>
          <w:spacing w:val="-1"/>
        </w:rPr>
        <w:t xml:space="preserve"> </w:t>
      </w:r>
      <w:r>
        <w:t>least</w:t>
      </w:r>
      <w:r>
        <w:rPr>
          <w:spacing w:val="-1"/>
        </w:rPr>
        <w:t xml:space="preserve"> </w:t>
      </w:r>
      <w:r>
        <w:t>$4 million</w:t>
      </w:r>
      <w:r>
        <w:rPr>
          <w:spacing w:val="-1"/>
        </w:rPr>
        <w:t xml:space="preserve"> </w:t>
      </w:r>
      <w:r>
        <w:t>to</w:t>
      </w:r>
      <w:r>
        <w:rPr>
          <w:spacing w:val="-1"/>
        </w:rPr>
        <w:t xml:space="preserve"> </w:t>
      </w:r>
      <w:r>
        <w:t>reduce the instance of</w:t>
      </w:r>
      <w:r>
        <w:rPr>
          <w:spacing w:val="-6"/>
        </w:rPr>
        <w:t xml:space="preserve"> </w:t>
      </w:r>
      <w:r>
        <w:t>chronic</w:t>
      </w:r>
      <w:r>
        <w:rPr>
          <w:spacing w:val="-7"/>
        </w:rPr>
        <w:t xml:space="preserve"> </w:t>
      </w:r>
      <w:r>
        <w:t>and</w:t>
      </w:r>
      <w:r>
        <w:rPr>
          <w:spacing w:val="-7"/>
        </w:rPr>
        <w:t xml:space="preserve"> </w:t>
      </w:r>
      <w:r>
        <w:t>long-term</w:t>
      </w:r>
      <w:r>
        <w:rPr>
          <w:spacing w:val="-5"/>
        </w:rPr>
        <w:t xml:space="preserve"> </w:t>
      </w:r>
      <w:r>
        <w:t>homelessness.</w:t>
      </w:r>
      <w:r>
        <w:rPr>
          <w:spacing w:val="-6"/>
        </w:rPr>
        <w:t xml:space="preserve"> </w:t>
      </w:r>
      <w:r>
        <w:t>In</w:t>
      </w:r>
      <w:r>
        <w:rPr>
          <w:spacing w:val="-7"/>
        </w:rPr>
        <w:t xml:space="preserve"> </w:t>
      </w:r>
      <w:r>
        <w:t>FY22,</w:t>
      </w:r>
      <w:r>
        <w:rPr>
          <w:spacing w:val="-5"/>
        </w:rPr>
        <w:t xml:space="preserve"> </w:t>
      </w:r>
      <w:r>
        <w:t>the</w:t>
      </w:r>
      <w:r>
        <w:rPr>
          <w:spacing w:val="-3"/>
        </w:rPr>
        <w:t xml:space="preserve"> </w:t>
      </w:r>
      <w:r>
        <w:t>state</w:t>
      </w:r>
      <w:r>
        <w:rPr>
          <w:spacing w:val="-6"/>
        </w:rPr>
        <w:t xml:space="preserve"> </w:t>
      </w:r>
      <w:r>
        <w:t>budget</w:t>
      </w:r>
      <w:r>
        <w:rPr>
          <w:spacing w:val="-6"/>
        </w:rPr>
        <w:t xml:space="preserve"> </w:t>
      </w:r>
      <w:r>
        <w:t>allocated</w:t>
      </w:r>
      <w:r>
        <w:rPr>
          <w:spacing w:val="-6"/>
        </w:rPr>
        <w:t xml:space="preserve"> </w:t>
      </w:r>
      <w:r>
        <w:t>at</w:t>
      </w:r>
      <w:r>
        <w:rPr>
          <w:spacing w:val="-6"/>
        </w:rPr>
        <w:t xml:space="preserve"> </w:t>
      </w:r>
      <w:r>
        <w:t>least</w:t>
      </w:r>
      <w:r>
        <w:rPr>
          <w:spacing w:val="-7"/>
        </w:rPr>
        <w:t xml:space="preserve"> </w:t>
      </w:r>
      <w:r>
        <w:t>$250,000 to</w:t>
      </w:r>
      <w:r>
        <w:rPr>
          <w:spacing w:val="-3"/>
        </w:rPr>
        <w:t xml:space="preserve"> </w:t>
      </w:r>
      <w:r>
        <w:t>LGBTQ</w:t>
      </w:r>
      <w:r>
        <w:rPr>
          <w:spacing w:val="-3"/>
        </w:rPr>
        <w:t xml:space="preserve"> </w:t>
      </w:r>
      <w:r>
        <w:t>young</w:t>
      </w:r>
      <w:r>
        <w:rPr>
          <w:spacing w:val="-4"/>
        </w:rPr>
        <w:t xml:space="preserve"> </w:t>
      </w:r>
      <w:r>
        <w:t>adults</w:t>
      </w:r>
      <w:r>
        <w:rPr>
          <w:spacing w:val="-1"/>
        </w:rPr>
        <w:t xml:space="preserve"> </w:t>
      </w:r>
      <w:r>
        <w:t>experiencing</w:t>
      </w:r>
      <w:r>
        <w:rPr>
          <w:spacing w:val="-2"/>
        </w:rPr>
        <w:t xml:space="preserve"> </w:t>
      </w:r>
      <w:r>
        <w:t>homelessness.</w:t>
      </w:r>
      <w:r>
        <w:rPr>
          <w:spacing w:val="-3"/>
        </w:rPr>
        <w:t xml:space="preserve"> </w:t>
      </w:r>
      <w:r>
        <w:t>Considering</w:t>
      </w:r>
      <w:r>
        <w:rPr>
          <w:spacing w:val="-3"/>
        </w:rPr>
        <w:t xml:space="preserve"> </w:t>
      </w:r>
      <w:r>
        <w:t>the</w:t>
      </w:r>
      <w:r>
        <w:rPr>
          <w:spacing w:val="-4"/>
        </w:rPr>
        <w:t xml:space="preserve"> </w:t>
      </w:r>
      <w:r>
        <w:t>disproportionate</w:t>
      </w:r>
      <w:r>
        <w:rPr>
          <w:spacing w:val="-4"/>
        </w:rPr>
        <w:t xml:space="preserve"> </w:t>
      </w:r>
      <w:r>
        <w:t>impact that COVID-19 has had on LGBTQ youth, the Commission urges the state to at least double this dedicated funding under the line item.</w:t>
      </w:r>
    </w:p>
    <w:p w:rsidR="00C76E6D" w:rsidRDefault="00C76E6D">
      <w:pPr>
        <w:pStyle w:val="BodyText"/>
        <w:spacing w:before="10"/>
        <w:rPr>
          <w:sz w:val="25"/>
        </w:rPr>
      </w:pPr>
    </w:p>
    <w:p w:rsidR="00C76E6D" w:rsidRDefault="00913831">
      <w:pPr>
        <w:pStyle w:val="BodyText"/>
        <w:spacing w:before="1" w:line="276" w:lineRule="auto"/>
        <w:ind w:left="480" w:right="474" w:hanging="1"/>
        <w:jc w:val="both"/>
      </w:pPr>
      <w:r>
        <w:t>The</w:t>
      </w:r>
      <w:r>
        <w:rPr>
          <w:spacing w:val="-8"/>
        </w:rPr>
        <w:t xml:space="preserve"> </w:t>
      </w:r>
      <w:r>
        <w:t>Commission</w:t>
      </w:r>
      <w:r>
        <w:rPr>
          <w:spacing w:val="-9"/>
        </w:rPr>
        <w:t xml:space="preserve"> </w:t>
      </w:r>
      <w:r>
        <w:t>recognizes</w:t>
      </w:r>
      <w:r>
        <w:rPr>
          <w:spacing w:val="-8"/>
        </w:rPr>
        <w:t xml:space="preserve"> </w:t>
      </w:r>
      <w:r>
        <w:t>that</w:t>
      </w:r>
      <w:r>
        <w:rPr>
          <w:spacing w:val="-8"/>
        </w:rPr>
        <w:t xml:space="preserve"> </w:t>
      </w:r>
      <w:r>
        <w:t>many</w:t>
      </w:r>
      <w:r>
        <w:rPr>
          <w:spacing w:val="-8"/>
        </w:rPr>
        <w:t xml:space="preserve"> </w:t>
      </w:r>
      <w:r>
        <w:t>of</w:t>
      </w:r>
      <w:r>
        <w:rPr>
          <w:spacing w:val="-9"/>
        </w:rPr>
        <w:t xml:space="preserve"> </w:t>
      </w:r>
      <w:r>
        <w:t>these</w:t>
      </w:r>
      <w:r>
        <w:rPr>
          <w:spacing w:val="-8"/>
        </w:rPr>
        <w:t xml:space="preserve"> </w:t>
      </w:r>
      <w:r>
        <w:t>budget</w:t>
      </w:r>
      <w:r>
        <w:rPr>
          <w:spacing w:val="-9"/>
        </w:rPr>
        <w:t xml:space="preserve"> </w:t>
      </w:r>
      <w:r>
        <w:t>initiatives,</w:t>
      </w:r>
      <w:r>
        <w:rPr>
          <w:spacing w:val="-8"/>
        </w:rPr>
        <w:t xml:space="preserve"> </w:t>
      </w:r>
      <w:r>
        <w:t>including</w:t>
      </w:r>
      <w:r>
        <w:rPr>
          <w:spacing w:val="-8"/>
        </w:rPr>
        <w:t xml:space="preserve"> </w:t>
      </w:r>
      <w:r>
        <w:t>others</w:t>
      </w:r>
      <w:r>
        <w:rPr>
          <w:spacing w:val="-9"/>
        </w:rPr>
        <w:t xml:space="preserve"> </w:t>
      </w:r>
      <w:r>
        <w:t>such</w:t>
      </w:r>
      <w:r>
        <w:rPr>
          <w:spacing w:val="-8"/>
        </w:rPr>
        <w:t xml:space="preserve"> </w:t>
      </w:r>
      <w:r>
        <w:t>as</w:t>
      </w:r>
      <w:r>
        <w:rPr>
          <w:spacing w:val="-8"/>
        </w:rPr>
        <w:t xml:space="preserve"> </w:t>
      </w:r>
      <w:r>
        <w:t>the</w:t>
      </w:r>
      <w:r>
        <w:rPr>
          <w:spacing w:val="-8"/>
        </w:rPr>
        <w:t xml:space="preserve"> </w:t>
      </w:r>
      <w:r>
        <w:t>Emergency Aid</w:t>
      </w:r>
      <w:r>
        <w:rPr>
          <w:spacing w:val="-2"/>
        </w:rPr>
        <w:t xml:space="preserve"> </w:t>
      </w:r>
      <w:r>
        <w:t>to the</w:t>
      </w:r>
      <w:r>
        <w:rPr>
          <w:spacing w:val="-1"/>
        </w:rPr>
        <w:t xml:space="preserve"> </w:t>
      </w:r>
      <w:r>
        <w:t>E</w:t>
      </w:r>
      <w:r>
        <w:t>lderly,</w:t>
      </w:r>
      <w:r>
        <w:rPr>
          <w:spacing w:val="-1"/>
        </w:rPr>
        <w:t xml:space="preserve"> </w:t>
      </w:r>
      <w:r>
        <w:t>Disabled,</w:t>
      </w:r>
      <w:r>
        <w:rPr>
          <w:spacing w:val="-1"/>
        </w:rPr>
        <w:t xml:space="preserve"> </w:t>
      </w:r>
      <w:r>
        <w:t>and</w:t>
      </w:r>
      <w:r>
        <w:rPr>
          <w:spacing w:val="-2"/>
        </w:rPr>
        <w:t xml:space="preserve"> </w:t>
      </w:r>
      <w:r>
        <w:t>Children</w:t>
      </w:r>
      <w:r>
        <w:rPr>
          <w:spacing w:val="-2"/>
        </w:rPr>
        <w:t xml:space="preserve"> </w:t>
      </w:r>
      <w:r>
        <w:t>Program</w:t>
      </w:r>
      <w:r>
        <w:rPr>
          <w:spacing w:val="-1"/>
        </w:rPr>
        <w:t xml:space="preserve"> </w:t>
      </w:r>
      <w:r>
        <w:t>(EAEDC)</w:t>
      </w:r>
      <w:r>
        <w:rPr>
          <w:spacing w:val="-2"/>
        </w:rPr>
        <w:t xml:space="preserve"> </w:t>
      </w:r>
      <w:r>
        <w:t>are</w:t>
      </w:r>
      <w:r>
        <w:rPr>
          <w:spacing w:val="-2"/>
        </w:rPr>
        <w:t xml:space="preserve"> </w:t>
      </w:r>
      <w:r>
        <w:t>only</w:t>
      </w:r>
      <w:r>
        <w:rPr>
          <w:spacing w:val="-1"/>
        </w:rPr>
        <w:t xml:space="preserve"> </w:t>
      </w:r>
      <w:r>
        <w:t>in the</w:t>
      </w:r>
      <w:r>
        <w:rPr>
          <w:spacing w:val="-2"/>
        </w:rPr>
        <w:t xml:space="preserve"> </w:t>
      </w:r>
      <w:r>
        <w:t>state budget, and not</w:t>
      </w:r>
      <w:r>
        <w:rPr>
          <w:spacing w:val="-2"/>
        </w:rPr>
        <w:t xml:space="preserve"> </w:t>
      </w:r>
      <w:r>
        <w:t>enacted by</w:t>
      </w:r>
      <w:r>
        <w:rPr>
          <w:spacing w:val="-6"/>
        </w:rPr>
        <w:t xml:space="preserve"> </w:t>
      </w:r>
      <w:r>
        <w:t>legislation.</w:t>
      </w:r>
      <w:r>
        <w:rPr>
          <w:spacing w:val="-6"/>
        </w:rPr>
        <w:t xml:space="preserve"> </w:t>
      </w:r>
      <w:r>
        <w:t>This</w:t>
      </w:r>
      <w:r>
        <w:rPr>
          <w:spacing w:val="-6"/>
        </w:rPr>
        <w:t xml:space="preserve"> </w:t>
      </w:r>
      <w:r>
        <w:t>leaves</w:t>
      </w:r>
      <w:r>
        <w:rPr>
          <w:spacing w:val="-6"/>
        </w:rPr>
        <w:t xml:space="preserve"> </w:t>
      </w:r>
      <w:r>
        <w:t>such</w:t>
      </w:r>
      <w:r>
        <w:rPr>
          <w:spacing w:val="-6"/>
        </w:rPr>
        <w:t xml:space="preserve"> </w:t>
      </w:r>
      <w:r>
        <w:t>programs</w:t>
      </w:r>
      <w:r>
        <w:rPr>
          <w:spacing w:val="-5"/>
        </w:rPr>
        <w:t xml:space="preserve"> </w:t>
      </w:r>
      <w:r>
        <w:t>vulnerable</w:t>
      </w:r>
      <w:r>
        <w:rPr>
          <w:spacing w:val="-6"/>
        </w:rPr>
        <w:t xml:space="preserve"> </w:t>
      </w:r>
      <w:r>
        <w:t>and</w:t>
      </w:r>
      <w:r>
        <w:rPr>
          <w:spacing w:val="-6"/>
        </w:rPr>
        <w:t xml:space="preserve"> </w:t>
      </w:r>
      <w:r>
        <w:t>highly</w:t>
      </w:r>
      <w:r>
        <w:rPr>
          <w:spacing w:val="-5"/>
        </w:rPr>
        <w:t xml:space="preserve"> </w:t>
      </w:r>
      <w:r>
        <w:t>discretionary,</w:t>
      </w:r>
      <w:r>
        <w:rPr>
          <w:spacing w:val="-6"/>
        </w:rPr>
        <w:t xml:space="preserve"> </w:t>
      </w:r>
      <w:r>
        <w:t>as</w:t>
      </w:r>
      <w:r>
        <w:rPr>
          <w:spacing w:val="-6"/>
        </w:rPr>
        <w:t xml:space="preserve"> </w:t>
      </w:r>
      <w:r>
        <w:t>they</w:t>
      </w:r>
      <w:r>
        <w:rPr>
          <w:spacing w:val="-6"/>
        </w:rPr>
        <w:t xml:space="preserve"> </w:t>
      </w:r>
      <w:r>
        <w:t>are</w:t>
      </w:r>
      <w:r>
        <w:rPr>
          <w:spacing w:val="-6"/>
        </w:rPr>
        <w:t xml:space="preserve"> </w:t>
      </w:r>
      <w:r>
        <w:t>not</w:t>
      </w:r>
      <w:r>
        <w:rPr>
          <w:spacing w:val="-7"/>
        </w:rPr>
        <w:t xml:space="preserve"> </w:t>
      </w:r>
      <w:r>
        <w:t>subjected</w:t>
      </w:r>
      <w:r>
        <w:rPr>
          <w:spacing w:val="-5"/>
        </w:rPr>
        <w:t xml:space="preserve"> </w:t>
      </w:r>
      <w:r>
        <w:t>to the same levels of oversight as programs enacted by legislation. The Commission urges the Commonwealth</w:t>
      </w:r>
      <w:r>
        <w:rPr>
          <w:spacing w:val="-13"/>
        </w:rPr>
        <w:t xml:space="preserve"> </w:t>
      </w:r>
      <w:r>
        <w:t>to</w:t>
      </w:r>
      <w:r>
        <w:rPr>
          <w:spacing w:val="-11"/>
        </w:rPr>
        <w:t xml:space="preserve"> </w:t>
      </w:r>
      <w:r>
        <w:t>formalize</w:t>
      </w:r>
      <w:r>
        <w:rPr>
          <w:spacing w:val="-12"/>
        </w:rPr>
        <w:t xml:space="preserve"> </w:t>
      </w:r>
      <w:r>
        <w:t>any</w:t>
      </w:r>
      <w:r>
        <w:rPr>
          <w:spacing w:val="-11"/>
        </w:rPr>
        <w:t xml:space="preserve"> </w:t>
      </w:r>
      <w:r>
        <w:t>such</w:t>
      </w:r>
      <w:r>
        <w:rPr>
          <w:spacing w:val="-10"/>
        </w:rPr>
        <w:t xml:space="preserve"> </w:t>
      </w:r>
      <w:r>
        <w:t>programs</w:t>
      </w:r>
      <w:r>
        <w:rPr>
          <w:spacing w:val="-12"/>
        </w:rPr>
        <w:t xml:space="preserve"> </w:t>
      </w:r>
      <w:r>
        <w:t>through</w:t>
      </w:r>
      <w:r>
        <w:rPr>
          <w:spacing w:val="-12"/>
        </w:rPr>
        <w:t xml:space="preserve"> </w:t>
      </w:r>
      <w:r>
        <w:t>legislation</w:t>
      </w:r>
      <w:r>
        <w:rPr>
          <w:spacing w:val="-12"/>
        </w:rPr>
        <w:t xml:space="preserve"> </w:t>
      </w:r>
      <w:r>
        <w:t>to</w:t>
      </w:r>
      <w:r>
        <w:rPr>
          <w:spacing w:val="-12"/>
        </w:rPr>
        <w:t xml:space="preserve"> </w:t>
      </w:r>
      <w:r>
        <w:t>ensure</w:t>
      </w:r>
      <w:r>
        <w:rPr>
          <w:spacing w:val="-11"/>
        </w:rPr>
        <w:t xml:space="preserve"> </w:t>
      </w:r>
      <w:r>
        <w:t>their</w:t>
      </w:r>
      <w:r>
        <w:rPr>
          <w:spacing w:val="-12"/>
        </w:rPr>
        <w:t xml:space="preserve"> </w:t>
      </w:r>
      <w:r>
        <w:t>continued</w:t>
      </w:r>
      <w:r>
        <w:rPr>
          <w:spacing w:val="-13"/>
        </w:rPr>
        <w:t xml:space="preserve"> </w:t>
      </w:r>
      <w:r>
        <w:t>funding</w:t>
      </w:r>
      <w:r>
        <w:rPr>
          <w:spacing w:val="-10"/>
        </w:rPr>
        <w:t xml:space="preserve"> </w:t>
      </w:r>
      <w:r>
        <w:t>and legislative oversight.</w:t>
      </w:r>
    </w:p>
    <w:p w:rsidR="00C76E6D" w:rsidRDefault="00C76E6D">
      <w:pPr>
        <w:pStyle w:val="BodyText"/>
        <w:spacing w:before="5"/>
        <w:rPr>
          <w:sz w:val="26"/>
        </w:rPr>
      </w:pPr>
    </w:p>
    <w:p w:rsidR="00C76E6D" w:rsidRDefault="00913831">
      <w:pPr>
        <w:pStyle w:val="Heading6"/>
        <w:numPr>
          <w:ilvl w:val="1"/>
          <w:numId w:val="42"/>
        </w:numPr>
        <w:tabs>
          <w:tab w:val="left" w:pos="700"/>
        </w:tabs>
        <w:ind w:left="699" w:hanging="222"/>
      </w:pPr>
      <w:bookmarkStart w:id="261" w:name="3._Create_a_bill_of_rights_for_people_ex"/>
      <w:bookmarkEnd w:id="261"/>
      <w:r>
        <w:rPr>
          <w:spacing w:val="-2"/>
        </w:rPr>
        <w:t>Create</w:t>
      </w:r>
      <w:r>
        <w:rPr>
          <w:spacing w:val="-4"/>
        </w:rPr>
        <w:t xml:space="preserve"> </w:t>
      </w:r>
      <w:r>
        <w:rPr>
          <w:spacing w:val="-2"/>
        </w:rPr>
        <w:t>a</w:t>
      </w:r>
      <w:r>
        <w:rPr>
          <w:spacing w:val="-3"/>
        </w:rPr>
        <w:t xml:space="preserve"> </w:t>
      </w:r>
      <w:r>
        <w:rPr>
          <w:spacing w:val="-2"/>
        </w:rPr>
        <w:t>bill</w:t>
      </w:r>
      <w:r>
        <w:rPr>
          <w:spacing w:val="-4"/>
        </w:rPr>
        <w:t xml:space="preserve"> </w:t>
      </w:r>
      <w:r>
        <w:rPr>
          <w:spacing w:val="-2"/>
        </w:rPr>
        <w:t>of</w:t>
      </w:r>
      <w:r>
        <w:rPr>
          <w:spacing w:val="-3"/>
        </w:rPr>
        <w:t xml:space="preserve"> </w:t>
      </w:r>
      <w:r>
        <w:rPr>
          <w:spacing w:val="-2"/>
        </w:rPr>
        <w:t>rights</w:t>
      </w:r>
      <w:r>
        <w:rPr>
          <w:spacing w:val="-4"/>
        </w:rPr>
        <w:t xml:space="preserve"> </w:t>
      </w:r>
      <w:r>
        <w:rPr>
          <w:spacing w:val="-2"/>
        </w:rPr>
        <w:t>for</w:t>
      </w:r>
      <w:r>
        <w:rPr>
          <w:spacing w:val="-4"/>
        </w:rPr>
        <w:t xml:space="preserve"> </w:t>
      </w:r>
      <w:r>
        <w:rPr>
          <w:spacing w:val="-2"/>
        </w:rPr>
        <w:t>people</w:t>
      </w:r>
      <w:r>
        <w:rPr>
          <w:spacing w:val="-5"/>
        </w:rPr>
        <w:t xml:space="preserve"> </w:t>
      </w:r>
      <w:r>
        <w:rPr>
          <w:spacing w:val="-2"/>
        </w:rPr>
        <w:t>ex</w:t>
      </w:r>
      <w:r>
        <w:rPr>
          <w:spacing w:val="-2"/>
        </w:rPr>
        <w:t>periencing</w:t>
      </w:r>
      <w:r>
        <w:rPr>
          <w:spacing w:val="-3"/>
        </w:rPr>
        <w:t xml:space="preserve"> </w:t>
      </w:r>
      <w:r>
        <w:rPr>
          <w:spacing w:val="-2"/>
        </w:rPr>
        <w:t>homelessness.</w:t>
      </w:r>
    </w:p>
    <w:p w:rsidR="00C76E6D" w:rsidRDefault="00C76E6D">
      <w:pPr>
        <w:pStyle w:val="BodyText"/>
        <w:spacing w:before="5"/>
        <w:rPr>
          <w:b/>
          <w:sz w:val="29"/>
        </w:rPr>
      </w:pPr>
    </w:p>
    <w:p w:rsidR="00C76E6D" w:rsidRDefault="00913831">
      <w:pPr>
        <w:pStyle w:val="BodyText"/>
        <w:spacing w:line="276" w:lineRule="auto"/>
        <w:ind w:left="479" w:right="474"/>
        <w:jc w:val="both"/>
      </w:pPr>
      <w:r>
        <w:t>LGBTQ youth are already more likely than others to face discrimination in their daily lives and are more likely</w:t>
      </w:r>
      <w:r>
        <w:rPr>
          <w:spacing w:val="-12"/>
        </w:rPr>
        <w:t xml:space="preserve"> </w:t>
      </w:r>
      <w:r>
        <w:t>to</w:t>
      </w:r>
      <w:r>
        <w:rPr>
          <w:spacing w:val="-11"/>
        </w:rPr>
        <w:t xml:space="preserve"> </w:t>
      </w:r>
      <w:r>
        <w:t>experience</w:t>
      </w:r>
      <w:r>
        <w:rPr>
          <w:spacing w:val="-11"/>
        </w:rPr>
        <w:t xml:space="preserve"> </w:t>
      </w:r>
      <w:r>
        <w:t>homelessness,</w:t>
      </w:r>
      <w:r>
        <w:rPr>
          <w:spacing w:val="-12"/>
        </w:rPr>
        <w:t xml:space="preserve"> </w:t>
      </w:r>
      <w:r>
        <w:t>a</w:t>
      </w:r>
      <w:r>
        <w:rPr>
          <w:spacing w:val="-12"/>
        </w:rPr>
        <w:t xml:space="preserve"> </w:t>
      </w:r>
      <w:r>
        <w:t>status</w:t>
      </w:r>
      <w:r>
        <w:rPr>
          <w:spacing w:val="-11"/>
        </w:rPr>
        <w:t xml:space="preserve"> </w:t>
      </w:r>
      <w:r>
        <w:t>that</w:t>
      </w:r>
      <w:r>
        <w:rPr>
          <w:spacing w:val="-12"/>
        </w:rPr>
        <w:t xml:space="preserve"> </w:t>
      </w:r>
      <w:r>
        <w:t>greatly</w:t>
      </w:r>
      <w:r>
        <w:rPr>
          <w:spacing w:val="-12"/>
        </w:rPr>
        <w:t xml:space="preserve"> </w:t>
      </w:r>
      <w:r>
        <w:t>increases</w:t>
      </w:r>
      <w:r>
        <w:rPr>
          <w:spacing w:val="-11"/>
        </w:rPr>
        <w:t xml:space="preserve"> </w:t>
      </w:r>
      <w:r>
        <w:t>the</w:t>
      </w:r>
      <w:r>
        <w:rPr>
          <w:spacing w:val="-13"/>
        </w:rPr>
        <w:t xml:space="preserve"> </w:t>
      </w:r>
      <w:r>
        <w:t>risk</w:t>
      </w:r>
      <w:r>
        <w:rPr>
          <w:spacing w:val="-11"/>
        </w:rPr>
        <w:t xml:space="preserve"> </w:t>
      </w:r>
      <w:r>
        <w:t>of</w:t>
      </w:r>
      <w:r>
        <w:rPr>
          <w:spacing w:val="-13"/>
        </w:rPr>
        <w:t xml:space="preserve"> </w:t>
      </w:r>
      <w:r>
        <w:t>facing</w:t>
      </w:r>
      <w:r>
        <w:rPr>
          <w:spacing w:val="-12"/>
        </w:rPr>
        <w:t xml:space="preserve"> </w:t>
      </w:r>
      <w:r>
        <w:t>bias</w:t>
      </w:r>
      <w:r>
        <w:rPr>
          <w:spacing w:val="-12"/>
        </w:rPr>
        <w:t xml:space="preserve"> </w:t>
      </w:r>
      <w:r>
        <w:t>and</w:t>
      </w:r>
      <w:r>
        <w:rPr>
          <w:spacing w:val="-12"/>
        </w:rPr>
        <w:t xml:space="preserve"> </w:t>
      </w:r>
      <w:r>
        <w:t>discrimination. This vulnerability is amplified with consideration of QTBIPOC identities among LGBTQ youth and those identified</w:t>
      </w:r>
      <w:r>
        <w:rPr>
          <w:spacing w:val="-7"/>
        </w:rPr>
        <w:t xml:space="preserve"> </w:t>
      </w:r>
      <w:r>
        <w:t>as</w:t>
      </w:r>
      <w:r>
        <w:rPr>
          <w:spacing w:val="-7"/>
        </w:rPr>
        <w:t xml:space="preserve"> </w:t>
      </w:r>
      <w:r>
        <w:t>transgender</w:t>
      </w:r>
      <w:r>
        <w:rPr>
          <w:spacing w:val="-7"/>
        </w:rPr>
        <w:t xml:space="preserve"> </w:t>
      </w:r>
      <w:r>
        <w:t>or</w:t>
      </w:r>
      <w:r>
        <w:rPr>
          <w:spacing w:val="-9"/>
        </w:rPr>
        <w:t xml:space="preserve"> </w:t>
      </w:r>
      <w:r>
        <w:t>gender</w:t>
      </w:r>
      <w:r>
        <w:rPr>
          <w:spacing w:val="-7"/>
        </w:rPr>
        <w:t xml:space="preserve"> </w:t>
      </w:r>
      <w:r>
        <w:t>expansive.</w:t>
      </w:r>
      <w:r>
        <w:rPr>
          <w:spacing w:val="-8"/>
        </w:rPr>
        <w:t xml:space="preserve"> </w:t>
      </w:r>
      <w:r>
        <w:t>The</w:t>
      </w:r>
      <w:r>
        <w:rPr>
          <w:spacing w:val="-6"/>
        </w:rPr>
        <w:t xml:space="preserve"> </w:t>
      </w:r>
      <w:r>
        <w:t>Commission</w:t>
      </w:r>
      <w:r>
        <w:rPr>
          <w:spacing w:val="-7"/>
        </w:rPr>
        <w:t xml:space="preserve"> </w:t>
      </w:r>
      <w:r>
        <w:t>proposes</w:t>
      </w:r>
      <w:r>
        <w:rPr>
          <w:spacing w:val="-7"/>
        </w:rPr>
        <w:t xml:space="preserve"> </w:t>
      </w:r>
      <w:r>
        <w:t>the</w:t>
      </w:r>
      <w:r>
        <w:rPr>
          <w:spacing w:val="-8"/>
        </w:rPr>
        <w:t xml:space="preserve"> </w:t>
      </w:r>
      <w:r>
        <w:t>creation</w:t>
      </w:r>
      <w:r>
        <w:rPr>
          <w:spacing w:val="-9"/>
        </w:rPr>
        <w:t xml:space="preserve"> </w:t>
      </w:r>
      <w:r>
        <w:t>of</w:t>
      </w:r>
      <w:r>
        <w:rPr>
          <w:spacing w:val="-7"/>
        </w:rPr>
        <w:t xml:space="preserve"> </w:t>
      </w:r>
      <w:r>
        <w:t>an</w:t>
      </w:r>
      <w:r>
        <w:rPr>
          <w:spacing w:val="-8"/>
        </w:rPr>
        <w:t xml:space="preserve"> </w:t>
      </w:r>
      <w:r>
        <w:t>explicit</w:t>
      </w:r>
      <w:r>
        <w:rPr>
          <w:spacing w:val="-6"/>
        </w:rPr>
        <w:t xml:space="preserve"> </w:t>
      </w:r>
      <w:r>
        <w:t>bill</w:t>
      </w:r>
      <w:r>
        <w:rPr>
          <w:spacing w:val="-7"/>
        </w:rPr>
        <w:t xml:space="preserve"> </w:t>
      </w:r>
      <w:r>
        <w:t>of rights for people experiencing h</w:t>
      </w:r>
      <w:r>
        <w:t>omelessness that reflects common concerns raised by this population. It should include the rights to move freely while in public spaces, to be treated equitably by government agencies, to receive care in emergencies, and others such as those proposed in An</w:t>
      </w:r>
      <w:r>
        <w:t xml:space="preserve"> Act Providing a Bill of Rights for People Experiencing Homelessness (H. 264 / S. 142). The Commission urges the legislature, particularly, the House Committee on Health Care Financing, to move forward and pass this bill.</w:t>
      </w:r>
    </w:p>
    <w:p w:rsidR="00C76E6D" w:rsidRDefault="00C76E6D">
      <w:pPr>
        <w:pStyle w:val="BodyText"/>
        <w:spacing w:before="4"/>
        <w:rPr>
          <w:sz w:val="25"/>
        </w:rPr>
      </w:pPr>
    </w:p>
    <w:p w:rsidR="00C76E6D" w:rsidRDefault="00913831">
      <w:pPr>
        <w:pStyle w:val="Heading6"/>
        <w:numPr>
          <w:ilvl w:val="1"/>
          <w:numId w:val="42"/>
        </w:numPr>
        <w:tabs>
          <w:tab w:val="left" w:pos="700"/>
        </w:tabs>
        <w:ind w:left="699" w:hanging="222"/>
      </w:pPr>
      <w:bookmarkStart w:id="262" w:name="4._Increase_LGBTQ_participation_as_youth"/>
      <w:bookmarkEnd w:id="262"/>
      <w:r>
        <w:rPr>
          <w:w w:val="95"/>
        </w:rPr>
        <w:t>Increase</w:t>
      </w:r>
      <w:r>
        <w:rPr>
          <w:spacing w:val="16"/>
        </w:rPr>
        <w:t xml:space="preserve"> </w:t>
      </w:r>
      <w:r>
        <w:rPr>
          <w:w w:val="95"/>
        </w:rPr>
        <w:t>LGBTQ</w:t>
      </w:r>
      <w:r>
        <w:rPr>
          <w:spacing w:val="13"/>
        </w:rPr>
        <w:t xml:space="preserve"> </w:t>
      </w:r>
      <w:r>
        <w:rPr>
          <w:w w:val="95"/>
        </w:rPr>
        <w:t>participation</w:t>
      </w:r>
      <w:r>
        <w:rPr>
          <w:spacing w:val="13"/>
        </w:rPr>
        <w:t xml:space="preserve"> </w:t>
      </w:r>
      <w:r>
        <w:rPr>
          <w:w w:val="95"/>
        </w:rPr>
        <w:t>as</w:t>
      </w:r>
      <w:r>
        <w:rPr>
          <w:spacing w:val="11"/>
        </w:rPr>
        <w:t xml:space="preserve"> </w:t>
      </w:r>
      <w:r>
        <w:rPr>
          <w:w w:val="95"/>
        </w:rPr>
        <w:t>y</w:t>
      </w:r>
      <w:r>
        <w:rPr>
          <w:w w:val="95"/>
        </w:rPr>
        <w:t>outh</w:t>
      </w:r>
      <w:r>
        <w:rPr>
          <w:spacing w:val="17"/>
        </w:rPr>
        <w:t xml:space="preserve"> </w:t>
      </w:r>
      <w:r>
        <w:rPr>
          <w:w w:val="95"/>
        </w:rPr>
        <w:t>ambassadors</w:t>
      </w:r>
      <w:r>
        <w:rPr>
          <w:spacing w:val="13"/>
        </w:rPr>
        <w:t xml:space="preserve"> </w:t>
      </w:r>
      <w:r>
        <w:rPr>
          <w:w w:val="95"/>
        </w:rPr>
        <w:t>and</w:t>
      </w:r>
      <w:r>
        <w:rPr>
          <w:spacing w:val="16"/>
        </w:rPr>
        <w:t xml:space="preserve"> </w:t>
      </w:r>
      <w:r>
        <w:rPr>
          <w:w w:val="95"/>
        </w:rPr>
        <w:t>respondents</w:t>
      </w:r>
      <w:r>
        <w:rPr>
          <w:spacing w:val="16"/>
        </w:rPr>
        <w:t xml:space="preserve"> </w:t>
      </w:r>
      <w:r>
        <w:rPr>
          <w:w w:val="95"/>
        </w:rPr>
        <w:t>to</w:t>
      </w:r>
      <w:r>
        <w:rPr>
          <w:spacing w:val="15"/>
        </w:rPr>
        <w:t xml:space="preserve"> </w:t>
      </w:r>
      <w:r>
        <w:rPr>
          <w:w w:val="95"/>
        </w:rPr>
        <w:t>the</w:t>
      </w:r>
      <w:r>
        <w:rPr>
          <w:spacing w:val="13"/>
        </w:rPr>
        <w:t xml:space="preserve"> </w:t>
      </w:r>
      <w:r>
        <w:rPr>
          <w:w w:val="95"/>
        </w:rPr>
        <w:t>Youth</w:t>
      </w:r>
      <w:r>
        <w:rPr>
          <w:spacing w:val="11"/>
        </w:rPr>
        <w:t xml:space="preserve"> </w:t>
      </w:r>
      <w:r>
        <w:rPr>
          <w:spacing w:val="-2"/>
          <w:w w:val="95"/>
        </w:rPr>
        <w:t>Count.</w:t>
      </w:r>
    </w:p>
    <w:p w:rsidR="00C76E6D" w:rsidRDefault="00C76E6D">
      <w:pPr>
        <w:pStyle w:val="BodyText"/>
        <w:spacing w:before="6"/>
        <w:rPr>
          <w:b/>
          <w:sz w:val="29"/>
        </w:rPr>
      </w:pPr>
    </w:p>
    <w:p w:rsidR="00C76E6D" w:rsidRDefault="00913831">
      <w:pPr>
        <w:pStyle w:val="BodyText"/>
        <w:spacing w:line="276" w:lineRule="auto"/>
        <w:ind w:left="481" w:right="471" w:hanging="2"/>
        <w:jc w:val="both"/>
      </w:pPr>
      <w:r>
        <w:t>The</w:t>
      </w:r>
      <w:r>
        <w:rPr>
          <w:spacing w:val="-5"/>
        </w:rPr>
        <w:t xml:space="preserve"> </w:t>
      </w:r>
      <w:r>
        <w:t>Youth</w:t>
      </w:r>
      <w:r>
        <w:rPr>
          <w:spacing w:val="-7"/>
        </w:rPr>
        <w:t xml:space="preserve"> </w:t>
      </w:r>
      <w:r>
        <w:t>Count</w:t>
      </w:r>
      <w:r>
        <w:rPr>
          <w:spacing w:val="-6"/>
        </w:rPr>
        <w:t xml:space="preserve"> </w:t>
      </w:r>
      <w:r>
        <w:t>is</w:t>
      </w:r>
      <w:r>
        <w:rPr>
          <w:spacing w:val="-6"/>
        </w:rPr>
        <w:t xml:space="preserve"> </w:t>
      </w:r>
      <w:r>
        <w:t>a</w:t>
      </w:r>
      <w:r>
        <w:rPr>
          <w:spacing w:val="-4"/>
        </w:rPr>
        <w:t xml:space="preserve"> </w:t>
      </w:r>
      <w:r>
        <w:t>critical</w:t>
      </w:r>
      <w:r>
        <w:rPr>
          <w:spacing w:val="-7"/>
        </w:rPr>
        <w:t xml:space="preserve"> </w:t>
      </w:r>
      <w:r>
        <w:t>source</w:t>
      </w:r>
      <w:r>
        <w:rPr>
          <w:spacing w:val="-7"/>
        </w:rPr>
        <w:t xml:space="preserve"> </w:t>
      </w:r>
      <w:r>
        <w:t>of</w:t>
      </w:r>
      <w:r>
        <w:rPr>
          <w:spacing w:val="-5"/>
        </w:rPr>
        <w:t xml:space="preserve"> </w:t>
      </w:r>
      <w:r>
        <w:t>data</w:t>
      </w:r>
      <w:r>
        <w:rPr>
          <w:spacing w:val="-6"/>
        </w:rPr>
        <w:t xml:space="preserve"> </w:t>
      </w:r>
      <w:r>
        <w:t>on</w:t>
      </w:r>
      <w:r>
        <w:rPr>
          <w:spacing w:val="-7"/>
        </w:rPr>
        <w:t xml:space="preserve"> </w:t>
      </w:r>
      <w:r>
        <w:t>LGBTQ</w:t>
      </w:r>
      <w:r>
        <w:rPr>
          <w:spacing w:val="-6"/>
        </w:rPr>
        <w:t xml:space="preserve"> </w:t>
      </w:r>
      <w:r>
        <w:t>and</w:t>
      </w:r>
      <w:r>
        <w:rPr>
          <w:spacing w:val="-5"/>
        </w:rPr>
        <w:t xml:space="preserve"> </w:t>
      </w:r>
      <w:r>
        <w:t>other</w:t>
      </w:r>
      <w:r>
        <w:rPr>
          <w:spacing w:val="-5"/>
        </w:rPr>
        <w:t xml:space="preserve"> </w:t>
      </w:r>
      <w:r>
        <w:t>youth</w:t>
      </w:r>
      <w:r>
        <w:rPr>
          <w:spacing w:val="-5"/>
        </w:rPr>
        <w:t xml:space="preserve"> </w:t>
      </w:r>
      <w:r>
        <w:t>experiencing</w:t>
      </w:r>
      <w:r>
        <w:rPr>
          <w:spacing w:val="-5"/>
        </w:rPr>
        <w:t xml:space="preserve"> </w:t>
      </w:r>
      <w:r>
        <w:t>homelessness</w:t>
      </w:r>
      <w:r>
        <w:rPr>
          <w:spacing w:val="-6"/>
        </w:rPr>
        <w:t xml:space="preserve"> </w:t>
      </w:r>
      <w:r>
        <w:t>or</w:t>
      </w:r>
      <w:r>
        <w:rPr>
          <w:spacing w:val="-6"/>
        </w:rPr>
        <w:t xml:space="preserve"> </w:t>
      </w:r>
      <w:r>
        <w:t>who are at risk of becoming homeless. This valuable collaboration between state and nonprofit entities, and the data it generates, can be strengthened with additional funding and participation. The Commission recommends</w:t>
      </w:r>
      <w:r>
        <w:rPr>
          <w:spacing w:val="-6"/>
        </w:rPr>
        <w:t xml:space="preserve"> </w:t>
      </w:r>
      <w:r>
        <w:t>that</w:t>
      </w:r>
      <w:r>
        <w:rPr>
          <w:spacing w:val="-8"/>
        </w:rPr>
        <w:t xml:space="preserve"> </w:t>
      </w:r>
      <w:r>
        <w:t>more</w:t>
      </w:r>
      <w:r>
        <w:rPr>
          <w:spacing w:val="-9"/>
        </w:rPr>
        <w:t xml:space="preserve"> </w:t>
      </w:r>
      <w:r>
        <w:t>space</w:t>
      </w:r>
      <w:r>
        <w:rPr>
          <w:spacing w:val="-9"/>
        </w:rPr>
        <w:t xml:space="preserve"> </w:t>
      </w:r>
      <w:r>
        <w:t>for</w:t>
      </w:r>
      <w:r>
        <w:rPr>
          <w:spacing w:val="-9"/>
        </w:rPr>
        <w:t xml:space="preserve"> </w:t>
      </w:r>
      <w:r>
        <w:t>LGBTQ</w:t>
      </w:r>
      <w:r>
        <w:rPr>
          <w:spacing w:val="-9"/>
        </w:rPr>
        <w:t xml:space="preserve"> </w:t>
      </w:r>
      <w:r>
        <w:t>ambassador</w:t>
      </w:r>
      <w:r>
        <w:t>s</w:t>
      </w:r>
      <w:r>
        <w:rPr>
          <w:spacing w:val="-8"/>
        </w:rPr>
        <w:t xml:space="preserve"> </w:t>
      </w:r>
      <w:r>
        <w:t>is</w:t>
      </w:r>
      <w:r>
        <w:rPr>
          <w:spacing w:val="-8"/>
        </w:rPr>
        <w:t xml:space="preserve"> </w:t>
      </w:r>
      <w:r>
        <w:t>reserved</w:t>
      </w:r>
      <w:r>
        <w:rPr>
          <w:spacing w:val="-7"/>
        </w:rPr>
        <w:t xml:space="preserve"> </w:t>
      </w:r>
      <w:r>
        <w:t>within</w:t>
      </w:r>
      <w:r>
        <w:rPr>
          <w:spacing w:val="-8"/>
        </w:rPr>
        <w:t xml:space="preserve"> </w:t>
      </w:r>
      <w:r>
        <w:t>youth</w:t>
      </w:r>
      <w:r>
        <w:rPr>
          <w:spacing w:val="-7"/>
        </w:rPr>
        <w:t xml:space="preserve"> </w:t>
      </w:r>
      <w:r>
        <w:t>ambassador</w:t>
      </w:r>
      <w:r>
        <w:rPr>
          <w:spacing w:val="-9"/>
        </w:rPr>
        <w:t xml:space="preserve"> </w:t>
      </w:r>
      <w:r>
        <w:t>programs</w:t>
      </w:r>
      <w:r>
        <w:rPr>
          <w:spacing w:val="-8"/>
        </w:rPr>
        <w:t xml:space="preserve"> </w:t>
      </w:r>
      <w:r>
        <w:t xml:space="preserve">for the inclusion of QTBIPOC and gender expansive voices. Further, it is critical that local administrators of the survey are given guidance on conducting outreach that is inclusive of LGBTQ youth and QTBIPOC </w:t>
      </w:r>
      <w:r>
        <w:t>youth.</w:t>
      </w:r>
      <w:r>
        <w:rPr>
          <w:spacing w:val="-2"/>
        </w:rPr>
        <w:t xml:space="preserve"> </w:t>
      </w:r>
      <w:r>
        <w:t>It</w:t>
      </w:r>
      <w:r>
        <w:rPr>
          <w:spacing w:val="-2"/>
        </w:rPr>
        <w:t xml:space="preserve"> </w:t>
      </w:r>
      <w:r>
        <w:t>is</w:t>
      </w:r>
      <w:r>
        <w:rPr>
          <w:spacing w:val="-2"/>
        </w:rPr>
        <w:t xml:space="preserve"> </w:t>
      </w:r>
      <w:r>
        <w:t>important</w:t>
      </w:r>
      <w:r>
        <w:rPr>
          <w:spacing w:val="-3"/>
        </w:rPr>
        <w:t xml:space="preserve"> </w:t>
      </w:r>
      <w:r>
        <w:t>for</w:t>
      </w:r>
      <w:r>
        <w:rPr>
          <w:spacing w:val="-3"/>
        </w:rPr>
        <w:t xml:space="preserve"> </w:t>
      </w:r>
      <w:r>
        <w:t>outreach</w:t>
      </w:r>
      <w:r>
        <w:rPr>
          <w:spacing w:val="-3"/>
        </w:rPr>
        <w:t xml:space="preserve"> </w:t>
      </w:r>
      <w:r>
        <w:t>to</w:t>
      </w:r>
      <w:r>
        <w:rPr>
          <w:spacing w:val="-1"/>
        </w:rPr>
        <w:t xml:space="preserve"> </w:t>
      </w:r>
      <w:r>
        <w:t>be</w:t>
      </w:r>
      <w:r>
        <w:rPr>
          <w:spacing w:val="-2"/>
        </w:rPr>
        <w:t xml:space="preserve"> </w:t>
      </w:r>
      <w:r>
        <w:t>done</w:t>
      </w:r>
      <w:r>
        <w:rPr>
          <w:spacing w:val="-2"/>
        </w:rPr>
        <w:t xml:space="preserve"> </w:t>
      </w:r>
      <w:r>
        <w:t>with</w:t>
      </w:r>
      <w:r>
        <w:rPr>
          <w:spacing w:val="-2"/>
        </w:rPr>
        <w:t xml:space="preserve"> </w:t>
      </w:r>
      <w:r>
        <w:t>respect</w:t>
      </w:r>
      <w:r>
        <w:rPr>
          <w:spacing w:val="-2"/>
        </w:rPr>
        <w:t xml:space="preserve"> </w:t>
      </w:r>
      <w:r>
        <w:t>to cultural</w:t>
      </w:r>
      <w:r>
        <w:rPr>
          <w:spacing w:val="-4"/>
        </w:rPr>
        <w:t xml:space="preserve"> </w:t>
      </w:r>
      <w:r>
        <w:t>sensitivity and</w:t>
      </w:r>
      <w:r>
        <w:rPr>
          <w:spacing w:val="-3"/>
        </w:rPr>
        <w:t xml:space="preserve"> </w:t>
      </w:r>
      <w:r>
        <w:t>that</w:t>
      </w:r>
      <w:r>
        <w:rPr>
          <w:spacing w:val="-2"/>
        </w:rPr>
        <w:t xml:space="preserve"> </w:t>
      </w:r>
      <w:r>
        <w:t>proper</w:t>
      </w:r>
      <w:r>
        <w:rPr>
          <w:spacing w:val="-3"/>
        </w:rPr>
        <w:t xml:space="preserve"> </w:t>
      </w:r>
      <w:r>
        <w:t>training of administrators is provided prior to connecting with youth in the community. Program administrators may benefit from implicit bias workshops and training opportunities that emphasize best-practice strategies</w:t>
      </w:r>
      <w:r>
        <w:rPr>
          <w:spacing w:val="40"/>
        </w:rPr>
        <w:t xml:space="preserve"> </w:t>
      </w:r>
      <w:r>
        <w:t>when</w:t>
      </w:r>
      <w:r>
        <w:rPr>
          <w:spacing w:val="40"/>
        </w:rPr>
        <w:t xml:space="preserve"> </w:t>
      </w:r>
      <w:r>
        <w:t>conducting</w:t>
      </w:r>
      <w:r>
        <w:rPr>
          <w:spacing w:val="40"/>
        </w:rPr>
        <w:t xml:space="preserve"> </w:t>
      </w:r>
      <w:r>
        <w:t>inclusive</w:t>
      </w:r>
      <w:r>
        <w:rPr>
          <w:spacing w:val="40"/>
        </w:rPr>
        <w:t xml:space="preserve"> </w:t>
      </w:r>
      <w:r>
        <w:t>community-b</w:t>
      </w:r>
      <w:r>
        <w:t>ased</w:t>
      </w:r>
      <w:r>
        <w:rPr>
          <w:spacing w:val="40"/>
        </w:rPr>
        <w:t xml:space="preserve"> </w:t>
      </w:r>
      <w:r>
        <w:t>participatory</w:t>
      </w:r>
      <w:r>
        <w:rPr>
          <w:spacing w:val="40"/>
        </w:rPr>
        <w:t xml:space="preserve"> </w:t>
      </w:r>
      <w:r>
        <w:t>research,</w:t>
      </w:r>
      <w:r>
        <w:rPr>
          <w:spacing w:val="40"/>
        </w:rPr>
        <w:t xml:space="preserve"> </w:t>
      </w:r>
      <w:r>
        <w:t>and</w:t>
      </w:r>
      <w:r>
        <w:rPr>
          <w:spacing w:val="40"/>
        </w:rPr>
        <w:t xml:space="preserve"> </w:t>
      </w:r>
      <w:r>
        <w:t>the</w:t>
      </w:r>
      <w:r>
        <w:rPr>
          <w:spacing w:val="40"/>
        </w:rPr>
        <w:t xml:space="preserve"> </w:t>
      </w:r>
      <w:r>
        <w:t>Commission</w:t>
      </w:r>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spacing w:before="5"/>
        <w:rPr>
          <w:sz w:val="16"/>
        </w:rPr>
      </w:pPr>
    </w:p>
    <w:p w:rsidR="00C76E6D" w:rsidRDefault="00913831">
      <w:pPr>
        <w:pStyle w:val="BodyText"/>
        <w:spacing w:line="276" w:lineRule="auto"/>
        <w:ind w:left="478" w:right="474"/>
        <w:jc w:val="both"/>
      </w:pPr>
      <w:r>
        <w:t>would be interested in providing connections and resources to such trainings. The Commission itself has funded</w:t>
      </w:r>
      <w:r>
        <w:rPr>
          <w:spacing w:val="-2"/>
        </w:rPr>
        <w:t xml:space="preserve"> </w:t>
      </w:r>
      <w:r>
        <w:t>more</w:t>
      </w:r>
      <w:r>
        <w:rPr>
          <w:spacing w:val="-2"/>
        </w:rPr>
        <w:t xml:space="preserve"> </w:t>
      </w:r>
      <w:r>
        <w:t>LGBTQ</w:t>
      </w:r>
      <w:r>
        <w:rPr>
          <w:spacing w:val="-3"/>
        </w:rPr>
        <w:t xml:space="preserve"> </w:t>
      </w:r>
      <w:r>
        <w:t>youth</w:t>
      </w:r>
      <w:r>
        <w:rPr>
          <w:spacing w:val="-2"/>
        </w:rPr>
        <w:t xml:space="preserve"> </w:t>
      </w:r>
      <w:r>
        <w:t>of</w:t>
      </w:r>
      <w:r>
        <w:rPr>
          <w:spacing w:val="-4"/>
        </w:rPr>
        <w:t xml:space="preserve"> </w:t>
      </w:r>
      <w:r>
        <w:t>color</w:t>
      </w:r>
      <w:r>
        <w:rPr>
          <w:spacing w:val="-4"/>
        </w:rPr>
        <w:t xml:space="preserve"> </w:t>
      </w:r>
      <w:r>
        <w:t>to</w:t>
      </w:r>
      <w:r>
        <w:rPr>
          <w:spacing w:val="-4"/>
        </w:rPr>
        <w:t xml:space="preserve"> </w:t>
      </w:r>
      <w:r>
        <w:t>serve</w:t>
      </w:r>
      <w:r>
        <w:rPr>
          <w:spacing w:val="-4"/>
        </w:rPr>
        <w:t xml:space="preserve"> </w:t>
      </w:r>
      <w:r>
        <w:t>as</w:t>
      </w:r>
      <w:r>
        <w:rPr>
          <w:spacing w:val="-4"/>
        </w:rPr>
        <w:t xml:space="preserve"> </w:t>
      </w:r>
      <w:r>
        <w:t>ambassadors</w:t>
      </w:r>
      <w:r>
        <w:rPr>
          <w:spacing w:val="-4"/>
        </w:rPr>
        <w:t xml:space="preserve"> </w:t>
      </w:r>
      <w:r>
        <w:t>with</w:t>
      </w:r>
      <w:r>
        <w:rPr>
          <w:spacing w:val="-3"/>
        </w:rPr>
        <w:t xml:space="preserve"> </w:t>
      </w:r>
      <w:r>
        <w:t>the</w:t>
      </w:r>
      <w:r>
        <w:rPr>
          <w:spacing w:val="-4"/>
        </w:rPr>
        <w:t xml:space="preserve"> </w:t>
      </w:r>
      <w:r>
        <w:t>intention</w:t>
      </w:r>
      <w:r>
        <w:rPr>
          <w:spacing w:val="-2"/>
        </w:rPr>
        <w:t xml:space="preserve"> </w:t>
      </w:r>
      <w:r>
        <w:t>of</w:t>
      </w:r>
      <w:r>
        <w:rPr>
          <w:spacing w:val="-4"/>
        </w:rPr>
        <w:t xml:space="preserve"> </w:t>
      </w:r>
      <w:r>
        <w:t>increasing</w:t>
      </w:r>
      <w:r>
        <w:rPr>
          <w:spacing w:val="-2"/>
        </w:rPr>
        <w:t xml:space="preserve"> </w:t>
      </w:r>
      <w:r>
        <w:t>the</w:t>
      </w:r>
      <w:r>
        <w:rPr>
          <w:spacing w:val="-3"/>
        </w:rPr>
        <w:t xml:space="preserve"> </w:t>
      </w:r>
      <w:r>
        <w:t>diversity of</w:t>
      </w:r>
      <w:r>
        <w:rPr>
          <w:spacing w:val="-6"/>
        </w:rPr>
        <w:t xml:space="preserve"> </w:t>
      </w:r>
      <w:r>
        <w:t>survey</w:t>
      </w:r>
      <w:r>
        <w:rPr>
          <w:spacing w:val="-6"/>
        </w:rPr>
        <w:t xml:space="preserve"> </w:t>
      </w:r>
      <w:r>
        <w:t>respondents</w:t>
      </w:r>
      <w:r>
        <w:rPr>
          <w:spacing w:val="-6"/>
        </w:rPr>
        <w:t xml:space="preserve"> </w:t>
      </w:r>
      <w:r>
        <w:t>and</w:t>
      </w:r>
      <w:r>
        <w:rPr>
          <w:spacing w:val="-7"/>
        </w:rPr>
        <w:t xml:space="preserve"> </w:t>
      </w:r>
      <w:r>
        <w:t>encouraging</w:t>
      </w:r>
      <w:r>
        <w:rPr>
          <w:spacing w:val="-7"/>
        </w:rPr>
        <w:t xml:space="preserve"> </w:t>
      </w:r>
      <w:r>
        <w:t>an</w:t>
      </w:r>
      <w:r>
        <w:rPr>
          <w:spacing w:val="-7"/>
        </w:rPr>
        <w:t xml:space="preserve"> </w:t>
      </w:r>
      <w:r>
        <w:t>expansion</w:t>
      </w:r>
      <w:r>
        <w:rPr>
          <w:spacing w:val="-7"/>
        </w:rPr>
        <w:t xml:space="preserve"> </w:t>
      </w:r>
      <w:r>
        <w:t>of</w:t>
      </w:r>
      <w:r>
        <w:rPr>
          <w:spacing w:val="-6"/>
        </w:rPr>
        <w:t xml:space="preserve"> </w:t>
      </w:r>
      <w:r>
        <w:t>such</w:t>
      </w:r>
      <w:r>
        <w:rPr>
          <w:spacing w:val="-5"/>
        </w:rPr>
        <w:t xml:space="preserve"> </w:t>
      </w:r>
      <w:r>
        <w:t>efforts;</w:t>
      </w:r>
      <w:r>
        <w:rPr>
          <w:spacing w:val="-7"/>
        </w:rPr>
        <w:t xml:space="preserve"> </w:t>
      </w:r>
      <w:r>
        <w:t>equally</w:t>
      </w:r>
      <w:r>
        <w:rPr>
          <w:spacing w:val="-5"/>
        </w:rPr>
        <w:t xml:space="preserve"> </w:t>
      </w:r>
      <w:r>
        <w:t>important</w:t>
      </w:r>
      <w:r>
        <w:rPr>
          <w:spacing w:val="-6"/>
        </w:rPr>
        <w:t xml:space="preserve"> </w:t>
      </w:r>
      <w:r>
        <w:t>to</w:t>
      </w:r>
      <w:r>
        <w:rPr>
          <w:spacing w:val="-5"/>
        </w:rPr>
        <w:t xml:space="preserve"> </w:t>
      </w:r>
      <w:r>
        <w:t>supporting</w:t>
      </w:r>
      <w:r>
        <w:rPr>
          <w:spacing w:val="-7"/>
        </w:rPr>
        <w:t xml:space="preserve"> </w:t>
      </w:r>
      <w:r>
        <w:t>the execution of the survey is continuing to ensure that analysis is conducted, published, and utilized, and that such analysis makes sure to examine intersectional identities.</w:t>
      </w:r>
    </w:p>
    <w:p w:rsidR="00C76E6D" w:rsidRDefault="00C76E6D">
      <w:pPr>
        <w:pStyle w:val="BodyText"/>
        <w:spacing w:before="2"/>
        <w:rPr>
          <w:sz w:val="25"/>
        </w:rPr>
      </w:pPr>
    </w:p>
    <w:p w:rsidR="00C76E6D" w:rsidRDefault="00913831">
      <w:pPr>
        <w:pStyle w:val="Heading6"/>
        <w:numPr>
          <w:ilvl w:val="1"/>
          <w:numId w:val="42"/>
        </w:numPr>
        <w:tabs>
          <w:tab w:val="left" w:pos="707"/>
        </w:tabs>
        <w:spacing w:line="276" w:lineRule="auto"/>
        <w:ind w:left="479" w:right="581" w:firstLine="0"/>
      </w:pPr>
      <w:bookmarkStart w:id="263" w:name="5._Promote_best_and_promising_practices_"/>
      <w:bookmarkEnd w:id="263"/>
      <w:r>
        <w:t>Promote</w:t>
      </w:r>
      <w:r>
        <w:rPr>
          <w:spacing w:val="-3"/>
        </w:rPr>
        <w:t xml:space="preserve"> </w:t>
      </w:r>
      <w:r>
        <w:t>best</w:t>
      </w:r>
      <w:r>
        <w:rPr>
          <w:spacing w:val="-3"/>
        </w:rPr>
        <w:t xml:space="preserve"> </w:t>
      </w:r>
      <w:r>
        <w:t>and</w:t>
      </w:r>
      <w:r>
        <w:rPr>
          <w:spacing w:val="-3"/>
        </w:rPr>
        <w:t xml:space="preserve"> </w:t>
      </w:r>
      <w:r>
        <w:t>promising</w:t>
      </w:r>
      <w:r>
        <w:rPr>
          <w:spacing w:val="-4"/>
        </w:rPr>
        <w:t xml:space="preserve"> </w:t>
      </w:r>
      <w:r>
        <w:t>practices</w:t>
      </w:r>
      <w:r>
        <w:rPr>
          <w:spacing w:val="-3"/>
        </w:rPr>
        <w:t xml:space="preserve"> </w:t>
      </w:r>
      <w:r>
        <w:t>for</w:t>
      </w:r>
      <w:r>
        <w:rPr>
          <w:spacing w:val="-4"/>
        </w:rPr>
        <w:t xml:space="preserve"> </w:t>
      </w:r>
      <w:r>
        <w:t>serving</w:t>
      </w:r>
      <w:r>
        <w:rPr>
          <w:spacing w:val="-3"/>
        </w:rPr>
        <w:t xml:space="preserve"> </w:t>
      </w:r>
      <w:r>
        <w:t>LGBTQ</w:t>
      </w:r>
      <w:r>
        <w:rPr>
          <w:spacing w:val="-3"/>
        </w:rPr>
        <w:t xml:space="preserve"> </w:t>
      </w:r>
      <w:r>
        <w:t>youth</w:t>
      </w:r>
      <w:r>
        <w:rPr>
          <w:spacing w:val="-3"/>
        </w:rPr>
        <w:t xml:space="preserve"> </w:t>
      </w:r>
      <w:r>
        <w:t>with</w:t>
      </w:r>
      <w:r>
        <w:rPr>
          <w:spacing w:val="-3"/>
        </w:rPr>
        <w:t xml:space="preserve"> </w:t>
      </w:r>
      <w:r>
        <w:t>providers</w:t>
      </w:r>
      <w:r>
        <w:rPr>
          <w:spacing w:val="-2"/>
        </w:rPr>
        <w:t xml:space="preserve"> </w:t>
      </w:r>
      <w:r>
        <w:t>of</w:t>
      </w:r>
      <w:r>
        <w:rPr>
          <w:spacing w:val="-4"/>
        </w:rPr>
        <w:t xml:space="preserve"> </w:t>
      </w:r>
      <w:r>
        <w:t>services</w:t>
      </w:r>
      <w:r>
        <w:rPr>
          <w:spacing w:val="-4"/>
        </w:rPr>
        <w:t xml:space="preserve"> </w:t>
      </w:r>
      <w:r>
        <w:t>for</w:t>
      </w:r>
      <w:r>
        <w:rPr>
          <w:spacing w:val="-4"/>
        </w:rPr>
        <w:t xml:space="preserve"> </w:t>
      </w:r>
      <w:r>
        <w:t>youth at risk for or experiencing homelessness.</w:t>
      </w:r>
    </w:p>
    <w:p w:rsidR="00C76E6D" w:rsidRDefault="00C76E6D">
      <w:pPr>
        <w:pStyle w:val="BodyText"/>
        <w:spacing w:before="5"/>
        <w:rPr>
          <w:b/>
          <w:sz w:val="25"/>
        </w:rPr>
      </w:pPr>
    </w:p>
    <w:p w:rsidR="00C76E6D" w:rsidRDefault="00913831">
      <w:pPr>
        <w:pStyle w:val="BodyText"/>
        <w:spacing w:line="276" w:lineRule="auto"/>
        <w:ind w:left="478" w:right="471"/>
        <w:jc w:val="both"/>
      </w:pPr>
      <w:r>
        <w:t>The Commonwealth oversees, provides, and funds many services for youth who are at risk for or are currently experiencing homelessness. Too often, however, the Commission</w:t>
      </w:r>
      <w:r>
        <w:rPr>
          <w:spacing w:val="-1"/>
        </w:rPr>
        <w:t xml:space="preserve"> </w:t>
      </w:r>
      <w:r>
        <w:t>learns of programs, amo</w:t>
      </w:r>
      <w:r>
        <w:t>ngst these</w:t>
      </w:r>
      <w:r>
        <w:rPr>
          <w:spacing w:val="-6"/>
        </w:rPr>
        <w:t xml:space="preserve"> </w:t>
      </w:r>
      <w:r>
        <w:t>services,</w:t>
      </w:r>
      <w:r>
        <w:rPr>
          <w:spacing w:val="-5"/>
        </w:rPr>
        <w:t xml:space="preserve"> </w:t>
      </w:r>
      <w:r>
        <w:t>which</w:t>
      </w:r>
      <w:r>
        <w:rPr>
          <w:spacing w:val="-7"/>
        </w:rPr>
        <w:t xml:space="preserve"> </w:t>
      </w:r>
      <w:r>
        <w:t>are</w:t>
      </w:r>
      <w:r>
        <w:rPr>
          <w:spacing w:val="-4"/>
        </w:rPr>
        <w:t xml:space="preserve"> </w:t>
      </w:r>
      <w:r>
        <w:t>not</w:t>
      </w:r>
      <w:r>
        <w:rPr>
          <w:spacing w:val="-7"/>
        </w:rPr>
        <w:t xml:space="preserve"> </w:t>
      </w:r>
      <w:r>
        <w:t>LGBTQ-affirming,</w:t>
      </w:r>
      <w:r>
        <w:rPr>
          <w:spacing w:val="-4"/>
        </w:rPr>
        <w:t xml:space="preserve"> </w:t>
      </w:r>
      <w:r>
        <w:t>nor</w:t>
      </w:r>
      <w:r>
        <w:rPr>
          <w:spacing w:val="-5"/>
        </w:rPr>
        <w:t xml:space="preserve"> </w:t>
      </w:r>
      <w:r>
        <w:t>do</w:t>
      </w:r>
      <w:r>
        <w:rPr>
          <w:spacing w:val="-4"/>
        </w:rPr>
        <w:t xml:space="preserve"> </w:t>
      </w:r>
      <w:r>
        <w:t>they</w:t>
      </w:r>
      <w:r>
        <w:rPr>
          <w:spacing w:val="-5"/>
        </w:rPr>
        <w:t xml:space="preserve"> </w:t>
      </w:r>
      <w:r>
        <w:t>have</w:t>
      </w:r>
      <w:r>
        <w:rPr>
          <w:spacing w:val="-4"/>
        </w:rPr>
        <w:t xml:space="preserve"> </w:t>
      </w:r>
      <w:r>
        <w:t>providers</w:t>
      </w:r>
      <w:r>
        <w:rPr>
          <w:spacing w:val="-5"/>
        </w:rPr>
        <w:t xml:space="preserve"> </w:t>
      </w:r>
      <w:r>
        <w:t>who</w:t>
      </w:r>
      <w:r>
        <w:rPr>
          <w:spacing w:val="-5"/>
        </w:rPr>
        <w:t xml:space="preserve"> </w:t>
      </w:r>
      <w:r>
        <w:t>are</w:t>
      </w:r>
      <w:r>
        <w:rPr>
          <w:spacing w:val="-7"/>
        </w:rPr>
        <w:t xml:space="preserve"> </w:t>
      </w:r>
      <w:r>
        <w:t>knowledgeable</w:t>
      </w:r>
      <w:r>
        <w:rPr>
          <w:spacing w:val="-7"/>
        </w:rPr>
        <w:t xml:space="preserve"> </w:t>
      </w:r>
      <w:r>
        <w:t>about salient</w:t>
      </w:r>
      <w:r>
        <w:rPr>
          <w:spacing w:val="-5"/>
        </w:rPr>
        <w:t xml:space="preserve"> </w:t>
      </w:r>
      <w:r>
        <w:t>issues</w:t>
      </w:r>
      <w:r>
        <w:rPr>
          <w:spacing w:val="-2"/>
        </w:rPr>
        <w:t xml:space="preserve"> </w:t>
      </w:r>
      <w:r>
        <w:t>facing</w:t>
      </w:r>
      <w:r>
        <w:rPr>
          <w:spacing w:val="-4"/>
        </w:rPr>
        <w:t xml:space="preserve"> </w:t>
      </w:r>
      <w:r>
        <w:t>LGBTQ</w:t>
      </w:r>
      <w:r>
        <w:rPr>
          <w:spacing w:val="-3"/>
        </w:rPr>
        <w:t xml:space="preserve"> </w:t>
      </w:r>
      <w:r>
        <w:t>youth.</w:t>
      </w:r>
      <w:r>
        <w:rPr>
          <w:spacing w:val="-4"/>
        </w:rPr>
        <w:t xml:space="preserve"> </w:t>
      </w:r>
      <w:r>
        <w:t>For</w:t>
      </w:r>
      <w:r>
        <w:rPr>
          <w:spacing w:val="-5"/>
        </w:rPr>
        <w:t xml:space="preserve"> </w:t>
      </w:r>
      <w:r>
        <w:t>example,</w:t>
      </w:r>
      <w:r>
        <w:rPr>
          <w:spacing w:val="-5"/>
        </w:rPr>
        <w:t xml:space="preserve"> </w:t>
      </w:r>
      <w:r>
        <w:t>youth</w:t>
      </w:r>
      <w:r>
        <w:rPr>
          <w:spacing w:val="-3"/>
        </w:rPr>
        <w:t xml:space="preserve"> </w:t>
      </w:r>
      <w:r>
        <w:t>frequently</w:t>
      </w:r>
      <w:r>
        <w:rPr>
          <w:spacing w:val="-4"/>
        </w:rPr>
        <w:t xml:space="preserve"> </w:t>
      </w:r>
      <w:r>
        <w:t>report</w:t>
      </w:r>
      <w:r>
        <w:rPr>
          <w:spacing w:val="-6"/>
        </w:rPr>
        <w:t xml:space="preserve"> </w:t>
      </w:r>
      <w:r>
        <w:t>that</w:t>
      </w:r>
      <w:r>
        <w:rPr>
          <w:spacing w:val="-4"/>
        </w:rPr>
        <w:t xml:space="preserve"> </w:t>
      </w:r>
      <w:r>
        <w:t>providers</w:t>
      </w:r>
      <w:r>
        <w:rPr>
          <w:spacing w:val="-5"/>
        </w:rPr>
        <w:t xml:space="preserve"> </w:t>
      </w:r>
      <w:r>
        <w:t>do</w:t>
      </w:r>
      <w:r>
        <w:rPr>
          <w:spacing w:val="-4"/>
        </w:rPr>
        <w:t xml:space="preserve"> </w:t>
      </w:r>
      <w:r>
        <w:t>not</w:t>
      </w:r>
      <w:r>
        <w:rPr>
          <w:spacing w:val="-2"/>
        </w:rPr>
        <w:t xml:space="preserve"> </w:t>
      </w:r>
      <w:r>
        <w:t>appreciate the</w:t>
      </w:r>
      <w:r>
        <w:rPr>
          <w:spacing w:val="-5"/>
        </w:rPr>
        <w:t xml:space="preserve"> </w:t>
      </w:r>
      <w:r>
        <w:t>complexity</w:t>
      </w:r>
      <w:r>
        <w:rPr>
          <w:spacing w:val="-8"/>
        </w:rPr>
        <w:t xml:space="preserve"> </w:t>
      </w:r>
      <w:r>
        <w:t>of</w:t>
      </w:r>
      <w:r>
        <w:rPr>
          <w:spacing w:val="-6"/>
        </w:rPr>
        <w:t xml:space="preserve"> </w:t>
      </w:r>
      <w:r>
        <w:t>their</w:t>
      </w:r>
      <w:r>
        <w:rPr>
          <w:spacing w:val="-6"/>
        </w:rPr>
        <w:t xml:space="preserve"> </w:t>
      </w:r>
      <w:r>
        <w:t>situations</w:t>
      </w:r>
      <w:r>
        <w:rPr>
          <w:spacing w:val="-7"/>
        </w:rPr>
        <w:t xml:space="preserve"> </w:t>
      </w:r>
      <w:r>
        <w:t>when</w:t>
      </w:r>
      <w:r>
        <w:rPr>
          <w:spacing w:val="-7"/>
        </w:rPr>
        <w:t xml:space="preserve"> </w:t>
      </w:r>
      <w:r>
        <w:t>focusing</w:t>
      </w:r>
      <w:r>
        <w:rPr>
          <w:spacing w:val="-7"/>
        </w:rPr>
        <w:t xml:space="preserve"> </w:t>
      </w:r>
      <w:r>
        <w:t>on</w:t>
      </w:r>
      <w:r>
        <w:rPr>
          <w:spacing w:val="-7"/>
        </w:rPr>
        <w:t xml:space="preserve"> </w:t>
      </w:r>
      <w:r>
        <w:t>family</w:t>
      </w:r>
      <w:r>
        <w:rPr>
          <w:spacing w:val="-8"/>
        </w:rPr>
        <w:t xml:space="preserve"> </w:t>
      </w:r>
      <w:r>
        <w:t>reunification,</w:t>
      </w:r>
      <w:r>
        <w:rPr>
          <w:spacing w:val="-7"/>
        </w:rPr>
        <w:t xml:space="preserve"> </w:t>
      </w:r>
      <w:r>
        <w:t>which</w:t>
      </w:r>
      <w:r>
        <w:rPr>
          <w:spacing w:val="-7"/>
        </w:rPr>
        <w:t xml:space="preserve"> </w:t>
      </w:r>
      <w:r>
        <w:t>is</w:t>
      </w:r>
      <w:r>
        <w:rPr>
          <w:spacing w:val="-5"/>
        </w:rPr>
        <w:t xml:space="preserve"> </w:t>
      </w:r>
      <w:r>
        <w:t>not</w:t>
      </w:r>
      <w:r>
        <w:rPr>
          <w:spacing w:val="-8"/>
        </w:rPr>
        <w:t xml:space="preserve"> </w:t>
      </w:r>
      <w:r>
        <w:t>always</w:t>
      </w:r>
      <w:r>
        <w:rPr>
          <w:spacing w:val="-6"/>
        </w:rPr>
        <w:t xml:space="preserve"> </w:t>
      </w:r>
      <w:r>
        <w:t>possible,</w:t>
      </w:r>
      <w:r>
        <w:rPr>
          <w:spacing w:val="-7"/>
        </w:rPr>
        <w:t xml:space="preserve"> </w:t>
      </w:r>
      <w:r>
        <w:t>and is</w:t>
      </w:r>
      <w:r>
        <w:rPr>
          <w:spacing w:val="-6"/>
        </w:rPr>
        <w:t xml:space="preserve"> </w:t>
      </w:r>
      <w:r>
        <w:t>rarely</w:t>
      </w:r>
      <w:r>
        <w:rPr>
          <w:spacing w:val="-5"/>
        </w:rPr>
        <w:t xml:space="preserve"> </w:t>
      </w:r>
      <w:r>
        <w:t>easy,</w:t>
      </w:r>
      <w:r>
        <w:rPr>
          <w:spacing w:val="-6"/>
        </w:rPr>
        <w:t xml:space="preserve"> </w:t>
      </w:r>
      <w:r>
        <w:t>for</w:t>
      </w:r>
      <w:r>
        <w:rPr>
          <w:spacing w:val="-7"/>
        </w:rPr>
        <w:t xml:space="preserve"> </w:t>
      </w:r>
      <w:r>
        <w:t>youth</w:t>
      </w:r>
      <w:r>
        <w:rPr>
          <w:spacing w:val="-5"/>
        </w:rPr>
        <w:t xml:space="preserve"> </w:t>
      </w:r>
      <w:r>
        <w:t>facing</w:t>
      </w:r>
      <w:r>
        <w:rPr>
          <w:spacing w:val="-5"/>
        </w:rPr>
        <w:t xml:space="preserve"> </w:t>
      </w:r>
      <w:r>
        <w:t>rejection</w:t>
      </w:r>
      <w:r>
        <w:rPr>
          <w:spacing w:val="-3"/>
        </w:rPr>
        <w:t xml:space="preserve"> </w:t>
      </w:r>
      <w:r>
        <w:t>relating</w:t>
      </w:r>
      <w:r>
        <w:rPr>
          <w:spacing w:val="-5"/>
        </w:rPr>
        <w:t xml:space="preserve"> </w:t>
      </w:r>
      <w:r>
        <w:t>to</w:t>
      </w:r>
      <w:r>
        <w:rPr>
          <w:spacing w:val="-4"/>
        </w:rPr>
        <w:t xml:space="preserve"> </w:t>
      </w:r>
      <w:r>
        <w:t>their</w:t>
      </w:r>
      <w:r>
        <w:rPr>
          <w:spacing w:val="-6"/>
        </w:rPr>
        <w:t xml:space="preserve"> </w:t>
      </w:r>
      <w:r>
        <w:t>LGBTQ</w:t>
      </w:r>
      <w:r>
        <w:rPr>
          <w:spacing w:val="-6"/>
        </w:rPr>
        <w:t xml:space="preserve"> </w:t>
      </w:r>
      <w:r>
        <w:t>identity.</w:t>
      </w:r>
      <w:r>
        <w:rPr>
          <w:spacing w:val="-3"/>
        </w:rPr>
        <w:t xml:space="preserve"> </w:t>
      </w:r>
      <w:r>
        <w:t>Further,</w:t>
      </w:r>
      <w:r>
        <w:rPr>
          <w:spacing w:val="-6"/>
        </w:rPr>
        <w:t xml:space="preserve"> </w:t>
      </w:r>
      <w:r>
        <w:t>many</w:t>
      </w:r>
      <w:r>
        <w:rPr>
          <w:spacing w:val="-4"/>
        </w:rPr>
        <w:t xml:space="preserve"> </w:t>
      </w:r>
      <w:r>
        <w:t>BIPOC</w:t>
      </w:r>
      <w:r>
        <w:rPr>
          <w:spacing w:val="-5"/>
        </w:rPr>
        <w:t xml:space="preserve"> </w:t>
      </w:r>
      <w:r>
        <w:t>and</w:t>
      </w:r>
      <w:r>
        <w:rPr>
          <w:spacing w:val="-4"/>
        </w:rPr>
        <w:t xml:space="preserve"> </w:t>
      </w:r>
      <w:r>
        <w:t>gender diverse</w:t>
      </w:r>
      <w:r>
        <w:rPr>
          <w:spacing w:val="-2"/>
        </w:rPr>
        <w:t xml:space="preserve"> </w:t>
      </w:r>
      <w:r>
        <w:t>people</w:t>
      </w:r>
      <w:r>
        <w:rPr>
          <w:spacing w:val="-2"/>
        </w:rPr>
        <w:t xml:space="preserve"> </w:t>
      </w:r>
      <w:r>
        <w:t>have</w:t>
      </w:r>
      <w:r>
        <w:rPr>
          <w:spacing w:val="-2"/>
        </w:rPr>
        <w:t xml:space="preserve"> </w:t>
      </w:r>
      <w:r>
        <w:t>described</w:t>
      </w:r>
      <w:r>
        <w:rPr>
          <w:spacing w:val="-2"/>
        </w:rPr>
        <w:t xml:space="preserve"> </w:t>
      </w:r>
      <w:r>
        <w:t>feeling</w:t>
      </w:r>
      <w:r>
        <w:rPr>
          <w:spacing w:val="-1"/>
        </w:rPr>
        <w:t xml:space="preserve"> </w:t>
      </w:r>
      <w:r>
        <w:t>burdened</w:t>
      </w:r>
      <w:r>
        <w:rPr>
          <w:spacing w:val="-2"/>
        </w:rPr>
        <w:t xml:space="preserve"> </w:t>
      </w:r>
      <w:r>
        <w:t>by the</w:t>
      </w:r>
      <w:r>
        <w:rPr>
          <w:spacing w:val="-2"/>
        </w:rPr>
        <w:t xml:space="preserve"> </w:t>
      </w:r>
      <w:r>
        <w:t>expectation</w:t>
      </w:r>
      <w:r>
        <w:rPr>
          <w:spacing w:val="-2"/>
        </w:rPr>
        <w:t xml:space="preserve"> </w:t>
      </w:r>
      <w:r>
        <w:t>for</w:t>
      </w:r>
      <w:r>
        <w:rPr>
          <w:spacing w:val="-2"/>
        </w:rPr>
        <w:t xml:space="preserve"> </w:t>
      </w:r>
      <w:r>
        <w:t>them</w:t>
      </w:r>
      <w:r>
        <w:rPr>
          <w:spacing w:val="-1"/>
        </w:rPr>
        <w:t xml:space="preserve"> </w:t>
      </w:r>
      <w:r>
        <w:t>to educate</w:t>
      </w:r>
      <w:r>
        <w:rPr>
          <w:spacing w:val="-2"/>
        </w:rPr>
        <w:t xml:space="preserve"> </w:t>
      </w:r>
      <w:r>
        <w:t>others</w:t>
      </w:r>
      <w:r>
        <w:rPr>
          <w:spacing w:val="-1"/>
        </w:rPr>
        <w:t xml:space="preserve"> </w:t>
      </w:r>
      <w:r>
        <w:t>including peers, colleagues, and providers about the impact of current events and or the historical contexts of oppression</w:t>
      </w:r>
      <w:hyperlink w:anchor="_bookmark176" w:history="1">
        <w:r>
          <w:t>.</w:t>
        </w:r>
        <w:r>
          <w:rPr>
            <w:vertAlign w:val="superscript"/>
          </w:rPr>
          <w:t>14</w:t>
        </w:r>
      </w:hyperlink>
      <w:r>
        <w:t xml:space="preserve"> The literature has described this phenomenon as being related to concepts such a</w:t>
      </w:r>
      <w:r>
        <w:t>s the “minority stress model,”</w:t>
      </w:r>
      <w:hyperlink w:anchor="_bookmark177" w:history="1">
        <w:r>
          <w:rPr>
            <w:vertAlign w:val="superscript"/>
          </w:rPr>
          <w:t>15</w:t>
        </w:r>
        <w:r>
          <w:t xml:space="preserve"> </w:t>
        </w:r>
      </w:hyperlink>
      <w:r>
        <w:t>“multiple minority stress,”</w:t>
      </w:r>
      <w:hyperlink w:anchor="_bookmark178" w:history="1">
        <w:r>
          <w:rPr>
            <w:vertAlign w:val="superscript"/>
          </w:rPr>
          <w:t>16</w:t>
        </w:r>
        <w:r>
          <w:t xml:space="preserve"> </w:t>
        </w:r>
      </w:hyperlink>
      <w:r>
        <w:t>“minority tax,”</w:t>
      </w:r>
      <w:hyperlink w:anchor="_bookmark179" w:history="1">
        <w:r>
          <w:rPr>
            <w:vertAlign w:val="superscript"/>
          </w:rPr>
          <w:t>17</w:t>
        </w:r>
        <w:r>
          <w:t xml:space="preserve"> </w:t>
        </w:r>
      </w:hyperlink>
      <w:r>
        <w:t>and “diversity tax,”</w:t>
      </w:r>
      <w:hyperlink w:anchor="_bookmark180" w:history="1">
        <w:r>
          <w:rPr>
            <w:vertAlign w:val="superscript"/>
          </w:rPr>
          <w:t>18</w:t>
        </w:r>
        <w:r>
          <w:t xml:space="preserve"> i</w:t>
        </w:r>
      </w:hyperlink>
      <w:r>
        <w:t>n areas of academia, he</w:t>
      </w:r>
      <w:r>
        <w:t>alth care, and other industries.</w:t>
      </w:r>
    </w:p>
    <w:p w:rsidR="00C76E6D" w:rsidRDefault="00C76E6D">
      <w:pPr>
        <w:pStyle w:val="BodyText"/>
        <w:spacing w:before="3"/>
        <w:rPr>
          <w:sz w:val="25"/>
        </w:rPr>
      </w:pPr>
    </w:p>
    <w:p w:rsidR="00C76E6D" w:rsidRDefault="00913831">
      <w:pPr>
        <w:pStyle w:val="BodyText"/>
        <w:spacing w:line="276" w:lineRule="auto"/>
        <w:ind w:left="478" w:right="474"/>
        <w:jc w:val="both"/>
      </w:pPr>
      <w:r>
        <w:t xml:space="preserve">Across the nation, QTBIPOC youth have reported numerous instances of racism and xenophobia, within programs described as </w:t>
      </w:r>
      <w:r>
        <w:rPr>
          <w:i/>
        </w:rPr>
        <w:t>safe spaces</w:t>
      </w:r>
      <w:hyperlink w:anchor="_bookmark181" w:history="1">
        <w:r>
          <w:t>.</w:t>
        </w:r>
        <w:r>
          <w:rPr>
            <w:vertAlign w:val="superscript"/>
          </w:rPr>
          <w:t>19</w:t>
        </w:r>
      </w:hyperlink>
      <w:r>
        <w:t xml:space="preserve"> Additionally, these young people often report feeling </w:t>
      </w:r>
      <w:r>
        <w:t>ostracized from their own racial and ethnic communities in addition to feeling outcast and misunderstood in predominantly white LGBTQ communities</w:t>
      </w:r>
      <w:hyperlink w:anchor="_bookmark182" w:history="1">
        <w:r>
          <w:t>.</w:t>
        </w:r>
        <w:r>
          <w:rPr>
            <w:vertAlign w:val="superscript"/>
          </w:rPr>
          <w:t>20</w:t>
        </w:r>
      </w:hyperlink>
      <w:hyperlink w:anchor="_bookmark183" w:history="1">
        <w:r>
          <w:rPr>
            <w:vertAlign w:val="superscript"/>
          </w:rPr>
          <w:t>,21</w:t>
        </w:r>
        <w:r>
          <w:t xml:space="preserve"> </w:t>
        </w:r>
      </w:hyperlink>
      <w:r>
        <w:t>The Commission highlights the importance</w:t>
      </w:r>
      <w:r>
        <w:t xml:space="preserve"> of recognizing the impact of one’s words and actions over the intention. To ensure quality care to all LGBTQ youth in accessing</w:t>
      </w:r>
      <w:r>
        <w:rPr>
          <w:spacing w:val="-13"/>
        </w:rPr>
        <w:t xml:space="preserve"> </w:t>
      </w:r>
      <w:r>
        <w:t>essential</w:t>
      </w:r>
      <w:r>
        <w:rPr>
          <w:spacing w:val="-12"/>
        </w:rPr>
        <w:t xml:space="preserve"> </w:t>
      </w:r>
      <w:r>
        <w:t>services</w:t>
      </w:r>
      <w:r>
        <w:rPr>
          <w:spacing w:val="-13"/>
        </w:rPr>
        <w:t xml:space="preserve"> </w:t>
      </w:r>
      <w:r>
        <w:t>such</w:t>
      </w:r>
      <w:r>
        <w:rPr>
          <w:spacing w:val="-12"/>
        </w:rPr>
        <w:t xml:space="preserve"> </w:t>
      </w:r>
      <w:r>
        <w:t>as</w:t>
      </w:r>
      <w:r>
        <w:rPr>
          <w:spacing w:val="-13"/>
        </w:rPr>
        <w:t xml:space="preserve"> </w:t>
      </w:r>
      <w:r>
        <w:t>programs</w:t>
      </w:r>
      <w:r>
        <w:rPr>
          <w:spacing w:val="-12"/>
        </w:rPr>
        <w:t xml:space="preserve"> </w:t>
      </w:r>
      <w:r>
        <w:t>to</w:t>
      </w:r>
      <w:r>
        <w:rPr>
          <w:spacing w:val="-13"/>
        </w:rPr>
        <w:t xml:space="preserve"> </w:t>
      </w:r>
      <w:r>
        <w:t>end</w:t>
      </w:r>
      <w:r>
        <w:rPr>
          <w:spacing w:val="-12"/>
        </w:rPr>
        <w:t xml:space="preserve"> </w:t>
      </w:r>
      <w:r>
        <w:t>homelessness,</w:t>
      </w:r>
      <w:r>
        <w:rPr>
          <w:spacing w:val="-12"/>
        </w:rPr>
        <w:t xml:space="preserve"> </w:t>
      </w:r>
      <w:r>
        <w:t>providers</w:t>
      </w:r>
      <w:r>
        <w:rPr>
          <w:spacing w:val="-13"/>
        </w:rPr>
        <w:t xml:space="preserve"> </w:t>
      </w:r>
      <w:r>
        <w:t>and</w:t>
      </w:r>
      <w:r>
        <w:rPr>
          <w:spacing w:val="-12"/>
        </w:rPr>
        <w:t xml:space="preserve"> </w:t>
      </w:r>
      <w:r>
        <w:t>program</w:t>
      </w:r>
      <w:r>
        <w:rPr>
          <w:spacing w:val="-13"/>
        </w:rPr>
        <w:t xml:space="preserve"> </w:t>
      </w:r>
      <w:r>
        <w:t>administrators are encouraged to examine the imp</w:t>
      </w:r>
      <w:r>
        <w:t>act of intersectional identities and systemic oppression on QTBIPOC youth’s experience of homelessness and accessing resources. Research indicates that efforts to increase cultural diversity within medical and mental healthcare workforces, are critical</w:t>
      </w:r>
      <w:r>
        <w:rPr>
          <w:spacing w:val="-1"/>
        </w:rPr>
        <w:t xml:space="preserve"> </w:t>
      </w:r>
      <w:r>
        <w:t xml:space="preserve">in </w:t>
      </w:r>
      <w:r>
        <w:t xml:space="preserve">reducing racial, ethnic, gender, and sexual orientation health disparities, implicit and explicit biases among providers, and contributes to great outcomes such as lowered attrition rates, improved medication adherence, shared decision making, and patient </w:t>
      </w:r>
      <w:r>
        <w:t>sense of satisfaction with treatment</w:t>
      </w:r>
      <w:hyperlink w:anchor="_bookmark184" w:history="1">
        <w:r>
          <w:t>.</w:t>
        </w:r>
        <w:r>
          <w:rPr>
            <w:vertAlign w:val="superscript"/>
          </w:rPr>
          <w:t>22</w:t>
        </w:r>
      </w:hyperlink>
    </w:p>
    <w:p w:rsidR="00C76E6D" w:rsidRDefault="00C76E6D">
      <w:pPr>
        <w:pStyle w:val="BodyText"/>
        <w:spacing w:before="4"/>
        <w:rPr>
          <w:sz w:val="25"/>
        </w:rPr>
      </w:pPr>
    </w:p>
    <w:p w:rsidR="00C76E6D" w:rsidRDefault="00913831">
      <w:pPr>
        <w:pStyle w:val="BodyText"/>
        <w:spacing w:line="276" w:lineRule="auto"/>
        <w:ind w:left="479" w:right="475"/>
        <w:jc w:val="both"/>
      </w:pPr>
      <w:r>
        <w:t>The Commission recommends that the Commonwealth use a variety of means (such as trainings, e- learning opportunities, contractual requirements, legislation, etc.) to increase the utilization of best and promising</w:t>
      </w:r>
      <w:r>
        <w:rPr>
          <w:spacing w:val="-5"/>
        </w:rPr>
        <w:t xml:space="preserve"> </w:t>
      </w:r>
      <w:r>
        <w:t>practices</w:t>
      </w:r>
      <w:r>
        <w:rPr>
          <w:spacing w:val="-5"/>
        </w:rPr>
        <w:t xml:space="preserve"> </w:t>
      </w:r>
      <w:r>
        <w:t>for</w:t>
      </w:r>
      <w:r>
        <w:rPr>
          <w:spacing w:val="-5"/>
        </w:rPr>
        <w:t xml:space="preserve"> </w:t>
      </w:r>
      <w:r>
        <w:t>serving</w:t>
      </w:r>
      <w:r>
        <w:rPr>
          <w:spacing w:val="-6"/>
        </w:rPr>
        <w:t xml:space="preserve"> </w:t>
      </w:r>
      <w:r>
        <w:t>LGBTQ</w:t>
      </w:r>
      <w:r>
        <w:rPr>
          <w:spacing w:val="-3"/>
        </w:rPr>
        <w:t xml:space="preserve"> </w:t>
      </w:r>
      <w:r>
        <w:t>youth</w:t>
      </w:r>
      <w:r>
        <w:rPr>
          <w:spacing w:val="-6"/>
        </w:rPr>
        <w:t xml:space="preserve"> </w:t>
      </w:r>
      <w:r>
        <w:t>among</w:t>
      </w:r>
      <w:r>
        <w:rPr>
          <w:spacing w:val="-3"/>
        </w:rPr>
        <w:t xml:space="preserve"> </w:t>
      </w:r>
      <w:r>
        <w:t>pro</w:t>
      </w:r>
      <w:r>
        <w:t>viders</w:t>
      </w:r>
      <w:r>
        <w:rPr>
          <w:spacing w:val="-4"/>
        </w:rPr>
        <w:t xml:space="preserve"> </w:t>
      </w:r>
      <w:r>
        <w:t>who</w:t>
      </w:r>
      <w:r>
        <w:rPr>
          <w:spacing w:val="-5"/>
        </w:rPr>
        <w:t xml:space="preserve"> </w:t>
      </w:r>
      <w:r>
        <w:t>serve</w:t>
      </w:r>
      <w:r>
        <w:rPr>
          <w:spacing w:val="-4"/>
        </w:rPr>
        <w:t xml:space="preserve"> </w:t>
      </w:r>
      <w:r>
        <w:t>those</w:t>
      </w:r>
      <w:r>
        <w:rPr>
          <w:spacing w:val="-4"/>
        </w:rPr>
        <w:t xml:space="preserve"> </w:t>
      </w:r>
      <w:r>
        <w:t>experiencing</w:t>
      </w:r>
      <w:r>
        <w:rPr>
          <w:spacing w:val="-2"/>
        </w:rPr>
        <w:t xml:space="preserve"> </w:t>
      </w:r>
      <w:r>
        <w:t>or</w:t>
      </w:r>
      <w:r>
        <w:rPr>
          <w:spacing w:val="-5"/>
        </w:rPr>
        <w:t xml:space="preserve"> </w:t>
      </w:r>
      <w:r>
        <w:t>at</w:t>
      </w:r>
      <w:r>
        <w:rPr>
          <w:spacing w:val="-6"/>
        </w:rPr>
        <w:t xml:space="preserve"> </w:t>
      </w:r>
      <w:r>
        <w:t>risk</w:t>
      </w:r>
      <w:r>
        <w:rPr>
          <w:spacing w:val="-3"/>
        </w:rPr>
        <w:t xml:space="preserve"> </w:t>
      </w:r>
      <w:r>
        <w:t>for homelessness. The Commission’s recommendations for providers, that immediately follow herein, could serve as a useful starting point in advancing this work.</w:t>
      </w:r>
    </w:p>
    <w:p w:rsidR="00C76E6D" w:rsidRDefault="00C76E6D">
      <w:pPr>
        <w:pStyle w:val="BodyText"/>
        <w:spacing w:before="5"/>
        <w:rPr>
          <w:sz w:val="25"/>
        </w:rPr>
      </w:pPr>
    </w:p>
    <w:p w:rsidR="00C76E6D" w:rsidRDefault="00913831">
      <w:pPr>
        <w:pStyle w:val="BodyText"/>
        <w:spacing w:line="276" w:lineRule="auto"/>
        <w:ind w:left="480" w:right="478"/>
        <w:jc w:val="both"/>
      </w:pPr>
      <w:r>
        <w:t>The Commission also urges LGBTQ and gender-affi</w:t>
      </w:r>
      <w:r>
        <w:t>rming providers associated with faith-based organizations to be mindful of the historic</w:t>
      </w:r>
      <w:r>
        <w:rPr>
          <w:spacing w:val="-1"/>
        </w:rPr>
        <w:t xml:space="preserve"> </w:t>
      </w:r>
      <w:r>
        <w:t>maltreatment and abuse of LGBTQ people within organized</w:t>
      </w:r>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spacing w:before="5"/>
        <w:rPr>
          <w:sz w:val="16"/>
        </w:rPr>
      </w:pPr>
    </w:p>
    <w:p w:rsidR="00C76E6D" w:rsidRDefault="00913831">
      <w:pPr>
        <w:pStyle w:val="BodyText"/>
        <w:spacing w:line="276" w:lineRule="auto"/>
        <w:ind w:left="480" w:right="480"/>
        <w:jc w:val="both"/>
      </w:pPr>
      <w:r>
        <w:t>religious institutions. It may be beneficial to consider perceived hesitance or resistance from LGBTQ people to engage with homelessness resources that are faith-based or associated with an organized religion, through a trauma-informed and psychosocial len</w:t>
      </w:r>
      <w:r>
        <w:t>s.</w:t>
      </w:r>
    </w:p>
    <w:p w:rsidR="00C76E6D" w:rsidRDefault="00C76E6D">
      <w:pPr>
        <w:pStyle w:val="BodyText"/>
        <w:spacing w:before="3"/>
        <w:rPr>
          <w:sz w:val="25"/>
        </w:rPr>
      </w:pPr>
    </w:p>
    <w:p w:rsidR="00C76E6D" w:rsidRDefault="00913831">
      <w:pPr>
        <w:pStyle w:val="Heading6"/>
        <w:numPr>
          <w:ilvl w:val="1"/>
          <w:numId w:val="42"/>
        </w:numPr>
        <w:tabs>
          <w:tab w:val="left" w:pos="700"/>
        </w:tabs>
        <w:spacing w:line="276" w:lineRule="auto"/>
        <w:ind w:left="480" w:right="907" w:hanging="1"/>
      </w:pPr>
      <w:bookmarkStart w:id="264" w:name="6._Implement_policies_informed_by_resear"/>
      <w:bookmarkEnd w:id="264"/>
      <w:r>
        <w:t>Implement</w:t>
      </w:r>
      <w:r>
        <w:rPr>
          <w:spacing w:val="-7"/>
        </w:rPr>
        <w:t xml:space="preserve"> </w:t>
      </w:r>
      <w:r>
        <w:t>policies</w:t>
      </w:r>
      <w:r>
        <w:rPr>
          <w:spacing w:val="-8"/>
        </w:rPr>
        <w:t xml:space="preserve"> </w:t>
      </w:r>
      <w:r>
        <w:t>informed</w:t>
      </w:r>
      <w:r>
        <w:rPr>
          <w:spacing w:val="-7"/>
        </w:rPr>
        <w:t xml:space="preserve"> </w:t>
      </w:r>
      <w:r>
        <w:t>by</w:t>
      </w:r>
      <w:r>
        <w:rPr>
          <w:spacing w:val="-7"/>
        </w:rPr>
        <w:t xml:space="preserve"> </w:t>
      </w:r>
      <w:r>
        <w:t>research</w:t>
      </w:r>
      <w:r>
        <w:rPr>
          <w:spacing w:val="-8"/>
        </w:rPr>
        <w:t xml:space="preserve"> </w:t>
      </w:r>
      <w:r>
        <w:t>and</w:t>
      </w:r>
      <w:r>
        <w:rPr>
          <w:spacing w:val="-8"/>
        </w:rPr>
        <w:t xml:space="preserve"> </w:t>
      </w:r>
      <w:r>
        <w:t>collaboration</w:t>
      </w:r>
      <w:r>
        <w:rPr>
          <w:spacing w:val="-6"/>
        </w:rPr>
        <w:t xml:space="preserve"> </w:t>
      </w:r>
      <w:r>
        <w:t>with</w:t>
      </w:r>
      <w:r>
        <w:rPr>
          <w:spacing w:val="-8"/>
        </w:rPr>
        <w:t xml:space="preserve"> </w:t>
      </w:r>
      <w:r>
        <w:t>LGBTQ</w:t>
      </w:r>
      <w:r>
        <w:rPr>
          <w:spacing w:val="-7"/>
        </w:rPr>
        <w:t xml:space="preserve"> </w:t>
      </w:r>
      <w:r>
        <w:t>youth</w:t>
      </w:r>
      <w:r>
        <w:rPr>
          <w:spacing w:val="-7"/>
        </w:rPr>
        <w:t xml:space="preserve"> </w:t>
      </w:r>
      <w:r>
        <w:t>to</w:t>
      </w:r>
      <w:r>
        <w:rPr>
          <w:spacing w:val="-7"/>
        </w:rPr>
        <w:t xml:space="preserve"> </w:t>
      </w:r>
      <w:r>
        <w:t>ensure</w:t>
      </w:r>
      <w:r>
        <w:rPr>
          <w:spacing w:val="-6"/>
        </w:rPr>
        <w:t xml:space="preserve"> </w:t>
      </w:r>
      <w:r>
        <w:t>greater transparency of the foster care review process.</w:t>
      </w:r>
    </w:p>
    <w:p w:rsidR="00C76E6D" w:rsidRDefault="00C76E6D">
      <w:pPr>
        <w:pStyle w:val="BodyText"/>
        <w:spacing w:before="9"/>
        <w:rPr>
          <w:b/>
          <w:sz w:val="26"/>
        </w:rPr>
      </w:pPr>
    </w:p>
    <w:p w:rsidR="00C76E6D" w:rsidRDefault="00913831">
      <w:pPr>
        <w:pStyle w:val="BodyText"/>
        <w:spacing w:before="1" w:line="276" w:lineRule="auto"/>
        <w:ind w:left="480" w:right="471"/>
        <w:jc w:val="both"/>
      </w:pPr>
      <w:r>
        <w:t>LGBTQ youth aging out of the foster care system are at a disproportionately higher risk of homelessness and</w:t>
      </w:r>
      <w:r>
        <w:rPr>
          <w:spacing w:val="-2"/>
        </w:rPr>
        <w:t xml:space="preserve"> </w:t>
      </w:r>
      <w:r>
        <w:t>in</w:t>
      </w:r>
      <w:r>
        <w:t>volvement in the</w:t>
      </w:r>
      <w:r>
        <w:rPr>
          <w:spacing w:val="-1"/>
        </w:rPr>
        <w:t xml:space="preserve"> </w:t>
      </w:r>
      <w:r>
        <w:t>adult</w:t>
      </w:r>
      <w:r>
        <w:rPr>
          <w:spacing w:val="-2"/>
        </w:rPr>
        <w:t xml:space="preserve"> </w:t>
      </w:r>
      <w:r>
        <w:t>legal</w:t>
      </w:r>
      <w:r>
        <w:rPr>
          <w:spacing w:val="-2"/>
        </w:rPr>
        <w:t xml:space="preserve"> </w:t>
      </w:r>
      <w:r>
        <w:t>systems.</w:t>
      </w:r>
      <w:r>
        <w:rPr>
          <w:spacing w:val="-2"/>
        </w:rPr>
        <w:t xml:space="preserve"> </w:t>
      </w:r>
      <w:r>
        <w:t>It</w:t>
      </w:r>
      <w:r>
        <w:rPr>
          <w:spacing w:val="-1"/>
        </w:rPr>
        <w:t xml:space="preserve"> </w:t>
      </w:r>
      <w:r>
        <w:t>is imperative</w:t>
      </w:r>
      <w:r>
        <w:rPr>
          <w:spacing w:val="-1"/>
        </w:rPr>
        <w:t xml:space="preserve"> </w:t>
      </w:r>
      <w:r>
        <w:t>that</w:t>
      </w:r>
      <w:r>
        <w:rPr>
          <w:spacing w:val="-2"/>
        </w:rPr>
        <w:t xml:space="preserve"> </w:t>
      </w:r>
      <w:r>
        <w:rPr>
          <w:i/>
        </w:rPr>
        <w:t xml:space="preserve">all </w:t>
      </w:r>
      <w:r>
        <w:t>children</w:t>
      </w:r>
      <w:r>
        <w:rPr>
          <w:spacing w:val="-1"/>
        </w:rPr>
        <w:t xml:space="preserve"> </w:t>
      </w:r>
      <w:r>
        <w:t>in the</w:t>
      </w:r>
      <w:r>
        <w:rPr>
          <w:spacing w:val="-1"/>
        </w:rPr>
        <w:t xml:space="preserve"> </w:t>
      </w:r>
      <w:r>
        <w:t>care</w:t>
      </w:r>
      <w:r>
        <w:rPr>
          <w:spacing w:val="-2"/>
        </w:rPr>
        <w:t xml:space="preserve"> </w:t>
      </w:r>
      <w:r>
        <w:t>and</w:t>
      </w:r>
      <w:r>
        <w:rPr>
          <w:spacing w:val="-1"/>
        </w:rPr>
        <w:t xml:space="preserve"> </w:t>
      </w:r>
      <w:r>
        <w:t>responsibility of the Department of Children and Families (DCF) are placed in foster homes or residential treatment programs/social</w:t>
      </w:r>
      <w:r>
        <w:rPr>
          <w:spacing w:val="-13"/>
        </w:rPr>
        <w:t xml:space="preserve"> </w:t>
      </w:r>
      <w:r>
        <w:t>placements</w:t>
      </w:r>
      <w:r>
        <w:rPr>
          <w:spacing w:val="-12"/>
        </w:rPr>
        <w:t xml:space="preserve"> </w:t>
      </w:r>
      <w:r>
        <w:t>that</w:t>
      </w:r>
      <w:r>
        <w:rPr>
          <w:spacing w:val="-13"/>
        </w:rPr>
        <w:t xml:space="preserve"> </w:t>
      </w:r>
      <w:r>
        <w:t>are</w:t>
      </w:r>
      <w:r>
        <w:rPr>
          <w:spacing w:val="-12"/>
        </w:rPr>
        <w:t xml:space="preserve"> </w:t>
      </w:r>
      <w:r>
        <w:t>safe</w:t>
      </w:r>
      <w:r>
        <w:rPr>
          <w:spacing w:val="-13"/>
        </w:rPr>
        <w:t xml:space="preserve"> </w:t>
      </w:r>
      <w:r>
        <w:t>and</w:t>
      </w:r>
      <w:r>
        <w:rPr>
          <w:spacing w:val="-12"/>
        </w:rPr>
        <w:t xml:space="preserve"> </w:t>
      </w:r>
      <w:r>
        <w:t>affirming,</w:t>
      </w:r>
      <w:r>
        <w:rPr>
          <w:spacing w:val="-13"/>
        </w:rPr>
        <w:t xml:space="preserve"> </w:t>
      </w:r>
      <w:r>
        <w:t>regardless</w:t>
      </w:r>
      <w:r>
        <w:rPr>
          <w:spacing w:val="-12"/>
        </w:rPr>
        <w:t xml:space="preserve"> </w:t>
      </w:r>
      <w:r>
        <w:t>of</w:t>
      </w:r>
      <w:r>
        <w:rPr>
          <w:spacing w:val="-12"/>
        </w:rPr>
        <w:t xml:space="preserve"> </w:t>
      </w:r>
      <w:r>
        <w:t>their</w:t>
      </w:r>
      <w:r>
        <w:rPr>
          <w:spacing w:val="-13"/>
        </w:rPr>
        <w:t xml:space="preserve"> </w:t>
      </w:r>
      <w:r>
        <w:t>race,</w:t>
      </w:r>
      <w:r>
        <w:rPr>
          <w:spacing w:val="-12"/>
        </w:rPr>
        <w:t xml:space="preserve"> </w:t>
      </w:r>
      <w:r>
        <w:t>ethnicity,</w:t>
      </w:r>
      <w:r>
        <w:rPr>
          <w:spacing w:val="-13"/>
        </w:rPr>
        <w:t xml:space="preserve"> </w:t>
      </w:r>
      <w:r>
        <w:t>family</w:t>
      </w:r>
      <w:r>
        <w:rPr>
          <w:spacing w:val="-12"/>
        </w:rPr>
        <w:t xml:space="preserve"> </w:t>
      </w:r>
      <w:r>
        <w:t>of</w:t>
      </w:r>
      <w:r>
        <w:rPr>
          <w:spacing w:val="-13"/>
        </w:rPr>
        <w:t xml:space="preserve"> </w:t>
      </w:r>
      <w:r>
        <w:t>origin, sexual orientation, gender identity, and gender expression. LGBTQ youth, however, have consistently reported anecdotal experiences of discrimination and maltreatment as reflected in the Comm</w:t>
      </w:r>
      <w:r>
        <w:t>ission’s 2021</w:t>
      </w:r>
      <w:r>
        <w:rPr>
          <w:spacing w:val="-4"/>
        </w:rPr>
        <w:t xml:space="preserve"> </w:t>
      </w:r>
      <w:r>
        <w:t>report,</w:t>
      </w:r>
      <w:r>
        <w:rPr>
          <w:spacing w:val="-2"/>
        </w:rPr>
        <w:t xml:space="preserve"> </w:t>
      </w:r>
      <w:r>
        <w:rPr>
          <w:i/>
        </w:rPr>
        <w:t>LGBTQ</w:t>
      </w:r>
      <w:r>
        <w:rPr>
          <w:i/>
          <w:spacing w:val="-2"/>
        </w:rPr>
        <w:t xml:space="preserve"> </w:t>
      </w:r>
      <w:r>
        <w:rPr>
          <w:i/>
        </w:rPr>
        <w:t>Youth</w:t>
      </w:r>
      <w:r>
        <w:rPr>
          <w:i/>
          <w:spacing w:val="-2"/>
        </w:rPr>
        <w:t xml:space="preserve"> </w:t>
      </w:r>
      <w:r>
        <w:rPr>
          <w:i/>
        </w:rPr>
        <w:t>in</w:t>
      </w:r>
      <w:r>
        <w:rPr>
          <w:i/>
          <w:spacing w:val="-3"/>
        </w:rPr>
        <w:t xml:space="preserve"> </w:t>
      </w:r>
      <w:r>
        <w:rPr>
          <w:i/>
        </w:rPr>
        <w:t>the</w:t>
      </w:r>
      <w:r>
        <w:rPr>
          <w:i/>
          <w:spacing w:val="-3"/>
        </w:rPr>
        <w:t xml:space="preserve"> </w:t>
      </w:r>
      <w:r>
        <w:rPr>
          <w:i/>
        </w:rPr>
        <w:t>Massachusetts</w:t>
      </w:r>
      <w:r>
        <w:rPr>
          <w:i/>
          <w:spacing w:val="-3"/>
        </w:rPr>
        <w:t xml:space="preserve"> </w:t>
      </w:r>
      <w:r>
        <w:rPr>
          <w:i/>
        </w:rPr>
        <w:t>Child</w:t>
      </w:r>
      <w:r>
        <w:rPr>
          <w:i/>
          <w:spacing w:val="-3"/>
        </w:rPr>
        <w:t xml:space="preserve"> </w:t>
      </w:r>
      <w:r>
        <w:rPr>
          <w:i/>
        </w:rPr>
        <w:t>Welfare</w:t>
      </w:r>
      <w:r>
        <w:rPr>
          <w:i/>
          <w:spacing w:val="-3"/>
        </w:rPr>
        <w:t xml:space="preserve"> </w:t>
      </w:r>
      <w:r>
        <w:rPr>
          <w:i/>
        </w:rPr>
        <w:t>System</w:t>
      </w:r>
      <w:r>
        <w:t>.</w:t>
      </w:r>
      <w:r>
        <w:rPr>
          <w:spacing w:val="-2"/>
        </w:rPr>
        <w:t xml:space="preserve"> </w:t>
      </w:r>
      <w:r>
        <w:t>The</w:t>
      </w:r>
      <w:r>
        <w:rPr>
          <w:spacing w:val="-3"/>
        </w:rPr>
        <w:t xml:space="preserve"> </w:t>
      </w:r>
      <w:r>
        <w:t>Commission</w:t>
      </w:r>
      <w:r>
        <w:rPr>
          <w:spacing w:val="-3"/>
        </w:rPr>
        <w:t xml:space="preserve"> </w:t>
      </w:r>
      <w:r>
        <w:t>has</w:t>
      </w:r>
      <w:r>
        <w:rPr>
          <w:spacing w:val="-3"/>
        </w:rPr>
        <w:t xml:space="preserve"> </w:t>
      </w:r>
      <w:r>
        <w:t>since</w:t>
      </w:r>
      <w:r>
        <w:rPr>
          <w:spacing w:val="-2"/>
        </w:rPr>
        <w:t xml:space="preserve"> </w:t>
      </w:r>
      <w:r>
        <w:t>been</w:t>
      </w:r>
      <w:r>
        <w:rPr>
          <w:spacing w:val="-3"/>
        </w:rPr>
        <w:t xml:space="preserve"> </w:t>
      </w:r>
      <w:r>
        <w:t>in monthly meetings with DCF, and, in this year’s report, has issued new recommendations to the Office of the Child Advocate (OCA) to address these i</w:t>
      </w:r>
      <w:r>
        <w:t>ssues.</w:t>
      </w:r>
    </w:p>
    <w:p w:rsidR="00C76E6D" w:rsidRDefault="00C76E6D">
      <w:pPr>
        <w:pStyle w:val="BodyText"/>
        <w:spacing w:before="2"/>
        <w:rPr>
          <w:sz w:val="27"/>
        </w:rPr>
      </w:pPr>
    </w:p>
    <w:p w:rsidR="00C76E6D" w:rsidRDefault="00913831">
      <w:pPr>
        <w:pStyle w:val="BodyText"/>
        <w:spacing w:line="276" w:lineRule="auto"/>
        <w:ind w:left="480" w:right="474"/>
        <w:jc w:val="both"/>
      </w:pPr>
      <w:r>
        <w:t>The Trevor Project in collaboration with the National Institute for Health Care Management published a report</w:t>
      </w:r>
      <w:r>
        <w:rPr>
          <w:spacing w:val="-5"/>
        </w:rPr>
        <w:t xml:space="preserve"> </w:t>
      </w:r>
      <w:r>
        <w:t>in</w:t>
      </w:r>
      <w:r>
        <w:rPr>
          <w:spacing w:val="-3"/>
        </w:rPr>
        <w:t xml:space="preserve"> </w:t>
      </w:r>
      <w:r>
        <w:t>2021</w:t>
      </w:r>
      <w:r>
        <w:rPr>
          <w:spacing w:val="-3"/>
        </w:rPr>
        <w:t xml:space="preserve"> </w:t>
      </w:r>
      <w:r>
        <w:t>on</w:t>
      </w:r>
      <w:r>
        <w:rPr>
          <w:spacing w:val="-4"/>
        </w:rPr>
        <w:t xml:space="preserve"> </w:t>
      </w:r>
      <w:r>
        <w:t>the</w:t>
      </w:r>
      <w:r>
        <w:rPr>
          <w:spacing w:val="-3"/>
        </w:rPr>
        <w:t xml:space="preserve"> </w:t>
      </w:r>
      <w:r>
        <w:t>state</w:t>
      </w:r>
      <w:r>
        <w:rPr>
          <w:spacing w:val="-3"/>
        </w:rPr>
        <w:t xml:space="preserve"> </w:t>
      </w:r>
      <w:r>
        <w:t>of</w:t>
      </w:r>
      <w:r>
        <w:rPr>
          <w:spacing w:val="-4"/>
        </w:rPr>
        <w:t xml:space="preserve"> </w:t>
      </w:r>
      <w:r>
        <w:t>“Foster</w:t>
      </w:r>
      <w:r>
        <w:rPr>
          <w:spacing w:val="-3"/>
        </w:rPr>
        <w:t xml:space="preserve"> </w:t>
      </w:r>
      <w:r>
        <w:t>Care,</w:t>
      </w:r>
      <w:r>
        <w:rPr>
          <w:spacing w:val="-2"/>
        </w:rPr>
        <w:t xml:space="preserve"> </w:t>
      </w:r>
      <w:r>
        <w:t>LGBTQ</w:t>
      </w:r>
      <w:r>
        <w:rPr>
          <w:spacing w:val="-3"/>
        </w:rPr>
        <w:t xml:space="preserve"> </w:t>
      </w:r>
      <w:r>
        <w:t>Youth,</w:t>
      </w:r>
      <w:r>
        <w:rPr>
          <w:spacing w:val="-3"/>
        </w:rPr>
        <w:t xml:space="preserve"> </w:t>
      </w:r>
      <w:r>
        <w:t>and</w:t>
      </w:r>
      <w:r>
        <w:rPr>
          <w:spacing w:val="-3"/>
        </w:rPr>
        <w:t xml:space="preserve"> </w:t>
      </w:r>
      <w:r>
        <w:t>Increased</w:t>
      </w:r>
      <w:r>
        <w:rPr>
          <w:spacing w:val="-3"/>
        </w:rPr>
        <w:t xml:space="preserve"> </w:t>
      </w:r>
      <w:r>
        <w:t>Suicide.”</w:t>
      </w:r>
      <w:r>
        <w:rPr>
          <w:spacing w:val="-2"/>
        </w:rPr>
        <w:t xml:space="preserve"> </w:t>
      </w:r>
      <w:r>
        <w:t>Of</w:t>
      </w:r>
      <w:r>
        <w:rPr>
          <w:spacing w:val="-3"/>
        </w:rPr>
        <w:t xml:space="preserve"> </w:t>
      </w:r>
      <w:r>
        <w:t>all</w:t>
      </w:r>
      <w:r>
        <w:rPr>
          <w:spacing w:val="-2"/>
        </w:rPr>
        <w:t xml:space="preserve"> </w:t>
      </w:r>
      <w:r>
        <w:t>children</w:t>
      </w:r>
      <w:r>
        <w:rPr>
          <w:spacing w:val="-3"/>
        </w:rPr>
        <w:t xml:space="preserve"> </w:t>
      </w:r>
      <w:r>
        <w:t>in</w:t>
      </w:r>
      <w:r>
        <w:rPr>
          <w:spacing w:val="-3"/>
        </w:rPr>
        <w:t xml:space="preserve"> </w:t>
      </w:r>
      <w:r>
        <w:t>foster care in the United States, Black children are disproportionately more likely to be in foster care, 23% in comparison</w:t>
      </w:r>
      <w:r>
        <w:rPr>
          <w:spacing w:val="-1"/>
        </w:rPr>
        <w:t xml:space="preserve"> </w:t>
      </w:r>
      <w:r>
        <w:t>to 14% of children</w:t>
      </w:r>
      <w:r>
        <w:rPr>
          <w:spacing w:val="-1"/>
        </w:rPr>
        <w:t xml:space="preserve"> </w:t>
      </w:r>
      <w:r>
        <w:t>of all other races. Further, while LGBTQ</w:t>
      </w:r>
      <w:r>
        <w:rPr>
          <w:spacing w:val="-1"/>
        </w:rPr>
        <w:t xml:space="preserve"> </w:t>
      </w:r>
      <w:r>
        <w:t>youth are</w:t>
      </w:r>
      <w:r>
        <w:rPr>
          <w:spacing w:val="-1"/>
        </w:rPr>
        <w:t xml:space="preserve"> </w:t>
      </w:r>
      <w:r>
        <w:t>overrepresented in the foster care system, QTBIPOC youth are a</w:t>
      </w:r>
      <w:r>
        <w:t xml:space="preserve">t an even higher risk of being placed in foster care. Transgender and non-binary youth are additionally at an even greater risk of being in foster care when compared to cisgender LGBTQ youth. LGBTQ youth are four times more likely to be in foster care due </w:t>
      </w:r>
      <w:r>
        <w:t>to being kicked out,</w:t>
      </w:r>
      <w:r>
        <w:rPr>
          <w:spacing w:val="-3"/>
        </w:rPr>
        <w:t xml:space="preserve"> </w:t>
      </w:r>
      <w:r>
        <w:t>abandoned,</w:t>
      </w:r>
      <w:r>
        <w:rPr>
          <w:spacing w:val="-3"/>
        </w:rPr>
        <w:t xml:space="preserve"> </w:t>
      </w:r>
      <w:r>
        <w:t>or</w:t>
      </w:r>
      <w:r>
        <w:rPr>
          <w:spacing w:val="-3"/>
        </w:rPr>
        <w:t xml:space="preserve"> </w:t>
      </w:r>
      <w:r>
        <w:t>running</w:t>
      </w:r>
      <w:r>
        <w:rPr>
          <w:spacing w:val="-3"/>
        </w:rPr>
        <w:t xml:space="preserve"> </w:t>
      </w:r>
      <w:r>
        <w:t>away</w:t>
      </w:r>
      <w:r>
        <w:rPr>
          <w:spacing w:val="-2"/>
        </w:rPr>
        <w:t xml:space="preserve"> </w:t>
      </w:r>
      <w:r>
        <w:t>to</w:t>
      </w:r>
      <w:r>
        <w:rPr>
          <w:spacing w:val="-1"/>
        </w:rPr>
        <w:t xml:space="preserve"> </w:t>
      </w:r>
      <w:r>
        <w:t>escape</w:t>
      </w:r>
      <w:r>
        <w:rPr>
          <w:spacing w:val="-3"/>
        </w:rPr>
        <w:t xml:space="preserve"> </w:t>
      </w:r>
      <w:r>
        <w:t>maltreatment</w:t>
      </w:r>
      <w:r>
        <w:rPr>
          <w:spacing w:val="-1"/>
        </w:rPr>
        <w:t xml:space="preserve"> </w:t>
      </w:r>
      <w:r>
        <w:t>based</w:t>
      </w:r>
      <w:r>
        <w:rPr>
          <w:spacing w:val="-2"/>
        </w:rPr>
        <w:t xml:space="preserve"> </w:t>
      </w:r>
      <w:r>
        <w:t>on</w:t>
      </w:r>
      <w:r>
        <w:rPr>
          <w:spacing w:val="-3"/>
        </w:rPr>
        <w:t xml:space="preserve"> </w:t>
      </w:r>
      <w:r>
        <w:t>their</w:t>
      </w:r>
      <w:r>
        <w:rPr>
          <w:spacing w:val="-1"/>
        </w:rPr>
        <w:t xml:space="preserve"> </w:t>
      </w:r>
      <w:r>
        <w:t>LGBTQ</w:t>
      </w:r>
      <w:r>
        <w:rPr>
          <w:spacing w:val="-3"/>
        </w:rPr>
        <w:t xml:space="preserve"> </w:t>
      </w:r>
      <w:r>
        <w:t>identity</w:t>
      </w:r>
      <w:r>
        <w:rPr>
          <w:spacing w:val="-2"/>
        </w:rPr>
        <w:t xml:space="preserve"> </w:t>
      </w:r>
      <w:r>
        <w:t>as compared</w:t>
      </w:r>
      <w:r>
        <w:rPr>
          <w:spacing w:val="-1"/>
        </w:rPr>
        <w:t xml:space="preserve"> </w:t>
      </w:r>
      <w:r>
        <w:t>to youth</w:t>
      </w:r>
      <w:r>
        <w:rPr>
          <w:spacing w:val="-9"/>
        </w:rPr>
        <w:t xml:space="preserve"> </w:t>
      </w:r>
      <w:r>
        <w:t>who</w:t>
      </w:r>
      <w:r>
        <w:rPr>
          <w:spacing w:val="-6"/>
        </w:rPr>
        <w:t xml:space="preserve"> </w:t>
      </w:r>
      <w:r>
        <w:t>have</w:t>
      </w:r>
      <w:r>
        <w:rPr>
          <w:spacing w:val="-9"/>
        </w:rPr>
        <w:t xml:space="preserve"> </w:t>
      </w:r>
      <w:r>
        <w:t>never</w:t>
      </w:r>
      <w:r>
        <w:rPr>
          <w:spacing w:val="-9"/>
        </w:rPr>
        <w:t xml:space="preserve"> </w:t>
      </w:r>
      <w:r>
        <w:t>been</w:t>
      </w:r>
      <w:r>
        <w:rPr>
          <w:spacing w:val="-9"/>
        </w:rPr>
        <w:t xml:space="preserve"> </w:t>
      </w:r>
      <w:r>
        <w:t>in</w:t>
      </w:r>
      <w:r>
        <w:rPr>
          <w:spacing w:val="-9"/>
        </w:rPr>
        <w:t xml:space="preserve"> </w:t>
      </w:r>
      <w:r>
        <w:t>foster</w:t>
      </w:r>
      <w:r>
        <w:rPr>
          <w:spacing w:val="-6"/>
        </w:rPr>
        <w:t xml:space="preserve"> </w:t>
      </w:r>
      <w:r>
        <w:t>care.</w:t>
      </w:r>
      <w:r>
        <w:rPr>
          <w:spacing w:val="-9"/>
        </w:rPr>
        <w:t xml:space="preserve"> </w:t>
      </w:r>
      <w:r>
        <w:t>Lastly,</w:t>
      </w:r>
      <w:r>
        <w:rPr>
          <w:spacing w:val="-8"/>
        </w:rPr>
        <w:t xml:space="preserve"> </w:t>
      </w:r>
      <w:r>
        <w:t>LGBTQ</w:t>
      </w:r>
      <w:r>
        <w:rPr>
          <w:spacing w:val="-9"/>
        </w:rPr>
        <w:t xml:space="preserve"> </w:t>
      </w:r>
      <w:r>
        <w:t>youth</w:t>
      </w:r>
      <w:r>
        <w:rPr>
          <w:spacing w:val="-9"/>
        </w:rPr>
        <w:t xml:space="preserve"> </w:t>
      </w:r>
      <w:r>
        <w:t>in</w:t>
      </w:r>
      <w:r>
        <w:rPr>
          <w:spacing w:val="-8"/>
        </w:rPr>
        <w:t xml:space="preserve"> </w:t>
      </w:r>
      <w:r>
        <w:t>foster</w:t>
      </w:r>
      <w:r>
        <w:rPr>
          <w:spacing w:val="-9"/>
        </w:rPr>
        <w:t xml:space="preserve"> </w:t>
      </w:r>
      <w:r>
        <w:t>care</w:t>
      </w:r>
      <w:r>
        <w:rPr>
          <w:spacing w:val="-9"/>
        </w:rPr>
        <w:t xml:space="preserve"> </w:t>
      </w:r>
      <w:r>
        <w:t>were</w:t>
      </w:r>
      <w:r>
        <w:rPr>
          <w:spacing w:val="-9"/>
        </w:rPr>
        <w:t xml:space="preserve"> </w:t>
      </w:r>
      <w:r>
        <w:t>three</w:t>
      </w:r>
      <w:r>
        <w:rPr>
          <w:spacing w:val="-9"/>
        </w:rPr>
        <w:t xml:space="preserve"> </w:t>
      </w:r>
      <w:r>
        <w:t>times</w:t>
      </w:r>
      <w:r>
        <w:rPr>
          <w:spacing w:val="-9"/>
        </w:rPr>
        <w:t xml:space="preserve"> </w:t>
      </w:r>
      <w:r>
        <w:t>more</w:t>
      </w:r>
      <w:r>
        <w:rPr>
          <w:spacing w:val="-9"/>
        </w:rPr>
        <w:t xml:space="preserve"> </w:t>
      </w:r>
      <w:r>
        <w:t xml:space="preserve">likely to report a past-year suicide attempt when compared to LGBTQ youth not in foster care. </w:t>
      </w:r>
      <w:hyperlink w:anchor="_bookmark185" w:history="1">
        <w:r>
          <w:rPr>
            <w:vertAlign w:val="superscript"/>
          </w:rPr>
          <w:t>23</w:t>
        </w:r>
      </w:hyperlink>
    </w:p>
    <w:p w:rsidR="00C76E6D" w:rsidRDefault="00C76E6D">
      <w:pPr>
        <w:pStyle w:val="BodyText"/>
        <w:spacing w:before="1"/>
        <w:rPr>
          <w:sz w:val="27"/>
        </w:rPr>
      </w:pPr>
    </w:p>
    <w:p w:rsidR="00C76E6D" w:rsidRDefault="00913831">
      <w:pPr>
        <w:pStyle w:val="BodyText"/>
        <w:spacing w:line="276" w:lineRule="auto"/>
        <w:ind w:left="479" w:right="476"/>
        <w:jc w:val="both"/>
      </w:pPr>
      <w:r>
        <w:t>The</w:t>
      </w:r>
      <w:r>
        <w:rPr>
          <w:spacing w:val="-7"/>
        </w:rPr>
        <w:t xml:space="preserve"> </w:t>
      </w:r>
      <w:r>
        <w:t>Commission</w:t>
      </w:r>
      <w:r>
        <w:rPr>
          <w:spacing w:val="-9"/>
        </w:rPr>
        <w:t xml:space="preserve"> </w:t>
      </w:r>
      <w:r>
        <w:t>urges</w:t>
      </w:r>
      <w:r>
        <w:rPr>
          <w:spacing w:val="-6"/>
        </w:rPr>
        <w:t xml:space="preserve"> </w:t>
      </w:r>
      <w:r>
        <w:t>the</w:t>
      </w:r>
      <w:r>
        <w:rPr>
          <w:spacing w:val="-5"/>
        </w:rPr>
        <w:t xml:space="preserve"> </w:t>
      </w:r>
      <w:r>
        <w:t>Commonwealth</w:t>
      </w:r>
      <w:r>
        <w:rPr>
          <w:spacing w:val="-8"/>
        </w:rPr>
        <w:t xml:space="preserve"> </w:t>
      </w:r>
      <w:r>
        <w:t>to</w:t>
      </w:r>
      <w:r>
        <w:rPr>
          <w:spacing w:val="-7"/>
        </w:rPr>
        <w:t xml:space="preserve"> </w:t>
      </w:r>
      <w:r>
        <w:t>establish</w:t>
      </w:r>
      <w:r>
        <w:rPr>
          <w:spacing w:val="-9"/>
        </w:rPr>
        <w:t xml:space="preserve"> </w:t>
      </w:r>
      <w:r>
        <w:t>an</w:t>
      </w:r>
      <w:r>
        <w:rPr>
          <w:spacing w:val="-8"/>
        </w:rPr>
        <w:t xml:space="preserve"> </w:t>
      </w:r>
      <w:r>
        <w:t>independent</w:t>
      </w:r>
      <w:r>
        <w:rPr>
          <w:spacing w:val="-8"/>
        </w:rPr>
        <w:t xml:space="preserve"> </w:t>
      </w:r>
      <w:r>
        <w:t>agency</w:t>
      </w:r>
      <w:r>
        <w:rPr>
          <w:spacing w:val="-6"/>
        </w:rPr>
        <w:t xml:space="preserve"> </w:t>
      </w:r>
      <w:r>
        <w:t>to</w:t>
      </w:r>
      <w:r>
        <w:rPr>
          <w:spacing w:val="-8"/>
        </w:rPr>
        <w:t xml:space="preserve"> </w:t>
      </w:r>
      <w:r>
        <w:t>oversee</w:t>
      </w:r>
      <w:r>
        <w:rPr>
          <w:spacing w:val="-9"/>
        </w:rPr>
        <w:t xml:space="preserve"> </w:t>
      </w:r>
      <w:r>
        <w:t>the</w:t>
      </w:r>
      <w:r>
        <w:rPr>
          <w:spacing w:val="-8"/>
        </w:rPr>
        <w:t xml:space="preserve"> </w:t>
      </w:r>
      <w:r>
        <w:t>foster</w:t>
      </w:r>
      <w:r>
        <w:rPr>
          <w:spacing w:val="-7"/>
        </w:rPr>
        <w:t xml:space="preserve"> </w:t>
      </w:r>
      <w:r>
        <w:t xml:space="preserve">care review process and remove </w:t>
      </w:r>
      <w:r>
        <w:t>this responsibility from DCF, as proposed in An Act Establishing the Massachusetts Foster Care Review Office (H. 211 / S. 88).</w:t>
      </w:r>
    </w:p>
    <w:p w:rsidR="00C76E6D" w:rsidRDefault="00C76E6D">
      <w:pPr>
        <w:pStyle w:val="BodyText"/>
        <w:spacing w:before="4"/>
        <w:rPr>
          <w:sz w:val="26"/>
        </w:rPr>
      </w:pPr>
    </w:p>
    <w:p w:rsidR="00C76E6D" w:rsidRDefault="00913831">
      <w:pPr>
        <w:pStyle w:val="Heading6"/>
        <w:numPr>
          <w:ilvl w:val="1"/>
          <w:numId w:val="42"/>
        </w:numPr>
        <w:tabs>
          <w:tab w:val="left" w:pos="699"/>
        </w:tabs>
        <w:ind w:left="698" w:hanging="221"/>
      </w:pPr>
      <w:bookmarkStart w:id="265" w:name="7._Implement_policies_to_prevent_familie"/>
      <w:bookmarkEnd w:id="265"/>
      <w:r>
        <w:rPr>
          <w:w w:val="95"/>
        </w:rPr>
        <w:t>Implement</w:t>
      </w:r>
      <w:r>
        <w:rPr>
          <w:spacing w:val="15"/>
        </w:rPr>
        <w:t xml:space="preserve"> </w:t>
      </w:r>
      <w:r>
        <w:rPr>
          <w:w w:val="95"/>
        </w:rPr>
        <w:t>policies</w:t>
      </w:r>
      <w:r>
        <w:rPr>
          <w:spacing w:val="16"/>
        </w:rPr>
        <w:t xml:space="preserve"> </w:t>
      </w:r>
      <w:r>
        <w:rPr>
          <w:w w:val="95"/>
        </w:rPr>
        <w:t>to</w:t>
      </w:r>
      <w:r>
        <w:rPr>
          <w:spacing w:val="16"/>
        </w:rPr>
        <w:t xml:space="preserve"> </w:t>
      </w:r>
      <w:r>
        <w:rPr>
          <w:w w:val="95"/>
        </w:rPr>
        <w:t>prevent</w:t>
      </w:r>
      <w:r>
        <w:rPr>
          <w:spacing w:val="15"/>
        </w:rPr>
        <w:t xml:space="preserve"> </w:t>
      </w:r>
      <w:r>
        <w:rPr>
          <w:w w:val="95"/>
        </w:rPr>
        <w:t>families</w:t>
      </w:r>
      <w:r>
        <w:rPr>
          <w:spacing w:val="18"/>
        </w:rPr>
        <w:t xml:space="preserve"> </w:t>
      </w:r>
      <w:r>
        <w:rPr>
          <w:w w:val="95"/>
        </w:rPr>
        <w:t>and</w:t>
      </w:r>
      <w:r>
        <w:rPr>
          <w:spacing w:val="16"/>
        </w:rPr>
        <w:t xml:space="preserve"> </w:t>
      </w:r>
      <w:r>
        <w:rPr>
          <w:w w:val="95"/>
        </w:rPr>
        <w:t>individuals</w:t>
      </w:r>
      <w:r>
        <w:rPr>
          <w:spacing w:val="15"/>
        </w:rPr>
        <w:t xml:space="preserve"> </w:t>
      </w:r>
      <w:r>
        <w:rPr>
          <w:w w:val="95"/>
        </w:rPr>
        <w:t>from</w:t>
      </w:r>
      <w:r>
        <w:rPr>
          <w:spacing w:val="19"/>
        </w:rPr>
        <w:t xml:space="preserve"> </w:t>
      </w:r>
      <w:r>
        <w:rPr>
          <w:w w:val="95"/>
        </w:rPr>
        <w:t>experiencing</w:t>
      </w:r>
      <w:r>
        <w:rPr>
          <w:spacing w:val="19"/>
        </w:rPr>
        <w:t xml:space="preserve"> </w:t>
      </w:r>
      <w:r>
        <w:rPr>
          <w:spacing w:val="-2"/>
          <w:w w:val="95"/>
        </w:rPr>
        <w:t>homelessness.</w:t>
      </w:r>
    </w:p>
    <w:p w:rsidR="00C76E6D" w:rsidRDefault="00C76E6D">
      <w:pPr>
        <w:pStyle w:val="BodyText"/>
        <w:spacing w:before="6"/>
        <w:rPr>
          <w:b/>
          <w:sz w:val="29"/>
        </w:rPr>
      </w:pPr>
    </w:p>
    <w:p w:rsidR="00C76E6D" w:rsidRDefault="00913831">
      <w:pPr>
        <w:pStyle w:val="BodyText"/>
        <w:spacing w:line="276" w:lineRule="auto"/>
        <w:ind w:left="480" w:right="479"/>
        <w:jc w:val="both"/>
      </w:pPr>
      <w:r>
        <w:t>The Commission supports initiatives that, while not explicitly related to LGBTQ youth, nevertheless disproportionately affect LGBTQ youth at risk of or actually experiencing homelessness. Such initiatives being considered in the current legislative session</w:t>
      </w:r>
      <w:r>
        <w:t xml:space="preserve"> include:</w:t>
      </w:r>
    </w:p>
    <w:p w:rsidR="00C76E6D" w:rsidRDefault="00C76E6D">
      <w:pPr>
        <w:pStyle w:val="BodyText"/>
        <w:spacing w:before="4"/>
        <w:rPr>
          <w:sz w:val="26"/>
        </w:rPr>
      </w:pPr>
    </w:p>
    <w:p w:rsidR="00C76E6D" w:rsidRDefault="00913831">
      <w:pPr>
        <w:pStyle w:val="ListParagraph"/>
        <w:numPr>
          <w:ilvl w:val="0"/>
          <w:numId w:val="41"/>
        </w:numPr>
        <w:tabs>
          <w:tab w:val="left" w:pos="1200"/>
        </w:tabs>
        <w:spacing w:line="276" w:lineRule="auto"/>
        <w:ind w:right="475"/>
        <w:jc w:val="both"/>
      </w:pPr>
      <w:r>
        <w:t>Improved access to the Emergency Assistance (EA) for families and children seeking to access or retain</w:t>
      </w:r>
      <w:r>
        <w:rPr>
          <w:spacing w:val="-6"/>
        </w:rPr>
        <w:t xml:space="preserve"> </w:t>
      </w:r>
      <w:r>
        <w:t>EA</w:t>
      </w:r>
      <w:r>
        <w:rPr>
          <w:spacing w:val="-5"/>
        </w:rPr>
        <w:t xml:space="preserve"> </w:t>
      </w:r>
      <w:r>
        <w:t>shelter</w:t>
      </w:r>
      <w:r>
        <w:rPr>
          <w:spacing w:val="-6"/>
        </w:rPr>
        <w:t xml:space="preserve"> </w:t>
      </w:r>
      <w:r>
        <w:t>and</w:t>
      </w:r>
      <w:r>
        <w:rPr>
          <w:spacing w:val="-6"/>
        </w:rPr>
        <w:t xml:space="preserve"> </w:t>
      </w:r>
      <w:r>
        <w:t>HomeBASE</w:t>
      </w:r>
      <w:r>
        <w:rPr>
          <w:spacing w:val="-8"/>
        </w:rPr>
        <w:t xml:space="preserve"> </w:t>
      </w:r>
      <w:r>
        <w:t>rehousing</w:t>
      </w:r>
      <w:r>
        <w:rPr>
          <w:spacing w:val="-7"/>
        </w:rPr>
        <w:t xml:space="preserve"> </w:t>
      </w:r>
      <w:r>
        <w:t>benefits,</w:t>
      </w:r>
      <w:r>
        <w:rPr>
          <w:spacing w:val="-6"/>
        </w:rPr>
        <w:t xml:space="preserve"> </w:t>
      </w:r>
      <w:r>
        <w:t>as</w:t>
      </w:r>
      <w:r>
        <w:rPr>
          <w:spacing w:val="-7"/>
        </w:rPr>
        <w:t xml:space="preserve"> </w:t>
      </w:r>
      <w:r>
        <w:t>proposed</w:t>
      </w:r>
      <w:r>
        <w:rPr>
          <w:spacing w:val="-7"/>
        </w:rPr>
        <w:t xml:space="preserve"> </w:t>
      </w:r>
      <w:r>
        <w:t>in</w:t>
      </w:r>
      <w:r>
        <w:rPr>
          <w:spacing w:val="-7"/>
        </w:rPr>
        <w:t xml:space="preserve"> </w:t>
      </w:r>
      <w:r>
        <w:t>An</w:t>
      </w:r>
      <w:r>
        <w:rPr>
          <w:spacing w:val="-7"/>
        </w:rPr>
        <w:t xml:space="preserve"> </w:t>
      </w:r>
      <w:r>
        <w:t>Act</w:t>
      </w:r>
      <w:r>
        <w:rPr>
          <w:spacing w:val="-7"/>
        </w:rPr>
        <w:t xml:space="preserve"> </w:t>
      </w:r>
      <w:r>
        <w:t>Improving</w:t>
      </w:r>
      <w:r>
        <w:rPr>
          <w:spacing w:val="-7"/>
        </w:rPr>
        <w:t xml:space="preserve"> </w:t>
      </w:r>
      <w:r>
        <w:t>Emergency Housing Assistance for Children and Families Experiencing Homelessness (H. 202 / S. 111).</w:t>
      </w:r>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1"/>
        <w:rPr>
          <w:sz w:val="17"/>
        </w:rPr>
      </w:pPr>
    </w:p>
    <w:p w:rsidR="00C76E6D" w:rsidRDefault="00913831">
      <w:pPr>
        <w:pStyle w:val="ListParagraph"/>
        <w:numPr>
          <w:ilvl w:val="0"/>
          <w:numId w:val="41"/>
        </w:numPr>
        <w:tabs>
          <w:tab w:val="left" w:pos="1200"/>
        </w:tabs>
        <w:spacing w:before="55" w:line="276" w:lineRule="auto"/>
        <w:ind w:right="475"/>
        <w:jc w:val="both"/>
      </w:pPr>
      <w:r>
        <w:t>Prevent evictions and foreclosures by supporting stabilization of the housing market during the COVID-19</w:t>
      </w:r>
      <w:r>
        <w:rPr>
          <w:spacing w:val="-4"/>
        </w:rPr>
        <w:t xml:space="preserve"> </w:t>
      </w:r>
      <w:r>
        <w:t>state</w:t>
      </w:r>
      <w:r>
        <w:rPr>
          <w:spacing w:val="-4"/>
        </w:rPr>
        <w:t xml:space="preserve"> </w:t>
      </w:r>
      <w:r>
        <w:t>of</w:t>
      </w:r>
      <w:r>
        <w:rPr>
          <w:spacing w:val="-3"/>
        </w:rPr>
        <w:t xml:space="preserve"> </w:t>
      </w:r>
      <w:r>
        <w:t>emergency</w:t>
      </w:r>
      <w:r>
        <w:rPr>
          <w:spacing w:val="-4"/>
        </w:rPr>
        <w:t xml:space="preserve"> </w:t>
      </w:r>
      <w:r>
        <w:t>and</w:t>
      </w:r>
      <w:r>
        <w:rPr>
          <w:spacing w:val="-4"/>
        </w:rPr>
        <w:t xml:space="preserve"> </w:t>
      </w:r>
      <w:r>
        <w:t>recovery,</w:t>
      </w:r>
      <w:r>
        <w:rPr>
          <w:spacing w:val="-4"/>
        </w:rPr>
        <w:t xml:space="preserve"> </w:t>
      </w:r>
      <w:r>
        <w:t>a</w:t>
      </w:r>
      <w:r>
        <w:t>s</w:t>
      </w:r>
      <w:r>
        <w:rPr>
          <w:spacing w:val="-4"/>
        </w:rPr>
        <w:t xml:space="preserve"> </w:t>
      </w:r>
      <w:r>
        <w:t>proposed</w:t>
      </w:r>
      <w:r>
        <w:rPr>
          <w:spacing w:val="-4"/>
        </w:rPr>
        <w:t xml:space="preserve"> </w:t>
      </w:r>
      <w:r>
        <w:t>in</w:t>
      </w:r>
      <w:r>
        <w:rPr>
          <w:spacing w:val="-4"/>
        </w:rPr>
        <w:t xml:space="preserve"> </w:t>
      </w:r>
      <w:r>
        <w:t>An</w:t>
      </w:r>
      <w:r>
        <w:rPr>
          <w:spacing w:val="-4"/>
        </w:rPr>
        <w:t xml:space="preserve"> </w:t>
      </w:r>
      <w:r>
        <w:t>Act</w:t>
      </w:r>
      <w:r>
        <w:rPr>
          <w:spacing w:val="-4"/>
        </w:rPr>
        <w:t xml:space="preserve"> </w:t>
      </w:r>
      <w:r>
        <w:t>to</w:t>
      </w:r>
      <w:r>
        <w:rPr>
          <w:spacing w:val="-2"/>
        </w:rPr>
        <w:t xml:space="preserve"> </w:t>
      </w:r>
      <w:r>
        <w:t>Prevent</w:t>
      </w:r>
      <w:r>
        <w:rPr>
          <w:spacing w:val="-3"/>
        </w:rPr>
        <w:t xml:space="preserve"> </w:t>
      </w:r>
      <w:r>
        <w:t>COVID-19</w:t>
      </w:r>
      <w:r>
        <w:rPr>
          <w:spacing w:val="-4"/>
        </w:rPr>
        <w:t xml:space="preserve"> </w:t>
      </w:r>
      <w:r>
        <w:t>Evictions and Foreclosures and Promote an Equitable Housing Recovery (H. 1434 / S. 891).</w:t>
      </w:r>
    </w:p>
    <w:p w:rsidR="00C76E6D" w:rsidRDefault="00C76E6D">
      <w:pPr>
        <w:pStyle w:val="BodyText"/>
        <w:spacing w:before="4"/>
        <w:rPr>
          <w:sz w:val="25"/>
        </w:rPr>
      </w:pPr>
    </w:p>
    <w:p w:rsidR="00C76E6D" w:rsidRDefault="00913831">
      <w:pPr>
        <w:pStyle w:val="ListParagraph"/>
        <w:numPr>
          <w:ilvl w:val="0"/>
          <w:numId w:val="41"/>
        </w:numPr>
        <w:tabs>
          <w:tab w:val="left" w:pos="1200"/>
        </w:tabs>
        <w:spacing w:line="276" w:lineRule="auto"/>
        <w:ind w:right="471"/>
        <w:jc w:val="both"/>
      </w:pPr>
      <w:r>
        <w:t>Ensure right to counsel for eviction proceedings, as proposed in An Act Enacting the Universal Right to Counsel in Eviction C</w:t>
      </w:r>
      <w:r>
        <w:t>ases (H. 1911).</w:t>
      </w:r>
    </w:p>
    <w:p w:rsidR="00C76E6D" w:rsidRDefault="00C76E6D">
      <w:pPr>
        <w:pStyle w:val="BodyText"/>
        <w:spacing w:before="5"/>
        <w:rPr>
          <w:sz w:val="25"/>
        </w:rPr>
      </w:pPr>
    </w:p>
    <w:p w:rsidR="00C76E6D" w:rsidRDefault="00913831">
      <w:pPr>
        <w:pStyle w:val="ListParagraph"/>
        <w:numPr>
          <w:ilvl w:val="0"/>
          <w:numId w:val="41"/>
        </w:numPr>
        <w:tabs>
          <w:tab w:val="left" w:pos="1200"/>
        </w:tabs>
        <w:spacing w:line="276" w:lineRule="auto"/>
        <w:ind w:right="475"/>
        <w:jc w:val="both"/>
      </w:pPr>
      <w:r>
        <w:t xml:space="preserve">Permanently establish and improve the Residential Assistance for Families in Transition (RAFT) homelessness prevention program, as proposed in An Act Providing Upstream Homelessness Prevention Assistance to Families, Youth, and Adults (H. </w:t>
      </w:r>
      <w:r>
        <w:t>1385).</w:t>
      </w:r>
    </w:p>
    <w:p w:rsidR="00C76E6D" w:rsidRDefault="00C76E6D">
      <w:pPr>
        <w:pStyle w:val="BodyText"/>
        <w:spacing w:before="3"/>
        <w:rPr>
          <w:sz w:val="25"/>
        </w:rPr>
      </w:pPr>
    </w:p>
    <w:p w:rsidR="00C76E6D" w:rsidRDefault="00913831">
      <w:pPr>
        <w:pStyle w:val="ListParagraph"/>
        <w:numPr>
          <w:ilvl w:val="0"/>
          <w:numId w:val="41"/>
        </w:numPr>
        <w:tabs>
          <w:tab w:val="left" w:pos="1200"/>
        </w:tabs>
        <w:spacing w:line="276" w:lineRule="auto"/>
        <w:ind w:right="475"/>
        <w:jc w:val="both"/>
      </w:pPr>
      <w:r>
        <w:t>Establish the HomeBASE short-term transitional housing program in state statute and provide renewals, as proposed in An Act Promoting Housing Stability for Families by Strengthening the HomeBASE Program (H. 1372).</w:t>
      </w:r>
    </w:p>
    <w:p w:rsidR="00C76E6D" w:rsidRDefault="00C76E6D">
      <w:pPr>
        <w:pStyle w:val="BodyText"/>
        <w:spacing w:before="3"/>
        <w:rPr>
          <w:sz w:val="25"/>
        </w:rPr>
      </w:pPr>
    </w:p>
    <w:p w:rsidR="00C76E6D" w:rsidRDefault="00913831">
      <w:pPr>
        <w:pStyle w:val="ListParagraph"/>
        <w:numPr>
          <w:ilvl w:val="0"/>
          <w:numId w:val="41"/>
        </w:numPr>
        <w:tabs>
          <w:tab w:val="left" w:pos="1200"/>
        </w:tabs>
        <w:spacing w:line="276" w:lineRule="auto"/>
        <w:ind w:left="1199" w:right="475"/>
        <w:jc w:val="both"/>
      </w:pPr>
      <w:r>
        <w:t>Improve</w:t>
      </w:r>
      <w:r>
        <w:rPr>
          <w:spacing w:val="-13"/>
        </w:rPr>
        <w:t xml:space="preserve"> </w:t>
      </w:r>
      <w:r>
        <w:t>process</w:t>
      </w:r>
      <w:r>
        <w:rPr>
          <w:spacing w:val="-12"/>
        </w:rPr>
        <w:t xml:space="preserve"> </w:t>
      </w:r>
      <w:r>
        <w:t>to</w:t>
      </w:r>
      <w:r>
        <w:rPr>
          <w:spacing w:val="-13"/>
        </w:rPr>
        <w:t xml:space="preserve"> </w:t>
      </w:r>
      <w:r>
        <w:t>seal</w:t>
      </w:r>
      <w:r>
        <w:rPr>
          <w:spacing w:val="-12"/>
        </w:rPr>
        <w:t xml:space="preserve"> </w:t>
      </w:r>
      <w:r>
        <w:t>eviction</w:t>
      </w:r>
      <w:r>
        <w:rPr>
          <w:spacing w:val="-13"/>
        </w:rPr>
        <w:t xml:space="preserve"> </w:t>
      </w:r>
      <w:r>
        <w:t>records</w:t>
      </w:r>
      <w:r>
        <w:rPr>
          <w:spacing w:val="-12"/>
        </w:rPr>
        <w:t xml:space="preserve"> </w:t>
      </w:r>
      <w:r>
        <w:t>to</w:t>
      </w:r>
      <w:r>
        <w:rPr>
          <w:spacing w:val="-13"/>
        </w:rPr>
        <w:t xml:space="preserve"> </w:t>
      </w:r>
      <w:r>
        <w:t>protect</w:t>
      </w:r>
      <w:r>
        <w:rPr>
          <w:spacing w:val="-12"/>
        </w:rPr>
        <w:t xml:space="preserve"> </w:t>
      </w:r>
      <w:r>
        <w:t>tenants</w:t>
      </w:r>
      <w:r>
        <w:rPr>
          <w:spacing w:val="-12"/>
        </w:rPr>
        <w:t xml:space="preserve"> </w:t>
      </w:r>
      <w:r>
        <w:t>from</w:t>
      </w:r>
      <w:r>
        <w:rPr>
          <w:spacing w:val="-13"/>
        </w:rPr>
        <w:t xml:space="preserve"> </w:t>
      </w:r>
      <w:r>
        <w:t>the</w:t>
      </w:r>
      <w:r>
        <w:rPr>
          <w:spacing w:val="-12"/>
        </w:rPr>
        <w:t xml:space="preserve"> </w:t>
      </w:r>
      <w:r>
        <w:t>stigma</w:t>
      </w:r>
      <w:r>
        <w:rPr>
          <w:spacing w:val="-13"/>
        </w:rPr>
        <w:t xml:space="preserve"> </w:t>
      </w:r>
      <w:r>
        <w:t>of</w:t>
      </w:r>
      <w:r>
        <w:rPr>
          <w:spacing w:val="-12"/>
        </w:rPr>
        <w:t xml:space="preserve"> </w:t>
      </w:r>
      <w:r>
        <w:t>permanent</w:t>
      </w:r>
      <w:r>
        <w:rPr>
          <w:spacing w:val="-13"/>
        </w:rPr>
        <w:t xml:space="preserve"> </w:t>
      </w:r>
      <w:r>
        <w:t>eviction records, as proposed in An Act Promoting Housing Opportunity and Mobility through Eviction Sealing (H. 4505).</w:t>
      </w:r>
    </w:p>
    <w:p w:rsidR="00C76E6D" w:rsidRDefault="00C76E6D">
      <w:pPr>
        <w:pStyle w:val="BodyText"/>
        <w:spacing w:before="3"/>
        <w:rPr>
          <w:sz w:val="25"/>
        </w:rPr>
      </w:pPr>
    </w:p>
    <w:p w:rsidR="00C76E6D" w:rsidRDefault="00913831">
      <w:pPr>
        <w:pStyle w:val="ListParagraph"/>
        <w:numPr>
          <w:ilvl w:val="0"/>
          <w:numId w:val="41"/>
        </w:numPr>
        <w:tabs>
          <w:tab w:val="left" w:pos="1200"/>
        </w:tabs>
        <w:spacing w:line="276" w:lineRule="auto"/>
        <w:ind w:right="476"/>
        <w:jc w:val="both"/>
      </w:pPr>
      <w:r>
        <w:t xml:space="preserve">Remove the prohibition on rent control and protect tenants from unjust no-fault </w:t>
      </w:r>
      <w:r>
        <w:t>evictions, as proposed in An Act Enabling Local Options for Tenant Protections (H. 1378 / S. 886).</w:t>
      </w:r>
    </w:p>
    <w:p w:rsidR="00C76E6D" w:rsidRDefault="00C76E6D">
      <w:pPr>
        <w:pStyle w:val="BodyText"/>
        <w:spacing w:before="4"/>
        <w:rPr>
          <w:sz w:val="25"/>
        </w:rPr>
      </w:pPr>
    </w:p>
    <w:p w:rsidR="00C76E6D" w:rsidRDefault="00913831">
      <w:pPr>
        <w:pStyle w:val="ListParagraph"/>
        <w:numPr>
          <w:ilvl w:val="0"/>
          <w:numId w:val="41"/>
        </w:numPr>
        <w:tabs>
          <w:tab w:val="left" w:pos="1200"/>
        </w:tabs>
        <w:spacing w:line="276" w:lineRule="auto"/>
        <w:ind w:right="1116"/>
      </w:pPr>
      <w:r>
        <w:t>Address</w:t>
      </w:r>
      <w:r>
        <w:rPr>
          <w:spacing w:val="-7"/>
        </w:rPr>
        <w:t xml:space="preserve"> </w:t>
      </w:r>
      <w:r>
        <w:t>gentrification,</w:t>
      </w:r>
      <w:r>
        <w:rPr>
          <w:spacing w:val="-7"/>
        </w:rPr>
        <w:t xml:space="preserve"> </w:t>
      </w:r>
      <w:r>
        <w:t>an</w:t>
      </w:r>
      <w:r>
        <w:rPr>
          <w:spacing w:val="-7"/>
        </w:rPr>
        <w:t xml:space="preserve"> </w:t>
      </w:r>
      <w:r>
        <w:t>issue</w:t>
      </w:r>
      <w:r>
        <w:rPr>
          <w:spacing w:val="-7"/>
        </w:rPr>
        <w:t xml:space="preserve"> </w:t>
      </w:r>
      <w:r>
        <w:t>that</w:t>
      </w:r>
      <w:r>
        <w:rPr>
          <w:spacing w:val="-7"/>
        </w:rPr>
        <w:t xml:space="preserve"> </w:t>
      </w:r>
      <w:r>
        <w:t>disproportionately</w:t>
      </w:r>
      <w:r>
        <w:rPr>
          <w:spacing w:val="-7"/>
        </w:rPr>
        <w:t xml:space="preserve"> </w:t>
      </w:r>
      <w:r>
        <w:t>impacts</w:t>
      </w:r>
      <w:r>
        <w:rPr>
          <w:spacing w:val="-7"/>
        </w:rPr>
        <w:t xml:space="preserve"> </w:t>
      </w:r>
      <w:r>
        <w:t>people</w:t>
      </w:r>
      <w:r>
        <w:rPr>
          <w:spacing w:val="-8"/>
        </w:rPr>
        <w:t xml:space="preserve"> </w:t>
      </w:r>
      <w:r>
        <w:t>of</w:t>
      </w:r>
      <w:r>
        <w:rPr>
          <w:spacing w:val="-7"/>
        </w:rPr>
        <w:t xml:space="preserve"> </w:t>
      </w:r>
      <w:r>
        <w:t>color</w:t>
      </w:r>
      <w:r>
        <w:rPr>
          <w:spacing w:val="-7"/>
        </w:rPr>
        <w:t xml:space="preserve"> </w:t>
      </w:r>
      <w:r>
        <w:t>and</w:t>
      </w:r>
      <w:r>
        <w:rPr>
          <w:spacing w:val="-8"/>
        </w:rPr>
        <w:t xml:space="preserve"> </w:t>
      </w:r>
      <w:r>
        <w:t xml:space="preserve">which makes it difficult for LGBTQ youth to obtain and maintain stable </w:t>
      </w:r>
      <w:r>
        <w:t>housing.</w:t>
      </w:r>
    </w:p>
    <w:p w:rsidR="00C76E6D" w:rsidRDefault="00C76E6D">
      <w:pPr>
        <w:pStyle w:val="BodyText"/>
      </w:pPr>
    </w:p>
    <w:p w:rsidR="00C76E6D" w:rsidRDefault="00C76E6D">
      <w:pPr>
        <w:pStyle w:val="BodyText"/>
        <w:spacing w:before="9"/>
        <w:rPr>
          <w:sz w:val="28"/>
        </w:rPr>
      </w:pPr>
    </w:p>
    <w:p w:rsidR="00C76E6D" w:rsidRDefault="00913831">
      <w:pPr>
        <w:pStyle w:val="Heading6"/>
        <w:numPr>
          <w:ilvl w:val="0"/>
          <w:numId w:val="42"/>
        </w:numPr>
        <w:tabs>
          <w:tab w:val="left" w:pos="805"/>
        </w:tabs>
        <w:ind w:left="804" w:hanging="327"/>
      </w:pPr>
      <w:r>
        <w:pict>
          <v:shape id="docshape280" o:spid="_x0000_s1156" style="position:absolute;left:0;text-align:left;margin-left:71.05pt;margin-top:16.05pt;width:470.95pt;height:.1pt;z-index:-15681536;mso-wrap-distance-left:0;mso-wrap-distance-right:0;mso-position-horizontal-relative:page" coordorigin="1421,321" coordsize="9419,0" path="m1421,321r9419,e" filled="f" strokeweight=".54292mm">
            <v:path arrowok="t"/>
            <w10:wrap type="topAndBottom" anchorx="page"/>
          </v:shape>
        </w:pict>
      </w:r>
      <w:bookmarkStart w:id="266" w:name="C._Understanding_Youth_Homelessness"/>
      <w:bookmarkStart w:id="267" w:name="_bookmark161"/>
      <w:bookmarkEnd w:id="266"/>
      <w:bookmarkEnd w:id="267"/>
      <w:r>
        <w:rPr>
          <w:spacing w:val="-2"/>
        </w:rPr>
        <w:t>Understanding</w:t>
      </w:r>
      <w:r>
        <w:rPr>
          <w:spacing w:val="-8"/>
        </w:rPr>
        <w:t xml:space="preserve"> </w:t>
      </w:r>
      <w:r>
        <w:rPr>
          <w:spacing w:val="-2"/>
        </w:rPr>
        <w:t>Youth</w:t>
      </w:r>
      <w:r>
        <w:rPr>
          <w:spacing w:val="-8"/>
        </w:rPr>
        <w:t xml:space="preserve"> </w:t>
      </w:r>
      <w:r>
        <w:rPr>
          <w:spacing w:val="-2"/>
        </w:rPr>
        <w:t>Homelessness</w:t>
      </w:r>
    </w:p>
    <w:p w:rsidR="00C76E6D" w:rsidRDefault="00C76E6D">
      <w:pPr>
        <w:pStyle w:val="BodyText"/>
        <w:spacing w:before="10"/>
        <w:rPr>
          <w:b/>
          <w:sz w:val="21"/>
        </w:rPr>
      </w:pPr>
    </w:p>
    <w:p w:rsidR="00C76E6D" w:rsidRDefault="00913831">
      <w:pPr>
        <w:spacing w:line="276" w:lineRule="auto"/>
        <w:ind w:left="480" w:right="474" w:hanging="1"/>
        <w:jc w:val="both"/>
        <w:rPr>
          <w:i/>
        </w:rPr>
      </w:pPr>
      <w:r>
        <w:rPr>
          <w:i/>
        </w:rPr>
        <w:t>*Subsequent</w:t>
      </w:r>
      <w:r>
        <w:rPr>
          <w:i/>
          <w:spacing w:val="-6"/>
        </w:rPr>
        <w:t xml:space="preserve"> </w:t>
      </w:r>
      <w:r>
        <w:rPr>
          <w:i/>
        </w:rPr>
        <w:t>details</w:t>
      </w:r>
      <w:r>
        <w:rPr>
          <w:i/>
          <w:spacing w:val="-8"/>
        </w:rPr>
        <w:t xml:space="preserve"> </w:t>
      </w:r>
      <w:r>
        <w:rPr>
          <w:i/>
        </w:rPr>
        <w:t>of</w:t>
      </w:r>
      <w:r>
        <w:rPr>
          <w:i/>
          <w:spacing w:val="-6"/>
        </w:rPr>
        <w:t xml:space="preserve"> </w:t>
      </w:r>
      <w:r>
        <w:rPr>
          <w:i/>
        </w:rPr>
        <w:t>YYA</w:t>
      </w:r>
      <w:r>
        <w:rPr>
          <w:i/>
          <w:spacing w:val="-5"/>
        </w:rPr>
        <w:t xml:space="preserve"> </w:t>
      </w:r>
      <w:r>
        <w:rPr>
          <w:i/>
        </w:rPr>
        <w:t>homelessness</w:t>
      </w:r>
      <w:r>
        <w:rPr>
          <w:i/>
          <w:spacing w:val="-8"/>
        </w:rPr>
        <w:t xml:space="preserve"> </w:t>
      </w:r>
      <w:r>
        <w:rPr>
          <w:i/>
        </w:rPr>
        <w:t>are</w:t>
      </w:r>
      <w:r>
        <w:rPr>
          <w:i/>
          <w:spacing w:val="-7"/>
        </w:rPr>
        <w:t xml:space="preserve"> </w:t>
      </w:r>
      <w:r>
        <w:rPr>
          <w:i/>
        </w:rPr>
        <w:t>considered</w:t>
      </w:r>
      <w:r>
        <w:rPr>
          <w:i/>
          <w:spacing w:val="-8"/>
        </w:rPr>
        <w:t xml:space="preserve"> </w:t>
      </w:r>
      <w:r>
        <w:rPr>
          <w:i/>
        </w:rPr>
        <w:t>an</w:t>
      </w:r>
      <w:r>
        <w:rPr>
          <w:i/>
          <w:spacing w:val="-6"/>
        </w:rPr>
        <w:t xml:space="preserve"> </w:t>
      </w:r>
      <w:r>
        <w:rPr>
          <w:i/>
        </w:rPr>
        <w:t>underestimation</w:t>
      </w:r>
      <w:r>
        <w:rPr>
          <w:i/>
          <w:spacing w:val="-8"/>
        </w:rPr>
        <w:t xml:space="preserve"> </w:t>
      </w:r>
      <w:r>
        <w:rPr>
          <w:i/>
        </w:rPr>
        <w:t>of</w:t>
      </w:r>
      <w:r>
        <w:rPr>
          <w:i/>
          <w:spacing w:val="-5"/>
        </w:rPr>
        <w:t xml:space="preserve"> </w:t>
      </w:r>
      <w:r>
        <w:rPr>
          <w:i/>
        </w:rPr>
        <w:t>the</w:t>
      </w:r>
      <w:r>
        <w:rPr>
          <w:i/>
          <w:spacing w:val="-8"/>
        </w:rPr>
        <w:t xml:space="preserve"> </w:t>
      </w:r>
      <w:r>
        <w:rPr>
          <w:i/>
        </w:rPr>
        <w:t>actual</w:t>
      </w:r>
      <w:r>
        <w:rPr>
          <w:i/>
          <w:spacing w:val="-7"/>
        </w:rPr>
        <w:t xml:space="preserve"> </w:t>
      </w:r>
      <w:r>
        <w:rPr>
          <w:i/>
        </w:rPr>
        <w:t>prevalence</w:t>
      </w:r>
      <w:r>
        <w:rPr>
          <w:i/>
          <w:spacing w:val="-8"/>
        </w:rPr>
        <w:t xml:space="preserve"> </w:t>
      </w:r>
      <w:r>
        <w:rPr>
          <w:i/>
        </w:rPr>
        <w:t>due</w:t>
      </w:r>
      <w:r>
        <w:rPr>
          <w:i/>
        </w:rPr>
        <w:t xml:space="preserve"> to challenges with data collection and accurate reporting, and, at times, the fluid nature of housing insecurity (e.g. “couch surfing,” “doubling up” and staying with friends or family, sleeping in a car or on public transportation, etc).</w:t>
      </w:r>
    </w:p>
    <w:p w:rsidR="00C76E6D" w:rsidRDefault="00C76E6D">
      <w:pPr>
        <w:pStyle w:val="BodyText"/>
        <w:spacing w:before="4"/>
        <w:rPr>
          <w:i/>
          <w:sz w:val="27"/>
        </w:rPr>
      </w:pPr>
    </w:p>
    <w:p w:rsidR="00C76E6D" w:rsidRDefault="00913831">
      <w:pPr>
        <w:pStyle w:val="BodyText"/>
        <w:spacing w:line="276" w:lineRule="auto"/>
        <w:ind w:left="478" w:right="476"/>
        <w:jc w:val="both"/>
      </w:pPr>
      <w:r>
        <w:t>In 2018, an est</w:t>
      </w:r>
      <w:r>
        <w:t>imated 4.2 million youth and young adults (YYA) in the United States experienced homelessness</w:t>
      </w:r>
      <w:hyperlink w:anchor="_bookmark186" w:history="1">
        <w:r>
          <w:t>.</w:t>
        </w:r>
        <w:r>
          <w:rPr>
            <w:vertAlign w:val="superscript"/>
          </w:rPr>
          <w:t>24</w:t>
        </w:r>
        <w:r>
          <w:rPr>
            <w:spacing w:val="-10"/>
          </w:rPr>
          <w:t xml:space="preserve"> </w:t>
        </w:r>
      </w:hyperlink>
      <w:r>
        <w:t>Notably,</w:t>
      </w:r>
      <w:r>
        <w:rPr>
          <w:spacing w:val="-9"/>
        </w:rPr>
        <w:t xml:space="preserve"> </w:t>
      </w:r>
      <w:r>
        <w:t>33%</w:t>
      </w:r>
      <w:r>
        <w:rPr>
          <w:spacing w:val="-10"/>
        </w:rPr>
        <w:t xml:space="preserve"> </w:t>
      </w:r>
      <w:r>
        <w:t>of</w:t>
      </w:r>
      <w:r>
        <w:rPr>
          <w:spacing w:val="-10"/>
        </w:rPr>
        <w:t xml:space="preserve"> </w:t>
      </w:r>
      <w:r>
        <w:t>YYA</w:t>
      </w:r>
      <w:r>
        <w:rPr>
          <w:spacing w:val="-9"/>
        </w:rPr>
        <w:t xml:space="preserve"> </w:t>
      </w:r>
      <w:r>
        <w:t>experiencing</w:t>
      </w:r>
      <w:r>
        <w:rPr>
          <w:spacing w:val="-10"/>
        </w:rPr>
        <w:t xml:space="preserve"> </w:t>
      </w:r>
      <w:r>
        <w:t>homelessness</w:t>
      </w:r>
      <w:r>
        <w:rPr>
          <w:spacing w:val="-9"/>
        </w:rPr>
        <w:t xml:space="preserve"> </w:t>
      </w:r>
      <w:r>
        <w:t>in</w:t>
      </w:r>
      <w:r>
        <w:rPr>
          <w:spacing w:val="-9"/>
        </w:rPr>
        <w:t xml:space="preserve"> </w:t>
      </w:r>
      <w:r>
        <w:t>the</w:t>
      </w:r>
      <w:r>
        <w:rPr>
          <w:spacing w:val="-9"/>
        </w:rPr>
        <w:t xml:space="preserve"> </w:t>
      </w:r>
      <w:r>
        <w:t>United</w:t>
      </w:r>
      <w:r>
        <w:rPr>
          <w:spacing w:val="-8"/>
        </w:rPr>
        <w:t xml:space="preserve"> </w:t>
      </w:r>
      <w:r>
        <w:t>States</w:t>
      </w:r>
      <w:r>
        <w:rPr>
          <w:spacing w:val="-9"/>
        </w:rPr>
        <w:t xml:space="preserve"> </w:t>
      </w:r>
      <w:r>
        <w:t>identify</w:t>
      </w:r>
      <w:r>
        <w:rPr>
          <w:spacing w:val="-9"/>
        </w:rPr>
        <w:t xml:space="preserve"> </w:t>
      </w:r>
      <w:r>
        <w:t>as</w:t>
      </w:r>
      <w:r>
        <w:rPr>
          <w:spacing w:val="-10"/>
        </w:rPr>
        <w:t xml:space="preserve"> </w:t>
      </w:r>
      <w:r>
        <w:t>LGBTQ</w:t>
      </w:r>
      <w:hyperlink w:anchor="_bookmark187" w:history="1">
        <w:r>
          <w:t>.</w:t>
        </w:r>
        <w:r>
          <w:rPr>
            <w:vertAlign w:val="superscript"/>
          </w:rPr>
          <w:t>25</w:t>
        </w:r>
      </w:hyperlink>
      <w:r>
        <w:t xml:space="preserve"> The lif</w:t>
      </w:r>
      <w:r>
        <w:t>etime prevalence of LGBTQ youth homelessness or housing insecurity is estimated to be 28%, according to a recent 2021 national report</w:t>
      </w:r>
      <w:hyperlink w:anchor="_bookmark188" w:history="1">
        <w:r>
          <w:t>.</w:t>
        </w:r>
        <w:r>
          <w:rPr>
            <w:vertAlign w:val="superscript"/>
          </w:rPr>
          <w:t>26</w:t>
        </w:r>
        <w:r>
          <w:t xml:space="preserve"> </w:t>
        </w:r>
      </w:hyperlink>
      <w:r>
        <w:t>Transgender and gender expansive youth’s prevalence of homelessness and housing instabi</w:t>
      </w:r>
      <w:r>
        <w:t>lity is approximately 40% and 35% respectively when compared to cisgender LGBQ youth</w:t>
      </w:r>
      <w:hyperlink w:anchor="_bookmark189" w:history="1">
        <w:r>
          <w:t>.</w:t>
        </w:r>
        <w:r>
          <w:rPr>
            <w:vertAlign w:val="superscript"/>
          </w:rPr>
          <w:t>27</w:t>
        </w:r>
      </w:hyperlink>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913831">
      <w:pPr>
        <w:pStyle w:val="BodyText"/>
        <w:spacing w:before="200" w:line="276" w:lineRule="auto"/>
        <w:ind w:left="479" w:right="478"/>
        <w:jc w:val="both"/>
      </w:pPr>
      <w:r>
        <w:t>Regarding</w:t>
      </w:r>
      <w:r>
        <w:rPr>
          <w:spacing w:val="-3"/>
        </w:rPr>
        <w:t xml:space="preserve"> </w:t>
      </w:r>
      <w:r>
        <w:t>the</w:t>
      </w:r>
      <w:r>
        <w:rPr>
          <w:spacing w:val="-4"/>
        </w:rPr>
        <w:t xml:space="preserve"> </w:t>
      </w:r>
      <w:r>
        <w:t>Commonwealth,</w:t>
      </w:r>
      <w:r>
        <w:rPr>
          <w:spacing w:val="-4"/>
        </w:rPr>
        <w:t xml:space="preserve"> </w:t>
      </w:r>
      <w:r>
        <w:t>in</w:t>
      </w:r>
      <w:r>
        <w:rPr>
          <w:spacing w:val="-3"/>
        </w:rPr>
        <w:t xml:space="preserve"> </w:t>
      </w:r>
      <w:r>
        <w:t>2019,</w:t>
      </w:r>
      <w:r>
        <w:rPr>
          <w:spacing w:val="-3"/>
        </w:rPr>
        <w:t xml:space="preserve"> </w:t>
      </w:r>
      <w:r>
        <w:t>EOHHS</w:t>
      </w:r>
      <w:r>
        <w:rPr>
          <w:spacing w:val="-4"/>
        </w:rPr>
        <w:t xml:space="preserve"> </w:t>
      </w:r>
      <w:r>
        <w:t>identified</w:t>
      </w:r>
      <w:r>
        <w:rPr>
          <w:spacing w:val="-3"/>
        </w:rPr>
        <w:t xml:space="preserve"> </w:t>
      </w:r>
      <w:r>
        <w:t>the</w:t>
      </w:r>
      <w:r>
        <w:rPr>
          <w:spacing w:val="-3"/>
        </w:rPr>
        <w:t xml:space="preserve"> </w:t>
      </w:r>
      <w:r>
        <w:t>following</w:t>
      </w:r>
      <w:r>
        <w:rPr>
          <w:spacing w:val="-4"/>
        </w:rPr>
        <w:t xml:space="preserve"> </w:t>
      </w:r>
      <w:r>
        <w:t>demographic</w:t>
      </w:r>
      <w:r>
        <w:rPr>
          <w:spacing w:val="-3"/>
        </w:rPr>
        <w:t xml:space="preserve"> </w:t>
      </w:r>
      <w:r>
        <w:t>details,</w:t>
      </w:r>
      <w:r>
        <w:rPr>
          <w:spacing w:val="-4"/>
        </w:rPr>
        <w:t xml:space="preserve"> </w:t>
      </w:r>
      <w:r>
        <w:t>as</w:t>
      </w:r>
      <w:r>
        <w:rPr>
          <w:spacing w:val="-4"/>
        </w:rPr>
        <w:t xml:space="preserve"> </w:t>
      </w:r>
      <w:r>
        <w:t>essential to understanding youth homelessness: age, race, sexual orientation, pregnant/parenting youth status, and YYA involvement in state systems of care</w:t>
      </w:r>
      <w:hyperlink w:anchor="_bookmark190" w:history="1">
        <w:r>
          <w:t>.</w:t>
        </w:r>
        <w:r>
          <w:rPr>
            <w:vertAlign w:val="superscript"/>
          </w:rPr>
          <w:t>28</w:t>
        </w:r>
        <w:r>
          <w:t xml:space="preserve"> I</w:t>
        </w:r>
      </w:hyperlink>
      <w:r>
        <w:t>n Massachusetts, it is estimated that LGBTQ youth are</w:t>
      </w:r>
    </w:p>
    <w:p w:rsidR="00C76E6D" w:rsidRDefault="00913831">
      <w:pPr>
        <w:pStyle w:val="BodyText"/>
        <w:spacing w:line="276" w:lineRule="auto"/>
        <w:ind w:left="478" w:right="472"/>
        <w:jc w:val="both"/>
      </w:pPr>
      <w:r>
        <w:t xml:space="preserve">2.8 times </w:t>
      </w:r>
      <w:r>
        <w:t>more likely to experience homelessness than their non-LGBTQ peers, a finding consistent with other youth based-studies available in the literature</w:t>
      </w:r>
      <w:hyperlink w:anchor="_bookmark191" w:history="1">
        <w:r>
          <w:t>,</w:t>
        </w:r>
        <w:r>
          <w:rPr>
            <w:vertAlign w:val="superscript"/>
          </w:rPr>
          <w:t>29</w:t>
        </w:r>
        <w:r>
          <w:t xml:space="preserve"> i</w:t>
        </w:r>
      </w:hyperlink>
      <w:r>
        <w:t>ncluding the 2019 Massachusetts Youth Count, which surveyed 1,975 youth o</w:t>
      </w:r>
      <w:r>
        <w:t>r young adults who were unstably housed, or experiencing homelessness and found that 24.7% of respondents identified as LGBTQ.</w:t>
      </w:r>
      <w:hyperlink w:anchor="_bookmark192" w:history="1">
        <w:r>
          <w:rPr>
            <w:vertAlign w:val="superscript"/>
          </w:rPr>
          <w:t>30</w:t>
        </w:r>
        <w:r>
          <w:rPr>
            <w:spacing w:val="-5"/>
          </w:rPr>
          <w:t xml:space="preserve"> </w:t>
        </w:r>
      </w:hyperlink>
      <w:r>
        <w:t>According to the 2020 Special Report to the MA Unaccompanied Homeless Youth Commission, prelimi</w:t>
      </w:r>
      <w:r>
        <w:t>nary data reported a 38% increase in YYA accessing housing support services, including homelessness prevention programs</w:t>
      </w:r>
      <w:hyperlink w:anchor="_bookmark193" w:history="1">
        <w:r>
          <w:t>.</w:t>
        </w:r>
        <w:r>
          <w:rPr>
            <w:vertAlign w:val="superscript"/>
          </w:rPr>
          <w:t>31</w:t>
        </w:r>
      </w:hyperlink>
      <w:r>
        <w:t xml:space="preserve"> In Boston, researchers reported that 25-29% of YYA experiencing homelessness in 2018 identified as LG</w:t>
      </w:r>
      <w:r>
        <w:t>BTQ.</w:t>
      </w:r>
      <w:hyperlink w:anchor="_bookmark194" w:history="1">
        <w:r>
          <w:rPr>
            <w:vertAlign w:val="superscript"/>
          </w:rPr>
          <w:t>32</w:t>
        </w:r>
      </w:hyperlink>
      <w:r>
        <w:t xml:space="preserve"> According to the 2019 Massachusetts Youth Count, LGBTQ youth were among the top two groups identified to most likely sleep in an unsheltered location.</w:t>
      </w:r>
      <w:hyperlink w:anchor="_bookmark195" w:history="1">
        <w:r>
          <w:rPr>
            <w:vertAlign w:val="superscript"/>
          </w:rPr>
          <w:t>33</w:t>
        </w:r>
      </w:hyperlink>
    </w:p>
    <w:p w:rsidR="00C76E6D" w:rsidRDefault="00C76E6D">
      <w:pPr>
        <w:pStyle w:val="BodyText"/>
        <w:spacing w:before="6"/>
        <w:rPr>
          <w:sz w:val="27"/>
        </w:rPr>
      </w:pPr>
    </w:p>
    <w:p w:rsidR="00C76E6D" w:rsidRDefault="00913831">
      <w:pPr>
        <w:pStyle w:val="BodyText"/>
        <w:spacing w:line="276" w:lineRule="auto"/>
        <w:ind w:left="479" w:right="474"/>
        <w:jc w:val="both"/>
      </w:pPr>
      <w:r>
        <w:t>LGBTQ YYA experience daily stig</w:t>
      </w:r>
      <w:r>
        <w:t>ma and discrimination due to living in a heterosexist, racist, and homophobic society</w:t>
      </w:r>
      <w:hyperlink w:anchor="_bookmark196" w:history="1">
        <w:r>
          <w:t>.</w:t>
        </w:r>
        <w:r>
          <w:rPr>
            <w:vertAlign w:val="superscript"/>
          </w:rPr>
          <w:t>34</w:t>
        </w:r>
        <w:r>
          <w:t xml:space="preserve"> </w:t>
        </w:r>
      </w:hyperlink>
      <w:r>
        <w:t>Further, those who hold multiple marginalized and oppressed identities, such as Queer, Transgender, Black, Indigenous, and Other People</w:t>
      </w:r>
      <w:r>
        <w:t xml:space="preserve"> of Color (QTBIPOC) individuals or transgender and gender expansive youth, contend with added racism, sexism, and transphobia that further result in detrimental psychological, physical, emotional</w:t>
      </w:r>
      <w:r>
        <w:rPr>
          <w:spacing w:val="-2"/>
        </w:rPr>
        <w:t xml:space="preserve"> </w:t>
      </w:r>
      <w:r>
        <w:t>effects</w:t>
      </w:r>
      <w:hyperlink w:anchor="_bookmark197" w:history="1">
        <w:r>
          <w:t>.</w:t>
        </w:r>
        <w:r>
          <w:rPr>
            <w:vertAlign w:val="superscript"/>
          </w:rPr>
          <w:t>35</w:t>
        </w:r>
        <w:r>
          <w:rPr>
            <w:spacing w:val="-2"/>
          </w:rPr>
          <w:t xml:space="preserve"> </w:t>
        </w:r>
      </w:hyperlink>
      <w:r>
        <w:t>The effects of</w:t>
      </w:r>
      <w:r>
        <w:rPr>
          <w:spacing w:val="-3"/>
        </w:rPr>
        <w:t xml:space="preserve"> </w:t>
      </w:r>
      <w:r>
        <w:t>sy</w:t>
      </w:r>
      <w:r>
        <w:t>stemic</w:t>
      </w:r>
      <w:r>
        <w:rPr>
          <w:spacing w:val="-1"/>
        </w:rPr>
        <w:t xml:space="preserve"> </w:t>
      </w:r>
      <w:r>
        <w:t>racism</w:t>
      </w:r>
      <w:r>
        <w:rPr>
          <w:spacing w:val="-2"/>
        </w:rPr>
        <w:t xml:space="preserve"> </w:t>
      </w:r>
      <w:r>
        <w:t>are</w:t>
      </w:r>
      <w:r>
        <w:rPr>
          <w:spacing w:val="-2"/>
        </w:rPr>
        <w:t xml:space="preserve"> </w:t>
      </w:r>
      <w:r>
        <w:t>highlighted</w:t>
      </w:r>
      <w:r>
        <w:rPr>
          <w:spacing w:val="-2"/>
        </w:rPr>
        <w:t xml:space="preserve"> </w:t>
      </w:r>
      <w:r>
        <w:t>in the significantly contrasting higher rates of BIPOC YYA homelessness and housing instability. Black and African American YYA and non-white Hispanic and Latinx YYA are respectively, 83% and 33% more likely to</w:t>
      </w:r>
      <w:r>
        <w:rPr>
          <w:spacing w:val="-3"/>
        </w:rPr>
        <w:t xml:space="preserve"> </w:t>
      </w:r>
      <w:r>
        <w:t>experience</w:t>
      </w:r>
      <w:r>
        <w:rPr>
          <w:spacing w:val="-3"/>
        </w:rPr>
        <w:t xml:space="preserve"> </w:t>
      </w:r>
      <w:r>
        <w:t>homelessness</w:t>
      </w:r>
      <w:r>
        <w:rPr>
          <w:spacing w:val="-4"/>
        </w:rPr>
        <w:t xml:space="preserve"> </w:t>
      </w:r>
      <w:r>
        <w:t>in</w:t>
      </w:r>
      <w:r>
        <w:rPr>
          <w:spacing w:val="-3"/>
        </w:rPr>
        <w:t xml:space="preserve"> </w:t>
      </w:r>
      <w:r>
        <w:t>comparison</w:t>
      </w:r>
      <w:r>
        <w:rPr>
          <w:spacing w:val="-4"/>
        </w:rPr>
        <w:t xml:space="preserve"> </w:t>
      </w:r>
      <w:r>
        <w:t>to</w:t>
      </w:r>
      <w:r>
        <w:rPr>
          <w:spacing w:val="-2"/>
        </w:rPr>
        <w:t xml:space="preserve"> </w:t>
      </w:r>
      <w:r>
        <w:t>their</w:t>
      </w:r>
      <w:r>
        <w:rPr>
          <w:spacing w:val="-2"/>
        </w:rPr>
        <w:t xml:space="preserve"> </w:t>
      </w:r>
      <w:r>
        <w:t>white</w:t>
      </w:r>
      <w:r>
        <w:rPr>
          <w:spacing w:val="-3"/>
        </w:rPr>
        <w:t xml:space="preserve"> </w:t>
      </w:r>
      <w:r>
        <w:t>YYA</w:t>
      </w:r>
      <w:r>
        <w:rPr>
          <w:spacing w:val="-1"/>
        </w:rPr>
        <w:t xml:space="preserve"> </w:t>
      </w:r>
      <w:r>
        <w:t>counterpart</w:t>
      </w:r>
      <w:hyperlink w:anchor="_bookmark198" w:history="1">
        <w:r>
          <w:t>.</w:t>
        </w:r>
        <w:r>
          <w:rPr>
            <w:vertAlign w:val="superscript"/>
          </w:rPr>
          <w:t>36</w:t>
        </w:r>
        <w:r>
          <w:rPr>
            <w:spacing w:val="-4"/>
          </w:rPr>
          <w:t xml:space="preserve"> </w:t>
        </w:r>
      </w:hyperlink>
      <w:r>
        <w:t>Approximately</w:t>
      </w:r>
      <w:r>
        <w:rPr>
          <w:spacing w:val="-3"/>
        </w:rPr>
        <w:t xml:space="preserve"> </w:t>
      </w:r>
      <w:r>
        <w:t>half</w:t>
      </w:r>
      <w:r>
        <w:rPr>
          <w:spacing w:val="-3"/>
        </w:rPr>
        <w:t xml:space="preserve"> </w:t>
      </w:r>
      <w:r>
        <w:t>(44%)</w:t>
      </w:r>
      <w:r>
        <w:rPr>
          <w:spacing w:val="-5"/>
        </w:rPr>
        <w:t xml:space="preserve"> </w:t>
      </w:r>
      <w:r>
        <w:t>of Native</w:t>
      </w:r>
      <w:r>
        <w:rPr>
          <w:spacing w:val="-1"/>
        </w:rPr>
        <w:t xml:space="preserve"> </w:t>
      </w:r>
      <w:r>
        <w:t>and</w:t>
      </w:r>
      <w:r>
        <w:rPr>
          <w:spacing w:val="-1"/>
        </w:rPr>
        <w:t xml:space="preserve"> </w:t>
      </w:r>
      <w:r>
        <w:t>Indigenous/Alaska Native LGBTQ</w:t>
      </w:r>
      <w:r>
        <w:rPr>
          <w:spacing w:val="-1"/>
        </w:rPr>
        <w:t xml:space="preserve"> </w:t>
      </w:r>
      <w:r>
        <w:t>youth, 36% of multiracial</w:t>
      </w:r>
      <w:r>
        <w:rPr>
          <w:spacing w:val="-1"/>
        </w:rPr>
        <w:t xml:space="preserve"> </w:t>
      </w:r>
      <w:r>
        <w:t>LGBTQ youth, and 26% of Black or African American LGBTQ youth exper</w:t>
      </w:r>
      <w:r>
        <w:t>ience homelessness or housing instability in comparison to 16% of Asian American/Pacific Islander youth, 27% of white LGBTQ youth, and 27% of Latinx LGBTQ youth who experience homelessness or housing instability</w:t>
      </w:r>
      <w:hyperlink w:anchor="_bookmark199" w:history="1">
        <w:r>
          <w:t>.</w:t>
        </w:r>
        <w:r>
          <w:rPr>
            <w:vertAlign w:val="superscript"/>
          </w:rPr>
          <w:t>37</w:t>
        </w:r>
      </w:hyperlink>
      <w:r>
        <w:t xml:space="preserve"> Further, </w:t>
      </w:r>
      <w:r>
        <w:t>QTBIPOC YYA experience more challenges exiting homelessness than their white counterparts</w:t>
      </w:r>
      <w:hyperlink w:anchor="_bookmark200" w:history="1">
        <w:r>
          <w:t>.</w:t>
        </w:r>
        <w:r>
          <w:rPr>
            <w:vertAlign w:val="superscript"/>
          </w:rPr>
          <w:t>38</w:t>
        </w:r>
      </w:hyperlink>
      <w:r>
        <w:t xml:space="preserve"> Additionally, one in four Black and African Americans who</w:t>
      </w:r>
      <w:r>
        <w:rPr>
          <w:spacing w:val="-2"/>
        </w:rPr>
        <w:t xml:space="preserve"> </w:t>
      </w:r>
      <w:r>
        <w:t>identify</w:t>
      </w:r>
      <w:r>
        <w:rPr>
          <w:spacing w:val="-2"/>
        </w:rPr>
        <w:t xml:space="preserve"> </w:t>
      </w:r>
      <w:r>
        <w:t>as male</w:t>
      </w:r>
      <w:r>
        <w:rPr>
          <w:spacing w:val="-2"/>
        </w:rPr>
        <w:t xml:space="preserve"> </w:t>
      </w:r>
      <w:r>
        <w:t>and</w:t>
      </w:r>
      <w:r>
        <w:rPr>
          <w:spacing w:val="-3"/>
        </w:rPr>
        <w:t xml:space="preserve"> </w:t>
      </w:r>
      <w:r>
        <w:t>LGBTQ</w:t>
      </w:r>
      <w:r>
        <w:rPr>
          <w:spacing w:val="-4"/>
        </w:rPr>
        <w:t xml:space="preserve"> </w:t>
      </w:r>
      <w:r>
        <w:t>reported</w:t>
      </w:r>
      <w:r>
        <w:rPr>
          <w:spacing w:val="-2"/>
        </w:rPr>
        <w:t xml:space="preserve"> </w:t>
      </w:r>
      <w:r>
        <w:t>experiencing</w:t>
      </w:r>
      <w:r>
        <w:rPr>
          <w:spacing w:val="-1"/>
        </w:rPr>
        <w:t xml:space="preserve"> </w:t>
      </w:r>
      <w:r>
        <w:t>homelessness</w:t>
      </w:r>
      <w:r>
        <w:rPr>
          <w:spacing w:val="-3"/>
        </w:rPr>
        <w:t xml:space="preserve"> </w:t>
      </w:r>
      <w:r>
        <w:t>in</w:t>
      </w:r>
      <w:r>
        <w:rPr>
          <w:spacing w:val="-2"/>
        </w:rPr>
        <w:t xml:space="preserve"> </w:t>
      </w:r>
      <w:r>
        <w:t>the</w:t>
      </w:r>
      <w:r>
        <w:rPr>
          <w:spacing w:val="-2"/>
        </w:rPr>
        <w:t xml:space="preserve"> </w:t>
      </w:r>
      <w:r>
        <w:t>last</w:t>
      </w:r>
      <w:r>
        <w:rPr>
          <w:spacing w:val="-1"/>
        </w:rPr>
        <w:t xml:space="preserve"> </w:t>
      </w:r>
      <w:r>
        <w:t>12</w:t>
      </w:r>
      <w:r>
        <w:rPr>
          <w:spacing w:val="-3"/>
        </w:rPr>
        <w:t xml:space="preserve"> </w:t>
      </w:r>
      <w:r>
        <w:t>months</w:t>
      </w:r>
      <w:hyperlink w:anchor="_bookmark201" w:history="1">
        <w:r>
          <w:t>.</w:t>
        </w:r>
        <w:r>
          <w:rPr>
            <w:vertAlign w:val="superscript"/>
          </w:rPr>
          <w:t>39</w:t>
        </w:r>
      </w:hyperlink>
    </w:p>
    <w:p w:rsidR="00C76E6D" w:rsidRDefault="00C76E6D">
      <w:pPr>
        <w:pStyle w:val="BodyText"/>
        <w:spacing w:before="5"/>
        <w:rPr>
          <w:sz w:val="27"/>
        </w:rPr>
      </w:pPr>
    </w:p>
    <w:p w:rsidR="00C76E6D" w:rsidRDefault="00913831">
      <w:pPr>
        <w:pStyle w:val="BodyText"/>
        <w:spacing w:line="276" w:lineRule="auto"/>
        <w:ind w:left="479" w:right="473"/>
        <w:jc w:val="both"/>
      </w:pPr>
      <w:r>
        <w:t xml:space="preserve">While the Commission has briefly reported the prevalence rate of LGBTQ identifying Indigenous young people experiencing homelessness (44%), it is necessary to further acknowledge and thoughtfully consider the plight of AIAN youth. Based on a 2019 national </w:t>
      </w:r>
      <w:r>
        <w:t>representative survey on homelessness among a sample of 25,492 AIAN adolescent and young adult (13-25) respondents, just over 10% of Indigenous</w:t>
      </w:r>
      <w:r>
        <w:rPr>
          <w:spacing w:val="-6"/>
        </w:rPr>
        <w:t xml:space="preserve"> </w:t>
      </w:r>
      <w:r>
        <w:t>households</w:t>
      </w:r>
      <w:r>
        <w:rPr>
          <w:spacing w:val="-6"/>
        </w:rPr>
        <w:t xml:space="preserve"> </w:t>
      </w:r>
      <w:r>
        <w:t>reported</w:t>
      </w:r>
      <w:r>
        <w:rPr>
          <w:spacing w:val="-7"/>
        </w:rPr>
        <w:t xml:space="preserve"> </w:t>
      </w:r>
      <w:r>
        <w:t>youth</w:t>
      </w:r>
      <w:r>
        <w:rPr>
          <w:spacing w:val="-4"/>
        </w:rPr>
        <w:t xml:space="preserve"> </w:t>
      </w:r>
      <w:r>
        <w:t>homelessness</w:t>
      </w:r>
      <w:r>
        <w:rPr>
          <w:spacing w:val="-6"/>
        </w:rPr>
        <w:t xml:space="preserve"> </w:t>
      </w:r>
      <w:r>
        <w:t>or</w:t>
      </w:r>
      <w:r>
        <w:rPr>
          <w:spacing w:val="-6"/>
        </w:rPr>
        <w:t xml:space="preserve"> </w:t>
      </w:r>
      <w:r>
        <w:t>runaway</w:t>
      </w:r>
      <w:r>
        <w:rPr>
          <w:spacing w:val="-5"/>
        </w:rPr>
        <w:t xml:space="preserve"> </w:t>
      </w:r>
      <w:r>
        <w:t>experiences</w:t>
      </w:r>
      <w:r>
        <w:rPr>
          <w:spacing w:val="-4"/>
        </w:rPr>
        <w:t xml:space="preserve"> </w:t>
      </w:r>
      <w:r>
        <w:t>lasting</w:t>
      </w:r>
      <w:r>
        <w:rPr>
          <w:spacing w:val="-6"/>
        </w:rPr>
        <w:t xml:space="preserve"> </w:t>
      </w:r>
      <w:r>
        <w:t>at</w:t>
      </w:r>
      <w:r>
        <w:rPr>
          <w:spacing w:val="-7"/>
        </w:rPr>
        <w:t xml:space="preserve"> </w:t>
      </w:r>
      <w:r>
        <w:t>least</w:t>
      </w:r>
      <w:r>
        <w:rPr>
          <w:spacing w:val="-8"/>
        </w:rPr>
        <w:t xml:space="preserve"> </w:t>
      </w:r>
      <w:r>
        <w:t>one</w:t>
      </w:r>
      <w:r>
        <w:rPr>
          <w:spacing w:val="-7"/>
        </w:rPr>
        <w:t xml:space="preserve"> </w:t>
      </w:r>
      <w:r>
        <w:t>night</w:t>
      </w:r>
      <w:hyperlink w:anchor="_bookmark202" w:history="1">
        <w:r>
          <w:t>.</w:t>
        </w:r>
        <w:r>
          <w:rPr>
            <w:vertAlign w:val="superscript"/>
          </w:rPr>
          <w:t>40</w:t>
        </w:r>
      </w:hyperlink>
      <w:r>
        <w:t xml:space="preserve"> Youth Count’s 2018 survey found that AIAN youth have higher rates of homelessness than their non- indigenous</w:t>
      </w:r>
      <w:r>
        <w:rPr>
          <w:spacing w:val="-5"/>
        </w:rPr>
        <w:t xml:space="preserve"> </w:t>
      </w:r>
      <w:r>
        <w:t>peers,</w:t>
      </w:r>
      <w:r>
        <w:rPr>
          <w:spacing w:val="-5"/>
        </w:rPr>
        <w:t xml:space="preserve"> </w:t>
      </w:r>
      <w:r>
        <w:t>however,</w:t>
      </w:r>
      <w:r>
        <w:rPr>
          <w:spacing w:val="-5"/>
        </w:rPr>
        <w:t xml:space="preserve"> </w:t>
      </w:r>
      <w:r>
        <w:t>they</w:t>
      </w:r>
      <w:r>
        <w:rPr>
          <w:spacing w:val="-5"/>
        </w:rPr>
        <w:t xml:space="preserve"> </w:t>
      </w:r>
      <w:r>
        <w:t>were</w:t>
      </w:r>
      <w:r>
        <w:rPr>
          <w:spacing w:val="-3"/>
        </w:rPr>
        <w:t xml:space="preserve"> </w:t>
      </w:r>
      <w:r>
        <w:t>not</w:t>
      </w:r>
      <w:r>
        <w:rPr>
          <w:spacing w:val="-6"/>
        </w:rPr>
        <w:t xml:space="preserve"> </w:t>
      </w:r>
      <w:r>
        <w:t>more</w:t>
      </w:r>
      <w:r>
        <w:rPr>
          <w:spacing w:val="-6"/>
        </w:rPr>
        <w:t xml:space="preserve"> </w:t>
      </w:r>
      <w:r>
        <w:t>likely</w:t>
      </w:r>
      <w:r>
        <w:rPr>
          <w:spacing w:val="-6"/>
        </w:rPr>
        <w:t xml:space="preserve"> </w:t>
      </w:r>
      <w:r>
        <w:t>to</w:t>
      </w:r>
      <w:r>
        <w:rPr>
          <w:spacing w:val="-5"/>
        </w:rPr>
        <w:t xml:space="preserve"> </w:t>
      </w:r>
      <w:r>
        <w:t>be</w:t>
      </w:r>
      <w:r>
        <w:rPr>
          <w:spacing w:val="-6"/>
        </w:rPr>
        <w:t xml:space="preserve"> </w:t>
      </w:r>
      <w:r>
        <w:t>in</w:t>
      </w:r>
      <w:r>
        <w:rPr>
          <w:spacing w:val="-6"/>
        </w:rPr>
        <w:t xml:space="preserve"> </w:t>
      </w:r>
      <w:r>
        <w:t>rural</w:t>
      </w:r>
      <w:r>
        <w:rPr>
          <w:spacing w:val="-7"/>
        </w:rPr>
        <w:t xml:space="preserve"> </w:t>
      </w:r>
      <w:r>
        <w:t>communities.</w:t>
      </w:r>
      <w:r>
        <w:rPr>
          <w:spacing w:val="-7"/>
        </w:rPr>
        <w:t xml:space="preserve"> </w:t>
      </w:r>
      <w:r>
        <w:t>Their</w:t>
      </w:r>
      <w:r>
        <w:rPr>
          <w:spacing w:val="-5"/>
        </w:rPr>
        <w:t xml:space="preserve"> </w:t>
      </w:r>
      <w:r>
        <w:t>survey</w:t>
      </w:r>
      <w:r>
        <w:rPr>
          <w:spacing w:val="-5"/>
        </w:rPr>
        <w:t xml:space="preserve"> </w:t>
      </w:r>
      <w:r>
        <w:t>took</w:t>
      </w:r>
      <w:r>
        <w:rPr>
          <w:spacing w:val="-6"/>
        </w:rPr>
        <w:t xml:space="preserve"> </w:t>
      </w:r>
      <w:r>
        <w:t>place during a 12-month period and found that 9</w:t>
      </w:r>
      <w:r>
        <w:t>% of AIAN households reported the experience of homelessness by youth ages 13-17.</w:t>
      </w:r>
      <w:hyperlink w:anchor="_bookmark203" w:history="1">
        <w:r>
          <w:rPr>
            <w:vertAlign w:val="superscript"/>
          </w:rPr>
          <w:t>41</w:t>
        </w:r>
        <w:r>
          <w:t xml:space="preserve"> </w:t>
        </w:r>
      </w:hyperlink>
      <w:r>
        <w:t>Additionally, just over 15% of Indigenous young adults ages 18-25 reported homelessness including exclusively unhoused and couch-surfing.</w:t>
      </w:r>
      <w:hyperlink w:anchor="_bookmark204" w:history="1">
        <w:r>
          <w:rPr>
            <w:vertAlign w:val="superscript"/>
          </w:rPr>
          <w:t>42</w:t>
        </w:r>
      </w:hyperlink>
      <w:r>
        <w:t xml:space="preserve"> AIAN young adults are estimated to be about three times more likely than their white non-Hispanic peers to experience homelessness, and AIAN YYA are more likely than adult Indigenous persons to experience homelessness in urb</w:t>
      </w:r>
      <w:r>
        <w:t>an areas</w:t>
      </w:r>
      <w:hyperlink w:anchor="_bookmark205" w:history="1">
        <w:r>
          <w:t>.</w:t>
        </w:r>
        <w:r>
          <w:rPr>
            <w:vertAlign w:val="superscript"/>
          </w:rPr>
          <w:t>43</w:t>
        </w:r>
        <w:r>
          <w:t xml:space="preserve"> </w:t>
        </w:r>
      </w:hyperlink>
      <w:r>
        <w:t>AIAN youth are estimated to be at more than twice the risk of explicit homeless when</w:t>
      </w:r>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913831">
      <w:pPr>
        <w:pStyle w:val="BodyText"/>
        <w:spacing w:before="200" w:line="276" w:lineRule="auto"/>
        <w:ind w:left="479" w:right="475"/>
        <w:jc w:val="both"/>
      </w:pPr>
      <w:r>
        <w:t>compared to their non-indigenous peers</w:t>
      </w:r>
      <w:hyperlink w:anchor="_bookmark206" w:history="1">
        <w:r>
          <w:t>.</w:t>
        </w:r>
        <w:r>
          <w:rPr>
            <w:vertAlign w:val="superscript"/>
          </w:rPr>
          <w:t>44</w:t>
        </w:r>
        <w:r>
          <w:t xml:space="preserve"> </w:t>
        </w:r>
      </w:hyperlink>
      <w:r>
        <w:t>Additional risks for AIAN youth experiencing homelessness include lower educational attainment, parenting status (especially if unmarried), and LGBTQ and Two- Spirit identities</w:t>
      </w:r>
      <w:hyperlink w:anchor="_bookmark207" w:history="1">
        <w:r>
          <w:t>.</w:t>
        </w:r>
        <w:r>
          <w:rPr>
            <w:vertAlign w:val="superscript"/>
          </w:rPr>
          <w:t>45</w:t>
        </w:r>
      </w:hyperlink>
    </w:p>
    <w:p w:rsidR="00C76E6D" w:rsidRDefault="00C76E6D">
      <w:pPr>
        <w:pStyle w:val="BodyText"/>
        <w:spacing w:before="5"/>
        <w:rPr>
          <w:sz w:val="27"/>
        </w:rPr>
      </w:pPr>
    </w:p>
    <w:p w:rsidR="00C76E6D" w:rsidRDefault="00913831">
      <w:pPr>
        <w:pStyle w:val="BodyText"/>
        <w:spacing w:line="276" w:lineRule="auto"/>
        <w:ind w:left="479" w:right="474"/>
        <w:jc w:val="both"/>
      </w:pPr>
      <w:r>
        <w:t>For Two-Spirited Indigenous persons, they m</w:t>
      </w:r>
      <w:r>
        <w:t>ay face even greater risks of experiencing homelessness, rejection, isolation, substance dependence, physical and sexual assault, sexism, gender stereotyping, cultural erasure, and a myriad of additional possible negative outcomes perpetrated by family, fr</w:t>
      </w:r>
      <w:r>
        <w:t>iends, and strangers</w:t>
      </w:r>
      <w:hyperlink w:anchor="_bookmark208" w:history="1">
        <w:r>
          <w:t>.</w:t>
        </w:r>
        <w:r>
          <w:rPr>
            <w:vertAlign w:val="superscript"/>
          </w:rPr>
          <w:t>46</w:t>
        </w:r>
        <w:r>
          <w:t xml:space="preserve"> </w:t>
        </w:r>
      </w:hyperlink>
      <w:r>
        <w:t>The Federal Health Program for American Indians and Alaska Natives defines Two-Spirit as</w:t>
      </w:r>
      <w:r>
        <w:rPr>
          <w:spacing w:val="-5"/>
        </w:rPr>
        <w:t xml:space="preserve"> </w:t>
      </w:r>
      <w:r>
        <w:t>a</w:t>
      </w:r>
      <w:r>
        <w:rPr>
          <w:spacing w:val="-5"/>
        </w:rPr>
        <w:t xml:space="preserve"> </w:t>
      </w:r>
      <w:r>
        <w:t>modern</w:t>
      </w:r>
      <w:r>
        <w:rPr>
          <w:spacing w:val="-3"/>
        </w:rPr>
        <w:t xml:space="preserve"> </w:t>
      </w:r>
      <w:r>
        <w:t>umbrella</w:t>
      </w:r>
      <w:r>
        <w:rPr>
          <w:spacing w:val="-4"/>
        </w:rPr>
        <w:t xml:space="preserve"> </w:t>
      </w:r>
      <w:r>
        <w:t>term</w:t>
      </w:r>
      <w:r>
        <w:rPr>
          <w:spacing w:val="-6"/>
        </w:rPr>
        <w:t xml:space="preserve"> </w:t>
      </w:r>
      <w:r>
        <w:t>used</w:t>
      </w:r>
      <w:r>
        <w:rPr>
          <w:spacing w:val="-3"/>
        </w:rPr>
        <w:t xml:space="preserve"> </w:t>
      </w:r>
      <w:r>
        <w:t>to</w:t>
      </w:r>
      <w:r>
        <w:rPr>
          <w:spacing w:val="-5"/>
        </w:rPr>
        <w:t xml:space="preserve"> </w:t>
      </w:r>
      <w:r>
        <w:t>describe</w:t>
      </w:r>
      <w:r>
        <w:rPr>
          <w:spacing w:val="-5"/>
        </w:rPr>
        <w:t xml:space="preserve"> </w:t>
      </w:r>
      <w:r>
        <w:t>biologically</w:t>
      </w:r>
      <w:r>
        <w:rPr>
          <w:spacing w:val="-5"/>
        </w:rPr>
        <w:t xml:space="preserve"> </w:t>
      </w:r>
      <w:r>
        <w:t>male,</w:t>
      </w:r>
      <w:r>
        <w:rPr>
          <w:spacing w:val="-4"/>
        </w:rPr>
        <w:t xml:space="preserve"> </w:t>
      </w:r>
      <w:r>
        <w:t>female,</w:t>
      </w:r>
      <w:r>
        <w:rPr>
          <w:spacing w:val="-5"/>
        </w:rPr>
        <w:t xml:space="preserve"> </w:t>
      </w:r>
      <w:r>
        <w:t>and</w:t>
      </w:r>
      <w:r>
        <w:rPr>
          <w:spacing w:val="-4"/>
        </w:rPr>
        <w:t xml:space="preserve"> </w:t>
      </w:r>
      <w:r>
        <w:t>intersexed</w:t>
      </w:r>
      <w:r>
        <w:rPr>
          <w:spacing w:val="-4"/>
        </w:rPr>
        <w:t xml:space="preserve"> </w:t>
      </w:r>
      <w:r>
        <w:t>people</w:t>
      </w:r>
      <w:r>
        <w:rPr>
          <w:spacing w:val="-5"/>
        </w:rPr>
        <w:t xml:space="preserve"> </w:t>
      </w:r>
      <w:r>
        <w:t>who</w:t>
      </w:r>
      <w:r>
        <w:rPr>
          <w:spacing w:val="-4"/>
        </w:rPr>
        <w:t xml:space="preserve"> </w:t>
      </w:r>
      <w:r>
        <w:t>have</w:t>
      </w:r>
      <w:r>
        <w:rPr>
          <w:spacing w:val="-6"/>
        </w:rPr>
        <w:t xml:space="preserve"> </w:t>
      </w:r>
      <w:r>
        <w:t>a gifted</w:t>
      </w:r>
      <w:r>
        <w:rPr>
          <w:spacing w:val="-11"/>
        </w:rPr>
        <w:t xml:space="preserve"> </w:t>
      </w:r>
      <w:r>
        <w:t>comb</w:t>
      </w:r>
      <w:r>
        <w:t>ination</w:t>
      </w:r>
      <w:r>
        <w:rPr>
          <w:spacing w:val="-13"/>
        </w:rPr>
        <w:t xml:space="preserve"> </w:t>
      </w:r>
      <w:r>
        <w:t>of</w:t>
      </w:r>
      <w:r>
        <w:rPr>
          <w:spacing w:val="-11"/>
        </w:rPr>
        <w:t xml:space="preserve"> </w:t>
      </w:r>
      <w:r>
        <w:t>masculine</w:t>
      </w:r>
      <w:r>
        <w:rPr>
          <w:spacing w:val="-11"/>
        </w:rPr>
        <w:t xml:space="preserve"> </w:t>
      </w:r>
      <w:r>
        <w:t>and</w:t>
      </w:r>
      <w:r>
        <w:rPr>
          <w:spacing w:val="-13"/>
        </w:rPr>
        <w:t xml:space="preserve"> </w:t>
      </w:r>
      <w:r>
        <w:t>feminine</w:t>
      </w:r>
      <w:r>
        <w:rPr>
          <w:spacing w:val="-10"/>
        </w:rPr>
        <w:t xml:space="preserve"> </w:t>
      </w:r>
      <w:r>
        <w:t>spirits</w:t>
      </w:r>
      <w:hyperlink w:anchor="_bookmark209" w:history="1">
        <w:r>
          <w:t>.</w:t>
        </w:r>
        <w:r>
          <w:rPr>
            <w:vertAlign w:val="superscript"/>
          </w:rPr>
          <w:t>47</w:t>
        </w:r>
        <w:r>
          <w:rPr>
            <w:spacing w:val="-11"/>
          </w:rPr>
          <w:t xml:space="preserve"> </w:t>
        </w:r>
      </w:hyperlink>
      <w:r>
        <w:t>This</w:t>
      </w:r>
      <w:r>
        <w:rPr>
          <w:spacing w:val="-11"/>
        </w:rPr>
        <w:t xml:space="preserve"> </w:t>
      </w:r>
      <w:r>
        <w:t>term</w:t>
      </w:r>
      <w:r>
        <w:rPr>
          <w:spacing w:val="-12"/>
        </w:rPr>
        <w:t xml:space="preserve"> </w:t>
      </w:r>
      <w:r>
        <w:t>was</w:t>
      </w:r>
      <w:r>
        <w:rPr>
          <w:spacing w:val="-11"/>
        </w:rPr>
        <w:t xml:space="preserve"> </w:t>
      </w:r>
      <w:r>
        <w:t>coined</w:t>
      </w:r>
      <w:r>
        <w:rPr>
          <w:spacing w:val="-11"/>
        </w:rPr>
        <w:t xml:space="preserve"> </w:t>
      </w:r>
      <w:r>
        <w:t>in</w:t>
      </w:r>
      <w:r>
        <w:rPr>
          <w:spacing w:val="-11"/>
        </w:rPr>
        <w:t xml:space="preserve"> </w:t>
      </w:r>
      <w:r>
        <w:t>the</w:t>
      </w:r>
      <w:r>
        <w:rPr>
          <w:spacing w:val="-11"/>
        </w:rPr>
        <w:t xml:space="preserve"> </w:t>
      </w:r>
      <w:r>
        <w:t>third</w:t>
      </w:r>
      <w:r>
        <w:rPr>
          <w:spacing w:val="-12"/>
        </w:rPr>
        <w:t xml:space="preserve"> </w:t>
      </w:r>
      <w:r>
        <w:t>annual</w:t>
      </w:r>
      <w:r>
        <w:rPr>
          <w:spacing w:val="-11"/>
        </w:rPr>
        <w:t xml:space="preserve"> </w:t>
      </w:r>
      <w:r>
        <w:t>intertribal Native</w:t>
      </w:r>
      <w:r>
        <w:rPr>
          <w:spacing w:val="-3"/>
        </w:rPr>
        <w:t xml:space="preserve"> </w:t>
      </w:r>
      <w:r>
        <w:t>American/First</w:t>
      </w:r>
      <w:r>
        <w:rPr>
          <w:spacing w:val="-3"/>
        </w:rPr>
        <w:t xml:space="preserve"> </w:t>
      </w:r>
      <w:r>
        <w:t>Nations</w:t>
      </w:r>
      <w:r>
        <w:rPr>
          <w:spacing w:val="-3"/>
        </w:rPr>
        <w:t xml:space="preserve"> </w:t>
      </w:r>
      <w:r>
        <w:t>gay</w:t>
      </w:r>
      <w:r>
        <w:rPr>
          <w:spacing w:val="-3"/>
        </w:rPr>
        <w:t xml:space="preserve"> </w:t>
      </w:r>
      <w:r>
        <w:t>and</w:t>
      </w:r>
      <w:r>
        <w:rPr>
          <w:spacing w:val="-3"/>
        </w:rPr>
        <w:t xml:space="preserve"> </w:t>
      </w:r>
      <w:r>
        <w:t>lesbian</w:t>
      </w:r>
      <w:r>
        <w:rPr>
          <w:spacing w:val="-3"/>
        </w:rPr>
        <w:t xml:space="preserve"> </w:t>
      </w:r>
      <w:r>
        <w:t>conference</w:t>
      </w:r>
      <w:r>
        <w:rPr>
          <w:spacing w:val="-3"/>
        </w:rPr>
        <w:t xml:space="preserve"> </w:t>
      </w:r>
      <w:r>
        <w:t>in</w:t>
      </w:r>
      <w:r>
        <w:rPr>
          <w:spacing w:val="-3"/>
        </w:rPr>
        <w:t xml:space="preserve"> </w:t>
      </w:r>
      <w:r>
        <w:t>Winnipeg,</w:t>
      </w:r>
      <w:r>
        <w:rPr>
          <w:spacing w:val="-3"/>
        </w:rPr>
        <w:t xml:space="preserve"> </w:t>
      </w:r>
      <w:r>
        <w:t>Canada,</w:t>
      </w:r>
      <w:r>
        <w:rPr>
          <w:spacing w:val="-1"/>
        </w:rPr>
        <w:t xml:space="preserve"> </w:t>
      </w:r>
      <w:r>
        <w:t>in</w:t>
      </w:r>
      <w:r>
        <w:rPr>
          <w:spacing w:val="-3"/>
        </w:rPr>
        <w:t xml:space="preserve"> </w:t>
      </w:r>
      <w:r>
        <w:t>1990.</w:t>
      </w:r>
      <w:r>
        <w:rPr>
          <w:spacing w:val="-3"/>
        </w:rPr>
        <w:t xml:space="preserve"> </w:t>
      </w:r>
      <w:r>
        <w:t>Across</w:t>
      </w:r>
      <w:r>
        <w:rPr>
          <w:spacing w:val="-3"/>
        </w:rPr>
        <w:t xml:space="preserve"> </w:t>
      </w:r>
      <w:r>
        <w:t>over</w:t>
      </w:r>
      <w:r>
        <w:rPr>
          <w:spacing w:val="-3"/>
        </w:rPr>
        <w:t xml:space="preserve"> </w:t>
      </w:r>
      <w:r>
        <w:t>130 tribes in North America, Indigenous tribes have documented unique persons such as Two-Spirits who traditionally</w:t>
      </w:r>
      <w:r>
        <w:rPr>
          <w:spacing w:val="-4"/>
        </w:rPr>
        <w:t xml:space="preserve"> </w:t>
      </w:r>
      <w:r>
        <w:t>had</w:t>
      </w:r>
      <w:r>
        <w:rPr>
          <w:spacing w:val="-8"/>
        </w:rPr>
        <w:t xml:space="preserve"> </w:t>
      </w:r>
      <w:r>
        <w:t>significant</w:t>
      </w:r>
      <w:r>
        <w:rPr>
          <w:spacing w:val="-8"/>
        </w:rPr>
        <w:t xml:space="preserve"> </w:t>
      </w:r>
      <w:r>
        <w:t>tribal</w:t>
      </w:r>
      <w:r>
        <w:rPr>
          <w:spacing w:val="-6"/>
        </w:rPr>
        <w:t xml:space="preserve"> </w:t>
      </w:r>
      <w:r>
        <w:t>roles</w:t>
      </w:r>
      <w:r>
        <w:rPr>
          <w:spacing w:val="-6"/>
        </w:rPr>
        <w:t xml:space="preserve"> </w:t>
      </w:r>
      <w:r>
        <w:t>(e.g.,</w:t>
      </w:r>
      <w:r>
        <w:rPr>
          <w:spacing w:val="-6"/>
        </w:rPr>
        <w:t xml:space="preserve"> </w:t>
      </w:r>
      <w:r>
        <w:t>skilled</w:t>
      </w:r>
      <w:r>
        <w:rPr>
          <w:spacing w:val="-6"/>
        </w:rPr>
        <w:t xml:space="preserve"> </w:t>
      </w:r>
      <w:r>
        <w:t>artists,</w:t>
      </w:r>
      <w:r>
        <w:rPr>
          <w:spacing w:val="-7"/>
        </w:rPr>
        <w:t xml:space="preserve"> </w:t>
      </w:r>
      <w:r>
        <w:t>instructors,</w:t>
      </w:r>
      <w:r>
        <w:rPr>
          <w:spacing w:val="-7"/>
        </w:rPr>
        <w:t xml:space="preserve"> </w:t>
      </w:r>
      <w:r>
        <w:t>healers,</w:t>
      </w:r>
      <w:r>
        <w:rPr>
          <w:spacing w:val="-7"/>
        </w:rPr>
        <w:t xml:space="preserve"> </w:t>
      </w:r>
      <w:r>
        <w:t>divine</w:t>
      </w:r>
      <w:r>
        <w:rPr>
          <w:spacing w:val="-8"/>
        </w:rPr>
        <w:t xml:space="preserve"> </w:t>
      </w:r>
      <w:r>
        <w:t>visioners,</w:t>
      </w:r>
      <w:r>
        <w:rPr>
          <w:spacing w:val="-7"/>
        </w:rPr>
        <w:t xml:space="preserve"> </w:t>
      </w:r>
      <w:r>
        <w:t>and</w:t>
      </w:r>
      <w:r>
        <w:rPr>
          <w:spacing w:val="-8"/>
        </w:rPr>
        <w:t xml:space="preserve"> </w:t>
      </w:r>
      <w:r>
        <w:t>etc.). Two-Spirit</w:t>
      </w:r>
      <w:r>
        <w:rPr>
          <w:spacing w:val="-8"/>
        </w:rPr>
        <w:t xml:space="preserve"> </w:t>
      </w:r>
      <w:r>
        <w:t>identities</w:t>
      </w:r>
      <w:r>
        <w:rPr>
          <w:spacing w:val="-8"/>
        </w:rPr>
        <w:t xml:space="preserve"> </w:t>
      </w:r>
      <w:r>
        <w:t>are</w:t>
      </w:r>
      <w:r>
        <w:rPr>
          <w:spacing w:val="-8"/>
        </w:rPr>
        <w:t xml:space="preserve"> </w:t>
      </w:r>
      <w:r>
        <w:t>not</w:t>
      </w:r>
      <w:r>
        <w:rPr>
          <w:spacing w:val="-9"/>
        </w:rPr>
        <w:t xml:space="preserve"> </w:t>
      </w:r>
      <w:r>
        <w:t>constr</w:t>
      </w:r>
      <w:r>
        <w:t>ained</w:t>
      </w:r>
      <w:r>
        <w:rPr>
          <w:spacing w:val="-9"/>
        </w:rPr>
        <w:t xml:space="preserve"> </w:t>
      </w:r>
      <w:r>
        <w:t>to</w:t>
      </w:r>
      <w:r>
        <w:rPr>
          <w:spacing w:val="-7"/>
        </w:rPr>
        <w:t xml:space="preserve"> </w:t>
      </w:r>
      <w:r>
        <w:t>either</w:t>
      </w:r>
      <w:r>
        <w:rPr>
          <w:spacing w:val="-7"/>
        </w:rPr>
        <w:t xml:space="preserve"> </w:t>
      </w:r>
      <w:r>
        <w:t>man</w:t>
      </w:r>
      <w:r>
        <w:rPr>
          <w:spacing w:val="-9"/>
        </w:rPr>
        <w:t xml:space="preserve"> </w:t>
      </w:r>
      <w:r>
        <w:t>or</w:t>
      </w:r>
      <w:r>
        <w:rPr>
          <w:spacing w:val="-9"/>
        </w:rPr>
        <w:t xml:space="preserve"> </w:t>
      </w:r>
      <w:r>
        <w:t>women,</w:t>
      </w:r>
      <w:r>
        <w:rPr>
          <w:spacing w:val="-10"/>
        </w:rPr>
        <w:t xml:space="preserve"> </w:t>
      </w:r>
      <w:r>
        <w:t>as</w:t>
      </w:r>
      <w:r>
        <w:rPr>
          <w:spacing w:val="-7"/>
        </w:rPr>
        <w:t xml:space="preserve"> </w:t>
      </w:r>
      <w:r>
        <w:t>they</w:t>
      </w:r>
      <w:r>
        <w:rPr>
          <w:spacing w:val="-7"/>
        </w:rPr>
        <w:t xml:space="preserve"> </w:t>
      </w:r>
      <w:r>
        <w:t>embodied</w:t>
      </w:r>
      <w:r>
        <w:rPr>
          <w:spacing w:val="-9"/>
        </w:rPr>
        <w:t xml:space="preserve"> </w:t>
      </w:r>
      <w:r>
        <w:t>a</w:t>
      </w:r>
      <w:r>
        <w:rPr>
          <w:spacing w:val="-7"/>
        </w:rPr>
        <w:t xml:space="preserve"> </w:t>
      </w:r>
      <w:r>
        <w:t>third</w:t>
      </w:r>
      <w:r>
        <w:rPr>
          <w:spacing w:val="-7"/>
        </w:rPr>
        <w:t xml:space="preserve"> </w:t>
      </w:r>
      <w:r>
        <w:t>or</w:t>
      </w:r>
      <w:r>
        <w:rPr>
          <w:spacing w:val="-10"/>
        </w:rPr>
        <w:t xml:space="preserve"> </w:t>
      </w:r>
      <w:r>
        <w:t>sometimes fourth</w:t>
      </w:r>
      <w:r>
        <w:rPr>
          <w:spacing w:val="-13"/>
        </w:rPr>
        <w:t xml:space="preserve"> </w:t>
      </w:r>
      <w:r>
        <w:t>gender</w:t>
      </w:r>
      <w:r>
        <w:rPr>
          <w:spacing w:val="-12"/>
        </w:rPr>
        <w:t xml:space="preserve"> </w:t>
      </w:r>
      <w:r>
        <w:t>status.</w:t>
      </w:r>
      <w:hyperlink w:anchor="_bookmark210" w:history="1">
        <w:r>
          <w:rPr>
            <w:vertAlign w:val="superscript"/>
          </w:rPr>
          <w:t>48</w:t>
        </w:r>
      </w:hyperlink>
      <w:hyperlink w:anchor="_bookmark211" w:history="1">
        <w:r>
          <w:rPr>
            <w:vertAlign w:val="superscript"/>
          </w:rPr>
          <w:t>,49</w:t>
        </w:r>
        <w:r>
          <w:rPr>
            <w:spacing w:val="-13"/>
          </w:rPr>
          <w:t xml:space="preserve"> </w:t>
        </w:r>
      </w:hyperlink>
      <w:r>
        <w:t>Considering</w:t>
      </w:r>
      <w:r>
        <w:rPr>
          <w:spacing w:val="-12"/>
        </w:rPr>
        <w:t xml:space="preserve"> </w:t>
      </w:r>
      <w:r>
        <w:t>the</w:t>
      </w:r>
      <w:r>
        <w:rPr>
          <w:spacing w:val="-13"/>
        </w:rPr>
        <w:t xml:space="preserve"> </w:t>
      </w:r>
      <w:r>
        <w:t>effects</w:t>
      </w:r>
      <w:r>
        <w:rPr>
          <w:spacing w:val="-12"/>
        </w:rPr>
        <w:t xml:space="preserve"> </w:t>
      </w:r>
      <w:r>
        <w:t>of</w:t>
      </w:r>
      <w:r>
        <w:rPr>
          <w:spacing w:val="-13"/>
        </w:rPr>
        <w:t xml:space="preserve"> </w:t>
      </w:r>
      <w:r>
        <w:t>European</w:t>
      </w:r>
      <w:r>
        <w:rPr>
          <w:spacing w:val="-12"/>
        </w:rPr>
        <w:t xml:space="preserve"> </w:t>
      </w:r>
      <w:r>
        <w:t>colonization,</w:t>
      </w:r>
      <w:r>
        <w:rPr>
          <w:spacing w:val="-12"/>
        </w:rPr>
        <w:t xml:space="preserve"> </w:t>
      </w:r>
      <w:r>
        <w:t>white</w:t>
      </w:r>
      <w:r>
        <w:rPr>
          <w:spacing w:val="-13"/>
        </w:rPr>
        <w:t xml:space="preserve"> </w:t>
      </w:r>
      <w:r>
        <w:t>supremacy,</w:t>
      </w:r>
      <w:r>
        <w:rPr>
          <w:spacing w:val="-12"/>
        </w:rPr>
        <w:t xml:space="preserve"> </w:t>
      </w:r>
      <w:r>
        <w:t>and</w:t>
      </w:r>
      <w:r>
        <w:rPr>
          <w:spacing w:val="-13"/>
        </w:rPr>
        <w:t xml:space="preserve"> </w:t>
      </w:r>
      <w:r>
        <w:t>religious zeal, it is understandable how the celebration of Two-Spirit persons was threatened, their existences suppressed, and subsequent internalization of negative beliefs and attitudes towards Two-Spirted persons. However, within the last 10-20 years t</w:t>
      </w:r>
      <w:r>
        <w:t>here has been a resurgence of AI/AN Indigenous people reclaiming their connection with their ancestral history and expressing themselves as Two-Spirit and others as a part of the lesbian, gay, bisexual, transgender, questioning, and Two-Spirit (LGBTQ2S) co</w:t>
      </w:r>
      <w:r>
        <w:t>mmunity through</w:t>
      </w:r>
      <w:r>
        <w:rPr>
          <w:spacing w:val="-2"/>
        </w:rPr>
        <w:t xml:space="preserve"> </w:t>
      </w:r>
      <w:r>
        <w:t>a process</w:t>
      </w:r>
      <w:r>
        <w:rPr>
          <w:spacing w:val="-1"/>
        </w:rPr>
        <w:t xml:space="preserve"> </w:t>
      </w:r>
      <w:r>
        <w:t>of</w:t>
      </w:r>
      <w:r>
        <w:rPr>
          <w:spacing w:val="-1"/>
        </w:rPr>
        <w:t xml:space="preserve"> </w:t>
      </w:r>
      <w:r>
        <w:t>decolonization</w:t>
      </w:r>
      <w:hyperlink w:anchor="_bookmark212" w:history="1">
        <w:r>
          <w:t>.</w:t>
        </w:r>
        <w:r>
          <w:rPr>
            <w:vertAlign w:val="superscript"/>
          </w:rPr>
          <w:t>50</w:t>
        </w:r>
        <w:r>
          <w:rPr>
            <w:spacing w:val="-1"/>
          </w:rPr>
          <w:t xml:space="preserve"> </w:t>
        </w:r>
      </w:hyperlink>
      <w:r>
        <w:t>Two-Spirit</w:t>
      </w:r>
      <w:r>
        <w:rPr>
          <w:spacing w:val="-1"/>
        </w:rPr>
        <w:t xml:space="preserve"> </w:t>
      </w:r>
      <w:r>
        <w:t>people</w:t>
      </w:r>
      <w:r>
        <w:rPr>
          <w:spacing w:val="-2"/>
        </w:rPr>
        <w:t xml:space="preserve"> </w:t>
      </w:r>
      <w:r>
        <w:t>identify along</w:t>
      </w:r>
      <w:r>
        <w:rPr>
          <w:spacing w:val="-2"/>
        </w:rPr>
        <w:t xml:space="preserve"> </w:t>
      </w:r>
      <w:r>
        <w:t>the</w:t>
      </w:r>
      <w:r>
        <w:rPr>
          <w:spacing w:val="-1"/>
        </w:rPr>
        <w:t xml:space="preserve"> </w:t>
      </w:r>
      <w:r>
        <w:t>gender</w:t>
      </w:r>
      <w:r>
        <w:rPr>
          <w:spacing w:val="-1"/>
        </w:rPr>
        <w:t xml:space="preserve"> </w:t>
      </w:r>
      <w:r>
        <w:t>expansive identity and expression continuum as well as various sexual orientations. Of note, there is likely an intimate</w:t>
      </w:r>
      <w:r>
        <w:rPr>
          <w:spacing w:val="-8"/>
        </w:rPr>
        <w:t xml:space="preserve"> </w:t>
      </w:r>
      <w:r>
        <w:t>spiritual,</w:t>
      </w:r>
      <w:r>
        <w:rPr>
          <w:spacing w:val="-7"/>
        </w:rPr>
        <w:t xml:space="preserve"> </w:t>
      </w:r>
      <w:r>
        <w:t>a</w:t>
      </w:r>
      <w:r>
        <w:t>nd</w:t>
      </w:r>
      <w:r>
        <w:rPr>
          <w:spacing w:val="-6"/>
        </w:rPr>
        <w:t xml:space="preserve"> </w:t>
      </w:r>
      <w:r>
        <w:t>cultural</w:t>
      </w:r>
      <w:r>
        <w:rPr>
          <w:spacing w:val="-9"/>
        </w:rPr>
        <w:t xml:space="preserve"> </w:t>
      </w:r>
      <w:r>
        <w:t>element</w:t>
      </w:r>
      <w:r>
        <w:rPr>
          <w:spacing w:val="-6"/>
        </w:rPr>
        <w:t xml:space="preserve"> </w:t>
      </w:r>
      <w:r>
        <w:t>of</w:t>
      </w:r>
      <w:r>
        <w:rPr>
          <w:spacing w:val="-7"/>
        </w:rPr>
        <w:t xml:space="preserve"> </w:t>
      </w:r>
      <w:r>
        <w:t>being</w:t>
      </w:r>
      <w:r>
        <w:rPr>
          <w:spacing w:val="-7"/>
        </w:rPr>
        <w:t xml:space="preserve"> </w:t>
      </w:r>
      <w:r>
        <w:t>Two-Spirited</w:t>
      </w:r>
      <w:r>
        <w:rPr>
          <w:spacing w:val="-8"/>
        </w:rPr>
        <w:t xml:space="preserve"> </w:t>
      </w:r>
      <w:r>
        <w:t>that</w:t>
      </w:r>
      <w:r>
        <w:rPr>
          <w:spacing w:val="-7"/>
        </w:rPr>
        <w:t xml:space="preserve"> </w:t>
      </w:r>
      <w:r>
        <w:t>may</w:t>
      </w:r>
      <w:r>
        <w:rPr>
          <w:spacing w:val="-7"/>
        </w:rPr>
        <w:t xml:space="preserve"> </w:t>
      </w:r>
      <w:r>
        <w:t>not</w:t>
      </w:r>
      <w:r>
        <w:rPr>
          <w:spacing w:val="-7"/>
        </w:rPr>
        <w:t xml:space="preserve"> </w:t>
      </w:r>
      <w:r>
        <w:t>be</w:t>
      </w:r>
      <w:r>
        <w:rPr>
          <w:spacing w:val="-6"/>
        </w:rPr>
        <w:t xml:space="preserve"> </w:t>
      </w:r>
      <w:r>
        <w:t>comparable</w:t>
      </w:r>
      <w:r>
        <w:rPr>
          <w:spacing w:val="-8"/>
        </w:rPr>
        <w:t xml:space="preserve"> </w:t>
      </w:r>
      <w:r>
        <w:t>to</w:t>
      </w:r>
      <w:r>
        <w:rPr>
          <w:spacing w:val="-5"/>
        </w:rPr>
        <w:t xml:space="preserve"> </w:t>
      </w:r>
      <w:r>
        <w:t>experiences of non-indigenous LGBTQ people.</w:t>
      </w:r>
    </w:p>
    <w:p w:rsidR="00C76E6D" w:rsidRDefault="00C76E6D">
      <w:pPr>
        <w:pStyle w:val="BodyText"/>
        <w:spacing w:before="6"/>
        <w:rPr>
          <w:sz w:val="27"/>
        </w:rPr>
      </w:pPr>
    </w:p>
    <w:p w:rsidR="00C76E6D" w:rsidRDefault="00913831">
      <w:pPr>
        <w:pStyle w:val="BodyText"/>
        <w:spacing w:before="1" w:line="276" w:lineRule="auto"/>
        <w:ind w:left="479" w:right="471"/>
        <w:jc w:val="both"/>
      </w:pPr>
      <w:r>
        <w:t>It</w:t>
      </w:r>
      <w:r>
        <w:rPr>
          <w:spacing w:val="-5"/>
        </w:rPr>
        <w:t xml:space="preserve"> </w:t>
      </w:r>
      <w:r>
        <w:t>is</w:t>
      </w:r>
      <w:r>
        <w:rPr>
          <w:spacing w:val="-5"/>
        </w:rPr>
        <w:t xml:space="preserve"> </w:t>
      </w:r>
      <w:r>
        <w:t>imperative</w:t>
      </w:r>
      <w:r>
        <w:rPr>
          <w:spacing w:val="-5"/>
        </w:rPr>
        <w:t xml:space="preserve"> </w:t>
      </w:r>
      <w:r>
        <w:t>to</w:t>
      </w:r>
      <w:r>
        <w:rPr>
          <w:spacing w:val="-3"/>
        </w:rPr>
        <w:t xml:space="preserve"> </w:t>
      </w:r>
      <w:r>
        <w:t>design</w:t>
      </w:r>
      <w:r>
        <w:rPr>
          <w:spacing w:val="-4"/>
        </w:rPr>
        <w:t xml:space="preserve"> </w:t>
      </w:r>
      <w:r>
        <w:t>culturally</w:t>
      </w:r>
      <w:r>
        <w:rPr>
          <w:spacing w:val="-3"/>
        </w:rPr>
        <w:t xml:space="preserve"> </w:t>
      </w:r>
      <w:r>
        <w:t>responsible</w:t>
      </w:r>
      <w:r>
        <w:rPr>
          <w:spacing w:val="-5"/>
        </w:rPr>
        <w:t xml:space="preserve"> </w:t>
      </w:r>
      <w:r>
        <w:t>homelessness</w:t>
      </w:r>
      <w:r>
        <w:rPr>
          <w:spacing w:val="-4"/>
        </w:rPr>
        <w:t xml:space="preserve"> </w:t>
      </w:r>
      <w:r>
        <w:t>prevention</w:t>
      </w:r>
      <w:r>
        <w:rPr>
          <w:spacing w:val="-4"/>
        </w:rPr>
        <w:t xml:space="preserve"> </w:t>
      </w:r>
      <w:r>
        <w:t>and</w:t>
      </w:r>
      <w:r>
        <w:rPr>
          <w:spacing w:val="-4"/>
        </w:rPr>
        <w:t xml:space="preserve"> </w:t>
      </w:r>
      <w:r>
        <w:t>intervention</w:t>
      </w:r>
      <w:r>
        <w:rPr>
          <w:spacing w:val="-4"/>
        </w:rPr>
        <w:t xml:space="preserve"> </w:t>
      </w:r>
      <w:r>
        <w:t>strategies</w:t>
      </w:r>
      <w:r>
        <w:rPr>
          <w:spacing w:val="-3"/>
        </w:rPr>
        <w:t xml:space="preserve"> </w:t>
      </w:r>
      <w:r>
        <w:t>that focus</w:t>
      </w:r>
      <w:r>
        <w:rPr>
          <w:spacing w:val="-5"/>
        </w:rPr>
        <w:t xml:space="preserve"> </w:t>
      </w:r>
      <w:r>
        <w:t>on</w:t>
      </w:r>
      <w:r>
        <w:rPr>
          <w:spacing w:val="-5"/>
        </w:rPr>
        <w:t xml:space="preserve"> </w:t>
      </w:r>
      <w:r>
        <w:t>housing</w:t>
      </w:r>
      <w:r>
        <w:rPr>
          <w:spacing w:val="-5"/>
        </w:rPr>
        <w:t xml:space="preserve"> </w:t>
      </w:r>
      <w:r>
        <w:t>and</w:t>
      </w:r>
      <w:r>
        <w:rPr>
          <w:spacing w:val="-3"/>
        </w:rPr>
        <w:t xml:space="preserve"> </w:t>
      </w:r>
      <w:r>
        <w:t>communal</w:t>
      </w:r>
      <w:r>
        <w:rPr>
          <w:spacing w:val="-5"/>
        </w:rPr>
        <w:t xml:space="preserve"> </w:t>
      </w:r>
      <w:r>
        <w:t>support</w:t>
      </w:r>
      <w:r>
        <w:rPr>
          <w:spacing w:val="-6"/>
        </w:rPr>
        <w:t xml:space="preserve"> </w:t>
      </w:r>
      <w:r>
        <w:t>for</w:t>
      </w:r>
      <w:r>
        <w:rPr>
          <w:spacing w:val="-5"/>
        </w:rPr>
        <w:t xml:space="preserve"> </w:t>
      </w:r>
      <w:r>
        <w:t>AIAN</w:t>
      </w:r>
      <w:r>
        <w:rPr>
          <w:spacing w:val="-4"/>
        </w:rPr>
        <w:t xml:space="preserve"> </w:t>
      </w:r>
      <w:r>
        <w:t>young</w:t>
      </w:r>
      <w:r>
        <w:rPr>
          <w:spacing w:val="-4"/>
        </w:rPr>
        <w:t xml:space="preserve"> </w:t>
      </w:r>
      <w:r>
        <w:t>people</w:t>
      </w:r>
      <w:r>
        <w:rPr>
          <w:spacing w:val="-4"/>
        </w:rPr>
        <w:t xml:space="preserve"> </w:t>
      </w:r>
      <w:r>
        <w:t>in</w:t>
      </w:r>
      <w:r>
        <w:rPr>
          <w:spacing w:val="-3"/>
        </w:rPr>
        <w:t xml:space="preserve"> </w:t>
      </w:r>
      <w:r>
        <w:t>their</w:t>
      </w:r>
      <w:r>
        <w:rPr>
          <w:spacing w:val="-4"/>
        </w:rPr>
        <w:t xml:space="preserve"> </w:t>
      </w:r>
      <w:r>
        <w:t>communities</w:t>
      </w:r>
      <w:r>
        <w:rPr>
          <w:spacing w:val="-4"/>
        </w:rPr>
        <w:t xml:space="preserve"> </w:t>
      </w:r>
      <w:r>
        <w:t>while</w:t>
      </w:r>
      <w:r>
        <w:rPr>
          <w:spacing w:val="-4"/>
        </w:rPr>
        <w:t xml:space="preserve"> </w:t>
      </w:r>
      <w:r>
        <w:t>collaborating with</w:t>
      </w:r>
      <w:r>
        <w:rPr>
          <w:spacing w:val="-13"/>
        </w:rPr>
        <w:t xml:space="preserve"> </w:t>
      </w:r>
      <w:r>
        <w:t>Indigenous</w:t>
      </w:r>
      <w:r>
        <w:rPr>
          <w:spacing w:val="-12"/>
        </w:rPr>
        <w:t xml:space="preserve"> </w:t>
      </w:r>
      <w:r>
        <w:t>stakeholders.</w:t>
      </w:r>
      <w:r>
        <w:rPr>
          <w:spacing w:val="-13"/>
        </w:rPr>
        <w:t xml:space="preserve"> </w:t>
      </w:r>
      <w:r>
        <w:t>Although</w:t>
      </w:r>
      <w:r>
        <w:rPr>
          <w:spacing w:val="-12"/>
        </w:rPr>
        <w:t xml:space="preserve"> </w:t>
      </w:r>
      <w:r>
        <w:t>more</w:t>
      </w:r>
      <w:r>
        <w:rPr>
          <w:spacing w:val="-13"/>
        </w:rPr>
        <w:t xml:space="preserve"> </w:t>
      </w:r>
      <w:r>
        <w:t>than</w:t>
      </w:r>
      <w:r>
        <w:rPr>
          <w:spacing w:val="-12"/>
        </w:rPr>
        <w:t xml:space="preserve"> </w:t>
      </w:r>
      <w:r>
        <w:t>75%</w:t>
      </w:r>
      <w:r>
        <w:rPr>
          <w:spacing w:val="-13"/>
        </w:rPr>
        <w:t xml:space="preserve"> </w:t>
      </w:r>
      <w:r>
        <w:t>of</w:t>
      </w:r>
      <w:r>
        <w:rPr>
          <w:spacing w:val="-12"/>
        </w:rPr>
        <w:t xml:space="preserve"> </w:t>
      </w:r>
      <w:r>
        <w:t>identified</w:t>
      </w:r>
      <w:r>
        <w:rPr>
          <w:spacing w:val="-12"/>
        </w:rPr>
        <w:t xml:space="preserve"> </w:t>
      </w:r>
      <w:r>
        <w:t>AIAN</w:t>
      </w:r>
      <w:r>
        <w:rPr>
          <w:spacing w:val="-13"/>
        </w:rPr>
        <w:t xml:space="preserve"> </w:t>
      </w:r>
      <w:r>
        <w:t>people</w:t>
      </w:r>
      <w:r>
        <w:rPr>
          <w:spacing w:val="-12"/>
        </w:rPr>
        <w:t xml:space="preserve"> </w:t>
      </w:r>
      <w:r>
        <w:t>live</w:t>
      </w:r>
      <w:r>
        <w:rPr>
          <w:spacing w:val="-13"/>
        </w:rPr>
        <w:t xml:space="preserve"> </w:t>
      </w:r>
      <w:r>
        <w:t>outside</w:t>
      </w:r>
      <w:r>
        <w:rPr>
          <w:spacing w:val="-12"/>
        </w:rPr>
        <w:t xml:space="preserve"> </w:t>
      </w:r>
      <w:r>
        <w:t>official</w:t>
      </w:r>
      <w:r>
        <w:rPr>
          <w:spacing w:val="-13"/>
        </w:rPr>
        <w:t xml:space="preserve"> </w:t>
      </w:r>
      <w:r>
        <w:t>tribal recognized areas, interventions, especially prevention, must target both rural and urban settings</w:t>
      </w:r>
      <w:hyperlink w:anchor="_bookmark213" w:history="1">
        <w:r>
          <w:t>.</w:t>
        </w:r>
        <w:r>
          <w:rPr>
            <w:vertAlign w:val="superscript"/>
          </w:rPr>
          <w:t>51</w:t>
        </w:r>
      </w:hyperlink>
      <w:r>
        <w:t xml:space="preserve"> Moreover,</w:t>
      </w:r>
      <w:r>
        <w:rPr>
          <w:spacing w:val="-9"/>
        </w:rPr>
        <w:t xml:space="preserve"> </w:t>
      </w:r>
      <w:r>
        <w:t>considerations</w:t>
      </w:r>
      <w:r>
        <w:rPr>
          <w:spacing w:val="-8"/>
        </w:rPr>
        <w:t xml:space="preserve"> </w:t>
      </w:r>
      <w:r>
        <w:t>for</w:t>
      </w:r>
      <w:r>
        <w:rPr>
          <w:spacing w:val="-9"/>
        </w:rPr>
        <w:t xml:space="preserve"> </w:t>
      </w:r>
      <w:r>
        <w:t>LGBTQ2S</w:t>
      </w:r>
      <w:r>
        <w:rPr>
          <w:spacing w:val="-9"/>
        </w:rPr>
        <w:t xml:space="preserve"> </w:t>
      </w:r>
      <w:r>
        <w:t>persons</w:t>
      </w:r>
      <w:r>
        <w:rPr>
          <w:spacing w:val="-8"/>
        </w:rPr>
        <w:t xml:space="preserve"> </w:t>
      </w:r>
      <w:r>
        <w:t>and</w:t>
      </w:r>
      <w:r>
        <w:rPr>
          <w:spacing w:val="-10"/>
        </w:rPr>
        <w:t xml:space="preserve"> </w:t>
      </w:r>
      <w:r>
        <w:t>ongoing</w:t>
      </w:r>
      <w:r>
        <w:rPr>
          <w:spacing w:val="-9"/>
        </w:rPr>
        <w:t xml:space="preserve"> </w:t>
      </w:r>
      <w:r>
        <w:t>research</w:t>
      </w:r>
      <w:r>
        <w:rPr>
          <w:spacing w:val="-9"/>
        </w:rPr>
        <w:t xml:space="preserve"> </w:t>
      </w:r>
      <w:r>
        <w:t>efforts</w:t>
      </w:r>
      <w:r>
        <w:rPr>
          <w:spacing w:val="-7"/>
        </w:rPr>
        <w:t xml:space="preserve"> </w:t>
      </w:r>
      <w:r>
        <w:t>to</w:t>
      </w:r>
      <w:r>
        <w:rPr>
          <w:spacing w:val="-7"/>
        </w:rPr>
        <w:t xml:space="preserve"> </w:t>
      </w:r>
      <w:r>
        <w:t>better</w:t>
      </w:r>
      <w:r>
        <w:rPr>
          <w:spacing w:val="-9"/>
        </w:rPr>
        <w:t xml:space="preserve"> </w:t>
      </w:r>
      <w:r>
        <w:t>support</w:t>
      </w:r>
      <w:r>
        <w:rPr>
          <w:spacing w:val="-9"/>
        </w:rPr>
        <w:t xml:space="preserve"> </w:t>
      </w:r>
      <w:r>
        <w:t>Two-Spirit youth</w:t>
      </w:r>
      <w:r>
        <w:rPr>
          <w:spacing w:val="-13"/>
        </w:rPr>
        <w:t xml:space="preserve"> </w:t>
      </w:r>
      <w:r>
        <w:t>are</w:t>
      </w:r>
      <w:r>
        <w:rPr>
          <w:spacing w:val="-12"/>
        </w:rPr>
        <w:t xml:space="preserve"> </w:t>
      </w:r>
      <w:r>
        <w:t>dir</w:t>
      </w:r>
      <w:r>
        <w:t>ely</w:t>
      </w:r>
      <w:r>
        <w:rPr>
          <w:spacing w:val="-13"/>
        </w:rPr>
        <w:t xml:space="preserve"> </w:t>
      </w:r>
      <w:r>
        <w:t>needed.</w:t>
      </w:r>
      <w:r>
        <w:rPr>
          <w:spacing w:val="-12"/>
        </w:rPr>
        <w:t xml:space="preserve"> </w:t>
      </w:r>
      <w:r>
        <w:t>The</w:t>
      </w:r>
      <w:r>
        <w:rPr>
          <w:spacing w:val="-13"/>
        </w:rPr>
        <w:t xml:space="preserve"> </w:t>
      </w:r>
      <w:r>
        <w:t>Commonwealth</w:t>
      </w:r>
      <w:r>
        <w:rPr>
          <w:spacing w:val="-12"/>
        </w:rPr>
        <w:t xml:space="preserve"> </w:t>
      </w:r>
      <w:r>
        <w:t>may</w:t>
      </w:r>
      <w:r>
        <w:rPr>
          <w:spacing w:val="-13"/>
        </w:rPr>
        <w:t xml:space="preserve"> </w:t>
      </w:r>
      <w:r>
        <w:t>benefit</w:t>
      </w:r>
      <w:r>
        <w:rPr>
          <w:spacing w:val="-12"/>
        </w:rPr>
        <w:t xml:space="preserve"> </w:t>
      </w:r>
      <w:r>
        <w:t>from</w:t>
      </w:r>
      <w:r>
        <w:rPr>
          <w:spacing w:val="-12"/>
        </w:rPr>
        <w:t xml:space="preserve"> </w:t>
      </w:r>
      <w:r>
        <w:t>partnering</w:t>
      </w:r>
      <w:r>
        <w:rPr>
          <w:spacing w:val="-13"/>
        </w:rPr>
        <w:t xml:space="preserve"> </w:t>
      </w:r>
      <w:r>
        <w:t>with</w:t>
      </w:r>
      <w:r>
        <w:rPr>
          <w:spacing w:val="-12"/>
        </w:rPr>
        <w:t xml:space="preserve"> </w:t>
      </w:r>
      <w:r>
        <w:t>existing</w:t>
      </w:r>
      <w:r>
        <w:rPr>
          <w:spacing w:val="-13"/>
        </w:rPr>
        <w:t xml:space="preserve"> </w:t>
      </w:r>
      <w:r>
        <w:t>organizations</w:t>
      </w:r>
      <w:r>
        <w:rPr>
          <w:spacing w:val="-12"/>
        </w:rPr>
        <w:t xml:space="preserve"> </w:t>
      </w:r>
      <w:r>
        <w:t>that have</w:t>
      </w:r>
      <w:r>
        <w:rPr>
          <w:spacing w:val="-6"/>
        </w:rPr>
        <w:t xml:space="preserve"> </w:t>
      </w:r>
      <w:r>
        <w:t>expertise</w:t>
      </w:r>
      <w:r>
        <w:rPr>
          <w:spacing w:val="-5"/>
        </w:rPr>
        <w:t xml:space="preserve"> </w:t>
      </w:r>
      <w:r>
        <w:t>in</w:t>
      </w:r>
      <w:r>
        <w:rPr>
          <w:spacing w:val="-4"/>
        </w:rPr>
        <w:t xml:space="preserve"> </w:t>
      </w:r>
      <w:r>
        <w:t>caring</w:t>
      </w:r>
      <w:r>
        <w:rPr>
          <w:spacing w:val="-6"/>
        </w:rPr>
        <w:t xml:space="preserve"> </w:t>
      </w:r>
      <w:r>
        <w:t>for</w:t>
      </w:r>
      <w:r>
        <w:rPr>
          <w:spacing w:val="-4"/>
        </w:rPr>
        <w:t xml:space="preserve"> </w:t>
      </w:r>
      <w:r>
        <w:t>AIAN</w:t>
      </w:r>
      <w:r>
        <w:rPr>
          <w:spacing w:val="-6"/>
        </w:rPr>
        <w:t xml:space="preserve"> </w:t>
      </w:r>
      <w:r>
        <w:t>youth.</w:t>
      </w:r>
      <w:r>
        <w:rPr>
          <w:spacing w:val="-4"/>
        </w:rPr>
        <w:t xml:space="preserve"> </w:t>
      </w:r>
      <w:r>
        <w:t>Such</w:t>
      </w:r>
      <w:r>
        <w:rPr>
          <w:spacing w:val="-3"/>
        </w:rPr>
        <w:t xml:space="preserve"> </w:t>
      </w:r>
      <w:r>
        <w:t>collaborations</w:t>
      </w:r>
      <w:r>
        <w:rPr>
          <w:spacing w:val="-5"/>
        </w:rPr>
        <w:t xml:space="preserve"> </w:t>
      </w:r>
      <w:r>
        <w:t>may</w:t>
      </w:r>
      <w:r>
        <w:rPr>
          <w:spacing w:val="-5"/>
        </w:rPr>
        <w:t xml:space="preserve"> </w:t>
      </w:r>
      <w:r>
        <w:t>help</w:t>
      </w:r>
      <w:r>
        <w:rPr>
          <w:spacing w:val="-5"/>
        </w:rPr>
        <w:t xml:space="preserve"> </w:t>
      </w:r>
      <w:r>
        <w:t>reduce</w:t>
      </w:r>
      <w:r>
        <w:rPr>
          <w:spacing w:val="-4"/>
        </w:rPr>
        <w:t xml:space="preserve"> </w:t>
      </w:r>
      <w:r>
        <w:t>stigma</w:t>
      </w:r>
      <w:r>
        <w:rPr>
          <w:spacing w:val="-5"/>
        </w:rPr>
        <w:t xml:space="preserve"> </w:t>
      </w:r>
      <w:r>
        <w:t>and</w:t>
      </w:r>
      <w:r>
        <w:rPr>
          <w:spacing w:val="-4"/>
        </w:rPr>
        <w:t xml:space="preserve"> </w:t>
      </w:r>
      <w:r>
        <w:t>raise</w:t>
      </w:r>
      <w:r>
        <w:rPr>
          <w:spacing w:val="-5"/>
        </w:rPr>
        <w:t xml:space="preserve"> </w:t>
      </w:r>
      <w:r>
        <w:t>awareness about the unique experience of the AIAN community.</w:t>
      </w:r>
    </w:p>
    <w:p w:rsidR="00C76E6D" w:rsidRDefault="00C76E6D">
      <w:pPr>
        <w:pStyle w:val="BodyText"/>
        <w:spacing w:before="5"/>
        <w:rPr>
          <w:sz w:val="27"/>
        </w:rPr>
      </w:pPr>
    </w:p>
    <w:p w:rsidR="00C76E6D" w:rsidRDefault="00913831">
      <w:pPr>
        <w:pStyle w:val="BodyText"/>
        <w:spacing w:line="276" w:lineRule="auto"/>
        <w:ind w:left="479" w:right="476"/>
        <w:jc w:val="both"/>
      </w:pPr>
      <w:r>
        <w:t>Lastly, given the aforementioned current and historical disparities and the multifaceted risk factors for the</w:t>
      </w:r>
      <w:r>
        <w:rPr>
          <w:spacing w:val="-7"/>
        </w:rPr>
        <w:t xml:space="preserve"> </w:t>
      </w:r>
      <w:r>
        <w:t>risk</w:t>
      </w:r>
      <w:r>
        <w:rPr>
          <w:spacing w:val="-5"/>
        </w:rPr>
        <w:t xml:space="preserve"> </w:t>
      </w:r>
      <w:r>
        <w:t>of</w:t>
      </w:r>
      <w:r>
        <w:rPr>
          <w:spacing w:val="-6"/>
        </w:rPr>
        <w:t xml:space="preserve"> </w:t>
      </w:r>
      <w:r>
        <w:t>homelessness,</w:t>
      </w:r>
      <w:r>
        <w:rPr>
          <w:spacing w:val="-6"/>
        </w:rPr>
        <w:t xml:space="preserve"> </w:t>
      </w:r>
      <w:r>
        <w:t>the</w:t>
      </w:r>
      <w:r>
        <w:rPr>
          <w:spacing w:val="-6"/>
        </w:rPr>
        <w:t xml:space="preserve"> </w:t>
      </w:r>
      <w:r>
        <w:t>Commission</w:t>
      </w:r>
      <w:r>
        <w:rPr>
          <w:spacing w:val="-8"/>
        </w:rPr>
        <w:t xml:space="preserve"> </w:t>
      </w:r>
      <w:r>
        <w:t>is</w:t>
      </w:r>
      <w:r>
        <w:rPr>
          <w:spacing w:val="-6"/>
        </w:rPr>
        <w:t xml:space="preserve"> </w:t>
      </w:r>
      <w:r>
        <w:t>grateful</w:t>
      </w:r>
      <w:r>
        <w:rPr>
          <w:spacing w:val="-4"/>
        </w:rPr>
        <w:t xml:space="preserve"> </w:t>
      </w:r>
      <w:r>
        <w:t>to</w:t>
      </w:r>
      <w:r>
        <w:rPr>
          <w:spacing w:val="-6"/>
        </w:rPr>
        <w:t xml:space="preserve"> </w:t>
      </w:r>
      <w:r>
        <w:t>continue</w:t>
      </w:r>
      <w:r>
        <w:rPr>
          <w:spacing w:val="-5"/>
        </w:rPr>
        <w:t xml:space="preserve"> </w:t>
      </w:r>
      <w:r>
        <w:t>its</w:t>
      </w:r>
      <w:r>
        <w:rPr>
          <w:spacing w:val="-6"/>
        </w:rPr>
        <w:t xml:space="preserve"> </w:t>
      </w:r>
      <w:r>
        <w:t>partnership</w:t>
      </w:r>
      <w:r>
        <w:rPr>
          <w:spacing w:val="-4"/>
        </w:rPr>
        <w:t xml:space="preserve"> </w:t>
      </w:r>
      <w:r>
        <w:t>with</w:t>
      </w:r>
      <w:r>
        <w:rPr>
          <w:spacing w:val="-6"/>
        </w:rPr>
        <w:t xml:space="preserve"> </w:t>
      </w:r>
      <w:r>
        <w:t>the</w:t>
      </w:r>
      <w:r>
        <w:rPr>
          <w:spacing w:val="-5"/>
        </w:rPr>
        <w:t xml:space="preserve"> </w:t>
      </w:r>
      <w:r>
        <w:t>Unaccompanied Homeless</w:t>
      </w:r>
      <w:r>
        <w:rPr>
          <w:spacing w:val="-13"/>
        </w:rPr>
        <w:t xml:space="preserve"> </w:t>
      </w:r>
      <w:r>
        <w:t>Youth</w:t>
      </w:r>
      <w:r>
        <w:rPr>
          <w:spacing w:val="-12"/>
        </w:rPr>
        <w:t xml:space="preserve"> </w:t>
      </w:r>
      <w:r>
        <w:t>Commission</w:t>
      </w:r>
      <w:r>
        <w:rPr>
          <w:spacing w:val="-13"/>
        </w:rPr>
        <w:t xml:space="preserve"> </w:t>
      </w:r>
      <w:r>
        <w:t>to</w:t>
      </w:r>
      <w:r>
        <w:rPr>
          <w:spacing w:val="-12"/>
        </w:rPr>
        <w:t xml:space="preserve"> </w:t>
      </w:r>
      <w:r>
        <w:t>support</w:t>
      </w:r>
      <w:r>
        <w:rPr>
          <w:spacing w:val="-13"/>
        </w:rPr>
        <w:t xml:space="preserve"> </w:t>
      </w:r>
      <w:r>
        <w:t>the</w:t>
      </w:r>
      <w:r>
        <w:rPr>
          <w:spacing w:val="-12"/>
        </w:rPr>
        <w:t xml:space="preserve"> </w:t>
      </w:r>
      <w:r>
        <w:t>imple</w:t>
      </w:r>
      <w:r>
        <w:t>mentation</w:t>
      </w:r>
      <w:r>
        <w:rPr>
          <w:spacing w:val="-13"/>
        </w:rPr>
        <w:t xml:space="preserve"> </w:t>
      </w:r>
      <w:r>
        <w:t>of</w:t>
      </w:r>
      <w:r>
        <w:rPr>
          <w:spacing w:val="-12"/>
        </w:rPr>
        <w:t xml:space="preserve"> </w:t>
      </w:r>
      <w:r>
        <w:t>the</w:t>
      </w:r>
      <w:r>
        <w:rPr>
          <w:spacing w:val="-12"/>
        </w:rPr>
        <w:t xml:space="preserve"> </w:t>
      </w:r>
      <w:r>
        <w:t>Massachusetts</w:t>
      </w:r>
      <w:r>
        <w:rPr>
          <w:spacing w:val="-13"/>
        </w:rPr>
        <w:t xml:space="preserve"> </w:t>
      </w:r>
      <w:r>
        <w:t>State</w:t>
      </w:r>
      <w:r>
        <w:rPr>
          <w:spacing w:val="-12"/>
        </w:rPr>
        <w:t xml:space="preserve"> </w:t>
      </w:r>
      <w:r>
        <w:t>Plan</w:t>
      </w:r>
      <w:r>
        <w:rPr>
          <w:spacing w:val="-13"/>
        </w:rPr>
        <w:t xml:space="preserve"> </w:t>
      </w:r>
      <w:r>
        <w:t>to</w:t>
      </w:r>
      <w:r>
        <w:rPr>
          <w:spacing w:val="-12"/>
        </w:rPr>
        <w:t xml:space="preserve"> </w:t>
      </w:r>
      <w:r>
        <w:t>End</w:t>
      </w:r>
      <w:r>
        <w:rPr>
          <w:spacing w:val="-13"/>
        </w:rPr>
        <w:t xml:space="preserve"> </w:t>
      </w:r>
      <w:r>
        <w:t>Youth Homelessness</w:t>
      </w:r>
      <w:hyperlink w:anchor="_bookmark214" w:history="1">
        <w:r>
          <w:t>.</w:t>
        </w:r>
        <w:r>
          <w:rPr>
            <w:vertAlign w:val="superscript"/>
          </w:rPr>
          <w:t>52</w:t>
        </w:r>
      </w:hyperlink>
      <w:r>
        <w:t xml:space="preserve"> This plan envisions a system “in which every community in the Commonwealth has coordinated, developmentally</w:t>
      </w:r>
      <w:r>
        <w:rPr>
          <w:spacing w:val="-2"/>
        </w:rPr>
        <w:t xml:space="preserve"> </w:t>
      </w:r>
      <w:r>
        <w:t>appropriate,</w:t>
      </w:r>
      <w:r>
        <w:rPr>
          <w:spacing w:val="-1"/>
        </w:rPr>
        <w:t xml:space="preserve"> </w:t>
      </w:r>
      <w:r>
        <w:t>and trauma-informed resources that</w:t>
      </w:r>
      <w:r>
        <w:rPr>
          <w:spacing w:val="-3"/>
        </w:rPr>
        <w:t xml:space="preserve"> </w:t>
      </w:r>
      <w:r>
        <w:t>are effective,</w:t>
      </w:r>
      <w:r>
        <w:rPr>
          <w:spacing w:val="-1"/>
        </w:rPr>
        <w:t xml:space="preserve"> </w:t>
      </w:r>
      <w:r>
        <w:t>regionally accessible, and reliably funded.”</w:t>
      </w:r>
      <w:hyperlink w:anchor="_bookmark215" w:history="1">
        <w:r>
          <w:rPr>
            <w:vertAlign w:val="superscript"/>
          </w:rPr>
          <w:t>53</w:t>
        </w:r>
      </w:hyperlink>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spacing w:before="5"/>
        <w:rPr>
          <w:sz w:val="16"/>
        </w:rPr>
      </w:pPr>
    </w:p>
    <w:p w:rsidR="00C76E6D" w:rsidRDefault="00913831">
      <w:pPr>
        <w:pStyle w:val="Heading6"/>
        <w:numPr>
          <w:ilvl w:val="0"/>
          <w:numId w:val="40"/>
        </w:numPr>
        <w:tabs>
          <w:tab w:val="left" w:pos="479"/>
        </w:tabs>
        <w:ind w:hanging="361"/>
        <w:jc w:val="left"/>
      </w:pPr>
      <w:bookmarkStart w:id="268" w:name="1._Factors_Resulting_in_Housing_Instabil"/>
      <w:bookmarkEnd w:id="268"/>
      <w:r>
        <w:rPr>
          <w:w w:val="95"/>
        </w:rPr>
        <w:t>Factors</w:t>
      </w:r>
      <w:r>
        <w:rPr>
          <w:spacing w:val="11"/>
        </w:rPr>
        <w:t xml:space="preserve"> </w:t>
      </w:r>
      <w:r>
        <w:rPr>
          <w:w w:val="95"/>
        </w:rPr>
        <w:t>Resulting</w:t>
      </w:r>
      <w:r>
        <w:rPr>
          <w:spacing w:val="13"/>
        </w:rPr>
        <w:t xml:space="preserve"> </w:t>
      </w:r>
      <w:r>
        <w:rPr>
          <w:w w:val="95"/>
        </w:rPr>
        <w:t>in</w:t>
      </w:r>
      <w:r>
        <w:rPr>
          <w:spacing w:val="17"/>
        </w:rPr>
        <w:t xml:space="preserve"> </w:t>
      </w:r>
      <w:r>
        <w:rPr>
          <w:w w:val="95"/>
        </w:rPr>
        <w:t>Housing</w:t>
      </w:r>
      <w:r>
        <w:rPr>
          <w:spacing w:val="11"/>
        </w:rPr>
        <w:t xml:space="preserve"> </w:t>
      </w:r>
      <w:r>
        <w:rPr>
          <w:spacing w:val="-2"/>
          <w:w w:val="95"/>
        </w:rPr>
        <w:t>Instability</w:t>
      </w:r>
    </w:p>
    <w:p w:rsidR="00C76E6D" w:rsidRDefault="00C76E6D">
      <w:pPr>
        <w:pStyle w:val="BodyText"/>
        <w:spacing w:before="10"/>
        <w:rPr>
          <w:b/>
          <w:sz w:val="28"/>
        </w:rPr>
      </w:pPr>
    </w:p>
    <w:p w:rsidR="00C76E6D" w:rsidRDefault="00913831">
      <w:pPr>
        <w:pStyle w:val="BodyText"/>
        <w:spacing w:line="276" w:lineRule="auto"/>
        <w:ind w:left="478" w:right="472"/>
        <w:jc w:val="both"/>
      </w:pPr>
      <w:r>
        <w:t>Homelessness</w:t>
      </w:r>
      <w:r>
        <w:rPr>
          <w:spacing w:val="-10"/>
        </w:rPr>
        <w:t xml:space="preserve"> </w:t>
      </w:r>
      <w:r>
        <w:t>is</w:t>
      </w:r>
      <w:r>
        <w:rPr>
          <w:spacing w:val="-10"/>
        </w:rPr>
        <w:t xml:space="preserve"> </w:t>
      </w:r>
      <w:r>
        <w:t>a</w:t>
      </w:r>
      <w:r>
        <w:rPr>
          <w:spacing w:val="-9"/>
        </w:rPr>
        <w:t xml:space="preserve"> </w:t>
      </w:r>
      <w:r>
        <w:t>complex</w:t>
      </w:r>
      <w:r>
        <w:rPr>
          <w:spacing w:val="-9"/>
        </w:rPr>
        <w:t xml:space="preserve"> </w:t>
      </w:r>
      <w:r>
        <w:t>and</w:t>
      </w:r>
      <w:r>
        <w:rPr>
          <w:spacing w:val="-9"/>
        </w:rPr>
        <w:t xml:space="preserve"> </w:t>
      </w:r>
      <w:r>
        <w:t>multi-layered</w:t>
      </w:r>
      <w:r>
        <w:rPr>
          <w:spacing w:val="-10"/>
        </w:rPr>
        <w:t xml:space="preserve"> </w:t>
      </w:r>
      <w:r>
        <w:t>issue</w:t>
      </w:r>
      <w:r>
        <w:rPr>
          <w:spacing w:val="-10"/>
        </w:rPr>
        <w:t xml:space="preserve"> </w:t>
      </w:r>
      <w:r>
        <w:t>in</w:t>
      </w:r>
      <w:r>
        <w:rPr>
          <w:spacing w:val="-9"/>
        </w:rPr>
        <w:t xml:space="preserve"> </w:t>
      </w:r>
      <w:r>
        <w:t>the</w:t>
      </w:r>
      <w:r>
        <w:rPr>
          <w:spacing w:val="-10"/>
        </w:rPr>
        <w:t xml:space="preserve"> </w:t>
      </w:r>
      <w:r>
        <w:t>United</w:t>
      </w:r>
      <w:r>
        <w:rPr>
          <w:spacing w:val="-10"/>
        </w:rPr>
        <w:t xml:space="preserve"> </w:t>
      </w:r>
      <w:r>
        <w:t>State</w:t>
      </w:r>
      <w:r>
        <w:t>s,</w:t>
      </w:r>
      <w:r>
        <w:rPr>
          <w:spacing w:val="-10"/>
        </w:rPr>
        <w:t xml:space="preserve"> </w:t>
      </w:r>
      <w:r>
        <w:t>correlated</w:t>
      </w:r>
      <w:r>
        <w:rPr>
          <w:spacing w:val="-10"/>
        </w:rPr>
        <w:t xml:space="preserve"> </w:t>
      </w:r>
      <w:r>
        <w:t>with</w:t>
      </w:r>
      <w:r>
        <w:rPr>
          <w:spacing w:val="-9"/>
        </w:rPr>
        <w:t xml:space="preserve"> </w:t>
      </w:r>
      <w:r>
        <w:t>poverty,</w:t>
      </w:r>
      <w:r>
        <w:rPr>
          <w:spacing w:val="-10"/>
        </w:rPr>
        <w:t xml:space="preserve"> </w:t>
      </w:r>
      <w:r>
        <w:t>systemic racism, substance use, and mental health that intersects with individuals who have experienced institutionalization including foster care, instances of sexual abuse, discrimination and stigma, and unsupportive</w:t>
      </w:r>
      <w:r>
        <w:rPr>
          <w:spacing w:val="-5"/>
        </w:rPr>
        <w:t xml:space="preserve"> </w:t>
      </w:r>
      <w:r>
        <w:t>and</w:t>
      </w:r>
      <w:r>
        <w:rPr>
          <w:spacing w:val="-2"/>
        </w:rPr>
        <w:t xml:space="preserve"> </w:t>
      </w:r>
      <w:r>
        <w:t>rejec</w:t>
      </w:r>
      <w:r>
        <w:t>ting</w:t>
      </w:r>
      <w:r>
        <w:rPr>
          <w:spacing w:val="-2"/>
        </w:rPr>
        <w:t xml:space="preserve"> </w:t>
      </w:r>
      <w:r>
        <w:t>families</w:t>
      </w:r>
      <w:hyperlink w:anchor="_bookmark216" w:history="1">
        <w:r>
          <w:t>.</w:t>
        </w:r>
        <w:r>
          <w:rPr>
            <w:vertAlign w:val="superscript"/>
          </w:rPr>
          <w:t>54</w:t>
        </w:r>
        <w:r>
          <w:rPr>
            <w:spacing w:val="-7"/>
          </w:rPr>
          <w:t xml:space="preserve"> </w:t>
        </w:r>
      </w:hyperlink>
      <w:r>
        <w:t>LGBTQ</w:t>
      </w:r>
      <w:r>
        <w:rPr>
          <w:spacing w:val="-2"/>
        </w:rPr>
        <w:t xml:space="preserve"> </w:t>
      </w:r>
      <w:r>
        <w:t>YYA</w:t>
      </w:r>
      <w:r>
        <w:rPr>
          <w:spacing w:val="-2"/>
        </w:rPr>
        <w:t xml:space="preserve"> </w:t>
      </w:r>
      <w:r>
        <w:t>often</w:t>
      </w:r>
      <w:r>
        <w:rPr>
          <w:spacing w:val="-3"/>
        </w:rPr>
        <w:t xml:space="preserve"> </w:t>
      </w:r>
      <w:r>
        <w:t>are</w:t>
      </w:r>
      <w:r>
        <w:rPr>
          <w:spacing w:val="-2"/>
        </w:rPr>
        <w:t xml:space="preserve"> </w:t>
      </w:r>
      <w:r>
        <w:t>situated</w:t>
      </w:r>
      <w:r>
        <w:rPr>
          <w:spacing w:val="-2"/>
        </w:rPr>
        <w:t xml:space="preserve"> </w:t>
      </w:r>
      <w:r>
        <w:t>at</w:t>
      </w:r>
      <w:r>
        <w:rPr>
          <w:spacing w:val="-2"/>
        </w:rPr>
        <w:t xml:space="preserve"> </w:t>
      </w:r>
      <w:r>
        <w:t>the</w:t>
      </w:r>
      <w:r>
        <w:rPr>
          <w:spacing w:val="-2"/>
        </w:rPr>
        <w:t xml:space="preserve"> </w:t>
      </w:r>
      <w:r>
        <w:t>intersection</w:t>
      </w:r>
      <w:r>
        <w:rPr>
          <w:spacing w:val="-2"/>
        </w:rPr>
        <w:t xml:space="preserve"> </w:t>
      </w:r>
      <w:r>
        <w:t>of</w:t>
      </w:r>
      <w:r>
        <w:rPr>
          <w:spacing w:val="-2"/>
        </w:rPr>
        <w:t xml:space="preserve"> </w:t>
      </w:r>
      <w:r>
        <w:t>discrimination, poverty,</w:t>
      </w:r>
      <w:r>
        <w:rPr>
          <w:spacing w:val="-6"/>
        </w:rPr>
        <w:t xml:space="preserve"> </w:t>
      </w:r>
      <w:r>
        <w:t>and</w:t>
      </w:r>
      <w:r>
        <w:rPr>
          <w:spacing w:val="-4"/>
        </w:rPr>
        <w:t xml:space="preserve"> </w:t>
      </w:r>
      <w:r>
        <w:t>racism</w:t>
      </w:r>
      <w:r>
        <w:rPr>
          <w:spacing w:val="-7"/>
        </w:rPr>
        <w:t xml:space="preserve"> </w:t>
      </w:r>
      <w:r>
        <w:t>that</w:t>
      </w:r>
      <w:r>
        <w:rPr>
          <w:spacing w:val="-7"/>
        </w:rPr>
        <w:t xml:space="preserve"> </w:t>
      </w:r>
      <w:r>
        <w:t>results</w:t>
      </w:r>
      <w:r>
        <w:rPr>
          <w:spacing w:val="-6"/>
        </w:rPr>
        <w:t xml:space="preserve"> </w:t>
      </w:r>
      <w:r>
        <w:t>in</w:t>
      </w:r>
      <w:r>
        <w:rPr>
          <w:spacing w:val="-7"/>
        </w:rPr>
        <w:t xml:space="preserve"> </w:t>
      </w:r>
      <w:r>
        <w:t>an</w:t>
      </w:r>
      <w:r>
        <w:rPr>
          <w:spacing w:val="-7"/>
        </w:rPr>
        <w:t xml:space="preserve"> </w:t>
      </w:r>
      <w:r>
        <w:t>increased</w:t>
      </w:r>
      <w:r>
        <w:rPr>
          <w:spacing w:val="-7"/>
        </w:rPr>
        <w:t xml:space="preserve"> </w:t>
      </w:r>
      <w:r>
        <w:t>risk</w:t>
      </w:r>
      <w:r>
        <w:rPr>
          <w:spacing w:val="-7"/>
        </w:rPr>
        <w:t xml:space="preserve"> </w:t>
      </w:r>
      <w:r>
        <w:t>of</w:t>
      </w:r>
      <w:r>
        <w:rPr>
          <w:spacing w:val="-6"/>
        </w:rPr>
        <w:t xml:space="preserve"> </w:t>
      </w:r>
      <w:r>
        <w:t>housing</w:t>
      </w:r>
      <w:r>
        <w:rPr>
          <w:spacing w:val="-7"/>
        </w:rPr>
        <w:t xml:space="preserve"> </w:t>
      </w:r>
      <w:r>
        <w:t>instability</w:t>
      </w:r>
      <w:r>
        <w:rPr>
          <w:spacing w:val="-6"/>
        </w:rPr>
        <w:t xml:space="preserve"> </w:t>
      </w:r>
      <w:r>
        <w:t>and</w:t>
      </w:r>
      <w:r>
        <w:rPr>
          <w:spacing w:val="-6"/>
        </w:rPr>
        <w:t xml:space="preserve"> </w:t>
      </w:r>
      <w:r>
        <w:t>homelessness.</w:t>
      </w:r>
      <w:r>
        <w:rPr>
          <w:spacing w:val="-5"/>
        </w:rPr>
        <w:t xml:space="preserve"> </w:t>
      </w:r>
      <w:r>
        <w:t>According</w:t>
      </w:r>
      <w:r>
        <w:rPr>
          <w:spacing w:val="-7"/>
        </w:rPr>
        <w:t xml:space="preserve"> </w:t>
      </w:r>
      <w:r>
        <w:t>to one (non-Massachusetts based) study, the top reasons LGBTQ YYA cite for their experience of homelessness are familial rejection, abandonment, or abuse, mistreatment at school, and aging out of foster care</w:t>
      </w:r>
      <w:hyperlink w:anchor="_bookmark217" w:history="1">
        <w:r>
          <w:t>.</w:t>
        </w:r>
        <w:r>
          <w:rPr>
            <w:vertAlign w:val="superscript"/>
          </w:rPr>
          <w:t>55</w:t>
        </w:r>
      </w:hyperlink>
      <w:r>
        <w:t xml:space="preserve"> According to </w:t>
      </w:r>
      <w:r>
        <w:t>the 2019 Massachusetts Youth Count, the top reasons for all local unaccompanied homeless youth (LGBTQ and non-LGBTQ) not living with a parent or guardian were: (a) fighting</w:t>
      </w:r>
      <w:r>
        <w:rPr>
          <w:spacing w:val="-1"/>
        </w:rPr>
        <w:t xml:space="preserve"> </w:t>
      </w:r>
      <w:r>
        <w:t>with their parent or</w:t>
      </w:r>
      <w:r>
        <w:rPr>
          <w:spacing w:val="-1"/>
        </w:rPr>
        <w:t xml:space="preserve"> </w:t>
      </w:r>
      <w:r>
        <w:t>guardian (33%);</w:t>
      </w:r>
      <w:r>
        <w:rPr>
          <w:spacing w:val="-1"/>
        </w:rPr>
        <w:t xml:space="preserve"> </w:t>
      </w:r>
      <w:r>
        <w:t>(b) being</w:t>
      </w:r>
      <w:r>
        <w:rPr>
          <w:spacing w:val="-1"/>
        </w:rPr>
        <w:t xml:space="preserve"> </w:t>
      </w:r>
      <w:r>
        <w:t>told</w:t>
      </w:r>
      <w:r>
        <w:rPr>
          <w:spacing w:val="-1"/>
        </w:rPr>
        <w:t xml:space="preserve"> </w:t>
      </w:r>
      <w:r>
        <w:t>to leave</w:t>
      </w:r>
      <w:r>
        <w:rPr>
          <w:spacing w:val="-1"/>
        </w:rPr>
        <w:t xml:space="preserve"> </w:t>
      </w:r>
      <w:r>
        <w:t>by their parent</w:t>
      </w:r>
      <w:r>
        <w:rPr>
          <w:spacing w:val="-1"/>
        </w:rPr>
        <w:t xml:space="preserve"> </w:t>
      </w:r>
      <w:r>
        <w:t>or</w:t>
      </w:r>
      <w:r>
        <w:rPr>
          <w:spacing w:val="-1"/>
        </w:rPr>
        <w:t xml:space="preserve"> </w:t>
      </w:r>
      <w:r>
        <w:t>gua</w:t>
      </w:r>
      <w:r>
        <w:t>rdian</w:t>
      </w:r>
      <w:r>
        <w:rPr>
          <w:spacing w:val="-1"/>
        </w:rPr>
        <w:t xml:space="preserve"> </w:t>
      </w:r>
      <w:r>
        <w:t>(30%); (c) choosing to leave on their own (26%); and (d) being abused or neglected by their parent or guardian (17%)</w:t>
      </w:r>
      <w:hyperlink w:anchor="_bookmark218" w:history="1">
        <w:r>
          <w:t>.</w:t>
        </w:r>
        <w:r>
          <w:rPr>
            <w:vertAlign w:val="superscript"/>
          </w:rPr>
          <w:t>56</w:t>
        </w:r>
        <w:r>
          <w:t xml:space="preserve"> </w:t>
        </w:r>
      </w:hyperlink>
      <w:r>
        <w:t>Unaccompanied homeless youth identified as LGBTQ were more likely than other non-LGBTQ respondents</w:t>
      </w:r>
      <w:r>
        <w:t xml:space="preserve"> to</w:t>
      </w:r>
      <w:r>
        <w:rPr>
          <w:spacing w:val="-2"/>
        </w:rPr>
        <w:t xml:space="preserve"> </w:t>
      </w:r>
      <w:r>
        <w:t>report</w:t>
      </w:r>
      <w:r>
        <w:rPr>
          <w:spacing w:val="-2"/>
        </w:rPr>
        <w:t xml:space="preserve"> </w:t>
      </w:r>
      <w:r>
        <w:t>abuse</w:t>
      </w:r>
      <w:r>
        <w:rPr>
          <w:spacing w:val="-3"/>
        </w:rPr>
        <w:t xml:space="preserve"> </w:t>
      </w:r>
      <w:r>
        <w:t>and</w:t>
      </w:r>
      <w:r>
        <w:rPr>
          <w:spacing w:val="-2"/>
        </w:rPr>
        <w:t xml:space="preserve"> </w:t>
      </w:r>
      <w:r>
        <w:t>neglect,</w:t>
      </w:r>
      <w:r>
        <w:rPr>
          <w:spacing w:val="-3"/>
        </w:rPr>
        <w:t xml:space="preserve"> </w:t>
      </w:r>
      <w:r>
        <w:t>parental</w:t>
      </w:r>
      <w:r>
        <w:rPr>
          <w:spacing w:val="-3"/>
        </w:rPr>
        <w:t xml:space="preserve"> </w:t>
      </w:r>
      <w:r>
        <w:t>substance</w:t>
      </w:r>
      <w:r>
        <w:rPr>
          <w:spacing w:val="-1"/>
        </w:rPr>
        <w:t xml:space="preserve"> </w:t>
      </w:r>
      <w:r>
        <w:t>use, engagement</w:t>
      </w:r>
      <w:r>
        <w:rPr>
          <w:spacing w:val="-4"/>
        </w:rPr>
        <w:t xml:space="preserve"> </w:t>
      </w:r>
      <w:r>
        <w:t>in</w:t>
      </w:r>
      <w:r>
        <w:rPr>
          <w:spacing w:val="-3"/>
        </w:rPr>
        <w:t xml:space="preserve"> </w:t>
      </w:r>
      <w:r>
        <w:t>the</w:t>
      </w:r>
      <w:r>
        <w:rPr>
          <w:spacing w:val="-2"/>
        </w:rPr>
        <w:t xml:space="preserve"> </w:t>
      </w:r>
      <w:r>
        <w:t>foster</w:t>
      </w:r>
      <w:r>
        <w:rPr>
          <w:spacing w:val="-2"/>
        </w:rPr>
        <w:t xml:space="preserve"> </w:t>
      </w:r>
      <w:r>
        <w:t>care</w:t>
      </w:r>
      <w:r>
        <w:rPr>
          <w:spacing w:val="-3"/>
        </w:rPr>
        <w:t xml:space="preserve"> </w:t>
      </w:r>
      <w:r>
        <w:t>system, and personal drug use as reasons for not living with their parent or guardian</w:t>
      </w:r>
      <w:hyperlink w:anchor="_bookmark219" w:history="1">
        <w:r>
          <w:t>.</w:t>
        </w:r>
        <w:r>
          <w:rPr>
            <w:vertAlign w:val="superscript"/>
          </w:rPr>
          <w:t>57</w:t>
        </w:r>
      </w:hyperlink>
      <w:r>
        <w:t xml:space="preserve"> It is essential to acknowledge the resilience and courage shown by the 26% of youth who choose to leave their homes. Research indicates that many LGBTQ YYA choose to leave their homes and become homeless for their well-being and safety, as remaining in th</w:t>
      </w:r>
      <w:r>
        <w:t>eir home or assigned placement may have led to even worse outcomes for their physical or mental health</w:t>
      </w:r>
      <w:hyperlink w:anchor="_bookmark220" w:history="1">
        <w:r>
          <w:t>.</w:t>
        </w:r>
        <w:r>
          <w:rPr>
            <w:vertAlign w:val="superscript"/>
          </w:rPr>
          <w:t>58</w:t>
        </w:r>
      </w:hyperlink>
    </w:p>
    <w:p w:rsidR="00C76E6D" w:rsidRDefault="00C76E6D">
      <w:pPr>
        <w:pStyle w:val="BodyText"/>
        <w:rPr>
          <w:sz w:val="26"/>
        </w:rPr>
      </w:pPr>
    </w:p>
    <w:p w:rsidR="00C76E6D" w:rsidRDefault="00913831">
      <w:pPr>
        <w:pStyle w:val="BodyText"/>
        <w:spacing w:line="276" w:lineRule="auto"/>
        <w:ind w:left="478" w:right="474"/>
        <w:jc w:val="both"/>
      </w:pPr>
      <w:r>
        <w:t>Research consistently shows that the leading cause of homelessness among LGBTQ YYA is familial rejection or abandonme</w:t>
      </w:r>
      <w:r>
        <w:t>nt. A literature review indicates that between 8% and 33% of LGBTQ YYA left home due to parental disapproval of their sexuality</w:t>
      </w:r>
      <w:hyperlink w:anchor="_bookmark221" w:history="1">
        <w:r>
          <w:t>.</w:t>
        </w:r>
        <w:r>
          <w:rPr>
            <w:vertAlign w:val="superscript"/>
          </w:rPr>
          <w:t>59</w:t>
        </w:r>
        <w:r>
          <w:rPr>
            <w:spacing w:val="-1"/>
          </w:rPr>
          <w:t xml:space="preserve"> </w:t>
        </w:r>
      </w:hyperlink>
      <w:r>
        <w:t>Other studies have reported that about one-third of LGBTQ YYA that “come out” to their family</w:t>
      </w:r>
      <w:r>
        <w:t xml:space="preserve"> are rejected</w:t>
      </w:r>
      <w:hyperlink w:anchor="_bookmark222" w:history="1">
        <w:r>
          <w:t>.</w:t>
        </w:r>
        <w:r>
          <w:rPr>
            <w:vertAlign w:val="superscript"/>
          </w:rPr>
          <w:t>60</w:t>
        </w:r>
        <w:r>
          <w:rPr>
            <w:spacing w:val="-2"/>
          </w:rPr>
          <w:t xml:space="preserve"> </w:t>
        </w:r>
      </w:hyperlink>
      <w:r>
        <w:t>While familial rejection is often referred to as the top reason for leaving home or being expelled from home, this is of</w:t>
      </w:r>
      <w:r>
        <w:rPr>
          <w:spacing w:val="33"/>
        </w:rPr>
        <w:t xml:space="preserve"> </w:t>
      </w:r>
      <w:r>
        <w:t>particular importance when considering transgender and</w:t>
      </w:r>
      <w:r>
        <w:rPr>
          <w:spacing w:val="40"/>
        </w:rPr>
        <w:t xml:space="preserve"> </w:t>
      </w:r>
      <w:r>
        <w:t>gender expansive</w:t>
      </w:r>
      <w:r>
        <w:rPr>
          <w:spacing w:val="-1"/>
        </w:rPr>
        <w:t xml:space="preserve"> </w:t>
      </w:r>
      <w:r>
        <w:t>youth in compa</w:t>
      </w:r>
      <w:r>
        <w:t>rison</w:t>
      </w:r>
      <w:r>
        <w:rPr>
          <w:spacing w:val="-1"/>
        </w:rPr>
        <w:t xml:space="preserve"> </w:t>
      </w:r>
      <w:r>
        <w:t>to LGB</w:t>
      </w:r>
      <w:r>
        <w:rPr>
          <w:spacing w:val="-2"/>
        </w:rPr>
        <w:t xml:space="preserve"> </w:t>
      </w:r>
      <w:r>
        <w:t>youth.</w:t>
      </w:r>
      <w:hyperlink w:anchor="_bookmark223" w:history="1">
        <w:r>
          <w:rPr>
            <w:vertAlign w:val="superscript"/>
          </w:rPr>
          <w:t>61</w:t>
        </w:r>
        <w:r>
          <w:rPr>
            <w:spacing w:val="-3"/>
          </w:rPr>
          <w:t xml:space="preserve"> </w:t>
        </w:r>
      </w:hyperlink>
      <w:r>
        <w:t>Approximately</w:t>
      </w:r>
      <w:r>
        <w:rPr>
          <w:spacing w:val="-2"/>
        </w:rPr>
        <w:t xml:space="preserve"> </w:t>
      </w:r>
      <w:r>
        <w:t>90% of transgender youth experiencing homelessness report being rejected by their family, and 62% of homeless LGB YYA report being bullied and rejected at home compared to 30% of non-LGB y</w:t>
      </w:r>
      <w:r>
        <w:t>outh</w:t>
      </w:r>
      <w:hyperlink w:anchor="_bookmark224" w:history="1">
        <w:r>
          <w:t>.</w:t>
        </w:r>
        <w:r>
          <w:rPr>
            <w:vertAlign w:val="superscript"/>
          </w:rPr>
          <w:t>62</w:t>
        </w:r>
        <w:r>
          <w:t xml:space="preserve"> </w:t>
        </w:r>
      </w:hyperlink>
      <w:r>
        <w:t>Of these</w:t>
      </w:r>
      <w:r>
        <w:rPr>
          <w:spacing w:val="-1"/>
        </w:rPr>
        <w:t xml:space="preserve"> </w:t>
      </w:r>
      <w:r>
        <w:t>homeless youth,</w:t>
      </w:r>
      <w:r>
        <w:rPr>
          <w:spacing w:val="-1"/>
        </w:rPr>
        <w:t xml:space="preserve"> </w:t>
      </w:r>
      <w:r>
        <w:t>43%</w:t>
      </w:r>
      <w:r>
        <w:rPr>
          <w:spacing w:val="-2"/>
        </w:rPr>
        <w:t xml:space="preserve"> </w:t>
      </w:r>
      <w:r>
        <w:t>report being</w:t>
      </w:r>
      <w:r>
        <w:rPr>
          <w:spacing w:val="-2"/>
        </w:rPr>
        <w:t xml:space="preserve"> </w:t>
      </w:r>
      <w:r>
        <w:t>forced</w:t>
      </w:r>
      <w:r>
        <w:rPr>
          <w:spacing w:val="-1"/>
        </w:rPr>
        <w:t xml:space="preserve"> </w:t>
      </w:r>
      <w:r>
        <w:t>out of</w:t>
      </w:r>
      <w:r>
        <w:rPr>
          <w:spacing w:val="-2"/>
        </w:rPr>
        <w:t xml:space="preserve"> </w:t>
      </w:r>
      <w:r>
        <w:t>home</w:t>
      </w:r>
      <w:r>
        <w:rPr>
          <w:spacing w:val="-1"/>
        </w:rPr>
        <w:t xml:space="preserve"> </w:t>
      </w:r>
      <w:r>
        <w:t>by their</w:t>
      </w:r>
      <w:r>
        <w:rPr>
          <w:spacing w:val="-1"/>
        </w:rPr>
        <w:t xml:space="preserve"> </w:t>
      </w:r>
      <w:r>
        <w:t>family despite</w:t>
      </w:r>
      <w:r>
        <w:rPr>
          <w:spacing w:val="-1"/>
        </w:rPr>
        <w:t xml:space="preserve"> </w:t>
      </w:r>
      <w:r>
        <w:t>wanting</w:t>
      </w:r>
      <w:r>
        <w:rPr>
          <w:spacing w:val="-1"/>
        </w:rPr>
        <w:t xml:space="preserve"> </w:t>
      </w:r>
      <w:r>
        <w:t>to remain</w:t>
      </w:r>
      <w:hyperlink w:anchor="_bookmark225" w:history="1">
        <w:r>
          <w:t>.</w:t>
        </w:r>
        <w:r>
          <w:rPr>
            <w:vertAlign w:val="superscript"/>
          </w:rPr>
          <w:t>63</w:t>
        </w:r>
      </w:hyperlink>
      <w:r>
        <w:t xml:space="preserve"> Further, approximately 10% of transgender youth are leaving home before the age of 15</w:t>
      </w:r>
      <w:hyperlink w:anchor="_bookmark226" w:history="1">
        <w:r>
          <w:t>.</w:t>
        </w:r>
        <w:r>
          <w:rPr>
            <w:vertAlign w:val="superscript"/>
          </w:rPr>
          <w:t>64</w:t>
        </w:r>
        <w:r>
          <w:rPr>
            <w:spacing w:val="-3"/>
          </w:rPr>
          <w:t xml:space="preserve"> </w:t>
        </w:r>
      </w:hyperlink>
      <w:r>
        <w:t>Many LGBTQ YYA who experience homelessness do not “come out” until after they have left home, indicating that running away might be on</w:t>
      </w:r>
      <w:r>
        <w:t>e way of coping with the stress of processing their sexual and gender identities</w:t>
      </w:r>
      <w:hyperlink w:anchor="_bookmark227" w:history="1">
        <w:r>
          <w:t>.</w:t>
        </w:r>
        <w:r>
          <w:rPr>
            <w:vertAlign w:val="superscript"/>
          </w:rPr>
          <w:t>65</w:t>
        </w:r>
      </w:hyperlink>
      <w:r>
        <w:t xml:space="preserve"> At a developmental age in which young people need parental and peer support, fear of rejection, shaming, and abuse may play a contributing r</w:t>
      </w:r>
      <w:r>
        <w:t xml:space="preserve">ole in an LGBTQ YYA person’s decision to leave </w:t>
      </w:r>
      <w:r>
        <w:rPr>
          <w:spacing w:val="-2"/>
        </w:rPr>
        <w:t>home.</w:t>
      </w:r>
    </w:p>
    <w:p w:rsidR="00C76E6D" w:rsidRDefault="00C76E6D">
      <w:pPr>
        <w:pStyle w:val="BodyText"/>
        <w:spacing w:before="6"/>
        <w:rPr>
          <w:sz w:val="26"/>
        </w:rPr>
      </w:pPr>
    </w:p>
    <w:p w:rsidR="00C76E6D" w:rsidRDefault="00913831">
      <w:pPr>
        <w:pStyle w:val="BodyText"/>
        <w:spacing w:line="276" w:lineRule="auto"/>
        <w:ind w:left="480" w:right="476"/>
        <w:jc w:val="both"/>
      </w:pPr>
      <w:r>
        <w:t>Many of the reasons LGBTQ YYA face this rejection relate to moral/religious values that stigmatize their identities as deviant and immoral. Families may also fear that identifying as LGBTQ might cause t</w:t>
      </w:r>
      <w:r>
        <w:t>heir children undue hardship throughout their lives or may feel that they are “losing” the child they knew before their coming out. Some families may hope that their rejection can somehow sway their LGBTQ children</w:t>
      </w:r>
      <w:r>
        <w:rPr>
          <w:spacing w:val="24"/>
        </w:rPr>
        <w:t xml:space="preserve"> </w:t>
      </w:r>
      <w:r>
        <w:t>or</w:t>
      </w:r>
      <w:r>
        <w:rPr>
          <w:spacing w:val="23"/>
        </w:rPr>
        <w:t xml:space="preserve"> </w:t>
      </w:r>
      <w:r>
        <w:t>loved</w:t>
      </w:r>
      <w:r>
        <w:rPr>
          <w:spacing w:val="23"/>
        </w:rPr>
        <w:t xml:space="preserve"> </w:t>
      </w:r>
      <w:r>
        <w:t>ones</w:t>
      </w:r>
      <w:r>
        <w:rPr>
          <w:spacing w:val="24"/>
        </w:rPr>
        <w:t xml:space="preserve"> </w:t>
      </w:r>
      <w:r>
        <w:t>to</w:t>
      </w:r>
      <w:r>
        <w:rPr>
          <w:spacing w:val="25"/>
        </w:rPr>
        <w:t xml:space="preserve"> </w:t>
      </w:r>
      <w:r>
        <w:t>reconsider</w:t>
      </w:r>
      <w:r>
        <w:rPr>
          <w:spacing w:val="25"/>
        </w:rPr>
        <w:t xml:space="preserve"> </w:t>
      </w:r>
      <w:r>
        <w:t>their</w:t>
      </w:r>
      <w:r>
        <w:rPr>
          <w:spacing w:val="23"/>
        </w:rPr>
        <w:t xml:space="preserve"> </w:t>
      </w:r>
      <w:r>
        <w:t>“choice.</w:t>
      </w:r>
      <w:r>
        <w:t>”</w:t>
      </w:r>
      <w:hyperlink w:anchor="_bookmark228" w:history="1">
        <w:r>
          <w:rPr>
            <w:vertAlign w:val="superscript"/>
          </w:rPr>
          <w:t>66</w:t>
        </w:r>
        <w:r>
          <w:rPr>
            <w:spacing w:val="-5"/>
          </w:rPr>
          <w:t xml:space="preserve"> </w:t>
        </w:r>
      </w:hyperlink>
      <w:r>
        <w:t>Unfortunately,</w:t>
      </w:r>
      <w:r>
        <w:rPr>
          <w:spacing w:val="23"/>
        </w:rPr>
        <w:t xml:space="preserve"> </w:t>
      </w:r>
      <w:r>
        <w:t>while</w:t>
      </w:r>
      <w:r>
        <w:rPr>
          <w:spacing w:val="25"/>
        </w:rPr>
        <w:t xml:space="preserve"> </w:t>
      </w:r>
      <w:r>
        <w:t>conflict</w:t>
      </w:r>
      <w:r>
        <w:rPr>
          <w:spacing w:val="23"/>
        </w:rPr>
        <w:t xml:space="preserve"> </w:t>
      </w:r>
      <w:r>
        <w:t>within</w:t>
      </w:r>
      <w:r>
        <w:rPr>
          <w:spacing w:val="24"/>
        </w:rPr>
        <w:t xml:space="preserve"> </w:t>
      </w:r>
      <w:r>
        <w:t>families</w:t>
      </w:r>
      <w:r>
        <w:rPr>
          <w:spacing w:val="24"/>
        </w:rPr>
        <w:t xml:space="preserve"> </w:t>
      </w:r>
      <w:r>
        <w:t>is</w:t>
      </w:r>
      <w:r>
        <w:rPr>
          <w:spacing w:val="25"/>
        </w:rPr>
        <w:t xml:space="preserve"> </w:t>
      </w:r>
      <w:r>
        <w:t>a</w:t>
      </w:r>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913831">
      <w:pPr>
        <w:pStyle w:val="BodyText"/>
        <w:spacing w:before="200" w:line="276" w:lineRule="auto"/>
        <w:ind w:left="478" w:right="476"/>
        <w:jc w:val="both"/>
      </w:pPr>
      <w:r>
        <w:t>primary</w:t>
      </w:r>
      <w:r>
        <w:rPr>
          <w:spacing w:val="-7"/>
        </w:rPr>
        <w:t xml:space="preserve"> </w:t>
      </w:r>
      <w:r>
        <w:t>reason</w:t>
      </w:r>
      <w:r>
        <w:rPr>
          <w:spacing w:val="-8"/>
        </w:rPr>
        <w:t xml:space="preserve"> </w:t>
      </w:r>
      <w:r>
        <w:t>for</w:t>
      </w:r>
      <w:r>
        <w:rPr>
          <w:spacing w:val="-6"/>
        </w:rPr>
        <w:t xml:space="preserve"> </w:t>
      </w:r>
      <w:r>
        <w:t>homelessness</w:t>
      </w:r>
      <w:r>
        <w:rPr>
          <w:spacing w:val="-6"/>
        </w:rPr>
        <w:t xml:space="preserve"> </w:t>
      </w:r>
      <w:r>
        <w:t>among</w:t>
      </w:r>
      <w:r>
        <w:rPr>
          <w:spacing w:val="-8"/>
        </w:rPr>
        <w:t xml:space="preserve"> </w:t>
      </w:r>
      <w:r>
        <w:t>LGBTQ</w:t>
      </w:r>
      <w:r>
        <w:rPr>
          <w:spacing w:val="-5"/>
        </w:rPr>
        <w:t xml:space="preserve"> </w:t>
      </w:r>
      <w:r>
        <w:t>YYA,</w:t>
      </w:r>
      <w:r>
        <w:rPr>
          <w:spacing w:val="-6"/>
        </w:rPr>
        <w:t xml:space="preserve"> </w:t>
      </w:r>
      <w:r>
        <w:t>family</w:t>
      </w:r>
      <w:r>
        <w:rPr>
          <w:spacing w:val="-6"/>
        </w:rPr>
        <w:t xml:space="preserve"> </w:t>
      </w:r>
      <w:r>
        <w:t>issues</w:t>
      </w:r>
      <w:r>
        <w:rPr>
          <w:spacing w:val="-6"/>
        </w:rPr>
        <w:t xml:space="preserve"> </w:t>
      </w:r>
      <w:r>
        <w:t>are</w:t>
      </w:r>
      <w:r>
        <w:rPr>
          <w:spacing w:val="-8"/>
        </w:rPr>
        <w:t xml:space="preserve"> </w:t>
      </w:r>
      <w:r>
        <w:t>only</w:t>
      </w:r>
      <w:r>
        <w:rPr>
          <w:spacing w:val="-6"/>
        </w:rPr>
        <w:t xml:space="preserve"> </w:t>
      </w:r>
      <w:r>
        <w:t>addressed</w:t>
      </w:r>
      <w:r>
        <w:rPr>
          <w:spacing w:val="-6"/>
        </w:rPr>
        <w:t xml:space="preserve"> </w:t>
      </w:r>
      <w:r>
        <w:t>by</w:t>
      </w:r>
      <w:r>
        <w:rPr>
          <w:spacing w:val="-4"/>
        </w:rPr>
        <w:t xml:space="preserve"> </w:t>
      </w:r>
      <w:r>
        <w:t>60%</w:t>
      </w:r>
      <w:r>
        <w:rPr>
          <w:spacing w:val="-6"/>
        </w:rPr>
        <w:t xml:space="preserve"> </w:t>
      </w:r>
      <w:r>
        <w:t>of</w:t>
      </w:r>
      <w:r>
        <w:rPr>
          <w:spacing w:val="-6"/>
        </w:rPr>
        <w:t xml:space="preserve"> </w:t>
      </w:r>
      <w:r>
        <w:t>agencies in</w:t>
      </w:r>
      <w:r>
        <w:rPr>
          <w:spacing w:val="-4"/>
        </w:rPr>
        <w:t xml:space="preserve"> </w:t>
      </w:r>
      <w:r>
        <w:t>the United</w:t>
      </w:r>
      <w:r>
        <w:rPr>
          <w:spacing w:val="-1"/>
        </w:rPr>
        <w:t xml:space="preserve"> </w:t>
      </w:r>
      <w:r>
        <w:t>States that</w:t>
      </w:r>
      <w:r>
        <w:rPr>
          <w:spacing w:val="-1"/>
        </w:rPr>
        <w:t xml:space="preserve"> </w:t>
      </w:r>
      <w:r>
        <w:t>provide</w:t>
      </w:r>
      <w:r>
        <w:rPr>
          <w:spacing w:val="-2"/>
        </w:rPr>
        <w:t xml:space="preserve"> </w:t>
      </w:r>
      <w:r>
        <w:t>services</w:t>
      </w:r>
      <w:r>
        <w:rPr>
          <w:spacing w:val="-1"/>
        </w:rPr>
        <w:t xml:space="preserve"> </w:t>
      </w:r>
      <w:r>
        <w:t>for</w:t>
      </w:r>
      <w:r>
        <w:rPr>
          <w:spacing w:val="-1"/>
        </w:rPr>
        <w:t xml:space="preserve"> </w:t>
      </w:r>
      <w:r>
        <w:t>homeless</w:t>
      </w:r>
      <w:r>
        <w:rPr>
          <w:spacing w:val="-1"/>
        </w:rPr>
        <w:t xml:space="preserve"> </w:t>
      </w:r>
      <w:r>
        <w:t>LGBTQ</w:t>
      </w:r>
      <w:r>
        <w:rPr>
          <w:spacing w:val="-1"/>
        </w:rPr>
        <w:t xml:space="preserve"> </w:t>
      </w:r>
      <w:r>
        <w:t>youth</w:t>
      </w:r>
      <w:hyperlink w:anchor="_bookmark229" w:history="1">
        <w:r>
          <w:t>.</w:t>
        </w:r>
        <w:r>
          <w:rPr>
            <w:vertAlign w:val="superscript"/>
          </w:rPr>
          <w:t>67</w:t>
        </w:r>
        <w:r>
          <w:rPr>
            <w:spacing w:val="-7"/>
          </w:rPr>
          <w:t xml:space="preserve"> </w:t>
        </w:r>
      </w:hyperlink>
      <w:r>
        <w:t>Substance</w:t>
      </w:r>
      <w:r>
        <w:rPr>
          <w:spacing w:val="-1"/>
        </w:rPr>
        <w:t xml:space="preserve"> </w:t>
      </w:r>
      <w:r>
        <w:t>use,</w:t>
      </w:r>
      <w:r>
        <w:rPr>
          <w:spacing w:val="-1"/>
        </w:rPr>
        <w:t xml:space="preserve"> </w:t>
      </w:r>
      <w:r>
        <w:t>evidently,</w:t>
      </w:r>
      <w:r>
        <w:rPr>
          <w:spacing w:val="-1"/>
        </w:rPr>
        <w:t xml:space="preserve"> </w:t>
      </w:r>
      <w:r>
        <w:t>is</w:t>
      </w:r>
      <w:r>
        <w:rPr>
          <w:spacing w:val="-1"/>
        </w:rPr>
        <w:t xml:space="preserve"> </w:t>
      </w:r>
      <w:r>
        <w:t>often cited</w:t>
      </w:r>
      <w:r>
        <w:rPr>
          <w:spacing w:val="-2"/>
        </w:rPr>
        <w:t xml:space="preserve"> </w:t>
      </w:r>
      <w:r>
        <w:t>as a reason</w:t>
      </w:r>
      <w:r>
        <w:rPr>
          <w:spacing w:val="-2"/>
        </w:rPr>
        <w:t xml:space="preserve"> </w:t>
      </w:r>
      <w:r>
        <w:t>for</w:t>
      </w:r>
      <w:r>
        <w:rPr>
          <w:spacing w:val="-2"/>
        </w:rPr>
        <w:t xml:space="preserve"> </w:t>
      </w:r>
      <w:r>
        <w:t>LGBTQ</w:t>
      </w:r>
      <w:r>
        <w:rPr>
          <w:spacing w:val="-1"/>
        </w:rPr>
        <w:t xml:space="preserve"> </w:t>
      </w:r>
      <w:r>
        <w:t>YYA leaving home.</w:t>
      </w:r>
      <w:r>
        <w:rPr>
          <w:spacing w:val="-1"/>
        </w:rPr>
        <w:t xml:space="preserve"> </w:t>
      </w:r>
      <w:r>
        <w:t>However,</w:t>
      </w:r>
      <w:r>
        <w:rPr>
          <w:spacing w:val="-1"/>
        </w:rPr>
        <w:t xml:space="preserve"> </w:t>
      </w:r>
      <w:r>
        <w:t>while</w:t>
      </w:r>
      <w:r>
        <w:rPr>
          <w:spacing w:val="-1"/>
        </w:rPr>
        <w:t xml:space="preserve"> </w:t>
      </w:r>
      <w:r>
        <w:t>LGBTQ</w:t>
      </w:r>
      <w:r>
        <w:rPr>
          <w:spacing w:val="-2"/>
        </w:rPr>
        <w:t xml:space="preserve"> </w:t>
      </w:r>
      <w:r>
        <w:t>young</w:t>
      </w:r>
      <w:r>
        <w:rPr>
          <w:spacing w:val="-1"/>
        </w:rPr>
        <w:t xml:space="preserve"> </w:t>
      </w:r>
      <w:r>
        <w:t>people</w:t>
      </w:r>
      <w:r>
        <w:rPr>
          <w:spacing w:val="-1"/>
        </w:rPr>
        <w:t xml:space="preserve"> </w:t>
      </w:r>
      <w:r>
        <w:t>may</w:t>
      </w:r>
      <w:r>
        <w:rPr>
          <w:spacing w:val="-1"/>
        </w:rPr>
        <w:t xml:space="preserve"> </w:t>
      </w:r>
      <w:r>
        <w:t>initiate</w:t>
      </w:r>
      <w:r>
        <w:rPr>
          <w:spacing w:val="-1"/>
        </w:rPr>
        <w:t xml:space="preserve"> </w:t>
      </w:r>
      <w:r>
        <w:t>alcohol and drug use at an earlier age than their non-LGB peers, researc</w:t>
      </w:r>
      <w:r>
        <w:t>h indicates that most do not start using until</w:t>
      </w:r>
      <w:r>
        <w:rPr>
          <w:spacing w:val="-13"/>
        </w:rPr>
        <w:t xml:space="preserve"> </w:t>
      </w:r>
      <w:r>
        <w:t>after</w:t>
      </w:r>
      <w:r>
        <w:rPr>
          <w:spacing w:val="-12"/>
        </w:rPr>
        <w:t xml:space="preserve"> </w:t>
      </w:r>
      <w:r>
        <w:t>experiencing</w:t>
      </w:r>
      <w:r>
        <w:rPr>
          <w:spacing w:val="-13"/>
        </w:rPr>
        <w:t xml:space="preserve"> </w:t>
      </w:r>
      <w:r>
        <w:t>homeless</w:t>
      </w:r>
      <w:hyperlink w:anchor="_bookmark230" w:history="1">
        <w:r>
          <w:t>.</w:t>
        </w:r>
        <w:r>
          <w:rPr>
            <w:vertAlign w:val="superscript"/>
          </w:rPr>
          <w:t>68</w:t>
        </w:r>
        <w:r>
          <w:rPr>
            <w:spacing w:val="-12"/>
          </w:rPr>
          <w:t xml:space="preserve"> </w:t>
        </w:r>
      </w:hyperlink>
      <w:r>
        <w:t>Substance</w:t>
      </w:r>
      <w:r>
        <w:rPr>
          <w:spacing w:val="-13"/>
        </w:rPr>
        <w:t xml:space="preserve"> </w:t>
      </w:r>
      <w:r>
        <w:t>use</w:t>
      </w:r>
      <w:r>
        <w:rPr>
          <w:spacing w:val="-12"/>
        </w:rPr>
        <w:t xml:space="preserve"> </w:t>
      </w:r>
      <w:r>
        <w:t>may</w:t>
      </w:r>
      <w:r>
        <w:rPr>
          <w:spacing w:val="-13"/>
        </w:rPr>
        <w:t xml:space="preserve"> </w:t>
      </w:r>
      <w:r>
        <w:t>be</w:t>
      </w:r>
      <w:r>
        <w:rPr>
          <w:spacing w:val="-12"/>
        </w:rPr>
        <w:t xml:space="preserve"> </w:t>
      </w:r>
      <w:r>
        <w:t>a</w:t>
      </w:r>
      <w:r>
        <w:rPr>
          <w:spacing w:val="-12"/>
        </w:rPr>
        <w:t xml:space="preserve"> </w:t>
      </w:r>
      <w:r>
        <w:t>way</w:t>
      </w:r>
      <w:r>
        <w:rPr>
          <w:spacing w:val="-13"/>
        </w:rPr>
        <w:t xml:space="preserve"> </w:t>
      </w:r>
      <w:r>
        <w:t>of</w:t>
      </w:r>
      <w:r>
        <w:rPr>
          <w:spacing w:val="-12"/>
        </w:rPr>
        <w:t xml:space="preserve"> </w:t>
      </w:r>
      <w:r>
        <w:t>coping</w:t>
      </w:r>
      <w:r>
        <w:rPr>
          <w:spacing w:val="-13"/>
        </w:rPr>
        <w:t xml:space="preserve"> </w:t>
      </w:r>
      <w:r>
        <w:t>with</w:t>
      </w:r>
      <w:r>
        <w:rPr>
          <w:spacing w:val="-12"/>
        </w:rPr>
        <w:t xml:space="preserve"> </w:t>
      </w:r>
      <w:r>
        <w:t>the</w:t>
      </w:r>
      <w:r>
        <w:rPr>
          <w:spacing w:val="-13"/>
        </w:rPr>
        <w:t xml:space="preserve"> </w:t>
      </w:r>
      <w:r>
        <w:t>stress</w:t>
      </w:r>
      <w:r>
        <w:rPr>
          <w:spacing w:val="-12"/>
        </w:rPr>
        <w:t xml:space="preserve"> </w:t>
      </w:r>
      <w:r>
        <w:t>of</w:t>
      </w:r>
      <w:r>
        <w:rPr>
          <w:spacing w:val="-12"/>
        </w:rPr>
        <w:t xml:space="preserve"> </w:t>
      </w:r>
      <w:r>
        <w:t>homelessness in adolescence rather than a reason that LGBTQ YYA are “kicked out” of their homes</w:t>
      </w:r>
      <w:hyperlink w:anchor="_bookmark231" w:history="1">
        <w:r>
          <w:t>.</w:t>
        </w:r>
        <w:r>
          <w:rPr>
            <w:vertAlign w:val="superscript"/>
          </w:rPr>
          <w:t>69</w:t>
        </w:r>
      </w:hyperlink>
    </w:p>
    <w:p w:rsidR="00C76E6D" w:rsidRDefault="00C76E6D">
      <w:pPr>
        <w:pStyle w:val="BodyText"/>
        <w:spacing w:before="10"/>
        <w:rPr>
          <w:sz w:val="26"/>
        </w:rPr>
      </w:pPr>
    </w:p>
    <w:p w:rsidR="00C76E6D" w:rsidRDefault="00913831">
      <w:pPr>
        <w:pStyle w:val="BodyText"/>
        <w:spacing w:line="276" w:lineRule="auto"/>
        <w:ind w:left="478" w:right="475"/>
        <w:jc w:val="both"/>
      </w:pPr>
      <w:r>
        <w:t>The foster care system’s disproportionate number of LGBTQ YYA is likely, in part, due to the instability and rejection they experience at home. A Los Angeles County study found that nearly 20% of youth in foster</w:t>
      </w:r>
      <w:r>
        <w:rPr>
          <w:spacing w:val="-11"/>
        </w:rPr>
        <w:t xml:space="preserve"> </w:t>
      </w:r>
      <w:r>
        <w:t>care</w:t>
      </w:r>
      <w:r>
        <w:rPr>
          <w:spacing w:val="-11"/>
        </w:rPr>
        <w:t xml:space="preserve"> </w:t>
      </w:r>
      <w:r>
        <w:t>were</w:t>
      </w:r>
      <w:r>
        <w:rPr>
          <w:spacing w:val="-11"/>
        </w:rPr>
        <w:t xml:space="preserve"> </w:t>
      </w:r>
      <w:r>
        <w:t>LGBTQ,</w:t>
      </w:r>
      <w:r>
        <w:rPr>
          <w:spacing w:val="-11"/>
        </w:rPr>
        <w:t xml:space="preserve"> </w:t>
      </w:r>
      <w:r>
        <w:t>with</w:t>
      </w:r>
      <w:r>
        <w:rPr>
          <w:spacing w:val="-9"/>
        </w:rPr>
        <w:t xml:space="preserve"> </w:t>
      </w:r>
      <w:r>
        <w:t>youth</w:t>
      </w:r>
      <w:r>
        <w:rPr>
          <w:spacing w:val="-9"/>
        </w:rPr>
        <w:t xml:space="preserve"> </w:t>
      </w:r>
      <w:r>
        <w:t>of</w:t>
      </w:r>
      <w:r>
        <w:rPr>
          <w:spacing w:val="-9"/>
        </w:rPr>
        <w:t xml:space="preserve"> </w:t>
      </w:r>
      <w:r>
        <w:t>color</w:t>
      </w:r>
      <w:r>
        <w:rPr>
          <w:spacing w:val="-10"/>
        </w:rPr>
        <w:t xml:space="preserve"> </w:t>
      </w:r>
      <w:r>
        <w:t>overrep</w:t>
      </w:r>
      <w:r>
        <w:t>resented</w:t>
      </w:r>
      <w:r>
        <w:rPr>
          <w:spacing w:val="-9"/>
        </w:rPr>
        <w:t xml:space="preserve"> </w:t>
      </w:r>
      <w:r>
        <w:t>among</w:t>
      </w:r>
      <w:r>
        <w:rPr>
          <w:spacing w:val="-11"/>
        </w:rPr>
        <w:t xml:space="preserve"> </w:t>
      </w:r>
      <w:r>
        <w:t>them</w:t>
      </w:r>
      <w:hyperlink w:anchor="_bookmark232" w:history="1">
        <w:r>
          <w:t>.</w:t>
        </w:r>
        <w:r>
          <w:rPr>
            <w:vertAlign w:val="superscript"/>
          </w:rPr>
          <w:t>70</w:t>
        </w:r>
        <w:r>
          <w:rPr>
            <w:spacing w:val="-12"/>
          </w:rPr>
          <w:t xml:space="preserve"> </w:t>
        </w:r>
      </w:hyperlink>
      <w:r>
        <w:t>LGBTQ</w:t>
      </w:r>
      <w:r>
        <w:rPr>
          <w:spacing w:val="-9"/>
        </w:rPr>
        <w:t xml:space="preserve"> </w:t>
      </w:r>
      <w:r>
        <w:t>YYA</w:t>
      </w:r>
      <w:r>
        <w:rPr>
          <w:spacing w:val="-9"/>
        </w:rPr>
        <w:t xml:space="preserve"> </w:t>
      </w:r>
      <w:r>
        <w:t>in</w:t>
      </w:r>
      <w:r>
        <w:rPr>
          <w:spacing w:val="-9"/>
        </w:rPr>
        <w:t xml:space="preserve"> </w:t>
      </w:r>
      <w:r>
        <w:t>foster</w:t>
      </w:r>
      <w:r>
        <w:rPr>
          <w:spacing w:val="-10"/>
        </w:rPr>
        <w:t xml:space="preserve"> </w:t>
      </w:r>
      <w:r>
        <w:t>care</w:t>
      </w:r>
      <w:r>
        <w:rPr>
          <w:spacing w:val="-9"/>
        </w:rPr>
        <w:t xml:space="preserve"> </w:t>
      </w:r>
      <w:r>
        <w:t>are more likely to report worse outcomes than their cisgender and heterosexual peers</w:t>
      </w:r>
      <w:hyperlink w:anchor="_bookmark233" w:history="1">
        <w:r>
          <w:t>.</w:t>
        </w:r>
        <w:r>
          <w:rPr>
            <w:vertAlign w:val="superscript"/>
          </w:rPr>
          <w:t>71</w:t>
        </w:r>
      </w:hyperlink>
      <w:r>
        <w:t xml:space="preserve"> These worse outcomes include discrimination, inadequate treatment, and a higher number of placements</w:t>
      </w:r>
      <w:hyperlink w:anchor="_bookmark234" w:history="1">
        <w:r>
          <w:t>.</w:t>
        </w:r>
        <w:r>
          <w:rPr>
            <w:vertAlign w:val="superscript"/>
          </w:rPr>
          <w:t>72</w:t>
        </w:r>
      </w:hyperlink>
      <w:r>
        <w:t xml:space="preserve"> Many LGBTQ youth face adverse and traumatic experiences in foster care that can lead to homelessness. Another</w:t>
      </w:r>
      <w:r>
        <w:rPr>
          <w:spacing w:val="-12"/>
        </w:rPr>
        <w:t xml:space="preserve"> </w:t>
      </w:r>
      <w:r>
        <w:t>leading</w:t>
      </w:r>
      <w:r>
        <w:rPr>
          <w:spacing w:val="-12"/>
        </w:rPr>
        <w:t xml:space="preserve"> </w:t>
      </w:r>
      <w:r>
        <w:t>c</w:t>
      </w:r>
      <w:r>
        <w:t>ause</w:t>
      </w:r>
      <w:r>
        <w:rPr>
          <w:spacing w:val="-12"/>
        </w:rPr>
        <w:t xml:space="preserve"> </w:t>
      </w:r>
      <w:r>
        <w:t>of</w:t>
      </w:r>
      <w:r>
        <w:rPr>
          <w:spacing w:val="-13"/>
        </w:rPr>
        <w:t xml:space="preserve"> </w:t>
      </w:r>
      <w:r>
        <w:t>homelessness</w:t>
      </w:r>
      <w:r>
        <w:rPr>
          <w:spacing w:val="-10"/>
        </w:rPr>
        <w:t xml:space="preserve"> </w:t>
      </w:r>
      <w:r>
        <w:t>among</w:t>
      </w:r>
      <w:r>
        <w:rPr>
          <w:spacing w:val="-13"/>
        </w:rPr>
        <w:t xml:space="preserve"> </w:t>
      </w:r>
      <w:r>
        <w:t>LGBTQ</w:t>
      </w:r>
      <w:r>
        <w:rPr>
          <w:spacing w:val="-12"/>
        </w:rPr>
        <w:t xml:space="preserve"> </w:t>
      </w:r>
      <w:r>
        <w:t>YYA</w:t>
      </w:r>
      <w:r>
        <w:rPr>
          <w:spacing w:val="-11"/>
        </w:rPr>
        <w:t xml:space="preserve"> </w:t>
      </w:r>
      <w:r>
        <w:t>is</w:t>
      </w:r>
      <w:r>
        <w:rPr>
          <w:spacing w:val="-12"/>
        </w:rPr>
        <w:t xml:space="preserve"> </w:t>
      </w:r>
      <w:r>
        <w:t>exiting</w:t>
      </w:r>
      <w:r>
        <w:rPr>
          <w:spacing w:val="-13"/>
        </w:rPr>
        <w:t xml:space="preserve"> </w:t>
      </w:r>
      <w:r>
        <w:t>or</w:t>
      </w:r>
      <w:r>
        <w:rPr>
          <w:spacing w:val="-11"/>
        </w:rPr>
        <w:t xml:space="preserve"> </w:t>
      </w:r>
      <w:r>
        <w:t>aging</w:t>
      </w:r>
      <w:r>
        <w:rPr>
          <w:spacing w:val="-13"/>
        </w:rPr>
        <w:t xml:space="preserve"> </w:t>
      </w:r>
      <w:r>
        <w:t>out</w:t>
      </w:r>
      <w:r>
        <w:rPr>
          <w:spacing w:val="-12"/>
        </w:rPr>
        <w:t xml:space="preserve"> </w:t>
      </w:r>
      <w:r>
        <w:t>of</w:t>
      </w:r>
      <w:r>
        <w:rPr>
          <w:spacing w:val="-13"/>
        </w:rPr>
        <w:t xml:space="preserve"> </w:t>
      </w:r>
      <w:r>
        <w:t>the</w:t>
      </w:r>
      <w:r>
        <w:rPr>
          <w:spacing w:val="-11"/>
        </w:rPr>
        <w:t xml:space="preserve"> </w:t>
      </w:r>
      <w:r>
        <w:t>foster</w:t>
      </w:r>
      <w:r>
        <w:rPr>
          <w:spacing w:val="-12"/>
        </w:rPr>
        <w:t xml:space="preserve"> </w:t>
      </w:r>
      <w:r>
        <w:t>care</w:t>
      </w:r>
      <w:r>
        <w:rPr>
          <w:spacing w:val="-12"/>
        </w:rPr>
        <w:t xml:space="preserve"> </w:t>
      </w:r>
      <w:r>
        <w:t>system. Research suggests that between 11% to 37% of youth who enter the foster care system will end up homeless</w:t>
      </w:r>
      <w:r>
        <w:rPr>
          <w:spacing w:val="-10"/>
        </w:rPr>
        <w:t xml:space="preserve"> </w:t>
      </w:r>
      <w:r>
        <w:t>as</w:t>
      </w:r>
      <w:r>
        <w:rPr>
          <w:spacing w:val="-5"/>
        </w:rPr>
        <w:t xml:space="preserve"> </w:t>
      </w:r>
      <w:r>
        <w:t>YYA</w:t>
      </w:r>
      <w:hyperlink w:anchor="_bookmark235" w:history="1">
        <w:r>
          <w:t>.</w:t>
        </w:r>
        <w:r>
          <w:rPr>
            <w:vertAlign w:val="superscript"/>
          </w:rPr>
          <w:t>73</w:t>
        </w:r>
        <w:r>
          <w:rPr>
            <w:spacing w:val="-9"/>
          </w:rPr>
          <w:t xml:space="preserve"> </w:t>
        </w:r>
      </w:hyperlink>
      <w:r>
        <w:t>After</w:t>
      </w:r>
      <w:r>
        <w:rPr>
          <w:spacing w:val="-5"/>
        </w:rPr>
        <w:t xml:space="preserve"> </w:t>
      </w:r>
      <w:r>
        <w:t>aging</w:t>
      </w:r>
      <w:r>
        <w:rPr>
          <w:spacing w:val="-6"/>
        </w:rPr>
        <w:t xml:space="preserve"> </w:t>
      </w:r>
      <w:r>
        <w:t>out</w:t>
      </w:r>
      <w:r>
        <w:rPr>
          <w:spacing w:val="-6"/>
        </w:rPr>
        <w:t xml:space="preserve"> </w:t>
      </w:r>
      <w:r>
        <w:t>of</w:t>
      </w:r>
      <w:r>
        <w:rPr>
          <w:spacing w:val="-5"/>
        </w:rPr>
        <w:t xml:space="preserve"> </w:t>
      </w:r>
      <w:r>
        <w:t>ch</w:t>
      </w:r>
      <w:r>
        <w:t>ild</w:t>
      </w:r>
      <w:r>
        <w:rPr>
          <w:spacing w:val="-6"/>
        </w:rPr>
        <w:t xml:space="preserve"> </w:t>
      </w:r>
      <w:r>
        <w:t>welfare,</w:t>
      </w:r>
      <w:r>
        <w:rPr>
          <w:spacing w:val="-4"/>
        </w:rPr>
        <w:t xml:space="preserve"> </w:t>
      </w:r>
      <w:r>
        <w:t>between</w:t>
      </w:r>
      <w:r>
        <w:rPr>
          <w:spacing w:val="-6"/>
        </w:rPr>
        <w:t xml:space="preserve"> </w:t>
      </w:r>
      <w:r>
        <w:t>12%</w:t>
      </w:r>
      <w:r>
        <w:rPr>
          <w:spacing w:val="-4"/>
        </w:rPr>
        <w:t xml:space="preserve"> </w:t>
      </w:r>
      <w:r>
        <w:t>and</w:t>
      </w:r>
      <w:r>
        <w:rPr>
          <w:spacing w:val="-7"/>
        </w:rPr>
        <w:t xml:space="preserve"> </w:t>
      </w:r>
      <w:r>
        <w:t>36%</w:t>
      </w:r>
      <w:r>
        <w:rPr>
          <w:spacing w:val="-5"/>
        </w:rPr>
        <w:t xml:space="preserve"> </w:t>
      </w:r>
      <w:r>
        <w:t>of</w:t>
      </w:r>
      <w:r>
        <w:rPr>
          <w:spacing w:val="-5"/>
        </w:rPr>
        <w:t xml:space="preserve"> </w:t>
      </w:r>
      <w:r>
        <w:t>LGBTQ</w:t>
      </w:r>
      <w:r>
        <w:rPr>
          <w:spacing w:val="-6"/>
        </w:rPr>
        <w:t xml:space="preserve"> </w:t>
      </w:r>
      <w:r>
        <w:t>youth</w:t>
      </w:r>
      <w:r>
        <w:rPr>
          <w:spacing w:val="-4"/>
        </w:rPr>
        <w:t xml:space="preserve"> </w:t>
      </w:r>
      <w:r>
        <w:t>have</w:t>
      </w:r>
      <w:r>
        <w:rPr>
          <w:spacing w:val="-7"/>
        </w:rPr>
        <w:t xml:space="preserve"> </w:t>
      </w:r>
      <w:r>
        <w:t>reported experiencing at least one episode of homelessness</w:t>
      </w:r>
      <w:hyperlink w:anchor="_bookmark236" w:history="1">
        <w:r>
          <w:t>.</w:t>
        </w:r>
        <w:r>
          <w:rPr>
            <w:vertAlign w:val="superscript"/>
          </w:rPr>
          <w:t>74</w:t>
        </w:r>
      </w:hyperlink>
      <w:r>
        <w:t xml:space="preserve"> These startling statistics must be addressed, otherwise, our society will continue to bear witness to this abysmal cycle of homelessness and </w:t>
      </w:r>
      <w:r>
        <w:rPr>
          <w:spacing w:val="-2"/>
        </w:rPr>
        <w:t>disenfranchisement.</w:t>
      </w:r>
    </w:p>
    <w:p w:rsidR="00C76E6D" w:rsidRDefault="00C76E6D">
      <w:pPr>
        <w:pStyle w:val="BodyText"/>
        <w:spacing w:before="6"/>
        <w:rPr>
          <w:sz w:val="27"/>
        </w:rPr>
      </w:pPr>
    </w:p>
    <w:p w:rsidR="00C76E6D" w:rsidRDefault="00913831">
      <w:pPr>
        <w:pStyle w:val="BodyText"/>
        <w:spacing w:line="276" w:lineRule="auto"/>
        <w:ind w:left="478" w:right="474"/>
        <w:jc w:val="both"/>
      </w:pPr>
      <w:r>
        <w:t>Young LGBTQ individuals experiencing homelessness are more likely to be physically, emotional</w:t>
      </w:r>
      <w:r>
        <w:t>ly, or sexually abused than their non-LGBTQ peers</w:t>
      </w:r>
      <w:hyperlink w:anchor="_bookmark237" w:history="1">
        <w:r>
          <w:t>.</w:t>
        </w:r>
        <w:r>
          <w:rPr>
            <w:vertAlign w:val="superscript"/>
          </w:rPr>
          <w:t>75</w:t>
        </w:r>
        <w:r>
          <w:t xml:space="preserve"> </w:t>
        </w:r>
      </w:hyperlink>
      <w:r>
        <w:t>Among homeless LGBTQ YYA, 32% have been physically, emotionally, or sexually abused at home prior to experiencing homeless, and more than 50% identify a family member as t</w:t>
      </w:r>
      <w:r>
        <w:t>he abuser</w:t>
      </w:r>
      <w:hyperlink w:anchor="_bookmark238" w:history="1">
        <w:r>
          <w:t>.</w:t>
        </w:r>
        <w:r>
          <w:rPr>
            <w:vertAlign w:val="superscript"/>
          </w:rPr>
          <w:t>76</w:t>
        </w:r>
        <w:r>
          <w:t xml:space="preserve"> </w:t>
        </w:r>
      </w:hyperlink>
      <w:r>
        <w:t>As a result, nearly half of homeless LGBTQ YYA report running away to escape</w:t>
      </w:r>
      <w:r>
        <w:rPr>
          <w:spacing w:val="-12"/>
        </w:rPr>
        <w:t xml:space="preserve"> </w:t>
      </w:r>
      <w:r>
        <w:t>harmful</w:t>
      </w:r>
      <w:r>
        <w:rPr>
          <w:spacing w:val="-13"/>
        </w:rPr>
        <w:t xml:space="preserve"> </w:t>
      </w:r>
      <w:r>
        <w:t>home</w:t>
      </w:r>
      <w:r>
        <w:rPr>
          <w:spacing w:val="-12"/>
        </w:rPr>
        <w:t xml:space="preserve"> </w:t>
      </w:r>
      <w:r>
        <w:t>environments</w:t>
      </w:r>
      <w:r>
        <w:rPr>
          <w:spacing w:val="-10"/>
        </w:rPr>
        <w:t xml:space="preserve"> </w:t>
      </w:r>
      <w:r>
        <w:t>as</w:t>
      </w:r>
      <w:r>
        <w:rPr>
          <w:spacing w:val="-11"/>
        </w:rPr>
        <w:t xml:space="preserve"> </w:t>
      </w:r>
      <w:r>
        <w:t>their</w:t>
      </w:r>
      <w:r>
        <w:rPr>
          <w:spacing w:val="-11"/>
        </w:rPr>
        <w:t xml:space="preserve"> </w:t>
      </w:r>
      <w:r>
        <w:t>primary</w:t>
      </w:r>
      <w:r>
        <w:rPr>
          <w:spacing w:val="-11"/>
        </w:rPr>
        <w:t xml:space="preserve"> </w:t>
      </w:r>
      <w:r>
        <w:t>reason</w:t>
      </w:r>
      <w:r>
        <w:rPr>
          <w:spacing w:val="-12"/>
        </w:rPr>
        <w:t xml:space="preserve"> </w:t>
      </w:r>
      <w:r>
        <w:t>for</w:t>
      </w:r>
      <w:r>
        <w:rPr>
          <w:spacing w:val="-11"/>
        </w:rPr>
        <w:t xml:space="preserve"> </w:t>
      </w:r>
      <w:r>
        <w:t>homelessness</w:t>
      </w:r>
      <w:hyperlink w:anchor="_bookmark239" w:history="1">
        <w:r>
          <w:t>.</w:t>
        </w:r>
        <w:r>
          <w:rPr>
            <w:vertAlign w:val="superscript"/>
          </w:rPr>
          <w:t>77</w:t>
        </w:r>
        <w:r>
          <w:rPr>
            <w:spacing w:val="-12"/>
          </w:rPr>
          <w:t xml:space="preserve"> </w:t>
        </w:r>
      </w:hyperlink>
      <w:r>
        <w:t>Compared</w:t>
      </w:r>
      <w:r>
        <w:rPr>
          <w:spacing w:val="-10"/>
        </w:rPr>
        <w:t xml:space="preserve"> </w:t>
      </w:r>
      <w:r>
        <w:t>to</w:t>
      </w:r>
      <w:r>
        <w:rPr>
          <w:spacing w:val="-11"/>
        </w:rPr>
        <w:t xml:space="preserve"> </w:t>
      </w:r>
      <w:r>
        <w:t>non-LGBTQ homeless y</w:t>
      </w:r>
      <w:r>
        <w:t>outh, homeless LGBTQ YYA are twice as likely to have been sexually abused by the age of 12 and twice as likely to report sexual abuse as their reason for leaving home.</w:t>
      </w:r>
      <w:hyperlink w:anchor="_bookmark240" w:history="1">
        <w:r>
          <w:rPr>
            <w:vertAlign w:val="superscript"/>
          </w:rPr>
          <w:t>78</w:t>
        </w:r>
        <w:r>
          <w:rPr>
            <w:spacing w:val="-5"/>
          </w:rPr>
          <w:t xml:space="preserve"> </w:t>
        </w:r>
      </w:hyperlink>
      <w:r>
        <w:t>LGBTQ YYA who have been previously abused within their</w:t>
      </w:r>
      <w:r>
        <w:t xml:space="preserve"> family system are more likely to enter the foster care system with mental health issues from the abuse, which are all predictors of homelessness or experiences that may lead to running</w:t>
      </w:r>
      <w:r>
        <w:rPr>
          <w:spacing w:val="-10"/>
        </w:rPr>
        <w:t xml:space="preserve"> </w:t>
      </w:r>
      <w:r>
        <w:t>away</w:t>
      </w:r>
      <w:r>
        <w:rPr>
          <w:spacing w:val="-8"/>
        </w:rPr>
        <w:t xml:space="preserve"> </w:t>
      </w:r>
      <w:r>
        <w:t>from</w:t>
      </w:r>
      <w:r>
        <w:rPr>
          <w:spacing w:val="-9"/>
        </w:rPr>
        <w:t xml:space="preserve"> </w:t>
      </w:r>
      <w:r>
        <w:t>programs</w:t>
      </w:r>
      <w:r>
        <w:rPr>
          <w:spacing w:val="-9"/>
        </w:rPr>
        <w:t xml:space="preserve"> </w:t>
      </w:r>
      <w:r>
        <w:t>and</w:t>
      </w:r>
      <w:r>
        <w:rPr>
          <w:spacing w:val="-9"/>
        </w:rPr>
        <w:t xml:space="preserve"> </w:t>
      </w:r>
      <w:r>
        <w:t>placements</w:t>
      </w:r>
      <w:hyperlink w:anchor="_bookmark241" w:history="1">
        <w:r>
          <w:t>.</w:t>
        </w:r>
        <w:r>
          <w:rPr>
            <w:vertAlign w:val="superscript"/>
          </w:rPr>
          <w:t>79</w:t>
        </w:r>
        <w:r>
          <w:rPr>
            <w:spacing w:val="-9"/>
          </w:rPr>
          <w:t xml:space="preserve"> </w:t>
        </w:r>
      </w:hyperlink>
      <w:r>
        <w:t>L</w:t>
      </w:r>
      <w:r>
        <w:t>GBTQ</w:t>
      </w:r>
      <w:r>
        <w:rPr>
          <w:spacing w:val="-9"/>
        </w:rPr>
        <w:t xml:space="preserve"> </w:t>
      </w:r>
      <w:r>
        <w:t>YYA</w:t>
      </w:r>
      <w:r>
        <w:rPr>
          <w:spacing w:val="-9"/>
        </w:rPr>
        <w:t xml:space="preserve"> </w:t>
      </w:r>
      <w:r>
        <w:t>experience</w:t>
      </w:r>
      <w:r>
        <w:rPr>
          <w:spacing w:val="-9"/>
        </w:rPr>
        <w:t xml:space="preserve"> </w:t>
      </w:r>
      <w:r>
        <w:t>a</w:t>
      </w:r>
      <w:r>
        <w:rPr>
          <w:spacing w:val="-8"/>
        </w:rPr>
        <w:t xml:space="preserve"> </w:t>
      </w:r>
      <w:r>
        <w:t>myriad</w:t>
      </w:r>
      <w:r>
        <w:rPr>
          <w:spacing w:val="-10"/>
        </w:rPr>
        <w:t xml:space="preserve"> </w:t>
      </w:r>
      <w:r>
        <w:t>of</w:t>
      </w:r>
      <w:r>
        <w:rPr>
          <w:spacing w:val="-8"/>
        </w:rPr>
        <w:t xml:space="preserve"> </w:t>
      </w:r>
      <w:r>
        <w:t>psychosocial</w:t>
      </w:r>
      <w:r>
        <w:rPr>
          <w:spacing w:val="-10"/>
        </w:rPr>
        <w:t xml:space="preserve"> </w:t>
      </w:r>
      <w:r>
        <w:t>stressors and discrimination that include dating violence/intimate partner violence, hate crimes, LGBTQ bullying, school</w:t>
      </w:r>
      <w:r>
        <w:rPr>
          <w:spacing w:val="-12"/>
        </w:rPr>
        <w:t xml:space="preserve"> </w:t>
      </w:r>
      <w:r>
        <w:t>bullying,</w:t>
      </w:r>
      <w:r>
        <w:rPr>
          <w:spacing w:val="-11"/>
        </w:rPr>
        <w:t xml:space="preserve"> </w:t>
      </w:r>
      <w:r>
        <w:t>and</w:t>
      </w:r>
      <w:r>
        <w:rPr>
          <w:spacing w:val="-11"/>
        </w:rPr>
        <w:t xml:space="preserve"> </w:t>
      </w:r>
      <w:r>
        <w:t>cyberbullying</w:t>
      </w:r>
      <w:r>
        <w:rPr>
          <w:spacing w:val="-11"/>
        </w:rPr>
        <w:t xml:space="preserve"> </w:t>
      </w:r>
      <w:r>
        <w:t>that</w:t>
      </w:r>
      <w:r>
        <w:rPr>
          <w:spacing w:val="-13"/>
        </w:rPr>
        <w:t xml:space="preserve"> </w:t>
      </w:r>
      <w:r>
        <w:t>often</w:t>
      </w:r>
      <w:r>
        <w:rPr>
          <w:spacing w:val="-11"/>
        </w:rPr>
        <w:t xml:space="preserve"> </w:t>
      </w:r>
      <w:r>
        <w:t>result</w:t>
      </w:r>
      <w:r>
        <w:rPr>
          <w:spacing w:val="-13"/>
        </w:rPr>
        <w:t xml:space="preserve"> </w:t>
      </w:r>
      <w:r>
        <w:t>in</w:t>
      </w:r>
      <w:r>
        <w:rPr>
          <w:spacing w:val="-11"/>
        </w:rPr>
        <w:t xml:space="preserve"> </w:t>
      </w:r>
      <w:r>
        <w:t>low</w:t>
      </w:r>
      <w:r>
        <w:rPr>
          <w:spacing w:val="-12"/>
        </w:rPr>
        <w:t xml:space="preserve"> </w:t>
      </w:r>
      <w:r>
        <w:t>self-esteem,</w:t>
      </w:r>
      <w:r>
        <w:rPr>
          <w:spacing w:val="-12"/>
        </w:rPr>
        <w:t xml:space="preserve"> </w:t>
      </w:r>
      <w:r>
        <w:t>depression,</w:t>
      </w:r>
      <w:r>
        <w:rPr>
          <w:spacing w:val="-12"/>
        </w:rPr>
        <w:t xml:space="preserve"> </w:t>
      </w:r>
      <w:r>
        <w:t>substance</w:t>
      </w:r>
      <w:r>
        <w:rPr>
          <w:spacing w:val="-10"/>
        </w:rPr>
        <w:t xml:space="preserve"> </w:t>
      </w:r>
      <w:r>
        <w:t>use,</w:t>
      </w:r>
      <w:r>
        <w:rPr>
          <w:spacing w:val="-12"/>
        </w:rPr>
        <w:t xml:space="preserve"> </w:t>
      </w:r>
      <w:r>
        <w:t>anxiety, high rates of bipolar disorder, self-harm, and suicidal ideation</w:t>
      </w:r>
      <w:hyperlink w:anchor="_bookmark242" w:history="1">
        <w:r>
          <w:t>,</w:t>
        </w:r>
        <w:r>
          <w:rPr>
            <w:vertAlign w:val="superscript"/>
          </w:rPr>
          <w:t>80</w:t>
        </w:r>
        <w:r>
          <w:rPr>
            <w:spacing w:val="21"/>
          </w:rPr>
          <w:t xml:space="preserve"> </w:t>
        </w:r>
      </w:hyperlink>
      <w:r>
        <w:t>all of which are factors that contribute to</w:t>
      </w:r>
      <w:r>
        <w:rPr>
          <w:spacing w:val="-8"/>
        </w:rPr>
        <w:t xml:space="preserve"> </w:t>
      </w:r>
      <w:r>
        <w:t>homelessness.</w:t>
      </w:r>
      <w:r>
        <w:rPr>
          <w:spacing w:val="-9"/>
        </w:rPr>
        <w:t xml:space="preserve"> </w:t>
      </w:r>
      <w:r>
        <w:t>In</w:t>
      </w:r>
      <w:r>
        <w:rPr>
          <w:spacing w:val="-8"/>
        </w:rPr>
        <w:t xml:space="preserve"> </w:t>
      </w:r>
      <w:r>
        <w:t>2021,</w:t>
      </w:r>
      <w:r>
        <w:rPr>
          <w:spacing w:val="-7"/>
        </w:rPr>
        <w:t xml:space="preserve"> </w:t>
      </w:r>
      <w:r>
        <w:t>a</w:t>
      </w:r>
      <w:r>
        <w:rPr>
          <w:spacing w:val="-8"/>
        </w:rPr>
        <w:t xml:space="preserve"> </w:t>
      </w:r>
      <w:r>
        <w:t>meta-analysis</w:t>
      </w:r>
      <w:r>
        <w:rPr>
          <w:spacing w:val="-9"/>
        </w:rPr>
        <w:t xml:space="preserve"> </w:t>
      </w:r>
      <w:r>
        <w:t>reviewed</w:t>
      </w:r>
      <w:r>
        <w:rPr>
          <w:spacing w:val="-6"/>
        </w:rPr>
        <w:t xml:space="preserve"> </w:t>
      </w:r>
      <w:r>
        <w:t>articles</w:t>
      </w:r>
      <w:r>
        <w:rPr>
          <w:spacing w:val="-7"/>
        </w:rPr>
        <w:t xml:space="preserve"> </w:t>
      </w:r>
      <w:r>
        <w:t>to</w:t>
      </w:r>
      <w:r>
        <w:rPr>
          <w:spacing w:val="-7"/>
        </w:rPr>
        <w:t xml:space="preserve"> </w:t>
      </w:r>
      <w:r>
        <w:t>understand</w:t>
      </w:r>
      <w:r>
        <w:rPr>
          <w:spacing w:val="-8"/>
        </w:rPr>
        <w:t xml:space="preserve"> </w:t>
      </w:r>
      <w:r>
        <w:t>the</w:t>
      </w:r>
      <w:r>
        <w:rPr>
          <w:spacing w:val="-6"/>
        </w:rPr>
        <w:t xml:space="preserve"> </w:t>
      </w:r>
      <w:r>
        <w:t>mental</w:t>
      </w:r>
      <w:r>
        <w:rPr>
          <w:spacing w:val="-8"/>
        </w:rPr>
        <w:t xml:space="preserve"> </w:t>
      </w:r>
      <w:r>
        <w:t>health</w:t>
      </w:r>
      <w:r>
        <w:rPr>
          <w:spacing w:val="-9"/>
        </w:rPr>
        <w:t xml:space="preserve"> </w:t>
      </w:r>
      <w:r>
        <w:t>implicati</w:t>
      </w:r>
      <w:r>
        <w:t>ons in</w:t>
      </w:r>
      <w:r>
        <w:rPr>
          <w:spacing w:val="-7"/>
        </w:rPr>
        <w:t xml:space="preserve"> </w:t>
      </w:r>
      <w:r>
        <w:t>LGBTQ</w:t>
      </w:r>
      <w:r>
        <w:rPr>
          <w:spacing w:val="-6"/>
        </w:rPr>
        <w:t xml:space="preserve"> </w:t>
      </w:r>
      <w:r>
        <w:t>YYA.</w:t>
      </w:r>
      <w:r>
        <w:rPr>
          <w:spacing w:val="-7"/>
        </w:rPr>
        <w:t xml:space="preserve"> </w:t>
      </w:r>
      <w:r>
        <w:t>LGBTQ</w:t>
      </w:r>
      <w:r>
        <w:rPr>
          <w:spacing w:val="-7"/>
        </w:rPr>
        <w:t xml:space="preserve"> </w:t>
      </w:r>
      <w:r>
        <w:t>YYA</w:t>
      </w:r>
      <w:r>
        <w:rPr>
          <w:spacing w:val="-4"/>
        </w:rPr>
        <w:t xml:space="preserve"> </w:t>
      </w:r>
      <w:r>
        <w:t>are</w:t>
      </w:r>
      <w:r>
        <w:rPr>
          <w:spacing w:val="-7"/>
        </w:rPr>
        <w:t xml:space="preserve"> </w:t>
      </w:r>
      <w:r>
        <w:t>about</w:t>
      </w:r>
      <w:r>
        <w:rPr>
          <w:spacing w:val="-6"/>
        </w:rPr>
        <w:t xml:space="preserve"> </w:t>
      </w:r>
      <w:r>
        <w:t>three</w:t>
      </w:r>
      <w:r>
        <w:rPr>
          <w:spacing w:val="-7"/>
        </w:rPr>
        <w:t xml:space="preserve"> </w:t>
      </w:r>
      <w:r>
        <w:t>times</w:t>
      </w:r>
      <w:r>
        <w:rPr>
          <w:spacing w:val="-5"/>
        </w:rPr>
        <w:t xml:space="preserve"> </w:t>
      </w:r>
      <w:r>
        <w:t>more</w:t>
      </w:r>
      <w:r>
        <w:rPr>
          <w:spacing w:val="-7"/>
        </w:rPr>
        <w:t xml:space="preserve"> </w:t>
      </w:r>
      <w:r>
        <w:t>likely</w:t>
      </w:r>
      <w:r>
        <w:rPr>
          <w:spacing w:val="-4"/>
        </w:rPr>
        <w:t xml:space="preserve"> </w:t>
      </w:r>
      <w:r>
        <w:t>to</w:t>
      </w:r>
      <w:r>
        <w:rPr>
          <w:spacing w:val="-6"/>
        </w:rPr>
        <w:t xml:space="preserve"> </w:t>
      </w:r>
      <w:r>
        <w:t>report</w:t>
      </w:r>
      <w:r>
        <w:rPr>
          <w:spacing w:val="-7"/>
        </w:rPr>
        <w:t xml:space="preserve"> </w:t>
      </w:r>
      <w:r>
        <w:t>mental</w:t>
      </w:r>
      <w:r>
        <w:rPr>
          <w:spacing w:val="-6"/>
        </w:rPr>
        <w:t xml:space="preserve"> </w:t>
      </w:r>
      <w:r>
        <w:t>health</w:t>
      </w:r>
      <w:r>
        <w:rPr>
          <w:spacing w:val="-7"/>
        </w:rPr>
        <w:t xml:space="preserve"> </w:t>
      </w:r>
      <w:r>
        <w:t>difficulties</w:t>
      </w:r>
      <w:r>
        <w:rPr>
          <w:spacing w:val="-6"/>
        </w:rPr>
        <w:t xml:space="preserve"> </w:t>
      </w:r>
      <w:r>
        <w:t>than</w:t>
      </w:r>
      <w:r>
        <w:rPr>
          <w:spacing w:val="-4"/>
        </w:rPr>
        <w:t xml:space="preserve"> </w:t>
      </w:r>
      <w:r>
        <w:t>their cisgender, heterosexual counterparts</w:t>
      </w:r>
      <w:hyperlink w:anchor="_bookmark243" w:history="1">
        <w:r>
          <w:t>.</w:t>
        </w:r>
        <w:r>
          <w:rPr>
            <w:vertAlign w:val="superscript"/>
          </w:rPr>
          <w:t>81</w:t>
        </w:r>
      </w:hyperlink>
    </w:p>
    <w:p w:rsidR="00C76E6D" w:rsidRDefault="00C76E6D">
      <w:pPr>
        <w:pStyle w:val="BodyText"/>
        <w:rPr>
          <w:sz w:val="26"/>
        </w:rPr>
      </w:pPr>
    </w:p>
    <w:p w:rsidR="00C76E6D" w:rsidRDefault="00913831">
      <w:pPr>
        <w:pStyle w:val="BodyText"/>
        <w:spacing w:line="276" w:lineRule="auto"/>
        <w:ind w:left="478" w:right="474"/>
        <w:jc w:val="both"/>
      </w:pPr>
      <w:r>
        <w:t>Most LGBTQ YYA have reported bullying and harassment at school as reasons for skipping school, which is</w:t>
      </w:r>
      <w:r>
        <w:rPr>
          <w:spacing w:val="-1"/>
        </w:rPr>
        <w:t xml:space="preserve"> </w:t>
      </w:r>
      <w:r>
        <w:t>another pathway to homelessness.</w:t>
      </w:r>
      <w:r>
        <w:rPr>
          <w:spacing w:val="-1"/>
        </w:rPr>
        <w:t xml:space="preserve"> </w:t>
      </w:r>
      <w:r>
        <w:t>86%</w:t>
      </w:r>
      <w:r>
        <w:rPr>
          <w:spacing w:val="-1"/>
        </w:rPr>
        <w:t xml:space="preserve"> </w:t>
      </w:r>
      <w:r>
        <w:t>of</w:t>
      </w:r>
      <w:r>
        <w:rPr>
          <w:spacing w:val="-2"/>
        </w:rPr>
        <w:t xml:space="preserve"> </w:t>
      </w:r>
      <w:r>
        <w:t>LGBTQ</w:t>
      </w:r>
      <w:r>
        <w:rPr>
          <w:spacing w:val="-2"/>
        </w:rPr>
        <w:t xml:space="preserve"> </w:t>
      </w:r>
      <w:r>
        <w:t>YYA have been</w:t>
      </w:r>
      <w:r>
        <w:rPr>
          <w:spacing w:val="-1"/>
        </w:rPr>
        <w:t xml:space="preserve"> </w:t>
      </w:r>
      <w:r>
        <w:t>verbally harassed</w:t>
      </w:r>
      <w:r>
        <w:rPr>
          <w:spacing w:val="-2"/>
        </w:rPr>
        <w:t xml:space="preserve"> </w:t>
      </w:r>
      <w:r>
        <w:t>at</w:t>
      </w:r>
      <w:r>
        <w:rPr>
          <w:spacing w:val="-2"/>
        </w:rPr>
        <w:t xml:space="preserve"> </w:t>
      </w:r>
      <w:r>
        <w:t>school,</w:t>
      </w:r>
      <w:r>
        <w:rPr>
          <w:spacing w:val="-1"/>
        </w:rPr>
        <w:t xml:space="preserve"> </w:t>
      </w:r>
      <w:r>
        <w:t>and</w:t>
      </w:r>
      <w:r>
        <w:rPr>
          <w:spacing w:val="-1"/>
        </w:rPr>
        <w:t xml:space="preserve"> </w:t>
      </w:r>
      <w:r>
        <w:t>60% do not feel safe in school, leading LGBTQ youth to be t</w:t>
      </w:r>
      <w:r>
        <w:t>wice as likely to drop out of school as their non- LGBTQ</w:t>
      </w:r>
      <w:r>
        <w:rPr>
          <w:spacing w:val="40"/>
        </w:rPr>
        <w:t xml:space="preserve"> </w:t>
      </w:r>
      <w:r>
        <w:t>peers</w:t>
      </w:r>
      <w:hyperlink w:anchor="_bookmark244" w:history="1">
        <w:r>
          <w:t>.</w:t>
        </w:r>
        <w:r>
          <w:rPr>
            <w:vertAlign w:val="superscript"/>
          </w:rPr>
          <w:t>82</w:t>
        </w:r>
        <w:r>
          <w:rPr>
            <w:spacing w:val="24"/>
          </w:rPr>
          <w:t xml:space="preserve"> </w:t>
        </w:r>
      </w:hyperlink>
      <w:r>
        <w:t>Youth</w:t>
      </w:r>
      <w:r>
        <w:rPr>
          <w:spacing w:val="40"/>
        </w:rPr>
        <w:t xml:space="preserve"> </w:t>
      </w:r>
      <w:r>
        <w:t>who</w:t>
      </w:r>
      <w:r>
        <w:rPr>
          <w:spacing w:val="40"/>
        </w:rPr>
        <w:t xml:space="preserve"> </w:t>
      </w:r>
      <w:r>
        <w:t>do</w:t>
      </w:r>
      <w:r>
        <w:rPr>
          <w:spacing w:val="40"/>
        </w:rPr>
        <w:t xml:space="preserve"> </w:t>
      </w:r>
      <w:r>
        <w:t>not</w:t>
      </w:r>
      <w:r>
        <w:rPr>
          <w:spacing w:val="40"/>
        </w:rPr>
        <w:t xml:space="preserve"> </w:t>
      </w:r>
      <w:r>
        <w:t>complete</w:t>
      </w:r>
      <w:r>
        <w:rPr>
          <w:spacing w:val="40"/>
        </w:rPr>
        <w:t xml:space="preserve"> </w:t>
      </w:r>
      <w:r>
        <w:t>high</w:t>
      </w:r>
      <w:r>
        <w:rPr>
          <w:spacing w:val="40"/>
        </w:rPr>
        <w:t xml:space="preserve"> </w:t>
      </w:r>
      <w:r>
        <w:t>school</w:t>
      </w:r>
      <w:r>
        <w:rPr>
          <w:spacing w:val="40"/>
        </w:rPr>
        <w:t xml:space="preserve"> </w:t>
      </w:r>
      <w:r>
        <w:t>have</w:t>
      </w:r>
      <w:r>
        <w:rPr>
          <w:spacing w:val="40"/>
        </w:rPr>
        <w:t xml:space="preserve"> </w:t>
      </w:r>
      <w:r>
        <w:t>a</w:t>
      </w:r>
      <w:r>
        <w:rPr>
          <w:spacing w:val="40"/>
        </w:rPr>
        <w:t xml:space="preserve"> </w:t>
      </w:r>
      <w:r>
        <w:t>346%</w:t>
      </w:r>
      <w:r>
        <w:rPr>
          <w:spacing w:val="40"/>
        </w:rPr>
        <w:t xml:space="preserve"> </w:t>
      </w:r>
      <w:r>
        <w:t>higher</w:t>
      </w:r>
      <w:r>
        <w:rPr>
          <w:spacing w:val="40"/>
        </w:rPr>
        <w:t xml:space="preserve"> </w:t>
      </w:r>
      <w:r>
        <w:t>risk</w:t>
      </w:r>
      <w:r>
        <w:rPr>
          <w:spacing w:val="40"/>
        </w:rPr>
        <w:t xml:space="preserve"> </w:t>
      </w:r>
      <w:r>
        <w:t>of</w:t>
      </w:r>
      <w:r>
        <w:rPr>
          <w:spacing w:val="40"/>
        </w:rPr>
        <w:t xml:space="preserve"> </w:t>
      </w:r>
      <w:r>
        <w:t>homelessness</w:t>
      </w:r>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spacing w:before="5"/>
        <w:rPr>
          <w:sz w:val="16"/>
        </w:rPr>
      </w:pPr>
    </w:p>
    <w:p w:rsidR="00C76E6D" w:rsidRDefault="00913831">
      <w:pPr>
        <w:pStyle w:val="BodyText"/>
        <w:spacing w:line="276" w:lineRule="auto"/>
        <w:ind w:left="478" w:right="477"/>
        <w:jc w:val="both"/>
      </w:pPr>
      <w:r>
        <w:t>regardless of sexual orientation or gender identity</w:t>
      </w:r>
      <w:hyperlink w:anchor="_bookmark245" w:history="1">
        <w:r>
          <w:t>.</w:t>
        </w:r>
        <w:r>
          <w:rPr>
            <w:vertAlign w:val="superscript"/>
          </w:rPr>
          <w:t>83</w:t>
        </w:r>
      </w:hyperlink>
      <w:r>
        <w:t xml:space="preserve"> Thus a discriminatory school environment may contribute</w:t>
      </w:r>
      <w:r>
        <w:rPr>
          <w:spacing w:val="-4"/>
        </w:rPr>
        <w:t xml:space="preserve"> </w:t>
      </w:r>
      <w:r>
        <w:t>to</w:t>
      </w:r>
      <w:r>
        <w:rPr>
          <w:spacing w:val="-5"/>
        </w:rPr>
        <w:t xml:space="preserve"> </w:t>
      </w:r>
      <w:r>
        <w:t>increased</w:t>
      </w:r>
      <w:r>
        <w:rPr>
          <w:spacing w:val="-5"/>
        </w:rPr>
        <w:t xml:space="preserve"> </w:t>
      </w:r>
      <w:r>
        <w:t>homelessness</w:t>
      </w:r>
      <w:r>
        <w:rPr>
          <w:spacing w:val="-6"/>
        </w:rPr>
        <w:t xml:space="preserve"> </w:t>
      </w:r>
      <w:r>
        <w:t>among</w:t>
      </w:r>
      <w:r>
        <w:rPr>
          <w:spacing w:val="-7"/>
        </w:rPr>
        <w:t xml:space="preserve"> </w:t>
      </w:r>
      <w:r>
        <w:t>LGBTQ</w:t>
      </w:r>
      <w:r>
        <w:rPr>
          <w:spacing w:val="-4"/>
        </w:rPr>
        <w:t xml:space="preserve"> </w:t>
      </w:r>
      <w:r>
        <w:t>YYA</w:t>
      </w:r>
      <w:hyperlink w:anchor="_bookmark246" w:history="1">
        <w:r>
          <w:t>.</w:t>
        </w:r>
        <w:r>
          <w:rPr>
            <w:vertAlign w:val="superscript"/>
          </w:rPr>
          <w:t>84</w:t>
        </w:r>
        <w:r>
          <w:rPr>
            <w:spacing w:val="-6"/>
          </w:rPr>
          <w:t xml:space="preserve"> </w:t>
        </w:r>
      </w:hyperlink>
      <w:r>
        <w:t>Although</w:t>
      </w:r>
      <w:r>
        <w:rPr>
          <w:spacing w:val="-7"/>
        </w:rPr>
        <w:t xml:space="preserve"> </w:t>
      </w:r>
      <w:r>
        <w:t>every</w:t>
      </w:r>
      <w:r>
        <w:rPr>
          <w:spacing w:val="-5"/>
        </w:rPr>
        <w:t xml:space="preserve"> </w:t>
      </w:r>
      <w:r>
        <w:t>youth</w:t>
      </w:r>
      <w:r>
        <w:rPr>
          <w:spacing w:val="-5"/>
        </w:rPr>
        <w:t xml:space="preserve"> </w:t>
      </w:r>
      <w:r>
        <w:t>has</w:t>
      </w:r>
      <w:r>
        <w:rPr>
          <w:spacing w:val="-6"/>
        </w:rPr>
        <w:t xml:space="preserve"> </w:t>
      </w:r>
      <w:r>
        <w:t>the</w:t>
      </w:r>
      <w:r>
        <w:rPr>
          <w:spacing w:val="-6"/>
        </w:rPr>
        <w:t xml:space="preserve"> </w:t>
      </w:r>
      <w:r>
        <w:t>right</w:t>
      </w:r>
      <w:r>
        <w:rPr>
          <w:spacing w:val="-6"/>
        </w:rPr>
        <w:t xml:space="preserve"> </w:t>
      </w:r>
      <w:r>
        <w:t>to</w:t>
      </w:r>
      <w:r>
        <w:rPr>
          <w:spacing w:val="-6"/>
        </w:rPr>
        <w:t xml:space="preserve"> </w:t>
      </w:r>
      <w:r>
        <w:t>receive an</w:t>
      </w:r>
      <w:r>
        <w:rPr>
          <w:spacing w:val="-15"/>
        </w:rPr>
        <w:t xml:space="preserve"> </w:t>
      </w:r>
      <w:r>
        <w:t>education,</w:t>
      </w:r>
      <w:r>
        <w:rPr>
          <w:spacing w:val="-13"/>
        </w:rPr>
        <w:t xml:space="preserve"> </w:t>
      </w:r>
      <w:r>
        <w:t>for</w:t>
      </w:r>
      <w:r>
        <w:rPr>
          <w:spacing w:val="-14"/>
        </w:rPr>
        <w:t xml:space="preserve"> </w:t>
      </w:r>
      <w:r>
        <w:t>LGBTQ</w:t>
      </w:r>
      <w:r>
        <w:rPr>
          <w:spacing w:val="-13"/>
        </w:rPr>
        <w:t xml:space="preserve"> </w:t>
      </w:r>
      <w:r>
        <w:t>youth</w:t>
      </w:r>
      <w:r>
        <w:rPr>
          <w:spacing w:val="-13"/>
        </w:rPr>
        <w:t xml:space="preserve"> </w:t>
      </w:r>
      <w:r>
        <w:t>their</w:t>
      </w:r>
      <w:r>
        <w:rPr>
          <w:spacing w:val="-13"/>
        </w:rPr>
        <w:t xml:space="preserve"> </w:t>
      </w:r>
      <w:r>
        <w:t>right</w:t>
      </w:r>
      <w:r>
        <w:rPr>
          <w:spacing w:val="-13"/>
        </w:rPr>
        <w:t xml:space="preserve"> </w:t>
      </w:r>
      <w:r>
        <w:t>t</w:t>
      </w:r>
      <w:r>
        <w:t>o</w:t>
      </w:r>
      <w:r>
        <w:rPr>
          <w:spacing w:val="-13"/>
        </w:rPr>
        <w:t xml:space="preserve"> </w:t>
      </w:r>
      <w:r>
        <w:t>education</w:t>
      </w:r>
      <w:r>
        <w:rPr>
          <w:spacing w:val="-12"/>
        </w:rPr>
        <w:t xml:space="preserve"> </w:t>
      </w:r>
      <w:r>
        <w:t>in</w:t>
      </w:r>
      <w:r>
        <w:rPr>
          <w:spacing w:val="-14"/>
        </w:rPr>
        <w:t xml:space="preserve"> </w:t>
      </w:r>
      <w:r>
        <w:t>a</w:t>
      </w:r>
      <w:r>
        <w:rPr>
          <w:spacing w:val="-14"/>
        </w:rPr>
        <w:t xml:space="preserve"> </w:t>
      </w:r>
      <w:r>
        <w:t>safe</w:t>
      </w:r>
      <w:r>
        <w:rPr>
          <w:spacing w:val="-13"/>
        </w:rPr>
        <w:t xml:space="preserve"> </w:t>
      </w:r>
      <w:r>
        <w:t>and</w:t>
      </w:r>
      <w:r>
        <w:rPr>
          <w:spacing w:val="-13"/>
        </w:rPr>
        <w:t xml:space="preserve"> </w:t>
      </w:r>
      <w:r>
        <w:t>stable</w:t>
      </w:r>
      <w:r>
        <w:rPr>
          <w:spacing w:val="-13"/>
        </w:rPr>
        <w:t xml:space="preserve"> </w:t>
      </w:r>
      <w:r>
        <w:t>environment</w:t>
      </w:r>
      <w:r>
        <w:rPr>
          <w:spacing w:val="-12"/>
        </w:rPr>
        <w:t xml:space="preserve"> </w:t>
      </w:r>
      <w:r>
        <w:t>is</w:t>
      </w:r>
      <w:r>
        <w:rPr>
          <w:spacing w:val="-14"/>
        </w:rPr>
        <w:t xml:space="preserve"> </w:t>
      </w:r>
      <w:r>
        <w:t>often</w:t>
      </w:r>
      <w:r>
        <w:rPr>
          <w:spacing w:val="-13"/>
        </w:rPr>
        <w:t xml:space="preserve"> </w:t>
      </w:r>
      <w:r>
        <w:t>neglected.</w:t>
      </w:r>
    </w:p>
    <w:p w:rsidR="00C76E6D" w:rsidRDefault="00C76E6D">
      <w:pPr>
        <w:pStyle w:val="BodyText"/>
        <w:spacing w:before="2"/>
        <w:rPr>
          <w:sz w:val="25"/>
        </w:rPr>
      </w:pPr>
    </w:p>
    <w:p w:rsidR="00C76E6D" w:rsidRDefault="00913831">
      <w:pPr>
        <w:pStyle w:val="BodyText"/>
        <w:spacing w:line="276" w:lineRule="auto"/>
        <w:ind w:left="478" w:right="476"/>
        <w:jc w:val="both"/>
      </w:pPr>
      <w:r>
        <w:t>Further, in addition to experiencing rejection and abuse at home and school, LGBTQ young adults may face discrimination in housing and rent, such as being denied a mortgage or being charged higher rental rates.</w:t>
      </w:r>
      <w:hyperlink w:anchor="_bookmark247" w:history="1">
        <w:r>
          <w:rPr>
            <w:vertAlign w:val="superscript"/>
          </w:rPr>
          <w:t>85</w:t>
        </w:r>
        <w:r>
          <w:rPr>
            <w:spacing w:val="-9"/>
          </w:rPr>
          <w:t xml:space="preserve"> </w:t>
        </w:r>
      </w:hyperlink>
      <w:r>
        <w:t>LGBTQ</w:t>
      </w:r>
      <w:r>
        <w:rPr>
          <w:spacing w:val="-9"/>
        </w:rPr>
        <w:t xml:space="preserve"> </w:t>
      </w:r>
      <w:r>
        <w:t>youth</w:t>
      </w:r>
      <w:r>
        <w:rPr>
          <w:spacing w:val="-6"/>
        </w:rPr>
        <w:t xml:space="preserve"> </w:t>
      </w:r>
      <w:r>
        <w:t>are</w:t>
      </w:r>
      <w:r>
        <w:rPr>
          <w:spacing w:val="-6"/>
        </w:rPr>
        <w:t xml:space="preserve"> </w:t>
      </w:r>
      <w:r>
        <w:t>also</w:t>
      </w:r>
      <w:r>
        <w:rPr>
          <w:spacing w:val="-5"/>
        </w:rPr>
        <w:t xml:space="preserve"> </w:t>
      </w:r>
      <w:r>
        <w:t>susceptible</w:t>
      </w:r>
      <w:r>
        <w:rPr>
          <w:spacing w:val="-4"/>
        </w:rPr>
        <w:t xml:space="preserve"> </w:t>
      </w:r>
      <w:r>
        <w:t>to</w:t>
      </w:r>
      <w:r>
        <w:rPr>
          <w:spacing w:val="-5"/>
        </w:rPr>
        <w:t xml:space="preserve"> </w:t>
      </w:r>
      <w:r>
        <w:t>other</w:t>
      </w:r>
      <w:r>
        <w:rPr>
          <w:spacing w:val="-4"/>
        </w:rPr>
        <w:t xml:space="preserve"> </w:t>
      </w:r>
      <w:r>
        <w:t>common</w:t>
      </w:r>
      <w:r>
        <w:rPr>
          <w:spacing w:val="-4"/>
        </w:rPr>
        <w:t xml:space="preserve"> </w:t>
      </w:r>
      <w:r>
        <w:t>causes</w:t>
      </w:r>
      <w:r>
        <w:rPr>
          <w:spacing w:val="-4"/>
        </w:rPr>
        <w:t xml:space="preserve"> </w:t>
      </w:r>
      <w:r>
        <w:t>of</w:t>
      </w:r>
      <w:r>
        <w:rPr>
          <w:spacing w:val="-5"/>
        </w:rPr>
        <w:t xml:space="preserve"> </w:t>
      </w:r>
      <w:r>
        <w:t>homelessness,</w:t>
      </w:r>
      <w:r>
        <w:rPr>
          <w:spacing w:val="-5"/>
        </w:rPr>
        <w:t xml:space="preserve"> </w:t>
      </w:r>
      <w:r>
        <w:t>which</w:t>
      </w:r>
      <w:r>
        <w:rPr>
          <w:spacing w:val="-6"/>
        </w:rPr>
        <w:t xml:space="preserve"> </w:t>
      </w:r>
      <w:r>
        <w:t>often</w:t>
      </w:r>
      <w:r>
        <w:rPr>
          <w:spacing w:val="-6"/>
        </w:rPr>
        <w:t xml:space="preserve"> </w:t>
      </w:r>
      <w:r>
        <w:t>begin</w:t>
      </w:r>
      <w:r>
        <w:rPr>
          <w:spacing w:val="-4"/>
        </w:rPr>
        <w:t xml:space="preserve"> </w:t>
      </w:r>
      <w:r>
        <w:t>in the context of family homelessness or after the death of a parent or caretaker</w:t>
      </w:r>
      <w:hyperlink w:anchor="_bookmark248" w:history="1">
        <w:r>
          <w:t>.</w:t>
        </w:r>
        <w:r>
          <w:rPr>
            <w:vertAlign w:val="superscript"/>
          </w:rPr>
          <w:t>86</w:t>
        </w:r>
        <w:r>
          <w:t xml:space="preserve"> </w:t>
        </w:r>
      </w:hyperlink>
      <w:r>
        <w:t>Lastly, involvement in the criminal justice system and pers</w:t>
      </w:r>
      <w:r>
        <w:t>onal/parental substance use are additional common causes of homelessness and are factors that disproportionately impact LGBTQ youth</w:t>
      </w:r>
      <w:hyperlink w:anchor="_bookmark249" w:history="1">
        <w:r>
          <w:t>.</w:t>
        </w:r>
        <w:r>
          <w:rPr>
            <w:vertAlign w:val="superscript"/>
          </w:rPr>
          <w:t>87</w:t>
        </w:r>
      </w:hyperlink>
    </w:p>
    <w:p w:rsidR="00C76E6D" w:rsidRDefault="00C76E6D">
      <w:pPr>
        <w:pStyle w:val="BodyText"/>
        <w:spacing w:before="1"/>
        <w:rPr>
          <w:sz w:val="27"/>
        </w:rPr>
      </w:pPr>
    </w:p>
    <w:p w:rsidR="00C76E6D" w:rsidRDefault="00913831">
      <w:pPr>
        <w:pStyle w:val="Heading6"/>
        <w:numPr>
          <w:ilvl w:val="0"/>
          <w:numId w:val="40"/>
        </w:numPr>
        <w:tabs>
          <w:tab w:val="left" w:pos="699"/>
        </w:tabs>
        <w:ind w:left="698" w:hanging="222"/>
        <w:jc w:val="left"/>
      </w:pPr>
      <w:bookmarkStart w:id="269" w:name="2._Experiences_While_Homeless"/>
      <w:bookmarkEnd w:id="269"/>
      <w:r>
        <w:rPr>
          <w:w w:val="95"/>
        </w:rPr>
        <w:t>Experiences</w:t>
      </w:r>
      <w:r>
        <w:rPr>
          <w:spacing w:val="17"/>
        </w:rPr>
        <w:t xml:space="preserve"> </w:t>
      </w:r>
      <w:r>
        <w:rPr>
          <w:w w:val="95"/>
        </w:rPr>
        <w:t>While</w:t>
      </w:r>
      <w:r>
        <w:rPr>
          <w:spacing w:val="20"/>
        </w:rPr>
        <w:t xml:space="preserve"> </w:t>
      </w:r>
      <w:r>
        <w:rPr>
          <w:spacing w:val="-2"/>
          <w:w w:val="95"/>
        </w:rPr>
        <w:t>Homeless</w:t>
      </w:r>
    </w:p>
    <w:p w:rsidR="00C76E6D" w:rsidRDefault="00C76E6D">
      <w:pPr>
        <w:pStyle w:val="BodyText"/>
        <w:spacing w:before="3"/>
        <w:rPr>
          <w:b/>
          <w:sz w:val="29"/>
        </w:rPr>
      </w:pPr>
    </w:p>
    <w:p w:rsidR="00C76E6D" w:rsidRDefault="00913831">
      <w:pPr>
        <w:pStyle w:val="BodyText"/>
        <w:spacing w:line="276" w:lineRule="auto"/>
        <w:ind w:left="478" w:right="472"/>
        <w:jc w:val="both"/>
      </w:pPr>
      <w:r>
        <w:t>In Massachusetts, EOHHS reports that every year nearly 3,800 unaccompanied youth and young adults experience homelessness</w:t>
      </w:r>
      <w:hyperlink w:anchor="_bookmark250" w:history="1">
        <w:r>
          <w:t>.</w:t>
        </w:r>
        <w:r>
          <w:rPr>
            <w:vertAlign w:val="superscript"/>
          </w:rPr>
          <w:t>88</w:t>
        </w:r>
      </w:hyperlink>
      <w:r>
        <w:t xml:space="preserve"> Additionally, the Commission is acutely aware of the significant discrimination and trauma endured </w:t>
      </w:r>
      <w:r>
        <w:t>by housing insecure</w:t>
      </w:r>
      <w:r>
        <w:rPr>
          <w:spacing w:val="-1"/>
        </w:rPr>
        <w:t xml:space="preserve"> </w:t>
      </w:r>
      <w:r>
        <w:t>LGBTQ youth in both the community</w:t>
      </w:r>
      <w:r>
        <w:rPr>
          <w:spacing w:val="-1"/>
        </w:rPr>
        <w:t xml:space="preserve"> </w:t>
      </w:r>
      <w:r>
        <w:t>and within structures meant to keep them safe. The 2019 Massachusetts Youth Count found that LGBTQ-identified youth were more likely to have slept in a car or outside the night before and that those who</w:t>
      </w:r>
      <w:r>
        <w:t xml:space="preserve"> did not identify</w:t>
      </w:r>
      <w:r>
        <w:rPr>
          <w:spacing w:val="-5"/>
        </w:rPr>
        <w:t xml:space="preserve"> </w:t>
      </w:r>
      <w:r>
        <w:t>as</w:t>
      </w:r>
      <w:r>
        <w:rPr>
          <w:spacing w:val="-6"/>
        </w:rPr>
        <w:t xml:space="preserve"> </w:t>
      </w:r>
      <w:r>
        <w:t>LGBTQ</w:t>
      </w:r>
      <w:r>
        <w:rPr>
          <w:spacing w:val="-8"/>
        </w:rPr>
        <w:t xml:space="preserve"> </w:t>
      </w:r>
      <w:r>
        <w:t>were</w:t>
      </w:r>
      <w:r>
        <w:rPr>
          <w:spacing w:val="-7"/>
        </w:rPr>
        <w:t xml:space="preserve"> </w:t>
      </w:r>
      <w:r>
        <w:t>more</w:t>
      </w:r>
      <w:r>
        <w:rPr>
          <w:spacing w:val="-8"/>
        </w:rPr>
        <w:t xml:space="preserve"> </w:t>
      </w:r>
      <w:r>
        <w:t>likely</w:t>
      </w:r>
      <w:r>
        <w:rPr>
          <w:spacing w:val="-6"/>
        </w:rPr>
        <w:t xml:space="preserve"> </w:t>
      </w:r>
      <w:r>
        <w:t>to</w:t>
      </w:r>
      <w:r>
        <w:rPr>
          <w:spacing w:val="-5"/>
        </w:rPr>
        <w:t xml:space="preserve"> </w:t>
      </w:r>
      <w:r>
        <w:t>have</w:t>
      </w:r>
      <w:r>
        <w:rPr>
          <w:spacing w:val="-8"/>
        </w:rPr>
        <w:t xml:space="preserve"> </w:t>
      </w:r>
      <w:r>
        <w:t>stayed</w:t>
      </w:r>
      <w:r>
        <w:rPr>
          <w:spacing w:val="-5"/>
        </w:rPr>
        <w:t xml:space="preserve"> </w:t>
      </w:r>
      <w:r>
        <w:t>in</w:t>
      </w:r>
      <w:r>
        <w:rPr>
          <w:spacing w:val="-7"/>
        </w:rPr>
        <w:t xml:space="preserve"> </w:t>
      </w:r>
      <w:r>
        <w:t>a</w:t>
      </w:r>
      <w:r>
        <w:rPr>
          <w:spacing w:val="-5"/>
        </w:rPr>
        <w:t xml:space="preserve"> </w:t>
      </w:r>
      <w:r>
        <w:t>shelter</w:t>
      </w:r>
      <w:hyperlink w:anchor="_bookmark251" w:history="1">
        <w:r>
          <w:t>.</w:t>
        </w:r>
        <w:r>
          <w:rPr>
            <w:vertAlign w:val="superscript"/>
          </w:rPr>
          <w:t>89</w:t>
        </w:r>
        <w:r>
          <w:rPr>
            <w:spacing w:val="-7"/>
          </w:rPr>
          <w:t xml:space="preserve"> </w:t>
        </w:r>
      </w:hyperlink>
      <w:r>
        <w:t>LGBTQ</w:t>
      </w:r>
      <w:r>
        <w:rPr>
          <w:spacing w:val="-7"/>
        </w:rPr>
        <w:t xml:space="preserve"> </w:t>
      </w:r>
      <w:r>
        <w:t>YYA</w:t>
      </w:r>
      <w:r>
        <w:rPr>
          <w:spacing w:val="-5"/>
        </w:rPr>
        <w:t xml:space="preserve"> </w:t>
      </w:r>
      <w:r>
        <w:t>frequently</w:t>
      </w:r>
      <w:r>
        <w:rPr>
          <w:spacing w:val="-4"/>
        </w:rPr>
        <w:t xml:space="preserve"> </w:t>
      </w:r>
      <w:r>
        <w:t>cite</w:t>
      </w:r>
      <w:r>
        <w:rPr>
          <w:spacing w:val="-7"/>
        </w:rPr>
        <w:t xml:space="preserve"> </w:t>
      </w:r>
      <w:r>
        <w:t>feeling</w:t>
      </w:r>
      <w:r>
        <w:rPr>
          <w:spacing w:val="-5"/>
        </w:rPr>
        <w:t xml:space="preserve"> </w:t>
      </w:r>
      <w:r>
        <w:t>unsafe as a barrier to receiving services more than non- LGBTQ identifying youth</w:t>
      </w:r>
      <w:hyperlink w:anchor="_bookmark252" w:history="1">
        <w:r>
          <w:t>.</w:t>
        </w:r>
        <w:r>
          <w:rPr>
            <w:vertAlign w:val="superscript"/>
          </w:rPr>
          <w:t>90</w:t>
        </w:r>
      </w:hyperlink>
      <w:r>
        <w:t xml:space="preserve"> A recent comprehensive national</w:t>
      </w:r>
      <w:r>
        <w:rPr>
          <w:spacing w:val="-6"/>
        </w:rPr>
        <w:t xml:space="preserve"> </w:t>
      </w:r>
      <w:r>
        <w:t>study</w:t>
      </w:r>
      <w:r>
        <w:rPr>
          <w:spacing w:val="-5"/>
        </w:rPr>
        <w:t xml:space="preserve"> </w:t>
      </w:r>
      <w:r>
        <w:t>found</w:t>
      </w:r>
      <w:r>
        <w:rPr>
          <w:spacing w:val="-4"/>
        </w:rPr>
        <w:t xml:space="preserve"> </w:t>
      </w:r>
      <w:r>
        <w:t>that</w:t>
      </w:r>
      <w:r>
        <w:rPr>
          <w:spacing w:val="-3"/>
        </w:rPr>
        <w:t xml:space="preserve"> </w:t>
      </w:r>
      <w:r>
        <w:t>LGBTQ</w:t>
      </w:r>
      <w:r>
        <w:rPr>
          <w:spacing w:val="-4"/>
        </w:rPr>
        <w:t xml:space="preserve"> </w:t>
      </w:r>
      <w:r>
        <w:t>YYA</w:t>
      </w:r>
      <w:r>
        <w:rPr>
          <w:spacing w:val="-4"/>
        </w:rPr>
        <w:t xml:space="preserve"> </w:t>
      </w:r>
      <w:r>
        <w:t>experiencing</w:t>
      </w:r>
      <w:r>
        <w:rPr>
          <w:spacing w:val="-4"/>
        </w:rPr>
        <w:t xml:space="preserve"> </w:t>
      </w:r>
      <w:r>
        <w:t>homelessness</w:t>
      </w:r>
      <w:r>
        <w:rPr>
          <w:spacing w:val="-4"/>
        </w:rPr>
        <w:t xml:space="preserve"> </w:t>
      </w:r>
      <w:r>
        <w:t>faced</w:t>
      </w:r>
      <w:r>
        <w:rPr>
          <w:spacing w:val="-4"/>
        </w:rPr>
        <w:t xml:space="preserve"> </w:t>
      </w:r>
      <w:r>
        <w:t>over</w:t>
      </w:r>
      <w:r>
        <w:rPr>
          <w:spacing w:val="-4"/>
        </w:rPr>
        <w:t xml:space="preserve"> </w:t>
      </w:r>
      <w:r>
        <w:t>twice</w:t>
      </w:r>
      <w:r>
        <w:rPr>
          <w:spacing w:val="-4"/>
        </w:rPr>
        <w:t xml:space="preserve"> </w:t>
      </w:r>
      <w:r>
        <w:t>the</w:t>
      </w:r>
      <w:r>
        <w:rPr>
          <w:spacing w:val="-5"/>
        </w:rPr>
        <w:t xml:space="preserve"> </w:t>
      </w:r>
      <w:r>
        <w:t>rate</w:t>
      </w:r>
      <w:r>
        <w:rPr>
          <w:spacing w:val="-6"/>
        </w:rPr>
        <w:t xml:space="preserve"> </w:t>
      </w:r>
      <w:r>
        <w:t>of</w:t>
      </w:r>
      <w:r>
        <w:rPr>
          <w:spacing w:val="-4"/>
        </w:rPr>
        <w:t xml:space="preserve"> </w:t>
      </w:r>
      <w:r>
        <w:t>early</w:t>
      </w:r>
      <w:r>
        <w:rPr>
          <w:spacing w:val="-4"/>
        </w:rPr>
        <w:t xml:space="preserve"> </w:t>
      </w:r>
      <w:r>
        <w:t>death compared</w:t>
      </w:r>
      <w:r>
        <w:rPr>
          <w:spacing w:val="-13"/>
        </w:rPr>
        <w:t xml:space="preserve"> </w:t>
      </w:r>
      <w:r>
        <w:t>to</w:t>
      </w:r>
      <w:r>
        <w:rPr>
          <w:spacing w:val="-12"/>
        </w:rPr>
        <w:t xml:space="preserve"> </w:t>
      </w:r>
      <w:r>
        <w:t>other</w:t>
      </w:r>
      <w:r>
        <w:rPr>
          <w:spacing w:val="-13"/>
        </w:rPr>
        <w:t xml:space="preserve"> </w:t>
      </w:r>
      <w:r>
        <w:t>homeless</w:t>
      </w:r>
      <w:r>
        <w:rPr>
          <w:spacing w:val="-12"/>
        </w:rPr>
        <w:t xml:space="preserve"> </w:t>
      </w:r>
      <w:r>
        <w:t>youth</w:t>
      </w:r>
      <w:r>
        <w:rPr>
          <w:spacing w:val="-13"/>
        </w:rPr>
        <w:t xml:space="preserve"> </w:t>
      </w:r>
      <w:r>
        <w:t>and</w:t>
      </w:r>
      <w:r>
        <w:rPr>
          <w:spacing w:val="-11"/>
        </w:rPr>
        <w:t xml:space="preserve"> </w:t>
      </w:r>
      <w:r>
        <w:t>that</w:t>
      </w:r>
      <w:r>
        <w:rPr>
          <w:spacing w:val="-13"/>
        </w:rPr>
        <w:t xml:space="preserve"> </w:t>
      </w:r>
      <w:r>
        <w:t>they</w:t>
      </w:r>
      <w:r>
        <w:rPr>
          <w:spacing w:val="-11"/>
        </w:rPr>
        <w:t xml:space="preserve"> </w:t>
      </w:r>
      <w:r>
        <w:t>also</w:t>
      </w:r>
      <w:r>
        <w:rPr>
          <w:spacing w:val="-12"/>
        </w:rPr>
        <w:t xml:space="preserve"> </w:t>
      </w:r>
      <w:r>
        <w:t>faced</w:t>
      </w:r>
      <w:r>
        <w:rPr>
          <w:spacing w:val="-13"/>
        </w:rPr>
        <w:t xml:space="preserve"> </w:t>
      </w:r>
      <w:r>
        <w:t>higher</w:t>
      </w:r>
      <w:r>
        <w:rPr>
          <w:spacing w:val="-12"/>
        </w:rPr>
        <w:t xml:space="preserve"> </w:t>
      </w:r>
      <w:r>
        <w:t>rates</w:t>
      </w:r>
      <w:r>
        <w:rPr>
          <w:spacing w:val="-13"/>
        </w:rPr>
        <w:t xml:space="preserve"> </w:t>
      </w:r>
      <w:r>
        <w:t>of</w:t>
      </w:r>
      <w:r>
        <w:rPr>
          <w:spacing w:val="-11"/>
        </w:rPr>
        <w:t xml:space="preserve"> </w:t>
      </w:r>
      <w:r>
        <w:t>trauma</w:t>
      </w:r>
      <w:r>
        <w:rPr>
          <w:spacing w:val="-12"/>
        </w:rPr>
        <w:t xml:space="preserve"> </w:t>
      </w:r>
      <w:r>
        <w:t>and</w:t>
      </w:r>
      <w:r>
        <w:rPr>
          <w:spacing w:val="-13"/>
        </w:rPr>
        <w:t xml:space="preserve"> </w:t>
      </w:r>
      <w:r>
        <w:t>overall</w:t>
      </w:r>
      <w:r>
        <w:rPr>
          <w:spacing w:val="-11"/>
        </w:rPr>
        <w:t xml:space="preserve"> </w:t>
      </w:r>
      <w:r>
        <w:t>adversity</w:t>
      </w:r>
      <w:hyperlink w:anchor="_bookmark253" w:history="1">
        <w:r>
          <w:t>.</w:t>
        </w:r>
        <w:r>
          <w:rPr>
            <w:vertAlign w:val="superscript"/>
          </w:rPr>
          <w:t>91</w:t>
        </w:r>
      </w:hyperlink>
      <w:r>
        <w:t xml:space="preserve"> These higher rates of trauma and adverse events included exposure to discrimination or stigma outside and within their family, physical assault, self-harm, nonconsensual sex, and exchange of sexual acts for basic survival </w:t>
      </w:r>
      <w:r>
        <w:t>needs.</w:t>
      </w:r>
      <w:hyperlink w:anchor="_bookmark254" w:history="1">
        <w:r>
          <w:rPr>
            <w:vertAlign w:val="superscript"/>
          </w:rPr>
          <w:t>92</w:t>
        </w:r>
        <w:r>
          <w:t xml:space="preserve"> </w:t>
        </w:r>
      </w:hyperlink>
      <w:r>
        <w:t>An understanding of these experiences is essential in developing systems that do not further traumatize LGBTQ youth and perpetuate stigma and discrimination.</w:t>
      </w:r>
    </w:p>
    <w:p w:rsidR="00C76E6D" w:rsidRDefault="00C76E6D">
      <w:pPr>
        <w:pStyle w:val="BodyText"/>
        <w:spacing w:before="4"/>
        <w:rPr>
          <w:sz w:val="26"/>
        </w:rPr>
      </w:pPr>
    </w:p>
    <w:p w:rsidR="00C76E6D" w:rsidRDefault="00913831">
      <w:pPr>
        <w:pStyle w:val="BodyText"/>
        <w:spacing w:before="1" w:line="276" w:lineRule="auto"/>
        <w:ind w:left="478" w:right="475"/>
        <w:jc w:val="both"/>
      </w:pPr>
      <w:r>
        <w:t>Unfortunately,</w:t>
      </w:r>
      <w:r>
        <w:rPr>
          <w:spacing w:val="-9"/>
        </w:rPr>
        <w:t xml:space="preserve"> </w:t>
      </w:r>
      <w:r>
        <w:t>while</w:t>
      </w:r>
      <w:r>
        <w:rPr>
          <w:spacing w:val="-10"/>
        </w:rPr>
        <w:t xml:space="preserve"> </w:t>
      </w:r>
      <w:r>
        <w:t>it</w:t>
      </w:r>
      <w:r>
        <w:rPr>
          <w:spacing w:val="-9"/>
        </w:rPr>
        <w:t xml:space="preserve"> </w:t>
      </w:r>
      <w:r>
        <w:t>is</w:t>
      </w:r>
      <w:r>
        <w:rPr>
          <w:spacing w:val="-9"/>
        </w:rPr>
        <w:t xml:space="preserve"> </w:t>
      </w:r>
      <w:r>
        <w:t>understood</w:t>
      </w:r>
      <w:r>
        <w:rPr>
          <w:spacing w:val="-10"/>
        </w:rPr>
        <w:t xml:space="preserve"> </w:t>
      </w:r>
      <w:r>
        <w:t>that</w:t>
      </w:r>
      <w:r>
        <w:rPr>
          <w:spacing w:val="-10"/>
        </w:rPr>
        <w:t xml:space="preserve"> </w:t>
      </w:r>
      <w:r>
        <w:t>mental</w:t>
      </w:r>
      <w:r>
        <w:rPr>
          <w:spacing w:val="-10"/>
        </w:rPr>
        <w:t xml:space="preserve"> </w:t>
      </w:r>
      <w:r>
        <w:t>health</w:t>
      </w:r>
      <w:r>
        <w:rPr>
          <w:spacing w:val="-10"/>
        </w:rPr>
        <w:t xml:space="preserve"> </w:t>
      </w:r>
      <w:r>
        <w:t>outcomes</w:t>
      </w:r>
      <w:r>
        <w:rPr>
          <w:spacing w:val="-7"/>
        </w:rPr>
        <w:t xml:space="preserve"> </w:t>
      </w:r>
      <w:r>
        <w:t>contribute</w:t>
      </w:r>
      <w:r>
        <w:rPr>
          <w:spacing w:val="-9"/>
        </w:rPr>
        <w:t xml:space="preserve"> </w:t>
      </w:r>
      <w:r>
        <w:t>to</w:t>
      </w:r>
      <w:r>
        <w:rPr>
          <w:spacing w:val="-7"/>
        </w:rPr>
        <w:t xml:space="preserve"> </w:t>
      </w:r>
      <w:r>
        <w:t>homelessness</w:t>
      </w:r>
      <w:r>
        <w:rPr>
          <w:spacing w:val="-9"/>
        </w:rPr>
        <w:t xml:space="preserve"> </w:t>
      </w:r>
      <w:r>
        <w:t>for</w:t>
      </w:r>
      <w:r>
        <w:rPr>
          <w:spacing w:val="-10"/>
        </w:rPr>
        <w:t xml:space="preserve"> </w:t>
      </w:r>
      <w:r>
        <w:t>LGBTQ YYA, once these young people experience homelessness, there continues to be a downward trend in overall mental health.</w:t>
      </w:r>
      <w:hyperlink w:anchor="_bookmark255" w:history="1">
        <w:r>
          <w:rPr>
            <w:vertAlign w:val="superscript"/>
          </w:rPr>
          <w:t>93</w:t>
        </w:r>
      </w:hyperlink>
      <w:r>
        <w:t xml:space="preserve"> These mental health outcomes include post-traumatic stre</w:t>
      </w:r>
      <w:r>
        <w:t>ss disorder (PTSD), depression, anxiety, increase substance use, binge drinking, and suicide (including ideation, intent, attempts, and death by suicide)</w:t>
      </w:r>
      <w:hyperlink w:anchor="_bookmark256" w:history="1">
        <w:r>
          <w:t>.</w:t>
        </w:r>
        <w:r>
          <w:rPr>
            <w:vertAlign w:val="superscript"/>
          </w:rPr>
          <w:t>94</w:t>
        </w:r>
      </w:hyperlink>
      <w:r>
        <w:t xml:space="preserve"> LGBTQ YYA experiencing homelessness are twice as likely to have att</w:t>
      </w:r>
      <w:r>
        <w:t>empted</w:t>
      </w:r>
      <w:r>
        <w:rPr>
          <w:spacing w:val="-8"/>
        </w:rPr>
        <w:t xml:space="preserve"> </w:t>
      </w:r>
      <w:r>
        <w:t>suicide</w:t>
      </w:r>
      <w:r>
        <w:rPr>
          <w:spacing w:val="-6"/>
        </w:rPr>
        <w:t xml:space="preserve"> </w:t>
      </w:r>
      <w:r>
        <w:t>(62%</w:t>
      </w:r>
      <w:r>
        <w:rPr>
          <w:spacing w:val="-8"/>
        </w:rPr>
        <w:t xml:space="preserve"> </w:t>
      </w:r>
      <w:r>
        <w:t>vs.</w:t>
      </w:r>
      <w:r>
        <w:rPr>
          <w:spacing w:val="-7"/>
        </w:rPr>
        <w:t xml:space="preserve"> </w:t>
      </w:r>
      <w:r>
        <w:t>29%),</w:t>
      </w:r>
      <w:r>
        <w:rPr>
          <w:spacing w:val="-6"/>
        </w:rPr>
        <w:t xml:space="preserve"> </w:t>
      </w:r>
      <w:r>
        <w:t>and</w:t>
      </w:r>
      <w:r>
        <w:rPr>
          <w:spacing w:val="-8"/>
        </w:rPr>
        <w:t xml:space="preserve"> </w:t>
      </w:r>
      <w:r>
        <w:t>155%</w:t>
      </w:r>
      <w:r>
        <w:rPr>
          <w:spacing w:val="-9"/>
        </w:rPr>
        <w:t xml:space="preserve"> </w:t>
      </w:r>
      <w:r>
        <w:t>are</w:t>
      </w:r>
      <w:r>
        <w:rPr>
          <w:spacing w:val="-7"/>
        </w:rPr>
        <w:t xml:space="preserve"> </w:t>
      </w:r>
      <w:r>
        <w:t>more</w:t>
      </w:r>
      <w:r>
        <w:rPr>
          <w:spacing w:val="-8"/>
        </w:rPr>
        <w:t xml:space="preserve"> </w:t>
      </w:r>
      <w:r>
        <w:t>likely</w:t>
      </w:r>
      <w:r>
        <w:rPr>
          <w:spacing w:val="-7"/>
        </w:rPr>
        <w:t xml:space="preserve"> </w:t>
      </w:r>
      <w:r>
        <w:t>to</w:t>
      </w:r>
      <w:r>
        <w:rPr>
          <w:spacing w:val="-6"/>
        </w:rPr>
        <w:t xml:space="preserve"> </w:t>
      </w:r>
      <w:r>
        <w:t>have</w:t>
      </w:r>
      <w:r>
        <w:rPr>
          <w:spacing w:val="-7"/>
        </w:rPr>
        <w:t xml:space="preserve"> </w:t>
      </w:r>
      <w:r>
        <w:t>abused</w:t>
      </w:r>
      <w:r>
        <w:rPr>
          <w:spacing w:val="-8"/>
        </w:rPr>
        <w:t xml:space="preserve"> </w:t>
      </w:r>
      <w:r>
        <w:t>drugs</w:t>
      </w:r>
      <w:r>
        <w:rPr>
          <w:spacing w:val="-7"/>
        </w:rPr>
        <w:t xml:space="preserve"> </w:t>
      </w:r>
      <w:r>
        <w:t>(42%</w:t>
      </w:r>
      <w:r>
        <w:rPr>
          <w:spacing w:val="-8"/>
        </w:rPr>
        <w:t xml:space="preserve"> </w:t>
      </w:r>
      <w:r>
        <w:t>vs.</w:t>
      </w:r>
      <w:r>
        <w:rPr>
          <w:spacing w:val="-8"/>
        </w:rPr>
        <w:t xml:space="preserve"> </w:t>
      </w:r>
      <w:r>
        <w:t>27%)</w:t>
      </w:r>
      <w:r>
        <w:rPr>
          <w:spacing w:val="-8"/>
        </w:rPr>
        <w:t xml:space="preserve"> </w:t>
      </w:r>
      <w:r>
        <w:t>than</w:t>
      </w:r>
      <w:r>
        <w:rPr>
          <w:spacing w:val="-8"/>
        </w:rPr>
        <w:t xml:space="preserve"> </w:t>
      </w:r>
      <w:r>
        <w:t>their non-LGBTQ peers</w:t>
      </w:r>
      <w:hyperlink w:anchor="_bookmark257" w:history="1">
        <w:r>
          <w:t>.</w:t>
        </w:r>
        <w:r>
          <w:rPr>
            <w:vertAlign w:val="superscript"/>
          </w:rPr>
          <w:t>95</w:t>
        </w:r>
        <w:r>
          <w:t xml:space="preserve"> </w:t>
        </w:r>
      </w:hyperlink>
      <w:r>
        <w:t>Criteria for a substance use disorder is met by a notable 29% of homeless LGBTQ youth</w:t>
      </w:r>
      <w:hyperlink w:anchor="_bookmark258" w:history="1">
        <w:r>
          <w:t>.</w:t>
        </w:r>
        <w:r>
          <w:rPr>
            <w:vertAlign w:val="superscript"/>
          </w:rPr>
          <w:t>96</w:t>
        </w:r>
        <w:r>
          <w:rPr>
            <w:spacing w:val="-13"/>
          </w:rPr>
          <w:t xml:space="preserve"> </w:t>
        </w:r>
      </w:hyperlink>
      <w:r>
        <w:t>LGBTQ</w:t>
      </w:r>
      <w:r>
        <w:rPr>
          <w:spacing w:val="-12"/>
        </w:rPr>
        <w:t xml:space="preserve"> </w:t>
      </w:r>
      <w:r>
        <w:t>homeless</w:t>
      </w:r>
      <w:r>
        <w:rPr>
          <w:spacing w:val="-13"/>
        </w:rPr>
        <w:t xml:space="preserve"> </w:t>
      </w:r>
      <w:r>
        <w:t>youth</w:t>
      </w:r>
      <w:r>
        <w:rPr>
          <w:spacing w:val="-12"/>
        </w:rPr>
        <w:t xml:space="preserve"> </w:t>
      </w:r>
      <w:r>
        <w:t>also</w:t>
      </w:r>
      <w:r>
        <w:rPr>
          <w:spacing w:val="-13"/>
        </w:rPr>
        <w:t xml:space="preserve"> </w:t>
      </w:r>
      <w:r>
        <w:t>use</w:t>
      </w:r>
      <w:r>
        <w:rPr>
          <w:spacing w:val="-12"/>
        </w:rPr>
        <w:t xml:space="preserve"> </w:t>
      </w:r>
      <w:r>
        <w:t>cocaine,</w:t>
      </w:r>
      <w:r>
        <w:rPr>
          <w:spacing w:val="-13"/>
        </w:rPr>
        <w:t xml:space="preserve"> </w:t>
      </w:r>
      <w:r>
        <w:t>methamphetamines,</w:t>
      </w:r>
      <w:r>
        <w:rPr>
          <w:spacing w:val="-12"/>
        </w:rPr>
        <w:t xml:space="preserve"> </w:t>
      </w:r>
      <w:r>
        <w:t>and</w:t>
      </w:r>
      <w:r>
        <w:rPr>
          <w:spacing w:val="-12"/>
        </w:rPr>
        <w:t xml:space="preserve"> </w:t>
      </w:r>
      <w:r>
        <w:t>crack</w:t>
      </w:r>
      <w:r>
        <w:rPr>
          <w:spacing w:val="-13"/>
        </w:rPr>
        <w:t xml:space="preserve"> </w:t>
      </w:r>
      <w:r>
        <w:t>at</w:t>
      </w:r>
      <w:r>
        <w:rPr>
          <w:spacing w:val="-12"/>
        </w:rPr>
        <w:t xml:space="preserve"> </w:t>
      </w:r>
      <w:r>
        <w:t>higher</w:t>
      </w:r>
      <w:r>
        <w:rPr>
          <w:spacing w:val="-13"/>
        </w:rPr>
        <w:t xml:space="preserve"> </w:t>
      </w:r>
      <w:r>
        <w:t>rates</w:t>
      </w:r>
      <w:r>
        <w:rPr>
          <w:spacing w:val="-12"/>
        </w:rPr>
        <w:t xml:space="preserve"> </w:t>
      </w:r>
      <w:r>
        <w:t>than</w:t>
      </w:r>
      <w:r>
        <w:rPr>
          <w:spacing w:val="-13"/>
        </w:rPr>
        <w:t xml:space="preserve"> </w:t>
      </w:r>
      <w:r>
        <w:t>their non-LGBTQ peers</w:t>
      </w:r>
      <w:hyperlink w:anchor="_bookmark259" w:history="1">
        <w:r>
          <w:t>.</w:t>
        </w:r>
        <w:r>
          <w:rPr>
            <w:vertAlign w:val="superscript"/>
          </w:rPr>
          <w:t>97</w:t>
        </w:r>
      </w:hyperlink>
    </w:p>
    <w:p w:rsidR="00C76E6D" w:rsidRDefault="00C76E6D">
      <w:pPr>
        <w:pStyle w:val="BodyText"/>
        <w:spacing w:before="11"/>
        <w:rPr>
          <w:sz w:val="25"/>
        </w:rPr>
      </w:pPr>
    </w:p>
    <w:p w:rsidR="00C76E6D" w:rsidRDefault="00913831">
      <w:pPr>
        <w:pStyle w:val="BodyText"/>
        <w:spacing w:line="276" w:lineRule="auto"/>
        <w:ind w:left="478" w:right="476"/>
        <w:jc w:val="both"/>
      </w:pPr>
      <w:r>
        <w:t>The</w:t>
      </w:r>
      <w:r>
        <w:rPr>
          <w:spacing w:val="-13"/>
        </w:rPr>
        <w:t xml:space="preserve"> </w:t>
      </w:r>
      <w:r>
        <w:t>prevalence</w:t>
      </w:r>
      <w:r>
        <w:rPr>
          <w:spacing w:val="-12"/>
        </w:rPr>
        <w:t xml:space="preserve"> </w:t>
      </w:r>
      <w:r>
        <w:t>of</w:t>
      </w:r>
      <w:r>
        <w:rPr>
          <w:spacing w:val="-13"/>
        </w:rPr>
        <w:t xml:space="preserve"> </w:t>
      </w:r>
      <w:r>
        <w:t>trauma,</w:t>
      </w:r>
      <w:r>
        <w:rPr>
          <w:spacing w:val="-12"/>
        </w:rPr>
        <w:t xml:space="preserve"> </w:t>
      </w:r>
      <w:r>
        <w:t>as</w:t>
      </w:r>
      <w:r>
        <w:rPr>
          <w:spacing w:val="-13"/>
        </w:rPr>
        <w:t xml:space="preserve"> </w:t>
      </w:r>
      <w:r>
        <w:t>noted</w:t>
      </w:r>
      <w:r>
        <w:rPr>
          <w:spacing w:val="-12"/>
        </w:rPr>
        <w:t xml:space="preserve"> </w:t>
      </w:r>
      <w:r>
        <w:t>before,</w:t>
      </w:r>
      <w:r>
        <w:rPr>
          <w:spacing w:val="-13"/>
        </w:rPr>
        <w:t xml:space="preserve"> </w:t>
      </w:r>
      <w:r>
        <w:t>is</w:t>
      </w:r>
      <w:r>
        <w:rPr>
          <w:spacing w:val="-12"/>
        </w:rPr>
        <w:t xml:space="preserve"> </w:t>
      </w:r>
      <w:r>
        <w:t>extensive</w:t>
      </w:r>
      <w:r>
        <w:rPr>
          <w:spacing w:val="-12"/>
        </w:rPr>
        <w:t xml:space="preserve"> </w:t>
      </w:r>
      <w:r>
        <w:t>among</w:t>
      </w:r>
      <w:r>
        <w:rPr>
          <w:spacing w:val="-13"/>
        </w:rPr>
        <w:t xml:space="preserve"> </w:t>
      </w:r>
      <w:r>
        <w:t>LGBTQ</w:t>
      </w:r>
      <w:r>
        <w:rPr>
          <w:spacing w:val="-12"/>
        </w:rPr>
        <w:t xml:space="preserve"> </w:t>
      </w:r>
      <w:r>
        <w:t>YYA</w:t>
      </w:r>
      <w:r>
        <w:rPr>
          <w:spacing w:val="-13"/>
        </w:rPr>
        <w:t xml:space="preserve"> </w:t>
      </w:r>
      <w:r>
        <w:t>who</w:t>
      </w:r>
      <w:r>
        <w:rPr>
          <w:spacing w:val="-12"/>
        </w:rPr>
        <w:t xml:space="preserve"> </w:t>
      </w:r>
      <w:r>
        <w:t>experience</w:t>
      </w:r>
      <w:r>
        <w:rPr>
          <w:spacing w:val="-12"/>
        </w:rPr>
        <w:t xml:space="preserve"> </w:t>
      </w:r>
      <w:r>
        <w:t>homelessness. A</w:t>
      </w:r>
      <w:r>
        <w:rPr>
          <w:spacing w:val="-3"/>
        </w:rPr>
        <w:t xml:space="preserve"> </w:t>
      </w:r>
      <w:r>
        <w:t>recent</w:t>
      </w:r>
      <w:r>
        <w:rPr>
          <w:spacing w:val="-2"/>
        </w:rPr>
        <w:t xml:space="preserve"> </w:t>
      </w:r>
      <w:r>
        <w:t>study</w:t>
      </w:r>
      <w:r>
        <w:rPr>
          <w:spacing w:val="-3"/>
        </w:rPr>
        <w:t xml:space="preserve"> </w:t>
      </w:r>
      <w:r>
        <w:t>estimated</w:t>
      </w:r>
      <w:r>
        <w:rPr>
          <w:spacing w:val="-1"/>
        </w:rPr>
        <w:t xml:space="preserve"> </w:t>
      </w:r>
      <w:r>
        <w:t>that</w:t>
      </w:r>
      <w:r>
        <w:rPr>
          <w:spacing w:val="-3"/>
        </w:rPr>
        <w:t xml:space="preserve"> </w:t>
      </w:r>
      <w:r>
        <w:t>95%</w:t>
      </w:r>
      <w:r>
        <w:rPr>
          <w:spacing w:val="-1"/>
        </w:rPr>
        <w:t xml:space="preserve"> </w:t>
      </w:r>
      <w:r>
        <w:t>of</w:t>
      </w:r>
      <w:r>
        <w:rPr>
          <w:spacing w:val="-2"/>
        </w:rPr>
        <w:t xml:space="preserve"> </w:t>
      </w:r>
      <w:r>
        <w:t>housing</w:t>
      </w:r>
      <w:r>
        <w:rPr>
          <w:spacing w:val="-3"/>
        </w:rPr>
        <w:t xml:space="preserve"> </w:t>
      </w:r>
      <w:r>
        <w:t>insecure</w:t>
      </w:r>
      <w:r>
        <w:rPr>
          <w:spacing w:val="-3"/>
        </w:rPr>
        <w:t xml:space="preserve"> </w:t>
      </w:r>
      <w:r>
        <w:t>LGBTQ</w:t>
      </w:r>
      <w:r>
        <w:rPr>
          <w:spacing w:val="-2"/>
        </w:rPr>
        <w:t xml:space="preserve"> </w:t>
      </w:r>
      <w:r>
        <w:t>YYA</w:t>
      </w:r>
      <w:r>
        <w:rPr>
          <w:spacing w:val="-3"/>
        </w:rPr>
        <w:t xml:space="preserve"> </w:t>
      </w:r>
      <w:r>
        <w:t>have</w:t>
      </w:r>
      <w:r>
        <w:rPr>
          <w:spacing w:val="-2"/>
        </w:rPr>
        <w:t xml:space="preserve"> </w:t>
      </w:r>
      <w:r>
        <w:t>reported</w:t>
      </w:r>
      <w:r>
        <w:rPr>
          <w:spacing w:val="-3"/>
        </w:rPr>
        <w:t xml:space="preserve"> </w:t>
      </w:r>
      <w:r>
        <w:t>at</w:t>
      </w:r>
      <w:r>
        <w:rPr>
          <w:spacing w:val="-1"/>
        </w:rPr>
        <w:t xml:space="preserve"> </w:t>
      </w:r>
      <w:r>
        <w:t>least</w:t>
      </w:r>
      <w:r>
        <w:rPr>
          <w:spacing w:val="-2"/>
        </w:rPr>
        <w:t xml:space="preserve"> </w:t>
      </w:r>
      <w:r>
        <w:t>one</w:t>
      </w:r>
      <w:r>
        <w:rPr>
          <w:spacing w:val="-3"/>
        </w:rPr>
        <w:t xml:space="preserve"> </w:t>
      </w:r>
      <w:r>
        <w:t>incident</w:t>
      </w:r>
      <w:r>
        <w:rPr>
          <w:spacing w:val="-2"/>
        </w:rPr>
        <w:t xml:space="preserve"> </w:t>
      </w:r>
      <w:r>
        <w:t>of trauma</w:t>
      </w:r>
      <w:hyperlink w:anchor="_bookmark260" w:history="1">
        <w:r>
          <w:t>.</w:t>
        </w:r>
        <w:r>
          <w:rPr>
            <w:vertAlign w:val="superscript"/>
          </w:rPr>
          <w:t>98</w:t>
        </w:r>
        <w:r>
          <w:rPr>
            <w:spacing w:val="-2"/>
          </w:rPr>
          <w:t xml:space="preserve"> </w:t>
        </w:r>
      </w:hyperlink>
      <w:r>
        <w:t>While</w:t>
      </w:r>
      <w:r>
        <w:rPr>
          <w:spacing w:val="-5"/>
        </w:rPr>
        <w:t xml:space="preserve"> </w:t>
      </w:r>
      <w:r>
        <w:t>trauma</w:t>
      </w:r>
      <w:r>
        <w:rPr>
          <w:spacing w:val="-5"/>
        </w:rPr>
        <w:t xml:space="preserve"> </w:t>
      </w:r>
      <w:r>
        <w:t>is</w:t>
      </w:r>
      <w:r>
        <w:rPr>
          <w:spacing w:val="-3"/>
        </w:rPr>
        <w:t xml:space="preserve"> </w:t>
      </w:r>
      <w:r>
        <w:t>widespread</w:t>
      </w:r>
      <w:r>
        <w:rPr>
          <w:spacing w:val="-5"/>
        </w:rPr>
        <w:t xml:space="preserve"> </w:t>
      </w:r>
      <w:r>
        <w:t>among</w:t>
      </w:r>
      <w:r>
        <w:rPr>
          <w:spacing w:val="-7"/>
        </w:rPr>
        <w:t xml:space="preserve"> </w:t>
      </w:r>
      <w:r>
        <w:t>all</w:t>
      </w:r>
      <w:r>
        <w:rPr>
          <w:spacing w:val="-4"/>
        </w:rPr>
        <w:t xml:space="preserve"> </w:t>
      </w:r>
      <w:r>
        <w:t>individuals</w:t>
      </w:r>
      <w:r>
        <w:rPr>
          <w:spacing w:val="-5"/>
        </w:rPr>
        <w:t xml:space="preserve"> </w:t>
      </w:r>
      <w:r>
        <w:t>who</w:t>
      </w:r>
      <w:r>
        <w:rPr>
          <w:spacing w:val="-5"/>
        </w:rPr>
        <w:t xml:space="preserve"> </w:t>
      </w:r>
      <w:r>
        <w:t>experience</w:t>
      </w:r>
      <w:r>
        <w:rPr>
          <w:spacing w:val="-4"/>
        </w:rPr>
        <w:t xml:space="preserve"> </w:t>
      </w:r>
      <w:r>
        <w:t>homelessness,</w:t>
      </w:r>
      <w:r>
        <w:rPr>
          <w:spacing w:val="-4"/>
        </w:rPr>
        <w:t xml:space="preserve"> </w:t>
      </w:r>
      <w:r>
        <w:t>LGBTQ</w:t>
      </w:r>
      <w:r>
        <w:rPr>
          <w:spacing w:val="-5"/>
        </w:rPr>
        <w:t xml:space="preserve"> </w:t>
      </w:r>
      <w:r>
        <w:t>yo</w:t>
      </w:r>
      <w:r>
        <w:t>uth experiencing</w:t>
      </w:r>
      <w:r>
        <w:rPr>
          <w:spacing w:val="-10"/>
        </w:rPr>
        <w:t xml:space="preserve"> </w:t>
      </w:r>
      <w:r>
        <w:t>homelessness</w:t>
      </w:r>
      <w:r>
        <w:rPr>
          <w:spacing w:val="-11"/>
        </w:rPr>
        <w:t xml:space="preserve"> </w:t>
      </w:r>
      <w:r>
        <w:t>face,</w:t>
      </w:r>
      <w:r>
        <w:rPr>
          <w:spacing w:val="-11"/>
        </w:rPr>
        <w:t xml:space="preserve"> </w:t>
      </w:r>
      <w:r>
        <w:t>on</w:t>
      </w:r>
      <w:r>
        <w:rPr>
          <w:spacing w:val="-12"/>
        </w:rPr>
        <w:t xml:space="preserve"> </w:t>
      </w:r>
      <w:r>
        <w:t>average,</w:t>
      </w:r>
      <w:r>
        <w:rPr>
          <w:spacing w:val="-11"/>
        </w:rPr>
        <w:t xml:space="preserve"> </w:t>
      </w:r>
      <w:r>
        <w:t>7.4</w:t>
      </w:r>
      <w:r>
        <w:rPr>
          <w:spacing w:val="-11"/>
        </w:rPr>
        <w:t xml:space="preserve"> </w:t>
      </w:r>
      <w:r>
        <w:t>times</w:t>
      </w:r>
      <w:r>
        <w:rPr>
          <w:spacing w:val="-11"/>
        </w:rPr>
        <w:t xml:space="preserve"> </w:t>
      </w:r>
      <w:r>
        <w:t>more</w:t>
      </w:r>
      <w:r>
        <w:rPr>
          <w:spacing w:val="-12"/>
        </w:rPr>
        <w:t xml:space="preserve"> </w:t>
      </w:r>
      <w:r>
        <w:t>acts</w:t>
      </w:r>
      <w:r>
        <w:rPr>
          <w:spacing w:val="-11"/>
        </w:rPr>
        <w:t xml:space="preserve"> </w:t>
      </w:r>
      <w:r>
        <w:t>of</w:t>
      </w:r>
      <w:r>
        <w:rPr>
          <w:spacing w:val="-10"/>
        </w:rPr>
        <w:t xml:space="preserve"> </w:t>
      </w:r>
      <w:r>
        <w:t>sexual</w:t>
      </w:r>
      <w:r>
        <w:rPr>
          <w:spacing w:val="-12"/>
        </w:rPr>
        <w:t xml:space="preserve"> </w:t>
      </w:r>
      <w:r>
        <w:t>violence</w:t>
      </w:r>
      <w:r>
        <w:rPr>
          <w:spacing w:val="-12"/>
        </w:rPr>
        <w:t xml:space="preserve"> </w:t>
      </w:r>
      <w:r>
        <w:t>than</w:t>
      </w:r>
      <w:r>
        <w:rPr>
          <w:spacing w:val="-11"/>
        </w:rPr>
        <w:t xml:space="preserve"> </w:t>
      </w:r>
      <w:r>
        <w:t>their</w:t>
      </w:r>
      <w:r>
        <w:rPr>
          <w:spacing w:val="-10"/>
        </w:rPr>
        <w:t xml:space="preserve"> </w:t>
      </w:r>
      <w:r>
        <w:t>non-LGBTQ</w:t>
      </w:r>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913831">
      <w:pPr>
        <w:pStyle w:val="BodyText"/>
        <w:spacing w:before="200" w:line="276" w:lineRule="auto"/>
        <w:ind w:left="479" w:right="476" w:hanging="2"/>
        <w:jc w:val="both"/>
      </w:pPr>
      <w:r>
        <w:t>peers</w:t>
      </w:r>
      <w:hyperlink w:anchor="_bookmark261" w:history="1">
        <w:r>
          <w:t>.</w:t>
        </w:r>
        <w:r>
          <w:rPr>
            <w:vertAlign w:val="superscript"/>
          </w:rPr>
          <w:t>99</w:t>
        </w:r>
      </w:hyperlink>
      <w:r>
        <w:t xml:space="preserve"> While sexual minority women and transgender women experiencing homelessness more frequently face intimate partner abuse, sexual minority men and transgender men are more likely to report violence committed by a stranger, underscoring that the experiences </w:t>
      </w:r>
      <w:r>
        <w:t>and needs of these youth vary and require a range of interventions</w:t>
      </w:r>
      <w:hyperlink w:anchor="_bookmark262" w:history="1">
        <w:r>
          <w:t>.</w:t>
        </w:r>
        <w:r>
          <w:rPr>
            <w:vertAlign w:val="superscript"/>
          </w:rPr>
          <w:t>100</w:t>
        </w:r>
      </w:hyperlink>
    </w:p>
    <w:p w:rsidR="00C76E6D" w:rsidRDefault="00C76E6D">
      <w:pPr>
        <w:pStyle w:val="BodyText"/>
        <w:spacing w:before="4"/>
        <w:rPr>
          <w:sz w:val="25"/>
        </w:rPr>
      </w:pPr>
    </w:p>
    <w:p w:rsidR="00C76E6D" w:rsidRDefault="00913831">
      <w:pPr>
        <w:pStyle w:val="BodyText"/>
        <w:spacing w:line="276" w:lineRule="auto"/>
        <w:ind w:left="478" w:right="474"/>
        <w:jc w:val="both"/>
      </w:pPr>
      <w:r>
        <w:t>Higher rates of engaging in survival sex, therein sex is exchanged for money, food, or shelter/protection, is a shared experience amongst homeless LGBTQ</w:t>
      </w:r>
      <w:r>
        <w:t xml:space="preserve"> youth in comparison to their non-LGBTQ homeless peers</w:t>
      </w:r>
      <w:hyperlink w:anchor="_bookmark263" w:history="1">
        <w:r>
          <w:t>.</w:t>
        </w:r>
        <w:r>
          <w:rPr>
            <w:vertAlign w:val="superscript"/>
          </w:rPr>
          <w:t>101</w:t>
        </w:r>
        <w:r>
          <w:rPr>
            <w:spacing w:val="-12"/>
          </w:rPr>
          <w:t xml:space="preserve"> </w:t>
        </w:r>
      </w:hyperlink>
      <w:r>
        <w:t>Another</w:t>
      </w:r>
      <w:r>
        <w:rPr>
          <w:spacing w:val="-11"/>
        </w:rPr>
        <w:t xml:space="preserve"> </w:t>
      </w:r>
      <w:r>
        <w:t>study</w:t>
      </w:r>
      <w:r>
        <w:rPr>
          <w:spacing w:val="-11"/>
        </w:rPr>
        <w:t xml:space="preserve"> </w:t>
      </w:r>
      <w:r>
        <w:t>showed</w:t>
      </w:r>
      <w:r>
        <w:rPr>
          <w:spacing w:val="-10"/>
        </w:rPr>
        <w:t xml:space="preserve"> </w:t>
      </w:r>
      <w:r>
        <w:t>that</w:t>
      </w:r>
      <w:r>
        <w:rPr>
          <w:spacing w:val="-12"/>
        </w:rPr>
        <w:t xml:space="preserve"> </w:t>
      </w:r>
      <w:r>
        <w:t>LGB</w:t>
      </w:r>
      <w:r>
        <w:rPr>
          <w:spacing w:val="-9"/>
        </w:rPr>
        <w:t xml:space="preserve"> </w:t>
      </w:r>
      <w:r>
        <w:t>youth</w:t>
      </w:r>
      <w:r>
        <w:rPr>
          <w:spacing w:val="-10"/>
        </w:rPr>
        <w:t xml:space="preserve"> </w:t>
      </w:r>
      <w:r>
        <w:t>experiencing</w:t>
      </w:r>
      <w:r>
        <w:rPr>
          <w:spacing w:val="-10"/>
        </w:rPr>
        <w:t xml:space="preserve"> </w:t>
      </w:r>
      <w:r>
        <w:t>homelessness</w:t>
      </w:r>
      <w:r>
        <w:rPr>
          <w:spacing w:val="-10"/>
        </w:rPr>
        <w:t xml:space="preserve"> </w:t>
      </w:r>
      <w:r>
        <w:t>are</w:t>
      </w:r>
      <w:r>
        <w:rPr>
          <w:spacing w:val="-10"/>
        </w:rPr>
        <w:t xml:space="preserve"> </w:t>
      </w:r>
      <w:r>
        <w:t>70%</w:t>
      </w:r>
      <w:r>
        <w:rPr>
          <w:spacing w:val="-11"/>
        </w:rPr>
        <w:t xml:space="preserve"> </w:t>
      </w:r>
      <w:r>
        <w:t>more</w:t>
      </w:r>
      <w:r>
        <w:rPr>
          <w:spacing w:val="-10"/>
        </w:rPr>
        <w:t xml:space="preserve"> </w:t>
      </w:r>
      <w:r>
        <w:t>likely</w:t>
      </w:r>
      <w:r>
        <w:rPr>
          <w:spacing w:val="-11"/>
        </w:rPr>
        <w:t xml:space="preserve"> </w:t>
      </w:r>
      <w:r>
        <w:t>than</w:t>
      </w:r>
      <w:r>
        <w:rPr>
          <w:spacing w:val="-9"/>
        </w:rPr>
        <w:t xml:space="preserve"> </w:t>
      </w:r>
      <w:r>
        <w:t>their non-LGB</w:t>
      </w:r>
      <w:r>
        <w:rPr>
          <w:spacing w:val="-10"/>
        </w:rPr>
        <w:t xml:space="preserve"> </w:t>
      </w:r>
      <w:r>
        <w:t>peers</w:t>
      </w:r>
      <w:r>
        <w:rPr>
          <w:spacing w:val="-10"/>
        </w:rPr>
        <w:t xml:space="preserve"> </w:t>
      </w:r>
      <w:r>
        <w:t>to</w:t>
      </w:r>
      <w:r>
        <w:rPr>
          <w:spacing w:val="-7"/>
        </w:rPr>
        <w:t xml:space="preserve"> </w:t>
      </w:r>
      <w:r>
        <w:t>engage</w:t>
      </w:r>
      <w:r>
        <w:rPr>
          <w:spacing w:val="-8"/>
        </w:rPr>
        <w:t xml:space="preserve"> </w:t>
      </w:r>
      <w:r>
        <w:t>in</w:t>
      </w:r>
      <w:r>
        <w:rPr>
          <w:spacing w:val="-8"/>
        </w:rPr>
        <w:t xml:space="preserve"> </w:t>
      </w:r>
      <w:r>
        <w:t>survival</w:t>
      </w:r>
      <w:r>
        <w:rPr>
          <w:spacing w:val="-9"/>
        </w:rPr>
        <w:t xml:space="preserve"> </w:t>
      </w:r>
      <w:r>
        <w:t>sex.</w:t>
      </w:r>
      <w:hyperlink w:anchor="_bookmark264" w:history="1">
        <w:r>
          <w:rPr>
            <w:vertAlign w:val="superscript"/>
          </w:rPr>
          <w:t>102</w:t>
        </w:r>
        <w:r>
          <w:rPr>
            <w:spacing w:val="-12"/>
          </w:rPr>
          <w:t xml:space="preserve"> </w:t>
        </w:r>
      </w:hyperlink>
      <w:r>
        <w:t>In</w:t>
      </w:r>
      <w:r>
        <w:rPr>
          <w:spacing w:val="-7"/>
        </w:rPr>
        <w:t xml:space="preserve"> </w:t>
      </w:r>
      <w:r>
        <w:t>Massachusetts,</w:t>
      </w:r>
      <w:r>
        <w:rPr>
          <w:spacing w:val="-7"/>
        </w:rPr>
        <w:t xml:space="preserve"> </w:t>
      </w:r>
      <w:r>
        <w:t>the</w:t>
      </w:r>
      <w:r>
        <w:rPr>
          <w:spacing w:val="-8"/>
        </w:rPr>
        <w:t xml:space="preserve"> </w:t>
      </w:r>
      <w:r>
        <w:t>Youth</w:t>
      </w:r>
      <w:r>
        <w:rPr>
          <w:spacing w:val="-8"/>
        </w:rPr>
        <w:t xml:space="preserve"> </w:t>
      </w:r>
      <w:r>
        <w:t>Count</w:t>
      </w:r>
      <w:r>
        <w:rPr>
          <w:spacing w:val="-8"/>
        </w:rPr>
        <w:t xml:space="preserve"> </w:t>
      </w:r>
      <w:r>
        <w:t>found</w:t>
      </w:r>
      <w:r>
        <w:rPr>
          <w:spacing w:val="-8"/>
        </w:rPr>
        <w:t xml:space="preserve"> </w:t>
      </w:r>
      <w:r>
        <w:t>that</w:t>
      </w:r>
      <w:r>
        <w:rPr>
          <w:spacing w:val="-8"/>
        </w:rPr>
        <w:t xml:space="preserve"> </w:t>
      </w:r>
      <w:r>
        <w:t>34.5%</w:t>
      </w:r>
      <w:r>
        <w:rPr>
          <w:spacing w:val="-8"/>
        </w:rPr>
        <w:t xml:space="preserve"> </w:t>
      </w:r>
      <w:r>
        <w:t>of</w:t>
      </w:r>
      <w:r>
        <w:rPr>
          <w:spacing w:val="-9"/>
        </w:rPr>
        <w:t xml:space="preserve"> </w:t>
      </w:r>
      <w:r>
        <w:t>LGBTQ youth reported engaging in survival sex, and LGBTQ youth were four times more likely to engage in survival</w:t>
      </w:r>
      <w:r>
        <w:rPr>
          <w:spacing w:val="-2"/>
        </w:rPr>
        <w:t xml:space="preserve"> </w:t>
      </w:r>
      <w:r>
        <w:t>sex than homeless youth who did not identify as LGBTQ.</w:t>
      </w:r>
      <w:hyperlink w:anchor="_bookmark265" w:history="1">
        <w:r>
          <w:rPr>
            <w:vertAlign w:val="superscript"/>
          </w:rPr>
          <w:t>103</w:t>
        </w:r>
        <w:r>
          <w:rPr>
            <w:spacing w:val="-7"/>
          </w:rPr>
          <w:t xml:space="preserve"> </w:t>
        </w:r>
      </w:hyperlink>
      <w:r>
        <w:t>Those engaging in survival sex report experiencing increased discrimination due to the criminalized nature of sex work. This has subsequently contributed to increased contact with law enforcement, disqualification from public housing, potential expuls</w:t>
      </w:r>
      <w:r>
        <w:t xml:space="preserve">ion from education institutions, and denial of financial aid if charged with a prostitution-related </w:t>
      </w:r>
      <w:r>
        <w:rPr>
          <w:spacing w:val="-2"/>
        </w:rPr>
        <w:t>crime</w:t>
      </w:r>
      <w:hyperlink w:anchor="_bookmark266" w:history="1">
        <w:r>
          <w:rPr>
            <w:spacing w:val="-2"/>
          </w:rPr>
          <w:t>.</w:t>
        </w:r>
        <w:r>
          <w:rPr>
            <w:spacing w:val="-2"/>
            <w:vertAlign w:val="superscript"/>
          </w:rPr>
          <w:t>104</w:t>
        </w:r>
      </w:hyperlink>
    </w:p>
    <w:p w:rsidR="00C76E6D" w:rsidRDefault="00C76E6D">
      <w:pPr>
        <w:pStyle w:val="BodyText"/>
        <w:spacing w:before="5"/>
        <w:rPr>
          <w:sz w:val="25"/>
        </w:rPr>
      </w:pPr>
    </w:p>
    <w:p w:rsidR="00C76E6D" w:rsidRDefault="00913831">
      <w:pPr>
        <w:pStyle w:val="BodyText"/>
        <w:spacing w:line="276" w:lineRule="auto"/>
        <w:ind w:left="479" w:right="474"/>
        <w:jc w:val="both"/>
      </w:pPr>
      <w:r>
        <w:t>LGBTQ YYA experiencing homelessness are, additionally, at greater risk for experiencing worsening academic</w:t>
      </w:r>
      <w:r>
        <w:rPr>
          <w:spacing w:val="-3"/>
        </w:rPr>
        <w:t xml:space="preserve"> </w:t>
      </w:r>
      <w:r>
        <w:t>outcom</w:t>
      </w:r>
      <w:r>
        <w:t>es,</w:t>
      </w:r>
      <w:r>
        <w:rPr>
          <w:spacing w:val="-3"/>
        </w:rPr>
        <w:t xml:space="preserve"> </w:t>
      </w:r>
      <w:r>
        <w:t>as they</w:t>
      </w:r>
      <w:r>
        <w:rPr>
          <w:spacing w:val="-3"/>
        </w:rPr>
        <w:t xml:space="preserve"> </w:t>
      </w:r>
      <w:r>
        <w:t>face</w:t>
      </w:r>
      <w:r>
        <w:rPr>
          <w:spacing w:val="-2"/>
        </w:rPr>
        <w:t xml:space="preserve"> </w:t>
      </w:r>
      <w:r>
        <w:t>barriers</w:t>
      </w:r>
      <w:r>
        <w:rPr>
          <w:spacing w:val="-1"/>
        </w:rPr>
        <w:t xml:space="preserve"> </w:t>
      </w:r>
      <w:r>
        <w:t>returning</w:t>
      </w:r>
      <w:r>
        <w:rPr>
          <w:spacing w:val="-1"/>
        </w:rPr>
        <w:t xml:space="preserve"> </w:t>
      </w:r>
      <w:r>
        <w:t>to</w:t>
      </w:r>
      <w:r>
        <w:rPr>
          <w:spacing w:val="-1"/>
        </w:rPr>
        <w:t xml:space="preserve"> </w:t>
      </w:r>
      <w:r>
        <w:t>school</w:t>
      </w:r>
      <w:r>
        <w:rPr>
          <w:spacing w:val="-2"/>
        </w:rPr>
        <w:t xml:space="preserve"> </w:t>
      </w:r>
      <w:r>
        <w:t>upon</w:t>
      </w:r>
      <w:r>
        <w:rPr>
          <w:spacing w:val="-1"/>
        </w:rPr>
        <w:t xml:space="preserve"> </w:t>
      </w:r>
      <w:r>
        <w:t>becoming</w:t>
      </w:r>
      <w:r>
        <w:rPr>
          <w:spacing w:val="-2"/>
        </w:rPr>
        <w:t xml:space="preserve"> </w:t>
      </w:r>
      <w:r>
        <w:t>homeless</w:t>
      </w:r>
      <w:r>
        <w:rPr>
          <w:spacing w:val="-1"/>
        </w:rPr>
        <w:t xml:space="preserve"> </w:t>
      </w:r>
      <w:r>
        <w:t>and</w:t>
      </w:r>
      <w:r>
        <w:rPr>
          <w:spacing w:val="-2"/>
        </w:rPr>
        <w:t xml:space="preserve"> </w:t>
      </w:r>
      <w:r>
        <w:t>often</w:t>
      </w:r>
      <w:r>
        <w:rPr>
          <w:spacing w:val="-2"/>
        </w:rPr>
        <w:t xml:space="preserve"> </w:t>
      </w:r>
      <w:r>
        <w:t>do not reengage while unhoused</w:t>
      </w:r>
      <w:hyperlink w:anchor="_bookmark267" w:history="1">
        <w:r>
          <w:t>.</w:t>
        </w:r>
        <w:r>
          <w:rPr>
            <w:vertAlign w:val="superscript"/>
          </w:rPr>
          <w:t>105</w:t>
        </w:r>
      </w:hyperlink>
      <w:r>
        <w:t xml:space="preserve"> A recent study reported that nearly 1 in 5 (19%) school-aged youth experiencing homelessness identify as LGB</w:t>
      </w:r>
      <w:hyperlink w:anchor="_bookmark268" w:history="1">
        <w:r>
          <w:t>.</w:t>
        </w:r>
        <w:r>
          <w:rPr>
            <w:vertAlign w:val="superscript"/>
          </w:rPr>
          <w:t>106</w:t>
        </w:r>
      </w:hyperlink>
      <w:r>
        <w:t xml:space="preserve"> Risk factors impacting this population’s poor academic performance and low academic attainment include but are not limited to low engagement, intermittent attendance,</w:t>
      </w:r>
      <w:r>
        <w:rPr>
          <w:spacing w:val="-13"/>
        </w:rPr>
        <w:t xml:space="preserve"> </w:t>
      </w:r>
      <w:r>
        <w:t>and</w:t>
      </w:r>
      <w:r>
        <w:rPr>
          <w:spacing w:val="-12"/>
        </w:rPr>
        <w:t xml:space="preserve"> </w:t>
      </w:r>
      <w:r>
        <w:t>inability</w:t>
      </w:r>
      <w:r>
        <w:rPr>
          <w:spacing w:val="-13"/>
        </w:rPr>
        <w:t xml:space="preserve"> </w:t>
      </w:r>
      <w:r>
        <w:t>to</w:t>
      </w:r>
      <w:r>
        <w:rPr>
          <w:spacing w:val="-11"/>
        </w:rPr>
        <w:t xml:space="preserve"> </w:t>
      </w:r>
      <w:r>
        <w:t>devote</w:t>
      </w:r>
      <w:r>
        <w:rPr>
          <w:spacing w:val="-11"/>
        </w:rPr>
        <w:t xml:space="preserve"> </w:t>
      </w:r>
      <w:r>
        <w:t>full</w:t>
      </w:r>
      <w:r>
        <w:rPr>
          <w:spacing w:val="-12"/>
        </w:rPr>
        <w:t xml:space="preserve"> </w:t>
      </w:r>
      <w:r>
        <w:t>attention</w:t>
      </w:r>
      <w:r>
        <w:rPr>
          <w:spacing w:val="-12"/>
        </w:rPr>
        <w:t xml:space="preserve"> </w:t>
      </w:r>
      <w:r>
        <w:t>to</w:t>
      </w:r>
      <w:r>
        <w:rPr>
          <w:spacing w:val="-10"/>
        </w:rPr>
        <w:t xml:space="preserve"> </w:t>
      </w:r>
      <w:r>
        <w:t>the</w:t>
      </w:r>
      <w:r>
        <w:rPr>
          <w:spacing w:val="-12"/>
        </w:rPr>
        <w:t xml:space="preserve"> </w:t>
      </w:r>
      <w:r>
        <w:t>demands</w:t>
      </w:r>
      <w:r>
        <w:rPr>
          <w:spacing w:val="-11"/>
        </w:rPr>
        <w:t xml:space="preserve"> </w:t>
      </w:r>
      <w:r>
        <w:t>of</w:t>
      </w:r>
      <w:r>
        <w:rPr>
          <w:spacing w:val="-13"/>
        </w:rPr>
        <w:t xml:space="preserve"> </w:t>
      </w:r>
      <w:r>
        <w:t>school</w:t>
      </w:r>
      <w:r>
        <w:rPr>
          <w:spacing w:val="-12"/>
        </w:rPr>
        <w:t xml:space="preserve"> </w:t>
      </w:r>
      <w:r>
        <w:t>activity</w:t>
      </w:r>
      <w:r>
        <w:rPr>
          <w:spacing w:val="-10"/>
        </w:rPr>
        <w:t xml:space="preserve"> </w:t>
      </w:r>
      <w:r>
        <w:t>and</w:t>
      </w:r>
      <w:r>
        <w:rPr>
          <w:spacing w:val="-13"/>
        </w:rPr>
        <w:t xml:space="preserve"> </w:t>
      </w:r>
      <w:r>
        <w:t>learning.</w:t>
      </w:r>
      <w:hyperlink w:anchor="_bookmark269" w:history="1">
        <w:r>
          <w:rPr>
            <w:vertAlign w:val="superscript"/>
          </w:rPr>
          <w:t>107</w:t>
        </w:r>
        <w:r>
          <w:rPr>
            <w:spacing w:val="-12"/>
          </w:rPr>
          <w:t xml:space="preserve"> </w:t>
        </w:r>
      </w:hyperlink>
      <w:r>
        <w:t>A</w:t>
      </w:r>
      <w:r>
        <w:rPr>
          <w:spacing w:val="-12"/>
        </w:rPr>
        <w:t xml:space="preserve"> </w:t>
      </w:r>
      <w:r>
        <w:t>study in</w:t>
      </w:r>
      <w:r>
        <w:rPr>
          <w:spacing w:val="-1"/>
        </w:rPr>
        <w:t xml:space="preserve"> </w:t>
      </w:r>
      <w:r>
        <w:t>Massachusetts found that</w:t>
      </w:r>
      <w:r>
        <w:rPr>
          <w:spacing w:val="-2"/>
        </w:rPr>
        <w:t xml:space="preserve"> </w:t>
      </w:r>
      <w:r>
        <w:t>about 25%</w:t>
      </w:r>
      <w:r>
        <w:rPr>
          <w:spacing w:val="-1"/>
        </w:rPr>
        <w:t xml:space="preserve"> </w:t>
      </w:r>
      <w:r>
        <w:t>of</w:t>
      </w:r>
      <w:r>
        <w:rPr>
          <w:spacing w:val="-2"/>
        </w:rPr>
        <w:t xml:space="preserve"> </w:t>
      </w:r>
      <w:r>
        <w:t>all self-identified lesbian/gay</w:t>
      </w:r>
      <w:r>
        <w:rPr>
          <w:spacing w:val="-1"/>
        </w:rPr>
        <w:t xml:space="preserve"> </w:t>
      </w:r>
      <w:r>
        <w:t>high</w:t>
      </w:r>
      <w:r>
        <w:rPr>
          <w:spacing w:val="-1"/>
        </w:rPr>
        <w:t xml:space="preserve"> </w:t>
      </w:r>
      <w:r>
        <w:t>school</w:t>
      </w:r>
      <w:r>
        <w:rPr>
          <w:spacing w:val="-2"/>
        </w:rPr>
        <w:t xml:space="preserve"> </w:t>
      </w:r>
      <w:r>
        <w:t>students and</w:t>
      </w:r>
      <w:r>
        <w:rPr>
          <w:spacing w:val="-1"/>
        </w:rPr>
        <w:t xml:space="preserve"> </w:t>
      </w:r>
      <w:r>
        <w:t xml:space="preserve">15% of self-identified bisexual students reported current or recent homelessness, </w:t>
      </w:r>
      <w:r>
        <w:t>compared to 3% of self- identified heterosexual students</w:t>
      </w:r>
      <w:hyperlink w:anchor="_bookmark270" w:history="1">
        <w:r>
          <w:t>.</w:t>
        </w:r>
        <w:r>
          <w:rPr>
            <w:vertAlign w:val="superscript"/>
          </w:rPr>
          <w:t>108</w:t>
        </w:r>
      </w:hyperlink>
    </w:p>
    <w:p w:rsidR="00C76E6D" w:rsidRDefault="00C76E6D">
      <w:pPr>
        <w:pStyle w:val="BodyText"/>
        <w:spacing w:before="5"/>
        <w:rPr>
          <w:sz w:val="26"/>
        </w:rPr>
      </w:pPr>
    </w:p>
    <w:p w:rsidR="00C76E6D" w:rsidRDefault="00913831">
      <w:pPr>
        <w:pStyle w:val="BodyText"/>
        <w:spacing w:line="276" w:lineRule="auto"/>
        <w:ind w:left="478" w:right="473"/>
        <w:jc w:val="both"/>
      </w:pPr>
      <w:r>
        <w:t>Physical</w:t>
      </w:r>
      <w:r>
        <w:rPr>
          <w:spacing w:val="-4"/>
        </w:rPr>
        <w:t xml:space="preserve"> </w:t>
      </w:r>
      <w:r>
        <w:t>health</w:t>
      </w:r>
      <w:r>
        <w:rPr>
          <w:spacing w:val="-4"/>
        </w:rPr>
        <w:t xml:space="preserve"> </w:t>
      </w:r>
      <w:r>
        <w:t>is</w:t>
      </w:r>
      <w:r>
        <w:rPr>
          <w:spacing w:val="-4"/>
        </w:rPr>
        <w:t xml:space="preserve"> </w:t>
      </w:r>
      <w:r>
        <w:t>a</w:t>
      </w:r>
      <w:r>
        <w:rPr>
          <w:spacing w:val="-4"/>
        </w:rPr>
        <w:t xml:space="preserve"> </w:t>
      </w:r>
      <w:r>
        <w:t>significant</w:t>
      </w:r>
      <w:r>
        <w:rPr>
          <w:spacing w:val="-5"/>
        </w:rPr>
        <w:t xml:space="preserve"> </w:t>
      </w:r>
      <w:r>
        <w:t>concern</w:t>
      </w:r>
      <w:r>
        <w:rPr>
          <w:spacing w:val="-3"/>
        </w:rPr>
        <w:t xml:space="preserve"> </w:t>
      </w:r>
      <w:r>
        <w:t>for</w:t>
      </w:r>
      <w:r>
        <w:rPr>
          <w:spacing w:val="-4"/>
        </w:rPr>
        <w:t xml:space="preserve"> </w:t>
      </w:r>
      <w:r>
        <w:t>all</w:t>
      </w:r>
      <w:r>
        <w:rPr>
          <w:spacing w:val="-4"/>
        </w:rPr>
        <w:t xml:space="preserve"> </w:t>
      </w:r>
      <w:r>
        <w:t>YYA</w:t>
      </w:r>
      <w:r>
        <w:rPr>
          <w:spacing w:val="-4"/>
        </w:rPr>
        <w:t xml:space="preserve"> </w:t>
      </w:r>
      <w:r>
        <w:t>who</w:t>
      </w:r>
      <w:r>
        <w:rPr>
          <w:spacing w:val="-2"/>
        </w:rPr>
        <w:t xml:space="preserve"> </w:t>
      </w:r>
      <w:r>
        <w:t>are</w:t>
      </w:r>
      <w:r>
        <w:rPr>
          <w:spacing w:val="-4"/>
        </w:rPr>
        <w:t xml:space="preserve"> </w:t>
      </w:r>
      <w:r>
        <w:t>homeless,</w:t>
      </w:r>
      <w:r>
        <w:rPr>
          <w:spacing w:val="-4"/>
        </w:rPr>
        <w:t xml:space="preserve"> </w:t>
      </w:r>
      <w:r>
        <w:t>and</w:t>
      </w:r>
      <w:r>
        <w:rPr>
          <w:spacing w:val="-4"/>
        </w:rPr>
        <w:t xml:space="preserve"> </w:t>
      </w:r>
      <w:r>
        <w:t>these</w:t>
      </w:r>
      <w:r>
        <w:rPr>
          <w:spacing w:val="-4"/>
        </w:rPr>
        <w:t xml:space="preserve"> </w:t>
      </w:r>
      <w:r>
        <w:t>include</w:t>
      </w:r>
      <w:r>
        <w:rPr>
          <w:spacing w:val="-3"/>
        </w:rPr>
        <w:t xml:space="preserve"> </w:t>
      </w:r>
      <w:r>
        <w:t>exposure</w:t>
      </w:r>
      <w:r>
        <w:rPr>
          <w:spacing w:val="-4"/>
        </w:rPr>
        <w:t xml:space="preserve"> </w:t>
      </w:r>
      <w:r>
        <w:t>to</w:t>
      </w:r>
      <w:r>
        <w:rPr>
          <w:spacing w:val="-4"/>
        </w:rPr>
        <w:t xml:space="preserve"> </w:t>
      </w:r>
      <w:r>
        <w:t>harsh weather,</w:t>
      </w:r>
      <w:r>
        <w:rPr>
          <w:spacing w:val="-13"/>
        </w:rPr>
        <w:t xml:space="preserve"> </w:t>
      </w:r>
      <w:r>
        <w:t>injuries,</w:t>
      </w:r>
      <w:r>
        <w:rPr>
          <w:spacing w:val="-11"/>
        </w:rPr>
        <w:t xml:space="preserve"> </w:t>
      </w:r>
      <w:r>
        <w:t>and</w:t>
      </w:r>
      <w:r>
        <w:rPr>
          <w:spacing w:val="-13"/>
        </w:rPr>
        <w:t xml:space="preserve"> </w:t>
      </w:r>
      <w:r>
        <w:t>physical</w:t>
      </w:r>
      <w:r>
        <w:rPr>
          <w:spacing w:val="-12"/>
        </w:rPr>
        <w:t xml:space="preserve"> </w:t>
      </w:r>
      <w:r>
        <w:t>assault</w:t>
      </w:r>
      <w:r>
        <w:rPr>
          <w:spacing w:val="-13"/>
        </w:rPr>
        <w:t xml:space="preserve"> </w:t>
      </w:r>
      <w:r>
        <w:t>that</w:t>
      </w:r>
      <w:r>
        <w:rPr>
          <w:spacing w:val="-12"/>
        </w:rPr>
        <w:t xml:space="preserve"> </w:t>
      </w:r>
      <w:r>
        <w:t>are</w:t>
      </w:r>
      <w:r>
        <w:rPr>
          <w:spacing w:val="-13"/>
        </w:rPr>
        <w:t xml:space="preserve"> </w:t>
      </w:r>
      <w:r>
        <w:t>exaggerated</w:t>
      </w:r>
      <w:r>
        <w:rPr>
          <w:spacing w:val="-10"/>
        </w:rPr>
        <w:t xml:space="preserve"> </w:t>
      </w:r>
      <w:r>
        <w:t>by</w:t>
      </w:r>
      <w:r>
        <w:rPr>
          <w:spacing w:val="-13"/>
        </w:rPr>
        <w:t xml:space="preserve"> </w:t>
      </w:r>
      <w:r>
        <w:t>barriers</w:t>
      </w:r>
      <w:r>
        <w:rPr>
          <w:spacing w:val="-12"/>
        </w:rPr>
        <w:t xml:space="preserve"> </w:t>
      </w:r>
      <w:r>
        <w:t>such</w:t>
      </w:r>
      <w:r>
        <w:rPr>
          <w:spacing w:val="-12"/>
        </w:rPr>
        <w:t xml:space="preserve"> </w:t>
      </w:r>
      <w:r>
        <w:t>as</w:t>
      </w:r>
      <w:r>
        <w:rPr>
          <w:spacing w:val="-12"/>
        </w:rPr>
        <w:t xml:space="preserve"> </w:t>
      </w:r>
      <w:r>
        <w:t>cost</w:t>
      </w:r>
      <w:r>
        <w:rPr>
          <w:spacing w:val="-13"/>
        </w:rPr>
        <w:t xml:space="preserve"> </w:t>
      </w:r>
      <w:r>
        <w:t>of</w:t>
      </w:r>
      <w:r>
        <w:rPr>
          <w:spacing w:val="-12"/>
        </w:rPr>
        <w:t xml:space="preserve"> </w:t>
      </w:r>
      <w:r>
        <w:t>care,</w:t>
      </w:r>
      <w:r>
        <w:rPr>
          <w:spacing w:val="-11"/>
        </w:rPr>
        <w:t xml:space="preserve"> </w:t>
      </w:r>
      <w:r>
        <w:t>transportation limitations, and fear of discrimination by providers</w:t>
      </w:r>
      <w:hyperlink w:anchor="_bookmark271" w:history="1">
        <w:r>
          <w:t>.</w:t>
        </w:r>
        <w:r>
          <w:rPr>
            <w:vertAlign w:val="superscript"/>
          </w:rPr>
          <w:t>109</w:t>
        </w:r>
      </w:hyperlink>
      <w:r>
        <w:t xml:space="preserve"> Inclement weather in Massachusetts surely contributes to negative health outcomes, particularly concerning</w:t>
      </w:r>
      <w:r>
        <w:t xml:space="preserve"> significant cold and hot weather. Housing insecure LGBTQ youth are at higher risk for experiencing physical assault than heterosexual youths experiencing homelessness</w:t>
      </w:r>
      <w:hyperlink w:anchor="_bookmark272" w:history="1">
        <w:r>
          <w:t>.</w:t>
        </w:r>
        <w:r>
          <w:rPr>
            <w:vertAlign w:val="superscript"/>
          </w:rPr>
          <w:t>110</w:t>
        </w:r>
        <w:r>
          <w:t xml:space="preserve"> </w:t>
        </w:r>
      </w:hyperlink>
      <w:r>
        <w:t>Further, LGBTQ youth experiencing homelessness are a</w:t>
      </w:r>
      <w:r>
        <w:t>lso more likely to be living with HIV or an STI</w:t>
      </w:r>
      <w:hyperlink w:anchor="_bookmark273" w:history="1">
        <w:r>
          <w:t>.</w:t>
        </w:r>
        <w:r>
          <w:rPr>
            <w:vertAlign w:val="superscript"/>
          </w:rPr>
          <w:t>111</w:t>
        </w:r>
        <w:r>
          <w:t xml:space="preserve"> </w:t>
        </w:r>
      </w:hyperlink>
      <w:r>
        <w:t>The rate of HIV in LGBTQ homeless youth is three times greater than</w:t>
      </w:r>
      <w:r>
        <w:rPr>
          <w:spacing w:val="-10"/>
        </w:rPr>
        <w:t xml:space="preserve"> </w:t>
      </w:r>
      <w:r>
        <w:t>HIV</w:t>
      </w:r>
      <w:r>
        <w:rPr>
          <w:spacing w:val="-7"/>
        </w:rPr>
        <w:t xml:space="preserve"> </w:t>
      </w:r>
      <w:r>
        <w:t>compared</w:t>
      </w:r>
      <w:r>
        <w:rPr>
          <w:spacing w:val="-8"/>
        </w:rPr>
        <w:t xml:space="preserve"> </w:t>
      </w:r>
      <w:r>
        <w:t>to</w:t>
      </w:r>
      <w:r>
        <w:rPr>
          <w:spacing w:val="-6"/>
        </w:rPr>
        <w:t xml:space="preserve"> </w:t>
      </w:r>
      <w:r>
        <w:t>non-LGBTQ</w:t>
      </w:r>
      <w:r>
        <w:rPr>
          <w:spacing w:val="-6"/>
        </w:rPr>
        <w:t xml:space="preserve"> </w:t>
      </w:r>
      <w:r>
        <w:t>homeless</w:t>
      </w:r>
      <w:r>
        <w:rPr>
          <w:spacing w:val="-7"/>
        </w:rPr>
        <w:t xml:space="preserve"> </w:t>
      </w:r>
      <w:r>
        <w:t>peers</w:t>
      </w:r>
      <w:hyperlink w:anchor="_bookmark274" w:history="1">
        <w:r>
          <w:t>.</w:t>
        </w:r>
        <w:r>
          <w:rPr>
            <w:vertAlign w:val="superscript"/>
          </w:rPr>
          <w:t>112</w:t>
        </w:r>
        <w:r>
          <w:rPr>
            <w:spacing w:val="-9"/>
          </w:rPr>
          <w:t xml:space="preserve"> </w:t>
        </w:r>
      </w:hyperlink>
      <w:r>
        <w:t>Several</w:t>
      </w:r>
      <w:r>
        <w:rPr>
          <w:spacing w:val="-7"/>
        </w:rPr>
        <w:t xml:space="preserve"> </w:t>
      </w:r>
      <w:r>
        <w:t>factors</w:t>
      </w:r>
      <w:r>
        <w:rPr>
          <w:spacing w:val="-7"/>
        </w:rPr>
        <w:t xml:space="preserve"> </w:t>
      </w:r>
      <w:r>
        <w:t>may</w:t>
      </w:r>
      <w:r>
        <w:rPr>
          <w:spacing w:val="-7"/>
        </w:rPr>
        <w:t xml:space="preserve"> </w:t>
      </w:r>
      <w:r>
        <w:t>increase</w:t>
      </w:r>
      <w:r>
        <w:rPr>
          <w:spacing w:val="-6"/>
        </w:rPr>
        <w:t xml:space="preserve"> </w:t>
      </w:r>
      <w:r>
        <w:t>their</w:t>
      </w:r>
      <w:r>
        <w:rPr>
          <w:spacing w:val="-7"/>
        </w:rPr>
        <w:t xml:space="preserve"> </w:t>
      </w:r>
      <w:r>
        <w:t>risk,</w:t>
      </w:r>
      <w:r>
        <w:rPr>
          <w:spacing w:val="-7"/>
        </w:rPr>
        <w:t xml:space="preserve"> </w:t>
      </w:r>
      <w:r>
        <w:t>for</w:t>
      </w:r>
      <w:r>
        <w:rPr>
          <w:spacing w:val="-7"/>
        </w:rPr>
        <w:t xml:space="preserve"> </w:t>
      </w:r>
      <w:r>
        <w:t>example, on</w:t>
      </w:r>
      <w:r>
        <w:rPr>
          <w:spacing w:val="-13"/>
        </w:rPr>
        <w:t xml:space="preserve"> </w:t>
      </w:r>
      <w:r>
        <w:t>average,</w:t>
      </w:r>
      <w:r>
        <w:rPr>
          <w:spacing w:val="-12"/>
        </w:rPr>
        <w:t xml:space="preserve"> </w:t>
      </w:r>
      <w:r>
        <w:t>sexual</w:t>
      </w:r>
      <w:r>
        <w:rPr>
          <w:spacing w:val="-13"/>
        </w:rPr>
        <w:t xml:space="preserve"> </w:t>
      </w:r>
      <w:r>
        <w:t>minority</w:t>
      </w:r>
      <w:r>
        <w:rPr>
          <w:spacing w:val="-12"/>
        </w:rPr>
        <w:t xml:space="preserve"> </w:t>
      </w:r>
      <w:r>
        <w:t>and</w:t>
      </w:r>
      <w:r>
        <w:rPr>
          <w:spacing w:val="-13"/>
        </w:rPr>
        <w:t xml:space="preserve"> </w:t>
      </w:r>
      <w:r>
        <w:t>transgender</w:t>
      </w:r>
      <w:r>
        <w:rPr>
          <w:spacing w:val="-12"/>
        </w:rPr>
        <w:t xml:space="preserve"> </w:t>
      </w:r>
      <w:r>
        <w:t>young</w:t>
      </w:r>
      <w:r>
        <w:rPr>
          <w:spacing w:val="-13"/>
        </w:rPr>
        <w:t xml:space="preserve"> </w:t>
      </w:r>
      <w:r>
        <w:t>men</w:t>
      </w:r>
      <w:r>
        <w:rPr>
          <w:spacing w:val="-12"/>
        </w:rPr>
        <w:t xml:space="preserve"> </w:t>
      </w:r>
      <w:r>
        <w:t>experiencing</w:t>
      </w:r>
      <w:r>
        <w:rPr>
          <w:spacing w:val="-12"/>
        </w:rPr>
        <w:t xml:space="preserve"> </w:t>
      </w:r>
      <w:r>
        <w:t>homelessness</w:t>
      </w:r>
      <w:r>
        <w:rPr>
          <w:spacing w:val="-13"/>
        </w:rPr>
        <w:t xml:space="preserve"> </w:t>
      </w:r>
      <w:r>
        <w:t>have</w:t>
      </w:r>
      <w:r>
        <w:rPr>
          <w:spacing w:val="-12"/>
        </w:rPr>
        <w:t xml:space="preserve"> </w:t>
      </w:r>
      <w:r>
        <w:t>their</w:t>
      </w:r>
      <w:r>
        <w:rPr>
          <w:spacing w:val="-13"/>
        </w:rPr>
        <w:t xml:space="preserve"> </w:t>
      </w:r>
      <w:r>
        <w:t>first</w:t>
      </w:r>
      <w:r>
        <w:rPr>
          <w:spacing w:val="-12"/>
        </w:rPr>
        <w:t xml:space="preserve"> </w:t>
      </w:r>
      <w:r>
        <w:t>sexual encounter one year earlier, a greater number of lifetime sexual partners, a higher likelihood of sexual assault, and a</w:t>
      </w:r>
      <w:r>
        <w:t xml:space="preserve"> higher rate of unprotected sex with female partners than their non-homeless peers</w:t>
      </w:r>
      <w:hyperlink w:anchor="_bookmark275" w:history="1">
        <w:r>
          <w:t>.</w:t>
        </w:r>
        <w:r>
          <w:rPr>
            <w:vertAlign w:val="superscript"/>
          </w:rPr>
          <w:t>113</w:t>
        </w:r>
      </w:hyperlink>
      <w:r>
        <w:t xml:space="preserve"> Another</w:t>
      </w:r>
      <w:r>
        <w:rPr>
          <w:spacing w:val="-10"/>
        </w:rPr>
        <w:t xml:space="preserve"> </w:t>
      </w:r>
      <w:r>
        <w:t>study</w:t>
      </w:r>
      <w:r>
        <w:rPr>
          <w:spacing w:val="-10"/>
        </w:rPr>
        <w:t xml:space="preserve"> </w:t>
      </w:r>
      <w:r>
        <w:t>showed</w:t>
      </w:r>
      <w:r>
        <w:rPr>
          <w:spacing w:val="-10"/>
        </w:rPr>
        <w:t xml:space="preserve"> </w:t>
      </w:r>
      <w:r>
        <w:t>that</w:t>
      </w:r>
      <w:r>
        <w:rPr>
          <w:spacing w:val="-11"/>
        </w:rPr>
        <w:t xml:space="preserve"> </w:t>
      </w:r>
      <w:r>
        <w:t>LGBTQ</w:t>
      </w:r>
      <w:r>
        <w:rPr>
          <w:spacing w:val="-10"/>
        </w:rPr>
        <w:t xml:space="preserve"> </w:t>
      </w:r>
      <w:r>
        <w:t>youth</w:t>
      </w:r>
      <w:r>
        <w:rPr>
          <w:spacing w:val="-10"/>
        </w:rPr>
        <w:t xml:space="preserve"> </w:t>
      </w:r>
      <w:r>
        <w:t>experiencing</w:t>
      </w:r>
      <w:r>
        <w:rPr>
          <w:spacing w:val="-10"/>
        </w:rPr>
        <w:t xml:space="preserve"> </w:t>
      </w:r>
      <w:r>
        <w:t>homelessness</w:t>
      </w:r>
      <w:r>
        <w:rPr>
          <w:spacing w:val="-10"/>
        </w:rPr>
        <w:t xml:space="preserve"> </w:t>
      </w:r>
      <w:r>
        <w:t>were</w:t>
      </w:r>
      <w:r>
        <w:rPr>
          <w:spacing w:val="-10"/>
        </w:rPr>
        <w:t xml:space="preserve"> </w:t>
      </w:r>
      <w:r>
        <w:t>more</w:t>
      </w:r>
      <w:r>
        <w:rPr>
          <w:spacing w:val="-9"/>
        </w:rPr>
        <w:t xml:space="preserve"> </w:t>
      </w:r>
      <w:r>
        <w:t>likely</w:t>
      </w:r>
      <w:r>
        <w:rPr>
          <w:spacing w:val="-9"/>
        </w:rPr>
        <w:t xml:space="preserve"> </w:t>
      </w:r>
      <w:r>
        <w:t>to</w:t>
      </w:r>
      <w:r>
        <w:rPr>
          <w:spacing w:val="-10"/>
        </w:rPr>
        <w:t xml:space="preserve"> </w:t>
      </w:r>
      <w:r>
        <w:t>engage</w:t>
      </w:r>
      <w:r>
        <w:rPr>
          <w:spacing w:val="-10"/>
        </w:rPr>
        <w:t xml:space="preserve"> </w:t>
      </w:r>
      <w:r>
        <w:t>in</w:t>
      </w:r>
      <w:r>
        <w:rPr>
          <w:spacing w:val="-10"/>
        </w:rPr>
        <w:t xml:space="preserve"> </w:t>
      </w:r>
      <w:r>
        <w:t>sexual behaviors that heightened their risk</w:t>
      </w:r>
      <w:r>
        <w:t xml:space="preserve"> of HIV infection or viral hepatitis, such as having sex with strangers who</w:t>
      </w:r>
      <w:r>
        <w:rPr>
          <w:spacing w:val="-5"/>
        </w:rPr>
        <w:t xml:space="preserve"> </w:t>
      </w:r>
      <w:r>
        <w:t>used</w:t>
      </w:r>
      <w:r>
        <w:rPr>
          <w:spacing w:val="-5"/>
        </w:rPr>
        <w:t xml:space="preserve"> </w:t>
      </w:r>
      <w:r>
        <w:t>IV</w:t>
      </w:r>
      <w:r>
        <w:rPr>
          <w:spacing w:val="-2"/>
        </w:rPr>
        <w:t xml:space="preserve"> </w:t>
      </w:r>
      <w:r>
        <w:t>drugs,</w:t>
      </w:r>
      <w:r>
        <w:rPr>
          <w:spacing w:val="-5"/>
        </w:rPr>
        <w:t xml:space="preserve"> </w:t>
      </w:r>
      <w:r>
        <w:t>having</w:t>
      </w:r>
      <w:r>
        <w:rPr>
          <w:spacing w:val="-3"/>
        </w:rPr>
        <w:t xml:space="preserve"> </w:t>
      </w:r>
      <w:r>
        <w:t>unprotected</w:t>
      </w:r>
      <w:r>
        <w:rPr>
          <w:spacing w:val="-3"/>
        </w:rPr>
        <w:t xml:space="preserve"> </w:t>
      </w:r>
      <w:r>
        <w:t>sex</w:t>
      </w:r>
      <w:r>
        <w:rPr>
          <w:spacing w:val="-6"/>
        </w:rPr>
        <w:t xml:space="preserve"> </w:t>
      </w:r>
      <w:r>
        <w:t>with</w:t>
      </w:r>
      <w:r>
        <w:rPr>
          <w:spacing w:val="-4"/>
        </w:rPr>
        <w:t xml:space="preserve"> </w:t>
      </w:r>
      <w:r>
        <w:t>strangers,</w:t>
      </w:r>
      <w:r>
        <w:rPr>
          <w:spacing w:val="-5"/>
        </w:rPr>
        <w:t xml:space="preserve"> </w:t>
      </w:r>
      <w:r>
        <w:t>having</w:t>
      </w:r>
      <w:r>
        <w:rPr>
          <w:spacing w:val="-3"/>
        </w:rPr>
        <w:t xml:space="preserve"> </w:t>
      </w:r>
      <w:r>
        <w:t>anal</w:t>
      </w:r>
      <w:r>
        <w:rPr>
          <w:spacing w:val="-5"/>
        </w:rPr>
        <w:t xml:space="preserve"> </w:t>
      </w:r>
      <w:r>
        <w:t>sex</w:t>
      </w:r>
      <w:r>
        <w:rPr>
          <w:spacing w:val="-6"/>
        </w:rPr>
        <w:t xml:space="preserve"> </w:t>
      </w:r>
      <w:r>
        <w:t>with</w:t>
      </w:r>
      <w:r>
        <w:rPr>
          <w:spacing w:val="-3"/>
        </w:rPr>
        <w:t xml:space="preserve"> </w:t>
      </w:r>
      <w:r>
        <w:t>strangers,</w:t>
      </w:r>
      <w:r>
        <w:rPr>
          <w:spacing w:val="-5"/>
        </w:rPr>
        <w:t xml:space="preserve"> </w:t>
      </w:r>
      <w:r>
        <w:t>and</w:t>
      </w:r>
      <w:r>
        <w:rPr>
          <w:spacing w:val="-5"/>
        </w:rPr>
        <w:t xml:space="preserve"> </w:t>
      </w:r>
      <w:r>
        <w:t>having</w:t>
      </w:r>
      <w:r>
        <w:rPr>
          <w:spacing w:val="-4"/>
        </w:rPr>
        <w:t xml:space="preserve"> </w:t>
      </w:r>
      <w:r>
        <w:t>sex with strangers after using drugs themselves than their non-LGBTQ peers</w:t>
      </w:r>
      <w:hyperlink w:anchor="_bookmark276" w:history="1">
        <w:r>
          <w:t>.</w:t>
        </w:r>
        <w:r>
          <w:rPr>
            <w:vertAlign w:val="superscript"/>
          </w:rPr>
          <w:t>114</w:t>
        </w:r>
      </w:hyperlink>
      <w:r>
        <w:t xml:space="preserve"> Among LGBTQ YYA, homelessness is a consistent independent risk factor for drug use and sexual behavior that increases the</w:t>
      </w:r>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913831">
      <w:pPr>
        <w:pStyle w:val="BodyText"/>
        <w:spacing w:before="200"/>
        <w:ind w:left="480"/>
        <w:jc w:val="both"/>
      </w:pPr>
      <w:r>
        <w:rPr>
          <w:w w:val="95"/>
        </w:rPr>
        <w:t>likelihood</w:t>
      </w:r>
      <w:r>
        <w:rPr>
          <w:spacing w:val="16"/>
        </w:rPr>
        <w:t xml:space="preserve"> </w:t>
      </w:r>
      <w:r>
        <w:rPr>
          <w:w w:val="95"/>
        </w:rPr>
        <w:t>of</w:t>
      </w:r>
      <w:r>
        <w:rPr>
          <w:spacing w:val="18"/>
        </w:rPr>
        <w:t xml:space="preserve"> </w:t>
      </w:r>
      <w:r>
        <w:rPr>
          <w:w w:val="95"/>
        </w:rPr>
        <w:t>transmitting</w:t>
      </w:r>
      <w:r>
        <w:rPr>
          <w:spacing w:val="18"/>
        </w:rPr>
        <w:t xml:space="preserve"> </w:t>
      </w:r>
      <w:r>
        <w:rPr>
          <w:w w:val="95"/>
        </w:rPr>
        <w:t>sexually</w:t>
      </w:r>
      <w:r>
        <w:rPr>
          <w:spacing w:val="20"/>
        </w:rPr>
        <w:t xml:space="preserve"> </w:t>
      </w:r>
      <w:r>
        <w:rPr>
          <w:w w:val="95"/>
        </w:rPr>
        <w:t>transmitted</w:t>
      </w:r>
      <w:r>
        <w:rPr>
          <w:spacing w:val="15"/>
        </w:rPr>
        <w:t xml:space="preserve"> </w:t>
      </w:r>
      <w:r>
        <w:rPr>
          <w:w w:val="95"/>
        </w:rPr>
        <w:t>infections</w:t>
      </w:r>
      <w:r>
        <w:rPr>
          <w:spacing w:val="15"/>
        </w:rPr>
        <w:t xml:space="preserve"> </w:t>
      </w:r>
      <w:r>
        <w:rPr>
          <w:spacing w:val="-2"/>
          <w:w w:val="95"/>
        </w:rPr>
        <w:t>(STIs)</w:t>
      </w:r>
      <w:hyperlink w:anchor="_bookmark277" w:history="1">
        <w:r>
          <w:rPr>
            <w:spacing w:val="-2"/>
            <w:w w:val="95"/>
          </w:rPr>
          <w:t>.</w:t>
        </w:r>
        <w:r>
          <w:rPr>
            <w:spacing w:val="-2"/>
            <w:w w:val="95"/>
            <w:vertAlign w:val="superscript"/>
          </w:rPr>
          <w:t>115</w:t>
        </w:r>
      </w:hyperlink>
    </w:p>
    <w:p w:rsidR="00C76E6D" w:rsidRDefault="00C76E6D">
      <w:pPr>
        <w:pStyle w:val="BodyText"/>
        <w:spacing w:before="11"/>
        <w:rPr>
          <w:sz w:val="29"/>
        </w:rPr>
      </w:pPr>
    </w:p>
    <w:p w:rsidR="00C76E6D" w:rsidRDefault="00913831">
      <w:pPr>
        <w:pStyle w:val="BodyText"/>
        <w:spacing w:line="276" w:lineRule="auto"/>
        <w:ind w:left="478" w:right="473"/>
        <w:jc w:val="both"/>
      </w:pPr>
      <w:r>
        <w:t>Further,</w:t>
      </w:r>
      <w:r>
        <w:rPr>
          <w:spacing w:val="-2"/>
        </w:rPr>
        <w:t xml:space="preserve"> </w:t>
      </w:r>
      <w:r>
        <w:t>LGBTQ</w:t>
      </w:r>
      <w:r>
        <w:rPr>
          <w:spacing w:val="-4"/>
        </w:rPr>
        <w:t xml:space="preserve"> </w:t>
      </w:r>
      <w:r>
        <w:t>young</w:t>
      </w:r>
      <w:r>
        <w:rPr>
          <w:spacing w:val="-3"/>
        </w:rPr>
        <w:t xml:space="preserve"> </w:t>
      </w:r>
      <w:r>
        <w:t>people,</w:t>
      </w:r>
      <w:r>
        <w:rPr>
          <w:spacing w:val="-4"/>
        </w:rPr>
        <w:t xml:space="preserve"> </w:t>
      </w:r>
      <w:r>
        <w:t>especially</w:t>
      </w:r>
      <w:r>
        <w:rPr>
          <w:spacing w:val="-3"/>
        </w:rPr>
        <w:t xml:space="preserve"> </w:t>
      </w:r>
      <w:r>
        <w:t>those</w:t>
      </w:r>
      <w:r>
        <w:rPr>
          <w:spacing w:val="-3"/>
        </w:rPr>
        <w:t xml:space="preserve"> </w:t>
      </w:r>
      <w:r>
        <w:t>who</w:t>
      </w:r>
      <w:r>
        <w:rPr>
          <w:spacing w:val="-1"/>
        </w:rPr>
        <w:t xml:space="preserve"> </w:t>
      </w:r>
      <w:r>
        <w:t>identify</w:t>
      </w:r>
      <w:r>
        <w:rPr>
          <w:spacing w:val="-2"/>
        </w:rPr>
        <w:t xml:space="preserve"> </w:t>
      </w:r>
      <w:r>
        <w:t>as</w:t>
      </w:r>
      <w:r>
        <w:rPr>
          <w:spacing w:val="-4"/>
        </w:rPr>
        <w:t xml:space="preserve"> </w:t>
      </w:r>
      <w:r>
        <w:t>BIPOC</w:t>
      </w:r>
      <w:r>
        <w:rPr>
          <w:spacing w:val="-4"/>
        </w:rPr>
        <w:t xml:space="preserve"> </w:t>
      </w:r>
      <w:r>
        <w:t>and/or</w:t>
      </w:r>
      <w:r>
        <w:rPr>
          <w:spacing w:val="-2"/>
        </w:rPr>
        <w:t xml:space="preserve"> </w:t>
      </w:r>
      <w:r>
        <w:t>QTBIPOC,</w:t>
      </w:r>
      <w:r>
        <w:rPr>
          <w:spacing w:val="-4"/>
        </w:rPr>
        <w:t xml:space="preserve"> </w:t>
      </w:r>
      <w:r>
        <w:t>have</w:t>
      </w:r>
      <w:r>
        <w:rPr>
          <w:spacing w:val="-4"/>
        </w:rPr>
        <w:t xml:space="preserve"> </w:t>
      </w:r>
      <w:r>
        <w:t>higher</w:t>
      </w:r>
      <w:r>
        <w:rPr>
          <w:spacing w:val="-4"/>
        </w:rPr>
        <w:t xml:space="preserve"> </w:t>
      </w:r>
      <w:r>
        <w:t>rates of police interaction, detainment, and incarceration</w:t>
      </w:r>
      <w:hyperlink w:anchor="_bookmark278" w:history="1">
        <w:r>
          <w:t>.</w:t>
        </w:r>
        <w:r>
          <w:rPr>
            <w:vertAlign w:val="superscript"/>
          </w:rPr>
          <w:t>116</w:t>
        </w:r>
        <w:r>
          <w:rPr>
            <w:spacing w:val="-2"/>
          </w:rPr>
          <w:t xml:space="preserve"> </w:t>
        </w:r>
      </w:hyperlink>
      <w:r>
        <w:t>LGBTQ YYA experiencing homelessness are likely to interact with the police due to engaging in survival crimes, such as sleeping in public places, engaging in survival sex, loitering, and substance use</w:t>
      </w:r>
      <w:hyperlink w:anchor="_bookmark279" w:history="1">
        <w:r>
          <w:t>.</w:t>
        </w:r>
        <w:r>
          <w:rPr>
            <w:vertAlign w:val="superscript"/>
          </w:rPr>
          <w:t>117</w:t>
        </w:r>
      </w:hyperlink>
      <w:r>
        <w:t xml:space="preserve"> LGB individuals are</w:t>
      </w:r>
      <w:r>
        <w:t xml:space="preserve"> three times more likely to be incarcerated, while one in six transgender individuals have experienced incarceration</w:t>
      </w:r>
      <w:hyperlink w:anchor="_bookmark280" w:history="1">
        <w:r>
          <w:t>.</w:t>
        </w:r>
        <w:r>
          <w:rPr>
            <w:vertAlign w:val="superscript"/>
          </w:rPr>
          <w:t>118</w:t>
        </w:r>
      </w:hyperlink>
      <w:r>
        <w:t xml:space="preserve"> Research indicates</w:t>
      </w:r>
      <w:r>
        <w:rPr>
          <w:spacing w:val="-5"/>
        </w:rPr>
        <w:t xml:space="preserve"> </w:t>
      </w:r>
      <w:r>
        <w:t>that</w:t>
      </w:r>
      <w:r>
        <w:rPr>
          <w:spacing w:val="-5"/>
        </w:rPr>
        <w:t xml:space="preserve"> </w:t>
      </w:r>
      <w:r>
        <w:t>lesbians,</w:t>
      </w:r>
      <w:r>
        <w:rPr>
          <w:spacing w:val="-5"/>
        </w:rPr>
        <w:t xml:space="preserve"> </w:t>
      </w:r>
      <w:r>
        <w:t>individuals</w:t>
      </w:r>
      <w:r>
        <w:rPr>
          <w:spacing w:val="-5"/>
        </w:rPr>
        <w:t xml:space="preserve"> </w:t>
      </w:r>
      <w:r>
        <w:t>assigned</w:t>
      </w:r>
      <w:r>
        <w:rPr>
          <w:spacing w:val="-6"/>
        </w:rPr>
        <w:t xml:space="preserve"> </w:t>
      </w:r>
      <w:r>
        <w:t>female</w:t>
      </w:r>
      <w:r>
        <w:rPr>
          <w:spacing w:val="-4"/>
        </w:rPr>
        <w:t xml:space="preserve"> </w:t>
      </w:r>
      <w:r>
        <w:t>at</w:t>
      </w:r>
      <w:r>
        <w:rPr>
          <w:spacing w:val="-5"/>
        </w:rPr>
        <w:t xml:space="preserve"> </w:t>
      </w:r>
      <w:r>
        <w:t>birth,</w:t>
      </w:r>
      <w:r>
        <w:rPr>
          <w:spacing w:val="-5"/>
        </w:rPr>
        <w:t xml:space="preserve"> </w:t>
      </w:r>
      <w:r>
        <w:t>and</w:t>
      </w:r>
      <w:r>
        <w:rPr>
          <w:spacing w:val="-4"/>
        </w:rPr>
        <w:t xml:space="preserve"> </w:t>
      </w:r>
      <w:r>
        <w:t>transwomen</w:t>
      </w:r>
      <w:r>
        <w:rPr>
          <w:spacing w:val="-6"/>
        </w:rPr>
        <w:t xml:space="preserve"> </w:t>
      </w:r>
      <w:r>
        <w:t>are</w:t>
      </w:r>
      <w:r>
        <w:rPr>
          <w:spacing w:val="-4"/>
        </w:rPr>
        <w:t xml:space="preserve"> </w:t>
      </w:r>
      <w:r>
        <w:t>more</w:t>
      </w:r>
      <w:r>
        <w:rPr>
          <w:spacing w:val="-6"/>
        </w:rPr>
        <w:t xml:space="preserve"> </w:t>
      </w:r>
      <w:r>
        <w:t>likely</w:t>
      </w:r>
      <w:r>
        <w:rPr>
          <w:spacing w:val="-3"/>
        </w:rPr>
        <w:t xml:space="preserve"> </w:t>
      </w:r>
      <w:r>
        <w:t>to</w:t>
      </w:r>
      <w:r>
        <w:rPr>
          <w:spacing w:val="-5"/>
        </w:rPr>
        <w:t xml:space="preserve"> </w:t>
      </w:r>
      <w:r>
        <w:t>engage</w:t>
      </w:r>
      <w:r>
        <w:rPr>
          <w:spacing w:val="-6"/>
        </w:rPr>
        <w:t xml:space="preserve"> </w:t>
      </w:r>
      <w:r>
        <w:t>in survival crimes and receive discriminatory sanctions from police and legal systems</w:t>
      </w:r>
      <w:hyperlink w:anchor="_bookmark281" w:history="1">
        <w:r>
          <w:t>.</w:t>
        </w:r>
        <w:r>
          <w:rPr>
            <w:vertAlign w:val="superscript"/>
          </w:rPr>
          <w:t>119</w:t>
        </w:r>
        <w:r>
          <w:t xml:space="preserve"> </w:t>
        </w:r>
      </w:hyperlink>
      <w:r>
        <w:t>While the exact number</w:t>
      </w:r>
      <w:r>
        <w:rPr>
          <w:spacing w:val="-6"/>
        </w:rPr>
        <w:t xml:space="preserve"> </w:t>
      </w:r>
      <w:r>
        <w:t>of</w:t>
      </w:r>
      <w:r>
        <w:rPr>
          <w:spacing w:val="-6"/>
        </w:rPr>
        <w:t xml:space="preserve"> </w:t>
      </w:r>
      <w:r>
        <w:t>LGBTQ</w:t>
      </w:r>
      <w:r>
        <w:rPr>
          <w:spacing w:val="-7"/>
        </w:rPr>
        <w:t xml:space="preserve"> </w:t>
      </w:r>
      <w:r>
        <w:t>YYA</w:t>
      </w:r>
      <w:r>
        <w:rPr>
          <w:spacing w:val="-4"/>
        </w:rPr>
        <w:t xml:space="preserve"> </w:t>
      </w:r>
      <w:r>
        <w:t>that</w:t>
      </w:r>
      <w:r>
        <w:rPr>
          <w:spacing w:val="-5"/>
        </w:rPr>
        <w:t xml:space="preserve"> </w:t>
      </w:r>
      <w:r>
        <w:t>have</w:t>
      </w:r>
      <w:r>
        <w:rPr>
          <w:spacing w:val="-7"/>
        </w:rPr>
        <w:t xml:space="preserve"> </w:t>
      </w:r>
      <w:r>
        <w:t>been</w:t>
      </w:r>
      <w:r>
        <w:rPr>
          <w:spacing w:val="-5"/>
        </w:rPr>
        <w:t xml:space="preserve"> </w:t>
      </w:r>
      <w:r>
        <w:t>arrested</w:t>
      </w:r>
      <w:r>
        <w:rPr>
          <w:spacing w:val="-7"/>
        </w:rPr>
        <w:t xml:space="preserve"> </w:t>
      </w:r>
      <w:r>
        <w:t>is</w:t>
      </w:r>
      <w:r>
        <w:rPr>
          <w:spacing w:val="-5"/>
        </w:rPr>
        <w:t xml:space="preserve"> </w:t>
      </w:r>
      <w:r>
        <w:t>not</w:t>
      </w:r>
      <w:r>
        <w:rPr>
          <w:spacing w:val="-4"/>
        </w:rPr>
        <w:t xml:space="preserve"> </w:t>
      </w:r>
      <w:r>
        <w:t>documented,</w:t>
      </w:r>
      <w:r>
        <w:rPr>
          <w:spacing w:val="-6"/>
        </w:rPr>
        <w:t xml:space="preserve"> </w:t>
      </w:r>
      <w:r>
        <w:t>research</w:t>
      </w:r>
      <w:r>
        <w:rPr>
          <w:spacing w:val="-6"/>
        </w:rPr>
        <w:t xml:space="preserve"> </w:t>
      </w:r>
      <w:r>
        <w:t>has</w:t>
      </w:r>
      <w:r>
        <w:rPr>
          <w:spacing w:val="-5"/>
        </w:rPr>
        <w:t xml:space="preserve"> </w:t>
      </w:r>
      <w:r>
        <w:t>found</w:t>
      </w:r>
      <w:r>
        <w:rPr>
          <w:spacing w:val="-7"/>
        </w:rPr>
        <w:t xml:space="preserve"> </w:t>
      </w:r>
      <w:r>
        <w:t>that</w:t>
      </w:r>
      <w:r>
        <w:rPr>
          <w:spacing w:val="-7"/>
        </w:rPr>
        <w:t xml:space="preserve"> </w:t>
      </w:r>
      <w:r>
        <w:t>between</w:t>
      </w:r>
      <w:r>
        <w:rPr>
          <w:spacing w:val="-7"/>
        </w:rPr>
        <w:t xml:space="preserve"> </w:t>
      </w:r>
      <w:r>
        <w:t>70% and 78% of homeless youth 18 to 24 have been arrested, and 60% have gone to jail</w:t>
      </w:r>
      <w:hyperlink w:anchor="_bookmark282" w:history="1">
        <w:r>
          <w:t>.</w:t>
        </w:r>
        <w:r>
          <w:rPr>
            <w:vertAlign w:val="superscript"/>
          </w:rPr>
          <w:t>120</w:t>
        </w:r>
        <w:r>
          <w:rPr>
            <w:spacing w:val="-5"/>
          </w:rPr>
          <w:t xml:space="preserve"> </w:t>
        </w:r>
      </w:hyperlink>
      <w:r>
        <w:t>LGBTQ YYA make up about 13% of the youth in the criminal justice system.</w:t>
      </w:r>
      <w:hyperlink w:anchor="_bookmark283" w:history="1">
        <w:r>
          <w:rPr>
            <w:vertAlign w:val="superscript"/>
          </w:rPr>
          <w:t>121</w:t>
        </w:r>
      </w:hyperlink>
      <w:r>
        <w:t xml:space="preserve"> This over-policing and cont</w:t>
      </w:r>
      <w:r>
        <w:t>act with the criminal justice system results in continued discrimination through binary sex-segregated jails, assumptions of LGBTQ YYA as sexual predators, sexual advancement by staff, and increased exposure to solitary confinement</w:t>
      </w:r>
      <w:hyperlink w:anchor="_bookmark284" w:history="1">
        <w:r>
          <w:t>.</w:t>
        </w:r>
        <w:r>
          <w:rPr>
            <w:vertAlign w:val="superscript"/>
          </w:rPr>
          <w:t>122</w:t>
        </w:r>
      </w:hyperlink>
    </w:p>
    <w:p w:rsidR="00C76E6D" w:rsidRDefault="00C76E6D">
      <w:pPr>
        <w:pStyle w:val="BodyText"/>
        <w:spacing w:before="4"/>
        <w:rPr>
          <w:sz w:val="26"/>
        </w:rPr>
      </w:pPr>
    </w:p>
    <w:p w:rsidR="00C76E6D" w:rsidRDefault="00913831">
      <w:pPr>
        <w:pStyle w:val="BodyText"/>
        <w:spacing w:line="276" w:lineRule="auto"/>
        <w:ind w:left="478" w:right="475"/>
        <w:jc w:val="both"/>
      </w:pPr>
      <w:r>
        <w:t>National</w:t>
      </w:r>
      <w:r>
        <w:rPr>
          <w:spacing w:val="-9"/>
        </w:rPr>
        <w:t xml:space="preserve"> </w:t>
      </w:r>
      <w:r>
        <w:t>studies</w:t>
      </w:r>
      <w:r>
        <w:rPr>
          <w:spacing w:val="-8"/>
        </w:rPr>
        <w:t xml:space="preserve"> </w:t>
      </w:r>
      <w:r>
        <w:t>also</w:t>
      </w:r>
      <w:r>
        <w:rPr>
          <w:spacing w:val="-8"/>
        </w:rPr>
        <w:t xml:space="preserve"> </w:t>
      </w:r>
      <w:r>
        <w:t>indicate</w:t>
      </w:r>
      <w:r>
        <w:rPr>
          <w:spacing w:val="-8"/>
        </w:rPr>
        <w:t xml:space="preserve"> </w:t>
      </w:r>
      <w:r>
        <w:t>that</w:t>
      </w:r>
      <w:r>
        <w:rPr>
          <w:spacing w:val="-7"/>
        </w:rPr>
        <w:t xml:space="preserve"> </w:t>
      </w:r>
      <w:r>
        <w:t>nearly</w:t>
      </w:r>
      <w:r>
        <w:rPr>
          <w:spacing w:val="-7"/>
        </w:rPr>
        <w:t xml:space="preserve"> </w:t>
      </w:r>
      <w:r>
        <w:t>half</w:t>
      </w:r>
      <w:r>
        <w:rPr>
          <w:spacing w:val="-8"/>
        </w:rPr>
        <w:t xml:space="preserve"> </w:t>
      </w:r>
      <w:r>
        <w:t>of</w:t>
      </w:r>
      <w:r>
        <w:rPr>
          <w:spacing w:val="-9"/>
        </w:rPr>
        <w:t xml:space="preserve"> </w:t>
      </w:r>
      <w:r>
        <w:t>LGBTQ</w:t>
      </w:r>
      <w:r>
        <w:rPr>
          <w:spacing w:val="-9"/>
        </w:rPr>
        <w:t xml:space="preserve"> </w:t>
      </w:r>
      <w:r>
        <w:t>clients</w:t>
      </w:r>
      <w:r>
        <w:rPr>
          <w:spacing w:val="-7"/>
        </w:rPr>
        <w:t xml:space="preserve"> </w:t>
      </w:r>
      <w:r>
        <w:t>of</w:t>
      </w:r>
      <w:r>
        <w:rPr>
          <w:spacing w:val="-7"/>
        </w:rPr>
        <w:t xml:space="preserve"> </w:t>
      </w:r>
      <w:r>
        <w:t>service</w:t>
      </w:r>
      <w:r>
        <w:rPr>
          <w:spacing w:val="-9"/>
        </w:rPr>
        <w:t xml:space="preserve"> </w:t>
      </w:r>
      <w:r>
        <w:t>agencies</w:t>
      </w:r>
      <w:r>
        <w:rPr>
          <w:spacing w:val="-8"/>
        </w:rPr>
        <w:t xml:space="preserve"> </w:t>
      </w:r>
      <w:r>
        <w:t>for</w:t>
      </w:r>
      <w:r>
        <w:rPr>
          <w:spacing w:val="-9"/>
        </w:rPr>
        <w:t xml:space="preserve"> </w:t>
      </w:r>
      <w:r>
        <w:t>homeless</w:t>
      </w:r>
      <w:r>
        <w:rPr>
          <w:spacing w:val="-8"/>
        </w:rPr>
        <w:t xml:space="preserve"> </w:t>
      </w:r>
      <w:r>
        <w:t>youth</w:t>
      </w:r>
      <w:r>
        <w:rPr>
          <w:spacing w:val="-8"/>
        </w:rPr>
        <w:t xml:space="preserve"> </w:t>
      </w:r>
      <w:r>
        <w:t>lack valid identification cards, which poses a significant barrier to this population</w:t>
      </w:r>
      <w:hyperlink w:anchor="_bookmark285" w:history="1">
        <w:r>
          <w:t>.</w:t>
        </w:r>
        <w:r>
          <w:rPr>
            <w:vertAlign w:val="superscript"/>
          </w:rPr>
          <w:t>123</w:t>
        </w:r>
        <w:r>
          <w:t xml:space="preserve"> </w:t>
        </w:r>
      </w:hyperlink>
      <w:r>
        <w:t>LGBTQ youth may f</w:t>
      </w:r>
      <w:r>
        <w:t>ace disproportionate barriers to access as many are separated from their families over conflicts related to their</w:t>
      </w:r>
      <w:r>
        <w:rPr>
          <w:spacing w:val="-2"/>
        </w:rPr>
        <w:t xml:space="preserve"> </w:t>
      </w:r>
      <w:r>
        <w:t>LGBTQ</w:t>
      </w:r>
      <w:r>
        <w:rPr>
          <w:spacing w:val="-3"/>
        </w:rPr>
        <w:t xml:space="preserve"> </w:t>
      </w:r>
      <w:r>
        <w:t>identities.</w:t>
      </w:r>
      <w:r>
        <w:rPr>
          <w:spacing w:val="-2"/>
        </w:rPr>
        <w:t xml:space="preserve"> </w:t>
      </w:r>
      <w:r>
        <w:t>Without</w:t>
      </w:r>
      <w:r>
        <w:rPr>
          <w:spacing w:val="-3"/>
        </w:rPr>
        <w:t xml:space="preserve"> </w:t>
      </w:r>
      <w:r>
        <w:t>proper</w:t>
      </w:r>
      <w:r>
        <w:rPr>
          <w:spacing w:val="-1"/>
        </w:rPr>
        <w:t xml:space="preserve"> </w:t>
      </w:r>
      <w:r>
        <w:t>government-issued</w:t>
      </w:r>
      <w:r>
        <w:rPr>
          <w:spacing w:val="-4"/>
        </w:rPr>
        <w:t xml:space="preserve"> </w:t>
      </w:r>
      <w:r>
        <w:t>IDs,</w:t>
      </w:r>
      <w:r>
        <w:rPr>
          <w:spacing w:val="-3"/>
        </w:rPr>
        <w:t xml:space="preserve"> </w:t>
      </w:r>
      <w:r>
        <w:t>LGBTQ</w:t>
      </w:r>
      <w:r>
        <w:rPr>
          <w:spacing w:val="-4"/>
        </w:rPr>
        <w:t xml:space="preserve"> </w:t>
      </w:r>
      <w:r>
        <w:t>youth</w:t>
      </w:r>
      <w:r>
        <w:rPr>
          <w:spacing w:val="-3"/>
        </w:rPr>
        <w:t xml:space="preserve"> </w:t>
      </w:r>
      <w:r>
        <w:t>experiencing</w:t>
      </w:r>
      <w:r>
        <w:rPr>
          <w:spacing w:val="-1"/>
        </w:rPr>
        <w:t xml:space="preserve"> </w:t>
      </w:r>
      <w:r>
        <w:t>homelessness cannot open bank accounts, enroll in school, access housing, or become employed</w:t>
      </w:r>
      <w:hyperlink w:anchor="_bookmark286" w:history="1">
        <w:r>
          <w:t>.</w:t>
        </w:r>
        <w:r>
          <w:rPr>
            <w:vertAlign w:val="superscript"/>
          </w:rPr>
          <w:t>124</w:t>
        </w:r>
      </w:hyperlink>
      <w:r>
        <w:t xml:space="preserve"> The cost of identification cards, cosign, proof of address requirements, and other recent modifications to make Massachusetts I</w:t>
      </w:r>
      <w:r>
        <w:t>D policy compliant with the federal REAL ID Act may make it difficult for low-income LGBTQ</w:t>
      </w:r>
      <w:r>
        <w:rPr>
          <w:spacing w:val="-11"/>
        </w:rPr>
        <w:t xml:space="preserve"> </w:t>
      </w:r>
      <w:r>
        <w:t>youth</w:t>
      </w:r>
      <w:r>
        <w:rPr>
          <w:spacing w:val="-10"/>
        </w:rPr>
        <w:t xml:space="preserve"> </w:t>
      </w:r>
      <w:r>
        <w:t>who</w:t>
      </w:r>
      <w:r>
        <w:rPr>
          <w:spacing w:val="-11"/>
        </w:rPr>
        <w:t xml:space="preserve"> </w:t>
      </w:r>
      <w:r>
        <w:t>are</w:t>
      </w:r>
      <w:r>
        <w:rPr>
          <w:spacing w:val="-11"/>
        </w:rPr>
        <w:t xml:space="preserve"> </w:t>
      </w:r>
      <w:r>
        <w:t>experiencing</w:t>
      </w:r>
      <w:r>
        <w:rPr>
          <w:spacing w:val="-11"/>
        </w:rPr>
        <w:t xml:space="preserve"> </w:t>
      </w:r>
      <w:r>
        <w:t>homelessness</w:t>
      </w:r>
      <w:r>
        <w:rPr>
          <w:spacing w:val="-10"/>
        </w:rPr>
        <w:t xml:space="preserve"> </w:t>
      </w:r>
      <w:r>
        <w:t>to</w:t>
      </w:r>
      <w:r>
        <w:rPr>
          <w:spacing w:val="-11"/>
        </w:rPr>
        <w:t xml:space="preserve"> </w:t>
      </w:r>
      <w:r>
        <w:t>get</w:t>
      </w:r>
      <w:r>
        <w:rPr>
          <w:spacing w:val="-11"/>
        </w:rPr>
        <w:t xml:space="preserve"> </w:t>
      </w:r>
      <w:r>
        <w:t>the</w:t>
      </w:r>
      <w:r>
        <w:rPr>
          <w:spacing w:val="-11"/>
        </w:rPr>
        <w:t xml:space="preserve"> </w:t>
      </w:r>
      <w:r>
        <w:t>ID</w:t>
      </w:r>
      <w:r>
        <w:rPr>
          <w:spacing w:val="-9"/>
        </w:rPr>
        <w:t xml:space="preserve"> </w:t>
      </w:r>
      <w:r>
        <w:t>cards</w:t>
      </w:r>
      <w:r>
        <w:rPr>
          <w:spacing w:val="-11"/>
        </w:rPr>
        <w:t xml:space="preserve"> </w:t>
      </w:r>
      <w:r>
        <w:t>they</w:t>
      </w:r>
      <w:r>
        <w:rPr>
          <w:spacing w:val="-11"/>
        </w:rPr>
        <w:t xml:space="preserve"> </w:t>
      </w:r>
      <w:r>
        <w:t>need</w:t>
      </w:r>
      <w:r>
        <w:rPr>
          <w:spacing w:val="-11"/>
        </w:rPr>
        <w:t xml:space="preserve"> </w:t>
      </w:r>
      <w:r>
        <w:t>to</w:t>
      </w:r>
      <w:r>
        <w:rPr>
          <w:spacing w:val="-11"/>
        </w:rPr>
        <w:t xml:space="preserve"> </w:t>
      </w:r>
      <w:r>
        <w:t>access</w:t>
      </w:r>
      <w:r>
        <w:rPr>
          <w:spacing w:val="-11"/>
        </w:rPr>
        <w:t xml:space="preserve"> </w:t>
      </w:r>
      <w:r>
        <w:t>opportunities.</w:t>
      </w:r>
      <w:hyperlink w:anchor="_bookmark287" w:history="1">
        <w:r>
          <w:rPr>
            <w:vertAlign w:val="superscript"/>
          </w:rPr>
          <w:t>125</w:t>
        </w:r>
      </w:hyperlink>
      <w:r>
        <w:t xml:space="preserve"> A</w:t>
      </w:r>
      <w:r>
        <w:rPr>
          <w:spacing w:val="-3"/>
        </w:rPr>
        <w:t xml:space="preserve"> </w:t>
      </w:r>
      <w:r>
        <w:t>national</w:t>
      </w:r>
      <w:r>
        <w:rPr>
          <w:spacing w:val="-2"/>
        </w:rPr>
        <w:t xml:space="preserve"> </w:t>
      </w:r>
      <w:r>
        <w:t>survey</w:t>
      </w:r>
      <w:r>
        <w:rPr>
          <w:spacing w:val="-3"/>
        </w:rPr>
        <w:t xml:space="preserve"> </w:t>
      </w:r>
      <w:r>
        <w:t>of</w:t>
      </w:r>
      <w:r>
        <w:rPr>
          <w:spacing w:val="-3"/>
        </w:rPr>
        <w:t xml:space="preserve"> </w:t>
      </w:r>
      <w:r>
        <w:t>transgender</w:t>
      </w:r>
      <w:r>
        <w:rPr>
          <w:spacing w:val="-2"/>
        </w:rPr>
        <w:t xml:space="preserve"> </w:t>
      </w:r>
      <w:r>
        <w:t>in</w:t>
      </w:r>
      <w:r>
        <w:t>dividuals</w:t>
      </w:r>
      <w:r>
        <w:rPr>
          <w:spacing w:val="-3"/>
        </w:rPr>
        <w:t xml:space="preserve"> </w:t>
      </w:r>
      <w:r>
        <w:t>found</w:t>
      </w:r>
      <w:r>
        <w:rPr>
          <w:spacing w:val="-1"/>
        </w:rPr>
        <w:t xml:space="preserve"> </w:t>
      </w:r>
      <w:r>
        <w:t>that</w:t>
      </w:r>
      <w:r>
        <w:rPr>
          <w:spacing w:val="-3"/>
        </w:rPr>
        <w:t xml:space="preserve"> </w:t>
      </w:r>
      <w:r>
        <w:t>68%</w:t>
      </w:r>
      <w:r>
        <w:rPr>
          <w:spacing w:val="-1"/>
        </w:rPr>
        <w:t xml:space="preserve"> </w:t>
      </w:r>
      <w:r>
        <w:t>did</w:t>
      </w:r>
      <w:r>
        <w:rPr>
          <w:spacing w:val="-2"/>
        </w:rPr>
        <w:t xml:space="preserve"> </w:t>
      </w:r>
      <w:r>
        <w:t>not</w:t>
      </w:r>
      <w:r>
        <w:rPr>
          <w:spacing w:val="-3"/>
        </w:rPr>
        <w:t xml:space="preserve"> </w:t>
      </w:r>
      <w:r>
        <w:t>have</w:t>
      </w:r>
      <w:r>
        <w:rPr>
          <w:spacing w:val="-2"/>
        </w:rPr>
        <w:t xml:space="preserve"> </w:t>
      </w:r>
      <w:r>
        <w:t>any</w:t>
      </w:r>
      <w:r>
        <w:rPr>
          <w:spacing w:val="-2"/>
        </w:rPr>
        <w:t xml:space="preserve"> </w:t>
      </w:r>
      <w:r>
        <w:t>identifying</w:t>
      </w:r>
      <w:r>
        <w:rPr>
          <w:spacing w:val="-2"/>
        </w:rPr>
        <w:t xml:space="preserve"> </w:t>
      </w:r>
      <w:r>
        <w:t>documents that had</w:t>
      </w:r>
      <w:r>
        <w:rPr>
          <w:spacing w:val="-9"/>
        </w:rPr>
        <w:t xml:space="preserve"> </w:t>
      </w:r>
      <w:r>
        <w:t>their</w:t>
      </w:r>
      <w:r>
        <w:rPr>
          <w:spacing w:val="-7"/>
        </w:rPr>
        <w:t xml:space="preserve"> </w:t>
      </w:r>
      <w:r>
        <w:t>gender</w:t>
      </w:r>
      <w:r>
        <w:rPr>
          <w:spacing w:val="-9"/>
        </w:rPr>
        <w:t xml:space="preserve"> </w:t>
      </w:r>
      <w:r>
        <w:t>marker,</w:t>
      </w:r>
      <w:r>
        <w:rPr>
          <w:spacing w:val="-9"/>
        </w:rPr>
        <w:t xml:space="preserve"> </w:t>
      </w:r>
      <w:r>
        <w:t>40%</w:t>
      </w:r>
      <w:r>
        <w:rPr>
          <w:spacing w:val="-9"/>
        </w:rPr>
        <w:t xml:space="preserve"> </w:t>
      </w:r>
      <w:r>
        <w:t>did</w:t>
      </w:r>
      <w:r>
        <w:rPr>
          <w:spacing w:val="-8"/>
        </w:rPr>
        <w:t xml:space="preserve"> </w:t>
      </w:r>
      <w:r>
        <w:t>not</w:t>
      </w:r>
      <w:r>
        <w:rPr>
          <w:spacing w:val="-8"/>
        </w:rPr>
        <w:t xml:space="preserve"> </w:t>
      </w:r>
      <w:r>
        <w:t>have</w:t>
      </w:r>
      <w:r>
        <w:rPr>
          <w:spacing w:val="-10"/>
        </w:rPr>
        <w:t xml:space="preserve"> </w:t>
      </w:r>
      <w:r>
        <w:t>an</w:t>
      </w:r>
      <w:r>
        <w:rPr>
          <w:spacing w:val="-9"/>
        </w:rPr>
        <w:t xml:space="preserve"> </w:t>
      </w:r>
      <w:r>
        <w:t>ID</w:t>
      </w:r>
      <w:r>
        <w:rPr>
          <w:spacing w:val="-6"/>
        </w:rPr>
        <w:t xml:space="preserve"> </w:t>
      </w:r>
      <w:r>
        <w:t>that</w:t>
      </w:r>
      <w:r>
        <w:rPr>
          <w:spacing w:val="-7"/>
        </w:rPr>
        <w:t xml:space="preserve"> </w:t>
      </w:r>
      <w:r>
        <w:t>was</w:t>
      </w:r>
      <w:r>
        <w:rPr>
          <w:spacing w:val="-9"/>
        </w:rPr>
        <w:t xml:space="preserve"> </w:t>
      </w:r>
      <w:r>
        <w:t>consistent</w:t>
      </w:r>
      <w:r>
        <w:rPr>
          <w:spacing w:val="-9"/>
        </w:rPr>
        <w:t xml:space="preserve"> </w:t>
      </w:r>
      <w:r>
        <w:t>with</w:t>
      </w:r>
      <w:r>
        <w:rPr>
          <w:spacing w:val="-8"/>
        </w:rPr>
        <w:t xml:space="preserve"> </w:t>
      </w:r>
      <w:r>
        <w:t>their</w:t>
      </w:r>
      <w:r>
        <w:rPr>
          <w:spacing w:val="-7"/>
        </w:rPr>
        <w:t xml:space="preserve"> </w:t>
      </w:r>
      <w:r>
        <w:t>name,</w:t>
      </w:r>
      <w:r>
        <w:rPr>
          <w:spacing w:val="-9"/>
        </w:rPr>
        <w:t xml:space="preserve"> </w:t>
      </w:r>
      <w:r>
        <w:t>11%</w:t>
      </w:r>
      <w:r>
        <w:rPr>
          <w:spacing w:val="-9"/>
        </w:rPr>
        <w:t xml:space="preserve"> </w:t>
      </w:r>
      <w:r>
        <w:t>of</w:t>
      </w:r>
      <w:r>
        <w:rPr>
          <w:spacing w:val="-7"/>
        </w:rPr>
        <w:t xml:space="preserve"> </w:t>
      </w:r>
      <w:r>
        <w:t>transgender youth reported being denied services when gender expression did not align with gender ID marker, and 3%</w:t>
      </w:r>
      <w:r>
        <w:rPr>
          <w:spacing w:val="-1"/>
        </w:rPr>
        <w:t xml:space="preserve"> </w:t>
      </w:r>
      <w:r>
        <w:t>reported being physically</w:t>
      </w:r>
      <w:r>
        <w:rPr>
          <w:spacing w:val="-2"/>
        </w:rPr>
        <w:t xml:space="preserve"> </w:t>
      </w:r>
      <w:r>
        <w:t>assaulted upon</w:t>
      </w:r>
      <w:r>
        <w:rPr>
          <w:spacing w:val="-2"/>
        </w:rPr>
        <w:t xml:space="preserve"> </w:t>
      </w:r>
      <w:r>
        <w:t>presentation</w:t>
      </w:r>
      <w:r>
        <w:rPr>
          <w:spacing w:val="-2"/>
        </w:rPr>
        <w:t xml:space="preserve"> </w:t>
      </w:r>
      <w:r>
        <w:t>of an</w:t>
      </w:r>
      <w:r>
        <w:rPr>
          <w:spacing w:val="-2"/>
        </w:rPr>
        <w:t xml:space="preserve"> </w:t>
      </w:r>
      <w:r>
        <w:t>ID marker that did</w:t>
      </w:r>
      <w:r>
        <w:rPr>
          <w:spacing w:val="-2"/>
        </w:rPr>
        <w:t xml:space="preserve"> </w:t>
      </w:r>
      <w:r>
        <w:t>not</w:t>
      </w:r>
      <w:r>
        <w:rPr>
          <w:spacing w:val="-1"/>
        </w:rPr>
        <w:t xml:space="preserve"> </w:t>
      </w:r>
      <w:r>
        <w:t>align with</w:t>
      </w:r>
      <w:r>
        <w:rPr>
          <w:spacing w:val="-1"/>
        </w:rPr>
        <w:t xml:space="preserve"> </w:t>
      </w:r>
      <w:r>
        <w:t xml:space="preserve">gender </w:t>
      </w:r>
      <w:r>
        <w:rPr>
          <w:spacing w:val="-2"/>
        </w:rPr>
        <w:t>expression.</w:t>
      </w:r>
      <w:hyperlink w:anchor="_bookmark288" w:history="1">
        <w:r>
          <w:rPr>
            <w:spacing w:val="-2"/>
            <w:vertAlign w:val="superscript"/>
          </w:rPr>
          <w:t>126</w:t>
        </w:r>
      </w:hyperlink>
    </w:p>
    <w:p w:rsidR="00C76E6D" w:rsidRDefault="00C76E6D">
      <w:pPr>
        <w:pStyle w:val="BodyText"/>
        <w:spacing w:before="3"/>
        <w:rPr>
          <w:sz w:val="25"/>
        </w:rPr>
      </w:pPr>
    </w:p>
    <w:p w:rsidR="00C76E6D" w:rsidRDefault="00913831">
      <w:pPr>
        <w:pStyle w:val="BodyText"/>
        <w:spacing w:line="276" w:lineRule="auto"/>
        <w:ind w:left="479" w:right="474"/>
        <w:jc w:val="both"/>
      </w:pPr>
      <w:r>
        <w:t xml:space="preserve">Finally, transgender youth experiencing homelessness have faced even more severe discrimination and trauma than LGBQ youth experiencing homelessness. </w:t>
      </w:r>
      <w:hyperlink w:anchor="_bookmark289" w:history="1">
        <w:r>
          <w:rPr>
            <w:vertAlign w:val="superscript"/>
          </w:rPr>
          <w:t>127</w:t>
        </w:r>
      </w:hyperlink>
      <w:r>
        <w:t xml:space="preserve"> For transgender and gender expansive individuals,</w:t>
      </w:r>
      <w:r>
        <w:rPr>
          <w:spacing w:val="-5"/>
        </w:rPr>
        <w:t xml:space="preserve"> </w:t>
      </w:r>
      <w:r>
        <w:t>homelessnes</w:t>
      </w:r>
      <w:r>
        <w:t>s</w:t>
      </w:r>
      <w:r>
        <w:rPr>
          <w:spacing w:val="-4"/>
        </w:rPr>
        <w:t xml:space="preserve"> </w:t>
      </w:r>
      <w:r>
        <w:t>likely</w:t>
      </w:r>
      <w:r>
        <w:rPr>
          <w:spacing w:val="-4"/>
        </w:rPr>
        <w:t xml:space="preserve"> </w:t>
      </w:r>
      <w:r>
        <w:t>exacerbates</w:t>
      </w:r>
      <w:r>
        <w:rPr>
          <w:spacing w:val="-4"/>
        </w:rPr>
        <w:t xml:space="preserve"> </w:t>
      </w:r>
      <w:r>
        <w:t>the</w:t>
      </w:r>
      <w:r>
        <w:rPr>
          <w:spacing w:val="-4"/>
        </w:rPr>
        <w:t xml:space="preserve"> </w:t>
      </w:r>
      <w:r>
        <w:t>significant</w:t>
      </w:r>
      <w:r>
        <w:rPr>
          <w:spacing w:val="-4"/>
        </w:rPr>
        <w:t xml:space="preserve"> </w:t>
      </w:r>
      <w:r>
        <w:t>discrimination</w:t>
      </w:r>
      <w:r>
        <w:rPr>
          <w:spacing w:val="-5"/>
        </w:rPr>
        <w:t xml:space="preserve"> </w:t>
      </w:r>
      <w:r>
        <w:t>and</w:t>
      </w:r>
      <w:r>
        <w:rPr>
          <w:spacing w:val="-4"/>
        </w:rPr>
        <w:t xml:space="preserve"> </w:t>
      </w:r>
      <w:r>
        <w:t>lack</w:t>
      </w:r>
      <w:r>
        <w:rPr>
          <w:spacing w:val="-5"/>
        </w:rPr>
        <w:t xml:space="preserve"> </w:t>
      </w:r>
      <w:r>
        <w:t>of</w:t>
      </w:r>
      <w:r>
        <w:rPr>
          <w:spacing w:val="-5"/>
        </w:rPr>
        <w:t xml:space="preserve"> </w:t>
      </w:r>
      <w:r>
        <w:t>understanding</w:t>
      </w:r>
      <w:r>
        <w:rPr>
          <w:spacing w:val="-4"/>
        </w:rPr>
        <w:t xml:space="preserve"> </w:t>
      </w:r>
      <w:r>
        <w:t>that transgender</w:t>
      </w:r>
      <w:r>
        <w:rPr>
          <w:spacing w:val="-7"/>
        </w:rPr>
        <w:t xml:space="preserve"> </w:t>
      </w:r>
      <w:r>
        <w:t>people</w:t>
      </w:r>
      <w:r>
        <w:rPr>
          <w:spacing w:val="-9"/>
        </w:rPr>
        <w:t xml:space="preserve"> </w:t>
      </w:r>
      <w:r>
        <w:t>already</w:t>
      </w:r>
      <w:r>
        <w:rPr>
          <w:spacing w:val="-9"/>
        </w:rPr>
        <w:t xml:space="preserve"> </w:t>
      </w:r>
      <w:r>
        <w:t>face</w:t>
      </w:r>
      <w:r>
        <w:rPr>
          <w:spacing w:val="-9"/>
        </w:rPr>
        <w:t xml:space="preserve"> </w:t>
      </w:r>
      <w:r>
        <w:t>in</w:t>
      </w:r>
      <w:r>
        <w:rPr>
          <w:spacing w:val="-8"/>
        </w:rPr>
        <w:t xml:space="preserve"> </w:t>
      </w:r>
      <w:r>
        <w:t>schools,</w:t>
      </w:r>
      <w:r>
        <w:rPr>
          <w:spacing w:val="-10"/>
        </w:rPr>
        <w:t xml:space="preserve"> </w:t>
      </w:r>
      <w:r>
        <w:t>workplaces,</w:t>
      </w:r>
      <w:r>
        <w:rPr>
          <w:spacing w:val="-10"/>
        </w:rPr>
        <w:t xml:space="preserve"> </w:t>
      </w:r>
      <w:r>
        <w:t>housing,</w:t>
      </w:r>
      <w:r>
        <w:rPr>
          <w:spacing w:val="-8"/>
        </w:rPr>
        <w:t xml:space="preserve"> </w:t>
      </w:r>
      <w:r>
        <w:t>and</w:t>
      </w:r>
      <w:r>
        <w:rPr>
          <w:spacing w:val="-9"/>
        </w:rPr>
        <w:t xml:space="preserve"> </w:t>
      </w:r>
      <w:r>
        <w:t>healthcare</w:t>
      </w:r>
      <w:r>
        <w:rPr>
          <w:spacing w:val="-9"/>
        </w:rPr>
        <w:t xml:space="preserve"> </w:t>
      </w:r>
      <w:r>
        <w:t>facilities</w:t>
      </w:r>
      <w:hyperlink w:anchor="_bookmark290" w:history="1">
        <w:r>
          <w:t>.</w:t>
        </w:r>
        <w:r>
          <w:rPr>
            <w:vertAlign w:val="superscript"/>
          </w:rPr>
          <w:t>128</w:t>
        </w:r>
        <w:r>
          <w:rPr>
            <w:spacing w:val="-8"/>
          </w:rPr>
          <w:t xml:space="preserve"> </w:t>
        </w:r>
      </w:hyperlink>
      <w:r>
        <w:t>Additionally, transgender YYA may feel particularly unsafe seeking medical treatment, including routine care, for a number</w:t>
      </w:r>
      <w:r>
        <w:rPr>
          <w:spacing w:val="-3"/>
        </w:rPr>
        <w:t xml:space="preserve"> </w:t>
      </w:r>
      <w:r>
        <w:t>of</w:t>
      </w:r>
      <w:r>
        <w:rPr>
          <w:spacing w:val="-2"/>
        </w:rPr>
        <w:t xml:space="preserve"> </w:t>
      </w:r>
      <w:r>
        <w:t>reasons</w:t>
      </w:r>
      <w:r>
        <w:rPr>
          <w:spacing w:val="-3"/>
        </w:rPr>
        <w:t xml:space="preserve"> </w:t>
      </w:r>
      <w:r>
        <w:t>including</w:t>
      </w:r>
      <w:r>
        <w:rPr>
          <w:spacing w:val="-2"/>
        </w:rPr>
        <w:t xml:space="preserve"> </w:t>
      </w:r>
      <w:r>
        <w:t>negative</w:t>
      </w:r>
      <w:r>
        <w:rPr>
          <w:spacing w:val="-2"/>
        </w:rPr>
        <w:t xml:space="preserve"> </w:t>
      </w:r>
      <w:r>
        <w:t>prior</w:t>
      </w:r>
      <w:r>
        <w:rPr>
          <w:spacing w:val="-3"/>
        </w:rPr>
        <w:t xml:space="preserve"> </w:t>
      </w:r>
      <w:r>
        <w:t>experiences</w:t>
      </w:r>
      <w:r>
        <w:rPr>
          <w:spacing w:val="-2"/>
        </w:rPr>
        <w:t xml:space="preserve"> </w:t>
      </w:r>
      <w:r>
        <w:t>and</w:t>
      </w:r>
      <w:r>
        <w:rPr>
          <w:spacing w:val="-2"/>
        </w:rPr>
        <w:t xml:space="preserve"> </w:t>
      </w:r>
      <w:r>
        <w:t>or</w:t>
      </w:r>
      <w:r>
        <w:rPr>
          <w:spacing w:val="-2"/>
        </w:rPr>
        <w:t xml:space="preserve"> </w:t>
      </w:r>
      <w:r>
        <w:t>the</w:t>
      </w:r>
      <w:r>
        <w:rPr>
          <w:spacing w:val="-3"/>
        </w:rPr>
        <w:t xml:space="preserve"> </w:t>
      </w:r>
      <w:r>
        <w:t>fear</w:t>
      </w:r>
      <w:r>
        <w:rPr>
          <w:spacing w:val="-2"/>
        </w:rPr>
        <w:t xml:space="preserve"> </w:t>
      </w:r>
      <w:r>
        <w:t>of</w:t>
      </w:r>
      <w:r>
        <w:rPr>
          <w:spacing w:val="-2"/>
        </w:rPr>
        <w:t xml:space="preserve"> </w:t>
      </w:r>
      <w:r>
        <w:t>being</w:t>
      </w:r>
      <w:r>
        <w:rPr>
          <w:spacing w:val="-3"/>
        </w:rPr>
        <w:t xml:space="preserve"> </w:t>
      </w:r>
      <w:r>
        <w:t>overpathologized.</w:t>
      </w:r>
      <w:r>
        <w:rPr>
          <w:spacing w:val="-1"/>
        </w:rPr>
        <w:t xml:space="preserve"> </w:t>
      </w:r>
      <w:r>
        <w:t xml:space="preserve">Many transgender YYA are denied or do not </w:t>
      </w:r>
      <w:r>
        <w:t>have the proper access to medical care and experience complications from unmonitored use of transition hormones obtained without a prescription (e.g. bloodborne diseases and metabolic syndrome)</w:t>
      </w:r>
      <w:hyperlink w:anchor="_bookmark291" w:history="1">
        <w:r>
          <w:t>.</w:t>
        </w:r>
        <w:r>
          <w:rPr>
            <w:vertAlign w:val="superscript"/>
          </w:rPr>
          <w:t>129</w:t>
        </w:r>
      </w:hyperlink>
      <w:r>
        <w:t xml:space="preserve"> Collectively, these negati</w:t>
      </w:r>
      <w:r>
        <w:t>ve experiences have likely contributed to the high rates of undetected illnesses and poorly managed treatable chronic/acute conditions</w:t>
      </w:r>
      <w:r>
        <w:rPr>
          <w:spacing w:val="-2"/>
        </w:rPr>
        <w:t xml:space="preserve"> </w:t>
      </w:r>
      <w:r>
        <w:t>within</w:t>
      </w:r>
      <w:r>
        <w:rPr>
          <w:spacing w:val="-3"/>
        </w:rPr>
        <w:t xml:space="preserve"> </w:t>
      </w:r>
      <w:r>
        <w:t>transgender</w:t>
      </w:r>
      <w:r>
        <w:rPr>
          <w:spacing w:val="-3"/>
        </w:rPr>
        <w:t xml:space="preserve"> </w:t>
      </w:r>
      <w:r>
        <w:t>and</w:t>
      </w:r>
      <w:r>
        <w:rPr>
          <w:spacing w:val="-3"/>
        </w:rPr>
        <w:t xml:space="preserve"> </w:t>
      </w:r>
      <w:r>
        <w:t>gender</w:t>
      </w:r>
      <w:r>
        <w:rPr>
          <w:spacing w:val="-3"/>
        </w:rPr>
        <w:t xml:space="preserve"> </w:t>
      </w:r>
      <w:r>
        <w:t>expansive</w:t>
      </w:r>
      <w:r>
        <w:rPr>
          <w:spacing w:val="-3"/>
        </w:rPr>
        <w:t xml:space="preserve"> </w:t>
      </w:r>
      <w:r>
        <w:t>communities.</w:t>
      </w:r>
      <w:r>
        <w:rPr>
          <w:spacing w:val="-3"/>
        </w:rPr>
        <w:t xml:space="preserve"> </w:t>
      </w:r>
      <w:r>
        <w:t>The</w:t>
      </w:r>
      <w:r>
        <w:rPr>
          <w:spacing w:val="-3"/>
        </w:rPr>
        <w:t xml:space="preserve"> </w:t>
      </w:r>
      <w:r>
        <w:t>Commonwealth</w:t>
      </w:r>
      <w:r>
        <w:rPr>
          <w:spacing w:val="-3"/>
        </w:rPr>
        <w:t xml:space="preserve"> </w:t>
      </w:r>
      <w:r>
        <w:t>is</w:t>
      </w:r>
      <w:r>
        <w:rPr>
          <w:spacing w:val="-2"/>
        </w:rPr>
        <w:t xml:space="preserve"> </w:t>
      </w:r>
      <w:r>
        <w:t>encouraged</w:t>
      </w:r>
      <w:r>
        <w:rPr>
          <w:spacing w:val="-3"/>
        </w:rPr>
        <w:t xml:space="preserve"> </w:t>
      </w:r>
      <w:r>
        <w:t>to take note of the unique vulnerabilities of transgender and gender expansive youth, many of which have</w:t>
      </w:r>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spacing w:before="5"/>
        <w:rPr>
          <w:sz w:val="16"/>
        </w:rPr>
      </w:pPr>
    </w:p>
    <w:p w:rsidR="00C76E6D" w:rsidRDefault="00913831">
      <w:pPr>
        <w:pStyle w:val="BodyText"/>
        <w:spacing w:line="276" w:lineRule="auto"/>
        <w:ind w:left="480" w:right="479"/>
        <w:jc w:val="both"/>
      </w:pPr>
      <w:r>
        <w:t>experienced significant trauma and homelessness. The Commission strongly urges Massachusetts legislation to address the critical need f</w:t>
      </w:r>
      <w:r>
        <w:t>or improved LGBTQ YYA access to robust community services.</w:t>
      </w:r>
    </w:p>
    <w:p w:rsidR="00C76E6D" w:rsidRDefault="00C76E6D">
      <w:pPr>
        <w:pStyle w:val="BodyText"/>
        <w:spacing w:before="3"/>
        <w:rPr>
          <w:sz w:val="25"/>
        </w:rPr>
      </w:pPr>
    </w:p>
    <w:p w:rsidR="00C76E6D" w:rsidRDefault="00913831">
      <w:pPr>
        <w:pStyle w:val="Heading6"/>
        <w:numPr>
          <w:ilvl w:val="0"/>
          <w:numId w:val="40"/>
        </w:numPr>
        <w:tabs>
          <w:tab w:val="left" w:pos="699"/>
        </w:tabs>
        <w:spacing w:before="1"/>
        <w:ind w:left="698" w:hanging="222"/>
        <w:jc w:val="left"/>
      </w:pPr>
      <w:bookmarkStart w:id="270" w:name="3._Services_for_Those_Experiencing_Homel"/>
      <w:bookmarkEnd w:id="270"/>
      <w:r>
        <w:rPr>
          <w:w w:val="95"/>
        </w:rPr>
        <w:t>Services</w:t>
      </w:r>
      <w:r>
        <w:rPr>
          <w:spacing w:val="11"/>
        </w:rPr>
        <w:t xml:space="preserve"> </w:t>
      </w:r>
      <w:r>
        <w:rPr>
          <w:w w:val="95"/>
        </w:rPr>
        <w:t>for</w:t>
      </w:r>
      <w:r>
        <w:rPr>
          <w:spacing w:val="13"/>
        </w:rPr>
        <w:t xml:space="preserve"> </w:t>
      </w:r>
      <w:r>
        <w:rPr>
          <w:w w:val="95"/>
        </w:rPr>
        <w:t>Those</w:t>
      </w:r>
      <w:r>
        <w:rPr>
          <w:spacing w:val="18"/>
        </w:rPr>
        <w:t xml:space="preserve"> </w:t>
      </w:r>
      <w:r>
        <w:rPr>
          <w:w w:val="95"/>
        </w:rPr>
        <w:t>Experiencing</w:t>
      </w:r>
      <w:r>
        <w:rPr>
          <w:spacing w:val="16"/>
        </w:rPr>
        <w:t xml:space="preserve"> </w:t>
      </w:r>
      <w:r>
        <w:rPr>
          <w:spacing w:val="-2"/>
          <w:w w:val="95"/>
        </w:rPr>
        <w:t>Homelessness</w:t>
      </w:r>
    </w:p>
    <w:p w:rsidR="00C76E6D" w:rsidRDefault="00C76E6D">
      <w:pPr>
        <w:pStyle w:val="BodyText"/>
        <w:spacing w:before="2"/>
        <w:rPr>
          <w:b/>
          <w:sz w:val="29"/>
        </w:rPr>
      </w:pPr>
    </w:p>
    <w:p w:rsidR="00C76E6D" w:rsidRDefault="00913831">
      <w:pPr>
        <w:pStyle w:val="BodyText"/>
        <w:spacing w:line="276" w:lineRule="auto"/>
        <w:ind w:left="478" w:right="475"/>
        <w:jc w:val="both"/>
      </w:pPr>
      <w:r>
        <w:t>Importantly,</w:t>
      </w:r>
      <w:r>
        <w:rPr>
          <w:spacing w:val="-12"/>
        </w:rPr>
        <w:t xml:space="preserve"> </w:t>
      </w:r>
      <w:r>
        <w:t>we</w:t>
      </w:r>
      <w:r>
        <w:rPr>
          <w:spacing w:val="-13"/>
        </w:rPr>
        <w:t xml:space="preserve"> </w:t>
      </w:r>
      <w:r>
        <w:t>need</w:t>
      </w:r>
      <w:r>
        <w:rPr>
          <w:spacing w:val="-12"/>
        </w:rPr>
        <w:t xml:space="preserve"> </w:t>
      </w:r>
      <w:r>
        <w:t>to</w:t>
      </w:r>
      <w:r>
        <w:rPr>
          <w:spacing w:val="-10"/>
        </w:rPr>
        <w:t xml:space="preserve"> </w:t>
      </w:r>
      <w:r>
        <w:t>acknowledge</w:t>
      </w:r>
      <w:r>
        <w:rPr>
          <w:spacing w:val="-12"/>
        </w:rPr>
        <w:t xml:space="preserve"> </w:t>
      </w:r>
      <w:r>
        <w:t>the</w:t>
      </w:r>
      <w:r>
        <w:rPr>
          <w:spacing w:val="-13"/>
        </w:rPr>
        <w:t xml:space="preserve"> </w:t>
      </w:r>
      <w:r>
        <w:t>heteronormative</w:t>
      </w:r>
      <w:r>
        <w:rPr>
          <w:spacing w:val="-12"/>
        </w:rPr>
        <w:t xml:space="preserve"> </w:t>
      </w:r>
      <w:r>
        <w:t>and</w:t>
      </w:r>
      <w:r>
        <w:rPr>
          <w:spacing w:val="-11"/>
        </w:rPr>
        <w:t xml:space="preserve"> </w:t>
      </w:r>
      <w:r>
        <w:t>cisgender</w:t>
      </w:r>
      <w:r>
        <w:rPr>
          <w:spacing w:val="-12"/>
        </w:rPr>
        <w:t xml:space="preserve"> </w:t>
      </w:r>
      <w:r>
        <w:t>system</w:t>
      </w:r>
      <w:r>
        <w:rPr>
          <w:spacing w:val="-12"/>
        </w:rPr>
        <w:t xml:space="preserve"> </w:t>
      </w:r>
      <w:r>
        <w:t>that</w:t>
      </w:r>
      <w:r>
        <w:rPr>
          <w:spacing w:val="-11"/>
        </w:rPr>
        <w:t xml:space="preserve"> </w:t>
      </w:r>
      <w:r>
        <w:t>often</w:t>
      </w:r>
      <w:r>
        <w:rPr>
          <w:spacing w:val="-10"/>
        </w:rPr>
        <w:t xml:space="preserve"> </w:t>
      </w:r>
      <w:r>
        <w:t>delegitimizes and discriminates against LGBTQ YYA. The context in which LGBTQ YYA are operating creates additional barriers</w:t>
      </w:r>
      <w:r>
        <w:rPr>
          <w:spacing w:val="-8"/>
        </w:rPr>
        <w:t xml:space="preserve"> </w:t>
      </w:r>
      <w:r>
        <w:t>for</w:t>
      </w:r>
      <w:r>
        <w:rPr>
          <w:spacing w:val="-9"/>
        </w:rPr>
        <w:t xml:space="preserve"> </w:t>
      </w:r>
      <w:r>
        <w:t>service</w:t>
      </w:r>
      <w:r>
        <w:rPr>
          <w:spacing w:val="-8"/>
        </w:rPr>
        <w:t xml:space="preserve"> </w:t>
      </w:r>
      <w:r>
        <w:t>engagement.</w:t>
      </w:r>
      <w:r>
        <w:rPr>
          <w:spacing w:val="-8"/>
        </w:rPr>
        <w:t xml:space="preserve"> </w:t>
      </w:r>
      <w:r>
        <w:t>LGBTQ</w:t>
      </w:r>
      <w:r>
        <w:rPr>
          <w:spacing w:val="-8"/>
        </w:rPr>
        <w:t xml:space="preserve"> </w:t>
      </w:r>
      <w:r>
        <w:t>YYA</w:t>
      </w:r>
      <w:r>
        <w:rPr>
          <w:spacing w:val="-8"/>
        </w:rPr>
        <w:t xml:space="preserve"> </w:t>
      </w:r>
      <w:r>
        <w:t>are</w:t>
      </w:r>
      <w:r>
        <w:rPr>
          <w:spacing w:val="-8"/>
        </w:rPr>
        <w:t xml:space="preserve"> </w:t>
      </w:r>
      <w:r>
        <w:t>often</w:t>
      </w:r>
      <w:r>
        <w:rPr>
          <w:spacing w:val="-8"/>
        </w:rPr>
        <w:t xml:space="preserve"> </w:t>
      </w:r>
      <w:r>
        <w:t>forced</w:t>
      </w:r>
      <w:r>
        <w:rPr>
          <w:spacing w:val="-7"/>
        </w:rPr>
        <w:t xml:space="preserve"> </w:t>
      </w:r>
      <w:r>
        <w:t>to</w:t>
      </w:r>
      <w:r>
        <w:rPr>
          <w:spacing w:val="-6"/>
        </w:rPr>
        <w:t xml:space="preserve"> </w:t>
      </w:r>
      <w:r>
        <w:t>choose</w:t>
      </w:r>
      <w:r>
        <w:rPr>
          <w:spacing w:val="-9"/>
        </w:rPr>
        <w:t xml:space="preserve"> </w:t>
      </w:r>
      <w:r>
        <w:t>between</w:t>
      </w:r>
      <w:r>
        <w:rPr>
          <w:spacing w:val="-8"/>
        </w:rPr>
        <w:t xml:space="preserve"> </w:t>
      </w:r>
      <w:r>
        <w:t>their</w:t>
      </w:r>
      <w:r>
        <w:rPr>
          <w:spacing w:val="-8"/>
        </w:rPr>
        <w:t xml:space="preserve"> </w:t>
      </w:r>
      <w:r>
        <w:t>physical</w:t>
      </w:r>
      <w:r>
        <w:rPr>
          <w:spacing w:val="-8"/>
        </w:rPr>
        <w:t xml:space="preserve"> </w:t>
      </w:r>
      <w:r>
        <w:t>safety</w:t>
      </w:r>
      <w:r>
        <w:rPr>
          <w:spacing w:val="-7"/>
        </w:rPr>
        <w:t xml:space="preserve"> </w:t>
      </w:r>
      <w:r>
        <w:t>and their psychological safety</w:t>
      </w:r>
      <w:hyperlink w:anchor="_bookmark292" w:history="1">
        <w:r>
          <w:t>.</w:t>
        </w:r>
        <w:r>
          <w:rPr>
            <w:vertAlign w:val="superscript"/>
          </w:rPr>
          <w:t>130</w:t>
        </w:r>
        <w:r>
          <w:rPr>
            <w:spacing w:val="-3"/>
          </w:rPr>
          <w:t xml:space="preserve"> </w:t>
        </w:r>
      </w:hyperlink>
      <w:r>
        <w:t>For example, the only option to avoid the environmental and interpersonal dangers of the streets may be to enter a shelter or engage with housing services where they experience discrimination</w:t>
      </w:r>
      <w:r>
        <w:rPr>
          <w:spacing w:val="-13"/>
        </w:rPr>
        <w:t xml:space="preserve"> </w:t>
      </w:r>
      <w:r>
        <w:t>based</w:t>
      </w:r>
      <w:r>
        <w:rPr>
          <w:spacing w:val="-12"/>
        </w:rPr>
        <w:t xml:space="preserve"> </w:t>
      </w:r>
      <w:r>
        <w:t>on</w:t>
      </w:r>
      <w:r>
        <w:rPr>
          <w:spacing w:val="-13"/>
        </w:rPr>
        <w:t xml:space="preserve"> </w:t>
      </w:r>
      <w:r>
        <w:t>sexual</w:t>
      </w:r>
      <w:r>
        <w:rPr>
          <w:spacing w:val="-11"/>
        </w:rPr>
        <w:t xml:space="preserve"> </w:t>
      </w:r>
      <w:r>
        <w:t>orientation,</w:t>
      </w:r>
      <w:r>
        <w:rPr>
          <w:spacing w:val="-13"/>
        </w:rPr>
        <w:t xml:space="preserve"> </w:t>
      </w:r>
      <w:r>
        <w:t>gender</w:t>
      </w:r>
      <w:r>
        <w:rPr>
          <w:spacing w:val="-11"/>
        </w:rPr>
        <w:t xml:space="preserve"> </w:t>
      </w:r>
      <w:r>
        <w:t>expression,</w:t>
      </w:r>
      <w:r>
        <w:rPr>
          <w:spacing w:val="-13"/>
        </w:rPr>
        <w:t xml:space="preserve"> </w:t>
      </w:r>
      <w:r>
        <w:t>and</w:t>
      </w:r>
      <w:r>
        <w:rPr>
          <w:spacing w:val="-11"/>
        </w:rPr>
        <w:t xml:space="preserve"> </w:t>
      </w:r>
      <w:r>
        <w:t>gender</w:t>
      </w:r>
      <w:r>
        <w:rPr>
          <w:spacing w:val="-12"/>
        </w:rPr>
        <w:t xml:space="preserve"> </w:t>
      </w:r>
      <w:r>
        <w:t>identity.</w:t>
      </w:r>
      <w:r>
        <w:rPr>
          <w:spacing w:val="-13"/>
        </w:rPr>
        <w:t xml:space="preserve"> </w:t>
      </w:r>
      <w:r>
        <w:t>The</w:t>
      </w:r>
      <w:r>
        <w:rPr>
          <w:spacing w:val="-10"/>
        </w:rPr>
        <w:t xml:space="preserve"> </w:t>
      </w:r>
      <w:r>
        <w:t>choice</w:t>
      </w:r>
      <w:r>
        <w:rPr>
          <w:spacing w:val="-12"/>
        </w:rPr>
        <w:t xml:space="preserve"> </w:t>
      </w:r>
      <w:r>
        <w:t>should</w:t>
      </w:r>
      <w:r>
        <w:rPr>
          <w:spacing w:val="-10"/>
        </w:rPr>
        <w:t xml:space="preserve"> </w:t>
      </w:r>
      <w:r>
        <w:t>not be</w:t>
      </w:r>
      <w:r>
        <w:rPr>
          <w:spacing w:val="-9"/>
        </w:rPr>
        <w:t xml:space="preserve"> </w:t>
      </w:r>
      <w:r>
        <w:t>between</w:t>
      </w:r>
      <w:r>
        <w:rPr>
          <w:spacing w:val="-8"/>
        </w:rPr>
        <w:t xml:space="preserve"> </w:t>
      </w:r>
      <w:r>
        <w:t>exposure</w:t>
      </w:r>
      <w:r>
        <w:rPr>
          <w:spacing w:val="-9"/>
        </w:rPr>
        <w:t xml:space="preserve"> </w:t>
      </w:r>
      <w:r>
        <w:t>to</w:t>
      </w:r>
      <w:r>
        <w:rPr>
          <w:spacing w:val="-7"/>
        </w:rPr>
        <w:t xml:space="preserve"> </w:t>
      </w:r>
      <w:r>
        <w:t>potential</w:t>
      </w:r>
      <w:r>
        <w:rPr>
          <w:spacing w:val="-8"/>
        </w:rPr>
        <w:t xml:space="preserve"> </w:t>
      </w:r>
      <w:r>
        <w:t>violence</w:t>
      </w:r>
      <w:r>
        <w:rPr>
          <w:spacing w:val="-8"/>
        </w:rPr>
        <w:t xml:space="preserve"> </w:t>
      </w:r>
      <w:r>
        <w:t>and</w:t>
      </w:r>
      <w:r>
        <w:rPr>
          <w:spacing w:val="-8"/>
        </w:rPr>
        <w:t xml:space="preserve"> </w:t>
      </w:r>
      <w:r>
        <w:t>the</w:t>
      </w:r>
      <w:r>
        <w:rPr>
          <w:spacing w:val="-9"/>
        </w:rPr>
        <w:t xml:space="preserve"> </w:t>
      </w:r>
      <w:r>
        <w:t>elements</w:t>
      </w:r>
      <w:r>
        <w:rPr>
          <w:spacing w:val="-8"/>
        </w:rPr>
        <w:t xml:space="preserve"> </w:t>
      </w:r>
      <w:r>
        <w:t>or</w:t>
      </w:r>
      <w:r>
        <w:rPr>
          <w:spacing w:val="-9"/>
        </w:rPr>
        <w:t xml:space="preserve"> </w:t>
      </w:r>
      <w:r>
        <w:t>exposure</w:t>
      </w:r>
      <w:r>
        <w:rPr>
          <w:spacing w:val="-9"/>
        </w:rPr>
        <w:t xml:space="preserve"> </w:t>
      </w:r>
      <w:r>
        <w:t>to</w:t>
      </w:r>
      <w:r>
        <w:rPr>
          <w:spacing w:val="-8"/>
        </w:rPr>
        <w:t xml:space="preserve"> </w:t>
      </w:r>
      <w:r>
        <w:t>discrimination,</w:t>
      </w:r>
      <w:r>
        <w:rPr>
          <w:spacing w:val="-7"/>
        </w:rPr>
        <w:t xml:space="preserve"> </w:t>
      </w:r>
      <w:r>
        <w:t>homophobia, and</w:t>
      </w:r>
      <w:r>
        <w:rPr>
          <w:spacing w:val="-9"/>
        </w:rPr>
        <w:t xml:space="preserve"> </w:t>
      </w:r>
      <w:r>
        <w:t>transphobia.</w:t>
      </w:r>
      <w:r>
        <w:rPr>
          <w:spacing w:val="-9"/>
        </w:rPr>
        <w:t xml:space="preserve"> </w:t>
      </w:r>
      <w:r>
        <w:t>The</w:t>
      </w:r>
      <w:r>
        <w:rPr>
          <w:spacing w:val="-8"/>
        </w:rPr>
        <w:t xml:space="preserve"> </w:t>
      </w:r>
      <w:r>
        <w:t>needs</w:t>
      </w:r>
      <w:r>
        <w:rPr>
          <w:spacing w:val="-8"/>
        </w:rPr>
        <w:t xml:space="preserve"> </w:t>
      </w:r>
      <w:r>
        <w:t>reported</w:t>
      </w:r>
      <w:r>
        <w:rPr>
          <w:spacing w:val="-8"/>
        </w:rPr>
        <w:t xml:space="preserve"> </w:t>
      </w:r>
      <w:r>
        <w:t>by</w:t>
      </w:r>
      <w:r>
        <w:rPr>
          <w:spacing w:val="-8"/>
        </w:rPr>
        <w:t xml:space="preserve"> </w:t>
      </w:r>
      <w:r>
        <w:t>LGBTQ</w:t>
      </w:r>
      <w:r>
        <w:rPr>
          <w:spacing w:val="-9"/>
        </w:rPr>
        <w:t xml:space="preserve"> </w:t>
      </w:r>
      <w:r>
        <w:t>youth</w:t>
      </w:r>
      <w:r>
        <w:rPr>
          <w:spacing w:val="-8"/>
        </w:rPr>
        <w:t xml:space="preserve"> </w:t>
      </w:r>
      <w:r>
        <w:t>experiencing</w:t>
      </w:r>
      <w:r>
        <w:rPr>
          <w:spacing w:val="-8"/>
        </w:rPr>
        <w:t xml:space="preserve"> </w:t>
      </w:r>
      <w:r>
        <w:t>homelessness</w:t>
      </w:r>
      <w:r>
        <w:rPr>
          <w:spacing w:val="-8"/>
        </w:rPr>
        <w:t xml:space="preserve"> </w:t>
      </w:r>
      <w:r>
        <w:t>represent</w:t>
      </w:r>
      <w:r>
        <w:rPr>
          <w:spacing w:val="-8"/>
        </w:rPr>
        <w:t xml:space="preserve"> </w:t>
      </w:r>
      <w:r>
        <w:t>both</w:t>
      </w:r>
      <w:r>
        <w:rPr>
          <w:spacing w:val="-9"/>
        </w:rPr>
        <w:t xml:space="preserve"> </w:t>
      </w:r>
      <w:r>
        <w:t>general needs shared by all youth and some specific needs that are intertwined with their LGBTQ identities and discrimination. According to one study, LGBQ youth report housing, employment, education, and acceptance of their LGBQ status as primary needs, w</w:t>
      </w:r>
      <w:r>
        <w:t>hile transgender YYA express the need for housing, employment, education, and transition support</w:t>
      </w:r>
      <w:hyperlink w:anchor="_bookmark293" w:history="1">
        <w:r>
          <w:t>.</w:t>
        </w:r>
        <w:r>
          <w:rPr>
            <w:vertAlign w:val="superscript"/>
          </w:rPr>
          <w:t>131</w:t>
        </w:r>
        <w:r>
          <w:t xml:space="preserve"> </w:t>
        </w:r>
      </w:hyperlink>
      <w:r>
        <w:t>Another study indicated that the needs for LGB YYA and transgender YYA are different as LGB YYA reported that their greates</w:t>
      </w:r>
      <w:r>
        <w:t>t need was acceptance and emotional support, while transgender YYA reported transition support</w:t>
      </w:r>
      <w:hyperlink w:anchor="_bookmark294" w:history="1">
        <w:r>
          <w:t>.</w:t>
        </w:r>
        <w:r>
          <w:rPr>
            <w:vertAlign w:val="superscript"/>
          </w:rPr>
          <w:t>132</w:t>
        </w:r>
      </w:hyperlink>
    </w:p>
    <w:p w:rsidR="00C76E6D" w:rsidRDefault="00C76E6D">
      <w:pPr>
        <w:pStyle w:val="BodyText"/>
        <w:spacing w:before="8"/>
        <w:rPr>
          <w:sz w:val="26"/>
        </w:rPr>
      </w:pPr>
    </w:p>
    <w:p w:rsidR="00C76E6D" w:rsidRDefault="00913831">
      <w:pPr>
        <w:pStyle w:val="BodyText"/>
        <w:spacing w:line="276" w:lineRule="auto"/>
        <w:ind w:left="478" w:right="475"/>
        <w:jc w:val="both"/>
      </w:pPr>
      <w:r>
        <w:t>Shelters are important and invaluable resources for those experiencing homelessness. However, LGBTQ homeless youth report th</w:t>
      </w:r>
      <w:r>
        <w:t>at adult shelters are often a place of danger</w:t>
      </w:r>
      <w:hyperlink w:anchor="_bookmark295" w:history="1">
        <w:r>
          <w:t>.</w:t>
        </w:r>
        <w:r>
          <w:rPr>
            <w:vertAlign w:val="superscript"/>
          </w:rPr>
          <w:t>133</w:t>
        </w:r>
        <w:r>
          <w:t xml:space="preserve"> </w:t>
        </w:r>
      </w:hyperlink>
      <w:r>
        <w:t>One of the unique challenges faced by LGBTQ YYA is the increased risk for harassment and victimization relative to cisgender and heterosexual</w:t>
      </w:r>
      <w:r>
        <w:rPr>
          <w:spacing w:val="-3"/>
        </w:rPr>
        <w:t xml:space="preserve"> </w:t>
      </w:r>
      <w:r>
        <w:t>peers,</w:t>
      </w:r>
      <w:r>
        <w:rPr>
          <w:spacing w:val="-1"/>
        </w:rPr>
        <w:t xml:space="preserve"> </w:t>
      </w:r>
      <w:r>
        <w:t>and</w:t>
      </w:r>
      <w:r>
        <w:rPr>
          <w:spacing w:val="-2"/>
        </w:rPr>
        <w:t xml:space="preserve"> </w:t>
      </w:r>
      <w:r>
        <w:t>when</w:t>
      </w:r>
      <w:r>
        <w:rPr>
          <w:spacing w:val="-2"/>
        </w:rPr>
        <w:t xml:space="preserve"> </w:t>
      </w:r>
      <w:r>
        <w:t>reported,</w:t>
      </w:r>
      <w:r>
        <w:rPr>
          <w:spacing w:val="-3"/>
        </w:rPr>
        <w:t xml:space="preserve"> </w:t>
      </w:r>
      <w:r>
        <w:t>it</w:t>
      </w:r>
      <w:r>
        <w:rPr>
          <w:spacing w:val="-1"/>
        </w:rPr>
        <w:t xml:space="preserve"> </w:t>
      </w:r>
      <w:r>
        <w:t>is</w:t>
      </w:r>
      <w:r>
        <w:rPr>
          <w:spacing w:val="-1"/>
        </w:rPr>
        <w:t xml:space="preserve"> </w:t>
      </w:r>
      <w:r>
        <w:t>often met</w:t>
      </w:r>
      <w:r>
        <w:rPr>
          <w:spacing w:val="-2"/>
        </w:rPr>
        <w:t xml:space="preserve"> </w:t>
      </w:r>
      <w:r>
        <w:t>with</w:t>
      </w:r>
      <w:r>
        <w:rPr>
          <w:spacing w:val="-2"/>
        </w:rPr>
        <w:t xml:space="preserve"> </w:t>
      </w:r>
      <w:r>
        <w:t>inaction</w:t>
      </w:r>
      <w:r>
        <w:rPr>
          <w:spacing w:val="-3"/>
        </w:rPr>
        <w:t xml:space="preserve"> </w:t>
      </w:r>
      <w:r>
        <w:t>by</w:t>
      </w:r>
      <w:r>
        <w:rPr>
          <w:spacing w:val="-2"/>
        </w:rPr>
        <w:t xml:space="preserve"> </w:t>
      </w:r>
      <w:r>
        <w:t>staff.</w:t>
      </w:r>
      <w:hyperlink w:anchor="_bookmark296" w:history="1">
        <w:r>
          <w:rPr>
            <w:vertAlign w:val="superscript"/>
          </w:rPr>
          <w:t>134</w:t>
        </w:r>
        <w:r>
          <w:rPr>
            <w:spacing w:val="-7"/>
          </w:rPr>
          <w:t xml:space="preserve"> </w:t>
        </w:r>
      </w:hyperlink>
      <w:r>
        <w:t>Further, LGBTQ</w:t>
      </w:r>
      <w:r>
        <w:rPr>
          <w:spacing w:val="-2"/>
        </w:rPr>
        <w:t xml:space="preserve"> </w:t>
      </w:r>
      <w:r>
        <w:t>YYA</w:t>
      </w:r>
      <w:r>
        <w:rPr>
          <w:spacing w:val="-2"/>
        </w:rPr>
        <w:t xml:space="preserve"> </w:t>
      </w:r>
      <w:r>
        <w:t>who enter the adult shelter system often report being bullied, harassed, and even assaulted by others.</w:t>
      </w:r>
      <w:hyperlink w:anchor="_bookmark297" w:history="1">
        <w:r>
          <w:rPr>
            <w:vertAlign w:val="superscript"/>
          </w:rPr>
          <w:t>135</w:t>
        </w:r>
      </w:hyperlink>
      <w:r>
        <w:t xml:space="preserve"> LGBTQ YYA nationally also repo</w:t>
      </w:r>
      <w:r>
        <w:t>rt that shelter staff harassed and discriminated against them, refused to work with them, and refused to acknowledge their gender identity or gender expression.</w:t>
      </w:r>
      <w:hyperlink w:anchor="_bookmark298" w:history="1">
        <w:r>
          <w:rPr>
            <w:vertAlign w:val="superscript"/>
          </w:rPr>
          <w:t>136</w:t>
        </w:r>
      </w:hyperlink>
      <w:r>
        <w:t xml:space="preserve"> Another national study reported that 70% of transgender YYA </w:t>
      </w:r>
      <w:r>
        <w:t>who stayed in a shelter in the past 12 months reported</w:t>
      </w:r>
      <w:r>
        <w:rPr>
          <w:spacing w:val="-10"/>
        </w:rPr>
        <w:t xml:space="preserve"> </w:t>
      </w:r>
      <w:r>
        <w:t>mistreatment,</w:t>
      </w:r>
      <w:r>
        <w:rPr>
          <w:spacing w:val="-11"/>
        </w:rPr>
        <w:t xml:space="preserve"> </w:t>
      </w:r>
      <w:r>
        <w:t>being</w:t>
      </w:r>
      <w:r>
        <w:rPr>
          <w:spacing w:val="-12"/>
        </w:rPr>
        <w:t xml:space="preserve"> </w:t>
      </w:r>
      <w:r>
        <w:t>assaulted,</w:t>
      </w:r>
      <w:r>
        <w:rPr>
          <w:spacing w:val="-6"/>
        </w:rPr>
        <w:t xml:space="preserve"> </w:t>
      </w:r>
      <w:r>
        <w:t>and</w:t>
      </w:r>
      <w:r>
        <w:rPr>
          <w:spacing w:val="-9"/>
        </w:rPr>
        <w:t xml:space="preserve"> </w:t>
      </w:r>
      <w:r>
        <w:t>being</w:t>
      </w:r>
      <w:r>
        <w:rPr>
          <w:spacing w:val="-8"/>
        </w:rPr>
        <w:t xml:space="preserve"> </w:t>
      </w:r>
      <w:r>
        <w:t>kicked</w:t>
      </w:r>
      <w:r>
        <w:rPr>
          <w:spacing w:val="-9"/>
        </w:rPr>
        <w:t xml:space="preserve"> </w:t>
      </w:r>
      <w:r>
        <w:t>out</w:t>
      </w:r>
      <w:hyperlink w:anchor="_bookmark299" w:history="1">
        <w:r>
          <w:t>.</w:t>
        </w:r>
        <w:r>
          <w:rPr>
            <w:vertAlign w:val="superscript"/>
          </w:rPr>
          <w:t>137</w:t>
        </w:r>
        <w:r>
          <w:rPr>
            <w:spacing w:val="-10"/>
          </w:rPr>
          <w:t xml:space="preserve"> </w:t>
        </w:r>
      </w:hyperlink>
      <w:r>
        <w:t>These</w:t>
      </w:r>
      <w:r>
        <w:rPr>
          <w:spacing w:val="-10"/>
        </w:rPr>
        <w:t xml:space="preserve"> </w:t>
      </w:r>
      <w:r>
        <w:t>experiences</w:t>
      </w:r>
      <w:r>
        <w:rPr>
          <w:spacing w:val="-8"/>
        </w:rPr>
        <w:t xml:space="preserve"> </w:t>
      </w:r>
      <w:r>
        <w:t>of</w:t>
      </w:r>
      <w:r>
        <w:rPr>
          <w:spacing w:val="-10"/>
        </w:rPr>
        <w:t xml:space="preserve"> </w:t>
      </w:r>
      <w:r>
        <w:t>discrimination</w:t>
      </w:r>
      <w:r>
        <w:rPr>
          <w:spacing w:val="-10"/>
        </w:rPr>
        <w:t xml:space="preserve"> </w:t>
      </w:r>
      <w:r>
        <w:t>and harassment accumulate and deter LGBTQ YYA from entering the shelter system.</w:t>
      </w:r>
    </w:p>
    <w:p w:rsidR="00C76E6D" w:rsidRDefault="00C76E6D">
      <w:pPr>
        <w:pStyle w:val="BodyText"/>
        <w:spacing w:before="2"/>
        <w:rPr>
          <w:sz w:val="26"/>
        </w:rPr>
      </w:pPr>
    </w:p>
    <w:p w:rsidR="00C76E6D" w:rsidRDefault="00913831">
      <w:pPr>
        <w:pStyle w:val="BodyText"/>
        <w:spacing w:line="276" w:lineRule="auto"/>
        <w:ind w:left="479" w:right="475"/>
        <w:jc w:val="both"/>
      </w:pPr>
      <w:r>
        <w:t>While</w:t>
      </w:r>
      <w:r>
        <w:rPr>
          <w:spacing w:val="-10"/>
        </w:rPr>
        <w:t xml:space="preserve"> </w:t>
      </w:r>
      <w:r>
        <w:t>the</w:t>
      </w:r>
      <w:r>
        <w:rPr>
          <w:spacing w:val="-9"/>
        </w:rPr>
        <w:t xml:space="preserve"> </w:t>
      </w:r>
      <w:r>
        <w:t>experiences</w:t>
      </w:r>
      <w:r>
        <w:rPr>
          <w:spacing w:val="-10"/>
        </w:rPr>
        <w:t xml:space="preserve"> </w:t>
      </w:r>
      <w:r>
        <w:t>of</w:t>
      </w:r>
      <w:r>
        <w:rPr>
          <w:spacing w:val="-10"/>
        </w:rPr>
        <w:t xml:space="preserve"> </w:t>
      </w:r>
      <w:r>
        <w:t>LBGTQ</w:t>
      </w:r>
      <w:r>
        <w:rPr>
          <w:spacing w:val="-9"/>
        </w:rPr>
        <w:t xml:space="preserve"> </w:t>
      </w:r>
      <w:r>
        <w:t>YYA</w:t>
      </w:r>
      <w:r>
        <w:rPr>
          <w:spacing w:val="-10"/>
        </w:rPr>
        <w:t xml:space="preserve"> </w:t>
      </w:r>
      <w:r>
        <w:t>in</w:t>
      </w:r>
      <w:r>
        <w:rPr>
          <w:spacing w:val="-10"/>
        </w:rPr>
        <w:t xml:space="preserve"> </w:t>
      </w:r>
      <w:r>
        <w:t>the</w:t>
      </w:r>
      <w:r>
        <w:rPr>
          <w:spacing w:val="-12"/>
        </w:rPr>
        <w:t xml:space="preserve"> </w:t>
      </w:r>
      <w:r>
        <w:t>adult</w:t>
      </w:r>
      <w:r>
        <w:rPr>
          <w:spacing w:val="-11"/>
        </w:rPr>
        <w:t xml:space="preserve"> </w:t>
      </w:r>
      <w:r>
        <w:t>shelter</w:t>
      </w:r>
      <w:r>
        <w:rPr>
          <w:spacing w:val="-10"/>
        </w:rPr>
        <w:t xml:space="preserve"> </w:t>
      </w:r>
      <w:r>
        <w:t>system</w:t>
      </w:r>
      <w:r>
        <w:rPr>
          <w:spacing w:val="-10"/>
        </w:rPr>
        <w:t xml:space="preserve"> </w:t>
      </w:r>
      <w:r>
        <w:t>are</w:t>
      </w:r>
      <w:r>
        <w:rPr>
          <w:spacing w:val="-10"/>
        </w:rPr>
        <w:t xml:space="preserve"> </w:t>
      </w:r>
      <w:r>
        <w:t>often</w:t>
      </w:r>
      <w:r>
        <w:rPr>
          <w:spacing w:val="-10"/>
        </w:rPr>
        <w:t xml:space="preserve"> </w:t>
      </w:r>
      <w:r>
        <w:t>negative,</w:t>
      </w:r>
      <w:r>
        <w:rPr>
          <w:spacing w:val="-10"/>
        </w:rPr>
        <w:t xml:space="preserve"> </w:t>
      </w:r>
      <w:r>
        <w:t>there</w:t>
      </w:r>
      <w:r>
        <w:rPr>
          <w:spacing w:val="-9"/>
        </w:rPr>
        <w:t xml:space="preserve"> </w:t>
      </w:r>
      <w:r>
        <w:t>have</w:t>
      </w:r>
      <w:r>
        <w:rPr>
          <w:spacing w:val="-9"/>
        </w:rPr>
        <w:t xml:space="preserve"> </w:t>
      </w:r>
      <w:r>
        <w:t>been</w:t>
      </w:r>
      <w:r>
        <w:rPr>
          <w:spacing w:val="-10"/>
        </w:rPr>
        <w:t xml:space="preserve"> </w:t>
      </w:r>
      <w:r>
        <w:t>some individual programs that have elevated the needs of LGBTQ YYA here in M</w:t>
      </w:r>
      <w:r>
        <w:t>assachusetts. Y2Y Harvard Square,</w:t>
      </w:r>
      <w:r>
        <w:rPr>
          <w:spacing w:val="-13"/>
        </w:rPr>
        <w:t xml:space="preserve"> </w:t>
      </w:r>
      <w:r>
        <w:t>an</w:t>
      </w:r>
      <w:r>
        <w:rPr>
          <w:spacing w:val="-12"/>
        </w:rPr>
        <w:t xml:space="preserve"> </w:t>
      </w:r>
      <w:r>
        <w:t>overnight</w:t>
      </w:r>
      <w:r>
        <w:rPr>
          <w:spacing w:val="-13"/>
        </w:rPr>
        <w:t xml:space="preserve"> </w:t>
      </w:r>
      <w:r>
        <w:t>emergency</w:t>
      </w:r>
      <w:r>
        <w:rPr>
          <w:spacing w:val="-12"/>
        </w:rPr>
        <w:t xml:space="preserve"> </w:t>
      </w:r>
      <w:r>
        <w:t>shelter</w:t>
      </w:r>
      <w:r>
        <w:rPr>
          <w:spacing w:val="-13"/>
        </w:rPr>
        <w:t xml:space="preserve"> </w:t>
      </w:r>
      <w:r>
        <w:t>for</w:t>
      </w:r>
      <w:r>
        <w:rPr>
          <w:spacing w:val="-12"/>
        </w:rPr>
        <w:t xml:space="preserve"> </w:t>
      </w:r>
      <w:r>
        <w:t>young</w:t>
      </w:r>
      <w:r>
        <w:rPr>
          <w:spacing w:val="-12"/>
        </w:rPr>
        <w:t xml:space="preserve"> </w:t>
      </w:r>
      <w:r>
        <w:t>adults,</w:t>
      </w:r>
      <w:r>
        <w:rPr>
          <w:spacing w:val="-12"/>
        </w:rPr>
        <w:t xml:space="preserve"> </w:t>
      </w:r>
      <w:r>
        <w:t>intentionally</w:t>
      </w:r>
      <w:r>
        <w:rPr>
          <w:spacing w:val="-12"/>
        </w:rPr>
        <w:t xml:space="preserve"> </w:t>
      </w:r>
      <w:r>
        <w:t>included</w:t>
      </w:r>
      <w:r>
        <w:rPr>
          <w:spacing w:val="-11"/>
        </w:rPr>
        <w:t xml:space="preserve"> </w:t>
      </w:r>
      <w:r>
        <w:t>a</w:t>
      </w:r>
      <w:r>
        <w:rPr>
          <w:spacing w:val="-12"/>
        </w:rPr>
        <w:t xml:space="preserve"> </w:t>
      </w:r>
      <w:r>
        <w:t>gender-affirming</w:t>
      </w:r>
      <w:r>
        <w:rPr>
          <w:spacing w:val="-13"/>
        </w:rPr>
        <w:t xml:space="preserve"> </w:t>
      </w:r>
      <w:r>
        <w:t>design process when building the shelter. The space itself is non-gendered, with the bunk beds for sleeping in a non-gendered</w:t>
      </w:r>
      <w:r>
        <w:rPr>
          <w:spacing w:val="-4"/>
        </w:rPr>
        <w:t xml:space="preserve"> </w:t>
      </w:r>
      <w:r>
        <w:t>communal</w:t>
      </w:r>
      <w:r>
        <w:rPr>
          <w:spacing w:val="-2"/>
        </w:rPr>
        <w:t xml:space="preserve"> </w:t>
      </w:r>
      <w:r>
        <w:t>and</w:t>
      </w:r>
      <w:r>
        <w:rPr>
          <w:spacing w:val="-4"/>
        </w:rPr>
        <w:t xml:space="preserve"> </w:t>
      </w:r>
      <w:r>
        <w:t>supervised</w:t>
      </w:r>
      <w:r>
        <w:rPr>
          <w:spacing w:val="-4"/>
        </w:rPr>
        <w:t xml:space="preserve"> </w:t>
      </w:r>
      <w:r>
        <w:t>area.</w:t>
      </w:r>
      <w:r>
        <w:rPr>
          <w:spacing w:val="-4"/>
        </w:rPr>
        <w:t xml:space="preserve"> </w:t>
      </w:r>
      <w:r>
        <w:t>All</w:t>
      </w:r>
      <w:r>
        <w:rPr>
          <w:spacing w:val="-4"/>
        </w:rPr>
        <w:t xml:space="preserve"> </w:t>
      </w:r>
      <w:r>
        <w:t>of</w:t>
      </w:r>
      <w:r>
        <w:rPr>
          <w:spacing w:val="-4"/>
        </w:rPr>
        <w:t xml:space="preserve"> </w:t>
      </w:r>
      <w:r>
        <w:t>the</w:t>
      </w:r>
      <w:r>
        <w:rPr>
          <w:spacing w:val="-4"/>
        </w:rPr>
        <w:t xml:space="preserve"> </w:t>
      </w:r>
      <w:r>
        <w:t>bathrooms</w:t>
      </w:r>
      <w:r>
        <w:rPr>
          <w:spacing w:val="-4"/>
        </w:rPr>
        <w:t xml:space="preserve"> </w:t>
      </w:r>
      <w:r>
        <w:t>are</w:t>
      </w:r>
      <w:r>
        <w:rPr>
          <w:spacing w:val="-4"/>
        </w:rPr>
        <w:t xml:space="preserve"> </w:t>
      </w:r>
      <w:r>
        <w:t>non-gendered</w:t>
      </w:r>
      <w:r>
        <w:rPr>
          <w:spacing w:val="-4"/>
        </w:rPr>
        <w:t xml:space="preserve"> </w:t>
      </w:r>
      <w:r>
        <w:t>and</w:t>
      </w:r>
      <w:r>
        <w:rPr>
          <w:spacing w:val="-3"/>
        </w:rPr>
        <w:t xml:space="preserve"> </w:t>
      </w:r>
      <w:r>
        <w:t>all</w:t>
      </w:r>
      <w:r>
        <w:rPr>
          <w:spacing w:val="-4"/>
        </w:rPr>
        <w:t xml:space="preserve"> </w:t>
      </w:r>
      <w:r>
        <w:t>individuals are asked about their preferred pronouns upon intake.</w:t>
      </w:r>
    </w:p>
    <w:p w:rsidR="00C76E6D" w:rsidRDefault="00C76E6D">
      <w:pPr>
        <w:pStyle w:val="BodyText"/>
        <w:spacing w:before="5"/>
        <w:rPr>
          <w:sz w:val="26"/>
        </w:rPr>
      </w:pPr>
    </w:p>
    <w:p w:rsidR="00C76E6D" w:rsidRDefault="00913831">
      <w:pPr>
        <w:pStyle w:val="BodyText"/>
        <w:spacing w:line="276" w:lineRule="auto"/>
        <w:ind w:left="480" w:right="476" w:hanging="1"/>
        <w:jc w:val="both"/>
      </w:pPr>
      <w:r>
        <w:t>Nationally,</w:t>
      </w:r>
      <w:r>
        <w:rPr>
          <w:spacing w:val="-3"/>
        </w:rPr>
        <w:t xml:space="preserve"> </w:t>
      </w:r>
      <w:r>
        <w:t>LGBTQ</w:t>
      </w:r>
      <w:r>
        <w:rPr>
          <w:spacing w:val="-3"/>
        </w:rPr>
        <w:t xml:space="preserve"> </w:t>
      </w:r>
      <w:r>
        <w:t>YYA</w:t>
      </w:r>
      <w:r>
        <w:rPr>
          <w:spacing w:val="-3"/>
        </w:rPr>
        <w:t xml:space="preserve"> </w:t>
      </w:r>
      <w:r>
        <w:t>need</w:t>
      </w:r>
      <w:r>
        <w:rPr>
          <w:spacing w:val="-4"/>
        </w:rPr>
        <w:t xml:space="preserve"> </w:t>
      </w:r>
      <w:r>
        <w:t>culturally</w:t>
      </w:r>
      <w:r>
        <w:rPr>
          <w:spacing w:val="-2"/>
        </w:rPr>
        <w:t xml:space="preserve"> </w:t>
      </w:r>
      <w:r>
        <w:t>responsive</w:t>
      </w:r>
      <w:r>
        <w:rPr>
          <w:spacing w:val="-4"/>
        </w:rPr>
        <w:t xml:space="preserve"> </w:t>
      </w:r>
      <w:r>
        <w:t>services</w:t>
      </w:r>
      <w:r>
        <w:rPr>
          <w:spacing w:val="-3"/>
        </w:rPr>
        <w:t xml:space="preserve"> </w:t>
      </w:r>
      <w:r>
        <w:t>that</w:t>
      </w:r>
      <w:r>
        <w:rPr>
          <w:spacing w:val="-4"/>
        </w:rPr>
        <w:t xml:space="preserve"> </w:t>
      </w:r>
      <w:r>
        <w:t>meet</w:t>
      </w:r>
      <w:r>
        <w:rPr>
          <w:spacing w:val="-3"/>
        </w:rPr>
        <w:t xml:space="preserve"> </w:t>
      </w:r>
      <w:r>
        <w:t>the</w:t>
      </w:r>
      <w:r>
        <w:rPr>
          <w:spacing w:val="-3"/>
        </w:rPr>
        <w:t xml:space="preserve"> </w:t>
      </w:r>
      <w:r>
        <w:t>needs</w:t>
      </w:r>
      <w:r>
        <w:rPr>
          <w:spacing w:val="-2"/>
        </w:rPr>
        <w:t xml:space="preserve"> </w:t>
      </w:r>
      <w:r>
        <w:t>of</w:t>
      </w:r>
      <w:r>
        <w:rPr>
          <w:spacing w:val="-4"/>
        </w:rPr>
        <w:t xml:space="preserve"> </w:t>
      </w:r>
      <w:r>
        <w:t>those</w:t>
      </w:r>
      <w:r>
        <w:rPr>
          <w:spacing w:val="-4"/>
        </w:rPr>
        <w:t xml:space="preserve"> </w:t>
      </w:r>
      <w:r>
        <w:t>seeking</w:t>
      </w:r>
      <w:r>
        <w:rPr>
          <w:spacing w:val="-4"/>
        </w:rPr>
        <w:t xml:space="preserve"> </w:t>
      </w:r>
      <w:r>
        <w:t>services, such</w:t>
      </w:r>
      <w:r>
        <w:rPr>
          <w:spacing w:val="-5"/>
        </w:rPr>
        <w:t xml:space="preserve"> </w:t>
      </w:r>
      <w:r>
        <w:t>as</w:t>
      </w:r>
      <w:r>
        <w:rPr>
          <w:spacing w:val="-5"/>
        </w:rPr>
        <w:t xml:space="preserve"> </w:t>
      </w:r>
      <w:r>
        <w:t>private</w:t>
      </w:r>
      <w:r>
        <w:rPr>
          <w:spacing w:val="-6"/>
        </w:rPr>
        <w:t xml:space="preserve"> </w:t>
      </w:r>
      <w:r>
        <w:t>showers,</w:t>
      </w:r>
      <w:r>
        <w:rPr>
          <w:spacing w:val="-5"/>
        </w:rPr>
        <w:t xml:space="preserve"> </w:t>
      </w:r>
      <w:r>
        <w:t>culturally</w:t>
      </w:r>
      <w:r>
        <w:rPr>
          <w:spacing w:val="-5"/>
        </w:rPr>
        <w:t xml:space="preserve"> </w:t>
      </w:r>
      <w:r>
        <w:t>responsive</w:t>
      </w:r>
      <w:r>
        <w:rPr>
          <w:spacing w:val="-6"/>
        </w:rPr>
        <w:t xml:space="preserve"> </w:t>
      </w:r>
      <w:r>
        <w:t>training</w:t>
      </w:r>
      <w:r>
        <w:rPr>
          <w:spacing w:val="-4"/>
        </w:rPr>
        <w:t xml:space="preserve"> </w:t>
      </w:r>
      <w:r>
        <w:t>for</w:t>
      </w:r>
      <w:r>
        <w:rPr>
          <w:spacing w:val="-5"/>
        </w:rPr>
        <w:t xml:space="preserve"> </w:t>
      </w:r>
      <w:r>
        <w:t>providers,</w:t>
      </w:r>
      <w:r>
        <w:rPr>
          <w:spacing w:val="-5"/>
        </w:rPr>
        <w:t xml:space="preserve"> </w:t>
      </w:r>
      <w:r>
        <w:t>and</w:t>
      </w:r>
      <w:r>
        <w:rPr>
          <w:spacing w:val="-5"/>
        </w:rPr>
        <w:t xml:space="preserve"> </w:t>
      </w:r>
      <w:r>
        <w:t>services</w:t>
      </w:r>
      <w:r>
        <w:rPr>
          <w:spacing w:val="-4"/>
        </w:rPr>
        <w:t xml:space="preserve"> </w:t>
      </w:r>
      <w:r>
        <w:t>that</w:t>
      </w:r>
      <w:r>
        <w:rPr>
          <w:spacing w:val="-5"/>
        </w:rPr>
        <w:t xml:space="preserve"> </w:t>
      </w:r>
      <w:r>
        <w:t>are</w:t>
      </w:r>
      <w:r>
        <w:rPr>
          <w:spacing w:val="-5"/>
        </w:rPr>
        <w:t xml:space="preserve"> </w:t>
      </w:r>
      <w:r>
        <w:t>inclusive</w:t>
      </w:r>
      <w:r>
        <w:rPr>
          <w:spacing w:val="-5"/>
        </w:rPr>
        <w:t xml:space="preserve"> </w:t>
      </w:r>
      <w:r>
        <w:t>of</w:t>
      </w:r>
      <w:r>
        <w:rPr>
          <w:spacing w:val="-5"/>
        </w:rPr>
        <w:t xml:space="preserve"> </w:t>
      </w:r>
      <w:r>
        <w:t>the needs</w:t>
      </w:r>
      <w:r>
        <w:rPr>
          <w:spacing w:val="-4"/>
        </w:rPr>
        <w:t xml:space="preserve"> </w:t>
      </w:r>
      <w:r>
        <w:t>of</w:t>
      </w:r>
      <w:r>
        <w:rPr>
          <w:spacing w:val="-4"/>
        </w:rPr>
        <w:t xml:space="preserve"> </w:t>
      </w:r>
      <w:r>
        <w:t>young</w:t>
      </w:r>
      <w:r>
        <w:rPr>
          <w:spacing w:val="-5"/>
        </w:rPr>
        <w:t xml:space="preserve"> </w:t>
      </w:r>
      <w:r>
        <w:t>LGBTQ</w:t>
      </w:r>
      <w:r>
        <w:rPr>
          <w:spacing w:val="-5"/>
        </w:rPr>
        <w:t xml:space="preserve"> </w:t>
      </w:r>
      <w:r>
        <w:t>folks.</w:t>
      </w:r>
      <w:r>
        <w:rPr>
          <w:spacing w:val="-5"/>
        </w:rPr>
        <w:t xml:space="preserve"> </w:t>
      </w:r>
      <w:r>
        <w:t>Specifically,</w:t>
      </w:r>
      <w:r>
        <w:rPr>
          <w:spacing w:val="-3"/>
        </w:rPr>
        <w:t xml:space="preserve"> </w:t>
      </w:r>
      <w:r>
        <w:t>transgender</w:t>
      </w:r>
      <w:r>
        <w:rPr>
          <w:spacing w:val="-4"/>
        </w:rPr>
        <w:t xml:space="preserve"> </w:t>
      </w:r>
      <w:r>
        <w:t>and</w:t>
      </w:r>
      <w:r>
        <w:rPr>
          <w:spacing w:val="-5"/>
        </w:rPr>
        <w:t xml:space="preserve"> </w:t>
      </w:r>
      <w:r>
        <w:t>gender</w:t>
      </w:r>
      <w:r>
        <w:rPr>
          <w:spacing w:val="-2"/>
        </w:rPr>
        <w:t xml:space="preserve"> </w:t>
      </w:r>
      <w:r>
        <w:t>expansive</w:t>
      </w:r>
      <w:r>
        <w:rPr>
          <w:spacing w:val="-5"/>
        </w:rPr>
        <w:t xml:space="preserve"> </w:t>
      </w:r>
      <w:r>
        <w:t>individuals</w:t>
      </w:r>
      <w:r>
        <w:rPr>
          <w:spacing w:val="-4"/>
        </w:rPr>
        <w:t xml:space="preserve"> </w:t>
      </w:r>
      <w:r>
        <w:t>experience</w:t>
      </w:r>
      <w:r>
        <w:rPr>
          <w:spacing w:val="-2"/>
        </w:rPr>
        <w:t xml:space="preserve"> </w:t>
      </w:r>
      <w:r>
        <w:t>being</w:t>
      </w:r>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913831">
      <w:pPr>
        <w:pStyle w:val="BodyText"/>
        <w:spacing w:before="200" w:line="276" w:lineRule="auto"/>
        <w:ind w:left="478" w:right="478"/>
        <w:jc w:val="both"/>
      </w:pPr>
      <w:r>
        <w:t>turned away from shelters due to their gender identity or the absence of instituted shelter policies inclusive</w:t>
      </w:r>
      <w:r>
        <w:rPr>
          <w:spacing w:val="-13"/>
        </w:rPr>
        <w:t xml:space="preserve"> </w:t>
      </w:r>
      <w:r>
        <w:t>of</w:t>
      </w:r>
      <w:r>
        <w:rPr>
          <w:spacing w:val="-11"/>
        </w:rPr>
        <w:t xml:space="preserve"> </w:t>
      </w:r>
      <w:r>
        <w:t>all</w:t>
      </w:r>
      <w:r>
        <w:rPr>
          <w:spacing w:val="-13"/>
        </w:rPr>
        <w:t xml:space="preserve"> </w:t>
      </w:r>
      <w:r>
        <w:t>genders,</w:t>
      </w:r>
      <w:r>
        <w:rPr>
          <w:spacing w:val="-11"/>
        </w:rPr>
        <w:t xml:space="preserve"> </w:t>
      </w:r>
      <w:r>
        <w:t>such</w:t>
      </w:r>
      <w:r>
        <w:rPr>
          <w:spacing w:val="-12"/>
        </w:rPr>
        <w:t xml:space="preserve"> </w:t>
      </w:r>
      <w:r>
        <w:t>as</w:t>
      </w:r>
      <w:r>
        <w:rPr>
          <w:spacing w:val="-11"/>
        </w:rPr>
        <w:t xml:space="preserve"> </w:t>
      </w:r>
      <w:r>
        <w:t>binary</w:t>
      </w:r>
      <w:r>
        <w:rPr>
          <w:spacing w:val="-11"/>
        </w:rPr>
        <w:t xml:space="preserve"> </w:t>
      </w:r>
      <w:r>
        <w:t>segregated</w:t>
      </w:r>
      <w:r>
        <w:rPr>
          <w:spacing w:val="-10"/>
        </w:rPr>
        <w:t xml:space="preserve"> </w:t>
      </w:r>
      <w:r>
        <w:t>accommodations</w:t>
      </w:r>
      <w:r>
        <w:rPr>
          <w:spacing w:val="-11"/>
        </w:rPr>
        <w:t xml:space="preserve"> </w:t>
      </w:r>
      <w:r>
        <w:t>and</w:t>
      </w:r>
      <w:r>
        <w:rPr>
          <w:spacing w:val="-11"/>
        </w:rPr>
        <w:t xml:space="preserve"> </w:t>
      </w:r>
      <w:r>
        <w:t>programming.</w:t>
      </w:r>
      <w:hyperlink w:anchor="_bookmark300" w:history="1">
        <w:r>
          <w:rPr>
            <w:vertAlign w:val="superscript"/>
          </w:rPr>
          <w:t>138</w:t>
        </w:r>
        <w:r>
          <w:rPr>
            <w:spacing w:val="-11"/>
          </w:rPr>
          <w:t xml:space="preserve"> </w:t>
        </w:r>
      </w:hyperlink>
      <w:r>
        <w:t>Further,</w:t>
      </w:r>
      <w:r>
        <w:rPr>
          <w:spacing w:val="-11"/>
        </w:rPr>
        <w:t xml:space="preserve"> </w:t>
      </w:r>
      <w:r>
        <w:t>the</w:t>
      </w:r>
      <w:r>
        <w:rPr>
          <w:spacing w:val="-11"/>
        </w:rPr>
        <w:t xml:space="preserve"> </w:t>
      </w:r>
      <w:r>
        <w:t>lack of LGBTQ inclusive</w:t>
      </w:r>
      <w:r>
        <w:t xml:space="preserve"> policies, whether intentional or due to lack of awareness, implies that these services are not for LGBTQ youth. This implicit exclusion of LGBTQ YYA by shelters becomes a contributing factor in an LGBTQ youth’s need to turn to survival sex work to meet th</w:t>
      </w:r>
      <w:r>
        <w:t>eir need for housing.</w:t>
      </w:r>
      <w:hyperlink w:anchor="_bookmark301" w:history="1">
        <w:r>
          <w:rPr>
            <w:vertAlign w:val="superscript"/>
          </w:rPr>
          <w:t>139</w:t>
        </w:r>
        <w:r>
          <w:t xml:space="preserve"> </w:t>
        </w:r>
      </w:hyperlink>
      <w:r>
        <w:t xml:space="preserve">Finally, LGBTQ YYA may fear accessing shelters because staff will turn them over to police or social services for family </w:t>
      </w:r>
      <w:r>
        <w:rPr>
          <w:spacing w:val="-2"/>
        </w:rPr>
        <w:t>reunification</w:t>
      </w:r>
      <w:hyperlink w:anchor="_bookmark302" w:history="1">
        <w:r>
          <w:rPr>
            <w:spacing w:val="-2"/>
          </w:rPr>
          <w:t>.</w:t>
        </w:r>
        <w:r>
          <w:rPr>
            <w:spacing w:val="-2"/>
            <w:vertAlign w:val="superscript"/>
          </w:rPr>
          <w:t>140</w:t>
        </w:r>
      </w:hyperlink>
    </w:p>
    <w:p w:rsidR="00C76E6D" w:rsidRDefault="00C76E6D">
      <w:pPr>
        <w:pStyle w:val="BodyText"/>
        <w:spacing w:before="7"/>
        <w:rPr>
          <w:sz w:val="26"/>
        </w:rPr>
      </w:pPr>
    </w:p>
    <w:p w:rsidR="00C76E6D" w:rsidRDefault="00913831">
      <w:pPr>
        <w:pStyle w:val="BodyText"/>
        <w:spacing w:before="1" w:line="276" w:lineRule="auto"/>
        <w:ind w:left="478" w:right="475"/>
        <w:jc w:val="both"/>
      </w:pPr>
      <w:r>
        <w:t>LGBTQ drop-in centers can help provide basic needs for LGBTQ YYA who choose to remain unsheltered due</w:t>
      </w:r>
      <w:r>
        <w:rPr>
          <w:spacing w:val="-13"/>
        </w:rPr>
        <w:t xml:space="preserve"> </w:t>
      </w:r>
      <w:r>
        <w:t>to</w:t>
      </w:r>
      <w:r>
        <w:rPr>
          <w:spacing w:val="-11"/>
        </w:rPr>
        <w:t xml:space="preserve"> </w:t>
      </w:r>
      <w:r>
        <w:t>discrimination,</w:t>
      </w:r>
      <w:r>
        <w:rPr>
          <w:spacing w:val="-12"/>
        </w:rPr>
        <w:t xml:space="preserve"> </w:t>
      </w:r>
      <w:r>
        <w:t>such</w:t>
      </w:r>
      <w:r>
        <w:rPr>
          <w:spacing w:val="-12"/>
        </w:rPr>
        <w:t xml:space="preserve"> </w:t>
      </w:r>
      <w:r>
        <w:t>as</w:t>
      </w:r>
      <w:r>
        <w:rPr>
          <w:spacing w:val="-13"/>
        </w:rPr>
        <w:t xml:space="preserve"> </w:t>
      </w:r>
      <w:r>
        <w:t>food,</w:t>
      </w:r>
      <w:r>
        <w:rPr>
          <w:spacing w:val="-11"/>
        </w:rPr>
        <w:t xml:space="preserve"> </w:t>
      </w:r>
      <w:r>
        <w:t>water,</w:t>
      </w:r>
      <w:r>
        <w:rPr>
          <w:spacing w:val="-12"/>
        </w:rPr>
        <w:t xml:space="preserve"> </w:t>
      </w:r>
      <w:r>
        <w:t>laundry,</w:t>
      </w:r>
      <w:r>
        <w:rPr>
          <w:spacing w:val="-11"/>
        </w:rPr>
        <w:t xml:space="preserve"> </w:t>
      </w:r>
      <w:r>
        <w:t>and</w:t>
      </w:r>
      <w:r>
        <w:rPr>
          <w:spacing w:val="-13"/>
        </w:rPr>
        <w:t xml:space="preserve"> </w:t>
      </w:r>
      <w:r>
        <w:t>showers</w:t>
      </w:r>
      <w:hyperlink w:anchor="_bookmark303" w:history="1">
        <w:r>
          <w:t>.</w:t>
        </w:r>
        <w:r>
          <w:rPr>
            <w:vertAlign w:val="superscript"/>
          </w:rPr>
          <w:t>141</w:t>
        </w:r>
        <w:r>
          <w:rPr>
            <w:spacing w:val="-12"/>
          </w:rPr>
          <w:t xml:space="preserve"> </w:t>
        </w:r>
      </w:hyperlink>
      <w:r>
        <w:t>Research</w:t>
      </w:r>
      <w:r>
        <w:rPr>
          <w:spacing w:val="-10"/>
        </w:rPr>
        <w:t xml:space="preserve"> </w:t>
      </w:r>
      <w:r>
        <w:t>has</w:t>
      </w:r>
      <w:r>
        <w:rPr>
          <w:spacing w:val="-11"/>
        </w:rPr>
        <w:t xml:space="preserve"> </w:t>
      </w:r>
      <w:r>
        <w:t>shown</w:t>
      </w:r>
      <w:r>
        <w:rPr>
          <w:spacing w:val="-12"/>
        </w:rPr>
        <w:t xml:space="preserve"> </w:t>
      </w:r>
      <w:r>
        <w:t>LGBTQ</w:t>
      </w:r>
      <w:r>
        <w:rPr>
          <w:spacing w:val="-13"/>
        </w:rPr>
        <w:t xml:space="preserve"> </w:t>
      </w:r>
      <w:r>
        <w:t>YYA</w:t>
      </w:r>
      <w:r>
        <w:rPr>
          <w:spacing w:val="-10"/>
        </w:rPr>
        <w:t xml:space="preserve"> </w:t>
      </w:r>
      <w:r>
        <w:t xml:space="preserve">drop- in centers are better </w:t>
      </w:r>
      <w:r>
        <w:t>at connecting YYA to services than shelter systems</w:t>
      </w:r>
      <w:hyperlink w:anchor="_bookmark304" w:history="1">
        <w:r>
          <w:t>.</w:t>
        </w:r>
        <w:r>
          <w:rPr>
            <w:vertAlign w:val="superscript"/>
          </w:rPr>
          <w:t>142</w:t>
        </w:r>
        <w:r>
          <w:t xml:space="preserve"> </w:t>
        </w:r>
      </w:hyperlink>
      <w:r>
        <w:t>Drop-in center staff often connect LGBTQ YYA to higher-level needs such as mental health treatment, substance use treatment, HIV/STI-related</w:t>
      </w:r>
      <w:r>
        <w:rPr>
          <w:spacing w:val="-13"/>
        </w:rPr>
        <w:t xml:space="preserve"> </w:t>
      </w:r>
      <w:r>
        <w:t>programs,</w:t>
      </w:r>
      <w:r>
        <w:rPr>
          <w:spacing w:val="-12"/>
        </w:rPr>
        <w:t xml:space="preserve"> </w:t>
      </w:r>
      <w:r>
        <w:t>job</w:t>
      </w:r>
      <w:r>
        <w:rPr>
          <w:spacing w:val="-13"/>
        </w:rPr>
        <w:t xml:space="preserve"> </w:t>
      </w:r>
      <w:r>
        <w:t>training,</w:t>
      </w:r>
      <w:r>
        <w:rPr>
          <w:spacing w:val="-12"/>
        </w:rPr>
        <w:t xml:space="preserve"> </w:t>
      </w:r>
      <w:r>
        <w:t>acad</w:t>
      </w:r>
      <w:r>
        <w:t>emic</w:t>
      </w:r>
      <w:r>
        <w:rPr>
          <w:spacing w:val="-13"/>
        </w:rPr>
        <w:t xml:space="preserve"> </w:t>
      </w:r>
      <w:r>
        <w:t>support,</w:t>
      </w:r>
      <w:r>
        <w:rPr>
          <w:spacing w:val="-12"/>
        </w:rPr>
        <w:t xml:space="preserve"> </w:t>
      </w:r>
      <w:r>
        <w:t>and</w:t>
      </w:r>
      <w:r>
        <w:rPr>
          <w:spacing w:val="-13"/>
        </w:rPr>
        <w:t xml:space="preserve"> </w:t>
      </w:r>
      <w:r>
        <w:t>school</w:t>
      </w:r>
      <w:r>
        <w:rPr>
          <w:spacing w:val="-12"/>
        </w:rPr>
        <w:t xml:space="preserve"> </w:t>
      </w:r>
      <w:r>
        <w:t>drop-out</w:t>
      </w:r>
      <w:r>
        <w:rPr>
          <w:spacing w:val="-12"/>
        </w:rPr>
        <w:t xml:space="preserve"> </w:t>
      </w:r>
      <w:r>
        <w:t>prevention.</w:t>
      </w:r>
      <w:hyperlink w:anchor="_bookmark305" w:history="1">
        <w:r>
          <w:rPr>
            <w:vertAlign w:val="superscript"/>
          </w:rPr>
          <w:t>143</w:t>
        </w:r>
        <w:r>
          <w:rPr>
            <w:spacing w:val="-13"/>
          </w:rPr>
          <w:t xml:space="preserve"> </w:t>
        </w:r>
      </w:hyperlink>
      <w:r>
        <w:t>Researchers contend that drop-in centers can be utilized more to target LGBTQ YYA, who are often invisible in the research and policy. Specifically, by creating drop-in center</w:t>
      </w:r>
      <w:r>
        <w:t>s that include mentorship and peer support, extended clinic hours, programming that includes art, cultural, and recreational activities that are intersectional</w:t>
      </w:r>
      <w:r>
        <w:rPr>
          <w:spacing w:val="-9"/>
        </w:rPr>
        <w:t xml:space="preserve"> </w:t>
      </w:r>
      <w:r>
        <w:t>and</w:t>
      </w:r>
      <w:r>
        <w:rPr>
          <w:spacing w:val="-12"/>
        </w:rPr>
        <w:t xml:space="preserve"> </w:t>
      </w:r>
      <w:r>
        <w:t>anti-racist,</w:t>
      </w:r>
      <w:r>
        <w:rPr>
          <w:spacing w:val="-12"/>
        </w:rPr>
        <w:t xml:space="preserve"> </w:t>
      </w:r>
      <w:r>
        <w:t>and</w:t>
      </w:r>
      <w:r>
        <w:rPr>
          <w:spacing w:val="-11"/>
        </w:rPr>
        <w:t xml:space="preserve"> </w:t>
      </w:r>
      <w:r>
        <w:t>programming</w:t>
      </w:r>
      <w:r>
        <w:rPr>
          <w:spacing w:val="-13"/>
        </w:rPr>
        <w:t xml:space="preserve"> </w:t>
      </w:r>
      <w:r>
        <w:t>that</w:t>
      </w:r>
      <w:r>
        <w:rPr>
          <w:spacing w:val="-11"/>
        </w:rPr>
        <w:t xml:space="preserve"> </w:t>
      </w:r>
      <w:r>
        <w:t>targets</w:t>
      </w:r>
      <w:r>
        <w:rPr>
          <w:spacing w:val="-12"/>
        </w:rPr>
        <w:t xml:space="preserve"> </w:t>
      </w:r>
      <w:r>
        <w:t>LGBTQ</w:t>
      </w:r>
      <w:r>
        <w:rPr>
          <w:spacing w:val="-11"/>
        </w:rPr>
        <w:t xml:space="preserve"> </w:t>
      </w:r>
      <w:r>
        <w:t>YYA</w:t>
      </w:r>
      <w:r>
        <w:rPr>
          <w:spacing w:val="-12"/>
        </w:rPr>
        <w:t xml:space="preserve"> </w:t>
      </w:r>
      <w:r>
        <w:t>who</w:t>
      </w:r>
      <w:r>
        <w:rPr>
          <w:spacing w:val="-10"/>
        </w:rPr>
        <w:t xml:space="preserve"> </w:t>
      </w:r>
      <w:r>
        <w:t>have</w:t>
      </w:r>
      <w:r>
        <w:rPr>
          <w:spacing w:val="-13"/>
        </w:rPr>
        <w:t xml:space="preserve"> </w:t>
      </w:r>
      <w:r>
        <w:t>recently</w:t>
      </w:r>
      <w:r>
        <w:rPr>
          <w:spacing w:val="-9"/>
        </w:rPr>
        <w:t xml:space="preserve"> </w:t>
      </w:r>
      <w:r>
        <w:t>immigrated</w:t>
      </w:r>
      <w:hyperlink w:anchor="_bookmark306" w:history="1">
        <w:r>
          <w:t>.</w:t>
        </w:r>
        <w:r>
          <w:rPr>
            <w:vertAlign w:val="superscript"/>
          </w:rPr>
          <w:t>144</w:t>
        </w:r>
      </w:hyperlink>
    </w:p>
    <w:p w:rsidR="00C76E6D" w:rsidRDefault="00C76E6D">
      <w:pPr>
        <w:pStyle w:val="BodyText"/>
        <w:spacing w:before="7"/>
        <w:rPr>
          <w:sz w:val="26"/>
        </w:rPr>
      </w:pPr>
    </w:p>
    <w:p w:rsidR="00C76E6D" w:rsidRDefault="00913831">
      <w:pPr>
        <w:pStyle w:val="BodyText"/>
        <w:spacing w:line="276" w:lineRule="auto"/>
        <w:ind w:left="478" w:right="475"/>
        <w:jc w:val="both"/>
      </w:pPr>
      <w:r>
        <w:t>Nationally about 7-10% of LGBTQ YYA who experience homelessness are transgender and gender expansive, and approximately 2% have identified as transgender in MA</w:t>
      </w:r>
      <w:hyperlink w:anchor="_bookmark307" w:history="1">
        <w:r>
          <w:t>.</w:t>
        </w:r>
        <w:r>
          <w:rPr>
            <w:vertAlign w:val="superscript"/>
          </w:rPr>
          <w:t>145</w:t>
        </w:r>
      </w:hyperlink>
      <w:r>
        <w:t xml:space="preserve"> According to the 2019 MA</w:t>
      </w:r>
      <w:r>
        <w:t xml:space="preserve"> Youth Count data LGBTQ YYA were more likely to report that their basic needs were not being met</w:t>
      </w:r>
      <w:hyperlink w:anchor="_bookmark308" w:history="1">
        <w:r>
          <w:t>.</w:t>
        </w:r>
        <w:r>
          <w:rPr>
            <w:vertAlign w:val="superscript"/>
          </w:rPr>
          <w:t>146</w:t>
        </w:r>
        <w:r>
          <w:rPr>
            <w:spacing w:val="-2"/>
          </w:rPr>
          <w:t xml:space="preserve"> </w:t>
        </w:r>
      </w:hyperlink>
      <w:r>
        <w:t xml:space="preserve">A theme from research on transgender and gender expansive YYA experiencing homelessness is the need for affirming services </w:t>
      </w:r>
      <w:r>
        <w:t>and access to resources for transitioning. Transgender YYA experiencing homelessness lack access to medical resources for transitioning from difficulty obtaining insurance to access</w:t>
      </w:r>
      <w:r>
        <w:rPr>
          <w:spacing w:val="-11"/>
        </w:rPr>
        <w:t xml:space="preserve"> </w:t>
      </w:r>
      <w:r>
        <w:t>to</w:t>
      </w:r>
      <w:r>
        <w:rPr>
          <w:spacing w:val="-11"/>
        </w:rPr>
        <w:t xml:space="preserve"> </w:t>
      </w:r>
      <w:r>
        <w:t>prescription</w:t>
      </w:r>
      <w:r>
        <w:rPr>
          <w:spacing w:val="-12"/>
        </w:rPr>
        <w:t xml:space="preserve"> </w:t>
      </w:r>
      <w:r>
        <w:t>hormones</w:t>
      </w:r>
      <w:r>
        <w:rPr>
          <w:spacing w:val="-11"/>
        </w:rPr>
        <w:t xml:space="preserve"> </w:t>
      </w:r>
      <w:r>
        <w:t>to</w:t>
      </w:r>
      <w:r>
        <w:rPr>
          <w:spacing w:val="-11"/>
        </w:rPr>
        <w:t xml:space="preserve"> </w:t>
      </w:r>
      <w:r>
        <w:t>access</w:t>
      </w:r>
      <w:r>
        <w:rPr>
          <w:spacing w:val="-11"/>
        </w:rPr>
        <w:t xml:space="preserve"> </w:t>
      </w:r>
      <w:r>
        <w:t>to</w:t>
      </w:r>
      <w:r>
        <w:rPr>
          <w:spacing w:val="-11"/>
        </w:rPr>
        <w:t xml:space="preserve"> </w:t>
      </w:r>
      <w:r>
        <w:t>other</w:t>
      </w:r>
      <w:r>
        <w:rPr>
          <w:spacing w:val="-11"/>
        </w:rPr>
        <w:t xml:space="preserve"> </w:t>
      </w:r>
      <w:r>
        <w:t>gender-affirming</w:t>
      </w:r>
      <w:r>
        <w:rPr>
          <w:spacing w:val="-12"/>
        </w:rPr>
        <w:t xml:space="preserve"> </w:t>
      </w:r>
      <w:r>
        <w:t>care</w:t>
      </w:r>
      <w:hyperlink w:anchor="_bookmark309" w:history="1">
        <w:r>
          <w:t>.</w:t>
        </w:r>
        <w:r>
          <w:rPr>
            <w:vertAlign w:val="superscript"/>
          </w:rPr>
          <w:t>147</w:t>
        </w:r>
        <w:r>
          <w:rPr>
            <w:spacing w:val="-4"/>
          </w:rPr>
          <w:t xml:space="preserve"> </w:t>
        </w:r>
      </w:hyperlink>
      <w:r>
        <w:t>Of</w:t>
      </w:r>
      <w:r>
        <w:rPr>
          <w:spacing w:val="-10"/>
        </w:rPr>
        <w:t xml:space="preserve"> </w:t>
      </w:r>
      <w:r>
        <w:t>note,</w:t>
      </w:r>
      <w:r>
        <w:rPr>
          <w:spacing w:val="-11"/>
        </w:rPr>
        <w:t xml:space="preserve"> </w:t>
      </w:r>
      <w:r>
        <w:t>the</w:t>
      </w:r>
      <w:r>
        <w:rPr>
          <w:spacing w:val="-10"/>
        </w:rPr>
        <w:t xml:space="preserve"> </w:t>
      </w:r>
      <w:r>
        <w:t>transgender</w:t>
      </w:r>
      <w:r>
        <w:rPr>
          <w:spacing w:val="-11"/>
        </w:rPr>
        <w:t xml:space="preserve"> </w:t>
      </w:r>
      <w:r>
        <w:t>and gender expansive communities need to be recognized for their resilience, courage, social justice, and ability to create community networks of support in the absence of systemic and institutional supp</w:t>
      </w:r>
      <w:r>
        <w:t>ort</w:t>
      </w:r>
      <w:hyperlink w:anchor="_bookmark310" w:history="1">
        <w:r>
          <w:t>.</w:t>
        </w:r>
        <w:r>
          <w:rPr>
            <w:vertAlign w:val="superscript"/>
          </w:rPr>
          <w:t>148</w:t>
        </w:r>
      </w:hyperlink>
    </w:p>
    <w:p w:rsidR="00C76E6D" w:rsidRDefault="00C76E6D">
      <w:pPr>
        <w:pStyle w:val="BodyText"/>
        <w:spacing w:before="4"/>
        <w:rPr>
          <w:sz w:val="26"/>
        </w:rPr>
      </w:pPr>
    </w:p>
    <w:p w:rsidR="00C76E6D" w:rsidRDefault="00913831">
      <w:pPr>
        <w:pStyle w:val="BodyText"/>
        <w:spacing w:line="276" w:lineRule="auto"/>
        <w:ind w:left="478" w:right="475"/>
        <w:jc w:val="both"/>
      </w:pPr>
      <w:r>
        <w:t>For the services that do exist, there are some signs that competency to serve LGBTQ youth may have improved</w:t>
      </w:r>
      <w:r>
        <w:rPr>
          <w:spacing w:val="-4"/>
        </w:rPr>
        <w:t xml:space="preserve"> </w:t>
      </w:r>
      <w:r>
        <w:t>in</w:t>
      </w:r>
      <w:r>
        <w:rPr>
          <w:spacing w:val="-4"/>
        </w:rPr>
        <w:t xml:space="preserve"> </w:t>
      </w:r>
      <w:r>
        <w:t>recent</w:t>
      </w:r>
      <w:r>
        <w:rPr>
          <w:spacing w:val="-4"/>
        </w:rPr>
        <w:t xml:space="preserve"> </w:t>
      </w:r>
      <w:r>
        <w:t>years.</w:t>
      </w:r>
      <w:r>
        <w:rPr>
          <w:spacing w:val="-3"/>
        </w:rPr>
        <w:t xml:space="preserve"> </w:t>
      </w:r>
      <w:r>
        <w:t>A</w:t>
      </w:r>
      <w:r>
        <w:rPr>
          <w:spacing w:val="-4"/>
        </w:rPr>
        <w:t xml:space="preserve"> </w:t>
      </w:r>
      <w:r>
        <w:t>2015</w:t>
      </w:r>
      <w:r>
        <w:rPr>
          <w:spacing w:val="-4"/>
        </w:rPr>
        <w:t xml:space="preserve"> </w:t>
      </w:r>
      <w:r>
        <w:t>nationally</w:t>
      </w:r>
      <w:r>
        <w:rPr>
          <w:spacing w:val="-4"/>
        </w:rPr>
        <w:t xml:space="preserve"> </w:t>
      </w:r>
      <w:r>
        <w:t>representative</w:t>
      </w:r>
      <w:r>
        <w:rPr>
          <w:spacing w:val="-4"/>
        </w:rPr>
        <w:t xml:space="preserve"> </w:t>
      </w:r>
      <w:r>
        <w:t>survey</w:t>
      </w:r>
      <w:r>
        <w:rPr>
          <w:spacing w:val="-4"/>
        </w:rPr>
        <w:t xml:space="preserve"> </w:t>
      </w:r>
      <w:r>
        <w:t>showed</w:t>
      </w:r>
      <w:r>
        <w:rPr>
          <w:spacing w:val="-3"/>
        </w:rPr>
        <w:t xml:space="preserve"> </w:t>
      </w:r>
      <w:r>
        <w:t>that</w:t>
      </w:r>
      <w:r>
        <w:rPr>
          <w:spacing w:val="-5"/>
        </w:rPr>
        <w:t xml:space="preserve"> </w:t>
      </w:r>
      <w:r>
        <w:t>more</w:t>
      </w:r>
      <w:r>
        <w:rPr>
          <w:spacing w:val="-3"/>
        </w:rPr>
        <w:t xml:space="preserve"> </w:t>
      </w:r>
      <w:r>
        <w:t>than</w:t>
      </w:r>
      <w:r>
        <w:rPr>
          <w:spacing w:val="-4"/>
        </w:rPr>
        <w:t xml:space="preserve"> </w:t>
      </w:r>
      <w:r>
        <w:t>90%</w:t>
      </w:r>
      <w:r>
        <w:rPr>
          <w:spacing w:val="-4"/>
        </w:rPr>
        <w:t xml:space="preserve"> </w:t>
      </w:r>
      <w:r>
        <w:t>of</w:t>
      </w:r>
      <w:r>
        <w:rPr>
          <w:spacing w:val="-4"/>
        </w:rPr>
        <w:t xml:space="preserve"> </w:t>
      </w:r>
      <w:r>
        <w:t>service providers for homeless youth self-reported feeling “somewhat” or “very confident” in caring for LGBTQ youth</w:t>
      </w:r>
      <w:hyperlink w:anchor="_bookmark311" w:history="1">
        <w:r>
          <w:t>.</w:t>
        </w:r>
        <w:r>
          <w:rPr>
            <w:vertAlign w:val="superscript"/>
          </w:rPr>
          <w:t>149</w:t>
        </w:r>
        <w:r>
          <w:rPr>
            <w:spacing w:val="-13"/>
          </w:rPr>
          <w:t xml:space="preserve"> </w:t>
        </w:r>
      </w:hyperlink>
      <w:r>
        <w:t>Many</w:t>
      </w:r>
      <w:r>
        <w:rPr>
          <w:spacing w:val="-12"/>
        </w:rPr>
        <w:t xml:space="preserve"> </w:t>
      </w:r>
      <w:r>
        <w:t>agencies</w:t>
      </w:r>
      <w:r>
        <w:rPr>
          <w:spacing w:val="-13"/>
        </w:rPr>
        <w:t xml:space="preserve"> </w:t>
      </w:r>
      <w:r>
        <w:t>have</w:t>
      </w:r>
      <w:r>
        <w:rPr>
          <w:spacing w:val="-12"/>
        </w:rPr>
        <w:t xml:space="preserve"> </w:t>
      </w:r>
      <w:r>
        <w:t>associated</w:t>
      </w:r>
      <w:r>
        <w:rPr>
          <w:spacing w:val="-13"/>
        </w:rPr>
        <w:t xml:space="preserve"> </w:t>
      </w:r>
      <w:r>
        <w:t>their</w:t>
      </w:r>
      <w:r>
        <w:rPr>
          <w:spacing w:val="-12"/>
        </w:rPr>
        <w:t xml:space="preserve"> </w:t>
      </w:r>
      <w:r>
        <w:t>perceived</w:t>
      </w:r>
      <w:r>
        <w:rPr>
          <w:spacing w:val="-13"/>
        </w:rPr>
        <w:t xml:space="preserve"> </w:t>
      </w:r>
      <w:r>
        <w:t>success</w:t>
      </w:r>
      <w:r>
        <w:rPr>
          <w:spacing w:val="-12"/>
        </w:rPr>
        <w:t xml:space="preserve"> </w:t>
      </w:r>
      <w:r>
        <w:t>at</w:t>
      </w:r>
      <w:r>
        <w:rPr>
          <w:spacing w:val="-12"/>
        </w:rPr>
        <w:t xml:space="preserve"> </w:t>
      </w:r>
      <w:r>
        <w:t>working</w:t>
      </w:r>
      <w:r>
        <w:rPr>
          <w:spacing w:val="-13"/>
        </w:rPr>
        <w:t xml:space="preserve"> </w:t>
      </w:r>
      <w:r>
        <w:t>with</w:t>
      </w:r>
      <w:r>
        <w:rPr>
          <w:spacing w:val="-12"/>
        </w:rPr>
        <w:t xml:space="preserve"> </w:t>
      </w:r>
      <w:r>
        <w:t>LGBTQ</w:t>
      </w:r>
      <w:r>
        <w:rPr>
          <w:spacing w:val="-13"/>
        </w:rPr>
        <w:t xml:space="preserve"> </w:t>
      </w:r>
      <w:r>
        <w:t>youth</w:t>
      </w:r>
      <w:r>
        <w:rPr>
          <w:spacing w:val="-12"/>
        </w:rPr>
        <w:t xml:space="preserve"> </w:t>
      </w:r>
      <w:r>
        <w:t>with</w:t>
      </w:r>
      <w:r>
        <w:rPr>
          <w:spacing w:val="-13"/>
        </w:rPr>
        <w:t xml:space="preserve"> </w:t>
      </w:r>
      <w:r>
        <w:t xml:space="preserve">having completed </w:t>
      </w:r>
      <w:r>
        <w:t xml:space="preserve">training and having LGBTQ-identified staff and board members. In total, 85% of facilities reported adequate LGBTQ competency training, 90% had LGBQ staff member(s), 47% had transgender staff member(s), 61% had LGBQ board member(s), and 22% had transgender </w:t>
      </w:r>
      <w:r>
        <w:t>board member(s)</w:t>
      </w:r>
      <w:hyperlink w:anchor="_bookmark312" w:history="1">
        <w:r>
          <w:t>.</w:t>
        </w:r>
        <w:r>
          <w:rPr>
            <w:vertAlign w:val="superscript"/>
          </w:rPr>
          <w:t>150</w:t>
        </w:r>
      </w:hyperlink>
      <w:r>
        <w:t xml:space="preserve"> However, a separate national survey of service providers demonstrated that 25% of respondents experienced inadequate training as a barrier to serving LGBTQ youth</w:t>
      </w:r>
      <w:hyperlink w:anchor="_bookmark313" w:history="1">
        <w:r>
          <w:t>.</w:t>
        </w:r>
        <w:r>
          <w:rPr>
            <w:vertAlign w:val="superscript"/>
          </w:rPr>
          <w:t>151</w:t>
        </w:r>
        <w:r>
          <w:t xml:space="preserve"> </w:t>
        </w:r>
      </w:hyperlink>
      <w:r>
        <w:t>Nation</w:t>
      </w:r>
      <w:r>
        <w:t>ally, many LGBTQ youth experiencing</w:t>
      </w:r>
      <w:r>
        <w:rPr>
          <w:spacing w:val="-9"/>
        </w:rPr>
        <w:t xml:space="preserve"> </w:t>
      </w:r>
      <w:r>
        <w:t>homelessness</w:t>
      </w:r>
      <w:r>
        <w:rPr>
          <w:spacing w:val="-10"/>
        </w:rPr>
        <w:t xml:space="preserve"> </w:t>
      </w:r>
      <w:r>
        <w:t>report</w:t>
      </w:r>
      <w:r>
        <w:rPr>
          <w:spacing w:val="-12"/>
        </w:rPr>
        <w:t xml:space="preserve"> </w:t>
      </w:r>
      <w:r>
        <w:t>being</w:t>
      </w:r>
      <w:r>
        <w:rPr>
          <w:spacing w:val="-12"/>
        </w:rPr>
        <w:t xml:space="preserve"> </w:t>
      </w:r>
      <w:r>
        <w:t>turned</w:t>
      </w:r>
      <w:r>
        <w:rPr>
          <w:spacing w:val="-10"/>
        </w:rPr>
        <w:t xml:space="preserve"> </w:t>
      </w:r>
      <w:r>
        <w:t>away</w:t>
      </w:r>
      <w:r>
        <w:rPr>
          <w:spacing w:val="-11"/>
        </w:rPr>
        <w:t xml:space="preserve"> </w:t>
      </w:r>
      <w:r>
        <w:t>from</w:t>
      </w:r>
      <w:r>
        <w:rPr>
          <w:spacing w:val="-11"/>
        </w:rPr>
        <w:t xml:space="preserve"> </w:t>
      </w:r>
      <w:r>
        <w:t>shelters</w:t>
      </w:r>
      <w:r>
        <w:rPr>
          <w:spacing w:val="-10"/>
        </w:rPr>
        <w:t xml:space="preserve"> </w:t>
      </w:r>
      <w:r>
        <w:t>and</w:t>
      </w:r>
      <w:r>
        <w:rPr>
          <w:spacing w:val="-11"/>
        </w:rPr>
        <w:t xml:space="preserve"> </w:t>
      </w:r>
      <w:r>
        <w:t>other</w:t>
      </w:r>
      <w:r>
        <w:rPr>
          <w:spacing w:val="-9"/>
        </w:rPr>
        <w:t xml:space="preserve"> </w:t>
      </w:r>
      <w:r>
        <w:t>housing</w:t>
      </w:r>
      <w:r>
        <w:rPr>
          <w:spacing w:val="-10"/>
        </w:rPr>
        <w:t xml:space="preserve"> </w:t>
      </w:r>
      <w:r>
        <w:t>due</w:t>
      </w:r>
      <w:r>
        <w:rPr>
          <w:spacing w:val="-10"/>
        </w:rPr>
        <w:t xml:space="preserve"> </w:t>
      </w:r>
      <w:r>
        <w:t>to</w:t>
      </w:r>
      <w:r>
        <w:rPr>
          <w:spacing w:val="-11"/>
        </w:rPr>
        <w:t xml:space="preserve"> </w:t>
      </w:r>
      <w:r>
        <w:t>their</w:t>
      </w:r>
      <w:r>
        <w:rPr>
          <w:spacing w:val="-10"/>
        </w:rPr>
        <w:t xml:space="preserve"> </w:t>
      </w:r>
      <w:r>
        <w:t>LGBTQ identity, and those who receive placement often report adverse experiences while there</w:t>
      </w:r>
      <w:hyperlink w:anchor="_bookmark314" w:history="1">
        <w:r>
          <w:t>.</w:t>
        </w:r>
        <w:r>
          <w:rPr>
            <w:vertAlign w:val="superscript"/>
          </w:rPr>
          <w:t>152</w:t>
        </w:r>
      </w:hyperlink>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2"/>
        <w:rPr>
          <w:sz w:val="17"/>
        </w:rPr>
      </w:pPr>
    </w:p>
    <w:p w:rsidR="00C76E6D" w:rsidRDefault="00913831">
      <w:pPr>
        <w:pStyle w:val="Heading6"/>
        <w:numPr>
          <w:ilvl w:val="0"/>
          <w:numId w:val="42"/>
        </w:numPr>
        <w:tabs>
          <w:tab w:val="left" w:pos="777"/>
        </w:tabs>
        <w:spacing w:before="55"/>
        <w:ind w:left="776" w:hanging="299"/>
      </w:pPr>
      <w:r>
        <w:pict>
          <v:shape id="docshape281" o:spid="_x0000_s1155" style="position:absolute;left:0;text-align:left;margin-left:71.05pt;margin-top:18.8pt;width:470.95pt;height:.1pt;z-index:-15681024;mso-wrap-distance-left:0;mso-wrap-distance-right:0;mso-position-horizontal-relative:page" coordorigin="1421,376" coordsize="9419,0" path="m1421,376r9419,e" filled="f" strokeweight=".54292mm">
            <v:path arrowok="t"/>
            <w10:wrap type="topAndBottom" anchorx="page"/>
          </v:shape>
        </w:pict>
      </w:r>
      <w:bookmarkStart w:id="271" w:name="D._Progress_in_Massachusetts_Towards_End"/>
      <w:bookmarkStart w:id="272" w:name="_bookmark162"/>
      <w:bookmarkEnd w:id="271"/>
      <w:bookmarkEnd w:id="272"/>
      <w:r>
        <w:rPr>
          <w:w w:val="95"/>
        </w:rPr>
        <w:t>Progress</w:t>
      </w:r>
      <w:r>
        <w:rPr>
          <w:spacing w:val="15"/>
        </w:rPr>
        <w:t xml:space="preserve"> </w:t>
      </w:r>
      <w:r>
        <w:rPr>
          <w:w w:val="95"/>
        </w:rPr>
        <w:t>in</w:t>
      </w:r>
      <w:r>
        <w:rPr>
          <w:spacing w:val="15"/>
        </w:rPr>
        <w:t xml:space="preserve"> </w:t>
      </w:r>
      <w:r>
        <w:rPr>
          <w:w w:val="95"/>
        </w:rPr>
        <w:t>Massachusetts</w:t>
      </w:r>
      <w:r>
        <w:rPr>
          <w:spacing w:val="19"/>
        </w:rPr>
        <w:t xml:space="preserve"> </w:t>
      </w:r>
      <w:r>
        <w:rPr>
          <w:w w:val="95"/>
        </w:rPr>
        <w:t>Towards</w:t>
      </w:r>
      <w:r>
        <w:rPr>
          <w:spacing w:val="18"/>
        </w:rPr>
        <w:t xml:space="preserve"> </w:t>
      </w:r>
      <w:r>
        <w:rPr>
          <w:w w:val="95"/>
        </w:rPr>
        <w:t>Ending</w:t>
      </w:r>
      <w:r>
        <w:rPr>
          <w:spacing w:val="19"/>
        </w:rPr>
        <w:t xml:space="preserve"> </w:t>
      </w:r>
      <w:r>
        <w:rPr>
          <w:spacing w:val="-2"/>
          <w:w w:val="95"/>
        </w:rPr>
        <w:t>Homelessness</w:t>
      </w:r>
    </w:p>
    <w:p w:rsidR="00C76E6D" w:rsidRDefault="00C76E6D">
      <w:pPr>
        <w:pStyle w:val="BodyText"/>
        <w:spacing w:before="10"/>
        <w:rPr>
          <w:b/>
          <w:sz w:val="21"/>
        </w:rPr>
      </w:pPr>
    </w:p>
    <w:p w:rsidR="00C76E6D" w:rsidRDefault="00913831">
      <w:pPr>
        <w:pStyle w:val="BodyText"/>
        <w:spacing w:line="276" w:lineRule="auto"/>
        <w:ind w:left="480" w:right="473" w:hanging="1"/>
        <w:jc w:val="both"/>
      </w:pPr>
      <w:r>
        <w:t>The</w:t>
      </w:r>
      <w:r>
        <w:rPr>
          <w:spacing w:val="-11"/>
        </w:rPr>
        <w:t xml:space="preserve"> </w:t>
      </w:r>
      <w:r>
        <w:t>Commission</w:t>
      </w:r>
      <w:r>
        <w:rPr>
          <w:spacing w:val="-10"/>
        </w:rPr>
        <w:t xml:space="preserve"> </w:t>
      </w:r>
      <w:r>
        <w:t>applauds</w:t>
      </w:r>
      <w:r>
        <w:rPr>
          <w:spacing w:val="-9"/>
        </w:rPr>
        <w:t xml:space="preserve"> </w:t>
      </w:r>
      <w:r>
        <w:t>the</w:t>
      </w:r>
      <w:r>
        <w:rPr>
          <w:spacing w:val="-10"/>
        </w:rPr>
        <w:t xml:space="preserve"> </w:t>
      </w:r>
      <w:r>
        <w:t>progress</w:t>
      </w:r>
      <w:r>
        <w:rPr>
          <w:spacing w:val="-10"/>
        </w:rPr>
        <w:t xml:space="preserve"> </w:t>
      </w:r>
      <w:r>
        <w:t>made</w:t>
      </w:r>
      <w:r>
        <w:rPr>
          <w:spacing w:val="-10"/>
        </w:rPr>
        <w:t xml:space="preserve"> </w:t>
      </w:r>
      <w:r>
        <w:t>within</w:t>
      </w:r>
      <w:r>
        <w:rPr>
          <w:spacing w:val="-9"/>
        </w:rPr>
        <w:t xml:space="preserve"> </w:t>
      </w:r>
      <w:r>
        <w:t>the</w:t>
      </w:r>
      <w:r>
        <w:rPr>
          <w:spacing w:val="-10"/>
        </w:rPr>
        <w:t xml:space="preserve"> </w:t>
      </w:r>
      <w:r>
        <w:t>Commonwealth</w:t>
      </w:r>
      <w:r>
        <w:rPr>
          <w:spacing w:val="-10"/>
        </w:rPr>
        <w:t xml:space="preserve"> </w:t>
      </w:r>
      <w:r>
        <w:t>and</w:t>
      </w:r>
      <w:r>
        <w:rPr>
          <w:spacing w:val="-10"/>
        </w:rPr>
        <w:t xml:space="preserve"> </w:t>
      </w:r>
      <w:r>
        <w:t>the</w:t>
      </w:r>
      <w:r>
        <w:rPr>
          <w:spacing w:val="-10"/>
        </w:rPr>
        <w:t xml:space="preserve"> </w:t>
      </w:r>
      <w:r>
        <w:t>United</w:t>
      </w:r>
      <w:r>
        <w:rPr>
          <w:spacing w:val="-10"/>
        </w:rPr>
        <w:t xml:space="preserve"> </w:t>
      </w:r>
      <w:r>
        <w:t>States</w:t>
      </w:r>
      <w:r>
        <w:rPr>
          <w:spacing w:val="-9"/>
        </w:rPr>
        <w:t xml:space="preserve"> </w:t>
      </w:r>
      <w:r>
        <w:t>during</w:t>
      </w:r>
      <w:r>
        <w:rPr>
          <w:spacing w:val="-10"/>
        </w:rPr>
        <w:t xml:space="preserve"> </w:t>
      </w:r>
      <w:r>
        <w:t>the past year and looks forward to ongoing collaboration with Governor Baker, Massachus</w:t>
      </w:r>
      <w:r>
        <w:t>etts legislation, statewide agencies, and local organizations/stakeholders dedicated to eradicating youth homelessness. The</w:t>
      </w:r>
      <w:r>
        <w:rPr>
          <w:spacing w:val="-11"/>
        </w:rPr>
        <w:t xml:space="preserve"> </w:t>
      </w:r>
      <w:r>
        <w:t>following</w:t>
      </w:r>
      <w:r>
        <w:rPr>
          <w:spacing w:val="-10"/>
        </w:rPr>
        <w:t xml:space="preserve"> </w:t>
      </w:r>
      <w:r>
        <w:t>will</w:t>
      </w:r>
      <w:r>
        <w:rPr>
          <w:spacing w:val="-11"/>
        </w:rPr>
        <w:t xml:space="preserve"> </w:t>
      </w:r>
      <w:r>
        <w:t>provide</w:t>
      </w:r>
      <w:r>
        <w:rPr>
          <w:spacing w:val="-11"/>
        </w:rPr>
        <w:t xml:space="preserve"> </w:t>
      </w:r>
      <w:r>
        <w:t>a</w:t>
      </w:r>
      <w:r>
        <w:rPr>
          <w:spacing w:val="-11"/>
        </w:rPr>
        <w:t xml:space="preserve"> </w:t>
      </w:r>
      <w:r>
        <w:t>review</w:t>
      </w:r>
      <w:r>
        <w:rPr>
          <w:spacing w:val="-11"/>
        </w:rPr>
        <w:t xml:space="preserve"> </w:t>
      </w:r>
      <w:r>
        <w:t>of</w:t>
      </w:r>
      <w:r>
        <w:rPr>
          <w:spacing w:val="-11"/>
        </w:rPr>
        <w:t xml:space="preserve"> </w:t>
      </w:r>
      <w:r>
        <w:t>the</w:t>
      </w:r>
      <w:r>
        <w:rPr>
          <w:spacing w:val="-10"/>
        </w:rPr>
        <w:t xml:space="preserve"> </w:t>
      </w:r>
      <w:r>
        <w:t>Commonwealth’s</w:t>
      </w:r>
      <w:r>
        <w:rPr>
          <w:spacing w:val="-12"/>
        </w:rPr>
        <w:t xml:space="preserve"> </w:t>
      </w:r>
      <w:r>
        <w:t>plan</w:t>
      </w:r>
      <w:r>
        <w:rPr>
          <w:spacing w:val="-10"/>
        </w:rPr>
        <w:t xml:space="preserve"> </w:t>
      </w:r>
      <w:r>
        <w:t>to</w:t>
      </w:r>
      <w:r>
        <w:rPr>
          <w:spacing w:val="-9"/>
        </w:rPr>
        <w:t xml:space="preserve"> </w:t>
      </w:r>
      <w:r>
        <w:t>end</w:t>
      </w:r>
      <w:r>
        <w:rPr>
          <w:spacing w:val="-12"/>
        </w:rPr>
        <w:t xml:space="preserve"> </w:t>
      </w:r>
      <w:r>
        <w:t>youth</w:t>
      </w:r>
      <w:r>
        <w:rPr>
          <w:spacing w:val="-11"/>
        </w:rPr>
        <w:t xml:space="preserve"> </w:t>
      </w:r>
      <w:r>
        <w:t>homelessness,</w:t>
      </w:r>
      <w:r>
        <w:rPr>
          <w:spacing w:val="-12"/>
        </w:rPr>
        <w:t xml:space="preserve"> </w:t>
      </w:r>
      <w:r>
        <w:t>new</w:t>
      </w:r>
      <w:r>
        <w:rPr>
          <w:spacing w:val="-12"/>
        </w:rPr>
        <w:t xml:space="preserve"> </w:t>
      </w:r>
      <w:r>
        <w:t>housing programs, and updates on preexisting programs and initiatives. Lastly, this section will also share an overview</w:t>
      </w:r>
      <w:r>
        <w:rPr>
          <w:spacing w:val="-6"/>
        </w:rPr>
        <w:t xml:space="preserve"> </w:t>
      </w:r>
      <w:r>
        <w:t>of</w:t>
      </w:r>
      <w:r>
        <w:rPr>
          <w:spacing w:val="-6"/>
        </w:rPr>
        <w:t xml:space="preserve"> </w:t>
      </w:r>
      <w:r>
        <w:t>incredible</w:t>
      </w:r>
      <w:r>
        <w:rPr>
          <w:spacing w:val="-5"/>
        </w:rPr>
        <w:t xml:space="preserve"> </w:t>
      </w:r>
      <w:r>
        <w:t>progress</w:t>
      </w:r>
      <w:r>
        <w:rPr>
          <w:spacing w:val="-6"/>
        </w:rPr>
        <w:t xml:space="preserve"> </w:t>
      </w:r>
      <w:r>
        <w:t>that</w:t>
      </w:r>
      <w:r>
        <w:rPr>
          <w:spacing w:val="-6"/>
        </w:rPr>
        <w:t xml:space="preserve"> </w:t>
      </w:r>
      <w:r>
        <w:t>has</w:t>
      </w:r>
      <w:r>
        <w:rPr>
          <w:spacing w:val="-6"/>
        </w:rPr>
        <w:t xml:space="preserve"> </w:t>
      </w:r>
      <w:r>
        <w:t>been</w:t>
      </w:r>
      <w:r>
        <w:rPr>
          <w:spacing w:val="-4"/>
        </w:rPr>
        <w:t xml:space="preserve"> </w:t>
      </w:r>
      <w:r>
        <w:t>made</w:t>
      </w:r>
      <w:r>
        <w:rPr>
          <w:spacing w:val="-4"/>
        </w:rPr>
        <w:t xml:space="preserve"> </w:t>
      </w:r>
      <w:r>
        <w:t>regarding</w:t>
      </w:r>
      <w:r>
        <w:rPr>
          <w:spacing w:val="-5"/>
        </w:rPr>
        <w:t xml:space="preserve"> </w:t>
      </w:r>
      <w:r>
        <w:t>expanded</w:t>
      </w:r>
      <w:r>
        <w:rPr>
          <w:spacing w:val="-5"/>
        </w:rPr>
        <w:t xml:space="preserve"> </w:t>
      </w:r>
      <w:r>
        <w:t>adoptions</w:t>
      </w:r>
      <w:r>
        <w:rPr>
          <w:spacing w:val="-6"/>
        </w:rPr>
        <w:t xml:space="preserve"> </w:t>
      </w:r>
      <w:r>
        <w:t>options</w:t>
      </w:r>
      <w:r>
        <w:rPr>
          <w:spacing w:val="-6"/>
        </w:rPr>
        <w:t xml:space="preserve"> </w:t>
      </w:r>
      <w:r>
        <w:t>and</w:t>
      </w:r>
      <w:r>
        <w:rPr>
          <w:spacing w:val="-7"/>
        </w:rPr>
        <w:t xml:space="preserve"> </w:t>
      </w:r>
      <w:r>
        <w:t>access</w:t>
      </w:r>
      <w:r>
        <w:rPr>
          <w:spacing w:val="-5"/>
        </w:rPr>
        <w:t xml:space="preserve"> </w:t>
      </w:r>
      <w:r>
        <w:t>to gender identity matching identification. As</w:t>
      </w:r>
      <w:r>
        <w:t xml:space="preserve"> previously mentioned, the youth homelessness crisis is multifaceted and progress in areas that may mitigate risks deserves recognition.</w:t>
      </w:r>
    </w:p>
    <w:p w:rsidR="00C76E6D" w:rsidRDefault="00C76E6D">
      <w:pPr>
        <w:pStyle w:val="BodyText"/>
        <w:spacing w:before="4"/>
        <w:rPr>
          <w:sz w:val="26"/>
        </w:rPr>
      </w:pPr>
    </w:p>
    <w:p w:rsidR="00C76E6D" w:rsidRDefault="00913831">
      <w:pPr>
        <w:pStyle w:val="Heading6"/>
        <w:numPr>
          <w:ilvl w:val="1"/>
          <w:numId w:val="42"/>
        </w:numPr>
        <w:tabs>
          <w:tab w:val="left" w:pos="699"/>
        </w:tabs>
        <w:ind w:left="698" w:hanging="221"/>
      </w:pPr>
      <w:bookmarkStart w:id="273" w:name="1._Overview_of_the_Commonwealth’s_Plan_t"/>
      <w:bookmarkEnd w:id="273"/>
      <w:r>
        <w:rPr>
          <w:w w:val="95"/>
        </w:rPr>
        <w:t>Overview</w:t>
      </w:r>
      <w:r>
        <w:rPr>
          <w:spacing w:val="13"/>
        </w:rPr>
        <w:t xml:space="preserve"> </w:t>
      </w:r>
      <w:r>
        <w:rPr>
          <w:w w:val="95"/>
        </w:rPr>
        <w:t>of</w:t>
      </w:r>
      <w:r>
        <w:rPr>
          <w:spacing w:val="13"/>
        </w:rPr>
        <w:t xml:space="preserve"> </w:t>
      </w:r>
      <w:r>
        <w:rPr>
          <w:w w:val="95"/>
        </w:rPr>
        <w:t>the</w:t>
      </w:r>
      <w:r>
        <w:rPr>
          <w:spacing w:val="11"/>
        </w:rPr>
        <w:t xml:space="preserve"> </w:t>
      </w:r>
      <w:r>
        <w:rPr>
          <w:w w:val="95"/>
        </w:rPr>
        <w:t>Commonwealth’s</w:t>
      </w:r>
      <w:r>
        <w:rPr>
          <w:spacing w:val="12"/>
        </w:rPr>
        <w:t xml:space="preserve"> </w:t>
      </w:r>
      <w:r>
        <w:rPr>
          <w:w w:val="95"/>
        </w:rPr>
        <w:t>Plan</w:t>
      </w:r>
      <w:r>
        <w:rPr>
          <w:spacing w:val="14"/>
        </w:rPr>
        <w:t xml:space="preserve"> </w:t>
      </w:r>
      <w:r>
        <w:rPr>
          <w:w w:val="95"/>
        </w:rPr>
        <w:t>to</w:t>
      </w:r>
      <w:r>
        <w:rPr>
          <w:spacing w:val="11"/>
        </w:rPr>
        <w:t xml:space="preserve"> </w:t>
      </w:r>
      <w:r>
        <w:rPr>
          <w:w w:val="95"/>
        </w:rPr>
        <w:t>End</w:t>
      </w:r>
      <w:r>
        <w:rPr>
          <w:spacing w:val="14"/>
        </w:rPr>
        <w:t xml:space="preserve"> </w:t>
      </w:r>
      <w:r>
        <w:rPr>
          <w:w w:val="95"/>
        </w:rPr>
        <w:t>Youth</w:t>
      </w:r>
      <w:r>
        <w:rPr>
          <w:spacing w:val="14"/>
        </w:rPr>
        <w:t xml:space="preserve"> </w:t>
      </w:r>
      <w:r>
        <w:rPr>
          <w:spacing w:val="-2"/>
          <w:w w:val="95"/>
        </w:rPr>
        <w:t>Homelessness</w:t>
      </w:r>
    </w:p>
    <w:p w:rsidR="00C76E6D" w:rsidRDefault="00C76E6D">
      <w:pPr>
        <w:pStyle w:val="BodyText"/>
        <w:spacing w:before="7"/>
        <w:rPr>
          <w:b/>
          <w:sz w:val="28"/>
        </w:rPr>
      </w:pPr>
    </w:p>
    <w:p w:rsidR="00C76E6D" w:rsidRDefault="00913831">
      <w:pPr>
        <w:pStyle w:val="BodyText"/>
        <w:spacing w:line="276" w:lineRule="auto"/>
        <w:ind w:left="478" w:right="474"/>
        <w:jc w:val="both"/>
      </w:pPr>
      <w:r>
        <w:t>The</w:t>
      </w:r>
      <w:r>
        <w:rPr>
          <w:spacing w:val="-11"/>
        </w:rPr>
        <w:t xml:space="preserve"> </w:t>
      </w:r>
      <w:r>
        <w:t>Commission</w:t>
      </w:r>
      <w:r>
        <w:rPr>
          <w:spacing w:val="-11"/>
        </w:rPr>
        <w:t xml:space="preserve"> </w:t>
      </w:r>
      <w:r>
        <w:t>acknowledges</w:t>
      </w:r>
      <w:r>
        <w:rPr>
          <w:spacing w:val="-9"/>
        </w:rPr>
        <w:t xml:space="preserve"> </w:t>
      </w:r>
      <w:r>
        <w:t>the</w:t>
      </w:r>
      <w:r>
        <w:rPr>
          <w:spacing w:val="-10"/>
        </w:rPr>
        <w:t xml:space="preserve"> </w:t>
      </w:r>
      <w:r>
        <w:t>invaluable</w:t>
      </w:r>
      <w:r>
        <w:rPr>
          <w:spacing w:val="-11"/>
        </w:rPr>
        <w:t xml:space="preserve"> </w:t>
      </w:r>
      <w:r>
        <w:t>work</w:t>
      </w:r>
      <w:r>
        <w:rPr>
          <w:spacing w:val="-9"/>
        </w:rPr>
        <w:t xml:space="preserve"> </w:t>
      </w:r>
      <w:r>
        <w:t>by</w:t>
      </w:r>
      <w:r>
        <w:rPr>
          <w:spacing w:val="-11"/>
        </w:rPr>
        <w:t xml:space="preserve"> </w:t>
      </w:r>
      <w:r>
        <w:t>the</w:t>
      </w:r>
      <w:r>
        <w:rPr>
          <w:spacing w:val="-10"/>
        </w:rPr>
        <w:t xml:space="preserve"> </w:t>
      </w:r>
      <w:r>
        <w:t>Baker-Polito</w:t>
      </w:r>
      <w:r>
        <w:rPr>
          <w:spacing w:val="-10"/>
        </w:rPr>
        <w:t xml:space="preserve"> </w:t>
      </w:r>
      <w:r>
        <w:t>Administration,</w:t>
      </w:r>
      <w:r>
        <w:rPr>
          <w:spacing w:val="-11"/>
        </w:rPr>
        <w:t xml:space="preserve"> </w:t>
      </w:r>
      <w:r>
        <w:t>in</w:t>
      </w:r>
      <w:r>
        <w:rPr>
          <w:spacing w:val="-9"/>
        </w:rPr>
        <w:t xml:space="preserve"> </w:t>
      </w:r>
      <w:r>
        <w:t>their</w:t>
      </w:r>
      <w:r>
        <w:rPr>
          <w:spacing w:val="-11"/>
        </w:rPr>
        <w:t xml:space="preserve"> </w:t>
      </w:r>
      <w:r>
        <w:t>continued partnership with the Massachusetts Special Commission on Unaccompanied Homeless Youth and all 10 municipal regions in the Commonwealth to further develop plans, initiatives, and implementation practices to en</w:t>
      </w:r>
      <w:r>
        <w:t xml:space="preserve">d youth homelessness. In 2018, the Baker-Polito Administration released the </w:t>
      </w:r>
      <w:r>
        <w:rPr>
          <w:i/>
        </w:rPr>
        <w:t>Massachusetts</w:t>
      </w:r>
      <w:r>
        <w:rPr>
          <w:i/>
          <w:spacing w:val="-2"/>
        </w:rPr>
        <w:t xml:space="preserve"> </w:t>
      </w:r>
      <w:r>
        <w:rPr>
          <w:i/>
        </w:rPr>
        <w:t>State</w:t>
      </w:r>
      <w:r>
        <w:rPr>
          <w:i/>
          <w:spacing w:val="-2"/>
        </w:rPr>
        <w:t xml:space="preserve"> </w:t>
      </w:r>
      <w:r>
        <w:rPr>
          <w:i/>
        </w:rPr>
        <w:t>Plan</w:t>
      </w:r>
      <w:r>
        <w:rPr>
          <w:i/>
          <w:spacing w:val="-2"/>
        </w:rPr>
        <w:t xml:space="preserve"> </w:t>
      </w:r>
      <w:r>
        <w:rPr>
          <w:i/>
        </w:rPr>
        <w:t>to</w:t>
      </w:r>
      <w:r>
        <w:rPr>
          <w:i/>
          <w:spacing w:val="-2"/>
        </w:rPr>
        <w:t xml:space="preserve"> </w:t>
      </w:r>
      <w:r>
        <w:rPr>
          <w:i/>
        </w:rPr>
        <w:t>End</w:t>
      </w:r>
      <w:r>
        <w:rPr>
          <w:i/>
          <w:spacing w:val="-2"/>
        </w:rPr>
        <w:t xml:space="preserve"> </w:t>
      </w:r>
      <w:r>
        <w:rPr>
          <w:i/>
        </w:rPr>
        <w:t>Youth Homelessness</w:t>
      </w:r>
      <w:hyperlink w:anchor="_bookmark315" w:history="1">
        <w:r>
          <w:t>.</w:t>
        </w:r>
        <w:r>
          <w:rPr>
            <w:vertAlign w:val="superscript"/>
          </w:rPr>
          <w:t>153</w:t>
        </w:r>
        <w:r>
          <w:rPr>
            <w:spacing w:val="-1"/>
          </w:rPr>
          <w:t xml:space="preserve"> </w:t>
        </w:r>
      </w:hyperlink>
      <w:r>
        <w:t>The</w:t>
      </w:r>
      <w:r>
        <w:rPr>
          <w:spacing w:val="-2"/>
        </w:rPr>
        <w:t xml:space="preserve"> </w:t>
      </w:r>
      <w:r>
        <w:t>state</w:t>
      </w:r>
      <w:r>
        <w:rPr>
          <w:spacing w:val="-2"/>
        </w:rPr>
        <w:t xml:space="preserve"> </w:t>
      </w:r>
      <w:r>
        <w:t>plan</w:t>
      </w:r>
      <w:r>
        <w:rPr>
          <w:spacing w:val="-2"/>
        </w:rPr>
        <w:t xml:space="preserve"> </w:t>
      </w:r>
      <w:r>
        <w:t>draws</w:t>
      </w:r>
      <w:r>
        <w:rPr>
          <w:spacing w:val="-2"/>
        </w:rPr>
        <w:t xml:space="preserve"> </w:t>
      </w:r>
      <w:r>
        <w:t>on</w:t>
      </w:r>
      <w:r>
        <w:rPr>
          <w:spacing w:val="-2"/>
        </w:rPr>
        <w:t xml:space="preserve"> </w:t>
      </w:r>
      <w:r>
        <w:t>the</w:t>
      </w:r>
      <w:r>
        <w:rPr>
          <w:spacing w:val="-2"/>
        </w:rPr>
        <w:t xml:space="preserve"> </w:t>
      </w:r>
      <w:r>
        <w:rPr>
          <w:i/>
        </w:rPr>
        <w:t>Federal</w:t>
      </w:r>
      <w:r>
        <w:rPr>
          <w:i/>
          <w:spacing w:val="-2"/>
        </w:rPr>
        <w:t xml:space="preserve"> </w:t>
      </w:r>
      <w:r>
        <w:rPr>
          <w:i/>
        </w:rPr>
        <w:t>Framework to</w:t>
      </w:r>
      <w:r>
        <w:rPr>
          <w:i/>
          <w:spacing w:val="-7"/>
        </w:rPr>
        <w:t xml:space="preserve"> </w:t>
      </w:r>
      <w:r>
        <w:rPr>
          <w:i/>
        </w:rPr>
        <w:t>End</w:t>
      </w:r>
      <w:r>
        <w:rPr>
          <w:i/>
          <w:spacing w:val="-8"/>
        </w:rPr>
        <w:t xml:space="preserve"> </w:t>
      </w:r>
      <w:r>
        <w:rPr>
          <w:i/>
        </w:rPr>
        <w:t>Youth</w:t>
      </w:r>
      <w:r>
        <w:rPr>
          <w:i/>
          <w:spacing w:val="-7"/>
        </w:rPr>
        <w:t xml:space="preserve"> </w:t>
      </w:r>
      <w:r>
        <w:rPr>
          <w:i/>
        </w:rPr>
        <w:t>Homelessness</w:t>
      </w:r>
      <w:r>
        <w:rPr>
          <w:i/>
          <w:spacing w:val="-8"/>
        </w:rPr>
        <w:t xml:space="preserve"> </w:t>
      </w:r>
      <w:r>
        <w:t>and</w:t>
      </w:r>
      <w:r>
        <w:rPr>
          <w:spacing w:val="-8"/>
        </w:rPr>
        <w:t xml:space="preserve"> </w:t>
      </w:r>
      <w:r>
        <w:t>insights</w:t>
      </w:r>
      <w:r>
        <w:rPr>
          <w:spacing w:val="-6"/>
        </w:rPr>
        <w:t xml:space="preserve"> </w:t>
      </w:r>
      <w:r>
        <w:t>and</w:t>
      </w:r>
      <w:r>
        <w:rPr>
          <w:spacing w:val="-8"/>
        </w:rPr>
        <w:t xml:space="preserve"> </w:t>
      </w:r>
      <w:r>
        <w:t>reco</w:t>
      </w:r>
      <w:r>
        <w:t>mmendations</w:t>
      </w:r>
      <w:r>
        <w:rPr>
          <w:spacing w:val="-7"/>
        </w:rPr>
        <w:t xml:space="preserve"> </w:t>
      </w:r>
      <w:r>
        <w:t>from</w:t>
      </w:r>
      <w:r>
        <w:rPr>
          <w:spacing w:val="-8"/>
        </w:rPr>
        <w:t xml:space="preserve"> </w:t>
      </w:r>
      <w:r>
        <w:t>the</w:t>
      </w:r>
      <w:r>
        <w:rPr>
          <w:spacing w:val="-8"/>
        </w:rPr>
        <w:t xml:space="preserve"> </w:t>
      </w:r>
      <w:r>
        <w:t>local,</w:t>
      </w:r>
      <w:r>
        <w:rPr>
          <w:spacing w:val="-8"/>
        </w:rPr>
        <w:t xml:space="preserve"> </w:t>
      </w:r>
      <w:r>
        <w:t>state,</w:t>
      </w:r>
      <w:r>
        <w:rPr>
          <w:spacing w:val="-7"/>
        </w:rPr>
        <w:t xml:space="preserve"> </w:t>
      </w:r>
      <w:r>
        <w:t>and</w:t>
      </w:r>
      <w:r>
        <w:rPr>
          <w:spacing w:val="-8"/>
        </w:rPr>
        <w:t xml:space="preserve"> </w:t>
      </w:r>
      <w:r>
        <w:t>federal</w:t>
      </w:r>
      <w:r>
        <w:rPr>
          <w:spacing w:val="-8"/>
        </w:rPr>
        <w:t xml:space="preserve"> </w:t>
      </w:r>
      <w:r>
        <w:t>levels</w:t>
      </w:r>
      <w:hyperlink w:anchor="_bookmark316" w:history="1">
        <w:r>
          <w:t>.</w:t>
        </w:r>
        <w:r>
          <w:rPr>
            <w:vertAlign w:val="superscript"/>
          </w:rPr>
          <w:t>154</w:t>
        </w:r>
      </w:hyperlink>
      <w:r>
        <w:t xml:space="preserve"> This state plan includes six primary recommendations, including (1) implement a coordinated statewide response to youth homelessness; (2) expand the spectrum of housing models and services; (3) expand early identification and outreach to connect youth wit</w:t>
      </w:r>
      <w:r>
        <w:t>h existing resources; (4) improve education and employment</w:t>
      </w:r>
      <w:r>
        <w:rPr>
          <w:spacing w:val="-6"/>
        </w:rPr>
        <w:t xml:space="preserve"> </w:t>
      </w:r>
      <w:r>
        <w:t>to</w:t>
      </w:r>
      <w:r>
        <w:rPr>
          <w:spacing w:val="-7"/>
        </w:rPr>
        <w:t xml:space="preserve"> </w:t>
      </w:r>
      <w:r>
        <w:t>support</w:t>
      </w:r>
      <w:r>
        <w:rPr>
          <w:spacing w:val="-8"/>
        </w:rPr>
        <w:t xml:space="preserve"> </w:t>
      </w:r>
      <w:r>
        <w:t>young</w:t>
      </w:r>
      <w:r>
        <w:rPr>
          <w:spacing w:val="-6"/>
        </w:rPr>
        <w:t xml:space="preserve"> </w:t>
      </w:r>
      <w:r>
        <w:t>people’s</w:t>
      </w:r>
      <w:r>
        <w:rPr>
          <w:spacing w:val="-5"/>
        </w:rPr>
        <w:t xml:space="preserve"> </w:t>
      </w:r>
      <w:r>
        <w:t>access</w:t>
      </w:r>
      <w:r>
        <w:rPr>
          <w:spacing w:val="-6"/>
        </w:rPr>
        <w:t xml:space="preserve"> </w:t>
      </w:r>
      <w:r>
        <w:t>to</w:t>
      </w:r>
      <w:r>
        <w:rPr>
          <w:spacing w:val="-6"/>
        </w:rPr>
        <w:t xml:space="preserve"> </w:t>
      </w:r>
      <w:r>
        <w:t>long-term</w:t>
      </w:r>
      <w:r>
        <w:rPr>
          <w:spacing w:val="-5"/>
        </w:rPr>
        <w:t xml:space="preserve"> </w:t>
      </w:r>
      <w:r>
        <w:t>employment;</w:t>
      </w:r>
      <w:r>
        <w:rPr>
          <w:spacing w:val="-4"/>
        </w:rPr>
        <w:t xml:space="preserve"> </w:t>
      </w:r>
      <w:r>
        <w:t>(5)</w:t>
      </w:r>
      <w:r>
        <w:rPr>
          <w:spacing w:val="-7"/>
        </w:rPr>
        <w:t xml:space="preserve"> </w:t>
      </w:r>
      <w:r>
        <w:t>establish</w:t>
      </w:r>
      <w:r>
        <w:rPr>
          <w:spacing w:val="-6"/>
        </w:rPr>
        <w:t xml:space="preserve"> </w:t>
      </w:r>
      <w:r>
        <w:t>systemic</w:t>
      </w:r>
      <w:r>
        <w:rPr>
          <w:spacing w:val="-7"/>
        </w:rPr>
        <w:t xml:space="preserve"> </w:t>
      </w:r>
      <w:r>
        <w:t>outcome measurement systems and data- sharing; and (6) create a structure to support youth and young adult involveme</w:t>
      </w:r>
      <w:r>
        <w:t>nt</w:t>
      </w:r>
      <w:hyperlink w:anchor="_bookmark317" w:history="1">
        <w:r>
          <w:t>.</w:t>
        </w:r>
        <w:r>
          <w:rPr>
            <w:vertAlign w:val="superscript"/>
          </w:rPr>
          <w:t>155</w:t>
        </w:r>
        <w:r>
          <w:rPr>
            <w:spacing w:val="-1"/>
          </w:rPr>
          <w:t xml:space="preserve"> </w:t>
        </w:r>
      </w:hyperlink>
      <w:r>
        <w:t>Further, this plan recognizes the disparities that LGBTQ YYA face with regard to housing instability and homelessness, with its inclusion of includes best practices to address these disparities.</w:t>
      </w:r>
      <w:hyperlink w:anchor="_bookmark318" w:history="1">
        <w:r>
          <w:rPr>
            <w:vertAlign w:val="superscript"/>
          </w:rPr>
          <w:t>156</w:t>
        </w:r>
      </w:hyperlink>
      <w:r>
        <w:t xml:space="preserve"> Such practices recommend culturally responsive programming, housing placement based on gender identity</w:t>
      </w:r>
      <w:r>
        <w:rPr>
          <w:spacing w:val="-10"/>
        </w:rPr>
        <w:t xml:space="preserve"> </w:t>
      </w:r>
      <w:r>
        <w:t>rather</w:t>
      </w:r>
      <w:r>
        <w:rPr>
          <w:spacing w:val="-10"/>
        </w:rPr>
        <w:t xml:space="preserve"> </w:t>
      </w:r>
      <w:r>
        <w:t>than</w:t>
      </w:r>
      <w:r>
        <w:rPr>
          <w:spacing w:val="-10"/>
        </w:rPr>
        <w:t xml:space="preserve"> </w:t>
      </w:r>
      <w:r>
        <w:t>biological</w:t>
      </w:r>
      <w:r>
        <w:rPr>
          <w:spacing w:val="-10"/>
        </w:rPr>
        <w:t xml:space="preserve"> </w:t>
      </w:r>
      <w:r>
        <w:t>sex,</w:t>
      </w:r>
      <w:r>
        <w:rPr>
          <w:spacing w:val="-10"/>
        </w:rPr>
        <w:t xml:space="preserve"> </w:t>
      </w:r>
      <w:r>
        <w:t>education</w:t>
      </w:r>
      <w:r>
        <w:rPr>
          <w:spacing w:val="-10"/>
        </w:rPr>
        <w:t xml:space="preserve"> </w:t>
      </w:r>
      <w:r>
        <w:t>on</w:t>
      </w:r>
      <w:r>
        <w:rPr>
          <w:spacing w:val="-10"/>
        </w:rPr>
        <w:t xml:space="preserve"> </w:t>
      </w:r>
      <w:r>
        <w:t>the</w:t>
      </w:r>
      <w:r>
        <w:rPr>
          <w:spacing w:val="-10"/>
        </w:rPr>
        <w:t xml:space="preserve"> </w:t>
      </w:r>
      <w:r>
        <w:t>difference</w:t>
      </w:r>
      <w:r>
        <w:rPr>
          <w:spacing w:val="-9"/>
        </w:rPr>
        <w:t xml:space="preserve"> </w:t>
      </w:r>
      <w:r>
        <w:t>between</w:t>
      </w:r>
      <w:r>
        <w:rPr>
          <w:spacing w:val="-10"/>
        </w:rPr>
        <w:t xml:space="preserve"> </w:t>
      </w:r>
      <w:r>
        <w:t>sexual</w:t>
      </w:r>
      <w:r>
        <w:rPr>
          <w:spacing w:val="-9"/>
        </w:rPr>
        <w:t xml:space="preserve"> </w:t>
      </w:r>
      <w:r>
        <w:t>orientation,</w:t>
      </w:r>
      <w:r>
        <w:rPr>
          <w:spacing w:val="-9"/>
        </w:rPr>
        <w:t xml:space="preserve"> </w:t>
      </w:r>
      <w:r>
        <w:t>biological</w:t>
      </w:r>
      <w:r>
        <w:rPr>
          <w:spacing w:val="-10"/>
        </w:rPr>
        <w:t xml:space="preserve"> </w:t>
      </w:r>
      <w:r>
        <w:t xml:space="preserve">sex, gender identity, gender expression, and </w:t>
      </w:r>
      <w:r>
        <w:t>several others</w:t>
      </w:r>
      <w:hyperlink w:anchor="_bookmark319" w:history="1">
        <w:r>
          <w:t>.</w:t>
        </w:r>
        <w:r>
          <w:rPr>
            <w:vertAlign w:val="superscript"/>
          </w:rPr>
          <w:t>157</w:t>
        </w:r>
      </w:hyperlink>
    </w:p>
    <w:p w:rsidR="00C76E6D" w:rsidRDefault="00C76E6D">
      <w:pPr>
        <w:pStyle w:val="BodyText"/>
        <w:spacing w:before="4"/>
        <w:rPr>
          <w:sz w:val="25"/>
        </w:rPr>
      </w:pPr>
    </w:p>
    <w:p w:rsidR="00C76E6D" w:rsidRDefault="00913831">
      <w:pPr>
        <w:pStyle w:val="BodyText"/>
        <w:spacing w:line="276" w:lineRule="auto"/>
        <w:ind w:left="478" w:right="473"/>
        <w:jc w:val="both"/>
      </w:pPr>
      <w:r>
        <w:t>In 2020 The Massachusetts Special Commission on Unaccompanied Homeless Youth released a “special report” noting an increase of 38% (2,470) in YYA served</w:t>
      </w:r>
      <w:hyperlink w:anchor="_bookmark320" w:history="1">
        <w:r>
          <w:t>.</w:t>
        </w:r>
        <w:r>
          <w:rPr>
            <w:vertAlign w:val="superscript"/>
          </w:rPr>
          <w:t>158</w:t>
        </w:r>
        <w:r>
          <w:rPr>
            <w:spacing w:val="-1"/>
          </w:rPr>
          <w:t xml:space="preserve"> </w:t>
        </w:r>
      </w:hyperlink>
      <w:r>
        <w:t>While this increase may represent more YYA accessing</w:t>
      </w:r>
      <w:r>
        <w:rPr>
          <w:spacing w:val="-5"/>
        </w:rPr>
        <w:t xml:space="preserve"> </w:t>
      </w:r>
      <w:r>
        <w:t>stable</w:t>
      </w:r>
      <w:r>
        <w:rPr>
          <w:spacing w:val="-6"/>
        </w:rPr>
        <w:t xml:space="preserve"> </w:t>
      </w:r>
      <w:r>
        <w:t>housing</w:t>
      </w:r>
      <w:r>
        <w:rPr>
          <w:spacing w:val="-4"/>
        </w:rPr>
        <w:t xml:space="preserve"> </w:t>
      </w:r>
      <w:r>
        <w:t>resources</w:t>
      </w:r>
      <w:r>
        <w:rPr>
          <w:spacing w:val="-5"/>
        </w:rPr>
        <w:t xml:space="preserve"> </w:t>
      </w:r>
      <w:r>
        <w:t>to</w:t>
      </w:r>
      <w:r>
        <w:rPr>
          <w:spacing w:val="-2"/>
        </w:rPr>
        <w:t xml:space="preserve"> </w:t>
      </w:r>
      <w:r>
        <w:t>mitigate</w:t>
      </w:r>
      <w:r>
        <w:rPr>
          <w:spacing w:val="-5"/>
        </w:rPr>
        <w:t xml:space="preserve"> </w:t>
      </w:r>
      <w:r>
        <w:t>the</w:t>
      </w:r>
      <w:r>
        <w:rPr>
          <w:spacing w:val="-5"/>
        </w:rPr>
        <w:t xml:space="preserve"> </w:t>
      </w:r>
      <w:r>
        <w:t>risk</w:t>
      </w:r>
      <w:r>
        <w:rPr>
          <w:spacing w:val="-5"/>
        </w:rPr>
        <w:t xml:space="preserve"> </w:t>
      </w:r>
      <w:r>
        <w:t>of</w:t>
      </w:r>
      <w:r>
        <w:rPr>
          <w:spacing w:val="-5"/>
        </w:rPr>
        <w:t xml:space="preserve"> </w:t>
      </w:r>
      <w:r>
        <w:t>homelessness,</w:t>
      </w:r>
      <w:r>
        <w:rPr>
          <w:spacing w:val="-5"/>
        </w:rPr>
        <w:t xml:space="preserve"> </w:t>
      </w:r>
      <w:r>
        <w:t>it</w:t>
      </w:r>
      <w:r>
        <w:rPr>
          <w:spacing w:val="-6"/>
        </w:rPr>
        <w:t xml:space="preserve"> </w:t>
      </w:r>
      <w:r>
        <w:t>is</w:t>
      </w:r>
      <w:r>
        <w:rPr>
          <w:spacing w:val="-5"/>
        </w:rPr>
        <w:t xml:space="preserve"> </w:t>
      </w:r>
      <w:r>
        <w:t>unclear</w:t>
      </w:r>
      <w:r>
        <w:rPr>
          <w:spacing w:val="-5"/>
        </w:rPr>
        <w:t xml:space="preserve"> </w:t>
      </w:r>
      <w:r>
        <w:t>what</w:t>
      </w:r>
      <w:r>
        <w:rPr>
          <w:spacing w:val="-6"/>
        </w:rPr>
        <w:t xml:space="preserve"> </w:t>
      </w:r>
      <w:r>
        <w:t>role,</w:t>
      </w:r>
      <w:r>
        <w:rPr>
          <w:spacing w:val="-5"/>
        </w:rPr>
        <w:t xml:space="preserve"> </w:t>
      </w:r>
      <w:r>
        <w:t>if</w:t>
      </w:r>
      <w:r>
        <w:rPr>
          <w:spacing w:val="-5"/>
        </w:rPr>
        <w:t xml:space="preserve"> </w:t>
      </w:r>
      <w:r>
        <w:t>any,</w:t>
      </w:r>
      <w:r>
        <w:rPr>
          <w:spacing w:val="-5"/>
        </w:rPr>
        <w:t xml:space="preserve"> </w:t>
      </w:r>
      <w:r>
        <w:t>the pandemic played in the increased YYA service utilization. Of the 2,470 YYA served, 12% of YYA identifie</w:t>
      </w:r>
      <w:r>
        <w:t>d as LGBTQ. However, previous reports suggest that about 24% of all YYA identify as LGBTQ, indicating a possible gap in services for LGBTQ YYA in 2020</w:t>
      </w:r>
      <w:hyperlink w:anchor="_bookmark321" w:history="1">
        <w:r>
          <w:t>.</w:t>
        </w:r>
        <w:r>
          <w:rPr>
            <w:vertAlign w:val="superscript"/>
          </w:rPr>
          <w:t>159</w:t>
        </w:r>
      </w:hyperlink>
      <w:r>
        <w:t xml:space="preserve"> The MA Special Commission on Unaccompanied Homeless Youth reported co</w:t>
      </w:r>
      <w:r>
        <w:t xml:space="preserve">ntinued efforts to outreach to LGBTQ communities and decided to focus on this area in 2021, including increased partnerships with LGBTQ organizations and community </w:t>
      </w:r>
      <w:r>
        <w:rPr>
          <w:spacing w:val="-2"/>
        </w:rPr>
        <w:t>stakeholders</w:t>
      </w:r>
      <w:hyperlink w:anchor="_bookmark322" w:history="1">
        <w:r>
          <w:rPr>
            <w:spacing w:val="-2"/>
          </w:rPr>
          <w:t>.</w:t>
        </w:r>
        <w:r>
          <w:rPr>
            <w:spacing w:val="-2"/>
            <w:vertAlign w:val="superscript"/>
          </w:rPr>
          <w:t>160</w:t>
        </w:r>
      </w:hyperlink>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2"/>
        <w:rPr>
          <w:sz w:val="17"/>
        </w:rPr>
      </w:pPr>
    </w:p>
    <w:p w:rsidR="00C76E6D" w:rsidRDefault="00913831">
      <w:pPr>
        <w:pStyle w:val="Heading6"/>
        <w:numPr>
          <w:ilvl w:val="1"/>
          <w:numId w:val="42"/>
        </w:numPr>
        <w:tabs>
          <w:tab w:val="left" w:pos="699"/>
        </w:tabs>
        <w:spacing w:before="55"/>
        <w:ind w:left="698" w:hanging="221"/>
      </w:pPr>
      <w:bookmarkStart w:id="274" w:name="2._Recent_Housing_Programs_Efforts_to_Re"/>
      <w:bookmarkEnd w:id="274"/>
      <w:r>
        <w:rPr>
          <w:w w:val="95"/>
        </w:rPr>
        <w:t>Recent</w:t>
      </w:r>
      <w:r>
        <w:rPr>
          <w:spacing w:val="13"/>
        </w:rPr>
        <w:t xml:space="preserve"> </w:t>
      </w:r>
      <w:r>
        <w:rPr>
          <w:w w:val="95"/>
        </w:rPr>
        <w:t>Housing</w:t>
      </w:r>
      <w:r>
        <w:rPr>
          <w:spacing w:val="15"/>
        </w:rPr>
        <w:t xml:space="preserve"> </w:t>
      </w:r>
      <w:r>
        <w:rPr>
          <w:w w:val="95"/>
        </w:rPr>
        <w:t>Programs</w:t>
      </w:r>
      <w:r>
        <w:rPr>
          <w:spacing w:val="12"/>
        </w:rPr>
        <w:t xml:space="preserve"> </w:t>
      </w:r>
      <w:r>
        <w:rPr>
          <w:w w:val="95"/>
        </w:rPr>
        <w:t>Ef</w:t>
      </w:r>
      <w:r>
        <w:rPr>
          <w:w w:val="95"/>
        </w:rPr>
        <w:t>forts</w:t>
      </w:r>
      <w:r>
        <w:rPr>
          <w:spacing w:val="14"/>
        </w:rPr>
        <w:t xml:space="preserve"> </w:t>
      </w:r>
      <w:r>
        <w:rPr>
          <w:w w:val="95"/>
        </w:rPr>
        <w:t>to</w:t>
      </w:r>
      <w:r>
        <w:rPr>
          <w:spacing w:val="15"/>
        </w:rPr>
        <w:t xml:space="preserve"> </w:t>
      </w:r>
      <w:r>
        <w:rPr>
          <w:w w:val="95"/>
        </w:rPr>
        <w:t>Reduce</w:t>
      </w:r>
      <w:r>
        <w:rPr>
          <w:spacing w:val="12"/>
        </w:rPr>
        <w:t xml:space="preserve"> </w:t>
      </w:r>
      <w:r>
        <w:rPr>
          <w:w w:val="95"/>
        </w:rPr>
        <w:t>Youth</w:t>
      </w:r>
      <w:r>
        <w:rPr>
          <w:spacing w:val="15"/>
        </w:rPr>
        <w:t xml:space="preserve"> </w:t>
      </w:r>
      <w:r>
        <w:rPr>
          <w:spacing w:val="-2"/>
          <w:w w:val="95"/>
        </w:rPr>
        <w:t>Homelessness</w:t>
      </w:r>
    </w:p>
    <w:p w:rsidR="00C76E6D" w:rsidRDefault="00C76E6D">
      <w:pPr>
        <w:pStyle w:val="BodyText"/>
        <w:spacing w:before="8"/>
        <w:rPr>
          <w:b/>
          <w:sz w:val="28"/>
        </w:rPr>
      </w:pPr>
    </w:p>
    <w:p w:rsidR="00C76E6D" w:rsidRDefault="00913831">
      <w:pPr>
        <w:pStyle w:val="BodyText"/>
        <w:spacing w:line="276" w:lineRule="auto"/>
        <w:ind w:left="477" w:right="475"/>
        <w:jc w:val="both"/>
      </w:pPr>
      <w:r>
        <w:t xml:space="preserve">Since the 2018 release of the </w:t>
      </w:r>
      <w:r>
        <w:rPr>
          <w:i/>
        </w:rPr>
        <w:t>Massachusetts State Plan to End Youth Homelessness</w:t>
      </w:r>
      <w:r>
        <w:t>, there has been notable progress towards the Commonwealth’s goal. In November 2021, “Path to Help,” a statewide public awareness campaign launched which addressed young people without a safe and or stable place to stay</w:t>
      </w:r>
      <w:hyperlink w:anchor="_bookmark323" w:history="1">
        <w:r>
          <w:t>.</w:t>
        </w:r>
        <w:r>
          <w:rPr>
            <w:vertAlign w:val="superscript"/>
          </w:rPr>
          <w:t>161</w:t>
        </w:r>
      </w:hyperlink>
      <w:r>
        <w:t xml:space="preserve"> </w:t>
      </w:r>
      <w:r>
        <w:t xml:space="preserve">This followed efforts to creatively connect with Massachusetts youth and young adults to prevent and end homelessness. The Commission further acknowledges initiatives such as the 2021 </w:t>
      </w:r>
      <w:r>
        <w:rPr>
          <w:i/>
        </w:rPr>
        <w:t>Moving</w:t>
      </w:r>
      <w:r>
        <w:rPr>
          <w:i/>
          <w:spacing w:val="-13"/>
        </w:rPr>
        <w:t xml:space="preserve"> </w:t>
      </w:r>
      <w:r>
        <w:rPr>
          <w:i/>
        </w:rPr>
        <w:t>to</w:t>
      </w:r>
      <w:r>
        <w:rPr>
          <w:i/>
          <w:spacing w:val="-12"/>
        </w:rPr>
        <w:t xml:space="preserve"> </w:t>
      </w:r>
      <w:r>
        <w:rPr>
          <w:i/>
        </w:rPr>
        <w:t>College</w:t>
      </w:r>
      <w:r>
        <w:rPr>
          <w:i/>
          <w:spacing w:val="-12"/>
        </w:rPr>
        <w:t xml:space="preserve"> </w:t>
      </w:r>
      <w:r>
        <w:t>pilot</w:t>
      </w:r>
      <w:r>
        <w:rPr>
          <w:spacing w:val="-12"/>
        </w:rPr>
        <w:t xml:space="preserve"> </w:t>
      </w:r>
      <w:r>
        <w:t>program</w:t>
      </w:r>
      <w:r>
        <w:rPr>
          <w:spacing w:val="-13"/>
        </w:rPr>
        <w:t xml:space="preserve"> </w:t>
      </w:r>
      <w:r>
        <w:t>which</w:t>
      </w:r>
      <w:r>
        <w:rPr>
          <w:spacing w:val="-12"/>
        </w:rPr>
        <w:t xml:space="preserve"> </w:t>
      </w:r>
      <w:r>
        <w:t>is</w:t>
      </w:r>
      <w:r>
        <w:rPr>
          <w:spacing w:val="-11"/>
        </w:rPr>
        <w:t xml:space="preserve"> </w:t>
      </w:r>
      <w:r>
        <w:t>a</w:t>
      </w:r>
      <w:r>
        <w:rPr>
          <w:spacing w:val="-13"/>
        </w:rPr>
        <w:t xml:space="preserve"> </w:t>
      </w:r>
      <w:r>
        <w:t>continuation</w:t>
      </w:r>
      <w:r>
        <w:rPr>
          <w:spacing w:val="-12"/>
        </w:rPr>
        <w:t xml:space="preserve"> </w:t>
      </w:r>
      <w:r>
        <w:t>of</w:t>
      </w:r>
      <w:r>
        <w:rPr>
          <w:spacing w:val="-13"/>
        </w:rPr>
        <w:t xml:space="preserve"> </w:t>
      </w:r>
      <w:r>
        <w:t>the</w:t>
      </w:r>
      <w:r>
        <w:rPr>
          <w:spacing w:val="-12"/>
        </w:rPr>
        <w:t xml:space="preserve"> </w:t>
      </w:r>
      <w:r>
        <w:t>2018-2019</w:t>
      </w:r>
      <w:r>
        <w:rPr>
          <w:spacing w:val="-12"/>
        </w:rPr>
        <w:t xml:space="preserve"> </w:t>
      </w:r>
      <w:r>
        <w:t>Massachusetts</w:t>
      </w:r>
      <w:r>
        <w:rPr>
          <w:spacing w:val="-12"/>
        </w:rPr>
        <w:t xml:space="preserve"> </w:t>
      </w:r>
      <w:r>
        <w:t>Student</w:t>
      </w:r>
      <w:r>
        <w:rPr>
          <w:spacing w:val="-12"/>
        </w:rPr>
        <w:t xml:space="preserve"> </w:t>
      </w:r>
      <w:r>
        <w:t>Housing Security Pilot, a grant funded program sponsored by Massachusetts Commission on Unaccompanied Homeless Youth</w:t>
      </w:r>
      <w:hyperlink w:anchor="_bookmark324" w:history="1">
        <w:r>
          <w:t>.</w:t>
        </w:r>
        <w:r>
          <w:rPr>
            <w:vertAlign w:val="superscript"/>
          </w:rPr>
          <w:t>162</w:t>
        </w:r>
      </w:hyperlink>
      <w:r>
        <w:t xml:space="preserve"> </w:t>
      </w:r>
      <w:r>
        <w:rPr>
          <w:i/>
        </w:rPr>
        <w:t xml:space="preserve">Moving to College </w:t>
      </w:r>
      <w:r>
        <w:t>targets students who have recently graduated high school and o</w:t>
      </w:r>
      <w:r>
        <w:t>ffers funding to cover housing, meal plans, and case management services among other supports. Massachusetts, for the first</w:t>
      </w:r>
      <w:r>
        <w:rPr>
          <w:spacing w:val="-1"/>
        </w:rPr>
        <w:t xml:space="preserve"> </w:t>
      </w:r>
      <w:r>
        <w:t>time, will be allocating funds provided</w:t>
      </w:r>
      <w:r>
        <w:rPr>
          <w:spacing w:val="-1"/>
        </w:rPr>
        <w:t xml:space="preserve"> </w:t>
      </w:r>
      <w:r>
        <w:t>by HUD to specifically support college students. This measure will help young people who fre</w:t>
      </w:r>
      <w:r>
        <w:t>quently are undetected, regarding the need for housing resources, especially when they are in institutions of higher education. When most college and university</w:t>
      </w:r>
      <w:r>
        <w:rPr>
          <w:spacing w:val="-1"/>
        </w:rPr>
        <w:t xml:space="preserve"> </w:t>
      </w:r>
      <w:r>
        <w:t>housing</w:t>
      </w:r>
      <w:r>
        <w:rPr>
          <w:spacing w:val="-3"/>
        </w:rPr>
        <w:t xml:space="preserve"> </w:t>
      </w:r>
      <w:r>
        <w:t>facilities</w:t>
      </w:r>
      <w:r>
        <w:rPr>
          <w:spacing w:val="-1"/>
        </w:rPr>
        <w:t xml:space="preserve"> </w:t>
      </w:r>
      <w:r>
        <w:t>abruptly closed</w:t>
      </w:r>
      <w:r>
        <w:rPr>
          <w:spacing w:val="-3"/>
        </w:rPr>
        <w:t xml:space="preserve"> </w:t>
      </w:r>
      <w:r>
        <w:t>their</w:t>
      </w:r>
      <w:r>
        <w:rPr>
          <w:spacing w:val="-1"/>
        </w:rPr>
        <w:t xml:space="preserve"> </w:t>
      </w:r>
      <w:r>
        <w:t>doors</w:t>
      </w:r>
      <w:r>
        <w:rPr>
          <w:spacing w:val="-2"/>
        </w:rPr>
        <w:t xml:space="preserve"> </w:t>
      </w:r>
      <w:r>
        <w:t>in</w:t>
      </w:r>
      <w:r>
        <w:rPr>
          <w:spacing w:val="-3"/>
        </w:rPr>
        <w:t xml:space="preserve"> </w:t>
      </w:r>
      <w:r>
        <w:t>response</w:t>
      </w:r>
      <w:r>
        <w:rPr>
          <w:spacing w:val="-3"/>
        </w:rPr>
        <w:t xml:space="preserve"> </w:t>
      </w:r>
      <w:r>
        <w:t>to</w:t>
      </w:r>
      <w:r>
        <w:rPr>
          <w:spacing w:val="-1"/>
        </w:rPr>
        <w:t xml:space="preserve"> </w:t>
      </w:r>
      <w:r>
        <w:t>the</w:t>
      </w:r>
      <w:r>
        <w:rPr>
          <w:spacing w:val="-2"/>
        </w:rPr>
        <w:t xml:space="preserve"> </w:t>
      </w:r>
      <w:r>
        <w:t>COVID-19</w:t>
      </w:r>
      <w:r>
        <w:rPr>
          <w:spacing w:val="-2"/>
        </w:rPr>
        <w:t xml:space="preserve"> </w:t>
      </w:r>
      <w:r>
        <w:t>pandemic,</w:t>
      </w:r>
      <w:r>
        <w:rPr>
          <w:spacing w:val="-2"/>
        </w:rPr>
        <w:t xml:space="preserve"> </w:t>
      </w:r>
      <w:r>
        <w:t xml:space="preserve">countless </w:t>
      </w:r>
      <w:r>
        <w:t>students faced incredible uncertainties. The Commission commends the efforts of local institutions who have worked hard to offer solutions to vulnerable students, including learners from out-of-state, international students, and other special consideration</w:t>
      </w:r>
      <w:r>
        <w:t>s.</w:t>
      </w:r>
    </w:p>
    <w:p w:rsidR="00C76E6D" w:rsidRDefault="00C76E6D">
      <w:pPr>
        <w:pStyle w:val="BodyText"/>
        <w:spacing w:before="2"/>
        <w:rPr>
          <w:sz w:val="25"/>
        </w:rPr>
      </w:pPr>
    </w:p>
    <w:p w:rsidR="00C76E6D" w:rsidRDefault="00913831">
      <w:pPr>
        <w:pStyle w:val="BodyText"/>
        <w:spacing w:line="276" w:lineRule="auto"/>
        <w:ind w:left="477" w:right="476"/>
        <w:jc w:val="both"/>
      </w:pPr>
      <w:r>
        <w:t>In 2021, the City of Boston planned to add 130 new housing opportunities for YYA, including rental assistance and case management</w:t>
      </w:r>
      <w:hyperlink w:anchor="_bookmark325" w:history="1">
        <w:r>
          <w:t>.</w:t>
        </w:r>
        <w:r>
          <w:rPr>
            <w:vertAlign w:val="superscript"/>
          </w:rPr>
          <w:t>163</w:t>
        </w:r>
        <w:r>
          <w:t xml:space="preserve"> I</w:t>
        </w:r>
      </w:hyperlink>
      <w:r>
        <w:t>n January 2021, the City of Boston pledged to invest $335,000 to support</w:t>
      </w:r>
      <w:r>
        <w:rPr>
          <w:spacing w:val="-8"/>
        </w:rPr>
        <w:t xml:space="preserve"> </w:t>
      </w:r>
      <w:r>
        <w:t>40</w:t>
      </w:r>
      <w:r>
        <w:rPr>
          <w:spacing w:val="-4"/>
        </w:rPr>
        <w:t xml:space="preserve"> </w:t>
      </w:r>
      <w:r>
        <w:t>young</w:t>
      </w:r>
      <w:r>
        <w:rPr>
          <w:spacing w:val="-4"/>
        </w:rPr>
        <w:t xml:space="preserve"> </w:t>
      </w:r>
      <w:r>
        <w:t>people</w:t>
      </w:r>
      <w:r>
        <w:rPr>
          <w:spacing w:val="-3"/>
        </w:rPr>
        <w:t xml:space="preserve"> </w:t>
      </w:r>
      <w:r>
        <w:t>aged</w:t>
      </w:r>
      <w:r>
        <w:rPr>
          <w:spacing w:val="-4"/>
        </w:rPr>
        <w:t xml:space="preserve"> </w:t>
      </w:r>
      <w:r>
        <w:t>18-24</w:t>
      </w:r>
      <w:r>
        <w:rPr>
          <w:spacing w:val="-4"/>
        </w:rPr>
        <w:t xml:space="preserve"> </w:t>
      </w:r>
      <w:r>
        <w:t>whom</w:t>
      </w:r>
      <w:r>
        <w:rPr>
          <w:spacing w:val="-4"/>
        </w:rPr>
        <w:t xml:space="preserve"> </w:t>
      </w:r>
      <w:r>
        <w:t>recently</w:t>
      </w:r>
      <w:r>
        <w:rPr>
          <w:spacing w:val="-4"/>
        </w:rPr>
        <w:t xml:space="preserve"> </w:t>
      </w:r>
      <w:r>
        <w:t>exited</w:t>
      </w:r>
      <w:r>
        <w:rPr>
          <w:spacing w:val="-3"/>
        </w:rPr>
        <w:t xml:space="preserve"> </w:t>
      </w:r>
      <w:r>
        <w:t>homelessness.</w:t>
      </w:r>
      <w:hyperlink w:anchor="_bookmark326" w:history="1">
        <w:r>
          <w:rPr>
            <w:vertAlign w:val="superscript"/>
          </w:rPr>
          <w:t>164</w:t>
        </w:r>
        <w:r>
          <w:rPr>
            <w:spacing w:val="-9"/>
          </w:rPr>
          <w:t xml:space="preserve"> </w:t>
        </w:r>
      </w:hyperlink>
      <w:r>
        <w:t>Unfortunately,</w:t>
      </w:r>
      <w:r>
        <w:rPr>
          <w:spacing w:val="-3"/>
        </w:rPr>
        <w:t xml:space="preserve"> </w:t>
      </w:r>
      <w:r>
        <w:t>the</w:t>
      </w:r>
      <w:r>
        <w:rPr>
          <w:spacing w:val="-3"/>
        </w:rPr>
        <w:t xml:space="preserve"> </w:t>
      </w:r>
      <w:r>
        <w:rPr>
          <w:i/>
        </w:rPr>
        <w:t>Rising</w:t>
      </w:r>
      <w:r>
        <w:rPr>
          <w:i/>
          <w:spacing w:val="-3"/>
        </w:rPr>
        <w:t xml:space="preserve"> </w:t>
      </w:r>
      <w:r>
        <w:rPr>
          <w:i/>
        </w:rPr>
        <w:t xml:space="preserve">to the Challenge </w:t>
      </w:r>
      <w:r>
        <w:t>plan does not appear to have any LGBTQ-specific programming to target LGBTQ YYA experiencing</w:t>
      </w:r>
      <w:r>
        <w:rPr>
          <w:spacing w:val="-13"/>
        </w:rPr>
        <w:t xml:space="preserve"> </w:t>
      </w:r>
      <w:r>
        <w:t>homelessness.</w:t>
      </w:r>
      <w:r>
        <w:rPr>
          <w:spacing w:val="-12"/>
        </w:rPr>
        <w:t xml:space="preserve"> </w:t>
      </w:r>
      <w:r>
        <w:t>However,</w:t>
      </w:r>
      <w:r>
        <w:rPr>
          <w:spacing w:val="-13"/>
        </w:rPr>
        <w:t xml:space="preserve"> </w:t>
      </w:r>
      <w:r>
        <w:t>there</w:t>
      </w:r>
      <w:r>
        <w:rPr>
          <w:spacing w:val="-12"/>
        </w:rPr>
        <w:t xml:space="preserve"> </w:t>
      </w:r>
      <w:r>
        <w:t>is</w:t>
      </w:r>
      <w:r>
        <w:rPr>
          <w:spacing w:val="-13"/>
        </w:rPr>
        <w:t xml:space="preserve"> </w:t>
      </w:r>
      <w:r>
        <w:t>recognition</w:t>
      </w:r>
      <w:r>
        <w:rPr>
          <w:spacing w:val="-12"/>
        </w:rPr>
        <w:t xml:space="preserve"> </w:t>
      </w:r>
      <w:r>
        <w:t>that</w:t>
      </w:r>
      <w:r>
        <w:rPr>
          <w:spacing w:val="-13"/>
        </w:rPr>
        <w:t xml:space="preserve"> </w:t>
      </w:r>
      <w:r>
        <w:t>LGBTQ</w:t>
      </w:r>
      <w:r>
        <w:rPr>
          <w:spacing w:val="-12"/>
        </w:rPr>
        <w:t xml:space="preserve"> </w:t>
      </w:r>
      <w:r>
        <w:t>YYA</w:t>
      </w:r>
      <w:r>
        <w:rPr>
          <w:spacing w:val="-12"/>
        </w:rPr>
        <w:t xml:space="preserve"> </w:t>
      </w:r>
      <w:r>
        <w:t>of</w:t>
      </w:r>
      <w:r>
        <w:rPr>
          <w:spacing w:val="-13"/>
        </w:rPr>
        <w:t xml:space="preserve"> </w:t>
      </w:r>
      <w:r>
        <w:t>Color</w:t>
      </w:r>
      <w:r>
        <w:rPr>
          <w:spacing w:val="-12"/>
        </w:rPr>
        <w:t xml:space="preserve"> </w:t>
      </w:r>
      <w:r>
        <w:t>are</w:t>
      </w:r>
      <w:r>
        <w:rPr>
          <w:spacing w:val="-13"/>
        </w:rPr>
        <w:t xml:space="preserve"> </w:t>
      </w:r>
      <w:r>
        <w:t>disproportionately experiencing homelessness in Boston.</w:t>
      </w:r>
    </w:p>
    <w:p w:rsidR="00C76E6D" w:rsidRDefault="00C76E6D">
      <w:pPr>
        <w:pStyle w:val="BodyText"/>
        <w:spacing w:before="7"/>
        <w:rPr>
          <w:sz w:val="26"/>
        </w:rPr>
      </w:pPr>
    </w:p>
    <w:p w:rsidR="00C76E6D" w:rsidRDefault="00913831">
      <w:pPr>
        <w:pStyle w:val="BodyText"/>
        <w:spacing w:before="1" w:line="276" w:lineRule="auto"/>
        <w:ind w:left="479" w:right="474"/>
        <w:jc w:val="both"/>
      </w:pPr>
      <w:r>
        <w:t>Notably, the Boston plan acknowledges the disparities that LGBTQ youth and youth of color face concerning housing instability, noting that 50% of YYA experienc</w:t>
      </w:r>
      <w:r>
        <w:t>ing homelessness in Boston are Black, and 25-29% of YYA experiencing homelessness in Boston are LGBTQ.</w:t>
      </w:r>
      <w:hyperlink w:anchor="_bookmark327" w:history="1">
        <w:r>
          <w:rPr>
            <w:vertAlign w:val="superscript"/>
          </w:rPr>
          <w:t>165</w:t>
        </w:r>
        <w:r>
          <w:t xml:space="preserve"> </w:t>
        </w:r>
      </w:hyperlink>
      <w:r>
        <w:t>Recognizing the importance of good</w:t>
      </w:r>
      <w:r>
        <w:rPr>
          <w:spacing w:val="-4"/>
        </w:rPr>
        <w:t xml:space="preserve"> </w:t>
      </w:r>
      <w:r>
        <w:t>data,</w:t>
      </w:r>
      <w:r>
        <w:rPr>
          <w:spacing w:val="-4"/>
        </w:rPr>
        <w:t xml:space="preserve"> </w:t>
      </w:r>
      <w:r>
        <w:t>the</w:t>
      </w:r>
      <w:r>
        <w:rPr>
          <w:spacing w:val="-4"/>
        </w:rPr>
        <w:t xml:space="preserve"> </w:t>
      </w:r>
      <w:r>
        <w:t>Boston</w:t>
      </w:r>
      <w:r>
        <w:rPr>
          <w:spacing w:val="-4"/>
        </w:rPr>
        <w:t xml:space="preserve"> </w:t>
      </w:r>
      <w:r>
        <w:t>plan</w:t>
      </w:r>
      <w:r>
        <w:rPr>
          <w:spacing w:val="-3"/>
        </w:rPr>
        <w:t xml:space="preserve"> </w:t>
      </w:r>
      <w:r>
        <w:t>specifically</w:t>
      </w:r>
      <w:r>
        <w:rPr>
          <w:spacing w:val="-1"/>
        </w:rPr>
        <w:t xml:space="preserve"> </w:t>
      </w:r>
      <w:r>
        <w:t>calls</w:t>
      </w:r>
      <w:r>
        <w:rPr>
          <w:spacing w:val="-3"/>
        </w:rPr>
        <w:t xml:space="preserve"> </w:t>
      </w:r>
      <w:r>
        <w:t>to</w:t>
      </w:r>
      <w:r>
        <w:rPr>
          <w:spacing w:val="-4"/>
        </w:rPr>
        <w:t xml:space="preserve"> </w:t>
      </w:r>
      <w:r>
        <w:t>improve</w:t>
      </w:r>
      <w:r>
        <w:rPr>
          <w:spacing w:val="-4"/>
        </w:rPr>
        <w:t xml:space="preserve"> </w:t>
      </w:r>
      <w:r>
        <w:t>data</w:t>
      </w:r>
      <w:r>
        <w:rPr>
          <w:spacing w:val="-2"/>
        </w:rPr>
        <w:t xml:space="preserve"> </w:t>
      </w:r>
      <w:r>
        <w:t>collection</w:t>
      </w:r>
      <w:r>
        <w:rPr>
          <w:spacing w:val="-4"/>
        </w:rPr>
        <w:t xml:space="preserve"> </w:t>
      </w:r>
      <w:r>
        <w:t>for</w:t>
      </w:r>
      <w:r>
        <w:rPr>
          <w:spacing w:val="-4"/>
        </w:rPr>
        <w:t xml:space="preserve"> </w:t>
      </w:r>
      <w:r>
        <w:t>YYA</w:t>
      </w:r>
      <w:r>
        <w:rPr>
          <w:spacing w:val="-3"/>
        </w:rPr>
        <w:t xml:space="preserve"> </w:t>
      </w:r>
      <w:r>
        <w:t>at</w:t>
      </w:r>
      <w:r>
        <w:rPr>
          <w:spacing w:val="-3"/>
        </w:rPr>
        <w:t xml:space="preserve"> </w:t>
      </w:r>
      <w:r>
        <w:t>risk</w:t>
      </w:r>
      <w:r>
        <w:rPr>
          <w:spacing w:val="-4"/>
        </w:rPr>
        <w:t xml:space="preserve"> </w:t>
      </w:r>
      <w:r>
        <w:t>of</w:t>
      </w:r>
      <w:r>
        <w:rPr>
          <w:spacing w:val="-4"/>
        </w:rPr>
        <w:t xml:space="preserve"> </w:t>
      </w:r>
      <w:r>
        <w:t>and</w:t>
      </w:r>
      <w:r>
        <w:rPr>
          <w:spacing w:val="-3"/>
        </w:rPr>
        <w:t xml:space="preserve"> </w:t>
      </w:r>
      <w:r>
        <w:t>experiencing homelessness and create a dashboard to track progress and monitor disparities</w:t>
      </w:r>
      <w:hyperlink w:anchor="_bookmark328" w:history="1">
        <w:r>
          <w:t>.</w:t>
        </w:r>
        <w:r>
          <w:rPr>
            <w:vertAlign w:val="superscript"/>
          </w:rPr>
          <w:t>166</w:t>
        </w:r>
        <w:r>
          <w:t xml:space="preserve"> </w:t>
        </w:r>
      </w:hyperlink>
      <w:r>
        <w:t>Boston’s plan also acknowledges</w:t>
      </w:r>
      <w:r>
        <w:rPr>
          <w:spacing w:val="-12"/>
        </w:rPr>
        <w:t xml:space="preserve"> </w:t>
      </w:r>
      <w:r>
        <w:t>that</w:t>
      </w:r>
      <w:r>
        <w:rPr>
          <w:spacing w:val="-12"/>
        </w:rPr>
        <w:t xml:space="preserve"> </w:t>
      </w:r>
      <w:r>
        <w:t>family</w:t>
      </w:r>
      <w:r>
        <w:rPr>
          <w:spacing w:val="-12"/>
        </w:rPr>
        <w:t xml:space="preserve"> </w:t>
      </w:r>
      <w:r>
        <w:t>rejection</w:t>
      </w:r>
      <w:r>
        <w:rPr>
          <w:spacing w:val="-12"/>
        </w:rPr>
        <w:t xml:space="preserve"> </w:t>
      </w:r>
      <w:r>
        <w:t>is</w:t>
      </w:r>
      <w:r>
        <w:rPr>
          <w:spacing w:val="-12"/>
        </w:rPr>
        <w:t xml:space="preserve"> </w:t>
      </w:r>
      <w:r>
        <w:t>a</w:t>
      </w:r>
      <w:r>
        <w:rPr>
          <w:spacing w:val="-12"/>
        </w:rPr>
        <w:t xml:space="preserve"> </w:t>
      </w:r>
      <w:r>
        <w:t>leading</w:t>
      </w:r>
      <w:r>
        <w:rPr>
          <w:spacing w:val="-11"/>
        </w:rPr>
        <w:t xml:space="preserve"> </w:t>
      </w:r>
      <w:r>
        <w:t>cause</w:t>
      </w:r>
      <w:r>
        <w:rPr>
          <w:spacing w:val="-10"/>
        </w:rPr>
        <w:t xml:space="preserve"> </w:t>
      </w:r>
      <w:r>
        <w:t>of</w:t>
      </w:r>
      <w:r>
        <w:rPr>
          <w:spacing w:val="-12"/>
        </w:rPr>
        <w:t xml:space="preserve"> </w:t>
      </w:r>
      <w:r>
        <w:t>homelessness</w:t>
      </w:r>
      <w:r>
        <w:rPr>
          <w:spacing w:val="-12"/>
        </w:rPr>
        <w:t xml:space="preserve"> </w:t>
      </w:r>
      <w:r>
        <w:t>for</w:t>
      </w:r>
      <w:r>
        <w:rPr>
          <w:spacing w:val="-12"/>
        </w:rPr>
        <w:t xml:space="preserve"> </w:t>
      </w:r>
      <w:r>
        <w:t>LGBTQ</w:t>
      </w:r>
      <w:r>
        <w:rPr>
          <w:spacing w:val="-13"/>
        </w:rPr>
        <w:t xml:space="preserve"> </w:t>
      </w:r>
      <w:r>
        <w:t>youth</w:t>
      </w:r>
      <w:r>
        <w:rPr>
          <w:spacing w:val="-11"/>
        </w:rPr>
        <w:t xml:space="preserve"> </w:t>
      </w:r>
      <w:r>
        <w:t>and</w:t>
      </w:r>
      <w:r>
        <w:rPr>
          <w:spacing w:val="-10"/>
        </w:rPr>
        <w:t xml:space="preserve"> </w:t>
      </w:r>
      <w:r>
        <w:t>aims</w:t>
      </w:r>
      <w:r>
        <w:rPr>
          <w:spacing w:val="-12"/>
        </w:rPr>
        <w:t xml:space="preserve"> </w:t>
      </w:r>
      <w:r>
        <w:t>to</w:t>
      </w:r>
      <w:r>
        <w:rPr>
          <w:spacing w:val="-12"/>
        </w:rPr>
        <w:t xml:space="preserve"> </w:t>
      </w:r>
      <w:r>
        <w:t>crea</w:t>
      </w:r>
      <w:r>
        <w:t>te a set of acceptance strategies to support LGBTQ YYA staying with families to ensure they remain in their homes if desired.</w:t>
      </w:r>
      <w:hyperlink w:anchor="_bookmark329" w:history="1">
        <w:r>
          <w:rPr>
            <w:vertAlign w:val="superscript"/>
          </w:rPr>
          <w:t>167</w:t>
        </w:r>
      </w:hyperlink>
      <w:r>
        <w:t xml:space="preserve"> The Commission looks forward to reviewing data on the progress of the City of Boston’s implemen</w:t>
      </w:r>
      <w:r>
        <w:t>tation of this plan.</w:t>
      </w:r>
    </w:p>
    <w:p w:rsidR="00C76E6D" w:rsidRDefault="00C76E6D">
      <w:pPr>
        <w:pStyle w:val="BodyText"/>
        <w:spacing w:before="2"/>
        <w:rPr>
          <w:sz w:val="25"/>
        </w:rPr>
      </w:pPr>
    </w:p>
    <w:p w:rsidR="00C76E6D" w:rsidRDefault="00913831">
      <w:pPr>
        <w:pStyle w:val="Heading6"/>
        <w:numPr>
          <w:ilvl w:val="1"/>
          <w:numId w:val="42"/>
        </w:numPr>
        <w:tabs>
          <w:tab w:val="left" w:pos="699"/>
        </w:tabs>
        <w:ind w:left="698" w:hanging="221"/>
      </w:pPr>
      <w:bookmarkStart w:id="275" w:name="3._Established_Housing_Programs_and_Init"/>
      <w:bookmarkEnd w:id="275"/>
      <w:r>
        <w:rPr>
          <w:w w:val="95"/>
        </w:rPr>
        <w:t>Established</w:t>
      </w:r>
      <w:r>
        <w:rPr>
          <w:spacing w:val="16"/>
        </w:rPr>
        <w:t xml:space="preserve"> </w:t>
      </w:r>
      <w:r>
        <w:rPr>
          <w:w w:val="95"/>
        </w:rPr>
        <w:t>Housing</w:t>
      </w:r>
      <w:r>
        <w:rPr>
          <w:spacing w:val="19"/>
        </w:rPr>
        <w:t xml:space="preserve"> </w:t>
      </w:r>
      <w:r>
        <w:rPr>
          <w:w w:val="95"/>
        </w:rPr>
        <w:t>Programs</w:t>
      </w:r>
      <w:r>
        <w:rPr>
          <w:spacing w:val="16"/>
        </w:rPr>
        <w:t xml:space="preserve"> </w:t>
      </w:r>
      <w:r>
        <w:rPr>
          <w:w w:val="95"/>
        </w:rPr>
        <w:t>and</w:t>
      </w:r>
      <w:r>
        <w:rPr>
          <w:spacing w:val="18"/>
        </w:rPr>
        <w:t xml:space="preserve"> </w:t>
      </w:r>
      <w:r>
        <w:rPr>
          <w:spacing w:val="-2"/>
          <w:w w:val="95"/>
        </w:rPr>
        <w:t>Initiatives</w:t>
      </w:r>
    </w:p>
    <w:p w:rsidR="00C76E6D" w:rsidRDefault="00C76E6D">
      <w:pPr>
        <w:pStyle w:val="BodyText"/>
        <w:spacing w:before="8"/>
        <w:rPr>
          <w:b/>
          <w:sz w:val="28"/>
        </w:rPr>
      </w:pPr>
    </w:p>
    <w:p w:rsidR="00C76E6D" w:rsidRDefault="00913831">
      <w:pPr>
        <w:pStyle w:val="BodyText"/>
        <w:spacing w:line="276" w:lineRule="auto"/>
        <w:ind w:left="480" w:right="474" w:hanging="1"/>
        <w:jc w:val="both"/>
      </w:pPr>
      <w:r>
        <w:t>The</w:t>
      </w:r>
      <w:r>
        <w:rPr>
          <w:spacing w:val="-7"/>
        </w:rPr>
        <w:t xml:space="preserve"> </w:t>
      </w:r>
      <w:r>
        <w:t>Commonwealth</w:t>
      </w:r>
      <w:r>
        <w:rPr>
          <w:spacing w:val="-7"/>
        </w:rPr>
        <w:t xml:space="preserve"> </w:t>
      </w:r>
      <w:r>
        <w:t>continues</w:t>
      </w:r>
      <w:r>
        <w:rPr>
          <w:spacing w:val="-7"/>
        </w:rPr>
        <w:t xml:space="preserve"> </w:t>
      </w:r>
      <w:r>
        <w:t>to</w:t>
      </w:r>
      <w:r>
        <w:rPr>
          <w:spacing w:val="-6"/>
        </w:rPr>
        <w:t xml:space="preserve"> </w:t>
      </w:r>
      <w:r>
        <w:t>support</w:t>
      </w:r>
      <w:r>
        <w:rPr>
          <w:spacing w:val="-8"/>
        </w:rPr>
        <w:t xml:space="preserve"> </w:t>
      </w:r>
      <w:r>
        <w:t>its</w:t>
      </w:r>
      <w:r>
        <w:rPr>
          <w:spacing w:val="-6"/>
        </w:rPr>
        <w:t xml:space="preserve"> </w:t>
      </w:r>
      <w:r>
        <w:t>two</w:t>
      </w:r>
      <w:r>
        <w:rPr>
          <w:spacing w:val="-5"/>
        </w:rPr>
        <w:t xml:space="preserve"> </w:t>
      </w:r>
      <w:r>
        <w:t>novel</w:t>
      </w:r>
      <w:r>
        <w:rPr>
          <w:spacing w:val="-7"/>
        </w:rPr>
        <w:t xml:space="preserve"> </w:t>
      </w:r>
      <w:r>
        <w:t>supportive</w:t>
      </w:r>
      <w:r>
        <w:rPr>
          <w:spacing w:val="-6"/>
        </w:rPr>
        <w:t xml:space="preserve"> </w:t>
      </w:r>
      <w:r>
        <w:t>LGBTQ</w:t>
      </w:r>
      <w:r>
        <w:rPr>
          <w:spacing w:val="-7"/>
        </w:rPr>
        <w:t xml:space="preserve"> </w:t>
      </w:r>
      <w:r>
        <w:t>housing</w:t>
      </w:r>
      <w:r>
        <w:rPr>
          <w:spacing w:val="-8"/>
        </w:rPr>
        <w:t xml:space="preserve"> </w:t>
      </w:r>
      <w:r>
        <w:t>programs</w:t>
      </w:r>
      <w:r>
        <w:rPr>
          <w:spacing w:val="-6"/>
        </w:rPr>
        <w:t xml:space="preserve"> </w:t>
      </w:r>
      <w:r>
        <w:t>(AIDS</w:t>
      </w:r>
      <w:r>
        <w:rPr>
          <w:spacing w:val="-8"/>
        </w:rPr>
        <w:t xml:space="preserve"> </w:t>
      </w:r>
      <w:r>
        <w:t>Action Committee</w:t>
      </w:r>
      <w:r>
        <w:rPr>
          <w:spacing w:val="-5"/>
        </w:rPr>
        <w:t xml:space="preserve"> </w:t>
      </w:r>
      <w:r>
        <w:t>and</w:t>
      </w:r>
      <w:r>
        <w:rPr>
          <w:spacing w:val="-7"/>
        </w:rPr>
        <w:t xml:space="preserve"> </w:t>
      </w:r>
      <w:r>
        <w:t>DIAL/SELF</w:t>
      </w:r>
      <w:r>
        <w:rPr>
          <w:spacing w:val="-3"/>
        </w:rPr>
        <w:t xml:space="preserve"> </w:t>
      </w:r>
      <w:r>
        <w:t>Youth</w:t>
      </w:r>
      <w:r>
        <w:rPr>
          <w:spacing w:val="-6"/>
        </w:rPr>
        <w:t xml:space="preserve"> </w:t>
      </w:r>
      <w:r>
        <w:t>and</w:t>
      </w:r>
      <w:r>
        <w:rPr>
          <w:spacing w:val="-5"/>
        </w:rPr>
        <w:t xml:space="preserve"> </w:t>
      </w:r>
      <w:r>
        <w:t>Community</w:t>
      </w:r>
      <w:r>
        <w:rPr>
          <w:spacing w:val="-5"/>
        </w:rPr>
        <w:t xml:space="preserve"> </w:t>
      </w:r>
      <w:r>
        <w:t>Services)</w:t>
      </w:r>
      <w:r>
        <w:rPr>
          <w:spacing w:val="-6"/>
        </w:rPr>
        <w:t xml:space="preserve"> </w:t>
      </w:r>
      <w:r>
        <w:t>since</w:t>
      </w:r>
      <w:r>
        <w:rPr>
          <w:spacing w:val="-6"/>
        </w:rPr>
        <w:t xml:space="preserve"> </w:t>
      </w:r>
      <w:r>
        <w:t>their</w:t>
      </w:r>
      <w:r>
        <w:rPr>
          <w:spacing w:val="-5"/>
        </w:rPr>
        <w:t xml:space="preserve"> </w:t>
      </w:r>
      <w:r>
        <w:t>opening</w:t>
      </w:r>
      <w:r>
        <w:rPr>
          <w:spacing w:val="-6"/>
        </w:rPr>
        <w:t xml:space="preserve"> </w:t>
      </w:r>
      <w:r>
        <w:t>in</w:t>
      </w:r>
      <w:r>
        <w:rPr>
          <w:spacing w:val="-7"/>
        </w:rPr>
        <w:t xml:space="preserve"> </w:t>
      </w:r>
      <w:r>
        <w:t>2014</w:t>
      </w:r>
      <w:r>
        <w:rPr>
          <w:spacing w:val="-5"/>
        </w:rPr>
        <w:t xml:space="preserve"> </w:t>
      </w:r>
      <w:r>
        <w:t>through</w:t>
      </w:r>
      <w:r>
        <w:rPr>
          <w:spacing w:val="-6"/>
        </w:rPr>
        <w:t xml:space="preserve"> </w:t>
      </w:r>
      <w:r>
        <w:t>the</w:t>
      </w:r>
      <w:r>
        <w:rPr>
          <w:spacing w:val="-5"/>
        </w:rPr>
        <w:t xml:space="preserve"> </w:t>
      </w:r>
      <w:r>
        <w:t>Home and Healthy for Good initiative. Governor Baker has proposed notable differences in his FY 2023 budget</w:t>
      </w:r>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913831">
      <w:pPr>
        <w:pStyle w:val="BodyText"/>
        <w:spacing w:before="200" w:line="276" w:lineRule="auto"/>
        <w:ind w:left="479" w:right="478"/>
        <w:jc w:val="both"/>
      </w:pPr>
      <w:r>
        <w:t>in</w:t>
      </w:r>
      <w:r>
        <w:rPr>
          <w:spacing w:val="-2"/>
        </w:rPr>
        <w:t xml:space="preserve"> </w:t>
      </w:r>
      <w:r>
        <w:t>comparison</w:t>
      </w:r>
      <w:r>
        <w:rPr>
          <w:spacing w:val="-2"/>
        </w:rPr>
        <w:t xml:space="preserve"> </w:t>
      </w:r>
      <w:r>
        <w:t>to</w:t>
      </w:r>
      <w:r>
        <w:rPr>
          <w:spacing w:val="-1"/>
        </w:rPr>
        <w:t xml:space="preserve"> </w:t>
      </w:r>
      <w:r>
        <w:t>his</w:t>
      </w:r>
      <w:r>
        <w:rPr>
          <w:spacing w:val="-1"/>
        </w:rPr>
        <w:t xml:space="preserve"> </w:t>
      </w:r>
      <w:r>
        <w:t>FY22 budget</w:t>
      </w:r>
      <w:r>
        <w:rPr>
          <w:spacing w:val="-2"/>
        </w:rPr>
        <w:t xml:space="preserve"> </w:t>
      </w:r>
      <w:r>
        <w:t>recommendations.</w:t>
      </w:r>
      <w:r>
        <w:rPr>
          <w:spacing w:val="-2"/>
        </w:rPr>
        <w:t xml:space="preserve"> </w:t>
      </w:r>
      <w:r>
        <w:t>For</w:t>
      </w:r>
      <w:r>
        <w:rPr>
          <w:spacing w:val="-1"/>
        </w:rPr>
        <w:t xml:space="preserve"> </w:t>
      </w:r>
      <w:r>
        <w:t>the upcoming</w:t>
      </w:r>
      <w:r>
        <w:rPr>
          <w:spacing w:val="-2"/>
        </w:rPr>
        <w:t xml:space="preserve"> </w:t>
      </w:r>
      <w:r>
        <w:t>fiscal</w:t>
      </w:r>
      <w:r>
        <w:rPr>
          <w:spacing w:val="-2"/>
        </w:rPr>
        <w:t xml:space="preserve"> </w:t>
      </w:r>
      <w:r>
        <w:t>year,</w:t>
      </w:r>
      <w:r>
        <w:rPr>
          <w:spacing w:val="-1"/>
        </w:rPr>
        <w:t xml:space="preserve"> </w:t>
      </w:r>
      <w:r>
        <w:t>he</w:t>
      </w:r>
      <w:r>
        <w:rPr>
          <w:spacing w:val="-2"/>
        </w:rPr>
        <w:t xml:space="preserve"> </w:t>
      </w:r>
      <w:r>
        <w:t>has</w:t>
      </w:r>
      <w:r>
        <w:rPr>
          <w:spacing w:val="-1"/>
        </w:rPr>
        <w:t xml:space="preserve"> </w:t>
      </w:r>
      <w:r>
        <w:t>recommended increased funding to meet the needs of the following line items:</w:t>
      </w:r>
      <w:r>
        <w:rPr>
          <w:spacing w:val="37"/>
        </w:rPr>
        <w:t xml:space="preserve"> </w:t>
      </w:r>
      <w:r>
        <w:t>Homeless Individual Shelters by $25.4 million (7004-0102), the Homeless Student Transportation by over $8.5 million (7035-0008), and the Operation of Homeless Program by over $900</w:t>
      </w:r>
      <w:r>
        <w:t xml:space="preserve"> thousand (7004-0100)</w:t>
      </w:r>
      <w:hyperlink w:anchor="_bookmark330" w:history="1">
        <w:r>
          <w:t>.</w:t>
        </w:r>
        <w:r>
          <w:rPr>
            <w:vertAlign w:val="superscript"/>
          </w:rPr>
          <w:t>168</w:t>
        </w:r>
      </w:hyperlink>
    </w:p>
    <w:p w:rsidR="00C76E6D" w:rsidRDefault="00C76E6D">
      <w:pPr>
        <w:pStyle w:val="BodyText"/>
        <w:spacing w:before="4"/>
        <w:rPr>
          <w:sz w:val="25"/>
        </w:rPr>
      </w:pPr>
    </w:p>
    <w:p w:rsidR="00C76E6D" w:rsidRDefault="00913831">
      <w:pPr>
        <w:pStyle w:val="BodyText"/>
        <w:spacing w:line="276" w:lineRule="auto"/>
        <w:ind w:left="479" w:right="475"/>
        <w:jc w:val="both"/>
      </w:pPr>
      <w:r>
        <w:t>Boston’s</w:t>
      </w:r>
      <w:r>
        <w:rPr>
          <w:spacing w:val="-3"/>
        </w:rPr>
        <w:t xml:space="preserve"> </w:t>
      </w:r>
      <w:r>
        <w:rPr>
          <w:i/>
        </w:rPr>
        <w:t>Rising</w:t>
      </w:r>
      <w:r>
        <w:rPr>
          <w:i/>
          <w:spacing w:val="-3"/>
        </w:rPr>
        <w:t xml:space="preserve"> </w:t>
      </w:r>
      <w:r>
        <w:rPr>
          <w:i/>
        </w:rPr>
        <w:t>to</w:t>
      </w:r>
      <w:r>
        <w:rPr>
          <w:i/>
          <w:spacing w:val="-3"/>
        </w:rPr>
        <w:t xml:space="preserve"> </w:t>
      </w:r>
      <w:r>
        <w:rPr>
          <w:i/>
        </w:rPr>
        <w:t>the</w:t>
      </w:r>
      <w:r>
        <w:rPr>
          <w:i/>
          <w:spacing w:val="-3"/>
        </w:rPr>
        <w:t xml:space="preserve"> </w:t>
      </w:r>
      <w:r>
        <w:rPr>
          <w:i/>
        </w:rPr>
        <w:t>Challenge:</w:t>
      </w:r>
      <w:r>
        <w:rPr>
          <w:i/>
          <w:spacing w:val="-3"/>
        </w:rPr>
        <w:t xml:space="preserve"> </w:t>
      </w:r>
      <w:r>
        <w:rPr>
          <w:i/>
        </w:rPr>
        <w:t>Boston’s</w:t>
      </w:r>
      <w:r>
        <w:rPr>
          <w:i/>
          <w:spacing w:val="-4"/>
        </w:rPr>
        <w:t xml:space="preserve"> </w:t>
      </w:r>
      <w:r>
        <w:rPr>
          <w:i/>
        </w:rPr>
        <w:t>Plan</w:t>
      </w:r>
      <w:r>
        <w:rPr>
          <w:i/>
          <w:spacing w:val="-2"/>
        </w:rPr>
        <w:t xml:space="preserve"> </w:t>
      </w:r>
      <w:r>
        <w:rPr>
          <w:i/>
        </w:rPr>
        <w:t>to</w:t>
      </w:r>
      <w:r>
        <w:rPr>
          <w:i/>
          <w:spacing w:val="-3"/>
        </w:rPr>
        <w:t xml:space="preserve"> </w:t>
      </w:r>
      <w:r>
        <w:rPr>
          <w:i/>
        </w:rPr>
        <w:t>Prevent</w:t>
      </w:r>
      <w:r>
        <w:rPr>
          <w:i/>
          <w:spacing w:val="-1"/>
        </w:rPr>
        <w:t xml:space="preserve"> </w:t>
      </w:r>
      <w:r>
        <w:rPr>
          <w:i/>
        </w:rPr>
        <w:t>and</w:t>
      </w:r>
      <w:r>
        <w:rPr>
          <w:i/>
          <w:spacing w:val="-2"/>
        </w:rPr>
        <w:t xml:space="preserve"> </w:t>
      </w:r>
      <w:r>
        <w:rPr>
          <w:i/>
        </w:rPr>
        <w:t>End</w:t>
      </w:r>
      <w:r>
        <w:rPr>
          <w:i/>
          <w:spacing w:val="-3"/>
        </w:rPr>
        <w:t xml:space="preserve"> </w:t>
      </w:r>
      <w:r>
        <w:rPr>
          <w:i/>
        </w:rPr>
        <w:t>Youth</w:t>
      </w:r>
      <w:r>
        <w:rPr>
          <w:i/>
          <w:spacing w:val="-3"/>
        </w:rPr>
        <w:t xml:space="preserve"> </w:t>
      </w:r>
      <w:r>
        <w:rPr>
          <w:i/>
        </w:rPr>
        <w:t>and</w:t>
      </w:r>
      <w:r>
        <w:rPr>
          <w:i/>
          <w:spacing w:val="-1"/>
        </w:rPr>
        <w:t xml:space="preserve"> </w:t>
      </w:r>
      <w:r>
        <w:rPr>
          <w:i/>
        </w:rPr>
        <w:t>Young</w:t>
      </w:r>
      <w:r>
        <w:rPr>
          <w:i/>
          <w:spacing w:val="-3"/>
        </w:rPr>
        <w:t xml:space="preserve"> </w:t>
      </w:r>
      <w:r>
        <w:rPr>
          <w:i/>
        </w:rPr>
        <w:t>Adult</w:t>
      </w:r>
      <w:r>
        <w:rPr>
          <w:i/>
          <w:spacing w:val="-1"/>
        </w:rPr>
        <w:t xml:space="preserve"> </w:t>
      </w:r>
      <w:r>
        <w:rPr>
          <w:i/>
        </w:rPr>
        <w:t>Homelessness</w:t>
      </w:r>
      <w:r>
        <w:t>, was officially unveiled in November 2019 following a $4.7 million grant from HUD.</w:t>
      </w:r>
      <w:hyperlink w:anchor="_bookmark331" w:history="1">
        <w:r>
          <w:rPr>
            <w:vertAlign w:val="superscript"/>
          </w:rPr>
          <w:t>169</w:t>
        </w:r>
        <w:r>
          <w:t xml:space="preserve"> </w:t>
        </w:r>
      </w:hyperlink>
      <w:r>
        <w:t>The city reported that</w:t>
      </w:r>
      <w:r>
        <w:rPr>
          <w:spacing w:val="-2"/>
        </w:rPr>
        <w:t xml:space="preserve"> </w:t>
      </w:r>
      <w:r>
        <w:t>in</w:t>
      </w:r>
      <w:r>
        <w:rPr>
          <w:spacing w:val="-1"/>
        </w:rPr>
        <w:t xml:space="preserve"> </w:t>
      </w:r>
      <w:r>
        <w:t>2019 on</w:t>
      </w:r>
      <w:r>
        <w:rPr>
          <w:spacing w:val="-4"/>
        </w:rPr>
        <w:t xml:space="preserve"> </w:t>
      </w:r>
      <w:r>
        <w:t>any</w:t>
      </w:r>
      <w:r>
        <w:rPr>
          <w:spacing w:val="-1"/>
        </w:rPr>
        <w:t xml:space="preserve"> </w:t>
      </w:r>
      <w:r>
        <w:t>given</w:t>
      </w:r>
      <w:r>
        <w:rPr>
          <w:spacing w:val="-1"/>
        </w:rPr>
        <w:t xml:space="preserve"> </w:t>
      </w:r>
      <w:r>
        <w:t>night,</w:t>
      </w:r>
      <w:r>
        <w:rPr>
          <w:spacing w:val="-1"/>
        </w:rPr>
        <w:t xml:space="preserve"> </w:t>
      </w:r>
      <w:r>
        <w:t>approximately</w:t>
      </w:r>
      <w:r>
        <w:rPr>
          <w:spacing w:val="-1"/>
        </w:rPr>
        <w:t xml:space="preserve"> </w:t>
      </w:r>
      <w:r>
        <w:t>360</w:t>
      </w:r>
      <w:r>
        <w:rPr>
          <w:spacing w:val="-1"/>
        </w:rPr>
        <w:t xml:space="preserve"> </w:t>
      </w:r>
      <w:r>
        <w:t>unaccompanied</w:t>
      </w:r>
      <w:r>
        <w:rPr>
          <w:spacing w:val="-3"/>
        </w:rPr>
        <w:t xml:space="preserve"> </w:t>
      </w:r>
      <w:r>
        <w:t>YYA</w:t>
      </w:r>
      <w:r>
        <w:rPr>
          <w:spacing w:val="-1"/>
        </w:rPr>
        <w:t xml:space="preserve"> </w:t>
      </w:r>
      <w:r>
        <w:t>under age</w:t>
      </w:r>
      <w:r>
        <w:rPr>
          <w:spacing w:val="-3"/>
        </w:rPr>
        <w:t xml:space="preserve"> </w:t>
      </w:r>
      <w:r>
        <w:t>24</w:t>
      </w:r>
      <w:r>
        <w:rPr>
          <w:spacing w:val="-1"/>
        </w:rPr>
        <w:t xml:space="preserve"> </w:t>
      </w:r>
      <w:r>
        <w:t>were experiencing homelessness in Boston</w:t>
      </w:r>
      <w:hyperlink w:anchor="_bookmark332" w:history="1">
        <w:r>
          <w:t>.</w:t>
        </w:r>
        <w:r>
          <w:rPr>
            <w:vertAlign w:val="superscript"/>
          </w:rPr>
          <w:t>170</w:t>
        </w:r>
      </w:hyperlink>
      <w:r>
        <w:t xml:space="preserve"> In August 2020 and November 2020, HUD awarded $25.5 million and $5 million respectively to Massachusetts Public Housing Authorities to assist those impacted by the COVID- 19 pandemic, with specific allocations for non-elderly persons</w:t>
      </w:r>
      <w:hyperlink w:anchor="_bookmark333" w:history="1">
        <w:r>
          <w:t>.</w:t>
        </w:r>
        <w:r>
          <w:rPr>
            <w:vertAlign w:val="superscript"/>
          </w:rPr>
          <w:t>171</w:t>
        </w:r>
      </w:hyperlink>
    </w:p>
    <w:p w:rsidR="00C76E6D" w:rsidRDefault="00C76E6D">
      <w:pPr>
        <w:pStyle w:val="BodyText"/>
        <w:spacing w:before="10"/>
        <w:rPr>
          <w:sz w:val="25"/>
        </w:rPr>
      </w:pPr>
    </w:p>
    <w:p w:rsidR="00C76E6D" w:rsidRDefault="00913831">
      <w:pPr>
        <w:pStyle w:val="BodyText"/>
        <w:spacing w:line="276" w:lineRule="auto"/>
        <w:ind w:left="478" w:right="477"/>
        <w:jc w:val="both"/>
      </w:pPr>
      <w:r>
        <w:t>In addition to Boston, the city of Springfield and Community Action Pioneer Valley in Western Massachusetts also received a grant from HUD in 2019 for more than $4.3 million to end youth homelessness</w:t>
      </w:r>
      <w:hyperlink w:anchor="_bookmark334" w:history="1">
        <w:r>
          <w:t>.</w:t>
        </w:r>
        <w:r>
          <w:rPr>
            <w:vertAlign w:val="superscript"/>
          </w:rPr>
          <w:t>172</w:t>
        </w:r>
        <w:r>
          <w:t xml:space="preserve"> </w:t>
        </w:r>
      </w:hyperlink>
      <w:r>
        <w:t>Comm</w:t>
      </w:r>
      <w:r>
        <w:t>unity Action Pioneer Valley released an executive summary of coordinated care to</w:t>
      </w:r>
      <w:r>
        <w:rPr>
          <w:spacing w:val="-9"/>
        </w:rPr>
        <w:t xml:space="preserve"> </w:t>
      </w:r>
      <w:r>
        <w:t>end</w:t>
      </w:r>
      <w:r>
        <w:rPr>
          <w:spacing w:val="-9"/>
        </w:rPr>
        <w:t xml:space="preserve"> </w:t>
      </w:r>
      <w:r>
        <w:t>YYA</w:t>
      </w:r>
      <w:r>
        <w:rPr>
          <w:spacing w:val="-9"/>
        </w:rPr>
        <w:t xml:space="preserve"> </w:t>
      </w:r>
      <w:r>
        <w:t>homelessness</w:t>
      </w:r>
      <w:r>
        <w:rPr>
          <w:spacing w:val="-9"/>
        </w:rPr>
        <w:t xml:space="preserve"> </w:t>
      </w:r>
      <w:r>
        <w:t>in</w:t>
      </w:r>
      <w:r>
        <w:rPr>
          <w:spacing w:val="-10"/>
        </w:rPr>
        <w:t xml:space="preserve"> </w:t>
      </w:r>
      <w:r>
        <w:t>Franklin</w:t>
      </w:r>
      <w:r>
        <w:rPr>
          <w:spacing w:val="-9"/>
        </w:rPr>
        <w:t xml:space="preserve"> </w:t>
      </w:r>
      <w:r>
        <w:t>County.</w:t>
      </w:r>
      <w:r>
        <w:rPr>
          <w:spacing w:val="-8"/>
        </w:rPr>
        <w:t xml:space="preserve"> </w:t>
      </w:r>
      <w:r>
        <w:t>The</w:t>
      </w:r>
      <w:r>
        <w:rPr>
          <w:spacing w:val="-9"/>
        </w:rPr>
        <w:t xml:space="preserve"> </w:t>
      </w:r>
      <w:r>
        <w:t>executive</w:t>
      </w:r>
      <w:r>
        <w:rPr>
          <w:spacing w:val="-8"/>
        </w:rPr>
        <w:t xml:space="preserve"> </w:t>
      </w:r>
      <w:r>
        <w:t>plan</w:t>
      </w:r>
      <w:r>
        <w:rPr>
          <w:spacing w:val="-9"/>
        </w:rPr>
        <w:t xml:space="preserve"> </w:t>
      </w:r>
      <w:r>
        <w:t>includes:</w:t>
      </w:r>
      <w:r>
        <w:rPr>
          <w:spacing w:val="-8"/>
        </w:rPr>
        <w:t xml:space="preserve"> </w:t>
      </w:r>
      <w:r>
        <w:t>(a)</w:t>
      </w:r>
      <w:r>
        <w:rPr>
          <w:spacing w:val="-10"/>
        </w:rPr>
        <w:t xml:space="preserve"> </w:t>
      </w:r>
      <w:r>
        <w:t>implementing</w:t>
      </w:r>
      <w:r>
        <w:rPr>
          <w:spacing w:val="-8"/>
        </w:rPr>
        <w:t xml:space="preserve"> </w:t>
      </w:r>
      <w:r>
        <w:t>a</w:t>
      </w:r>
      <w:r>
        <w:rPr>
          <w:spacing w:val="-7"/>
        </w:rPr>
        <w:t xml:space="preserve"> </w:t>
      </w:r>
      <w:r>
        <w:t>coordinated system to identify YYA; (b) implementing collaborative preventative and di</w:t>
      </w:r>
      <w:r>
        <w:t>version strategies; (c) implementing</w:t>
      </w:r>
      <w:r>
        <w:rPr>
          <w:spacing w:val="-8"/>
        </w:rPr>
        <w:t xml:space="preserve"> </w:t>
      </w:r>
      <w:r>
        <w:t>a</w:t>
      </w:r>
      <w:r>
        <w:rPr>
          <w:spacing w:val="-4"/>
        </w:rPr>
        <w:t xml:space="preserve"> </w:t>
      </w:r>
      <w:r>
        <w:t>coordinated</w:t>
      </w:r>
      <w:r>
        <w:rPr>
          <w:spacing w:val="-8"/>
        </w:rPr>
        <w:t xml:space="preserve"> </w:t>
      </w:r>
      <w:r>
        <w:t>access</w:t>
      </w:r>
      <w:r>
        <w:rPr>
          <w:spacing w:val="-5"/>
        </w:rPr>
        <w:t xml:space="preserve"> </w:t>
      </w:r>
      <w:r>
        <w:t>entry</w:t>
      </w:r>
      <w:r>
        <w:rPr>
          <w:spacing w:val="-7"/>
        </w:rPr>
        <w:t xml:space="preserve"> </w:t>
      </w:r>
      <w:r>
        <w:t>system;</w:t>
      </w:r>
      <w:r>
        <w:rPr>
          <w:spacing w:val="-3"/>
        </w:rPr>
        <w:t xml:space="preserve"> </w:t>
      </w:r>
      <w:r>
        <w:t>(d)</w:t>
      </w:r>
      <w:r>
        <w:rPr>
          <w:spacing w:val="-7"/>
        </w:rPr>
        <w:t xml:space="preserve"> </w:t>
      </w:r>
      <w:r>
        <w:t>connecting</w:t>
      </w:r>
      <w:r>
        <w:rPr>
          <w:spacing w:val="-6"/>
        </w:rPr>
        <w:t xml:space="preserve"> </w:t>
      </w:r>
      <w:r>
        <w:t>YYA</w:t>
      </w:r>
      <w:r>
        <w:rPr>
          <w:spacing w:val="-6"/>
        </w:rPr>
        <w:t xml:space="preserve"> </w:t>
      </w:r>
      <w:r>
        <w:t>to</w:t>
      </w:r>
      <w:r>
        <w:rPr>
          <w:spacing w:val="-5"/>
        </w:rPr>
        <w:t xml:space="preserve"> </w:t>
      </w:r>
      <w:r>
        <w:t>low-barrier</w:t>
      </w:r>
      <w:r>
        <w:rPr>
          <w:spacing w:val="-7"/>
        </w:rPr>
        <w:t xml:space="preserve"> </w:t>
      </w:r>
      <w:r>
        <w:t>housing</w:t>
      </w:r>
      <w:r>
        <w:rPr>
          <w:spacing w:val="-6"/>
        </w:rPr>
        <w:t xml:space="preserve"> </w:t>
      </w:r>
      <w:r>
        <w:t>services;</w:t>
      </w:r>
      <w:r>
        <w:rPr>
          <w:spacing w:val="-7"/>
        </w:rPr>
        <w:t xml:space="preserve"> </w:t>
      </w:r>
      <w:r>
        <w:t>and</w:t>
      </w:r>
    </w:p>
    <w:p w:rsidR="00C76E6D" w:rsidRDefault="00913831">
      <w:pPr>
        <w:pStyle w:val="BodyText"/>
        <w:spacing w:before="1" w:line="276" w:lineRule="auto"/>
        <w:ind w:left="480" w:right="475" w:hanging="2"/>
        <w:jc w:val="both"/>
      </w:pPr>
      <w:r>
        <w:t>(e) develop sustainable partnerships for planning and resources</w:t>
      </w:r>
      <w:hyperlink w:anchor="_bookmark335" w:history="1">
        <w:r>
          <w:t>.</w:t>
        </w:r>
        <w:r>
          <w:rPr>
            <w:vertAlign w:val="superscript"/>
          </w:rPr>
          <w:t>173</w:t>
        </w:r>
        <w:r>
          <w:t xml:space="preserve"> </w:t>
        </w:r>
      </w:hyperlink>
      <w:r>
        <w:t>Of note, the executive plans clearly outline creating culturally competent services for LGBTQ and Black, Indigenous, and Latinx YYA seeking homelessness</w:t>
      </w:r>
      <w:r>
        <w:rPr>
          <w:spacing w:val="-13"/>
        </w:rPr>
        <w:t xml:space="preserve"> </w:t>
      </w:r>
      <w:r>
        <w:t>services</w:t>
      </w:r>
      <w:hyperlink w:anchor="_bookmark336" w:history="1">
        <w:r>
          <w:t>.</w:t>
        </w:r>
        <w:r>
          <w:rPr>
            <w:vertAlign w:val="superscript"/>
          </w:rPr>
          <w:t>174</w:t>
        </w:r>
        <w:r>
          <w:rPr>
            <w:spacing w:val="-12"/>
          </w:rPr>
          <w:t xml:space="preserve"> </w:t>
        </w:r>
      </w:hyperlink>
      <w:r>
        <w:t>Further,</w:t>
      </w:r>
      <w:r>
        <w:rPr>
          <w:spacing w:val="-13"/>
        </w:rPr>
        <w:t xml:space="preserve"> </w:t>
      </w:r>
      <w:r>
        <w:t>the</w:t>
      </w:r>
      <w:r>
        <w:rPr>
          <w:spacing w:val="-12"/>
        </w:rPr>
        <w:t xml:space="preserve"> </w:t>
      </w:r>
      <w:r>
        <w:t>executive</w:t>
      </w:r>
      <w:r>
        <w:rPr>
          <w:spacing w:val="-13"/>
        </w:rPr>
        <w:t xml:space="preserve"> </w:t>
      </w:r>
      <w:r>
        <w:t>plan</w:t>
      </w:r>
      <w:r>
        <w:rPr>
          <w:spacing w:val="-12"/>
        </w:rPr>
        <w:t xml:space="preserve"> </w:t>
      </w:r>
      <w:r>
        <w:t>outlines</w:t>
      </w:r>
      <w:r>
        <w:rPr>
          <w:spacing w:val="-13"/>
        </w:rPr>
        <w:t xml:space="preserve"> </w:t>
      </w:r>
      <w:r>
        <w:t>LGBTQ</w:t>
      </w:r>
      <w:r>
        <w:rPr>
          <w:spacing w:val="-12"/>
        </w:rPr>
        <w:t xml:space="preserve"> </w:t>
      </w:r>
      <w:r>
        <w:t>YYA</w:t>
      </w:r>
      <w:r>
        <w:rPr>
          <w:spacing w:val="-12"/>
        </w:rPr>
        <w:t xml:space="preserve"> </w:t>
      </w:r>
      <w:r>
        <w:t>as</w:t>
      </w:r>
      <w:r>
        <w:rPr>
          <w:spacing w:val="-13"/>
        </w:rPr>
        <w:t xml:space="preserve"> </w:t>
      </w:r>
      <w:r>
        <w:t>a</w:t>
      </w:r>
      <w:r>
        <w:rPr>
          <w:spacing w:val="-12"/>
        </w:rPr>
        <w:t xml:space="preserve"> </w:t>
      </w:r>
      <w:r>
        <w:t>specif</w:t>
      </w:r>
      <w:r>
        <w:t>ic</w:t>
      </w:r>
      <w:r>
        <w:rPr>
          <w:spacing w:val="-13"/>
        </w:rPr>
        <w:t xml:space="preserve"> </w:t>
      </w:r>
      <w:r>
        <w:t>population</w:t>
      </w:r>
      <w:r>
        <w:rPr>
          <w:spacing w:val="-12"/>
        </w:rPr>
        <w:t xml:space="preserve"> </w:t>
      </w:r>
      <w:r>
        <w:t>to</w:t>
      </w:r>
      <w:r>
        <w:rPr>
          <w:spacing w:val="-13"/>
        </w:rPr>
        <w:t xml:space="preserve"> </w:t>
      </w:r>
      <w:r>
        <w:t>target identification and expanded outreach services</w:t>
      </w:r>
      <w:hyperlink w:anchor="_bookmark337" w:history="1">
        <w:r>
          <w:t>.</w:t>
        </w:r>
        <w:r>
          <w:rPr>
            <w:vertAlign w:val="superscript"/>
          </w:rPr>
          <w:t>175</w:t>
        </w:r>
      </w:hyperlink>
    </w:p>
    <w:p w:rsidR="00C76E6D" w:rsidRDefault="00C76E6D">
      <w:pPr>
        <w:pStyle w:val="BodyText"/>
        <w:spacing w:before="4"/>
        <w:rPr>
          <w:sz w:val="25"/>
        </w:rPr>
      </w:pPr>
    </w:p>
    <w:p w:rsidR="00C76E6D" w:rsidRDefault="00913831">
      <w:pPr>
        <w:pStyle w:val="BodyText"/>
        <w:spacing w:line="276" w:lineRule="auto"/>
        <w:ind w:left="478" w:right="474"/>
        <w:jc w:val="both"/>
      </w:pPr>
      <w:r>
        <w:t>The Commission also supports the efforts to reduce poverty and specifically housing inequality for AIAN people. The COVID-19 pandemic has disproportionally affected Indigenous groups across the globe. Throughout managing inadequate resources and overwhelme</w:t>
      </w:r>
      <w:r>
        <w:t>d systems, AIAN and other Indigenous people have demonstrated</w:t>
      </w:r>
      <w:r>
        <w:rPr>
          <w:spacing w:val="-2"/>
        </w:rPr>
        <w:t xml:space="preserve"> </w:t>
      </w:r>
      <w:r>
        <w:t>resilience and</w:t>
      </w:r>
      <w:r>
        <w:rPr>
          <w:spacing w:val="-1"/>
        </w:rPr>
        <w:t xml:space="preserve"> </w:t>
      </w:r>
      <w:r>
        <w:t>tenacity. The Commission</w:t>
      </w:r>
      <w:r>
        <w:rPr>
          <w:spacing w:val="-2"/>
        </w:rPr>
        <w:t xml:space="preserve"> </w:t>
      </w:r>
      <w:r>
        <w:t>commends the allocation</w:t>
      </w:r>
      <w:r>
        <w:rPr>
          <w:spacing w:val="-2"/>
        </w:rPr>
        <w:t xml:space="preserve"> </w:t>
      </w:r>
      <w:r>
        <w:t>of over $9 billion to the Indian Health Service to combat the negative outcomes of the pandemic</w:t>
      </w:r>
      <w:hyperlink w:anchor="_bookmark338" w:history="1">
        <w:r>
          <w:t>.</w:t>
        </w:r>
        <w:r>
          <w:rPr>
            <w:vertAlign w:val="superscript"/>
          </w:rPr>
          <w:t>17</w:t>
        </w:r>
        <w:r>
          <w:rPr>
            <w:vertAlign w:val="superscript"/>
          </w:rPr>
          <w:t>6</w:t>
        </w:r>
        <w:r>
          <w:t xml:space="preserve"> </w:t>
        </w:r>
      </w:hyperlink>
      <w:r>
        <w:t>Of note, the Commission is interested in receiving updates regarding the national allocation of funds for AIAN people in</w:t>
      </w:r>
      <w:r>
        <w:rPr>
          <w:spacing w:val="-7"/>
        </w:rPr>
        <w:t xml:space="preserve"> </w:t>
      </w:r>
      <w:r>
        <w:t>Massachusetts.</w:t>
      </w:r>
      <w:r>
        <w:rPr>
          <w:spacing w:val="-7"/>
        </w:rPr>
        <w:t xml:space="preserve"> </w:t>
      </w:r>
      <w:r>
        <w:t>In</w:t>
      </w:r>
      <w:r>
        <w:rPr>
          <w:spacing w:val="-6"/>
        </w:rPr>
        <w:t xml:space="preserve"> </w:t>
      </w:r>
      <w:r>
        <w:t>April</w:t>
      </w:r>
      <w:r>
        <w:rPr>
          <w:spacing w:val="-4"/>
        </w:rPr>
        <w:t xml:space="preserve"> </w:t>
      </w:r>
      <w:r>
        <w:t>2020,</w:t>
      </w:r>
      <w:r>
        <w:rPr>
          <w:spacing w:val="-7"/>
        </w:rPr>
        <w:t xml:space="preserve"> </w:t>
      </w:r>
      <w:r>
        <w:t>the</w:t>
      </w:r>
      <w:r>
        <w:rPr>
          <w:spacing w:val="-7"/>
        </w:rPr>
        <w:t xml:space="preserve"> </w:t>
      </w:r>
      <w:r>
        <w:t>U.S.</w:t>
      </w:r>
      <w:r>
        <w:rPr>
          <w:spacing w:val="-9"/>
        </w:rPr>
        <w:t xml:space="preserve"> </w:t>
      </w:r>
      <w:r>
        <w:t>Department</w:t>
      </w:r>
      <w:r>
        <w:rPr>
          <w:spacing w:val="-7"/>
        </w:rPr>
        <w:t xml:space="preserve"> </w:t>
      </w:r>
      <w:r>
        <w:t>of</w:t>
      </w:r>
      <w:r>
        <w:rPr>
          <w:spacing w:val="-7"/>
        </w:rPr>
        <w:t xml:space="preserve"> </w:t>
      </w:r>
      <w:r>
        <w:t>Housing</w:t>
      </w:r>
      <w:r>
        <w:rPr>
          <w:spacing w:val="-7"/>
        </w:rPr>
        <w:t xml:space="preserve"> </w:t>
      </w:r>
      <w:r>
        <w:t>and</w:t>
      </w:r>
      <w:r>
        <w:rPr>
          <w:spacing w:val="-7"/>
        </w:rPr>
        <w:t xml:space="preserve"> </w:t>
      </w:r>
      <w:r>
        <w:t>Urban</w:t>
      </w:r>
      <w:r>
        <w:rPr>
          <w:spacing w:val="-7"/>
        </w:rPr>
        <w:t xml:space="preserve"> </w:t>
      </w:r>
      <w:r>
        <w:t>Development</w:t>
      </w:r>
      <w:r>
        <w:rPr>
          <w:spacing w:val="-8"/>
        </w:rPr>
        <w:t xml:space="preserve"> </w:t>
      </w:r>
      <w:r>
        <w:t>(HUD)</w:t>
      </w:r>
      <w:r>
        <w:rPr>
          <w:spacing w:val="-8"/>
        </w:rPr>
        <w:t xml:space="preserve"> </w:t>
      </w:r>
      <w:r>
        <w:t>awarded</w:t>
      </w:r>
    </w:p>
    <w:p w:rsidR="00C76E6D" w:rsidRDefault="00913831">
      <w:pPr>
        <w:pStyle w:val="BodyText"/>
        <w:spacing w:line="276" w:lineRule="auto"/>
        <w:ind w:left="480" w:right="480"/>
        <w:jc w:val="both"/>
      </w:pPr>
      <w:r>
        <w:t>$200 million to Tribes and Tribally Designated Housing Entities (TDHES) in support of affordable housing efforts in their communities in light of the COVID-19 pandemic</w:t>
      </w:r>
      <w:hyperlink w:anchor="_bookmark339" w:history="1">
        <w:r>
          <w:t>.</w:t>
        </w:r>
        <w:r>
          <w:rPr>
            <w:vertAlign w:val="superscript"/>
          </w:rPr>
          <w:t>177</w:t>
        </w:r>
      </w:hyperlink>
    </w:p>
    <w:p w:rsidR="00C76E6D" w:rsidRDefault="00C76E6D">
      <w:pPr>
        <w:pStyle w:val="BodyText"/>
        <w:spacing w:before="4"/>
        <w:rPr>
          <w:sz w:val="25"/>
        </w:rPr>
      </w:pPr>
    </w:p>
    <w:p w:rsidR="00C76E6D" w:rsidRDefault="00913831">
      <w:pPr>
        <w:pStyle w:val="Heading6"/>
        <w:numPr>
          <w:ilvl w:val="1"/>
          <w:numId w:val="42"/>
        </w:numPr>
        <w:tabs>
          <w:tab w:val="left" w:pos="699"/>
        </w:tabs>
        <w:ind w:left="698" w:hanging="222"/>
        <w:jc w:val="both"/>
      </w:pPr>
      <w:bookmarkStart w:id="276" w:name="4._Expanding_Adoption_Options"/>
      <w:bookmarkEnd w:id="276"/>
      <w:r>
        <w:rPr>
          <w:spacing w:val="-2"/>
        </w:rPr>
        <w:t>Expanding</w:t>
      </w:r>
      <w:r>
        <w:rPr>
          <w:spacing w:val="-7"/>
        </w:rPr>
        <w:t xml:space="preserve"> </w:t>
      </w:r>
      <w:r>
        <w:rPr>
          <w:spacing w:val="-2"/>
        </w:rPr>
        <w:t>Adoption</w:t>
      </w:r>
      <w:r>
        <w:rPr>
          <w:spacing w:val="-10"/>
        </w:rPr>
        <w:t xml:space="preserve"> </w:t>
      </w:r>
      <w:r>
        <w:rPr>
          <w:spacing w:val="-2"/>
        </w:rPr>
        <w:t>Options</w:t>
      </w:r>
    </w:p>
    <w:p w:rsidR="00C76E6D" w:rsidRDefault="00C76E6D">
      <w:pPr>
        <w:pStyle w:val="BodyText"/>
        <w:spacing w:before="5"/>
        <w:rPr>
          <w:b/>
          <w:sz w:val="28"/>
        </w:rPr>
      </w:pPr>
    </w:p>
    <w:p w:rsidR="00C76E6D" w:rsidRDefault="00913831">
      <w:pPr>
        <w:pStyle w:val="BodyText"/>
        <w:spacing w:before="1" w:line="276" w:lineRule="auto"/>
        <w:ind w:left="478" w:right="473"/>
        <w:jc w:val="both"/>
      </w:pPr>
      <w:r>
        <w:t>The</w:t>
      </w:r>
      <w:r>
        <w:rPr>
          <w:spacing w:val="-9"/>
        </w:rPr>
        <w:t xml:space="preserve"> </w:t>
      </w:r>
      <w:r>
        <w:t>Commission</w:t>
      </w:r>
      <w:r>
        <w:rPr>
          <w:spacing w:val="-11"/>
        </w:rPr>
        <w:t xml:space="preserve"> </w:t>
      </w:r>
      <w:r>
        <w:t>celebrat</w:t>
      </w:r>
      <w:r>
        <w:t>es</w:t>
      </w:r>
      <w:r>
        <w:rPr>
          <w:spacing w:val="-10"/>
        </w:rPr>
        <w:t xml:space="preserve"> </w:t>
      </w:r>
      <w:r>
        <w:t>the</w:t>
      </w:r>
      <w:r>
        <w:rPr>
          <w:spacing w:val="-8"/>
        </w:rPr>
        <w:t xml:space="preserve"> </w:t>
      </w:r>
      <w:r>
        <w:t>expansion</w:t>
      </w:r>
      <w:r>
        <w:rPr>
          <w:spacing w:val="-11"/>
        </w:rPr>
        <w:t xml:space="preserve"> </w:t>
      </w:r>
      <w:r>
        <w:t>of</w:t>
      </w:r>
      <w:r>
        <w:rPr>
          <w:spacing w:val="-10"/>
        </w:rPr>
        <w:t xml:space="preserve"> </w:t>
      </w:r>
      <w:r>
        <w:t>adoption</w:t>
      </w:r>
      <w:r>
        <w:rPr>
          <w:spacing w:val="-10"/>
        </w:rPr>
        <w:t xml:space="preserve"> </w:t>
      </w:r>
      <w:r>
        <w:t>practices</w:t>
      </w:r>
      <w:r>
        <w:rPr>
          <w:spacing w:val="-10"/>
        </w:rPr>
        <w:t xml:space="preserve"> </w:t>
      </w:r>
      <w:r>
        <w:t>in</w:t>
      </w:r>
      <w:r>
        <w:rPr>
          <w:spacing w:val="-8"/>
        </w:rPr>
        <w:t xml:space="preserve"> </w:t>
      </w:r>
      <w:r>
        <w:t>the</w:t>
      </w:r>
      <w:r>
        <w:rPr>
          <w:spacing w:val="-9"/>
        </w:rPr>
        <w:t xml:space="preserve"> </w:t>
      </w:r>
      <w:r>
        <w:t>Commonwealth</w:t>
      </w:r>
      <w:r>
        <w:rPr>
          <w:spacing w:val="-9"/>
        </w:rPr>
        <w:t xml:space="preserve"> </w:t>
      </w:r>
      <w:r>
        <w:t>which</w:t>
      </w:r>
      <w:r>
        <w:rPr>
          <w:spacing w:val="-8"/>
        </w:rPr>
        <w:t xml:space="preserve"> </w:t>
      </w:r>
      <w:r>
        <w:t>is</w:t>
      </w:r>
      <w:r>
        <w:rPr>
          <w:spacing w:val="-10"/>
        </w:rPr>
        <w:t xml:space="preserve"> </w:t>
      </w:r>
      <w:r>
        <w:t>very</w:t>
      </w:r>
      <w:r>
        <w:rPr>
          <w:spacing w:val="-9"/>
        </w:rPr>
        <w:t xml:space="preserve"> </w:t>
      </w:r>
      <w:r>
        <w:t>likely to have an impact on the YYA homeless population. In April 2022, Governor Baker signed into Massachusetts law the S. 2616 bill, An Act Expanding Access to Adoption, which expan</w:t>
      </w:r>
      <w:r>
        <w:t>ds access to adoption by allowing people to adopt younger siblings, nieces, and nephews</w:t>
      </w:r>
      <w:hyperlink w:anchor="_bookmark340" w:history="1">
        <w:r>
          <w:t>.</w:t>
        </w:r>
        <w:r>
          <w:rPr>
            <w:vertAlign w:val="superscript"/>
          </w:rPr>
          <w:t>178</w:t>
        </w:r>
      </w:hyperlink>
      <w:r>
        <w:t xml:space="preserve"> The Commission recognizes that</w:t>
      </w:r>
      <w:r>
        <w:rPr>
          <w:spacing w:val="-1"/>
        </w:rPr>
        <w:t xml:space="preserve"> </w:t>
      </w:r>
      <w:r>
        <w:t>this is a positive</w:t>
      </w:r>
      <w:r>
        <w:rPr>
          <w:spacing w:val="-2"/>
        </w:rPr>
        <w:t xml:space="preserve"> </w:t>
      </w:r>
      <w:r>
        <w:t>step</w:t>
      </w:r>
      <w:r>
        <w:rPr>
          <w:spacing w:val="-1"/>
        </w:rPr>
        <w:t xml:space="preserve"> </w:t>
      </w:r>
      <w:r>
        <w:t>forward</w:t>
      </w:r>
      <w:r>
        <w:rPr>
          <w:spacing w:val="-2"/>
        </w:rPr>
        <w:t xml:space="preserve"> </w:t>
      </w:r>
      <w:r>
        <w:t>which will hopefully also have</w:t>
      </w:r>
      <w:r>
        <w:rPr>
          <w:spacing w:val="-2"/>
        </w:rPr>
        <w:t xml:space="preserve"> </w:t>
      </w:r>
      <w:r>
        <w:t>a significant</w:t>
      </w:r>
      <w:r>
        <w:rPr>
          <w:spacing w:val="-1"/>
        </w:rPr>
        <w:t xml:space="preserve"> </w:t>
      </w:r>
      <w:r>
        <w:t>impact</w:t>
      </w:r>
      <w:r>
        <w:rPr>
          <w:spacing w:val="-1"/>
        </w:rPr>
        <w:t xml:space="preserve"> </w:t>
      </w:r>
      <w:r>
        <w:t>on</w:t>
      </w:r>
      <w:r>
        <w:rPr>
          <w:spacing w:val="-1"/>
        </w:rPr>
        <w:t xml:space="preserve"> </w:t>
      </w:r>
      <w:r>
        <w:t>Black and Lati</w:t>
      </w:r>
      <w:r>
        <w:t>nx youth who are disproportionately represented in the foster care system and under the guardianship</w:t>
      </w:r>
      <w:r>
        <w:rPr>
          <w:spacing w:val="-3"/>
        </w:rPr>
        <w:t xml:space="preserve"> </w:t>
      </w:r>
      <w:r>
        <w:t>of</w:t>
      </w:r>
      <w:r>
        <w:rPr>
          <w:spacing w:val="-4"/>
        </w:rPr>
        <w:t xml:space="preserve"> </w:t>
      </w:r>
      <w:r>
        <w:t>DCF</w:t>
      </w:r>
      <w:hyperlink w:anchor="_bookmark341" w:history="1">
        <w:r>
          <w:t>.</w:t>
        </w:r>
        <w:r>
          <w:rPr>
            <w:vertAlign w:val="superscript"/>
          </w:rPr>
          <w:t>179</w:t>
        </w:r>
        <w:r>
          <w:rPr>
            <w:spacing w:val="-5"/>
          </w:rPr>
          <w:t xml:space="preserve"> </w:t>
        </w:r>
      </w:hyperlink>
      <w:r>
        <w:t>Appropriate</w:t>
      </w:r>
      <w:r>
        <w:rPr>
          <w:spacing w:val="-5"/>
        </w:rPr>
        <w:t xml:space="preserve"> </w:t>
      </w:r>
      <w:r>
        <w:t>and</w:t>
      </w:r>
      <w:r>
        <w:rPr>
          <w:spacing w:val="-3"/>
        </w:rPr>
        <w:t xml:space="preserve"> </w:t>
      </w:r>
      <w:r>
        <w:t>safe</w:t>
      </w:r>
      <w:r>
        <w:rPr>
          <w:spacing w:val="-4"/>
        </w:rPr>
        <w:t xml:space="preserve"> </w:t>
      </w:r>
      <w:r>
        <w:t>kinship</w:t>
      </w:r>
      <w:r>
        <w:rPr>
          <w:spacing w:val="-4"/>
        </w:rPr>
        <w:t xml:space="preserve"> </w:t>
      </w:r>
      <w:r>
        <w:t>placements</w:t>
      </w:r>
      <w:r>
        <w:rPr>
          <w:spacing w:val="-3"/>
        </w:rPr>
        <w:t xml:space="preserve"> </w:t>
      </w:r>
      <w:r>
        <w:t>may</w:t>
      </w:r>
      <w:r>
        <w:rPr>
          <w:spacing w:val="-4"/>
        </w:rPr>
        <w:t xml:space="preserve"> </w:t>
      </w:r>
      <w:r>
        <w:t>also</w:t>
      </w:r>
      <w:r>
        <w:rPr>
          <w:spacing w:val="-4"/>
        </w:rPr>
        <w:t xml:space="preserve"> </w:t>
      </w:r>
      <w:r>
        <w:t>mitigate</w:t>
      </w:r>
      <w:r>
        <w:rPr>
          <w:spacing w:val="-5"/>
        </w:rPr>
        <w:t xml:space="preserve"> </w:t>
      </w:r>
      <w:r>
        <w:t>risks</w:t>
      </w:r>
      <w:r>
        <w:rPr>
          <w:spacing w:val="-4"/>
        </w:rPr>
        <w:t xml:space="preserve"> </w:t>
      </w:r>
      <w:r>
        <w:t>of</w:t>
      </w:r>
      <w:r>
        <w:rPr>
          <w:spacing w:val="-4"/>
        </w:rPr>
        <w:t xml:space="preserve"> </w:t>
      </w:r>
      <w:r>
        <w:t>homelessness</w:t>
      </w:r>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spacing w:before="5"/>
        <w:rPr>
          <w:sz w:val="16"/>
        </w:rPr>
      </w:pPr>
    </w:p>
    <w:p w:rsidR="00C76E6D" w:rsidRDefault="00913831">
      <w:pPr>
        <w:pStyle w:val="BodyText"/>
        <w:ind w:left="480"/>
        <w:jc w:val="both"/>
      </w:pPr>
      <w:r>
        <w:rPr>
          <w:w w:val="95"/>
        </w:rPr>
        <w:t>for</w:t>
      </w:r>
      <w:r>
        <w:rPr>
          <w:spacing w:val="9"/>
        </w:rPr>
        <w:t xml:space="preserve"> </w:t>
      </w:r>
      <w:r>
        <w:rPr>
          <w:w w:val="95"/>
        </w:rPr>
        <w:t>youth,</w:t>
      </w:r>
      <w:r>
        <w:rPr>
          <w:spacing w:val="13"/>
        </w:rPr>
        <w:t xml:space="preserve"> </w:t>
      </w:r>
      <w:r>
        <w:rPr>
          <w:w w:val="95"/>
        </w:rPr>
        <w:t>notably</w:t>
      </w:r>
      <w:r>
        <w:rPr>
          <w:spacing w:val="11"/>
        </w:rPr>
        <w:t xml:space="preserve"> </w:t>
      </w:r>
      <w:r>
        <w:rPr>
          <w:w w:val="95"/>
        </w:rPr>
        <w:t>LGBTQ</w:t>
      </w:r>
      <w:r>
        <w:rPr>
          <w:spacing w:val="14"/>
        </w:rPr>
        <w:t xml:space="preserve"> </w:t>
      </w:r>
      <w:r>
        <w:rPr>
          <w:w w:val="95"/>
        </w:rPr>
        <w:t>youth</w:t>
      </w:r>
      <w:r>
        <w:rPr>
          <w:spacing w:val="12"/>
        </w:rPr>
        <w:t xml:space="preserve"> </w:t>
      </w:r>
      <w:r>
        <w:rPr>
          <w:w w:val="95"/>
        </w:rPr>
        <w:t>and</w:t>
      </w:r>
      <w:r>
        <w:rPr>
          <w:spacing w:val="11"/>
        </w:rPr>
        <w:t xml:space="preserve"> </w:t>
      </w:r>
      <w:r>
        <w:rPr>
          <w:w w:val="95"/>
        </w:rPr>
        <w:t>young</w:t>
      </w:r>
      <w:r>
        <w:rPr>
          <w:spacing w:val="10"/>
        </w:rPr>
        <w:t xml:space="preserve"> </w:t>
      </w:r>
      <w:r>
        <w:rPr>
          <w:spacing w:val="-2"/>
          <w:w w:val="95"/>
        </w:rPr>
        <w:t>adults.</w:t>
      </w:r>
    </w:p>
    <w:p w:rsidR="00C76E6D" w:rsidRDefault="00C76E6D">
      <w:pPr>
        <w:pStyle w:val="BodyText"/>
        <w:spacing w:before="10"/>
        <w:rPr>
          <w:sz w:val="29"/>
        </w:rPr>
      </w:pPr>
    </w:p>
    <w:p w:rsidR="00C76E6D" w:rsidRDefault="00913831">
      <w:pPr>
        <w:pStyle w:val="Heading6"/>
        <w:numPr>
          <w:ilvl w:val="1"/>
          <w:numId w:val="42"/>
        </w:numPr>
        <w:tabs>
          <w:tab w:val="left" w:pos="699"/>
        </w:tabs>
        <w:ind w:left="698" w:hanging="222"/>
      </w:pPr>
      <w:bookmarkStart w:id="277" w:name="5._Path_Towards_Accessing_Proper_Identif"/>
      <w:bookmarkEnd w:id="277"/>
      <w:r>
        <w:rPr>
          <w:w w:val="95"/>
        </w:rPr>
        <w:t>Path</w:t>
      </w:r>
      <w:r>
        <w:rPr>
          <w:spacing w:val="12"/>
        </w:rPr>
        <w:t xml:space="preserve"> </w:t>
      </w:r>
      <w:r>
        <w:rPr>
          <w:w w:val="95"/>
        </w:rPr>
        <w:t>Towards</w:t>
      </w:r>
      <w:r>
        <w:rPr>
          <w:spacing w:val="13"/>
        </w:rPr>
        <w:t xml:space="preserve"> </w:t>
      </w:r>
      <w:r>
        <w:rPr>
          <w:w w:val="95"/>
        </w:rPr>
        <w:t>Accessing</w:t>
      </w:r>
      <w:r>
        <w:rPr>
          <w:spacing w:val="17"/>
        </w:rPr>
        <w:t xml:space="preserve"> </w:t>
      </w:r>
      <w:r>
        <w:rPr>
          <w:w w:val="95"/>
        </w:rPr>
        <w:t>Proper</w:t>
      </w:r>
      <w:r>
        <w:rPr>
          <w:spacing w:val="13"/>
        </w:rPr>
        <w:t xml:space="preserve"> </w:t>
      </w:r>
      <w:r>
        <w:rPr>
          <w:spacing w:val="-2"/>
          <w:w w:val="95"/>
        </w:rPr>
        <w:t>Identification</w:t>
      </w:r>
    </w:p>
    <w:p w:rsidR="00C76E6D" w:rsidRDefault="00C76E6D">
      <w:pPr>
        <w:pStyle w:val="BodyText"/>
        <w:spacing w:before="6"/>
        <w:rPr>
          <w:b/>
          <w:sz w:val="28"/>
        </w:rPr>
      </w:pPr>
    </w:p>
    <w:p w:rsidR="00C76E6D" w:rsidRDefault="00913831">
      <w:pPr>
        <w:pStyle w:val="BodyText"/>
        <w:spacing w:line="276" w:lineRule="auto"/>
        <w:ind w:left="478" w:right="477" w:hanging="1"/>
        <w:jc w:val="both"/>
      </w:pPr>
      <w:r>
        <w:t>The</w:t>
      </w:r>
      <w:r>
        <w:rPr>
          <w:spacing w:val="-5"/>
        </w:rPr>
        <w:t xml:space="preserve"> </w:t>
      </w:r>
      <w:r>
        <w:t>Commission</w:t>
      </w:r>
      <w:r>
        <w:rPr>
          <w:spacing w:val="-5"/>
        </w:rPr>
        <w:t xml:space="preserve"> </w:t>
      </w:r>
      <w:r>
        <w:t>applauds</w:t>
      </w:r>
      <w:r>
        <w:rPr>
          <w:spacing w:val="-2"/>
        </w:rPr>
        <w:t xml:space="preserve"> </w:t>
      </w:r>
      <w:r>
        <w:t>the</w:t>
      </w:r>
      <w:r>
        <w:rPr>
          <w:spacing w:val="-4"/>
        </w:rPr>
        <w:t xml:space="preserve"> </w:t>
      </w:r>
      <w:r>
        <w:t>landmark</w:t>
      </w:r>
      <w:r>
        <w:rPr>
          <w:spacing w:val="-3"/>
        </w:rPr>
        <w:t xml:space="preserve"> </w:t>
      </w:r>
      <w:r>
        <w:t>June</w:t>
      </w:r>
      <w:r>
        <w:rPr>
          <w:spacing w:val="-4"/>
        </w:rPr>
        <w:t xml:space="preserve"> </w:t>
      </w:r>
      <w:r>
        <w:t>2021</w:t>
      </w:r>
      <w:r>
        <w:rPr>
          <w:spacing w:val="-4"/>
        </w:rPr>
        <w:t xml:space="preserve"> </w:t>
      </w:r>
      <w:r>
        <w:t>decision</w:t>
      </w:r>
      <w:r>
        <w:rPr>
          <w:spacing w:val="-5"/>
        </w:rPr>
        <w:t xml:space="preserve"> </w:t>
      </w:r>
      <w:r>
        <w:t>by</w:t>
      </w:r>
      <w:r>
        <w:rPr>
          <w:spacing w:val="-3"/>
        </w:rPr>
        <w:t xml:space="preserve"> </w:t>
      </w:r>
      <w:r>
        <w:t>the</w:t>
      </w:r>
      <w:r>
        <w:rPr>
          <w:spacing w:val="-4"/>
        </w:rPr>
        <w:t xml:space="preserve"> </w:t>
      </w:r>
      <w:r>
        <w:t>Department</w:t>
      </w:r>
      <w:r>
        <w:rPr>
          <w:spacing w:val="-5"/>
        </w:rPr>
        <w:t xml:space="preserve"> </w:t>
      </w:r>
      <w:r>
        <w:t>of</w:t>
      </w:r>
      <w:r>
        <w:rPr>
          <w:spacing w:val="-5"/>
        </w:rPr>
        <w:t xml:space="preserve"> </w:t>
      </w:r>
      <w:r>
        <w:t>State</w:t>
      </w:r>
      <w:r>
        <w:rPr>
          <w:spacing w:val="-3"/>
        </w:rPr>
        <w:t xml:space="preserve"> </w:t>
      </w:r>
      <w:r>
        <w:t>under</w:t>
      </w:r>
      <w:r>
        <w:rPr>
          <w:spacing w:val="-5"/>
        </w:rPr>
        <w:t xml:space="preserve"> </w:t>
      </w:r>
      <w:r>
        <w:t>the</w:t>
      </w:r>
      <w:r>
        <w:rPr>
          <w:spacing w:val="-4"/>
        </w:rPr>
        <w:t xml:space="preserve"> </w:t>
      </w:r>
      <w:r>
        <w:t>Biden- Harris</w:t>
      </w:r>
      <w:r>
        <w:rPr>
          <w:spacing w:val="-5"/>
        </w:rPr>
        <w:t xml:space="preserve"> </w:t>
      </w:r>
      <w:r>
        <w:t>administration</w:t>
      </w:r>
      <w:r>
        <w:rPr>
          <w:spacing w:val="-6"/>
        </w:rPr>
        <w:t xml:space="preserve"> </w:t>
      </w:r>
      <w:r>
        <w:t>that</w:t>
      </w:r>
      <w:r>
        <w:rPr>
          <w:spacing w:val="-4"/>
        </w:rPr>
        <w:t xml:space="preserve"> </w:t>
      </w:r>
      <w:r>
        <w:t>allows</w:t>
      </w:r>
      <w:r>
        <w:rPr>
          <w:spacing w:val="-4"/>
        </w:rPr>
        <w:t xml:space="preserve"> </w:t>
      </w:r>
      <w:r>
        <w:t>for</w:t>
      </w:r>
      <w:r>
        <w:rPr>
          <w:spacing w:val="-5"/>
        </w:rPr>
        <w:t xml:space="preserve"> </w:t>
      </w:r>
      <w:r>
        <w:t>United</w:t>
      </w:r>
      <w:r>
        <w:rPr>
          <w:spacing w:val="-4"/>
        </w:rPr>
        <w:t xml:space="preserve"> </w:t>
      </w:r>
      <w:r>
        <w:t>States</w:t>
      </w:r>
      <w:r>
        <w:rPr>
          <w:spacing w:val="-3"/>
        </w:rPr>
        <w:t xml:space="preserve"> </w:t>
      </w:r>
      <w:r>
        <w:t>passport</w:t>
      </w:r>
      <w:r>
        <w:rPr>
          <w:spacing w:val="-5"/>
        </w:rPr>
        <w:t xml:space="preserve"> </w:t>
      </w:r>
      <w:r>
        <w:t>applicants</w:t>
      </w:r>
      <w:r>
        <w:rPr>
          <w:spacing w:val="-5"/>
        </w:rPr>
        <w:t xml:space="preserve"> </w:t>
      </w:r>
      <w:r>
        <w:t>to</w:t>
      </w:r>
      <w:r>
        <w:rPr>
          <w:spacing w:val="-5"/>
        </w:rPr>
        <w:t xml:space="preserve"> </w:t>
      </w:r>
      <w:r>
        <w:t>self-select</w:t>
      </w:r>
      <w:r>
        <w:rPr>
          <w:spacing w:val="-3"/>
        </w:rPr>
        <w:t xml:space="preserve"> </w:t>
      </w:r>
      <w:r>
        <w:t>their</w:t>
      </w:r>
      <w:r>
        <w:rPr>
          <w:spacing w:val="-3"/>
        </w:rPr>
        <w:t xml:space="preserve"> </w:t>
      </w:r>
      <w:r>
        <w:t>gender</w:t>
      </w:r>
      <w:r>
        <w:rPr>
          <w:spacing w:val="-5"/>
        </w:rPr>
        <w:t xml:space="preserve"> </w:t>
      </w:r>
      <w:r>
        <w:t>without the need for medical documentation</w:t>
      </w:r>
      <w:hyperlink w:anchor="_bookmark342" w:history="1">
        <w:r>
          <w:t>.</w:t>
        </w:r>
        <w:r>
          <w:rPr>
            <w:vertAlign w:val="superscript"/>
          </w:rPr>
          <w:t>180</w:t>
        </w:r>
      </w:hyperlink>
      <w:r>
        <w:t xml:space="preserve"> Applicants can self-select their gender even if they have a different gender marker that is inconsistent to their gender identity on other citizensh</w:t>
      </w:r>
      <w:r>
        <w:t>ip or identity documents. The Commission also celebrates the recent federal decision that became effective in April 2022 that offers the selection of the “X” gender marker for a United States passport.</w:t>
      </w:r>
      <w:hyperlink w:anchor="_bookmark343" w:history="1">
        <w:r>
          <w:rPr>
            <w:vertAlign w:val="superscript"/>
          </w:rPr>
          <w:t>181</w:t>
        </w:r>
      </w:hyperlink>
    </w:p>
    <w:p w:rsidR="00C76E6D" w:rsidRDefault="00C76E6D">
      <w:pPr>
        <w:pStyle w:val="BodyText"/>
        <w:spacing w:before="6"/>
        <w:rPr>
          <w:sz w:val="25"/>
        </w:rPr>
      </w:pPr>
    </w:p>
    <w:p w:rsidR="00C76E6D" w:rsidRDefault="00913831">
      <w:pPr>
        <w:pStyle w:val="BodyText"/>
        <w:spacing w:line="276" w:lineRule="auto"/>
        <w:ind w:left="478" w:right="474"/>
        <w:jc w:val="both"/>
      </w:pPr>
      <w:r>
        <w:t>The Commission com</w:t>
      </w:r>
      <w:r>
        <w:t>mends the Commonwealth’s support of the rights of transgender and gender expansive residents in allowing amendments for gender-affirming birth certificates</w:t>
      </w:r>
      <w:hyperlink w:anchor="_bookmark344" w:history="1">
        <w:r>
          <w:t>.</w:t>
        </w:r>
        <w:r>
          <w:rPr>
            <w:vertAlign w:val="superscript"/>
          </w:rPr>
          <w:t>182</w:t>
        </w:r>
        <w:r>
          <w:t xml:space="preserve"> </w:t>
        </w:r>
      </w:hyperlink>
      <w:r>
        <w:t>The Commission has</w:t>
      </w:r>
      <w:r>
        <w:rPr>
          <w:spacing w:val="-7"/>
        </w:rPr>
        <w:t xml:space="preserve"> </w:t>
      </w:r>
      <w:r>
        <w:t>celebrated</w:t>
      </w:r>
      <w:r>
        <w:rPr>
          <w:spacing w:val="-8"/>
        </w:rPr>
        <w:t xml:space="preserve"> </w:t>
      </w:r>
      <w:r>
        <w:t>the</w:t>
      </w:r>
      <w:r>
        <w:rPr>
          <w:spacing w:val="-7"/>
        </w:rPr>
        <w:t xml:space="preserve"> </w:t>
      </w:r>
      <w:r>
        <w:t>launch</w:t>
      </w:r>
      <w:r>
        <w:rPr>
          <w:spacing w:val="-6"/>
        </w:rPr>
        <w:t xml:space="preserve"> </w:t>
      </w:r>
      <w:r>
        <w:t>of</w:t>
      </w:r>
      <w:r>
        <w:rPr>
          <w:spacing w:val="-8"/>
        </w:rPr>
        <w:t xml:space="preserve"> </w:t>
      </w:r>
      <w:r>
        <w:t>a</w:t>
      </w:r>
      <w:r>
        <w:rPr>
          <w:spacing w:val="-7"/>
        </w:rPr>
        <w:t xml:space="preserve"> </w:t>
      </w:r>
      <w:r>
        <w:t>non-binary</w:t>
      </w:r>
      <w:r>
        <w:rPr>
          <w:spacing w:val="-8"/>
        </w:rPr>
        <w:t xml:space="preserve"> </w:t>
      </w:r>
      <w:r>
        <w:t>“X”</w:t>
      </w:r>
      <w:r>
        <w:rPr>
          <w:spacing w:val="-7"/>
        </w:rPr>
        <w:t xml:space="preserve"> </w:t>
      </w:r>
      <w:r>
        <w:t>gender</w:t>
      </w:r>
      <w:r>
        <w:rPr>
          <w:spacing w:val="-5"/>
        </w:rPr>
        <w:t xml:space="preserve"> </w:t>
      </w:r>
      <w:r>
        <w:t>marker</w:t>
      </w:r>
      <w:r>
        <w:rPr>
          <w:spacing w:val="-6"/>
        </w:rPr>
        <w:t xml:space="preserve"> </w:t>
      </w:r>
      <w:r>
        <w:t>option</w:t>
      </w:r>
      <w:r>
        <w:rPr>
          <w:spacing w:val="-8"/>
        </w:rPr>
        <w:t xml:space="preserve"> </w:t>
      </w:r>
      <w:r>
        <w:t>on</w:t>
      </w:r>
      <w:r>
        <w:rPr>
          <w:spacing w:val="-7"/>
        </w:rPr>
        <w:t xml:space="preserve"> </w:t>
      </w:r>
      <w:r>
        <w:t>all</w:t>
      </w:r>
      <w:r>
        <w:rPr>
          <w:spacing w:val="-8"/>
        </w:rPr>
        <w:t xml:space="preserve"> </w:t>
      </w:r>
      <w:r>
        <w:t>state</w:t>
      </w:r>
      <w:r>
        <w:rPr>
          <w:spacing w:val="-5"/>
        </w:rPr>
        <w:t xml:space="preserve"> </w:t>
      </w:r>
      <w:r>
        <w:t>license</w:t>
      </w:r>
      <w:r>
        <w:rPr>
          <w:spacing w:val="-6"/>
        </w:rPr>
        <w:t xml:space="preserve"> </w:t>
      </w:r>
      <w:r>
        <w:t>and</w:t>
      </w:r>
      <w:r>
        <w:rPr>
          <w:spacing w:val="-7"/>
        </w:rPr>
        <w:t xml:space="preserve"> </w:t>
      </w:r>
      <w:r>
        <w:t>ID</w:t>
      </w:r>
      <w:r>
        <w:rPr>
          <w:spacing w:val="-7"/>
        </w:rPr>
        <w:t xml:space="preserve"> </w:t>
      </w:r>
      <w:r>
        <w:t>cards</w:t>
      </w:r>
      <w:r>
        <w:rPr>
          <w:spacing w:val="-6"/>
        </w:rPr>
        <w:t xml:space="preserve"> </w:t>
      </w:r>
      <w:r>
        <w:t>since 2018</w:t>
      </w:r>
      <w:r>
        <w:rPr>
          <w:spacing w:val="-4"/>
        </w:rPr>
        <w:t xml:space="preserve"> </w:t>
      </w:r>
      <w:r>
        <w:t>and</w:t>
      </w:r>
      <w:r>
        <w:rPr>
          <w:spacing w:val="-4"/>
        </w:rPr>
        <w:t xml:space="preserve"> </w:t>
      </w:r>
      <w:r>
        <w:t>highlights</w:t>
      </w:r>
      <w:r>
        <w:rPr>
          <w:spacing w:val="-2"/>
        </w:rPr>
        <w:t xml:space="preserve"> </w:t>
      </w:r>
      <w:r>
        <w:t>the</w:t>
      </w:r>
      <w:r>
        <w:rPr>
          <w:spacing w:val="-4"/>
        </w:rPr>
        <w:t xml:space="preserve"> </w:t>
      </w:r>
      <w:r>
        <w:t>efforts</w:t>
      </w:r>
      <w:r>
        <w:rPr>
          <w:spacing w:val="-4"/>
        </w:rPr>
        <w:t xml:space="preserve"> </w:t>
      </w:r>
      <w:r>
        <w:t>of</w:t>
      </w:r>
      <w:r>
        <w:rPr>
          <w:spacing w:val="-4"/>
        </w:rPr>
        <w:t xml:space="preserve"> </w:t>
      </w:r>
      <w:r>
        <w:t>the</w:t>
      </w:r>
      <w:r>
        <w:rPr>
          <w:spacing w:val="-4"/>
        </w:rPr>
        <w:t xml:space="preserve"> </w:t>
      </w:r>
      <w:r>
        <w:t>Registry</w:t>
      </w:r>
      <w:r>
        <w:rPr>
          <w:spacing w:val="-4"/>
        </w:rPr>
        <w:t xml:space="preserve"> </w:t>
      </w:r>
      <w:r>
        <w:t>of</w:t>
      </w:r>
      <w:r>
        <w:rPr>
          <w:spacing w:val="-4"/>
        </w:rPr>
        <w:t xml:space="preserve"> </w:t>
      </w:r>
      <w:r>
        <w:t>Motor</w:t>
      </w:r>
      <w:r>
        <w:rPr>
          <w:spacing w:val="-4"/>
        </w:rPr>
        <w:t xml:space="preserve"> </w:t>
      </w:r>
      <w:r>
        <w:t>Vehicles</w:t>
      </w:r>
      <w:r>
        <w:rPr>
          <w:spacing w:val="-2"/>
        </w:rPr>
        <w:t xml:space="preserve"> </w:t>
      </w:r>
      <w:r>
        <w:t>to</w:t>
      </w:r>
      <w:r>
        <w:rPr>
          <w:spacing w:val="-3"/>
        </w:rPr>
        <w:t xml:space="preserve"> </w:t>
      </w:r>
      <w:r>
        <w:t>develop</w:t>
      </w:r>
      <w:r>
        <w:rPr>
          <w:spacing w:val="-4"/>
        </w:rPr>
        <w:t xml:space="preserve"> </w:t>
      </w:r>
      <w:r>
        <w:t>a</w:t>
      </w:r>
      <w:r>
        <w:rPr>
          <w:spacing w:val="-4"/>
        </w:rPr>
        <w:t xml:space="preserve"> </w:t>
      </w:r>
      <w:r>
        <w:t>process</w:t>
      </w:r>
      <w:r>
        <w:rPr>
          <w:spacing w:val="-3"/>
        </w:rPr>
        <w:t xml:space="preserve"> </w:t>
      </w:r>
      <w:r>
        <w:t>to</w:t>
      </w:r>
      <w:r>
        <w:rPr>
          <w:spacing w:val="-3"/>
        </w:rPr>
        <w:t xml:space="preserve"> </w:t>
      </w:r>
      <w:r>
        <w:t>facilitate</w:t>
      </w:r>
      <w:r>
        <w:rPr>
          <w:spacing w:val="-4"/>
        </w:rPr>
        <w:t xml:space="preserve"> </w:t>
      </w:r>
      <w:r>
        <w:t>gender marker changes on Massachusetts’ Driver’s License and State Identification Cards</w:t>
      </w:r>
      <w:r>
        <w:rPr>
          <w:spacing w:val="40"/>
        </w:rPr>
        <w:t xml:space="preserve"> </w:t>
      </w:r>
      <w:r>
        <w:t>the ne</w:t>
      </w:r>
      <w:r>
        <w:t>ed of medical documentation</w:t>
      </w:r>
      <w:r>
        <w:rPr>
          <w:spacing w:val="-8"/>
        </w:rPr>
        <w:t xml:space="preserve"> </w:t>
      </w:r>
      <w:r>
        <w:t>to</w:t>
      </w:r>
      <w:r>
        <w:rPr>
          <w:spacing w:val="-7"/>
        </w:rPr>
        <w:t xml:space="preserve"> </w:t>
      </w:r>
      <w:r>
        <w:t>validate</w:t>
      </w:r>
      <w:r>
        <w:rPr>
          <w:spacing w:val="-7"/>
        </w:rPr>
        <w:t xml:space="preserve"> </w:t>
      </w:r>
      <w:r>
        <w:t>such</w:t>
      </w:r>
      <w:r>
        <w:rPr>
          <w:spacing w:val="-6"/>
        </w:rPr>
        <w:t xml:space="preserve"> </w:t>
      </w:r>
      <w:r>
        <w:t>change</w:t>
      </w:r>
      <w:hyperlink w:anchor="_bookmark345" w:history="1">
        <w:r>
          <w:t>.</w:t>
        </w:r>
        <w:r>
          <w:rPr>
            <w:vertAlign w:val="superscript"/>
          </w:rPr>
          <w:t>183</w:t>
        </w:r>
        <w:r>
          <w:rPr>
            <w:spacing w:val="-8"/>
          </w:rPr>
          <w:t xml:space="preserve"> </w:t>
        </w:r>
      </w:hyperlink>
      <w:r>
        <w:t>The</w:t>
      </w:r>
      <w:r>
        <w:rPr>
          <w:spacing w:val="-8"/>
        </w:rPr>
        <w:t xml:space="preserve"> </w:t>
      </w:r>
      <w:r>
        <w:t>Commission</w:t>
      </w:r>
      <w:r>
        <w:rPr>
          <w:spacing w:val="-8"/>
        </w:rPr>
        <w:t xml:space="preserve"> </w:t>
      </w:r>
      <w:r>
        <w:t>anticipates</w:t>
      </w:r>
      <w:r>
        <w:rPr>
          <w:spacing w:val="-7"/>
        </w:rPr>
        <w:t xml:space="preserve"> </w:t>
      </w:r>
      <w:r>
        <w:t>that</w:t>
      </w:r>
      <w:r>
        <w:rPr>
          <w:spacing w:val="-7"/>
        </w:rPr>
        <w:t xml:space="preserve"> </w:t>
      </w:r>
      <w:r>
        <w:t>this</w:t>
      </w:r>
      <w:r>
        <w:rPr>
          <w:spacing w:val="-6"/>
        </w:rPr>
        <w:t xml:space="preserve"> </w:t>
      </w:r>
      <w:r>
        <w:t>will</w:t>
      </w:r>
      <w:r>
        <w:rPr>
          <w:spacing w:val="-7"/>
        </w:rPr>
        <w:t xml:space="preserve"> </w:t>
      </w:r>
      <w:r>
        <w:t>significantly</w:t>
      </w:r>
      <w:r>
        <w:rPr>
          <w:spacing w:val="-7"/>
        </w:rPr>
        <w:t xml:space="preserve"> </w:t>
      </w:r>
      <w:r>
        <w:t>increase access to gender-affirming identification, contributing to a plethora of positive outcomes and likely reducing the negative experience of LGBTQ people seeking gender congruent documentation from medical providers.</w:t>
      </w:r>
    </w:p>
    <w:p w:rsidR="00C76E6D" w:rsidRDefault="00C76E6D">
      <w:pPr>
        <w:pStyle w:val="BodyText"/>
        <w:spacing w:before="1"/>
        <w:rPr>
          <w:sz w:val="26"/>
        </w:rPr>
      </w:pPr>
    </w:p>
    <w:p w:rsidR="00C76E6D" w:rsidRDefault="00913831">
      <w:pPr>
        <w:pStyle w:val="BodyText"/>
        <w:spacing w:line="276" w:lineRule="auto"/>
        <w:ind w:left="478" w:right="476"/>
        <w:jc w:val="both"/>
      </w:pPr>
      <w:r>
        <w:t>While</w:t>
      </w:r>
      <w:r>
        <w:rPr>
          <w:spacing w:val="-10"/>
        </w:rPr>
        <w:t xml:space="preserve"> </w:t>
      </w:r>
      <w:r>
        <w:t>the</w:t>
      </w:r>
      <w:r>
        <w:rPr>
          <w:spacing w:val="-10"/>
        </w:rPr>
        <w:t xml:space="preserve"> </w:t>
      </w:r>
      <w:r>
        <w:t>Commission</w:t>
      </w:r>
      <w:r>
        <w:rPr>
          <w:spacing w:val="-10"/>
        </w:rPr>
        <w:t xml:space="preserve"> </w:t>
      </w:r>
      <w:r>
        <w:t>will</w:t>
      </w:r>
      <w:r>
        <w:rPr>
          <w:spacing w:val="-9"/>
        </w:rPr>
        <w:t xml:space="preserve"> </w:t>
      </w:r>
      <w:r>
        <w:t>contin</w:t>
      </w:r>
      <w:r>
        <w:t>ue</w:t>
      </w:r>
      <w:r>
        <w:rPr>
          <w:spacing w:val="-10"/>
        </w:rPr>
        <w:t xml:space="preserve"> </w:t>
      </w:r>
      <w:r>
        <w:t>to</w:t>
      </w:r>
      <w:r>
        <w:rPr>
          <w:spacing w:val="-10"/>
        </w:rPr>
        <w:t xml:space="preserve"> </w:t>
      </w:r>
      <w:r>
        <w:t>advocate</w:t>
      </w:r>
      <w:r>
        <w:rPr>
          <w:spacing w:val="-10"/>
        </w:rPr>
        <w:t xml:space="preserve"> </w:t>
      </w:r>
      <w:r>
        <w:t>for</w:t>
      </w:r>
      <w:r>
        <w:rPr>
          <w:spacing w:val="-10"/>
        </w:rPr>
        <w:t xml:space="preserve"> </w:t>
      </w:r>
      <w:r>
        <w:t>subsidized</w:t>
      </w:r>
      <w:r>
        <w:rPr>
          <w:spacing w:val="-10"/>
        </w:rPr>
        <w:t xml:space="preserve"> </w:t>
      </w:r>
      <w:r>
        <w:t>access</w:t>
      </w:r>
      <w:r>
        <w:rPr>
          <w:spacing w:val="-10"/>
        </w:rPr>
        <w:t xml:space="preserve"> </w:t>
      </w:r>
      <w:r>
        <w:t>to</w:t>
      </w:r>
      <w:r>
        <w:rPr>
          <w:spacing w:val="-10"/>
        </w:rPr>
        <w:t xml:space="preserve"> </w:t>
      </w:r>
      <w:r>
        <w:t>legitimate</w:t>
      </w:r>
      <w:r>
        <w:rPr>
          <w:spacing w:val="-10"/>
        </w:rPr>
        <w:t xml:space="preserve"> </w:t>
      </w:r>
      <w:r>
        <w:t>forms</w:t>
      </w:r>
      <w:r>
        <w:rPr>
          <w:spacing w:val="-10"/>
        </w:rPr>
        <w:t xml:space="preserve"> </w:t>
      </w:r>
      <w:r>
        <w:t>of</w:t>
      </w:r>
      <w:r>
        <w:rPr>
          <w:spacing w:val="-10"/>
        </w:rPr>
        <w:t xml:space="preserve"> </w:t>
      </w:r>
      <w:r>
        <w:t>identification in Massachusetts for those experiencing homelessness, it is important to highlight two local Massachusetts resources. The Identity Document Assistance Network and the Namesake Colla</w:t>
      </w:r>
      <w:r>
        <w:t>borative help</w:t>
      </w:r>
      <w:r>
        <w:rPr>
          <w:spacing w:val="-5"/>
        </w:rPr>
        <w:t xml:space="preserve"> </w:t>
      </w:r>
      <w:r>
        <w:t>LGBTQ</w:t>
      </w:r>
      <w:r>
        <w:rPr>
          <w:spacing w:val="-6"/>
        </w:rPr>
        <w:t xml:space="preserve"> </w:t>
      </w:r>
      <w:r>
        <w:t>individuals</w:t>
      </w:r>
      <w:r>
        <w:rPr>
          <w:spacing w:val="-5"/>
        </w:rPr>
        <w:t xml:space="preserve"> </w:t>
      </w:r>
      <w:r>
        <w:t>access</w:t>
      </w:r>
      <w:r>
        <w:rPr>
          <w:spacing w:val="-6"/>
        </w:rPr>
        <w:t xml:space="preserve"> </w:t>
      </w:r>
      <w:r>
        <w:t>support</w:t>
      </w:r>
      <w:r>
        <w:rPr>
          <w:spacing w:val="-6"/>
        </w:rPr>
        <w:t xml:space="preserve"> </w:t>
      </w:r>
      <w:r>
        <w:t>for</w:t>
      </w:r>
      <w:r>
        <w:rPr>
          <w:spacing w:val="-7"/>
        </w:rPr>
        <w:t xml:space="preserve"> </w:t>
      </w:r>
      <w:r>
        <w:t>a</w:t>
      </w:r>
      <w:r>
        <w:rPr>
          <w:spacing w:val="-6"/>
        </w:rPr>
        <w:t xml:space="preserve"> </w:t>
      </w:r>
      <w:r>
        <w:t>legal</w:t>
      </w:r>
      <w:r>
        <w:rPr>
          <w:spacing w:val="-5"/>
        </w:rPr>
        <w:t xml:space="preserve"> </w:t>
      </w:r>
      <w:r>
        <w:t>name</w:t>
      </w:r>
      <w:r>
        <w:rPr>
          <w:spacing w:val="-6"/>
        </w:rPr>
        <w:t xml:space="preserve"> </w:t>
      </w:r>
      <w:r>
        <w:t>change</w:t>
      </w:r>
      <w:r>
        <w:rPr>
          <w:spacing w:val="-5"/>
        </w:rPr>
        <w:t xml:space="preserve"> </w:t>
      </w:r>
      <w:r>
        <w:t>and</w:t>
      </w:r>
      <w:r>
        <w:rPr>
          <w:spacing w:val="-6"/>
        </w:rPr>
        <w:t xml:space="preserve"> </w:t>
      </w:r>
      <w:r>
        <w:t>gender</w:t>
      </w:r>
      <w:r>
        <w:rPr>
          <w:spacing w:val="-5"/>
        </w:rPr>
        <w:t xml:space="preserve"> </w:t>
      </w:r>
      <w:r>
        <w:t>marker</w:t>
      </w:r>
      <w:r>
        <w:rPr>
          <w:spacing w:val="-6"/>
        </w:rPr>
        <w:t xml:space="preserve"> </w:t>
      </w:r>
      <w:r>
        <w:t>adjustment</w:t>
      </w:r>
      <w:r>
        <w:rPr>
          <w:spacing w:val="-6"/>
        </w:rPr>
        <w:t xml:space="preserve"> </w:t>
      </w:r>
      <w:r>
        <w:t>for</w:t>
      </w:r>
      <w:r>
        <w:rPr>
          <w:spacing w:val="-5"/>
        </w:rPr>
        <w:t xml:space="preserve"> </w:t>
      </w:r>
      <w:r>
        <w:t xml:space="preserve">proper </w:t>
      </w:r>
      <w:r>
        <w:rPr>
          <w:spacing w:val="-2"/>
        </w:rPr>
        <w:t>identification</w:t>
      </w:r>
      <w:hyperlink w:anchor="_bookmark346" w:history="1">
        <w:r>
          <w:rPr>
            <w:spacing w:val="-2"/>
          </w:rPr>
          <w:t>.</w:t>
        </w:r>
        <w:r>
          <w:rPr>
            <w:spacing w:val="-2"/>
            <w:vertAlign w:val="superscript"/>
          </w:rPr>
          <w:t>184</w:t>
        </w:r>
      </w:hyperlink>
    </w:p>
    <w:p w:rsidR="00C76E6D" w:rsidRDefault="00C76E6D">
      <w:pPr>
        <w:spacing w:line="276" w:lineRule="auto"/>
        <w:jc w:val="both"/>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10"/>
        <w:rPr>
          <w:sz w:val="17"/>
        </w:rPr>
      </w:pPr>
    </w:p>
    <w:p w:rsidR="00C76E6D" w:rsidRDefault="00913831">
      <w:pPr>
        <w:pStyle w:val="BodyText"/>
        <w:spacing w:line="20" w:lineRule="exact"/>
        <w:ind w:left="482"/>
        <w:rPr>
          <w:sz w:val="2"/>
        </w:rPr>
      </w:pPr>
      <w:r>
        <w:rPr>
          <w:sz w:val="2"/>
        </w:rPr>
      </w:r>
      <w:r>
        <w:rPr>
          <w:sz w:val="2"/>
        </w:rPr>
        <w:pict>
          <v:group id="docshapegroup282" o:spid="_x0000_s1153" style="width:470.95pt;height:1.55pt;mso-position-horizontal-relative:char;mso-position-vertical-relative:line" coordsize="9419,31">
            <v:line id="_x0000_s1154" style="position:absolute" from="0,15" to="9419,15" strokeweight="1.54pt"/>
            <w10:wrap type="none"/>
            <w10:anchorlock/>
          </v:group>
        </w:pict>
      </w:r>
    </w:p>
    <w:p w:rsidR="00C76E6D" w:rsidRDefault="00C76E6D">
      <w:pPr>
        <w:pStyle w:val="BodyText"/>
        <w:spacing w:before="6"/>
        <w:rPr>
          <w:sz w:val="20"/>
        </w:rPr>
      </w:pPr>
    </w:p>
    <w:p w:rsidR="00C76E6D" w:rsidRDefault="00913831">
      <w:pPr>
        <w:pStyle w:val="Heading4"/>
        <w:spacing w:before="52"/>
      </w:pPr>
      <w:r>
        <w:rPr>
          <w:spacing w:val="-2"/>
        </w:rPr>
        <w:t>ENDNOTES</w:t>
      </w:r>
    </w:p>
    <w:p w:rsidR="00C76E6D" w:rsidRDefault="00913831">
      <w:pPr>
        <w:pStyle w:val="BodyText"/>
        <w:spacing w:before="6"/>
        <w:rPr>
          <w:b/>
          <w:sz w:val="8"/>
        </w:rPr>
      </w:pPr>
      <w:r>
        <w:pict>
          <v:shape id="docshape283" o:spid="_x0000_s1152" style="position:absolute;margin-left:70.6pt;margin-top:6.4pt;width:470.95pt;height:.1pt;z-index:-15680000;mso-wrap-distance-left:0;mso-wrap-distance-right:0;mso-position-horizontal-relative:page" coordorigin="1412,128" coordsize="9419,0" path="m1412,128r9419,e" filled="f" strokeweight="1.54pt">
            <v:path arrowok="t"/>
            <w10:wrap type="topAndBottom" anchorx="page"/>
          </v:shape>
        </w:pict>
      </w:r>
    </w:p>
    <w:p w:rsidR="00C76E6D" w:rsidRDefault="00C76E6D">
      <w:pPr>
        <w:pStyle w:val="BodyText"/>
        <w:spacing w:before="10"/>
        <w:rPr>
          <w:b/>
          <w:sz w:val="20"/>
        </w:rPr>
      </w:pPr>
    </w:p>
    <w:p w:rsidR="00C76E6D" w:rsidRDefault="00913831">
      <w:pPr>
        <w:ind w:left="479" w:right="530"/>
      </w:pPr>
      <w:r>
        <w:rPr>
          <w:i/>
        </w:rPr>
        <w:t>Acknowledgments:</w:t>
      </w:r>
      <w:r>
        <w:rPr>
          <w:i/>
          <w:spacing w:val="40"/>
        </w:rPr>
        <w:t xml:space="preserve"> </w:t>
      </w:r>
      <w:r>
        <w:rPr>
          <w:i/>
        </w:rPr>
        <w:t>Sohenga Depestre, lead researcher and author (2022) &amp; Amanda Weber, lead researcher</w:t>
      </w:r>
      <w:r>
        <w:rPr>
          <w:i/>
          <w:spacing w:val="-4"/>
        </w:rPr>
        <w:t xml:space="preserve"> </w:t>
      </w:r>
      <w:r>
        <w:rPr>
          <w:i/>
        </w:rPr>
        <w:t>and</w:t>
      </w:r>
      <w:r>
        <w:rPr>
          <w:i/>
          <w:spacing w:val="-7"/>
        </w:rPr>
        <w:t xml:space="preserve"> </w:t>
      </w:r>
      <w:r>
        <w:rPr>
          <w:i/>
        </w:rPr>
        <w:t>author</w:t>
      </w:r>
      <w:r>
        <w:rPr>
          <w:i/>
          <w:spacing w:val="-4"/>
        </w:rPr>
        <w:t xml:space="preserve"> </w:t>
      </w:r>
      <w:r>
        <w:rPr>
          <w:i/>
        </w:rPr>
        <w:t>(2021);</w:t>
      </w:r>
      <w:r>
        <w:rPr>
          <w:i/>
          <w:spacing w:val="-6"/>
        </w:rPr>
        <w:t xml:space="preserve"> </w:t>
      </w:r>
      <w:r>
        <w:rPr>
          <w:i/>
        </w:rPr>
        <w:t>editing</w:t>
      </w:r>
      <w:r>
        <w:rPr>
          <w:i/>
          <w:spacing w:val="-5"/>
        </w:rPr>
        <w:t xml:space="preserve"> </w:t>
      </w:r>
      <w:r>
        <w:rPr>
          <w:i/>
        </w:rPr>
        <w:t>and</w:t>
      </w:r>
      <w:r>
        <w:rPr>
          <w:i/>
          <w:spacing w:val="-8"/>
        </w:rPr>
        <w:t xml:space="preserve"> </w:t>
      </w:r>
      <w:r>
        <w:rPr>
          <w:i/>
        </w:rPr>
        <w:t>proofreading</w:t>
      </w:r>
      <w:r>
        <w:rPr>
          <w:i/>
          <w:spacing w:val="-8"/>
        </w:rPr>
        <w:t xml:space="preserve"> </w:t>
      </w:r>
      <w:r>
        <w:rPr>
          <w:i/>
        </w:rPr>
        <w:t>by</w:t>
      </w:r>
      <w:r>
        <w:rPr>
          <w:i/>
          <w:spacing w:val="-6"/>
        </w:rPr>
        <w:t xml:space="preserve"> </w:t>
      </w:r>
      <w:r>
        <w:rPr>
          <w:i/>
        </w:rPr>
        <w:t>Massachusetts</w:t>
      </w:r>
      <w:r>
        <w:rPr>
          <w:i/>
          <w:spacing w:val="-6"/>
        </w:rPr>
        <w:t xml:space="preserve"> </w:t>
      </w:r>
      <w:r>
        <w:rPr>
          <w:i/>
        </w:rPr>
        <w:t>Commission</w:t>
      </w:r>
      <w:r>
        <w:rPr>
          <w:i/>
          <w:spacing w:val="-9"/>
        </w:rPr>
        <w:t xml:space="preserve"> </w:t>
      </w:r>
      <w:r>
        <w:rPr>
          <w:i/>
        </w:rPr>
        <w:t>on</w:t>
      </w:r>
      <w:r>
        <w:rPr>
          <w:i/>
          <w:spacing w:val="-8"/>
        </w:rPr>
        <w:t xml:space="preserve"> </w:t>
      </w:r>
      <w:r>
        <w:rPr>
          <w:i/>
        </w:rPr>
        <w:t>LGBTQ</w:t>
      </w:r>
      <w:r>
        <w:rPr>
          <w:i/>
          <w:spacing w:val="-7"/>
        </w:rPr>
        <w:t xml:space="preserve"> </w:t>
      </w:r>
      <w:r>
        <w:rPr>
          <w:i/>
        </w:rPr>
        <w:t xml:space="preserve">Youth </w:t>
      </w:r>
      <w:bookmarkStart w:id="278" w:name="_bookmark163"/>
      <w:bookmarkEnd w:id="278"/>
      <w:r>
        <w:rPr>
          <w:i/>
          <w:spacing w:val="-2"/>
        </w:rPr>
        <w:t>staff</w:t>
      </w:r>
      <w:r>
        <w:rPr>
          <w:spacing w:val="-2"/>
        </w:rPr>
        <w:t>.</w:t>
      </w:r>
    </w:p>
    <w:p w:rsidR="00C76E6D" w:rsidRDefault="00C76E6D">
      <w:pPr>
        <w:pStyle w:val="BodyText"/>
        <w:spacing w:before="10"/>
        <w:rPr>
          <w:sz w:val="21"/>
        </w:rPr>
      </w:pPr>
    </w:p>
    <w:p w:rsidR="00C76E6D" w:rsidRDefault="00913831">
      <w:pPr>
        <w:ind w:left="480" w:right="541" w:hanging="2"/>
        <w:rPr>
          <w:sz w:val="20"/>
        </w:rPr>
      </w:pPr>
      <w:r>
        <w:rPr>
          <w:sz w:val="20"/>
          <w:vertAlign w:val="superscript"/>
        </w:rPr>
        <w:t>1</w:t>
      </w:r>
      <w:r>
        <w:rPr>
          <w:sz w:val="20"/>
        </w:rPr>
        <w:t xml:space="preserve"> The Executive Office of Health and Human Services, Council on Housing and Homelessness, and Office of </w:t>
      </w:r>
      <w:bookmarkStart w:id="279" w:name="_bookmark164"/>
      <w:bookmarkEnd w:id="279"/>
      <w:r>
        <w:rPr>
          <w:sz w:val="20"/>
        </w:rPr>
        <w:t>Children,</w:t>
      </w:r>
      <w:r>
        <w:rPr>
          <w:spacing w:val="-5"/>
          <w:sz w:val="20"/>
        </w:rPr>
        <w:t xml:space="preserve"> </w:t>
      </w:r>
      <w:r>
        <w:rPr>
          <w:sz w:val="20"/>
        </w:rPr>
        <w:t>Youth,</w:t>
      </w:r>
      <w:r>
        <w:rPr>
          <w:spacing w:val="-5"/>
          <w:sz w:val="20"/>
        </w:rPr>
        <w:t xml:space="preserve"> </w:t>
      </w:r>
      <w:r>
        <w:rPr>
          <w:sz w:val="20"/>
        </w:rPr>
        <w:t>and</w:t>
      </w:r>
      <w:r>
        <w:rPr>
          <w:spacing w:val="-5"/>
          <w:sz w:val="20"/>
        </w:rPr>
        <w:t xml:space="preserve"> </w:t>
      </w:r>
      <w:r>
        <w:rPr>
          <w:sz w:val="20"/>
        </w:rPr>
        <w:t>Families.</w:t>
      </w:r>
      <w:r>
        <w:rPr>
          <w:spacing w:val="-5"/>
          <w:sz w:val="20"/>
        </w:rPr>
        <w:t xml:space="preserve"> </w:t>
      </w:r>
      <w:r>
        <w:rPr>
          <w:sz w:val="20"/>
        </w:rPr>
        <w:t>(2019).</w:t>
      </w:r>
      <w:r>
        <w:rPr>
          <w:spacing w:val="-6"/>
          <w:sz w:val="20"/>
        </w:rPr>
        <w:t xml:space="preserve"> </w:t>
      </w:r>
      <w:r>
        <w:rPr>
          <w:sz w:val="20"/>
        </w:rPr>
        <w:t>Furthering</w:t>
      </w:r>
      <w:r>
        <w:rPr>
          <w:spacing w:val="-5"/>
          <w:sz w:val="20"/>
        </w:rPr>
        <w:t xml:space="preserve"> </w:t>
      </w:r>
      <w:r>
        <w:rPr>
          <w:sz w:val="20"/>
        </w:rPr>
        <w:t>the</w:t>
      </w:r>
      <w:r>
        <w:rPr>
          <w:spacing w:val="-8"/>
          <w:sz w:val="20"/>
        </w:rPr>
        <w:t xml:space="preserve"> </w:t>
      </w:r>
      <w:r>
        <w:rPr>
          <w:sz w:val="20"/>
        </w:rPr>
        <w:t>Work</w:t>
      </w:r>
      <w:r>
        <w:rPr>
          <w:spacing w:val="-7"/>
          <w:sz w:val="20"/>
        </w:rPr>
        <w:t xml:space="preserve"> </w:t>
      </w:r>
      <w:r>
        <w:rPr>
          <w:sz w:val="20"/>
        </w:rPr>
        <w:t>of</w:t>
      </w:r>
      <w:r>
        <w:rPr>
          <w:spacing w:val="-5"/>
          <w:sz w:val="20"/>
        </w:rPr>
        <w:t xml:space="preserve"> </w:t>
      </w:r>
      <w:r>
        <w:rPr>
          <w:sz w:val="20"/>
        </w:rPr>
        <w:t>the</w:t>
      </w:r>
      <w:r>
        <w:rPr>
          <w:spacing w:val="-5"/>
          <w:sz w:val="20"/>
        </w:rPr>
        <w:t xml:space="preserve"> </w:t>
      </w:r>
      <w:r>
        <w:rPr>
          <w:sz w:val="20"/>
        </w:rPr>
        <w:t>MA</w:t>
      </w:r>
      <w:r>
        <w:rPr>
          <w:spacing w:val="-5"/>
          <w:sz w:val="20"/>
        </w:rPr>
        <w:t xml:space="preserve"> </w:t>
      </w:r>
      <w:r>
        <w:rPr>
          <w:sz w:val="20"/>
        </w:rPr>
        <w:t>State</w:t>
      </w:r>
      <w:r>
        <w:rPr>
          <w:spacing w:val="-5"/>
          <w:sz w:val="20"/>
        </w:rPr>
        <w:t xml:space="preserve"> </w:t>
      </w:r>
      <w:r>
        <w:rPr>
          <w:sz w:val="20"/>
        </w:rPr>
        <w:t>Plan</w:t>
      </w:r>
      <w:r>
        <w:rPr>
          <w:spacing w:val="-5"/>
          <w:sz w:val="20"/>
        </w:rPr>
        <w:t xml:space="preserve"> </w:t>
      </w:r>
      <w:r>
        <w:rPr>
          <w:sz w:val="20"/>
        </w:rPr>
        <w:t>to</w:t>
      </w:r>
      <w:r>
        <w:rPr>
          <w:spacing w:val="-6"/>
          <w:sz w:val="20"/>
        </w:rPr>
        <w:t xml:space="preserve"> </w:t>
      </w:r>
      <w:r>
        <w:rPr>
          <w:sz w:val="20"/>
        </w:rPr>
        <w:t>End</w:t>
      </w:r>
      <w:r>
        <w:rPr>
          <w:spacing w:val="-5"/>
          <w:sz w:val="20"/>
        </w:rPr>
        <w:t xml:space="preserve"> </w:t>
      </w:r>
      <w:r>
        <w:rPr>
          <w:sz w:val="20"/>
        </w:rPr>
        <w:t>Youth</w:t>
      </w:r>
      <w:r>
        <w:rPr>
          <w:spacing w:val="-5"/>
          <w:sz w:val="20"/>
        </w:rPr>
        <w:t xml:space="preserve"> </w:t>
      </w:r>
      <w:r>
        <w:rPr>
          <w:sz w:val="20"/>
        </w:rPr>
        <w:t>Homelessness. Retrieved from: https://</w:t>
      </w:r>
      <w:hyperlink r:id="rId205">
        <w:r>
          <w:rPr>
            <w:sz w:val="20"/>
          </w:rPr>
          <w:t>www.mass.gov/doc/furthering-the-work-2019/download</w:t>
        </w:r>
      </w:hyperlink>
    </w:p>
    <w:p w:rsidR="00C76E6D" w:rsidRDefault="00913831">
      <w:pPr>
        <w:ind w:left="481" w:right="530" w:hanging="2"/>
        <w:rPr>
          <w:sz w:val="20"/>
        </w:rPr>
      </w:pPr>
      <w:bookmarkStart w:id="280" w:name="_bookmark165"/>
      <w:bookmarkEnd w:id="280"/>
      <w:r>
        <w:rPr>
          <w:sz w:val="20"/>
          <w:vertAlign w:val="superscript"/>
        </w:rPr>
        <w:t>2</w:t>
      </w:r>
      <w:r>
        <w:rPr>
          <w:spacing w:val="-4"/>
          <w:sz w:val="20"/>
        </w:rPr>
        <w:t xml:space="preserve"> </w:t>
      </w:r>
      <w:r>
        <w:rPr>
          <w:sz w:val="20"/>
        </w:rPr>
        <w:t>DeChants,</w:t>
      </w:r>
      <w:r>
        <w:rPr>
          <w:spacing w:val="-5"/>
          <w:sz w:val="20"/>
        </w:rPr>
        <w:t xml:space="preserve"> </w:t>
      </w:r>
      <w:r>
        <w:rPr>
          <w:sz w:val="20"/>
        </w:rPr>
        <w:t>J.P.,</w:t>
      </w:r>
      <w:r>
        <w:rPr>
          <w:spacing w:val="-4"/>
          <w:sz w:val="20"/>
        </w:rPr>
        <w:t xml:space="preserve"> </w:t>
      </w:r>
      <w:r>
        <w:rPr>
          <w:sz w:val="20"/>
        </w:rPr>
        <w:t>Green,</w:t>
      </w:r>
      <w:r>
        <w:rPr>
          <w:spacing w:val="-5"/>
          <w:sz w:val="20"/>
        </w:rPr>
        <w:t xml:space="preserve"> </w:t>
      </w:r>
      <w:r>
        <w:rPr>
          <w:sz w:val="20"/>
        </w:rPr>
        <w:t>A.E.,</w:t>
      </w:r>
      <w:r>
        <w:rPr>
          <w:spacing w:val="-5"/>
          <w:sz w:val="20"/>
        </w:rPr>
        <w:t xml:space="preserve"> </w:t>
      </w:r>
      <w:r>
        <w:rPr>
          <w:sz w:val="20"/>
        </w:rPr>
        <w:t>Price,</w:t>
      </w:r>
      <w:r>
        <w:rPr>
          <w:spacing w:val="-5"/>
          <w:sz w:val="20"/>
        </w:rPr>
        <w:t xml:space="preserve"> </w:t>
      </w:r>
      <w:r>
        <w:rPr>
          <w:sz w:val="20"/>
        </w:rPr>
        <w:t>M.N,</w:t>
      </w:r>
      <w:r>
        <w:rPr>
          <w:spacing w:val="-5"/>
          <w:sz w:val="20"/>
        </w:rPr>
        <w:t xml:space="preserve"> </w:t>
      </w:r>
      <w:r>
        <w:rPr>
          <w:sz w:val="20"/>
        </w:rPr>
        <w:t>&amp;</w:t>
      </w:r>
      <w:r>
        <w:rPr>
          <w:spacing w:val="-7"/>
          <w:sz w:val="20"/>
        </w:rPr>
        <w:t xml:space="preserve"> </w:t>
      </w:r>
      <w:r>
        <w:rPr>
          <w:sz w:val="20"/>
        </w:rPr>
        <w:t>Davis,</w:t>
      </w:r>
      <w:r>
        <w:rPr>
          <w:spacing w:val="-4"/>
          <w:sz w:val="20"/>
        </w:rPr>
        <w:t xml:space="preserve"> </w:t>
      </w:r>
      <w:r>
        <w:rPr>
          <w:sz w:val="20"/>
        </w:rPr>
        <w:t>C.K.</w:t>
      </w:r>
      <w:r>
        <w:rPr>
          <w:spacing w:val="-5"/>
          <w:sz w:val="20"/>
        </w:rPr>
        <w:t xml:space="preserve"> </w:t>
      </w:r>
      <w:r>
        <w:rPr>
          <w:sz w:val="20"/>
        </w:rPr>
        <w:t>(2021).</w:t>
      </w:r>
      <w:r>
        <w:rPr>
          <w:spacing w:val="-5"/>
          <w:sz w:val="20"/>
        </w:rPr>
        <w:t xml:space="preserve"> </w:t>
      </w:r>
      <w:r>
        <w:rPr>
          <w:sz w:val="20"/>
        </w:rPr>
        <w:t>Homelessness</w:t>
      </w:r>
      <w:r>
        <w:rPr>
          <w:spacing w:val="-6"/>
          <w:sz w:val="20"/>
        </w:rPr>
        <w:t xml:space="preserve"> </w:t>
      </w:r>
      <w:r>
        <w:rPr>
          <w:sz w:val="20"/>
        </w:rPr>
        <w:t>and</w:t>
      </w:r>
      <w:r>
        <w:rPr>
          <w:spacing w:val="-4"/>
          <w:sz w:val="20"/>
        </w:rPr>
        <w:t xml:space="preserve"> </w:t>
      </w:r>
      <w:r>
        <w:rPr>
          <w:sz w:val="20"/>
        </w:rPr>
        <w:t>Housing</w:t>
      </w:r>
      <w:r>
        <w:rPr>
          <w:spacing w:val="-5"/>
          <w:sz w:val="20"/>
        </w:rPr>
        <w:t xml:space="preserve"> </w:t>
      </w:r>
      <w:r>
        <w:rPr>
          <w:sz w:val="20"/>
        </w:rPr>
        <w:t>Instability</w:t>
      </w:r>
      <w:r>
        <w:rPr>
          <w:spacing w:val="-5"/>
          <w:sz w:val="20"/>
        </w:rPr>
        <w:t xml:space="preserve"> </w:t>
      </w:r>
      <w:r>
        <w:rPr>
          <w:sz w:val="20"/>
        </w:rPr>
        <w:t>Among</w:t>
      </w:r>
      <w:r>
        <w:rPr>
          <w:spacing w:val="-4"/>
          <w:sz w:val="20"/>
        </w:rPr>
        <w:t xml:space="preserve"> </w:t>
      </w:r>
      <w:r>
        <w:rPr>
          <w:sz w:val="20"/>
        </w:rPr>
        <w:t>LGBTQ Youth. West Holl</w:t>
      </w:r>
      <w:r>
        <w:rPr>
          <w:sz w:val="20"/>
        </w:rPr>
        <w:t>ywood, CA: The Trevor Project.</w:t>
      </w:r>
    </w:p>
    <w:p w:rsidR="00C76E6D" w:rsidRDefault="00913831">
      <w:pPr>
        <w:ind w:left="481" w:right="1107" w:hanging="3"/>
        <w:rPr>
          <w:sz w:val="20"/>
        </w:rPr>
      </w:pPr>
      <w:bookmarkStart w:id="281" w:name="_bookmark166"/>
      <w:bookmarkEnd w:id="281"/>
      <w:r>
        <w:rPr>
          <w:sz w:val="20"/>
          <w:vertAlign w:val="superscript"/>
        </w:rPr>
        <w:t>3</w:t>
      </w:r>
      <w:r>
        <w:rPr>
          <w:spacing w:val="-4"/>
          <w:sz w:val="20"/>
        </w:rPr>
        <w:t xml:space="preserve"> </w:t>
      </w:r>
      <w:r>
        <w:rPr>
          <w:sz w:val="20"/>
        </w:rPr>
        <w:t>Center</w:t>
      </w:r>
      <w:r>
        <w:rPr>
          <w:spacing w:val="-7"/>
          <w:sz w:val="20"/>
        </w:rPr>
        <w:t xml:space="preserve"> </w:t>
      </w:r>
      <w:r>
        <w:rPr>
          <w:sz w:val="20"/>
        </w:rPr>
        <w:t>for</w:t>
      </w:r>
      <w:r>
        <w:rPr>
          <w:spacing w:val="-5"/>
          <w:sz w:val="20"/>
        </w:rPr>
        <w:t xml:space="preserve"> </w:t>
      </w:r>
      <w:r>
        <w:rPr>
          <w:sz w:val="20"/>
        </w:rPr>
        <w:t>American</w:t>
      </w:r>
      <w:r>
        <w:rPr>
          <w:spacing w:val="-4"/>
          <w:sz w:val="20"/>
        </w:rPr>
        <w:t xml:space="preserve"> </w:t>
      </w:r>
      <w:r>
        <w:rPr>
          <w:sz w:val="20"/>
        </w:rPr>
        <w:t>Progress.</w:t>
      </w:r>
      <w:r>
        <w:rPr>
          <w:spacing w:val="-5"/>
          <w:sz w:val="20"/>
        </w:rPr>
        <w:t xml:space="preserve"> </w:t>
      </w:r>
      <w:r>
        <w:rPr>
          <w:sz w:val="20"/>
        </w:rPr>
        <w:t>(2015).</w:t>
      </w:r>
      <w:r>
        <w:rPr>
          <w:spacing w:val="-6"/>
          <w:sz w:val="20"/>
        </w:rPr>
        <w:t xml:space="preserve"> </w:t>
      </w:r>
      <w:r>
        <w:rPr>
          <w:sz w:val="20"/>
        </w:rPr>
        <w:t>Expanding</w:t>
      </w:r>
      <w:r>
        <w:rPr>
          <w:spacing w:val="-4"/>
          <w:sz w:val="20"/>
        </w:rPr>
        <w:t xml:space="preserve"> </w:t>
      </w:r>
      <w:r>
        <w:rPr>
          <w:sz w:val="20"/>
        </w:rPr>
        <w:t>ID</w:t>
      </w:r>
      <w:r>
        <w:rPr>
          <w:spacing w:val="-5"/>
          <w:sz w:val="20"/>
        </w:rPr>
        <w:t xml:space="preserve"> </w:t>
      </w:r>
      <w:r>
        <w:rPr>
          <w:sz w:val="20"/>
        </w:rPr>
        <w:t>Card</w:t>
      </w:r>
      <w:r>
        <w:rPr>
          <w:spacing w:val="-6"/>
          <w:sz w:val="20"/>
        </w:rPr>
        <w:t xml:space="preserve"> </w:t>
      </w:r>
      <w:r>
        <w:rPr>
          <w:sz w:val="20"/>
        </w:rPr>
        <w:t>Access</w:t>
      </w:r>
      <w:r>
        <w:rPr>
          <w:spacing w:val="-6"/>
          <w:sz w:val="20"/>
        </w:rPr>
        <w:t xml:space="preserve"> </w:t>
      </w:r>
      <w:r>
        <w:rPr>
          <w:sz w:val="20"/>
        </w:rPr>
        <w:t>for</w:t>
      </w:r>
      <w:r>
        <w:rPr>
          <w:spacing w:val="-5"/>
          <w:sz w:val="20"/>
        </w:rPr>
        <w:t xml:space="preserve"> </w:t>
      </w:r>
      <w:r>
        <w:rPr>
          <w:sz w:val="20"/>
        </w:rPr>
        <w:t>LGBT</w:t>
      </w:r>
      <w:r>
        <w:rPr>
          <w:spacing w:val="-6"/>
          <w:sz w:val="20"/>
        </w:rPr>
        <w:t xml:space="preserve"> </w:t>
      </w:r>
      <w:r>
        <w:rPr>
          <w:sz w:val="20"/>
        </w:rPr>
        <w:t>Homeless</w:t>
      </w:r>
      <w:r>
        <w:rPr>
          <w:spacing w:val="-4"/>
          <w:sz w:val="20"/>
        </w:rPr>
        <w:t xml:space="preserve"> </w:t>
      </w:r>
      <w:r>
        <w:rPr>
          <w:sz w:val="20"/>
        </w:rPr>
        <w:t>Youth.</w:t>
      </w:r>
      <w:r>
        <w:rPr>
          <w:spacing w:val="-7"/>
          <w:sz w:val="20"/>
        </w:rPr>
        <w:t xml:space="preserve"> </w:t>
      </w:r>
      <w:r>
        <w:rPr>
          <w:sz w:val="20"/>
        </w:rPr>
        <w:t>Retrieved</w:t>
      </w:r>
      <w:r>
        <w:rPr>
          <w:spacing w:val="-5"/>
          <w:sz w:val="20"/>
        </w:rPr>
        <w:t xml:space="preserve"> </w:t>
      </w:r>
      <w:r>
        <w:rPr>
          <w:sz w:val="20"/>
        </w:rPr>
        <w:t xml:space="preserve">from: </w:t>
      </w:r>
      <w:hyperlink r:id="rId206">
        <w:r>
          <w:rPr>
            <w:spacing w:val="-2"/>
            <w:sz w:val="20"/>
          </w:rPr>
          <w:t>https://cdn.americanprogress.org/wp-content/uploads/2015/10/01071118/IDhomelessLGBT.pdf</w:t>
        </w:r>
      </w:hyperlink>
    </w:p>
    <w:p w:rsidR="00C76E6D" w:rsidRDefault="00913831">
      <w:pPr>
        <w:ind w:left="480" w:right="1059" w:hanging="2"/>
        <w:rPr>
          <w:sz w:val="20"/>
        </w:rPr>
      </w:pPr>
      <w:r>
        <w:rPr>
          <w:sz w:val="20"/>
          <w:vertAlign w:val="superscript"/>
        </w:rPr>
        <w:t>4</w:t>
      </w:r>
      <w:r>
        <w:rPr>
          <w:sz w:val="20"/>
        </w:rPr>
        <w:t xml:space="preserve"> Kolb, L. and Pokempner, J. (2017). Proving I Exist: Strategies for Assisting Youth in Obtaining Identification </w:t>
      </w:r>
      <w:bookmarkStart w:id="282" w:name="_bookmark167"/>
      <w:bookmarkEnd w:id="282"/>
      <w:r>
        <w:rPr>
          <w:sz w:val="20"/>
        </w:rPr>
        <w:t xml:space="preserve">Documents. American Bar Association. Retrieved from: </w:t>
      </w:r>
      <w:hyperlink r:id="rId207">
        <w:r>
          <w:rPr>
            <w:spacing w:val="-4"/>
            <w:sz w:val="20"/>
          </w:rPr>
          <w:t>https://www.americanbar.org/groups/litigation/committees/childrens-rights/artic</w:t>
        </w:r>
        <w:r>
          <w:rPr>
            <w:spacing w:val="-4"/>
            <w:sz w:val="20"/>
          </w:rPr>
          <w:t>les/2017/fall2017-proving-i-</w:t>
        </w:r>
      </w:hyperlink>
      <w:r>
        <w:rPr>
          <w:spacing w:val="-4"/>
          <w:sz w:val="20"/>
        </w:rPr>
        <w:t xml:space="preserve"> </w:t>
      </w:r>
      <w:hyperlink r:id="rId208">
        <w:r>
          <w:rPr>
            <w:spacing w:val="-2"/>
            <w:sz w:val="20"/>
          </w:rPr>
          <w:t>exist-strategies-assessting-youth-obtaining-id-d</w:t>
        </w:r>
        <w:r>
          <w:rPr>
            <w:spacing w:val="-2"/>
            <w:sz w:val="20"/>
          </w:rPr>
          <w:t>ocs/</w:t>
        </w:r>
      </w:hyperlink>
    </w:p>
    <w:p w:rsidR="00C76E6D" w:rsidRDefault="00913831">
      <w:pPr>
        <w:ind w:left="481" w:right="641" w:hanging="3"/>
        <w:rPr>
          <w:sz w:val="20"/>
        </w:rPr>
      </w:pPr>
      <w:r>
        <w:rPr>
          <w:sz w:val="20"/>
          <w:vertAlign w:val="superscript"/>
        </w:rPr>
        <w:t>5</w:t>
      </w:r>
      <w:r>
        <w:rPr>
          <w:spacing w:val="-5"/>
          <w:sz w:val="20"/>
        </w:rPr>
        <w:t xml:space="preserve"> </w:t>
      </w:r>
      <w:r>
        <w:rPr>
          <w:sz w:val="20"/>
        </w:rPr>
        <w:t>Romero,</w:t>
      </w:r>
      <w:r>
        <w:rPr>
          <w:spacing w:val="-6"/>
          <w:sz w:val="20"/>
        </w:rPr>
        <w:t xml:space="preserve"> </w:t>
      </w:r>
      <w:r>
        <w:rPr>
          <w:sz w:val="20"/>
        </w:rPr>
        <w:t>A.P.,</w:t>
      </w:r>
      <w:r>
        <w:rPr>
          <w:spacing w:val="-7"/>
          <w:sz w:val="20"/>
        </w:rPr>
        <w:t xml:space="preserve"> </w:t>
      </w:r>
      <w:r>
        <w:rPr>
          <w:sz w:val="20"/>
        </w:rPr>
        <w:t>Goldberg,</w:t>
      </w:r>
      <w:r>
        <w:rPr>
          <w:spacing w:val="-6"/>
          <w:sz w:val="20"/>
        </w:rPr>
        <w:t xml:space="preserve"> </w:t>
      </w:r>
      <w:r>
        <w:rPr>
          <w:sz w:val="20"/>
        </w:rPr>
        <w:t>S.K.,</w:t>
      </w:r>
      <w:r>
        <w:rPr>
          <w:spacing w:val="-6"/>
          <w:sz w:val="20"/>
        </w:rPr>
        <w:t xml:space="preserve"> </w:t>
      </w:r>
      <w:r>
        <w:rPr>
          <w:sz w:val="20"/>
        </w:rPr>
        <w:t>&amp;</w:t>
      </w:r>
      <w:r>
        <w:rPr>
          <w:spacing w:val="-5"/>
          <w:sz w:val="20"/>
        </w:rPr>
        <w:t xml:space="preserve"> </w:t>
      </w:r>
      <w:r>
        <w:rPr>
          <w:sz w:val="20"/>
        </w:rPr>
        <w:t>Vasquez,</w:t>
      </w:r>
      <w:r>
        <w:rPr>
          <w:spacing w:val="-6"/>
          <w:sz w:val="20"/>
        </w:rPr>
        <w:t xml:space="preserve"> </w:t>
      </w:r>
      <w:r>
        <w:rPr>
          <w:sz w:val="20"/>
        </w:rPr>
        <w:t>L.A.</w:t>
      </w:r>
      <w:r>
        <w:rPr>
          <w:spacing w:val="-5"/>
          <w:sz w:val="20"/>
        </w:rPr>
        <w:t xml:space="preserve"> </w:t>
      </w:r>
      <w:r>
        <w:rPr>
          <w:sz w:val="20"/>
        </w:rPr>
        <w:t>(2020).</w:t>
      </w:r>
      <w:r>
        <w:rPr>
          <w:spacing w:val="-7"/>
          <w:sz w:val="20"/>
        </w:rPr>
        <w:t xml:space="preserve"> </w:t>
      </w:r>
      <w:r>
        <w:rPr>
          <w:sz w:val="20"/>
        </w:rPr>
        <w:t>LGBT</w:t>
      </w:r>
      <w:r>
        <w:rPr>
          <w:spacing w:val="-7"/>
          <w:sz w:val="20"/>
        </w:rPr>
        <w:t xml:space="preserve"> </w:t>
      </w:r>
      <w:r>
        <w:rPr>
          <w:sz w:val="20"/>
        </w:rPr>
        <w:t>People</w:t>
      </w:r>
      <w:r>
        <w:rPr>
          <w:spacing w:val="-6"/>
          <w:sz w:val="20"/>
        </w:rPr>
        <w:t xml:space="preserve"> </w:t>
      </w:r>
      <w:r>
        <w:rPr>
          <w:sz w:val="20"/>
        </w:rPr>
        <w:t>and</w:t>
      </w:r>
      <w:r>
        <w:rPr>
          <w:spacing w:val="-6"/>
          <w:sz w:val="20"/>
        </w:rPr>
        <w:t xml:space="preserve"> </w:t>
      </w:r>
      <w:r>
        <w:rPr>
          <w:sz w:val="20"/>
        </w:rPr>
        <w:t>Housing</w:t>
      </w:r>
      <w:r>
        <w:rPr>
          <w:spacing w:val="-7"/>
          <w:sz w:val="20"/>
        </w:rPr>
        <w:t xml:space="preserve"> </w:t>
      </w:r>
      <w:r>
        <w:rPr>
          <w:sz w:val="20"/>
        </w:rPr>
        <w:t>Affordability,</w:t>
      </w:r>
      <w:r>
        <w:rPr>
          <w:spacing w:val="-6"/>
          <w:sz w:val="20"/>
        </w:rPr>
        <w:t xml:space="preserve"> </w:t>
      </w:r>
      <w:r>
        <w:rPr>
          <w:sz w:val="20"/>
        </w:rPr>
        <w:t>Discrimination,</w:t>
      </w:r>
      <w:r>
        <w:rPr>
          <w:spacing w:val="-5"/>
          <w:sz w:val="20"/>
        </w:rPr>
        <w:t xml:space="preserve"> </w:t>
      </w:r>
      <w:r>
        <w:rPr>
          <w:sz w:val="20"/>
        </w:rPr>
        <w:t xml:space="preserve">and </w:t>
      </w:r>
      <w:bookmarkStart w:id="283" w:name="_bookmark168"/>
      <w:bookmarkStart w:id="284" w:name="_bookmark169"/>
      <w:bookmarkEnd w:id="283"/>
      <w:bookmarkEnd w:id="284"/>
      <w:r>
        <w:rPr>
          <w:sz w:val="20"/>
        </w:rPr>
        <w:t xml:space="preserve">Homelessness. The Williams Institute. Retrieved from: </w:t>
      </w:r>
      <w:hyperlink r:id="rId209">
        <w:r>
          <w:rPr>
            <w:sz w:val="20"/>
          </w:rPr>
          <w:t>https://williamsinstitute.law.ucla.edu/wp-</w:t>
        </w:r>
      </w:hyperlink>
      <w:r>
        <w:rPr>
          <w:sz w:val="20"/>
        </w:rPr>
        <w:t xml:space="preserve"> </w:t>
      </w:r>
      <w:hyperlink r:id="rId210">
        <w:r>
          <w:rPr>
            <w:spacing w:val="-2"/>
            <w:sz w:val="20"/>
          </w:rPr>
          <w:t>content/uploads/LGBT-Housing-Apr-2020.pdf</w:t>
        </w:r>
      </w:hyperlink>
    </w:p>
    <w:p w:rsidR="00C76E6D" w:rsidRDefault="00913831">
      <w:pPr>
        <w:spacing w:before="6" w:line="241" w:lineRule="exact"/>
        <w:ind w:left="480"/>
        <w:rPr>
          <w:sz w:val="20"/>
        </w:rPr>
      </w:pPr>
      <w:r>
        <w:rPr>
          <w:sz w:val="20"/>
          <w:vertAlign w:val="superscript"/>
        </w:rPr>
        <w:t>6</w:t>
      </w:r>
      <w:r>
        <w:rPr>
          <w:spacing w:val="-5"/>
          <w:sz w:val="20"/>
        </w:rPr>
        <w:t xml:space="preserve"> </w:t>
      </w:r>
      <w:r>
        <w:rPr>
          <w:sz w:val="20"/>
        </w:rPr>
        <w:t>Kolb,</w:t>
      </w:r>
      <w:r>
        <w:rPr>
          <w:spacing w:val="-5"/>
          <w:sz w:val="20"/>
        </w:rPr>
        <w:t xml:space="preserve"> </w:t>
      </w:r>
      <w:r>
        <w:rPr>
          <w:sz w:val="20"/>
        </w:rPr>
        <w:t>L.</w:t>
      </w:r>
      <w:r>
        <w:rPr>
          <w:spacing w:val="-6"/>
          <w:sz w:val="20"/>
        </w:rPr>
        <w:t xml:space="preserve"> </w:t>
      </w:r>
      <w:r>
        <w:rPr>
          <w:sz w:val="20"/>
        </w:rPr>
        <w:t>and</w:t>
      </w:r>
      <w:r>
        <w:rPr>
          <w:spacing w:val="-4"/>
          <w:sz w:val="20"/>
        </w:rPr>
        <w:t xml:space="preserve"> </w:t>
      </w:r>
      <w:r>
        <w:rPr>
          <w:sz w:val="20"/>
        </w:rPr>
        <w:t>Pokempner,</w:t>
      </w:r>
      <w:r>
        <w:rPr>
          <w:spacing w:val="-5"/>
          <w:sz w:val="20"/>
        </w:rPr>
        <w:t xml:space="preserve"> </w:t>
      </w:r>
      <w:r>
        <w:rPr>
          <w:sz w:val="20"/>
        </w:rPr>
        <w:t>J.</w:t>
      </w:r>
      <w:r>
        <w:rPr>
          <w:spacing w:val="-5"/>
          <w:sz w:val="20"/>
        </w:rPr>
        <w:t xml:space="preserve"> </w:t>
      </w:r>
      <w:r>
        <w:rPr>
          <w:spacing w:val="-2"/>
          <w:sz w:val="20"/>
        </w:rPr>
        <w:t>(2017).</w:t>
      </w:r>
    </w:p>
    <w:p w:rsidR="00C76E6D" w:rsidRDefault="00913831">
      <w:pPr>
        <w:ind w:left="480" w:right="893" w:hanging="2"/>
        <w:rPr>
          <w:sz w:val="20"/>
        </w:rPr>
      </w:pPr>
      <w:r>
        <w:rPr>
          <w:sz w:val="20"/>
          <w:vertAlign w:val="superscript"/>
        </w:rPr>
        <w:t>7</w:t>
      </w:r>
      <w:r>
        <w:rPr>
          <w:spacing w:val="-4"/>
          <w:sz w:val="20"/>
        </w:rPr>
        <w:t xml:space="preserve"> </w:t>
      </w:r>
      <w:r>
        <w:rPr>
          <w:sz w:val="20"/>
        </w:rPr>
        <w:t>Herman,</w:t>
      </w:r>
      <w:r>
        <w:rPr>
          <w:spacing w:val="-5"/>
          <w:sz w:val="20"/>
        </w:rPr>
        <w:t xml:space="preserve"> </w:t>
      </w:r>
      <w:r>
        <w:rPr>
          <w:sz w:val="20"/>
        </w:rPr>
        <w:t>J.</w:t>
      </w:r>
      <w:r>
        <w:rPr>
          <w:spacing w:val="-5"/>
          <w:sz w:val="20"/>
        </w:rPr>
        <w:t xml:space="preserve"> </w:t>
      </w:r>
      <w:r>
        <w:rPr>
          <w:sz w:val="20"/>
        </w:rPr>
        <w:t>and</w:t>
      </w:r>
      <w:r>
        <w:rPr>
          <w:spacing w:val="-4"/>
          <w:sz w:val="20"/>
        </w:rPr>
        <w:t xml:space="preserve"> </w:t>
      </w:r>
      <w:r>
        <w:rPr>
          <w:sz w:val="20"/>
        </w:rPr>
        <w:t>O’Neill,</w:t>
      </w:r>
      <w:r>
        <w:rPr>
          <w:spacing w:val="-5"/>
          <w:sz w:val="20"/>
        </w:rPr>
        <w:t xml:space="preserve"> </w:t>
      </w:r>
      <w:r>
        <w:rPr>
          <w:sz w:val="20"/>
        </w:rPr>
        <w:t>K.</w:t>
      </w:r>
      <w:r>
        <w:rPr>
          <w:spacing w:val="-5"/>
          <w:sz w:val="20"/>
        </w:rPr>
        <w:t xml:space="preserve"> </w:t>
      </w:r>
      <w:r>
        <w:rPr>
          <w:sz w:val="20"/>
        </w:rPr>
        <w:t>(2021).</w:t>
      </w:r>
      <w:r>
        <w:rPr>
          <w:spacing w:val="-4"/>
          <w:sz w:val="20"/>
        </w:rPr>
        <w:t xml:space="preserve"> </w:t>
      </w:r>
      <w:r>
        <w:rPr>
          <w:sz w:val="20"/>
        </w:rPr>
        <w:t>Gender</w:t>
      </w:r>
      <w:r>
        <w:rPr>
          <w:spacing w:val="-7"/>
          <w:sz w:val="20"/>
        </w:rPr>
        <w:t xml:space="preserve"> </w:t>
      </w:r>
      <w:r>
        <w:rPr>
          <w:sz w:val="20"/>
        </w:rPr>
        <w:t>Marker</w:t>
      </w:r>
      <w:r>
        <w:rPr>
          <w:spacing w:val="-5"/>
          <w:sz w:val="20"/>
        </w:rPr>
        <w:t xml:space="preserve"> </w:t>
      </w:r>
      <w:r>
        <w:rPr>
          <w:sz w:val="20"/>
        </w:rPr>
        <w:t>Changes</w:t>
      </w:r>
      <w:r>
        <w:rPr>
          <w:spacing w:val="-4"/>
          <w:sz w:val="20"/>
        </w:rPr>
        <w:t xml:space="preserve"> </w:t>
      </w:r>
      <w:r>
        <w:rPr>
          <w:sz w:val="20"/>
        </w:rPr>
        <w:t>on</w:t>
      </w:r>
      <w:r>
        <w:rPr>
          <w:spacing w:val="-5"/>
          <w:sz w:val="20"/>
        </w:rPr>
        <w:t xml:space="preserve"> </w:t>
      </w:r>
      <w:r>
        <w:rPr>
          <w:sz w:val="20"/>
        </w:rPr>
        <w:t>State</w:t>
      </w:r>
      <w:r>
        <w:rPr>
          <w:spacing w:val="-4"/>
          <w:sz w:val="20"/>
        </w:rPr>
        <w:t xml:space="preserve"> </w:t>
      </w:r>
      <w:r>
        <w:rPr>
          <w:sz w:val="20"/>
        </w:rPr>
        <w:t>ID</w:t>
      </w:r>
      <w:r>
        <w:rPr>
          <w:spacing w:val="-7"/>
          <w:sz w:val="20"/>
        </w:rPr>
        <w:t xml:space="preserve"> </w:t>
      </w:r>
      <w:r>
        <w:rPr>
          <w:sz w:val="20"/>
        </w:rPr>
        <w:t>Documents:</w:t>
      </w:r>
      <w:r>
        <w:rPr>
          <w:spacing w:val="-6"/>
          <w:sz w:val="20"/>
        </w:rPr>
        <w:t xml:space="preserve"> </w:t>
      </w:r>
      <w:r>
        <w:rPr>
          <w:sz w:val="20"/>
        </w:rPr>
        <w:t>State-Level</w:t>
      </w:r>
      <w:r>
        <w:rPr>
          <w:spacing w:val="-6"/>
          <w:sz w:val="20"/>
        </w:rPr>
        <w:t xml:space="preserve"> </w:t>
      </w:r>
      <w:r>
        <w:rPr>
          <w:sz w:val="20"/>
        </w:rPr>
        <w:t>Policy</w:t>
      </w:r>
      <w:r>
        <w:rPr>
          <w:spacing w:val="-4"/>
          <w:sz w:val="20"/>
        </w:rPr>
        <w:t xml:space="preserve"> </w:t>
      </w:r>
      <w:r>
        <w:rPr>
          <w:sz w:val="20"/>
        </w:rPr>
        <w:t xml:space="preserve">Impacts. </w:t>
      </w:r>
      <w:bookmarkStart w:id="285" w:name="_bookmark170"/>
      <w:bookmarkEnd w:id="285"/>
      <w:r>
        <w:rPr>
          <w:sz w:val="20"/>
        </w:rPr>
        <w:t xml:space="preserve">Williams Institute, UCLA School of Law. Retrieved from: </w:t>
      </w:r>
      <w:hyperlink r:id="rId211">
        <w:r>
          <w:rPr>
            <w:spacing w:val="-2"/>
            <w:sz w:val="20"/>
          </w:rPr>
          <w:t>https</w:t>
        </w:r>
        <w:r>
          <w:rPr>
            <w:spacing w:val="-2"/>
            <w:sz w:val="20"/>
          </w:rPr>
          <w:t>://williamsinstitute.law.ucla.edu/publications/gender-marker-policies/</w:t>
        </w:r>
      </w:hyperlink>
    </w:p>
    <w:p w:rsidR="00C76E6D" w:rsidRDefault="00913831">
      <w:pPr>
        <w:ind w:left="480" w:right="530" w:hanging="2"/>
        <w:rPr>
          <w:sz w:val="20"/>
        </w:rPr>
      </w:pPr>
      <w:r>
        <w:rPr>
          <w:sz w:val="20"/>
          <w:vertAlign w:val="superscript"/>
        </w:rPr>
        <w:t>8</w:t>
      </w:r>
      <w:r>
        <w:rPr>
          <w:sz w:val="20"/>
        </w:rPr>
        <w:t xml:space="preserve"> DeChants, J. P., Price, M. N., Green, A. E., Davis, C. K., &amp; Pick, C. J. (2022). Association of Updating Identification Documents</w:t>
      </w:r>
      <w:r>
        <w:rPr>
          <w:spacing w:val="-7"/>
          <w:sz w:val="20"/>
        </w:rPr>
        <w:t xml:space="preserve"> </w:t>
      </w:r>
      <w:r>
        <w:rPr>
          <w:sz w:val="20"/>
        </w:rPr>
        <w:t>with</w:t>
      </w:r>
      <w:r>
        <w:rPr>
          <w:spacing w:val="-7"/>
          <w:sz w:val="20"/>
        </w:rPr>
        <w:t xml:space="preserve"> </w:t>
      </w:r>
      <w:r>
        <w:rPr>
          <w:sz w:val="20"/>
        </w:rPr>
        <w:t>Suicidal</w:t>
      </w:r>
      <w:r>
        <w:rPr>
          <w:spacing w:val="-8"/>
          <w:sz w:val="20"/>
        </w:rPr>
        <w:t xml:space="preserve"> </w:t>
      </w:r>
      <w:r>
        <w:rPr>
          <w:sz w:val="20"/>
        </w:rPr>
        <w:t>Ideation</w:t>
      </w:r>
      <w:r>
        <w:rPr>
          <w:spacing w:val="-6"/>
          <w:sz w:val="20"/>
        </w:rPr>
        <w:t xml:space="preserve"> </w:t>
      </w:r>
      <w:r>
        <w:rPr>
          <w:sz w:val="20"/>
        </w:rPr>
        <w:t>and</w:t>
      </w:r>
      <w:r>
        <w:rPr>
          <w:spacing w:val="-8"/>
          <w:sz w:val="20"/>
        </w:rPr>
        <w:t xml:space="preserve"> </w:t>
      </w:r>
      <w:r>
        <w:rPr>
          <w:sz w:val="20"/>
        </w:rPr>
        <w:t>Attempts</w:t>
      </w:r>
      <w:r>
        <w:rPr>
          <w:spacing w:val="-7"/>
          <w:sz w:val="20"/>
        </w:rPr>
        <w:t xml:space="preserve"> </w:t>
      </w:r>
      <w:r>
        <w:rPr>
          <w:sz w:val="20"/>
        </w:rPr>
        <w:t>among</w:t>
      </w:r>
      <w:r>
        <w:rPr>
          <w:spacing w:val="-5"/>
          <w:sz w:val="20"/>
        </w:rPr>
        <w:t xml:space="preserve"> </w:t>
      </w:r>
      <w:r>
        <w:rPr>
          <w:sz w:val="20"/>
        </w:rPr>
        <w:t>Transgender</w:t>
      </w:r>
      <w:r>
        <w:rPr>
          <w:spacing w:val="-7"/>
          <w:sz w:val="20"/>
        </w:rPr>
        <w:t xml:space="preserve"> </w:t>
      </w:r>
      <w:r>
        <w:rPr>
          <w:sz w:val="20"/>
        </w:rPr>
        <w:t>and</w:t>
      </w:r>
      <w:r>
        <w:rPr>
          <w:spacing w:val="-8"/>
          <w:sz w:val="20"/>
        </w:rPr>
        <w:t xml:space="preserve"> </w:t>
      </w:r>
      <w:r>
        <w:rPr>
          <w:sz w:val="20"/>
        </w:rPr>
        <w:t>Nonbinary</w:t>
      </w:r>
      <w:r>
        <w:rPr>
          <w:spacing w:val="-6"/>
          <w:sz w:val="20"/>
        </w:rPr>
        <w:t xml:space="preserve"> </w:t>
      </w:r>
      <w:r>
        <w:rPr>
          <w:sz w:val="20"/>
        </w:rPr>
        <w:t>Youth.</w:t>
      </w:r>
      <w:r>
        <w:rPr>
          <w:spacing w:val="-7"/>
          <w:sz w:val="20"/>
        </w:rPr>
        <w:t xml:space="preserve"> </w:t>
      </w:r>
      <w:r>
        <w:rPr>
          <w:sz w:val="20"/>
        </w:rPr>
        <w:t>International</w:t>
      </w:r>
      <w:r>
        <w:rPr>
          <w:spacing w:val="-7"/>
          <w:sz w:val="20"/>
        </w:rPr>
        <w:t xml:space="preserve"> </w:t>
      </w:r>
      <w:r>
        <w:rPr>
          <w:sz w:val="20"/>
        </w:rPr>
        <w:t>Journal</w:t>
      </w:r>
      <w:r>
        <w:rPr>
          <w:spacing w:val="-7"/>
          <w:sz w:val="20"/>
        </w:rPr>
        <w:t xml:space="preserve"> </w:t>
      </w:r>
      <w:r>
        <w:rPr>
          <w:sz w:val="20"/>
        </w:rPr>
        <w:t xml:space="preserve">of </w:t>
      </w:r>
      <w:bookmarkStart w:id="286" w:name="_bookmark171"/>
      <w:bookmarkEnd w:id="286"/>
      <w:r>
        <w:rPr>
          <w:sz w:val="20"/>
        </w:rPr>
        <w:t xml:space="preserve">Environmental Research and Public Health, 19(9), 5016. MDPI AG. Retrieved from </w:t>
      </w:r>
      <w:bookmarkStart w:id="287" w:name="_bookmark172"/>
      <w:bookmarkEnd w:id="287"/>
      <w:r>
        <w:fldChar w:fldCharType="begin"/>
      </w:r>
      <w:r>
        <w:instrText xml:space="preserve"> HYPERLINK "http://dx.doi.org/10.3390/ijerph19095016" \h </w:instrText>
      </w:r>
      <w:r>
        <w:fldChar w:fldCharType="separate"/>
      </w:r>
      <w:r>
        <w:rPr>
          <w:spacing w:val="-2"/>
          <w:sz w:val="20"/>
        </w:rPr>
        <w:t>http://dx.doi.org/10.3390/ijerph19095016</w:t>
      </w:r>
      <w:r>
        <w:rPr>
          <w:spacing w:val="-2"/>
          <w:sz w:val="20"/>
        </w:rPr>
        <w:fldChar w:fldCharType="end"/>
      </w:r>
    </w:p>
    <w:p w:rsidR="00C76E6D" w:rsidRDefault="00913831">
      <w:pPr>
        <w:spacing w:before="3" w:line="241" w:lineRule="exact"/>
        <w:ind w:left="480"/>
        <w:rPr>
          <w:sz w:val="20"/>
        </w:rPr>
      </w:pPr>
      <w:r>
        <w:rPr>
          <w:sz w:val="20"/>
          <w:vertAlign w:val="superscript"/>
        </w:rPr>
        <w:t>9</w:t>
      </w:r>
      <w:r>
        <w:rPr>
          <w:spacing w:val="-4"/>
          <w:sz w:val="20"/>
        </w:rPr>
        <w:t xml:space="preserve"> </w:t>
      </w:r>
      <w:r>
        <w:rPr>
          <w:sz w:val="20"/>
        </w:rPr>
        <w:t>Herman,</w:t>
      </w:r>
      <w:r>
        <w:rPr>
          <w:spacing w:val="-5"/>
          <w:sz w:val="20"/>
        </w:rPr>
        <w:t xml:space="preserve"> </w:t>
      </w:r>
      <w:r>
        <w:rPr>
          <w:sz w:val="20"/>
        </w:rPr>
        <w:t>J.</w:t>
      </w:r>
      <w:r>
        <w:rPr>
          <w:spacing w:val="-5"/>
          <w:sz w:val="20"/>
        </w:rPr>
        <w:t xml:space="preserve"> </w:t>
      </w:r>
      <w:r>
        <w:rPr>
          <w:sz w:val="20"/>
        </w:rPr>
        <w:t>and</w:t>
      </w:r>
      <w:r>
        <w:rPr>
          <w:spacing w:val="-4"/>
          <w:sz w:val="20"/>
        </w:rPr>
        <w:t xml:space="preserve"> </w:t>
      </w:r>
      <w:r>
        <w:rPr>
          <w:sz w:val="20"/>
        </w:rPr>
        <w:t>O’Neill,</w:t>
      </w:r>
      <w:r>
        <w:rPr>
          <w:spacing w:val="-5"/>
          <w:sz w:val="20"/>
        </w:rPr>
        <w:t xml:space="preserve"> </w:t>
      </w:r>
      <w:r>
        <w:rPr>
          <w:sz w:val="20"/>
        </w:rPr>
        <w:t>K.</w:t>
      </w:r>
      <w:r>
        <w:rPr>
          <w:spacing w:val="-5"/>
          <w:sz w:val="20"/>
        </w:rPr>
        <w:t xml:space="preserve"> </w:t>
      </w:r>
      <w:r>
        <w:rPr>
          <w:spacing w:val="-2"/>
          <w:sz w:val="20"/>
        </w:rPr>
        <w:t>(2021).</w:t>
      </w:r>
    </w:p>
    <w:p w:rsidR="00C76E6D" w:rsidRDefault="00913831">
      <w:pPr>
        <w:ind w:left="478" w:right="530"/>
        <w:rPr>
          <w:sz w:val="20"/>
        </w:rPr>
      </w:pPr>
      <w:r>
        <w:rPr>
          <w:sz w:val="20"/>
          <w:vertAlign w:val="superscript"/>
        </w:rPr>
        <w:t>10</w:t>
      </w:r>
      <w:r>
        <w:rPr>
          <w:sz w:val="20"/>
        </w:rPr>
        <w:t xml:space="preserve"> Perri, M., Dosani, N., &amp; Hwang, S. W. (2020). COVID-19 and people experiencing homelessness: challenges and mitigation strategies. CMAJ. 192(26), E716–E719. </w:t>
      </w:r>
      <w:hyperlink r:id="rId212">
        <w:r>
          <w:rPr>
            <w:color w:val="0561C1"/>
            <w:sz w:val="20"/>
            <w:u w:val="single" w:color="0561C1"/>
          </w:rPr>
          <w:t>https://doi.org/10.1503/cmaj.2008</w:t>
        </w:r>
        <w:r>
          <w:rPr>
            <w:color w:val="0561C1"/>
            <w:sz w:val="20"/>
            <w:u w:val="single" w:color="0561C1"/>
          </w:rPr>
          <w:t>34</w:t>
        </w:r>
        <w:r>
          <w:rPr>
            <w:sz w:val="20"/>
          </w:rPr>
          <w:t xml:space="preserve">; </w:t>
        </w:r>
      </w:hyperlink>
      <w:r>
        <w:rPr>
          <w:sz w:val="20"/>
        </w:rPr>
        <w:t>Corey, J., Lyons, J., O'Carroll,</w:t>
      </w:r>
      <w:r>
        <w:rPr>
          <w:spacing w:val="-5"/>
          <w:sz w:val="20"/>
        </w:rPr>
        <w:t xml:space="preserve"> </w:t>
      </w:r>
      <w:r>
        <w:rPr>
          <w:sz w:val="20"/>
        </w:rPr>
        <w:t>A.,</w:t>
      </w:r>
      <w:r>
        <w:rPr>
          <w:spacing w:val="-5"/>
          <w:sz w:val="20"/>
        </w:rPr>
        <w:t xml:space="preserve"> </w:t>
      </w:r>
      <w:r>
        <w:rPr>
          <w:sz w:val="20"/>
        </w:rPr>
        <w:t>Stafford,</w:t>
      </w:r>
      <w:r>
        <w:rPr>
          <w:spacing w:val="-6"/>
          <w:sz w:val="20"/>
        </w:rPr>
        <w:t xml:space="preserve"> </w:t>
      </w:r>
      <w:r>
        <w:rPr>
          <w:sz w:val="20"/>
        </w:rPr>
        <w:t>R.,</w:t>
      </w:r>
      <w:r>
        <w:rPr>
          <w:spacing w:val="-4"/>
          <w:sz w:val="20"/>
        </w:rPr>
        <w:t xml:space="preserve"> </w:t>
      </w:r>
      <w:r>
        <w:rPr>
          <w:sz w:val="20"/>
        </w:rPr>
        <w:t>&amp;</w:t>
      </w:r>
      <w:r>
        <w:rPr>
          <w:spacing w:val="-5"/>
          <w:sz w:val="20"/>
        </w:rPr>
        <w:t xml:space="preserve"> </w:t>
      </w:r>
      <w:r>
        <w:rPr>
          <w:sz w:val="20"/>
        </w:rPr>
        <w:t>Ivers,</w:t>
      </w:r>
      <w:r>
        <w:rPr>
          <w:spacing w:val="-4"/>
          <w:sz w:val="20"/>
        </w:rPr>
        <w:t xml:space="preserve"> </w:t>
      </w:r>
      <w:r>
        <w:rPr>
          <w:sz w:val="20"/>
        </w:rPr>
        <w:t>J.</w:t>
      </w:r>
      <w:r>
        <w:rPr>
          <w:spacing w:val="-5"/>
          <w:sz w:val="20"/>
        </w:rPr>
        <w:t xml:space="preserve"> </w:t>
      </w:r>
      <w:r>
        <w:rPr>
          <w:sz w:val="20"/>
        </w:rPr>
        <w:t>H.</w:t>
      </w:r>
      <w:r>
        <w:rPr>
          <w:spacing w:val="-5"/>
          <w:sz w:val="20"/>
        </w:rPr>
        <w:t xml:space="preserve"> </w:t>
      </w:r>
      <w:r>
        <w:rPr>
          <w:sz w:val="20"/>
        </w:rPr>
        <w:t>(2022).</w:t>
      </w:r>
      <w:r>
        <w:rPr>
          <w:spacing w:val="-6"/>
          <w:sz w:val="20"/>
        </w:rPr>
        <w:t xml:space="preserve"> </w:t>
      </w:r>
      <w:r>
        <w:rPr>
          <w:sz w:val="20"/>
        </w:rPr>
        <w:t>A</w:t>
      </w:r>
      <w:r>
        <w:rPr>
          <w:spacing w:val="-5"/>
          <w:sz w:val="20"/>
        </w:rPr>
        <w:t xml:space="preserve"> </w:t>
      </w:r>
      <w:r>
        <w:rPr>
          <w:sz w:val="20"/>
        </w:rPr>
        <w:t>Scoping</w:t>
      </w:r>
      <w:r>
        <w:rPr>
          <w:spacing w:val="-5"/>
          <w:sz w:val="20"/>
        </w:rPr>
        <w:t xml:space="preserve"> </w:t>
      </w:r>
      <w:r>
        <w:rPr>
          <w:sz w:val="20"/>
        </w:rPr>
        <w:t>Review</w:t>
      </w:r>
      <w:r>
        <w:rPr>
          <w:spacing w:val="-6"/>
          <w:sz w:val="20"/>
        </w:rPr>
        <w:t xml:space="preserve"> </w:t>
      </w:r>
      <w:r>
        <w:rPr>
          <w:sz w:val="20"/>
        </w:rPr>
        <w:t>of</w:t>
      </w:r>
      <w:r>
        <w:rPr>
          <w:spacing w:val="-4"/>
          <w:sz w:val="20"/>
        </w:rPr>
        <w:t xml:space="preserve"> </w:t>
      </w:r>
      <w:r>
        <w:rPr>
          <w:sz w:val="20"/>
        </w:rPr>
        <w:t>the</w:t>
      </w:r>
      <w:r>
        <w:rPr>
          <w:spacing w:val="-6"/>
          <w:sz w:val="20"/>
        </w:rPr>
        <w:t xml:space="preserve"> </w:t>
      </w:r>
      <w:r>
        <w:rPr>
          <w:sz w:val="20"/>
        </w:rPr>
        <w:t>Health</w:t>
      </w:r>
      <w:r>
        <w:rPr>
          <w:spacing w:val="-4"/>
          <w:sz w:val="20"/>
        </w:rPr>
        <w:t xml:space="preserve"> </w:t>
      </w:r>
      <w:r>
        <w:rPr>
          <w:sz w:val="20"/>
        </w:rPr>
        <w:t>Impact</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COVID-19</w:t>
      </w:r>
      <w:r>
        <w:rPr>
          <w:spacing w:val="-6"/>
          <w:sz w:val="20"/>
        </w:rPr>
        <w:t xml:space="preserve"> </w:t>
      </w:r>
      <w:r>
        <w:rPr>
          <w:sz w:val="20"/>
        </w:rPr>
        <w:t>Pandemic</w:t>
      </w:r>
      <w:r>
        <w:rPr>
          <w:spacing w:val="-5"/>
          <w:sz w:val="20"/>
        </w:rPr>
        <w:t xml:space="preserve"> </w:t>
      </w:r>
      <w:r>
        <w:rPr>
          <w:sz w:val="20"/>
        </w:rPr>
        <w:t xml:space="preserve">on </w:t>
      </w:r>
      <w:bookmarkStart w:id="288" w:name="_bookmark173"/>
      <w:bookmarkEnd w:id="288"/>
      <w:r>
        <w:rPr>
          <w:sz w:val="20"/>
        </w:rPr>
        <w:t>Persons</w:t>
      </w:r>
      <w:r>
        <w:rPr>
          <w:spacing w:val="-1"/>
          <w:sz w:val="20"/>
        </w:rPr>
        <w:t xml:space="preserve"> </w:t>
      </w:r>
      <w:r>
        <w:rPr>
          <w:sz w:val="20"/>
        </w:rPr>
        <w:t>Experiencing Homelessness</w:t>
      </w:r>
      <w:r>
        <w:rPr>
          <w:spacing w:val="-1"/>
          <w:sz w:val="20"/>
        </w:rPr>
        <w:t xml:space="preserve"> </w:t>
      </w:r>
      <w:r>
        <w:rPr>
          <w:sz w:val="20"/>
        </w:rPr>
        <w:t>in</w:t>
      </w:r>
      <w:r>
        <w:rPr>
          <w:spacing w:val="-1"/>
          <w:sz w:val="20"/>
        </w:rPr>
        <w:t xml:space="preserve"> </w:t>
      </w:r>
      <w:r>
        <w:rPr>
          <w:sz w:val="20"/>
        </w:rPr>
        <w:t>North</w:t>
      </w:r>
      <w:r>
        <w:rPr>
          <w:spacing w:val="-1"/>
          <w:sz w:val="20"/>
        </w:rPr>
        <w:t xml:space="preserve"> </w:t>
      </w:r>
      <w:r>
        <w:rPr>
          <w:sz w:val="20"/>
        </w:rPr>
        <w:t>America</w:t>
      </w:r>
      <w:r>
        <w:rPr>
          <w:spacing w:val="-1"/>
          <w:sz w:val="20"/>
        </w:rPr>
        <w:t xml:space="preserve"> </w:t>
      </w:r>
      <w:r>
        <w:rPr>
          <w:sz w:val="20"/>
        </w:rPr>
        <w:t>and</w:t>
      </w:r>
      <w:r>
        <w:rPr>
          <w:spacing w:val="-2"/>
          <w:sz w:val="20"/>
        </w:rPr>
        <w:t xml:space="preserve"> </w:t>
      </w:r>
      <w:r>
        <w:rPr>
          <w:sz w:val="20"/>
        </w:rPr>
        <w:t>Europe.</w:t>
      </w:r>
      <w:r>
        <w:rPr>
          <w:spacing w:val="-1"/>
          <w:sz w:val="20"/>
        </w:rPr>
        <w:t xml:space="preserve"> </w:t>
      </w:r>
      <w:r>
        <w:rPr>
          <w:i/>
          <w:sz w:val="20"/>
        </w:rPr>
        <w:t>International</w:t>
      </w:r>
      <w:r>
        <w:rPr>
          <w:i/>
          <w:spacing w:val="-3"/>
          <w:sz w:val="20"/>
        </w:rPr>
        <w:t xml:space="preserve"> </w:t>
      </w:r>
      <w:r>
        <w:rPr>
          <w:i/>
          <w:sz w:val="20"/>
        </w:rPr>
        <w:t>journal</w:t>
      </w:r>
      <w:r>
        <w:rPr>
          <w:i/>
          <w:spacing w:val="-3"/>
          <w:sz w:val="20"/>
        </w:rPr>
        <w:t xml:space="preserve"> </w:t>
      </w:r>
      <w:r>
        <w:rPr>
          <w:i/>
          <w:sz w:val="20"/>
        </w:rPr>
        <w:t>of</w:t>
      </w:r>
      <w:r>
        <w:rPr>
          <w:i/>
          <w:spacing w:val="-2"/>
          <w:sz w:val="20"/>
        </w:rPr>
        <w:t xml:space="preserve"> </w:t>
      </w:r>
      <w:r>
        <w:rPr>
          <w:i/>
          <w:sz w:val="20"/>
        </w:rPr>
        <w:t>environmental</w:t>
      </w:r>
      <w:r>
        <w:rPr>
          <w:i/>
          <w:spacing w:val="-1"/>
          <w:sz w:val="20"/>
        </w:rPr>
        <w:t xml:space="preserve"> </w:t>
      </w:r>
      <w:r>
        <w:rPr>
          <w:i/>
          <w:sz w:val="20"/>
        </w:rPr>
        <w:t>research</w:t>
      </w:r>
      <w:r>
        <w:rPr>
          <w:i/>
          <w:sz w:val="20"/>
        </w:rPr>
        <w:t xml:space="preserve"> and public health</w:t>
      </w:r>
      <w:r>
        <w:rPr>
          <w:sz w:val="20"/>
        </w:rPr>
        <w:t xml:space="preserve">, </w:t>
      </w:r>
      <w:r>
        <w:rPr>
          <w:i/>
          <w:sz w:val="20"/>
        </w:rPr>
        <w:t>19</w:t>
      </w:r>
      <w:r>
        <w:rPr>
          <w:sz w:val="20"/>
        </w:rPr>
        <w:t xml:space="preserve">(6), 3219. </w:t>
      </w:r>
      <w:hyperlink r:id="rId213">
        <w:r>
          <w:rPr>
            <w:color w:val="0561C1"/>
            <w:sz w:val="20"/>
            <w:u w:val="single" w:color="0561C1"/>
          </w:rPr>
          <w:t>https://doi.org/10.3390/ijerph19063219</w:t>
        </w:r>
      </w:hyperlink>
    </w:p>
    <w:p w:rsidR="00C76E6D" w:rsidRDefault="00913831">
      <w:pPr>
        <w:ind w:left="478" w:right="530"/>
        <w:rPr>
          <w:sz w:val="20"/>
        </w:rPr>
      </w:pPr>
      <w:r>
        <w:rPr>
          <w:sz w:val="20"/>
          <w:vertAlign w:val="superscript"/>
        </w:rPr>
        <w:t>11</w:t>
      </w:r>
      <w:r>
        <w:rPr>
          <w:sz w:val="20"/>
        </w:rPr>
        <w:t xml:space="preserve"> Perri, M. et al. (2020).; Mosites, E., Parker, E. M., Clarke, K., Gaeta, J. M., et al. COVID-19 Homelessness Team (2020).</w:t>
      </w:r>
      <w:r>
        <w:rPr>
          <w:spacing w:val="-6"/>
          <w:sz w:val="20"/>
        </w:rPr>
        <w:t xml:space="preserve"> </w:t>
      </w:r>
      <w:r>
        <w:rPr>
          <w:sz w:val="20"/>
        </w:rPr>
        <w:t>A</w:t>
      </w:r>
      <w:r>
        <w:rPr>
          <w:sz w:val="20"/>
        </w:rPr>
        <w:t>ssessment</w:t>
      </w:r>
      <w:r>
        <w:rPr>
          <w:spacing w:val="-4"/>
          <w:sz w:val="20"/>
        </w:rPr>
        <w:t xml:space="preserve"> </w:t>
      </w:r>
      <w:r>
        <w:rPr>
          <w:sz w:val="20"/>
        </w:rPr>
        <w:t>of</w:t>
      </w:r>
      <w:r>
        <w:rPr>
          <w:spacing w:val="-6"/>
          <w:sz w:val="20"/>
        </w:rPr>
        <w:t xml:space="preserve"> </w:t>
      </w:r>
      <w:r>
        <w:rPr>
          <w:sz w:val="20"/>
        </w:rPr>
        <w:t>SARS-CoV-2</w:t>
      </w:r>
      <w:r>
        <w:rPr>
          <w:spacing w:val="-5"/>
          <w:sz w:val="20"/>
        </w:rPr>
        <w:t xml:space="preserve"> </w:t>
      </w:r>
      <w:r>
        <w:rPr>
          <w:sz w:val="20"/>
        </w:rPr>
        <w:t>Infection</w:t>
      </w:r>
      <w:r>
        <w:rPr>
          <w:spacing w:val="-4"/>
          <w:sz w:val="20"/>
        </w:rPr>
        <w:t xml:space="preserve"> </w:t>
      </w:r>
      <w:r>
        <w:rPr>
          <w:sz w:val="20"/>
        </w:rPr>
        <w:t>Prevalence</w:t>
      </w:r>
      <w:r>
        <w:rPr>
          <w:spacing w:val="-6"/>
          <w:sz w:val="20"/>
        </w:rPr>
        <w:t xml:space="preserve"> </w:t>
      </w:r>
      <w:r>
        <w:rPr>
          <w:sz w:val="20"/>
        </w:rPr>
        <w:t>in</w:t>
      </w:r>
      <w:r>
        <w:rPr>
          <w:spacing w:val="-4"/>
          <w:sz w:val="20"/>
        </w:rPr>
        <w:t xml:space="preserve"> </w:t>
      </w:r>
      <w:r>
        <w:rPr>
          <w:sz w:val="20"/>
        </w:rPr>
        <w:t>Homeless</w:t>
      </w:r>
      <w:r>
        <w:rPr>
          <w:spacing w:val="-4"/>
          <w:sz w:val="20"/>
        </w:rPr>
        <w:t xml:space="preserve"> </w:t>
      </w:r>
      <w:r>
        <w:rPr>
          <w:sz w:val="20"/>
        </w:rPr>
        <w:t>Shelters</w:t>
      </w:r>
      <w:r>
        <w:rPr>
          <w:spacing w:val="-5"/>
          <w:sz w:val="20"/>
        </w:rPr>
        <w:t xml:space="preserve"> </w:t>
      </w:r>
      <w:r>
        <w:rPr>
          <w:sz w:val="20"/>
        </w:rPr>
        <w:t>-</w:t>
      </w:r>
      <w:r>
        <w:rPr>
          <w:spacing w:val="-5"/>
          <w:sz w:val="20"/>
        </w:rPr>
        <w:t xml:space="preserve"> </w:t>
      </w:r>
      <w:r>
        <w:rPr>
          <w:sz w:val="20"/>
        </w:rPr>
        <w:t>Four</w:t>
      </w:r>
      <w:r>
        <w:rPr>
          <w:spacing w:val="-6"/>
          <w:sz w:val="20"/>
        </w:rPr>
        <w:t xml:space="preserve"> </w:t>
      </w:r>
      <w:r>
        <w:rPr>
          <w:sz w:val="20"/>
        </w:rPr>
        <w:t>U.S.</w:t>
      </w:r>
      <w:r>
        <w:rPr>
          <w:spacing w:val="-4"/>
          <w:sz w:val="20"/>
        </w:rPr>
        <w:t xml:space="preserve"> </w:t>
      </w:r>
      <w:r>
        <w:rPr>
          <w:sz w:val="20"/>
        </w:rPr>
        <w:t>Cities,</w:t>
      </w:r>
      <w:r>
        <w:rPr>
          <w:spacing w:val="-5"/>
          <w:sz w:val="20"/>
        </w:rPr>
        <w:t xml:space="preserve"> </w:t>
      </w:r>
      <w:r>
        <w:rPr>
          <w:sz w:val="20"/>
        </w:rPr>
        <w:t>March</w:t>
      </w:r>
      <w:r>
        <w:rPr>
          <w:spacing w:val="-4"/>
          <w:sz w:val="20"/>
        </w:rPr>
        <w:t xml:space="preserve"> </w:t>
      </w:r>
      <w:r>
        <w:rPr>
          <w:sz w:val="20"/>
        </w:rPr>
        <w:t>27-April</w:t>
      </w:r>
      <w:r>
        <w:rPr>
          <w:spacing w:val="-5"/>
          <w:sz w:val="20"/>
        </w:rPr>
        <w:t xml:space="preserve"> </w:t>
      </w:r>
      <w:r>
        <w:rPr>
          <w:sz w:val="20"/>
        </w:rPr>
        <w:t xml:space="preserve">15, </w:t>
      </w:r>
      <w:bookmarkStart w:id="289" w:name="_bookmark174"/>
      <w:bookmarkEnd w:id="289"/>
      <w:r>
        <w:rPr>
          <w:sz w:val="20"/>
        </w:rPr>
        <w:t xml:space="preserve">2020. </w:t>
      </w:r>
      <w:r>
        <w:rPr>
          <w:i/>
          <w:sz w:val="20"/>
        </w:rPr>
        <w:t>MMWR. Morbidity and mortality weekly report</w:t>
      </w:r>
      <w:r>
        <w:rPr>
          <w:sz w:val="20"/>
        </w:rPr>
        <w:t xml:space="preserve">, </w:t>
      </w:r>
      <w:r>
        <w:rPr>
          <w:i/>
          <w:sz w:val="20"/>
        </w:rPr>
        <w:t>69</w:t>
      </w:r>
      <w:r>
        <w:rPr>
          <w:sz w:val="20"/>
        </w:rPr>
        <w:t xml:space="preserve">(17), 521–522. </w:t>
      </w:r>
      <w:r>
        <w:rPr>
          <w:spacing w:val="-2"/>
          <w:sz w:val="20"/>
        </w:rPr>
        <w:t>https://doi.org/10.15585/mmwr.mm6917e1</w:t>
      </w:r>
    </w:p>
    <w:p w:rsidR="00C76E6D" w:rsidRDefault="00913831">
      <w:pPr>
        <w:ind w:left="479" w:right="541"/>
        <w:rPr>
          <w:sz w:val="20"/>
        </w:rPr>
      </w:pPr>
      <w:r>
        <w:rPr>
          <w:sz w:val="20"/>
          <w:vertAlign w:val="superscript"/>
        </w:rPr>
        <w:t>12</w:t>
      </w:r>
      <w:r>
        <w:rPr>
          <w:sz w:val="20"/>
        </w:rPr>
        <w:t xml:space="preserve"> Kuhr, E. (2020). Coronavirus pandemic a p</w:t>
      </w:r>
      <w:r>
        <w:rPr>
          <w:sz w:val="20"/>
        </w:rPr>
        <w:t xml:space="preserve">erfect storm for LGBTQ homeless youth. NBC News. Retrieved from </w:t>
      </w:r>
      <w:hyperlink r:id="rId214">
        <w:r>
          <w:rPr>
            <w:color w:val="0561C1"/>
            <w:spacing w:val="-2"/>
            <w:sz w:val="20"/>
            <w:u w:val="single" w:color="0561C1"/>
          </w:rPr>
          <w:t>https://www.nbcnews.com/feature/nbc-out/coronavirus-pandemic-perfect</w:t>
        </w:r>
        <w:r>
          <w:rPr>
            <w:color w:val="0561C1"/>
            <w:spacing w:val="-2"/>
            <w:sz w:val="20"/>
            <w:u w:val="single" w:color="0561C1"/>
          </w:rPr>
          <w:t>-storm-lgbtq-homeless-youth-</w:t>
        </w:r>
      </w:hyperlink>
      <w:r>
        <w:rPr>
          <w:color w:val="0561C1"/>
          <w:spacing w:val="40"/>
          <w:sz w:val="20"/>
        </w:rPr>
        <w:t xml:space="preserve"> </w:t>
      </w:r>
      <w:hyperlink r:id="rId215">
        <w:r>
          <w:rPr>
            <w:color w:val="0561C1"/>
            <w:sz w:val="20"/>
            <w:u w:val="single" w:color="0561C1"/>
          </w:rPr>
          <w:t>n1176206</w:t>
        </w:r>
        <w:r>
          <w:rPr>
            <w:sz w:val="20"/>
          </w:rPr>
          <w:t>;</w:t>
        </w:r>
        <w:r>
          <w:rPr>
            <w:spacing w:val="-6"/>
            <w:sz w:val="20"/>
          </w:rPr>
          <w:t xml:space="preserve"> </w:t>
        </w:r>
      </w:hyperlink>
      <w:r>
        <w:rPr>
          <w:sz w:val="20"/>
        </w:rPr>
        <w:t>Fraielli,</w:t>
      </w:r>
      <w:r>
        <w:rPr>
          <w:spacing w:val="-6"/>
          <w:sz w:val="20"/>
        </w:rPr>
        <w:t xml:space="preserve"> </w:t>
      </w:r>
      <w:r>
        <w:rPr>
          <w:sz w:val="20"/>
        </w:rPr>
        <w:t>A.</w:t>
      </w:r>
      <w:r>
        <w:rPr>
          <w:spacing w:val="-7"/>
          <w:sz w:val="20"/>
        </w:rPr>
        <w:t xml:space="preserve"> </w:t>
      </w:r>
      <w:r>
        <w:rPr>
          <w:sz w:val="20"/>
        </w:rPr>
        <w:t>(2021),</w:t>
      </w:r>
      <w:r>
        <w:rPr>
          <w:spacing w:val="-10"/>
          <w:sz w:val="20"/>
        </w:rPr>
        <w:t xml:space="preserve"> </w:t>
      </w:r>
      <w:r>
        <w:rPr>
          <w:sz w:val="20"/>
        </w:rPr>
        <w:t>Disproportionately</w:t>
      </w:r>
      <w:r>
        <w:rPr>
          <w:spacing w:val="-6"/>
          <w:sz w:val="20"/>
        </w:rPr>
        <w:t xml:space="preserve"> </w:t>
      </w:r>
      <w:r>
        <w:rPr>
          <w:sz w:val="20"/>
        </w:rPr>
        <w:t>representing</w:t>
      </w:r>
      <w:r>
        <w:rPr>
          <w:spacing w:val="-8"/>
          <w:sz w:val="20"/>
        </w:rPr>
        <w:t xml:space="preserve"> </w:t>
      </w:r>
      <w:r>
        <w:rPr>
          <w:sz w:val="20"/>
        </w:rPr>
        <w:t>homeless</w:t>
      </w:r>
      <w:r>
        <w:rPr>
          <w:spacing w:val="-7"/>
          <w:sz w:val="20"/>
        </w:rPr>
        <w:t xml:space="preserve"> </w:t>
      </w:r>
      <w:r>
        <w:rPr>
          <w:sz w:val="20"/>
        </w:rPr>
        <w:t>youth,</w:t>
      </w:r>
      <w:r>
        <w:rPr>
          <w:spacing w:val="-6"/>
          <w:sz w:val="20"/>
        </w:rPr>
        <w:t xml:space="preserve"> </w:t>
      </w:r>
      <w:r>
        <w:rPr>
          <w:sz w:val="20"/>
        </w:rPr>
        <w:t>depressed</w:t>
      </w:r>
      <w:r>
        <w:rPr>
          <w:spacing w:val="-7"/>
          <w:sz w:val="20"/>
        </w:rPr>
        <w:t xml:space="preserve"> </w:t>
      </w:r>
      <w:r>
        <w:rPr>
          <w:sz w:val="20"/>
        </w:rPr>
        <w:t>and</w:t>
      </w:r>
      <w:r>
        <w:rPr>
          <w:spacing w:val="-6"/>
          <w:sz w:val="20"/>
        </w:rPr>
        <w:t xml:space="preserve"> </w:t>
      </w:r>
      <w:r>
        <w:rPr>
          <w:sz w:val="20"/>
        </w:rPr>
        <w:t>anxious,</w:t>
      </w:r>
      <w:r>
        <w:rPr>
          <w:spacing w:val="-9"/>
          <w:sz w:val="20"/>
        </w:rPr>
        <w:t xml:space="preserve"> </w:t>
      </w:r>
      <w:r>
        <w:rPr>
          <w:sz w:val="20"/>
        </w:rPr>
        <w:t>suicidal</w:t>
      </w:r>
      <w:r>
        <w:rPr>
          <w:spacing w:val="-7"/>
          <w:sz w:val="20"/>
        </w:rPr>
        <w:t xml:space="preserve"> </w:t>
      </w:r>
      <w:r>
        <w:rPr>
          <w:sz w:val="20"/>
        </w:rPr>
        <w:t xml:space="preserve">and </w:t>
      </w:r>
      <w:bookmarkStart w:id="290" w:name="_bookmark175"/>
      <w:bookmarkEnd w:id="290"/>
      <w:r>
        <w:rPr>
          <w:sz w:val="20"/>
        </w:rPr>
        <w:t xml:space="preserve">unhoused: homeless LGBT youth now face even more challenges due to COVID-19. Homeless Voice. Retrieved from </w:t>
      </w:r>
      <w:hyperlink r:id="rId216">
        <w:r>
          <w:rPr>
            <w:color w:val="0561C1"/>
            <w:sz w:val="20"/>
            <w:u w:val="single" w:color="0561C1"/>
          </w:rPr>
          <w:t>https://homelessvoice.org/t</w:t>
        </w:r>
        <w:r>
          <w:rPr>
            <w:color w:val="0561C1"/>
            <w:sz w:val="20"/>
            <w:u w:val="single" w:color="0561C1"/>
          </w:rPr>
          <w:t>he-worsening-challenges-of-homeless-lgbt-youth-in-a-pandemic/</w:t>
        </w:r>
      </w:hyperlink>
    </w:p>
    <w:p w:rsidR="00C76E6D" w:rsidRDefault="00913831">
      <w:pPr>
        <w:ind w:left="479" w:right="608" w:hanging="1"/>
        <w:jc w:val="both"/>
        <w:rPr>
          <w:sz w:val="20"/>
        </w:rPr>
      </w:pPr>
      <w:r>
        <w:rPr>
          <w:sz w:val="20"/>
          <w:vertAlign w:val="superscript"/>
        </w:rPr>
        <w:t>13</w:t>
      </w:r>
      <w:r>
        <w:rPr>
          <w:spacing w:val="-2"/>
          <w:sz w:val="20"/>
        </w:rPr>
        <w:t xml:space="preserve"> </w:t>
      </w:r>
      <w:bookmarkStart w:id="291" w:name="_bookmark176"/>
      <w:bookmarkEnd w:id="291"/>
      <w:r>
        <w:rPr>
          <w:sz w:val="20"/>
        </w:rPr>
        <w:t>Weaver,</w:t>
      </w:r>
      <w:r>
        <w:rPr>
          <w:spacing w:val="-3"/>
          <w:sz w:val="20"/>
        </w:rPr>
        <w:t xml:space="preserve"> </w:t>
      </w:r>
      <w:r>
        <w:rPr>
          <w:sz w:val="20"/>
        </w:rPr>
        <w:t>J.</w:t>
      </w:r>
      <w:r>
        <w:rPr>
          <w:spacing w:val="-2"/>
          <w:sz w:val="20"/>
        </w:rPr>
        <w:t xml:space="preserve"> </w:t>
      </w:r>
      <w:r>
        <w:rPr>
          <w:sz w:val="20"/>
        </w:rPr>
        <w:t>(2020).</w:t>
      </w:r>
      <w:r>
        <w:rPr>
          <w:spacing w:val="-2"/>
          <w:sz w:val="20"/>
        </w:rPr>
        <w:t xml:space="preserve"> </w:t>
      </w:r>
      <w:r>
        <w:rPr>
          <w:sz w:val="20"/>
        </w:rPr>
        <w:t>Implications</w:t>
      </w:r>
      <w:r>
        <w:rPr>
          <w:spacing w:val="-2"/>
          <w:sz w:val="20"/>
        </w:rPr>
        <w:t xml:space="preserve"> </w:t>
      </w:r>
      <w:r>
        <w:rPr>
          <w:sz w:val="20"/>
        </w:rPr>
        <w:t>of</w:t>
      </w:r>
      <w:r>
        <w:rPr>
          <w:spacing w:val="-2"/>
          <w:sz w:val="20"/>
        </w:rPr>
        <w:t xml:space="preserve"> </w:t>
      </w:r>
      <w:r>
        <w:rPr>
          <w:sz w:val="20"/>
        </w:rPr>
        <w:t>COVID-19</w:t>
      </w:r>
      <w:r>
        <w:rPr>
          <w:spacing w:val="-2"/>
          <w:sz w:val="20"/>
        </w:rPr>
        <w:t xml:space="preserve"> </w:t>
      </w:r>
      <w:r>
        <w:rPr>
          <w:sz w:val="20"/>
        </w:rPr>
        <w:t>for</w:t>
      </w:r>
      <w:r>
        <w:rPr>
          <w:spacing w:val="-2"/>
          <w:sz w:val="20"/>
        </w:rPr>
        <w:t xml:space="preserve"> </w:t>
      </w:r>
      <w:r>
        <w:rPr>
          <w:sz w:val="20"/>
        </w:rPr>
        <w:t>LGBTQ</w:t>
      </w:r>
      <w:r>
        <w:rPr>
          <w:spacing w:val="-3"/>
          <w:sz w:val="20"/>
        </w:rPr>
        <w:t xml:space="preserve"> </w:t>
      </w:r>
      <w:r>
        <w:rPr>
          <w:sz w:val="20"/>
        </w:rPr>
        <w:t>Youth</w:t>
      </w:r>
      <w:r>
        <w:rPr>
          <w:spacing w:val="-3"/>
          <w:sz w:val="20"/>
        </w:rPr>
        <w:t xml:space="preserve"> </w:t>
      </w:r>
      <w:r>
        <w:rPr>
          <w:sz w:val="20"/>
        </w:rPr>
        <w:t>Mental</w:t>
      </w:r>
      <w:r>
        <w:rPr>
          <w:spacing w:val="-2"/>
          <w:sz w:val="20"/>
        </w:rPr>
        <w:t xml:space="preserve"> </w:t>
      </w:r>
      <w:r>
        <w:rPr>
          <w:sz w:val="20"/>
        </w:rPr>
        <w:t>Health</w:t>
      </w:r>
      <w:r>
        <w:rPr>
          <w:spacing w:val="-2"/>
          <w:sz w:val="20"/>
        </w:rPr>
        <w:t xml:space="preserve"> </w:t>
      </w:r>
      <w:r>
        <w:rPr>
          <w:sz w:val="20"/>
        </w:rPr>
        <w:t>and</w:t>
      </w:r>
      <w:r>
        <w:rPr>
          <w:spacing w:val="-3"/>
          <w:sz w:val="20"/>
        </w:rPr>
        <w:t xml:space="preserve"> </w:t>
      </w:r>
      <w:r>
        <w:rPr>
          <w:sz w:val="20"/>
        </w:rPr>
        <w:t>Suicide</w:t>
      </w:r>
      <w:r>
        <w:rPr>
          <w:spacing w:val="-2"/>
          <w:sz w:val="20"/>
        </w:rPr>
        <w:t xml:space="preserve"> </w:t>
      </w:r>
      <w:r>
        <w:rPr>
          <w:sz w:val="20"/>
        </w:rPr>
        <w:t>Prevention.</w:t>
      </w:r>
      <w:r>
        <w:rPr>
          <w:spacing w:val="-4"/>
          <w:sz w:val="20"/>
        </w:rPr>
        <w:t xml:space="preserve"> </w:t>
      </w:r>
      <w:r>
        <w:rPr>
          <w:sz w:val="20"/>
        </w:rPr>
        <w:t>The</w:t>
      </w:r>
      <w:r>
        <w:rPr>
          <w:spacing w:val="-2"/>
          <w:sz w:val="20"/>
        </w:rPr>
        <w:t xml:space="preserve"> </w:t>
      </w:r>
      <w:r>
        <w:rPr>
          <w:sz w:val="20"/>
        </w:rPr>
        <w:t>Trevor Project.</w:t>
      </w:r>
      <w:r>
        <w:rPr>
          <w:spacing w:val="-6"/>
          <w:sz w:val="20"/>
        </w:rPr>
        <w:t xml:space="preserve"> </w:t>
      </w:r>
      <w:r>
        <w:rPr>
          <w:sz w:val="20"/>
        </w:rPr>
        <w:t>Retrieved</w:t>
      </w:r>
      <w:r>
        <w:rPr>
          <w:spacing w:val="-5"/>
          <w:sz w:val="20"/>
        </w:rPr>
        <w:t xml:space="preserve"> </w:t>
      </w:r>
      <w:r>
        <w:rPr>
          <w:sz w:val="20"/>
        </w:rPr>
        <w:t>from</w:t>
      </w:r>
      <w:r>
        <w:rPr>
          <w:spacing w:val="-5"/>
          <w:sz w:val="20"/>
        </w:rPr>
        <w:t xml:space="preserve"> </w:t>
      </w:r>
      <w:r>
        <w:rPr>
          <w:sz w:val="20"/>
        </w:rPr>
        <w:t>https://</w:t>
      </w:r>
      <w:hyperlink r:id="rId217">
        <w:r>
          <w:rPr>
            <w:sz w:val="20"/>
          </w:rPr>
          <w:t>www.thetrevorproject.org/blog/implications-of-covid-19-for-lgbtq-youth-mental-</w:t>
        </w:r>
      </w:hyperlink>
      <w:r>
        <w:rPr>
          <w:sz w:val="20"/>
        </w:rPr>
        <w:t xml:space="preserve"> </w:t>
      </w:r>
      <w:r>
        <w:rPr>
          <w:spacing w:val="-2"/>
          <w:sz w:val="20"/>
        </w:rPr>
        <w:t>health-and-suicide-prevention/</w:t>
      </w:r>
    </w:p>
    <w:p w:rsidR="00C76E6D" w:rsidRDefault="00913831">
      <w:pPr>
        <w:spacing w:before="1"/>
        <w:ind w:left="480"/>
        <w:jc w:val="both"/>
        <w:rPr>
          <w:sz w:val="20"/>
        </w:rPr>
      </w:pPr>
      <w:r>
        <w:rPr>
          <w:sz w:val="20"/>
          <w:vertAlign w:val="superscript"/>
        </w:rPr>
        <w:t>14</w:t>
      </w:r>
      <w:r>
        <w:rPr>
          <w:spacing w:val="-7"/>
          <w:sz w:val="20"/>
        </w:rPr>
        <w:t xml:space="preserve"> </w:t>
      </w:r>
      <w:r>
        <w:rPr>
          <w:sz w:val="20"/>
        </w:rPr>
        <w:t>Vermeir</w:t>
      </w:r>
      <w:r>
        <w:rPr>
          <w:spacing w:val="-7"/>
          <w:sz w:val="20"/>
        </w:rPr>
        <w:t xml:space="preserve"> </w:t>
      </w:r>
      <w:r>
        <w:rPr>
          <w:sz w:val="20"/>
        </w:rPr>
        <w:t>E.,</w:t>
      </w:r>
      <w:r>
        <w:rPr>
          <w:spacing w:val="-7"/>
          <w:sz w:val="20"/>
        </w:rPr>
        <w:t xml:space="preserve"> </w:t>
      </w:r>
      <w:r>
        <w:rPr>
          <w:sz w:val="20"/>
        </w:rPr>
        <w:t>Jackson</w:t>
      </w:r>
      <w:r>
        <w:rPr>
          <w:spacing w:val="-6"/>
          <w:sz w:val="20"/>
        </w:rPr>
        <w:t xml:space="preserve"> </w:t>
      </w:r>
      <w:r>
        <w:rPr>
          <w:sz w:val="20"/>
        </w:rPr>
        <w:t>L.A.,</w:t>
      </w:r>
      <w:r>
        <w:rPr>
          <w:spacing w:val="-8"/>
          <w:sz w:val="20"/>
        </w:rPr>
        <w:t xml:space="preserve"> </w:t>
      </w:r>
      <w:r>
        <w:rPr>
          <w:sz w:val="20"/>
        </w:rPr>
        <w:t>Marshall</w:t>
      </w:r>
      <w:r>
        <w:rPr>
          <w:spacing w:val="-8"/>
          <w:sz w:val="20"/>
        </w:rPr>
        <w:t xml:space="preserve"> </w:t>
      </w:r>
      <w:r>
        <w:rPr>
          <w:sz w:val="20"/>
        </w:rPr>
        <w:t>E.G.</w:t>
      </w:r>
      <w:r>
        <w:rPr>
          <w:spacing w:val="-8"/>
          <w:sz w:val="20"/>
        </w:rPr>
        <w:t xml:space="preserve"> </w:t>
      </w:r>
      <w:r>
        <w:rPr>
          <w:sz w:val="20"/>
        </w:rPr>
        <w:t>2018.</w:t>
      </w:r>
      <w:r>
        <w:rPr>
          <w:spacing w:val="-7"/>
          <w:sz w:val="20"/>
        </w:rPr>
        <w:t xml:space="preserve"> </w:t>
      </w:r>
      <w:r>
        <w:rPr>
          <w:sz w:val="20"/>
        </w:rPr>
        <w:t>“Barriers</w:t>
      </w:r>
      <w:r>
        <w:rPr>
          <w:spacing w:val="-7"/>
          <w:sz w:val="20"/>
        </w:rPr>
        <w:t xml:space="preserve"> </w:t>
      </w:r>
      <w:r>
        <w:rPr>
          <w:sz w:val="20"/>
        </w:rPr>
        <w:t>to</w:t>
      </w:r>
      <w:r>
        <w:rPr>
          <w:spacing w:val="-8"/>
          <w:sz w:val="20"/>
        </w:rPr>
        <w:t xml:space="preserve"> </w:t>
      </w:r>
      <w:r>
        <w:rPr>
          <w:sz w:val="20"/>
        </w:rPr>
        <w:t>Primary</w:t>
      </w:r>
      <w:r>
        <w:rPr>
          <w:spacing w:val="-6"/>
          <w:sz w:val="20"/>
        </w:rPr>
        <w:t xml:space="preserve"> </w:t>
      </w:r>
      <w:r>
        <w:rPr>
          <w:sz w:val="20"/>
        </w:rPr>
        <w:t>and</w:t>
      </w:r>
      <w:r>
        <w:rPr>
          <w:spacing w:val="-10"/>
          <w:sz w:val="20"/>
        </w:rPr>
        <w:t xml:space="preserve"> </w:t>
      </w:r>
      <w:r>
        <w:rPr>
          <w:sz w:val="20"/>
        </w:rPr>
        <w:t>Emergency</w:t>
      </w:r>
      <w:r>
        <w:rPr>
          <w:spacing w:val="-6"/>
          <w:sz w:val="20"/>
        </w:rPr>
        <w:t xml:space="preserve"> </w:t>
      </w:r>
      <w:r>
        <w:rPr>
          <w:sz w:val="20"/>
        </w:rPr>
        <w:t>Healthcare</w:t>
      </w:r>
      <w:r>
        <w:rPr>
          <w:spacing w:val="-8"/>
          <w:sz w:val="20"/>
        </w:rPr>
        <w:t xml:space="preserve"> </w:t>
      </w:r>
      <w:r>
        <w:rPr>
          <w:sz w:val="20"/>
        </w:rPr>
        <w:t>for</w:t>
      </w:r>
      <w:r>
        <w:rPr>
          <w:spacing w:val="-9"/>
          <w:sz w:val="20"/>
        </w:rPr>
        <w:t xml:space="preserve"> </w:t>
      </w:r>
      <w:r>
        <w:rPr>
          <w:spacing w:val="-2"/>
          <w:sz w:val="20"/>
        </w:rPr>
        <w:t>Trans</w:t>
      </w:r>
    </w:p>
    <w:p w:rsidR="00C76E6D" w:rsidRDefault="00913831">
      <w:pPr>
        <w:spacing w:before="1"/>
        <w:ind w:left="481"/>
        <w:jc w:val="both"/>
        <w:rPr>
          <w:sz w:val="20"/>
        </w:rPr>
      </w:pPr>
      <w:r>
        <w:rPr>
          <w:sz w:val="20"/>
        </w:rPr>
        <w:t>Adults.”</w:t>
      </w:r>
      <w:r>
        <w:rPr>
          <w:spacing w:val="-14"/>
          <w:sz w:val="20"/>
        </w:rPr>
        <w:t xml:space="preserve"> </w:t>
      </w:r>
      <w:r>
        <w:rPr>
          <w:i/>
          <w:sz w:val="20"/>
        </w:rPr>
        <w:t>Culture,</w:t>
      </w:r>
      <w:r>
        <w:rPr>
          <w:i/>
          <w:spacing w:val="-9"/>
          <w:sz w:val="20"/>
        </w:rPr>
        <w:t xml:space="preserve"> </w:t>
      </w:r>
      <w:r>
        <w:rPr>
          <w:i/>
          <w:sz w:val="20"/>
        </w:rPr>
        <w:t>Health</w:t>
      </w:r>
      <w:r>
        <w:rPr>
          <w:i/>
          <w:spacing w:val="-9"/>
          <w:sz w:val="20"/>
        </w:rPr>
        <w:t xml:space="preserve"> </w:t>
      </w:r>
      <w:r>
        <w:rPr>
          <w:i/>
          <w:sz w:val="20"/>
        </w:rPr>
        <w:t>&amp;</w:t>
      </w:r>
      <w:r>
        <w:rPr>
          <w:i/>
          <w:spacing w:val="-11"/>
          <w:sz w:val="20"/>
        </w:rPr>
        <w:t xml:space="preserve"> </w:t>
      </w:r>
      <w:r>
        <w:rPr>
          <w:i/>
          <w:sz w:val="20"/>
        </w:rPr>
        <w:t>Sexuality</w:t>
      </w:r>
      <w:r>
        <w:rPr>
          <w:i/>
          <w:spacing w:val="-8"/>
          <w:sz w:val="20"/>
        </w:rPr>
        <w:t xml:space="preserve"> </w:t>
      </w:r>
      <w:r>
        <w:rPr>
          <w:sz w:val="20"/>
        </w:rPr>
        <w:t>20(2):</w:t>
      </w:r>
      <w:r>
        <w:rPr>
          <w:spacing w:val="-9"/>
          <w:sz w:val="20"/>
        </w:rPr>
        <w:t xml:space="preserve"> </w:t>
      </w:r>
      <w:r>
        <w:rPr>
          <w:sz w:val="20"/>
        </w:rPr>
        <w:t>232–46.</w:t>
      </w:r>
      <w:r>
        <w:rPr>
          <w:spacing w:val="-9"/>
          <w:sz w:val="20"/>
        </w:rPr>
        <w:t xml:space="preserve"> </w:t>
      </w:r>
      <w:r>
        <w:rPr>
          <w:sz w:val="20"/>
        </w:rPr>
        <w:t>10.1080/13691058.2017.1338757;</w:t>
      </w:r>
      <w:r>
        <w:rPr>
          <w:spacing w:val="-10"/>
          <w:sz w:val="20"/>
        </w:rPr>
        <w:t xml:space="preserve"> </w:t>
      </w:r>
      <w:r>
        <w:rPr>
          <w:sz w:val="20"/>
        </w:rPr>
        <w:t>Ching,</w:t>
      </w:r>
      <w:r>
        <w:rPr>
          <w:spacing w:val="-8"/>
          <w:sz w:val="20"/>
        </w:rPr>
        <w:t xml:space="preserve"> </w:t>
      </w:r>
      <w:r>
        <w:rPr>
          <w:sz w:val="20"/>
        </w:rPr>
        <w:t>N.</w:t>
      </w:r>
      <w:r>
        <w:rPr>
          <w:spacing w:val="-10"/>
          <w:sz w:val="20"/>
        </w:rPr>
        <w:t xml:space="preserve"> </w:t>
      </w:r>
      <w:r>
        <w:rPr>
          <w:sz w:val="20"/>
        </w:rPr>
        <w:t>(2021).</w:t>
      </w:r>
      <w:r>
        <w:rPr>
          <w:spacing w:val="-8"/>
          <w:sz w:val="20"/>
        </w:rPr>
        <w:t xml:space="preserve"> </w:t>
      </w:r>
      <w:r>
        <w:rPr>
          <w:sz w:val="20"/>
        </w:rPr>
        <w:t>I'm</w:t>
      </w:r>
      <w:r>
        <w:rPr>
          <w:spacing w:val="-10"/>
          <w:sz w:val="20"/>
        </w:rPr>
        <w:t xml:space="preserve"> </w:t>
      </w:r>
      <w:r>
        <w:rPr>
          <w:sz w:val="20"/>
        </w:rPr>
        <w:t>Tired</w:t>
      </w:r>
      <w:r>
        <w:rPr>
          <w:spacing w:val="-7"/>
          <w:sz w:val="20"/>
        </w:rPr>
        <w:t xml:space="preserve"> </w:t>
      </w:r>
      <w:r>
        <w:rPr>
          <w:spacing w:val="-5"/>
          <w:sz w:val="20"/>
        </w:rPr>
        <w:t>of</w:t>
      </w:r>
    </w:p>
    <w:p w:rsidR="00C76E6D" w:rsidRDefault="00C76E6D">
      <w:pPr>
        <w:jc w:val="both"/>
        <w:rPr>
          <w:sz w:val="20"/>
        </w:rPr>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4"/>
        <w:rPr>
          <w:sz w:val="18"/>
        </w:rPr>
      </w:pPr>
    </w:p>
    <w:p w:rsidR="00C76E6D" w:rsidRDefault="00913831">
      <w:pPr>
        <w:ind w:left="478" w:right="862"/>
        <w:rPr>
          <w:sz w:val="20"/>
        </w:rPr>
      </w:pPr>
      <w:r>
        <w:rPr>
          <w:sz w:val="20"/>
        </w:rPr>
        <w:t xml:space="preserve">Trying to Educate White People About Anti-Asian Racism. TIME USA. Retrieved from </w:t>
      </w:r>
      <w:hyperlink r:id="rId218">
        <w:r>
          <w:rPr>
            <w:color w:val="0561C1"/>
            <w:sz w:val="20"/>
            <w:u w:val="single" w:color="0561C1"/>
          </w:rPr>
          <w:t>https://time.com/6051948/educating-white-people-anti-asian-racism/</w:t>
        </w:r>
        <w:r>
          <w:rPr>
            <w:sz w:val="20"/>
          </w:rPr>
          <w:t>;</w:t>
        </w:r>
        <w:r>
          <w:rPr>
            <w:spacing w:val="-8"/>
            <w:sz w:val="20"/>
          </w:rPr>
          <w:t xml:space="preserve"> </w:t>
        </w:r>
      </w:hyperlink>
      <w:r>
        <w:rPr>
          <w:sz w:val="20"/>
        </w:rPr>
        <w:t>Clifton,</w:t>
      </w:r>
      <w:r>
        <w:rPr>
          <w:spacing w:val="-7"/>
          <w:sz w:val="20"/>
        </w:rPr>
        <w:t xml:space="preserve"> </w:t>
      </w:r>
      <w:r>
        <w:rPr>
          <w:sz w:val="20"/>
        </w:rPr>
        <w:t>D.</w:t>
      </w:r>
      <w:r>
        <w:rPr>
          <w:spacing w:val="-6"/>
          <w:sz w:val="20"/>
        </w:rPr>
        <w:t xml:space="preserve"> </w:t>
      </w:r>
      <w:r>
        <w:rPr>
          <w:sz w:val="20"/>
        </w:rPr>
        <w:t>(2020).</w:t>
      </w:r>
      <w:r>
        <w:rPr>
          <w:spacing w:val="-8"/>
          <w:sz w:val="20"/>
        </w:rPr>
        <w:t xml:space="preserve"> </w:t>
      </w:r>
      <w:r>
        <w:rPr>
          <w:sz w:val="20"/>
        </w:rPr>
        <w:t>R</w:t>
      </w:r>
      <w:r>
        <w:rPr>
          <w:sz w:val="20"/>
        </w:rPr>
        <w:t>acism</w:t>
      </w:r>
      <w:r>
        <w:rPr>
          <w:spacing w:val="-7"/>
          <w:sz w:val="20"/>
        </w:rPr>
        <w:t xml:space="preserve"> </w:t>
      </w:r>
      <w:r>
        <w:rPr>
          <w:sz w:val="20"/>
        </w:rPr>
        <w:t>is</w:t>
      </w:r>
      <w:r>
        <w:rPr>
          <w:spacing w:val="-8"/>
          <w:sz w:val="20"/>
        </w:rPr>
        <w:t xml:space="preserve"> </w:t>
      </w:r>
      <w:r>
        <w:rPr>
          <w:sz w:val="20"/>
        </w:rPr>
        <w:t>Exhausting Black</w:t>
      </w:r>
      <w:r>
        <w:rPr>
          <w:spacing w:val="-4"/>
          <w:sz w:val="20"/>
        </w:rPr>
        <w:t xml:space="preserve"> </w:t>
      </w:r>
      <w:r>
        <w:rPr>
          <w:sz w:val="20"/>
        </w:rPr>
        <w:t>People,</w:t>
      </w:r>
      <w:r>
        <w:rPr>
          <w:spacing w:val="-6"/>
          <w:sz w:val="20"/>
        </w:rPr>
        <w:t xml:space="preserve"> </w:t>
      </w:r>
      <w:r>
        <w:rPr>
          <w:sz w:val="20"/>
        </w:rPr>
        <w:t>Here’s</w:t>
      </w:r>
      <w:r>
        <w:rPr>
          <w:spacing w:val="-7"/>
          <w:sz w:val="20"/>
        </w:rPr>
        <w:t xml:space="preserve"> </w:t>
      </w:r>
      <w:r>
        <w:rPr>
          <w:sz w:val="20"/>
        </w:rPr>
        <w:t>What</w:t>
      </w:r>
      <w:r>
        <w:rPr>
          <w:spacing w:val="-7"/>
          <w:sz w:val="20"/>
        </w:rPr>
        <w:t xml:space="preserve"> </w:t>
      </w:r>
      <w:r>
        <w:rPr>
          <w:sz w:val="20"/>
        </w:rPr>
        <w:t>We</w:t>
      </w:r>
      <w:r>
        <w:rPr>
          <w:spacing w:val="-6"/>
          <w:sz w:val="20"/>
        </w:rPr>
        <w:t xml:space="preserve"> </w:t>
      </w:r>
      <w:r>
        <w:rPr>
          <w:sz w:val="20"/>
        </w:rPr>
        <w:t>Need.</w:t>
      </w:r>
      <w:r>
        <w:rPr>
          <w:spacing w:val="-5"/>
          <w:sz w:val="20"/>
        </w:rPr>
        <w:t xml:space="preserve"> </w:t>
      </w:r>
      <w:r>
        <w:rPr>
          <w:sz w:val="20"/>
        </w:rPr>
        <w:t>THEM.</w:t>
      </w:r>
      <w:r>
        <w:rPr>
          <w:spacing w:val="-6"/>
          <w:sz w:val="20"/>
        </w:rPr>
        <w:t xml:space="preserve"> </w:t>
      </w:r>
      <w:r>
        <w:rPr>
          <w:sz w:val="20"/>
        </w:rPr>
        <w:t>Retrieved</w:t>
      </w:r>
      <w:r>
        <w:rPr>
          <w:spacing w:val="-4"/>
          <w:sz w:val="20"/>
        </w:rPr>
        <w:t xml:space="preserve"> </w:t>
      </w:r>
      <w:r>
        <w:rPr>
          <w:sz w:val="20"/>
        </w:rPr>
        <w:t>from</w:t>
      </w:r>
      <w:r>
        <w:rPr>
          <w:spacing w:val="-6"/>
          <w:sz w:val="20"/>
        </w:rPr>
        <w:t xml:space="preserve"> </w:t>
      </w:r>
      <w:hyperlink r:id="rId219">
        <w:r>
          <w:rPr>
            <w:color w:val="0561C1"/>
            <w:sz w:val="20"/>
            <w:u w:val="single" w:color="0561C1"/>
          </w:rPr>
          <w:t>Systemic</w:t>
        </w:r>
        <w:r>
          <w:rPr>
            <w:color w:val="0561C1"/>
            <w:spacing w:val="-4"/>
            <w:sz w:val="20"/>
            <w:u w:val="single" w:color="0561C1"/>
          </w:rPr>
          <w:t xml:space="preserve"> </w:t>
        </w:r>
        <w:r>
          <w:rPr>
            <w:color w:val="0561C1"/>
            <w:sz w:val="20"/>
            <w:u w:val="single" w:color="0561C1"/>
          </w:rPr>
          <w:t>Racism</w:t>
        </w:r>
        <w:r>
          <w:rPr>
            <w:color w:val="0561C1"/>
            <w:spacing w:val="-6"/>
            <w:sz w:val="20"/>
            <w:u w:val="single" w:color="0561C1"/>
          </w:rPr>
          <w:t xml:space="preserve"> </w:t>
        </w:r>
        <w:r>
          <w:rPr>
            <w:color w:val="0561C1"/>
            <w:sz w:val="20"/>
            <w:u w:val="single" w:color="0561C1"/>
          </w:rPr>
          <w:t>Is</w:t>
        </w:r>
        <w:r>
          <w:rPr>
            <w:color w:val="0561C1"/>
            <w:spacing w:val="-5"/>
            <w:sz w:val="20"/>
            <w:u w:val="single" w:color="0561C1"/>
          </w:rPr>
          <w:t xml:space="preserve"> </w:t>
        </w:r>
        <w:r>
          <w:rPr>
            <w:color w:val="0561C1"/>
            <w:sz w:val="20"/>
            <w:u w:val="single" w:color="0561C1"/>
          </w:rPr>
          <w:t>Exhausting</w:t>
        </w:r>
        <w:r>
          <w:rPr>
            <w:color w:val="0561C1"/>
            <w:spacing w:val="-4"/>
            <w:sz w:val="20"/>
            <w:u w:val="single" w:color="0561C1"/>
          </w:rPr>
          <w:t xml:space="preserve"> </w:t>
        </w:r>
        <w:r>
          <w:rPr>
            <w:color w:val="0561C1"/>
            <w:sz w:val="20"/>
            <w:u w:val="single" w:color="0561C1"/>
          </w:rPr>
          <w:t>Black</w:t>
        </w:r>
        <w:r>
          <w:rPr>
            <w:color w:val="0561C1"/>
            <w:spacing w:val="-4"/>
            <w:sz w:val="20"/>
            <w:u w:val="single" w:color="0561C1"/>
          </w:rPr>
          <w:t xml:space="preserve"> </w:t>
        </w:r>
        <w:r>
          <w:rPr>
            <w:color w:val="0561C1"/>
            <w:sz w:val="20"/>
            <w:u w:val="single" w:color="0561C1"/>
          </w:rPr>
          <w:t>People.</w:t>
        </w:r>
        <w:r>
          <w:rPr>
            <w:color w:val="0561C1"/>
            <w:spacing w:val="-5"/>
            <w:sz w:val="20"/>
            <w:u w:val="single" w:color="0561C1"/>
          </w:rPr>
          <w:t xml:space="preserve"> </w:t>
        </w:r>
        <w:r>
          <w:rPr>
            <w:color w:val="0561C1"/>
            <w:sz w:val="20"/>
            <w:u w:val="single" w:color="0561C1"/>
          </w:rPr>
          <w:t>Here's</w:t>
        </w:r>
      </w:hyperlink>
      <w:r>
        <w:rPr>
          <w:color w:val="0561C1"/>
          <w:sz w:val="20"/>
        </w:rPr>
        <w:t xml:space="preserve"> </w:t>
      </w:r>
      <w:bookmarkStart w:id="292" w:name="_bookmark177"/>
      <w:bookmarkEnd w:id="292"/>
      <w:r>
        <w:fldChar w:fldCharType="begin"/>
      </w:r>
      <w:r>
        <w:instrText xml:space="preserve"> HYPERLINK "https://www.them.us/story/racism-is-exhausting-black-people" \h </w:instrText>
      </w:r>
      <w:r>
        <w:fldChar w:fldCharType="separate"/>
      </w:r>
      <w:r>
        <w:rPr>
          <w:color w:val="0561C1"/>
          <w:sz w:val="20"/>
          <w:u w:val="single" w:color="0561C1"/>
        </w:rPr>
        <w:t>What We Need | them.</w:t>
      </w:r>
      <w:r>
        <w:rPr>
          <w:color w:val="0561C1"/>
          <w:sz w:val="20"/>
          <w:u w:val="single" w:color="0561C1"/>
        </w:rPr>
        <w:fldChar w:fldCharType="end"/>
      </w:r>
    </w:p>
    <w:p w:rsidR="00C76E6D" w:rsidRDefault="00913831">
      <w:pPr>
        <w:ind w:left="480" w:right="530"/>
        <w:rPr>
          <w:sz w:val="20"/>
        </w:rPr>
      </w:pPr>
      <w:r>
        <w:rPr>
          <w:sz w:val="20"/>
          <w:vertAlign w:val="superscript"/>
        </w:rPr>
        <w:t>15</w:t>
      </w:r>
      <w:r>
        <w:rPr>
          <w:sz w:val="20"/>
        </w:rPr>
        <w:t xml:space="preserve"> Meyer I. H. (2003). Prejudice, social stress, and mental health in lesbian, gay, and bisexual populations: conceptual</w:t>
      </w:r>
      <w:r>
        <w:rPr>
          <w:spacing w:val="-8"/>
          <w:sz w:val="20"/>
        </w:rPr>
        <w:t xml:space="preserve"> </w:t>
      </w:r>
      <w:r>
        <w:rPr>
          <w:sz w:val="20"/>
        </w:rPr>
        <w:t>issues</w:t>
      </w:r>
      <w:r>
        <w:rPr>
          <w:spacing w:val="-8"/>
          <w:sz w:val="20"/>
        </w:rPr>
        <w:t xml:space="preserve"> </w:t>
      </w:r>
      <w:r>
        <w:rPr>
          <w:sz w:val="20"/>
        </w:rPr>
        <w:t>and</w:t>
      </w:r>
      <w:r>
        <w:rPr>
          <w:spacing w:val="-9"/>
          <w:sz w:val="20"/>
        </w:rPr>
        <w:t xml:space="preserve"> </w:t>
      </w:r>
      <w:r>
        <w:rPr>
          <w:sz w:val="20"/>
        </w:rPr>
        <w:t>research</w:t>
      </w:r>
      <w:r>
        <w:rPr>
          <w:spacing w:val="-9"/>
          <w:sz w:val="20"/>
        </w:rPr>
        <w:t xml:space="preserve"> </w:t>
      </w:r>
      <w:r>
        <w:rPr>
          <w:sz w:val="20"/>
        </w:rPr>
        <w:t>evidence.</w:t>
      </w:r>
      <w:r>
        <w:rPr>
          <w:spacing w:val="-9"/>
          <w:sz w:val="20"/>
        </w:rPr>
        <w:t xml:space="preserve"> </w:t>
      </w:r>
      <w:r>
        <w:rPr>
          <w:i/>
          <w:sz w:val="20"/>
        </w:rPr>
        <w:t>Psychol</w:t>
      </w:r>
      <w:r>
        <w:rPr>
          <w:i/>
          <w:sz w:val="20"/>
        </w:rPr>
        <w:t>ogical</w:t>
      </w:r>
      <w:r>
        <w:rPr>
          <w:i/>
          <w:spacing w:val="-9"/>
          <w:sz w:val="20"/>
        </w:rPr>
        <w:t xml:space="preserve"> </w:t>
      </w:r>
      <w:r>
        <w:rPr>
          <w:i/>
          <w:sz w:val="20"/>
        </w:rPr>
        <w:t>bulletin</w:t>
      </w:r>
      <w:r>
        <w:rPr>
          <w:sz w:val="20"/>
        </w:rPr>
        <w:t>,</w:t>
      </w:r>
      <w:r>
        <w:rPr>
          <w:spacing w:val="-10"/>
          <w:sz w:val="20"/>
        </w:rPr>
        <w:t xml:space="preserve"> </w:t>
      </w:r>
      <w:r>
        <w:rPr>
          <w:i/>
          <w:sz w:val="20"/>
        </w:rPr>
        <w:t>129</w:t>
      </w:r>
      <w:r>
        <w:rPr>
          <w:sz w:val="20"/>
        </w:rPr>
        <w:t>(5),</w:t>
      </w:r>
      <w:r>
        <w:rPr>
          <w:spacing w:val="-9"/>
          <w:sz w:val="20"/>
        </w:rPr>
        <w:t xml:space="preserve"> </w:t>
      </w:r>
      <w:r>
        <w:rPr>
          <w:sz w:val="20"/>
        </w:rPr>
        <w:t>674–697.</w:t>
      </w:r>
      <w:r>
        <w:rPr>
          <w:spacing w:val="-12"/>
          <w:sz w:val="20"/>
        </w:rPr>
        <w:t xml:space="preserve"> </w:t>
      </w:r>
      <w:hyperlink r:id="rId220">
        <w:r>
          <w:rPr>
            <w:color w:val="0561C1"/>
            <w:sz w:val="20"/>
            <w:u w:val="single" w:color="0561C1"/>
          </w:rPr>
          <w:t>https://doi.org/10.1037/0033-</w:t>
        </w:r>
      </w:hyperlink>
      <w:r>
        <w:rPr>
          <w:color w:val="0561C1"/>
          <w:sz w:val="20"/>
        </w:rPr>
        <w:t xml:space="preserve"> </w:t>
      </w:r>
      <w:bookmarkStart w:id="293" w:name="_bookmark178"/>
      <w:bookmarkEnd w:id="293"/>
      <w:r>
        <w:fldChar w:fldCharType="begin"/>
      </w:r>
      <w:r>
        <w:instrText xml:space="preserve"> HYPERLINK "https://doi.org/10.1037/0033-2909.129.5.674" \h </w:instrText>
      </w:r>
      <w:r>
        <w:fldChar w:fldCharType="separate"/>
      </w:r>
      <w:r>
        <w:rPr>
          <w:color w:val="0561C1"/>
          <w:spacing w:val="-2"/>
          <w:sz w:val="20"/>
          <w:u w:val="single" w:color="0561C1"/>
        </w:rPr>
        <w:t>2909.129.5.674</w:t>
      </w:r>
      <w:r>
        <w:rPr>
          <w:color w:val="0561C1"/>
          <w:spacing w:val="-2"/>
          <w:sz w:val="20"/>
          <w:u w:val="single" w:color="0561C1"/>
        </w:rPr>
        <w:fldChar w:fldCharType="end"/>
      </w:r>
    </w:p>
    <w:p w:rsidR="00C76E6D" w:rsidRDefault="00913831">
      <w:pPr>
        <w:spacing w:before="1"/>
        <w:ind w:left="481" w:right="802" w:hanging="3"/>
        <w:rPr>
          <w:sz w:val="20"/>
        </w:rPr>
      </w:pPr>
      <w:r>
        <w:rPr>
          <w:sz w:val="20"/>
          <w:vertAlign w:val="superscript"/>
        </w:rPr>
        <w:t>16</w:t>
      </w:r>
      <w:r>
        <w:rPr>
          <w:spacing w:val="-4"/>
          <w:sz w:val="20"/>
        </w:rPr>
        <w:t xml:space="preserve"> </w:t>
      </w:r>
      <w:r>
        <w:rPr>
          <w:sz w:val="20"/>
        </w:rPr>
        <w:t>Balsam,</w:t>
      </w:r>
      <w:r>
        <w:rPr>
          <w:spacing w:val="-5"/>
          <w:sz w:val="20"/>
        </w:rPr>
        <w:t xml:space="preserve"> </w:t>
      </w:r>
      <w:r>
        <w:rPr>
          <w:sz w:val="20"/>
        </w:rPr>
        <w:t>K.</w:t>
      </w:r>
      <w:r>
        <w:rPr>
          <w:spacing w:val="-5"/>
          <w:sz w:val="20"/>
        </w:rPr>
        <w:t xml:space="preserve"> </w:t>
      </w:r>
      <w:r>
        <w:rPr>
          <w:sz w:val="20"/>
        </w:rPr>
        <w:t>F.,</w:t>
      </w:r>
      <w:r>
        <w:rPr>
          <w:spacing w:val="-5"/>
          <w:sz w:val="20"/>
        </w:rPr>
        <w:t xml:space="preserve"> </w:t>
      </w:r>
      <w:r>
        <w:rPr>
          <w:sz w:val="20"/>
        </w:rPr>
        <w:t>Molina,</w:t>
      </w:r>
      <w:r>
        <w:rPr>
          <w:spacing w:val="-4"/>
          <w:sz w:val="20"/>
        </w:rPr>
        <w:t xml:space="preserve"> </w:t>
      </w:r>
      <w:r>
        <w:rPr>
          <w:sz w:val="20"/>
        </w:rPr>
        <w:t>Y.,</w:t>
      </w:r>
      <w:r>
        <w:rPr>
          <w:spacing w:val="-4"/>
          <w:sz w:val="20"/>
        </w:rPr>
        <w:t xml:space="preserve"> </w:t>
      </w:r>
      <w:r>
        <w:rPr>
          <w:sz w:val="20"/>
        </w:rPr>
        <w:t>Beadnell,</w:t>
      </w:r>
      <w:r>
        <w:rPr>
          <w:spacing w:val="-5"/>
          <w:sz w:val="20"/>
        </w:rPr>
        <w:t xml:space="preserve"> </w:t>
      </w:r>
      <w:r>
        <w:rPr>
          <w:sz w:val="20"/>
        </w:rPr>
        <w:t>B.,</w:t>
      </w:r>
      <w:r>
        <w:rPr>
          <w:spacing w:val="-5"/>
          <w:sz w:val="20"/>
        </w:rPr>
        <w:t xml:space="preserve"> </w:t>
      </w:r>
      <w:r>
        <w:rPr>
          <w:sz w:val="20"/>
        </w:rPr>
        <w:t>Simoni,</w:t>
      </w:r>
      <w:r>
        <w:rPr>
          <w:spacing w:val="-4"/>
          <w:sz w:val="20"/>
        </w:rPr>
        <w:t xml:space="preserve"> </w:t>
      </w:r>
      <w:r>
        <w:rPr>
          <w:sz w:val="20"/>
        </w:rPr>
        <w:t>J.,</w:t>
      </w:r>
      <w:r>
        <w:rPr>
          <w:spacing w:val="-5"/>
          <w:sz w:val="20"/>
        </w:rPr>
        <w:t xml:space="preserve"> </w:t>
      </w:r>
      <w:r>
        <w:rPr>
          <w:sz w:val="20"/>
        </w:rPr>
        <w:t>&amp;</w:t>
      </w:r>
      <w:r>
        <w:rPr>
          <w:spacing w:val="-7"/>
          <w:sz w:val="20"/>
        </w:rPr>
        <w:t xml:space="preserve"> </w:t>
      </w:r>
      <w:r>
        <w:rPr>
          <w:sz w:val="20"/>
        </w:rPr>
        <w:t>Walters,</w:t>
      </w:r>
      <w:r>
        <w:rPr>
          <w:spacing w:val="-4"/>
          <w:sz w:val="20"/>
        </w:rPr>
        <w:t xml:space="preserve"> </w:t>
      </w:r>
      <w:r>
        <w:rPr>
          <w:sz w:val="20"/>
        </w:rPr>
        <w:t>K.</w:t>
      </w:r>
      <w:r>
        <w:rPr>
          <w:spacing w:val="-7"/>
          <w:sz w:val="20"/>
        </w:rPr>
        <w:t xml:space="preserve"> </w:t>
      </w:r>
      <w:r>
        <w:rPr>
          <w:sz w:val="20"/>
        </w:rPr>
        <w:t>(2011).</w:t>
      </w:r>
      <w:r>
        <w:rPr>
          <w:spacing w:val="-6"/>
          <w:sz w:val="20"/>
        </w:rPr>
        <w:t xml:space="preserve"> </w:t>
      </w:r>
      <w:r>
        <w:rPr>
          <w:sz w:val="20"/>
        </w:rPr>
        <w:t>Measuring</w:t>
      </w:r>
      <w:r>
        <w:rPr>
          <w:spacing w:val="-4"/>
          <w:sz w:val="20"/>
        </w:rPr>
        <w:t xml:space="preserve"> </w:t>
      </w:r>
      <w:r>
        <w:rPr>
          <w:sz w:val="20"/>
        </w:rPr>
        <w:t>multiple</w:t>
      </w:r>
      <w:r>
        <w:rPr>
          <w:spacing w:val="-4"/>
          <w:sz w:val="20"/>
        </w:rPr>
        <w:t xml:space="preserve"> </w:t>
      </w:r>
      <w:r>
        <w:rPr>
          <w:sz w:val="20"/>
        </w:rPr>
        <w:t>minority</w:t>
      </w:r>
      <w:r>
        <w:rPr>
          <w:spacing w:val="-4"/>
          <w:sz w:val="20"/>
        </w:rPr>
        <w:t xml:space="preserve"> </w:t>
      </w:r>
      <w:r>
        <w:rPr>
          <w:sz w:val="20"/>
        </w:rPr>
        <w:t>stress:</w:t>
      </w:r>
      <w:r>
        <w:rPr>
          <w:spacing w:val="-4"/>
          <w:sz w:val="20"/>
        </w:rPr>
        <w:t xml:space="preserve"> </w:t>
      </w:r>
      <w:r>
        <w:rPr>
          <w:sz w:val="20"/>
        </w:rPr>
        <w:t xml:space="preserve">The </w:t>
      </w:r>
      <w:bookmarkStart w:id="294" w:name="_bookmark179"/>
      <w:bookmarkEnd w:id="294"/>
      <w:r>
        <w:rPr>
          <w:sz w:val="20"/>
        </w:rPr>
        <w:t xml:space="preserve">LGBT People of Color Microaggressions Scale. </w:t>
      </w:r>
      <w:r>
        <w:rPr>
          <w:i/>
          <w:sz w:val="20"/>
        </w:rPr>
        <w:t>Cultural Diversity and Ethnic Minority Psychology, 17</w:t>
      </w:r>
      <w:r>
        <w:rPr>
          <w:sz w:val="20"/>
        </w:rPr>
        <w:t xml:space="preserve">(2), 163– 174. </w:t>
      </w:r>
      <w:hyperlink r:id="rId221">
        <w:r>
          <w:rPr>
            <w:color w:val="0561C1"/>
            <w:sz w:val="20"/>
            <w:u w:val="single" w:color="0561C1"/>
          </w:rPr>
          <w:t>https://doi.</w:t>
        </w:r>
        <w:r>
          <w:rPr>
            <w:color w:val="0561C1"/>
            <w:sz w:val="20"/>
            <w:u w:val="single" w:color="0561C1"/>
          </w:rPr>
          <w:t>org/10.1037/a0023244</w:t>
        </w:r>
      </w:hyperlink>
    </w:p>
    <w:p w:rsidR="00C76E6D" w:rsidRDefault="00913831">
      <w:pPr>
        <w:ind w:left="480" w:right="530" w:hanging="2"/>
        <w:rPr>
          <w:sz w:val="20"/>
        </w:rPr>
      </w:pPr>
      <w:r>
        <w:rPr>
          <w:sz w:val="20"/>
          <w:vertAlign w:val="superscript"/>
        </w:rPr>
        <w:t>17</w:t>
      </w:r>
      <w:r>
        <w:rPr>
          <w:spacing w:val="-4"/>
          <w:sz w:val="20"/>
        </w:rPr>
        <w:t xml:space="preserve"> </w:t>
      </w:r>
      <w:r>
        <w:rPr>
          <w:sz w:val="20"/>
        </w:rPr>
        <w:t>Rodríguez,</w:t>
      </w:r>
      <w:r>
        <w:rPr>
          <w:spacing w:val="-4"/>
          <w:sz w:val="20"/>
        </w:rPr>
        <w:t xml:space="preserve"> </w:t>
      </w:r>
      <w:r>
        <w:rPr>
          <w:sz w:val="20"/>
        </w:rPr>
        <w:t>J.E.,</w:t>
      </w:r>
      <w:r>
        <w:rPr>
          <w:spacing w:val="-4"/>
          <w:sz w:val="20"/>
        </w:rPr>
        <w:t xml:space="preserve"> </w:t>
      </w:r>
      <w:r>
        <w:rPr>
          <w:sz w:val="20"/>
        </w:rPr>
        <w:t>Campbell,</w:t>
      </w:r>
      <w:r>
        <w:rPr>
          <w:spacing w:val="-5"/>
          <w:sz w:val="20"/>
        </w:rPr>
        <w:t xml:space="preserve"> </w:t>
      </w:r>
      <w:r>
        <w:rPr>
          <w:sz w:val="20"/>
        </w:rPr>
        <w:t>K.M.</w:t>
      </w:r>
      <w:r>
        <w:rPr>
          <w:spacing w:val="-5"/>
          <w:sz w:val="20"/>
        </w:rPr>
        <w:t xml:space="preserve"> </w:t>
      </w:r>
      <w:r>
        <w:rPr>
          <w:sz w:val="20"/>
        </w:rPr>
        <w:t>&amp;</w:t>
      </w:r>
      <w:r>
        <w:rPr>
          <w:spacing w:val="-4"/>
          <w:sz w:val="20"/>
        </w:rPr>
        <w:t xml:space="preserve"> </w:t>
      </w:r>
      <w:r>
        <w:rPr>
          <w:sz w:val="20"/>
        </w:rPr>
        <w:t>Pololi,</w:t>
      </w:r>
      <w:r>
        <w:rPr>
          <w:spacing w:val="-5"/>
          <w:sz w:val="20"/>
        </w:rPr>
        <w:t xml:space="preserve"> </w:t>
      </w:r>
      <w:r>
        <w:rPr>
          <w:sz w:val="20"/>
        </w:rPr>
        <w:t>L.H.</w:t>
      </w:r>
      <w:r>
        <w:rPr>
          <w:spacing w:val="-5"/>
          <w:sz w:val="20"/>
        </w:rPr>
        <w:t xml:space="preserve"> </w:t>
      </w:r>
      <w:r>
        <w:rPr>
          <w:sz w:val="20"/>
        </w:rPr>
        <w:t>(2015).</w:t>
      </w:r>
      <w:r>
        <w:rPr>
          <w:spacing w:val="-7"/>
          <w:sz w:val="20"/>
        </w:rPr>
        <w:t xml:space="preserve"> </w:t>
      </w:r>
      <w:r>
        <w:rPr>
          <w:sz w:val="20"/>
        </w:rPr>
        <w:t>Addressing</w:t>
      </w:r>
      <w:r>
        <w:rPr>
          <w:spacing w:val="-4"/>
          <w:sz w:val="20"/>
        </w:rPr>
        <w:t xml:space="preserve"> </w:t>
      </w:r>
      <w:r>
        <w:rPr>
          <w:sz w:val="20"/>
        </w:rPr>
        <w:t>disparities</w:t>
      </w:r>
      <w:r>
        <w:rPr>
          <w:spacing w:val="-4"/>
          <w:sz w:val="20"/>
        </w:rPr>
        <w:t xml:space="preserve"> </w:t>
      </w:r>
      <w:r>
        <w:rPr>
          <w:sz w:val="20"/>
        </w:rPr>
        <w:t>in</w:t>
      </w:r>
      <w:r>
        <w:rPr>
          <w:spacing w:val="-4"/>
          <w:sz w:val="20"/>
        </w:rPr>
        <w:t xml:space="preserve"> </w:t>
      </w:r>
      <w:r>
        <w:rPr>
          <w:sz w:val="20"/>
        </w:rPr>
        <w:t>academic</w:t>
      </w:r>
      <w:r>
        <w:rPr>
          <w:spacing w:val="-4"/>
          <w:sz w:val="20"/>
        </w:rPr>
        <w:t xml:space="preserve"> </w:t>
      </w:r>
      <w:r>
        <w:rPr>
          <w:sz w:val="20"/>
        </w:rPr>
        <w:t>medicine:</w:t>
      </w:r>
      <w:r>
        <w:rPr>
          <w:spacing w:val="-5"/>
          <w:sz w:val="20"/>
        </w:rPr>
        <w:t xml:space="preserve"> </w:t>
      </w:r>
      <w:r>
        <w:rPr>
          <w:sz w:val="20"/>
        </w:rPr>
        <w:t>what</w:t>
      </w:r>
      <w:r>
        <w:rPr>
          <w:spacing w:val="-4"/>
          <w:sz w:val="20"/>
        </w:rPr>
        <w:t xml:space="preserve"> </w:t>
      </w:r>
      <w:r>
        <w:rPr>
          <w:sz w:val="20"/>
        </w:rPr>
        <w:t>of</w:t>
      </w:r>
      <w:r>
        <w:rPr>
          <w:spacing w:val="-4"/>
          <w:sz w:val="20"/>
        </w:rPr>
        <w:t xml:space="preserve"> </w:t>
      </w:r>
      <w:r>
        <w:rPr>
          <w:sz w:val="20"/>
        </w:rPr>
        <w:t xml:space="preserve">the </w:t>
      </w:r>
      <w:bookmarkStart w:id="295" w:name="_bookmark180"/>
      <w:bookmarkEnd w:id="295"/>
      <w:r>
        <w:rPr>
          <w:sz w:val="20"/>
        </w:rPr>
        <w:t xml:space="preserve">minority tax?. </w:t>
      </w:r>
      <w:r>
        <w:rPr>
          <w:i/>
          <w:sz w:val="20"/>
        </w:rPr>
        <w:t xml:space="preserve">BMC Med Educ </w:t>
      </w:r>
      <w:r>
        <w:rPr>
          <w:sz w:val="20"/>
        </w:rPr>
        <w:t xml:space="preserve">15, 6 . </w:t>
      </w:r>
      <w:hyperlink r:id="rId222">
        <w:r>
          <w:rPr>
            <w:color w:val="0561C1"/>
            <w:sz w:val="20"/>
            <w:u w:val="single" w:color="0561C1"/>
          </w:rPr>
          <w:t>https://doi.org/10.1186/s12909-015-0290-9</w:t>
        </w:r>
      </w:hyperlink>
    </w:p>
    <w:p w:rsidR="00C76E6D" w:rsidRDefault="00913831">
      <w:pPr>
        <w:spacing w:line="244" w:lineRule="exact"/>
        <w:ind w:left="480"/>
        <w:rPr>
          <w:sz w:val="20"/>
        </w:rPr>
      </w:pPr>
      <w:bookmarkStart w:id="296" w:name="_bookmark181"/>
      <w:bookmarkEnd w:id="296"/>
      <w:r>
        <w:rPr>
          <w:sz w:val="20"/>
          <w:vertAlign w:val="superscript"/>
        </w:rPr>
        <w:t>18</w:t>
      </w:r>
      <w:r>
        <w:rPr>
          <w:spacing w:val="-7"/>
          <w:sz w:val="20"/>
        </w:rPr>
        <w:t xml:space="preserve"> </w:t>
      </w:r>
      <w:r>
        <w:rPr>
          <w:sz w:val="20"/>
        </w:rPr>
        <w:t>Rodríguez,</w:t>
      </w:r>
      <w:r>
        <w:rPr>
          <w:spacing w:val="-7"/>
          <w:sz w:val="20"/>
        </w:rPr>
        <w:t xml:space="preserve"> </w:t>
      </w:r>
      <w:r>
        <w:rPr>
          <w:sz w:val="20"/>
        </w:rPr>
        <w:t>J.E.,</w:t>
      </w:r>
      <w:r>
        <w:rPr>
          <w:spacing w:val="-7"/>
          <w:sz w:val="20"/>
        </w:rPr>
        <w:t xml:space="preserve"> </w:t>
      </w:r>
      <w:r>
        <w:rPr>
          <w:sz w:val="20"/>
        </w:rPr>
        <w:t>Campbell,</w:t>
      </w:r>
      <w:r>
        <w:rPr>
          <w:spacing w:val="-9"/>
          <w:sz w:val="20"/>
        </w:rPr>
        <w:t xml:space="preserve"> </w:t>
      </w:r>
      <w:r>
        <w:rPr>
          <w:sz w:val="20"/>
        </w:rPr>
        <w:t>K.M.</w:t>
      </w:r>
      <w:r>
        <w:rPr>
          <w:spacing w:val="-7"/>
          <w:sz w:val="20"/>
        </w:rPr>
        <w:t xml:space="preserve"> </w:t>
      </w:r>
      <w:r>
        <w:rPr>
          <w:sz w:val="20"/>
        </w:rPr>
        <w:t>&amp;</w:t>
      </w:r>
      <w:r>
        <w:rPr>
          <w:spacing w:val="-6"/>
          <w:sz w:val="20"/>
        </w:rPr>
        <w:t xml:space="preserve"> </w:t>
      </w:r>
      <w:r>
        <w:rPr>
          <w:sz w:val="20"/>
        </w:rPr>
        <w:t>Pololi,</w:t>
      </w:r>
      <w:r>
        <w:rPr>
          <w:spacing w:val="-8"/>
          <w:sz w:val="20"/>
        </w:rPr>
        <w:t xml:space="preserve"> </w:t>
      </w:r>
      <w:r>
        <w:rPr>
          <w:sz w:val="20"/>
        </w:rPr>
        <w:t>L.H.</w:t>
      </w:r>
      <w:r>
        <w:rPr>
          <w:spacing w:val="-8"/>
          <w:sz w:val="20"/>
        </w:rPr>
        <w:t xml:space="preserve"> </w:t>
      </w:r>
      <w:r>
        <w:rPr>
          <w:spacing w:val="-2"/>
          <w:sz w:val="20"/>
        </w:rPr>
        <w:t>(2015).</w:t>
      </w:r>
    </w:p>
    <w:p w:rsidR="00C76E6D" w:rsidRDefault="00913831">
      <w:pPr>
        <w:ind w:left="480" w:right="590"/>
        <w:rPr>
          <w:sz w:val="20"/>
        </w:rPr>
      </w:pPr>
      <w:r>
        <w:rPr>
          <w:sz w:val="20"/>
          <w:vertAlign w:val="superscript"/>
        </w:rPr>
        <w:t>19</w:t>
      </w:r>
      <w:r>
        <w:rPr>
          <w:sz w:val="20"/>
        </w:rPr>
        <w:t xml:space="preserve"> . Conron, K., Wilson, J., Cahill, S., Flaherty, J., Tamanaha, M., &amp; Bradford, J. Our Health Matters: Mental Health, Risk,</w:t>
      </w:r>
      <w:r>
        <w:rPr>
          <w:spacing w:val="-4"/>
          <w:sz w:val="20"/>
        </w:rPr>
        <w:t xml:space="preserve"> </w:t>
      </w:r>
      <w:r>
        <w:rPr>
          <w:sz w:val="20"/>
        </w:rPr>
        <w:t>and</w:t>
      </w:r>
      <w:r>
        <w:rPr>
          <w:spacing w:val="-5"/>
          <w:sz w:val="20"/>
        </w:rPr>
        <w:t xml:space="preserve"> </w:t>
      </w:r>
      <w:r>
        <w:rPr>
          <w:sz w:val="20"/>
        </w:rPr>
        <w:t>Resilience</w:t>
      </w:r>
      <w:r>
        <w:rPr>
          <w:spacing w:val="-7"/>
          <w:sz w:val="20"/>
        </w:rPr>
        <w:t xml:space="preserve"> </w:t>
      </w:r>
      <w:r>
        <w:rPr>
          <w:sz w:val="20"/>
        </w:rPr>
        <w:t>Among</w:t>
      </w:r>
      <w:r>
        <w:rPr>
          <w:spacing w:val="-4"/>
          <w:sz w:val="20"/>
        </w:rPr>
        <w:t xml:space="preserve"> </w:t>
      </w:r>
      <w:r>
        <w:rPr>
          <w:sz w:val="20"/>
        </w:rPr>
        <w:t>LGBTQ</w:t>
      </w:r>
      <w:r>
        <w:rPr>
          <w:spacing w:val="-5"/>
          <w:sz w:val="20"/>
        </w:rPr>
        <w:t xml:space="preserve"> </w:t>
      </w:r>
      <w:r>
        <w:rPr>
          <w:sz w:val="20"/>
        </w:rPr>
        <w:t>Yout</w:t>
      </w:r>
      <w:r>
        <w:rPr>
          <w:sz w:val="20"/>
        </w:rPr>
        <w:t>h</w:t>
      </w:r>
      <w:r>
        <w:rPr>
          <w:spacing w:val="-5"/>
          <w:sz w:val="20"/>
        </w:rPr>
        <w:t xml:space="preserve"> </w:t>
      </w:r>
      <w:r>
        <w:rPr>
          <w:sz w:val="20"/>
        </w:rPr>
        <w:t>of</w:t>
      </w:r>
      <w:r>
        <w:rPr>
          <w:spacing w:val="-7"/>
          <w:sz w:val="20"/>
        </w:rPr>
        <w:t xml:space="preserve"> </w:t>
      </w:r>
      <w:r>
        <w:rPr>
          <w:sz w:val="20"/>
        </w:rPr>
        <w:t>Color</w:t>
      </w:r>
      <w:r>
        <w:rPr>
          <w:spacing w:val="-5"/>
          <w:sz w:val="20"/>
        </w:rPr>
        <w:t xml:space="preserve"> </w:t>
      </w:r>
      <w:r>
        <w:rPr>
          <w:sz w:val="20"/>
        </w:rPr>
        <w:t>Who</w:t>
      </w:r>
      <w:r>
        <w:rPr>
          <w:spacing w:val="-5"/>
          <w:sz w:val="20"/>
        </w:rPr>
        <w:t xml:space="preserve"> </w:t>
      </w:r>
      <w:r>
        <w:rPr>
          <w:sz w:val="20"/>
        </w:rPr>
        <w:t>Live,</w:t>
      </w:r>
      <w:r>
        <w:rPr>
          <w:spacing w:val="-5"/>
          <w:sz w:val="20"/>
        </w:rPr>
        <w:t xml:space="preserve"> </w:t>
      </w:r>
      <w:r>
        <w:rPr>
          <w:sz w:val="20"/>
        </w:rPr>
        <w:t>Work,</w:t>
      </w:r>
      <w:r>
        <w:rPr>
          <w:spacing w:val="-5"/>
          <w:sz w:val="20"/>
        </w:rPr>
        <w:t xml:space="preserve"> </w:t>
      </w:r>
      <w:r>
        <w:rPr>
          <w:sz w:val="20"/>
        </w:rPr>
        <w:t>or</w:t>
      </w:r>
      <w:r>
        <w:rPr>
          <w:spacing w:val="-5"/>
          <w:sz w:val="20"/>
        </w:rPr>
        <w:t xml:space="preserve"> </w:t>
      </w:r>
      <w:r>
        <w:rPr>
          <w:sz w:val="20"/>
        </w:rPr>
        <w:t>Play</w:t>
      </w:r>
      <w:r>
        <w:rPr>
          <w:spacing w:val="-3"/>
          <w:sz w:val="20"/>
        </w:rPr>
        <w:t xml:space="preserve"> </w:t>
      </w:r>
      <w:r>
        <w:rPr>
          <w:sz w:val="20"/>
        </w:rPr>
        <w:t>in</w:t>
      </w:r>
      <w:r>
        <w:rPr>
          <w:spacing w:val="-5"/>
          <w:sz w:val="20"/>
        </w:rPr>
        <w:t xml:space="preserve"> </w:t>
      </w:r>
      <w:r>
        <w:rPr>
          <w:sz w:val="20"/>
        </w:rPr>
        <w:t>Boston,</w:t>
      </w:r>
      <w:r>
        <w:rPr>
          <w:spacing w:val="-5"/>
          <w:sz w:val="20"/>
        </w:rPr>
        <w:t xml:space="preserve"> </w:t>
      </w:r>
      <w:r>
        <w:rPr>
          <w:sz w:val="20"/>
        </w:rPr>
        <w:t>November</w:t>
      </w:r>
      <w:r>
        <w:rPr>
          <w:spacing w:val="-5"/>
          <w:sz w:val="20"/>
        </w:rPr>
        <w:t xml:space="preserve"> </w:t>
      </w:r>
      <w:r>
        <w:rPr>
          <w:sz w:val="20"/>
        </w:rPr>
        <w:t>2015,</w:t>
      </w:r>
      <w:r>
        <w:rPr>
          <w:spacing w:val="-5"/>
          <w:sz w:val="20"/>
        </w:rPr>
        <w:t xml:space="preserve"> </w:t>
      </w:r>
      <w:r>
        <w:rPr>
          <w:sz w:val="20"/>
        </w:rPr>
        <w:t>The</w:t>
      </w:r>
      <w:r>
        <w:rPr>
          <w:spacing w:val="-6"/>
          <w:sz w:val="20"/>
        </w:rPr>
        <w:t xml:space="preserve"> </w:t>
      </w:r>
      <w:r>
        <w:rPr>
          <w:sz w:val="20"/>
        </w:rPr>
        <w:t xml:space="preserve">Fenway Institute, Boston.; Butler, A. (2020). CREATING SAFER SPACES FOR LGBTQ YOUTH: A Toolkit for Education, Healthcare, and Community-Based Organizations. Advocates for Youth. Retrieved from </w:t>
      </w:r>
      <w:hyperlink r:id="rId223">
        <w:r>
          <w:rPr>
            <w:color w:val="0561C1"/>
            <w:sz w:val="20"/>
            <w:u w:val="single" w:color="0561C1"/>
          </w:rPr>
          <w:t>Creating-Safer-Spaces-</w:t>
        </w:r>
      </w:hyperlink>
      <w:r>
        <w:rPr>
          <w:color w:val="0561C1"/>
          <w:sz w:val="20"/>
        </w:rPr>
        <w:t xml:space="preserve"> </w:t>
      </w:r>
      <w:bookmarkStart w:id="297" w:name="_bookmark182"/>
      <w:bookmarkEnd w:id="297"/>
      <w:r>
        <w:fldChar w:fldCharType="begin"/>
      </w:r>
      <w:r>
        <w:instrText xml:space="preserve"> HYPERLINK "http://www.advocatesforyouth.org/wp-content/uploads/2020/11/Creating-Safer-Spaces-Toolkit-Nov-13.pdf" \h </w:instrText>
      </w:r>
      <w:r>
        <w:fldChar w:fldCharType="separate"/>
      </w:r>
      <w:r>
        <w:rPr>
          <w:color w:val="0561C1"/>
          <w:sz w:val="20"/>
          <w:u w:val="single" w:color="0561C1"/>
        </w:rPr>
        <w:t>Toolkit-Nov-13.pdf (advocatesforyouth.org)</w:t>
      </w:r>
      <w:r>
        <w:rPr>
          <w:color w:val="0561C1"/>
          <w:sz w:val="20"/>
          <w:u w:val="single" w:color="0561C1"/>
        </w:rPr>
        <w:fldChar w:fldCharType="end"/>
      </w:r>
    </w:p>
    <w:p w:rsidR="00C76E6D" w:rsidRDefault="00913831">
      <w:pPr>
        <w:ind w:left="480" w:right="470"/>
        <w:rPr>
          <w:sz w:val="20"/>
        </w:rPr>
      </w:pPr>
      <w:r>
        <w:rPr>
          <w:sz w:val="20"/>
          <w:vertAlign w:val="superscript"/>
        </w:rPr>
        <w:t>20</w:t>
      </w:r>
      <w:r>
        <w:rPr>
          <w:sz w:val="20"/>
        </w:rPr>
        <w:t xml:space="preserve"> </w:t>
      </w:r>
      <w:bookmarkStart w:id="298" w:name="_bookmark183"/>
      <w:bookmarkEnd w:id="298"/>
      <w:r>
        <w:rPr>
          <w:sz w:val="20"/>
        </w:rPr>
        <w:t>Vaccaro, A</w:t>
      </w:r>
      <w:r>
        <w:rPr>
          <w:sz w:val="20"/>
        </w:rPr>
        <w:t>. &amp; Koob, R. (2019) A Critical and Intersectional Model of LGBTQ Microaggressions: Toward a More Comprehensive</w:t>
      </w:r>
      <w:r>
        <w:rPr>
          <w:spacing w:val="-8"/>
          <w:sz w:val="20"/>
        </w:rPr>
        <w:t xml:space="preserve"> </w:t>
      </w:r>
      <w:r>
        <w:rPr>
          <w:sz w:val="20"/>
        </w:rPr>
        <w:t>Understanding,</w:t>
      </w:r>
      <w:r>
        <w:rPr>
          <w:spacing w:val="-9"/>
          <w:sz w:val="20"/>
        </w:rPr>
        <w:t xml:space="preserve"> </w:t>
      </w:r>
      <w:r>
        <w:rPr>
          <w:sz w:val="20"/>
        </w:rPr>
        <w:t>Journal</w:t>
      </w:r>
      <w:r>
        <w:rPr>
          <w:spacing w:val="-8"/>
          <w:sz w:val="20"/>
        </w:rPr>
        <w:t xml:space="preserve"> </w:t>
      </w:r>
      <w:r>
        <w:rPr>
          <w:sz w:val="20"/>
        </w:rPr>
        <w:t>of</w:t>
      </w:r>
      <w:r>
        <w:rPr>
          <w:spacing w:val="-11"/>
          <w:sz w:val="20"/>
        </w:rPr>
        <w:t xml:space="preserve"> </w:t>
      </w:r>
      <w:r>
        <w:rPr>
          <w:sz w:val="20"/>
        </w:rPr>
        <w:t>Homosexuality,</w:t>
      </w:r>
      <w:r>
        <w:rPr>
          <w:spacing w:val="-8"/>
          <w:sz w:val="20"/>
        </w:rPr>
        <w:t xml:space="preserve"> </w:t>
      </w:r>
      <w:r>
        <w:rPr>
          <w:sz w:val="20"/>
        </w:rPr>
        <w:t>66:10,</w:t>
      </w:r>
      <w:r>
        <w:rPr>
          <w:spacing w:val="-10"/>
          <w:sz w:val="20"/>
        </w:rPr>
        <w:t xml:space="preserve"> </w:t>
      </w:r>
      <w:r>
        <w:rPr>
          <w:sz w:val="20"/>
        </w:rPr>
        <w:t>1317-1344,</w:t>
      </w:r>
      <w:r>
        <w:rPr>
          <w:spacing w:val="-10"/>
          <w:sz w:val="20"/>
        </w:rPr>
        <w:t xml:space="preserve"> </w:t>
      </w:r>
      <w:r>
        <w:rPr>
          <w:sz w:val="20"/>
        </w:rPr>
        <w:t>DOI:</w:t>
      </w:r>
      <w:r>
        <w:rPr>
          <w:spacing w:val="-10"/>
          <w:sz w:val="20"/>
        </w:rPr>
        <w:t xml:space="preserve"> </w:t>
      </w:r>
      <w:r>
        <w:rPr>
          <w:sz w:val="20"/>
        </w:rPr>
        <w:t xml:space="preserve">10.1080/00918369.2018.153958 </w:t>
      </w:r>
      <w:r>
        <w:rPr>
          <w:sz w:val="20"/>
          <w:vertAlign w:val="superscript"/>
        </w:rPr>
        <w:t>21</w:t>
      </w:r>
      <w:r>
        <w:rPr>
          <w:sz w:val="20"/>
        </w:rPr>
        <w:t xml:space="preserve"> Greathouse, M. &amp; Kelly, R. (2021). Proud &amp; Thrivi</w:t>
      </w:r>
      <w:r>
        <w:rPr>
          <w:sz w:val="20"/>
        </w:rPr>
        <w:t xml:space="preserve">ng Literature Review - Exploring Mental Health Considerations </w:t>
      </w:r>
      <w:bookmarkStart w:id="299" w:name="_bookmark184"/>
      <w:bookmarkEnd w:id="299"/>
      <w:r>
        <w:rPr>
          <w:sz w:val="20"/>
        </w:rPr>
        <w:t xml:space="preserve">for LGBTQ+ Students. Retrieved from </w:t>
      </w:r>
      <w:hyperlink r:id="rId224">
        <w:r>
          <w:rPr>
            <w:color w:val="0561C1"/>
            <w:sz w:val="20"/>
            <w:u w:val="single" w:color="0561C1"/>
          </w:rPr>
          <w:t>JED-LGBQ-Queer-and-Question-Lit-Revie</w:t>
        </w:r>
        <w:r>
          <w:rPr>
            <w:color w:val="0561C1"/>
            <w:sz w:val="20"/>
            <w:u w:val="single" w:color="0561C1"/>
          </w:rPr>
          <w:t>w-FINAL.pdf (jedfoundation.org)</w:t>
        </w:r>
      </w:hyperlink>
    </w:p>
    <w:p w:rsidR="00C76E6D" w:rsidRDefault="00913831">
      <w:pPr>
        <w:ind w:left="478" w:right="537"/>
        <w:rPr>
          <w:sz w:val="20"/>
        </w:rPr>
      </w:pPr>
      <w:r>
        <w:rPr>
          <w:sz w:val="20"/>
          <w:vertAlign w:val="superscript"/>
        </w:rPr>
        <w:t>22</w:t>
      </w:r>
      <w:r>
        <w:rPr>
          <w:spacing w:val="-3"/>
          <w:sz w:val="20"/>
        </w:rPr>
        <w:t xml:space="preserve"> </w:t>
      </w:r>
      <w:r>
        <w:rPr>
          <w:sz w:val="20"/>
        </w:rPr>
        <w:t>Phelan,</w:t>
      </w:r>
      <w:r>
        <w:rPr>
          <w:spacing w:val="-3"/>
          <w:sz w:val="20"/>
        </w:rPr>
        <w:t xml:space="preserve"> </w:t>
      </w:r>
      <w:r>
        <w:rPr>
          <w:sz w:val="20"/>
        </w:rPr>
        <w:t>S.</w:t>
      </w:r>
      <w:r>
        <w:rPr>
          <w:spacing w:val="-5"/>
          <w:sz w:val="20"/>
        </w:rPr>
        <w:t xml:space="preserve"> </w:t>
      </w:r>
      <w:r>
        <w:rPr>
          <w:sz w:val="20"/>
        </w:rPr>
        <w:t>M.,</w:t>
      </w:r>
      <w:r>
        <w:rPr>
          <w:spacing w:val="-5"/>
          <w:sz w:val="20"/>
        </w:rPr>
        <w:t xml:space="preserve"> </w:t>
      </w:r>
      <w:r>
        <w:rPr>
          <w:sz w:val="20"/>
        </w:rPr>
        <w:t>Burke,</w:t>
      </w:r>
      <w:r>
        <w:rPr>
          <w:spacing w:val="-4"/>
          <w:sz w:val="20"/>
        </w:rPr>
        <w:t xml:space="preserve"> </w:t>
      </w:r>
      <w:r>
        <w:rPr>
          <w:sz w:val="20"/>
        </w:rPr>
        <w:t>S.</w:t>
      </w:r>
      <w:r>
        <w:rPr>
          <w:spacing w:val="-5"/>
          <w:sz w:val="20"/>
        </w:rPr>
        <w:t xml:space="preserve"> </w:t>
      </w:r>
      <w:r>
        <w:rPr>
          <w:sz w:val="20"/>
        </w:rPr>
        <w:t>E.,</w:t>
      </w:r>
      <w:r>
        <w:rPr>
          <w:spacing w:val="-5"/>
          <w:sz w:val="20"/>
        </w:rPr>
        <w:t xml:space="preserve"> </w:t>
      </w:r>
      <w:r>
        <w:rPr>
          <w:sz w:val="20"/>
        </w:rPr>
        <w:t>Hardeman,</w:t>
      </w:r>
      <w:r>
        <w:rPr>
          <w:spacing w:val="-4"/>
          <w:sz w:val="20"/>
        </w:rPr>
        <w:t xml:space="preserve"> </w:t>
      </w:r>
      <w:r>
        <w:rPr>
          <w:sz w:val="20"/>
        </w:rPr>
        <w:t>R.</w:t>
      </w:r>
      <w:r>
        <w:rPr>
          <w:spacing w:val="-6"/>
          <w:sz w:val="20"/>
        </w:rPr>
        <w:t xml:space="preserve"> </w:t>
      </w:r>
      <w:r>
        <w:rPr>
          <w:sz w:val="20"/>
        </w:rPr>
        <w:t>R.,</w:t>
      </w:r>
      <w:r>
        <w:rPr>
          <w:spacing w:val="-5"/>
          <w:sz w:val="20"/>
        </w:rPr>
        <w:t xml:space="preserve"> </w:t>
      </w:r>
      <w:r>
        <w:rPr>
          <w:sz w:val="20"/>
        </w:rPr>
        <w:t>White,</w:t>
      </w:r>
      <w:r>
        <w:rPr>
          <w:spacing w:val="-4"/>
          <w:sz w:val="20"/>
        </w:rPr>
        <w:t xml:space="preserve"> </w:t>
      </w:r>
      <w:r>
        <w:rPr>
          <w:sz w:val="20"/>
        </w:rPr>
        <w:t>R.</w:t>
      </w:r>
      <w:r>
        <w:rPr>
          <w:spacing w:val="-5"/>
          <w:sz w:val="20"/>
        </w:rPr>
        <w:t xml:space="preserve"> </w:t>
      </w:r>
      <w:r>
        <w:rPr>
          <w:sz w:val="20"/>
        </w:rPr>
        <w:t>O.,</w:t>
      </w:r>
      <w:r>
        <w:rPr>
          <w:spacing w:val="-3"/>
          <w:sz w:val="20"/>
        </w:rPr>
        <w:t xml:space="preserve"> </w:t>
      </w:r>
      <w:r>
        <w:rPr>
          <w:sz w:val="20"/>
        </w:rPr>
        <w:t>Przedworski,</w:t>
      </w:r>
      <w:r>
        <w:rPr>
          <w:spacing w:val="-4"/>
          <w:sz w:val="20"/>
        </w:rPr>
        <w:t xml:space="preserve"> </w:t>
      </w:r>
      <w:r>
        <w:rPr>
          <w:sz w:val="20"/>
        </w:rPr>
        <w:t>J.,</w:t>
      </w:r>
      <w:r>
        <w:rPr>
          <w:spacing w:val="-5"/>
          <w:sz w:val="20"/>
        </w:rPr>
        <w:t xml:space="preserve"> </w:t>
      </w:r>
      <w:r>
        <w:rPr>
          <w:sz w:val="20"/>
        </w:rPr>
        <w:t>Dovidio,</w:t>
      </w:r>
      <w:r>
        <w:rPr>
          <w:spacing w:val="-3"/>
          <w:sz w:val="20"/>
        </w:rPr>
        <w:t xml:space="preserve"> </w:t>
      </w:r>
      <w:r>
        <w:rPr>
          <w:sz w:val="20"/>
        </w:rPr>
        <w:t>J.</w:t>
      </w:r>
      <w:r>
        <w:rPr>
          <w:spacing w:val="-5"/>
          <w:sz w:val="20"/>
        </w:rPr>
        <w:t xml:space="preserve"> </w:t>
      </w:r>
      <w:r>
        <w:rPr>
          <w:sz w:val="20"/>
        </w:rPr>
        <w:t>F.,</w:t>
      </w:r>
      <w:r>
        <w:rPr>
          <w:spacing w:val="-3"/>
          <w:sz w:val="20"/>
        </w:rPr>
        <w:t xml:space="preserve"> </w:t>
      </w:r>
      <w:r>
        <w:rPr>
          <w:sz w:val="20"/>
        </w:rPr>
        <w:t>Perry,</w:t>
      </w:r>
      <w:r>
        <w:rPr>
          <w:spacing w:val="-5"/>
          <w:sz w:val="20"/>
        </w:rPr>
        <w:t xml:space="preserve"> </w:t>
      </w:r>
      <w:r>
        <w:rPr>
          <w:sz w:val="20"/>
        </w:rPr>
        <w:t>S.</w:t>
      </w:r>
      <w:r>
        <w:rPr>
          <w:spacing w:val="-3"/>
          <w:sz w:val="20"/>
        </w:rPr>
        <w:t xml:space="preserve"> </w:t>
      </w:r>
      <w:r>
        <w:rPr>
          <w:sz w:val="20"/>
        </w:rPr>
        <w:t>P.,</w:t>
      </w:r>
      <w:r>
        <w:rPr>
          <w:spacing w:val="-3"/>
          <w:sz w:val="20"/>
        </w:rPr>
        <w:t xml:space="preserve"> </w:t>
      </w:r>
      <w:r>
        <w:rPr>
          <w:sz w:val="20"/>
        </w:rPr>
        <w:t>Plankey,</w:t>
      </w:r>
      <w:r>
        <w:rPr>
          <w:spacing w:val="-4"/>
          <w:sz w:val="20"/>
        </w:rPr>
        <w:t xml:space="preserve"> </w:t>
      </w:r>
      <w:r>
        <w:rPr>
          <w:sz w:val="20"/>
        </w:rPr>
        <w:t>M.,</w:t>
      </w:r>
      <w:r>
        <w:rPr>
          <w:spacing w:val="-4"/>
          <w:sz w:val="20"/>
        </w:rPr>
        <w:t xml:space="preserve"> </w:t>
      </w:r>
      <w:r>
        <w:rPr>
          <w:sz w:val="20"/>
        </w:rPr>
        <w:t xml:space="preserve">A Cunningham, B., Finstad, D., W Yeazel, M., &amp; van Ryn, M. (2017). Medical School Factors Associated with Changes in Implicit and Explicit Bias Against Gay and Lesbian People among 3492 Graduating Medical Students. </w:t>
      </w:r>
      <w:r>
        <w:rPr>
          <w:i/>
          <w:sz w:val="20"/>
        </w:rPr>
        <w:t>Journal of general</w:t>
      </w:r>
      <w:r>
        <w:rPr>
          <w:i/>
          <w:spacing w:val="-7"/>
          <w:sz w:val="20"/>
        </w:rPr>
        <w:t xml:space="preserve"> </w:t>
      </w:r>
      <w:r>
        <w:rPr>
          <w:i/>
          <w:sz w:val="20"/>
        </w:rPr>
        <w:t>internal</w:t>
      </w:r>
      <w:r>
        <w:rPr>
          <w:i/>
          <w:spacing w:val="-7"/>
          <w:sz w:val="20"/>
        </w:rPr>
        <w:t xml:space="preserve"> </w:t>
      </w:r>
      <w:r>
        <w:rPr>
          <w:i/>
          <w:sz w:val="20"/>
        </w:rPr>
        <w:t>medicine</w:t>
      </w:r>
      <w:r>
        <w:rPr>
          <w:sz w:val="20"/>
        </w:rPr>
        <w:t>,</w:t>
      </w:r>
      <w:r>
        <w:rPr>
          <w:spacing w:val="-6"/>
          <w:sz w:val="20"/>
        </w:rPr>
        <w:t xml:space="preserve"> </w:t>
      </w:r>
      <w:r>
        <w:rPr>
          <w:i/>
          <w:sz w:val="20"/>
        </w:rPr>
        <w:t>32</w:t>
      </w:r>
      <w:r>
        <w:rPr>
          <w:sz w:val="20"/>
        </w:rPr>
        <w:t>(</w:t>
      </w:r>
      <w:r>
        <w:rPr>
          <w:sz w:val="20"/>
        </w:rPr>
        <w:t>11),</w:t>
      </w:r>
      <w:r>
        <w:rPr>
          <w:spacing w:val="-9"/>
          <w:sz w:val="20"/>
        </w:rPr>
        <w:t xml:space="preserve"> </w:t>
      </w:r>
      <w:r>
        <w:rPr>
          <w:sz w:val="20"/>
        </w:rPr>
        <w:t>1193–1201.</w:t>
      </w:r>
      <w:r>
        <w:rPr>
          <w:spacing w:val="-8"/>
          <w:sz w:val="20"/>
        </w:rPr>
        <w:t xml:space="preserve"> </w:t>
      </w:r>
      <w:hyperlink r:id="rId225">
        <w:r>
          <w:rPr>
            <w:color w:val="0561C1"/>
            <w:sz w:val="20"/>
            <w:u w:val="single" w:color="0561C1"/>
          </w:rPr>
          <w:t>https://doi.org/10.1007/s11606-017-4127-6</w:t>
        </w:r>
        <w:r>
          <w:rPr>
            <w:sz w:val="20"/>
          </w:rPr>
          <w:t>;</w:t>
        </w:r>
        <w:r>
          <w:rPr>
            <w:spacing w:val="-6"/>
            <w:sz w:val="20"/>
          </w:rPr>
          <w:t xml:space="preserve"> </w:t>
        </w:r>
      </w:hyperlink>
      <w:r>
        <w:rPr>
          <w:sz w:val="20"/>
        </w:rPr>
        <w:t>Cooper,</w:t>
      </w:r>
      <w:r>
        <w:rPr>
          <w:spacing w:val="-7"/>
          <w:sz w:val="20"/>
        </w:rPr>
        <w:t xml:space="preserve"> </w:t>
      </w:r>
      <w:r>
        <w:rPr>
          <w:sz w:val="20"/>
        </w:rPr>
        <w:t>L.</w:t>
      </w:r>
      <w:r>
        <w:rPr>
          <w:spacing w:val="-7"/>
          <w:sz w:val="20"/>
        </w:rPr>
        <w:t xml:space="preserve"> </w:t>
      </w:r>
      <w:r>
        <w:rPr>
          <w:sz w:val="20"/>
        </w:rPr>
        <w:t>A.,</w:t>
      </w:r>
      <w:r>
        <w:rPr>
          <w:spacing w:val="-7"/>
          <w:sz w:val="20"/>
        </w:rPr>
        <w:t xml:space="preserve"> </w:t>
      </w:r>
      <w:r>
        <w:rPr>
          <w:sz w:val="20"/>
        </w:rPr>
        <w:t>Roter,</w:t>
      </w:r>
      <w:r>
        <w:rPr>
          <w:spacing w:val="-6"/>
          <w:sz w:val="20"/>
        </w:rPr>
        <w:t xml:space="preserve"> </w:t>
      </w:r>
      <w:r>
        <w:rPr>
          <w:sz w:val="20"/>
        </w:rPr>
        <w:t>D. L., Johnson, R. L., Ford, D. E., Steinwachs, D. M., &amp; Powe, N. R. (2003). Patient-centered communication, ratin</w:t>
      </w:r>
      <w:r>
        <w:rPr>
          <w:sz w:val="20"/>
        </w:rPr>
        <w:t xml:space="preserve">gs of care, and concordance of patient and physician race. </w:t>
      </w:r>
      <w:r>
        <w:rPr>
          <w:i/>
          <w:sz w:val="20"/>
        </w:rPr>
        <w:t>Annals of internal medicine</w:t>
      </w:r>
      <w:r>
        <w:rPr>
          <w:sz w:val="20"/>
        </w:rPr>
        <w:t xml:space="preserve">, </w:t>
      </w:r>
      <w:r>
        <w:rPr>
          <w:i/>
          <w:sz w:val="20"/>
        </w:rPr>
        <w:t>139</w:t>
      </w:r>
      <w:r>
        <w:rPr>
          <w:sz w:val="20"/>
        </w:rPr>
        <w:t xml:space="preserve">(11), 907–915. </w:t>
      </w:r>
      <w:hyperlink r:id="rId226">
        <w:r>
          <w:rPr>
            <w:color w:val="0561C1"/>
            <w:sz w:val="20"/>
            <w:u w:val="single" w:color="0561C1"/>
          </w:rPr>
          <w:t>https://doi.org/10.7326/0003-4819-139-11-200312020-00009</w:t>
        </w:r>
        <w:r>
          <w:rPr>
            <w:sz w:val="20"/>
          </w:rPr>
          <w:t xml:space="preserve">; </w:t>
        </w:r>
      </w:hyperlink>
      <w:r>
        <w:rPr>
          <w:sz w:val="20"/>
        </w:rPr>
        <w:t xml:space="preserve">Traylor, A. H., </w:t>
      </w:r>
      <w:r>
        <w:rPr>
          <w:sz w:val="20"/>
        </w:rPr>
        <w:t xml:space="preserve">Schmittdiel, J. A., Uratsu, C. S., Mangione, C. M., &amp; Subramanian, U. (2010). Adherence to cardiovascular disease medications: does patient- provider race/ethnicity and language concordance matter?. </w:t>
      </w:r>
      <w:r>
        <w:rPr>
          <w:i/>
          <w:sz w:val="20"/>
        </w:rPr>
        <w:t>Journal of general internal medicine</w:t>
      </w:r>
      <w:r>
        <w:rPr>
          <w:sz w:val="20"/>
        </w:rPr>
        <w:t xml:space="preserve">, </w:t>
      </w:r>
      <w:r>
        <w:rPr>
          <w:i/>
          <w:sz w:val="20"/>
        </w:rPr>
        <w:t>25</w:t>
      </w:r>
      <w:r>
        <w:rPr>
          <w:sz w:val="20"/>
        </w:rPr>
        <w:t>(11), 1172– 1177.</w:t>
      </w:r>
      <w:r>
        <w:rPr>
          <w:sz w:val="20"/>
        </w:rPr>
        <w:t xml:space="preserve"> </w:t>
      </w:r>
      <w:hyperlink r:id="rId227">
        <w:r>
          <w:rPr>
            <w:color w:val="0561C1"/>
            <w:sz w:val="20"/>
            <w:u w:val="single" w:color="0561C1"/>
          </w:rPr>
          <w:t>https://doi.org/10.1007/s11606-010-1424-8</w:t>
        </w:r>
        <w:r>
          <w:rPr>
            <w:sz w:val="20"/>
          </w:rPr>
          <w:t xml:space="preserve">; </w:t>
        </w:r>
      </w:hyperlink>
      <w:r>
        <w:rPr>
          <w:sz w:val="20"/>
        </w:rPr>
        <w:t xml:space="preserve">Meyer, O.L. and Zane, N. (2013), The Influence of Race And </w:t>
      </w:r>
      <w:bookmarkStart w:id="300" w:name="_bookmark185"/>
      <w:bookmarkEnd w:id="300"/>
      <w:r>
        <w:rPr>
          <w:sz w:val="20"/>
        </w:rPr>
        <w:t xml:space="preserve">Ethnicity in Clients’ Experiences of Mental Health Treatment. </w:t>
      </w:r>
      <w:r>
        <w:rPr>
          <w:i/>
          <w:sz w:val="20"/>
        </w:rPr>
        <w:t>J. Community Psycholog</w:t>
      </w:r>
      <w:r>
        <w:rPr>
          <w:sz w:val="20"/>
        </w:rPr>
        <w:t>, 41: 88</w:t>
      </w:r>
      <w:r>
        <w:rPr>
          <w:sz w:val="20"/>
        </w:rPr>
        <w:t>4-</w:t>
      </w:r>
    </w:p>
    <w:p w:rsidR="00C76E6D" w:rsidRDefault="00913831">
      <w:pPr>
        <w:spacing w:before="5" w:line="241" w:lineRule="exact"/>
        <w:ind w:left="478"/>
        <w:rPr>
          <w:sz w:val="20"/>
        </w:rPr>
      </w:pPr>
      <w:r>
        <w:rPr>
          <w:sz w:val="20"/>
        </w:rPr>
        <w:t>901.</w:t>
      </w:r>
      <w:r>
        <w:rPr>
          <w:spacing w:val="-3"/>
          <w:sz w:val="20"/>
        </w:rPr>
        <w:t xml:space="preserve"> </w:t>
      </w:r>
      <w:hyperlink r:id="rId228">
        <w:r>
          <w:rPr>
            <w:color w:val="0561C1"/>
            <w:spacing w:val="-2"/>
            <w:sz w:val="20"/>
            <w:u w:val="single" w:color="0561C1"/>
          </w:rPr>
          <w:t>https://doi.org/10.1002/jcop.21580</w:t>
        </w:r>
      </w:hyperlink>
    </w:p>
    <w:p w:rsidR="00C76E6D" w:rsidRDefault="00913831">
      <w:pPr>
        <w:ind w:left="480" w:right="530" w:hanging="2"/>
        <w:rPr>
          <w:sz w:val="20"/>
        </w:rPr>
      </w:pPr>
      <w:r>
        <w:rPr>
          <w:sz w:val="20"/>
          <w:vertAlign w:val="superscript"/>
        </w:rPr>
        <w:t>23</w:t>
      </w:r>
      <w:r>
        <w:rPr>
          <w:sz w:val="20"/>
        </w:rPr>
        <w:t xml:space="preserve"> National Institute of Health Care Management &amp; The Trevor Project. (2021). Foster Care, LGBTQ Youth &amp; </w:t>
      </w:r>
      <w:bookmarkStart w:id="301" w:name="_bookmark186"/>
      <w:bookmarkEnd w:id="301"/>
      <w:r>
        <w:rPr>
          <w:spacing w:val="-2"/>
          <w:sz w:val="20"/>
        </w:rPr>
        <w:t xml:space="preserve">Increased Suicide. Retrieved from: </w:t>
      </w:r>
      <w:hyperlink r:id="rId229">
        <w:r>
          <w:rPr>
            <w:spacing w:val="-2"/>
            <w:sz w:val="20"/>
          </w:rPr>
          <w:t>https://nihcm.org/publications/foster-care-lgbtq-youth-increased-suicide</w:t>
        </w:r>
      </w:hyperlink>
    </w:p>
    <w:p w:rsidR="00C76E6D" w:rsidRDefault="00913831">
      <w:pPr>
        <w:spacing w:before="30"/>
        <w:ind w:left="480" w:right="762" w:hanging="3"/>
        <w:rPr>
          <w:sz w:val="20"/>
        </w:rPr>
      </w:pPr>
      <w:r>
        <w:rPr>
          <w:sz w:val="20"/>
          <w:vertAlign w:val="superscript"/>
        </w:rPr>
        <w:t>24</w:t>
      </w:r>
      <w:r>
        <w:rPr>
          <w:spacing w:val="-4"/>
          <w:sz w:val="20"/>
        </w:rPr>
        <w:t xml:space="preserve"> </w:t>
      </w:r>
      <w:r>
        <w:rPr>
          <w:sz w:val="20"/>
        </w:rPr>
        <w:t>True</w:t>
      </w:r>
      <w:r>
        <w:rPr>
          <w:spacing w:val="-4"/>
          <w:sz w:val="20"/>
        </w:rPr>
        <w:t xml:space="preserve"> </w:t>
      </w:r>
      <w:r>
        <w:rPr>
          <w:sz w:val="20"/>
        </w:rPr>
        <w:t>Colors</w:t>
      </w:r>
      <w:r>
        <w:rPr>
          <w:spacing w:val="-5"/>
          <w:sz w:val="20"/>
        </w:rPr>
        <w:t xml:space="preserve"> </w:t>
      </w:r>
      <w:r>
        <w:rPr>
          <w:sz w:val="20"/>
        </w:rPr>
        <w:t>United</w:t>
      </w:r>
      <w:r>
        <w:rPr>
          <w:spacing w:val="-4"/>
          <w:sz w:val="20"/>
        </w:rPr>
        <w:t xml:space="preserve"> </w:t>
      </w:r>
      <w:r>
        <w:rPr>
          <w:sz w:val="20"/>
        </w:rPr>
        <w:t>in</w:t>
      </w:r>
      <w:r>
        <w:rPr>
          <w:spacing w:val="-5"/>
          <w:sz w:val="20"/>
        </w:rPr>
        <w:t xml:space="preserve"> </w:t>
      </w:r>
      <w:r>
        <w:rPr>
          <w:sz w:val="20"/>
        </w:rPr>
        <w:t>partnership</w:t>
      </w:r>
      <w:r>
        <w:rPr>
          <w:spacing w:val="-4"/>
          <w:sz w:val="20"/>
        </w:rPr>
        <w:t xml:space="preserve"> </w:t>
      </w:r>
      <w:r>
        <w:rPr>
          <w:sz w:val="20"/>
        </w:rPr>
        <w:t>with</w:t>
      </w:r>
      <w:r>
        <w:rPr>
          <w:spacing w:val="-6"/>
          <w:sz w:val="20"/>
        </w:rPr>
        <w:t xml:space="preserve"> </w:t>
      </w:r>
      <w:r>
        <w:rPr>
          <w:sz w:val="20"/>
        </w:rPr>
        <w:t>National</w:t>
      </w:r>
      <w:r>
        <w:rPr>
          <w:spacing w:val="-5"/>
          <w:sz w:val="20"/>
        </w:rPr>
        <w:t xml:space="preserve"> </w:t>
      </w:r>
      <w:r>
        <w:rPr>
          <w:sz w:val="20"/>
        </w:rPr>
        <w:t>LGBTQ</w:t>
      </w:r>
      <w:r>
        <w:rPr>
          <w:spacing w:val="-6"/>
          <w:sz w:val="20"/>
        </w:rPr>
        <w:t xml:space="preserve"> </w:t>
      </w:r>
      <w:r>
        <w:rPr>
          <w:sz w:val="20"/>
        </w:rPr>
        <w:t>Taskforce.</w:t>
      </w:r>
      <w:r>
        <w:rPr>
          <w:spacing w:val="-6"/>
          <w:sz w:val="20"/>
        </w:rPr>
        <w:t xml:space="preserve"> </w:t>
      </w:r>
      <w:r>
        <w:rPr>
          <w:sz w:val="20"/>
        </w:rPr>
        <w:t>(2019).</w:t>
      </w:r>
      <w:r>
        <w:rPr>
          <w:spacing w:val="-5"/>
          <w:sz w:val="20"/>
        </w:rPr>
        <w:t xml:space="preserve"> </w:t>
      </w:r>
      <w:r>
        <w:rPr>
          <w:sz w:val="20"/>
        </w:rPr>
        <w:t>At</w:t>
      </w:r>
      <w:r>
        <w:rPr>
          <w:spacing w:val="-4"/>
          <w:sz w:val="20"/>
        </w:rPr>
        <w:t xml:space="preserve"> </w:t>
      </w:r>
      <w:r>
        <w:rPr>
          <w:sz w:val="20"/>
        </w:rPr>
        <w:t>the</w:t>
      </w:r>
      <w:r>
        <w:rPr>
          <w:spacing w:val="-5"/>
          <w:sz w:val="20"/>
        </w:rPr>
        <w:t xml:space="preserve"> </w:t>
      </w:r>
      <w:r>
        <w:rPr>
          <w:sz w:val="20"/>
        </w:rPr>
        <w:t>Intersecti</w:t>
      </w:r>
      <w:r>
        <w:rPr>
          <w:sz w:val="20"/>
        </w:rPr>
        <w:t>ons:</w:t>
      </w:r>
      <w:r>
        <w:rPr>
          <w:spacing w:val="-5"/>
          <w:sz w:val="20"/>
        </w:rPr>
        <w:t xml:space="preserve"> </w:t>
      </w:r>
      <w:r>
        <w:rPr>
          <w:sz w:val="20"/>
        </w:rPr>
        <w:t>A</w:t>
      </w:r>
      <w:r>
        <w:rPr>
          <w:spacing w:val="-5"/>
          <w:sz w:val="20"/>
        </w:rPr>
        <w:t xml:space="preserve"> </w:t>
      </w:r>
      <w:r>
        <w:rPr>
          <w:sz w:val="20"/>
        </w:rPr>
        <w:t xml:space="preserve">Collaborative Resource on LGBTQ Youth Homelessness. Retrieved from https://truecolorsunited.org/wp- </w:t>
      </w:r>
      <w:bookmarkStart w:id="302" w:name="_bookmark187"/>
      <w:bookmarkEnd w:id="302"/>
      <w:r>
        <w:rPr>
          <w:spacing w:val="-2"/>
          <w:sz w:val="20"/>
        </w:rPr>
        <w:t>content/uploads/2019/04/2019-At-the-Intersections-True-Colors-United.pdf</w:t>
      </w:r>
    </w:p>
    <w:p w:rsidR="00C76E6D" w:rsidRDefault="00913831">
      <w:pPr>
        <w:spacing w:before="3" w:line="244" w:lineRule="exact"/>
        <w:ind w:left="480"/>
        <w:rPr>
          <w:sz w:val="20"/>
        </w:rPr>
      </w:pPr>
      <w:bookmarkStart w:id="303" w:name="_bookmark188"/>
      <w:bookmarkEnd w:id="303"/>
      <w:r>
        <w:rPr>
          <w:sz w:val="20"/>
          <w:vertAlign w:val="superscript"/>
        </w:rPr>
        <w:t>25</w:t>
      </w:r>
      <w:r>
        <w:rPr>
          <w:spacing w:val="-7"/>
          <w:sz w:val="20"/>
        </w:rPr>
        <w:t xml:space="preserve"> </w:t>
      </w:r>
      <w:bookmarkStart w:id="304" w:name="_bookmark189"/>
      <w:bookmarkEnd w:id="304"/>
      <w:r>
        <w:rPr>
          <w:sz w:val="20"/>
        </w:rPr>
        <w:t>True</w:t>
      </w:r>
      <w:r>
        <w:rPr>
          <w:spacing w:val="-8"/>
          <w:sz w:val="20"/>
        </w:rPr>
        <w:t xml:space="preserve"> </w:t>
      </w:r>
      <w:r>
        <w:rPr>
          <w:sz w:val="20"/>
        </w:rPr>
        <w:t>Colors</w:t>
      </w:r>
      <w:r>
        <w:rPr>
          <w:spacing w:val="-8"/>
          <w:sz w:val="20"/>
        </w:rPr>
        <w:t xml:space="preserve"> </w:t>
      </w:r>
      <w:r>
        <w:rPr>
          <w:sz w:val="20"/>
        </w:rPr>
        <w:t>United</w:t>
      </w:r>
      <w:r>
        <w:rPr>
          <w:spacing w:val="-8"/>
          <w:sz w:val="20"/>
        </w:rPr>
        <w:t xml:space="preserve"> </w:t>
      </w:r>
      <w:r>
        <w:rPr>
          <w:sz w:val="20"/>
        </w:rPr>
        <w:t>in</w:t>
      </w:r>
      <w:r>
        <w:rPr>
          <w:spacing w:val="-7"/>
          <w:sz w:val="20"/>
        </w:rPr>
        <w:t xml:space="preserve"> </w:t>
      </w:r>
      <w:r>
        <w:rPr>
          <w:sz w:val="20"/>
        </w:rPr>
        <w:t>partnership</w:t>
      </w:r>
      <w:r>
        <w:rPr>
          <w:spacing w:val="-7"/>
          <w:sz w:val="20"/>
        </w:rPr>
        <w:t xml:space="preserve"> </w:t>
      </w:r>
      <w:r>
        <w:rPr>
          <w:sz w:val="20"/>
        </w:rPr>
        <w:t>with</w:t>
      </w:r>
      <w:r>
        <w:rPr>
          <w:spacing w:val="-8"/>
          <w:sz w:val="20"/>
        </w:rPr>
        <w:t xml:space="preserve"> </w:t>
      </w:r>
      <w:r>
        <w:rPr>
          <w:sz w:val="20"/>
        </w:rPr>
        <w:t>National</w:t>
      </w:r>
      <w:r>
        <w:rPr>
          <w:spacing w:val="-8"/>
          <w:sz w:val="20"/>
        </w:rPr>
        <w:t xml:space="preserve"> </w:t>
      </w:r>
      <w:r>
        <w:rPr>
          <w:sz w:val="20"/>
        </w:rPr>
        <w:t>LGTBTQ</w:t>
      </w:r>
      <w:r>
        <w:rPr>
          <w:spacing w:val="-10"/>
          <w:sz w:val="20"/>
        </w:rPr>
        <w:t xml:space="preserve"> </w:t>
      </w:r>
      <w:r>
        <w:rPr>
          <w:spacing w:val="-2"/>
          <w:sz w:val="20"/>
        </w:rPr>
        <w:t>Taskforce.</w:t>
      </w:r>
    </w:p>
    <w:p w:rsidR="00C76E6D" w:rsidRDefault="00913831">
      <w:pPr>
        <w:tabs>
          <w:tab w:val="left" w:pos="2268"/>
        </w:tabs>
        <w:spacing w:line="244" w:lineRule="exact"/>
        <w:ind w:left="480"/>
        <w:rPr>
          <w:sz w:val="20"/>
        </w:rPr>
      </w:pPr>
      <w:r>
        <w:rPr>
          <w:sz w:val="20"/>
          <w:vertAlign w:val="superscript"/>
        </w:rPr>
        <w:t>26</w:t>
      </w:r>
      <w:r>
        <w:rPr>
          <w:spacing w:val="-5"/>
          <w:sz w:val="20"/>
        </w:rPr>
        <w:t xml:space="preserve"> </w:t>
      </w:r>
      <w:bookmarkStart w:id="305" w:name="_bookmark190"/>
      <w:bookmarkEnd w:id="305"/>
      <w:r>
        <w:rPr>
          <w:sz w:val="20"/>
        </w:rPr>
        <w:t>D</w:t>
      </w:r>
      <w:r>
        <w:rPr>
          <w:sz w:val="20"/>
        </w:rPr>
        <w:t>eChants,</w:t>
      </w:r>
      <w:r>
        <w:rPr>
          <w:spacing w:val="-5"/>
          <w:sz w:val="20"/>
        </w:rPr>
        <w:t xml:space="preserve"> </w:t>
      </w:r>
      <w:r>
        <w:rPr>
          <w:sz w:val="20"/>
        </w:rPr>
        <w:t>et</w:t>
      </w:r>
      <w:r>
        <w:rPr>
          <w:spacing w:val="-7"/>
          <w:sz w:val="20"/>
        </w:rPr>
        <w:t xml:space="preserve"> </w:t>
      </w:r>
      <w:r>
        <w:rPr>
          <w:sz w:val="20"/>
        </w:rPr>
        <w:t>al.</w:t>
      </w:r>
      <w:r>
        <w:rPr>
          <w:spacing w:val="-6"/>
          <w:sz w:val="20"/>
        </w:rPr>
        <w:t xml:space="preserve"> </w:t>
      </w:r>
      <w:r>
        <w:rPr>
          <w:spacing w:val="-10"/>
          <w:sz w:val="20"/>
        </w:rPr>
        <w:t>(</w:t>
      </w:r>
      <w:r>
        <w:rPr>
          <w:sz w:val="20"/>
        </w:rPr>
        <w:tab/>
      </w:r>
      <w:r>
        <w:rPr>
          <w:spacing w:val="-2"/>
          <w:sz w:val="20"/>
        </w:rPr>
        <w:t>2021)</w:t>
      </w:r>
    </w:p>
    <w:p w:rsidR="00C76E6D" w:rsidRDefault="00913831">
      <w:pPr>
        <w:spacing w:before="1" w:line="241" w:lineRule="exact"/>
        <w:ind w:left="480"/>
        <w:rPr>
          <w:sz w:val="20"/>
        </w:rPr>
      </w:pPr>
      <w:r>
        <w:rPr>
          <w:sz w:val="20"/>
          <w:vertAlign w:val="superscript"/>
        </w:rPr>
        <w:t>27</w:t>
      </w:r>
      <w:r>
        <w:rPr>
          <w:spacing w:val="-6"/>
          <w:sz w:val="20"/>
        </w:rPr>
        <w:t xml:space="preserve"> </w:t>
      </w:r>
      <w:r>
        <w:rPr>
          <w:sz w:val="20"/>
        </w:rPr>
        <w:t>DeChants,</w:t>
      </w:r>
      <w:r>
        <w:rPr>
          <w:spacing w:val="-6"/>
          <w:sz w:val="20"/>
        </w:rPr>
        <w:t xml:space="preserve"> </w:t>
      </w:r>
      <w:r>
        <w:rPr>
          <w:sz w:val="20"/>
        </w:rPr>
        <w:t>et</w:t>
      </w:r>
      <w:r>
        <w:rPr>
          <w:spacing w:val="-8"/>
          <w:sz w:val="20"/>
        </w:rPr>
        <w:t xml:space="preserve"> </w:t>
      </w:r>
      <w:r>
        <w:rPr>
          <w:spacing w:val="-5"/>
          <w:sz w:val="20"/>
        </w:rPr>
        <w:t>al.</w:t>
      </w:r>
    </w:p>
    <w:p w:rsidR="00C76E6D" w:rsidRDefault="00913831">
      <w:pPr>
        <w:ind w:left="479" w:right="1109" w:hanging="2"/>
        <w:rPr>
          <w:sz w:val="20"/>
        </w:rPr>
      </w:pPr>
      <w:r>
        <w:rPr>
          <w:sz w:val="20"/>
          <w:vertAlign w:val="superscript"/>
        </w:rPr>
        <w:t>28</w:t>
      </w:r>
      <w:r>
        <w:rPr>
          <w:spacing w:val="-4"/>
          <w:sz w:val="20"/>
        </w:rPr>
        <w:t xml:space="preserve"> </w:t>
      </w:r>
      <w:r>
        <w:rPr>
          <w:sz w:val="20"/>
        </w:rPr>
        <w:t>The</w:t>
      </w:r>
      <w:r>
        <w:rPr>
          <w:spacing w:val="-6"/>
          <w:sz w:val="20"/>
        </w:rPr>
        <w:t xml:space="preserve"> </w:t>
      </w:r>
      <w:r>
        <w:rPr>
          <w:sz w:val="20"/>
        </w:rPr>
        <w:t>Executive</w:t>
      </w:r>
      <w:r>
        <w:rPr>
          <w:spacing w:val="-4"/>
          <w:sz w:val="20"/>
        </w:rPr>
        <w:t xml:space="preserve"> </w:t>
      </w:r>
      <w:r>
        <w:rPr>
          <w:sz w:val="20"/>
        </w:rPr>
        <w:t>Office</w:t>
      </w:r>
      <w:r>
        <w:rPr>
          <w:spacing w:val="-6"/>
          <w:sz w:val="20"/>
        </w:rPr>
        <w:t xml:space="preserve"> </w:t>
      </w:r>
      <w:r>
        <w:rPr>
          <w:sz w:val="20"/>
        </w:rPr>
        <w:t>of</w:t>
      </w:r>
      <w:r>
        <w:rPr>
          <w:spacing w:val="-6"/>
          <w:sz w:val="20"/>
        </w:rPr>
        <w:t xml:space="preserve"> </w:t>
      </w:r>
      <w:r>
        <w:rPr>
          <w:sz w:val="20"/>
        </w:rPr>
        <w:t>Health</w:t>
      </w:r>
      <w:r>
        <w:rPr>
          <w:spacing w:val="-4"/>
          <w:sz w:val="20"/>
        </w:rPr>
        <w:t xml:space="preserve"> </w:t>
      </w:r>
      <w:r>
        <w:rPr>
          <w:sz w:val="20"/>
        </w:rPr>
        <w:t>and</w:t>
      </w:r>
      <w:r>
        <w:rPr>
          <w:spacing w:val="-5"/>
          <w:sz w:val="20"/>
        </w:rPr>
        <w:t xml:space="preserve"> </w:t>
      </w:r>
      <w:r>
        <w:rPr>
          <w:sz w:val="20"/>
        </w:rPr>
        <w:t>Human</w:t>
      </w:r>
      <w:r>
        <w:rPr>
          <w:spacing w:val="-7"/>
          <w:sz w:val="20"/>
        </w:rPr>
        <w:t xml:space="preserve"> </w:t>
      </w:r>
      <w:r>
        <w:rPr>
          <w:sz w:val="20"/>
        </w:rPr>
        <w:t>Services,</w:t>
      </w:r>
      <w:r>
        <w:rPr>
          <w:spacing w:val="-4"/>
          <w:sz w:val="20"/>
        </w:rPr>
        <w:t xml:space="preserve"> </w:t>
      </w:r>
      <w:r>
        <w:rPr>
          <w:sz w:val="20"/>
        </w:rPr>
        <w:t>Council</w:t>
      </w:r>
      <w:r>
        <w:rPr>
          <w:spacing w:val="-5"/>
          <w:sz w:val="20"/>
        </w:rPr>
        <w:t xml:space="preserve"> </w:t>
      </w:r>
      <w:r>
        <w:rPr>
          <w:sz w:val="20"/>
        </w:rPr>
        <w:t>on</w:t>
      </w:r>
      <w:r>
        <w:rPr>
          <w:spacing w:val="-4"/>
          <w:sz w:val="20"/>
        </w:rPr>
        <w:t xml:space="preserve"> </w:t>
      </w:r>
      <w:r>
        <w:rPr>
          <w:sz w:val="20"/>
        </w:rPr>
        <w:t>Housing</w:t>
      </w:r>
      <w:r>
        <w:rPr>
          <w:spacing w:val="-6"/>
          <w:sz w:val="20"/>
        </w:rPr>
        <w:t xml:space="preserve"> </w:t>
      </w:r>
      <w:r>
        <w:rPr>
          <w:sz w:val="20"/>
        </w:rPr>
        <w:t>and</w:t>
      </w:r>
      <w:r>
        <w:rPr>
          <w:spacing w:val="-5"/>
          <w:sz w:val="20"/>
        </w:rPr>
        <w:t xml:space="preserve"> </w:t>
      </w:r>
      <w:r>
        <w:rPr>
          <w:sz w:val="20"/>
        </w:rPr>
        <w:t>Homelessness,</w:t>
      </w:r>
      <w:r>
        <w:rPr>
          <w:spacing w:val="-4"/>
          <w:sz w:val="20"/>
        </w:rPr>
        <w:t xml:space="preserve"> </w:t>
      </w:r>
      <w:r>
        <w:rPr>
          <w:sz w:val="20"/>
        </w:rPr>
        <w:t>and</w:t>
      </w:r>
      <w:r>
        <w:rPr>
          <w:spacing w:val="-5"/>
          <w:sz w:val="20"/>
        </w:rPr>
        <w:t xml:space="preserve"> </w:t>
      </w:r>
      <w:r>
        <w:rPr>
          <w:sz w:val="20"/>
        </w:rPr>
        <w:t>Office</w:t>
      </w:r>
      <w:r>
        <w:rPr>
          <w:spacing w:val="-4"/>
          <w:sz w:val="20"/>
        </w:rPr>
        <w:t xml:space="preserve"> </w:t>
      </w:r>
      <w:r>
        <w:rPr>
          <w:sz w:val="20"/>
        </w:rPr>
        <w:t xml:space="preserve">of </w:t>
      </w:r>
      <w:bookmarkStart w:id="306" w:name="_bookmark191"/>
      <w:bookmarkEnd w:id="306"/>
      <w:r>
        <w:rPr>
          <w:sz w:val="20"/>
        </w:rPr>
        <w:t>Children, Youth, and Families. (2019)</w:t>
      </w:r>
    </w:p>
    <w:p w:rsidR="00C76E6D" w:rsidRDefault="00913831">
      <w:pPr>
        <w:spacing w:line="242" w:lineRule="auto"/>
        <w:ind w:left="480" w:right="649"/>
        <w:rPr>
          <w:sz w:val="20"/>
        </w:rPr>
      </w:pPr>
      <w:r>
        <w:rPr>
          <w:sz w:val="20"/>
          <w:vertAlign w:val="superscript"/>
        </w:rPr>
        <w:t>29</w:t>
      </w:r>
      <w:r>
        <w:rPr>
          <w:sz w:val="20"/>
        </w:rPr>
        <w:t xml:space="preserve"> Morton, M. H., Dworsky, A., Matjasko, J. L., Curry, S. R., Schluet</w:t>
      </w:r>
      <w:r>
        <w:rPr>
          <w:sz w:val="20"/>
        </w:rPr>
        <w:t xml:space="preserve">er, D., Chávez, R., &amp; Farrell, A. F. (2018). </w:t>
      </w:r>
      <w:bookmarkStart w:id="307" w:name="_bookmark192"/>
      <w:bookmarkEnd w:id="307"/>
      <w:r>
        <w:rPr>
          <w:sz w:val="20"/>
        </w:rPr>
        <w:t>Prevalence</w:t>
      </w:r>
      <w:r>
        <w:rPr>
          <w:spacing w:val="-5"/>
          <w:sz w:val="20"/>
        </w:rPr>
        <w:t xml:space="preserve"> </w:t>
      </w:r>
      <w:r>
        <w:rPr>
          <w:sz w:val="20"/>
        </w:rPr>
        <w:t>and</w:t>
      </w:r>
      <w:r>
        <w:rPr>
          <w:spacing w:val="-4"/>
          <w:sz w:val="20"/>
        </w:rPr>
        <w:t xml:space="preserve"> </w:t>
      </w:r>
      <w:r>
        <w:rPr>
          <w:sz w:val="20"/>
        </w:rPr>
        <w:t>correlates</w:t>
      </w:r>
      <w:r>
        <w:rPr>
          <w:spacing w:val="-8"/>
          <w:sz w:val="20"/>
        </w:rPr>
        <w:t xml:space="preserve"> </w:t>
      </w:r>
      <w:r>
        <w:rPr>
          <w:sz w:val="20"/>
        </w:rPr>
        <w:t>of</w:t>
      </w:r>
      <w:r>
        <w:rPr>
          <w:spacing w:val="-7"/>
          <w:sz w:val="20"/>
        </w:rPr>
        <w:t xml:space="preserve"> </w:t>
      </w:r>
      <w:r>
        <w:rPr>
          <w:sz w:val="20"/>
        </w:rPr>
        <w:t>youth</w:t>
      </w:r>
      <w:r>
        <w:rPr>
          <w:spacing w:val="-4"/>
          <w:sz w:val="20"/>
        </w:rPr>
        <w:t xml:space="preserve"> </w:t>
      </w:r>
      <w:r>
        <w:rPr>
          <w:sz w:val="20"/>
        </w:rPr>
        <w:t>homelessness</w:t>
      </w:r>
      <w:r>
        <w:rPr>
          <w:spacing w:val="-5"/>
          <w:sz w:val="20"/>
        </w:rPr>
        <w:t xml:space="preserve"> </w:t>
      </w:r>
      <w:r>
        <w:rPr>
          <w:sz w:val="20"/>
        </w:rPr>
        <w:t>in</w:t>
      </w:r>
      <w:r>
        <w:rPr>
          <w:spacing w:val="-4"/>
          <w:sz w:val="20"/>
        </w:rPr>
        <w:t xml:space="preserve"> </w:t>
      </w:r>
      <w:r>
        <w:rPr>
          <w:sz w:val="20"/>
        </w:rPr>
        <w:t>the</w:t>
      </w:r>
      <w:r>
        <w:rPr>
          <w:spacing w:val="-6"/>
          <w:sz w:val="20"/>
        </w:rPr>
        <w:t xml:space="preserve"> </w:t>
      </w:r>
      <w:r>
        <w:rPr>
          <w:sz w:val="20"/>
        </w:rPr>
        <w:t>United</w:t>
      </w:r>
      <w:r>
        <w:rPr>
          <w:spacing w:val="-5"/>
          <w:sz w:val="20"/>
        </w:rPr>
        <w:t xml:space="preserve"> </w:t>
      </w:r>
      <w:r>
        <w:rPr>
          <w:sz w:val="20"/>
        </w:rPr>
        <w:t>States.</w:t>
      </w:r>
      <w:r>
        <w:rPr>
          <w:spacing w:val="-4"/>
          <w:sz w:val="20"/>
        </w:rPr>
        <w:t xml:space="preserve"> </w:t>
      </w:r>
      <w:r>
        <w:rPr>
          <w:i/>
          <w:sz w:val="20"/>
        </w:rPr>
        <w:t>Journal</w:t>
      </w:r>
      <w:r>
        <w:rPr>
          <w:i/>
          <w:spacing w:val="-6"/>
          <w:sz w:val="20"/>
        </w:rPr>
        <w:t xml:space="preserve"> </w:t>
      </w:r>
      <w:r>
        <w:rPr>
          <w:i/>
          <w:sz w:val="20"/>
        </w:rPr>
        <w:t>of</w:t>
      </w:r>
      <w:r>
        <w:rPr>
          <w:i/>
          <w:spacing w:val="-6"/>
          <w:sz w:val="20"/>
        </w:rPr>
        <w:t xml:space="preserve"> </w:t>
      </w:r>
      <w:r>
        <w:rPr>
          <w:i/>
          <w:sz w:val="20"/>
        </w:rPr>
        <w:t>Adolescent</w:t>
      </w:r>
      <w:r>
        <w:rPr>
          <w:i/>
          <w:spacing w:val="-6"/>
          <w:sz w:val="20"/>
        </w:rPr>
        <w:t xml:space="preserve"> </w:t>
      </w:r>
      <w:r>
        <w:rPr>
          <w:i/>
          <w:sz w:val="20"/>
        </w:rPr>
        <w:t>Health</w:t>
      </w:r>
      <w:r>
        <w:rPr>
          <w:sz w:val="20"/>
        </w:rPr>
        <w:t>,</w:t>
      </w:r>
      <w:r>
        <w:rPr>
          <w:spacing w:val="-6"/>
          <w:sz w:val="20"/>
        </w:rPr>
        <w:t xml:space="preserve"> </w:t>
      </w:r>
      <w:r>
        <w:rPr>
          <w:i/>
          <w:sz w:val="20"/>
        </w:rPr>
        <w:t>62</w:t>
      </w:r>
      <w:r>
        <w:rPr>
          <w:sz w:val="20"/>
        </w:rPr>
        <w:t>(1),</w:t>
      </w:r>
      <w:r>
        <w:rPr>
          <w:spacing w:val="-6"/>
          <w:sz w:val="20"/>
        </w:rPr>
        <w:t xml:space="preserve"> </w:t>
      </w:r>
      <w:r>
        <w:rPr>
          <w:sz w:val="20"/>
        </w:rPr>
        <w:t xml:space="preserve">14-21. </w:t>
      </w:r>
      <w:r>
        <w:rPr>
          <w:sz w:val="20"/>
          <w:vertAlign w:val="superscript"/>
        </w:rPr>
        <w:t>30</w:t>
      </w:r>
      <w:r>
        <w:rPr>
          <w:sz w:val="20"/>
        </w:rPr>
        <w:t xml:space="preserve"> Massachusetts Commission on Unaccompanied Homeless Youth. (2019). Massachusetts Youth Count 2018.</w:t>
      </w:r>
    </w:p>
    <w:p w:rsidR="00C76E6D" w:rsidRDefault="00913831">
      <w:pPr>
        <w:spacing w:before="4"/>
        <w:ind w:left="480"/>
        <w:rPr>
          <w:sz w:val="20"/>
        </w:rPr>
      </w:pPr>
      <w:bookmarkStart w:id="308" w:name="_bookmark193"/>
      <w:bookmarkEnd w:id="308"/>
      <w:r>
        <w:rPr>
          <w:sz w:val="20"/>
        </w:rPr>
        <w:t>Retrieved</w:t>
      </w:r>
      <w:r>
        <w:rPr>
          <w:spacing w:val="-12"/>
          <w:sz w:val="20"/>
        </w:rPr>
        <w:t xml:space="preserve"> </w:t>
      </w:r>
      <w:r>
        <w:rPr>
          <w:sz w:val="20"/>
        </w:rPr>
        <w:t>from</w:t>
      </w:r>
      <w:r>
        <w:rPr>
          <w:spacing w:val="-10"/>
          <w:sz w:val="20"/>
        </w:rPr>
        <w:t xml:space="preserve"> </w:t>
      </w:r>
      <w:hyperlink r:id="rId230">
        <w:r>
          <w:rPr>
            <w:spacing w:val="-2"/>
            <w:sz w:val="20"/>
          </w:rPr>
          <w:t>http://www.mahomeless.org/images/2018_finalYouthCountreport</w:t>
        </w:r>
        <w:r>
          <w:rPr>
            <w:spacing w:val="-2"/>
            <w:sz w:val="20"/>
          </w:rPr>
          <w:t>.pdf</w:t>
        </w:r>
      </w:hyperlink>
    </w:p>
    <w:p w:rsidR="00C76E6D" w:rsidRDefault="00913831">
      <w:pPr>
        <w:spacing w:before="3"/>
        <w:ind w:left="478" w:right="589" w:hanging="1"/>
        <w:rPr>
          <w:sz w:val="20"/>
        </w:rPr>
      </w:pPr>
      <w:r>
        <w:rPr>
          <w:sz w:val="20"/>
          <w:vertAlign w:val="superscript"/>
        </w:rPr>
        <w:t>31</w:t>
      </w:r>
      <w:r>
        <w:rPr>
          <w:sz w:val="20"/>
        </w:rPr>
        <w:t xml:space="preserve"> The Massachusetts Commission on Unaccompanied Homeless Youth. (2020). Special Report to the MA Unaccompanied</w:t>
      </w:r>
      <w:r>
        <w:rPr>
          <w:spacing w:val="-12"/>
          <w:sz w:val="20"/>
        </w:rPr>
        <w:t xml:space="preserve"> </w:t>
      </w:r>
      <w:r>
        <w:rPr>
          <w:sz w:val="20"/>
        </w:rPr>
        <w:t>Homeless</w:t>
      </w:r>
      <w:r>
        <w:rPr>
          <w:spacing w:val="-11"/>
          <w:sz w:val="20"/>
        </w:rPr>
        <w:t xml:space="preserve"> </w:t>
      </w:r>
      <w:r>
        <w:rPr>
          <w:sz w:val="20"/>
        </w:rPr>
        <w:t>Youth</w:t>
      </w:r>
      <w:r>
        <w:rPr>
          <w:spacing w:val="-11"/>
          <w:sz w:val="20"/>
        </w:rPr>
        <w:t xml:space="preserve"> </w:t>
      </w:r>
      <w:r>
        <w:rPr>
          <w:sz w:val="20"/>
        </w:rPr>
        <w:t>Commission.</w:t>
      </w:r>
      <w:r>
        <w:rPr>
          <w:spacing w:val="-12"/>
          <w:sz w:val="20"/>
        </w:rPr>
        <w:t xml:space="preserve"> </w:t>
      </w:r>
      <w:r>
        <w:rPr>
          <w:sz w:val="20"/>
        </w:rPr>
        <w:t>Retrieved</w:t>
      </w:r>
      <w:r>
        <w:rPr>
          <w:spacing w:val="-11"/>
          <w:sz w:val="20"/>
        </w:rPr>
        <w:t xml:space="preserve"> </w:t>
      </w:r>
      <w:r>
        <w:rPr>
          <w:sz w:val="20"/>
        </w:rPr>
        <w:t>from</w:t>
      </w:r>
      <w:r>
        <w:rPr>
          <w:spacing w:val="-11"/>
          <w:sz w:val="20"/>
        </w:rPr>
        <w:t xml:space="preserve"> </w:t>
      </w:r>
      <w:r>
        <w:rPr>
          <w:sz w:val="20"/>
        </w:rPr>
        <w:t>https://</w:t>
      </w:r>
      <w:hyperlink r:id="rId231">
        <w:r>
          <w:rPr>
            <w:sz w:val="20"/>
          </w:rPr>
          <w:t>www.mass.gov/doc/2020-</w:t>
        </w:r>
        <w:r>
          <w:rPr>
            <w:sz w:val="20"/>
          </w:rPr>
          <w:t>special-report-to-</w:t>
        </w:r>
      </w:hyperlink>
      <w:r>
        <w:rPr>
          <w:sz w:val="20"/>
        </w:rPr>
        <w:t xml:space="preserve"> </w:t>
      </w:r>
      <w:bookmarkStart w:id="309" w:name="_bookmark194"/>
      <w:bookmarkEnd w:id="309"/>
      <w:r>
        <w:rPr>
          <w:spacing w:val="-2"/>
          <w:sz w:val="20"/>
        </w:rPr>
        <w:t>the-ma-unaccompanied-homeless-youth-commission/download</w:t>
      </w:r>
    </w:p>
    <w:p w:rsidR="00C76E6D" w:rsidRDefault="00913831">
      <w:pPr>
        <w:spacing w:before="1"/>
        <w:ind w:left="480"/>
        <w:rPr>
          <w:sz w:val="20"/>
        </w:rPr>
      </w:pPr>
      <w:r>
        <w:rPr>
          <w:sz w:val="20"/>
          <w:vertAlign w:val="superscript"/>
        </w:rPr>
        <w:t>32</w:t>
      </w:r>
      <w:r>
        <w:rPr>
          <w:spacing w:val="-6"/>
          <w:sz w:val="20"/>
        </w:rPr>
        <w:t xml:space="preserve"> </w:t>
      </w:r>
      <w:r>
        <w:rPr>
          <w:sz w:val="20"/>
        </w:rPr>
        <w:t>City</w:t>
      </w:r>
      <w:r>
        <w:rPr>
          <w:spacing w:val="-6"/>
          <w:sz w:val="20"/>
        </w:rPr>
        <w:t xml:space="preserve"> </w:t>
      </w:r>
      <w:r>
        <w:rPr>
          <w:sz w:val="20"/>
        </w:rPr>
        <w:t>of</w:t>
      </w:r>
      <w:r>
        <w:rPr>
          <w:spacing w:val="-7"/>
          <w:sz w:val="20"/>
        </w:rPr>
        <w:t xml:space="preserve"> </w:t>
      </w:r>
      <w:r>
        <w:rPr>
          <w:sz w:val="20"/>
        </w:rPr>
        <w:t>Boston.</w:t>
      </w:r>
      <w:r>
        <w:rPr>
          <w:spacing w:val="-7"/>
          <w:sz w:val="20"/>
        </w:rPr>
        <w:t xml:space="preserve"> </w:t>
      </w:r>
      <w:r>
        <w:rPr>
          <w:sz w:val="20"/>
        </w:rPr>
        <w:t>(2018).</w:t>
      </w:r>
      <w:r>
        <w:rPr>
          <w:spacing w:val="-8"/>
          <w:sz w:val="20"/>
        </w:rPr>
        <w:t xml:space="preserve"> </w:t>
      </w:r>
      <w:r>
        <w:rPr>
          <w:sz w:val="20"/>
        </w:rPr>
        <w:t>The</w:t>
      </w:r>
      <w:r>
        <w:rPr>
          <w:spacing w:val="-9"/>
          <w:sz w:val="20"/>
        </w:rPr>
        <w:t xml:space="preserve"> </w:t>
      </w:r>
      <w:r>
        <w:rPr>
          <w:sz w:val="20"/>
        </w:rPr>
        <w:t>State</w:t>
      </w:r>
      <w:r>
        <w:rPr>
          <w:spacing w:val="-6"/>
          <w:sz w:val="20"/>
        </w:rPr>
        <w:t xml:space="preserve"> </w:t>
      </w:r>
      <w:r>
        <w:rPr>
          <w:sz w:val="20"/>
        </w:rPr>
        <w:t>of</w:t>
      </w:r>
      <w:r>
        <w:rPr>
          <w:spacing w:val="-7"/>
          <w:sz w:val="20"/>
        </w:rPr>
        <w:t xml:space="preserve"> </w:t>
      </w:r>
      <w:r>
        <w:rPr>
          <w:sz w:val="20"/>
        </w:rPr>
        <w:t>the</w:t>
      </w:r>
      <w:r>
        <w:rPr>
          <w:spacing w:val="-9"/>
          <w:sz w:val="20"/>
        </w:rPr>
        <w:t xml:space="preserve"> </w:t>
      </w:r>
      <w:r>
        <w:rPr>
          <w:sz w:val="20"/>
        </w:rPr>
        <w:t>System:</w:t>
      </w:r>
      <w:r>
        <w:rPr>
          <w:spacing w:val="-7"/>
          <w:sz w:val="20"/>
        </w:rPr>
        <w:t xml:space="preserve"> </w:t>
      </w:r>
      <w:r>
        <w:rPr>
          <w:sz w:val="20"/>
        </w:rPr>
        <w:t>Ending</w:t>
      </w:r>
      <w:r>
        <w:rPr>
          <w:spacing w:val="-5"/>
          <w:sz w:val="20"/>
        </w:rPr>
        <w:t xml:space="preserve"> </w:t>
      </w:r>
      <w:r>
        <w:rPr>
          <w:sz w:val="20"/>
        </w:rPr>
        <w:t>Youth</w:t>
      </w:r>
      <w:r>
        <w:rPr>
          <w:spacing w:val="-7"/>
          <w:sz w:val="20"/>
        </w:rPr>
        <w:t xml:space="preserve"> </w:t>
      </w:r>
      <w:r>
        <w:rPr>
          <w:sz w:val="20"/>
        </w:rPr>
        <w:t>Homelessness</w:t>
      </w:r>
      <w:r>
        <w:rPr>
          <w:spacing w:val="-7"/>
          <w:sz w:val="20"/>
        </w:rPr>
        <w:t xml:space="preserve"> </w:t>
      </w:r>
      <w:r>
        <w:rPr>
          <w:sz w:val="20"/>
        </w:rPr>
        <w:t>in</w:t>
      </w:r>
      <w:r>
        <w:rPr>
          <w:spacing w:val="-6"/>
          <w:sz w:val="20"/>
        </w:rPr>
        <w:t xml:space="preserve"> </w:t>
      </w:r>
      <w:r>
        <w:rPr>
          <w:sz w:val="20"/>
        </w:rPr>
        <w:t>Boston.</w:t>
      </w:r>
      <w:r>
        <w:rPr>
          <w:spacing w:val="-8"/>
          <w:sz w:val="20"/>
        </w:rPr>
        <w:t xml:space="preserve"> </w:t>
      </w:r>
      <w:r>
        <w:rPr>
          <w:sz w:val="20"/>
        </w:rPr>
        <w:t>Retrieved</w:t>
      </w:r>
      <w:r>
        <w:rPr>
          <w:spacing w:val="-8"/>
          <w:sz w:val="20"/>
        </w:rPr>
        <w:t xml:space="preserve"> </w:t>
      </w:r>
      <w:r>
        <w:rPr>
          <w:spacing w:val="-4"/>
          <w:sz w:val="20"/>
        </w:rPr>
        <w:t>from</w:t>
      </w:r>
    </w:p>
    <w:p w:rsidR="00C76E6D" w:rsidRDefault="00C76E6D">
      <w:pPr>
        <w:rPr>
          <w:sz w:val="20"/>
        </w:rPr>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4"/>
        <w:rPr>
          <w:sz w:val="18"/>
        </w:rPr>
      </w:pPr>
    </w:p>
    <w:p w:rsidR="00C76E6D" w:rsidRDefault="00913831">
      <w:pPr>
        <w:ind w:left="477" w:right="743" w:firstLine="1"/>
        <w:rPr>
          <w:sz w:val="20"/>
        </w:rPr>
      </w:pPr>
      <w:r>
        <w:rPr>
          <w:spacing w:val="-4"/>
          <w:sz w:val="20"/>
        </w:rPr>
        <w:t>https://</w:t>
      </w:r>
      <w:hyperlink r:id="rId232">
        <w:r>
          <w:rPr>
            <w:spacing w:val="-4"/>
            <w:sz w:val="20"/>
          </w:rPr>
          <w:t>www.boston.gov/sites/default/files/embed/t/the_state-of-the-system-a-brief-on-the-status-of-youth-and-</w:t>
        </w:r>
      </w:hyperlink>
      <w:r>
        <w:rPr>
          <w:spacing w:val="-4"/>
          <w:sz w:val="20"/>
        </w:rPr>
        <w:t xml:space="preserve"> </w:t>
      </w:r>
      <w:bookmarkStart w:id="310" w:name="_bookmark195"/>
      <w:bookmarkEnd w:id="310"/>
      <w:r>
        <w:rPr>
          <w:spacing w:val="-2"/>
          <w:sz w:val="20"/>
        </w:rPr>
        <w:t>young-adult-homelessness-i</w:t>
      </w:r>
      <w:r>
        <w:rPr>
          <w:spacing w:val="-2"/>
          <w:sz w:val="20"/>
        </w:rPr>
        <w:t>n-boston_181017.pdf</w:t>
      </w:r>
    </w:p>
    <w:p w:rsidR="00C76E6D" w:rsidRDefault="00913831">
      <w:pPr>
        <w:spacing w:before="6" w:line="241" w:lineRule="exact"/>
        <w:ind w:left="480"/>
        <w:rPr>
          <w:sz w:val="20"/>
        </w:rPr>
      </w:pPr>
      <w:bookmarkStart w:id="311" w:name="_bookmark196"/>
      <w:bookmarkEnd w:id="311"/>
      <w:r>
        <w:rPr>
          <w:sz w:val="20"/>
          <w:vertAlign w:val="superscript"/>
        </w:rPr>
        <w:t>33</w:t>
      </w:r>
      <w:r>
        <w:rPr>
          <w:spacing w:val="-4"/>
          <w:sz w:val="20"/>
        </w:rPr>
        <w:t xml:space="preserve"> </w:t>
      </w:r>
      <w:r>
        <w:rPr>
          <w:sz w:val="20"/>
        </w:rPr>
        <w:t>City</w:t>
      </w:r>
      <w:r>
        <w:rPr>
          <w:spacing w:val="-3"/>
          <w:sz w:val="20"/>
        </w:rPr>
        <w:t xml:space="preserve"> </w:t>
      </w:r>
      <w:r>
        <w:rPr>
          <w:sz w:val="20"/>
        </w:rPr>
        <w:t>of</w:t>
      </w:r>
      <w:r>
        <w:rPr>
          <w:spacing w:val="-4"/>
          <w:sz w:val="20"/>
        </w:rPr>
        <w:t xml:space="preserve"> </w:t>
      </w:r>
      <w:r>
        <w:rPr>
          <w:spacing w:val="-2"/>
          <w:sz w:val="20"/>
        </w:rPr>
        <w:t>Boston.</w:t>
      </w:r>
    </w:p>
    <w:p w:rsidR="00C76E6D" w:rsidRDefault="00913831">
      <w:pPr>
        <w:ind w:left="478" w:right="530"/>
        <w:rPr>
          <w:sz w:val="20"/>
        </w:rPr>
      </w:pPr>
      <w:r>
        <w:rPr>
          <w:sz w:val="20"/>
          <w:vertAlign w:val="superscript"/>
        </w:rPr>
        <w:t>34</w:t>
      </w:r>
      <w:r>
        <w:rPr>
          <w:sz w:val="20"/>
        </w:rPr>
        <w:t xml:space="preserve"> Hao, J., Beld, M., Khoddam-Khorasani, L., Flentje, A., Kersey, E., Mousseau, H., and Dawson-Rose, C. (2021). </w:t>
      </w:r>
      <w:bookmarkStart w:id="312" w:name="_bookmark197"/>
      <w:bookmarkEnd w:id="312"/>
      <w:r>
        <w:rPr>
          <w:sz w:val="20"/>
        </w:rPr>
        <w:t>Comparing</w:t>
      </w:r>
      <w:r>
        <w:rPr>
          <w:spacing w:val="-5"/>
          <w:sz w:val="20"/>
        </w:rPr>
        <w:t xml:space="preserve"> </w:t>
      </w:r>
      <w:r>
        <w:rPr>
          <w:sz w:val="20"/>
        </w:rPr>
        <w:t>substance</w:t>
      </w:r>
      <w:r>
        <w:rPr>
          <w:spacing w:val="-6"/>
          <w:sz w:val="20"/>
        </w:rPr>
        <w:t xml:space="preserve"> </w:t>
      </w:r>
      <w:r>
        <w:rPr>
          <w:sz w:val="20"/>
        </w:rPr>
        <w:t>use</w:t>
      </w:r>
      <w:r>
        <w:rPr>
          <w:spacing w:val="-6"/>
          <w:sz w:val="20"/>
        </w:rPr>
        <w:t xml:space="preserve"> </w:t>
      </w:r>
      <w:r>
        <w:rPr>
          <w:sz w:val="20"/>
        </w:rPr>
        <w:t>and</w:t>
      </w:r>
      <w:r>
        <w:rPr>
          <w:spacing w:val="-7"/>
          <w:sz w:val="20"/>
        </w:rPr>
        <w:t xml:space="preserve"> </w:t>
      </w:r>
      <w:r>
        <w:rPr>
          <w:sz w:val="20"/>
        </w:rPr>
        <w:t>mental</w:t>
      </w:r>
      <w:r>
        <w:rPr>
          <w:spacing w:val="-6"/>
          <w:sz w:val="20"/>
        </w:rPr>
        <w:t xml:space="preserve"> </w:t>
      </w:r>
      <w:r>
        <w:rPr>
          <w:sz w:val="20"/>
        </w:rPr>
        <w:t>health</w:t>
      </w:r>
      <w:r>
        <w:rPr>
          <w:spacing w:val="-7"/>
          <w:sz w:val="20"/>
        </w:rPr>
        <w:t xml:space="preserve"> </w:t>
      </w:r>
      <w:r>
        <w:rPr>
          <w:sz w:val="20"/>
        </w:rPr>
        <w:t>among</w:t>
      </w:r>
      <w:r>
        <w:rPr>
          <w:spacing w:val="-4"/>
          <w:sz w:val="20"/>
        </w:rPr>
        <w:t xml:space="preserve"> </w:t>
      </w:r>
      <w:r>
        <w:rPr>
          <w:sz w:val="20"/>
        </w:rPr>
        <w:t>sexual</w:t>
      </w:r>
      <w:r>
        <w:rPr>
          <w:spacing w:val="-8"/>
          <w:sz w:val="20"/>
        </w:rPr>
        <w:t xml:space="preserve"> </w:t>
      </w:r>
      <w:r>
        <w:rPr>
          <w:sz w:val="20"/>
        </w:rPr>
        <w:t>and</w:t>
      </w:r>
      <w:r>
        <w:rPr>
          <w:spacing w:val="-5"/>
          <w:sz w:val="20"/>
        </w:rPr>
        <w:t xml:space="preserve"> </w:t>
      </w:r>
      <w:r>
        <w:rPr>
          <w:sz w:val="20"/>
        </w:rPr>
        <w:t>gender</w:t>
      </w:r>
      <w:r>
        <w:rPr>
          <w:spacing w:val="-5"/>
          <w:sz w:val="20"/>
        </w:rPr>
        <w:t xml:space="preserve"> </w:t>
      </w:r>
      <w:r>
        <w:rPr>
          <w:sz w:val="20"/>
        </w:rPr>
        <w:t>minority</w:t>
      </w:r>
      <w:r>
        <w:rPr>
          <w:spacing w:val="-4"/>
          <w:sz w:val="20"/>
        </w:rPr>
        <w:t xml:space="preserve"> </w:t>
      </w:r>
      <w:r>
        <w:rPr>
          <w:sz w:val="20"/>
        </w:rPr>
        <w:t>and</w:t>
      </w:r>
      <w:r>
        <w:rPr>
          <w:spacing w:val="-5"/>
          <w:sz w:val="20"/>
        </w:rPr>
        <w:t xml:space="preserve"> </w:t>
      </w:r>
      <w:r>
        <w:rPr>
          <w:sz w:val="20"/>
        </w:rPr>
        <w:t>heterosexual</w:t>
      </w:r>
      <w:r>
        <w:rPr>
          <w:spacing w:val="-5"/>
          <w:sz w:val="20"/>
        </w:rPr>
        <w:t xml:space="preserve"> </w:t>
      </w:r>
      <w:r>
        <w:rPr>
          <w:sz w:val="20"/>
        </w:rPr>
        <w:t>cisgender</w:t>
      </w:r>
      <w:r>
        <w:rPr>
          <w:spacing w:val="-7"/>
          <w:sz w:val="20"/>
        </w:rPr>
        <w:t xml:space="preserve"> </w:t>
      </w:r>
      <w:r>
        <w:rPr>
          <w:sz w:val="20"/>
        </w:rPr>
        <w:t>you</w:t>
      </w:r>
      <w:r>
        <w:rPr>
          <w:sz w:val="20"/>
        </w:rPr>
        <w:t>th experiencing homelessness. Plos one, 16(3), e0248077.</w:t>
      </w:r>
    </w:p>
    <w:p w:rsidR="00C76E6D" w:rsidRDefault="00913831">
      <w:pPr>
        <w:spacing w:before="3" w:line="241" w:lineRule="exact"/>
        <w:ind w:left="480"/>
        <w:rPr>
          <w:sz w:val="20"/>
        </w:rPr>
      </w:pPr>
      <w:bookmarkStart w:id="313" w:name="_bookmark198"/>
      <w:bookmarkEnd w:id="313"/>
      <w:r>
        <w:rPr>
          <w:sz w:val="20"/>
          <w:vertAlign w:val="superscript"/>
        </w:rPr>
        <w:t>35</w:t>
      </w:r>
      <w:r>
        <w:rPr>
          <w:spacing w:val="-7"/>
          <w:sz w:val="20"/>
        </w:rPr>
        <w:t xml:space="preserve"> </w:t>
      </w:r>
      <w:r>
        <w:rPr>
          <w:sz w:val="20"/>
        </w:rPr>
        <w:t>Hao,</w:t>
      </w:r>
      <w:r>
        <w:rPr>
          <w:spacing w:val="-7"/>
          <w:sz w:val="20"/>
        </w:rPr>
        <w:t xml:space="preserve"> </w:t>
      </w:r>
      <w:r>
        <w:rPr>
          <w:sz w:val="20"/>
        </w:rPr>
        <w:t>J.,</w:t>
      </w:r>
      <w:r>
        <w:rPr>
          <w:spacing w:val="-7"/>
          <w:sz w:val="20"/>
        </w:rPr>
        <w:t xml:space="preserve"> </w:t>
      </w:r>
      <w:r>
        <w:rPr>
          <w:sz w:val="20"/>
        </w:rPr>
        <w:t>Beld,</w:t>
      </w:r>
      <w:r>
        <w:rPr>
          <w:spacing w:val="-8"/>
          <w:sz w:val="20"/>
        </w:rPr>
        <w:t xml:space="preserve"> </w:t>
      </w:r>
      <w:r>
        <w:rPr>
          <w:sz w:val="20"/>
        </w:rPr>
        <w:t>M.,</w:t>
      </w:r>
      <w:r>
        <w:rPr>
          <w:spacing w:val="-7"/>
          <w:sz w:val="20"/>
        </w:rPr>
        <w:t xml:space="preserve"> </w:t>
      </w:r>
      <w:r>
        <w:rPr>
          <w:sz w:val="20"/>
        </w:rPr>
        <w:t>Khoddam-Khorasani,</w:t>
      </w:r>
      <w:r>
        <w:rPr>
          <w:spacing w:val="-7"/>
          <w:sz w:val="20"/>
        </w:rPr>
        <w:t xml:space="preserve"> </w:t>
      </w:r>
      <w:r>
        <w:rPr>
          <w:sz w:val="20"/>
        </w:rPr>
        <w:t>L.,</w:t>
      </w:r>
      <w:r>
        <w:rPr>
          <w:spacing w:val="-7"/>
          <w:sz w:val="20"/>
        </w:rPr>
        <w:t xml:space="preserve"> </w:t>
      </w:r>
      <w:r>
        <w:rPr>
          <w:sz w:val="20"/>
        </w:rPr>
        <w:t>Flentje,</w:t>
      </w:r>
      <w:r>
        <w:rPr>
          <w:spacing w:val="-9"/>
          <w:sz w:val="20"/>
        </w:rPr>
        <w:t xml:space="preserve"> </w:t>
      </w:r>
      <w:r>
        <w:rPr>
          <w:sz w:val="20"/>
        </w:rPr>
        <w:t>A.,</w:t>
      </w:r>
      <w:r>
        <w:rPr>
          <w:spacing w:val="-9"/>
          <w:sz w:val="20"/>
        </w:rPr>
        <w:t xml:space="preserve"> </w:t>
      </w:r>
      <w:r>
        <w:rPr>
          <w:sz w:val="20"/>
        </w:rPr>
        <w:t>Kersey,</w:t>
      </w:r>
      <w:r>
        <w:rPr>
          <w:spacing w:val="-7"/>
          <w:sz w:val="20"/>
        </w:rPr>
        <w:t xml:space="preserve"> </w:t>
      </w:r>
      <w:r>
        <w:rPr>
          <w:sz w:val="20"/>
        </w:rPr>
        <w:t>E.,</w:t>
      </w:r>
      <w:r>
        <w:rPr>
          <w:spacing w:val="-8"/>
          <w:sz w:val="20"/>
        </w:rPr>
        <w:t xml:space="preserve"> </w:t>
      </w:r>
      <w:r>
        <w:rPr>
          <w:sz w:val="20"/>
        </w:rPr>
        <w:t>Mousseau,</w:t>
      </w:r>
      <w:r>
        <w:rPr>
          <w:spacing w:val="-8"/>
          <w:sz w:val="20"/>
        </w:rPr>
        <w:t xml:space="preserve"> </w:t>
      </w:r>
      <w:r>
        <w:rPr>
          <w:sz w:val="20"/>
        </w:rPr>
        <w:t>H.,</w:t>
      </w:r>
      <w:r>
        <w:rPr>
          <w:spacing w:val="-7"/>
          <w:sz w:val="20"/>
        </w:rPr>
        <w:t xml:space="preserve"> </w:t>
      </w:r>
      <w:r>
        <w:rPr>
          <w:sz w:val="20"/>
        </w:rPr>
        <w:t>and</w:t>
      </w:r>
      <w:r>
        <w:rPr>
          <w:spacing w:val="-8"/>
          <w:sz w:val="20"/>
        </w:rPr>
        <w:t xml:space="preserve"> </w:t>
      </w:r>
      <w:r>
        <w:rPr>
          <w:sz w:val="20"/>
        </w:rPr>
        <w:t>Dawson-Rose,</w:t>
      </w:r>
      <w:r>
        <w:rPr>
          <w:spacing w:val="-9"/>
          <w:sz w:val="20"/>
        </w:rPr>
        <w:t xml:space="preserve"> </w:t>
      </w:r>
      <w:r>
        <w:rPr>
          <w:spacing w:val="-5"/>
          <w:sz w:val="20"/>
        </w:rPr>
        <w:t>C.</w:t>
      </w:r>
    </w:p>
    <w:p w:rsidR="00C76E6D" w:rsidRDefault="00913831">
      <w:pPr>
        <w:ind w:left="480" w:right="820" w:hanging="2"/>
        <w:rPr>
          <w:sz w:val="20"/>
        </w:rPr>
      </w:pPr>
      <w:r>
        <w:rPr>
          <w:sz w:val="20"/>
          <w:vertAlign w:val="superscript"/>
        </w:rPr>
        <w:t>36</w:t>
      </w:r>
      <w:r>
        <w:rPr>
          <w:spacing w:val="-5"/>
          <w:sz w:val="20"/>
        </w:rPr>
        <w:t xml:space="preserve"> </w:t>
      </w:r>
      <w:r>
        <w:rPr>
          <w:sz w:val="20"/>
        </w:rPr>
        <w:t>Chapin</w:t>
      </w:r>
      <w:r>
        <w:rPr>
          <w:spacing w:val="-6"/>
          <w:sz w:val="20"/>
        </w:rPr>
        <w:t xml:space="preserve"> </w:t>
      </w:r>
      <w:r>
        <w:rPr>
          <w:sz w:val="20"/>
        </w:rPr>
        <w:t>Hall</w:t>
      </w:r>
      <w:r>
        <w:rPr>
          <w:spacing w:val="-6"/>
          <w:sz w:val="20"/>
        </w:rPr>
        <w:t xml:space="preserve"> </w:t>
      </w:r>
      <w:r>
        <w:rPr>
          <w:sz w:val="20"/>
        </w:rPr>
        <w:t>at</w:t>
      </w:r>
      <w:r>
        <w:rPr>
          <w:spacing w:val="-6"/>
          <w:sz w:val="20"/>
        </w:rPr>
        <w:t xml:space="preserve"> </w:t>
      </w:r>
      <w:r>
        <w:rPr>
          <w:sz w:val="20"/>
        </w:rPr>
        <w:t>the</w:t>
      </w:r>
      <w:r>
        <w:rPr>
          <w:spacing w:val="-6"/>
          <w:sz w:val="20"/>
        </w:rPr>
        <w:t xml:space="preserve"> </w:t>
      </w:r>
      <w:r>
        <w:rPr>
          <w:sz w:val="20"/>
        </w:rPr>
        <w:t>University</w:t>
      </w:r>
      <w:r>
        <w:rPr>
          <w:spacing w:val="-5"/>
          <w:sz w:val="20"/>
        </w:rPr>
        <w:t xml:space="preserve"> </w:t>
      </w:r>
      <w:r>
        <w:rPr>
          <w:sz w:val="20"/>
        </w:rPr>
        <w:t>of</w:t>
      </w:r>
      <w:r>
        <w:rPr>
          <w:spacing w:val="-6"/>
          <w:sz w:val="20"/>
        </w:rPr>
        <w:t xml:space="preserve"> </w:t>
      </w:r>
      <w:r>
        <w:rPr>
          <w:sz w:val="20"/>
        </w:rPr>
        <w:t>Chicago.</w:t>
      </w:r>
      <w:r>
        <w:rPr>
          <w:spacing w:val="-7"/>
          <w:sz w:val="20"/>
        </w:rPr>
        <w:t xml:space="preserve"> </w:t>
      </w:r>
      <w:r>
        <w:rPr>
          <w:sz w:val="20"/>
        </w:rPr>
        <w:t>(2017).</w:t>
      </w:r>
      <w:r>
        <w:rPr>
          <w:spacing w:val="-6"/>
          <w:sz w:val="20"/>
        </w:rPr>
        <w:t xml:space="preserve"> </w:t>
      </w:r>
      <w:r>
        <w:rPr>
          <w:sz w:val="20"/>
        </w:rPr>
        <w:t>Missed</w:t>
      </w:r>
      <w:r>
        <w:rPr>
          <w:spacing w:val="-6"/>
          <w:sz w:val="20"/>
        </w:rPr>
        <w:t xml:space="preserve"> </w:t>
      </w:r>
      <w:r>
        <w:rPr>
          <w:sz w:val="20"/>
        </w:rPr>
        <w:t>Opportunities:</w:t>
      </w:r>
      <w:r>
        <w:rPr>
          <w:spacing w:val="-5"/>
          <w:sz w:val="20"/>
        </w:rPr>
        <w:t xml:space="preserve"> </w:t>
      </w:r>
      <w:r>
        <w:rPr>
          <w:sz w:val="20"/>
        </w:rPr>
        <w:t>Youth</w:t>
      </w:r>
      <w:r>
        <w:rPr>
          <w:spacing w:val="-5"/>
          <w:sz w:val="20"/>
        </w:rPr>
        <w:t xml:space="preserve"> </w:t>
      </w:r>
      <w:r>
        <w:rPr>
          <w:sz w:val="20"/>
        </w:rPr>
        <w:t>Homelessness</w:t>
      </w:r>
      <w:r>
        <w:rPr>
          <w:spacing w:val="-6"/>
          <w:sz w:val="20"/>
        </w:rPr>
        <w:t xml:space="preserve"> </w:t>
      </w:r>
      <w:r>
        <w:rPr>
          <w:sz w:val="20"/>
        </w:rPr>
        <w:t>in</w:t>
      </w:r>
      <w:r>
        <w:rPr>
          <w:spacing w:val="-5"/>
          <w:sz w:val="20"/>
        </w:rPr>
        <w:t xml:space="preserve"> </w:t>
      </w:r>
      <w:r>
        <w:rPr>
          <w:sz w:val="20"/>
        </w:rPr>
        <w:t xml:space="preserve">America. </w:t>
      </w:r>
      <w:bookmarkStart w:id="314" w:name="_bookmark199"/>
      <w:bookmarkEnd w:id="314"/>
      <w:r>
        <w:rPr>
          <w:sz w:val="20"/>
        </w:rPr>
        <w:t xml:space="preserve">Retrieved from: </w:t>
      </w:r>
      <w:hyperlink r:id="rId233">
        <w:r>
          <w:rPr>
            <w:sz w:val="20"/>
          </w:rPr>
          <w:t>https://voicesofyouthcount.org/wp-content/uploads/2017/11/ChapinHall_VoYC_1-</w:t>
        </w:r>
      </w:hyperlink>
      <w:r>
        <w:rPr>
          <w:sz w:val="20"/>
        </w:rPr>
        <w:t xml:space="preserve"> </w:t>
      </w:r>
      <w:hyperlink r:id="rId234">
        <w:r>
          <w:rPr>
            <w:spacing w:val="-2"/>
            <w:sz w:val="20"/>
          </w:rPr>
          <w:t>Pager_Final_111517.pdf</w:t>
        </w:r>
      </w:hyperlink>
    </w:p>
    <w:p w:rsidR="00C76E6D" w:rsidRDefault="00913831">
      <w:pPr>
        <w:spacing w:before="4" w:line="241" w:lineRule="exact"/>
        <w:ind w:left="480"/>
        <w:rPr>
          <w:sz w:val="20"/>
        </w:rPr>
      </w:pPr>
      <w:bookmarkStart w:id="315" w:name="_bookmark200"/>
      <w:bookmarkEnd w:id="315"/>
      <w:r>
        <w:rPr>
          <w:sz w:val="20"/>
          <w:vertAlign w:val="superscript"/>
        </w:rPr>
        <w:t>37</w:t>
      </w:r>
      <w:r>
        <w:rPr>
          <w:spacing w:val="-6"/>
          <w:sz w:val="20"/>
        </w:rPr>
        <w:t xml:space="preserve"> </w:t>
      </w:r>
      <w:r>
        <w:rPr>
          <w:sz w:val="20"/>
        </w:rPr>
        <w:t>DeChants,</w:t>
      </w:r>
      <w:r>
        <w:rPr>
          <w:spacing w:val="-7"/>
          <w:sz w:val="20"/>
        </w:rPr>
        <w:t xml:space="preserve"> </w:t>
      </w:r>
      <w:r>
        <w:rPr>
          <w:sz w:val="20"/>
        </w:rPr>
        <w:t>et</w:t>
      </w:r>
      <w:r>
        <w:rPr>
          <w:spacing w:val="-7"/>
          <w:sz w:val="20"/>
        </w:rPr>
        <w:t xml:space="preserve"> </w:t>
      </w:r>
      <w:r>
        <w:rPr>
          <w:sz w:val="20"/>
        </w:rPr>
        <w:t>al.,</w:t>
      </w:r>
      <w:r>
        <w:rPr>
          <w:spacing w:val="-7"/>
          <w:sz w:val="20"/>
        </w:rPr>
        <w:t xml:space="preserve"> </w:t>
      </w:r>
      <w:r>
        <w:rPr>
          <w:spacing w:val="-4"/>
          <w:sz w:val="20"/>
        </w:rPr>
        <w:t>2021</w:t>
      </w:r>
    </w:p>
    <w:p w:rsidR="00C76E6D" w:rsidRDefault="00913831">
      <w:pPr>
        <w:ind w:left="480" w:right="658" w:hanging="2"/>
        <w:rPr>
          <w:sz w:val="20"/>
        </w:rPr>
      </w:pPr>
      <w:r>
        <w:rPr>
          <w:sz w:val="20"/>
          <w:vertAlign w:val="superscript"/>
        </w:rPr>
        <w:t>38</w:t>
      </w:r>
      <w:r>
        <w:rPr>
          <w:spacing w:val="-4"/>
          <w:sz w:val="20"/>
        </w:rPr>
        <w:t xml:space="preserve"> </w:t>
      </w:r>
      <w:r>
        <w:rPr>
          <w:sz w:val="20"/>
        </w:rPr>
        <w:t>Erney,</w:t>
      </w:r>
      <w:r>
        <w:rPr>
          <w:spacing w:val="-6"/>
          <w:sz w:val="20"/>
        </w:rPr>
        <w:t xml:space="preserve"> </w:t>
      </w:r>
      <w:r>
        <w:rPr>
          <w:sz w:val="20"/>
        </w:rPr>
        <w:t>R.,</w:t>
      </w:r>
      <w:r>
        <w:rPr>
          <w:spacing w:val="-4"/>
          <w:sz w:val="20"/>
        </w:rPr>
        <w:t xml:space="preserve"> </w:t>
      </w:r>
      <w:r>
        <w:rPr>
          <w:sz w:val="20"/>
        </w:rPr>
        <w:t>and</w:t>
      </w:r>
      <w:r>
        <w:rPr>
          <w:spacing w:val="-5"/>
          <w:sz w:val="20"/>
        </w:rPr>
        <w:t xml:space="preserve"> </w:t>
      </w:r>
      <w:r>
        <w:rPr>
          <w:sz w:val="20"/>
        </w:rPr>
        <w:t>Weber,</w:t>
      </w:r>
      <w:r>
        <w:rPr>
          <w:spacing w:val="-4"/>
          <w:sz w:val="20"/>
        </w:rPr>
        <w:t xml:space="preserve"> </w:t>
      </w:r>
      <w:r>
        <w:rPr>
          <w:sz w:val="20"/>
        </w:rPr>
        <w:t>K.</w:t>
      </w:r>
      <w:r>
        <w:rPr>
          <w:spacing w:val="-7"/>
          <w:sz w:val="20"/>
        </w:rPr>
        <w:t xml:space="preserve"> </w:t>
      </w:r>
      <w:r>
        <w:rPr>
          <w:sz w:val="20"/>
        </w:rPr>
        <w:t>(2018)</w:t>
      </w:r>
      <w:r>
        <w:rPr>
          <w:spacing w:val="-5"/>
          <w:sz w:val="20"/>
        </w:rPr>
        <w:t xml:space="preserve"> </w:t>
      </w:r>
      <w:r>
        <w:rPr>
          <w:sz w:val="20"/>
        </w:rPr>
        <w:t>"Not</w:t>
      </w:r>
      <w:r>
        <w:rPr>
          <w:spacing w:val="-5"/>
          <w:sz w:val="20"/>
        </w:rPr>
        <w:t xml:space="preserve"> </w:t>
      </w:r>
      <w:r>
        <w:rPr>
          <w:sz w:val="20"/>
        </w:rPr>
        <w:t>all</w:t>
      </w:r>
      <w:r>
        <w:rPr>
          <w:spacing w:val="-5"/>
          <w:sz w:val="20"/>
        </w:rPr>
        <w:t xml:space="preserve"> </w:t>
      </w:r>
      <w:r>
        <w:rPr>
          <w:sz w:val="20"/>
        </w:rPr>
        <w:t>Children</w:t>
      </w:r>
      <w:r>
        <w:rPr>
          <w:spacing w:val="-4"/>
          <w:sz w:val="20"/>
        </w:rPr>
        <w:t xml:space="preserve"> </w:t>
      </w:r>
      <w:r>
        <w:rPr>
          <w:sz w:val="20"/>
        </w:rPr>
        <w:t>are</w:t>
      </w:r>
      <w:r>
        <w:rPr>
          <w:spacing w:val="-6"/>
          <w:sz w:val="20"/>
        </w:rPr>
        <w:t xml:space="preserve"> </w:t>
      </w:r>
      <w:r>
        <w:rPr>
          <w:sz w:val="20"/>
        </w:rPr>
        <w:t>Straight</w:t>
      </w:r>
      <w:r>
        <w:rPr>
          <w:spacing w:val="-4"/>
          <w:sz w:val="20"/>
        </w:rPr>
        <w:t xml:space="preserve"> </w:t>
      </w:r>
      <w:r>
        <w:rPr>
          <w:sz w:val="20"/>
        </w:rPr>
        <w:t>and</w:t>
      </w:r>
      <w:r>
        <w:rPr>
          <w:spacing w:val="-7"/>
          <w:sz w:val="20"/>
        </w:rPr>
        <w:t xml:space="preserve"> </w:t>
      </w:r>
      <w:r>
        <w:rPr>
          <w:sz w:val="20"/>
        </w:rPr>
        <w:t>White:</w:t>
      </w:r>
      <w:r>
        <w:rPr>
          <w:spacing w:val="-5"/>
          <w:sz w:val="20"/>
        </w:rPr>
        <w:t xml:space="preserve"> </w:t>
      </w:r>
      <w:r>
        <w:rPr>
          <w:sz w:val="20"/>
        </w:rPr>
        <w:t>Strategies</w:t>
      </w:r>
      <w:r>
        <w:rPr>
          <w:spacing w:val="-6"/>
          <w:sz w:val="20"/>
        </w:rPr>
        <w:t xml:space="preserve"> </w:t>
      </w:r>
      <w:r>
        <w:rPr>
          <w:sz w:val="20"/>
        </w:rPr>
        <w:t>for</w:t>
      </w:r>
      <w:r>
        <w:rPr>
          <w:spacing w:val="-5"/>
          <w:sz w:val="20"/>
        </w:rPr>
        <w:t xml:space="preserve"> </w:t>
      </w:r>
      <w:r>
        <w:rPr>
          <w:sz w:val="20"/>
        </w:rPr>
        <w:t>Serving</w:t>
      </w:r>
      <w:r>
        <w:rPr>
          <w:spacing w:val="-4"/>
          <w:sz w:val="20"/>
        </w:rPr>
        <w:t xml:space="preserve"> </w:t>
      </w:r>
      <w:r>
        <w:rPr>
          <w:sz w:val="20"/>
        </w:rPr>
        <w:t>Youth</w:t>
      </w:r>
      <w:r>
        <w:rPr>
          <w:spacing w:val="-4"/>
          <w:sz w:val="20"/>
        </w:rPr>
        <w:t xml:space="preserve"> </w:t>
      </w:r>
      <w:r>
        <w:rPr>
          <w:sz w:val="20"/>
        </w:rPr>
        <w:t>of</w:t>
      </w:r>
      <w:r>
        <w:rPr>
          <w:spacing w:val="-4"/>
          <w:sz w:val="20"/>
        </w:rPr>
        <w:t xml:space="preserve"> </w:t>
      </w:r>
      <w:r>
        <w:rPr>
          <w:sz w:val="20"/>
        </w:rPr>
        <w:t>Color</w:t>
      </w:r>
      <w:r>
        <w:rPr>
          <w:spacing w:val="-5"/>
          <w:sz w:val="20"/>
        </w:rPr>
        <w:t xml:space="preserve"> </w:t>
      </w:r>
      <w:r>
        <w:rPr>
          <w:sz w:val="20"/>
        </w:rPr>
        <w:t xml:space="preserve">in </w:t>
      </w:r>
      <w:bookmarkStart w:id="316" w:name="_bookmark201"/>
      <w:bookmarkEnd w:id="316"/>
      <w:r>
        <w:rPr>
          <w:sz w:val="20"/>
        </w:rPr>
        <w:t>Out</w:t>
      </w:r>
      <w:r>
        <w:rPr>
          <w:sz w:val="20"/>
        </w:rPr>
        <w:t xml:space="preserve">-of-Home care who Identify as LGBTQ." </w:t>
      </w:r>
      <w:r>
        <w:rPr>
          <w:i/>
          <w:sz w:val="20"/>
        </w:rPr>
        <w:t xml:space="preserve">Child Welfare </w:t>
      </w:r>
      <w:r>
        <w:rPr>
          <w:sz w:val="20"/>
        </w:rPr>
        <w:t>v.96, no. 2.</w:t>
      </w:r>
    </w:p>
    <w:p w:rsidR="00C76E6D" w:rsidRDefault="00913831">
      <w:pPr>
        <w:spacing w:before="3" w:line="241" w:lineRule="exact"/>
        <w:ind w:left="480"/>
        <w:rPr>
          <w:sz w:val="20"/>
        </w:rPr>
      </w:pPr>
      <w:bookmarkStart w:id="317" w:name="_bookmark202"/>
      <w:bookmarkEnd w:id="317"/>
      <w:r>
        <w:rPr>
          <w:sz w:val="20"/>
          <w:vertAlign w:val="superscript"/>
        </w:rPr>
        <w:t>39</w:t>
      </w:r>
      <w:r>
        <w:rPr>
          <w:spacing w:val="-7"/>
          <w:sz w:val="20"/>
        </w:rPr>
        <w:t xml:space="preserve"> </w:t>
      </w:r>
      <w:r>
        <w:rPr>
          <w:sz w:val="20"/>
        </w:rPr>
        <w:t>True</w:t>
      </w:r>
      <w:r>
        <w:rPr>
          <w:spacing w:val="-9"/>
          <w:sz w:val="20"/>
        </w:rPr>
        <w:t xml:space="preserve"> </w:t>
      </w:r>
      <w:r>
        <w:rPr>
          <w:sz w:val="20"/>
        </w:rPr>
        <w:t>Colors</w:t>
      </w:r>
      <w:r>
        <w:rPr>
          <w:spacing w:val="-8"/>
          <w:sz w:val="20"/>
        </w:rPr>
        <w:t xml:space="preserve"> </w:t>
      </w:r>
      <w:r>
        <w:rPr>
          <w:sz w:val="20"/>
        </w:rPr>
        <w:t>United</w:t>
      </w:r>
      <w:r>
        <w:rPr>
          <w:spacing w:val="-8"/>
          <w:sz w:val="20"/>
        </w:rPr>
        <w:t xml:space="preserve"> </w:t>
      </w:r>
      <w:r>
        <w:rPr>
          <w:sz w:val="20"/>
        </w:rPr>
        <w:t>in</w:t>
      </w:r>
      <w:r>
        <w:rPr>
          <w:spacing w:val="-9"/>
          <w:sz w:val="20"/>
        </w:rPr>
        <w:t xml:space="preserve"> </w:t>
      </w:r>
      <w:r>
        <w:rPr>
          <w:sz w:val="20"/>
        </w:rPr>
        <w:t>partnership</w:t>
      </w:r>
      <w:r>
        <w:rPr>
          <w:spacing w:val="-7"/>
          <w:sz w:val="20"/>
        </w:rPr>
        <w:t xml:space="preserve"> </w:t>
      </w:r>
      <w:r>
        <w:rPr>
          <w:sz w:val="20"/>
        </w:rPr>
        <w:t>with</w:t>
      </w:r>
      <w:r>
        <w:rPr>
          <w:spacing w:val="-8"/>
          <w:sz w:val="20"/>
        </w:rPr>
        <w:t xml:space="preserve"> </w:t>
      </w:r>
      <w:r>
        <w:rPr>
          <w:sz w:val="20"/>
        </w:rPr>
        <w:t>National</w:t>
      </w:r>
      <w:r>
        <w:rPr>
          <w:spacing w:val="-9"/>
          <w:sz w:val="20"/>
        </w:rPr>
        <w:t xml:space="preserve"> </w:t>
      </w:r>
      <w:r>
        <w:rPr>
          <w:sz w:val="20"/>
        </w:rPr>
        <w:t>LGBTQ</w:t>
      </w:r>
      <w:r>
        <w:rPr>
          <w:spacing w:val="-7"/>
          <w:sz w:val="20"/>
        </w:rPr>
        <w:t xml:space="preserve"> </w:t>
      </w:r>
      <w:r>
        <w:rPr>
          <w:sz w:val="20"/>
        </w:rPr>
        <w:t>Taskforce.</w:t>
      </w:r>
      <w:r>
        <w:rPr>
          <w:spacing w:val="-10"/>
          <w:sz w:val="20"/>
        </w:rPr>
        <w:t xml:space="preserve"> </w:t>
      </w:r>
      <w:r>
        <w:rPr>
          <w:spacing w:val="-2"/>
          <w:sz w:val="20"/>
        </w:rPr>
        <w:t>(2019).</w:t>
      </w:r>
    </w:p>
    <w:p w:rsidR="00C76E6D" w:rsidRDefault="00913831">
      <w:pPr>
        <w:ind w:left="481" w:right="886" w:hanging="2"/>
        <w:rPr>
          <w:sz w:val="20"/>
        </w:rPr>
      </w:pPr>
      <w:r>
        <w:rPr>
          <w:sz w:val="20"/>
          <w:vertAlign w:val="superscript"/>
        </w:rPr>
        <w:t>40</w:t>
      </w:r>
      <w:r>
        <w:rPr>
          <w:spacing w:val="-4"/>
          <w:sz w:val="20"/>
        </w:rPr>
        <w:t xml:space="preserve"> </w:t>
      </w:r>
      <w:r>
        <w:rPr>
          <w:sz w:val="20"/>
        </w:rPr>
        <w:t>Morton,</w:t>
      </w:r>
      <w:r>
        <w:rPr>
          <w:spacing w:val="-5"/>
          <w:sz w:val="20"/>
        </w:rPr>
        <w:t xml:space="preserve"> </w:t>
      </w:r>
      <w:r>
        <w:rPr>
          <w:sz w:val="20"/>
        </w:rPr>
        <w:t>M.</w:t>
      </w:r>
      <w:r>
        <w:rPr>
          <w:spacing w:val="-6"/>
          <w:sz w:val="20"/>
        </w:rPr>
        <w:t xml:space="preserve"> </w:t>
      </w:r>
      <w:r>
        <w:rPr>
          <w:sz w:val="20"/>
        </w:rPr>
        <w:t>H.,</w:t>
      </w:r>
      <w:r>
        <w:rPr>
          <w:spacing w:val="-4"/>
          <w:sz w:val="20"/>
        </w:rPr>
        <w:t xml:space="preserve"> </w:t>
      </w:r>
      <w:r>
        <w:rPr>
          <w:sz w:val="20"/>
        </w:rPr>
        <w:t>Chávez,</w:t>
      </w:r>
      <w:r>
        <w:rPr>
          <w:spacing w:val="-5"/>
          <w:sz w:val="20"/>
        </w:rPr>
        <w:t xml:space="preserve"> </w:t>
      </w:r>
      <w:r>
        <w:rPr>
          <w:sz w:val="20"/>
        </w:rPr>
        <w:t>R.,</w:t>
      </w:r>
      <w:r>
        <w:rPr>
          <w:spacing w:val="-6"/>
          <w:sz w:val="20"/>
        </w:rPr>
        <w:t xml:space="preserve"> </w:t>
      </w:r>
      <w:r>
        <w:rPr>
          <w:sz w:val="20"/>
        </w:rPr>
        <w:t>&amp;</w:t>
      </w:r>
      <w:r>
        <w:rPr>
          <w:spacing w:val="-5"/>
          <w:sz w:val="20"/>
        </w:rPr>
        <w:t xml:space="preserve"> </w:t>
      </w:r>
      <w:r>
        <w:rPr>
          <w:sz w:val="20"/>
        </w:rPr>
        <w:t>Moore,</w:t>
      </w:r>
      <w:r>
        <w:rPr>
          <w:spacing w:val="-5"/>
          <w:sz w:val="20"/>
        </w:rPr>
        <w:t xml:space="preserve"> </w:t>
      </w:r>
      <w:r>
        <w:rPr>
          <w:sz w:val="20"/>
        </w:rPr>
        <w:t>K.</w:t>
      </w:r>
      <w:r>
        <w:rPr>
          <w:spacing w:val="-8"/>
          <w:sz w:val="20"/>
        </w:rPr>
        <w:t xml:space="preserve"> </w:t>
      </w:r>
      <w:r>
        <w:rPr>
          <w:sz w:val="20"/>
        </w:rPr>
        <w:t>(2019).</w:t>
      </w:r>
      <w:r>
        <w:rPr>
          <w:spacing w:val="-5"/>
          <w:sz w:val="20"/>
        </w:rPr>
        <w:t xml:space="preserve"> </w:t>
      </w:r>
      <w:r>
        <w:rPr>
          <w:sz w:val="20"/>
        </w:rPr>
        <w:t>Prevalence</w:t>
      </w:r>
      <w:r>
        <w:rPr>
          <w:spacing w:val="-6"/>
          <w:sz w:val="20"/>
        </w:rPr>
        <w:t xml:space="preserve"> </w:t>
      </w:r>
      <w:r>
        <w:rPr>
          <w:sz w:val="20"/>
        </w:rPr>
        <w:t>and</w:t>
      </w:r>
      <w:r>
        <w:rPr>
          <w:spacing w:val="-5"/>
          <w:sz w:val="20"/>
        </w:rPr>
        <w:t xml:space="preserve"> </w:t>
      </w:r>
      <w:r>
        <w:rPr>
          <w:sz w:val="20"/>
        </w:rPr>
        <w:t>Correlates</w:t>
      </w:r>
      <w:r>
        <w:rPr>
          <w:spacing w:val="-5"/>
          <w:sz w:val="20"/>
        </w:rPr>
        <w:t xml:space="preserve"> </w:t>
      </w:r>
      <w:r>
        <w:rPr>
          <w:sz w:val="20"/>
        </w:rPr>
        <w:t>of</w:t>
      </w:r>
      <w:r>
        <w:rPr>
          <w:spacing w:val="-4"/>
          <w:sz w:val="20"/>
        </w:rPr>
        <w:t xml:space="preserve"> </w:t>
      </w:r>
      <w:r>
        <w:rPr>
          <w:sz w:val="20"/>
        </w:rPr>
        <w:t>Homelessness</w:t>
      </w:r>
      <w:r>
        <w:rPr>
          <w:spacing w:val="-5"/>
          <w:sz w:val="20"/>
        </w:rPr>
        <w:t xml:space="preserve"> </w:t>
      </w:r>
      <w:r>
        <w:rPr>
          <w:sz w:val="20"/>
        </w:rPr>
        <w:t>Among</w:t>
      </w:r>
      <w:r>
        <w:rPr>
          <w:spacing w:val="-5"/>
          <w:sz w:val="20"/>
        </w:rPr>
        <w:t xml:space="preserve"> </w:t>
      </w:r>
      <w:r>
        <w:rPr>
          <w:sz w:val="20"/>
        </w:rPr>
        <w:t xml:space="preserve">American Indian and Alaska Native Youth. </w:t>
      </w:r>
      <w:r>
        <w:rPr>
          <w:i/>
          <w:sz w:val="20"/>
        </w:rPr>
        <w:t>The journal of primary prevention</w:t>
      </w:r>
      <w:r>
        <w:rPr>
          <w:sz w:val="20"/>
        </w:rPr>
        <w:t xml:space="preserve">, </w:t>
      </w:r>
      <w:r>
        <w:rPr>
          <w:i/>
          <w:sz w:val="20"/>
        </w:rPr>
        <w:t>40</w:t>
      </w:r>
      <w:r>
        <w:rPr>
          <w:sz w:val="20"/>
        </w:rPr>
        <w:t xml:space="preserve">(6), 643–660. </w:t>
      </w:r>
      <w:bookmarkStart w:id="318" w:name="_bookmark203"/>
      <w:bookmarkEnd w:id="318"/>
      <w:r>
        <w:fldChar w:fldCharType="begin"/>
      </w:r>
      <w:r>
        <w:instrText xml:space="preserve"> HYPERLINK "https://doi.org/10.1007/s10935-019-00571-2" \h </w:instrText>
      </w:r>
      <w:r>
        <w:fldChar w:fldCharType="separate"/>
      </w:r>
      <w:r>
        <w:rPr>
          <w:spacing w:val="-2"/>
          <w:sz w:val="20"/>
        </w:rPr>
        <w:t>https://doi.org/10.1007/s10935-019-00571-2</w:t>
      </w:r>
      <w:r>
        <w:rPr>
          <w:spacing w:val="-2"/>
          <w:sz w:val="20"/>
        </w:rPr>
        <w:fldChar w:fldCharType="end"/>
      </w:r>
    </w:p>
    <w:p w:rsidR="00C76E6D" w:rsidRDefault="00913831">
      <w:pPr>
        <w:spacing w:before="2"/>
        <w:ind w:left="480"/>
        <w:rPr>
          <w:sz w:val="20"/>
        </w:rPr>
      </w:pPr>
      <w:bookmarkStart w:id="319" w:name="_bookmark204"/>
      <w:bookmarkEnd w:id="319"/>
      <w:r>
        <w:rPr>
          <w:sz w:val="20"/>
          <w:vertAlign w:val="superscript"/>
        </w:rPr>
        <w:t>41</w:t>
      </w:r>
      <w:r>
        <w:rPr>
          <w:spacing w:val="-6"/>
          <w:sz w:val="20"/>
        </w:rPr>
        <w:t xml:space="preserve"> </w:t>
      </w:r>
      <w:bookmarkStart w:id="320" w:name="_bookmark205"/>
      <w:bookmarkEnd w:id="320"/>
      <w:r>
        <w:rPr>
          <w:sz w:val="20"/>
        </w:rPr>
        <w:t>Chapin</w:t>
      </w:r>
      <w:r>
        <w:rPr>
          <w:spacing w:val="-6"/>
          <w:sz w:val="20"/>
        </w:rPr>
        <w:t xml:space="preserve"> </w:t>
      </w:r>
      <w:r>
        <w:rPr>
          <w:sz w:val="20"/>
        </w:rPr>
        <w:t>Hall</w:t>
      </w:r>
      <w:r>
        <w:rPr>
          <w:spacing w:val="-7"/>
          <w:sz w:val="20"/>
        </w:rPr>
        <w:t xml:space="preserve"> </w:t>
      </w:r>
      <w:r>
        <w:rPr>
          <w:sz w:val="20"/>
        </w:rPr>
        <w:t>at</w:t>
      </w:r>
      <w:r>
        <w:rPr>
          <w:spacing w:val="-7"/>
          <w:sz w:val="20"/>
        </w:rPr>
        <w:t xml:space="preserve"> </w:t>
      </w:r>
      <w:r>
        <w:rPr>
          <w:sz w:val="20"/>
        </w:rPr>
        <w:t>the</w:t>
      </w:r>
      <w:r>
        <w:rPr>
          <w:spacing w:val="-6"/>
          <w:sz w:val="20"/>
        </w:rPr>
        <w:t xml:space="preserve"> </w:t>
      </w:r>
      <w:r>
        <w:rPr>
          <w:sz w:val="20"/>
        </w:rPr>
        <w:t>University</w:t>
      </w:r>
      <w:r>
        <w:rPr>
          <w:spacing w:val="-5"/>
          <w:sz w:val="20"/>
        </w:rPr>
        <w:t xml:space="preserve"> </w:t>
      </w:r>
      <w:r>
        <w:rPr>
          <w:sz w:val="20"/>
        </w:rPr>
        <w:t>of</w:t>
      </w:r>
      <w:r>
        <w:rPr>
          <w:spacing w:val="-7"/>
          <w:sz w:val="20"/>
        </w:rPr>
        <w:t xml:space="preserve"> </w:t>
      </w:r>
      <w:r>
        <w:rPr>
          <w:sz w:val="20"/>
        </w:rPr>
        <w:t>Chicago.</w:t>
      </w:r>
      <w:r>
        <w:rPr>
          <w:spacing w:val="-7"/>
          <w:sz w:val="20"/>
        </w:rPr>
        <w:t xml:space="preserve"> </w:t>
      </w:r>
      <w:r>
        <w:rPr>
          <w:spacing w:val="-2"/>
          <w:sz w:val="20"/>
        </w:rPr>
        <w:t>(2018).</w:t>
      </w:r>
    </w:p>
    <w:p w:rsidR="00C76E6D" w:rsidRDefault="00913831">
      <w:pPr>
        <w:spacing w:before="2" w:line="244" w:lineRule="exact"/>
        <w:ind w:left="480"/>
        <w:rPr>
          <w:sz w:val="20"/>
        </w:rPr>
      </w:pPr>
      <w:r>
        <w:rPr>
          <w:sz w:val="20"/>
          <w:vertAlign w:val="superscript"/>
        </w:rPr>
        <w:t>42</w:t>
      </w:r>
      <w:r>
        <w:rPr>
          <w:spacing w:val="-5"/>
          <w:sz w:val="20"/>
        </w:rPr>
        <w:t xml:space="preserve"> </w:t>
      </w:r>
      <w:bookmarkStart w:id="321" w:name="_bookmark206"/>
      <w:bookmarkEnd w:id="321"/>
      <w:r>
        <w:rPr>
          <w:sz w:val="20"/>
        </w:rPr>
        <w:t>C</w:t>
      </w:r>
      <w:r>
        <w:rPr>
          <w:sz w:val="20"/>
        </w:rPr>
        <w:t>hapin</w:t>
      </w:r>
      <w:r>
        <w:rPr>
          <w:spacing w:val="-6"/>
          <w:sz w:val="20"/>
        </w:rPr>
        <w:t xml:space="preserve"> </w:t>
      </w:r>
      <w:r>
        <w:rPr>
          <w:sz w:val="20"/>
        </w:rPr>
        <w:t>Hall</w:t>
      </w:r>
      <w:r>
        <w:rPr>
          <w:spacing w:val="-7"/>
          <w:sz w:val="20"/>
        </w:rPr>
        <w:t xml:space="preserve"> </w:t>
      </w:r>
      <w:r>
        <w:rPr>
          <w:sz w:val="20"/>
        </w:rPr>
        <w:t>at</w:t>
      </w:r>
      <w:r>
        <w:rPr>
          <w:spacing w:val="-6"/>
          <w:sz w:val="20"/>
        </w:rPr>
        <w:t xml:space="preserve"> </w:t>
      </w:r>
      <w:r>
        <w:rPr>
          <w:sz w:val="20"/>
        </w:rPr>
        <w:t>the</w:t>
      </w:r>
      <w:r>
        <w:rPr>
          <w:spacing w:val="-5"/>
          <w:sz w:val="20"/>
        </w:rPr>
        <w:t xml:space="preserve"> </w:t>
      </w:r>
      <w:r>
        <w:rPr>
          <w:sz w:val="20"/>
        </w:rPr>
        <w:t>University</w:t>
      </w:r>
      <w:r>
        <w:rPr>
          <w:spacing w:val="-5"/>
          <w:sz w:val="20"/>
        </w:rPr>
        <w:t xml:space="preserve"> </w:t>
      </w:r>
      <w:r>
        <w:rPr>
          <w:sz w:val="20"/>
        </w:rPr>
        <w:t>of</w:t>
      </w:r>
      <w:r>
        <w:rPr>
          <w:spacing w:val="-6"/>
          <w:sz w:val="20"/>
        </w:rPr>
        <w:t xml:space="preserve"> </w:t>
      </w:r>
      <w:r>
        <w:rPr>
          <w:spacing w:val="-2"/>
          <w:sz w:val="20"/>
        </w:rPr>
        <w:t>Chicago.</w:t>
      </w:r>
    </w:p>
    <w:p w:rsidR="00C76E6D" w:rsidRDefault="00913831">
      <w:pPr>
        <w:spacing w:line="244" w:lineRule="exact"/>
        <w:ind w:left="480"/>
        <w:rPr>
          <w:sz w:val="20"/>
        </w:rPr>
      </w:pPr>
      <w:r>
        <w:rPr>
          <w:sz w:val="20"/>
          <w:vertAlign w:val="superscript"/>
        </w:rPr>
        <w:t>43</w:t>
      </w:r>
      <w:r>
        <w:rPr>
          <w:spacing w:val="-5"/>
          <w:sz w:val="20"/>
        </w:rPr>
        <w:t xml:space="preserve"> </w:t>
      </w:r>
      <w:r>
        <w:rPr>
          <w:sz w:val="20"/>
        </w:rPr>
        <w:t>Morton,</w:t>
      </w:r>
      <w:r>
        <w:rPr>
          <w:spacing w:val="-6"/>
          <w:sz w:val="20"/>
        </w:rPr>
        <w:t xml:space="preserve"> </w:t>
      </w:r>
      <w:r>
        <w:rPr>
          <w:sz w:val="20"/>
        </w:rPr>
        <w:t>M.,</w:t>
      </w:r>
      <w:r>
        <w:rPr>
          <w:spacing w:val="-6"/>
          <w:sz w:val="20"/>
        </w:rPr>
        <w:t xml:space="preserve"> </w:t>
      </w:r>
      <w:r>
        <w:rPr>
          <w:sz w:val="20"/>
        </w:rPr>
        <w:t>Cháves,</w:t>
      </w:r>
      <w:r>
        <w:rPr>
          <w:spacing w:val="-5"/>
          <w:sz w:val="20"/>
        </w:rPr>
        <w:t xml:space="preserve"> </w:t>
      </w:r>
      <w:r>
        <w:rPr>
          <w:sz w:val="20"/>
        </w:rPr>
        <w:t>R.,</w:t>
      </w:r>
      <w:r>
        <w:rPr>
          <w:spacing w:val="-5"/>
          <w:sz w:val="20"/>
        </w:rPr>
        <w:t xml:space="preserve"> </w:t>
      </w:r>
      <w:r>
        <w:rPr>
          <w:sz w:val="20"/>
        </w:rPr>
        <w:t>&amp;</w:t>
      </w:r>
      <w:r>
        <w:rPr>
          <w:spacing w:val="-7"/>
          <w:sz w:val="20"/>
        </w:rPr>
        <w:t xml:space="preserve"> </w:t>
      </w:r>
      <w:r>
        <w:rPr>
          <w:sz w:val="20"/>
        </w:rPr>
        <w:t>Moore,</w:t>
      </w:r>
      <w:r>
        <w:rPr>
          <w:spacing w:val="-5"/>
          <w:sz w:val="20"/>
        </w:rPr>
        <w:t xml:space="preserve"> </w:t>
      </w:r>
      <w:r>
        <w:rPr>
          <w:sz w:val="20"/>
        </w:rPr>
        <w:t>K.,</w:t>
      </w:r>
      <w:r>
        <w:rPr>
          <w:spacing w:val="-5"/>
          <w:sz w:val="20"/>
        </w:rPr>
        <w:t xml:space="preserve"> </w:t>
      </w:r>
      <w:r>
        <w:rPr>
          <w:spacing w:val="-2"/>
          <w:sz w:val="20"/>
        </w:rPr>
        <w:t>(2019).</w:t>
      </w:r>
    </w:p>
    <w:p w:rsidR="00C76E6D" w:rsidRDefault="00913831">
      <w:pPr>
        <w:spacing w:line="244" w:lineRule="exact"/>
        <w:ind w:left="480"/>
        <w:rPr>
          <w:sz w:val="20"/>
        </w:rPr>
      </w:pPr>
      <w:bookmarkStart w:id="322" w:name="_bookmark207"/>
      <w:bookmarkEnd w:id="322"/>
      <w:r>
        <w:rPr>
          <w:sz w:val="20"/>
          <w:vertAlign w:val="superscript"/>
        </w:rPr>
        <w:t>44</w:t>
      </w:r>
      <w:r>
        <w:rPr>
          <w:spacing w:val="-6"/>
          <w:sz w:val="20"/>
        </w:rPr>
        <w:t xml:space="preserve"> </w:t>
      </w:r>
      <w:r>
        <w:rPr>
          <w:sz w:val="20"/>
        </w:rPr>
        <w:t>Chapin</w:t>
      </w:r>
      <w:r>
        <w:rPr>
          <w:spacing w:val="-6"/>
          <w:sz w:val="20"/>
        </w:rPr>
        <w:t xml:space="preserve"> </w:t>
      </w:r>
      <w:r>
        <w:rPr>
          <w:sz w:val="20"/>
        </w:rPr>
        <w:t>Hall</w:t>
      </w:r>
      <w:r>
        <w:rPr>
          <w:spacing w:val="-7"/>
          <w:sz w:val="20"/>
        </w:rPr>
        <w:t xml:space="preserve"> </w:t>
      </w:r>
      <w:r>
        <w:rPr>
          <w:sz w:val="20"/>
        </w:rPr>
        <w:t>at</w:t>
      </w:r>
      <w:r>
        <w:rPr>
          <w:spacing w:val="-7"/>
          <w:sz w:val="20"/>
        </w:rPr>
        <w:t xml:space="preserve"> </w:t>
      </w:r>
      <w:r>
        <w:rPr>
          <w:sz w:val="20"/>
        </w:rPr>
        <w:t>the</w:t>
      </w:r>
      <w:r>
        <w:rPr>
          <w:spacing w:val="-6"/>
          <w:sz w:val="20"/>
        </w:rPr>
        <w:t xml:space="preserve"> </w:t>
      </w:r>
      <w:r>
        <w:rPr>
          <w:sz w:val="20"/>
        </w:rPr>
        <w:t>University</w:t>
      </w:r>
      <w:r>
        <w:rPr>
          <w:spacing w:val="-5"/>
          <w:sz w:val="20"/>
        </w:rPr>
        <w:t xml:space="preserve"> </w:t>
      </w:r>
      <w:r>
        <w:rPr>
          <w:sz w:val="20"/>
        </w:rPr>
        <w:t>of</w:t>
      </w:r>
      <w:r>
        <w:rPr>
          <w:spacing w:val="-7"/>
          <w:sz w:val="20"/>
        </w:rPr>
        <w:t xml:space="preserve"> </w:t>
      </w:r>
      <w:r>
        <w:rPr>
          <w:sz w:val="20"/>
        </w:rPr>
        <w:t>Chicago.</w:t>
      </w:r>
      <w:r>
        <w:rPr>
          <w:spacing w:val="-7"/>
          <w:sz w:val="20"/>
        </w:rPr>
        <w:t xml:space="preserve"> </w:t>
      </w:r>
      <w:r>
        <w:rPr>
          <w:spacing w:val="-2"/>
          <w:sz w:val="20"/>
        </w:rPr>
        <w:t>(2018).</w:t>
      </w:r>
    </w:p>
    <w:p w:rsidR="00C76E6D" w:rsidRDefault="00913831">
      <w:pPr>
        <w:spacing w:before="1" w:line="241" w:lineRule="exact"/>
        <w:ind w:left="480"/>
        <w:rPr>
          <w:sz w:val="20"/>
        </w:rPr>
      </w:pPr>
      <w:bookmarkStart w:id="323" w:name="_bookmark208"/>
      <w:bookmarkEnd w:id="323"/>
      <w:r>
        <w:rPr>
          <w:sz w:val="20"/>
          <w:vertAlign w:val="superscript"/>
        </w:rPr>
        <w:t>45</w:t>
      </w:r>
      <w:r>
        <w:rPr>
          <w:spacing w:val="-6"/>
          <w:sz w:val="20"/>
        </w:rPr>
        <w:t xml:space="preserve"> </w:t>
      </w:r>
      <w:r>
        <w:rPr>
          <w:sz w:val="20"/>
        </w:rPr>
        <w:t>Morton,</w:t>
      </w:r>
      <w:r>
        <w:rPr>
          <w:spacing w:val="-6"/>
          <w:sz w:val="20"/>
        </w:rPr>
        <w:t xml:space="preserve"> </w:t>
      </w:r>
      <w:r>
        <w:rPr>
          <w:sz w:val="20"/>
        </w:rPr>
        <w:t>M.,</w:t>
      </w:r>
      <w:r>
        <w:rPr>
          <w:spacing w:val="-9"/>
          <w:sz w:val="20"/>
        </w:rPr>
        <w:t xml:space="preserve"> </w:t>
      </w:r>
      <w:r>
        <w:rPr>
          <w:sz w:val="20"/>
        </w:rPr>
        <w:t>Cháves,</w:t>
      </w:r>
      <w:r>
        <w:rPr>
          <w:spacing w:val="-5"/>
          <w:sz w:val="20"/>
        </w:rPr>
        <w:t xml:space="preserve"> </w:t>
      </w:r>
      <w:r>
        <w:rPr>
          <w:sz w:val="20"/>
        </w:rPr>
        <w:t>R.,</w:t>
      </w:r>
      <w:r>
        <w:rPr>
          <w:spacing w:val="-6"/>
          <w:sz w:val="20"/>
        </w:rPr>
        <w:t xml:space="preserve"> </w:t>
      </w:r>
      <w:r>
        <w:rPr>
          <w:sz w:val="20"/>
        </w:rPr>
        <w:t>&amp;</w:t>
      </w:r>
      <w:r>
        <w:rPr>
          <w:spacing w:val="-7"/>
          <w:sz w:val="20"/>
        </w:rPr>
        <w:t xml:space="preserve"> </w:t>
      </w:r>
      <w:r>
        <w:rPr>
          <w:sz w:val="20"/>
        </w:rPr>
        <w:t>Moore,</w:t>
      </w:r>
      <w:r>
        <w:rPr>
          <w:spacing w:val="-6"/>
          <w:sz w:val="20"/>
        </w:rPr>
        <w:t xml:space="preserve"> </w:t>
      </w:r>
      <w:r>
        <w:rPr>
          <w:sz w:val="20"/>
        </w:rPr>
        <w:t>K.,</w:t>
      </w:r>
      <w:r>
        <w:rPr>
          <w:spacing w:val="-5"/>
          <w:sz w:val="20"/>
        </w:rPr>
        <w:t xml:space="preserve"> </w:t>
      </w:r>
      <w:r>
        <w:rPr>
          <w:sz w:val="20"/>
        </w:rPr>
        <w:t>(2019);</w:t>
      </w:r>
      <w:r>
        <w:rPr>
          <w:spacing w:val="-6"/>
          <w:sz w:val="20"/>
        </w:rPr>
        <w:t xml:space="preserve"> </w:t>
      </w:r>
      <w:r>
        <w:rPr>
          <w:sz w:val="20"/>
        </w:rPr>
        <w:t>DeChants,</w:t>
      </w:r>
      <w:r>
        <w:rPr>
          <w:spacing w:val="-7"/>
          <w:sz w:val="20"/>
        </w:rPr>
        <w:t xml:space="preserve"> </w:t>
      </w:r>
      <w:r>
        <w:rPr>
          <w:sz w:val="20"/>
        </w:rPr>
        <w:t>et</w:t>
      </w:r>
      <w:r>
        <w:rPr>
          <w:spacing w:val="-6"/>
          <w:sz w:val="20"/>
        </w:rPr>
        <w:t xml:space="preserve"> </w:t>
      </w:r>
      <w:r>
        <w:rPr>
          <w:sz w:val="20"/>
        </w:rPr>
        <w:t>al.,</w:t>
      </w:r>
      <w:r>
        <w:rPr>
          <w:spacing w:val="-6"/>
          <w:sz w:val="20"/>
        </w:rPr>
        <w:t xml:space="preserve"> </w:t>
      </w:r>
      <w:r>
        <w:rPr>
          <w:spacing w:val="-2"/>
          <w:sz w:val="20"/>
        </w:rPr>
        <w:t>(2021).</w:t>
      </w:r>
    </w:p>
    <w:p w:rsidR="00C76E6D" w:rsidRDefault="00913831">
      <w:pPr>
        <w:ind w:left="480" w:right="530" w:hanging="2"/>
        <w:rPr>
          <w:sz w:val="20"/>
        </w:rPr>
      </w:pPr>
      <w:r>
        <w:rPr>
          <w:sz w:val="20"/>
          <w:vertAlign w:val="superscript"/>
        </w:rPr>
        <w:t>46</w:t>
      </w:r>
      <w:r>
        <w:rPr>
          <w:spacing w:val="-6"/>
          <w:sz w:val="20"/>
        </w:rPr>
        <w:t xml:space="preserve"> </w:t>
      </w:r>
      <w:bookmarkStart w:id="324" w:name="_bookmark209"/>
      <w:bookmarkEnd w:id="324"/>
      <w:r>
        <w:rPr>
          <w:sz w:val="20"/>
        </w:rPr>
        <w:t>Tribal</w:t>
      </w:r>
      <w:r>
        <w:rPr>
          <w:spacing w:val="-7"/>
          <w:sz w:val="20"/>
        </w:rPr>
        <w:t xml:space="preserve"> </w:t>
      </w:r>
      <w:r>
        <w:rPr>
          <w:sz w:val="20"/>
        </w:rPr>
        <w:t>Institute.</w:t>
      </w:r>
      <w:r>
        <w:rPr>
          <w:spacing w:val="-7"/>
          <w:sz w:val="20"/>
        </w:rPr>
        <w:t xml:space="preserve"> </w:t>
      </w:r>
      <w:r>
        <w:rPr>
          <w:sz w:val="20"/>
        </w:rPr>
        <w:t>(2014).</w:t>
      </w:r>
      <w:r>
        <w:rPr>
          <w:spacing w:val="-9"/>
          <w:sz w:val="20"/>
        </w:rPr>
        <w:t xml:space="preserve"> </w:t>
      </w:r>
      <w:r>
        <w:rPr>
          <w:sz w:val="20"/>
        </w:rPr>
        <w:t>Walking</w:t>
      </w:r>
      <w:r>
        <w:rPr>
          <w:spacing w:val="-6"/>
          <w:sz w:val="20"/>
        </w:rPr>
        <w:t xml:space="preserve"> </w:t>
      </w:r>
      <w:r>
        <w:rPr>
          <w:sz w:val="20"/>
        </w:rPr>
        <w:t>in</w:t>
      </w:r>
      <w:r>
        <w:rPr>
          <w:spacing w:val="-7"/>
          <w:sz w:val="20"/>
        </w:rPr>
        <w:t xml:space="preserve"> </w:t>
      </w:r>
      <w:r>
        <w:rPr>
          <w:sz w:val="20"/>
        </w:rPr>
        <w:t>Two</w:t>
      </w:r>
      <w:r>
        <w:rPr>
          <w:spacing w:val="-7"/>
          <w:sz w:val="20"/>
        </w:rPr>
        <w:t xml:space="preserve"> </w:t>
      </w:r>
      <w:r>
        <w:rPr>
          <w:sz w:val="20"/>
        </w:rPr>
        <w:t>Worlds:</w:t>
      </w:r>
      <w:r>
        <w:rPr>
          <w:spacing w:val="-6"/>
          <w:sz w:val="20"/>
        </w:rPr>
        <w:t xml:space="preserve"> </w:t>
      </w:r>
      <w:r>
        <w:rPr>
          <w:sz w:val="20"/>
        </w:rPr>
        <w:t>Understanding</w:t>
      </w:r>
      <w:r>
        <w:rPr>
          <w:spacing w:val="-6"/>
          <w:sz w:val="20"/>
        </w:rPr>
        <w:t xml:space="preserve"> </w:t>
      </w:r>
      <w:r>
        <w:rPr>
          <w:sz w:val="20"/>
        </w:rPr>
        <w:t>the</w:t>
      </w:r>
      <w:r>
        <w:rPr>
          <w:spacing w:val="-7"/>
          <w:sz w:val="20"/>
        </w:rPr>
        <w:t xml:space="preserve"> </w:t>
      </w:r>
      <w:r>
        <w:rPr>
          <w:sz w:val="20"/>
        </w:rPr>
        <w:t>Two-Spirit</w:t>
      </w:r>
      <w:r>
        <w:rPr>
          <w:spacing w:val="-7"/>
          <w:sz w:val="20"/>
        </w:rPr>
        <w:t xml:space="preserve"> </w:t>
      </w:r>
      <w:r>
        <w:rPr>
          <w:sz w:val="20"/>
        </w:rPr>
        <w:t>&amp;</w:t>
      </w:r>
      <w:r>
        <w:rPr>
          <w:spacing w:val="-6"/>
          <w:sz w:val="20"/>
        </w:rPr>
        <w:t xml:space="preserve"> </w:t>
      </w:r>
      <w:r>
        <w:rPr>
          <w:sz w:val="20"/>
        </w:rPr>
        <w:t>LGBTQ</w:t>
      </w:r>
      <w:r>
        <w:rPr>
          <w:spacing w:val="-7"/>
          <w:sz w:val="20"/>
        </w:rPr>
        <w:t xml:space="preserve"> </w:t>
      </w:r>
      <w:r>
        <w:rPr>
          <w:sz w:val="20"/>
        </w:rPr>
        <w:t>Community.</w:t>
      </w:r>
      <w:r>
        <w:rPr>
          <w:spacing w:val="-7"/>
          <w:sz w:val="20"/>
        </w:rPr>
        <w:t xml:space="preserve"> </w:t>
      </w:r>
      <w:r>
        <w:rPr>
          <w:sz w:val="20"/>
        </w:rPr>
        <w:t xml:space="preserve">Retrieved from: </w:t>
      </w:r>
      <w:hyperlink r:id="rId235">
        <w:r>
          <w:rPr>
            <w:sz w:val="20"/>
          </w:rPr>
          <w:t>http://www.tribal-institute.org/2014/INCTwo-SpiritBooklet.pdf</w:t>
        </w:r>
      </w:hyperlink>
    </w:p>
    <w:p w:rsidR="00C76E6D" w:rsidRDefault="00913831">
      <w:pPr>
        <w:spacing w:before="3" w:line="241" w:lineRule="exact"/>
        <w:ind w:left="480"/>
        <w:rPr>
          <w:sz w:val="20"/>
        </w:rPr>
      </w:pPr>
      <w:bookmarkStart w:id="325" w:name="_bookmark210"/>
      <w:bookmarkEnd w:id="325"/>
      <w:r>
        <w:rPr>
          <w:sz w:val="20"/>
          <w:vertAlign w:val="superscript"/>
        </w:rPr>
        <w:t>47</w:t>
      </w:r>
      <w:r>
        <w:rPr>
          <w:spacing w:val="-6"/>
          <w:sz w:val="20"/>
        </w:rPr>
        <w:t xml:space="preserve"> </w:t>
      </w:r>
      <w:r>
        <w:rPr>
          <w:sz w:val="20"/>
        </w:rPr>
        <w:t>The</w:t>
      </w:r>
      <w:r>
        <w:rPr>
          <w:spacing w:val="-7"/>
          <w:sz w:val="20"/>
        </w:rPr>
        <w:t xml:space="preserve"> </w:t>
      </w:r>
      <w:r>
        <w:rPr>
          <w:sz w:val="20"/>
        </w:rPr>
        <w:t>Indian</w:t>
      </w:r>
      <w:r>
        <w:rPr>
          <w:spacing w:val="-7"/>
          <w:sz w:val="20"/>
        </w:rPr>
        <w:t xml:space="preserve"> </w:t>
      </w:r>
      <w:r>
        <w:rPr>
          <w:sz w:val="20"/>
        </w:rPr>
        <w:t>Health</w:t>
      </w:r>
      <w:r>
        <w:rPr>
          <w:spacing w:val="-5"/>
          <w:sz w:val="20"/>
        </w:rPr>
        <w:t xml:space="preserve"> </w:t>
      </w:r>
      <w:r>
        <w:rPr>
          <w:sz w:val="20"/>
        </w:rPr>
        <w:t>Service.</w:t>
      </w:r>
      <w:r>
        <w:rPr>
          <w:spacing w:val="-8"/>
          <w:sz w:val="20"/>
        </w:rPr>
        <w:t xml:space="preserve"> </w:t>
      </w:r>
      <w:r>
        <w:rPr>
          <w:spacing w:val="-2"/>
          <w:sz w:val="20"/>
        </w:rPr>
        <w:t>(n.d.).</w:t>
      </w:r>
    </w:p>
    <w:p w:rsidR="00C76E6D" w:rsidRDefault="00913831">
      <w:pPr>
        <w:ind w:left="479" w:right="2133" w:hanging="1"/>
        <w:rPr>
          <w:sz w:val="20"/>
        </w:rPr>
      </w:pPr>
      <w:r>
        <w:rPr>
          <w:sz w:val="20"/>
          <w:vertAlign w:val="superscript"/>
        </w:rPr>
        <w:t>48</w:t>
      </w:r>
      <w:r>
        <w:rPr>
          <w:spacing w:val="-5"/>
          <w:sz w:val="20"/>
        </w:rPr>
        <w:t xml:space="preserve"> </w:t>
      </w:r>
      <w:r>
        <w:rPr>
          <w:sz w:val="20"/>
        </w:rPr>
        <w:t>The</w:t>
      </w:r>
      <w:r>
        <w:rPr>
          <w:spacing w:val="-6"/>
          <w:sz w:val="20"/>
        </w:rPr>
        <w:t xml:space="preserve"> </w:t>
      </w:r>
      <w:r>
        <w:rPr>
          <w:sz w:val="20"/>
        </w:rPr>
        <w:t>Rainbow</w:t>
      </w:r>
      <w:r>
        <w:rPr>
          <w:spacing w:val="-9"/>
          <w:sz w:val="20"/>
        </w:rPr>
        <w:t xml:space="preserve"> </w:t>
      </w:r>
      <w:r>
        <w:rPr>
          <w:sz w:val="20"/>
        </w:rPr>
        <w:t>Resource</w:t>
      </w:r>
      <w:r>
        <w:rPr>
          <w:spacing w:val="-7"/>
          <w:sz w:val="20"/>
        </w:rPr>
        <w:t xml:space="preserve"> </w:t>
      </w:r>
      <w:r>
        <w:rPr>
          <w:sz w:val="20"/>
        </w:rPr>
        <w:t>Center.</w:t>
      </w:r>
      <w:r>
        <w:rPr>
          <w:spacing w:val="-6"/>
          <w:sz w:val="20"/>
        </w:rPr>
        <w:t xml:space="preserve"> </w:t>
      </w:r>
      <w:r>
        <w:rPr>
          <w:sz w:val="20"/>
        </w:rPr>
        <w:t>(2014).</w:t>
      </w:r>
      <w:r>
        <w:rPr>
          <w:spacing w:val="-6"/>
          <w:sz w:val="20"/>
        </w:rPr>
        <w:t xml:space="preserve"> </w:t>
      </w:r>
      <w:r>
        <w:rPr>
          <w:sz w:val="20"/>
        </w:rPr>
        <w:t>Two-Spirit</w:t>
      </w:r>
      <w:r>
        <w:rPr>
          <w:spacing w:val="-6"/>
          <w:sz w:val="20"/>
        </w:rPr>
        <w:t xml:space="preserve"> </w:t>
      </w:r>
      <w:r>
        <w:rPr>
          <w:sz w:val="20"/>
        </w:rPr>
        <w:t>People</w:t>
      </w:r>
      <w:r>
        <w:rPr>
          <w:spacing w:val="-7"/>
          <w:sz w:val="20"/>
        </w:rPr>
        <w:t xml:space="preserve"> </w:t>
      </w:r>
      <w:r>
        <w:rPr>
          <w:sz w:val="20"/>
        </w:rPr>
        <w:t>of</w:t>
      </w:r>
      <w:r>
        <w:rPr>
          <w:spacing w:val="-6"/>
          <w:sz w:val="20"/>
        </w:rPr>
        <w:t xml:space="preserve"> </w:t>
      </w:r>
      <w:r>
        <w:rPr>
          <w:sz w:val="20"/>
        </w:rPr>
        <w:t>the</w:t>
      </w:r>
      <w:r>
        <w:rPr>
          <w:spacing w:val="-6"/>
          <w:sz w:val="20"/>
        </w:rPr>
        <w:t xml:space="preserve"> </w:t>
      </w:r>
      <w:r>
        <w:rPr>
          <w:sz w:val="20"/>
        </w:rPr>
        <w:t>First</w:t>
      </w:r>
      <w:r>
        <w:rPr>
          <w:spacing w:val="-6"/>
          <w:sz w:val="20"/>
        </w:rPr>
        <w:t xml:space="preserve"> </w:t>
      </w:r>
      <w:r>
        <w:rPr>
          <w:sz w:val="20"/>
        </w:rPr>
        <w:t>Nations.</w:t>
      </w:r>
      <w:r>
        <w:rPr>
          <w:spacing w:val="-6"/>
          <w:sz w:val="20"/>
        </w:rPr>
        <w:t xml:space="preserve"> </w:t>
      </w:r>
      <w:r>
        <w:rPr>
          <w:sz w:val="20"/>
        </w:rPr>
        <w:t>Retrieved</w:t>
      </w:r>
      <w:r>
        <w:rPr>
          <w:spacing w:val="-7"/>
          <w:sz w:val="20"/>
        </w:rPr>
        <w:t xml:space="preserve"> </w:t>
      </w:r>
      <w:r>
        <w:rPr>
          <w:sz w:val="20"/>
        </w:rPr>
        <w:t xml:space="preserve">from: </w:t>
      </w:r>
      <w:bookmarkStart w:id="326" w:name="_bookmark211"/>
      <w:bookmarkEnd w:id="326"/>
      <w:r>
        <w:fldChar w:fldCharType="begin"/>
      </w:r>
      <w:r>
        <w:instrText xml:space="preserve"> HYPERLINK "https://rainbowresourcecentre.org/files/16-08-Two-Spirit.pdf" \h </w:instrText>
      </w:r>
      <w:r>
        <w:fldChar w:fldCharType="separate"/>
      </w:r>
      <w:r>
        <w:rPr>
          <w:spacing w:val="-2"/>
          <w:sz w:val="20"/>
        </w:rPr>
        <w:t>https://rainbowresourcecentre.org/files/16-08-Two-Spirit.pdf</w:t>
      </w:r>
      <w:r>
        <w:rPr>
          <w:spacing w:val="-2"/>
          <w:sz w:val="20"/>
        </w:rPr>
        <w:fldChar w:fldCharType="end"/>
      </w:r>
    </w:p>
    <w:p w:rsidR="00C76E6D" w:rsidRDefault="00913831">
      <w:pPr>
        <w:spacing w:before="3" w:line="241" w:lineRule="exact"/>
        <w:ind w:left="480"/>
        <w:rPr>
          <w:sz w:val="20"/>
        </w:rPr>
      </w:pPr>
      <w:bookmarkStart w:id="327" w:name="_bookmark212"/>
      <w:bookmarkEnd w:id="327"/>
      <w:r>
        <w:rPr>
          <w:sz w:val="20"/>
          <w:vertAlign w:val="superscript"/>
        </w:rPr>
        <w:t>49</w:t>
      </w:r>
      <w:r>
        <w:rPr>
          <w:spacing w:val="-6"/>
          <w:sz w:val="20"/>
        </w:rPr>
        <w:t xml:space="preserve"> </w:t>
      </w:r>
      <w:r>
        <w:rPr>
          <w:sz w:val="20"/>
        </w:rPr>
        <w:t>The</w:t>
      </w:r>
      <w:r>
        <w:rPr>
          <w:spacing w:val="-7"/>
          <w:sz w:val="20"/>
        </w:rPr>
        <w:t xml:space="preserve"> </w:t>
      </w:r>
      <w:r>
        <w:rPr>
          <w:sz w:val="20"/>
        </w:rPr>
        <w:t>Indian</w:t>
      </w:r>
      <w:r>
        <w:rPr>
          <w:spacing w:val="-7"/>
          <w:sz w:val="20"/>
        </w:rPr>
        <w:t xml:space="preserve"> </w:t>
      </w:r>
      <w:r>
        <w:rPr>
          <w:sz w:val="20"/>
        </w:rPr>
        <w:t>Heal</w:t>
      </w:r>
      <w:r>
        <w:rPr>
          <w:sz w:val="20"/>
        </w:rPr>
        <w:t>th</w:t>
      </w:r>
      <w:r>
        <w:rPr>
          <w:spacing w:val="-5"/>
          <w:sz w:val="20"/>
        </w:rPr>
        <w:t xml:space="preserve"> </w:t>
      </w:r>
      <w:r>
        <w:rPr>
          <w:sz w:val="20"/>
        </w:rPr>
        <w:t>Service.</w:t>
      </w:r>
      <w:r>
        <w:rPr>
          <w:spacing w:val="-8"/>
          <w:sz w:val="20"/>
        </w:rPr>
        <w:t xml:space="preserve"> </w:t>
      </w:r>
      <w:r>
        <w:rPr>
          <w:spacing w:val="-2"/>
          <w:sz w:val="20"/>
        </w:rPr>
        <w:t>(n.d.).</w:t>
      </w:r>
    </w:p>
    <w:p w:rsidR="00C76E6D" w:rsidRDefault="00913831">
      <w:pPr>
        <w:ind w:left="481" w:right="530" w:hanging="3"/>
        <w:rPr>
          <w:sz w:val="20"/>
        </w:rPr>
      </w:pPr>
      <w:r>
        <w:rPr>
          <w:sz w:val="20"/>
          <w:vertAlign w:val="superscript"/>
        </w:rPr>
        <w:t>50</w:t>
      </w:r>
      <w:r>
        <w:rPr>
          <w:spacing w:val="-4"/>
          <w:sz w:val="20"/>
        </w:rPr>
        <w:t xml:space="preserve"> </w:t>
      </w:r>
      <w:r>
        <w:rPr>
          <w:sz w:val="20"/>
        </w:rPr>
        <w:t>The</w:t>
      </w:r>
      <w:r>
        <w:rPr>
          <w:spacing w:val="-5"/>
          <w:sz w:val="20"/>
        </w:rPr>
        <w:t xml:space="preserve"> </w:t>
      </w:r>
      <w:r>
        <w:rPr>
          <w:sz w:val="20"/>
        </w:rPr>
        <w:t>Indian</w:t>
      </w:r>
      <w:r>
        <w:rPr>
          <w:spacing w:val="-5"/>
          <w:sz w:val="20"/>
        </w:rPr>
        <w:t xml:space="preserve"> </w:t>
      </w:r>
      <w:r>
        <w:rPr>
          <w:sz w:val="20"/>
        </w:rPr>
        <w:t>Health</w:t>
      </w:r>
      <w:r>
        <w:rPr>
          <w:spacing w:val="-4"/>
          <w:sz w:val="20"/>
        </w:rPr>
        <w:t xml:space="preserve"> </w:t>
      </w:r>
      <w:r>
        <w:rPr>
          <w:sz w:val="20"/>
        </w:rPr>
        <w:t>Service.</w:t>
      </w:r>
      <w:r>
        <w:rPr>
          <w:spacing w:val="-6"/>
          <w:sz w:val="20"/>
        </w:rPr>
        <w:t xml:space="preserve"> </w:t>
      </w:r>
      <w:r>
        <w:rPr>
          <w:sz w:val="20"/>
        </w:rPr>
        <w:t>(n.d.).</w:t>
      </w:r>
      <w:r>
        <w:rPr>
          <w:spacing w:val="-5"/>
          <w:sz w:val="20"/>
        </w:rPr>
        <w:t xml:space="preserve"> </w:t>
      </w:r>
      <w:r>
        <w:rPr>
          <w:sz w:val="20"/>
        </w:rPr>
        <w:t>“Two</w:t>
      </w:r>
      <w:r>
        <w:rPr>
          <w:spacing w:val="-6"/>
          <w:sz w:val="20"/>
        </w:rPr>
        <w:t xml:space="preserve"> </w:t>
      </w:r>
      <w:r>
        <w:rPr>
          <w:sz w:val="20"/>
        </w:rPr>
        <w:t>Spirit.”</w:t>
      </w:r>
      <w:r>
        <w:rPr>
          <w:spacing w:val="-4"/>
          <w:sz w:val="20"/>
        </w:rPr>
        <w:t xml:space="preserve"> </w:t>
      </w:r>
      <w:r>
        <w:rPr>
          <w:sz w:val="20"/>
        </w:rPr>
        <w:t>The</w:t>
      </w:r>
      <w:r>
        <w:rPr>
          <w:spacing w:val="-6"/>
          <w:sz w:val="20"/>
        </w:rPr>
        <w:t xml:space="preserve"> </w:t>
      </w:r>
      <w:r>
        <w:rPr>
          <w:sz w:val="20"/>
        </w:rPr>
        <w:t>Federal</w:t>
      </w:r>
      <w:r>
        <w:rPr>
          <w:spacing w:val="-6"/>
          <w:sz w:val="20"/>
        </w:rPr>
        <w:t xml:space="preserve"> </w:t>
      </w:r>
      <w:r>
        <w:rPr>
          <w:sz w:val="20"/>
        </w:rPr>
        <w:t>Health</w:t>
      </w:r>
      <w:r>
        <w:rPr>
          <w:spacing w:val="-4"/>
          <w:sz w:val="20"/>
        </w:rPr>
        <w:t xml:space="preserve"> </w:t>
      </w:r>
      <w:r>
        <w:rPr>
          <w:sz w:val="20"/>
        </w:rPr>
        <w:t>Program</w:t>
      </w:r>
      <w:r>
        <w:rPr>
          <w:spacing w:val="-6"/>
          <w:sz w:val="20"/>
        </w:rPr>
        <w:t xml:space="preserve"> </w:t>
      </w:r>
      <w:r>
        <w:rPr>
          <w:sz w:val="20"/>
        </w:rPr>
        <w:t>for</w:t>
      </w:r>
      <w:r>
        <w:rPr>
          <w:spacing w:val="-5"/>
          <w:sz w:val="20"/>
        </w:rPr>
        <w:t xml:space="preserve"> </w:t>
      </w:r>
      <w:r>
        <w:rPr>
          <w:sz w:val="20"/>
        </w:rPr>
        <w:t>American</w:t>
      </w:r>
      <w:r>
        <w:rPr>
          <w:spacing w:val="-4"/>
          <w:sz w:val="20"/>
        </w:rPr>
        <w:t xml:space="preserve"> </w:t>
      </w:r>
      <w:r>
        <w:rPr>
          <w:sz w:val="20"/>
        </w:rPr>
        <w:t>Indians</w:t>
      </w:r>
      <w:r>
        <w:rPr>
          <w:spacing w:val="-6"/>
          <w:sz w:val="20"/>
        </w:rPr>
        <w:t xml:space="preserve"> </w:t>
      </w:r>
      <w:r>
        <w:rPr>
          <w:sz w:val="20"/>
        </w:rPr>
        <w:t>and</w:t>
      </w:r>
      <w:r>
        <w:rPr>
          <w:spacing w:val="-7"/>
          <w:sz w:val="20"/>
        </w:rPr>
        <w:t xml:space="preserve"> </w:t>
      </w:r>
      <w:r>
        <w:rPr>
          <w:sz w:val="20"/>
        </w:rPr>
        <w:t xml:space="preserve">Alaska </w:t>
      </w:r>
      <w:bookmarkStart w:id="328" w:name="_bookmark213"/>
      <w:bookmarkEnd w:id="328"/>
      <w:r>
        <w:rPr>
          <w:sz w:val="20"/>
        </w:rPr>
        <w:t xml:space="preserve">Natives. Retrieved from: </w:t>
      </w:r>
      <w:hyperlink r:id="rId236">
        <w:r>
          <w:rPr>
            <w:sz w:val="20"/>
          </w:rPr>
          <w:t>https://www.ihs.gov/lgbt/health/twospirit/</w:t>
        </w:r>
      </w:hyperlink>
    </w:p>
    <w:p w:rsidR="00C76E6D" w:rsidRDefault="00913831">
      <w:pPr>
        <w:ind w:left="480"/>
        <w:rPr>
          <w:sz w:val="20"/>
        </w:rPr>
      </w:pPr>
      <w:bookmarkStart w:id="329" w:name="_bookmark214"/>
      <w:bookmarkEnd w:id="329"/>
      <w:r>
        <w:rPr>
          <w:sz w:val="20"/>
          <w:vertAlign w:val="superscript"/>
        </w:rPr>
        <w:t>51</w:t>
      </w:r>
      <w:r>
        <w:rPr>
          <w:spacing w:val="-5"/>
          <w:sz w:val="20"/>
        </w:rPr>
        <w:t xml:space="preserve"> </w:t>
      </w:r>
      <w:r>
        <w:rPr>
          <w:sz w:val="20"/>
        </w:rPr>
        <w:t>Morton,</w:t>
      </w:r>
      <w:r>
        <w:rPr>
          <w:spacing w:val="-6"/>
          <w:sz w:val="20"/>
        </w:rPr>
        <w:t xml:space="preserve"> </w:t>
      </w:r>
      <w:r>
        <w:rPr>
          <w:sz w:val="20"/>
        </w:rPr>
        <w:t>M.,</w:t>
      </w:r>
      <w:r>
        <w:rPr>
          <w:spacing w:val="-6"/>
          <w:sz w:val="20"/>
        </w:rPr>
        <w:t xml:space="preserve"> </w:t>
      </w:r>
      <w:r>
        <w:rPr>
          <w:sz w:val="20"/>
        </w:rPr>
        <w:t>Cháves,</w:t>
      </w:r>
      <w:r>
        <w:rPr>
          <w:spacing w:val="-5"/>
          <w:sz w:val="20"/>
        </w:rPr>
        <w:t xml:space="preserve"> </w:t>
      </w:r>
      <w:r>
        <w:rPr>
          <w:sz w:val="20"/>
        </w:rPr>
        <w:t>R.,</w:t>
      </w:r>
      <w:r>
        <w:rPr>
          <w:spacing w:val="-5"/>
          <w:sz w:val="20"/>
        </w:rPr>
        <w:t xml:space="preserve"> </w:t>
      </w:r>
      <w:r>
        <w:rPr>
          <w:sz w:val="20"/>
        </w:rPr>
        <w:t>&amp;</w:t>
      </w:r>
      <w:r>
        <w:rPr>
          <w:spacing w:val="-7"/>
          <w:sz w:val="20"/>
        </w:rPr>
        <w:t xml:space="preserve"> </w:t>
      </w:r>
      <w:r>
        <w:rPr>
          <w:sz w:val="20"/>
        </w:rPr>
        <w:t>Moore,</w:t>
      </w:r>
      <w:r>
        <w:rPr>
          <w:spacing w:val="-5"/>
          <w:sz w:val="20"/>
        </w:rPr>
        <w:t xml:space="preserve"> </w:t>
      </w:r>
      <w:r>
        <w:rPr>
          <w:sz w:val="20"/>
        </w:rPr>
        <w:t>K.,</w:t>
      </w:r>
      <w:r>
        <w:rPr>
          <w:spacing w:val="-5"/>
          <w:sz w:val="20"/>
        </w:rPr>
        <w:t xml:space="preserve"> </w:t>
      </w:r>
      <w:r>
        <w:rPr>
          <w:spacing w:val="-2"/>
          <w:sz w:val="20"/>
        </w:rPr>
        <w:t>(2019).</w:t>
      </w:r>
    </w:p>
    <w:p w:rsidR="00C76E6D" w:rsidRDefault="00913831">
      <w:pPr>
        <w:ind w:left="480" w:right="746" w:hanging="2"/>
        <w:rPr>
          <w:sz w:val="20"/>
        </w:rPr>
      </w:pPr>
      <w:r>
        <w:rPr>
          <w:sz w:val="20"/>
          <w:vertAlign w:val="superscript"/>
        </w:rPr>
        <w:t>52</w:t>
      </w:r>
      <w:r>
        <w:rPr>
          <w:sz w:val="20"/>
        </w:rPr>
        <w:t xml:space="preserve"> The Commonwealth of Massachusetts Special Commission on Unaccompanied Homeless Youth. (2018). Massachusetts State Plan to End Youth Homelessness. Retrieved from: </w:t>
      </w:r>
      <w:r>
        <w:rPr>
          <w:spacing w:val="-4"/>
          <w:sz w:val="20"/>
        </w:rPr>
        <w:t>https://</w:t>
      </w:r>
      <w:hyperlink r:id="rId237">
        <w:r>
          <w:rPr>
            <w:spacing w:val="-4"/>
            <w:sz w:val="20"/>
          </w:rPr>
          <w:t>www.mass.gov/files/documents/2018/05/01/Massachusetts%20State%20Plan%20to%20End%20Youth%2</w:t>
        </w:r>
      </w:hyperlink>
      <w:r>
        <w:rPr>
          <w:spacing w:val="-4"/>
          <w:sz w:val="20"/>
        </w:rPr>
        <w:t xml:space="preserve"> </w:t>
      </w:r>
      <w:bookmarkStart w:id="330" w:name="_bookmark215"/>
      <w:bookmarkEnd w:id="330"/>
      <w:r>
        <w:rPr>
          <w:spacing w:val="-2"/>
          <w:sz w:val="20"/>
        </w:rPr>
        <w:t>0Homelessness%20-%202018.pdf</w:t>
      </w:r>
    </w:p>
    <w:p w:rsidR="00C76E6D" w:rsidRDefault="00913831">
      <w:pPr>
        <w:spacing w:before="4" w:line="241" w:lineRule="exact"/>
        <w:ind w:left="480"/>
        <w:rPr>
          <w:sz w:val="20"/>
        </w:rPr>
      </w:pPr>
      <w:bookmarkStart w:id="331" w:name="_bookmark216"/>
      <w:bookmarkEnd w:id="331"/>
      <w:r>
        <w:rPr>
          <w:sz w:val="20"/>
          <w:vertAlign w:val="superscript"/>
        </w:rPr>
        <w:t>53</w:t>
      </w:r>
      <w:r>
        <w:rPr>
          <w:spacing w:val="-10"/>
          <w:sz w:val="20"/>
        </w:rPr>
        <w:t xml:space="preserve"> </w:t>
      </w:r>
      <w:r>
        <w:rPr>
          <w:sz w:val="20"/>
        </w:rPr>
        <w:t>The</w:t>
      </w:r>
      <w:r>
        <w:rPr>
          <w:spacing w:val="-11"/>
          <w:sz w:val="20"/>
        </w:rPr>
        <w:t xml:space="preserve"> </w:t>
      </w:r>
      <w:r>
        <w:rPr>
          <w:sz w:val="20"/>
        </w:rPr>
        <w:t>Comm</w:t>
      </w:r>
      <w:r>
        <w:rPr>
          <w:sz w:val="20"/>
        </w:rPr>
        <w:t>onwealth</w:t>
      </w:r>
      <w:r>
        <w:rPr>
          <w:spacing w:val="-10"/>
          <w:sz w:val="20"/>
        </w:rPr>
        <w:t xml:space="preserve"> </w:t>
      </w:r>
      <w:r>
        <w:rPr>
          <w:sz w:val="20"/>
        </w:rPr>
        <w:t>of</w:t>
      </w:r>
      <w:r>
        <w:rPr>
          <w:spacing w:val="-11"/>
          <w:sz w:val="20"/>
        </w:rPr>
        <w:t xml:space="preserve"> </w:t>
      </w:r>
      <w:r>
        <w:rPr>
          <w:sz w:val="20"/>
        </w:rPr>
        <w:t>Massachusetts</w:t>
      </w:r>
      <w:r>
        <w:rPr>
          <w:spacing w:val="-11"/>
          <w:sz w:val="20"/>
        </w:rPr>
        <w:t xml:space="preserve"> </w:t>
      </w:r>
      <w:r>
        <w:rPr>
          <w:sz w:val="20"/>
        </w:rPr>
        <w:t>Special</w:t>
      </w:r>
      <w:r>
        <w:rPr>
          <w:spacing w:val="-11"/>
          <w:sz w:val="20"/>
        </w:rPr>
        <w:t xml:space="preserve"> </w:t>
      </w:r>
      <w:r>
        <w:rPr>
          <w:sz w:val="20"/>
        </w:rPr>
        <w:t>Commission</w:t>
      </w:r>
      <w:r>
        <w:rPr>
          <w:spacing w:val="-9"/>
          <w:sz w:val="20"/>
        </w:rPr>
        <w:t xml:space="preserve"> </w:t>
      </w:r>
      <w:r>
        <w:rPr>
          <w:sz w:val="20"/>
        </w:rPr>
        <w:t>on</w:t>
      </w:r>
      <w:r>
        <w:rPr>
          <w:spacing w:val="-11"/>
          <w:sz w:val="20"/>
        </w:rPr>
        <w:t xml:space="preserve"> </w:t>
      </w:r>
      <w:r>
        <w:rPr>
          <w:sz w:val="20"/>
        </w:rPr>
        <w:t>Unaccompanied</w:t>
      </w:r>
      <w:r>
        <w:rPr>
          <w:spacing w:val="-11"/>
          <w:sz w:val="20"/>
        </w:rPr>
        <w:t xml:space="preserve"> </w:t>
      </w:r>
      <w:r>
        <w:rPr>
          <w:sz w:val="20"/>
        </w:rPr>
        <w:t>Homeless</w:t>
      </w:r>
      <w:r>
        <w:rPr>
          <w:spacing w:val="-11"/>
          <w:sz w:val="20"/>
        </w:rPr>
        <w:t xml:space="preserve"> </w:t>
      </w:r>
      <w:r>
        <w:rPr>
          <w:sz w:val="20"/>
        </w:rPr>
        <w:t>Youth.</w:t>
      </w:r>
      <w:r>
        <w:rPr>
          <w:spacing w:val="-11"/>
          <w:sz w:val="20"/>
        </w:rPr>
        <w:t xml:space="preserve"> </w:t>
      </w:r>
      <w:r>
        <w:rPr>
          <w:spacing w:val="-2"/>
          <w:sz w:val="20"/>
        </w:rPr>
        <w:t>(2018).</w:t>
      </w:r>
    </w:p>
    <w:p w:rsidR="00C76E6D" w:rsidRDefault="00913831">
      <w:pPr>
        <w:ind w:left="480" w:right="530" w:hanging="3"/>
        <w:rPr>
          <w:sz w:val="20"/>
        </w:rPr>
      </w:pPr>
      <w:r>
        <w:rPr>
          <w:sz w:val="20"/>
          <w:vertAlign w:val="superscript"/>
        </w:rPr>
        <w:t>54</w:t>
      </w:r>
      <w:r>
        <w:rPr>
          <w:spacing w:val="-4"/>
          <w:sz w:val="20"/>
        </w:rPr>
        <w:t xml:space="preserve"> </w:t>
      </w:r>
      <w:bookmarkStart w:id="332" w:name="_bookmark217"/>
      <w:bookmarkEnd w:id="332"/>
      <w:r>
        <w:rPr>
          <w:sz w:val="20"/>
        </w:rPr>
        <w:t>Fraser,</w:t>
      </w:r>
      <w:r>
        <w:rPr>
          <w:spacing w:val="-4"/>
          <w:sz w:val="20"/>
        </w:rPr>
        <w:t xml:space="preserve"> </w:t>
      </w:r>
      <w:r>
        <w:rPr>
          <w:sz w:val="20"/>
        </w:rPr>
        <w:t>et</w:t>
      </w:r>
      <w:r>
        <w:rPr>
          <w:spacing w:val="-4"/>
          <w:sz w:val="20"/>
        </w:rPr>
        <w:t xml:space="preserve"> </w:t>
      </w:r>
      <w:r>
        <w:rPr>
          <w:sz w:val="20"/>
        </w:rPr>
        <w:t>al.,</w:t>
      </w:r>
      <w:r>
        <w:rPr>
          <w:spacing w:val="-6"/>
          <w:sz w:val="20"/>
        </w:rPr>
        <w:t xml:space="preserve"> </w:t>
      </w:r>
      <w:r>
        <w:rPr>
          <w:sz w:val="20"/>
        </w:rPr>
        <w:t>(2019).</w:t>
      </w:r>
      <w:r>
        <w:rPr>
          <w:spacing w:val="-4"/>
          <w:sz w:val="20"/>
        </w:rPr>
        <w:t xml:space="preserve"> </w:t>
      </w:r>
      <w:r>
        <w:rPr>
          <w:sz w:val="20"/>
        </w:rPr>
        <w:t>LGBTIQ+</w:t>
      </w:r>
      <w:r>
        <w:rPr>
          <w:spacing w:val="-5"/>
          <w:sz w:val="20"/>
        </w:rPr>
        <w:t xml:space="preserve"> </w:t>
      </w:r>
      <w:r>
        <w:rPr>
          <w:sz w:val="20"/>
        </w:rPr>
        <w:t>homelessness:</w:t>
      </w:r>
      <w:r>
        <w:rPr>
          <w:spacing w:val="-4"/>
          <w:sz w:val="20"/>
        </w:rPr>
        <w:t xml:space="preserve"> </w:t>
      </w:r>
      <w:r>
        <w:rPr>
          <w:sz w:val="20"/>
        </w:rPr>
        <w:t>A</w:t>
      </w:r>
      <w:r>
        <w:rPr>
          <w:spacing w:val="-4"/>
          <w:sz w:val="20"/>
        </w:rPr>
        <w:t xml:space="preserve"> </w:t>
      </w:r>
      <w:r>
        <w:rPr>
          <w:sz w:val="20"/>
        </w:rPr>
        <w:t>review</w:t>
      </w:r>
      <w:r>
        <w:rPr>
          <w:spacing w:val="-6"/>
          <w:sz w:val="20"/>
        </w:rPr>
        <w:t xml:space="preserve"> </w:t>
      </w:r>
      <w:r>
        <w:rPr>
          <w:sz w:val="20"/>
        </w:rPr>
        <w:t>of</w:t>
      </w:r>
      <w:r>
        <w:rPr>
          <w:spacing w:val="-6"/>
          <w:sz w:val="20"/>
        </w:rPr>
        <w:t xml:space="preserve"> </w:t>
      </w:r>
      <w:r>
        <w:rPr>
          <w:sz w:val="20"/>
        </w:rPr>
        <w:t>the</w:t>
      </w:r>
      <w:r>
        <w:rPr>
          <w:spacing w:val="-5"/>
          <w:sz w:val="20"/>
        </w:rPr>
        <w:t xml:space="preserve"> </w:t>
      </w:r>
      <w:r>
        <w:rPr>
          <w:sz w:val="20"/>
        </w:rPr>
        <w:t>literature.</w:t>
      </w:r>
      <w:r>
        <w:rPr>
          <w:spacing w:val="-6"/>
          <w:sz w:val="20"/>
        </w:rPr>
        <w:t xml:space="preserve"> </w:t>
      </w:r>
      <w:r>
        <w:rPr>
          <w:i/>
          <w:sz w:val="20"/>
        </w:rPr>
        <w:t>International</w:t>
      </w:r>
      <w:r>
        <w:rPr>
          <w:i/>
          <w:spacing w:val="-7"/>
          <w:sz w:val="20"/>
        </w:rPr>
        <w:t xml:space="preserve"> </w:t>
      </w:r>
      <w:r>
        <w:rPr>
          <w:i/>
          <w:sz w:val="20"/>
        </w:rPr>
        <w:t>journal</w:t>
      </w:r>
      <w:r>
        <w:rPr>
          <w:i/>
          <w:spacing w:val="-6"/>
          <w:sz w:val="20"/>
        </w:rPr>
        <w:t xml:space="preserve"> </w:t>
      </w:r>
      <w:r>
        <w:rPr>
          <w:i/>
          <w:sz w:val="20"/>
        </w:rPr>
        <w:t>of</w:t>
      </w:r>
      <w:r>
        <w:rPr>
          <w:i/>
          <w:spacing w:val="-6"/>
          <w:sz w:val="20"/>
        </w:rPr>
        <w:t xml:space="preserve"> </w:t>
      </w:r>
      <w:r>
        <w:rPr>
          <w:i/>
          <w:sz w:val="20"/>
        </w:rPr>
        <w:t>environmental research and public health</w:t>
      </w:r>
      <w:r>
        <w:rPr>
          <w:sz w:val="20"/>
        </w:rPr>
        <w:t>, 16(15), 2677-2690.</w:t>
      </w:r>
    </w:p>
    <w:p w:rsidR="00C76E6D" w:rsidRDefault="00913831">
      <w:pPr>
        <w:ind w:left="480" w:right="530" w:hanging="3"/>
        <w:rPr>
          <w:sz w:val="20"/>
        </w:rPr>
      </w:pPr>
      <w:r>
        <w:rPr>
          <w:sz w:val="20"/>
          <w:vertAlign w:val="superscript"/>
        </w:rPr>
        <w:t>55</w:t>
      </w:r>
      <w:r>
        <w:rPr>
          <w:spacing w:val="-4"/>
          <w:sz w:val="20"/>
        </w:rPr>
        <w:t xml:space="preserve"> </w:t>
      </w:r>
      <w:r>
        <w:rPr>
          <w:sz w:val="20"/>
        </w:rPr>
        <w:t>Shelton,</w:t>
      </w:r>
      <w:r>
        <w:rPr>
          <w:spacing w:val="-4"/>
          <w:sz w:val="20"/>
        </w:rPr>
        <w:t xml:space="preserve"> </w:t>
      </w:r>
      <w:r>
        <w:rPr>
          <w:sz w:val="20"/>
        </w:rPr>
        <w:t>J.,</w:t>
      </w:r>
      <w:r>
        <w:rPr>
          <w:spacing w:val="-5"/>
          <w:sz w:val="20"/>
        </w:rPr>
        <w:t xml:space="preserve"> </w:t>
      </w:r>
      <w:r>
        <w:rPr>
          <w:sz w:val="20"/>
        </w:rPr>
        <w:t>&amp;</w:t>
      </w:r>
      <w:r>
        <w:rPr>
          <w:spacing w:val="-5"/>
          <w:sz w:val="20"/>
        </w:rPr>
        <w:t xml:space="preserve"> </w:t>
      </w:r>
      <w:r>
        <w:rPr>
          <w:sz w:val="20"/>
        </w:rPr>
        <w:t>Bond,</w:t>
      </w:r>
      <w:r>
        <w:rPr>
          <w:spacing w:val="-4"/>
          <w:sz w:val="20"/>
        </w:rPr>
        <w:t xml:space="preserve"> </w:t>
      </w:r>
      <w:r>
        <w:rPr>
          <w:sz w:val="20"/>
        </w:rPr>
        <w:t>L.</w:t>
      </w:r>
      <w:r>
        <w:rPr>
          <w:spacing w:val="-7"/>
          <w:sz w:val="20"/>
        </w:rPr>
        <w:t xml:space="preserve"> </w:t>
      </w:r>
      <w:r>
        <w:rPr>
          <w:sz w:val="20"/>
        </w:rPr>
        <w:t>(2017).</w:t>
      </w:r>
      <w:r>
        <w:rPr>
          <w:spacing w:val="-5"/>
          <w:sz w:val="20"/>
        </w:rPr>
        <w:t xml:space="preserve"> </w:t>
      </w:r>
      <w:r>
        <w:rPr>
          <w:sz w:val="20"/>
        </w:rPr>
        <w:t>“It</w:t>
      </w:r>
      <w:r>
        <w:rPr>
          <w:spacing w:val="-4"/>
          <w:sz w:val="20"/>
        </w:rPr>
        <w:t xml:space="preserve"> </w:t>
      </w:r>
      <w:r>
        <w:rPr>
          <w:sz w:val="20"/>
        </w:rPr>
        <w:t>just</w:t>
      </w:r>
      <w:r>
        <w:rPr>
          <w:spacing w:val="-6"/>
          <w:sz w:val="20"/>
        </w:rPr>
        <w:t xml:space="preserve"> </w:t>
      </w:r>
      <w:r>
        <w:rPr>
          <w:sz w:val="20"/>
        </w:rPr>
        <w:t>never</w:t>
      </w:r>
      <w:r>
        <w:rPr>
          <w:spacing w:val="-6"/>
          <w:sz w:val="20"/>
        </w:rPr>
        <w:t xml:space="preserve"> </w:t>
      </w:r>
      <w:r>
        <w:rPr>
          <w:sz w:val="20"/>
        </w:rPr>
        <w:t>worked</w:t>
      </w:r>
      <w:r>
        <w:rPr>
          <w:spacing w:val="-4"/>
          <w:sz w:val="20"/>
        </w:rPr>
        <w:t xml:space="preserve"> </w:t>
      </w:r>
      <w:r>
        <w:rPr>
          <w:sz w:val="20"/>
        </w:rPr>
        <w:t>out”:</w:t>
      </w:r>
      <w:r>
        <w:rPr>
          <w:spacing w:val="-6"/>
          <w:sz w:val="20"/>
        </w:rPr>
        <w:t xml:space="preserve"> </w:t>
      </w:r>
      <w:r>
        <w:rPr>
          <w:sz w:val="20"/>
        </w:rPr>
        <w:t>How</w:t>
      </w:r>
      <w:r>
        <w:rPr>
          <w:spacing w:val="-6"/>
          <w:sz w:val="20"/>
        </w:rPr>
        <w:t xml:space="preserve"> </w:t>
      </w:r>
      <w:r>
        <w:rPr>
          <w:sz w:val="20"/>
        </w:rPr>
        <w:t>transgender</w:t>
      </w:r>
      <w:r>
        <w:rPr>
          <w:spacing w:val="-5"/>
          <w:sz w:val="20"/>
        </w:rPr>
        <w:t xml:space="preserve"> </w:t>
      </w:r>
      <w:r>
        <w:rPr>
          <w:sz w:val="20"/>
        </w:rPr>
        <w:t>and</w:t>
      </w:r>
      <w:r>
        <w:rPr>
          <w:spacing w:val="-5"/>
          <w:sz w:val="20"/>
        </w:rPr>
        <w:t xml:space="preserve"> </w:t>
      </w:r>
      <w:r>
        <w:rPr>
          <w:sz w:val="20"/>
        </w:rPr>
        <w:t>gender</w:t>
      </w:r>
      <w:r>
        <w:rPr>
          <w:spacing w:val="-5"/>
          <w:sz w:val="20"/>
        </w:rPr>
        <w:t xml:space="preserve"> </w:t>
      </w:r>
      <w:r>
        <w:rPr>
          <w:sz w:val="20"/>
        </w:rPr>
        <w:t>expansive</w:t>
      </w:r>
      <w:r>
        <w:rPr>
          <w:spacing w:val="-6"/>
          <w:sz w:val="20"/>
        </w:rPr>
        <w:t xml:space="preserve"> </w:t>
      </w:r>
      <w:r>
        <w:rPr>
          <w:sz w:val="20"/>
        </w:rPr>
        <w:t xml:space="preserve">youth </w:t>
      </w:r>
      <w:bookmarkStart w:id="333" w:name="_bookmark218"/>
      <w:bookmarkEnd w:id="333"/>
      <w:r>
        <w:rPr>
          <w:sz w:val="20"/>
        </w:rPr>
        <w:t>understand their pathways into homelessness. Families in Society, 98(4), 284-291.</w:t>
      </w:r>
    </w:p>
    <w:p w:rsidR="00C76E6D" w:rsidRDefault="00913831">
      <w:pPr>
        <w:ind w:left="480" w:right="2081" w:hanging="3"/>
        <w:rPr>
          <w:sz w:val="20"/>
        </w:rPr>
      </w:pPr>
      <w:r>
        <w:rPr>
          <w:sz w:val="20"/>
          <w:vertAlign w:val="superscript"/>
        </w:rPr>
        <w:t>56</w:t>
      </w:r>
      <w:r>
        <w:rPr>
          <w:spacing w:val="-6"/>
          <w:sz w:val="20"/>
        </w:rPr>
        <w:t xml:space="preserve"> </w:t>
      </w:r>
      <w:r>
        <w:rPr>
          <w:sz w:val="20"/>
        </w:rPr>
        <w:t>Massachusetts</w:t>
      </w:r>
      <w:r>
        <w:rPr>
          <w:spacing w:val="-7"/>
          <w:sz w:val="20"/>
        </w:rPr>
        <w:t xml:space="preserve"> </w:t>
      </w:r>
      <w:r>
        <w:rPr>
          <w:sz w:val="20"/>
        </w:rPr>
        <w:t>Coalition</w:t>
      </w:r>
      <w:r>
        <w:rPr>
          <w:spacing w:val="-6"/>
          <w:sz w:val="20"/>
        </w:rPr>
        <w:t xml:space="preserve"> </w:t>
      </w:r>
      <w:r>
        <w:rPr>
          <w:sz w:val="20"/>
        </w:rPr>
        <w:t>for</w:t>
      </w:r>
      <w:r>
        <w:rPr>
          <w:spacing w:val="-8"/>
          <w:sz w:val="20"/>
        </w:rPr>
        <w:t xml:space="preserve"> </w:t>
      </w:r>
      <w:r>
        <w:rPr>
          <w:sz w:val="20"/>
        </w:rPr>
        <w:t>the</w:t>
      </w:r>
      <w:r>
        <w:rPr>
          <w:spacing w:val="-7"/>
          <w:sz w:val="20"/>
        </w:rPr>
        <w:t xml:space="preserve"> </w:t>
      </w:r>
      <w:r>
        <w:rPr>
          <w:sz w:val="20"/>
        </w:rPr>
        <w:t>Homeless,</w:t>
      </w:r>
      <w:r>
        <w:rPr>
          <w:spacing w:val="-7"/>
          <w:sz w:val="20"/>
        </w:rPr>
        <w:t xml:space="preserve"> </w:t>
      </w:r>
      <w:r>
        <w:rPr>
          <w:sz w:val="20"/>
        </w:rPr>
        <w:t>Massachusetts</w:t>
      </w:r>
      <w:r>
        <w:rPr>
          <w:spacing w:val="-8"/>
          <w:sz w:val="20"/>
        </w:rPr>
        <w:t xml:space="preserve"> </w:t>
      </w:r>
      <w:r>
        <w:rPr>
          <w:sz w:val="20"/>
        </w:rPr>
        <w:t>Youth</w:t>
      </w:r>
      <w:r>
        <w:rPr>
          <w:spacing w:val="-7"/>
          <w:sz w:val="20"/>
        </w:rPr>
        <w:t xml:space="preserve"> </w:t>
      </w:r>
      <w:r>
        <w:rPr>
          <w:sz w:val="20"/>
        </w:rPr>
        <w:t>Count</w:t>
      </w:r>
      <w:r>
        <w:rPr>
          <w:spacing w:val="-9"/>
          <w:sz w:val="20"/>
        </w:rPr>
        <w:t xml:space="preserve"> </w:t>
      </w:r>
      <w:r>
        <w:rPr>
          <w:sz w:val="20"/>
        </w:rPr>
        <w:t>(2019),</w:t>
      </w:r>
      <w:r>
        <w:rPr>
          <w:spacing w:val="-6"/>
          <w:sz w:val="20"/>
        </w:rPr>
        <w:t xml:space="preserve"> </w:t>
      </w:r>
      <w:r>
        <w:rPr>
          <w:sz w:val="20"/>
        </w:rPr>
        <w:t>retrieved</w:t>
      </w:r>
      <w:r>
        <w:rPr>
          <w:spacing w:val="-6"/>
          <w:sz w:val="20"/>
        </w:rPr>
        <w:t xml:space="preserve"> </w:t>
      </w:r>
      <w:r>
        <w:rPr>
          <w:sz w:val="20"/>
        </w:rPr>
        <w:t xml:space="preserve">from </w:t>
      </w:r>
      <w:bookmarkStart w:id="334" w:name="_bookmark219"/>
      <w:bookmarkStart w:id="335" w:name="_bookmark220"/>
      <w:bookmarkEnd w:id="334"/>
      <w:bookmarkEnd w:id="335"/>
      <w:r>
        <w:fldChar w:fldCharType="begin"/>
      </w:r>
      <w:r>
        <w:instrText xml:space="preserve"> HYPERLINK "https://www.mass.gov/doc/2019-massachusetts-youth-count/download" \h </w:instrText>
      </w:r>
      <w:r>
        <w:fldChar w:fldCharType="separate"/>
      </w:r>
      <w:r>
        <w:rPr>
          <w:spacing w:val="-2"/>
          <w:sz w:val="20"/>
        </w:rPr>
        <w:t>https://www.mass.gov/doc/2019-massachusetts-youth-count/download.</w:t>
      </w:r>
      <w:r>
        <w:rPr>
          <w:spacing w:val="-2"/>
          <w:sz w:val="20"/>
        </w:rPr>
        <w:fldChar w:fldCharType="end"/>
      </w:r>
    </w:p>
    <w:p w:rsidR="00C76E6D" w:rsidRDefault="00913831">
      <w:pPr>
        <w:spacing w:before="2"/>
        <w:ind w:left="480"/>
        <w:rPr>
          <w:sz w:val="20"/>
        </w:rPr>
      </w:pPr>
      <w:r>
        <w:rPr>
          <w:sz w:val="20"/>
          <w:vertAlign w:val="superscript"/>
        </w:rPr>
        <w:t>57</w:t>
      </w:r>
      <w:r>
        <w:rPr>
          <w:spacing w:val="-8"/>
          <w:sz w:val="20"/>
        </w:rPr>
        <w:t xml:space="preserve"> </w:t>
      </w:r>
      <w:bookmarkStart w:id="336" w:name="_bookmark221"/>
      <w:bookmarkEnd w:id="336"/>
      <w:r>
        <w:rPr>
          <w:sz w:val="20"/>
        </w:rPr>
        <w:t>Massachusetts</w:t>
      </w:r>
      <w:r>
        <w:rPr>
          <w:spacing w:val="-8"/>
          <w:sz w:val="20"/>
        </w:rPr>
        <w:t xml:space="preserve"> </w:t>
      </w:r>
      <w:r>
        <w:rPr>
          <w:sz w:val="20"/>
        </w:rPr>
        <w:t>Coalition</w:t>
      </w:r>
      <w:r>
        <w:rPr>
          <w:spacing w:val="-9"/>
          <w:sz w:val="20"/>
        </w:rPr>
        <w:t xml:space="preserve"> </w:t>
      </w:r>
      <w:r>
        <w:rPr>
          <w:sz w:val="20"/>
        </w:rPr>
        <w:t>for</w:t>
      </w:r>
      <w:r>
        <w:rPr>
          <w:spacing w:val="-9"/>
          <w:sz w:val="20"/>
        </w:rPr>
        <w:t xml:space="preserve"> </w:t>
      </w:r>
      <w:r>
        <w:rPr>
          <w:sz w:val="20"/>
        </w:rPr>
        <w:t>the</w:t>
      </w:r>
      <w:r>
        <w:rPr>
          <w:spacing w:val="-9"/>
          <w:sz w:val="20"/>
        </w:rPr>
        <w:t xml:space="preserve"> </w:t>
      </w:r>
      <w:r>
        <w:rPr>
          <w:sz w:val="20"/>
        </w:rPr>
        <w:t>Homeless</w:t>
      </w:r>
      <w:r>
        <w:rPr>
          <w:spacing w:val="-8"/>
          <w:sz w:val="20"/>
        </w:rPr>
        <w:t xml:space="preserve"> </w:t>
      </w:r>
      <w:r>
        <w:rPr>
          <w:spacing w:val="-2"/>
          <w:sz w:val="20"/>
        </w:rPr>
        <w:t>(2019).</w:t>
      </w:r>
    </w:p>
    <w:p w:rsidR="00C76E6D" w:rsidRDefault="00913831">
      <w:pPr>
        <w:spacing w:before="1" w:line="241" w:lineRule="exact"/>
        <w:ind w:left="480"/>
        <w:rPr>
          <w:sz w:val="20"/>
        </w:rPr>
      </w:pPr>
      <w:r>
        <w:rPr>
          <w:sz w:val="20"/>
          <w:vertAlign w:val="superscript"/>
        </w:rPr>
        <w:t>58</w:t>
      </w:r>
      <w:r>
        <w:rPr>
          <w:spacing w:val="-5"/>
          <w:sz w:val="20"/>
        </w:rPr>
        <w:t xml:space="preserve"> </w:t>
      </w:r>
      <w:r>
        <w:rPr>
          <w:sz w:val="20"/>
        </w:rPr>
        <w:t>Fraser,</w:t>
      </w:r>
      <w:r>
        <w:rPr>
          <w:spacing w:val="-4"/>
          <w:sz w:val="20"/>
        </w:rPr>
        <w:t xml:space="preserve"> </w:t>
      </w:r>
      <w:r>
        <w:rPr>
          <w:sz w:val="20"/>
        </w:rPr>
        <w:t>et</w:t>
      </w:r>
      <w:r>
        <w:rPr>
          <w:spacing w:val="-4"/>
          <w:sz w:val="20"/>
        </w:rPr>
        <w:t xml:space="preserve"> </w:t>
      </w:r>
      <w:r>
        <w:rPr>
          <w:sz w:val="20"/>
        </w:rPr>
        <w:t>al.</w:t>
      </w:r>
      <w:r>
        <w:rPr>
          <w:spacing w:val="-7"/>
          <w:sz w:val="20"/>
        </w:rPr>
        <w:t xml:space="preserve"> </w:t>
      </w:r>
      <w:r>
        <w:rPr>
          <w:spacing w:val="-2"/>
          <w:sz w:val="20"/>
        </w:rPr>
        <w:t>(2019).</w:t>
      </w:r>
    </w:p>
    <w:p w:rsidR="00C76E6D" w:rsidRDefault="00913831">
      <w:pPr>
        <w:ind w:left="480" w:right="641"/>
        <w:jc w:val="both"/>
        <w:rPr>
          <w:sz w:val="20"/>
        </w:rPr>
      </w:pPr>
      <w:bookmarkStart w:id="337" w:name="_bookmark222"/>
      <w:bookmarkEnd w:id="337"/>
      <w:r>
        <w:rPr>
          <w:sz w:val="20"/>
          <w:vertAlign w:val="superscript"/>
        </w:rPr>
        <w:t>59</w:t>
      </w:r>
      <w:r>
        <w:rPr>
          <w:spacing w:val="-2"/>
          <w:sz w:val="20"/>
        </w:rPr>
        <w:t xml:space="preserve"> </w:t>
      </w:r>
      <w:r>
        <w:rPr>
          <w:sz w:val="20"/>
        </w:rPr>
        <w:t>Ec</w:t>
      </w:r>
      <w:r>
        <w:rPr>
          <w:sz w:val="20"/>
        </w:rPr>
        <w:t>ker,</w:t>
      </w:r>
      <w:r>
        <w:rPr>
          <w:spacing w:val="-2"/>
          <w:sz w:val="20"/>
        </w:rPr>
        <w:t xml:space="preserve"> </w:t>
      </w:r>
      <w:r>
        <w:rPr>
          <w:sz w:val="20"/>
        </w:rPr>
        <w:t>J.</w:t>
      </w:r>
      <w:r>
        <w:rPr>
          <w:spacing w:val="-2"/>
          <w:sz w:val="20"/>
        </w:rPr>
        <w:t xml:space="preserve"> </w:t>
      </w:r>
      <w:r>
        <w:rPr>
          <w:sz w:val="20"/>
        </w:rPr>
        <w:t>(2016).</w:t>
      </w:r>
      <w:r>
        <w:rPr>
          <w:spacing w:val="-2"/>
          <w:sz w:val="20"/>
        </w:rPr>
        <w:t xml:space="preserve"> </w:t>
      </w:r>
      <w:r>
        <w:rPr>
          <w:sz w:val="20"/>
        </w:rPr>
        <w:t>Queer,</w:t>
      </w:r>
      <w:r>
        <w:rPr>
          <w:spacing w:val="-3"/>
          <w:sz w:val="20"/>
        </w:rPr>
        <w:t xml:space="preserve"> </w:t>
      </w:r>
      <w:r>
        <w:rPr>
          <w:sz w:val="20"/>
        </w:rPr>
        <w:t>young,</w:t>
      </w:r>
      <w:r>
        <w:rPr>
          <w:spacing w:val="-2"/>
          <w:sz w:val="20"/>
        </w:rPr>
        <w:t xml:space="preserve"> </w:t>
      </w:r>
      <w:r>
        <w:rPr>
          <w:sz w:val="20"/>
        </w:rPr>
        <w:t>and</w:t>
      </w:r>
      <w:r>
        <w:rPr>
          <w:spacing w:val="-2"/>
          <w:sz w:val="20"/>
        </w:rPr>
        <w:t xml:space="preserve"> </w:t>
      </w:r>
      <w:r>
        <w:rPr>
          <w:sz w:val="20"/>
        </w:rPr>
        <w:t>homeless:</w:t>
      </w:r>
      <w:r>
        <w:rPr>
          <w:spacing w:val="-2"/>
          <w:sz w:val="20"/>
        </w:rPr>
        <w:t xml:space="preserve"> </w:t>
      </w:r>
      <w:r>
        <w:rPr>
          <w:sz w:val="20"/>
        </w:rPr>
        <w:t>A</w:t>
      </w:r>
      <w:r>
        <w:rPr>
          <w:spacing w:val="-2"/>
          <w:sz w:val="20"/>
        </w:rPr>
        <w:t xml:space="preserve"> </w:t>
      </w:r>
      <w:r>
        <w:rPr>
          <w:sz w:val="20"/>
        </w:rPr>
        <w:t>review</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literature.</w:t>
      </w:r>
      <w:r>
        <w:rPr>
          <w:spacing w:val="-3"/>
          <w:sz w:val="20"/>
        </w:rPr>
        <w:t xml:space="preserve"> </w:t>
      </w:r>
      <w:r>
        <w:rPr>
          <w:i/>
          <w:sz w:val="20"/>
        </w:rPr>
        <w:t>Child</w:t>
      </w:r>
      <w:r>
        <w:rPr>
          <w:i/>
          <w:spacing w:val="-2"/>
          <w:sz w:val="20"/>
        </w:rPr>
        <w:t xml:space="preserve"> </w:t>
      </w:r>
      <w:r>
        <w:rPr>
          <w:i/>
          <w:sz w:val="20"/>
        </w:rPr>
        <w:t>&amp;</w:t>
      </w:r>
      <w:r>
        <w:rPr>
          <w:i/>
          <w:spacing w:val="-2"/>
          <w:sz w:val="20"/>
        </w:rPr>
        <w:t xml:space="preserve"> </w:t>
      </w:r>
      <w:r>
        <w:rPr>
          <w:i/>
          <w:sz w:val="20"/>
        </w:rPr>
        <w:t>Youth</w:t>
      </w:r>
      <w:r>
        <w:rPr>
          <w:i/>
          <w:spacing w:val="-2"/>
          <w:sz w:val="20"/>
        </w:rPr>
        <w:t xml:space="preserve"> </w:t>
      </w:r>
      <w:r>
        <w:rPr>
          <w:i/>
          <w:sz w:val="20"/>
        </w:rPr>
        <w:t>Services</w:t>
      </w:r>
      <w:r>
        <w:rPr>
          <w:sz w:val="20"/>
        </w:rPr>
        <w:t>,</w:t>
      </w:r>
      <w:r>
        <w:rPr>
          <w:spacing w:val="-2"/>
          <w:sz w:val="20"/>
        </w:rPr>
        <w:t xml:space="preserve"> </w:t>
      </w:r>
      <w:r>
        <w:rPr>
          <w:i/>
          <w:sz w:val="20"/>
        </w:rPr>
        <w:t>37</w:t>
      </w:r>
      <w:r>
        <w:rPr>
          <w:sz w:val="20"/>
        </w:rPr>
        <w:t>(4),</w:t>
      </w:r>
      <w:r>
        <w:rPr>
          <w:spacing w:val="-3"/>
          <w:sz w:val="20"/>
        </w:rPr>
        <w:t xml:space="preserve"> </w:t>
      </w:r>
      <w:r>
        <w:rPr>
          <w:sz w:val="20"/>
        </w:rPr>
        <w:t xml:space="preserve">325-361. </w:t>
      </w:r>
      <w:r>
        <w:rPr>
          <w:sz w:val="20"/>
          <w:vertAlign w:val="superscript"/>
        </w:rPr>
        <w:t>60</w:t>
      </w:r>
      <w:r>
        <w:rPr>
          <w:sz w:val="20"/>
        </w:rPr>
        <w:t xml:space="preserve"> Katz-Wise,</w:t>
      </w:r>
      <w:r>
        <w:rPr>
          <w:spacing w:val="-2"/>
          <w:sz w:val="20"/>
        </w:rPr>
        <w:t xml:space="preserve"> </w:t>
      </w:r>
      <w:r>
        <w:rPr>
          <w:sz w:val="20"/>
        </w:rPr>
        <w:t>S.</w:t>
      </w:r>
      <w:r>
        <w:rPr>
          <w:spacing w:val="-2"/>
          <w:sz w:val="20"/>
        </w:rPr>
        <w:t xml:space="preserve"> </w:t>
      </w:r>
      <w:r>
        <w:rPr>
          <w:sz w:val="20"/>
        </w:rPr>
        <w:t>L., Rosario,</w:t>
      </w:r>
      <w:r>
        <w:rPr>
          <w:spacing w:val="-2"/>
          <w:sz w:val="20"/>
        </w:rPr>
        <w:t xml:space="preserve"> </w:t>
      </w:r>
      <w:r>
        <w:rPr>
          <w:sz w:val="20"/>
        </w:rPr>
        <w:t>M.,</w:t>
      </w:r>
      <w:r>
        <w:rPr>
          <w:spacing w:val="-2"/>
          <w:sz w:val="20"/>
        </w:rPr>
        <w:t xml:space="preserve"> </w:t>
      </w:r>
      <w:r>
        <w:rPr>
          <w:sz w:val="20"/>
        </w:rPr>
        <w:t>&amp;</w:t>
      </w:r>
      <w:r>
        <w:rPr>
          <w:spacing w:val="-1"/>
          <w:sz w:val="20"/>
        </w:rPr>
        <w:t xml:space="preserve"> </w:t>
      </w:r>
      <w:r>
        <w:rPr>
          <w:sz w:val="20"/>
        </w:rPr>
        <w:t>Tsappis,</w:t>
      </w:r>
      <w:r>
        <w:rPr>
          <w:spacing w:val="-1"/>
          <w:sz w:val="20"/>
        </w:rPr>
        <w:t xml:space="preserve"> </w:t>
      </w:r>
      <w:r>
        <w:rPr>
          <w:sz w:val="20"/>
        </w:rPr>
        <w:t>M.</w:t>
      </w:r>
      <w:r>
        <w:rPr>
          <w:spacing w:val="-3"/>
          <w:sz w:val="20"/>
        </w:rPr>
        <w:t xml:space="preserve"> </w:t>
      </w:r>
      <w:r>
        <w:rPr>
          <w:sz w:val="20"/>
        </w:rPr>
        <w:t>(2016).</w:t>
      </w:r>
      <w:r>
        <w:rPr>
          <w:spacing w:val="-1"/>
          <w:sz w:val="20"/>
        </w:rPr>
        <w:t xml:space="preserve"> </w:t>
      </w:r>
      <w:r>
        <w:rPr>
          <w:sz w:val="20"/>
        </w:rPr>
        <w:t>LGBT</w:t>
      </w:r>
      <w:r>
        <w:rPr>
          <w:spacing w:val="-3"/>
          <w:sz w:val="20"/>
        </w:rPr>
        <w:t xml:space="preserve"> </w:t>
      </w:r>
      <w:r>
        <w:rPr>
          <w:sz w:val="20"/>
        </w:rPr>
        <w:t>youth</w:t>
      </w:r>
      <w:r>
        <w:rPr>
          <w:spacing w:val="-2"/>
          <w:sz w:val="20"/>
        </w:rPr>
        <w:t xml:space="preserve"> </w:t>
      </w:r>
      <w:r>
        <w:rPr>
          <w:sz w:val="20"/>
        </w:rPr>
        <w:t>and</w:t>
      </w:r>
      <w:r>
        <w:rPr>
          <w:spacing w:val="-2"/>
          <w:sz w:val="20"/>
        </w:rPr>
        <w:t xml:space="preserve"> </w:t>
      </w:r>
      <w:r>
        <w:rPr>
          <w:sz w:val="20"/>
        </w:rPr>
        <w:t>family</w:t>
      </w:r>
      <w:r>
        <w:rPr>
          <w:spacing w:val="-1"/>
          <w:sz w:val="20"/>
        </w:rPr>
        <w:t xml:space="preserve"> </w:t>
      </w:r>
      <w:r>
        <w:rPr>
          <w:sz w:val="20"/>
        </w:rPr>
        <w:t>acceptance.</w:t>
      </w:r>
      <w:r>
        <w:rPr>
          <w:spacing w:val="-2"/>
          <w:sz w:val="20"/>
        </w:rPr>
        <w:t xml:space="preserve"> </w:t>
      </w:r>
      <w:r>
        <w:rPr>
          <w:i/>
          <w:sz w:val="20"/>
        </w:rPr>
        <w:t>Pediatric</w:t>
      </w:r>
      <w:r>
        <w:rPr>
          <w:i/>
          <w:spacing w:val="-2"/>
          <w:sz w:val="20"/>
        </w:rPr>
        <w:t xml:space="preserve"> </w:t>
      </w:r>
      <w:r>
        <w:rPr>
          <w:i/>
          <w:sz w:val="20"/>
        </w:rPr>
        <w:t>Clinics</w:t>
      </w:r>
      <w:r>
        <w:rPr>
          <w:i/>
          <w:spacing w:val="-1"/>
          <w:sz w:val="20"/>
        </w:rPr>
        <w:t xml:space="preserve"> </w:t>
      </w:r>
      <w:r>
        <w:rPr>
          <w:i/>
          <w:sz w:val="20"/>
        </w:rPr>
        <w:t>of</w:t>
      </w:r>
      <w:r>
        <w:rPr>
          <w:i/>
          <w:spacing w:val="-2"/>
          <w:sz w:val="20"/>
        </w:rPr>
        <w:t xml:space="preserve"> </w:t>
      </w:r>
      <w:r>
        <w:rPr>
          <w:i/>
          <w:sz w:val="20"/>
        </w:rPr>
        <w:t xml:space="preserve">North </w:t>
      </w:r>
      <w:bookmarkStart w:id="338" w:name="_bookmark223"/>
      <w:bookmarkStart w:id="339" w:name="_bookmark224"/>
      <w:bookmarkEnd w:id="338"/>
      <w:bookmarkEnd w:id="339"/>
      <w:r>
        <w:rPr>
          <w:i/>
          <w:sz w:val="20"/>
        </w:rPr>
        <w:t>America</w:t>
      </w:r>
      <w:r>
        <w:rPr>
          <w:sz w:val="20"/>
        </w:rPr>
        <w:t>, 63(6), 1011-1926.</w:t>
      </w:r>
    </w:p>
    <w:p w:rsidR="00C76E6D" w:rsidRDefault="00913831">
      <w:pPr>
        <w:spacing w:before="2"/>
        <w:ind w:left="480"/>
        <w:jc w:val="both"/>
        <w:rPr>
          <w:sz w:val="20"/>
        </w:rPr>
      </w:pPr>
      <w:r>
        <w:rPr>
          <w:sz w:val="20"/>
          <w:vertAlign w:val="superscript"/>
        </w:rPr>
        <w:t>61</w:t>
      </w:r>
      <w:r>
        <w:rPr>
          <w:spacing w:val="-5"/>
          <w:sz w:val="20"/>
        </w:rPr>
        <w:t xml:space="preserve"> </w:t>
      </w:r>
      <w:bookmarkStart w:id="340" w:name="_bookmark225"/>
      <w:bookmarkEnd w:id="340"/>
      <w:r>
        <w:rPr>
          <w:sz w:val="20"/>
        </w:rPr>
        <w:t>Shelton</w:t>
      </w:r>
      <w:r>
        <w:rPr>
          <w:spacing w:val="-5"/>
          <w:sz w:val="20"/>
        </w:rPr>
        <w:t xml:space="preserve"> </w:t>
      </w:r>
      <w:r>
        <w:rPr>
          <w:sz w:val="20"/>
        </w:rPr>
        <w:t>&amp;</w:t>
      </w:r>
      <w:r>
        <w:rPr>
          <w:spacing w:val="-4"/>
          <w:sz w:val="20"/>
        </w:rPr>
        <w:t xml:space="preserve"> </w:t>
      </w:r>
      <w:r>
        <w:rPr>
          <w:sz w:val="20"/>
        </w:rPr>
        <w:t>Bond,</w:t>
      </w:r>
      <w:r>
        <w:rPr>
          <w:spacing w:val="-5"/>
          <w:sz w:val="20"/>
        </w:rPr>
        <w:t xml:space="preserve"> </w:t>
      </w:r>
      <w:r>
        <w:rPr>
          <w:spacing w:val="-2"/>
          <w:sz w:val="20"/>
        </w:rPr>
        <w:t>(2017).</w:t>
      </w:r>
    </w:p>
    <w:p w:rsidR="00C76E6D" w:rsidRDefault="00913831">
      <w:pPr>
        <w:spacing w:line="244" w:lineRule="exact"/>
        <w:ind w:left="480"/>
        <w:jc w:val="both"/>
        <w:rPr>
          <w:sz w:val="20"/>
        </w:rPr>
      </w:pPr>
      <w:r>
        <w:rPr>
          <w:sz w:val="20"/>
          <w:vertAlign w:val="superscript"/>
        </w:rPr>
        <w:t>62</w:t>
      </w:r>
      <w:r>
        <w:rPr>
          <w:spacing w:val="-4"/>
          <w:sz w:val="20"/>
        </w:rPr>
        <w:t xml:space="preserve"> </w:t>
      </w:r>
      <w:r>
        <w:rPr>
          <w:sz w:val="20"/>
        </w:rPr>
        <w:t>Choi,</w:t>
      </w:r>
      <w:r>
        <w:rPr>
          <w:spacing w:val="-5"/>
          <w:sz w:val="20"/>
        </w:rPr>
        <w:t xml:space="preserve"> </w:t>
      </w:r>
      <w:r>
        <w:rPr>
          <w:sz w:val="20"/>
        </w:rPr>
        <w:t>et</w:t>
      </w:r>
      <w:r>
        <w:rPr>
          <w:spacing w:val="-4"/>
          <w:sz w:val="20"/>
        </w:rPr>
        <w:t xml:space="preserve"> </w:t>
      </w:r>
      <w:r>
        <w:rPr>
          <w:sz w:val="20"/>
        </w:rPr>
        <w:t>al.,</w:t>
      </w:r>
      <w:r>
        <w:rPr>
          <w:spacing w:val="-5"/>
          <w:sz w:val="20"/>
        </w:rPr>
        <w:t xml:space="preserve"> </w:t>
      </w:r>
      <w:r>
        <w:rPr>
          <w:spacing w:val="-2"/>
          <w:sz w:val="20"/>
        </w:rPr>
        <w:t>(2015).</w:t>
      </w:r>
    </w:p>
    <w:p w:rsidR="00C76E6D" w:rsidRDefault="00913831">
      <w:pPr>
        <w:spacing w:line="241" w:lineRule="exact"/>
        <w:ind w:left="480"/>
        <w:jc w:val="both"/>
        <w:rPr>
          <w:sz w:val="20"/>
        </w:rPr>
      </w:pPr>
      <w:bookmarkStart w:id="341" w:name="_bookmark226"/>
      <w:bookmarkEnd w:id="341"/>
      <w:r>
        <w:rPr>
          <w:sz w:val="20"/>
          <w:vertAlign w:val="superscript"/>
        </w:rPr>
        <w:t>63</w:t>
      </w:r>
      <w:r>
        <w:rPr>
          <w:spacing w:val="-4"/>
          <w:sz w:val="20"/>
        </w:rPr>
        <w:t xml:space="preserve"> </w:t>
      </w:r>
      <w:r>
        <w:rPr>
          <w:sz w:val="20"/>
        </w:rPr>
        <w:t>Choi,</w:t>
      </w:r>
      <w:r>
        <w:rPr>
          <w:spacing w:val="-5"/>
          <w:sz w:val="20"/>
        </w:rPr>
        <w:t xml:space="preserve"> </w:t>
      </w:r>
      <w:r>
        <w:rPr>
          <w:sz w:val="20"/>
        </w:rPr>
        <w:t>et</w:t>
      </w:r>
      <w:r>
        <w:rPr>
          <w:spacing w:val="-4"/>
          <w:sz w:val="20"/>
        </w:rPr>
        <w:t xml:space="preserve"> </w:t>
      </w:r>
      <w:r>
        <w:rPr>
          <w:spacing w:val="-5"/>
          <w:sz w:val="20"/>
        </w:rPr>
        <w:t>al.</w:t>
      </w:r>
    </w:p>
    <w:p w:rsidR="00C76E6D" w:rsidRDefault="00913831">
      <w:pPr>
        <w:ind w:left="480" w:right="922" w:hanging="2"/>
        <w:jc w:val="both"/>
        <w:rPr>
          <w:sz w:val="20"/>
        </w:rPr>
      </w:pPr>
      <w:r>
        <w:rPr>
          <w:sz w:val="20"/>
          <w:vertAlign w:val="superscript"/>
        </w:rPr>
        <w:t>64</w:t>
      </w:r>
      <w:r>
        <w:rPr>
          <w:spacing w:val="-3"/>
          <w:sz w:val="20"/>
        </w:rPr>
        <w:t xml:space="preserve"> </w:t>
      </w:r>
      <w:r>
        <w:rPr>
          <w:sz w:val="20"/>
        </w:rPr>
        <w:t>James,</w:t>
      </w:r>
      <w:r>
        <w:rPr>
          <w:spacing w:val="-4"/>
          <w:sz w:val="20"/>
        </w:rPr>
        <w:t xml:space="preserve"> </w:t>
      </w:r>
      <w:r>
        <w:rPr>
          <w:sz w:val="20"/>
        </w:rPr>
        <w:t>S.</w:t>
      </w:r>
      <w:r>
        <w:rPr>
          <w:spacing w:val="-6"/>
          <w:sz w:val="20"/>
        </w:rPr>
        <w:t xml:space="preserve"> </w:t>
      </w:r>
      <w:r>
        <w:rPr>
          <w:sz w:val="20"/>
        </w:rPr>
        <w:t>E.,</w:t>
      </w:r>
      <w:r>
        <w:rPr>
          <w:spacing w:val="-5"/>
          <w:sz w:val="20"/>
        </w:rPr>
        <w:t xml:space="preserve"> </w:t>
      </w:r>
      <w:r>
        <w:rPr>
          <w:sz w:val="20"/>
        </w:rPr>
        <w:t>Herman,</w:t>
      </w:r>
      <w:r>
        <w:rPr>
          <w:spacing w:val="-3"/>
          <w:sz w:val="20"/>
        </w:rPr>
        <w:t xml:space="preserve"> </w:t>
      </w:r>
      <w:r>
        <w:rPr>
          <w:sz w:val="20"/>
        </w:rPr>
        <w:t>J.</w:t>
      </w:r>
      <w:r>
        <w:rPr>
          <w:spacing w:val="-5"/>
          <w:sz w:val="20"/>
        </w:rPr>
        <w:t xml:space="preserve"> </w:t>
      </w:r>
      <w:r>
        <w:rPr>
          <w:sz w:val="20"/>
        </w:rPr>
        <w:t>L.,</w:t>
      </w:r>
      <w:r>
        <w:rPr>
          <w:spacing w:val="-4"/>
          <w:sz w:val="20"/>
        </w:rPr>
        <w:t xml:space="preserve"> </w:t>
      </w:r>
      <w:r>
        <w:rPr>
          <w:sz w:val="20"/>
        </w:rPr>
        <w:t>Rankin,</w:t>
      </w:r>
      <w:r>
        <w:rPr>
          <w:spacing w:val="-4"/>
          <w:sz w:val="20"/>
        </w:rPr>
        <w:t xml:space="preserve"> </w:t>
      </w:r>
      <w:r>
        <w:rPr>
          <w:sz w:val="20"/>
        </w:rPr>
        <w:t>S.,</w:t>
      </w:r>
      <w:r>
        <w:rPr>
          <w:spacing w:val="-4"/>
          <w:sz w:val="20"/>
        </w:rPr>
        <w:t xml:space="preserve"> </w:t>
      </w:r>
      <w:r>
        <w:rPr>
          <w:sz w:val="20"/>
        </w:rPr>
        <w:t>Keisling,</w:t>
      </w:r>
      <w:r>
        <w:rPr>
          <w:spacing w:val="-4"/>
          <w:sz w:val="20"/>
        </w:rPr>
        <w:t xml:space="preserve"> </w:t>
      </w:r>
      <w:r>
        <w:rPr>
          <w:sz w:val="20"/>
        </w:rPr>
        <w:t>M.,</w:t>
      </w:r>
      <w:r>
        <w:rPr>
          <w:spacing w:val="-4"/>
          <w:sz w:val="20"/>
        </w:rPr>
        <w:t xml:space="preserve"> </w:t>
      </w:r>
      <w:r>
        <w:rPr>
          <w:sz w:val="20"/>
        </w:rPr>
        <w:t>Mottet,</w:t>
      </w:r>
      <w:r>
        <w:rPr>
          <w:spacing w:val="-4"/>
          <w:sz w:val="20"/>
        </w:rPr>
        <w:t xml:space="preserve"> </w:t>
      </w:r>
      <w:r>
        <w:rPr>
          <w:sz w:val="20"/>
        </w:rPr>
        <w:t>L.,</w:t>
      </w:r>
      <w:r>
        <w:rPr>
          <w:spacing w:val="-3"/>
          <w:sz w:val="20"/>
        </w:rPr>
        <w:t xml:space="preserve"> </w:t>
      </w:r>
      <w:r>
        <w:rPr>
          <w:sz w:val="20"/>
        </w:rPr>
        <w:t>&amp;</w:t>
      </w:r>
      <w:r>
        <w:rPr>
          <w:spacing w:val="-5"/>
          <w:sz w:val="20"/>
        </w:rPr>
        <w:t xml:space="preserve"> </w:t>
      </w:r>
      <w:r>
        <w:rPr>
          <w:sz w:val="20"/>
        </w:rPr>
        <w:t>Anafi,</w:t>
      </w:r>
      <w:r>
        <w:rPr>
          <w:spacing w:val="-5"/>
          <w:sz w:val="20"/>
        </w:rPr>
        <w:t xml:space="preserve"> </w:t>
      </w:r>
      <w:r>
        <w:rPr>
          <w:sz w:val="20"/>
        </w:rPr>
        <w:t>M.</w:t>
      </w:r>
      <w:r>
        <w:rPr>
          <w:spacing w:val="-5"/>
          <w:sz w:val="20"/>
        </w:rPr>
        <w:t xml:space="preserve"> </w:t>
      </w:r>
      <w:r>
        <w:rPr>
          <w:sz w:val="20"/>
        </w:rPr>
        <w:t>(2016).</w:t>
      </w:r>
      <w:r>
        <w:rPr>
          <w:spacing w:val="-4"/>
          <w:sz w:val="20"/>
        </w:rPr>
        <w:t xml:space="preserve"> </w:t>
      </w:r>
      <w:r>
        <w:rPr>
          <w:sz w:val="20"/>
        </w:rPr>
        <w:t>The</w:t>
      </w:r>
      <w:r>
        <w:rPr>
          <w:spacing w:val="-6"/>
          <w:sz w:val="20"/>
        </w:rPr>
        <w:t xml:space="preserve"> </w:t>
      </w:r>
      <w:r>
        <w:rPr>
          <w:sz w:val="20"/>
        </w:rPr>
        <w:t>report</w:t>
      </w:r>
      <w:r>
        <w:rPr>
          <w:spacing w:val="-3"/>
          <w:sz w:val="20"/>
        </w:rPr>
        <w:t xml:space="preserve"> </w:t>
      </w:r>
      <w:r>
        <w:rPr>
          <w:sz w:val="20"/>
        </w:rPr>
        <w:t>of</w:t>
      </w:r>
      <w:r>
        <w:rPr>
          <w:spacing w:val="-4"/>
          <w:sz w:val="20"/>
        </w:rPr>
        <w:t xml:space="preserve"> </w:t>
      </w:r>
      <w:r>
        <w:rPr>
          <w:sz w:val="20"/>
        </w:rPr>
        <w:t>the</w:t>
      </w:r>
      <w:r>
        <w:rPr>
          <w:spacing w:val="-6"/>
          <w:sz w:val="20"/>
        </w:rPr>
        <w:t xml:space="preserve"> </w:t>
      </w:r>
      <w:r>
        <w:rPr>
          <w:sz w:val="20"/>
        </w:rPr>
        <w:t>2015</w:t>
      </w:r>
      <w:r>
        <w:rPr>
          <w:spacing w:val="-3"/>
          <w:sz w:val="20"/>
        </w:rPr>
        <w:t xml:space="preserve"> </w:t>
      </w:r>
      <w:r>
        <w:rPr>
          <w:sz w:val="20"/>
        </w:rPr>
        <w:t xml:space="preserve">U.S. </w:t>
      </w:r>
      <w:bookmarkStart w:id="342" w:name="_bookmark227"/>
      <w:bookmarkEnd w:id="342"/>
      <w:r>
        <w:rPr>
          <w:sz w:val="20"/>
        </w:rPr>
        <w:t>T</w:t>
      </w:r>
      <w:r>
        <w:rPr>
          <w:sz w:val="20"/>
        </w:rPr>
        <w:t>ransgender survey. Washington, DC: National Center for Transgender Equality.</w:t>
      </w:r>
    </w:p>
    <w:p w:rsidR="00C76E6D" w:rsidRDefault="00913831">
      <w:pPr>
        <w:ind w:left="480"/>
        <w:jc w:val="both"/>
        <w:rPr>
          <w:sz w:val="20"/>
        </w:rPr>
      </w:pPr>
      <w:r>
        <w:rPr>
          <w:sz w:val="20"/>
          <w:vertAlign w:val="superscript"/>
        </w:rPr>
        <w:t>65</w:t>
      </w:r>
      <w:r>
        <w:rPr>
          <w:spacing w:val="-5"/>
          <w:sz w:val="20"/>
        </w:rPr>
        <w:t xml:space="preserve"> </w:t>
      </w:r>
      <w:r>
        <w:rPr>
          <w:sz w:val="20"/>
        </w:rPr>
        <w:t>Fraser,</w:t>
      </w:r>
      <w:r>
        <w:rPr>
          <w:spacing w:val="-4"/>
          <w:sz w:val="20"/>
        </w:rPr>
        <w:t xml:space="preserve"> </w:t>
      </w:r>
      <w:r>
        <w:rPr>
          <w:sz w:val="20"/>
        </w:rPr>
        <w:t>et</w:t>
      </w:r>
      <w:r>
        <w:rPr>
          <w:spacing w:val="-4"/>
          <w:sz w:val="20"/>
        </w:rPr>
        <w:t xml:space="preserve"> </w:t>
      </w:r>
      <w:r>
        <w:rPr>
          <w:sz w:val="20"/>
        </w:rPr>
        <w:t>al.</w:t>
      </w:r>
      <w:r>
        <w:rPr>
          <w:spacing w:val="-7"/>
          <w:sz w:val="20"/>
        </w:rPr>
        <w:t xml:space="preserve"> </w:t>
      </w:r>
      <w:r>
        <w:rPr>
          <w:spacing w:val="-2"/>
          <w:sz w:val="20"/>
        </w:rPr>
        <w:t>(2019).</w:t>
      </w:r>
    </w:p>
    <w:p w:rsidR="00C76E6D" w:rsidRDefault="00C76E6D">
      <w:pPr>
        <w:jc w:val="both"/>
        <w:rPr>
          <w:sz w:val="20"/>
        </w:rPr>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5"/>
        <w:rPr>
          <w:sz w:val="18"/>
        </w:rPr>
      </w:pPr>
    </w:p>
    <w:p w:rsidR="00C76E6D" w:rsidRDefault="00913831">
      <w:pPr>
        <w:ind w:left="481" w:right="530" w:hanging="3"/>
        <w:rPr>
          <w:sz w:val="20"/>
        </w:rPr>
      </w:pPr>
      <w:bookmarkStart w:id="343" w:name="_bookmark228"/>
      <w:bookmarkEnd w:id="343"/>
      <w:r>
        <w:rPr>
          <w:sz w:val="20"/>
          <w:vertAlign w:val="superscript"/>
        </w:rPr>
        <w:t>66</w:t>
      </w:r>
      <w:r>
        <w:rPr>
          <w:spacing w:val="-4"/>
          <w:sz w:val="20"/>
        </w:rPr>
        <w:t xml:space="preserve"> </w:t>
      </w:r>
      <w:r>
        <w:rPr>
          <w:sz w:val="20"/>
        </w:rPr>
        <w:t>Willoughby,</w:t>
      </w:r>
      <w:r>
        <w:rPr>
          <w:spacing w:val="-6"/>
          <w:sz w:val="20"/>
        </w:rPr>
        <w:t xml:space="preserve"> </w:t>
      </w:r>
      <w:r>
        <w:rPr>
          <w:sz w:val="20"/>
        </w:rPr>
        <w:t>B.</w:t>
      </w:r>
      <w:r>
        <w:rPr>
          <w:spacing w:val="-6"/>
          <w:sz w:val="20"/>
        </w:rPr>
        <w:t xml:space="preserve"> </w:t>
      </w:r>
      <w:r>
        <w:rPr>
          <w:sz w:val="20"/>
        </w:rPr>
        <w:t>L.</w:t>
      </w:r>
      <w:r>
        <w:rPr>
          <w:spacing w:val="-5"/>
          <w:sz w:val="20"/>
        </w:rPr>
        <w:t xml:space="preserve"> </w:t>
      </w:r>
      <w:r>
        <w:rPr>
          <w:sz w:val="20"/>
        </w:rPr>
        <w:t>B.,</w:t>
      </w:r>
      <w:r>
        <w:rPr>
          <w:spacing w:val="-6"/>
          <w:sz w:val="20"/>
        </w:rPr>
        <w:t xml:space="preserve"> </w:t>
      </w:r>
      <w:r>
        <w:rPr>
          <w:sz w:val="20"/>
        </w:rPr>
        <w:t>Doty,</w:t>
      </w:r>
      <w:r>
        <w:rPr>
          <w:spacing w:val="-6"/>
          <w:sz w:val="20"/>
        </w:rPr>
        <w:t xml:space="preserve"> </w:t>
      </w:r>
      <w:r>
        <w:rPr>
          <w:sz w:val="20"/>
        </w:rPr>
        <w:t>N.</w:t>
      </w:r>
      <w:r>
        <w:rPr>
          <w:spacing w:val="-6"/>
          <w:sz w:val="20"/>
        </w:rPr>
        <w:t xml:space="preserve"> </w:t>
      </w:r>
      <w:r>
        <w:rPr>
          <w:sz w:val="20"/>
        </w:rPr>
        <w:t>D.,</w:t>
      </w:r>
      <w:r>
        <w:rPr>
          <w:spacing w:val="-4"/>
          <w:sz w:val="20"/>
        </w:rPr>
        <w:t xml:space="preserve"> </w:t>
      </w:r>
      <w:r>
        <w:rPr>
          <w:sz w:val="20"/>
        </w:rPr>
        <w:t>&amp;</w:t>
      </w:r>
      <w:r>
        <w:rPr>
          <w:spacing w:val="-5"/>
          <w:sz w:val="20"/>
        </w:rPr>
        <w:t xml:space="preserve"> </w:t>
      </w:r>
      <w:r>
        <w:rPr>
          <w:sz w:val="20"/>
        </w:rPr>
        <w:t>Malik,</w:t>
      </w:r>
      <w:r>
        <w:rPr>
          <w:spacing w:val="-5"/>
          <w:sz w:val="20"/>
        </w:rPr>
        <w:t xml:space="preserve"> </w:t>
      </w:r>
      <w:r>
        <w:rPr>
          <w:sz w:val="20"/>
        </w:rPr>
        <w:t>N.</w:t>
      </w:r>
      <w:r>
        <w:rPr>
          <w:spacing w:val="-7"/>
          <w:sz w:val="20"/>
        </w:rPr>
        <w:t xml:space="preserve"> </w:t>
      </w:r>
      <w:r>
        <w:rPr>
          <w:sz w:val="20"/>
        </w:rPr>
        <w:t>M.</w:t>
      </w:r>
      <w:r>
        <w:rPr>
          <w:spacing w:val="-6"/>
          <w:sz w:val="20"/>
        </w:rPr>
        <w:t xml:space="preserve"> </w:t>
      </w:r>
      <w:r>
        <w:rPr>
          <w:sz w:val="20"/>
        </w:rPr>
        <w:t>(2008).</w:t>
      </w:r>
      <w:r>
        <w:rPr>
          <w:spacing w:val="-5"/>
          <w:sz w:val="20"/>
        </w:rPr>
        <w:t xml:space="preserve"> </w:t>
      </w:r>
      <w:r>
        <w:rPr>
          <w:sz w:val="20"/>
        </w:rPr>
        <w:t>Parental</w:t>
      </w:r>
      <w:r>
        <w:rPr>
          <w:spacing w:val="-6"/>
          <w:sz w:val="20"/>
        </w:rPr>
        <w:t xml:space="preserve"> </w:t>
      </w:r>
      <w:r>
        <w:rPr>
          <w:sz w:val="20"/>
        </w:rPr>
        <w:t>Reactions</w:t>
      </w:r>
      <w:r>
        <w:rPr>
          <w:spacing w:val="-5"/>
          <w:sz w:val="20"/>
        </w:rPr>
        <w:t xml:space="preserve"> </w:t>
      </w:r>
      <w:r>
        <w:rPr>
          <w:sz w:val="20"/>
        </w:rPr>
        <w:t>to</w:t>
      </w:r>
      <w:r>
        <w:rPr>
          <w:spacing w:val="-4"/>
          <w:sz w:val="20"/>
        </w:rPr>
        <w:t xml:space="preserve"> </w:t>
      </w:r>
      <w:r>
        <w:rPr>
          <w:sz w:val="20"/>
        </w:rPr>
        <w:t>Their</w:t>
      </w:r>
      <w:r>
        <w:rPr>
          <w:spacing w:val="-5"/>
          <w:sz w:val="20"/>
        </w:rPr>
        <w:t xml:space="preserve"> </w:t>
      </w:r>
      <w:r>
        <w:rPr>
          <w:sz w:val="20"/>
        </w:rPr>
        <w:t>Child's</w:t>
      </w:r>
      <w:r>
        <w:rPr>
          <w:spacing w:val="-6"/>
          <w:sz w:val="20"/>
        </w:rPr>
        <w:t xml:space="preserve"> </w:t>
      </w:r>
      <w:r>
        <w:rPr>
          <w:sz w:val="20"/>
        </w:rPr>
        <w:t>Sexual</w:t>
      </w:r>
      <w:r>
        <w:rPr>
          <w:spacing w:val="-7"/>
          <w:sz w:val="20"/>
        </w:rPr>
        <w:t xml:space="preserve"> </w:t>
      </w:r>
      <w:r>
        <w:rPr>
          <w:sz w:val="20"/>
        </w:rPr>
        <w:t xml:space="preserve">Orientation Disclosure: A Family Stress Perspective, </w:t>
      </w:r>
      <w:r>
        <w:rPr>
          <w:i/>
          <w:sz w:val="20"/>
        </w:rPr>
        <w:t>Parenting, 8</w:t>
      </w:r>
      <w:r>
        <w:rPr>
          <w:sz w:val="20"/>
        </w:rPr>
        <w:t>(1): 70-91.</w:t>
      </w:r>
    </w:p>
    <w:p w:rsidR="00C76E6D" w:rsidRDefault="00913831">
      <w:pPr>
        <w:spacing w:before="6" w:line="241" w:lineRule="exact"/>
        <w:ind w:left="480"/>
        <w:rPr>
          <w:sz w:val="20"/>
        </w:rPr>
      </w:pPr>
      <w:bookmarkStart w:id="344" w:name="_bookmark229"/>
      <w:bookmarkEnd w:id="344"/>
      <w:r>
        <w:rPr>
          <w:sz w:val="20"/>
          <w:vertAlign w:val="superscript"/>
        </w:rPr>
        <w:t>67</w:t>
      </w:r>
      <w:r>
        <w:rPr>
          <w:spacing w:val="-4"/>
          <w:sz w:val="20"/>
        </w:rPr>
        <w:t xml:space="preserve"> </w:t>
      </w:r>
      <w:bookmarkStart w:id="345" w:name="_bookmark230"/>
      <w:bookmarkEnd w:id="345"/>
      <w:r>
        <w:rPr>
          <w:sz w:val="20"/>
        </w:rPr>
        <w:t>Durso,</w:t>
      </w:r>
      <w:r>
        <w:rPr>
          <w:spacing w:val="-5"/>
          <w:sz w:val="20"/>
        </w:rPr>
        <w:t xml:space="preserve"> </w:t>
      </w:r>
      <w:r>
        <w:rPr>
          <w:sz w:val="20"/>
        </w:rPr>
        <w:t>et</w:t>
      </w:r>
      <w:r>
        <w:rPr>
          <w:spacing w:val="-6"/>
          <w:sz w:val="20"/>
        </w:rPr>
        <w:t xml:space="preserve"> </w:t>
      </w:r>
      <w:r>
        <w:rPr>
          <w:sz w:val="20"/>
        </w:rPr>
        <w:t>al.,</w:t>
      </w:r>
      <w:r>
        <w:rPr>
          <w:spacing w:val="-5"/>
          <w:sz w:val="20"/>
        </w:rPr>
        <w:t xml:space="preserve"> </w:t>
      </w:r>
      <w:r>
        <w:rPr>
          <w:spacing w:val="-2"/>
          <w:sz w:val="20"/>
        </w:rPr>
        <w:t>(2012).</w:t>
      </w:r>
    </w:p>
    <w:p w:rsidR="00C76E6D" w:rsidRDefault="00913831">
      <w:pPr>
        <w:ind w:left="480" w:right="932"/>
        <w:rPr>
          <w:sz w:val="20"/>
        </w:rPr>
      </w:pPr>
      <w:r>
        <w:rPr>
          <w:sz w:val="20"/>
          <w:vertAlign w:val="superscript"/>
        </w:rPr>
        <w:t>68</w:t>
      </w:r>
      <w:r>
        <w:rPr>
          <w:spacing w:val="-4"/>
          <w:sz w:val="20"/>
        </w:rPr>
        <w:t xml:space="preserve"> </w:t>
      </w:r>
      <w:r>
        <w:rPr>
          <w:sz w:val="20"/>
        </w:rPr>
        <w:t>Rosario,</w:t>
      </w:r>
      <w:r>
        <w:rPr>
          <w:spacing w:val="-5"/>
          <w:sz w:val="20"/>
        </w:rPr>
        <w:t xml:space="preserve"> </w:t>
      </w:r>
      <w:r>
        <w:rPr>
          <w:sz w:val="20"/>
        </w:rPr>
        <w:t>M.,</w:t>
      </w:r>
      <w:r>
        <w:rPr>
          <w:spacing w:val="-5"/>
          <w:sz w:val="20"/>
        </w:rPr>
        <w:t xml:space="preserve"> </w:t>
      </w:r>
      <w:r>
        <w:rPr>
          <w:sz w:val="20"/>
        </w:rPr>
        <w:t>Schrimshaw,</w:t>
      </w:r>
      <w:r>
        <w:rPr>
          <w:spacing w:val="-5"/>
          <w:sz w:val="20"/>
        </w:rPr>
        <w:t xml:space="preserve"> </w:t>
      </w:r>
      <w:r>
        <w:rPr>
          <w:sz w:val="20"/>
        </w:rPr>
        <w:t>E.</w:t>
      </w:r>
      <w:r>
        <w:rPr>
          <w:spacing w:val="-7"/>
          <w:sz w:val="20"/>
        </w:rPr>
        <w:t xml:space="preserve"> </w:t>
      </w:r>
      <w:r>
        <w:rPr>
          <w:sz w:val="20"/>
        </w:rPr>
        <w:t>W.,</w:t>
      </w:r>
      <w:r>
        <w:rPr>
          <w:spacing w:val="-5"/>
          <w:sz w:val="20"/>
        </w:rPr>
        <w:t xml:space="preserve"> </w:t>
      </w:r>
      <w:r>
        <w:rPr>
          <w:sz w:val="20"/>
        </w:rPr>
        <w:t>&amp;</w:t>
      </w:r>
      <w:r>
        <w:rPr>
          <w:spacing w:val="-4"/>
          <w:sz w:val="20"/>
        </w:rPr>
        <w:t xml:space="preserve"> </w:t>
      </w:r>
      <w:r>
        <w:rPr>
          <w:sz w:val="20"/>
        </w:rPr>
        <w:t>Hunter,</w:t>
      </w:r>
      <w:r>
        <w:rPr>
          <w:spacing w:val="-5"/>
          <w:sz w:val="20"/>
        </w:rPr>
        <w:t xml:space="preserve"> </w:t>
      </w:r>
      <w:r>
        <w:rPr>
          <w:sz w:val="20"/>
        </w:rPr>
        <w:t>J.</w:t>
      </w:r>
      <w:r>
        <w:rPr>
          <w:spacing w:val="-5"/>
          <w:sz w:val="20"/>
        </w:rPr>
        <w:t xml:space="preserve"> </w:t>
      </w:r>
      <w:r>
        <w:rPr>
          <w:sz w:val="20"/>
        </w:rPr>
        <w:t>(2012).</w:t>
      </w:r>
      <w:r>
        <w:rPr>
          <w:spacing w:val="-6"/>
          <w:sz w:val="20"/>
        </w:rPr>
        <w:t xml:space="preserve"> </w:t>
      </w:r>
      <w:r>
        <w:rPr>
          <w:sz w:val="20"/>
        </w:rPr>
        <w:t>Risk</w:t>
      </w:r>
      <w:r>
        <w:rPr>
          <w:spacing w:val="-7"/>
          <w:sz w:val="20"/>
        </w:rPr>
        <w:t xml:space="preserve"> </w:t>
      </w:r>
      <w:r>
        <w:rPr>
          <w:sz w:val="20"/>
        </w:rPr>
        <w:t>Factors</w:t>
      </w:r>
      <w:r>
        <w:rPr>
          <w:spacing w:val="-7"/>
          <w:sz w:val="20"/>
        </w:rPr>
        <w:t xml:space="preserve"> </w:t>
      </w:r>
      <w:r>
        <w:rPr>
          <w:sz w:val="20"/>
        </w:rPr>
        <w:t>for</w:t>
      </w:r>
      <w:r>
        <w:rPr>
          <w:spacing w:val="-5"/>
          <w:sz w:val="20"/>
        </w:rPr>
        <w:t xml:space="preserve"> </w:t>
      </w:r>
      <w:r>
        <w:rPr>
          <w:sz w:val="20"/>
        </w:rPr>
        <w:t>Homelessness</w:t>
      </w:r>
      <w:r>
        <w:rPr>
          <w:spacing w:val="-6"/>
          <w:sz w:val="20"/>
        </w:rPr>
        <w:t xml:space="preserve"> </w:t>
      </w:r>
      <w:r>
        <w:rPr>
          <w:sz w:val="20"/>
        </w:rPr>
        <w:t>Among</w:t>
      </w:r>
      <w:r>
        <w:rPr>
          <w:spacing w:val="-4"/>
          <w:sz w:val="20"/>
        </w:rPr>
        <w:t xml:space="preserve"> </w:t>
      </w:r>
      <w:r>
        <w:rPr>
          <w:sz w:val="20"/>
        </w:rPr>
        <w:t>Lesbian,</w:t>
      </w:r>
      <w:r>
        <w:rPr>
          <w:spacing w:val="-8"/>
          <w:sz w:val="20"/>
        </w:rPr>
        <w:t xml:space="preserve"> </w:t>
      </w:r>
      <w:r>
        <w:rPr>
          <w:sz w:val="20"/>
        </w:rPr>
        <w:t>Gay,</w:t>
      </w:r>
      <w:r>
        <w:rPr>
          <w:spacing w:val="-5"/>
          <w:sz w:val="20"/>
        </w:rPr>
        <w:t xml:space="preserve"> </w:t>
      </w:r>
      <w:r>
        <w:rPr>
          <w:sz w:val="20"/>
        </w:rPr>
        <w:t xml:space="preserve">and Bisexual Youths: A Developmental Milestone Approach. </w:t>
      </w:r>
      <w:r>
        <w:rPr>
          <w:i/>
          <w:sz w:val="20"/>
        </w:rPr>
        <w:t>Children and Youth Services Review</w:t>
      </w:r>
      <w:r>
        <w:rPr>
          <w:sz w:val="20"/>
        </w:rPr>
        <w:t xml:space="preserve">, </w:t>
      </w:r>
      <w:r>
        <w:rPr>
          <w:i/>
          <w:sz w:val="20"/>
        </w:rPr>
        <w:t>34</w:t>
      </w:r>
      <w:r>
        <w:rPr>
          <w:sz w:val="20"/>
        </w:rPr>
        <w:t xml:space="preserve">(1), 186–193. </w:t>
      </w:r>
      <w:bookmarkStart w:id="346" w:name="_bookmark231"/>
      <w:bookmarkEnd w:id="346"/>
      <w:r>
        <w:rPr>
          <w:sz w:val="20"/>
          <w:vertAlign w:val="superscript"/>
        </w:rPr>
        <w:t>69</w:t>
      </w:r>
      <w:r>
        <w:rPr>
          <w:sz w:val="20"/>
        </w:rPr>
        <w:t xml:space="preserve"> Rosario, M., Schrimshaw, E. W., &amp; Hunter, J. (2012).</w:t>
      </w:r>
    </w:p>
    <w:p w:rsidR="00C76E6D" w:rsidRDefault="00913831">
      <w:pPr>
        <w:ind w:left="478" w:right="651" w:hanging="1"/>
        <w:rPr>
          <w:sz w:val="20"/>
        </w:rPr>
      </w:pPr>
      <w:bookmarkStart w:id="347" w:name="_bookmark232"/>
      <w:bookmarkEnd w:id="347"/>
      <w:r>
        <w:rPr>
          <w:sz w:val="20"/>
          <w:vertAlign w:val="superscript"/>
        </w:rPr>
        <w:t>70</w:t>
      </w:r>
      <w:r>
        <w:rPr>
          <w:sz w:val="20"/>
        </w:rPr>
        <w:t xml:space="preserve"> Wilson, B. D. M., Cooper, K., Kastanis, A., &amp; Nezhad S. (2014). Sexual and Gender minori</w:t>
      </w:r>
      <w:r>
        <w:rPr>
          <w:sz w:val="20"/>
        </w:rPr>
        <w:t>ties in Foster Care: Assessing Disproportionality and Disparities in Los Angeles. Los Angeles: The Williams Institute at UCLA Law with True</w:t>
      </w:r>
      <w:r>
        <w:rPr>
          <w:spacing w:val="-12"/>
          <w:sz w:val="20"/>
        </w:rPr>
        <w:t xml:space="preserve"> </w:t>
      </w:r>
      <w:r>
        <w:rPr>
          <w:sz w:val="20"/>
        </w:rPr>
        <w:t>Colors</w:t>
      </w:r>
      <w:r>
        <w:rPr>
          <w:spacing w:val="-11"/>
          <w:sz w:val="20"/>
        </w:rPr>
        <w:t xml:space="preserve"> </w:t>
      </w:r>
      <w:r>
        <w:rPr>
          <w:sz w:val="20"/>
        </w:rPr>
        <w:t>Fund.</w:t>
      </w:r>
      <w:r>
        <w:rPr>
          <w:spacing w:val="-11"/>
          <w:sz w:val="20"/>
        </w:rPr>
        <w:t xml:space="preserve"> </w:t>
      </w:r>
      <w:r>
        <w:rPr>
          <w:sz w:val="20"/>
        </w:rPr>
        <w:t>Retrieved</w:t>
      </w:r>
      <w:r>
        <w:rPr>
          <w:spacing w:val="-12"/>
          <w:sz w:val="20"/>
        </w:rPr>
        <w:t xml:space="preserve"> </w:t>
      </w:r>
      <w:r>
        <w:rPr>
          <w:sz w:val="20"/>
        </w:rPr>
        <w:t>from</w:t>
      </w:r>
      <w:r>
        <w:rPr>
          <w:spacing w:val="-11"/>
          <w:sz w:val="20"/>
        </w:rPr>
        <w:t xml:space="preserve"> </w:t>
      </w:r>
      <w:hyperlink r:id="rId238">
        <w:r>
          <w:rPr>
            <w:sz w:val="20"/>
          </w:rPr>
          <w:t>https://williamsinstitute.law.ucla.edu/wp-content/uploads/LAFYS_report_final-</w:t>
        </w:r>
      </w:hyperlink>
      <w:r>
        <w:rPr>
          <w:sz w:val="20"/>
        </w:rPr>
        <w:t xml:space="preserve"> </w:t>
      </w:r>
      <w:hyperlink r:id="rId239">
        <w:r>
          <w:rPr>
            <w:spacing w:val="-2"/>
            <w:sz w:val="20"/>
          </w:rPr>
          <w:t>aug-2014.pdf</w:t>
        </w:r>
      </w:hyperlink>
    </w:p>
    <w:p w:rsidR="00C76E6D" w:rsidRDefault="00913831">
      <w:pPr>
        <w:ind w:left="481" w:right="2133" w:hanging="3"/>
        <w:rPr>
          <w:sz w:val="20"/>
        </w:rPr>
      </w:pPr>
      <w:bookmarkStart w:id="348" w:name="_bookmark233"/>
      <w:bookmarkEnd w:id="348"/>
      <w:r>
        <w:rPr>
          <w:sz w:val="20"/>
          <w:vertAlign w:val="superscript"/>
        </w:rPr>
        <w:t>71</w:t>
      </w:r>
      <w:r>
        <w:rPr>
          <w:spacing w:val="-4"/>
          <w:sz w:val="20"/>
        </w:rPr>
        <w:t xml:space="preserve"> </w:t>
      </w:r>
      <w:r>
        <w:rPr>
          <w:sz w:val="20"/>
        </w:rPr>
        <w:t>Baams,</w:t>
      </w:r>
      <w:r>
        <w:rPr>
          <w:spacing w:val="-4"/>
          <w:sz w:val="20"/>
        </w:rPr>
        <w:t xml:space="preserve"> </w:t>
      </w:r>
      <w:r>
        <w:rPr>
          <w:sz w:val="20"/>
        </w:rPr>
        <w:t>L.,</w:t>
      </w:r>
      <w:r>
        <w:rPr>
          <w:spacing w:val="-6"/>
          <w:sz w:val="20"/>
        </w:rPr>
        <w:t xml:space="preserve"> </w:t>
      </w:r>
      <w:r>
        <w:rPr>
          <w:sz w:val="20"/>
        </w:rPr>
        <w:t>Wilson,</w:t>
      </w:r>
      <w:r>
        <w:rPr>
          <w:spacing w:val="-4"/>
          <w:sz w:val="20"/>
        </w:rPr>
        <w:t xml:space="preserve"> </w:t>
      </w:r>
      <w:r>
        <w:rPr>
          <w:sz w:val="20"/>
        </w:rPr>
        <w:t>B.</w:t>
      </w:r>
      <w:r>
        <w:rPr>
          <w:spacing w:val="-6"/>
          <w:sz w:val="20"/>
        </w:rPr>
        <w:t xml:space="preserve"> </w:t>
      </w:r>
      <w:r>
        <w:rPr>
          <w:sz w:val="20"/>
        </w:rPr>
        <w:t>D.,</w:t>
      </w:r>
      <w:r>
        <w:rPr>
          <w:spacing w:val="-4"/>
          <w:sz w:val="20"/>
        </w:rPr>
        <w:t xml:space="preserve"> </w:t>
      </w:r>
      <w:r>
        <w:rPr>
          <w:sz w:val="20"/>
        </w:rPr>
        <w:t>&amp;</w:t>
      </w:r>
      <w:r>
        <w:rPr>
          <w:spacing w:val="-7"/>
          <w:sz w:val="20"/>
        </w:rPr>
        <w:t xml:space="preserve"> </w:t>
      </w:r>
      <w:r>
        <w:rPr>
          <w:sz w:val="20"/>
        </w:rPr>
        <w:t>Russell,</w:t>
      </w:r>
      <w:r>
        <w:rPr>
          <w:spacing w:val="-4"/>
          <w:sz w:val="20"/>
        </w:rPr>
        <w:t xml:space="preserve"> </w:t>
      </w:r>
      <w:r>
        <w:rPr>
          <w:sz w:val="20"/>
        </w:rPr>
        <w:t>S.</w:t>
      </w:r>
      <w:r>
        <w:rPr>
          <w:spacing w:val="-5"/>
          <w:sz w:val="20"/>
        </w:rPr>
        <w:t xml:space="preserve"> </w:t>
      </w:r>
      <w:r>
        <w:rPr>
          <w:sz w:val="20"/>
        </w:rPr>
        <w:t>T.</w:t>
      </w:r>
      <w:r>
        <w:rPr>
          <w:spacing w:val="-6"/>
          <w:sz w:val="20"/>
        </w:rPr>
        <w:t xml:space="preserve"> </w:t>
      </w:r>
      <w:r>
        <w:rPr>
          <w:sz w:val="20"/>
        </w:rPr>
        <w:t>(2019).</w:t>
      </w:r>
      <w:r>
        <w:rPr>
          <w:spacing w:val="-5"/>
          <w:sz w:val="20"/>
        </w:rPr>
        <w:t xml:space="preserve"> </w:t>
      </w:r>
      <w:r>
        <w:rPr>
          <w:sz w:val="20"/>
        </w:rPr>
        <w:t>LGBTQ</w:t>
      </w:r>
      <w:r>
        <w:rPr>
          <w:spacing w:val="-6"/>
          <w:sz w:val="20"/>
        </w:rPr>
        <w:t xml:space="preserve"> </w:t>
      </w:r>
      <w:r>
        <w:rPr>
          <w:sz w:val="20"/>
        </w:rPr>
        <w:t>youth</w:t>
      </w:r>
      <w:r>
        <w:rPr>
          <w:spacing w:val="-4"/>
          <w:sz w:val="20"/>
        </w:rPr>
        <w:t xml:space="preserve"> </w:t>
      </w:r>
      <w:r>
        <w:rPr>
          <w:sz w:val="20"/>
        </w:rPr>
        <w:t>in</w:t>
      </w:r>
      <w:r>
        <w:rPr>
          <w:spacing w:val="-5"/>
          <w:sz w:val="20"/>
        </w:rPr>
        <w:t xml:space="preserve"> </w:t>
      </w:r>
      <w:r>
        <w:rPr>
          <w:sz w:val="20"/>
        </w:rPr>
        <w:t>unstable</w:t>
      </w:r>
      <w:r>
        <w:rPr>
          <w:spacing w:val="-6"/>
          <w:sz w:val="20"/>
        </w:rPr>
        <w:t xml:space="preserve"> </w:t>
      </w:r>
      <w:r>
        <w:rPr>
          <w:sz w:val="20"/>
        </w:rPr>
        <w:t>housing</w:t>
      </w:r>
      <w:r>
        <w:rPr>
          <w:spacing w:val="-4"/>
          <w:sz w:val="20"/>
        </w:rPr>
        <w:t xml:space="preserve"> </w:t>
      </w:r>
      <w:r>
        <w:rPr>
          <w:sz w:val="20"/>
        </w:rPr>
        <w:t>and</w:t>
      </w:r>
      <w:r>
        <w:rPr>
          <w:spacing w:val="-5"/>
          <w:sz w:val="20"/>
        </w:rPr>
        <w:t xml:space="preserve"> </w:t>
      </w:r>
      <w:r>
        <w:rPr>
          <w:sz w:val="20"/>
        </w:rPr>
        <w:t xml:space="preserve">foster care. </w:t>
      </w:r>
      <w:r>
        <w:rPr>
          <w:i/>
          <w:sz w:val="20"/>
        </w:rPr>
        <w:t>Pediatrics</w:t>
      </w:r>
      <w:r>
        <w:rPr>
          <w:sz w:val="20"/>
        </w:rPr>
        <w:t xml:space="preserve">, </w:t>
      </w:r>
      <w:r>
        <w:rPr>
          <w:i/>
          <w:sz w:val="20"/>
        </w:rPr>
        <w:t>143</w:t>
      </w:r>
      <w:r>
        <w:rPr>
          <w:sz w:val="20"/>
        </w:rPr>
        <w:t>(3), e20174211.</w:t>
      </w:r>
    </w:p>
    <w:p w:rsidR="00C76E6D" w:rsidRDefault="00913831">
      <w:pPr>
        <w:tabs>
          <w:tab w:val="left" w:pos="1966"/>
        </w:tabs>
        <w:ind w:left="480"/>
        <w:rPr>
          <w:sz w:val="20"/>
        </w:rPr>
      </w:pPr>
      <w:bookmarkStart w:id="349" w:name="_bookmark234"/>
      <w:bookmarkEnd w:id="349"/>
      <w:r>
        <w:rPr>
          <w:sz w:val="20"/>
          <w:vertAlign w:val="superscript"/>
        </w:rPr>
        <w:t>72</w:t>
      </w:r>
      <w:r>
        <w:rPr>
          <w:spacing w:val="-4"/>
          <w:sz w:val="20"/>
        </w:rPr>
        <w:t xml:space="preserve"> </w:t>
      </w:r>
      <w:r>
        <w:rPr>
          <w:sz w:val="20"/>
        </w:rPr>
        <w:t>Baams,</w:t>
      </w:r>
      <w:r>
        <w:rPr>
          <w:spacing w:val="-3"/>
          <w:sz w:val="20"/>
        </w:rPr>
        <w:t xml:space="preserve"> </w:t>
      </w:r>
      <w:r>
        <w:rPr>
          <w:sz w:val="20"/>
        </w:rPr>
        <w:t>et</w:t>
      </w:r>
      <w:r>
        <w:rPr>
          <w:spacing w:val="-6"/>
          <w:sz w:val="20"/>
        </w:rPr>
        <w:t xml:space="preserve"> </w:t>
      </w:r>
      <w:r>
        <w:rPr>
          <w:spacing w:val="-5"/>
          <w:sz w:val="20"/>
        </w:rPr>
        <w:t>al.</w:t>
      </w:r>
      <w:r>
        <w:rPr>
          <w:sz w:val="20"/>
        </w:rPr>
        <w:tab/>
      </w:r>
      <w:r>
        <w:rPr>
          <w:spacing w:val="-2"/>
          <w:sz w:val="20"/>
        </w:rPr>
        <w:t>(2019).</w:t>
      </w:r>
    </w:p>
    <w:p w:rsidR="00C76E6D" w:rsidRDefault="00913831">
      <w:pPr>
        <w:ind w:left="480" w:right="541" w:hanging="2"/>
        <w:rPr>
          <w:sz w:val="20"/>
        </w:rPr>
      </w:pPr>
      <w:bookmarkStart w:id="350" w:name="_bookmark235"/>
      <w:bookmarkEnd w:id="350"/>
      <w:r>
        <w:rPr>
          <w:sz w:val="20"/>
          <w:vertAlign w:val="superscript"/>
        </w:rPr>
        <w:t>73</w:t>
      </w:r>
      <w:r>
        <w:rPr>
          <w:spacing w:val="-4"/>
          <w:sz w:val="20"/>
        </w:rPr>
        <w:t xml:space="preserve"> </w:t>
      </w:r>
      <w:r>
        <w:rPr>
          <w:sz w:val="20"/>
        </w:rPr>
        <w:t>Dion,</w:t>
      </w:r>
      <w:r>
        <w:rPr>
          <w:spacing w:val="-5"/>
          <w:sz w:val="20"/>
        </w:rPr>
        <w:t xml:space="preserve"> </w:t>
      </w:r>
      <w:r>
        <w:rPr>
          <w:sz w:val="20"/>
        </w:rPr>
        <w:t>R.,</w:t>
      </w:r>
      <w:r>
        <w:rPr>
          <w:spacing w:val="-5"/>
          <w:sz w:val="20"/>
        </w:rPr>
        <w:t xml:space="preserve"> </w:t>
      </w:r>
      <w:r>
        <w:rPr>
          <w:sz w:val="20"/>
        </w:rPr>
        <w:t>Dworsky,</w:t>
      </w:r>
      <w:r>
        <w:rPr>
          <w:spacing w:val="-5"/>
          <w:sz w:val="20"/>
        </w:rPr>
        <w:t xml:space="preserve"> </w:t>
      </w:r>
      <w:r>
        <w:rPr>
          <w:sz w:val="20"/>
        </w:rPr>
        <w:t>A.,</w:t>
      </w:r>
      <w:r>
        <w:rPr>
          <w:spacing w:val="-5"/>
          <w:sz w:val="20"/>
        </w:rPr>
        <w:t xml:space="preserve"> </w:t>
      </w:r>
      <w:r>
        <w:rPr>
          <w:sz w:val="20"/>
        </w:rPr>
        <w:t>Kauff,</w:t>
      </w:r>
      <w:r>
        <w:rPr>
          <w:spacing w:val="-5"/>
          <w:sz w:val="20"/>
        </w:rPr>
        <w:t xml:space="preserve"> </w:t>
      </w:r>
      <w:r>
        <w:rPr>
          <w:sz w:val="20"/>
        </w:rPr>
        <w:t>J.,</w:t>
      </w:r>
      <w:r>
        <w:rPr>
          <w:spacing w:val="-4"/>
          <w:sz w:val="20"/>
        </w:rPr>
        <w:t xml:space="preserve"> </w:t>
      </w:r>
      <w:r>
        <w:rPr>
          <w:sz w:val="20"/>
        </w:rPr>
        <w:t>&amp;</w:t>
      </w:r>
      <w:r>
        <w:rPr>
          <w:spacing w:val="-5"/>
          <w:sz w:val="20"/>
        </w:rPr>
        <w:t xml:space="preserve"> </w:t>
      </w:r>
      <w:r>
        <w:rPr>
          <w:sz w:val="20"/>
        </w:rPr>
        <w:t>Kleinman,</w:t>
      </w:r>
      <w:r>
        <w:rPr>
          <w:spacing w:val="-5"/>
          <w:sz w:val="20"/>
        </w:rPr>
        <w:t xml:space="preserve"> </w:t>
      </w:r>
      <w:r>
        <w:rPr>
          <w:sz w:val="20"/>
        </w:rPr>
        <w:t>R.</w:t>
      </w:r>
      <w:r>
        <w:rPr>
          <w:spacing w:val="-6"/>
          <w:sz w:val="20"/>
        </w:rPr>
        <w:t xml:space="preserve"> </w:t>
      </w:r>
      <w:r>
        <w:rPr>
          <w:sz w:val="20"/>
        </w:rPr>
        <w:t>(2014).</w:t>
      </w:r>
      <w:r>
        <w:rPr>
          <w:spacing w:val="-4"/>
          <w:sz w:val="20"/>
        </w:rPr>
        <w:t xml:space="preserve"> </w:t>
      </w:r>
      <w:r>
        <w:rPr>
          <w:sz w:val="20"/>
        </w:rPr>
        <w:t>Housing</w:t>
      </w:r>
      <w:r>
        <w:rPr>
          <w:spacing w:val="-4"/>
          <w:sz w:val="20"/>
        </w:rPr>
        <w:t xml:space="preserve"> </w:t>
      </w:r>
      <w:r>
        <w:rPr>
          <w:sz w:val="20"/>
        </w:rPr>
        <w:t>for</w:t>
      </w:r>
      <w:r>
        <w:rPr>
          <w:spacing w:val="-7"/>
          <w:sz w:val="20"/>
        </w:rPr>
        <w:t xml:space="preserve"> </w:t>
      </w:r>
      <w:r>
        <w:rPr>
          <w:sz w:val="20"/>
        </w:rPr>
        <w:t>youth</w:t>
      </w:r>
      <w:r>
        <w:rPr>
          <w:spacing w:val="-5"/>
          <w:sz w:val="20"/>
        </w:rPr>
        <w:t xml:space="preserve"> </w:t>
      </w:r>
      <w:r>
        <w:rPr>
          <w:sz w:val="20"/>
        </w:rPr>
        <w:t>aging</w:t>
      </w:r>
      <w:r>
        <w:rPr>
          <w:spacing w:val="-5"/>
          <w:sz w:val="20"/>
        </w:rPr>
        <w:t xml:space="preserve"> </w:t>
      </w:r>
      <w:r>
        <w:rPr>
          <w:sz w:val="20"/>
        </w:rPr>
        <w:t>out</w:t>
      </w:r>
      <w:r>
        <w:rPr>
          <w:spacing w:val="-4"/>
          <w:sz w:val="20"/>
        </w:rPr>
        <w:t xml:space="preserve"> </w:t>
      </w:r>
      <w:r>
        <w:rPr>
          <w:sz w:val="20"/>
        </w:rPr>
        <w:t>of</w:t>
      </w:r>
      <w:r>
        <w:rPr>
          <w:spacing w:val="-6"/>
          <w:sz w:val="20"/>
        </w:rPr>
        <w:t xml:space="preserve"> </w:t>
      </w:r>
      <w:r>
        <w:rPr>
          <w:sz w:val="20"/>
        </w:rPr>
        <w:t>foster</w:t>
      </w:r>
      <w:r>
        <w:rPr>
          <w:spacing w:val="-5"/>
          <w:sz w:val="20"/>
        </w:rPr>
        <w:t xml:space="preserve"> </w:t>
      </w:r>
      <w:r>
        <w:rPr>
          <w:sz w:val="20"/>
        </w:rPr>
        <w:t>care.</w:t>
      </w:r>
      <w:r>
        <w:rPr>
          <w:spacing w:val="-7"/>
          <w:sz w:val="20"/>
        </w:rPr>
        <w:t xml:space="preserve"> </w:t>
      </w:r>
      <w:r>
        <w:rPr>
          <w:i/>
          <w:sz w:val="20"/>
        </w:rPr>
        <w:t>Available</w:t>
      </w:r>
      <w:r>
        <w:rPr>
          <w:i/>
          <w:spacing w:val="-4"/>
          <w:sz w:val="20"/>
        </w:rPr>
        <w:t xml:space="preserve"> </w:t>
      </w:r>
      <w:r>
        <w:rPr>
          <w:i/>
          <w:sz w:val="20"/>
        </w:rPr>
        <w:t>at SSRN 2446532</w:t>
      </w:r>
      <w:r>
        <w:rPr>
          <w:sz w:val="20"/>
        </w:rPr>
        <w:t>.</w:t>
      </w:r>
    </w:p>
    <w:p w:rsidR="00C76E6D" w:rsidRDefault="00913831">
      <w:pPr>
        <w:ind w:left="480" w:right="1789" w:hanging="2"/>
        <w:jc w:val="both"/>
        <w:rPr>
          <w:sz w:val="20"/>
        </w:rPr>
      </w:pPr>
      <w:bookmarkStart w:id="351" w:name="_bookmark236"/>
      <w:bookmarkEnd w:id="351"/>
      <w:r>
        <w:rPr>
          <w:sz w:val="20"/>
          <w:vertAlign w:val="superscript"/>
        </w:rPr>
        <w:t>74</w:t>
      </w:r>
      <w:r>
        <w:rPr>
          <w:spacing w:val="-3"/>
          <w:sz w:val="20"/>
        </w:rPr>
        <w:t xml:space="preserve"> </w:t>
      </w:r>
      <w:r>
        <w:rPr>
          <w:sz w:val="20"/>
        </w:rPr>
        <w:t>LGBTQ</w:t>
      </w:r>
      <w:r>
        <w:rPr>
          <w:spacing w:val="-2"/>
          <w:sz w:val="20"/>
        </w:rPr>
        <w:t xml:space="preserve"> </w:t>
      </w:r>
      <w:r>
        <w:rPr>
          <w:sz w:val="20"/>
        </w:rPr>
        <w:t>Homeless</w:t>
      </w:r>
      <w:r>
        <w:rPr>
          <w:spacing w:val="-2"/>
          <w:sz w:val="20"/>
        </w:rPr>
        <w:t xml:space="preserve"> </w:t>
      </w:r>
      <w:r>
        <w:rPr>
          <w:sz w:val="20"/>
        </w:rPr>
        <w:t>Youth</w:t>
      </w:r>
      <w:r>
        <w:rPr>
          <w:spacing w:val="-3"/>
          <w:sz w:val="20"/>
        </w:rPr>
        <w:t xml:space="preserve"> </w:t>
      </w:r>
      <w:r>
        <w:rPr>
          <w:sz w:val="20"/>
        </w:rPr>
        <w:t>Fact</w:t>
      </w:r>
      <w:r>
        <w:rPr>
          <w:spacing w:val="-3"/>
          <w:sz w:val="20"/>
        </w:rPr>
        <w:t xml:space="preserve"> </w:t>
      </w:r>
      <w:r>
        <w:rPr>
          <w:sz w:val="20"/>
        </w:rPr>
        <w:t>Sheet.</w:t>
      </w:r>
      <w:r>
        <w:rPr>
          <w:spacing w:val="-4"/>
          <w:sz w:val="20"/>
        </w:rPr>
        <w:t xml:space="preserve"> </w:t>
      </w:r>
      <w:r>
        <w:rPr>
          <w:i/>
          <w:sz w:val="20"/>
        </w:rPr>
        <w:t>National</w:t>
      </w:r>
      <w:r>
        <w:rPr>
          <w:i/>
          <w:spacing w:val="-3"/>
          <w:sz w:val="20"/>
        </w:rPr>
        <w:t xml:space="preserve"> </w:t>
      </w:r>
      <w:r>
        <w:rPr>
          <w:i/>
          <w:sz w:val="20"/>
        </w:rPr>
        <w:t>Alliance</w:t>
      </w:r>
      <w:r>
        <w:rPr>
          <w:i/>
          <w:spacing w:val="-3"/>
          <w:sz w:val="20"/>
        </w:rPr>
        <w:t xml:space="preserve"> </w:t>
      </w:r>
      <w:r>
        <w:rPr>
          <w:i/>
          <w:sz w:val="20"/>
        </w:rPr>
        <w:t>to</w:t>
      </w:r>
      <w:r>
        <w:rPr>
          <w:i/>
          <w:spacing w:val="-4"/>
          <w:sz w:val="20"/>
        </w:rPr>
        <w:t xml:space="preserve"> </w:t>
      </w:r>
      <w:r>
        <w:rPr>
          <w:i/>
          <w:sz w:val="20"/>
        </w:rPr>
        <w:t>End</w:t>
      </w:r>
      <w:r>
        <w:rPr>
          <w:i/>
          <w:spacing w:val="-3"/>
          <w:sz w:val="20"/>
        </w:rPr>
        <w:t xml:space="preserve"> </w:t>
      </w:r>
      <w:r>
        <w:rPr>
          <w:i/>
          <w:sz w:val="20"/>
        </w:rPr>
        <w:t>Youth</w:t>
      </w:r>
      <w:r>
        <w:rPr>
          <w:i/>
          <w:spacing w:val="-3"/>
          <w:sz w:val="20"/>
        </w:rPr>
        <w:t xml:space="preserve"> </w:t>
      </w:r>
      <w:r>
        <w:rPr>
          <w:i/>
          <w:sz w:val="20"/>
        </w:rPr>
        <w:t>Homelessness</w:t>
      </w:r>
      <w:r>
        <w:rPr>
          <w:sz w:val="20"/>
        </w:rPr>
        <w:t>.</w:t>
      </w:r>
      <w:r>
        <w:rPr>
          <w:spacing w:val="-3"/>
          <w:sz w:val="20"/>
        </w:rPr>
        <w:t xml:space="preserve"> </w:t>
      </w:r>
      <w:r>
        <w:rPr>
          <w:sz w:val="20"/>
        </w:rPr>
        <w:t>Retrieved</w:t>
      </w:r>
      <w:r>
        <w:rPr>
          <w:spacing w:val="-3"/>
          <w:sz w:val="20"/>
        </w:rPr>
        <w:t xml:space="preserve"> </w:t>
      </w:r>
      <w:r>
        <w:rPr>
          <w:sz w:val="20"/>
        </w:rPr>
        <w:t xml:space="preserve">from </w:t>
      </w:r>
      <w:hyperlink r:id="rId240">
        <w:r>
          <w:rPr>
            <w:spacing w:val="-2"/>
            <w:sz w:val="20"/>
          </w:rPr>
          <w:t>http://www.safeschoolscoalition.org/LGBTQhomelessFactSheetbyNAEH.pdf</w:t>
        </w:r>
      </w:hyperlink>
    </w:p>
    <w:p w:rsidR="00C76E6D" w:rsidRDefault="00913831">
      <w:pPr>
        <w:ind w:left="480" w:right="568" w:hanging="2"/>
        <w:jc w:val="both"/>
        <w:rPr>
          <w:sz w:val="20"/>
        </w:rPr>
      </w:pPr>
      <w:bookmarkStart w:id="352" w:name="_bookmark237"/>
      <w:bookmarkEnd w:id="352"/>
      <w:r>
        <w:rPr>
          <w:sz w:val="20"/>
          <w:vertAlign w:val="superscript"/>
        </w:rPr>
        <w:t>75</w:t>
      </w:r>
      <w:r>
        <w:rPr>
          <w:sz w:val="20"/>
        </w:rPr>
        <w:t xml:space="preserve"> Whitbeck, L.</w:t>
      </w:r>
      <w:r>
        <w:rPr>
          <w:spacing w:val="-1"/>
          <w:sz w:val="20"/>
        </w:rPr>
        <w:t xml:space="preserve"> </w:t>
      </w:r>
      <w:r>
        <w:rPr>
          <w:sz w:val="20"/>
        </w:rPr>
        <w:t>B., Chen, X., Hoyt, D. R., Tyler, K., &amp; Johnson, K. D.</w:t>
      </w:r>
      <w:r>
        <w:rPr>
          <w:spacing w:val="-1"/>
          <w:sz w:val="20"/>
        </w:rPr>
        <w:t xml:space="preserve"> </w:t>
      </w:r>
      <w:r>
        <w:rPr>
          <w:sz w:val="20"/>
        </w:rPr>
        <w:t>(2004).</w:t>
      </w:r>
      <w:r>
        <w:rPr>
          <w:spacing w:val="-1"/>
          <w:sz w:val="20"/>
        </w:rPr>
        <w:t xml:space="preserve"> </w:t>
      </w:r>
      <w:r>
        <w:rPr>
          <w:sz w:val="20"/>
        </w:rPr>
        <w:t>Mental</w:t>
      </w:r>
      <w:r>
        <w:rPr>
          <w:spacing w:val="-1"/>
          <w:sz w:val="20"/>
        </w:rPr>
        <w:t xml:space="preserve"> </w:t>
      </w:r>
      <w:r>
        <w:rPr>
          <w:sz w:val="20"/>
        </w:rPr>
        <w:t>Disorder, Subsistence</w:t>
      </w:r>
      <w:r>
        <w:rPr>
          <w:spacing w:val="-1"/>
          <w:sz w:val="20"/>
        </w:rPr>
        <w:t xml:space="preserve"> </w:t>
      </w:r>
      <w:r>
        <w:rPr>
          <w:sz w:val="20"/>
        </w:rPr>
        <w:t>Strategies, and</w:t>
      </w:r>
      <w:r>
        <w:rPr>
          <w:spacing w:val="-3"/>
          <w:sz w:val="20"/>
        </w:rPr>
        <w:t xml:space="preserve"> </w:t>
      </w:r>
      <w:r>
        <w:rPr>
          <w:sz w:val="20"/>
        </w:rPr>
        <w:t>Victimization</w:t>
      </w:r>
      <w:r>
        <w:rPr>
          <w:spacing w:val="-2"/>
          <w:sz w:val="20"/>
        </w:rPr>
        <w:t xml:space="preserve"> </w:t>
      </w:r>
      <w:r>
        <w:rPr>
          <w:sz w:val="20"/>
        </w:rPr>
        <w:t>Among</w:t>
      </w:r>
      <w:r>
        <w:rPr>
          <w:spacing w:val="-2"/>
          <w:sz w:val="20"/>
        </w:rPr>
        <w:t xml:space="preserve"> </w:t>
      </w:r>
      <w:r>
        <w:rPr>
          <w:sz w:val="20"/>
        </w:rPr>
        <w:t>Gay,</w:t>
      </w:r>
      <w:r>
        <w:rPr>
          <w:spacing w:val="-2"/>
          <w:sz w:val="20"/>
        </w:rPr>
        <w:t xml:space="preserve"> </w:t>
      </w:r>
      <w:r>
        <w:rPr>
          <w:sz w:val="20"/>
        </w:rPr>
        <w:t>Lesbian,</w:t>
      </w:r>
      <w:r>
        <w:rPr>
          <w:spacing w:val="-3"/>
          <w:sz w:val="20"/>
        </w:rPr>
        <w:t xml:space="preserve"> </w:t>
      </w:r>
      <w:r>
        <w:rPr>
          <w:sz w:val="20"/>
        </w:rPr>
        <w:t>and</w:t>
      </w:r>
      <w:r>
        <w:rPr>
          <w:spacing w:val="-4"/>
          <w:sz w:val="20"/>
        </w:rPr>
        <w:t xml:space="preserve"> </w:t>
      </w:r>
      <w:r>
        <w:rPr>
          <w:sz w:val="20"/>
        </w:rPr>
        <w:t>Bisexual</w:t>
      </w:r>
      <w:r>
        <w:rPr>
          <w:spacing w:val="-2"/>
          <w:sz w:val="20"/>
        </w:rPr>
        <w:t xml:space="preserve"> </w:t>
      </w:r>
      <w:r>
        <w:rPr>
          <w:sz w:val="20"/>
        </w:rPr>
        <w:t>Homeless</w:t>
      </w:r>
      <w:r>
        <w:rPr>
          <w:spacing w:val="-2"/>
          <w:sz w:val="20"/>
        </w:rPr>
        <w:t xml:space="preserve"> </w:t>
      </w:r>
      <w:r>
        <w:rPr>
          <w:sz w:val="20"/>
        </w:rPr>
        <w:t>and</w:t>
      </w:r>
      <w:r>
        <w:rPr>
          <w:spacing w:val="-2"/>
          <w:sz w:val="20"/>
        </w:rPr>
        <w:t xml:space="preserve"> </w:t>
      </w:r>
      <w:r>
        <w:rPr>
          <w:sz w:val="20"/>
        </w:rPr>
        <w:t>Runaway</w:t>
      </w:r>
      <w:r>
        <w:rPr>
          <w:spacing w:val="-2"/>
          <w:sz w:val="20"/>
        </w:rPr>
        <w:t xml:space="preserve"> </w:t>
      </w:r>
      <w:r>
        <w:rPr>
          <w:sz w:val="20"/>
        </w:rPr>
        <w:t>Adolescents.</w:t>
      </w:r>
      <w:r>
        <w:rPr>
          <w:spacing w:val="-2"/>
          <w:sz w:val="20"/>
        </w:rPr>
        <w:t xml:space="preserve"> </w:t>
      </w:r>
      <w:r>
        <w:rPr>
          <w:i/>
          <w:sz w:val="20"/>
        </w:rPr>
        <w:t>Journal</w:t>
      </w:r>
      <w:r>
        <w:rPr>
          <w:i/>
          <w:spacing w:val="-4"/>
          <w:sz w:val="20"/>
        </w:rPr>
        <w:t xml:space="preserve"> </w:t>
      </w:r>
      <w:r>
        <w:rPr>
          <w:i/>
          <w:sz w:val="20"/>
        </w:rPr>
        <w:t>of</w:t>
      </w:r>
      <w:r>
        <w:rPr>
          <w:i/>
          <w:spacing w:val="-3"/>
          <w:sz w:val="20"/>
        </w:rPr>
        <w:t xml:space="preserve"> </w:t>
      </w:r>
      <w:r>
        <w:rPr>
          <w:i/>
          <w:sz w:val="20"/>
        </w:rPr>
        <w:t>Sex</w:t>
      </w:r>
      <w:r>
        <w:rPr>
          <w:i/>
          <w:spacing w:val="-2"/>
          <w:sz w:val="20"/>
        </w:rPr>
        <w:t xml:space="preserve"> </w:t>
      </w:r>
      <w:r>
        <w:rPr>
          <w:i/>
          <w:sz w:val="20"/>
        </w:rPr>
        <w:t>Research, 41</w:t>
      </w:r>
      <w:r>
        <w:rPr>
          <w:sz w:val="20"/>
        </w:rPr>
        <w:t>(4): 329-342.</w:t>
      </w:r>
    </w:p>
    <w:p w:rsidR="00C76E6D" w:rsidRDefault="00913831">
      <w:pPr>
        <w:spacing w:before="3" w:line="244" w:lineRule="exact"/>
        <w:ind w:left="480"/>
        <w:jc w:val="both"/>
        <w:rPr>
          <w:sz w:val="20"/>
        </w:rPr>
      </w:pPr>
      <w:bookmarkStart w:id="353" w:name="_bookmark238"/>
      <w:bookmarkEnd w:id="353"/>
      <w:r>
        <w:rPr>
          <w:sz w:val="20"/>
          <w:vertAlign w:val="superscript"/>
        </w:rPr>
        <w:t>76</w:t>
      </w:r>
      <w:r>
        <w:rPr>
          <w:spacing w:val="-4"/>
          <w:sz w:val="20"/>
        </w:rPr>
        <w:t xml:space="preserve"> </w:t>
      </w:r>
      <w:r>
        <w:rPr>
          <w:sz w:val="20"/>
        </w:rPr>
        <w:t>Choi,</w:t>
      </w:r>
      <w:r>
        <w:rPr>
          <w:spacing w:val="-5"/>
          <w:sz w:val="20"/>
        </w:rPr>
        <w:t xml:space="preserve"> </w:t>
      </w:r>
      <w:r>
        <w:rPr>
          <w:sz w:val="20"/>
        </w:rPr>
        <w:t>et</w:t>
      </w:r>
      <w:r>
        <w:rPr>
          <w:spacing w:val="-2"/>
          <w:sz w:val="20"/>
        </w:rPr>
        <w:t xml:space="preserve"> </w:t>
      </w:r>
      <w:r>
        <w:rPr>
          <w:sz w:val="20"/>
        </w:rPr>
        <w:t>al.</w:t>
      </w:r>
      <w:r>
        <w:rPr>
          <w:spacing w:val="-7"/>
          <w:sz w:val="20"/>
        </w:rPr>
        <w:t xml:space="preserve"> </w:t>
      </w:r>
      <w:r>
        <w:rPr>
          <w:spacing w:val="-2"/>
          <w:sz w:val="20"/>
        </w:rPr>
        <w:t>(2015).</w:t>
      </w:r>
    </w:p>
    <w:p w:rsidR="00C76E6D" w:rsidRDefault="00913831">
      <w:pPr>
        <w:spacing w:line="244" w:lineRule="exact"/>
        <w:ind w:left="480"/>
        <w:jc w:val="both"/>
        <w:rPr>
          <w:sz w:val="20"/>
        </w:rPr>
      </w:pPr>
      <w:bookmarkStart w:id="354" w:name="_bookmark239"/>
      <w:bookmarkEnd w:id="354"/>
      <w:r>
        <w:rPr>
          <w:sz w:val="20"/>
          <w:vertAlign w:val="superscript"/>
        </w:rPr>
        <w:t>77</w:t>
      </w:r>
      <w:r>
        <w:rPr>
          <w:spacing w:val="-4"/>
          <w:sz w:val="20"/>
        </w:rPr>
        <w:t xml:space="preserve"> </w:t>
      </w:r>
      <w:bookmarkStart w:id="355" w:name="_bookmark240"/>
      <w:bookmarkEnd w:id="355"/>
      <w:r>
        <w:rPr>
          <w:sz w:val="20"/>
        </w:rPr>
        <w:t>Choi,</w:t>
      </w:r>
      <w:r>
        <w:rPr>
          <w:spacing w:val="-5"/>
          <w:sz w:val="20"/>
        </w:rPr>
        <w:t xml:space="preserve"> </w:t>
      </w:r>
      <w:r>
        <w:rPr>
          <w:sz w:val="20"/>
        </w:rPr>
        <w:t>et</w:t>
      </w:r>
      <w:r>
        <w:rPr>
          <w:spacing w:val="-4"/>
          <w:sz w:val="20"/>
        </w:rPr>
        <w:t xml:space="preserve"> </w:t>
      </w:r>
      <w:r>
        <w:rPr>
          <w:spacing w:val="-5"/>
          <w:sz w:val="20"/>
        </w:rPr>
        <w:t>al.</w:t>
      </w:r>
    </w:p>
    <w:p w:rsidR="00C76E6D" w:rsidRDefault="00913831">
      <w:pPr>
        <w:spacing w:line="244" w:lineRule="exact"/>
        <w:ind w:left="480"/>
        <w:rPr>
          <w:sz w:val="20"/>
        </w:rPr>
      </w:pPr>
      <w:r>
        <w:rPr>
          <w:sz w:val="20"/>
          <w:vertAlign w:val="superscript"/>
        </w:rPr>
        <w:t>78</w:t>
      </w:r>
      <w:r>
        <w:rPr>
          <w:spacing w:val="-7"/>
          <w:sz w:val="20"/>
        </w:rPr>
        <w:t xml:space="preserve"> </w:t>
      </w:r>
      <w:bookmarkStart w:id="356" w:name="_bookmark241"/>
      <w:bookmarkEnd w:id="356"/>
      <w:r>
        <w:rPr>
          <w:sz w:val="20"/>
        </w:rPr>
        <w:t>LGBTQ</w:t>
      </w:r>
      <w:r>
        <w:rPr>
          <w:spacing w:val="-7"/>
          <w:sz w:val="20"/>
        </w:rPr>
        <w:t xml:space="preserve"> </w:t>
      </w:r>
      <w:r>
        <w:rPr>
          <w:sz w:val="20"/>
        </w:rPr>
        <w:t>Homeless</w:t>
      </w:r>
      <w:r>
        <w:rPr>
          <w:spacing w:val="-7"/>
          <w:sz w:val="20"/>
        </w:rPr>
        <w:t xml:space="preserve"> </w:t>
      </w:r>
      <w:r>
        <w:rPr>
          <w:sz w:val="20"/>
        </w:rPr>
        <w:t>Youth</w:t>
      </w:r>
      <w:r>
        <w:rPr>
          <w:spacing w:val="-8"/>
          <w:sz w:val="20"/>
        </w:rPr>
        <w:t xml:space="preserve"> </w:t>
      </w:r>
      <w:r>
        <w:rPr>
          <w:sz w:val="20"/>
        </w:rPr>
        <w:t>Fact</w:t>
      </w:r>
      <w:r>
        <w:rPr>
          <w:spacing w:val="-8"/>
          <w:sz w:val="20"/>
        </w:rPr>
        <w:t xml:space="preserve"> </w:t>
      </w:r>
      <w:r>
        <w:rPr>
          <w:spacing w:val="-4"/>
          <w:sz w:val="20"/>
        </w:rPr>
        <w:t>Sheet</w:t>
      </w:r>
    </w:p>
    <w:p w:rsidR="00C76E6D" w:rsidRDefault="00913831">
      <w:pPr>
        <w:spacing w:before="1" w:line="241" w:lineRule="exact"/>
        <w:ind w:left="480"/>
        <w:rPr>
          <w:sz w:val="20"/>
        </w:rPr>
      </w:pPr>
      <w:r>
        <w:rPr>
          <w:sz w:val="20"/>
          <w:vertAlign w:val="superscript"/>
        </w:rPr>
        <w:t>79</w:t>
      </w:r>
      <w:r>
        <w:rPr>
          <w:spacing w:val="-5"/>
          <w:sz w:val="20"/>
        </w:rPr>
        <w:t xml:space="preserve"> </w:t>
      </w:r>
      <w:bookmarkStart w:id="357" w:name="_bookmark242"/>
      <w:bookmarkEnd w:id="357"/>
      <w:r>
        <w:rPr>
          <w:sz w:val="20"/>
        </w:rPr>
        <w:t>Forge,</w:t>
      </w:r>
      <w:r>
        <w:rPr>
          <w:spacing w:val="-5"/>
          <w:sz w:val="20"/>
        </w:rPr>
        <w:t xml:space="preserve"> </w:t>
      </w:r>
      <w:r>
        <w:rPr>
          <w:sz w:val="20"/>
        </w:rPr>
        <w:t>et</w:t>
      </w:r>
      <w:r>
        <w:rPr>
          <w:spacing w:val="-6"/>
          <w:sz w:val="20"/>
        </w:rPr>
        <w:t xml:space="preserve"> </w:t>
      </w:r>
      <w:r>
        <w:rPr>
          <w:sz w:val="20"/>
        </w:rPr>
        <w:t>al.,</w:t>
      </w:r>
      <w:r>
        <w:rPr>
          <w:spacing w:val="-6"/>
          <w:sz w:val="20"/>
        </w:rPr>
        <w:t xml:space="preserve"> </w:t>
      </w:r>
      <w:r>
        <w:rPr>
          <w:spacing w:val="-2"/>
          <w:sz w:val="20"/>
        </w:rPr>
        <w:t>(2018).</w:t>
      </w:r>
    </w:p>
    <w:p w:rsidR="00C76E6D" w:rsidRDefault="00913831">
      <w:pPr>
        <w:ind w:left="478" w:right="530" w:hanging="1"/>
        <w:rPr>
          <w:sz w:val="20"/>
        </w:rPr>
      </w:pPr>
      <w:r>
        <w:rPr>
          <w:sz w:val="20"/>
          <w:vertAlign w:val="superscript"/>
        </w:rPr>
        <w:t>80</w:t>
      </w:r>
      <w:r>
        <w:rPr>
          <w:sz w:val="20"/>
        </w:rPr>
        <w:t xml:space="preserve"> Williams, A. Jess, Christopher Jones, Jon Arcelus, Ellen Townsend, Aikaterini Lazaridou, and Maria Michail. "A systematic</w:t>
      </w:r>
      <w:r>
        <w:rPr>
          <w:spacing w:val="-6"/>
          <w:sz w:val="20"/>
        </w:rPr>
        <w:t xml:space="preserve"> </w:t>
      </w:r>
      <w:r>
        <w:rPr>
          <w:sz w:val="20"/>
        </w:rPr>
        <w:t>review</w:t>
      </w:r>
      <w:r>
        <w:rPr>
          <w:spacing w:val="-7"/>
          <w:sz w:val="20"/>
        </w:rPr>
        <w:t xml:space="preserve"> </w:t>
      </w:r>
      <w:r>
        <w:rPr>
          <w:sz w:val="20"/>
        </w:rPr>
        <w:t>and</w:t>
      </w:r>
      <w:r>
        <w:rPr>
          <w:spacing w:val="-6"/>
          <w:sz w:val="20"/>
        </w:rPr>
        <w:t xml:space="preserve"> </w:t>
      </w:r>
      <w:r>
        <w:rPr>
          <w:sz w:val="20"/>
        </w:rPr>
        <w:t>meta-analysis</w:t>
      </w:r>
      <w:r>
        <w:rPr>
          <w:spacing w:val="-7"/>
          <w:sz w:val="20"/>
        </w:rPr>
        <w:t xml:space="preserve"> </w:t>
      </w:r>
      <w:r>
        <w:rPr>
          <w:sz w:val="20"/>
        </w:rPr>
        <w:t>of</w:t>
      </w:r>
      <w:r>
        <w:rPr>
          <w:spacing w:val="-7"/>
          <w:sz w:val="20"/>
        </w:rPr>
        <w:t xml:space="preserve"> </w:t>
      </w:r>
      <w:r>
        <w:rPr>
          <w:sz w:val="20"/>
        </w:rPr>
        <w:t>victimisation</w:t>
      </w:r>
      <w:r>
        <w:rPr>
          <w:spacing w:val="-6"/>
          <w:sz w:val="20"/>
        </w:rPr>
        <w:t xml:space="preserve"> </w:t>
      </w:r>
      <w:r>
        <w:rPr>
          <w:sz w:val="20"/>
        </w:rPr>
        <w:t>and</w:t>
      </w:r>
      <w:r>
        <w:rPr>
          <w:spacing w:val="-8"/>
          <w:sz w:val="20"/>
        </w:rPr>
        <w:t xml:space="preserve"> </w:t>
      </w:r>
      <w:r>
        <w:rPr>
          <w:sz w:val="20"/>
        </w:rPr>
        <w:t>mental</w:t>
      </w:r>
      <w:r>
        <w:rPr>
          <w:spacing w:val="-7"/>
          <w:sz w:val="20"/>
        </w:rPr>
        <w:t xml:space="preserve"> </w:t>
      </w:r>
      <w:r>
        <w:rPr>
          <w:sz w:val="20"/>
        </w:rPr>
        <w:t>health</w:t>
      </w:r>
      <w:r>
        <w:rPr>
          <w:spacing w:val="-8"/>
          <w:sz w:val="20"/>
        </w:rPr>
        <w:t xml:space="preserve"> </w:t>
      </w:r>
      <w:r>
        <w:rPr>
          <w:sz w:val="20"/>
        </w:rPr>
        <w:t>prevalence</w:t>
      </w:r>
      <w:r>
        <w:rPr>
          <w:spacing w:val="-7"/>
          <w:sz w:val="20"/>
        </w:rPr>
        <w:t xml:space="preserve"> </w:t>
      </w:r>
      <w:r>
        <w:rPr>
          <w:sz w:val="20"/>
        </w:rPr>
        <w:t>among</w:t>
      </w:r>
      <w:r>
        <w:rPr>
          <w:spacing w:val="-6"/>
          <w:sz w:val="20"/>
        </w:rPr>
        <w:t xml:space="preserve"> </w:t>
      </w:r>
      <w:r>
        <w:rPr>
          <w:sz w:val="20"/>
        </w:rPr>
        <w:t>LGBTQ+</w:t>
      </w:r>
      <w:r>
        <w:rPr>
          <w:spacing w:val="-7"/>
          <w:sz w:val="20"/>
        </w:rPr>
        <w:t xml:space="preserve"> </w:t>
      </w:r>
      <w:r>
        <w:rPr>
          <w:sz w:val="20"/>
        </w:rPr>
        <w:t>young</w:t>
      </w:r>
      <w:r>
        <w:rPr>
          <w:spacing w:val="-5"/>
          <w:sz w:val="20"/>
        </w:rPr>
        <w:t xml:space="preserve"> </w:t>
      </w:r>
      <w:r>
        <w:rPr>
          <w:sz w:val="20"/>
        </w:rPr>
        <w:t>people with experiences of self-harm and su</w:t>
      </w:r>
      <w:r>
        <w:rPr>
          <w:sz w:val="20"/>
        </w:rPr>
        <w:t xml:space="preserve">icide." </w:t>
      </w:r>
      <w:r>
        <w:rPr>
          <w:i/>
          <w:sz w:val="20"/>
        </w:rPr>
        <w:t xml:space="preserve">PloS one </w:t>
      </w:r>
      <w:r>
        <w:rPr>
          <w:sz w:val="20"/>
        </w:rPr>
        <w:t>16, no. 1 (2021): e0245268.</w:t>
      </w:r>
    </w:p>
    <w:p w:rsidR="00C76E6D" w:rsidRDefault="00913831">
      <w:pPr>
        <w:spacing w:before="2"/>
        <w:ind w:left="480"/>
        <w:rPr>
          <w:sz w:val="20"/>
        </w:rPr>
      </w:pPr>
      <w:bookmarkStart w:id="358" w:name="_bookmark243"/>
      <w:bookmarkStart w:id="359" w:name="_bookmark244"/>
      <w:bookmarkEnd w:id="358"/>
      <w:bookmarkEnd w:id="359"/>
      <w:r>
        <w:rPr>
          <w:sz w:val="20"/>
          <w:vertAlign w:val="superscript"/>
        </w:rPr>
        <w:t>81</w:t>
      </w:r>
      <w:r>
        <w:rPr>
          <w:spacing w:val="-7"/>
          <w:sz w:val="20"/>
        </w:rPr>
        <w:t xml:space="preserve"> </w:t>
      </w:r>
      <w:r>
        <w:rPr>
          <w:sz w:val="20"/>
        </w:rPr>
        <w:t>Williams,</w:t>
      </w:r>
      <w:r>
        <w:rPr>
          <w:spacing w:val="-6"/>
          <w:sz w:val="20"/>
        </w:rPr>
        <w:t xml:space="preserve"> </w:t>
      </w:r>
      <w:r>
        <w:rPr>
          <w:sz w:val="20"/>
        </w:rPr>
        <w:t>et</w:t>
      </w:r>
      <w:r>
        <w:rPr>
          <w:spacing w:val="-7"/>
          <w:sz w:val="20"/>
        </w:rPr>
        <w:t xml:space="preserve"> </w:t>
      </w:r>
      <w:r>
        <w:rPr>
          <w:sz w:val="20"/>
        </w:rPr>
        <w:t>al.,</w:t>
      </w:r>
      <w:r>
        <w:rPr>
          <w:spacing w:val="-6"/>
          <w:sz w:val="20"/>
        </w:rPr>
        <w:t xml:space="preserve"> </w:t>
      </w:r>
      <w:r>
        <w:rPr>
          <w:spacing w:val="-2"/>
          <w:sz w:val="20"/>
        </w:rPr>
        <w:t>(2021).</w:t>
      </w:r>
    </w:p>
    <w:p w:rsidR="00C76E6D" w:rsidRDefault="00913831">
      <w:pPr>
        <w:spacing w:line="241" w:lineRule="exact"/>
        <w:ind w:left="480"/>
        <w:rPr>
          <w:sz w:val="20"/>
        </w:rPr>
      </w:pPr>
      <w:r>
        <w:rPr>
          <w:sz w:val="20"/>
          <w:vertAlign w:val="superscript"/>
        </w:rPr>
        <w:t>82</w:t>
      </w:r>
      <w:r>
        <w:rPr>
          <w:spacing w:val="-4"/>
          <w:sz w:val="20"/>
        </w:rPr>
        <w:t xml:space="preserve"> </w:t>
      </w:r>
      <w:bookmarkStart w:id="360" w:name="_bookmark245"/>
      <w:bookmarkEnd w:id="360"/>
      <w:r>
        <w:rPr>
          <w:sz w:val="20"/>
        </w:rPr>
        <w:t>Choi,</w:t>
      </w:r>
      <w:r>
        <w:rPr>
          <w:spacing w:val="-5"/>
          <w:sz w:val="20"/>
        </w:rPr>
        <w:t xml:space="preserve"> </w:t>
      </w:r>
      <w:r>
        <w:rPr>
          <w:sz w:val="20"/>
        </w:rPr>
        <w:t>et</w:t>
      </w:r>
      <w:r>
        <w:rPr>
          <w:spacing w:val="-2"/>
          <w:sz w:val="20"/>
        </w:rPr>
        <w:t xml:space="preserve"> </w:t>
      </w:r>
      <w:r>
        <w:rPr>
          <w:sz w:val="20"/>
        </w:rPr>
        <w:t>al.</w:t>
      </w:r>
      <w:r>
        <w:rPr>
          <w:spacing w:val="-7"/>
          <w:sz w:val="20"/>
        </w:rPr>
        <w:t xml:space="preserve"> </w:t>
      </w:r>
      <w:r>
        <w:rPr>
          <w:spacing w:val="-2"/>
          <w:sz w:val="20"/>
        </w:rPr>
        <w:t>(2015).</w:t>
      </w:r>
    </w:p>
    <w:p w:rsidR="00C76E6D" w:rsidRDefault="00913831">
      <w:pPr>
        <w:ind w:left="480" w:right="530" w:hanging="2"/>
        <w:rPr>
          <w:sz w:val="20"/>
        </w:rPr>
      </w:pPr>
      <w:r>
        <w:rPr>
          <w:sz w:val="20"/>
          <w:vertAlign w:val="superscript"/>
        </w:rPr>
        <w:t>83</w:t>
      </w:r>
      <w:r>
        <w:rPr>
          <w:spacing w:val="-6"/>
          <w:sz w:val="20"/>
        </w:rPr>
        <w:t xml:space="preserve"> </w:t>
      </w:r>
      <w:r>
        <w:rPr>
          <w:sz w:val="20"/>
        </w:rPr>
        <w:t>Morton,</w:t>
      </w:r>
      <w:r>
        <w:rPr>
          <w:spacing w:val="-7"/>
          <w:sz w:val="20"/>
        </w:rPr>
        <w:t xml:space="preserve"> </w:t>
      </w:r>
      <w:r>
        <w:rPr>
          <w:sz w:val="20"/>
        </w:rPr>
        <w:t>Matthew</w:t>
      </w:r>
      <w:r>
        <w:rPr>
          <w:spacing w:val="-7"/>
          <w:sz w:val="20"/>
        </w:rPr>
        <w:t xml:space="preserve"> </w:t>
      </w:r>
      <w:r>
        <w:rPr>
          <w:sz w:val="20"/>
        </w:rPr>
        <w:t>H.,</w:t>
      </w:r>
      <w:r>
        <w:rPr>
          <w:spacing w:val="-7"/>
          <w:sz w:val="20"/>
        </w:rPr>
        <w:t xml:space="preserve"> </w:t>
      </w:r>
      <w:r>
        <w:rPr>
          <w:sz w:val="20"/>
        </w:rPr>
        <w:t>Amy</w:t>
      </w:r>
      <w:r>
        <w:rPr>
          <w:spacing w:val="-6"/>
          <w:sz w:val="20"/>
        </w:rPr>
        <w:t xml:space="preserve"> </w:t>
      </w:r>
      <w:r>
        <w:rPr>
          <w:sz w:val="20"/>
        </w:rPr>
        <w:t>Dworsky,</w:t>
      </w:r>
      <w:r>
        <w:rPr>
          <w:spacing w:val="-6"/>
          <w:sz w:val="20"/>
        </w:rPr>
        <w:t xml:space="preserve"> </w:t>
      </w:r>
      <w:r>
        <w:rPr>
          <w:sz w:val="20"/>
        </w:rPr>
        <w:t>and</w:t>
      </w:r>
      <w:r>
        <w:rPr>
          <w:spacing w:val="-8"/>
          <w:sz w:val="20"/>
        </w:rPr>
        <w:t xml:space="preserve"> </w:t>
      </w:r>
      <w:r>
        <w:rPr>
          <w:sz w:val="20"/>
        </w:rPr>
        <w:t>Gina</w:t>
      </w:r>
      <w:r>
        <w:rPr>
          <w:spacing w:val="-7"/>
          <w:sz w:val="20"/>
        </w:rPr>
        <w:t xml:space="preserve"> </w:t>
      </w:r>
      <w:r>
        <w:rPr>
          <w:sz w:val="20"/>
        </w:rPr>
        <w:t>Miranda</w:t>
      </w:r>
      <w:r>
        <w:rPr>
          <w:spacing w:val="-8"/>
          <w:sz w:val="20"/>
        </w:rPr>
        <w:t xml:space="preserve"> </w:t>
      </w:r>
      <w:r>
        <w:rPr>
          <w:sz w:val="20"/>
        </w:rPr>
        <w:t>Samuels.</w:t>
      </w:r>
      <w:r>
        <w:rPr>
          <w:spacing w:val="-7"/>
          <w:sz w:val="20"/>
        </w:rPr>
        <w:t xml:space="preserve"> </w:t>
      </w:r>
      <w:r>
        <w:rPr>
          <w:sz w:val="20"/>
        </w:rPr>
        <w:t>"Missed</w:t>
      </w:r>
      <w:r>
        <w:rPr>
          <w:spacing w:val="-6"/>
          <w:sz w:val="20"/>
        </w:rPr>
        <w:t xml:space="preserve"> </w:t>
      </w:r>
      <w:r>
        <w:rPr>
          <w:sz w:val="20"/>
        </w:rPr>
        <w:t>Opportunities:</w:t>
      </w:r>
      <w:r>
        <w:rPr>
          <w:spacing w:val="-6"/>
          <w:sz w:val="20"/>
        </w:rPr>
        <w:t xml:space="preserve"> </w:t>
      </w:r>
      <w:r>
        <w:rPr>
          <w:sz w:val="20"/>
        </w:rPr>
        <w:t>Youth</w:t>
      </w:r>
      <w:r>
        <w:rPr>
          <w:spacing w:val="-7"/>
          <w:sz w:val="20"/>
        </w:rPr>
        <w:t xml:space="preserve"> </w:t>
      </w:r>
      <w:r>
        <w:rPr>
          <w:sz w:val="20"/>
        </w:rPr>
        <w:t>Homelessness</w:t>
      </w:r>
      <w:r>
        <w:rPr>
          <w:spacing w:val="-7"/>
          <w:sz w:val="20"/>
        </w:rPr>
        <w:t xml:space="preserve"> </w:t>
      </w:r>
      <w:r>
        <w:rPr>
          <w:sz w:val="20"/>
        </w:rPr>
        <w:t xml:space="preserve">in America. National Estimates." </w:t>
      </w:r>
      <w:r>
        <w:rPr>
          <w:i/>
          <w:sz w:val="20"/>
        </w:rPr>
        <w:t xml:space="preserve">Chapin Hall at the University of Chicago </w:t>
      </w:r>
      <w:r>
        <w:rPr>
          <w:sz w:val="20"/>
        </w:rPr>
        <w:t>(2017).</w:t>
      </w:r>
    </w:p>
    <w:p w:rsidR="00C76E6D" w:rsidRDefault="00913831">
      <w:pPr>
        <w:spacing w:before="4" w:line="241" w:lineRule="exact"/>
        <w:ind w:left="480"/>
        <w:rPr>
          <w:sz w:val="20"/>
        </w:rPr>
      </w:pPr>
      <w:bookmarkStart w:id="361" w:name="_bookmark246"/>
      <w:bookmarkEnd w:id="361"/>
      <w:r>
        <w:rPr>
          <w:sz w:val="20"/>
          <w:vertAlign w:val="superscript"/>
        </w:rPr>
        <w:t>84</w:t>
      </w:r>
      <w:r>
        <w:rPr>
          <w:spacing w:val="-6"/>
          <w:sz w:val="20"/>
        </w:rPr>
        <w:t xml:space="preserve"> </w:t>
      </w:r>
      <w:bookmarkStart w:id="362" w:name="_bookmark247"/>
      <w:bookmarkEnd w:id="362"/>
      <w:r>
        <w:rPr>
          <w:sz w:val="20"/>
        </w:rPr>
        <w:t>Morton,</w:t>
      </w:r>
      <w:r>
        <w:rPr>
          <w:spacing w:val="-4"/>
          <w:sz w:val="20"/>
        </w:rPr>
        <w:t xml:space="preserve"> </w:t>
      </w:r>
      <w:r>
        <w:rPr>
          <w:sz w:val="20"/>
        </w:rPr>
        <w:t>et</w:t>
      </w:r>
      <w:r>
        <w:rPr>
          <w:spacing w:val="-4"/>
          <w:sz w:val="20"/>
        </w:rPr>
        <w:t xml:space="preserve"> </w:t>
      </w:r>
      <w:r>
        <w:rPr>
          <w:sz w:val="20"/>
        </w:rPr>
        <w:t>al.</w:t>
      </w:r>
      <w:r>
        <w:rPr>
          <w:spacing w:val="-6"/>
          <w:sz w:val="20"/>
        </w:rPr>
        <w:t xml:space="preserve"> </w:t>
      </w:r>
      <w:r>
        <w:rPr>
          <w:spacing w:val="-2"/>
          <w:sz w:val="20"/>
        </w:rPr>
        <w:t>(2017).</w:t>
      </w:r>
    </w:p>
    <w:p w:rsidR="00C76E6D" w:rsidRDefault="00913831">
      <w:pPr>
        <w:ind w:left="480" w:right="1600" w:hanging="2"/>
        <w:rPr>
          <w:sz w:val="20"/>
        </w:rPr>
      </w:pPr>
      <w:r>
        <w:rPr>
          <w:sz w:val="20"/>
          <w:vertAlign w:val="superscript"/>
        </w:rPr>
        <w:t>85</w:t>
      </w:r>
      <w:r>
        <w:rPr>
          <w:spacing w:val="-6"/>
          <w:sz w:val="20"/>
        </w:rPr>
        <w:t xml:space="preserve"> </w:t>
      </w:r>
      <w:r>
        <w:rPr>
          <w:sz w:val="20"/>
        </w:rPr>
        <w:t>Romero,</w:t>
      </w:r>
      <w:r>
        <w:rPr>
          <w:spacing w:val="-7"/>
          <w:sz w:val="20"/>
        </w:rPr>
        <w:t xml:space="preserve"> </w:t>
      </w:r>
      <w:r>
        <w:rPr>
          <w:sz w:val="20"/>
        </w:rPr>
        <w:t>A.,</w:t>
      </w:r>
      <w:r>
        <w:rPr>
          <w:spacing w:val="-6"/>
          <w:sz w:val="20"/>
        </w:rPr>
        <w:t xml:space="preserve"> </w:t>
      </w:r>
      <w:r>
        <w:rPr>
          <w:sz w:val="20"/>
        </w:rPr>
        <w:t>Goldberg,</w:t>
      </w:r>
      <w:r>
        <w:rPr>
          <w:spacing w:val="-6"/>
          <w:sz w:val="20"/>
        </w:rPr>
        <w:t xml:space="preserve"> </w:t>
      </w:r>
      <w:r>
        <w:rPr>
          <w:sz w:val="20"/>
        </w:rPr>
        <w:t>S.,</w:t>
      </w:r>
      <w:r>
        <w:rPr>
          <w:spacing w:val="-6"/>
          <w:sz w:val="20"/>
        </w:rPr>
        <w:t xml:space="preserve"> </w:t>
      </w:r>
      <w:r>
        <w:rPr>
          <w:sz w:val="20"/>
        </w:rPr>
        <w:t>and</w:t>
      </w:r>
      <w:r>
        <w:rPr>
          <w:spacing w:val="-6"/>
          <w:sz w:val="20"/>
        </w:rPr>
        <w:t xml:space="preserve"> </w:t>
      </w:r>
      <w:r>
        <w:rPr>
          <w:sz w:val="20"/>
        </w:rPr>
        <w:t>Vasquez,</w:t>
      </w:r>
      <w:r>
        <w:rPr>
          <w:spacing w:val="-6"/>
          <w:sz w:val="20"/>
        </w:rPr>
        <w:t xml:space="preserve"> </w:t>
      </w:r>
      <w:r>
        <w:rPr>
          <w:sz w:val="20"/>
        </w:rPr>
        <w:t>L.</w:t>
      </w:r>
      <w:r>
        <w:rPr>
          <w:spacing w:val="-9"/>
          <w:sz w:val="20"/>
        </w:rPr>
        <w:t xml:space="preserve"> </w:t>
      </w:r>
      <w:r>
        <w:rPr>
          <w:sz w:val="20"/>
        </w:rPr>
        <w:t>(2020).</w:t>
      </w:r>
      <w:r>
        <w:rPr>
          <w:spacing w:val="-7"/>
          <w:sz w:val="20"/>
        </w:rPr>
        <w:t xml:space="preserve"> </w:t>
      </w:r>
      <w:r>
        <w:rPr>
          <w:sz w:val="20"/>
        </w:rPr>
        <w:t>"LGBT</w:t>
      </w:r>
      <w:r>
        <w:rPr>
          <w:spacing w:val="-10"/>
          <w:sz w:val="20"/>
        </w:rPr>
        <w:t xml:space="preserve"> </w:t>
      </w:r>
      <w:r>
        <w:rPr>
          <w:sz w:val="20"/>
        </w:rPr>
        <w:t>people</w:t>
      </w:r>
      <w:r>
        <w:rPr>
          <w:spacing w:val="-7"/>
          <w:sz w:val="20"/>
        </w:rPr>
        <w:t xml:space="preserve"> </w:t>
      </w:r>
      <w:r>
        <w:rPr>
          <w:sz w:val="20"/>
        </w:rPr>
        <w:t>and</w:t>
      </w:r>
      <w:r>
        <w:rPr>
          <w:spacing w:val="-8"/>
          <w:sz w:val="20"/>
        </w:rPr>
        <w:t xml:space="preserve"> </w:t>
      </w:r>
      <w:r>
        <w:rPr>
          <w:sz w:val="20"/>
        </w:rPr>
        <w:t>housing</w:t>
      </w:r>
      <w:r>
        <w:rPr>
          <w:spacing w:val="-6"/>
          <w:sz w:val="20"/>
        </w:rPr>
        <w:t xml:space="preserve"> </w:t>
      </w:r>
      <w:r>
        <w:rPr>
          <w:sz w:val="20"/>
        </w:rPr>
        <w:t>affordability, discrimination, and homelessness."</w:t>
      </w:r>
    </w:p>
    <w:p w:rsidR="00C76E6D" w:rsidRDefault="00913831">
      <w:pPr>
        <w:ind w:left="480"/>
        <w:rPr>
          <w:sz w:val="20"/>
        </w:rPr>
      </w:pPr>
      <w:bookmarkStart w:id="363" w:name="_bookmark248"/>
      <w:bookmarkEnd w:id="363"/>
      <w:r>
        <w:rPr>
          <w:sz w:val="20"/>
          <w:vertAlign w:val="superscript"/>
        </w:rPr>
        <w:t>86</w:t>
      </w:r>
      <w:r>
        <w:rPr>
          <w:spacing w:val="-6"/>
          <w:sz w:val="20"/>
        </w:rPr>
        <w:t xml:space="preserve"> </w:t>
      </w:r>
      <w:r>
        <w:rPr>
          <w:sz w:val="20"/>
        </w:rPr>
        <w:t>Morton,</w:t>
      </w:r>
      <w:r>
        <w:rPr>
          <w:spacing w:val="-4"/>
          <w:sz w:val="20"/>
        </w:rPr>
        <w:t xml:space="preserve"> </w:t>
      </w:r>
      <w:r>
        <w:rPr>
          <w:sz w:val="20"/>
        </w:rPr>
        <w:t>et</w:t>
      </w:r>
      <w:r>
        <w:rPr>
          <w:spacing w:val="-4"/>
          <w:sz w:val="20"/>
        </w:rPr>
        <w:t xml:space="preserve"> </w:t>
      </w:r>
      <w:r>
        <w:rPr>
          <w:sz w:val="20"/>
        </w:rPr>
        <w:t>al.</w:t>
      </w:r>
      <w:r>
        <w:rPr>
          <w:spacing w:val="-6"/>
          <w:sz w:val="20"/>
        </w:rPr>
        <w:t xml:space="preserve"> </w:t>
      </w:r>
      <w:r>
        <w:rPr>
          <w:spacing w:val="-2"/>
          <w:sz w:val="20"/>
        </w:rPr>
        <w:t>(2017)</w:t>
      </w:r>
    </w:p>
    <w:p w:rsidR="00C76E6D" w:rsidRDefault="00913831">
      <w:pPr>
        <w:ind w:left="480" w:right="698" w:hanging="2"/>
        <w:rPr>
          <w:sz w:val="20"/>
        </w:rPr>
      </w:pPr>
      <w:bookmarkStart w:id="364" w:name="_bookmark249"/>
      <w:bookmarkEnd w:id="364"/>
      <w:r>
        <w:rPr>
          <w:sz w:val="20"/>
          <w:vertAlign w:val="superscript"/>
        </w:rPr>
        <w:t>87</w:t>
      </w:r>
      <w:r>
        <w:rPr>
          <w:spacing w:val="-6"/>
          <w:sz w:val="20"/>
        </w:rPr>
        <w:t xml:space="preserve"> </w:t>
      </w:r>
      <w:r>
        <w:rPr>
          <w:sz w:val="20"/>
        </w:rPr>
        <w:t>Pilnik,</w:t>
      </w:r>
      <w:r>
        <w:rPr>
          <w:spacing w:val="-6"/>
          <w:sz w:val="20"/>
        </w:rPr>
        <w:t xml:space="preserve"> </w:t>
      </w:r>
      <w:r>
        <w:rPr>
          <w:sz w:val="20"/>
        </w:rPr>
        <w:t>L.</w:t>
      </w:r>
      <w:r>
        <w:rPr>
          <w:spacing w:val="-8"/>
          <w:sz w:val="20"/>
        </w:rPr>
        <w:t xml:space="preserve"> </w:t>
      </w:r>
      <w:r>
        <w:rPr>
          <w:sz w:val="20"/>
        </w:rPr>
        <w:t>(2017).</w:t>
      </w:r>
      <w:r>
        <w:rPr>
          <w:spacing w:val="-7"/>
          <w:sz w:val="20"/>
        </w:rPr>
        <w:t xml:space="preserve"> </w:t>
      </w:r>
      <w:r>
        <w:rPr>
          <w:i/>
          <w:sz w:val="20"/>
        </w:rPr>
        <w:t>Addres</w:t>
      </w:r>
      <w:r>
        <w:rPr>
          <w:i/>
          <w:sz w:val="20"/>
        </w:rPr>
        <w:t>sing</w:t>
      </w:r>
      <w:r>
        <w:rPr>
          <w:i/>
          <w:spacing w:val="-6"/>
          <w:sz w:val="20"/>
        </w:rPr>
        <w:t xml:space="preserve"> </w:t>
      </w:r>
      <w:r>
        <w:rPr>
          <w:i/>
          <w:sz w:val="20"/>
        </w:rPr>
        <w:t>the</w:t>
      </w:r>
      <w:r>
        <w:rPr>
          <w:i/>
          <w:spacing w:val="-6"/>
          <w:sz w:val="20"/>
        </w:rPr>
        <w:t xml:space="preserve"> </w:t>
      </w:r>
      <w:r>
        <w:rPr>
          <w:i/>
          <w:sz w:val="20"/>
        </w:rPr>
        <w:t>intersections</w:t>
      </w:r>
      <w:r>
        <w:rPr>
          <w:i/>
          <w:spacing w:val="-7"/>
          <w:sz w:val="20"/>
        </w:rPr>
        <w:t xml:space="preserve"> </w:t>
      </w:r>
      <w:r>
        <w:rPr>
          <w:i/>
          <w:sz w:val="20"/>
        </w:rPr>
        <w:t>of</w:t>
      </w:r>
      <w:r>
        <w:rPr>
          <w:i/>
          <w:spacing w:val="-8"/>
          <w:sz w:val="20"/>
        </w:rPr>
        <w:t xml:space="preserve"> </w:t>
      </w:r>
      <w:r>
        <w:rPr>
          <w:i/>
          <w:sz w:val="20"/>
        </w:rPr>
        <w:t>juvenile</w:t>
      </w:r>
      <w:r>
        <w:rPr>
          <w:i/>
          <w:spacing w:val="-7"/>
          <w:sz w:val="20"/>
        </w:rPr>
        <w:t xml:space="preserve"> </w:t>
      </w:r>
      <w:r>
        <w:rPr>
          <w:i/>
          <w:sz w:val="20"/>
        </w:rPr>
        <w:t>justice</w:t>
      </w:r>
      <w:r>
        <w:rPr>
          <w:i/>
          <w:spacing w:val="-6"/>
          <w:sz w:val="20"/>
        </w:rPr>
        <w:t xml:space="preserve"> </w:t>
      </w:r>
      <w:r>
        <w:rPr>
          <w:i/>
          <w:sz w:val="20"/>
        </w:rPr>
        <w:t>involvement</w:t>
      </w:r>
      <w:r>
        <w:rPr>
          <w:i/>
          <w:spacing w:val="-8"/>
          <w:sz w:val="20"/>
        </w:rPr>
        <w:t xml:space="preserve"> </w:t>
      </w:r>
      <w:r>
        <w:rPr>
          <w:i/>
          <w:sz w:val="20"/>
        </w:rPr>
        <w:t>and</w:t>
      </w:r>
      <w:r>
        <w:rPr>
          <w:i/>
          <w:spacing w:val="-8"/>
          <w:sz w:val="20"/>
        </w:rPr>
        <w:t xml:space="preserve"> </w:t>
      </w:r>
      <w:r>
        <w:rPr>
          <w:i/>
          <w:sz w:val="20"/>
        </w:rPr>
        <w:t>youth</w:t>
      </w:r>
      <w:r>
        <w:rPr>
          <w:i/>
          <w:spacing w:val="-8"/>
          <w:sz w:val="20"/>
        </w:rPr>
        <w:t xml:space="preserve"> </w:t>
      </w:r>
      <w:r>
        <w:rPr>
          <w:i/>
          <w:sz w:val="20"/>
        </w:rPr>
        <w:t>homelessness:</w:t>
      </w:r>
      <w:r>
        <w:rPr>
          <w:i/>
          <w:spacing w:val="-7"/>
          <w:sz w:val="20"/>
        </w:rPr>
        <w:t xml:space="preserve"> </w:t>
      </w:r>
      <w:r>
        <w:rPr>
          <w:i/>
          <w:sz w:val="20"/>
        </w:rPr>
        <w:t>Principles for change</w:t>
      </w:r>
      <w:r>
        <w:rPr>
          <w:sz w:val="20"/>
        </w:rPr>
        <w:t>. Coalition for Juvenile Justice.</w:t>
      </w:r>
    </w:p>
    <w:p w:rsidR="00C76E6D" w:rsidRDefault="00913831">
      <w:pPr>
        <w:ind w:left="481" w:right="1109" w:hanging="3"/>
        <w:rPr>
          <w:sz w:val="20"/>
        </w:rPr>
      </w:pPr>
      <w:bookmarkStart w:id="365" w:name="_bookmark250"/>
      <w:bookmarkEnd w:id="365"/>
      <w:r>
        <w:rPr>
          <w:sz w:val="20"/>
          <w:vertAlign w:val="superscript"/>
        </w:rPr>
        <w:t>88</w:t>
      </w:r>
      <w:r>
        <w:rPr>
          <w:spacing w:val="-4"/>
          <w:sz w:val="20"/>
        </w:rPr>
        <w:t xml:space="preserve"> </w:t>
      </w:r>
      <w:r>
        <w:rPr>
          <w:sz w:val="20"/>
        </w:rPr>
        <w:t>The</w:t>
      </w:r>
      <w:r>
        <w:rPr>
          <w:spacing w:val="-6"/>
          <w:sz w:val="20"/>
        </w:rPr>
        <w:t xml:space="preserve"> </w:t>
      </w:r>
      <w:r>
        <w:rPr>
          <w:sz w:val="20"/>
        </w:rPr>
        <w:t>Executive</w:t>
      </w:r>
      <w:r>
        <w:rPr>
          <w:spacing w:val="-4"/>
          <w:sz w:val="20"/>
        </w:rPr>
        <w:t xml:space="preserve"> </w:t>
      </w:r>
      <w:r>
        <w:rPr>
          <w:sz w:val="20"/>
        </w:rPr>
        <w:t>Office</w:t>
      </w:r>
      <w:r>
        <w:rPr>
          <w:spacing w:val="-6"/>
          <w:sz w:val="20"/>
        </w:rPr>
        <w:t xml:space="preserve"> </w:t>
      </w:r>
      <w:r>
        <w:rPr>
          <w:sz w:val="20"/>
        </w:rPr>
        <w:t>of</w:t>
      </w:r>
      <w:r>
        <w:rPr>
          <w:spacing w:val="-6"/>
          <w:sz w:val="20"/>
        </w:rPr>
        <w:t xml:space="preserve"> </w:t>
      </w:r>
      <w:r>
        <w:rPr>
          <w:sz w:val="20"/>
        </w:rPr>
        <w:t>Health</w:t>
      </w:r>
      <w:r>
        <w:rPr>
          <w:spacing w:val="-4"/>
          <w:sz w:val="20"/>
        </w:rPr>
        <w:t xml:space="preserve"> </w:t>
      </w:r>
      <w:r>
        <w:rPr>
          <w:sz w:val="20"/>
        </w:rPr>
        <w:t>and</w:t>
      </w:r>
      <w:r>
        <w:rPr>
          <w:spacing w:val="-5"/>
          <w:sz w:val="20"/>
        </w:rPr>
        <w:t xml:space="preserve"> </w:t>
      </w:r>
      <w:r>
        <w:rPr>
          <w:sz w:val="20"/>
        </w:rPr>
        <w:t>Human</w:t>
      </w:r>
      <w:r>
        <w:rPr>
          <w:spacing w:val="-7"/>
          <w:sz w:val="20"/>
        </w:rPr>
        <w:t xml:space="preserve"> </w:t>
      </w:r>
      <w:r>
        <w:rPr>
          <w:sz w:val="20"/>
        </w:rPr>
        <w:t>Services,</w:t>
      </w:r>
      <w:r>
        <w:rPr>
          <w:spacing w:val="-4"/>
          <w:sz w:val="20"/>
        </w:rPr>
        <w:t xml:space="preserve"> </w:t>
      </w:r>
      <w:r>
        <w:rPr>
          <w:sz w:val="20"/>
        </w:rPr>
        <w:t>Council</w:t>
      </w:r>
      <w:r>
        <w:rPr>
          <w:spacing w:val="-5"/>
          <w:sz w:val="20"/>
        </w:rPr>
        <w:t xml:space="preserve"> </w:t>
      </w:r>
      <w:r>
        <w:rPr>
          <w:sz w:val="20"/>
        </w:rPr>
        <w:t>on</w:t>
      </w:r>
      <w:r>
        <w:rPr>
          <w:spacing w:val="-4"/>
          <w:sz w:val="20"/>
        </w:rPr>
        <w:t xml:space="preserve"> </w:t>
      </w:r>
      <w:r>
        <w:rPr>
          <w:sz w:val="20"/>
        </w:rPr>
        <w:t>Housing</w:t>
      </w:r>
      <w:r>
        <w:rPr>
          <w:spacing w:val="-6"/>
          <w:sz w:val="20"/>
        </w:rPr>
        <w:t xml:space="preserve"> </w:t>
      </w:r>
      <w:r>
        <w:rPr>
          <w:sz w:val="20"/>
        </w:rPr>
        <w:t>and</w:t>
      </w:r>
      <w:r>
        <w:rPr>
          <w:spacing w:val="-5"/>
          <w:sz w:val="20"/>
        </w:rPr>
        <w:t xml:space="preserve"> </w:t>
      </w:r>
      <w:r>
        <w:rPr>
          <w:sz w:val="20"/>
        </w:rPr>
        <w:t>Homelessness,</w:t>
      </w:r>
      <w:r>
        <w:rPr>
          <w:spacing w:val="-4"/>
          <w:sz w:val="20"/>
        </w:rPr>
        <w:t xml:space="preserve"> </w:t>
      </w:r>
      <w:r>
        <w:rPr>
          <w:sz w:val="20"/>
        </w:rPr>
        <w:t>and</w:t>
      </w:r>
      <w:r>
        <w:rPr>
          <w:spacing w:val="-5"/>
          <w:sz w:val="20"/>
        </w:rPr>
        <w:t xml:space="preserve"> </w:t>
      </w:r>
      <w:r>
        <w:rPr>
          <w:sz w:val="20"/>
        </w:rPr>
        <w:t>Office</w:t>
      </w:r>
      <w:r>
        <w:rPr>
          <w:spacing w:val="-4"/>
          <w:sz w:val="20"/>
        </w:rPr>
        <w:t xml:space="preserve"> </w:t>
      </w:r>
      <w:r>
        <w:rPr>
          <w:sz w:val="20"/>
        </w:rPr>
        <w:t>of Children, Youth, and Families. (2019)</w:t>
      </w:r>
    </w:p>
    <w:p w:rsidR="00C76E6D" w:rsidRDefault="00913831">
      <w:pPr>
        <w:tabs>
          <w:tab w:val="left" w:pos="4292"/>
        </w:tabs>
        <w:ind w:left="480"/>
        <w:rPr>
          <w:sz w:val="20"/>
        </w:rPr>
      </w:pPr>
      <w:bookmarkStart w:id="366" w:name="_bookmark251"/>
      <w:bookmarkEnd w:id="366"/>
      <w:r>
        <w:rPr>
          <w:sz w:val="20"/>
          <w:vertAlign w:val="superscript"/>
        </w:rPr>
        <w:t>89</w:t>
      </w:r>
      <w:r>
        <w:rPr>
          <w:spacing w:val="-7"/>
          <w:sz w:val="20"/>
        </w:rPr>
        <w:t xml:space="preserve"> </w:t>
      </w:r>
      <w:r>
        <w:rPr>
          <w:sz w:val="20"/>
        </w:rPr>
        <w:t>Massachusetts</w:t>
      </w:r>
      <w:r>
        <w:rPr>
          <w:spacing w:val="-8"/>
          <w:sz w:val="20"/>
        </w:rPr>
        <w:t xml:space="preserve"> </w:t>
      </w:r>
      <w:r>
        <w:rPr>
          <w:sz w:val="20"/>
        </w:rPr>
        <w:t>Coalition</w:t>
      </w:r>
      <w:r>
        <w:rPr>
          <w:spacing w:val="-6"/>
          <w:sz w:val="20"/>
        </w:rPr>
        <w:t xml:space="preserve"> </w:t>
      </w:r>
      <w:r>
        <w:rPr>
          <w:sz w:val="20"/>
        </w:rPr>
        <w:t>for</w:t>
      </w:r>
      <w:r>
        <w:rPr>
          <w:spacing w:val="-8"/>
          <w:sz w:val="20"/>
        </w:rPr>
        <w:t xml:space="preserve"> </w:t>
      </w:r>
      <w:r>
        <w:rPr>
          <w:sz w:val="20"/>
        </w:rPr>
        <w:t>the</w:t>
      </w:r>
      <w:r>
        <w:rPr>
          <w:spacing w:val="-9"/>
          <w:sz w:val="20"/>
        </w:rPr>
        <w:t xml:space="preserve"> </w:t>
      </w:r>
      <w:r>
        <w:rPr>
          <w:spacing w:val="-2"/>
          <w:sz w:val="20"/>
        </w:rPr>
        <w:t>Homeless</w:t>
      </w:r>
      <w:r>
        <w:rPr>
          <w:sz w:val="20"/>
        </w:rPr>
        <w:tab/>
      </w:r>
      <w:r>
        <w:rPr>
          <w:spacing w:val="-2"/>
          <w:sz w:val="20"/>
        </w:rPr>
        <w:t>(2019)</w:t>
      </w:r>
    </w:p>
    <w:p w:rsidR="00C76E6D" w:rsidRDefault="00913831">
      <w:pPr>
        <w:spacing w:before="3" w:line="241" w:lineRule="exact"/>
        <w:ind w:left="480"/>
        <w:rPr>
          <w:sz w:val="20"/>
        </w:rPr>
      </w:pPr>
      <w:bookmarkStart w:id="367" w:name="_bookmark252"/>
      <w:bookmarkEnd w:id="367"/>
      <w:r>
        <w:rPr>
          <w:spacing w:val="-2"/>
          <w:sz w:val="20"/>
          <w:vertAlign w:val="superscript"/>
        </w:rPr>
        <w:t>90</w:t>
      </w:r>
      <w:r>
        <w:rPr>
          <w:spacing w:val="4"/>
          <w:sz w:val="20"/>
        </w:rPr>
        <w:t xml:space="preserve"> </w:t>
      </w:r>
      <w:bookmarkStart w:id="368" w:name="_bookmark253"/>
      <w:bookmarkEnd w:id="368"/>
      <w:r>
        <w:rPr>
          <w:spacing w:val="-2"/>
          <w:sz w:val="20"/>
        </w:rPr>
        <w:t>Massachusetts</w:t>
      </w:r>
      <w:r>
        <w:rPr>
          <w:spacing w:val="4"/>
          <w:sz w:val="20"/>
        </w:rPr>
        <w:t xml:space="preserve"> </w:t>
      </w:r>
      <w:r>
        <w:rPr>
          <w:spacing w:val="-2"/>
          <w:sz w:val="20"/>
        </w:rPr>
        <w:t>Commission</w:t>
      </w:r>
      <w:r>
        <w:rPr>
          <w:spacing w:val="5"/>
          <w:sz w:val="20"/>
        </w:rPr>
        <w:t xml:space="preserve"> </w:t>
      </w:r>
      <w:r>
        <w:rPr>
          <w:spacing w:val="-2"/>
          <w:sz w:val="20"/>
        </w:rPr>
        <w:t>on</w:t>
      </w:r>
      <w:r>
        <w:rPr>
          <w:spacing w:val="4"/>
          <w:sz w:val="20"/>
        </w:rPr>
        <w:t xml:space="preserve"> </w:t>
      </w:r>
      <w:r>
        <w:rPr>
          <w:spacing w:val="-2"/>
          <w:sz w:val="20"/>
        </w:rPr>
        <w:t>Unaccompanied</w:t>
      </w:r>
      <w:r>
        <w:rPr>
          <w:spacing w:val="5"/>
          <w:sz w:val="20"/>
        </w:rPr>
        <w:t xml:space="preserve"> </w:t>
      </w:r>
      <w:r>
        <w:rPr>
          <w:spacing w:val="-2"/>
          <w:sz w:val="20"/>
        </w:rPr>
        <w:t>Homeless</w:t>
      </w:r>
      <w:r>
        <w:rPr>
          <w:sz w:val="20"/>
        </w:rPr>
        <w:t xml:space="preserve"> </w:t>
      </w:r>
      <w:r>
        <w:rPr>
          <w:spacing w:val="-2"/>
          <w:sz w:val="20"/>
        </w:rPr>
        <w:t>Youth.</w:t>
      </w:r>
      <w:r>
        <w:rPr>
          <w:spacing w:val="4"/>
          <w:sz w:val="20"/>
        </w:rPr>
        <w:t xml:space="preserve"> </w:t>
      </w:r>
      <w:r>
        <w:rPr>
          <w:spacing w:val="-2"/>
          <w:sz w:val="20"/>
        </w:rPr>
        <w:t>(2019).</w:t>
      </w:r>
    </w:p>
    <w:p w:rsidR="00C76E6D" w:rsidRDefault="00913831">
      <w:pPr>
        <w:ind w:left="480" w:right="806" w:hanging="2"/>
        <w:rPr>
          <w:sz w:val="20"/>
        </w:rPr>
      </w:pPr>
      <w:r>
        <w:rPr>
          <w:sz w:val="20"/>
          <w:vertAlign w:val="superscript"/>
        </w:rPr>
        <w:t>91</w:t>
      </w:r>
      <w:r>
        <w:rPr>
          <w:spacing w:val="-5"/>
          <w:sz w:val="20"/>
        </w:rPr>
        <w:t xml:space="preserve"> </w:t>
      </w:r>
      <w:r>
        <w:rPr>
          <w:sz w:val="20"/>
        </w:rPr>
        <w:t>Chapin</w:t>
      </w:r>
      <w:r>
        <w:rPr>
          <w:spacing w:val="-6"/>
          <w:sz w:val="20"/>
        </w:rPr>
        <w:t xml:space="preserve"> </w:t>
      </w:r>
      <w:r>
        <w:rPr>
          <w:sz w:val="20"/>
        </w:rPr>
        <w:t>Hall</w:t>
      </w:r>
      <w:r>
        <w:rPr>
          <w:spacing w:val="-7"/>
          <w:sz w:val="20"/>
        </w:rPr>
        <w:t xml:space="preserve"> </w:t>
      </w:r>
      <w:r>
        <w:rPr>
          <w:sz w:val="20"/>
        </w:rPr>
        <w:t>at</w:t>
      </w:r>
      <w:r>
        <w:rPr>
          <w:spacing w:val="-6"/>
          <w:sz w:val="20"/>
        </w:rPr>
        <w:t xml:space="preserve"> </w:t>
      </w:r>
      <w:r>
        <w:rPr>
          <w:sz w:val="20"/>
        </w:rPr>
        <w:t>the</w:t>
      </w:r>
      <w:r>
        <w:rPr>
          <w:spacing w:val="-6"/>
          <w:sz w:val="20"/>
        </w:rPr>
        <w:t xml:space="preserve"> </w:t>
      </w:r>
      <w:r>
        <w:rPr>
          <w:sz w:val="20"/>
        </w:rPr>
        <w:t>University</w:t>
      </w:r>
      <w:r>
        <w:rPr>
          <w:spacing w:val="-6"/>
          <w:sz w:val="20"/>
        </w:rPr>
        <w:t xml:space="preserve"> </w:t>
      </w:r>
      <w:r>
        <w:rPr>
          <w:sz w:val="20"/>
        </w:rPr>
        <w:t>of</w:t>
      </w:r>
      <w:r>
        <w:rPr>
          <w:spacing w:val="-6"/>
          <w:sz w:val="20"/>
        </w:rPr>
        <w:t xml:space="preserve"> </w:t>
      </w:r>
      <w:r>
        <w:rPr>
          <w:sz w:val="20"/>
        </w:rPr>
        <w:t>Chicago.</w:t>
      </w:r>
      <w:r>
        <w:rPr>
          <w:spacing w:val="-7"/>
          <w:sz w:val="20"/>
        </w:rPr>
        <w:t xml:space="preserve"> </w:t>
      </w:r>
      <w:r>
        <w:rPr>
          <w:sz w:val="20"/>
        </w:rPr>
        <w:t>(2018).</w:t>
      </w:r>
      <w:r>
        <w:rPr>
          <w:spacing w:val="-6"/>
          <w:sz w:val="20"/>
        </w:rPr>
        <w:t xml:space="preserve"> </w:t>
      </w:r>
      <w:r>
        <w:rPr>
          <w:i/>
          <w:sz w:val="20"/>
        </w:rPr>
        <w:t>Missed</w:t>
      </w:r>
      <w:r>
        <w:rPr>
          <w:i/>
          <w:spacing w:val="-5"/>
          <w:sz w:val="20"/>
        </w:rPr>
        <w:t xml:space="preserve"> </w:t>
      </w:r>
      <w:r>
        <w:rPr>
          <w:i/>
          <w:sz w:val="20"/>
        </w:rPr>
        <w:t>Opportunities:</w:t>
      </w:r>
      <w:r>
        <w:rPr>
          <w:i/>
          <w:spacing w:val="-6"/>
          <w:sz w:val="20"/>
        </w:rPr>
        <w:t xml:space="preserve"> </w:t>
      </w:r>
      <w:r>
        <w:rPr>
          <w:i/>
          <w:sz w:val="20"/>
        </w:rPr>
        <w:t>LGBTQ</w:t>
      </w:r>
      <w:r>
        <w:rPr>
          <w:i/>
          <w:spacing w:val="-5"/>
          <w:sz w:val="20"/>
        </w:rPr>
        <w:t xml:space="preserve"> </w:t>
      </w:r>
      <w:r>
        <w:rPr>
          <w:i/>
          <w:sz w:val="20"/>
        </w:rPr>
        <w:t>Youth</w:t>
      </w:r>
      <w:r>
        <w:rPr>
          <w:i/>
          <w:spacing w:val="-7"/>
          <w:sz w:val="20"/>
        </w:rPr>
        <w:t xml:space="preserve"> </w:t>
      </w:r>
      <w:r>
        <w:rPr>
          <w:i/>
          <w:sz w:val="20"/>
        </w:rPr>
        <w:t>Homelessness</w:t>
      </w:r>
      <w:r>
        <w:rPr>
          <w:i/>
          <w:spacing w:val="-6"/>
          <w:sz w:val="20"/>
        </w:rPr>
        <w:t xml:space="preserve"> </w:t>
      </w:r>
      <w:r>
        <w:rPr>
          <w:i/>
          <w:sz w:val="20"/>
        </w:rPr>
        <w:t>in</w:t>
      </w:r>
      <w:r>
        <w:rPr>
          <w:i/>
          <w:spacing w:val="-6"/>
          <w:sz w:val="20"/>
        </w:rPr>
        <w:t xml:space="preserve"> </w:t>
      </w:r>
      <w:r>
        <w:rPr>
          <w:i/>
          <w:sz w:val="20"/>
        </w:rPr>
        <w:t xml:space="preserve">America highlights research on the experiences of lesbian, gay, bisexual, transgender, and queer (LGBTQ) young people facing homelessness in America. </w:t>
      </w:r>
      <w:r>
        <w:rPr>
          <w:sz w:val="20"/>
        </w:rPr>
        <w:t xml:space="preserve">Voices of Youth Count. Retrieved from: </w:t>
      </w:r>
      <w:hyperlink r:id="rId241">
        <w:r>
          <w:rPr>
            <w:sz w:val="20"/>
          </w:rPr>
          <w:t>https://voicesofyouthcount.org/wp-</w:t>
        </w:r>
      </w:hyperlink>
      <w:r>
        <w:rPr>
          <w:sz w:val="20"/>
        </w:rPr>
        <w:t xml:space="preserve"> </w:t>
      </w:r>
      <w:hyperlink r:id="rId242">
        <w:r>
          <w:rPr>
            <w:spacing w:val="-2"/>
            <w:sz w:val="20"/>
          </w:rPr>
          <w:t>content/uploads/2018/05/VoYC-LGBTQ-Brief-C</w:t>
        </w:r>
        <w:r>
          <w:rPr>
            <w:spacing w:val="-2"/>
            <w:sz w:val="20"/>
          </w:rPr>
          <w:t>hapin-Hall-2018.pdf</w:t>
        </w:r>
      </w:hyperlink>
    </w:p>
    <w:p w:rsidR="00C76E6D" w:rsidRDefault="00913831">
      <w:pPr>
        <w:ind w:left="480"/>
        <w:rPr>
          <w:sz w:val="20"/>
        </w:rPr>
      </w:pPr>
      <w:bookmarkStart w:id="369" w:name="_bookmark254"/>
      <w:bookmarkEnd w:id="369"/>
      <w:r>
        <w:rPr>
          <w:sz w:val="20"/>
          <w:vertAlign w:val="superscript"/>
        </w:rPr>
        <w:t>92</w:t>
      </w:r>
      <w:r>
        <w:rPr>
          <w:spacing w:val="-6"/>
          <w:sz w:val="20"/>
        </w:rPr>
        <w:t xml:space="preserve"> </w:t>
      </w:r>
      <w:r>
        <w:rPr>
          <w:sz w:val="20"/>
        </w:rPr>
        <w:t>Chapin</w:t>
      </w:r>
      <w:r>
        <w:rPr>
          <w:spacing w:val="-6"/>
          <w:sz w:val="20"/>
        </w:rPr>
        <w:t xml:space="preserve"> </w:t>
      </w:r>
      <w:r>
        <w:rPr>
          <w:sz w:val="20"/>
        </w:rPr>
        <w:t>Hall</w:t>
      </w:r>
      <w:r>
        <w:rPr>
          <w:spacing w:val="-7"/>
          <w:sz w:val="20"/>
        </w:rPr>
        <w:t xml:space="preserve"> </w:t>
      </w:r>
      <w:r>
        <w:rPr>
          <w:sz w:val="20"/>
        </w:rPr>
        <w:t>at</w:t>
      </w:r>
      <w:r>
        <w:rPr>
          <w:spacing w:val="-7"/>
          <w:sz w:val="20"/>
        </w:rPr>
        <w:t xml:space="preserve"> </w:t>
      </w:r>
      <w:r>
        <w:rPr>
          <w:sz w:val="20"/>
        </w:rPr>
        <w:t>the</w:t>
      </w:r>
      <w:r>
        <w:rPr>
          <w:spacing w:val="-6"/>
          <w:sz w:val="20"/>
        </w:rPr>
        <w:t xml:space="preserve"> </w:t>
      </w:r>
      <w:r>
        <w:rPr>
          <w:sz w:val="20"/>
        </w:rPr>
        <w:t>University</w:t>
      </w:r>
      <w:r>
        <w:rPr>
          <w:spacing w:val="-5"/>
          <w:sz w:val="20"/>
        </w:rPr>
        <w:t xml:space="preserve"> </w:t>
      </w:r>
      <w:r>
        <w:rPr>
          <w:sz w:val="20"/>
        </w:rPr>
        <w:t>of</w:t>
      </w:r>
      <w:r>
        <w:rPr>
          <w:spacing w:val="-7"/>
          <w:sz w:val="20"/>
        </w:rPr>
        <w:t xml:space="preserve"> </w:t>
      </w:r>
      <w:r>
        <w:rPr>
          <w:sz w:val="20"/>
        </w:rPr>
        <w:t>Chicago.</w:t>
      </w:r>
      <w:r>
        <w:rPr>
          <w:spacing w:val="-7"/>
          <w:sz w:val="20"/>
        </w:rPr>
        <w:t xml:space="preserve"> </w:t>
      </w:r>
      <w:r>
        <w:rPr>
          <w:spacing w:val="-2"/>
          <w:sz w:val="20"/>
        </w:rPr>
        <w:t>(2018)</w:t>
      </w:r>
    </w:p>
    <w:p w:rsidR="00C76E6D" w:rsidRDefault="00913831">
      <w:pPr>
        <w:ind w:left="481" w:right="530" w:hanging="3"/>
        <w:rPr>
          <w:sz w:val="20"/>
        </w:rPr>
      </w:pPr>
      <w:bookmarkStart w:id="370" w:name="_bookmark255"/>
      <w:bookmarkEnd w:id="370"/>
      <w:r>
        <w:rPr>
          <w:sz w:val="20"/>
          <w:vertAlign w:val="superscript"/>
        </w:rPr>
        <w:t>93</w:t>
      </w:r>
      <w:r>
        <w:rPr>
          <w:spacing w:val="-4"/>
          <w:sz w:val="20"/>
        </w:rPr>
        <w:t xml:space="preserve"> </w:t>
      </w:r>
      <w:r>
        <w:rPr>
          <w:sz w:val="20"/>
        </w:rPr>
        <w:t>Rosario,</w:t>
      </w:r>
      <w:r>
        <w:rPr>
          <w:spacing w:val="-5"/>
          <w:sz w:val="20"/>
        </w:rPr>
        <w:t xml:space="preserve"> </w:t>
      </w:r>
      <w:r>
        <w:rPr>
          <w:sz w:val="20"/>
        </w:rPr>
        <w:t>M.,</w:t>
      </w:r>
      <w:r>
        <w:rPr>
          <w:spacing w:val="-5"/>
          <w:sz w:val="20"/>
        </w:rPr>
        <w:t xml:space="preserve"> </w:t>
      </w:r>
      <w:r>
        <w:rPr>
          <w:sz w:val="20"/>
        </w:rPr>
        <w:t>Schrimshaw,</w:t>
      </w:r>
      <w:r>
        <w:rPr>
          <w:spacing w:val="-5"/>
          <w:sz w:val="20"/>
        </w:rPr>
        <w:t xml:space="preserve"> </w:t>
      </w:r>
      <w:r>
        <w:rPr>
          <w:sz w:val="20"/>
        </w:rPr>
        <w:t>E.</w:t>
      </w:r>
      <w:r>
        <w:rPr>
          <w:spacing w:val="-7"/>
          <w:sz w:val="20"/>
        </w:rPr>
        <w:t xml:space="preserve"> </w:t>
      </w:r>
      <w:r>
        <w:rPr>
          <w:sz w:val="20"/>
        </w:rPr>
        <w:t>W.,</w:t>
      </w:r>
      <w:r>
        <w:rPr>
          <w:spacing w:val="-5"/>
          <w:sz w:val="20"/>
        </w:rPr>
        <w:t xml:space="preserve"> </w:t>
      </w:r>
      <w:r>
        <w:rPr>
          <w:sz w:val="20"/>
        </w:rPr>
        <w:t>&amp;</w:t>
      </w:r>
      <w:r>
        <w:rPr>
          <w:spacing w:val="-4"/>
          <w:sz w:val="20"/>
        </w:rPr>
        <w:t xml:space="preserve"> </w:t>
      </w:r>
      <w:r>
        <w:rPr>
          <w:sz w:val="20"/>
        </w:rPr>
        <w:t>Hunter,</w:t>
      </w:r>
      <w:r>
        <w:rPr>
          <w:spacing w:val="-5"/>
          <w:sz w:val="20"/>
        </w:rPr>
        <w:t xml:space="preserve"> </w:t>
      </w:r>
      <w:r>
        <w:rPr>
          <w:sz w:val="20"/>
        </w:rPr>
        <w:t>J.</w:t>
      </w:r>
      <w:r>
        <w:rPr>
          <w:spacing w:val="-5"/>
          <w:sz w:val="20"/>
        </w:rPr>
        <w:t xml:space="preserve"> </w:t>
      </w:r>
      <w:r>
        <w:rPr>
          <w:sz w:val="20"/>
        </w:rPr>
        <w:t>(2012).</w:t>
      </w:r>
      <w:r>
        <w:rPr>
          <w:spacing w:val="-6"/>
          <w:sz w:val="20"/>
        </w:rPr>
        <w:t xml:space="preserve"> </w:t>
      </w:r>
      <w:r>
        <w:rPr>
          <w:sz w:val="20"/>
        </w:rPr>
        <w:t>Risk</w:t>
      </w:r>
      <w:r>
        <w:rPr>
          <w:spacing w:val="-7"/>
          <w:sz w:val="20"/>
        </w:rPr>
        <w:t xml:space="preserve"> </w:t>
      </w:r>
      <w:r>
        <w:rPr>
          <w:sz w:val="20"/>
        </w:rPr>
        <w:t>Factors</w:t>
      </w:r>
      <w:r>
        <w:rPr>
          <w:spacing w:val="-7"/>
          <w:sz w:val="20"/>
        </w:rPr>
        <w:t xml:space="preserve"> </w:t>
      </w:r>
      <w:r>
        <w:rPr>
          <w:sz w:val="20"/>
        </w:rPr>
        <w:t>for</w:t>
      </w:r>
      <w:r>
        <w:rPr>
          <w:spacing w:val="-5"/>
          <w:sz w:val="20"/>
        </w:rPr>
        <w:t xml:space="preserve"> </w:t>
      </w:r>
      <w:r>
        <w:rPr>
          <w:sz w:val="20"/>
        </w:rPr>
        <w:t>Homelessness</w:t>
      </w:r>
      <w:r>
        <w:rPr>
          <w:spacing w:val="-5"/>
          <w:sz w:val="20"/>
        </w:rPr>
        <w:t xml:space="preserve"> </w:t>
      </w:r>
      <w:r>
        <w:rPr>
          <w:sz w:val="20"/>
        </w:rPr>
        <w:t>Among</w:t>
      </w:r>
      <w:r>
        <w:rPr>
          <w:spacing w:val="-4"/>
          <w:sz w:val="20"/>
        </w:rPr>
        <w:t xml:space="preserve"> </w:t>
      </w:r>
      <w:r>
        <w:rPr>
          <w:sz w:val="20"/>
        </w:rPr>
        <w:t>Lesbian,</w:t>
      </w:r>
      <w:r>
        <w:rPr>
          <w:spacing w:val="-8"/>
          <w:sz w:val="20"/>
        </w:rPr>
        <w:t xml:space="preserve"> </w:t>
      </w:r>
      <w:r>
        <w:rPr>
          <w:sz w:val="20"/>
        </w:rPr>
        <w:t>Gay,</w:t>
      </w:r>
      <w:r>
        <w:rPr>
          <w:spacing w:val="-5"/>
          <w:sz w:val="20"/>
        </w:rPr>
        <w:t xml:space="preserve"> </w:t>
      </w:r>
      <w:r>
        <w:rPr>
          <w:sz w:val="20"/>
        </w:rPr>
        <w:t xml:space="preserve">and </w:t>
      </w:r>
      <w:bookmarkStart w:id="371" w:name="_bookmark256"/>
      <w:bookmarkEnd w:id="371"/>
      <w:r>
        <w:rPr>
          <w:sz w:val="20"/>
        </w:rPr>
        <w:t>B</w:t>
      </w:r>
      <w:r>
        <w:rPr>
          <w:sz w:val="20"/>
        </w:rPr>
        <w:t>isexual Youths: A Developmental Milestone Approach. Children and Youth Services Review, 34(1), 186–193.</w:t>
      </w:r>
    </w:p>
    <w:p w:rsidR="00C76E6D" w:rsidRDefault="00913831">
      <w:pPr>
        <w:ind w:left="481" w:right="530" w:hanging="3"/>
        <w:rPr>
          <w:sz w:val="20"/>
        </w:rPr>
      </w:pPr>
      <w:r>
        <w:rPr>
          <w:sz w:val="20"/>
          <w:vertAlign w:val="superscript"/>
        </w:rPr>
        <w:t>94</w:t>
      </w:r>
      <w:r>
        <w:rPr>
          <w:spacing w:val="-4"/>
          <w:sz w:val="20"/>
        </w:rPr>
        <w:t xml:space="preserve"> </w:t>
      </w:r>
      <w:r>
        <w:rPr>
          <w:sz w:val="20"/>
        </w:rPr>
        <w:t>Cutuli,</w:t>
      </w:r>
      <w:r>
        <w:rPr>
          <w:spacing w:val="-4"/>
          <w:sz w:val="20"/>
        </w:rPr>
        <w:t xml:space="preserve"> </w:t>
      </w:r>
      <w:r>
        <w:rPr>
          <w:sz w:val="20"/>
        </w:rPr>
        <w:t>J.</w:t>
      </w:r>
      <w:r>
        <w:rPr>
          <w:spacing w:val="-5"/>
          <w:sz w:val="20"/>
        </w:rPr>
        <w:t xml:space="preserve"> </w:t>
      </w:r>
      <w:r>
        <w:rPr>
          <w:sz w:val="20"/>
        </w:rPr>
        <w:t>J.,</w:t>
      </w:r>
      <w:r>
        <w:rPr>
          <w:spacing w:val="-4"/>
          <w:sz w:val="20"/>
        </w:rPr>
        <w:t xml:space="preserve"> </w:t>
      </w:r>
      <w:r>
        <w:rPr>
          <w:sz w:val="20"/>
        </w:rPr>
        <w:t>Treglia,</w:t>
      </w:r>
      <w:r>
        <w:rPr>
          <w:spacing w:val="-5"/>
          <w:sz w:val="20"/>
        </w:rPr>
        <w:t xml:space="preserve"> </w:t>
      </w:r>
      <w:r>
        <w:rPr>
          <w:sz w:val="20"/>
        </w:rPr>
        <w:t>D.,</w:t>
      </w:r>
      <w:r>
        <w:rPr>
          <w:spacing w:val="-5"/>
          <w:sz w:val="20"/>
        </w:rPr>
        <w:t xml:space="preserve"> </w:t>
      </w:r>
      <w:r>
        <w:rPr>
          <w:sz w:val="20"/>
        </w:rPr>
        <w:t>&amp;</w:t>
      </w:r>
      <w:r>
        <w:rPr>
          <w:spacing w:val="-5"/>
          <w:sz w:val="20"/>
        </w:rPr>
        <w:t xml:space="preserve"> </w:t>
      </w:r>
      <w:r>
        <w:rPr>
          <w:sz w:val="20"/>
        </w:rPr>
        <w:t>Herbers,</w:t>
      </w:r>
      <w:r>
        <w:rPr>
          <w:spacing w:val="-4"/>
          <w:sz w:val="20"/>
        </w:rPr>
        <w:t xml:space="preserve"> </w:t>
      </w:r>
      <w:r>
        <w:rPr>
          <w:sz w:val="20"/>
        </w:rPr>
        <w:t>J.</w:t>
      </w:r>
      <w:r>
        <w:rPr>
          <w:spacing w:val="-6"/>
          <w:sz w:val="20"/>
        </w:rPr>
        <w:t xml:space="preserve"> </w:t>
      </w:r>
      <w:r>
        <w:rPr>
          <w:sz w:val="20"/>
        </w:rPr>
        <w:t>E.</w:t>
      </w:r>
      <w:r>
        <w:rPr>
          <w:spacing w:val="-5"/>
          <w:sz w:val="20"/>
        </w:rPr>
        <w:t xml:space="preserve"> </w:t>
      </w:r>
      <w:r>
        <w:rPr>
          <w:sz w:val="20"/>
        </w:rPr>
        <w:t>(2020).</w:t>
      </w:r>
      <w:r>
        <w:rPr>
          <w:spacing w:val="-6"/>
          <w:sz w:val="20"/>
        </w:rPr>
        <w:t xml:space="preserve"> </w:t>
      </w:r>
      <w:r>
        <w:rPr>
          <w:sz w:val="20"/>
        </w:rPr>
        <w:t>Adolescent</w:t>
      </w:r>
      <w:r>
        <w:rPr>
          <w:spacing w:val="-7"/>
          <w:sz w:val="20"/>
        </w:rPr>
        <w:t xml:space="preserve"> </w:t>
      </w:r>
      <w:r>
        <w:rPr>
          <w:sz w:val="20"/>
        </w:rPr>
        <w:t>homelessness</w:t>
      </w:r>
      <w:r>
        <w:rPr>
          <w:spacing w:val="-5"/>
          <w:sz w:val="20"/>
        </w:rPr>
        <w:t xml:space="preserve"> </w:t>
      </w:r>
      <w:r>
        <w:rPr>
          <w:sz w:val="20"/>
        </w:rPr>
        <w:t>and</w:t>
      </w:r>
      <w:r>
        <w:rPr>
          <w:spacing w:val="-5"/>
          <w:sz w:val="20"/>
        </w:rPr>
        <w:t xml:space="preserve"> </w:t>
      </w:r>
      <w:r>
        <w:rPr>
          <w:sz w:val="20"/>
        </w:rPr>
        <w:t>associated</w:t>
      </w:r>
      <w:r>
        <w:rPr>
          <w:spacing w:val="-6"/>
          <w:sz w:val="20"/>
        </w:rPr>
        <w:t xml:space="preserve"> </w:t>
      </w:r>
      <w:r>
        <w:rPr>
          <w:sz w:val="20"/>
        </w:rPr>
        <w:t>features:</w:t>
      </w:r>
      <w:r>
        <w:rPr>
          <w:spacing w:val="-4"/>
          <w:sz w:val="20"/>
        </w:rPr>
        <w:t xml:space="preserve"> </w:t>
      </w:r>
      <w:r>
        <w:rPr>
          <w:sz w:val="20"/>
        </w:rPr>
        <w:t>prevalence</w:t>
      </w:r>
      <w:r>
        <w:rPr>
          <w:spacing w:val="-7"/>
          <w:sz w:val="20"/>
        </w:rPr>
        <w:t xml:space="preserve"> </w:t>
      </w:r>
      <w:r>
        <w:rPr>
          <w:sz w:val="20"/>
        </w:rPr>
        <w:t>and risk across eight states. Child Psychiatry &amp; Human Development, 51(1), 48-58.</w:t>
      </w:r>
    </w:p>
    <w:p w:rsidR="00C76E6D" w:rsidRDefault="00913831">
      <w:pPr>
        <w:ind w:left="480"/>
        <w:rPr>
          <w:sz w:val="20"/>
        </w:rPr>
      </w:pPr>
      <w:bookmarkStart w:id="372" w:name="_bookmark257"/>
      <w:bookmarkEnd w:id="372"/>
      <w:r>
        <w:rPr>
          <w:sz w:val="20"/>
          <w:vertAlign w:val="superscript"/>
        </w:rPr>
        <w:t>95</w:t>
      </w:r>
      <w:r>
        <w:rPr>
          <w:spacing w:val="-6"/>
          <w:sz w:val="20"/>
        </w:rPr>
        <w:t xml:space="preserve"> </w:t>
      </w:r>
      <w:r>
        <w:rPr>
          <w:sz w:val="20"/>
        </w:rPr>
        <w:t>LGBTQ</w:t>
      </w:r>
      <w:r>
        <w:rPr>
          <w:spacing w:val="-7"/>
          <w:sz w:val="20"/>
        </w:rPr>
        <w:t xml:space="preserve"> </w:t>
      </w:r>
      <w:r>
        <w:rPr>
          <w:sz w:val="20"/>
        </w:rPr>
        <w:t>Homeless</w:t>
      </w:r>
      <w:r>
        <w:rPr>
          <w:spacing w:val="-6"/>
          <w:sz w:val="20"/>
        </w:rPr>
        <w:t xml:space="preserve"> </w:t>
      </w:r>
      <w:r>
        <w:rPr>
          <w:sz w:val="20"/>
        </w:rPr>
        <w:t>Youth</w:t>
      </w:r>
      <w:r>
        <w:rPr>
          <w:spacing w:val="-7"/>
          <w:sz w:val="20"/>
        </w:rPr>
        <w:t xml:space="preserve"> </w:t>
      </w:r>
      <w:r>
        <w:rPr>
          <w:sz w:val="20"/>
        </w:rPr>
        <w:t>Fact</w:t>
      </w:r>
      <w:r>
        <w:rPr>
          <w:spacing w:val="-7"/>
          <w:sz w:val="20"/>
        </w:rPr>
        <w:t xml:space="preserve"> </w:t>
      </w:r>
      <w:r>
        <w:rPr>
          <w:sz w:val="20"/>
        </w:rPr>
        <w:t>Sheet.</w:t>
      </w:r>
      <w:r>
        <w:rPr>
          <w:spacing w:val="-7"/>
          <w:sz w:val="20"/>
        </w:rPr>
        <w:t xml:space="preserve"> </w:t>
      </w:r>
      <w:r>
        <w:rPr>
          <w:i/>
          <w:sz w:val="20"/>
        </w:rPr>
        <w:t>National</w:t>
      </w:r>
      <w:r>
        <w:rPr>
          <w:i/>
          <w:spacing w:val="-7"/>
          <w:sz w:val="20"/>
        </w:rPr>
        <w:t xml:space="preserve"> </w:t>
      </w:r>
      <w:r>
        <w:rPr>
          <w:i/>
          <w:sz w:val="20"/>
        </w:rPr>
        <w:t>Alliance</w:t>
      </w:r>
      <w:r>
        <w:rPr>
          <w:i/>
          <w:spacing w:val="-5"/>
          <w:sz w:val="20"/>
        </w:rPr>
        <w:t xml:space="preserve"> </w:t>
      </w:r>
      <w:r>
        <w:rPr>
          <w:i/>
          <w:sz w:val="20"/>
        </w:rPr>
        <w:t>to</w:t>
      </w:r>
      <w:r>
        <w:rPr>
          <w:i/>
          <w:spacing w:val="-9"/>
          <w:sz w:val="20"/>
        </w:rPr>
        <w:t xml:space="preserve"> </w:t>
      </w:r>
      <w:r>
        <w:rPr>
          <w:i/>
          <w:sz w:val="20"/>
        </w:rPr>
        <w:t>End</w:t>
      </w:r>
      <w:r>
        <w:rPr>
          <w:i/>
          <w:spacing w:val="-5"/>
          <w:sz w:val="20"/>
        </w:rPr>
        <w:t xml:space="preserve"> </w:t>
      </w:r>
      <w:r>
        <w:rPr>
          <w:i/>
          <w:sz w:val="20"/>
        </w:rPr>
        <w:t>Youth</w:t>
      </w:r>
      <w:r>
        <w:rPr>
          <w:i/>
          <w:spacing w:val="-7"/>
          <w:sz w:val="20"/>
        </w:rPr>
        <w:t xml:space="preserve"> </w:t>
      </w:r>
      <w:r>
        <w:rPr>
          <w:i/>
          <w:spacing w:val="-2"/>
          <w:sz w:val="20"/>
        </w:rPr>
        <w:t>Homelessness</w:t>
      </w:r>
      <w:r>
        <w:rPr>
          <w:spacing w:val="-2"/>
          <w:sz w:val="20"/>
        </w:rPr>
        <w:t>.</w:t>
      </w:r>
    </w:p>
    <w:p w:rsidR="00C76E6D" w:rsidRDefault="00913831">
      <w:pPr>
        <w:ind w:left="480" w:right="530" w:hanging="3"/>
        <w:rPr>
          <w:sz w:val="20"/>
        </w:rPr>
      </w:pPr>
      <w:bookmarkStart w:id="373" w:name="_bookmark258"/>
      <w:bookmarkEnd w:id="373"/>
      <w:r>
        <w:rPr>
          <w:sz w:val="20"/>
          <w:vertAlign w:val="superscript"/>
        </w:rPr>
        <w:t>96</w:t>
      </w:r>
      <w:r>
        <w:rPr>
          <w:spacing w:val="-6"/>
          <w:sz w:val="20"/>
        </w:rPr>
        <w:t xml:space="preserve"> </w:t>
      </w:r>
      <w:r>
        <w:rPr>
          <w:sz w:val="20"/>
        </w:rPr>
        <w:t>Morton,</w:t>
      </w:r>
      <w:r>
        <w:rPr>
          <w:spacing w:val="-7"/>
          <w:sz w:val="20"/>
        </w:rPr>
        <w:t xml:space="preserve"> </w:t>
      </w:r>
      <w:r>
        <w:rPr>
          <w:sz w:val="20"/>
        </w:rPr>
        <w:t>M.,</w:t>
      </w:r>
      <w:r>
        <w:rPr>
          <w:spacing w:val="-8"/>
          <w:sz w:val="20"/>
        </w:rPr>
        <w:t xml:space="preserve"> </w:t>
      </w:r>
      <w:r>
        <w:rPr>
          <w:sz w:val="20"/>
        </w:rPr>
        <w:t>Dworsky,</w:t>
      </w:r>
      <w:r>
        <w:rPr>
          <w:spacing w:val="-8"/>
          <w:sz w:val="20"/>
        </w:rPr>
        <w:t xml:space="preserve"> </w:t>
      </w:r>
      <w:r>
        <w:rPr>
          <w:sz w:val="20"/>
        </w:rPr>
        <w:t>A.,</w:t>
      </w:r>
      <w:r>
        <w:rPr>
          <w:spacing w:val="-7"/>
          <w:sz w:val="20"/>
        </w:rPr>
        <w:t xml:space="preserve"> </w:t>
      </w:r>
      <w:r>
        <w:rPr>
          <w:sz w:val="20"/>
        </w:rPr>
        <w:t>and</w:t>
      </w:r>
      <w:r>
        <w:rPr>
          <w:spacing w:val="-6"/>
          <w:sz w:val="20"/>
        </w:rPr>
        <w:t xml:space="preserve"> </w:t>
      </w:r>
      <w:r>
        <w:rPr>
          <w:sz w:val="20"/>
        </w:rPr>
        <w:t>Samuels,</w:t>
      </w:r>
      <w:r>
        <w:rPr>
          <w:spacing w:val="-6"/>
          <w:sz w:val="20"/>
        </w:rPr>
        <w:t xml:space="preserve"> </w:t>
      </w:r>
      <w:r>
        <w:rPr>
          <w:sz w:val="20"/>
        </w:rPr>
        <w:t>G.</w:t>
      </w:r>
      <w:r>
        <w:rPr>
          <w:spacing w:val="-8"/>
          <w:sz w:val="20"/>
        </w:rPr>
        <w:t xml:space="preserve"> </w:t>
      </w:r>
      <w:r>
        <w:rPr>
          <w:sz w:val="20"/>
        </w:rPr>
        <w:t>M.</w:t>
      </w:r>
      <w:r>
        <w:rPr>
          <w:spacing w:val="-7"/>
          <w:sz w:val="20"/>
        </w:rPr>
        <w:t xml:space="preserve"> </w:t>
      </w:r>
      <w:r>
        <w:rPr>
          <w:sz w:val="20"/>
        </w:rPr>
        <w:t>(2017).</w:t>
      </w:r>
      <w:r>
        <w:rPr>
          <w:spacing w:val="-7"/>
          <w:sz w:val="20"/>
        </w:rPr>
        <w:t xml:space="preserve"> </w:t>
      </w:r>
      <w:r>
        <w:rPr>
          <w:sz w:val="20"/>
        </w:rPr>
        <w:t>"Missed</w:t>
      </w:r>
      <w:r>
        <w:rPr>
          <w:spacing w:val="-6"/>
          <w:sz w:val="20"/>
        </w:rPr>
        <w:t xml:space="preserve"> </w:t>
      </w:r>
      <w:r>
        <w:rPr>
          <w:sz w:val="20"/>
        </w:rPr>
        <w:t>Opportunities:</w:t>
      </w:r>
      <w:r>
        <w:rPr>
          <w:spacing w:val="-6"/>
          <w:sz w:val="20"/>
        </w:rPr>
        <w:t xml:space="preserve"> </w:t>
      </w:r>
      <w:r>
        <w:rPr>
          <w:sz w:val="20"/>
        </w:rPr>
        <w:t>Youth</w:t>
      </w:r>
      <w:r>
        <w:rPr>
          <w:spacing w:val="-7"/>
          <w:sz w:val="20"/>
        </w:rPr>
        <w:t xml:space="preserve"> </w:t>
      </w:r>
      <w:r>
        <w:rPr>
          <w:sz w:val="20"/>
        </w:rPr>
        <w:t>Homelessn</w:t>
      </w:r>
      <w:r>
        <w:rPr>
          <w:sz w:val="20"/>
        </w:rPr>
        <w:t>ess</w:t>
      </w:r>
      <w:r>
        <w:rPr>
          <w:spacing w:val="-7"/>
          <w:sz w:val="20"/>
        </w:rPr>
        <w:t xml:space="preserve"> </w:t>
      </w:r>
      <w:r>
        <w:rPr>
          <w:sz w:val="20"/>
        </w:rPr>
        <w:t>inAmerica. National Estimates." Chapin Hall at the University of Chicago.</w:t>
      </w:r>
    </w:p>
    <w:p w:rsidR="00C76E6D" w:rsidRDefault="00C76E6D">
      <w:pPr>
        <w:rPr>
          <w:sz w:val="20"/>
        </w:rPr>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5"/>
        <w:rPr>
          <w:sz w:val="18"/>
        </w:rPr>
      </w:pPr>
    </w:p>
    <w:p w:rsidR="00C76E6D" w:rsidRDefault="00913831">
      <w:pPr>
        <w:ind w:left="480" w:right="530" w:hanging="2"/>
        <w:rPr>
          <w:sz w:val="20"/>
        </w:rPr>
      </w:pPr>
      <w:bookmarkStart w:id="374" w:name="_bookmark259"/>
      <w:bookmarkEnd w:id="374"/>
      <w:r>
        <w:rPr>
          <w:sz w:val="20"/>
          <w:vertAlign w:val="superscript"/>
        </w:rPr>
        <w:t>97</w:t>
      </w:r>
      <w:r>
        <w:rPr>
          <w:sz w:val="20"/>
        </w:rPr>
        <w:t xml:space="preserve"> Cochran, B. N., Stewart, A. J., Ginzler, J. A., &amp; Cauce, A. M. (2002). Challenges Faced by Homeless Sexual Minorities:</w:t>
      </w:r>
      <w:r>
        <w:rPr>
          <w:spacing w:val="-6"/>
          <w:sz w:val="20"/>
        </w:rPr>
        <w:t xml:space="preserve"> </w:t>
      </w:r>
      <w:r>
        <w:rPr>
          <w:sz w:val="20"/>
        </w:rPr>
        <w:t>Comparison</w:t>
      </w:r>
      <w:r>
        <w:rPr>
          <w:spacing w:val="-7"/>
          <w:sz w:val="20"/>
        </w:rPr>
        <w:t xml:space="preserve"> </w:t>
      </w:r>
      <w:r>
        <w:rPr>
          <w:sz w:val="20"/>
        </w:rPr>
        <w:t>of</w:t>
      </w:r>
      <w:r>
        <w:rPr>
          <w:spacing w:val="-7"/>
          <w:sz w:val="20"/>
        </w:rPr>
        <w:t xml:space="preserve"> </w:t>
      </w:r>
      <w:r>
        <w:rPr>
          <w:sz w:val="20"/>
        </w:rPr>
        <w:t>Gay,</w:t>
      </w:r>
      <w:r>
        <w:rPr>
          <w:spacing w:val="-6"/>
          <w:sz w:val="20"/>
        </w:rPr>
        <w:t xml:space="preserve"> </w:t>
      </w:r>
      <w:r>
        <w:rPr>
          <w:sz w:val="20"/>
        </w:rPr>
        <w:t>Lesbian,</w:t>
      </w:r>
      <w:r>
        <w:rPr>
          <w:spacing w:val="-6"/>
          <w:sz w:val="20"/>
        </w:rPr>
        <w:t xml:space="preserve"> </w:t>
      </w:r>
      <w:r>
        <w:rPr>
          <w:sz w:val="20"/>
        </w:rPr>
        <w:t>Bisexual,</w:t>
      </w:r>
      <w:r>
        <w:rPr>
          <w:spacing w:val="-6"/>
          <w:sz w:val="20"/>
        </w:rPr>
        <w:t xml:space="preserve"> </w:t>
      </w:r>
      <w:r>
        <w:rPr>
          <w:sz w:val="20"/>
        </w:rPr>
        <w:t>and</w:t>
      </w:r>
      <w:r>
        <w:rPr>
          <w:spacing w:val="-6"/>
          <w:sz w:val="20"/>
        </w:rPr>
        <w:t xml:space="preserve"> </w:t>
      </w:r>
      <w:r>
        <w:rPr>
          <w:sz w:val="20"/>
        </w:rPr>
        <w:t>Transgender</w:t>
      </w:r>
      <w:r>
        <w:rPr>
          <w:spacing w:val="-7"/>
          <w:sz w:val="20"/>
        </w:rPr>
        <w:t xml:space="preserve"> </w:t>
      </w:r>
      <w:r>
        <w:rPr>
          <w:sz w:val="20"/>
        </w:rPr>
        <w:t>Homeless</w:t>
      </w:r>
      <w:r>
        <w:rPr>
          <w:spacing w:val="-7"/>
          <w:sz w:val="20"/>
        </w:rPr>
        <w:t xml:space="preserve"> </w:t>
      </w:r>
      <w:r>
        <w:rPr>
          <w:sz w:val="20"/>
        </w:rPr>
        <w:t>Adolescents</w:t>
      </w:r>
      <w:r>
        <w:rPr>
          <w:spacing w:val="-9"/>
          <w:sz w:val="20"/>
        </w:rPr>
        <w:t xml:space="preserve"> </w:t>
      </w:r>
      <w:r>
        <w:rPr>
          <w:sz w:val="20"/>
        </w:rPr>
        <w:t>With</w:t>
      </w:r>
      <w:r>
        <w:rPr>
          <w:spacing w:val="-6"/>
          <w:sz w:val="20"/>
        </w:rPr>
        <w:t xml:space="preserve"> </w:t>
      </w:r>
      <w:r>
        <w:rPr>
          <w:sz w:val="20"/>
        </w:rPr>
        <w:t>Their</w:t>
      </w:r>
      <w:r>
        <w:rPr>
          <w:spacing w:val="-9"/>
          <w:sz w:val="20"/>
        </w:rPr>
        <w:t xml:space="preserve"> </w:t>
      </w:r>
      <w:r>
        <w:rPr>
          <w:sz w:val="20"/>
        </w:rPr>
        <w:t>Heterosexual Counterparts. American Journal of Public Health, 92(5), 773–777.</w:t>
      </w:r>
    </w:p>
    <w:p w:rsidR="00C76E6D" w:rsidRDefault="00913831">
      <w:pPr>
        <w:spacing w:line="242" w:lineRule="auto"/>
        <w:ind w:left="480" w:right="695" w:hanging="2"/>
        <w:rPr>
          <w:sz w:val="20"/>
        </w:rPr>
      </w:pPr>
      <w:bookmarkStart w:id="375" w:name="_bookmark260"/>
      <w:bookmarkEnd w:id="375"/>
      <w:r>
        <w:rPr>
          <w:sz w:val="20"/>
          <w:vertAlign w:val="superscript"/>
        </w:rPr>
        <w:t>98</w:t>
      </w:r>
      <w:r>
        <w:rPr>
          <w:spacing w:val="-4"/>
          <w:sz w:val="20"/>
        </w:rPr>
        <w:t xml:space="preserve"> </w:t>
      </w:r>
      <w:r>
        <w:rPr>
          <w:sz w:val="20"/>
        </w:rPr>
        <w:t>Forge,</w:t>
      </w:r>
      <w:r>
        <w:rPr>
          <w:spacing w:val="-5"/>
          <w:sz w:val="20"/>
        </w:rPr>
        <w:t xml:space="preserve"> </w:t>
      </w:r>
      <w:r>
        <w:rPr>
          <w:sz w:val="20"/>
        </w:rPr>
        <w:t>N.,</w:t>
      </w:r>
      <w:r>
        <w:rPr>
          <w:spacing w:val="-4"/>
          <w:sz w:val="20"/>
        </w:rPr>
        <w:t xml:space="preserve"> </w:t>
      </w:r>
      <w:r>
        <w:rPr>
          <w:sz w:val="20"/>
        </w:rPr>
        <w:t>Hartinger-Saunders,</w:t>
      </w:r>
      <w:r>
        <w:rPr>
          <w:spacing w:val="-4"/>
          <w:sz w:val="20"/>
        </w:rPr>
        <w:t xml:space="preserve"> </w:t>
      </w:r>
      <w:r>
        <w:rPr>
          <w:sz w:val="20"/>
        </w:rPr>
        <w:t>R.,</w:t>
      </w:r>
      <w:r>
        <w:rPr>
          <w:spacing w:val="-6"/>
          <w:sz w:val="20"/>
        </w:rPr>
        <w:t xml:space="preserve"> </w:t>
      </w:r>
      <w:r>
        <w:rPr>
          <w:sz w:val="20"/>
        </w:rPr>
        <w:t>Wright,</w:t>
      </w:r>
      <w:r>
        <w:rPr>
          <w:spacing w:val="-7"/>
          <w:sz w:val="20"/>
        </w:rPr>
        <w:t xml:space="preserve"> </w:t>
      </w:r>
      <w:r>
        <w:rPr>
          <w:sz w:val="20"/>
        </w:rPr>
        <w:t>E.,</w:t>
      </w:r>
      <w:r>
        <w:rPr>
          <w:spacing w:val="-4"/>
          <w:sz w:val="20"/>
        </w:rPr>
        <w:t xml:space="preserve"> </w:t>
      </w:r>
      <w:r>
        <w:rPr>
          <w:sz w:val="20"/>
        </w:rPr>
        <w:t>&amp;</w:t>
      </w:r>
      <w:r>
        <w:rPr>
          <w:spacing w:val="-7"/>
          <w:sz w:val="20"/>
        </w:rPr>
        <w:t xml:space="preserve"> </w:t>
      </w:r>
      <w:r>
        <w:rPr>
          <w:sz w:val="20"/>
        </w:rPr>
        <w:t>Ruel,</w:t>
      </w:r>
      <w:r>
        <w:rPr>
          <w:spacing w:val="-6"/>
          <w:sz w:val="20"/>
        </w:rPr>
        <w:t xml:space="preserve"> </w:t>
      </w:r>
      <w:r>
        <w:rPr>
          <w:sz w:val="20"/>
        </w:rPr>
        <w:t>E.</w:t>
      </w:r>
      <w:r>
        <w:rPr>
          <w:spacing w:val="-7"/>
          <w:sz w:val="20"/>
        </w:rPr>
        <w:t xml:space="preserve"> </w:t>
      </w:r>
      <w:r>
        <w:rPr>
          <w:sz w:val="20"/>
        </w:rPr>
        <w:t>(2018).</w:t>
      </w:r>
      <w:r>
        <w:rPr>
          <w:spacing w:val="-6"/>
          <w:sz w:val="20"/>
        </w:rPr>
        <w:t xml:space="preserve"> </w:t>
      </w:r>
      <w:r>
        <w:rPr>
          <w:sz w:val="20"/>
        </w:rPr>
        <w:t>Out</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System</w:t>
      </w:r>
      <w:r>
        <w:rPr>
          <w:spacing w:val="-7"/>
          <w:sz w:val="20"/>
        </w:rPr>
        <w:t xml:space="preserve"> </w:t>
      </w:r>
      <w:r>
        <w:rPr>
          <w:sz w:val="20"/>
        </w:rPr>
        <w:t>and</w:t>
      </w:r>
      <w:r>
        <w:rPr>
          <w:spacing w:val="-5"/>
          <w:sz w:val="20"/>
        </w:rPr>
        <w:t xml:space="preserve"> </w:t>
      </w:r>
      <w:r>
        <w:rPr>
          <w:sz w:val="20"/>
        </w:rPr>
        <w:t>onto</w:t>
      </w:r>
      <w:r>
        <w:rPr>
          <w:spacing w:val="-5"/>
          <w:sz w:val="20"/>
        </w:rPr>
        <w:t xml:space="preserve"> </w:t>
      </w:r>
      <w:r>
        <w:rPr>
          <w:sz w:val="20"/>
        </w:rPr>
        <w:t>the</w:t>
      </w:r>
      <w:r>
        <w:rPr>
          <w:spacing w:val="-7"/>
          <w:sz w:val="20"/>
        </w:rPr>
        <w:t xml:space="preserve"> </w:t>
      </w:r>
      <w:r>
        <w:rPr>
          <w:sz w:val="20"/>
        </w:rPr>
        <w:t>Streets:</w:t>
      </w:r>
      <w:r>
        <w:rPr>
          <w:spacing w:val="-4"/>
          <w:sz w:val="20"/>
        </w:rPr>
        <w:t xml:space="preserve"> </w:t>
      </w:r>
      <w:r>
        <w:rPr>
          <w:sz w:val="20"/>
        </w:rPr>
        <w:t>LGBTQ</w:t>
      </w:r>
      <w:r>
        <w:rPr>
          <w:spacing w:val="-5"/>
          <w:sz w:val="20"/>
        </w:rPr>
        <w:t xml:space="preserve"> </w:t>
      </w:r>
      <w:r>
        <w:rPr>
          <w:sz w:val="20"/>
        </w:rPr>
        <w:t>- Identified Yo</w:t>
      </w:r>
      <w:r>
        <w:rPr>
          <w:sz w:val="20"/>
        </w:rPr>
        <w:t xml:space="preserve">uth Experiencing Homelessness with Past Child Welfare System Involvement. </w:t>
      </w:r>
      <w:r>
        <w:rPr>
          <w:i/>
          <w:sz w:val="20"/>
        </w:rPr>
        <w:t>Child Welfare</w:t>
      </w:r>
      <w:r>
        <w:rPr>
          <w:sz w:val="20"/>
        </w:rPr>
        <w:t xml:space="preserve">, </w:t>
      </w:r>
      <w:r>
        <w:rPr>
          <w:i/>
          <w:sz w:val="20"/>
        </w:rPr>
        <w:t>96</w:t>
      </w:r>
      <w:r>
        <w:rPr>
          <w:sz w:val="20"/>
        </w:rPr>
        <w:t>(2).</w:t>
      </w:r>
      <w:r>
        <w:rPr>
          <w:spacing w:val="90"/>
          <w:sz w:val="20"/>
        </w:rPr>
        <w:t xml:space="preserve"> </w:t>
      </w:r>
      <w:bookmarkStart w:id="376" w:name="_bookmark261"/>
      <w:bookmarkEnd w:id="376"/>
      <w:r>
        <w:rPr>
          <w:sz w:val="20"/>
          <w:vertAlign w:val="superscript"/>
        </w:rPr>
        <w:t>99</w:t>
      </w:r>
      <w:r>
        <w:rPr>
          <w:sz w:val="20"/>
        </w:rPr>
        <w:t xml:space="preserve"> Massachusetts Commission on Unaccompanied Homeless Youth. (2019).</w:t>
      </w:r>
    </w:p>
    <w:p w:rsidR="00C76E6D" w:rsidRDefault="00913831">
      <w:pPr>
        <w:ind w:left="480" w:right="530"/>
        <w:rPr>
          <w:sz w:val="20"/>
        </w:rPr>
      </w:pPr>
      <w:bookmarkStart w:id="377" w:name="_bookmark262"/>
      <w:bookmarkEnd w:id="377"/>
      <w:r>
        <w:rPr>
          <w:sz w:val="20"/>
          <w:vertAlign w:val="superscript"/>
        </w:rPr>
        <w:t>100</w:t>
      </w:r>
      <w:r>
        <w:rPr>
          <w:sz w:val="20"/>
        </w:rPr>
        <w:t xml:space="preserve"> Keuroghlian, A. S., Shtasel, D., &amp; Bassuk, E. L. (2014). Out on the Street: A Public He</w:t>
      </w:r>
      <w:r>
        <w:rPr>
          <w:sz w:val="20"/>
        </w:rPr>
        <w:t>alth and Policy Agenda for Lesbian,</w:t>
      </w:r>
      <w:r>
        <w:rPr>
          <w:spacing w:val="-6"/>
          <w:sz w:val="20"/>
        </w:rPr>
        <w:t xml:space="preserve"> </w:t>
      </w:r>
      <w:r>
        <w:rPr>
          <w:sz w:val="20"/>
        </w:rPr>
        <w:t>Gay,</w:t>
      </w:r>
      <w:r>
        <w:rPr>
          <w:spacing w:val="-8"/>
          <w:sz w:val="20"/>
        </w:rPr>
        <w:t xml:space="preserve"> </w:t>
      </w:r>
      <w:r>
        <w:rPr>
          <w:sz w:val="20"/>
        </w:rPr>
        <w:t>Bisexual,</w:t>
      </w:r>
      <w:r>
        <w:rPr>
          <w:spacing w:val="-6"/>
          <w:sz w:val="20"/>
        </w:rPr>
        <w:t xml:space="preserve"> </w:t>
      </w:r>
      <w:r>
        <w:rPr>
          <w:sz w:val="20"/>
        </w:rPr>
        <w:t>and</w:t>
      </w:r>
      <w:r>
        <w:rPr>
          <w:spacing w:val="-6"/>
          <w:sz w:val="20"/>
        </w:rPr>
        <w:t xml:space="preserve"> </w:t>
      </w:r>
      <w:r>
        <w:rPr>
          <w:sz w:val="20"/>
        </w:rPr>
        <w:t>Transgender</w:t>
      </w:r>
      <w:r>
        <w:rPr>
          <w:spacing w:val="-7"/>
          <w:sz w:val="20"/>
        </w:rPr>
        <w:t xml:space="preserve"> </w:t>
      </w:r>
      <w:r>
        <w:rPr>
          <w:sz w:val="20"/>
        </w:rPr>
        <w:t>Youth</w:t>
      </w:r>
      <w:r>
        <w:rPr>
          <w:spacing w:val="-7"/>
          <w:sz w:val="20"/>
        </w:rPr>
        <w:t xml:space="preserve"> </w:t>
      </w:r>
      <w:r>
        <w:rPr>
          <w:sz w:val="20"/>
        </w:rPr>
        <w:t>Who</w:t>
      </w:r>
      <w:r>
        <w:rPr>
          <w:spacing w:val="-8"/>
          <w:sz w:val="20"/>
        </w:rPr>
        <w:t xml:space="preserve"> </w:t>
      </w:r>
      <w:r>
        <w:rPr>
          <w:sz w:val="20"/>
        </w:rPr>
        <w:t>Are</w:t>
      </w:r>
      <w:r>
        <w:rPr>
          <w:spacing w:val="-8"/>
          <w:sz w:val="20"/>
        </w:rPr>
        <w:t xml:space="preserve"> </w:t>
      </w:r>
      <w:r>
        <w:rPr>
          <w:sz w:val="20"/>
        </w:rPr>
        <w:t>Homeless.</w:t>
      </w:r>
      <w:r>
        <w:rPr>
          <w:spacing w:val="-7"/>
          <w:sz w:val="20"/>
        </w:rPr>
        <w:t xml:space="preserve"> </w:t>
      </w:r>
      <w:r>
        <w:rPr>
          <w:i/>
          <w:sz w:val="20"/>
        </w:rPr>
        <w:t>The</w:t>
      </w:r>
      <w:r>
        <w:rPr>
          <w:i/>
          <w:spacing w:val="-6"/>
          <w:sz w:val="20"/>
        </w:rPr>
        <w:t xml:space="preserve"> </w:t>
      </w:r>
      <w:r>
        <w:rPr>
          <w:i/>
          <w:sz w:val="20"/>
        </w:rPr>
        <w:t>American</w:t>
      </w:r>
      <w:r>
        <w:rPr>
          <w:i/>
          <w:spacing w:val="-6"/>
          <w:sz w:val="20"/>
        </w:rPr>
        <w:t xml:space="preserve"> </w:t>
      </w:r>
      <w:r>
        <w:rPr>
          <w:i/>
          <w:sz w:val="20"/>
        </w:rPr>
        <w:t>Journal</w:t>
      </w:r>
      <w:r>
        <w:rPr>
          <w:i/>
          <w:spacing w:val="-7"/>
          <w:sz w:val="20"/>
        </w:rPr>
        <w:t xml:space="preserve"> </w:t>
      </w:r>
      <w:r>
        <w:rPr>
          <w:i/>
          <w:sz w:val="20"/>
        </w:rPr>
        <w:t>of</w:t>
      </w:r>
      <w:r>
        <w:rPr>
          <w:i/>
          <w:spacing w:val="-7"/>
          <w:sz w:val="20"/>
        </w:rPr>
        <w:t xml:space="preserve"> </w:t>
      </w:r>
      <w:r>
        <w:rPr>
          <w:i/>
          <w:sz w:val="20"/>
        </w:rPr>
        <w:t>Orthopsychiatry</w:t>
      </w:r>
      <w:r>
        <w:rPr>
          <w:sz w:val="20"/>
        </w:rPr>
        <w:t>,</w:t>
      </w:r>
      <w:r>
        <w:rPr>
          <w:spacing w:val="-7"/>
          <w:sz w:val="20"/>
        </w:rPr>
        <w:t xml:space="preserve"> </w:t>
      </w:r>
      <w:r>
        <w:rPr>
          <w:i/>
          <w:sz w:val="20"/>
        </w:rPr>
        <w:t>84</w:t>
      </w:r>
      <w:r>
        <w:rPr>
          <w:sz w:val="20"/>
        </w:rPr>
        <w:t xml:space="preserve">(1), </w:t>
      </w:r>
      <w:bookmarkStart w:id="378" w:name="_bookmark263"/>
      <w:bookmarkEnd w:id="378"/>
      <w:r>
        <w:rPr>
          <w:sz w:val="20"/>
        </w:rPr>
        <w:t xml:space="preserve">66–72. Retrieved from </w:t>
      </w:r>
      <w:hyperlink r:id="rId243">
        <w:r>
          <w:rPr>
            <w:sz w:val="20"/>
          </w:rPr>
          <w:t>https://www.ncbi.nlm.nih.gov/pmc/articles/PMC4098056/</w:t>
        </w:r>
      </w:hyperlink>
    </w:p>
    <w:p w:rsidR="00C76E6D" w:rsidRDefault="00913831">
      <w:pPr>
        <w:ind w:left="481" w:right="530" w:hanging="3"/>
        <w:rPr>
          <w:sz w:val="20"/>
        </w:rPr>
      </w:pPr>
      <w:r>
        <w:rPr>
          <w:sz w:val="20"/>
          <w:vertAlign w:val="superscript"/>
        </w:rPr>
        <w:t>101</w:t>
      </w:r>
      <w:r>
        <w:rPr>
          <w:spacing w:val="-4"/>
          <w:sz w:val="20"/>
        </w:rPr>
        <w:t xml:space="preserve"> </w:t>
      </w:r>
      <w:r>
        <w:rPr>
          <w:sz w:val="20"/>
        </w:rPr>
        <w:t>Fraser,</w:t>
      </w:r>
      <w:r>
        <w:rPr>
          <w:spacing w:val="-4"/>
          <w:sz w:val="20"/>
        </w:rPr>
        <w:t xml:space="preserve"> </w:t>
      </w:r>
      <w:r>
        <w:rPr>
          <w:sz w:val="20"/>
        </w:rPr>
        <w:t>et</w:t>
      </w:r>
      <w:r>
        <w:rPr>
          <w:spacing w:val="-4"/>
          <w:sz w:val="20"/>
        </w:rPr>
        <w:t xml:space="preserve"> </w:t>
      </w:r>
      <w:r>
        <w:rPr>
          <w:sz w:val="20"/>
        </w:rPr>
        <w:t>al.,</w:t>
      </w:r>
      <w:r>
        <w:rPr>
          <w:spacing w:val="-5"/>
          <w:sz w:val="20"/>
        </w:rPr>
        <w:t xml:space="preserve"> </w:t>
      </w:r>
      <w:r>
        <w:rPr>
          <w:sz w:val="20"/>
        </w:rPr>
        <w:t>(2019).</w:t>
      </w:r>
      <w:r>
        <w:rPr>
          <w:spacing w:val="-5"/>
          <w:sz w:val="20"/>
        </w:rPr>
        <w:t xml:space="preserve"> </w:t>
      </w:r>
      <w:r>
        <w:rPr>
          <w:sz w:val="20"/>
        </w:rPr>
        <w:t>LGBTIQ+</w:t>
      </w:r>
      <w:r>
        <w:rPr>
          <w:spacing w:val="-5"/>
          <w:sz w:val="20"/>
        </w:rPr>
        <w:t xml:space="preserve"> </w:t>
      </w:r>
      <w:r>
        <w:rPr>
          <w:sz w:val="20"/>
        </w:rPr>
        <w:t>homelessness:</w:t>
      </w:r>
      <w:r>
        <w:rPr>
          <w:spacing w:val="-4"/>
          <w:sz w:val="20"/>
        </w:rPr>
        <w:t xml:space="preserve"> </w:t>
      </w:r>
      <w:r>
        <w:rPr>
          <w:sz w:val="20"/>
        </w:rPr>
        <w:t>A</w:t>
      </w:r>
      <w:r>
        <w:rPr>
          <w:spacing w:val="-4"/>
          <w:sz w:val="20"/>
        </w:rPr>
        <w:t xml:space="preserve"> </w:t>
      </w:r>
      <w:r>
        <w:rPr>
          <w:sz w:val="20"/>
        </w:rPr>
        <w:t>review</w:t>
      </w:r>
      <w:r>
        <w:rPr>
          <w:spacing w:val="-6"/>
          <w:sz w:val="20"/>
        </w:rPr>
        <w:t xml:space="preserve"> </w:t>
      </w:r>
      <w:r>
        <w:rPr>
          <w:sz w:val="20"/>
        </w:rPr>
        <w:t>of</w:t>
      </w:r>
      <w:r>
        <w:rPr>
          <w:spacing w:val="-6"/>
          <w:sz w:val="20"/>
        </w:rPr>
        <w:t xml:space="preserve"> </w:t>
      </w:r>
      <w:r>
        <w:rPr>
          <w:sz w:val="20"/>
        </w:rPr>
        <w:t>the</w:t>
      </w:r>
      <w:r>
        <w:rPr>
          <w:spacing w:val="-5"/>
          <w:sz w:val="20"/>
        </w:rPr>
        <w:t xml:space="preserve"> </w:t>
      </w:r>
      <w:r>
        <w:rPr>
          <w:sz w:val="20"/>
        </w:rPr>
        <w:t>literature.</w:t>
      </w:r>
      <w:r>
        <w:rPr>
          <w:spacing w:val="-6"/>
          <w:sz w:val="20"/>
        </w:rPr>
        <w:t xml:space="preserve"> </w:t>
      </w:r>
      <w:r>
        <w:rPr>
          <w:i/>
          <w:sz w:val="20"/>
        </w:rPr>
        <w:t>International</w:t>
      </w:r>
      <w:r>
        <w:rPr>
          <w:i/>
          <w:spacing w:val="-7"/>
          <w:sz w:val="20"/>
        </w:rPr>
        <w:t xml:space="preserve"> </w:t>
      </w:r>
      <w:r>
        <w:rPr>
          <w:i/>
          <w:sz w:val="20"/>
        </w:rPr>
        <w:t>journal</w:t>
      </w:r>
      <w:r>
        <w:rPr>
          <w:i/>
          <w:spacing w:val="-6"/>
          <w:sz w:val="20"/>
        </w:rPr>
        <w:t xml:space="preserve"> </w:t>
      </w:r>
      <w:r>
        <w:rPr>
          <w:i/>
          <w:sz w:val="20"/>
        </w:rPr>
        <w:t>of</w:t>
      </w:r>
      <w:r>
        <w:rPr>
          <w:i/>
          <w:spacing w:val="-6"/>
          <w:sz w:val="20"/>
        </w:rPr>
        <w:t xml:space="preserve"> </w:t>
      </w:r>
      <w:r>
        <w:rPr>
          <w:i/>
          <w:sz w:val="20"/>
        </w:rPr>
        <w:t>environmental research and public health</w:t>
      </w:r>
      <w:r>
        <w:rPr>
          <w:sz w:val="20"/>
        </w:rPr>
        <w:t xml:space="preserve">, </w:t>
      </w:r>
      <w:r>
        <w:rPr>
          <w:i/>
          <w:sz w:val="20"/>
        </w:rPr>
        <w:t>16</w:t>
      </w:r>
      <w:r>
        <w:rPr>
          <w:sz w:val="20"/>
        </w:rPr>
        <w:t>(15), 2677-2690.</w:t>
      </w:r>
    </w:p>
    <w:p w:rsidR="00C76E6D" w:rsidRDefault="00913831">
      <w:pPr>
        <w:ind w:left="480" w:right="698"/>
        <w:rPr>
          <w:sz w:val="20"/>
        </w:rPr>
      </w:pPr>
      <w:bookmarkStart w:id="379" w:name="_bookmark264"/>
      <w:bookmarkEnd w:id="379"/>
      <w:r>
        <w:rPr>
          <w:sz w:val="20"/>
          <w:vertAlign w:val="superscript"/>
        </w:rPr>
        <w:t>102</w:t>
      </w:r>
      <w:r>
        <w:rPr>
          <w:sz w:val="20"/>
        </w:rPr>
        <w:t xml:space="preserve"> Walls, N. E. &amp; Bell, S. (2011). Co</w:t>
      </w:r>
      <w:r>
        <w:rPr>
          <w:sz w:val="20"/>
        </w:rPr>
        <w:t>rrelates of Engaging in Survival Sex Among Homeless Youth and Young Adults.</w:t>
      </w:r>
      <w:r>
        <w:rPr>
          <w:i/>
          <w:sz w:val="20"/>
        </w:rPr>
        <w:t>Journal</w:t>
      </w:r>
      <w:r>
        <w:rPr>
          <w:i/>
          <w:spacing w:val="-12"/>
          <w:sz w:val="20"/>
        </w:rPr>
        <w:t xml:space="preserve"> </w:t>
      </w:r>
      <w:r>
        <w:rPr>
          <w:i/>
          <w:sz w:val="20"/>
        </w:rPr>
        <w:t>of</w:t>
      </w:r>
      <w:r>
        <w:rPr>
          <w:i/>
          <w:spacing w:val="-10"/>
          <w:sz w:val="20"/>
        </w:rPr>
        <w:t xml:space="preserve"> </w:t>
      </w:r>
      <w:r>
        <w:rPr>
          <w:i/>
          <w:sz w:val="20"/>
        </w:rPr>
        <w:t>Sex</w:t>
      </w:r>
      <w:r>
        <w:rPr>
          <w:i/>
          <w:spacing w:val="-12"/>
          <w:sz w:val="20"/>
        </w:rPr>
        <w:t xml:space="preserve"> </w:t>
      </w:r>
      <w:r>
        <w:rPr>
          <w:i/>
          <w:sz w:val="20"/>
        </w:rPr>
        <w:t>Research</w:t>
      </w:r>
      <w:r>
        <w:rPr>
          <w:sz w:val="20"/>
        </w:rPr>
        <w:t>,</w:t>
      </w:r>
      <w:r>
        <w:rPr>
          <w:spacing w:val="-9"/>
          <w:sz w:val="20"/>
        </w:rPr>
        <w:t xml:space="preserve"> </w:t>
      </w:r>
      <w:r>
        <w:rPr>
          <w:i/>
          <w:sz w:val="20"/>
        </w:rPr>
        <w:t>48</w:t>
      </w:r>
      <w:r>
        <w:rPr>
          <w:sz w:val="20"/>
        </w:rPr>
        <w:t>(5),</w:t>
      </w:r>
      <w:r>
        <w:rPr>
          <w:spacing w:val="-9"/>
          <w:sz w:val="20"/>
        </w:rPr>
        <w:t xml:space="preserve"> </w:t>
      </w:r>
      <w:r>
        <w:rPr>
          <w:sz w:val="20"/>
        </w:rPr>
        <w:t>423–36.</w:t>
      </w:r>
      <w:r>
        <w:rPr>
          <w:spacing w:val="-9"/>
          <w:sz w:val="20"/>
        </w:rPr>
        <w:t xml:space="preserve"> </w:t>
      </w:r>
      <w:r>
        <w:rPr>
          <w:sz w:val="20"/>
        </w:rPr>
        <w:t>Retrieved</w:t>
      </w:r>
      <w:r>
        <w:rPr>
          <w:spacing w:val="-9"/>
          <w:sz w:val="20"/>
        </w:rPr>
        <w:t xml:space="preserve"> </w:t>
      </w:r>
      <w:r>
        <w:rPr>
          <w:sz w:val="20"/>
        </w:rPr>
        <w:t>from</w:t>
      </w:r>
      <w:r>
        <w:rPr>
          <w:spacing w:val="-9"/>
          <w:sz w:val="20"/>
        </w:rPr>
        <w:t xml:space="preserve"> </w:t>
      </w:r>
      <w:hyperlink r:id="rId244">
        <w:r>
          <w:rPr>
            <w:sz w:val="20"/>
          </w:rPr>
          <w:t>https://www.ncbi.nlm.nih.gov/pubmed/20799134</w:t>
        </w:r>
      </w:hyperlink>
      <w:r>
        <w:rPr>
          <w:sz w:val="20"/>
        </w:rPr>
        <w:t xml:space="preserve"> </w:t>
      </w:r>
      <w:bookmarkStart w:id="380" w:name="_bookmark265"/>
      <w:bookmarkEnd w:id="380"/>
      <w:r>
        <w:rPr>
          <w:sz w:val="20"/>
          <w:vertAlign w:val="superscript"/>
        </w:rPr>
        <w:t>103</w:t>
      </w:r>
      <w:r>
        <w:rPr>
          <w:sz w:val="20"/>
        </w:rPr>
        <w:t xml:space="preserve"> </w:t>
      </w:r>
      <w:bookmarkStart w:id="381" w:name="_bookmark266"/>
      <w:bookmarkEnd w:id="381"/>
      <w:r>
        <w:rPr>
          <w:sz w:val="20"/>
        </w:rPr>
        <w:t>Ma</w:t>
      </w:r>
      <w:r>
        <w:rPr>
          <w:sz w:val="20"/>
        </w:rPr>
        <w:t>ssachusetts Commission on Unaccompanied Homeless Youth. (2019).</w:t>
      </w:r>
    </w:p>
    <w:p w:rsidR="00C76E6D" w:rsidRDefault="00913831">
      <w:pPr>
        <w:ind w:left="480" w:right="1033"/>
        <w:rPr>
          <w:sz w:val="20"/>
        </w:rPr>
      </w:pPr>
      <w:r>
        <w:rPr>
          <w:sz w:val="20"/>
          <w:vertAlign w:val="superscript"/>
        </w:rPr>
        <w:t>104</w:t>
      </w:r>
      <w:r>
        <w:rPr>
          <w:spacing w:val="-4"/>
          <w:sz w:val="20"/>
        </w:rPr>
        <w:t xml:space="preserve"> </w:t>
      </w:r>
      <w:r>
        <w:rPr>
          <w:sz w:val="20"/>
        </w:rPr>
        <w:t>Dank,</w:t>
      </w:r>
      <w:r>
        <w:rPr>
          <w:spacing w:val="-5"/>
          <w:sz w:val="20"/>
        </w:rPr>
        <w:t xml:space="preserve"> </w:t>
      </w:r>
      <w:r>
        <w:rPr>
          <w:sz w:val="20"/>
        </w:rPr>
        <w:t>M.,</w:t>
      </w:r>
      <w:r>
        <w:rPr>
          <w:spacing w:val="-5"/>
          <w:sz w:val="20"/>
        </w:rPr>
        <w:t xml:space="preserve"> </w:t>
      </w:r>
      <w:r>
        <w:rPr>
          <w:sz w:val="20"/>
        </w:rPr>
        <w:t>Yu,</w:t>
      </w:r>
      <w:r>
        <w:rPr>
          <w:spacing w:val="-7"/>
          <w:sz w:val="20"/>
        </w:rPr>
        <w:t xml:space="preserve"> </w:t>
      </w:r>
      <w:r>
        <w:rPr>
          <w:sz w:val="20"/>
        </w:rPr>
        <w:t>L.,</w:t>
      </w:r>
      <w:r>
        <w:rPr>
          <w:spacing w:val="-4"/>
          <w:sz w:val="20"/>
        </w:rPr>
        <w:t xml:space="preserve"> </w:t>
      </w:r>
      <w:r>
        <w:rPr>
          <w:sz w:val="20"/>
        </w:rPr>
        <w:t>Yahner,</w:t>
      </w:r>
      <w:r>
        <w:rPr>
          <w:spacing w:val="-4"/>
          <w:sz w:val="20"/>
        </w:rPr>
        <w:t xml:space="preserve"> </w:t>
      </w:r>
      <w:r>
        <w:rPr>
          <w:sz w:val="20"/>
        </w:rPr>
        <w:t>J.,</w:t>
      </w:r>
      <w:r>
        <w:rPr>
          <w:spacing w:val="-5"/>
          <w:sz w:val="20"/>
        </w:rPr>
        <w:t xml:space="preserve"> </w:t>
      </w:r>
      <w:r>
        <w:rPr>
          <w:sz w:val="20"/>
        </w:rPr>
        <w:t>Pelletier,</w:t>
      </w:r>
      <w:r>
        <w:rPr>
          <w:spacing w:val="-4"/>
          <w:sz w:val="20"/>
        </w:rPr>
        <w:t xml:space="preserve"> </w:t>
      </w:r>
      <w:r>
        <w:rPr>
          <w:sz w:val="20"/>
        </w:rPr>
        <w:t>E.,</w:t>
      </w:r>
      <w:r>
        <w:rPr>
          <w:spacing w:val="-6"/>
          <w:sz w:val="20"/>
        </w:rPr>
        <w:t xml:space="preserve"> </w:t>
      </w:r>
      <w:r>
        <w:rPr>
          <w:sz w:val="20"/>
        </w:rPr>
        <w:t>Mora,</w:t>
      </w:r>
      <w:r>
        <w:rPr>
          <w:spacing w:val="-5"/>
          <w:sz w:val="20"/>
        </w:rPr>
        <w:t xml:space="preserve"> </w:t>
      </w:r>
      <w:r>
        <w:rPr>
          <w:sz w:val="20"/>
        </w:rPr>
        <w:t>M.,</w:t>
      </w:r>
      <w:r>
        <w:rPr>
          <w:spacing w:val="-4"/>
          <w:sz w:val="20"/>
        </w:rPr>
        <w:t xml:space="preserve"> </w:t>
      </w:r>
      <w:r>
        <w:rPr>
          <w:sz w:val="20"/>
        </w:rPr>
        <w:t>&amp;</w:t>
      </w:r>
      <w:r>
        <w:rPr>
          <w:spacing w:val="-5"/>
          <w:sz w:val="20"/>
        </w:rPr>
        <w:t xml:space="preserve"> </w:t>
      </w:r>
      <w:r>
        <w:rPr>
          <w:sz w:val="20"/>
        </w:rPr>
        <w:t>Conner,</w:t>
      </w:r>
      <w:r>
        <w:rPr>
          <w:spacing w:val="-5"/>
          <w:sz w:val="20"/>
        </w:rPr>
        <w:t xml:space="preserve"> </w:t>
      </w:r>
      <w:r>
        <w:rPr>
          <w:sz w:val="20"/>
        </w:rPr>
        <w:t>B.</w:t>
      </w:r>
      <w:r>
        <w:rPr>
          <w:spacing w:val="-7"/>
          <w:sz w:val="20"/>
        </w:rPr>
        <w:t xml:space="preserve"> </w:t>
      </w:r>
      <w:r>
        <w:rPr>
          <w:sz w:val="20"/>
        </w:rPr>
        <w:t>M.</w:t>
      </w:r>
      <w:r>
        <w:rPr>
          <w:spacing w:val="-7"/>
          <w:sz w:val="20"/>
        </w:rPr>
        <w:t xml:space="preserve"> </w:t>
      </w:r>
      <w:r>
        <w:rPr>
          <w:sz w:val="20"/>
        </w:rPr>
        <w:t>(2015).</w:t>
      </w:r>
      <w:r>
        <w:rPr>
          <w:spacing w:val="-5"/>
          <w:sz w:val="20"/>
        </w:rPr>
        <w:t xml:space="preserve"> </w:t>
      </w:r>
      <w:r>
        <w:rPr>
          <w:sz w:val="20"/>
        </w:rPr>
        <w:t>Locked</w:t>
      </w:r>
      <w:r>
        <w:rPr>
          <w:spacing w:val="-4"/>
          <w:sz w:val="20"/>
        </w:rPr>
        <w:t xml:space="preserve"> </w:t>
      </w:r>
      <w:r>
        <w:rPr>
          <w:sz w:val="20"/>
        </w:rPr>
        <w:t>in:</w:t>
      </w:r>
      <w:r>
        <w:rPr>
          <w:spacing w:val="-4"/>
          <w:sz w:val="20"/>
        </w:rPr>
        <w:t xml:space="preserve"> </w:t>
      </w:r>
      <w:r>
        <w:rPr>
          <w:sz w:val="20"/>
        </w:rPr>
        <w:t>Interactions</w:t>
      </w:r>
      <w:r>
        <w:rPr>
          <w:spacing w:val="-6"/>
          <w:sz w:val="20"/>
        </w:rPr>
        <w:t xml:space="preserve"> </w:t>
      </w:r>
      <w:r>
        <w:rPr>
          <w:sz w:val="20"/>
        </w:rPr>
        <w:t>with</w:t>
      </w:r>
      <w:r>
        <w:rPr>
          <w:spacing w:val="-6"/>
          <w:sz w:val="20"/>
        </w:rPr>
        <w:t xml:space="preserve"> </w:t>
      </w:r>
      <w:r>
        <w:rPr>
          <w:sz w:val="20"/>
        </w:rPr>
        <w:t>the criminal justice and child welfare systems for LGBTQ youth, YMSM, and YWSW w</w:t>
      </w:r>
      <w:r>
        <w:rPr>
          <w:sz w:val="20"/>
        </w:rPr>
        <w:t xml:space="preserve">ho engage in survival sex. </w:t>
      </w:r>
      <w:bookmarkStart w:id="382" w:name="_bookmark267"/>
      <w:bookmarkEnd w:id="382"/>
      <w:r>
        <w:rPr>
          <w:sz w:val="20"/>
          <w:vertAlign w:val="superscript"/>
        </w:rPr>
        <w:t>105</w:t>
      </w:r>
      <w:r>
        <w:rPr>
          <w:sz w:val="20"/>
        </w:rPr>
        <w:t xml:space="preserve"> Barrow, Steven K. "Scholarship Review of Queer Youth Homelessness in Canada and the United States." </w:t>
      </w:r>
      <w:bookmarkStart w:id="383" w:name="_bookmark268"/>
      <w:bookmarkEnd w:id="383"/>
      <w:r>
        <w:rPr>
          <w:i/>
          <w:sz w:val="20"/>
        </w:rPr>
        <w:t xml:space="preserve">American Review of Canadian Studies </w:t>
      </w:r>
      <w:r>
        <w:rPr>
          <w:sz w:val="20"/>
        </w:rPr>
        <w:t>48, no. 4 (2018): 415-431.</w:t>
      </w:r>
    </w:p>
    <w:p w:rsidR="00C76E6D" w:rsidRDefault="00913831">
      <w:pPr>
        <w:ind w:left="480"/>
        <w:rPr>
          <w:sz w:val="20"/>
        </w:rPr>
      </w:pPr>
      <w:r>
        <w:rPr>
          <w:sz w:val="20"/>
          <w:vertAlign w:val="superscript"/>
        </w:rPr>
        <w:t>106</w:t>
      </w:r>
      <w:r>
        <w:rPr>
          <w:spacing w:val="-6"/>
          <w:sz w:val="20"/>
        </w:rPr>
        <w:t xml:space="preserve"> </w:t>
      </w:r>
      <w:r>
        <w:rPr>
          <w:sz w:val="20"/>
        </w:rPr>
        <w:t>Chapin</w:t>
      </w:r>
      <w:r>
        <w:rPr>
          <w:spacing w:val="-6"/>
          <w:sz w:val="20"/>
        </w:rPr>
        <w:t xml:space="preserve"> </w:t>
      </w:r>
      <w:r>
        <w:rPr>
          <w:sz w:val="20"/>
        </w:rPr>
        <w:t>Hall</w:t>
      </w:r>
      <w:r>
        <w:rPr>
          <w:spacing w:val="-8"/>
          <w:sz w:val="20"/>
        </w:rPr>
        <w:t xml:space="preserve"> </w:t>
      </w:r>
      <w:r>
        <w:rPr>
          <w:sz w:val="20"/>
        </w:rPr>
        <w:t>at</w:t>
      </w:r>
      <w:r>
        <w:rPr>
          <w:spacing w:val="-6"/>
          <w:sz w:val="20"/>
        </w:rPr>
        <w:t xml:space="preserve"> </w:t>
      </w:r>
      <w:r>
        <w:rPr>
          <w:sz w:val="20"/>
        </w:rPr>
        <w:t>the</w:t>
      </w:r>
      <w:r>
        <w:rPr>
          <w:spacing w:val="-6"/>
          <w:sz w:val="20"/>
        </w:rPr>
        <w:t xml:space="preserve"> </w:t>
      </w:r>
      <w:r>
        <w:rPr>
          <w:sz w:val="20"/>
        </w:rPr>
        <w:t>University</w:t>
      </w:r>
      <w:r>
        <w:rPr>
          <w:spacing w:val="-7"/>
          <w:sz w:val="20"/>
        </w:rPr>
        <w:t xml:space="preserve"> </w:t>
      </w:r>
      <w:r>
        <w:rPr>
          <w:sz w:val="20"/>
        </w:rPr>
        <w:t>of</w:t>
      </w:r>
      <w:r>
        <w:rPr>
          <w:spacing w:val="-6"/>
          <w:sz w:val="20"/>
        </w:rPr>
        <w:t xml:space="preserve"> </w:t>
      </w:r>
      <w:r>
        <w:rPr>
          <w:sz w:val="20"/>
        </w:rPr>
        <w:t>Chicago.</w:t>
      </w:r>
      <w:r>
        <w:rPr>
          <w:spacing w:val="-6"/>
          <w:sz w:val="20"/>
        </w:rPr>
        <w:t xml:space="preserve"> </w:t>
      </w:r>
      <w:r>
        <w:rPr>
          <w:spacing w:val="-2"/>
          <w:sz w:val="20"/>
        </w:rPr>
        <w:t>(2018).</w:t>
      </w:r>
    </w:p>
    <w:p w:rsidR="00C76E6D" w:rsidRDefault="00913831">
      <w:pPr>
        <w:spacing w:before="2"/>
        <w:ind w:left="480" w:right="530" w:hanging="1"/>
        <w:rPr>
          <w:sz w:val="20"/>
        </w:rPr>
      </w:pPr>
      <w:bookmarkStart w:id="384" w:name="_bookmark269"/>
      <w:bookmarkEnd w:id="384"/>
      <w:r>
        <w:rPr>
          <w:sz w:val="20"/>
          <w:vertAlign w:val="superscript"/>
        </w:rPr>
        <w:t>107</w:t>
      </w:r>
      <w:r>
        <w:rPr>
          <w:spacing w:val="-7"/>
          <w:sz w:val="20"/>
        </w:rPr>
        <w:t xml:space="preserve"> </w:t>
      </w:r>
      <w:r>
        <w:rPr>
          <w:sz w:val="20"/>
        </w:rPr>
        <w:t>Cutuli,</w:t>
      </w:r>
      <w:r>
        <w:rPr>
          <w:spacing w:val="-8"/>
          <w:sz w:val="20"/>
        </w:rPr>
        <w:t xml:space="preserve"> </w:t>
      </w:r>
      <w:r>
        <w:rPr>
          <w:sz w:val="20"/>
        </w:rPr>
        <w:t>J.</w:t>
      </w:r>
      <w:r>
        <w:rPr>
          <w:spacing w:val="-8"/>
          <w:sz w:val="20"/>
        </w:rPr>
        <w:t xml:space="preserve"> </w:t>
      </w:r>
      <w:r>
        <w:rPr>
          <w:sz w:val="20"/>
        </w:rPr>
        <w:t>J.</w:t>
      </w:r>
      <w:r>
        <w:rPr>
          <w:spacing w:val="-8"/>
          <w:sz w:val="20"/>
        </w:rPr>
        <w:t xml:space="preserve"> </w:t>
      </w:r>
      <w:r>
        <w:rPr>
          <w:sz w:val="20"/>
        </w:rPr>
        <w:t>"Homelessness</w:t>
      </w:r>
      <w:r>
        <w:rPr>
          <w:spacing w:val="-8"/>
          <w:sz w:val="20"/>
        </w:rPr>
        <w:t xml:space="preserve"> </w:t>
      </w:r>
      <w:r>
        <w:rPr>
          <w:sz w:val="20"/>
        </w:rPr>
        <w:t>in</w:t>
      </w:r>
      <w:r>
        <w:rPr>
          <w:spacing w:val="-7"/>
          <w:sz w:val="20"/>
        </w:rPr>
        <w:t xml:space="preserve"> </w:t>
      </w:r>
      <w:r>
        <w:rPr>
          <w:sz w:val="20"/>
        </w:rPr>
        <w:t>high</w:t>
      </w:r>
      <w:r>
        <w:rPr>
          <w:spacing w:val="-8"/>
          <w:sz w:val="20"/>
        </w:rPr>
        <w:t xml:space="preserve"> </w:t>
      </w:r>
      <w:r>
        <w:rPr>
          <w:sz w:val="20"/>
        </w:rPr>
        <w:t>school:</w:t>
      </w:r>
      <w:r>
        <w:rPr>
          <w:spacing w:val="-9"/>
          <w:sz w:val="20"/>
        </w:rPr>
        <w:t xml:space="preserve"> </w:t>
      </w:r>
      <w:r>
        <w:rPr>
          <w:sz w:val="20"/>
        </w:rPr>
        <w:t>population-representative</w:t>
      </w:r>
      <w:r>
        <w:rPr>
          <w:spacing w:val="-8"/>
          <w:sz w:val="20"/>
        </w:rPr>
        <w:t xml:space="preserve"> </w:t>
      </w:r>
      <w:r>
        <w:rPr>
          <w:sz w:val="20"/>
        </w:rPr>
        <w:t>rates</w:t>
      </w:r>
      <w:r>
        <w:rPr>
          <w:spacing w:val="-8"/>
          <w:sz w:val="20"/>
        </w:rPr>
        <w:t xml:space="preserve"> </w:t>
      </w:r>
      <w:r>
        <w:rPr>
          <w:sz w:val="20"/>
        </w:rPr>
        <w:t>of</w:t>
      </w:r>
      <w:r>
        <w:rPr>
          <w:spacing w:val="-8"/>
          <w:sz w:val="20"/>
        </w:rPr>
        <w:t xml:space="preserve"> </w:t>
      </w:r>
      <w:r>
        <w:rPr>
          <w:sz w:val="20"/>
        </w:rPr>
        <w:t>self-reported</w:t>
      </w:r>
      <w:r>
        <w:rPr>
          <w:spacing w:val="-8"/>
          <w:sz w:val="20"/>
        </w:rPr>
        <w:t xml:space="preserve"> </w:t>
      </w:r>
      <w:r>
        <w:rPr>
          <w:sz w:val="20"/>
        </w:rPr>
        <w:t xml:space="preserve">homelessness, </w:t>
      </w:r>
      <w:bookmarkStart w:id="385" w:name="_bookmark270"/>
      <w:bookmarkEnd w:id="385"/>
      <w:r>
        <w:rPr>
          <w:sz w:val="20"/>
        </w:rPr>
        <w:t xml:space="preserve">resilience, and risk in Philadelphia." </w:t>
      </w:r>
      <w:r>
        <w:rPr>
          <w:i/>
          <w:sz w:val="20"/>
        </w:rPr>
        <w:t xml:space="preserve">Social Work Research </w:t>
      </w:r>
      <w:r>
        <w:rPr>
          <w:sz w:val="20"/>
        </w:rPr>
        <w:t>42, no. 3 (2018): 159-168.</w:t>
      </w:r>
    </w:p>
    <w:p w:rsidR="00C76E6D" w:rsidRDefault="00913831">
      <w:pPr>
        <w:ind w:left="478" w:right="698"/>
        <w:rPr>
          <w:sz w:val="20"/>
        </w:rPr>
      </w:pPr>
      <w:r>
        <w:rPr>
          <w:sz w:val="20"/>
          <w:vertAlign w:val="superscript"/>
        </w:rPr>
        <w:t>108</w:t>
      </w:r>
      <w:r>
        <w:rPr>
          <w:sz w:val="20"/>
        </w:rPr>
        <w:t xml:space="preserve"> Corliss, Heather L., Carol S. Goodenow, Lauren Nichols, an</w:t>
      </w:r>
      <w:r>
        <w:rPr>
          <w:sz w:val="20"/>
        </w:rPr>
        <w:t>d S. Bryn Austin. "High burden of homelessness amongsexual-minority</w:t>
      </w:r>
      <w:r>
        <w:rPr>
          <w:spacing w:val="-7"/>
          <w:sz w:val="20"/>
        </w:rPr>
        <w:t xml:space="preserve"> </w:t>
      </w:r>
      <w:r>
        <w:rPr>
          <w:sz w:val="20"/>
        </w:rPr>
        <w:t>adolescents:</w:t>
      </w:r>
      <w:r>
        <w:rPr>
          <w:spacing w:val="-9"/>
          <w:sz w:val="20"/>
        </w:rPr>
        <w:t xml:space="preserve"> </w:t>
      </w:r>
      <w:r>
        <w:rPr>
          <w:sz w:val="20"/>
        </w:rPr>
        <w:t>findings</w:t>
      </w:r>
      <w:r>
        <w:rPr>
          <w:spacing w:val="-8"/>
          <w:sz w:val="20"/>
        </w:rPr>
        <w:t xml:space="preserve"> </w:t>
      </w:r>
      <w:r>
        <w:rPr>
          <w:sz w:val="20"/>
        </w:rPr>
        <w:t>from</w:t>
      </w:r>
      <w:r>
        <w:rPr>
          <w:spacing w:val="-9"/>
          <w:sz w:val="20"/>
        </w:rPr>
        <w:t xml:space="preserve"> </w:t>
      </w:r>
      <w:r>
        <w:rPr>
          <w:sz w:val="20"/>
        </w:rPr>
        <w:t>a</w:t>
      </w:r>
      <w:r>
        <w:rPr>
          <w:spacing w:val="-9"/>
          <w:sz w:val="20"/>
        </w:rPr>
        <w:t xml:space="preserve"> </w:t>
      </w:r>
      <w:r>
        <w:rPr>
          <w:sz w:val="20"/>
        </w:rPr>
        <w:t>representative</w:t>
      </w:r>
      <w:r>
        <w:rPr>
          <w:spacing w:val="-9"/>
          <w:sz w:val="20"/>
        </w:rPr>
        <w:t xml:space="preserve"> </w:t>
      </w:r>
      <w:r>
        <w:rPr>
          <w:sz w:val="20"/>
        </w:rPr>
        <w:t>Massachusetts</w:t>
      </w:r>
      <w:r>
        <w:rPr>
          <w:spacing w:val="-9"/>
          <w:sz w:val="20"/>
        </w:rPr>
        <w:t xml:space="preserve"> </w:t>
      </w:r>
      <w:r>
        <w:rPr>
          <w:sz w:val="20"/>
        </w:rPr>
        <w:t>high</w:t>
      </w:r>
      <w:r>
        <w:rPr>
          <w:spacing w:val="-11"/>
          <w:sz w:val="20"/>
        </w:rPr>
        <w:t xml:space="preserve"> </w:t>
      </w:r>
      <w:r>
        <w:rPr>
          <w:sz w:val="20"/>
        </w:rPr>
        <w:t>school</w:t>
      </w:r>
      <w:r>
        <w:rPr>
          <w:spacing w:val="-8"/>
          <w:sz w:val="20"/>
        </w:rPr>
        <w:t xml:space="preserve"> </w:t>
      </w:r>
      <w:r>
        <w:rPr>
          <w:sz w:val="20"/>
        </w:rPr>
        <w:t>sample."</w:t>
      </w:r>
      <w:r>
        <w:rPr>
          <w:spacing w:val="-7"/>
          <w:sz w:val="20"/>
        </w:rPr>
        <w:t xml:space="preserve"> </w:t>
      </w:r>
      <w:r>
        <w:rPr>
          <w:i/>
          <w:sz w:val="20"/>
        </w:rPr>
        <w:t xml:space="preserve">American journal of public health </w:t>
      </w:r>
      <w:r>
        <w:rPr>
          <w:sz w:val="20"/>
        </w:rPr>
        <w:t>101, no. 9 (2011): 1683-1689.</w:t>
      </w:r>
    </w:p>
    <w:p w:rsidR="00C76E6D" w:rsidRDefault="00913831">
      <w:pPr>
        <w:ind w:left="481" w:right="530" w:hanging="2"/>
        <w:rPr>
          <w:sz w:val="20"/>
        </w:rPr>
      </w:pPr>
      <w:bookmarkStart w:id="386" w:name="_bookmark271"/>
      <w:bookmarkEnd w:id="386"/>
      <w:r>
        <w:rPr>
          <w:sz w:val="20"/>
          <w:vertAlign w:val="superscript"/>
        </w:rPr>
        <w:t>109</w:t>
      </w:r>
      <w:r>
        <w:rPr>
          <w:spacing w:val="-4"/>
          <w:sz w:val="20"/>
        </w:rPr>
        <w:t xml:space="preserve"> </w:t>
      </w:r>
      <w:r>
        <w:rPr>
          <w:sz w:val="20"/>
        </w:rPr>
        <w:t>Edidin,</w:t>
      </w:r>
      <w:r>
        <w:rPr>
          <w:spacing w:val="-5"/>
          <w:sz w:val="20"/>
        </w:rPr>
        <w:t xml:space="preserve"> </w:t>
      </w:r>
      <w:r>
        <w:rPr>
          <w:sz w:val="20"/>
        </w:rPr>
        <w:t>Jennifer</w:t>
      </w:r>
      <w:r>
        <w:rPr>
          <w:spacing w:val="-5"/>
          <w:sz w:val="20"/>
        </w:rPr>
        <w:t xml:space="preserve"> </w:t>
      </w:r>
      <w:r>
        <w:rPr>
          <w:sz w:val="20"/>
        </w:rPr>
        <w:t>P.,</w:t>
      </w:r>
      <w:r>
        <w:rPr>
          <w:spacing w:val="-4"/>
          <w:sz w:val="20"/>
        </w:rPr>
        <w:t xml:space="preserve"> </w:t>
      </w:r>
      <w:r>
        <w:rPr>
          <w:sz w:val="20"/>
        </w:rPr>
        <w:t>Zoe</w:t>
      </w:r>
      <w:r>
        <w:rPr>
          <w:spacing w:val="-5"/>
          <w:sz w:val="20"/>
        </w:rPr>
        <w:t xml:space="preserve"> </w:t>
      </w:r>
      <w:r>
        <w:rPr>
          <w:sz w:val="20"/>
        </w:rPr>
        <w:t>Ganim,</w:t>
      </w:r>
      <w:r>
        <w:rPr>
          <w:spacing w:val="-4"/>
          <w:sz w:val="20"/>
        </w:rPr>
        <w:t xml:space="preserve"> </w:t>
      </w:r>
      <w:r>
        <w:rPr>
          <w:sz w:val="20"/>
        </w:rPr>
        <w:t>Scott</w:t>
      </w:r>
      <w:r>
        <w:rPr>
          <w:spacing w:val="-4"/>
          <w:sz w:val="20"/>
        </w:rPr>
        <w:t xml:space="preserve"> </w:t>
      </w:r>
      <w:r>
        <w:rPr>
          <w:sz w:val="20"/>
        </w:rPr>
        <w:t>J.</w:t>
      </w:r>
      <w:r>
        <w:rPr>
          <w:spacing w:val="-6"/>
          <w:sz w:val="20"/>
        </w:rPr>
        <w:t xml:space="preserve"> </w:t>
      </w:r>
      <w:r>
        <w:rPr>
          <w:sz w:val="20"/>
        </w:rPr>
        <w:t>Hunter,</w:t>
      </w:r>
      <w:r>
        <w:rPr>
          <w:spacing w:val="-5"/>
          <w:sz w:val="20"/>
        </w:rPr>
        <w:t xml:space="preserve"> </w:t>
      </w:r>
      <w:r>
        <w:rPr>
          <w:sz w:val="20"/>
        </w:rPr>
        <w:t>and</w:t>
      </w:r>
      <w:r>
        <w:rPr>
          <w:spacing w:val="-7"/>
          <w:sz w:val="20"/>
        </w:rPr>
        <w:t xml:space="preserve"> </w:t>
      </w:r>
      <w:r>
        <w:rPr>
          <w:sz w:val="20"/>
        </w:rPr>
        <w:t>Niranjan</w:t>
      </w:r>
      <w:r>
        <w:rPr>
          <w:spacing w:val="-5"/>
          <w:sz w:val="20"/>
        </w:rPr>
        <w:t xml:space="preserve"> </w:t>
      </w:r>
      <w:r>
        <w:rPr>
          <w:sz w:val="20"/>
        </w:rPr>
        <w:t>S.</w:t>
      </w:r>
      <w:r>
        <w:rPr>
          <w:spacing w:val="-6"/>
          <w:sz w:val="20"/>
        </w:rPr>
        <w:t xml:space="preserve"> </w:t>
      </w:r>
      <w:r>
        <w:rPr>
          <w:sz w:val="20"/>
        </w:rPr>
        <w:t>Karnik.</w:t>
      </w:r>
      <w:r>
        <w:rPr>
          <w:spacing w:val="-6"/>
          <w:sz w:val="20"/>
        </w:rPr>
        <w:t xml:space="preserve"> </w:t>
      </w:r>
      <w:r>
        <w:rPr>
          <w:sz w:val="20"/>
        </w:rPr>
        <w:t>"The</w:t>
      </w:r>
      <w:r>
        <w:rPr>
          <w:spacing w:val="-5"/>
          <w:sz w:val="20"/>
        </w:rPr>
        <w:t xml:space="preserve"> </w:t>
      </w:r>
      <w:r>
        <w:rPr>
          <w:sz w:val="20"/>
        </w:rPr>
        <w:t>mental</w:t>
      </w:r>
      <w:r>
        <w:rPr>
          <w:spacing w:val="-5"/>
          <w:sz w:val="20"/>
        </w:rPr>
        <w:t xml:space="preserve"> </w:t>
      </w:r>
      <w:r>
        <w:rPr>
          <w:sz w:val="20"/>
        </w:rPr>
        <w:t>and</w:t>
      </w:r>
      <w:r>
        <w:rPr>
          <w:spacing w:val="-5"/>
          <w:sz w:val="20"/>
        </w:rPr>
        <w:t xml:space="preserve"> </w:t>
      </w:r>
      <w:r>
        <w:rPr>
          <w:sz w:val="20"/>
        </w:rPr>
        <w:t>physical</w:t>
      </w:r>
      <w:r>
        <w:rPr>
          <w:spacing w:val="-6"/>
          <w:sz w:val="20"/>
        </w:rPr>
        <w:t xml:space="preserve"> </w:t>
      </w:r>
      <w:r>
        <w:rPr>
          <w:sz w:val="20"/>
        </w:rPr>
        <w:t>health</w:t>
      </w:r>
      <w:r>
        <w:rPr>
          <w:spacing w:val="-5"/>
          <w:sz w:val="20"/>
        </w:rPr>
        <w:t xml:space="preserve"> </w:t>
      </w:r>
      <w:r>
        <w:rPr>
          <w:sz w:val="20"/>
        </w:rPr>
        <w:t xml:space="preserve">of </w:t>
      </w:r>
      <w:bookmarkStart w:id="387" w:name="_bookmark272"/>
      <w:bookmarkEnd w:id="387"/>
      <w:r>
        <w:rPr>
          <w:sz w:val="20"/>
        </w:rPr>
        <w:t xml:space="preserve">homeless youth: A literature review." </w:t>
      </w:r>
      <w:r>
        <w:rPr>
          <w:i/>
          <w:sz w:val="20"/>
        </w:rPr>
        <w:t xml:space="preserve">Child Psychiatry &amp; Human Development </w:t>
      </w:r>
      <w:r>
        <w:rPr>
          <w:sz w:val="20"/>
        </w:rPr>
        <w:t>43, no. 3 (2012): 354-375.</w:t>
      </w:r>
    </w:p>
    <w:p w:rsidR="00C76E6D" w:rsidRDefault="00913831">
      <w:pPr>
        <w:spacing w:line="244" w:lineRule="exact"/>
        <w:ind w:left="480"/>
        <w:rPr>
          <w:sz w:val="20"/>
        </w:rPr>
      </w:pPr>
      <w:r>
        <w:rPr>
          <w:sz w:val="20"/>
          <w:vertAlign w:val="superscript"/>
        </w:rPr>
        <w:t>110</w:t>
      </w:r>
      <w:r>
        <w:rPr>
          <w:spacing w:val="-6"/>
          <w:sz w:val="20"/>
        </w:rPr>
        <w:t xml:space="preserve"> </w:t>
      </w:r>
      <w:r>
        <w:rPr>
          <w:sz w:val="20"/>
        </w:rPr>
        <w:t>Edidin,</w:t>
      </w:r>
      <w:r>
        <w:rPr>
          <w:spacing w:val="-4"/>
          <w:sz w:val="20"/>
        </w:rPr>
        <w:t xml:space="preserve"> </w:t>
      </w:r>
      <w:r>
        <w:rPr>
          <w:sz w:val="20"/>
        </w:rPr>
        <w:t>et</w:t>
      </w:r>
      <w:r>
        <w:rPr>
          <w:spacing w:val="-4"/>
          <w:sz w:val="20"/>
        </w:rPr>
        <w:t xml:space="preserve"> </w:t>
      </w:r>
      <w:r>
        <w:rPr>
          <w:sz w:val="20"/>
        </w:rPr>
        <w:t>al.,</w:t>
      </w:r>
      <w:r>
        <w:rPr>
          <w:spacing w:val="-5"/>
          <w:sz w:val="20"/>
        </w:rPr>
        <w:t xml:space="preserve"> </w:t>
      </w:r>
      <w:r>
        <w:rPr>
          <w:spacing w:val="-2"/>
          <w:sz w:val="20"/>
        </w:rPr>
        <w:t>(2012).</w:t>
      </w:r>
    </w:p>
    <w:p w:rsidR="00C76E6D" w:rsidRDefault="00913831">
      <w:pPr>
        <w:ind w:left="480" w:right="530" w:hanging="1"/>
        <w:rPr>
          <w:sz w:val="20"/>
        </w:rPr>
      </w:pPr>
      <w:bookmarkStart w:id="388" w:name="_bookmark273"/>
      <w:bookmarkEnd w:id="388"/>
      <w:r>
        <w:rPr>
          <w:sz w:val="20"/>
          <w:vertAlign w:val="superscript"/>
        </w:rPr>
        <w:t>111</w:t>
      </w:r>
      <w:r>
        <w:rPr>
          <w:spacing w:val="-6"/>
          <w:sz w:val="20"/>
        </w:rPr>
        <w:t xml:space="preserve"> </w:t>
      </w:r>
      <w:r>
        <w:rPr>
          <w:sz w:val="20"/>
        </w:rPr>
        <w:t>McCann,</w:t>
      </w:r>
      <w:r>
        <w:rPr>
          <w:spacing w:val="-7"/>
          <w:sz w:val="20"/>
        </w:rPr>
        <w:t xml:space="preserve"> </w:t>
      </w:r>
      <w:r>
        <w:rPr>
          <w:sz w:val="20"/>
        </w:rPr>
        <w:t>Edward,</w:t>
      </w:r>
      <w:r>
        <w:rPr>
          <w:spacing w:val="-6"/>
          <w:sz w:val="20"/>
        </w:rPr>
        <w:t xml:space="preserve"> </w:t>
      </w:r>
      <w:r>
        <w:rPr>
          <w:sz w:val="20"/>
        </w:rPr>
        <w:t>and</w:t>
      </w:r>
      <w:r>
        <w:rPr>
          <w:spacing w:val="-8"/>
          <w:sz w:val="20"/>
        </w:rPr>
        <w:t xml:space="preserve"> </w:t>
      </w:r>
      <w:r>
        <w:rPr>
          <w:sz w:val="20"/>
        </w:rPr>
        <w:t>Michael</w:t>
      </w:r>
      <w:r>
        <w:rPr>
          <w:spacing w:val="-7"/>
          <w:sz w:val="20"/>
        </w:rPr>
        <w:t xml:space="preserve"> </w:t>
      </w:r>
      <w:r>
        <w:rPr>
          <w:sz w:val="20"/>
        </w:rPr>
        <w:t>Brown.</w:t>
      </w:r>
      <w:r>
        <w:rPr>
          <w:spacing w:val="-7"/>
          <w:sz w:val="20"/>
        </w:rPr>
        <w:t xml:space="preserve"> </w:t>
      </w:r>
      <w:r>
        <w:rPr>
          <w:sz w:val="20"/>
        </w:rPr>
        <w:t>"Homelessness</w:t>
      </w:r>
      <w:r>
        <w:rPr>
          <w:spacing w:val="-7"/>
          <w:sz w:val="20"/>
        </w:rPr>
        <w:t xml:space="preserve"> </w:t>
      </w:r>
      <w:r>
        <w:rPr>
          <w:sz w:val="20"/>
        </w:rPr>
        <w:t>among</w:t>
      </w:r>
      <w:r>
        <w:rPr>
          <w:spacing w:val="-7"/>
          <w:sz w:val="20"/>
        </w:rPr>
        <w:t xml:space="preserve"> </w:t>
      </w:r>
      <w:r>
        <w:rPr>
          <w:sz w:val="20"/>
        </w:rPr>
        <w:t>youth</w:t>
      </w:r>
      <w:r>
        <w:rPr>
          <w:spacing w:val="-6"/>
          <w:sz w:val="20"/>
        </w:rPr>
        <w:t xml:space="preserve"> </w:t>
      </w:r>
      <w:r>
        <w:rPr>
          <w:sz w:val="20"/>
        </w:rPr>
        <w:t>who</w:t>
      </w:r>
      <w:r>
        <w:rPr>
          <w:spacing w:val="-7"/>
          <w:sz w:val="20"/>
        </w:rPr>
        <w:t xml:space="preserve"> </w:t>
      </w:r>
      <w:r>
        <w:rPr>
          <w:sz w:val="20"/>
        </w:rPr>
        <w:t>identify</w:t>
      </w:r>
      <w:r>
        <w:rPr>
          <w:spacing w:val="-6"/>
          <w:sz w:val="20"/>
        </w:rPr>
        <w:t xml:space="preserve"> </w:t>
      </w:r>
      <w:r>
        <w:rPr>
          <w:sz w:val="20"/>
        </w:rPr>
        <w:t>as</w:t>
      </w:r>
      <w:r>
        <w:rPr>
          <w:spacing w:val="-7"/>
          <w:sz w:val="20"/>
        </w:rPr>
        <w:t xml:space="preserve"> </w:t>
      </w:r>
      <w:r>
        <w:rPr>
          <w:sz w:val="20"/>
        </w:rPr>
        <w:t>LGBTQ+:</w:t>
      </w:r>
      <w:r>
        <w:rPr>
          <w:spacing w:val="-6"/>
          <w:sz w:val="20"/>
        </w:rPr>
        <w:t xml:space="preserve"> </w:t>
      </w:r>
      <w:r>
        <w:rPr>
          <w:sz w:val="20"/>
        </w:rPr>
        <w:t>A</w:t>
      </w:r>
      <w:r>
        <w:rPr>
          <w:spacing w:val="-6"/>
          <w:sz w:val="20"/>
        </w:rPr>
        <w:t xml:space="preserve"> </w:t>
      </w:r>
      <w:r>
        <w:rPr>
          <w:sz w:val="20"/>
        </w:rPr>
        <w:t xml:space="preserve">systematic review." </w:t>
      </w:r>
      <w:r>
        <w:rPr>
          <w:i/>
          <w:sz w:val="20"/>
        </w:rPr>
        <w:t xml:space="preserve">Journal of clinical nursing </w:t>
      </w:r>
      <w:r>
        <w:rPr>
          <w:sz w:val="20"/>
        </w:rPr>
        <w:t>28, no. 11-12 (2019): 2061-2072.</w:t>
      </w:r>
    </w:p>
    <w:p w:rsidR="00C76E6D" w:rsidRDefault="00913831">
      <w:pPr>
        <w:spacing w:before="4" w:line="242" w:lineRule="exact"/>
        <w:ind w:left="480"/>
        <w:rPr>
          <w:sz w:val="20"/>
        </w:rPr>
      </w:pPr>
      <w:bookmarkStart w:id="389" w:name="_bookmark274"/>
      <w:bookmarkEnd w:id="389"/>
      <w:r>
        <w:rPr>
          <w:sz w:val="20"/>
          <w:vertAlign w:val="superscript"/>
        </w:rPr>
        <w:t>112</w:t>
      </w:r>
      <w:r>
        <w:rPr>
          <w:spacing w:val="-6"/>
          <w:sz w:val="20"/>
        </w:rPr>
        <w:t xml:space="preserve"> </w:t>
      </w:r>
      <w:bookmarkStart w:id="390" w:name="_bookmark275"/>
      <w:bookmarkEnd w:id="390"/>
      <w:r>
        <w:rPr>
          <w:sz w:val="20"/>
        </w:rPr>
        <w:t>Fraser,</w:t>
      </w:r>
      <w:r>
        <w:rPr>
          <w:spacing w:val="-4"/>
          <w:sz w:val="20"/>
        </w:rPr>
        <w:t xml:space="preserve"> </w:t>
      </w:r>
      <w:r>
        <w:rPr>
          <w:sz w:val="20"/>
        </w:rPr>
        <w:t>et</w:t>
      </w:r>
      <w:r>
        <w:rPr>
          <w:spacing w:val="-4"/>
          <w:sz w:val="20"/>
        </w:rPr>
        <w:t xml:space="preserve"> </w:t>
      </w:r>
      <w:r>
        <w:rPr>
          <w:sz w:val="20"/>
        </w:rPr>
        <w:t>al.</w:t>
      </w:r>
      <w:r>
        <w:rPr>
          <w:spacing w:val="-6"/>
          <w:sz w:val="20"/>
        </w:rPr>
        <w:t xml:space="preserve"> </w:t>
      </w:r>
      <w:r>
        <w:rPr>
          <w:spacing w:val="-2"/>
          <w:sz w:val="20"/>
        </w:rPr>
        <w:t>(2019).</w:t>
      </w:r>
    </w:p>
    <w:p w:rsidR="00C76E6D" w:rsidRDefault="00913831">
      <w:pPr>
        <w:ind w:left="480" w:right="681"/>
        <w:jc w:val="both"/>
        <w:rPr>
          <w:sz w:val="20"/>
        </w:rPr>
      </w:pPr>
      <w:r>
        <w:rPr>
          <w:sz w:val="20"/>
          <w:vertAlign w:val="superscript"/>
        </w:rPr>
        <w:t>113</w:t>
      </w:r>
      <w:r>
        <w:rPr>
          <w:spacing w:val="-1"/>
          <w:sz w:val="20"/>
        </w:rPr>
        <w:t xml:space="preserve"> </w:t>
      </w:r>
      <w:r>
        <w:rPr>
          <w:sz w:val="20"/>
        </w:rPr>
        <w:t>LaLota,</w:t>
      </w:r>
      <w:r>
        <w:rPr>
          <w:spacing w:val="-1"/>
          <w:sz w:val="20"/>
        </w:rPr>
        <w:t xml:space="preserve"> </w:t>
      </w:r>
      <w:r>
        <w:rPr>
          <w:sz w:val="20"/>
        </w:rPr>
        <w:t>Marlene,</w:t>
      </w:r>
      <w:r>
        <w:rPr>
          <w:spacing w:val="-1"/>
          <w:sz w:val="20"/>
        </w:rPr>
        <w:t xml:space="preserve"> </w:t>
      </w:r>
      <w:r>
        <w:rPr>
          <w:sz w:val="20"/>
        </w:rPr>
        <w:t>Bonnie</w:t>
      </w:r>
      <w:r>
        <w:rPr>
          <w:spacing w:val="-4"/>
          <w:sz w:val="20"/>
        </w:rPr>
        <w:t xml:space="preserve"> </w:t>
      </w:r>
      <w:r>
        <w:rPr>
          <w:sz w:val="20"/>
        </w:rPr>
        <w:t>W.</w:t>
      </w:r>
      <w:r>
        <w:rPr>
          <w:spacing w:val="-3"/>
          <w:sz w:val="20"/>
        </w:rPr>
        <w:t xml:space="preserve"> </w:t>
      </w:r>
      <w:r>
        <w:rPr>
          <w:sz w:val="20"/>
        </w:rPr>
        <w:t>Kwan,</w:t>
      </w:r>
      <w:r>
        <w:rPr>
          <w:spacing w:val="-2"/>
          <w:sz w:val="20"/>
        </w:rPr>
        <w:t xml:space="preserve"> </w:t>
      </w:r>
      <w:r>
        <w:rPr>
          <w:sz w:val="20"/>
        </w:rPr>
        <w:t>Melinda</w:t>
      </w:r>
      <w:r>
        <w:rPr>
          <w:spacing w:val="-2"/>
          <w:sz w:val="20"/>
        </w:rPr>
        <w:t xml:space="preserve"> </w:t>
      </w:r>
      <w:r>
        <w:rPr>
          <w:sz w:val="20"/>
        </w:rPr>
        <w:t>Waters,</w:t>
      </w:r>
      <w:r>
        <w:rPr>
          <w:spacing w:val="-1"/>
          <w:sz w:val="20"/>
        </w:rPr>
        <w:t xml:space="preserve"> </w:t>
      </w:r>
      <w:r>
        <w:rPr>
          <w:sz w:val="20"/>
        </w:rPr>
        <w:t>Leticia</w:t>
      </w:r>
      <w:r>
        <w:rPr>
          <w:spacing w:val="-1"/>
          <w:sz w:val="20"/>
        </w:rPr>
        <w:t xml:space="preserve"> </w:t>
      </w:r>
      <w:r>
        <w:rPr>
          <w:sz w:val="20"/>
        </w:rPr>
        <w:t>E.</w:t>
      </w:r>
      <w:r>
        <w:rPr>
          <w:spacing w:val="-2"/>
          <w:sz w:val="20"/>
        </w:rPr>
        <w:t xml:space="preserve"> </w:t>
      </w:r>
      <w:r>
        <w:rPr>
          <w:sz w:val="20"/>
        </w:rPr>
        <w:t>Hernandez,</w:t>
      </w:r>
      <w:r>
        <w:rPr>
          <w:spacing w:val="-2"/>
          <w:sz w:val="20"/>
        </w:rPr>
        <w:t xml:space="preserve"> </w:t>
      </w:r>
      <w:r>
        <w:rPr>
          <w:sz w:val="20"/>
        </w:rPr>
        <w:t>and</w:t>
      </w:r>
      <w:r>
        <w:rPr>
          <w:spacing w:val="-2"/>
          <w:sz w:val="20"/>
        </w:rPr>
        <w:t xml:space="preserve"> </w:t>
      </w:r>
      <w:r>
        <w:rPr>
          <w:sz w:val="20"/>
        </w:rPr>
        <w:t>Thomas</w:t>
      </w:r>
      <w:r>
        <w:rPr>
          <w:spacing w:val="-2"/>
          <w:sz w:val="20"/>
        </w:rPr>
        <w:t xml:space="preserve"> </w:t>
      </w:r>
      <w:r>
        <w:rPr>
          <w:sz w:val="20"/>
        </w:rPr>
        <w:t>M.</w:t>
      </w:r>
      <w:r>
        <w:rPr>
          <w:spacing w:val="-1"/>
          <w:sz w:val="20"/>
        </w:rPr>
        <w:t xml:space="preserve"> </w:t>
      </w:r>
      <w:r>
        <w:rPr>
          <w:sz w:val="20"/>
        </w:rPr>
        <w:t>Liberti.</w:t>
      </w:r>
      <w:r>
        <w:rPr>
          <w:spacing w:val="-1"/>
          <w:sz w:val="20"/>
        </w:rPr>
        <w:t xml:space="preserve"> </w:t>
      </w:r>
      <w:r>
        <w:rPr>
          <w:sz w:val="20"/>
        </w:rPr>
        <w:t>"The</w:t>
      </w:r>
      <w:r>
        <w:rPr>
          <w:spacing w:val="-1"/>
          <w:sz w:val="20"/>
        </w:rPr>
        <w:t xml:space="preserve"> </w:t>
      </w:r>
      <w:r>
        <w:rPr>
          <w:sz w:val="20"/>
        </w:rPr>
        <w:t>Miami, Florida,</w:t>
      </w:r>
      <w:r>
        <w:rPr>
          <w:spacing w:val="-4"/>
          <w:sz w:val="20"/>
        </w:rPr>
        <w:t xml:space="preserve"> </w:t>
      </w:r>
      <w:r>
        <w:rPr>
          <w:sz w:val="20"/>
        </w:rPr>
        <w:t>Young</w:t>
      </w:r>
      <w:r>
        <w:rPr>
          <w:spacing w:val="-6"/>
          <w:sz w:val="20"/>
        </w:rPr>
        <w:t xml:space="preserve"> </w:t>
      </w:r>
      <w:r>
        <w:rPr>
          <w:sz w:val="20"/>
        </w:rPr>
        <w:t>Men’s</w:t>
      </w:r>
      <w:r>
        <w:rPr>
          <w:spacing w:val="-7"/>
          <w:sz w:val="20"/>
        </w:rPr>
        <w:t xml:space="preserve"> </w:t>
      </w:r>
      <w:r>
        <w:rPr>
          <w:sz w:val="20"/>
        </w:rPr>
        <w:t>Survey:</w:t>
      </w:r>
      <w:r>
        <w:rPr>
          <w:spacing w:val="-6"/>
          <w:sz w:val="20"/>
        </w:rPr>
        <w:t xml:space="preserve"> </w:t>
      </w:r>
      <w:r>
        <w:rPr>
          <w:sz w:val="20"/>
        </w:rPr>
        <w:t>HIV</w:t>
      </w:r>
      <w:r>
        <w:rPr>
          <w:spacing w:val="-4"/>
          <w:sz w:val="20"/>
        </w:rPr>
        <w:t xml:space="preserve"> </w:t>
      </w:r>
      <w:r>
        <w:rPr>
          <w:sz w:val="20"/>
        </w:rPr>
        <w:t>prevalence</w:t>
      </w:r>
      <w:r>
        <w:rPr>
          <w:spacing w:val="-6"/>
          <w:sz w:val="20"/>
        </w:rPr>
        <w:t xml:space="preserve"> </w:t>
      </w:r>
      <w:r>
        <w:rPr>
          <w:sz w:val="20"/>
        </w:rPr>
        <w:t>and</w:t>
      </w:r>
      <w:r>
        <w:rPr>
          <w:spacing w:val="-5"/>
          <w:sz w:val="20"/>
        </w:rPr>
        <w:t xml:space="preserve"> </w:t>
      </w:r>
      <w:r>
        <w:rPr>
          <w:sz w:val="20"/>
        </w:rPr>
        <w:t>risk</w:t>
      </w:r>
      <w:r>
        <w:rPr>
          <w:spacing w:val="-4"/>
          <w:sz w:val="20"/>
        </w:rPr>
        <w:t xml:space="preserve"> </w:t>
      </w:r>
      <w:r>
        <w:rPr>
          <w:sz w:val="20"/>
        </w:rPr>
        <w:t>behaviors</w:t>
      </w:r>
      <w:r>
        <w:rPr>
          <w:spacing w:val="-5"/>
          <w:sz w:val="20"/>
        </w:rPr>
        <w:t xml:space="preserve"> </w:t>
      </w:r>
      <w:r>
        <w:rPr>
          <w:sz w:val="20"/>
        </w:rPr>
        <w:t>among</w:t>
      </w:r>
      <w:r>
        <w:rPr>
          <w:spacing w:val="-5"/>
          <w:sz w:val="20"/>
        </w:rPr>
        <w:t xml:space="preserve"> </w:t>
      </w:r>
      <w:r>
        <w:rPr>
          <w:sz w:val="20"/>
        </w:rPr>
        <w:t>urban</w:t>
      </w:r>
      <w:r>
        <w:rPr>
          <w:spacing w:val="-5"/>
          <w:sz w:val="20"/>
        </w:rPr>
        <w:t xml:space="preserve"> </w:t>
      </w:r>
      <w:r>
        <w:rPr>
          <w:sz w:val="20"/>
        </w:rPr>
        <w:t>young</w:t>
      </w:r>
      <w:r>
        <w:rPr>
          <w:spacing w:val="-5"/>
          <w:sz w:val="20"/>
        </w:rPr>
        <w:t xml:space="preserve"> </w:t>
      </w:r>
      <w:r>
        <w:rPr>
          <w:sz w:val="20"/>
        </w:rPr>
        <w:t>men</w:t>
      </w:r>
      <w:r>
        <w:rPr>
          <w:spacing w:val="-5"/>
          <w:sz w:val="20"/>
        </w:rPr>
        <w:t xml:space="preserve"> </w:t>
      </w:r>
      <w:r>
        <w:rPr>
          <w:sz w:val="20"/>
        </w:rPr>
        <w:t>who</w:t>
      </w:r>
      <w:r>
        <w:rPr>
          <w:spacing w:val="-6"/>
          <w:sz w:val="20"/>
        </w:rPr>
        <w:t xml:space="preserve"> </w:t>
      </w:r>
      <w:r>
        <w:rPr>
          <w:sz w:val="20"/>
        </w:rPr>
        <w:t>have</w:t>
      </w:r>
      <w:r>
        <w:rPr>
          <w:spacing w:val="-6"/>
          <w:sz w:val="20"/>
        </w:rPr>
        <w:t xml:space="preserve"> </w:t>
      </w:r>
      <w:r>
        <w:rPr>
          <w:sz w:val="20"/>
        </w:rPr>
        <w:t>sex</w:t>
      </w:r>
      <w:r>
        <w:rPr>
          <w:spacing w:val="-5"/>
          <w:sz w:val="20"/>
        </w:rPr>
        <w:t xml:space="preserve"> </w:t>
      </w:r>
      <w:r>
        <w:rPr>
          <w:sz w:val="20"/>
        </w:rPr>
        <w:t>with</w:t>
      </w:r>
      <w:r>
        <w:rPr>
          <w:spacing w:val="-4"/>
          <w:sz w:val="20"/>
        </w:rPr>
        <w:t xml:space="preserve"> </w:t>
      </w:r>
      <w:r>
        <w:rPr>
          <w:sz w:val="20"/>
        </w:rPr>
        <w:t xml:space="preserve">men who have ever runaway." </w:t>
      </w:r>
      <w:r>
        <w:rPr>
          <w:i/>
          <w:sz w:val="20"/>
        </w:rPr>
        <w:t xml:space="preserve">Journal of Urban Health </w:t>
      </w:r>
      <w:r>
        <w:rPr>
          <w:sz w:val="20"/>
        </w:rPr>
        <w:t>82, no. 2 (2005): 327-338.</w:t>
      </w:r>
    </w:p>
    <w:p w:rsidR="00C76E6D" w:rsidRDefault="00913831">
      <w:pPr>
        <w:ind w:left="481" w:right="530" w:hanging="3"/>
        <w:rPr>
          <w:sz w:val="20"/>
        </w:rPr>
      </w:pPr>
      <w:bookmarkStart w:id="391" w:name="_bookmark276"/>
      <w:bookmarkEnd w:id="391"/>
      <w:r>
        <w:rPr>
          <w:sz w:val="20"/>
          <w:vertAlign w:val="superscript"/>
        </w:rPr>
        <w:t>114</w:t>
      </w:r>
      <w:r>
        <w:rPr>
          <w:spacing w:val="-5"/>
          <w:sz w:val="20"/>
        </w:rPr>
        <w:t xml:space="preserve"> </w:t>
      </w:r>
      <w:r>
        <w:rPr>
          <w:sz w:val="20"/>
        </w:rPr>
        <w:t>Tyler,</w:t>
      </w:r>
      <w:r>
        <w:rPr>
          <w:spacing w:val="-6"/>
          <w:sz w:val="20"/>
        </w:rPr>
        <w:t xml:space="preserve"> </w:t>
      </w:r>
      <w:r>
        <w:rPr>
          <w:sz w:val="20"/>
        </w:rPr>
        <w:t>Kimberly</w:t>
      </w:r>
      <w:r>
        <w:rPr>
          <w:spacing w:val="-5"/>
          <w:sz w:val="20"/>
        </w:rPr>
        <w:t xml:space="preserve"> </w:t>
      </w:r>
      <w:r>
        <w:rPr>
          <w:sz w:val="20"/>
        </w:rPr>
        <w:t>A.</w:t>
      </w:r>
      <w:r>
        <w:rPr>
          <w:spacing w:val="-6"/>
          <w:sz w:val="20"/>
        </w:rPr>
        <w:t xml:space="preserve"> </w:t>
      </w:r>
      <w:r>
        <w:rPr>
          <w:sz w:val="20"/>
        </w:rPr>
        <w:t>"Homeless</w:t>
      </w:r>
      <w:r>
        <w:rPr>
          <w:spacing w:val="-6"/>
          <w:sz w:val="20"/>
        </w:rPr>
        <w:t xml:space="preserve"> </w:t>
      </w:r>
      <w:r>
        <w:rPr>
          <w:sz w:val="20"/>
        </w:rPr>
        <w:t>youths’</w:t>
      </w:r>
      <w:r>
        <w:rPr>
          <w:spacing w:val="-6"/>
          <w:sz w:val="20"/>
        </w:rPr>
        <w:t xml:space="preserve"> </w:t>
      </w:r>
      <w:r>
        <w:rPr>
          <w:sz w:val="20"/>
        </w:rPr>
        <w:t>HIV</w:t>
      </w:r>
      <w:r>
        <w:rPr>
          <w:spacing w:val="-7"/>
          <w:sz w:val="20"/>
        </w:rPr>
        <w:t xml:space="preserve"> </w:t>
      </w:r>
      <w:r>
        <w:rPr>
          <w:sz w:val="20"/>
        </w:rPr>
        <w:t>risk</w:t>
      </w:r>
      <w:r>
        <w:rPr>
          <w:spacing w:val="-6"/>
          <w:sz w:val="20"/>
        </w:rPr>
        <w:t xml:space="preserve"> </w:t>
      </w:r>
      <w:r>
        <w:rPr>
          <w:sz w:val="20"/>
        </w:rPr>
        <w:t>behaviors</w:t>
      </w:r>
      <w:r>
        <w:rPr>
          <w:spacing w:val="-6"/>
          <w:sz w:val="20"/>
        </w:rPr>
        <w:t xml:space="preserve"> </w:t>
      </w:r>
      <w:r>
        <w:rPr>
          <w:sz w:val="20"/>
        </w:rPr>
        <w:t>with</w:t>
      </w:r>
      <w:r>
        <w:rPr>
          <w:spacing w:val="-6"/>
          <w:sz w:val="20"/>
        </w:rPr>
        <w:t xml:space="preserve"> </w:t>
      </w:r>
      <w:r>
        <w:rPr>
          <w:sz w:val="20"/>
        </w:rPr>
        <w:t>strangers:</w:t>
      </w:r>
      <w:r>
        <w:rPr>
          <w:spacing w:val="-6"/>
          <w:sz w:val="20"/>
        </w:rPr>
        <w:t xml:space="preserve"> </w:t>
      </w:r>
      <w:r>
        <w:rPr>
          <w:sz w:val="20"/>
        </w:rPr>
        <w:t>Investigating</w:t>
      </w:r>
      <w:r>
        <w:rPr>
          <w:spacing w:val="-5"/>
          <w:sz w:val="20"/>
        </w:rPr>
        <w:t xml:space="preserve"> </w:t>
      </w:r>
      <w:r>
        <w:rPr>
          <w:sz w:val="20"/>
        </w:rPr>
        <w:t>the</w:t>
      </w:r>
      <w:r>
        <w:rPr>
          <w:spacing w:val="-6"/>
          <w:sz w:val="20"/>
        </w:rPr>
        <w:t xml:space="preserve"> </w:t>
      </w:r>
      <w:r>
        <w:rPr>
          <w:sz w:val="20"/>
        </w:rPr>
        <w:t>importance</w:t>
      </w:r>
      <w:r>
        <w:rPr>
          <w:spacing w:val="-7"/>
          <w:sz w:val="20"/>
        </w:rPr>
        <w:t xml:space="preserve"> </w:t>
      </w:r>
      <w:r>
        <w:rPr>
          <w:sz w:val="20"/>
        </w:rPr>
        <w:t>of</w:t>
      </w:r>
      <w:r>
        <w:rPr>
          <w:spacing w:val="-6"/>
          <w:sz w:val="20"/>
        </w:rPr>
        <w:t xml:space="preserve"> </w:t>
      </w:r>
      <w:r>
        <w:rPr>
          <w:sz w:val="20"/>
        </w:rPr>
        <w:t xml:space="preserve">social networks." </w:t>
      </w:r>
      <w:r>
        <w:rPr>
          <w:i/>
          <w:sz w:val="20"/>
        </w:rPr>
        <w:t xml:space="preserve">Archives of sexual behavior </w:t>
      </w:r>
      <w:r>
        <w:rPr>
          <w:sz w:val="20"/>
        </w:rPr>
        <w:t>42, no. 8 (2013): 1583-1591.</w:t>
      </w:r>
    </w:p>
    <w:p w:rsidR="00C76E6D" w:rsidRDefault="00913831">
      <w:pPr>
        <w:ind w:left="481" w:right="530" w:hanging="2"/>
        <w:rPr>
          <w:sz w:val="20"/>
        </w:rPr>
      </w:pPr>
      <w:bookmarkStart w:id="392" w:name="_bookmark277"/>
      <w:bookmarkEnd w:id="392"/>
      <w:r>
        <w:rPr>
          <w:sz w:val="20"/>
          <w:vertAlign w:val="superscript"/>
        </w:rPr>
        <w:t>115</w:t>
      </w:r>
      <w:r>
        <w:rPr>
          <w:spacing w:val="-4"/>
          <w:sz w:val="20"/>
        </w:rPr>
        <w:t xml:space="preserve"> </w:t>
      </w:r>
      <w:r>
        <w:rPr>
          <w:sz w:val="20"/>
        </w:rPr>
        <w:t>Clatts,</w:t>
      </w:r>
      <w:r>
        <w:rPr>
          <w:spacing w:val="-5"/>
          <w:sz w:val="20"/>
        </w:rPr>
        <w:t xml:space="preserve"> </w:t>
      </w:r>
      <w:r>
        <w:rPr>
          <w:sz w:val="20"/>
        </w:rPr>
        <w:t>Michael</w:t>
      </w:r>
      <w:r>
        <w:rPr>
          <w:spacing w:val="-4"/>
          <w:sz w:val="20"/>
        </w:rPr>
        <w:t xml:space="preserve"> </w:t>
      </w:r>
      <w:r>
        <w:rPr>
          <w:sz w:val="20"/>
        </w:rPr>
        <w:t>C.,</w:t>
      </w:r>
      <w:r>
        <w:rPr>
          <w:spacing w:val="-4"/>
          <w:sz w:val="20"/>
        </w:rPr>
        <w:t xml:space="preserve"> </w:t>
      </w:r>
      <w:r>
        <w:rPr>
          <w:sz w:val="20"/>
        </w:rPr>
        <w:t>Lloyd</w:t>
      </w:r>
      <w:r>
        <w:rPr>
          <w:spacing w:val="-4"/>
          <w:sz w:val="20"/>
        </w:rPr>
        <w:t xml:space="preserve"> </w:t>
      </w:r>
      <w:r>
        <w:rPr>
          <w:sz w:val="20"/>
        </w:rPr>
        <w:t>Goldsamt,</w:t>
      </w:r>
      <w:r>
        <w:rPr>
          <w:spacing w:val="-4"/>
          <w:sz w:val="20"/>
        </w:rPr>
        <w:t xml:space="preserve"> </w:t>
      </w:r>
      <w:r>
        <w:rPr>
          <w:sz w:val="20"/>
        </w:rPr>
        <w:t>Huso</w:t>
      </w:r>
      <w:r>
        <w:rPr>
          <w:spacing w:val="-7"/>
          <w:sz w:val="20"/>
        </w:rPr>
        <w:t xml:space="preserve"> </w:t>
      </w:r>
      <w:r>
        <w:rPr>
          <w:sz w:val="20"/>
        </w:rPr>
        <w:t>Yi,</w:t>
      </w:r>
      <w:r>
        <w:rPr>
          <w:spacing w:val="-5"/>
          <w:sz w:val="20"/>
        </w:rPr>
        <w:t xml:space="preserve"> </w:t>
      </w:r>
      <w:r>
        <w:rPr>
          <w:sz w:val="20"/>
        </w:rPr>
        <w:t>and</w:t>
      </w:r>
      <w:r>
        <w:rPr>
          <w:spacing w:val="-5"/>
          <w:sz w:val="20"/>
        </w:rPr>
        <w:t xml:space="preserve"> </w:t>
      </w:r>
      <w:r>
        <w:rPr>
          <w:sz w:val="20"/>
        </w:rPr>
        <w:t>Marya</w:t>
      </w:r>
      <w:r>
        <w:rPr>
          <w:spacing w:val="-6"/>
          <w:sz w:val="20"/>
        </w:rPr>
        <w:t xml:space="preserve"> </w:t>
      </w:r>
      <w:r>
        <w:rPr>
          <w:sz w:val="20"/>
        </w:rPr>
        <w:t>Viorst</w:t>
      </w:r>
      <w:r>
        <w:rPr>
          <w:spacing w:val="-4"/>
          <w:sz w:val="20"/>
        </w:rPr>
        <w:t xml:space="preserve"> </w:t>
      </w:r>
      <w:r>
        <w:rPr>
          <w:sz w:val="20"/>
        </w:rPr>
        <w:t>Gwadz.</w:t>
      </w:r>
      <w:r>
        <w:rPr>
          <w:spacing w:val="-6"/>
          <w:sz w:val="20"/>
        </w:rPr>
        <w:t xml:space="preserve"> </w:t>
      </w:r>
      <w:r>
        <w:rPr>
          <w:sz w:val="20"/>
        </w:rPr>
        <w:t>"Homelessness</w:t>
      </w:r>
      <w:r>
        <w:rPr>
          <w:spacing w:val="-5"/>
          <w:sz w:val="20"/>
        </w:rPr>
        <w:t xml:space="preserve"> </w:t>
      </w:r>
      <w:r>
        <w:rPr>
          <w:sz w:val="20"/>
        </w:rPr>
        <w:t>and</w:t>
      </w:r>
      <w:r>
        <w:rPr>
          <w:spacing w:val="-4"/>
          <w:sz w:val="20"/>
        </w:rPr>
        <w:t xml:space="preserve"> </w:t>
      </w:r>
      <w:r>
        <w:rPr>
          <w:sz w:val="20"/>
        </w:rPr>
        <w:t>drug</w:t>
      </w:r>
      <w:r>
        <w:rPr>
          <w:spacing w:val="-5"/>
          <w:sz w:val="20"/>
        </w:rPr>
        <w:t xml:space="preserve"> </w:t>
      </w:r>
      <w:r>
        <w:rPr>
          <w:sz w:val="20"/>
        </w:rPr>
        <w:t>abuse</w:t>
      </w:r>
      <w:r>
        <w:rPr>
          <w:spacing w:val="-6"/>
          <w:sz w:val="20"/>
        </w:rPr>
        <w:t xml:space="preserve"> </w:t>
      </w:r>
      <w:r>
        <w:rPr>
          <w:sz w:val="20"/>
        </w:rPr>
        <w:t>among young men who have sex with me</w:t>
      </w:r>
      <w:r>
        <w:rPr>
          <w:sz w:val="20"/>
        </w:rPr>
        <w:t xml:space="preserve">n in New York City: A preliminary epidemiological trajectory." </w:t>
      </w:r>
      <w:r>
        <w:rPr>
          <w:i/>
          <w:sz w:val="20"/>
        </w:rPr>
        <w:t xml:space="preserve">Journal of adolescence </w:t>
      </w:r>
      <w:r>
        <w:rPr>
          <w:sz w:val="20"/>
        </w:rPr>
        <w:t>28, no. 2 (2005): 201-214.</w:t>
      </w:r>
    </w:p>
    <w:p w:rsidR="00C76E6D" w:rsidRDefault="00913831">
      <w:pPr>
        <w:ind w:left="479" w:right="530" w:hanging="1"/>
        <w:rPr>
          <w:sz w:val="20"/>
        </w:rPr>
      </w:pPr>
      <w:bookmarkStart w:id="393" w:name="_bookmark278"/>
      <w:bookmarkEnd w:id="393"/>
      <w:r>
        <w:rPr>
          <w:sz w:val="20"/>
          <w:vertAlign w:val="superscript"/>
        </w:rPr>
        <w:t>116</w:t>
      </w:r>
      <w:r>
        <w:rPr>
          <w:spacing w:val="-6"/>
          <w:sz w:val="20"/>
        </w:rPr>
        <w:t xml:space="preserve"> </w:t>
      </w:r>
      <w:r>
        <w:rPr>
          <w:sz w:val="20"/>
        </w:rPr>
        <w:t>Robinson,</w:t>
      </w:r>
      <w:r>
        <w:rPr>
          <w:spacing w:val="-8"/>
          <w:sz w:val="20"/>
        </w:rPr>
        <w:t xml:space="preserve"> </w:t>
      </w:r>
      <w:r>
        <w:rPr>
          <w:sz w:val="20"/>
        </w:rPr>
        <w:t>B.</w:t>
      </w:r>
      <w:r>
        <w:rPr>
          <w:spacing w:val="-8"/>
          <w:sz w:val="20"/>
        </w:rPr>
        <w:t xml:space="preserve"> </w:t>
      </w:r>
      <w:r>
        <w:rPr>
          <w:sz w:val="20"/>
        </w:rPr>
        <w:t>A.</w:t>
      </w:r>
      <w:r>
        <w:rPr>
          <w:spacing w:val="-7"/>
          <w:sz w:val="20"/>
        </w:rPr>
        <w:t xml:space="preserve"> </w:t>
      </w:r>
      <w:r>
        <w:rPr>
          <w:sz w:val="20"/>
        </w:rPr>
        <w:t>(2020).</w:t>
      </w:r>
      <w:r>
        <w:rPr>
          <w:spacing w:val="-7"/>
          <w:sz w:val="20"/>
        </w:rPr>
        <w:t xml:space="preserve"> </w:t>
      </w:r>
      <w:r>
        <w:rPr>
          <w:sz w:val="20"/>
        </w:rPr>
        <w:t>The</w:t>
      </w:r>
      <w:r>
        <w:rPr>
          <w:spacing w:val="-8"/>
          <w:sz w:val="20"/>
        </w:rPr>
        <w:t xml:space="preserve"> </w:t>
      </w:r>
      <w:r>
        <w:rPr>
          <w:sz w:val="20"/>
        </w:rPr>
        <w:t>lavender</w:t>
      </w:r>
      <w:r>
        <w:rPr>
          <w:spacing w:val="-7"/>
          <w:sz w:val="20"/>
        </w:rPr>
        <w:t xml:space="preserve"> </w:t>
      </w:r>
      <w:r>
        <w:rPr>
          <w:sz w:val="20"/>
        </w:rPr>
        <w:t>scare</w:t>
      </w:r>
      <w:r>
        <w:rPr>
          <w:spacing w:val="-8"/>
          <w:sz w:val="20"/>
        </w:rPr>
        <w:t xml:space="preserve"> </w:t>
      </w:r>
      <w:r>
        <w:rPr>
          <w:sz w:val="20"/>
        </w:rPr>
        <w:t>in</w:t>
      </w:r>
      <w:r>
        <w:rPr>
          <w:spacing w:val="-6"/>
          <w:sz w:val="20"/>
        </w:rPr>
        <w:t xml:space="preserve"> </w:t>
      </w:r>
      <w:r>
        <w:rPr>
          <w:sz w:val="20"/>
        </w:rPr>
        <w:t>homonormative</w:t>
      </w:r>
      <w:r>
        <w:rPr>
          <w:spacing w:val="-6"/>
          <w:sz w:val="20"/>
        </w:rPr>
        <w:t xml:space="preserve"> </w:t>
      </w:r>
      <w:r>
        <w:rPr>
          <w:sz w:val="20"/>
        </w:rPr>
        <w:t>times:</w:t>
      </w:r>
      <w:r>
        <w:rPr>
          <w:spacing w:val="-6"/>
          <w:sz w:val="20"/>
        </w:rPr>
        <w:t xml:space="preserve"> </w:t>
      </w:r>
      <w:r>
        <w:rPr>
          <w:sz w:val="20"/>
        </w:rPr>
        <w:t>Policing,</w:t>
      </w:r>
      <w:r>
        <w:rPr>
          <w:spacing w:val="-6"/>
          <w:sz w:val="20"/>
        </w:rPr>
        <w:t xml:space="preserve"> </w:t>
      </w:r>
      <w:r>
        <w:rPr>
          <w:sz w:val="20"/>
        </w:rPr>
        <w:t>hyper-incarceration,</w:t>
      </w:r>
      <w:r>
        <w:rPr>
          <w:spacing w:val="-6"/>
          <w:sz w:val="20"/>
        </w:rPr>
        <w:t xml:space="preserve"> </w:t>
      </w:r>
      <w:r>
        <w:rPr>
          <w:sz w:val="20"/>
        </w:rPr>
        <w:t>and</w:t>
      </w:r>
      <w:r>
        <w:rPr>
          <w:spacing w:val="-6"/>
          <w:sz w:val="20"/>
        </w:rPr>
        <w:t xml:space="preserve"> </w:t>
      </w:r>
      <w:r>
        <w:rPr>
          <w:sz w:val="20"/>
        </w:rPr>
        <w:t xml:space="preserve">LGBTQ youth homelessness. </w:t>
      </w:r>
      <w:r>
        <w:rPr>
          <w:i/>
          <w:sz w:val="20"/>
        </w:rPr>
        <w:t>Gender &amp; Society</w:t>
      </w:r>
      <w:r>
        <w:rPr>
          <w:sz w:val="20"/>
        </w:rPr>
        <w:t xml:space="preserve">, </w:t>
      </w:r>
      <w:r>
        <w:rPr>
          <w:i/>
          <w:sz w:val="20"/>
        </w:rPr>
        <w:t>34</w:t>
      </w:r>
      <w:r>
        <w:rPr>
          <w:sz w:val="20"/>
        </w:rPr>
        <w:t>(2), 210-232.</w:t>
      </w:r>
    </w:p>
    <w:p w:rsidR="00C76E6D" w:rsidRDefault="00913831">
      <w:pPr>
        <w:ind w:left="480" w:right="530"/>
        <w:rPr>
          <w:sz w:val="20"/>
        </w:rPr>
      </w:pPr>
      <w:bookmarkStart w:id="394" w:name="_bookmark279"/>
      <w:bookmarkEnd w:id="394"/>
      <w:r>
        <w:rPr>
          <w:sz w:val="20"/>
          <w:vertAlign w:val="superscript"/>
        </w:rPr>
        <w:t>117</w:t>
      </w:r>
      <w:r>
        <w:rPr>
          <w:sz w:val="20"/>
        </w:rPr>
        <w:t xml:space="preserve"> Kimble, S. (2015). Lesbian, gay, bisexual, and transgender youth (and adult) homelessness. In W. Swan (Ed.), </w:t>
      </w:r>
      <w:r>
        <w:rPr>
          <w:i/>
          <w:sz w:val="20"/>
        </w:rPr>
        <w:t>Gay,</w:t>
      </w:r>
      <w:r>
        <w:rPr>
          <w:i/>
          <w:spacing w:val="-4"/>
          <w:sz w:val="20"/>
        </w:rPr>
        <w:t xml:space="preserve"> </w:t>
      </w:r>
      <w:r>
        <w:rPr>
          <w:i/>
          <w:sz w:val="20"/>
        </w:rPr>
        <w:t>lesbian,</w:t>
      </w:r>
      <w:r>
        <w:rPr>
          <w:i/>
          <w:spacing w:val="-6"/>
          <w:sz w:val="20"/>
        </w:rPr>
        <w:t xml:space="preserve"> </w:t>
      </w:r>
      <w:r>
        <w:rPr>
          <w:i/>
          <w:sz w:val="20"/>
        </w:rPr>
        <w:t>bisexual,</w:t>
      </w:r>
      <w:r>
        <w:rPr>
          <w:i/>
          <w:spacing w:val="-5"/>
          <w:sz w:val="20"/>
        </w:rPr>
        <w:t xml:space="preserve"> </w:t>
      </w:r>
      <w:r>
        <w:rPr>
          <w:i/>
          <w:sz w:val="20"/>
        </w:rPr>
        <w:t>and</w:t>
      </w:r>
      <w:r>
        <w:rPr>
          <w:i/>
          <w:spacing w:val="-5"/>
          <w:sz w:val="20"/>
        </w:rPr>
        <w:t xml:space="preserve"> </w:t>
      </w:r>
      <w:r>
        <w:rPr>
          <w:i/>
          <w:sz w:val="20"/>
        </w:rPr>
        <w:t>transgender</w:t>
      </w:r>
      <w:r>
        <w:rPr>
          <w:i/>
          <w:spacing w:val="-4"/>
          <w:sz w:val="20"/>
        </w:rPr>
        <w:t xml:space="preserve"> </w:t>
      </w:r>
      <w:r>
        <w:rPr>
          <w:i/>
          <w:sz w:val="20"/>
        </w:rPr>
        <w:t>civil</w:t>
      </w:r>
      <w:r>
        <w:rPr>
          <w:i/>
          <w:spacing w:val="-4"/>
          <w:sz w:val="20"/>
        </w:rPr>
        <w:t xml:space="preserve"> </w:t>
      </w:r>
      <w:r>
        <w:rPr>
          <w:i/>
          <w:sz w:val="20"/>
        </w:rPr>
        <w:t>rights:</w:t>
      </w:r>
      <w:r>
        <w:rPr>
          <w:i/>
          <w:spacing w:val="-5"/>
          <w:sz w:val="20"/>
        </w:rPr>
        <w:t xml:space="preserve"> </w:t>
      </w:r>
      <w:r>
        <w:rPr>
          <w:i/>
          <w:sz w:val="20"/>
        </w:rPr>
        <w:t>A</w:t>
      </w:r>
      <w:r>
        <w:rPr>
          <w:i/>
          <w:spacing w:val="-6"/>
          <w:sz w:val="20"/>
        </w:rPr>
        <w:t xml:space="preserve"> </w:t>
      </w:r>
      <w:r>
        <w:rPr>
          <w:i/>
          <w:sz w:val="20"/>
        </w:rPr>
        <w:t>public</w:t>
      </w:r>
      <w:r>
        <w:rPr>
          <w:i/>
          <w:spacing w:val="-6"/>
          <w:sz w:val="20"/>
        </w:rPr>
        <w:t xml:space="preserve"> </w:t>
      </w:r>
      <w:r>
        <w:rPr>
          <w:i/>
          <w:sz w:val="20"/>
        </w:rPr>
        <w:t>policy</w:t>
      </w:r>
      <w:r>
        <w:rPr>
          <w:i/>
          <w:spacing w:val="-4"/>
          <w:sz w:val="20"/>
        </w:rPr>
        <w:t xml:space="preserve"> </w:t>
      </w:r>
      <w:r>
        <w:rPr>
          <w:i/>
          <w:sz w:val="20"/>
        </w:rPr>
        <w:t>agenda</w:t>
      </w:r>
      <w:r>
        <w:rPr>
          <w:i/>
          <w:spacing w:val="-4"/>
          <w:sz w:val="20"/>
        </w:rPr>
        <w:t xml:space="preserve"> </w:t>
      </w:r>
      <w:r>
        <w:rPr>
          <w:i/>
          <w:sz w:val="20"/>
        </w:rPr>
        <w:t>for</w:t>
      </w:r>
      <w:r>
        <w:rPr>
          <w:i/>
          <w:spacing w:val="-6"/>
          <w:sz w:val="20"/>
        </w:rPr>
        <w:t xml:space="preserve"> </w:t>
      </w:r>
      <w:r>
        <w:rPr>
          <w:i/>
          <w:sz w:val="20"/>
        </w:rPr>
        <w:t>uniting</w:t>
      </w:r>
      <w:r>
        <w:rPr>
          <w:i/>
          <w:spacing w:val="-5"/>
          <w:sz w:val="20"/>
        </w:rPr>
        <w:t xml:space="preserve"> </w:t>
      </w:r>
      <w:r>
        <w:rPr>
          <w:i/>
          <w:sz w:val="20"/>
        </w:rPr>
        <w:t>a</w:t>
      </w:r>
      <w:r>
        <w:rPr>
          <w:i/>
          <w:spacing w:val="-5"/>
          <w:sz w:val="20"/>
        </w:rPr>
        <w:t xml:space="preserve"> </w:t>
      </w:r>
      <w:r>
        <w:rPr>
          <w:i/>
          <w:sz w:val="20"/>
        </w:rPr>
        <w:t>divided</w:t>
      </w:r>
      <w:r>
        <w:rPr>
          <w:i/>
          <w:spacing w:val="-4"/>
          <w:sz w:val="20"/>
        </w:rPr>
        <w:t xml:space="preserve"> </w:t>
      </w:r>
      <w:r>
        <w:rPr>
          <w:i/>
          <w:sz w:val="20"/>
        </w:rPr>
        <w:t>America</w:t>
      </w:r>
      <w:r>
        <w:rPr>
          <w:i/>
          <w:spacing w:val="-4"/>
          <w:sz w:val="20"/>
        </w:rPr>
        <w:t xml:space="preserve"> </w:t>
      </w:r>
      <w:r>
        <w:rPr>
          <w:sz w:val="20"/>
        </w:rPr>
        <w:t>(p</w:t>
      </w:r>
      <w:r>
        <w:rPr>
          <w:sz w:val="20"/>
        </w:rPr>
        <w:t>p.</w:t>
      </w:r>
      <w:r>
        <w:rPr>
          <w:spacing w:val="-6"/>
          <w:sz w:val="20"/>
        </w:rPr>
        <w:t xml:space="preserve"> </w:t>
      </w:r>
      <w:r>
        <w:rPr>
          <w:sz w:val="20"/>
        </w:rPr>
        <w:t>229– 250). Boca Raton, FL: CRC Press. doi:10.1201/b17485-21.</w:t>
      </w:r>
    </w:p>
    <w:p w:rsidR="00C76E6D" w:rsidRDefault="00913831">
      <w:pPr>
        <w:ind w:left="480" w:right="846"/>
        <w:rPr>
          <w:sz w:val="20"/>
        </w:rPr>
      </w:pPr>
      <w:bookmarkStart w:id="395" w:name="_bookmark280"/>
      <w:bookmarkEnd w:id="395"/>
      <w:r>
        <w:rPr>
          <w:sz w:val="20"/>
          <w:vertAlign w:val="superscript"/>
        </w:rPr>
        <w:t>118</w:t>
      </w:r>
      <w:r>
        <w:rPr>
          <w:sz w:val="20"/>
        </w:rPr>
        <w:t xml:space="preserve"> Snyder, S. M., Hartinger-Saunders, R., Brezina, T., Beck, E., Wright, E. R., Forge, N., &amp; Bride, B. E. (2016). Homeless</w:t>
      </w:r>
      <w:r>
        <w:rPr>
          <w:spacing w:val="-7"/>
          <w:sz w:val="20"/>
        </w:rPr>
        <w:t xml:space="preserve"> </w:t>
      </w:r>
      <w:r>
        <w:rPr>
          <w:sz w:val="20"/>
        </w:rPr>
        <w:t>youth,</w:t>
      </w:r>
      <w:r>
        <w:rPr>
          <w:spacing w:val="-6"/>
          <w:sz w:val="20"/>
        </w:rPr>
        <w:t xml:space="preserve"> </w:t>
      </w:r>
      <w:r>
        <w:rPr>
          <w:sz w:val="20"/>
        </w:rPr>
        <w:t>strain,</w:t>
      </w:r>
      <w:r>
        <w:rPr>
          <w:spacing w:val="-6"/>
          <w:sz w:val="20"/>
        </w:rPr>
        <w:t xml:space="preserve"> </w:t>
      </w:r>
      <w:r>
        <w:rPr>
          <w:sz w:val="20"/>
        </w:rPr>
        <w:t>and</w:t>
      </w:r>
      <w:r>
        <w:rPr>
          <w:spacing w:val="-8"/>
          <w:sz w:val="20"/>
        </w:rPr>
        <w:t xml:space="preserve"> </w:t>
      </w:r>
      <w:r>
        <w:rPr>
          <w:sz w:val="20"/>
        </w:rPr>
        <w:t>justice</w:t>
      </w:r>
      <w:r>
        <w:rPr>
          <w:spacing w:val="-7"/>
          <w:sz w:val="20"/>
        </w:rPr>
        <w:t xml:space="preserve"> </w:t>
      </w:r>
      <w:r>
        <w:rPr>
          <w:sz w:val="20"/>
        </w:rPr>
        <w:t>system</w:t>
      </w:r>
      <w:r>
        <w:rPr>
          <w:spacing w:val="-8"/>
          <w:sz w:val="20"/>
        </w:rPr>
        <w:t xml:space="preserve"> </w:t>
      </w:r>
      <w:r>
        <w:rPr>
          <w:sz w:val="20"/>
        </w:rPr>
        <w:t>involvement:</w:t>
      </w:r>
      <w:r>
        <w:rPr>
          <w:spacing w:val="-7"/>
          <w:sz w:val="20"/>
        </w:rPr>
        <w:t xml:space="preserve"> </w:t>
      </w:r>
      <w:r>
        <w:rPr>
          <w:sz w:val="20"/>
        </w:rPr>
        <w:t>An</w:t>
      </w:r>
      <w:r>
        <w:rPr>
          <w:spacing w:val="-6"/>
          <w:sz w:val="20"/>
        </w:rPr>
        <w:t xml:space="preserve"> </w:t>
      </w:r>
      <w:r>
        <w:rPr>
          <w:sz w:val="20"/>
        </w:rPr>
        <w:t>application</w:t>
      </w:r>
      <w:r>
        <w:rPr>
          <w:spacing w:val="-8"/>
          <w:sz w:val="20"/>
        </w:rPr>
        <w:t xml:space="preserve"> </w:t>
      </w:r>
      <w:r>
        <w:rPr>
          <w:sz w:val="20"/>
        </w:rPr>
        <w:t>of</w:t>
      </w:r>
      <w:r>
        <w:rPr>
          <w:spacing w:val="-7"/>
          <w:sz w:val="20"/>
        </w:rPr>
        <w:t xml:space="preserve"> </w:t>
      </w:r>
      <w:r>
        <w:rPr>
          <w:sz w:val="20"/>
        </w:rPr>
        <w:t>general</w:t>
      </w:r>
      <w:r>
        <w:rPr>
          <w:spacing w:val="-8"/>
          <w:sz w:val="20"/>
        </w:rPr>
        <w:t xml:space="preserve"> </w:t>
      </w:r>
      <w:r>
        <w:rPr>
          <w:sz w:val="20"/>
        </w:rPr>
        <w:t>strain</w:t>
      </w:r>
      <w:r>
        <w:rPr>
          <w:spacing w:val="-7"/>
          <w:sz w:val="20"/>
        </w:rPr>
        <w:t xml:space="preserve"> </w:t>
      </w:r>
      <w:r>
        <w:rPr>
          <w:sz w:val="20"/>
        </w:rPr>
        <w:t>theory.</w:t>
      </w:r>
      <w:r>
        <w:rPr>
          <w:spacing w:val="-6"/>
          <w:sz w:val="20"/>
        </w:rPr>
        <w:t xml:space="preserve"> </w:t>
      </w:r>
      <w:r>
        <w:rPr>
          <w:i/>
          <w:sz w:val="20"/>
        </w:rPr>
        <w:t>Children</w:t>
      </w:r>
      <w:r>
        <w:rPr>
          <w:i/>
          <w:spacing w:val="-6"/>
          <w:sz w:val="20"/>
        </w:rPr>
        <w:t xml:space="preserve"> </w:t>
      </w:r>
      <w:r>
        <w:rPr>
          <w:i/>
          <w:sz w:val="20"/>
        </w:rPr>
        <w:t xml:space="preserve">and </w:t>
      </w:r>
      <w:bookmarkStart w:id="396" w:name="_bookmark281"/>
      <w:bookmarkEnd w:id="396"/>
      <w:r>
        <w:rPr>
          <w:i/>
          <w:sz w:val="20"/>
        </w:rPr>
        <w:t>Youth Services Review</w:t>
      </w:r>
      <w:r>
        <w:rPr>
          <w:sz w:val="20"/>
        </w:rPr>
        <w:t xml:space="preserve">, </w:t>
      </w:r>
      <w:r>
        <w:rPr>
          <w:i/>
          <w:sz w:val="20"/>
        </w:rPr>
        <w:t>62</w:t>
      </w:r>
      <w:r>
        <w:rPr>
          <w:sz w:val="20"/>
        </w:rPr>
        <w:t>, 90-96.</w:t>
      </w:r>
    </w:p>
    <w:p w:rsidR="00C76E6D" w:rsidRDefault="00913831">
      <w:pPr>
        <w:spacing w:before="4"/>
        <w:ind w:left="480"/>
        <w:rPr>
          <w:sz w:val="20"/>
        </w:rPr>
      </w:pPr>
      <w:r>
        <w:rPr>
          <w:sz w:val="20"/>
          <w:vertAlign w:val="superscript"/>
        </w:rPr>
        <w:t>119</w:t>
      </w:r>
      <w:r>
        <w:rPr>
          <w:spacing w:val="-7"/>
          <w:sz w:val="20"/>
        </w:rPr>
        <w:t xml:space="preserve"> </w:t>
      </w:r>
      <w:r>
        <w:rPr>
          <w:sz w:val="20"/>
        </w:rPr>
        <w:t>McCandless,</w:t>
      </w:r>
      <w:r>
        <w:rPr>
          <w:spacing w:val="-7"/>
          <w:sz w:val="20"/>
        </w:rPr>
        <w:t xml:space="preserve"> </w:t>
      </w:r>
      <w:r>
        <w:rPr>
          <w:sz w:val="20"/>
        </w:rPr>
        <w:t>S.</w:t>
      </w:r>
      <w:r>
        <w:rPr>
          <w:spacing w:val="-9"/>
          <w:sz w:val="20"/>
        </w:rPr>
        <w:t xml:space="preserve"> </w:t>
      </w:r>
      <w:r>
        <w:rPr>
          <w:sz w:val="20"/>
        </w:rPr>
        <w:t>(2018).</w:t>
      </w:r>
      <w:r>
        <w:rPr>
          <w:spacing w:val="-8"/>
          <w:sz w:val="20"/>
        </w:rPr>
        <w:t xml:space="preserve"> </w:t>
      </w:r>
      <w:r>
        <w:rPr>
          <w:sz w:val="20"/>
        </w:rPr>
        <w:t>LGBT</w:t>
      </w:r>
      <w:r>
        <w:rPr>
          <w:spacing w:val="-9"/>
          <w:sz w:val="20"/>
        </w:rPr>
        <w:t xml:space="preserve"> </w:t>
      </w:r>
      <w:r>
        <w:rPr>
          <w:sz w:val="20"/>
        </w:rPr>
        <w:t>homeless</w:t>
      </w:r>
      <w:r>
        <w:rPr>
          <w:spacing w:val="-8"/>
          <w:sz w:val="20"/>
        </w:rPr>
        <w:t xml:space="preserve"> </w:t>
      </w:r>
      <w:r>
        <w:rPr>
          <w:sz w:val="20"/>
        </w:rPr>
        <w:t>youth</w:t>
      </w:r>
      <w:r>
        <w:rPr>
          <w:spacing w:val="-6"/>
          <w:sz w:val="20"/>
        </w:rPr>
        <w:t xml:space="preserve"> </w:t>
      </w:r>
      <w:r>
        <w:rPr>
          <w:sz w:val="20"/>
        </w:rPr>
        <w:t>and</w:t>
      </w:r>
      <w:r>
        <w:rPr>
          <w:spacing w:val="-9"/>
          <w:sz w:val="20"/>
        </w:rPr>
        <w:t xml:space="preserve"> </w:t>
      </w:r>
      <w:r>
        <w:rPr>
          <w:sz w:val="20"/>
        </w:rPr>
        <w:t>policing.</w:t>
      </w:r>
      <w:r>
        <w:rPr>
          <w:spacing w:val="-10"/>
          <w:sz w:val="20"/>
        </w:rPr>
        <w:t xml:space="preserve"> </w:t>
      </w:r>
      <w:r>
        <w:rPr>
          <w:i/>
          <w:sz w:val="20"/>
        </w:rPr>
        <w:t>Public</w:t>
      </w:r>
      <w:r>
        <w:rPr>
          <w:i/>
          <w:spacing w:val="-7"/>
          <w:sz w:val="20"/>
        </w:rPr>
        <w:t xml:space="preserve"> </w:t>
      </w:r>
      <w:r>
        <w:rPr>
          <w:i/>
          <w:sz w:val="20"/>
        </w:rPr>
        <w:t>Integrity</w:t>
      </w:r>
      <w:r>
        <w:rPr>
          <w:sz w:val="20"/>
        </w:rPr>
        <w:t>,</w:t>
      </w:r>
      <w:r>
        <w:rPr>
          <w:spacing w:val="-8"/>
          <w:sz w:val="20"/>
        </w:rPr>
        <w:t xml:space="preserve"> </w:t>
      </w:r>
      <w:r>
        <w:rPr>
          <w:i/>
          <w:sz w:val="20"/>
        </w:rPr>
        <w:t>20</w:t>
      </w:r>
      <w:r>
        <w:rPr>
          <w:sz w:val="20"/>
        </w:rPr>
        <w:t>(6),</w:t>
      </w:r>
      <w:r>
        <w:rPr>
          <w:spacing w:val="-9"/>
          <w:sz w:val="20"/>
        </w:rPr>
        <w:t xml:space="preserve"> </w:t>
      </w:r>
      <w:r>
        <w:rPr>
          <w:sz w:val="20"/>
        </w:rPr>
        <w:t>558-</w:t>
      </w:r>
      <w:r>
        <w:rPr>
          <w:spacing w:val="-4"/>
          <w:sz w:val="20"/>
        </w:rPr>
        <w:t>570.</w:t>
      </w:r>
    </w:p>
    <w:p w:rsidR="00C76E6D" w:rsidRDefault="00913831">
      <w:pPr>
        <w:spacing w:before="1" w:line="244" w:lineRule="exact"/>
        <w:ind w:left="480"/>
        <w:rPr>
          <w:sz w:val="20"/>
        </w:rPr>
      </w:pPr>
      <w:bookmarkStart w:id="397" w:name="_bookmark282"/>
      <w:bookmarkEnd w:id="397"/>
      <w:r>
        <w:rPr>
          <w:sz w:val="20"/>
          <w:vertAlign w:val="superscript"/>
        </w:rPr>
        <w:t>120</w:t>
      </w:r>
      <w:r>
        <w:rPr>
          <w:spacing w:val="-6"/>
          <w:sz w:val="20"/>
        </w:rPr>
        <w:t xml:space="preserve"> </w:t>
      </w:r>
      <w:r>
        <w:rPr>
          <w:sz w:val="20"/>
        </w:rPr>
        <w:t>Snyder,</w:t>
      </w:r>
      <w:r>
        <w:rPr>
          <w:spacing w:val="-5"/>
          <w:sz w:val="20"/>
        </w:rPr>
        <w:t xml:space="preserve"> </w:t>
      </w:r>
      <w:r>
        <w:rPr>
          <w:sz w:val="20"/>
        </w:rPr>
        <w:t>et</w:t>
      </w:r>
      <w:r>
        <w:rPr>
          <w:spacing w:val="-4"/>
          <w:sz w:val="20"/>
        </w:rPr>
        <w:t xml:space="preserve"> </w:t>
      </w:r>
      <w:r>
        <w:rPr>
          <w:sz w:val="20"/>
        </w:rPr>
        <w:t>al.</w:t>
      </w:r>
      <w:r>
        <w:rPr>
          <w:spacing w:val="-6"/>
          <w:sz w:val="20"/>
        </w:rPr>
        <w:t xml:space="preserve"> </w:t>
      </w:r>
      <w:r>
        <w:rPr>
          <w:spacing w:val="-4"/>
          <w:sz w:val="20"/>
        </w:rPr>
        <w:t>2016.</w:t>
      </w:r>
    </w:p>
    <w:p w:rsidR="00C76E6D" w:rsidRDefault="00913831">
      <w:pPr>
        <w:spacing w:line="244" w:lineRule="exact"/>
        <w:ind w:left="480"/>
        <w:rPr>
          <w:sz w:val="20"/>
        </w:rPr>
      </w:pPr>
      <w:bookmarkStart w:id="398" w:name="_bookmark283"/>
      <w:bookmarkEnd w:id="398"/>
      <w:r>
        <w:rPr>
          <w:sz w:val="20"/>
          <w:vertAlign w:val="superscript"/>
        </w:rPr>
        <w:t>121</w:t>
      </w:r>
      <w:r>
        <w:rPr>
          <w:spacing w:val="-9"/>
          <w:sz w:val="20"/>
        </w:rPr>
        <w:t xml:space="preserve"> </w:t>
      </w:r>
      <w:bookmarkStart w:id="399" w:name="_bookmark284"/>
      <w:bookmarkEnd w:id="399"/>
      <w:r>
        <w:rPr>
          <w:sz w:val="20"/>
        </w:rPr>
        <w:t>McCandless.</w:t>
      </w:r>
      <w:r>
        <w:rPr>
          <w:spacing w:val="-9"/>
          <w:sz w:val="20"/>
        </w:rPr>
        <w:t xml:space="preserve"> </w:t>
      </w:r>
      <w:r>
        <w:rPr>
          <w:spacing w:val="-2"/>
          <w:sz w:val="20"/>
        </w:rPr>
        <w:t>(2018).</w:t>
      </w:r>
    </w:p>
    <w:p w:rsidR="00C76E6D" w:rsidRDefault="00913831">
      <w:pPr>
        <w:spacing w:line="241" w:lineRule="exact"/>
        <w:ind w:left="480"/>
        <w:rPr>
          <w:sz w:val="20"/>
        </w:rPr>
      </w:pPr>
      <w:r>
        <w:rPr>
          <w:sz w:val="20"/>
          <w:vertAlign w:val="superscript"/>
        </w:rPr>
        <w:t>122</w:t>
      </w:r>
      <w:r>
        <w:rPr>
          <w:spacing w:val="-4"/>
          <w:sz w:val="20"/>
        </w:rPr>
        <w:t xml:space="preserve"> </w:t>
      </w:r>
      <w:bookmarkStart w:id="400" w:name="_bookmark285"/>
      <w:bookmarkEnd w:id="400"/>
      <w:r>
        <w:rPr>
          <w:spacing w:val="-2"/>
          <w:sz w:val="20"/>
        </w:rPr>
        <w:t>McCandless.</w:t>
      </w:r>
    </w:p>
    <w:p w:rsidR="00C76E6D" w:rsidRDefault="00913831">
      <w:pPr>
        <w:ind w:left="478" w:right="947"/>
        <w:rPr>
          <w:sz w:val="20"/>
        </w:rPr>
      </w:pPr>
      <w:r>
        <w:rPr>
          <w:sz w:val="20"/>
          <w:vertAlign w:val="superscript"/>
        </w:rPr>
        <w:t>123</w:t>
      </w:r>
      <w:r>
        <w:rPr>
          <w:sz w:val="20"/>
        </w:rPr>
        <w:t xml:space="preserve"> Hussey, H. (2015). Expanding ID Card Access for LGBT Homeless Youth. Center for American Progress. </w:t>
      </w:r>
      <w:r>
        <w:rPr>
          <w:spacing w:val="-4"/>
          <w:sz w:val="20"/>
        </w:rPr>
        <w:t>https://</w:t>
      </w:r>
      <w:hyperlink r:id="rId245">
        <w:r>
          <w:rPr>
            <w:spacing w:val="-4"/>
            <w:sz w:val="20"/>
          </w:rPr>
          <w:t>www.americanprogress.org</w:t>
        </w:r>
        <w:r>
          <w:rPr>
            <w:spacing w:val="-4"/>
            <w:sz w:val="20"/>
          </w:rPr>
          <w:t>/issues/lgbt/reports/2015/10/01/122044/expanding-id-card-access-for-lgbt-</w:t>
        </w:r>
      </w:hyperlink>
      <w:r>
        <w:rPr>
          <w:spacing w:val="-4"/>
          <w:sz w:val="20"/>
        </w:rPr>
        <w:t xml:space="preserve"> </w:t>
      </w:r>
      <w:r>
        <w:rPr>
          <w:spacing w:val="-2"/>
          <w:sz w:val="20"/>
        </w:rPr>
        <w:t>homeless-youth/</w:t>
      </w:r>
    </w:p>
    <w:p w:rsidR="00C76E6D" w:rsidRDefault="00C76E6D">
      <w:pPr>
        <w:rPr>
          <w:sz w:val="20"/>
        </w:rPr>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11"/>
        <w:rPr>
          <w:sz w:val="18"/>
        </w:rPr>
      </w:pPr>
    </w:p>
    <w:p w:rsidR="00C76E6D" w:rsidRDefault="00913831">
      <w:pPr>
        <w:spacing w:line="241" w:lineRule="exact"/>
        <w:ind w:left="480"/>
        <w:rPr>
          <w:sz w:val="20"/>
        </w:rPr>
      </w:pPr>
      <w:bookmarkStart w:id="401" w:name="_bookmark286"/>
      <w:bookmarkEnd w:id="401"/>
      <w:r>
        <w:rPr>
          <w:sz w:val="20"/>
          <w:vertAlign w:val="superscript"/>
        </w:rPr>
        <w:t>124</w:t>
      </w:r>
      <w:r>
        <w:rPr>
          <w:spacing w:val="-6"/>
          <w:sz w:val="20"/>
        </w:rPr>
        <w:t xml:space="preserve"> </w:t>
      </w:r>
      <w:r>
        <w:rPr>
          <w:sz w:val="20"/>
        </w:rPr>
        <w:t>Hussey,</w:t>
      </w:r>
      <w:r>
        <w:rPr>
          <w:spacing w:val="-5"/>
          <w:sz w:val="20"/>
        </w:rPr>
        <w:t xml:space="preserve"> </w:t>
      </w:r>
      <w:r>
        <w:rPr>
          <w:sz w:val="20"/>
        </w:rPr>
        <w:t>H.</w:t>
      </w:r>
      <w:r>
        <w:rPr>
          <w:spacing w:val="-6"/>
          <w:sz w:val="20"/>
        </w:rPr>
        <w:t xml:space="preserve"> </w:t>
      </w:r>
      <w:r>
        <w:rPr>
          <w:spacing w:val="-2"/>
          <w:sz w:val="20"/>
        </w:rPr>
        <w:t>(2015).</w:t>
      </w:r>
    </w:p>
    <w:p w:rsidR="00C76E6D" w:rsidRDefault="00913831">
      <w:pPr>
        <w:ind w:left="481" w:right="530" w:hanging="2"/>
        <w:rPr>
          <w:sz w:val="20"/>
        </w:rPr>
      </w:pPr>
      <w:bookmarkStart w:id="402" w:name="_bookmark287"/>
      <w:bookmarkEnd w:id="402"/>
      <w:r>
        <w:rPr>
          <w:sz w:val="20"/>
          <w:vertAlign w:val="superscript"/>
        </w:rPr>
        <w:t>125</w:t>
      </w:r>
      <w:r>
        <w:rPr>
          <w:spacing w:val="-5"/>
          <w:sz w:val="20"/>
        </w:rPr>
        <w:t xml:space="preserve"> </w:t>
      </w:r>
      <w:r>
        <w:rPr>
          <w:sz w:val="20"/>
        </w:rPr>
        <w:t>Massachusetts</w:t>
      </w:r>
      <w:r>
        <w:rPr>
          <w:spacing w:val="-6"/>
          <w:sz w:val="20"/>
        </w:rPr>
        <w:t xml:space="preserve"> </w:t>
      </w:r>
      <w:r>
        <w:rPr>
          <w:sz w:val="20"/>
        </w:rPr>
        <w:t>Commission</w:t>
      </w:r>
      <w:r>
        <w:rPr>
          <w:spacing w:val="-5"/>
          <w:sz w:val="20"/>
        </w:rPr>
        <w:t xml:space="preserve"> </w:t>
      </w:r>
      <w:r>
        <w:rPr>
          <w:sz w:val="20"/>
        </w:rPr>
        <w:t>on</w:t>
      </w:r>
      <w:r>
        <w:rPr>
          <w:spacing w:val="-5"/>
          <w:sz w:val="20"/>
        </w:rPr>
        <w:t xml:space="preserve"> </w:t>
      </w:r>
      <w:r>
        <w:rPr>
          <w:sz w:val="20"/>
        </w:rPr>
        <w:t>LGBTQ</w:t>
      </w:r>
      <w:r>
        <w:rPr>
          <w:spacing w:val="-6"/>
          <w:sz w:val="20"/>
        </w:rPr>
        <w:t xml:space="preserve"> </w:t>
      </w:r>
      <w:r>
        <w:rPr>
          <w:sz w:val="20"/>
        </w:rPr>
        <w:t>Youth.</w:t>
      </w:r>
      <w:r>
        <w:rPr>
          <w:spacing w:val="-6"/>
          <w:sz w:val="20"/>
        </w:rPr>
        <w:t xml:space="preserve"> </w:t>
      </w:r>
      <w:r>
        <w:rPr>
          <w:sz w:val="20"/>
        </w:rPr>
        <w:t>(16</w:t>
      </w:r>
      <w:r>
        <w:rPr>
          <w:spacing w:val="-8"/>
          <w:sz w:val="20"/>
        </w:rPr>
        <w:t xml:space="preserve"> </w:t>
      </w:r>
      <w:r>
        <w:rPr>
          <w:sz w:val="20"/>
        </w:rPr>
        <w:t>November</w:t>
      </w:r>
      <w:r>
        <w:rPr>
          <w:spacing w:val="-6"/>
          <w:sz w:val="20"/>
        </w:rPr>
        <w:t xml:space="preserve"> </w:t>
      </w:r>
      <w:r>
        <w:rPr>
          <w:sz w:val="20"/>
        </w:rPr>
        <w:t>2017).</w:t>
      </w:r>
      <w:r>
        <w:rPr>
          <w:spacing w:val="-6"/>
          <w:sz w:val="20"/>
        </w:rPr>
        <w:t xml:space="preserve"> </w:t>
      </w:r>
      <w:r>
        <w:rPr>
          <w:sz w:val="20"/>
        </w:rPr>
        <w:t>Commission</w:t>
      </w:r>
      <w:r>
        <w:rPr>
          <w:spacing w:val="-5"/>
          <w:sz w:val="20"/>
        </w:rPr>
        <w:t xml:space="preserve"> </w:t>
      </w:r>
      <w:r>
        <w:rPr>
          <w:sz w:val="20"/>
        </w:rPr>
        <w:t>Testifies</w:t>
      </w:r>
      <w:r>
        <w:rPr>
          <w:spacing w:val="-5"/>
          <w:sz w:val="20"/>
        </w:rPr>
        <w:t xml:space="preserve"> </w:t>
      </w:r>
      <w:r>
        <w:rPr>
          <w:sz w:val="20"/>
        </w:rPr>
        <w:t>on</w:t>
      </w:r>
      <w:r>
        <w:rPr>
          <w:spacing w:val="-5"/>
          <w:sz w:val="20"/>
        </w:rPr>
        <w:t xml:space="preserve"> </w:t>
      </w:r>
      <w:r>
        <w:rPr>
          <w:sz w:val="20"/>
        </w:rPr>
        <w:t>ID</w:t>
      </w:r>
      <w:r>
        <w:rPr>
          <w:spacing w:val="-5"/>
          <w:sz w:val="20"/>
        </w:rPr>
        <w:t xml:space="preserve"> </w:t>
      </w:r>
      <w:r>
        <w:rPr>
          <w:sz w:val="20"/>
        </w:rPr>
        <w:t>Access</w:t>
      </w:r>
      <w:r>
        <w:rPr>
          <w:spacing w:val="-6"/>
          <w:sz w:val="20"/>
        </w:rPr>
        <w:t xml:space="preserve"> </w:t>
      </w:r>
      <w:r>
        <w:rPr>
          <w:sz w:val="20"/>
        </w:rPr>
        <w:t>for</w:t>
      </w:r>
      <w:r>
        <w:rPr>
          <w:spacing w:val="-5"/>
          <w:sz w:val="20"/>
        </w:rPr>
        <w:t xml:space="preserve"> </w:t>
      </w:r>
      <w:r>
        <w:rPr>
          <w:sz w:val="20"/>
        </w:rPr>
        <w:t>the Homeless. https://</w:t>
      </w:r>
      <w:hyperlink r:id="rId246">
        <w:r>
          <w:rPr>
            <w:sz w:val="20"/>
          </w:rPr>
          <w:t>www.mass.gov/news/commission-testifies-on-id-access-for-the-homeless</w:t>
        </w:r>
      </w:hyperlink>
    </w:p>
    <w:p w:rsidR="00C76E6D" w:rsidRDefault="00913831">
      <w:pPr>
        <w:ind w:left="481" w:right="530" w:hanging="2"/>
        <w:rPr>
          <w:sz w:val="20"/>
        </w:rPr>
      </w:pPr>
      <w:bookmarkStart w:id="403" w:name="_bookmark288"/>
      <w:bookmarkEnd w:id="403"/>
      <w:r>
        <w:rPr>
          <w:sz w:val="20"/>
          <w:vertAlign w:val="superscript"/>
        </w:rPr>
        <w:t>126</w:t>
      </w:r>
      <w:r>
        <w:rPr>
          <w:spacing w:val="-4"/>
          <w:sz w:val="20"/>
        </w:rPr>
        <w:t xml:space="preserve"> </w:t>
      </w:r>
      <w:r>
        <w:rPr>
          <w:sz w:val="20"/>
        </w:rPr>
        <w:t>James,</w:t>
      </w:r>
      <w:r>
        <w:rPr>
          <w:spacing w:val="-4"/>
          <w:sz w:val="20"/>
        </w:rPr>
        <w:t xml:space="preserve"> </w:t>
      </w:r>
      <w:r>
        <w:rPr>
          <w:sz w:val="20"/>
        </w:rPr>
        <w:t>S.</w:t>
      </w:r>
      <w:r>
        <w:rPr>
          <w:spacing w:val="-5"/>
          <w:sz w:val="20"/>
        </w:rPr>
        <w:t xml:space="preserve"> </w:t>
      </w:r>
      <w:r>
        <w:rPr>
          <w:sz w:val="20"/>
        </w:rPr>
        <w:t>E.,</w:t>
      </w:r>
      <w:r>
        <w:rPr>
          <w:spacing w:val="-4"/>
          <w:sz w:val="20"/>
        </w:rPr>
        <w:t xml:space="preserve"> </w:t>
      </w:r>
      <w:r>
        <w:rPr>
          <w:sz w:val="20"/>
        </w:rPr>
        <w:t>Herman,</w:t>
      </w:r>
      <w:r>
        <w:rPr>
          <w:spacing w:val="-4"/>
          <w:sz w:val="20"/>
        </w:rPr>
        <w:t xml:space="preserve"> </w:t>
      </w:r>
      <w:r>
        <w:rPr>
          <w:sz w:val="20"/>
        </w:rPr>
        <w:t>J.</w:t>
      </w:r>
      <w:r>
        <w:rPr>
          <w:spacing w:val="-4"/>
          <w:sz w:val="20"/>
        </w:rPr>
        <w:t xml:space="preserve"> </w:t>
      </w:r>
      <w:r>
        <w:rPr>
          <w:sz w:val="20"/>
        </w:rPr>
        <w:t>L.,</w:t>
      </w:r>
      <w:r>
        <w:rPr>
          <w:spacing w:val="-4"/>
          <w:sz w:val="20"/>
        </w:rPr>
        <w:t xml:space="preserve"> </w:t>
      </w:r>
      <w:r>
        <w:rPr>
          <w:sz w:val="20"/>
        </w:rPr>
        <w:t>Rankin,</w:t>
      </w:r>
      <w:r>
        <w:rPr>
          <w:spacing w:val="-4"/>
          <w:sz w:val="20"/>
        </w:rPr>
        <w:t xml:space="preserve"> </w:t>
      </w:r>
      <w:r>
        <w:rPr>
          <w:sz w:val="20"/>
        </w:rPr>
        <w:t>S.,</w:t>
      </w:r>
      <w:r>
        <w:rPr>
          <w:spacing w:val="-4"/>
          <w:sz w:val="20"/>
        </w:rPr>
        <w:t xml:space="preserve"> </w:t>
      </w:r>
      <w:r>
        <w:rPr>
          <w:sz w:val="20"/>
        </w:rPr>
        <w:t>Keisling,</w:t>
      </w:r>
      <w:r>
        <w:rPr>
          <w:spacing w:val="-4"/>
          <w:sz w:val="20"/>
        </w:rPr>
        <w:t xml:space="preserve"> </w:t>
      </w:r>
      <w:r>
        <w:rPr>
          <w:sz w:val="20"/>
        </w:rPr>
        <w:t>M.,</w:t>
      </w:r>
      <w:r>
        <w:rPr>
          <w:spacing w:val="-4"/>
          <w:sz w:val="20"/>
        </w:rPr>
        <w:t xml:space="preserve"> </w:t>
      </w:r>
      <w:r>
        <w:rPr>
          <w:sz w:val="20"/>
        </w:rPr>
        <w:t>Mottet,</w:t>
      </w:r>
      <w:r>
        <w:rPr>
          <w:spacing w:val="-4"/>
          <w:sz w:val="20"/>
        </w:rPr>
        <w:t xml:space="preserve"> </w:t>
      </w:r>
      <w:r>
        <w:rPr>
          <w:sz w:val="20"/>
        </w:rPr>
        <w:t>L.,</w:t>
      </w:r>
      <w:r>
        <w:rPr>
          <w:spacing w:val="-4"/>
          <w:sz w:val="20"/>
        </w:rPr>
        <w:t xml:space="preserve"> </w:t>
      </w:r>
      <w:r>
        <w:rPr>
          <w:sz w:val="20"/>
        </w:rPr>
        <w:t>&amp;</w:t>
      </w:r>
      <w:r>
        <w:rPr>
          <w:spacing w:val="-4"/>
          <w:sz w:val="20"/>
        </w:rPr>
        <w:t xml:space="preserve"> </w:t>
      </w:r>
      <w:r>
        <w:rPr>
          <w:sz w:val="20"/>
        </w:rPr>
        <w:t>Anafi,</w:t>
      </w:r>
      <w:r>
        <w:rPr>
          <w:spacing w:val="-4"/>
          <w:sz w:val="20"/>
        </w:rPr>
        <w:t xml:space="preserve"> </w:t>
      </w:r>
      <w:r>
        <w:rPr>
          <w:sz w:val="20"/>
        </w:rPr>
        <w:t>M.</w:t>
      </w:r>
      <w:r>
        <w:rPr>
          <w:spacing w:val="-4"/>
          <w:sz w:val="20"/>
        </w:rPr>
        <w:t xml:space="preserve"> </w:t>
      </w:r>
      <w:r>
        <w:rPr>
          <w:sz w:val="20"/>
        </w:rPr>
        <w:t>(2016)</w:t>
      </w:r>
      <w:r>
        <w:rPr>
          <w:spacing w:val="-4"/>
          <w:sz w:val="20"/>
        </w:rPr>
        <w:t xml:space="preserve"> </w:t>
      </w:r>
      <w:r>
        <w:rPr>
          <w:sz w:val="20"/>
        </w:rPr>
        <w:t>The</w:t>
      </w:r>
      <w:r>
        <w:rPr>
          <w:spacing w:val="-6"/>
          <w:sz w:val="20"/>
        </w:rPr>
        <w:t xml:space="preserve"> </w:t>
      </w:r>
      <w:r>
        <w:rPr>
          <w:sz w:val="20"/>
        </w:rPr>
        <w:t>Report</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2015</w:t>
      </w:r>
      <w:r>
        <w:rPr>
          <w:spacing w:val="-4"/>
          <w:sz w:val="20"/>
        </w:rPr>
        <w:t xml:space="preserve"> </w:t>
      </w:r>
      <w:r>
        <w:rPr>
          <w:sz w:val="20"/>
        </w:rPr>
        <w:t xml:space="preserve">U.S. Transgender Survey. Retrieved from https://transequality.org/sites/default/files/docs/usts/USTS-Full-Report- </w:t>
      </w:r>
      <w:r>
        <w:rPr>
          <w:spacing w:val="-2"/>
          <w:sz w:val="20"/>
        </w:rPr>
        <w:t>Dec17.pdf</w:t>
      </w:r>
    </w:p>
    <w:p w:rsidR="00C76E6D" w:rsidRDefault="00913831">
      <w:pPr>
        <w:spacing w:before="4" w:line="241" w:lineRule="exact"/>
        <w:ind w:left="480"/>
        <w:rPr>
          <w:sz w:val="20"/>
        </w:rPr>
      </w:pPr>
      <w:bookmarkStart w:id="404" w:name="_bookmark289"/>
      <w:bookmarkEnd w:id="404"/>
      <w:r>
        <w:rPr>
          <w:sz w:val="20"/>
          <w:vertAlign w:val="superscript"/>
        </w:rPr>
        <w:t>127</w:t>
      </w:r>
      <w:r>
        <w:rPr>
          <w:spacing w:val="-6"/>
          <w:sz w:val="20"/>
        </w:rPr>
        <w:t xml:space="preserve"> </w:t>
      </w:r>
      <w:bookmarkStart w:id="405" w:name="_bookmark290"/>
      <w:bookmarkEnd w:id="405"/>
      <w:r>
        <w:rPr>
          <w:sz w:val="20"/>
        </w:rPr>
        <w:t>Chapin</w:t>
      </w:r>
      <w:r>
        <w:rPr>
          <w:spacing w:val="-6"/>
          <w:sz w:val="20"/>
        </w:rPr>
        <w:t xml:space="preserve"> </w:t>
      </w:r>
      <w:r>
        <w:rPr>
          <w:sz w:val="20"/>
        </w:rPr>
        <w:t>Hall</w:t>
      </w:r>
      <w:r>
        <w:rPr>
          <w:spacing w:val="-8"/>
          <w:sz w:val="20"/>
        </w:rPr>
        <w:t xml:space="preserve"> </w:t>
      </w:r>
      <w:r>
        <w:rPr>
          <w:sz w:val="20"/>
        </w:rPr>
        <w:t>at</w:t>
      </w:r>
      <w:r>
        <w:rPr>
          <w:spacing w:val="-6"/>
          <w:sz w:val="20"/>
        </w:rPr>
        <w:t xml:space="preserve"> </w:t>
      </w:r>
      <w:r>
        <w:rPr>
          <w:sz w:val="20"/>
        </w:rPr>
        <w:t>the</w:t>
      </w:r>
      <w:r>
        <w:rPr>
          <w:spacing w:val="-6"/>
          <w:sz w:val="20"/>
        </w:rPr>
        <w:t xml:space="preserve"> </w:t>
      </w:r>
      <w:r>
        <w:rPr>
          <w:sz w:val="20"/>
        </w:rPr>
        <w:t>University</w:t>
      </w:r>
      <w:r>
        <w:rPr>
          <w:spacing w:val="-7"/>
          <w:sz w:val="20"/>
        </w:rPr>
        <w:t xml:space="preserve"> </w:t>
      </w:r>
      <w:r>
        <w:rPr>
          <w:sz w:val="20"/>
        </w:rPr>
        <w:t>of</w:t>
      </w:r>
      <w:r>
        <w:rPr>
          <w:spacing w:val="-6"/>
          <w:sz w:val="20"/>
        </w:rPr>
        <w:t xml:space="preserve"> </w:t>
      </w:r>
      <w:r>
        <w:rPr>
          <w:sz w:val="20"/>
        </w:rPr>
        <w:t>Chicago.</w:t>
      </w:r>
      <w:r>
        <w:rPr>
          <w:spacing w:val="-6"/>
          <w:sz w:val="20"/>
        </w:rPr>
        <w:t xml:space="preserve"> </w:t>
      </w:r>
      <w:r>
        <w:rPr>
          <w:spacing w:val="-2"/>
          <w:sz w:val="20"/>
        </w:rPr>
        <w:t>(2018).</w:t>
      </w:r>
    </w:p>
    <w:p w:rsidR="00C76E6D" w:rsidRDefault="00913831">
      <w:pPr>
        <w:ind w:left="481" w:right="530" w:hanging="3"/>
        <w:rPr>
          <w:sz w:val="20"/>
        </w:rPr>
      </w:pPr>
      <w:r>
        <w:rPr>
          <w:sz w:val="20"/>
          <w:vertAlign w:val="superscript"/>
        </w:rPr>
        <w:t>128</w:t>
      </w:r>
      <w:r>
        <w:rPr>
          <w:spacing w:val="-5"/>
          <w:sz w:val="20"/>
        </w:rPr>
        <w:t xml:space="preserve"> </w:t>
      </w:r>
      <w:r>
        <w:rPr>
          <w:sz w:val="20"/>
        </w:rPr>
        <w:t>National</w:t>
      </w:r>
      <w:r>
        <w:rPr>
          <w:spacing w:val="-6"/>
          <w:sz w:val="20"/>
        </w:rPr>
        <w:t xml:space="preserve"> </w:t>
      </w:r>
      <w:r>
        <w:rPr>
          <w:sz w:val="20"/>
        </w:rPr>
        <w:t>Center</w:t>
      </w:r>
      <w:r>
        <w:rPr>
          <w:spacing w:val="-6"/>
          <w:sz w:val="20"/>
        </w:rPr>
        <w:t xml:space="preserve"> </w:t>
      </w:r>
      <w:r>
        <w:rPr>
          <w:sz w:val="20"/>
        </w:rPr>
        <w:t>for</w:t>
      </w:r>
      <w:r>
        <w:rPr>
          <w:spacing w:val="-6"/>
          <w:sz w:val="20"/>
        </w:rPr>
        <w:t xml:space="preserve"> </w:t>
      </w:r>
      <w:r>
        <w:rPr>
          <w:sz w:val="20"/>
        </w:rPr>
        <w:t>Transgender</w:t>
      </w:r>
      <w:r>
        <w:rPr>
          <w:spacing w:val="-8"/>
          <w:sz w:val="20"/>
        </w:rPr>
        <w:t xml:space="preserve"> </w:t>
      </w:r>
      <w:r>
        <w:rPr>
          <w:sz w:val="20"/>
        </w:rPr>
        <w:t>Equality.</w:t>
      </w:r>
      <w:r>
        <w:rPr>
          <w:spacing w:val="-7"/>
          <w:sz w:val="20"/>
        </w:rPr>
        <w:t xml:space="preserve"> </w:t>
      </w:r>
      <w:r>
        <w:rPr>
          <w:sz w:val="20"/>
        </w:rPr>
        <w:t>(2017).</w:t>
      </w:r>
      <w:r>
        <w:rPr>
          <w:spacing w:val="-7"/>
          <w:sz w:val="20"/>
        </w:rPr>
        <w:t xml:space="preserve"> </w:t>
      </w:r>
      <w:r>
        <w:rPr>
          <w:sz w:val="20"/>
        </w:rPr>
        <w:t>“201</w:t>
      </w:r>
      <w:r>
        <w:rPr>
          <w:sz w:val="20"/>
        </w:rPr>
        <w:t>5</w:t>
      </w:r>
      <w:r>
        <w:rPr>
          <w:spacing w:val="-6"/>
          <w:sz w:val="20"/>
        </w:rPr>
        <w:t xml:space="preserve"> </w:t>
      </w:r>
      <w:r>
        <w:rPr>
          <w:sz w:val="20"/>
        </w:rPr>
        <w:t>U.S.</w:t>
      </w:r>
      <w:r>
        <w:rPr>
          <w:spacing w:val="-6"/>
          <w:sz w:val="20"/>
        </w:rPr>
        <w:t xml:space="preserve"> </w:t>
      </w:r>
      <w:r>
        <w:rPr>
          <w:sz w:val="20"/>
        </w:rPr>
        <w:t>Transgender</w:t>
      </w:r>
      <w:r>
        <w:rPr>
          <w:spacing w:val="-6"/>
          <w:sz w:val="20"/>
        </w:rPr>
        <w:t xml:space="preserve"> </w:t>
      </w:r>
      <w:r>
        <w:rPr>
          <w:sz w:val="20"/>
        </w:rPr>
        <w:t>Survey:</w:t>
      </w:r>
      <w:r>
        <w:rPr>
          <w:spacing w:val="-6"/>
          <w:sz w:val="20"/>
        </w:rPr>
        <w:t xml:space="preserve"> </w:t>
      </w:r>
      <w:r>
        <w:rPr>
          <w:sz w:val="20"/>
        </w:rPr>
        <w:t>Massachusetts</w:t>
      </w:r>
      <w:r>
        <w:rPr>
          <w:spacing w:val="-6"/>
          <w:sz w:val="20"/>
        </w:rPr>
        <w:t xml:space="preserve"> </w:t>
      </w:r>
      <w:r>
        <w:rPr>
          <w:sz w:val="20"/>
        </w:rPr>
        <w:t>State</w:t>
      </w:r>
      <w:r>
        <w:rPr>
          <w:spacing w:val="-6"/>
          <w:sz w:val="20"/>
        </w:rPr>
        <w:t xml:space="preserve"> </w:t>
      </w:r>
      <w:r>
        <w:rPr>
          <w:sz w:val="20"/>
        </w:rPr>
        <w:t xml:space="preserve">Report.” </w:t>
      </w:r>
      <w:bookmarkStart w:id="406" w:name="_bookmark291"/>
      <w:bookmarkEnd w:id="406"/>
      <w:r>
        <w:fldChar w:fldCharType="begin"/>
      </w:r>
      <w:r>
        <w:instrText xml:space="preserve"> HYPERLINK "http://www.transequality.org/sites/default/files/docs/usts/USTSMAStateReport%2525281017%252529.pdf" \h </w:instrText>
      </w:r>
      <w:r>
        <w:fldChar w:fldCharType="separate"/>
      </w:r>
      <w:r>
        <w:rPr>
          <w:spacing w:val="-2"/>
          <w:sz w:val="20"/>
        </w:rPr>
        <w:t>http://www.transequality.org/sites/default/files/docs/usts/USTSMAStateReport%28101</w:t>
      </w:r>
      <w:r>
        <w:rPr>
          <w:spacing w:val="-2"/>
          <w:sz w:val="20"/>
        </w:rPr>
        <w:t>7%29.pdf</w:t>
      </w:r>
      <w:r>
        <w:rPr>
          <w:spacing w:val="-2"/>
          <w:sz w:val="20"/>
        </w:rPr>
        <w:fldChar w:fldCharType="end"/>
      </w:r>
    </w:p>
    <w:p w:rsidR="00C76E6D" w:rsidRDefault="00913831">
      <w:pPr>
        <w:spacing w:before="3" w:line="241" w:lineRule="exact"/>
        <w:ind w:left="480"/>
        <w:rPr>
          <w:sz w:val="20"/>
        </w:rPr>
      </w:pPr>
      <w:r>
        <w:rPr>
          <w:sz w:val="20"/>
          <w:vertAlign w:val="superscript"/>
        </w:rPr>
        <w:t>129</w:t>
      </w:r>
      <w:r>
        <w:rPr>
          <w:spacing w:val="-6"/>
          <w:sz w:val="20"/>
        </w:rPr>
        <w:t xml:space="preserve"> </w:t>
      </w:r>
      <w:r>
        <w:rPr>
          <w:sz w:val="20"/>
        </w:rPr>
        <w:t>Quintana,</w:t>
      </w:r>
      <w:r>
        <w:rPr>
          <w:spacing w:val="-7"/>
          <w:sz w:val="20"/>
        </w:rPr>
        <w:t xml:space="preserve"> </w:t>
      </w:r>
      <w:r>
        <w:rPr>
          <w:sz w:val="20"/>
        </w:rPr>
        <w:t>et</w:t>
      </w:r>
      <w:r>
        <w:rPr>
          <w:spacing w:val="-7"/>
          <w:sz w:val="20"/>
        </w:rPr>
        <w:t xml:space="preserve"> </w:t>
      </w:r>
      <w:r>
        <w:rPr>
          <w:sz w:val="20"/>
        </w:rPr>
        <w:t>al.,</w:t>
      </w:r>
      <w:r>
        <w:rPr>
          <w:spacing w:val="-5"/>
          <w:sz w:val="20"/>
        </w:rPr>
        <w:t xml:space="preserve"> </w:t>
      </w:r>
      <w:r>
        <w:rPr>
          <w:spacing w:val="-2"/>
          <w:sz w:val="20"/>
        </w:rPr>
        <w:t>(2010).</w:t>
      </w:r>
    </w:p>
    <w:p w:rsidR="00C76E6D" w:rsidRDefault="00913831">
      <w:pPr>
        <w:ind w:left="481" w:right="649" w:hanging="1"/>
        <w:rPr>
          <w:sz w:val="20"/>
        </w:rPr>
      </w:pPr>
      <w:bookmarkStart w:id="407" w:name="_bookmark292"/>
      <w:bookmarkEnd w:id="407"/>
      <w:r>
        <w:rPr>
          <w:sz w:val="20"/>
          <w:vertAlign w:val="superscript"/>
        </w:rPr>
        <w:t>130</w:t>
      </w:r>
      <w:r>
        <w:rPr>
          <w:spacing w:val="-6"/>
          <w:sz w:val="20"/>
        </w:rPr>
        <w:t xml:space="preserve"> </w:t>
      </w:r>
      <w:r>
        <w:rPr>
          <w:sz w:val="20"/>
        </w:rPr>
        <w:t>Abramovich,</w:t>
      </w:r>
      <w:r>
        <w:rPr>
          <w:spacing w:val="-7"/>
          <w:sz w:val="20"/>
        </w:rPr>
        <w:t xml:space="preserve"> </w:t>
      </w:r>
      <w:r>
        <w:rPr>
          <w:sz w:val="20"/>
        </w:rPr>
        <w:t>A.</w:t>
      </w:r>
      <w:r>
        <w:rPr>
          <w:spacing w:val="-7"/>
          <w:sz w:val="20"/>
        </w:rPr>
        <w:t xml:space="preserve"> </w:t>
      </w:r>
      <w:r>
        <w:rPr>
          <w:sz w:val="20"/>
        </w:rPr>
        <w:t>(2017).</w:t>
      </w:r>
      <w:r>
        <w:rPr>
          <w:spacing w:val="-7"/>
          <w:sz w:val="20"/>
        </w:rPr>
        <w:t xml:space="preserve"> </w:t>
      </w:r>
      <w:r>
        <w:rPr>
          <w:sz w:val="20"/>
        </w:rPr>
        <w:t>Understanding</w:t>
      </w:r>
      <w:r>
        <w:rPr>
          <w:spacing w:val="-7"/>
          <w:sz w:val="20"/>
        </w:rPr>
        <w:t xml:space="preserve"> </w:t>
      </w:r>
      <w:r>
        <w:rPr>
          <w:sz w:val="20"/>
        </w:rPr>
        <w:t>how</w:t>
      </w:r>
      <w:r>
        <w:rPr>
          <w:spacing w:val="-7"/>
          <w:sz w:val="20"/>
        </w:rPr>
        <w:t xml:space="preserve"> </w:t>
      </w:r>
      <w:r>
        <w:rPr>
          <w:sz w:val="20"/>
        </w:rPr>
        <w:t>policy</w:t>
      </w:r>
      <w:r>
        <w:rPr>
          <w:spacing w:val="-6"/>
          <w:sz w:val="20"/>
        </w:rPr>
        <w:t xml:space="preserve"> </w:t>
      </w:r>
      <w:r>
        <w:rPr>
          <w:sz w:val="20"/>
        </w:rPr>
        <w:t>and</w:t>
      </w:r>
      <w:r>
        <w:rPr>
          <w:spacing w:val="-8"/>
          <w:sz w:val="20"/>
        </w:rPr>
        <w:t xml:space="preserve"> </w:t>
      </w:r>
      <w:r>
        <w:rPr>
          <w:sz w:val="20"/>
        </w:rPr>
        <w:t>culture</w:t>
      </w:r>
      <w:r>
        <w:rPr>
          <w:spacing w:val="-7"/>
          <w:sz w:val="20"/>
        </w:rPr>
        <w:t xml:space="preserve"> </w:t>
      </w:r>
      <w:r>
        <w:rPr>
          <w:sz w:val="20"/>
        </w:rPr>
        <w:t>create</w:t>
      </w:r>
      <w:r>
        <w:rPr>
          <w:spacing w:val="-7"/>
          <w:sz w:val="20"/>
        </w:rPr>
        <w:t xml:space="preserve"> </w:t>
      </w:r>
      <w:r>
        <w:rPr>
          <w:sz w:val="20"/>
        </w:rPr>
        <w:t>oppressive</w:t>
      </w:r>
      <w:r>
        <w:rPr>
          <w:spacing w:val="-7"/>
          <w:sz w:val="20"/>
        </w:rPr>
        <w:t xml:space="preserve"> </w:t>
      </w:r>
      <w:r>
        <w:rPr>
          <w:sz w:val="20"/>
        </w:rPr>
        <w:t>conditions</w:t>
      </w:r>
      <w:r>
        <w:rPr>
          <w:spacing w:val="-7"/>
          <w:sz w:val="20"/>
        </w:rPr>
        <w:t xml:space="preserve"> </w:t>
      </w:r>
      <w:r>
        <w:rPr>
          <w:sz w:val="20"/>
        </w:rPr>
        <w:t>for</w:t>
      </w:r>
      <w:r>
        <w:rPr>
          <w:spacing w:val="-7"/>
          <w:sz w:val="20"/>
        </w:rPr>
        <w:t xml:space="preserve"> </w:t>
      </w:r>
      <w:r>
        <w:rPr>
          <w:sz w:val="20"/>
        </w:rPr>
        <w:t>LGBTQ2S</w:t>
      </w:r>
      <w:r>
        <w:rPr>
          <w:spacing w:val="-7"/>
          <w:sz w:val="20"/>
        </w:rPr>
        <w:t xml:space="preserve"> </w:t>
      </w:r>
      <w:r>
        <w:rPr>
          <w:sz w:val="20"/>
        </w:rPr>
        <w:t xml:space="preserve">youth in the shelter system. </w:t>
      </w:r>
      <w:r>
        <w:rPr>
          <w:i/>
          <w:sz w:val="20"/>
        </w:rPr>
        <w:t>Journal of homosexuality</w:t>
      </w:r>
      <w:r>
        <w:rPr>
          <w:sz w:val="20"/>
        </w:rPr>
        <w:t xml:space="preserve">, </w:t>
      </w:r>
      <w:r>
        <w:rPr>
          <w:i/>
          <w:sz w:val="20"/>
        </w:rPr>
        <w:t>64</w:t>
      </w:r>
      <w:r>
        <w:rPr>
          <w:sz w:val="20"/>
        </w:rPr>
        <w:t>(11), 1484-1501.</w:t>
      </w:r>
    </w:p>
    <w:p w:rsidR="00C76E6D" w:rsidRDefault="00913831">
      <w:pPr>
        <w:ind w:left="480"/>
        <w:rPr>
          <w:sz w:val="20"/>
        </w:rPr>
      </w:pPr>
      <w:bookmarkStart w:id="408" w:name="_bookmark293"/>
      <w:bookmarkEnd w:id="408"/>
      <w:r>
        <w:rPr>
          <w:sz w:val="20"/>
          <w:vertAlign w:val="superscript"/>
        </w:rPr>
        <w:t>131</w:t>
      </w:r>
      <w:r>
        <w:rPr>
          <w:spacing w:val="-5"/>
          <w:sz w:val="20"/>
        </w:rPr>
        <w:t xml:space="preserve"> </w:t>
      </w:r>
      <w:r>
        <w:rPr>
          <w:sz w:val="20"/>
        </w:rPr>
        <w:t>Choi,</w:t>
      </w:r>
      <w:r>
        <w:rPr>
          <w:spacing w:val="-5"/>
          <w:sz w:val="20"/>
        </w:rPr>
        <w:t xml:space="preserve"> </w:t>
      </w:r>
      <w:r>
        <w:rPr>
          <w:sz w:val="20"/>
        </w:rPr>
        <w:t>et</w:t>
      </w:r>
      <w:r>
        <w:rPr>
          <w:spacing w:val="-4"/>
          <w:sz w:val="20"/>
        </w:rPr>
        <w:t xml:space="preserve"> </w:t>
      </w:r>
      <w:r>
        <w:rPr>
          <w:sz w:val="20"/>
        </w:rPr>
        <w:t>al.,</w:t>
      </w:r>
      <w:r>
        <w:rPr>
          <w:spacing w:val="-5"/>
          <w:sz w:val="20"/>
        </w:rPr>
        <w:t xml:space="preserve"> </w:t>
      </w:r>
      <w:r>
        <w:rPr>
          <w:spacing w:val="-2"/>
          <w:sz w:val="20"/>
        </w:rPr>
        <w:t>(2015).</w:t>
      </w:r>
    </w:p>
    <w:p w:rsidR="00C76E6D" w:rsidRDefault="00913831">
      <w:pPr>
        <w:ind w:left="481" w:right="530" w:hanging="2"/>
        <w:rPr>
          <w:sz w:val="20"/>
        </w:rPr>
      </w:pPr>
      <w:bookmarkStart w:id="409" w:name="_bookmark294"/>
      <w:bookmarkEnd w:id="409"/>
      <w:r>
        <w:rPr>
          <w:sz w:val="20"/>
          <w:vertAlign w:val="superscript"/>
        </w:rPr>
        <w:t>132</w:t>
      </w:r>
      <w:r>
        <w:rPr>
          <w:spacing w:val="-4"/>
          <w:sz w:val="20"/>
        </w:rPr>
        <w:t xml:space="preserve"> </w:t>
      </w:r>
      <w:r>
        <w:rPr>
          <w:sz w:val="20"/>
        </w:rPr>
        <w:t>Maccio,</w:t>
      </w:r>
      <w:r>
        <w:rPr>
          <w:spacing w:val="-6"/>
          <w:sz w:val="20"/>
        </w:rPr>
        <w:t xml:space="preserve"> </w:t>
      </w:r>
      <w:r>
        <w:rPr>
          <w:sz w:val="20"/>
        </w:rPr>
        <w:t>E.</w:t>
      </w:r>
      <w:r>
        <w:rPr>
          <w:spacing w:val="-6"/>
          <w:sz w:val="20"/>
        </w:rPr>
        <w:t xml:space="preserve"> </w:t>
      </w:r>
      <w:r>
        <w:rPr>
          <w:sz w:val="20"/>
        </w:rPr>
        <w:t>M.,</w:t>
      </w:r>
      <w:r>
        <w:rPr>
          <w:spacing w:val="-5"/>
          <w:sz w:val="20"/>
        </w:rPr>
        <w:t xml:space="preserve"> </w:t>
      </w:r>
      <w:r>
        <w:rPr>
          <w:sz w:val="20"/>
        </w:rPr>
        <w:t>&amp;</w:t>
      </w:r>
      <w:r>
        <w:rPr>
          <w:spacing w:val="-4"/>
          <w:sz w:val="20"/>
        </w:rPr>
        <w:t xml:space="preserve"> </w:t>
      </w:r>
      <w:r>
        <w:rPr>
          <w:sz w:val="20"/>
        </w:rPr>
        <w:t>Ferguson,</w:t>
      </w:r>
      <w:r>
        <w:rPr>
          <w:spacing w:val="-5"/>
          <w:sz w:val="20"/>
        </w:rPr>
        <w:t xml:space="preserve"> </w:t>
      </w:r>
      <w:r>
        <w:rPr>
          <w:sz w:val="20"/>
        </w:rPr>
        <w:t>K.</w:t>
      </w:r>
      <w:r>
        <w:rPr>
          <w:spacing w:val="-6"/>
          <w:sz w:val="20"/>
        </w:rPr>
        <w:t xml:space="preserve"> </w:t>
      </w:r>
      <w:r>
        <w:rPr>
          <w:sz w:val="20"/>
        </w:rPr>
        <w:t>M.</w:t>
      </w:r>
      <w:r>
        <w:rPr>
          <w:spacing w:val="-7"/>
          <w:sz w:val="20"/>
        </w:rPr>
        <w:t xml:space="preserve"> </w:t>
      </w:r>
      <w:r>
        <w:rPr>
          <w:sz w:val="20"/>
        </w:rPr>
        <w:t>(2016).</w:t>
      </w:r>
      <w:r>
        <w:rPr>
          <w:spacing w:val="-6"/>
          <w:sz w:val="20"/>
        </w:rPr>
        <w:t xml:space="preserve"> </w:t>
      </w:r>
      <w:r>
        <w:rPr>
          <w:sz w:val="20"/>
        </w:rPr>
        <w:t>Services</w:t>
      </w:r>
      <w:r>
        <w:rPr>
          <w:spacing w:val="-5"/>
          <w:sz w:val="20"/>
        </w:rPr>
        <w:t xml:space="preserve"> </w:t>
      </w:r>
      <w:r>
        <w:rPr>
          <w:sz w:val="20"/>
        </w:rPr>
        <w:t>to</w:t>
      </w:r>
      <w:r>
        <w:rPr>
          <w:spacing w:val="-4"/>
          <w:sz w:val="20"/>
        </w:rPr>
        <w:t xml:space="preserve"> </w:t>
      </w:r>
      <w:r>
        <w:rPr>
          <w:sz w:val="20"/>
        </w:rPr>
        <w:t>LGBTQ</w:t>
      </w:r>
      <w:r>
        <w:rPr>
          <w:spacing w:val="-6"/>
          <w:sz w:val="20"/>
        </w:rPr>
        <w:t xml:space="preserve"> </w:t>
      </w:r>
      <w:r>
        <w:rPr>
          <w:sz w:val="20"/>
        </w:rPr>
        <w:t>runaway</w:t>
      </w:r>
      <w:r>
        <w:rPr>
          <w:spacing w:val="-4"/>
          <w:sz w:val="20"/>
        </w:rPr>
        <w:t xml:space="preserve"> </w:t>
      </w:r>
      <w:r>
        <w:rPr>
          <w:sz w:val="20"/>
        </w:rPr>
        <w:t>and</w:t>
      </w:r>
      <w:r>
        <w:rPr>
          <w:spacing w:val="-7"/>
          <w:sz w:val="20"/>
        </w:rPr>
        <w:t xml:space="preserve"> </w:t>
      </w:r>
      <w:r>
        <w:rPr>
          <w:sz w:val="20"/>
        </w:rPr>
        <w:t>homeless</w:t>
      </w:r>
      <w:r>
        <w:rPr>
          <w:spacing w:val="-6"/>
          <w:sz w:val="20"/>
        </w:rPr>
        <w:t xml:space="preserve"> </w:t>
      </w:r>
      <w:r>
        <w:rPr>
          <w:sz w:val="20"/>
        </w:rPr>
        <w:t>youth:</w:t>
      </w:r>
      <w:r>
        <w:rPr>
          <w:spacing w:val="-4"/>
          <w:sz w:val="20"/>
        </w:rPr>
        <w:t xml:space="preserve"> </w:t>
      </w:r>
      <w:r>
        <w:rPr>
          <w:sz w:val="20"/>
        </w:rPr>
        <w:t>Gaps</w:t>
      </w:r>
      <w:r>
        <w:rPr>
          <w:spacing w:val="-6"/>
          <w:sz w:val="20"/>
        </w:rPr>
        <w:t xml:space="preserve"> </w:t>
      </w:r>
      <w:r>
        <w:rPr>
          <w:sz w:val="20"/>
        </w:rPr>
        <w:t xml:space="preserve">and recommendations. </w:t>
      </w:r>
      <w:r>
        <w:rPr>
          <w:i/>
          <w:sz w:val="20"/>
        </w:rPr>
        <w:t>Children and Youth Services Review</w:t>
      </w:r>
      <w:r>
        <w:rPr>
          <w:sz w:val="20"/>
        </w:rPr>
        <w:t xml:space="preserve">, </w:t>
      </w:r>
      <w:r>
        <w:rPr>
          <w:i/>
          <w:sz w:val="20"/>
        </w:rPr>
        <w:t>63</w:t>
      </w:r>
      <w:r>
        <w:rPr>
          <w:sz w:val="20"/>
        </w:rPr>
        <w:t>, 47-57.</w:t>
      </w:r>
    </w:p>
    <w:p w:rsidR="00C76E6D" w:rsidRDefault="00913831">
      <w:pPr>
        <w:spacing w:before="3" w:line="241" w:lineRule="exact"/>
        <w:ind w:left="480"/>
        <w:rPr>
          <w:sz w:val="20"/>
        </w:rPr>
      </w:pPr>
      <w:bookmarkStart w:id="410" w:name="_bookmark295"/>
      <w:bookmarkEnd w:id="410"/>
      <w:r>
        <w:rPr>
          <w:sz w:val="20"/>
          <w:vertAlign w:val="superscript"/>
        </w:rPr>
        <w:t>133</w:t>
      </w:r>
      <w:r>
        <w:rPr>
          <w:spacing w:val="-6"/>
          <w:sz w:val="20"/>
        </w:rPr>
        <w:t xml:space="preserve"> </w:t>
      </w:r>
      <w:r>
        <w:rPr>
          <w:sz w:val="20"/>
        </w:rPr>
        <w:t>Fraser,</w:t>
      </w:r>
      <w:r>
        <w:rPr>
          <w:spacing w:val="-4"/>
          <w:sz w:val="20"/>
        </w:rPr>
        <w:t xml:space="preserve"> </w:t>
      </w:r>
      <w:r>
        <w:rPr>
          <w:sz w:val="20"/>
        </w:rPr>
        <w:t>et</w:t>
      </w:r>
      <w:r>
        <w:rPr>
          <w:spacing w:val="-4"/>
          <w:sz w:val="20"/>
        </w:rPr>
        <w:t xml:space="preserve"> </w:t>
      </w:r>
      <w:r>
        <w:rPr>
          <w:sz w:val="20"/>
        </w:rPr>
        <w:t>al.</w:t>
      </w:r>
      <w:r>
        <w:rPr>
          <w:spacing w:val="-6"/>
          <w:sz w:val="20"/>
        </w:rPr>
        <w:t xml:space="preserve"> </w:t>
      </w:r>
      <w:r>
        <w:rPr>
          <w:spacing w:val="-2"/>
          <w:sz w:val="20"/>
        </w:rPr>
        <w:t>(2019).</w:t>
      </w:r>
    </w:p>
    <w:p w:rsidR="00C76E6D" w:rsidRDefault="00913831">
      <w:pPr>
        <w:ind w:left="481" w:right="530" w:hanging="2"/>
        <w:rPr>
          <w:sz w:val="20"/>
        </w:rPr>
      </w:pPr>
      <w:bookmarkStart w:id="411" w:name="_bookmark296"/>
      <w:bookmarkEnd w:id="411"/>
      <w:r>
        <w:rPr>
          <w:sz w:val="20"/>
          <w:vertAlign w:val="superscript"/>
        </w:rPr>
        <w:t>134</w:t>
      </w:r>
      <w:r>
        <w:rPr>
          <w:spacing w:val="-4"/>
          <w:sz w:val="20"/>
        </w:rPr>
        <w:t xml:space="preserve"> </w:t>
      </w:r>
      <w:r>
        <w:rPr>
          <w:sz w:val="20"/>
        </w:rPr>
        <w:t>Coolhart,</w:t>
      </w:r>
      <w:r>
        <w:rPr>
          <w:spacing w:val="-5"/>
          <w:sz w:val="20"/>
        </w:rPr>
        <w:t xml:space="preserve"> </w:t>
      </w:r>
      <w:r>
        <w:rPr>
          <w:sz w:val="20"/>
        </w:rPr>
        <w:t>D.,</w:t>
      </w:r>
      <w:r>
        <w:rPr>
          <w:spacing w:val="-5"/>
          <w:sz w:val="20"/>
        </w:rPr>
        <w:t xml:space="preserve"> </w:t>
      </w:r>
      <w:r>
        <w:rPr>
          <w:sz w:val="20"/>
        </w:rPr>
        <w:t>&amp;</w:t>
      </w:r>
      <w:r>
        <w:rPr>
          <w:spacing w:val="-4"/>
          <w:sz w:val="20"/>
        </w:rPr>
        <w:t xml:space="preserve"> </w:t>
      </w:r>
      <w:r>
        <w:rPr>
          <w:sz w:val="20"/>
        </w:rPr>
        <w:t>Brown,</w:t>
      </w:r>
      <w:r>
        <w:rPr>
          <w:spacing w:val="-5"/>
          <w:sz w:val="20"/>
        </w:rPr>
        <w:t xml:space="preserve"> </w:t>
      </w:r>
      <w:r>
        <w:rPr>
          <w:sz w:val="20"/>
        </w:rPr>
        <w:t>M.</w:t>
      </w:r>
      <w:r>
        <w:rPr>
          <w:spacing w:val="-6"/>
          <w:sz w:val="20"/>
        </w:rPr>
        <w:t xml:space="preserve"> </w:t>
      </w:r>
      <w:r>
        <w:rPr>
          <w:sz w:val="20"/>
        </w:rPr>
        <w:t>T.</w:t>
      </w:r>
      <w:r>
        <w:rPr>
          <w:spacing w:val="-6"/>
          <w:sz w:val="20"/>
        </w:rPr>
        <w:t xml:space="preserve"> </w:t>
      </w:r>
      <w:r>
        <w:rPr>
          <w:sz w:val="20"/>
        </w:rPr>
        <w:t>(2017).</w:t>
      </w:r>
      <w:r>
        <w:rPr>
          <w:spacing w:val="-6"/>
          <w:sz w:val="20"/>
        </w:rPr>
        <w:t xml:space="preserve"> </w:t>
      </w:r>
      <w:r>
        <w:rPr>
          <w:sz w:val="20"/>
        </w:rPr>
        <w:t>The</w:t>
      </w:r>
      <w:r>
        <w:rPr>
          <w:spacing w:val="-8"/>
          <w:sz w:val="20"/>
        </w:rPr>
        <w:t xml:space="preserve"> </w:t>
      </w:r>
      <w:r>
        <w:rPr>
          <w:sz w:val="20"/>
        </w:rPr>
        <w:t>need</w:t>
      </w:r>
      <w:r>
        <w:rPr>
          <w:spacing w:val="-4"/>
          <w:sz w:val="20"/>
        </w:rPr>
        <w:t xml:space="preserve"> </w:t>
      </w:r>
      <w:r>
        <w:rPr>
          <w:sz w:val="20"/>
        </w:rPr>
        <w:t>for</w:t>
      </w:r>
      <w:r>
        <w:rPr>
          <w:spacing w:val="-5"/>
          <w:sz w:val="20"/>
        </w:rPr>
        <w:t xml:space="preserve"> </w:t>
      </w:r>
      <w:r>
        <w:rPr>
          <w:sz w:val="20"/>
        </w:rPr>
        <w:t>safe</w:t>
      </w:r>
      <w:r>
        <w:rPr>
          <w:spacing w:val="-5"/>
          <w:sz w:val="20"/>
        </w:rPr>
        <w:t xml:space="preserve"> </w:t>
      </w:r>
      <w:r>
        <w:rPr>
          <w:sz w:val="20"/>
        </w:rPr>
        <w:t>spaces:</w:t>
      </w:r>
      <w:r>
        <w:rPr>
          <w:spacing w:val="-6"/>
          <w:sz w:val="20"/>
        </w:rPr>
        <w:t xml:space="preserve"> </w:t>
      </w:r>
      <w:r>
        <w:rPr>
          <w:sz w:val="20"/>
        </w:rPr>
        <w:t>Exploring</w:t>
      </w:r>
      <w:r>
        <w:rPr>
          <w:spacing w:val="-5"/>
          <w:sz w:val="20"/>
        </w:rPr>
        <w:t xml:space="preserve"> </w:t>
      </w:r>
      <w:r>
        <w:rPr>
          <w:sz w:val="20"/>
        </w:rPr>
        <w:t>the</w:t>
      </w:r>
      <w:r>
        <w:rPr>
          <w:spacing w:val="-5"/>
          <w:sz w:val="20"/>
        </w:rPr>
        <w:t xml:space="preserve"> </w:t>
      </w:r>
      <w:r>
        <w:rPr>
          <w:sz w:val="20"/>
        </w:rPr>
        <w:t>experiences</w:t>
      </w:r>
      <w:r>
        <w:rPr>
          <w:spacing w:val="-5"/>
          <w:sz w:val="20"/>
        </w:rPr>
        <w:t xml:space="preserve"> </w:t>
      </w:r>
      <w:r>
        <w:rPr>
          <w:sz w:val="20"/>
        </w:rPr>
        <w:t>of</w:t>
      </w:r>
      <w:r>
        <w:rPr>
          <w:spacing w:val="-4"/>
          <w:sz w:val="20"/>
        </w:rPr>
        <w:t xml:space="preserve"> </w:t>
      </w:r>
      <w:r>
        <w:rPr>
          <w:sz w:val="20"/>
        </w:rPr>
        <w:t>homeless</w:t>
      </w:r>
      <w:r>
        <w:rPr>
          <w:spacing w:val="-6"/>
          <w:sz w:val="20"/>
        </w:rPr>
        <w:t xml:space="preserve"> </w:t>
      </w:r>
      <w:r>
        <w:rPr>
          <w:sz w:val="20"/>
        </w:rPr>
        <w:t xml:space="preserve">LGBTQ </w:t>
      </w:r>
      <w:bookmarkStart w:id="412" w:name="_bookmark297"/>
      <w:bookmarkEnd w:id="412"/>
      <w:r>
        <w:rPr>
          <w:sz w:val="20"/>
        </w:rPr>
        <w:t xml:space="preserve">youth in shelters. </w:t>
      </w:r>
      <w:r>
        <w:rPr>
          <w:i/>
          <w:sz w:val="20"/>
        </w:rPr>
        <w:t>Children and Youth Services Review</w:t>
      </w:r>
      <w:r>
        <w:rPr>
          <w:sz w:val="20"/>
        </w:rPr>
        <w:t xml:space="preserve">, </w:t>
      </w:r>
      <w:r>
        <w:rPr>
          <w:i/>
          <w:sz w:val="20"/>
        </w:rPr>
        <w:t>82</w:t>
      </w:r>
      <w:r>
        <w:rPr>
          <w:sz w:val="20"/>
        </w:rPr>
        <w:t>, 230-238.</w:t>
      </w:r>
    </w:p>
    <w:p w:rsidR="00C76E6D" w:rsidRDefault="00913831">
      <w:pPr>
        <w:ind w:left="480" w:right="7348"/>
        <w:jc w:val="both"/>
        <w:rPr>
          <w:sz w:val="20"/>
        </w:rPr>
      </w:pPr>
      <w:r>
        <w:rPr>
          <w:sz w:val="20"/>
          <w:vertAlign w:val="superscript"/>
        </w:rPr>
        <w:t>135</w:t>
      </w:r>
      <w:r>
        <w:rPr>
          <w:spacing w:val="-7"/>
          <w:sz w:val="20"/>
        </w:rPr>
        <w:t xml:space="preserve"> </w:t>
      </w:r>
      <w:bookmarkStart w:id="413" w:name="_bookmark298"/>
      <w:bookmarkEnd w:id="413"/>
      <w:r>
        <w:rPr>
          <w:sz w:val="20"/>
        </w:rPr>
        <w:t>Coolhart,</w:t>
      </w:r>
      <w:r>
        <w:rPr>
          <w:spacing w:val="-8"/>
          <w:sz w:val="20"/>
        </w:rPr>
        <w:t xml:space="preserve"> </w:t>
      </w:r>
      <w:r>
        <w:rPr>
          <w:sz w:val="20"/>
        </w:rPr>
        <w:t>D.,</w:t>
      </w:r>
      <w:r>
        <w:rPr>
          <w:spacing w:val="-6"/>
          <w:sz w:val="20"/>
        </w:rPr>
        <w:t xml:space="preserve"> </w:t>
      </w:r>
      <w:r>
        <w:rPr>
          <w:sz w:val="20"/>
        </w:rPr>
        <w:t>&amp;</w:t>
      </w:r>
      <w:r>
        <w:rPr>
          <w:spacing w:val="-7"/>
          <w:sz w:val="20"/>
        </w:rPr>
        <w:t xml:space="preserve"> </w:t>
      </w:r>
      <w:r>
        <w:rPr>
          <w:sz w:val="20"/>
        </w:rPr>
        <w:t>Brown,</w:t>
      </w:r>
      <w:r>
        <w:rPr>
          <w:spacing w:val="-8"/>
          <w:sz w:val="20"/>
        </w:rPr>
        <w:t xml:space="preserve"> </w:t>
      </w:r>
      <w:r>
        <w:rPr>
          <w:sz w:val="20"/>
        </w:rPr>
        <w:t xml:space="preserve">M.T. </w:t>
      </w:r>
      <w:r>
        <w:rPr>
          <w:sz w:val="20"/>
          <w:vertAlign w:val="superscript"/>
        </w:rPr>
        <w:t>136</w:t>
      </w:r>
      <w:r>
        <w:rPr>
          <w:spacing w:val="-7"/>
          <w:sz w:val="20"/>
        </w:rPr>
        <w:t xml:space="preserve"> </w:t>
      </w:r>
      <w:r>
        <w:rPr>
          <w:sz w:val="20"/>
        </w:rPr>
        <w:t>Coolhart,</w:t>
      </w:r>
      <w:r>
        <w:rPr>
          <w:spacing w:val="-8"/>
          <w:sz w:val="20"/>
        </w:rPr>
        <w:t xml:space="preserve"> </w:t>
      </w:r>
      <w:r>
        <w:rPr>
          <w:sz w:val="20"/>
        </w:rPr>
        <w:t>D.,</w:t>
      </w:r>
      <w:r>
        <w:rPr>
          <w:spacing w:val="-6"/>
          <w:sz w:val="20"/>
        </w:rPr>
        <w:t xml:space="preserve"> </w:t>
      </w:r>
      <w:r>
        <w:rPr>
          <w:sz w:val="20"/>
        </w:rPr>
        <w:t>&amp;</w:t>
      </w:r>
      <w:r>
        <w:rPr>
          <w:spacing w:val="-7"/>
          <w:sz w:val="20"/>
        </w:rPr>
        <w:t xml:space="preserve"> </w:t>
      </w:r>
      <w:r>
        <w:rPr>
          <w:sz w:val="20"/>
        </w:rPr>
        <w:t>Brown,</w:t>
      </w:r>
      <w:r>
        <w:rPr>
          <w:spacing w:val="-8"/>
          <w:sz w:val="20"/>
        </w:rPr>
        <w:t xml:space="preserve"> </w:t>
      </w:r>
      <w:r>
        <w:rPr>
          <w:sz w:val="20"/>
        </w:rPr>
        <w:t xml:space="preserve">M.T. </w:t>
      </w:r>
      <w:bookmarkStart w:id="414" w:name="_bookmark299"/>
      <w:bookmarkEnd w:id="414"/>
      <w:r>
        <w:rPr>
          <w:sz w:val="20"/>
          <w:vertAlign w:val="superscript"/>
        </w:rPr>
        <w:t>137</w:t>
      </w:r>
      <w:r>
        <w:rPr>
          <w:sz w:val="20"/>
        </w:rPr>
        <w:t xml:space="preserve"> James, et al. (2016).</w:t>
      </w:r>
    </w:p>
    <w:p w:rsidR="00C76E6D" w:rsidRDefault="00913831">
      <w:pPr>
        <w:spacing w:before="3" w:line="244" w:lineRule="exact"/>
        <w:ind w:left="480"/>
        <w:rPr>
          <w:sz w:val="20"/>
        </w:rPr>
      </w:pPr>
      <w:bookmarkStart w:id="415" w:name="_bookmark300"/>
      <w:bookmarkEnd w:id="415"/>
      <w:r>
        <w:rPr>
          <w:sz w:val="20"/>
          <w:vertAlign w:val="superscript"/>
        </w:rPr>
        <w:t>138</w:t>
      </w:r>
      <w:r>
        <w:rPr>
          <w:spacing w:val="-8"/>
          <w:sz w:val="20"/>
        </w:rPr>
        <w:t xml:space="preserve"> </w:t>
      </w:r>
      <w:bookmarkStart w:id="416" w:name="_bookmark301"/>
      <w:bookmarkEnd w:id="416"/>
      <w:r>
        <w:rPr>
          <w:sz w:val="20"/>
        </w:rPr>
        <w:t>Abramovich</w:t>
      </w:r>
      <w:r>
        <w:rPr>
          <w:spacing w:val="-8"/>
          <w:sz w:val="20"/>
        </w:rPr>
        <w:t xml:space="preserve"> </w:t>
      </w:r>
      <w:r>
        <w:rPr>
          <w:spacing w:val="-2"/>
          <w:sz w:val="20"/>
        </w:rPr>
        <w:t>(2017).</w:t>
      </w:r>
    </w:p>
    <w:p w:rsidR="00C76E6D" w:rsidRDefault="00913831">
      <w:pPr>
        <w:spacing w:line="244" w:lineRule="exact"/>
        <w:ind w:left="480"/>
        <w:rPr>
          <w:sz w:val="20"/>
        </w:rPr>
      </w:pPr>
      <w:r>
        <w:rPr>
          <w:sz w:val="20"/>
          <w:vertAlign w:val="superscript"/>
        </w:rPr>
        <w:t>139</w:t>
      </w:r>
      <w:r>
        <w:rPr>
          <w:spacing w:val="-4"/>
          <w:sz w:val="20"/>
        </w:rPr>
        <w:t xml:space="preserve"> </w:t>
      </w:r>
      <w:bookmarkStart w:id="417" w:name="_bookmark302"/>
      <w:bookmarkEnd w:id="417"/>
      <w:r>
        <w:rPr>
          <w:sz w:val="20"/>
        </w:rPr>
        <w:t>Choi,</w:t>
      </w:r>
      <w:r>
        <w:rPr>
          <w:spacing w:val="-5"/>
          <w:sz w:val="20"/>
        </w:rPr>
        <w:t xml:space="preserve"> </w:t>
      </w:r>
      <w:r>
        <w:rPr>
          <w:sz w:val="20"/>
        </w:rPr>
        <w:t>et</w:t>
      </w:r>
      <w:r>
        <w:rPr>
          <w:spacing w:val="-4"/>
          <w:sz w:val="20"/>
        </w:rPr>
        <w:t xml:space="preserve"> </w:t>
      </w:r>
      <w:r>
        <w:rPr>
          <w:sz w:val="20"/>
        </w:rPr>
        <w:t>al.</w:t>
      </w:r>
      <w:r>
        <w:rPr>
          <w:spacing w:val="-5"/>
          <w:sz w:val="20"/>
        </w:rPr>
        <w:t xml:space="preserve"> </w:t>
      </w:r>
      <w:r>
        <w:rPr>
          <w:spacing w:val="-2"/>
          <w:sz w:val="20"/>
        </w:rPr>
        <w:t>(2015).</w:t>
      </w:r>
    </w:p>
    <w:p w:rsidR="00C76E6D" w:rsidRDefault="00913831">
      <w:pPr>
        <w:spacing w:line="242" w:lineRule="exact"/>
        <w:ind w:left="480"/>
        <w:rPr>
          <w:sz w:val="20"/>
        </w:rPr>
      </w:pPr>
      <w:r>
        <w:rPr>
          <w:sz w:val="20"/>
          <w:vertAlign w:val="superscript"/>
        </w:rPr>
        <w:t>140</w:t>
      </w:r>
      <w:r>
        <w:rPr>
          <w:spacing w:val="-8"/>
          <w:sz w:val="20"/>
        </w:rPr>
        <w:t xml:space="preserve"> </w:t>
      </w:r>
      <w:bookmarkStart w:id="418" w:name="_bookmark303"/>
      <w:bookmarkEnd w:id="418"/>
      <w:r>
        <w:rPr>
          <w:sz w:val="20"/>
        </w:rPr>
        <w:t>McCandless</w:t>
      </w:r>
      <w:r>
        <w:rPr>
          <w:spacing w:val="-8"/>
          <w:sz w:val="20"/>
        </w:rPr>
        <w:t xml:space="preserve"> </w:t>
      </w:r>
      <w:r>
        <w:rPr>
          <w:spacing w:val="-2"/>
          <w:sz w:val="20"/>
        </w:rPr>
        <w:t>(2018).</w:t>
      </w:r>
    </w:p>
    <w:p w:rsidR="00C76E6D" w:rsidRDefault="00913831">
      <w:pPr>
        <w:ind w:left="480" w:right="649"/>
        <w:rPr>
          <w:sz w:val="20"/>
        </w:rPr>
      </w:pPr>
      <w:r>
        <w:rPr>
          <w:sz w:val="20"/>
          <w:vertAlign w:val="superscript"/>
        </w:rPr>
        <w:t>141</w:t>
      </w:r>
      <w:r>
        <w:rPr>
          <w:spacing w:val="-4"/>
          <w:sz w:val="20"/>
        </w:rPr>
        <w:t xml:space="preserve"> </w:t>
      </w:r>
      <w:r>
        <w:rPr>
          <w:sz w:val="20"/>
        </w:rPr>
        <w:t>Parast,</w:t>
      </w:r>
      <w:r>
        <w:rPr>
          <w:spacing w:val="-4"/>
          <w:sz w:val="20"/>
        </w:rPr>
        <w:t xml:space="preserve"> </w:t>
      </w:r>
      <w:r>
        <w:rPr>
          <w:sz w:val="20"/>
        </w:rPr>
        <w:t>L.,</w:t>
      </w:r>
      <w:r>
        <w:rPr>
          <w:spacing w:val="-5"/>
          <w:sz w:val="20"/>
        </w:rPr>
        <w:t xml:space="preserve"> </w:t>
      </w:r>
      <w:r>
        <w:rPr>
          <w:sz w:val="20"/>
        </w:rPr>
        <w:t>Tucker,</w:t>
      </w:r>
      <w:r>
        <w:rPr>
          <w:spacing w:val="-4"/>
          <w:sz w:val="20"/>
        </w:rPr>
        <w:t xml:space="preserve"> </w:t>
      </w:r>
      <w:r>
        <w:rPr>
          <w:sz w:val="20"/>
        </w:rPr>
        <w:t>J.</w:t>
      </w:r>
      <w:r>
        <w:rPr>
          <w:spacing w:val="-5"/>
          <w:sz w:val="20"/>
        </w:rPr>
        <w:t xml:space="preserve"> </w:t>
      </w:r>
      <w:r>
        <w:rPr>
          <w:sz w:val="20"/>
        </w:rPr>
        <w:t>S.,</w:t>
      </w:r>
      <w:r>
        <w:rPr>
          <w:spacing w:val="-4"/>
          <w:sz w:val="20"/>
        </w:rPr>
        <w:t xml:space="preserve"> </w:t>
      </w:r>
      <w:r>
        <w:rPr>
          <w:sz w:val="20"/>
        </w:rPr>
        <w:t>Pedersen,</w:t>
      </w:r>
      <w:r>
        <w:rPr>
          <w:spacing w:val="-7"/>
          <w:sz w:val="20"/>
        </w:rPr>
        <w:t xml:space="preserve"> </w:t>
      </w:r>
      <w:r>
        <w:rPr>
          <w:sz w:val="20"/>
        </w:rPr>
        <w:t>E.</w:t>
      </w:r>
      <w:r>
        <w:rPr>
          <w:spacing w:val="-5"/>
          <w:sz w:val="20"/>
        </w:rPr>
        <w:t xml:space="preserve"> </w:t>
      </w:r>
      <w:r>
        <w:rPr>
          <w:sz w:val="20"/>
        </w:rPr>
        <w:t>R.,</w:t>
      </w:r>
      <w:r>
        <w:rPr>
          <w:spacing w:val="-5"/>
          <w:sz w:val="20"/>
        </w:rPr>
        <w:t xml:space="preserve"> </w:t>
      </w:r>
      <w:r>
        <w:rPr>
          <w:sz w:val="20"/>
        </w:rPr>
        <w:t>&amp;</w:t>
      </w:r>
      <w:r>
        <w:rPr>
          <w:spacing w:val="-5"/>
          <w:sz w:val="20"/>
        </w:rPr>
        <w:t xml:space="preserve"> </w:t>
      </w:r>
      <w:r>
        <w:rPr>
          <w:sz w:val="20"/>
        </w:rPr>
        <w:t>Klein,</w:t>
      </w:r>
      <w:r>
        <w:rPr>
          <w:spacing w:val="-4"/>
          <w:sz w:val="20"/>
        </w:rPr>
        <w:t xml:space="preserve"> </w:t>
      </w:r>
      <w:r>
        <w:rPr>
          <w:sz w:val="20"/>
        </w:rPr>
        <w:t>D.</w:t>
      </w:r>
      <w:r>
        <w:rPr>
          <w:spacing w:val="-7"/>
          <w:sz w:val="20"/>
        </w:rPr>
        <w:t xml:space="preserve"> </w:t>
      </w:r>
      <w:r>
        <w:rPr>
          <w:sz w:val="20"/>
        </w:rPr>
        <w:t>(2019).</w:t>
      </w:r>
      <w:r>
        <w:rPr>
          <w:spacing w:val="-6"/>
          <w:sz w:val="20"/>
        </w:rPr>
        <w:t xml:space="preserve"> </w:t>
      </w:r>
      <w:r>
        <w:rPr>
          <w:sz w:val="20"/>
        </w:rPr>
        <w:t>Utilization</w:t>
      </w:r>
      <w:r>
        <w:rPr>
          <w:spacing w:val="-5"/>
          <w:sz w:val="20"/>
        </w:rPr>
        <w:t xml:space="preserve"> </w:t>
      </w:r>
      <w:r>
        <w:rPr>
          <w:sz w:val="20"/>
        </w:rPr>
        <w:t>and</w:t>
      </w:r>
      <w:r>
        <w:rPr>
          <w:spacing w:val="-5"/>
          <w:sz w:val="20"/>
        </w:rPr>
        <w:t xml:space="preserve"> </w:t>
      </w:r>
      <w:r>
        <w:rPr>
          <w:sz w:val="20"/>
        </w:rPr>
        <w:t>perceptions</w:t>
      </w:r>
      <w:r>
        <w:rPr>
          <w:spacing w:val="-6"/>
          <w:sz w:val="20"/>
        </w:rPr>
        <w:t xml:space="preserve"> </w:t>
      </w:r>
      <w:r>
        <w:rPr>
          <w:sz w:val="20"/>
        </w:rPr>
        <w:t>of</w:t>
      </w:r>
      <w:r>
        <w:rPr>
          <w:spacing w:val="-6"/>
          <w:sz w:val="20"/>
        </w:rPr>
        <w:t xml:space="preserve"> </w:t>
      </w:r>
      <w:r>
        <w:rPr>
          <w:sz w:val="20"/>
        </w:rPr>
        <w:t>drop-in</w:t>
      </w:r>
      <w:r>
        <w:rPr>
          <w:spacing w:val="-5"/>
          <w:sz w:val="20"/>
        </w:rPr>
        <w:t xml:space="preserve"> </w:t>
      </w:r>
      <w:r>
        <w:rPr>
          <w:sz w:val="20"/>
        </w:rPr>
        <w:t>center</w:t>
      </w:r>
      <w:r>
        <w:rPr>
          <w:spacing w:val="-6"/>
          <w:sz w:val="20"/>
        </w:rPr>
        <w:t xml:space="preserve"> </w:t>
      </w:r>
      <w:r>
        <w:rPr>
          <w:sz w:val="20"/>
        </w:rPr>
        <w:t xml:space="preserve">services among youth experiencing homelessness. </w:t>
      </w:r>
      <w:r>
        <w:rPr>
          <w:i/>
          <w:sz w:val="20"/>
        </w:rPr>
        <w:t>The Journal of Behavioral Health Services &amp; Research</w:t>
      </w:r>
      <w:r>
        <w:rPr>
          <w:sz w:val="20"/>
        </w:rPr>
        <w:t xml:space="preserve">, </w:t>
      </w:r>
      <w:r>
        <w:rPr>
          <w:i/>
          <w:sz w:val="20"/>
        </w:rPr>
        <w:t>46</w:t>
      </w:r>
      <w:r>
        <w:rPr>
          <w:sz w:val="20"/>
        </w:rPr>
        <w:t xml:space="preserve">(2), 234-248. </w:t>
      </w:r>
      <w:bookmarkStart w:id="419" w:name="_bookmark304"/>
      <w:bookmarkEnd w:id="419"/>
      <w:r>
        <w:rPr>
          <w:sz w:val="20"/>
          <w:vertAlign w:val="superscript"/>
        </w:rPr>
        <w:t>142</w:t>
      </w:r>
      <w:r>
        <w:rPr>
          <w:sz w:val="20"/>
        </w:rPr>
        <w:t xml:space="preserve"> Shelton, et </w:t>
      </w:r>
      <w:r>
        <w:rPr>
          <w:sz w:val="20"/>
        </w:rPr>
        <w:t>al. (2016).</w:t>
      </w:r>
    </w:p>
    <w:p w:rsidR="00C76E6D" w:rsidRDefault="00913831">
      <w:pPr>
        <w:spacing w:before="3" w:line="241" w:lineRule="exact"/>
        <w:ind w:left="480"/>
        <w:rPr>
          <w:sz w:val="20"/>
        </w:rPr>
      </w:pPr>
      <w:bookmarkStart w:id="420" w:name="_bookmark305"/>
      <w:bookmarkEnd w:id="420"/>
      <w:r>
        <w:rPr>
          <w:sz w:val="20"/>
          <w:vertAlign w:val="superscript"/>
        </w:rPr>
        <w:t>143</w:t>
      </w:r>
      <w:r>
        <w:rPr>
          <w:spacing w:val="-4"/>
          <w:sz w:val="20"/>
        </w:rPr>
        <w:t xml:space="preserve"> </w:t>
      </w:r>
      <w:bookmarkStart w:id="421" w:name="_bookmark306"/>
      <w:bookmarkEnd w:id="421"/>
      <w:r>
        <w:rPr>
          <w:sz w:val="20"/>
        </w:rPr>
        <w:t>Parast,</w:t>
      </w:r>
      <w:r>
        <w:rPr>
          <w:spacing w:val="-5"/>
          <w:sz w:val="20"/>
        </w:rPr>
        <w:t xml:space="preserve"> </w:t>
      </w:r>
      <w:r>
        <w:rPr>
          <w:sz w:val="20"/>
        </w:rPr>
        <w:t>et</w:t>
      </w:r>
      <w:r>
        <w:rPr>
          <w:spacing w:val="-5"/>
          <w:sz w:val="20"/>
        </w:rPr>
        <w:t xml:space="preserve"> </w:t>
      </w:r>
      <w:r>
        <w:rPr>
          <w:sz w:val="20"/>
        </w:rPr>
        <w:t>al.</w:t>
      </w:r>
      <w:r>
        <w:rPr>
          <w:spacing w:val="-3"/>
          <w:sz w:val="20"/>
        </w:rPr>
        <w:t xml:space="preserve"> </w:t>
      </w:r>
      <w:r>
        <w:rPr>
          <w:spacing w:val="-2"/>
          <w:sz w:val="20"/>
        </w:rPr>
        <w:t>(2019).</w:t>
      </w:r>
    </w:p>
    <w:p w:rsidR="00C76E6D" w:rsidRDefault="00913831">
      <w:pPr>
        <w:ind w:left="481" w:right="530" w:hanging="1"/>
        <w:rPr>
          <w:sz w:val="20"/>
        </w:rPr>
      </w:pPr>
      <w:r>
        <w:rPr>
          <w:sz w:val="20"/>
          <w:vertAlign w:val="superscript"/>
        </w:rPr>
        <w:t>144</w:t>
      </w:r>
      <w:r>
        <w:rPr>
          <w:spacing w:val="-6"/>
          <w:sz w:val="20"/>
        </w:rPr>
        <w:t xml:space="preserve"> </w:t>
      </w:r>
      <w:r>
        <w:rPr>
          <w:sz w:val="20"/>
        </w:rPr>
        <w:t>Abramovich,</w:t>
      </w:r>
      <w:r>
        <w:rPr>
          <w:spacing w:val="-7"/>
          <w:sz w:val="20"/>
        </w:rPr>
        <w:t xml:space="preserve"> </w:t>
      </w:r>
      <w:r>
        <w:rPr>
          <w:sz w:val="20"/>
        </w:rPr>
        <w:t>A.</w:t>
      </w:r>
      <w:r>
        <w:rPr>
          <w:spacing w:val="-8"/>
          <w:sz w:val="20"/>
        </w:rPr>
        <w:t xml:space="preserve"> </w:t>
      </w:r>
      <w:r>
        <w:rPr>
          <w:sz w:val="20"/>
        </w:rPr>
        <w:t>(2016).</w:t>
      </w:r>
      <w:r>
        <w:rPr>
          <w:spacing w:val="-7"/>
          <w:sz w:val="20"/>
        </w:rPr>
        <w:t xml:space="preserve"> </w:t>
      </w:r>
      <w:r>
        <w:rPr>
          <w:sz w:val="20"/>
        </w:rPr>
        <w:t>Preventing,</w:t>
      </w:r>
      <w:r>
        <w:rPr>
          <w:spacing w:val="-6"/>
          <w:sz w:val="20"/>
        </w:rPr>
        <w:t xml:space="preserve"> </w:t>
      </w:r>
      <w:r>
        <w:rPr>
          <w:sz w:val="20"/>
        </w:rPr>
        <w:t>reducing</w:t>
      </w:r>
      <w:r>
        <w:rPr>
          <w:spacing w:val="-5"/>
          <w:sz w:val="20"/>
        </w:rPr>
        <w:t xml:space="preserve"> </w:t>
      </w:r>
      <w:r>
        <w:rPr>
          <w:sz w:val="20"/>
        </w:rPr>
        <w:t>and</w:t>
      </w:r>
      <w:r>
        <w:rPr>
          <w:spacing w:val="-6"/>
          <w:sz w:val="20"/>
        </w:rPr>
        <w:t xml:space="preserve"> </w:t>
      </w:r>
      <w:r>
        <w:rPr>
          <w:sz w:val="20"/>
        </w:rPr>
        <w:t>ending</w:t>
      </w:r>
      <w:r>
        <w:rPr>
          <w:spacing w:val="-6"/>
          <w:sz w:val="20"/>
        </w:rPr>
        <w:t xml:space="preserve"> </w:t>
      </w:r>
      <w:r>
        <w:rPr>
          <w:sz w:val="20"/>
        </w:rPr>
        <w:t>LGBTQ2S</w:t>
      </w:r>
      <w:r>
        <w:rPr>
          <w:spacing w:val="-7"/>
          <w:sz w:val="20"/>
        </w:rPr>
        <w:t xml:space="preserve"> </w:t>
      </w:r>
      <w:r>
        <w:rPr>
          <w:sz w:val="20"/>
        </w:rPr>
        <w:t>youth</w:t>
      </w:r>
      <w:r>
        <w:rPr>
          <w:spacing w:val="-8"/>
          <w:sz w:val="20"/>
        </w:rPr>
        <w:t xml:space="preserve"> </w:t>
      </w:r>
      <w:r>
        <w:rPr>
          <w:sz w:val="20"/>
        </w:rPr>
        <w:t>homelessness:</w:t>
      </w:r>
      <w:r>
        <w:rPr>
          <w:spacing w:val="-6"/>
          <w:sz w:val="20"/>
        </w:rPr>
        <w:t xml:space="preserve"> </w:t>
      </w:r>
      <w:r>
        <w:rPr>
          <w:sz w:val="20"/>
        </w:rPr>
        <w:t>The</w:t>
      </w:r>
      <w:r>
        <w:rPr>
          <w:spacing w:val="-7"/>
          <w:sz w:val="20"/>
        </w:rPr>
        <w:t xml:space="preserve"> </w:t>
      </w:r>
      <w:r>
        <w:rPr>
          <w:sz w:val="20"/>
        </w:rPr>
        <w:t>need</w:t>
      </w:r>
      <w:r>
        <w:rPr>
          <w:spacing w:val="-6"/>
          <w:sz w:val="20"/>
        </w:rPr>
        <w:t xml:space="preserve"> </w:t>
      </w:r>
      <w:r>
        <w:rPr>
          <w:sz w:val="20"/>
        </w:rPr>
        <w:t>for</w:t>
      </w:r>
      <w:r>
        <w:rPr>
          <w:spacing w:val="-8"/>
          <w:sz w:val="20"/>
        </w:rPr>
        <w:t xml:space="preserve"> </w:t>
      </w:r>
      <w:r>
        <w:rPr>
          <w:sz w:val="20"/>
        </w:rPr>
        <w:t xml:space="preserve">targeted strategies. </w:t>
      </w:r>
      <w:r>
        <w:rPr>
          <w:i/>
          <w:sz w:val="20"/>
        </w:rPr>
        <w:t>Social Inclusion</w:t>
      </w:r>
      <w:r>
        <w:rPr>
          <w:sz w:val="20"/>
        </w:rPr>
        <w:t xml:space="preserve">, </w:t>
      </w:r>
      <w:r>
        <w:rPr>
          <w:i/>
          <w:sz w:val="20"/>
        </w:rPr>
        <w:t>4</w:t>
      </w:r>
      <w:r>
        <w:rPr>
          <w:sz w:val="20"/>
        </w:rPr>
        <w:t>(4), 86-96.</w:t>
      </w:r>
    </w:p>
    <w:p w:rsidR="00C76E6D" w:rsidRDefault="00913831">
      <w:pPr>
        <w:ind w:left="480"/>
        <w:rPr>
          <w:sz w:val="20"/>
        </w:rPr>
      </w:pPr>
      <w:bookmarkStart w:id="422" w:name="_bookmark307"/>
      <w:bookmarkEnd w:id="422"/>
      <w:r>
        <w:rPr>
          <w:sz w:val="20"/>
          <w:vertAlign w:val="superscript"/>
        </w:rPr>
        <w:t>145</w:t>
      </w:r>
      <w:r>
        <w:rPr>
          <w:spacing w:val="-7"/>
          <w:sz w:val="20"/>
        </w:rPr>
        <w:t xml:space="preserve"> </w:t>
      </w:r>
      <w:r>
        <w:rPr>
          <w:sz w:val="20"/>
        </w:rPr>
        <w:t>Shelton,</w:t>
      </w:r>
      <w:r>
        <w:rPr>
          <w:spacing w:val="-8"/>
          <w:sz w:val="20"/>
        </w:rPr>
        <w:t xml:space="preserve"> </w:t>
      </w:r>
      <w:r>
        <w:rPr>
          <w:sz w:val="20"/>
        </w:rPr>
        <w:t>et</w:t>
      </w:r>
      <w:r>
        <w:rPr>
          <w:spacing w:val="-9"/>
          <w:sz w:val="20"/>
        </w:rPr>
        <w:t xml:space="preserve"> </w:t>
      </w:r>
      <w:r>
        <w:rPr>
          <w:sz w:val="20"/>
        </w:rPr>
        <w:t>al.</w:t>
      </w:r>
      <w:r>
        <w:rPr>
          <w:spacing w:val="-7"/>
          <w:sz w:val="20"/>
        </w:rPr>
        <w:t xml:space="preserve"> </w:t>
      </w:r>
      <w:r>
        <w:rPr>
          <w:sz w:val="20"/>
        </w:rPr>
        <w:t>(2016).;</w:t>
      </w:r>
      <w:r>
        <w:rPr>
          <w:spacing w:val="-10"/>
          <w:sz w:val="20"/>
        </w:rPr>
        <w:t xml:space="preserve"> </w:t>
      </w:r>
      <w:r>
        <w:rPr>
          <w:sz w:val="20"/>
        </w:rPr>
        <w:t>Massachusetts</w:t>
      </w:r>
      <w:r>
        <w:rPr>
          <w:spacing w:val="-10"/>
          <w:sz w:val="20"/>
        </w:rPr>
        <w:t xml:space="preserve"> </w:t>
      </w:r>
      <w:r>
        <w:rPr>
          <w:sz w:val="20"/>
        </w:rPr>
        <w:t>Coalition</w:t>
      </w:r>
      <w:r>
        <w:rPr>
          <w:spacing w:val="-6"/>
          <w:sz w:val="20"/>
        </w:rPr>
        <w:t xml:space="preserve"> </w:t>
      </w:r>
      <w:r>
        <w:rPr>
          <w:sz w:val="20"/>
        </w:rPr>
        <w:t>for</w:t>
      </w:r>
      <w:r>
        <w:rPr>
          <w:spacing w:val="-8"/>
          <w:sz w:val="20"/>
        </w:rPr>
        <w:t xml:space="preserve"> </w:t>
      </w:r>
      <w:r>
        <w:rPr>
          <w:sz w:val="20"/>
        </w:rPr>
        <w:t>the</w:t>
      </w:r>
      <w:r>
        <w:rPr>
          <w:spacing w:val="-10"/>
          <w:sz w:val="20"/>
        </w:rPr>
        <w:t xml:space="preserve"> </w:t>
      </w:r>
      <w:r>
        <w:rPr>
          <w:sz w:val="20"/>
        </w:rPr>
        <w:t>Homeless</w:t>
      </w:r>
      <w:r>
        <w:rPr>
          <w:spacing w:val="-7"/>
          <w:sz w:val="20"/>
        </w:rPr>
        <w:t xml:space="preserve"> </w:t>
      </w:r>
      <w:r>
        <w:rPr>
          <w:spacing w:val="-2"/>
          <w:sz w:val="20"/>
        </w:rPr>
        <w:t>(2019).</w:t>
      </w:r>
    </w:p>
    <w:p w:rsidR="00C76E6D" w:rsidRDefault="00913831">
      <w:pPr>
        <w:spacing w:before="3" w:line="241" w:lineRule="exact"/>
        <w:ind w:left="480"/>
        <w:rPr>
          <w:sz w:val="20"/>
        </w:rPr>
      </w:pPr>
      <w:bookmarkStart w:id="423" w:name="_bookmark308"/>
      <w:bookmarkEnd w:id="423"/>
      <w:r>
        <w:rPr>
          <w:sz w:val="20"/>
          <w:vertAlign w:val="superscript"/>
        </w:rPr>
        <w:t>146</w:t>
      </w:r>
      <w:r>
        <w:rPr>
          <w:spacing w:val="-7"/>
          <w:sz w:val="20"/>
        </w:rPr>
        <w:t xml:space="preserve"> </w:t>
      </w:r>
      <w:bookmarkStart w:id="424" w:name="_bookmark309"/>
      <w:bookmarkEnd w:id="424"/>
      <w:r>
        <w:rPr>
          <w:sz w:val="20"/>
        </w:rPr>
        <w:t>Massachusetts</w:t>
      </w:r>
      <w:r>
        <w:rPr>
          <w:spacing w:val="-8"/>
          <w:sz w:val="20"/>
        </w:rPr>
        <w:t xml:space="preserve"> </w:t>
      </w:r>
      <w:r>
        <w:rPr>
          <w:sz w:val="20"/>
        </w:rPr>
        <w:t>Coalition</w:t>
      </w:r>
      <w:r>
        <w:rPr>
          <w:spacing w:val="-7"/>
          <w:sz w:val="20"/>
        </w:rPr>
        <w:t xml:space="preserve"> </w:t>
      </w:r>
      <w:r>
        <w:rPr>
          <w:sz w:val="20"/>
        </w:rPr>
        <w:t>for</w:t>
      </w:r>
      <w:r>
        <w:rPr>
          <w:spacing w:val="-10"/>
          <w:sz w:val="20"/>
        </w:rPr>
        <w:t xml:space="preserve"> </w:t>
      </w:r>
      <w:r>
        <w:rPr>
          <w:sz w:val="20"/>
        </w:rPr>
        <w:t>the</w:t>
      </w:r>
      <w:r>
        <w:rPr>
          <w:spacing w:val="-7"/>
          <w:sz w:val="20"/>
        </w:rPr>
        <w:t xml:space="preserve"> </w:t>
      </w:r>
      <w:r>
        <w:rPr>
          <w:spacing w:val="-2"/>
          <w:sz w:val="20"/>
        </w:rPr>
        <w:t>Homeless.</w:t>
      </w:r>
    </w:p>
    <w:p w:rsidR="00C76E6D" w:rsidRDefault="00913831">
      <w:pPr>
        <w:ind w:left="480" w:right="1600" w:hanging="2"/>
        <w:rPr>
          <w:sz w:val="20"/>
        </w:rPr>
      </w:pPr>
      <w:r>
        <w:rPr>
          <w:sz w:val="20"/>
          <w:vertAlign w:val="superscript"/>
        </w:rPr>
        <w:t>147</w:t>
      </w:r>
      <w:r>
        <w:rPr>
          <w:spacing w:val="-6"/>
          <w:sz w:val="20"/>
        </w:rPr>
        <w:t xml:space="preserve"> </w:t>
      </w:r>
      <w:r>
        <w:rPr>
          <w:sz w:val="20"/>
        </w:rPr>
        <w:t>Sellers,</w:t>
      </w:r>
      <w:r>
        <w:rPr>
          <w:spacing w:val="-6"/>
          <w:sz w:val="20"/>
        </w:rPr>
        <w:t xml:space="preserve"> </w:t>
      </w:r>
      <w:r>
        <w:rPr>
          <w:sz w:val="20"/>
        </w:rPr>
        <w:t>M.</w:t>
      </w:r>
      <w:r>
        <w:rPr>
          <w:spacing w:val="-8"/>
          <w:sz w:val="20"/>
        </w:rPr>
        <w:t xml:space="preserve"> </w:t>
      </w:r>
      <w:r>
        <w:rPr>
          <w:sz w:val="20"/>
        </w:rPr>
        <w:t>D.</w:t>
      </w:r>
      <w:r>
        <w:rPr>
          <w:spacing w:val="-8"/>
          <w:sz w:val="20"/>
        </w:rPr>
        <w:t xml:space="preserve"> </w:t>
      </w:r>
      <w:r>
        <w:rPr>
          <w:sz w:val="20"/>
        </w:rPr>
        <w:t>(2018).</w:t>
      </w:r>
      <w:r>
        <w:rPr>
          <w:spacing w:val="-7"/>
          <w:sz w:val="20"/>
        </w:rPr>
        <w:t xml:space="preserve"> </w:t>
      </w:r>
      <w:r>
        <w:rPr>
          <w:sz w:val="20"/>
        </w:rPr>
        <w:t>Absent</w:t>
      </w:r>
      <w:r>
        <w:rPr>
          <w:spacing w:val="-7"/>
          <w:sz w:val="20"/>
        </w:rPr>
        <w:t xml:space="preserve"> </w:t>
      </w:r>
      <w:r>
        <w:rPr>
          <w:sz w:val="20"/>
        </w:rPr>
        <w:t>inclusion</w:t>
      </w:r>
      <w:r>
        <w:rPr>
          <w:spacing w:val="-7"/>
          <w:sz w:val="20"/>
        </w:rPr>
        <w:t xml:space="preserve"> </w:t>
      </w:r>
      <w:r>
        <w:rPr>
          <w:sz w:val="20"/>
        </w:rPr>
        <w:t>polices:</w:t>
      </w:r>
      <w:r>
        <w:rPr>
          <w:spacing w:val="-6"/>
          <w:sz w:val="20"/>
        </w:rPr>
        <w:t xml:space="preserve"> </w:t>
      </w:r>
      <w:r>
        <w:rPr>
          <w:sz w:val="20"/>
        </w:rPr>
        <w:t>Problems</w:t>
      </w:r>
      <w:r>
        <w:rPr>
          <w:spacing w:val="-7"/>
          <w:sz w:val="20"/>
        </w:rPr>
        <w:t xml:space="preserve"> </w:t>
      </w:r>
      <w:r>
        <w:rPr>
          <w:sz w:val="20"/>
        </w:rPr>
        <w:t>facing</w:t>
      </w:r>
      <w:r>
        <w:rPr>
          <w:spacing w:val="-7"/>
          <w:sz w:val="20"/>
        </w:rPr>
        <w:t xml:space="preserve"> </w:t>
      </w:r>
      <w:r>
        <w:rPr>
          <w:sz w:val="20"/>
        </w:rPr>
        <w:t>homeless</w:t>
      </w:r>
      <w:r>
        <w:rPr>
          <w:spacing w:val="-8"/>
          <w:sz w:val="20"/>
        </w:rPr>
        <w:t xml:space="preserve"> </w:t>
      </w:r>
      <w:r>
        <w:rPr>
          <w:sz w:val="20"/>
        </w:rPr>
        <w:t>transgender</w:t>
      </w:r>
      <w:r>
        <w:rPr>
          <w:spacing w:val="-8"/>
          <w:sz w:val="20"/>
        </w:rPr>
        <w:t xml:space="preserve"> </w:t>
      </w:r>
      <w:r>
        <w:rPr>
          <w:sz w:val="20"/>
        </w:rPr>
        <w:t>youth.</w:t>
      </w:r>
      <w:r>
        <w:rPr>
          <w:spacing w:val="-7"/>
          <w:sz w:val="20"/>
        </w:rPr>
        <w:t xml:space="preserve"> </w:t>
      </w:r>
      <w:r>
        <w:rPr>
          <w:i/>
          <w:sz w:val="20"/>
        </w:rPr>
        <w:t>Public Integrity</w:t>
      </w:r>
      <w:r>
        <w:rPr>
          <w:sz w:val="20"/>
        </w:rPr>
        <w:t xml:space="preserve">, </w:t>
      </w:r>
      <w:r>
        <w:rPr>
          <w:i/>
          <w:sz w:val="20"/>
        </w:rPr>
        <w:t>20</w:t>
      </w:r>
      <w:r>
        <w:rPr>
          <w:sz w:val="20"/>
        </w:rPr>
        <w:t>(6), 625-639.</w:t>
      </w:r>
    </w:p>
    <w:p w:rsidR="00C76E6D" w:rsidRDefault="00913831">
      <w:pPr>
        <w:ind w:left="480" w:right="530" w:hanging="2"/>
        <w:rPr>
          <w:sz w:val="20"/>
        </w:rPr>
      </w:pPr>
      <w:bookmarkStart w:id="425" w:name="_bookmark310"/>
      <w:bookmarkEnd w:id="425"/>
      <w:r>
        <w:rPr>
          <w:sz w:val="20"/>
          <w:vertAlign w:val="superscript"/>
        </w:rPr>
        <w:t>148</w:t>
      </w:r>
      <w:r>
        <w:rPr>
          <w:spacing w:val="-4"/>
          <w:sz w:val="20"/>
        </w:rPr>
        <w:t xml:space="preserve"> </w:t>
      </w:r>
      <w:r>
        <w:rPr>
          <w:sz w:val="20"/>
        </w:rPr>
        <w:t>Burdge,</w:t>
      </w:r>
      <w:r>
        <w:rPr>
          <w:spacing w:val="-6"/>
          <w:sz w:val="20"/>
        </w:rPr>
        <w:t xml:space="preserve"> </w:t>
      </w:r>
      <w:r>
        <w:rPr>
          <w:sz w:val="20"/>
        </w:rPr>
        <w:t>B.</w:t>
      </w:r>
      <w:r>
        <w:rPr>
          <w:spacing w:val="-7"/>
          <w:sz w:val="20"/>
        </w:rPr>
        <w:t xml:space="preserve"> </w:t>
      </w:r>
      <w:r>
        <w:rPr>
          <w:sz w:val="20"/>
        </w:rPr>
        <w:t>(2007).</w:t>
      </w:r>
      <w:r>
        <w:rPr>
          <w:spacing w:val="-5"/>
          <w:sz w:val="20"/>
        </w:rPr>
        <w:t xml:space="preserve"> </w:t>
      </w:r>
      <w:r>
        <w:rPr>
          <w:sz w:val="20"/>
        </w:rPr>
        <w:t>Bending</w:t>
      </w:r>
      <w:r>
        <w:rPr>
          <w:spacing w:val="-6"/>
          <w:sz w:val="20"/>
        </w:rPr>
        <w:t xml:space="preserve"> </w:t>
      </w:r>
      <w:r>
        <w:rPr>
          <w:sz w:val="20"/>
        </w:rPr>
        <w:t>gender,</w:t>
      </w:r>
      <w:r>
        <w:rPr>
          <w:spacing w:val="-5"/>
          <w:sz w:val="20"/>
        </w:rPr>
        <w:t xml:space="preserve"> </w:t>
      </w:r>
      <w:r>
        <w:rPr>
          <w:sz w:val="20"/>
        </w:rPr>
        <w:t>ending</w:t>
      </w:r>
      <w:r>
        <w:rPr>
          <w:spacing w:val="-6"/>
          <w:sz w:val="20"/>
        </w:rPr>
        <w:t xml:space="preserve"> </w:t>
      </w:r>
      <w:r>
        <w:rPr>
          <w:sz w:val="20"/>
        </w:rPr>
        <w:t>gender:</w:t>
      </w:r>
      <w:r>
        <w:rPr>
          <w:spacing w:val="-4"/>
          <w:sz w:val="20"/>
        </w:rPr>
        <w:t xml:space="preserve"> </w:t>
      </w:r>
      <w:r>
        <w:rPr>
          <w:sz w:val="20"/>
        </w:rPr>
        <w:t>Theoretical</w:t>
      </w:r>
      <w:r>
        <w:rPr>
          <w:spacing w:val="-5"/>
          <w:sz w:val="20"/>
        </w:rPr>
        <w:t xml:space="preserve"> </w:t>
      </w:r>
      <w:r>
        <w:rPr>
          <w:sz w:val="20"/>
        </w:rPr>
        <w:t>foundations</w:t>
      </w:r>
      <w:r>
        <w:rPr>
          <w:spacing w:val="-6"/>
          <w:sz w:val="20"/>
        </w:rPr>
        <w:t xml:space="preserve"> </w:t>
      </w:r>
      <w:r>
        <w:rPr>
          <w:sz w:val="20"/>
        </w:rPr>
        <w:t>for</w:t>
      </w:r>
      <w:r>
        <w:rPr>
          <w:spacing w:val="-5"/>
          <w:sz w:val="20"/>
        </w:rPr>
        <w:t xml:space="preserve"> </w:t>
      </w:r>
      <w:r>
        <w:rPr>
          <w:sz w:val="20"/>
        </w:rPr>
        <w:t>social</w:t>
      </w:r>
      <w:r>
        <w:rPr>
          <w:spacing w:val="-7"/>
          <w:sz w:val="20"/>
        </w:rPr>
        <w:t xml:space="preserve"> </w:t>
      </w:r>
      <w:r>
        <w:rPr>
          <w:sz w:val="20"/>
        </w:rPr>
        <w:t>work</w:t>
      </w:r>
      <w:r>
        <w:rPr>
          <w:spacing w:val="-4"/>
          <w:sz w:val="20"/>
        </w:rPr>
        <w:t xml:space="preserve"> </w:t>
      </w:r>
      <w:r>
        <w:rPr>
          <w:sz w:val="20"/>
        </w:rPr>
        <w:t>practice</w:t>
      </w:r>
      <w:r>
        <w:rPr>
          <w:spacing w:val="-6"/>
          <w:sz w:val="20"/>
        </w:rPr>
        <w:t xml:space="preserve"> </w:t>
      </w:r>
      <w:r>
        <w:rPr>
          <w:sz w:val="20"/>
        </w:rPr>
        <w:t>with</w:t>
      </w:r>
      <w:r>
        <w:rPr>
          <w:spacing w:val="-4"/>
          <w:sz w:val="20"/>
        </w:rPr>
        <w:t xml:space="preserve"> </w:t>
      </w:r>
      <w:r>
        <w:rPr>
          <w:sz w:val="20"/>
        </w:rPr>
        <w:t>the transgender community. Social Work, 52(3), 243–250.</w:t>
      </w:r>
    </w:p>
    <w:p w:rsidR="00C76E6D" w:rsidRDefault="00913831">
      <w:pPr>
        <w:spacing w:before="3" w:line="244" w:lineRule="exact"/>
        <w:ind w:left="480"/>
        <w:rPr>
          <w:sz w:val="20"/>
        </w:rPr>
      </w:pPr>
      <w:bookmarkStart w:id="426" w:name="_bookmark311"/>
      <w:bookmarkEnd w:id="426"/>
      <w:r>
        <w:rPr>
          <w:sz w:val="20"/>
          <w:vertAlign w:val="superscript"/>
        </w:rPr>
        <w:t>149</w:t>
      </w:r>
      <w:r>
        <w:rPr>
          <w:spacing w:val="-4"/>
          <w:sz w:val="20"/>
        </w:rPr>
        <w:t xml:space="preserve"> </w:t>
      </w:r>
      <w:bookmarkStart w:id="427" w:name="_bookmark312"/>
      <w:bookmarkEnd w:id="427"/>
      <w:r>
        <w:rPr>
          <w:sz w:val="20"/>
        </w:rPr>
        <w:t>Durso,</w:t>
      </w:r>
      <w:r>
        <w:rPr>
          <w:spacing w:val="-5"/>
          <w:sz w:val="20"/>
        </w:rPr>
        <w:t xml:space="preserve"> </w:t>
      </w:r>
      <w:r>
        <w:rPr>
          <w:sz w:val="20"/>
        </w:rPr>
        <w:t>et</w:t>
      </w:r>
      <w:r>
        <w:rPr>
          <w:spacing w:val="-6"/>
          <w:sz w:val="20"/>
        </w:rPr>
        <w:t xml:space="preserve"> </w:t>
      </w:r>
      <w:r>
        <w:rPr>
          <w:sz w:val="20"/>
        </w:rPr>
        <w:t>al.</w:t>
      </w:r>
      <w:r>
        <w:rPr>
          <w:spacing w:val="-4"/>
          <w:sz w:val="20"/>
        </w:rPr>
        <w:t xml:space="preserve"> </w:t>
      </w:r>
      <w:r>
        <w:rPr>
          <w:spacing w:val="-2"/>
          <w:sz w:val="20"/>
        </w:rPr>
        <w:t>(2012).</w:t>
      </w:r>
    </w:p>
    <w:p w:rsidR="00C76E6D" w:rsidRDefault="00913831">
      <w:pPr>
        <w:spacing w:line="244" w:lineRule="exact"/>
        <w:ind w:left="480"/>
        <w:rPr>
          <w:sz w:val="20"/>
        </w:rPr>
      </w:pPr>
      <w:r>
        <w:rPr>
          <w:sz w:val="20"/>
          <w:vertAlign w:val="superscript"/>
        </w:rPr>
        <w:t>150</w:t>
      </w:r>
      <w:r>
        <w:rPr>
          <w:spacing w:val="-5"/>
          <w:sz w:val="20"/>
        </w:rPr>
        <w:t xml:space="preserve"> </w:t>
      </w:r>
      <w:bookmarkStart w:id="428" w:name="_bookmark313"/>
      <w:bookmarkEnd w:id="428"/>
      <w:r>
        <w:rPr>
          <w:sz w:val="20"/>
        </w:rPr>
        <w:t>Durso,</w:t>
      </w:r>
      <w:r>
        <w:rPr>
          <w:spacing w:val="-5"/>
          <w:sz w:val="20"/>
        </w:rPr>
        <w:t xml:space="preserve"> </w:t>
      </w:r>
      <w:r>
        <w:rPr>
          <w:sz w:val="20"/>
        </w:rPr>
        <w:t>et</w:t>
      </w:r>
      <w:r>
        <w:rPr>
          <w:spacing w:val="-6"/>
          <w:sz w:val="20"/>
        </w:rPr>
        <w:t xml:space="preserve"> </w:t>
      </w:r>
      <w:r>
        <w:rPr>
          <w:spacing w:val="-5"/>
          <w:sz w:val="20"/>
        </w:rPr>
        <w:t>al.</w:t>
      </w:r>
    </w:p>
    <w:p w:rsidR="00C76E6D" w:rsidRDefault="00913831">
      <w:pPr>
        <w:spacing w:before="2" w:line="241" w:lineRule="exact"/>
        <w:ind w:left="480"/>
        <w:rPr>
          <w:sz w:val="20"/>
        </w:rPr>
      </w:pPr>
      <w:r>
        <w:rPr>
          <w:sz w:val="20"/>
          <w:vertAlign w:val="superscript"/>
        </w:rPr>
        <w:t>151</w:t>
      </w:r>
      <w:r>
        <w:rPr>
          <w:spacing w:val="-5"/>
          <w:sz w:val="20"/>
        </w:rPr>
        <w:t xml:space="preserve"> </w:t>
      </w:r>
      <w:r>
        <w:rPr>
          <w:sz w:val="20"/>
        </w:rPr>
        <w:t>Durso,</w:t>
      </w:r>
      <w:r>
        <w:rPr>
          <w:spacing w:val="-5"/>
          <w:sz w:val="20"/>
        </w:rPr>
        <w:t xml:space="preserve"> </w:t>
      </w:r>
      <w:r>
        <w:rPr>
          <w:sz w:val="20"/>
        </w:rPr>
        <w:t>et</w:t>
      </w:r>
      <w:r>
        <w:rPr>
          <w:spacing w:val="-6"/>
          <w:sz w:val="20"/>
        </w:rPr>
        <w:t xml:space="preserve"> </w:t>
      </w:r>
      <w:r>
        <w:rPr>
          <w:spacing w:val="-5"/>
          <w:sz w:val="20"/>
        </w:rPr>
        <w:t>al.</w:t>
      </w:r>
    </w:p>
    <w:p w:rsidR="00C76E6D" w:rsidRDefault="00913831">
      <w:pPr>
        <w:ind w:left="481" w:right="1096" w:hanging="2"/>
        <w:rPr>
          <w:sz w:val="20"/>
        </w:rPr>
      </w:pPr>
      <w:bookmarkStart w:id="429" w:name="_bookmark314"/>
      <w:bookmarkEnd w:id="429"/>
      <w:r>
        <w:rPr>
          <w:sz w:val="20"/>
          <w:vertAlign w:val="superscript"/>
        </w:rPr>
        <w:t>152</w:t>
      </w:r>
      <w:r>
        <w:rPr>
          <w:spacing w:val="-4"/>
          <w:sz w:val="20"/>
        </w:rPr>
        <w:t xml:space="preserve"> </w:t>
      </w:r>
      <w:r>
        <w:rPr>
          <w:sz w:val="20"/>
        </w:rPr>
        <w:t>Lambda</w:t>
      </w:r>
      <w:r>
        <w:rPr>
          <w:spacing w:val="-6"/>
          <w:sz w:val="20"/>
        </w:rPr>
        <w:t xml:space="preserve"> </w:t>
      </w:r>
      <w:r>
        <w:rPr>
          <w:sz w:val="20"/>
        </w:rPr>
        <w:t>Legal</w:t>
      </w:r>
      <w:r>
        <w:rPr>
          <w:spacing w:val="-6"/>
          <w:sz w:val="20"/>
        </w:rPr>
        <w:t xml:space="preserve"> </w:t>
      </w:r>
      <w:r>
        <w:rPr>
          <w:sz w:val="20"/>
        </w:rPr>
        <w:t>with</w:t>
      </w:r>
      <w:r>
        <w:rPr>
          <w:spacing w:val="-4"/>
          <w:sz w:val="20"/>
        </w:rPr>
        <w:t xml:space="preserve"> </w:t>
      </w:r>
      <w:r>
        <w:rPr>
          <w:sz w:val="20"/>
        </w:rPr>
        <w:t>National</w:t>
      </w:r>
      <w:r>
        <w:rPr>
          <w:spacing w:val="-6"/>
          <w:sz w:val="20"/>
        </w:rPr>
        <w:t xml:space="preserve"> </w:t>
      </w:r>
      <w:r>
        <w:rPr>
          <w:sz w:val="20"/>
        </w:rPr>
        <w:t>Alliance</w:t>
      </w:r>
      <w:r>
        <w:rPr>
          <w:spacing w:val="-6"/>
          <w:sz w:val="20"/>
        </w:rPr>
        <w:t xml:space="preserve"> </w:t>
      </w:r>
      <w:r>
        <w:rPr>
          <w:sz w:val="20"/>
        </w:rPr>
        <w:t>to</w:t>
      </w:r>
      <w:r>
        <w:rPr>
          <w:spacing w:val="-6"/>
          <w:sz w:val="20"/>
        </w:rPr>
        <w:t xml:space="preserve"> </w:t>
      </w:r>
      <w:r>
        <w:rPr>
          <w:sz w:val="20"/>
        </w:rPr>
        <w:t>End</w:t>
      </w:r>
      <w:r>
        <w:rPr>
          <w:spacing w:val="-5"/>
          <w:sz w:val="20"/>
        </w:rPr>
        <w:t xml:space="preserve"> </w:t>
      </w:r>
      <w:r>
        <w:rPr>
          <w:sz w:val="20"/>
        </w:rPr>
        <w:t>Homelessness</w:t>
      </w:r>
      <w:r>
        <w:rPr>
          <w:spacing w:val="-5"/>
          <w:sz w:val="20"/>
        </w:rPr>
        <w:t xml:space="preserve"> </w:t>
      </w:r>
      <w:r>
        <w:rPr>
          <w:sz w:val="20"/>
        </w:rPr>
        <w:t>and</w:t>
      </w:r>
      <w:r>
        <w:rPr>
          <w:spacing w:val="-5"/>
          <w:sz w:val="20"/>
        </w:rPr>
        <w:t xml:space="preserve"> </w:t>
      </w:r>
      <w:r>
        <w:rPr>
          <w:sz w:val="20"/>
        </w:rPr>
        <w:t>National</w:t>
      </w:r>
      <w:r>
        <w:rPr>
          <w:spacing w:val="-6"/>
          <w:sz w:val="20"/>
        </w:rPr>
        <w:t xml:space="preserve"> </w:t>
      </w:r>
      <w:r>
        <w:rPr>
          <w:sz w:val="20"/>
        </w:rPr>
        <w:t>Center</w:t>
      </w:r>
      <w:r>
        <w:rPr>
          <w:spacing w:val="-6"/>
          <w:sz w:val="20"/>
        </w:rPr>
        <w:t xml:space="preserve"> </w:t>
      </w:r>
      <w:r>
        <w:rPr>
          <w:sz w:val="20"/>
        </w:rPr>
        <w:t>for</w:t>
      </w:r>
      <w:r>
        <w:rPr>
          <w:spacing w:val="-6"/>
          <w:sz w:val="20"/>
        </w:rPr>
        <w:t xml:space="preserve"> </w:t>
      </w:r>
      <w:r>
        <w:rPr>
          <w:sz w:val="20"/>
        </w:rPr>
        <w:t>Lesbian</w:t>
      </w:r>
      <w:r>
        <w:rPr>
          <w:spacing w:val="-5"/>
          <w:sz w:val="20"/>
        </w:rPr>
        <w:t xml:space="preserve"> </w:t>
      </w:r>
      <w:r>
        <w:rPr>
          <w:sz w:val="20"/>
        </w:rPr>
        <w:t>Rights.</w:t>
      </w:r>
      <w:r>
        <w:rPr>
          <w:spacing w:val="-4"/>
          <w:sz w:val="20"/>
        </w:rPr>
        <w:t xml:space="preserve"> </w:t>
      </w:r>
      <w:r>
        <w:rPr>
          <w:sz w:val="20"/>
        </w:rPr>
        <w:t xml:space="preserve">(2009). National Recommended Best Practices for Serving LGBT Homeless Youth. Retrieved from </w:t>
      </w:r>
      <w:r>
        <w:rPr>
          <w:spacing w:val="-2"/>
          <w:sz w:val="20"/>
        </w:rPr>
        <w:t>https:/</w:t>
      </w:r>
      <w:hyperlink r:id="rId247">
        <w:r>
          <w:rPr>
            <w:spacing w:val="-2"/>
            <w:sz w:val="20"/>
          </w:rPr>
          <w:t>/w</w:t>
        </w:r>
      </w:hyperlink>
      <w:r>
        <w:rPr>
          <w:spacing w:val="-2"/>
          <w:sz w:val="20"/>
        </w:rPr>
        <w:t>w</w:t>
      </w:r>
      <w:hyperlink r:id="rId248">
        <w:r>
          <w:rPr>
            <w:spacing w:val="-2"/>
            <w:sz w:val="20"/>
          </w:rPr>
          <w:t>w.lambdalegal.org/sites/default/files/publications/downloads/bkl_national-recommended-best-</w:t>
        </w:r>
      </w:hyperlink>
      <w:r>
        <w:rPr>
          <w:spacing w:val="-2"/>
          <w:sz w:val="20"/>
        </w:rPr>
        <w:t xml:space="preserve"> </w:t>
      </w:r>
      <w:bookmarkStart w:id="430" w:name="_bookmark315"/>
      <w:bookmarkEnd w:id="430"/>
      <w:r>
        <w:rPr>
          <w:spacing w:val="-2"/>
          <w:sz w:val="20"/>
        </w:rPr>
        <w:t>practices-for-lgbt-homeless-youth_0.pdf</w:t>
      </w:r>
    </w:p>
    <w:p w:rsidR="00C76E6D" w:rsidRDefault="00913831">
      <w:pPr>
        <w:ind w:left="479" w:right="530" w:hanging="1"/>
        <w:rPr>
          <w:sz w:val="20"/>
        </w:rPr>
      </w:pPr>
      <w:r>
        <w:rPr>
          <w:sz w:val="20"/>
          <w:vertAlign w:val="superscript"/>
        </w:rPr>
        <w:t>153</w:t>
      </w:r>
      <w:r>
        <w:rPr>
          <w:spacing w:val="-6"/>
          <w:sz w:val="20"/>
        </w:rPr>
        <w:t xml:space="preserve"> </w:t>
      </w:r>
      <w:r>
        <w:rPr>
          <w:sz w:val="20"/>
        </w:rPr>
        <w:t>Massachusetts</w:t>
      </w:r>
      <w:r>
        <w:rPr>
          <w:spacing w:val="-7"/>
          <w:sz w:val="20"/>
        </w:rPr>
        <w:t xml:space="preserve"> </w:t>
      </w:r>
      <w:r>
        <w:rPr>
          <w:sz w:val="20"/>
        </w:rPr>
        <w:t>Comm</w:t>
      </w:r>
      <w:r>
        <w:rPr>
          <w:sz w:val="20"/>
        </w:rPr>
        <w:t>ission</w:t>
      </w:r>
      <w:r>
        <w:rPr>
          <w:spacing w:val="-6"/>
          <w:sz w:val="20"/>
        </w:rPr>
        <w:t xml:space="preserve"> </w:t>
      </w:r>
      <w:r>
        <w:rPr>
          <w:sz w:val="20"/>
        </w:rPr>
        <w:t>on</w:t>
      </w:r>
      <w:r>
        <w:rPr>
          <w:spacing w:val="-6"/>
          <w:sz w:val="20"/>
        </w:rPr>
        <w:t xml:space="preserve"> </w:t>
      </w:r>
      <w:r>
        <w:rPr>
          <w:sz w:val="20"/>
        </w:rPr>
        <w:t>Unaccompanied</w:t>
      </w:r>
      <w:r>
        <w:rPr>
          <w:spacing w:val="-6"/>
          <w:sz w:val="20"/>
        </w:rPr>
        <w:t xml:space="preserve"> </w:t>
      </w:r>
      <w:r>
        <w:rPr>
          <w:sz w:val="20"/>
        </w:rPr>
        <w:t>Youth.</w:t>
      </w:r>
      <w:r>
        <w:rPr>
          <w:spacing w:val="-7"/>
          <w:sz w:val="20"/>
        </w:rPr>
        <w:t xml:space="preserve"> </w:t>
      </w:r>
      <w:r>
        <w:rPr>
          <w:sz w:val="20"/>
        </w:rPr>
        <w:t>(2018).</w:t>
      </w:r>
      <w:r>
        <w:rPr>
          <w:spacing w:val="33"/>
          <w:sz w:val="20"/>
        </w:rPr>
        <w:t xml:space="preserve"> </w:t>
      </w:r>
      <w:r>
        <w:rPr>
          <w:sz w:val="20"/>
        </w:rPr>
        <w:t>“Massachusetts</w:t>
      </w:r>
      <w:r>
        <w:rPr>
          <w:spacing w:val="-9"/>
          <w:sz w:val="20"/>
        </w:rPr>
        <w:t xml:space="preserve"> </w:t>
      </w:r>
      <w:r>
        <w:rPr>
          <w:sz w:val="20"/>
        </w:rPr>
        <w:t>State</w:t>
      </w:r>
      <w:r>
        <w:rPr>
          <w:spacing w:val="-7"/>
          <w:sz w:val="20"/>
        </w:rPr>
        <w:t xml:space="preserve"> </w:t>
      </w:r>
      <w:r>
        <w:rPr>
          <w:sz w:val="20"/>
        </w:rPr>
        <w:t>Plan</w:t>
      </w:r>
      <w:r>
        <w:rPr>
          <w:spacing w:val="-7"/>
          <w:sz w:val="20"/>
        </w:rPr>
        <w:t xml:space="preserve"> </w:t>
      </w:r>
      <w:r>
        <w:rPr>
          <w:sz w:val="20"/>
        </w:rPr>
        <w:t>to</w:t>
      </w:r>
      <w:r>
        <w:rPr>
          <w:spacing w:val="-9"/>
          <w:sz w:val="20"/>
        </w:rPr>
        <w:t xml:space="preserve"> </w:t>
      </w:r>
      <w:r>
        <w:rPr>
          <w:sz w:val="20"/>
        </w:rPr>
        <w:t>End</w:t>
      </w:r>
      <w:r>
        <w:rPr>
          <w:spacing w:val="-8"/>
          <w:sz w:val="20"/>
        </w:rPr>
        <w:t xml:space="preserve"> </w:t>
      </w:r>
      <w:r>
        <w:rPr>
          <w:sz w:val="20"/>
        </w:rPr>
        <w:t>Youth Homelessness” Retrieved from https://</w:t>
      </w:r>
      <w:hyperlink r:id="rId249">
        <w:r>
          <w:rPr>
            <w:sz w:val="20"/>
          </w:rPr>
          <w:t>www.mass.gov/doc/massachusetts-state-plan-to-end-youth-</w:t>
        </w:r>
      </w:hyperlink>
      <w:r>
        <w:rPr>
          <w:sz w:val="20"/>
        </w:rPr>
        <w:t xml:space="preserve"> </w:t>
      </w:r>
      <w:hyperlink r:id="rId250">
        <w:r>
          <w:rPr>
            <w:spacing w:val="-2"/>
            <w:sz w:val="20"/>
          </w:rPr>
          <w:t>homelessness/download</w:t>
        </w:r>
      </w:hyperlink>
    </w:p>
    <w:p w:rsidR="00C76E6D" w:rsidRDefault="00913831">
      <w:pPr>
        <w:ind w:left="480" w:right="561" w:hanging="1"/>
        <w:rPr>
          <w:sz w:val="20"/>
        </w:rPr>
      </w:pPr>
      <w:bookmarkStart w:id="431" w:name="_bookmark316"/>
      <w:bookmarkEnd w:id="431"/>
      <w:r>
        <w:rPr>
          <w:sz w:val="20"/>
          <w:vertAlign w:val="superscript"/>
        </w:rPr>
        <w:t>154</w:t>
      </w:r>
      <w:r>
        <w:rPr>
          <w:spacing w:val="-6"/>
          <w:sz w:val="20"/>
        </w:rPr>
        <w:t xml:space="preserve"> </w:t>
      </w:r>
      <w:r>
        <w:rPr>
          <w:sz w:val="20"/>
        </w:rPr>
        <w:t>United</w:t>
      </w:r>
      <w:r>
        <w:rPr>
          <w:spacing w:val="-8"/>
          <w:sz w:val="20"/>
        </w:rPr>
        <w:t xml:space="preserve"> </w:t>
      </w:r>
      <w:r>
        <w:rPr>
          <w:sz w:val="20"/>
        </w:rPr>
        <w:t>States</w:t>
      </w:r>
      <w:r>
        <w:rPr>
          <w:spacing w:val="-8"/>
          <w:sz w:val="20"/>
        </w:rPr>
        <w:t xml:space="preserve"> </w:t>
      </w:r>
      <w:r>
        <w:rPr>
          <w:sz w:val="20"/>
        </w:rPr>
        <w:t>Interagency</w:t>
      </w:r>
      <w:r>
        <w:rPr>
          <w:spacing w:val="-8"/>
          <w:sz w:val="20"/>
        </w:rPr>
        <w:t xml:space="preserve"> </w:t>
      </w:r>
      <w:r>
        <w:rPr>
          <w:sz w:val="20"/>
        </w:rPr>
        <w:t>Committee</w:t>
      </w:r>
      <w:r>
        <w:rPr>
          <w:spacing w:val="-6"/>
          <w:sz w:val="20"/>
        </w:rPr>
        <w:t xml:space="preserve"> </w:t>
      </w:r>
      <w:r>
        <w:rPr>
          <w:sz w:val="20"/>
        </w:rPr>
        <w:t>on</w:t>
      </w:r>
      <w:r>
        <w:rPr>
          <w:spacing w:val="-6"/>
          <w:sz w:val="20"/>
        </w:rPr>
        <w:t xml:space="preserve"> </w:t>
      </w:r>
      <w:r>
        <w:rPr>
          <w:sz w:val="20"/>
        </w:rPr>
        <w:t>Homelessness,</w:t>
      </w:r>
      <w:r>
        <w:rPr>
          <w:spacing w:val="-6"/>
          <w:sz w:val="20"/>
        </w:rPr>
        <w:t xml:space="preserve"> </w:t>
      </w:r>
      <w:r>
        <w:rPr>
          <w:sz w:val="20"/>
        </w:rPr>
        <w:t>‘Federal</w:t>
      </w:r>
      <w:r>
        <w:rPr>
          <w:spacing w:val="-10"/>
          <w:sz w:val="20"/>
        </w:rPr>
        <w:t xml:space="preserve"> </w:t>
      </w:r>
      <w:r>
        <w:rPr>
          <w:sz w:val="20"/>
        </w:rPr>
        <w:t>Framework</w:t>
      </w:r>
      <w:r>
        <w:rPr>
          <w:spacing w:val="-7"/>
          <w:sz w:val="20"/>
        </w:rPr>
        <w:t xml:space="preserve"> </w:t>
      </w:r>
      <w:r>
        <w:rPr>
          <w:sz w:val="20"/>
        </w:rPr>
        <w:t>to</w:t>
      </w:r>
      <w:r>
        <w:rPr>
          <w:spacing w:val="-8"/>
          <w:sz w:val="20"/>
        </w:rPr>
        <w:t xml:space="preserve"> </w:t>
      </w:r>
      <w:r>
        <w:rPr>
          <w:sz w:val="20"/>
        </w:rPr>
        <w:t>End</w:t>
      </w:r>
      <w:r>
        <w:rPr>
          <w:spacing w:val="-6"/>
          <w:sz w:val="20"/>
        </w:rPr>
        <w:t xml:space="preserve"> </w:t>
      </w:r>
      <w:r>
        <w:rPr>
          <w:sz w:val="20"/>
        </w:rPr>
        <w:t>Youth</w:t>
      </w:r>
      <w:r>
        <w:rPr>
          <w:spacing w:val="-7"/>
          <w:sz w:val="20"/>
        </w:rPr>
        <w:t xml:space="preserve"> </w:t>
      </w:r>
      <w:r>
        <w:rPr>
          <w:sz w:val="20"/>
        </w:rPr>
        <w:t>Homelessness’</w:t>
      </w:r>
      <w:r>
        <w:rPr>
          <w:spacing w:val="-6"/>
          <w:sz w:val="20"/>
        </w:rPr>
        <w:t xml:space="preserve"> </w:t>
      </w:r>
      <w:r>
        <w:rPr>
          <w:sz w:val="20"/>
        </w:rPr>
        <w:t xml:space="preserve">2013, </w:t>
      </w:r>
      <w:bookmarkStart w:id="432" w:name="_bookmark317"/>
      <w:bookmarkEnd w:id="432"/>
      <w:r>
        <w:rPr>
          <w:spacing w:val="-2"/>
          <w:sz w:val="20"/>
        </w:rPr>
        <w:t>https:/</w:t>
      </w:r>
      <w:hyperlink r:id="rId251">
        <w:r>
          <w:rPr>
            <w:spacing w:val="-2"/>
            <w:sz w:val="20"/>
          </w:rPr>
          <w:t>/w</w:t>
        </w:r>
      </w:hyperlink>
      <w:r>
        <w:rPr>
          <w:spacing w:val="-2"/>
          <w:sz w:val="20"/>
        </w:rPr>
        <w:t>w</w:t>
      </w:r>
      <w:hyperlink r:id="rId252">
        <w:r>
          <w:rPr>
            <w:spacing w:val="-2"/>
            <w:sz w:val="20"/>
          </w:rPr>
          <w:t>w.usich.gov/tool</w:t>
        </w:r>
        <w:r>
          <w:rPr>
            <w:spacing w:val="-2"/>
            <w:sz w:val="20"/>
          </w:rPr>
          <w:t>s-for-action/framework-for-ending-youth-homelessness/</w:t>
        </w:r>
      </w:hyperlink>
    </w:p>
    <w:p w:rsidR="00C76E6D" w:rsidRDefault="00913831">
      <w:pPr>
        <w:spacing w:before="3"/>
        <w:ind w:left="480"/>
        <w:rPr>
          <w:sz w:val="20"/>
        </w:rPr>
      </w:pPr>
      <w:r>
        <w:rPr>
          <w:sz w:val="20"/>
          <w:vertAlign w:val="superscript"/>
        </w:rPr>
        <w:t>155</w:t>
      </w:r>
      <w:r>
        <w:rPr>
          <w:spacing w:val="-12"/>
          <w:sz w:val="20"/>
        </w:rPr>
        <w:t xml:space="preserve"> </w:t>
      </w:r>
      <w:r>
        <w:rPr>
          <w:sz w:val="20"/>
        </w:rPr>
        <w:t>Massachusetts</w:t>
      </w:r>
      <w:r>
        <w:rPr>
          <w:spacing w:val="-11"/>
          <w:sz w:val="20"/>
        </w:rPr>
        <w:t xml:space="preserve"> </w:t>
      </w:r>
      <w:r>
        <w:rPr>
          <w:sz w:val="20"/>
        </w:rPr>
        <w:t>Commission</w:t>
      </w:r>
      <w:r>
        <w:rPr>
          <w:spacing w:val="-10"/>
          <w:sz w:val="20"/>
        </w:rPr>
        <w:t xml:space="preserve"> </w:t>
      </w:r>
      <w:r>
        <w:rPr>
          <w:sz w:val="20"/>
        </w:rPr>
        <w:t>on</w:t>
      </w:r>
      <w:r>
        <w:rPr>
          <w:spacing w:val="-11"/>
          <w:sz w:val="20"/>
        </w:rPr>
        <w:t xml:space="preserve"> </w:t>
      </w:r>
      <w:r>
        <w:rPr>
          <w:sz w:val="20"/>
        </w:rPr>
        <w:t>Unaccompanied</w:t>
      </w:r>
      <w:r>
        <w:rPr>
          <w:spacing w:val="-11"/>
          <w:sz w:val="20"/>
        </w:rPr>
        <w:t xml:space="preserve"> </w:t>
      </w:r>
      <w:r>
        <w:rPr>
          <w:sz w:val="20"/>
        </w:rPr>
        <w:t>Youth,</w:t>
      </w:r>
      <w:r>
        <w:rPr>
          <w:spacing w:val="-11"/>
          <w:sz w:val="20"/>
        </w:rPr>
        <w:t xml:space="preserve"> </w:t>
      </w:r>
      <w:r>
        <w:rPr>
          <w:spacing w:val="-2"/>
          <w:sz w:val="20"/>
        </w:rPr>
        <w:t>(2018).</w:t>
      </w:r>
    </w:p>
    <w:p w:rsidR="00C76E6D" w:rsidRDefault="00913831">
      <w:pPr>
        <w:tabs>
          <w:tab w:val="left" w:pos="1975"/>
        </w:tabs>
        <w:spacing w:line="244" w:lineRule="exact"/>
        <w:ind w:left="480"/>
        <w:rPr>
          <w:sz w:val="20"/>
        </w:rPr>
      </w:pPr>
      <w:bookmarkStart w:id="433" w:name="_bookmark318"/>
      <w:bookmarkEnd w:id="433"/>
      <w:r>
        <w:rPr>
          <w:sz w:val="20"/>
          <w:vertAlign w:val="superscript"/>
        </w:rPr>
        <w:t>156</w:t>
      </w:r>
      <w:r>
        <w:rPr>
          <w:spacing w:val="-5"/>
          <w:sz w:val="20"/>
        </w:rPr>
        <w:t xml:space="preserve"> </w:t>
      </w:r>
      <w:r>
        <w:rPr>
          <w:sz w:val="20"/>
        </w:rPr>
        <w:t>Durso,</w:t>
      </w:r>
      <w:r>
        <w:rPr>
          <w:spacing w:val="-5"/>
          <w:sz w:val="20"/>
        </w:rPr>
        <w:t xml:space="preserve"> </w:t>
      </w:r>
      <w:r>
        <w:rPr>
          <w:sz w:val="20"/>
        </w:rPr>
        <w:t>et</w:t>
      </w:r>
      <w:r>
        <w:rPr>
          <w:spacing w:val="-6"/>
          <w:sz w:val="20"/>
        </w:rPr>
        <w:t xml:space="preserve"> </w:t>
      </w:r>
      <w:r>
        <w:rPr>
          <w:spacing w:val="-5"/>
          <w:sz w:val="20"/>
        </w:rPr>
        <w:t>al.</w:t>
      </w:r>
      <w:r>
        <w:rPr>
          <w:sz w:val="20"/>
        </w:rPr>
        <w:tab/>
      </w:r>
      <w:r>
        <w:rPr>
          <w:spacing w:val="-2"/>
          <w:sz w:val="20"/>
        </w:rPr>
        <w:t>(2012).</w:t>
      </w:r>
    </w:p>
    <w:p w:rsidR="00C76E6D" w:rsidRDefault="00913831">
      <w:pPr>
        <w:spacing w:line="241" w:lineRule="exact"/>
        <w:ind w:left="480"/>
        <w:rPr>
          <w:sz w:val="20"/>
        </w:rPr>
      </w:pPr>
      <w:bookmarkStart w:id="434" w:name="_bookmark319"/>
      <w:bookmarkEnd w:id="434"/>
      <w:r>
        <w:rPr>
          <w:sz w:val="20"/>
          <w:vertAlign w:val="superscript"/>
        </w:rPr>
        <w:t>157</w:t>
      </w:r>
      <w:r>
        <w:rPr>
          <w:spacing w:val="-5"/>
          <w:sz w:val="20"/>
        </w:rPr>
        <w:t xml:space="preserve"> </w:t>
      </w:r>
      <w:bookmarkStart w:id="435" w:name="_bookmark320"/>
      <w:bookmarkEnd w:id="435"/>
      <w:r>
        <w:rPr>
          <w:sz w:val="20"/>
        </w:rPr>
        <w:t>Durso,</w:t>
      </w:r>
      <w:r>
        <w:rPr>
          <w:spacing w:val="-5"/>
          <w:sz w:val="20"/>
        </w:rPr>
        <w:t xml:space="preserve"> </w:t>
      </w:r>
      <w:r>
        <w:rPr>
          <w:sz w:val="20"/>
        </w:rPr>
        <w:t>et</w:t>
      </w:r>
      <w:r>
        <w:rPr>
          <w:spacing w:val="-6"/>
          <w:sz w:val="20"/>
        </w:rPr>
        <w:t xml:space="preserve"> </w:t>
      </w:r>
      <w:r>
        <w:rPr>
          <w:spacing w:val="-5"/>
          <w:sz w:val="20"/>
        </w:rPr>
        <w:t>al.</w:t>
      </w:r>
    </w:p>
    <w:p w:rsidR="00C76E6D" w:rsidRDefault="00913831">
      <w:pPr>
        <w:ind w:left="480" w:right="567" w:hanging="1"/>
        <w:rPr>
          <w:sz w:val="20"/>
        </w:rPr>
      </w:pPr>
      <w:r>
        <w:rPr>
          <w:sz w:val="20"/>
          <w:vertAlign w:val="superscript"/>
        </w:rPr>
        <w:t>158</w:t>
      </w:r>
      <w:r>
        <w:rPr>
          <w:spacing w:val="-7"/>
          <w:sz w:val="20"/>
        </w:rPr>
        <w:t xml:space="preserve"> </w:t>
      </w:r>
      <w:r>
        <w:rPr>
          <w:sz w:val="20"/>
        </w:rPr>
        <w:t>The</w:t>
      </w:r>
      <w:r>
        <w:rPr>
          <w:spacing w:val="-9"/>
          <w:sz w:val="20"/>
        </w:rPr>
        <w:t xml:space="preserve"> </w:t>
      </w:r>
      <w:r>
        <w:rPr>
          <w:sz w:val="20"/>
        </w:rPr>
        <w:t>Massachusetts</w:t>
      </w:r>
      <w:r>
        <w:rPr>
          <w:spacing w:val="-9"/>
          <w:sz w:val="20"/>
        </w:rPr>
        <w:t xml:space="preserve"> </w:t>
      </w:r>
      <w:r>
        <w:rPr>
          <w:sz w:val="20"/>
        </w:rPr>
        <w:t>Commission</w:t>
      </w:r>
      <w:r>
        <w:rPr>
          <w:spacing w:val="-7"/>
          <w:sz w:val="20"/>
        </w:rPr>
        <w:t xml:space="preserve"> </w:t>
      </w:r>
      <w:r>
        <w:rPr>
          <w:sz w:val="20"/>
        </w:rPr>
        <w:t>on</w:t>
      </w:r>
      <w:r>
        <w:rPr>
          <w:spacing w:val="-10"/>
          <w:sz w:val="20"/>
        </w:rPr>
        <w:t xml:space="preserve"> </w:t>
      </w:r>
      <w:r>
        <w:rPr>
          <w:sz w:val="20"/>
        </w:rPr>
        <w:t>Unaccompanied</w:t>
      </w:r>
      <w:r>
        <w:rPr>
          <w:spacing w:val="-10"/>
          <w:sz w:val="20"/>
        </w:rPr>
        <w:t xml:space="preserve"> </w:t>
      </w:r>
      <w:r>
        <w:rPr>
          <w:sz w:val="20"/>
        </w:rPr>
        <w:t>Homeless</w:t>
      </w:r>
      <w:r>
        <w:rPr>
          <w:spacing w:val="-8"/>
          <w:sz w:val="20"/>
        </w:rPr>
        <w:t xml:space="preserve"> </w:t>
      </w:r>
      <w:r>
        <w:rPr>
          <w:sz w:val="20"/>
        </w:rPr>
        <w:t>Youth.</w:t>
      </w:r>
      <w:r>
        <w:rPr>
          <w:spacing w:val="-11"/>
          <w:sz w:val="20"/>
        </w:rPr>
        <w:t xml:space="preserve"> </w:t>
      </w:r>
      <w:r>
        <w:rPr>
          <w:sz w:val="20"/>
        </w:rPr>
        <w:t>(2020).</w:t>
      </w:r>
      <w:r>
        <w:rPr>
          <w:spacing w:val="-11"/>
          <w:sz w:val="20"/>
        </w:rPr>
        <w:t xml:space="preserve"> </w:t>
      </w:r>
      <w:r>
        <w:rPr>
          <w:sz w:val="20"/>
        </w:rPr>
        <w:t>https://</w:t>
      </w:r>
      <w:hyperlink r:id="rId253">
        <w:r>
          <w:rPr>
            <w:sz w:val="20"/>
          </w:rPr>
          <w:t>www.mass.gov/doc/2020-</w:t>
        </w:r>
      </w:hyperlink>
      <w:r>
        <w:rPr>
          <w:sz w:val="20"/>
        </w:rPr>
        <w:t xml:space="preserve"> </w:t>
      </w:r>
      <w:r>
        <w:rPr>
          <w:spacing w:val="-2"/>
          <w:sz w:val="20"/>
        </w:rPr>
        <w:t>special-report-to-the-ma-unaccompanied-homeless-youth-commission/download</w:t>
      </w:r>
    </w:p>
    <w:p w:rsidR="00C76E6D" w:rsidRDefault="00C76E6D">
      <w:pPr>
        <w:rPr>
          <w:sz w:val="20"/>
        </w:rPr>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11"/>
        <w:rPr>
          <w:sz w:val="18"/>
        </w:rPr>
      </w:pPr>
    </w:p>
    <w:p w:rsidR="00C76E6D" w:rsidRDefault="00913831">
      <w:pPr>
        <w:spacing w:line="244" w:lineRule="exact"/>
        <w:ind w:left="480"/>
        <w:rPr>
          <w:sz w:val="20"/>
        </w:rPr>
      </w:pPr>
      <w:bookmarkStart w:id="436" w:name="_bookmark321"/>
      <w:bookmarkEnd w:id="436"/>
      <w:r>
        <w:rPr>
          <w:sz w:val="20"/>
          <w:vertAlign w:val="superscript"/>
        </w:rPr>
        <w:t>159</w:t>
      </w:r>
      <w:r>
        <w:rPr>
          <w:spacing w:val="-12"/>
          <w:sz w:val="20"/>
        </w:rPr>
        <w:t xml:space="preserve"> </w:t>
      </w:r>
      <w:r>
        <w:rPr>
          <w:sz w:val="20"/>
        </w:rPr>
        <w:t>The</w:t>
      </w:r>
      <w:r>
        <w:rPr>
          <w:spacing w:val="-11"/>
          <w:sz w:val="20"/>
        </w:rPr>
        <w:t xml:space="preserve"> </w:t>
      </w:r>
      <w:r>
        <w:rPr>
          <w:sz w:val="20"/>
        </w:rPr>
        <w:t>Massachusetts</w:t>
      </w:r>
      <w:r>
        <w:rPr>
          <w:spacing w:val="-10"/>
          <w:sz w:val="20"/>
        </w:rPr>
        <w:t xml:space="preserve"> </w:t>
      </w:r>
      <w:r>
        <w:rPr>
          <w:sz w:val="20"/>
        </w:rPr>
        <w:t>Commission</w:t>
      </w:r>
      <w:r>
        <w:rPr>
          <w:spacing w:val="-9"/>
          <w:sz w:val="20"/>
        </w:rPr>
        <w:t xml:space="preserve"> </w:t>
      </w:r>
      <w:r>
        <w:rPr>
          <w:sz w:val="20"/>
        </w:rPr>
        <w:t>on</w:t>
      </w:r>
      <w:r>
        <w:rPr>
          <w:spacing w:val="-11"/>
          <w:sz w:val="20"/>
        </w:rPr>
        <w:t xml:space="preserve"> </w:t>
      </w:r>
      <w:r>
        <w:rPr>
          <w:sz w:val="20"/>
        </w:rPr>
        <w:t>Unaccompanied</w:t>
      </w:r>
      <w:r>
        <w:rPr>
          <w:spacing w:val="-11"/>
          <w:sz w:val="20"/>
        </w:rPr>
        <w:t xml:space="preserve"> </w:t>
      </w:r>
      <w:r>
        <w:rPr>
          <w:sz w:val="20"/>
        </w:rPr>
        <w:t>Homeless</w:t>
      </w:r>
      <w:r>
        <w:rPr>
          <w:spacing w:val="-10"/>
          <w:sz w:val="20"/>
        </w:rPr>
        <w:t xml:space="preserve"> </w:t>
      </w:r>
      <w:r>
        <w:rPr>
          <w:sz w:val="20"/>
        </w:rPr>
        <w:t>Youth.</w:t>
      </w:r>
      <w:r>
        <w:rPr>
          <w:spacing w:val="-11"/>
          <w:sz w:val="20"/>
        </w:rPr>
        <w:t xml:space="preserve"> </w:t>
      </w:r>
      <w:r>
        <w:rPr>
          <w:spacing w:val="-2"/>
          <w:sz w:val="20"/>
        </w:rPr>
        <w:t>(2020).</w:t>
      </w:r>
    </w:p>
    <w:p w:rsidR="00C76E6D" w:rsidRDefault="00913831">
      <w:pPr>
        <w:spacing w:line="241" w:lineRule="exact"/>
        <w:ind w:left="480"/>
        <w:rPr>
          <w:sz w:val="20"/>
        </w:rPr>
      </w:pPr>
      <w:bookmarkStart w:id="437" w:name="_bookmark322"/>
      <w:bookmarkEnd w:id="437"/>
      <w:r>
        <w:rPr>
          <w:sz w:val="20"/>
          <w:vertAlign w:val="superscript"/>
        </w:rPr>
        <w:t>160</w:t>
      </w:r>
      <w:r>
        <w:rPr>
          <w:spacing w:val="-12"/>
          <w:sz w:val="20"/>
        </w:rPr>
        <w:t xml:space="preserve"> </w:t>
      </w:r>
      <w:r>
        <w:rPr>
          <w:sz w:val="20"/>
        </w:rPr>
        <w:t>The</w:t>
      </w:r>
      <w:r>
        <w:rPr>
          <w:spacing w:val="-11"/>
          <w:sz w:val="20"/>
        </w:rPr>
        <w:t xml:space="preserve"> </w:t>
      </w:r>
      <w:r>
        <w:rPr>
          <w:sz w:val="20"/>
        </w:rPr>
        <w:t>Massachusetts</w:t>
      </w:r>
      <w:r>
        <w:rPr>
          <w:spacing w:val="-10"/>
          <w:sz w:val="20"/>
        </w:rPr>
        <w:t xml:space="preserve"> </w:t>
      </w:r>
      <w:r>
        <w:rPr>
          <w:sz w:val="20"/>
        </w:rPr>
        <w:t>Commission</w:t>
      </w:r>
      <w:r>
        <w:rPr>
          <w:spacing w:val="-9"/>
          <w:sz w:val="20"/>
        </w:rPr>
        <w:t xml:space="preserve"> </w:t>
      </w:r>
      <w:r>
        <w:rPr>
          <w:sz w:val="20"/>
        </w:rPr>
        <w:t>on</w:t>
      </w:r>
      <w:r>
        <w:rPr>
          <w:spacing w:val="-11"/>
          <w:sz w:val="20"/>
        </w:rPr>
        <w:t xml:space="preserve"> </w:t>
      </w:r>
      <w:r>
        <w:rPr>
          <w:sz w:val="20"/>
        </w:rPr>
        <w:t>Unaccompanied</w:t>
      </w:r>
      <w:r>
        <w:rPr>
          <w:spacing w:val="-11"/>
          <w:sz w:val="20"/>
        </w:rPr>
        <w:t xml:space="preserve"> </w:t>
      </w:r>
      <w:r>
        <w:rPr>
          <w:sz w:val="20"/>
        </w:rPr>
        <w:t>Homeless</w:t>
      </w:r>
      <w:r>
        <w:rPr>
          <w:spacing w:val="-10"/>
          <w:sz w:val="20"/>
        </w:rPr>
        <w:t xml:space="preserve"> </w:t>
      </w:r>
      <w:r>
        <w:rPr>
          <w:sz w:val="20"/>
        </w:rPr>
        <w:t>Youth.</w:t>
      </w:r>
      <w:r>
        <w:rPr>
          <w:spacing w:val="-11"/>
          <w:sz w:val="20"/>
        </w:rPr>
        <w:t xml:space="preserve"> </w:t>
      </w:r>
      <w:r>
        <w:rPr>
          <w:spacing w:val="-2"/>
          <w:sz w:val="20"/>
        </w:rPr>
        <w:t>(2020).</w:t>
      </w:r>
    </w:p>
    <w:p w:rsidR="00C76E6D" w:rsidRDefault="00913831">
      <w:pPr>
        <w:ind w:left="478" w:right="602"/>
        <w:rPr>
          <w:sz w:val="20"/>
        </w:rPr>
      </w:pPr>
      <w:bookmarkStart w:id="438" w:name="_bookmark323"/>
      <w:bookmarkEnd w:id="438"/>
      <w:r>
        <w:rPr>
          <w:sz w:val="20"/>
          <w:vertAlign w:val="superscript"/>
        </w:rPr>
        <w:t>161</w:t>
      </w:r>
      <w:r>
        <w:rPr>
          <w:sz w:val="20"/>
        </w:rPr>
        <w:t xml:space="preserve"> The Massachusetts Commission on Unaccompanied Homeless Youth. (2021). Baker-Polito Administration Announces</w:t>
      </w:r>
      <w:r>
        <w:rPr>
          <w:spacing w:val="-5"/>
          <w:sz w:val="20"/>
        </w:rPr>
        <w:t xml:space="preserve"> </w:t>
      </w:r>
      <w:r>
        <w:rPr>
          <w:sz w:val="20"/>
        </w:rPr>
        <w:t>Launch</w:t>
      </w:r>
      <w:r>
        <w:rPr>
          <w:spacing w:val="-4"/>
          <w:sz w:val="20"/>
        </w:rPr>
        <w:t xml:space="preserve"> </w:t>
      </w:r>
      <w:r>
        <w:rPr>
          <w:sz w:val="20"/>
        </w:rPr>
        <w:t>of</w:t>
      </w:r>
      <w:r>
        <w:rPr>
          <w:spacing w:val="-6"/>
          <w:sz w:val="20"/>
        </w:rPr>
        <w:t xml:space="preserve"> </w:t>
      </w:r>
      <w:r>
        <w:rPr>
          <w:sz w:val="20"/>
        </w:rPr>
        <w:t>Public</w:t>
      </w:r>
      <w:r>
        <w:rPr>
          <w:spacing w:val="-6"/>
          <w:sz w:val="20"/>
        </w:rPr>
        <w:t xml:space="preserve"> </w:t>
      </w:r>
      <w:r>
        <w:rPr>
          <w:sz w:val="20"/>
        </w:rPr>
        <w:t>Awareness</w:t>
      </w:r>
      <w:r>
        <w:rPr>
          <w:spacing w:val="-5"/>
          <w:sz w:val="20"/>
        </w:rPr>
        <w:t xml:space="preserve"> </w:t>
      </w:r>
      <w:r>
        <w:rPr>
          <w:sz w:val="20"/>
        </w:rPr>
        <w:t>Campaign:</w:t>
      </w:r>
      <w:r>
        <w:rPr>
          <w:spacing w:val="-4"/>
          <w:sz w:val="20"/>
        </w:rPr>
        <w:t xml:space="preserve"> </w:t>
      </w:r>
      <w:r>
        <w:rPr>
          <w:sz w:val="20"/>
        </w:rPr>
        <w:t>“Path</w:t>
      </w:r>
      <w:r>
        <w:rPr>
          <w:spacing w:val="-5"/>
          <w:sz w:val="20"/>
        </w:rPr>
        <w:t xml:space="preserve"> </w:t>
      </w:r>
      <w:r>
        <w:rPr>
          <w:sz w:val="20"/>
        </w:rPr>
        <w:t>to</w:t>
      </w:r>
      <w:r>
        <w:rPr>
          <w:spacing w:val="-4"/>
          <w:sz w:val="20"/>
        </w:rPr>
        <w:t xml:space="preserve"> </w:t>
      </w:r>
      <w:r>
        <w:rPr>
          <w:sz w:val="20"/>
        </w:rPr>
        <w:t>Help.”</w:t>
      </w:r>
      <w:r>
        <w:rPr>
          <w:spacing w:val="-6"/>
          <w:sz w:val="20"/>
        </w:rPr>
        <w:t xml:space="preserve"> </w:t>
      </w:r>
      <w:r>
        <w:rPr>
          <w:sz w:val="20"/>
        </w:rPr>
        <w:t>Executive</w:t>
      </w:r>
      <w:r>
        <w:rPr>
          <w:spacing w:val="-4"/>
          <w:sz w:val="20"/>
        </w:rPr>
        <w:t xml:space="preserve"> </w:t>
      </w:r>
      <w:r>
        <w:rPr>
          <w:sz w:val="20"/>
        </w:rPr>
        <w:t>Office</w:t>
      </w:r>
      <w:r>
        <w:rPr>
          <w:spacing w:val="-6"/>
          <w:sz w:val="20"/>
        </w:rPr>
        <w:t xml:space="preserve"> </w:t>
      </w:r>
      <w:r>
        <w:rPr>
          <w:sz w:val="20"/>
        </w:rPr>
        <w:t>of</w:t>
      </w:r>
      <w:r>
        <w:rPr>
          <w:spacing w:val="-8"/>
          <w:sz w:val="20"/>
        </w:rPr>
        <w:t xml:space="preserve"> </w:t>
      </w:r>
      <w:r>
        <w:rPr>
          <w:sz w:val="20"/>
        </w:rPr>
        <w:t>Health</w:t>
      </w:r>
      <w:r>
        <w:rPr>
          <w:spacing w:val="-4"/>
          <w:sz w:val="20"/>
        </w:rPr>
        <w:t xml:space="preserve"> </w:t>
      </w:r>
      <w:r>
        <w:rPr>
          <w:sz w:val="20"/>
        </w:rPr>
        <w:t>and</w:t>
      </w:r>
      <w:r>
        <w:rPr>
          <w:spacing w:val="-5"/>
          <w:sz w:val="20"/>
        </w:rPr>
        <w:t xml:space="preserve"> </w:t>
      </w:r>
      <w:r>
        <w:rPr>
          <w:sz w:val="20"/>
        </w:rPr>
        <w:t>Human</w:t>
      </w:r>
      <w:r>
        <w:rPr>
          <w:spacing w:val="-4"/>
          <w:sz w:val="20"/>
        </w:rPr>
        <w:t xml:space="preserve"> </w:t>
      </w:r>
      <w:r>
        <w:rPr>
          <w:sz w:val="20"/>
        </w:rPr>
        <w:t xml:space="preserve">Services. Retrieve from </w:t>
      </w:r>
      <w:hyperlink r:id="rId254">
        <w:r>
          <w:rPr>
            <w:sz w:val="20"/>
          </w:rPr>
          <w:t>https://www.mass.gov/news/baker-polito-administration-announces-launch-of-public-awareness-</w:t>
        </w:r>
      </w:hyperlink>
      <w:r>
        <w:rPr>
          <w:sz w:val="20"/>
        </w:rPr>
        <w:t xml:space="preserve"> </w:t>
      </w:r>
      <w:hyperlink r:id="rId255">
        <w:r>
          <w:rPr>
            <w:spacing w:val="-2"/>
            <w:sz w:val="20"/>
          </w:rPr>
          <w:t>campaign-path-to-help</w:t>
        </w:r>
      </w:hyperlink>
    </w:p>
    <w:p w:rsidR="00C76E6D" w:rsidRDefault="00913831">
      <w:pPr>
        <w:ind w:left="480" w:right="530" w:hanging="1"/>
        <w:rPr>
          <w:sz w:val="20"/>
        </w:rPr>
      </w:pPr>
      <w:bookmarkStart w:id="439" w:name="_bookmark324"/>
      <w:bookmarkEnd w:id="439"/>
      <w:r>
        <w:rPr>
          <w:sz w:val="20"/>
          <w:vertAlign w:val="superscript"/>
        </w:rPr>
        <w:t>162</w:t>
      </w:r>
      <w:r>
        <w:rPr>
          <w:spacing w:val="-5"/>
          <w:sz w:val="20"/>
        </w:rPr>
        <w:t xml:space="preserve"> </w:t>
      </w:r>
      <w:r>
        <w:rPr>
          <w:sz w:val="20"/>
        </w:rPr>
        <w:t>Massachusetts</w:t>
      </w:r>
      <w:r>
        <w:rPr>
          <w:spacing w:val="-6"/>
          <w:sz w:val="20"/>
        </w:rPr>
        <w:t xml:space="preserve"> </w:t>
      </w:r>
      <w:r>
        <w:rPr>
          <w:sz w:val="20"/>
        </w:rPr>
        <w:t>Department</w:t>
      </w:r>
      <w:r>
        <w:rPr>
          <w:spacing w:val="-6"/>
          <w:sz w:val="20"/>
        </w:rPr>
        <w:t xml:space="preserve"> </w:t>
      </w:r>
      <w:r>
        <w:rPr>
          <w:sz w:val="20"/>
        </w:rPr>
        <w:t>of</w:t>
      </w:r>
      <w:r>
        <w:rPr>
          <w:spacing w:val="-5"/>
          <w:sz w:val="20"/>
        </w:rPr>
        <w:t xml:space="preserve"> </w:t>
      </w:r>
      <w:r>
        <w:rPr>
          <w:sz w:val="20"/>
        </w:rPr>
        <w:t>Elementary</w:t>
      </w:r>
      <w:r>
        <w:rPr>
          <w:spacing w:val="-6"/>
          <w:sz w:val="20"/>
        </w:rPr>
        <w:t xml:space="preserve"> </w:t>
      </w:r>
      <w:r>
        <w:rPr>
          <w:sz w:val="20"/>
        </w:rPr>
        <w:t>and</w:t>
      </w:r>
      <w:r>
        <w:rPr>
          <w:spacing w:val="-6"/>
          <w:sz w:val="20"/>
        </w:rPr>
        <w:t xml:space="preserve"> </w:t>
      </w:r>
      <w:r>
        <w:rPr>
          <w:sz w:val="20"/>
        </w:rPr>
        <w:t>Secondary</w:t>
      </w:r>
      <w:r>
        <w:rPr>
          <w:spacing w:val="-6"/>
          <w:sz w:val="20"/>
        </w:rPr>
        <w:t xml:space="preserve"> </w:t>
      </w:r>
      <w:r>
        <w:rPr>
          <w:sz w:val="20"/>
        </w:rPr>
        <w:t>Education.</w:t>
      </w:r>
      <w:r>
        <w:rPr>
          <w:spacing w:val="-9"/>
          <w:sz w:val="20"/>
        </w:rPr>
        <w:t xml:space="preserve"> </w:t>
      </w:r>
      <w:r>
        <w:rPr>
          <w:sz w:val="20"/>
        </w:rPr>
        <w:t>(n.d.).</w:t>
      </w:r>
      <w:r>
        <w:rPr>
          <w:spacing w:val="-8"/>
          <w:sz w:val="20"/>
        </w:rPr>
        <w:t xml:space="preserve"> </w:t>
      </w:r>
      <w:r>
        <w:rPr>
          <w:sz w:val="20"/>
        </w:rPr>
        <w:t>Moving</w:t>
      </w:r>
      <w:r>
        <w:rPr>
          <w:spacing w:val="-7"/>
          <w:sz w:val="20"/>
        </w:rPr>
        <w:t xml:space="preserve"> </w:t>
      </w:r>
      <w:r>
        <w:rPr>
          <w:sz w:val="20"/>
        </w:rPr>
        <w:t>to</w:t>
      </w:r>
      <w:r>
        <w:rPr>
          <w:spacing w:val="-7"/>
          <w:sz w:val="20"/>
        </w:rPr>
        <w:t xml:space="preserve"> </w:t>
      </w:r>
      <w:r>
        <w:rPr>
          <w:sz w:val="20"/>
        </w:rPr>
        <w:t>College.</w:t>
      </w:r>
      <w:r>
        <w:rPr>
          <w:spacing w:val="-5"/>
          <w:sz w:val="20"/>
        </w:rPr>
        <w:t xml:space="preserve"> </w:t>
      </w:r>
      <w:r>
        <w:rPr>
          <w:sz w:val="20"/>
        </w:rPr>
        <w:t>Retrieved</w:t>
      </w:r>
      <w:r>
        <w:rPr>
          <w:spacing w:val="-5"/>
          <w:sz w:val="20"/>
        </w:rPr>
        <w:t xml:space="preserve"> </w:t>
      </w:r>
      <w:r>
        <w:rPr>
          <w:sz w:val="20"/>
        </w:rPr>
        <w:t xml:space="preserve">from </w:t>
      </w:r>
      <w:r>
        <w:rPr>
          <w:spacing w:val="-2"/>
          <w:sz w:val="20"/>
        </w:rPr>
        <w:t>https://</w:t>
      </w:r>
      <w:hyperlink r:id="rId256">
        <w:r>
          <w:rPr>
            <w:spacing w:val="-2"/>
            <w:sz w:val="20"/>
          </w:rPr>
          <w:t>www.doe.mass.edu/sfs/edstability/mtc.html</w:t>
        </w:r>
      </w:hyperlink>
    </w:p>
    <w:p w:rsidR="00C76E6D" w:rsidRDefault="00913831">
      <w:pPr>
        <w:ind w:left="481" w:right="530" w:hanging="2"/>
        <w:rPr>
          <w:sz w:val="20"/>
        </w:rPr>
      </w:pPr>
      <w:bookmarkStart w:id="440" w:name="_bookmark325"/>
      <w:bookmarkEnd w:id="440"/>
      <w:r>
        <w:rPr>
          <w:sz w:val="20"/>
          <w:vertAlign w:val="superscript"/>
        </w:rPr>
        <w:t>163</w:t>
      </w:r>
      <w:r>
        <w:rPr>
          <w:spacing w:val="-5"/>
          <w:sz w:val="20"/>
        </w:rPr>
        <w:t xml:space="preserve"> </w:t>
      </w:r>
      <w:r>
        <w:rPr>
          <w:sz w:val="20"/>
        </w:rPr>
        <w:t>Neighborhood</w:t>
      </w:r>
      <w:r>
        <w:rPr>
          <w:spacing w:val="-6"/>
          <w:sz w:val="20"/>
        </w:rPr>
        <w:t xml:space="preserve"> </w:t>
      </w:r>
      <w:r>
        <w:rPr>
          <w:sz w:val="20"/>
        </w:rPr>
        <w:t>Development</w:t>
      </w:r>
      <w:r>
        <w:rPr>
          <w:spacing w:val="-6"/>
          <w:sz w:val="20"/>
        </w:rPr>
        <w:t xml:space="preserve"> </w:t>
      </w:r>
      <w:r>
        <w:rPr>
          <w:sz w:val="20"/>
        </w:rPr>
        <w:t>(2021).</w:t>
      </w:r>
      <w:r>
        <w:rPr>
          <w:spacing w:val="-8"/>
          <w:sz w:val="20"/>
        </w:rPr>
        <w:t xml:space="preserve"> </w:t>
      </w:r>
      <w:r>
        <w:rPr>
          <w:sz w:val="20"/>
        </w:rPr>
        <w:t>More</w:t>
      </w:r>
      <w:r>
        <w:rPr>
          <w:spacing w:val="-5"/>
          <w:sz w:val="20"/>
        </w:rPr>
        <w:t xml:space="preserve"> </w:t>
      </w:r>
      <w:r>
        <w:rPr>
          <w:sz w:val="20"/>
        </w:rPr>
        <w:t>Than</w:t>
      </w:r>
      <w:r>
        <w:rPr>
          <w:spacing w:val="-6"/>
          <w:sz w:val="20"/>
        </w:rPr>
        <w:t xml:space="preserve"> </w:t>
      </w:r>
      <w:r>
        <w:rPr>
          <w:sz w:val="20"/>
        </w:rPr>
        <w:t>100</w:t>
      </w:r>
      <w:r>
        <w:rPr>
          <w:spacing w:val="-5"/>
          <w:sz w:val="20"/>
        </w:rPr>
        <w:t xml:space="preserve"> </w:t>
      </w:r>
      <w:r>
        <w:rPr>
          <w:sz w:val="20"/>
        </w:rPr>
        <w:t>Homeless</w:t>
      </w:r>
      <w:r>
        <w:rPr>
          <w:spacing w:val="-6"/>
          <w:sz w:val="20"/>
        </w:rPr>
        <w:t xml:space="preserve"> </w:t>
      </w:r>
      <w:r>
        <w:rPr>
          <w:sz w:val="20"/>
        </w:rPr>
        <w:t>Youth</w:t>
      </w:r>
      <w:r>
        <w:rPr>
          <w:spacing w:val="-5"/>
          <w:sz w:val="20"/>
        </w:rPr>
        <w:t xml:space="preserve"> </w:t>
      </w:r>
      <w:r>
        <w:rPr>
          <w:sz w:val="20"/>
        </w:rPr>
        <w:t>and</w:t>
      </w:r>
      <w:r>
        <w:rPr>
          <w:spacing w:val="-6"/>
          <w:sz w:val="20"/>
        </w:rPr>
        <w:t xml:space="preserve"> </w:t>
      </w:r>
      <w:r>
        <w:rPr>
          <w:sz w:val="20"/>
        </w:rPr>
        <w:t>Young</w:t>
      </w:r>
      <w:r>
        <w:rPr>
          <w:spacing w:val="-6"/>
          <w:sz w:val="20"/>
        </w:rPr>
        <w:t xml:space="preserve"> </w:t>
      </w:r>
      <w:r>
        <w:rPr>
          <w:sz w:val="20"/>
        </w:rPr>
        <w:t>Adults</w:t>
      </w:r>
      <w:r>
        <w:rPr>
          <w:spacing w:val="-7"/>
          <w:sz w:val="20"/>
        </w:rPr>
        <w:t xml:space="preserve"> </w:t>
      </w:r>
      <w:r>
        <w:rPr>
          <w:sz w:val="20"/>
        </w:rPr>
        <w:t>Housed</w:t>
      </w:r>
      <w:r>
        <w:rPr>
          <w:spacing w:val="-6"/>
          <w:sz w:val="20"/>
        </w:rPr>
        <w:t xml:space="preserve"> </w:t>
      </w:r>
      <w:r>
        <w:rPr>
          <w:sz w:val="20"/>
        </w:rPr>
        <w:t>Since</w:t>
      </w:r>
      <w:r>
        <w:rPr>
          <w:spacing w:val="-7"/>
          <w:sz w:val="20"/>
        </w:rPr>
        <w:t xml:space="preserve"> </w:t>
      </w:r>
      <w:r>
        <w:rPr>
          <w:sz w:val="20"/>
        </w:rPr>
        <w:t>2019. Retrieved from https:/</w:t>
      </w:r>
      <w:hyperlink r:id="rId257">
        <w:r>
          <w:rPr>
            <w:sz w:val="20"/>
          </w:rPr>
          <w:t>/w</w:t>
        </w:r>
      </w:hyperlink>
      <w:r>
        <w:rPr>
          <w:sz w:val="20"/>
        </w:rPr>
        <w:t>w</w:t>
      </w:r>
      <w:hyperlink r:id="rId258">
        <w:r>
          <w:rPr>
            <w:sz w:val="20"/>
          </w:rPr>
          <w:t>w.boston.gov/news/more-100-homeless-youth-and-young-adults-housed-201</w:t>
        </w:r>
        <w:r>
          <w:rPr>
            <w:sz w:val="20"/>
          </w:rPr>
          <w:t>9.</w:t>
        </w:r>
      </w:hyperlink>
    </w:p>
    <w:p w:rsidR="00C76E6D" w:rsidRDefault="00913831">
      <w:pPr>
        <w:ind w:left="480"/>
        <w:rPr>
          <w:sz w:val="20"/>
        </w:rPr>
      </w:pPr>
      <w:bookmarkStart w:id="441" w:name="_bookmark326"/>
      <w:bookmarkEnd w:id="441"/>
      <w:r>
        <w:rPr>
          <w:spacing w:val="-2"/>
          <w:sz w:val="20"/>
          <w:vertAlign w:val="superscript"/>
        </w:rPr>
        <w:t>164</w:t>
      </w:r>
      <w:r>
        <w:rPr>
          <w:spacing w:val="5"/>
          <w:sz w:val="20"/>
        </w:rPr>
        <w:t xml:space="preserve"> </w:t>
      </w:r>
      <w:r>
        <w:rPr>
          <w:spacing w:val="-2"/>
          <w:sz w:val="20"/>
        </w:rPr>
        <w:t>Neighborhood</w:t>
      </w:r>
      <w:r>
        <w:rPr>
          <w:spacing w:val="3"/>
          <w:sz w:val="20"/>
        </w:rPr>
        <w:t xml:space="preserve"> </w:t>
      </w:r>
      <w:r>
        <w:rPr>
          <w:spacing w:val="-2"/>
          <w:sz w:val="20"/>
        </w:rPr>
        <w:t>Development</w:t>
      </w:r>
      <w:r>
        <w:rPr>
          <w:spacing w:val="6"/>
          <w:sz w:val="20"/>
        </w:rPr>
        <w:t xml:space="preserve"> </w:t>
      </w:r>
      <w:r>
        <w:rPr>
          <w:spacing w:val="-2"/>
          <w:sz w:val="20"/>
        </w:rPr>
        <w:t>(2021).</w:t>
      </w:r>
    </w:p>
    <w:p w:rsidR="00C76E6D" w:rsidRDefault="00913831">
      <w:pPr>
        <w:spacing w:before="3" w:line="244" w:lineRule="exact"/>
        <w:ind w:left="480"/>
        <w:rPr>
          <w:sz w:val="20"/>
        </w:rPr>
      </w:pPr>
      <w:bookmarkStart w:id="442" w:name="_bookmark327"/>
      <w:bookmarkEnd w:id="442"/>
      <w:r>
        <w:rPr>
          <w:sz w:val="20"/>
          <w:vertAlign w:val="superscript"/>
        </w:rPr>
        <w:t>165</w:t>
      </w:r>
      <w:r>
        <w:rPr>
          <w:spacing w:val="-12"/>
          <w:sz w:val="20"/>
        </w:rPr>
        <w:t xml:space="preserve"> </w:t>
      </w:r>
      <w:bookmarkStart w:id="443" w:name="_bookmark328"/>
      <w:bookmarkEnd w:id="443"/>
      <w:r>
        <w:rPr>
          <w:sz w:val="20"/>
        </w:rPr>
        <w:t>The</w:t>
      </w:r>
      <w:r>
        <w:rPr>
          <w:spacing w:val="-11"/>
          <w:sz w:val="20"/>
        </w:rPr>
        <w:t xml:space="preserve"> </w:t>
      </w:r>
      <w:r>
        <w:rPr>
          <w:sz w:val="20"/>
        </w:rPr>
        <w:t>Massachusetts</w:t>
      </w:r>
      <w:r>
        <w:rPr>
          <w:spacing w:val="-10"/>
          <w:sz w:val="20"/>
        </w:rPr>
        <w:t xml:space="preserve"> </w:t>
      </w:r>
      <w:r>
        <w:rPr>
          <w:sz w:val="20"/>
        </w:rPr>
        <w:t>Commission</w:t>
      </w:r>
      <w:r>
        <w:rPr>
          <w:spacing w:val="-9"/>
          <w:sz w:val="20"/>
        </w:rPr>
        <w:t xml:space="preserve"> </w:t>
      </w:r>
      <w:r>
        <w:rPr>
          <w:sz w:val="20"/>
        </w:rPr>
        <w:t>on</w:t>
      </w:r>
      <w:r>
        <w:rPr>
          <w:spacing w:val="-11"/>
          <w:sz w:val="20"/>
        </w:rPr>
        <w:t xml:space="preserve"> </w:t>
      </w:r>
      <w:r>
        <w:rPr>
          <w:sz w:val="20"/>
        </w:rPr>
        <w:t>Unaccompanied</w:t>
      </w:r>
      <w:r>
        <w:rPr>
          <w:spacing w:val="-11"/>
          <w:sz w:val="20"/>
        </w:rPr>
        <w:t xml:space="preserve"> </w:t>
      </w:r>
      <w:r>
        <w:rPr>
          <w:sz w:val="20"/>
        </w:rPr>
        <w:t>Homeless</w:t>
      </w:r>
      <w:r>
        <w:rPr>
          <w:spacing w:val="-10"/>
          <w:sz w:val="20"/>
        </w:rPr>
        <w:t xml:space="preserve"> </w:t>
      </w:r>
      <w:r>
        <w:rPr>
          <w:sz w:val="20"/>
        </w:rPr>
        <w:t>Youth.</w:t>
      </w:r>
      <w:r>
        <w:rPr>
          <w:spacing w:val="-11"/>
          <w:sz w:val="20"/>
        </w:rPr>
        <w:t xml:space="preserve"> </w:t>
      </w:r>
      <w:r>
        <w:rPr>
          <w:spacing w:val="-2"/>
          <w:sz w:val="20"/>
        </w:rPr>
        <w:t>(2020).</w:t>
      </w:r>
    </w:p>
    <w:p w:rsidR="00C76E6D" w:rsidRDefault="00913831">
      <w:pPr>
        <w:spacing w:line="244" w:lineRule="exact"/>
        <w:ind w:left="480"/>
        <w:rPr>
          <w:sz w:val="20"/>
        </w:rPr>
      </w:pPr>
      <w:r>
        <w:rPr>
          <w:sz w:val="20"/>
          <w:vertAlign w:val="superscript"/>
        </w:rPr>
        <w:t>166</w:t>
      </w:r>
      <w:r>
        <w:rPr>
          <w:spacing w:val="-4"/>
          <w:sz w:val="20"/>
        </w:rPr>
        <w:t xml:space="preserve"> </w:t>
      </w:r>
      <w:bookmarkStart w:id="444" w:name="_bookmark329"/>
      <w:bookmarkEnd w:id="444"/>
      <w:r>
        <w:rPr>
          <w:sz w:val="20"/>
        </w:rPr>
        <w:t>Choi,</w:t>
      </w:r>
      <w:r>
        <w:rPr>
          <w:spacing w:val="-5"/>
          <w:sz w:val="20"/>
        </w:rPr>
        <w:t xml:space="preserve"> </w:t>
      </w:r>
      <w:r>
        <w:rPr>
          <w:sz w:val="20"/>
        </w:rPr>
        <w:t>et</w:t>
      </w:r>
      <w:r>
        <w:rPr>
          <w:spacing w:val="-4"/>
          <w:sz w:val="20"/>
        </w:rPr>
        <w:t xml:space="preserve"> </w:t>
      </w:r>
      <w:r>
        <w:rPr>
          <w:sz w:val="20"/>
        </w:rPr>
        <w:t>al.</w:t>
      </w:r>
      <w:r>
        <w:rPr>
          <w:spacing w:val="-5"/>
          <w:sz w:val="20"/>
        </w:rPr>
        <w:t xml:space="preserve"> </w:t>
      </w:r>
      <w:r>
        <w:rPr>
          <w:spacing w:val="-2"/>
          <w:sz w:val="20"/>
        </w:rPr>
        <w:t>(2015).</w:t>
      </w:r>
    </w:p>
    <w:p w:rsidR="00C76E6D" w:rsidRDefault="00913831">
      <w:pPr>
        <w:spacing w:before="1" w:line="241" w:lineRule="exact"/>
        <w:ind w:left="480"/>
        <w:rPr>
          <w:sz w:val="20"/>
        </w:rPr>
      </w:pPr>
      <w:r>
        <w:rPr>
          <w:sz w:val="20"/>
          <w:vertAlign w:val="superscript"/>
        </w:rPr>
        <w:t>167</w:t>
      </w:r>
      <w:r>
        <w:rPr>
          <w:spacing w:val="-6"/>
          <w:sz w:val="20"/>
        </w:rPr>
        <w:t xml:space="preserve"> </w:t>
      </w:r>
      <w:bookmarkStart w:id="445" w:name="_bookmark330"/>
      <w:bookmarkEnd w:id="445"/>
      <w:r>
        <w:rPr>
          <w:sz w:val="20"/>
        </w:rPr>
        <w:t>Wilson,</w:t>
      </w:r>
      <w:r>
        <w:rPr>
          <w:spacing w:val="-5"/>
          <w:sz w:val="20"/>
        </w:rPr>
        <w:t xml:space="preserve"> </w:t>
      </w:r>
      <w:r>
        <w:rPr>
          <w:sz w:val="20"/>
        </w:rPr>
        <w:t>et</w:t>
      </w:r>
      <w:r>
        <w:rPr>
          <w:spacing w:val="-6"/>
          <w:sz w:val="20"/>
        </w:rPr>
        <w:t xml:space="preserve"> </w:t>
      </w:r>
      <w:r>
        <w:rPr>
          <w:sz w:val="20"/>
        </w:rPr>
        <w:t>al.</w:t>
      </w:r>
      <w:r>
        <w:rPr>
          <w:spacing w:val="-6"/>
          <w:sz w:val="20"/>
        </w:rPr>
        <w:t xml:space="preserve"> </w:t>
      </w:r>
      <w:r>
        <w:rPr>
          <w:spacing w:val="-2"/>
          <w:sz w:val="20"/>
        </w:rPr>
        <w:t>(2014).</w:t>
      </w:r>
    </w:p>
    <w:p w:rsidR="00C76E6D" w:rsidRDefault="00913831">
      <w:pPr>
        <w:ind w:left="480" w:right="583"/>
        <w:rPr>
          <w:sz w:val="20"/>
        </w:rPr>
      </w:pPr>
      <w:r>
        <w:rPr>
          <w:sz w:val="20"/>
          <w:vertAlign w:val="superscript"/>
        </w:rPr>
        <w:t>168</w:t>
      </w:r>
      <w:r>
        <w:rPr>
          <w:sz w:val="20"/>
        </w:rPr>
        <w:t xml:space="preserve"> Office of the Governor Commonwealth of Massachusetts. (2022). Governor’s Budget FY2023 Recommendations-Line</w:t>
      </w:r>
      <w:r>
        <w:rPr>
          <w:spacing w:val="-12"/>
          <w:sz w:val="20"/>
        </w:rPr>
        <w:t xml:space="preserve"> </w:t>
      </w:r>
      <w:r>
        <w:rPr>
          <w:sz w:val="20"/>
        </w:rPr>
        <w:t>Item</w:t>
      </w:r>
      <w:r>
        <w:rPr>
          <w:spacing w:val="-11"/>
          <w:sz w:val="20"/>
        </w:rPr>
        <w:t xml:space="preserve"> </w:t>
      </w:r>
      <w:r>
        <w:rPr>
          <w:sz w:val="20"/>
        </w:rPr>
        <w:t>Summary.</w:t>
      </w:r>
      <w:r>
        <w:rPr>
          <w:spacing w:val="-11"/>
          <w:sz w:val="20"/>
        </w:rPr>
        <w:t xml:space="preserve"> </w:t>
      </w:r>
      <w:r>
        <w:rPr>
          <w:sz w:val="20"/>
        </w:rPr>
        <w:t>Retrieved</w:t>
      </w:r>
      <w:r>
        <w:rPr>
          <w:spacing w:val="-12"/>
          <w:sz w:val="20"/>
        </w:rPr>
        <w:t xml:space="preserve"> </w:t>
      </w:r>
      <w:r>
        <w:rPr>
          <w:sz w:val="20"/>
        </w:rPr>
        <w:t>from:</w:t>
      </w:r>
      <w:r>
        <w:rPr>
          <w:spacing w:val="-11"/>
          <w:sz w:val="20"/>
        </w:rPr>
        <w:t xml:space="preserve"> </w:t>
      </w:r>
      <w:hyperlink r:id="rId259">
        <w:r>
          <w:rPr>
            <w:sz w:val="20"/>
          </w:rPr>
          <w:t>https://budget.digital.mass.gov/summary/fy</w:t>
        </w:r>
        <w:r>
          <w:rPr>
            <w:sz w:val="20"/>
          </w:rPr>
          <w:t>22/line-item/</w:t>
        </w:r>
      </w:hyperlink>
      <w:r>
        <w:rPr>
          <w:sz w:val="20"/>
        </w:rPr>
        <w:t xml:space="preserve"> </w:t>
      </w:r>
      <w:bookmarkStart w:id="446" w:name="_bookmark331"/>
      <w:bookmarkEnd w:id="446"/>
      <w:r>
        <w:rPr>
          <w:sz w:val="20"/>
          <w:vertAlign w:val="superscript"/>
        </w:rPr>
        <w:t>169</w:t>
      </w:r>
      <w:r>
        <w:rPr>
          <w:spacing w:val="-1"/>
          <w:sz w:val="20"/>
        </w:rPr>
        <w:t xml:space="preserve"> </w:t>
      </w:r>
      <w:r>
        <w:rPr>
          <w:sz w:val="20"/>
        </w:rPr>
        <w:t>City</w:t>
      </w:r>
      <w:r>
        <w:rPr>
          <w:spacing w:val="-2"/>
          <w:sz w:val="20"/>
        </w:rPr>
        <w:t xml:space="preserve"> </w:t>
      </w:r>
      <w:r>
        <w:rPr>
          <w:sz w:val="20"/>
        </w:rPr>
        <w:t>of</w:t>
      </w:r>
      <w:r>
        <w:rPr>
          <w:spacing w:val="-1"/>
          <w:sz w:val="20"/>
        </w:rPr>
        <w:t xml:space="preserve"> </w:t>
      </w:r>
      <w:r>
        <w:rPr>
          <w:sz w:val="20"/>
        </w:rPr>
        <w:t>Boston,</w:t>
      </w:r>
      <w:r>
        <w:rPr>
          <w:spacing w:val="-2"/>
          <w:sz w:val="20"/>
        </w:rPr>
        <w:t xml:space="preserve"> </w:t>
      </w:r>
      <w:r>
        <w:rPr>
          <w:i/>
          <w:sz w:val="20"/>
        </w:rPr>
        <w:t>Rising</w:t>
      </w:r>
      <w:r>
        <w:rPr>
          <w:i/>
          <w:spacing w:val="-2"/>
          <w:sz w:val="20"/>
        </w:rPr>
        <w:t xml:space="preserve"> </w:t>
      </w:r>
      <w:r>
        <w:rPr>
          <w:i/>
          <w:sz w:val="20"/>
        </w:rPr>
        <w:t>to</w:t>
      </w:r>
      <w:r>
        <w:rPr>
          <w:i/>
          <w:spacing w:val="-2"/>
          <w:sz w:val="20"/>
        </w:rPr>
        <w:t xml:space="preserve"> </w:t>
      </w:r>
      <w:r>
        <w:rPr>
          <w:i/>
          <w:sz w:val="20"/>
        </w:rPr>
        <w:t>the</w:t>
      </w:r>
      <w:r>
        <w:rPr>
          <w:i/>
          <w:spacing w:val="-1"/>
          <w:sz w:val="20"/>
        </w:rPr>
        <w:t xml:space="preserve"> </w:t>
      </w:r>
      <w:r>
        <w:rPr>
          <w:i/>
          <w:sz w:val="20"/>
        </w:rPr>
        <w:t>Challenge:</w:t>
      </w:r>
      <w:r>
        <w:rPr>
          <w:i/>
          <w:spacing w:val="-2"/>
          <w:sz w:val="20"/>
        </w:rPr>
        <w:t xml:space="preserve"> </w:t>
      </w:r>
      <w:r>
        <w:rPr>
          <w:i/>
          <w:sz w:val="20"/>
        </w:rPr>
        <w:t>A</w:t>
      </w:r>
      <w:r>
        <w:rPr>
          <w:i/>
          <w:spacing w:val="-2"/>
          <w:sz w:val="20"/>
        </w:rPr>
        <w:t xml:space="preserve"> </w:t>
      </w:r>
      <w:r>
        <w:rPr>
          <w:i/>
          <w:sz w:val="20"/>
        </w:rPr>
        <w:t>Plan</w:t>
      </w:r>
      <w:r>
        <w:rPr>
          <w:i/>
          <w:spacing w:val="-1"/>
          <w:sz w:val="20"/>
        </w:rPr>
        <w:t xml:space="preserve"> </w:t>
      </w:r>
      <w:r>
        <w:rPr>
          <w:i/>
          <w:sz w:val="20"/>
        </w:rPr>
        <w:t>to</w:t>
      </w:r>
      <w:r>
        <w:rPr>
          <w:i/>
          <w:spacing w:val="-2"/>
          <w:sz w:val="20"/>
        </w:rPr>
        <w:t xml:space="preserve"> </w:t>
      </w:r>
      <w:r>
        <w:rPr>
          <w:i/>
          <w:sz w:val="20"/>
        </w:rPr>
        <w:t>Prevent</w:t>
      </w:r>
      <w:r>
        <w:rPr>
          <w:i/>
          <w:spacing w:val="-1"/>
          <w:sz w:val="20"/>
        </w:rPr>
        <w:t xml:space="preserve"> </w:t>
      </w:r>
      <w:r>
        <w:rPr>
          <w:i/>
          <w:sz w:val="20"/>
        </w:rPr>
        <w:t>and</w:t>
      </w:r>
      <w:r>
        <w:rPr>
          <w:i/>
          <w:spacing w:val="-2"/>
          <w:sz w:val="20"/>
        </w:rPr>
        <w:t xml:space="preserve"> </w:t>
      </w:r>
      <w:r>
        <w:rPr>
          <w:i/>
          <w:sz w:val="20"/>
        </w:rPr>
        <w:t>End</w:t>
      </w:r>
      <w:r>
        <w:rPr>
          <w:i/>
          <w:spacing w:val="-1"/>
          <w:sz w:val="20"/>
        </w:rPr>
        <w:t xml:space="preserve"> </w:t>
      </w:r>
      <w:r>
        <w:rPr>
          <w:i/>
          <w:sz w:val="20"/>
        </w:rPr>
        <w:t>Youth</w:t>
      </w:r>
      <w:r>
        <w:rPr>
          <w:i/>
          <w:spacing w:val="-1"/>
          <w:sz w:val="20"/>
        </w:rPr>
        <w:t xml:space="preserve"> </w:t>
      </w:r>
      <w:r>
        <w:rPr>
          <w:i/>
          <w:sz w:val="20"/>
        </w:rPr>
        <w:t>&amp;</w:t>
      </w:r>
      <w:r>
        <w:rPr>
          <w:i/>
          <w:spacing w:val="-1"/>
          <w:sz w:val="20"/>
        </w:rPr>
        <w:t xml:space="preserve"> </w:t>
      </w:r>
      <w:r>
        <w:rPr>
          <w:i/>
          <w:sz w:val="20"/>
        </w:rPr>
        <w:t>Young</w:t>
      </w:r>
      <w:r>
        <w:rPr>
          <w:i/>
          <w:spacing w:val="-2"/>
          <w:sz w:val="20"/>
        </w:rPr>
        <w:t xml:space="preserve"> </w:t>
      </w:r>
      <w:r>
        <w:rPr>
          <w:i/>
          <w:sz w:val="20"/>
        </w:rPr>
        <w:t>Adult</w:t>
      </w:r>
      <w:r>
        <w:rPr>
          <w:i/>
          <w:spacing w:val="-3"/>
          <w:sz w:val="20"/>
        </w:rPr>
        <w:t xml:space="preserve"> </w:t>
      </w:r>
      <w:r>
        <w:rPr>
          <w:i/>
          <w:sz w:val="20"/>
        </w:rPr>
        <w:t>Homelessness</w:t>
      </w:r>
      <w:r>
        <w:rPr>
          <w:i/>
          <w:spacing w:val="-1"/>
          <w:sz w:val="20"/>
        </w:rPr>
        <w:t xml:space="preserve"> </w:t>
      </w:r>
      <w:r>
        <w:rPr>
          <w:i/>
          <w:sz w:val="20"/>
        </w:rPr>
        <w:t>in</w:t>
      </w:r>
      <w:r>
        <w:rPr>
          <w:i/>
          <w:spacing w:val="-1"/>
          <w:sz w:val="20"/>
        </w:rPr>
        <w:t xml:space="preserve"> </w:t>
      </w:r>
      <w:r>
        <w:rPr>
          <w:i/>
          <w:sz w:val="20"/>
        </w:rPr>
        <w:t xml:space="preserve">Boston </w:t>
      </w:r>
      <w:bookmarkStart w:id="447" w:name="_bookmark332"/>
      <w:bookmarkEnd w:id="447"/>
      <w:r>
        <w:rPr>
          <w:sz w:val="20"/>
        </w:rPr>
        <w:t xml:space="preserve">(2019). </w:t>
      </w:r>
      <w:hyperlink r:id="rId260">
        <w:r>
          <w:rPr>
            <w:sz w:val="20"/>
          </w:rPr>
          <w:t>https://docs.google.com/document/d/194B6nqBXjRlp5OqUDhUf_Mkul1QMA57aXx0xT1NWXGo/edit</w:t>
        </w:r>
      </w:hyperlink>
    </w:p>
    <w:p w:rsidR="00C76E6D" w:rsidRDefault="00913831">
      <w:pPr>
        <w:spacing w:before="3" w:line="241" w:lineRule="exact"/>
        <w:ind w:left="480"/>
        <w:rPr>
          <w:sz w:val="20"/>
        </w:rPr>
      </w:pPr>
      <w:r>
        <w:rPr>
          <w:sz w:val="20"/>
          <w:vertAlign w:val="superscript"/>
        </w:rPr>
        <w:t>170</w:t>
      </w:r>
      <w:r>
        <w:rPr>
          <w:spacing w:val="-6"/>
          <w:sz w:val="20"/>
        </w:rPr>
        <w:t xml:space="preserve"> </w:t>
      </w:r>
      <w:bookmarkStart w:id="448" w:name="_bookmark333"/>
      <w:bookmarkEnd w:id="448"/>
      <w:r>
        <w:rPr>
          <w:sz w:val="20"/>
        </w:rPr>
        <w:t>City</w:t>
      </w:r>
      <w:r>
        <w:rPr>
          <w:spacing w:val="-4"/>
          <w:sz w:val="20"/>
        </w:rPr>
        <w:t xml:space="preserve"> </w:t>
      </w:r>
      <w:r>
        <w:rPr>
          <w:sz w:val="20"/>
        </w:rPr>
        <w:t>of</w:t>
      </w:r>
      <w:r>
        <w:rPr>
          <w:spacing w:val="-5"/>
          <w:sz w:val="20"/>
        </w:rPr>
        <w:t xml:space="preserve"> </w:t>
      </w:r>
      <w:r>
        <w:rPr>
          <w:sz w:val="20"/>
        </w:rPr>
        <w:t>Boston</w:t>
      </w:r>
      <w:r>
        <w:rPr>
          <w:spacing w:val="-5"/>
          <w:sz w:val="20"/>
        </w:rPr>
        <w:t xml:space="preserve"> </w:t>
      </w:r>
      <w:r>
        <w:rPr>
          <w:spacing w:val="-2"/>
          <w:sz w:val="20"/>
        </w:rPr>
        <w:t>(2019).</w:t>
      </w:r>
    </w:p>
    <w:p w:rsidR="00C76E6D" w:rsidRDefault="00913831">
      <w:pPr>
        <w:ind w:left="477" w:right="546" w:firstLine="1"/>
        <w:rPr>
          <w:sz w:val="20"/>
        </w:rPr>
      </w:pPr>
      <w:r>
        <w:rPr>
          <w:sz w:val="20"/>
          <w:vertAlign w:val="superscript"/>
        </w:rPr>
        <w:t>171</w:t>
      </w:r>
      <w:r>
        <w:rPr>
          <w:sz w:val="20"/>
        </w:rPr>
        <w:t>Boston</w:t>
      </w:r>
      <w:r>
        <w:rPr>
          <w:spacing w:val="-12"/>
          <w:sz w:val="20"/>
        </w:rPr>
        <w:t xml:space="preserve"> </w:t>
      </w:r>
      <w:r>
        <w:rPr>
          <w:sz w:val="20"/>
        </w:rPr>
        <w:t>Real</w:t>
      </w:r>
      <w:r>
        <w:rPr>
          <w:spacing w:val="-11"/>
          <w:sz w:val="20"/>
        </w:rPr>
        <w:t xml:space="preserve"> </w:t>
      </w:r>
      <w:r>
        <w:rPr>
          <w:sz w:val="20"/>
        </w:rPr>
        <w:t>Estate</w:t>
      </w:r>
      <w:r>
        <w:rPr>
          <w:spacing w:val="-11"/>
          <w:sz w:val="20"/>
        </w:rPr>
        <w:t xml:space="preserve"> </w:t>
      </w:r>
      <w:r>
        <w:rPr>
          <w:sz w:val="20"/>
        </w:rPr>
        <w:t>Times,</w:t>
      </w:r>
      <w:r>
        <w:rPr>
          <w:spacing w:val="-12"/>
          <w:sz w:val="20"/>
        </w:rPr>
        <w:t xml:space="preserve"> </w:t>
      </w:r>
      <w:r>
        <w:rPr>
          <w:sz w:val="20"/>
        </w:rPr>
        <w:t>(2020)a.</w:t>
      </w:r>
      <w:r>
        <w:rPr>
          <w:spacing w:val="-11"/>
          <w:sz w:val="20"/>
        </w:rPr>
        <w:t xml:space="preserve"> </w:t>
      </w:r>
      <w:r>
        <w:rPr>
          <w:sz w:val="20"/>
        </w:rPr>
        <w:t>Retrieved</w:t>
      </w:r>
      <w:r>
        <w:rPr>
          <w:spacing w:val="-10"/>
          <w:sz w:val="20"/>
        </w:rPr>
        <w:t xml:space="preserve"> </w:t>
      </w:r>
      <w:r>
        <w:rPr>
          <w:sz w:val="20"/>
        </w:rPr>
        <w:t>from</w:t>
      </w:r>
      <w:r>
        <w:rPr>
          <w:spacing w:val="-11"/>
          <w:sz w:val="20"/>
        </w:rPr>
        <w:t xml:space="preserve"> </w:t>
      </w:r>
      <w:hyperlink r:id="rId261">
        <w:r>
          <w:rPr>
            <w:sz w:val="20"/>
          </w:rPr>
          <w:t>https://bostonrealestatetimes.com/hud-awards-25-8-million-</w:t>
        </w:r>
      </w:hyperlink>
      <w:r>
        <w:rPr>
          <w:sz w:val="20"/>
        </w:rPr>
        <w:t xml:space="preserve"> </w:t>
      </w:r>
      <w:hyperlink r:id="rId262">
        <w:r>
          <w:rPr>
            <w:sz w:val="20"/>
          </w:rPr>
          <w:t xml:space="preserve">to-massachusetts-public-housing-authorities-to-help-keep-residents-housed/; </w:t>
        </w:r>
      </w:hyperlink>
      <w:r>
        <w:rPr>
          <w:sz w:val="20"/>
        </w:rPr>
        <w:t>Boston Real Estate Times, (2020)b. Retrieved from</w:t>
      </w:r>
      <w:r>
        <w:rPr>
          <w:spacing w:val="40"/>
          <w:sz w:val="20"/>
        </w:rPr>
        <w:t xml:space="preserve"> </w:t>
      </w:r>
      <w:hyperlink r:id="rId263">
        <w:r>
          <w:rPr>
            <w:sz w:val="20"/>
          </w:rPr>
          <w:t>https://bostonrealestatetimes.com/hud-announces-over-5-million-in-targeted-funding-for-</w:t>
        </w:r>
      </w:hyperlink>
      <w:r>
        <w:rPr>
          <w:sz w:val="20"/>
        </w:rPr>
        <w:t xml:space="preserve"> </w:t>
      </w:r>
      <w:bookmarkStart w:id="449" w:name="_bookmark334"/>
      <w:bookmarkEnd w:id="449"/>
      <w:r>
        <w:fldChar w:fldCharType="begin"/>
      </w:r>
      <w:r>
        <w:instrText xml:space="preserve"> HYPERLINK "https://bostonre</w:instrText>
      </w:r>
      <w:r>
        <w:instrText xml:space="preserve">alestatetimes.com/hud-announces-over-5-million-in-targeted-funding-for-massachusetts-coronavirus-relief/" \h </w:instrText>
      </w:r>
      <w:r>
        <w:fldChar w:fldCharType="separate"/>
      </w:r>
      <w:r>
        <w:rPr>
          <w:spacing w:val="-2"/>
          <w:sz w:val="20"/>
        </w:rPr>
        <w:t>massachusetts-coronavirus-relief/</w:t>
      </w:r>
      <w:r>
        <w:rPr>
          <w:spacing w:val="-2"/>
          <w:sz w:val="20"/>
        </w:rPr>
        <w:fldChar w:fldCharType="end"/>
      </w:r>
    </w:p>
    <w:p w:rsidR="00C76E6D" w:rsidRDefault="00913831">
      <w:pPr>
        <w:ind w:left="480" w:right="530" w:hanging="1"/>
        <w:rPr>
          <w:sz w:val="20"/>
        </w:rPr>
      </w:pPr>
      <w:r>
        <w:rPr>
          <w:sz w:val="20"/>
          <w:vertAlign w:val="superscript"/>
        </w:rPr>
        <w:t>172</w:t>
      </w:r>
      <w:r>
        <w:rPr>
          <w:sz w:val="20"/>
        </w:rPr>
        <w:t xml:space="preserve"> City of Springfield, </w:t>
      </w:r>
      <w:r>
        <w:rPr>
          <w:i/>
          <w:sz w:val="20"/>
        </w:rPr>
        <w:t>HUD Awards More Than $4.3 Million to Help End Youth Homelessness in Western Massachuset</w:t>
      </w:r>
      <w:r>
        <w:rPr>
          <w:i/>
          <w:sz w:val="20"/>
        </w:rPr>
        <w:t xml:space="preserve">ts, </w:t>
      </w:r>
      <w:r>
        <w:rPr>
          <w:sz w:val="20"/>
        </w:rPr>
        <w:t>August 29, 2019, https:/</w:t>
      </w:r>
      <w:hyperlink r:id="rId264">
        <w:r>
          <w:rPr>
            <w:sz w:val="20"/>
          </w:rPr>
          <w:t>/w</w:t>
        </w:r>
      </w:hyperlink>
      <w:r>
        <w:rPr>
          <w:sz w:val="20"/>
        </w:rPr>
        <w:t>w</w:t>
      </w:r>
      <w:hyperlink r:id="rId265">
        <w:r>
          <w:rPr>
            <w:sz w:val="20"/>
          </w:rPr>
          <w:t>w.springfield-ma.gov/cos/index.php?id=news-</w:t>
        </w:r>
      </w:hyperlink>
      <w:r>
        <w:rPr>
          <w:sz w:val="20"/>
        </w:rPr>
        <w:t xml:space="preserve"> </w:t>
      </w:r>
      <w:r>
        <w:rPr>
          <w:spacing w:val="-4"/>
          <w:sz w:val="20"/>
        </w:rPr>
        <w:t>story&amp;tx_news_pi1%5Bnews%5D=14085&amp;tx_</w:t>
      </w:r>
      <w:r>
        <w:rPr>
          <w:spacing w:val="-4"/>
          <w:sz w:val="20"/>
        </w:rPr>
        <w:t xml:space="preserve">news_pi1%5Bcontroller%5D=News&amp;tx_news_pi1%5Baction%5D=det </w:t>
      </w:r>
      <w:r>
        <w:rPr>
          <w:spacing w:val="-2"/>
          <w:sz w:val="20"/>
        </w:rPr>
        <w:t>ail&amp;cHash=4516b38c73f21e01167bd56ad8ec899f</w:t>
      </w:r>
    </w:p>
    <w:p w:rsidR="00C76E6D" w:rsidRDefault="00913831">
      <w:pPr>
        <w:ind w:left="479" w:right="817" w:hanging="1"/>
        <w:rPr>
          <w:sz w:val="20"/>
        </w:rPr>
      </w:pPr>
      <w:bookmarkStart w:id="450" w:name="_bookmark335"/>
      <w:bookmarkEnd w:id="450"/>
      <w:r>
        <w:rPr>
          <w:sz w:val="20"/>
          <w:vertAlign w:val="superscript"/>
        </w:rPr>
        <w:t>173</w:t>
      </w:r>
      <w:r>
        <w:rPr>
          <w:spacing w:val="-5"/>
          <w:sz w:val="20"/>
        </w:rPr>
        <w:t xml:space="preserve"> </w:t>
      </w:r>
      <w:r>
        <w:rPr>
          <w:sz w:val="20"/>
        </w:rPr>
        <w:t>Community</w:t>
      </w:r>
      <w:r>
        <w:rPr>
          <w:spacing w:val="-7"/>
          <w:sz w:val="20"/>
        </w:rPr>
        <w:t xml:space="preserve"> </w:t>
      </w:r>
      <w:r>
        <w:rPr>
          <w:sz w:val="20"/>
        </w:rPr>
        <w:t>Action</w:t>
      </w:r>
      <w:r>
        <w:rPr>
          <w:spacing w:val="-6"/>
          <w:sz w:val="20"/>
        </w:rPr>
        <w:t xml:space="preserve"> </w:t>
      </w:r>
      <w:r>
        <w:rPr>
          <w:sz w:val="20"/>
        </w:rPr>
        <w:t>Pioneer</w:t>
      </w:r>
      <w:r>
        <w:rPr>
          <w:spacing w:val="-8"/>
          <w:sz w:val="20"/>
        </w:rPr>
        <w:t xml:space="preserve"> </w:t>
      </w:r>
      <w:r>
        <w:rPr>
          <w:sz w:val="20"/>
        </w:rPr>
        <w:t>Valley.</w:t>
      </w:r>
      <w:r>
        <w:rPr>
          <w:spacing w:val="-5"/>
          <w:sz w:val="20"/>
        </w:rPr>
        <w:t xml:space="preserve"> </w:t>
      </w:r>
      <w:r>
        <w:rPr>
          <w:sz w:val="20"/>
        </w:rPr>
        <w:t>‘More</w:t>
      </w:r>
      <w:r>
        <w:rPr>
          <w:spacing w:val="-7"/>
          <w:sz w:val="20"/>
        </w:rPr>
        <w:t xml:space="preserve"> </w:t>
      </w:r>
      <w:r>
        <w:rPr>
          <w:sz w:val="20"/>
        </w:rPr>
        <w:t>Than</w:t>
      </w:r>
      <w:r>
        <w:rPr>
          <w:spacing w:val="-7"/>
          <w:sz w:val="20"/>
        </w:rPr>
        <w:t xml:space="preserve"> </w:t>
      </w:r>
      <w:r>
        <w:rPr>
          <w:sz w:val="20"/>
        </w:rPr>
        <w:t>Housing,</w:t>
      </w:r>
      <w:r>
        <w:rPr>
          <w:spacing w:val="-8"/>
          <w:sz w:val="20"/>
        </w:rPr>
        <w:t xml:space="preserve"> </w:t>
      </w:r>
      <w:r>
        <w:rPr>
          <w:sz w:val="20"/>
        </w:rPr>
        <w:t>Give</w:t>
      </w:r>
      <w:r>
        <w:rPr>
          <w:spacing w:val="-6"/>
          <w:sz w:val="20"/>
        </w:rPr>
        <w:t xml:space="preserve"> </w:t>
      </w:r>
      <w:r>
        <w:rPr>
          <w:sz w:val="20"/>
        </w:rPr>
        <w:t>Us</w:t>
      </w:r>
      <w:r>
        <w:rPr>
          <w:spacing w:val="-6"/>
          <w:sz w:val="20"/>
        </w:rPr>
        <w:t xml:space="preserve"> </w:t>
      </w:r>
      <w:r>
        <w:rPr>
          <w:sz w:val="20"/>
        </w:rPr>
        <w:t>Homes.’</w:t>
      </w:r>
      <w:r>
        <w:rPr>
          <w:spacing w:val="-5"/>
          <w:sz w:val="20"/>
        </w:rPr>
        <w:t xml:space="preserve"> </w:t>
      </w:r>
      <w:r>
        <w:rPr>
          <w:sz w:val="20"/>
        </w:rPr>
        <w:t>2020,</w:t>
      </w:r>
      <w:r>
        <w:rPr>
          <w:spacing w:val="-7"/>
          <w:sz w:val="20"/>
        </w:rPr>
        <w:t xml:space="preserve"> </w:t>
      </w:r>
      <w:r>
        <w:rPr>
          <w:sz w:val="20"/>
        </w:rPr>
        <w:t xml:space="preserve">https://d607b65e-0cad-4f63- </w:t>
      </w:r>
      <w:bookmarkStart w:id="451" w:name="_bookmark336"/>
      <w:bookmarkEnd w:id="451"/>
      <w:r>
        <w:rPr>
          <w:spacing w:val="-2"/>
          <w:sz w:val="20"/>
        </w:rPr>
        <w:t>aa</w:t>
      </w:r>
      <w:r>
        <w:rPr>
          <w:spacing w:val="-2"/>
          <w:sz w:val="20"/>
        </w:rPr>
        <w:t>20-535a17827430.filesusr.com/ugd/67ac38_a2055e6d668c4ed1bfaaebd78ab76420.pdf?index=true</w:t>
      </w:r>
    </w:p>
    <w:p w:rsidR="00C76E6D" w:rsidRDefault="00913831">
      <w:pPr>
        <w:spacing w:before="3" w:line="244" w:lineRule="exact"/>
        <w:ind w:left="480"/>
        <w:rPr>
          <w:sz w:val="20"/>
        </w:rPr>
      </w:pPr>
      <w:r>
        <w:rPr>
          <w:sz w:val="20"/>
          <w:vertAlign w:val="superscript"/>
        </w:rPr>
        <w:t>174</w:t>
      </w:r>
      <w:r>
        <w:rPr>
          <w:spacing w:val="-9"/>
          <w:sz w:val="20"/>
        </w:rPr>
        <w:t xml:space="preserve"> </w:t>
      </w:r>
      <w:r>
        <w:rPr>
          <w:sz w:val="20"/>
        </w:rPr>
        <w:t>Community</w:t>
      </w:r>
      <w:r>
        <w:rPr>
          <w:spacing w:val="-9"/>
          <w:sz w:val="20"/>
        </w:rPr>
        <w:t xml:space="preserve"> </w:t>
      </w:r>
      <w:r>
        <w:rPr>
          <w:sz w:val="20"/>
        </w:rPr>
        <w:t>Action</w:t>
      </w:r>
      <w:r>
        <w:rPr>
          <w:spacing w:val="-9"/>
          <w:sz w:val="20"/>
        </w:rPr>
        <w:t xml:space="preserve"> </w:t>
      </w:r>
      <w:r>
        <w:rPr>
          <w:sz w:val="20"/>
        </w:rPr>
        <w:t>Pioneer</w:t>
      </w:r>
      <w:r>
        <w:rPr>
          <w:spacing w:val="-12"/>
          <w:sz w:val="20"/>
        </w:rPr>
        <w:t xml:space="preserve"> </w:t>
      </w:r>
      <w:r>
        <w:rPr>
          <w:sz w:val="20"/>
        </w:rPr>
        <w:t>Valley,</w:t>
      </w:r>
      <w:r>
        <w:rPr>
          <w:spacing w:val="-8"/>
          <w:sz w:val="20"/>
        </w:rPr>
        <w:t xml:space="preserve"> </w:t>
      </w:r>
      <w:r>
        <w:rPr>
          <w:spacing w:val="-2"/>
          <w:sz w:val="20"/>
        </w:rPr>
        <w:t>(2020).</w:t>
      </w:r>
    </w:p>
    <w:p w:rsidR="00C76E6D" w:rsidRDefault="00913831">
      <w:pPr>
        <w:spacing w:line="242" w:lineRule="exact"/>
        <w:ind w:left="480"/>
        <w:rPr>
          <w:sz w:val="20"/>
        </w:rPr>
      </w:pPr>
      <w:bookmarkStart w:id="452" w:name="_bookmark337"/>
      <w:bookmarkEnd w:id="452"/>
      <w:r>
        <w:rPr>
          <w:sz w:val="20"/>
          <w:vertAlign w:val="superscript"/>
        </w:rPr>
        <w:t>175</w:t>
      </w:r>
      <w:r>
        <w:rPr>
          <w:spacing w:val="-9"/>
          <w:sz w:val="20"/>
        </w:rPr>
        <w:t xml:space="preserve"> </w:t>
      </w:r>
      <w:r>
        <w:rPr>
          <w:sz w:val="20"/>
        </w:rPr>
        <w:t>Community</w:t>
      </w:r>
      <w:r>
        <w:rPr>
          <w:spacing w:val="-10"/>
          <w:sz w:val="20"/>
        </w:rPr>
        <w:t xml:space="preserve"> </w:t>
      </w:r>
      <w:r>
        <w:rPr>
          <w:sz w:val="20"/>
        </w:rPr>
        <w:t>Action</w:t>
      </w:r>
      <w:r>
        <w:rPr>
          <w:spacing w:val="-9"/>
          <w:sz w:val="20"/>
        </w:rPr>
        <w:t xml:space="preserve"> </w:t>
      </w:r>
      <w:r>
        <w:rPr>
          <w:sz w:val="20"/>
        </w:rPr>
        <w:t>Pioneer</w:t>
      </w:r>
      <w:r>
        <w:rPr>
          <w:spacing w:val="-9"/>
          <w:sz w:val="20"/>
        </w:rPr>
        <w:t xml:space="preserve"> </w:t>
      </w:r>
      <w:r>
        <w:rPr>
          <w:spacing w:val="-2"/>
          <w:sz w:val="20"/>
        </w:rPr>
        <w:t>Valley.</w:t>
      </w:r>
    </w:p>
    <w:p w:rsidR="00C76E6D" w:rsidRDefault="00913831">
      <w:pPr>
        <w:ind w:left="481" w:right="530" w:hanging="2"/>
        <w:rPr>
          <w:sz w:val="20"/>
        </w:rPr>
      </w:pPr>
      <w:bookmarkStart w:id="453" w:name="_bookmark338"/>
      <w:bookmarkEnd w:id="453"/>
      <w:r>
        <w:rPr>
          <w:sz w:val="20"/>
          <w:vertAlign w:val="superscript"/>
        </w:rPr>
        <w:t>176</w:t>
      </w:r>
      <w:r>
        <w:rPr>
          <w:spacing w:val="-5"/>
          <w:sz w:val="20"/>
        </w:rPr>
        <w:t xml:space="preserve"> </w:t>
      </w:r>
      <w:r>
        <w:rPr>
          <w:sz w:val="20"/>
        </w:rPr>
        <w:t>Indian</w:t>
      </w:r>
      <w:r>
        <w:rPr>
          <w:spacing w:val="-5"/>
          <w:sz w:val="20"/>
        </w:rPr>
        <w:t xml:space="preserve"> </w:t>
      </w:r>
      <w:r>
        <w:rPr>
          <w:sz w:val="20"/>
        </w:rPr>
        <w:t>Health</w:t>
      </w:r>
      <w:r>
        <w:rPr>
          <w:spacing w:val="-5"/>
          <w:sz w:val="20"/>
        </w:rPr>
        <w:t xml:space="preserve"> </w:t>
      </w:r>
      <w:r>
        <w:rPr>
          <w:sz w:val="20"/>
        </w:rPr>
        <w:t>Service.</w:t>
      </w:r>
      <w:r>
        <w:rPr>
          <w:spacing w:val="-6"/>
          <w:sz w:val="20"/>
        </w:rPr>
        <w:t xml:space="preserve"> </w:t>
      </w:r>
      <w:r>
        <w:rPr>
          <w:sz w:val="20"/>
        </w:rPr>
        <w:t>(n.d.).</w:t>
      </w:r>
      <w:r>
        <w:rPr>
          <w:spacing w:val="-7"/>
          <w:sz w:val="20"/>
        </w:rPr>
        <w:t xml:space="preserve"> </w:t>
      </w:r>
      <w:r>
        <w:rPr>
          <w:sz w:val="20"/>
        </w:rPr>
        <w:t>Coronavirus.</w:t>
      </w:r>
      <w:r>
        <w:rPr>
          <w:spacing w:val="-6"/>
          <w:sz w:val="20"/>
        </w:rPr>
        <w:t xml:space="preserve"> </w:t>
      </w:r>
      <w:r>
        <w:rPr>
          <w:sz w:val="20"/>
        </w:rPr>
        <w:t>The</w:t>
      </w:r>
      <w:r>
        <w:rPr>
          <w:spacing w:val="-6"/>
          <w:sz w:val="20"/>
        </w:rPr>
        <w:t xml:space="preserve"> </w:t>
      </w:r>
      <w:r>
        <w:rPr>
          <w:sz w:val="20"/>
        </w:rPr>
        <w:t>Federal</w:t>
      </w:r>
      <w:r>
        <w:rPr>
          <w:spacing w:val="-6"/>
          <w:sz w:val="20"/>
        </w:rPr>
        <w:t xml:space="preserve"> </w:t>
      </w:r>
      <w:r>
        <w:rPr>
          <w:sz w:val="20"/>
        </w:rPr>
        <w:t>Health</w:t>
      </w:r>
      <w:r>
        <w:rPr>
          <w:spacing w:val="-5"/>
          <w:sz w:val="20"/>
        </w:rPr>
        <w:t xml:space="preserve"> </w:t>
      </w:r>
      <w:r>
        <w:rPr>
          <w:sz w:val="20"/>
        </w:rPr>
        <w:t>Program</w:t>
      </w:r>
      <w:r>
        <w:rPr>
          <w:spacing w:val="-7"/>
          <w:sz w:val="20"/>
        </w:rPr>
        <w:t xml:space="preserve"> </w:t>
      </w:r>
      <w:r>
        <w:rPr>
          <w:sz w:val="20"/>
        </w:rPr>
        <w:t>for</w:t>
      </w:r>
      <w:r>
        <w:rPr>
          <w:spacing w:val="-6"/>
          <w:sz w:val="20"/>
        </w:rPr>
        <w:t xml:space="preserve"> </w:t>
      </w:r>
      <w:r>
        <w:rPr>
          <w:sz w:val="20"/>
        </w:rPr>
        <w:t>American</w:t>
      </w:r>
      <w:r>
        <w:rPr>
          <w:spacing w:val="-5"/>
          <w:sz w:val="20"/>
        </w:rPr>
        <w:t xml:space="preserve"> </w:t>
      </w:r>
      <w:r>
        <w:rPr>
          <w:sz w:val="20"/>
        </w:rPr>
        <w:t>Indians</w:t>
      </w:r>
      <w:r>
        <w:rPr>
          <w:spacing w:val="-6"/>
          <w:sz w:val="20"/>
        </w:rPr>
        <w:t xml:space="preserve"> </w:t>
      </w:r>
      <w:r>
        <w:rPr>
          <w:sz w:val="20"/>
        </w:rPr>
        <w:t>and</w:t>
      </w:r>
      <w:r>
        <w:rPr>
          <w:spacing w:val="-7"/>
          <w:sz w:val="20"/>
        </w:rPr>
        <w:t xml:space="preserve"> </w:t>
      </w:r>
      <w:r>
        <w:rPr>
          <w:sz w:val="20"/>
        </w:rPr>
        <w:t>Alaska</w:t>
      </w:r>
      <w:r>
        <w:rPr>
          <w:spacing w:val="-5"/>
          <w:sz w:val="20"/>
        </w:rPr>
        <w:t xml:space="preserve"> </w:t>
      </w:r>
      <w:r>
        <w:rPr>
          <w:sz w:val="20"/>
        </w:rPr>
        <w:t xml:space="preserve">Natives </w:t>
      </w:r>
      <w:bookmarkStart w:id="454" w:name="_bookmark339"/>
      <w:bookmarkEnd w:id="454"/>
      <w:r>
        <w:rPr>
          <w:sz w:val="20"/>
        </w:rPr>
        <w:t>Retrieved from: ihs.gov/coronavirus/</w:t>
      </w:r>
    </w:p>
    <w:p w:rsidR="00C76E6D" w:rsidRDefault="00913831">
      <w:pPr>
        <w:ind w:left="478" w:right="763"/>
        <w:rPr>
          <w:sz w:val="20"/>
        </w:rPr>
      </w:pPr>
      <w:r>
        <w:rPr>
          <w:sz w:val="20"/>
          <w:vertAlign w:val="superscript"/>
        </w:rPr>
        <w:t>177</w:t>
      </w:r>
      <w:r>
        <w:rPr>
          <w:spacing w:val="-12"/>
          <w:sz w:val="20"/>
        </w:rPr>
        <w:t xml:space="preserve"> </w:t>
      </w:r>
      <w:r>
        <w:rPr>
          <w:sz w:val="20"/>
        </w:rPr>
        <w:t>Boston</w:t>
      </w:r>
      <w:r>
        <w:rPr>
          <w:spacing w:val="-11"/>
          <w:sz w:val="20"/>
        </w:rPr>
        <w:t xml:space="preserve"> </w:t>
      </w:r>
      <w:r>
        <w:rPr>
          <w:sz w:val="20"/>
        </w:rPr>
        <w:t>Real</w:t>
      </w:r>
      <w:r>
        <w:rPr>
          <w:spacing w:val="-11"/>
          <w:sz w:val="20"/>
        </w:rPr>
        <w:t xml:space="preserve"> </w:t>
      </w:r>
      <w:r>
        <w:rPr>
          <w:sz w:val="20"/>
        </w:rPr>
        <w:t>Estate</w:t>
      </w:r>
      <w:r>
        <w:rPr>
          <w:spacing w:val="-12"/>
          <w:sz w:val="20"/>
        </w:rPr>
        <w:t xml:space="preserve"> </w:t>
      </w:r>
      <w:r>
        <w:rPr>
          <w:sz w:val="20"/>
        </w:rPr>
        <w:t>Times.</w:t>
      </w:r>
      <w:r>
        <w:rPr>
          <w:spacing w:val="-11"/>
          <w:sz w:val="20"/>
        </w:rPr>
        <w:t xml:space="preserve"> </w:t>
      </w:r>
      <w:r>
        <w:rPr>
          <w:sz w:val="20"/>
        </w:rPr>
        <w:t>(2020)c.</w:t>
      </w:r>
      <w:r>
        <w:rPr>
          <w:spacing w:val="-11"/>
          <w:sz w:val="20"/>
        </w:rPr>
        <w:t xml:space="preserve"> </w:t>
      </w:r>
      <w:hyperlink r:id="rId266">
        <w:r>
          <w:rPr>
            <w:sz w:val="20"/>
          </w:rPr>
          <w:t>https://bostonrealestatetimes.com/hud-makes-393246-in-covid-19-relief-</w:t>
        </w:r>
      </w:hyperlink>
      <w:r>
        <w:rPr>
          <w:sz w:val="20"/>
        </w:rPr>
        <w:t xml:space="preserve"> </w:t>
      </w:r>
      <w:hyperlink r:id="rId267">
        <w:r>
          <w:rPr>
            <w:spacing w:val="-2"/>
            <w:sz w:val="20"/>
          </w:rPr>
          <w:t>funding-to-help-native-amer</w:t>
        </w:r>
        <w:r>
          <w:rPr>
            <w:spacing w:val="-2"/>
            <w:sz w:val="20"/>
          </w:rPr>
          <w:t>ican-communities-in-massachusetts/</w:t>
        </w:r>
      </w:hyperlink>
    </w:p>
    <w:p w:rsidR="00C76E6D" w:rsidRDefault="00913831">
      <w:pPr>
        <w:ind w:left="480" w:right="437" w:hanging="2"/>
        <w:rPr>
          <w:sz w:val="20"/>
        </w:rPr>
      </w:pPr>
      <w:bookmarkStart w:id="455" w:name="_bookmark340"/>
      <w:bookmarkEnd w:id="455"/>
      <w:r>
        <w:rPr>
          <w:sz w:val="20"/>
          <w:vertAlign w:val="superscript"/>
        </w:rPr>
        <w:t>178</w:t>
      </w:r>
      <w:r>
        <w:rPr>
          <w:spacing w:val="-6"/>
          <w:sz w:val="20"/>
        </w:rPr>
        <w:t xml:space="preserve"> </w:t>
      </w:r>
      <w:r>
        <w:rPr>
          <w:sz w:val="20"/>
        </w:rPr>
        <w:t>Commonwealth</w:t>
      </w:r>
      <w:r>
        <w:rPr>
          <w:spacing w:val="-6"/>
          <w:sz w:val="20"/>
        </w:rPr>
        <w:t xml:space="preserve"> </w:t>
      </w:r>
      <w:r>
        <w:rPr>
          <w:sz w:val="20"/>
        </w:rPr>
        <w:t>of</w:t>
      </w:r>
      <w:r>
        <w:rPr>
          <w:spacing w:val="-8"/>
          <w:sz w:val="20"/>
        </w:rPr>
        <w:t xml:space="preserve"> </w:t>
      </w:r>
      <w:r>
        <w:rPr>
          <w:sz w:val="20"/>
        </w:rPr>
        <w:t>Massachusetts.</w:t>
      </w:r>
      <w:r>
        <w:rPr>
          <w:spacing w:val="-7"/>
          <w:sz w:val="20"/>
        </w:rPr>
        <w:t xml:space="preserve"> </w:t>
      </w:r>
      <w:r>
        <w:rPr>
          <w:sz w:val="20"/>
        </w:rPr>
        <w:t>(2022).</w:t>
      </w:r>
      <w:r>
        <w:rPr>
          <w:spacing w:val="-7"/>
          <w:sz w:val="20"/>
        </w:rPr>
        <w:t xml:space="preserve"> </w:t>
      </w:r>
      <w:r>
        <w:rPr>
          <w:sz w:val="20"/>
        </w:rPr>
        <w:t>An</w:t>
      </w:r>
      <w:r>
        <w:rPr>
          <w:spacing w:val="-8"/>
          <w:sz w:val="20"/>
        </w:rPr>
        <w:t xml:space="preserve"> </w:t>
      </w:r>
      <w:r>
        <w:rPr>
          <w:sz w:val="20"/>
        </w:rPr>
        <w:t>Act</w:t>
      </w:r>
      <w:r>
        <w:rPr>
          <w:spacing w:val="-8"/>
          <w:sz w:val="20"/>
        </w:rPr>
        <w:t xml:space="preserve"> </w:t>
      </w:r>
      <w:r>
        <w:rPr>
          <w:sz w:val="20"/>
        </w:rPr>
        <w:t>Expanding</w:t>
      </w:r>
      <w:r>
        <w:rPr>
          <w:spacing w:val="-7"/>
          <w:sz w:val="20"/>
        </w:rPr>
        <w:t xml:space="preserve"> </w:t>
      </w:r>
      <w:r>
        <w:rPr>
          <w:sz w:val="20"/>
        </w:rPr>
        <w:t>Access</w:t>
      </w:r>
      <w:r>
        <w:rPr>
          <w:spacing w:val="-7"/>
          <w:sz w:val="20"/>
        </w:rPr>
        <w:t xml:space="preserve"> </w:t>
      </w:r>
      <w:r>
        <w:rPr>
          <w:sz w:val="20"/>
        </w:rPr>
        <w:t>to</w:t>
      </w:r>
      <w:r>
        <w:rPr>
          <w:spacing w:val="-8"/>
          <w:sz w:val="20"/>
        </w:rPr>
        <w:t xml:space="preserve"> </w:t>
      </w:r>
      <w:r>
        <w:rPr>
          <w:sz w:val="20"/>
        </w:rPr>
        <w:t>Adoption</w:t>
      </w:r>
      <w:r>
        <w:rPr>
          <w:spacing w:val="-8"/>
          <w:sz w:val="20"/>
        </w:rPr>
        <w:t xml:space="preserve"> </w:t>
      </w:r>
      <w:r>
        <w:rPr>
          <w:sz w:val="20"/>
        </w:rPr>
        <w:t>retrieved</w:t>
      </w:r>
      <w:r>
        <w:rPr>
          <w:spacing w:val="-6"/>
          <w:sz w:val="20"/>
        </w:rPr>
        <w:t xml:space="preserve"> </w:t>
      </w:r>
      <w:r>
        <w:rPr>
          <w:sz w:val="20"/>
        </w:rPr>
        <w:t xml:space="preserve">from </w:t>
      </w:r>
      <w:hyperlink r:id="rId268">
        <w:r>
          <w:rPr>
            <w:spacing w:val="-2"/>
            <w:sz w:val="20"/>
          </w:rPr>
          <w:t>https://malegislature.gov/Laws/SessionLaws/Acts/2022/Chapter44</w:t>
        </w:r>
      </w:hyperlink>
    </w:p>
    <w:p w:rsidR="00C76E6D" w:rsidRDefault="00913831">
      <w:pPr>
        <w:ind w:left="480" w:right="1452"/>
        <w:rPr>
          <w:sz w:val="20"/>
        </w:rPr>
      </w:pPr>
      <w:bookmarkStart w:id="456" w:name="_bookmark341"/>
      <w:bookmarkEnd w:id="456"/>
      <w:r>
        <w:rPr>
          <w:sz w:val="20"/>
          <w:vertAlign w:val="superscript"/>
        </w:rPr>
        <w:t>179</w:t>
      </w:r>
      <w:r>
        <w:rPr>
          <w:sz w:val="20"/>
        </w:rPr>
        <w:t xml:space="preserve"> Children’s League of Massachusetts. (2021). Adoption Access Written Testimony. Retrieved from </w:t>
      </w:r>
      <w:hyperlink r:id="rId269">
        <w:r>
          <w:rPr>
            <w:spacing w:val="-4"/>
            <w:sz w:val="20"/>
          </w:rPr>
          <w:t>http://www.childrensleague.org/wp-content/uploads/CLM-adoption-access-written-testimony-FINAL.pdf</w:t>
        </w:r>
      </w:hyperlink>
    </w:p>
    <w:p w:rsidR="00C76E6D" w:rsidRDefault="00913831">
      <w:pPr>
        <w:ind w:left="481" w:right="748" w:hanging="2"/>
        <w:jc w:val="both"/>
        <w:rPr>
          <w:sz w:val="20"/>
        </w:rPr>
      </w:pPr>
      <w:bookmarkStart w:id="457" w:name="_bookmark342"/>
      <w:bookmarkEnd w:id="457"/>
      <w:r>
        <w:rPr>
          <w:sz w:val="20"/>
          <w:vertAlign w:val="superscript"/>
        </w:rPr>
        <w:t>180</w:t>
      </w:r>
      <w:r>
        <w:rPr>
          <w:spacing w:val="-4"/>
          <w:sz w:val="20"/>
        </w:rPr>
        <w:t xml:space="preserve"> </w:t>
      </w:r>
      <w:r>
        <w:rPr>
          <w:sz w:val="20"/>
        </w:rPr>
        <w:t>Blinken,</w:t>
      </w:r>
      <w:r>
        <w:rPr>
          <w:spacing w:val="-5"/>
          <w:sz w:val="20"/>
        </w:rPr>
        <w:t xml:space="preserve"> </w:t>
      </w:r>
      <w:r>
        <w:rPr>
          <w:sz w:val="20"/>
        </w:rPr>
        <w:t>A.</w:t>
      </w:r>
      <w:r>
        <w:rPr>
          <w:spacing w:val="-6"/>
          <w:sz w:val="20"/>
        </w:rPr>
        <w:t xml:space="preserve"> </w:t>
      </w:r>
      <w:r>
        <w:rPr>
          <w:sz w:val="20"/>
        </w:rPr>
        <w:t>(2021).</w:t>
      </w:r>
      <w:r>
        <w:rPr>
          <w:spacing w:val="-5"/>
          <w:sz w:val="20"/>
        </w:rPr>
        <w:t xml:space="preserve"> </w:t>
      </w:r>
      <w:r>
        <w:rPr>
          <w:sz w:val="20"/>
        </w:rPr>
        <w:t>Proposing</w:t>
      </w:r>
      <w:r>
        <w:rPr>
          <w:spacing w:val="-5"/>
          <w:sz w:val="20"/>
        </w:rPr>
        <w:t xml:space="preserve"> </w:t>
      </w:r>
      <w:r>
        <w:rPr>
          <w:sz w:val="20"/>
        </w:rPr>
        <w:t>Changes</w:t>
      </w:r>
      <w:r>
        <w:rPr>
          <w:spacing w:val="-5"/>
          <w:sz w:val="20"/>
        </w:rPr>
        <w:t xml:space="preserve"> </w:t>
      </w:r>
      <w:r>
        <w:rPr>
          <w:sz w:val="20"/>
        </w:rPr>
        <w:t>to</w:t>
      </w:r>
      <w:r>
        <w:rPr>
          <w:spacing w:val="-7"/>
          <w:sz w:val="20"/>
        </w:rPr>
        <w:t xml:space="preserve"> </w:t>
      </w:r>
      <w:r>
        <w:rPr>
          <w:sz w:val="20"/>
        </w:rPr>
        <w:t>the</w:t>
      </w:r>
      <w:r>
        <w:rPr>
          <w:spacing w:val="-7"/>
          <w:sz w:val="20"/>
        </w:rPr>
        <w:t xml:space="preserve"> </w:t>
      </w:r>
      <w:r>
        <w:rPr>
          <w:sz w:val="20"/>
        </w:rPr>
        <w:t>Department’s</w:t>
      </w:r>
      <w:r>
        <w:rPr>
          <w:spacing w:val="-7"/>
          <w:sz w:val="20"/>
        </w:rPr>
        <w:t xml:space="preserve"> </w:t>
      </w:r>
      <w:r>
        <w:rPr>
          <w:sz w:val="20"/>
        </w:rPr>
        <w:t>Policies</w:t>
      </w:r>
      <w:r>
        <w:rPr>
          <w:spacing w:val="-5"/>
          <w:sz w:val="20"/>
        </w:rPr>
        <w:t xml:space="preserve"> </w:t>
      </w:r>
      <w:r>
        <w:rPr>
          <w:sz w:val="20"/>
        </w:rPr>
        <w:t>on</w:t>
      </w:r>
      <w:r>
        <w:rPr>
          <w:spacing w:val="-5"/>
          <w:sz w:val="20"/>
        </w:rPr>
        <w:t xml:space="preserve"> </w:t>
      </w:r>
      <w:r>
        <w:rPr>
          <w:sz w:val="20"/>
        </w:rPr>
        <w:t>Gender</w:t>
      </w:r>
      <w:r>
        <w:rPr>
          <w:spacing w:val="-5"/>
          <w:sz w:val="20"/>
        </w:rPr>
        <w:t xml:space="preserve"> </w:t>
      </w:r>
      <w:r>
        <w:rPr>
          <w:sz w:val="20"/>
        </w:rPr>
        <w:t>on</w:t>
      </w:r>
      <w:r>
        <w:rPr>
          <w:spacing w:val="-4"/>
          <w:sz w:val="20"/>
        </w:rPr>
        <w:t xml:space="preserve"> </w:t>
      </w:r>
      <w:r>
        <w:rPr>
          <w:sz w:val="20"/>
        </w:rPr>
        <w:t>U.S.</w:t>
      </w:r>
      <w:r>
        <w:rPr>
          <w:spacing w:val="-6"/>
          <w:sz w:val="20"/>
        </w:rPr>
        <w:t xml:space="preserve"> </w:t>
      </w:r>
      <w:r>
        <w:rPr>
          <w:sz w:val="20"/>
        </w:rPr>
        <w:t>Passports</w:t>
      </w:r>
      <w:r>
        <w:rPr>
          <w:spacing w:val="-5"/>
          <w:sz w:val="20"/>
        </w:rPr>
        <w:t xml:space="preserve"> </w:t>
      </w:r>
      <w:r>
        <w:rPr>
          <w:sz w:val="20"/>
        </w:rPr>
        <w:t>and</w:t>
      </w:r>
      <w:r>
        <w:rPr>
          <w:spacing w:val="-5"/>
          <w:sz w:val="20"/>
        </w:rPr>
        <w:t xml:space="preserve"> </w:t>
      </w:r>
      <w:r>
        <w:rPr>
          <w:sz w:val="20"/>
        </w:rPr>
        <w:t>Consular Reports of Birth Abroad.</w:t>
      </w:r>
      <w:r>
        <w:rPr>
          <w:sz w:val="20"/>
        </w:rPr>
        <w:t xml:space="preserve"> U.S. Department of State, Press Statement. Retrieved from </w:t>
      </w:r>
      <w:hyperlink r:id="rId270">
        <w:r>
          <w:rPr>
            <w:sz w:val="20"/>
          </w:rPr>
          <w:t>www.state.gov/proposing-</w:t>
        </w:r>
      </w:hyperlink>
      <w:r>
        <w:rPr>
          <w:sz w:val="20"/>
        </w:rPr>
        <w:t xml:space="preserve"> </w:t>
      </w:r>
      <w:hyperlink r:id="rId271">
        <w:r>
          <w:rPr>
            <w:spacing w:val="-2"/>
            <w:sz w:val="20"/>
          </w:rPr>
          <w:t>changes-to-the-departments-policies-on-gender-on-u-s-passports-and-consular-reports-of-birth-abroad/</w:t>
        </w:r>
      </w:hyperlink>
    </w:p>
    <w:p w:rsidR="00C76E6D" w:rsidRDefault="00913831">
      <w:pPr>
        <w:ind w:left="479" w:right="887" w:hanging="1"/>
        <w:jc w:val="both"/>
        <w:rPr>
          <w:sz w:val="20"/>
        </w:rPr>
      </w:pPr>
      <w:bookmarkStart w:id="458" w:name="_bookmark343"/>
      <w:bookmarkEnd w:id="458"/>
      <w:r>
        <w:rPr>
          <w:sz w:val="20"/>
          <w:vertAlign w:val="superscript"/>
        </w:rPr>
        <w:t>181</w:t>
      </w:r>
      <w:r>
        <w:rPr>
          <w:spacing w:val="-2"/>
          <w:sz w:val="20"/>
        </w:rPr>
        <w:t xml:space="preserve"> </w:t>
      </w:r>
      <w:r>
        <w:rPr>
          <w:sz w:val="20"/>
        </w:rPr>
        <w:t>Blinken,</w:t>
      </w:r>
      <w:r>
        <w:rPr>
          <w:spacing w:val="-3"/>
          <w:sz w:val="20"/>
        </w:rPr>
        <w:t xml:space="preserve"> </w:t>
      </w:r>
      <w:r>
        <w:rPr>
          <w:sz w:val="20"/>
        </w:rPr>
        <w:t>A.</w:t>
      </w:r>
      <w:r>
        <w:rPr>
          <w:spacing w:val="-2"/>
          <w:sz w:val="20"/>
        </w:rPr>
        <w:t xml:space="preserve"> </w:t>
      </w:r>
      <w:r>
        <w:rPr>
          <w:sz w:val="20"/>
        </w:rPr>
        <w:t>(2022).</w:t>
      </w:r>
      <w:r>
        <w:rPr>
          <w:spacing w:val="-2"/>
          <w:sz w:val="20"/>
        </w:rPr>
        <w:t xml:space="preserve"> </w:t>
      </w:r>
      <w:r>
        <w:rPr>
          <w:sz w:val="20"/>
        </w:rPr>
        <w:t>X</w:t>
      </w:r>
      <w:r>
        <w:rPr>
          <w:spacing w:val="-2"/>
          <w:sz w:val="20"/>
        </w:rPr>
        <w:t xml:space="preserve"> </w:t>
      </w:r>
      <w:r>
        <w:rPr>
          <w:sz w:val="20"/>
        </w:rPr>
        <w:t>Gender</w:t>
      </w:r>
      <w:r>
        <w:rPr>
          <w:spacing w:val="-2"/>
          <w:sz w:val="20"/>
        </w:rPr>
        <w:t xml:space="preserve"> </w:t>
      </w:r>
      <w:r>
        <w:rPr>
          <w:sz w:val="20"/>
        </w:rPr>
        <w:t>Marker</w:t>
      </w:r>
      <w:r>
        <w:rPr>
          <w:spacing w:val="-4"/>
          <w:sz w:val="20"/>
        </w:rPr>
        <w:t xml:space="preserve"> </w:t>
      </w:r>
      <w:r>
        <w:rPr>
          <w:sz w:val="20"/>
        </w:rPr>
        <w:t>Available</w:t>
      </w:r>
      <w:r>
        <w:rPr>
          <w:spacing w:val="-2"/>
          <w:sz w:val="20"/>
        </w:rPr>
        <w:t xml:space="preserve"> </w:t>
      </w:r>
      <w:r>
        <w:rPr>
          <w:sz w:val="20"/>
        </w:rPr>
        <w:t>on</w:t>
      </w:r>
      <w:r>
        <w:rPr>
          <w:spacing w:val="-2"/>
          <w:sz w:val="20"/>
        </w:rPr>
        <w:t xml:space="preserve"> </w:t>
      </w:r>
      <w:r>
        <w:rPr>
          <w:sz w:val="20"/>
        </w:rPr>
        <w:t>U.S.</w:t>
      </w:r>
      <w:r>
        <w:rPr>
          <w:spacing w:val="-3"/>
          <w:sz w:val="20"/>
        </w:rPr>
        <w:t xml:space="preserve"> </w:t>
      </w:r>
      <w:r>
        <w:rPr>
          <w:sz w:val="20"/>
        </w:rPr>
        <w:t>Passports</w:t>
      </w:r>
      <w:r>
        <w:rPr>
          <w:spacing w:val="-2"/>
          <w:sz w:val="20"/>
        </w:rPr>
        <w:t xml:space="preserve"> </w:t>
      </w:r>
      <w:r>
        <w:rPr>
          <w:sz w:val="20"/>
        </w:rPr>
        <w:t>Starting</w:t>
      </w:r>
      <w:r>
        <w:rPr>
          <w:spacing w:val="-3"/>
          <w:sz w:val="20"/>
        </w:rPr>
        <w:t xml:space="preserve"> </w:t>
      </w:r>
      <w:r>
        <w:rPr>
          <w:sz w:val="20"/>
        </w:rPr>
        <w:t>April</w:t>
      </w:r>
      <w:r>
        <w:rPr>
          <w:spacing w:val="-3"/>
          <w:sz w:val="20"/>
        </w:rPr>
        <w:t xml:space="preserve"> </w:t>
      </w:r>
      <w:r>
        <w:rPr>
          <w:sz w:val="20"/>
        </w:rPr>
        <w:t>11.</w:t>
      </w:r>
      <w:r>
        <w:rPr>
          <w:spacing w:val="-2"/>
          <w:sz w:val="20"/>
        </w:rPr>
        <w:t xml:space="preserve"> </w:t>
      </w:r>
      <w:r>
        <w:rPr>
          <w:sz w:val="20"/>
        </w:rPr>
        <w:t>U.S.</w:t>
      </w:r>
      <w:r>
        <w:rPr>
          <w:spacing w:val="-3"/>
          <w:sz w:val="20"/>
        </w:rPr>
        <w:t xml:space="preserve"> </w:t>
      </w:r>
      <w:r>
        <w:rPr>
          <w:sz w:val="20"/>
        </w:rPr>
        <w:t>Department</w:t>
      </w:r>
      <w:r>
        <w:rPr>
          <w:spacing w:val="-2"/>
          <w:sz w:val="20"/>
        </w:rPr>
        <w:t xml:space="preserve"> </w:t>
      </w:r>
      <w:r>
        <w:rPr>
          <w:sz w:val="20"/>
        </w:rPr>
        <w:t>of</w:t>
      </w:r>
      <w:r>
        <w:rPr>
          <w:spacing w:val="-2"/>
          <w:sz w:val="20"/>
        </w:rPr>
        <w:t xml:space="preserve"> </w:t>
      </w:r>
      <w:r>
        <w:rPr>
          <w:sz w:val="20"/>
        </w:rPr>
        <w:t>State, Press</w:t>
      </w:r>
      <w:r>
        <w:rPr>
          <w:spacing w:val="-8"/>
          <w:sz w:val="20"/>
        </w:rPr>
        <w:t xml:space="preserve"> </w:t>
      </w:r>
      <w:r>
        <w:rPr>
          <w:sz w:val="20"/>
        </w:rPr>
        <w:t>Statement.</w:t>
      </w:r>
      <w:r>
        <w:rPr>
          <w:spacing w:val="-8"/>
          <w:sz w:val="20"/>
        </w:rPr>
        <w:t xml:space="preserve"> </w:t>
      </w:r>
      <w:r>
        <w:rPr>
          <w:sz w:val="20"/>
        </w:rPr>
        <w:t>Retrieved</w:t>
      </w:r>
      <w:r>
        <w:rPr>
          <w:spacing w:val="-8"/>
          <w:sz w:val="20"/>
        </w:rPr>
        <w:t xml:space="preserve"> </w:t>
      </w:r>
      <w:r>
        <w:rPr>
          <w:sz w:val="20"/>
        </w:rPr>
        <w:t>from</w:t>
      </w:r>
      <w:r>
        <w:rPr>
          <w:spacing w:val="-8"/>
          <w:sz w:val="20"/>
        </w:rPr>
        <w:t xml:space="preserve"> </w:t>
      </w:r>
      <w:hyperlink r:id="rId272">
        <w:r>
          <w:rPr>
            <w:sz w:val="20"/>
          </w:rPr>
          <w:t>https://www.state.gov/x-gender-marker-available-on-u-s-passports-starting-</w:t>
        </w:r>
      </w:hyperlink>
      <w:r>
        <w:rPr>
          <w:sz w:val="20"/>
        </w:rPr>
        <w:t xml:space="preserve"> </w:t>
      </w:r>
      <w:hyperlink r:id="rId273">
        <w:r>
          <w:rPr>
            <w:spacing w:val="-2"/>
            <w:sz w:val="20"/>
          </w:rPr>
          <w:t>april-11/</w:t>
        </w:r>
      </w:hyperlink>
    </w:p>
    <w:p w:rsidR="00C76E6D" w:rsidRDefault="00913831">
      <w:pPr>
        <w:ind w:left="480" w:right="530"/>
        <w:rPr>
          <w:sz w:val="20"/>
        </w:rPr>
      </w:pPr>
      <w:bookmarkStart w:id="459" w:name="_bookmark344"/>
      <w:bookmarkEnd w:id="459"/>
      <w:r>
        <w:rPr>
          <w:sz w:val="20"/>
          <w:vertAlign w:val="superscript"/>
        </w:rPr>
        <w:t>182</w:t>
      </w:r>
      <w:r>
        <w:rPr>
          <w:sz w:val="20"/>
        </w:rPr>
        <w:t xml:space="preserve"> National Center for Transgender Equality. (2021). ID Documents C</w:t>
      </w:r>
      <w:r>
        <w:rPr>
          <w:sz w:val="20"/>
        </w:rPr>
        <w:t xml:space="preserve">enter, Massachusetts. Retrieved from </w:t>
      </w:r>
      <w:hyperlink r:id="rId274" w:anchor="%3A%7E%3Atext%3DMassachusetts%20will%20issue%20an%20amended%2Cof%20the%20sex%20recorded%20on">
        <w:r>
          <w:rPr>
            <w:spacing w:val="-4"/>
            <w:sz w:val="20"/>
          </w:rPr>
          <w:t>https://transequality.org/documents/state/mass</w:t>
        </w:r>
        <w:r>
          <w:rPr>
            <w:spacing w:val="-4"/>
            <w:sz w:val="20"/>
          </w:rPr>
          <w:t>achusetts#:~:text=Massachusetts%20will%20issue%20an%20ame</w:t>
        </w:r>
      </w:hyperlink>
      <w:r>
        <w:rPr>
          <w:spacing w:val="-4"/>
          <w:sz w:val="20"/>
        </w:rPr>
        <w:t xml:space="preserve"> </w:t>
      </w:r>
      <w:bookmarkStart w:id="460" w:name="_bookmark345"/>
      <w:bookmarkEnd w:id="460"/>
      <w:r>
        <w:fldChar w:fldCharType="begin"/>
      </w:r>
      <w:r>
        <w:instrText xml:space="preserve"> HYPERLINK "https://transequality.org/documents/state/massachusetts" \l "%3A%7E%3Atext%3DMassachusetts%20will%20issue%20an%20amended%2Cof%20the%20sex%20recorded%20on" \h </w:instrText>
      </w:r>
      <w:r>
        <w:fldChar w:fldCharType="separate"/>
      </w:r>
      <w:r>
        <w:rPr>
          <w:spacing w:val="-2"/>
          <w:sz w:val="20"/>
        </w:rPr>
        <w:t>nded,of%20the%20sex%20rec</w:t>
      </w:r>
      <w:r>
        <w:rPr>
          <w:spacing w:val="-2"/>
          <w:sz w:val="20"/>
        </w:rPr>
        <w:t>orded%20on</w:t>
      </w:r>
      <w:r>
        <w:rPr>
          <w:spacing w:val="-2"/>
          <w:sz w:val="20"/>
        </w:rPr>
        <w:fldChar w:fldCharType="end"/>
      </w:r>
    </w:p>
    <w:p w:rsidR="00C76E6D" w:rsidRDefault="00913831">
      <w:pPr>
        <w:ind w:left="479" w:right="588" w:hanging="1"/>
        <w:jc w:val="both"/>
        <w:rPr>
          <w:sz w:val="20"/>
        </w:rPr>
      </w:pPr>
      <w:r>
        <w:rPr>
          <w:sz w:val="20"/>
          <w:vertAlign w:val="superscript"/>
        </w:rPr>
        <w:t>183</w:t>
      </w:r>
      <w:r>
        <w:rPr>
          <w:sz w:val="20"/>
        </w:rPr>
        <w:t xml:space="preserve"> Massachusetts</w:t>
      </w:r>
      <w:r>
        <w:rPr>
          <w:spacing w:val="-2"/>
          <w:sz w:val="20"/>
        </w:rPr>
        <w:t xml:space="preserve"> </w:t>
      </w:r>
      <w:r>
        <w:rPr>
          <w:sz w:val="20"/>
        </w:rPr>
        <w:t>Commission on LGBTQ</w:t>
      </w:r>
      <w:r>
        <w:rPr>
          <w:spacing w:val="-2"/>
          <w:sz w:val="20"/>
        </w:rPr>
        <w:t xml:space="preserve"> </w:t>
      </w:r>
      <w:r>
        <w:rPr>
          <w:sz w:val="20"/>
        </w:rPr>
        <w:t>Youth</w:t>
      </w:r>
      <w:r>
        <w:rPr>
          <w:spacing w:val="-1"/>
          <w:sz w:val="20"/>
        </w:rPr>
        <w:t xml:space="preserve"> </w:t>
      </w:r>
      <w:r>
        <w:rPr>
          <w:sz w:val="20"/>
        </w:rPr>
        <w:t>(2019).</w:t>
      </w:r>
      <w:r>
        <w:rPr>
          <w:spacing w:val="-2"/>
          <w:sz w:val="20"/>
        </w:rPr>
        <w:t xml:space="preserve"> </w:t>
      </w:r>
      <w:r>
        <w:rPr>
          <w:sz w:val="20"/>
        </w:rPr>
        <w:t>Massachusetts</w:t>
      </w:r>
      <w:r>
        <w:rPr>
          <w:spacing w:val="-2"/>
          <w:sz w:val="20"/>
        </w:rPr>
        <w:t xml:space="preserve"> </w:t>
      </w:r>
      <w:r>
        <w:rPr>
          <w:sz w:val="20"/>
        </w:rPr>
        <w:t>Allows</w:t>
      </w:r>
      <w:r>
        <w:rPr>
          <w:spacing w:val="-1"/>
          <w:sz w:val="20"/>
        </w:rPr>
        <w:t xml:space="preserve"> </w:t>
      </w:r>
      <w:r>
        <w:rPr>
          <w:sz w:val="20"/>
        </w:rPr>
        <w:t>Nonbinary</w:t>
      </w:r>
      <w:r>
        <w:rPr>
          <w:spacing w:val="-1"/>
          <w:sz w:val="20"/>
        </w:rPr>
        <w:t xml:space="preserve"> </w:t>
      </w:r>
      <w:r>
        <w:rPr>
          <w:sz w:val="20"/>
        </w:rPr>
        <w:t>Marker</w:t>
      </w:r>
      <w:r>
        <w:rPr>
          <w:spacing w:val="-1"/>
          <w:sz w:val="20"/>
        </w:rPr>
        <w:t xml:space="preserve"> </w:t>
      </w:r>
      <w:r>
        <w:rPr>
          <w:sz w:val="20"/>
        </w:rPr>
        <w:t>on Licenses,</w:t>
      </w:r>
      <w:r>
        <w:rPr>
          <w:spacing w:val="-2"/>
          <w:sz w:val="20"/>
        </w:rPr>
        <w:t xml:space="preserve"> </w:t>
      </w:r>
      <w:r>
        <w:rPr>
          <w:sz w:val="20"/>
        </w:rPr>
        <w:t>IDs. Press</w:t>
      </w:r>
      <w:r>
        <w:rPr>
          <w:spacing w:val="-9"/>
          <w:sz w:val="20"/>
        </w:rPr>
        <w:t xml:space="preserve"> </w:t>
      </w:r>
      <w:r>
        <w:rPr>
          <w:sz w:val="20"/>
        </w:rPr>
        <w:t>Release.</w:t>
      </w:r>
      <w:r>
        <w:rPr>
          <w:spacing w:val="-8"/>
          <w:sz w:val="20"/>
        </w:rPr>
        <w:t xml:space="preserve"> </w:t>
      </w:r>
      <w:r>
        <w:rPr>
          <w:sz w:val="20"/>
        </w:rPr>
        <w:t>Retrieved</w:t>
      </w:r>
      <w:r>
        <w:rPr>
          <w:spacing w:val="-9"/>
          <w:sz w:val="20"/>
        </w:rPr>
        <w:t xml:space="preserve"> </w:t>
      </w:r>
      <w:r>
        <w:rPr>
          <w:sz w:val="20"/>
        </w:rPr>
        <w:t>from</w:t>
      </w:r>
      <w:r>
        <w:rPr>
          <w:spacing w:val="-9"/>
          <w:sz w:val="20"/>
        </w:rPr>
        <w:t xml:space="preserve"> </w:t>
      </w:r>
      <w:hyperlink r:id="rId275">
        <w:r>
          <w:rPr>
            <w:sz w:val="20"/>
          </w:rPr>
          <w:t>https://www.mass.gov/news/massachusetts-allows-nonbinary-marker-on-licenses-</w:t>
        </w:r>
      </w:hyperlink>
      <w:r>
        <w:rPr>
          <w:sz w:val="20"/>
        </w:rPr>
        <w:t xml:space="preserve"> </w:t>
      </w:r>
      <w:hyperlink r:id="rId276">
        <w:r>
          <w:rPr>
            <w:spacing w:val="-4"/>
            <w:sz w:val="20"/>
          </w:rPr>
          <w:t>ids</w:t>
        </w:r>
      </w:hyperlink>
    </w:p>
    <w:p w:rsidR="00C76E6D" w:rsidRDefault="00913831">
      <w:pPr>
        <w:ind w:left="480" w:right="697" w:hanging="1"/>
        <w:jc w:val="both"/>
        <w:rPr>
          <w:sz w:val="20"/>
        </w:rPr>
      </w:pPr>
      <w:bookmarkStart w:id="461" w:name="_bookmark346"/>
      <w:bookmarkEnd w:id="461"/>
      <w:r>
        <w:rPr>
          <w:sz w:val="20"/>
          <w:vertAlign w:val="superscript"/>
        </w:rPr>
        <w:t>184</w:t>
      </w:r>
      <w:r>
        <w:rPr>
          <w:spacing w:val="-3"/>
          <w:sz w:val="20"/>
        </w:rPr>
        <w:t xml:space="preserve"> </w:t>
      </w:r>
      <w:r>
        <w:rPr>
          <w:sz w:val="20"/>
        </w:rPr>
        <w:t>Massachusetts</w:t>
      </w:r>
      <w:r>
        <w:rPr>
          <w:spacing w:val="-3"/>
          <w:sz w:val="20"/>
        </w:rPr>
        <w:t xml:space="preserve"> </w:t>
      </w:r>
      <w:r>
        <w:rPr>
          <w:sz w:val="20"/>
        </w:rPr>
        <w:t>Transgender</w:t>
      </w:r>
      <w:r>
        <w:rPr>
          <w:spacing w:val="-3"/>
          <w:sz w:val="20"/>
        </w:rPr>
        <w:t xml:space="preserve"> </w:t>
      </w:r>
      <w:r>
        <w:rPr>
          <w:sz w:val="20"/>
        </w:rPr>
        <w:t>Political</w:t>
      </w:r>
      <w:r>
        <w:rPr>
          <w:spacing w:val="-3"/>
          <w:sz w:val="20"/>
        </w:rPr>
        <w:t xml:space="preserve"> </w:t>
      </w:r>
      <w:r>
        <w:rPr>
          <w:sz w:val="20"/>
        </w:rPr>
        <w:t>Coalition</w:t>
      </w:r>
      <w:r>
        <w:rPr>
          <w:spacing w:val="-3"/>
          <w:sz w:val="20"/>
        </w:rPr>
        <w:t xml:space="preserve"> </w:t>
      </w:r>
      <w:r>
        <w:rPr>
          <w:sz w:val="20"/>
        </w:rPr>
        <w:t>(2021).</w:t>
      </w:r>
      <w:r>
        <w:rPr>
          <w:spacing w:val="-3"/>
          <w:sz w:val="20"/>
        </w:rPr>
        <w:t xml:space="preserve"> </w:t>
      </w:r>
      <w:r>
        <w:rPr>
          <w:sz w:val="20"/>
        </w:rPr>
        <w:t>Identity</w:t>
      </w:r>
      <w:r>
        <w:rPr>
          <w:spacing w:val="-2"/>
          <w:sz w:val="20"/>
        </w:rPr>
        <w:t xml:space="preserve"> </w:t>
      </w:r>
      <w:r>
        <w:rPr>
          <w:sz w:val="20"/>
        </w:rPr>
        <w:t>Document</w:t>
      </w:r>
      <w:r>
        <w:rPr>
          <w:spacing w:val="-3"/>
          <w:sz w:val="20"/>
        </w:rPr>
        <w:t xml:space="preserve"> </w:t>
      </w:r>
      <w:r>
        <w:rPr>
          <w:sz w:val="20"/>
        </w:rPr>
        <w:t>Assistance</w:t>
      </w:r>
      <w:r>
        <w:rPr>
          <w:spacing w:val="-4"/>
          <w:sz w:val="20"/>
        </w:rPr>
        <w:t xml:space="preserve"> </w:t>
      </w:r>
      <w:r>
        <w:rPr>
          <w:sz w:val="20"/>
        </w:rPr>
        <w:t>(IDA)</w:t>
      </w:r>
      <w:r>
        <w:rPr>
          <w:spacing w:val="-4"/>
          <w:sz w:val="20"/>
        </w:rPr>
        <w:t xml:space="preserve"> </w:t>
      </w:r>
      <w:r>
        <w:rPr>
          <w:sz w:val="20"/>
        </w:rPr>
        <w:t>Network.</w:t>
      </w:r>
      <w:r>
        <w:rPr>
          <w:spacing w:val="-5"/>
          <w:sz w:val="20"/>
        </w:rPr>
        <w:t xml:space="preserve"> </w:t>
      </w:r>
      <w:r>
        <w:rPr>
          <w:sz w:val="20"/>
        </w:rPr>
        <w:t xml:space="preserve">Retrieved from </w:t>
      </w:r>
      <w:hyperlink r:id="rId277">
        <w:r>
          <w:rPr>
            <w:sz w:val="20"/>
          </w:rPr>
          <w:t>https://www.masstpc.org/ida-network/</w:t>
        </w:r>
      </w:hyperlink>
    </w:p>
    <w:p w:rsidR="00C76E6D" w:rsidRDefault="00C76E6D">
      <w:pPr>
        <w:jc w:val="both"/>
        <w:rPr>
          <w:sz w:val="20"/>
        </w:rPr>
        <w:sectPr w:rsidR="00C76E6D">
          <w:pgSz w:w="12240" w:h="15840"/>
          <w:pgMar w:top="960" w:right="960" w:bottom="860" w:left="960" w:header="775" w:footer="670" w:gutter="0"/>
          <w:cols w:space="720"/>
        </w:sectPr>
      </w:pPr>
    </w:p>
    <w:p w:rsidR="00C76E6D" w:rsidRDefault="00C76E6D">
      <w:pPr>
        <w:pStyle w:val="BodyText"/>
        <w:rPr>
          <w:sz w:val="20"/>
        </w:rPr>
      </w:pPr>
    </w:p>
    <w:p w:rsidR="00C76E6D" w:rsidRDefault="00913831">
      <w:pPr>
        <w:pStyle w:val="Heading1"/>
        <w:spacing w:before="207" w:after="8"/>
      </w:pPr>
      <w:bookmarkStart w:id="462" w:name="ADVANCING_JUSTICE"/>
      <w:bookmarkEnd w:id="462"/>
      <w:r>
        <w:t>ADVANCING</w:t>
      </w:r>
      <w:r>
        <w:rPr>
          <w:spacing w:val="-12"/>
        </w:rPr>
        <w:t xml:space="preserve"> </w:t>
      </w:r>
      <w:r>
        <w:rPr>
          <w:spacing w:val="-2"/>
        </w:rPr>
        <w:t>JUSTICE</w:t>
      </w:r>
    </w:p>
    <w:p w:rsidR="00C76E6D" w:rsidRDefault="00913831">
      <w:pPr>
        <w:pStyle w:val="BodyText"/>
        <w:spacing w:line="20" w:lineRule="exact"/>
        <w:ind w:left="452"/>
        <w:rPr>
          <w:sz w:val="2"/>
        </w:rPr>
      </w:pPr>
      <w:r>
        <w:rPr>
          <w:sz w:val="2"/>
        </w:rPr>
      </w:r>
      <w:r>
        <w:rPr>
          <w:sz w:val="2"/>
        </w:rPr>
        <w:pict>
          <v:group id="docshapegroup287" o:spid="_x0000_s1150" style="width:470.95pt;height:1.55pt;mso-position-horizontal-relative:char;mso-position-vertical-relative:line" coordsize="9419,31">
            <v:line id="_x0000_s1151" style="position:absolute" from="0,15" to="9419,15" strokeweight="1.54pt"/>
            <w10:wrap type="none"/>
            <w10:anchorlock/>
          </v:group>
        </w:pict>
      </w:r>
    </w:p>
    <w:p w:rsidR="00C76E6D" w:rsidRDefault="00913831">
      <w:pPr>
        <w:pStyle w:val="Heading5"/>
        <w:numPr>
          <w:ilvl w:val="0"/>
          <w:numId w:val="39"/>
        </w:numPr>
        <w:tabs>
          <w:tab w:val="left" w:pos="844"/>
        </w:tabs>
        <w:spacing w:before="272"/>
        <w:jc w:val="left"/>
      </w:pPr>
      <w:bookmarkStart w:id="463" w:name="_bookmark347"/>
      <w:bookmarkEnd w:id="463"/>
      <w:r>
        <w:rPr>
          <w:spacing w:val="-2"/>
        </w:rPr>
        <w:t>Introduction</w:t>
      </w:r>
    </w:p>
    <w:p w:rsidR="00C76E6D" w:rsidRDefault="00913831">
      <w:pPr>
        <w:pStyle w:val="BodyText"/>
        <w:spacing w:before="8"/>
        <w:rPr>
          <w:b/>
          <w:sz w:val="18"/>
        </w:rPr>
      </w:pPr>
      <w:r>
        <w:pict>
          <v:shape id="docshape288" o:spid="_x0000_s1149" style="position:absolute;margin-left:70.6pt;margin-top:12.6pt;width:470.95pt;height:.1pt;z-index:-15678976;mso-wrap-distance-left:0;mso-wrap-distance-right:0;mso-position-horizontal-relative:page" coordorigin="1412,252" coordsize="9419,0" path="m1412,252r9419,e" filled="f" strokeweight="1.54pt">
            <v:path arrowok="t"/>
            <w10:wrap type="topAndBottom" anchorx="page"/>
          </v:shape>
        </w:pict>
      </w:r>
    </w:p>
    <w:p w:rsidR="00C76E6D" w:rsidRDefault="00C76E6D">
      <w:pPr>
        <w:pStyle w:val="BodyText"/>
        <w:rPr>
          <w:b/>
        </w:rPr>
      </w:pPr>
    </w:p>
    <w:p w:rsidR="00C76E6D" w:rsidRDefault="00913831">
      <w:pPr>
        <w:pStyle w:val="BodyText"/>
        <w:spacing w:line="276" w:lineRule="auto"/>
        <w:ind w:left="478" w:right="475"/>
        <w:jc w:val="both"/>
      </w:pPr>
      <w:r>
        <w:t>LGBTQ youth are twice as likely to enter the juvenile system as their non-LGBTQ peers</w:t>
      </w:r>
      <w:hyperlink w:anchor="_bookmark350" w:history="1">
        <w:r>
          <w:t>.</w:t>
        </w:r>
        <w:r>
          <w:rPr>
            <w:vertAlign w:val="superscript"/>
          </w:rPr>
          <w:t>1</w:t>
        </w:r>
        <w:r>
          <w:rPr>
            <w:spacing w:val="-3"/>
          </w:rPr>
          <w:t xml:space="preserve"> </w:t>
        </w:r>
      </w:hyperlink>
      <w:r>
        <w:t>LGBTQ youth of color</w:t>
      </w:r>
      <w:r>
        <w:rPr>
          <w:spacing w:val="-8"/>
        </w:rPr>
        <w:t xml:space="preserve"> </w:t>
      </w:r>
      <w:r>
        <w:t>face</w:t>
      </w:r>
      <w:r>
        <w:rPr>
          <w:spacing w:val="-7"/>
        </w:rPr>
        <w:t xml:space="preserve"> </w:t>
      </w:r>
      <w:r>
        <w:t>even</w:t>
      </w:r>
      <w:r>
        <w:rPr>
          <w:spacing w:val="-8"/>
        </w:rPr>
        <w:t xml:space="preserve"> </w:t>
      </w:r>
      <w:r>
        <w:t>starker</w:t>
      </w:r>
      <w:r>
        <w:rPr>
          <w:spacing w:val="-6"/>
        </w:rPr>
        <w:t xml:space="preserve"> </w:t>
      </w:r>
      <w:r>
        <w:t>disparities</w:t>
      </w:r>
      <w:r>
        <w:rPr>
          <w:spacing w:val="-6"/>
        </w:rPr>
        <w:t xml:space="preserve"> </w:t>
      </w:r>
      <w:r>
        <w:t>and</w:t>
      </w:r>
      <w:r>
        <w:rPr>
          <w:spacing w:val="-7"/>
        </w:rPr>
        <w:t xml:space="preserve"> </w:t>
      </w:r>
      <w:r>
        <w:t>comprise</w:t>
      </w:r>
      <w:r>
        <w:rPr>
          <w:spacing w:val="-8"/>
        </w:rPr>
        <w:t xml:space="preserve"> </w:t>
      </w:r>
      <w:r>
        <w:t>a</w:t>
      </w:r>
      <w:r>
        <w:rPr>
          <w:spacing w:val="-6"/>
        </w:rPr>
        <w:t xml:space="preserve"> </w:t>
      </w:r>
      <w:r>
        <w:t>staggering</w:t>
      </w:r>
      <w:r>
        <w:rPr>
          <w:spacing w:val="-6"/>
        </w:rPr>
        <w:t xml:space="preserve"> </w:t>
      </w:r>
      <w:r>
        <w:t>estimated</w:t>
      </w:r>
      <w:r>
        <w:rPr>
          <w:spacing w:val="-8"/>
        </w:rPr>
        <w:t xml:space="preserve"> </w:t>
      </w:r>
      <w:r>
        <w:t>85%</w:t>
      </w:r>
      <w:r>
        <w:rPr>
          <w:spacing w:val="-5"/>
        </w:rPr>
        <w:t xml:space="preserve"> </w:t>
      </w:r>
      <w:r>
        <w:t>of</w:t>
      </w:r>
      <w:r>
        <w:rPr>
          <w:spacing w:val="-8"/>
        </w:rPr>
        <w:t xml:space="preserve"> </w:t>
      </w:r>
      <w:r>
        <w:t>LGBTQ</w:t>
      </w:r>
      <w:r>
        <w:rPr>
          <w:spacing w:val="-7"/>
        </w:rPr>
        <w:t xml:space="preserve"> </w:t>
      </w:r>
      <w:r>
        <w:t>youth</w:t>
      </w:r>
      <w:r>
        <w:rPr>
          <w:spacing w:val="-7"/>
        </w:rPr>
        <w:t xml:space="preserve"> </w:t>
      </w:r>
      <w:r>
        <w:t>in</w:t>
      </w:r>
      <w:r>
        <w:rPr>
          <w:spacing w:val="-8"/>
        </w:rPr>
        <w:t xml:space="preserve"> </w:t>
      </w:r>
      <w:r>
        <w:t>the</w:t>
      </w:r>
      <w:r>
        <w:rPr>
          <w:spacing w:val="-7"/>
        </w:rPr>
        <w:t xml:space="preserve"> </w:t>
      </w:r>
      <w:r>
        <w:t>justice system</w:t>
      </w:r>
      <w:hyperlink w:anchor="_bookmark351" w:history="1">
        <w:r>
          <w:t>.</w:t>
        </w:r>
        <w:r>
          <w:rPr>
            <w:vertAlign w:val="superscript"/>
          </w:rPr>
          <w:t>2</w:t>
        </w:r>
      </w:hyperlink>
      <w:r>
        <w:t xml:space="preserve"> Transgender individuals are nearly twice as likely to have been incarcerated as other LGBQ people, with transgender people of color reporting a rate of past incarceration four times higher than other LGBQ people.</w:t>
      </w:r>
      <w:hyperlink w:anchor="_bookmark352" w:history="1">
        <w:r>
          <w:rPr>
            <w:vertAlign w:val="superscript"/>
          </w:rPr>
          <w:t>3</w:t>
        </w:r>
      </w:hyperlink>
      <w:r>
        <w:t xml:space="preserve"> The Commission also knows, from its own data analysis, that LGBTQ youth (particularly</w:t>
      </w:r>
      <w:r>
        <w:rPr>
          <w:spacing w:val="-8"/>
        </w:rPr>
        <w:t xml:space="preserve"> </w:t>
      </w:r>
      <w:r>
        <w:t>transgender</w:t>
      </w:r>
      <w:r>
        <w:rPr>
          <w:spacing w:val="-8"/>
        </w:rPr>
        <w:t xml:space="preserve"> </w:t>
      </w:r>
      <w:r>
        <w:t>youth</w:t>
      </w:r>
      <w:r>
        <w:rPr>
          <w:spacing w:val="-8"/>
        </w:rPr>
        <w:t xml:space="preserve"> </w:t>
      </w:r>
      <w:r>
        <w:t>and</w:t>
      </w:r>
      <w:r>
        <w:rPr>
          <w:spacing w:val="-7"/>
        </w:rPr>
        <w:t xml:space="preserve"> </w:t>
      </w:r>
      <w:r>
        <w:t>youth</w:t>
      </w:r>
      <w:r>
        <w:rPr>
          <w:spacing w:val="-8"/>
        </w:rPr>
        <w:t xml:space="preserve"> </w:t>
      </w:r>
      <w:r>
        <w:t>of</w:t>
      </w:r>
      <w:r>
        <w:rPr>
          <w:spacing w:val="-7"/>
        </w:rPr>
        <w:t xml:space="preserve"> </w:t>
      </w:r>
      <w:r>
        <w:t>color)</w:t>
      </w:r>
      <w:r>
        <w:rPr>
          <w:spacing w:val="-8"/>
        </w:rPr>
        <w:t xml:space="preserve"> </w:t>
      </w:r>
      <w:r>
        <w:t>are</w:t>
      </w:r>
      <w:r>
        <w:rPr>
          <w:spacing w:val="-8"/>
        </w:rPr>
        <w:t xml:space="preserve"> </w:t>
      </w:r>
      <w:r>
        <w:t>especially</w:t>
      </w:r>
      <w:r>
        <w:rPr>
          <w:spacing w:val="-6"/>
        </w:rPr>
        <w:t xml:space="preserve"> </w:t>
      </w:r>
      <w:r>
        <w:t>likely</w:t>
      </w:r>
      <w:r>
        <w:rPr>
          <w:spacing w:val="-7"/>
        </w:rPr>
        <w:t xml:space="preserve"> </w:t>
      </w:r>
      <w:r>
        <w:t>to</w:t>
      </w:r>
      <w:r>
        <w:rPr>
          <w:spacing w:val="-6"/>
        </w:rPr>
        <w:t xml:space="preserve"> </w:t>
      </w:r>
      <w:r>
        <w:t>face</w:t>
      </w:r>
      <w:r>
        <w:rPr>
          <w:spacing w:val="-8"/>
        </w:rPr>
        <w:t xml:space="preserve"> </w:t>
      </w:r>
      <w:r>
        <w:t>risk</w:t>
      </w:r>
      <w:r>
        <w:rPr>
          <w:spacing w:val="-9"/>
        </w:rPr>
        <w:t xml:space="preserve"> </w:t>
      </w:r>
      <w:r>
        <w:t>factors</w:t>
      </w:r>
      <w:r>
        <w:rPr>
          <w:spacing w:val="-7"/>
        </w:rPr>
        <w:t xml:space="preserve"> </w:t>
      </w:r>
      <w:r>
        <w:t>such</w:t>
      </w:r>
      <w:r>
        <w:rPr>
          <w:spacing w:val="-8"/>
        </w:rPr>
        <w:t xml:space="preserve"> </w:t>
      </w:r>
      <w:r>
        <w:t>as</w:t>
      </w:r>
      <w:r>
        <w:rPr>
          <w:spacing w:val="-7"/>
        </w:rPr>
        <w:t xml:space="preserve"> </w:t>
      </w:r>
      <w:r>
        <w:t>truancy out of fear of attending school, being involved in bullyi</w:t>
      </w:r>
      <w:r>
        <w:t>ng and fights, and experiencing homelessness, all of which are drivers of justice systems involvement.</w:t>
      </w:r>
    </w:p>
    <w:p w:rsidR="00C76E6D" w:rsidRDefault="00C76E6D">
      <w:pPr>
        <w:pStyle w:val="BodyText"/>
        <w:spacing w:before="5"/>
        <w:rPr>
          <w:sz w:val="25"/>
        </w:rPr>
      </w:pPr>
    </w:p>
    <w:p w:rsidR="00C76E6D" w:rsidRDefault="00913831">
      <w:pPr>
        <w:pStyle w:val="BodyText"/>
        <w:spacing w:line="276" w:lineRule="auto"/>
        <w:ind w:left="480" w:right="475" w:hanging="2"/>
        <w:jc w:val="both"/>
      </w:pPr>
      <w:r>
        <w:t>To</w:t>
      </w:r>
      <w:r>
        <w:rPr>
          <w:spacing w:val="-4"/>
        </w:rPr>
        <w:t xml:space="preserve"> </w:t>
      </w:r>
      <w:r>
        <w:t>combat</w:t>
      </w:r>
      <w:r>
        <w:rPr>
          <w:spacing w:val="-4"/>
        </w:rPr>
        <w:t xml:space="preserve"> </w:t>
      </w:r>
      <w:r>
        <w:t>these</w:t>
      </w:r>
      <w:r>
        <w:rPr>
          <w:spacing w:val="-4"/>
        </w:rPr>
        <w:t xml:space="preserve"> </w:t>
      </w:r>
      <w:r>
        <w:t>disparities,</w:t>
      </w:r>
      <w:r>
        <w:rPr>
          <w:spacing w:val="-3"/>
        </w:rPr>
        <w:t xml:space="preserve"> </w:t>
      </w:r>
      <w:r>
        <w:t>the</w:t>
      </w:r>
      <w:r>
        <w:rPr>
          <w:spacing w:val="-4"/>
        </w:rPr>
        <w:t xml:space="preserve"> </w:t>
      </w:r>
      <w:r>
        <w:t>Commission</w:t>
      </w:r>
      <w:r>
        <w:rPr>
          <w:spacing w:val="-4"/>
        </w:rPr>
        <w:t xml:space="preserve"> </w:t>
      </w:r>
      <w:r>
        <w:t>has</w:t>
      </w:r>
      <w:r>
        <w:rPr>
          <w:spacing w:val="-4"/>
        </w:rPr>
        <w:t xml:space="preserve"> </w:t>
      </w:r>
      <w:r>
        <w:t>worked</w:t>
      </w:r>
      <w:r>
        <w:rPr>
          <w:spacing w:val="-3"/>
        </w:rPr>
        <w:t xml:space="preserve"> </w:t>
      </w:r>
      <w:r>
        <w:t>closely</w:t>
      </w:r>
      <w:r>
        <w:rPr>
          <w:spacing w:val="-4"/>
        </w:rPr>
        <w:t xml:space="preserve"> </w:t>
      </w:r>
      <w:r>
        <w:t>with</w:t>
      </w:r>
      <w:r>
        <w:rPr>
          <w:spacing w:val="-3"/>
        </w:rPr>
        <w:t xml:space="preserve"> </w:t>
      </w:r>
      <w:r>
        <w:t>many</w:t>
      </w:r>
      <w:r>
        <w:rPr>
          <w:spacing w:val="-3"/>
        </w:rPr>
        <w:t xml:space="preserve"> </w:t>
      </w:r>
      <w:r>
        <w:t>state</w:t>
      </w:r>
      <w:r>
        <w:rPr>
          <w:spacing w:val="-4"/>
        </w:rPr>
        <w:t xml:space="preserve"> </w:t>
      </w:r>
      <w:r>
        <w:t>agencies</w:t>
      </w:r>
      <w:r>
        <w:rPr>
          <w:spacing w:val="-3"/>
        </w:rPr>
        <w:t xml:space="preserve"> </w:t>
      </w:r>
      <w:r>
        <w:t>and</w:t>
      </w:r>
      <w:r>
        <w:rPr>
          <w:spacing w:val="-4"/>
        </w:rPr>
        <w:t xml:space="preserve"> </w:t>
      </w:r>
      <w:r>
        <w:t>entities</w:t>
      </w:r>
      <w:r>
        <w:rPr>
          <w:spacing w:val="-3"/>
        </w:rPr>
        <w:t xml:space="preserve"> </w:t>
      </w:r>
      <w:r>
        <w:t>in Massachusetts to establish more equitable state policies within the juvenile justice system. The Commission has also worked in coalition with community organizations such as Citizens for Juvenile Justice to advance legislation to further reform the juve</w:t>
      </w:r>
      <w:r>
        <w:t>nile justice system and improve the lives and conditions of LGBTQ individuals involved in the juvenile and adult criminal justice system.</w:t>
      </w:r>
    </w:p>
    <w:p w:rsidR="00C76E6D" w:rsidRDefault="00C76E6D">
      <w:pPr>
        <w:pStyle w:val="BodyText"/>
      </w:pPr>
    </w:p>
    <w:p w:rsidR="00C76E6D" w:rsidRDefault="00C76E6D">
      <w:pPr>
        <w:pStyle w:val="BodyText"/>
        <w:spacing w:before="3"/>
        <w:rPr>
          <w:sz w:val="26"/>
        </w:rPr>
      </w:pPr>
    </w:p>
    <w:p w:rsidR="00C76E6D" w:rsidRDefault="00913831">
      <w:pPr>
        <w:pStyle w:val="Heading5"/>
        <w:numPr>
          <w:ilvl w:val="0"/>
          <w:numId w:val="39"/>
        </w:numPr>
        <w:tabs>
          <w:tab w:val="left" w:pos="730"/>
        </w:tabs>
        <w:ind w:left="729" w:hanging="252"/>
        <w:jc w:val="left"/>
      </w:pPr>
      <w:r>
        <w:pict>
          <v:shape id="docshape289" o:spid="_x0000_s1148" style="position:absolute;left:0;text-align:left;margin-left:70.6pt;margin-top:16.4pt;width:470.95pt;height:.1pt;z-index:-15678464;mso-wrap-distance-left:0;mso-wrap-distance-right:0;mso-position-horizontal-relative:page" coordorigin="1412,328" coordsize="9419,0" path="m1412,328r9419,e" filled="f" strokeweight="1.54pt">
            <v:path arrowok="t"/>
            <w10:wrap type="topAndBottom" anchorx="page"/>
          </v:shape>
        </w:pict>
      </w:r>
      <w:bookmarkStart w:id="464" w:name="_bookmark348"/>
      <w:bookmarkEnd w:id="464"/>
      <w:r>
        <w:t>Recommendations</w:t>
      </w:r>
      <w:r>
        <w:rPr>
          <w:spacing w:val="-19"/>
        </w:rPr>
        <w:t xml:space="preserve"> </w:t>
      </w:r>
      <w:r>
        <w:t>to</w:t>
      </w:r>
      <w:r>
        <w:rPr>
          <w:spacing w:val="-13"/>
        </w:rPr>
        <w:t xml:space="preserve"> </w:t>
      </w:r>
      <w:r>
        <w:t>the</w:t>
      </w:r>
      <w:r>
        <w:rPr>
          <w:spacing w:val="-8"/>
        </w:rPr>
        <w:t xml:space="preserve"> </w:t>
      </w:r>
      <w:r>
        <w:t>Governor</w:t>
      </w:r>
      <w:r>
        <w:rPr>
          <w:spacing w:val="-8"/>
        </w:rPr>
        <w:t xml:space="preserve"> </w:t>
      </w:r>
      <w:r>
        <w:t>and</w:t>
      </w:r>
      <w:r>
        <w:rPr>
          <w:spacing w:val="-11"/>
        </w:rPr>
        <w:t xml:space="preserve"> </w:t>
      </w:r>
      <w:r>
        <w:t>Legislature</w:t>
      </w:r>
      <w:r>
        <w:rPr>
          <w:spacing w:val="-13"/>
        </w:rPr>
        <w:t xml:space="preserve"> </w:t>
      </w:r>
      <w:r>
        <w:t>on</w:t>
      </w:r>
      <w:r>
        <w:rPr>
          <w:spacing w:val="-10"/>
        </w:rPr>
        <w:t xml:space="preserve"> </w:t>
      </w:r>
      <w:r>
        <w:t>Advancing</w:t>
      </w:r>
      <w:r>
        <w:rPr>
          <w:spacing w:val="-7"/>
        </w:rPr>
        <w:t xml:space="preserve"> </w:t>
      </w:r>
      <w:r>
        <w:rPr>
          <w:spacing w:val="-2"/>
        </w:rPr>
        <w:t>Justice</w:t>
      </w:r>
    </w:p>
    <w:p w:rsidR="00C76E6D" w:rsidRDefault="00C76E6D">
      <w:pPr>
        <w:pStyle w:val="BodyText"/>
        <w:rPr>
          <w:b/>
          <w:sz w:val="24"/>
        </w:rPr>
      </w:pPr>
    </w:p>
    <w:p w:rsidR="00C76E6D" w:rsidRDefault="00C76E6D">
      <w:pPr>
        <w:pStyle w:val="BodyText"/>
        <w:spacing w:before="6"/>
        <w:rPr>
          <w:b/>
          <w:sz w:val="18"/>
        </w:rPr>
      </w:pPr>
    </w:p>
    <w:p w:rsidR="00C76E6D" w:rsidRDefault="00913831">
      <w:pPr>
        <w:pStyle w:val="Heading6"/>
        <w:numPr>
          <w:ilvl w:val="1"/>
          <w:numId w:val="39"/>
        </w:numPr>
        <w:tabs>
          <w:tab w:val="left" w:pos="688"/>
        </w:tabs>
        <w:spacing w:line="276" w:lineRule="auto"/>
        <w:ind w:right="495" w:firstLine="1"/>
      </w:pPr>
      <w:bookmarkStart w:id="465" w:name="1._Increase_collection_of_data_on_sexual"/>
      <w:bookmarkEnd w:id="465"/>
      <w:r>
        <w:rPr>
          <w:spacing w:val="-2"/>
        </w:rPr>
        <w:t>Increase</w:t>
      </w:r>
      <w:r>
        <w:rPr>
          <w:spacing w:val="-3"/>
        </w:rPr>
        <w:t xml:space="preserve"> </w:t>
      </w:r>
      <w:r>
        <w:rPr>
          <w:spacing w:val="-2"/>
        </w:rPr>
        <w:t>collection of</w:t>
      </w:r>
      <w:r>
        <w:rPr>
          <w:spacing w:val="-3"/>
        </w:rPr>
        <w:t xml:space="preserve"> </w:t>
      </w:r>
      <w:r>
        <w:rPr>
          <w:spacing w:val="-2"/>
        </w:rPr>
        <w:t>data</w:t>
      </w:r>
      <w:r>
        <w:rPr>
          <w:spacing w:val="-4"/>
        </w:rPr>
        <w:t xml:space="preserve"> </w:t>
      </w:r>
      <w:r>
        <w:rPr>
          <w:spacing w:val="-2"/>
        </w:rPr>
        <w:t>on</w:t>
      </w:r>
      <w:r>
        <w:rPr>
          <w:spacing w:val="-3"/>
        </w:rPr>
        <w:t xml:space="preserve"> </w:t>
      </w:r>
      <w:r>
        <w:rPr>
          <w:spacing w:val="-2"/>
        </w:rPr>
        <w:t>sexual orientation and</w:t>
      </w:r>
      <w:r>
        <w:rPr>
          <w:spacing w:val="-3"/>
        </w:rPr>
        <w:t xml:space="preserve"> </w:t>
      </w:r>
      <w:r>
        <w:rPr>
          <w:spacing w:val="-2"/>
        </w:rPr>
        <w:t>gender identity</w:t>
      </w:r>
      <w:r>
        <w:rPr>
          <w:spacing w:val="-3"/>
        </w:rPr>
        <w:t xml:space="preserve"> </w:t>
      </w:r>
      <w:r>
        <w:rPr>
          <w:spacing w:val="-2"/>
        </w:rPr>
        <w:t>to identify</w:t>
      </w:r>
      <w:r>
        <w:rPr>
          <w:spacing w:val="-4"/>
        </w:rPr>
        <w:t xml:space="preserve"> </w:t>
      </w:r>
      <w:r>
        <w:rPr>
          <w:spacing w:val="-2"/>
        </w:rPr>
        <w:t>and</w:t>
      </w:r>
      <w:r>
        <w:rPr>
          <w:spacing w:val="-3"/>
        </w:rPr>
        <w:t xml:space="preserve"> </w:t>
      </w:r>
      <w:r>
        <w:rPr>
          <w:spacing w:val="-2"/>
        </w:rPr>
        <w:t>reduce</w:t>
      </w:r>
      <w:r>
        <w:rPr>
          <w:spacing w:val="-6"/>
        </w:rPr>
        <w:t xml:space="preserve"> </w:t>
      </w:r>
      <w:r>
        <w:rPr>
          <w:spacing w:val="-2"/>
        </w:rPr>
        <w:t xml:space="preserve">disparities </w:t>
      </w:r>
      <w:r>
        <w:t>throughout the juvenile and criminal justice systems.</w:t>
      </w:r>
    </w:p>
    <w:p w:rsidR="00C76E6D" w:rsidRDefault="00C76E6D">
      <w:pPr>
        <w:pStyle w:val="BodyText"/>
        <w:spacing w:before="5"/>
        <w:rPr>
          <w:b/>
          <w:sz w:val="16"/>
        </w:rPr>
      </w:pPr>
    </w:p>
    <w:p w:rsidR="00C76E6D" w:rsidRDefault="00913831">
      <w:pPr>
        <w:pStyle w:val="BodyText"/>
        <w:spacing w:line="276" w:lineRule="auto"/>
        <w:ind w:left="481" w:right="472" w:hanging="2"/>
        <w:jc w:val="both"/>
      </w:pPr>
      <w:r>
        <w:t>Data</w:t>
      </w:r>
      <w:r>
        <w:rPr>
          <w:spacing w:val="-4"/>
        </w:rPr>
        <w:t xml:space="preserve"> </w:t>
      </w:r>
      <w:r>
        <w:t>can</w:t>
      </w:r>
      <w:r>
        <w:rPr>
          <w:spacing w:val="-3"/>
        </w:rPr>
        <w:t xml:space="preserve"> </w:t>
      </w:r>
      <w:r>
        <w:t>provide</w:t>
      </w:r>
      <w:r>
        <w:rPr>
          <w:spacing w:val="-4"/>
        </w:rPr>
        <w:t xml:space="preserve"> </w:t>
      </w:r>
      <w:r>
        <w:t>insight</w:t>
      </w:r>
      <w:r>
        <w:rPr>
          <w:spacing w:val="-5"/>
        </w:rPr>
        <w:t xml:space="preserve"> </w:t>
      </w:r>
      <w:r>
        <w:t>into</w:t>
      </w:r>
      <w:r>
        <w:rPr>
          <w:spacing w:val="-3"/>
        </w:rPr>
        <w:t xml:space="preserve"> </w:t>
      </w:r>
      <w:r>
        <w:t>the</w:t>
      </w:r>
      <w:r>
        <w:rPr>
          <w:spacing w:val="-4"/>
        </w:rPr>
        <w:t xml:space="preserve"> </w:t>
      </w:r>
      <w:r>
        <w:t>disparities</w:t>
      </w:r>
      <w:r>
        <w:rPr>
          <w:spacing w:val="-3"/>
        </w:rPr>
        <w:t xml:space="preserve"> </w:t>
      </w:r>
      <w:r>
        <w:t>experienced</w:t>
      </w:r>
      <w:r>
        <w:rPr>
          <w:spacing w:val="-3"/>
        </w:rPr>
        <w:t xml:space="preserve"> </w:t>
      </w:r>
      <w:r>
        <w:t>and</w:t>
      </w:r>
      <w:r>
        <w:rPr>
          <w:spacing w:val="-3"/>
        </w:rPr>
        <w:t xml:space="preserve"> </w:t>
      </w:r>
      <w:r>
        <w:t>the</w:t>
      </w:r>
      <w:r>
        <w:rPr>
          <w:spacing w:val="-1"/>
        </w:rPr>
        <w:t xml:space="preserve"> </w:t>
      </w:r>
      <w:r>
        <w:t>needs</w:t>
      </w:r>
      <w:r>
        <w:rPr>
          <w:spacing w:val="-4"/>
        </w:rPr>
        <w:t xml:space="preserve"> </w:t>
      </w:r>
      <w:r>
        <w:t>faced</w:t>
      </w:r>
      <w:r>
        <w:rPr>
          <w:spacing w:val="-2"/>
        </w:rPr>
        <w:t xml:space="preserve"> </w:t>
      </w:r>
      <w:r>
        <w:t>by</w:t>
      </w:r>
      <w:r>
        <w:rPr>
          <w:spacing w:val="-4"/>
        </w:rPr>
        <w:t xml:space="preserve"> </w:t>
      </w:r>
      <w:r>
        <w:t>LGBTQ</w:t>
      </w:r>
      <w:r>
        <w:rPr>
          <w:spacing w:val="-4"/>
        </w:rPr>
        <w:t xml:space="preserve"> </w:t>
      </w:r>
      <w:r>
        <w:t>youth</w:t>
      </w:r>
      <w:r>
        <w:rPr>
          <w:spacing w:val="-4"/>
        </w:rPr>
        <w:t xml:space="preserve"> </w:t>
      </w:r>
      <w:r>
        <w:t>who</w:t>
      </w:r>
      <w:r>
        <w:rPr>
          <w:spacing w:val="-4"/>
        </w:rPr>
        <w:t xml:space="preserve"> </w:t>
      </w:r>
      <w:r>
        <w:t>are</w:t>
      </w:r>
      <w:r>
        <w:rPr>
          <w:spacing w:val="-4"/>
        </w:rPr>
        <w:t xml:space="preserve"> </w:t>
      </w:r>
      <w:r>
        <w:t>in the</w:t>
      </w:r>
      <w:r>
        <w:rPr>
          <w:spacing w:val="-13"/>
        </w:rPr>
        <w:t xml:space="preserve"> </w:t>
      </w:r>
      <w:r>
        <w:t>juvenile</w:t>
      </w:r>
      <w:r>
        <w:rPr>
          <w:spacing w:val="-12"/>
        </w:rPr>
        <w:t xml:space="preserve"> </w:t>
      </w:r>
      <w:r>
        <w:t>and</w:t>
      </w:r>
      <w:r>
        <w:rPr>
          <w:spacing w:val="-13"/>
        </w:rPr>
        <w:t xml:space="preserve"> </w:t>
      </w:r>
      <w:r>
        <w:t>criminal</w:t>
      </w:r>
      <w:r>
        <w:rPr>
          <w:spacing w:val="-12"/>
        </w:rPr>
        <w:t xml:space="preserve"> </w:t>
      </w:r>
      <w:r>
        <w:t>justice</w:t>
      </w:r>
      <w:r>
        <w:rPr>
          <w:spacing w:val="-13"/>
        </w:rPr>
        <w:t xml:space="preserve"> </w:t>
      </w:r>
      <w:r>
        <w:t>systems.</w:t>
      </w:r>
      <w:r>
        <w:rPr>
          <w:spacing w:val="-12"/>
        </w:rPr>
        <w:t xml:space="preserve"> </w:t>
      </w:r>
      <w:r>
        <w:t>The</w:t>
      </w:r>
      <w:r>
        <w:rPr>
          <w:spacing w:val="-13"/>
        </w:rPr>
        <w:t xml:space="preserve"> </w:t>
      </w:r>
      <w:r>
        <w:t>newly-created</w:t>
      </w:r>
      <w:r>
        <w:rPr>
          <w:spacing w:val="-12"/>
        </w:rPr>
        <w:t xml:space="preserve"> </w:t>
      </w:r>
      <w:r>
        <w:t>Juvenile</w:t>
      </w:r>
      <w:r>
        <w:rPr>
          <w:spacing w:val="-12"/>
        </w:rPr>
        <w:t xml:space="preserve"> </w:t>
      </w:r>
      <w:r>
        <w:t>Justice</w:t>
      </w:r>
      <w:r>
        <w:rPr>
          <w:spacing w:val="-13"/>
        </w:rPr>
        <w:t xml:space="preserve"> </w:t>
      </w:r>
      <w:r>
        <w:t>Policy</w:t>
      </w:r>
      <w:r>
        <w:rPr>
          <w:spacing w:val="-12"/>
        </w:rPr>
        <w:t xml:space="preserve"> </w:t>
      </w:r>
      <w:r>
        <w:t>and</w:t>
      </w:r>
      <w:r>
        <w:rPr>
          <w:spacing w:val="-13"/>
        </w:rPr>
        <w:t xml:space="preserve"> </w:t>
      </w:r>
      <w:r>
        <w:t>Data</w:t>
      </w:r>
      <w:r>
        <w:rPr>
          <w:spacing w:val="-12"/>
        </w:rPr>
        <w:t xml:space="preserve"> </w:t>
      </w:r>
      <w:r>
        <w:t>(JJPAD)</w:t>
      </w:r>
      <w:r>
        <w:rPr>
          <w:spacing w:val="-13"/>
        </w:rPr>
        <w:t xml:space="preserve"> </w:t>
      </w:r>
      <w:r>
        <w:t>Board has been tasked with collecting data to identify disparities and make recommendations on how best to improve the juvenile justice system. The Childhood Trauma Task F</w:t>
      </w:r>
      <w:r>
        <w:t>orce (CTTF), a subcommittee of the JJPAD Board, is charged with studying and making recommendations on gender-responsive and trauma- informed</w:t>
      </w:r>
      <w:r>
        <w:rPr>
          <w:spacing w:val="-2"/>
        </w:rPr>
        <w:t xml:space="preserve"> </w:t>
      </w:r>
      <w:r>
        <w:t>approaches</w:t>
      </w:r>
      <w:r>
        <w:rPr>
          <w:spacing w:val="-1"/>
        </w:rPr>
        <w:t xml:space="preserve"> </w:t>
      </w:r>
      <w:r>
        <w:t>to</w:t>
      </w:r>
      <w:r>
        <w:rPr>
          <w:spacing w:val="-1"/>
        </w:rPr>
        <w:t xml:space="preserve"> </w:t>
      </w:r>
      <w:r>
        <w:t>treatment</w:t>
      </w:r>
      <w:r>
        <w:rPr>
          <w:spacing w:val="-2"/>
        </w:rPr>
        <w:t xml:space="preserve"> </w:t>
      </w:r>
      <w:r>
        <w:t>services</w:t>
      </w:r>
      <w:r>
        <w:rPr>
          <w:spacing w:val="-1"/>
        </w:rPr>
        <w:t xml:space="preserve"> </w:t>
      </w:r>
      <w:r>
        <w:t>for</w:t>
      </w:r>
      <w:r>
        <w:rPr>
          <w:spacing w:val="-1"/>
        </w:rPr>
        <w:t xml:space="preserve"> </w:t>
      </w:r>
      <w:r>
        <w:t>youth</w:t>
      </w:r>
      <w:r>
        <w:rPr>
          <w:spacing w:val="-1"/>
        </w:rPr>
        <w:t xml:space="preserve"> </w:t>
      </w:r>
      <w:r>
        <w:t>currently</w:t>
      </w:r>
      <w:r>
        <w:rPr>
          <w:spacing w:val="-2"/>
        </w:rPr>
        <w:t xml:space="preserve"> </w:t>
      </w:r>
      <w:r>
        <w:t>involved,</w:t>
      </w:r>
      <w:r>
        <w:rPr>
          <w:spacing w:val="-2"/>
        </w:rPr>
        <w:t xml:space="preserve"> </w:t>
      </w:r>
      <w:r>
        <w:t>or</w:t>
      </w:r>
      <w:r>
        <w:rPr>
          <w:spacing w:val="-2"/>
        </w:rPr>
        <w:t xml:space="preserve"> </w:t>
      </w:r>
      <w:r>
        <w:t>at</w:t>
      </w:r>
      <w:r>
        <w:rPr>
          <w:spacing w:val="-2"/>
        </w:rPr>
        <w:t xml:space="preserve"> </w:t>
      </w:r>
      <w:r>
        <w:t>risk</w:t>
      </w:r>
      <w:r>
        <w:rPr>
          <w:spacing w:val="-3"/>
        </w:rPr>
        <w:t xml:space="preserve"> </w:t>
      </w:r>
      <w:r>
        <w:t>of</w:t>
      </w:r>
      <w:r>
        <w:rPr>
          <w:spacing w:val="-1"/>
        </w:rPr>
        <w:t xml:space="preserve"> </w:t>
      </w:r>
      <w:r>
        <w:t>becoming</w:t>
      </w:r>
      <w:r>
        <w:rPr>
          <w:spacing w:val="-2"/>
        </w:rPr>
        <w:t xml:space="preserve"> </w:t>
      </w:r>
      <w:r>
        <w:t>involved, in the juvenile justice system. The Commission was pleased to work with JJPAD Board in 2020 to advise them on best practices for collecting and reporting data on sexual orientation and gender identity and expression (SOGIE). These recommendations</w:t>
      </w:r>
      <w:r>
        <w:t xml:space="preserve"> were subsequently adopted in JJPAD Board’s 2020 annual report to the legislature.</w:t>
      </w:r>
    </w:p>
    <w:p w:rsidR="00C76E6D" w:rsidRDefault="00C76E6D">
      <w:pPr>
        <w:pStyle w:val="BodyText"/>
        <w:spacing w:before="3"/>
        <w:rPr>
          <w:sz w:val="16"/>
        </w:rPr>
      </w:pPr>
    </w:p>
    <w:p w:rsidR="00C76E6D" w:rsidRDefault="00913831">
      <w:pPr>
        <w:pStyle w:val="BodyText"/>
        <w:spacing w:line="276" w:lineRule="auto"/>
        <w:ind w:left="480" w:right="476"/>
        <w:jc w:val="both"/>
      </w:pPr>
      <w:r>
        <w:t>The state should further increase its collection of SOGIE data wherever possible in the criminal and juvenile justice systems, as proposed by An Act to Promote Rehabilitati</w:t>
      </w:r>
      <w:r>
        <w:t>on Including Guaranteed Health, Treatment, and Safety for Incarcerated LGBTQI+ People (RIGHTS Act) (H. 2484 / S. 1566), which would collect data on LGBTQI prisoners held in restrictive housing, as well as An Act Improving Juvenile Justice Data</w:t>
      </w:r>
      <w:r>
        <w:rPr>
          <w:spacing w:val="27"/>
        </w:rPr>
        <w:t xml:space="preserve"> </w:t>
      </w:r>
      <w:r>
        <w:t>Collection</w:t>
      </w:r>
      <w:r>
        <w:rPr>
          <w:spacing w:val="26"/>
        </w:rPr>
        <w:t xml:space="preserve"> </w:t>
      </w:r>
      <w:r>
        <w:t>(</w:t>
      </w:r>
      <w:r>
        <w:t>H.</w:t>
      </w:r>
      <w:r>
        <w:rPr>
          <w:spacing w:val="25"/>
        </w:rPr>
        <w:t xml:space="preserve"> </w:t>
      </w:r>
      <w:r>
        <w:t>1795/S.</w:t>
      </w:r>
      <w:r>
        <w:rPr>
          <w:spacing w:val="26"/>
        </w:rPr>
        <w:t xml:space="preserve"> </w:t>
      </w:r>
      <w:r>
        <w:t>1558),</w:t>
      </w:r>
      <w:r>
        <w:rPr>
          <w:spacing w:val="27"/>
        </w:rPr>
        <w:t xml:space="preserve"> </w:t>
      </w:r>
      <w:r>
        <w:t>which</w:t>
      </w:r>
      <w:r>
        <w:rPr>
          <w:spacing w:val="25"/>
        </w:rPr>
        <w:t xml:space="preserve"> </w:t>
      </w:r>
      <w:r>
        <w:t>would</w:t>
      </w:r>
      <w:r>
        <w:rPr>
          <w:spacing w:val="27"/>
        </w:rPr>
        <w:t xml:space="preserve"> </w:t>
      </w:r>
      <w:r>
        <w:t>include</w:t>
      </w:r>
      <w:r>
        <w:rPr>
          <w:spacing w:val="26"/>
        </w:rPr>
        <w:t xml:space="preserve"> </w:t>
      </w:r>
      <w:r>
        <w:t>sexual</w:t>
      </w:r>
      <w:r>
        <w:rPr>
          <w:spacing w:val="26"/>
        </w:rPr>
        <w:t xml:space="preserve"> </w:t>
      </w:r>
      <w:r>
        <w:t>orientation</w:t>
      </w:r>
      <w:r>
        <w:rPr>
          <w:spacing w:val="26"/>
        </w:rPr>
        <w:t xml:space="preserve"> </w:t>
      </w:r>
      <w:r>
        <w:t>and</w:t>
      </w:r>
      <w:r>
        <w:rPr>
          <w:spacing w:val="25"/>
        </w:rPr>
        <w:t xml:space="preserve"> </w:t>
      </w:r>
      <w:r>
        <w:t>gender</w:t>
      </w:r>
      <w:r>
        <w:rPr>
          <w:spacing w:val="27"/>
        </w:rPr>
        <w:t xml:space="preserve"> </w:t>
      </w:r>
      <w:r>
        <w:t>identity</w:t>
      </w:r>
      <w:r>
        <w:rPr>
          <w:spacing w:val="27"/>
        </w:rPr>
        <w:t xml:space="preserve"> </w:t>
      </w:r>
      <w:r>
        <w:t>in</w:t>
      </w:r>
      <w:r>
        <w:rPr>
          <w:spacing w:val="25"/>
        </w:rPr>
        <w:t xml:space="preserve"> </w:t>
      </w:r>
      <w:r>
        <w:t>the</w:t>
      </w:r>
    </w:p>
    <w:p w:rsidR="00C76E6D" w:rsidRDefault="00C76E6D">
      <w:pPr>
        <w:spacing w:line="276" w:lineRule="auto"/>
        <w:jc w:val="both"/>
        <w:sectPr w:rsidR="00C76E6D">
          <w:headerReference w:type="default" r:id="rId278"/>
          <w:footerReference w:type="default" r:id="rId279"/>
          <w:pgSz w:w="12240" w:h="15840"/>
          <w:pgMar w:top="960" w:right="960" w:bottom="920" w:left="960" w:header="769" w:footer="720"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480" w:right="478"/>
        <w:jc w:val="both"/>
      </w:pPr>
      <w:r>
        <w:t>collection and reporting of juvenile justice data, to identify and evaluate policies to reduce racial disparities in the juvenile justice system.</w:t>
      </w:r>
    </w:p>
    <w:p w:rsidR="00C76E6D" w:rsidRDefault="00C76E6D">
      <w:pPr>
        <w:pStyle w:val="BodyText"/>
        <w:spacing w:before="8"/>
        <w:rPr>
          <w:sz w:val="28"/>
        </w:rPr>
      </w:pPr>
    </w:p>
    <w:p w:rsidR="00C76E6D" w:rsidRDefault="00913831">
      <w:pPr>
        <w:pStyle w:val="Heading6"/>
        <w:numPr>
          <w:ilvl w:val="1"/>
          <w:numId w:val="39"/>
        </w:numPr>
        <w:tabs>
          <w:tab w:val="left" w:pos="699"/>
        </w:tabs>
        <w:ind w:left="698" w:hanging="221"/>
      </w:pPr>
      <w:bookmarkStart w:id="466" w:name="2._Limit_the_use_of_force_by_law_enforce"/>
      <w:bookmarkEnd w:id="466"/>
      <w:r>
        <w:rPr>
          <w:w w:val="95"/>
        </w:rPr>
        <w:t>Limit</w:t>
      </w:r>
      <w:r>
        <w:rPr>
          <w:spacing w:val="10"/>
        </w:rPr>
        <w:t xml:space="preserve"> </w:t>
      </w:r>
      <w:r>
        <w:rPr>
          <w:w w:val="95"/>
        </w:rPr>
        <w:t>the</w:t>
      </w:r>
      <w:r>
        <w:rPr>
          <w:spacing w:val="13"/>
        </w:rPr>
        <w:t xml:space="preserve"> </w:t>
      </w:r>
      <w:r>
        <w:rPr>
          <w:w w:val="95"/>
        </w:rPr>
        <w:t>use</w:t>
      </w:r>
      <w:r>
        <w:rPr>
          <w:spacing w:val="14"/>
        </w:rPr>
        <w:t xml:space="preserve"> </w:t>
      </w:r>
      <w:r>
        <w:rPr>
          <w:w w:val="95"/>
        </w:rPr>
        <w:t>of</w:t>
      </w:r>
      <w:r>
        <w:rPr>
          <w:spacing w:val="10"/>
        </w:rPr>
        <w:t xml:space="preserve"> </w:t>
      </w:r>
      <w:r>
        <w:rPr>
          <w:w w:val="95"/>
        </w:rPr>
        <w:t>force</w:t>
      </w:r>
      <w:r>
        <w:rPr>
          <w:spacing w:val="12"/>
        </w:rPr>
        <w:t xml:space="preserve"> </w:t>
      </w:r>
      <w:r>
        <w:rPr>
          <w:w w:val="95"/>
        </w:rPr>
        <w:t>by</w:t>
      </w:r>
      <w:r>
        <w:rPr>
          <w:spacing w:val="15"/>
        </w:rPr>
        <w:t xml:space="preserve"> </w:t>
      </w:r>
      <w:r>
        <w:rPr>
          <w:w w:val="95"/>
        </w:rPr>
        <w:t>law</w:t>
      </w:r>
      <w:r>
        <w:rPr>
          <w:spacing w:val="9"/>
        </w:rPr>
        <w:t xml:space="preserve"> </w:t>
      </w:r>
      <w:r>
        <w:rPr>
          <w:w w:val="95"/>
        </w:rPr>
        <w:t>enforcement</w:t>
      </w:r>
      <w:r>
        <w:rPr>
          <w:spacing w:val="12"/>
        </w:rPr>
        <w:t xml:space="preserve"> </w:t>
      </w:r>
      <w:r>
        <w:rPr>
          <w:w w:val="95"/>
        </w:rPr>
        <w:t>and</w:t>
      </w:r>
      <w:r>
        <w:rPr>
          <w:spacing w:val="11"/>
        </w:rPr>
        <w:t xml:space="preserve"> </w:t>
      </w:r>
      <w:r>
        <w:rPr>
          <w:w w:val="95"/>
        </w:rPr>
        <w:t>correctional</w:t>
      </w:r>
      <w:r>
        <w:rPr>
          <w:spacing w:val="12"/>
        </w:rPr>
        <w:t xml:space="preserve"> </w:t>
      </w:r>
      <w:r>
        <w:rPr>
          <w:w w:val="95"/>
        </w:rPr>
        <w:t>officers</w:t>
      </w:r>
      <w:r>
        <w:rPr>
          <w:spacing w:val="11"/>
        </w:rPr>
        <w:t xml:space="preserve"> </w:t>
      </w:r>
      <w:r>
        <w:rPr>
          <w:w w:val="95"/>
        </w:rPr>
        <w:t>and</w:t>
      </w:r>
      <w:r>
        <w:rPr>
          <w:spacing w:val="13"/>
        </w:rPr>
        <w:t xml:space="preserve"> </w:t>
      </w:r>
      <w:r>
        <w:rPr>
          <w:w w:val="95"/>
        </w:rPr>
        <w:t>remove</w:t>
      </w:r>
      <w:r>
        <w:rPr>
          <w:spacing w:val="12"/>
        </w:rPr>
        <w:t xml:space="preserve"> </w:t>
      </w:r>
      <w:r>
        <w:rPr>
          <w:w w:val="95"/>
        </w:rPr>
        <w:t>police</w:t>
      </w:r>
      <w:r>
        <w:rPr>
          <w:spacing w:val="8"/>
        </w:rPr>
        <w:t xml:space="preserve"> </w:t>
      </w:r>
      <w:r>
        <w:rPr>
          <w:w w:val="95"/>
        </w:rPr>
        <w:t>from</w:t>
      </w:r>
      <w:r>
        <w:rPr>
          <w:spacing w:val="12"/>
        </w:rPr>
        <w:t xml:space="preserve"> </w:t>
      </w:r>
      <w:r>
        <w:rPr>
          <w:spacing w:val="-2"/>
          <w:w w:val="95"/>
        </w:rPr>
        <w:t>schools.</w:t>
      </w:r>
    </w:p>
    <w:p w:rsidR="00C76E6D" w:rsidRDefault="00C76E6D">
      <w:pPr>
        <w:pStyle w:val="BodyText"/>
        <w:spacing w:before="2"/>
        <w:rPr>
          <w:b/>
          <w:sz w:val="30"/>
        </w:rPr>
      </w:pPr>
    </w:p>
    <w:p w:rsidR="00C76E6D" w:rsidRDefault="00913831">
      <w:pPr>
        <w:pStyle w:val="BodyText"/>
        <w:spacing w:line="276" w:lineRule="auto"/>
        <w:ind w:left="478" w:right="472"/>
        <w:jc w:val="both"/>
      </w:pPr>
      <w:r>
        <w:t>The Comm</w:t>
      </w:r>
      <w:r>
        <w:t>ission was glad to see several police reforms signed into law in 2020 following the murders of George</w:t>
      </w:r>
      <w:r>
        <w:rPr>
          <w:spacing w:val="-2"/>
        </w:rPr>
        <w:t xml:space="preserve"> </w:t>
      </w:r>
      <w:r>
        <w:t>Floyd</w:t>
      </w:r>
      <w:r>
        <w:rPr>
          <w:spacing w:val="-2"/>
        </w:rPr>
        <w:t xml:space="preserve"> </w:t>
      </w:r>
      <w:r>
        <w:t>and</w:t>
      </w:r>
      <w:r>
        <w:rPr>
          <w:spacing w:val="-3"/>
        </w:rPr>
        <w:t xml:space="preserve"> </w:t>
      </w:r>
      <w:r>
        <w:t>Breonna Taylor</w:t>
      </w:r>
      <w:r>
        <w:rPr>
          <w:spacing w:val="-4"/>
        </w:rPr>
        <w:t xml:space="preserve"> </w:t>
      </w:r>
      <w:r>
        <w:t>at</w:t>
      </w:r>
      <w:r>
        <w:rPr>
          <w:spacing w:val="-2"/>
        </w:rPr>
        <w:t xml:space="preserve"> </w:t>
      </w:r>
      <w:r>
        <w:t>the</w:t>
      </w:r>
      <w:r>
        <w:rPr>
          <w:spacing w:val="-2"/>
        </w:rPr>
        <w:t xml:space="preserve"> </w:t>
      </w:r>
      <w:r>
        <w:t>hands</w:t>
      </w:r>
      <w:r>
        <w:rPr>
          <w:spacing w:val="-2"/>
        </w:rPr>
        <w:t xml:space="preserve"> </w:t>
      </w:r>
      <w:r>
        <w:t>of</w:t>
      </w:r>
      <w:r>
        <w:rPr>
          <w:spacing w:val="-3"/>
        </w:rPr>
        <w:t xml:space="preserve"> </w:t>
      </w:r>
      <w:r>
        <w:t>police</w:t>
      </w:r>
      <w:r>
        <w:rPr>
          <w:spacing w:val="-3"/>
        </w:rPr>
        <w:t xml:space="preserve"> </w:t>
      </w:r>
      <w:r>
        <w:t>and</w:t>
      </w:r>
      <w:r>
        <w:rPr>
          <w:spacing w:val="-3"/>
        </w:rPr>
        <w:t xml:space="preserve"> </w:t>
      </w:r>
      <w:r>
        <w:t>countless</w:t>
      </w:r>
      <w:r>
        <w:rPr>
          <w:spacing w:val="-4"/>
        </w:rPr>
        <w:t xml:space="preserve"> </w:t>
      </w:r>
      <w:r>
        <w:t>other</w:t>
      </w:r>
      <w:r>
        <w:rPr>
          <w:spacing w:val="-3"/>
        </w:rPr>
        <w:t xml:space="preserve"> </w:t>
      </w:r>
      <w:r>
        <w:t>instances</w:t>
      </w:r>
      <w:r>
        <w:rPr>
          <w:spacing w:val="-3"/>
        </w:rPr>
        <w:t xml:space="preserve"> </w:t>
      </w:r>
      <w:r>
        <w:t>of</w:t>
      </w:r>
      <w:r>
        <w:rPr>
          <w:spacing w:val="-2"/>
        </w:rPr>
        <w:t xml:space="preserve"> </w:t>
      </w:r>
      <w:r>
        <w:t>police</w:t>
      </w:r>
      <w:r>
        <w:rPr>
          <w:spacing w:val="-3"/>
        </w:rPr>
        <w:t xml:space="preserve"> </w:t>
      </w:r>
      <w:r>
        <w:t>brutality. The</w:t>
      </w:r>
      <w:r>
        <w:rPr>
          <w:spacing w:val="-2"/>
        </w:rPr>
        <w:t xml:space="preserve"> </w:t>
      </w:r>
      <w:r>
        <w:t>Commission</w:t>
      </w:r>
      <w:r>
        <w:rPr>
          <w:spacing w:val="-2"/>
        </w:rPr>
        <w:t xml:space="preserve"> </w:t>
      </w:r>
      <w:r>
        <w:t>notes, however,</w:t>
      </w:r>
      <w:r>
        <w:rPr>
          <w:spacing w:val="-2"/>
        </w:rPr>
        <w:t xml:space="preserve"> </w:t>
      </w:r>
      <w:r>
        <w:t>that the</w:t>
      </w:r>
      <w:r>
        <w:rPr>
          <w:spacing w:val="-2"/>
        </w:rPr>
        <w:t xml:space="preserve"> </w:t>
      </w:r>
      <w:r>
        <w:t>2020</w:t>
      </w:r>
      <w:r>
        <w:rPr>
          <w:spacing w:val="-1"/>
        </w:rPr>
        <w:t xml:space="preserve"> </w:t>
      </w:r>
      <w:r>
        <w:t>reform</w:t>
      </w:r>
      <w:r>
        <w:rPr>
          <w:spacing w:val="-2"/>
        </w:rPr>
        <w:t xml:space="preserve"> </w:t>
      </w:r>
      <w:r>
        <w:t>fell short</w:t>
      </w:r>
      <w:r>
        <w:rPr>
          <w:spacing w:val="-1"/>
        </w:rPr>
        <w:t xml:space="preserve"> </w:t>
      </w:r>
      <w:r>
        <w:t>on</w:t>
      </w:r>
      <w:r>
        <w:rPr>
          <w:spacing w:val="-2"/>
        </w:rPr>
        <w:t xml:space="preserve"> </w:t>
      </w:r>
      <w:r>
        <w:t>several</w:t>
      </w:r>
      <w:r>
        <w:rPr>
          <w:spacing w:val="-2"/>
        </w:rPr>
        <w:t xml:space="preserve"> </w:t>
      </w:r>
      <w:r>
        <w:t>fronts,</w:t>
      </w:r>
      <w:r>
        <w:rPr>
          <w:spacing w:val="-1"/>
        </w:rPr>
        <w:t xml:space="preserve"> </w:t>
      </w:r>
      <w:r>
        <w:t>including</w:t>
      </w:r>
      <w:r>
        <w:rPr>
          <w:spacing w:val="-1"/>
        </w:rPr>
        <w:t xml:space="preserve"> </w:t>
      </w:r>
      <w:r>
        <w:t>failing</w:t>
      </w:r>
      <w:r>
        <w:rPr>
          <w:spacing w:val="-1"/>
        </w:rPr>
        <w:t xml:space="preserve"> </w:t>
      </w:r>
      <w:r>
        <w:t>to (1) restrict the government’s use of dangerous, racially-biased facial surveillance technology; (2) abolish or meaningfully</w:t>
      </w:r>
      <w:r>
        <w:rPr>
          <w:spacing w:val="-13"/>
        </w:rPr>
        <w:t xml:space="preserve"> </w:t>
      </w:r>
      <w:r>
        <w:t>roll</w:t>
      </w:r>
      <w:r>
        <w:rPr>
          <w:spacing w:val="-12"/>
        </w:rPr>
        <w:t xml:space="preserve"> </w:t>
      </w:r>
      <w:r>
        <w:t>back</w:t>
      </w:r>
      <w:r>
        <w:rPr>
          <w:spacing w:val="-13"/>
        </w:rPr>
        <w:t xml:space="preserve"> </w:t>
      </w:r>
      <w:r>
        <w:t>qualified</w:t>
      </w:r>
      <w:r>
        <w:rPr>
          <w:spacing w:val="-12"/>
        </w:rPr>
        <w:t xml:space="preserve"> </w:t>
      </w:r>
      <w:r>
        <w:t>immunity</w:t>
      </w:r>
      <w:r>
        <w:rPr>
          <w:spacing w:val="-13"/>
        </w:rPr>
        <w:t xml:space="preserve"> </w:t>
      </w:r>
      <w:r>
        <w:t>for</w:t>
      </w:r>
      <w:r>
        <w:rPr>
          <w:spacing w:val="-12"/>
        </w:rPr>
        <w:t xml:space="preserve"> </w:t>
      </w:r>
      <w:r>
        <w:t>police</w:t>
      </w:r>
      <w:r>
        <w:rPr>
          <w:spacing w:val="-13"/>
        </w:rPr>
        <w:t xml:space="preserve"> </w:t>
      </w:r>
      <w:r>
        <w:t>officers,</w:t>
      </w:r>
      <w:r>
        <w:rPr>
          <w:spacing w:val="-12"/>
        </w:rPr>
        <w:t xml:space="preserve"> </w:t>
      </w:r>
      <w:r>
        <w:t>which</w:t>
      </w:r>
      <w:r>
        <w:rPr>
          <w:spacing w:val="-12"/>
        </w:rPr>
        <w:t xml:space="preserve"> </w:t>
      </w:r>
      <w:r>
        <w:t>shields</w:t>
      </w:r>
      <w:r>
        <w:rPr>
          <w:spacing w:val="-13"/>
        </w:rPr>
        <w:t xml:space="preserve"> </w:t>
      </w:r>
      <w:r>
        <w:t>police</w:t>
      </w:r>
      <w:r>
        <w:rPr>
          <w:spacing w:val="-12"/>
        </w:rPr>
        <w:t xml:space="preserve"> </w:t>
      </w:r>
      <w:r>
        <w:t>from</w:t>
      </w:r>
      <w:r>
        <w:rPr>
          <w:spacing w:val="-13"/>
        </w:rPr>
        <w:t xml:space="preserve"> </w:t>
      </w:r>
      <w:r>
        <w:t>liabi</w:t>
      </w:r>
      <w:r>
        <w:t>lity</w:t>
      </w:r>
      <w:r>
        <w:rPr>
          <w:spacing w:val="-12"/>
        </w:rPr>
        <w:t xml:space="preserve"> </w:t>
      </w:r>
      <w:r>
        <w:t>for</w:t>
      </w:r>
      <w:r>
        <w:rPr>
          <w:spacing w:val="-13"/>
        </w:rPr>
        <w:t xml:space="preserve"> </w:t>
      </w:r>
      <w:r>
        <w:t>violating the</w:t>
      </w:r>
      <w:r>
        <w:rPr>
          <w:spacing w:val="-1"/>
        </w:rPr>
        <w:t xml:space="preserve"> </w:t>
      </w:r>
      <w:r>
        <w:t>rights</w:t>
      </w:r>
      <w:r>
        <w:rPr>
          <w:spacing w:val="-1"/>
        </w:rPr>
        <w:t xml:space="preserve"> </w:t>
      </w:r>
      <w:r>
        <w:t>of an</w:t>
      </w:r>
      <w:r>
        <w:rPr>
          <w:spacing w:val="-2"/>
        </w:rPr>
        <w:t xml:space="preserve"> </w:t>
      </w:r>
      <w:r>
        <w:t>individual; (3)</w:t>
      </w:r>
      <w:r>
        <w:rPr>
          <w:spacing w:val="-1"/>
        </w:rPr>
        <w:t xml:space="preserve"> </w:t>
      </w:r>
      <w:r>
        <w:t>establish clear</w:t>
      </w:r>
      <w:r>
        <w:rPr>
          <w:spacing w:val="-1"/>
        </w:rPr>
        <w:t xml:space="preserve"> </w:t>
      </w:r>
      <w:r>
        <w:t>definitions</w:t>
      </w:r>
      <w:r>
        <w:rPr>
          <w:spacing w:val="-1"/>
        </w:rPr>
        <w:t xml:space="preserve"> </w:t>
      </w:r>
      <w:r>
        <w:t>of</w:t>
      </w:r>
      <w:r>
        <w:rPr>
          <w:spacing w:val="-2"/>
        </w:rPr>
        <w:t xml:space="preserve"> </w:t>
      </w:r>
      <w:r>
        <w:t>police use</w:t>
      </w:r>
      <w:r>
        <w:rPr>
          <w:spacing w:val="-2"/>
        </w:rPr>
        <w:t xml:space="preserve"> </w:t>
      </w:r>
      <w:r>
        <w:t>of</w:t>
      </w:r>
      <w:r>
        <w:rPr>
          <w:spacing w:val="-2"/>
        </w:rPr>
        <w:t xml:space="preserve"> </w:t>
      </w:r>
      <w:r>
        <w:t>force, the</w:t>
      </w:r>
      <w:r>
        <w:rPr>
          <w:spacing w:val="-1"/>
        </w:rPr>
        <w:t xml:space="preserve"> </w:t>
      </w:r>
      <w:r>
        <w:t>failure of which</w:t>
      </w:r>
      <w:r>
        <w:rPr>
          <w:spacing w:val="-1"/>
        </w:rPr>
        <w:t xml:space="preserve"> </w:t>
      </w:r>
      <w:r>
        <w:t>leaves the</w:t>
      </w:r>
      <w:r>
        <w:rPr>
          <w:spacing w:val="-10"/>
        </w:rPr>
        <w:t xml:space="preserve"> </w:t>
      </w:r>
      <w:r>
        <w:t>appropriate</w:t>
      </w:r>
      <w:r>
        <w:rPr>
          <w:spacing w:val="-10"/>
        </w:rPr>
        <w:t xml:space="preserve"> </w:t>
      </w:r>
      <w:r>
        <w:t>standard</w:t>
      </w:r>
      <w:r>
        <w:rPr>
          <w:spacing w:val="-9"/>
        </w:rPr>
        <w:t xml:space="preserve"> </w:t>
      </w:r>
      <w:r>
        <w:t>for</w:t>
      </w:r>
      <w:r>
        <w:rPr>
          <w:spacing w:val="-10"/>
        </w:rPr>
        <w:t xml:space="preserve"> </w:t>
      </w:r>
      <w:r>
        <w:t>police</w:t>
      </w:r>
      <w:r>
        <w:rPr>
          <w:spacing w:val="-10"/>
        </w:rPr>
        <w:t xml:space="preserve"> </w:t>
      </w:r>
      <w:r>
        <w:t>use</w:t>
      </w:r>
      <w:r>
        <w:rPr>
          <w:spacing w:val="-8"/>
        </w:rPr>
        <w:t xml:space="preserve"> </w:t>
      </w:r>
      <w:r>
        <w:t>of</w:t>
      </w:r>
      <w:r>
        <w:rPr>
          <w:spacing w:val="-10"/>
        </w:rPr>
        <w:t xml:space="preserve"> </w:t>
      </w:r>
      <w:r>
        <w:t>physical</w:t>
      </w:r>
      <w:r>
        <w:rPr>
          <w:spacing w:val="-10"/>
        </w:rPr>
        <w:t xml:space="preserve"> </w:t>
      </w:r>
      <w:r>
        <w:t>force</w:t>
      </w:r>
      <w:r>
        <w:rPr>
          <w:spacing w:val="-11"/>
        </w:rPr>
        <w:t xml:space="preserve"> </w:t>
      </w:r>
      <w:r>
        <w:t>open</w:t>
      </w:r>
      <w:r>
        <w:rPr>
          <w:spacing w:val="-9"/>
        </w:rPr>
        <w:t xml:space="preserve"> </w:t>
      </w:r>
      <w:r>
        <w:t>to</w:t>
      </w:r>
      <w:r>
        <w:rPr>
          <w:spacing w:val="-10"/>
        </w:rPr>
        <w:t xml:space="preserve"> </w:t>
      </w:r>
      <w:r>
        <w:t>subjective</w:t>
      </w:r>
      <w:r>
        <w:rPr>
          <w:spacing w:val="-10"/>
        </w:rPr>
        <w:t xml:space="preserve"> </w:t>
      </w:r>
      <w:r>
        <w:t>interpretation;</w:t>
      </w:r>
      <w:r>
        <w:rPr>
          <w:spacing w:val="-10"/>
        </w:rPr>
        <w:t xml:space="preserve"> </w:t>
      </w:r>
      <w:r>
        <w:t>and</w:t>
      </w:r>
      <w:r>
        <w:rPr>
          <w:spacing w:val="-10"/>
        </w:rPr>
        <w:t xml:space="preserve"> </w:t>
      </w:r>
      <w:r>
        <w:t>(4)</w:t>
      </w:r>
      <w:r>
        <w:rPr>
          <w:spacing w:val="-11"/>
        </w:rPr>
        <w:t xml:space="preserve"> </w:t>
      </w:r>
      <w:r>
        <w:t>require local</w:t>
      </w:r>
      <w:r>
        <w:rPr>
          <w:spacing w:val="-11"/>
        </w:rPr>
        <w:t xml:space="preserve"> </w:t>
      </w:r>
      <w:r>
        <w:t>elected</w:t>
      </w:r>
      <w:r>
        <w:rPr>
          <w:spacing w:val="-10"/>
        </w:rPr>
        <w:t xml:space="preserve"> </w:t>
      </w:r>
      <w:r>
        <w:t>government</w:t>
      </w:r>
      <w:r>
        <w:rPr>
          <w:spacing w:val="-11"/>
        </w:rPr>
        <w:t xml:space="preserve"> </w:t>
      </w:r>
      <w:r>
        <w:t>bodies,</w:t>
      </w:r>
      <w:r>
        <w:rPr>
          <w:spacing w:val="-11"/>
        </w:rPr>
        <w:t xml:space="preserve"> </w:t>
      </w:r>
      <w:r>
        <w:t>like</w:t>
      </w:r>
      <w:r>
        <w:rPr>
          <w:spacing w:val="-10"/>
        </w:rPr>
        <w:t xml:space="preserve"> </w:t>
      </w:r>
      <w:r>
        <w:t>city</w:t>
      </w:r>
      <w:r>
        <w:rPr>
          <w:spacing w:val="-11"/>
        </w:rPr>
        <w:t xml:space="preserve"> </w:t>
      </w:r>
      <w:r>
        <w:t>councils,</w:t>
      </w:r>
      <w:r>
        <w:rPr>
          <w:spacing w:val="-11"/>
        </w:rPr>
        <w:t xml:space="preserve"> </w:t>
      </w:r>
      <w:r>
        <w:t>to</w:t>
      </w:r>
      <w:r>
        <w:rPr>
          <w:spacing w:val="-9"/>
        </w:rPr>
        <w:t xml:space="preserve"> </w:t>
      </w:r>
      <w:r>
        <w:t>approve</w:t>
      </w:r>
      <w:r>
        <w:rPr>
          <w:spacing w:val="-12"/>
        </w:rPr>
        <w:t xml:space="preserve"> </w:t>
      </w:r>
      <w:r>
        <w:t>any</w:t>
      </w:r>
      <w:r>
        <w:rPr>
          <w:spacing w:val="-10"/>
        </w:rPr>
        <w:t xml:space="preserve"> </w:t>
      </w:r>
      <w:r>
        <w:t>transfers</w:t>
      </w:r>
      <w:r>
        <w:rPr>
          <w:spacing w:val="-11"/>
        </w:rPr>
        <w:t xml:space="preserve"> </w:t>
      </w:r>
      <w:r>
        <w:t>to</w:t>
      </w:r>
      <w:r>
        <w:rPr>
          <w:spacing w:val="-9"/>
        </w:rPr>
        <w:t xml:space="preserve"> </w:t>
      </w:r>
      <w:r>
        <w:t>military</w:t>
      </w:r>
      <w:r>
        <w:rPr>
          <w:spacing w:val="-11"/>
        </w:rPr>
        <w:t xml:space="preserve"> </w:t>
      </w:r>
      <w:r>
        <w:t>equipment</w:t>
      </w:r>
      <w:r>
        <w:rPr>
          <w:spacing w:val="-11"/>
        </w:rPr>
        <w:t xml:space="preserve"> </w:t>
      </w:r>
      <w:r>
        <w:t>to</w:t>
      </w:r>
      <w:r>
        <w:rPr>
          <w:spacing w:val="-11"/>
        </w:rPr>
        <w:t xml:space="preserve"> </w:t>
      </w:r>
      <w:r>
        <w:t>their local police department. The Commission urges the state to pass and enact An Act to Regulate Face Surveillance (H. 135 / S. 47), which would strengthen regulatio</w:t>
      </w:r>
      <w:r>
        <w:t>ns on facial surveillance technology.</w:t>
      </w:r>
    </w:p>
    <w:p w:rsidR="00C76E6D" w:rsidRDefault="00C76E6D">
      <w:pPr>
        <w:pStyle w:val="BodyText"/>
        <w:spacing w:before="6"/>
        <w:rPr>
          <w:sz w:val="19"/>
        </w:rPr>
      </w:pPr>
    </w:p>
    <w:p w:rsidR="00C76E6D" w:rsidRDefault="00913831">
      <w:pPr>
        <w:pStyle w:val="BodyText"/>
        <w:spacing w:line="276" w:lineRule="auto"/>
        <w:ind w:left="478" w:right="475"/>
        <w:jc w:val="both"/>
      </w:pPr>
      <w:r>
        <w:t>The Commission further urges the state to enact laws to establish alternatives to police for responses to emergency events. In particular, the Commission implores the Massachusetts legislature to pass An Act to</w:t>
      </w:r>
      <w:r>
        <w:rPr>
          <w:spacing w:val="-13"/>
        </w:rPr>
        <w:t xml:space="preserve"> </w:t>
      </w:r>
      <w:r>
        <w:t>Create</w:t>
      </w:r>
      <w:r>
        <w:rPr>
          <w:spacing w:val="-12"/>
        </w:rPr>
        <w:t xml:space="preserve"> </w:t>
      </w:r>
      <w:r>
        <w:t>Alternatives</w:t>
      </w:r>
      <w:r>
        <w:rPr>
          <w:spacing w:val="-13"/>
        </w:rPr>
        <w:t xml:space="preserve"> </w:t>
      </w:r>
      <w:r>
        <w:t>for</w:t>
      </w:r>
      <w:r>
        <w:rPr>
          <w:spacing w:val="-12"/>
        </w:rPr>
        <w:t xml:space="preserve"> </w:t>
      </w:r>
      <w:r>
        <w:t>Community</w:t>
      </w:r>
      <w:r>
        <w:rPr>
          <w:spacing w:val="-13"/>
        </w:rPr>
        <w:t xml:space="preserve"> </w:t>
      </w:r>
      <w:r>
        <w:t>Emergency</w:t>
      </w:r>
      <w:r>
        <w:rPr>
          <w:spacing w:val="-12"/>
        </w:rPr>
        <w:t xml:space="preserve"> </w:t>
      </w:r>
      <w:r>
        <w:t>Services</w:t>
      </w:r>
      <w:r>
        <w:rPr>
          <w:spacing w:val="-13"/>
        </w:rPr>
        <w:t xml:space="preserve"> </w:t>
      </w:r>
      <w:r>
        <w:t>(H.</w:t>
      </w:r>
      <w:r>
        <w:rPr>
          <w:spacing w:val="-12"/>
        </w:rPr>
        <w:t xml:space="preserve"> </w:t>
      </w:r>
      <w:r>
        <w:t>2519</w:t>
      </w:r>
      <w:r>
        <w:rPr>
          <w:spacing w:val="-12"/>
        </w:rPr>
        <w:t xml:space="preserve"> </w:t>
      </w:r>
      <w:r>
        <w:t>/</w:t>
      </w:r>
      <w:r>
        <w:rPr>
          <w:spacing w:val="-13"/>
        </w:rPr>
        <w:t xml:space="preserve"> </w:t>
      </w:r>
      <w:r>
        <w:t>S.</w:t>
      </w:r>
      <w:r>
        <w:rPr>
          <w:spacing w:val="-12"/>
        </w:rPr>
        <w:t xml:space="preserve"> </w:t>
      </w:r>
      <w:r>
        <w:t>1551)</w:t>
      </w:r>
      <w:r>
        <w:rPr>
          <w:spacing w:val="-13"/>
        </w:rPr>
        <w:t xml:space="preserve"> </w:t>
      </w:r>
      <w:r>
        <w:t>would</w:t>
      </w:r>
      <w:r>
        <w:rPr>
          <w:spacing w:val="-12"/>
        </w:rPr>
        <w:t xml:space="preserve"> </w:t>
      </w:r>
      <w:r>
        <w:t>create</w:t>
      </w:r>
      <w:r>
        <w:rPr>
          <w:spacing w:val="-13"/>
        </w:rPr>
        <w:t xml:space="preserve"> </w:t>
      </w:r>
      <w:r>
        <w:t>a</w:t>
      </w:r>
      <w:r>
        <w:rPr>
          <w:spacing w:val="-12"/>
        </w:rPr>
        <w:t xml:space="preserve"> </w:t>
      </w:r>
      <w:r>
        <w:t>pilot</w:t>
      </w:r>
      <w:r>
        <w:rPr>
          <w:spacing w:val="-12"/>
        </w:rPr>
        <w:t xml:space="preserve"> </w:t>
      </w:r>
      <w:r>
        <w:t>program to establish non-law-enforcement, unarmed community-based response options for calls to 911. Additionally,</w:t>
      </w:r>
      <w:r>
        <w:rPr>
          <w:spacing w:val="-9"/>
        </w:rPr>
        <w:t xml:space="preserve"> </w:t>
      </w:r>
      <w:r>
        <w:t>the</w:t>
      </w:r>
      <w:r>
        <w:rPr>
          <w:spacing w:val="-11"/>
        </w:rPr>
        <w:t xml:space="preserve"> </w:t>
      </w:r>
      <w:r>
        <w:t>Commission</w:t>
      </w:r>
      <w:r>
        <w:rPr>
          <w:spacing w:val="-11"/>
        </w:rPr>
        <w:t xml:space="preserve"> </w:t>
      </w:r>
      <w:r>
        <w:t>continues</w:t>
      </w:r>
      <w:r>
        <w:rPr>
          <w:spacing w:val="-8"/>
        </w:rPr>
        <w:t xml:space="preserve"> </w:t>
      </w:r>
      <w:r>
        <w:t>to</w:t>
      </w:r>
      <w:r>
        <w:rPr>
          <w:spacing w:val="-11"/>
        </w:rPr>
        <w:t xml:space="preserve"> </w:t>
      </w:r>
      <w:r>
        <w:t>support</w:t>
      </w:r>
      <w:r>
        <w:rPr>
          <w:spacing w:val="-9"/>
        </w:rPr>
        <w:t xml:space="preserve"> </w:t>
      </w:r>
      <w:r>
        <w:t>the</w:t>
      </w:r>
      <w:r>
        <w:rPr>
          <w:spacing w:val="-11"/>
        </w:rPr>
        <w:t xml:space="preserve"> </w:t>
      </w:r>
      <w:r>
        <w:t>removal</w:t>
      </w:r>
      <w:r>
        <w:rPr>
          <w:spacing w:val="-11"/>
        </w:rPr>
        <w:t xml:space="preserve"> </w:t>
      </w:r>
      <w:r>
        <w:t>of</w:t>
      </w:r>
      <w:r>
        <w:rPr>
          <w:spacing w:val="-9"/>
        </w:rPr>
        <w:t xml:space="preserve"> </w:t>
      </w:r>
      <w:r>
        <w:t>po</w:t>
      </w:r>
      <w:r>
        <w:t>lice</w:t>
      </w:r>
      <w:r>
        <w:rPr>
          <w:spacing w:val="-11"/>
        </w:rPr>
        <w:t xml:space="preserve"> </w:t>
      </w:r>
      <w:r>
        <w:t>officers</w:t>
      </w:r>
      <w:r>
        <w:rPr>
          <w:spacing w:val="-11"/>
        </w:rPr>
        <w:t xml:space="preserve"> </w:t>
      </w:r>
      <w:r>
        <w:t>from</w:t>
      </w:r>
      <w:r>
        <w:rPr>
          <w:spacing w:val="-11"/>
        </w:rPr>
        <w:t xml:space="preserve"> </w:t>
      </w:r>
      <w:r>
        <w:t>schools.</w:t>
      </w:r>
      <w:r>
        <w:rPr>
          <w:spacing w:val="-11"/>
        </w:rPr>
        <w:t xml:space="preserve"> </w:t>
      </w:r>
      <w:r>
        <w:t>Though</w:t>
      </w:r>
      <w:r>
        <w:rPr>
          <w:spacing w:val="-11"/>
        </w:rPr>
        <w:t xml:space="preserve"> </w:t>
      </w:r>
      <w:r>
        <w:t>An Act</w:t>
      </w:r>
      <w:r>
        <w:rPr>
          <w:spacing w:val="-1"/>
        </w:rPr>
        <w:t xml:space="preserve"> </w:t>
      </w:r>
      <w:r>
        <w:t>Relative</w:t>
      </w:r>
      <w:r>
        <w:rPr>
          <w:spacing w:val="-1"/>
        </w:rPr>
        <w:t xml:space="preserve"> </w:t>
      </w:r>
      <w:r>
        <w:t>to</w:t>
      </w:r>
      <w:r>
        <w:rPr>
          <w:spacing w:val="-1"/>
        </w:rPr>
        <w:t xml:space="preserve"> </w:t>
      </w:r>
      <w:r>
        <w:t>the</w:t>
      </w:r>
      <w:r>
        <w:rPr>
          <w:spacing w:val="-1"/>
        </w:rPr>
        <w:t xml:space="preserve"> </w:t>
      </w:r>
      <w:r>
        <w:t>Location</w:t>
      </w:r>
      <w:r>
        <w:rPr>
          <w:spacing w:val="-2"/>
        </w:rPr>
        <w:t xml:space="preserve"> </w:t>
      </w:r>
      <w:r>
        <w:t>of</w:t>
      </w:r>
      <w:r>
        <w:rPr>
          <w:spacing w:val="-2"/>
        </w:rPr>
        <w:t xml:space="preserve"> </w:t>
      </w:r>
      <w:r>
        <w:t>School</w:t>
      </w:r>
      <w:r>
        <w:rPr>
          <w:spacing w:val="-2"/>
        </w:rPr>
        <w:t xml:space="preserve"> </w:t>
      </w:r>
      <w:r>
        <w:t>Resource</w:t>
      </w:r>
      <w:r>
        <w:rPr>
          <w:spacing w:val="-2"/>
        </w:rPr>
        <w:t xml:space="preserve"> </w:t>
      </w:r>
      <w:r>
        <w:t>Officers</w:t>
      </w:r>
      <w:r>
        <w:rPr>
          <w:spacing w:val="-1"/>
        </w:rPr>
        <w:t xml:space="preserve"> </w:t>
      </w:r>
      <w:r>
        <w:t>(H.</w:t>
      </w:r>
      <w:r>
        <w:rPr>
          <w:spacing w:val="-2"/>
        </w:rPr>
        <w:t xml:space="preserve"> </w:t>
      </w:r>
      <w:r>
        <w:t>694)</w:t>
      </w:r>
      <w:r>
        <w:rPr>
          <w:spacing w:val="-1"/>
        </w:rPr>
        <w:t xml:space="preserve"> </w:t>
      </w:r>
      <w:r>
        <w:t>did</w:t>
      </w:r>
      <w:r>
        <w:rPr>
          <w:spacing w:val="-2"/>
        </w:rPr>
        <w:t xml:space="preserve"> </w:t>
      </w:r>
      <w:r>
        <w:t>not</w:t>
      </w:r>
      <w:r>
        <w:rPr>
          <w:spacing w:val="-1"/>
        </w:rPr>
        <w:t xml:space="preserve"> </w:t>
      </w:r>
      <w:r>
        <w:t>progress</w:t>
      </w:r>
      <w:r>
        <w:rPr>
          <w:spacing w:val="-1"/>
        </w:rPr>
        <w:t xml:space="preserve"> </w:t>
      </w:r>
      <w:r>
        <w:t>in</w:t>
      </w:r>
      <w:r>
        <w:rPr>
          <w:spacing w:val="-2"/>
        </w:rPr>
        <w:t xml:space="preserve"> </w:t>
      </w:r>
      <w:r>
        <w:t>the</w:t>
      </w:r>
      <w:r>
        <w:rPr>
          <w:spacing w:val="-2"/>
        </w:rPr>
        <w:t xml:space="preserve"> </w:t>
      </w:r>
      <w:r>
        <w:t>192nd</w:t>
      </w:r>
      <w:r>
        <w:rPr>
          <w:spacing w:val="-2"/>
        </w:rPr>
        <w:t xml:space="preserve"> </w:t>
      </w:r>
      <w:r>
        <w:t>legislative cycle, the Commission urges legislators to reintroduce legislation in the 193rd cycle that would require school resource officers to be located at police stations instead of on school grounds.</w:t>
      </w:r>
    </w:p>
    <w:p w:rsidR="00C76E6D" w:rsidRDefault="00C76E6D">
      <w:pPr>
        <w:pStyle w:val="BodyText"/>
        <w:spacing w:before="5"/>
        <w:rPr>
          <w:sz w:val="25"/>
        </w:rPr>
      </w:pPr>
    </w:p>
    <w:p w:rsidR="00C76E6D" w:rsidRDefault="00913831">
      <w:pPr>
        <w:pStyle w:val="Heading6"/>
        <w:numPr>
          <w:ilvl w:val="1"/>
          <w:numId w:val="39"/>
        </w:numPr>
        <w:tabs>
          <w:tab w:val="left" w:pos="694"/>
        </w:tabs>
        <w:spacing w:line="276" w:lineRule="auto"/>
        <w:ind w:left="477" w:right="523" w:firstLine="0"/>
      </w:pPr>
      <w:bookmarkStart w:id="467" w:name="3._Decriminalize_consensual_sexual_relat"/>
      <w:bookmarkEnd w:id="467"/>
      <w:r>
        <w:t>Decriminalize</w:t>
      </w:r>
      <w:r>
        <w:rPr>
          <w:spacing w:val="-13"/>
        </w:rPr>
        <w:t xml:space="preserve"> </w:t>
      </w:r>
      <w:r>
        <w:t>consensual</w:t>
      </w:r>
      <w:r>
        <w:rPr>
          <w:spacing w:val="-12"/>
        </w:rPr>
        <w:t xml:space="preserve"> </w:t>
      </w:r>
      <w:r>
        <w:t>sexual</w:t>
      </w:r>
      <w:r>
        <w:rPr>
          <w:spacing w:val="-13"/>
        </w:rPr>
        <w:t xml:space="preserve"> </w:t>
      </w:r>
      <w:r>
        <w:t>relations</w:t>
      </w:r>
      <w:r>
        <w:rPr>
          <w:spacing w:val="-12"/>
        </w:rPr>
        <w:t xml:space="preserve"> </w:t>
      </w:r>
      <w:r>
        <w:t>among</w:t>
      </w:r>
      <w:r>
        <w:rPr>
          <w:spacing w:val="-13"/>
        </w:rPr>
        <w:t xml:space="preserve"> </w:t>
      </w:r>
      <w:r>
        <w:t>pa</w:t>
      </w:r>
      <w:r>
        <w:t>rties</w:t>
      </w:r>
      <w:r>
        <w:rPr>
          <w:spacing w:val="-12"/>
        </w:rPr>
        <w:t xml:space="preserve"> </w:t>
      </w:r>
      <w:r>
        <w:t>close</w:t>
      </w:r>
      <w:r>
        <w:rPr>
          <w:spacing w:val="-13"/>
        </w:rPr>
        <w:t xml:space="preserve"> </w:t>
      </w:r>
      <w:r>
        <w:t>in</w:t>
      </w:r>
      <w:r>
        <w:rPr>
          <w:spacing w:val="-12"/>
        </w:rPr>
        <w:t xml:space="preserve"> </w:t>
      </w:r>
      <w:r>
        <w:t>age</w:t>
      </w:r>
      <w:r>
        <w:rPr>
          <w:spacing w:val="-12"/>
        </w:rPr>
        <w:t xml:space="preserve"> </w:t>
      </w:r>
      <w:r>
        <w:t>and</w:t>
      </w:r>
      <w:r>
        <w:rPr>
          <w:spacing w:val="-13"/>
        </w:rPr>
        <w:t xml:space="preserve"> </w:t>
      </w:r>
      <w:r>
        <w:t>issue</w:t>
      </w:r>
      <w:r>
        <w:rPr>
          <w:spacing w:val="-12"/>
        </w:rPr>
        <w:t xml:space="preserve"> </w:t>
      </w:r>
      <w:r>
        <w:t>guidance</w:t>
      </w:r>
      <w:r>
        <w:rPr>
          <w:spacing w:val="-13"/>
        </w:rPr>
        <w:t xml:space="preserve"> </w:t>
      </w:r>
      <w:r>
        <w:t>on</w:t>
      </w:r>
      <w:r>
        <w:rPr>
          <w:spacing w:val="-12"/>
        </w:rPr>
        <w:t xml:space="preserve"> </w:t>
      </w:r>
      <w:r>
        <w:t>reporting consensual sexual relations between minors.</w:t>
      </w:r>
    </w:p>
    <w:p w:rsidR="00C76E6D" w:rsidRDefault="00C76E6D">
      <w:pPr>
        <w:pStyle w:val="BodyText"/>
        <w:spacing w:before="11"/>
        <w:rPr>
          <w:b/>
          <w:sz w:val="26"/>
        </w:rPr>
      </w:pPr>
    </w:p>
    <w:p w:rsidR="00C76E6D" w:rsidRDefault="00913831">
      <w:pPr>
        <w:pStyle w:val="BodyText"/>
        <w:spacing w:before="1" w:line="276" w:lineRule="auto"/>
        <w:ind w:left="478" w:right="475"/>
        <w:jc w:val="both"/>
      </w:pPr>
      <w:r>
        <w:t>Criminalization of consensual sexual relationships between minors discourages the use of critical health services</w:t>
      </w:r>
      <w:r>
        <w:rPr>
          <w:spacing w:val="-13"/>
        </w:rPr>
        <w:t xml:space="preserve"> </w:t>
      </w:r>
      <w:r>
        <w:t>and</w:t>
      </w:r>
      <w:r>
        <w:rPr>
          <w:spacing w:val="-12"/>
        </w:rPr>
        <w:t xml:space="preserve"> </w:t>
      </w:r>
      <w:r>
        <w:t>contributes</w:t>
      </w:r>
      <w:r>
        <w:rPr>
          <w:spacing w:val="-13"/>
        </w:rPr>
        <w:t xml:space="preserve"> </w:t>
      </w:r>
      <w:r>
        <w:t>to</w:t>
      </w:r>
      <w:r>
        <w:rPr>
          <w:spacing w:val="-12"/>
        </w:rPr>
        <w:t xml:space="preserve"> </w:t>
      </w:r>
      <w:r>
        <w:t>the</w:t>
      </w:r>
      <w:r>
        <w:rPr>
          <w:spacing w:val="-13"/>
        </w:rPr>
        <w:t xml:space="preserve"> </w:t>
      </w:r>
      <w:r>
        <w:t>school-to-prison</w:t>
      </w:r>
      <w:r>
        <w:rPr>
          <w:spacing w:val="-12"/>
        </w:rPr>
        <w:t xml:space="preserve"> </w:t>
      </w:r>
      <w:r>
        <w:t>pipeli</w:t>
      </w:r>
      <w:r>
        <w:t>ne.</w:t>
      </w:r>
      <w:r>
        <w:rPr>
          <w:spacing w:val="-13"/>
        </w:rPr>
        <w:t xml:space="preserve"> </w:t>
      </w:r>
      <w:r>
        <w:t>It</w:t>
      </w:r>
      <w:r>
        <w:rPr>
          <w:spacing w:val="-12"/>
        </w:rPr>
        <w:t xml:space="preserve"> </w:t>
      </w:r>
      <w:r>
        <w:t>also</w:t>
      </w:r>
      <w:r>
        <w:rPr>
          <w:spacing w:val="-12"/>
        </w:rPr>
        <w:t xml:space="preserve"> </w:t>
      </w:r>
      <w:r>
        <w:t>presents</w:t>
      </w:r>
      <w:r>
        <w:rPr>
          <w:spacing w:val="-13"/>
        </w:rPr>
        <w:t xml:space="preserve"> </w:t>
      </w:r>
      <w:r>
        <w:t>the</w:t>
      </w:r>
      <w:r>
        <w:rPr>
          <w:spacing w:val="-12"/>
        </w:rPr>
        <w:t xml:space="preserve"> </w:t>
      </w:r>
      <w:r>
        <w:t>opportunity</w:t>
      </w:r>
      <w:r>
        <w:rPr>
          <w:spacing w:val="-13"/>
        </w:rPr>
        <w:t xml:space="preserve"> </w:t>
      </w:r>
      <w:r>
        <w:t>for</w:t>
      </w:r>
      <w:r>
        <w:rPr>
          <w:spacing w:val="-12"/>
        </w:rPr>
        <w:t xml:space="preserve"> </w:t>
      </w:r>
      <w:r>
        <w:t>LGBTQ</w:t>
      </w:r>
      <w:r>
        <w:rPr>
          <w:spacing w:val="-13"/>
        </w:rPr>
        <w:t xml:space="preserve"> </w:t>
      </w:r>
      <w:r>
        <w:t xml:space="preserve">youth to be targeted with discriminatory use of these laws as a means of punishing stigmatized relationships between LGBTQ young people. These relationships should be decriminalized with a policy such as that proposed in An Act Clarifying Consent Laws for </w:t>
      </w:r>
      <w:r>
        <w:t>Adolescents (H. 1726), which would remove criminal penalties</w:t>
      </w:r>
      <w:r>
        <w:rPr>
          <w:spacing w:val="-9"/>
        </w:rPr>
        <w:t xml:space="preserve"> </w:t>
      </w:r>
      <w:r>
        <w:t>for</w:t>
      </w:r>
      <w:r>
        <w:rPr>
          <w:spacing w:val="-9"/>
        </w:rPr>
        <w:t xml:space="preserve"> </w:t>
      </w:r>
      <w:r>
        <w:t>consensual</w:t>
      </w:r>
      <w:r>
        <w:rPr>
          <w:spacing w:val="-11"/>
        </w:rPr>
        <w:t xml:space="preserve"> </w:t>
      </w:r>
      <w:r>
        <w:t>relations</w:t>
      </w:r>
      <w:r>
        <w:rPr>
          <w:spacing w:val="-10"/>
        </w:rPr>
        <w:t xml:space="preserve"> </w:t>
      </w:r>
      <w:r>
        <w:t>among</w:t>
      </w:r>
      <w:r>
        <w:rPr>
          <w:spacing w:val="-12"/>
        </w:rPr>
        <w:t xml:space="preserve"> </w:t>
      </w:r>
      <w:r>
        <w:t>youth</w:t>
      </w:r>
      <w:r>
        <w:rPr>
          <w:spacing w:val="-9"/>
        </w:rPr>
        <w:t xml:space="preserve"> </w:t>
      </w:r>
      <w:r>
        <w:t>close</w:t>
      </w:r>
      <w:r>
        <w:rPr>
          <w:spacing w:val="-10"/>
        </w:rPr>
        <w:t xml:space="preserve"> </w:t>
      </w:r>
      <w:r>
        <w:t>in</w:t>
      </w:r>
      <w:r>
        <w:rPr>
          <w:spacing w:val="-11"/>
        </w:rPr>
        <w:t xml:space="preserve"> </w:t>
      </w:r>
      <w:r>
        <w:t>age.</w:t>
      </w:r>
      <w:r>
        <w:rPr>
          <w:spacing w:val="-10"/>
        </w:rPr>
        <w:t xml:space="preserve"> </w:t>
      </w:r>
      <w:r>
        <w:t>The</w:t>
      </w:r>
      <w:r>
        <w:rPr>
          <w:spacing w:val="-10"/>
        </w:rPr>
        <w:t xml:space="preserve"> </w:t>
      </w:r>
      <w:r>
        <w:t>Commission</w:t>
      </w:r>
      <w:r>
        <w:rPr>
          <w:spacing w:val="-12"/>
        </w:rPr>
        <w:t xml:space="preserve"> </w:t>
      </w:r>
      <w:r>
        <w:t>is</w:t>
      </w:r>
      <w:r>
        <w:rPr>
          <w:spacing w:val="-9"/>
        </w:rPr>
        <w:t xml:space="preserve"> </w:t>
      </w:r>
      <w:r>
        <w:t>disappointed</w:t>
      </w:r>
      <w:r>
        <w:rPr>
          <w:spacing w:val="-10"/>
        </w:rPr>
        <w:t xml:space="preserve"> </w:t>
      </w:r>
      <w:r>
        <w:t>that</w:t>
      </w:r>
      <w:r>
        <w:rPr>
          <w:spacing w:val="-10"/>
        </w:rPr>
        <w:t xml:space="preserve"> </w:t>
      </w:r>
      <w:r>
        <w:t>H.</w:t>
      </w:r>
      <w:r>
        <w:rPr>
          <w:spacing w:val="-10"/>
        </w:rPr>
        <w:t xml:space="preserve"> </w:t>
      </w:r>
      <w:r>
        <w:t>1726 will not pass in the 192nd legislative cycle and urges legislators to reintroduce and pass this bill</w:t>
      </w:r>
      <w:r>
        <w:t xml:space="preserve"> in the 193rd cycle next year. Relatedly, the Commission recommends the decriminalization of minors engaging in consensual peer-to-peer dissemination of explicit visual material and stresses the need for education in</w:t>
      </w:r>
      <w:r>
        <w:rPr>
          <w:spacing w:val="-3"/>
        </w:rPr>
        <w:t xml:space="preserve"> </w:t>
      </w:r>
      <w:r>
        <w:t>this</w:t>
      </w:r>
      <w:r>
        <w:rPr>
          <w:spacing w:val="-3"/>
        </w:rPr>
        <w:t xml:space="preserve"> </w:t>
      </w:r>
      <w:r>
        <w:t>area</w:t>
      </w:r>
      <w:r>
        <w:rPr>
          <w:spacing w:val="-3"/>
        </w:rPr>
        <w:t xml:space="preserve"> </w:t>
      </w:r>
      <w:r>
        <w:t>instead</w:t>
      </w:r>
      <w:r>
        <w:rPr>
          <w:spacing w:val="-3"/>
        </w:rPr>
        <w:t xml:space="preserve"> </w:t>
      </w:r>
      <w:r>
        <w:t>of</w:t>
      </w:r>
      <w:r>
        <w:rPr>
          <w:spacing w:val="-3"/>
        </w:rPr>
        <w:t xml:space="preserve"> </w:t>
      </w:r>
      <w:r>
        <w:t>criminal</w:t>
      </w:r>
      <w:r>
        <w:rPr>
          <w:spacing w:val="-3"/>
        </w:rPr>
        <w:t xml:space="preserve"> </w:t>
      </w:r>
      <w:r>
        <w:t>punishmen</w:t>
      </w:r>
      <w:r>
        <w:t>t.</w:t>
      </w:r>
      <w:r>
        <w:rPr>
          <w:spacing w:val="-3"/>
        </w:rPr>
        <w:t xml:space="preserve"> </w:t>
      </w:r>
      <w:r>
        <w:t>Furthermore,</w:t>
      </w:r>
      <w:r>
        <w:rPr>
          <w:spacing w:val="-3"/>
        </w:rPr>
        <w:t xml:space="preserve"> </w:t>
      </w:r>
      <w:r>
        <w:t>given</w:t>
      </w:r>
      <w:r>
        <w:rPr>
          <w:spacing w:val="-3"/>
        </w:rPr>
        <w:t xml:space="preserve"> </w:t>
      </w:r>
      <w:r>
        <w:t>the</w:t>
      </w:r>
      <w:r>
        <w:rPr>
          <w:spacing w:val="-3"/>
        </w:rPr>
        <w:t xml:space="preserve"> </w:t>
      </w:r>
      <w:r>
        <w:t>harmful</w:t>
      </w:r>
      <w:r>
        <w:rPr>
          <w:spacing w:val="-3"/>
        </w:rPr>
        <w:t xml:space="preserve"> </w:t>
      </w:r>
      <w:r>
        <w:t>effects</w:t>
      </w:r>
      <w:r>
        <w:rPr>
          <w:spacing w:val="-2"/>
        </w:rPr>
        <w:t xml:space="preserve"> </w:t>
      </w:r>
      <w:r>
        <w:t>of</w:t>
      </w:r>
      <w:r>
        <w:rPr>
          <w:spacing w:val="-3"/>
        </w:rPr>
        <w:t xml:space="preserve"> </w:t>
      </w:r>
      <w:r>
        <w:t>the</w:t>
      </w:r>
      <w:r>
        <w:rPr>
          <w:spacing w:val="-3"/>
        </w:rPr>
        <w:t xml:space="preserve"> </w:t>
      </w:r>
      <w:r>
        <w:t>criminalization of consensual sexual relationships between minors as noted above, state entities can play a role in clarifying</w:t>
      </w:r>
      <w:r>
        <w:rPr>
          <w:spacing w:val="-10"/>
        </w:rPr>
        <w:t xml:space="preserve"> </w:t>
      </w:r>
      <w:r>
        <w:t>when</w:t>
      </w:r>
      <w:r>
        <w:rPr>
          <w:spacing w:val="-12"/>
        </w:rPr>
        <w:t xml:space="preserve"> </w:t>
      </w:r>
      <w:r>
        <w:t>such</w:t>
      </w:r>
      <w:r>
        <w:rPr>
          <w:spacing w:val="-12"/>
        </w:rPr>
        <w:t xml:space="preserve"> </w:t>
      </w:r>
      <w:r>
        <w:t>reporting</w:t>
      </w:r>
      <w:r>
        <w:rPr>
          <w:spacing w:val="-11"/>
        </w:rPr>
        <w:t xml:space="preserve"> </w:t>
      </w:r>
      <w:r>
        <w:t>should</w:t>
      </w:r>
      <w:r>
        <w:rPr>
          <w:spacing w:val="-10"/>
        </w:rPr>
        <w:t xml:space="preserve"> </w:t>
      </w:r>
      <w:r>
        <w:t>occur</w:t>
      </w:r>
      <w:r>
        <w:rPr>
          <w:spacing w:val="-10"/>
        </w:rPr>
        <w:t xml:space="preserve"> </w:t>
      </w:r>
      <w:r>
        <w:t>and</w:t>
      </w:r>
      <w:r>
        <w:rPr>
          <w:spacing w:val="-10"/>
        </w:rPr>
        <w:t xml:space="preserve"> </w:t>
      </w:r>
      <w:r>
        <w:t>in</w:t>
      </w:r>
      <w:r>
        <w:rPr>
          <w:spacing w:val="-10"/>
        </w:rPr>
        <w:t xml:space="preserve"> </w:t>
      </w:r>
      <w:r>
        <w:t>helping</w:t>
      </w:r>
      <w:r>
        <w:rPr>
          <w:spacing w:val="-10"/>
        </w:rPr>
        <w:t xml:space="preserve"> </w:t>
      </w:r>
      <w:r>
        <w:t>make</w:t>
      </w:r>
      <w:r>
        <w:rPr>
          <w:spacing w:val="-10"/>
        </w:rPr>
        <w:t xml:space="preserve"> </w:t>
      </w:r>
      <w:r>
        <w:t>clear</w:t>
      </w:r>
      <w:r>
        <w:rPr>
          <w:spacing w:val="-11"/>
        </w:rPr>
        <w:t xml:space="preserve"> </w:t>
      </w:r>
      <w:r>
        <w:t>to</w:t>
      </w:r>
      <w:r>
        <w:rPr>
          <w:spacing w:val="-11"/>
        </w:rPr>
        <w:t xml:space="preserve"> </w:t>
      </w:r>
      <w:r>
        <w:t>youth</w:t>
      </w:r>
      <w:r>
        <w:rPr>
          <w:spacing w:val="-9"/>
        </w:rPr>
        <w:t xml:space="preserve"> </w:t>
      </w:r>
      <w:r>
        <w:t>when</w:t>
      </w:r>
      <w:r>
        <w:rPr>
          <w:spacing w:val="-10"/>
        </w:rPr>
        <w:t xml:space="preserve"> </w:t>
      </w:r>
      <w:r>
        <w:t>they</w:t>
      </w:r>
      <w:r>
        <w:rPr>
          <w:spacing w:val="-10"/>
        </w:rPr>
        <w:t xml:space="preserve"> </w:t>
      </w:r>
      <w:r>
        <w:t>are</w:t>
      </w:r>
      <w:r>
        <w:rPr>
          <w:spacing w:val="-11"/>
        </w:rPr>
        <w:t xml:space="preserve"> </w:t>
      </w:r>
      <w:r>
        <w:t>able</w:t>
      </w:r>
      <w:r>
        <w:rPr>
          <w:spacing w:val="-10"/>
        </w:rPr>
        <w:t xml:space="preserve"> </w:t>
      </w:r>
      <w:r>
        <w:t>to</w:t>
      </w:r>
      <w:r>
        <w:rPr>
          <w:spacing w:val="-9"/>
        </w:rPr>
        <w:t xml:space="preserve"> </w:t>
      </w:r>
      <w:r>
        <w:t>seek services without fear of punishment. The Commission has heard from actors in fields such as education, health,</w:t>
      </w:r>
      <w:r>
        <w:rPr>
          <w:spacing w:val="30"/>
        </w:rPr>
        <w:t xml:space="preserve"> </w:t>
      </w:r>
      <w:r>
        <w:t>and</w:t>
      </w:r>
      <w:r>
        <w:rPr>
          <w:spacing w:val="29"/>
        </w:rPr>
        <w:t xml:space="preserve"> </w:t>
      </w:r>
      <w:r>
        <w:t>congregate</w:t>
      </w:r>
      <w:r>
        <w:rPr>
          <w:spacing w:val="30"/>
        </w:rPr>
        <w:t xml:space="preserve"> </w:t>
      </w:r>
      <w:r>
        <w:t>care</w:t>
      </w:r>
      <w:r>
        <w:rPr>
          <w:spacing w:val="27"/>
        </w:rPr>
        <w:t xml:space="preserve"> </w:t>
      </w:r>
      <w:r>
        <w:t>that</w:t>
      </w:r>
      <w:r>
        <w:rPr>
          <w:spacing w:val="29"/>
        </w:rPr>
        <w:t xml:space="preserve"> </w:t>
      </w:r>
      <w:r>
        <w:t>the</w:t>
      </w:r>
      <w:r>
        <w:rPr>
          <w:spacing w:val="31"/>
        </w:rPr>
        <w:t xml:space="preserve"> </w:t>
      </w:r>
      <w:r>
        <w:t>current</w:t>
      </w:r>
      <w:r>
        <w:rPr>
          <w:spacing w:val="29"/>
        </w:rPr>
        <w:t xml:space="preserve"> </w:t>
      </w:r>
      <w:r>
        <w:t>lack</w:t>
      </w:r>
      <w:r>
        <w:rPr>
          <w:spacing w:val="28"/>
        </w:rPr>
        <w:t xml:space="preserve"> </w:t>
      </w:r>
      <w:r>
        <w:t>of</w:t>
      </w:r>
      <w:r>
        <w:rPr>
          <w:spacing w:val="28"/>
        </w:rPr>
        <w:t xml:space="preserve"> </w:t>
      </w:r>
      <w:r>
        <w:t>clarity</w:t>
      </w:r>
      <w:r>
        <w:rPr>
          <w:spacing w:val="29"/>
        </w:rPr>
        <w:t xml:space="preserve"> </w:t>
      </w:r>
      <w:r>
        <w:t>and</w:t>
      </w:r>
      <w:r>
        <w:rPr>
          <w:spacing w:val="30"/>
        </w:rPr>
        <w:t xml:space="preserve"> </w:t>
      </w:r>
      <w:r>
        <w:t>fairness</w:t>
      </w:r>
      <w:r>
        <w:rPr>
          <w:spacing w:val="29"/>
        </w:rPr>
        <w:t xml:space="preserve"> </w:t>
      </w:r>
      <w:r>
        <w:t>in</w:t>
      </w:r>
      <w:r>
        <w:rPr>
          <w:spacing w:val="29"/>
        </w:rPr>
        <w:t xml:space="preserve"> </w:t>
      </w:r>
      <w:r>
        <w:t>the</w:t>
      </w:r>
      <w:r>
        <w:rPr>
          <w:spacing w:val="27"/>
        </w:rPr>
        <w:t xml:space="preserve"> </w:t>
      </w:r>
      <w:r>
        <w:t>law</w:t>
      </w:r>
      <w:r>
        <w:rPr>
          <w:spacing w:val="31"/>
        </w:rPr>
        <w:t xml:space="preserve"> </w:t>
      </w:r>
      <w:r>
        <w:t>presents</w:t>
      </w:r>
      <w:r>
        <w:rPr>
          <w:spacing w:val="29"/>
        </w:rPr>
        <w:t xml:space="preserve"> </w:t>
      </w:r>
      <w:r>
        <w:t>a</w:t>
      </w:r>
      <w:r>
        <w:rPr>
          <w:spacing w:val="30"/>
        </w:rPr>
        <w:t xml:space="preserve"> </w:t>
      </w:r>
      <w:r>
        <w:t>major</w:t>
      </w:r>
    </w:p>
    <w:p w:rsidR="00C76E6D" w:rsidRDefault="00C76E6D">
      <w:pPr>
        <w:spacing w:line="276" w:lineRule="auto"/>
        <w:jc w:val="both"/>
        <w:sectPr w:rsidR="00C76E6D">
          <w:pgSz w:w="12240" w:h="15840"/>
          <w:pgMar w:top="960" w:right="960" w:bottom="920" w:left="960" w:header="769" w:footer="720"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ind w:left="480"/>
        <w:jc w:val="both"/>
      </w:pPr>
      <w:r>
        <w:t>problem</w:t>
      </w:r>
      <w:r>
        <w:rPr>
          <w:spacing w:val="67"/>
          <w:w w:val="150"/>
        </w:rPr>
        <w:t xml:space="preserve"> </w:t>
      </w:r>
      <w:r>
        <w:t>for</w:t>
      </w:r>
      <w:r>
        <w:rPr>
          <w:spacing w:val="69"/>
          <w:w w:val="150"/>
        </w:rPr>
        <w:t xml:space="preserve"> </w:t>
      </w:r>
      <w:r>
        <w:t>delivering</w:t>
      </w:r>
      <w:r>
        <w:rPr>
          <w:spacing w:val="72"/>
          <w:w w:val="150"/>
        </w:rPr>
        <w:t xml:space="preserve"> </w:t>
      </w:r>
      <w:r>
        <w:t>services,</w:t>
      </w:r>
      <w:r>
        <w:rPr>
          <w:spacing w:val="67"/>
          <w:w w:val="150"/>
        </w:rPr>
        <w:t xml:space="preserve"> </w:t>
      </w:r>
      <w:r>
        <w:t>and</w:t>
      </w:r>
      <w:r>
        <w:rPr>
          <w:spacing w:val="68"/>
          <w:w w:val="150"/>
        </w:rPr>
        <w:t xml:space="preserve"> </w:t>
      </w:r>
      <w:r>
        <w:t>the</w:t>
      </w:r>
      <w:r>
        <w:rPr>
          <w:spacing w:val="69"/>
          <w:w w:val="150"/>
        </w:rPr>
        <w:t xml:space="preserve"> </w:t>
      </w:r>
      <w:r>
        <w:t>state</w:t>
      </w:r>
      <w:r>
        <w:rPr>
          <w:spacing w:val="70"/>
          <w:w w:val="150"/>
        </w:rPr>
        <w:t xml:space="preserve"> </w:t>
      </w:r>
      <w:r>
        <w:t>can</w:t>
      </w:r>
      <w:r>
        <w:rPr>
          <w:spacing w:val="68"/>
          <w:w w:val="150"/>
        </w:rPr>
        <w:t xml:space="preserve"> </w:t>
      </w:r>
      <w:r>
        <w:t>easily</w:t>
      </w:r>
      <w:r>
        <w:rPr>
          <w:spacing w:val="70"/>
          <w:w w:val="150"/>
        </w:rPr>
        <w:t xml:space="preserve"> </w:t>
      </w:r>
      <w:r>
        <w:t>remedy</w:t>
      </w:r>
      <w:r>
        <w:rPr>
          <w:spacing w:val="69"/>
          <w:w w:val="150"/>
        </w:rPr>
        <w:t xml:space="preserve"> </w:t>
      </w:r>
      <w:r>
        <w:t>this</w:t>
      </w:r>
      <w:r>
        <w:rPr>
          <w:spacing w:val="69"/>
          <w:w w:val="150"/>
        </w:rPr>
        <w:t xml:space="preserve"> </w:t>
      </w:r>
      <w:r>
        <w:t>challenging</w:t>
      </w:r>
      <w:r>
        <w:rPr>
          <w:spacing w:val="67"/>
          <w:w w:val="150"/>
        </w:rPr>
        <w:t xml:space="preserve"> </w:t>
      </w:r>
      <w:r>
        <w:rPr>
          <w:spacing w:val="-2"/>
        </w:rPr>
        <w:t>situation.</w:t>
      </w:r>
    </w:p>
    <w:p w:rsidR="00C76E6D" w:rsidRDefault="00C76E6D">
      <w:pPr>
        <w:pStyle w:val="BodyText"/>
        <w:spacing w:before="8"/>
        <w:rPr>
          <w:sz w:val="28"/>
        </w:rPr>
      </w:pPr>
    </w:p>
    <w:p w:rsidR="00C76E6D" w:rsidRDefault="00913831">
      <w:pPr>
        <w:pStyle w:val="Heading6"/>
        <w:numPr>
          <w:ilvl w:val="1"/>
          <w:numId w:val="39"/>
        </w:numPr>
        <w:tabs>
          <w:tab w:val="left" w:pos="699"/>
        </w:tabs>
        <w:spacing w:line="276" w:lineRule="auto"/>
        <w:ind w:left="480" w:right="521" w:hanging="1"/>
      </w:pPr>
      <w:bookmarkStart w:id="468" w:name="4._Adapt_the_Sexual_Orientation_and_Gend"/>
      <w:bookmarkEnd w:id="468"/>
      <w:r>
        <w:t>Adapt</w:t>
      </w:r>
      <w:r>
        <w:rPr>
          <w:spacing w:val="-9"/>
        </w:rPr>
        <w:t xml:space="preserve"> </w:t>
      </w:r>
      <w:r>
        <w:t>the</w:t>
      </w:r>
      <w:r>
        <w:rPr>
          <w:spacing w:val="-7"/>
        </w:rPr>
        <w:t xml:space="preserve"> </w:t>
      </w:r>
      <w:r>
        <w:t>Sexual</w:t>
      </w:r>
      <w:r>
        <w:rPr>
          <w:spacing w:val="-9"/>
        </w:rPr>
        <w:t xml:space="preserve"> </w:t>
      </w:r>
      <w:r>
        <w:t>Orientation</w:t>
      </w:r>
      <w:r>
        <w:rPr>
          <w:spacing w:val="-8"/>
        </w:rPr>
        <w:t xml:space="preserve"> </w:t>
      </w:r>
      <w:r>
        <w:t>and</w:t>
      </w:r>
      <w:r>
        <w:rPr>
          <w:spacing w:val="-9"/>
        </w:rPr>
        <w:t xml:space="preserve"> </w:t>
      </w:r>
      <w:r>
        <w:t>Gender</w:t>
      </w:r>
      <w:r>
        <w:rPr>
          <w:spacing w:val="-9"/>
        </w:rPr>
        <w:t xml:space="preserve"> </w:t>
      </w:r>
      <w:r>
        <w:t>Identity</w:t>
      </w:r>
      <w:r>
        <w:rPr>
          <w:spacing w:val="-9"/>
        </w:rPr>
        <w:t xml:space="preserve"> </w:t>
      </w:r>
      <w:r>
        <w:t>or</w:t>
      </w:r>
      <w:r>
        <w:rPr>
          <w:spacing w:val="-7"/>
        </w:rPr>
        <w:t xml:space="preserve"> </w:t>
      </w:r>
      <w:r>
        <w:t>Expression</w:t>
      </w:r>
      <w:r>
        <w:rPr>
          <w:spacing w:val="-9"/>
        </w:rPr>
        <w:t xml:space="preserve"> </w:t>
      </w:r>
      <w:r>
        <w:t>Guiding</w:t>
      </w:r>
      <w:r>
        <w:rPr>
          <w:spacing w:val="-7"/>
        </w:rPr>
        <w:t xml:space="preserve"> </w:t>
      </w:r>
      <w:r>
        <w:t>Principles</w:t>
      </w:r>
      <w:r>
        <w:rPr>
          <w:spacing w:val="-9"/>
        </w:rPr>
        <w:t xml:space="preserve"> </w:t>
      </w:r>
      <w:r>
        <w:t>developed</w:t>
      </w:r>
      <w:r>
        <w:rPr>
          <w:spacing w:val="-9"/>
        </w:rPr>
        <w:t xml:space="preserve"> </w:t>
      </w:r>
      <w:r>
        <w:t>by</w:t>
      </w:r>
      <w:r>
        <w:rPr>
          <w:spacing w:val="-8"/>
        </w:rPr>
        <w:t xml:space="preserve"> </w:t>
      </w:r>
      <w:r>
        <w:t>the Juvenile Detention Alternative Initiative (JDAI)’s Special Populations Work Group.</w:t>
      </w:r>
    </w:p>
    <w:p w:rsidR="00C76E6D" w:rsidRDefault="00C76E6D">
      <w:pPr>
        <w:pStyle w:val="BodyText"/>
        <w:spacing w:before="7"/>
        <w:rPr>
          <w:b/>
          <w:sz w:val="19"/>
        </w:rPr>
      </w:pPr>
    </w:p>
    <w:p w:rsidR="00C76E6D" w:rsidRDefault="00913831">
      <w:pPr>
        <w:pStyle w:val="BodyText"/>
        <w:spacing w:line="276" w:lineRule="auto"/>
        <w:ind w:left="478" w:right="475"/>
        <w:jc w:val="both"/>
      </w:pPr>
      <w:r>
        <w:t>The Commonwealth’s JDAI program has helped implement interventions at every level to reduce the number of youth who are detained in the juvenile justice system. The Spe</w:t>
      </w:r>
      <w:r>
        <w:t>cial Populations Work Group has developed guiding principles that provide instruction to all those who work in or impact the juvenile justice</w:t>
      </w:r>
      <w:r>
        <w:rPr>
          <w:spacing w:val="-10"/>
        </w:rPr>
        <w:t xml:space="preserve"> </w:t>
      </w:r>
      <w:r>
        <w:t>system</w:t>
      </w:r>
      <w:r>
        <w:rPr>
          <w:spacing w:val="-11"/>
        </w:rPr>
        <w:t xml:space="preserve"> </w:t>
      </w:r>
      <w:r>
        <w:t>with</w:t>
      </w:r>
      <w:r>
        <w:rPr>
          <w:spacing w:val="-10"/>
        </w:rPr>
        <w:t xml:space="preserve"> </w:t>
      </w:r>
      <w:r>
        <w:t>respect</w:t>
      </w:r>
      <w:r>
        <w:rPr>
          <w:spacing w:val="-10"/>
        </w:rPr>
        <w:t xml:space="preserve"> </w:t>
      </w:r>
      <w:r>
        <w:t>to</w:t>
      </w:r>
      <w:r>
        <w:rPr>
          <w:spacing w:val="-8"/>
        </w:rPr>
        <w:t xml:space="preserve"> </w:t>
      </w:r>
      <w:r>
        <w:t>sexual</w:t>
      </w:r>
      <w:r>
        <w:rPr>
          <w:spacing w:val="-10"/>
        </w:rPr>
        <w:t xml:space="preserve"> </w:t>
      </w:r>
      <w:r>
        <w:t>orientation</w:t>
      </w:r>
      <w:r>
        <w:rPr>
          <w:spacing w:val="-10"/>
        </w:rPr>
        <w:t xml:space="preserve"> </w:t>
      </w:r>
      <w:r>
        <w:t>and</w:t>
      </w:r>
      <w:r>
        <w:rPr>
          <w:spacing w:val="-11"/>
        </w:rPr>
        <w:t xml:space="preserve"> </w:t>
      </w:r>
      <w:r>
        <w:t>gender</w:t>
      </w:r>
      <w:r>
        <w:rPr>
          <w:spacing w:val="-10"/>
        </w:rPr>
        <w:t xml:space="preserve"> </w:t>
      </w:r>
      <w:r>
        <w:t>identity.</w:t>
      </w:r>
      <w:r>
        <w:rPr>
          <w:spacing w:val="-9"/>
        </w:rPr>
        <w:t xml:space="preserve"> </w:t>
      </w:r>
      <w:r>
        <w:t>These</w:t>
      </w:r>
      <w:r>
        <w:rPr>
          <w:spacing w:val="-8"/>
        </w:rPr>
        <w:t xml:space="preserve"> </w:t>
      </w:r>
      <w:r>
        <w:t>principles</w:t>
      </w:r>
      <w:r>
        <w:rPr>
          <w:spacing w:val="-11"/>
        </w:rPr>
        <w:t xml:space="preserve"> </w:t>
      </w:r>
      <w:r>
        <w:t>include</w:t>
      </w:r>
      <w:r>
        <w:rPr>
          <w:spacing w:val="-11"/>
        </w:rPr>
        <w:t xml:space="preserve"> </w:t>
      </w:r>
      <w:r>
        <w:t>recognizing the</w:t>
      </w:r>
      <w:r>
        <w:rPr>
          <w:spacing w:val="-10"/>
        </w:rPr>
        <w:t xml:space="preserve"> </w:t>
      </w:r>
      <w:r>
        <w:t>self-deter</w:t>
      </w:r>
      <w:r>
        <w:t>mination</w:t>
      </w:r>
      <w:r>
        <w:rPr>
          <w:spacing w:val="-10"/>
        </w:rPr>
        <w:t xml:space="preserve"> </w:t>
      </w:r>
      <w:r>
        <w:t>of</w:t>
      </w:r>
      <w:r>
        <w:rPr>
          <w:spacing w:val="-11"/>
        </w:rPr>
        <w:t xml:space="preserve"> </w:t>
      </w:r>
      <w:r>
        <w:t>one’s</w:t>
      </w:r>
      <w:r>
        <w:rPr>
          <w:spacing w:val="-11"/>
        </w:rPr>
        <w:t xml:space="preserve"> </w:t>
      </w:r>
      <w:r>
        <w:t>gender</w:t>
      </w:r>
      <w:r>
        <w:rPr>
          <w:spacing w:val="-10"/>
        </w:rPr>
        <w:t xml:space="preserve"> </w:t>
      </w:r>
      <w:r>
        <w:t>regardless</w:t>
      </w:r>
      <w:r>
        <w:rPr>
          <w:spacing w:val="-11"/>
        </w:rPr>
        <w:t xml:space="preserve"> </w:t>
      </w:r>
      <w:r>
        <w:t>of</w:t>
      </w:r>
      <w:r>
        <w:rPr>
          <w:spacing w:val="-11"/>
        </w:rPr>
        <w:t xml:space="preserve"> </w:t>
      </w:r>
      <w:r>
        <w:t>legal</w:t>
      </w:r>
      <w:r>
        <w:rPr>
          <w:spacing w:val="-11"/>
        </w:rPr>
        <w:t xml:space="preserve"> </w:t>
      </w:r>
      <w:r>
        <w:t>sex;</w:t>
      </w:r>
      <w:r>
        <w:rPr>
          <w:spacing w:val="-10"/>
        </w:rPr>
        <w:t xml:space="preserve"> </w:t>
      </w:r>
      <w:r>
        <w:t>a</w:t>
      </w:r>
      <w:r>
        <w:rPr>
          <w:spacing w:val="-8"/>
        </w:rPr>
        <w:t xml:space="preserve"> </w:t>
      </w:r>
      <w:r>
        <w:t>commitment</w:t>
      </w:r>
      <w:r>
        <w:rPr>
          <w:spacing w:val="-11"/>
        </w:rPr>
        <w:t xml:space="preserve"> </w:t>
      </w:r>
      <w:r>
        <w:t>to</w:t>
      </w:r>
      <w:r>
        <w:rPr>
          <w:spacing w:val="-8"/>
        </w:rPr>
        <w:t xml:space="preserve"> </w:t>
      </w:r>
      <w:r>
        <w:t>improving</w:t>
      </w:r>
      <w:r>
        <w:rPr>
          <w:spacing w:val="-10"/>
        </w:rPr>
        <w:t xml:space="preserve"> </w:t>
      </w:r>
      <w:r>
        <w:t>data</w:t>
      </w:r>
      <w:r>
        <w:rPr>
          <w:spacing w:val="-11"/>
        </w:rPr>
        <w:t xml:space="preserve"> </w:t>
      </w:r>
      <w:r>
        <w:t>collection and analysis; and “encouraging self-determination and positive identity through respect and fairness in all justice system structures and interactions.” The Commission commends JDAI for this important work and</w:t>
      </w:r>
      <w:r>
        <w:rPr>
          <w:spacing w:val="-4"/>
        </w:rPr>
        <w:t xml:space="preserve"> </w:t>
      </w:r>
      <w:r>
        <w:t>encourages</w:t>
      </w:r>
      <w:r>
        <w:rPr>
          <w:spacing w:val="-3"/>
        </w:rPr>
        <w:t xml:space="preserve"> </w:t>
      </w:r>
      <w:r>
        <w:t>all</w:t>
      </w:r>
      <w:r>
        <w:rPr>
          <w:spacing w:val="-4"/>
        </w:rPr>
        <w:t xml:space="preserve"> </w:t>
      </w:r>
      <w:r>
        <w:t>applicable</w:t>
      </w:r>
      <w:r>
        <w:rPr>
          <w:spacing w:val="-4"/>
        </w:rPr>
        <w:t xml:space="preserve"> </w:t>
      </w:r>
      <w:r>
        <w:t>state</w:t>
      </w:r>
      <w:r>
        <w:rPr>
          <w:spacing w:val="-3"/>
        </w:rPr>
        <w:t xml:space="preserve"> </w:t>
      </w:r>
      <w:r>
        <w:t>act</w:t>
      </w:r>
      <w:r>
        <w:t>ors,</w:t>
      </w:r>
      <w:r>
        <w:rPr>
          <w:spacing w:val="-4"/>
        </w:rPr>
        <w:t xml:space="preserve"> </w:t>
      </w:r>
      <w:r>
        <w:t>including</w:t>
      </w:r>
      <w:r>
        <w:rPr>
          <w:spacing w:val="-2"/>
        </w:rPr>
        <w:t xml:space="preserve"> </w:t>
      </w:r>
      <w:r>
        <w:t>law</w:t>
      </w:r>
      <w:r>
        <w:rPr>
          <w:spacing w:val="-4"/>
        </w:rPr>
        <w:t xml:space="preserve"> </w:t>
      </w:r>
      <w:r>
        <w:t>enforcement,</w:t>
      </w:r>
      <w:r>
        <w:rPr>
          <w:spacing w:val="-3"/>
        </w:rPr>
        <w:t xml:space="preserve"> </w:t>
      </w:r>
      <w:r>
        <w:t>courts,</w:t>
      </w:r>
      <w:r>
        <w:rPr>
          <w:spacing w:val="-3"/>
        </w:rPr>
        <w:t xml:space="preserve"> </w:t>
      </w:r>
      <w:r>
        <w:t>and</w:t>
      </w:r>
      <w:r>
        <w:rPr>
          <w:spacing w:val="-4"/>
        </w:rPr>
        <w:t xml:space="preserve"> </w:t>
      </w:r>
      <w:r>
        <w:t>others,</w:t>
      </w:r>
      <w:r>
        <w:rPr>
          <w:spacing w:val="-3"/>
        </w:rPr>
        <w:t xml:space="preserve"> </w:t>
      </w:r>
      <w:r>
        <w:t>to</w:t>
      </w:r>
      <w:r>
        <w:rPr>
          <w:spacing w:val="-2"/>
        </w:rPr>
        <w:t xml:space="preserve"> </w:t>
      </w:r>
      <w:r>
        <w:t>adopt</w:t>
      </w:r>
      <w:r>
        <w:rPr>
          <w:spacing w:val="-3"/>
        </w:rPr>
        <w:t xml:space="preserve"> </w:t>
      </w:r>
      <w:r>
        <w:t xml:space="preserve">these </w:t>
      </w:r>
      <w:r>
        <w:rPr>
          <w:spacing w:val="-2"/>
        </w:rPr>
        <w:t>principles.</w:t>
      </w:r>
    </w:p>
    <w:p w:rsidR="00C76E6D" w:rsidRDefault="00C76E6D">
      <w:pPr>
        <w:pStyle w:val="BodyText"/>
        <w:spacing w:before="4"/>
        <w:rPr>
          <w:sz w:val="25"/>
        </w:rPr>
      </w:pPr>
    </w:p>
    <w:p w:rsidR="00C76E6D" w:rsidRDefault="00913831">
      <w:pPr>
        <w:pStyle w:val="Heading6"/>
        <w:numPr>
          <w:ilvl w:val="1"/>
          <w:numId w:val="39"/>
        </w:numPr>
        <w:tabs>
          <w:tab w:val="left" w:pos="699"/>
        </w:tabs>
        <w:ind w:left="698" w:hanging="222"/>
      </w:pPr>
      <w:bookmarkStart w:id="469" w:name="5._Decriminalize_sex_work."/>
      <w:bookmarkEnd w:id="469"/>
      <w:r>
        <w:rPr>
          <w:w w:val="95"/>
        </w:rPr>
        <w:t>Decriminalize</w:t>
      </w:r>
      <w:r>
        <w:rPr>
          <w:spacing w:val="15"/>
        </w:rPr>
        <w:t xml:space="preserve"> </w:t>
      </w:r>
      <w:r>
        <w:rPr>
          <w:w w:val="95"/>
        </w:rPr>
        <w:t>sex</w:t>
      </w:r>
      <w:r>
        <w:rPr>
          <w:spacing w:val="20"/>
        </w:rPr>
        <w:t xml:space="preserve"> </w:t>
      </w:r>
      <w:r>
        <w:rPr>
          <w:spacing w:val="-2"/>
          <w:w w:val="95"/>
        </w:rPr>
        <w:t>work.</w:t>
      </w:r>
    </w:p>
    <w:p w:rsidR="00C76E6D" w:rsidRDefault="00C76E6D">
      <w:pPr>
        <w:pStyle w:val="BodyText"/>
        <w:spacing w:before="2"/>
        <w:rPr>
          <w:b/>
          <w:sz w:val="30"/>
        </w:rPr>
      </w:pPr>
    </w:p>
    <w:p w:rsidR="00C76E6D" w:rsidRDefault="00913831">
      <w:pPr>
        <w:pStyle w:val="BodyText"/>
        <w:spacing w:line="276" w:lineRule="auto"/>
        <w:ind w:left="477" w:right="474"/>
        <w:jc w:val="both"/>
      </w:pPr>
      <w:r>
        <w:t>Many human rights and public health groups have found that the criminalization of sex work has made sex</w:t>
      </w:r>
      <w:r>
        <w:rPr>
          <w:spacing w:val="-9"/>
        </w:rPr>
        <w:t xml:space="preserve"> </w:t>
      </w:r>
      <w:r>
        <w:t>workers</w:t>
      </w:r>
      <w:r>
        <w:rPr>
          <w:spacing w:val="-6"/>
        </w:rPr>
        <w:t xml:space="preserve"> </w:t>
      </w:r>
      <w:r>
        <w:t>more</w:t>
      </w:r>
      <w:r>
        <w:rPr>
          <w:spacing w:val="-9"/>
        </w:rPr>
        <w:t xml:space="preserve"> </w:t>
      </w:r>
      <w:r>
        <w:t>vulnerable</w:t>
      </w:r>
      <w:r>
        <w:rPr>
          <w:spacing w:val="-9"/>
        </w:rPr>
        <w:t xml:space="preserve"> </w:t>
      </w:r>
      <w:r>
        <w:t>to</w:t>
      </w:r>
      <w:r>
        <w:rPr>
          <w:spacing w:val="-7"/>
        </w:rPr>
        <w:t xml:space="preserve"> </w:t>
      </w:r>
      <w:r>
        <w:t>violence,</w:t>
      </w:r>
      <w:r>
        <w:rPr>
          <w:spacing w:val="-10"/>
        </w:rPr>
        <w:t xml:space="preserve"> </w:t>
      </w:r>
      <w:r>
        <w:t>less</w:t>
      </w:r>
      <w:r>
        <w:rPr>
          <w:spacing w:val="-8"/>
        </w:rPr>
        <w:t xml:space="preserve"> </w:t>
      </w:r>
      <w:r>
        <w:t>likel</w:t>
      </w:r>
      <w:r>
        <w:t>y</w:t>
      </w:r>
      <w:r>
        <w:rPr>
          <w:spacing w:val="-6"/>
        </w:rPr>
        <w:t xml:space="preserve"> </w:t>
      </w:r>
      <w:r>
        <w:t>to</w:t>
      </w:r>
      <w:r>
        <w:rPr>
          <w:spacing w:val="-8"/>
        </w:rPr>
        <w:t xml:space="preserve"> </w:t>
      </w:r>
      <w:r>
        <w:t>receive</w:t>
      </w:r>
      <w:r>
        <w:rPr>
          <w:spacing w:val="-7"/>
        </w:rPr>
        <w:t xml:space="preserve"> </w:t>
      </w:r>
      <w:r>
        <w:t>help</w:t>
      </w:r>
      <w:r>
        <w:rPr>
          <w:spacing w:val="-9"/>
        </w:rPr>
        <w:t xml:space="preserve"> </w:t>
      </w:r>
      <w:r>
        <w:t>from</w:t>
      </w:r>
      <w:r>
        <w:rPr>
          <w:spacing w:val="-9"/>
        </w:rPr>
        <w:t xml:space="preserve"> </w:t>
      </w:r>
      <w:r>
        <w:t>police,</w:t>
      </w:r>
      <w:r>
        <w:rPr>
          <w:spacing w:val="-10"/>
        </w:rPr>
        <w:t xml:space="preserve"> </w:t>
      </w:r>
      <w:r>
        <w:t>and</w:t>
      </w:r>
      <w:r>
        <w:rPr>
          <w:spacing w:val="-8"/>
        </w:rPr>
        <w:t xml:space="preserve"> </w:t>
      </w:r>
      <w:r>
        <w:t>leads</w:t>
      </w:r>
      <w:r>
        <w:rPr>
          <w:spacing w:val="-7"/>
        </w:rPr>
        <w:t xml:space="preserve"> </w:t>
      </w:r>
      <w:r>
        <w:t>to</w:t>
      </w:r>
      <w:r>
        <w:rPr>
          <w:spacing w:val="-6"/>
        </w:rPr>
        <w:t xml:space="preserve"> </w:t>
      </w:r>
      <w:r>
        <w:t>poorer</w:t>
      </w:r>
      <w:r>
        <w:rPr>
          <w:spacing w:val="-10"/>
        </w:rPr>
        <w:t xml:space="preserve"> </w:t>
      </w:r>
      <w:r>
        <w:t>public health</w:t>
      </w:r>
      <w:r>
        <w:rPr>
          <w:spacing w:val="-13"/>
        </w:rPr>
        <w:t xml:space="preserve"> </w:t>
      </w:r>
      <w:r>
        <w:t>outcomes.</w:t>
      </w:r>
      <w:r>
        <w:rPr>
          <w:spacing w:val="-12"/>
        </w:rPr>
        <w:t xml:space="preserve"> </w:t>
      </w:r>
      <w:r>
        <w:t>Decriminalizing</w:t>
      </w:r>
      <w:r>
        <w:rPr>
          <w:spacing w:val="-13"/>
        </w:rPr>
        <w:t xml:space="preserve"> </w:t>
      </w:r>
      <w:r>
        <w:t>sex</w:t>
      </w:r>
      <w:r>
        <w:rPr>
          <w:spacing w:val="-12"/>
        </w:rPr>
        <w:t xml:space="preserve"> </w:t>
      </w:r>
      <w:r>
        <w:t>work</w:t>
      </w:r>
      <w:r>
        <w:rPr>
          <w:spacing w:val="-13"/>
        </w:rPr>
        <w:t xml:space="preserve"> </w:t>
      </w:r>
      <w:r>
        <w:t>would</w:t>
      </w:r>
      <w:r>
        <w:rPr>
          <w:spacing w:val="-12"/>
        </w:rPr>
        <w:t xml:space="preserve"> </w:t>
      </w:r>
      <w:r>
        <w:t>greatly</w:t>
      </w:r>
      <w:r>
        <w:rPr>
          <w:spacing w:val="-13"/>
        </w:rPr>
        <w:t xml:space="preserve"> </w:t>
      </w:r>
      <w:r>
        <w:t>increase</w:t>
      </w:r>
      <w:r>
        <w:rPr>
          <w:spacing w:val="-12"/>
        </w:rPr>
        <w:t xml:space="preserve"> </w:t>
      </w:r>
      <w:r>
        <w:t>sex</w:t>
      </w:r>
      <w:r>
        <w:rPr>
          <w:spacing w:val="-12"/>
        </w:rPr>
        <w:t xml:space="preserve"> </w:t>
      </w:r>
      <w:r>
        <w:t>workers’</w:t>
      </w:r>
      <w:r>
        <w:rPr>
          <w:spacing w:val="-13"/>
        </w:rPr>
        <w:t xml:space="preserve"> </w:t>
      </w:r>
      <w:r>
        <w:t>legal</w:t>
      </w:r>
      <w:r>
        <w:rPr>
          <w:spacing w:val="-12"/>
        </w:rPr>
        <w:t xml:space="preserve"> </w:t>
      </w:r>
      <w:r>
        <w:t>protection</w:t>
      </w:r>
      <w:r>
        <w:rPr>
          <w:spacing w:val="-13"/>
        </w:rPr>
        <w:t xml:space="preserve"> </w:t>
      </w:r>
      <w:r>
        <w:t>and</w:t>
      </w:r>
      <w:r>
        <w:rPr>
          <w:spacing w:val="-12"/>
        </w:rPr>
        <w:t xml:space="preserve"> </w:t>
      </w:r>
      <w:r>
        <w:t>ability to</w:t>
      </w:r>
      <w:r>
        <w:rPr>
          <w:spacing w:val="-7"/>
        </w:rPr>
        <w:t xml:space="preserve"> </w:t>
      </w:r>
      <w:r>
        <w:t>exercise</w:t>
      </w:r>
      <w:r>
        <w:rPr>
          <w:spacing w:val="-7"/>
        </w:rPr>
        <w:t xml:space="preserve"> </w:t>
      </w:r>
      <w:r>
        <w:t>other</w:t>
      </w:r>
      <w:r>
        <w:rPr>
          <w:spacing w:val="-8"/>
        </w:rPr>
        <w:t xml:space="preserve"> </w:t>
      </w:r>
      <w:r>
        <w:t>key</w:t>
      </w:r>
      <w:r>
        <w:rPr>
          <w:spacing w:val="-8"/>
        </w:rPr>
        <w:t xml:space="preserve"> </w:t>
      </w:r>
      <w:r>
        <w:t>rights,</w:t>
      </w:r>
      <w:r>
        <w:rPr>
          <w:spacing w:val="-8"/>
        </w:rPr>
        <w:t xml:space="preserve"> </w:t>
      </w:r>
      <w:r>
        <w:t>including</w:t>
      </w:r>
      <w:r>
        <w:rPr>
          <w:spacing w:val="-7"/>
        </w:rPr>
        <w:t xml:space="preserve"> </w:t>
      </w:r>
      <w:r>
        <w:t>justice</w:t>
      </w:r>
      <w:r>
        <w:rPr>
          <w:spacing w:val="-7"/>
        </w:rPr>
        <w:t xml:space="preserve"> </w:t>
      </w:r>
      <w:r>
        <w:t>and</w:t>
      </w:r>
      <w:r>
        <w:rPr>
          <w:spacing w:val="-7"/>
        </w:rPr>
        <w:t xml:space="preserve"> </w:t>
      </w:r>
      <w:r>
        <w:t>health</w:t>
      </w:r>
      <w:r>
        <w:rPr>
          <w:spacing w:val="-8"/>
        </w:rPr>
        <w:t xml:space="preserve"> </w:t>
      </w:r>
      <w:r>
        <w:t>care.</w:t>
      </w:r>
      <w:r>
        <w:rPr>
          <w:spacing w:val="-8"/>
        </w:rPr>
        <w:t xml:space="preserve"> </w:t>
      </w:r>
      <w:r>
        <w:t>LGBTQ</w:t>
      </w:r>
      <w:r>
        <w:rPr>
          <w:spacing w:val="-8"/>
        </w:rPr>
        <w:t xml:space="preserve"> </w:t>
      </w:r>
      <w:r>
        <w:t>individuals</w:t>
      </w:r>
      <w:r>
        <w:rPr>
          <w:spacing w:val="-5"/>
        </w:rPr>
        <w:t xml:space="preserve"> </w:t>
      </w:r>
      <w:r>
        <w:t>are</w:t>
      </w:r>
      <w:r>
        <w:rPr>
          <w:spacing w:val="-8"/>
        </w:rPr>
        <w:t xml:space="preserve"> </w:t>
      </w:r>
      <w:r>
        <w:t>also</w:t>
      </w:r>
      <w:r>
        <w:rPr>
          <w:spacing w:val="-7"/>
        </w:rPr>
        <w:t xml:space="preserve"> </w:t>
      </w:r>
      <w:r>
        <w:t>overrepresented among sex workers, including LGBTQ youth experiencing homelessness, who engage in survival sex at significantly higher rates than their non-LGBTQ peers, leading to higher rates of criminalization. The Commission strongly recommends that th</w:t>
      </w:r>
      <w:r>
        <w:t>e state legislature reintroduce and pass legislation to fully decriminalize sex work in the Commonwealth.</w:t>
      </w:r>
    </w:p>
    <w:p w:rsidR="00C76E6D" w:rsidRDefault="00C76E6D">
      <w:pPr>
        <w:pStyle w:val="BodyText"/>
        <w:spacing w:before="5"/>
        <w:rPr>
          <w:sz w:val="25"/>
        </w:rPr>
      </w:pPr>
    </w:p>
    <w:p w:rsidR="00C76E6D" w:rsidRDefault="00913831">
      <w:pPr>
        <w:pStyle w:val="Heading6"/>
        <w:numPr>
          <w:ilvl w:val="1"/>
          <w:numId w:val="39"/>
        </w:numPr>
        <w:tabs>
          <w:tab w:val="left" w:pos="699"/>
        </w:tabs>
        <w:ind w:left="698" w:hanging="221"/>
      </w:pPr>
      <w:bookmarkStart w:id="470" w:name="6._Improve_prison_conditions_for_incarce"/>
      <w:bookmarkEnd w:id="470"/>
      <w:r>
        <w:rPr>
          <w:w w:val="95"/>
        </w:rPr>
        <w:t>Improve</w:t>
      </w:r>
      <w:r>
        <w:rPr>
          <w:spacing w:val="15"/>
        </w:rPr>
        <w:t xml:space="preserve"> </w:t>
      </w:r>
      <w:r>
        <w:rPr>
          <w:w w:val="95"/>
        </w:rPr>
        <w:t>prison</w:t>
      </w:r>
      <w:r>
        <w:rPr>
          <w:spacing w:val="15"/>
        </w:rPr>
        <w:t xml:space="preserve"> </w:t>
      </w:r>
      <w:r>
        <w:rPr>
          <w:w w:val="95"/>
        </w:rPr>
        <w:t>conditions</w:t>
      </w:r>
      <w:r>
        <w:rPr>
          <w:spacing w:val="14"/>
        </w:rPr>
        <w:t xml:space="preserve"> </w:t>
      </w:r>
      <w:r>
        <w:rPr>
          <w:w w:val="95"/>
        </w:rPr>
        <w:t>for</w:t>
      </w:r>
      <w:r>
        <w:rPr>
          <w:spacing w:val="13"/>
        </w:rPr>
        <w:t xml:space="preserve"> </w:t>
      </w:r>
      <w:r>
        <w:rPr>
          <w:w w:val="95"/>
        </w:rPr>
        <w:t>incarcerated</w:t>
      </w:r>
      <w:r>
        <w:rPr>
          <w:spacing w:val="16"/>
        </w:rPr>
        <w:t xml:space="preserve"> </w:t>
      </w:r>
      <w:r>
        <w:rPr>
          <w:w w:val="95"/>
        </w:rPr>
        <w:t>LGBTQ</w:t>
      </w:r>
      <w:r>
        <w:rPr>
          <w:spacing w:val="16"/>
        </w:rPr>
        <w:t xml:space="preserve"> </w:t>
      </w:r>
      <w:r>
        <w:rPr>
          <w:w w:val="95"/>
        </w:rPr>
        <w:t>and</w:t>
      </w:r>
      <w:r>
        <w:rPr>
          <w:spacing w:val="16"/>
        </w:rPr>
        <w:t xml:space="preserve"> </w:t>
      </w:r>
      <w:r>
        <w:rPr>
          <w:w w:val="95"/>
        </w:rPr>
        <w:t>intersex</w:t>
      </w:r>
      <w:r>
        <w:rPr>
          <w:spacing w:val="12"/>
        </w:rPr>
        <w:t xml:space="preserve"> </w:t>
      </w:r>
      <w:r>
        <w:rPr>
          <w:spacing w:val="-2"/>
          <w:w w:val="95"/>
        </w:rPr>
        <w:t>individuals.</w:t>
      </w:r>
    </w:p>
    <w:p w:rsidR="00C76E6D" w:rsidRDefault="00C76E6D">
      <w:pPr>
        <w:pStyle w:val="BodyText"/>
        <w:spacing w:before="10"/>
        <w:rPr>
          <w:b/>
        </w:rPr>
      </w:pPr>
    </w:p>
    <w:p w:rsidR="00C76E6D" w:rsidRDefault="00913831">
      <w:pPr>
        <w:pStyle w:val="BodyText"/>
        <w:spacing w:line="276" w:lineRule="auto"/>
        <w:ind w:left="479" w:right="473" w:hanging="2"/>
        <w:jc w:val="both"/>
      </w:pPr>
      <w:r>
        <w:t>LGBTQ</w:t>
      </w:r>
      <w:r>
        <w:rPr>
          <w:spacing w:val="-8"/>
        </w:rPr>
        <w:t xml:space="preserve"> </w:t>
      </w:r>
      <w:r>
        <w:t>and</w:t>
      </w:r>
      <w:r>
        <w:rPr>
          <w:spacing w:val="-8"/>
        </w:rPr>
        <w:t xml:space="preserve"> </w:t>
      </w:r>
      <w:r>
        <w:t>intersex</w:t>
      </w:r>
      <w:r>
        <w:rPr>
          <w:spacing w:val="-9"/>
        </w:rPr>
        <w:t xml:space="preserve"> </w:t>
      </w:r>
      <w:r>
        <w:t>individuals</w:t>
      </w:r>
      <w:r>
        <w:rPr>
          <w:spacing w:val="-9"/>
        </w:rPr>
        <w:t xml:space="preserve"> </w:t>
      </w:r>
      <w:r>
        <w:t>are</w:t>
      </w:r>
      <w:r>
        <w:rPr>
          <w:spacing w:val="-9"/>
        </w:rPr>
        <w:t xml:space="preserve"> </w:t>
      </w:r>
      <w:r>
        <w:t>overrepresented</w:t>
      </w:r>
      <w:r>
        <w:rPr>
          <w:spacing w:val="-9"/>
        </w:rPr>
        <w:t xml:space="preserve"> </w:t>
      </w:r>
      <w:r>
        <w:t>among</w:t>
      </w:r>
      <w:r>
        <w:rPr>
          <w:spacing w:val="-8"/>
        </w:rPr>
        <w:t xml:space="preserve"> </w:t>
      </w:r>
      <w:r>
        <w:t>prison</w:t>
      </w:r>
      <w:r>
        <w:rPr>
          <w:spacing w:val="-9"/>
        </w:rPr>
        <w:t xml:space="preserve"> </w:t>
      </w:r>
      <w:r>
        <w:t>inmates</w:t>
      </w:r>
      <w:r>
        <w:rPr>
          <w:spacing w:val="-7"/>
        </w:rPr>
        <w:t xml:space="preserve"> </w:t>
      </w:r>
      <w:r>
        <w:t>and</w:t>
      </w:r>
      <w:r>
        <w:rPr>
          <w:spacing w:val="-8"/>
        </w:rPr>
        <w:t xml:space="preserve"> </w:t>
      </w:r>
      <w:r>
        <w:t>face</w:t>
      </w:r>
      <w:r>
        <w:rPr>
          <w:spacing w:val="-9"/>
        </w:rPr>
        <w:t xml:space="preserve"> </w:t>
      </w:r>
      <w:r>
        <w:t>higher</w:t>
      </w:r>
      <w:r>
        <w:rPr>
          <w:spacing w:val="-8"/>
        </w:rPr>
        <w:t xml:space="preserve"> </w:t>
      </w:r>
      <w:r>
        <w:t>rates</w:t>
      </w:r>
      <w:r>
        <w:rPr>
          <w:spacing w:val="-8"/>
        </w:rPr>
        <w:t xml:space="preserve"> </w:t>
      </w:r>
      <w:r>
        <w:t>of</w:t>
      </w:r>
      <w:r>
        <w:rPr>
          <w:spacing w:val="-9"/>
        </w:rPr>
        <w:t xml:space="preserve"> </w:t>
      </w:r>
      <w:r>
        <w:t>abuse and</w:t>
      </w:r>
      <w:r>
        <w:rPr>
          <w:spacing w:val="-4"/>
        </w:rPr>
        <w:t xml:space="preserve"> </w:t>
      </w:r>
      <w:r>
        <w:t>physical</w:t>
      </w:r>
      <w:r>
        <w:rPr>
          <w:spacing w:val="-3"/>
        </w:rPr>
        <w:t xml:space="preserve"> </w:t>
      </w:r>
      <w:r>
        <w:t>and</w:t>
      </w:r>
      <w:r>
        <w:rPr>
          <w:spacing w:val="-4"/>
        </w:rPr>
        <w:t xml:space="preserve"> </w:t>
      </w:r>
      <w:r>
        <w:t>sexual</w:t>
      </w:r>
      <w:r>
        <w:rPr>
          <w:spacing w:val="-5"/>
        </w:rPr>
        <w:t xml:space="preserve"> </w:t>
      </w:r>
      <w:r>
        <w:t>assault</w:t>
      </w:r>
      <w:r>
        <w:rPr>
          <w:spacing w:val="-4"/>
        </w:rPr>
        <w:t xml:space="preserve"> </w:t>
      </w:r>
      <w:r>
        <w:t>than</w:t>
      </w:r>
      <w:r>
        <w:rPr>
          <w:spacing w:val="-3"/>
        </w:rPr>
        <w:t xml:space="preserve"> </w:t>
      </w:r>
      <w:r>
        <w:t>their</w:t>
      </w:r>
      <w:r>
        <w:rPr>
          <w:spacing w:val="-4"/>
        </w:rPr>
        <w:t xml:space="preserve"> </w:t>
      </w:r>
      <w:r>
        <w:t>non-LGBTQ</w:t>
      </w:r>
      <w:r>
        <w:rPr>
          <w:spacing w:val="-4"/>
        </w:rPr>
        <w:t xml:space="preserve"> </w:t>
      </w:r>
      <w:r>
        <w:t>peers.</w:t>
      </w:r>
      <w:r>
        <w:rPr>
          <w:spacing w:val="-4"/>
        </w:rPr>
        <w:t xml:space="preserve"> </w:t>
      </w:r>
      <w:r>
        <w:t>While</w:t>
      </w:r>
      <w:r>
        <w:rPr>
          <w:spacing w:val="-4"/>
        </w:rPr>
        <w:t xml:space="preserve"> </w:t>
      </w:r>
      <w:r>
        <w:t>little</w:t>
      </w:r>
      <w:r>
        <w:rPr>
          <w:spacing w:val="-4"/>
        </w:rPr>
        <w:t xml:space="preserve"> </w:t>
      </w:r>
      <w:r>
        <w:t>research</w:t>
      </w:r>
      <w:r>
        <w:rPr>
          <w:spacing w:val="-4"/>
        </w:rPr>
        <w:t xml:space="preserve"> </w:t>
      </w:r>
      <w:r>
        <w:t>exists</w:t>
      </w:r>
      <w:r>
        <w:rPr>
          <w:spacing w:val="-4"/>
        </w:rPr>
        <w:t xml:space="preserve"> </w:t>
      </w:r>
      <w:r>
        <w:t>on</w:t>
      </w:r>
      <w:r>
        <w:rPr>
          <w:spacing w:val="-4"/>
        </w:rPr>
        <w:t xml:space="preserve"> </w:t>
      </w:r>
      <w:r>
        <w:t>current</w:t>
      </w:r>
      <w:r>
        <w:rPr>
          <w:spacing w:val="-5"/>
        </w:rPr>
        <w:t xml:space="preserve"> </w:t>
      </w:r>
      <w:r>
        <w:t>prison conditions for incarcerated intersex individuals, studies have shown this group to be particularly vulnerable to sexua</w:t>
      </w:r>
      <w:r>
        <w:t>l abuse. As noted above, the Commission strongly urges the state to pass and enact An Act to Promote Rehabilitation Including Guaranteed Health, Treatment, and Safety for Incarcerated LGBTQI+ People (RIGHTS Act) (H. 2484 / S. 1566).</w:t>
      </w:r>
    </w:p>
    <w:p w:rsidR="00C76E6D" w:rsidRDefault="00C76E6D">
      <w:pPr>
        <w:pStyle w:val="BodyText"/>
        <w:spacing w:before="4"/>
        <w:rPr>
          <w:sz w:val="25"/>
        </w:rPr>
      </w:pPr>
    </w:p>
    <w:p w:rsidR="00C76E6D" w:rsidRDefault="00913831">
      <w:pPr>
        <w:pStyle w:val="Heading6"/>
        <w:numPr>
          <w:ilvl w:val="1"/>
          <w:numId w:val="39"/>
        </w:numPr>
        <w:tabs>
          <w:tab w:val="left" w:pos="699"/>
        </w:tabs>
        <w:ind w:left="698" w:hanging="221"/>
      </w:pPr>
      <w:bookmarkStart w:id="471" w:name="7._Protect_undocumented_LGBTQ_youth."/>
      <w:bookmarkEnd w:id="471"/>
      <w:r>
        <w:rPr>
          <w:w w:val="95"/>
        </w:rPr>
        <w:t>Protect</w:t>
      </w:r>
      <w:r>
        <w:rPr>
          <w:spacing w:val="20"/>
        </w:rPr>
        <w:t xml:space="preserve"> </w:t>
      </w:r>
      <w:r>
        <w:rPr>
          <w:w w:val="95"/>
        </w:rPr>
        <w:t>undocumented</w:t>
      </w:r>
      <w:r>
        <w:rPr>
          <w:spacing w:val="20"/>
        </w:rPr>
        <w:t xml:space="preserve"> </w:t>
      </w:r>
      <w:r>
        <w:rPr>
          <w:w w:val="95"/>
        </w:rPr>
        <w:t>L</w:t>
      </w:r>
      <w:r>
        <w:rPr>
          <w:w w:val="95"/>
        </w:rPr>
        <w:t>GBTQ</w:t>
      </w:r>
      <w:r>
        <w:rPr>
          <w:spacing w:val="23"/>
        </w:rPr>
        <w:t xml:space="preserve"> </w:t>
      </w:r>
      <w:r>
        <w:rPr>
          <w:spacing w:val="-2"/>
          <w:w w:val="95"/>
        </w:rPr>
        <w:t>youth.</w:t>
      </w:r>
    </w:p>
    <w:p w:rsidR="00C76E6D" w:rsidRDefault="00C76E6D">
      <w:pPr>
        <w:pStyle w:val="BodyText"/>
        <w:spacing w:before="10"/>
        <w:rPr>
          <w:b/>
        </w:rPr>
      </w:pPr>
    </w:p>
    <w:p w:rsidR="00C76E6D" w:rsidRDefault="00913831">
      <w:pPr>
        <w:pStyle w:val="BodyText"/>
        <w:spacing w:line="276" w:lineRule="auto"/>
        <w:ind w:left="478" w:right="474"/>
        <w:jc w:val="both"/>
      </w:pPr>
      <w:r>
        <w:t>At a time when the federal government is targeting undocumented communities, it is imperative that Massachusetts take steps to ensure that local police do not work hand in hand with the federal government</w:t>
      </w:r>
      <w:r>
        <w:rPr>
          <w:spacing w:val="-1"/>
        </w:rPr>
        <w:t xml:space="preserve"> </w:t>
      </w:r>
      <w:r>
        <w:t>to carry out</w:t>
      </w:r>
      <w:r>
        <w:rPr>
          <w:spacing w:val="-1"/>
        </w:rPr>
        <w:t xml:space="preserve"> </w:t>
      </w:r>
      <w:r>
        <w:t>the</w:t>
      </w:r>
      <w:r>
        <w:rPr>
          <w:spacing w:val="-1"/>
        </w:rPr>
        <w:t xml:space="preserve"> </w:t>
      </w:r>
      <w:r>
        <w:t>work</w:t>
      </w:r>
      <w:r>
        <w:rPr>
          <w:spacing w:val="-1"/>
        </w:rPr>
        <w:t xml:space="preserve"> </w:t>
      </w:r>
      <w:r>
        <w:t>of Immigration</w:t>
      </w:r>
      <w:r>
        <w:rPr>
          <w:spacing w:val="-1"/>
        </w:rPr>
        <w:t xml:space="preserve"> </w:t>
      </w:r>
      <w:r>
        <w:t>a</w:t>
      </w:r>
      <w:r>
        <w:t>nd</w:t>
      </w:r>
      <w:r>
        <w:rPr>
          <w:spacing w:val="-1"/>
        </w:rPr>
        <w:t xml:space="preserve"> </w:t>
      </w:r>
      <w:r>
        <w:t>Customs Enforcement (ICE). It is well documented that LGBTQ youth—particularly LGBTQ youth of color—are overrepresented in the justice system. Undocumented</w:t>
      </w:r>
      <w:r>
        <w:rPr>
          <w:spacing w:val="-7"/>
        </w:rPr>
        <w:t xml:space="preserve"> </w:t>
      </w:r>
      <w:r>
        <w:t>LGBTQ</w:t>
      </w:r>
      <w:r>
        <w:rPr>
          <w:spacing w:val="-6"/>
        </w:rPr>
        <w:t xml:space="preserve"> </w:t>
      </w:r>
      <w:r>
        <w:t>youth</w:t>
      </w:r>
      <w:r>
        <w:rPr>
          <w:spacing w:val="-6"/>
        </w:rPr>
        <w:t xml:space="preserve"> </w:t>
      </w:r>
      <w:r>
        <w:t>face</w:t>
      </w:r>
      <w:r>
        <w:rPr>
          <w:spacing w:val="-6"/>
        </w:rPr>
        <w:t xml:space="preserve"> </w:t>
      </w:r>
      <w:r>
        <w:t>additional</w:t>
      </w:r>
      <w:r>
        <w:rPr>
          <w:spacing w:val="-7"/>
        </w:rPr>
        <w:t xml:space="preserve"> </w:t>
      </w:r>
      <w:r>
        <w:t>vulnerabilities</w:t>
      </w:r>
      <w:r>
        <w:rPr>
          <w:spacing w:val="-4"/>
        </w:rPr>
        <w:t xml:space="preserve"> </w:t>
      </w:r>
      <w:r>
        <w:t>due</w:t>
      </w:r>
      <w:r>
        <w:rPr>
          <w:spacing w:val="-4"/>
        </w:rPr>
        <w:t xml:space="preserve"> </w:t>
      </w:r>
      <w:r>
        <w:t>to</w:t>
      </w:r>
      <w:r>
        <w:rPr>
          <w:spacing w:val="-5"/>
        </w:rPr>
        <w:t xml:space="preserve"> </w:t>
      </w:r>
      <w:r>
        <w:t>documentation</w:t>
      </w:r>
      <w:r>
        <w:rPr>
          <w:spacing w:val="-9"/>
        </w:rPr>
        <w:t xml:space="preserve"> </w:t>
      </w:r>
      <w:r>
        <w:t>status.</w:t>
      </w:r>
      <w:r>
        <w:rPr>
          <w:spacing w:val="-4"/>
        </w:rPr>
        <w:t xml:space="preserve"> </w:t>
      </w:r>
      <w:r>
        <w:t>Massachusetts</w:t>
      </w:r>
    </w:p>
    <w:p w:rsidR="00C76E6D" w:rsidRDefault="00C76E6D">
      <w:pPr>
        <w:spacing w:line="276" w:lineRule="auto"/>
        <w:jc w:val="both"/>
        <w:sectPr w:rsidR="00C76E6D">
          <w:pgSz w:w="12240" w:h="15840"/>
          <w:pgMar w:top="960" w:right="960" w:bottom="920" w:left="960" w:header="769" w:footer="720"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480" w:right="478" w:hanging="1"/>
        <w:jc w:val="both"/>
      </w:pPr>
      <w:r>
        <w:t>should</w:t>
      </w:r>
      <w:r>
        <w:rPr>
          <w:spacing w:val="-5"/>
        </w:rPr>
        <w:t xml:space="preserve"> </w:t>
      </w:r>
      <w:r>
        <w:t>take</w:t>
      </w:r>
      <w:r>
        <w:rPr>
          <w:spacing w:val="-5"/>
        </w:rPr>
        <w:t xml:space="preserve"> </w:t>
      </w:r>
      <w:r>
        <w:t>steps</w:t>
      </w:r>
      <w:r>
        <w:rPr>
          <w:spacing w:val="-5"/>
        </w:rPr>
        <w:t xml:space="preserve"> </w:t>
      </w:r>
      <w:r>
        <w:t>to</w:t>
      </w:r>
      <w:r>
        <w:rPr>
          <w:spacing w:val="-4"/>
        </w:rPr>
        <w:t xml:space="preserve"> </w:t>
      </w:r>
      <w:r>
        <w:t>protect</w:t>
      </w:r>
      <w:r>
        <w:rPr>
          <w:spacing w:val="-6"/>
        </w:rPr>
        <w:t xml:space="preserve"> </w:t>
      </w:r>
      <w:r>
        <w:t>undocumented</w:t>
      </w:r>
      <w:r>
        <w:rPr>
          <w:spacing w:val="-4"/>
        </w:rPr>
        <w:t xml:space="preserve"> </w:t>
      </w:r>
      <w:r>
        <w:t>immigrants,</w:t>
      </w:r>
      <w:r>
        <w:rPr>
          <w:spacing w:val="-5"/>
        </w:rPr>
        <w:t xml:space="preserve"> </w:t>
      </w:r>
      <w:r>
        <w:t>such</w:t>
      </w:r>
      <w:r>
        <w:rPr>
          <w:spacing w:val="-6"/>
        </w:rPr>
        <w:t xml:space="preserve"> </w:t>
      </w:r>
      <w:r>
        <w:t>as</w:t>
      </w:r>
      <w:r>
        <w:rPr>
          <w:spacing w:val="-5"/>
        </w:rPr>
        <w:t xml:space="preserve"> </w:t>
      </w:r>
      <w:r>
        <w:t>passing</w:t>
      </w:r>
      <w:r>
        <w:rPr>
          <w:spacing w:val="-7"/>
        </w:rPr>
        <w:t xml:space="preserve"> </w:t>
      </w:r>
      <w:r>
        <w:t>An</w:t>
      </w:r>
      <w:r>
        <w:rPr>
          <w:spacing w:val="-6"/>
        </w:rPr>
        <w:t xml:space="preserve"> </w:t>
      </w:r>
      <w:r>
        <w:t>Act</w:t>
      </w:r>
      <w:r>
        <w:rPr>
          <w:spacing w:val="-5"/>
        </w:rPr>
        <w:t xml:space="preserve"> </w:t>
      </w:r>
      <w:r>
        <w:t>to</w:t>
      </w:r>
      <w:r>
        <w:rPr>
          <w:spacing w:val="-5"/>
        </w:rPr>
        <w:t xml:space="preserve"> </w:t>
      </w:r>
      <w:r>
        <w:t>Protect</w:t>
      </w:r>
      <w:r>
        <w:rPr>
          <w:spacing w:val="-5"/>
        </w:rPr>
        <w:t xml:space="preserve"> </w:t>
      </w:r>
      <w:r>
        <w:t>the</w:t>
      </w:r>
      <w:r>
        <w:rPr>
          <w:spacing w:val="-5"/>
        </w:rPr>
        <w:t xml:space="preserve"> </w:t>
      </w:r>
      <w:r>
        <w:t>Civil</w:t>
      </w:r>
      <w:r>
        <w:rPr>
          <w:spacing w:val="-5"/>
        </w:rPr>
        <w:t xml:space="preserve"> </w:t>
      </w:r>
      <w:r>
        <w:t xml:space="preserve">Rights and Safety of All Massachusetts Residents (H. 2418 / S. 1579), also known as the Safe Communities Act, which would ensure that local police do not </w:t>
      </w:r>
      <w:r>
        <w:t>share information with ICE.</w:t>
      </w:r>
    </w:p>
    <w:p w:rsidR="00C76E6D" w:rsidRDefault="00C76E6D">
      <w:pPr>
        <w:pStyle w:val="BodyText"/>
        <w:spacing w:before="8"/>
        <w:rPr>
          <w:sz w:val="19"/>
        </w:rPr>
      </w:pPr>
    </w:p>
    <w:p w:rsidR="00C76E6D" w:rsidRDefault="00913831">
      <w:pPr>
        <w:pStyle w:val="Heading6"/>
        <w:numPr>
          <w:ilvl w:val="1"/>
          <w:numId w:val="39"/>
        </w:numPr>
        <w:tabs>
          <w:tab w:val="left" w:pos="699"/>
        </w:tabs>
        <w:ind w:left="698" w:hanging="221"/>
      </w:pPr>
      <w:bookmarkStart w:id="472" w:name="8._Raise_the_age_of_the_juvenile_justice"/>
      <w:bookmarkEnd w:id="472"/>
      <w:r>
        <w:rPr>
          <w:w w:val="95"/>
        </w:rPr>
        <w:t>Raise</w:t>
      </w:r>
      <w:r>
        <w:rPr>
          <w:spacing w:val="12"/>
        </w:rPr>
        <w:t xml:space="preserve"> </w:t>
      </w:r>
      <w:r>
        <w:rPr>
          <w:w w:val="95"/>
        </w:rPr>
        <w:t>the</w:t>
      </w:r>
      <w:r>
        <w:rPr>
          <w:spacing w:val="13"/>
        </w:rPr>
        <w:t xml:space="preserve"> </w:t>
      </w:r>
      <w:r>
        <w:rPr>
          <w:w w:val="95"/>
        </w:rPr>
        <w:t>age</w:t>
      </w:r>
      <w:r>
        <w:rPr>
          <w:spacing w:val="13"/>
        </w:rPr>
        <w:t xml:space="preserve"> </w:t>
      </w:r>
      <w:r>
        <w:rPr>
          <w:w w:val="95"/>
        </w:rPr>
        <w:t>of</w:t>
      </w:r>
      <w:r>
        <w:rPr>
          <w:spacing w:val="13"/>
        </w:rPr>
        <w:t xml:space="preserve"> </w:t>
      </w:r>
      <w:r>
        <w:rPr>
          <w:w w:val="95"/>
        </w:rPr>
        <w:t>the</w:t>
      </w:r>
      <w:r>
        <w:rPr>
          <w:spacing w:val="10"/>
        </w:rPr>
        <w:t xml:space="preserve"> </w:t>
      </w:r>
      <w:r>
        <w:rPr>
          <w:w w:val="95"/>
        </w:rPr>
        <w:t>juvenile</w:t>
      </w:r>
      <w:r>
        <w:rPr>
          <w:spacing w:val="10"/>
        </w:rPr>
        <w:t xml:space="preserve"> </w:t>
      </w:r>
      <w:r>
        <w:rPr>
          <w:w w:val="95"/>
        </w:rPr>
        <w:t>justice</w:t>
      </w:r>
      <w:r>
        <w:rPr>
          <w:spacing w:val="13"/>
        </w:rPr>
        <w:t xml:space="preserve"> </w:t>
      </w:r>
      <w:r>
        <w:rPr>
          <w:w w:val="95"/>
        </w:rPr>
        <w:t>system</w:t>
      </w:r>
      <w:r>
        <w:rPr>
          <w:spacing w:val="12"/>
        </w:rPr>
        <w:t xml:space="preserve"> </w:t>
      </w:r>
      <w:r>
        <w:rPr>
          <w:w w:val="95"/>
        </w:rPr>
        <w:t>to</w:t>
      </w:r>
      <w:r>
        <w:rPr>
          <w:spacing w:val="12"/>
        </w:rPr>
        <w:t xml:space="preserve"> </w:t>
      </w:r>
      <w:r>
        <w:rPr>
          <w:w w:val="95"/>
        </w:rPr>
        <w:t>include</w:t>
      </w:r>
      <w:r>
        <w:rPr>
          <w:spacing w:val="11"/>
        </w:rPr>
        <w:t xml:space="preserve"> </w:t>
      </w:r>
      <w:r>
        <w:rPr>
          <w:w w:val="95"/>
        </w:rPr>
        <w:t>18-to</w:t>
      </w:r>
      <w:r>
        <w:rPr>
          <w:spacing w:val="12"/>
        </w:rPr>
        <w:t xml:space="preserve"> </w:t>
      </w:r>
      <w:r>
        <w:rPr>
          <w:w w:val="95"/>
        </w:rPr>
        <w:t>20-year-</w:t>
      </w:r>
      <w:r>
        <w:rPr>
          <w:spacing w:val="-2"/>
          <w:w w:val="95"/>
        </w:rPr>
        <w:t>olds.</w:t>
      </w:r>
    </w:p>
    <w:p w:rsidR="00C76E6D" w:rsidRDefault="00C76E6D">
      <w:pPr>
        <w:pStyle w:val="BodyText"/>
        <w:spacing w:before="6"/>
        <w:rPr>
          <w:b/>
          <w:sz w:val="28"/>
        </w:rPr>
      </w:pPr>
    </w:p>
    <w:p w:rsidR="00C76E6D" w:rsidRDefault="00913831">
      <w:pPr>
        <w:pStyle w:val="BodyText"/>
        <w:spacing w:line="276" w:lineRule="auto"/>
        <w:ind w:left="478" w:right="474"/>
        <w:jc w:val="both"/>
      </w:pPr>
      <w:r>
        <w:t>Raising the age of the juvenile justice system to gradually include 18- to 20-year-olds will improve public safety</w:t>
      </w:r>
      <w:r>
        <w:rPr>
          <w:spacing w:val="-8"/>
        </w:rPr>
        <w:t xml:space="preserve"> </w:t>
      </w:r>
      <w:r>
        <w:t>and</w:t>
      </w:r>
      <w:r>
        <w:rPr>
          <w:spacing w:val="-7"/>
        </w:rPr>
        <w:t xml:space="preserve"> </w:t>
      </w:r>
      <w:r>
        <w:t>improve</w:t>
      </w:r>
      <w:r>
        <w:rPr>
          <w:spacing w:val="-8"/>
        </w:rPr>
        <w:t xml:space="preserve"> </w:t>
      </w:r>
      <w:r>
        <w:t>outcomes</w:t>
      </w:r>
      <w:r>
        <w:rPr>
          <w:spacing w:val="-7"/>
        </w:rPr>
        <w:t xml:space="preserve"> </w:t>
      </w:r>
      <w:r>
        <w:t>for</w:t>
      </w:r>
      <w:r>
        <w:rPr>
          <w:spacing w:val="-7"/>
        </w:rPr>
        <w:t xml:space="preserve"> </w:t>
      </w:r>
      <w:r>
        <w:t>the</w:t>
      </w:r>
      <w:r>
        <w:rPr>
          <w:spacing w:val="-7"/>
        </w:rPr>
        <w:t xml:space="preserve"> </w:t>
      </w:r>
      <w:r>
        <w:t>oldest</w:t>
      </w:r>
      <w:r>
        <w:rPr>
          <w:spacing w:val="-7"/>
        </w:rPr>
        <w:t xml:space="preserve"> </w:t>
      </w:r>
      <w:r>
        <w:t>teens</w:t>
      </w:r>
      <w:r>
        <w:rPr>
          <w:spacing w:val="-6"/>
        </w:rPr>
        <w:t xml:space="preserve"> </w:t>
      </w:r>
      <w:r>
        <w:t>and</w:t>
      </w:r>
      <w:r>
        <w:rPr>
          <w:spacing w:val="-7"/>
        </w:rPr>
        <w:t xml:space="preserve"> </w:t>
      </w:r>
      <w:r>
        <w:t>is</w:t>
      </w:r>
      <w:r>
        <w:rPr>
          <w:spacing w:val="-6"/>
        </w:rPr>
        <w:t xml:space="preserve"> </w:t>
      </w:r>
      <w:r>
        <w:t>proposed</w:t>
      </w:r>
      <w:r>
        <w:rPr>
          <w:spacing w:val="-8"/>
        </w:rPr>
        <w:t xml:space="preserve"> </w:t>
      </w:r>
      <w:r>
        <w:t>in</w:t>
      </w:r>
      <w:r>
        <w:rPr>
          <w:spacing w:val="-5"/>
        </w:rPr>
        <w:t xml:space="preserve"> </w:t>
      </w:r>
      <w:r>
        <w:t>An</w:t>
      </w:r>
      <w:r>
        <w:rPr>
          <w:spacing w:val="-7"/>
        </w:rPr>
        <w:t xml:space="preserve"> </w:t>
      </w:r>
      <w:r>
        <w:t>Act</w:t>
      </w:r>
      <w:r>
        <w:rPr>
          <w:spacing w:val="-7"/>
        </w:rPr>
        <w:t xml:space="preserve"> </w:t>
      </w:r>
      <w:r>
        <w:t>to</w:t>
      </w:r>
      <w:r>
        <w:rPr>
          <w:spacing w:val="-5"/>
        </w:rPr>
        <w:t xml:space="preserve"> </w:t>
      </w:r>
      <w:r>
        <w:t>Promote</w:t>
      </w:r>
      <w:r>
        <w:rPr>
          <w:spacing w:val="-6"/>
        </w:rPr>
        <w:t xml:space="preserve"> </w:t>
      </w:r>
      <w:r>
        <w:t>Public</w:t>
      </w:r>
      <w:r>
        <w:rPr>
          <w:spacing w:val="-7"/>
        </w:rPr>
        <w:t xml:space="preserve"> </w:t>
      </w:r>
      <w:r>
        <w:t>Safety</w:t>
      </w:r>
      <w:r>
        <w:rPr>
          <w:spacing w:val="-5"/>
        </w:rPr>
        <w:t xml:space="preserve"> </w:t>
      </w:r>
      <w:r>
        <w:t>and Better Outcomes for Young Adults (H. 1826 / S. 920) in the current legislative session. This is especially important for LGBTQ Youth for two reasons: (1) the juvenile justice system, thanks to r</w:t>
      </w:r>
      <w:r>
        <w:t>eforms made by the Department of Youth Services, has made strides in supporting and affirming LGBTQ youth that the adult system has not, and (2) these formative years are particularly important for the development of LGBTQ youth, who often struggle with me</w:t>
      </w:r>
      <w:r>
        <w:t>ntal health issues as they come to understand their identities and often face bias, and the juvenile system is much better equipped to support healthy development during this time.</w:t>
      </w:r>
    </w:p>
    <w:p w:rsidR="00C76E6D" w:rsidRDefault="00C76E6D">
      <w:pPr>
        <w:pStyle w:val="BodyText"/>
        <w:rPr>
          <w:sz w:val="27"/>
        </w:rPr>
      </w:pPr>
    </w:p>
    <w:p w:rsidR="00C76E6D" w:rsidRDefault="00913831">
      <w:pPr>
        <w:pStyle w:val="Heading6"/>
        <w:numPr>
          <w:ilvl w:val="1"/>
          <w:numId w:val="39"/>
        </w:numPr>
        <w:tabs>
          <w:tab w:val="left" w:pos="699"/>
        </w:tabs>
        <w:spacing w:before="1"/>
        <w:ind w:left="698" w:hanging="221"/>
      </w:pPr>
      <w:bookmarkStart w:id="473" w:name="9._Support_legislative_initiatives_to_im"/>
      <w:bookmarkEnd w:id="473"/>
      <w:r>
        <w:rPr>
          <w:w w:val="95"/>
        </w:rPr>
        <w:t>Support</w:t>
      </w:r>
      <w:r>
        <w:rPr>
          <w:spacing w:val="13"/>
        </w:rPr>
        <w:t xml:space="preserve"> </w:t>
      </w:r>
      <w:r>
        <w:rPr>
          <w:w w:val="95"/>
        </w:rPr>
        <w:t>legislative</w:t>
      </w:r>
      <w:r>
        <w:rPr>
          <w:spacing w:val="14"/>
        </w:rPr>
        <w:t xml:space="preserve"> </w:t>
      </w:r>
      <w:r>
        <w:rPr>
          <w:w w:val="95"/>
        </w:rPr>
        <w:t>initiatives</w:t>
      </w:r>
      <w:r>
        <w:rPr>
          <w:spacing w:val="16"/>
        </w:rPr>
        <w:t xml:space="preserve"> </w:t>
      </w:r>
      <w:r>
        <w:rPr>
          <w:w w:val="95"/>
        </w:rPr>
        <w:t>to</w:t>
      </w:r>
      <w:r>
        <w:rPr>
          <w:spacing w:val="14"/>
        </w:rPr>
        <w:t xml:space="preserve"> </w:t>
      </w:r>
      <w:r>
        <w:rPr>
          <w:w w:val="95"/>
        </w:rPr>
        <w:t>improve</w:t>
      </w:r>
      <w:r>
        <w:rPr>
          <w:spacing w:val="14"/>
        </w:rPr>
        <w:t xml:space="preserve"> </w:t>
      </w:r>
      <w:r>
        <w:rPr>
          <w:w w:val="95"/>
        </w:rPr>
        <w:t>the</w:t>
      </w:r>
      <w:r>
        <w:rPr>
          <w:spacing w:val="15"/>
        </w:rPr>
        <w:t xml:space="preserve"> </w:t>
      </w:r>
      <w:r>
        <w:rPr>
          <w:w w:val="95"/>
        </w:rPr>
        <w:t>juvenile</w:t>
      </w:r>
      <w:r>
        <w:rPr>
          <w:spacing w:val="13"/>
        </w:rPr>
        <w:t xml:space="preserve"> </w:t>
      </w:r>
      <w:r>
        <w:rPr>
          <w:w w:val="95"/>
        </w:rPr>
        <w:t>justice</w:t>
      </w:r>
      <w:r>
        <w:rPr>
          <w:spacing w:val="17"/>
        </w:rPr>
        <w:t xml:space="preserve"> </w:t>
      </w:r>
      <w:r>
        <w:rPr>
          <w:spacing w:val="-2"/>
          <w:w w:val="95"/>
        </w:rPr>
        <w:t>system.</w:t>
      </w:r>
    </w:p>
    <w:p w:rsidR="00C76E6D" w:rsidRDefault="00C76E6D">
      <w:pPr>
        <w:pStyle w:val="BodyText"/>
        <w:spacing w:before="11"/>
        <w:rPr>
          <w:b/>
        </w:rPr>
      </w:pPr>
    </w:p>
    <w:p w:rsidR="00C76E6D" w:rsidRDefault="00913831">
      <w:pPr>
        <w:pStyle w:val="BodyText"/>
        <w:spacing w:line="276" w:lineRule="auto"/>
        <w:ind w:left="480" w:right="480"/>
        <w:jc w:val="both"/>
      </w:pPr>
      <w:r>
        <w:t>The Commission supports juvenile justice initiatives that, while not explicitly related to LGBTQ youth, address areas that disproportionately impact LGBTQ youth. Such initiatives include:</w:t>
      </w:r>
    </w:p>
    <w:p w:rsidR="00C76E6D" w:rsidRDefault="00C76E6D">
      <w:pPr>
        <w:pStyle w:val="BodyText"/>
        <w:spacing w:before="8"/>
        <w:rPr>
          <w:sz w:val="19"/>
        </w:rPr>
      </w:pPr>
    </w:p>
    <w:p w:rsidR="00C76E6D" w:rsidRDefault="00913831">
      <w:pPr>
        <w:pStyle w:val="ListParagraph"/>
        <w:numPr>
          <w:ilvl w:val="2"/>
          <w:numId w:val="39"/>
        </w:numPr>
        <w:tabs>
          <w:tab w:val="left" w:pos="1200"/>
        </w:tabs>
        <w:spacing w:line="276" w:lineRule="auto"/>
        <w:ind w:left="1199" w:right="474"/>
        <w:jc w:val="both"/>
      </w:pPr>
      <w:r>
        <w:t>Expand</w:t>
      </w:r>
      <w:r>
        <w:rPr>
          <w:spacing w:val="-6"/>
        </w:rPr>
        <w:t xml:space="preserve"> </w:t>
      </w:r>
      <w:r>
        <w:t>access</w:t>
      </w:r>
      <w:r>
        <w:rPr>
          <w:spacing w:val="-5"/>
        </w:rPr>
        <w:t xml:space="preserve"> </w:t>
      </w:r>
      <w:r>
        <w:t>to</w:t>
      </w:r>
      <w:r>
        <w:rPr>
          <w:spacing w:val="-5"/>
        </w:rPr>
        <w:t xml:space="preserve"> </w:t>
      </w:r>
      <w:r>
        <w:t>record</w:t>
      </w:r>
      <w:r>
        <w:rPr>
          <w:spacing w:val="-6"/>
        </w:rPr>
        <w:t xml:space="preserve"> </w:t>
      </w:r>
      <w:r>
        <w:t>sealing</w:t>
      </w:r>
      <w:r>
        <w:rPr>
          <w:spacing w:val="-5"/>
        </w:rPr>
        <w:t xml:space="preserve"> </w:t>
      </w:r>
      <w:r>
        <w:t>and</w:t>
      </w:r>
      <w:r>
        <w:rPr>
          <w:spacing w:val="-6"/>
        </w:rPr>
        <w:t xml:space="preserve"> </w:t>
      </w:r>
      <w:r>
        <w:t>automatically</w:t>
      </w:r>
      <w:r>
        <w:rPr>
          <w:spacing w:val="-5"/>
        </w:rPr>
        <w:t xml:space="preserve"> </w:t>
      </w:r>
      <w:r>
        <w:t>seal</w:t>
      </w:r>
      <w:r>
        <w:rPr>
          <w:spacing w:val="-5"/>
        </w:rPr>
        <w:t xml:space="preserve"> </w:t>
      </w:r>
      <w:r>
        <w:t>all</w:t>
      </w:r>
      <w:r>
        <w:rPr>
          <w:spacing w:val="-5"/>
        </w:rPr>
        <w:t xml:space="preserve"> </w:t>
      </w:r>
      <w:r>
        <w:t>eligible</w:t>
      </w:r>
      <w:r>
        <w:rPr>
          <w:spacing w:val="-5"/>
        </w:rPr>
        <w:t xml:space="preserve"> </w:t>
      </w:r>
      <w:r>
        <w:t>juvenile</w:t>
      </w:r>
      <w:r>
        <w:rPr>
          <w:spacing w:val="-5"/>
        </w:rPr>
        <w:t xml:space="preserve"> </w:t>
      </w:r>
      <w:r>
        <w:t>and</w:t>
      </w:r>
      <w:r>
        <w:rPr>
          <w:spacing w:val="-6"/>
        </w:rPr>
        <w:t xml:space="preserve"> </w:t>
      </w:r>
      <w:r>
        <w:t>adult</w:t>
      </w:r>
      <w:r>
        <w:rPr>
          <w:spacing w:val="-6"/>
        </w:rPr>
        <w:t xml:space="preserve"> </w:t>
      </w:r>
      <w:r>
        <w:t>records</w:t>
      </w:r>
      <w:r>
        <w:rPr>
          <w:spacing w:val="-3"/>
        </w:rPr>
        <w:t xml:space="preserve"> </w:t>
      </w:r>
      <w:r>
        <w:t>after 90 days that the record becomes eligible for sealing, as proposed in An Act Providing Easier and Greater Access to Record Sealing (H. 1763 / S. 1037).</w:t>
      </w:r>
    </w:p>
    <w:p w:rsidR="00C76E6D" w:rsidRDefault="00C76E6D">
      <w:pPr>
        <w:pStyle w:val="BodyText"/>
        <w:spacing w:before="3"/>
        <w:rPr>
          <w:sz w:val="25"/>
        </w:rPr>
      </w:pPr>
    </w:p>
    <w:p w:rsidR="00C76E6D" w:rsidRDefault="00913831">
      <w:pPr>
        <w:pStyle w:val="ListParagraph"/>
        <w:numPr>
          <w:ilvl w:val="2"/>
          <w:numId w:val="39"/>
        </w:numPr>
        <w:tabs>
          <w:tab w:val="left" w:pos="1200"/>
        </w:tabs>
        <w:spacing w:line="276" w:lineRule="auto"/>
        <w:ind w:right="477"/>
        <w:jc w:val="both"/>
      </w:pPr>
      <w:r>
        <w:t>Expand access to judicial diversion for low-level offenses to divert y</w:t>
      </w:r>
      <w:r>
        <w:t>outh away from the juvenile legal system, as proposed in An Act Relative to Judicial Supervision to Promote Child Well-Being (H. 1569 / S.2836).</w:t>
      </w:r>
    </w:p>
    <w:p w:rsidR="00C76E6D" w:rsidRDefault="00C76E6D">
      <w:pPr>
        <w:pStyle w:val="BodyText"/>
        <w:spacing w:before="3"/>
        <w:rPr>
          <w:sz w:val="25"/>
        </w:rPr>
      </w:pPr>
    </w:p>
    <w:p w:rsidR="00C76E6D" w:rsidRDefault="00913831">
      <w:pPr>
        <w:pStyle w:val="BodyText"/>
        <w:spacing w:line="276" w:lineRule="auto"/>
        <w:ind w:left="480" w:right="483"/>
        <w:jc w:val="both"/>
      </w:pPr>
      <w:r>
        <w:t xml:space="preserve">Finally, the Commission supported the following bills in the 192nd legislative cycle which were sent to study </w:t>
      </w:r>
      <w:r>
        <w:t>and continues to recommend their passage in the 193rd cycle.</w:t>
      </w:r>
    </w:p>
    <w:p w:rsidR="00C76E6D" w:rsidRDefault="00C76E6D">
      <w:pPr>
        <w:pStyle w:val="BodyText"/>
        <w:spacing w:before="4"/>
        <w:rPr>
          <w:sz w:val="25"/>
        </w:rPr>
      </w:pPr>
    </w:p>
    <w:p w:rsidR="00C76E6D" w:rsidRDefault="00913831">
      <w:pPr>
        <w:pStyle w:val="ListParagraph"/>
        <w:numPr>
          <w:ilvl w:val="0"/>
          <w:numId w:val="38"/>
        </w:numPr>
        <w:tabs>
          <w:tab w:val="left" w:pos="1200"/>
        </w:tabs>
        <w:spacing w:line="276" w:lineRule="auto"/>
        <w:ind w:right="473" w:hanging="361"/>
        <w:jc w:val="both"/>
      </w:pPr>
      <w:r>
        <w:t>End life without parole and eliminate parole conditions that perpetuate systemic racism, as proposed</w:t>
      </w:r>
      <w:r>
        <w:rPr>
          <w:spacing w:val="-13"/>
        </w:rPr>
        <w:t xml:space="preserve"> </w:t>
      </w:r>
      <w:r>
        <w:t>in</w:t>
      </w:r>
      <w:r>
        <w:rPr>
          <w:spacing w:val="-12"/>
        </w:rPr>
        <w:t xml:space="preserve"> </w:t>
      </w:r>
      <w:r>
        <w:t>An</w:t>
      </w:r>
      <w:r>
        <w:rPr>
          <w:spacing w:val="-13"/>
        </w:rPr>
        <w:t xml:space="preserve"> </w:t>
      </w:r>
      <w:r>
        <w:t>Act</w:t>
      </w:r>
      <w:r>
        <w:rPr>
          <w:spacing w:val="-12"/>
        </w:rPr>
        <w:t xml:space="preserve"> </w:t>
      </w:r>
      <w:r>
        <w:t>to</w:t>
      </w:r>
      <w:r>
        <w:rPr>
          <w:spacing w:val="-13"/>
        </w:rPr>
        <w:t xml:space="preserve"> </w:t>
      </w:r>
      <w:r>
        <w:t>Promote</w:t>
      </w:r>
      <w:r>
        <w:rPr>
          <w:spacing w:val="-12"/>
        </w:rPr>
        <w:t xml:space="preserve"> </w:t>
      </w:r>
      <w:r>
        <w:t>Equitable</w:t>
      </w:r>
      <w:r>
        <w:rPr>
          <w:spacing w:val="-13"/>
        </w:rPr>
        <w:t xml:space="preserve"> </w:t>
      </w:r>
      <w:r>
        <w:t>Access</w:t>
      </w:r>
      <w:r>
        <w:rPr>
          <w:spacing w:val="-12"/>
        </w:rPr>
        <w:t xml:space="preserve"> </w:t>
      </w:r>
      <w:r>
        <w:t>to</w:t>
      </w:r>
      <w:r>
        <w:rPr>
          <w:spacing w:val="-12"/>
        </w:rPr>
        <w:t xml:space="preserve"> </w:t>
      </w:r>
      <w:r>
        <w:t>Parole</w:t>
      </w:r>
      <w:r>
        <w:rPr>
          <w:spacing w:val="-13"/>
        </w:rPr>
        <w:t xml:space="preserve"> </w:t>
      </w:r>
      <w:r>
        <w:t>(H.</w:t>
      </w:r>
      <w:r>
        <w:rPr>
          <w:spacing w:val="-12"/>
        </w:rPr>
        <w:t xml:space="preserve"> </w:t>
      </w:r>
      <w:r>
        <w:t>2503</w:t>
      </w:r>
      <w:r>
        <w:rPr>
          <w:spacing w:val="-13"/>
        </w:rPr>
        <w:t xml:space="preserve"> </w:t>
      </w:r>
      <w:r>
        <w:t>/</w:t>
      </w:r>
      <w:r>
        <w:rPr>
          <w:spacing w:val="-12"/>
        </w:rPr>
        <w:t xml:space="preserve"> </w:t>
      </w:r>
      <w:r>
        <w:t>S.</w:t>
      </w:r>
      <w:r>
        <w:rPr>
          <w:spacing w:val="-13"/>
        </w:rPr>
        <w:t xml:space="preserve"> </w:t>
      </w:r>
      <w:r>
        <w:t>1560)</w:t>
      </w:r>
      <w:r>
        <w:rPr>
          <w:spacing w:val="-12"/>
        </w:rPr>
        <w:t xml:space="preserve"> </w:t>
      </w:r>
      <w:r>
        <w:t>and</w:t>
      </w:r>
      <w:r>
        <w:rPr>
          <w:spacing w:val="-12"/>
        </w:rPr>
        <w:t xml:space="preserve"> </w:t>
      </w:r>
      <w:r>
        <w:t>An</w:t>
      </w:r>
      <w:r>
        <w:rPr>
          <w:spacing w:val="-13"/>
        </w:rPr>
        <w:t xml:space="preserve"> </w:t>
      </w:r>
      <w:r>
        <w:t>Act</w:t>
      </w:r>
      <w:r>
        <w:rPr>
          <w:spacing w:val="-12"/>
        </w:rPr>
        <w:t xml:space="preserve"> </w:t>
      </w:r>
      <w:r>
        <w:t>to</w:t>
      </w:r>
      <w:r>
        <w:rPr>
          <w:spacing w:val="-13"/>
        </w:rPr>
        <w:t xml:space="preserve"> </w:t>
      </w:r>
      <w:r>
        <w:t>Reform Paro</w:t>
      </w:r>
      <w:r>
        <w:t>le Supervision in the Interest of Justice (H. 1798 / S. 1600).</w:t>
      </w:r>
    </w:p>
    <w:p w:rsidR="00C76E6D" w:rsidRDefault="00C76E6D">
      <w:pPr>
        <w:pStyle w:val="BodyText"/>
        <w:spacing w:before="3"/>
        <w:rPr>
          <w:sz w:val="25"/>
        </w:rPr>
      </w:pPr>
    </w:p>
    <w:p w:rsidR="00C76E6D" w:rsidRDefault="00913831">
      <w:pPr>
        <w:pStyle w:val="ListParagraph"/>
        <w:numPr>
          <w:ilvl w:val="0"/>
          <w:numId w:val="38"/>
        </w:numPr>
        <w:tabs>
          <w:tab w:val="left" w:pos="1251"/>
        </w:tabs>
        <w:spacing w:line="276" w:lineRule="auto"/>
        <w:ind w:right="476"/>
        <w:jc w:val="both"/>
      </w:pPr>
      <w:r>
        <w:tab/>
      </w:r>
      <w:r>
        <w:t>Pursue legislation and policies to actively decarcerate prisons and jails and prioritize decarceration as a means of responding to and preventing the continued spread of COVID-19 among incarc</w:t>
      </w:r>
      <w:r>
        <w:t>erated individuals, as was proposed in An Act Regarding Decarceration and COVID- 19 (H. 1868).</w:t>
      </w:r>
    </w:p>
    <w:p w:rsidR="00C76E6D" w:rsidRDefault="00C76E6D">
      <w:pPr>
        <w:spacing w:line="276" w:lineRule="auto"/>
        <w:jc w:val="both"/>
        <w:sectPr w:rsidR="00C76E6D">
          <w:pgSz w:w="12240" w:h="15840"/>
          <w:pgMar w:top="960" w:right="960" w:bottom="920" w:left="960" w:header="769" w:footer="72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12"/>
        <w:rPr>
          <w:sz w:val="17"/>
        </w:rPr>
      </w:pPr>
    </w:p>
    <w:p w:rsidR="00C76E6D" w:rsidRDefault="00913831">
      <w:pPr>
        <w:pStyle w:val="Heading5"/>
        <w:numPr>
          <w:ilvl w:val="0"/>
          <w:numId w:val="39"/>
        </w:numPr>
        <w:tabs>
          <w:tab w:val="left" w:pos="826"/>
        </w:tabs>
        <w:spacing w:before="51"/>
        <w:ind w:left="825" w:hanging="248"/>
        <w:jc w:val="left"/>
      </w:pPr>
      <w:r>
        <w:pict>
          <v:shape id="docshape290" o:spid="_x0000_s1147" style="position:absolute;left:0;text-align:left;margin-left:70.6pt;margin-top:18.85pt;width:470.95pt;height:.1pt;z-index:-15677952;mso-wrap-distance-left:0;mso-wrap-distance-right:0;mso-position-horizontal-relative:page" coordorigin="1412,377" coordsize="9419,0" path="m1412,377r9419,e" filled="f" strokeweight="1.54pt">
            <v:path arrowok="t"/>
            <w10:wrap type="topAndBottom" anchorx="page"/>
          </v:shape>
        </w:pict>
      </w:r>
      <w:bookmarkStart w:id="474" w:name="C._Research_on_Advancing_Juvenile_Justic"/>
      <w:bookmarkStart w:id="475" w:name="_bookmark349"/>
      <w:bookmarkEnd w:id="474"/>
      <w:bookmarkEnd w:id="475"/>
      <w:r>
        <w:t>Research</w:t>
      </w:r>
      <w:r>
        <w:rPr>
          <w:spacing w:val="-15"/>
        </w:rPr>
        <w:t xml:space="preserve"> </w:t>
      </w:r>
      <w:r>
        <w:t>on</w:t>
      </w:r>
      <w:r>
        <w:rPr>
          <w:spacing w:val="-12"/>
        </w:rPr>
        <w:t xml:space="preserve"> </w:t>
      </w:r>
      <w:r>
        <w:t>Advancing</w:t>
      </w:r>
      <w:r>
        <w:rPr>
          <w:spacing w:val="-7"/>
        </w:rPr>
        <w:t xml:space="preserve"> </w:t>
      </w:r>
      <w:r>
        <w:t>Juvenile</w:t>
      </w:r>
      <w:r>
        <w:rPr>
          <w:spacing w:val="-7"/>
        </w:rPr>
        <w:t xml:space="preserve"> </w:t>
      </w:r>
      <w:r>
        <w:t>Justice</w:t>
      </w:r>
      <w:r>
        <w:rPr>
          <w:spacing w:val="-12"/>
        </w:rPr>
        <w:t xml:space="preserve"> </w:t>
      </w:r>
      <w:r>
        <w:t>for</w:t>
      </w:r>
      <w:r>
        <w:rPr>
          <w:spacing w:val="-10"/>
        </w:rPr>
        <w:t xml:space="preserve"> </w:t>
      </w:r>
      <w:r>
        <w:t>LGBTQ</w:t>
      </w:r>
      <w:r>
        <w:rPr>
          <w:spacing w:val="-9"/>
        </w:rPr>
        <w:t xml:space="preserve"> </w:t>
      </w:r>
      <w:r>
        <w:rPr>
          <w:spacing w:val="-2"/>
        </w:rPr>
        <w:t>Youth</w:t>
      </w:r>
    </w:p>
    <w:p w:rsidR="00C76E6D" w:rsidRDefault="00C76E6D">
      <w:pPr>
        <w:pStyle w:val="BodyText"/>
        <w:spacing w:before="8"/>
        <w:rPr>
          <w:b/>
          <w:sz w:val="23"/>
        </w:rPr>
      </w:pPr>
    </w:p>
    <w:p w:rsidR="00C76E6D" w:rsidRDefault="00913831">
      <w:pPr>
        <w:pStyle w:val="BodyText"/>
        <w:spacing w:line="276" w:lineRule="auto"/>
        <w:ind w:left="478" w:right="473"/>
        <w:jc w:val="both"/>
      </w:pPr>
      <w:r>
        <w:t>LGBTQ youth are overrepresented in the juvenile justice system. They are twice as likely to enter the juvenile</w:t>
      </w:r>
      <w:r>
        <w:rPr>
          <w:spacing w:val="-9"/>
        </w:rPr>
        <w:t xml:space="preserve"> </w:t>
      </w:r>
      <w:r>
        <w:t>system</w:t>
      </w:r>
      <w:r>
        <w:rPr>
          <w:spacing w:val="-7"/>
        </w:rPr>
        <w:t xml:space="preserve"> </w:t>
      </w:r>
      <w:r>
        <w:t>as</w:t>
      </w:r>
      <w:r>
        <w:rPr>
          <w:spacing w:val="-5"/>
        </w:rPr>
        <w:t xml:space="preserve"> </w:t>
      </w:r>
      <w:r>
        <w:t>their</w:t>
      </w:r>
      <w:r>
        <w:rPr>
          <w:spacing w:val="-5"/>
        </w:rPr>
        <w:t xml:space="preserve"> </w:t>
      </w:r>
      <w:r>
        <w:t>non-LGBTQ</w:t>
      </w:r>
      <w:r>
        <w:rPr>
          <w:spacing w:val="-6"/>
        </w:rPr>
        <w:t xml:space="preserve"> </w:t>
      </w:r>
      <w:r>
        <w:t>peers</w:t>
      </w:r>
      <w:hyperlink w:anchor="_bookmark353" w:history="1">
        <w:r>
          <w:t>.</w:t>
        </w:r>
        <w:r>
          <w:rPr>
            <w:vertAlign w:val="superscript"/>
          </w:rPr>
          <w:t>4</w:t>
        </w:r>
        <w:r>
          <w:rPr>
            <w:spacing w:val="-9"/>
          </w:rPr>
          <w:t xml:space="preserve"> </w:t>
        </w:r>
      </w:hyperlink>
      <w:r>
        <w:t>Researchers</w:t>
      </w:r>
      <w:r>
        <w:rPr>
          <w:spacing w:val="-5"/>
        </w:rPr>
        <w:t xml:space="preserve"> </w:t>
      </w:r>
      <w:r>
        <w:t>estimate</w:t>
      </w:r>
      <w:r>
        <w:rPr>
          <w:spacing w:val="-5"/>
        </w:rPr>
        <w:t xml:space="preserve"> </w:t>
      </w:r>
      <w:r>
        <w:t>that</w:t>
      </w:r>
      <w:r>
        <w:rPr>
          <w:spacing w:val="-7"/>
        </w:rPr>
        <w:t xml:space="preserve"> </w:t>
      </w:r>
      <w:r>
        <w:t>20%</w:t>
      </w:r>
      <w:r>
        <w:rPr>
          <w:spacing w:val="-5"/>
        </w:rPr>
        <w:t xml:space="preserve"> </w:t>
      </w:r>
      <w:r>
        <w:t>of</w:t>
      </w:r>
      <w:r>
        <w:rPr>
          <w:spacing w:val="-5"/>
        </w:rPr>
        <w:t xml:space="preserve"> </w:t>
      </w:r>
      <w:r>
        <w:t>youth</w:t>
      </w:r>
      <w:r>
        <w:rPr>
          <w:spacing w:val="-5"/>
        </w:rPr>
        <w:t xml:space="preserve"> </w:t>
      </w:r>
      <w:r>
        <w:t>in</w:t>
      </w:r>
      <w:r>
        <w:rPr>
          <w:spacing w:val="-5"/>
        </w:rPr>
        <w:t xml:space="preserve"> </w:t>
      </w:r>
      <w:r>
        <w:t>the</w:t>
      </w:r>
      <w:r>
        <w:rPr>
          <w:spacing w:val="-5"/>
        </w:rPr>
        <w:t xml:space="preserve"> </w:t>
      </w:r>
      <w:r>
        <w:t>juvenile</w:t>
      </w:r>
      <w:r>
        <w:rPr>
          <w:spacing w:val="-5"/>
        </w:rPr>
        <w:t xml:space="preserve"> </w:t>
      </w:r>
      <w:r>
        <w:t>justice system are LGBTQ</w:t>
      </w:r>
      <w:r>
        <w:t>, even though they make up only 7% of the total U.S. youth population</w:t>
      </w:r>
      <w:hyperlink w:anchor="_bookmark354" w:history="1">
        <w:r>
          <w:t>.</w:t>
        </w:r>
        <w:r>
          <w:rPr>
            <w:vertAlign w:val="superscript"/>
          </w:rPr>
          <w:t>5</w:t>
        </w:r>
        <w:r>
          <w:t xml:space="preserve"> </w:t>
        </w:r>
      </w:hyperlink>
      <w:r>
        <w:t>Transgender and</w:t>
      </w:r>
      <w:r>
        <w:rPr>
          <w:spacing w:val="-13"/>
        </w:rPr>
        <w:t xml:space="preserve"> </w:t>
      </w:r>
      <w:r>
        <w:t>gender-nonconforming</w:t>
      </w:r>
      <w:r>
        <w:rPr>
          <w:spacing w:val="-12"/>
        </w:rPr>
        <w:t xml:space="preserve"> </w:t>
      </w:r>
      <w:r>
        <w:t>individuals</w:t>
      </w:r>
      <w:r>
        <w:rPr>
          <w:spacing w:val="-13"/>
        </w:rPr>
        <w:t xml:space="preserve"> </w:t>
      </w:r>
      <w:r>
        <w:t>are</w:t>
      </w:r>
      <w:r>
        <w:rPr>
          <w:spacing w:val="-12"/>
        </w:rPr>
        <w:t xml:space="preserve"> </w:t>
      </w:r>
      <w:r>
        <w:t>nearly</w:t>
      </w:r>
      <w:r>
        <w:rPr>
          <w:spacing w:val="-13"/>
        </w:rPr>
        <w:t xml:space="preserve"> </w:t>
      </w:r>
      <w:r>
        <w:t>twice</w:t>
      </w:r>
      <w:r>
        <w:rPr>
          <w:spacing w:val="-12"/>
        </w:rPr>
        <w:t xml:space="preserve"> </w:t>
      </w:r>
      <w:r>
        <w:t>as</w:t>
      </w:r>
      <w:r>
        <w:rPr>
          <w:spacing w:val="-13"/>
        </w:rPr>
        <w:t xml:space="preserve"> </w:t>
      </w:r>
      <w:r>
        <w:t>likely</w:t>
      </w:r>
      <w:r>
        <w:rPr>
          <w:spacing w:val="-12"/>
        </w:rPr>
        <w:t xml:space="preserve"> </w:t>
      </w:r>
      <w:r>
        <w:t>to</w:t>
      </w:r>
      <w:r>
        <w:rPr>
          <w:spacing w:val="-12"/>
        </w:rPr>
        <w:t xml:space="preserve"> </w:t>
      </w:r>
      <w:r>
        <w:t>have</w:t>
      </w:r>
      <w:r>
        <w:rPr>
          <w:spacing w:val="-13"/>
        </w:rPr>
        <w:t xml:space="preserve"> </w:t>
      </w:r>
      <w:r>
        <w:t>been</w:t>
      </w:r>
      <w:r>
        <w:rPr>
          <w:spacing w:val="-12"/>
        </w:rPr>
        <w:t xml:space="preserve"> </w:t>
      </w:r>
      <w:r>
        <w:t>incarcerated</w:t>
      </w:r>
      <w:r>
        <w:rPr>
          <w:spacing w:val="-13"/>
        </w:rPr>
        <w:t xml:space="preserve"> </w:t>
      </w:r>
      <w:r>
        <w:t>as</w:t>
      </w:r>
      <w:r>
        <w:rPr>
          <w:spacing w:val="-12"/>
        </w:rPr>
        <w:t xml:space="preserve"> </w:t>
      </w:r>
      <w:r>
        <w:t>other</w:t>
      </w:r>
      <w:r>
        <w:rPr>
          <w:spacing w:val="-13"/>
        </w:rPr>
        <w:t xml:space="preserve"> </w:t>
      </w:r>
      <w:r>
        <w:t>LGBTQ people, with transgender people of color reporting a rate of past incarceration four times higher than other LGBTQ people</w:t>
      </w:r>
      <w:hyperlink w:anchor="_bookmark355" w:history="1">
        <w:r>
          <w:t>.</w:t>
        </w:r>
        <w:r>
          <w:rPr>
            <w:vertAlign w:val="superscript"/>
          </w:rPr>
          <w:t>6</w:t>
        </w:r>
        <w:r>
          <w:t xml:space="preserve"> </w:t>
        </w:r>
      </w:hyperlink>
      <w:r>
        <w:t xml:space="preserve">As high as 40% of persons assigned female at birth in the juvenile justice system identify as </w:t>
      </w:r>
      <w:r>
        <w:t>lesbian, bisexual, queer, and/or gender-nonconforming.</w:t>
      </w:r>
      <w:hyperlink w:anchor="_bookmark356" w:history="1">
        <w:r>
          <w:rPr>
            <w:vertAlign w:val="superscript"/>
          </w:rPr>
          <w:t>7</w:t>
        </w:r>
      </w:hyperlink>
      <w:r>
        <w:t xml:space="preserve"> Another report shows that 5% of LGBTQ youth report that they have been incarcerated, and 73% had personal interactions with law enforcement in the previous five years</w:t>
      </w:r>
      <w:hyperlink w:anchor="_bookmark357" w:history="1">
        <w:r>
          <w:t>.</w:t>
        </w:r>
        <w:r>
          <w:rPr>
            <w:vertAlign w:val="superscript"/>
          </w:rPr>
          <w:t>8</w:t>
        </w:r>
        <w:r>
          <w:t xml:space="preserve"> I</w:t>
        </w:r>
      </w:hyperlink>
      <w:r>
        <w:t>n general, police are more likely to use force against LGBTQ people, as well as people of color, people with disabilities, people with mental health concerns, and people with low incomes</w:t>
      </w:r>
      <w:hyperlink w:anchor="_bookmark358" w:history="1">
        <w:r>
          <w:t>.</w:t>
        </w:r>
        <w:r>
          <w:rPr>
            <w:vertAlign w:val="superscript"/>
          </w:rPr>
          <w:t>9</w:t>
        </w:r>
      </w:hyperlink>
    </w:p>
    <w:p w:rsidR="00C76E6D" w:rsidRDefault="00C76E6D">
      <w:pPr>
        <w:pStyle w:val="BodyText"/>
        <w:spacing w:before="4"/>
        <w:rPr>
          <w:sz w:val="25"/>
        </w:rPr>
      </w:pPr>
    </w:p>
    <w:p w:rsidR="00C76E6D" w:rsidRDefault="00913831">
      <w:pPr>
        <w:pStyle w:val="BodyText"/>
        <w:spacing w:before="1" w:line="276" w:lineRule="auto"/>
        <w:ind w:left="478" w:right="474"/>
        <w:jc w:val="both"/>
      </w:pPr>
      <w:r>
        <w:t>Research</w:t>
      </w:r>
      <w:r>
        <w:rPr>
          <w:spacing w:val="-7"/>
        </w:rPr>
        <w:t xml:space="preserve"> </w:t>
      </w:r>
      <w:r>
        <w:t>has</w:t>
      </w:r>
      <w:r>
        <w:rPr>
          <w:spacing w:val="-4"/>
        </w:rPr>
        <w:t xml:space="preserve"> </w:t>
      </w:r>
      <w:r>
        <w:t>long</w:t>
      </w:r>
      <w:r>
        <w:rPr>
          <w:spacing w:val="-8"/>
        </w:rPr>
        <w:t xml:space="preserve"> </w:t>
      </w:r>
      <w:r>
        <w:t>shown</w:t>
      </w:r>
      <w:r>
        <w:rPr>
          <w:spacing w:val="-7"/>
        </w:rPr>
        <w:t xml:space="preserve"> </w:t>
      </w:r>
      <w:r>
        <w:t>that</w:t>
      </w:r>
      <w:r>
        <w:rPr>
          <w:spacing w:val="-7"/>
        </w:rPr>
        <w:t xml:space="preserve"> </w:t>
      </w:r>
      <w:r>
        <w:t>the</w:t>
      </w:r>
      <w:r>
        <w:rPr>
          <w:spacing w:val="-7"/>
        </w:rPr>
        <w:t xml:space="preserve"> </w:t>
      </w:r>
      <w:r>
        <w:t>juvenile</w:t>
      </w:r>
      <w:r>
        <w:rPr>
          <w:spacing w:val="-8"/>
        </w:rPr>
        <w:t xml:space="preserve"> </w:t>
      </w:r>
      <w:r>
        <w:t>and</w:t>
      </w:r>
      <w:r>
        <w:rPr>
          <w:spacing w:val="-7"/>
        </w:rPr>
        <w:t xml:space="preserve"> </w:t>
      </w:r>
      <w:r>
        <w:t>criminal</w:t>
      </w:r>
      <w:r>
        <w:rPr>
          <w:spacing w:val="-8"/>
        </w:rPr>
        <w:t xml:space="preserve"> </w:t>
      </w:r>
      <w:r>
        <w:t>systems</w:t>
      </w:r>
      <w:r>
        <w:rPr>
          <w:spacing w:val="-6"/>
        </w:rPr>
        <w:t xml:space="preserve"> </w:t>
      </w:r>
      <w:r>
        <w:t>disproportionately</w:t>
      </w:r>
      <w:r>
        <w:rPr>
          <w:spacing w:val="-8"/>
        </w:rPr>
        <w:t xml:space="preserve"> </w:t>
      </w:r>
      <w:r>
        <w:t>affect</w:t>
      </w:r>
      <w:r>
        <w:rPr>
          <w:spacing w:val="-7"/>
        </w:rPr>
        <w:t xml:space="preserve"> </w:t>
      </w:r>
      <w:r>
        <w:t>people</w:t>
      </w:r>
      <w:r>
        <w:rPr>
          <w:spacing w:val="-8"/>
        </w:rPr>
        <w:t xml:space="preserve"> </w:t>
      </w:r>
      <w:r>
        <w:t>of</w:t>
      </w:r>
      <w:r>
        <w:rPr>
          <w:spacing w:val="-5"/>
        </w:rPr>
        <w:t xml:space="preserve"> </w:t>
      </w:r>
      <w:r>
        <w:t>color. One national study found that, compared to White youth, Black youth are four times more likely to be incarcerated, Native</w:t>
      </w:r>
      <w:r>
        <w:rPr>
          <w:spacing w:val="-2"/>
        </w:rPr>
        <w:t xml:space="preserve"> </w:t>
      </w:r>
      <w:r>
        <w:t>American</w:t>
      </w:r>
      <w:r>
        <w:rPr>
          <w:spacing w:val="-2"/>
        </w:rPr>
        <w:t xml:space="preserve"> </w:t>
      </w:r>
      <w:r>
        <w:t>youth nearly</w:t>
      </w:r>
      <w:r>
        <w:rPr>
          <w:spacing w:val="-3"/>
        </w:rPr>
        <w:t xml:space="preserve"> </w:t>
      </w:r>
      <w:r>
        <w:t>three</w:t>
      </w:r>
      <w:r>
        <w:rPr>
          <w:spacing w:val="-1"/>
        </w:rPr>
        <w:t xml:space="preserve"> </w:t>
      </w:r>
      <w:r>
        <w:t>times</w:t>
      </w:r>
      <w:r>
        <w:rPr>
          <w:spacing w:val="-2"/>
        </w:rPr>
        <w:t xml:space="preserve"> </w:t>
      </w:r>
      <w:r>
        <w:t>as</w:t>
      </w:r>
      <w:r>
        <w:rPr>
          <w:spacing w:val="-2"/>
        </w:rPr>
        <w:t xml:space="preserve"> </w:t>
      </w:r>
      <w:r>
        <w:t>likely, and</w:t>
      </w:r>
      <w:r>
        <w:rPr>
          <w:spacing w:val="-1"/>
        </w:rPr>
        <w:t xml:space="preserve"> </w:t>
      </w:r>
      <w:r>
        <w:t>Latinx</w:t>
      </w:r>
      <w:r>
        <w:rPr>
          <w:spacing w:val="-2"/>
        </w:rPr>
        <w:t xml:space="preserve"> </w:t>
      </w:r>
      <w:r>
        <w:t>youth</w:t>
      </w:r>
      <w:r>
        <w:rPr>
          <w:spacing w:val="-2"/>
        </w:rPr>
        <w:t xml:space="preserve"> </w:t>
      </w:r>
      <w:r>
        <w:t>1.5 times</w:t>
      </w:r>
      <w:r>
        <w:rPr>
          <w:spacing w:val="-1"/>
        </w:rPr>
        <w:t xml:space="preserve"> </w:t>
      </w:r>
      <w:r>
        <w:t>as</w:t>
      </w:r>
      <w:r>
        <w:rPr>
          <w:spacing w:val="-2"/>
        </w:rPr>
        <w:t xml:space="preserve"> </w:t>
      </w:r>
      <w:r>
        <w:t>likely.</w:t>
      </w:r>
      <w:hyperlink w:anchor="_bookmark359" w:history="1">
        <w:r>
          <w:rPr>
            <w:vertAlign w:val="superscript"/>
          </w:rPr>
          <w:t>10</w:t>
        </w:r>
        <w:r>
          <w:rPr>
            <w:spacing w:val="20"/>
          </w:rPr>
          <w:t xml:space="preserve"> </w:t>
        </w:r>
      </w:hyperlink>
      <w:r>
        <w:t>It is deeply troubling, but not surprising, that it has been estimated that 85-90% of LGBTQ youth in the justice system are youth of color.</w:t>
      </w:r>
      <w:hyperlink w:anchor="_bookmark360" w:history="1">
        <w:r>
          <w:rPr>
            <w:vertAlign w:val="superscript"/>
          </w:rPr>
          <w:t>11</w:t>
        </w:r>
        <w:r>
          <w:t xml:space="preserve"> </w:t>
        </w:r>
      </w:hyperlink>
      <w:r>
        <w:t>During the pandemic, these racial disparities have worsened; white youths</w:t>
      </w:r>
      <w:r>
        <w:rPr>
          <w:spacing w:val="-1"/>
        </w:rPr>
        <w:t xml:space="preserve"> </w:t>
      </w:r>
      <w:r>
        <w:t>were</w:t>
      </w:r>
      <w:r>
        <w:rPr>
          <w:spacing w:val="-1"/>
        </w:rPr>
        <w:t xml:space="preserve"> </w:t>
      </w:r>
      <w:r>
        <w:t>released</w:t>
      </w:r>
      <w:r>
        <w:rPr>
          <w:spacing w:val="-3"/>
        </w:rPr>
        <w:t xml:space="preserve"> </w:t>
      </w:r>
      <w:r>
        <w:t>from</w:t>
      </w:r>
      <w:r>
        <w:rPr>
          <w:spacing w:val="-3"/>
        </w:rPr>
        <w:t xml:space="preserve"> </w:t>
      </w:r>
      <w:r>
        <w:t>juvenile</w:t>
      </w:r>
      <w:r>
        <w:rPr>
          <w:spacing w:val="-2"/>
        </w:rPr>
        <w:t xml:space="preserve"> </w:t>
      </w:r>
      <w:r>
        <w:t>detention</w:t>
      </w:r>
      <w:r>
        <w:rPr>
          <w:spacing w:val="-1"/>
        </w:rPr>
        <w:t xml:space="preserve"> </w:t>
      </w:r>
      <w:r>
        <w:t>centers</w:t>
      </w:r>
      <w:r>
        <w:rPr>
          <w:spacing w:val="-3"/>
        </w:rPr>
        <w:t xml:space="preserve"> </w:t>
      </w:r>
      <w:r>
        <w:t>at</w:t>
      </w:r>
      <w:r>
        <w:rPr>
          <w:spacing w:val="-2"/>
        </w:rPr>
        <w:t xml:space="preserve"> </w:t>
      </w:r>
      <w:r>
        <w:t>a</w:t>
      </w:r>
      <w:r>
        <w:rPr>
          <w:spacing w:val="-1"/>
        </w:rPr>
        <w:t xml:space="preserve"> </w:t>
      </w:r>
      <w:r>
        <w:t>much higher</w:t>
      </w:r>
      <w:r>
        <w:rPr>
          <w:spacing w:val="-2"/>
        </w:rPr>
        <w:t xml:space="preserve"> </w:t>
      </w:r>
      <w:r>
        <w:t>rate</w:t>
      </w:r>
      <w:r>
        <w:rPr>
          <w:spacing w:val="-2"/>
        </w:rPr>
        <w:t xml:space="preserve"> </w:t>
      </w:r>
      <w:r>
        <w:t>than</w:t>
      </w:r>
      <w:r>
        <w:rPr>
          <w:spacing w:val="-3"/>
        </w:rPr>
        <w:t xml:space="preserve"> </w:t>
      </w:r>
      <w:r>
        <w:t>their</w:t>
      </w:r>
      <w:r>
        <w:rPr>
          <w:spacing w:val="-1"/>
        </w:rPr>
        <w:t xml:space="preserve"> </w:t>
      </w:r>
      <w:r>
        <w:t>Black</w:t>
      </w:r>
      <w:r>
        <w:rPr>
          <w:spacing w:val="-2"/>
        </w:rPr>
        <w:t xml:space="preserve"> </w:t>
      </w:r>
      <w:r>
        <w:t>peers</w:t>
      </w:r>
      <w:r>
        <w:rPr>
          <w:spacing w:val="-2"/>
        </w:rPr>
        <w:t xml:space="preserve"> </w:t>
      </w:r>
      <w:r>
        <w:t>at</w:t>
      </w:r>
      <w:r>
        <w:rPr>
          <w:spacing w:val="-1"/>
        </w:rPr>
        <w:t xml:space="preserve"> </w:t>
      </w:r>
      <w:r>
        <w:t>the onset of the pandemic, while youth of color have be</w:t>
      </w:r>
      <w:r>
        <w:t xml:space="preserve">en detained for longer than they were before the </w:t>
      </w:r>
      <w:r>
        <w:rPr>
          <w:spacing w:val="-2"/>
        </w:rPr>
        <w:t>pandemic</w:t>
      </w:r>
      <w:hyperlink w:anchor="_bookmark361" w:history="1">
        <w:r>
          <w:rPr>
            <w:spacing w:val="-2"/>
          </w:rPr>
          <w:t>.</w:t>
        </w:r>
        <w:r>
          <w:rPr>
            <w:spacing w:val="-2"/>
            <w:vertAlign w:val="superscript"/>
          </w:rPr>
          <w:t>12</w:t>
        </w:r>
      </w:hyperlink>
    </w:p>
    <w:p w:rsidR="00C76E6D" w:rsidRDefault="00C76E6D">
      <w:pPr>
        <w:pStyle w:val="BodyText"/>
        <w:spacing w:before="4"/>
        <w:rPr>
          <w:sz w:val="25"/>
        </w:rPr>
      </w:pPr>
    </w:p>
    <w:p w:rsidR="00C76E6D" w:rsidRDefault="00913831">
      <w:pPr>
        <w:pStyle w:val="BodyText"/>
        <w:spacing w:line="276" w:lineRule="auto"/>
        <w:ind w:left="478" w:right="476"/>
        <w:jc w:val="both"/>
      </w:pPr>
      <w:r>
        <w:t>LGBTQ</w:t>
      </w:r>
      <w:r>
        <w:rPr>
          <w:spacing w:val="-10"/>
        </w:rPr>
        <w:t xml:space="preserve"> </w:t>
      </w:r>
      <w:r>
        <w:t>youth</w:t>
      </w:r>
      <w:r>
        <w:rPr>
          <w:spacing w:val="-9"/>
        </w:rPr>
        <w:t xml:space="preserve"> </w:t>
      </w:r>
      <w:r>
        <w:t>face</w:t>
      </w:r>
      <w:r>
        <w:rPr>
          <w:spacing w:val="-11"/>
        </w:rPr>
        <w:t xml:space="preserve"> </w:t>
      </w:r>
      <w:r>
        <w:t>unique</w:t>
      </w:r>
      <w:r>
        <w:rPr>
          <w:spacing w:val="-10"/>
        </w:rPr>
        <w:t xml:space="preserve"> </w:t>
      </w:r>
      <w:r>
        <w:t>risk</w:t>
      </w:r>
      <w:r>
        <w:rPr>
          <w:spacing w:val="-12"/>
        </w:rPr>
        <w:t xml:space="preserve"> </w:t>
      </w:r>
      <w:r>
        <w:t>factors</w:t>
      </w:r>
      <w:r>
        <w:rPr>
          <w:spacing w:val="-11"/>
        </w:rPr>
        <w:t xml:space="preserve"> </w:t>
      </w:r>
      <w:r>
        <w:t>that</w:t>
      </w:r>
      <w:r>
        <w:rPr>
          <w:spacing w:val="-12"/>
        </w:rPr>
        <w:t xml:space="preserve"> </w:t>
      </w:r>
      <w:r>
        <w:t>may</w:t>
      </w:r>
      <w:r>
        <w:rPr>
          <w:spacing w:val="-10"/>
        </w:rPr>
        <w:t xml:space="preserve"> </w:t>
      </w:r>
      <w:r>
        <w:t>push</w:t>
      </w:r>
      <w:r>
        <w:rPr>
          <w:spacing w:val="-9"/>
        </w:rPr>
        <w:t xml:space="preserve"> </w:t>
      </w:r>
      <w:r>
        <w:t>them</w:t>
      </w:r>
      <w:r>
        <w:rPr>
          <w:spacing w:val="-12"/>
        </w:rPr>
        <w:t xml:space="preserve"> </w:t>
      </w:r>
      <w:r>
        <w:t>into</w:t>
      </w:r>
      <w:r>
        <w:rPr>
          <w:spacing w:val="-11"/>
        </w:rPr>
        <w:t xml:space="preserve"> </w:t>
      </w:r>
      <w:r>
        <w:t>the</w:t>
      </w:r>
      <w:r>
        <w:rPr>
          <w:spacing w:val="-12"/>
        </w:rPr>
        <w:t xml:space="preserve"> </w:t>
      </w:r>
      <w:r>
        <w:t>juvenile</w:t>
      </w:r>
      <w:r>
        <w:rPr>
          <w:spacing w:val="-11"/>
        </w:rPr>
        <w:t xml:space="preserve"> </w:t>
      </w:r>
      <w:r>
        <w:t>justice</w:t>
      </w:r>
      <w:r>
        <w:rPr>
          <w:spacing w:val="-12"/>
        </w:rPr>
        <w:t xml:space="preserve"> </w:t>
      </w:r>
      <w:r>
        <w:t>system.</w:t>
      </w:r>
      <w:r>
        <w:rPr>
          <w:spacing w:val="-10"/>
        </w:rPr>
        <w:t xml:space="preserve"> </w:t>
      </w:r>
      <w:r>
        <w:t>Over</w:t>
      </w:r>
      <w:r>
        <w:rPr>
          <w:spacing w:val="-11"/>
        </w:rPr>
        <w:t xml:space="preserve"> </w:t>
      </w:r>
      <w:r>
        <w:t>two-thirds of justice-involved youth have histories of adversity related to interpersonal trauma, and most are disproportionately burdened by discrimination based on race, ethnicity, gender identity, sexual orientation,</w:t>
      </w:r>
      <w:r>
        <w:rPr>
          <w:spacing w:val="-4"/>
        </w:rPr>
        <w:t xml:space="preserve"> </w:t>
      </w:r>
      <w:r>
        <w:t>and/or</w:t>
      </w:r>
      <w:r>
        <w:rPr>
          <w:spacing w:val="-1"/>
        </w:rPr>
        <w:t xml:space="preserve"> </w:t>
      </w:r>
      <w:r>
        <w:t>disability</w:t>
      </w:r>
      <w:r>
        <w:rPr>
          <w:spacing w:val="-1"/>
        </w:rPr>
        <w:t xml:space="preserve"> </w:t>
      </w:r>
      <w:r>
        <w:t>status.</w:t>
      </w:r>
      <w:hyperlink w:anchor="_bookmark362" w:history="1">
        <w:r>
          <w:rPr>
            <w:vertAlign w:val="superscript"/>
          </w:rPr>
          <w:t>13</w:t>
        </w:r>
        <w:r>
          <w:rPr>
            <w:spacing w:val="-7"/>
          </w:rPr>
          <w:t xml:space="preserve"> </w:t>
        </w:r>
      </w:hyperlink>
      <w:r>
        <w:t>Homelessness,</w:t>
      </w:r>
      <w:r>
        <w:rPr>
          <w:spacing w:val="-1"/>
        </w:rPr>
        <w:t xml:space="preserve"> </w:t>
      </w:r>
      <w:r>
        <w:t>overrepresentation</w:t>
      </w:r>
      <w:r>
        <w:rPr>
          <w:spacing w:val="-1"/>
        </w:rPr>
        <w:t xml:space="preserve"> </w:t>
      </w:r>
      <w:r>
        <w:t>in</w:t>
      </w:r>
      <w:r>
        <w:rPr>
          <w:spacing w:val="-2"/>
        </w:rPr>
        <w:t xml:space="preserve"> </w:t>
      </w:r>
      <w:r>
        <w:t>the foster</w:t>
      </w:r>
      <w:r>
        <w:rPr>
          <w:spacing w:val="-1"/>
        </w:rPr>
        <w:t xml:space="preserve"> </w:t>
      </w:r>
      <w:r>
        <w:t>care</w:t>
      </w:r>
      <w:r>
        <w:rPr>
          <w:spacing w:val="-3"/>
        </w:rPr>
        <w:t xml:space="preserve"> </w:t>
      </w:r>
      <w:r>
        <w:t>system,</w:t>
      </w:r>
      <w:r>
        <w:rPr>
          <w:spacing w:val="-1"/>
        </w:rPr>
        <w:t xml:space="preserve"> </w:t>
      </w:r>
      <w:r>
        <w:t xml:space="preserve">labor and housing market exclusion, criminalization of sex work, and structural bias also impact their risk of </w:t>
      </w:r>
      <w:r>
        <w:rPr>
          <w:spacing w:val="-2"/>
        </w:rPr>
        <w:t>incarceration.</w:t>
      </w:r>
      <w:hyperlink w:anchor="_bookmark363" w:history="1">
        <w:r>
          <w:rPr>
            <w:spacing w:val="-2"/>
            <w:vertAlign w:val="superscript"/>
          </w:rPr>
          <w:t>14</w:t>
        </w:r>
      </w:hyperlink>
    </w:p>
    <w:p w:rsidR="00C76E6D" w:rsidRDefault="00C76E6D">
      <w:pPr>
        <w:pStyle w:val="BodyText"/>
        <w:spacing w:before="4"/>
        <w:rPr>
          <w:sz w:val="25"/>
        </w:rPr>
      </w:pPr>
    </w:p>
    <w:p w:rsidR="00C76E6D" w:rsidRDefault="00913831">
      <w:pPr>
        <w:pStyle w:val="BodyText"/>
        <w:spacing w:line="276" w:lineRule="auto"/>
        <w:ind w:left="478" w:right="475"/>
        <w:jc w:val="both"/>
      </w:pPr>
      <w:r>
        <w:t>Ultimately,</w:t>
      </w:r>
      <w:r>
        <w:t xml:space="preserve"> more research needs to be done on the impact of sexual orientation, gender identity, race, and other social identities on incarceration. More information on the impact of COVID on incarcerated LGBTQ youth can be found in the special report on the Impact o</w:t>
      </w:r>
      <w:r>
        <w:t>f COVID-19 on LGBTQ youth.</w:t>
      </w:r>
    </w:p>
    <w:p w:rsidR="00C76E6D" w:rsidRDefault="00C76E6D">
      <w:pPr>
        <w:pStyle w:val="BodyText"/>
        <w:spacing w:before="3"/>
        <w:rPr>
          <w:sz w:val="25"/>
        </w:rPr>
      </w:pPr>
    </w:p>
    <w:p w:rsidR="00C76E6D" w:rsidRDefault="00913831">
      <w:pPr>
        <w:pStyle w:val="Heading6"/>
        <w:numPr>
          <w:ilvl w:val="0"/>
          <w:numId w:val="37"/>
        </w:numPr>
        <w:tabs>
          <w:tab w:val="left" w:pos="699"/>
        </w:tabs>
        <w:spacing w:before="1"/>
        <w:ind w:hanging="221"/>
      </w:pPr>
      <w:bookmarkStart w:id="476" w:name="1._Pathways_to_Involvement_in_the_Juveni"/>
      <w:bookmarkEnd w:id="476"/>
      <w:r>
        <w:rPr>
          <w:w w:val="95"/>
        </w:rPr>
        <w:t>Pathways</w:t>
      </w:r>
      <w:r>
        <w:rPr>
          <w:spacing w:val="15"/>
        </w:rPr>
        <w:t xml:space="preserve"> </w:t>
      </w:r>
      <w:r>
        <w:rPr>
          <w:w w:val="95"/>
        </w:rPr>
        <w:t>to</w:t>
      </w:r>
      <w:r>
        <w:rPr>
          <w:spacing w:val="12"/>
        </w:rPr>
        <w:t xml:space="preserve"> </w:t>
      </w:r>
      <w:r>
        <w:rPr>
          <w:w w:val="95"/>
        </w:rPr>
        <w:t>Involvement</w:t>
      </w:r>
      <w:r>
        <w:rPr>
          <w:spacing w:val="11"/>
        </w:rPr>
        <w:t xml:space="preserve"> </w:t>
      </w:r>
      <w:r>
        <w:rPr>
          <w:w w:val="95"/>
        </w:rPr>
        <w:t>in</w:t>
      </w:r>
      <w:r>
        <w:rPr>
          <w:spacing w:val="12"/>
        </w:rPr>
        <w:t xml:space="preserve"> </w:t>
      </w:r>
      <w:r>
        <w:rPr>
          <w:w w:val="95"/>
        </w:rPr>
        <w:t>the</w:t>
      </w:r>
      <w:r>
        <w:rPr>
          <w:spacing w:val="16"/>
        </w:rPr>
        <w:t xml:space="preserve"> </w:t>
      </w:r>
      <w:r>
        <w:rPr>
          <w:w w:val="95"/>
        </w:rPr>
        <w:t>Juvenile</w:t>
      </w:r>
      <w:r>
        <w:rPr>
          <w:spacing w:val="12"/>
        </w:rPr>
        <w:t xml:space="preserve"> </w:t>
      </w:r>
      <w:r>
        <w:rPr>
          <w:w w:val="95"/>
        </w:rPr>
        <w:t>and</w:t>
      </w:r>
      <w:r>
        <w:rPr>
          <w:spacing w:val="14"/>
        </w:rPr>
        <w:t xml:space="preserve"> </w:t>
      </w:r>
      <w:r>
        <w:rPr>
          <w:w w:val="95"/>
        </w:rPr>
        <w:t>Criminal</w:t>
      </w:r>
      <w:r>
        <w:rPr>
          <w:spacing w:val="12"/>
        </w:rPr>
        <w:t xml:space="preserve"> </w:t>
      </w:r>
      <w:r>
        <w:rPr>
          <w:w w:val="95"/>
        </w:rPr>
        <w:t>Justice</w:t>
      </w:r>
      <w:r>
        <w:rPr>
          <w:spacing w:val="15"/>
        </w:rPr>
        <w:t xml:space="preserve"> </w:t>
      </w:r>
      <w:r>
        <w:rPr>
          <w:spacing w:val="-2"/>
          <w:w w:val="95"/>
        </w:rPr>
        <w:t>Systems</w:t>
      </w:r>
    </w:p>
    <w:p w:rsidR="00C76E6D" w:rsidRDefault="00C76E6D">
      <w:pPr>
        <w:pStyle w:val="BodyText"/>
        <w:spacing w:before="11"/>
        <w:rPr>
          <w:b/>
        </w:rPr>
      </w:pPr>
    </w:p>
    <w:p w:rsidR="00C76E6D" w:rsidRDefault="00913831">
      <w:pPr>
        <w:pStyle w:val="BodyText"/>
        <w:spacing w:line="276" w:lineRule="auto"/>
        <w:ind w:left="480" w:right="474"/>
        <w:jc w:val="both"/>
      </w:pPr>
      <w:r>
        <w:t>Various forces contribute to the overrepresentation of LGBTQ young people in the juvenile and criminal justice systems. One perspective is that discrimination and stigma increase the number of incidents of harassment</w:t>
      </w:r>
      <w:r>
        <w:rPr>
          <w:spacing w:val="-5"/>
        </w:rPr>
        <w:t xml:space="preserve"> </w:t>
      </w:r>
      <w:r>
        <w:t>and</w:t>
      </w:r>
      <w:r>
        <w:rPr>
          <w:spacing w:val="-5"/>
        </w:rPr>
        <w:t xml:space="preserve"> </w:t>
      </w:r>
      <w:r>
        <w:t>violence</w:t>
      </w:r>
      <w:r>
        <w:rPr>
          <w:spacing w:val="-4"/>
        </w:rPr>
        <w:t xml:space="preserve"> </w:t>
      </w:r>
      <w:r>
        <w:t>against</w:t>
      </w:r>
      <w:r>
        <w:rPr>
          <w:spacing w:val="-6"/>
        </w:rPr>
        <w:t xml:space="preserve"> </w:t>
      </w:r>
      <w:r>
        <w:t>LGBTQ</w:t>
      </w:r>
      <w:r>
        <w:rPr>
          <w:spacing w:val="-3"/>
        </w:rPr>
        <w:t xml:space="preserve"> </w:t>
      </w:r>
      <w:r>
        <w:t>youth.</w:t>
      </w:r>
      <w:r>
        <w:rPr>
          <w:spacing w:val="-5"/>
        </w:rPr>
        <w:t xml:space="preserve"> </w:t>
      </w:r>
      <w:r>
        <w:t>LGBTQ</w:t>
      </w:r>
      <w:r>
        <w:rPr>
          <w:spacing w:val="-5"/>
        </w:rPr>
        <w:t xml:space="preserve"> </w:t>
      </w:r>
      <w:r>
        <w:t>youth</w:t>
      </w:r>
      <w:r>
        <w:rPr>
          <w:spacing w:val="-3"/>
        </w:rPr>
        <w:t xml:space="preserve"> </w:t>
      </w:r>
      <w:r>
        <w:t>may</w:t>
      </w:r>
      <w:r>
        <w:rPr>
          <w:spacing w:val="-3"/>
        </w:rPr>
        <w:t xml:space="preserve"> </w:t>
      </w:r>
      <w:r>
        <w:t>cope</w:t>
      </w:r>
      <w:r>
        <w:rPr>
          <w:spacing w:val="-5"/>
        </w:rPr>
        <w:t xml:space="preserve"> </w:t>
      </w:r>
      <w:r>
        <w:t>with</w:t>
      </w:r>
      <w:r>
        <w:rPr>
          <w:spacing w:val="-3"/>
        </w:rPr>
        <w:t xml:space="preserve"> </w:t>
      </w:r>
      <w:r>
        <w:t>these</w:t>
      </w:r>
      <w:r>
        <w:rPr>
          <w:spacing w:val="-5"/>
        </w:rPr>
        <w:t xml:space="preserve"> </w:t>
      </w:r>
      <w:r>
        <w:t>traumatic</w:t>
      </w:r>
      <w:r>
        <w:rPr>
          <w:spacing w:val="-2"/>
        </w:rPr>
        <w:t xml:space="preserve"> </w:t>
      </w:r>
      <w:r>
        <w:t>experiences by engaging in criminalized compensatory behaviors and the survival economies. Discrimination and stigma</w:t>
      </w:r>
      <w:r>
        <w:rPr>
          <w:spacing w:val="24"/>
        </w:rPr>
        <w:t xml:space="preserve"> </w:t>
      </w:r>
      <w:r>
        <w:t>may</w:t>
      </w:r>
      <w:r>
        <w:rPr>
          <w:spacing w:val="26"/>
        </w:rPr>
        <w:t xml:space="preserve"> </w:t>
      </w:r>
      <w:r>
        <w:t>also</w:t>
      </w:r>
      <w:r>
        <w:rPr>
          <w:spacing w:val="25"/>
        </w:rPr>
        <w:t xml:space="preserve"> </w:t>
      </w:r>
      <w:r>
        <w:t>result</w:t>
      </w:r>
      <w:r>
        <w:rPr>
          <w:spacing w:val="24"/>
        </w:rPr>
        <w:t xml:space="preserve"> </w:t>
      </w:r>
      <w:r>
        <w:t>in</w:t>
      </w:r>
      <w:r>
        <w:rPr>
          <w:spacing w:val="25"/>
        </w:rPr>
        <w:t xml:space="preserve"> </w:t>
      </w:r>
      <w:r>
        <w:t>policies</w:t>
      </w:r>
      <w:r>
        <w:rPr>
          <w:spacing w:val="26"/>
        </w:rPr>
        <w:t xml:space="preserve"> </w:t>
      </w:r>
      <w:r>
        <w:t>and</w:t>
      </w:r>
      <w:r>
        <w:rPr>
          <w:spacing w:val="26"/>
        </w:rPr>
        <w:t xml:space="preserve"> </w:t>
      </w:r>
      <w:r>
        <w:t>policing</w:t>
      </w:r>
      <w:r>
        <w:rPr>
          <w:spacing w:val="25"/>
        </w:rPr>
        <w:t xml:space="preserve"> </w:t>
      </w:r>
      <w:r>
        <w:t>strategies</w:t>
      </w:r>
      <w:r>
        <w:rPr>
          <w:spacing w:val="25"/>
        </w:rPr>
        <w:t xml:space="preserve"> </w:t>
      </w:r>
      <w:r>
        <w:t>that</w:t>
      </w:r>
      <w:r>
        <w:rPr>
          <w:spacing w:val="24"/>
        </w:rPr>
        <w:t xml:space="preserve"> </w:t>
      </w:r>
      <w:r>
        <w:t>disproportionately</w:t>
      </w:r>
      <w:r>
        <w:rPr>
          <w:spacing w:val="24"/>
        </w:rPr>
        <w:t xml:space="preserve"> </w:t>
      </w:r>
      <w:r>
        <w:t>target</w:t>
      </w:r>
      <w:r>
        <w:rPr>
          <w:spacing w:val="24"/>
        </w:rPr>
        <w:t xml:space="preserve"> </w:t>
      </w:r>
      <w:r>
        <w:t>LGBTQ</w:t>
      </w:r>
      <w:r>
        <w:rPr>
          <w:spacing w:val="24"/>
        </w:rPr>
        <w:t xml:space="preserve"> </w:t>
      </w:r>
      <w:r>
        <w:t>youth,</w:t>
      </w:r>
    </w:p>
    <w:p w:rsidR="00C76E6D" w:rsidRDefault="00C76E6D">
      <w:pPr>
        <w:spacing w:line="276" w:lineRule="auto"/>
        <w:jc w:val="both"/>
        <w:sectPr w:rsidR="00C76E6D">
          <w:pgSz w:w="12240" w:h="15840"/>
          <w:pgMar w:top="960" w:right="960" w:bottom="920" w:left="960" w:header="769" w:footer="720" w:gutter="0"/>
          <w:cols w:space="720"/>
        </w:sectPr>
      </w:pPr>
    </w:p>
    <w:p w:rsidR="00C76E6D" w:rsidRDefault="00C76E6D">
      <w:pPr>
        <w:pStyle w:val="BodyText"/>
        <w:rPr>
          <w:sz w:val="20"/>
        </w:rPr>
      </w:pPr>
    </w:p>
    <w:p w:rsidR="00C76E6D" w:rsidRDefault="00913831">
      <w:pPr>
        <w:pStyle w:val="BodyText"/>
        <w:spacing w:before="206" w:line="276" w:lineRule="auto"/>
        <w:ind w:left="480" w:right="478" w:hanging="1"/>
        <w:jc w:val="both"/>
      </w:pPr>
      <w:r>
        <w:t>especially</w:t>
      </w:r>
      <w:r>
        <w:rPr>
          <w:spacing w:val="-1"/>
        </w:rPr>
        <w:t xml:space="preserve"> </w:t>
      </w:r>
      <w:r>
        <w:t>those</w:t>
      </w:r>
      <w:r>
        <w:rPr>
          <w:spacing w:val="-4"/>
        </w:rPr>
        <w:t xml:space="preserve"> </w:t>
      </w:r>
      <w:r>
        <w:t>of</w:t>
      </w:r>
      <w:r>
        <w:rPr>
          <w:spacing w:val="-1"/>
        </w:rPr>
        <w:t xml:space="preserve"> </w:t>
      </w:r>
      <w:r>
        <w:t>color.</w:t>
      </w:r>
      <w:r>
        <w:rPr>
          <w:spacing w:val="-3"/>
        </w:rPr>
        <w:t xml:space="preserve"> </w:t>
      </w:r>
      <w:r>
        <w:t>Traumatic</w:t>
      </w:r>
      <w:r>
        <w:rPr>
          <w:spacing w:val="-2"/>
        </w:rPr>
        <w:t xml:space="preserve"> </w:t>
      </w:r>
      <w:r>
        <w:t>experiences</w:t>
      </w:r>
      <w:r>
        <w:rPr>
          <w:spacing w:val="-1"/>
        </w:rPr>
        <w:t xml:space="preserve"> </w:t>
      </w:r>
      <w:r>
        <w:t>such</w:t>
      </w:r>
      <w:r>
        <w:rPr>
          <w:spacing w:val="-1"/>
        </w:rPr>
        <w:t xml:space="preserve"> </w:t>
      </w:r>
      <w:r>
        <w:t>as</w:t>
      </w:r>
      <w:r>
        <w:rPr>
          <w:spacing w:val="-2"/>
        </w:rPr>
        <w:t xml:space="preserve"> </w:t>
      </w:r>
      <w:r>
        <w:t>interactions</w:t>
      </w:r>
      <w:r>
        <w:rPr>
          <w:spacing w:val="-2"/>
        </w:rPr>
        <w:t xml:space="preserve"> </w:t>
      </w:r>
      <w:r>
        <w:t>with</w:t>
      </w:r>
      <w:r>
        <w:rPr>
          <w:spacing w:val="-2"/>
        </w:rPr>
        <w:t xml:space="preserve"> </w:t>
      </w:r>
      <w:r>
        <w:t>the</w:t>
      </w:r>
      <w:r>
        <w:rPr>
          <w:spacing w:val="-2"/>
        </w:rPr>
        <w:t xml:space="preserve"> </w:t>
      </w:r>
      <w:r>
        <w:t>criminal</w:t>
      </w:r>
      <w:r>
        <w:rPr>
          <w:spacing w:val="-3"/>
        </w:rPr>
        <w:t xml:space="preserve"> </w:t>
      </w:r>
      <w:r>
        <w:t>justice</w:t>
      </w:r>
      <w:r>
        <w:rPr>
          <w:spacing w:val="-1"/>
        </w:rPr>
        <w:t xml:space="preserve"> </w:t>
      </w:r>
      <w:r>
        <w:t>system</w:t>
      </w:r>
      <w:r>
        <w:rPr>
          <w:spacing w:val="-2"/>
        </w:rPr>
        <w:t xml:space="preserve"> </w:t>
      </w:r>
      <w:r>
        <w:t xml:space="preserve">can have lifelong repercussions, particularly when they occur during adolescence, a critical period of brain </w:t>
      </w:r>
      <w:r>
        <w:rPr>
          <w:spacing w:val="-2"/>
        </w:rPr>
        <w:t>development</w:t>
      </w:r>
      <w:hyperlink w:anchor="_bookmark364" w:history="1">
        <w:r>
          <w:rPr>
            <w:spacing w:val="-2"/>
          </w:rPr>
          <w:t>.</w:t>
        </w:r>
        <w:r>
          <w:rPr>
            <w:spacing w:val="-2"/>
            <w:vertAlign w:val="superscript"/>
          </w:rPr>
          <w:t>15</w:t>
        </w:r>
      </w:hyperlink>
    </w:p>
    <w:p w:rsidR="00C76E6D" w:rsidRDefault="00C76E6D">
      <w:pPr>
        <w:pStyle w:val="BodyText"/>
        <w:spacing w:before="3"/>
        <w:rPr>
          <w:sz w:val="25"/>
        </w:rPr>
      </w:pPr>
    </w:p>
    <w:p w:rsidR="00C76E6D" w:rsidRDefault="00913831">
      <w:pPr>
        <w:pStyle w:val="Heading7"/>
        <w:numPr>
          <w:ilvl w:val="1"/>
          <w:numId w:val="37"/>
        </w:numPr>
        <w:tabs>
          <w:tab w:val="left" w:pos="1416"/>
        </w:tabs>
        <w:jc w:val="left"/>
      </w:pPr>
      <w:bookmarkStart w:id="477" w:name="a._Police_Surveillance"/>
      <w:bookmarkEnd w:id="477"/>
      <w:r>
        <w:rPr>
          <w:w w:val="95"/>
        </w:rPr>
        <w:t>Police</w:t>
      </w:r>
      <w:r>
        <w:rPr>
          <w:spacing w:val="11"/>
        </w:rPr>
        <w:t xml:space="preserve"> </w:t>
      </w:r>
      <w:r>
        <w:rPr>
          <w:spacing w:val="-2"/>
          <w:w w:val="95"/>
        </w:rPr>
        <w:t>Surveillance</w:t>
      </w:r>
    </w:p>
    <w:p w:rsidR="00C76E6D" w:rsidRDefault="00C76E6D">
      <w:pPr>
        <w:pStyle w:val="BodyText"/>
        <w:spacing w:before="12"/>
        <w:rPr>
          <w:b/>
          <w:i/>
        </w:rPr>
      </w:pPr>
    </w:p>
    <w:p w:rsidR="00C76E6D" w:rsidRDefault="00913831">
      <w:pPr>
        <w:pStyle w:val="BodyText"/>
        <w:spacing w:line="276" w:lineRule="auto"/>
        <w:ind w:left="478" w:right="475"/>
        <w:jc w:val="both"/>
      </w:pPr>
      <w:r>
        <w:t>Historically,</w:t>
      </w:r>
      <w:r>
        <w:rPr>
          <w:spacing w:val="-13"/>
        </w:rPr>
        <w:t xml:space="preserve"> </w:t>
      </w:r>
      <w:r>
        <w:t>law</w:t>
      </w:r>
      <w:r>
        <w:rPr>
          <w:spacing w:val="-11"/>
        </w:rPr>
        <w:t xml:space="preserve"> </w:t>
      </w:r>
      <w:r>
        <w:t>enforcement</w:t>
      </w:r>
      <w:r>
        <w:rPr>
          <w:spacing w:val="-13"/>
        </w:rPr>
        <w:t xml:space="preserve"> </w:t>
      </w:r>
      <w:r>
        <w:t>has</w:t>
      </w:r>
      <w:r>
        <w:rPr>
          <w:spacing w:val="-11"/>
        </w:rPr>
        <w:t xml:space="preserve"> </w:t>
      </w:r>
      <w:r>
        <w:t>hyper-policed</w:t>
      </w:r>
      <w:r>
        <w:rPr>
          <w:spacing w:val="-11"/>
        </w:rPr>
        <w:t xml:space="preserve"> </w:t>
      </w:r>
      <w:r>
        <w:t>LGBTQ</w:t>
      </w:r>
      <w:r>
        <w:rPr>
          <w:spacing w:val="-13"/>
        </w:rPr>
        <w:t xml:space="preserve"> </w:t>
      </w:r>
      <w:r>
        <w:t>communities,</w:t>
      </w:r>
      <w:r>
        <w:rPr>
          <w:spacing w:val="-12"/>
        </w:rPr>
        <w:t xml:space="preserve"> </w:t>
      </w:r>
      <w:r>
        <w:t>including</w:t>
      </w:r>
      <w:r>
        <w:rPr>
          <w:spacing w:val="-10"/>
        </w:rPr>
        <w:t xml:space="preserve"> </w:t>
      </w:r>
      <w:r>
        <w:t>LGBTQ</w:t>
      </w:r>
      <w:r>
        <w:rPr>
          <w:spacing w:val="-13"/>
        </w:rPr>
        <w:t xml:space="preserve"> </w:t>
      </w:r>
      <w:r>
        <w:t>youth.</w:t>
      </w:r>
      <w:r>
        <w:rPr>
          <w:spacing w:val="-10"/>
        </w:rPr>
        <w:t xml:space="preserve"> </w:t>
      </w:r>
      <w:r>
        <w:t>Policing</w:t>
      </w:r>
      <w:r>
        <w:rPr>
          <w:spacing w:val="-12"/>
        </w:rPr>
        <w:t xml:space="preserve"> </w:t>
      </w:r>
      <w:r>
        <w:t>and hyper-incarceration serve as mechanisms to reproduce dominant expressions of gender and heterosex</w:t>
      </w:r>
      <w:r>
        <w:t>uality</w:t>
      </w:r>
      <w:hyperlink w:anchor="_bookmark365" w:history="1">
        <w:r>
          <w:t>.</w:t>
        </w:r>
        <w:r>
          <w:rPr>
            <w:vertAlign w:val="superscript"/>
          </w:rPr>
          <w:t>16</w:t>
        </w:r>
        <w:r>
          <w:t xml:space="preserve"> </w:t>
        </w:r>
      </w:hyperlink>
      <w:r>
        <w:t xml:space="preserve">Even though anti-LGBTQ laws criminalizing sodomy, cross-dressing, and other acts are no longer illegal, police practices continue to regulate gender expression, identities, and sex. Evidence suggests that bias and </w:t>
      </w:r>
      <w:r>
        <w:t>discrimination influence</w:t>
      </w:r>
      <w:r>
        <w:rPr>
          <w:spacing w:val="-1"/>
        </w:rPr>
        <w:t xml:space="preserve"> </w:t>
      </w:r>
      <w:r>
        <w:t>how law</w:t>
      </w:r>
      <w:r>
        <w:rPr>
          <w:spacing w:val="-1"/>
        </w:rPr>
        <w:t xml:space="preserve"> </w:t>
      </w:r>
      <w:r>
        <w:t>enforcement</w:t>
      </w:r>
      <w:r>
        <w:rPr>
          <w:spacing w:val="-1"/>
        </w:rPr>
        <w:t xml:space="preserve"> </w:t>
      </w:r>
      <w:r>
        <w:t>personnel</w:t>
      </w:r>
      <w:r>
        <w:rPr>
          <w:spacing w:val="-2"/>
        </w:rPr>
        <w:t xml:space="preserve"> </w:t>
      </w:r>
      <w:r>
        <w:t>exercise their</w:t>
      </w:r>
      <w:r>
        <w:rPr>
          <w:spacing w:val="-1"/>
        </w:rPr>
        <w:t xml:space="preserve"> </w:t>
      </w:r>
      <w:r>
        <w:t>discretion to disproportionately target LGBTQ youth, especially LGBTQ girls and youth of color.</w:t>
      </w:r>
      <w:hyperlink w:anchor="_bookmark366" w:history="1">
        <w:r>
          <w:rPr>
            <w:vertAlign w:val="superscript"/>
          </w:rPr>
          <w:t>17</w:t>
        </w:r>
        <w:r>
          <w:t xml:space="preserve"> </w:t>
        </w:r>
      </w:hyperlink>
      <w:r>
        <w:t xml:space="preserve">Police often view gender expansive expressions as signs </w:t>
      </w:r>
      <w:r>
        <w:t xml:space="preserve">of deviance and criminality to disproportionately target LGBTQ </w:t>
      </w:r>
      <w:r>
        <w:rPr>
          <w:spacing w:val="-2"/>
        </w:rPr>
        <w:t>youth.</w:t>
      </w:r>
    </w:p>
    <w:p w:rsidR="00C76E6D" w:rsidRDefault="00C76E6D">
      <w:pPr>
        <w:pStyle w:val="BodyText"/>
        <w:spacing w:before="8"/>
        <w:rPr>
          <w:sz w:val="19"/>
        </w:rPr>
      </w:pPr>
    </w:p>
    <w:p w:rsidR="00C76E6D" w:rsidRDefault="00913831">
      <w:pPr>
        <w:pStyle w:val="BodyText"/>
        <w:spacing w:line="276" w:lineRule="auto"/>
        <w:ind w:left="478" w:right="474" w:hanging="2"/>
        <w:jc w:val="both"/>
      </w:pPr>
      <w:r>
        <w:t>Law enforcement both over-polices and under-polices, creating a paradox</w:t>
      </w:r>
      <w:hyperlink w:anchor="_bookmark367" w:history="1">
        <w:r>
          <w:t>.</w:t>
        </w:r>
        <w:r>
          <w:rPr>
            <w:vertAlign w:val="superscript"/>
          </w:rPr>
          <w:t>18</w:t>
        </w:r>
      </w:hyperlink>
      <w:r>
        <w:t xml:space="preserve"> When LGBTQ youth, particularly those who are transgender, gender expansive, Black, or Brown bring crimes to police attention, they are often mishandled</w:t>
      </w:r>
      <w:r>
        <w:rPr>
          <w:spacing w:val="-1"/>
        </w:rPr>
        <w:t xml:space="preserve"> </w:t>
      </w:r>
      <w:r>
        <w:t>or ignored. A national</w:t>
      </w:r>
      <w:r>
        <w:rPr>
          <w:spacing w:val="-1"/>
        </w:rPr>
        <w:t xml:space="preserve"> </w:t>
      </w:r>
      <w:r>
        <w:t>report</w:t>
      </w:r>
      <w:r>
        <w:rPr>
          <w:spacing w:val="-1"/>
        </w:rPr>
        <w:t xml:space="preserve"> </w:t>
      </w:r>
      <w:r>
        <w:t>found that 31% of LGBTQ survivors of hate-based violence faced hostile tr</w:t>
      </w:r>
      <w:r>
        <w:t>eatment by the police officer to whom they reported the incident, while 35% said the police showed indifference to their being victimized</w:t>
      </w:r>
      <w:hyperlink w:anchor="_bookmark368" w:history="1">
        <w:r>
          <w:t>.</w:t>
        </w:r>
        <w:r>
          <w:rPr>
            <w:vertAlign w:val="superscript"/>
          </w:rPr>
          <w:t>19</w:t>
        </w:r>
        <w:r>
          <w:t xml:space="preserve"> </w:t>
        </w:r>
      </w:hyperlink>
      <w:r>
        <w:t xml:space="preserve">Transgender survivors of hate crimes were significantly more likely than others to </w:t>
      </w:r>
      <w:r>
        <w:t>experience violence by the police, and Black LGBTQ survivors</w:t>
      </w:r>
      <w:r>
        <w:rPr>
          <w:spacing w:val="-13"/>
        </w:rPr>
        <w:t xml:space="preserve"> </w:t>
      </w:r>
      <w:r>
        <w:t>experienced</w:t>
      </w:r>
      <w:r>
        <w:rPr>
          <w:spacing w:val="-12"/>
        </w:rPr>
        <w:t xml:space="preserve"> </w:t>
      </w:r>
      <w:r>
        <w:t>force</w:t>
      </w:r>
      <w:r>
        <w:rPr>
          <w:spacing w:val="-12"/>
        </w:rPr>
        <w:t xml:space="preserve"> </w:t>
      </w:r>
      <w:r>
        <w:t>by</w:t>
      </w:r>
      <w:r>
        <w:rPr>
          <w:spacing w:val="-13"/>
        </w:rPr>
        <w:t xml:space="preserve"> </w:t>
      </w:r>
      <w:r>
        <w:t>police</w:t>
      </w:r>
      <w:r>
        <w:rPr>
          <w:spacing w:val="-12"/>
        </w:rPr>
        <w:t xml:space="preserve"> </w:t>
      </w:r>
      <w:r>
        <w:t>2.8</w:t>
      </w:r>
      <w:r>
        <w:rPr>
          <w:spacing w:val="-11"/>
        </w:rPr>
        <w:t xml:space="preserve"> </w:t>
      </w:r>
      <w:r>
        <w:t>times</w:t>
      </w:r>
      <w:r>
        <w:rPr>
          <w:spacing w:val="-11"/>
        </w:rPr>
        <w:t xml:space="preserve"> </w:t>
      </w:r>
      <w:r>
        <w:t>more</w:t>
      </w:r>
      <w:r>
        <w:rPr>
          <w:spacing w:val="-10"/>
        </w:rPr>
        <w:t xml:space="preserve"> </w:t>
      </w:r>
      <w:r>
        <w:t>often</w:t>
      </w:r>
      <w:r>
        <w:rPr>
          <w:spacing w:val="-11"/>
        </w:rPr>
        <w:t xml:space="preserve"> </w:t>
      </w:r>
      <w:r>
        <w:t>than</w:t>
      </w:r>
      <w:r>
        <w:rPr>
          <w:spacing w:val="-12"/>
        </w:rPr>
        <w:t xml:space="preserve"> </w:t>
      </w:r>
      <w:r>
        <w:t>other</w:t>
      </w:r>
      <w:r>
        <w:rPr>
          <w:spacing w:val="-11"/>
        </w:rPr>
        <w:t xml:space="preserve"> </w:t>
      </w:r>
      <w:r>
        <w:t>survivors.</w:t>
      </w:r>
      <w:hyperlink w:anchor="_bookmark369" w:history="1">
        <w:r>
          <w:rPr>
            <w:vertAlign w:val="superscript"/>
          </w:rPr>
          <w:t>20</w:t>
        </w:r>
        <w:r>
          <w:rPr>
            <w:spacing w:val="-13"/>
          </w:rPr>
          <w:t xml:space="preserve"> </w:t>
        </w:r>
      </w:hyperlink>
      <w:r>
        <w:t>Overall,</w:t>
      </w:r>
      <w:r>
        <w:rPr>
          <w:spacing w:val="-10"/>
        </w:rPr>
        <w:t xml:space="preserve"> </w:t>
      </w:r>
      <w:r>
        <w:t>police</w:t>
      </w:r>
      <w:r>
        <w:rPr>
          <w:spacing w:val="-13"/>
        </w:rPr>
        <w:t xml:space="preserve"> </w:t>
      </w:r>
      <w:r>
        <w:t>routinely fail</w:t>
      </w:r>
      <w:r>
        <w:rPr>
          <w:spacing w:val="-8"/>
        </w:rPr>
        <w:t xml:space="preserve"> </w:t>
      </w:r>
      <w:r>
        <w:t>to</w:t>
      </w:r>
      <w:r>
        <w:rPr>
          <w:spacing w:val="-6"/>
        </w:rPr>
        <w:t xml:space="preserve"> </w:t>
      </w:r>
      <w:r>
        <w:t>see</w:t>
      </w:r>
      <w:r>
        <w:rPr>
          <w:spacing w:val="-7"/>
        </w:rPr>
        <w:t xml:space="preserve"> </w:t>
      </w:r>
      <w:r>
        <w:t>LGBTQ</w:t>
      </w:r>
      <w:r>
        <w:rPr>
          <w:spacing w:val="-8"/>
        </w:rPr>
        <w:t xml:space="preserve"> </w:t>
      </w:r>
      <w:r>
        <w:t>individuals</w:t>
      </w:r>
      <w:r>
        <w:rPr>
          <w:spacing w:val="-6"/>
        </w:rPr>
        <w:t xml:space="preserve"> </w:t>
      </w:r>
      <w:r>
        <w:t>as</w:t>
      </w:r>
      <w:r>
        <w:rPr>
          <w:spacing w:val="-6"/>
        </w:rPr>
        <w:t xml:space="preserve"> </w:t>
      </w:r>
      <w:r>
        <w:t>victims</w:t>
      </w:r>
      <w:r>
        <w:rPr>
          <w:spacing w:val="-5"/>
        </w:rPr>
        <w:t xml:space="preserve"> </w:t>
      </w:r>
      <w:r>
        <w:t>of</w:t>
      </w:r>
      <w:r>
        <w:rPr>
          <w:spacing w:val="-6"/>
        </w:rPr>
        <w:t xml:space="preserve"> </w:t>
      </w:r>
      <w:r>
        <w:t>crimes,</w:t>
      </w:r>
      <w:r>
        <w:rPr>
          <w:spacing w:val="-6"/>
        </w:rPr>
        <w:t xml:space="preserve"> </w:t>
      </w:r>
      <w:r>
        <w:t>do</w:t>
      </w:r>
      <w:r>
        <w:rPr>
          <w:spacing w:val="-5"/>
        </w:rPr>
        <w:t xml:space="preserve"> </w:t>
      </w:r>
      <w:r>
        <w:t>not</w:t>
      </w:r>
      <w:r>
        <w:rPr>
          <w:spacing w:val="-8"/>
        </w:rPr>
        <w:t xml:space="preserve"> </w:t>
      </w:r>
      <w:r>
        <w:t>addre</w:t>
      </w:r>
      <w:r>
        <w:t>ss</w:t>
      </w:r>
      <w:r>
        <w:rPr>
          <w:spacing w:val="-6"/>
        </w:rPr>
        <w:t xml:space="preserve"> </w:t>
      </w:r>
      <w:r>
        <w:t>their</w:t>
      </w:r>
      <w:r>
        <w:rPr>
          <w:spacing w:val="-6"/>
        </w:rPr>
        <w:t xml:space="preserve"> </w:t>
      </w:r>
      <w:r>
        <w:t>unique</w:t>
      </w:r>
      <w:r>
        <w:rPr>
          <w:spacing w:val="-5"/>
        </w:rPr>
        <w:t xml:space="preserve"> </w:t>
      </w:r>
      <w:r>
        <w:t>needs,</w:t>
      </w:r>
      <w:r>
        <w:rPr>
          <w:spacing w:val="-6"/>
        </w:rPr>
        <w:t xml:space="preserve"> </w:t>
      </w:r>
      <w:r>
        <w:t>and/or</w:t>
      </w:r>
      <w:r>
        <w:rPr>
          <w:spacing w:val="-5"/>
        </w:rPr>
        <w:t xml:space="preserve"> </w:t>
      </w:r>
      <w:r>
        <w:t>subject</w:t>
      </w:r>
      <w:r>
        <w:rPr>
          <w:spacing w:val="-6"/>
        </w:rPr>
        <w:t xml:space="preserve"> </w:t>
      </w:r>
      <w:r>
        <w:t>them to secondary victimization</w:t>
      </w:r>
      <w:hyperlink w:anchor="_bookmark370" w:history="1">
        <w:r>
          <w:t>.</w:t>
        </w:r>
        <w:r>
          <w:rPr>
            <w:vertAlign w:val="superscript"/>
          </w:rPr>
          <w:t>21</w:t>
        </w:r>
      </w:hyperlink>
    </w:p>
    <w:p w:rsidR="00C76E6D" w:rsidRDefault="00C76E6D">
      <w:pPr>
        <w:pStyle w:val="BodyText"/>
        <w:spacing w:before="9"/>
        <w:rPr>
          <w:sz w:val="19"/>
        </w:rPr>
      </w:pPr>
    </w:p>
    <w:p w:rsidR="00C76E6D" w:rsidRDefault="00913831">
      <w:pPr>
        <w:pStyle w:val="Heading7"/>
        <w:numPr>
          <w:ilvl w:val="1"/>
          <w:numId w:val="37"/>
        </w:numPr>
        <w:tabs>
          <w:tab w:val="left" w:pos="1426"/>
        </w:tabs>
        <w:ind w:left="1425" w:hanging="228"/>
        <w:jc w:val="left"/>
      </w:pPr>
      <w:bookmarkStart w:id="478" w:name="b._Poverty,_Homelessness,_and_Drug_Use"/>
      <w:bookmarkEnd w:id="478"/>
      <w:r>
        <w:rPr>
          <w:w w:val="95"/>
        </w:rPr>
        <w:t>Poverty,</w:t>
      </w:r>
      <w:r>
        <w:rPr>
          <w:spacing w:val="15"/>
        </w:rPr>
        <w:t xml:space="preserve"> </w:t>
      </w:r>
      <w:r>
        <w:rPr>
          <w:w w:val="95"/>
        </w:rPr>
        <w:t>Homelessness,</w:t>
      </w:r>
      <w:r>
        <w:rPr>
          <w:spacing w:val="19"/>
        </w:rPr>
        <w:t xml:space="preserve"> </w:t>
      </w:r>
      <w:r>
        <w:rPr>
          <w:w w:val="95"/>
        </w:rPr>
        <w:t>and</w:t>
      </w:r>
      <w:r>
        <w:rPr>
          <w:spacing w:val="16"/>
        </w:rPr>
        <w:t xml:space="preserve"> </w:t>
      </w:r>
      <w:r>
        <w:rPr>
          <w:w w:val="95"/>
        </w:rPr>
        <w:t>Drug</w:t>
      </w:r>
      <w:r>
        <w:rPr>
          <w:spacing w:val="17"/>
        </w:rPr>
        <w:t xml:space="preserve"> </w:t>
      </w:r>
      <w:r>
        <w:rPr>
          <w:spacing w:val="-5"/>
          <w:w w:val="95"/>
        </w:rPr>
        <w:t>Use</w:t>
      </w:r>
    </w:p>
    <w:p w:rsidR="00C76E6D" w:rsidRDefault="00C76E6D">
      <w:pPr>
        <w:pStyle w:val="BodyText"/>
        <w:spacing w:before="7"/>
        <w:rPr>
          <w:b/>
          <w:i/>
          <w:sz w:val="28"/>
        </w:rPr>
      </w:pPr>
    </w:p>
    <w:p w:rsidR="00C76E6D" w:rsidRDefault="00913831">
      <w:pPr>
        <w:pStyle w:val="BodyText"/>
        <w:spacing w:before="1" w:line="276" w:lineRule="auto"/>
        <w:ind w:left="478" w:right="475"/>
        <w:jc w:val="both"/>
      </w:pPr>
      <w:r>
        <w:t>LGBTQ youth may enter the juvenile and criminal justice systems due to poverty, foster care, homelessness, and/or compensatory behaviors such as drug use (which often stems from abuse and rejection in their home and social environments).</w:t>
      </w:r>
    </w:p>
    <w:p w:rsidR="00C76E6D" w:rsidRDefault="00C76E6D">
      <w:pPr>
        <w:pStyle w:val="BodyText"/>
        <w:spacing w:before="2"/>
        <w:rPr>
          <w:sz w:val="25"/>
        </w:rPr>
      </w:pPr>
    </w:p>
    <w:p w:rsidR="00C76E6D" w:rsidRDefault="00913831">
      <w:pPr>
        <w:pStyle w:val="BodyText"/>
        <w:spacing w:before="1" w:line="276" w:lineRule="auto"/>
        <w:ind w:left="478" w:right="477"/>
        <w:jc w:val="both"/>
      </w:pPr>
      <w:r>
        <w:t xml:space="preserve">Multiple studies </w:t>
      </w:r>
      <w:r>
        <w:t>indicate that LGBTQ people experience higher rates of poverty than the general population. Approximately 22% of LGBTQ people experience poverty, compared to 16% of non- LGBTQ people.</w:t>
      </w:r>
      <w:r>
        <w:rPr>
          <w:spacing w:val="-3"/>
        </w:rPr>
        <w:t xml:space="preserve"> </w:t>
      </w:r>
      <w:r>
        <w:t>Transgender people</w:t>
      </w:r>
      <w:r>
        <w:rPr>
          <w:spacing w:val="-1"/>
        </w:rPr>
        <w:t xml:space="preserve"> </w:t>
      </w:r>
      <w:r>
        <w:t>experience even</w:t>
      </w:r>
      <w:r>
        <w:rPr>
          <w:spacing w:val="-1"/>
        </w:rPr>
        <w:t xml:space="preserve"> </w:t>
      </w:r>
      <w:r>
        <w:t>higher rates of poverty (29%)</w:t>
      </w:r>
      <w:hyperlink w:anchor="_bookmark371" w:history="1">
        <w:r>
          <w:t>.</w:t>
        </w:r>
        <w:r>
          <w:rPr>
            <w:vertAlign w:val="superscript"/>
          </w:rPr>
          <w:t>22</w:t>
        </w:r>
        <w:r>
          <w:rPr>
            <w:spacing w:val="-7"/>
          </w:rPr>
          <w:t xml:space="preserve"> </w:t>
        </w:r>
      </w:hyperlink>
      <w:r>
        <w:t>In response</w:t>
      </w:r>
      <w:r>
        <w:rPr>
          <w:spacing w:val="-1"/>
        </w:rPr>
        <w:t xml:space="preserve"> </w:t>
      </w:r>
      <w:r>
        <w:t>to experiences of</w:t>
      </w:r>
      <w:r>
        <w:rPr>
          <w:spacing w:val="-13"/>
        </w:rPr>
        <w:t xml:space="preserve"> </w:t>
      </w:r>
      <w:r>
        <w:t>poverty</w:t>
      </w:r>
      <w:r>
        <w:rPr>
          <w:spacing w:val="-12"/>
        </w:rPr>
        <w:t xml:space="preserve"> </w:t>
      </w:r>
      <w:r>
        <w:t>and</w:t>
      </w:r>
      <w:r>
        <w:rPr>
          <w:spacing w:val="-13"/>
        </w:rPr>
        <w:t xml:space="preserve"> </w:t>
      </w:r>
      <w:r>
        <w:t>joblessness,</w:t>
      </w:r>
      <w:r>
        <w:rPr>
          <w:spacing w:val="-12"/>
        </w:rPr>
        <w:t xml:space="preserve"> </w:t>
      </w:r>
      <w:r>
        <w:t>many</w:t>
      </w:r>
      <w:r>
        <w:rPr>
          <w:spacing w:val="-11"/>
        </w:rPr>
        <w:t xml:space="preserve"> </w:t>
      </w:r>
      <w:r>
        <w:t>LGBTQ</w:t>
      </w:r>
      <w:r>
        <w:rPr>
          <w:spacing w:val="-9"/>
        </w:rPr>
        <w:t xml:space="preserve"> </w:t>
      </w:r>
      <w:r>
        <w:t>people</w:t>
      </w:r>
      <w:r>
        <w:rPr>
          <w:spacing w:val="-12"/>
        </w:rPr>
        <w:t xml:space="preserve"> </w:t>
      </w:r>
      <w:r>
        <w:t>turn</w:t>
      </w:r>
      <w:r>
        <w:rPr>
          <w:spacing w:val="-12"/>
        </w:rPr>
        <w:t xml:space="preserve"> </w:t>
      </w:r>
      <w:r>
        <w:t>to</w:t>
      </w:r>
      <w:r>
        <w:rPr>
          <w:spacing w:val="-12"/>
        </w:rPr>
        <w:t xml:space="preserve"> </w:t>
      </w:r>
      <w:r>
        <w:t>criminalized</w:t>
      </w:r>
      <w:r>
        <w:rPr>
          <w:spacing w:val="-12"/>
        </w:rPr>
        <w:t xml:space="preserve"> </w:t>
      </w:r>
      <w:r>
        <w:t>economies</w:t>
      </w:r>
      <w:r>
        <w:rPr>
          <w:spacing w:val="-11"/>
        </w:rPr>
        <w:t xml:space="preserve"> </w:t>
      </w:r>
      <w:r>
        <w:t>like</w:t>
      </w:r>
      <w:r>
        <w:rPr>
          <w:spacing w:val="-13"/>
        </w:rPr>
        <w:t xml:space="preserve"> </w:t>
      </w:r>
      <w:r>
        <w:t>sex</w:t>
      </w:r>
      <w:r>
        <w:rPr>
          <w:spacing w:val="-12"/>
        </w:rPr>
        <w:t xml:space="preserve"> </w:t>
      </w:r>
      <w:r>
        <w:t>work</w:t>
      </w:r>
      <w:r>
        <w:rPr>
          <w:spacing w:val="-11"/>
        </w:rPr>
        <w:t xml:space="preserve"> </w:t>
      </w:r>
      <w:r>
        <w:t>or</w:t>
      </w:r>
      <w:r>
        <w:rPr>
          <w:spacing w:val="-12"/>
        </w:rPr>
        <w:t xml:space="preserve"> </w:t>
      </w:r>
      <w:r>
        <w:t>drug</w:t>
      </w:r>
      <w:r>
        <w:rPr>
          <w:spacing w:val="-12"/>
        </w:rPr>
        <w:t xml:space="preserve"> </w:t>
      </w:r>
      <w:r>
        <w:t xml:space="preserve">sales as a means of subsistence, which often leads to incarceration or involvement with the criminal justice </w:t>
      </w:r>
      <w:r>
        <w:rPr>
          <w:spacing w:val="-2"/>
        </w:rPr>
        <w:t>system</w:t>
      </w:r>
      <w:hyperlink w:anchor="_bookmark372" w:history="1">
        <w:r>
          <w:rPr>
            <w:spacing w:val="-2"/>
          </w:rPr>
          <w:t>.</w:t>
        </w:r>
        <w:r>
          <w:rPr>
            <w:spacing w:val="-2"/>
            <w:vertAlign w:val="superscript"/>
          </w:rPr>
          <w:t>23</w:t>
        </w:r>
      </w:hyperlink>
    </w:p>
    <w:p w:rsidR="00C76E6D" w:rsidRDefault="00C76E6D">
      <w:pPr>
        <w:pStyle w:val="BodyText"/>
        <w:spacing w:before="2"/>
        <w:rPr>
          <w:sz w:val="25"/>
        </w:rPr>
      </w:pPr>
    </w:p>
    <w:p w:rsidR="00C76E6D" w:rsidRDefault="00913831">
      <w:pPr>
        <w:pStyle w:val="BodyText"/>
        <w:spacing w:before="1" w:line="276" w:lineRule="auto"/>
        <w:ind w:left="478" w:right="477"/>
        <w:jc w:val="both"/>
      </w:pPr>
      <w:r>
        <w:t>Youth who are unhoused or under-housed are similarly pushed into the juvenile justice system. Homelessne</w:t>
      </w:r>
      <w:r>
        <w:t>ss</w:t>
      </w:r>
      <w:r>
        <w:rPr>
          <w:spacing w:val="-13"/>
        </w:rPr>
        <w:t xml:space="preserve"> </w:t>
      </w:r>
      <w:r>
        <w:t>and</w:t>
      </w:r>
      <w:r>
        <w:rPr>
          <w:spacing w:val="-12"/>
        </w:rPr>
        <w:t xml:space="preserve"> </w:t>
      </w:r>
      <w:r>
        <w:t>the</w:t>
      </w:r>
      <w:r>
        <w:rPr>
          <w:spacing w:val="-13"/>
        </w:rPr>
        <w:t xml:space="preserve"> </w:t>
      </w:r>
      <w:r>
        <w:t>criminal</w:t>
      </w:r>
      <w:r>
        <w:rPr>
          <w:spacing w:val="-12"/>
        </w:rPr>
        <w:t xml:space="preserve"> </w:t>
      </w:r>
      <w:r>
        <w:t>justice</w:t>
      </w:r>
      <w:r>
        <w:rPr>
          <w:spacing w:val="-13"/>
        </w:rPr>
        <w:t xml:space="preserve"> </w:t>
      </w:r>
      <w:r>
        <w:t>system</w:t>
      </w:r>
      <w:r>
        <w:rPr>
          <w:spacing w:val="-12"/>
        </w:rPr>
        <w:t xml:space="preserve"> </w:t>
      </w:r>
      <w:r>
        <w:t>are</w:t>
      </w:r>
      <w:r>
        <w:rPr>
          <w:spacing w:val="-12"/>
        </w:rPr>
        <w:t xml:space="preserve"> </w:t>
      </w:r>
      <w:r>
        <w:t>inextricably</w:t>
      </w:r>
      <w:r>
        <w:rPr>
          <w:spacing w:val="-12"/>
        </w:rPr>
        <w:t xml:space="preserve"> </w:t>
      </w:r>
      <w:r>
        <w:t>linked.</w:t>
      </w:r>
      <w:r>
        <w:rPr>
          <w:spacing w:val="-13"/>
        </w:rPr>
        <w:t xml:space="preserve"> </w:t>
      </w:r>
      <w:r>
        <w:t>Being</w:t>
      </w:r>
      <w:r>
        <w:rPr>
          <w:spacing w:val="-12"/>
        </w:rPr>
        <w:t xml:space="preserve"> </w:t>
      </w:r>
      <w:r>
        <w:t>forced</w:t>
      </w:r>
      <w:r>
        <w:rPr>
          <w:spacing w:val="-12"/>
        </w:rPr>
        <w:t xml:space="preserve"> </w:t>
      </w:r>
      <w:r>
        <w:t>to</w:t>
      </w:r>
      <w:r>
        <w:rPr>
          <w:spacing w:val="-12"/>
        </w:rPr>
        <w:t xml:space="preserve"> </w:t>
      </w:r>
      <w:r>
        <w:t>live</w:t>
      </w:r>
      <w:r>
        <w:rPr>
          <w:spacing w:val="-12"/>
        </w:rPr>
        <w:t xml:space="preserve"> </w:t>
      </w:r>
      <w:r>
        <w:t>outside</w:t>
      </w:r>
      <w:r>
        <w:rPr>
          <w:spacing w:val="-13"/>
        </w:rPr>
        <w:t xml:space="preserve"> </w:t>
      </w:r>
      <w:r>
        <w:t>may</w:t>
      </w:r>
      <w:r>
        <w:rPr>
          <w:spacing w:val="-11"/>
        </w:rPr>
        <w:t xml:space="preserve"> </w:t>
      </w:r>
      <w:r>
        <w:t>lead to citations and other interactions with the police, as well as arrests for offenses such as loitering or sleeping in public spaces</w:t>
      </w:r>
      <w:hyperlink w:anchor="_bookmark373" w:history="1">
        <w:r>
          <w:t>.</w:t>
        </w:r>
        <w:r>
          <w:rPr>
            <w:vertAlign w:val="superscript"/>
          </w:rPr>
          <w:t>24</w:t>
        </w:r>
      </w:hyperlink>
    </w:p>
    <w:p w:rsidR="00C76E6D" w:rsidRDefault="00C76E6D">
      <w:pPr>
        <w:spacing w:line="276" w:lineRule="auto"/>
        <w:jc w:val="both"/>
        <w:sectPr w:rsidR="00C76E6D">
          <w:pgSz w:w="12240" w:h="15840"/>
          <w:pgMar w:top="960" w:right="960" w:bottom="920" w:left="960" w:header="769" w:footer="720"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479" w:right="475"/>
        <w:jc w:val="both"/>
      </w:pPr>
      <w:r>
        <w:t>Finally,</w:t>
      </w:r>
      <w:r>
        <w:rPr>
          <w:spacing w:val="-1"/>
        </w:rPr>
        <w:t xml:space="preserve"> </w:t>
      </w:r>
      <w:r>
        <w:t>the</w:t>
      </w:r>
      <w:r>
        <w:rPr>
          <w:spacing w:val="-2"/>
        </w:rPr>
        <w:t xml:space="preserve"> </w:t>
      </w:r>
      <w:r>
        <w:t>War</w:t>
      </w:r>
      <w:r>
        <w:rPr>
          <w:spacing w:val="-1"/>
        </w:rPr>
        <w:t xml:space="preserve"> </w:t>
      </w:r>
      <w:r>
        <w:t>on</w:t>
      </w:r>
      <w:r>
        <w:rPr>
          <w:spacing w:val="-2"/>
        </w:rPr>
        <w:t xml:space="preserve"> </w:t>
      </w:r>
      <w:r>
        <w:t>Drugs</w:t>
      </w:r>
      <w:r>
        <w:rPr>
          <w:spacing w:val="-1"/>
        </w:rPr>
        <w:t xml:space="preserve"> </w:t>
      </w:r>
      <w:r>
        <w:t>also</w:t>
      </w:r>
      <w:r>
        <w:rPr>
          <w:spacing w:val="-1"/>
        </w:rPr>
        <w:t xml:space="preserve"> </w:t>
      </w:r>
      <w:r>
        <w:t>disproportionately</w:t>
      </w:r>
      <w:r>
        <w:rPr>
          <w:spacing w:val="-1"/>
        </w:rPr>
        <w:t xml:space="preserve"> </w:t>
      </w:r>
      <w:r>
        <w:t>affects</w:t>
      </w:r>
      <w:r>
        <w:rPr>
          <w:spacing w:val="-1"/>
        </w:rPr>
        <w:t xml:space="preserve"> </w:t>
      </w:r>
      <w:r>
        <w:t>LGBTQ</w:t>
      </w:r>
      <w:r>
        <w:rPr>
          <w:spacing w:val="-1"/>
        </w:rPr>
        <w:t xml:space="preserve"> </w:t>
      </w:r>
      <w:r>
        <w:t>youth.</w:t>
      </w:r>
      <w:r>
        <w:rPr>
          <w:spacing w:val="-2"/>
        </w:rPr>
        <w:t xml:space="preserve"> </w:t>
      </w:r>
      <w:r>
        <w:t>Approximately</w:t>
      </w:r>
      <w:r>
        <w:rPr>
          <w:spacing w:val="-1"/>
        </w:rPr>
        <w:t xml:space="preserve"> </w:t>
      </w:r>
      <w:r>
        <w:t>12%</w:t>
      </w:r>
      <w:r>
        <w:rPr>
          <w:spacing w:val="-2"/>
        </w:rPr>
        <w:t xml:space="preserve"> </w:t>
      </w:r>
      <w:r>
        <w:t>of</w:t>
      </w:r>
      <w:r>
        <w:rPr>
          <w:spacing w:val="-1"/>
        </w:rPr>
        <w:t xml:space="preserve"> </w:t>
      </w:r>
      <w:r>
        <w:t>all</w:t>
      </w:r>
      <w:r>
        <w:rPr>
          <w:spacing w:val="-2"/>
        </w:rPr>
        <w:t xml:space="preserve"> </w:t>
      </w:r>
      <w:r>
        <w:t>juvenile arrests</w:t>
      </w:r>
      <w:r>
        <w:rPr>
          <w:spacing w:val="-13"/>
        </w:rPr>
        <w:t xml:space="preserve"> </w:t>
      </w:r>
      <w:r>
        <w:t>in</w:t>
      </w:r>
      <w:r>
        <w:rPr>
          <w:spacing w:val="-12"/>
        </w:rPr>
        <w:t xml:space="preserve"> </w:t>
      </w:r>
      <w:r>
        <w:t>the</w:t>
      </w:r>
      <w:r>
        <w:rPr>
          <w:spacing w:val="-12"/>
        </w:rPr>
        <w:t xml:space="preserve"> </w:t>
      </w:r>
      <w:r>
        <w:t>United</w:t>
      </w:r>
      <w:r>
        <w:rPr>
          <w:spacing w:val="-11"/>
        </w:rPr>
        <w:t xml:space="preserve"> </w:t>
      </w:r>
      <w:r>
        <w:t>States</w:t>
      </w:r>
      <w:r>
        <w:rPr>
          <w:spacing w:val="-12"/>
        </w:rPr>
        <w:t xml:space="preserve"> </w:t>
      </w:r>
      <w:r>
        <w:t>in</w:t>
      </w:r>
      <w:r>
        <w:rPr>
          <w:spacing w:val="-13"/>
        </w:rPr>
        <w:t xml:space="preserve"> </w:t>
      </w:r>
      <w:r>
        <w:t>2019</w:t>
      </w:r>
      <w:r>
        <w:rPr>
          <w:spacing w:val="-12"/>
        </w:rPr>
        <w:t xml:space="preserve"> </w:t>
      </w:r>
      <w:r>
        <w:t>were</w:t>
      </w:r>
      <w:r>
        <w:rPr>
          <w:spacing w:val="-9"/>
        </w:rPr>
        <w:t xml:space="preserve"> </w:t>
      </w:r>
      <w:r>
        <w:t>related</w:t>
      </w:r>
      <w:r>
        <w:rPr>
          <w:spacing w:val="-11"/>
        </w:rPr>
        <w:t xml:space="preserve"> </w:t>
      </w:r>
      <w:r>
        <w:t>to</w:t>
      </w:r>
      <w:r>
        <w:rPr>
          <w:spacing w:val="-11"/>
        </w:rPr>
        <w:t xml:space="preserve"> </w:t>
      </w:r>
      <w:r>
        <w:t>drug</w:t>
      </w:r>
      <w:r>
        <w:rPr>
          <w:spacing w:val="-13"/>
        </w:rPr>
        <w:t xml:space="preserve"> </w:t>
      </w:r>
      <w:r>
        <w:t>abuse.</w:t>
      </w:r>
      <w:hyperlink w:anchor="_bookmark374" w:history="1">
        <w:r>
          <w:rPr>
            <w:vertAlign w:val="superscript"/>
          </w:rPr>
          <w:t>25</w:t>
        </w:r>
        <w:r>
          <w:rPr>
            <w:spacing w:val="-12"/>
          </w:rPr>
          <w:t xml:space="preserve"> </w:t>
        </w:r>
      </w:hyperlink>
      <w:r>
        <w:t>As</w:t>
      </w:r>
      <w:r>
        <w:rPr>
          <w:spacing w:val="-10"/>
        </w:rPr>
        <w:t xml:space="preserve"> </w:t>
      </w:r>
      <w:r>
        <w:t>noted</w:t>
      </w:r>
      <w:r>
        <w:rPr>
          <w:spacing w:val="-13"/>
        </w:rPr>
        <w:t xml:space="preserve"> </w:t>
      </w:r>
      <w:r>
        <w:t>above,</w:t>
      </w:r>
      <w:r>
        <w:rPr>
          <w:spacing w:val="-11"/>
        </w:rPr>
        <w:t xml:space="preserve"> </w:t>
      </w:r>
      <w:r>
        <w:t>LGBTQ</w:t>
      </w:r>
      <w:r>
        <w:rPr>
          <w:spacing w:val="-12"/>
        </w:rPr>
        <w:t xml:space="preserve"> </w:t>
      </w:r>
      <w:r>
        <w:t>youth</w:t>
      </w:r>
      <w:r>
        <w:rPr>
          <w:spacing w:val="-11"/>
        </w:rPr>
        <w:t xml:space="preserve"> </w:t>
      </w:r>
      <w:r>
        <w:t>are</w:t>
      </w:r>
      <w:r>
        <w:rPr>
          <w:spacing w:val="-13"/>
        </w:rPr>
        <w:t xml:space="preserve"> </w:t>
      </w:r>
      <w:r>
        <w:t>known to use drugs and illicit substances at higher rates than non-LGBTQ peers possibly due to the disproportionate</w:t>
      </w:r>
      <w:r>
        <w:rPr>
          <w:spacing w:val="-13"/>
        </w:rPr>
        <w:t xml:space="preserve"> </w:t>
      </w:r>
      <w:r>
        <w:t>trauma</w:t>
      </w:r>
      <w:r>
        <w:rPr>
          <w:spacing w:val="-12"/>
        </w:rPr>
        <w:t xml:space="preserve"> </w:t>
      </w:r>
      <w:r>
        <w:t>and</w:t>
      </w:r>
      <w:r>
        <w:rPr>
          <w:spacing w:val="-13"/>
        </w:rPr>
        <w:t xml:space="preserve"> </w:t>
      </w:r>
      <w:r>
        <w:t>rejection</w:t>
      </w:r>
      <w:r>
        <w:rPr>
          <w:spacing w:val="-12"/>
        </w:rPr>
        <w:t xml:space="preserve"> </w:t>
      </w:r>
      <w:r>
        <w:t>they</w:t>
      </w:r>
      <w:r>
        <w:rPr>
          <w:spacing w:val="-13"/>
        </w:rPr>
        <w:t xml:space="preserve"> </w:t>
      </w:r>
      <w:r>
        <w:t>experience</w:t>
      </w:r>
      <w:hyperlink w:anchor="_bookmark375" w:history="1">
        <w:r>
          <w:t>.</w:t>
        </w:r>
        <w:r>
          <w:rPr>
            <w:vertAlign w:val="superscript"/>
          </w:rPr>
          <w:t>26</w:t>
        </w:r>
        <w:r>
          <w:rPr>
            <w:spacing w:val="-12"/>
          </w:rPr>
          <w:t xml:space="preserve"> </w:t>
        </w:r>
      </w:hyperlink>
      <w:r>
        <w:t>While</w:t>
      </w:r>
      <w:r>
        <w:rPr>
          <w:spacing w:val="-13"/>
        </w:rPr>
        <w:t xml:space="preserve"> </w:t>
      </w:r>
      <w:r>
        <w:t>research</w:t>
      </w:r>
      <w:r>
        <w:rPr>
          <w:spacing w:val="-12"/>
        </w:rPr>
        <w:t xml:space="preserve"> </w:t>
      </w:r>
      <w:r>
        <w:t>is</w:t>
      </w:r>
      <w:r>
        <w:rPr>
          <w:spacing w:val="-12"/>
        </w:rPr>
        <w:t xml:space="preserve"> </w:t>
      </w:r>
      <w:r>
        <w:t>lacking</w:t>
      </w:r>
      <w:r>
        <w:rPr>
          <w:spacing w:val="-13"/>
        </w:rPr>
        <w:t xml:space="preserve"> </w:t>
      </w:r>
      <w:r>
        <w:t>on</w:t>
      </w:r>
      <w:r>
        <w:rPr>
          <w:spacing w:val="-12"/>
        </w:rPr>
        <w:t xml:space="preserve"> </w:t>
      </w:r>
      <w:r>
        <w:t>the</w:t>
      </w:r>
      <w:r>
        <w:rPr>
          <w:spacing w:val="-13"/>
        </w:rPr>
        <w:t xml:space="preserve"> </w:t>
      </w:r>
      <w:r>
        <w:t>number</w:t>
      </w:r>
      <w:r>
        <w:rPr>
          <w:spacing w:val="-12"/>
        </w:rPr>
        <w:t xml:space="preserve"> </w:t>
      </w:r>
      <w:r>
        <w:t>of</w:t>
      </w:r>
      <w:r>
        <w:rPr>
          <w:spacing w:val="-13"/>
        </w:rPr>
        <w:t xml:space="preserve"> </w:t>
      </w:r>
      <w:r>
        <w:t>drug- related detenti</w:t>
      </w:r>
      <w:r>
        <w:t>ons and incarcerations among LGBTQ youth, higher substance use in this group is likely associated with higher criminalization.</w:t>
      </w:r>
    </w:p>
    <w:p w:rsidR="00C76E6D" w:rsidRDefault="00C76E6D">
      <w:pPr>
        <w:pStyle w:val="BodyText"/>
        <w:spacing w:before="4"/>
        <w:rPr>
          <w:sz w:val="25"/>
        </w:rPr>
      </w:pPr>
    </w:p>
    <w:p w:rsidR="00C76E6D" w:rsidRDefault="00913831">
      <w:pPr>
        <w:pStyle w:val="Heading7"/>
        <w:numPr>
          <w:ilvl w:val="1"/>
          <w:numId w:val="37"/>
        </w:numPr>
        <w:tabs>
          <w:tab w:val="left" w:pos="1199"/>
          <w:tab w:val="left" w:pos="1200"/>
        </w:tabs>
        <w:ind w:left="1200" w:hanging="362"/>
        <w:jc w:val="left"/>
      </w:pPr>
      <w:bookmarkStart w:id="479" w:name="c._The_Foster_Care-to-Prison_Pipeline"/>
      <w:bookmarkEnd w:id="479"/>
      <w:r>
        <w:rPr>
          <w:w w:val="95"/>
        </w:rPr>
        <w:t>The</w:t>
      </w:r>
      <w:r>
        <w:rPr>
          <w:spacing w:val="14"/>
        </w:rPr>
        <w:t xml:space="preserve"> </w:t>
      </w:r>
      <w:r>
        <w:rPr>
          <w:w w:val="95"/>
        </w:rPr>
        <w:t>Foster</w:t>
      </w:r>
      <w:r>
        <w:rPr>
          <w:spacing w:val="16"/>
        </w:rPr>
        <w:t xml:space="preserve"> </w:t>
      </w:r>
      <w:r>
        <w:rPr>
          <w:w w:val="95"/>
        </w:rPr>
        <w:t>Care-to-Prison</w:t>
      </w:r>
      <w:r>
        <w:rPr>
          <w:spacing w:val="19"/>
        </w:rPr>
        <w:t xml:space="preserve"> </w:t>
      </w:r>
      <w:r>
        <w:rPr>
          <w:spacing w:val="-2"/>
          <w:w w:val="95"/>
        </w:rPr>
        <w:t>Pipeline</w:t>
      </w:r>
    </w:p>
    <w:p w:rsidR="00C76E6D" w:rsidRDefault="00C76E6D">
      <w:pPr>
        <w:pStyle w:val="BodyText"/>
        <w:spacing w:before="5"/>
        <w:rPr>
          <w:b/>
          <w:i/>
          <w:sz w:val="28"/>
        </w:rPr>
      </w:pPr>
    </w:p>
    <w:p w:rsidR="00C76E6D" w:rsidRDefault="00913831">
      <w:pPr>
        <w:pStyle w:val="BodyText"/>
        <w:spacing w:before="1" w:line="276" w:lineRule="auto"/>
        <w:ind w:left="478" w:right="473"/>
        <w:jc w:val="both"/>
      </w:pPr>
      <w:r>
        <w:t>LGBTQ youth in the foster care system are funneled into the criminal justice system through what researchers call the foster care-to-prison pipeline. Researchers found that the “foster care-to-prison pipeline particularly affects youth of color, LGBTQ-iden</w:t>
      </w:r>
      <w:r>
        <w:t>tified youth, and young people with mental illnesses</w:t>
      </w:r>
      <w:r>
        <w:rPr>
          <w:spacing w:val="-3"/>
        </w:rPr>
        <w:t xml:space="preserve"> </w:t>
      </w:r>
      <w:r>
        <w:t>–</w:t>
      </w:r>
      <w:r>
        <w:rPr>
          <w:spacing w:val="-6"/>
        </w:rPr>
        <w:t xml:space="preserve"> </w:t>
      </w:r>
      <w:r>
        <w:t>all</w:t>
      </w:r>
      <w:r>
        <w:rPr>
          <w:spacing w:val="-4"/>
        </w:rPr>
        <w:t xml:space="preserve"> </w:t>
      </w:r>
      <w:r>
        <w:t>of</w:t>
      </w:r>
      <w:r>
        <w:rPr>
          <w:spacing w:val="-5"/>
        </w:rPr>
        <w:t xml:space="preserve"> </w:t>
      </w:r>
      <w:r>
        <w:t>whom</w:t>
      </w:r>
      <w:r>
        <w:rPr>
          <w:spacing w:val="-6"/>
        </w:rPr>
        <w:t xml:space="preserve"> </w:t>
      </w:r>
      <w:r>
        <w:t>are</w:t>
      </w:r>
      <w:r>
        <w:rPr>
          <w:spacing w:val="-4"/>
        </w:rPr>
        <w:t xml:space="preserve"> </w:t>
      </w:r>
      <w:r>
        <w:t>already</w:t>
      </w:r>
      <w:r>
        <w:rPr>
          <w:spacing w:val="-5"/>
        </w:rPr>
        <w:t xml:space="preserve"> </w:t>
      </w:r>
      <w:r>
        <w:t>more</w:t>
      </w:r>
      <w:r>
        <w:rPr>
          <w:spacing w:val="-3"/>
        </w:rPr>
        <w:t xml:space="preserve"> </w:t>
      </w:r>
      <w:r>
        <w:t>likely</w:t>
      </w:r>
      <w:r>
        <w:rPr>
          <w:spacing w:val="-3"/>
        </w:rPr>
        <w:t xml:space="preserve"> </w:t>
      </w:r>
      <w:r>
        <w:t>to</w:t>
      </w:r>
      <w:r>
        <w:rPr>
          <w:spacing w:val="-5"/>
        </w:rPr>
        <w:t xml:space="preserve"> </w:t>
      </w:r>
      <w:r>
        <w:t>be</w:t>
      </w:r>
      <w:r>
        <w:rPr>
          <w:spacing w:val="-6"/>
        </w:rPr>
        <w:t xml:space="preserve"> </w:t>
      </w:r>
      <w:r>
        <w:t>in</w:t>
      </w:r>
      <w:r>
        <w:rPr>
          <w:spacing w:val="-6"/>
        </w:rPr>
        <w:t xml:space="preserve"> </w:t>
      </w:r>
      <w:r>
        <w:t>foster</w:t>
      </w:r>
      <w:r>
        <w:rPr>
          <w:spacing w:val="-5"/>
        </w:rPr>
        <w:t xml:space="preserve"> </w:t>
      </w:r>
      <w:r>
        <w:t>care</w:t>
      </w:r>
      <w:r>
        <w:rPr>
          <w:spacing w:val="-3"/>
        </w:rPr>
        <w:t xml:space="preserve"> </w:t>
      </w:r>
      <w:r>
        <w:t>and</w:t>
      </w:r>
      <w:r>
        <w:rPr>
          <w:spacing w:val="-6"/>
        </w:rPr>
        <w:t xml:space="preserve"> </w:t>
      </w:r>
      <w:r>
        <w:t>thus</w:t>
      </w:r>
      <w:r>
        <w:rPr>
          <w:spacing w:val="-5"/>
        </w:rPr>
        <w:t xml:space="preserve"> </w:t>
      </w:r>
      <w:r>
        <w:t>even</w:t>
      </w:r>
      <w:r>
        <w:rPr>
          <w:spacing w:val="-6"/>
        </w:rPr>
        <w:t xml:space="preserve"> </w:t>
      </w:r>
      <w:r>
        <w:t>more</w:t>
      </w:r>
      <w:r>
        <w:rPr>
          <w:spacing w:val="-6"/>
        </w:rPr>
        <w:t xml:space="preserve"> </w:t>
      </w:r>
      <w:r>
        <w:t>likely</w:t>
      </w:r>
      <w:r>
        <w:rPr>
          <w:spacing w:val="-2"/>
        </w:rPr>
        <w:t xml:space="preserve"> </w:t>
      </w:r>
      <w:r>
        <w:t>to</w:t>
      </w:r>
      <w:r>
        <w:rPr>
          <w:spacing w:val="-5"/>
        </w:rPr>
        <w:t xml:space="preserve"> </w:t>
      </w:r>
      <w:r>
        <w:t>be</w:t>
      </w:r>
      <w:r>
        <w:rPr>
          <w:spacing w:val="-4"/>
        </w:rPr>
        <w:t xml:space="preserve"> </w:t>
      </w:r>
      <w:r>
        <w:t>pushed into the justice systems.”</w:t>
      </w:r>
      <w:hyperlink w:anchor="_bookmark376" w:history="1">
        <w:r>
          <w:rPr>
            <w:vertAlign w:val="superscript"/>
          </w:rPr>
          <w:t>27</w:t>
        </w:r>
      </w:hyperlink>
    </w:p>
    <w:p w:rsidR="00C76E6D" w:rsidRDefault="00C76E6D">
      <w:pPr>
        <w:pStyle w:val="BodyText"/>
        <w:spacing w:before="4"/>
        <w:rPr>
          <w:sz w:val="25"/>
        </w:rPr>
      </w:pPr>
    </w:p>
    <w:p w:rsidR="00C76E6D" w:rsidRDefault="00913831">
      <w:pPr>
        <w:pStyle w:val="BodyText"/>
        <w:spacing w:line="276" w:lineRule="auto"/>
        <w:ind w:left="479" w:right="473"/>
        <w:jc w:val="both"/>
      </w:pPr>
      <w:r>
        <w:t>While</w:t>
      </w:r>
      <w:r>
        <w:rPr>
          <w:spacing w:val="-5"/>
        </w:rPr>
        <w:t xml:space="preserve"> </w:t>
      </w:r>
      <w:r>
        <w:t>in</w:t>
      </w:r>
      <w:r>
        <w:rPr>
          <w:spacing w:val="-4"/>
        </w:rPr>
        <w:t xml:space="preserve"> </w:t>
      </w:r>
      <w:r>
        <w:t>the</w:t>
      </w:r>
      <w:r>
        <w:rPr>
          <w:spacing w:val="-4"/>
        </w:rPr>
        <w:t xml:space="preserve"> </w:t>
      </w:r>
      <w:r>
        <w:t>foster</w:t>
      </w:r>
      <w:r>
        <w:rPr>
          <w:spacing w:val="-5"/>
        </w:rPr>
        <w:t xml:space="preserve"> </w:t>
      </w:r>
      <w:r>
        <w:t>care</w:t>
      </w:r>
      <w:r>
        <w:rPr>
          <w:spacing w:val="-5"/>
        </w:rPr>
        <w:t xml:space="preserve"> </w:t>
      </w:r>
      <w:r>
        <w:t>system,</w:t>
      </w:r>
      <w:r>
        <w:rPr>
          <w:spacing w:val="-4"/>
        </w:rPr>
        <w:t xml:space="preserve"> </w:t>
      </w:r>
      <w:r>
        <w:t>LGBTQ</w:t>
      </w:r>
      <w:r>
        <w:rPr>
          <w:spacing w:val="-4"/>
        </w:rPr>
        <w:t xml:space="preserve"> </w:t>
      </w:r>
      <w:r>
        <w:t>youth</w:t>
      </w:r>
      <w:r>
        <w:rPr>
          <w:spacing w:val="-5"/>
        </w:rPr>
        <w:t xml:space="preserve"> </w:t>
      </w:r>
      <w:r>
        <w:t>often</w:t>
      </w:r>
      <w:r>
        <w:rPr>
          <w:spacing w:val="-5"/>
        </w:rPr>
        <w:t xml:space="preserve"> </w:t>
      </w:r>
      <w:r>
        <w:t>report</w:t>
      </w:r>
      <w:r>
        <w:rPr>
          <w:spacing w:val="-6"/>
        </w:rPr>
        <w:t xml:space="preserve"> </w:t>
      </w:r>
      <w:r>
        <w:t>intolerance,</w:t>
      </w:r>
      <w:r>
        <w:rPr>
          <w:spacing w:val="-3"/>
        </w:rPr>
        <w:t xml:space="preserve"> </w:t>
      </w:r>
      <w:r>
        <w:t>mistreatment,</w:t>
      </w:r>
      <w:r>
        <w:rPr>
          <w:spacing w:val="-4"/>
        </w:rPr>
        <w:t xml:space="preserve"> </w:t>
      </w:r>
      <w:r>
        <w:t>and</w:t>
      </w:r>
      <w:r>
        <w:rPr>
          <w:spacing w:val="-4"/>
        </w:rPr>
        <w:t xml:space="preserve"> </w:t>
      </w:r>
      <w:r>
        <w:t>neglect</w:t>
      </w:r>
      <w:r>
        <w:rPr>
          <w:spacing w:val="-6"/>
        </w:rPr>
        <w:t xml:space="preserve"> </w:t>
      </w:r>
      <w:r>
        <w:t>on</w:t>
      </w:r>
      <w:r>
        <w:rPr>
          <w:spacing w:val="-4"/>
        </w:rPr>
        <w:t xml:space="preserve"> </w:t>
      </w:r>
      <w:r>
        <w:t xml:space="preserve">the part of their caregivers or peers. </w:t>
      </w:r>
      <w:hyperlink w:anchor="_bookmark377" w:history="1">
        <w:r>
          <w:rPr>
            <w:vertAlign w:val="superscript"/>
          </w:rPr>
          <w:t>28</w:t>
        </w:r>
        <w:r>
          <w:t xml:space="preserve"> </w:t>
        </w:r>
      </w:hyperlink>
      <w:r>
        <w:t>LGBTQ youth are also more likely than their non-LGBTQ peers to be placed</w:t>
      </w:r>
      <w:r>
        <w:rPr>
          <w:spacing w:val="-8"/>
        </w:rPr>
        <w:t xml:space="preserve"> </w:t>
      </w:r>
      <w:r>
        <w:t>in</w:t>
      </w:r>
      <w:r>
        <w:rPr>
          <w:spacing w:val="-9"/>
        </w:rPr>
        <w:t xml:space="preserve"> </w:t>
      </w:r>
      <w:r>
        <w:t>a</w:t>
      </w:r>
      <w:r>
        <w:rPr>
          <w:spacing w:val="-9"/>
        </w:rPr>
        <w:t xml:space="preserve"> </w:t>
      </w:r>
      <w:r>
        <w:t>group</w:t>
      </w:r>
      <w:r>
        <w:rPr>
          <w:spacing w:val="-9"/>
        </w:rPr>
        <w:t xml:space="preserve"> </w:t>
      </w:r>
      <w:r>
        <w:t>home,</w:t>
      </w:r>
      <w:r>
        <w:rPr>
          <w:spacing w:val="-9"/>
        </w:rPr>
        <w:t xml:space="preserve"> </w:t>
      </w:r>
      <w:r>
        <w:t>and</w:t>
      </w:r>
      <w:r>
        <w:rPr>
          <w:spacing w:val="-9"/>
        </w:rPr>
        <w:t xml:space="preserve"> </w:t>
      </w:r>
      <w:r>
        <w:t>a</w:t>
      </w:r>
      <w:r>
        <w:rPr>
          <w:spacing w:val="-9"/>
        </w:rPr>
        <w:t xml:space="preserve"> </w:t>
      </w:r>
      <w:r>
        <w:t>vast</w:t>
      </w:r>
      <w:r>
        <w:rPr>
          <w:spacing w:val="-10"/>
        </w:rPr>
        <w:t xml:space="preserve"> </w:t>
      </w:r>
      <w:r>
        <w:t>majority</w:t>
      </w:r>
      <w:r>
        <w:rPr>
          <w:spacing w:val="-9"/>
        </w:rPr>
        <w:t xml:space="preserve"> </w:t>
      </w:r>
      <w:r>
        <w:t>of</w:t>
      </w:r>
      <w:r>
        <w:rPr>
          <w:spacing w:val="-10"/>
        </w:rPr>
        <w:t xml:space="preserve"> </w:t>
      </w:r>
      <w:r>
        <w:t>youth</w:t>
      </w:r>
      <w:r>
        <w:rPr>
          <w:spacing w:val="-9"/>
        </w:rPr>
        <w:t xml:space="preserve"> </w:t>
      </w:r>
      <w:r>
        <w:t>in</w:t>
      </w:r>
      <w:r>
        <w:rPr>
          <w:spacing w:val="-9"/>
        </w:rPr>
        <w:t xml:space="preserve"> </w:t>
      </w:r>
      <w:r>
        <w:t>group</w:t>
      </w:r>
      <w:r>
        <w:rPr>
          <w:spacing w:val="-8"/>
        </w:rPr>
        <w:t xml:space="preserve"> </w:t>
      </w:r>
      <w:r>
        <w:t>homes</w:t>
      </w:r>
      <w:r>
        <w:rPr>
          <w:spacing w:val="-8"/>
        </w:rPr>
        <w:t xml:space="preserve"> </w:t>
      </w:r>
      <w:r>
        <w:t>have</w:t>
      </w:r>
      <w:r>
        <w:rPr>
          <w:spacing w:val="-9"/>
        </w:rPr>
        <w:t xml:space="preserve"> </w:t>
      </w:r>
      <w:r>
        <w:t>been</w:t>
      </w:r>
      <w:r>
        <w:rPr>
          <w:spacing w:val="-7"/>
        </w:rPr>
        <w:t xml:space="preserve"> </w:t>
      </w:r>
      <w:r>
        <w:t>victims</w:t>
      </w:r>
      <w:r>
        <w:rPr>
          <w:spacing w:val="-8"/>
        </w:rPr>
        <w:t xml:space="preserve"> </w:t>
      </w:r>
      <w:r>
        <w:t>of</w:t>
      </w:r>
      <w:r>
        <w:rPr>
          <w:spacing w:val="-9"/>
        </w:rPr>
        <w:t xml:space="preserve"> </w:t>
      </w:r>
      <w:r>
        <w:t>violence.</w:t>
      </w:r>
      <w:r>
        <w:rPr>
          <w:spacing w:val="-9"/>
        </w:rPr>
        <w:t xml:space="preserve"> </w:t>
      </w:r>
      <w:r>
        <w:t>These experiences</w:t>
      </w:r>
      <w:r>
        <w:rPr>
          <w:spacing w:val="-13"/>
        </w:rPr>
        <w:t xml:space="preserve"> </w:t>
      </w:r>
      <w:r>
        <w:t>have</w:t>
      </w:r>
      <w:r>
        <w:rPr>
          <w:spacing w:val="-13"/>
        </w:rPr>
        <w:t xml:space="preserve"> </w:t>
      </w:r>
      <w:r>
        <w:t>profoundly</w:t>
      </w:r>
      <w:r>
        <w:rPr>
          <w:spacing w:val="-14"/>
        </w:rPr>
        <w:t xml:space="preserve"> </w:t>
      </w:r>
      <w:r>
        <w:t>negative</w:t>
      </w:r>
      <w:r>
        <w:rPr>
          <w:spacing w:val="-13"/>
        </w:rPr>
        <w:t xml:space="preserve"> </w:t>
      </w:r>
      <w:r>
        <w:t>impacts</w:t>
      </w:r>
      <w:r>
        <w:rPr>
          <w:spacing w:val="-14"/>
        </w:rPr>
        <w:t xml:space="preserve"> </w:t>
      </w:r>
      <w:r>
        <w:t>on</w:t>
      </w:r>
      <w:r>
        <w:rPr>
          <w:spacing w:val="-12"/>
        </w:rPr>
        <w:t xml:space="preserve"> </w:t>
      </w:r>
      <w:r>
        <w:t>LGBTQ</w:t>
      </w:r>
      <w:r>
        <w:rPr>
          <w:spacing w:val="-14"/>
        </w:rPr>
        <w:t xml:space="preserve"> </w:t>
      </w:r>
      <w:r>
        <w:t>youth’s</w:t>
      </w:r>
      <w:r>
        <w:rPr>
          <w:spacing w:val="-13"/>
        </w:rPr>
        <w:t xml:space="preserve"> </w:t>
      </w:r>
      <w:r>
        <w:t>mental</w:t>
      </w:r>
      <w:r>
        <w:rPr>
          <w:spacing w:val="-13"/>
        </w:rPr>
        <w:t xml:space="preserve"> </w:t>
      </w:r>
      <w:r>
        <w:t>health</w:t>
      </w:r>
      <w:r>
        <w:rPr>
          <w:spacing w:val="-13"/>
        </w:rPr>
        <w:t xml:space="preserve"> </w:t>
      </w:r>
      <w:r>
        <w:t>and</w:t>
      </w:r>
      <w:r>
        <w:rPr>
          <w:spacing w:val="-13"/>
        </w:rPr>
        <w:t xml:space="preserve"> </w:t>
      </w:r>
      <w:r>
        <w:t>emotional</w:t>
      </w:r>
      <w:r>
        <w:rPr>
          <w:spacing w:val="-13"/>
        </w:rPr>
        <w:t xml:space="preserve"> </w:t>
      </w:r>
      <w:r>
        <w:t>well-being.</w:t>
      </w:r>
    </w:p>
    <w:p w:rsidR="00C76E6D" w:rsidRDefault="00C76E6D">
      <w:pPr>
        <w:pStyle w:val="BodyText"/>
        <w:spacing w:before="4"/>
        <w:rPr>
          <w:sz w:val="25"/>
        </w:rPr>
      </w:pPr>
    </w:p>
    <w:p w:rsidR="00C76E6D" w:rsidRDefault="00913831">
      <w:pPr>
        <w:pStyle w:val="BodyText"/>
        <w:spacing w:line="276" w:lineRule="auto"/>
        <w:ind w:left="479" w:right="478"/>
        <w:jc w:val="both"/>
      </w:pPr>
      <w:r>
        <w:t>As</w:t>
      </w:r>
      <w:r>
        <w:rPr>
          <w:spacing w:val="-13"/>
        </w:rPr>
        <w:t xml:space="preserve"> </w:t>
      </w:r>
      <w:r>
        <w:t>the</w:t>
      </w:r>
      <w:r>
        <w:rPr>
          <w:spacing w:val="-12"/>
        </w:rPr>
        <w:t xml:space="preserve"> </w:t>
      </w:r>
      <w:r>
        <w:t>foster</w:t>
      </w:r>
      <w:r>
        <w:rPr>
          <w:spacing w:val="-9"/>
        </w:rPr>
        <w:t xml:space="preserve"> </w:t>
      </w:r>
      <w:r>
        <w:t>care</w:t>
      </w:r>
      <w:r>
        <w:rPr>
          <w:spacing w:val="-13"/>
        </w:rPr>
        <w:t xml:space="preserve"> </w:t>
      </w:r>
      <w:r>
        <w:t>system</w:t>
      </w:r>
      <w:r>
        <w:rPr>
          <w:spacing w:val="-10"/>
        </w:rPr>
        <w:t xml:space="preserve"> </w:t>
      </w:r>
      <w:r>
        <w:t>fails</w:t>
      </w:r>
      <w:r>
        <w:rPr>
          <w:spacing w:val="-12"/>
        </w:rPr>
        <w:t xml:space="preserve"> </w:t>
      </w:r>
      <w:r>
        <w:t>to</w:t>
      </w:r>
      <w:r>
        <w:rPr>
          <w:spacing w:val="-11"/>
        </w:rPr>
        <w:t xml:space="preserve"> </w:t>
      </w:r>
      <w:r>
        <w:t>meet</w:t>
      </w:r>
      <w:r>
        <w:rPr>
          <w:spacing w:val="-12"/>
        </w:rPr>
        <w:t xml:space="preserve"> </w:t>
      </w:r>
      <w:r>
        <w:t>the</w:t>
      </w:r>
      <w:r>
        <w:rPr>
          <w:spacing w:val="-12"/>
        </w:rPr>
        <w:t xml:space="preserve"> </w:t>
      </w:r>
      <w:r>
        <w:t>needs</w:t>
      </w:r>
      <w:r>
        <w:rPr>
          <w:spacing w:val="-11"/>
        </w:rPr>
        <w:t xml:space="preserve"> </w:t>
      </w:r>
      <w:r>
        <w:t>of</w:t>
      </w:r>
      <w:r>
        <w:rPr>
          <w:spacing w:val="-13"/>
        </w:rPr>
        <w:t xml:space="preserve"> </w:t>
      </w:r>
      <w:r>
        <w:t>LGBTQ</w:t>
      </w:r>
      <w:r>
        <w:rPr>
          <w:spacing w:val="-11"/>
        </w:rPr>
        <w:t xml:space="preserve"> </w:t>
      </w:r>
      <w:r>
        <w:t>youth</w:t>
      </w:r>
      <w:r>
        <w:rPr>
          <w:spacing w:val="-13"/>
        </w:rPr>
        <w:t xml:space="preserve"> </w:t>
      </w:r>
      <w:r>
        <w:t>and</w:t>
      </w:r>
      <w:r>
        <w:rPr>
          <w:spacing w:val="-11"/>
        </w:rPr>
        <w:t xml:space="preserve"> </w:t>
      </w:r>
      <w:r>
        <w:t>perpetuates</w:t>
      </w:r>
      <w:r>
        <w:rPr>
          <w:spacing w:val="-12"/>
        </w:rPr>
        <w:t xml:space="preserve"> </w:t>
      </w:r>
      <w:r>
        <w:t>bias</w:t>
      </w:r>
      <w:r>
        <w:rPr>
          <w:spacing w:val="-12"/>
        </w:rPr>
        <w:t xml:space="preserve"> </w:t>
      </w:r>
      <w:r>
        <w:t>and</w:t>
      </w:r>
      <w:r>
        <w:rPr>
          <w:spacing w:val="-12"/>
        </w:rPr>
        <w:t xml:space="preserve"> </w:t>
      </w:r>
      <w:r>
        <w:t>discrimination, LGBTQ</w:t>
      </w:r>
      <w:r>
        <w:rPr>
          <w:spacing w:val="-10"/>
        </w:rPr>
        <w:t xml:space="preserve"> </w:t>
      </w:r>
      <w:r>
        <w:t>youth</w:t>
      </w:r>
      <w:r>
        <w:rPr>
          <w:spacing w:val="-9"/>
        </w:rPr>
        <w:t xml:space="preserve"> </w:t>
      </w:r>
      <w:r>
        <w:t>may</w:t>
      </w:r>
      <w:r>
        <w:rPr>
          <w:spacing w:val="-10"/>
        </w:rPr>
        <w:t xml:space="preserve"> </w:t>
      </w:r>
      <w:r>
        <w:t>choose</w:t>
      </w:r>
      <w:r>
        <w:rPr>
          <w:spacing w:val="-10"/>
        </w:rPr>
        <w:t xml:space="preserve"> </w:t>
      </w:r>
      <w:r>
        <w:t>instead</w:t>
      </w:r>
      <w:r>
        <w:rPr>
          <w:spacing w:val="-10"/>
        </w:rPr>
        <w:t xml:space="preserve"> </w:t>
      </w:r>
      <w:r>
        <w:t>to</w:t>
      </w:r>
      <w:r>
        <w:rPr>
          <w:spacing w:val="-9"/>
        </w:rPr>
        <w:t xml:space="preserve"> </w:t>
      </w:r>
      <w:r>
        <w:t>be</w:t>
      </w:r>
      <w:r>
        <w:rPr>
          <w:spacing w:val="-9"/>
        </w:rPr>
        <w:t xml:space="preserve"> </w:t>
      </w:r>
      <w:r>
        <w:t>homeless</w:t>
      </w:r>
      <w:r>
        <w:rPr>
          <w:spacing w:val="-9"/>
        </w:rPr>
        <w:t xml:space="preserve"> </w:t>
      </w:r>
      <w:r>
        <w:t>or</w:t>
      </w:r>
      <w:r>
        <w:rPr>
          <w:spacing w:val="-10"/>
        </w:rPr>
        <w:t xml:space="preserve"> </w:t>
      </w:r>
      <w:r>
        <w:t>engage</w:t>
      </w:r>
      <w:r>
        <w:rPr>
          <w:spacing w:val="-10"/>
        </w:rPr>
        <w:t xml:space="preserve"> </w:t>
      </w:r>
      <w:r>
        <w:t>in</w:t>
      </w:r>
      <w:r>
        <w:rPr>
          <w:spacing w:val="-10"/>
        </w:rPr>
        <w:t xml:space="preserve"> </w:t>
      </w:r>
      <w:r>
        <w:t>survival</w:t>
      </w:r>
      <w:r>
        <w:rPr>
          <w:spacing w:val="-10"/>
        </w:rPr>
        <w:t xml:space="preserve"> </w:t>
      </w:r>
      <w:r>
        <w:t>sex</w:t>
      </w:r>
      <w:r>
        <w:rPr>
          <w:spacing w:val="-12"/>
        </w:rPr>
        <w:t xml:space="preserve"> </w:t>
      </w:r>
      <w:r>
        <w:t>rather</w:t>
      </w:r>
      <w:r>
        <w:rPr>
          <w:spacing w:val="-10"/>
        </w:rPr>
        <w:t xml:space="preserve"> </w:t>
      </w:r>
      <w:r>
        <w:t>than</w:t>
      </w:r>
      <w:r>
        <w:rPr>
          <w:spacing w:val="-10"/>
        </w:rPr>
        <w:t xml:space="preserve"> </w:t>
      </w:r>
      <w:r>
        <w:t>subject</w:t>
      </w:r>
      <w:r>
        <w:rPr>
          <w:spacing w:val="-10"/>
        </w:rPr>
        <w:t xml:space="preserve"> </w:t>
      </w:r>
      <w:r>
        <w:t>themselves to</w:t>
      </w:r>
      <w:r>
        <w:rPr>
          <w:spacing w:val="-2"/>
        </w:rPr>
        <w:t xml:space="preserve"> </w:t>
      </w:r>
      <w:r>
        <w:t>individual and</w:t>
      </w:r>
      <w:r>
        <w:rPr>
          <w:spacing w:val="-3"/>
        </w:rPr>
        <w:t xml:space="preserve"> </w:t>
      </w:r>
      <w:r>
        <w:t>systematic</w:t>
      </w:r>
      <w:r>
        <w:rPr>
          <w:spacing w:val="-3"/>
        </w:rPr>
        <w:t xml:space="preserve"> </w:t>
      </w:r>
      <w:r>
        <w:t>abuse</w:t>
      </w:r>
      <w:r>
        <w:rPr>
          <w:spacing w:val="-3"/>
        </w:rPr>
        <w:t xml:space="preserve"> </w:t>
      </w:r>
      <w:r>
        <w:t>in</w:t>
      </w:r>
      <w:r>
        <w:rPr>
          <w:spacing w:val="-2"/>
        </w:rPr>
        <w:t xml:space="preserve"> </w:t>
      </w:r>
      <w:r>
        <w:t>the</w:t>
      </w:r>
      <w:r>
        <w:rPr>
          <w:spacing w:val="-3"/>
        </w:rPr>
        <w:t xml:space="preserve"> </w:t>
      </w:r>
      <w:r>
        <w:t>foster</w:t>
      </w:r>
      <w:r>
        <w:rPr>
          <w:spacing w:val="-2"/>
        </w:rPr>
        <w:t xml:space="preserve"> </w:t>
      </w:r>
      <w:r>
        <w:t>care</w:t>
      </w:r>
      <w:r>
        <w:rPr>
          <w:spacing w:val="-1"/>
        </w:rPr>
        <w:t xml:space="preserve"> </w:t>
      </w:r>
      <w:r>
        <w:t>system.</w:t>
      </w:r>
      <w:r>
        <w:rPr>
          <w:spacing w:val="-2"/>
        </w:rPr>
        <w:t xml:space="preserve"> </w:t>
      </w:r>
      <w:r>
        <w:t>These</w:t>
      </w:r>
      <w:r>
        <w:rPr>
          <w:spacing w:val="-3"/>
        </w:rPr>
        <w:t xml:space="preserve"> </w:t>
      </w:r>
      <w:r>
        <w:t>survival</w:t>
      </w:r>
      <w:r>
        <w:rPr>
          <w:spacing w:val="-3"/>
        </w:rPr>
        <w:t xml:space="preserve"> </w:t>
      </w:r>
      <w:r>
        <w:t>strategies</w:t>
      </w:r>
      <w:r>
        <w:rPr>
          <w:spacing w:val="-2"/>
        </w:rPr>
        <w:t xml:space="preserve"> </w:t>
      </w:r>
      <w:r>
        <w:t>often</w:t>
      </w:r>
      <w:r>
        <w:rPr>
          <w:spacing w:val="-1"/>
        </w:rPr>
        <w:t xml:space="preserve"> </w:t>
      </w:r>
      <w:r>
        <w:t>lead</w:t>
      </w:r>
      <w:r>
        <w:rPr>
          <w:spacing w:val="-2"/>
        </w:rPr>
        <w:t xml:space="preserve"> </w:t>
      </w:r>
      <w:r>
        <w:t>to</w:t>
      </w:r>
      <w:r>
        <w:rPr>
          <w:spacing w:val="-1"/>
        </w:rPr>
        <w:t xml:space="preserve"> </w:t>
      </w:r>
      <w:r>
        <w:t>entry into the juvenile justice system.</w:t>
      </w:r>
      <w:hyperlink w:anchor="_bookmark378" w:history="1">
        <w:r>
          <w:rPr>
            <w:vertAlign w:val="superscript"/>
          </w:rPr>
          <w:t>29</w:t>
        </w:r>
      </w:hyperlink>
    </w:p>
    <w:p w:rsidR="00C76E6D" w:rsidRDefault="00C76E6D">
      <w:pPr>
        <w:pStyle w:val="BodyText"/>
        <w:spacing w:before="4"/>
        <w:rPr>
          <w:sz w:val="25"/>
        </w:rPr>
      </w:pPr>
    </w:p>
    <w:p w:rsidR="00C76E6D" w:rsidRDefault="00913831">
      <w:pPr>
        <w:pStyle w:val="BodyText"/>
        <w:spacing w:line="276" w:lineRule="auto"/>
        <w:ind w:left="480" w:right="474" w:hanging="2"/>
        <w:jc w:val="both"/>
      </w:pPr>
      <w:r>
        <w:t>The</w:t>
      </w:r>
      <w:r>
        <w:rPr>
          <w:spacing w:val="-9"/>
        </w:rPr>
        <w:t xml:space="preserve"> </w:t>
      </w:r>
      <w:r>
        <w:t>criminalization</w:t>
      </w:r>
      <w:r>
        <w:rPr>
          <w:spacing w:val="-9"/>
        </w:rPr>
        <w:t xml:space="preserve"> </w:t>
      </w:r>
      <w:r>
        <w:t>of</w:t>
      </w:r>
      <w:r>
        <w:rPr>
          <w:spacing w:val="-9"/>
        </w:rPr>
        <w:t xml:space="preserve"> </w:t>
      </w:r>
      <w:r>
        <w:t>mental</w:t>
      </w:r>
      <w:r>
        <w:rPr>
          <w:spacing w:val="-10"/>
        </w:rPr>
        <w:t xml:space="preserve"> </w:t>
      </w:r>
      <w:r>
        <w:t>illness</w:t>
      </w:r>
      <w:r>
        <w:rPr>
          <w:spacing w:val="-9"/>
        </w:rPr>
        <w:t xml:space="preserve"> </w:t>
      </w:r>
      <w:r>
        <w:t>also</w:t>
      </w:r>
      <w:r>
        <w:rPr>
          <w:spacing w:val="-8"/>
        </w:rPr>
        <w:t xml:space="preserve"> </w:t>
      </w:r>
      <w:r>
        <w:t>drives</w:t>
      </w:r>
      <w:r>
        <w:rPr>
          <w:spacing w:val="-8"/>
        </w:rPr>
        <w:t xml:space="preserve"> </w:t>
      </w:r>
      <w:r>
        <w:t>the</w:t>
      </w:r>
      <w:r>
        <w:rPr>
          <w:spacing w:val="-9"/>
        </w:rPr>
        <w:t xml:space="preserve"> </w:t>
      </w:r>
      <w:r>
        <w:t>foster</w:t>
      </w:r>
      <w:r>
        <w:rPr>
          <w:spacing w:val="-9"/>
        </w:rPr>
        <w:t xml:space="preserve"> </w:t>
      </w:r>
      <w:r>
        <w:t>care-to-prison</w:t>
      </w:r>
      <w:r>
        <w:rPr>
          <w:spacing w:val="-10"/>
        </w:rPr>
        <w:t xml:space="preserve"> </w:t>
      </w:r>
      <w:r>
        <w:t>pipeline</w:t>
      </w:r>
      <w:hyperlink w:anchor="_bookmark379" w:history="1">
        <w:r>
          <w:t>.</w:t>
        </w:r>
        <w:r>
          <w:rPr>
            <w:vertAlign w:val="superscript"/>
          </w:rPr>
          <w:t>30</w:t>
        </w:r>
        <w:r>
          <w:rPr>
            <w:spacing w:val="-10"/>
          </w:rPr>
          <w:t xml:space="preserve"> </w:t>
        </w:r>
      </w:hyperlink>
      <w:r>
        <w:t>Foster</w:t>
      </w:r>
      <w:r>
        <w:rPr>
          <w:spacing w:val="-9"/>
        </w:rPr>
        <w:t xml:space="preserve"> </w:t>
      </w:r>
      <w:r>
        <w:t>youth</w:t>
      </w:r>
      <w:r>
        <w:rPr>
          <w:spacing w:val="-10"/>
        </w:rPr>
        <w:t xml:space="preserve"> </w:t>
      </w:r>
      <w:r>
        <w:t>regularly experience mental health issues and tr</w:t>
      </w:r>
      <w:r>
        <w:t>auma. Rather than receiving trauma and identity-informed care, foster youth are often overprescribed psychotropic medications and even incarcerated for undergoing mental health crises.</w:t>
      </w:r>
    </w:p>
    <w:p w:rsidR="00C76E6D" w:rsidRDefault="00C76E6D">
      <w:pPr>
        <w:pStyle w:val="BodyText"/>
        <w:spacing w:before="4"/>
        <w:rPr>
          <w:sz w:val="25"/>
        </w:rPr>
      </w:pPr>
    </w:p>
    <w:p w:rsidR="00C76E6D" w:rsidRDefault="00913831">
      <w:pPr>
        <w:pStyle w:val="BodyText"/>
        <w:spacing w:line="276" w:lineRule="auto"/>
        <w:ind w:left="480" w:right="475"/>
        <w:jc w:val="both"/>
      </w:pPr>
      <w:r>
        <w:t xml:space="preserve">Lastly, there is minimal support for LGBTQ youth transitioning out of </w:t>
      </w:r>
      <w:r>
        <w:t>foster care. They may experience unstable</w:t>
      </w:r>
      <w:r>
        <w:rPr>
          <w:spacing w:val="-3"/>
        </w:rPr>
        <w:t xml:space="preserve"> </w:t>
      </w:r>
      <w:r>
        <w:t>housing</w:t>
      </w:r>
      <w:r>
        <w:rPr>
          <w:spacing w:val="-4"/>
        </w:rPr>
        <w:t xml:space="preserve"> </w:t>
      </w:r>
      <w:r>
        <w:t>or</w:t>
      </w:r>
      <w:r>
        <w:rPr>
          <w:spacing w:val="-5"/>
        </w:rPr>
        <w:t xml:space="preserve"> </w:t>
      </w:r>
      <w:r>
        <w:t>homelessness,</w:t>
      </w:r>
      <w:r>
        <w:rPr>
          <w:spacing w:val="-3"/>
        </w:rPr>
        <w:t xml:space="preserve"> </w:t>
      </w:r>
      <w:r>
        <w:t>inadequate</w:t>
      </w:r>
      <w:r>
        <w:rPr>
          <w:spacing w:val="-4"/>
        </w:rPr>
        <w:t xml:space="preserve"> </w:t>
      </w:r>
      <w:r>
        <w:t>access</w:t>
      </w:r>
      <w:r>
        <w:rPr>
          <w:spacing w:val="-3"/>
        </w:rPr>
        <w:t xml:space="preserve"> </w:t>
      </w:r>
      <w:r>
        <w:t>to</w:t>
      </w:r>
      <w:r>
        <w:rPr>
          <w:spacing w:val="-3"/>
        </w:rPr>
        <w:t xml:space="preserve"> </w:t>
      </w:r>
      <w:r>
        <w:t>education,</w:t>
      </w:r>
      <w:r>
        <w:rPr>
          <w:spacing w:val="-4"/>
        </w:rPr>
        <w:t xml:space="preserve"> </w:t>
      </w:r>
      <w:r>
        <w:t>unemployment,</w:t>
      </w:r>
      <w:r>
        <w:rPr>
          <w:spacing w:val="-2"/>
        </w:rPr>
        <w:t xml:space="preserve"> </w:t>
      </w:r>
      <w:r>
        <w:t>physical</w:t>
      </w:r>
      <w:r>
        <w:rPr>
          <w:spacing w:val="-4"/>
        </w:rPr>
        <w:t xml:space="preserve"> </w:t>
      </w:r>
      <w:r>
        <w:t>and</w:t>
      </w:r>
      <w:r>
        <w:rPr>
          <w:spacing w:val="-4"/>
        </w:rPr>
        <w:t xml:space="preserve"> </w:t>
      </w:r>
      <w:r>
        <w:t>mental health</w:t>
      </w:r>
      <w:r>
        <w:rPr>
          <w:spacing w:val="-13"/>
        </w:rPr>
        <w:t xml:space="preserve"> </w:t>
      </w:r>
      <w:r>
        <w:t>issues,</w:t>
      </w:r>
      <w:r>
        <w:rPr>
          <w:spacing w:val="-12"/>
        </w:rPr>
        <w:t xml:space="preserve"> </w:t>
      </w:r>
      <w:r>
        <w:t>and</w:t>
      </w:r>
      <w:r>
        <w:rPr>
          <w:spacing w:val="-13"/>
        </w:rPr>
        <w:t xml:space="preserve"> </w:t>
      </w:r>
      <w:r>
        <w:t>more.</w:t>
      </w:r>
      <w:hyperlink w:anchor="_bookmark380" w:history="1">
        <w:r>
          <w:rPr>
            <w:vertAlign w:val="superscript"/>
          </w:rPr>
          <w:t>31</w:t>
        </w:r>
        <w:r>
          <w:rPr>
            <w:spacing w:val="-12"/>
          </w:rPr>
          <w:t xml:space="preserve"> </w:t>
        </w:r>
      </w:hyperlink>
      <w:r>
        <w:t>As</w:t>
      </w:r>
      <w:r>
        <w:rPr>
          <w:spacing w:val="-13"/>
        </w:rPr>
        <w:t xml:space="preserve"> </w:t>
      </w:r>
      <w:r>
        <w:t>a</w:t>
      </w:r>
      <w:r>
        <w:rPr>
          <w:spacing w:val="-12"/>
        </w:rPr>
        <w:t xml:space="preserve"> </w:t>
      </w:r>
      <w:r>
        <w:t>result</w:t>
      </w:r>
      <w:r>
        <w:rPr>
          <w:spacing w:val="-13"/>
        </w:rPr>
        <w:t xml:space="preserve"> </w:t>
      </w:r>
      <w:r>
        <w:t>of</w:t>
      </w:r>
      <w:r>
        <w:rPr>
          <w:spacing w:val="-12"/>
        </w:rPr>
        <w:t xml:space="preserve"> </w:t>
      </w:r>
      <w:r>
        <w:t>these</w:t>
      </w:r>
      <w:r>
        <w:rPr>
          <w:spacing w:val="-12"/>
        </w:rPr>
        <w:t xml:space="preserve"> </w:t>
      </w:r>
      <w:r>
        <w:t>challenges</w:t>
      </w:r>
      <w:r>
        <w:rPr>
          <w:spacing w:val="-13"/>
        </w:rPr>
        <w:t xml:space="preserve"> </w:t>
      </w:r>
      <w:r>
        <w:t>and</w:t>
      </w:r>
      <w:r>
        <w:rPr>
          <w:spacing w:val="-12"/>
        </w:rPr>
        <w:t xml:space="preserve"> </w:t>
      </w:r>
      <w:r>
        <w:t>lack</w:t>
      </w:r>
      <w:r>
        <w:rPr>
          <w:spacing w:val="-13"/>
        </w:rPr>
        <w:t xml:space="preserve"> </w:t>
      </w:r>
      <w:r>
        <w:t>of</w:t>
      </w:r>
      <w:r>
        <w:rPr>
          <w:spacing w:val="-12"/>
        </w:rPr>
        <w:t xml:space="preserve"> </w:t>
      </w:r>
      <w:r>
        <w:t>support</w:t>
      </w:r>
      <w:r>
        <w:rPr>
          <w:spacing w:val="-13"/>
        </w:rPr>
        <w:t xml:space="preserve"> </w:t>
      </w:r>
      <w:r>
        <w:t>networks,</w:t>
      </w:r>
      <w:r>
        <w:rPr>
          <w:spacing w:val="-12"/>
        </w:rPr>
        <w:t xml:space="preserve"> </w:t>
      </w:r>
      <w:r>
        <w:t>youth</w:t>
      </w:r>
      <w:r>
        <w:rPr>
          <w:spacing w:val="-12"/>
        </w:rPr>
        <w:t xml:space="preserve"> </w:t>
      </w:r>
      <w:r>
        <w:t>transitioning out of foster care are at a greater risk of involvement in the criminal justice system.</w:t>
      </w:r>
    </w:p>
    <w:p w:rsidR="00C76E6D" w:rsidRDefault="00C76E6D">
      <w:pPr>
        <w:pStyle w:val="BodyText"/>
        <w:spacing w:before="5"/>
        <w:rPr>
          <w:sz w:val="25"/>
        </w:rPr>
      </w:pPr>
    </w:p>
    <w:p w:rsidR="00C76E6D" w:rsidRDefault="00913831">
      <w:pPr>
        <w:pStyle w:val="Heading7"/>
        <w:numPr>
          <w:ilvl w:val="1"/>
          <w:numId w:val="37"/>
        </w:numPr>
        <w:tabs>
          <w:tab w:val="left" w:pos="1199"/>
        </w:tabs>
        <w:ind w:left="1198" w:hanging="361"/>
        <w:jc w:val="left"/>
      </w:pPr>
      <w:bookmarkStart w:id="480" w:name="d._The_School-to-Prison_Pipeline"/>
      <w:bookmarkEnd w:id="480"/>
      <w:r>
        <w:rPr>
          <w:spacing w:val="-2"/>
        </w:rPr>
        <w:t>The</w:t>
      </w:r>
      <w:r>
        <w:rPr>
          <w:spacing w:val="-8"/>
        </w:rPr>
        <w:t xml:space="preserve"> </w:t>
      </w:r>
      <w:r>
        <w:rPr>
          <w:spacing w:val="-2"/>
        </w:rPr>
        <w:t>School-to-Prison</w:t>
      </w:r>
      <w:r>
        <w:rPr>
          <w:spacing w:val="-4"/>
        </w:rPr>
        <w:t xml:space="preserve"> </w:t>
      </w:r>
      <w:r>
        <w:rPr>
          <w:spacing w:val="-2"/>
        </w:rPr>
        <w:t>Pipeline</w:t>
      </w:r>
    </w:p>
    <w:p w:rsidR="00C76E6D" w:rsidRDefault="00C76E6D">
      <w:pPr>
        <w:pStyle w:val="BodyText"/>
        <w:spacing w:before="5"/>
        <w:rPr>
          <w:b/>
          <w:i/>
          <w:sz w:val="28"/>
        </w:rPr>
      </w:pPr>
    </w:p>
    <w:p w:rsidR="00C76E6D" w:rsidRDefault="00913831">
      <w:pPr>
        <w:pStyle w:val="BodyText"/>
        <w:spacing w:line="276" w:lineRule="auto"/>
        <w:ind w:left="478" w:right="474"/>
        <w:jc w:val="both"/>
      </w:pPr>
      <w:r>
        <w:t>More than a third (40%) of LGBTQ high school students in Massachusetts experienced discrimination of some form in th</w:t>
      </w:r>
      <w:r>
        <w:t>eir school</w:t>
      </w:r>
      <w:hyperlink w:anchor="_bookmark381" w:history="1">
        <w:r>
          <w:t>.</w:t>
        </w:r>
        <w:r>
          <w:rPr>
            <w:vertAlign w:val="superscript"/>
          </w:rPr>
          <w:t>32</w:t>
        </w:r>
      </w:hyperlink>
      <w:r>
        <w:t xml:space="preserve"> In 2019, LGBTQ high school students reported discrimination based on expressing</w:t>
      </w:r>
      <w:r>
        <w:rPr>
          <w:spacing w:val="-6"/>
        </w:rPr>
        <w:t xml:space="preserve"> </w:t>
      </w:r>
      <w:r>
        <w:t>public</w:t>
      </w:r>
      <w:r>
        <w:rPr>
          <w:spacing w:val="-6"/>
        </w:rPr>
        <w:t xml:space="preserve"> </w:t>
      </w:r>
      <w:r>
        <w:t>displays</w:t>
      </w:r>
      <w:r>
        <w:rPr>
          <w:spacing w:val="-6"/>
        </w:rPr>
        <w:t xml:space="preserve"> </w:t>
      </w:r>
      <w:r>
        <w:t>of</w:t>
      </w:r>
      <w:r>
        <w:rPr>
          <w:spacing w:val="-6"/>
        </w:rPr>
        <w:t xml:space="preserve"> </w:t>
      </w:r>
      <w:r>
        <w:t>affection</w:t>
      </w:r>
      <w:r>
        <w:rPr>
          <w:spacing w:val="-6"/>
        </w:rPr>
        <w:t xml:space="preserve"> </w:t>
      </w:r>
      <w:r>
        <w:t>in</w:t>
      </w:r>
      <w:r>
        <w:rPr>
          <w:spacing w:val="-4"/>
        </w:rPr>
        <w:t xml:space="preserve"> </w:t>
      </w:r>
      <w:r>
        <w:t>school</w:t>
      </w:r>
      <w:r>
        <w:rPr>
          <w:spacing w:val="-7"/>
        </w:rPr>
        <w:t xml:space="preserve"> </w:t>
      </w:r>
      <w:r>
        <w:t>(16%),</w:t>
      </w:r>
      <w:r>
        <w:rPr>
          <w:spacing w:val="-5"/>
        </w:rPr>
        <w:t xml:space="preserve"> </w:t>
      </w:r>
      <w:r>
        <w:t>using</w:t>
      </w:r>
      <w:r>
        <w:rPr>
          <w:spacing w:val="-5"/>
        </w:rPr>
        <w:t xml:space="preserve"> </w:t>
      </w:r>
      <w:r>
        <w:t>the</w:t>
      </w:r>
      <w:r>
        <w:rPr>
          <w:spacing w:val="-7"/>
        </w:rPr>
        <w:t xml:space="preserve"> </w:t>
      </w:r>
      <w:r>
        <w:t>locker</w:t>
      </w:r>
      <w:r>
        <w:rPr>
          <w:spacing w:val="-6"/>
        </w:rPr>
        <w:t xml:space="preserve"> </w:t>
      </w:r>
      <w:r>
        <w:t>room</w:t>
      </w:r>
      <w:r>
        <w:rPr>
          <w:spacing w:val="-7"/>
        </w:rPr>
        <w:t xml:space="preserve"> </w:t>
      </w:r>
      <w:r>
        <w:t>that</w:t>
      </w:r>
      <w:r>
        <w:rPr>
          <w:spacing w:val="-7"/>
        </w:rPr>
        <w:t xml:space="preserve"> </w:t>
      </w:r>
      <w:r>
        <w:t>aligns</w:t>
      </w:r>
      <w:r>
        <w:rPr>
          <w:spacing w:val="-6"/>
        </w:rPr>
        <w:t xml:space="preserve"> </w:t>
      </w:r>
      <w:r>
        <w:t>with</w:t>
      </w:r>
      <w:r>
        <w:rPr>
          <w:spacing w:val="-5"/>
        </w:rPr>
        <w:t xml:space="preserve"> </w:t>
      </w:r>
      <w:r>
        <w:t>their</w:t>
      </w:r>
      <w:r>
        <w:rPr>
          <w:spacing w:val="-6"/>
        </w:rPr>
        <w:t xml:space="preserve"> </w:t>
      </w:r>
      <w:r>
        <w:t>gender (16%), using the bathroom that a</w:t>
      </w:r>
      <w:r>
        <w:t>ligns with their gender (15%), using their chosen name or gender pronouns</w:t>
      </w:r>
      <w:r>
        <w:rPr>
          <w:spacing w:val="-7"/>
        </w:rPr>
        <w:t xml:space="preserve"> </w:t>
      </w:r>
      <w:r>
        <w:t>(13%),</w:t>
      </w:r>
      <w:r>
        <w:rPr>
          <w:spacing w:val="-7"/>
        </w:rPr>
        <w:t xml:space="preserve"> </w:t>
      </w:r>
      <w:r>
        <w:t>and</w:t>
      </w:r>
      <w:r>
        <w:rPr>
          <w:spacing w:val="-6"/>
        </w:rPr>
        <w:t xml:space="preserve"> </w:t>
      </w:r>
      <w:r>
        <w:t>discussing</w:t>
      </w:r>
      <w:r>
        <w:rPr>
          <w:spacing w:val="-9"/>
        </w:rPr>
        <w:t xml:space="preserve"> </w:t>
      </w:r>
      <w:r>
        <w:t>LGBTQ</w:t>
      </w:r>
      <w:r>
        <w:rPr>
          <w:spacing w:val="-7"/>
        </w:rPr>
        <w:t xml:space="preserve"> </w:t>
      </w:r>
      <w:r>
        <w:t>issues</w:t>
      </w:r>
      <w:r>
        <w:rPr>
          <w:spacing w:val="-7"/>
        </w:rPr>
        <w:t xml:space="preserve"> </w:t>
      </w:r>
      <w:r>
        <w:t>in</w:t>
      </w:r>
      <w:r>
        <w:rPr>
          <w:spacing w:val="-8"/>
        </w:rPr>
        <w:t xml:space="preserve"> </w:t>
      </w:r>
      <w:r>
        <w:t>assignments</w:t>
      </w:r>
      <w:r>
        <w:rPr>
          <w:spacing w:val="-5"/>
        </w:rPr>
        <w:t xml:space="preserve"> </w:t>
      </w:r>
      <w:r>
        <w:t>(10%)</w:t>
      </w:r>
      <w:hyperlink w:anchor="_bookmark382" w:history="1">
        <w:r>
          <w:t>.</w:t>
        </w:r>
        <w:r>
          <w:rPr>
            <w:vertAlign w:val="superscript"/>
          </w:rPr>
          <w:t>33</w:t>
        </w:r>
        <w:r>
          <w:rPr>
            <w:spacing w:val="-23"/>
          </w:rPr>
          <w:t xml:space="preserve"> </w:t>
        </w:r>
      </w:hyperlink>
      <w:r>
        <w:t>LGBTQ</w:t>
      </w:r>
      <w:r>
        <w:rPr>
          <w:spacing w:val="-7"/>
        </w:rPr>
        <w:t xml:space="preserve"> </w:t>
      </w:r>
      <w:r>
        <w:t>youth</w:t>
      </w:r>
      <w:r>
        <w:rPr>
          <w:spacing w:val="-7"/>
        </w:rPr>
        <w:t xml:space="preserve"> </w:t>
      </w:r>
      <w:r>
        <w:t>are</w:t>
      </w:r>
      <w:r>
        <w:rPr>
          <w:spacing w:val="-7"/>
        </w:rPr>
        <w:t xml:space="preserve"> </w:t>
      </w:r>
      <w:r>
        <w:t>also</w:t>
      </w:r>
      <w:r>
        <w:rPr>
          <w:spacing w:val="-7"/>
        </w:rPr>
        <w:t xml:space="preserve"> </w:t>
      </w:r>
      <w:r>
        <w:t>more</w:t>
      </w:r>
      <w:r>
        <w:rPr>
          <w:spacing w:val="-9"/>
        </w:rPr>
        <w:t xml:space="preserve"> </w:t>
      </w:r>
      <w:r>
        <w:t>likely</w:t>
      </w:r>
      <w:r>
        <w:rPr>
          <w:spacing w:val="-6"/>
        </w:rPr>
        <w:t xml:space="preserve"> </w:t>
      </w:r>
      <w:r>
        <w:t>to</w:t>
      </w:r>
    </w:p>
    <w:p w:rsidR="00C76E6D" w:rsidRDefault="00C76E6D">
      <w:pPr>
        <w:spacing w:line="276" w:lineRule="auto"/>
        <w:jc w:val="both"/>
        <w:sectPr w:rsidR="00C76E6D">
          <w:pgSz w:w="12240" w:h="15840"/>
          <w:pgMar w:top="960" w:right="960" w:bottom="920" w:left="960" w:header="769" w:footer="720" w:gutter="0"/>
          <w:cols w:space="720"/>
        </w:sectPr>
      </w:pPr>
    </w:p>
    <w:p w:rsidR="00C76E6D" w:rsidRDefault="00C76E6D">
      <w:pPr>
        <w:pStyle w:val="BodyText"/>
        <w:rPr>
          <w:sz w:val="20"/>
        </w:rPr>
      </w:pPr>
    </w:p>
    <w:p w:rsidR="00C76E6D" w:rsidRDefault="00913831">
      <w:pPr>
        <w:pStyle w:val="BodyText"/>
        <w:spacing w:before="206" w:line="276" w:lineRule="auto"/>
        <w:ind w:left="480" w:right="477"/>
        <w:jc w:val="both"/>
      </w:pPr>
      <w:r>
        <w:t>experience bullying, be involved in fights, skip school due to feeling unsafe, or be threatened or injured with a weapon</w:t>
      </w:r>
      <w:hyperlink w:anchor="_bookmark383" w:history="1">
        <w:r>
          <w:t>.</w:t>
        </w:r>
        <w:r>
          <w:rPr>
            <w:vertAlign w:val="superscript"/>
          </w:rPr>
          <w:t>34</w:t>
        </w:r>
      </w:hyperlink>
    </w:p>
    <w:p w:rsidR="00C76E6D" w:rsidRDefault="00C76E6D">
      <w:pPr>
        <w:pStyle w:val="BodyText"/>
        <w:spacing w:before="4"/>
        <w:rPr>
          <w:sz w:val="25"/>
        </w:rPr>
      </w:pPr>
    </w:p>
    <w:p w:rsidR="00C76E6D" w:rsidRDefault="00913831">
      <w:pPr>
        <w:pStyle w:val="BodyText"/>
        <w:spacing w:line="276" w:lineRule="auto"/>
        <w:ind w:left="478" w:right="475"/>
        <w:jc w:val="both"/>
      </w:pPr>
      <w:r>
        <w:t>Unfortunately, although 99% of students could identify at least one supportive staff member at thei</w:t>
      </w:r>
      <w:r>
        <w:t>r school,</w:t>
      </w:r>
      <w:r>
        <w:rPr>
          <w:spacing w:val="-2"/>
        </w:rPr>
        <w:t xml:space="preserve"> </w:t>
      </w:r>
      <w:r>
        <w:t>most</w:t>
      </w:r>
      <w:r>
        <w:rPr>
          <w:spacing w:val="-2"/>
        </w:rPr>
        <w:t xml:space="preserve"> </w:t>
      </w:r>
      <w:r>
        <w:t>LGBTQ</w:t>
      </w:r>
      <w:r>
        <w:rPr>
          <w:spacing w:val="-2"/>
        </w:rPr>
        <w:t xml:space="preserve"> </w:t>
      </w:r>
      <w:r>
        <w:t>students</w:t>
      </w:r>
      <w:r>
        <w:rPr>
          <w:spacing w:val="-2"/>
        </w:rPr>
        <w:t xml:space="preserve"> </w:t>
      </w:r>
      <w:r>
        <w:t>who</w:t>
      </w:r>
      <w:r>
        <w:rPr>
          <w:spacing w:val="-1"/>
        </w:rPr>
        <w:t xml:space="preserve"> </w:t>
      </w:r>
      <w:r>
        <w:t>experienced</w:t>
      </w:r>
      <w:r>
        <w:rPr>
          <w:spacing w:val="-3"/>
        </w:rPr>
        <w:t xml:space="preserve"> </w:t>
      </w:r>
      <w:r>
        <w:t>harassment</w:t>
      </w:r>
      <w:r>
        <w:rPr>
          <w:spacing w:val="-2"/>
        </w:rPr>
        <w:t xml:space="preserve"> </w:t>
      </w:r>
      <w:r>
        <w:t>in Massachusetts high</w:t>
      </w:r>
      <w:r>
        <w:rPr>
          <w:spacing w:val="-3"/>
        </w:rPr>
        <w:t xml:space="preserve"> </w:t>
      </w:r>
      <w:r>
        <w:t>schools</w:t>
      </w:r>
      <w:r>
        <w:rPr>
          <w:spacing w:val="-1"/>
        </w:rPr>
        <w:t xml:space="preserve"> </w:t>
      </w:r>
      <w:r>
        <w:t>did</w:t>
      </w:r>
      <w:r>
        <w:rPr>
          <w:spacing w:val="-3"/>
        </w:rPr>
        <w:t xml:space="preserve"> </w:t>
      </w:r>
      <w:r>
        <w:t>not</w:t>
      </w:r>
      <w:r>
        <w:rPr>
          <w:spacing w:val="-2"/>
        </w:rPr>
        <w:t xml:space="preserve"> </w:t>
      </w:r>
      <w:r>
        <w:t>report the incident to school staff (56%)</w:t>
      </w:r>
      <w:hyperlink w:anchor="_bookmark384" w:history="1">
        <w:r>
          <w:t>.</w:t>
        </w:r>
        <w:r>
          <w:rPr>
            <w:vertAlign w:val="superscript"/>
          </w:rPr>
          <w:t>35</w:t>
        </w:r>
        <w:r>
          <w:t xml:space="preserve"> </w:t>
        </w:r>
      </w:hyperlink>
      <w:r>
        <w:t>Most feared additional repercussions or doubted that they would receive</w:t>
      </w:r>
      <w:r>
        <w:rPr>
          <w:spacing w:val="-2"/>
        </w:rPr>
        <w:t xml:space="preserve"> </w:t>
      </w:r>
      <w:r>
        <w:t>the</w:t>
      </w:r>
      <w:r>
        <w:rPr>
          <w:spacing w:val="-3"/>
        </w:rPr>
        <w:t xml:space="preserve"> </w:t>
      </w:r>
      <w:r>
        <w:t>support</w:t>
      </w:r>
      <w:r>
        <w:rPr>
          <w:spacing w:val="-2"/>
        </w:rPr>
        <w:t xml:space="preserve"> </w:t>
      </w:r>
      <w:r>
        <w:t>they</w:t>
      </w:r>
      <w:r>
        <w:rPr>
          <w:spacing w:val="-2"/>
        </w:rPr>
        <w:t xml:space="preserve"> </w:t>
      </w:r>
      <w:r>
        <w:t>needed.</w:t>
      </w:r>
      <w:r>
        <w:rPr>
          <w:spacing w:val="-3"/>
        </w:rPr>
        <w:t xml:space="preserve"> </w:t>
      </w:r>
      <w:r>
        <w:t>Experience</w:t>
      </w:r>
      <w:r>
        <w:rPr>
          <w:spacing w:val="-2"/>
        </w:rPr>
        <w:t xml:space="preserve"> </w:t>
      </w:r>
      <w:r>
        <w:t>often</w:t>
      </w:r>
      <w:r>
        <w:rPr>
          <w:spacing w:val="-3"/>
        </w:rPr>
        <w:t xml:space="preserve"> </w:t>
      </w:r>
      <w:r>
        <w:t>substantiated</w:t>
      </w:r>
      <w:r>
        <w:rPr>
          <w:spacing w:val="-2"/>
        </w:rPr>
        <w:t xml:space="preserve"> </w:t>
      </w:r>
      <w:r>
        <w:t>these</w:t>
      </w:r>
      <w:r>
        <w:rPr>
          <w:spacing w:val="-3"/>
        </w:rPr>
        <w:t xml:space="preserve"> </w:t>
      </w:r>
      <w:r>
        <w:t>suspicions</w:t>
      </w:r>
      <w:r>
        <w:rPr>
          <w:spacing w:val="-2"/>
        </w:rPr>
        <w:t xml:space="preserve"> </w:t>
      </w:r>
      <w:r>
        <w:t>as</w:t>
      </w:r>
      <w:r>
        <w:rPr>
          <w:spacing w:val="-3"/>
        </w:rPr>
        <w:t xml:space="preserve"> </w:t>
      </w:r>
      <w:r>
        <w:t>only</w:t>
      </w:r>
      <w:r>
        <w:rPr>
          <w:spacing w:val="-3"/>
        </w:rPr>
        <w:t xml:space="preserve"> </w:t>
      </w:r>
      <w:r>
        <w:t>32%</w:t>
      </w:r>
      <w:r>
        <w:rPr>
          <w:spacing w:val="-3"/>
        </w:rPr>
        <w:t xml:space="preserve"> </w:t>
      </w:r>
      <w:r>
        <w:t>of</w:t>
      </w:r>
      <w:r>
        <w:rPr>
          <w:spacing w:val="-3"/>
        </w:rPr>
        <w:t xml:space="preserve"> </w:t>
      </w:r>
      <w:r>
        <w:t>reports resulted in effective intervention.</w:t>
      </w:r>
      <w:hyperlink w:anchor="_bookmark385" w:history="1">
        <w:r>
          <w:rPr>
            <w:vertAlign w:val="superscript"/>
          </w:rPr>
          <w:t>36</w:t>
        </w:r>
        <w:r>
          <w:t xml:space="preserve"> </w:t>
        </w:r>
      </w:hyperlink>
      <w:r>
        <w:t>Furthermore, LGBTQ youth who were bullied often reported being disciplined more harshly than their non</w:t>
      </w:r>
      <w:r>
        <w:t>-LGBTQ peers</w:t>
      </w:r>
      <w:hyperlink w:anchor="_bookmark386" w:history="1">
        <w:r>
          <w:t>.</w:t>
        </w:r>
        <w:r>
          <w:rPr>
            <w:vertAlign w:val="superscript"/>
          </w:rPr>
          <w:t>37</w:t>
        </w:r>
      </w:hyperlink>
    </w:p>
    <w:p w:rsidR="00C76E6D" w:rsidRDefault="00C76E6D">
      <w:pPr>
        <w:pStyle w:val="BodyText"/>
        <w:spacing w:before="4"/>
        <w:rPr>
          <w:sz w:val="25"/>
        </w:rPr>
      </w:pPr>
    </w:p>
    <w:p w:rsidR="00C76E6D" w:rsidRDefault="00913831">
      <w:pPr>
        <w:pStyle w:val="BodyText"/>
        <w:spacing w:line="276" w:lineRule="auto"/>
        <w:ind w:left="478" w:right="473"/>
        <w:jc w:val="both"/>
      </w:pPr>
      <w:r>
        <w:t>Given</w:t>
      </w:r>
      <w:r>
        <w:rPr>
          <w:spacing w:val="-13"/>
        </w:rPr>
        <w:t xml:space="preserve"> </w:t>
      </w:r>
      <w:r>
        <w:t>the</w:t>
      </w:r>
      <w:r>
        <w:rPr>
          <w:spacing w:val="-12"/>
        </w:rPr>
        <w:t xml:space="preserve"> </w:t>
      </w:r>
      <w:r>
        <w:t>high</w:t>
      </w:r>
      <w:r>
        <w:rPr>
          <w:spacing w:val="-13"/>
        </w:rPr>
        <w:t xml:space="preserve"> </w:t>
      </w:r>
      <w:r>
        <w:t>rates</w:t>
      </w:r>
      <w:r>
        <w:rPr>
          <w:spacing w:val="-12"/>
        </w:rPr>
        <w:t xml:space="preserve"> </w:t>
      </w:r>
      <w:r>
        <w:t>of</w:t>
      </w:r>
      <w:r>
        <w:rPr>
          <w:spacing w:val="-13"/>
        </w:rPr>
        <w:t xml:space="preserve"> </w:t>
      </w:r>
      <w:r>
        <w:t>abuse</w:t>
      </w:r>
      <w:r>
        <w:rPr>
          <w:spacing w:val="-12"/>
        </w:rPr>
        <w:t xml:space="preserve"> </w:t>
      </w:r>
      <w:r>
        <w:t>and</w:t>
      </w:r>
      <w:r>
        <w:rPr>
          <w:spacing w:val="-13"/>
        </w:rPr>
        <w:t xml:space="preserve"> </w:t>
      </w:r>
      <w:r>
        <w:t>harassment</w:t>
      </w:r>
      <w:r>
        <w:rPr>
          <w:spacing w:val="-12"/>
        </w:rPr>
        <w:t xml:space="preserve"> </w:t>
      </w:r>
      <w:r>
        <w:t>experienced</w:t>
      </w:r>
      <w:r>
        <w:rPr>
          <w:spacing w:val="-10"/>
        </w:rPr>
        <w:t xml:space="preserve"> </w:t>
      </w:r>
      <w:r>
        <w:t>by</w:t>
      </w:r>
      <w:r>
        <w:rPr>
          <w:spacing w:val="-11"/>
        </w:rPr>
        <w:t xml:space="preserve"> </w:t>
      </w:r>
      <w:r>
        <w:t>LGBTQ</w:t>
      </w:r>
      <w:r>
        <w:rPr>
          <w:spacing w:val="-13"/>
        </w:rPr>
        <w:t xml:space="preserve"> </w:t>
      </w:r>
      <w:r>
        <w:t>students,</w:t>
      </w:r>
      <w:r>
        <w:rPr>
          <w:spacing w:val="-12"/>
        </w:rPr>
        <w:t xml:space="preserve"> </w:t>
      </w:r>
      <w:r>
        <w:t>it</w:t>
      </w:r>
      <w:r>
        <w:rPr>
          <w:spacing w:val="-12"/>
        </w:rPr>
        <w:t xml:space="preserve"> </w:t>
      </w:r>
      <w:r>
        <w:t>is</w:t>
      </w:r>
      <w:r>
        <w:rPr>
          <w:spacing w:val="-12"/>
        </w:rPr>
        <w:t xml:space="preserve"> </w:t>
      </w:r>
      <w:r>
        <w:t>no</w:t>
      </w:r>
      <w:r>
        <w:rPr>
          <w:spacing w:val="-12"/>
        </w:rPr>
        <w:t xml:space="preserve"> </w:t>
      </w:r>
      <w:r>
        <w:t>surprise</w:t>
      </w:r>
      <w:r>
        <w:rPr>
          <w:spacing w:val="-11"/>
        </w:rPr>
        <w:t xml:space="preserve"> </w:t>
      </w:r>
      <w:r>
        <w:t>that</w:t>
      </w:r>
      <w:r>
        <w:rPr>
          <w:spacing w:val="-13"/>
        </w:rPr>
        <w:t xml:space="preserve"> </w:t>
      </w:r>
      <w:r>
        <w:t>LGBTQ students in Massachusetts, when compared to their non-LGBTQ peers, were twice as likely to engage in f</w:t>
      </w:r>
      <w:r>
        <w:t>ights at school in the past year (9.4% vs. 5.1%), three times as likely to carry a weapon to school in the past</w:t>
      </w:r>
      <w:r>
        <w:rPr>
          <w:spacing w:val="-5"/>
        </w:rPr>
        <w:t xml:space="preserve"> </w:t>
      </w:r>
      <w:r>
        <w:t>year (6.1%</w:t>
      </w:r>
      <w:r>
        <w:rPr>
          <w:spacing w:val="-2"/>
        </w:rPr>
        <w:t xml:space="preserve"> </w:t>
      </w:r>
      <w:r>
        <w:t>vs.</w:t>
      </w:r>
      <w:r>
        <w:rPr>
          <w:spacing w:val="-2"/>
        </w:rPr>
        <w:t xml:space="preserve"> </w:t>
      </w:r>
      <w:r>
        <w:t>2.8%), and</w:t>
      </w:r>
      <w:r>
        <w:rPr>
          <w:spacing w:val="-2"/>
        </w:rPr>
        <w:t xml:space="preserve"> </w:t>
      </w:r>
      <w:r>
        <w:t>six</w:t>
      </w:r>
      <w:r>
        <w:rPr>
          <w:spacing w:val="-1"/>
        </w:rPr>
        <w:t xml:space="preserve"> </w:t>
      </w:r>
      <w:r>
        <w:t>times as likely</w:t>
      </w:r>
      <w:r>
        <w:rPr>
          <w:spacing w:val="-1"/>
        </w:rPr>
        <w:t xml:space="preserve"> </w:t>
      </w:r>
      <w:r>
        <w:t>to have</w:t>
      </w:r>
      <w:r>
        <w:rPr>
          <w:spacing w:val="-1"/>
        </w:rPr>
        <w:t xml:space="preserve"> </w:t>
      </w:r>
      <w:r>
        <w:t>used heroin in</w:t>
      </w:r>
      <w:r>
        <w:rPr>
          <w:spacing w:val="-1"/>
        </w:rPr>
        <w:t xml:space="preserve"> </w:t>
      </w:r>
      <w:r>
        <w:t>their</w:t>
      </w:r>
      <w:r>
        <w:rPr>
          <w:spacing w:val="-1"/>
        </w:rPr>
        <w:t xml:space="preserve"> </w:t>
      </w:r>
      <w:r>
        <w:t>lifetime</w:t>
      </w:r>
      <w:r>
        <w:rPr>
          <w:spacing w:val="-1"/>
        </w:rPr>
        <w:t xml:space="preserve"> </w:t>
      </w:r>
      <w:r>
        <w:t>(6.7% vs. 1.0%)</w:t>
      </w:r>
      <w:hyperlink w:anchor="_bookmark387" w:history="1">
        <w:r>
          <w:t>.</w:t>
        </w:r>
        <w:r>
          <w:rPr>
            <w:vertAlign w:val="superscript"/>
          </w:rPr>
          <w:t>38</w:t>
        </w:r>
        <w:r>
          <w:rPr>
            <w:spacing w:val="-7"/>
          </w:rPr>
          <w:t xml:space="preserve"> </w:t>
        </w:r>
      </w:hyperlink>
      <w:r>
        <w:t>At the</w:t>
      </w:r>
      <w:r>
        <w:rPr>
          <w:spacing w:val="-5"/>
        </w:rPr>
        <w:t xml:space="preserve"> </w:t>
      </w:r>
      <w:r>
        <w:t>national</w:t>
      </w:r>
      <w:r>
        <w:rPr>
          <w:spacing w:val="-5"/>
        </w:rPr>
        <w:t xml:space="preserve"> </w:t>
      </w:r>
      <w:r>
        <w:t>level,</w:t>
      </w:r>
      <w:r>
        <w:rPr>
          <w:spacing w:val="-5"/>
        </w:rPr>
        <w:t xml:space="preserve"> </w:t>
      </w:r>
      <w:r>
        <w:t>LGBTQ</w:t>
      </w:r>
      <w:r>
        <w:rPr>
          <w:spacing w:val="-5"/>
        </w:rPr>
        <w:t xml:space="preserve"> </w:t>
      </w:r>
      <w:r>
        <w:t>students</w:t>
      </w:r>
      <w:r>
        <w:rPr>
          <w:spacing w:val="-5"/>
        </w:rPr>
        <w:t xml:space="preserve"> </w:t>
      </w:r>
      <w:r>
        <w:t>are</w:t>
      </w:r>
      <w:r>
        <w:rPr>
          <w:spacing w:val="-4"/>
        </w:rPr>
        <w:t xml:space="preserve"> </w:t>
      </w:r>
      <w:r>
        <w:t>disproportionately</w:t>
      </w:r>
      <w:r>
        <w:rPr>
          <w:spacing w:val="-5"/>
        </w:rPr>
        <w:t xml:space="preserve"> </w:t>
      </w:r>
      <w:r>
        <w:t>suspended</w:t>
      </w:r>
      <w:r>
        <w:rPr>
          <w:spacing w:val="-5"/>
        </w:rPr>
        <w:t xml:space="preserve"> </w:t>
      </w:r>
      <w:r>
        <w:t>and</w:t>
      </w:r>
      <w:r>
        <w:rPr>
          <w:spacing w:val="-4"/>
        </w:rPr>
        <w:t xml:space="preserve"> </w:t>
      </w:r>
      <w:r>
        <w:t>expelled</w:t>
      </w:r>
      <w:r>
        <w:rPr>
          <w:spacing w:val="-5"/>
        </w:rPr>
        <w:t xml:space="preserve"> </w:t>
      </w:r>
      <w:r>
        <w:t>in</w:t>
      </w:r>
      <w:r>
        <w:rPr>
          <w:spacing w:val="-4"/>
        </w:rPr>
        <w:t xml:space="preserve"> </w:t>
      </w:r>
      <w:r>
        <w:t>comparison</w:t>
      </w:r>
      <w:r>
        <w:rPr>
          <w:spacing w:val="-5"/>
        </w:rPr>
        <w:t xml:space="preserve"> </w:t>
      </w:r>
      <w:r>
        <w:t>to</w:t>
      </w:r>
      <w:r>
        <w:rPr>
          <w:spacing w:val="-5"/>
        </w:rPr>
        <w:t xml:space="preserve"> </w:t>
      </w:r>
      <w:r>
        <w:t>their heterosexual and</w:t>
      </w:r>
      <w:r>
        <w:rPr>
          <w:spacing w:val="-2"/>
        </w:rPr>
        <w:t xml:space="preserve"> </w:t>
      </w:r>
      <w:r>
        <w:t>cisgender</w:t>
      </w:r>
      <w:r>
        <w:rPr>
          <w:spacing w:val="-1"/>
        </w:rPr>
        <w:t xml:space="preserve"> </w:t>
      </w:r>
      <w:r>
        <w:t>peers</w:t>
      </w:r>
      <w:hyperlink w:anchor="_bookmark388" w:history="1">
        <w:r>
          <w:t>.</w:t>
        </w:r>
        <w:r>
          <w:rPr>
            <w:vertAlign w:val="superscript"/>
          </w:rPr>
          <w:t>39</w:t>
        </w:r>
        <w:r>
          <w:t xml:space="preserve"> </w:t>
        </w:r>
      </w:hyperlink>
      <w:r>
        <w:t>This disparity</w:t>
      </w:r>
      <w:r>
        <w:rPr>
          <w:spacing w:val="-2"/>
        </w:rPr>
        <w:t xml:space="preserve"> </w:t>
      </w:r>
      <w:r>
        <w:t>is particularly true</w:t>
      </w:r>
      <w:r>
        <w:rPr>
          <w:spacing w:val="-2"/>
        </w:rPr>
        <w:t xml:space="preserve"> </w:t>
      </w:r>
      <w:r>
        <w:t>for</w:t>
      </w:r>
      <w:r>
        <w:rPr>
          <w:spacing w:val="-2"/>
        </w:rPr>
        <w:t xml:space="preserve"> </w:t>
      </w:r>
      <w:r>
        <w:t>LGBTQ</w:t>
      </w:r>
      <w:r>
        <w:rPr>
          <w:spacing w:val="-1"/>
        </w:rPr>
        <w:t xml:space="preserve"> </w:t>
      </w:r>
      <w:r>
        <w:t>youth</w:t>
      </w:r>
      <w:r>
        <w:rPr>
          <w:spacing w:val="-2"/>
        </w:rPr>
        <w:t xml:space="preserve"> </w:t>
      </w:r>
      <w:r>
        <w:t>of color,</w:t>
      </w:r>
      <w:r>
        <w:rPr>
          <w:spacing w:val="-1"/>
        </w:rPr>
        <w:t xml:space="preserve"> </w:t>
      </w:r>
      <w:r>
        <w:t>as</w:t>
      </w:r>
      <w:r>
        <w:rPr>
          <w:spacing w:val="-1"/>
        </w:rPr>
        <w:t xml:space="preserve"> </w:t>
      </w:r>
      <w:r>
        <w:t>79%</w:t>
      </w:r>
      <w:r>
        <w:rPr>
          <w:spacing w:val="-1"/>
        </w:rPr>
        <w:t xml:space="preserve"> </w:t>
      </w:r>
      <w:r>
        <w:t>of youth</w:t>
      </w:r>
      <w:r>
        <w:rPr>
          <w:spacing w:val="-6"/>
        </w:rPr>
        <w:t xml:space="preserve"> </w:t>
      </w:r>
      <w:r>
        <w:t>had</w:t>
      </w:r>
      <w:r>
        <w:rPr>
          <w:spacing w:val="-5"/>
        </w:rPr>
        <w:t xml:space="preserve"> </w:t>
      </w:r>
      <w:r>
        <w:t>faced</w:t>
      </w:r>
      <w:r>
        <w:rPr>
          <w:spacing w:val="-6"/>
        </w:rPr>
        <w:t xml:space="preserve"> </w:t>
      </w:r>
      <w:r>
        <w:t>police</w:t>
      </w:r>
      <w:r>
        <w:rPr>
          <w:spacing w:val="-4"/>
        </w:rPr>
        <w:t xml:space="preserve"> </w:t>
      </w:r>
      <w:r>
        <w:t>involvement</w:t>
      </w:r>
      <w:r>
        <w:rPr>
          <w:spacing w:val="-4"/>
        </w:rPr>
        <w:t xml:space="preserve"> </w:t>
      </w:r>
      <w:r>
        <w:t>in</w:t>
      </w:r>
      <w:r>
        <w:rPr>
          <w:spacing w:val="-3"/>
        </w:rPr>
        <w:t xml:space="preserve"> </w:t>
      </w:r>
      <w:r>
        <w:t>middle</w:t>
      </w:r>
      <w:r>
        <w:rPr>
          <w:spacing w:val="-4"/>
        </w:rPr>
        <w:t xml:space="preserve"> </w:t>
      </w:r>
      <w:r>
        <w:t>and</w:t>
      </w:r>
      <w:r>
        <w:rPr>
          <w:spacing w:val="-6"/>
        </w:rPr>
        <w:t xml:space="preserve"> </w:t>
      </w:r>
      <w:r>
        <w:t>high</w:t>
      </w:r>
      <w:r>
        <w:rPr>
          <w:spacing w:val="-5"/>
        </w:rPr>
        <w:t xml:space="preserve"> </w:t>
      </w:r>
      <w:r>
        <w:t>school</w:t>
      </w:r>
      <w:r>
        <w:rPr>
          <w:spacing w:val="-6"/>
        </w:rPr>
        <w:t xml:space="preserve"> </w:t>
      </w:r>
      <w:r>
        <w:t>compared</w:t>
      </w:r>
      <w:r>
        <w:rPr>
          <w:spacing w:val="-4"/>
        </w:rPr>
        <w:t xml:space="preserve"> </w:t>
      </w:r>
      <w:r>
        <w:t>to</w:t>
      </w:r>
      <w:r>
        <w:rPr>
          <w:spacing w:val="-5"/>
        </w:rPr>
        <w:t xml:space="preserve"> </w:t>
      </w:r>
      <w:r>
        <w:t>63%</w:t>
      </w:r>
      <w:r>
        <w:rPr>
          <w:spacing w:val="-5"/>
        </w:rPr>
        <w:t xml:space="preserve"> </w:t>
      </w:r>
      <w:r>
        <w:t>of</w:t>
      </w:r>
      <w:r>
        <w:rPr>
          <w:spacing w:val="-5"/>
        </w:rPr>
        <w:t xml:space="preserve"> </w:t>
      </w:r>
      <w:r>
        <w:t>White</w:t>
      </w:r>
      <w:r>
        <w:rPr>
          <w:spacing w:val="-5"/>
        </w:rPr>
        <w:t xml:space="preserve"> </w:t>
      </w:r>
      <w:r>
        <w:t>LGBTQ</w:t>
      </w:r>
      <w:r>
        <w:rPr>
          <w:spacing w:val="-6"/>
        </w:rPr>
        <w:t xml:space="preserve"> </w:t>
      </w:r>
      <w:r>
        <w:t>youth</w:t>
      </w:r>
      <w:hyperlink w:anchor="_bookmark389" w:history="1">
        <w:r>
          <w:t>.</w:t>
        </w:r>
        <w:r>
          <w:rPr>
            <w:vertAlign w:val="superscript"/>
          </w:rPr>
          <w:t>40</w:t>
        </w:r>
      </w:hyperlink>
      <w:r>
        <w:t xml:space="preserve"> Furthermore, Black LGBTQ students were suspended at higher rates than non-Black LGBTQ youth (31% vs. 20%)</w:t>
      </w:r>
      <w:hyperlink w:anchor="_bookmark390" w:history="1">
        <w:r>
          <w:t>.</w:t>
        </w:r>
        <w:r>
          <w:rPr>
            <w:vertAlign w:val="superscript"/>
          </w:rPr>
          <w:t>41</w:t>
        </w:r>
      </w:hyperlink>
    </w:p>
    <w:p w:rsidR="00C76E6D" w:rsidRDefault="00C76E6D">
      <w:pPr>
        <w:pStyle w:val="BodyText"/>
        <w:spacing w:before="3"/>
        <w:rPr>
          <w:sz w:val="25"/>
        </w:rPr>
      </w:pPr>
    </w:p>
    <w:p w:rsidR="00C76E6D" w:rsidRDefault="00913831">
      <w:pPr>
        <w:pStyle w:val="BodyText"/>
        <w:spacing w:line="276" w:lineRule="auto"/>
        <w:ind w:left="479" w:right="475"/>
        <w:jc w:val="both"/>
      </w:pPr>
      <w:r>
        <w:t>All the behaviors detailed above can lead to interactions with police or school resource officers (SROs), arrests, and incarceration. At the national level, schools with SROs are more likely to refer LGBTQ youth to</w:t>
      </w:r>
      <w:r>
        <w:rPr>
          <w:spacing w:val="-4"/>
        </w:rPr>
        <w:t xml:space="preserve"> </w:t>
      </w:r>
      <w:r>
        <w:t>the</w:t>
      </w:r>
      <w:r>
        <w:rPr>
          <w:spacing w:val="-3"/>
        </w:rPr>
        <w:t xml:space="preserve"> </w:t>
      </w:r>
      <w:r>
        <w:t>juvenile</w:t>
      </w:r>
      <w:r>
        <w:rPr>
          <w:spacing w:val="-4"/>
        </w:rPr>
        <w:t xml:space="preserve"> </w:t>
      </w:r>
      <w:r>
        <w:t>justice</w:t>
      </w:r>
      <w:r>
        <w:rPr>
          <w:spacing w:val="-4"/>
        </w:rPr>
        <w:t xml:space="preserve"> </w:t>
      </w:r>
      <w:r>
        <w:t>system.</w:t>
      </w:r>
      <w:r>
        <w:rPr>
          <w:spacing w:val="-3"/>
        </w:rPr>
        <w:t xml:space="preserve"> </w:t>
      </w:r>
      <w:r>
        <w:t>For</w:t>
      </w:r>
      <w:r>
        <w:rPr>
          <w:spacing w:val="-4"/>
        </w:rPr>
        <w:t xml:space="preserve"> </w:t>
      </w:r>
      <w:r>
        <w:t>LGBT</w:t>
      </w:r>
      <w:r>
        <w:t>Q</w:t>
      </w:r>
      <w:r>
        <w:rPr>
          <w:spacing w:val="-4"/>
        </w:rPr>
        <w:t xml:space="preserve"> </w:t>
      </w:r>
      <w:r>
        <w:t>youth,</w:t>
      </w:r>
      <w:r>
        <w:rPr>
          <w:spacing w:val="-4"/>
        </w:rPr>
        <w:t xml:space="preserve"> </w:t>
      </w:r>
      <w:r>
        <w:t>“disciplinary</w:t>
      </w:r>
      <w:r>
        <w:rPr>
          <w:spacing w:val="-4"/>
        </w:rPr>
        <w:t xml:space="preserve"> </w:t>
      </w:r>
      <w:r>
        <w:t>infractions</w:t>
      </w:r>
      <w:r>
        <w:rPr>
          <w:spacing w:val="-4"/>
        </w:rPr>
        <w:t xml:space="preserve"> </w:t>
      </w:r>
      <w:r>
        <w:t>at</w:t>
      </w:r>
      <w:r>
        <w:rPr>
          <w:spacing w:val="-3"/>
        </w:rPr>
        <w:t xml:space="preserve"> </w:t>
      </w:r>
      <w:r>
        <w:t>school</w:t>
      </w:r>
      <w:r>
        <w:rPr>
          <w:spacing w:val="-4"/>
        </w:rPr>
        <w:t xml:space="preserve"> </w:t>
      </w:r>
      <w:r>
        <w:t>are</w:t>
      </w:r>
      <w:r>
        <w:rPr>
          <w:spacing w:val="-4"/>
        </w:rPr>
        <w:t xml:space="preserve"> </w:t>
      </w:r>
      <w:r>
        <w:t>the</w:t>
      </w:r>
      <w:r>
        <w:rPr>
          <w:spacing w:val="-3"/>
        </w:rPr>
        <w:t xml:space="preserve"> </w:t>
      </w:r>
      <w:r>
        <w:t>beginnings</w:t>
      </w:r>
      <w:r>
        <w:rPr>
          <w:spacing w:val="-4"/>
        </w:rPr>
        <w:t xml:space="preserve"> </w:t>
      </w:r>
      <w:r>
        <w:t>of</w:t>
      </w:r>
      <w:r>
        <w:rPr>
          <w:spacing w:val="-4"/>
        </w:rPr>
        <w:t xml:space="preserve"> </w:t>
      </w:r>
      <w:r>
        <w:t>a criminal record that can follow them throughout their life.”</w:t>
      </w:r>
      <w:hyperlink w:anchor="_bookmark391" w:history="1">
        <w:r>
          <w:rPr>
            <w:vertAlign w:val="superscript"/>
          </w:rPr>
          <w:t>42</w:t>
        </w:r>
        <w:r>
          <w:t xml:space="preserve"> </w:t>
        </w:r>
      </w:hyperlink>
      <w:r>
        <w:t>Overall, interactions with the police and SROs push students out of schools and into the sch</w:t>
      </w:r>
      <w:r>
        <w:t>ool-to-prison pipeline.</w:t>
      </w:r>
    </w:p>
    <w:p w:rsidR="00C76E6D" w:rsidRDefault="00C76E6D">
      <w:pPr>
        <w:pStyle w:val="BodyText"/>
        <w:spacing w:before="3"/>
        <w:rPr>
          <w:sz w:val="25"/>
        </w:rPr>
      </w:pPr>
    </w:p>
    <w:p w:rsidR="00C76E6D" w:rsidRDefault="00913831">
      <w:pPr>
        <w:pStyle w:val="Heading7"/>
        <w:numPr>
          <w:ilvl w:val="1"/>
          <w:numId w:val="37"/>
        </w:numPr>
        <w:tabs>
          <w:tab w:val="left" w:pos="1199"/>
        </w:tabs>
        <w:ind w:left="1198" w:hanging="362"/>
        <w:jc w:val="left"/>
      </w:pPr>
      <w:bookmarkStart w:id="481" w:name="e._Criminalization_of_Consensual_Sexual_"/>
      <w:bookmarkEnd w:id="481"/>
      <w:r>
        <w:rPr>
          <w:w w:val="95"/>
        </w:rPr>
        <w:t>Criminalization</w:t>
      </w:r>
      <w:r>
        <w:rPr>
          <w:spacing w:val="18"/>
        </w:rPr>
        <w:t xml:space="preserve"> </w:t>
      </w:r>
      <w:r>
        <w:rPr>
          <w:w w:val="95"/>
        </w:rPr>
        <w:t>of</w:t>
      </w:r>
      <w:r>
        <w:rPr>
          <w:spacing w:val="18"/>
        </w:rPr>
        <w:t xml:space="preserve"> </w:t>
      </w:r>
      <w:r>
        <w:rPr>
          <w:w w:val="95"/>
        </w:rPr>
        <w:t>Consensual</w:t>
      </w:r>
      <w:r>
        <w:rPr>
          <w:spacing w:val="19"/>
        </w:rPr>
        <w:t xml:space="preserve"> </w:t>
      </w:r>
      <w:r>
        <w:rPr>
          <w:w w:val="95"/>
        </w:rPr>
        <w:t>Sexual</w:t>
      </w:r>
      <w:r>
        <w:rPr>
          <w:spacing w:val="18"/>
        </w:rPr>
        <w:t xml:space="preserve"> </w:t>
      </w:r>
      <w:r>
        <w:rPr>
          <w:spacing w:val="-2"/>
          <w:w w:val="95"/>
        </w:rPr>
        <w:t>Relationships</w:t>
      </w:r>
    </w:p>
    <w:p w:rsidR="00C76E6D" w:rsidRDefault="00C76E6D">
      <w:pPr>
        <w:pStyle w:val="BodyText"/>
        <w:spacing w:before="8"/>
        <w:rPr>
          <w:b/>
          <w:i/>
          <w:sz w:val="28"/>
        </w:rPr>
      </w:pPr>
    </w:p>
    <w:p w:rsidR="00C76E6D" w:rsidRDefault="00913831">
      <w:pPr>
        <w:pStyle w:val="BodyText"/>
        <w:spacing w:line="276" w:lineRule="auto"/>
        <w:ind w:left="480" w:right="477"/>
        <w:jc w:val="both"/>
      </w:pPr>
      <w:r>
        <w:t>Laws that police sex — particularly between people of the same sex — have existed since the beginning of</w:t>
      </w:r>
      <w:r>
        <w:rPr>
          <w:spacing w:val="-10"/>
        </w:rPr>
        <w:t xml:space="preserve"> </w:t>
      </w:r>
      <w:r>
        <w:t>Massachusetts’s</w:t>
      </w:r>
      <w:r>
        <w:rPr>
          <w:spacing w:val="-9"/>
        </w:rPr>
        <w:t xml:space="preserve"> </w:t>
      </w:r>
      <w:r>
        <w:t>colonial</w:t>
      </w:r>
      <w:r>
        <w:rPr>
          <w:spacing w:val="-10"/>
        </w:rPr>
        <w:t xml:space="preserve"> </w:t>
      </w:r>
      <w:r>
        <w:t>history.</w:t>
      </w:r>
      <w:r>
        <w:rPr>
          <w:spacing w:val="-10"/>
        </w:rPr>
        <w:t xml:space="preserve"> </w:t>
      </w:r>
      <w:r>
        <w:t>As</w:t>
      </w:r>
      <w:r>
        <w:rPr>
          <w:spacing w:val="-9"/>
        </w:rPr>
        <w:t xml:space="preserve"> </w:t>
      </w:r>
      <w:r>
        <w:t>early</w:t>
      </w:r>
      <w:r>
        <w:rPr>
          <w:spacing w:val="-10"/>
        </w:rPr>
        <w:t xml:space="preserve"> </w:t>
      </w:r>
      <w:r>
        <w:t>as</w:t>
      </w:r>
      <w:r>
        <w:rPr>
          <w:spacing w:val="-10"/>
        </w:rPr>
        <w:t xml:space="preserve"> </w:t>
      </w:r>
      <w:r>
        <w:t>1636,</w:t>
      </w:r>
      <w:r>
        <w:rPr>
          <w:spacing w:val="-10"/>
        </w:rPr>
        <w:t xml:space="preserve"> </w:t>
      </w:r>
      <w:r>
        <w:t>the</w:t>
      </w:r>
      <w:r>
        <w:rPr>
          <w:spacing w:val="-10"/>
        </w:rPr>
        <w:t xml:space="preserve"> </w:t>
      </w:r>
      <w:r>
        <w:t>Plymouth</w:t>
      </w:r>
      <w:r>
        <w:rPr>
          <w:spacing w:val="-9"/>
        </w:rPr>
        <w:t xml:space="preserve"> </w:t>
      </w:r>
      <w:r>
        <w:t>colony</w:t>
      </w:r>
      <w:r>
        <w:rPr>
          <w:spacing w:val="-10"/>
        </w:rPr>
        <w:t xml:space="preserve"> </w:t>
      </w:r>
      <w:r>
        <w:t>-in</w:t>
      </w:r>
      <w:r>
        <w:rPr>
          <w:spacing w:val="-10"/>
        </w:rPr>
        <w:t xml:space="preserve"> </w:t>
      </w:r>
      <w:r>
        <w:t>what</w:t>
      </w:r>
      <w:r>
        <w:rPr>
          <w:spacing w:val="-12"/>
        </w:rPr>
        <w:t xml:space="preserve"> </w:t>
      </w:r>
      <w:r>
        <w:t>is</w:t>
      </w:r>
      <w:r>
        <w:rPr>
          <w:spacing w:val="-9"/>
        </w:rPr>
        <w:t xml:space="preserve"> </w:t>
      </w:r>
      <w:r>
        <w:t>now</w:t>
      </w:r>
      <w:r>
        <w:rPr>
          <w:spacing w:val="-10"/>
        </w:rPr>
        <w:t xml:space="preserve"> </w:t>
      </w:r>
      <w:r>
        <w:t>Massachusetts- established America’s first anti-sodomy laws, which made sexual relationships between members of the same sex a crime punishable by death</w:t>
      </w:r>
      <w:hyperlink w:anchor="_bookmark392" w:history="1">
        <w:r>
          <w:t>.</w:t>
        </w:r>
        <w:r>
          <w:rPr>
            <w:vertAlign w:val="superscript"/>
          </w:rPr>
          <w:t>43</w:t>
        </w:r>
      </w:hyperlink>
    </w:p>
    <w:p w:rsidR="00C76E6D" w:rsidRDefault="00C76E6D">
      <w:pPr>
        <w:pStyle w:val="BodyText"/>
        <w:spacing w:before="4"/>
        <w:rPr>
          <w:sz w:val="25"/>
        </w:rPr>
      </w:pPr>
    </w:p>
    <w:p w:rsidR="00C76E6D" w:rsidRDefault="00913831">
      <w:pPr>
        <w:pStyle w:val="BodyText"/>
        <w:spacing w:line="276" w:lineRule="auto"/>
        <w:ind w:left="478" w:right="473"/>
        <w:jc w:val="both"/>
      </w:pPr>
      <w:r>
        <w:t>Many</w:t>
      </w:r>
      <w:r>
        <w:rPr>
          <w:spacing w:val="-4"/>
        </w:rPr>
        <w:t xml:space="preserve"> </w:t>
      </w:r>
      <w:r>
        <w:t>laws,</w:t>
      </w:r>
      <w:r>
        <w:rPr>
          <w:spacing w:val="-4"/>
        </w:rPr>
        <w:t xml:space="preserve"> </w:t>
      </w:r>
      <w:r>
        <w:t>in</w:t>
      </w:r>
      <w:r>
        <w:rPr>
          <w:spacing w:val="-4"/>
        </w:rPr>
        <w:t xml:space="preserve"> </w:t>
      </w:r>
      <w:r>
        <w:t>one</w:t>
      </w:r>
      <w:r>
        <w:rPr>
          <w:spacing w:val="-4"/>
        </w:rPr>
        <w:t xml:space="preserve"> </w:t>
      </w:r>
      <w:r>
        <w:t>form</w:t>
      </w:r>
      <w:r>
        <w:rPr>
          <w:spacing w:val="-4"/>
        </w:rPr>
        <w:t xml:space="preserve"> </w:t>
      </w:r>
      <w:r>
        <w:t>or</w:t>
      </w:r>
      <w:r>
        <w:rPr>
          <w:spacing w:val="-2"/>
        </w:rPr>
        <w:t xml:space="preserve"> </w:t>
      </w:r>
      <w:r>
        <w:t>another,</w:t>
      </w:r>
      <w:r>
        <w:rPr>
          <w:spacing w:val="-4"/>
        </w:rPr>
        <w:t xml:space="preserve"> </w:t>
      </w:r>
      <w:r>
        <w:t>police</w:t>
      </w:r>
      <w:r>
        <w:rPr>
          <w:spacing w:val="-4"/>
        </w:rPr>
        <w:t xml:space="preserve"> </w:t>
      </w:r>
      <w:r>
        <w:t>sexual</w:t>
      </w:r>
      <w:r>
        <w:rPr>
          <w:spacing w:val="-4"/>
        </w:rPr>
        <w:t xml:space="preserve"> </w:t>
      </w:r>
      <w:r>
        <w:t>re</w:t>
      </w:r>
      <w:r>
        <w:t>lationships,</w:t>
      </w:r>
      <w:r>
        <w:rPr>
          <w:spacing w:val="-3"/>
        </w:rPr>
        <w:t xml:space="preserve"> </w:t>
      </w:r>
      <w:r>
        <w:t>and</w:t>
      </w:r>
      <w:r>
        <w:rPr>
          <w:spacing w:val="-4"/>
        </w:rPr>
        <w:t xml:space="preserve"> </w:t>
      </w:r>
      <w:r>
        <w:t>when</w:t>
      </w:r>
      <w:r>
        <w:rPr>
          <w:spacing w:val="-4"/>
        </w:rPr>
        <w:t xml:space="preserve"> </w:t>
      </w:r>
      <w:r>
        <w:t>these</w:t>
      </w:r>
      <w:r>
        <w:rPr>
          <w:spacing w:val="-3"/>
        </w:rPr>
        <w:t xml:space="preserve"> </w:t>
      </w:r>
      <w:r>
        <w:t>laws</w:t>
      </w:r>
      <w:r>
        <w:rPr>
          <w:spacing w:val="-3"/>
        </w:rPr>
        <w:t xml:space="preserve"> </w:t>
      </w:r>
      <w:r>
        <w:t>allow</w:t>
      </w:r>
      <w:r>
        <w:rPr>
          <w:spacing w:val="-4"/>
        </w:rPr>
        <w:t xml:space="preserve"> </w:t>
      </w:r>
      <w:r>
        <w:t>for</w:t>
      </w:r>
      <w:r>
        <w:rPr>
          <w:spacing w:val="-4"/>
        </w:rPr>
        <w:t xml:space="preserve"> </w:t>
      </w:r>
      <w:r>
        <w:t>discretion, they may be discriminatorily applied to LGBTQ youth. This can result in youth being unfairly branded as sex</w:t>
      </w:r>
      <w:r>
        <w:rPr>
          <w:spacing w:val="-10"/>
        </w:rPr>
        <w:t xml:space="preserve"> </w:t>
      </w:r>
      <w:r>
        <w:t>offenders,</w:t>
      </w:r>
      <w:r>
        <w:rPr>
          <w:spacing w:val="-10"/>
        </w:rPr>
        <w:t xml:space="preserve"> </w:t>
      </w:r>
      <w:r>
        <w:t>making</w:t>
      </w:r>
      <w:r>
        <w:rPr>
          <w:spacing w:val="-11"/>
        </w:rPr>
        <w:t xml:space="preserve"> </w:t>
      </w:r>
      <w:r>
        <w:t>it</w:t>
      </w:r>
      <w:r>
        <w:rPr>
          <w:spacing w:val="-10"/>
        </w:rPr>
        <w:t xml:space="preserve"> </w:t>
      </w:r>
      <w:r>
        <w:t>difficult</w:t>
      </w:r>
      <w:r>
        <w:rPr>
          <w:spacing w:val="-10"/>
        </w:rPr>
        <w:t xml:space="preserve"> </w:t>
      </w:r>
      <w:r>
        <w:t>for</w:t>
      </w:r>
      <w:r>
        <w:rPr>
          <w:spacing w:val="-10"/>
        </w:rPr>
        <w:t xml:space="preserve"> </w:t>
      </w:r>
      <w:r>
        <w:t>LGBTQ</w:t>
      </w:r>
      <w:r>
        <w:rPr>
          <w:spacing w:val="-11"/>
        </w:rPr>
        <w:t xml:space="preserve"> </w:t>
      </w:r>
      <w:r>
        <w:t>youth</w:t>
      </w:r>
      <w:r>
        <w:rPr>
          <w:spacing w:val="-10"/>
        </w:rPr>
        <w:t xml:space="preserve"> </w:t>
      </w:r>
      <w:r>
        <w:t>to</w:t>
      </w:r>
      <w:r>
        <w:rPr>
          <w:spacing w:val="-9"/>
        </w:rPr>
        <w:t xml:space="preserve"> </w:t>
      </w:r>
      <w:r>
        <w:t>find</w:t>
      </w:r>
      <w:r>
        <w:rPr>
          <w:spacing w:val="-10"/>
        </w:rPr>
        <w:t xml:space="preserve"> </w:t>
      </w:r>
      <w:r>
        <w:t>jobs</w:t>
      </w:r>
      <w:r>
        <w:rPr>
          <w:spacing w:val="-9"/>
        </w:rPr>
        <w:t xml:space="preserve"> </w:t>
      </w:r>
      <w:r>
        <w:t>and</w:t>
      </w:r>
      <w:r>
        <w:rPr>
          <w:spacing w:val="-10"/>
        </w:rPr>
        <w:t xml:space="preserve"> </w:t>
      </w:r>
      <w:r>
        <w:t>access</w:t>
      </w:r>
      <w:r>
        <w:rPr>
          <w:spacing w:val="-9"/>
        </w:rPr>
        <w:t xml:space="preserve"> </w:t>
      </w:r>
      <w:r>
        <w:t>education,</w:t>
      </w:r>
      <w:r>
        <w:rPr>
          <w:spacing w:val="-10"/>
        </w:rPr>
        <w:t xml:space="preserve"> </w:t>
      </w:r>
      <w:r>
        <w:t>thus</w:t>
      </w:r>
      <w:r>
        <w:rPr>
          <w:spacing w:val="-9"/>
        </w:rPr>
        <w:t xml:space="preserve"> </w:t>
      </w:r>
      <w:r>
        <w:t>perpetuating</w:t>
      </w:r>
      <w:r>
        <w:rPr>
          <w:spacing w:val="-10"/>
        </w:rPr>
        <w:t xml:space="preserve"> </w:t>
      </w:r>
      <w:r>
        <w:t>the cycle of poverty, instability, and criminalization.</w:t>
      </w:r>
      <w:hyperlink w:anchor="_bookmark393" w:history="1">
        <w:r>
          <w:rPr>
            <w:vertAlign w:val="superscript"/>
          </w:rPr>
          <w:t>44</w:t>
        </w:r>
        <w:r>
          <w:t xml:space="preserve"> </w:t>
        </w:r>
      </w:hyperlink>
      <w:r>
        <w:t>Experts in Massachusetts have found that the current law does not reflect the reality that many adolescents do engage in consensual sexual relations. Cur</w:t>
      </w:r>
      <w:r>
        <w:t>rent law does not reflect sound public policy</w:t>
      </w:r>
      <w:hyperlink w:anchor="_bookmark394" w:history="1">
        <w:r>
          <w:t>.</w:t>
        </w:r>
        <w:r>
          <w:rPr>
            <w:vertAlign w:val="superscript"/>
          </w:rPr>
          <w:t>45</w:t>
        </w:r>
        <w:r>
          <w:t xml:space="preserve"> </w:t>
        </w:r>
      </w:hyperlink>
      <w:r>
        <w:t>Furthermore, while no data is available on how many LGBTQ youth are impacted, data shows that youth of color are disproportionately prosecuted for these crimes, and</w:t>
      </w:r>
      <w:r>
        <w:rPr>
          <w:spacing w:val="25"/>
        </w:rPr>
        <w:t xml:space="preserve"> </w:t>
      </w:r>
      <w:r>
        <w:t>anecdotal</w:t>
      </w:r>
      <w:r>
        <w:rPr>
          <w:spacing w:val="25"/>
        </w:rPr>
        <w:t xml:space="preserve"> </w:t>
      </w:r>
      <w:r>
        <w:t>evidence</w:t>
      </w:r>
      <w:r>
        <w:rPr>
          <w:spacing w:val="25"/>
        </w:rPr>
        <w:t xml:space="preserve"> </w:t>
      </w:r>
      <w:r>
        <w:t>exists</w:t>
      </w:r>
      <w:r>
        <w:rPr>
          <w:spacing w:val="25"/>
        </w:rPr>
        <w:t xml:space="preserve"> </w:t>
      </w:r>
      <w:r>
        <w:t>that</w:t>
      </w:r>
      <w:r>
        <w:rPr>
          <w:spacing w:val="25"/>
        </w:rPr>
        <w:t xml:space="preserve"> </w:t>
      </w:r>
      <w:r>
        <w:t>LGBTQ</w:t>
      </w:r>
      <w:r>
        <w:rPr>
          <w:spacing w:val="25"/>
        </w:rPr>
        <w:t xml:space="preserve"> </w:t>
      </w:r>
      <w:r>
        <w:t>youth</w:t>
      </w:r>
      <w:r>
        <w:rPr>
          <w:spacing w:val="25"/>
        </w:rPr>
        <w:t xml:space="preserve"> </w:t>
      </w:r>
      <w:r>
        <w:t>are</w:t>
      </w:r>
      <w:r>
        <w:rPr>
          <w:spacing w:val="25"/>
        </w:rPr>
        <w:t xml:space="preserve"> </w:t>
      </w:r>
      <w:r>
        <w:t>targeted</w:t>
      </w:r>
      <w:r>
        <w:rPr>
          <w:spacing w:val="25"/>
        </w:rPr>
        <w:t xml:space="preserve"> </w:t>
      </w:r>
      <w:r>
        <w:t>for</w:t>
      </w:r>
      <w:r>
        <w:rPr>
          <w:spacing w:val="25"/>
        </w:rPr>
        <w:t xml:space="preserve"> </w:t>
      </w:r>
      <w:r>
        <w:t>being</w:t>
      </w:r>
      <w:r>
        <w:rPr>
          <w:spacing w:val="25"/>
        </w:rPr>
        <w:t xml:space="preserve"> </w:t>
      </w:r>
      <w:r>
        <w:t>LGBTQ</w:t>
      </w:r>
      <w:hyperlink w:anchor="_bookmark395" w:history="1">
        <w:r>
          <w:t>.</w:t>
        </w:r>
        <w:r>
          <w:rPr>
            <w:vertAlign w:val="superscript"/>
          </w:rPr>
          <w:t>46</w:t>
        </w:r>
        <w:r>
          <w:rPr>
            <w:spacing w:val="-2"/>
          </w:rPr>
          <w:t xml:space="preserve"> </w:t>
        </w:r>
      </w:hyperlink>
      <w:r>
        <w:t>For</w:t>
      </w:r>
      <w:r>
        <w:rPr>
          <w:spacing w:val="26"/>
        </w:rPr>
        <w:t xml:space="preserve"> </w:t>
      </w:r>
      <w:r>
        <w:t>this</w:t>
      </w:r>
      <w:r>
        <w:rPr>
          <w:spacing w:val="26"/>
        </w:rPr>
        <w:t xml:space="preserve"> </w:t>
      </w:r>
      <w:r>
        <w:t>reason,</w:t>
      </w:r>
      <w:r>
        <w:rPr>
          <w:spacing w:val="25"/>
        </w:rPr>
        <w:t xml:space="preserve"> </w:t>
      </w:r>
      <w:r>
        <w:t>the</w:t>
      </w:r>
    </w:p>
    <w:p w:rsidR="00C76E6D" w:rsidRDefault="00C76E6D">
      <w:pPr>
        <w:spacing w:line="276" w:lineRule="auto"/>
        <w:jc w:val="both"/>
        <w:sectPr w:rsidR="00C76E6D">
          <w:pgSz w:w="12240" w:h="15840"/>
          <w:pgMar w:top="960" w:right="960" w:bottom="920" w:left="960" w:header="769" w:footer="720"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480" w:right="475"/>
        <w:jc w:val="both"/>
      </w:pPr>
      <w:r>
        <w:t>Commission has recommended decriminalizing consensual sexual relations among parties close in age and issuing guidance as to when consensual sexual relations need to be reported.</w:t>
      </w:r>
    </w:p>
    <w:p w:rsidR="00C76E6D" w:rsidRDefault="00C76E6D">
      <w:pPr>
        <w:pStyle w:val="BodyText"/>
        <w:spacing w:before="2"/>
        <w:rPr>
          <w:sz w:val="25"/>
        </w:rPr>
      </w:pPr>
    </w:p>
    <w:p w:rsidR="00C76E6D" w:rsidRDefault="00913831">
      <w:pPr>
        <w:pStyle w:val="BodyText"/>
        <w:spacing w:line="276" w:lineRule="auto"/>
        <w:ind w:left="478" w:right="476"/>
        <w:jc w:val="both"/>
      </w:pPr>
      <w:r>
        <w:t>In Massachusetts, individuals living with HIV can face increased criminal pe</w:t>
      </w:r>
      <w:r>
        <w:t>nalties for sexual-related criminal</w:t>
      </w:r>
      <w:r>
        <w:rPr>
          <w:spacing w:val="-3"/>
        </w:rPr>
        <w:t xml:space="preserve"> </w:t>
      </w:r>
      <w:r>
        <w:t>activity,</w:t>
      </w:r>
      <w:r>
        <w:rPr>
          <w:spacing w:val="-3"/>
        </w:rPr>
        <w:t xml:space="preserve"> </w:t>
      </w:r>
      <w:r>
        <w:t>including</w:t>
      </w:r>
      <w:r>
        <w:rPr>
          <w:spacing w:val="-1"/>
        </w:rPr>
        <w:t xml:space="preserve"> </w:t>
      </w:r>
      <w:r>
        <w:t>consensual</w:t>
      </w:r>
      <w:r>
        <w:rPr>
          <w:spacing w:val="-4"/>
        </w:rPr>
        <w:t xml:space="preserve"> </w:t>
      </w:r>
      <w:r>
        <w:t>sexual</w:t>
      </w:r>
      <w:r>
        <w:rPr>
          <w:spacing w:val="-3"/>
        </w:rPr>
        <w:t xml:space="preserve"> </w:t>
      </w:r>
      <w:r>
        <w:t>relations</w:t>
      </w:r>
      <w:r>
        <w:rPr>
          <w:spacing w:val="-3"/>
        </w:rPr>
        <w:t xml:space="preserve"> </w:t>
      </w:r>
      <w:r>
        <w:t>involving</w:t>
      </w:r>
      <w:r>
        <w:rPr>
          <w:spacing w:val="-3"/>
        </w:rPr>
        <w:t xml:space="preserve"> </w:t>
      </w:r>
      <w:r>
        <w:t>a</w:t>
      </w:r>
      <w:r>
        <w:rPr>
          <w:spacing w:val="-1"/>
        </w:rPr>
        <w:t xml:space="preserve"> </w:t>
      </w:r>
      <w:r>
        <w:t>young</w:t>
      </w:r>
      <w:r>
        <w:rPr>
          <w:spacing w:val="-3"/>
        </w:rPr>
        <w:t xml:space="preserve"> </w:t>
      </w:r>
      <w:r>
        <w:t>person</w:t>
      </w:r>
      <w:r>
        <w:rPr>
          <w:spacing w:val="-3"/>
        </w:rPr>
        <w:t xml:space="preserve"> </w:t>
      </w:r>
      <w:r>
        <w:t>under</w:t>
      </w:r>
      <w:r>
        <w:rPr>
          <w:spacing w:val="-2"/>
        </w:rPr>
        <w:t xml:space="preserve"> </w:t>
      </w:r>
      <w:r>
        <w:t>16</w:t>
      </w:r>
      <w:r>
        <w:rPr>
          <w:spacing w:val="-4"/>
        </w:rPr>
        <w:t xml:space="preserve"> </w:t>
      </w:r>
      <w:r>
        <w:t>with</w:t>
      </w:r>
      <w:r>
        <w:rPr>
          <w:spacing w:val="-4"/>
        </w:rPr>
        <w:t xml:space="preserve"> </w:t>
      </w:r>
      <w:r>
        <w:t>a</w:t>
      </w:r>
      <w:r>
        <w:rPr>
          <w:spacing w:val="-1"/>
        </w:rPr>
        <w:t xml:space="preserve"> </w:t>
      </w:r>
      <w:r>
        <w:t>close-in- age peer. This is based on a statute that leaves a great deal open to the interpretation, discretion, and potential</w:t>
      </w:r>
      <w:r>
        <w:rPr>
          <w:spacing w:val="-11"/>
        </w:rPr>
        <w:t xml:space="preserve"> </w:t>
      </w:r>
      <w:r>
        <w:t>abuse</w:t>
      </w:r>
      <w:r>
        <w:rPr>
          <w:spacing w:val="-11"/>
        </w:rPr>
        <w:t xml:space="preserve"> </w:t>
      </w:r>
      <w:r>
        <w:t>of</w:t>
      </w:r>
      <w:r>
        <w:rPr>
          <w:spacing w:val="-13"/>
        </w:rPr>
        <w:t xml:space="preserve"> </w:t>
      </w:r>
      <w:r>
        <w:t>the</w:t>
      </w:r>
      <w:r>
        <w:rPr>
          <w:spacing w:val="-9"/>
        </w:rPr>
        <w:t xml:space="preserve"> </w:t>
      </w:r>
      <w:r>
        <w:t>courts</w:t>
      </w:r>
      <w:r>
        <w:rPr>
          <w:spacing w:val="-10"/>
        </w:rPr>
        <w:t xml:space="preserve"> </w:t>
      </w:r>
      <w:r>
        <w:t>when</w:t>
      </w:r>
      <w:r>
        <w:rPr>
          <w:spacing w:val="-9"/>
        </w:rPr>
        <w:t xml:space="preserve"> </w:t>
      </w:r>
      <w:r>
        <w:t>it</w:t>
      </w:r>
      <w:r>
        <w:rPr>
          <w:spacing w:val="-10"/>
        </w:rPr>
        <w:t xml:space="preserve"> </w:t>
      </w:r>
      <w:r>
        <w:t>is</w:t>
      </w:r>
      <w:r>
        <w:rPr>
          <w:spacing w:val="-10"/>
        </w:rPr>
        <w:t xml:space="preserve"> </w:t>
      </w:r>
      <w:r>
        <w:t>applied</w:t>
      </w:r>
      <w:hyperlink w:anchor="_bookmark396" w:history="1">
        <w:r>
          <w:t>.</w:t>
        </w:r>
        <w:r>
          <w:rPr>
            <w:vertAlign w:val="superscript"/>
          </w:rPr>
          <w:t>47</w:t>
        </w:r>
        <w:r>
          <w:rPr>
            <w:spacing w:val="-12"/>
          </w:rPr>
          <w:t xml:space="preserve"> </w:t>
        </w:r>
      </w:hyperlink>
      <w:r>
        <w:t>As</w:t>
      </w:r>
      <w:r>
        <w:rPr>
          <w:spacing w:val="-8"/>
        </w:rPr>
        <w:t xml:space="preserve"> </w:t>
      </w:r>
      <w:r>
        <w:t>HIV</w:t>
      </w:r>
      <w:r>
        <w:rPr>
          <w:spacing w:val="-10"/>
        </w:rPr>
        <w:t xml:space="preserve"> </w:t>
      </w:r>
      <w:r>
        <w:t>is</w:t>
      </w:r>
      <w:r>
        <w:rPr>
          <w:spacing w:val="-10"/>
        </w:rPr>
        <w:t xml:space="preserve"> </w:t>
      </w:r>
      <w:r>
        <w:t>more</w:t>
      </w:r>
      <w:r>
        <w:rPr>
          <w:spacing w:val="-9"/>
        </w:rPr>
        <w:t xml:space="preserve"> </w:t>
      </w:r>
      <w:r>
        <w:t>prevalent</w:t>
      </w:r>
      <w:r>
        <w:rPr>
          <w:spacing w:val="-11"/>
        </w:rPr>
        <w:t xml:space="preserve"> </w:t>
      </w:r>
      <w:r>
        <w:t>among</w:t>
      </w:r>
      <w:r>
        <w:rPr>
          <w:spacing w:val="-9"/>
        </w:rPr>
        <w:t xml:space="preserve"> </w:t>
      </w:r>
      <w:r>
        <w:t>LGBTQ</w:t>
      </w:r>
      <w:r>
        <w:rPr>
          <w:spacing w:val="-11"/>
        </w:rPr>
        <w:t xml:space="preserve"> </w:t>
      </w:r>
      <w:r>
        <w:t>youth</w:t>
      </w:r>
      <w:r>
        <w:rPr>
          <w:spacing w:val="-9"/>
        </w:rPr>
        <w:t xml:space="preserve"> </w:t>
      </w:r>
      <w:r>
        <w:t>and</w:t>
      </w:r>
      <w:r>
        <w:rPr>
          <w:spacing w:val="-10"/>
        </w:rPr>
        <w:t xml:space="preserve"> </w:t>
      </w:r>
      <w:r>
        <w:t>youth of color than others, this impacts them disproportionately.</w:t>
      </w:r>
    </w:p>
    <w:p w:rsidR="00C76E6D" w:rsidRDefault="00C76E6D">
      <w:pPr>
        <w:pStyle w:val="BodyText"/>
        <w:spacing w:before="5"/>
        <w:rPr>
          <w:sz w:val="25"/>
        </w:rPr>
      </w:pPr>
    </w:p>
    <w:p w:rsidR="00C76E6D" w:rsidRDefault="00913831">
      <w:pPr>
        <w:pStyle w:val="BodyText"/>
        <w:spacing w:line="276" w:lineRule="auto"/>
        <w:ind w:left="478" w:right="475" w:hanging="1"/>
        <w:jc w:val="both"/>
      </w:pPr>
      <w:r>
        <w:t>Finally,</w:t>
      </w:r>
      <w:r>
        <w:rPr>
          <w:spacing w:val="-13"/>
        </w:rPr>
        <w:t xml:space="preserve"> </w:t>
      </w:r>
      <w:r>
        <w:t>Massachusetts</w:t>
      </w:r>
      <w:r>
        <w:rPr>
          <w:spacing w:val="-12"/>
        </w:rPr>
        <w:t xml:space="preserve"> </w:t>
      </w:r>
      <w:r>
        <w:t>laws</w:t>
      </w:r>
      <w:r>
        <w:rPr>
          <w:spacing w:val="-13"/>
        </w:rPr>
        <w:t xml:space="preserve"> </w:t>
      </w:r>
      <w:r>
        <w:t>that</w:t>
      </w:r>
      <w:r>
        <w:rPr>
          <w:spacing w:val="-12"/>
        </w:rPr>
        <w:t xml:space="preserve"> </w:t>
      </w:r>
      <w:r>
        <w:t>criminalize</w:t>
      </w:r>
      <w:r>
        <w:rPr>
          <w:spacing w:val="-13"/>
        </w:rPr>
        <w:t xml:space="preserve"> </w:t>
      </w:r>
      <w:r>
        <w:t>sex</w:t>
      </w:r>
      <w:r>
        <w:rPr>
          <w:spacing w:val="-12"/>
        </w:rPr>
        <w:t xml:space="preserve"> </w:t>
      </w:r>
      <w:r>
        <w:t>work,</w:t>
      </w:r>
      <w:r>
        <w:rPr>
          <w:spacing w:val="-13"/>
        </w:rPr>
        <w:t xml:space="preserve"> </w:t>
      </w:r>
      <w:r>
        <w:t>such</w:t>
      </w:r>
      <w:r>
        <w:rPr>
          <w:spacing w:val="-12"/>
        </w:rPr>
        <w:t xml:space="preserve"> </w:t>
      </w:r>
      <w:r>
        <w:t>as</w:t>
      </w:r>
      <w:r>
        <w:rPr>
          <w:spacing w:val="-12"/>
        </w:rPr>
        <w:t xml:space="preserve"> </w:t>
      </w:r>
      <w:r>
        <w:t>M.G.L.</w:t>
      </w:r>
      <w:r>
        <w:rPr>
          <w:spacing w:val="-13"/>
        </w:rPr>
        <w:t xml:space="preserve"> </w:t>
      </w:r>
      <w:r>
        <w:t>c.</w:t>
      </w:r>
      <w:r>
        <w:rPr>
          <w:spacing w:val="-12"/>
        </w:rPr>
        <w:t xml:space="preserve"> </w:t>
      </w:r>
      <w:r>
        <w:t>272,</w:t>
      </w:r>
      <w:r>
        <w:rPr>
          <w:spacing w:val="-13"/>
        </w:rPr>
        <w:t xml:space="preserve"> </w:t>
      </w:r>
      <w:r>
        <w:t>§</w:t>
      </w:r>
      <w:r>
        <w:rPr>
          <w:spacing w:val="-12"/>
        </w:rPr>
        <w:t xml:space="preserve"> </w:t>
      </w:r>
      <w:r>
        <w:t>53(a),</w:t>
      </w:r>
      <w:r>
        <w:rPr>
          <w:spacing w:val="-13"/>
        </w:rPr>
        <w:t xml:space="preserve"> </w:t>
      </w:r>
      <w:r>
        <w:t>“inflict</w:t>
      </w:r>
      <w:r>
        <w:rPr>
          <w:spacing w:val="-12"/>
        </w:rPr>
        <w:t xml:space="preserve"> </w:t>
      </w:r>
      <w:r>
        <w:t>profound</w:t>
      </w:r>
      <w:r>
        <w:rPr>
          <w:spacing w:val="-12"/>
        </w:rPr>
        <w:t xml:space="preserve"> </w:t>
      </w:r>
      <w:r>
        <w:t>harm that disproportionately impacts LGBTQ people (especially transgender women), people of color, and immigrants.”</w:t>
      </w:r>
      <w:hyperlink w:anchor="_bookmark397" w:history="1">
        <w:r>
          <w:rPr>
            <w:vertAlign w:val="superscript"/>
          </w:rPr>
          <w:t>48</w:t>
        </w:r>
        <w:r>
          <w:t xml:space="preserve"> </w:t>
        </w:r>
      </w:hyperlink>
      <w:r>
        <w:t>LGBTQ people make up a significant portion of sex workers</w:t>
      </w:r>
      <w:hyperlink w:anchor="_bookmark398" w:history="1">
        <w:r>
          <w:t>.</w:t>
        </w:r>
        <w:r>
          <w:rPr>
            <w:vertAlign w:val="superscript"/>
          </w:rPr>
          <w:t>49</w:t>
        </w:r>
        <w:r>
          <w:t xml:space="preserve"> </w:t>
        </w:r>
      </w:hyperlink>
      <w:r>
        <w:t>Many LGBTQ people face family rejection, poverty, and homelessness, and sex work signifies a critical survival option</w:t>
      </w:r>
      <w:hyperlink w:anchor="_bookmark399" w:history="1">
        <w:r>
          <w:t>.</w:t>
        </w:r>
        <w:r>
          <w:rPr>
            <w:vertAlign w:val="superscript"/>
          </w:rPr>
          <w:t>50</w:t>
        </w:r>
      </w:hyperlink>
      <w:r>
        <w:t xml:space="preserve"> Criminalizing sex work not only compounds these harms, but also forces sex workers i</w:t>
      </w:r>
      <w:r>
        <w:t>nto situations in which they are hidden or remote and thus, more vulnerable to violence. It prevents sex workers from being</w:t>
      </w:r>
      <w:r>
        <w:rPr>
          <w:spacing w:val="-5"/>
        </w:rPr>
        <w:t xml:space="preserve"> </w:t>
      </w:r>
      <w:r>
        <w:t>able</w:t>
      </w:r>
      <w:r>
        <w:rPr>
          <w:spacing w:val="-4"/>
        </w:rPr>
        <w:t xml:space="preserve"> </w:t>
      </w:r>
      <w:r>
        <w:t>to</w:t>
      </w:r>
      <w:r>
        <w:rPr>
          <w:spacing w:val="-1"/>
        </w:rPr>
        <w:t xml:space="preserve"> </w:t>
      </w:r>
      <w:r>
        <w:t>negotiate</w:t>
      </w:r>
      <w:r>
        <w:rPr>
          <w:spacing w:val="-4"/>
        </w:rPr>
        <w:t xml:space="preserve"> </w:t>
      </w:r>
      <w:r>
        <w:t>safer</w:t>
      </w:r>
      <w:r>
        <w:rPr>
          <w:spacing w:val="-4"/>
        </w:rPr>
        <w:t xml:space="preserve"> </w:t>
      </w:r>
      <w:r>
        <w:t>sex</w:t>
      </w:r>
      <w:r>
        <w:rPr>
          <w:spacing w:val="-5"/>
        </w:rPr>
        <w:t xml:space="preserve"> </w:t>
      </w:r>
      <w:r>
        <w:t>practices,</w:t>
      </w:r>
      <w:r>
        <w:rPr>
          <w:spacing w:val="-4"/>
        </w:rPr>
        <w:t xml:space="preserve"> </w:t>
      </w:r>
      <w:r>
        <w:t>to</w:t>
      </w:r>
      <w:r>
        <w:rPr>
          <w:spacing w:val="-4"/>
        </w:rPr>
        <w:t xml:space="preserve"> </w:t>
      </w:r>
      <w:r>
        <w:t>seek</w:t>
      </w:r>
      <w:r>
        <w:rPr>
          <w:spacing w:val="-4"/>
        </w:rPr>
        <w:t xml:space="preserve"> </w:t>
      </w:r>
      <w:r>
        <w:t>help</w:t>
      </w:r>
      <w:r>
        <w:rPr>
          <w:spacing w:val="-4"/>
        </w:rPr>
        <w:t xml:space="preserve"> </w:t>
      </w:r>
      <w:r>
        <w:t>when</w:t>
      </w:r>
      <w:r>
        <w:rPr>
          <w:spacing w:val="-3"/>
        </w:rPr>
        <w:t xml:space="preserve"> </w:t>
      </w:r>
      <w:r>
        <w:t>they</w:t>
      </w:r>
      <w:r>
        <w:rPr>
          <w:spacing w:val="-3"/>
        </w:rPr>
        <w:t xml:space="preserve"> </w:t>
      </w:r>
      <w:r>
        <w:t>are</w:t>
      </w:r>
      <w:r>
        <w:rPr>
          <w:spacing w:val="-4"/>
        </w:rPr>
        <w:t xml:space="preserve"> </w:t>
      </w:r>
      <w:r>
        <w:t>victims</w:t>
      </w:r>
      <w:r>
        <w:rPr>
          <w:spacing w:val="-4"/>
        </w:rPr>
        <w:t xml:space="preserve"> </w:t>
      </w:r>
      <w:r>
        <w:t>of</w:t>
      </w:r>
      <w:r>
        <w:rPr>
          <w:spacing w:val="-3"/>
        </w:rPr>
        <w:t xml:space="preserve"> </w:t>
      </w:r>
      <w:r>
        <w:t>violence</w:t>
      </w:r>
      <w:r>
        <w:rPr>
          <w:spacing w:val="-4"/>
        </w:rPr>
        <w:t xml:space="preserve"> </w:t>
      </w:r>
      <w:r>
        <w:t>or</w:t>
      </w:r>
      <w:r>
        <w:rPr>
          <w:spacing w:val="-4"/>
        </w:rPr>
        <w:t xml:space="preserve"> </w:t>
      </w:r>
      <w:r>
        <w:t xml:space="preserve">harassment, or to set boundaries for their </w:t>
      </w:r>
      <w:r>
        <w:t>autonomy, health, and protection.</w:t>
      </w:r>
    </w:p>
    <w:p w:rsidR="00C76E6D" w:rsidRDefault="00C76E6D">
      <w:pPr>
        <w:pStyle w:val="BodyText"/>
        <w:spacing w:before="3"/>
        <w:rPr>
          <w:sz w:val="25"/>
        </w:rPr>
      </w:pPr>
    </w:p>
    <w:p w:rsidR="00C76E6D" w:rsidRDefault="00913831">
      <w:pPr>
        <w:pStyle w:val="BodyText"/>
        <w:spacing w:line="276" w:lineRule="auto"/>
        <w:ind w:left="478" w:right="473"/>
        <w:jc w:val="both"/>
      </w:pPr>
      <w:r>
        <w:t>In 2021, H 1867, H 1800, and S 992 were introduced into the legislature. H 1867, An Act to Promote the Health and Safety of People in the Sex Trade, seeks to fully decriminalize sex work</w:t>
      </w:r>
      <w:hyperlink w:anchor="_bookmark400" w:history="1">
        <w:r>
          <w:t>.</w:t>
        </w:r>
        <w:r>
          <w:rPr>
            <w:vertAlign w:val="superscript"/>
          </w:rPr>
          <w:t>51</w:t>
        </w:r>
        <w:r>
          <w:t xml:space="preserve"> </w:t>
        </w:r>
      </w:hyperlink>
      <w:r>
        <w:t>H 1800 and S 992 bills seek to repeal M.G.L. c. 272, § 53(a), known as the “common night walkers” and “common street walkers” statute, and create immunity from prostitution charges for those who report crimes in good faith</w:t>
      </w:r>
      <w:hyperlink w:anchor="_bookmark401" w:history="1">
        <w:r>
          <w:t>.</w:t>
        </w:r>
        <w:r>
          <w:rPr>
            <w:vertAlign w:val="superscript"/>
          </w:rPr>
          <w:t>52</w:t>
        </w:r>
      </w:hyperlink>
      <w:r>
        <w:rPr>
          <w:spacing w:val="40"/>
        </w:rPr>
        <w:t xml:space="preserve"> </w:t>
      </w:r>
      <w:r>
        <w:t>The bills were sent to study and will not progress in the 192</w:t>
      </w:r>
      <w:r>
        <w:rPr>
          <w:vertAlign w:val="superscript"/>
        </w:rPr>
        <w:t>nd</w:t>
      </w:r>
      <w:r>
        <w:t xml:space="preserve"> legislative cycle.</w:t>
      </w:r>
    </w:p>
    <w:p w:rsidR="00C76E6D" w:rsidRDefault="00C76E6D">
      <w:pPr>
        <w:pStyle w:val="BodyText"/>
        <w:spacing w:before="5"/>
        <w:rPr>
          <w:sz w:val="25"/>
        </w:rPr>
      </w:pPr>
    </w:p>
    <w:p w:rsidR="00C76E6D" w:rsidRDefault="00913831">
      <w:pPr>
        <w:pStyle w:val="Heading6"/>
        <w:numPr>
          <w:ilvl w:val="0"/>
          <w:numId w:val="37"/>
        </w:numPr>
        <w:tabs>
          <w:tab w:val="left" w:pos="699"/>
        </w:tabs>
        <w:ind w:hanging="222"/>
      </w:pPr>
      <w:bookmarkStart w:id="482" w:name="2._Experiences_of_LGBTQ_Youth_in_the_Jus"/>
      <w:bookmarkEnd w:id="482"/>
      <w:r>
        <w:rPr>
          <w:spacing w:val="-2"/>
        </w:rPr>
        <w:t>Experiences</w:t>
      </w:r>
      <w:r>
        <w:rPr>
          <w:spacing w:val="-4"/>
        </w:rPr>
        <w:t xml:space="preserve"> </w:t>
      </w:r>
      <w:r>
        <w:rPr>
          <w:spacing w:val="-2"/>
        </w:rPr>
        <w:t>of</w:t>
      </w:r>
      <w:r>
        <w:rPr>
          <w:spacing w:val="-3"/>
        </w:rPr>
        <w:t xml:space="preserve"> </w:t>
      </w:r>
      <w:r>
        <w:rPr>
          <w:spacing w:val="-2"/>
        </w:rPr>
        <w:t>LGBTQ</w:t>
      </w:r>
      <w:r>
        <w:rPr>
          <w:spacing w:val="-3"/>
        </w:rPr>
        <w:t xml:space="preserve"> </w:t>
      </w:r>
      <w:r>
        <w:rPr>
          <w:spacing w:val="-2"/>
        </w:rPr>
        <w:t>Youth</w:t>
      </w:r>
      <w:r>
        <w:rPr>
          <w:spacing w:val="-4"/>
        </w:rPr>
        <w:t xml:space="preserve"> </w:t>
      </w:r>
      <w:r>
        <w:rPr>
          <w:spacing w:val="-2"/>
        </w:rPr>
        <w:t>in</w:t>
      </w:r>
      <w:r>
        <w:rPr>
          <w:spacing w:val="-3"/>
        </w:rPr>
        <w:t xml:space="preserve"> </w:t>
      </w:r>
      <w:r>
        <w:rPr>
          <w:spacing w:val="-2"/>
        </w:rPr>
        <w:t>the</w:t>
      </w:r>
      <w:r>
        <w:rPr>
          <w:spacing w:val="-4"/>
        </w:rPr>
        <w:t xml:space="preserve"> </w:t>
      </w:r>
      <w:r>
        <w:rPr>
          <w:spacing w:val="-2"/>
        </w:rPr>
        <w:t>Justice</w:t>
      </w:r>
      <w:r>
        <w:rPr>
          <w:spacing w:val="-4"/>
        </w:rPr>
        <w:t xml:space="preserve"> </w:t>
      </w:r>
      <w:r>
        <w:rPr>
          <w:spacing w:val="-2"/>
        </w:rPr>
        <w:t>Systems</w:t>
      </w:r>
    </w:p>
    <w:p w:rsidR="00C76E6D" w:rsidRDefault="00C76E6D">
      <w:pPr>
        <w:pStyle w:val="BodyText"/>
        <w:spacing w:before="5"/>
        <w:rPr>
          <w:b/>
          <w:sz w:val="28"/>
        </w:rPr>
      </w:pPr>
    </w:p>
    <w:p w:rsidR="00C76E6D" w:rsidRDefault="00913831">
      <w:pPr>
        <w:pStyle w:val="BodyText"/>
        <w:spacing w:line="276" w:lineRule="auto"/>
        <w:ind w:left="478" w:right="476"/>
        <w:jc w:val="both"/>
      </w:pPr>
      <w:r>
        <w:t>LGBTQ youth consistently report negative treatment during the pre-trial, trial, and incarceration phases in</w:t>
      </w:r>
      <w:r>
        <w:rPr>
          <w:spacing w:val="-8"/>
        </w:rPr>
        <w:t xml:space="preserve"> </w:t>
      </w:r>
      <w:r>
        <w:t>the</w:t>
      </w:r>
      <w:r>
        <w:rPr>
          <w:spacing w:val="-8"/>
        </w:rPr>
        <w:t xml:space="preserve"> </w:t>
      </w:r>
      <w:r>
        <w:t>juveni</w:t>
      </w:r>
      <w:r>
        <w:t>le</w:t>
      </w:r>
      <w:r>
        <w:rPr>
          <w:spacing w:val="-9"/>
        </w:rPr>
        <w:t xml:space="preserve"> </w:t>
      </w:r>
      <w:r>
        <w:t>and</w:t>
      </w:r>
      <w:r>
        <w:rPr>
          <w:spacing w:val="-7"/>
        </w:rPr>
        <w:t xml:space="preserve"> </w:t>
      </w:r>
      <w:r>
        <w:t>criminal</w:t>
      </w:r>
      <w:r>
        <w:rPr>
          <w:spacing w:val="-9"/>
        </w:rPr>
        <w:t xml:space="preserve"> </w:t>
      </w:r>
      <w:r>
        <w:t>justice</w:t>
      </w:r>
      <w:r>
        <w:rPr>
          <w:spacing w:val="-8"/>
        </w:rPr>
        <w:t xml:space="preserve"> </w:t>
      </w:r>
      <w:r>
        <w:t>systems.</w:t>
      </w:r>
      <w:r>
        <w:rPr>
          <w:spacing w:val="-9"/>
        </w:rPr>
        <w:t xml:space="preserve"> </w:t>
      </w:r>
      <w:r>
        <w:t>According</w:t>
      </w:r>
      <w:r>
        <w:rPr>
          <w:spacing w:val="-9"/>
        </w:rPr>
        <w:t xml:space="preserve"> </w:t>
      </w:r>
      <w:r>
        <w:t>to</w:t>
      </w:r>
      <w:r>
        <w:rPr>
          <w:spacing w:val="-6"/>
        </w:rPr>
        <w:t xml:space="preserve"> </w:t>
      </w:r>
      <w:r>
        <w:t>the</w:t>
      </w:r>
      <w:r>
        <w:rPr>
          <w:spacing w:val="-8"/>
        </w:rPr>
        <w:t xml:space="preserve"> </w:t>
      </w:r>
      <w:r>
        <w:t>Williams</w:t>
      </w:r>
      <w:r>
        <w:rPr>
          <w:spacing w:val="-8"/>
        </w:rPr>
        <w:t xml:space="preserve"> </w:t>
      </w:r>
      <w:r>
        <w:t>Institute,</w:t>
      </w:r>
      <w:r>
        <w:rPr>
          <w:spacing w:val="-6"/>
        </w:rPr>
        <w:t xml:space="preserve"> </w:t>
      </w:r>
      <w:r>
        <w:t>LGBTQ</w:t>
      </w:r>
      <w:r>
        <w:rPr>
          <w:spacing w:val="-8"/>
        </w:rPr>
        <w:t xml:space="preserve"> </w:t>
      </w:r>
      <w:r>
        <w:t>youth</w:t>
      </w:r>
      <w:r>
        <w:rPr>
          <w:spacing w:val="-7"/>
        </w:rPr>
        <w:t xml:space="preserve"> </w:t>
      </w:r>
      <w:r>
        <w:t>of</w:t>
      </w:r>
      <w:r>
        <w:rPr>
          <w:spacing w:val="-9"/>
        </w:rPr>
        <w:t xml:space="preserve"> </w:t>
      </w:r>
      <w:r>
        <w:t>color</w:t>
      </w:r>
      <w:r>
        <w:rPr>
          <w:spacing w:val="-9"/>
        </w:rPr>
        <w:t xml:space="preserve"> </w:t>
      </w:r>
      <w:r>
        <w:t>stay longer</w:t>
      </w:r>
      <w:r>
        <w:rPr>
          <w:spacing w:val="-11"/>
        </w:rPr>
        <w:t xml:space="preserve"> </w:t>
      </w:r>
      <w:r>
        <w:t>in</w:t>
      </w:r>
      <w:r>
        <w:rPr>
          <w:spacing w:val="-9"/>
        </w:rPr>
        <w:t xml:space="preserve"> </w:t>
      </w:r>
      <w:r>
        <w:t>the</w:t>
      </w:r>
      <w:r>
        <w:rPr>
          <w:spacing w:val="-10"/>
        </w:rPr>
        <w:t xml:space="preserve"> </w:t>
      </w:r>
      <w:r>
        <w:t>juvenile</w:t>
      </w:r>
      <w:r>
        <w:rPr>
          <w:spacing w:val="-11"/>
        </w:rPr>
        <w:t xml:space="preserve"> </w:t>
      </w:r>
      <w:r>
        <w:t>justice</w:t>
      </w:r>
      <w:r>
        <w:rPr>
          <w:spacing w:val="-12"/>
        </w:rPr>
        <w:t xml:space="preserve"> </w:t>
      </w:r>
      <w:r>
        <w:t>system</w:t>
      </w:r>
      <w:r>
        <w:rPr>
          <w:spacing w:val="-11"/>
        </w:rPr>
        <w:t xml:space="preserve"> </w:t>
      </w:r>
      <w:r>
        <w:t>and</w:t>
      </w:r>
      <w:r>
        <w:rPr>
          <w:spacing w:val="-10"/>
        </w:rPr>
        <w:t xml:space="preserve"> </w:t>
      </w:r>
      <w:r>
        <w:t>appear</w:t>
      </w:r>
      <w:r>
        <w:rPr>
          <w:spacing w:val="-11"/>
        </w:rPr>
        <w:t xml:space="preserve"> </w:t>
      </w:r>
      <w:r>
        <w:t>“to</w:t>
      </w:r>
      <w:r>
        <w:rPr>
          <w:spacing w:val="-11"/>
        </w:rPr>
        <w:t xml:space="preserve"> </w:t>
      </w:r>
      <w:r>
        <w:t>be</w:t>
      </w:r>
      <w:r>
        <w:rPr>
          <w:spacing w:val="-9"/>
        </w:rPr>
        <w:t xml:space="preserve"> </w:t>
      </w:r>
      <w:r>
        <w:t>at</w:t>
      </w:r>
      <w:r>
        <w:rPr>
          <w:spacing w:val="-12"/>
        </w:rPr>
        <w:t xml:space="preserve"> </w:t>
      </w:r>
      <w:r>
        <w:t>elevated</w:t>
      </w:r>
      <w:r>
        <w:rPr>
          <w:spacing w:val="-11"/>
        </w:rPr>
        <w:t xml:space="preserve"> </w:t>
      </w:r>
      <w:r>
        <w:t>risk</w:t>
      </w:r>
      <w:r>
        <w:rPr>
          <w:spacing w:val="-12"/>
        </w:rPr>
        <w:t xml:space="preserve"> </w:t>
      </w:r>
      <w:r>
        <w:t>of</w:t>
      </w:r>
      <w:r>
        <w:rPr>
          <w:spacing w:val="-11"/>
        </w:rPr>
        <w:t xml:space="preserve"> </w:t>
      </w:r>
      <w:r>
        <w:t>discrimination</w:t>
      </w:r>
      <w:r>
        <w:rPr>
          <w:spacing w:val="-12"/>
        </w:rPr>
        <w:t xml:space="preserve"> </w:t>
      </w:r>
      <w:r>
        <w:t>and</w:t>
      </w:r>
      <w:r>
        <w:rPr>
          <w:spacing w:val="-10"/>
        </w:rPr>
        <w:t xml:space="preserve"> </w:t>
      </w:r>
      <w:r>
        <w:t>violence</w:t>
      </w:r>
      <w:r>
        <w:rPr>
          <w:spacing w:val="-11"/>
        </w:rPr>
        <w:t xml:space="preserve"> </w:t>
      </w:r>
      <w:r>
        <w:t>once system-involved compared to other groups of youth.”</w:t>
      </w:r>
      <w:hyperlink w:anchor="_bookmark402" w:history="1">
        <w:r>
          <w:rPr>
            <w:vertAlign w:val="superscript"/>
          </w:rPr>
          <w:t>53</w:t>
        </w:r>
      </w:hyperlink>
    </w:p>
    <w:p w:rsidR="00C76E6D" w:rsidRDefault="00C76E6D">
      <w:pPr>
        <w:pStyle w:val="BodyText"/>
        <w:spacing w:before="4"/>
        <w:rPr>
          <w:sz w:val="25"/>
        </w:rPr>
      </w:pPr>
    </w:p>
    <w:p w:rsidR="00C76E6D" w:rsidRDefault="00913831">
      <w:pPr>
        <w:pStyle w:val="BodyText"/>
        <w:spacing w:line="276" w:lineRule="auto"/>
        <w:ind w:left="478" w:right="472"/>
        <w:jc w:val="both"/>
      </w:pPr>
      <w:r>
        <w:t>While incarcerated, LGBTQ youth experience higher rates of abuse and harassment. Although the Prison Rape Elimination Act (PREA) of 2003 and the federal Juvenile Justice and Delinquency Prevention Act established</w:t>
      </w:r>
      <w:r>
        <w:rPr>
          <w:spacing w:val="-10"/>
        </w:rPr>
        <w:t xml:space="preserve"> </w:t>
      </w:r>
      <w:r>
        <w:t>basic</w:t>
      </w:r>
      <w:r>
        <w:rPr>
          <w:spacing w:val="-13"/>
        </w:rPr>
        <w:t xml:space="preserve"> </w:t>
      </w:r>
      <w:r>
        <w:t>s</w:t>
      </w:r>
      <w:r>
        <w:t>tandards</w:t>
      </w:r>
      <w:r>
        <w:rPr>
          <w:spacing w:val="-11"/>
        </w:rPr>
        <w:t xml:space="preserve"> </w:t>
      </w:r>
      <w:r>
        <w:t>on</w:t>
      </w:r>
      <w:r>
        <w:rPr>
          <w:spacing w:val="-12"/>
        </w:rPr>
        <w:t xml:space="preserve"> </w:t>
      </w:r>
      <w:r>
        <w:t>how</w:t>
      </w:r>
      <w:r>
        <w:rPr>
          <w:spacing w:val="-11"/>
        </w:rPr>
        <w:t xml:space="preserve"> </w:t>
      </w:r>
      <w:r>
        <w:t>to</w:t>
      </w:r>
      <w:r>
        <w:rPr>
          <w:spacing w:val="-12"/>
        </w:rPr>
        <w:t xml:space="preserve"> </w:t>
      </w:r>
      <w:r>
        <w:t>treat</w:t>
      </w:r>
      <w:r>
        <w:rPr>
          <w:spacing w:val="-13"/>
        </w:rPr>
        <w:t xml:space="preserve"> </w:t>
      </w:r>
      <w:r>
        <w:t>LGBTQ</w:t>
      </w:r>
      <w:r>
        <w:rPr>
          <w:spacing w:val="-11"/>
        </w:rPr>
        <w:t xml:space="preserve"> </w:t>
      </w:r>
      <w:r>
        <w:t>youth</w:t>
      </w:r>
      <w:r>
        <w:rPr>
          <w:spacing w:val="-12"/>
        </w:rPr>
        <w:t xml:space="preserve"> </w:t>
      </w:r>
      <w:r>
        <w:t>in</w:t>
      </w:r>
      <w:r>
        <w:rPr>
          <w:spacing w:val="-12"/>
        </w:rPr>
        <w:t xml:space="preserve"> </w:t>
      </w:r>
      <w:r>
        <w:t>prison,</w:t>
      </w:r>
      <w:r>
        <w:rPr>
          <w:spacing w:val="-10"/>
        </w:rPr>
        <w:t xml:space="preserve"> </w:t>
      </w:r>
      <w:r>
        <w:t>implementation</w:t>
      </w:r>
      <w:r>
        <w:rPr>
          <w:spacing w:val="-13"/>
        </w:rPr>
        <w:t xml:space="preserve"> </w:t>
      </w:r>
      <w:r>
        <w:t>has</w:t>
      </w:r>
      <w:r>
        <w:rPr>
          <w:spacing w:val="-11"/>
        </w:rPr>
        <w:t xml:space="preserve"> </w:t>
      </w:r>
      <w:r>
        <w:t>been</w:t>
      </w:r>
      <w:r>
        <w:rPr>
          <w:spacing w:val="-11"/>
        </w:rPr>
        <w:t xml:space="preserve"> </w:t>
      </w:r>
      <w:r>
        <w:t>inconsistent and sometimes backfires to adversely affect LGBTQ youth.</w:t>
      </w:r>
      <w:hyperlink w:anchor="_bookmark403" w:history="1">
        <w:r>
          <w:rPr>
            <w:vertAlign w:val="superscript"/>
          </w:rPr>
          <w:t>54</w:t>
        </w:r>
        <w:r>
          <w:rPr>
            <w:spacing w:val="-1"/>
          </w:rPr>
          <w:t xml:space="preserve"> </w:t>
        </w:r>
        <w:r>
          <w:t>I</w:t>
        </w:r>
      </w:hyperlink>
      <w:r>
        <w:t>n light of this, the Commission has worked with</w:t>
      </w:r>
      <w:r>
        <w:rPr>
          <w:spacing w:val="-4"/>
        </w:rPr>
        <w:t xml:space="preserve"> </w:t>
      </w:r>
      <w:r>
        <w:t>the</w:t>
      </w:r>
      <w:r>
        <w:rPr>
          <w:spacing w:val="-4"/>
        </w:rPr>
        <w:t xml:space="preserve"> </w:t>
      </w:r>
      <w:r>
        <w:t>Department</w:t>
      </w:r>
      <w:r>
        <w:rPr>
          <w:spacing w:val="-6"/>
        </w:rPr>
        <w:t xml:space="preserve"> </w:t>
      </w:r>
      <w:r>
        <w:t>of</w:t>
      </w:r>
      <w:r>
        <w:rPr>
          <w:spacing w:val="-5"/>
        </w:rPr>
        <w:t xml:space="preserve"> </w:t>
      </w:r>
      <w:r>
        <w:t>Youth</w:t>
      </w:r>
      <w:r>
        <w:rPr>
          <w:spacing w:val="-6"/>
        </w:rPr>
        <w:t xml:space="preserve"> </w:t>
      </w:r>
      <w:r>
        <w:t>Service</w:t>
      </w:r>
      <w:r>
        <w:t>s</w:t>
      </w:r>
      <w:r>
        <w:rPr>
          <w:spacing w:val="-2"/>
        </w:rPr>
        <w:t xml:space="preserve"> </w:t>
      </w:r>
      <w:r>
        <w:t>(DYS)</w:t>
      </w:r>
      <w:r>
        <w:rPr>
          <w:spacing w:val="-5"/>
        </w:rPr>
        <w:t xml:space="preserve"> </w:t>
      </w:r>
      <w:r>
        <w:t>to</w:t>
      </w:r>
      <w:r>
        <w:rPr>
          <w:spacing w:val="-5"/>
        </w:rPr>
        <w:t xml:space="preserve"> </w:t>
      </w:r>
      <w:r>
        <w:t>improve</w:t>
      </w:r>
      <w:r>
        <w:rPr>
          <w:spacing w:val="-6"/>
        </w:rPr>
        <w:t xml:space="preserve"> </w:t>
      </w:r>
      <w:r>
        <w:t>the</w:t>
      </w:r>
      <w:r>
        <w:rPr>
          <w:spacing w:val="-4"/>
        </w:rPr>
        <w:t xml:space="preserve"> </w:t>
      </w:r>
      <w:r>
        <w:t>treatment</w:t>
      </w:r>
      <w:r>
        <w:rPr>
          <w:spacing w:val="-5"/>
        </w:rPr>
        <w:t xml:space="preserve"> </w:t>
      </w:r>
      <w:r>
        <w:t>of</w:t>
      </w:r>
      <w:r>
        <w:rPr>
          <w:spacing w:val="-4"/>
        </w:rPr>
        <w:t xml:space="preserve"> </w:t>
      </w:r>
      <w:r>
        <w:t>LGBTQ</w:t>
      </w:r>
      <w:r>
        <w:rPr>
          <w:spacing w:val="-6"/>
        </w:rPr>
        <w:t xml:space="preserve"> </w:t>
      </w:r>
      <w:r>
        <w:t>youth</w:t>
      </w:r>
      <w:r>
        <w:rPr>
          <w:spacing w:val="-4"/>
        </w:rPr>
        <w:t xml:space="preserve"> </w:t>
      </w:r>
      <w:r>
        <w:t>in</w:t>
      </w:r>
      <w:r>
        <w:rPr>
          <w:spacing w:val="-6"/>
        </w:rPr>
        <w:t xml:space="preserve"> </w:t>
      </w:r>
      <w:r>
        <w:t>juvenile</w:t>
      </w:r>
      <w:r>
        <w:rPr>
          <w:spacing w:val="-5"/>
        </w:rPr>
        <w:t xml:space="preserve"> </w:t>
      </w:r>
      <w:r>
        <w:t>justice facilities across the Commonwealth. The Commission has recommended DYS for its prioritization of improved training, data collection, and inclusive policies to ensure the safety of LGBTQ youth. Massachusetts also protects youth from being confined i</w:t>
      </w:r>
      <w:r>
        <w:t>n adult facilities</w:t>
      </w:r>
      <w:hyperlink w:anchor="_bookmark404" w:history="1">
        <w:r>
          <w:rPr>
            <w:vertAlign w:val="superscript"/>
          </w:rPr>
          <w:t>55</w:t>
        </w:r>
      </w:hyperlink>
      <w:r>
        <w:t xml:space="preserve"> and requires that youth younger</w:t>
      </w:r>
      <w:r>
        <w:rPr>
          <w:spacing w:val="-10"/>
        </w:rPr>
        <w:t xml:space="preserve"> </w:t>
      </w:r>
      <w:r>
        <w:t>than</w:t>
      </w:r>
      <w:r>
        <w:rPr>
          <w:spacing w:val="-8"/>
        </w:rPr>
        <w:t xml:space="preserve"> </w:t>
      </w:r>
      <w:r>
        <w:t>18</w:t>
      </w:r>
      <w:r>
        <w:rPr>
          <w:spacing w:val="-6"/>
        </w:rPr>
        <w:t xml:space="preserve"> </w:t>
      </w:r>
      <w:r>
        <w:t>years</w:t>
      </w:r>
      <w:r>
        <w:rPr>
          <w:spacing w:val="-6"/>
        </w:rPr>
        <w:t xml:space="preserve"> </w:t>
      </w:r>
      <w:r>
        <w:t>of</w:t>
      </w:r>
      <w:r>
        <w:rPr>
          <w:spacing w:val="-8"/>
        </w:rPr>
        <w:t xml:space="preserve"> </w:t>
      </w:r>
      <w:r>
        <w:t>age</w:t>
      </w:r>
      <w:r>
        <w:rPr>
          <w:spacing w:val="-7"/>
        </w:rPr>
        <w:t xml:space="preserve"> </w:t>
      </w:r>
      <w:r>
        <w:t>be</w:t>
      </w:r>
      <w:r>
        <w:rPr>
          <w:spacing w:val="-7"/>
        </w:rPr>
        <w:t xml:space="preserve"> </w:t>
      </w:r>
      <w:r>
        <w:t>treated</w:t>
      </w:r>
      <w:r>
        <w:rPr>
          <w:spacing w:val="-5"/>
        </w:rPr>
        <w:t xml:space="preserve"> </w:t>
      </w:r>
      <w:r>
        <w:t>as</w:t>
      </w:r>
      <w:r>
        <w:rPr>
          <w:spacing w:val="-6"/>
        </w:rPr>
        <w:t xml:space="preserve"> </w:t>
      </w:r>
      <w:r>
        <w:t>children</w:t>
      </w:r>
      <w:r>
        <w:rPr>
          <w:spacing w:val="-5"/>
        </w:rPr>
        <w:t xml:space="preserve"> </w:t>
      </w:r>
      <w:r>
        <w:t>and</w:t>
      </w:r>
      <w:r>
        <w:rPr>
          <w:spacing w:val="-7"/>
        </w:rPr>
        <w:t xml:space="preserve"> </w:t>
      </w:r>
      <w:r>
        <w:t>not</w:t>
      </w:r>
      <w:r>
        <w:rPr>
          <w:spacing w:val="-7"/>
        </w:rPr>
        <w:t xml:space="preserve"> </w:t>
      </w:r>
      <w:r>
        <w:t>adults</w:t>
      </w:r>
      <w:hyperlink w:anchor="_bookmark405" w:history="1">
        <w:r>
          <w:t>.</w:t>
        </w:r>
        <w:r>
          <w:rPr>
            <w:vertAlign w:val="superscript"/>
          </w:rPr>
          <w:t>56</w:t>
        </w:r>
        <w:r>
          <w:rPr>
            <w:spacing w:val="-11"/>
          </w:rPr>
          <w:t xml:space="preserve"> </w:t>
        </w:r>
      </w:hyperlink>
      <w:r>
        <w:t>However,</w:t>
      </w:r>
      <w:r>
        <w:rPr>
          <w:spacing w:val="-5"/>
        </w:rPr>
        <w:t xml:space="preserve"> </w:t>
      </w:r>
      <w:r>
        <w:t>data</w:t>
      </w:r>
      <w:r>
        <w:rPr>
          <w:spacing w:val="-6"/>
        </w:rPr>
        <w:t xml:space="preserve"> </w:t>
      </w:r>
      <w:r>
        <w:t>exploring</w:t>
      </w:r>
      <w:r>
        <w:rPr>
          <w:spacing w:val="-7"/>
        </w:rPr>
        <w:t xml:space="preserve"> </w:t>
      </w:r>
      <w:r>
        <w:t>the</w:t>
      </w:r>
      <w:r>
        <w:rPr>
          <w:spacing w:val="-7"/>
        </w:rPr>
        <w:t xml:space="preserve"> </w:t>
      </w:r>
      <w:r>
        <w:t>specific experiences of LGBTQ youth in juvenile f</w:t>
      </w:r>
      <w:r>
        <w:t>acilities since the implementation of these reforms is limited.</w:t>
      </w:r>
    </w:p>
    <w:p w:rsidR="00C76E6D" w:rsidRDefault="00C76E6D">
      <w:pPr>
        <w:spacing w:line="276" w:lineRule="auto"/>
        <w:jc w:val="both"/>
        <w:sectPr w:rsidR="00C76E6D">
          <w:pgSz w:w="12240" w:h="15840"/>
          <w:pgMar w:top="960" w:right="960" w:bottom="920" w:left="960" w:header="769" w:footer="720"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478" w:right="473"/>
        <w:jc w:val="both"/>
      </w:pPr>
      <w:r>
        <w:t>Although PREA standards limit the use of “protective isolation” for LGBTQ and intersex youth and the Criminal Justice Reform Act of 2018 places restrictions on the use of segregation within the Commonwealth, isolation has historically been a serious proble</w:t>
      </w:r>
      <w:r>
        <w:t>m for LGBTQ youth. In general, LGBTQ youth</w:t>
      </w:r>
      <w:r>
        <w:rPr>
          <w:spacing w:val="-3"/>
        </w:rPr>
        <w:t xml:space="preserve"> </w:t>
      </w:r>
      <w:r>
        <w:t>and youth of color are</w:t>
      </w:r>
      <w:r>
        <w:rPr>
          <w:spacing w:val="-1"/>
        </w:rPr>
        <w:t xml:space="preserve"> </w:t>
      </w:r>
      <w:r>
        <w:t>at a heightened risk of being placed in</w:t>
      </w:r>
      <w:r>
        <w:rPr>
          <w:spacing w:val="-1"/>
        </w:rPr>
        <w:t xml:space="preserve"> </w:t>
      </w:r>
      <w:r>
        <w:t>solitary confinement</w:t>
      </w:r>
      <w:hyperlink w:anchor="_bookmark406" w:history="1">
        <w:r>
          <w:t>.</w:t>
        </w:r>
        <w:r>
          <w:rPr>
            <w:vertAlign w:val="superscript"/>
          </w:rPr>
          <w:t>57</w:t>
        </w:r>
        <w:r>
          <w:rPr>
            <w:spacing w:val="-6"/>
          </w:rPr>
          <w:t xml:space="preserve"> </w:t>
        </w:r>
      </w:hyperlink>
      <w:r>
        <w:t>LGBTQ youth are even sometimes placed in solitary confinement allegedly for their own protecti</w:t>
      </w:r>
      <w:r>
        <w:t>on against sexual violence and other forms of abuse.</w:t>
      </w:r>
      <w:hyperlink w:anchor="_bookmark407" w:history="1">
        <w:r>
          <w:rPr>
            <w:vertAlign w:val="superscript"/>
          </w:rPr>
          <w:t>58</w:t>
        </w:r>
      </w:hyperlink>
      <w:r>
        <w:t xml:space="preserve"> However, according to the Children’s Defense Fund, solitary confinement deprives youth of social interaction, mental stimulation, and key services during a critical time</w:t>
      </w:r>
      <w:r>
        <w:rPr>
          <w:spacing w:val="-2"/>
        </w:rPr>
        <w:t xml:space="preserve"> </w:t>
      </w:r>
      <w:r>
        <w:t>of</w:t>
      </w:r>
      <w:r>
        <w:rPr>
          <w:spacing w:val="-1"/>
        </w:rPr>
        <w:t xml:space="preserve"> </w:t>
      </w:r>
      <w:r>
        <w:t>adolescent</w:t>
      </w:r>
      <w:r>
        <w:rPr>
          <w:spacing w:val="-1"/>
        </w:rPr>
        <w:t xml:space="preserve"> </w:t>
      </w:r>
      <w:r>
        <w:t>brain</w:t>
      </w:r>
      <w:r>
        <w:rPr>
          <w:spacing w:val="-1"/>
        </w:rPr>
        <w:t xml:space="preserve"> </w:t>
      </w:r>
      <w:r>
        <w:t>development</w:t>
      </w:r>
      <w:hyperlink w:anchor="_bookmark408" w:history="1">
        <w:r>
          <w:t>.</w:t>
        </w:r>
        <w:r>
          <w:rPr>
            <w:vertAlign w:val="superscript"/>
          </w:rPr>
          <w:t>59</w:t>
        </w:r>
      </w:hyperlink>
      <w:r>
        <w:rPr>
          <w:spacing w:val="24"/>
        </w:rPr>
        <w:t xml:space="preserve"> </w:t>
      </w:r>
      <w:r>
        <w:t>When</w:t>
      </w:r>
      <w:r>
        <w:rPr>
          <w:spacing w:val="-2"/>
        </w:rPr>
        <w:t xml:space="preserve"> </w:t>
      </w:r>
      <w:r>
        <w:t>isolation</w:t>
      </w:r>
      <w:r>
        <w:rPr>
          <w:spacing w:val="-2"/>
        </w:rPr>
        <w:t xml:space="preserve"> </w:t>
      </w:r>
      <w:r>
        <w:t>is used, there</w:t>
      </w:r>
      <w:r>
        <w:rPr>
          <w:spacing w:val="-2"/>
        </w:rPr>
        <w:t xml:space="preserve"> </w:t>
      </w:r>
      <w:r>
        <w:t>is</w:t>
      </w:r>
      <w:r>
        <w:rPr>
          <w:spacing w:val="-1"/>
        </w:rPr>
        <w:t xml:space="preserve"> </w:t>
      </w:r>
      <w:r>
        <w:t>a correlated</w:t>
      </w:r>
      <w:r>
        <w:rPr>
          <w:spacing w:val="-1"/>
        </w:rPr>
        <w:t xml:space="preserve"> </w:t>
      </w:r>
      <w:r>
        <w:t>increase</w:t>
      </w:r>
      <w:r>
        <w:rPr>
          <w:spacing w:val="-3"/>
        </w:rPr>
        <w:t xml:space="preserve"> </w:t>
      </w:r>
      <w:r>
        <w:t>in</w:t>
      </w:r>
      <w:r>
        <w:rPr>
          <w:spacing w:val="-1"/>
        </w:rPr>
        <w:t xml:space="preserve"> </w:t>
      </w:r>
      <w:r>
        <w:t>the</w:t>
      </w:r>
      <w:r>
        <w:rPr>
          <w:spacing w:val="-3"/>
        </w:rPr>
        <w:t xml:space="preserve"> </w:t>
      </w:r>
      <w:r>
        <w:t>risk of</w:t>
      </w:r>
      <w:r>
        <w:rPr>
          <w:spacing w:val="-4"/>
        </w:rPr>
        <w:t xml:space="preserve"> </w:t>
      </w:r>
      <w:r>
        <w:t>suicide</w:t>
      </w:r>
      <w:r>
        <w:rPr>
          <w:spacing w:val="-5"/>
        </w:rPr>
        <w:t xml:space="preserve"> </w:t>
      </w:r>
      <w:r>
        <w:t>and</w:t>
      </w:r>
      <w:r>
        <w:rPr>
          <w:spacing w:val="-5"/>
        </w:rPr>
        <w:t xml:space="preserve"> </w:t>
      </w:r>
      <w:r>
        <w:t>abuse</w:t>
      </w:r>
      <w:r>
        <w:rPr>
          <w:spacing w:val="-3"/>
        </w:rPr>
        <w:t xml:space="preserve"> </w:t>
      </w:r>
      <w:r>
        <w:t>by</w:t>
      </w:r>
      <w:r>
        <w:rPr>
          <w:spacing w:val="-4"/>
        </w:rPr>
        <w:t xml:space="preserve"> </w:t>
      </w:r>
      <w:r>
        <w:t>staff.</w:t>
      </w:r>
      <w:hyperlink w:anchor="_bookmark409" w:history="1">
        <w:r>
          <w:rPr>
            <w:vertAlign w:val="superscript"/>
          </w:rPr>
          <w:t>60</w:t>
        </w:r>
        <w:r>
          <w:rPr>
            <w:spacing w:val="19"/>
          </w:rPr>
          <w:t xml:space="preserve"> </w:t>
        </w:r>
      </w:hyperlink>
      <w:r>
        <w:t>Solitary</w:t>
      </w:r>
      <w:r>
        <w:rPr>
          <w:spacing w:val="-2"/>
        </w:rPr>
        <w:t xml:space="preserve"> </w:t>
      </w:r>
      <w:r>
        <w:t>confinement</w:t>
      </w:r>
      <w:r>
        <w:rPr>
          <w:spacing w:val="-3"/>
        </w:rPr>
        <w:t xml:space="preserve"> </w:t>
      </w:r>
      <w:r>
        <w:t>is</w:t>
      </w:r>
      <w:r>
        <w:rPr>
          <w:spacing w:val="-3"/>
        </w:rPr>
        <w:t xml:space="preserve"> </w:t>
      </w:r>
      <w:r>
        <w:t>inhumane</w:t>
      </w:r>
      <w:r>
        <w:rPr>
          <w:spacing w:val="-3"/>
        </w:rPr>
        <w:t xml:space="preserve"> </w:t>
      </w:r>
      <w:r>
        <w:t>and</w:t>
      </w:r>
      <w:r>
        <w:rPr>
          <w:spacing w:val="-5"/>
        </w:rPr>
        <w:t xml:space="preserve"> </w:t>
      </w:r>
      <w:r>
        <w:t>should</w:t>
      </w:r>
      <w:r>
        <w:rPr>
          <w:spacing w:val="-3"/>
        </w:rPr>
        <w:t xml:space="preserve"> </w:t>
      </w:r>
      <w:r>
        <w:t>never</w:t>
      </w:r>
      <w:r>
        <w:rPr>
          <w:spacing w:val="-4"/>
        </w:rPr>
        <w:t xml:space="preserve"> </w:t>
      </w:r>
      <w:r>
        <w:t>be</w:t>
      </w:r>
      <w:r>
        <w:rPr>
          <w:spacing w:val="-4"/>
        </w:rPr>
        <w:t xml:space="preserve"> </w:t>
      </w:r>
      <w:r>
        <w:t>use</w:t>
      </w:r>
      <w:r>
        <w:t>d</w:t>
      </w:r>
      <w:r>
        <w:rPr>
          <w:spacing w:val="-3"/>
        </w:rPr>
        <w:t xml:space="preserve"> </w:t>
      </w:r>
      <w:r>
        <w:t>on</w:t>
      </w:r>
      <w:r>
        <w:rPr>
          <w:spacing w:val="-5"/>
        </w:rPr>
        <w:t xml:space="preserve"> </w:t>
      </w:r>
      <w:r>
        <w:t>any</w:t>
      </w:r>
      <w:r>
        <w:rPr>
          <w:spacing w:val="-5"/>
        </w:rPr>
        <w:t xml:space="preserve"> </w:t>
      </w:r>
      <w:r>
        <w:t>youth due to its deleterious effects on mental health, welfare, and development.</w:t>
      </w:r>
    </w:p>
    <w:p w:rsidR="00C76E6D" w:rsidRDefault="00C76E6D">
      <w:pPr>
        <w:pStyle w:val="BodyText"/>
        <w:spacing w:before="4"/>
        <w:rPr>
          <w:sz w:val="25"/>
        </w:rPr>
      </w:pPr>
    </w:p>
    <w:p w:rsidR="00C76E6D" w:rsidRDefault="00913831">
      <w:pPr>
        <w:pStyle w:val="BodyText"/>
        <w:spacing w:line="276" w:lineRule="auto"/>
        <w:ind w:left="480" w:right="477"/>
        <w:jc w:val="both"/>
      </w:pPr>
      <w:r>
        <w:t>In addition to the inhumane use of solitary confinement, many LGBTQ youth who are incarcerated face abuse and mistreatment by staff and other inmates. They experienc</w:t>
      </w:r>
      <w:r>
        <w:t>e prejudice regularly due to their sexual</w:t>
      </w:r>
      <w:r>
        <w:rPr>
          <w:spacing w:val="-7"/>
        </w:rPr>
        <w:t xml:space="preserve"> </w:t>
      </w:r>
      <w:r>
        <w:t>orientation</w:t>
      </w:r>
      <w:r>
        <w:rPr>
          <w:spacing w:val="-7"/>
        </w:rPr>
        <w:t xml:space="preserve"> </w:t>
      </w:r>
      <w:r>
        <w:t>and</w:t>
      </w:r>
      <w:r>
        <w:rPr>
          <w:spacing w:val="-6"/>
        </w:rPr>
        <w:t xml:space="preserve"> </w:t>
      </w:r>
      <w:r>
        <w:t>gender</w:t>
      </w:r>
      <w:r>
        <w:rPr>
          <w:spacing w:val="-7"/>
        </w:rPr>
        <w:t xml:space="preserve"> </w:t>
      </w:r>
      <w:r>
        <w:t>identity.</w:t>
      </w:r>
      <w:r>
        <w:rPr>
          <w:spacing w:val="-7"/>
        </w:rPr>
        <w:t xml:space="preserve"> </w:t>
      </w:r>
      <w:r>
        <w:t>The</w:t>
      </w:r>
      <w:r>
        <w:rPr>
          <w:spacing w:val="-7"/>
        </w:rPr>
        <w:t xml:space="preserve"> </w:t>
      </w:r>
      <w:r>
        <w:t>Bureau</w:t>
      </w:r>
      <w:r>
        <w:rPr>
          <w:spacing w:val="-7"/>
        </w:rPr>
        <w:t xml:space="preserve"> </w:t>
      </w:r>
      <w:r>
        <w:t>of</w:t>
      </w:r>
      <w:r>
        <w:rPr>
          <w:spacing w:val="-7"/>
        </w:rPr>
        <w:t xml:space="preserve"> </w:t>
      </w:r>
      <w:r>
        <w:t>Justice</w:t>
      </w:r>
      <w:r>
        <w:rPr>
          <w:spacing w:val="-7"/>
        </w:rPr>
        <w:t xml:space="preserve"> </w:t>
      </w:r>
      <w:r>
        <w:t>Statistics</w:t>
      </w:r>
      <w:r>
        <w:rPr>
          <w:spacing w:val="-7"/>
        </w:rPr>
        <w:t xml:space="preserve"> </w:t>
      </w:r>
      <w:r>
        <w:t>has</w:t>
      </w:r>
      <w:r>
        <w:rPr>
          <w:spacing w:val="-7"/>
        </w:rPr>
        <w:t xml:space="preserve"> </w:t>
      </w:r>
      <w:r>
        <w:t>reported</w:t>
      </w:r>
      <w:r>
        <w:rPr>
          <w:spacing w:val="-7"/>
        </w:rPr>
        <w:t xml:space="preserve"> </w:t>
      </w:r>
      <w:r>
        <w:t>that</w:t>
      </w:r>
      <w:r>
        <w:rPr>
          <w:spacing w:val="-7"/>
        </w:rPr>
        <w:t xml:space="preserve"> </w:t>
      </w:r>
      <w:r>
        <w:t>gay</w:t>
      </w:r>
      <w:r>
        <w:rPr>
          <w:spacing w:val="-5"/>
        </w:rPr>
        <w:t xml:space="preserve"> </w:t>
      </w:r>
      <w:r>
        <w:t>and</w:t>
      </w:r>
      <w:r>
        <w:rPr>
          <w:spacing w:val="-7"/>
        </w:rPr>
        <w:t xml:space="preserve"> </w:t>
      </w:r>
      <w:r>
        <w:t>bisexual men and transgender women are approximately ten times more likely to be sexually victimized than heterosexual persons who are incarcerated</w:t>
      </w:r>
      <w:hyperlink w:anchor="_bookmark410" w:history="1">
        <w:r>
          <w:t>.</w:t>
        </w:r>
        <w:r>
          <w:rPr>
            <w:vertAlign w:val="superscript"/>
          </w:rPr>
          <w:t>61</w:t>
        </w:r>
      </w:hyperlink>
    </w:p>
    <w:p w:rsidR="00C76E6D" w:rsidRDefault="00C76E6D">
      <w:pPr>
        <w:pStyle w:val="BodyText"/>
        <w:spacing w:before="3"/>
        <w:rPr>
          <w:sz w:val="25"/>
        </w:rPr>
      </w:pPr>
    </w:p>
    <w:p w:rsidR="00C76E6D" w:rsidRDefault="00913831">
      <w:pPr>
        <w:pStyle w:val="BodyText"/>
        <w:spacing w:line="276" w:lineRule="auto"/>
        <w:ind w:left="480" w:right="474"/>
        <w:jc w:val="both"/>
      </w:pPr>
      <w:r>
        <w:t>Unfortunately,</w:t>
      </w:r>
      <w:r>
        <w:rPr>
          <w:spacing w:val="-12"/>
        </w:rPr>
        <w:t xml:space="preserve"> </w:t>
      </w:r>
      <w:r>
        <w:t>the</w:t>
      </w:r>
      <w:r>
        <w:rPr>
          <w:spacing w:val="-11"/>
        </w:rPr>
        <w:t xml:space="preserve"> </w:t>
      </w:r>
      <w:r>
        <w:t>sexual</w:t>
      </w:r>
      <w:r>
        <w:rPr>
          <w:spacing w:val="-10"/>
        </w:rPr>
        <w:t xml:space="preserve"> </w:t>
      </w:r>
      <w:r>
        <w:t>and</w:t>
      </w:r>
      <w:r>
        <w:rPr>
          <w:spacing w:val="-13"/>
        </w:rPr>
        <w:t xml:space="preserve"> </w:t>
      </w:r>
      <w:r>
        <w:t>reproductive</w:t>
      </w:r>
      <w:r>
        <w:rPr>
          <w:spacing w:val="-10"/>
        </w:rPr>
        <w:t xml:space="preserve"> </w:t>
      </w:r>
      <w:r>
        <w:t>health</w:t>
      </w:r>
      <w:r>
        <w:rPr>
          <w:spacing w:val="-10"/>
        </w:rPr>
        <w:t xml:space="preserve"> </w:t>
      </w:r>
      <w:r>
        <w:t>care</w:t>
      </w:r>
      <w:r>
        <w:rPr>
          <w:spacing w:val="-12"/>
        </w:rPr>
        <w:t xml:space="preserve"> </w:t>
      </w:r>
      <w:r>
        <w:t>needs</w:t>
      </w:r>
      <w:r>
        <w:rPr>
          <w:spacing w:val="-11"/>
        </w:rPr>
        <w:t xml:space="preserve"> </w:t>
      </w:r>
      <w:r>
        <w:t>of</w:t>
      </w:r>
      <w:r>
        <w:rPr>
          <w:spacing w:val="-11"/>
        </w:rPr>
        <w:t xml:space="preserve"> </w:t>
      </w:r>
      <w:r>
        <w:t>LGBTQ</w:t>
      </w:r>
      <w:r>
        <w:rPr>
          <w:spacing w:val="-11"/>
        </w:rPr>
        <w:t xml:space="preserve"> </w:t>
      </w:r>
      <w:r>
        <w:t>yo</w:t>
      </w:r>
      <w:r>
        <w:t>uth</w:t>
      </w:r>
      <w:r>
        <w:rPr>
          <w:spacing w:val="-10"/>
        </w:rPr>
        <w:t xml:space="preserve"> </w:t>
      </w:r>
      <w:r>
        <w:t>often</w:t>
      </w:r>
      <w:r>
        <w:rPr>
          <w:spacing w:val="-11"/>
        </w:rPr>
        <w:t xml:space="preserve"> </w:t>
      </w:r>
      <w:r>
        <w:t>go</w:t>
      </w:r>
      <w:r>
        <w:rPr>
          <w:spacing w:val="-9"/>
        </w:rPr>
        <w:t xml:space="preserve"> </w:t>
      </w:r>
      <w:r>
        <w:t>unmet.</w:t>
      </w:r>
      <w:r>
        <w:rPr>
          <w:spacing w:val="-12"/>
        </w:rPr>
        <w:t xml:space="preserve"> </w:t>
      </w:r>
      <w:r>
        <w:t>As</w:t>
      </w:r>
      <w:r>
        <w:rPr>
          <w:spacing w:val="-11"/>
        </w:rPr>
        <w:t xml:space="preserve"> </w:t>
      </w:r>
      <w:r>
        <w:t>a</w:t>
      </w:r>
      <w:r>
        <w:rPr>
          <w:spacing w:val="-11"/>
        </w:rPr>
        <w:t xml:space="preserve"> </w:t>
      </w:r>
      <w:r>
        <w:t>result, the rate of sexually transmitted infections and HIV transmission is significantly higher among those who have</w:t>
      </w:r>
      <w:r>
        <w:rPr>
          <w:spacing w:val="-11"/>
        </w:rPr>
        <w:t xml:space="preserve"> </w:t>
      </w:r>
      <w:r>
        <w:t>been</w:t>
      </w:r>
      <w:r>
        <w:rPr>
          <w:spacing w:val="-9"/>
        </w:rPr>
        <w:t xml:space="preserve"> </w:t>
      </w:r>
      <w:r>
        <w:t>recently</w:t>
      </w:r>
      <w:r>
        <w:rPr>
          <w:spacing w:val="-7"/>
        </w:rPr>
        <w:t xml:space="preserve"> </w:t>
      </w:r>
      <w:r>
        <w:t>released</w:t>
      </w:r>
      <w:r>
        <w:rPr>
          <w:spacing w:val="-7"/>
        </w:rPr>
        <w:t xml:space="preserve"> </w:t>
      </w:r>
      <w:r>
        <w:t>from</w:t>
      </w:r>
      <w:r>
        <w:rPr>
          <w:spacing w:val="-8"/>
        </w:rPr>
        <w:t xml:space="preserve"> </w:t>
      </w:r>
      <w:r>
        <w:t>criminal</w:t>
      </w:r>
      <w:r>
        <w:rPr>
          <w:spacing w:val="-8"/>
        </w:rPr>
        <w:t xml:space="preserve"> </w:t>
      </w:r>
      <w:r>
        <w:t>justice</w:t>
      </w:r>
      <w:r>
        <w:rPr>
          <w:spacing w:val="-7"/>
        </w:rPr>
        <w:t xml:space="preserve"> </w:t>
      </w:r>
      <w:r>
        <w:t>facilities</w:t>
      </w:r>
      <w:r>
        <w:rPr>
          <w:spacing w:val="-5"/>
        </w:rPr>
        <w:t xml:space="preserve"> </w:t>
      </w:r>
      <w:r>
        <w:t>than</w:t>
      </w:r>
      <w:r>
        <w:rPr>
          <w:spacing w:val="-8"/>
        </w:rPr>
        <w:t xml:space="preserve"> </w:t>
      </w:r>
      <w:r>
        <w:t>in</w:t>
      </w:r>
      <w:r>
        <w:rPr>
          <w:spacing w:val="-7"/>
        </w:rPr>
        <w:t xml:space="preserve"> </w:t>
      </w:r>
      <w:r>
        <w:t>the</w:t>
      </w:r>
      <w:r>
        <w:rPr>
          <w:spacing w:val="-8"/>
        </w:rPr>
        <w:t xml:space="preserve"> </w:t>
      </w:r>
      <w:r>
        <w:t>general</w:t>
      </w:r>
      <w:r>
        <w:rPr>
          <w:spacing w:val="-6"/>
        </w:rPr>
        <w:t xml:space="preserve"> </w:t>
      </w:r>
      <w:r>
        <w:t>population</w:t>
      </w:r>
      <w:hyperlink w:anchor="_bookmark411" w:history="1">
        <w:r>
          <w:t>.</w:t>
        </w:r>
        <w:r>
          <w:rPr>
            <w:vertAlign w:val="superscript"/>
          </w:rPr>
          <w:t>62</w:t>
        </w:r>
        <w:r>
          <w:rPr>
            <w:spacing w:val="-9"/>
          </w:rPr>
          <w:t xml:space="preserve"> </w:t>
        </w:r>
      </w:hyperlink>
      <w:r>
        <w:t>Most</w:t>
      </w:r>
      <w:r>
        <w:rPr>
          <w:spacing w:val="-8"/>
        </w:rPr>
        <w:t xml:space="preserve"> </w:t>
      </w:r>
      <w:r>
        <w:t>juvenile justice facilities also are</w:t>
      </w:r>
      <w:r>
        <w:rPr>
          <w:spacing w:val="-2"/>
        </w:rPr>
        <w:t xml:space="preserve"> </w:t>
      </w:r>
      <w:r>
        <w:t>ill-equipped to meet the medical needs of transgender youth</w:t>
      </w:r>
      <w:r>
        <w:rPr>
          <w:spacing w:val="-1"/>
        </w:rPr>
        <w:t xml:space="preserve"> </w:t>
      </w:r>
      <w:r>
        <w:t>including</w:t>
      </w:r>
      <w:r>
        <w:rPr>
          <w:spacing w:val="-1"/>
        </w:rPr>
        <w:t xml:space="preserve"> </w:t>
      </w:r>
      <w:r>
        <w:t>the need for transition-related hormones or hormone blockers to delay puberty</w:t>
      </w:r>
      <w:hyperlink w:anchor="_bookmark412" w:history="1">
        <w:r>
          <w:t>.</w:t>
        </w:r>
        <w:r>
          <w:rPr>
            <w:vertAlign w:val="superscript"/>
          </w:rPr>
          <w:t>63</w:t>
        </w:r>
      </w:hyperlink>
    </w:p>
    <w:p w:rsidR="00C76E6D" w:rsidRDefault="00C76E6D">
      <w:pPr>
        <w:pStyle w:val="BodyText"/>
        <w:spacing w:before="3"/>
        <w:rPr>
          <w:sz w:val="25"/>
        </w:rPr>
      </w:pPr>
    </w:p>
    <w:p w:rsidR="00C76E6D" w:rsidRDefault="00913831">
      <w:pPr>
        <w:pStyle w:val="BodyText"/>
        <w:spacing w:before="1" w:line="276" w:lineRule="auto"/>
        <w:ind w:left="478" w:right="479"/>
        <w:jc w:val="both"/>
      </w:pPr>
      <w:r>
        <w:t>Confidentiality</w:t>
      </w:r>
      <w:r>
        <w:rPr>
          <w:spacing w:val="-6"/>
        </w:rPr>
        <w:t xml:space="preserve"> </w:t>
      </w:r>
      <w:r>
        <w:t>is</w:t>
      </w:r>
      <w:r>
        <w:rPr>
          <w:spacing w:val="-6"/>
        </w:rPr>
        <w:t xml:space="preserve"> </w:t>
      </w:r>
      <w:r>
        <w:t>another</w:t>
      </w:r>
      <w:r>
        <w:rPr>
          <w:spacing w:val="-5"/>
        </w:rPr>
        <w:t xml:space="preserve"> </w:t>
      </w:r>
      <w:r>
        <w:t>concern</w:t>
      </w:r>
      <w:r>
        <w:rPr>
          <w:spacing w:val="-7"/>
        </w:rPr>
        <w:t xml:space="preserve"> </w:t>
      </w:r>
      <w:r>
        <w:t>for</w:t>
      </w:r>
      <w:r>
        <w:rPr>
          <w:spacing w:val="-6"/>
        </w:rPr>
        <w:t xml:space="preserve"> </w:t>
      </w:r>
      <w:r>
        <w:t>LGBTQ</w:t>
      </w:r>
      <w:r>
        <w:rPr>
          <w:spacing w:val="-8"/>
        </w:rPr>
        <w:t xml:space="preserve"> </w:t>
      </w:r>
      <w:r>
        <w:t>inmates.</w:t>
      </w:r>
      <w:r>
        <w:rPr>
          <w:spacing w:val="-4"/>
        </w:rPr>
        <w:t xml:space="preserve"> </w:t>
      </w:r>
      <w:r>
        <w:t>Youth</w:t>
      </w:r>
      <w:r>
        <w:rPr>
          <w:spacing w:val="-5"/>
        </w:rPr>
        <w:t xml:space="preserve"> </w:t>
      </w:r>
      <w:r>
        <w:t>often</w:t>
      </w:r>
      <w:r>
        <w:rPr>
          <w:spacing w:val="-4"/>
        </w:rPr>
        <w:t xml:space="preserve"> </w:t>
      </w:r>
      <w:r>
        <w:t>are</w:t>
      </w:r>
      <w:r>
        <w:rPr>
          <w:spacing w:val="-8"/>
        </w:rPr>
        <w:t xml:space="preserve"> </w:t>
      </w:r>
      <w:r>
        <w:t>asked</w:t>
      </w:r>
      <w:r>
        <w:rPr>
          <w:spacing w:val="-6"/>
        </w:rPr>
        <w:t xml:space="preserve"> </w:t>
      </w:r>
      <w:r>
        <w:t>about</w:t>
      </w:r>
      <w:r>
        <w:rPr>
          <w:spacing w:val="-7"/>
        </w:rPr>
        <w:t xml:space="preserve"> </w:t>
      </w:r>
      <w:r>
        <w:t>their</w:t>
      </w:r>
      <w:r>
        <w:rPr>
          <w:spacing w:val="-5"/>
        </w:rPr>
        <w:t xml:space="preserve"> </w:t>
      </w:r>
      <w:r>
        <w:t>identities</w:t>
      </w:r>
      <w:r>
        <w:rPr>
          <w:spacing w:val="-4"/>
        </w:rPr>
        <w:t xml:space="preserve"> </w:t>
      </w:r>
      <w:r>
        <w:t>during intake,</w:t>
      </w:r>
      <w:r>
        <w:rPr>
          <w:spacing w:val="-6"/>
        </w:rPr>
        <w:t xml:space="preserve"> </w:t>
      </w:r>
      <w:r>
        <w:t>surrounded</w:t>
      </w:r>
      <w:r>
        <w:rPr>
          <w:spacing w:val="-5"/>
        </w:rPr>
        <w:t xml:space="preserve"> </w:t>
      </w:r>
      <w:r>
        <w:t>by</w:t>
      </w:r>
      <w:r>
        <w:rPr>
          <w:spacing w:val="-6"/>
        </w:rPr>
        <w:t xml:space="preserve"> </w:t>
      </w:r>
      <w:r>
        <w:t>peers,</w:t>
      </w:r>
      <w:r>
        <w:rPr>
          <w:spacing w:val="-7"/>
        </w:rPr>
        <w:t xml:space="preserve"> </w:t>
      </w:r>
      <w:r>
        <w:t>which</w:t>
      </w:r>
      <w:r>
        <w:rPr>
          <w:spacing w:val="-7"/>
        </w:rPr>
        <w:t xml:space="preserve"> </w:t>
      </w:r>
      <w:r>
        <w:t>may</w:t>
      </w:r>
      <w:r>
        <w:rPr>
          <w:spacing w:val="-6"/>
        </w:rPr>
        <w:t xml:space="preserve"> </w:t>
      </w:r>
      <w:r>
        <w:t>deter</w:t>
      </w:r>
      <w:r>
        <w:rPr>
          <w:spacing w:val="-6"/>
        </w:rPr>
        <w:t xml:space="preserve"> </w:t>
      </w:r>
      <w:r>
        <w:t>them</w:t>
      </w:r>
      <w:r>
        <w:rPr>
          <w:spacing w:val="-8"/>
        </w:rPr>
        <w:t xml:space="preserve"> </w:t>
      </w:r>
      <w:r>
        <w:t>from</w:t>
      </w:r>
      <w:r>
        <w:rPr>
          <w:spacing w:val="-9"/>
        </w:rPr>
        <w:t xml:space="preserve"> </w:t>
      </w:r>
      <w:r>
        <w:t>sharing.</w:t>
      </w:r>
      <w:r>
        <w:rPr>
          <w:spacing w:val="-5"/>
        </w:rPr>
        <w:t xml:space="preserve"> </w:t>
      </w:r>
      <w:r>
        <w:t>On</w:t>
      </w:r>
      <w:r>
        <w:rPr>
          <w:spacing w:val="-7"/>
        </w:rPr>
        <w:t xml:space="preserve"> </w:t>
      </w:r>
      <w:r>
        <w:t>the</w:t>
      </w:r>
      <w:r>
        <w:rPr>
          <w:spacing w:val="-6"/>
        </w:rPr>
        <w:t xml:space="preserve"> </w:t>
      </w:r>
      <w:r>
        <w:t>other</w:t>
      </w:r>
      <w:r>
        <w:rPr>
          <w:spacing w:val="-5"/>
        </w:rPr>
        <w:t xml:space="preserve"> </w:t>
      </w:r>
      <w:r>
        <w:t>hand,</w:t>
      </w:r>
      <w:r>
        <w:rPr>
          <w:spacing w:val="-6"/>
        </w:rPr>
        <w:t xml:space="preserve"> </w:t>
      </w:r>
      <w:r>
        <w:t>many</w:t>
      </w:r>
      <w:r>
        <w:rPr>
          <w:spacing w:val="-6"/>
        </w:rPr>
        <w:t xml:space="preserve"> </w:t>
      </w:r>
      <w:r>
        <w:t>LGBTQ</w:t>
      </w:r>
      <w:r>
        <w:rPr>
          <w:spacing w:val="-7"/>
        </w:rPr>
        <w:t xml:space="preserve"> </w:t>
      </w:r>
      <w:r>
        <w:t>youth report</w:t>
      </w:r>
      <w:r>
        <w:rPr>
          <w:spacing w:val="-9"/>
        </w:rPr>
        <w:t xml:space="preserve"> </w:t>
      </w:r>
      <w:r>
        <w:t>that</w:t>
      </w:r>
      <w:r>
        <w:rPr>
          <w:spacing w:val="-8"/>
        </w:rPr>
        <w:t xml:space="preserve"> </w:t>
      </w:r>
      <w:r>
        <w:t>they</w:t>
      </w:r>
      <w:r>
        <w:rPr>
          <w:spacing w:val="-9"/>
        </w:rPr>
        <w:t xml:space="preserve"> </w:t>
      </w:r>
      <w:r>
        <w:t>have</w:t>
      </w:r>
      <w:r>
        <w:rPr>
          <w:spacing w:val="-8"/>
        </w:rPr>
        <w:t xml:space="preserve"> </w:t>
      </w:r>
      <w:r>
        <w:t>been</w:t>
      </w:r>
      <w:r>
        <w:rPr>
          <w:spacing w:val="-6"/>
        </w:rPr>
        <w:t xml:space="preserve"> </w:t>
      </w:r>
      <w:r>
        <w:t>outed</w:t>
      </w:r>
      <w:r>
        <w:rPr>
          <w:spacing w:val="-8"/>
        </w:rPr>
        <w:t xml:space="preserve"> </w:t>
      </w:r>
      <w:r>
        <w:t>to</w:t>
      </w:r>
      <w:r>
        <w:rPr>
          <w:spacing w:val="-7"/>
        </w:rPr>
        <w:t xml:space="preserve"> </w:t>
      </w:r>
      <w:r>
        <w:t>their</w:t>
      </w:r>
      <w:r>
        <w:rPr>
          <w:spacing w:val="-9"/>
        </w:rPr>
        <w:t xml:space="preserve"> </w:t>
      </w:r>
      <w:r>
        <w:t>parents</w:t>
      </w:r>
      <w:r>
        <w:rPr>
          <w:spacing w:val="-7"/>
        </w:rPr>
        <w:t xml:space="preserve"> </w:t>
      </w:r>
      <w:r>
        <w:t>by</w:t>
      </w:r>
      <w:r>
        <w:rPr>
          <w:spacing w:val="-8"/>
        </w:rPr>
        <w:t xml:space="preserve"> </w:t>
      </w:r>
      <w:r>
        <w:t>facility</w:t>
      </w:r>
      <w:r>
        <w:rPr>
          <w:spacing w:val="-8"/>
        </w:rPr>
        <w:t xml:space="preserve"> </w:t>
      </w:r>
      <w:r>
        <w:t>staff</w:t>
      </w:r>
      <w:r>
        <w:rPr>
          <w:spacing w:val="-7"/>
        </w:rPr>
        <w:t xml:space="preserve"> </w:t>
      </w:r>
      <w:r>
        <w:t>during</w:t>
      </w:r>
      <w:r>
        <w:rPr>
          <w:spacing w:val="-9"/>
        </w:rPr>
        <w:t xml:space="preserve"> </w:t>
      </w:r>
      <w:r>
        <w:t>family</w:t>
      </w:r>
      <w:r>
        <w:rPr>
          <w:spacing w:val="-9"/>
        </w:rPr>
        <w:t xml:space="preserve"> </w:t>
      </w:r>
      <w:r>
        <w:t>visitation</w:t>
      </w:r>
      <w:r>
        <w:rPr>
          <w:spacing w:val="-8"/>
        </w:rPr>
        <w:t xml:space="preserve"> </w:t>
      </w:r>
      <w:r>
        <w:t>sessions.</w:t>
      </w:r>
      <w:hyperlink w:anchor="_bookmark413" w:history="1">
        <w:r>
          <w:rPr>
            <w:vertAlign w:val="superscript"/>
          </w:rPr>
          <w:t>64</w:t>
        </w:r>
        <w:r>
          <w:rPr>
            <w:spacing w:val="-4"/>
          </w:rPr>
          <w:t xml:space="preserve"> </w:t>
        </w:r>
      </w:hyperlink>
      <w:r>
        <w:t>Many LGBTQ</w:t>
      </w:r>
      <w:r>
        <w:rPr>
          <w:spacing w:val="-7"/>
        </w:rPr>
        <w:t xml:space="preserve"> </w:t>
      </w:r>
      <w:r>
        <w:t>youth</w:t>
      </w:r>
      <w:r>
        <w:rPr>
          <w:spacing w:val="-7"/>
        </w:rPr>
        <w:t xml:space="preserve"> </w:t>
      </w:r>
      <w:r>
        <w:t>are</w:t>
      </w:r>
      <w:r>
        <w:rPr>
          <w:spacing w:val="-8"/>
        </w:rPr>
        <w:t xml:space="preserve"> </w:t>
      </w:r>
      <w:r>
        <w:t>already</w:t>
      </w:r>
      <w:r>
        <w:rPr>
          <w:spacing w:val="-7"/>
        </w:rPr>
        <w:t xml:space="preserve"> </w:t>
      </w:r>
      <w:r>
        <w:t>isolated</w:t>
      </w:r>
      <w:r>
        <w:rPr>
          <w:spacing w:val="-8"/>
        </w:rPr>
        <w:t xml:space="preserve"> </w:t>
      </w:r>
      <w:r>
        <w:t>from</w:t>
      </w:r>
      <w:r>
        <w:rPr>
          <w:spacing w:val="-7"/>
        </w:rPr>
        <w:t xml:space="preserve"> </w:t>
      </w:r>
      <w:r>
        <w:t>their</w:t>
      </w:r>
      <w:r>
        <w:rPr>
          <w:spacing w:val="-8"/>
        </w:rPr>
        <w:t xml:space="preserve"> </w:t>
      </w:r>
      <w:r>
        <w:t>families</w:t>
      </w:r>
      <w:r>
        <w:rPr>
          <w:spacing w:val="-6"/>
        </w:rPr>
        <w:t xml:space="preserve"> </w:t>
      </w:r>
      <w:r>
        <w:t>of</w:t>
      </w:r>
      <w:r>
        <w:rPr>
          <w:spacing w:val="-8"/>
        </w:rPr>
        <w:t xml:space="preserve"> </w:t>
      </w:r>
      <w:r>
        <w:t>origin,</w:t>
      </w:r>
      <w:r>
        <w:rPr>
          <w:spacing w:val="-8"/>
        </w:rPr>
        <w:t xml:space="preserve"> </w:t>
      </w:r>
      <w:r>
        <w:t>and</w:t>
      </w:r>
      <w:r>
        <w:rPr>
          <w:spacing w:val="-5"/>
        </w:rPr>
        <w:t xml:space="preserve"> </w:t>
      </w:r>
      <w:r>
        <w:t>others</w:t>
      </w:r>
      <w:r>
        <w:rPr>
          <w:spacing w:val="-6"/>
        </w:rPr>
        <w:t xml:space="preserve"> </w:t>
      </w:r>
      <w:r>
        <w:t>close</w:t>
      </w:r>
      <w:r>
        <w:rPr>
          <w:spacing w:val="-8"/>
        </w:rPr>
        <w:t xml:space="preserve"> </w:t>
      </w:r>
      <w:r>
        <w:t>to</w:t>
      </w:r>
      <w:r>
        <w:rPr>
          <w:spacing w:val="-7"/>
        </w:rPr>
        <w:t xml:space="preserve"> </w:t>
      </w:r>
      <w:r>
        <w:t>them</w:t>
      </w:r>
      <w:r>
        <w:rPr>
          <w:spacing w:val="-7"/>
        </w:rPr>
        <w:t xml:space="preserve"> </w:t>
      </w:r>
      <w:r>
        <w:t>such</w:t>
      </w:r>
      <w:r>
        <w:rPr>
          <w:spacing w:val="-5"/>
        </w:rPr>
        <w:t xml:space="preserve"> </w:t>
      </w:r>
      <w:r>
        <w:t>as</w:t>
      </w:r>
      <w:r>
        <w:rPr>
          <w:spacing w:val="-7"/>
        </w:rPr>
        <w:t xml:space="preserve"> </w:t>
      </w:r>
      <w:r>
        <w:t>friends</w:t>
      </w:r>
      <w:r>
        <w:rPr>
          <w:spacing w:val="-5"/>
        </w:rPr>
        <w:t xml:space="preserve"> </w:t>
      </w:r>
      <w:r>
        <w:t xml:space="preserve">or partners may lack the right or ability to visit </w:t>
      </w:r>
      <w:r>
        <w:t>them.</w:t>
      </w:r>
    </w:p>
    <w:p w:rsidR="00C76E6D" w:rsidRDefault="00C76E6D">
      <w:pPr>
        <w:pStyle w:val="BodyText"/>
        <w:spacing w:before="4"/>
        <w:rPr>
          <w:sz w:val="25"/>
        </w:rPr>
      </w:pPr>
    </w:p>
    <w:p w:rsidR="00C76E6D" w:rsidRDefault="00913831">
      <w:pPr>
        <w:pStyle w:val="Heading6"/>
        <w:numPr>
          <w:ilvl w:val="0"/>
          <w:numId w:val="37"/>
        </w:numPr>
        <w:tabs>
          <w:tab w:val="left" w:pos="699"/>
        </w:tabs>
        <w:ind w:hanging="222"/>
      </w:pPr>
      <w:bookmarkStart w:id="483" w:name="3._Progress_in_Massachusetts_on_Juvenile"/>
      <w:bookmarkEnd w:id="483"/>
      <w:r>
        <w:rPr>
          <w:w w:val="95"/>
        </w:rPr>
        <w:t>Progress</w:t>
      </w:r>
      <w:r>
        <w:rPr>
          <w:spacing w:val="14"/>
        </w:rPr>
        <w:t xml:space="preserve"> </w:t>
      </w:r>
      <w:r>
        <w:rPr>
          <w:w w:val="95"/>
        </w:rPr>
        <w:t>in</w:t>
      </w:r>
      <w:r>
        <w:rPr>
          <w:spacing w:val="18"/>
        </w:rPr>
        <w:t xml:space="preserve"> </w:t>
      </w:r>
      <w:r>
        <w:rPr>
          <w:w w:val="95"/>
        </w:rPr>
        <w:t>Massachusetts</w:t>
      </w:r>
      <w:r>
        <w:rPr>
          <w:spacing w:val="18"/>
        </w:rPr>
        <w:t xml:space="preserve"> </w:t>
      </w:r>
      <w:r>
        <w:rPr>
          <w:w w:val="95"/>
        </w:rPr>
        <w:t>on</w:t>
      </w:r>
      <w:r>
        <w:rPr>
          <w:spacing w:val="17"/>
        </w:rPr>
        <w:t xml:space="preserve"> </w:t>
      </w:r>
      <w:r>
        <w:rPr>
          <w:w w:val="95"/>
        </w:rPr>
        <w:t>Juvenile</w:t>
      </w:r>
      <w:r>
        <w:rPr>
          <w:spacing w:val="14"/>
        </w:rPr>
        <w:t xml:space="preserve"> </w:t>
      </w:r>
      <w:r>
        <w:rPr>
          <w:spacing w:val="-2"/>
          <w:w w:val="95"/>
        </w:rPr>
        <w:t>Justice</w:t>
      </w:r>
    </w:p>
    <w:p w:rsidR="00C76E6D" w:rsidRDefault="00C76E6D">
      <w:pPr>
        <w:pStyle w:val="BodyText"/>
        <w:spacing w:before="6"/>
        <w:rPr>
          <w:b/>
          <w:sz w:val="28"/>
        </w:rPr>
      </w:pPr>
    </w:p>
    <w:p w:rsidR="00C76E6D" w:rsidRDefault="00913831">
      <w:pPr>
        <w:pStyle w:val="BodyText"/>
        <w:spacing w:before="1" w:line="276" w:lineRule="auto"/>
        <w:ind w:left="478" w:right="476"/>
        <w:jc w:val="both"/>
      </w:pPr>
      <w:r>
        <w:t>In April 2018, Massachusetts enacted a sweeping juvenile and criminal justice reform package.</w:t>
      </w:r>
      <w:hyperlink w:anchor="_bookmark414" w:history="1">
        <w:r>
          <w:rPr>
            <w:vertAlign w:val="superscript"/>
          </w:rPr>
          <w:t>65</w:t>
        </w:r>
        <w:r>
          <w:t xml:space="preserve"> </w:t>
        </w:r>
      </w:hyperlink>
      <w:r>
        <w:t>Given the</w:t>
      </w:r>
      <w:r>
        <w:rPr>
          <w:spacing w:val="-10"/>
        </w:rPr>
        <w:t xml:space="preserve"> </w:t>
      </w:r>
      <w:r>
        <w:t>disparities</w:t>
      </w:r>
      <w:r>
        <w:rPr>
          <w:spacing w:val="-10"/>
        </w:rPr>
        <w:t xml:space="preserve"> </w:t>
      </w:r>
      <w:r>
        <w:t>described</w:t>
      </w:r>
      <w:r>
        <w:rPr>
          <w:spacing w:val="-12"/>
        </w:rPr>
        <w:t xml:space="preserve"> </w:t>
      </w:r>
      <w:r>
        <w:t>above</w:t>
      </w:r>
      <w:r>
        <w:rPr>
          <w:spacing w:val="-11"/>
        </w:rPr>
        <w:t xml:space="preserve"> </w:t>
      </w:r>
      <w:r>
        <w:t>facing</w:t>
      </w:r>
      <w:r>
        <w:rPr>
          <w:spacing w:val="-10"/>
        </w:rPr>
        <w:t xml:space="preserve"> </w:t>
      </w:r>
      <w:r>
        <w:t>LGBTQ</w:t>
      </w:r>
      <w:r>
        <w:rPr>
          <w:spacing w:val="-11"/>
        </w:rPr>
        <w:t xml:space="preserve"> </w:t>
      </w:r>
      <w:r>
        <w:t>youth</w:t>
      </w:r>
      <w:r>
        <w:rPr>
          <w:spacing w:val="-11"/>
        </w:rPr>
        <w:t xml:space="preserve"> </w:t>
      </w:r>
      <w:r>
        <w:t>in</w:t>
      </w:r>
      <w:r>
        <w:rPr>
          <w:spacing w:val="-11"/>
        </w:rPr>
        <w:t xml:space="preserve"> </w:t>
      </w:r>
      <w:r>
        <w:t>the</w:t>
      </w:r>
      <w:r>
        <w:rPr>
          <w:spacing w:val="-11"/>
        </w:rPr>
        <w:t xml:space="preserve"> </w:t>
      </w:r>
      <w:r>
        <w:t>justice</w:t>
      </w:r>
      <w:r>
        <w:rPr>
          <w:spacing w:val="-10"/>
        </w:rPr>
        <w:t xml:space="preserve"> </w:t>
      </w:r>
      <w:r>
        <w:t>systems,</w:t>
      </w:r>
      <w:r>
        <w:rPr>
          <w:spacing w:val="-10"/>
        </w:rPr>
        <w:t xml:space="preserve"> </w:t>
      </w:r>
      <w:r>
        <w:t>the</w:t>
      </w:r>
      <w:r>
        <w:rPr>
          <w:spacing w:val="-11"/>
        </w:rPr>
        <w:t xml:space="preserve"> </w:t>
      </w:r>
      <w:r>
        <w:t>reforms</w:t>
      </w:r>
      <w:r>
        <w:rPr>
          <w:spacing w:val="-11"/>
        </w:rPr>
        <w:t xml:space="preserve"> </w:t>
      </w:r>
      <w:r>
        <w:t>seem</w:t>
      </w:r>
      <w:r>
        <w:rPr>
          <w:spacing w:val="-10"/>
        </w:rPr>
        <w:t xml:space="preserve"> </w:t>
      </w:r>
      <w:r>
        <w:t>likely</w:t>
      </w:r>
      <w:r>
        <w:rPr>
          <w:spacing w:val="-9"/>
        </w:rPr>
        <w:t xml:space="preserve"> </w:t>
      </w:r>
      <w:r>
        <w:t>to</w:t>
      </w:r>
      <w:r>
        <w:rPr>
          <w:spacing w:val="-9"/>
        </w:rPr>
        <w:t xml:space="preserve"> </w:t>
      </w:r>
      <w:r>
        <w:t>have a positive impact on LGBTQ youth in Massachusetts. A key aspect of the reform is the decriminalization of non-violence school-based offenses. Decriminalization is particularly relevant for LGBTQ students as they</w:t>
      </w:r>
      <w:r>
        <w:rPr>
          <w:spacing w:val="-10"/>
        </w:rPr>
        <w:t xml:space="preserve"> </w:t>
      </w:r>
      <w:r>
        <w:t>are</w:t>
      </w:r>
      <w:r>
        <w:rPr>
          <w:spacing w:val="-10"/>
        </w:rPr>
        <w:t xml:space="preserve"> </w:t>
      </w:r>
      <w:r>
        <w:t>more</w:t>
      </w:r>
      <w:r>
        <w:rPr>
          <w:spacing w:val="-11"/>
        </w:rPr>
        <w:t xml:space="preserve"> </w:t>
      </w:r>
      <w:r>
        <w:t>likely</w:t>
      </w:r>
      <w:r>
        <w:rPr>
          <w:spacing w:val="-9"/>
        </w:rPr>
        <w:t xml:space="preserve"> </w:t>
      </w:r>
      <w:r>
        <w:t>to</w:t>
      </w:r>
      <w:r>
        <w:rPr>
          <w:spacing w:val="-9"/>
        </w:rPr>
        <w:t xml:space="preserve"> </w:t>
      </w:r>
      <w:r>
        <w:t>experience</w:t>
      </w:r>
      <w:r>
        <w:rPr>
          <w:spacing w:val="-9"/>
        </w:rPr>
        <w:t xml:space="preserve"> </w:t>
      </w:r>
      <w:r>
        <w:t>harsh</w:t>
      </w:r>
      <w:r>
        <w:rPr>
          <w:spacing w:val="-10"/>
        </w:rPr>
        <w:t xml:space="preserve"> </w:t>
      </w:r>
      <w:r>
        <w:t>disciplinary</w:t>
      </w:r>
      <w:r>
        <w:rPr>
          <w:spacing w:val="-10"/>
        </w:rPr>
        <w:t xml:space="preserve"> </w:t>
      </w:r>
      <w:r>
        <w:t>action</w:t>
      </w:r>
      <w:r>
        <w:rPr>
          <w:spacing w:val="-10"/>
        </w:rPr>
        <w:t xml:space="preserve"> </w:t>
      </w:r>
      <w:r>
        <w:t>at</w:t>
      </w:r>
      <w:r>
        <w:rPr>
          <w:spacing w:val="-10"/>
        </w:rPr>
        <w:t xml:space="preserve"> </w:t>
      </w:r>
      <w:r>
        <w:t>school</w:t>
      </w:r>
      <w:r>
        <w:rPr>
          <w:spacing w:val="-11"/>
        </w:rPr>
        <w:t xml:space="preserve"> </w:t>
      </w:r>
      <w:r>
        <w:t>when</w:t>
      </w:r>
      <w:r>
        <w:rPr>
          <w:spacing w:val="-9"/>
        </w:rPr>
        <w:t xml:space="preserve"> </w:t>
      </w:r>
      <w:r>
        <w:t>compared</w:t>
      </w:r>
      <w:r>
        <w:rPr>
          <w:spacing w:val="-10"/>
        </w:rPr>
        <w:t xml:space="preserve"> </w:t>
      </w:r>
      <w:r>
        <w:t>to</w:t>
      </w:r>
      <w:r>
        <w:rPr>
          <w:spacing w:val="-9"/>
        </w:rPr>
        <w:t xml:space="preserve"> </w:t>
      </w:r>
      <w:r>
        <w:t>heterosexual</w:t>
      </w:r>
      <w:r>
        <w:rPr>
          <w:spacing w:val="-12"/>
        </w:rPr>
        <w:t xml:space="preserve"> </w:t>
      </w:r>
      <w:r>
        <w:t>and cisgender students. Decriminalizing non-violent offenses will hopefully help to disrupt the school-to- prison pipeline that is especially dangerous for LGBTQ y</w:t>
      </w:r>
      <w:r>
        <w:t>outh of color.</w:t>
      </w:r>
    </w:p>
    <w:p w:rsidR="00C76E6D" w:rsidRDefault="00C76E6D">
      <w:pPr>
        <w:pStyle w:val="BodyText"/>
        <w:spacing w:before="2"/>
        <w:rPr>
          <w:sz w:val="25"/>
        </w:rPr>
      </w:pPr>
    </w:p>
    <w:p w:rsidR="00C76E6D" w:rsidRDefault="00913831">
      <w:pPr>
        <w:pStyle w:val="BodyText"/>
        <w:spacing w:line="276" w:lineRule="auto"/>
        <w:ind w:left="478" w:right="473"/>
        <w:jc w:val="both"/>
      </w:pPr>
      <w:r>
        <w:t>Arresting and putting youth through formal court processing increases their risk of dropping out of high school and committing further offenses. LGBTQ youth are already at higher risk of not completing high school due to stigma, discrimination, and harassm</w:t>
      </w:r>
      <w:r>
        <w:t>ent. The reform package authorizes judges to divert</w:t>
      </w:r>
    </w:p>
    <w:p w:rsidR="00C76E6D" w:rsidRDefault="00C76E6D">
      <w:pPr>
        <w:spacing w:line="276" w:lineRule="auto"/>
        <w:jc w:val="both"/>
        <w:sectPr w:rsidR="00C76E6D">
          <w:pgSz w:w="12240" w:h="15840"/>
          <w:pgMar w:top="960" w:right="960" w:bottom="920" w:left="960" w:header="769" w:footer="720"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480" w:right="476"/>
        <w:jc w:val="both"/>
      </w:pPr>
      <w:r>
        <w:t>cases out of the criminal justice system before arraignment, preventing formal processing in the court system</w:t>
      </w:r>
      <w:r>
        <w:rPr>
          <w:spacing w:val="-3"/>
        </w:rPr>
        <w:t xml:space="preserve"> </w:t>
      </w:r>
      <w:r>
        <w:t>and the</w:t>
      </w:r>
      <w:r>
        <w:rPr>
          <w:spacing w:val="-2"/>
        </w:rPr>
        <w:t xml:space="preserve"> </w:t>
      </w:r>
      <w:r>
        <w:t>creation</w:t>
      </w:r>
      <w:r>
        <w:rPr>
          <w:spacing w:val="-2"/>
        </w:rPr>
        <w:t xml:space="preserve"> </w:t>
      </w:r>
      <w:r>
        <w:t>of</w:t>
      </w:r>
      <w:r>
        <w:rPr>
          <w:spacing w:val="-2"/>
        </w:rPr>
        <w:t xml:space="preserve"> </w:t>
      </w:r>
      <w:r>
        <w:t>a</w:t>
      </w:r>
      <w:r>
        <w:rPr>
          <w:spacing w:val="-2"/>
        </w:rPr>
        <w:t xml:space="preserve"> </w:t>
      </w:r>
      <w:r>
        <w:t>juvenile</w:t>
      </w:r>
      <w:r>
        <w:rPr>
          <w:spacing w:val="-1"/>
        </w:rPr>
        <w:t xml:space="preserve"> </w:t>
      </w:r>
      <w:r>
        <w:t>record.</w:t>
      </w:r>
      <w:r>
        <w:rPr>
          <w:spacing w:val="-2"/>
        </w:rPr>
        <w:t xml:space="preserve"> </w:t>
      </w:r>
      <w:r>
        <w:t>Instead,</w:t>
      </w:r>
      <w:r>
        <w:rPr>
          <w:spacing w:val="-2"/>
        </w:rPr>
        <w:t xml:space="preserve"> </w:t>
      </w:r>
      <w:r>
        <w:t>youth can</w:t>
      </w:r>
      <w:r>
        <w:rPr>
          <w:spacing w:val="-2"/>
        </w:rPr>
        <w:t xml:space="preserve"> </w:t>
      </w:r>
      <w:r>
        <w:t>be</w:t>
      </w:r>
      <w:r>
        <w:rPr>
          <w:spacing w:val="-2"/>
        </w:rPr>
        <w:t xml:space="preserve"> </w:t>
      </w:r>
      <w:r>
        <w:t>diverted to</w:t>
      </w:r>
      <w:r>
        <w:rPr>
          <w:spacing w:val="-1"/>
        </w:rPr>
        <w:t xml:space="preserve"> </w:t>
      </w:r>
      <w:r>
        <w:t>rehabilitation,</w:t>
      </w:r>
      <w:r>
        <w:rPr>
          <w:spacing w:val="-2"/>
        </w:rPr>
        <w:t xml:space="preserve"> </w:t>
      </w:r>
      <w:r>
        <w:t>treatment, and other services that have been proven to reduce recidivism and prevent further harm for youth.</w:t>
      </w:r>
    </w:p>
    <w:p w:rsidR="00C76E6D" w:rsidRDefault="00C76E6D">
      <w:pPr>
        <w:pStyle w:val="BodyText"/>
        <w:spacing w:before="3"/>
        <w:rPr>
          <w:sz w:val="25"/>
        </w:rPr>
      </w:pPr>
    </w:p>
    <w:p w:rsidR="00C76E6D" w:rsidRDefault="00913831">
      <w:pPr>
        <w:pStyle w:val="BodyText"/>
        <w:spacing w:line="276" w:lineRule="auto"/>
        <w:ind w:left="478" w:right="474"/>
        <w:jc w:val="both"/>
      </w:pPr>
      <w:r>
        <w:t>As LGBTQ youth are incarcerated and involved with the criminal justice system at higher rates than heterosexual</w:t>
      </w:r>
      <w:r>
        <w:rPr>
          <w:spacing w:val="-1"/>
        </w:rPr>
        <w:t xml:space="preserve"> </w:t>
      </w:r>
      <w:r>
        <w:t>and</w:t>
      </w:r>
      <w:r>
        <w:rPr>
          <w:spacing w:val="-3"/>
        </w:rPr>
        <w:t xml:space="preserve"> </w:t>
      </w:r>
      <w:r>
        <w:t>cisgender</w:t>
      </w:r>
      <w:r>
        <w:rPr>
          <w:spacing w:val="-4"/>
        </w:rPr>
        <w:t xml:space="preserve"> </w:t>
      </w:r>
      <w:r>
        <w:t>yout</w:t>
      </w:r>
      <w:r>
        <w:t>h,</w:t>
      </w:r>
      <w:r>
        <w:rPr>
          <w:spacing w:val="-2"/>
        </w:rPr>
        <w:t xml:space="preserve"> </w:t>
      </w:r>
      <w:r>
        <w:t>criminal</w:t>
      </w:r>
      <w:r>
        <w:rPr>
          <w:spacing w:val="-4"/>
        </w:rPr>
        <w:t xml:space="preserve"> </w:t>
      </w:r>
      <w:r>
        <w:t>justice</w:t>
      </w:r>
      <w:r>
        <w:rPr>
          <w:spacing w:val="-4"/>
        </w:rPr>
        <w:t xml:space="preserve"> </w:t>
      </w:r>
      <w:r>
        <w:t>reform</w:t>
      </w:r>
      <w:r>
        <w:rPr>
          <w:spacing w:val="-4"/>
        </w:rPr>
        <w:t xml:space="preserve"> </w:t>
      </w:r>
      <w:r>
        <w:t>may</w:t>
      </w:r>
      <w:r>
        <w:rPr>
          <w:spacing w:val="-3"/>
        </w:rPr>
        <w:t xml:space="preserve"> </w:t>
      </w:r>
      <w:r>
        <w:t>benefit</w:t>
      </w:r>
      <w:r>
        <w:rPr>
          <w:spacing w:val="-4"/>
        </w:rPr>
        <w:t xml:space="preserve"> </w:t>
      </w:r>
      <w:r>
        <w:t>LGBTQ</w:t>
      </w:r>
      <w:r>
        <w:rPr>
          <w:spacing w:val="-3"/>
        </w:rPr>
        <w:t xml:space="preserve"> </w:t>
      </w:r>
      <w:r>
        <w:t>youth</w:t>
      </w:r>
      <w:r>
        <w:rPr>
          <w:spacing w:val="-3"/>
        </w:rPr>
        <w:t xml:space="preserve"> </w:t>
      </w:r>
      <w:r>
        <w:t>in</w:t>
      </w:r>
      <w:r>
        <w:rPr>
          <w:spacing w:val="-1"/>
        </w:rPr>
        <w:t xml:space="preserve"> </w:t>
      </w:r>
      <w:r>
        <w:t>many</w:t>
      </w:r>
      <w:r>
        <w:rPr>
          <w:spacing w:val="-1"/>
        </w:rPr>
        <w:t xml:space="preserve"> </w:t>
      </w:r>
      <w:r>
        <w:t>other</w:t>
      </w:r>
      <w:r>
        <w:rPr>
          <w:spacing w:val="-4"/>
        </w:rPr>
        <w:t xml:space="preserve"> </w:t>
      </w:r>
      <w:r>
        <w:t>ways. First,</w:t>
      </w:r>
      <w:r>
        <w:rPr>
          <w:spacing w:val="-6"/>
        </w:rPr>
        <w:t xml:space="preserve"> </w:t>
      </w:r>
      <w:r>
        <w:t>LGBTQ</w:t>
      </w:r>
      <w:r>
        <w:rPr>
          <w:spacing w:val="-4"/>
        </w:rPr>
        <w:t xml:space="preserve"> </w:t>
      </w:r>
      <w:r>
        <w:t>youth</w:t>
      </w:r>
      <w:r>
        <w:rPr>
          <w:spacing w:val="-7"/>
        </w:rPr>
        <w:t xml:space="preserve"> </w:t>
      </w:r>
      <w:r>
        <w:t>are</w:t>
      </w:r>
      <w:r>
        <w:rPr>
          <w:spacing w:val="-6"/>
        </w:rPr>
        <w:t xml:space="preserve"> </w:t>
      </w:r>
      <w:r>
        <w:t>more</w:t>
      </w:r>
      <w:r>
        <w:rPr>
          <w:spacing w:val="-7"/>
        </w:rPr>
        <w:t xml:space="preserve"> </w:t>
      </w:r>
      <w:r>
        <w:t>likely</w:t>
      </w:r>
      <w:r>
        <w:rPr>
          <w:spacing w:val="-5"/>
        </w:rPr>
        <w:t xml:space="preserve"> </w:t>
      </w:r>
      <w:r>
        <w:t>to</w:t>
      </w:r>
      <w:r>
        <w:rPr>
          <w:spacing w:val="-6"/>
        </w:rPr>
        <w:t xml:space="preserve"> </w:t>
      </w:r>
      <w:r>
        <w:t>be</w:t>
      </w:r>
      <w:r>
        <w:rPr>
          <w:spacing w:val="-6"/>
        </w:rPr>
        <w:t xml:space="preserve"> </w:t>
      </w:r>
      <w:r>
        <w:t>placed</w:t>
      </w:r>
      <w:r>
        <w:rPr>
          <w:spacing w:val="-7"/>
        </w:rPr>
        <w:t xml:space="preserve"> </w:t>
      </w:r>
      <w:r>
        <w:t>in</w:t>
      </w:r>
      <w:r>
        <w:rPr>
          <w:spacing w:val="-5"/>
        </w:rPr>
        <w:t xml:space="preserve"> </w:t>
      </w:r>
      <w:r>
        <w:t>solitary</w:t>
      </w:r>
      <w:r>
        <w:rPr>
          <w:spacing w:val="-6"/>
        </w:rPr>
        <w:t xml:space="preserve"> </w:t>
      </w:r>
      <w:r>
        <w:t>confinement</w:t>
      </w:r>
      <w:r>
        <w:rPr>
          <w:spacing w:val="-6"/>
        </w:rPr>
        <w:t xml:space="preserve"> </w:t>
      </w:r>
      <w:r>
        <w:t>than</w:t>
      </w:r>
      <w:r>
        <w:rPr>
          <w:spacing w:val="-7"/>
        </w:rPr>
        <w:t xml:space="preserve"> </w:t>
      </w:r>
      <w:r>
        <w:t>their</w:t>
      </w:r>
      <w:r>
        <w:rPr>
          <w:spacing w:val="-6"/>
        </w:rPr>
        <w:t xml:space="preserve"> </w:t>
      </w:r>
      <w:r>
        <w:t>heterosexual</w:t>
      </w:r>
      <w:r>
        <w:rPr>
          <w:spacing w:val="-6"/>
        </w:rPr>
        <w:t xml:space="preserve"> </w:t>
      </w:r>
      <w:r>
        <w:t>peers,</w:t>
      </w:r>
      <w:r>
        <w:rPr>
          <w:spacing w:val="-6"/>
        </w:rPr>
        <w:t xml:space="preserve"> </w:t>
      </w:r>
      <w:r>
        <w:t>but the prohibition against the use of solitary confinement for LGBTQ individuals is now codified into law. Additionally, under the new law, non-serious offenses committed before the age of 21 can be expunged from an individual’s record. Many LGBTQ individ</w:t>
      </w:r>
      <w:r>
        <w:t xml:space="preserve">uals already face discrimination while seeking employment, housing, and social services, and having a criminal record often exacerbates that </w:t>
      </w:r>
      <w:r>
        <w:rPr>
          <w:spacing w:val="-2"/>
        </w:rPr>
        <w:t>discrimination.</w:t>
      </w:r>
    </w:p>
    <w:p w:rsidR="00C76E6D" w:rsidRDefault="00C76E6D">
      <w:pPr>
        <w:pStyle w:val="BodyText"/>
        <w:spacing w:before="3"/>
        <w:rPr>
          <w:sz w:val="25"/>
        </w:rPr>
      </w:pPr>
    </w:p>
    <w:p w:rsidR="00C76E6D" w:rsidRDefault="00913831">
      <w:pPr>
        <w:pStyle w:val="BodyText"/>
        <w:spacing w:before="1" w:line="276" w:lineRule="auto"/>
        <w:ind w:left="478" w:right="475"/>
        <w:jc w:val="both"/>
      </w:pPr>
      <w:r>
        <w:t>Under Chapter 69, Section 218, the reform law created a special commission to study the health and</w:t>
      </w:r>
      <w:r>
        <w:t xml:space="preserve"> safety of incarcerated LGBTQ individuals. Additionally, Chapter 69, Section 89 created a Juvenile Justice Policy and Data Board</w:t>
      </w:r>
      <w:r>
        <w:rPr>
          <w:spacing w:val="-1"/>
        </w:rPr>
        <w:t xml:space="preserve"> </w:t>
      </w:r>
      <w:r>
        <w:t>to evaluate</w:t>
      </w:r>
      <w:r>
        <w:rPr>
          <w:spacing w:val="-1"/>
        </w:rPr>
        <w:t xml:space="preserve"> </w:t>
      </w:r>
      <w:r>
        <w:t>the</w:t>
      </w:r>
      <w:r>
        <w:rPr>
          <w:spacing w:val="-1"/>
        </w:rPr>
        <w:t xml:space="preserve"> </w:t>
      </w:r>
      <w:r>
        <w:t>juvenile justice</w:t>
      </w:r>
      <w:r>
        <w:rPr>
          <w:spacing w:val="-1"/>
        </w:rPr>
        <w:t xml:space="preserve"> </w:t>
      </w:r>
      <w:r>
        <w:t>system’s current policies and procedures; examine the feasibility of improved, cross-agency da</w:t>
      </w:r>
      <w:r>
        <w:t>ta collection; and provide recommendations while studying the</w:t>
      </w:r>
      <w:r>
        <w:rPr>
          <w:spacing w:val="-2"/>
        </w:rPr>
        <w:t xml:space="preserve"> </w:t>
      </w:r>
      <w:r>
        <w:t>implementation</w:t>
      </w:r>
      <w:r>
        <w:rPr>
          <w:spacing w:val="-2"/>
        </w:rPr>
        <w:t xml:space="preserve"> </w:t>
      </w:r>
      <w:r>
        <w:t>of</w:t>
      </w:r>
      <w:r>
        <w:rPr>
          <w:spacing w:val="-3"/>
        </w:rPr>
        <w:t xml:space="preserve"> </w:t>
      </w:r>
      <w:r>
        <w:t>statutory</w:t>
      </w:r>
      <w:r>
        <w:rPr>
          <w:spacing w:val="-2"/>
        </w:rPr>
        <w:t xml:space="preserve"> </w:t>
      </w:r>
      <w:r>
        <w:t>changes.</w:t>
      </w:r>
      <w:r>
        <w:rPr>
          <w:spacing w:val="-3"/>
        </w:rPr>
        <w:t xml:space="preserve"> </w:t>
      </w:r>
      <w:r>
        <w:t>The</w:t>
      </w:r>
      <w:r>
        <w:rPr>
          <w:spacing w:val="-3"/>
        </w:rPr>
        <w:t xml:space="preserve"> </w:t>
      </w:r>
      <w:r>
        <w:t>Commission</w:t>
      </w:r>
      <w:r>
        <w:rPr>
          <w:spacing w:val="-3"/>
        </w:rPr>
        <w:t xml:space="preserve"> </w:t>
      </w:r>
      <w:r>
        <w:t>has</w:t>
      </w:r>
      <w:r>
        <w:rPr>
          <w:spacing w:val="-1"/>
        </w:rPr>
        <w:t xml:space="preserve"> </w:t>
      </w:r>
      <w:r>
        <w:t>worked</w:t>
      </w:r>
      <w:r>
        <w:rPr>
          <w:spacing w:val="-2"/>
        </w:rPr>
        <w:t xml:space="preserve"> </w:t>
      </w:r>
      <w:r>
        <w:t>closely</w:t>
      </w:r>
      <w:r>
        <w:rPr>
          <w:spacing w:val="-2"/>
        </w:rPr>
        <w:t xml:space="preserve"> </w:t>
      </w:r>
      <w:r>
        <w:t>with</w:t>
      </w:r>
      <w:r>
        <w:rPr>
          <w:spacing w:val="-2"/>
        </w:rPr>
        <w:t xml:space="preserve"> </w:t>
      </w:r>
      <w:r>
        <w:t>the</w:t>
      </w:r>
      <w:r>
        <w:rPr>
          <w:spacing w:val="-1"/>
        </w:rPr>
        <w:t xml:space="preserve"> </w:t>
      </w:r>
      <w:r>
        <w:t>new</w:t>
      </w:r>
      <w:r>
        <w:rPr>
          <w:spacing w:val="-3"/>
        </w:rPr>
        <w:t xml:space="preserve"> </w:t>
      </w:r>
      <w:r>
        <w:t>JJPAD</w:t>
      </w:r>
      <w:r>
        <w:rPr>
          <w:spacing w:val="-3"/>
        </w:rPr>
        <w:t xml:space="preserve"> </w:t>
      </w:r>
      <w:r>
        <w:t>Board to</w:t>
      </w:r>
      <w:r>
        <w:rPr>
          <w:spacing w:val="-5"/>
        </w:rPr>
        <w:t xml:space="preserve"> </w:t>
      </w:r>
      <w:r>
        <w:t>further</w:t>
      </w:r>
      <w:r>
        <w:rPr>
          <w:spacing w:val="-4"/>
        </w:rPr>
        <w:t xml:space="preserve"> </w:t>
      </w:r>
      <w:r>
        <w:t>improve</w:t>
      </w:r>
      <w:r>
        <w:rPr>
          <w:spacing w:val="-6"/>
        </w:rPr>
        <w:t xml:space="preserve"> </w:t>
      </w:r>
      <w:r>
        <w:t>services</w:t>
      </w:r>
      <w:r>
        <w:rPr>
          <w:spacing w:val="-5"/>
        </w:rPr>
        <w:t xml:space="preserve"> </w:t>
      </w:r>
      <w:r>
        <w:t>for</w:t>
      </w:r>
      <w:r>
        <w:rPr>
          <w:spacing w:val="-5"/>
        </w:rPr>
        <w:t xml:space="preserve"> </w:t>
      </w:r>
      <w:r>
        <w:t>gender</w:t>
      </w:r>
      <w:r>
        <w:rPr>
          <w:spacing w:val="-5"/>
        </w:rPr>
        <w:t xml:space="preserve"> </w:t>
      </w:r>
      <w:r>
        <w:t>and</w:t>
      </w:r>
      <w:r>
        <w:rPr>
          <w:spacing w:val="-7"/>
        </w:rPr>
        <w:t xml:space="preserve"> </w:t>
      </w:r>
      <w:r>
        <w:t>sexual</w:t>
      </w:r>
      <w:r>
        <w:rPr>
          <w:spacing w:val="-4"/>
        </w:rPr>
        <w:t xml:space="preserve"> </w:t>
      </w:r>
      <w:r>
        <w:t>minority</w:t>
      </w:r>
      <w:r>
        <w:rPr>
          <w:spacing w:val="-5"/>
        </w:rPr>
        <w:t xml:space="preserve"> </w:t>
      </w:r>
      <w:r>
        <w:t>youth</w:t>
      </w:r>
      <w:r>
        <w:rPr>
          <w:spacing w:val="-5"/>
        </w:rPr>
        <w:t xml:space="preserve"> </w:t>
      </w:r>
      <w:r>
        <w:t>in</w:t>
      </w:r>
      <w:r>
        <w:rPr>
          <w:spacing w:val="-6"/>
        </w:rPr>
        <w:t xml:space="preserve"> </w:t>
      </w:r>
      <w:r>
        <w:t>the</w:t>
      </w:r>
      <w:r>
        <w:rPr>
          <w:spacing w:val="-6"/>
        </w:rPr>
        <w:t xml:space="preserve"> </w:t>
      </w:r>
      <w:r>
        <w:t>Commonwealth,</w:t>
      </w:r>
      <w:r>
        <w:rPr>
          <w:spacing w:val="-5"/>
        </w:rPr>
        <w:t xml:space="preserve"> </w:t>
      </w:r>
      <w:r>
        <w:t>as</w:t>
      </w:r>
      <w:r>
        <w:rPr>
          <w:spacing w:val="-5"/>
        </w:rPr>
        <w:t xml:space="preserve"> </w:t>
      </w:r>
      <w:r>
        <w:t>well</w:t>
      </w:r>
      <w:r>
        <w:rPr>
          <w:spacing w:val="-5"/>
        </w:rPr>
        <w:t xml:space="preserve"> </w:t>
      </w:r>
      <w:r>
        <w:t>as</w:t>
      </w:r>
      <w:r>
        <w:rPr>
          <w:spacing w:val="-5"/>
        </w:rPr>
        <w:t xml:space="preserve"> </w:t>
      </w:r>
      <w:r>
        <w:t>a</w:t>
      </w:r>
      <w:r>
        <w:t>dvise on</w:t>
      </w:r>
      <w:r>
        <w:rPr>
          <w:spacing w:val="-6"/>
        </w:rPr>
        <w:t xml:space="preserve"> </w:t>
      </w:r>
      <w:r>
        <w:t>best</w:t>
      </w:r>
      <w:r>
        <w:rPr>
          <w:spacing w:val="-6"/>
        </w:rPr>
        <w:t xml:space="preserve"> </w:t>
      </w:r>
      <w:r>
        <w:t>practices</w:t>
      </w:r>
      <w:r>
        <w:rPr>
          <w:spacing w:val="-5"/>
        </w:rPr>
        <w:t xml:space="preserve"> </w:t>
      </w:r>
      <w:r>
        <w:t>regarding</w:t>
      </w:r>
      <w:r>
        <w:rPr>
          <w:spacing w:val="-3"/>
        </w:rPr>
        <w:t xml:space="preserve"> </w:t>
      </w:r>
      <w:r>
        <w:t>the</w:t>
      </w:r>
      <w:r>
        <w:rPr>
          <w:spacing w:val="-4"/>
        </w:rPr>
        <w:t xml:space="preserve"> </w:t>
      </w:r>
      <w:r>
        <w:t>collection</w:t>
      </w:r>
      <w:r>
        <w:rPr>
          <w:spacing w:val="-6"/>
        </w:rPr>
        <w:t xml:space="preserve"> </w:t>
      </w:r>
      <w:r>
        <w:t>and</w:t>
      </w:r>
      <w:r>
        <w:rPr>
          <w:spacing w:val="-6"/>
        </w:rPr>
        <w:t xml:space="preserve"> </w:t>
      </w:r>
      <w:r>
        <w:t>reporting</w:t>
      </w:r>
      <w:r>
        <w:rPr>
          <w:spacing w:val="-6"/>
        </w:rPr>
        <w:t xml:space="preserve"> </w:t>
      </w:r>
      <w:r>
        <w:t>of</w:t>
      </w:r>
      <w:r>
        <w:rPr>
          <w:spacing w:val="-5"/>
        </w:rPr>
        <w:t xml:space="preserve"> </w:t>
      </w:r>
      <w:r>
        <w:t>data</w:t>
      </w:r>
      <w:r>
        <w:rPr>
          <w:spacing w:val="-4"/>
        </w:rPr>
        <w:t xml:space="preserve"> </w:t>
      </w:r>
      <w:r>
        <w:t>on</w:t>
      </w:r>
      <w:r>
        <w:rPr>
          <w:spacing w:val="-3"/>
        </w:rPr>
        <w:t xml:space="preserve"> </w:t>
      </w:r>
      <w:r>
        <w:t>sexual</w:t>
      </w:r>
      <w:r>
        <w:rPr>
          <w:spacing w:val="-6"/>
        </w:rPr>
        <w:t xml:space="preserve"> </w:t>
      </w:r>
      <w:r>
        <w:t>orientation</w:t>
      </w:r>
      <w:r>
        <w:rPr>
          <w:spacing w:val="-5"/>
        </w:rPr>
        <w:t xml:space="preserve"> </w:t>
      </w:r>
      <w:r>
        <w:t>and</w:t>
      </w:r>
      <w:r>
        <w:rPr>
          <w:spacing w:val="-6"/>
        </w:rPr>
        <w:t xml:space="preserve"> </w:t>
      </w:r>
      <w:r>
        <w:t>gender</w:t>
      </w:r>
      <w:r>
        <w:rPr>
          <w:spacing w:val="-5"/>
        </w:rPr>
        <w:t xml:space="preserve"> </w:t>
      </w:r>
      <w:r>
        <w:t>identity and expression.</w:t>
      </w:r>
    </w:p>
    <w:p w:rsidR="00C76E6D" w:rsidRDefault="00C76E6D">
      <w:pPr>
        <w:pStyle w:val="BodyText"/>
        <w:spacing w:before="3"/>
        <w:rPr>
          <w:sz w:val="25"/>
        </w:rPr>
      </w:pPr>
    </w:p>
    <w:p w:rsidR="00C76E6D" w:rsidRDefault="00913831">
      <w:pPr>
        <w:pStyle w:val="BodyText"/>
        <w:spacing w:line="276" w:lineRule="auto"/>
        <w:ind w:left="480" w:right="473" w:hanging="2"/>
        <w:jc w:val="both"/>
      </w:pPr>
      <w:r>
        <w:t>The number of</w:t>
      </w:r>
      <w:r>
        <w:rPr>
          <w:spacing w:val="-2"/>
        </w:rPr>
        <w:t xml:space="preserve"> </w:t>
      </w:r>
      <w:r>
        <w:t>youth</w:t>
      </w:r>
      <w:r>
        <w:rPr>
          <w:spacing w:val="-1"/>
        </w:rPr>
        <w:t xml:space="preserve"> </w:t>
      </w:r>
      <w:r>
        <w:t>involved</w:t>
      </w:r>
      <w:r>
        <w:rPr>
          <w:spacing w:val="-1"/>
        </w:rPr>
        <w:t xml:space="preserve"> </w:t>
      </w:r>
      <w:r>
        <w:t>in the</w:t>
      </w:r>
      <w:r>
        <w:rPr>
          <w:spacing w:val="-1"/>
        </w:rPr>
        <w:t xml:space="preserve"> </w:t>
      </w:r>
      <w:r>
        <w:t>juvenile</w:t>
      </w:r>
      <w:r>
        <w:rPr>
          <w:spacing w:val="-2"/>
        </w:rPr>
        <w:t xml:space="preserve"> </w:t>
      </w:r>
      <w:r>
        <w:t>justice system</w:t>
      </w:r>
      <w:r>
        <w:rPr>
          <w:spacing w:val="-2"/>
        </w:rPr>
        <w:t xml:space="preserve"> </w:t>
      </w:r>
      <w:r>
        <w:t>has decreased over</w:t>
      </w:r>
      <w:r>
        <w:rPr>
          <w:spacing w:val="-1"/>
        </w:rPr>
        <w:t xml:space="preserve"> </w:t>
      </w:r>
      <w:r>
        <w:t>time,</w:t>
      </w:r>
      <w:r>
        <w:rPr>
          <w:spacing w:val="-1"/>
        </w:rPr>
        <w:t xml:space="preserve"> </w:t>
      </w:r>
      <w:r>
        <w:t>especially</w:t>
      </w:r>
      <w:r>
        <w:rPr>
          <w:spacing w:val="-1"/>
        </w:rPr>
        <w:t xml:space="preserve"> </w:t>
      </w:r>
      <w:r>
        <w:t>with the COVID-19 pandemic. However, as mentioned above, it is largely white persons who have been released during</w:t>
      </w:r>
      <w:r>
        <w:rPr>
          <w:spacing w:val="-7"/>
        </w:rPr>
        <w:t xml:space="preserve"> </w:t>
      </w:r>
      <w:r>
        <w:t>the</w:t>
      </w:r>
      <w:r>
        <w:rPr>
          <w:spacing w:val="-7"/>
        </w:rPr>
        <w:t xml:space="preserve"> </w:t>
      </w:r>
      <w:r>
        <w:t>pandemic,</w:t>
      </w:r>
      <w:r>
        <w:rPr>
          <w:spacing w:val="-8"/>
        </w:rPr>
        <w:t xml:space="preserve"> </w:t>
      </w:r>
      <w:r>
        <w:t>and</w:t>
      </w:r>
      <w:r>
        <w:rPr>
          <w:spacing w:val="-6"/>
        </w:rPr>
        <w:t xml:space="preserve"> </w:t>
      </w:r>
      <w:r>
        <w:t>youth</w:t>
      </w:r>
      <w:r>
        <w:rPr>
          <w:spacing w:val="-8"/>
        </w:rPr>
        <w:t xml:space="preserve"> </w:t>
      </w:r>
      <w:r>
        <w:t>of</w:t>
      </w:r>
      <w:r>
        <w:rPr>
          <w:spacing w:val="-7"/>
        </w:rPr>
        <w:t xml:space="preserve"> </w:t>
      </w:r>
      <w:r>
        <w:t>color,</w:t>
      </w:r>
      <w:r>
        <w:rPr>
          <w:spacing w:val="-8"/>
        </w:rPr>
        <w:t xml:space="preserve"> </w:t>
      </w:r>
      <w:r>
        <w:t>including</w:t>
      </w:r>
      <w:r>
        <w:rPr>
          <w:spacing w:val="-8"/>
        </w:rPr>
        <w:t xml:space="preserve"> </w:t>
      </w:r>
      <w:r>
        <w:t>LGBTQ</w:t>
      </w:r>
      <w:r>
        <w:rPr>
          <w:spacing w:val="-8"/>
        </w:rPr>
        <w:t xml:space="preserve"> </w:t>
      </w:r>
      <w:r>
        <w:t>youth</w:t>
      </w:r>
      <w:r>
        <w:rPr>
          <w:spacing w:val="-7"/>
        </w:rPr>
        <w:t xml:space="preserve"> </w:t>
      </w:r>
      <w:r>
        <w:t>of</w:t>
      </w:r>
      <w:r>
        <w:rPr>
          <w:spacing w:val="-9"/>
        </w:rPr>
        <w:t xml:space="preserve"> </w:t>
      </w:r>
      <w:r>
        <w:t>color,</w:t>
      </w:r>
      <w:r>
        <w:rPr>
          <w:spacing w:val="-7"/>
        </w:rPr>
        <w:t xml:space="preserve"> </w:t>
      </w:r>
      <w:r>
        <w:t>continue</w:t>
      </w:r>
      <w:r>
        <w:rPr>
          <w:spacing w:val="-7"/>
        </w:rPr>
        <w:t xml:space="preserve"> </w:t>
      </w:r>
      <w:r>
        <w:t>to</w:t>
      </w:r>
      <w:r>
        <w:rPr>
          <w:spacing w:val="-7"/>
        </w:rPr>
        <w:t xml:space="preserve"> </w:t>
      </w:r>
      <w:r>
        <w:t>be</w:t>
      </w:r>
      <w:r>
        <w:rPr>
          <w:spacing w:val="-8"/>
        </w:rPr>
        <w:t xml:space="preserve"> </w:t>
      </w:r>
      <w:r>
        <w:t>overrepresented in the system.</w:t>
      </w:r>
    </w:p>
    <w:p w:rsidR="00C76E6D" w:rsidRDefault="00C76E6D">
      <w:pPr>
        <w:pStyle w:val="BodyText"/>
        <w:spacing w:before="4"/>
        <w:rPr>
          <w:sz w:val="25"/>
        </w:rPr>
      </w:pPr>
    </w:p>
    <w:p w:rsidR="00C76E6D" w:rsidRDefault="00913831">
      <w:pPr>
        <w:pStyle w:val="BodyText"/>
        <w:spacing w:line="276" w:lineRule="auto"/>
        <w:ind w:left="478" w:right="474"/>
        <w:jc w:val="both"/>
      </w:pPr>
      <w:r>
        <w:t>In terms of police reform, i</w:t>
      </w:r>
      <w:r>
        <w:t>n December 2020, the legislature adopted An Act Relative to Justice, Equity, and Accountability in Law Enforcement in the Commonwealth. The Act creates a new commission to certify police officers statewide, links qualified immunity with decertification, ad</w:t>
      </w:r>
      <w:r>
        <w:t>opts stronger facial recognition rules, adds a task force to study body camera regulations, strengthens the use of force policies,</w:t>
      </w:r>
      <w:r>
        <w:rPr>
          <w:spacing w:val="-9"/>
        </w:rPr>
        <w:t xml:space="preserve"> </w:t>
      </w:r>
      <w:r>
        <w:t>offers</w:t>
      </w:r>
      <w:r>
        <w:rPr>
          <w:spacing w:val="-7"/>
        </w:rPr>
        <w:t xml:space="preserve"> </w:t>
      </w:r>
      <w:r>
        <w:t>to</w:t>
      </w:r>
      <w:r>
        <w:rPr>
          <w:spacing w:val="-6"/>
        </w:rPr>
        <w:t xml:space="preserve"> </w:t>
      </w:r>
      <w:r>
        <w:t>investigate</w:t>
      </w:r>
      <w:r>
        <w:rPr>
          <w:spacing w:val="-6"/>
        </w:rPr>
        <w:t xml:space="preserve"> </w:t>
      </w:r>
      <w:r>
        <w:t>structural</w:t>
      </w:r>
      <w:r>
        <w:rPr>
          <w:spacing w:val="-5"/>
        </w:rPr>
        <w:t xml:space="preserve"> </w:t>
      </w:r>
      <w:r>
        <w:t>racism,</w:t>
      </w:r>
      <w:r>
        <w:rPr>
          <w:spacing w:val="-6"/>
        </w:rPr>
        <w:t xml:space="preserve"> </w:t>
      </w:r>
      <w:r>
        <w:t>and</w:t>
      </w:r>
      <w:r>
        <w:rPr>
          <w:spacing w:val="-4"/>
        </w:rPr>
        <w:t xml:space="preserve"> </w:t>
      </w:r>
      <w:r>
        <w:t>more</w:t>
      </w:r>
      <w:hyperlink w:anchor="_bookmark415" w:history="1">
        <w:r>
          <w:t>.</w:t>
        </w:r>
        <w:r>
          <w:rPr>
            <w:vertAlign w:val="superscript"/>
          </w:rPr>
          <w:t>66</w:t>
        </w:r>
        <w:r>
          <w:rPr>
            <w:spacing w:val="-10"/>
          </w:rPr>
          <w:t xml:space="preserve"> </w:t>
        </w:r>
      </w:hyperlink>
      <w:r>
        <w:t>However,</w:t>
      </w:r>
      <w:r>
        <w:rPr>
          <w:spacing w:val="-6"/>
        </w:rPr>
        <w:t xml:space="preserve"> </w:t>
      </w:r>
      <w:r>
        <w:t>this</w:t>
      </w:r>
      <w:r>
        <w:rPr>
          <w:spacing w:val="-5"/>
        </w:rPr>
        <w:t xml:space="preserve"> </w:t>
      </w:r>
      <w:r>
        <w:t>bill</w:t>
      </w:r>
      <w:r>
        <w:rPr>
          <w:spacing w:val="-5"/>
        </w:rPr>
        <w:t xml:space="preserve"> </w:t>
      </w:r>
      <w:r>
        <w:t>ultimately</w:t>
      </w:r>
      <w:r>
        <w:rPr>
          <w:spacing w:val="-5"/>
        </w:rPr>
        <w:t xml:space="preserve"> </w:t>
      </w:r>
      <w:r>
        <w:t>is</w:t>
      </w:r>
      <w:r>
        <w:rPr>
          <w:spacing w:val="-6"/>
        </w:rPr>
        <w:t xml:space="preserve"> </w:t>
      </w:r>
      <w:r>
        <w:t>a</w:t>
      </w:r>
      <w:r>
        <w:rPr>
          <w:spacing w:val="-5"/>
        </w:rPr>
        <w:t xml:space="preserve"> </w:t>
      </w:r>
      <w:r>
        <w:t>compromise. More</w:t>
      </w:r>
      <w:r>
        <w:rPr>
          <w:spacing w:val="-9"/>
        </w:rPr>
        <w:t xml:space="preserve"> </w:t>
      </w:r>
      <w:r>
        <w:t>work</w:t>
      </w:r>
      <w:r>
        <w:rPr>
          <w:spacing w:val="-8"/>
        </w:rPr>
        <w:t xml:space="preserve"> </w:t>
      </w:r>
      <w:r>
        <w:t>needs</w:t>
      </w:r>
      <w:r>
        <w:rPr>
          <w:spacing w:val="-9"/>
        </w:rPr>
        <w:t xml:space="preserve"> </w:t>
      </w:r>
      <w:r>
        <w:t>to</w:t>
      </w:r>
      <w:r>
        <w:rPr>
          <w:spacing w:val="-8"/>
        </w:rPr>
        <w:t xml:space="preserve"> </w:t>
      </w:r>
      <w:r>
        <w:t>be</w:t>
      </w:r>
      <w:r>
        <w:rPr>
          <w:spacing w:val="-8"/>
        </w:rPr>
        <w:t xml:space="preserve"> </w:t>
      </w:r>
      <w:r>
        <w:t>done</w:t>
      </w:r>
      <w:r>
        <w:rPr>
          <w:spacing w:val="-9"/>
        </w:rPr>
        <w:t xml:space="preserve"> </w:t>
      </w:r>
      <w:r>
        <w:t>to</w:t>
      </w:r>
      <w:r>
        <w:rPr>
          <w:spacing w:val="-8"/>
        </w:rPr>
        <w:t xml:space="preserve"> </w:t>
      </w:r>
      <w:r>
        <w:t>protect</w:t>
      </w:r>
      <w:r>
        <w:rPr>
          <w:spacing w:val="-8"/>
        </w:rPr>
        <w:t xml:space="preserve"> </w:t>
      </w:r>
      <w:r>
        <w:t>LGBTQ</w:t>
      </w:r>
      <w:r>
        <w:rPr>
          <w:spacing w:val="-8"/>
        </w:rPr>
        <w:t xml:space="preserve"> </w:t>
      </w:r>
      <w:r>
        <w:t>youth,</w:t>
      </w:r>
      <w:r>
        <w:rPr>
          <w:spacing w:val="-8"/>
        </w:rPr>
        <w:t xml:space="preserve"> </w:t>
      </w:r>
      <w:r>
        <w:t>particularly</w:t>
      </w:r>
      <w:r>
        <w:rPr>
          <w:spacing w:val="-8"/>
        </w:rPr>
        <w:t xml:space="preserve"> </w:t>
      </w:r>
      <w:r>
        <w:t>youth</w:t>
      </w:r>
      <w:r>
        <w:rPr>
          <w:spacing w:val="-9"/>
        </w:rPr>
        <w:t xml:space="preserve"> </w:t>
      </w:r>
      <w:r>
        <w:t>of</w:t>
      </w:r>
      <w:r>
        <w:rPr>
          <w:spacing w:val="-8"/>
        </w:rPr>
        <w:t xml:space="preserve"> </w:t>
      </w:r>
      <w:r>
        <w:t>color</w:t>
      </w:r>
      <w:r>
        <w:rPr>
          <w:spacing w:val="-8"/>
        </w:rPr>
        <w:t xml:space="preserve"> </w:t>
      </w:r>
      <w:r>
        <w:t>from</w:t>
      </w:r>
      <w:r>
        <w:rPr>
          <w:spacing w:val="-9"/>
        </w:rPr>
        <w:t xml:space="preserve"> </w:t>
      </w:r>
      <w:r>
        <w:t>police</w:t>
      </w:r>
      <w:r>
        <w:rPr>
          <w:spacing w:val="-8"/>
        </w:rPr>
        <w:t xml:space="preserve"> </w:t>
      </w:r>
      <w:r>
        <w:t>brutality</w:t>
      </w:r>
      <w:r>
        <w:rPr>
          <w:spacing w:val="-8"/>
        </w:rPr>
        <w:t xml:space="preserve"> </w:t>
      </w:r>
      <w:r>
        <w:t>and inequitable law enforcement.</w:t>
      </w:r>
    </w:p>
    <w:p w:rsidR="00C76E6D" w:rsidRDefault="00C76E6D">
      <w:pPr>
        <w:spacing w:line="276" w:lineRule="auto"/>
        <w:jc w:val="both"/>
        <w:sectPr w:rsidR="00C76E6D">
          <w:pgSz w:w="12240" w:h="15840"/>
          <w:pgMar w:top="960" w:right="960" w:bottom="920" w:left="960" w:header="769" w:footer="720" w:gutter="0"/>
          <w:cols w:space="720"/>
        </w:sectPr>
      </w:pPr>
    </w:p>
    <w:p w:rsidR="00C76E6D" w:rsidRDefault="00C76E6D">
      <w:pPr>
        <w:pStyle w:val="BodyText"/>
        <w:spacing w:before="7"/>
        <w:rPr>
          <w:sz w:val="11"/>
        </w:rPr>
      </w:pPr>
    </w:p>
    <w:p w:rsidR="00C76E6D" w:rsidRDefault="00913831">
      <w:pPr>
        <w:pStyle w:val="BodyText"/>
        <w:spacing w:line="20" w:lineRule="exact"/>
        <w:ind w:left="482"/>
        <w:rPr>
          <w:sz w:val="2"/>
        </w:rPr>
      </w:pPr>
      <w:r>
        <w:rPr>
          <w:sz w:val="2"/>
        </w:rPr>
      </w:r>
      <w:r>
        <w:rPr>
          <w:sz w:val="2"/>
        </w:rPr>
        <w:pict>
          <v:group id="docshapegroup291" o:spid="_x0000_s1145" style="width:470.95pt;height:1.55pt;mso-position-horizontal-relative:char;mso-position-vertical-relative:line" coordsize="9419,31">
            <v:line id="_x0000_s1146" style="position:absolute" from="0,15" to="9419,15" strokeweight="1.54pt"/>
            <w10:wrap type="none"/>
            <w10:anchorlock/>
          </v:group>
        </w:pict>
      </w:r>
    </w:p>
    <w:p w:rsidR="00C76E6D" w:rsidRDefault="00C76E6D">
      <w:pPr>
        <w:pStyle w:val="BodyText"/>
        <w:spacing w:before="5"/>
        <w:rPr>
          <w:sz w:val="19"/>
        </w:rPr>
      </w:pPr>
    </w:p>
    <w:p w:rsidR="00C76E6D" w:rsidRDefault="00913831">
      <w:pPr>
        <w:pStyle w:val="Heading4"/>
        <w:spacing w:before="52"/>
      </w:pPr>
      <w:r>
        <w:rPr>
          <w:spacing w:val="-2"/>
        </w:rPr>
        <w:t>ENDNOTES</w:t>
      </w:r>
    </w:p>
    <w:p w:rsidR="00C76E6D" w:rsidRDefault="00913831">
      <w:pPr>
        <w:pStyle w:val="BodyText"/>
        <w:spacing w:before="1"/>
        <w:rPr>
          <w:b/>
          <w:sz w:val="26"/>
        </w:rPr>
      </w:pPr>
      <w:r>
        <w:pict>
          <v:shape id="docshape292" o:spid="_x0000_s1144" style="position:absolute;margin-left:70.6pt;margin-top:17.15pt;width:470.95pt;height:.1pt;z-index:-15676928;mso-wrap-distance-left:0;mso-wrap-distance-right:0;mso-position-horizontal-relative:page" coordorigin="1412,343" coordsize="9419,0" path="m1412,343r9419,e" filled="f" strokeweight="1.54pt">
            <v:path arrowok="t"/>
            <w10:wrap type="topAndBottom" anchorx="page"/>
          </v:shape>
        </w:pict>
      </w:r>
    </w:p>
    <w:p w:rsidR="00C76E6D" w:rsidRDefault="00C76E6D">
      <w:pPr>
        <w:pStyle w:val="BodyText"/>
        <w:spacing w:before="4"/>
        <w:rPr>
          <w:b/>
          <w:sz w:val="20"/>
        </w:rPr>
      </w:pPr>
    </w:p>
    <w:p w:rsidR="00C76E6D" w:rsidRDefault="00913831">
      <w:pPr>
        <w:spacing w:line="276" w:lineRule="auto"/>
        <w:ind w:left="478" w:right="530"/>
        <w:rPr>
          <w:i/>
          <w:sz w:val="24"/>
        </w:rPr>
      </w:pPr>
      <w:r>
        <w:rPr>
          <w:i/>
          <w:sz w:val="24"/>
        </w:rPr>
        <w:t>Acknowledgments: Mary Morrissey,</w:t>
      </w:r>
      <w:r>
        <w:rPr>
          <w:i/>
          <w:spacing w:val="40"/>
          <w:sz w:val="24"/>
        </w:rPr>
        <w:t xml:space="preserve"> </w:t>
      </w:r>
      <w:r>
        <w:rPr>
          <w:i/>
          <w:sz w:val="24"/>
        </w:rPr>
        <w:t>lead researcher, and</w:t>
      </w:r>
      <w:r>
        <w:rPr>
          <w:i/>
          <w:spacing w:val="-4"/>
          <w:sz w:val="24"/>
        </w:rPr>
        <w:t xml:space="preserve"> </w:t>
      </w:r>
      <w:r>
        <w:rPr>
          <w:i/>
          <w:sz w:val="24"/>
        </w:rPr>
        <w:t>writer; editing and proofreading by</w:t>
      </w:r>
      <w:r>
        <w:rPr>
          <w:i/>
          <w:spacing w:val="40"/>
          <w:sz w:val="24"/>
        </w:rPr>
        <w:t xml:space="preserve"> </w:t>
      </w:r>
      <w:r>
        <w:rPr>
          <w:i/>
          <w:sz w:val="24"/>
        </w:rPr>
        <w:t>Massachusetts Commission on LGBTQ Youth staff</w:t>
      </w:r>
    </w:p>
    <w:p w:rsidR="00C76E6D" w:rsidRDefault="00C76E6D">
      <w:pPr>
        <w:pStyle w:val="BodyText"/>
        <w:rPr>
          <w:i/>
          <w:sz w:val="24"/>
        </w:rPr>
      </w:pPr>
    </w:p>
    <w:p w:rsidR="00C76E6D" w:rsidRDefault="00C76E6D">
      <w:pPr>
        <w:pStyle w:val="BodyText"/>
        <w:spacing w:before="11"/>
        <w:rPr>
          <w:i/>
          <w:sz w:val="28"/>
        </w:rPr>
      </w:pPr>
    </w:p>
    <w:p w:rsidR="00C76E6D" w:rsidRDefault="00913831">
      <w:pPr>
        <w:spacing w:before="1"/>
        <w:ind w:left="480" w:right="530" w:hanging="3"/>
        <w:rPr>
          <w:sz w:val="20"/>
        </w:rPr>
      </w:pPr>
      <w:bookmarkStart w:id="484" w:name="_bookmark350"/>
      <w:bookmarkEnd w:id="484"/>
      <w:r>
        <w:rPr>
          <w:sz w:val="20"/>
          <w:vertAlign w:val="superscript"/>
        </w:rPr>
        <w:t>1</w:t>
      </w:r>
      <w:r>
        <w:rPr>
          <w:spacing w:val="-6"/>
          <w:sz w:val="20"/>
        </w:rPr>
        <w:t xml:space="preserve"> </w:t>
      </w:r>
      <w:r>
        <w:rPr>
          <w:sz w:val="20"/>
        </w:rPr>
        <w:t>“Addressing</w:t>
      </w:r>
      <w:r>
        <w:rPr>
          <w:spacing w:val="-7"/>
          <w:sz w:val="20"/>
        </w:rPr>
        <w:t xml:space="preserve"> </w:t>
      </w:r>
      <w:r>
        <w:rPr>
          <w:sz w:val="20"/>
        </w:rPr>
        <w:t>the</w:t>
      </w:r>
      <w:r>
        <w:rPr>
          <w:spacing w:val="-7"/>
          <w:sz w:val="20"/>
        </w:rPr>
        <w:t xml:space="preserve"> </w:t>
      </w:r>
      <w:r>
        <w:rPr>
          <w:sz w:val="20"/>
        </w:rPr>
        <w:t>Intersections</w:t>
      </w:r>
      <w:r>
        <w:rPr>
          <w:spacing w:val="-7"/>
          <w:sz w:val="20"/>
        </w:rPr>
        <w:t xml:space="preserve"> </w:t>
      </w:r>
      <w:r>
        <w:rPr>
          <w:sz w:val="20"/>
        </w:rPr>
        <w:t>of</w:t>
      </w:r>
      <w:r>
        <w:rPr>
          <w:spacing w:val="-7"/>
          <w:sz w:val="20"/>
        </w:rPr>
        <w:t xml:space="preserve"> </w:t>
      </w:r>
      <w:r>
        <w:rPr>
          <w:sz w:val="20"/>
        </w:rPr>
        <w:t>Juvenile</w:t>
      </w:r>
      <w:r>
        <w:rPr>
          <w:spacing w:val="-7"/>
          <w:sz w:val="20"/>
        </w:rPr>
        <w:t xml:space="preserve"> </w:t>
      </w:r>
      <w:r>
        <w:rPr>
          <w:sz w:val="20"/>
        </w:rPr>
        <w:t>Justice</w:t>
      </w:r>
      <w:r>
        <w:rPr>
          <w:spacing w:val="-6"/>
          <w:sz w:val="20"/>
        </w:rPr>
        <w:t xml:space="preserve"> </w:t>
      </w:r>
      <w:r>
        <w:rPr>
          <w:sz w:val="20"/>
        </w:rPr>
        <w:t>Involvement</w:t>
      </w:r>
      <w:r>
        <w:rPr>
          <w:spacing w:val="-6"/>
          <w:sz w:val="20"/>
        </w:rPr>
        <w:t xml:space="preserve"> </w:t>
      </w:r>
      <w:r>
        <w:rPr>
          <w:sz w:val="20"/>
        </w:rPr>
        <w:t>and</w:t>
      </w:r>
      <w:r>
        <w:rPr>
          <w:spacing w:val="-6"/>
          <w:sz w:val="20"/>
        </w:rPr>
        <w:t xml:space="preserve"> </w:t>
      </w:r>
      <w:r>
        <w:rPr>
          <w:sz w:val="20"/>
        </w:rPr>
        <w:t>Youth</w:t>
      </w:r>
      <w:r>
        <w:rPr>
          <w:spacing w:val="-10"/>
          <w:sz w:val="20"/>
        </w:rPr>
        <w:t xml:space="preserve"> </w:t>
      </w:r>
      <w:r>
        <w:rPr>
          <w:sz w:val="20"/>
        </w:rPr>
        <w:t>Homelessness:</w:t>
      </w:r>
      <w:r>
        <w:rPr>
          <w:spacing w:val="-6"/>
          <w:sz w:val="20"/>
        </w:rPr>
        <w:t xml:space="preserve"> </w:t>
      </w:r>
      <w:r>
        <w:rPr>
          <w:sz w:val="20"/>
        </w:rPr>
        <w:t>Serving</w:t>
      </w:r>
      <w:r>
        <w:rPr>
          <w:spacing w:val="-6"/>
          <w:sz w:val="20"/>
        </w:rPr>
        <w:t xml:space="preserve"> </w:t>
      </w:r>
      <w:r>
        <w:rPr>
          <w:sz w:val="20"/>
        </w:rPr>
        <w:t>LGBTQ</w:t>
      </w:r>
      <w:r>
        <w:rPr>
          <w:spacing w:val="-7"/>
          <w:sz w:val="20"/>
        </w:rPr>
        <w:t xml:space="preserve"> </w:t>
      </w:r>
      <w:r>
        <w:rPr>
          <w:sz w:val="20"/>
        </w:rPr>
        <w:t>Youth,” Coalitio</w:t>
      </w:r>
      <w:r>
        <w:rPr>
          <w:sz w:val="20"/>
        </w:rPr>
        <w:t xml:space="preserve">n for Juvenile Justice, 2017, </w:t>
      </w:r>
      <w:r>
        <w:rPr>
          <w:spacing w:val="-2"/>
          <w:sz w:val="20"/>
        </w:rPr>
        <w:t>https://</w:t>
      </w:r>
      <w:hyperlink r:id="rId280">
        <w:r>
          <w:rPr>
            <w:spacing w:val="-2"/>
            <w:sz w:val="20"/>
          </w:rPr>
          <w:t>www.juvjustice.org/sites/default/files/ckfinder/files/LGBTQ%20youth%20report%20Final.pdf.</w:t>
        </w:r>
      </w:hyperlink>
    </w:p>
    <w:p w:rsidR="00C76E6D" w:rsidRDefault="00913831">
      <w:pPr>
        <w:ind w:left="481" w:right="530" w:hanging="3"/>
        <w:rPr>
          <w:sz w:val="20"/>
        </w:rPr>
      </w:pPr>
      <w:bookmarkStart w:id="485" w:name="_bookmark351"/>
      <w:bookmarkEnd w:id="485"/>
      <w:r>
        <w:rPr>
          <w:sz w:val="20"/>
          <w:vertAlign w:val="superscript"/>
        </w:rPr>
        <w:t>2</w:t>
      </w:r>
      <w:r>
        <w:rPr>
          <w:spacing w:val="-4"/>
          <w:sz w:val="20"/>
        </w:rPr>
        <w:t xml:space="preserve"> </w:t>
      </w:r>
      <w:r>
        <w:rPr>
          <w:sz w:val="20"/>
        </w:rPr>
        <w:t>“Unjust:</w:t>
      </w:r>
      <w:r>
        <w:rPr>
          <w:spacing w:val="-4"/>
          <w:sz w:val="20"/>
        </w:rPr>
        <w:t xml:space="preserve"> </w:t>
      </w:r>
      <w:r>
        <w:rPr>
          <w:sz w:val="20"/>
        </w:rPr>
        <w:t>LGBTQ</w:t>
      </w:r>
      <w:r>
        <w:rPr>
          <w:spacing w:val="-5"/>
          <w:sz w:val="20"/>
        </w:rPr>
        <w:t xml:space="preserve"> </w:t>
      </w:r>
      <w:r>
        <w:rPr>
          <w:sz w:val="20"/>
        </w:rPr>
        <w:t>Youth</w:t>
      </w:r>
      <w:r>
        <w:rPr>
          <w:spacing w:val="-4"/>
          <w:sz w:val="20"/>
        </w:rPr>
        <w:t xml:space="preserve"> </w:t>
      </w:r>
      <w:r>
        <w:rPr>
          <w:sz w:val="20"/>
        </w:rPr>
        <w:t>Incarcerated</w:t>
      </w:r>
      <w:r>
        <w:rPr>
          <w:spacing w:val="-4"/>
          <w:sz w:val="20"/>
        </w:rPr>
        <w:t xml:space="preserve"> </w:t>
      </w:r>
      <w:r>
        <w:rPr>
          <w:sz w:val="20"/>
        </w:rPr>
        <w:t>in</w:t>
      </w:r>
      <w:r>
        <w:rPr>
          <w:spacing w:val="-5"/>
          <w:sz w:val="20"/>
        </w:rPr>
        <w:t xml:space="preserve"> </w:t>
      </w:r>
      <w:r>
        <w:rPr>
          <w:sz w:val="20"/>
        </w:rPr>
        <w:t>the</w:t>
      </w:r>
      <w:r>
        <w:rPr>
          <w:spacing w:val="-8"/>
          <w:sz w:val="20"/>
        </w:rPr>
        <w:t xml:space="preserve"> </w:t>
      </w:r>
      <w:r>
        <w:rPr>
          <w:sz w:val="20"/>
        </w:rPr>
        <w:t>Juvenile</w:t>
      </w:r>
      <w:r>
        <w:rPr>
          <w:spacing w:val="-5"/>
          <w:sz w:val="20"/>
        </w:rPr>
        <w:t xml:space="preserve"> </w:t>
      </w:r>
      <w:r>
        <w:rPr>
          <w:sz w:val="20"/>
        </w:rPr>
        <w:t>Justice</w:t>
      </w:r>
      <w:r>
        <w:rPr>
          <w:spacing w:val="-7"/>
          <w:sz w:val="20"/>
        </w:rPr>
        <w:t xml:space="preserve"> </w:t>
      </w:r>
      <w:r>
        <w:rPr>
          <w:sz w:val="20"/>
        </w:rPr>
        <w:t>System,</w:t>
      </w:r>
      <w:r>
        <w:rPr>
          <w:spacing w:val="-5"/>
          <w:sz w:val="20"/>
        </w:rPr>
        <w:t xml:space="preserve"> </w:t>
      </w:r>
      <w:r>
        <w:rPr>
          <w:sz w:val="20"/>
        </w:rPr>
        <w:t>Center</w:t>
      </w:r>
      <w:r>
        <w:rPr>
          <w:spacing w:val="-5"/>
          <w:sz w:val="20"/>
        </w:rPr>
        <w:t xml:space="preserve"> </w:t>
      </w:r>
      <w:r>
        <w:rPr>
          <w:sz w:val="20"/>
        </w:rPr>
        <w:t>for</w:t>
      </w:r>
      <w:r>
        <w:rPr>
          <w:spacing w:val="-5"/>
          <w:sz w:val="20"/>
        </w:rPr>
        <w:t xml:space="preserve"> </w:t>
      </w:r>
      <w:r>
        <w:rPr>
          <w:sz w:val="20"/>
        </w:rPr>
        <w:t>American</w:t>
      </w:r>
      <w:r>
        <w:rPr>
          <w:spacing w:val="-5"/>
          <w:sz w:val="20"/>
        </w:rPr>
        <w:t xml:space="preserve"> </w:t>
      </w:r>
      <w:r>
        <w:rPr>
          <w:sz w:val="20"/>
        </w:rPr>
        <w:t>Progress,</w:t>
      </w:r>
      <w:r>
        <w:rPr>
          <w:spacing w:val="-4"/>
          <w:sz w:val="20"/>
        </w:rPr>
        <w:t xml:space="preserve"> </w:t>
      </w:r>
      <w:r>
        <w:rPr>
          <w:sz w:val="20"/>
        </w:rPr>
        <w:t>MAP,</w:t>
      </w:r>
      <w:r>
        <w:rPr>
          <w:spacing w:val="-4"/>
          <w:sz w:val="20"/>
        </w:rPr>
        <w:t xml:space="preserve"> </w:t>
      </w:r>
      <w:r>
        <w:rPr>
          <w:sz w:val="20"/>
        </w:rPr>
        <w:t>and</w:t>
      </w:r>
      <w:r>
        <w:rPr>
          <w:spacing w:val="-4"/>
          <w:sz w:val="20"/>
        </w:rPr>
        <w:t xml:space="preserve"> </w:t>
      </w:r>
      <w:r>
        <w:rPr>
          <w:sz w:val="20"/>
        </w:rPr>
        <w:t>Youth First, June 2017, https://</w:t>
      </w:r>
      <w:hyperlink r:id="rId281">
        <w:r>
          <w:rPr>
            <w:sz w:val="20"/>
          </w:rPr>
          <w:t>www.lgbtmap.org/file/lgbtq-incarcerated-youth.pdf.</w:t>
        </w:r>
      </w:hyperlink>
    </w:p>
    <w:p w:rsidR="00C76E6D" w:rsidRDefault="00913831">
      <w:pPr>
        <w:ind w:left="481" w:right="1600" w:hanging="3"/>
        <w:rPr>
          <w:sz w:val="20"/>
        </w:rPr>
      </w:pPr>
      <w:bookmarkStart w:id="486" w:name="_bookmark352"/>
      <w:bookmarkEnd w:id="486"/>
      <w:r>
        <w:rPr>
          <w:sz w:val="20"/>
          <w:vertAlign w:val="superscript"/>
        </w:rPr>
        <w:t>3</w:t>
      </w:r>
      <w:r>
        <w:rPr>
          <w:spacing w:val="-6"/>
          <w:sz w:val="20"/>
        </w:rPr>
        <w:t xml:space="preserve"> </w:t>
      </w:r>
      <w:r>
        <w:rPr>
          <w:sz w:val="20"/>
        </w:rPr>
        <w:t>Lambda</w:t>
      </w:r>
      <w:r>
        <w:rPr>
          <w:spacing w:val="-8"/>
          <w:sz w:val="20"/>
        </w:rPr>
        <w:t xml:space="preserve"> </w:t>
      </w:r>
      <w:r>
        <w:rPr>
          <w:sz w:val="20"/>
        </w:rPr>
        <w:t>Legal,</w:t>
      </w:r>
      <w:r>
        <w:rPr>
          <w:spacing w:val="-6"/>
          <w:sz w:val="20"/>
        </w:rPr>
        <w:t xml:space="preserve"> </w:t>
      </w:r>
      <w:r>
        <w:rPr>
          <w:sz w:val="20"/>
        </w:rPr>
        <w:t>“Protected</w:t>
      </w:r>
      <w:r>
        <w:rPr>
          <w:spacing w:val="-6"/>
          <w:sz w:val="20"/>
        </w:rPr>
        <w:t xml:space="preserve"> </w:t>
      </w:r>
      <w:r>
        <w:rPr>
          <w:sz w:val="20"/>
        </w:rPr>
        <w:t>and</w:t>
      </w:r>
      <w:r>
        <w:rPr>
          <w:spacing w:val="-6"/>
          <w:sz w:val="20"/>
        </w:rPr>
        <w:t xml:space="preserve"> </w:t>
      </w:r>
      <w:r>
        <w:rPr>
          <w:sz w:val="20"/>
        </w:rPr>
        <w:t>Served?</w:t>
      </w:r>
      <w:r>
        <w:rPr>
          <w:spacing w:val="-10"/>
          <w:sz w:val="20"/>
        </w:rPr>
        <w:t xml:space="preserve"> </w:t>
      </w:r>
      <w:r>
        <w:rPr>
          <w:sz w:val="20"/>
        </w:rPr>
        <w:t>School</w:t>
      </w:r>
      <w:r>
        <w:rPr>
          <w:spacing w:val="-7"/>
          <w:sz w:val="20"/>
        </w:rPr>
        <w:t xml:space="preserve"> </w:t>
      </w:r>
      <w:r>
        <w:rPr>
          <w:sz w:val="20"/>
        </w:rPr>
        <w:t>Security,</w:t>
      </w:r>
      <w:r>
        <w:rPr>
          <w:spacing w:val="-6"/>
          <w:sz w:val="20"/>
        </w:rPr>
        <w:t xml:space="preserve"> </w:t>
      </w:r>
      <w:r>
        <w:rPr>
          <w:sz w:val="20"/>
        </w:rPr>
        <w:t>Policing</w:t>
      </w:r>
      <w:r>
        <w:rPr>
          <w:spacing w:val="-6"/>
          <w:sz w:val="20"/>
        </w:rPr>
        <w:t xml:space="preserve"> </w:t>
      </w:r>
      <w:r>
        <w:rPr>
          <w:sz w:val="20"/>
        </w:rPr>
        <w:t>and</w:t>
      </w:r>
      <w:r>
        <w:rPr>
          <w:spacing w:val="-8"/>
          <w:sz w:val="20"/>
        </w:rPr>
        <w:t xml:space="preserve"> </w:t>
      </w:r>
      <w:r>
        <w:rPr>
          <w:sz w:val="20"/>
        </w:rPr>
        <w:t>Discipline,”</w:t>
      </w:r>
      <w:r>
        <w:rPr>
          <w:spacing w:val="-8"/>
          <w:sz w:val="20"/>
        </w:rPr>
        <w:t xml:space="preserve"> </w:t>
      </w:r>
      <w:r>
        <w:rPr>
          <w:sz w:val="20"/>
        </w:rPr>
        <w:t>January</w:t>
      </w:r>
      <w:r>
        <w:rPr>
          <w:spacing w:val="-6"/>
          <w:sz w:val="20"/>
        </w:rPr>
        <w:t xml:space="preserve"> </w:t>
      </w:r>
      <w:r>
        <w:rPr>
          <w:sz w:val="20"/>
        </w:rPr>
        <w:t>7,</w:t>
      </w:r>
      <w:r>
        <w:rPr>
          <w:spacing w:val="-8"/>
          <w:sz w:val="20"/>
        </w:rPr>
        <w:t xml:space="preserve"> </w:t>
      </w:r>
      <w:r>
        <w:rPr>
          <w:sz w:val="20"/>
        </w:rPr>
        <w:t xml:space="preserve">2016, </w:t>
      </w:r>
      <w:bookmarkStart w:id="487" w:name="_bookmark353"/>
      <w:bookmarkEnd w:id="487"/>
      <w:r>
        <w:rPr>
          <w:spacing w:val="-2"/>
          <w:sz w:val="20"/>
        </w:rPr>
        <w:t>https://</w:t>
      </w:r>
      <w:hyperlink r:id="rId282">
        <w:r>
          <w:rPr>
            <w:spacing w:val="-2"/>
            <w:sz w:val="20"/>
          </w:rPr>
          <w:t>www.lambdalegal.org/node/30521.</w:t>
        </w:r>
      </w:hyperlink>
    </w:p>
    <w:p w:rsidR="00C76E6D" w:rsidRDefault="00913831">
      <w:pPr>
        <w:ind w:left="481" w:right="928" w:hanging="3"/>
        <w:rPr>
          <w:sz w:val="20"/>
        </w:rPr>
      </w:pPr>
      <w:r>
        <w:rPr>
          <w:sz w:val="20"/>
          <w:vertAlign w:val="superscript"/>
        </w:rPr>
        <w:t>4</w:t>
      </w:r>
      <w:r>
        <w:rPr>
          <w:spacing w:val="-4"/>
          <w:sz w:val="20"/>
        </w:rPr>
        <w:t xml:space="preserve"> </w:t>
      </w:r>
      <w:r>
        <w:rPr>
          <w:sz w:val="20"/>
        </w:rPr>
        <w:t>Rebecca</w:t>
      </w:r>
      <w:r>
        <w:rPr>
          <w:spacing w:val="-5"/>
          <w:sz w:val="20"/>
        </w:rPr>
        <w:t xml:space="preserve"> </w:t>
      </w:r>
      <w:r>
        <w:rPr>
          <w:sz w:val="20"/>
        </w:rPr>
        <w:t>Vallas</w:t>
      </w:r>
      <w:r>
        <w:rPr>
          <w:spacing w:val="-5"/>
          <w:sz w:val="20"/>
        </w:rPr>
        <w:t xml:space="preserve"> </w:t>
      </w:r>
      <w:r>
        <w:rPr>
          <w:sz w:val="20"/>
        </w:rPr>
        <w:t>and</w:t>
      </w:r>
      <w:r>
        <w:rPr>
          <w:spacing w:val="-5"/>
          <w:sz w:val="20"/>
        </w:rPr>
        <w:t xml:space="preserve"> </w:t>
      </w:r>
      <w:r>
        <w:rPr>
          <w:sz w:val="20"/>
        </w:rPr>
        <w:t>Sharon</w:t>
      </w:r>
      <w:r>
        <w:rPr>
          <w:spacing w:val="-5"/>
          <w:sz w:val="20"/>
        </w:rPr>
        <w:t xml:space="preserve"> </w:t>
      </w:r>
      <w:r>
        <w:rPr>
          <w:sz w:val="20"/>
        </w:rPr>
        <w:t>Dietrich,</w:t>
      </w:r>
      <w:r>
        <w:rPr>
          <w:spacing w:val="-5"/>
          <w:sz w:val="20"/>
        </w:rPr>
        <w:t xml:space="preserve"> </w:t>
      </w:r>
      <w:r>
        <w:rPr>
          <w:sz w:val="20"/>
        </w:rPr>
        <w:t>“One</w:t>
      </w:r>
      <w:r>
        <w:rPr>
          <w:spacing w:val="-7"/>
          <w:sz w:val="20"/>
        </w:rPr>
        <w:t xml:space="preserve"> </w:t>
      </w:r>
      <w:r>
        <w:rPr>
          <w:sz w:val="20"/>
        </w:rPr>
        <w:t>Strike</w:t>
      </w:r>
      <w:r>
        <w:rPr>
          <w:spacing w:val="-4"/>
          <w:sz w:val="20"/>
        </w:rPr>
        <w:t xml:space="preserve"> </w:t>
      </w:r>
      <w:r>
        <w:rPr>
          <w:sz w:val="20"/>
        </w:rPr>
        <w:t>and</w:t>
      </w:r>
      <w:r>
        <w:rPr>
          <w:spacing w:val="-4"/>
          <w:sz w:val="20"/>
        </w:rPr>
        <w:t xml:space="preserve"> </w:t>
      </w:r>
      <w:r>
        <w:rPr>
          <w:sz w:val="20"/>
        </w:rPr>
        <w:t>You’re</w:t>
      </w:r>
      <w:r>
        <w:rPr>
          <w:spacing w:val="-4"/>
          <w:sz w:val="20"/>
        </w:rPr>
        <w:t xml:space="preserve"> </w:t>
      </w:r>
      <w:r>
        <w:rPr>
          <w:sz w:val="20"/>
        </w:rPr>
        <w:t>Out:</w:t>
      </w:r>
      <w:r>
        <w:rPr>
          <w:spacing w:val="-5"/>
          <w:sz w:val="20"/>
        </w:rPr>
        <w:t xml:space="preserve"> </w:t>
      </w:r>
      <w:r>
        <w:rPr>
          <w:sz w:val="20"/>
        </w:rPr>
        <w:t>How</w:t>
      </w:r>
      <w:r>
        <w:rPr>
          <w:spacing w:val="-7"/>
          <w:sz w:val="20"/>
        </w:rPr>
        <w:t xml:space="preserve"> </w:t>
      </w:r>
      <w:r>
        <w:rPr>
          <w:sz w:val="20"/>
        </w:rPr>
        <w:t>We</w:t>
      </w:r>
      <w:r>
        <w:rPr>
          <w:spacing w:val="-5"/>
          <w:sz w:val="20"/>
        </w:rPr>
        <w:t xml:space="preserve"> </w:t>
      </w:r>
      <w:r>
        <w:rPr>
          <w:sz w:val="20"/>
        </w:rPr>
        <w:t>Can</w:t>
      </w:r>
      <w:r>
        <w:rPr>
          <w:spacing w:val="-5"/>
          <w:sz w:val="20"/>
        </w:rPr>
        <w:t xml:space="preserve"> </w:t>
      </w:r>
      <w:r>
        <w:rPr>
          <w:sz w:val="20"/>
        </w:rPr>
        <w:t>Eliminate</w:t>
      </w:r>
      <w:r>
        <w:rPr>
          <w:spacing w:val="-4"/>
          <w:sz w:val="20"/>
        </w:rPr>
        <w:t xml:space="preserve"> </w:t>
      </w:r>
      <w:r>
        <w:rPr>
          <w:sz w:val="20"/>
        </w:rPr>
        <w:t>Barriers</w:t>
      </w:r>
      <w:r>
        <w:rPr>
          <w:spacing w:val="-5"/>
          <w:sz w:val="20"/>
        </w:rPr>
        <w:t xml:space="preserve"> </w:t>
      </w:r>
      <w:r>
        <w:rPr>
          <w:sz w:val="20"/>
        </w:rPr>
        <w:t>to</w:t>
      </w:r>
      <w:r>
        <w:rPr>
          <w:spacing w:val="-6"/>
          <w:sz w:val="20"/>
        </w:rPr>
        <w:t xml:space="preserve"> </w:t>
      </w:r>
      <w:r>
        <w:rPr>
          <w:sz w:val="20"/>
        </w:rPr>
        <w:t xml:space="preserve">Economic Security and Mobility for People with Juvenile Records, Center for American Progress, December 2, 2014, </w:t>
      </w:r>
      <w:r>
        <w:rPr>
          <w:spacing w:val="-2"/>
          <w:sz w:val="20"/>
        </w:rPr>
        <w:t>https://</w:t>
      </w:r>
      <w:hyperlink r:id="rId283">
        <w:r>
          <w:rPr>
            <w:spacing w:val="-2"/>
            <w:sz w:val="20"/>
          </w:rPr>
          <w:t>www.americanprogress.org/issues/poverty/reports/2014/12/02/102308/one-strike-and-youre-out.</w:t>
        </w:r>
      </w:hyperlink>
    </w:p>
    <w:p w:rsidR="00C76E6D" w:rsidRDefault="00913831">
      <w:pPr>
        <w:ind w:left="480" w:right="530" w:hanging="2"/>
        <w:rPr>
          <w:sz w:val="20"/>
        </w:rPr>
      </w:pPr>
      <w:bookmarkStart w:id="488" w:name="_bookmark354"/>
      <w:bookmarkEnd w:id="488"/>
      <w:r>
        <w:rPr>
          <w:sz w:val="20"/>
          <w:vertAlign w:val="superscript"/>
        </w:rPr>
        <w:t>5</w:t>
      </w:r>
      <w:r>
        <w:rPr>
          <w:spacing w:val="-5"/>
          <w:sz w:val="20"/>
        </w:rPr>
        <w:t xml:space="preserve"> </w:t>
      </w:r>
      <w:r>
        <w:rPr>
          <w:sz w:val="20"/>
        </w:rPr>
        <w:t>Daiana</w:t>
      </w:r>
      <w:r>
        <w:rPr>
          <w:spacing w:val="-7"/>
          <w:sz w:val="20"/>
        </w:rPr>
        <w:t xml:space="preserve"> </w:t>
      </w:r>
      <w:r>
        <w:rPr>
          <w:sz w:val="20"/>
        </w:rPr>
        <w:t>Griffith,</w:t>
      </w:r>
      <w:r>
        <w:rPr>
          <w:spacing w:val="-5"/>
          <w:sz w:val="20"/>
        </w:rPr>
        <w:t xml:space="preserve"> </w:t>
      </w:r>
      <w:r>
        <w:rPr>
          <w:sz w:val="20"/>
        </w:rPr>
        <w:t>“LGBTQ</w:t>
      </w:r>
      <w:r>
        <w:rPr>
          <w:spacing w:val="-7"/>
          <w:sz w:val="20"/>
        </w:rPr>
        <w:t xml:space="preserve"> </w:t>
      </w:r>
      <w:r>
        <w:rPr>
          <w:sz w:val="20"/>
        </w:rPr>
        <w:t>youth</w:t>
      </w:r>
      <w:r>
        <w:rPr>
          <w:spacing w:val="-5"/>
          <w:sz w:val="20"/>
        </w:rPr>
        <w:t xml:space="preserve"> </w:t>
      </w:r>
      <w:r>
        <w:rPr>
          <w:sz w:val="20"/>
        </w:rPr>
        <w:t>are</w:t>
      </w:r>
      <w:r>
        <w:rPr>
          <w:spacing w:val="-6"/>
          <w:sz w:val="20"/>
        </w:rPr>
        <w:t xml:space="preserve"> </w:t>
      </w:r>
      <w:r>
        <w:rPr>
          <w:sz w:val="20"/>
        </w:rPr>
        <w:t>at</w:t>
      </w:r>
      <w:r>
        <w:rPr>
          <w:spacing w:val="-7"/>
          <w:sz w:val="20"/>
        </w:rPr>
        <w:t xml:space="preserve"> </w:t>
      </w:r>
      <w:r>
        <w:rPr>
          <w:sz w:val="20"/>
        </w:rPr>
        <w:t>greater</w:t>
      </w:r>
      <w:r>
        <w:rPr>
          <w:spacing w:val="-6"/>
          <w:sz w:val="20"/>
        </w:rPr>
        <w:t xml:space="preserve"> </w:t>
      </w:r>
      <w:r>
        <w:rPr>
          <w:sz w:val="20"/>
        </w:rPr>
        <w:t>risk</w:t>
      </w:r>
      <w:r>
        <w:rPr>
          <w:spacing w:val="-6"/>
          <w:sz w:val="20"/>
        </w:rPr>
        <w:t xml:space="preserve"> </w:t>
      </w:r>
      <w:r>
        <w:rPr>
          <w:sz w:val="20"/>
        </w:rPr>
        <w:t>of</w:t>
      </w:r>
      <w:r>
        <w:rPr>
          <w:spacing w:val="-6"/>
          <w:sz w:val="20"/>
        </w:rPr>
        <w:t xml:space="preserve"> </w:t>
      </w:r>
      <w:r>
        <w:rPr>
          <w:sz w:val="20"/>
        </w:rPr>
        <w:t>homelessness</w:t>
      </w:r>
      <w:r>
        <w:rPr>
          <w:spacing w:val="-6"/>
          <w:sz w:val="20"/>
        </w:rPr>
        <w:t xml:space="preserve"> </w:t>
      </w:r>
      <w:r>
        <w:rPr>
          <w:sz w:val="20"/>
        </w:rPr>
        <w:t>and</w:t>
      </w:r>
      <w:r>
        <w:rPr>
          <w:spacing w:val="-5"/>
          <w:sz w:val="20"/>
        </w:rPr>
        <w:t xml:space="preserve"> </w:t>
      </w:r>
      <w:r>
        <w:rPr>
          <w:sz w:val="20"/>
        </w:rPr>
        <w:t>incarceration,”</w:t>
      </w:r>
      <w:r>
        <w:rPr>
          <w:spacing w:val="-6"/>
          <w:sz w:val="20"/>
        </w:rPr>
        <w:t xml:space="preserve"> </w:t>
      </w:r>
      <w:r>
        <w:rPr>
          <w:sz w:val="20"/>
        </w:rPr>
        <w:t>Prison</w:t>
      </w:r>
      <w:r>
        <w:rPr>
          <w:spacing w:val="-6"/>
          <w:sz w:val="20"/>
        </w:rPr>
        <w:t xml:space="preserve"> </w:t>
      </w:r>
      <w:r>
        <w:rPr>
          <w:sz w:val="20"/>
        </w:rPr>
        <w:t>Policy</w:t>
      </w:r>
      <w:r>
        <w:rPr>
          <w:spacing w:val="-5"/>
          <w:sz w:val="20"/>
        </w:rPr>
        <w:t xml:space="preserve"> </w:t>
      </w:r>
      <w:r>
        <w:rPr>
          <w:sz w:val="20"/>
        </w:rPr>
        <w:t>Initiative, January 22, 2019, https://</w:t>
      </w:r>
      <w:hyperlink r:id="rId284">
        <w:r>
          <w:rPr>
            <w:sz w:val="20"/>
          </w:rPr>
          <w:t>www.prisonpolicy.org/blog/2019/01/22/lgbtq_youth.</w:t>
        </w:r>
      </w:hyperlink>
    </w:p>
    <w:p w:rsidR="00C76E6D" w:rsidRDefault="00913831">
      <w:pPr>
        <w:ind w:left="481" w:right="1600" w:hanging="3"/>
        <w:rPr>
          <w:sz w:val="20"/>
        </w:rPr>
      </w:pPr>
      <w:bookmarkStart w:id="489" w:name="_bookmark355"/>
      <w:bookmarkEnd w:id="489"/>
      <w:r>
        <w:rPr>
          <w:sz w:val="20"/>
          <w:vertAlign w:val="superscript"/>
        </w:rPr>
        <w:t>6</w:t>
      </w:r>
      <w:r>
        <w:rPr>
          <w:spacing w:val="-6"/>
          <w:sz w:val="20"/>
        </w:rPr>
        <w:t xml:space="preserve"> </w:t>
      </w:r>
      <w:r>
        <w:rPr>
          <w:sz w:val="20"/>
        </w:rPr>
        <w:t>Lambda</w:t>
      </w:r>
      <w:r>
        <w:rPr>
          <w:spacing w:val="-8"/>
          <w:sz w:val="20"/>
        </w:rPr>
        <w:t xml:space="preserve"> </w:t>
      </w:r>
      <w:r>
        <w:rPr>
          <w:sz w:val="20"/>
        </w:rPr>
        <w:t>Legal,</w:t>
      </w:r>
      <w:r>
        <w:rPr>
          <w:spacing w:val="-6"/>
          <w:sz w:val="20"/>
        </w:rPr>
        <w:t xml:space="preserve"> </w:t>
      </w:r>
      <w:r>
        <w:rPr>
          <w:sz w:val="20"/>
        </w:rPr>
        <w:t>“Protected</w:t>
      </w:r>
      <w:r>
        <w:rPr>
          <w:spacing w:val="-6"/>
          <w:sz w:val="20"/>
        </w:rPr>
        <w:t xml:space="preserve"> </w:t>
      </w:r>
      <w:r>
        <w:rPr>
          <w:sz w:val="20"/>
        </w:rPr>
        <w:t>and</w:t>
      </w:r>
      <w:r>
        <w:rPr>
          <w:spacing w:val="-6"/>
          <w:sz w:val="20"/>
        </w:rPr>
        <w:t xml:space="preserve"> </w:t>
      </w:r>
      <w:r>
        <w:rPr>
          <w:sz w:val="20"/>
        </w:rPr>
        <w:t>Served?</w:t>
      </w:r>
      <w:r>
        <w:rPr>
          <w:spacing w:val="-10"/>
          <w:sz w:val="20"/>
        </w:rPr>
        <w:t xml:space="preserve"> </w:t>
      </w:r>
      <w:r>
        <w:rPr>
          <w:sz w:val="20"/>
        </w:rPr>
        <w:t>School</w:t>
      </w:r>
      <w:r>
        <w:rPr>
          <w:spacing w:val="-7"/>
          <w:sz w:val="20"/>
        </w:rPr>
        <w:t xml:space="preserve"> </w:t>
      </w:r>
      <w:r>
        <w:rPr>
          <w:sz w:val="20"/>
        </w:rPr>
        <w:t>Security,</w:t>
      </w:r>
      <w:r>
        <w:rPr>
          <w:spacing w:val="-6"/>
          <w:sz w:val="20"/>
        </w:rPr>
        <w:t xml:space="preserve"> </w:t>
      </w:r>
      <w:r>
        <w:rPr>
          <w:sz w:val="20"/>
        </w:rPr>
        <w:t>Policing</w:t>
      </w:r>
      <w:r>
        <w:rPr>
          <w:spacing w:val="-6"/>
          <w:sz w:val="20"/>
        </w:rPr>
        <w:t xml:space="preserve"> </w:t>
      </w:r>
      <w:r>
        <w:rPr>
          <w:sz w:val="20"/>
        </w:rPr>
        <w:t>and</w:t>
      </w:r>
      <w:r>
        <w:rPr>
          <w:spacing w:val="-8"/>
          <w:sz w:val="20"/>
        </w:rPr>
        <w:t xml:space="preserve"> </w:t>
      </w:r>
      <w:r>
        <w:rPr>
          <w:sz w:val="20"/>
        </w:rPr>
        <w:t>Discipline,”</w:t>
      </w:r>
      <w:r>
        <w:rPr>
          <w:spacing w:val="-8"/>
          <w:sz w:val="20"/>
        </w:rPr>
        <w:t xml:space="preserve"> </w:t>
      </w:r>
      <w:r>
        <w:rPr>
          <w:sz w:val="20"/>
        </w:rPr>
        <w:t>January</w:t>
      </w:r>
      <w:r>
        <w:rPr>
          <w:spacing w:val="-6"/>
          <w:sz w:val="20"/>
        </w:rPr>
        <w:t xml:space="preserve"> </w:t>
      </w:r>
      <w:r>
        <w:rPr>
          <w:sz w:val="20"/>
        </w:rPr>
        <w:t>7,</w:t>
      </w:r>
      <w:r>
        <w:rPr>
          <w:spacing w:val="-8"/>
          <w:sz w:val="20"/>
        </w:rPr>
        <w:t xml:space="preserve"> </w:t>
      </w:r>
      <w:r>
        <w:rPr>
          <w:sz w:val="20"/>
        </w:rPr>
        <w:t xml:space="preserve">2016, </w:t>
      </w:r>
      <w:r>
        <w:rPr>
          <w:spacing w:val="-2"/>
          <w:sz w:val="20"/>
        </w:rPr>
        <w:t>https://</w:t>
      </w:r>
      <w:hyperlink r:id="rId285">
        <w:r>
          <w:rPr>
            <w:spacing w:val="-2"/>
            <w:sz w:val="20"/>
          </w:rPr>
          <w:t>www.lambdalegal.org/node/30521.</w:t>
        </w:r>
      </w:hyperlink>
    </w:p>
    <w:p w:rsidR="00C76E6D" w:rsidRDefault="00913831">
      <w:pPr>
        <w:ind w:left="480" w:right="530" w:hanging="3"/>
        <w:rPr>
          <w:sz w:val="20"/>
        </w:rPr>
      </w:pPr>
      <w:bookmarkStart w:id="490" w:name="_bookmark356"/>
      <w:bookmarkEnd w:id="490"/>
      <w:r>
        <w:rPr>
          <w:sz w:val="20"/>
          <w:vertAlign w:val="superscript"/>
        </w:rPr>
        <w:t>7</w:t>
      </w:r>
      <w:r>
        <w:rPr>
          <w:spacing w:val="-4"/>
          <w:sz w:val="20"/>
        </w:rPr>
        <w:t xml:space="preserve"> </w:t>
      </w:r>
      <w:r>
        <w:rPr>
          <w:sz w:val="20"/>
        </w:rPr>
        <w:t>Alexi</w:t>
      </w:r>
      <w:r>
        <w:rPr>
          <w:spacing w:val="-5"/>
          <w:sz w:val="20"/>
        </w:rPr>
        <w:t xml:space="preserve"> </w:t>
      </w:r>
      <w:r>
        <w:rPr>
          <w:sz w:val="20"/>
        </w:rPr>
        <w:t>Jones,</w:t>
      </w:r>
      <w:r>
        <w:rPr>
          <w:spacing w:val="-5"/>
          <w:sz w:val="20"/>
        </w:rPr>
        <w:t xml:space="preserve"> </w:t>
      </w:r>
      <w:r>
        <w:rPr>
          <w:sz w:val="20"/>
        </w:rPr>
        <w:t>Visualizing</w:t>
      </w:r>
      <w:r>
        <w:rPr>
          <w:spacing w:val="-4"/>
          <w:sz w:val="20"/>
        </w:rPr>
        <w:t xml:space="preserve"> </w:t>
      </w:r>
      <w:r>
        <w:rPr>
          <w:sz w:val="20"/>
        </w:rPr>
        <w:t>the</w:t>
      </w:r>
      <w:r>
        <w:rPr>
          <w:spacing w:val="-7"/>
          <w:sz w:val="20"/>
        </w:rPr>
        <w:t xml:space="preserve"> </w:t>
      </w:r>
      <w:r>
        <w:rPr>
          <w:sz w:val="20"/>
        </w:rPr>
        <w:t>unequal</w:t>
      </w:r>
      <w:r>
        <w:rPr>
          <w:spacing w:val="-6"/>
          <w:sz w:val="20"/>
        </w:rPr>
        <w:t xml:space="preserve"> </w:t>
      </w:r>
      <w:r>
        <w:rPr>
          <w:sz w:val="20"/>
        </w:rPr>
        <w:t>treatment</w:t>
      </w:r>
      <w:r>
        <w:rPr>
          <w:spacing w:val="-5"/>
          <w:sz w:val="20"/>
        </w:rPr>
        <w:t xml:space="preserve"> </w:t>
      </w:r>
      <w:r>
        <w:rPr>
          <w:sz w:val="20"/>
        </w:rPr>
        <w:t>of</w:t>
      </w:r>
      <w:r>
        <w:rPr>
          <w:spacing w:val="-6"/>
          <w:sz w:val="20"/>
        </w:rPr>
        <w:t xml:space="preserve"> </w:t>
      </w:r>
      <w:r>
        <w:rPr>
          <w:sz w:val="20"/>
        </w:rPr>
        <w:t>LGBTQ</w:t>
      </w:r>
      <w:r>
        <w:rPr>
          <w:spacing w:val="-6"/>
          <w:sz w:val="20"/>
        </w:rPr>
        <w:t xml:space="preserve"> </w:t>
      </w:r>
      <w:r>
        <w:rPr>
          <w:sz w:val="20"/>
        </w:rPr>
        <w:t>people</w:t>
      </w:r>
      <w:r>
        <w:rPr>
          <w:spacing w:val="-4"/>
          <w:sz w:val="20"/>
        </w:rPr>
        <w:t xml:space="preserve"> </w:t>
      </w:r>
      <w:r>
        <w:rPr>
          <w:sz w:val="20"/>
        </w:rPr>
        <w:t>in</w:t>
      </w:r>
      <w:r>
        <w:rPr>
          <w:spacing w:val="-5"/>
          <w:sz w:val="20"/>
        </w:rPr>
        <w:t xml:space="preserve"> </w:t>
      </w:r>
      <w:r>
        <w:rPr>
          <w:sz w:val="20"/>
        </w:rPr>
        <w:t>the</w:t>
      </w:r>
      <w:r>
        <w:rPr>
          <w:spacing w:val="-6"/>
          <w:sz w:val="20"/>
        </w:rPr>
        <w:t xml:space="preserve"> </w:t>
      </w:r>
      <w:r>
        <w:rPr>
          <w:sz w:val="20"/>
        </w:rPr>
        <w:t>criminal</w:t>
      </w:r>
      <w:r>
        <w:rPr>
          <w:spacing w:val="-6"/>
          <w:sz w:val="20"/>
        </w:rPr>
        <w:t xml:space="preserve"> </w:t>
      </w:r>
      <w:r>
        <w:rPr>
          <w:sz w:val="20"/>
        </w:rPr>
        <w:t>justice</w:t>
      </w:r>
      <w:r>
        <w:rPr>
          <w:spacing w:val="-6"/>
          <w:sz w:val="20"/>
        </w:rPr>
        <w:t xml:space="preserve"> </w:t>
      </w:r>
      <w:r>
        <w:rPr>
          <w:sz w:val="20"/>
        </w:rPr>
        <w:t>system,”</w:t>
      </w:r>
      <w:r>
        <w:rPr>
          <w:spacing w:val="-4"/>
          <w:sz w:val="20"/>
        </w:rPr>
        <w:t xml:space="preserve"> </w:t>
      </w:r>
      <w:r>
        <w:rPr>
          <w:sz w:val="20"/>
        </w:rPr>
        <w:t>Prison</w:t>
      </w:r>
      <w:r>
        <w:rPr>
          <w:spacing w:val="-6"/>
          <w:sz w:val="20"/>
        </w:rPr>
        <w:t xml:space="preserve"> </w:t>
      </w:r>
      <w:r>
        <w:rPr>
          <w:sz w:val="20"/>
        </w:rPr>
        <w:t xml:space="preserve">Policy </w:t>
      </w:r>
      <w:bookmarkStart w:id="491" w:name="_bookmark357"/>
      <w:bookmarkEnd w:id="491"/>
      <w:r>
        <w:rPr>
          <w:sz w:val="20"/>
        </w:rPr>
        <w:t>Initiative, March 2, 2021, https://</w:t>
      </w:r>
      <w:hyperlink r:id="rId286">
        <w:r>
          <w:rPr>
            <w:sz w:val="20"/>
          </w:rPr>
          <w:t>www.prisonpolicy.org/blog/2021/03/02/lgbtq.</w:t>
        </w:r>
      </w:hyperlink>
    </w:p>
    <w:p w:rsidR="00C76E6D" w:rsidRDefault="00913831">
      <w:pPr>
        <w:ind w:left="480" w:right="530" w:hanging="3"/>
        <w:rPr>
          <w:sz w:val="20"/>
        </w:rPr>
      </w:pPr>
      <w:r>
        <w:rPr>
          <w:sz w:val="20"/>
          <w:vertAlign w:val="superscript"/>
        </w:rPr>
        <w:t>8</w:t>
      </w:r>
      <w:r>
        <w:rPr>
          <w:spacing w:val="-4"/>
          <w:sz w:val="20"/>
        </w:rPr>
        <w:t xml:space="preserve"> </w:t>
      </w:r>
      <w:r>
        <w:rPr>
          <w:sz w:val="20"/>
        </w:rPr>
        <w:t>Alexi</w:t>
      </w:r>
      <w:r>
        <w:rPr>
          <w:spacing w:val="-5"/>
          <w:sz w:val="20"/>
        </w:rPr>
        <w:t xml:space="preserve"> </w:t>
      </w:r>
      <w:r>
        <w:rPr>
          <w:sz w:val="20"/>
        </w:rPr>
        <w:t>Jones,</w:t>
      </w:r>
      <w:r>
        <w:rPr>
          <w:spacing w:val="-5"/>
          <w:sz w:val="20"/>
        </w:rPr>
        <w:t xml:space="preserve"> </w:t>
      </w:r>
      <w:r>
        <w:rPr>
          <w:sz w:val="20"/>
        </w:rPr>
        <w:t>Visualizing</w:t>
      </w:r>
      <w:r>
        <w:rPr>
          <w:spacing w:val="-4"/>
          <w:sz w:val="20"/>
        </w:rPr>
        <w:t xml:space="preserve"> </w:t>
      </w:r>
      <w:r>
        <w:rPr>
          <w:sz w:val="20"/>
        </w:rPr>
        <w:t>the</w:t>
      </w:r>
      <w:r>
        <w:rPr>
          <w:spacing w:val="-7"/>
          <w:sz w:val="20"/>
        </w:rPr>
        <w:t xml:space="preserve"> </w:t>
      </w:r>
      <w:r>
        <w:rPr>
          <w:sz w:val="20"/>
        </w:rPr>
        <w:t>unequal</w:t>
      </w:r>
      <w:r>
        <w:rPr>
          <w:spacing w:val="-6"/>
          <w:sz w:val="20"/>
        </w:rPr>
        <w:t xml:space="preserve"> </w:t>
      </w:r>
      <w:r>
        <w:rPr>
          <w:sz w:val="20"/>
        </w:rPr>
        <w:t>treatment</w:t>
      </w:r>
      <w:r>
        <w:rPr>
          <w:spacing w:val="-5"/>
          <w:sz w:val="20"/>
        </w:rPr>
        <w:t xml:space="preserve"> </w:t>
      </w:r>
      <w:r>
        <w:rPr>
          <w:sz w:val="20"/>
        </w:rPr>
        <w:t>of</w:t>
      </w:r>
      <w:r>
        <w:rPr>
          <w:spacing w:val="-6"/>
          <w:sz w:val="20"/>
        </w:rPr>
        <w:t xml:space="preserve"> </w:t>
      </w:r>
      <w:r>
        <w:rPr>
          <w:sz w:val="20"/>
        </w:rPr>
        <w:t>LGBTQ</w:t>
      </w:r>
      <w:r>
        <w:rPr>
          <w:spacing w:val="-7"/>
          <w:sz w:val="20"/>
        </w:rPr>
        <w:t xml:space="preserve"> </w:t>
      </w:r>
      <w:r>
        <w:rPr>
          <w:sz w:val="20"/>
        </w:rPr>
        <w:t>people</w:t>
      </w:r>
      <w:r>
        <w:rPr>
          <w:spacing w:val="-4"/>
          <w:sz w:val="20"/>
        </w:rPr>
        <w:t xml:space="preserve"> </w:t>
      </w:r>
      <w:r>
        <w:rPr>
          <w:sz w:val="20"/>
        </w:rPr>
        <w:t>in</w:t>
      </w:r>
      <w:r>
        <w:rPr>
          <w:spacing w:val="-5"/>
          <w:sz w:val="20"/>
        </w:rPr>
        <w:t xml:space="preserve"> </w:t>
      </w:r>
      <w:r>
        <w:rPr>
          <w:sz w:val="20"/>
        </w:rPr>
        <w:t>the</w:t>
      </w:r>
      <w:r>
        <w:rPr>
          <w:spacing w:val="-6"/>
          <w:sz w:val="20"/>
        </w:rPr>
        <w:t xml:space="preserve"> </w:t>
      </w:r>
      <w:r>
        <w:rPr>
          <w:sz w:val="20"/>
        </w:rPr>
        <w:t>criminal</w:t>
      </w:r>
      <w:r>
        <w:rPr>
          <w:spacing w:val="-6"/>
          <w:sz w:val="20"/>
        </w:rPr>
        <w:t xml:space="preserve"> </w:t>
      </w:r>
      <w:r>
        <w:rPr>
          <w:sz w:val="20"/>
        </w:rPr>
        <w:t>justice</w:t>
      </w:r>
      <w:r>
        <w:rPr>
          <w:spacing w:val="-6"/>
          <w:sz w:val="20"/>
        </w:rPr>
        <w:t xml:space="preserve"> </w:t>
      </w:r>
      <w:r>
        <w:rPr>
          <w:sz w:val="20"/>
        </w:rPr>
        <w:t>system,”</w:t>
      </w:r>
      <w:r>
        <w:rPr>
          <w:spacing w:val="-4"/>
          <w:sz w:val="20"/>
        </w:rPr>
        <w:t xml:space="preserve"> </w:t>
      </w:r>
      <w:r>
        <w:rPr>
          <w:sz w:val="20"/>
        </w:rPr>
        <w:t>Prison</w:t>
      </w:r>
      <w:r>
        <w:rPr>
          <w:spacing w:val="-6"/>
          <w:sz w:val="20"/>
        </w:rPr>
        <w:t xml:space="preserve"> </w:t>
      </w:r>
      <w:r>
        <w:rPr>
          <w:sz w:val="20"/>
        </w:rPr>
        <w:t>Policy Initiative, March 2, 2021, https://</w:t>
      </w:r>
      <w:hyperlink r:id="rId287">
        <w:r>
          <w:rPr>
            <w:sz w:val="20"/>
          </w:rPr>
          <w:t>www.prisonpolicy.org/blog/2021/03/02/lgbtq.</w:t>
        </w:r>
      </w:hyperlink>
    </w:p>
    <w:p w:rsidR="00C76E6D" w:rsidRDefault="00913831">
      <w:pPr>
        <w:spacing w:before="5"/>
        <w:ind w:left="480"/>
        <w:rPr>
          <w:sz w:val="20"/>
        </w:rPr>
      </w:pPr>
      <w:bookmarkStart w:id="492" w:name="_bookmark358"/>
      <w:bookmarkEnd w:id="492"/>
      <w:r>
        <w:rPr>
          <w:sz w:val="20"/>
          <w:vertAlign w:val="superscript"/>
        </w:rPr>
        <w:t>9</w:t>
      </w:r>
      <w:r>
        <w:rPr>
          <w:spacing w:val="-6"/>
          <w:sz w:val="20"/>
        </w:rPr>
        <w:t xml:space="preserve"> </w:t>
      </w:r>
      <w:r>
        <w:rPr>
          <w:sz w:val="20"/>
        </w:rPr>
        <w:t>Catherine</w:t>
      </w:r>
      <w:r>
        <w:rPr>
          <w:spacing w:val="-8"/>
          <w:sz w:val="20"/>
        </w:rPr>
        <w:t xml:space="preserve"> </w:t>
      </w:r>
      <w:r>
        <w:rPr>
          <w:sz w:val="20"/>
        </w:rPr>
        <w:t>E.</w:t>
      </w:r>
      <w:r>
        <w:rPr>
          <w:spacing w:val="-8"/>
          <w:sz w:val="20"/>
        </w:rPr>
        <w:t xml:space="preserve"> </w:t>
      </w:r>
      <w:r>
        <w:rPr>
          <w:sz w:val="20"/>
        </w:rPr>
        <w:t>Lhamon,</w:t>
      </w:r>
      <w:r>
        <w:rPr>
          <w:spacing w:val="-7"/>
          <w:sz w:val="20"/>
        </w:rPr>
        <w:t xml:space="preserve"> </w:t>
      </w:r>
      <w:r>
        <w:rPr>
          <w:sz w:val="20"/>
        </w:rPr>
        <w:t>et</w:t>
      </w:r>
      <w:r>
        <w:rPr>
          <w:spacing w:val="-7"/>
          <w:sz w:val="20"/>
        </w:rPr>
        <w:t xml:space="preserve"> </w:t>
      </w:r>
      <w:r>
        <w:rPr>
          <w:sz w:val="20"/>
        </w:rPr>
        <w:t>al,</w:t>
      </w:r>
      <w:r>
        <w:rPr>
          <w:spacing w:val="-6"/>
          <w:sz w:val="20"/>
        </w:rPr>
        <w:t xml:space="preserve"> </w:t>
      </w:r>
      <w:r>
        <w:rPr>
          <w:i/>
          <w:sz w:val="20"/>
        </w:rPr>
        <w:t>Police</w:t>
      </w:r>
      <w:r>
        <w:rPr>
          <w:i/>
          <w:spacing w:val="-6"/>
          <w:sz w:val="20"/>
        </w:rPr>
        <w:t xml:space="preserve"> </w:t>
      </w:r>
      <w:r>
        <w:rPr>
          <w:i/>
          <w:sz w:val="20"/>
        </w:rPr>
        <w:t>Use</w:t>
      </w:r>
      <w:r>
        <w:rPr>
          <w:i/>
          <w:spacing w:val="-8"/>
          <w:sz w:val="20"/>
        </w:rPr>
        <w:t xml:space="preserve"> </w:t>
      </w:r>
      <w:r>
        <w:rPr>
          <w:i/>
          <w:sz w:val="20"/>
        </w:rPr>
        <w:t>of</w:t>
      </w:r>
      <w:r>
        <w:rPr>
          <w:i/>
          <w:spacing w:val="-8"/>
          <w:sz w:val="20"/>
        </w:rPr>
        <w:t xml:space="preserve"> </w:t>
      </w:r>
      <w:r>
        <w:rPr>
          <w:i/>
          <w:sz w:val="20"/>
        </w:rPr>
        <w:t>Force:</w:t>
      </w:r>
      <w:r>
        <w:rPr>
          <w:i/>
          <w:spacing w:val="-5"/>
          <w:sz w:val="20"/>
        </w:rPr>
        <w:t xml:space="preserve"> </w:t>
      </w:r>
      <w:r>
        <w:rPr>
          <w:i/>
          <w:sz w:val="20"/>
        </w:rPr>
        <w:t>An</w:t>
      </w:r>
      <w:r>
        <w:rPr>
          <w:i/>
          <w:spacing w:val="-8"/>
          <w:sz w:val="20"/>
        </w:rPr>
        <w:t xml:space="preserve"> </w:t>
      </w:r>
      <w:r>
        <w:rPr>
          <w:i/>
          <w:sz w:val="20"/>
        </w:rPr>
        <w:t>Examination</w:t>
      </w:r>
      <w:r>
        <w:rPr>
          <w:i/>
          <w:spacing w:val="-7"/>
          <w:sz w:val="20"/>
        </w:rPr>
        <w:t xml:space="preserve"> </w:t>
      </w:r>
      <w:r>
        <w:rPr>
          <w:i/>
          <w:sz w:val="20"/>
        </w:rPr>
        <w:t>of</w:t>
      </w:r>
      <w:r>
        <w:rPr>
          <w:i/>
          <w:spacing w:val="-8"/>
          <w:sz w:val="20"/>
        </w:rPr>
        <w:t xml:space="preserve"> </w:t>
      </w:r>
      <w:r>
        <w:rPr>
          <w:i/>
          <w:sz w:val="20"/>
        </w:rPr>
        <w:t>Modern</w:t>
      </w:r>
      <w:r>
        <w:rPr>
          <w:i/>
          <w:spacing w:val="-6"/>
          <w:sz w:val="20"/>
        </w:rPr>
        <w:t xml:space="preserve"> </w:t>
      </w:r>
      <w:r>
        <w:rPr>
          <w:i/>
          <w:sz w:val="20"/>
        </w:rPr>
        <w:t>Policing</w:t>
      </w:r>
      <w:r>
        <w:rPr>
          <w:i/>
          <w:spacing w:val="-6"/>
          <w:sz w:val="20"/>
        </w:rPr>
        <w:t xml:space="preserve"> </w:t>
      </w:r>
      <w:r>
        <w:rPr>
          <w:i/>
          <w:sz w:val="20"/>
        </w:rPr>
        <w:t>Practices</w:t>
      </w:r>
      <w:r>
        <w:rPr>
          <w:i/>
          <w:spacing w:val="-5"/>
          <w:sz w:val="20"/>
        </w:rPr>
        <w:t xml:space="preserve"> </w:t>
      </w:r>
      <w:r>
        <w:rPr>
          <w:sz w:val="20"/>
        </w:rPr>
        <w:t>(Washington,</w:t>
      </w:r>
      <w:r>
        <w:rPr>
          <w:spacing w:val="-8"/>
          <w:sz w:val="20"/>
        </w:rPr>
        <w:t xml:space="preserve"> </w:t>
      </w:r>
      <w:r>
        <w:rPr>
          <w:spacing w:val="-5"/>
          <w:sz w:val="20"/>
        </w:rPr>
        <w:t>DC:</w:t>
      </w:r>
    </w:p>
    <w:p w:rsidR="00C76E6D" w:rsidRDefault="00913831">
      <w:pPr>
        <w:spacing w:before="1" w:line="241" w:lineRule="exact"/>
        <w:ind w:left="480"/>
        <w:rPr>
          <w:sz w:val="20"/>
        </w:rPr>
      </w:pPr>
      <w:bookmarkStart w:id="493" w:name="_bookmark359"/>
      <w:bookmarkEnd w:id="493"/>
      <w:r>
        <w:rPr>
          <w:spacing w:val="-2"/>
          <w:sz w:val="20"/>
        </w:rPr>
        <w:t>U.S.</w:t>
      </w:r>
      <w:r>
        <w:rPr>
          <w:spacing w:val="4"/>
          <w:sz w:val="20"/>
        </w:rPr>
        <w:t xml:space="preserve"> </w:t>
      </w:r>
      <w:r>
        <w:rPr>
          <w:spacing w:val="-2"/>
          <w:sz w:val="20"/>
        </w:rPr>
        <w:t>Commission</w:t>
      </w:r>
      <w:r>
        <w:rPr>
          <w:spacing w:val="9"/>
          <w:sz w:val="20"/>
        </w:rPr>
        <w:t xml:space="preserve"> </w:t>
      </w:r>
      <w:r>
        <w:rPr>
          <w:spacing w:val="-2"/>
          <w:sz w:val="20"/>
        </w:rPr>
        <w:t>on</w:t>
      </w:r>
      <w:r>
        <w:rPr>
          <w:spacing w:val="10"/>
          <w:sz w:val="20"/>
        </w:rPr>
        <w:t xml:space="preserve"> </w:t>
      </w:r>
      <w:r>
        <w:rPr>
          <w:spacing w:val="-2"/>
          <w:sz w:val="20"/>
        </w:rPr>
        <w:t>Civil</w:t>
      </w:r>
      <w:r>
        <w:rPr>
          <w:spacing w:val="8"/>
          <w:sz w:val="20"/>
        </w:rPr>
        <w:t xml:space="preserve"> </w:t>
      </w:r>
      <w:r>
        <w:rPr>
          <w:spacing w:val="-2"/>
          <w:sz w:val="20"/>
        </w:rPr>
        <w:t>Rights,</w:t>
      </w:r>
      <w:r>
        <w:rPr>
          <w:spacing w:val="9"/>
          <w:sz w:val="20"/>
        </w:rPr>
        <w:t xml:space="preserve"> </w:t>
      </w:r>
      <w:r>
        <w:rPr>
          <w:spacing w:val="-2"/>
          <w:sz w:val="20"/>
        </w:rPr>
        <w:t>2018),</w:t>
      </w:r>
      <w:r>
        <w:rPr>
          <w:spacing w:val="10"/>
          <w:sz w:val="20"/>
        </w:rPr>
        <w:t xml:space="preserve"> </w:t>
      </w:r>
      <w:r>
        <w:rPr>
          <w:spacing w:val="-2"/>
          <w:sz w:val="20"/>
        </w:rPr>
        <w:t>https://</w:t>
      </w:r>
      <w:hyperlink r:id="rId288">
        <w:r>
          <w:rPr>
            <w:spacing w:val="-2"/>
            <w:sz w:val="20"/>
          </w:rPr>
          <w:t>www.usccr.gov/pubs/2018/11-15-Police-Force.pdf.</w:t>
        </w:r>
      </w:hyperlink>
    </w:p>
    <w:p w:rsidR="00C76E6D" w:rsidRDefault="00913831">
      <w:pPr>
        <w:ind w:left="478" w:right="698" w:hanging="1"/>
        <w:rPr>
          <w:sz w:val="20"/>
        </w:rPr>
      </w:pPr>
      <w:r>
        <w:rPr>
          <w:sz w:val="20"/>
          <w:vertAlign w:val="superscript"/>
        </w:rPr>
        <w:t>10</w:t>
      </w:r>
      <w:r>
        <w:rPr>
          <w:sz w:val="20"/>
        </w:rPr>
        <w:t xml:space="preserve"> </w:t>
      </w:r>
      <w:r>
        <w:rPr>
          <w:i/>
          <w:sz w:val="20"/>
        </w:rPr>
        <w:t xml:space="preserve">Stemming the Rising Tide: Racial &amp; Ethnic Disparities in Youth Incarceration &amp; Strategies for Change </w:t>
      </w:r>
      <w:r>
        <w:rPr>
          <w:sz w:val="20"/>
        </w:rPr>
        <w:t>(Oakland: The</w:t>
      </w:r>
      <w:r>
        <w:rPr>
          <w:spacing w:val="-12"/>
          <w:sz w:val="20"/>
        </w:rPr>
        <w:t xml:space="preserve"> </w:t>
      </w:r>
      <w:r>
        <w:rPr>
          <w:sz w:val="20"/>
        </w:rPr>
        <w:t>W.</w:t>
      </w:r>
      <w:r>
        <w:rPr>
          <w:spacing w:val="-11"/>
          <w:sz w:val="20"/>
        </w:rPr>
        <w:t xml:space="preserve"> </w:t>
      </w:r>
      <w:r>
        <w:rPr>
          <w:sz w:val="20"/>
        </w:rPr>
        <w:t>Haywood</w:t>
      </w:r>
      <w:r>
        <w:rPr>
          <w:spacing w:val="-11"/>
          <w:sz w:val="20"/>
        </w:rPr>
        <w:t xml:space="preserve"> </w:t>
      </w:r>
      <w:r>
        <w:rPr>
          <w:sz w:val="20"/>
        </w:rPr>
        <w:t>Burns</w:t>
      </w:r>
      <w:r>
        <w:rPr>
          <w:spacing w:val="-12"/>
          <w:sz w:val="20"/>
        </w:rPr>
        <w:t xml:space="preserve"> </w:t>
      </w:r>
      <w:r>
        <w:rPr>
          <w:sz w:val="20"/>
        </w:rPr>
        <w:t>Institute,</w:t>
      </w:r>
      <w:r>
        <w:rPr>
          <w:spacing w:val="-11"/>
          <w:sz w:val="20"/>
        </w:rPr>
        <w:t xml:space="preserve"> </w:t>
      </w:r>
      <w:r>
        <w:rPr>
          <w:sz w:val="20"/>
        </w:rPr>
        <w:t>2020),</w:t>
      </w:r>
      <w:r>
        <w:rPr>
          <w:spacing w:val="-11"/>
          <w:sz w:val="20"/>
        </w:rPr>
        <w:t xml:space="preserve"> </w:t>
      </w:r>
      <w:r>
        <w:rPr>
          <w:sz w:val="20"/>
        </w:rPr>
        <w:t xml:space="preserve">https://burnsinstitute.org/wp-content/uploads/2020/09/Stemming-the- </w:t>
      </w:r>
      <w:r>
        <w:rPr>
          <w:spacing w:val="-2"/>
          <w:sz w:val="20"/>
        </w:rPr>
        <w:t>Rising-Tide-_compressed.pdf.</w:t>
      </w:r>
    </w:p>
    <w:p w:rsidR="00C76E6D" w:rsidRDefault="00913831">
      <w:pPr>
        <w:ind w:left="481" w:right="546" w:hanging="3"/>
        <w:rPr>
          <w:sz w:val="20"/>
        </w:rPr>
      </w:pPr>
      <w:bookmarkStart w:id="494" w:name="_bookmark360"/>
      <w:bookmarkEnd w:id="494"/>
      <w:r>
        <w:rPr>
          <w:sz w:val="20"/>
          <w:vertAlign w:val="superscript"/>
        </w:rPr>
        <w:t>11</w:t>
      </w:r>
      <w:r>
        <w:rPr>
          <w:spacing w:val="-4"/>
          <w:sz w:val="20"/>
        </w:rPr>
        <w:t xml:space="preserve"> </w:t>
      </w:r>
      <w:r>
        <w:rPr>
          <w:sz w:val="20"/>
        </w:rPr>
        <w:t>Keith</w:t>
      </w:r>
      <w:r>
        <w:rPr>
          <w:spacing w:val="-5"/>
          <w:sz w:val="20"/>
        </w:rPr>
        <w:t xml:space="preserve"> </w:t>
      </w:r>
      <w:r>
        <w:rPr>
          <w:sz w:val="20"/>
        </w:rPr>
        <w:t>J.</w:t>
      </w:r>
      <w:r>
        <w:rPr>
          <w:spacing w:val="-5"/>
          <w:sz w:val="20"/>
        </w:rPr>
        <w:t xml:space="preserve"> </w:t>
      </w:r>
      <w:r>
        <w:rPr>
          <w:sz w:val="20"/>
        </w:rPr>
        <w:t>Conron</w:t>
      </w:r>
      <w:r>
        <w:rPr>
          <w:spacing w:val="-4"/>
          <w:sz w:val="20"/>
        </w:rPr>
        <w:t xml:space="preserve"> </w:t>
      </w:r>
      <w:r>
        <w:rPr>
          <w:sz w:val="20"/>
        </w:rPr>
        <w:t>and</w:t>
      </w:r>
      <w:r>
        <w:rPr>
          <w:spacing w:val="-4"/>
          <w:sz w:val="20"/>
        </w:rPr>
        <w:t xml:space="preserve"> </w:t>
      </w:r>
      <w:r>
        <w:rPr>
          <w:sz w:val="20"/>
        </w:rPr>
        <w:t>Bianca</w:t>
      </w:r>
      <w:r>
        <w:rPr>
          <w:spacing w:val="-5"/>
          <w:sz w:val="20"/>
        </w:rPr>
        <w:t xml:space="preserve"> </w:t>
      </w:r>
      <w:r>
        <w:rPr>
          <w:sz w:val="20"/>
        </w:rPr>
        <w:t>D.M.</w:t>
      </w:r>
      <w:r>
        <w:rPr>
          <w:spacing w:val="-6"/>
          <w:sz w:val="20"/>
        </w:rPr>
        <w:t xml:space="preserve"> </w:t>
      </w:r>
      <w:r>
        <w:rPr>
          <w:sz w:val="20"/>
        </w:rPr>
        <w:t>Wilson,</w:t>
      </w:r>
      <w:r>
        <w:rPr>
          <w:spacing w:val="-4"/>
          <w:sz w:val="20"/>
        </w:rPr>
        <w:t xml:space="preserve"> </w:t>
      </w:r>
      <w:r>
        <w:rPr>
          <w:i/>
          <w:sz w:val="20"/>
        </w:rPr>
        <w:t>LGBTQ</w:t>
      </w:r>
      <w:r>
        <w:rPr>
          <w:i/>
          <w:spacing w:val="-4"/>
          <w:sz w:val="20"/>
        </w:rPr>
        <w:t xml:space="preserve"> </w:t>
      </w:r>
      <w:r>
        <w:rPr>
          <w:i/>
          <w:sz w:val="20"/>
        </w:rPr>
        <w:t>Youth</w:t>
      </w:r>
      <w:r>
        <w:rPr>
          <w:i/>
          <w:spacing w:val="-7"/>
          <w:sz w:val="20"/>
        </w:rPr>
        <w:t xml:space="preserve"> </w:t>
      </w:r>
      <w:r>
        <w:rPr>
          <w:i/>
          <w:sz w:val="20"/>
        </w:rPr>
        <w:t>of</w:t>
      </w:r>
      <w:r>
        <w:rPr>
          <w:i/>
          <w:spacing w:val="-6"/>
          <w:sz w:val="20"/>
        </w:rPr>
        <w:t xml:space="preserve"> </w:t>
      </w:r>
      <w:r>
        <w:rPr>
          <w:i/>
          <w:sz w:val="20"/>
        </w:rPr>
        <w:t>Color</w:t>
      </w:r>
      <w:r>
        <w:rPr>
          <w:i/>
          <w:spacing w:val="-5"/>
          <w:sz w:val="20"/>
        </w:rPr>
        <w:t xml:space="preserve"> </w:t>
      </w:r>
      <w:r>
        <w:rPr>
          <w:i/>
          <w:sz w:val="20"/>
        </w:rPr>
        <w:t>Impacted</w:t>
      </w:r>
      <w:r>
        <w:rPr>
          <w:i/>
          <w:spacing w:val="-6"/>
          <w:sz w:val="20"/>
        </w:rPr>
        <w:t xml:space="preserve"> </w:t>
      </w:r>
      <w:r>
        <w:rPr>
          <w:i/>
          <w:sz w:val="20"/>
        </w:rPr>
        <w:t>by</w:t>
      </w:r>
      <w:r>
        <w:rPr>
          <w:i/>
          <w:spacing w:val="-4"/>
          <w:sz w:val="20"/>
        </w:rPr>
        <w:t xml:space="preserve"> </w:t>
      </w:r>
      <w:r>
        <w:rPr>
          <w:i/>
          <w:sz w:val="20"/>
        </w:rPr>
        <w:t>the</w:t>
      </w:r>
      <w:r>
        <w:rPr>
          <w:i/>
          <w:spacing w:val="-4"/>
          <w:sz w:val="20"/>
        </w:rPr>
        <w:t xml:space="preserve"> </w:t>
      </w:r>
      <w:r>
        <w:rPr>
          <w:i/>
          <w:sz w:val="20"/>
        </w:rPr>
        <w:t>Child</w:t>
      </w:r>
      <w:r>
        <w:rPr>
          <w:i/>
          <w:spacing w:val="-5"/>
          <w:sz w:val="20"/>
        </w:rPr>
        <w:t xml:space="preserve"> </w:t>
      </w:r>
      <w:r>
        <w:rPr>
          <w:i/>
          <w:sz w:val="20"/>
        </w:rPr>
        <w:t>Welfare</w:t>
      </w:r>
      <w:r>
        <w:rPr>
          <w:i/>
          <w:spacing w:val="-5"/>
          <w:sz w:val="20"/>
        </w:rPr>
        <w:t xml:space="preserve"> </w:t>
      </w:r>
      <w:r>
        <w:rPr>
          <w:i/>
          <w:sz w:val="20"/>
        </w:rPr>
        <w:t>and</w:t>
      </w:r>
      <w:r>
        <w:rPr>
          <w:i/>
          <w:spacing w:val="-4"/>
          <w:sz w:val="20"/>
        </w:rPr>
        <w:t xml:space="preserve"> </w:t>
      </w:r>
      <w:r>
        <w:rPr>
          <w:i/>
          <w:sz w:val="20"/>
        </w:rPr>
        <w:t>Juvenile</w:t>
      </w:r>
      <w:r>
        <w:rPr>
          <w:i/>
          <w:spacing w:val="-4"/>
          <w:sz w:val="20"/>
        </w:rPr>
        <w:t xml:space="preserve"> </w:t>
      </w:r>
      <w:r>
        <w:rPr>
          <w:i/>
          <w:sz w:val="20"/>
        </w:rPr>
        <w:t xml:space="preserve">Justice Systems </w:t>
      </w:r>
      <w:r>
        <w:rPr>
          <w:sz w:val="20"/>
        </w:rPr>
        <w:t xml:space="preserve">(Los Angeles: Williams Institute at the UCLA School of Law, 2019), </w:t>
      </w:r>
      <w:bookmarkStart w:id="495" w:name="_bookmark361"/>
      <w:bookmarkEnd w:id="495"/>
      <w:r>
        <w:rPr>
          <w:spacing w:val="-2"/>
          <w:sz w:val="20"/>
        </w:rPr>
        <w:t>https://williamsinstitute.law.ucla.edu/wp-content/uploads/LGBTQ-YOC-Social-Services-Jul-2019.pdf.</w:t>
      </w:r>
    </w:p>
    <w:p w:rsidR="00C76E6D" w:rsidRDefault="00913831">
      <w:pPr>
        <w:ind w:left="479" w:right="592" w:hanging="1"/>
        <w:rPr>
          <w:sz w:val="20"/>
        </w:rPr>
      </w:pPr>
      <w:r>
        <w:rPr>
          <w:sz w:val="20"/>
          <w:vertAlign w:val="superscript"/>
        </w:rPr>
        <w:t>12</w:t>
      </w:r>
      <w:r>
        <w:rPr>
          <w:spacing w:val="-4"/>
          <w:sz w:val="20"/>
        </w:rPr>
        <w:t xml:space="preserve"> </w:t>
      </w:r>
      <w:r>
        <w:rPr>
          <w:sz w:val="20"/>
        </w:rPr>
        <w:t>Eli</w:t>
      </w:r>
      <w:r>
        <w:rPr>
          <w:spacing w:val="-6"/>
          <w:sz w:val="20"/>
        </w:rPr>
        <w:t xml:space="preserve"> </w:t>
      </w:r>
      <w:r>
        <w:rPr>
          <w:sz w:val="20"/>
        </w:rPr>
        <w:t>Hager,</w:t>
      </w:r>
      <w:r>
        <w:rPr>
          <w:spacing w:val="-5"/>
          <w:sz w:val="20"/>
        </w:rPr>
        <w:t xml:space="preserve"> </w:t>
      </w:r>
      <w:r>
        <w:rPr>
          <w:sz w:val="20"/>
        </w:rPr>
        <w:t>“Many</w:t>
      </w:r>
      <w:r>
        <w:rPr>
          <w:spacing w:val="-4"/>
          <w:sz w:val="20"/>
        </w:rPr>
        <w:t xml:space="preserve"> </w:t>
      </w:r>
      <w:r>
        <w:rPr>
          <w:sz w:val="20"/>
        </w:rPr>
        <w:t>Juvenile</w:t>
      </w:r>
      <w:r>
        <w:rPr>
          <w:spacing w:val="-6"/>
          <w:sz w:val="20"/>
        </w:rPr>
        <w:t xml:space="preserve"> </w:t>
      </w:r>
      <w:r>
        <w:rPr>
          <w:sz w:val="20"/>
        </w:rPr>
        <w:t>Jails</w:t>
      </w:r>
      <w:r>
        <w:rPr>
          <w:spacing w:val="-6"/>
          <w:sz w:val="20"/>
        </w:rPr>
        <w:t xml:space="preserve"> </w:t>
      </w:r>
      <w:r>
        <w:rPr>
          <w:sz w:val="20"/>
        </w:rPr>
        <w:t>Are</w:t>
      </w:r>
      <w:r>
        <w:rPr>
          <w:spacing w:val="-5"/>
          <w:sz w:val="20"/>
        </w:rPr>
        <w:t xml:space="preserve"> </w:t>
      </w:r>
      <w:r>
        <w:rPr>
          <w:sz w:val="20"/>
        </w:rPr>
        <w:t>Now</w:t>
      </w:r>
      <w:r>
        <w:rPr>
          <w:spacing w:val="-5"/>
          <w:sz w:val="20"/>
        </w:rPr>
        <w:t xml:space="preserve"> </w:t>
      </w:r>
      <w:r>
        <w:rPr>
          <w:sz w:val="20"/>
        </w:rPr>
        <w:t>Almost</w:t>
      </w:r>
      <w:r>
        <w:rPr>
          <w:spacing w:val="-4"/>
          <w:sz w:val="20"/>
        </w:rPr>
        <w:t xml:space="preserve"> </w:t>
      </w:r>
      <w:r>
        <w:rPr>
          <w:sz w:val="20"/>
        </w:rPr>
        <w:t>Entirely</w:t>
      </w:r>
      <w:r>
        <w:rPr>
          <w:spacing w:val="-4"/>
          <w:sz w:val="20"/>
        </w:rPr>
        <w:t xml:space="preserve"> </w:t>
      </w:r>
      <w:r>
        <w:rPr>
          <w:sz w:val="20"/>
        </w:rPr>
        <w:t>Filled</w:t>
      </w:r>
      <w:r>
        <w:rPr>
          <w:spacing w:val="-4"/>
          <w:sz w:val="20"/>
        </w:rPr>
        <w:t xml:space="preserve"> </w:t>
      </w:r>
      <w:r>
        <w:rPr>
          <w:sz w:val="20"/>
        </w:rPr>
        <w:t>with</w:t>
      </w:r>
      <w:r>
        <w:rPr>
          <w:spacing w:val="-4"/>
          <w:sz w:val="20"/>
        </w:rPr>
        <w:t xml:space="preserve"> </w:t>
      </w:r>
      <w:r>
        <w:rPr>
          <w:sz w:val="20"/>
        </w:rPr>
        <w:t>Young</w:t>
      </w:r>
      <w:r>
        <w:rPr>
          <w:spacing w:val="-5"/>
          <w:sz w:val="20"/>
        </w:rPr>
        <w:t xml:space="preserve"> </w:t>
      </w:r>
      <w:r>
        <w:rPr>
          <w:sz w:val="20"/>
        </w:rPr>
        <w:t>People</w:t>
      </w:r>
      <w:r>
        <w:rPr>
          <w:spacing w:val="-5"/>
          <w:sz w:val="20"/>
        </w:rPr>
        <w:t xml:space="preserve"> </w:t>
      </w:r>
      <w:r>
        <w:rPr>
          <w:sz w:val="20"/>
        </w:rPr>
        <w:t>of</w:t>
      </w:r>
      <w:r>
        <w:rPr>
          <w:spacing w:val="-6"/>
          <w:sz w:val="20"/>
        </w:rPr>
        <w:t xml:space="preserve"> </w:t>
      </w:r>
      <w:r>
        <w:rPr>
          <w:sz w:val="20"/>
        </w:rPr>
        <w:t>Colo</w:t>
      </w:r>
      <w:r>
        <w:rPr>
          <w:sz w:val="20"/>
        </w:rPr>
        <w:t>r,”</w:t>
      </w:r>
      <w:r>
        <w:rPr>
          <w:spacing w:val="-4"/>
          <w:sz w:val="20"/>
        </w:rPr>
        <w:t xml:space="preserve"> </w:t>
      </w:r>
      <w:r>
        <w:rPr>
          <w:sz w:val="20"/>
        </w:rPr>
        <w:t>The</w:t>
      </w:r>
      <w:r>
        <w:rPr>
          <w:spacing w:val="-6"/>
          <w:sz w:val="20"/>
        </w:rPr>
        <w:t xml:space="preserve"> </w:t>
      </w:r>
      <w:r>
        <w:rPr>
          <w:sz w:val="20"/>
        </w:rPr>
        <w:t>Marshall</w:t>
      </w:r>
      <w:r>
        <w:rPr>
          <w:spacing w:val="-6"/>
          <w:sz w:val="20"/>
        </w:rPr>
        <w:t xml:space="preserve"> </w:t>
      </w:r>
      <w:r>
        <w:rPr>
          <w:sz w:val="20"/>
        </w:rPr>
        <w:t>Project, March 8, 2021, https://</w:t>
      </w:r>
      <w:hyperlink r:id="rId289">
        <w:r>
          <w:rPr>
            <w:sz w:val="20"/>
          </w:rPr>
          <w:t>www.themarshallproject.org/2021/03/08/many-juvenile-jails-are-now-almost-entirely-</w:t>
        </w:r>
      </w:hyperlink>
      <w:r>
        <w:rPr>
          <w:sz w:val="20"/>
        </w:rPr>
        <w:t xml:space="preserve"> </w:t>
      </w:r>
      <w:r>
        <w:rPr>
          <w:spacing w:val="-2"/>
          <w:sz w:val="20"/>
        </w:rPr>
        <w:t>filled-with-you</w:t>
      </w:r>
      <w:r>
        <w:rPr>
          <w:spacing w:val="-2"/>
          <w:sz w:val="20"/>
        </w:rPr>
        <w:t>ng-people-of-color.</w:t>
      </w:r>
    </w:p>
    <w:p w:rsidR="00C76E6D" w:rsidRDefault="00913831">
      <w:pPr>
        <w:spacing w:before="2" w:line="244" w:lineRule="exact"/>
        <w:ind w:left="480"/>
        <w:rPr>
          <w:i/>
          <w:sz w:val="20"/>
        </w:rPr>
      </w:pPr>
      <w:bookmarkStart w:id="496" w:name="_bookmark362"/>
      <w:bookmarkEnd w:id="496"/>
      <w:r>
        <w:rPr>
          <w:sz w:val="20"/>
          <w:vertAlign w:val="superscript"/>
        </w:rPr>
        <w:t>13</w:t>
      </w:r>
      <w:r>
        <w:rPr>
          <w:spacing w:val="-6"/>
          <w:sz w:val="20"/>
        </w:rPr>
        <w:t xml:space="preserve"> </w:t>
      </w:r>
      <w:r>
        <w:rPr>
          <w:sz w:val="20"/>
        </w:rPr>
        <w:t>Jason</w:t>
      </w:r>
      <w:r>
        <w:rPr>
          <w:spacing w:val="-4"/>
          <w:sz w:val="20"/>
        </w:rPr>
        <w:t xml:space="preserve"> </w:t>
      </w:r>
      <w:r>
        <w:rPr>
          <w:sz w:val="20"/>
        </w:rPr>
        <w:t>Lyndon,</w:t>
      </w:r>
      <w:r>
        <w:rPr>
          <w:spacing w:val="-5"/>
          <w:sz w:val="20"/>
        </w:rPr>
        <w:t xml:space="preserve"> </w:t>
      </w:r>
      <w:r>
        <w:rPr>
          <w:sz w:val="20"/>
        </w:rPr>
        <w:t>et</w:t>
      </w:r>
      <w:r>
        <w:rPr>
          <w:spacing w:val="-5"/>
          <w:sz w:val="20"/>
        </w:rPr>
        <w:t xml:space="preserve"> </w:t>
      </w:r>
      <w:r>
        <w:rPr>
          <w:sz w:val="20"/>
        </w:rPr>
        <w:t>al,</w:t>
      </w:r>
      <w:r>
        <w:rPr>
          <w:spacing w:val="-5"/>
          <w:sz w:val="20"/>
        </w:rPr>
        <w:t xml:space="preserve"> </w:t>
      </w:r>
      <w:r>
        <w:rPr>
          <w:i/>
          <w:sz w:val="20"/>
        </w:rPr>
        <w:t>Coming</w:t>
      </w:r>
      <w:r>
        <w:rPr>
          <w:i/>
          <w:spacing w:val="-5"/>
          <w:sz w:val="20"/>
        </w:rPr>
        <w:t xml:space="preserve"> </w:t>
      </w:r>
      <w:r>
        <w:rPr>
          <w:i/>
          <w:sz w:val="20"/>
        </w:rPr>
        <w:t>out</w:t>
      </w:r>
      <w:r>
        <w:rPr>
          <w:i/>
          <w:spacing w:val="-6"/>
          <w:sz w:val="20"/>
        </w:rPr>
        <w:t xml:space="preserve"> </w:t>
      </w:r>
      <w:r>
        <w:rPr>
          <w:i/>
          <w:sz w:val="20"/>
        </w:rPr>
        <w:t>of</w:t>
      </w:r>
      <w:r>
        <w:rPr>
          <w:i/>
          <w:spacing w:val="-5"/>
          <w:sz w:val="20"/>
        </w:rPr>
        <w:t xml:space="preserve"> </w:t>
      </w:r>
      <w:r>
        <w:rPr>
          <w:i/>
          <w:sz w:val="20"/>
        </w:rPr>
        <w:t>Concrete</w:t>
      </w:r>
      <w:r>
        <w:rPr>
          <w:i/>
          <w:spacing w:val="-5"/>
          <w:sz w:val="20"/>
        </w:rPr>
        <w:t xml:space="preserve"> </w:t>
      </w:r>
      <w:r>
        <w:rPr>
          <w:i/>
          <w:sz w:val="20"/>
        </w:rPr>
        <w:t>Closets:</w:t>
      </w:r>
      <w:r>
        <w:rPr>
          <w:i/>
          <w:spacing w:val="-5"/>
          <w:sz w:val="20"/>
        </w:rPr>
        <w:t xml:space="preserve"> </w:t>
      </w:r>
      <w:r>
        <w:rPr>
          <w:i/>
          <w:sz w:val="20"/>
        </w:rPr>
        <w:t>A</w:t>
      </w:r>
      <w:r>
        <w:rPr>
          <w:i/>
          <w:spacing w:val="-6"/>
          <w:sz w:val="20"/>
        </w:rPr>
        <w:t xml:space="preserve"> </w:t>
      </w:r>
      <w:r>
        <w:rPr>
          <w:i/>
          <w:sz w:val="20"/>
        </w:rPr>
        <w:t>Report</w:t>
      </w:r>
      <w:r>
        <w:rPr>
          <w:i/>
          <w:spacing w:val="-7"/>
          <w:sz w:val="20"/>
        </w:rPr>
        <w:t xml:space="preserve"> </w:t>
      </w:r>
      <w:r>
        <w:rPr>
          <w:i/>
          <w:sz w:val="20"/>
        </w:rPr>
        <w:t>on</w:t>
      </w:r>
      <w:r>
        <w:rPr>
          <w:i/>
          <w:spacing w:val="-6"/>
          <w:sz w:val="20"/>
        </w:rPr>
        <w:t xml:space="preserve"> </w:t>
      </w:r>
      <w:r>
        <w:rPr>
          <w:i/>
          <w:sz w:val="20"/>
        </w:rPr>
        <w:t>Black</w:t>
      </w:r>
      <w:r>
        <w:rPr>
          <w:i/>
          <w:spacing w:val="-7"/>
          <w:sz w:val="20"/>
        </w:rPr>
        <w:t xml:space="preserve"> </w:t>
      </w:r>
      <w:r>
        <w:rPr>
          <w:i/>
          <w:sz w:val="20"/>
        </w:rPr>
        <w:t>&amp;</w:t>
      </w:r>
      <w:r>
        <w:rPr>
          <w:i/>
          <w:spacing w:val="-4"/>
          <w:sz w:val="20"/>
        </w:rPr>
        <w:t xml:space="preserve"> </w:t>
      </w:r>
      <w:r>
        <w:rPr>
          <w:i/>
          <w:sz w:val="20"/>
        </w:rPr>
        <w:t>Pink’s</w:t>
      </w:r>
      <w:r>
        <w:rPr>
          <w:i/>
          <w:spacing w:val="-6"/>
          <w:sz w:val="20"/>
        </w:rPr>
        <w:t xml:space="preserve"> </w:t>
      </w:r>
      <w:r>
        <w:rPr>
          <w:i/>
          <w:sz w:val="20"/>
        </w:rPr>
        <w:t>National</w:t>
      </w:r>
      <w:r>
        <w:rPr>
          <w:i/>
          <w:spacing w:val="-6"/>
          <w:sz w:val="20"/>
        </w:rPr>
        <w:t xml:space="preserve"> </w:t>
      </w:r>
      <w:r>
        <w:rPr>
          <w:i/>
          <w:sz w:val="20"/>
        </w:rPr>
        <w:t>LGBTQ</w:t>
      </w:r>
      <w:r>
        <w:rPr>
          <w:i/>
          <w:spacing w:val="-5"/>
          <w:sz w:val="20"/>
        </w:rPr>
        <w:t xml:space="preserve"> </w:t>
      </w:r>
      <w:r>
        <w:rPr>
          <w:i/>
          <w:sz w:val="20"/>
        </w:rPr>
        <w:t>Prisoner</w:t>
      </w:r>
      <w:r>
        <w:rPr>
          <w:i/>
          <w:spacing w:val="-7"/>
          <w:sz w:val="20"/>
        </w:rPr>
        <w:t xml:space="preserve"> </w:t>
      </w:r>
      <w:r>
        <w:rPr>
          <w:i/>
          <w:spacing w:val="-2"/>
          <w:sz w:val="20"/>
        </w:rPr>
        <w:t>Survey</w:t>
      </w:r>
    </w:p>
    <w:p w:rsidR="00C76E6D" w:rsidRDefault="00913831">
      <w:pPr>
        <w:spacing w:line="242" w:lineRule="exact"/>
        <w:ind w:left="481"/>
        <w:rPr>
          <w:sz w:val="20"/>
        </w:rPr>
      </w:pPr>
      <w:bookmarkStart w:id="497" w:name="_bookmark363"/>
      <w:bookmarkEnd w:id="497"/>
      <w:r>
        <w:rPr>
          <w:sz w:val="20"/>
        </w:rPr>
        <w:t>(Omaha:</w:t>
      </w:r>
      <w:r>
        <w:rPr>
          <w:spacing w:val="-10"/>
          <w:sz w:val="20"/>
        </w:rPr>
        <w:t xml:space="preserve"> </w:t>
      </w:r>
      <w:r>
        <w:rPr>
          <w:sz w:val="20"/>
        </w:rPr>
        <w:t>Black</w:t>
      </w:r>
      <w:r>
        <w:rPr>
          <w:spacing w:val="-6"/>
          <w:sz w:val="20"/>
        </w:rPr>
        <w:t xml:space="preserve"> </w:t>
      </w:r>
      <w:r>
        <w:rPr>
          <w:sz w:val="20"/>
        </w:rPr>
        <w:t>and</w:t>
      </w:r>
      <w:r>
        <w:rPr>
          <w:spacing w:val="-5"/>
          <w:sz w:val="20"/>
        </w:rPr>
        <w:t xml:space="preserve"> </w:t>
      </w:r>
      <w:r>
        <w:rPr>
          <w:sz w:val="20"/>
        </w:rPr>
        <w:t>Pink,</w:t>
      </w:r>
      <w:r>
        <w:rPr>
          <w:spacing w:val="-6"/>
          <w:sz w:val="20"/>
        </w:rPr>
        <w:t xml:space="preserve"> </w:t>
      </w:r>
      <w:r>
        <w:rPr>
          <w:sz w:val="20"/>
        </w:rPr>
        <w:t>2015),</w:t>
      </w:r>
      <w:r>
        <w:rPr>
          <w:spacing w:val="-5"/>
          <w:sz w:val="20"/>
        </w:rPr>
        <w:t xml:space="preserve"> </w:t>
      </w:r>
      <w:r>
        <w:rPr>
          <w:spacing w:val="-2"/>
          <w:sz w:val="20"/>
        </w:rPr>
        <w:t>https://</w:t>
      </w:r>
      <w:hyperlink r:id="rId290">
        <w:r>
          <w:rPr>
            <w:spacing w:val="-2"/>
            <w:sz w:val="20"/>
          </w:rPr>
          <w:t>www.issuelab.org/resources/23129/23129.pdf.</w:t>
        </w:r>
      </w:hyperlink>
    </w:p>
    <w:p w:rsidR="00C76E6D" w:rsidRDefault="00913831">
      <w:pPr>
        <w:ind w:left="479" w:right="558" w:hanging="2"/>
        <w:rPr>
          <w:sz w:val="20"/>
        </w:rPr>
      </w:pPr>
      <w:r>
        <w:rPr>
          <w:sz w:val="20"/>
          <w:vertAlign w:val="superscript"/>
        </w:rPr>
        <w:t>14</w:t>
      </w:r>
      <w:r>
        <w:rPr>
          <w:spacing w:val="-4"/>
          <w:sz w:val="20"/>
        </w:rPr>
        <w:t xml:space="preserve"> </w:t>
      </w:r>
      <w:r>
        <w:rPr>
          <w:sz w:val="20"/>
        </w:rPr>
        <w:t>Theo</w:t>
      </w:r>
      <w:r>
        <w:rPr>
          <w:spacing w:val="-5"/>
          <w:sz w:val="20"/>
        </w:rPr>
        <w:t xml:space="preserve"> </w:t>
      </w:r>
      <w:r>
        <w:rPr>
          <w:sz w:val="20"/>
        </w:rPr>
        <w:t>Santos,</w:t>
      </w:r>
      <w:r>
        <w:rPr>
          <w:spacing w:val="-5"/>
          <w:sz w:val="20"/>
        </w:rPr>
        <w:t xml:space="preserve"> </w:t>
      </w:r>
      <w:r>
        <w:rPr>
          <w:sz w:val="20"/>
        </w:rPr>
        <w:t>“Justice</w:t>
      </w:r>
      <w:r>
        <w:rPr>
          <w:spacing w:val="-4"/>
          <w:sz w:val="20"/>
        </w:rPr>
        <w:t xml:space="preserve"> </w:t>
      </w:r>
      <w:r>
        <w:rPr>
          <w:sz w:val="20"/>
        </w:rPr>
        <w:t>in</w:t>
      </w:r>
      <w:r>
        <w:rPr>
          <w:spacing w:val="-5"/>
          <w:sz w:val="20"/>
        </w:rPr>
        <w:t xml:space="preserve"> </w:t>
      </w:r>
      <w:r>
        <w:rPr>
          <w:sz w:val="20"/>
        </w:rPr>
        <w:t>Reentry</w:t>
      </w:r>
      <w:r>
        <w:rPr>
          <w:spacing w:val="-4"/>
          <w:sz w:val="20"/>
        </w:rPr>
        <w:t xml:space="preserve"> </w:t>
      </w:r>
      <w:r>
        <w:rPr>
          <w:sz w:val="20"/>
        </w:rPr>
        <w:t>for</w:t>
      </w:r>
      <w:r>
        <w:rPr>
          <w:spacing w:val="-7"/>
          <w:sz w:val="20"/>
        </w:rPr>
        <w:t xml:space="preserve"> </w:t>
      </w:r>
      <w:r>
        <w:rPr>
          <w:sz w:val="20"/>
        </w:rPr>
        <w:t>Formerly</w:t>
      </w:r>
      <w:r>
        <w:rPr>
          <w:spacing w:val="-4"/>
          <w:sz w:val="20"/>
        </w:rPr>
        <w:t xml:space="preserve"> </w:t>
      </w:r>
      <w:r>
        <w:rPr>
          <w:sz w:val="20"/>
        </w:rPr>
        <w:t>Incarcerated</w:t>
      </w:r>
      <w:r>
        <w:rPr>
          <w:spacing w:val="-5"/>
          <w:sz w:val="20"/>
        </w:rPr>
        <w:t xml:space="preserve"> </w:t>
      </w:r>
      <w:r>
        <w:rPr>
          <w:sz w:val="20"/>
        </w:rPr>
        <w:t>LGBTQ</w:t>
      </w:r>
      <w:r>
        <w:rPr>
          <w:spacing w:val="-6"/>
          <w:sz w:val="20"/>
        </w:rPr>
        <w:t xml:space="preserve"> </w:t>
      </w:r>
      <w:r>
        <w:rPr>
          <w:sz w:val="20"/>
        </w:rPr>
        <w:t>People</w:t>
      </w:r>
      <w:r>
        <w:rPr>
          <w:spacing w:val="-6"/>
          <w:sz w:val="20"/>
        </w:rPr>
        <w:t xml:space="preserve"> </w:t>
      </w:r>
      <w:r>
        <w:rPr>
          <w:sz w:val="20"/>
        </w:rPr>
        <w:t>and</w:t>
      </w:r>
      <w:r>
        <w:rPr>
          <w:spacing w:val="-4"/>
          <w:sz w:val="20"/>
        </w:rPr>
        <w:t xml:space="preserve"> </w:t>
      </w:r>
      <w:r>
        <w:rPr>
          <w:sz w:val="20"/>
        </w:rPr>
        <w:t>People</w:t>
      </w:r>
      <w:r>
        <w:rPr>
          <w:spacing w:val="-5"/>
          <w:sz w:val="20"/>
        </w:rPr>
        <w:t xml:space="preserve"> </w:t>
      </w:r>
      <w:r>
        <w:rPr>
          <w:sz w:val="20"/>
        </w:rPr>
        <w:t>Living</w:t>
      </w:r>
      <w:r>
        <w:rPr>
          <w:spacing w:val="-5"/>
          <w:sz w:val="20"/>
        </w:rPr>
        <w:t xml:space="preserve"> </w:t>
      </w:r>
      <w:r>
        <w:rPr>
          <w:sz w:val="20"/>
        </w:rPr>
        <w:t>with</w:t>
      </w:r>
      <w:r>
        <w:rPr>
          <w:spacing w:val="-4"/>
          <w:sz w:val="20"/>
        </w:rPr>
        <w:t xml:space="preserve"> </w:t>
      </w:r>
      <w:r>
        <w:rPr>
          <w:sz w:val="20"/>
        </w:rPr>
        <w:t>HIV,”</w:t>
      </w:r>
      <w:r>
        <w:rPr>
          <w:spacing w:val="-7"/>
          <w:sz w:val="20"/>
        </w:rPr>
        <w:t xml:space="preserve"> </w:t>
      </w:r>
      <w:r>
        <w:rPr>
          <w:sz w:val="20"/>
        </w:rPr>
        <w:t>Center</w:t>
      </w:r>
      <w:r>
        <w:rPr>
          <w:spacing w:val="-5"/>
          <w:sz w:val="20"/>
        </w:rPr>
        <w:t xml:space="preserve"> </w:t>
      </w:r>
      <w:r>
        <w:rPr>
          <w:sz w:val="20"/>
        </w:rPr>
        <w:t>for American Progress, April 23, 2021, https://</w:t>
      </w:r>
      <w:hyperlink r:id="rId291">
        <w:r>
          <w:rPr>
            <w:sz w:val="20"/>
          </w:rPr>
          <w:t>www.americanprogress.org/issues/lgbtq-</w:t>
        </w:r>
      </w:hyperlink>
      <w:r>
        <w:rPr>
          <w:sz w:val="20"/>
        </w:rPr>
        <w:t xml:space="preserve"> </w:t>
      </w:r>
      <w:r>
        <w:rPr>
          <w:spacing w:val="-2"/>
          <w:sz w:val="20"/>
        </w:rPr>
        <w:t>rights/news/2021/04/23/498211/justice-reentry-formerly-incarcerated-lgbtq-people-people-living-hiv.</w:t>
      </w:r>
    </w:p>
    <w:p w:rsidR="00C76E6D" w:rsidRDefault="00913831">
      <w:pPr>
        <w:ind w:left="480" w:right="530" w:hanging="2"/>
        <w:rPr>
          <w:sz w:val="20"/>
        </w:rPr>
      </w:pPr>
      <w:bookmarkStart w:id="498" w:name="_bookmark364"/>
      <w:bookmarkEnd w:id="498"/>
      <w:r>
        <w:rPr>
          <w:sz w:val="20"/>
          <w:vertAlign w:val="superscript"/>
        </w:rPr>
        <w:t>15</w:t>
      </w:r>
      <w:r>
        <w:rPr>
          <w:spacing w:val="-4"/>
          <w:sz w:val="20"/>
        </w:rPr>
        <w:t xml:space="preserve"> </w:t>
      </w:r>
      <w:r>
        <w:rPr>
          <w:sz w:val="20"/>
        </w:rPr>
        <w:t>Steinberg,</w:t>
      </w:r>
      <w:r>
        <w:rPr>
          <w:spacing w:val="-4"/>
          <w:sz w:val="20"/>
        </w:rPr>
        <w:t xml:space="preserve"> </w:t>
      </w:r>
      <w:r>
        <w:rPr>
          <w:sz w:val="20"/>
        </w:rPr>
        <w:t>L.</w:t>
      </w:r>
      <w:r>
        <w:rPr>
          <w:spacing w:val="-7"/>
          <w:sz w:val="20"/>
        </w:rPr>
        <w:t xml:space="preserve"> </w:t>
      </w:r>
      <w:r>
        <w:rPr>
          <w:sz w:val="20"/>
        </w:rPr>
        <w:t>(2015).</w:t>
      </w:r>
      <w:r>
        <w:rPr>
          <w:spacing w:val="-6"/>
          <w:sz w:val="20"/>
        </w:rPr>
        <w:t xml:space="preserve"> </w:t>
      </w:r>
      <w:r>
        <w:rPr>
          <w:i/>
          <w:sz w:val="20"/>
        </w:rPr>
        <w:t>Age</w:t>
      </w:r>
      <w:r>
        <w:rPr>
          <w:i/>
          <w:spacing w:val="-5"/>
          <w:sz w:val="20"/>
        </w:rPr>
        <w:t xml:space="preserve"> </w:t>
      </w:r>
      <w:r>
        <w:rPr>
          <w:i/>
          <w:sz w:val="20"/>
        </w:rPr>
        <w:t>of</w:t>
      </w:r>
      <w:r>
        <w:rPr>
          <w:i/>
          <w:spacing w:val="-6"/>
          <w:sz w:val="20"/>
        </w:rPr>
        <w:t xml:space="preserve"> </w:t>
      </w:r>
      <w:r>
        <w:rPr>
          <w:i/>
          <w:sz w:val="20"/>
        </w:rPr>
        <w:t>Opportunity:</w:t>
      </w:r>
      <w:r>
        <w:rPr>
          <w:i/>
          <w:spacing w:val="-4"/>
          <w:sz w:val="20"/>
        </w:rPr>
        <w:t xml:space="preserve"> </w:t>
      </w:r>
      <w:r>
        <w:rPr>
          <w:i/>
          <w:sz w:val="20"/>
        </w:rPr>
        <w:t>Lessons</w:t>
      </w:r>
      <w:r>
        <w:rPr>
          <w:i/>
          <w:spacing w:val="-4"/>
          <w:sz w:val="20"/>
        </w:rPr>
        <w:t xml:space="preserve"> </w:t>
      </w:r>
      <w:r>
        <w:rPr>
          <w:i/>
          <w:sz w:val="20"/>
        </w:rPr>
        <w:t>f</w:t>
      </w:r>
      <w:r>
        <w:rPr>
          <w:i/>
          <w:sz w:val="20"/>
        </w:rPr>
        <w:t>rom</w:t>
      </w:r>
      <w:r>
        <w:rPr>
          <w:i/>
          <w:spacing w:val="-5"/>
          <w:sz w:val="20"/>
        </w:rPr>
        <w:t xml:space="preserve"> </w:t>
      </w:r>
      <w:r>
        <w:rPr>
          <w:i/>
          <w:sz w:val="20"/>
        </w:rPr>
        <w:t>the</w:t>
      </w:r>
      <w:r>
        <w:rPr>
          <w:i/>
          <w:spacing w:val="-4"/>
          <w:sz w:val="20"/>
        </w:rPr>
        <w:t xml:space="preserve"> </w:t>
      </w:r>
      <w:r>
        <w:rPr>
          <w:i/>
          <w:sz w:val="20"/>
        </w:rPr>
        <w:t>New</w:t>
      </w:r>
      <w:r>
        <w:rPr>
          <w:i/>
          <w:spacing w:val="-9"/>
          <w:sz w:val="20"/>
        </w:rPr>
        <w:t xml:space="preserve"> </w:t>
      </w:r>
      <w:r>
        <w:rPr>
          <w:i/>
          <w:sz w:val="20"/>
        </w:rPr>
        <w:t>Science</w:t>
      </w:r>
      <w:r>
        <w:rPr>
          <w:i/>
          <w:spacing w:val="-7"/>
          <w:sz w:val="20"/>
        </w:rPr>
        <w:t xml:space="preserve"> </w:t>
      </w:r>
      <w:r>
        <w:rPr>
          <w:i/>
          <w:sz w:val="20"/>
        </w:rPr>
        <w:t>of</w:t>
      </w:r>
      <w:r>
        <w:rPr>
          <w:i/>
          <w:spacing w:val="-6"/>
          <w:sz w:val="20"/>
        </w:rPr>
        <w:t xml:space="preserve"> </w:t>
      </w:r>
      <w:r>
        <w:rPr>
          <w:i/>
          <w:sz w:val="20"/>
        </w:rPr>
        <w:t>Adolescence</w:t>
      </w:r>
      <w:r>
        <w:rPr>
          <w:sz w:val="20"/>
        </w:rPr>
        <w:t>.</w:t>
      </w:r>
      <w:r>
        <w:rPr>
          <w:spacing w:val="-5"/>
          <w:sz w:val="20"/>
        </w:rPr>
        <w:t xml:space="preserve"> </w:t>
      </w:r>
      <w:r>
        <w:rPr>
          <w:sz w:val="20"/>
        </w:rPr>
        <w:t>New</w:t>
      </w:r>
      <w:r>
        <w:rPr>
          <w:spacing w:val="-5"/>
          <w:sz w:val="20"/>
        </w:rPr>
        <w:t xml:space="preserve"> </w:t>
      </w:r>
      <w:r>
        <w:rPr>
          <w:sz w:val="20"/>
        </w:rPr>
        <w:t>York:</w:t>
      </w:r>
      <w:r>
        <w:rPr>
          <w:spacing w:val="-5"/>
          <w:sz w:val="20"/>
        </w:rPr>
        <w:t xml:space="preserve"> </w:t>
      </w:r>
      <w:r>
        <w:rPr>
          <w:sz w:val="20"/>
        </w:rPr>
        <w:t>An</w:t>
      </w:r>
      <w:r>
        <w:rPr>
          <w:spacing w:val="-7"/>
          <w:sz w:val="20"/>
        </w:rPr>
        <w:t xml:space="preserve"> </w:t>
      </w:r>
      <w:r>
        <w:rPr>
          <w:sz w:val="20"/>
        </w:rPr>
        <w:t>Eamon Dolan Book.</w:t>
      </w:r>
    </w:p>
    <w:p w:rsidR="00C76E6D" w:rsidRDefault="00913831">
      <w:pPr>
        <w:ind w:left="481" w:right="530" w:hanging="3"/>
        <w:rPr>
          <w:sz w:val="20"/>
        </w:rPr>
      </w:pPr>
      <w:bookmarkStart w:id="499" w:name="_bookmark365"/>
      <w:bookmarkEnd w:id="499"/>
      <w:r>
        <w:rPr>
          <w:sz w:val="20"/>
          <w:vertAlign w:val="superscript"/>
        </w:rPr>
        <w:t>16</w:t>
      </w:r>
      <w:r>
        <w:rPr>
          <w:spacing w:val="-6"/>
          <w:sz w:val="20"/>
        </w:rPr>
        <w:t xml:space="preserve"> </w:t>
      </w:r>
      <w:r>
        <w:rPr>
          <w:sz w:val="20"/>
        </w:rPr>
        <w:t>Brandon</w:t>
      </w:r>
      <w:r>
        <w:rPr>
          <w:spacing w:val="-8"/>
          <w:sz w:val="20"/>
        </w:rPr>
        <w:t xml:space="preserve"> </w:t>
      </w:r>
      <w:r>
        <w:rPr>
          <w:sz w:val="20"/>
        </w:rPr>
        <w:t>Andrew</w:t>
      </w:r>
      <w:r>
        <w:rPr>
          <w:spacing w:val="-7"/>
          <w:sz w:val="20"/>
        </w:rPr>
        <w:t xml:space="preserve"> </w:t>
      </w:r>
      <w:r>
        <w:rPr>
          <w:sz w:val="20"/>
        </w:rPr>
        <w:t>Robinson,</w:t>
      </w:r>
      <w:r>
        <w:rPr>
          <w:spacing w:val="-6"/>
          <w:sz w:val="20"/>
        </w:rPr>
        <w:t xml:space="preserve"> </w:t>
      </w:r>
      <w:r>
        <w:rPr>
          <w:sz w:val="20"/>
        </w:rPr>
        <w:t>“The</w:t>
      </w:r>
      <w:r>
        <w:rPr>
          <w:spacing w:val="-7"/>
          <w:sz w:val="20"/>
        </w:rPr>
        <w:t xml:space="preserve"> </w:t>
      </w:r>
      <w:r>
        <w:rPr>
          <w:sz w:val="20"/>
        </w:rPr>
        <w:t>Lavender</w:t>
      </w:r>
      <w:r>
        <w:rPr>
          <w:spacing w:val="-9"/>
          <w:sz w:val="20"/>
        </w:rPr>
        <w:t xml:space="preserve"> </w:t>
      </w:r>
      <w:r>
        <w:rPr>
          <w:sz w:val="20"/>
        </w:rPr>
        <w:t>Scare</w:t>
      </w:r>
      <w:r>
        <w:rPr>
          <w:spacing w:val="-6"/>
          <w:sz w:val="20"/>
        </w:rPr>
        <w:t xml:space="preserve"> </w:t>
      </w:r>
      <w:r>
        <w:rPr>
          <w:sz w:val="20"/>
        </w:rPr>
        <w:t>in</w:t>
      </w:r>
      <w:r>
        <w:rPr>
          <w:spacing w:val="-6"/>
          <w:sz w:val="20"/>
        </w:rPr>
        <w:t xml:space="preserve"> </w:t>
      </w:r>
      <w:r>
        <w:rPr>
          <w:sz w:val="20"/>
        </w:rPr>
        <w:t>Homonormative</w:t>
      </w:r>
      <w:r>
        <w:rPr>
          <w:spacing w:val="-7"/>
          <w:sz w:val="20"/>
        </w:rPr>
        <w:t xml:space="preserve"> </w:t>
      </w:r>
      <w:r>
        <w:rPr>
          <w:sz w:val="20"/>
        </w:rPr>
        <w:t>Times:</w:t>
      </w:r>
      <w:r>
        <w:rPr>
          <w:spacing w:val="-6"/>
          <w:sz w:val="20"/>
        </w:rPr>
        <w:t xml:space="preserve"> </w:t>
      </w:r>
      <w:r>
        <w:rPr>
          <w:sz w:val="20"/>
        </w:rPr>
        <w:t>Policing,</w:t>
      </w:r>
      <w:r>
        <w:rPr>
          <w:spacing w:val="-7"/>
          <w:sz w:val="20"/>
        </w:rPr>
        <w:t xml:space="preserve"> </w:t>
      </w:r>
      <w:r>
        <w:rPr>
          <w:sz w:val="20"/>
        </w:rPr>
        <w:t>Hyper-incarceration,</w:t>
      </w:r>
      <w:r>
        <w:rPr>
          <w:spacing w:val="-6"/>
          <w:sz w:val="20"/>
        </w:rPr>
        <w:t xml:space="preserve"> </w:t>
      </w:r>
      <w:r>
        <w:rPr>
          <w:sz w:val="20"/>
        </w:rPr>
        <w:t xml:space="preserve">and LGBTQ Youth Homelessness,” Gender &amp; Society 34(2), 2020, </w:t>
      </w:r>
      <w:r>
        <w:rPr>
          <w:spacing w:val="-2"/>
          <w:sz w:val="20"/>
        </w:rPr>
        <w:t>https://journals.sagepub.com/doi/full/10.1177/0891243220906172.</w:t>
      </w:r>
    </w:p>
    <w:p w:rsidR="00C76E6D" w:rsidRDefault="00913831">
      <w:pPr>
        <w:ind w:left="479" w:right="530" w:hanging="1"/>
        <w:rPr>
          <w:sz w:val="20"/>
        </w:rPr>
      </w:pPr>
      <w:bookmarkStart w:id="500" w:name="_bookmark366"/>
      <w:bookmarkEnd w:id="500"/>
      <w:r>
        <w:rPr>
          <w:sz w:val="20"/>
          <w:vertAlign w:val="superscript"/>
        </w:rPr>
        <w:t>17</w:t>
      </w:r>
      <w:r>
        <w:rPr>
          <w:spacing w:val="-5"/>
          <w:sz w:val="20"/>
        </w:rPr>
        <w:t xml:space="preserve"> </w:t>
      </w:r>
      <w:r>
        <w:rPr>
          <w:sz w:val="20"/>
        </w:rPr>
        <w:t>Christy</w:t>
      </w:r>
      <w:r>
        <w:rPr>
          <w:spacing w:val="-6"/>
          <w:sz w:val="20"/>
        </w:rPr>
        <w:t xml:space="preserve"> </w:t>
      </w:r>
      <w:r>
        <w:rPr>
          <w:sz w:val="20"/>
        </w:rPr>
        <w:t>Mallory,</w:t>
      </w:r>
      <w:r>
        <w:rPr>
          <w:spacing w:val="-6"/>
          <w:sz w:val="20"/>
        </w:rPr>
        <w:t xml:space="preserve"> </w:t>
      </w:r>
      <w:r>
        <w:rPr>
          <w:sz w:val="20"/>
        </w:rPr>
        <w:t>Amira</w:t>
      </w:r>
      <w:r>
        <w:rPr>
          <w:spacing w:val="-5"/>
          <w:sz w:val="20"/>
        </w:rPr>
        <w:t xml:space="preserve"> </w:t>
      </w:r>
      <w:r>
        <w:rPr>
          <w:sz w:val="20"/>
        </w:rPr>
        <w:t>Hasenbush,</w:t>
      </w:r>
      <w:r>
        <w:rPr>
          <w:spacing w:val="-5"/>
          <w:sz w:val="20"/>
        </w:rPr>
        <w:t xml:space="preserve"> </w:t>
      </w:r>
      <w:r>
        <w:rPr>
          <w:sz w:val="20"/>
        </w:rPr>
        <w:t>and</w:t>
      </w:r>
      <w:r>
        <w:rPr>
          <w:spacing w:val="-6"/>
          <w:sz w:val="20"/>
        </w:rPr>
        <w:t xml:space="preserve"> </w:t>
      </w:r>
      <w:r>
        <w:rPr>
          <w:sz w:val="20"/>
        </w:rPr>
        <w:t>Brad</w:t>
      </w:r>
      <w:r>
        <w:rPr>
          <w:spacing w:val="-6"/>
          <w:sz w:val="20"/>
        </w:rPr>
        <w:t xml:space="preserve"> </w:t>
      </w:r>
      <w:r>
        <w:rPr>
          <w:sz w:val="20"/>
        </w:rPr>
        <w:t>Sears,</w:t>
      </w:r>
      <w:r>
        <w:rPr>
          <w:spacing w:val="-6"/>
          <w:sz w:val="20"/>
        </w:rPr>
        <w:t xml:space="preserve"> </w:t>
      </w:r>
      <w:r>
        <w:rPr>
          <w:sz w:val="20"/>
        </w:rPr>
        <w:t>“Discrimination</w:t>
      </w:r>
      <w:r>
        <w:rPr>
          <w:spacing w:val="-5"/>
          <w:sz w:val="20"/>
        </w:rPr>
        <w:t xml:space="preserve"> </w:t>
      </w:r>
      <w:r>
        <w:rPr>
          <w:sz w:val="20"/>
        </w:rPr>
        <w:t>and</w:t>
      </w:r>
      <w:r>
        <w:rPr>
          <w:spacing w:val="-8"/>
          <w:sz w:val="20"/>
        </w:rPr>
        <w:t xml:space="preserve"> </w:t>
      </w:r>
      <w:r>
        <w:rPr>
          <w:sz w:val="20"/>
        </w:rPr>
        <w:t>Harassment</w:t>
      </w:r>
      <w:r>
        <w:rPr>
          <w:spacing w:val="-5"/>
          <w:sz w:val="20"/>
        </w:rPr>
        <w:t xml:space="preserve"> </w:t>
      </w:r>
      <w:r>
        <w:rPr>
          <w:sz w:val="20"/>
        </w:rPr>
        <w:t>by</w:t>
      </w:r>
      <w:r>
        <w:rPr>
          <w:spacing w:val="-6"/>
          <w:sz w:val="20"/>
        </w:rPr>
        <w:t xml:space="preserve"> </w:t>
      </w:r>
      <w:r>
        <w:rPr>
          <w:sz w:val="20"/>
        </w:rPr>
        <w:t>Law</w:t>
      </w:r>
      <w:r>
        <w:rPr>
          <w:spacing w:val="-7"/>
          <w:sz w:val="20"/>
        </w:rPr>
        <w:t xml:space="preserve"> </w:t>
      </w:r>
      <w:r>
        <w:rPr>
          <w:sz w:val="20"/>
        </w:rPr>
        <w:t>Enforcement</w:t>
      </w:r>
      <w:r>
        <w:rPr>
          <w:spacing w:val="-7"/>
          <w:sz w:val="20"/>
        </w:rPr>
        <w:t xml:space="preserve"> </w:t>
      </w:r>
      <w:r>
        <w:rPr>
          <w:sz w:val="20"/>
        </w:rPr>
        <w:t>Officers in the LGBT Community,“ March 2015, https://williamsinstitute.law.ucla.edu/publi</w:t>
      </w:r>
      <w:r>
        <w:rPr>
          <w:sz w:val="20"/>
        </w:rPr>
        <w:t xml:space="preserve">cations/lgbt-discrim-law- </w:t>
      </w:r>
      <w:r>
        <w:rPr>
          <w:spacing w:val="-2"/>
          <w:sz w:val="20"/>
        </w:rPr>
        <w:t>enforcement.</w:t>
      </w:r>
    </w:p>
    <w:p w:rsidR="00C76E6D" w:rsidRDefault="00C76E6D">
      <w:pPr>
        <w:rPr>
          <w:sz w:val="20"/>
        </w:rPr>
        <w:sectPr w:rsidR="00C76E6D">
          <w:pgSz w:w="12240" w:h="15840"/>
          <w:pgMar w:top="960" w:right="960" w:bottom="920" w:left="960" w:header="769" w:footer="72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11"/>
        <w:rPr>
          <w:sz w:val="20"/>
        </w:rPr>
      </w:pPr>
    </w:p>
    <w:p w:rsidR="00C76E6D" w:rsidRDefault="00913831">
      <w:pPr>
        <w:ind w:left="481" w:right="530" w:hanging="3"/>
        <w:rPr>
          <w:sz w:val="20"/>
        </w:rPr>
      </w:pPr>
      <w:bookmarkStart w:id="501" w:name="_bookmark367"/>
      <w:bookmarkEnd w:id="501"/>
      <w:r>
        <w:rPr>
          <w:sz w:val="20"/>
          <w:vertAlign w:val="superscript"/>
        </w:rPr>
        <w:t>18</w:t>
      </w:r>
      <w:r>
        <w:rPr>
          <w:spacing w:val="-6"/>
          <w:sz w:val="20"/>
        </w:rPr>
        <w:t xml:space="preserve"> </w:t>
      </w:r>
      <w:r>
        <w:rPr>
          <w:sz w:val="20"/>
        </w:rPr>
        <w:t>Brandon</w:t>
      </w:r>
      <w:r>
        <w:rPr>
          <w:spacing w:val="-8"/>
          <w:sz w:val="20"/>
        </w:rPr>
        <w:t xml:space="preserve"> </w:t>
      </w:r>
      <w:r>
        <w:rPr>
          <w:sz w:val="20"/>
        </w:rPr>
        <w:t>Andrew</w:t>
      </w:r>
      <w:r>
        <w:rPr>
          <w:spacing w:val="-7"/>
          <w:sz w:val="20"/>
        </w:rPr>
        <w:t xml:space="preserve"> </w:t>
      </w:r>
      <w:r>
        <w:rPr>
          <w:sz w:val="20"/>
        </w:rPr>
        <w:t>Robinson,</w:t>
      </w:r>
      <w:r>
        <w:rPr>
          <w:spacing w:val="-6"/>
          <w:sz w:val="20"/>
        </w:rPr>
        <w:t xml:space="preserve"> </w:t>
      </w:r>
      <w:r>
        <w:rPr>
          <w:sz w:val="20"/>
        </w:rPr>
        <w:t>“The</w:t>
      </w:r>
      <w:r>
        <w:rPr>
          <w:spacing w:val="-7"/>
          <w:sz w:val="20"/>
        </w:rPr>
        <w:t xml:space="preserve"> </w:t>
      </w:r>
      <w:r>
        <w:rPr>
          <w:sz w:val="20"/>
        </w:rPr>
        <w:t>Lavender</w:t>
      </w:r>
      <w:r>
        <w:rPr>
          <w:spacing w:val="-9"/>
          <w:sz w:val="20"/>
        </w:rPr>
        <w:t xml:space="preserve"> </w:t>
      </w:r>
      <w:r>
        <w:rPr>
          <w:sz w:val="20"/>
        </w:rPr>
        <w:t>Scare</w:t>
      </w:r>
      <w:r>
        <w:rPr>
          <w:spacing w:val="-6"/>
          <w:sz w:val="20"/>
        </w:rPr>
        <w:t xml:space="preserve"> </w:t>
      </w:r>
      <w:r>
        <w:rPr>
          <w:sz w:val="20"/>
        </w:rPr>
        <w:t>in</w:t>
      </w:r>
      <w:r>
        <w:rPr>
          <w:spacing w:val="-6"/>
          <w:sz w:val="20"/>
        </w:rPr>
        <w:t xml:space="preserve"> </w:t>
      </w:r>
      <w:r>
        <w:rPr>
          <w:sz w:val="20"/>
        </w:rPr>
        <w:t>Homonormative</w:t>
      </w:r>
      <w:r>
        <w:rPr>
          <w:spacing w:val="-7"/>
          <w:sz w:val="20"/>
        </w:rPr>
        <w:t xml:space="preserve"> </w:t>
      </w:r>
      <w:r>
        <w:rPr>
          <w:sz w:val="20"/>
        </w:rPr>
        <w:t>Times:</w:t>
      </w:r>
      <w:r>
        <w:rPr>
          <w:spacing w:val="-6"/>
          <w:sz w:val="20"/>
        </w:rPr>
        <w:t xml:space="preserve"> </w:t>
      </w:r>
      <w:r>
        <w:rPr>
          <w:sz w:val="20"/>
        </w:rPr>
        <w:t>Policing,</w:t>
      </w:r>
      <w:r>
        <w:rPr>
          <w:spacing w:val="-7"/>
          <w:sz w:val="20"/>
        </w:rPr>
        <w:t xml:space="preserve"> </w:t>
      </w:r>
      <w:r>
        <w:rPr>
          <w:sz w:val="20"/>
        </w:rPr>
        <w:t>Hyper-incarceration,</w:t>
      </w:r>
      <w:r>
        <w:rPr>
          <w:spacing w:val="-6"/>
          <w:sz w:val="20"/>
        </w:rPr>
        <w:t xml:space="preserve"> </w:t>
      </w:r>
      <w:r>
        <w:rPr>
          <w:sz w:val="20"/>
        </w:rPr>
        <w:t xml:space="preserve">and LGBTQ Youth Homelessness,” Gender &amp; Society 34(2), 2020, </w:t>
      </w:r>
      <w:bookmarkStart w:id="502" w:name="_bookmark368"/>
      <w:bookmarkEnd w:id="502"/>
      <w:r>
        <w:rPr>
          <w:spacing w:val="-2"/>
          <w:sz w:val="20"/>
        </w:rPr>
        <w:t>ht</w:t>
      </w:r>
      <w:r>
        <w:rPr>
          <w:spacing w:val="-2"/>
          <w:sz w:val="20"/>
        </w:rPr>
        <w:t>tps://journals.sagepub.com/doi/full/10.1177/0891243220906172.</w:t>
      </w:r>
    </w:p>
    <w:p w:rsidR="00C76E6D" w:rsidRDefault="00913831">
      <w:pPr>
        <w:ind w:left="479" w:right="530" w:hanging="1"/>
        <w:rPr>
          <w:sz w:val="20"/>
        </w:rPr>
      </w:pPr>
      <w:r>
        <w:rPr>
          <w:sz w:val="20"/>
          <w:vertAlign w:val="superscript"/>
        </w:rPr>
        <w:t>19</w:t>
      </w:r>
      <w:r>
        <w:rPr>
          <w:spacing w:val="-5"/>
          <w:sz w:val="20"/>
        </w:rPr>
        <w:t xml:space="preserve"> </w:t>
      </w:r>
      <w:r>
        <w:rPr>
          <w:sz w:val="20"/>
        </w:rPr>
        <w:t>Emily</w:t>
      </w:r>
      <w:r>
        <w:rPr>
          <w:spacing w:val="-6"/>
          <w:sz w:val="20"/>
        </w:rPr>
        <w:t xml:space="preserve"> </w:t>
      </w:r>
      <w:r>
        <w:rPr>
          <w:sz w:val="20"/>
        </w:rPr>
        <w:t>Waters,</w:t>
      </w:r>
      <w:r>
        <w:rPr>
          <w:spacing w:val="-6"/>
          <w:sz w:val="20"/>
        </w:rPr>
        <w:t xml:space="preserve"> </w:t>
      </w:r>
      <w:r>
        <w:rPr>
          <w:sz w:val="20"/>
        </w:rPr>
        <w:t>Lesbian,</w:t>
      </w:r>
      <w:r>
        <w:rPr>
          <w:spacing w:val="-5"/>
          <w:sz w:val="20"/>
        </w:rPr>
        <w:t xml:space="preserve"> </w:t>
      </w:r>
      <w:r>
        <w:rPr>
          <w:sz w:val="20"/>
        </w:rPr>
        <w:t>Gay,</w:t>
      </w:r>
      <w:r>
        <w:rPr>
          <w:spacing w:val="-6"/>
          <w:sz w:val="20"/>
        </w:rPr>
        <w:t xml:space="preserve"> </w:t>
      </w:r>
      <w:r>
        <w:rPr>
          <w:sz w:val="20"/>
        </w:rPr>
        <w:t>Bisexual,</w:t>
      </w:r>
      <w:r>
        <w:rPr>
          <w:spacing w:val="-4"/>
          <w:sz w:val="20"/>
        </w:rPr>
        <w:t xml:space="preserve"> </w:t>
      </w:r>
      <w:r>
        <w:rPr>
          <w:sz w:val="20"/>
        </w:rPr>
        <w:t>Transgender,</w:t>
      </w:r>
      <w:r>
        <w:rPr>
          <w:spacing w:val="-6"/>
          <w:sz w:val="20"/>
        </w:rPr>
        <w:t xml:space="preserve"> </w:t>
      </w:r>
      <w:r>
        <w:rPr>
          <w:sz w:val="20"/>
        </w:rPr>
        <w:t>Queer,</w:t>
      </w:r>
      <w:r>
        <w:rPr>
          <w:spacing w:val="-6"/>
          <w:sz w:val="20"/>
        </w:rPr>
        <w:t xml:space="preserve"> </w:t>
      </w:r>
      <w:r>
        <w:rPr>
          <w:sz w:val="20"/>
        </w:rPr>
        <w:t>and</w:t>
      </w:r>
      <w:r>
        <w:rPr>
          <w:spacing w:val="-6"/>
          <w:sz w:val="20"/>
        </w:rPr>
        <w:t xml:space="preserve"> </w:t>
      </w:r>
      <w:r>
        <w:rPr>
          <w:sz w:val="20"/>
        </w:rPr>
        <w:t>HIV-Affected</w:t>
      </w:r>
      <w:r>
        <w:rPr>
          <w:spacing w:val="-5"/>
          <w:sz w:val="20"/>
        </w:rPr>
        <w:t xml:space="preserve"> </w:t>
      </w:r>
      <w:r>
        <w:rPr>
          <w:sz w:val="20"/>
        </w:rPr>
        <w:t>Hate</w:t>
      </w:r>
      <w:r>
        <w:rPr>
          <w:spacing w:val="-7"/>
          <w:sz w:val="20"/>
        </w:rPr>
        <w:t xml:space="preserve"> </w:t>
      </w:r>
      <w:r>
        <w:rPr>
          <w:sz w:val="20"/>
        </w:rPr>
        <w:t>Violence</w:t>
      </w:r>
      <w:r>
        <w:rPr>
          <w:spacing w:val="-5"/>
          <w:sz w:val="20"/>
        </w:rPr>
        <w:t xml:space="preserve"> </w:t>
      </w:r>
      <w:r>
        <w:rPr>
          <w:sz w:val="20"/>
        </w:rPr>
        <w:t>in</w:t>
      </w:r>
      <w:r>
        <w:rPr>
          <w:spacing w:val="-8"/>
          <w:sz w:val="20"/>
        </w:rPr>
        <w:t xml:space="preserve"> </w:t>
      </w:r>
      <w:r>
        <w:rPr>
          <w:sz w:val="20"/>
        </w:rPr>
        <w:t>2016</w:t>
      </w:r>
      <w:r>
        <w:rPr>
          <w:spacing w:val="-6"/>
          <w:sz w:val="20"/>
        </w:rPr>
        <w:t xml:space="preserve"> </w:t>
      </w:r>
      <w:r>
        <w:rPr>
          <w:sz w:val="20"/>
        </w:rPr>
        <w:t>(New</w:t>
      </w:r>
      <w:r>
        <w:rPr>
          <w:spacing w:val="-7"/>
          <w:sz w:val="20"/>
        </w:rPr>
        <w:t xml:space="preserve"> </w:t>
      </w:r>
      <w:r>
        <w:rPr>
          <w:sz w:val="20"/>
        </w:rPr>
        <w:t xml:space="preserve">York: National Coalition of Anti-Violence Programs, 2017), </w:t>
      </w:r>
      <w:hyperlink r:id="rId292">
        <w:r>
          <w:rPr>
            <w:sz w:val="20"/>
          </w:rPr>
          <w:t>http://avp.org/wp-</w:t>
        </w:r>
      </w:hyperlink>
      <w:r>
        <w:rPr>
          <w:sz w:val="20"/>
        </w:rPr>
        <w:t xml:space="preserve"> </w:t>
      </w:r>
      <w:r>
        <w:rPr>
          <w:spacing w:val="-2"/>
          <w:sz w:val="20"/>
        </w:rPr>
        <w:t>content/uploads/2017/06/NCAVP_2016HateViolence_REPORT.pdf.</w:t>
      </w:r>
    </w:p>
    <w:p w:rsidR="00C76E6D" w:rsidRDefault="00913831">
      <w:pPr>
        <w:ind w:left="479" w:right="530" w:hanging="1"/>
        <w:rPr>
          <w:sz w:val="20"/>
        </w:rPr>
      </w:pPr>
      <w:bookmarkStart w:id="503" w:name="_bookmark369"/>
      <w:bookmarkEnd w:id="503"/>
      <w:r>
        <w:rPr>
          <w:sz w:val="20"/>
          <w:vertAlign w:val="superscript"/>
        </w:rPr>
        <w:t>20</w:t>
      </w:r>
      <w:r>
        <w:rPr>
          <w:spacing w:val="-5"/>
          <w:sz w:val="20"/>
        </w:rPr>
        <w:t xml:space="preserve"> </w:t>
      </w:r>
      <w:r>
        <w:rPr>
          <w:sz w:val="20"/>
        </w:rPr>
        <w:t>Emily</w:t>
      </w:r>
      <w:r>
        <w:rPr>
          <w:spacing w:val="-6"/>
          <w:sz w:val="20"/>
        </w:rPr>
        <w:t xml:space="preserve"> </w:t>
      </w:r>
      <w:r>
        <w:rPr>
          <w:sz w:val="20"/>
        </w:rPr>
        <w:t>Waters,</w:t>
      </w:r>
      <w:r>
        <w:rPr>
          <w:spacing w:val="-6"/>
          <w:sz w:val="20"/>
        </w:rPr>
        <w:t xml:space="preserve"> </w:t>
      </w:r>
      <w:r>
        <w:rPr>
          <w:sz w:val="20"/>
        </w:rPr>
        <w:t>Lesbian,</w:t>
      </w:r>
      <w:r>
        <w:rPr>
          <w:spacing w:val="-5"/>
          <w:sz w:val="20"/>
        </w:rPr>
        <w:t xml:space="preserve"> </w:t>
      </w:r>
      <w:r>
        <w:rPr>
          <w:sz w:val="20"/>
        </w:rPr>
        <w:t>Gay,</w:t>
      </w:r>
      <w:r>
        <w:rPr>
          <w:spacing w:val="-6"/>
          <w:sz w:val="20"/>
        </w:rPr>
        <w:t xml:space="preserve"> </w:t>
      </w:r>
      <w:r>
        <w:rPr>
          <w:sz w:val="20"/>
        </w:rPr>
        <w:t>Bisexual,</w:t>
      </w:r>
      <w:r>
        <w:rPr>
          <w:spacing w:val="-4"/>
          <w:sz w:val="20"/>
        </w:rPr>
        <w:t xml:space="preserve"> </w:t>
      </w:r>
      <w:r>
        <w:rPr>
          <w:sz w:val="20"/>
        </w:rPr>
        <w:t>Transgender,</w:t>
      </w:r>
      <w:r>
        <w:rPr>
          <w:spacing w:val="-6"/>
          <w:sz w:val="20"/>
        </w:rPr>
        <w:t xml:space="preserve"> </w:t>
      </w:r>
      <w:r>
        <w:rPr>
          <w:sz w:val="20"/>
        </w:rPr>
        <w:t>Queer,</w:t>
      </w:r>
      <w:r>
        <w:rPr>
          <w:spacing w:val="-6"/>
          <w:sz w:val="20"/>
        </w:rPr>
        <w:t xml:space="preserve"> </w:t>
      </w:r>
      <w:r>
        <w:rPr>
          <w:sz w:val="20"/>
        </w:rPr>
        <w:t>and</w:t>
      </w:r>
      <w:r>
        <w:rPr>
          <w:spacing w:val="-6"/>
          <w:sz w:val="20"/>
        </w:rPr>
        <w:t xml:space="preserve"> </w:t>
      </w:r>
      <w:r>
        <w:rPr>
          <w:sz w:val="20"/>
        </w:rPr>
        <w:t>HIV-Affected</w:t>
      </w:r>
      <w:r>
        <w:rPr>
          <w:spacing w:val="-5"/>
          <w:sz w:val="20"/>
        </w:rPr>
        <w:t xml:space="preserve"> </w:t>
      </w:r>
      <w:r>
        <w:rPr>
          <w:sz w:val="20"/>
        </w:rPr>
        <w:t>Hate</w:t>
      </w:r>
      <w:r>
        <w:rPr>
          <w:spacing w:val="-7"/>
          <w:sz w:val="20"/>
        </w:rPr>
        <w:t xml:space="preserve"> </w:t>
      </w:r>
      <w:r>
        <w:rPr>
          <w:sz w:val="20"/>
        </w:rPr>
        <w:t>Violence</w:t>
      </w:r>
      <w:r>
        <w:rPr>
          <w:spacing w:val="-5"/>
          <w:sz w:val="20"/>
        </w:rPr>
        <w:t xml:space="preserve"> </w:t>
      </w:r>
      <w:r>
        <w:rPr>
          <w:sz w:val="20"/>
        </w:rPr>
        <w:t>in</w:t>
      </w:r>
      <w:r>
        <w:rPr>
          <w:spacing w:val="-8"/>
          <w:sz w:val="20"/>
        </w:rPr>
        <w:t xml:space="preserve"> </w:t>
      </w:r>
      <w:r>
        <w:rPr>
          <w:sz w:val="20"/>
        </w:rPr>
        <w:t>2016</w:t>
      </w:r>
      <w:r>
        <w:rPr>
          <w:spacing w:val="-6"/>
          <w:sz w:val="20"/>
        </w:rPr>
        <w:t xml:space="preserve"> </w:t>
      </w:r>
      <w:r>
        <w:rPr>
          <w:sz w:val="20"/>
        </w:rPr>
        <w:t>(New</w:t>
      </w:r>
      <w:r>
        <w:rPr>
          <w:spacing w:val="-7"/>
          <w:sz w:val="20"/>
        </w:rPr>
        <w:t xml:space="preserve"> </w:t>
      </w:r>
      <w:r>
        <w:rPr>
          <w:sz w:val="20"/>
        </w:rPr>
        <w:t xml:space="preserve">York: National Coalition of Anti-Violence Programs, 2017), </w:t>
      </w:r>
      <w:hyperlink r:id="rId293">
        <w:r>
          <w:rPr>
            <w:sz w:val="20"/>
          </w:rPr>
          <w:t>http://avp.org/wp-</w:t>
        </w:r>
      </w:hyperlink>
      <w:r>
        <w:rPr>
          <w:sz w:val="20"/>
        </w:rPr>
        <w:t xml:space="preserve"> </w:t>
      </w:r>
      <w:r>
        <w:rPr>
          <w:spacing w:val="-2"/>
          <w:sz w:val="20"/>
        </w:rPr>
        <w:t>content/uploads/2017/06/NCAVP_2016HateViolence_REPORT.pdf.</w:t>
      </w:r>
    </w:p>
    <w:p w:rsidR="00C76E6D" w:rsidRDefault="00913831">
      <w:pPr>
        <w:ind w:left="479" w:right="820" w:hanging="2"/>
        <w:rPr>
          <w:sz w:val="20"/>
        </w:rPr>
      </w:pPr>
      <w:bookmarkStart w:id="504" w:name="_bookmark370"/>
      <w:bookmarkEnd w:id="504"/>
      <w:r>
        <w:rPr>
          <w:sz w:val="20"/>
          <w:vertAlign w:val="superscript"/>
        </w:rPr>
        <w:t>21</w:t>
      </w:r>
      <w:r>
        <w:rPr>
          <w:spacing w:val="-4"/>
          <w:sz w:val="20"/>
        </w:rPr>
        <w:t xml:space="preserve"> </w:t>
      </w:r>
      <w:r>
        <w:rPr>
          <w:sz w:val="20"/>
        </w:rPr>
        <w:t>Courtenay</w:t>
      </w:r>
      <w:r>
        <w:rPr>
          <w:spacing w:val="-6"/>
          <w:sz w:val="20"/>
        </w:rPr>
        <w:t xml:space="preserve"> </w:t>
      </w:r>
      <w:r>
        <w:rPr>
          <w:sz w:val="20"/>
        </w:rPr>
        <w:t>W.</w:t>
      </w:r>
      <w:r>
        <w:rPr>
          <w:spacing w:val="-8"/>
          <w:sz w:val="20"/>
        </w:rPr>
        <w:t xml:space="preserve"> </w:t>
      </w:r>
      <w:r>
        <w:rPr>
          <w:sz w:val="20"/>
        </w:rPr>
        <w:t>Daum,</w:t>
      </w:r>
      <w:r>
        <w:rPr>
          <w:spacing w:val="-5"/>
          <w:sz w:val="20"/>
        </w:rPr>
        <w:t xml:space="preserve"> </w:t>
      </w:r>
      <w:r>
        <w:rPr>
          <w:sz w:val="20"/>
        </w:rPr>
        <w:t>“Violence</w:t>
      </w:r>
      <w:r>
        <w:rPr>
          <w:spacing w:val="-5"/>
          <w:sz w:val="20"/>
        </w:rPr>
        <w:t xml:space="preserve"> </w:t>
      </w:r>
      <w:r>
        <w:rPr>
          <w:sz w:val="20"/>
        </w:rPr>
        <w:t>Against</w:t>
      </w:r>
      <w:r>
        <w:rPr>
          <w:spacing w:val="-5"/>
          <w:sz w:val="20"/>
        </w:rPr>
        <w:t xml:space="preserve"> </w:t>
      </w:r>
      <w:r>
        <w:rPr>
          <w:sz w:val="20"/>
        </w:rPr>
        <w:t>and</w:t>
      </w:r>
      <w:r>
        <w:rPr>
          <w:spacing w:val="-5"/>
          <w:sz w:val="20"/>
        </w:rPr>
        <w:t xml:space="preserve"> </w:t>
      </w:r>
      <w:r>
        <w:rPr>
          <w:sz w:val="20"/>
        </w:rPr>
        <w:t>Policing</w:t>
      </w:r>
      <w:r>
        <w:rPr>
          <w:spacing w:val="-5"/>
          <w:sz w:val="20"/>
        </w:rPr>
        <w:t xml:space="preserve"> </w:t>
      </w:r>
      <w:r>
        <w:rPr>
          <w:sz w:val="20"/>
        </w:rPr>
        <w:t>of</w:t>
      </w:r>
      <w:r>
        <w:rPr>
          <w:spacing w:val="-6"/>
          <w:sz w:val="20"/>
        </w:rPr>
        <w:t xml:space="preserve"> </w:t>
      </w:r>
      <w:r>
        <w:rPr>
          <w:sz w:val="20"/>
        </w:rPr>
        <w:t>LGBTQ</w:t>
      </w:r>
      <w:r>
        <w:rPr>
          <w:spacing w:val="-6"/>
          <w:sz w:val="20"/>
        </w:rPr>
        <w:t xml:space="preserve"> </w:t>
      </w:r>
      <w:r>
        <w:rPr>
          <w:sz w:val="20"/>
        </w:rPr>
        <w:t>Communities:</w:t>
      </w:r>
      <w:r>
        <w:rPr>
          <w:spacing w:val="-4"/>
          <w:sz w:val="20"/>
        </w:rPr>
        <w:t xml:space="preserve"> </w:t>
      </w:r>
      <w:r>
        <w:rPr>
          <w:sz w:val="20"/>
        </w:rPr>
        <w:t>A</w:t>
      </w:r>
      <w:r>
        <w:rPr>
          <w:spacing w:val="-5"/>
          <w:sz w:val="20"/>
        </w:rPr>
        <w:t xml:space="preserve"> </w:t>
      </w:r>
      <w:r>
        <w:rPr>
          <w:sz w:val="20"/>
        </w:rPr>
        <w:t>Historical</w:t>
      </w:r>
      <w:r>
        <w:rPr>
          <w:spacing w:val="-6"/>
          <w:sz w:val="20"/>
        </w:rPr>
        <w:t xml:space="preserve"> </w:t>
      </w:r>
      <w:r>
        <w:rPr>
          <w:sz w:val="20"/>
        </w:rPr>
        <w:t>Perspective,”</w:t>
      </w:r>
      <w:r>
        <w:rPr>
          <w:spacing w:val="-7"/>
          <w:sz w:val="20"/>
        </w:rPr>
        <w:t xml:space="preserve"> </w:t>
      </w:r>
      <w:r>
        <w:rPr>
          <w:sz w:val="20"/>
        </w:rPr>
        <w:t xml:space="preserve">Oxford Research Encyclopedia of Politics, 2019, </w:t>
      </w:r>
      <w:r>
        <w:rPr>
          <w:spacing w:val="-2"/>
          <w:sz w:val="20"/>
        </w:rPr>
        <w:t xml:space="preserve">https://oxfordre.com/politics/view/10.1093/acrefore/9780190228637.001.0001/acrefore-9780190228637-e- </w:t>
      </w:r>
      <w:bookmarkStart w:id="505" w:name="_bookmark371"/>
      <w:bookmarkEnd w:id="505"/>
      <w:r>
        <w:rPr>
          <w:spacing w:val="-2"/>
          <w:sz w:val="20"/>
        </w:rPr>
        <w:t>1221.</w:t>
      </w:r>
    </w:p>
    <w:p w:rsidR="00C76E6D" w:rsidRDefault="00913831">
      <w:pPr>
        <w:ind w:left="478" w:right="530"/>
        <w:rPr>
          <w:sz w:val="20"/>
        </w:rPr>
      </w:pPr>
      <w:r>
        <w:rPr>
          <w:sz w:val="20"/>
          <w:vertAlign w:val="superscript"/>
        </w:rPr>
        <w:t>22</w:t>
      </w:r>
      <w:r>
        <w:rPr>
          <w:sz w:val="20"/>
        </w:rPr>
        <w:t xml:space="preserve"> M.V. Lee Badgett, Soon Kyu Choi, and Bianca D.M. Wilson, </w:t>
      </w:r>
      <w:r>
        <w:rPr>
          <w:i/>
          <w:sz w:val="20"/>
        </w:rPr>
        <w:t>LGBT Poverty in the United States: A Stud</w:t>
      </w:r>
      <w:r>
        <w:rPr>
          <w:i/>
          <w:sz w:val="20"/>
        </w:rPr>
        <w:t>y of Differences</w:t>
      </w:r>
      <w:r>
        <w:rPr>
          <w:i/>
          <w:spacing w:val="-4"/>
          <w:sz w:val="20"/>
        </w:rPr>
        <w:t xml:space="preserve"> </w:t>
      </w:r>
      <w:r>
        <w:rPr>
          <w:i/>
          <w:sz w:val="20"/>
        </w:rPr>
        <w:t>between</w:t>
      </w:r>
      <w:r>
        <w:rPr>
          <w:i/>
          <w:spacing w:val="-5"/>
          <w:sz w:val="20"/>
        </w:rPr>
        <w:t xml:space="preserve"> </w:t>
      </w:r>
      <w:r>
        <w:rPr>
          <w:i/>
          <w:sz w:val="20"/>
        </w:rPr>
        <w:t>Sexual</w:t>
      </w:r>
      <w:r>
        <w:rPr>
          <w:i/>
          <w:spacing w:val="-5"/>
          <w:sz w:val="20"/>
        </w:rPr>
        <w:t xml:space="preserve"> </w:t>
      </w:r>
      <w:r>
        <w:rPr>
          <w:i/>
          <w:sz w:val="20"/>
        </w:rPr>
        <w:t>Orientation</w:t>
      </w:r>
      <w:r>
        <w:rPr>
          <w:i/>
          <w:spacing w:val="-4"/>
          <w:sz w:val="20"/>
        </w:rPr>
        <w:t xml:space="preserve"> </w:t>
      </w:r>
      <w:r>
        <w:rPr>
          <w:i/>
          <w:sz w:val="20"/>
        </w:rPr>
        <w:t>and</w:t>
      </w:r>
      <w:r>
        <w:rPr>
          <w:i/>
          <w:spacing w:val="-7"/>
          <w:sz w:val="20"/>
        </w:rPr>
        <w:t xml:space="preserve"> </w:t>
      </w:r>
      <w:r>
        <w:rPr>
          <w:i/>
          <w:sz w:val="20"/>
        </w:rPr>
        <w:t>Gender</w:t>
      </w:r>
      <w:r>
        <w:rPr>
          <w:i/>
          <w:spacing w:val="-7"/>
          <w:sz w:val="20"/>
        </w:rPr>
        <w:t xml:space="preserve"> </w:t>
      </w:r>
      <w:r>
        <w:rPr>
          <w:i/>
          <w:sz w:val="20"/>
        </w:rPr>
        <w:t>Identify</w:t>
      </w:r>
      <w:r>
        <w:rPr>
          <w:i/>
          <w:spacing w:val="-4"/>
          <w:sz w:val="20"/>
        </w:rPr>
        <w:t xml:space="preserve"> </w:t>
      </w:r>
      <w:r>
        <w:rPr>
          <w:i/>
          <w:sz w:val="20"/>
        </w:rPr>
        <w:t>Groups</w:t>
      </w:r>
      <w:r>
        <w:rPr>
          <w:i/>
          <w:spacing w:val="-8"/>
          <w:sz w:val="20"/>
        </w:rPr>
        <w:t xml:space="preserve"> </w:t>
      </w:r>
      <w:r>
        <w:rPr>
          <w:sz w:val="20"/>
        </w:rPr>
        <w:t>(Los</w:t>
      </w:r>
      <w:r>
        <w:rPr>
          <w:spacing w:val="-7"/>
          <w:sz w:val="20"/>
        </w:rPr>
        <w:t xml:space="preserve"> </w:t>
      </w:r>
      <w:r>
        <w:rPr>
          <w:sz w:val="20"/>
        </w:rPr>
        <w:t>Angeles:</w:t>
      </w:r>
      <w:r>
        <w:rPr>
          <w:spacing w:val="-5"/>
          <w:sz w:val="20"/>
        </w:rPr>
        <w:t xml:space="preserve"> </w:t>
      </w:r>
      <w:r>
        <w:rPr>
          <w:sz w:val="20"/>
        </w:rPr>
        <w:t>Williams</w:t>
      </w:r>
      <w:r>
        <w:rPr>
          <w:spacing w:val="-6"/>
          <w:sz w:val="20"/>
        </w:rPr>
        <w:t xml:space="preserve"> </w:t>
      </w:r>
      <w:r>
        <w:rPr>
          <w:sz w:val="20"/>
        </w:rPr>
        <w:t>Institute</w:t>
      </w:r>
      <w:r>
        <w:rPr>
          <w:spacing w:val="-6"/>
          <w:sz w:val="20"/>
        </w:rPr>
        <w:t xml:space="preserve"> </w:t>
      </w:r>
      <w:r>
        <w:rPr>
          <w:sz w:val="20"/>
        </w:rPr>
        <w:t>at</w:t>
      </w:r>
      <w:r>
        <w:rPr>
          <w:spacing w:val="-7"/>
          <w:sz w:val="20"/>
        </w:rPr>
        <w:t xml:space="preserve"> </w:t>
      </w:r>
      <w:r>
        <w:rPr>
          <w:sz w:val="20"/>
        </w:rPr>
        <w:t>UCLA</w:t>
      </w:r>
      <w:r>
        <w:rPr>
          <w:spacing w:val="-4"/>
          <w:sz w:val="20"/>
        </w:rPr>
        <w:t xml:space="preserve"> </w:t>
      </w:r>
      <w:r>
        <w:rPr>
          <w:sz w:val="20"/>
        </w:rPr>
        <w:t>School of Law, 2019), https://williamsinstitute.law.ucla.edu/wp-content/uploads/National-LGBT-Poverty-Oct-2019.pdf.</w:t>
      </w:r>
    </w:p>
    <w:p w:rsidR="00C76E6D" w:rsidRDefault="00913831">
      <w:pPr>
        <w:ind w:left="481" w:right="2128" w:hanging="3"/>
        <w:rPr>
          <w:sz w:val="20"/>
        </w:rPr>
      </w:pPr>
      <w:bookmarkStart w:id="506" w:name="_bookmark372"/>
      <w:bookmarkEnd w:id="506"/>
      <w:r>
        <w:rPr>
          <w:sz w:val="20"/>
          <w:vertAlign w:val="superscript"/>
        </w:rPr>
        <w:t>23</w:t>
      </w:r>
      <w:r>
        <w:rPr>
          <w:spacing w:val="-6"/>
          <w:sz w:val="20"/>
        </w:rPr>
        <w:t xml:space="preserve"> </w:t>
      </w:r>
      <w:r>
        <w:rPr>
          <w:sz w:val="20"/>
        </w:rPr>
        <w:t>“Criminalization</w:t>
      </w:r>
      <w:r>
        <w:rPr>
          <w:spacing w:val="-6"/>
          <w:sz w:val="20"/>
        </w:rPr>
        <w:t xml:space="preserve"> </w:t>
      </w:r>
      <w:r>
        <w:rPr>
          <w:sz w:val="20"/>
        </w:rPr>
        <w:t>&amp;</w:t>
      </w:r>
      <w:r>
        <w:rPr>
          <w:spacing w:val="-6"/>
          <w:sz w:val="20"/>
        </w:rPr>
        <w:t xml:space="preserve"> </w:t>
      </w:r>
      <w:r>
        <w:rPr>
          <w:sz w:val="20"/>
        </w:rPr>
        <w:t>Incarceration,”</w:t>
      </w:r>
      <w:r>
        <w:rPr>
          <w:spacing w:val="-7"/>
          <w:sz w:val="20"/>
        </w:rPr>
        <w:t xml:space="preserve"> </w:t>
      </w:r>
      <w:r>
        <w:rPr>
          <w:sz w:val="20"/>
        </w:rPr>
        <w:t>National</w:t>
      </w:r>
      <w:r>
        <w:rPr>
          <w:spacing w:val="-7"/>
          <w:sz w:val="20"/>
        </w:rPr>
        <w:t xml:space="preserve"> </w:t>
      </w:r>
      <w:r>
        <w:rPr>
          <w:sz w:val="20"/>
        </w:rPr>
        <w:t>Center</w:t>
      </w:r>
      <w:r>
        <w:rPr>
          <w:spacing w:val="-8"/>
          <w:sz w:val="20"/>
        </w:rPr>
        <w:t xml:space="preserve"> </w:t>
      </w:r>
      <w:r>
        <w:rPr>
          <w:sz w:val="20"/>
        </w:rPr>
        <w:t>for</w:t>
      </w:r>
      <w:r>
        <w:rPr>
          <w:spacing w:val="-7"/>
          <w:sz w:val="20"/>
        </w:rPr>
        <w:t xml:space="preserve"> </w:t>
      </w:r>
      <w:r>
        <w:rPr>
          <w:sz w:val="20"/>
        </w:rPr>
        <w:t>Lesbian</w:t>
      </w:r>
      <w:r>
        <w:rPr>
          <w:spacing w:val="-7"/>
          <w:sz w:val="20"/>
        </w:rPr>
        <w:t xml:space="preserve"> </w:t>
      </w:r>
      <w:r>
        <w:rPr>
          <w:sz w:val="20"/>
        </w:rPr>
        <w:t>Rights,</w:t>
      </w:r>
      <w:r>
        <w:rPr>
          <w:spacing w:val="-7"/>
          <w:sz w:val="20"/>
        </w:rPr>
        <w:t xml:space="preserve"> </w:t>
      </w:r>
      <w:r>
        <w:rPr>
          <w:sz w:val="20"/>
        </w:rPr>
        <w:t>accessed</w:t>
      </w:r>
      <w:r>
        <w:rPr>
          <w:spacing w:val="-8"/>
          <w:sz w:val="20"/>
        </w:rPr>
        <w:t xml:space="preserve"> </w:t>
      </w:r>
      <w:r>
        <w:rPr>
          <w:sz w:val="20"/>
        </w:rPr>
        <w:t>May</w:t>
      </w:r>
      <w:r>
        <w:rPr>
          <w:spacing w:val="-9"/>
          <w:sz w:val="20"/>
        </w:rPr>
        <w:t xml:space="preserve"> </w:t>
      </w:r>
      <w:r>
        <w:rPr>
          <w:sz w:val="20"/>
        </w:rPr>
        <w:t>15,</w:t>
      </w:r>
      <w:r>
        <w:rPr>
          <w:spacing w:val="-8"/>
          <w:sz w:val="20"/>
        </w:rPr>
        <w:t xml:space="preserve"> </w:t>
      </w:r>
      <w:r>
        <w:rPr>
          <w:sz w:val="20"/>
        </w:rPr>
        <w:t xml:space="preserve">2022, </w:t>
      </w:r>
      <w:bookmarkStart w:id="507" w:name="_bookmark373"/>
      <w:bookmarkEnd w:id="507"/>
      <w:r>
        <w:rPr>
          <w:spacing w:val="-2"/>
          <w:sz w:val="20"/>
        </w:rPr>
        <w:t>https://</w:t>
      </w:r>
      <w:hyperlink r:id="rId294">
        <w:r>
          <w:rPr>
            <w:spacing w:val="-2"/>
            <w:sz w:val="20"/>
          </w:rPr>
          <w:t>www.nclrights.org/our-work/racial-economic-justice/criminalization</w:t>
        </w:r>
        <w:r>
          <w:rPr>
            <w:spacing w:val="-2"/>
            <w:sz w:val="20"/>
          </w:rPr>
          <w:t>-incarceration.</w:t>
        </w:r>
      </w:hyperlink>
    </w:p>
    <w:p w:rsidR="00C76E6D" w:rsidRDefault="00913831">
      <w:pPr>
        <w:ind w:left="481" w:right="530" w:hanging="3"/>
        <w:rPr>
          <w:sz w:val="20"/>
        </w:rPr>
      </w:pPr>
      <w:r>
        <w:rPr>
          <w:sz w:val="20"/>
          <w:vertAlign w:val="superscript"/>
        </w:rPr>
        <w:t>24</w:t>
      </w:r>
      <w:r>
        <w:rPr>
          <w:spacing w:val="-4"/>
          <w:sz w:val="20"/>
        </w:rPr>
        <w:t xml:space="preserve"> </w:t>
      </w:r>
      <w:r>
        <w:rPr>
          <w:sz w:val="20"/>
        </w:rPr>
        <w:t>Emily</w:t>
      </w:r>
      <w:r>
        <w:rPr>
          <w:spacing w:val="-4"/>
          <w:sz w:val="20"/>
        </w:rPr>
        <w:t xml:space="preserve"> </w:t>
      </w:r>
      <w:r>
        <w:rPr>
          <w:sz w:val="20"/>
        </w:rPr>
        <w:t>Peiffer</w:t>
      </w:r>
      <w:r>
        <w:rPr>
          <w:spacing w:val="-7"/>
          <w:sz w:val="20"/>
        </w:rPr>
        <w:t xml:space="preserve"> </w:t>
      </w:r>
      <w:r>
        <w:rPr>
          <w:sz w:val="20"/>
        </w:rPr>
        <w:t>“Five</w:t>
      </w:r>
      <w:r>
        <w:rPr>
          <w:spacing w:val="-4"/>
          <w:sz w:val="20"/>
        </w:rPr>
        <w:t xml:space="preserve"> </w:t>
      </w:r>
      <w:r>
        <w:rPr>
          <w:sz w:val="20"/>
        </w:rPr>
        <w:t>Charts</w:t>
      </w:r>
      <w:r>
        <w:rPr>
          <w:spacing w:val="-5"/>
          <w:sz w:val="20"/>
        </w:rPr>
        <w:t xml:space="preserve"> </w:t>
      </w:r>
      <w:r>
        <w:rPr>
          <w:sz w:val="20"/>
        </w:rPr>
        <w:t>that</w:t>
      </w:r>
      <w:r>
        <w:rPr>
          <w:spacing w:val="-4"/>
          <w:sz w:val="20"/>
        </w:rPr>
        <w:t xml:space="preserve"> </w:t>
      </w:r>
      <w:r>
        <w:rPr>
          <w:sz w:val="20"/>
        </w:rPr>
        <w:t>Explain</w:t>
      </w:r>
      <w:r>
        <w:rPr>
          <w:spacing w:val="-5"/>
          <w:sz w:val="20"/>
        </w:rPr>
        <w:t xml:space="preserve"> </w:t>
      </w:r>
      <w:r>
        <w:rPr>
          <w:sz w:val="20"/>
        </w:rPr>
        <w:t>the</w:t>
      </w:r>
      <w:r>
        <w:rPr>
          <w:spacing w:val="-6"/>
          <w:sz w:val="20"/>
        </w:rPr>
        <w:t xml:space="preserve"> </w:t>
      </w:r>
      <w:r>
        <w:rPr>
          <w:sz w:val="20"/>
        </w:rPr>
        <w:t>Homelessness-Jail</w:t>
      </w:r>
      <w:r>
        <w:rPr>
          <w:spacing w:val="-5"/>
          <w:sz w:val="20"/>
        </w:rPr>
        <w:t xml:space="preserve"> </w:t>
      </w:r>
      <w:r>
        <w:rPr>
          <w:sz w:val="20"/>
        </w:rPr>
        <w:t>Cycle-</w:t>
      </w:r>
      <w:r>
        <w:rPr>
          <w:spacing w:val="-6"/>
          <w:sz w:val="20"/>
        </w:rPr>
        <w:t xml:space="preserve"> </w:t>
      </w:r>
      <w:r>
        <w:rPr>
          <w:sz w:val="20"/>
        </w:rPr>
        <w:t>and</w:t>
      </w:r>
      <w:r>
        <w:rPr>
          <w:spacing w:val="-7"/>
          <w:sz w:val="20"/>
        </w:rPr>
        <w:t xml:space="preserve"> </w:t>
      </w:r>
      <w:r>
        <w:rPr>
          <w:sz w:val="20"/>
        </w:rPr>
        <w:t>How</w:t>
      </w:r>
      <w:r>
        <w:rPr>
          <w:spacing w:val="-6"/>
          <w:sz w:val="20"/>
        </w:rPr>
        <w:t xml:space="preserve"> </w:t>
      </w:r>
      <w:r>
        <w:rPr>
          <w:sz w:val="20"/>
        </w:rPr>
        <w:t>to</w:t>
      </w:r>
      <w:r>
        <w:rPr>
          <w:spacing w:val="-4"/>
          <w:sz w:val="20"/>
        </w:rPr>
        <w:t xml:space="preserve"> </w:t>
      </w:r>
      <w:r>
        <w:rPr>
          <w:sz w:val="20"/>
        </w:rPr>
        <w:t>Break</w:t>
      </w:r>
      <w:r>
        <w:rPr>
          <w:spacing w:val="-6"/>
          <w:sz w:val="20"/>
        </w:rPr>
        <w:t xml:space="preserve"> </w:t>
      </w:r>
      <w:r>
        <w:rPr>
          <w:sz w:val="20"/>
        </w:rPr>
        <w:t>It,”</w:t>
      </w:r>
      <w:r>
        <w:rPr>
          <w:spacing w:val="-4"/>
          <w:sz w:val="20"/>
        </w:rPr>
        <w:t xml:space="preserve"> </w:t>
      </w:r>
      <w:r>
        <w:rPr>
          <w:sz w:val="20"/>
        </w:rPr>
        <w:t>Urban,</w:t>
      </w:r>
      <w:r>
        <w:rPr>
          <w:spacing w:val="-5"/>
          <w:sz w:val="20"/>
        </w:rPr>
        <w:t xml:space="preserve"> </w:t>
      </w:r>
      <w:r>
        <w:rPr>
          <w:sz w:val="20"/>
        </w:rPr>
        <w:t>September</w:t>
      </w:r>
      <w:r>
        <w:rPr>
          <w:spacing w:val="-5"/>
          <w:sz w:val="20"/>
        </w:rPr>
        <w:t xml:space="preserve"> </w:t>
      </w:r>
      <w:r>
        <w:rPr>
          <w:sz w:val="20"/>
        </w:rPr>
        <w:t>16, 2020, https://</w:t>
      </w:r>
      <w:hyperlink r:id="rId295">
        <w:r>
          <w:rPr>
            <w:sz w:val="20"/>
          </w:rPr>
          <w:t>w</w:t>
        </w:r>
        <w:r>
          <w:rPr>
            <w:sz w:val="20"/>
          </w:rPr>
          <w:t>ww.urban.org/features/five-charts-explain-homelessness-jail-cycle-and-how-break-it.</w:t>
        </w:r>
      </w:hyperlink>
    </w:p>
    <w:p w:rsidR="00C76E6D" w:rsidRDefault="00913831">
      <w:pPr>
        <w:ind w:left="481" w:right="530" w:hanging="3"/>
        <w:rPr>
          <w:sz w:val="20"/>
        </w:rPr>
      </w:pPr>
      <w:bookmarkStart w:id="508" w:name="_bookmark374"/>
      <w:bookmarkEnd w:id="508"/>
      <w:r>
        <w:rPr>
          <w:sz w:val="20"/>
          <w:vertAlign w:val="superscript"/>
        </w:rPr>
        <w:t>25</w:t>
      </w:r>
      <w:r>
        <w:rPr>
          <w:spacing w:val="-5"/>
          <w:sz w:val="20"/>
        </w:rPr>
        <w:t xml:space="preserve"> </w:t>
      </w:r>
      <w:r>
        <w:rPr>
          <w:sz w:val="20"/>
        </w:rPr>
        <w:t>Chryl</w:t>
      </w:r>
      <w:r>
        <w:rPr>
          <w:spacing w:val="-6"/>
          <w:sz w:val="20"/>
        </w:rPr>
        <w:t xml:space="preserve"> </w:t>
      </w:r>
      <w:r>
        <w:rPr>
          <w:sz w:val="20"/>
        </w:rPr>
        <w:t>Jones</w:t>
      </w:r>
      <w:r>
        <w:rPr>
          <w:spacing w:val="-6"/>
          <w:sz w:val="20"/>
        </w:rPr>
        <w:t xml:space="preserve"> </w:t>
      </w:r>
      <w:r>
        <w:rPr>
          <w:sz w:val="20"/>
        </w:rPr>
        <w:t>and</w:t>
      </w:r>
      <w:r>
        <w:rPr>
          <w:spacing w:val="-5"/>
          <w:sz w:val="20"/>
        </w:rPr>
        <w:t xml:space="preserve"> </w:t>
      </w:r>
      <w:r>
        <w:rPr>
          <w:sz w:val="20"/>
        </w:rPr>
        <w:t>Jennifer</w:t>
      </w:r>
      <w:r>
        <w:rPr>
          <w:spacing w:val="-6"/>
          <w:sz w:val="20"/>
        </w:rPr>
        <w:t xml:space="preserve"> </w:t>
      </w:r>
      <w:r>
        <w:rPr>
          <w:sz w:val="20"/>
        </w:rPr>
        <w:t>Scherer,</w:t>
      </w:r>
      <w:r>
        <w:rPr>
          <w:spacing w:val="-5"/>
          <w:sz w:val="20"/>
        </w:rPr>
        <w:t xml:space="preserve"> </w:t>
      </w:r>
      <w:r>
        <w:rPr>
          <w:i/>
          <w:sz w:val="20"/>
        </w:rPr>
        <w:t>Law</w:t>
      </w:r>
      <w:r>
        <w:rPr>
          <w:i/>
          <w:spacing w:val="-7"/>
          <w:sz w:val="20"/>
        </w:rPr>
        <w:t xml:space="preserve"> </w:t>
      </w:r>
      <w:r>
        <w:rPr>
          <w:i/>
          <w:sz w:val="20"/>
        </w:rPr>
        <w:t>Enforcement</w:t>
      </w:r>
      <w:r>
        <w:rPr>
          <w:i/>
          <w:spacing w:val="-7"/>
          <w:sz w:val="20"/>
        </w:rPr>
        <w:t xml:space="preserve"> </w:t>
      </w:r>
      <w:r>
        <w:rPr>
          <w:i/>
          <w:sz w:val="20"/>
        </w:rPr>
        <w:t>and</w:t>
      </w:r>
      <w:r>
        <w:rPr>
          <w:i/>
          <w:spacing w:val="-5"/>
          <w:sz w:val="20"/>
        </w:rPr>
        <w:t xml:space="preserve"> </w:t>
      </w:r>
      <w:r>
        <w:rPr>
          <w:i/>
          <w:sz w:val="20"/>
        </w:rPr>
        <w:t>Juvenile</w:t>
      </w:r>
      <w:r>
        <w:rPr>
          <w:i/>
          <w:spacing w:val="-5"/>
          <w:sz w:val="20"/>
        </w:rPr>
        <w:t xml:space="preserve"> </w:t>
      </w:r>
      <w:r>
        <w:rPr>
          <w:i/>
          <w:sz w:val="20"/>
        </w:rPr>
        <w:t>Crime:</w:t>
      </w:r>
      <w:r>
        <w:rPr>
          <w:i/>
          <w:spacing w:val="-6"/>
          <w:sz w:val="20"/>
        </w:rPr>
        <w:t xml:space="preserve"> </w:t>
      </w:r>
      <w:r>
        <w:rPr>
          <w:i/>
          <w:sz w:val="20"/>
        </w:rPr>
        <w:t>Estimated</w:t>
      </w:r>
      <w:r>
        <w:rPr>
          <w:i/>
          <w:spacing w:val="-7"/>
          <w:sz w:val="20"/>
        </w:rPr>
        <w:t xml:space="preserve"> </w:t>
      </w:r>
      <w:r>
        <w:rPr>
          <w:i/>
          <w:sz w:val="20"/>
        </w:rPr>
        <w:t>Number</w:t>
      </w:r>
      <w:r>
        <w:rPr>
          <w:i/>
          <w:spacing w:val="-6"/>
          <w:sz w:val="20"/>
        </w:rPr>
        <w:t xml:space="preserve"> </w:t>
      </w:r>
      <w:r>
        <w:rPr>
          <w:i/>
          <w:sz w:val="20"/>
        </w:rPr>
        <w:t>of</w:t>
      </w:r>
      <w:r>
        <w:rPr>
          <w:i/>
          <w:spacing w:val="-7"/>
          <w:sz w:val="20"/>
        </w:rPr>
        <w:t xml:space="preserve"> </w:t>
      </w:r>
      <w:r>
        <w:rPr>
          <w:i/>
          <w:sz w:val="20"/>
        </w:rPr>
        <w:t>Juvenile</w:t>
      </w:r>
      <w:r>
        <w:rPr>
          <w:i/>
          <w:spacing w:val="-7"/>
          <w:sz w:val="20"/>
        </w:rPr>
        <w:t xml:space="preserve"> </w:t>
      </w:r>
      <w:r>
        <w:rPr>
          <w:i/>
          <w:sz w:val="20"/>
        </w:rPr>
        <w:t xml:space="preserve">Arrests, </w:t>
      </w:r>
      <w:bookmarkStart w:id="509" w:name="_bookmark375"/>
      <w:bookmarkEnd w:id="509"/>
      <w:r>
        <w:rPr>
          <w:i/>
          <w:sz w:val="20"/>
        </w:rPr>
        <w:t xml:space="preserve">2019 </w:t>
      </w:r>
      <w:r>
        <w:rPr>
          <w:sz w:val="20"/>
        </w:rPr>
        <w:t>(Washington, DC: Department of Justice, Office of Juvenile Justice Programs, 2021).</w:t>
      </w:r>
    </w:p>
    <w:p w:rsidR="00C76E6D" w:rsidRDefault="00913831">
      <w:pPr>
        <w:ind w:left="481" w:right="853" w:hanging="3"/>
        <w:rPr>
          <w:sz w:val="20"/>
        </w:rPr>
      </w:pPr>
      <w:r>
        <w:rPr>
          <w:sz w:val="20"/>
          <w:vertAlign w:val="superscript"/>
        </w:rPr>
        <w:t>26</w:t>
      </w:r>
      <w:r>
        <w:rPr>
          <w:spacing w:val="-4"/>
          <w:sz w:val="20"/>
        </w:rPr>
        <w:t xml:space="preserve"> </w:t>
      </w:r>
      <w:r>
        <w:rPr>
          <w:sz w:val="20"/>
        </w:rPr>
        <w:t>“Substance</w:t>
      </w:r>
      <w:r>
        <w:rPr>
          <w:spacing w:val="-6"/>
          <w:sz w:val="20"/>
        </w:rPr>
        <w:t xml:space="preserve"> </w:t>
      </w:r>
      <w:r>
        <w:rPr>
          <w:sz w:val="20"/>
        </w:rPr>
        <w:t>Use</w:t>
      </w:r>
      <w:r>
        <w:rPr>
          <w:spacing w:val="-4"/>
          <w:sz w:val="20"/>
        </w:rPr>
        <w:t xml:space="preserve"> </w:t>
      </w:r>
      <w:r>
        <w:rPr>
          <w:sz w:val="20"/>
        </w:rPr>
        <w:t>and</w:t>
      </w:r>
      <w:r>
        <w:rPr>
          <w:spacing w:val="-5"/>
          <w:sz w:val="20"/>
        </w:rPr>
        <w:t xml:space="preserve"> </w:t>
      </w:r>
      <w:r>
        <w:rPr>
          <w:sz w:val="20"/>
        </w:rPr>
        <w:t>SUDs</w:t>
      </w:r>
      <w:r>
        <w:rPr>
          <w:spacing w:val="-5"/>
          <w:sz w:val="20"/>
        </w:rPr>
        <w:t xml:space="preserve"> </w:t>
      </w:r>
      <w:r>
        <w:rPr>
          <w:sz w:val="20"/>
        </w:rPr>
        <w:t>in</w:t>
      </w:r>
      <w:r>
        <w:rPr>
          <w:spacing w:val="-5"/>
          <w:sz w:val="20"/>
        </w:rPr>
        <w:t xml:space="preserve"> </w:t>
      </w:r>
      <w:r>
        <w:rPr>
          <w:sz w:val="20"/>
        </w:rPr>
        <w:t>LGBTQ*</w:t>
      </w:r>
      <w:r>
        <w:rPr>
          <w:spacing w:val="-5"/>
          <w:sz w:val="20"/>
        </w:rPr>
        <w:t xml:space="preserve"> </w:t>
      </w:r>
      <w:r>
        <w:rPr>
          <w:sz w:val="20"/>
        </w:rPr>
        <w:t>Populations,”</w:t>
      </w:r>
      <w:r>
        <w:rPr>
          <w:spacing w:val="-7"/>
          <w:sz w:val="20"/>
        </w:rPr>
        <w:t xml:space="preserve"> </w:t>
      </w:r>
      <w:r>
        <w:rPr>
          <w:sz w:val="20"/>
        </w:rPr>
        <w:t>National</w:t>
      </w:r>
      <w:r>
        <w:rPr>
          <w:spacing w:val="-5"/>
          <w:sz w:val="20"/>
        </w:rPr>
        <w:t xml:space="preserve"> </w:t>
      </w:r>
      <w:r>
        <w:rPr>
          <w:sz w:val="20"/>
        </w:rPr>
        <w:t>Institute</w:t>
      </w:r>
      <w:r>
        <w:rPr>
          <w:spacing w:val="-6"/>
          <w:sz w:val="20"/>
        </w:rPr>
        <w:t xml:space="preserve"> </w:t>
      </w:r>
      <w:r>
        <w:rPr>
          <w:sz w:val="20"/>
        </w:rPr>
        <w:t>on</w:t>
      </w:r>
      <w:r>
        <w:rPr>
          <w:spacing w:val="-5"/>
          <w:sz w:val="20"/>
        </w:rPr>
        <w:t xml:space="preserve"> </w:t>
      </w:r>
      <w:r>
        <w:rPr>
          <w:sz w:val="20"/>
        </w:rPr>
        <w:t>Drug</w:t>
      </w:r>
      <w:r>
        <w:rPr>
          <w:spacing w:val="-5"/>
          <w:sz w:val="20"/>
        </w:rPr>
        <w:t xml:space="preserve"> </w:t>
      </w:r>
      <w:r>
        <w:rPr>
          <w:sz w:val="20"/>
        </w:rPr>
        <w:t>Abuse,</w:t>
      </w:r>
      <w:r>
        <w:rPr>
          <w:spacing w:val="-7"/>
          <w:sz w:val="20"/>
        </w:rPr>
        <w:t xml:space="preserve"> </w:t>
      </w:r>
      <w:r>
        <w:rPr>
          <w:sz w:val="20"/>
        </w:rPr>
        <w:t>accessed</w:t>
      </w:r>
      <w:r>
        <w:rPr>
          <w:spacing w:val="-6"/>
          <w:sz w:val="20"/>
        </w:rPr>
        <w:t xml:space="preserve"> </w:t>
      </w:r>
      <w:r>
        <w:rPr>
          <w:sz w:val="20"/>
        </w:rPr>
        <w:t>May</w:t>
      </w:r>
      <w:r>
        <w:rPr>
          <w:spacing w:val="-5"/>
          <w:sz w:val="20"/>
        </w:rPr>
        <w:t xml:space="preserve"> </w:t>
      </w:r>
      <w:r>
        <w:rPr>
          <w:sz w:val="20"/>
        </w:rPr>
        <w:t>15,</w:t>
      </w:r>
      <w:r>
        <w:rPr>
          <w:spacing w:val="-5"/>
          <w:sz w:val="20"/>
        </w:rPr>
        <w:t xml:space="preserve"> </w:t>
      </w:r>
      <w:r>
        <w:rPr>
          <w:sz w:val="20"/>
        </w:rPr>
        <w:t xml:space="preserve">2022, </w:t>
      </w:r>
      <w:r>
        <w:rPr>
          <w:spacing w:val="-2"/>
          <w:sz w:val="20"/>
        </w:rPr>
        <w:t>https://</w:t>
      </w:r>
      <w:hyperlink r:id="rId296">
        <w:r>
          <w:rPr>
            <w:spacing w:val="-2"/>
            <w:sz w:val="20"/>
          </w:rPr>
          <w:t>www.drugabuse.gov/drug-topics/substance-use-suds-in-lgbtq-populations.</w:t>
        </w:r>
      </w:hyperlink>
    </w:p>
    <w:p w:rsidR="00C76E6D" w:rsidRDefault="00913831">
      <w:pPr>
        <w:ind w:left="479" w:right="946" w:hanging="1"/>
        <w:rPr>
          <w:sz w:val="20"/>
        </w:rPr>
      </w:pPr>
      <w:bookmarkStart w:id="510" w:name="_bookmark376"/>
      <w:bookmarkEnd w:id="510"/>
      <w:r>
        <w:rPr>
          <w:sz w:val="20"/>
          <w:vertAlign w:val="superscript"/>
        </w:rPr>
        <w:t>27</w:t>
      </w:r>
      <w:r>
        <w:rPr>
          <w:spacing w:val="-6"/>
          <w:sz w:val="20"/>
        </w:rPr>
        <w:t xml:space="preserve"> </w:t>
      </w:r>
      <w:r>
        <w:rPr>
          <w:sz w:val="20"/>
        </w:rPr>
        <w:t>Juvenile</w:t>
      </w:r>
      <w:r>
        <w:rPr>
          <w:spacing w:val="-6"/>
          <w:sz w:val="20"/>
        </w:rPr>
        <w:t xml:space="preserve"> </w:t>
      </w:r>
      <w:r>
        <w:rPr>
          <w:sz w:val="20"/>
        </w:rPr>
        <w:t>Law</w:t>
      </w:r>
      <w:r>
        <w:rPr>
          <w:spacing w:val="-6"/>
          <w:sz w:val="20"/>
        </w:rPr>
        <w:t xml:space="preserve"> </w:t>
      </w:r>
      <w:r>
        <w:rPr>
          <w:sz w:val="20"/>
        </w:rPr>
        <w:t>Center,</w:t>
      </w:r>
      <w:r>
        <w:rPr>
          <w:spacing w:val="-7"/>
          <w:sz w:val="20"/>
        </w:rPr>
        <w:t xml:space="preserve"> </w:t>
      </w:r>
      <w:r>
        <w:rPr>
          <w:sz w:val="20"/>
        </w:rPr>
        <w:t>“What</w:t>
      </w:r>
      <w:r>
        <w:rPr>
          <w:spacing w:val="-6"/>
          <w:sz w:val="20"/>
        </w:rPr>
        <w:t xml:space="preserve"> </w:t>
      </w:r>
      <w:r>
        <w:rPr>
          <w:sz w:val="20"/>
        </w:rPr>
        <w:t>is</w:t>
      </w:r>
      <w:r>
        <w:rPr>
          <w:spacing w:val="-6"/>
          <w:sz w:val="20"/>
        </w:rPr>
        <w:t xml:space="preserve"> </w:t>
      </w:r>
      <w:r>
        <w:rPr>
          <w:sz w:val="20"/>
        </w:rPr>
        <w:t>the</w:t>
      </w:r>
      <w:r>
        <w:rPr>
          <w:spacing w:val="-6"/>
          <w:sz w:val="20"/>
        </w:rPr>
        <w:t xml:space="preserve"> </w:t>
      </w:r>
      <w:r>
        <w:rPr>
          <w:sz w:val="20"/>
        </w:rPr>
        <w:t>Foster</w:t>
      </w:r>
      <w:r>
        <w:rPr>
          <w:spacing w:val="-6"/>
          <w:sz w:val="20"/>
        </w:rPr>
        <w:t xml:space="preserve"> </w:t>
      </w:r>
      <w:r>
        <w:rPr>
          <w:sz w:val="20"/>
        </w:rPr>
        <w:t>Care-to-Prison</w:t>
      </w:r>
      <w:r>
        <w:rPr>
          <w:spacing w:val="-6"/>
          <w:sz w:val="20"/>
        </w:rPr>
        <w:t xml:space="preserve"> </w:t>
      </w:r>
      <w:r>
        <w:rPr>
          <w:sz w:val="20"/>
        </w:rPr>
        <w:t>Pipeline,”</w:t>
      </w:r>
      <w:r>
        <w:rPr>
          <w:spacing w:val="-7"/>
          <w:sz w:val="20"/>
        </w:rPr>
        <w:t xml:space="preserve"> </w:t>
      </w:r>
      <w:r>
        <w:rPr>
          <w:sz w:val="20"/>
        </w:rPr>
        <w:t>May</w:t>
      </w:r>
      <w:r>
        <w:rPr>
          <w:spacing w:val="-6"/>
          <w:sz w:val="20"/>
        </w:rPr>
        <w:t xml:space="preserve"> </w:t>
      </w:r>
      <w:r>
        <w:rPr>
          <w:sz w:val="20"/>
        </w:rPr>
        <w:t>26,</w:t>
      </w:r>
      <w:r>
        <w:rPr>
          <w:spacing w:val="-7"/>
          <w:sz w:val="20"/>
        </w:rPr>
        <w:t xml:space="preserve"> </w:t>
      </w:r>
      <w:r>
        <w:rPr>
          <w:sz w:val="20"/>
        </w:rPr>
        <w:t>2018,</w:t>
      </w:r>
      <w:r>
        <w:rPr>
          <w:spacing w:val="-7"/>
          <w:sz w:val="20"/>
        </w:rPr>
        <w:t xml:space="preserve"> </w:t>
      </w:r>
      <w:r>
        <w:rPr>
          <w:sz w:val="20"/>
        </w:rPr>
        <w:t xml:space="preserve">https://jlc.org/news/what- </w:t>
      </w:r>
      <w:r>
        <w:rPr>
          <w:spacing w:val="-2"/>
          <w:sz w:val="20"/>
        </w:rPr>
        <w:t>foster-care-prison-pipeline.</w:t>
      </w:r>
    </w:p>
    <w:p w:rsidR="00C76E6D" w:rsidRDefault="00913831">
      <w:pPr>
        <w:ind w:left="478" w:right="530"/>
        <w:rPr>
          <w:sz w:val="20"/>
        </w:rPr>
      </w:pPr>
      <w:bookmarkStart w:id="511" w:name="_bookmark377"/>
      <w:bookmarkEnd w:id="511"/>
      <w:r>
        <w:rPr>
          <w:sz w:val="20"/>
          <w:vertAlign w:val="superscript"/>
        </w:rPr>
        <w:t>28</w:t>
      </w:r>
      <w:r>
        <w:rPr>
          <w:sz w:val="20"/>
        </w:rPr>
        <w:t xml:space="preserve"> Ryan Berg, “A Hidden Crisis: The Pipeline from Foster Care to Homelessness for LGBTQ Youth,” The Imprint, </w:t>
      </w:r>
      <w:r>
        <w:rPr>
          <w:spacing w:val="-2"/>
          <w:sz w:val="20"/>
        </w:rPr>
        <w:t>October 14, 2016, https://imprintnews.org/child-welfare-2/hidden-crisis-pipeline-foster-care-homelessness-lgbtq- youth/21950.</w:t>
      </w:r>
    </w:p>
    <w:p w:rsidR="00C76E6D" w:rsidRDefault="00913831">
      <w:pPr>
        <w:ind w:left="480" w:right="2701" w:hanging="2"/>
        <w:rPr>
          <w:sz w:val="20"/>
        </w:rPr>
      </w:pPr>
      <w:bookmarkStart w:id="512" w:name="_bookmark378"/>
      <w:bookmarkEnd w:id="512"/>
      <w:r>
        <w:rPr>
          <w:sz w:val="20"/>
          <w:vertAlign w:val="superscript"/>
        </w:rPr>
        <w:t>29</w:t>
      </w:r>
      <w:r>
        <w:rPr>
          <w:sz w:val="20"/>
        </w:rPr>
        <w:t xml:space="preserve"> </w:t>
      </w:r>
      <w:r>
        <w:rPr>
          <w:i/>
          <w:sz w:val="20"/>
        </w:rPr>
        <w:t>LGBTQ Youth in the F</w:t>
      </w:r>
      <w:r>
        <w:rPr>
          <w:i/>
          <w:sz w:val="20"/>
        </w:rPr>
        <w:t xml:space="preserve">oster Care System </w:t>
      </w:r>
      <w:r>
        <w:rPr>
          <w:sz w:val="20"/>
        </w:rPr>
        <w:t xml:space="preserve">(Washington, DC: Human Rights Campaign), </w:t>
      </w:r>
      <w:r>
        <w:rPr>
          <w:spacing w:val="-4"/>
          <w:sz w:val="20"/>
        </w:rPr>
        <w:t>https://assets2.hrc.org/files/assets/resources/HRC-YouthFosterCare-IssueBrief-FINAL.pdf.</w:t>
      </w:r>
    </w:p>
    <w:p w:rsidR="00C76E6D" w:rsidRDefault="00913831">
      <w:pPr>
        <w:ind w:left="481" w:right="749" w:hanging="3"/>
        <w:rPr>
          <w:sz w:val="20"/>
        </w:rPr>
      </w:pPr>
      <w:bookmarkStart w:id="513" w:name="_bookmark379"/>
      <w:bookmarkEnd w:id="513"/>
      <w:r>
        <w:rPr>
          <w:sz w:val="20"/>
          <w:vertAlign w:val="superscript"/>
        </w:rPr>
        <w:t>30</w:t>
      </w:r>
      <w:r>
        <w:rPr>
          <w:spacing w:val="-4"/>
          <w:sz w:val="20"/>
        </w:rPr>
        <w:t xml:space="preserve"> </w:t>
      </w:r>
      <w:r>
        <w:rPr>
          <w:sz w:val="20"/>
        </w:rPr>
        <w:t>Rachel</w:t>
      </w:r>
      <w:r>
        <w:rPr>
          <w:spacing w:val="-7"/>
          <w:sz w:val="20"/>
        </w:rPr>
        <w:t xml:space="preserve"> </w:t>
      </w:r>
      <w:r>
        <w:rPr>
          <w:sz w:val="20"/>
        </w:rPr>
        <w:t>Anspach,</w:t>
      </w:r>
      <w:r>
        <w:rPr>
          <w:spacing w:val="-4"/>
          <w:sz w:val="20"/>
        </w:rPr>
        <w:t xml:space="preserve"> </w:t>
      </w:r>
      <w:r>
        <w:rPr>
          <w:sz w:val="20"/>
        </w:rPr>
        <w:t>“The</w:t>
      </w:r>
      <w:r>
        <w:rPr>
          <w:spacing w:val="-6"/>
          <w:sz w:val="20"/>
        </w:rPr>
        <w:t xml:space="preserve"> </w:t>
      </w:r>
      <w:r>
        <w:rPr>
          <w:sz w:val="20"/>
        </w:rPr>
        <w:t>Foster</w:t>
      </w:r>
      <w:r>
        <w:rPr>
          <w:spacing w:val="-6"/>
          <w:sz w:val="20"/>
        </w:rPr>
        <w:t xml:space="preserve"> </w:t>
      </w:r>
      <w:r>
        <w:rPr>
          <w:sz w:val="20"/>
        </w:rPr>
        <w:t>Care</w:t>
      </w:r>
      <w:r>
        <w:rPr>
          <w:spacing w:val="-4"/>
          <w:sz w:val="20"/>
        </w:rPr>
        <w:t xml:space="preserve"> </w:t>
      </w:r>
      <w:r>
        <w:rPr>
          <w:sz w:val="20"/>
        </w:rPr>
        <w:t>to</w:t>
      </w:r>
      <w:r>
        <w:rPr>
          <w:spacing w:val="-4"/>
          <w:sz w:val="20"/>
        </w:rPr>
        <w:t xml:space="preserve"> </w:t>
      </w:r>
      <w:r>
        <w:rPr>
          <w:sz w:val="20"/>
        </w:rPr>
        <w:t>Prison</w:t>
      </w:r>
      <w:r>
        <w:rPr>
          <w:spacing w:val="-5"/>
          <w:sz w:val="20"/>
        </w:rPr>
        <w:t xml:space="preserve"> </w:t>
      </w:r>
      <w:r>
        <w:rPr>
          <w:sz w:val="20"/>
        </w:rPr>
        <w:t>Pipeline:</w:t>
      </w:r>
      <w:r>
        <w:rPr>
          <w:spacing w:val="-7"/>
          <w:sz w:val="20"/>
        </w:rPr>
        <w:t xml:space="preserve"> </w:t>
      </w:r>
      <w:r>
        <w:rPr>
          <w:sz w:val="20"/>
        </w:rPr>
        <w:t>What</w:t>
      </w:r>
      <w:r>
        <w:rPr>
          <w:spacing w:val="-5"/>
          <w:sz w:val="20"/>
        </w:rPr>
        <w:t xml:space="preserve"> </w:t>
      </w:r>
      <w:r>
        <w:rPr>
          <w:sz w:val="20"/>
        </w:rPr>
        <w:t>It</w:t>
      </w:r>
      <w:r>
        <w:rPr>
          <w:spacing w:val="-5"/>
          <w:sz w:val="20"/>
        </w:rPr>
        <w:t xml:space="preserve"> </w:t>
      </w:r>
      <w:r>
        <w:rPr>
          <w:sz w:val="20"/>
        </w:rPr>
        <w:t>Is</w:t>
      </w:r>
      <w:r>
        <w:rPr>
          <w:spacing w:val="-5"/>
          <w:sz w:val="20"/>
        </w:rPr>
        <w:t xml:space="preserve"> </w:t>
      </w:r>
      <w:r>
        <w:rPr>
          <w:sz w:val="20"/>
        </w:rPr>
        <w:t>and</w:t>
      </w:r>
      <w:r>
        <w:rPr>
          <w:spacing w:val="-5"/>
          <w:sz w:val="20"/>
        </w:rPr>
        <w:t xml:space="preserve"> </w:t>
      </w:r>
      <w:r>
        <w:rPr>
          <w:sz w:val="20"/>
        </w:rPr>
        <w:t>How</w:t>
      </w:r>
      <w:r>
        <w:rPr>
          <w:spacing w:val="-5"/>
          <w:sz w:val="20"/>
        </w:rPr>
        <w:t xml:space="preserve"> </w:t>
      </w:r>
      <w:r>
        <w:rPr>
          <w:sz w:val="20"/>
        </w:rPr>
        <w:t>it</w:t>
      </w:r>
      <w:r>
        <w:rPr>
          <w:spacing w:val="-4"/>
          <w:sz w:val="20"/>
        </w:rPr>
        <w:t xml:space="preserve"> </w:t>
      </w:r>
      <w:r>
        <w:rPr>
          <w:sz w:val="20"/>
        </w:rPr>
        <w:t>Works,”</w:t>
      </w:r>
      <w:r>
        <w:rPr>
          <w:spacing w:val="-4"/>
          <w:sz w:val="20"/>
        </w:rPr>
        <w:t xml:space="preserve"> </w:t>
      </w:r>
      <w:r>
        <w:rPr>
          <w:sz w:val="20"/>
        </w:rPr>
        <w:t>Teen</w:t>
      </w:r>
      <w:r>
        <w:rPr>
          <w:spacing w:val="-5"/>
          <w:sz w:val="20"/>
        </w:rPr>
        <w:t xml:space="preserve"> </w:t>
      </w:r>
      <w:r>
        <w:rPr>
          <w:sz w:val="20"/>
        </w:rPr>
        <w:t>Vogue,</w:t>
      </w:r>
      <w:r>
        <w:rPr>
          <w:spacing w:val="-7"/>
          <w:sz w:val="20"/>
        </w:rPr>
        <w:t xml:space="preserve"> </w:t>
      </w:r>
      <w:r>
        <w:rPr>
          <w:sz w:val="20"/>
        </w:rPr>
        <w:t>May</w:t>
      </w:r>
      <w:r>
        <w:rPr>
          <w:spacing w:val="-5"/>
          <w:sz w:val="20"/>
        </w:rPr>
        <w:t xml:space="preserve"> </w:t>
      </w:r>
      <w:r>
        <w:rPr>
          <w:sz w:val="20"/>
        </w:rPr>
        <w:t>25,</w:t>
      </w:r>
      <w:r>
        <w:rPr>
          <w:spacing w:val="-5"/>
          <w:sz w:val="20"/>
        </w:rPr>
        <w:t xml:space="preserve"> </w:t>
      </w:r>
      <w:r>
        <w:rPr>
          <w:sz w:val="20"/>
        </w:rPr>
        <w:t>20</w:t>
      </w:r>
      <w:r>
        <w:rPr>
          <w:sz w:val="20"/>
        </w:rPr>
        <w:t xml:space="preserve">18, </w:t>
      </w:r>
      <w:bookmarkStart w:id="514" w:name="_bookmark380"/>
      <w:bookmarkEnd w:id="514"/>
      <w:r>
        <w:rPr>
          <w:spacing w:val="-2"/>
          <w:sz w:val="20"/>
        </w:rPr>
        <w:t>https://</w:t>
      </w:r>
      <w:hyperlink r:id="rId297">
        <w:r>
          <w:rPr>
            <w:spacing w:val="-2"/>
            <w:sz w:val="20"/>
          </w:rPr>
          <w:t>www.teenvogue.com/story/the-foster-care-to-prison-pipeline-what-it-is-and-how-it-works.</w:t>
        </w:r>
      </w:hyperlink>
    </w:p>
    <w:p w:rsidR="00C76E6D" w:rsidRDefault="00913831">
      <w:pPr>
        <w:ind w:left="480" w:right="1543" w:hanging="3"/>
        <w:rPr>
          <w:sz w:val="20"/>
        </w:rPr>
      </w:pPr>
      <w:r>
        <w:rPr>
          <w:sz w:val="20"/>
          <w:vertAlign w:val="superscript"/>
        </w:rPr>
        <w:t>31</w:t>
      </w:r>
      <w:r>
        <w:rPr>
          <w:spacing w:val="-5"/>
          <w:sz w:val="20"/>
        </w:rPr>
        <w:t xml:space="preserve"> </w:t>
      </w:r>
      <w:r>
        <w:rPr>
          <w:sz w:val="20"/>
        </w:rPr>
        <w:t>Youth.gov,</w:t>
      </w:r>
      <w:r>
        <w:rPr>
          <w:spacing w:val="-6"/>
          <w:sz w:val="20"/>
        </w:rPr>
        <w:t xml:space="preserve"> </w:t>
      </w:r>
      <w:r>
        <w:rPr>
          <w:sz w:val="20"/>
        </w:rPr>
        <w:t>“Young</w:t>
      </w:r>
      <w:r>
        <w:rPr>
          <w:spacing w:val="-6"/>
          <w:sz w:val="20"/>
        </w:rPr>
        <w:t xml:space="preserve"> </w:t>
      </w:r>
      <w:r>
        <w:rPr>
          <w:sz w:val="20"/>
        </w:rPr>
        <w:t>Adults</w:t>
      </w:r>
      <w:r>
        <w:rPr>
          <w:spacing w:val="-8"/>
          <w:sz w:val="20"/>
        </w:rPr>
        <w:t xml:space="preserve"> </w:t>
      </w:r>
      <w:r>
        <w:rPr>
          <w:sz w:val="20"/>
        </w:rPr>
        <w:t>Formerly</w:t>
      </w:r>
      <w:r>
        <w:rPr>
          <w:spacing w:val="-5"/>
          <w:sz w:val="20"/>
        </w:rPr>
        <w:t xml:space="preserve"> </w:t>
      </w:r>
      <w:r>
        <w:rPr>
          <w:sz w:val="20"/>
        </w:rPr>
        <w:t>in</w:t>
      </w:r>
      <w:r>
        <w:rPr>
          <w:spacing w:val="-5"/>
          <w:sz w:val="20"/>
        </w:rPr>
        <w:t xml:space="preserve"> </w:t>
      </w:r>
      <w:r>
        <w:rPr>
          <w:sz w:val="20"/>
        </w:rPr>
        <w:t>Foster</w:t>
      </w:r>
      <w:r>
        <w:rPr>
          <w:spacing w:val="-6"/>
          <w:sz w:val="20"/>
        </w:rPr>
        <w:t xml:space="preserve"> </w:t>
      </w:r>
      <w:r>
        <w:rPr>
          <w:sz w:val="20"/>
        </w:rPr>
        <w:t>Care:</w:t>
      </w:r>
      <w:r>
        <w:rPr>
          <w:spacing w:val="-6"/>
          <w:sz w:val="20"/>
        </w:rPr>
        <w:t xml:space="preserve"> </w:t>
      </w:r>
      <w:r>
        <w:rPr>
          <w:sz w:val="20"/>
        </w:rPr>
        <w:t>Challenges</w:t>
      </w:r>
      <w:r>
        <w:rPr>
          <w:spacing w:val="-5"/>
          <w:sz w:val="20"/>
        </w:rPr>
        <w:t xml:space="preserve"> </w:t>
      </w:r>
      <w:r>
        <w:rPr>
          <w:sz w:val="20"/>
        </w:rPr>
        <w:t>and</w:t>
      </w:r>
      <w:r>
        <w:rPr>
          <w:spacing w:val="-6"/>
          <w:sz w:val="20"/>
        </w:rPr>
        <w:t xml:space="preserve"> </w:t>
      </w:r>
      <w:r>
        <w:rPr>
          <w:sz w:val="20"/>
        </w:rPr>
        <w:t>Solutions,”</w:t>
      </w:r>
      <w:r>
        <w:rPr>
          <w:spacing w:val="-6"/>
          <w:sz w:val="20"/>
        </w:rPr>
        <w:t xml:space="preserve"> </w:t>
      </w:r>
      <w:r>
        <w:rPr>
          <w:sz w:val="20"/>
        </w:rPr>
        <w:t>accessed</w:t>
      </w:r>
      <w:r>
        <w:rPr>
          <w:spacing w:val="-6"/>
          <w:sz w:val="20"/>
        </w:rPr>
        <w:t xml:space="preserve"> </w:t>
      </w:r>
      <w:r>
        <w:rPr>
          <w:sz w:val="20"/>
        </w:rPr>
        <w:t>June</w:t>
      </w:r>
      <w:r>
        <w:rPr>
          <w:spacing w:val="-8"/>
          <w:sz w:val="20"/>
        </w:rPr>
        <w:t xml:space="preserve"> </w:t>
      </w:r>
      <w:r>
        <w:rPr>
          <w:sz w:val="20"/>
        </w:rPr>
        <w:t>1,</w:t>
      </w:r>
      <w:r>
        <w:rPr>
          <w:spacing w:val="-6"/>
          <w:sz w:val="20"/>
        </w:rPr>
        <w:t xml:space="preserve"> </w:t>
      </w:r>
      <w:r>
        <w:rPr>
          <w:sz w:val="20"/>
        </w:rPr>
        <w:t xml:space="preserve">2022, </w:t>
      </w:r>
      <w:r>
        <w:rPr>
          <w:spacing w:val="-2"/>
          <w:sz w:val="20"/>
        </w:rPr>
        <w:t>https://youth.gov/youth-briefs/foster-care-youth-brief/challenges.</w:t>
      </w:r>
    </w:p>
    <w:p w:rsidR="00C76E6D" w:rsidRDefault="00913831">
      <w:pPr>
        <w:ind w:left="480" w:right="2759"/>
        <w:rPr>
          <w:sz w:val="20"/>
        </w:rPr>
      </w:pPr>
      <w:bookmarkStart w:id="515" w:name="_bookmark381"/>
      <w:bookmarkEnd w:id="515"/>
      <w:r>
        <w:rPr>
          <w:sz w:val="20"/>
          <w:vertAlign w:val="superscript"/>
        </w:rPr>
        <w:t>32</w:t>
      </w:r>
      <w:r>
        <w:rPr>
          <w:sz w:val="20"/>
        </w:rPr>
        <w:t xml:space="preserve"> </w:t>
      </w:r>
      <w:r>
        <w:rPr>
          <w:i/>
          <w:sz w:val="20"/>
        </w:rPr>
        <w:t xml:space="preserve">School Climate for LGBTQ Students in Massachusetts </w:t>
      </w:r>
      <w:r>
        <w:rPr>
          <w:sz w:val="20"/>
        </w:rPr>
        <w:t xml:space="preserve">(New York: GLSEN, 2019), </w:t>
      </w:r>
      <w:bookmarkStart w:id="516" w:name="_bookmark382"/>
      <w:bookmarkEnd w:id="516"/>
      <w:r>
        <w:rPr>
          <w:spacing w:val="-4"/>
          <w:sz w:val="20"/>
        </w:rPr>
        <w:t>https://</w:t>
      </w:r>
      <w:hyperlink r:id="rId298">
        <w:r>
          <w:rPr>
            <w:spacing w:val="-4"/>
            <w:sz w:val="20"/>
          </w:rPr>
          <w:t>www.glsen.org/sites/default/files/2021-01/Massachusetts-Snapshot-2019_1.pdf.</w:t>
        </w:r>
      </w:hyperlink>
      <w:r>
        <w:rPr>
          <w:spacing w:val="40"/>
          <w:sz w:val="20"/>
        </w:rPr>
        <w:t xml:space="preserve"> </w:t>
      </w:r>
      <w:r>
        <w:rPr>
          <w:sz w:val="20"/>
          <w:vertAlign w:val="superscript"/>
        </w:rPr>
        <w:t>33</w:t>
      </w:r>
      <w:r>
        <w:rPr>
          <w:sz w:val="20"/>
        </w:rPr>
        <w:t xml:space="preserve"> </w:t>
      </w:r>
      <w:r>
        <w:rPr>
          <w:i/>
          <w:sz w:val="20"/>
        </w:rPr>
        <w:t xml:space="preserve">School Climate for LGBTQ Students in Massachusetts </w:t>
      </w:r>
      <w:r>
        <w:rPr>
          <w:sz w:val="20"/>
        </w:rPr>
        <w:t xml:space="preserve">(New York: GLSEN, 2019), </w:t>
      </w:r>
      <w:r>
        <w:rPr>
          <w:spacing w:val="-4"/>
          <w:sz w:val="20"/>
        </w:rPr>
        <w:t>https://</w:t>
      </w:r>
      <w:hyperlink r:id="rId299">
        <w:r>
          <w:rPr>
            <w:spacing w:val="-4"/>
            <w:sz w:val="20"/>
          </w:rPr>
          <w:t>www.glsen.org/sites/default/files/2021-01/Massachusetts-Snapshot-2019_1.pdf.</w:t>
        </w:r>
      </w:hyperlink>
    </w:p>
    <w:p w:rsidR="00C76E6D" w:rsidRDefault="00913831">
      <w:pPr>
        <w:ind w:left="478" w:right="703" w:hanging="1"/>
        <w:rPr>
          <w:sz w:val="20"/>
        </w:rPr>
      </w:pPr>
      <w:bookmarkStart w:id="517" w:name="_bookmark383"/>
      <w:bookmarkEnd w:id="517"/>
      <w:r>
        <w:rPr>
          <w:sz w:val="20"/>
          <w:vertAlign w:val="superscript"/>
        </w:rPr>
        <w:t>34</w:t>
      </w:r>
      <w:r>
        <w:rPr>
          <w:sz w:val="20"/>
        </w:rPr>
        <w:t xml:space="preserve"> Madeleine Roberts, New CDC Data Shows LGBTQ Youth are More Likely to be Bullied Than Straight Cisgender</w:t>
      </w:r>
      <w:r>
        <w:rPr>
          <w:sz w:val="20"/>
        </w:rPr>
        <w:t xml:space="preserve"> Youth,”</w:t>
      </w:r>
      <w:r>
        <w:rPr>
          <w:spacing w:val="-10"/>
          <w:sz w:val="20"/>
        </w:rPr>
        <w:t xml:space="preserve"> </w:t>
      </w:r>
      <w:r>
        <w:rPr>
          <w:sz w:val="20"/>
        </w:rPr>
        <w:t>Human</w:t>
      </w:r>
      <w:r>
        <w:rPr>
          <w:spacing w:val="-10"/>
          <w:sz w:val="20"/>
        </w:rPr>
        <w:t xml:space="preserve"> </w:t>
      </w:r>
      <w:r>
        <w:rPr>
          <w:sz w:val="20"/>
        </w:rPr>
        <w:t>Rights</w:t>
      </w:r>
      <w:r>
        <w:rPr>
          <w:spacing w:val="-12"/>
          <w:sz w:val="20"/>
        </w:rPr>
        <w:t xml:space="preserve"> </w:t>
      </w:r>
      <w:r>
        <w:rPr>
          <w:sz w:val="20"/>
        </w:rPr>
        <w:t>Campaign,</w:t>
      </w:r>
      <w:r>
        <w:rPr>
          <w:spacing w:val="-11"/>
          <w:sz w:val="20"/>
        </w:rPr>
        <w:t xml:space="preserve"> </w:t>
      </w:r>
      <w:r>
        <w:rPr>
          <w:sz w:val="20"/>
        </w:rPr>
        <w:t>August</w:t>
      </w:r>
      <w:r>
        <w:rPr>
          <w:spacing w:val="-10"/>
          <w:sz w:val="20"/>
        </w:rPr>
        <w:t xml:space="preserve"> </w:t>
      </w:r>
      <w:r>
        <w:rPr>
          <w:sz w:val="20"/>
        </w:rPr>
        <w:t>26,</w:t>
      </w:r>
      <w:r>
        <w:rPr>
          <w:spacing w:val="-12"/>
          <w:sz w:val="20"/>
        </w:rPr>
        <w:t xml:space="preserve"> </w:t>
      </w:r>
      <w:r>
        <w:rPr>
          <w:sz w:val="20"/>
        </w:rPr>
        <w:t>2020,</w:t>
      </w:r>
      <w:r>
        <w:rPr>
          <w:spacing w:val="-11"/>
          <w:sz w:val="20"/>
        </w:rPr>
        <w:t xml:space="preserve"> </w:t>
      </w:r>
      <w:r>
        <w:rPr>
          <w:sz w:val="20"/>
        </w:rPr>
        <w:t>https://</w:t>
      </w:r>
      <w:hyperlink r:id="rId300">
        <w:r>
          <w:rPr>
            <w:sz w:val="20"/>
          </w:rPr>
          <w:t>www.hrc.org/news/new-cdc-data-shows-lgbtq-youth-</w:t>
        </w:r>
      </w:hyperlink>
      <w:r>
        <w:rPr>
          <w:sz w:val="20"/>
        </w:rPr>
        <w:t xml:space="preserve"> </w:t>
      </w:r>
      <w:bookmarkStart w:id="518" w:name="_bookmark384"/>
      <w:bookmarkEnd w:id="518"/>
      <w:r>
        <w:rPr>
          <w:spacing w:val="-2"/>
          <w:sz w:val="20"/>
        </w:rPr>
        <w:t>are-more-likely-to-be-bullied-than-straight-cisgender-youth.</w:t>
      </w:r>
    </w:p>
    <w:p w:rsidR="00C76E6D" w:rsidRDefault="00913831">
      <w:pPr>
        <w:ind w:left="480" w:right="2759"/>
        <w:rPr>
          <w:i/>
          <w:sz w:val="20"/>
        </w:rPr>
      </w:pPr>
      <w:r>
        <w:rPr>
          <w:sz w:val="20"/>
          <w:vertAlign w:val="superscript"/>
        </w:rPr>
        <w:t>35</w:t>
      </w:r>
      <w:r>
        <w:rPr>
          <w:sz w:val="20"/>
        </w:rPr>
        <w:t xml:space="preserve"> </w:t>
      </w:r>
      <w:r>
        <w:rPr>
          <w:i/>
          <w:sz w:val="20"/>
        </w:rPr>
        <w:t xml:space="preserve">School Climate for LGBTQ Students in Massachusetts </w:t>
      </w:r>
      <w:r>
        <w:rPr>
          <w:sz w:val="20"/>
        </w:rPr>
        <w:t xml:space="preserve">(New York: GLSEN, 2019), </w:t>
      </w:r>
      <w:r>
        <w:rPr>
          <w:spacing w:val="-4"/>
          <w:sz w:val="20"/>
        </w:rPr>
        <w:t>https://</w:t>
      </w:r>
      <w:hyperlink r:id="rId301">
        <w:r>
          <w:rPr>
            <w:spacing w:val="-4"/>
            <w:sz w:val="20"/>
          </w:rPr>
          <w:t>www.glsen.org/sites/default/files/2021-01/Massachusetts-Snapshot-2019_</w:t>
        </w:r>
        <w:r>
          <w:rPr>
            <w:spacing w:val="-4"/>
            <w:sz w:val="20"/>
          </w:rPr>
          <w:t>1.pdf.</w:t>
        </w:r>
      </w:hyperlink>
      <w:r>
        <w:rPr>
          <w:spacing w:val="40"/>
          <w:sz w:val="20"/>
        </w:rPr>
        <w:t xml:space="preserve"> </w:t>
      </w:r>
      <w:bookmarkStart w:id="519" w:name="_bookmark385"/>
      <w:bookmarkEnd w:id="519"/>
      <w:r>
        <w:rPr>
          <w:sz w:val="20"/>
          <w:vertAlign w:val="superscript"/>
        </w:rPr>
        <w:t>36</w:t>
      </w:r>
      <w:r>
        <w:rPr>
          <w:sz w:val="20"/>
        </w:rPr>
        <w:t xml:space="preserve"> </w:t>
      </w:r>
      <w:r>
        <w:rPr>
          <w:i/>
          <w:sz w:val="20"/>
        </w:rPr>
        <w:t>School Climate For LGBTQ Students in Massachusetts</w:t>
      </w:r>
    </w:p>
    <w:p w:rsidR="00C76E6D" w:rsidRDefault="00913831">
      <w:pPr>
        <w:spacing w:before="7" w:line="244" w:lineRule="exact"/>
        <w:ind w:left="480"/>
        <w:rPr>
          <w:i/>
          <w:sz w:val="20"/>
        </w:rPr>
      </w:pPr>
      <w:bookmarkStart w:id="520" w:name="_bookmark386"/>
      <w:bookmarkEnd w:id="520"/>
      <w:r>
        <w:rPr>
          <w:sz w:val="20"/>
          <w:vertAlign w:val="superscript"/>
        </w:rPr>
        <w:t>37</w:t>
      </w:r>
      <w:r>
        <w:rPr>
          <w:spacing w:val="-6"/>
          <w:sz w:val="20"/>
        </w:rPr>
        <w:t xml:space="preserve"> </w:t>
      </w:r>
      <w:bookmarkStart w:id="521" w:name="_bookmark387"/>
      <w:bookmarkEnd w:id="521"/>
      <w:r>
        <w:rPr>
          <w:i/>
          <w:sz w:val="20"/>
        </w:rPr>
        <w:t>School</w:t>
      </w:r>
      <w:r>
        <w:rPr>
          <w:i/>
          <w:spacing w:val="-6"/>
          <w:sz w:val="20"/>
        </w:rPr>
        <w:t xml:space="preserve"> </w:t>
      </w:r>
      <w:r>
        <w:rPr>
          <w:i/>
          <w:sz w:val="20"/>
        </w:rPr>
        <w:t>Climate</w:t>
      </w:r>
      <w:r>
        <w:rPr>
          <w:i/>
          <w:spacing w:val="-5"/>
          <w:sz w:val="20"/>
        </w:rPr>
        <w:t xml:space="preserve"> </w:t>
      </w:r>
      <w:r>
        <w:rPr>
          <w:i/>
          <w:sz w:val="20"/>
        </w:rPr>
        <w:t>For</w:t>
      </w:r>
      <w:r>
        <w:rPr>
          <w:i/>
          <w:spacing w:val="-6"/>
          <w:sz w:val="20"/>
        </w:rPr>
        <w:t xml:space="preserve"> </w:t>
      </w:r>
      <w:r>
        <w:rPr>
          <w:i/>
          <w:sz w:val="20"/>
        </w:rPr>
        <w:t>LGBTQ</w:t>
      </w:r>
      <w:r>
        <w:rPr>
          <w:i/>
          <w:spacing w:val="-8"/>
          <w:sz w:val="20"/>
        </w:rPr>
        <w:t xml:space="preserve"> </w:t>
      </w:r>
      <w:r>
        <w:rPr>
          <w:i/>
          <w:sz w:val="20"/>
        </w:rPr>
        <w:t>Students</w:t>
      </w:r>
      <w:r>
        <w:rPr>
          <w:i/>
          <w:spacing w:val="-5"/>
          <w:sz w:val="20"/>
        </w:rPr>
        <w:t xml:space="preserve"> </w:t>
      </w:r>
      <w:r>
        <w:rPr>
          <w:i/>
          <w:sz w:val="20"/>
        </w:rPr>
        <w:t>in</w:t>
      </w:r>
      <w:r>
        <w:rPr>
          <w:i/>
          <w:spacing w:val="-6"/>
          <w:sz w:val="20"/>
        </w:rPr>
        <w:t xml:space="preserve"> </w:t>
      </w:r>
      <w:r>
        <w:rPr>
          <w:i/>
          <w:spacing w:val="-2"/>
          <w:sz w:val="20"/>
        </w:rPr>
        <w:t>Massachusetts</w:t>
      </w:r>
    </w:p>
    <w:p w:rsidR="00C76E6D" w:rsidRDefault="00913831">
      <w:pPr>
        <w:spacing w:line="241" w:lineRule="exact"/>
        <w:ind w:left="480"/>
        <w:rPr>
          <w:i/>
          <w:sz w:val="20"/>
        </w:rPr>
      </w:pPr>
      <w:r>
        <w:rPr>
          <w:sz w:val="20"/>
          <w:vertAlign w:val="superscript"/>
        </w:rPr>
        <w:t>38</w:t>
      </w:r>
      <w:r>
        <w:rPr>
          <w:spacing w:val="-6"/>
          <w:sz w:val="20"/>
        </w:rPr>
        <w:t xml:space="preserve"> </w:t>
      </w:r>
      <w:bookmarkStart w:id="522" w:name="_bookmark388"/>
      <w:bookmarkEnd w:id="522"/>
      <w:r>
        <w:rPr>
          <w:i/>
          <w:sz w:val="20"/>
        </w:rPr>
        <w:t>School</w:t>
      </w:r>
      <w:r>
        <w:rPr>
          <w:i/>
          <w:spacing w:val="-6"/>
          <w:sz w:val="20"/>
        </w:rPr>
        <w:t xml:space="preserve"> </w:t>
      </w:r>
      <w:r>
        <w:rPr>
          <w:i/>
          <w:sz w:val="20"/>
        </w:rPr>
        <w:t>Climate</w:t>
      </w:r>
      <w:r>
        <w:rPr>
          <w:i/>
          <w:spacing w:val="-5"/>
          <w:sz w:val="20"/>
        </w:rPr>
        <w:t xml:space="preserve"> </w:t>
      </w:r>
      <w:r>
        <w:rPr>
          <w:i/>
          <w:sz w:val="20"/>
        </w:rPr>
        <w:t>For</w:t>
      </w:r>
      <w:r>
        <w:rPr>
          <w:i/>
          <w:spacing w:val="-6"/>
          <w:sz w:val="20"/>
        </w:rPr>
        <w:t xml:space="preserve"> </w:t>
      </w:r>
      <w:r>
        <w:rPr>
          <w:i/>
          <w:sz w:val="20"/>
        </w:rPr>
        <w:t>LGBTQ</w:t>
      </w:r>
      <w:r>
        <w:rPr>
          <w:i/>
          <w:spacing w:val="-8"/>
          <w:sz w:val="20"/>
        </w:rPr>
        <w:t xml:space="preserve"> </w:t>
      </w:r>
      <w:r>
        <w:rPr>
          <w:i/>
          <w:sz w:val="20"/>
        </w:rPr>
        <w:t>Students</w:t>
      </w:r>
      <w:r>
        <w:rPr>
          <w:i/>
          <w:spacing w:val="-5"/>
          <w:sz w:val="20"/>
        </w:rPr>
        <w:t xml:space="preserve"> </w:t>
      </w:r>
      <w:r>
        <w:rPr>
          <w:i/>
          <w:sz w:val="20"/>
        </w:rPr>
        <w:t>in</w:t>
      </w:r>
      <w:r>
        <w:rPr>
          <w:i/>
          <w:spacing w:val="-6"/>
          <w:sz w:val="20"/>
        </w:rPr>
        <w:t xml:space="preserve"> </w:t>
      </w:r>
      <w:r>
        <w:rPr>
          <w:i/>
          <w:spacing w:val="-2"/>
          <w:sz w:val="20"/>
        </w:rPr>
        <w:t>Massachusetts</w:t>
      </w:r>
    </w:p>
    <w:p w:rsidR="00C76E6D" w:rsidRDefault="00913831">
      <w:pPr>
        <w:ind w:left="478" w:right="835"/>
        <w:jc w:val="both"/>
        <w:rPr>
          <w:sz w:val="20"/>
        </w:rPr>
      </w:pPr>
      <w:r>
        <w:rPr>
          <w:sz w:val="20"/>
          <w:vertAlign w:val="superscript"/>
        </w:rPr>
        <w:t>39</w:t>
      </w:r>
      <w:r>
        <w:rPr>
          <w:spacing w:val="-2"/>
          <w:sz w:val="20"/>
        </w:rPr>
        <w:t xml:space="preserve"> </w:t>
      </w:r>
      <w:r>
        <w:rPr>
          <w:sz w:val="20"/>
        </w:rPr>
        <w:t>Mariella</w:t>
      </w:r>
      <w:r>
        <w:rPr>
          <w:spacing w:val="-2"/>
          <w:sz w:val="20"/>
        </w:rPr>
        <w:t xml:space="preserve"> </w:t>
      </w:r>
      <w:r>
        <w:rPr>
          <w:sz w:val="20"/>
        </w:rPr>
        <w:t>I.</w:t>
      </w:r>
      <w:r>
        <w:rPr>
          <w:spacing w:val="-3"/>
          <w:sz w:val="20"/>
        </w:rPr>
        <w:t xml:space="preserve"> </w:t>
      </w:r>
      <w:r>
        <w:rPr>
          <w:sz w:val="20"/>
        </w:rPr>
        <w:t>Arrendono,</w:t>
      </w:r>
      <w:r>
        <w:rPr>
          <w:spacing w:val="-3"/>
          <w:sz w:val="20"/>
        </w:rPr>
        <w:t xml:space="preserve"> </w:t>
      </w:r>
      <w:r>
        <w:rPr>
          <w:sz w:val="20"/>
        </w:rPr>
        <w:t>“Ecological</w:t>
      </w:r>
      <w:r>
        <w:rPr>
          <w:spacing w:val="-4"/>
          <w:sz w:val="20"/>
        </w:rPr>
        <w:t xml:space="preserve"> </w:t>
      </w:r>
      <w:r>
        <w:rPr>
          <w:sz w:val="20"/>
        </w:rPr>
        <w:t>Determinants</w:t>
      </w:r>
      <w:r>
        <w:rPr>
          <w:spacing w:val="-4"/>
          <w:sz w:val="20"/>
        </w:rPr>
        <w:t xml:space="preserve"> </w:t>
      </w:r>
      <w:r>
        <w:rPr>
          <w:sz w:val="20"/>
        </w:rPr>
        <w:t>of</w:t>
      </w:r>
      <w:r>
        <w:rPr>
          <w:spacing w:val="-2"/>
          <w:sz w:val="20"/>
        </w:rPr>
        <w:t xml:space="preserve"> </w:t>
      </w:r>
      <w:r>
        <w:rPr>
          <w:sz w:val="20"/>
        </w:rPr>
        <w:t>Child</w:t>
      </w:r>
      <w:r>
        <w:rPr>
          <w:spacing w:val="-4"/>
          <w:sz w:val="20"/>
        </w:rPr>
        <w:t xml:space="preserve"> </w:t>
      </w:r>
      <w:r>
        <w:rPr>
          <w:sz w:val="20"/>
        </w:rPr>
        <w:t>Welfare</w:t>
      </w:r>
      <w:r>
        <w:rPr>
          <w:spacing w:val="-3"/>
          <w:sz w:val="20"/>
        </w:rPr>
        <w:t xml:space="preserve"> </w:t>
      </w:r>
      <w:r>
        <w:rPr>
          <w:sz w:val="20"/>
        </w:rPr>
        <w:t>and</w:t>
      </w:r>
      <w:r>
        <w:rPr>
          <w:spacing w:val="-2"/>
          <w:sz w:val="20"/>
        </w:rPr>
        <w:t xml:space="preserve"> </w:t>
      </w:r>
      <w:r>
        <w:rPr>
          <w:sz w:val="20"/>
        </w:rPr>
        <w:t>Juvenile</w:t>
      </w:r>
      <w:r>
        <w:rPr>
          <w:spacing w:val="-2"/>
          <w:sz w:val="20"/>
        </w:rPr>
        <w:t xml:space="preserve"> </w:t>
      </w:r>
      <w:r>
        <w:rPr>
          <w:sz w:val="20"/>
        </w:rPr>
        <w:t>Justice</w:t>
      </w:r>
      <w:r>
        <w:rPr>
          <w:spacing w:val="-2"/>
          <w:sz w:val="20"/>
        </w:rPr>
        <w:t xml:space="preserve"> </w:t>
      </w:r>
      <w:r>
        <w:rPr>
          <w:sz w:val="20"/>
        </w:rPr>
        <w:t>Involvement,”</w:t>
      </w:r>
      <w:r>
        <w:rPr>
          <w:spacing w:val="-3"/>
          <w:sz w:val="20"/>
        </w:rPr>
        <w:t xml:space="preserve"> </w:t>
      </w:r>
      <w:r>
        <w:rPr>
          <w:sz w:val="20"/>
        </w:rPr>
        <w:t xml:space="preserve">Williams Institute, July 2019, </w:t>
      </w:r>
      <w:hyperlink r:id="rId302">
        <w:r>
          <w:rPr>
            <w:sz w:val="20"/>
          </w:rPr>
          <w:t>http://williamsinstitute.law.ucla.edu/wp-content/uploads/LGBTQ-YOC-Social-Services-Jul-</w:t>
        </w:r>
      </w:hyperlink>
      <w:r>
        <w:rPr>
          <w:sz w:val="20"/>
        </w:rPr>
        <w:t xml:space="preserve"> </w:t>
      </w:r>
      <w:r>
        <w:rPr>
          <w:spacing w:val="-2"/>
          <w:sz w:val="20"/>
        </w:rPr>
        <w:t>2019.pdf</w:t>
      </w:r>
      <w:r>
        <w:rPr>
          <w:spacing w:val="-2"/>
          <w:sz w:val="20"/>
        </w:rPr>
        <w:t>.</w:t>
      </w:r>
    </w:p>
    <w:p w:rsidR="00C76E6D" w:rsidRDefault="00913831">
      <w:pPr>
        <w:ind w:left="481" w:right="1836" w:hanging="3"/>
        <w:jc w:val="both"/>
        <w:rPr>
          <w:sz w:val="20"/>
        </w:rPr>
      </w:pPr>
      <w:bookmarkStart w:id="523" w:name="_bookmark389"/>
      <w:bookmarkEnd w:id="523"/>
      <w:r>
        <w:rPr>
          <w:sz w:val="20"/>
          <w:vertAlign w:val="superscript"/>
        </w:rPr>
        <w:t>40</w:t>
      </w:r>
      <w:r>
        <w:rPr>
          <w:spacing w:val="-3"/>
          <w:sz w:val="20"/>
        </w:rPr>
        <w:t xml:space="preserve"> </w:t>
      </w:r>
      <w:r>
        <w:rPr>
          <w:sz w:val="20"/>
        </w:rPr>
        <w:t>Lambda</w:t>
      </w:r>
      <w:r>
        <w:rPr>
          <w:spacing w:val="-4"/>
          <w:sz w:val="20"/>
        </w:rPr>
        <w:t xml:space="preserve"> </w:t>
      </w:r>
      <w:r>
        <w:rPr>
          <w:sz w:val="20"/>
        </w:rPr>
        <w:t>Legal,</w:t>
      </w:r>
      <w:r>
        <w:rPr>
          <w:spacing w:val="-2"/>
          <w:sz w:val="20"/>
        </w:rPr>
        <w:t xml:space="preserve"> </w:t>
      </w:r>
      <w:r>
        <w:rPr>
          <w:sz w:val="20"/>
        </w:rPr>
        <w:t>“Protected</w:t>
      </w:r>
      <w:r>
        <w:rPr>
          <w:spacing w:val="-3"/>
          <w:sz w:val="20"/>
        </w:rPr>
        <w:t xml:space="preserve"> </w:t>
      </w:r>
      <w:r>
        <w:rPr>
          <w:sz w:val="20"/>
        </w:rPr>
        <w:t>and</w:t>
      </w:r>
      <w:r>
        <w:rPr>
          <w:spacing w:val="-3"/>
          <w:sz w:val="20"/>
        </w:rPr>
        <w:t xml:space="preserve"> </w:t>
      </w:r>
      <w:r>
        <w:rPr>
          <w:sz w:val="20"/>
        </w:rPr>
        <w:t>Served?</w:t>
      </w:r>
      <w:r>
        <w:rPr>
          <w:spacing w:val="-5"/>
          <w:sz w:val="20"/>
        </w:rPr>
        <w:t xml:space="preserve"> </w:t>
      </w:r>
      <w:r>
        <w:rPr>
          <w:sz w:val="20"/>
        </w:rPr>
        <w:t>School</w:t>
      </w:r>
      <w:r>
        <w:rPr>
          <w:spacing w:val="-3"/>
          <w:sz w:val="20"/>
        </w:rPr>
        <w:t xml:space="preserve"> </w:t>
      </w:r>
      <w:r>
        <w:rPr>
          <w:sz w:val="20"/>
        </w:rPr>
        <w:t>Security,</w:t>
      </w:r>
      <w:r>
        <w:rPr>
          <w:spacing w:val="-4"/>
          <w:sz w:val="20"/>
        </w:rPr>
        <w:t xml:space="preserve"> </w:t>
      </w:r>
      <w:r>
        <w:rPr>
          <w:sz w:val="20"/>
        </w:rPr>
        <w:t>Policing</w:t>
      </w:r>
      <w:r>
        <w:rPr>
          <w:spacing w:val="-2"/>
          <w:sz w:val="20"/>
        </w:rPr>
        <w:t xml:space="preserve"> </w:t>
      </w:r>
      <w:r>
        <w:rPr>
          <w:sz w:val="20"/>
        </w:rPr>
        <w:t>and</w:t>
      </w:r>
      <w:r>
        <w:rPr>
          <w:spacing w:val="-4"/>
          <w:sz w:val="20"/>
        </w:rPr>
        <w:t xml:space="preserve"> </w:t>
      </w:r>
      <w:r>
        <w:rPr>
          <w:sz w:val="20"/>
        </w:rPr>
        <w:t>Discipline,”</w:t>
      </w:r>
      <w:r>
        <w:rPr>
          <w:spacing w:val="-3"/>
          <w:sz w:val="20"/>
        </w:rPr>
        <w:t xml:space="preserve"> </w:t>
      </w:r>
      <w:r>
        <w:rPr>
          <w:sz w:val="20"/>
        </w:rPr>
        <w:t>January</w:t>
      </w:r>
      <w:r>
        <w:rPr>
          <w:spacing w:val="-2"/>
          <w:sz w:val="20"/>
        </w:rPr>
        <w:t xml:space="preserve"> </w:t>
      </w:r>
      <w:r>
        <w:rPr>
          <w:sz w:val="20"/>
        </w:rPr>
        <w:t>7,</w:t>
      </w:r>
      <w:r>
        <w:rPr>
          <w:spacing w:val="-3"/>
          <w:sz w:val="20"/>
        </w:rPr>
        <w:t xml:space="preserve"> </w:t>
      </w:r>
      <w:r>
        <w:rPr>
          <w:sz w:val="20"/>
        </w:rPr>
        <w:t xml:space="preserve">2016, </w:t>
      </w:r>
      <w:r>
        <w:rPr>
          <w:spacing w:val="-2"/>
          <w:sz w:val="20"/>
        </w:rPr>
        <w:t>https://</w:t>
      </w:r>
      <w:hyperlink r:id="rId303">
        <w:r>
          <w:rPr>
            <w:spacing w:val="-2"/>
            <w:sz w:val="20"/>
          </w:rPr>
          <w:t>www.lambdalegal.org/node/30521.</w:t>
        </w:r>
      </w:hyperlink>
    </w:p>
    <w:p w:rsidR="00C76E6D" w:rsidRDefault="00C76E6D">
      <w:pPr>
        <w:jc w:val="both"/>
        <w:rPr>
          <w:sz w:val="20"/>
        </w:rPr>
        <w:sectPr w:rsidR="00C76E6D">
          <w:pgSz w:w="12240" w:h="15840"/>
          <w:pgMar w:top="960" w:right="960" w:bottom="920" w:left="960" w:header="769" w:footer="72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11"/>
        <w:rPr>
          <w:sz w:val="20"/>
        </w:rPr>
      </w:pPr>
    </w:p>
    <w:p w:rsidR="00C76E6D" w:rsidRDefault="00913831">
      <w:pPr>
        <w:ind w:left="481" w:right="1600" w:hanging="3"/>
        <w:rPr>
          <w:sz w:val="20"/>
        </w:rPr>
      </w:pPr>
      <w:bookmarkStart w:id="524" w:name="_bookmark390"/>
      <w:bookmarkEnd w:id="524"/>
      <w:r>
        <w:rPr>
          <w:sz w:val="20"/>
          <w:vertAlign w:val="superscript"/>
        </w:rPr>
        <w:t>41</w:t>
      </w:r>
      <w:r>
        <w:rPr>
          <w:spacing w:val="-6"/>
          <w:sz w:val="20"/>
        </w:rPr>
        <w:t xml:space="preserve"> </w:t>
      </w:r>
      <w:r>
        <w:rPr>
          <w:sz w:val="20"/>
        </w:rPr>
        <w:t>Lambda</w:t>
      </w:r>
      <w:r>
        <w:rPr>
          <w:spacing w:val="-8"/>
          <w:sz w:val="20"/>
        </w:rPr>
        <w:t xml:space="preserve"> </w:t>
      </w:r>
      <w:r>
        <w:rPr>
          <w:sz w:val="20"/>
        </w:rPr>
        <w:t>Legal,</w:t>
      </w:r>
      <w:r>
        <w:rPr>
          <w:spacing w:val="-6"/>
          <w:sz w:val="20"/>
        </w:rPr>
        <w:t xml:space="preserve"> </w:t>
      </w:r>
      <w:r>
        <w:rPr>
          <w:sz w:val="20"/>
        </w:rPr>
        <w:t>“Protected</w:t>
      </w:r>
      <w:r>
        <w:rPr>
          <w:spacing w:val="-6"/>
          <w:sz w:val="20"/>
        </w:rPr>
        <w:t xml:space="preserve"> </w:t>
      </w:r>
      <w:r>
        <w:rPr>
          <w:sz w:val="20"/>
        </w:rPr>
        <w:t>and</w:t>
      </w:r>
      <w:r>
        <w:rPr>
          <w:spacing w:val="-6"/>
          <w:sz w:val="20"/>
        </w:rPr>
        <w:t xml:space="preserve"> </w:t>
      </w:r>
      <w:r>
        <w:rPr>
          <w:sz w:val="20"/>
        </w:rPr>
        <w:t>Served?</w:t>
      </w:r>
      <w:r>
        <w:rPr>
          <w:spacing w:val="-8"/>
          <w:sz w:val="20"/>
        </w:rPr>
        <w:t xml:space="preserve"> </w:t>
      </w:r>
      <w:r>
        <w:rPr>
          <w:sz w:val="20"/>
        </w:rPr>
        <w:t>Sc</w:t>
      </w:r>
      <w:r>
        <w:rPr>
          <w:sz w:val="20"/>
        </w:rPr>
        <w:t>hool</w:t>
      </w:r>
      <w:r>
        <w:rPr>
          <w:spacing w:val="-7"/>
          <w:sz w:val="20"/>
        </w:rPr>
        <w:t xml:space="preserve"> </w:t>
      </w:r>
      <w:r>
        <w:rPr>
          <w:sz w:val="20"/>
        </w:rPr>
        <w:t>Security,</w:t>
      </w:r>
      <w:r>
        <w:rPr>
          <w:spacing w:val="-6"/>
          <w:sz w:val="20"/>
        </w:rPr>
        <w:t xml:space="preserve"> </w:t>
      </w:r>
      <w:r>
        <w:rPr>
          <w:sz w:val="20"/>
        </w:rPr>
        <w:t>Policing</w:t>
      </w:r>
      <w:r>
        <w:rPr>
          <w:spacing w:val="-6"/>
          <w:sz w:val="20"/>
        </w:rPr>
        <w:t xml:space="preserve"> </w:t>
      </w:r>
      <w:r>
        <w:rPr>
          <w:sz w:val="20"/>
        </w:rPr>
        <w:t>and</w:t>
      </w:r>
      <w:r>
        <w:rPr>
          <w:spacing w:val="-8"/>
          <w:sz w:val="20"/>
        </w:rPr>
        <w:t xml:space="preserve"> </w:t>
      </w:r>
      <w:r>
        <w:rPr>
          <w:sz w:val="20"/>
        </w:rPr>
        <w:t>Discipline,”</w:t>
      </w:r>
      <w:r>
        <w:rPr>
          <w:spacing w:val="-8"/>
          <w:sz w:val="20"/>
        </w:rPr>
        <w:t xml:space="preserve"> </w:t>
      </w:r>
      <w:r>
        <w:rPr>
          <w:sz w:val="20"/>
        </w:rPr>
        <w:t>January</w:t>
      </w:r>
      <w:r>
        <w:rPr>
          <w:spacing w:val="-5"/>
          <w:sz w:val="20"/>
        </w:rPr>
        <w:t xml:space="preserve"> </w:t>
      </w:r>
      <w:r>
        <w:rPr>
          <w:sz w:val="20"/>
        </w:rPr>
        <w:t>7,</w:t>
      </w:r>
      <w:r>
        <w:rPr>
          <w:spacing w:val="-8"/>
          <w:sz w:val="20"/>
        </w:rPr>
        <w:t xml:space="preserve"> </w:t>
      </w:r>
      <w:r>
        <w:rPr>
          <w:sz w:val="20"/>
        </w:rPr>
        <w:t xml:space="preserve">2016, </w:t>
      </w:r>
      <w:r>
        <w:rPr>
          <w:spacing w:val="-2"/>
          <w:sz w:val="20"/>
        </w:rPr>
        <w:t>https://</w:t>
      </w:r>
      <w:hyperlink r:id="rId304">
        <w:r>
          <w:rPr>
            <w:spacing w:val="-2"/>
            <w:sz w:val="20"/>
          </w:rPr>
          <w:t>www.lambdalegal.org/node/30521.</w:t>
        </w:r>
      </w:hyperlink>
    </w:p>
    <w:p w:rsidR="00C76E6D" w:rsidRDefault="00913831">
      <w:pPr>
        <w:ind w:left="481" w:right="1600" w:hanging="3"/>
        <w:rPr>
          <w:sz w:val="20"/>
        </w:rPr>
      </w:pPr>
      <w:bookmarkStart w:id="525" w:name="_bookmark391"/>
      <w:bookmarkEnd w:id="525"/>
      <w:r>
        <w:rPr>
          <w:sz w:val="20"/>
          <w:vertAlign w:val="superscript"/>
        </w:rPr>
        <w:t>42</w:t>
      </w:r>
      <w:r>
        <w:rPr>
          <w:spacing w:val="-6"/>
          <w:sz w:val="20"/>
        </w:rPr>
        <w:t xml:space="preserve"> </w:t>
      </w:r>
      <w:r>
        <w:rPr>
          <w:sz w:val="20"/>
        </w:rPr>
        <w:t>Lambda</w:t>
      </w:r>
      <w:r>
        <w:rPr>
          <w:spacing w:val="-8"/>
          <w:sz w:val="20"/>
        </w:rPr>
        <w:t xml:space="preserve"> </w:t>
      </w:r>
      <w:r>
        <w:rPr>
          <w:sz w:val="20"/>
        </w:rPr>
        <w:t>Legal,</w:t>
      </w:r>
      <w:r>
        <w:rPr>
          <w:spacing w:val="-6"/>
          <w:sz w:val="20"/>
        </w:rPr>
        <w:t xml:space="preserve"> </w:t>
      </w:r>
      <w:r>
        <w:rPr>
          <w:sz w:val="20"/>
        </w:rPr>
        <w:t>“Protected</w:t>
      </w:r>
      <w:r>
        <w:rPr>
          <w:spacing w:val="-6"/>
          <w:sz w:val="20"/>
        </w:rPr>
        <w:t xml:space="preserve"> </w:t>
      </w:r>
      <w:r>
        <w:rPr>
          <w:sz w:val="20"/>
        </w:rPr>
        <w:t>and</w:t>
      </w:r>
      <w:r>
        <w:rPr>
          <w:spacing w:val="-6"/>
          <w:sz w:val="20"/>
        </w:rPr>
        <w:t xml:space="preserve"> </w:t>
      </w:r>
      <w:r>
        <w:rPr>
          <w:sz w:val="20"/>
        </w:rPr>
        <w:t>Served?</w:t>
      </w:r>
      <w:r>
        <w:rPr>
          <w:spacing w:val="-8"/>
          <w:sz w:val="20"/>
        </w:rPr>
        <w:t xml:space="preserve"> </w:t>
      </w:r>
      <w:r>
        <w:rPr>
          <w:sz w:val="20"/>
        </w:rPr>
        <w:t>School</w:t>
      </w:r>
      <w:r>
        <w:rPr>
          <w:spacing w:val="-7"/>
          <w:sz w:val="20"/>
        </w:rPr>
        <w:t xml:space="preserve"> </w:t>
      </w:r>
      <w:r>
        <w:rPr>
          <w:sz w:val="20"/>
        </w:rPr>
        <w:t>Security,</w:t>
      </w:r>
      <w:r>
        <w:rPr>
          <w:spacing w:val="-6"/>
          <w:sz w:val="20"/>
        </w:rPr>
        <w:t xml:space="preserve"> </w:t>
      </w:r>
      <w:r>
        <w:rPr>
          <w:sz w:val="20"/>
        </w:rPr>
        <w:t>Policing</w:t>
      </w:r>
      <w:r>
        <w:rPr>
          <w:spacing w:val="-6"/>
          <w:sz w:val="20"/>
        </w:rPr>
        <w:t xml:space="preserve"> </w:t>
      </w:r>
      <w:r>
        <w:rPr>
          <w:sz w:val="20"/>
        </w:rPr>
        <w:t>and</w:t>
      </w:r>
      <w:r>
        <w:rPr>
          <w:spacing w:val="-8"/>
          <w:sz w:val="20"/>
        </w:rPr>
        <w:t xml:space="preserve"> </w:t>
      </w:r>
      <w:r>
        <w:rPr>
          <w:sz w:val="20"/>
        </w:rPr>
        <w:t>Discipline,”</w:t>
      </w:r>
      <w:r>
        <w:rPr>
          <w:spacing w:val="-8"/>
          <w:sz w:val="20"/>
        </w:rPr>
        <w:t xml:space="preserve"> </w:t>
      </w:r>
      <w:r>
        <w:rPr>
          <w:sz w:val="20"/>
        </w:rPr>
        <w:t>January</w:t>
      </w:r>
      <w:r>
        <w:rPr>
          <w:spacing w:val="-5"/>
          <w:sz w:val="20"/>
        </w:rPr>
        <w:t xml:space="preserve"> </w:t>
      </w:r>
      <w:r>
        <w:rPr>
          <w:sz w:val="20"/>
        </w:rPr>
        <w:t>7,</w:t>
      </w:r>
      <w:r>
        <w:rPr>
          <w:spacing w:val="-8"/>
          <w:sz w:val="20"/>
        </w:rPr>
        <w:t xml:space="preserve"> </w:t>
      </w:r>
      <w:r>
        <w:rPr>
          <w:sz w:val="20"/>
        </w:rPr>
        <w:t xml:space="preserve">2016, </w:t>
      </w:r>
      <w:bookmarkStart w:id="526" w:name="_bookmark392"/>
      <w:bookmarkEnd w:id="526"/>
      <w:r>
        <w:rPr>
          <w:spacing w:val="-2"/>
          <w:sz w:val="20"/>
        </w:rPr>
        <w:t>https://</w:t>
      </w:r>
      <w:hyperlink r:id="rId305">
        <w:r>
          <w:rPr>
            <w:spacing w:val="-2"/>
            <w:sz w:val="20"/>
          </w:rPr>
          <w:t>www.lambdalegal.org/node/30521.</w:t>
        </w:r>
      </w:hyperlink>
    </w:p>
    <w:p w:rsidR="00C76E6D" w:rsidRDefault="00913831">
      <w:pPr>
        <w:ind w:left="480" w:right="846"/>
        <w:rPr>
          <w:sz w:val="20"/>
        </w:rPr>
      </w:pPr>
      <w:r>
        <w:rPr>
          <w:sz w:val="20"/>
          <w:vertAlign w:val="superscript"/>
        </w:rPr>
        <w:t>43</w:t>
      </w:r>
      <w:r>
        <w:rPr>
          <w:sz w:val="20"/>
        </w:rPr>
        <w:t xml:space="preserve"> George Painter, “The Sensibilities of Our Forefathers: The History of Sodomy Laws in the United States – Massachusetts,”</w:t>
      </w:r>
      <w:r>
        <w:rPr>
          <w:spacing w:val="-12"/>
          <w:sz w:val="20"/>
        </w:rPr>
        <w:t xml:space="preserve"> </w:t>
      </w:r>
      <w:r>
        <w:rPr>
          <w:sz w:val="20"/>
        </w:rPr>
        <w:t>accessed</w:t>
      </w:r>
      <w:r>
        <w:rPr>
          <w:spacing w:val="-11"/>
          <w:sz w:val="20"/>
        </w:rPr>
        <w:t xml:space="preserve"> </w:t>
      </w:r>
      <w:r>
        <w:rPr>
          <w:sz w:val="20"/>
        </w:rPr>
        <w:t>May</w:t>
      </w:r>
      <w:r>
        <w:rPr>
          <w:spacing w:val="-11"/>
          <w:sz w:val="20"/>
        </w:rPr>
        <w:t xml:space="preserve"> </w:t>
      </w:r>
      <w:r>
        <w:rPr>
          <w:sz w:val="20"/>
        </w:rPr>
        <w:t>15,</w:t>
      </w:r>
      <w:r>
        <w:rPr>
          <w:spacing w:val="-12"/>
          <w:sz w:val="20"/>
        </w:rPr>
        <w:t xml:space="preserve"> </w:t>
      </w:r>
      <w:r>
        <w:rPr>
          <w:sz w:val="20"/>
        </w:rPr>
        <w:t>2022,</w:t>
      </w:r>
      <w:r>
        <w:rPr>
          <w:spacing w:val="-11"/>
          <w:sz w:val="20"/>
        </w:rPr>
        <w:t xml:space="preserve"> </w:t>
      </w:r>
      <w:hyperlink r:id="rId306">
        <w:r>
          <w:rPr>
            <w:sz w:val="20"/>
          </w:rPr>
          <w:t>http://www.glapn.org/sodomylaws/sensibilities/massachusetts.htm.</w:t>
        </w:r>
      </w:hyperlink>
      <w:r>
        <w:rPr>
          <w:sz w:val="20"/>
        </w:rPr>
        <w:t xml:space="preserve"> </w:t>
      </w:r>
      <w:bookmarkStart w:id="527" w:name="_bookmark393"/>
      <w:bookmarkEnd w:id="527"/>
      <w:r>
        <w:rPr>
          <w:sz w:val="20"/>
          <w:vertAlign w:val="superscript"/>
        </w:rPr>
        <w:t>44</w:t>
      </w:r>
      <w:r>
        <w:rPr>
          <w:sz w:val="20"/>
        </w:rPr>
        <w:t xml:space="preserve"> Jessica M. Salerno, Mary C. Murphy, and Bette L Bottoms, “Give the Kid a Break—but Only If He’s Straight:</w:t>
      </w:r>
    </w:p>
    <w:p w:rsidR="00C76E6D" w:rsidRDefault="00913831">
      <w:pPr>
        <w:ind w:left="481" w:right="530" w:hanging="2"/>
        <w:rPr>
          <w:sz w:val="20"/>
        </w:rPr>
      </w:pPr>
      <w:r>
        <w:rPr>
          <w:sz w:val="20"/>
        </w:rPr>
        <w:t>Retributive</w:t>
      </w:r>
      <w:r>
        <w:rPr>
          <w:spacing w:val="-8"/>
          <w:sz w:val="20"/>
        </w:rPr>
        <w:t xml:space="preserve"> </w:t>
      </w:r>
      <w:r>
        <w:rPr>
          <w:sz w:val="20"/>
        </w:rPr>
        <w:t>Motives</w:t>
      </w:r>
      <w:r>
        <w:rPr>
          <w:spacing w:val="-7"/>
          <w:sz w:val="20"/>
        </w:rPr>
        <w:t xml:space="preserve"> </w:t>
      </w:r>
      <w:r>
        <w:rPr>
          <w:sz w:val="20"/>
        </w:rPr>
        <w:t>Drive</w:t>
      </w:r>
      <w:r>
        <w:rPr>
          <w:spacing w:val="-7"/>
          <w:sz w:val="20"/>
        </w:rPr>
        <w:t xml:space="preserve"> </w:t>
      </w:r>
      <w:r>
        <w:rPr>
          <w:sz w:val="20"/>
        </w:rPr>
        <w:t>Biases</w:t>
      </w:r>
      <w:r>
        <w:rPr>
          <w:spacing w:val="-7"/>
          <w:sz w:val="20"/>
        </w:rPr>
        <w:t xml:space="preserve"> </w:t>
      </w:r>
      <w:r>
        <w:rPr>
          <w:sz w:val="20"/>
        </w:rPr>
        <w:t>Against</w:t>
      </w:r>
      <w:r>
        <w:rPr>
          <w:spacing w:val="-6"/>
          <w:sz w:val="20"/>
        </w:rPr>
        <w:t xml:space="preserve"> </w:t>
      </w:r>
      <w:r>
        <w:rPr>
          <w:sz w:val="20"/>
        </w:rPr>
        <w:t>Gay</w:t>
      </w:r>
      <w:r>
        <w:rPr>
          <w:spacing w:val="-7"/>
          <w:sz w:val="20"/>
        </w:rPr>
        <w:t xml:space="preserve"> </w:t>
      </w:r>
      <w:r>
        <w:rPr>
          <w:sz w:val="20"/>
        </w:rPr>
        <w:t>Youth</w:t>
      </w:r>
      <w:r>
        <w:rPr>
          <w:spacing w:val="-6"/>
          <w:sz w:val="20"/>
        </w:rPr>
        <w:t xml:space="preserve"> </w:t>
      </w:r>
      <w:r>
        <w:rPr>
          <w:sz w:val="20"/>
        </w:rPr>
        <w:t>in</w:t>
      </w:r>
      <w:r>
        <w:rPr>
          <w:spacing w:val="-7"/>
          <w:sz w:val="20"/>
        </w:rPr>
        <w:t xml:space="preserve"> </w:t>
      </w:r>
      <w:r>
        <w:rPr>
          <w:sz w:val="20"/>
        </w:rPr>
        <w:t>Ambiguous</w:t>
      </w:r>
      <w:r>
        <w:rPr>
          <w:spacing w:val="-7"/>
          <w:sz w:val="20"/>
        </w:rPr>
        <w:t xml:space="preserve"> </w:t>
      </w:r>
      <w:r>
        <w:rPr>
          <w:sz w:val="20"/>
        </w:rPr>
        <w:t>Punishment</w:t>
      </w:r>
      <w:r>
        <w:rPr>
          <w:spacing w:val="-7"/>
          <w:sz w:val="20"/>
        </w:rPr>
        <w:t xml:space="preserve"> </w:t>
      </w:r>
      <w:r>
        <w:rPr>
          <w:sz w:val="20"/>
        </w:rPr>
        <w:t>Contexts,”</w:t>
      </w:r>
      <w:r>
        <w:rPr>
          <w:spacing w:val="-5"/>
          <w:sz w:val="20"/>
        </w:rPr>
        <w:t xml:space="preserve"> </w:t>
      </w:r>
      <w:r>
        <w:rPr>
          <w:i/>
          <w:sz w:val="20"/>
        </w:rPr>
        <w:t>Psychology,</w:t>
      </w:r>
      <w:r>
        <w:rPr>
          <w:i/>
          <w:spacing w:val="-9"/>
          <w:sz w:val="20"/>
        </w:rPr>
        <w:t xml:space="preserve"> </w:t>
      </w:r>
      <w:r>
        <w:rPr>
          <w:i/>
          <w:sz w:val="20"/>
        </w:rPr>
        <w:t>Public</w:t>
      </w:r>
      <w:r>
        <w:rPr>
          <w:i/>
          <w:spacing w:val="-7"/>
          <w:sz w:val="20"/>
        </w:rPr>
        <w:t xml:space="preserve"> </w:t>
      </w:r>
      <w:r>
        <w:rPr>
          <w:i/>
          <w:sz w:val="20"/>
        </w:rPr>
        <w:t xml:space="preserve">Policy, and Law </w:t>
      </w:r>
      <w:r>
        <w:rPr>
          <w:sz w:val="20"/>
        </w:rPr>
        <w:t>20, no. 4 (2014): 398–410, https://psycnet.apa.org/record/2014-26578-001.</w:t>
      </w:r>
    </w:p>
    <w:p w:rsidR="00C76E6D" w:rsidRDefault="00913831">
      <w:pPr>
        <w:ind w:left="481" w:right="602" w:hanging="3"/>
        <w:rPr>
          <w:sz w:val="20"/>
        </w:rPr>
      </w:pPr>
      <w:bookmarkStart w:id="528" w:name="_bookmark394"/>
      <w:bookmarkEnd w:id="528"/>
      <w:r>
        <w:rPr>
          <w:sz w:val="20"/>
          <w:vertAlign w:val="superscript"/>
        </w:rPr>
        <w:t>45</w:t>
      </w:r>
      <w:r>
        <w:rPr>
          <w:spacing w:val="-6"/>
          <w:sz w:val="20"/>
        </w:rPr>
        <w:t xml:space="preserve"> </w:t>
      </w:r>
      <w:r>
        <w:rPr>
          <w:sz w:val="20"/>
        </w:rPr>
        <w:t>Citizens</w:t>
      </w:r>
      <w:r>
        <w:rPr>
          <w:spacing w:val="-7"/>
          <w:sz w:val="20"/>
        </w:rPr>
        <w:t xml:space="preserve"> </w:t>
      </w:r>
      <w:r>
        <w:rPr>
          <w:sz w:val="20"/>
        </w:rPr>
        <w:t>for</w:t>
      </w:r>
      <w:r>
        <w:rPr>
          <w:spacing w:val="-7"/>
          <w:sz w:val="20"/>
        </w:rPr>
        <w:t xml:space="preserve"> </w:t>
      </w:r>
      <w:r>
        <w:rPr>
          <w:sz w:val="20"/>
        </w:rPr>
        <w:t>Juvenile</w:t>
      </w:r>
      <w:r>
        <w:rPr>
          <w:spacing w:val="-7"/>
          <w:sz w:val="20"/>
        </w:rPr>
        <w:t xml:space="preserve"> </w:t>
      </w:r>
      <w:r>
        <w:rPr>
          <w:sz w:val="20"/>
        </w:rPr>
        <w:t>Justice,</w:t>
      </w:r>
      <w:r>
        <w:rPr>
          <w:spacing w:val="-8"/>
          <w:sz w:val="20"/>
        </w:rPr>
        <w:t xml:space="preserve"> </w:t>
      </w:r>
      <w:r>
        <w:rPr>
          <w:i/>
          <w:sz w:val="20"/>
        </w:rPr>
        <w:t>Decriminalizing</w:t>
      </w:r>
      <w:r>
        <w:rPr>
          <w:i/>
          <w:spacing w:val="-6"/>
          <w:sz w:val="20"/>
        </w:rPr>
        <w:t xml:space="preserve"> </w:t>
      </w:r>
      <w:r>
        <w:rPr>
          <w:i/>
          <w:sz w:val="20"/>
        </w:rPr>
        <w:t>Consensual</w:t>
      </w:r>
      <w:r>
        <w:rPr>
          <w:i/>
          <w:spacing w:val="-9"/>
          <w:sz w:val="20"/>
        </w:rPr>
        <w:t xml:space="preserve"> </w:t>
      </w:r>
      <w:r>
        <w:rPr>
          <w:i/>
          <w:sz w:val="20"/>
        </w:rPr>
        <w:t>Adolescent</w:t>
      </w:r>
      <w:r>
        <w:rPr>
          <w:i/>
          <w:spacing w:val="-8"/>
          <w:sz w:val="20"/>
        </w:rPr>
        <w:t xml:space="preserve"> </w:t>
      </w:r>
      <w:r>
        <w:rPr>
          <w:i/>
          <w:sz w:val="20"/>
        </w:rPr>
        <w:t>Sexual</w:t>
      </w:r>
      <w:r>
        <w:rPr>
          <w:i/>
          <w:spacing w:val="-7"/>
          <w:sz w:val="20"/>
        </w:rPr>
        <w:t xml:space="preserve"> </w:t>
      </w:r>
      <w:r>
        <w:rPr>
          <w:i/>
          <w:sz w:val="20"/>
        </w:rPr>
        <w:t>Activity</w:t>
      </w:r>
      <w:r>
        <w:rPr>
          <w:i/>
          <w:spacing w:val="-5"/>
          <w:sz w:val="20"/>
        </w:rPr>
        <w:t xml:space="preserve"> </w:t>
      </w:r>
      <w:r>
        <w:rPr>
          <w:sz w:val="20"/>
        </w:rPr>
        <w:t>(Wellesley:</w:t>
      </w:r>
      <w:r>
        <w:rPr>
          <w:spacing w:val="-6"/>
          <w:sz w:val="20"/>
        </w:rPr>
        <w:t xml:space="preserve"> </w:t>
      </w:r>
      <w:r>
        <w:rPr>
          <w:sz w:val="20"/>
        </w:rPr>
        <w:t>Wellesley</w:t>
      </w:r>
      <w:r>
        <w:rPr>
          <w:spacing w:val="-6"/>
          <w:sz w:val="20"/>
        </w:rPr>
        <w:t xml:space="preserve"> </w:t>
      </w:r>
      <w:r>
        <w:rPr>
          <w:sz w:val="20"/>
        </w:rPr>
        <w:t xml:space="preserve">Centers for Women, 2017), </w:t>
      </w:r>
      <w:r>
        <w:rPr>
          <w:spacing w:val="-2"/>
          <w:sz w:val="20"/>
        </w:rPr>
        <w:t xml:space="preserve">https://static1.squarespace.com/static/58ea378e414fb5fae5ba06c7/t/5907e36a9de4bbccbb46732b/1493689195 </w:t>
      </w:r>
      <w:bookmarkStart w:id="529" w:name="_bookmark395"/>
      <w:bookmarkEnd w:id="529"/>
      <w:r>
        <w:rPr>
          <w:spacing w:val="-2"/>
          <w:sz w:val="20"/>
        </w:rPr>
        <w:t>189/FACTSHEET-RomeoJuliet2017.pdf.</w:t>
      </w:r>
    </w:p>
    <w:p w:rsidR="00C76E6D" w:rsidRDefault="00913831">
      <w:pPr>
        <w:ind w:left="481" w:right="698" w:hanging="3"/>
        <w:rPr>
          <w:sz w:val="20"/>
        </w:rPr>
      </w:pPr>
      <w:r>
        <w:rPr>
          <w:sz w:val="20"/>
          <w:vertAlign w:val="superscript"/>
        </w:rPr>
        <w:t>46</w:t>
      </w:r>
      <w:r>
        <w:rPr>
          <w:spacing w:val="-5"/>
          <w:sz w:val="20"/>
        </w:rPr>
        <w:t xml:space="preserve"> </w:t>
      </w:r>
      <w:r>
        <w:rPr>
          <w:sz w:val="20"/>
        </w:rPr>
        <w:t>Massachusetts</w:t>
      </w:r>
      <w:r>
        <w:rPr>
          <w:spacing w:val="-6"/>
          <w:sz w:val="20"/>
        </w:rPr>
        <w:t xml:space="preserve"> </w:t>
      </w:r>
      <w:r>
        <w:rPr>
          <w:sz w:val="20"/>
        </w:rPr>
        <w:t>Coalition</w:t>
      </w:r>
      <w:r>
        <w:rPr>
          <w:spacing w:val="-5"/>
          <w:sz w:val="20"/>
        </w:rPr>
        <w:t xml:space="preserve"> </w:t>
      </w:r>
      <w:r>
        <w:rPr>
          <w:sz w:val="20"/>
        </w:rPr>
        <w:t>for</w:t>
      </w:r>
      <w:r>
        <w:rPr>
          <w:spacing w:val="-6"/>
          <w:sz w:val="20"/>
        </w:rPr>
        <w:t xml:space="preserve"> </w:t>
      </w:r>
      <w:r>
        <w:rPr>
          <w:sz w:val="20"/>
        </w:rPr>
        <w:t>Juvenile</w:t>
      </w:r>
      <w:r>
        <w:rPr>
          <w:spacing w:val="-6"/>
          <w:sz w:val="20"/>
        </w:rPr>
        <w:t xml:space="preserve"> </w:t>
      </w:r>
      <w:r>
        <w:rPr>
          <w:sz w:val="20"/>
        </w:rPr>
        <w:t>Justice</w:t>
      </w:r>
      <w:r>
        <w:rPr>
          <w:spacing w:val="-6"/>
          <w:sz w:val="20"/>
        </w:rPr>
        <w:t xml:space="preserve"> </w:t>
      </w:r>
      <w:r>
        <w:rPr>
          <w:sz w:val="20"/>
        </w:rPr>
        <w:t>Reform.</w:t>
      </w:r>
      <w:r>
        <w:rPr>
          <w:spacing w:val="-7"/>
          <w:sz w:val="20"/>
        </w:rPr>
        <w:t xml:space="preserve"> </w:t>
      </w:r>
      <w:r>
        <w:rPr>
          <w:sz w:val="20"/>
        </w:rPr>
        <w:t>(2017).</w:t>
      </w:r>
      <w:r>
        <w:rPr>
          <w:spacing w:val="-6"/>
          <w:sz w:val="20"/>
        </w:rPr>
        <w:t xml:space="preserve"> </w:t>
      </w:r>
      <w:r>
        <w:rPr>
          <w:sz w:val="20"/>
        </w:rPr>
        <w:t>Testimony</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Joint</w:t>
      </w:r>
      <w:r>
        <w:rPr>
          <w:spacing w:val="-6"/>
          <w:sz w:val="20"/>
        </w:rPr>
        <w:t xml:space="preserve"> </w:t>
      </w:r>
      <w:r>
        <w:rPr>
          <w:sz w:val="20"/>
        </w:rPr>
        <w:t>Committee</w:t>
      </w:r>
      <w:r>
        <w:rPr>
          <w:spacing w:val="-6"/>
          <w:sz w:val="20"/>
        </w:rPr>
        <w:t xml:space="preserve"> </w:t>
      </w:r>
      <w:r>
        <w:rPr>
          <w:sz w:val="20"/>
        </w:rPr>
        <w:t>on</w:t>
      </w:r>
      <w:r>
        <w:rPr>
          <w:spacing w:val="-5"/>
          <w:sz w:val="20"/>
        </w:rPr>
        <w:t xml:space="preserve"> </w:t>
      </w:r>
      <w:r>
        <w:rPr>
          <w:sz w:val="20"/>
        </w:rPr>
        <w:t>the</w:t>
      </w:r>
      <w:r>
        <w:rPr>
          <w:spacing w:val="-6"/>
          <w:sz w:val="20"/>
        </w:rPr>
        <w:t xml:space="preserve"> </w:t>
      </w:r>
      <w:r>
        <w:rPr>
          <w:sz w:val="20"/>
        </w:rPr>
        <w:t>Judiciary in support of “An Act Relative to Consensual Adolescent Sexual Activity” (H.3065) [unpublished].</w:t>
      </w:r>
    </w:p>
    <w:p w:rsidR="00C76E6D" w:rsidRDefault="00913831">
      <w:pPr>
        <w:ind w:left="479" w:right="530" w:hanging="2"/>
        <w:rPr>
          <w:sz w:val="20"/>
        </w:rPr>
      </w:pPr>
      <w:bookmarkStart w:id="530" w:name="_bookmark396"/>
      <w:bookmarkEnd w:id="530"/>
      <w:r>
        <w:rPr>
          <w:sz w:val="20"/>
          <w:vertAlign w:val="superscript"/>
        </w:rPr>
        <w:t>47</w:t>
      </w:r>
      <w:r>
        <w:rPr>
          <w:sz w:val="20"/>
        </w:rPr>
        <w:t xml:space="preserve"> MASS. GEN. LAWS Ch. 265, § 22B (f) (2016), as interpreted by: </w:t>
      </w:r>
      <w:r>
        <w:rPr>
          <w:i/>
          <w:sz w:val="20"/>
        </w:rPr>
        <w:t>HIV Criminalization in the United S</w:t>
      </w:r>
      <w:r>
        <w:rPr>
          <w:i/>
          <w:sz w:val="20"/>
        </w:rPr>
        <w:t>tates: A Sourcebook</w:t>
      </w:r>
      <w:r>
        <w:rPr>
          <w:i/>
          <w:spacing w:val="-5"/>
          <w:sz w:val="20"/>
        </w:rPr>
        <w:t xml:space="preserve"> </w:t>
      </w:r>
      <w:r>
        <w:rPr>
          <w:i/>
          <w:sz w:val="20"/>
        </w:rPr>
        <w:t>on</w:t>
      </w:r>
      <w:r>
        <w:rPr>
          <w:i/>
          <w:spacing w:val="-7"/>
          <w:sz w:val="20"/>
        </w:rPr>
        <w:t xml:space="preserve"> </w:t>
      </w:r>
      <w:r>
        <w:rPr>
          <w:i/>
          <w:sz w:val="20"/>
        </w:rPr>
        <w:t>State</w:t>
      </w:r>
      <w:r>
        <w:rPr>
          <w:i/>
          <w:spacing w:val="-5"/>
          <w:sz w:val="20"/>
        </w:rPr>
        <w:t xml:space="preserve"> </w:t>
      </w:r>
      <w:r>
        <w:rPr>
          <w:i/>
          <w:sz w:val="20"/>
        </w:rPr>
        <w:t>and</w:t>
      </w:r>
      <w:r>
        <w:rPr>
          <w:i/>
          <w:spacing w:val="-7"/>
          <w:sz w:val="20"/>
        </w:rPr>
        <w:t xml:space="preserve"> </w:t>
      </w:r>
      <w:r>
        <w:rPr>
          <w:i/>
          <w:sz w:val="20"/>
        </w:rPr>
        <w:t>Federal</w:t>
      </w:r>
      <w:r>
        <w:rPr>
          <w:i/>
          <w:spacing w:val="-5"/>
          <w:sz w:val="20"/>
        </w:rPr>
        <w:t xml:space="preserve"> </w:t>
      </w:r>
      <w:r>
        <w:rPr>
          <w:i/>
          <w:sz w:val="20"/>
        </w:rPr>
        <w:t>HIV</w:t>
      </w:r>
      <w:r>
        <w:rPr>
          <w:i/>
          <w:spacing w:val="-5"/>
          <w:sz w:val="20"/>
        </w:rPr>
        <w:t xml:space="preserve"> </w:t>
      </w:r>
      <w:r>
        <w:rPr>
          <w:i/>
          <w:sz w:val="20"/>
        </w:rPr>
        <w:t>Criminal</w:t>
      </w:r>
      <w:r>
        <w:rPr>
          <w:i/>
          <w:spacing w:val="-5"/>
          <w:sz w:val="20"/>
        </w:rPr>
        <w:t xml:space="preserve"> </w:t>
      </w:r>
      <w:r>
        <w:rPr>
          <w:i/>
          <w:sz w:val="20"/>
        </w:rPr>
        <w:t>Law</w:t>
      </w:r>
      <w:r>
        <w:rPr>
          <w:i/>
          <w:spacing w:val="-6"/>
          <w:sz w:val="20"/>
        </w:rPr>
        <w:t xml:space="preserve"> </w:t>
      </w:r>
      <w:r>
        <w:rPr>
          <w:i/>
          <w:sz w:val="20"/>
        </w:rPr>
        <w:t>and</w:t>
      </w:r>
      <w:r>
        <w:rPr>
          <w:i/>
          <w:spacing w:val="-4"/>
          <w:sz w:val="20"/>
        </w:rPr>
        <w:t xml:space="preserve"> </w:t>
      </w:r>
      <w:r>
        <w:rPr>
          <w:i/>
          <w:sz w:val="20"/>
        </w:rPr>
        <w:t>Practice</w:t>
      </w:r>
      <w:r>
        <w:rPr>
          <w:i/>
          <w:spacing w:val="-4"/>
          <w:sz w:val="20"/>
        </w:rPr>
        <w:t xml:space="preserve"> </w:t>
      </w:r>
      <w:r>
        <w:rPr>
          <w:i/>
          <w:sz w:val="20"/>
        </w:rPr>
        <w:t>–</w:t>
      </w:r>
      <w:r>
        <w:rPr>
          <w:i/>
          <w:spacing w:val="-5"/>
          <w:sz w:val="20"/>
        </w:rPr>
        <w:t xml:space="preserve"> </w:t>
      </w:r>
      <w:r>
        <w:rPr>
          <w:i/>
          <w:sz w:val="20"/>
        </w:rPr>
        <w:t>Massachusetts</w:t>
      </w:r>
      <w:r>
        <w:rPr>
          <w:sz w:val="20"/>
        </w:rPr>
        <w:t>.</w:t>
      </w:r>
      <w:r>
        <w:rPr>
          <w:spacing w:val="-5"/>
          <w:sz w:val="20"/>
        </w:rPr>
        <w:t xml:space="preserve"> </w:t>
      </w:r>
      <w:r>
        <w:rPr>
          <w:sz w:val="20"/>
        </w:rPr>
        <w:t>(2017).</w:t>
      </w:r>
      <w:r>
        <w:rPr>
          <w:spacing w:val="-4"/>
          <w:sz w:val="20"/>
        </w:rPr>
        <w:t xml:space="preserve"> </w:t>
      </w:r>
      <w:r>
        <w:rPr>
          <w:sz w:val="20"/>
        </w:rPr>
        <w:t>New</w:t>
      </w:r>
      <w:r>
        <w:rPr>
          <w:spacing w:val="-5"/>
          <w:sz w:val="20"/>
        </w:rPr>
        <w:t xml:space="preserve"> </w:t>
      </w:r>
      <w:r>
        <w:rPr>
          <w:sz w:val="20"/>
        </w:rPr>
        <w:t>York,</w:t>
      </w:r>
      <w:r>
        <w:rPr>
          <w:spacing w:val="-5"/>
          <w:sz w:val="20"/>
        </w:rPr>
        <w:t xml:space="preserve"> </w:t>
      </w:r>
      <w:r>
        <w:rPr>
          <w:sz w:val="20"/>
        </w:rPr>
        <w:t>NY:</w:t>
      </w:r>
      <w:r>
        <w:rPr>
          <w:spacing w:val="-4"/>
          <w:sz w:val="20"/>
        </w:rPr>
        <w:t xml:space="preserve"> </w:t>
      </w:r>
      <w:r>
        <w:rPr>
          <w:sz w:val="20"/>
        </w:rPr>
        <w:t>The</w:t>
      </w:r>
      <w:r>
        <w:rPr>
          <w:spacing w:val="-5"/>
          <w:sz w:val="20"/>
        </w:rPr>
        <w:t xml:space="preserve"> </w:t>
      </w:r>
      <w:r>
        <w:rPr>
          <w:sz w:val="20"/>
        </w:rPr>
        <w:t xml:space="preserve">Center </w:t>
      </w:r>
      <w:bookmarkStart w:id="531" w:name="_bookmark397"/>
      <w:bookmarkEnd w:id="531"/>
      <w:r>
        <w:rPr>
          <w:sz w:val="20"/>
        </w:rPr>
        <w:t>for HIV Law and Policy.</w:t>
      </w:r>
    </w:p>
    <w:p w:rsidR="00C76E6D" w:rsidRDefault="00913831">
      <w:pPr>
        <w:ind w:left="481" w:right="530" w:hanging="3"/>
        <w:rPr>
          <w:sz w:val="20"/>
        </w:rPr>
      </w:pPr>
      <w:r>
        <w:rPr>
          <w:sz w:val="20"/>
          <w:vertAlign w:val="superscript"/>
        </w:rPr>
        <w:t>48</w:t>
      </w:r>
      <w:r>
        <w:rPr>
          <w:spacing w:val="-4"/>
          <w:sz w:val="20"/>
        </w:rPr>
        <w:t xml:space="preserve"> </w:t>
      </w:r>
      <w:r>
        <w:rPr>
          <w:sz w:val="20"/>
        </w:rPr>
        <w:t>GLBTQ</w:t>
      </w:r>
      <w:r>
        <w:rPr>
          <w:spacing w:val="-6"/>
          <w:sz w:val="20"/>
        </w:rPr>
        <w:t xml:space="preserve"> </w:t>
      </w:r>
      <w:r>
        <w:rPr>
          <w:sz w:val="20"/>
        </w:rPr>
        <w:t>Legal</w:t>
      </w:r>
      <w:r>
        <w:rPr>
          <w:spacing w:val="-6"/>
          <w:sz w:val="20"/>
        </w:rPr>
        <w:t xml:space="preserve"> </w:t>
      </w:r>
      <w:r>
        <w:rPr>
          <w:sz w:val="20"/>
        </w:rPr>
        <w:t>Advocates</w:t>
      </w:r>
      <w:r>
        <w:rPr>
          <w:spacing w:val="-7"/>
          <w:sz w:val="20"/>
        </w:rPr>
        <w:t xml:space="preserve"> </w:t>
      </w:r>
      <w:r>
        <w:rPr>
          <w:sz w:val="20"/>
        </w:rPr>
        <w:t>&amp;</w:t>
      </w:r>
      <w:r>
        <w:rPr>
          <w:spacing w:val="-5"/>
          <w:sz w:val="20"/>
        </w:rPr>
        <w:t xml:space="preserve"> </w:t>
      </w:r>
      <w:r>
        <w:rPr>
          <w:sz w:val="20"/>
        </w:rPr>
        <w:t>Defenders.</w:t>
      </w:r>
      <w:r>
        <w:rPr>
          <w:spacing w:val="-7"/>
          <w:sz w:val="20"/>
        </w:rPr>
        <w:t xml:space="preserve"> </w:t>
      </w:r>
      <w:r>
        <w:rPr>
          <w:sz w:val="20"/>
        </w:rPr>
        <w:t>(2021).</w:t>
      </w:r>
      <w:r>
        <w:rPr>
          <w:spacing w:val="-4"/>
          <w:sz w:val="20"/>
        </w:rPr>
        <w:t xml:space="preserve"> </w:t>
      </w:r>
      <w:r>
        <w:rPr>
          <w:sz w:val="20"/>
        </w:rPr>
        <w:t>Testimony</w:t>
      </w:r>
      <w:r>
        <w:rPr>
          <w:spacing w:val="-5"/>
          <w:sz w:val="20"/>
        </w:rPr>
        <w:t xml:space="preserve"> </w:t>
      </w:r>
      <w:r>
        <w:rPr>
          <w:sz w:val="20"/>
        </w:rPr>
        <w:t>of</w:t>
      </w:r>
      <w:r>
        <w:rPr>
          <w:spacing w:val="-6"/>
          <w:sz w:val="20"/>
        </w:rPr>
        <w:t xml:space="preserve"> </w:t>
      </w:r>
      <w:r>
        <w:rPr>
          <w:sz w:val="20"/>
        </w:rPr>
        <w:t>GLBTQ</w:t>
      </w:r>
      <w:r>
        <w:rPr>
          <w:spacing w:val="-6"/>
          <w:sz w:val="20"/>
        </w:rPr>
        <w:t xml:space="preserve"> </w:t>
      </w:r>
      <w:r>
        <w:rPr>
          <w:sz w:val="20"/>
        </w:rPr>
        <w:t>Legal</w:t>
      </w:r>
      <w:r>
        <w:rPr>
          <w:spacing w:val="-6"/>
          <w:sz w:val="20"/>
        </w:rPr>
        <w:t xml:space="preserve"> </w:t>
      </w:r>
      <w:r>
        <w:rPr>
          <w:sz w:val="20"/>
        </w:rPr>
        <w:t>Advocates</w:t>
      </w:r>
      <w:r>
        <w:rPr>
          <w:spacing w:val="-7"/>
          <w:sz w:val="20"/>
        </w:rPr>
        <w:t xml:space="preserve"> </w:t>
      </w:r>
      <w:r>
        <w:rPr>
          <w:sz w:val="20"/>
        </w:rPr>
        <w:t>&amp;</w:t>
      </w:r>
      <w:r>
        <w:rPr>
          <w:spacing w:val="-5"/>
          <w:sz w:val="20"/>
        </w:rPr>
        <w:t xml:space="preserve"> </w:t>
      </w:r>
      <w:r>
        <w:rPr>
          <w:sz w:val="20"/>
        </w:rPr>
        <w:t>Defenders</w:t>
      </w:r>
      <w:r>
        <w:rPr>
          <w:spacing w:val="-5"/>
          <w:sz w:val="20"/>
        </w:rPr>
        <w:t xml:space="preserve"> </w:t>
      </w:r>
      <w:r>
        <w:rPr>
          <w:sz w:val="20"/>
        </w:rPr>
        <w:t>in</w:t>
      </w:r>
      <w:r>
        <w:rPr>
          <w:spacing w:val="-5"/>
          <w:sz w:val="20"/>
        </w:rPr>
        <w:t xml:space="preserve"> </w:t>
      </w:r>
      <w:r>
        <w:rPr>
          <w:sz w:val="20"/>
        </w:rPr>
        <w:t>Support</w:t>
      </w:r>
      <w:r>
        <w:rPr>
          <w:spacing w:val="-4"/>
          <w:sz w:val="20"/>
        </w:rPr>
        <w:t xml:space="preserve"> </w:t>
      </w:r>
      <w:r>
        <w:rPr>
          <w:sz w:val="20"/>
        </w:rPr>
        <w:t>of</w:t>
      </w:r>
      <w:r>
        <w:rPr>
          <w:spacing w:val="-6"/>
          <w:sz w:val="20"/>
        </w:rPr>
        <w:t xml:space="preserve"> </w:t>
      </w:r>
      <w:r>
        <w:rPr>
          <w:sz w:val="20"/>
        </w:rPr>
        <w:t>H 1800 and S 992, an Act to Stop Profiling Transgender People and Low-Income Women.</w:t>
      </w:r>
    </w:p>
    <w:p w:rsidR="00C76E6D" w:rsidRDefault="00913831">
      <w:pPr>
        <w:ind w:left="480" w:right="530" w:hanging="2"/>
        <w:rPr>
          <w:sz w:val="20"/>
        </w:rPr>
      </w:pPr>
      <w:bookmarkStart w:id="532" w:name="_bookmark398"/>
      <w:bookmarkEnd w:id="532"/>
      <w:r>
        <w:rPr>
          <w:sz w:val="20"/>
          <w:vertAlign w:val="superscript"/>
        </w:rPr>
        <w:t>49</w:t>
      </w:r>
      <w:r>
        <w:rPr>
          <w:spacing w:val="-2"/>
          <w:sz w:val="20"/>
        </w:rPr>
        <w:t xml:space="preserve"> </w:t>
      </w:r>
      <w:r>
        <w:rPr>
          <w:sz w:val="20"/>
        </w:rPr>
        <w:t>ACLU,</w:t>
      </w:r>
      <w:r>
        <w:rPr>
          <w:spacing w:val="-2"/>
          <w:sz w:val="20"/>
        </w:rPr>
        <w:t xml:space="preserve"> </w:t>
      </w:r>
      <w:r>
        <w:rPr>
          <w:i/>
          <w:sz w:val="20"/>
        </w:rPr>
        <w:t>Is</w:t>
      </w:r>
      <w:r>
        <w:rPr>
          <w:i/>
          <w:spacing w:val="-2"/>
          <w:sz w:val="20"/>
        </w:rPr>
        <w:t xml:space="preserve"> </w:t>
      </w:r>
      <w:r>
        <w:rPr>
          <w:i/>
          <w:sz w:val="20"/>
        </w:rPr>
        <w:t>Sex</w:t>
      </w:r>
      <w:r>
        <w:rPr>
          <w:i/>
          <w:spacing w:val="-4"/>
          <w:sz w:val="20"/>
        </w:rPr>
        <w:t xml:space="preserve"> </w:t>
      </w:r>
      <w:r>
        <w:rPr>
          <w:i/>
          <w:sz w:val="20"/>
        </w:rPr>
        <w:t>Work</w:t>
      </w:r>
      <w:r>
        <w:rPr>
          <w:i/>
          <w:spacing w:val="-2"/>
          <w:sz w:val="20"/>
        </w:rPr>
        <w:t xml:space="preserve"> </w:t>
      </w:r>
      <w:r>
        <w:rPr>
          <w:i/>
          <w:sz w:val="20"/>
        </w:rPr>
        <w:t>Decriminalization</w:t>
      </w:r>
      <w:r>
        <w:rPr>
          <w:i/>
          <w:spacing w:val="-2"/>
          <w:sz w:val="20"/>
        </w:rPr>
        <w:t xml:space="preserve"> </w:t>
      </w:r>
      <w:r>
        <w:rPr>
          <w:i/>
          <w:sz w:val="20"/>
        </w:rPr>
        <w:t>the</w:t>
      </w:r>
      <w:r>
        <w:rPr>
          <w:i/>
          <w:spacing w:val="-2"/>
          <w:sz w:val="20"/>
        </w:rPr>
        <w:t xml:space="preserve"> </w:t>
      </w:r>
      <w:r>
        <w:rPr>
          <w:i/>
          <w:sz w:val="20"/>
        </w:rPr>
        <w:t>Answer?</w:t>
      </w:r>
      <w:r>
        <w:rPr>
          <w:i/>
          <w:spacing w:val="-2"/>
          <w:sz w:val="20"/>
        </w:rPr>
        <w:t xml:space="preserve"> </w:t>
      </w:r>
      <w:r>
        <w:rPr>
          <w:i/>
          <w:sz w:val="20"/>
        </w:rPr>
        <w:t>What</w:t>
      </w:r>
      <w:r>
        <w:rPr>
          <w:i/>
          <w:spacing w:val="-2"/>
          <w:sz w:val="20"/>
        </w:rPr>
        <w:t xml:space="preserve"> </w:t>
      </w:r>
      <w:r>
        <w:rPr>
          <w:i/>
          <w:sz w:val="20"/>
        </w:rPr>
        <w:t>the</w:t>
      </w:r>
      <w:r>
        <w:rPr>
          <w:i/>
          <w:spacing w:val="-2"/>
          <w:sz w:val="20"/>
        </w:rPr>
        <w:t xml:space="preserve"> </w:t>
      </w:r>
      <w:r>
        <w:rPr>
          <w:i/>
          <w:sz w:val="20"/>
        </w:rPr>
        <w:t>Research</w:t>
      </w:r>
      <w:r>
        <w:rPr>
          <w:i/>
          <w:spacing w:val="-2"/>
          <w:sz w:val="20"/>
        </w:rPr>
        <w:t xml:space="preserve"> </w:t>
      </w:r>
      <w:r>
        <w:rPr>
          <w:i/>
          <w:sz w:val="20"/>
        </w:rPr>
        <w:t>Tells</w:t>
      </w:r>
      <w:r>
        <w:rPr>
          <w:i/>
          <w:spacing w:val="-2"/>
          <w:sz w:val="20"/>
        </w:rPr>
        <w:t xml:space="preserve"> </w:t>
      </w:r>
      <w:r>
        <w:rPr>
          <w:i/>
          <w:sz w:val="20"/>
        </w:rPr>
        <w:t>Us</w:t>
      </w:r>
      <w:r>
        <w:rPr>
          <w:i/>
          <w:spacing w:val="-2"/>
          <w:sz w:val="20"/>
        </w:rPr>
        <w:t xml:space="preserve"> </w:t>
      </w:r>
      <w:r>
        <w:rPr>
          <w:sz w:val="20"/>
        </w:rPr>
        <w:t>(New</w:t>
      </w:r>
      <w:r>
        <w:rPr>
          <w:spacing w:val="-3"/>
          <w:sz w:val="20"/>
        </w:rPr>
        <w:t xml:space="preserve"> </w:t>
      </w:r>
      <w:r>
        <w:rPr>
          <w:sz w:val="20"/>
        </w:rPr>
        <w:t>York:</w:t>
      </w:r>
      <w:r>
        <w:rPr>
          <w:spacing w:val="-2"/>
          <w:sz w:val="20"/>
        </w:rPr>
        <w:t xml:space="preserve"> </w:t>
      </w:r>
      <w:r>
        <w:rPr>
          <w:sz w:val="20"/>
        </w:rPr>
        <w:t>ACLU,</w:t>
      </w:r>
      <w:r>
        <w:rPr>
          <w:spacing w:val="-2"/>
          <w:sz w:val="20"/>
        </w:rPr>
        <w:t xml:space="preserve"> </w:t>
      </w:r>
      <w:r>
        <w:rPr>
          <w:sz w:val="20"/>
        </w:rPr>
        <w:t xml:space="preserve">2020), </w:t>
      </w:r>
      <w:bookmarkStart w:id="533" w:name="_bookmark399"/>
      <w:bookmarkEnd w:id="533"/>
      <w:r>
        <w:rPr>
          <w:spacing w:val="-4"/>
          <w:sz w:val="20"/>
        </w:rPr>
        <w:t>https://</w:t>
      </w:r>
      <w:hyperlink r:id="rId307">
        <w:r>
          <w:rPr>
            <w:spacing w:val="-4"/>
            <w:sz w:val="20"/>
          </w:rPr>
          <w:t>www.aclu.org/sites/default/files/field_document/aclu_sex_work_decrim_research_brief_new.pdf</w:t>
        </w:r>
      </w:hyperlink>
    </w:p>
    <w:p w:rsidR="00C76E6D" w:rsidRDefault="00913831">
      <w:pPr>
        <w:ind w:left="481" w:right="530" w:hanging="3"/>
        <w:rPr>
          <w:sz w:val="20"/>
        </w:rPr>
      </w:pPr>
      <w:r>
        <w:rPr>
          <w:sz w:val="20"/>
          <w:vertAlign w:val="superscript"/>
        </w:rPr>
        <w:t>50</w:t>
      </w:r>
      <w:r>
        <w:rPr>
          <w:spacing w:val="-4"/>
          <w:sz w:val="20"/>
        </w:rPr>
        <w:t xml:space="preserve"> </w:t>
      </w:r>
      <w:r>
        <w:rPr>
          <w:sz w:val="20"/>
        </w:rPr>
        <w:t>GLBTQ</w:t>
      </w:r>
      <w:r>
        <w:rPr>
          <w:spacing w:val="-6"/>
          <w:sz w:val="20"/>
        </w:rPr>
        <w:t xml:space="preserve"> </w:t>
      </w:r>
      <w:r>
        <w:rPr>
          <w:sz w:val="20"/>
        </w:rPr>
        <w:t>Legal</w:t>
      </w:r>
      <w:r>
        <w:rPr>
          <w:spacing w:val="-6"/>
          <w:sz w:val="20"/>
        </w:rPr>
        <w:t xml:space="preserve"> </w:t>
      </w:r>
      <w:r>
        <w:rPr>
          <w:sz w:val="20"/>
        </w:rPr>
        <w:t>Advocates</w:t>
      </w:r>
      <w:r>
        <w:rPr>
          <w:spacing w:val="-7"/>
          <w:sz w:val="20"/>
        </w:rPr>
        <w:t xml:space="preserve"> </w:t>
      </w:r>
      <w:r>
        <w:rPr>
          <w:sz w:val="20"/>
        </w:rPr>
        <w:t>&amp;</w:t>
      </w:r>
      <w:r>
        <w:rPr>
          <w:spacing w:val="-5"/>
          <w:sz w:val="20"/>
        </w:rPr>
        <w:t xml:space="preserve"> </w:t>
      </w:r>
      <w:r>
        <w:rPr>
          <w:sz w:val="20"/>
        </w:rPr>
        <w:t>Defenders.</w:t>
      </w:r>
      <w:r>
        <w:rPr>
          <w:spacing w:val="-7"/>
          <w:sz w:val="20"/>
        </w:rPr>
        <w:t xml:space="preserve"> </w:t>
      </w:r>
      <w:r>
        <w:rPr>
          <w:sz w:val="20"/>
        </w:rPr>
        <w:t>(2021).</w:t>
      </w:r>
      <w:r>
        <w:rPr>
          <w:spacing w:val="-4"/>
          <w:sz w:val="20"/>
        </w:rPr>
        <w:t xml:space="preserve"> </w:t>
      </w:r>
      <w:r>
        <w:rPr>
          <w:sz w:val="20"/>
        </w:rPr>
        <w:t>Te</w:t>
      </w:r>
      <w:r>
        <w:rPr>
          <w:sz w:val="20"/>
        </w:rPr>
        <w:t>stimony</w:t>
      </w:r>
      <w:r>
        <w:rPr>
          <w:spacing w:val="-5"/>
          <w:sz w:val="20"/>
        </w:rPr>
        <w:t xml:space="preserve"> </w:t>
      </w:r>
      <w:r>
        <w:rPr>
          <w:sz w:val="20"/>
        </w:rPr>
        <w:t>of</w:t>
      </w:r>
      <w:r>
        <w:rPr>
          <w:spacing w:val="-6"/>
          <w:sz w:val="20"/>
        </w:rPr>
        <w:t xml:space="preserve"> </w:t>
      </w:r>
      <w:r>
        <w:rPr>
          <w:sz w:val="20"/>
        </w:rPr>
        <w:t>GLBTQ</w:t>
      </w:r>
      <w:r>
        <w:rPr>
          <w:spacing w:val="-6"/>
          <w:sz w:val="20"/>
        </w:rPr>
        <w:t xml:space="preserve"> </w:t>
      </w:r>
      <w:r>
        <w:rPr>
          <w:sz w:val="20"/>
        </w:rPr>
        <w:t>Legal</w:t>
      </w:r>
      <w:r>
        <w:rPr>
          <w:spacing w:val="-6"/>
          <w:sz w:val="20"/>
        </w:rPr>
        <w:t xml:space="preserve"> </w:t>
      </w:r>
      <w:r>
        <w:rPr>
          <w:sz w:val="20"/>
        </w:rPr>
        <w:t>Advocates</w:t>
      </w:r>
      <w:r>
        <w:rPr>
          <w:spacing w:val="-7"/>
          <w:sz w:val="20"/>
        </w:rPr>
        <w:t xml:space="preserve"> </w:t>
      </w:r>
      <w:r>
        <w:rPr>
          <w:sz w:val="20"/>
        </w:rPr>
        <w:t>&amp;</w:t>
      </w:r>
      <w:r>
        <w:rPr>
          <w:spacing w:val="-5"/>
          <w:sz w:val="20"/>
        </w:rPr>
        <w:t xml:space="preserve"> </w:t>
      </w:r>
      <w:r>
        <w:rPr>
          <w:sz w:val="20"/>
        </w:rPr>
        <w:t>Defenders</w:t>
      </w:r>
      <w:r>
        <w:rPr>
          <w:spacing w:val="-5"/>
          <w:sz w:val="20"/>
        </w:rPr>
        <w:t xml:space="preserve"> </w:t>
      </w:r>
      <w:r>
        <w:rPr>
          <w:sz w:val="20"/>
        </w:rPr>
        <w:t>in</w:t>
      </w:r>
      <w:r>
        <w:rPr>
          <w:spacing w:val="-5"/>
          <w:sz w:val="20"/>
        </w:rPr>
        <w:t xml:space="preserve"> </w:t>
      </w:r>
      <w:r>
        <w:rPr>
          <w:sz w:val="20"/>
        </w:rPr>
        <w:t>Support</w:t>
      </w:r>
      <w:r>
        <w:rPr>
          <w:spacing w:val="-4"/>
          <w:sz w:val="20"/>
        </w:rPr>
        <w:t xml:space="preserve"> </w:t>
      </w:r>
      <w:r>
        <w:rPr>
          <w:sz w:val="20"/>
        </w:rPr>
        <w:t>of</w:t>
      </w:r>
      <w:r>
        <w:rPr>
          <w:spacing w:val="-6"/>
          <w:sz w:val="20"/>
        </w:rPr>
        <w:t xml:space="preserve"> </w:t>
      </w:r>
      <w:r>
        <w:rPr>
          <w:sz w:val="20"/>
        </w:rPr>
        <w:t>H 1800 and S 992, an Act to Stop Profiling Transgender People and Low-Income Women.</w:t>
      </w:r>
    </w:p>
    <w:p w:rsidR="00C76E6D" w:rsidRDefault="00913831">
      <w:pPr>
        <w:ind w:left="481" w:right="530" w:hanging="3"/>
        <w:rPr>
          <w:sz w:val="20"/>
        </w:rPr>
      </w:pPr>
      <w:bookmarkStart w:id="534" w:name="_bookmark400"/>
      <w:bookmarkEnd w:id="534"/>
      <w:r>
        <w:rPr>
          <w:sz w:val="20"/>
          <w:vertAlign w:val="superscript"/>
        </w:rPr>
        <w:t>51</w:t>
      </w:r>
      <w:r>
        <w:rPr>
          <w:spacing w:val="-5"/>
          <w:sz w:val="20"/>
        </w:rPr>
        <w:t xml:space="preserve"> </w:t>
      </w:r>
      <w:r>
        <w:rPr>
          <w:sz w:val="20"/>
        </w:rPr>
        <w:t>“Decriminalize</w:t>
      </w:r>
      <w:r>
        <w:rPr>
          <w:spacing w:val="-6"/>
          <w:sz w:val="20"/>
        </w:rPr>
        <w:t xml:space="preserve"> </w:t>
      </w:r>
      <w:r>
        <w:rPr>
          <w:sz w:val="20"/>
        </w:rPr>
        <w:t>Consensual</w:t>
      </w:r>
      <w:r>
        <w:rPr>
          <w:spacing w:val="-6"/>
          <w:sz w:val="20"/>
        </w:rPr>
        <w:t xml:space="preserve"> </w:t>
      </w:r>
      <w:r>
        <w:rPr>
          <w:sz w:val="20"/>
        </w:rPr>
        <w:t>Sex</w:t>
      </w:r>
      <w:r>
        <w:rPr>
          <w:spacing w:val="-6"/>
          <w:sz w:val="20"/>
        </w:rPr>
        <w:t xml:space="preserve"> </w:t>
      </w:r>
      <w:r>
        <w:rPr>
          <w:sz w:val="20"/>
        </w:rPr>
        <w:t>Work</w:t>
      </w:r>
      <w:r>
        <w:rPr>
          <w:spacing w:val="-5"/>
          <w:sz w:val="20"/>
        </w:rPr>
        <w:t xml:space="preserve"> </w:t>
      </w:r>
      <w:r>
        <w:rPr>
          <w:sz w:val="20"/>
        </w:rPr>
        <w:t>in</w:t>
      </w:r>
      <w:r>
        <w:rPr>
          <w:spacing w:val="-6"/>
          <w:sz w:val="20"/>
        </w:rPr>
        <w:t xml:space="preserve"> </w:t>
      </w:r>
      <w:r>
        <w:rPr>
          <w:sz w:val="20"/>
        </w:rPr>
        <w:t>Massachusetts,”</w:t>
      </w:r>
      <w:r>
        <w:rPr>
          <w:spacing w:val="-6"/>
          <w:sz w:val="20"/>
        </w:rPr>
        <w:t xml:space="preserve"> </w:t>
      </w:r>
      <w:r>
        <w:rPr>
          <w:sz w:val="20"/>
        </w:rPr>
        <w:t>GLBTQ</w:t>
      </w:r>
      <w:r>
        <w:rPr>
          <w:spacing w:val="-6"/>
          <w:sz w:val="20"/>
        </w:rPr>
        <w:t xml:space="preserve"> </w:t>
      </w:r>
      <w:r>
        <w:rPr>
          <w:sz w:val="20"/>
        </w:rPr>
        <w:t>Legal</w:t>
      </w:r>
      <w:r>
        <w:rPr>
          <w:spacing w:val="-6"/>
          <w:sz w:val="20"/>
        </w:rPr>
        <w:t xml:space="preserve"> </w:t>
      </w:r>
      <w:r>
        <w:rPr>
          <w:sz w:val="20"/>
        </w:rPr>
        <w:t>Advocates</w:t>
      </w:r>
      <w:r>
        <w:rPr>
          <w:spacing w:val="-7"/>
          <w:sz w:val="20"/>
        </w:rPr>
        <w:t xml:space="preserve"> </w:t>
      </w:r>
      <w:r>
        <w:rPr>
          <w:sz w:val="20"/>
        </w:rPr>
        <w:t>&amp;</w:t>
      </w:r>
      <w:r>
        <w:rPr>
          <w:spacing w:val="-5"/>
          <w:sz w:val="20"/>
        </w:rPr>
        <w:t xml:space="preserve"> </w:t>
      </w:r>
      <w:r>
        <w:rPr>
          <w:sz w:val="20"/>
        </w:rPr>
        <w:t>Defenders,</w:t>
      </w:r>
      <w:r>
        <w:rPr>
          <w:spacing w:val="-5"/>
          <w:sz w:val="20"/>
        </w:rPr>
        <w:t xml:space="preserve"> </w:t>
      </w:r>
      <w:r>
        <w:rPr>
          <w:sz w:val="20"/>
        </w:rPr>
        <w:t>accessed</w:t>
      </w:r>
      <w:r>
        <w:rPr>
          <w:spacing w:val="-5"/>
          <w:sz w:val="20"/>
        </w:rPr>
        <w:t xml:space="preserve"> </w:t>
      </w:r>
      <w:r>
        <w:rPr>
          <w:sz w:val="20"/>
        </w:rPr>
        <w:t>May</w:t>
      </w:r>
      <w:r>
        <w:rPr>
          <w:spacing w:val="-6"/>
          <w:sz w:val="20"/>
        </w:rPr>
        <w:t xml:space="preserve"> </w:t>
      </w:r>
      <w:r>
        <w:rPr>
          <w:sz w:val="20"/>
        </w:rPr>
        <w:t>15, 2022</w:t>
      </w:r>
      <w:r>
        <w:rPr>
          <w:sz w:val="20"/>
        </w:rPr>
        <w:t>, https://</w:t>
      </w:r>
      <w:hyperlink r:id="rId308">
        <w:r>
          <w:rPr>
            <w:sz w:val="20"/>
          </w:rPr>
          <w:t>www.glad.org/cases/decriminalize-consensual-sex-work-in-massachusetts.</w:t>
        </w:r>
      </w:hyperlink>
    </w:p>
    <w:p w:rsidR="00C76E6D" w:rsidRDefault="00913831">
      <w:pPr>
        <w:ind w:left="480" w:right="530" w:hanging="3"/>
        <w:rPr>
          <w:sz w:val="20"/>
        </w:rPr>
      </w:pPr>
      <w:bookmarkStart w:id="535" w:name="_bookmark401"/>
      <w:bookmarkEnd w:id="535"/>
      <w:r>
        <w:rPr>
          <w:sz w:val="20"/>
          <w:vertAlign w:val="superscript"/>
        </w:rPr>
        <w:t>52</w:t>
      </w:r>
      <w:r>
        <w:rPr>
          <w:spacing w:val="-4"/>
          <w:sz w:val="20"/>
        </w:rPr>
        <w:t xml:space="preserve"> </w:t>
      </w:r>
      <w:r>
        <w:rPr>
          <w:sz w:val="20"/>
        </w:rPr>
        <w:t>GLBTQ</w:t>
      </w:r>
      <w:r>
        <w:rPr>
          <w:spacing w:val="-6"/>
          <w:sz w:val="20"/>
        </w:rPr>
        <w:t xml:space="preserve"> </w:t>
      </w:r>
      <w:r>
        <w:rPr>
          <w:sz w:val="20"/>
        </w:rPr>
        <w:t>Legal</w:t>
      </w:r>
      <w:r>
        <w:rPr>
          <w:spacing w:val="-6"/>
          <w:sz w:val="20"/>
        </w:rPr>
        <w:t xml:space="preserve"> </w:t>
      </w:r>
      <w:r>
        <w:rPr>
          <w:sz w:val="20"/>
        </w:rPr>
        <w:t>Advocates</w:t>
      </w:r>
      <w:r>
        <w:rPr>
          <w:spacing w:val="-7"/>
          <w:sz w:val="20"/>
        </w:rPr>
        <w:t xml:space="preserve"> </w:t>
      </w:r>
      <w:r>
        <w:rPr>
          <w:sz w:val="20"/>
        </w:rPr>
        <w:t>&amp;</w:t>
      </w:r>
      <w:r>
        <w:rPr>
          <w:spacing w:val="-5"/>
          <w:sz w:val="20"/>
        </w:rPr>
        <w:t xml:space="preserve"> </w:t>
      </w:r>
      <w:r>
        <w:rPr>
          <w:sz w:val="20"/>
        </w:rPr>
        <w:t>Defenders.</w:t>
      </w:r>
      <w:r>
        <w:rPr>
          <w:spacing w:val="-7"/>
          <w:sz w:val="20"/>
        </w:rPr>
        <w:t xml:space="preserve"> </w:t>
      </w:r>
      <w:r>
        <w:rPr>
          <w:sz w:val="20"/>
        </w:rPr>
        <w:t>(2021).</w:t>
      </w:r>
      <w:r>
        <w:rPr>
          <w:spacing w:val="-4"/>
          <w:sz w:val="20"/>
        </w:rPr>
        <w:t xml:space="preserve"> </w:t>
      </w:r>
      <w:r>
        <w:rPr>
          <w:sz w:val="20"/>
        </w:rPr>
        <w:t>Testimony</w:t>
      </w:r>
      <w:r>
        <w:rPr>
          <w:spacing w:val="-5"/>
          <w:sz w:val="20"/>
        </w:rPr>
        <w:t xml:space="preserve"> </w:t>
      </w:r>
      <w:r>
        <w:rPr>
          <w:sz w:val="20"/>
        </w:rPr>
        <w:t>of</w:t>
      </w:r>
      <w:r>
        <w:rPr>
          <w:spacing w:val="-6"/>
          <w:sz w:val="20"/>
        </w:rPr>
        <w:t xml:space="preserve"> </w:t>
      </w:r>
      <w:r>
        <w:rPr>
          <w:sz w:val="20"/>
        </w:rPr>
        <w:t>GLBTQ</w:t>
      </w:r>
      <w:r>
        <w:rPr>
          <w:spacing w:val="-6"/>
          <w:sz w:val="20"/>
        </w:rPr>
        <w:t xml:space="preserve"> </w:t>
      </w:r>
      <w:r>
        <w:rPr>
          <w:sz w:val="20"/>
        </w:rPr>
        <w:t>Legal</w:t>
      </w:r>
      <w:r>
        <w:rPr>
          <w:spacing w:val="-6"/>
          <w:sz w:val="20"/>
        </w:rPr>
        <w:t xml:space="preserve"> </w:t>
      </w:r>
      <w:r>
        <w:rPr>
          <w:sz w:val="20"/>
        </w:rPr>
        <w:t>Advocates</w:t>
      </w:r>
      <w:r>
        <w:rPr>
          <w:spacing w:val="-7"/>
          <w:sz w:val="20"/>
        </w:rPr>
        <w:t xml:space="preserve"> </w:t>
      </w:r>
      <w:r>
        <w:rPr>
          <w:sz w:val="20"/>
        </w:rPr>
        <w:t>&amp;</w:t>
      </w:r>
      <w:r>
        <w:rPr>
          <w:spacing w:val="-5"/>
          <w:sz w:val="20"/>
        </w:rPr>
        <w:t xml:space="preserve"> </w:t>
      </w:r>
      <w:r>
        <w:rPr>
          <w:sz w:val="20"/>
        </w:rPr>
        <w:t>Defenders</w:t>
      </w:r>
      <w:r>
        <w:rPr>
          <w:spacing w:val="-5"/>
          <w:sz w:val="20"/>
        </w:rPr>
        <w:t xml:space="preserve"> </w:t>
      </w:r>
      <w:r>
        <w:rPr>
          <w:sz w:val="20"/>
        </w:rPr>
        <w:t>in</w:t>
      </w:r>
      <w:r>
        <w:rPr>
          <w:spacing w:val="-5"/>
          <w:sz w:val="20"/>
        </w:rPr>
        <w:t xml:space="preserve"> </w:t>
      </w:r>
      <w:r>
        <w:rPr>
          <w:sz w:val="20"/>
        </w:rPr>
        <w:t>Support</w:t>
      </w:r>
      <w:r>
        <w:rPr>
          <w:spacing w:val="-4"/>
          <w:sz w:val="20"/>
        </w:rPr>
        <w:t xml:space="preserve"> </w:t>
      </w:r>
      <w:r>
        <w:rPr>
          <w:sz w:val="20"/>
        </w:rPr>
        <w:t>of</w:t>
      </w:r>
      <w:r>
        <w:rPr>
          <w:spacing w:val="-6"/>
          <w:sz w:val="20"/>
        </w:rPr>
        <w:t xml:space="preserve"> </w:t>
      </w:r>
      <w:r>
        <w:rPr>
          <w:sz w:val="20"/>
        </w:rPr>
        <w:t xml:space="preserve">H </w:t>
      </w:r>
      <w:bookmarkStart w:id="536" w:name="_bookmark402"/>
      <w:bookmarkEnd w:id="536"/>
      <w:r>
        <w:rPr>
          <w:sz w:val="20"/>
        </w:rPr>
        <w:t>1800 and S 992, an Act to Stop Profiling Transgender People and Low-Income Women.</w:t>
      </w:r>
    </w:p>
    <w:p w:rsidR="00C76E6D" w:rsidRDefault="00913831">
      <w:pPr>
        <w:ind w:left="481" w:right="546" w:hanging="3"/>
        <w:rPr>
          <w:sz w:val="20"/>
        </w:rPr>
      </w:pPr>
      <w:r>
        <w:rPr>
          <w:sz w:val="20"/>
          <w:vertAlign w:val="superscript"/>
        </w:rPr>
        <w:t>53</w:t>
      </w:r>
      <w:r>
        <w:rPr>
          <w:spacing w:val="-4"/>
          <w:sz w:val="20"/>
        </w:rPr>
        <w:t xml:space="preserve"> </w:t>
      </w:r>
      <w:r>
        <w:rPr>
          <w:sz w:val="20"/>
        </w:rPr>
        <w:t>Keith</w:t>
      </w:r>
      <w:r>
        <w:rPr>
          <w:spacing w:val="-5"/>
          <w:sz w:val="20"/>
        </w:rPr>
        <w:t xml:space="preserve"> </w:t>
      </w:r>
      <w:r>
        <w:rPr>
          <w:sz w:val="20"/>
        </w:rPr>
        <w:t>J.</w:t>
      </w:r>
      <w:r>
        <w:rPr>
          <w:spacing w:val="-5"/>
          <w:sz w:val="20"/>
        </w:rPr>
        <w:t xml:space="preserve"> </w:t>
      </w:r>
      <w:r>
        <w:rPr>
          <w:sz w:val="20"/>
        </w:rPr>
        <w:t>Conron</w:t>
      </w:r>
      <w:r>
        <w:rPr>
          <w:spacing w:val="-4"/>
          <w:sz w:val="20"/>
        </w:rPr>
        <w:t xml:space="preserve"> </w:t>
      </w:r>
      <w:r>
        <w:rPr>
          <w:sz w:val="20"/>
        </w:rPr>
        <w:t>and</w:t>
      </w:r>
      <w:r>
        <w:rPr>
          <w:spacing w:val="-4"/>
          <w:sz w:val="20"/>
        </w:rPr>
        <w:t xml:space="preserve"> </w:t>
      </w:r>
      <w:r>
        <w:rPr>
          <w:sz w:val="20"/>
        </w:rPr>
        <w:t>Bianca</w:t>
      </w:r>
      <w:r>
        <w:rPr>
          <w:spacing w:val="-5"/>
          <w:sz w:val="20"/>
        </w:rPr>
        <w:t xml:space="preserve"> </w:t>
      </w:r>
      <w:r>
        <w:rPr>
          <w:sz w:val="20"/>
        </w:rPr>
        <w:t>D.M.</w:t>
      </w:r>
      <w:r>
        <w:rPr>
          <w:spacing w:val="-6"/>
          <w:sz w:val="20"/>
        </w:rPr>
        <w:t xml:space="preserve"> </w:t>
      </w:r>
      <w:r>
        <w:rPr>
          <w:sz w:val="20"/>
        </w:rPr>
        <w:t>Wilson,</w:t>
      </w:r>
      <w:r>
        <w:rPr>
          <w:spacing w:val="-4"/>
          <w:sz w:val="20"/>
        </w:rPr>
        <w:t xml:space="preserve"> </w:t>
      </w:r>
      <w:r>
        <w:rPr>
          <w:i/>
          <w:sz w:val="20"/>
        </w:rPr>
        <w:t>LGBTQ</w:t>
      </w:r>
      <w:r>
        <w:rPr>
          <w:i/>
          <w:spacing w:val="-4"/>
          <w:sz w:val="20"/>
        </w:rPr>
        <w:t xml:space="preserve"> </w:t>
      </w:r>
      <w:r>
        <w:rPr>
          <w:i/>
          <w:sz w:val="20"/>
        </w:rPr>
        <w:t>Youth</w:t>
      </w:r>
      <w:r>
        <w:rPr>
          <w:i/>
          <w:spacing w:val="-7"/>
          <w:sz w:val="20"/>
        </w:rPr>
        <w:t xml:space="preserve"> </w:t>
      </w:r>
      <w:r>
        <w:rPr>
          <w:i/>
          <w:sz w:val="20"/>
        </w:rPr>
        <w:t>of</w:t>
      </w:r>
      <w:r>
        <w:rPr>
          <w:i/>
          <w:spacing w:val="-6"/>
          <w:sz w:val="20"/>
        </w:rPr>
        <w:t xml:space="preserve"> </w:t>
      </w:r>
      <w:r>
        <w:rPr>
          <w:i/>
          <w:sz w:val="20"/>
        </w:rPr>
        <w:t>Color</w:t>
      </w:r>
      <w:r>
        <w:rPr>
          <w:i/>
          <w:spacing w:val="-5"/>
          <w:sz w:val="20"/>
        </w:rPr>
        <w:t xml:space="preserve"> </w:t>
      </w:r>
      <w:r>
        <w:rPr>
          <w:i/>
          <w:sz w:val="20"/>
        </w:rPr>
        <w:t>Impacted</w:t>
      </w:r>
      <w:r>
        <w:rPr>
          <w:i/>
          <w:spacing w:val="-6"/>
          <w:sz w:val="20"/>
        </w:rPr>
        <w:t xml:space="preserve"> </w:t>
      </w:r>
      <w:r>
        <w:rPr>
          <w:i/>
          <w:sz w:val="20"/>
        </w:rPr>
        <w:t>by</w:t>
      </w:r>
      <w:r>
        <w:rPr>
          <w:i/>
          <w:spacing w:val="-4"/>
          <w:sz w:val="20"/>
        </w:rPr>
        <w:t xml:space="preserve"> </w:t>
      </w:r>
      <w:r>
        <w:rPr>
          <w:i/>
          <w:sz w:val="20"/>
        </w:rPr>
        <w:t>the</w:t>
      </w:r>
      <w:r>
        <w:rPr>
          <w:i/>
          <w:spacing w:val="-4"/>
          <w:sz w:val="20"/>
        </w:rPr>
        <w:t xml:space="preserve"> </w:t>
      </w:r>
      <w:r>
        <w:rPr>
          <w:i/>
          <w:sz w:val="20"/>
        </w:rPr>
        <w:t>Child</w:t>
      </w:r>
      <w:r>
        <w:rPr>
          <w:i/>
          <w:spacing w:val="-5"/>
          <w:sz w:val="20"/>
        </w:rPr>
        <w:t xml:space="preserve"> </w:t>
      </w:r>
      <w:r>
        <w:rPr>
          <w:i/>
          <w:sz w:val="20"/>
        </w:rPr>
        <w:t>Welfare</w:t>
      </w:r>
      <w:r>
        <w:rPr>
          <w:i/>
          <w:spacing w:val="-5"/>
          <w:sz w:val="20"/>
        </w:rPr>
        <w:t xml:space="preserve"> </w:t>
      </w:r>
      <w:r>
        <w:rPr>
          <w:i/>
          <w:sz w:val="20"/>
        </w:rPr>
        <w:t>and</w:t>
      </w:r>
      <w:r>
        <w:rPr>
          <w:i/>
          <w:spacing w:val="-4"/>
          <w:sz w:val="20"/>
        </w:rPr>
        <w:t xml:space="preserve"> </w:t>
      </w:r>
      <w:r>
        <w:rPr>
          <w:i/>
          <w:sz w:val="20"/>
        </w:rPr>
        <w:t>Juvenile</w:t>
      </w:r>
      <w:r>
        <w:rPr>
          <w:i/>
          <w:spacing w:val="-4"/>
          <w:sz w:val="20"/>
        </w:rPr>
        <w:t xml:space="preserve"> </w:t>
      </w:r>
      <w:r>
        <w:rPr>
          <w:i/>
          <w:sz w:val="20"/>
        </w:rPr>
        <w:t xml:space="preserve">Justice Systems </w:t>
      </w:r>
      <w:r>
        <w:rPr>
          <w:sz w:val="20"/>
        </w:rPr>
        <w:t>(Los Angeles:</w:t>
      </w:r>
      <w:r>
        <w:rPr>
          <w:sz w:val="20"/>
        </w:rPr>
        <w:t xml:space="preserve"> Williams Institute at the UCLA School of Law, 2019), </w:t>
      </w:r>
      <w:r>
        <w:rPr>
          <w:spacing w:val="-2"/>
          <w:sz w:val="20"/>
        </w:rPr>
        <w:t>https://williamsinstitute.law.ucla.edu/wp-content/uploads/LGBTQ-YOC-Social-Services-Jul-2019.pdf.</w:t>
      </w:r>
    </w:p>
    <w:p w:rsidR="00C76E6D" w:rsidRDefault="00913831">
      <w:pPr>
        <w:ind w:left="479" w:right="701"/>
        <w:rPr>
          <w:sz w:val="20"/>
        </w:rPr>
      </w:pPr>
      <w:bookmarkStart w:id="537" w:name="_bookmark403"/>
      <w:bookmarkEnd w:id="537"/>
      <w:r>
        <w:rPr>
          <w:sz w:val="20"/>
          <w:vertAlign w:val="superscript"/>
        </w:rPr>
        <w:t>54</w:t>
      </w:r>
      <w:r>
        <w:rPr>
          <w:sz w:val="20"/>
        </w:rPr>
        <w:t xml:space="preserve"> Brad Brockmann, et al, </w:t>
      </w:r>
      <w:r>
        <w:rPr>
          <w:i/>
          <w:sz w:val="20"/>
        </w:rPr>
        <w:t xml:space="preserve">Emerging Best Practices for the Management and Treatment of Incarcerated Lesbian, Gay, Bisexual, Transgender, and Intersex (LGBTI) Individuals </w:t>
      </w:r>
      <w:r>
        <w:rPr>
          <w:sz w:val="20"/>
        </w:rPr>
        <w:t xml:space="preserve">(Boston: The Fenway Institute, 2019), </w:t>
      </w:r>
      <w:r>
        <w:rPr>
          <w:spacing w:val="-4"/>
          <w:sz w:val="20"/>
        </w:rPr>
        <w:t>tps://fenwayhealth.org/wp-content/uploads/TFIP-33_Best-Practices-for-LGBTI-</w:t>
      </w:r>
      <w:r>
        <w:rPr>
          <w:spacing w:val="-4"/>
          <w:sz w:val="20"/>
        </w:rPr>
        <w:t>Incarcerated-People-Brief_web.pdf.</w:t>
      </w:r>
      <w:r>
        <w:rPr>
          <w:spacing w:val="80"/>
          <w:w w:val="150"/>
          <w:sz w:val="20"/>
        </w:rPr>
        <w:t xml:space="preserve"> </w:t>
      </w:r>
      <w:bookmarkStart w:id="538" w:name="_bookmark404"/>
      <w:bookmarkEnd w:id="538"/>
      <w:r>
        <w:rPr>
          <w:sz w:val="20"/>
          <w:vertAlign w:val="superscript"/>
        </w:rPr>
        <w:t>55</w:t>
      </w:r>
      <w:r>
        <w:rPr>
          <w:sz w:val="20"/>
        </w:rPr>
        <w:t xml:space="preserve"> U.S. Department of Justice, Office of Justice Programs, Office of Juvenile Justice and Delinquency Prevention. (2015). Sight and Sound Separation, 2014. Retrieved from </w:t>
      </w:r>
      <w:bookmarkStart w:id="539" w:name="_bookmark405"/>
      <w:bookmarkEnd w:id="539"/>
      <w:r>
        <w:fldChar w:fldCharType="begin"/>
      </w:r>
      <w:r>
        <w:instrText xml:space="preserve"> HYPERLINK "http://www.ojjdp.gov/ojstatbb/struct</w:instrText>
      </w:r>
      <w:r>
        <w:instrText xml:space="preserve">ure_process/qa04306.asp?qaDate=2014" \h </w:instrText>
      </w:r>
      <w:r>
        <w:fldChar w:fldCharType="separate"/>
      </w:r>
      <w:r>
        <w:rPr>
          <w:spacing w:val="-2"/>
          <w:sz w:val="20"/>
        </w:rPr>
        <w:t>http://www.ojjdp.gov/ojstatbb/structure_process/qa04306.asp?qaDate=2014</w:t>
      </w:r>
      <w:r>
        <w:rPr>
          <w:spacing w:val="-2"/>
          <w:sz w:val="20"/>
        </w:rPr>
        <w:fldChar w:fldCharType="end"/>
      </w:r>
    </w:p>
    <w:p w:rsidR="00C76E6D" w:rsidRDefault="00913831">
      <w:pPr>
        <w:ind w:left="480" w:right="530" w:hanging="2"/>
        <w:rPr>
          <w:sz w:val="20"/>
        </w:rPr>
      </w:pPr>
      <w:r>
        <w:rPr>
          <w:sz w:val="20"/>
          <w:vertAlign w:val="superscript"/>
        </w:rPr>
        <w:t>56</w:t>
      </w:r>
      <w:r>
        <w:rPr>
          <w:spacing w:val="-5"/>
          <w:sz w:val="20"/>
        </w:rPr>
        <w:t xml:space="preserve"> </w:t>
      </w:r>
      <w:r>
        <w:rPr>
          <w:sz w:val="20"/>
        </w:rPr>
        <w:t>Department</w:t>
      </w:r>
      <w:r>
        <w:rPr>
          <w:spacing w:val="-7"/>
          <w:sz w:val="20"/>
        </w:rPr>
        <w:t xml:space="preserve"> </w:t>
      </w:r>
      <w:r>
        <w:rPr>
          <w:sz w:val="20"/>
        </w:rPr>
        <w:t>of</w:t>
      </w:r>
      <w:r>
        <w:rPr>
          <w:spacing w:val="-6"/>
          <w:sz w:val="20"/>
        </w:rPr>
        <w:t xml:space="preserve"> </w:t>
      </w:r>
      <w:r>
        <w:rPr>
          <w:sz w:val="20"/>
        </w:rPr>
        <w:t>Justice,</w:t>
      </w:r>
      <w:r>
        <w:rPr>
          <w:spacing w:val="-6"/>
          <w:sz w:val="20"/>
        </w:rPr>
        <w:t xml:space="preserve"> </w:t>
      </w:r>
      <w:r>
        <w:rPr>
          <w:sz w:val="20"/>
        </w:rPr>
        <w:t>Office</w:t>
      </w:r>
      <w:r>
        <w:rPr>
          <w:spacing w:val="-6"/>
          <w:sz w:val="20"/>
        </w:rPr>
        <w:t xml:space="preserve"> </w:t>
      </w:r>
      <w:r>
        <w:rPr>
          <w:sz w:val="20"/>
        </w:rPr>
        <w:t>of</w:t>
      </w:r>
      <w:r>
        <w:rPr>
          <w:spacing w:val="-6"/>
          <w:sz w:val="20"/>
        </w:rPr>
        <w:t xml:space="preserve"> </w:t>
      </w:r>
      <w:r>
        <w:rPr>
          <w:sz w:val="20"/>
        </w:rPr>
        <w:t>Juvenile</w:t>
      </w:r>
      <w:r>
        <w:rPr>
          <w:spacing w:val="-6"/>
          <w:sz w:val="20"/>
        </w:rPr>
        <w:t xml:space="preserve"> </w:t>
      </w:r>
      <w:r>
        <w:rPr>
          <w:sz w:val="20"/>
        </w:rPr>
        <w:t>Justice</w:t>
      </w:r>
      <w:r>
        <w:rPr>
          <w:spacing w:val="-5"/>
          <w:sz w:val="20"/>
        </w:rPr>
        <w:t xml:space="preserve"> </w:t>
      </w:r>
      <w:r>
        <w:rPr>
          <w:sz w:val="20"/>
        </w:rPr>
        <w:t>and</w:t>
      </w:r>
      <w:r>
        <w:rPr>
          <w:spacing w:val="-7"/>
          <w:sz w:val="20"/>
        </w:rPr>
        <w:t xml:space="preserve"> </w:t>
      </w:r>
      <w:r>
        <w:rPr>
          <w:sz w:val="20"/>
        </w:rPr>
        <w:t>Delinquency</w:t>
      </w:r>
      <w:r>
        <w:rPr>
          <w:spacing w:val="-6"/>
          <w:sz w:val="20"/>
        </w:rPr>
        <w:t xml:space="preserve"> </w:t>
      </w:r>
      <w:r>
        <w:rPr>
          <w:sz w:val="20"/>
        </w:rPr>
        <w:t>Prevention.</w:t>
      </w:r>
      <w:r>
        <w:rPr>
          <w:spacing w:val="-6"/>
          <w:sz w:val="20"/>
        </w:rPr>
        <w:t xml:space="preserve"> </w:t>
      </w:r>
      <w:r>
        <w:rPr>
          <w:sz w:val="20"/>
        </w:rPr>
        <w:t>(2017).</w:t>
      </w:r>
      <w:r>
        <w:rPr>
          <w:spacing w:val="-6"/>
          <w:sz w:val="20"/>
        </w:rPr>
        <w:t xml:space="preserve"> </w:t>
      </w:r>
      <w:r>
        <w:rPr>
          <w:sz w:val="20"/>
        </w:rPr>
        <w:t>Law</w:t>
      </w:r>
      <w:r>
        <w:rPr>
          <w:spacing w:val="-6"/>
          <w:sz w:val="20"/>
        </w:rPr>
        <w:t xml:space="preserve"> </w:t>
      </w:r>
      <w:r>
        <w:rPr>
          <w:sz w:val="20"/>
        </w:rPr>
        <w:t>Enforcement</w:t>
      </w:r>
      <w:r>
        <w:rPr>
          <w:spacing w:val="-6"/>
          <w:sz w:val="20"/>
        </w:rPr>
        <w:t xml:space="preserve"> </w:t>
      </w:r>
      <w:r>
        <w:rPr>
          <w:sz w:val="20"/>
        </w:rPr>
        <w:t>and Juvenile Crime: Estimated Number o</w:t>
      </w:r>
      <w:r>
        <w:rPr>
          <w:sz w:val="20"/>
        </w:rPr>
        <w:t>f Juvenile Arrests, 2016.</w:t>
      </w:r>
    </w:p>
    <w:p w:rsidR="00C76E6D" w:rsidRDefault="00913831">
      <w:pPr>
        <w:ind w:left="480" w:right="2680" w:hanging="2"/>
        <w:rPr>
          <w:sz w:val="20"/>
        </w:rPr>
      </w:pPr>
      <w:bookmarkStart w:id="540" w:name="_bookmark406"/>
      <w:bookmarkEnd w:id="540"/>
      <w:r>
        <w:rPr>
          <w:sz w:val="20"/>
          <w:vertAlign w:val="superscript"/>
        </w:rPr>
        <w:t>57</w:t>
      </w:r>
      <w:r>
        <w:rPr>
          <w:sz w:val="20"/>
        </w:rPr>
        <w:t xml:space="preserve"> “Youth Justice,” Children’s Defense Fund, 2021, accessed May 15, 2022, </w:t>
      </w:r>
      <w:r>
        <w:rPr>
          <w:spacing w:val="-2"/>
          <w:sz w:val="20"/>
        </w:rPr>
        <w:t>https://</w:t>
      </w:r>
      <w:hyperlink r:id="rId309">
        <w:r>
          <w:rPr>
            <w:spacing w:val="-2"/>
            <w:sz w:val="20"/>
          </w:rPr>
          <w:t>www.childrensdefense.org/state-</w:t>
        </w:r>
        <w:r>
          <w:rPr>
            <w:spacing w:val="-12"/>
            <w:sz w:val="20"/>
          </w:rPr>
          <w:t xml:space="preserve"> </w:t>
        </w:r>
      </w:hyperlink>
      <w:r>
        <w:rPr>
          <w:spacing w:val="-2"/>
          <w:sz w:val="20"/>
        </w:rPr>
        <w:t>of-americas-children/soac-2021-youth-justice.</w:t>
      </w:r>
    </w:p>
    <w:p w:rsidR="00C76E6D" w:rsidRDefault="00913831">
      <w:pPr>
        <w:ind w:left="480" w:right="530" w:hanging="2"/>
        <w:rPr>
          <w:sz w:val="20"/>
        </w:rPr>
      </w:pPr>
      <w:bookmarkStart w:id="541" w:name="_bookmark407"/>
      <w:bookmarkEnd w:id="541"/>
      <w:r>
        <w:rPr>
          <w:sz w:val="20"/>
          <w:vertAlign w:val="superscript"/>
        </w:rPr>
        <w:t>58</w:t>
      </w:r>
      <w:r>
        <w:rPr>
          <w:spacing w:val="-6"/>
          <w:sz w:val="20"/>
        </w:rPr>
        <w:t xml:space="preserve"> </w:t>
      </w:r>
      <w:r>
        <w:rPr>
          <w:sz w:val="20"/>
        </w:rPr>
        <w:t>Colin</w:t>
      </w:r>
      <w:r>
        <w:rPr>
          <w:spacing w:val="-6"/>
          <w:sz w:val="20"/>
        </w:rPr>
        <w:t xml:space="preserve"> </w:t>
      </w:r>
      <w:r>
        <w:rPr>
          <w:sz w:val="20"/>
        </w:rPr>
        <w:t>A.</w:t>
      </w:r>
      <w:r>
        <w:rPr>
          <w:spacing w:val="-7"/>
          <w:sz w:val="20"/>
        </w:rPr>
        <w:t xml:space="preserve"> </w:t>
      </w:r>
      <w:r>
        <w:rPr>
          <w:sz w:val="20"/>
        </w:rPr>
        <w:t>Young,</w:t>
      </w:r>
      <w:r>
        <w:rPr>
          <w:spacing w:val="-6"/>
          <w:sz w:val="20"/>
        </w:rPr>
        <w:t xml:space="preserve"> </w:t>
      </w:r>
      <w:r>
        <w:rPr>
          <w:sz w:val="20"/>
        </w:rPr>
        <w:t>“Former</w:t>
      </w:r>
      <w:r>
        <w:rPr>
          <w:spacing w:val="-7"/>
          <w:sz w:val="20"/>
        </w:rPr>
        <w:t xml:space="preserve"> </w:t>
      </w:r>
      <w:r>
        <w:rPr>
          <w:sz w:val="20"/>
        </w:rPr>
        <w:t>Inmate:</w:t>
      </w:r>
      <w:r>
        <w:rPr>
          <w:spacing w:val="-7"/>
          <w:sz w:val="20"/>
        </w:rPr>
        <w:t xml:space="preserve"> </w:t>
      </w:r>
      <w:r>
        <w:rPr>
          <w:sz w:val="20"/>
        </w:rPr>
        <w:t>Solitary</w:t>
      </w:r>
      <w:r>
        <w:rPr>
          <w:spacing w:val="-7"/>
          <w:sz w:val="20"/>
        </w:rPr>
        <w:t xml:space="preserve"> </w:t>
      </w:r>
      <w:r>
        <w:rPr>
          <w:sz w:val="20"/>
        </w:rPr>
        <w:t>Confinement</w:t>
      </w:r>
      <w:r>
        <w:rPr>
          <w:spacing w:val="-7"/>
          <w:sz w:val="20"/>
        </w:rPr>
        <w:t xml:space="preserve"> </w:t>
      </w:r>
      <w:r>
        <w:rPr>
          <w:sz w:val="20"/>
        </w:rPr>
        <w:t>Used</w:t>
      </w:r>
      <w:r>
        <w:rPr>
          <w:spacing w:val="-6"/>
          <w:sz w:val="20"/>
        </w:rPr>
        <w:t xml:space="preserve"> </w:t>
      </w:r>
      <w:r>
        <w:rPr>
          <w:sz w:val="20"/>
        </w:rPr>
        <w:t>Disproportionately</w:t>
      </w:r>
      <w:r>
        <w:rPr>
          <w:spacing w:val="-7"/>
          <w:sz w:val="20"/>
        </w:rPr>
        <w:t xml:space="preserve"> </w:t>
      </w:r>
      <w:r>
        <w:rPr>
          <w:sz w:val="20"/>
        </w:rPr>
        <w:t>against</w:t>
      </w:r>
      <w:r>
        <w:rPr>
          <w:spacing w:val="-7"/>
          <w:sz w:val="20"/>
        </w:rPr>
        <w:t xml:space="preserve"> </w:t>
      </w:r>
      <w:r>
        <w:rPr>
          <w:sz w:val="20"/>
        </w:rPr>
        <w:t>LGBTQ</w:t>
      </w:r>
      <w:r>
        <w:rPr>
          <w:spacing w:val="-7"/>
          <w:sz w:val="20"/>
        </w:rPr>
        <w:t xml:space="preserve"> </w:t>
      </w:r>
      <w:r>
        <w:rPr>
          <w:sz w:val="20"/>
        </w:rPr>
        <w:t>Prisoners,”</w:t>
      </w:r>
      <w:r>
        <w:rPr>
          <w:spacing w:val="-8"/>
          <w:sz w:val="20"/>
        </w:rPr>
        <w:t xml:space="preserve"> </w:t>
      </w:r>
      <w:r>
        <w:rPr>
          <w:sz w:val="20"/>
        </w:rPr>
        <w:t>WBUR News, October 9, 2019, https://</w:t>
      </w:r>
      <w:hyperlink r:id="rId310">
        <w:r>
          <w:rPr>
            <w:sz w:val="20"/>
          </w:rPr>
          <w:t>www.wbur.org/news/2019/10/09/lgbt-solitary-massachusetts-prisons.</w:t>
        </w:r>
      </w:hyperlink>
    </w:p>
    <w:p w:rsidR="00C76E6D" w:rsidRDefault="00913831">
      <w:pPr>
        <w:spacing w:before="1"/>
        <w:ind w:left="480" w:right="2680" w:hanging="2"/>
        <w:rPr>
          <w:sz w:val="20"/>
        </w:rPr>
      </w:pPr>
      <w:bookmarkStart w:id="542" w:name="_bookmark408"/>
      <w:bookmarkEnd w:id="542"/>
      <w:r>
        <w:rPr>
          <w:sz w:val="20"/>
          <w:vertAlign w:val="superscript"/>
        </w:rPr>
        <w:t>59</w:t>
      </w:r>
      <w:r>
        <w:rPr>
          <w:sz w:val="20"/>
        </w:rPr>
        <w:t xml:space="preserve"> “Youth Justice,” Children’s Defense Fund, 2021, accessed May 15, 2022, </w:t>
      </w:r>
      <w:r>
        <w:rPr>
          <w:spacing w:val="-2"/>
          <w:sz w:val="20"/>
        </w:rPr>
        <w:t>https://</w:t>
      </w:r>
      <w:hyperlink r:id="rId311">
        <w:r>
          <w:rPr>
            <w:spacing w:val="-2"/>
            <w:sz w:val="20"/>
          </w:rPr>
          <w:t>www.childrensdefense.org/state-</w:t>
        </w:r>
        <w:r>
          <w:rPr>
            <w:spacing w:val="-12"/>
            <w:sz w:val="20"/>
          </w:rPr>
          <w:t xml:space="preserve"> </w:t>
        </w:r>
      </w:hyperlink>
      <w:r>
        <w:rPr>
          <w:spacing w:val="-2"/>
          <w:sz w:val="20"/>
        </w:rPr>
        <w:t>of-americas-childr</w:t>
      </w:r>
      <w:r>
        <w:rPr>
          <w:spacing w:val="-2"/>
          <w:sz w:val="20"/>
        </w:rPr>
        <w:t>en/soac-2021-youth-justice.</w:t>
      </w:r>
    </w:p>
    <w:p w:rsidR="00C76E6D" w:rsidRDefault="00913831">
      <w:pPr>
        <w:ind w:left="479" w:right="530" w:hanging="2"/>
        <w:rPr>
          <w:sz w:val="20"/>
        </w:rPr>
      </w:pPr>
      <w:bookmarkStart w:id="543" w:name="_bookmark409"/>
      <w:bookmarkEnd w:id="543"/>
      <w:r>
        <w:rPr>
          <w:sz w:val="20"/>
          <w:vertAlign w:val="superscript"/>
        </w:rPr>
        <w:t>60</w:t>
      </w:r>
      <w:r>
        <w:rPr>
          <w:sz w:val="20"/>
        </w:rPr>
        <w:t xml:space="preserve"> </w:t>
      </w:r>
      <w:r>
        <w:rPr>
          <w:i/>
          <w:sz w:val="20"/>
        </w:rPr>
        <w:t xml:space="preserve">Fact Sheet: Jail Removal and Sight &amp; South Core Protections </w:t>
      </w:r>
      <w:r>
        <w:rPr>
          <w:sz w:val="20"/>
        </w:rPr>
        <w:t xml:space="preserve">(Washington, DC: Act 4 Juvenile Justice, 2014), </w:t>
      </w:r>
      <w:r>
        <w:rPr>
          <w:spacing w:val="-4"/>
          <w:sz w:val="20"/>
        </w:rPr>
        <w:t>https://</w:t>
      </w:r>
      <w:hyperlink r:id="rId312">
        <w:r>
          <w:rPr>
            <w:spacing w:val="-4"/>
            <w:sz w:val="20"/>
          </w:rPr>
          <w:t>www.act4jj.org/sites/default/files/ckfinder/files/ACT4JJ%20Core%20Protection%20Jail%20Removal%20an</w:t>
        </w:r>
      </w:hyperlink>
      <w:r>
        <w:rPr>
          <w:spacing w:val="-4"/>
          <w:sz w:val="20"/>
        </w:rPr>
        <w:t xml:space="preserve"> </w:t>
      </w:r>
      <w:r>
        <w:rPr>
          <w:spacing w:val="-2"/>
          <w:sz w:val="20"/>
        </w:rPr>
        <w:t>d%20Sight%20Sound%20Aug%202014%20FINAL.pdf.</w:t>
      </w:r>
    </w:p>
    <w:p w:rsidR="00C76E6D" w:rsidRDefault="00913831">
      <w:pPr>
        <w:ind w:left="479" w:right="888" w:hanging="1"/>
        <w:rPr>
          <w:sz w:val="20"/>
        </w:rPr>
      </w:pPr>
      <w:bookmarkStart w:id="544" w:name="_bookmark410"/>
      <w:bookmarkEnd w:id="544"/>
      <w:r>
        <w:rPr>
          <w:sz w:val="20"/>
          <w:vertAlign w:val="superscript"/>
        </w:rPr>
        <w:t>61</w:t>
      </w:r>
      <w:r>
        <w:rPr>
          <w:spacing w:val="-5"/>
          <w:sz w:val="20"/>
        </w:rPr>
        <w:t xml:space="preserve"> </w:t>
      </w:r>
      <w:r>
        <w:rPr>
          <w:sz w:val="20"/>
        </w:rPr>
        <w:t>Brad</w:t>
      </w:r>
      <w:r>
        <w:rPr>
          <w:spacing w:val="-6"/>
          <w:sz w:val="20"/>
        </w:rPr>
        <w:t xml:space="preserve"> </w:t>
      </w:r>
      <w:r>
        <w:rPr>
          <w:sz w:val="20"/>
        </w:rPr>
        <w:t>Brockmann,</w:t>
      </w:r>
      <w:r>
        <w:rPr>
          <w:spacing w:val="-6"/>
          <w:sz w:val="20"/>
        </w:rPr>
        <w:t xml:space="preserve"> </w:t>
      </w:r>
      <w:r>
        <w:rPr>
          <w:sz w:val="20"/>
        </w:rPr>
        <w:t>et</w:t>
      </w:r>
      <w:r>
        <w:rPr>
          <w:spacing w:val="-5"/>
          <w:sz w:val="20"/>
        </w:rPr>
        <w:t xml:space="preserve"> </w:t>
      </w:r>
      <w:r>
        <w:rPr>
          <w:sz w:val="20"/>
        </w:rPr>
        <w:t>al,</w:t>
      </w:r>
      <w:r>
        <w:rPr>
          <w:spacing w:val="-5"/>
          <w:sz w:val="20"/>
        </w:rPr>
        <w:t xml:space="preserve"> </w:t>
      </w:r>
      <w:r>
        <w:rPr>
          <w:i/>
          <w:sz w:val="20"/>
        </w:rPr>
        <w:t>Emerging</w:t>
      </w:r>
      <w:r>
        <w:rPr>
          <w:i/>
          <w:spacing w:val="-5"/>
          <w:sz w:val="20"/>
        </w:rPr>
        <w:t xml:space="preserve"> </w:t>
      </w:r>
      <w:r>
        <w:rPr>
          <w:i/>
          <w:sz w:val="20"/>
        </w:rPr>
        <w:t>Best</w:t>
      </w:r>
      <w:r>
        <w:rPr>
          <w:i/>
          <w:spacing w:val="-5"/>
          <w:sz w:val="20"/>
        </w:rPr>
        <w:t xml:space="preserve"> </w:t>
      </w:r>
      <w:r>
        <w:rPr>
          <w:i/>
          <w:sz w:val="20"/>
        </w:rPr>
        <w:t>Practices</w:t>
      </w:r>
      <w:r>
        <w:rPr>
          <w:i/>
          <w:spacing w:val="-5"/>
          <w:sz w:val="20"/>
        </w:rPr>
        <w:t xml:space="preserve"> </w:t>
      </w:r>
      <w:r>
        <w:rPr>
          <w:i/>
          <w:sz w:val="20"/>
        </w:rPr>
        <w:t>for</w:t>
      </w:r>
      <w:r>
        <w:rPr>
          <w:i/>
          <w:spacing w:val="-6"/>
          <w:sz w:val="20"/>
        </w:rPr>
        <w:t xml:space="preserve"> </w:t>
      </w:r>
      <w:r>
        <w:rPr>
          <w:i/>
          <w:sz w:val="20"/>
        </w:rPr>
        <w:t>the</w:t>
      </w:r>
      <w:r>
        <w:rPr>
          <w:i/>
          <w:spacing w:val="-6"/>
          <w:sz w:val="20"/>
        </w:rPr>
        <w:t xml:space="preserve"> </w:t>
      </w:r>
      <w:r>
        <w:rPr>
          <w:i/>
          <w:sz w:val="20"/>
        </w:rPr>
        <w:t>Management</w:t>
      </w:r>
      <w:r>
        <w:rPr>
          <w:i/>
          <w:spacing w:val="-6"/>
          <w:sz w:val="20"/>
        </w:rPr>
        <w:t xml:space="preserve"> </w:t>
      </w:r>
      <w:r>
        <w:rPr>
          <w:i/>
          <w:sz w:val="20"/>
        </w:rPr>
        <w:t>and</w:t>
      </w:r>
      <w:r>
        <w:rPr>
          <w:i/>
          <w:spacing w:val="-6"/>
          <w:sz w:val="20"/>
        </w:rPr>
        <w:t xml:space="preserve"> </w:t>
      </w:r>
      <w:r>
        <w:rPr>
          <w:i/>
          <w:sz w:val="20"/>
        </w:rPr>
        <w:t>Treatment</w:t>
      </w:r>
      <w:r>
        <w:rPr>
          <w:i/>
          <w:spacing w:val="-5"/>
          <w:sz w:val="20"/>
        </w:rPr>
        <w:t xml:space="preserve"> </w:t>
      </w:r>
      <w:r>
        <w:rPr>
          <w:i/>
          <w:sz w:val="20"/>
        </w:rPr>
        <w:t>of</w:t>
      </w:r>
      <w:r>
        <w:rPr>
          <w:i/>
          <w:spacing w:val="-6"/>
          <w:sz w:val="20"/>
        </w:rPr>
        <w:t xml:space="preserve"> </w:t>
      </w:r>
      <w:r>
        <w:rPr>
          <w:i/>
          <w:sz w:val="20"/>
        </w:rPr>
        <w:t>Incarcerate</w:t>
      </w:r>
      <w:r>
        <w:rPr>
          <w:i/>
          <w:sz w:val="20"/>
        </w:rPr>
        <w:t>d</w:t>
      </w:r>
      <w:r>
        <w:rPr>
          <w:i/>
          <w:spacing w:val="-6"/>
          <w:sz w:val="20"/>
        </w:rPr>
        <w:t xml:space="preserve"> </w:t>
      </w:r>
      <w:r>
        <w:rPr>
          <w:i/>
          <w:sz w:val="20"/>
        </w:rPr>
        <w:t xml:space="preserve">Lesbian, Gay, Bisexual, Transgender, and Intersex (LGBTI) Individuals </w:t>
      </w:r>
      <w:r>
        <w:rPr>
          <w:sz w:val="20"/>
        </w:rPr>
        <w:t xml:space="preserve">(Boston: The Fenway Institute, 2019), </w:t>
      </w:r>
      <w:r>
        <w:rPr>
          <w:spacing w:val="-2"/>
          <w:sz w:val="20"/>
        </w:rPr>
        <w:t>https://fenwayhealth.org/wp-content/uploads/TFIP-33_Best-Practices-for-LGBTI-Incarcerated-People- Brief_web.pdf.</w:t>
      </w:r>
    </w:p>
    <w:p w:rsidR="00C76E6D" w:rsidRDefault="00C76E6D">
      <w:pPr>
        <w:rPr>
          <w:sz w:val="20"/>
        </w:rPr>
        <w:sectPr w:rsidR="00C76E6D">
          <w:pgSz w:w="12240" w:h="15840"/>
          <w:pgMar w:top="960" w:right="960" w:bottom="920" w:left="960" w:header="769" w:footer="72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11"/>
        <w:rPr>
          <w:sz w:val="20"/>
        </w:rPr>
      </w:pPr>
    </w:p>
    <w:p w:rsidR="00C76E6D" w:rsidRDefault="00913831">
      <w:pPr>
        <w:ind w:left="479" w:right="530" w:hanging="1"/>
        <w:rPr>
          <w:sz w:val="20"/>
        </w:rPr>
      </w:pPr>
      <w:bookmarkStart w:id="545" w:name="_bookmark411"/>
      <w:bookmarkEnd w:id="545"/>
      <w:r>
        <w:rPr>
          <w:sz w:val="20"/>
          <w:vertAlign w:val="superscript"/>
        </w:rPr>
        <w:t>62</w:t>
      </w:r>
      <w:r>
        <w:rPr>
          <w:spacing w:val="-5"/>
          <w:sz w:val="20"/>
        </w:rPr>
        <w:t xml:space="preserve"> </w:t>
      </w:r>
      <w:r>
        <w:rPr>
          <w:sz w:val="20"/>
        </w:rPr>
        <w:t>Catherine</w:t>
      </w:r>
      <w:r>
        <w:rPr>
          <w:spacing w:val="-7"/>
          <w:sz w:val="20"/>
        </w:rPr>
        <w:t xml:space="preserve"> </w:t>
      </w:r>
      <w:r>
        <w:rPr>
          <w:sz w:val="20"/>
        </w:rPr>
        <w:t>Hanssens</w:t>
      </w:r>
      <w:r>
        <w:rPr>
          <w:spacing w:val="-6"/>
          <w:sz w:val="20"/>
        </w:rPr>
        <w:t xml:space="preserve"> </w:t>
      </w:r>
      <w:r>
        <w:rPr>
          <w:sz w:val="20"/>
        </w:rPr>
        <w:t>and</w:t>
      </w:r>
      <w:r>
        <w:rPr>
          <w:spacing w:val="-8"/>
          <w:sz w:val="20"/>
        </w:rPr>
        <w:t xml:space="preserve"> </w:t>
      </w:r>
      <w:r>
        <w:rPr>
          <w:sz w:val="20"/>
        </w:rPr>
        <w:t>Rene</w:t>
      </w:r>
      <w:r>
        <w:rPr>
          <w:spacing w:val="-6"/>
          <w:sz w:val="20"/>
        </w:rPr>
        <w:t xml:space="preserve"> </w:t>
      </w:r>
      <w:r>
        <w:rPr>
          <w:sz w:val="20"/>
        </w:rPr>
        <w:t>Bennett-Carlson,</w:t>
      </w:r>
      <w:r>
        <w:rPr>
          <w:spacing w:val="-6"/>
          <w:sz w:val="20"/>
        </w:rPr>
        <w:t xml:space="preserve"> </w:t>
      </w:r>
      <w:r>
        <w:rPr>
          <w:i/>
          <w:sz w:val="20"/>
        </w:rPr>
        <w:t>Juvenile</w:t>
      </w:r>
      <w:r>
        <w:rPr>
          <w:i/>
          <w:spacing w:val="-6"/>
          <w:sz w:val="20"/>
        </w:rPr>
        <w:t xml:space="preserve"> </w:t>
      </w:r>
      <w:r>
        <w:rPr>
          <w:i/>
          <w:sz w:val="20"/>
        </w:rPr>
        <w:t>Injustice:</w:t>
      </w:r>
      <w:r>
        <w:rPr>
          <w:i/>
          <w:spacing w:val="-5"/>
          <w:sz w:val="20"/>
        </w:rPr>
        <w:t xml:space="preserve"> </w:t>
      </w:r>
      <w:r>
        <w:rPr>
          <w:i/>
          <w:sz w:val="20"/>
        </w:rPr>
        <w:t>The</w:t>
      </w:r>
      <w:r>
        <w:rPr>
          <w:i/>
          <w:spacing w:val="-7"/>
          <w:sz w:val="20"/>
        </w:rPr>
        <w:t xml:space="preserve"> </w:t>
      </w:r>
      <w:r>
        <w:rPr>
          <w:i/>
          <w:sz w:val="20"/>
        </w:rPr>
        <w:t>Unfulfilled</w:t>
      </w:r>
      <w:r>
        <w:rPr>
          <w:i/>
          <w:spacing w:val="-5"/>
          <w:sz w:val="20"/>
        </w:rPr>
        <w:t xml:space="preserve"> </w:t>
      </w:r>
      <w:r>
        <w:rPr>
          <w:i/>
          <w:sz w:val="20"/>
        </w:rPr>
        <w:t>Rights</w:t>
      </w:r>
      <w:r>
        <w:rPr>
          <w:i/>
          <w:spacing w:val="-7"/>
          <w:sz w:val="20"/>
        </w:rPr>
        <w:t xml:space="preserve"> </w:t>
      </w:r>
      <w:r>
        <w:rPr>
          <w:i/>
          <w:sz w:val="20"/>
        </w:rPr>
        <w:t>of</w:t>
      </w:r>
      <w:r>
        <w:rPr>
          <w:i/>
          <w:spacing w:val="-6"/>
          <w:sz w:val="20"/>
        </w:rPr>
        <w:t xml:space="preserve"> </w:t>
      </w:r>
      <w:r>
        <w:rPr>
          <w:i/>
          <w:sz w:val="20"/>
        </w:rPr>
        <w:t>Youth</w:t>
      </w:r>
      <w:r>
        <w:rPr>
          <w:i/>
          <w:spacing w:val="-5"/>
          <w:sz w:val="20"/>
        </w:rPr>
        <w:t xml:space="preserve"> </w:t>
      </w:r>
      <w:r>
        <w:rPr>
          <w:i/>
          <w:sz w:val="20"/>
        </w:rPr>
        <w:t>in</w:t>
      </w:r>
      <w:r>
        <w:rPr>
          <w:i/>
          <w:spacing w:val="-6"/>
          <w:sz w:val="20"/>
        </w:rPr>
        <w:t xml:space="preserve"> </w:t>
      </w:r>
      <w:r>
        <w:rPr>
          <w:i/>
          <w:sz w:val="20"/>
        </w:rPr>
        <w:t>State</w:t>
      </w:r>
      <w:r>
        <w:rPr>
          <w:i/>
          <w:spacing w:val="-5"/>
          <w:sz w:val="20"/>
        </w:rPr>
        <w:t xml:space="preserve"> </w:t>
      </w:r>
      <w:r>
        <w:rPr>
          <w:i/>
          <w:sz w:val="20"/>
        </w:rPr>
        <w:t xml:space="preserve">Custody to Comprehensive Sexual Health Care </w:t>
      </w:r>
      <w:r>
        <w:rPr>
          <w:sz w:val="20"/>
        </w:rPr>
        <w:t xml:space="preserve">(New York: The Center for HIV Law and Policy, 2010), </w:t>
      </w:r>
      <w:bookmarkStart w:id="546" w:name="_bookmark412"/>
      <w:bookmarkEnd w:id="546"/>
      <w:r>
        <w:rPr>
          <w:spacing w:val="-2"/>
          <w:sz w:val="20"/>
        </w:rPr>
        <w:t>https://</w:t>
      </w:r>
      <w:hyperlink r:id="rId313">
        <w:r>
          <w:rPr>
            <w:spacing w:val="-2"/>
            <w:sz w:val="20"/>
          </w:rPr>
          <w:t>www.hivlawandpolicy.org/sites/default/files/TS%20LRM%20Dec.%202010.pdf.</w:t>
        </w:r>
      </w:hyperlink>
    </w:p>
    <w:p w:rsidR="00C76E6D" w:rsidRDefault="00913831">
      <w:pPr>
        <w:ind w:left="480" w:right="756" w:hanging="2"/>
        <w:jc w:val="both"/>
        <w:rPr>
          <w:sz w:val="20"/>
        </w:rPr>
      </w:pPr>
      <w:r>
        <w:rPr>
          <w:sz w:val="20"/>
          <w:vertAlign w:val="superscript"/>
        </w:rPr>
        <w:t>63</w:t>
      </w:r>
      <w:r>
        <w:rPr>
          <w:spacing w:val="-6"/>
          <w:sz w:val="20"/>
        </w:rPr>
        <w:t xml:space="preserve"> </w:t>
      </w:r>
      <w:r>
        <w:rPr>
          <w:sz w:val="20"/>
        </w:rPr>
        <w:t>Katayoon</w:t>
      </w:r>
      <w:r>
        <w:rPr>
          <w:spacing w:val="-6"/>
          <w:sz w:val="20"/>
        </w:rPr>
        <w:t xml:space="preserve"> </w:t>
      </w:r>
      <w:r>
        <w:rPr>
          <w:sz w:val="20"/>
        </w:rPr>
        <w:t>Maid,</w:t>
      </w:r>
      <w:r>
        <w:rPr>
          <w:spacing w:val="-6"/>
          <w:sz w:val="20"/>
        </w:rPr>
        <w:t xml:space="preserve"> </w:t>
      </w:r>
      <w:r>
        <w:rPr>
          <w:sz w:val="20"/>
        </w:rPr>
        <w:t>Jody</w:t>
      </w:r>
      <w:r>
        <w:rPr>
          <w:spacing w:val="-6"/>
          <w:sz w:val="20"/>
        </w:rPr>
        <w:t xml:space="preserve"> </w:t>
      </w:r>
      <w:r>
        <w:rPr>
          <w:sz w:val="20"/>
        </w:rPr>
        <w:t>Marksamer,</w:t>
      </w:r>
      <w:r>
        <w:rPr>
          <w:spacing w:val="-6"/>
          <w:sz w:val="20"/>
        </w:rPr>
        <w:t xml:space="preserve"> </w:t>
      </w:r>
      <w:r>
        <w:rPr>
          <w:sz w:val="20"/>
        </w:rPr>
        <w:t>and</w:t>
      </w:r>
      <w:r>
        <w:rPr>
          <w:spacing w:val="-6"/>
          <w:sz w:val="20"/>
        </w:rPr>
        <w:t xml:space="preserve"> </w:t>
      </w:r>
      <w:r>
        <w:rPr>
          <w:sz w:val="20"/>
        </w:rPr>
        <w:t>Carolyn</w:t>
      </w:r>
      <w:r>
        <w:rPr>
          <w:spacing w:val="-6"/>
          <w:sz w:val="20"/>
        </w:rPr>
        <w:t xml:space="preserve"> </w:t>
      </w:r>
      <w:r>
        <w:rPr>
          <w:sz w:val="20"/>
        </w:rPr>
        <w:t>Reyes,</w:t>
      </w:r>
      <w:r>
        <w:rPr>
          <w:spacing w:val="-6"/>
          <w:sz w:val="20"/>
        </w:rPr>
        <w:t xml:space="preserve"> </w:t>
      </w:r>
      <w:r>
        <w:rPr>
          <w:i/>
          <w:sz w:val="20"/>
        </w:rPr>
        <w:t>Hidden</w:t>
      </w:r>
      <w:r>
        <w:rPr>
          <w:i/>
          <w:spacing w:val="-6"/>
          <w:sz w:val="20"/>
        </w:rPr>
        <w:t xml:space="preserve"> </w:t>
      </w:r>
      <w:r>
        <w:rPr>
          <w:i/>
          <w:sz w:val="20"/>
        </w:rPr>
        <w:t>Injustice:</w:t>
      </w:r>
      <w:r>
        <w:rPr>
          <w:i/>
          <w:spacing w:val="-7"/>
          <w:sz w:val="20"/>
        </w:rPr>
        <w:t xml:space="preserve"> </w:t>
      </w:r>
      <w:r>
        <w:rPr>
          <w:i/>
          <w:sz w:val="20"/>
        </w:rPr>
        <w:t>Lesbian,</w:t>
      </w:r>
      <w:r>
        <w:rPr>
          <w:i/>
          <w:spacing w:val="-6"/>
          <w:sz w:val="20"/>
        </w:rPr>
        <w:t xml:space="preserve"> </w:t>
      </w:r>
      <w:r>
        <w:rPr>
          <w:i/>
          <w:sz w:val="20"/>
        </w:rPr>
        <w:t>Gay,</w:t>
      </w:r>
      <w:r>
        <w:rPr>
          <w:i/>
          <w:spacing w:val="-7"/>
          <w:sz w:val="20"/>
        </w:rPr>
        <w:t xml:space="preserve"> </w:t>
      </w:r>
      <w:r>
        <w:rPr>
          <w:i/>
          <w:sz w:val="20"/>
        </w:rPr>
        <w:t>Bisexual</w:t>
      </w:r>
      <w:r>
        <w:rPr>
          <w:i/>
          <w:spacing w:val="-7"/>
          <w:sz w:val="20"/>
        </w:rPr>
        <w:t xml:space="preserve"> </w:t>
      </w:r>
      <w:r>
        <w:rPr>
          <w:i/>
          <w:sz w:val="20"/>
        </w:rPr>
        <w:t>and</w:t>
      </w:r>
      <w:r>
        <w:rPr>
          <w:i/>
          <w:spacing w:val="-7"/>
          <w:sz w:val="20"/>
        </w:rPr>
        <w:t xml:space="preserve"> </w:t>
      </w:r>
      <w:r>
        <w:rPr>
          <w:i/>
          <w:sz w:val="20"/>
        </w:rPr>
        <w:t>Transgender Youth</w:t>
      </w:r>
      <w:r>
        <w:rPr>
          <w:i/>
          <w:spacing w:val="-1"/>
          <w:sz w:val="20"/>
        </w:rPr>
        <w:t xml:space="preserve"> </w:t>
      </w:r>
      <w:r>
        <w:rPr>
          <w:i/>
          <w:sz w:val="20"/>
        </w:rPr>
        <w:t>in</w:t>
      </w:r>
      <w:r>
        <w:rPr>
          <w:i/>
          <w:spacing w:val="-2"/>
          <w:sz w:val="20"/>
        </w:rPr>
        <w:t xml:space="preserve"> </w:t>
      </w:r>
      <w:r>
        <w:rPr>
          <w:i/>
          <w:sz w:val="20"/>
        </w:rPr>
        <w:t>Juvenile</w:t>
      </w:r>
      <w:r>
        <w:rPr>
          <w:i/>
          <w:spacing w:val="-1"/>
          <w:sz w:val="20"/>
        </w:rPr>
        <w:t xml:space="preserve"> </w:t>
      </w:r>
      <w:r>
        <w:rPr>
          <w:i/>
          <w:sz w:val="20"/>
        </w:rPr>
        <w:t>Courts</w:t>
      </w:r>
      <w:r>
        <w:rPr>
          <w:i/>
          <w:spacing w:val="-3"/>
          <w:sz w:val="20"/>
        </w:rPr>
        <w:t xml:space="preserve"> </w:t>
      </w:r>
      <w:r>
        <w:rPr>
          <w:sz w:val="20"/>
        </w:rPr>
        <w:t>(Legal</w:t>
      </w:r>
      <w:r>
        <w:rPr>
          <w:spacing w:val="-2"/>
          <w:sz w:val="20"/>
        </w:rPr>
        <w:t xml:space="preserve"> </w:t>
      </w:r>
      <w:r>
        <w:rPr>
          <w:sz w:val="20"/>
        </w:rPr>
        <w:t>Services</w:t>
      </w:r>
      <w:r>
        <w:rPr>
          <w:spacing w:val="-1"/>
          <w:sz w:val="20"/>
        </w:rPr>
        <w:t xml:space="preserve"> </w:t>
      </w:r>
      <w:r>
        <w:rPr>
          <w:sz w:val="20"/>
        </w:rPr>
        <w:t>for</w:t>
      </w:r>
      <w:r>
        <w:rPr>
          <w:spacing w:val="-1"/>
          <w:sz w:val="20"/>
        </w:rPr>
        <w:t xml:space="preserve"> </w:t>
      </w:r>
      <w:r>
        <w:rPr>
          <w:sz w:val="20"/>
        </w:rPr>
        <w:t>Children,</w:t>
      </w:r>
      <w:r>
        <w:rPr>
          <w:spacing w:val="-2"/>
          <w:sz w:val="20"/>
        </w:rPr>
        <w:t xml:space="preserve"> </w:t>
      </w:r>
      <w:r>
        <w:rPr>
          <w:sz w:val="20"/>
        </w:rPr>
        <w:t>National</w:t>
      </w:r>
      <w:r>
        <w:rPr>
          <w:spacing w:val="-2"/>
          <w:sz w:val="20"/>
        </w:rPr>
        <w:t xml:space="preserve"> </w:t>
      </w:r>
      <w:r>
        <w:rPr>
          <w:sz w:val="20"/>
        </w:rPr>
        <w:t>Juvenile</w:t>
      </w:r>
      <w:r>
        <w:rPr>
          <w:spacing w:val="-1"/>
          <w:sz w:val="20"/>
        </w:rPr>
        <w:t xml:space="preserve"> </w:t>
      </w:r>
      <w:r>
        <w:rPr>
          <w:sz w:val="20"/>
        </w:rPr>
        <w:t>Defender</w:t>
      </w:r>
      <w:r>
        <w:rPr>
          <w:spacing w:val="-1"/>
          <w:sz w:val="20"/>
        </w:rPr>
        <w:t xml:space="preserve"> </w:t>
      </w:r>
      <w:r>
        <w:rPr>
          <w:sz w:val="20"/>
        </w:rPr>
        <w:t>Center,</w:t>
      </w:r>
      <w:r>
        <w:rPr>
          <w:spacing w:val="-3"/>
          <w:sz w:val="20"/>
        </w:rPr>
        <w:t xml:space="preserve"> </w:t>
      </w:r>
      <w:r>
        <w:rPr>
          <w:sz w:val="20"/>
        </w:rPr>
        <w:t>and</w:t>
      </w:r>
      <w:r>
        <w:rPr>
          <w:spacing w:val="-2"/>
          <w:sz w:val="20"/>
        </w:rPr>
        <w:t xml:space="preserve"> </w:t>
      </w:r>
      <w:r>
        <w:rPr>
          <w:sz w:val="20"/>
        </w:rPr>
        <w:t>National</w:t>
      </w:r>
      <w:r>
        <w:rPr>
          <w:spacing w:val="-1"/>
          <w:sz w:val="20"/>
        </w:rPr>
        <w:t xml:space="preserve"> </w:t>
      </w:r>
      <w:r>
        <w:rPr>
          <w:sz w:val="20"/>
        </w:rPr>
        <w:t>Center</w:t>
      </w:r>
      <w:r>
        <w:rPr>
          <w:spacing w:val="-1"/>
          <w:sz w:val="20"/>
        </w:rPr>
        <w:t xml:space="preserve"> </w:t>
      </w:r>
      <w:r>
        <w:rPr>
          <w:sz w:val="20"/>
        </w:rPr>
        <w:t>for Lesbian Rights, 2009), https://</w:t>
      </w:r>
      <w:hyperlink r:id="rId314">
        <w:r>
          <w:rPr>
            <w:sz w:val="20"/>
          </w:rPr>
          <w:t>www.nclrights.org/wp-content/uploads/2014/06/hidden</w:t>
        </w:r>
        <w:r>
          <w:rPr>
            <w:sz w:val="20"/>
          </w:rPr>
          <w:t>_injustice.pdf.</w:t>
        </w:r>
      </w:hyperlink>
    </w:p>
    <w:p w:rsidR="00C76E6D" w:rsidRDefault="00913831">
      <w:pPr>
        <w:ind w:left="481" w:right="530" w:hanging="3"/>
        <w:rPr>
          <w:sz w:val="20"/>
        </w:rPr>
      </w:pPr>
      <w:bookmarkStart w:id="547" w:name="_bookmark413"/>
      <w:bookmarkEnd w:id="547"/>
      <w:r>
        <w:rPr>
          <w:sz w:val="20"/>
          <w:vertAlign w:val="superscript"/>
        </w:rPr>
        <w:t>64</w:t>
      </w:r>
      <w:r>
        <w:rPr>
          <w:spacing w:val="-4"/>
          <w:sz w:val="20"/>
        </w:rPr>
        <w:t xml:space="preserve"> </w:t>
      </w:r>
      <w:r>
        <w:rPr>
          <w:sz w:val="20"/>
        </w:rPr>
        <w:t>Shannon</w:t>
      </w:r>
      <w:r>
        <w:rPr>
          <w:spacing w:val="-5"/>
          <w:sz w:val="20"/>
        </w:rPr>
        <w:t xml:space="preserve"> </w:t>
      </w:r>
      <w:r>
        <w:rPr>
          <w:sz w:val="20"/>
        </w:rPr>
        <w:t>Wilber,</w:t>
      </w:r>
      <w:r>
        <w:rPr>
          <w:spacing w:val="-4"/>
          <w:sz w:val="20"/>
        </w:rPr>
        <w:t xml:space="preserve"> </w:t>
      </w:r>
      <w:r>
        <w:rPr>
          <w:i/>
          <w:sz w:val="20"/>
        </w:rPr>
        <w:t>Lesbian,</w:t>
      </w:r>
      <w:r>
        <w:rPr>
          <w:i/>
          <w:spacing w:val="-5"/>
          <w:sz w:val="20"/>
        </w:rPr>
        <w:t xml:space="preserve"> </w:t>
      </w:r>
      <w:r>
        <w:rPr>
          <w:i/>
          <w:sz w:val="20"/>
        </w:rPr>
        <w:t>Gay,</w:t>
      </w:r>
      <w:r>
        <w:rPr>
          <w:i/>
          <w:spacing w:val="-5"/>
          <w:sz w:val="20"/>
        </w:rPr>
        <w:t xml:space="preserve"> </w:t>
      </w:r>
      <w:r>
        <w:rPr>
          <w:i/>
          <w:sz w:val="20"/>
        </w:rPr>
        <w:t>Bisexual</w:t>
      </w:r>
      <w:r>
        <w:rPr>
          <w:i/>
          <w:spacing w:val="-8"/>
          <w:sz w:val="20"/>
        </w:rPr>
        <w:t xml:space="preserve"> </w:t>
      </w:r>
      <w:r>
        <w:rPr>
          <w:i/>
          <w:sz w:val="20"/>
        </w:rPr>
        <w:t>and</w:t>
      </w:r>
      <w:r>
        <w:rPr>
          <w:i/>
          <w:spacing w:val="-5"/>
          <w:sz w:val="20"/>
        </w:rPr>
        <w:t xml:space="preserve"> </w:t>
      </w:r>
      <w:r>
        <w:rPr>
          <w:i/>
          <w:sz w:val="20"/>
        </w:rPr>
        <w:t>Transgender</w:t>
      </w:r>
      <w:r>
        <w:rPr>
          <w:i/>
          <w:spacing w:val="-6"/>
          <w:sz w:val="20"/>
        </w:rPr>
        <w:t xml:space="preserve"> </w:t>
      </w:r>
      <w:r>
        <w:rPr>
          <w:i/>
          <w:sz w:val="20"/>
        </w:rPr>
        <w:t>Youth</w:t>
      </w:r>
      <w:r>
        <w:rPr>
          <w:i/>
          <w:spacing w:val="-5"/>
          <w:sz w:val="20"/>
        </w:rPr>
        <w:t xml:space="preserve"> </w:t>
      </w:r>
      <w:r>
        <w:rPr>
          <w:i/>
          <w:sz w:val="20"/>
        </w:rPr>
        <w:t>in</w:t>
      </w:r>
      <w:r>
        <w:rPr>
          <w:i/>
          <w:spacing w:val="-4"/>
          <w:sz w:val="20"/>
        </w:rPr>
        <w:t xml:space="preserve"> </w:t>
      </w:r>
      <w:r>
        <w:rPr>
          <w:i/>
          <w:sz w:val="20"/>
        </w:rPr>
        <w:t>the</w:t>
      </w:r>
      <w:r>
        <w:rPr>
          <w:i/>
          <w:spacing w:val="-4"/>
          <w:sz w:val="20"/>
        </w:rPr>
        <w:t xml:space="preserve"> </w:t>
      </w:r>
      <w:r>
        <w:rPr>
          <w:i/>
          <w:sz w:val="20"/>
        </w:rPr>
        <w:t>Juvenile</w:t>
      </w:r>
      <w:r>
        <w:rPr>
          <w:i/>
          <w:spacing w:val="-4"/>
          <w:sz w:val="20"/>
        </w:rPr>
        <w:t xml:space="preserve"> </w:t>
      </w:r>
      <w:r>
        <w:rPr>
          <w:i/>
          <w:sz w:val="20"/>
        </w:rPr>
        <w:t>Justice</w:t>
      </w:r>
      <w:r>
        <w:rPr>
          <w:i/>
          <w:spacing w:val="-5"/>
          <w:sz w:val="20"/>
        </w:rPr>
        <w:t xml:space="preserve"> </w:t>
      </w:r>
      <w:r>
        <w:rPr>
          <w:i/>
          <w:sz w:val="20"/>
        </w:rPr>
        <w:t>System:</w:t>
      </w:r>
      <w:r>
        <w:rPr>
          <w:i/>
          <w:spacing w:val="-5"/>
          <w:sz w:val="20"/>
        </w:rPr>
        <w:t xml:space="preserve"> </w:t>
      </w:r>
      <w:r>
        <w:rPr>
          <w:i/>
          <w:sz w:val="20"/>
        </w:rPr>
        <w:t>A</w:t>
      </w:r>
      <w:r>
        <w:rPr>
          <w:i/>
          <w:spacing w:val="-5"/>
          <w:sz w:val="20"/>
        </w:rPr>
        <w:t xml:space="preserve"> </w:t>
      </w:r>
      <w:r>
        <w:rPr>
          <w:i/>
          <w:sz w:val="20"/>
        </w:rPr>
        <w:t>Guide</w:t>
      </w:r>
      <w:r>
        <w:rPr>
          <w:i/>
          <w:spacing w:val="-7"/>
          <w:sz w:val="20"/>
        </w:rPr>
        <w:t xml:space="preserve"> </w:t>
      </w:r>
      <w:r>
        <w:rPr>
          <w:i/>
          <w:sz w:val="20"/>
        </w:rPr>
        <w:t>to</w:t>
      </w:r>
      <w:r>
        <w:rPr>
          <w:i/>
          <w:spacing w:val="-4"/>
          <w:sz w:val="20"/>
        </w:rPr>
        <w:t xml:space="preserve"> </w:t>
      </w:r>
      <w:r>
        <w:rPr>
          <w:i/>
          <w:sz w:val="20"/>
        </w:rPr>
        <w:t xml:space="preserve">Juvenile Detention Reform </w:t>
      </w:r>
      <w:r>
        <w:rPr>
          <w:sz w:val="20"/>
        </w:rPr>
        <w:t>(Baltimore: The Annie E. Casey Foundation, 2015), https://</w:t>
      </w:r>
      <w:hyperlink r:id="rId315">
        <w:r>
          <w:rPr>
            <w:sz w:val="20"/>
          </w:rPr>
          <w:t>www.nclrights.org/wp-</w:t>
        </w:r>
      </w:hyperlink>
      <w:r>
        <w:rPr>
          <w:sz w:val="20"/>
        </w:rPr>
        <w:t xml:space="preserve"> </w:t>
      </w:r>
      <w:r>
        <w:rPr>
          <w:spacing w:val="-2"/>
          <w:sz w:val="20"/>
        </w:rPr>
        <w:t>content/uploads/2015/09/AECF_LGBTinJJS_FINAL2.pdf</w:t>
      </w:r>
    </w:p>
    <w:p w:rsidR="00C76E6D" w:rsidRDefault="00913831">
      <w:pPr>
        <w:ind w:left="480" w:right="530" w:hanging="2"/>
        <w:rPr>
          <w:sz w:val="20"/>
        </w:rPr>
      </w:pPr>
      <w:bookmarkStart w:id="548" w:name="_bookmark414"/>
      <w:bookmarkEnd w:id="548"/>
      <w:r>
        <w:rPr>
          <w:sz w:val="20"/>
          <w:vertAlign w:val="superscript"/>
        </w:rPr>
        <w:t>65</w:t>
      </w:r>
      <w:r>
        <w:rPr>
          <w:spacing w:val="-5"/>
          <w:sz w:val="20"/>
        </w:rPr>
        <w:t xml:space="preserve"> </w:t>
      </w:r>
      <w:r>
        <w:rPr>
          <w:sz w:val="20"/>
        </w:rPr>
        <w:t>General</w:t>
      </w:r>
      <w:r>
        <w:rPr>
          <w:spacing w:val="-6"/>
          <w:sz w:val="20"/>
        </w:rPr>
        <w:t xml:space="preserve"> </w:t>
      </w:r>
      <w:r>
        <w:rPr>
          <w:sz w:val="20"/>
        </w:rPr>
        <w:t>Court</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Commonwealth</w:t>
      </w:r>
      <w:r>
        <w:rPr>
          <w:spacing w:val="-5"/>
          <w:sz w:val="20"/>
        </w:rPr>
        <w:t xml:space="preserve"> </w:t>
      </w:r>
      <w:r>
        <w:rPr>
          <w:sz w:val="20"/>
        </w:rPr>
        <w:t>of</w:t>
      </w:r>
      <w:r>
        <w:rPr>
          <w:spacing w:val="-7"/>
          <w:sz w:val="20"/>
        </w:rPr>
        <w:t xml:space="preserve"> </w:t>
      </w:r>
      <w:r>
        <w:rPr>
          <w:sz w:val="20"/>
        </w:rPr>
        <w:t>Massachusetts.</w:t>
      </w:r>
      <w:r>
        <w:rPr>
          <w:spacing w:val="-6"/>
          <w:sz w:val="20"/>
        </w:rPr>
        <w:t xml:space="preserve"> </w:t>
      </w:r>
      <w:r>
        <w:rPr>
          <w:sz w:val="20"/>
        </w:rPr>
        <w:t>"An</w:t>
      </w:r>
      <w:r>
        <w:rPr>
          <w:spacing w:val="-5"/>
          <w:sz w:val="20"/>
        </w:rPr>
        <w:t xml:space="preserve"> </w:t>
      </w:r>
      <w:r>
        <w:rPr>
          <w:sz w:val="20"/>
        </w:rPr>
        <w:t>Act</w:t>
      </w:r>
      <w:r>
        <w:rPr>
          <w:spacing w:val="-6"/>
          <w:sz w:val="20"/>
        </w:rPr>
        <w:t xml:space="preserve"> </w:t>
      </w:r>
      <w:r>
        <w:rPr>
          <w:sz w:val="20"/>
        </w:rPr>
        <w:t>Relative</w:t>
      </w:r>
      <w:r>
        <w:rPr>
          <w:spacing w:val="-6"/>
          <w:sz w:val="20"/>
        </w:rPr>
        <w:t xml:space="preserve"> </w:t>
      </w:r>
      <w:r>
        <w:rPr>
          <w:sz w:val="20"/>
        </w:rPr>
        <w:t>to</w:t>
      </w:r>
      <w:r>
        <w:rPr>
          <w:spacing w:val="-6"/>
          <w:sz w:val="20"/>
        </w:rPr>
        <w:t xml:space="preserve"> </w:t>
      </w:r>
      <w:r>
        <w:rPr>
          <w:sz w:val="20"/>
        </w:rPr>
        <w:t>Criminal</w:t>
      </w:r>
      <w:r>
        <w:rPr>
          <w:spacing w:val="-6"/>
          <w:sz w:val="20"/>
        </w:rPr>
        <w:t xml:space="preserve"> </w:t>
      </w:r>
      <w:r>
        <w:rPr>
          <w:sz w:val="20"/>
        </w:rPr>
        <w:t>Justice</w:t>
      </w:r>
      <w:r>
        <w:rPr>
          <w:spacing w:val="-5"/>
          <w:sz w:val="20"/>
        </w:rPr>
        <w:t xml:space="preserve"> </w:t>
      </w:r>
      <w:r>
        <w:rPr>
          <w:sz w:val="20"/>
        </w:rPr>
        <w:t>Reform."</w:t>
      </w:r>
      <w:r>
        <w:rPr>
          <w:spacing w:val="-6"/>
          <w:sz w:val="20"/>
        </w:rPr>
        <w:t xml:space="preserve"> </w:t>
      </w:r>
      <w:r>
        <w:rPr>
          <w:sz w:val="20"/>
        </w:rPr>
        <w:t>Retrieved from https://malegislature.gov/Bills/190/S2371</w:t>
      </w:r>
    </w:p>
    <w:p w:rsidR="00C76E6D" w:rsidRDefault="00913831">
      <w:pPr>
        <w:ind w:left="481" w:right="846" w:hanging="3"/>
        <w:rPr>
          <w:sz w:val="20"/>
        </w:rPr>
      </w:pPr>
      <w:bookmarkStart w:id="549" w:name="_bookmark415"/>
      <w:bookmarkEnd w:id="549"/>
      <w:r>
        <w:rPr>
          <w:sz w:val="20"/>
          <w:vertAlign w:val="superscript"/>
        </w:rPr>
        <w:t>66</w:t>
      </w:r>
      <w:r>
        <w:rPr>
          <w:spacing w:val="-4"/>
          <w:sz w:val="20"/>
        </w:rPr>
        <w:t xml:space="preserve"> </w:t>
      </w:r>
      <w:r>
        <w:rPr>
          <w:sz w:val="20"/>
        </w:rPr>
        <w:t>Steve</w:t>
      </w:r>
      <w:r>
        <w:rPr>
          <w:spacing w:val="-4"/>
          <w:sz w:val="20"/>
        </w:rPr>
        <w:t xml:space="preserve"> </w:t>
      </w:r>
      <w:r>
        <w:rPr>
          <w:sz w:val="20"/>
        </w:rPr>
        <w:t>Brown</w:t>
      </w:r>
      <w:r>
        <w:rPr>
          <w:spacing w:val="-5"/>
          <w:sz w:val="20"/>
        </w:rPr>
        <w:t xml:space="preserve"> </w:t>
      </w:r>
      <w:r>
        <w:rPr>
          <w:sz w:val="20"/>
        </w:rPr>
        <w:t>and</w:t>
      </w:r>
      <w:r>
        <w:rPr>
          <w:spacing w:val="-5"/>
          <w:sz w:val="20"/>
        </w:rPr>
        <w:t xml:space="preserve"> </w:t>
      </w:r>
      <w:r>
        <w:rPr>
          <w:sz w:val="20"/>
        </w:rPr>
        <w:t>Ally</w:t>
      </w:r>
      <w:r>
        <w:rPr>
          <w:spacing w:val="-4"/>
          <w:sz w:val="20"/>
        </w:rPr>
        <w:t xml:space="preserve"> </w:t>
      </w:r>
      <w:r>
        <w:rPr>
          <w:sz w:val="20"/>
        </w:rPr>
        <w:t>Ja</w:t>
      </w:r>
      <w:r>
        <w:rPr>
          <w:sz w:val="20"/>
        </w:rPr>
        <w:t>rmanning,</w:t>
      </w:r>
      <w:r>
        <w:rPr>
          <w:spacing w:val="-4"/>
          <w:sz w:val="20"/>
        </w:rPr>
        <w:t xml:space="preserve"> </w:t>
      </w:r>
      <w:r>
        <w:rPr>
          <w:sz w:val="20"/>
        </w:rPr>
        <w:t>“Here’s</w:t>
      </w:r>
      <w:r>
        <w:rPr>
          <w:spacing w:val="-7"/>
          <w:sz w:val="20"/>
        </w:rPr>
        <w:t xml:space="preserve"> </w:t>
      </w:r>
      <w:r>
        <w:rPr>
          <w:sz w:val="20"/>
        </w:rPr>
        <w:t>What’s</w:t>
      </w:r>
      <w:r>
        <w:rPr>
          <w:spacing w:val="-5"/>
          <w:sz w:val="20"/>
        </w:rPr>
        <w:t xml:space="preserve"> </w:t>
      </w:r>
      <w:r>
        <w:rPr>
          <w:sz w:val="20"/>
        </w:rPr>
        <w:t>In</w:t>
      </w:r>
      <w:r>
        <w:rPr>
          <w:spacing w:val="-4"/>
          <w:sz w:val="20"/>
        </w:rPr>
        <w:t xml:space="preserve"> </w:t>
      </w:r>
      <w:r>
        <w:rPr>
          <w:sz w:val="20"/>
        </w:rPr>
        <w:t>the</w:t>
      </w:r>
      <w:r>
        <w:rPr>
          <w:spacing w:val="-7"/>
          <w:sz w:val="20"/>
        </w:rPr>
        <w:t xml:space="preserve"> </w:t>
      </w:r>
      <w:r>
        <w:rPr>
          <w:sz w:val="20"/>
        </w:rPr>
        <w:t>Massachusetts</w:t>
      </w:r>
      <w:r>
        <w:rPr>
          <w:spacing w:val="-7"/>
          <w:sz w:val="20"/>
        </w:rPr>
        <w:t xml:space="preserve"> </w:t>
      </w:r>
      <w:r>
        <w:rPr>
          <w:sz w:val="20"/>
        </w:rPr>
        <w:t>Police</w:t>
      </w:r>
      <w:r>
        <w:rPr>
          <w:spacing w:val="-4"/>
          <w:sz w:val="20"/>
        </w:rPr>
        <w:t xml:space="preserve"> </w:t>
      </w:r>
      <w:r>
        <w:rPr>
          <w:sz w:val="20"/>
        </w:rPr>
        <w:t>Reform</w:t>
      </w:r>
      <w:r>
        <w:rPr>
          <w:spacing w:val="-7"/>
          <w:sz w:val="20"/>
        </w:rPr>
        <w:t xml:space="preserve"> </w:t>
      </w:r>
      <w:r>
        <w:rPr>
          <w:sz w:val="20"/>
        </w:rPr>
        <w:t>Law,”</w:t>
      </w:r>
      <w:r>
        <w:rPr>
          <w:spacing w:val="-6"/>
          <w:sz w:val="20"/>
        </w:rPr>
        <w:t xml:space="preserve"> </w:t>
      </w:r>
      <w:r>
        <w:rPr>
          <w:sz w:val="20"/>
        </w:rPr>
        <w:t>WBUR,</w:t>
      </w:r>
      <w:r>
        <w:rPr>
          <w:spacing w:val="-5"/>
          <w:sz w:val="20"/>
        </w:rPr>
        <w:t xml:space="preserve"> </w:t>
      </w:r>
      <w:r>
        <w:rPr>
          <w:sz w:val="20"/>
        </w:rPr>
        <w:t>April</w:t>
      </w:r>
      <w:r>
        <w:rPr>
          <w:spacing w:val="-6"/>
          <w:sz w:val="20"/>
        </w:rPr>
        <w:t xml:space="preserve"> </w:t>
      </w:r>
      <w:r>
        <w:rPr>
          <w:sz w:val="20"/>
        </w:rPr>
        <w:t>7, 2021, https://</w:t>
      </w:r>
      <w:hyperlink r:id="rId316">
        <w:r>
          <w:rPr>
            <w:sz w:val="20"/>
          </w:rPr>
          <w:t>www.wbur.org/news/2020/12/01/massachusetts-police-reform-legislation-explainer.</w:t>
        </w:r>
      </w:hyperlink>
    </w:p>
    <w:p w:rsidR="00C76E6D" w:rsidRDefault="00C76E6D">
      <w:pPr>
        <w:rPr>
          <w:sz w:val="20"/>
        </w:rPr>
        <w:sectPr w:rsidR="00C76E6D">
          <w:pgSz w:w="12240" w:h="15840"/>
          <w:pgMar w:top="960" w:right="960" w:bottom="920" w:left="960" w:header="769" w:footer="720" w:gutter="0"/>
          <w:cols w:space="720"/>
        </w:sectPr>
      </w:pPr>
    </w:p>
    <w:p w:rsidR="00C76E6D" w:rsidRDefault="00C76E6D">
      <w:pPr>
        <w:pStyle w:val="BodyText"/>
        <w:rPr>
          <w:sz w:val="23"/>
        </w:rPr>
      </w:pPr>
    </w:p>
    <w:p w:rsidR="00C76E6D" w:rsidRDefault="00913831">
      <w:pPr>
        <w:pStyle w:val="Heading2"/>
        <w:jc w:val="both"/>
      </w:pPr>
      <w:r>
        <w:pict>
          <v:shape id="docshape296" o:spid="_x0000_s1143" style="position:absolute;left:0;text-align:left;margin-left:65pt;margin-top:24.3pt;width:477pt;height:.1pt;z-index:-15676416;mso-wrap-distance-left:0;mso-wrap-distance-right:0;mso-position-horizontal-relative:page" coordorigin="1300,486" coordsize="9540,0" path="m1300,486r9540,e" filled="f" strokeweight="1.54pt">
            <v:path arrowok="t"/>
            <w10:wrap type="topAndBottom" anchorx="page"/>
          </v:shape>
        </w:pict>
      </w:r>
      <w:bookmarkStart w:id="550" w:name="Improving_Youth_Health"/>
      <w:bookmarkStart w:id="551" w:name="_bookmark416"/>
      <w:bookmarkEnd w:id="550"/>
      <w:bookmarkEnd w:id="551"/>
      <w:r>
        <w:t>Improving</w:t>
      </w:r>
      <w:r>
        <w:rPr>
          <w:spacing w:val="-10"/>
        </w:rPr>
        <w:t xml:space="preserve"> </w:t>
      </w:r>
      <w:r>
        <w:t>Youth</w:t>
      </w:r>
      <w:r>
        <w:rPr>
          <w:spacing w:val="-9"/>
        </w:rPr>
        <w:t xml:space="preserve"> </w:t>
      </w:r>
      <w:r>
        <w:rPr>
          <w:spacing w:val="-2"/>
        </w:rPr>
        <w:t>Health</w:t>
      </w:r>
    </w:p>
    <w:p w:rsidR="00C76E6D" w:rsidRDefault="00913831">
      <w:pPr>
        <w:pStyle w:val="Heading5"/>
        <w:spacing w:before="191"/>
        <w:ind w:left="439"/>
      </w:pPr>
      <w:bookmarkStart w:id="552" w:name="_bookmark417"/>
      <w:bookmarkEnd w:id="552"/>
      <w:r>
        <w:t>A.</w:t>
      </w:r>
      <w:r>
        <w:rPr>
          <w:spacing w:val="-2"/>
        </w:rPr>
        <w:t xml:space="preserve"> Introduction</w:t>
      </w:r>
    </w:p>
    <w:p w:rsidR="00C76E6D" w:rsidRDefault="00913831">
      <w:pPr>
        <w:pStyle w:val="BodyText"/>
        <w:spacing w:before="2"/>
        <w:rPr>
          <w:b/>
          <w:sz w:val="23"/>
        </w:rPr>
      </w:pPr>
      <w:r>
        <w:pict>
          <v:shape id="docshape297" o:spid="_x0000_s1142" style="position:absolute;margin-left:65pt;margin-top:15.4pt;width:477pt;height:.1pt;z-index:-15675904;mso-wrap-distance-left:0;mso-wrap-distance-right:0;mso-position-horizontal-relative:page" coordorigin="1300,308" coordsize="9540,0" path="m1300,308r9540,e" filled="f" strokeweight="1.54pt">
            <v:path arrowok="t"/>
            <w10:wrap type="topAndBottom" anchorx="page"/>
          </v:shape>
        </w:pict>
      </w:r>
    </w:p>
    <w:p w:rsidR="00C76E6D" w:rsidRDefault="00C76E6D">
      <w:pPr>
        <w:pStyle w:val="BodyText"/>
        <w:spacing w:before="5"/>
        <w:rPr>
          <w:b/>
          <w:sz w:val="19"/>
        </w:rPr>
      </w:pPr>
    </w:p>
    <w:p w:rsidR="00C76E6D" w:rsidRDefault="00913831">
      <w:pPr>
        <w:pStyle w:val="BodyText"/>
        <w:spacing w:line="276" w:lineRule="auto"/>
        <w:ind w:left="337" w:right="295"/>
        <w:jc w:val="both"/>
      </w:pPr>
      <w:r>
        <w:t>The</w:t>
      </w:r>
      <w:r>
        <w:rPr>
          <w:spacing w:val="-13"/>
        </w:rPr>
        <w:t xml:space="preserve"> </w:t>
      </w:r>
      <w:r>
        <w:t>history</w:t>
      </w:r>
      <w:r>
        <w:rPr>
          <w:spacing w:val="-12"/>
        </w:rPr>
        <w:t xml:space="preserve"> </w:t>
      </w:r>
      <w:r>
        <w:t>of</w:t>
      </w:r>
      <w:r>
        <w:rPr>
          <w:spacing w:val="-13"/>
        </w:rPr>
        <w:t xml:space="preserve"> </w:t>
      </w:r>
      <w:r>
        <w:t>the</w:t>
      </w:r>
      <w:r>
        <w:rPr>
          <w:spacing w:val="-12"/>
        </w:rPr>
        <w:t xml:space="preserve"> </w:t>
      </w:r>
      <w:r>
        <w:t>disproportionate</w:t>
      </w:r>
      <w:r>
        <w:rPr>
          <w:spacing w:val="-13"/>
        </w:rPr>
        <w:t xml:space="preserve"> </w:t>
      </w:r>
      <w:r>
        <w:t>effect</w:t>
      </w:r>
      <w:r>
        <w:rPr>
          <w:spacing w:val="-12"/>
        </w:rPr>
        <w:t xml:space="preserve"> </w:t>
      </w:r>
      <w:r>
        <w:t>of</w:t>
      </w:r>
      <w:r>
        <w:rPr>
          <w:spacing w:val="-13"/>
        </w:rPr>
        <w:t xml:space="preserve"> </w:t>
      </w:r>
      <w:r>
        <w:t>the</w:t>
      </w:r>
      <w:r>
        <w:rPr>
          <w:spacing w:val="-12"/>
        </w:rPr>
        <w:t xml:space="preserve"> </w:t>
      </w:r>
      <w:r>
        <w:t>HIV</w:t>
      </w:r>
      <w:r>
        <w:rPr>
          <w:spacing w:val="-12"/>
        </w:rPr>
        <w:t xml:space="preserve"> </w:t>
      </w:r>
      <w:r>
        <w:t>epidemic</w:t>
      </w:r>
      <w:r>
        <w:rPr>
          <w:spacing w:val="-13"/>
        </w:rPr>
        <w:t xml:space="preserve"> </w:t>
      </w:r>
      <w:r>
        <w:t>is</w:t>
      </w:r>
      <w:r>
        <w:rPr>
          <w:spacing w:val="-12"/>
        </w:rPr>
        <w:t xml:space="preserve"> </w:t>
      </w:r>
      <w:r>
        <w:t>evident</w:t>
      </w:r>
      <w:r>
        <w:rPr>
          <w:spacing w:val="-13"/>
        </w:rPr>
        <w:t xml:space="preserve"> </w:t>
      </w:r>
      <w:r>
        <w:t>when</w:t>
      </w:r>
      <w:r>
        <w:rPr>
          <w:spacing w:val="-12"/>
        </w:rPr>
        <w:t xml:space="preserve"> </w:t>
      </w:r>
      <w:r>
        <w:t>observing</w:t>
      </w:r>
      <w:r>
        <w:rPr>
          <w:spacing w:val="-13"/>
        </w:rPr>
        <w:t xml:space="preserve"> </w:t>
      </w:r>
      <w:r>
        <w:t>the</w:t>
      </w:r>
      <w:r>
        <w:rPr>
          <w:spacing w:val="-12"/>
        </w:rPr>
        <w:t xml:space="preserve"> </w:t>
      </w:r>
      <w:r>
        <w:t>health</w:t>
      </w:r>
      <w:r>
        <w:rPr>
          <w:spacing w:val="-12"/>
        </w:rPr>
        <w:t xml:space="preserve"> </w:t>
      </w:r>
      <w:r>
        <w:t>of</w:t>
      </w:r>
      <w:r>
        <w:rPr>
          <w:spacing w:val="-13"/>
        </w:rPr>
        <w:t xml:space="preserve"> </w:t>
      </w:r>
      <w:r>
        <w:t>LGBTQ+ populations. Much of the breadth of research has focused on the impact of HIV, creating an unbalanced amount of information regarding other inequities that could be contributing factors to the disproportionate rates of HIV. Attention has slowly been</w:t>
      </w:r>
      <w:r>
        <w:t xml:space="preserve"> brought to the other health inequities and the systems and social circumstances that make them possible. In addition, improvements in data collection have brought to light more nuanced information that allows the disaggregation of this population's identi</w:t>
      </w:r>
      <w:r>
        <w:t>ties, their experience of oppression in society, and how different health issues mainly affect them.</w:t>
      </w:r>
      <w:hyperlink w:anchor="_bookmark419" w:history="1">
        <w:r>
          <w:rPr>
            <w:vertAlign w:val="superscript"/>
          </w:rPr>
          <w:t>1</w:t>
        </w:r>
      </w:hyperlink>
    </w:p>
    <w:p w:rsidR="00C76E6D" w:rsidRDefault="00C76E6D">
      <w:pPr>
        <w:pStyle w:val="BodyText"/>
        <w:spacing w:before="8"/>
        <w:rPr>
          <w:sz w:val="19"/>
        </w:rPr>
      </w:pPr>
    </w:p>
    <w:p w:rsidR="00C76E6D" w:rsidRDefault="00913831">
      <w:pPr>
        <w:pStyle w:val="BodyText"/>
        <w:spacing w:line="276" w:lineRule="auto"/>
        <w:ind w:left="338" w:right="294"/>
        <w:jc w:val="both"/>
      </w:pPr>
      <w:r>
        <w:t>This population's evolution has brought forth new terminology for identity and behavior.</w:t>
      </w:r>
      <w:r>
        <w:rPr>
          <w:spacing w:val="35"/>
        </w:rPr>
        <w:t xml:space="preserve"> </w:t>
      </w:r>
      <w:r>
        <w:t>While this section will use LGBT</w:t>
      </w:r>
      <w:r>
        <w:t>Q youth, it will also use the terminology used by specific studies (even if outdated), language that</w:t>
      </w:r>
      <w:r>
        <w:rPr>
          <w:spacing w:val="-10"/>
        </w:rPr>
        <w:t xml:space="preserve"> </w:t>
      </w:r>
      <w:r>
        <w:t>may</w:t>
      </w:r>
      <w:r>
        <w:rPr>
          <w:spacing w:val="-4"/>
        </w:rPr>
        <w:t xml:space="preserve"> </w:t>
      </w:r>
      <w:r>
        <w:t>not</w:t>
      </w:r>
      <w:r>
        <w:rPr>
          <w:spacing w:val="-1"/>
        </w:rPr>
        <w:t xml:space="preserve"> </w:t>
      </w:r>
      <w:r>
        <w:t>yet</w:t>
      </w:r>
      <w:r>
        <w:rPr>
          <w:spacing w:val="-3"/>
        </w:rPr>
        <w:t xml:space="preserve"> </w:t>
      </w:r>
      <w:r>
        <w:t>be</w:t>
      </w:r>
      <w:r>
        <w:rPr>
          <w:spacing w:val="-3"/>
        </w:rPr>
        <w:t xml:space="preserve"> </w:t>
      </w:r>
      <w:r>
        <w:t>common</w:t>
      </w:r>
      <w:r>
        <w:rPr>
          <w:spacing w:val="-5"/>
        </w:rPr>
        <w:t xml:space="preserve"> </w:t>
      </w:r>
      <w:r>
        <w:t>usage,</w:t>
      </w:r>
      <w:r>
        <w:rPr>
          <w:spacing w:val="-3"/>
        </w:rPr>
        <w:t xml:space="preserve"> </w:t>
      </w:r>
      <w:r>
        <w:t>and</w:t>
      </w:r>
      <w:r>
        <w:rPr>
          <w:spacing w:val="-6"/>
        </w:rPr>
        <w:t xml:space="preserve"> </w:t>
      </w:r>
      <w:r>
        <w:t>language</w:t>
      </w:r>
      <w:r>
        <w:rPr>
          <w:spacing w:val="-2"/>
        </w:rPr>
        <w:t xml:space="preserve"> </w:t>
      </w:r>
      <w:r>
        <w:t>that</w:t>
      </w:r>
      <w:r>
        <w:rPr>
          <w:spacing w:val="-6"/>
        </w:rPr>
        <w:t xml:space="preserve"> </w:t>
      </w:r>
      <w:r>
        <w:t>specifically</w:t>
      </w:r>
      <w:r>
        <w:rPr>
          <w:spacing w:val="-9"/>
        </w:rPr>
        <w:t xml:space="preserve"> </w:t>
      </w:r>
      <w:r>
        <w:t>refers</w:t>
      </w:r>
      <w:r>
        <w:rPr>
          <w:spacing w:val="-9"/>
        </w:rPr>
        <w:t xml:space="preserve"> </w:t>
      </w:r>
      <w:r>
        <w:t>to</w:t>
      </w:r>
      <w:r>
        <w:rPr>
          <w:spacing w:val="-11"/>
        </w:rPr>
        <w:t xml:space="preserve"> </w:t>
      </w:r>
      <w:r>
        <w:t>a</w:t>
      </w:r>
      <w:r>
        <w:rPr>
          <w:spacing w:val="-9"/>
        </w:rPr>
        <w:t xml:space="preserve"> </w:t>
      </w:r>
      <w:r>
        <w:t>portion</w:t>
      </w:r>
      <w:r>
        <w:rPr>
          <w:spacing w:val="-12"/>
        </w:rPr>
        <w:t xml:space="preserve"> </w:t>
      </w:r>
      <w:r>
        <w:t>of</w:t>
      </w:r>
      <w:r>
        <w:rPr>
          <w:spacing w:val="-9"/>
        </w:rPr>
        <w:t xml:space="preserve"> </w:t>
      </w:r>
      <w:r>
        <w:t>the</w:t>
      </w:r>
      <w:r>
        <w:rPr>
          <w:spacing w:val="-9"/>
        </w:rPr>
        <w:t xml:space="preserve"> </w:t>
      </w:r>
      <w:r>
        <w:t>population</w:t>
      </w:r>
      <w:r>
        <w:rPr>
          <w:spacing w:val="-11"/>
        </w:rPr>
        <w:t xml:space="preserve"> </w:t>
      </w:r>
      <w:r>
        <w:t>that</w:t>
      </w:r>
      <w:r>
        <w:rPr>
          <w:spacing w:val="-13"/>
        </w:rPr>
        <w:t xml:space="preserve"> </w:t>
      </w:r>
      <w:r>
        <w:t>a particular research study is covering. When a term</w:t>
      </w:r>
      <w:r>
        <w:t xml:space="preserve"> presents to be particularly problematic, this section will engage</w:t>
      </w:r>
      <w:r>
        <w:rPr>
          <w:spacing w:val="-7"/>
        </w:rPr>
        <w:t xml:space="preserve"> </w:t>
      </w:r>
      <w:r>
        <w:t>with</w:t>
      </w:r>
      <w:r>
        <w:rPr>
          <w:spacing w:val="-8"/>
        </w:rPr>
        <w:t xml:space="preserve"> </w:t>
      </w:r>
      <w:r>
        <w:t>it</w:t>
      </w:r>
      <w:r>
        <w:rPr>
          <w:spacing w:val="-8"/>
        </w:rPr>
        <w:t xml:space="preserve"> </w:t>
      </w:r>
      <w:r>
        <w:t>by</w:t>
      </w:r>
      <w:r>
        <w:rPr>
          <w:spacing w:val="-6"/>
        </w:rPr>
        <w:t xml:space="preserve"> </w:t>
      </w:r>
      <w:r>
        <w:t>explaining</w:t>
      </w:r>
      <w:r>
        <w:rPr>
          <w:spacing w:val="-8"/>
        </w:rPr>
        <w:t xml:space="preserve"> </w:t>
      </w:r>
      <w:r>
        <w:t>the</w:t>
      </w:r>
      <w:r>
        <w:rPr>
          <w:spacing w:val="-7"/>
        </w:rPr>
        <w:t xml:space="preserve"> </w:t>
      </w:r>
      <w:r>
        <w:t>problem</w:t>
      </w:r>
      <w:r>
        <w:rPr>
          <w:spacing w:val="-8"/>
        </w:rPr>
        <w:t xml:space="preserve"> </w:t>
      </w:r>
      <w:r>
        <w:t>with</w:t>
      </w:r>
      <w:r>
        <w:rPr>
          <w:spacing w:val="-8"/>
        </w:rPr>
        <w:t xml:space="preserve"> </w:t>
      </w:r>
      <w:r>
        <w:t>such</w:t>
      </w:r>
      <w:r>
        <w:rPr>
          <w:spacing w:val="-5"/>
        </w:rPr>
        <w:t xml:space="preserve"> </w:t>
      </w:r>
      <w:r>
        <w:t>names,</w:t>
      </w:r>
      <w:r>
        <w:rPr>
          <w:spacing w:val="-8"/>
        </w:rPr>
        <w:t xml:space="preserve"> </w:t>
      </w:r>
      <w:r>
        <w:t>but</w:t>
      </w:r>
      <w:r>
        <w:rPr>
          <w:spacing w:val="-8"/>
        </w:rPr>
        <w:t xml:space="preserve"> </w:t>
      </w:r>
      <w:r>
        <w:t>otherwise</w:t>
      </w:r>
      <w:r>
        <w:rPr>
          <w:spacing w:val="-8"/>
        </w:rPr>
        <w:t xml:space="preserve"> </w:t>
      </w:r>
      <w:r>
        <w:t>will</w:t>
      </w:r>
      <w:r>
        <w:rPr>
          <w:spacing w:val="-5"/>
        </w:rPr>
        <w:t xml:space="preserve"> </w:t>
      </w:r>
      <w:r>
        <w:t>try</w:t>
      </w:r>
      <w:r>
        <w:rPr>
          <w:spacing w:val="-7"/>
        </w:rPr>
        <w:t xml:space="preserve"> </w:t>
      </w:r>
      <w:r>
        <w:t>to</w:t>
      </w:r>
      <w:r>
        <w:rPr>
          <w:spacing w:val="-7"/>
        </w:rPr>
        <w:t xml:space="preserve"> </w:t>
      </w:r>
      <w:r>
        <w:t>adhere</w:t>
      </w:r>
      <w:r>
        <w:rPr>
          <w:spacing w:val="-4"/>
        </w:rPr>
        <w:t xml:space="preserve"> </w:t>
      </w:r>
      <w:r>
        <w:t>to</w:t>
      </w:r>
      <w:r>
        <w:rPr>
          <w:spacing w:val="-7"/>
        </w:rPr>
        <w:t xml:space="preserve"> </w:t>
      </w:r>
      <w:r>
        <w:t>the</w:t>
      </w:r>
      <w:r>
        <w:rPr>
          <w:spacing w:val="-8"/>
        </w:rPr>
        <w:t xml:space="preserve"> </w:t>
      </w:r>
      <w:r>
        <w:t>terms</w:t>
      </w:r>
      <w:r>
        <w:rPr>
          <w:spacing w:val="-5"/>
        </w:rPr>
        <w:t xml:space="preserve"> </w:t>
      </w:r>
      <w:r>
        <w:t>used by researchers to avoid misclassifying findings or making even more assumptions about the populations studied. While we respect people's rights to self-identify, we recognize that research standards have significant advances to make, and they may happ</w:t>
      </w:r>
      <w:r>
        <w:t>en at a slower pace than social change.</w:t>
      </w:r>
    </w:p>
    <w:p w:rsidR="00C76E6D" w:rsidRDefault="00C76E6D">
      <w:pPr>
        <w:pStyle w:val="BodyText"/>
        <w:spacing w:before="8"/>
        <w:rPr>
          <w:sz w:val="19"/>
        </w:rPr>
      </w:pPr>
    </w:p>
    <w:p w:rsidR="00C76E6D" w:rsidRDefault="00913831">
      <w:pPr>
        <w:pStyle w:val="BodyText"/>
        <w:spacing w:line="276" w:lineRule="auto"/>
        <w:ind w:left="338" w:right="286"/>
        <w:jc w:val="both"/>
      </w:pPr>
      <w:r>
        <w:t>Another complication of data collection for the health of LGBTQ youth is the impact of sociocultural factors on identity development, disclosure, race, ability, socioeconomic status, and social norms.</w:t>
      </w:r>
      <w:hyperlink w:anchor="_bookmark420" w:history="1">
        <w:r>
          <w:rPr>
            <w:vertAlign w:val="superscript"/>
          </w:rPr>
          <w:t>2</w:t>
        </w:r>
      </w:hyperlink>
      <w:r>
        <w:t xml:space="preserve"> Much of the research treats race, gender, sex, and other “</w:t>
      </w:r>
      <w:r>
        <w:rPr>
          <w:i/>
        </w:rPr>
        <w:t xml:space="preserve">biological” </w:t>
      </w:r>
      <w:r>
        <w:t>markers as axioms or self-stated truths when the reality</w:t>
      </w:r>
      <w:r>
        <w:rPr>
          <w:spacing w:val="-7"/>
        </w:rPr>
        <w:t xml:space="preserve"> </w:t>
      </w:r>
      <w:r>
        <w:t>is</w:t>
      </w:r>
      <w:r>
        <w:rPr>
          <w:spacing w:val="-7"/>
        </w:rPr>
        <w:t xml:space="preserve"> </w:t>
      </w:r>
      <w:r>
        <w:t>more</w:t>
      </w:r>
      <w:r>
        <w:rPr>
          <w:spacing w:val="-7"/>
        </w:rPr>
        <w:t xml:space="preserve"> </w:t>
      </w:r>
      <w:r>
        <w:t>complicated.</w:t>
      </w:r>
      <w:r>
        <w:rPr>
          <w:spacing w:val="-7"/>
        </w:rPr>
        <w:t xml:space="preserve"> </w:t>
      </w:r>
      <w:r>
        <w:t>The</w:t>
      </w:r>
      <w:r>
        <w:rPr>
          <w:spacing w:val="-6"/>
        </w:rPr>
        <w:t xml:space="preserve"> </w:t>
      </w:r>
      <w:r>
        <w:t>concept</w:t>
      </w:r>
      <w:r>
        <w:rPr>
          <w:spacing w:val="-7"/>
        </w:rPr>
        <w:t xml:space="preserve"> </w:t>
      </w:r>
      <w:r>
        <w:t>of</w:t>
      </w:r>
      <w:r>
        <w:rPr>
          <w:spacing w:val="-7"/>
        </w:rPr>
        <w:t xml:space="preserve"> </w:t>
      </w:r>
      <w:r>
        <w:t>race</w:t>
      </w:r>
      <w:r>
        <w:rPr>
          <w:spacing w:val="-6"/>
        </w:rPr>
        <w:t xml:space="preserve"> </w:t>
      </w:r>
      <w:r>
        <w:t>is</w:t>
      </w:r>
      <w:r>
        <w:rPr>
          <w:spacing w:val="-7"/>
        </w:rPr>
        <w:t xml:space="preserve"> </w:t>
      </w:r>
      <w:r>
        <w:t>a</w:t>
      </w:r>
      <w:r>
        <w:rPr>
          <w:spacing w:val="-6"/>
        </w:rPr>
        <w:t xml:space="preserve"> </w:t>
      </w:r>
      <w:r>
        <w:t>social</w:t>
      </w:r>
      <w:r>
        <w:rPr>
          <w:spacing w:val="-7"/>
        </w:rPr>
        <w:t xml:space="preserve"> </w:t>
      </w:r>
      <w:r>
        <w:t>construct,</w:t>
      </w:r>
      <w:r>
        <w:rPr>
          <w:spacing w:val="-7"/>
        </w:rPr>
        <w:t xml:space="preserve"> </w:t>
      </w:r>
      <w:r>
        <w:t>and</w:t>
      </w:r>
      <w:r>
        <w:rPr>
          <w:spacing w:val="-8"/>
        </w:rPr>
        <w:t xml:space="preserve"> </w:t>
      </w:r>
      <w:r>
        <w:t>its</w:t>
      </w:r>
      <w:r>
        <w:rPr>
          <w:spacing w:val="-8"/>
        </w:rPr>
        <w:t xml:space="preserve"> </w:t>
      </w:r>
      <w:r>
        <w:t>definition</w:t>
      </w:r>
      <w:r>
        <w:rPr>
          <w:spacing w:val="-7"/>
        </w:rPr>
        <w:t xml:space="preserve"> </w:t>
      </w:r>
      <w:r>
        <w:t>has</w:t>
      </w:r>
      <w:r>
        <w:rPr>
          <w:spacing w:val="-7"/>
        </w:rPr>
        <w:t xml:space="preserve"> </w:t>
      </w:r>
      <w:r>
        <w:t>changed</w:t>
      </w:r>
      <w:r>
        <w:rPr>
          <w:spacing w:val="-8"/>
        </w:rPr>
        <w:t xml:space="preserve"> </w:t>
      </w:r>
      <w:r>
        <w:t>over</w:t>
      </w:r>
      <w:r>
        <w:rPr>
          <w:spacing w:val="-8"/>
        </w:rPr>
        <w:t xml:space="preserve"> </w:t>
      </w:r>
      <w:r>
        <w:t>time accor</w:t>
      </w:r>
      <w:r>
        <w:t>ding</w:t>
      </w:r>
      <w:r>
        <w:rPr>
          <w:spacing w:val="-2"/>
        </w:rPr>
        <w:t xml:space="preserve"> </w:t>
      </w:r>
      <w:r>
        <w:t>to political</w:t>
      </w:r>
      <w:r>
        <w:rPr>
          <w:spacing w:val="-1"/>
        </w:rPr>
        <w:t xml:space="preserve"> </w:t>
      </w:r>
      <w:r>
        <w:t>and</w:t>
      </w:r>
      <w:r>
        <w:rPr>
          <w:spacing w:val="-1"/>
        </w:rPr>
        <w:t xml:space="preserve"> </w:t>
      </w:r>
      <w:r>
        <w:t>economic</w:t>
      </w:r>
      <w:r>
        <w:rPr>
          <w:spacing w:val="-2"/>
        </w:rPr>
        <w:t xml:space="preserve"> </w:t>
      </w:r>
      <w:r>
        <w:t>forces</w:t>
      </w:r>
      <w:hyperlink w:anchor="_bookmark421" w:history="1">
        <w:r>
          <w:t>.</w:t>
        </w:r>
        <w:r>
          <w:rPr>
            <w:vertAlign w:val="superscript"/>
          </w:rPr>
          <w:t>3</w:t>
        </w:r>
        <w:r>
          <w:rPr>
            <w:spacing w:val="-1"/>
          </w:rPr>
          <w:t xml:space="preserve"> </w:t>
        </w:r>
      </w:hyperlink>
      <w:r>
        <w:t>Some</w:t>
      </w:r>
      <w:r>
        <w:rPr>
          <w:spacing w:val="-1"/>
        </w:rPr>
        <w:t xml:space="preserve"> </w:t>
      </w:r>
      <w:r>
        <w:t>theorists have</w:t>
      </w:r>
      <w:r>
        <w:rPr>
          <w:spacing w:val="-1"/>
        </w:rPr>
        <w:t xml:space="preserve"> </w:t>
      </w:r>
      <w:r>
        <w:t>found</w:t>
      </w:r>
      <w:r>
        <w:rPr>
          <w:spacing w:val="-1"/>
        </w:rPr>
        <w:t xml:space="preserve"> </w:t>
      </w:r>
      <w:r>
        <w:t>parallels between</w:t>
      </w:r>
      <w:r>
        <w:rPr>
          <w:spacing w:val="-1"/>
        </w:rPr>
        <w:t xml:space="preserve"> </w:t>
      </w:r>
      <w:r>
        <w:t>the</w:t>
      </w:r>
      <w:r>
        <w:rPr>
          <w:spacing w:val="-1"/>
        </w:rPr>
        <w:t xml:space="preserve"> </w:t>
      </w:r>
      <w:r>
        <w:t>developments of oppressive forces, "the modern concept of race and the institutions and practices that developed and deployed</w:t>
      </w:r>
      <w:r>
        <w:rPr>
          <w:spacing w:val="-2"/>
        </w:rPr>
        <w:t xml:space="preserve"> </w:t>
      </w:r>
      <w:r>
        <w:t>that</w:t>
      </w:r>
      <w:r>
        <w:rPr>
          <w:spacing w:val="-2"/>
        </w:rPr>
        <w:t xml:space="preserve"> </w:t>
      </w:r>
      <w:r>
        <w:t>concept</w:t>
      </w:r>
      <w:r>
        <w:rPr>
          <w:spacing w:val="-4"/>
        </w:rPr>
        <w:t xml:space="preserve"> </w:t>
      </w:r>
      <w:r>
        <w:t>arose</w:t>
      </w:r>
      <w:r>
        <w:rPr>
          <w:spacing w:val="-3"/>
        </w:rPr>
        <w:t xml:space="preserve"> </w:t>
      </w:r>
      <w:r>
        <w:t>within</w:t>
      </w:r>
      <w:r>
        <w:rPr>
          <w:spacing w:val="-2"/>
        </w:rPr>
        <w:t xml:space="preserve"> </w:t>
      </w:r>
      <w:r>
        <w:t>the</w:t>
      </w:r>
      <w:r>
        <w:rPr>
          <w:spacing w:val="-2"/>
        </w:rPr>
        <w:t xml:space="preserve"> </w:t>
      </w:r>
      <w:r>
        <w:t>same</w:t>
      </w:r>
      <w:r>
        <w:rPr>
          <w:spacing w:val="-3"/>
        </w:rPr>
        <w:t xml:space="preserve"> </w:t>
      </w:r>
      <w:r>
        <w:t>networks</w:t>
      </w:r>
      <w:r>
        <w:rPr>
          <w:spacing w:val="-3"/>
        </w:rPr>
        <w:t xml:space="preserve"> </w:t>
      </w:r>
      <w:r>
        <w:t>of</w:t>
      </w:r>
      <w:r>
        <w:rPr>
          <w:spacing w:val="-3"/>
        </w:rPr>
        <w:t xml:space="preserve"> </w:t>
      </w:r>
      <w:r>
        <w:t>disciplinary</w:t>
      </w:r>
      <w:r>
        <w:rPr>
          <w:spacing w:val="-2"/>
        </w:rPr>
        <w:t xml:space="preserve"> </w:t>
      </w:r>
      <w:r>
        <w:t>normalization</w:t>
      </w:r>
      <w:r>
        <w:rPr>
          <w:spacing w:val="-3"/>
        </w:rPr>
        <w:t xml:space="preserve"> </w:t>
      </w:r>
      <w:r>
        <w:t>and</w:t>
      </w:r>
      <w:r>
        <w:rPr>
          <w:spacing w:val="-3"/>
        </w:rPr>
        <w:t xml:space="preserve"> </w:t>
      </w:r>
      <w:r>
        <w:t>biopower</w:t>
      </w:r>
      <w:r>
        <w:rPr>
          <w:spacing w:val="-4"/>
        </w:rPr>
        <w:t xml:space="preserve"> </w:t>
      </w:r>
      <w:r>
        <w:t>that</w:t>
      </w:r>
      <w:r>
        <w:rPr>
          <w:spacing w:val="-2"/>
        </w:rPr>
        <w:t xml:space="preserve"> </w:t>
      </w:r>
      <w:r>
        <w:t>gave us</w:t>
      </w:r>
      <w:r>
        <w:rPr>
          <w:spacing w:val="-5"/>
        </w:rPr>
        <w:t xml:space="preserve"> </w:t>
      </w:r>
      <w:r>
        <w:t>the</w:t>
      </w:r>
      <w:r>
        <w:rPr>
          <w:spacing w:val="-7"/>
        </w:rPr>
        <w:t xml:space="preserve"> </w:t>
      </w:r>
      <w:r>
        <w:t>modern</w:t>
      </w:r>
      <w:r>
        <w:rPr>
          <w:spacing w:val="-7"/>
        </w:rPr>
        <w:t xml:space="preserve"> </w:t>
      </w:r>
      <w:r>
        <w:t>concept</w:t>
      </w:r>
      <w:r>
        <w:rPr>
          <w:spacing w:val="-6"/>
        </w:rPr>
        <w:t xml:space="preserve"> </w:t>
      </w:r>
      <w:r>
        <w:t>of</w:t>
      </w:r>
      <w:r>
        <w:rPr>
          <w:spacing w:val="-4"/>
        </w:rPr>
        <w:t xml:space="preserve"> </w:t>
      </w:r>
      <w:r>
        <w:t>sex."</w:t>
      </w:r>
      <w:hyperlink w:anchor="_bookmark422" w:history="1">
        <w:r>
          <w:rPr>
            <w:vertAlign w:val="superscript"/>
          </w:rPr>
          <w:t>4</w:t>
        </w:r>
        <w:r>
          <w:rPr>
            <w:spacing w:val="-4"/>
          </w:rPr>
          <w:t xml:space="preserve"> </w:t>
        </w:r>
      </w:hyperlink>
      <w:r>
        <w:t>The</w:t>
      </w:r>
      <w:r>
        <w:rPr>
          <w:spacing w:val="-5"/>
        </w:rPr>
        <w:t xml:space="preserve"> </w:t>
      </w:r>
      <w:r>
        <w:t>reader</w:t>
      </w:r>
      <w:r>
        <w:rPr>
          <w:spacing w:val="-6"/>
        </w:rPr>
        <w:t xml:space="preserve"> </w:t>
      </w:r>
      <w:r>
        <w:t>should</w:t>
      </w:r>
      <w:r>
        <w:rPr>
          <w:spacing w:val="-5"/>
        </w:rPr>
        <w:t xml:space="preserve"> </w:t>
      </w:r>
      <w:r>
        <w:t>not</w:t>
      </w:r>
      <w:r>
        <w:rPr>
          <w:spacing w:val="-7"/>
        </w:rPr>
        <w:t xml:space="preserve"> </w:t>
      </w:r>
      <w:r>
        <w:t>fall</w:t>
      </w:r>
      <w:r>
        <w:rPr>
          <w:spacing w:val="-6"/>
        </w:rPr>
        <w:t xml:space="preserve"> </w:t>
      </w:r>
      <w:r>
        <w:t>into</w:t>
      </w:r>
      <w:r>
        <w:rPr>
          <w:spacing w:val="-6"/>
        </w:rPr>
        <w:t xml:space="preserve"> </w:t>
      </w:r>
      <w:r>
        <w:t>the</w:t>
      </w:r>
      <w:r>
        <w:rPr>
          <w:spacing w:val="-5"/>
        </w:rPr>
        <w:t xml:space="preserve"> </w:t>
      </w:r>
      <w:r>
        <w:t>common</w:t>
      </w:r>
      <w:r>
        <w:rPr>
          <w:spacing w:val="-7"/>
        </w:rPr>
        <w:t xml:space="preserve"> </w:t>
      </w:r>
      <w:r>
        <w:t>fallacy</w:t>
      </w:r>
      <w:r>
        <w:rPr>
          <w:spacing w:val="-5"/>
        </w:rPr>
        <w:t xml:space="preserve"> </w:t>
      </w:r>
      <w:r>
        <w:t>that</w:t>
      </w:r>
      <w:r>
        <w:rPr>
          <w:spacing w:val="-6"/>
        </w:rPr>
        <w:t xml:space="preserve"> </w:t>
      </w:r>
      <w:r>
        <w:t>oppression</w:t>
      </w:r>
      <w:r>
        <w:rPr>
          <w:spacing w:val="-6"/>
        </w:rPr>
        <w:t xml:space="preserve"> </w:t>
      </w:r>
      <w:r>
        <w:t>based</w:t>
      </w:r>
      <w:r>
        <w:rPr>
          <w:spacing w:val="-5"/>
        </w:rPr>
        <w:t xml:space="preserve"> </w:t>
      </w:r>
      <w:r>
        <w:t>on sexuality,</w:t>
      </w:r>
      <w:r>
        <w:rPr>
          <w:spacing w:val="-7"/>
        </w:rPr>
        <w:t xml:space="preserve"> </w:t>
      </w:r>
      <w:r>
        <w:t>gender,</w:t>
      </w:r>
      <w:r>
        <w:rPr>
          <w:spacing w:val="-8"/>
        </w:rPr>
        <w:t xml:space="preserve"> </w:t>
      </w:r>
      <w:r>
        <w:t>or</w:t>
      </w:r>
      <w:r>
        <w:rPr>
          <w:spacing w:val="-9"/>
        </w:rPr>
        <w:t xml:space="preserve"> </w:t>
      </w:r>
      <w:r>
        <w:t>ra</w:t>
      </w:r>
      <w:r>
        <w:t>ce</w:t>
      </w:r>
      <w:r>
        <w:rPr>
          <w:spacing w:val="-8"/>
        </w:rPr>
        <w:t xml:space="preserve"> </w:t>
      </w:r>
      <w:r>
        <w:t>is</w:t>
      </w:r>
      <w:r>
        <w:rPr>
          <w:spacing w:val="-6"/>
        </w:rPr>
        <w:t xml:space="preserve"> </w:t>
      </w:r>
      <w:r>
        <w:t>the</w:t>
      </w:r>
      <w:r>
        <w:rPr>
          <w:spacing w:val="-8"/>
        </w:rPr>
        <w:t xml:space="preserve"> </w:t>
      </w:r>
      <w:r>
        <w:t>same,</w:t>
      </w:r>
      <w:r>
        <w:rPr>
          <w:spacing w:val="-7"/>
        </w:rPr>
        <w:t xml:space="preserve"> </w:t>
      </w:r>
      <w:r>
        <w:t>but</w:t>
      </w:r>
      <w:r>
        <w:rPr>
          <w:spacing w:val="-9"/>
        </w:rPr>
        <w:t xml:space="preserve"> </w:t>
      </w:r>
      <w:r>
        <w:t>the</w:t>
      </w:r>
      <w:r>
        <w:rPr>
          <w:spacing w:val="-8"/>
        </w:rPr>
        <w:t xml:space="preserve"> </w:t>
      </w:r>
      <w:r>
        <w:t>forces</w:t>
      </w:r>
      <w:r>
        <w:rPr>
          <w:spacing w:val="-8"/>
        </w:rPr>
        <w:t xml:space="preserve"> </w:t>
      </w:r>
      <w:r>
        <w:t>that</w:t>
      </w:r>
      <w:r>
        <w:rPr>
          <w:spacing w:val="-9"/>
        </w:rPr>
        <w:t xml:space="preserve"> </w:t>
      </w:r>
      <w:r>
        <w:t>benefit</w:t>
      </w:r>
      <w:r>
        <w:rPr>
          <w:spacing w:val="-9"/>
        </w:rPr>
        <w:t xml:space="preserve"> </w:t>
      </w:r>
      <w:r>
        <w:t>from</w:t>
      </w:r>
      <w:r>
        <w:rPr>
          <w:spacing w:val="-9"/>
        </w:rPr>
        <w:t xml:space="preserve"> </w:t>
      </w:r>
      <w:r>
        <w:t>the</w:t>
      </w:r>
      <w:r>
        <w:rPr>
          <w:spacing w:val="-8"/>
        </w:rPr>
        <w:t xml:space="preserve"> </w:t>
      </w:r>
      <w:r>
        <w:t>policing</w:t>
      </w:r>
      <w:r>
        <w:rPr>
          <w:spacing w:val="-9"/>
        </w:rPr>
        <w:t xml:space="preserve"> </w:t>
      </w:r>
      <w:r>
        <w:t>of</w:t>
      </w:r>
      <w:r>
        <w:rPr>
          <w:spacing w:val="-7"/>
        </w:rPr>
        <w:t xml:space="preserve"> </w:t>
      </w:r>
      <w:r>
        <w:t>each</w:t>
      </w:r>
      <w:r>
        <w:rPr>
          <w:spacing w:val="-8"/>
        </w:rPr>
        <w:t xml:space="preserve"> </w:t>
      </w:r>
      <w:r>
        <w:t>category</w:t>
      </w:r>
      <w:r>
        <w:rPr>
          <w:spacing w:val="-10"/>
        </w:rPr>
        <w:t xml:space="preserve"> </w:t>
      </w:r>
      <w:r>
        <w:t>may</w:t>
      </w:r>
      <w:r>
        <w:rPr>
          <w:spacing w:val="-9"/>
        </w:rPr>
        <w:t xml:space="preserve"> </w:t>
      </w:r>
      <w:r>
        <w:t>have developed in similar styles. This nuanced difference will be significant to remember in the later discussion about intersectionality and the compound effects of oppression.</w:t>
      </w:r>
    </w:p>
    <w:p w:rsidR="00C76E6D" w:rsidRDefault="00C76E6D">
      <w:pPr>
        <w:pStyle w:val="BodyText"/>
        <w:spacing w:before="4"/>
        <w:rPr>
          <w:sz w:val="25"/>
        </w:rPr>
      </w:pPr>
    </w:p>
    <w:p w:rsidR="00C76E6D" w:rsidRDefault="00913831">
      <w:pPr>
        <w:pStyle w:val="Heading5"/>
        <w:spacing w:before="1"/>
      </w:pPr>
      <w:r>
        <w:pict>
          <v:rect id="docshape298" o:spid="_x0000_s1141" style="position:absolute;left:0;text-align:left;margin-left:65pt;margin-top:15.7pt;width:476.45pt;height:3.55pt;z-index:-15675392;mso-wrap-distance-left:0;mso-wrap-distance-right:0;mso-position-horizontal-relative:page" fillcolor="black" stroked="f">
            <w10:wrap type="topAndBottom" anchorx="page"/>
          </v:rect>
        </w:pict>
      </w:r>
      <w:bookmarkStart w:id="553" w:name="A._Recommendations_to_the_Governor_and_L"/>
      <w:bookmarkEnd w:id="553"/>
      <w:r>
        <w:t>A.</w:t>
      </w:r>
      <w:r>
        <w:rPr>
          <w:spacing w:val="54"/>
          <w:w w:val="150"/>
        </w:rPr>
        <w:t xml:space="preserve"> </w:t>
      </w:r>
      <w:r>
        <w:t>Recommendations</w:t>
      </w:r>
      <w:r>
        <w:rPr>
          <w:spacing w:val="-10"/>
        </w:rPr>
        <w:t xml:space="preserve"> </w:t>
      </w:r>
      <w:r>
        <w:t>to</w:t>
      </w:r>
      <w:r>
        <w:rPr>
          <w:spacing w:val="-6"/>
        </w:rPr>
        <w:t xml:space="preserve"> </w:t>
      </w:r>
      <w:r>
        <w:t>the</w:t>
      </w:r>
      <w:r>
        <w:rPr>
          <w:spacing w:val="-6"/>
        </w:rPr>
        <w:t xml:space="preserve"> </w:t>
      </w:r>
      <w:r>
        <w:t>Governor</w:t>
      </w:r>
      <w:r>
        <w:rPr>
          <w:spacing w:val="-9"/>
        </w:rPr>
        <w:t xml:space="preserve"> </w:t>
      </w:r>
      <w:r>
        <w:t>and</w:t>
      </w:r>
      <w:r>
        <w:rPr>
          <w:spacing w:val="-7"/>
        </w:rPr>
        <w:t xml:space="preserve"> </w:t>
      </w:r>
      <w:r>
        <w:t>Legislature</w:t>
      </w:r>
      <w:r>
        <w:rPr>
          <w:spacing w:val="-6"/>
        </w:rPr>
        <w:t xml:space="preserve"> </w:t>
      </w:r>
      <w:r>
        <w:t>on</w:t>
      </w:r>
      <w:r>
        <w:rPr>
          <w:spacing w:val="-8"/>
        </w:rPr>
        <w:t xml:space="preserve"> </w:t>
      </w:r>
      <w:r>
        <w:rPr>
          <w:spacing w:val="-2"/>
        </w:rPr>
        <w:t>Health</w:t>
      </w:r>
    </w:p>
    <w:p w:rsidR="00C76E6D" w:rsidRDefault="00C76E6D">
      <w:pPr>
        <w:pStyle w:val="BodyText"/>
        <w:spacing w:before="9"/>
        <w:rPr>
          <w:b/>
          <w:sz w:val="25"/>
        </w:rPr>
      </w:pPr>
    </w:p>
    <w:p w:rsidR="00C76E6D" w:rsidRDefault="00913831">
      <w:pPr>
        <w:pStyle w:val="Heading6"/>
        <w:numPr>
          <w:ilvl w:val="0"/>
          <w:numId w:val="36"/>
        </w:numPr>
        <w:tabs>
          <w:tab w:val="left" w:pos="568"/>
        </w:tabs>
        <w:spacing w:line="276" w:lineRule="auto"/>
        <w:ind w:right="397" w:firstLine="0"/>
      </w:pPr>
      <w:bookmarkStart w:id="554" w:name="1._Ensure_that_comprehensive,_age-approp"/>
      <w:bookmarkEnd w:id="554"/>
      <w:r>
        <w:t>Ensure</w:t>
      </w:r>
      <w:r>
        <w:rPr>
          <w:spacing w:val="-4"/>
        </w:rPr>
        <w:t xml:space="preserve"> </w:t>
      </w:r>
      <w:r>
        <w:t>that</w:t>
      </w:r>
      <w:r>
        <w:rPr>
          <w:spacing w:val="-4"/>
        </w:rPr>
        <w:t xml:space="preserve"> </w:t>
      </w:r>
      <w:r>
        <w:t>co</w:t>
      </w:r>
      <w:r>
        <w:t>mprehensive,</w:t>
      </w:r>
      <w:r>
        <w:rPr>
          <w:spacing w:val="-5"/>
        </w:rPr>
        <w:t xml:space="preserve"> </w:t>
      </w:r>
      <w:r>
        <w:t>age-appropriate,</w:t>
      </w:r>
      <w:r>
        <w:rPr>
          <w:spacing w:val="-4"/>
        </w:rPr>
        <w:t xml:space="preserve"> </w:t>
      </w:r>
      <w:r>
        <w:t>and</w:t>
      </w:r>
      <w:r>
        <w:rPr>
          <w:spacing w:val="-4"/>
        </w:rPr>
        <w:t xml:space="preserve"> </w:t>
      </w:r>
      <w:r>
        <w:t>LGBTQ-inclusive</w:t>
      </w:r>
      <w:r>
        <w:rPr>
          <w:spacing w:val="-5"/>
        </w:rPr>
        <w:t xml:space="preserve"> </w:t>
      </w:r>
      <w:r>
        <w:t>sexual</w:t>
      </w:r>
      <w:r>
        <w:rPr>
          <w:spacing w:val="-4"/>
        </w:rPr>
        <w:t xml:space="preserve"> </w:t>
      </w:r>
      <w:r>
        <w:t>health</w:t>
      </w:r>
      <w:r>
        <w:rPr>
          <w:spacing w:val="-4"/>
        </w:rPr>
        <w:t xml:space="preserve"> </w:t>
      </w:r>
      <w:r>
        <w:t>education</w:t>
      </w:r>
      <w:r>
        <w:rPr>
          <w:spacing w:val="-5"/>
        </w:rPr>
        <w:t xml:space="preserve"> </w:t>
      </w:r>
      <w:r>
        <w:t>is</w:t>
      </w:r>
      <w:r>
        <w:rPr>
          <w:spacing w:val="-4"/>
        </w:rPr>
        <w:t xml:space="preserve"> </w:t>
      </w:r>
      <w:r>
        <w:t>taught</w:t>
      </w:r>
      <w:r>
        <w:rPr>
          <w:spacing w:val="-6"/>
        </w:rPr>
        <w:t xml:space="preserve"> </w:t>
      </w:r>
      <w:r>
        <w:t>in every school district and supported with adequate funding.</w:t>
      </w:r>
    </w:p>
    <w:p w:rsidR="00C76E6D" w:rsidRDefault="00C76E6D">
      <w:pPr>
        <w:pStyle w:val="BodyText"/>
        <w:spacing w:before="4"/>
        <w:rPr>
          <w:b/>
          <w:sz w:val="25"/>
        </w:rPr>
      </w:pPr>
    </w:p>
    <w:p w:rsidR="00C76E6D" w:rsidRDefault="00913831">
      <w:pPr>
        <w:pStyle w:val="BodyText"/>
        <w:spacing w:before="1" w:line="276" w:lineRule="auto"/>
        <w:ind w:left="337" w:right="292"/>
        <w:jc w:val="both"/>
      </w:pPr>
      <w:r>
        <w:t>LGBTQ</w:t>
      </w:r>
      <w:r>
        <w:rPr>
          <w:spacing w:val="-10"/>
        </w:rPr>
        <w:t xml:space="preserve"> </w:t>
      </w:r>
      <w:r>
        <w:t>youth,</w:t>
      </w:r>
      <w:r>
        <w:rPr>
          <w:spacing w:val="-9"/>
        </w:rPr>
        <w:t xml:space="preserve"> </w:t>
      </w:r>
      <w:r>
        <w:t>especially</w:t>
      </w:r>
      <w:r>
        <w:rPr>
          <w:spacing w:val="-8"/>
        </w:rPr>
        <w:t xml:space="preserve"> </w:t>
      </w:r>
      <w:r>
        <w:t>those</w:t>
      </w:r>
      <w:r>
        <w:rPr>
          <w:spacing w:val="-12"/>
        </w:rPr>
        <w:t xml:space="preserve"> </w:t>
      </w:r>
      <w:r>
        <w:t>in</w:t>
      </w:r>
      <w:r>
        <w:rPr>
          <w:spacing w:val="-10"/>
        </w:rPr>
        <w:t xml:space="preserve"> </w:t>
      </w:r>
      <w:r>
        <w:t>areas</w:t>
      </w:r>
      <w:r>
        <w:rPr>
          <w:spacing w:val="-10"/>
        </w:rPr>
        <w:t xml:space="preserve"> </w:t>
      </w:r>
      <w:r>
        <w:t>that</w:t>
      </w:r>
      <w:r>
        <w:rPr>
          <w:spacing w:val="-12"/>
        </w:rPr>
        <w:t xml:space="preserve"> </w:t>
      </w:r>
      <w:r>
        <w:t>lack</w:t>
      </w:r>
      <w:r>
        <w:rPr>
          <w:spacing w:val="-10"/>
        </w:rPr>
        <w:t xml:space="preserve"> </w:t>
      </w:r>
      <w:r>
        <w:t>LGBTQ-focused</w:t>
      </w:r>
      <w:r>
        <w:rPr>
          <w:spacing w:val="-11"/>
        </w:rPr>
        <w:t xml:space="preserve"> </w:t>
      </w:r>
      <w:r>
        <w:t>health</w:t>
      </w:r>
      <w:r>
        <w:rPr>
          <w:spacing w:val="-10"/>
        </w:rPr>
        <w:t xml:space="preserve"> </w:t>
      </w:r>
      <w:r>
        <w:t>clinics,</w:t>
      </w:r>
      <w:r>
        <w:rPr>
          <w:spacing w:val="-10"/>
        </w:rPr>
        <w:t xml:space="preserve"> </w:t>
      </w:r>
      <w:r>
        <w:t>rely</w:t>
      </w:r>
      <w:r>
        <w:rPr>
          <w:spacing w:val="-10"/>
        </w:rPr>
        <w:t xml:space="preserve"> </w:t>
      </w:r>
      <w:r>
        <w:t>on</w:t>
      </w:r>
      <w:r>
        <w:rPr>
          <w:spacing w:val="-10"/>
        </w:rPr>
        <w:t xml:space="preserve"> </w:t>
      </w:r>
      <w:r>
        <w:t>schools</w:t>
      </w:r>
      <w:r>
        <w:rPr>
          <w:spacing w:val="-10"/>
        </w:rPr>
        <w:t xml:space="preserve"> </w:t>
      </w:r>
      <w:r>
        <w:t>to</w:t>
      </w:r>
      <w:r>
        <w:rPr>
          <w:spacing w:val="-10"/>
        </w:rPr>
        <w:t xml:space="preserve"> </w:t>
      </w:r>
      <w:r>
        <w:t>provide</w:t>
      </w:r>
      <w:r>
        <w:rPr>
          <w:spacing w:val="-10"/>
        </w:rPr>
        <w:t xml:space="preserve"> </w:t>
      </w:r>
      <w:r>
        <w:t>basic education on sexual health. Not only does sexual health education need to be inclusive and comprehensive, but</w:t>
      </w:r>
      <w:r>
        <w:rPr>
          <w:spacing w:val="-6"/>
        </w:rPr>
        <w:t xml:space="preserve"> </w:t>
      </w:r>
      <w:r>
        <w:t>it</w:t>
      </w:r>
      <w:r>
        <w:rPr>
          <w:spacing w:val="-6"/>
        </w:rPr>
        <w:t xml:space="preserve"> </w:t>
      </w:r>
      <w:r>
        <w:t>also</w:t>
      </w:r>
      <w:r>
        <w:rPr>
          <w:spacing w:val="-5"/>
        </w:rPr>
        <w:t xml:space="preserve"> </w:t>
      </w:r>
      <w:r>
        <w:t>must</w:t>
      </w:r>
      <w:r>
        <w:rPr>
          <w:spacing w:val="-7"/>
        </w:rPr>
        <w:t xml:space="preserve"> </w:t>
      </w:r>
      <w:r>
        <w:t>be</w:t>
      </w:r>
      <w:r>
        <w:rPr>
          <w:spacing w:val="-4"/>
        </w:rPr>
        <w:t xml:space="preserve"> </w:t>
      </w:r>
      <w:r>
        <w:t>provided</w:t>
      </w:r>
      <w:r>
        <w:rPr>
          <w:spacing w:val="-7"/>
        </w:rPr>
        <w:t xml:space="preserve"> </w:t>
      </w:r>
      <w:r>
        <w:t>in</w:t>
      </w:r>
      <w:r>
        <w:rPr>
          <w:spacing w:val="-4"/>
        </w:rPr>
        <w:t xml:space="preserve"> </w:t>
      </w:r>
      <w:r>
        <w:t>every</w:t>
      </w:r>
      <w:r>
        <w:rPr>
          <w:spacing w:val="-4"/>
        </w:rPr>
        <w:t xml:space="preserve"> </w:t>
      </w:r>
      <w:r>
        <w:t>district.</w:t>
      </w:r>
      <w:r>
        <w:rPr>
          <w:spacing w:val="-6"/>
        </w:rPr>
        <w:t xml:space="preserve"> </w:t>
      </w:r>
      <w:r>
        <w:t>To</w:t>
      </w:r>
      <w:r>
        <w:rPr>
          <w:spacing w:val="-6"/>
        </w:rPr>
        <w:t xml:space="preserve"> </w:t>
      </w:r>
      <w:r>
        <w:t>facilitate</w:t>
      </w:r>
      <w:r>
        <w:rPr>
          <w:spacing w:val="-4"/>
        </w:rPr>
        <w:t xml:space="preserve"> </w:t>
      </w:r>
      <w:r>
        <w:t>this,</w:t>
      </w:r>
      <w:r>
        <w:rPr>
          <w:spacing w:val="-5"/>
        </w:rPr>
        <w:t xml:space="preserve"> </w:t>
      </w:r>
      <w:r>
        <w:t>the</w:t>
      </w:r>
      <w:r>
        <w:rPr>
          <w:spacing w:val="-4"/>
        </w:rPr>
        <w:t xml:space="preserve"> </w:t>
      </w:r>
      <w:r>
        <w:t>state</w:t>
      </w:r>
      <w:r>
        <w:rPr>
          <w:spacing w:val="-7"/>
        </w:rPr>
        <w:t xml:space="preserve"> </w:t>
      </w:r>
      <w:r>
        <w:t>should</w:t>
      </w:r>
      <w:r>
        <w:rPr>
          <w:spacing w:val="-3"/>
        </w:rPr>
        <w:t xml:space="preserve"> </w:t>
      </w:r>
      <w:r>
        <w:t>ensure</w:t>
      </w:r>
      <w:r>
        <w:rPr>
          <w:spacing w:val="-6"/>
        </w:rPr>
        <w:t xml:space="preserve"> </w:t>
      </w:r>
      <w:r>
        <w:t>that</w:t>
      </w:r>
      <w:r>
        <w:rPr>
          <w:spacing w:val="-6"/>
        </w:rPr>
        <w:t xml:space="preserve"> </w:t>
      </w:r>
      <w:r>
        <w:t>adequate</w:t>
      </w:r>
      <w:r>
        <w:rPr>
          <w:spacing w:val="-7"/>
        </w:rPr>
        <w:t xml:space="preserve"> </w:t>
      </w:r>
      <w:r>
        <w:t>funding is allocated to support sexual</w:t>
      </w:r>
      <w:r>
        <w:t xml:space="preserve"> health programming in schools; provide guidelines and requirements on providing quality and inclusive sexual health education, through the curriculum framework currently under</w:t>
      </w:r>
    </w:p>
    <w:p w:rsidR="00C76E6D" w:rsidRDefault="00C76E6D">
      <w:pPr>
        <w:spacing w:line="276" w:lineRule="auto"/>
        <w:jc w:val="both"/>
        <w:sectPr w:rsidR="00C76E6D">
          <w:headerReference w:type="default" r:id="rId317"/>
          <w:footerReference w:type="default" r:id="rId318"/>
          <w:pgSz w:w="12240" w:h="15840"/>
          <w:pgMar w:top="1000" w:right="960" w:bottom="640" w:left="960" w:header="802" w:footer="440" w:gutter="0"/>
          <w:cols w:space="720"/>
        </w:sectPr>
      </w:pPr>
    </w:p>
    <w:p w:rsidR="00C76E6D" w:rsidRDefault="00C76E6D">
      <w:pPr>
        <w:pStyle w:val="BodyText"/>
        <w:spacing w:before="6"/>
        <w:rPr>
          <w:sz w:val="21"/>
        </w:rPr>
      </w:pPr>
    </w:p>
    <w:p w:rsidR="00C76E6D" w:rsidRDefault="00913831">
      <w:pPr>
        <w:pStyle w:val="BodyText"/>
        <w:spacing w:before="55" w:line="276" w:lineRule="auto"/>
        <w:ind w:left="339" w:right="296" w:hanging="2"/>
        <w:jc w:val="both"/>
      </w:pPr>
      <w:r>
        <w:t>revision by the Department of Elementary and Secondary Education and through legislation such as the Healthy Youth Act (S. 2541).</w:t>
      </w:r>
    </w:p>
    <w:p w:rsidR="00C76E6D" w:rsidRDefault="00C76E6D">
      <w:pPr>
        <w:pStyle w:val="BodyText"/>
        <w:spacing w:before="3"/>
        <w:rPr>
          <w:sz w:val="25"/>
        </w:rPr>
      </w:pPr>
    </w:p>
    <w:p w:rsidR="00C76E6D" w:rsidRDefault="00913831">
      <w:pPr>
        <w:pStyle w:val="Heading6"/>
        <w:numPr>
          <w:ilvl w:val="0"/>
          <w:numId w:val="36"/>
        </w:numPr>
        <w:tabs>
          <w:tab w:val="left" w:pos="550"/>
        </w:tabs>
        <w:spacing w:before="1" w:line="276" w:lineRule="auto"/>
        <w:ind w:left="339" w:right="324" w:hanging="2"/>
      </w:pPr>
      <w:bookmarkStart w:id="555" w:name="2._Support_HIV_prevention_and_treatment_"/>
      <w:bookmarkEnd w:id="555"/>
      <w:r>
        <w:rPr>
          <w:spacing w:val="-2"/>
        </w:rPr>
        <w:t>Support</w:t>
      </w:r>
      <w:r>
        <w:rPr>
          <w:spacing w:val="-4"/>
        </w:rPr>
        <w:t xml:space="preserve"> </w:t>
      </w:r>
      <w:r>
        <w:rPr>
          <w:spacing w:val="-2"/>
        </w:rPr>
        <w:t>HIV prevention</w:t>
      </w:r>
      <w:r>
        <w:rPr>
          <w:spacing w:val="-3"/>
        </w:rPr>
        <w:t xml:space="preserve"> </w:t>
      </w:r>
      <w:r>
        <w:rPr>
          <w:spacing w:val="-2"/>
        </w:rPr>
        <w:t>and treatment</w:t>
      </w:r>
      <w:r>
        <w:rPr>
          <w:spacing w:val="-4"/>
        </w:rPr>
        <w:t xml:space="preserve"> </w:t>
      </w:r>
      <w:r>
        <w:rPr>
          <w:spacing w:val="-2"/>
        </w:rPr>
        <w:t>services</w:t>
      </w:r>
      <w:r>
        <w:rPr>
          <w:spacing w:val="-3"/>
        </w:rPr>
        <w:t xml:space="preserve"> </w:t>
      </w:r>
      <w:r>
        <w:rPr>
          <w:spacing w:val="-2"/>
        </w:rPr>
        <w:t>for</w:t>
      </w:r>
      <w:r>
        <w:rPr>
          <w:spacing w:val="-3"/>
        </w:rPr>
        <w:t xml:space="preserve"> </w:t>
      </w:r>
      <w:r>
        <w:rPr>
          <w:spacing w:val="-2"/>
        </w:rPr>
        <w:t>LGBTQ youth, which</w:t>
      </w:r>
      <w:r>
        <w:rPr>
          <w:spacing w:val="-3"/>
        </w:rPr>
        <w:t xml:space="preserve"> </w:t>
      </w:r>
      <w:r>
        <w:rPr>
          <w:spacing w:val="-2"/>
        </w:rPr>
        <w:t>are</w:t>
      </w:r>
      <w:r>
        <w:rPr>
          <w:spacing w:val="-4"/>
        </w:rPr>
        <w:t xml:space="preserve"> </w:t>
      </w:r>
      <w:r>
        <w:rPr>
          <w:spacing w:val="-2"/>
        </w:rPr>
        <w:t>particularly</w:t>
      </w:r>
      <w:r>
        <w:rPr>
          <w:spacing w:val="-3"/>
        </w:rPr>
        <w:t xml:space="preserve"> </w:t>
      </w:r>
      <w:r>
        <w:rPr>
          <w:spacing w:val="-2"/>
        </w:rPr>
        <w:t>critical</w:t>
      </w:r>
      <w:r>
        <w:rPr>
          <w:spacing w:val="-3"/>
        </w:rPr>
        <w:t xml:space="preserve"> </w:t>
      </w:r>
      <w:r>
        <w:rPr>
          <w:spacing w:val="-2"/>
        </w:rPr>
        <w:t>for</w:t>
      </w:r>
      <w:r>
        <w:rPr>
          <w:spacing w:val="-3"/>
        </w:rPr>
        <w:t xml:space="preserve"> </w:t>
      </w:r>
      <w:r>
        <w:rPr>
          <w:spacing w:val="-2"/>
        </w:rPr>
        <w:t xml:space="preserve">LGBTQ </w:t>
      </w:r>
      <w:r>
        <w:t>youth of color.</w:t>
      </w:r>
    </w:p>
    <w:p w:rsidR="00C76E6D" w:rsidRDefault="00C76E6D">
      <w:pPr>
        <w:pStyle w:val="BodyText"/>
        <w:spacing w:before="3"/>
        <w:rPr>
          <w:b/>
          <w:sz w:val="25"/>
        </w:rPr>
      </w:pPr>
    </w:p>
    <w:p w:rsidR="00C76E6D" w:rsidRDefault="00913831">
      <w:pPr>
        <w:pStyle w:val="BodyText"/>
        <w:spacing w:line="276" w:lineRule="auto"/>
        <w:ind w:left="339" w:right="293"/>
        <w:jc w:val="both"/>
      </w:pPr>
      <w:r>
        <w:t>LGB</w:t>
      </w:r>
      <w:r>
        <w:t>TQ youth are disproportionately impacted by HIV, with LGBTQ youth of color facing the highest disparities.</w:t>
      </w:r>
      <w:r>
        <w:rPr>
          <w:spacing w:val="-6"/>
        </w:rPr>
        <w:t xml:space="preserve"> </w:t>
      </w:r>
      <w:r>
        <w:t>The</w:t>
      </w:r>
      <w:r>
        <w:rPr>
          <w:spacing w:val="-8"/>
        </w:rPr>
        <w:t xml:space="preserve"> </w:t>
      </w:r>
      <w:r>
        <w:t>Commission</w:t>
      </w:r>
      <w:r>
        <w:rPr>
          <w:spacing w:val="-8"/>
        </w:rPr>
        <w:t xml:space="preserve"> </w:t>
      </w:r>
      <w:r>
        <w:t>encourages</w:t>
      </w:r>
      <w:r>
        <w:rPr>
          <w:spacing w:val="-7"/>
        </w:rPr>
        <w:t xml:space="preserve"> </w:t>
      </w:r>
      <w:r>
        <w:t>the</w:t>
      </w:r>
      <w:r>
        <w:rPr>
          <w:spacing w:val="-6"/>
        </w:rPr>
        <w:t xml:space="preserve"> </w:t>
      </w:r>
      <w:r>
        <w:t>Commonwealth</w:t>
      </w:r>
      <w:r>
        <w:rPr>
          <w:spacing w:val="-7"/>
        </w:rPr>
        <w:t xml:space="preserve"> </w:t>
      </w:r>
      <w:r>
        <w:t>to</w:t>
      </w:r>
      <w:r>
        <w:rPr>
          <w:spacing w:val="-5"/>
        </w:rPr>
        <w:t xml:space="preserve"> </w:t>
      </w:r>
      <w:r>
        <w:t>continue</w:t>
      </w:r>
      <w:r>
        <w:rPr>
          <w:spacing w:val="-8"/>
        </w:rPr>
        <w:t xml:space="preserve"> </w:t>
      </w:r>
      <w:r>
        <w:t>increasing</w:t>
      </w:r>
      <w:r>
        <w:rPr>
          <w:spacing w:val="-8"/>
        </w:rPr>
        <w:t xml:space="preserve"> </w:t>
      </w:r>
      <w:r>
        <w:t>access</w:t>
      </w:r>
      <w:r>
        <w:rPr>
          <w:spacing w:val="-7"/>
        </w:rPr>
        <w:t xml:space="preserve"> </w:t>
      </w:r>
      <w:r>
        <w:t>to</w:t>
      </w:r>
      <w:r>
        <w:rPr>
          <w:spacing w:val="-5"/>
        </w:rPr>
        <w:t xml:space="preserve"> </w:t>
      </w:r>
      <w:r>
        <w:t>PrEP</w:t>
      </w:r>
      <w:r>
        <w:rPr>
          <w:spacing w:val="-7"/>
        </w:rPr>
        <w:t xml:space="preserve"> </w:t>
      </w:r>
      <w:r>
        <w:t>by</w:t>
      </w:r>
      <w:r>
        <w:rPr>
          <w:spacing w:val="-5"/>
        </w:rPr>
        <w:t xml:space="preserve"> </w:t>
      </w:r>
      <w:r>
        <w:t>making the</w:t>
      </w:r>
      <w:r>
        <w:rPr>
          <w:spacing w:val="-9"/>
        </w:rPr>
        <w:t xml:space="preserve"> </w:t>
      </w:r>
      <w:r>
        <w:t>HIV</w:t>
      </w:r>
      <w:r>
        <w:rPr>
          <w:spacing w:val="-9"/>
        </w:rPr>
        <w:t xml:space="preserve"> </w:t>
      </w:r>
      <w:r>
        <w:t>prevention</w:t>
      </w:r>
      <w:r>
        <w:rPr>
          <w:spacing w:val="-9"/>
        </w:rPr>
        <w:t xml:space="preserve"> </w:t>
      </w:r>
      <w:r>
        <w:t>treatment</w:t>
      </w:r>
      <w:r>
        <w:rPr>
          <w:spacing w:val="-9"/>
        </w:rPr>
        <w:t xml:space="preserve"> </w:t>
      </w:r>
      <w:r>
        <w:t>available</w:t>
      </w:r>
      <w:r>
        <w:rPr>
          <w:spacing w:val="-9"/>
        </w:rPr>
        <w:t xml:space="preserve"> </w:t>
      </w:r>
      <w:r>
        <w:t>free</w:t>
      </w:r>
      <w:r>
        <w:rPr>
          <w:spacing w:val="-9"/>
        </w:rPr>
        <w:t xml:space="preserve"> </w:t>
      </w:r>
      <w:r>
        <w:t>of</w:t>
      </w:r>
      <w:r>
        <w:rPr>
          <w:spacing w:val="-10"/>
        </w:rPr>
        <w:t xml:space="preserve"> </w:t>
      </w:r>
      <w:r>
        <w:t>charge</w:t>
      </w:r>
      <w:r>
        <w:rPr>
          <w:spacing w:val="-9"/>
        </w:rPr>
        <w:t xml:space="preserve"> </w:t>
      </w:r>
      <w:r>
        <w:t>to</w:t>
      </w:r>
      <w:r>
        <w:rPr>
          <w:spacing w:val="-9"/>
        </w:rPr>
        <w:t xml:space="preserve"> </w:t>
      </w:r>
      <w:r>
        <w:t>anyone</w:t>
      </w:r>
      <w:r>
        <w:rPr>
          <w:spacing w:val="-9"/>
        </w:rPr>
        <w:t xml:space="preserve"> </w:t>
      </w:r>
      <w:r>
        <w:t>who</w:t>
      </w:r>
      <w:r>
        <w:rPr>
          <w:spacing w:val="-9"/>
        </w:rPr>
        <w:t xml:space="preserve"> </w:t>
      </w:r>
      <w:r>
        <w:t>would</w:t>
      </w:r>
      <w:r>
        <w:rPr>
          <w:spacing w:val="-9"/>
        </w:rPr>
        <w:t xml:space="preserve"> </w:t>
      </w:r>
      <w:r>
        <w:t>benefit</w:t>
      </w:r>
      <w:r>
        <w:rPr>
          <w:spacing w:val="-9"/>
        </w:rPr>
        <w:t xml:space="preserve"> </w:t>
      </w:r>
      <w:r>
        <w:t>from</w:t>
      </w:r>
      <w:r>
        <w:rPr>
          <w:spacing w:val="-9"/>
        </w:rPr>
        <w:t xml:space="preserve"> </w:t>
      </w:r>
      <w:r>
        <w:t>it,</w:t>
      </w:r>
      <w:r>
        <w:rPr>
          <w:spacing w:val="-9"/>
        </w:rPr>
        <w:t xml:space="preserve"> </w:t>
      </w:r>
      <w:r>
        <w:t>including</w:t>
      </w:r>
      <w:r>
        <w:rPr>
          <w:spacing w:val="-9"/>
        </w:rPr>
        <w:t xml:space="preserve"> </w:t>
      </w:r>
      <w:r>
        <w:t>minors. Furthermore, the Commission</w:t>
      </w:r>
      <w:r>
        <w:rPr>
          <w:spacing w:val="-1"/>
        </w:rPr>
        <w:t xml:space="preserve"> </w:t>
      </w:r>
      <w:r>
        <w:t>recommends that the Massachusetts State legislature</w:t>
      </w:r>
      <w:r>
        <w:rPr>
          <w:spacing w:val="-1"/>
        </w:rPr>
        <w:t xml:space="preserve"> </w:t>
      </w:r>
      <w:r>
        <w:t xml:space="preserve">pass An Act Relative to HIV Prevention Access for Young Adults (H. 2349 / S. 1404) in the 192nd legislative cycle to remove </w:t>
      </w:r>
      <w:r>
        <w:t>the parental consent requirement for PrEP.</w:t>
      </w:r>
    </w:p>
    <w:p w:rsidR="00C76E6D" w:rsidRDefault="00C76E6D">
      <w:pPr>
        <w:pStyle w:val="BodyText"/>
        <w:spacing w:before="3"/>
        <w:rPr>
          <w:sz w:val="25"/>
        </w:rPr>
      </w:pPr>
    </w:p>
    <w:p w:rsidR="00C76E6D" w:rsidRDefault="00913831">
      <w:pPr>
        <w:pStyle w:val="Heading6"/>
        <w:numPr>
          <w:ilvl w:val="0"/>
          <w:numId w:val="36"/>
        </w:numPr>
        <w:tabs>
          <w:tab w:val="left" w:pos="561"/>
        </w:tabs>
        <w:ind w:left="560" w:hanging="223"/>
      </w:pPr>
      <w:bookmarkStart w:id="556" w:name="3._Improve_access_to_critical_reproducti"/>
      <w:bookmarkEnd w:id="556"/>
      <w:r>
        <w:rPr>
          <w:w w:val="95"/>
        </w:rPr>
        <w:t>Improve</w:t>
      </w:r>
      <w:r>
        <w:rPr>
          <w:spacing w:val="14"/>
        </w:rPr>
        <w:t xml:space="preserve"> </w:t>
      </w:r>
      <w:r>
        <w:rPr>
          <w:w w:val="95"/>
        </w:rPr>
        <w:t>access</w:t>
      </w:r>
      <w:r>
        <w:rPr>
          <w:spacing w:val="14"/>
        </w:rPr>
        <w:t xml:space="preserve"> </w:t>
      </w:r>
      <w:r>
        <w:rPr>
          <w:w w:val="95"/>
        </w:rPr>
        <w:t>to</w:t>
      </w:r>
      <w:r>
        <w:rPr>
          <w:spacing w:val="10"/>
        </w:rPr>
        <w:t xml:space="preserve"> </w:t>
      </w:r>
      <w:r>
        <w:rPr>
          <w:w w:val="95"/>
        </w:rPr>
        <w:t>critical</w:t>
      </w:r>
      <w:r>
        <w:rPr>
          <w:spacing w:val="11"/>
        </w:rPr>
        <w:t xml:space="preserve"> </w:t>
      </w:r>
      <w:r>
        <w:rPr>
          <w:w w:val="95"/>
        </w:rPr>
        <w:t>reproductive</w:t>
      </w:r>
      <w:r>
        <w:rPr>
          <w:spacing w:val="14"/>
        </w:rPr>
        <w:t xml:space="preserve"> </w:t>
      </w:r>
      <w:r>
        <w:rPr>
          <w:w w:val="95"/>
        </w:rPr>
        <w:t>and</w:t>
      </w:r>
      <w:r>
        <w:rPr>
          <w:spacing w:val="11"/>
        </w:rPr>
        <w:t xml:space="preserve"> </w:t>
      </w:r>
      <w:r>
        <w:rPr>
          <w:w w:val="95"/>
        </w:rPr>
        <w:t>sexual</w:t>
      </w:r>
      <w:r>
        <w:rPr>
          <w:spacing w:val="12"/>
        </w:rPr>
        <w:t xml:space="preserve"> </w:t>
      </w:r>
      <w:r>
        <w:rPr>
          <w:w w:val="95"/>
        </w:rPr>
        <w:t>health</w:t>
      </w:r>
      <w:r>
        <w:rPr>
          <w:spacing w:val="15"/>
        </w:rPr>
        <w:t xml:space="preserve"> </w:t>
      </w:r>
      <w:r>
        <w:rPr>
          <w:w w:val="95"/>
        </w:rPr>
        <w:t>treatment</w:t>
      </w:r>
      <w:r>
        <w:rPr>
          <w:spacing w:val="15"/>
        </w:rPr>
        <w:t xml:space="preserve"> </w:t>
      </w:r>
      <w:r>
        <w:rPr>
          <w:w w:val="95"/>
        </w:rPr>
        <w:t>and</w:t>
      </w:r>
      <w:r>
        <w:rPr>
          <w:spacing w:val="16"/>
        </w:rPr>
        <w:t xml:space="preserve"> </w:t>
      </w:r>
      <w:r>
        <w:rPr>
          <w:spacing w:val="-2"/>
          <w:w w:val="95"/>
        </w:rPr>
        <w:t>services.</w:t>
      </w:r>
    </w:p>
    <w:p w:rsidR="00C76E6D" w:rsidRDefault="00C76E6D">
      <w:pPr>
        <w:pStyle w:val="BodyText"/>
        <w:spacing w:before="6"/>
        <w:rPr>
          <w:b/>
          <w:sz w:val="28"/>
        </w:rPr>
      </w:pPr>
    </w:p>
    <w:p w:rsidR="00C76E6D" w:rsidRDefault="00913831">
      <w:pPr>
        <w:pStyle w:val="BodyText"/>
        <w:spacing w:before="1" w:line="276" w:lineRule="auto"/>
        <w:ind w:left="339" w:right="291"/>
        <w:jc w:val="both"/>
      </w:pPr>
      <w:r>
        <w:t>All youth deserve the best attainable reproductive and sexual health, which requires access to services, treatments, and products that are too often out of reach. Barriers for LGBTQ youth are often compounded by the stigma they face in accessing informatio</w:t>
      </w:r>
      <w:r>
        <w:t xml:space="preserve">n and treatment, and their higher likelihood of experiencing challenges such as poverty, homelessness, and system involvement. The Commonwealth should work to remove barriers that youth face through inclusive and evidence-based means; for example, through </w:t>
      </w:r>
      <w:r>
        <w:t xml:space="preserve">An Act to Increase Access to Disposable Menstrual Products in Prisons, Homeless Shelters, and Public Schools, referred to as the “I AM.” bill (S. 1445), and An Act Relative to HIV Routine Screening and Care (H. 2347 / S. </w:t>
      </w:r>
      <w:r>
        <w:rPr>
          <w:spacing w:val="-2"/>
        </w:rPr>
        <w:t>1405).</w:t>
      </w:r>
    </w:p>
    <w:p w:rsidR="00C76E6D" w:rsidRDefault="00C76E6D">
      <w:pPr>
        <w:pStyle w:val="BodyText"/>
        <w:spacing w:before="4"/>
        <w:rPr>
          <w:sz w:val="25"/>
        </w:rPr>
      </w:pPr>
    </w:p>
    <w:p w:rsidR="00C76E6D" w:rsidRDefault="00913831">
      <w:pPr>
        <w:pStyle w:val="Heading6"/>
        <w:numPr>
          <w:ilvl w:val="0"/>
          <w:numId w:val="36"/>
        </w:numPr>
        <w:tabs>
          <w:tab w:val="left" w:pos="562"/>
        </w:tabs>
        <w:ind w:left="561" w:hanging="222"/>
      </w:pPr>
      <w:bookmarkStart w:id="557" w:name="4._Improve_the_quality_and_availability_"/>
      <w:bookmarkEnd w:id="557"/>
      <w:r>
        <w:rPr>
          <w:w w:val="95"/>
        </w:rPr>
        <w:t>Improve</w:t>
      </w:r>
      <w:r>
        <w:rPr>
          <w:spacing w:val="11"/>
        </w:rPr>
        <w:t xml:space="preserve"> </w:t>
      </w:r>
      <w:r>
        <w:rPr>
          <w:w w:val="95"/>
        </w:rPr>
        <w:t>the</w:t>
      </w:r>
      <w:r>
        <w:rPr>
          <w:spacing w:val="13"/>
        </w:rPr>
        <w:t xml:space="preserve"> </w:t>
      </w:r>
      <w:r>
        <w:rPr>
          <w:w w:val="95"/>
        </w:rPr>
        <w:t>quality</w:t>
      </w:r>
      <w:r>
        <w:rPr>
          <w:spacing w:val="16"/>
        </w:rPr>
        <w:t xml:space="preserve"> </w:t>
      </w:r>
      <w:r>
        <w:rPr>
          <w:w w:val="95"/>
        </w:rPr>
        <w:t>and</w:t>
      </w:r>
      <w:r>
        <w:rPr>
          <w:spacing w:val="11"/>
        </w:rPr>
        <w:t xml:space="preserve"> </w:t>
      </w:r>
      <w:r>
        <w:rPr>
          <w:w w:val="95"/>
        </w:rPr>
        <w:t>availability</w:t>
      </w:r>
      <w:r>
        <w:rPr>
          <w:spacing w:val="13"/>
        </w:rPr>
        <w:t xml:space="preserve"> </w:t>
      </w:r>
      <w:r>
        <w:rPr>
          <w:w w:val="95"/>
        </w:rPr>
        <w:t>of</w:t>
      </w:r>
      <w:r>
        <w:rPr>
          <w:spacing w:val="13"/>
        </w:rPr>
        <w:t xml:space="preserve"> </w:t>
      </w:r>
      <w:r>
        <w:rPr>
          <w:w w:val="95"/>
        </w:rPr>
        <w:t>mental</w:t>
      </w:r>
      <w:r>
        <w:rPr>
          <w:spacing w:val="13"/>
        </w:rPr>
        <w:t xml:space="preserve"> </w:t>
      </w:r>
      <w:r>
        <w:rPr>
          <w:spacing w:val="-2"/>
          <w:w w:val="95"/>
        </w:rPr>
        <w:t>healthcare.</w:t>
      </w:r>
    </w:p>
    <w:p w:rsidR="00C76E6D" w:rsidRDefault="00C76E6D">
      <w:pPr>
        <w:pStyle w:val="BodyText"/>
        <w:spacing w:before="8"/>
        <w:rPr>
          <w:b/>
          <w:sz w:val="28"/>
        </w:rPr>
      </w:pPr>
    </w:p>
    <w:p w:rsidR="00C76E6D" w:rsidRDefault="00913831">
      <w:pPr>
        <w:pStyle w:val="BodyText"/>
        <w:spacing w:line="276" w:lineRule="auto"/>
        <w:ind w:left="338" w:right="295"/>
        <w:jc w:val="both"/>
      </w:pPr>
      <w:r>
        <w:t>The</w:t>
      </w:r>
      <w:r>
        <w:rPr>
          <w:spacing w:val="-5"/>
        </w:rPr>
        <w:t xml:space="preserve"> </w:t>
      </w:r>
      <w:r>
        <w:t>data</w:t>
      </w:r>
      <w:r>
        <w:rPr>
          <w:spacing w:val="-6"/>
        </w:rPr>
        <w:t xml:space="preserve"> </w:t>
      </w:r>
      <w:r>
        <w:t>presented</w:t>
      </w:r>
      <w:r>
        <w:rPr>
          <w:spacing w:val="-5"/>
        </w:rPr>
        <w:t xml:space="preserve"> </w:t>
      </w:r>
      <w:r>
        <w:t>below</w:t>
      </w:r>
      <w:r>
        <w:rPr>
          <w:spacing w:val="-6"/>
        </w:rPr>
        <w:t xml:space="preserve"> </w:t>
      </w:r>
      <w:r>
        <w:t>in</w:t>
      </w:r>
      <w:r>
        <w:rPr>
          <w:spacing w:val="-8"/>
        </w:rPr>
        <w:t xml:space="preserve"> </w:t>
      </w:r>
      <w:r>
        <w:t>this</w:t>
      </w:r>
      <w:r>
        <w:rPr>
          <w:spacing w:val="-7"/>
        </w:rPr>
        <w:t xml:space="preserve"> </w:t>
      </w:r>
      <w:r>
        <w:t>report</w:t>
      </w:r>
      <w:r>
        <w:rPr>
          <w:spacing w:val="-6"/>
        </w:rPr>
        <w:t xml:space="preserve"> </w:t>
      </w:r>
      <w:r>
        <w:t>shows</w:t>
      </w:r>
      <w:r>
        <w:rPr>
          <w:spacing w:val="-7"/>
        </w:rPr>
        <w:t xml:space="preserve"> </w:t>
      </w:r>
      <w:r>
        <w:t>that</w:t>
      </w:r>
      <w:r>
        <w:rPr>
          <w:spacing w:val="-7"/>
        </w:rPr>
        <w:t xml:space="preserve"> </w:t>
      </w:r>
      <w:r>
        <w:t>LGBTQ</w:t>
      </w:r>
      <w:r>
        <w:rPr>
          <w:spacing w:val="-7"/>
        </w:rPr>
        <w:t xml:space="preserve"> </w:t>
      </w:r>
      <w:r>
        <w:t>youth</w:t>
      </w:r>
      <w:r>
        <w:rPr>
          <w:spacing w:val="-7"/>
        </w:rPr>
        <w:t xml:space="preserve"> </w:t>
      </w:r>
      <w:r>
        <w:t>still</w:t>
      </w:r>
      <w:r>
        <w:rPr>
          <w:spacing w:val="-8"/>
        </w:rPr>
        <w:t xml:space="preserve"> </w:t>
      </w:r>
      <w:r>
        <w:t>face</w:t>
      </w:r>
      <w:r>
        <w:rPr>
          <w:spacing w:val="-7"/>
        </w:rPr>
        <w:t xml:space="preserve"> </w:t>
      </w:r>
      <w:r>
        <w:t>highly</w:t>
      </w:r>
      <w:r>
        <w:rPr>
          <w:spacing w:val="-6"/>
        </w:rPr>
        <w:t xml:space="preserve"> </w:t>
      </w:r>
      <w:r>
        <w:t>disparate</w:t>
      </w:r>
      <w:r>
        <w:rPr>
          <w:spacing w:val="-7"/>
        </w:rPr>
        <w:t xml:space="preserve"> </w:t>
      </w:r>
      <w:r>
        <w:t>rates</w:t>
      </w:r>
      <w:r>
        <w:rPr>
          <w:spacing w:val="-7"/>
        </w:rPr>
        <w:t xml:space="preserve"> </w:t>
      </w:r>
      <w:r>
        <w:t>of</w:t>
      </w:r>
      <w:r>
        <w:rPr>
          <w:spacing w:val="-8"/>
        </w:rPr>
        <w:t xml:space="preserve"> </w:t>
      </w:r>
      <w:r>
        <w:t>self-harm, suicidal contemplation, and suicide attempts. LGBTQ youth, therefore, stand to disproportionately benefit fro</w:t>
      </w:r>
      <w:r>
        <w:t>m improvements to mental healthcare access in the Commonwealth. The Commission recommends that Massachusetts consider legislation to make mental healthcare more readily available and of higher quality, such as the following:</w:t>
      </w:r>
    </w:p>
    <w:p w:rsidR="00C76E6D" w:rsidRDefault="00C76E6D">
      <w:pPr>
        <w:pStyle w:val="BodyText"/>
        <w:spacing w:before="2"/>
        <w:rPr>
          <w:sz w:val="25"/>
        </w:rPr>
      </w:pPr>
    </w:p>
    <w:p w:rsidR="00C76E6D" w:rsidRDefault="00913831">
      <w:pPr>
        <w:pStyle w:val="ListParagraph"/>
        <w:numPr>
          <w:ilvl w:val="1"/>
          <w:numId w:val="36"/>
        </w:numPr>
        <w:tabs>
          <w:tab w:val="left" w:pos="1060"/>
        </w:tabs>
        <w:spacing w:line="276" w:lineRule="auto"/>
        <w:ind w:right="296" w:hanging="361"/>
        <w:jc w:val="both"/>
      </w:pPr>
      <w:r>
        <w:t>(S.</w:t>
      </w:r>
      <w:r>
        <w:rPr>
          <w:spacing w:val="-13"/>
        </w:rPr>
        <w:t xml:space="preserve"> </w:t>
      </w:r>
      <w:r>
        <w:t>2197)</w:t>
      </w:r>
      <w:r>
        <w:rPr>
          <w:spacing w:val="-11"/>
        </w:rPr>
        <w:t xml:space="preserve"> </w:t>
      </w:r>
      <w:r>
        <w:t>An</w:t>
      </w:r>
      <w:r>
        <w:rPr>
          <w:spacing w:val="-10"/>
        </w:rPr>
        <w:t xml:space="preserve"> </w:t>
      </w:r>
      <w:r>
        <w:t>Act</w:t>
      </w:r>
      <w:r>
        <w:rPr>
          <w:spacing w:val="-12"/>
        </w:rPr>
        <w:t xml:space="preserve"> </w:t>
      </w:r>
      <w:r>
        <w:t>to</w:t>
      </w:r>
      <w:r>
        <w:rPr>
          <w:spacing w:val="-12"/>
        </w:rPr>
        <w:t xml:space="preserve"> </w:t>
      </w:r>
      <w:r>
        <w:t>Protect</w:t>
      </w:r>
      <w:r>
        <w:rPr>
          <w:spacing w:val="-11"/>
        </w:rPr>
        <w:t xml:space="preserve"> </w:t>
      </w:r>
      <w:r>
        <w:t>Ch</w:t>
      </w:r>
      <w:r>
        <w:t>ildren's</w:t>
      </w:r>
      <w:r>
        <w:rPr>
          <w:spacing w:val="-11"/>
        </w:rPr>
        <w:t xml:space="preserve"> </w:t>
      </w:r>
      <w:r>
        <w:t>Mental</w:t>
      </w:r>
      <w:r>
        <w:rPr>
          <w:spacing w:val="-12"/>
        </w:rPr>
        <w:t xml:space="preserve"> </w:t>
      </w:r>
      <w:r>
        <w:t>Health</w:t>
      </w:r>
      <w:r>
        <w:rPr>
          <w:spacing w:val="-10"/>
        </w:rPr>
        <w:t xml:space="preserve"> </w:t>
      </w:r>
      <w:r>
        <w:t>Services,</w:t>
      </w:r>
      <w:r>
        <w:rPr>
          <w:spacing w:val="-11"/>
        </w:rPr>
        <w:t xml:space="preserve"> </w:t>
      </w:r>
      <w:r>
        <w:t>which</w:t>
      </w:r>
      <w:r>
        <w:rPr>
          <w:spacing w:val="-13"/>
        </w:rPr>
        <w:t xml:space="preserve"> </w:t>
      </w:r>
      <w:r>
        <w:t>would</w:t>
      </w:r>
      <w:r>
        <w:rPr>
          <w:spacing w:val="-10"/>
        </w:rPr>
        <w:t xml:space="preserve"> </w:t>
      </w:r>
      <w:r>
        <w:t>create</w:t>
      </w:r>
      <w:r>
        <w:rPr>
          <w:spacing w:val="-12"/>
        </w:rPr>
        <w:t xml:space="preserve"> </w:t>
      </w:r>
      <w:r>
        <w:t>an</w:t>
      </w:r>
      <w:r>
        <w:rPr>
          <w:spacing w:val="-13"/>
        </w:rPr>
        <w:t xml:space="preserve"> </w:t>
      </w:r>
      <w:r>
        <w:t>ombuds</w:t>
      </w:r>
      <w:r>
        <w:rPr>
          <w:spacing w:val="-11"/>
        </w:rPr>
        <w:t xml:space="preserve"> </w:t>
      </w:r>
      <w:r>
        <w:t xml:space="preserve">position within the Office of the Child Advocate to monitor and ensure compliance with child mental health </w:t>
      </w:r>
      <w:r>
        <w:rPr>
          <w:spacing w:val="-4"/>
        </w:rPr>
        <w:t>laws</w:t>
      </w:r>
    </w:p>
    <w:p w:rsidR="00C76E6D" w:rsidRDefault="00C76E6D">
      <w:pPr>
        <w:pStyle w:val="BodyText"/>
        <w:spacing w:before="6"/>
        <w:rPr>
          <w:sz w:val="25"/>
        </w:rPr>
      </w:pPr>
    </w:p>
    <w:p w:rsidR="00C76E6D" w:rsidRDefault="00913831">
      <w:pPr>
        <w:pStyle w:val="ListParagraph"/>
        <w:numPr>
          <w:ilvl w:val="1"/>
          <w:numId w:val="36"/>
        </w:numPr>
        <w:tabs>
          <w:tab w:val="left" w:pos="1060"/>
        </w:tabs>
        <w:spacing w:line="273" w:lineRule="auto"/>
        <w:ind w:left="1060" w:right="295" w:hanging="363"/>
        <w:jc w:val="both"/>
      </w:pPr>
      <w:r>
        <w:t>(S.</w:t>
      </w:r>
      <w:r>
        <w:rPr>
          <w:spacing w:val="-1"/>
        </w:rPr>
        <w:t xml:space="preserve"> </w:t>
      </w:r>
      <w:r>
        <w:t>675 / H.</w:t>
      </w:r>
      <w:r>
        <w:rPr>
          <w:spacing w:val="-1"/>
        </w:rPr>
        <w:t xml:space="preserve"> </w:t>
      </w:r>
      <w:r>
        <w:t>1041)</w:t>
      </w:r>
      <w:r>
        <w:rPr>
          <w:spacing w:val="-2"/>
        </w:rPr>
        <w:t xml:space="preserve"> </w:t>
      </w:r>
      <w:r>
        <w:t>An</w:t>
      </w:r>
      <w:r>
        <w:rPr>
          <w:spacing w:val="-1"/>
        </w:rPr>
        <w:t xml:space="preserve"> </w:t>
      </w:r>
      <w:r>
        <w:t>Act</w:t>
      </w:r>
      <w:r>
        <w:rPr>
          <w:spacing w:val="-1"/>
        </w:rPr>
        <w:t xml:space="preserve"> </w:t>
      </w:r>
      <w:r>
        <w:t>Relative</w:t>
      </w:r>
      <w:r>
        <w:rPr>
          <w:spacing w:val="-1"/>
        </w:rPr>
        <w:t xml:space="preserve"> </w:t>
      </w:r>
      <w:r>
        <w:t>to Mental Health Parity Implementation, which</w:t>
      </w:r>
      <w:r>
        <w:rPr>
          <w:spacing w:val="-1"/>
        </w:rPr>
        <w:t xml:space="preserve"> </w:t>
      </w:r>
      <w:r>
        <w:t>would help</w:t>
      </w:r>
      <w:r>
        <w:rPr>
          <w:spacing w:val="-2"/>
        </w:rPr>
        <w:t xml:space="preserve"> </w:t>
      </w:r>
      <w:r>
        <w:t>ensure that coverage for mental health conditions and substance use disorders must be the same as coverage for physical health problems</w:t>
      </w:r>
    </w:p>
    <w:p w:rsidR="00C76E6D" w:rsidRDefault="00C76E6D">
      <w:pPr>
        <w:pStyle w:val="BodyText"/>
        <w:spacing w:before="9"/>
        <w:rPr>
          <w:sz w:val="25"/>
        </w:rPr>
      </w:pPr>
    </w:p>
    <w:p w:rsidR="00C76E6D" w:rsidRDefault="00913831">
      <w:pPr>
        <w:pStyle w:val="ListParagraph"/>
        <w:numPr>
          <w:ilvl w:val="1"/>
          <w:numId w:val="36"/>
        </w:numPr>
        <w:tabs>
          <w:tab w:val="left" w:pos="1060"/>
        </w:tabs>
        <w:spacing w:line="273" w:lineRule="auto"/>
        <w:ind w:left="1060" w:right="295" w:hanging="361"/>
        <w:jc w:val="both"/>
      </w:pPr>
      <w:r>
        <w:t>(S.</w:t>
      </w:r>
      <w:r>
        <w:rPr>
          <w:spacing w:val="-5"/>
        </w:rPr>
        <w:t xml:space="preserve"> </w:t>
      </w:r>
      <w:r>
        <w:t>1266</w:t>
      </w:r>
      <w:r>
        <w:rPr>
          <w:spacing w:val="-5"/>
        </w:rPr>
        <w:t xml:space="preserve"> </w:t>
      </w:r>
      <w:r>
        <w:t>/</w:t>
      </w:r>
      <w:r>
        <w:rPr>
          <w:spacing w:val="-5"/>
        </w:rPr>
        <w:t xml:space="preserve"> </w:t>
      </w:r>
      <w:r>
        <w:t>H.</w:t>
      </w:r>
      <w:r>
        <w:rPr>
          <w:spacing w:val="-5"/>
        </w:rPr>
        <w:t xml:space="preserve"> </w:t>
      </w:r>
      <w:r>
        <w:t>2111)</w:t>
      </w:r>
      <w:r>
        <w:rPr>
          <w:spacing w:val="-7"/>
        </w:rPr>
        <w:t xml:space="preserve"> </w:t>
      </w:r>
      <w:r>
        <w:t>An</w:t>
      </w:r>
      <w:r>
        <w:rPr>
          <w:spacing w:val="-5"/>
        </w:rPr>
        <w:t xml:space="preserve"> </w:t>
      </w:r>
      <w:r>
        <w:t>Act</w:t>
      </w:r>
      <w:r>
        <w:rPr>
          <w:spacing w:val="-4"/>
        </w:rPr>
        <w:t xml:space="preserve"> </w:t>
      </w:r>
      <w:r>
        <w:t>Supporting/Relative</w:t>
      </w:r>
      <w:r>
        <w:rPr>
          <w:spacing w:val="-5"/>
        </w:rPr>
        <w:t xml:space="preserve"> </w:t>
      </w:r>
      <w:r>
        <w:t>to</w:t>
      </w:r>
      <w:r>
        <w:rPr>
          <w:spacing w:val="-5"/>
        </w:rPr>
        <w:t xml:space="preserve"> </w:t>
      </w:r>
      <w:r>
        <w:t>Student</w:t>
      </w:r>
      <w:r>
        <w:rPr>
          <w:spacing w:val="-4"/>
        </w:rPr>
        <w:t xml:space="preserve"> </w:t>
      </w:r>
      <w:r>
        <w:t>Mental</w:t>
      </w:r>
      <w:r>
        <w:rPr>
          <w:spacing w:val="-4"/>
        </w:rPr>
        <w:t xml:space="preserve"> </w:t>
      </w:r>
      <w:r>
        <w:t>Health,</w:t>
      </w:r>
      <w:r>
        <w:rPr>
          <w:spacing w:val="-5"/>
        </w:rPr>
        <w:t xml:space="preserve"> </w:t>
      </w:r>
      <w:r>
        <w:t>which</w:t>
      </w:r>
      <w:r>
        <w:rPr>
          <w:spacing w:val="-4"/>
        </w:rPr>
        <w:t xml:space="preserve"> </w:t>
      </w:r>
      <w:r>
        <w:t>would</w:t>
      </w:r>
      <w:r>
        <w:rPr>
          <w:spacing w:val="-7"/>
        </w:rPr>
        <w:t xml:space="preserve"> </w:t>
      </w:r>
      <w:r>
        <w:t>require</w:t>
      </w:r>
      <w:r>
        <w:rPr>
          <w:spacing w:val="-6"/>
        </w:rPr>
        <w:t xml:space="preserve"> </w:t>
      </w:r>
      <w:r>
        <w:t>public and charter (7-12) schools and public universities to include telephone numbers for suicide prevention hotlines on the back of their student ID cards</w:t>
      </w:r>
    </w:p>
    <w:p w:rsidR="00C76E6D" w:rsidRDefault="00C76E6D">
      <w:pPr>
        <w:spacing w:line="273" w:lineRule="auto"/>
        <w:jc w:val="both"/>
        <w:sectPr w:rsidR="00C76E6D">
          <w:pgSz w:w="12240" w:h="15840"/>
          <w:pgMar w:top="1000" w:right="960" w:bottom="640" w:left="960" w:header="802" w:footer="440" w:gutter="0"/>
          <w:cols w:space="720"/>
        </w:sectPr>
      </w:pPr>
    </w:p>
    <w:p w:rsidR="00C76E6D" w:rsidRDefault="00C76E6D">
      <w:pPr>
        <w:pStyle w:val="BodyText"/>
        <w:spacing w:before="9"/>
        <w:rPr>
          <w:sz w:val="17"/>
        </w:rPr>
      </w:pPr>
    </w:p>
    <w:p w:rsidR="00C76E6D" w:rsidRDefault="00913831">
      <w:pPr>
        <w:pStyle w:val="ListParagraph"/>
        <w:numPr>
          <w:ilvl w:val="1"/>
          <w:numId w:val="36"/>
        </w:numPr>
        <w:tabs>
          <w:tab w:val="left" w:pos="1059"/>
        </w:tabs>
        <w:spacing w:before="100" w:line="276" w:lineRule="auto"/>
        <w:ind w:left="1058" w:right="297" w:hanging="360"/>
        <w:jc w:val="both"/>
      </w:pPr>
      <w:r>
        <w:t xml:space="preserve">(H. 2082) An Act to Identify and Eliminate Racial and Sexual Orientation and Gender </w:t>
      </w:r>
      <w:r>
        <w:t>Identity Disparities in Mental Health, which would direct the Health Policy Commission to issue an annual report examining disparities in prevalence of mental illness, substance use disorder, and suicide among</w:t>
      </w:r>
      <w:r>
        <w:rPr>
          <w:spacing w:val="-4"/>
        </w:rPr>
        <w:t xml:space="preserve"> </w:t>
      </w:r>
      <w:r>
        <w:t>various</w:t>
      </w:r>
      <w:r>
        <w:rPr>
          <w:spacing w:val="-3"/>
        </w:rPr>
        <w:t xml:space="preserve"> </w:t>
      </w:r>
      <w:r>
        <w:t>groups</w:t>
      </w:r>
      <w:r>
        <w:rPr>
          <w:spacing w:val="-3"/>
        </w:rPr>
        <w:t xml:space="preserve"> </w:t>
      </w:r>
      <w:r>
        <w:t>including</w:t>
      </w:r>
      <w:r>
        <w:rPr>
          <w:spacing w:val="-3"/>
        </w:rPr>
        <w:t xml:space="preserve"> </w:t>
      </w:r>
      <w:r>
        <w:t>homelessness,</w:t>
      </w:r>
      <w:r>
        <w:rPr>
          <w:spacing w:val="-4"/>
        </w:rPr>
        <w:t xml:space="preserve"> </w:t>
      </w:r>
      <w:r>
        <w:t>disability,</w:t>
      </w:r>
      <w:r>
        <w:rPr>
          <w:spacing w:val="-3"/>
        </w:rPr>
        <w:t xml:space="preserve"> </w:t>
      </w:r>
      <w:r>
        <w:t>incarceration</w:t>
      </w:r>
      <w:r>
        <w:rPr>
          <w:spacing w:val="-4"/>
        </w:rPr>
        <w:t xml:space="preserve"> </w:t>
      </w:r>
      <w:r>
        <w:t>status,</w:t>
      </w:r>
      <w:r>
        <w:rPr>
          <w:spacing w:val="-3"/>
        </w:rPr>
        <w:t xml:space="preserve"> </w:t>
      </w:r>
      <w:r>
        <w:t>race,</w:t>
      </w:r>
      <w:r>
        <w:rPr>
          <w:spacing w:val="-3"/>
        </w:rPr>
        <w:t xml:space="preserve"> </w:t>
      </w:r>
      <w:r>
        <w:t>ethnicity,</w:t>
      </w:r>
      <w:r>
        <w:rPr>
          <w:spacing w:val="-3"/>
        </w:rPr>
        <w:t xml:space="preserve"> </w:t>
      </w:r>
      <w:r>
        <w:t>sexual orientation, and gender identity</w:t>
      </w:r>
    </w:p>
    <w:p w:rsidR="00C76E6D" w:rsidRDefault="00C76E6D">
      <w:pPr>
        <w:pStyle w:val="BodyText"/>
        <w:spacing w:before="3"/>
        <w:rPr>
          <w:sz w:val="25"/>
        </w:rPr>
      </w:pPr>
    </w:p>
    <w:p w:rsidR="00C76E6D" w:rsidRDefault="00913831">
      <w:pPr>
        <w:pStyle w:val="BodyText"/>
        <w:spacing w:line="276" w:lineRule="auto"/>
        <w:ind w:left="338" w:right="294"/>
        <w:jc w:val="both"/>
      </w:pPr>
      <w:r>
        <w:t>Finally, the Commission was once again pleased to see the State Senate approve An Act Addressing Barriers to Care for Mental Health (S. 2584) in November 2021 and u</w:t>
      </w:r>
      <w:r>
        <w:t>rges the House to pass it as well. In addition to expanding access to mental health care and strengthening quality of care, S. 2584 also directs the Office of Health</w:t>
      </w:r>
      <w:r>
        <w:rPr>
          <w:spacing w:val="-5"/>
        </w:rPr>
        <w:t xml:space="preserve"> </w:t>
      </w:r>
      <w:r>
        <w:t>Equity</w:t>
      </w:r>
      <w:r>
        <w:rPr>
          <w:spacing w:val="-5"/>
        </w:rPr>
        <w:t xml:space="preserve"> </w:t>
      </w:r>
      <w:r>
        <w:t>to</w:t>
      </w:r>
      <w:r>
        <w:rPr>
          <w:spacing w:val="-7"/>
        </w:rPr>
        <w:t xml:space="preserve"> </w:t>
      </w:r>
      <w:r>
        <w:t>identify</w:t>
      </w:r>
      <w:r>
        <w:rPr>
          <w:spacing w:val="-6"/>
        </w:rPr>
        <w:t xml:space="preserve"> </w:t>
      </w:r>
      <w:r>
        <w:t>potential</w:t>
      </w:r>
      <w:r>
        <w:rPr>
          <w:spacing w:val="-6"/>
        </w:rPr>
        <w:t xml:space="preserve"> </w:t>
      </w:r>
      <w:r>
        <w:t>barriers</w:t>
      </w:r>
      <w:r>
        <w:rPr>
          <w:spacing w:val="-7"/>
        </w:rPr>
        <w:t xml:space="preserve"> </w:t>
      </w:r>
      <w:r>
        <w:t>to</w:t>
      </w:r>
      <w:r>
        <w:rPr>
          <w:spacing w:val="-6"/>
        </w:rPr>
        <w:t xml:space="preserve"> </w:t>
      </w:r>
      <w:r>
        <w:t>care</w:t>
      </w:r>
      <w:r>
        <w:rPr>
          <w:spacing w:val="-8"/>
        </w:rPr>
        <w:t xml:space="preserve"> </w:t>
      </w:r>
      <w:r>
        <w:t>for</w:t>
      </w:r>
      <w:r>
        <w:rPr>
          <w:spacing w:val="-7"/>
        </w:rPr>
        <w:t xml:space="preserve"> </w:t>
      </w:r>
      <w:r>
        <w:t>underserved</w:t>
      </w:r>
      <w:r>
        <w:rPr>
          <w:spacing w:val="-7"/>
        </w:rPr>
        <w:t xml:space="preserve"> </w:t>
      </w:r>
      <w:r>
        <w:t>cultural,</w:t>
      </w:r>
      <w:r>
        <w:rPr>
          <w:spacing w:val="-6"/>
        </w:rPr>
        <w:t xml:space="preserve"> </w:t>
      </w:r>
      <w:r>
        <w:t>ethnic,</w:t>
      </w:r>
      <w:r>
        <w:rPr>
          <w:spacing w:val="-6"/>
        </w:rPr>
        <w:t xml:space="preserve"> </w:t>
      </w:r>
      <w:r>
        <w:t>and</w:t>
      </w:r>
      <w:r>
        <w:rPr>
          <w:spacing w:val="-7"/>
        </w:rPr>
        <w:t xml:space="preserve"> </w:t>
      </w:r>
      <w:r>
        <w:t>lingui</w:t>
      </w:r>
      <w:r>
        <w:t>stic</w:t>
      </w:r>
      <w:r>
        <w:rPr>
          <w:spacing w:val="-6"/>
        </w:rPr>
        <w:t xml:space="preserve"> </w:t>
      </w:r>
      <w:r>
        <w:t>populations and the LGBTQ community.</w:t>
      </w:r>
    </w:p>
    <w:p w:rsidR="00C76E6D" w:rsidRDefault="00C76E6D">
      <w:pPr>
        <w:pStyle w:val="BodyText"/>
        <w:spacing w:before="5"/>
        <w:rPr>
          <w:sz w:val="25"/>
        </w:rPr>
      </w:pPr>
    </w:p>
    <w:p w:rsidR="00C76E6D" w:rsidRDefault="00913831">
      <w:pPr>
        <w:pStyle w:val="Heading6"/>
        <w:numPr>
          <w:ilvl w:val="0"/>
          <w:numId w:val="36"/>
        </w:numPr>
        <w:tabs>
          <w:tab w:val="left" w:pos="561"/>
        </w:tabs>
        <w:ind w:left="560" w:hanging="222"/>
      </w:pPr>
      <w:bookmarkStart w:id="558" w:name="5._Create_a_legal_framework_for_supervis"/>
      <w:bookmarkEnd w:id="558"/>
      <w:r>
        <w:rPr>
          <w:w w:val="95"/>
        </w:rPr>
        <w:t>Create</w:t>
      </w:r>
      <w:r>
        <w:rPr>
          <w:spacing w:val="17"/>
        </w:rPr>
        <w:t xml:space="preserve"> </w:t>
      </w:r>
      <w:r>
        <w:rPr>
          <w:w w:val="95"/>
        </w:rPr>
        <w:t>a</w:t>
      </w:r>
      <w:r>
        <w:rPr>
          <w:spacing w:val="16"/>
        </w:rPr>
        <w:t xml:space="preserve"> </w:t>
      </w:r>
      <w:r>
        <w:rPr>
          <w:w w:val="95"/>
        </w:rPr>
        <w:t>legal</w:t>
      </w:r>
      <w:r>
        <w:rPr>
          <w:spacing w:val="15"/>
        </w:rPr>
        <w:t xml:space="preserve"> </w:t>
      </w:r>
      <w:r>
        <w:rPr>
          <w:w w:val="95"/>
        </w:rPr>
        <w:t>framework</w:t>
      </w:r>
      <w:r>
        <w:rPr>
          <w:spacing w:val="16"/>
        </w:rPr>
        <w:t xml:space="preserve"> </w:t>
      </w:r>
      <w:r>
        <w:rPr>
          <w:w w:val="95"/>
        </w:rPr>
        <w:t>for</w:t>
      </w:r>
      <w:r>
        <w:rPr>
          <w:spacing w:val="17"/>
        </w:rPr>
        <w:t xml:space="preserve"> </w:t>
      </w:r>
      <w:r>
        <w:rPr>
          <w:w w:val="95"/>
        </w:rPr>
        <w:t>supervised</w:t>
      </w:r>
      <w:r>
        <w:rPr>
          <w:spacing w:val="15"/>
        </w:rPr>
        <w:t xml:space="preserve"> </w:t>
      </w:r>
      <w:r>
        <w:rPr>
          <w:w w:val="95"/>
        </w:rPr>
        <w:t>consumption</w:t>
      </w:r>
      <w:r>
        <w:rPr>
          <w:spacing w:val="14"/>
        </w:rPr>
        <w:t xml:space="preserve"> </w:t>
      </w:r>
      <w:r>
        <w:rPr>
          <w:spacing w:val="-2"/>
          <w:w w:val="95"/>
        </w:rPr>
        <w:t>sites.</w:t>
      </w:r>
    </w:p>
    <w:p w:rsidR="00C76E6D" w:rsidRDefault="00C76E6D">
      <w:pPr>
        <w:pStyle w:val="BodyText"/>
        <w:spacing w:before="6"/>
        <w:rPr>
          <w:b/>
          <w:sz w:val="28"/>
        </w:rPr>
      </w:pPr>
    </w:p>
    <w:p w:rsidR="00C76E6D" w:rsidRDefault="00913831">
      <w:pPr>
        <w:pStyle w:val="BodyText"/>
        <w:spacing w:line="276" w:lineRule="auto"/>
        <w:ind w:left="337" w:right="294" w:firstLine="2"/>
        <w:jc w:val="both"/>
      </w:pPr>
      <w:r>
        <w:t>Supervised consumption sites (SCS), such as those proposed by An Act Relative to Preventing Overdose Deaths</w:t>
      </w:r>
      <w:r>
        <w:rPr>
          <w:spacing w:val="-12"/>
        </w:rPr>
        <w:t xml:space="preserve"> </w:t>
      </w:r>
      <w:r>
        <w:t>and</w:t>
      </w:r>
      <w:r>
        <w:rPr>
          <w:spacing w:val="-12"/>
        </w:rPr>
        <w:t xml:space="preserve"> </w:t>
      </w:r>
      <w:r>
        <w:t>Increasing</w:t>
      </w:r>
      <w:r>
        <w:rPr>
          <w:spacing w:val="-13"/>
        </w:rPr>
        <w:t xml:space="preserve"> </w:t>
      </w:r>
      <w:r>
        <w:t>Access</w:t>
      </w:r>
      <w:r>
        <w:rPr>
          <w:spacing w:val="-11"/>
        </w:rPr>
        <w:t xml:space="preserve"> </w:t>
      </w:r>
      <w:r>
        <w:t>to</w:t>
      </w:r>
      <w:r>
        <w:rPr>
          <w:spacing w:val="-12"/>
        </w:rPr>
        <w:t xml:space="preserve"> </w:t>
      </w:r>
      <w:r>
        <w:t>Treatment</w:t>
      </w:r>
      <w:r>
        <w:rPr>
          <w:spacing w:val="-12"/>
        </w:rPr>
        <w:t xml:space="preserve"> </w:t>
      </w:r>
      <w:r>
        <w:t>(H.</w:t>
      </w:r>
      <w:r>
        <w:rPr>
          <w:spacing w:val="-13"/>
        </w:rPr>
        <w:t xml:space="preserve"> </w:t>
      </w:r>
      <w:r>
        <w:t>2088</w:t>
      </w:r>
      <w:r>
        <w:rPr>
          <w:spacing w:val="-10"/>
        </w:rPr>
        <w:t xml:space="preserve"> </w:t>
      </w:r>
      <w:r>
        <w:t>/</w:t>
      </w:r>
      <w:r>
        <w:rPr>
          <w:spacing w:val="-10"/>
        </w:rPr>
        <w:t xml:space="preserve"> </w:t>
      </w:r>
      <w:r>
        <w:t>S.</w:t>
      </w:r>
      <w:r>
        <w:rPr>
          <w:spacing w:val="-13"/>
        </w:rPr>
        <w:t xml:space="preserve"> </w:t>
      </w:r>
      <w:r>
        <w:t>1272),</w:t>
      </w:r>
      <w:r>
        <w:rPr>
          <w:spacing w:val="-10"/>
        </w:rPr>
        <w:t xml:space="preserve"> </w:t>
      </w:r>
      <w:r>
        <w:t>are</w:t>
      </w:r>
      <w:r>
        <w:rPr>
          <w:spacing w:val="-13"/>
        </w:rPr>
        <w:t xml:space="preserve"> </w:t>
      </w:r>
      <w:r>
        <w:t>legally</w:t>
      </w:r>
      <w:r>
        <w:rPr>
          <w:spacing w:val="-11"/>
        </w:rPr>
        <w:t xml:space="preserve"> </w:t>
      </w:r>
      <w:r>
        <w:t>sanctioned</w:t>
      </w:r>
      <w:r>
        <w:rPr>
          <w:spacing w:val="-12"/>
        </w:rPr>
        <w:t xml:space="preserve"> </w:t>
      </w:r>
      <w:r>
        <w:t>harm</w:t>
      </w:r>
      <w:r>
        <w:rPr>
          <w:spacing w:val="-13"/>
        </w:rPr>
        <w:t xml:space="preserve"> </w:t>
      </w:r>
      <w:r>
        <w:t>reduction</w:t>
      </w:r>
      <w:r>
        <w:rPr>
          <w:spacing w:val="-11"/>
        </w:rPr>
        <w:t xml:space="preserve"> </w:t>
      </w:r>
      <w:r>
        <w:t xml:space="preserve">facilities </w:t>
      </w:r>
      <w:bookmarkStart w:id="559" w:name="_bookmark418"/>
      <w:bookmarkEnd w:id="559"/>
      <w:r>
        <w:t>where</w:t>
      </w:r>
      <w:r>
        <w:rPr>
          <w:spacing w:val="-2"/>
        </w:rPr>
        <w:t xml:space="preserve"> </w:t>
      </w:r>
      <w:r>
        <w:t>people</w:t>
      </w:r>
      <w:r>
        <w:rPr>
          <w:spacing w:val="-2"/>
        </w:rPr>
        <w:t xml:space="preserve"> </w:t>
      </w:r>
      <w:r>
        <w:t>who use</w:t>
      </w:r>
      <w:r>
        <w:rPr>
          <w:spacing w:val="-2"/>
        </w:rPr>
        <w:t xml:space="preserve"> </w:t>
      </w:r>
      <w:r>
        <w:t>drugs</w:t>
      </w:r>
      <w:r>
        <w:rPr>
          <w:spacing w:val="-1"/>
        </w:rPr>
        <w:t xml:space="preserve"> </w:t>
      </w:r>
      <w:r>
        <w:t>can</w:t>
      </w:r>
      <w:r>
        <w:rPr>
          <w:spacing w:val="-2"/>
        </w:rPr>
        <w:t xml:space="preserve"> </w:t>
      </w:r>
      <w:r>
        <w:t>safely</w:t>
      </w:r>
      <w:r>
        <w:rPr>
          <w:spacing w:val="-1"/>
        </w:rPr>
        <w:t xml:space="preserve"> </w:t>
      </w:r>
      <w:r>
        <w:t>consume</w:t>
      </w:r>
      <w:r>
        <w:rPr>
          <w:spacing w:val="-1"/>
        </w:rPr>
        <w:t xml:space="preserve"> </w:t>
      </w:r>
      <w:r>
        <w:t>previously</w:t>
      </w:r>
      <w:r>
        <w:rPr>
          <w:spacing w:val="-1"/>
        </w:rPr>
        <w:t xml:space="preserve"> </w:t>
      </w:r>
      <w:r>
        <w:t>obtained</w:t>
      </w:r>
      <w:r>
        <w:rPr>
          <w:spacing w:val="-2"/>
        </w:rPr>
        <w:t xml:space="preserve"> </w:t>
      </w:r>
      <w:r>
        <w:t>drugs</w:t>
      </w:r>
      <w:r>
        <w:rPr>
          <w:spacing w:val="-1"/>
        </w:rPr>
        <w:t xml:space="preserve"> </w:t>
      </w:r>
      <w:r>
        <w:t>under</w:t>
      </w:r>
      <w:r>
        <w:rPr>
          <w:spacing w:val="-1"/>
        </w:rPr>
        <w:t xml:space="preserve"> </w:t>
      </w:r>
      <w:r>
        <w:t>medical</w:t>
      </w:r>
      <w:r>
        <w:rPr>
          <w:spacing w:val="-2"/>
        </w:rPr>
        <w:t xml:space="preserve"> </w:t>
      </w:r>
      <w:r>
        <w:t>supervision.</w:t>
      </w:r>
      <w:r>
        <w:rPr>
          <w:spacing w:val="-2"/>
        </w:rPr>
        <w:t xml:space="preserve"> </w:t>
      </w:r>
      <w:r>
        <w:t>SCSs provide</w:t>
      </w:r>
      <w:r>
        <w:rPr>
          <w:spacing w:val="-13"/>
        </w:rPr>
        <w:t xml:space="preserve"> </w:t>
      </w:r>
      <w:r>
        <w:t>(1)</w:t>
      </w:r>
      <w:r>
        <w:rPr>
          <w:spacing w:val="-12"/>
        </w:rPr>
        <w:t xml:space="preserve"> </w:t>
      </w:r>
      <w:r>
        <w:t>emergency</w:t>
      </w:r>
      <w:r>
        <w:rPr>
          <w:spacing w:val="-13"/>
        </w:rPr>
        <w:t xml:space="preserve"> </w:t>
      </w:r>
      <w:r>
        <w:t>responses</w:t>
      </w:r>
      <w:r>
        <w:rPr>
          <w:spacing w:val="-12"/>
        </w:rPr>
        <w:t xml:space="preserve"> </w:t>
      </w:r>
      <w:r>
        <w:t>to</w:t>
      </w:r>
      <w:r>
        <w:rPr>
          <w:spacing w:val="-13"/>
        </w:rPr>
        <w:t xml:space="preserve"> </w:t>
      </w:r>
      <w:r>
        <w:t>overdoses;</w:t>
      </w:r>
      <w:r>
        <w:rPr>
          <w:spacing w:val="-12"/>
        </w:rPr>
        <w:t xml:space="preserve"> </w:t>
      </w:r>
      <w:r>
        <w:t>(2)</w:t>
      </w:r>
      <w:r>
        <w:rPr>
          <w:spacing w:val="-13"/>
        </w:rPr>
        <w:t xml:space="preserve"> </w:t>
      </w:r>
      <w:r>
        <w:t>injection-related</w:t>
      </w:r>
      <w:r>
        <w:rPr>
          <w:spacing w:val="-12"/>
        </w:rPr>
        <w:t xml:space="preserve"> </w:t>
      </w:r>
      <w:r>
        <w:t>first</w:t>
      </w:r>
      <w:r>
        <w:rPr>
          <w:spacing w:val="-12"/>
        </w:rPr>
        <w:t xml:space="preserve"> </w:t>
      </w:r>
      <w:r>
        <w:t>aid;</w:t>
      </w:r>
      <w:r>
        <w:rPr>
          <w:spacing w:val="-11"/>
        </w:rPr>
        <w:t xml:space="preserve"> </w:t>
      </w:r>
      <w:r>
        <w:t>(3)</w:t>
      </w:r>
      <w:r>
        <w:rPr>
          <w:spacing w:val="-10"/>
        </w:rPr>
        <w:t xml:space="preserve"> </w:t>
      </w:r>
      <w:r>
        <w:t>access</w:t>
      </w:r>
      <w:r>
        <w:rPr>
          <w:spacing w:val="-13"/>
        </w:rPr>
        <w:t xml:space="preserve"> </w:t>
      </w:r>
      <w:r>
        <w:t>to</w:t>
      </w:r>
      <w:r>
        <w:rPr>
          <w:spacing w:val="-10"/>
        </w:rPr>
        <w:t xml:space="preserve"> </w:t>
      </w:r>
      <w:r>
        <w:t>counseling,</w:t>
      </w:r>
      <w:r>
        <w:rPr>
          <w:spacing w:val="-12"/>
        </w:rPr>
        <w:t xml:space="preserve"> </w:t>
      </w:r>
      <w:r>
        <w:t>medical and</w:t>
      </w:r>
      <w:r>
        <w:rPr>
          <w:spacing w:val="-7"/>
        </w:rPr>
        <w:t xml:space="preserve"> </w:t>
      </w:r>
      <w:r>
        <w:t>behavioral</w:t>
      </w:r>
      <w:r>
        <w:rPr>
          <w:spacing w:val="-7"/>
        </w:rPr>
        <w:t xml:space="preserve"> </w:t>
      </w:r>
      <w:r>
        <w:t>health</w:t>
      </w:r>
      <w:r>
        <w:rPr>
          <w:spacing w:val="-5"/>
        </w:rPr>
        <w:t xml:space="preserve"> </w:t>
      </w:r>
      <w:r>
        <w:t>services,</w:t>
      </w:r>
      <w:r>
        <w:rPr>
          <w:spacing w:val="-6"/>
        </w:rPr>
        <w:t xml:space="preserve"> </w:t>
      </w:r>
      <w:r>
        <w:t>and</w:t>
      </w:r>
      <w:r>
        <w:rPr>
          <w:spacing w:val="-4"/>
        </w:rPr>
        <w:t xml:space="preserve"> </w:t>
      </w:r>
      <w:r>
        <w:t>substance</w:t>
      </w:r>
      <w:r>
        <w:rPr>
          <w:spacing w:val="-5"/>
        </w:rPr>
        <w:t xml:space="preserve"> </w:t>
      </w:r>
      <w:r>
        <w:t>use</w:t>
      </w:r>
      <w:r>
        <w:rPr>
          <w:spacing w:val="-4"/>
        </w:rPr>
        <w:t xml:space="preserve"> </w:t>
      </w:r>
      <w:r>
        <w:t>treatment;</w:t>
      </w:r>
      <w:r>
        <w:rPr>
          <w:spacing w:val="-5"/>
        </w:rPr>
        <w:t xml:space="preserve"> </w:t>
      </w:r>
      <w:r>
        <w:t>and</w:t>
      </w:r>
      <w:r>
        <w:rPr>
          <w:spacing w:val="-4"/>
        </w:rPr>
        <w:t xml:space="preserve"> </w:t>
      </w:r>
      <w:r>
        <w:t>(4)</w:t>
      </w:r>
      <w:r>
        <w:rPr>
          <w:spacing w:val="-6"/>
        </w:rPr>
        <w:t xml:space="preserve"> </w:t>
      </w:r>
      <w:r>
        <w:t>exchange</w:t>
      </w:r>
      <w:r>
        <w:rPr>
          <w:spacing w:val="-4"/>
        </w:rPr>
        <w:t xml:space="preserve"> </w:t>
      </w:r>
      <w:r>
        <w:t>and</w:t>
      </w:r>
      <w:r>
        <w:rPr>
          <w:spacing w:val="-5"/>
        </w:rPr>
        <w:t xml:space="preserve"> </w:t>
      </w:r>
      <w:r>
        <w:t>disposal</w:t>
      </w:r>
      <w:r>
        <w:rPr>
          <w:spacing w:val="-4"/>
        </w:rPr>
        <w:t xml:space="preserve"> </w:t>
      </w:r>
      <w:r>
        <w:t>of</w:t>
      </w:r>
      <w:r>
        <w:rPr>
          <w:spacing w:val="-6"/>
        </w:rPr>
        <w:t xml:space="preserve"> </w:t>
      </w:r>
      <w:r>
        <w:t>needles.</w:t>
      </w:r>
      <w:r>
        <w:rPr>
          <w:spacing w:val="-7"/>
        </w:rPr>
        <w:t xml:space="preserve"> </w:t>
      </w:r>
      <w:r>
        <w:t>SCSs are</w:t>
      </w:r>
      <w:r>
        <w:rPr>
          <w:spacing w:val="-4"/>
        </w:rPr>
        <w:t xml:space="preserve"> </w:t>
      </w:r>
      <w:r>
        <w:t>especially</w:t>
      </w:r>
      <w:r>
        <w:rPr>
          <w:spacing w:val="-2"/>
        </w:rPr>
        <w:t xml:space="preserve"> </w:t>
      </w:r>
      <w:r>
        <w:t>pressing</w:t>
      </w:r>
      <w:r>
        <w:rPr>
          <w:spacing w:val="-3"/>
        </w:rPr>
        <w:t xml:space="preserve"> </w:t>
      </w:r>
      <w:r>
        <w:t>considering</w:t>
      </w:r>
      <w:r>
        <w:rPr>
          <w:spacing w:val="-3"/>
        </w:rPr>
        <w:t xml:space="preserve"> </w:t>
      </w:r>
      <w:r>
        <w:t>the</w:t>
      </w:r>
      <w:r>
        <w:rPr>
          <w:spacing w:val="-3"/>
        </w:rPr>
        <w:t xml:space="preserve"> </w:t>
      </w:r>
      <w:r>
        <w:t>disparities</w:t>
      </w:r>
      <w:r>
        <w:rPr>
          <w:spacing w:val="-3"/>
        </w:rPr>
        <w:t xml:space="preserve"> </w:t>
      </w:r>
      <w:r>
        <w:t>in</w:t>
      </w:r>
      <w:r>
        <w:rPr>
          <w:spacing w:val="-3"/>
        </w:rPr>
        <w:t xml:space="preserve"> </w:t>
      </w:r>
      <w:r>
        <w:t>lifetime</w:t>
      </w:r>
      <w:r>
        <w:rPr>
          <w:spacing w:val="-3"/>
        </w:rPr>
        <w:t xml:space="preserve"> </w:t>
      </w:r>
      <w:r>
        <w:t>heroin</w:t>
      </w:r>
      <w:r>
        <w:rPr>
          <w:spacing w:val="-3"/>
        </w:rPr>
        <w:t xml:space="preserve"> </w:t>
      </w:r>
      <w:r>
        <w:t>use</w:t>
      </w:r>
      <w:r>
        <w:rPr>
          <w:spacing w:val="-4"/>
        </w:rPr>
        <w:t xml:space="preserve"> </w:t>
      </w:r>
      <w:r>
        <w:t>among</w:t>
      </w:r>
      <w:r>
        <w:rPr>
          <w:spacing w:val="-3"/>
        </w:rPr>
        <w:t xml:space="preserve"> </w:t>
      </w:r>
      <w:r>
        <w:t>LGBTQ</w:t>
      </w:r>
      <w:r>
        <w:rPr>
          <w:spacing w:val="-4"/>
        </w:rPr>
        <w:t xml:space="preserve"> </w:t>
      </w:r>
      <w:r>
        <w:t>youth</w:t>
      </w:r>
      <w:r>
        <w:rPr>
          <w:spacing w:val="-2"/>
        </w:rPr>
        <w:t xml:space="preserve"> </w:t>
      </w:r>
      <w:r>
        <w:t>as</w:t>
      </w:r>
      <w:r>
        <w:rPr>
          <w:spacing w:val="-4"/>
        </w:rPr>
        <w:t xml:space="preserve"> </w:t>
      </w:r>
      <w:r>
        <w:t>compared</w:t>
      </w:r>
      <w:r>
        <w:rPr>
          <w:spacing w:val="-2"/>
        </w:rPr>
        <w:t xml:space="preserve"> </w:t>
      </w:r>
      <w:r>
        <w:t>to their non-LGBTQ peers.</w:t>
      </w:r>
    </w:p>
    <w:p w:rsidR="00C76E6D" w:rsidRDefault="00C76E6D">
      <w:pPr>
        <w:pStyle w:val="BodyText"/>
        <w:spacing w:before="8"/>
        <w:rPr>
          <w:sz w:val="25"/>
        </w:rPr>
      </w:pPr>
    </w:p>
    <w:p w:rsidR="00C76E6D" w:rsidRDefault="00913831">
      <w:pPr>
        <w:pStyle w:val="Heading5"/>
      </w:pPr>
      <w:r>
        <w:pict>
          <v:rect id="docshape299" o:spid="_x0000_s1140" style="position:absolute;left:0;text-align:left;margin-left:62.25pt;margin-top:15.7pt;width:470.95pt;height:1.45pt;z-index:-15674880;mso-wrap-distance-left:0;mso-wrap-distance-right:0;mso-position-horizontal-relative:page" fillcolor="black" stroked="f">
            <w10:wrap type="topAndBottom" anchorx="page"/>
          </v:rect>
        </w:pict>
      </w:r>
      <w:bookmarkStart w:id="560" w:name="C._Research_on_LGBTQ_Youth_Health"/>
      <w:bookmarkEnd w:id="560"/>
      <w:r>
        <w:rPr>
          <w:sz w:val="22"/>
        </w:rPr>
        <w:t>C.</w:t>
      </w:r>
      <w:r>
        <w:rPr>
          <w:spacing w:val="-6"/>
          <w:sz w:val="22"/>
        </w:rPr>
        <w:t xml:space="preserve"> </w:t>
      </w:r>
      <w:r>
        <w:t>Research</w:t>
      </w:r>
      <w:r>
        <w:rPr>
          <w:spacing w:val="-8"/>
        </w:rPr>
        <w:t xml:space="preserve"> </w:t>
      </w:r>
      <w:r>
        <w:t>on</w:t>
      </w:r>
      <w:r>
        <w:rPr>
          <w:spacing w:val="-9"/>
        </w:rPr>
        <w:t xml:space="preserve"> </w:t>
      </w:r>
      <w:r>
        <w:t>LGBTQ</w:t>
      </w:r>
      <w:r>
        <w:rPr>
          <w:spacing w:val="-6"/>
        </w:rPr>
        <w:t xml:space="preserve"> </w:t>
      </w:r>
      <w:r>
        <w:t>Youth</w:t>
      </w:r>
      <w:r>
        <w:rPr>
          <w:spacing w:val="-7"/>
        </w:rPr>
        <w:t xml:space="preserve"> </w:t>
      </w:r>
      <w:r>
        <w:rPr>
          <w:spacing w:val="-2"/>
        </w:rPr>
        <w:t>Health</w:t>
      </w:r>
    </w:p>
    <w:p w:rsidR="00C76E6D" w:rsidRDefault="00C76E6D">
      <w:pPr>
        <w:pStyle w:val="BodyText"/>
        <w:spacing w:before="3"/>
        <w:rPr>
          <w:b/>
          <w:sz w:val="30"/>
        </w:rPr>
      </w:pPr>
    </w:p>
    <w:p w:rsidR="00C76E6D" w:rsidRDefault="00913831">
      <w:pPr>
        <w:pStyle w:val="Heading6"/>
        <w:numPr>
          <w:ilvl w:val="0"/>
          <w:numId w:val="35"/>
        </w:numPr>
        <w:tabs>
          <w:tab w:val="left" w:pos="560"/>
        </w:tabs>
        <w:spacing w:before="1"/>
        <w:ind w:hanging="222"/>
        <w:jc w:val="left"/>
      </w:pPr>
      <w:bookmarkStart w:id="561" w:name="1._Intersectionality,_the_Socio-Ecologic"/>
      <w:bookmarkEnd w:id="561"/>
      <w:r>
        <w:rPr>
          <w:spacing w:val="-2"/>
        </w:rPr>
        <w:t>Intersectionality,</w:t>
      </w:r>
      <w:r>
        <w:rPr>
          <w:spacing w:val="-11"/>
        </w:rPr>
        <w:t xml:space="preserve"> </w:t>
      </w:r>
      <w:r>
        <w:rPr>
          <w:spacing w:val="-2"/>
        </w:rPr>
        <w:t>the</w:t>
      </w:r>
      <w:r>
        <w:rPr>
          <w:spacing w:val="-8"/>
        </w:rPr>
        <w:t xml:space="preserve"> </w:t>
      </w:r>
      <w:r>
        <w:rPr>
          <w:spacing w:val="-2"/>
        </w:rPr>
        <w:t>Socio-Ecological</w:t>
      </w:r>
      <w:r>
        <w:rPr>
          <w:spacing w:val="-9"/>
        </w:rPr>
        <w:t xml:space="preserve"> </w:t>
      </w:r>
      <w:r>
        <w:rPr>
          <w:spacing w:val="-2"/>
        </w:rPr>
        <w:t>Model,</w:t>
      </w:r>
      <w:r>
        <w:rPr>
          <w:spacing w:val="-9"/>
        </w:rPr>
        <w:t xml:space="preserve"> </w:t>
      </w:r>
      <w:r>
        <w:rPr>
          <w:spacing w:val="-2"/>
        </w:rPr>
        <w:t>and</w:t>
      </w:r>
      <w:r>
        <w:rPr>
          <w:spacing w:val="-6"/>
        </w:rPr>
        <w:t xml:space="preserve"> </w:t>
      </w:r>
      <w:r>
        <w:rPr>
          <w:spacing w:val="-2"/>
        </w:rPr>
        <w:t>Social</w:t>
      </w:r>
      <w:r>
        <w:rPr>
          <w:spacing w:val="-9"/>
        </w:rPr>
        <w:t xml:space="preserve"> </w:t>
      </w:r>
      <w:r>
        <w:rPr>
          <w:spacing w:val="-2"/>
        </w:rPr>
        <w:t>Determinants</w:t>
      </w:r>
      <w:r>
        <w:rPr>
          <w:spacing w:val="-6"/>
        </w:rPr>
        <w:t xml:space="preserve"> </w:t>
      </w:r>
      <w:r>
        <w:rPr>
          <w:spacing w:val="-2"/>
        </w:rPr>
        <w:t>of</w:t>
      </w:r>
      <w:r>
        <w:rPr>
          <w:spacing w:val="-5"/>
        </w:rPr>
        <w:t xml:space="preserve"> </w:t>
      </w:r>
      <w:r>
        <w:rPr>
          <w:spacing w:val="-2"/>
        </w:rPr>
        <w:t>Health</w:t>
      </w:r>
    </w:p>
    <w:p w:rsidR="00C76E6D" w:rsidRDefault="00C76E6D">
      <w:pPr>
        <w:pStyle w:val="BodyText"/>
        <w:spacing w:before="5"/>
        <w:rPr>
          <w:b/>
          <w:sz w:val="28"/>
        </w:rPr>
      </w:pPr>
    </w:p>
    <w:p w:rsidR="00C76E6D" w:rsidRDefault="00913831">
      <w:pPr>
        <w:pStyle w:val="BodyText"/>
        <w:spacing w:line="276" w:lineRule="auto"/>
        <w:ind w:left="338" w:right="293"/>
        <w:jc w:val="both"/>
      </w:pPr>
      <w:r>
        <w:t>Kimberlé</w:t>
      </w:r>
      <w:r>
        <w:rPr>
          <w:spacing w:val="-11"/>
        </w:rPr>
        <w:t xml:space="preserve"> </w:t>
      </w:r>
      <w:r>
        <w:t>Crenshaw</w:t>
      </w:r>
      <w:r>
        <w:rPr>
          <w:spacing w:val="-11"/>
        </w:rPr>
        <w:t xml:space="preserve"> </w:t>
      </w:r>
      <w:r>
        <w:t>coined</w:t>
      </w:r>
      <w:r>
        <w:rPr>
          <w:spacing w:val="-9"/>
        </w:rPr>
        <w:t xml:space="preserve"> </w:t>
      </w:r>
      <w:r>
        <w:t>the</w:t>
      </w:r>
      <w:r>
        <w:rPr>
          <w:spacing w:val="-11"/>
        </w:rPr>
        <w:t xml:space="preserve"> </w:t>
      </w:r>
      <w:r>
        <w:t>term</w:t>
      </w:r>
      <w:r>
        <w:rPr>
          <w:spacing w:val="-12"/>
        </w:rPr>
        <w:t xml:space="preserve"> </w:t>
      </w:r>
      <w:r>
        <w:t>“intersectionality”</w:t>
      </w:r>
      <w:r>
        <w:rPr>
          <w:spacing w:val="-10"/>
        </w:rPr>
        <w:t xml:space="preserve"> </w:t>
      </w:r>
      <w:r>
        <w:t>to</w:t>
      </w:r>
      <w:r>
        <w:rPr>
          <w:spacing w:val="-11"/>
        </w:rPr>
        <w:t xml:space="preserve"> </w:t>
      </w:r>
      <w:r>
        <w:t>describe</w:t>
      </w:r>
      <w:r>
        <w:rPr>
          <w:spacing w:val="-10"/>
        </w:rPr>
        <w:t xml:space="preserve"> </w:t>
      </w:r>
      <w:r>
        <w:t>the</w:t>
      </w:r>
      <w:r>
        <w:rPr>
          <w:spacing w:val="-11"/>
        </w:rPr>
        <w:t xml:space="preserve"> </w:t>
      </w:r>
      <w:r>
        <w:t>impact</w:t>
      </w:r>
      <w:r>
        <w:rPr>
          <w:spacing w:val="-12"/>
        </w:rPr>
        <w:t xml:space="preserve"> </w:t>
      </w:r>
      <w:r>
        <w:t>of</w:t>
      </w:r>
      <w:r>
        <w:rPr>
          <w:spacing w:val="-9"/>
        </w:rPr>
        <w:t xml:space="preserve"> </w:t>
      </w:r>
      <w:r>
        <w:t>multiple</w:t>
      </w:r>
      <w:r>
        <w:rPr>
          <w:spacing w:val="-10"/>
        </w:rPr>
        <w:t xml:space="preserve"> </w:t>
      </w:r>
      <w:r>
        <w:t>types</w:t>
      </w:r>
      <w:r>
        <w:rPr>
          <w:spacing w:val="-11"/>
        </w:rPr>
        <w:t xml:space="preserve"> </w:t>
      </w:r>
      <w:r>
        <w:t>of</w:t>
      </w:r>
      <w:r>
        <w:rPr>
          <w:spacing w:val="-11"/>
        </w:rPr>
        <w:t xml:space="preserve"> </w:t>
      </w:r>
      <w:r>
        <w:t>oppression on a single person which result in uniquely adverse situations</w:t>
      </w:r>
      <w:hyperlink w:anchor="_bookmark423" w:history="1">
        <w:r>
          <w:t>.</w:t>
        </w:r>
        <w:r>
          <w:rPr>
            <w:vertAlign w:val="superscript"/>
          </w:rPr>
          <w:t>5</w:t>
        </w:r>
        <w:r>
          <w:t xml:space="preserve"> </w:t>
        </w:r>
      </w:hyperlink>
      <w:r>
        <w:t>Nancy Krieger, in her eco-social theory of embodiment, explains how the body "literally incorporates" its environment to theorize how "population di</w:t>
      </w:r>
      <w:r>
        <w:t>stributions of deprivation and privilege" affect health</w:t>
      </w:r>
      <w:hyperlink w:anchor="_bookmark424" w:history="1">
        <w:r>
          <w:t>.</w:t>
        </w:r>
        <w:r>
          <w:rPr>
            <w:vertAlign w:val="superscript"/>
          </w:rPr>
          <w:t>6</w:t>
        </w:r>
        <w:r>
          <w:t xml:space="preserve"> </w:t>
        </w:r>
      </w:hyperlink>
      <w:r>
        <w:t>Therefore, racism and other forms of oppression involving LGBTQ youth are determinants of health because of a person's "embodiment of inequitable social systems."</w:t>
      </w:r>
      <w:hyperlink w:anchor="_bookmark425" w:history="1">
        <w:r>
          <w:rPr>
            <w:vertAlign w:val="superscript"/>
          </w:rPr>
          <w:t>7</w:t>
        </w:r>
        <w:r>
          <w:rPr>
            <w:spacing w:val="-10"/>
          </w:rPr>
          <w:t xml:space="preserve"> </w:t>
        </w:r>
        <w:r>
          <w:t>I</w:t>
        </w:r>
      </w:hyperlink>
      <w:r>
        <w:t>ntersectionality</w:t>
      </w:r>
      <w:r>
        <w:rPr>
          <w:spacing w:val="-9"/>
        </w:rPr>
        <w:t xml:space="preserve"> </w:t>
      </w:r>
      <w:r>
        <w:t>goes</w:t>
      </w:r>
      <w:r>
        <w:rPr>
          <w:spacing w:val="-7"/>
        </w:rPr>
        <w:t xml:space="preserve"> </w:t>
      </w:r>
      <w:r>
        <w:t>beyond</w:t>
      </w:r>
      <w:r>
        <w:rPr>
          <w:spacing w:val="-7"/>
        </w:rPr>
        <w:t xml:space="preserve"> </w:t>
      </w:r>
      <w:r>
        <w:t>racism</w:t>
      </w:r>
      <w:r>
        <w:rPr>
          <w:spacing w:val="-9"/>
        </w:rPr>
        <w:t xml:space="preserve"> </w:t>
      </w:r>
      <w:r>
        <w:t>and</w:t>
      </w:r>
      <w:r>
        <w:rPr>
          <w:spacing w:val="-8"/>
        </w:rPr>
        <w:t xml:space="preserve"> </w:t>
      </w:r>
      <w:r>
        <w:t>sexism</w:t>
      </w:r>
      <w:r>
        <w:rPr>
          <w:spacing w:val="-9"/>
        </w:rPr>
        <w:t xml:space="preserve"> </w:t>
      </w:r>
      <w:r>
        <w:t>because</w:t>
      </w:r>
      <w:r>
        <w:rPr>
          <w:spacing w:val="-8"/>
        </w:rPr>
        <w:t xml:space="preserve"> </w:t>
      </w:r>
      <w:r>
        <w:t>systemic</w:t>
      </w:r>
      <w:r>
        <w:rPr>
          <w:spacing w:val="-8"/>
        </w:rPr>
        <w:t xml:space="preserve"> </w:t>
      </w:r>
      <w:r>
        <w:t>power</w:t>
      </w:r>
      <w:r>
        <w:rPr>
          <w:spacing w:val="-9"/>
        </w:rPr>
        <w:t xml:space="preserve"> </w:t>
      </w:r>
      <w:r>
        <w:t>structures</w:t>
      </w:r>
      <w:r>
        <w:rPr>
          <w:spacing w:val="-8"/>
        </w:rPr>
        <w:t xml:space="preserve"> </w:t>
      </w:r>
      <w:r>
        <w:t>can</w:t>
      </w:r>
      <w:r>
        <w:rPr>
          <w:spacing w:val="-8"/>
        </w:rPr>
        <w:t xml:space="preserve"> </w:t>
      </w:r>
      <w:r>
        <w:t>construct many</w:t>
      </w:r>
      <w:r>
        <w:rPr>
          <w:spacing w:val="-1"/>
        </w:rPr>
        <w:t xml:space="preserve"> </w:t>
      </w:r>
      <w:r>
        <w:t>identities</w:t>
      </w:r>
      <w:r>
        <w:rPr>
          <w:spacing w:val="-1"/>
        </w:rPr>
        <w:t xml:space="preserve"> </w:t>
      </w:r>
      <w:r>
        <w:t>as</w:t>
      </w:r>
      <w:r>
        <w:rPr>
          <w:spacing w:val="-1"/>
        </w:rPr>
        <w:t xml:space="preserve"> </w:t>
      </w:r>
      <w:r>
        <w:t>an</w:t>
      </w:r>
      <w:r>
        <w:rPr>
          <w:spacing w:val="-1"/>
        </w:rPr>
        <w:t xml:space="preserve"> </w:t>
      </w:r>
      <w:r>
        <w:t>"other";</w:t>
      </w:r>
      <w:r>
        <w:rPr>
          <w:spacing w:val="-1"/>
        </w:rPr>
        <w:t xml:space="preserve"> </w:t>
      </w:r>
      <w:r>
        <w:t>thus,</w:t>
      </w:r>
      <w:r>
        <w:rPr>
          <w:spacing w:val="-1"/>
        </w:rPr>
        <w:t xml:space="preserve"> </w:t>
      </w:r>
      <w:r>
        <w:t>ableism,</w:t>
      </w:r>
      <w:r>
        <w:rPr>
          <w:spacing w:val="-1"/>
        </w:rPr>
        <w:t xml:space="preserve"> </w:t>
      </w:r>
      <w:r>
        <w:t>classism,</w:t>
      </w:r>
      <w:r>
        <w:rPr>
          <w:spacing w:val="-1"/>
        </w:rPr>
        <w:t xml:space="preserve"> </w:t>
      </w:r>
      <w:r>
        <w:t>religious discrimination, xenophobia, and</w:t>
      </w:r>
      <w:r>
        <w:rPr>
          <w:spacing w:val="-2"/>
        </w:rPr>
        <w:t xml:space="preserve"> </w:t>
      </w:r>
      <w:r>
        <w:t xml:space="preserve">other forms </w:t>
      </w:r>
      <w:r>
        <w:rPr>
          <w:w w:val="95"/>
        </w:rPr>
        <w:t>of oppression can become nodes in an intricate and three-dimensional web of causation.</w:t>
      </w:r>
      <w:hyperlink w:anchor="_bookmark426" w:history="1">
        <w:r>
          <w:rPr>
            <w:w w:val="95"/>
            <w:vertAlign w:val="superscript"/>
          </w:rPr>
          <w:t>8</w:t>
        </w:r>
        <w:r>
          <w:rPr>
            <w:w w:val="95"/>
          </w:rPr>
          <w:t xml:space="preserve"> </w:t>
        </w:r>
      </w:hyperlink>
      <w:r>
        <w:rPr>
          <w:w w:val="95"/>
        </w:rPr>
        <w:t xml:space="preserve">It is vital to recognize </w:t>
      </w:r>
      <w:r>
        <w:t>inequitable social systems that create disease to break away from individual-behavior models of promoting healt</w:t>
      </w:r>
      <w:r>
        <w:t>h. Health-promoting institutions need to address social inequities that create conditions for the deterioration of health or impede entire groups of people from taking care of themselves, also known as Social Determinants of Health.</w:t>
      </w:r>
      <w:hyperlink w:anchor="_bookmark427" w:history="1">
        <w:r>
          <w:rPr>
            <w:vertAlign w:val="superscript"/>
          </w:rPr>
          <w:t>9</w:t>
        </w:r>
      </w:hyperlink>
    </w:p>
    <w:p w:rsidR="00C76E6D" w:rsidRDefault="00C76E6D">
      <w:pPr>
        <w:pStyle w:val="BodyText"/>
        <w:spacing w:before="5"/>
        <w:rPr>
          <w:sz w:val="25"/>
        </w:rPr>
      </w:pPr>
    </w:p>
    <w:p w:rsidR="00C76E6D" w:rsidRDefault="00913831">
      <w:pPr>
        <w:pStyle w:val="Heading6"/>
        <w:numPr>
          <w:ilvl w:val="0"/>
          <w:numId w:val="35"/>
        </w:numPr>
        <w:tabs>
          <w:tab w:val="left" w:pos="560"/>
        </w:tabs>
        <w:ind w:hanging="222"/>
        <w:jc w:val="left"/>
      </w:pPr>
      <w:bookmarkStart w:id="562" w:name="2._LGBTQ+_Youth_and_COVID-19"/>
      <w:bookmarkEnd w:id="562"/>
      <w:r>
        <w:rPr>
          <w:w w:val="95"/>
        </w:rPr>
        <w:t>LGBTQ+</w:t>
      </w:r>
      <w:r>
        <w:rPr>
          <w:spacing w:val="14"/>
        </w:rPr>
        <w:t xml:space="preserve"> </w:t>
      </w:r>
      <w:r>
        <w:rPr>
          <w:w w:val="95"/>
        </w:rPr>
        <w:t>Youth</w:t>
      </w:r>
      <w:r>
        <w:rPr>
          <w:spacing w:val="18"/>
        </w:rPr>
        <w:t xml:space="preserve"> </w:t>
      </w:r>
      <w:r>
        <w:rPr>
          <w:w w:val="95"/>
        </w:rPr>
        <w:t>and</w:t>
      </w:r>
      <w:r>
        <w:rPr>
          <w:spacing w:val="16"/>
        </w:rPr>
        <w:t xml:space="preserve"> </w:t>
      </w:r>
      <w:r>
        <w:rPr>
          <w:w w:val="95"/>
        </w:rPr>
        <w:t>COVID-</w:t>
      </w:r>
      <w:r>
        <w:rPr>
          <w:spacing w:val="-5"/>
          <w:w w:val="95"/>
        </w:rPr>
        <w:t>19</w:t>
      </w:r>
    </w:p>
    <w:p w:rsidR="00C76E6D" w:rsidRDefault="00C76E6D">
      <w:pPr>
        <w:pStyle w:val="BodyText"/>
        <w:spacing w:before="5"/>
        <w:rPr>
          <w:b/>
          <w:sz w:val="28"/>
        </w:rPr>
      </w:pPr>
    </w:p>
    <w:p w:rsidR="00C76E6D" w:rsidRDefault="00913831">
      <w:pPr>
        <w:pStyle w:val="BodyText"/>
        <w:spacing w:line="276" w:lineRule="auto"/>
        <w:ind w:left="338" w:right="297"/>
        <w:jc w:val="both"/>
      </w:pPr>
      <w:r>
        <w:t>It is essential to recognize that COVID-19 exposed the intensity of the health inequities affecting many subpopulations in the United States. Information from the National Institute of Health tells us that the mortalit</w:t>
      </w:r>
      <w:r>
        <w:t>y rate for Black Americans is 2.1 times higher than that of white Americans</w:t>
      </w:r>
      <w:hyperlink w:anchor="_bookmark428" w:history="1">
        <w:r>
          <w:t>.</w:t>
        </w:r>
        <w:r>
          <w:rPr>
            <w:vertAlign w:val="superscript"/>
          </w:rPr>
          <w:t>10</w:t>
        </w:r>
      </w:hyperlink>
      <w:r>
        <w:rPr>
          <w:spacing w:val="40"/>
        </w:rPr>
        <w:t xml:space="preserve"> </w:t>
      </w:r>
      <w:r>
        <w:t>Additionally, Hispanic</w:t>
      </w:r>
    </w:p>
    <w:p w:rsidR="00C76E6D" w:rsidRDefault="00C76E6D">
      <w:pPr>
        <w:spacing w:line="276" w:lineRule="auto"/>
        <w:jc w:val="both"/>
        <w:sectPr w:rsidR="00C76E6D">
          <w:pgSz w:w="12240" w:h="15840"/>
          <w:pgMar w:top="1000" w:right="960" w:bottom="640" w:left="960" w:header="802" w:footer="440" w:gutter="0"/>
          <w:cols w:space="720"/>
        </w:sectPr>
      </w:pPr>
    </w:p>
    <w:p w:rsidR="00C76E6D" w:rsidRDefault="00C76E6D">
      <w:pPr>
        <w:pStyle w:val="BodyText"/>
        <w:spacing w:before="10"/>
        <w:rPr>
          <w:sz w:val="19"/>
        </w:rPr>
      </w:pPr>
    </w:p>
    <w:p w:rsidR="00C76E6D" w:rsidRDefault="00913831">
      <w:pPr>
        <w:pStyle w:val="BodyText"/>
        <w:spacing w:before="77" w:line="276" w:lineRule="auto"/>
        <w:ind w:left="338" w:right="295"/>
        <w:jc w:val="both"/>
      </w:pPr>
      <w:r>
        <w:t>patients have the highest odds of hospitalization, followed by Asian patients</w:t>
      </w:r>
      <w:hyperlink w:anchor="_bookmark429" w:history="1">
        <w:r>
          <w:t>.</w:t>
        </w:r>
        <w:r>
          <w:rPr>
            <w:vertAlign w:val="superscript"/>
          </w:rPr>
          <w:t>11</w:t>
        </w:r>
        <w:r>
          <w:t xml:space="preserve"> </w:t>
        </w:r>
      </w:hyperlink>
      <w:r>
        <w:t>Unfortunately, this data was not available until five months after the pandemic started, which delayed specific actions to ameliorate the impact</w:t>
      </w:r>
      <w:r>
        <w:rPr>
          <w:spacing w:val="-5"/>
        </w:rPr>
        <w:t xml:space="preserve"> </w:t>
      </w:r>
      <w:r>
        <w:t>in</w:t>
      </w:r>
      <w:r>
        <w:rPr>
          <w:spacing w:val="-2"/>
        </w:rPr>
        <w:t xml:space="preserve"> </w:t>
      </w:r>
      <w:r>
        <w:t>this</w:t>
      </w:r>
      <w:r>
        <w:rPr>
          <w:spacing w:val="-1"/>
        </w:rPr>
        <w:t xml:space="preserve"> </w:t>
      </w:r>
      <w:r>
        <w:t>community.</w:t>
      </w:r>
      <w:r>
        <w:rPr>
          <w:spacing w:val="-1"/>
        </w:rPr>
        <w:t xml:space="preserve"> </w:t>
      </w:r>
      <w:r>
        <w:t>Among</w:t>
      </w:r>
      <w:r>
        <w:rPr>
          <w:spacing w:val="-5"/>
        </w:rPr>
        <w:t xml:space="preserve"> </w:t>
      </w:r>
      <w:r>
        <w:t>some</w:t>
      </w:r>
      <w:r>
        <w:rPr>
          <w:spacing w:val="-2"/>
        </w:rPr>
        <w:t xml:space="preserve"> </w:t>
      </w:r>
      <w:r>
        <w:t>of</w:t>
      </w:r>
      <w:r>
        <w:rPr>
          <w:spacing w:val="-6"/>
        </w:rPr>
        <w:t xml:space="preserve"> </w:t>
      </w:r>
      <w:r>
        <w:t>the</w:t>
      </w:r>
      <w:r>
        <w:rPr>
          <w:spacing w:val="-3"/>
        </w:rPr>
        <w:t xml:space="preserve"> </w:t>
      </w:r>
      <w:r>
        <w:t>factors</w:t>
      </w:r>
      <w:r>
        <w:rPr>
          <w:spacing w:val="-2"/>
        </w:rPr>
        <w:t xml:space="preserve"> </w:t>
      </w:r>
      <w:r>
        <w:t>affecting</w:t>
      </w:r>
      <w:r>
        <w:rPr>
          <w:spacing w:val="-2"/>
        </w:rPr>
        <w:t xml:space="preserve"> </w:t>
      </w:r>
      <w:r>
        <w:t>the</w:t>
      </w:r>
      <w:r>
        <w:rPr>
          <w:spacing w:val="-2"/>
        </w:rPr>
        <w:t xml:space="preserve"> </w:t>
      </w:r>
      <w:r>
        <w:t>severity</w:t>
      </w:r>
      <w:r>
        <w:rPr>
          <w:spacing w:val="-3"/>
        </w:rPr>
        <w:t xml:space="preserve"> </w:t>
      </w:r>
      <w:r>
        <w:t>of</w:t>
      </w:r>
      <w:r>
        <w:rPr>
          <w:spacing w:val="-3"/>
        </w:rPr>
        <w:t xml:space="preserve"> </w:t>
      </w:r>
      <w:r>
        <w:t>COVID</w:t>
      </w:r>
      <w:r>
        <w:rPr>
          <w:spacing w:val="-3"/>
        </w:rPr>
        <w:t xml:space="preserve"> </w:t>
      </w:r>
      <w:r>
        <w:t>infections</w:t>
      </w:r>
      <w:r>
        <w:rPr>
          <w:spacing w:val="-3"/>
        </w:rPr>
        <w:t xml:space="preserve"> </w:t>
      </w:r>
      <w:r>
        <w:t>are</w:t>
      </w:r>
      <w:r>
        <w:rPr>
          <w:spacing w:val="-3"/>
        </w:rPr>
        <w:t xml:space="preserve"> </w:t>
      </w:r>
      <w:r>
        <w:t>race</w:t>
      </w:r>
      <w:r>
        <w:rPr>
          <w:spacing w:val="-2"/>
        </w:rPr>
        <w:t xml:space="preserve"> </w:t>
      </w:r>
      <w:r>
        <w:t>and ethnicity</w:t>
      </w:r>
      <w:hyperlink w:anchor="_bookmark430" w:history="1">
        <w:r>
          <w:rPr>
            <w:vertAlign w:val="superscript"/>
          </w:rPr>
          <w:t>12</w:t>
        </w:r>
      </w:hyperlink>
      <w:r>
        <w:t xml:space="preserve"> – even when controlling for neighborhood-level socioeconomic status, and non-English as a primary</w:t>
      </w:r>
      <w:r>
        <w:rPr>
          <w:spacing w:val="-4"/>
        </w:rPr>
        <w:t xml:space="preserve"> </w:t>
      </w:r>
      <w:r>
        <w:t>language.</w:t>
      </w:r>
      <w:hyperlink w:anchor="_bookmark431" w:history="1">
        <w:r>
          <w:rPr>
            <w:vertAlign w:val="superscript"/>
          </w:rPr>
          <w:t>13</w:t>
        </w:r>
        <w:r>
          <w:rPr>
            <w:spacing w:val="-3"/>
          </w:rPr>
          <w:t xml:space="preserve"> </w:t>
        </w:r>
      </w:hyperlink>
      <w:r>
        <w:t>It</w:t>
      </w:r>
      <w:r>
        <w:rPr>
          <w:spacing w:val="-3"/>
        </w:rPr>
        <w:t xml:space="preserve"> </w:t>
      </w:r>
      <w:r>
        <w:t>will</w:t>
      </w:r>
      <w:r>
        <w:rPr>
          <w:spacing w:val="-3"/>
        </w:rPr>
        <w:t xml:space="preserve"> </w:t>
      </w:r>
      <w:r>
        <w:t>be</w:t>
      </w:r>
      <w:r>
        <w:rPr>
          <w:spacing w:val="-4"/>
        </w:rPr>
        <w:t xml:space="preserve"> </w:t>
      </w:r>
      <w:r>
        <w:t>important</w:t>
      </w:r>
      <w:r>
        <w:rPr>
          <w:spacing w:val="-2"/>
        </w:rPr>
        <w:t xml:space="preserve"> </w:t>
      </w:r>
      <w:r>
        <w:t>to</w:t>
      </w:r>
      <w:r>
        <w:rPr>
          <w:spacing w:val="-3"/>
        </w:rPr>
        <w:t xml:space="preserve"> </w:t>
      </w:r>
      <w:r>
        <w:t>consider</w:t>
      </w:r>
      <w:r>
        <w:rPr>
          <w:spacing w:val="-3"/>
        </w:rPr>
        <w:t xml:space="preserve"> </w:t>
      </w:r>
      <w:r>
        <w:t>these</w:t>
      </w:r>
      <w:r>
        <w:rPr>
          <w:spacing w:val="-4"/>
        </w:rPr>
        <w:t xml:space="preserve"> </w:t>
      </w:r>
      <w:r>
        <w:t>factors</w:t>
      </w:r>
      <w:r>
        <w:rPr>
          <w:spacing w:val="-4"/>
        </w:rPr>
        <w:t xml:space="preserve"> </w:t>
      </w:r>
      <w:r>
        <w:t>in</w:t>
      </w:r>
      <w:r>
        <w:rPr>
          <w:spacing w:val="-4"/>
        </w:rPr>
        <w:t xml:space="preserve"> </w:t>
      </w:r>
      <w:r>
        <w:t>future</w:t>
      </w:r>
      <w:r>
        <w:rPr>
          <w:spacing w:val="-3"/>
        </w:rPr>
        <w:t xml:space="preserve"> </w:t>
      </w:r>
      <w:r>
        <w:t>research</w:t>
      </w:r>
      <w:r>
        <w:rPr>
          <w:spacing w:val="-3"/>
        </w:rPr>
        <w:t xml:space="preserve"> </w:t>
      </w:r>
      <w:r>
        <w:t>to</w:t>
      </w:r>
      <w:r>
        <w:rPr>
          <w:spacing w:val="-3"/>
        </w:rPr>
        <w:t xml:space="preserve"> </w:t>
      </w:r>
      <w:r>
        <w:t>disaggregate</w:t>
      </w:r>
      <w:r>
        <w:rPr>
          <w:spacing w:val="-3"/>
        </w:rPr>
        <w:t xml:space="preserve"> </w:t>
      </w:r>
      <w:r>
        <w:t>race</w:t>
      </w:r>
      <w:r>
        <w:rPr>
          <w:spacing w:val="-2"/>
        </w:rPr>
        <w:t xml:space="preserve"> </w:t>
      </w:r>
      <w:r>
        <w:t>and ethnicity, in order to more accurately study the impact of COVID-19 in LGBTQ communities.</w:t>
      </w:r>
    </w:p>
    <w:p w:rsidR="00C76E6D" w:rsidRDefault="00C76E6D">
      <w:pPr>
        <w:pStyle w:val="BodyText"/>
        <w:spacing w:before="5"/>
        <w:rPr>
          <w:sz w:val="19"/>
        </w:rPr>
      </w:pPr>
    </w:p>
    <w:p w:rsidR="00C76E6D" w:rsidRDefault="00913831">
      <w:pPr>
        <w:pStyle w:val="BodyText"/>
        <w:spacing w:line="276" w:lineRule="auto"/>
        <w:ind w:left="338" w:right="293"/>
        <w:jc w:val="both"/>
      </w:pPr>
      <w:r>
        <w:t>According</w:t>
      </w:r>
      <w:r>
        <w:rPr>
          <w:spacing w:val="-3"/>
        </w:rPr>
        <w:t xml:space="preserve"> </w:t>
      </w:r>
      <w:r>
        <w:t>to</w:t>
      </w:r>
      <w:r>
        <w:rPr>
          <w:spacing w:val="-1"/>
        </w:rPr>
        <w:t xml:space="preserve"> </w:t>
      </w:r>
      <w:r>
        <w:t>the</w:t>
      </w:r>
      <w:r>
        <w:rPr>
          <w:spacing w:val="-2"/>
        </w:rPr>
        <w:t xml:space="preserve"> </w:t>
      </w:r>
      <w:r>
        <w:t>Massachusetts</w:t>
      </w:r>
      <w:r>
        <w:rPr>
          <w:spacing w:val="-1"/>
        </w:rPr>
        <w:t xml:space="preserve"> </w:t>
      </w:r>
      <w:r>
        <w:t>Youth Health</w:t>
      </w:r>
      <w:r>
        <w:rPr>
          <w:spacing w:val="-2"/>
        </w:rPr>
        <w:t xml:space="preserve"> </w:t>
      </w:r>
      <w:r>
        <w:t>Survey</w:t>
      </w:r>
      <w:r>
        <w:rPr>
          <w:spacing w:val="-3"/>
        </w:rPr>
        <w:t xml:space="preserve"> </w:t>
      </w:r>
      <w:r>
        <w:t>of</w:t>
      </w:r>
      <w:r>
        <w:rPr>
          <w:spacing w:val="-3"/>
        </w:rPr>
        <w:t xml:space="preserve"> </w:t>
      </w:r>
      <w:r>
        <w:t>2019,</w:t>
      </w:r>
      <w:r>
        <w:rPr>
          <w:spacing w:val="-2"/>
        </w:rPr>
        <w:t xml:space="preserve"> </w:t>
      </w:r>
      <w:r>
        <w:t>12.5%</w:t>
      </w:r>
      <w:r>
        <w:rPr>
          <w:spacing w:val="-3"/>
        </w:rPr>
        <w:t xml:space="preserve"> </w:t>
      </w:r>
      <w:r>
        <w:t>of</w:t>
      </w:r>
      <w:r>
        <w:rPr>
          <w:spacing w:val="-3"/>
        </w:rPr>
        <w:t xml:space="preserve"> </w:t>
      </w:r>
      <w:r>
        <w:t>high</w:t>
      </w:r>
      <w:r>
        <w:rPr>
          <w:spacing w:val="-3"/>
        </w:rPr>
        <w:t xml:space="preserve"> </w:t>
      </w:r>
      <w:r>
        <w:t>school</w:t>
      </w:r>
      <w:r>
        <w:rPr>
          <w:spacing w:val="-3"/>
        </w:rPr>
        <w:t xml:space="preserve"> </w:t>
      </w:r>
      <w:r>
        <w:t>youth</w:t>
      </w:r>
      <w:r>
        <w:rPr>
          <w:spacing w:val="-3"/>
        </w:rPr>
        <w:t xml:space="preserve"> </w:t>
      </w:r>
      <w:r>
        <w:t>identify</w:t>
      </w:r>
      <w:r>
        <w:rPr>
          <w:spacing w:val="-1"/>
        </w:rPr>
        <w:t xml:space="preserve"> </w:t>
      </w:r>
      <w:r>
        <w:t>as</w:t>
      </w:r>
      <w:r>
        <w:rPr>
          <w:spacing w:val="-2"/>
        </w:rPr>
        <w:t xml:space="preserve"> </w:t>
      </w:r>
      <w:r>
        <w:t>lesbian, gay, or bisexual. According to the same survey, 2% stated being transgender; and 12.3% perceived their gender</w:t>
      </w:r>
      <w:r>
        <w:rPr>
          <w:spacing w:val="-9"/>
        </w:rPr>
        <w:t xml:space="preserve"> </w:t>
      </w:r>
      <w:r>
        <w:t>as</w:t>
      </w:r>
      <w:r>
        <w:rPr>
          <w:spacing w:val="-5"/>
        </w:rPr>
        <w:t xml:space="preserve"> </w:t>
      </w:r>
      <w:r>
        <w:t>equally</w:t>
      </w:r>
      <w:r>
        <w:rPr>
          <w:spacing w:val="-8"/>
        </w:rPr>
        <w:t xml:space="preserve"> </w:t>
      </w:r>
      <w:r>
        <w:t>feminine</w:t>
      </w:r>
      <w:r>
        <w:rPr>
          <w:spacing w:val="-8"/>
        </w:rPr>
        <w:t xml:space="preserve"> </w:t>
      </w:r>
      <w:r>
        <w:t>and</w:t>
      </w:r>
      <w:r>
        <w:rPr>
          <w:spacing w:val="-4"/>
        </w:rPr>
        <w:t xml:space="preserve"> </w:t>
      </w:r>
      <w:r>
        <w:t>masculine.</w:t>
      </w:r>
      <w:r>
        <w:rPr>
          <w:vertAlign w:val="superscript"/>
        </w:rPr>
        <w:t>14</w:t>
      </w:r>
      <w:r>
        <w:rPr>
          <w:spacing w:val="-11"/>
        </w:rPr>
        <w:t xml:space="preserve"> </w:t>
      </w:r>
      <w:r>
        <w:t>Data</w:t>
      </w:r>
      <w:r>
        <w:rPr>
          <w:spacing w:val="-5"/>
        </w:rPr>
        <w:t xml:space="preserve"> </w:t>
      </w:r>
      <w:r>
        <w:t>from</w:t>
      </w:r>
      <w:r>
        <w:rPr>
          <w:spacing w:val="-6"/>
        </w:rPr>
        <w:t xml:space="preserve"> </w:t>
      </w:r>
      <w:r>
        <w:t>the</w:t>
      </w:r>
      <w:r>
        <w:rPr>
          <w:spacing w:val="-6"/>
        </w:rPr>
        <w:t xml:space="preserve"> </w:t>
      </w:r>
      <w:r>
        <w:t>2019</w:t>
      </w:r>
      <w:r>
        <w:rPr>
          <w:spacing w:val="-5"/>
        </w:rPr>
        <w:t xml:space="preserve"> </w:t>
      </w:r>
      <w:r>
        <w:t>YRBS</w:t>
      </w:r>
      <w:r>
        <w:rPr>
          <w:spacing w:val="-7"/>
        </w:rPr>
        <w:t xml:space="preserve"> </w:t>
      </w:r>
      <w:r>
        <w:t>for</w:t>
      </w:r>
      <w:r>
        <w:rPr>
          <w:spacing w:val="-5"/>
        </w:rPr>
        <w:t xml:space="preserve"> </w:t>
      </w:r>
      <w:r>
        <w:t>the</w:t>
      </w:r>
      <w:r>
        <w:rPr>
          <w:spacing w:val="-9"/>
        </w:rPr>
        <w:t xml:space="preserve"> </w:t>
      </w:r>
      <w:r>
        <w:t>city</w:t>
      </w:r>
      <w:r>
        <w:rPr>
          <w:spacing w:val="-11"/>
        </w:rPr>
        <w:t xml:space="preserve"> </w:t>
      </w:r>
      <w:r>
        <w:t>of</w:t>
      </w:r>
      <w:r>
        <w:rPr>
          <w:spacing w:val="-9"/>
        </w:rPr>
        <w:t xml:space="preserve"> </w:t>
      </w:r>
      <w:r>
        <w:t>Boston</w:t>
      </w:r>
      <w:r>
        <w:rPr>
          <w:spacing w:val="-9"/>
        </w:rPr>
        <w:t xml:space="preserve"> </w:t>
      </w:r>
      <w:r>
        <w:t>show</w:t>
      </w:r>
      <w:r>
        <w:rPr>
          <w:spacing w:val="-10"/>
        </w:rPr>
        <w:t xml:space="preserve"> </w:t>
      </w:r>
      <w:r>
        <w:t>that</w:t>
      </w:r>
      <w:r>
        <w:rPr>
          <w:spacing w:val="-9"/>
        </w:rPr>
        <w:t xml:space="preserve"> </w:t>
      </w:r>
      <w:r>
        <w:t>15%</w:t>
      </w:r>
      <w:r>
        <w:rPr>
          <w:spacing w:val="-9"/>
        </w:rPr>
        <w:t xml:space="preserve"> </w:t>
      </w:r>
      <w:r>
        <w:t>of youth identified as lesbian, gay, or</w:t>
      </w:r>
      <w:r>
        <w:t xml:space="preserve"> bisexual; an additional 5% were not sure about their sexuality, 1.4% identified as transgender, and 1.5% were unsure if they were transgender.</w:t>
      </w:r>
      <w:r>
        <w:rPr>
          <w:vertAlign w:val="superscript"/>
        </w:rPr>
        <w:t>15</w:t>
      </w:r>
      <w:r>
        <w:t xml:space="preserve"> While most data concerning COVID</w:t>
      </w:r>
      <w:r>
        <w:rPr>
          <w:spacing w:val="-7"/>
        </w:rPr>
        <w:t xml:space="preserve"> </w:t>
      </w:r>
      <w:r>
        <w:t>did</w:t>
      </w:r>
      <w:r>
        <w:rPr>
          <w:spacing w:val="-7"/>
        </w:rPr>
        <w:t xml:space="preserve"> </w:t>
      </w:r>
      <w:r>
        <w:t>not</w:t>
      </w:r>
      <w:r>
        <w:rPr>
          <w:spacing w:val="-8"/>
        </w:rPr>
        <w:t xml:space="preserve"> </w:t>
      </w:r>
      <w:r>
        <w:t>include</w:t>
      </w:r>
      <w:r>
        <w:rPr>
          <w:spacing w:val="-7"/>
        </w:rPr>
        <w:t xml:space="preserve"> </w:t>
      </w:r>
      <w:r>
        <w:t>variables</w:t>
      </w:r>
      <w:r>
        <w:rPr>
          <w:spacing w:val="-7"/>
        </w:rPr>
        <w:t xml:space="preserve"> </w:t>
      </w:r>
      <w:r>
        <w:t>on</w:t>
      </w:r>
      <w:r>
        <w:rPr>
          <w:spacing w:val="-8"/>
        </w:rPr>
        <w:t xml:space="preserve"> </w:t>
      </w:r>
      <w:r>
        <w:t>sexual</w:t>
      </w:r>
      <w:r>
        <w:rPr>
          <w:spacing w:val="-9"/>
        </w:rPr>
        <w:t xml:space="preserve"> </w:t>
      </w:r>
      <w:r>
        <w:t>orientation</w:t>
      </w:r>
      <w:r>
        <w:rPr>
          <w:spacing w:val="-6"/>
        </w:rPr>
        <w:t xml:space="preserve"> </w:t>
      </w:r>
      <w:r>
        <w:t>and</w:t>
      </w:r>
      <w:r>
        <w:rPr>
          <w:spacing w:val="-7"/>
        </w:rPr>
        <w:t xml:space="preserve"> </w:t>
      </w:r>
      <w:r>
        <w:t>gender</w:t>
      </w:r>
      <w:r>
        <w:rPr>
          <w:spacing w:val="-7"/>
        </w:rPr>
        <w:t xml:space="preserve"> </w:t>
      </w:r>
      <w:r>
        <w:t>identity,</w:t>
      </w:r>
      <w:r>
        <w:rPr>
          <w:spacing w:val="-7"/>
        </w:rPr>
        <w:t xml:space="preserve"> </w:t>
      </w:r>
      <w:r>
        <w:t>research</w:t>
      </w:r>
      <w:r>
        <w:rPr>
          <w:spacing w:val="-8"/>
        </w:rPr>
        <w:t xml:space="preserve"> </w:t>
      </w:r>
      <w:r>
        <w:t>does</w:t>
      </w:r>
      <w:r>
        <w:rPr>
          <w:spacing w:val="-6"/>
        </w:rPr>
        <w:t xml:space="preserve"> </w:t>
      </w:r>
      <w:r>
        <w:t>indicate</w:t>
      </w:r>
      <w:r>
        <w:rPr>
          <w:spacing w:val="-8"/>
        </w:rPr>
        <w:t xml:space="preserve"> </w:t>
      </w:r>
      <w:r>
        <w:t>that</w:t>
      </w:r>
      <w:r>
        <w:rPr>
          <w:spacing w:val="-8"/>
        </w:rPr>
        <w:t xml:space="preserve"> </w:t>
      </w:r>
      <w:r>
        <w:t>LGBTQ youth faced significant disparities in access to essential health services.</w:t>
      </w:r>
    </w:p>
    <w:p w:rsidR="00C76E6D" w:rsidRDefault="00C76E6D">
      <w:pPr>
        <w:pStyle w:val="BodyText"/>
        <w:spacing w:before="8"/>
        <w:rPr>
          <w:sz w:val="19"/>
        </w:rPr>
      </w:pPr>
    </w:p>
    <w:p w:rsidR="00C76E6D" w:rsidRDefault="00913831">
      <w:pPr>
        <w:pStyle w:val="BodyText"/>
        <w:spacing w:before="1" w:line="276" w:lineRule="auto"/>
        <w:ind w:left="338" w:right="291"/>
        <w:jc w:val="both"/>
      </w:pPr>
      <w:r>
        <w:t>LGBT centers play a significant role in the development of LGBTQ youth by providing relief from isolation, basic necessities,</w:t>
      </w:r>
      <w:r>
        <w:rPr>
          <w:spacing w:val="40"/>
        </w:rPr>
        <w:t xml:space="preserve"> </w:t>
      </w:r>
      <w:r>
        <w:t>and</w:t>
      </w:r>
      <w:r>
        <w:rPr>
          <w:spacing w:val="40"/>
        </w:rPr>
        <w:t xml:space="preserve"> </w:t>
      </w:r>
      <w:r>
        <w:t>health</w:t>
      </w:r>
      <w:r>
        <w:rPr>
          <w:spacing w:val="40"/>
        </w:rPr>
        <w:t xml:space="preserve"> </w:t>
      </w:r>
      <w:r>
        <w:t>services.</w:t>
      </w:r>
      <w:r>
        <w:rPr>
          <w:spacing w:val="40"/>
        </w:rPr>
        <w:t xml:space="preserve"> </w:t>
      </w:r>
      <w:r>
        <w:t>During</w:t>
      </w:r>
      <w:r>
        <w:rPr>
          <w:spacing w:val="40"/>
        </w:rPr>
        <w:t xml:space="preserve"> </w:t>
      </w:r>
      <w:r>
        <w:t>COVID,</w:t>
      </w:r>
      <w:r>
        <w:rPr>
          <w:spacing w:val="40"/>
        </w:rPr>
        <w:t xml:space="preserve"> </w:t>
      </w:r>
      <w:r>
        <w:t>average weekly</w:t>
      </w:r>
      <w:r>
        <w:rPr>
          <w:spacing w:val="40"/>
        </w:rPr>
        <w:t xml:space="preserve"> </w:t>
      </w:r>
      <w:r>
        <w:t>clients have increased for small centers</w:t>
      </w:r>
      <w:r>
        <w:rPr>
          <w:spacing w:val="40"/>
        </w:rPr>
        <w:t xml:space="preserve"> </w:t>
      </w:r>
      <w:r>
        <w:t>by</w:t>
      </w:r>
      <w:r>
        <w:rPr>
          <w:spacing w:val="40"/>
        </w:rPr>
        <w:t xml:space="preserve"> </w:t>
      </w:r>
      <w:r>
        <w:t>34%,</w:t>
      </w:r>
      <w:r>
        <w:rPr>
          <w:spacing w:val="40"/>
        </w:rPr>
        <w:t xml:space="preserve"> </w:t>
      </w:r>
      <w:r>
        <w:t>but</w:t>
      </w:r>
      <w:r>
        <w:rPr>
          <w:spacing w:val="40"/>
        </w:rPr>
        <w:t xml:space="preserve"> </w:t>
      </w:r>
      <w:r>
        <w:t>decreased</w:t>
      </w:r>
      <w:r>
        <w:rPr>
          <w:spacing w:val="40"/>
        </w:rPr>
        <w:t xml:space="preserve"> </w:t>
      </w:r>
      <w:r>
        <w:t>by</w:t>
      </w:r>
      <w:r>
        <w:rPr>
          <w:spacing w:val="40"/>
        </w:rPr>
        <w:t xml:space="preserve"> </w:t>
      </w:r>
      <w:r>
        <w:t>24%</w:t>
      </w:r>
      <w:r>
        <w:rPr>
          <w:spacing w:val="40"/>
        </w:rPr>
        <w:t xml:space="preserve"> </w:t>
      </w:r>
      <w:r>
        <w:t>for</w:t>
      </w:r>
      <w:r>
        <w:rPr>
          <w:spacing w:val="40"/>
        </w:rPr>
        <w:t xml:space="preserve"> </w:t>
      </w:r>
      <w:r>
        <w:t>centers</w:t>
      </w:r>
      <w:r>
        <w:rPr>
          <w:spacing w:val="40"/>
        </w:rPr>
        <w:t xml:space="preserve"> </w:t>
      </w:r>
      <w:r>
        <w:t>with</w:t>
      </w:r>
      <w:r>
        <w:rPr>
          <w:spacing w:val="40"/>
        </w:rPr>
        <w:t xml:space="preserve"> </w:t>
      </w:r>
      <w:r>
        <w:t>budgets</w:t>
      </w:r>
      <w:r>
        <w:rPr>
          <w:spacing w:val="40"/>
        </w:rPr>
        <w:t xml:space="preserve"> </w:t>
      </w:r>
      <w:r>
        <w:t>above $150,000. As reported in their 2020</w:t>
      </w:r>
      <w:r>
        <w:rPr>
          <w:spacing w:val="-13"/>
        </w:rPr>
        <w:t xml:space="preserve"> </w:t>
      </w:r>
      <w:r>
        <w:t>Annual</w:t>
      </w:r>
      <w:r>
        <w:rPr>
          <w:spacing w:val="-12"/>
        </w:rPr>
        <w:t xml:space="preserve"> </w:t>
      </w:r>
      <w:r>
        <w:t>Report,</w:t>
      </w:r>
      <w:r>
        <w:rPr>
          <w:spacing w:val="-13"/>
        </w:rPr>
        <w:t xml:space="preserve"> </w:t>
      </w:r>
      <w:r>
        <w:t>almost</w:t>
      </w:r>
      <w:r>
        <w:rPr>
          <w:spacing w:val="-12"/>
        </w:rPr>
        <w:t xml:space="preserve"> </w:t>
      </w:r>
      <w:r>
        <w:t>all</w:t>
      </w:r>
      <w:r>
        <w:rPr>
          <w:spacing w:val="-13"/>
        </w:rPr>
        <w:t xml:space="preserve"> </w:t>
      </w:r>
      <w:r>
        <w:t>centers</w:t>
      </w:r>
      <w:r>
        <w:rPr>
          <w:spacing w:val="-12"/>
        </w:rPr>
        <w:t xml:space="preserve"> </w:t>
      </w:r>
      <w:r>
        <w:t>of</w:t>
      </w:r>
      <w:r>
        <w:rPr>
          <w:spacing w:val="-13"/>
        </w:rPr>
        <w:t xml:space="preserve"> </w:t>
      </w:r>
      <w:r>
        <w:t>the</w:t>
      </w:r>
      <w:r>
        <w:rPr>
          <w:spacing w:val="-12"/>
        </w:rPr>
        <w:t xml:space="preserve"> </w:t>
      </w:r>
      <w:r>
        <w:t>Centerlink</w:t>
      </w:r>
      <w:r>
        <w:rPr>
          <w:spacing w:val="-12"/>
        </w:rPr>
        <w:t xml:space="preserve"> </w:t>
      </w:r>
      <w:r>
        <w:t>network</w:t>
      </w:r>
      <w:r>
        <w:rPr>
          <w:spacing w:val="-13"/>
        </w:rPr>
        <w:t xml:space="preserve"> </w:t>
      </w:r>
      <w:r>
        <w:t>of</w:t>
      </w:r>
      <w:r>
        <w:rPr>
          <w:spacing w:val="-12"/>
        </w:rPr>
        <w:t xml:space="preserve"> </w:t>
      </w:r>
      <w:r>
        <w:t>LGBTQ</w:t>
      </w:r>
      <w:r>
        <w:rPr>
          <w:spacing w:val="-13"/>
        </w:rPr>
        <w:t xml:space="preserve"> </w:t>
      </w:r>
      <w:r>
        <w:t>centers</w:t>
      </w:r>
      <w:r>
        <w:rPr>
          <w:spacing w:val="-12"/>
        </w:rPr>
        <w:t xml:space="preserve"> </w:t>
      </w:r>
      <w:r>
        <w:t>have</w:t>
      </w:r>
      <w:r>
        <w:rPr>
          <w:spacing w:val="-13"/>
        </w:rPr>
        <w:t xml:space="preserve"> </w:t>
      </w:r>
      <w:r>
        <w:t>pivoted</w:t>
      </w:r>
      <w:r>
        <w:rPr>
          <w:spacing w:val="-12"/>
        </w:rPr>
        <w:t xml:space="preserve"> </w:t>
      </w:r>
      <w:r>
        <w:t>their</w:t>
      </w:r>
      <w:r>
        <w:rPr>
          <w:spacing w:val="-12"/>
        </w:rPr>
        <w:t xml:space="preserve"> </w:t>
      </w:r>
      <w:r>
        <w:t>services to provide online programs. Many centers have expanded their basic</w:t>
      </w:r>
      <w:r>
        <w:rPr>
          <w:spacing w:val="-1"/>
        </w:rPr>
        <w:t xml:space="preserve"> </w:t>
      </w:r>
      <w:r>
        <w:t>needs services to offer cash, food, and rent</w:t>
      </w:r>
      <w:r>
        <w:rPr>
          <w:spacing w:val="-5"/>
        </w:rPr>
        <w:t xml:space="preserve"> </w:t>
      </w:r>
      <w:r>
        <w:t>assistance</w:t>
      </w:r>
      <w:r>
        <w:rPr>
          <w:spacing w:val="-5"/>
        </w:rPr>
        <w:t xml:space="preserve"> </w:t>
      </w:r>
      <w:r>
        <w:t>to</w:t>
      </w:r>
      <w:r>
        <w:rPr>
          <w:spacing w:val="-3"/>
        </w:rPr>
        <w:t xml:space="preserve"> </w:t>
      </w:r>
      <w:r>
        <w:t>community</w:t>
      </w:r>
      <w:r>
        <w:rPr>
          <w:spacing w:val="-5"/>
        </w:rPr>
        <w:t xml:space="preserve"> </w:t>
      </w:r>
      <w:r>
        <w:t>members.</w:t>
      </w:r>
      <w:r>
        <w:rPr>
          <w:spacing w:val="-4"/>
        </w:rPr>
        <w:t xml:space="preserve"> </w:t>
      </w:r>
      <w:r>
        <w:t>For</w:t>
      </w:r>
      <w:r>
        <w:rPr>
          <w:spacing w:val="-5"/>
        </w:rPr>
        <w:t xml:space="preserve"> </w:t>
      </w:r>
      <w:r>
        <w:t>example,</w:t>
      </w:r>
      <w:r>
        <w:rPr>
          <w:spacing w:val="-4"/>
        </w:rPr>
        <w:t xml:space="preserve"> </w:t>
      </w:r>
      <w:r>
        <w:t>before</w:t>
      </w:r>
      <w:r>
        <w:rPr>
          <w:spacing w:val="-5"/>
        </w:rPr>
        <w:t xml:space="preserve"> </w:t>
      </w:r>
      <w:r>
        <w:t>COVID,</w:t>
      </w:r>
      <w:r>
        <w:rPr>
          <w:spacing w:val="-5"/>
        </w:rPr>
        <w:t xml:space="preserve"> </w:t>
      </w:r>
      <w:r>
        <w:t>only</w:t>
      </w:r>
      <w:r>
        <w:rPr>
          <w:spacing w:val="-5"/>
        </w:rPr>
        <w:t xml:space="preserve"> </w:t>
      </w:r>
      <w:r>
        <w:t>19%</w:t>
      </w:r>
      <w:r>
        <w:rPr>
          <w:spacing w:val="-5"/>
        </w:rPr>
        <w:t xml:space="preserve"> </w:t>
      </w:r>
      <w:r>
        <w:t>of</w:t>
      </w:r>
      <w:r>
        <w:rPr>
          <w:spacing w:val="-4"/>
        </w:rPr>
        <w:t xml:space="preserve"> </w:t>
      </w:r>
      <w:r>
        <w:t>the</w:t>
      </w:r>
      <w:r>
        <w:rPr>
          <w:spacing w:val="-4"/>
        </w:rPr>
        <w:t xml:space="preserve"> </w:t>
      </w:r>
      <w:r>
        <w:t>centers</w:t>
      </w:r>
      <w:r>
        <w:rPr>
          <w:spacing w:val="-4"/>
        </w:rPr>
        <w:t xml:space="preserve"> </w:t>
      </w:r>
      <w:r>
        <w:t>provided</w:t>
      </w:r>
      <w:r>
        <w:rPr>
          <w:spacing w:val="-5"/>
        </w:rPr>
        <w:t xml:space="preserve"> </w:t>
      </w:r>
      <w:r>
        <w:t>direct cash assistance, and by July 2020, 32% of centers were offering emergency cash assistance—a nearly 70% increase</w:t>
      </w:r>
      <w:r>
        <w:rPr>
          <w:spacing w:val="-8"/>
        </w:rPr>
        <w:t xml:space="preserve"> </w:t>
      </w:r>
      <w:r>
        <w:t>in</w:t>
      </w:r>
      <w:r>
        <w:rPr>
          <w:spacing w:val="-7"/>
        </w:rPr>
        <w:t xml:space="preserve"> </w:t>
      </w:r>
      <w:r>
        <w:t>the</w:t>
      </w:r>
      <w:r>
        <w:rPr>
          <w:spacing w:val="-8"/>
        </w:rPr>
        <w:t xml:space="preserve"> </w:t>
      </w:r>
      <w:r>
        <w:t>number</w:t>
      </w:r>
      <w:r>
        <w:rPr>
          <w:spacing w:val="-7"/>
        </w:rPr>
        <w:t xml:space="preserve"> </w:t>
      </w:r>
      <w:r>
        <w:t>of</w:t>
      </w:r>
      <w:r>
        <w:rPr>
          <w:spacing w:val="-5"/>
        </w:rPr>
        <w:t xml:space="preserve"> </w:t>
      </w:r>
      <w:r>
        <w:t>centers</w:t>
      </w:r>
      <w:r>
        <w:rPr>
          <w:spacing w:val="-7"/>
        </w:rPr>
        <w:t xml:space="preserve"> </w:t>
      </w:r>
      <w:r>
        <w:t>with</w:t>
      </w:r>
      <w:r>
        <w:rPr>
          <w:spacing w:val="-5"/>
        </w:rPr>
        <w:t xml:space="preserve"> </w:t>
      </w:r>
      <w:r>
        <w:t>such</w:t>
      </w:r>
      <w:r>
        <w:rPr>
          <w:spacing w:val="-8"/>
        </w:rPr>
        <w:t xml:space="preserve"> </w:t>
      </w:r>
      <w:r>
        <w:t>help.</w:t>
      </w:r>
      <w:r>
        <w:rPr>
          <w:spacing w:val="-7"/>
        </w:rPr>
        <w:t xml:space="preserve"> </w:t>
      </w:r>
      <w:r>
        <w:t>In</w:t>
      </w:r>
      <w:r>
        <w:rPr>
          <w:spacing w:val="-6"/>
        </w:rPr>
        <w:t xml:space="preserve"> </w:t>
      </w:r>
      <w:r>
        <w:t>the</w:t>
      </w:r>
      <w:r>
        <w:rPr>
          <w:spacing w:val="-8"/>
        </w:rPr>
        <w:t xml:space="preserve"> </w:t>
      </w:r>
      <w:r>
        <w:t>same</w:t>
      </w:r>
      <w:r>
        <w:rPr>
          <w:spacing w:val="-7"/>
        </w:rPr>
        <w:t xml:space="preserve"> </w:t>
      </w:r>
      <w:r>
        <w:t>report</w:t>
      </w:r>
      <w:r>
        <w:rPr>
          <w:spacing w:val="-9"/>
        </w:rPr>
        <w:t xml:space="preserve"> </w:t>
      </w:r>
      <w:r>
        <w:t>from</w:t>
      </w:r>
      <w:r>
        <w:rPr>
          <w:spacing w:val="-8"/>
        </w:rPr>
        <w:t xml:space="preserve"> </w:t>
      </w:r>
      <w:r>
        <w:t>Centerlink,</w:t>
      </w:r>
      <w:r>
        <w:rPr>
          <w:spacing w:val="-8"/>
        </w:rPr>
        <w:t xml:space="preserve"> </w:t>
      </w:r>
      <w:r>
        <w:t>40%</w:t>
      </w:r>
      <w:r>
        <w:rPr>
          <w:spacing w:val="-7"/>
        </w:rPr>
        <w:t xml:space="preserve"> </w:t>
      </w:r>
      <w:r>
        <w:t>of</w:t>
      </w:r>
      <w:r>
        <w:rPr>
          <w:spacing w:val="-6"/>
        </w:rPr>
        <w:t xml:space="preserve"> </w:t>
      </w:r>
      <w:r>
        <w:t>centers</w:t>
      </w:r>
      <w:r>
        <w:rPr>
          <w:spacing w:val="-6"/>
        </w:rPr>
        <w:t xml:space="preserve"> </w:t>
      </w:r>
      <w:r>
        <w:t>say</w:t>
      </w:r>
      <w:r>
        <w:rPr>
          <w:spacing w:val="-8"/>
        </w:rPr>
        <w:t xml:space="preserve"> </w:t>
      </w:r>
      <w:r>
        <w:t>that their top priorities for 2020 change</w:t>
      </w:r>
      <w:r>
        <w:t>d because of the pandemic. Government support has been critical for LGBTQ centers, with 82% of participating centers applying for Paycheck Protection Program (PPP) loans totaling over $14 million. Many centers noted that continued government support moving</w:t>
      </w:r>
      <w:r>
        <w:t xml:space="preserve"> forward would remain imperative to protect centers' financial stability.</w:t>
      </w:r>
      <w:hyperlink w:anchor="_bookmark432" w:history="1">
        <w:r>
          <w:rPr>
            <w:vertAlign w:val="superscript"/>
          </w:rPr>
          <w:t>14</w:t>
        </w:r>
      </w:hyperlink>
    </w:p>
    <w:p w:rsidR="00C76E6D" w:rsidRDefault="00C76E6D">
      <w:pPr>
        <w:pStyle w:val="BodyText"/>
        <w:spacing w:before="8"/>
        <w:rPr>
          <w:sz w:val="19"/>
        </w:rPr>
      </w:pPr>
    </w:p>
    <w:p w:rsidR="00C76E6D" w:rsidRDefault="00913831">
      <w:pPr>
        <w:pStyle w:val="BodyText"/>
        <w:spacing w:line="276" w:lineRule="auto"/>
        <w:ind w:left="338" w:right="294"/>
        <w:jc w:val="both"/>
      </w:pPr>
      <w:r>
        <w:t>Another concern</w:t>
      </w:r>
      <w:r>
        <w:rPr>
          <w:spacing w:val="-1"/>
        </w:rPr>
        <w:t xml:space="preserve"> </w:t>
      </w:r>
      <w:r>
        <w:t>during</w:t>
      </w:r>
      <w:r>
        <w:rPr>
          <w:spacing w:val="-1"/>
        </w:rPr>
        <w:t xml:space="preserve"> </w:t>
      </w:r>
      <w:r>
        <w:t>this pandemic</w:t>
      </w:r>
      <w:r>
        <w:rPr>
          <w:spacing w:val="-1"/>
        </w:rPr>
        <w:t xml:space="preserve"> </w:t>
      </w:r>
      <w:r>
        <w:t>is the acceptance</w:t>
      </w:r>
      <w:r>
        <w:rPr>
          <w:spacing w:val="-1"/>
        </w:rPr>
        <w:t xml:space="preserve"> </w:t>
      </w:r>
      <w:r>
        <w:t>of COVID-19 vaccines as a prevention</w:t>
      </w:r>
      <w:r>
        <w:rPr>
          <w:spacing w:val="-1"/>
        </w:rPr>
        <w:t xml:space="preserve"> </w:t>
      </w:r>
      <w:r>
        <w:t>method. One study</w:t>
      </w:r>
      <w:r>
        <w:rPr>
          <w:spacing w:val="-3"/>
        </w:rPr>
        <w:t xml:space="preserve"> </w:t>
      </w:r>
      <w:r>
        <w:t>found</w:t>
      </w:r>
      <w:r>
        <w:rPr>
          <w:spacing w:val="-2"/>
        </w:rPr>
        <w:t xml:space="preserve"> </w:t>
      </w:r>
      <w:r>
        <w:t>that</w:t>
      </w:r>
      <w:r>
        <w:rPr>
          <w:spacing w:val="-3"/>
        </w:rPr>
        <w:t xml:space="preserve"> </w:t>
      </w:r>
      <w:r>
        <w:t>medical mistrust</w:t>
      </w:r>
      <w:r>
        <w:rPr>
          <w:spacing w:val="-3"/>
        </w:rPr>
        <w:t xml:space="preserve"> </w:t>
      </w:r>
      <w:r>
        <w:t>was</w:t>
      </w:r>
      <w:r>
        <w:rPr>
          <w:spacing w:val="-1"/>
        </w:rPr>
        <w:t xml:space="preserve"> </w:t>
      </w:r>
      <w:r>
        <w:t>associated</w:t>
      </w:r>
      <w:r>
        <w:rPr>
          <w:spacing w:val="-3"/>
        </w:rPr>
        <w:t xml:space="preserve"> </w:t>
      </w:r>
      <w:r>
        <w:t>with</w:t>
      </w:r>
      <w:r>
        <w:rPr>
          <w:spacing w:val="-3"/>
        </w:rPr>
        <w:t xml:space="preserve"> </w:t>
      </w:r>
      <w:r>
        <w:t>decreased vaccine</w:t>
      </w:r>
      <w:r>
        <w:rPr>
          <w:spacing w:val="-3"/>
        </w:rPr>
        <w:t xml:space="preserve"> </w:t>
      </w:r>
      <w:r>
        <w:t>acceptance.</w:t>
      </w:r>
      <w:r>
        <w:rPr>
          <w:spacing w:val="-3"/>
        </w:rPr>
        <w:t xml:space="preserve"> </w:t>
      </w:r>
      <w:r>
        <w:t>When</w:t>
      </w:r>
      <w:r>
        <w:rPr>
          <w:spacing w:val="-3"/>
        </w:rPr>
        <w:t xml:space="preserve"> </w:t>
      </w:r>
      <w:r>
        <w:t>looking</w:t>
      </w:r>
      <w:r>
        <w:rPr>
          <w:spacing w:val="-3"/>
        </w:rPr>
        <w:t xml:space="preserve"> </w:t>
      </w:r>
      <w:r>
        <w:t>at</w:t>
      </w:r>
      <w:r>
        <w:rPr>
          <w:spacing w:val="-4"/>
        </w:rPr>
        <w:t xml:space="preserve"> </w:t>
      </w:r>
      <w:r>
        <w:t>race, Black</w:t>
      </w:r>
      <w:r>
        <w:rPr>
          <w:spacing w:val="-7"/>
        </w:rPr>
        <w:t xml:space="preserve"> </w:t>
      </w:r>
      <w:r>
        <w:t>participants</w:t>
      </w:r>
      <w:r>
        <w:rPr>
          <w:spacing w:val="-5"/>
        </w:rPr>
        <w:t xml:space="preserve"> </w:t>
      </w:r>
      <w:r>
        <w:t>(also</w:t>
      </w:r>
      <w:r>
        <w:rPr>
          <w:spacing w:val="-5"/>
        </w:rPr>
        <w:t xml:space="preserve"> </w:t>
      </w:r>
      <w:r>
        <w:t>more</w:t>
      </w:r>
      <w:r>
        <w:rPr>
          <w:spacing w:val="-7"/>
        </w:rPr>
        <w:t xml:space="preserve"> </w:t>
      </w:r>
      <w:r>
        <w:t>likely</w:t>
      </w:r>
      <w:r>
        <w:rPr>
          <w:spacing w:val="-4"/>
        </w:rPr>
        <w:t xml:space="preserve"> </w:t>
      </w:r>
      <w:r>
        <w:t>to</w:t>
      </w:r>
      <w:r>
        <w:rPr>
          <w:spacing w:val="-5"/>
        </w:rPr>
        <w:t xml:space="preserve"> </w:t>
      </w:r>
      <w:r>
        <w:t>distrust</w:t>
      </w:r>
      <w:r>
        <w:rPr>
          <w:spacing w:val="-6"/>
        </w:rPr>
        <w:t xml:space="preserve"> </w:t>
      </w:r>
      <w:r>
        <w:t>the</w:t>
      </w:r>
      <w:r>
        <w:rPr>
          <w:spacing w:val="-5"/>
        </w:rPr>
        <w:t xml:space="preserve"> </w:t>
      </w:r>
      <w:r>
        <w:t>health</w:t>
      </w:r>
      <w:r>
        <w:rPr>
          <w:spacing w:val="-7"/>
        </w:rPr>
        <w:t xml:space="preserve"> </w:t>
      </w:r>
      <w:r>
        <w:t>system</w:t>
      </w:r>
      <w:r>
        <w:rPr>
          <w:spacing w:val="-5"/>
        </w:rPr>
        <w:t xml:space="preserve"> </w:t>
      </w:r>
      <w:r>
        <w:t>due</w:t>
      </w:r>
      <w:r>
        <w:rPr>
          <w:spacing w:val="-7"/>
        </w:rPr>
        <w:t xml:space="preserve"> </w:t>
      </w:r>
      <w:r>
        <w:t>to</w:t>
      </w:r>
      <w:r>
        <w:rPr>
          <w:spacing w:val="-5"/>
        </w:rPr>
        <w:t xml:space="preserve"> </w:t>
      </w:r>
      <w:r>
        <w:t>its</w:t>
      </w:r>
      <w:r>
        <w:rPr>
          <w:spacing w:val="-5"/>
        </w:rPr>
        <w:t xml:space="preserve"> </w:t>
      </w:r>
      <w:r>
        <w:t>history</w:t>
      </w:r>
      <w:r>
        <w:rPr>
          <w:spacing w:val="-6"/>
        </w:rPr>
        <w:t xml:space="preserve"> </w:t>
      </w:r>
      <w:r>
        <w:t>of</w:t>
      </w:r>
      <w:r>
        <w:rPr>
          <w:spacing w:val="-6"/>
        </w:rPr>
        <w:t xml:space="preserve"> </w:t>
      </w:r>
      <w:r>
        <w:t>racism)</w:t>
      </w:r>
      <w:r>
        <w:rPr>
          <w:spacing w:val="-5"/>
        </w:rPr>
        <w:t xml:space="preserve"> </w:t>
      </w:r>
      <w:r>
        <w:t>were</w:t>
      </w:r>
      <w:r>
        <w:rPr>
          <w:spacing w:val="-7"/>
        </w:rPr>
        <w:t xml:space="preserve"> </w:t>
      </w:r>
      <w:r>
        <w:t>more</w:t>
      </w:r>
      <w:r>
        <w:rPr>
          <w:spacing w:val="-6"/>
        </w:rPr>
        <w:t xml:space="preserve"> </w:t>
      </w:r>
      <w:r>
        <w:t xml:space="preserve">likely to mistrust the vaccine, while Asian participants were significantly more </w:t>
      </w:r>
      <w:r>
        <w:t>likely to accept the vaccine</w:t>
      </w:r>
      <w:hyperlink w:anchor="_bookmark433" w:history="1">
        <w:r>
          <w:t>.</w:t>
        </w:r>
        <w:r>
          <w:rPr>
            <w:vertAlign w:val="superscript"/>
          </w:rPr>
          <w:t>15</w:t>
        </w:r>
      </w:hyperlink>
      <w:r>
        <w:t xml:space="preserve"> However, blaming vaccine hesitancy as the sole – or even as the primary factor – for low initial vaccination rates</w:t>
      </w:r>
      <w:r>
        <w:rPr>
          <w:spacing w:val="-13"/>
        </w:rPr>
        <w:t xml:space="preserve"> </w:t>
      </w:r>
      <w:r>
        <w:t>in</w:t>
      </w:r>
      <w:r>
        <w:rPr>
          <w:spacing w:val="-12"/>
        </w:rPr>
        <w:t xml:space="preserve"> </w:t>
      </w:r>
      <w:r>
        <w:t>racial</w:t>
      </w:r>
      <w:r>
        <w:rPr>
          <w:spacing w:val="-13"/>
        </w:rPr>
        <w:t xml:space="preserve"> </w:t>
      </w:r>
      <w:r>
        <w:t>and</w:t>
      </w:r>
      <w:r>
        <w:rPr>
          <w:spacing w:val="-12"/>
        </w:rPr>
        <w:t xml:space="preserve"> </w:t>
      </w:r>
      <w:r>
        <w:t>ethnic</w:t>
      </w:r>
      <w:r>
        <w:rPr>
          <w:spacing w:val="-13"/>
        </w:rPr>
        <w:t xml:space="preserve"> </w:t>
      </w:r>
      <w:r>
        <w:t>disenfranchised</w:t>
      </w:r>
      <w:r>
        <w:rPr>
          <w:spacing w:val="-12"/>
        </w:rPr>
        <w:t xml:space="preserve"> </w:t>
      </w:r>
      <w:r>
        <w:t>populations</w:t>
      </w:r>
      <w:r>
        <w:rPr>
          <w:spacing w:val="-11"/>
        </w:rPr>
        <w:t xml:space="preserve"> </w:t>
      </w:r>
      <w:r>
        <w:t>would</w:t>
      </w:r>
      <w:r>
        <w:rPr>
          <w:spacing w:val="-13"/>
        </w:rPr>
        <w:t xml:space="preserve"> </w:t>
      </w:r>
      <w:r>
        <w:t>be</w:t>
      </w:r>
      <w:r>
        <w:rPr>
          <w:spacing w:val="-12"/>
        </w:rPr>
        <w:t xml:space="preserve"> </w:t>
      </w:r>
      <w:r>
        <w:t>to</w:t>
      </w:r>
      <w:r>
        <w:rPr>
          <w:spacing w:val="-12"/>
        </w:rPr>
        <w:t xml:space="preserve"> </w:t>
      </w:r>
      <w:r>
        <w:t>deny</w:t>
      </w:r>
      <w:r>
        <w:rPr>
          <w:spacing w:val="-12"/>
        </w:rPr>
        <w:t xml:space="preserve"> </w:t>
      </w:r>
      <w:r>
        <w:t>the</w:t>
      </w:r>
      <w:r>
        <w:rPr>
          <w:spacing w:val="-13"/>
        </w:rPr>
        <w:t xml:space="preserve"> </w:t>
      </w:r>
      <w:r>
        <w:t>effects</w:t>
      </w:r>
      <w:r>
        <w:rPr>
          <w:spacing w:val="-12"/>
        </w:rPr>
        <w:t xml:space="preserve"> </w:t>
      </w:r>
      <w:r>
        <w:t>of</w:t>
      </w:r>
      <w:r>
        <w:rPr>
          <w:spacing w:val="-12"/>
        </w:rPr>
        <w:t xml:space="preserve"> </w:t>
      </w:r>
      <w:r>
        <w:t>systemic</w:t>
      </w:r>
      <w:r>
        <w:rPr>
          <w:spacing w:val="-11"/>
        </w:rPr>
        <w:t xml:space="preserve"> </w:t>
      </w:r>
      <w:r>
        <w:t>racism</w:t>
      </w:r>
      <w:r>
        <w:rPr>
          <w:spacing w:val="-13"/>
        </w:rPr>
        <w:t xml:space="preserve"> </w:t>
      </w:r>
      <w:r>
        <w:t>on</w:t>
      </w:r>
      <w:r>
        <w:rPr>
          <w:spacing w:val="-12"/>
        </w:rPr>
        <w:t xml:space="preserve"> </w:t>
      </w:r>
      <w:r>
        <w:t>most other aspects of their health. At the time of this report, in June of 2022, 89% of MA residents have received at least one dose of a COVID-19 vaccine, while 57% of MA residents have received at least one dose of a COVID-19</w:t>
      </w:r>
      <w:r>
        <w:rPr>
          <w:spacing w:val="-5"/>
        </w:rPr>
        <w:t xml:space="preserve"> </w:t>
      </w:r>
      <w:r>
        <w:t>vaccine</w:t>
      </w:r>
      <w:r>
        <w:rPr>
          <w:spacing w:val="-4"/>
        </w:rPr>
        <w:t xml:space="preserve"> </w:t>
      </w:r>
      <w:r>
        <w:t>and</w:t>
      </w:r>
      <w:r>
        <w:rPr>
          <w:spacing w:val="-4"/>
        </w:rPr>
        <w:t xml:space="preserve"> </w:t>
      </w:r>
      <w:r>
        <w:t>a</w:t>
      </w:r>
      <w:r>
        <w:rPr>
          <w:spacing w:val="-4"/>
        </w:rPr>
        <w:t xml:space="preserve"> </w:t>
      </w:r>
      <w:r>
        <w:t>booster</w:t>
      </w:r>
      <w:r>
        <w:rPr>
          <w:spacing w:val="-5"/>
        </w:rPr>
        <w:t xml:space="preserve"> </w:t>
      </w:r>
      <w:r>
        <w:t>dose.</w:t>
      </w:r>
      <w:hyperlink w:anchor="_bookmark434" w:history="1">
        <w:r>
          <w:rPr>
            <w:vertAlign w:val="superscript"/>
          </w:rPr>
          <w:t>16</w:t>
        </w:r>
        <w:r>
          <w:rPr>
            <w:spacing w:val="-5"/>
          </w:rPr>
          <w:t xml:space="preserve"> </w:t>
        </w:r>
      </w:hyperlink>
      <w:r>
        <w:t>As</w:t>
      </w:r>
      <w:r>
        <w:rPr>
          <w:spacing w:val="-5"/>
        </w:rPr>
        <w:t xml:space="preserve"> </w:t>
      </w:r>
      <w:r>
        <w:t>of</w:t>
      </w:r>
      <w:r>
        <w:rPr>
          <w:spacing w:val="-5"/>
        </w:rPr>
        <w:t xml:space="preserve"> </w:t>
      </w:r>
      <w:r>
        <w:t>April</w:t>
      </w:r>
      <w:r>
        <w:rPr>
          <w:spacing w:val="-6"/>
        </w:rPr>
        <w:t xml:space="preserve"> </w:t>
      </w:r>
      <w:r>
        <w:t>2022,</w:t>
      </w:r>
      <w:r>
        <w:rPr>
          <w:spacing w:val="-5"/>
        </w:rPr>
        <w:t xml:space="preserve"> </w:t>
      </w:r>
      <w:r>
        <w:t>the</w:t>
      </w:r>
      <w:r>
        <w:rPr>
          <w:spacing w:val="-4"/>
        </w:rPr>
        <w:t xml:space="preserve"> </w:t>
      </w:r>
      <w:r>
        <w:t>racial</w:t>
      </w:r>
      <w:r>
        <w:rPr>
          <w:spacing w:val="-3"/>
        </w:rPr>
        <w:t xml:space="preserve"> </w:t>
      </w:r>
      <w:r>
        <w:t>breakdown</w:t>
      </w:r>
      <w:r>
        <w:rPr>
          <w:spacing w:val="-6"/>
        </w:rPr>
        <w:t xml:space="preserve"> </w:t>
      </w:r>
      <w:r>
        <w:t>of</w:t>
      </w:r>
      <w:r>
        <w:rPr>
          <w:spacing w:val="-4"/>
        </w:rPr>
        <w:t xml:space="preserve"> </w:t>
      </w:r>
      <w:r>
        <w:t>COVID-19</w:t>
      </w:r>
      <w:r>
        <w:rPr>
          <w:spacing w:val="-5"/>
        </w:rPr>
        <w:t xml:space="preserve"> </w:t>
      </w:r>
      <w:r>
        <w:t>vaccination</w:t>
      </w:r>
      <w:r>
        <w:rPr>
          <w:spacing w:val="-6"/>
        </w:rPr>
        <w:t xml:space="preserve"> </w:t>
      </w:r>
      <w:r>
        <w:t>rates are as follows: 87% white, 83% Black, 81% Hispanic, and over 99% Asian for at least one dose of a COVID-19 vaccine; 60% white</w:t>
      </w:r>
      <w:r>
        <w:t>, 43% Black, 38% Hispanic, and 58% Asian</w:t>
      </w:r>
      <w:hyperlink w:anchor="_bookmark435" w:history="1">
        <w:r>
          <w:t>.</w:t>
        </w:r>
        <w:r>
          <w:rPr>
            <w:vertAlign w:val="superscript"/>
          </w:rPr>
          <w:t>17</w:t>
        </w:r>
        <w:r>
          <w:t xml:space="preserve"> </w:t>
        </w:r>
      </w:hyperlink>
      <w:r>
        <w:t>On November 2, 2021, the Pfizer COVID-19 vaccine was authorized by the CDC to be used for youth aged 5 to 11, and is not yet authorized for youth under the age of 5</w:t>
      </w:r>
      <w:hyperlink w:anchor="_bookmark436" w:history="1">
        <w:r>
          <w:t>.</w:t>
        </w:r>
        <w:r>
          <w:rPr>
            <w:vertAlign w:val="superscript"/>
          </w:rPr>
          <w:t>18</w:t>
        </w:r>
      </w:hyperlink>
    </w:p>
    <w:p w:rsidR="00C76E6D" w:rsidRDefault="00C76E6D">
      <w:pPr>
        <w:pStyle w:val="BodyText"/>
        <w:spacing w:before="6"/>
        <w:rPr>
          <w:sz w:val="25"/>
        </w:rPr>
      </w:pPr>
    </w:p>
    <w:p w:rsidR="00C76E6D" w:rsidRDefault="00913831">
      <w:pPr>
        <w:pStyle w:val="Heading6"/>
        <w:numPr>
          <w:ilvl w:val="0"/>
          <w:numId w:val="35"/>
        </w:numPr>
        <w:tabs>
          <w:tab w:val="left" w:pos="560"/>
        </w:tabs>
        <w:ind w:hanging="222"/>
        <w:jc w:val="left"/>
      </w:pPr>
      <w:bookmarkStart w:id="563" w:name="3._HIV_and_Sexually_Transmitted_Infectio"/>
      <w:bookmarkEnd w:id="563"/>
      <w:r>
        <w:rPr>
          <w:w w:val="95"/>
        </w:rPr>
        <w:t>HIV</w:t>
      </w:r>
      <w:r>
        <w:rPr>
          <w:spacing w:val="14"/>
        </w:rPr>
        <w:t xml:space="preserve"> </w:t>
      </w:r>
      <w:r>
        <w:rPr>
          <w:w w:val="95"/>
        </w:rPr>
        <w:t>and</w:t>
      </w:r>
      <w:r>
        <w:rPr>
          <w:spacing w:val="16"/>
        </w:rPr>
        <w:t xml:space="preserve"> </w:t>
      </w:r>
      <w:r>
        <w:rPr>
          <w:w w:val="95"/>
        </w:rPr>
        <w:t>Sexually</w:t>
      </w:r>
      <w:r>
        <w:rPr>
          <w:spacing w:val="11"/>
        </w:rPr>
        <w:t xml:space="preserve"> </w:t>
      </w:r>
      <w:r>
        <w:rPr>
          <w:w w:val="95"/>
        </w:rPr>
        <w:t>Transmitted</w:t>
      </w:r>
      <w:r>
        <w:rPr>
          <w:spacing w:val="13"/>
        </w:rPr>
        <w:t xml:space="preserve"> </w:t>
      </w:r>
      <w:r>
        <w:rPr>
          <w:w w:val="95"/>
        </w:rPr>
        <w:t>Infections</w:t>
      </w:r>
      <w:r>
        <w:rPr>
          <w:spacing w:val="11"/>
        </w:rPr>
        <w:t xml:space="preserve"> </w:t>
      </w:r>
      <w:r>
        <w:rPr>
          <w:spacing w:val="-2"/>
          <w:w w:val="95"/>
        </w:rPr>
        <w:t>(STIs)</w:t>
      </w:r>
    </w:p>
    <w:p w:rsidR="00C76E6D" w:rsidRDefault="00C76E6D">
      <w:pPr>
        <w:pStyle w:val="BodyText"/>
        <w:spacing w:before="9"/>
        <w:rPr>
          <w:b/>
          <w:sz w:val="29"/>
        </w:rPr>
      </w:pPr>
    </w:p>
    <w:p w:rsidR="00C76E6D" w:rsidRDefault="00913831">
      <w:pPr>
        <w:pStyle w:val="BodyText"/>
        <w:ind w:left="338"/>
        <w:jc w:val="both"/>
      </w:pPr>
      <w:r>
        <w:t>Rates</w:t>
      </w:r>
      <w:r>
        <w:rPr>
          <w:spacing w:val="7"/>
        </w:rPr>
        <w:t xml:space="preserve"> </w:t>
      </w:r>
      <w:r>
        <w:t>of</w:t>
      </w:r>
      <w:r>
        <w:rPr>
          <w:spacing w:val="10"/>
        </w:rPr>
        <w:t xml:space="preserve"> </w:t>
      </w:r>
      <w:r>
        <w:t>HIV</w:t>
      </w:r>
      <w:r>
        <w:rPr>
          <w:spacing w:val="12"/>
        </w:rPr>
        <w:t xml:space="preserve"> </w:t>
      </w:r>
      <w:r>
        <w:t>and</w:t>
      </w:r>
      <w:r>
        <w:rPr>
          <w:spacing w:val="7"/>
        </w:rPr>
        <w:t xml:space="preserve"> </w:t>
      </w:r>
      <w:r>
        <w:t>other</w:t>
      </w:r>
      <w:r>
        <w:rPr>
          <w:spacing w:val="9"/>
        </w:rPr>
        <w:t xml:space="preserve"> </w:t>
      </w:r>
      <w:r>
        <w:t>sexually</w:t>
      </w:r>
      <w:r>
        <w:rPr>
          <w:spacing w:val="9"/>
        </w:rPr>
        <w:t xml:space="preserve"> </w:t>
      </w:r>
      <w:r>
        <w:t>transmitted</w:t>
      </w:r>
      <w:r>
        <w:rPr>
          <w:spacing w:val="10"/>
        </w:rPr>
        <w:t xml:space="preserve"> </w:t>
      </w:r>
      <w:r>
        <w:t>infections</w:t>
      </w:r>
      <w:r>
        <w:rPr>
          <w:spacing w:val="8"/>
        </w:rPr>
        <w:t xml:space="preserve"> </w:t>
      </w:r>
      <w:r>
        <w:t>disproportionately</w:t>
      </w:r>
      <w:r>
        <w:rPr>
          <w:spacing w:val="9"/>
        </w:rPr>
        <w:t xml:space="preserve"> </w:t>
      </w:r>
      <w:r>
        <w:t>affect</w:t>
      </w:r>
      <w:r>
        <w:rPr>
          <w:spacing w:val="9"/>
        </w:rPr>
        <w:t xml:space="preserve"> </w:t>
      </w:r>
      <w:r>
        <w:t>youth</w:t>
      </w:r>
      <w:r>
        <w:rPr>
          <w:spacing w:val="10"/>
        </w:rPr>
        <w:t xml:space="preserve"> </w:t>
      </w:r>
      <w:r>
        <w:t>13</w:t>
      </w:r>
      <w:r>
        <w:rPr>
          <w:spacing w:val="8"/>
        </w:rPr>
        <w:t xml:space="preserve"> </w:t>
      </w:r>
      <w:r>
        <w:t>to</w:t>
      </w:r>
      <w:r>
        <w:rPr>
          <w:spacing w:val="9"/>
        </w:rPr>
        <w:t xml:space="preserve"> </w:t>
      </w:r>
      <w:r>
        <w:t>24.</w:t>
      </w:r>
      <w:r>
        <w:rPr>
          <w:spacing w:val="9"/>
        </w:rPr>
        <w:t xml:space="preserve"> </w:t>
      </w:r>
      <w:r>
        <w:t>The</w:t>
      </w:r>
      <w:r>
        <w:rPr>
          <w:spacing w:val="9"/>
        </w:rPr>
        <w:t xml:space="preserve"> </w:t>
      </w:r>
      <w:r>
        <w:rPr>
          <w:spacing w:val="-5"/>
        </w:rPr>
        <w:t>CDC</w:t>
      </w:r>
    </w:p>
    <w:p w:rsidR="00C76E6D" w:rsidRDefault="00C76E6D">
      <w:pPr>
        <w:jc w:val="both"/>
        <w:sectPr w:rsidR="00C76E6D">
          <w:pgSz w:w="12240" w:h="15840"/>
          <w:pgMar w:top="1000" w:right="960" w:bottom="640" w:left="960" w:header="802" w:footer="440" w:gutter="0"/>
          <w:cols w:space="720"/>
        </w:sectPr>
      </w:pPr>
    </w:p>
    <w:p w:rsidR="00C76E6D" w:rsidRDefault="00C76E6D">
      <w:pPr>
        <w:pStyle w:val="BodyText"/>
        <w:spacing w:before="6"/>
        <w:rPr>
          <w:sz w:val="21"/>
        </w:rPr>
      </w:pPr>
    </w:p>
    <w:p w:rsidR="00C76E6D" w:rsidRDefault="00913831">
      <w:pPr>
        <w:pStyle w:val="BodyText"/>
        <w:spacing w:before="55" w:line="276" w:lineRule="auto"/>
        <w:ind w:left="338" w:right="295"/>
        <w:jc w:val="both"/>
      </w:pPr>
      <w:r>
        <w:t>states</w:t>
      </w:r>
      <w:r>
        <w:rPr>
          <w:spacing w:val="-13"/>
        </w:rPr>
        <w:t xml:space="preserve"> </w:t>
      </w:r>
      <w:r>
        <w:t>that</w:t>
      </w:r>
      <w:r>
        <w:rPr>
          <w:spacing w:val="-12"/>
        </w:rPr>
        <w:t xml:space="preserve"> </w:t>
      </w:r>
      <w:r>
        <w:t>youth</w:t>
      </w:r>
      <w:r>
        <w:rPr>
          <w:spacing w:val="-13"/>
        </w:rPr>
        <w:t xml:space="preserve"> </w:t>
      </w:r>
      <w:r>
        <w:t>aged</w:t>
      </w:r>
      <w:r>
        <w:rPr>
          <w:spacing w:val="-12"/>
        </w:rPr>
        <w:t xml:space="preserve"> </w:t>
      </w:r>
      <w:r>
        <w:t>between</w:t>
      </w:r>
      <w:r>
        <w:rPr>
          <w:spacing w:val="-13"/>
        </w:rPr>
        <w:t xml:space="preserve"> </w:t>
      </w:r>
      <w:r>
        <w:t>13</w:t>
      </w:r>
      <w:r>
        <w:rPr>
          <w:spacing w:val="-12"/>
        </w:rPr>
        <w:t xml:space="preserve"> </w:t>
      </w:r>
      <w:r>
        <w:t>and</w:t>
      </w:r>
      <w:r>
        <w:rPr>
          <w:spacing w:val="-13"/>
        </w:rPr>
        <w:t xml:space="preserve"> </w:t>
      </w:r>
      <w:r>
        <w:t>24</w:t>
      </w:r>
      <w:r>
        <w:rPr>
          <w:spacing w:val="-12"/>
        </w:rPr>
        <w:t xml:space="preserve"> </w:t>
      </w:r>
      <w:r>
        <w:t>make</w:t>
      </w:r>
      <w:r>
        <w:rPr>
          <w:spacing w:val="-12"/>
        </w:rPr>
        <w:t xml:space="preserve"> </w:t>
      </w:r>
      <w:r>
        <w:t>up</w:t>
      </w:r>
      <w:r>
        <w:rPr>
          <w:spacing w:val="-13"/>
        </w:rPr>
        <w:t xml:space="preserve"> </w:t>
      </w:r>
      <w:r>
        <w:t>21%</w:t>
      </w:r>
      <w:r>
        <w:rPr>
          <w:spacing w:val="-12"/>
        </w:rPr>
        <w:t xml:space="preserve"> </w:t>
      </w:r>
      <w:r>
        <w:t>of</w:t>
      </w:r>
      <w:r>
        <w:rPr>
          <w:spacing w:val="-13"/>
        </w:rPr>
        <w:t xml:space="preserve"> </w:t>
      </w:r>
      <w:r>
        <w:t>new</w:t>
      </w:r>
      <w:r>
        <w:rPr>
          <w:spacing w:val="-12"/>
        </w:rPr>
        <w:t xml:space="preserve"> </w:t>
      </w:r>
      <w:r>
        <w:t>HIV</w:t>
      </w:r>
      <w:r>
        <w:rPr>
          <w:spacing w:val="-13"/>
        </w:rPr>
        <w:t xml:space="preserve"> </w:t>
      </w:r>
      <w:r>
        <w:t>infections</w:t>
      </w:r>
      <w:r>
        <w:rPr>
          <w:spacing w:val="-12"/>
        </w:rPr>
        <w:t xml:space="preserve"> </w:t>
      </w:r>
      <w:r>
        <w:t>in</w:t>
      </w:r>
      <w:r>
        <w:rPr>
          <w:spacing w:val="-12"/>
        </w:rPr>
        <w:t xml:space="preserve"> </w:t>
      </w:r>
      <w:r>
        <w:t>2019,</w:t>
      </w:r>
      <w:r>
        <w:rPr>
          <w:spacing w:val="-13"/>
        </w:rPr>
        <w:t xml:space="preserve"> </w:t>
      </w:r>
      <w:r>
        <w:t>though</w:t>
      </w:r>
      <w:r>
        <w:rPr>
          <w:spacing w:val="-12"/>
        </w:rPr>
        <w:t xml:space="preserve"> </w:t>
      </w:r>
      <w:r>
        <w:t>rates</w:t>
      </w:r>
      <w:r>
        <w:rPr>
          <w:spacing w:val="-13"/>
        </w:rPr>
        <w:t xml:space="preserve"> </w:t>
      </w:r>
      <w:r>
        <w:t>have</w:t>
      </w:r>
      <w:r>
        <w:rPr>
          <w:spacing w:val="-12"/>
        </w:rPr>
        <w:t xml:space="preserve"> </w:t>
      </w:r>
      <w:r>
        <w:t>been decreasing for this age group since 2014; the CDC also notes that almost half of youth living with HIV are unaware that they have been infected. Within Massachusetts, rates of infection for young adults aged 20 to</w:t>
      </w:r>
      <w:r>
        <w:t xml:space="preserve"> 29 have increased from 20% in 2010 to 29% in 2019.</w:t>
      </w:r>
      <w:hyperlink w:anchor="_bookmark437" w:history="1">
        <w:r>
          <w:rPr>
            <w:vertAlign w:val="superscript"/>
          </w:rPr>
          <w:t>19</w:t>
        </w:r>
      </w:hyperlink>
      <w:r>
        <w:t xml:space="preserve"> Additionally, youth engaged in behavior that has previously</w:t>
      </w:r>
      <w:r>
        <w:rPr>
          <w:spacing w:val="-13"/>
        </w:rPr>
        <w:t xml:space="preserve"> </w:t>
      </w:r>
      <w:r>
        <w:t>been</w:t>
      </w:r>
      <w:r>
        <w:rPr>
          <w:spacing w:val="-12"/>
        </w:rPr>
        <w:t xml:space="preserve"> </w:t>
      </w:r>
      <w:r>
        <w:t>mislabeled</w:t>
      </w:r>
      <w:r>
        <w:rPr>
          <w:spacing w:val="-13"/>
        </w:rPr>
        <w:t xml:space="preserve"> </w:t>
      </w:r>
      <w:r>
        <w:t>as</w:t>
      </w:r>
      <w:r>
        <w:rPr>
          <w:spacing w:val="-12"/>
        </w:rPr>
        <w:t xml:space="preserve"> </w:t>
      </w:r>
      <w:r>
        <w:t>male-to-male</w:t>
      </w:r>
      <w:r>
        <w:rPr>
          <w:spacing w:val="-13"/>
        </w:rPr>
        <w:t xml:space="preserve"> </w:t>
      </w:r>
      <w:r>
        <w:t>sexual</w:t>
      </w:r>
      <w:r>
        <w:rPr>
          <w:spacing w:val="-12"/>
        </w:rPr>
        <w:t xml:space="preserve"> </w:t>
      </w:r>
      <w:r>
        <w:t>contact</w:t>
      </w:r>
      <w:r>
        <w:rPr>
          <w:spacing w:val="-13"/>
        </w:rPr>
        <w:t xml:space="preserve"> </w:t>
      </w:r>
      <w:r>
        <w:t>–</w:t>
      </w:r>
      <w:r>
        <w:rPr>
          <w:spacing w:val="-12"/>
        </w:rPr>
        <w:t xml:space="preserve"> </w:t>
      </w:r>
      <w:r>
        <w:t>as</w:t>
      </w:r>
      <w:r>
        <w:rPr>
          <w:spacing w:val="-12"/>
        </w:rPr>
        <w:t xml:space="preserve"> </w:t>
      </w:r>
      <w:r>
        <w:t>the</w:t>
      </w:r>
      <w:r>
        <w:rPr>
          <w:spacing w:val="-13"/>
        </w:rPr>
        <w:t xml:space="preserve"> </w:t>
      </w:r>
      <w:r>
        <w:t>data</w:t>
      </w:r>
      <w:r>
        <w:rPr>
          <w:spacing w:val="-12"/>
        </w:rPr>
        <w:t xml:space="preserve"> </w:t>
      </w:r>
      <w:r>
        <w:t>is</w:t>
      </w:r>
      <w:r>
        <w:rPr>
          <w:spacing w:val="-13"/>
        </w:rPr>
        <w:t xml:space="preserve"> </w:t>
      </w:r>
      <w:r>
        <w:t>aggregated</w:t>
      </w:r>
      <w:r>
        <w:rPr>
          <w:spacing w:val="-12"/>
        </w:rPr>
        <w:t xml:space="preserve"> </w:t>
      </w:r>
      <w:r>
        <w:t>with</w:t>
      </w:r>
      <w:r>
        <w:rPr>
          <w:spacing w:val="-13"/>
        </w:rPr>
        <w:t xml:space="preserve"> </w:t>
      </w:r>
      <w:r>
        <w:t>transgender</w:t>
      </w:r>
      <w:r>
        <w:rPr>
          <w:spacing w:val="-12"/>
        </w:rPr>
        <w:t xml:space="preserve"> </w:t>
      </w:r>
      <w:r>
        <w:t>youth who may not identify as male – comprise approximately 92% of new infections among this age group</w:t>
      </w:r>
      <w:hyperlink w:anchor="_bookmark438" w:history="1">
        <w:r>
          <w:t>.</w:t>
        </w:r>
        <w:r>
          <w:rPr>
            <w:vertAlign w:val="superscript"/>
          </w:rPr>
          <w:t>20</w:t>
        </w:r>
        <w:r>
          <w:t xml:space="preserve"> </w:t>
        </w:r>
      </w:hyperlink>
      <w:r>
        <w:t>HIV diagnoses</w:t>
      </w:r>
      <w:r>
        <w:rPr>
          <w:spacing w:val="-6"/>
        </w:rPr>
        <w:t xml:space="preserve"> </w:t>
      </w:r>
      <w:r>
        <w:t>among</w:t>
      </w:r>
      <w:r>
        <w:rPr>
          <w:spacing w:val="-7"/>
        </w:rPr>
        <w:t xml:space="preserve"> </w:t>
      </w:r>
      <w:r>
        <w:t>transgender</w:t>
      </w:r>
      <w:r>
        <w:rPr>
          <w:spacing w:val="-8"/>
        </w:rPr>
        <w:t xml:space="preserve"> </w:t>
      </w:r>
      <w:r>
        <w:t>youth</w:t>
      </w:r>
      <w:r>
        <w:rPr>
          <w:spacing w:val="-5"/>
        </w:rPr>
        <w:t xml:space="preserve"> </w:t>
      </w:r>
      <w:r>
        <w:t>decreased</w:t>
      </w:r>
      <w:r>
        <w:rPr>
          <w:spacing w:val="-7"/>
        </w:rPr>
        <w:t xml:space="preserve"> </w:t>
      </w:r>
      <w:r>
        <w:t>21%</w:t>
      </w:r>
      <w:r>
        <w:rPr>
          <w:spacing w:val="-5"/>
        </w:rPr>
        <w:t xml:space="preserve"> </w:t>
      </w:r>
      <w:r>
        <w:t>between</w:t>
      </w:r>
      <w:r>
        <w:rPr>
          <w:spacing w:val="-7"/>
        </w:rPr>
        <w:t xml:space="preserve"> </w:t>
      </w:r>
      <w:r>
        <w:t>2014</w:t>
      </w:r>
      <w:r>
        <w:rPr>
          <w:spacing w:val="-8"/>
        </w:rPr>
        <w:t xml:space="preserve"> </w:t>
      </w:r>
      <w:r>
        <w:t>and</w:t>
      </w:r>
      <w:r>
        <w:rPr>
          <w:spacing w:val="-7"/>
        </w:rPr>
        <w:t xml:space="preserve"> </w:t>
      </w:r>
      <w:r>
        <w:t>2018.</w:t>
      </w:r>
      <w:hyperlink w:anchor="_bookmark439" w:history="1">
        <w:r>
          <w:rPr>
            <w:vertAlign w:val="superscript"/>
          </w:rPr>
          <w:t>21</w:t>
        </w:r>
        <w:r>
          <w:rPr>
            <w:spacing w:val="-7"/>
          </w:rPr>
          <w:t xml:space="preserve"> </w:t>
        </w:r>
      </w:hyperlink>
      <w:r>
        <w:t>In</w:t>
      </w:r>
      <w:r>
        <w:rPr>
          <w:spacing w:val="-7"/>
        </w:rPr>
        <w:t xml:space="preserve"> </w:t>
      </w:r>
      <w:r>
        <w:t>MA,</w:t>
      </w:r>
      <w:r>
        <w:rPr>
          <w:spacing w:val="-5"/>
        </w:rPr>
        <w:t xml:space="preserve"> </w:t>
      </w:r>
      <w:r>
        <w:t>yo</w:t>
      </w:r>
      <w:r>
        <w:t>ung</w:t>
      </w:r>
      <w:r>
        <w:rPr>
          <w:spacing w:val="-7"/>
        </w:rPr>
        <w:t xml:space="preserve"> </w:t>
      </w:r>
      <w:r>
        <w:t>adults</w:t>
      </w:r>
      <w:r>
        <w:rPr>
          <w:spacing w:val="-6"/>
        </w:rPr>
        <w:t xml:space="preserve"> </w:t>
      </w:r>
      <w:r>
        <w:t>assigned male</w:t>
      </w:r>
      <w:r>
        <w:rPr>
          <w:spacing w:val="-2"/>
        </w:rPr>
        <w:t xml:space="preserve"> </w:t>
      </w:r>
      <w:r>
        <w:t>at birth represented 82%</w:t>
      </w:r>
      <w:r>
        <w:rPr>
          <w:spacing w:val="-2"/>
        </w:rPr>
        <w:t xml:space="preserve"> </w:t>
      </w:r>
      <w:r>
        <w:t>of cases,</w:t>
      </w:r>
      <w:r>
        <w:rPr>
          <w:spacing w:val="-1"/>
        </w:rPr>
        <w:t xml:space="preserve"> </w:t>
      </w:r>
      <w:r>
        <w:t>and</w:t>
      </w:r>
      <w:r>
        <w:rPr>
          <w:spacing w:val="-1"/>
        </w:rPr>
        <w:t xml:space="preserve"> </w:t>
      </w:r>
      <w:r>
        <w:t>63% of exposures classified under Men</w:t>
      </w:r>
      <w:r>
        <w:rPr>
          <w:spacing w:val="-1"/>
        </w:rPr>
        <w:t xml:space="preserve"> </w:t>
      </w:r>
      <w:r>
        <w:t>who have</w:t>
      </w:r>
      <w:r>
        <w:rPr>
          <w:spacing w:val="-2"/>
        </w:rPr>
        <w:t xml:space="preserve"> </w:t>
      </w:r>
      <w:r>
        <w:t>Sex</w:t>
      </w:r>
      <w:r>
        <w:rPr>
          <w:spacing w:val="-1"/>
        </w:rPr>
        <w:t xml:space="preserve"> </w:t>
      </w:r>
      <w:r>
        <w:t>with</w:t>
      </w:r>
      <w:r>
        <w:rPr>
          <w:spacing w:val="-1"/>
        </w:rPr>
        <w:t xml:space="preserve"> </w:t>
      </w:r>
      <w:r>
        <w:t>Men (MSM), in which, again, transgender and gender-nonconforming youth are misclassified. The estimated average annual rate of HIV diagn</w:t>
      </w:r>
      <w:r>
        <w:t>osis from 2016 to 2018 among MSM (ages 18-64) was 32 times the rate of infection in men who do not report sex with men (8.9 per 100,000)</w:t>
      </w:r>
      <w:hyperlink w:anchor="_bookmark440" w:history="1">
        <w:r>
          <w:t>.</w:t>
        </w:r>
        <w:r>
          <w:rPr>
            <w:vertAlign w:val="superscript"/>
          </w:rPr>
          <w:t>22</w:t>
        </w:r>
      </w:hyperlink>
    </w:p>
    <w:p w:rsidR="00C76E6D" w:rsidRDefault="00C76E6D">
      <w:pPr>
        <w:pStyle w:val="BodyText"/>
        <w:spacing w:before="8"/>
        <w:rPr>
          <w:sz w:val="19"/>
        </w:rPr>
      </w:pPr>
    </w:p>
    <w:p w:rsidR="00C76E6D" w:rsidRDefault="00913831">
      <w:pPr>
        <w:pStyle w:val="BodyText"/>
        <w:spacing w:line="276" w:lineRule="auto"/>
        <w:ind w:left="338" w:right="293"/>
        <w:jc w:val="both"/>
      </w:pPr>
      <w:r>
        <w:t>Of newly diagnosed LGBTQ youth, a disproportionate number of infections occur in Black (51%) and Latinx (27%)</w:t>
      </w:r>
      <w:r>
        <w:rPr>
          <w:spacing w:val="-2"/>
        </w:rPr>
        <w:t xml:space="preserve"> </w:t>
      </w:r>
      <w:r>
        <w:t>youth, though</w:t>
      </w:r>
      <w:r>
        <w:rPr>
          <w:spacing w:val="-1"/>
        </w:rPr>
        <w:t xml:space="preserve"> </w:t>
      </w:r>
      <w:r>
        <w:t>between</w:t>
      </w:r>
      <w:r>
        <w:rPr>
          <w:spacing w:val="-2"/>
        </w:rPr>
        <w:t xml:space="preserve"> </w:t>
      </w:r>
      <w:r>
        <w:t>2014</w:t>
      </w:r>
      <w:r>
        <w:rPr>
          <w:spacing w:val="-1"/>
        </w:rPr>
        <w:t xml:space="preserve"> </w:t>
      </w:r>
      <w:r>
        <w:t>and</w:t>
      </w:r>
      <w:r>
        <w:rPr>
          <w:spacing w:val="-1"/>
        </w:rPr>
        <w:t xml:space="preserve"> </w:t>
      </w:r>
      <w:r>
        <w:t>2018</w:t>
      </w:r>
      <w:r>
        <w:rPr>
          <w:spacing w:val="-3"/>
        </w:rPr>
        <w:t xml:space="preserve"> </w:t>
      </w:r>
      <w:r>
        <w:t>infection</w:t>
      </w:r>
      <w:r>
        <w:rPr>
          <w:spacing w:val="-3"/>
        </w:rPr>
        <w:t xml:space="preserve"> </w:t>
      </w:r>
      <w:r>
        <w:t>rates</w:t>
      </w:r>
      <w:r>
        <w:rPr>
          <w:spacing w:val="-1"/>
        </w:rPr>
        <w:t xml:space="preserve"> </w:t>
      </w:r>
      <w:r>
        <w:t>decreased</w:t>
      </w:r>
      <w:r>
        <w:rPr>
          <w:spacing w:val="-3"/>
        </w:rPr>
        <w:t xml:space="preserve"> </w:t>
      </w:r>
      <w:r>
        <w:t>for</w:t>
      </w:r>
      <w:r>
        <w:rPr>
          <w:spacing w:val="-2"/>
        </w:rPr>
        <w:t xml:space="preserve"> </w:t>
      </w:r>
      <w:r>
        <w:t>all</w:t>
      </w:r>
      <w:r>
        <w:rPr>
          <w:spacing w:val="-2"/>
        </w:rPr>
        <w:t xml:space="preserve"> </w:t>
      </w:r>
      <w:r>
        <w:t>racial</w:t>
      </w:r>
      <w:r>
        <w:rPr>
          <w:spacing w:val="-2"/>
        </w:rPr>
        <w:t xml:space="preserve"> </w:t>
      </w:r>
      <w:r>
        <w:t>groups except</w:t>
      </w:r>
      <w:r>
        <w:rPr>
          <w:spacing w:val="-1"/>
        </w:rPr>
        <w:t xml:space="preserve"> </w:t>
      </w:r>
      <w:r>
        <w:t>American Indian/Alaskan Native youth which remained sta</w:t>
      </w:r>
      <w:r>
        <w:t>ble. Among transgender people, the highest rates of infections occur for black transgender folks and among transgender women of all races</w:t>
      </w:r>
      <w:hyperlink w:anchor="_bookmark441" w:history="1">
        <w:r>
          <w:t>.</w:t>
        </w:r>
        <w:r>
          <w:rPr>
            <w:vertAlign w:val="superscript"/>
          </w:rPr>
          <w:t>23</w:t>
        </w:r>
      </w:hyperlink>
      <w:r>
        <w:t xml:space="preserve"> We need to disaggregate infection data even further to understand health inequities</w:t>
      </w:r>
      <w:r>
        <w:t xml:space="preserve"> that affect LGBTQ subpopulations. For</w:t>
      </w:r>
      <w:r>
        <w:rPr>
          <w:spacing w:val="-13"/>
        </w:rPr>
        <w:t xml:space="preserve"> </w:t>
      </w:r>
      <w:r>
        <w:t>example,</w:t>
      </w:r>
      <w:r>
        <w:rPr>
          <w:spacing w:val="-12"/>
        </w:rPr>
        <w:t xml:space="preserve"> </w:t>
      </w:r>
      <w:r>
        <w:t>smaller</w:t>
      </w:r>
      <w:r>
        <w:rPr>
          <w:spacing w:val="-13"/>
        </w:rPr>
        <w:t xml:space="preserve"> </w:t>
      </w:r>
      <w:r>
        <w:t>studies</w:t>
      </w:r>
      <w:r>
        <w:rPr>
          <w:spacing w:val="-12"/>
        </w:rPr>
        <w:t xml:space="preserve"> </w:t>
      </w:r>
      <w:r>
        <w:t>have</w:t>
      </w:r>
      <w:r>
        <w:rPr>
          <w:spacing w:val="-13"/>
        </w:rPr>
        <w:t xml:space="preserve"> </w:t>
      </w:r>
      <w:r>
        <w:t>found</w:t>
      </w:r>
      <w:r>
        <w:rPr>
          <w:spacing w:val="-12"/>
        </w:rPr>
        <w:t xml:space="preserve"> </w:t>
      </w:r>
      <w:r>
        <w:t>that</w:t>
      </w:r>
      <w:r>
        <w:rPr>
          <w:spacing w:val="-13"/>
        </w:rPr>
        <w:t xml:space="preserve"> </w:t>
      </w:r>
      <w:r>
        <w:t>Black</w:t>
      </w:r>
      <w:r>
        <w:rPr>
          <w:spacing w:val="-12"/>
        </w:rPr>
        <w:t xml:space="preserve"> </w:t>
      </w:r>
      <w:r>
        <w:t>men</w:t>
      </w:r>
      <w:r>
        <w:rPr>
          <w:spacing w:val="-12"/>
        </w:rPr>
        <w:t xml:space="preserve"> </w:t>
      </w:r>
      <w:r>
        <w:t>who</w:t>
      </w:r>
      <w:r>
        <w:rPr>
          <w:spacing w:val="-12"/>
        </w:rPr>
        <w:t xml:space="preserve"> </w:t>
      </w:r>
      <w:r>
        <w:t>have</w:t>
      </w:r>
      <w:r>
        <w:rPr>
          <w:spacing w:val="-13"/>
        </w:rPr>
        <w:t xml:space="preserve"> </w:t>
      </w:r>
      <w:r>
        <w:t>sex</w:t>
      </w:r>
      <w:r>
        <w:rPr>
          <w:spacing w:val="-12"/>
        </w:rPr>
        <w:t xml:space="preserve"> </w:t>
      </w:r>
      <w:r>
        <w:t>with</w:t>
      </w:r>
      <w:r>
        <w:rPr>
          <w:spacing w:val="-10"/>
        </w:rPr>
        <w:t xml:space="preserve"> </w:t>
      </w:r>
      <w:r>
        <w:t>men</w:t>
      </w:r>
      <w:r>
        <w:rPr>
          <w:spacing w:val="-13"/>
        </w:rPr>
        <w:t xml:space="preserve"> </w:t>
      </w:r>
      <w:r>
        <w:t>and</w:t>
      </w:r>
      <w:r>
        <w:rPr>
          <w:spacing w:val="-12"/>
        </w:rPr>
        <w:t xml:space="preserve"> </w:t>
      </w:r>
      <w:r>
        <w:t>women</w:t>
      </w:r>
      <w:r>
        <w:rPr>
          <w:spacing w:val="-12"/>
        </w:rPr>
        <w:t xml:space="preserve"> </w:t>
      </w:r>
      <w:r>
        <w:t>are</w:t>
      </w:r>
      <w:r>
        <w:rPr>
          <w:spacing w:val="-12"/>
        </w:rPr>
        <w:t xml:space="preserve"> </w:t>
      </w:r>
      <w:r>
        <w:t>more</w:t>
      </w:r>
      <w:r>
        <w:rPr>
          <w:spacing w:val="-13"/>
        </w:rPr>
        <w:t xml:space="preserve"> </w:t>
      </w:r>
      <w:r>
        <w:t>likely</w:t>
      </w:r>
      <w:r>
        <w:rPr>
          <w:spacing w:val="-12"/>
        </w:rPr>
        <w:t xml:space="preserve"> </w:t>
      </w:r>
      <w:r>
        <w:t>to be</w:t>
      </w:r>
      <w:r>
        <w:rPr>
          <w:spacing w:val="-4"/>
        </w:rPr>
        <w:t xml:space="preserve"> </w:t>
      </w:r>
      <w:r>
        <w:t>unaware</w:t>
      </w:r>
      <w:r>
        <w:rPr>
          <w:spacing w:val="-5"/>
        </w:rPr>
        <w:t xml:space="preserve"> </w:t>
      </w:r>
      <w:r>
        <w:t>of</w:t>
      </w:r>
      <w:r>
        <w:rPr>
          <w:spacing w:val="-6"/>
        </w:rPr>
        <w:t xml:space="preserve"> </w:t>
      </w:r>
      <w:r>
        <w:t>their</w:t>
      </w:r>
      <w:r>
        <w:rPr>
          <w:spacing w:val="-2"/>
        </w:rPr>
        <w:t xml:space="preserve"> </w:t>
      </w:r>
      <w:r>
        <w:t>HIV</w:t>
      </w:r>
      <w:r>
        <w:rPr>
          <w:spacing w:val="-5"/>
        </w:rPr>
        <w:t xml:space="preserve"> </w:t>
      </w:r>
      <w:r>
        <w:t>status,</w:t>
      </w:r>
      <w:r>
        <w:rPr>
          <w:spacing w:val="-6"/>
        </w:rPr>
        <w:t xml:space="preserve"> </w:t>
      </w:r>
      <w:r>
        <w:t>have</w:t>
      </w:r>
      <w:r>
        <w:rPr>
          <w:spacing w:val="-5"/>
        </w:rPr>
        <w:t xml:space="preserve"> </w:t>
      </w:r>
      <w:r>
        <w:t>never</w:t>
      </w:r>
      <w:r>
        <w:rPr>
          <w:spacing w:val="-6"/>
        </w:rPr>
        <w:t xml:space="preserve"> </w:t>
      </w:r>
      <w:r>
        <w:t>received</w:t>
      </w:r>
      <w:r>
        <w:rPr>
          <w:spacing w:val="-4"/>
        </w:rPr>
        <w:t xml:space="preserve"> </w:t>
      </w:r>
      <w:r>
        <w:t>HIV</w:t>
      </w:r>
      <w:r>
        <w:rPr>
          <w:spacing w:val="34"/>
        </w:rPr>
        <w:t xml:space="preserve"> </w:t>
      </w:r>
      <w:r>
        <w:t>care, and</w:t>
      </w:r>
      <w:r>
        <w:rPr>
          <w:spacing w:val="-1"/>
        </w:rPr>
        <w:t xml:space="preserve"> </w:t>
      </w:r>
      <w:r>
        <w:t>report</w:t>
      </w:r>
      <w:r>
        <w:rPr>
          <w:spacing w:val="-1"/>
        </w:rPr>
        <w:t xml:space="preserve"> </w:t>
      </w:r>
      <w:r>
        <w:t>detectable</w:t>
      </w:r>
      <w:r>
        <w:rPr>
          <w:spacing w:val="-1"/>
        </w:rPr>
        <w:t xml:space="preserve"> </w:t>
      </w:r>
      <w:r>
        <w:t>viral</w:t>
      </w:r>
      <w:r>
        <w:rPr>
          <w:spacing w:val="-1"/>
        </w:rPr>
        <w:t xml:space="preserve"> </w:t>
      </w:r>
      <w:r>
        <w:t>loads</w:t>
      </w:r>
      <w:r>
        <w:rPr>
          <w:spacing w:val="-2"/>
        </w:rPr>
        <w:t xml:space="preserve"> </w:t>
      </w:r>
      <w:r>
        <w:t>compared</w:t>
      </w:r>
      <w:r>
        <w:rPr>
          <w:spacing w:val="-2"/>
        </w:rPr>
        <w:t xml:space="preserve"> </w:t>
      </w:r>
      <w:r>
        <w:t>to men</w:t>
      </w:r>
      <w:r>
        <w:rPr>
          <w:spacing w:val="-8"/>
        </w:rPr>
        <w:t xml:space="preserve"> </w:t>
      </w:r>
      <w:r>
        <w:t>who</w:t>
      </w:r>
      <w:r>
        <w:rPr>
          <w:spacing w:val="-7"/>
        </w:rPr>
        <w:t xml:space="preserve"> </w:t>
      </w:r>
      <w:r>
        <w:t>exclusively</w:t>
      </w:r>
      <w:r>
        <w:rPr>
          <w:spacing w:val="-8"/>
        </w:rPr>
        <w:t xml:space="preserve"> </w:t>
      </w:r>
      <w:r>
        <w:t>have</w:t>
      </w:r>
      <w:r>
        <w:rPr>
          <w:spacing w:val="-7"/>
        </w:rPr>
        <w:t xml:space="preserve"> </w:t>
      </w:r>
      <w:r>
        <w:t>sex</w:t>
      </w:r>
      <w:r>
        <w:rPr>
          <w:spacing w:val="-8"/>
        </w:rPr>
        <w:t xml:space="preserve"> </w:t>
      </w:r>
      <w:r>
        <w:t>with</w:t>
      </w:r>
      <w:r>
        <w:rPr>
          <w:spacing w:val="-7"/>
        </w:rPr>
        <w:t xml:space="preserve"> </w:t>
      </w:r>
      <w:r>
        <w:t>men</w:t>
      </w:r>
      <w:r>
        <w:rPr>
          <w:spacing w:val="-7"/>
        </w:rPr>
        <w:t xml:space="preserve"> </w:t>
      </w:r>
      <w:r>
        <w:t>or</w:t>
      </w:r>
      <w:r>
        <w:rPr>
          <w:spacing w:val="-8"/>
        </w:rPr>
        <w:t xml:space="preserve"> </w:t>
      </w:r>
      <w:r>
        <w:t>with</w:t>
      </w:r>
      <w:r>
        <w:rPr>
          <w:spacing w:val="-8"/>
        </w:rPr>
        <w:t xml:space="preserve"> </w:t>
      </w:r>
      <w:r>
        <w:t>women</w:t>
      </w:r>
      <w:hyperlink w:anchor="_bookmark442" w:history="1">
        <w:r>
          <w:t>.</w:t>
        </w:r>
        <w:r>
          <w:rPr>
            <w:vertAlign w:val="superscript"/>
          </w:rPr>
          <w:t>24</w:t>
        </w:r>
        <w:r>
          <w:rPr>
            <w:spacing w:val="-9"/>
          </w:rPr>
          <w:t xml:space="preserve"> </w:t>
        </w:r>
      </w:hyperlink>
      <w:r>
        <w:t>A</w:t>
      </w:r>
      <w:r>
        <w:rPr>
          <w:spacing w:val="-6"/>
        </w:rPr>
        <w:t xml:space="preserve"> </w:t>
      </w:r>
      <w:r>
        <w:t>study</w:t>
      </w:r>
      <w:r>
        <w:rPr>
          <w:spacing w:val="-6"/>
        </w:rPr>
        <w:t xml:space="preserve"> </w:t>
      </w:r>
      <w:r>
        <w:t>looking</w:t>
      </w:r>
      <w:r>
        <w:rPr>
          <w:spacing w:val="-11"/>
        </w:rPr>
        <w:t xml:space="preserve"> </w:t>
      </w:r>
      <w:r>
        <w:t>at</w:t>
      </w:r>
      <w:r>
        <w:rPr>
          <w:spacing w:val="-7"/>
        </w:rPr>
        <w:t xml:space="preserve"> </w:t>
      </w:r>
      <w:r>
        <w:t>the</w:t>
      </w:r>
      <w:r>
        <w:rPr>
          <w:spacing w:val="-7"/>
        </w:rPr>
        <w:t xml:space="preserve"> </w:t>
      </w:r>
      <w:r>
        <w:t>sexual</w:t>
      </w:r>
      <w:r>
        <w:rPr>
          <w:spacing w:val="-8"/>
        </w:rPr>
        <w:t xml:space="preserve"> </w:t>
      </w:r>
      <w:r>
        <w:t>health</w:t>
      </w:r>
      <w:r>
        <w:rPr>
          <w:spacing w:val="-5"/>
        </w:rPr>
        <w:t xml:space="preserve"> </w:t>
      </w:r>
      <w:r>
        <w:t>of</w:t>
      </w:r>
      <w:r>
        <w:rPr>
          <w:spacing w:val="-9"/>
        </w:rPr>
        <w:t xml:space="preserve"> </w:t>
      </w:r>
      <w:r>
        <w:t>transgender and gender-nonconforming youth found that risks for STIs are more significant among non-binary youth, youth who were assigne</w:t>
      </w:r>
      <w:r>
        <w:t>d male at birth, those who underwent medical gender affirmation, and those who were</w:t>
      </w:r>
      <w:r>
        <w:rPr>
          <w:spacing w:val="-13"/>
        </w:rPr>
        <w:t xml:space="preserve"> </w:t>
      </w:r>
      <w:r>
        <w:t>who</w:t>
      </w:r>
      <w:r>
        <w:rPr>
          <w:spacing w:val="-12"/>
        </w:rPr>
        <w:t xml:space="preserve"> </w:t>
      </w:r>
      <w:r>
        <w:t>engage</w:t>
      </w:r>
      <w:r>
        <w:rPr>
          <w:spacing w:val="-13"/>
        </w:rPr>
        <w:t xml:space="preserve"> </w:t>
      </w:r>
      <w:r>
        <w:t>in</w:t>
      </w:r>
      <w:r>
        <w:rPr>
          <w:spacing w:val="-12"/>
        </w:rPr>
        <w:t xml:space="preserve"> </w:t>
      </w:r>
      <w:r>
        <w:t>transactional</w:t>
      </w:r>
      <w:r>
        <w:rPr>
          <w:spacing w:val="-13"/>
        </w:rPr>
        <w:t xml:space="preserve"> </w:t>
      </w:r>
      <w:r>
        <w:t>sex.</w:t>
      </w:r>
      <w:r>
        <w:rPr>
          <w:spacing w:val="-12"/>
        </w:rPr>
        <w:t xml:space="preserve"> </w:t>
      </w:r>
      <w:r>
        <w:t>This</w:t>
      </w:r>
      <w:r>
        <w:rPr>
          <w:spacing w:val="-13"/>
        </w:rPr>
        <w:t xml:space="preserve"> </w:t>
      </w:r>
      <w:r>
        <w:t>study</w:t>
      </w:r>
      <w:r>
        <w:rPr>
          <w:spacing w:val="-12"/>
        </w:rPr>
        <w:t xml:space="preserve"> </w:t>
      </w:r>
      <w:r>
        <w:t>also</w:t>
      </w:r>
      <w:r>
        <w:rPr>
          <w:spacing w:val="-12"/>
        </w:rPr>
        <w:t xml:space="preserve"> </w:t>
      </w:r>
      <w:r>
        <w:t>concludes</w:t>
      </w:r>
      <w:r>
        <w:rPr>
          <w:spacing w:val="-13"/>
        </w:rPr>
        <w:t xml:space="preserve"> </w:t>
      </w:r>
      <w:r>
        <w:t>that</w:t>
      </w:r>
      <w:r>
        <w:rPr>
          <w:spacing w:val="-12"/>
        </w:rPr>
        <w:t xml:space="preserve"> </w:t>
      </w:r>
      <w:r>
        <w:t>clinical</w:t>
      </w:r>
      <w:r>
        <w:rPr>
          <w:spacing w:val="-13"/>
        </w:rPr>
        <w:t xml:space="preserve"> </w:t>
      </w:r>
      <w:r>
        <w:t>care</w:t>
      </w:r>
      <w:r>
        <w:rPr>
          <w:spacing w:val="-12"/>
        </w:rPr>
        <w:t xml:space="preserve"> </w:t>
      </w:r>
      <w:r>
        <w:t>can</w:t>
      </w:r>
      <w:r>
        <w:rPr>
          <w:spacing w:val="-13"/>
        </w:rPr>
        <w:t xml:space="preserve"> </w:t>
      </w:r>
      <w:r>
        <w:t>benefit</w:t>
      </w:r>
      <w:r>
        <w:rPr>
          <w:spacing w:val="-12"/>
        </w:rPr>
        <w:t xml:space="preserve"> </w:t>
      </w:r>
      <w:r>
        <w:t>from</w:t>
      </w:r>
      <w:r>
        <w:rPr>
          <w:spacing w:val="-12"/>
        </w:rPr>
        <w:t xml:space="preserve"> </w:t>
      </w:r>
      <w:r>
        <w:t>considering risk factors in general and those particular to trans and gender-nonconforming youth</w:t>
      </w:r>
      <w:hyperlink w:anchor="_bookmark443" w:history="1">
        <w:r>
          <w:t>.</w:t>
        </w:r>
        <w:r>
          <w:rPr>
            <w:vertAlign w:val="superscript"/>
          </w:rPr>
          <w:t>25</w:t>
        </w:r>
      </w:hyperlink>
    </w:p>
    <w:p w:rsidR="00C76E6D" w:rsidRDefault="00C76E6D">
      <w:pPr>
        <w:pStyle w:val="BodyText"/>
        <w:spacing w:before="7"/>
        <w:rPr>
          <w:sz w:val="19"/>
        </w:rPr>
      </w:pPr>
    </w:p>
    <w:p w:rsidR="00C76E6D" w:rsidRDefault="00913831">
      <w:pPr>
        <w:pStyle w:val="BodyText"/>
        <w:spacing w:before="1" w:line="276" w:lineRule="auto"/>
        <w:ind w:left="338" w:right="296"/>
        <w:jc w:val="both"/>
      </w:pPr>
      <w:r>
        <w:t>In 2019, 59% of Chlamydia infections reported in MA were among youth 15-24; this percentage is slightly lower than the nati</w:t>
      </w:r>
      <w:r>
        <w:t>onal rate of 62%. The rate for the same age group in MA was 32% for gonorrhea, which was</w:t>
      </w:r>
      <w:r>
        <w:rPr>
          <w:spacing w:val="-11"/>
        </w:rPr>
        <w:t xml:space="preserve"> </w:t>
      </w:r>
      <w:r>
        <w:t>11%</w:t>
      </w:r>
      <w:r>
        <w:rPr>
          <w:spacing w:val="-11"/>
        </w:rPr>
        <w:t xml:space="preserve"> </w:t>
      </w:r>
      <w:r>
        <w:t>lower</w:t>
      </w:r>
      <w:r>
        <w:rPr>
          <w:spacing w:val="-11"/>
        </w:rPr>
        <w:t xml:space="preserve"> </w:t>
      </w:r>
      <w:r>
        <w:t>than</w:t>
      </w:r>
      <w:r>
        <w:rPr>
          <w:spacing w:val="-10"/>
        </w:rPr>
        <w:t xml:space="preserve"> </w:t>
      </w:r>
      <w:r>
        <w:t>the</w:t>
      </w:r>
      <w:r>
        <w:rPr>
          <w:spacing w:val="-10"/>
        </w:rPr>
        <w:t xml:space="preserve"> </w:t>
      </w:r>
      <w:r>
        <w:t>national</w:t>
      </w:r>
      <w:r>
        <w:rPr>
          <w:spacing w:val="-11"/>
        </w:rPr>
        <w:t xml:space="preserve"> </w:t>
      </w:r>
      <w:r>
        <w:t>average.</w:t>
      </w:r>
      <w:r>
        <w:rPr>
          <w:spacing w:val="-11"/>
        </w:rPr>
        <w:t xml:space="preserve"> </w:t>
      </w:r>
      <w:r>
        <w:t>About</w:t>
      </w:r>
      <w:r>
        <w:rPr>
          <w:spacing w:val="-12"/>
        </w:rPr>
        <w:t xml:space="preserve"> </w:t>
      </w:r>
      <w:r>
        <w:t>a</w:t>
      </w:r>
      <w:r>
        <w:rPr>
          <w:spacing w:val="-10"/>
        </w:rPr>
        <w:t xml:space="preserve"> </w:t>
      </w:r>
      <w:r>
        <w:t>third</w:t>
      </w:r>
      <w:r>
        <w:rPr>
          <w:spacing w:val="-12"/>
        </w:rPr>
        <w:t xml:space="preserve"> </w:t>
      </w:r>
      <w:r>
        <w:t>of</w:t>
      </w:r>
      <w:r>
        <w:rPr>
          <w:spacing w:val="-10"/>
        </w:rPr>
        <w:t xml:space="preserve"> </w:t>
      </w:r>
      <w:r>
        <w:t>positive</w:t>
      </w:r>
      <w:r>
        <w:rPr>
          <w:spacing w:val="-11"/>
        </w:rPr>
        <w:t xml:space="preserve"> </w:t>
      </w:r>
      <w:r>
        <w:t>cases</w:t>
      </w:r>
      <w:r>
        <w:rPr>
          <w:spacing w:val="-11"/>
        </w:rPr>
        <w:t xml:space="preserve"> </w:t>
      </w:r>
      <w:r>
        <w:t>for</w:t>
      </w:r>
      <w:r>
        <w:rPr>
          <w:spacing w:val="-11"/>
        </w:rPr>
        <w:t xml:space="preserve"> </w:t>
      </w:r>
      <w:r>
        <w:t>both</w:t>
      </w:r>
      <w:r>
        <w:rPr>
          <w:spacing w:val="-13"/>
        </w:rPr>
        <w:t xml:space="preserve"> </w:t>
      </w:r>
      <w:r>
        <w:t>infections</w:t>
      </w:r>
      <w:r>
        <w:rPr>
          <w:spacing w:val="-10"/>
        </w:rPr>
        <w:t xml:space="preserve"> </w:t>
      </w:r>
      <w:r>
        <w:t>presented</w:t>
      </w:r>
      <w:r>
        <w:rPr>
          <w:spacing w:val="-13"/>
        </w:rPr>
        <w:t xml:space="preserve"> </w:t>
      </w:r>
      <w:r>
        <w:t>among transgender youth (no further disaggregation presented in repo</w:t>
      </w:r>
      <w:r>
        <w:t>rt)</w:t>
      </w:r>
      <w:hyperlink w:anchor="_bookmark444" w:history="1">
        <w:r>
          <w:t>.</w:t>
        </w:r>
        <w:r>
          <w:rPr>
            <w:vertAlign w:val="superscript"/>
          </w:rPr>
          <w:t>26</w:t>
        </w:r>
      </w:hyperlink>
    </w:p>
    <w:p w:rsidR="00C76E6D" w:rsidRDefault="00C76E6D">
      <w:pPr>
        <w:pStyle w:val="BodyText"/>
        <w:spacing w:before="8"/>
        <w:rPr>
          <w:sz w:val="19"/>
        </w:rPr>
      </w:pPr>
    </w:p>
    <w:p w:rsidR="00C76E6D" w:rsidRDefault="00913831">
      <w:pPr>
        <w:pStyle w:val="BodyText"/>
        <w:spacing w:line="276" w:lineRule="auto"/>
        <w:ind w:left="339" w:right="293" w:hanging="2"/>
        <w:jc w:val="both"/>
      </w:pPr>
      <w:r>
        <w:t>In</w:t>
      </w:r>
      <w:r>
        <w:rPr>
          <w:spacing w:val="-2"/>
        </w:rPr>
        <w:t xml:space="preserve"> </w:t>
      </w:r>
      <w:r>
        <w:t>Massachusetts,</w:t>
      </w:r>
      <w:r>
        <w:rPr>
          <w:spacing w:val="-2"/>
        </w:rPr>
        <w:t xml:space="preserve"> </w:t>
      </w:r>
      <w:r>
        <w:t>syphilis rates</w:t>
      </w:r>
      <w:r>
        <w:rPr>
          <w:spacing w:val="-3"/>
        </w:rPr>
        <w:t xml:space="preserve"> </w:t>
      </w:r>
      <w:r>
        <w:t>in</w:t>
      </w:r>
      <w:r>
        <w:rPr>
          <w:spacing w:val="-3"/>
        </w:rPr>
        <w:t xml:space="preserve"> </w:t>
      </w:r>
      <w:r>
        <w:t>2019 among</w:t>
      </w:r>
      <w:r>
        <w:rPr>
          <w:spacing w:val="-2"/>
        </w:rPr>
        <w:t xml:space="preserve"> </w:t>
      </w:r>
      <w:r>
        <w:t>MSM</w:t>
      </w:r>
      <w:r>
        <w:rPr>
          <w:spacing w:val="-1"/>
        </w:rPr>
        <w:t xml:space="preserve"> </w:t>
      </w:r>
      <w:r>
        <w:t>(ages</w:t>
      </w:r>
      <w:r>
        <w:rPr>
          <w:spacing w:val="-1"/>
        </w:rPr>
        <w:t xml:space="preserve"> </w:t>
      </w:r>
      <w:r>
        <w:t>18-64)</w:t>
      </w:r>
      <w:r>
        <w:rPr>
          <w:spacing w:val="-1"/>
        </w:rPr>
        <w:t xml:space="preserve"> </w:t>
      </w:r>
      <w:r>
        <w:t>was</w:t>
      </w:r>
      <w:r>
        <w:rPr>
          <w:spacing w:val="-4"/>
        </w:rPr>
        <w:t xml:space="preserve"> </w:t>
      </w:r>
      <w:r>
        <w:t>102</w:t>
      </w:r>
      <w:r>
        <w:rPr>
          <w:spacing w:val="-3"/>
        </w:rPr>
        <w:t xml:space="preserve"> </w:t>
      </w:r>
      <w:r>
        <w:t>times</w:t>
      </w:r>
      <w:r>
        <w:rPr>
          <w:spacing w:val="-4"/>
        </w:rPr>
        <w:t xml:space="preserve"> </w:t>
      </w:r>
      <w:r>
        <w:t>the</w:t>
      </w:r>
      <w:r>
        <w:rPr>
          <w:spacing w:val="-3"/>
        </w:rPr>
        <w:t xml:space="preserve"> </w:t>
      </w:r>
      <w:r>
        <w:t>rate</w:t>
      </w:r>
      <w:r>
        <w:rPr>
          <w:spacing w:val="-3"/>
        </w:rPr>
        <w:t xml:space="preserve"> </w:t>
      </w:r>
      <w:r>
        <w:t>of</w:t>
      </w:r>
      <w:r>
        <w:rPr>
          <w:spacing w:val="-3"/>
        </w:rPr>
        <w:t xml:space="preserve"> </w:t>
      </w:r>
      <w:r>
        <w:t>infection</w:t>
      </w:r>
      <w:r>
        <w:rPr>
          <w:spacing w:val="-8"/>
        </w:rPr>
        <w:t xml:space="preserve"> </w:t>
      </w:r>
      <w:r>
        <w:t>in</w:t>
      </w:r>
      <w:r>
        <w:rPr>
          <w:spacing w:val="-7"/>
        </w:rPr>
        <w:t xml:space="preserve"> </w:t>
      </w:r>
      <w:r>
        <w:t>men who</w:t>
      </w:r>
      <w:r>
        <w:rPr>
          <w:spacing w:val="-6"/>
        </w:rPr>
        <w:t xml:space="preserve"> </w:t>
      </w:r>
      <w:r>
        <w:t>do</w:t>
      </w:r>
      <w:r>
        <w:rPr>
          <w:spacing w:val="-7"/>
        </w:rPr>
        <w:t xml:space="preserve"> </w:t>
      </w:r>
      <w:r>
        <w:t>not</w:t>
      </w:r>
      <w:r>
        <w:rPr>
          <w:spacing w:val="-6"/>
        </w:rPr>
        <w:t xml:space="preserve"> </w:t>
      </w:r>
      <w:r>
        <w:t>report</w:t>
      </w:r>
      <w:r>
        <w:rPr>
          <w:spacing w:val="-6"/>
        </w:rPr>
        <w:t xml:space="preserve"> </w:t>
      </w:r>
      <w:r>
        <w:t>sex</w:t>
      </w:r>
      <w:r>
        <w:rPr>
          <w:spacing w:val="-6"/>
        </w:rPr>
        <w:t xml:space="preserve"> </w:t>
      </w:r>
      <w:r>
        <w:t>with</w:t>
      </w:r>
      <w:r>
        <w:rPr>
          <w:spacing w:val="-5"/>
        </w:rPr>
        <w:t xml:space="preserve"> </w:t>
      </w:r>
      <w:r>
        <w:t>men.</w:t>
      </w:r>
      <w:r>
        <w:rPr>
          <w:spacing w:val="-7"/>
        </w:rPr>
        <w:t xml:space="preserve"> </w:t>
      </w:r>
      <w:r>
        <w:t>In</w:t>
      </w:r>
      <w:r>
        <w:rPr>
          <w:spacing w:val="-4"/>
        </w:rPr>
        <w:t xml:space="preserve"> </w:t>
      </w:r>
      <w:r>
        <w:t>2019,</w:t>
      </w:r>
      <w:r>
        <w:rPr>
          <w:spacing w:val="-5"/>
        </w:rPr>
        <w:t xml:space="preserve"> </w:t>
      </w:r>
      <w:r>
        <w:t>39%</w:t>
      </w:r>
      <w:r>
        <w:rPr>
          <w:spacing w:val="-5"/>
        </w:rPr>
        <w:t xml:space="preserve"> </w:t>
      </w:r>
      <w:r>
        <w:t>(N=344/882)</w:t>
      </w:r>
      <w:r>
        <w:rPr>
          <w:spacing w:val="-7"/>
        </w:rPr>
        <w:t xml:space="preserve"> </w:t>
      </w:r>
      <w:r>
        <w:t>of</w:t>
      </w:r>
      <w:r>
        <w:rPr>
          <w:spacing w:val="-5"/>
        </w:rPr>
        <w:t xml:space="preserve"> </w:t>
      </w:r>
      <w:r>
        <w:t>infectious</w:t>
      </w:r>
      <w:r>
        <w:rPr>
          <w:spacing w:val="-6"/>
        </w:rPr>
        <w:t xml:space="preserve"> </w:t>
      </w:r>
      <w:r>
        <w:t>syphilis</w:t>
      </w:r>
      <w:r>
        <w:rPr>
          <w:spacing w:val="-3"/>
        </w:rPr>
        <w:t xml:space="preserve"> </w:t>
      </w:r>
      <w:r>
        <w:t>cases</w:t>
      </w:r>
      <w:r>
        <w:rPr>
          <w:spacing w:val="-3"/>
        </w:rPr>
        <w:t xml:space="preserve"> </w:t>
      </w:r>
      <w:r>
        <w:t>among</w:t>
      </w:r>
      <w:r>
        <w:rPr>
          <w:spacing w:val="-5"/>
        </w:rPr>
        <w:t xml:space="preserve"> </w:t>
      </w:r>
      <w:r>
        <w:t>men</w:t>
      </w:r>
      <w:r>
        <w:rPr>
          <w:spacing w:val="-3"/>
        </w:rPr>
        <w:t xml:space="preserve"> </w:t>
      </w:r>
      <w:r>
        <w:t>reporting sex with men also self-reported coinfection with HIV. Middlesex and Worcester Counties reported the most significant incidences of syphilis among MSM. Syphilis infections among</w:t>
      </w:r>
      <w:r>
        <w:rPr>
          <w:spacing w:val="-2"/>
        </w:rPr>
        <w:t xml:space="preserve"> </w:t>
      </w:r>
      <w:r>
        <w:t>15-29 year</w:t>
      </w:r>
      <w:r>
        <w:rPr>
          <w:spacing w:val="-1"/>
        </w:rPr>
        <w:t xml:space="preserve"> </w:t>
      </w:r>
      <w:r>
        <w:t>old</w:t>
      </w:r>
      <w:r>
        <w:rPr>
          <w:spacing w:val="-2"/>
        </w:rPr>
        <w:t xml:space="preserve"> </w:t>
      </w:r>
      <w:r>
        <w:t>accounted</w:t>
      </w:r>
      <w:r>
        <w:rPr>
          <w:spacing w:val="-2"/>
        </w:rPr>
        <w:t xml:space="preserve"> </w:t>
      </w:r>
      <w:r>
        <w:t>for</w:t>
      </w:r>
      <w:r>
        <w:rPr>
          <w:spacing w:val="-1"/>
        </w:rPr>
        <w:t xml:space="preserve"> </w:t>
      </w:r>
      <w:r>
        <w:t>37.2% of infections, and ages 15-24 acco</w:t>
      </w:r>
      <w:r>
        <w:t>unted for 18.5% of infections</w:t>
      </w:r>
      <w:hyperlink w:anchor="_bookmark445" w:history="1">
        <w:r>
          <w:t>.</w:t>
        </w:r>
        <w:r>
          <w:rPr>
            <w:vertAlign w:val="superscript"/>
          </w:rPr>
          <w:t>27</w:t>
        </w:r>
      </w:hyperlink>
    </w:p>
    <w:p w:rsidR="00C76E6D" w:rsidRDefault="00C76E6D">
      <w:pPr>
        <w:pStyle w:val="BodyText"/>
        <w:spacing w:before="6"/>
        <w:rPr>
          <w:sz w:val="19"/>
        </w:rPr>
      </w:pPr>
    </w:p>
    <w:p w:rsidR="00C76E6D" w:rsidRDefault="00913831">
      <w:pPr>
        <w:pStyle w:val="BodyText"/>
        <w:spacing w:line="276" w:lineRule="auto"/>
        <w:ind w:left="338" w:right="293"/>
        <w:jc w:val="both"/>
      </w:pPr>
      <w:r>
        <w:t>Hepatitis C (HCV) infection rates have shifted since 2002 towards a younger age in 2018, with a significant increase among young persons who inject drugs. Relatedly, coinfections of HIV/HCV for MSM/Intravenous Drug Use (IDU) for ages 20-29 have jumped from</w:t>
      </w:r>
      <w:r>
        <w:t xml:space="preserve"> 5% of all cases in 2013 (N=5) to 11% (N=13) in 2017. This </w:t>
      </w:r>
      <w:r>
        <w:rPr>
          <w:spacing w:val="-2"/>
        </w:rPr>
        <w:t>increase</w:t>
      </w:r>
      <w:r>
        <w:rPr>
          <w:spacing w:val="-5"/>
        </w:rPr>
        <w:t xml:space="preserve"> </w:t>
      </w:r>
      <w:r>
        <w:rPr>
          <w:spacing w:val="-2"/>
        </w:rPr>
        <w:t>is</w:t>
      </w:r>
      <w:r>
        <w:rPr>
          <w:spacing w:val="-4"/>
        </w:rPr>
        <w:t xml:space="preserve"> </w:t>
      </w:r>
      <w:r>
        <w:rPr>
          <w:spacing w:val="-2"/>
        </w:rPr>
        <w:t>congruent</w:t>
      </w:r>
      <w:r>
        <w:rPr>
          <w:spacing w:val="-6"/>
        </w:rPr>
        <w:t xml:space="preserve"> </w:t>
      </w:r>
      <w:r>
        <w:rPr>
          <w:spacing w:val="-2"/>
        </w:rPr>
        <w:t>with</w:t>
      </w:r>
      <w:r>
        <w:rPr>
          <w:spacing w:val="-4"/>
        </w:rPr>
        <w:t xml:space="preserve"> </w:t>
      </w:r>
      <w:r>
        <w:rPr>
          <w:spacing w:val="-2"/>
        </w:rPr>
        <w:t>an</w:t>
      </w:r>
      <w:r>
        <w:rPr>
          <w:spacing w:val="-7"/>
        </w:rPr>
        <w:t xml:space="preserve"> </w:t>
      </w:r>
      <w:r>
        <w:rPr>
          <w:spacing w:val="-2"/>
        </w:rPr>
        <w:t>overall</w:t>
      </w:r>
      <w:r>
        <w:rPr>
          <w:spacing w:val="-6"/>
        </w:rPr>
        <w:t xml:space="preserve"> </w:t>
      </w:r>
      <w:r>
        <w:rPr>
          <w:spacing w:val="-2"/>
        </w:rPr>
        <w:t>rise</w:t>
      </w:r>
      <w:r>
        <w:rPr>
          <w:spacing w:val="-6"/>
        </w:rPr>
        <w:t xml:space="preserve"> </w:t>
      </w:r>
      <w:r>
        <w:rPr>
          <w:spacing w:val="-2"/>
        </w:rPr>
        <w:t>in</w:t>
      </w:r>
      <w:r>
        <w:rPr>
          <w:spacing w:val="-7"/>
        </w:rPr>
        <w:t xml:space="preserve"> </w:t>
      </w:r>
      <w:r>
        <w:rPr>
          <w:spacing w:val="-2"/>
        </w:rPr>
        <w:t>infections</w:t>
      </w:r>
      <w:r>
        <w:rPr>
          <w:spacing w:val="-4"/>
        </w:rPr>
        <w:t xml:space="preserve"> </w:t>
      </w:r>
      <w:r>
        <w:rPr>
          <w:spacing w:val="-2"/>
        </w:rPr>
        <w:t>acquired through IDU, including Hepatitis B (HVB).</w:t>
      </w:r>
      <w:r>
        <w:rPr>
          <w:spacing w:val="-3"/>
        </w:rPr>
        <w:t xml:space="preserve"> </w:t>
      </w:r>
      <w:r>
        <w:rPr>
          <w:spacing w:val="-2"/>
        </w:rPr>
        <w:t xml:space="preserve">These </w:t>
      </w:r>
      <w:r>
        <w:t>coinfections are relevant because people with HIV are disproportionately affected by both the hepatitis B virus</w:t>
      </w:r>
      <w:r>
        <w:rPr>
          <w:spacing w:val="-10"/>
        </w:rPr>
        <w:t xml:space="preserve"> </w:t>
      </w:r>
      <w:r>
        <w:t>and</w:t>
      </w:r>
      <w:r>
        <w:rPr>
          <w:spacing w:val="-8"/>
        </w:rPr>
        <w:t xml:space="preserve"> </w:t>
      </w:r>
      <w:r>
        <w:t>HCV,</w:t>
      </w:r>
      <w:r>
        <w:rPr>
          <w:spacing w:val="-10"/>
        </w:rPr>
        <w:t xml:space="preserve"> </w:t>
      </w:r>
      <w:r>
        <w:t>and</w:t>
      </w:r>
      <w:r>
        <w:rPr>
          <w:spacing w:val="-9"/>
        </w:rPr>
        <w:t xml:space="preserve"> </w:t>
      </w:r>
      <w:r>
        <w:t>it</w:t>
      </w:r>
      <w:r>
        <w:rPr>
          <w:spacing w:val="-8"/>
        </w:rPr>
        <w:t xml:space="preserve"> </w:t>
      </w:r>
      <w:r>
        <w:t>causes</w:t>
      </w:r>
      <w:r>
        <w:rPr>
          <w:spacing w:val="-8"/>
        </w:rPr>
        <w:t xml:space="preserve"> </w:t>
      </w:r>
      <w:r>
        <w:t>difficulties</w:t>
      </w:r>
      <w:r>
        <w:rPr>
          <w:spacing w:val="-6"/>
        </w:rPr>
        <w:t xml:space="preserve"> </w:t>
      </w:r>
      <w:r>
        <w:t>with</w:t>
      </w:r>
      <w:r>
        <w:rPr>
          <w:spacing w:val="-8"/>
        </w:rPr>
        <w:t xml:space="preserve"> </w:t>
      </w:r>
      <w:r>
        <w:t>their</w:t>
      </w:r>
      <w:r>
        <w:rPr>
          <w:spacing w:val="-9"/>
        </w:rPr>
        <w:t xml:space="preserve"> </w:t>
      </w:r>
      <w:r>
        <w:t>HIV</w:t>
      </w:r>
      <w:r>
        <w:rPr>
          <w:spacing w:val="-8"/>
        </w:rPr>
        <w:t xml:space="preserve"> </w:t>
      </w:r>
      <w:r>
        <w:t>treatment.</w:t>
      </w:r>
      <w:r>
        <w:rPr>
          <w:spacing w:val="-8"/>
        </w:rPr>
        <w:t xml:space="preserve"> </w:t>
      </w:r>
      <w:r>
        <w:t>Coinfections</w:t>
      </w:r>
      <w:r>
        <w:rPr>
          <w:spacing w:val="-7"/>
        </w:rPr>
        <w:t xml:space="preserve"> </w:t>
      </w:r>
      <w:r>
        <w:t>with</w:t>
      </w:r>
      <w:r>
        <w:rPr>
          <w:spacing w:val="-8"/>
        </w:rPr>
        <w:t xml:space="preserve"> </w:t>
      </w:r>
      <w:r>
        <w:t>HCV</w:t>
      </w:r>
      <w:r>
        <w:rPr>
          <w:spacing w:val="-9"/>
        </w:rPr>
        <w:t xml:space="preserve"> </w:t>
      </w:r>
      <w:r>
        <w:t>and</w:t>
      </w:r>
      <w:r>
        <w:rPr>
          <w:spacing w:val="-8"/>
        </w:rPr>
        <w:t xml:space="preserve"> </w:t>
      </w:r>
      <w:r>
        <w:t>HVB</w:t>
      </w:r>
      <w:r>
        <w:rPr>
          <w:spacing w:val="-7"/>
        </w:rPr>
        <w:t xml:space="preserve"> </w:t>
      </w:r>
      <w:r>
        <w:t>put</w:t>
      </w:r>
      <w:r>
        <w:rPr>
          <w:spacing w:val="-8"/>
        </w:rPr>
        <w:t xml:space="preserve"> </w:t>
      </w:r>
      <w:r>
        <w:t>patients at greater risk for liver-related probl</w:t>
      </w:r>
      <w:r>
        <w:t>ems, including liver cancer and death</w:t>
      </w:r>
      <w:hyperlink w:anchor="_bookmark446" w:history="1">
        <w:r>
          <w:t>.</w:t>
        </w:r>
        <w:r>
          <w:rPr>
            <w:vertAlign w:val="superscript"/>
          </w:rPr>
          <w:t>28</w:t>
        </w:r>
      </w:hyperlink>
    </w:p>
    <w:p w:rsidR="00C76E6D" w:rsidRDefault="00C76E6D">
      <w:pPr>
        <w:pStyle w:val="BodyText"/>
        <w:spacing w:before="10"/>
        <w:rPr>
          <w:sz w:val="19"/>
        </w:rPr>
      </w:pPr>
    </w:p>
    <w:p w:rsidR="00C76E6D" w:rsidRDefault="00913831">
      <w:pPr>
        <w:pStyle w:val="BodyText"/>
        <w:ind w:left="338"/>
        <w:jc w:val="both"/>
      </w:pPr>
      <w:r>
        <w:t>Pre-Exposure</w:t>
      </w:r>
      <w:r>
        <w:rPr>
          <w:spacing w:val="-12"/>
        </w:rPr>
        <w:t xml:space="preserve"> </w:t>
      </w:r>
      <w:r>
        <w:t>Prophylaxis</w:t>
      </w:r>
      <w:r>
        <w:rPr>
          <w:spacing w:val="-10"/>
        </w:rPr>
        <w:t xml:space="preserve"> </w:t>
      </w:r>
      <w:r>
        <w:t>(PrEP)</w:t>
      </w:r>
      <w:r>
        <w:rPr>
          <w:spacing w:val="-12"/>
        </w:rPr>
        <w:t xml:space="preserve"> </w:t>
      </w:r>
      <w:r>
        <w:t>is</w:t>
      </w:r>
      <w:r>
        <w:rPr>
          <w:spacing w:val="-11"/>
        </w:rPr>
        <w:t xml:space="preserve"> </w:t>
      </w:r>
      <w:r>
        <w:t>an</w:t>
      </w:r>
      <w:r>
        <w:rPr>
          <w:spacing w:val="-11"/>
        </w:rPr>
        <w:t xml:space="preserve"> </w:t>
      </w:r>
      <w:r>
        <w:t>HIV</w:t>
      </w:r>
      <w:r>
        <w:rPr>
          <w:spacing w:val="-11"/>
        </w:rPr>
        <w:t xml:space="preserve"> </w:t>
      </w:r>
      <w:r>
        <w:t>prevention</w:t>
      </w:r>
      <w:r>
        <w:rPr>
          <w:spacing w:val="-9"/>
        </w:rPr>
        <w:t xml:space="preserve"> </w:t>
      </w:r>
      <w:r>
        <w:t>method</w:t>
      </w:r>
      <w:r>
        <w:rPr>
          <w:spacing w:val="-11"/>
        </w:rPr>
        <w:t xml:space="preserve"> </w:t>
      </w:r>
      <w:r>
        <w:t>that</w:t>
      </w:r>
      <w:r>
        <w:rPr>
          <w:spacing w:val="-10"/>
        </w:rPr>
        <w:t xml:space="preserve"> </w:t>
      </w:r>
      <w:r>
        <w:t>uses</w:t>
      </w:r>
      <w:r>
        <w:rPr>
          <w:spacing w:val="-11"/>
        </w:rPr>
        <w:t xml:space="preserve"> </w:t>
      </w:r>
      <w:r>
        <w:t>HIV</w:t>
      </w:r>
      <w:r>
        <w:rPr>
          <w:spacing w:val="-9"/>
        </w:rPr>
        <w:t xml:space="preserve"> </w:t>
      </w:r>
      <w:r>
        <w:t>medications,</w:t>
      </w:r>
      <w:r>
        <w:rPr>
          <w:spacing w:val="-11"/>
        </w:rPr>
        <w:t xml:space="preserve"> </w:t>
      </w:r>
      <w:r>
        <w:t>and</w:t>
      </w:r>
      <w:r>
        <w:rPr>
          <w:spacing w:val="-9"/>
        </w:rPr>
        <w:t xml:space="preserve"> </w:t>
      </w:r>
      <w:r>
        <w:t>it</w:t>
      </w:r>
      <w:r>
        <w:rPr>
          <w:spacing w:val="-11"/>
        </w:rPr>
        <w:t xml:space="preserve"> </w:t>
      </w:r>
      <w:r>
        <w:t>can</w:t>
      </w:r>
      <w:r>
        <w:rPr>
          <w:spacing w:val="-12"/>
        </w:rPr>
        <w:t xml:space="preserve"> </w:t>
      </w:r>
      <w:r>
        <w:t>be</w:t>
      </w:r>
      <w:r>
        <w:rPr>
          <w:spacing w:val="-10"/>
        </w:rPr>
        <w:t xml:space="preserve"> </w:t>
      </w:r>
      <w:r>
        <w:t>up</w:t>
      </w:r>
      <w:r>
        <w:rPr>
          <w:spacing w:val="-9"/>
        </w:rPr>
        <w:t xml:space="preserve"> </w:t>
      </w:r>
      <w:r>
        <w:rPr>
          <w:spacing w:val="-5"/>
        </w:rPr>
        <w:t>to</w:t>
      </w:r>
    </w:p>
    <w:p w:rsidR="00C76E6D" w:rsidRDefault="00C76E6D">
      <w:pPr>
        <w:jc w:val="both"/>
        <w:sectPr w:rsidR="00C76E6D">
          <w:pgSz w:w="12240" w:h="15840"/>
          <w:pgMar w:top="1000" w:right="960" w:bottom="640" w:left="960" w:header="802" w:footer="440" w:gutter="0"/>
          <w:cols w:space="720"/>
        </w:sectPr>
      </w:pPr>
    </w:p>
    <w:p w:rsidR="00C76E6D" w:rsidRDefault="00C76E6D">
      <w:pPr>
        <w:pStyle w:val="BodyText"/>
        <w:spacing w:before="6"/>
        <w:rPr>
          <w:sz w:val="21"/>
        </w:rPr>
      </w:pPr>
    </w:p>
    <w:p w:rsidR="00C76E6D" w:rsidRDefault="00913831">
      <w:pPr>
        <w:pStyle w:val="BodyText"/>
        <w:spacing w:before="55" w:line="276" w:lineRule="auto"/>
        <w:ind w:left="338" w:right="292"/>
        <w:jc w:val="both"/>
      </w:pPr>
      <w:r>
        <w:t>99% effective for sexual exposure when taken as prescribed and 74% effective against drug injection exposure.</w:t>
      </w:r>
      <w:hyperlink w:anchor="_bookmark447" w:history="1">
        <w:r>
          <w:rPr>
            <w:vertAlign w:val="superscript"/>
          </w:rPr>
          <w:t>29</w:t>
        </w:r>
        <w:r>
          <w:rPr>
            <w:spacing w:val="-1"/>
          </w:rPr>
          <w:t xml:space="preserve"> </w:t>
        </w:r>
      </w:hyperlink>
      <w:r>
        <w:t>While HIV disproportionately</w:t>
      </w:r>
      <w:r>
        <w:rPr>
          <w:spacing w:val="-1"/>
        </w:rPr>
        <w:t xml:space="preserve"> </w:t>
      </w:r>
      <w:r>
        <w:t>affects</w:t>
      </w:r>
      <w:r>
        <w:rPr>
          <w:spacing w:val="-1"/>
        </w:rPr>
        <w:t xml:space="preserve"> </w:t>
      </w:r>
      <w:r>
        <w:t>young</w:t>
      </w:r>
      <w:r>
        <w:rPr>
          <w:spacing w:val="-2"/>
        </w:rPr>
        <w:t xml:space="preserve"> </w:t>
      </w:r>
      <w:r>
        <w:t>gay and bisexual</w:t>
      </w:r>
      <w:r>
        <w:rPr>
          <w:spacing w:val="-1"/>
        </w:rPr>
        <w:t xml:space="preserve"> </w:t>
      </w:r>
      <w:r>
        <w:t>men</w:t>
      </w:r>
      <w:r>
        <w:rPr>
          <w:spacing w:val="-1"/>
        </w:rPr>
        <w:t xml:space="preserve"> </w:t>
      </w:r>
      <w:r>
        <w:t>who</w:t>
      </w:r>
      <w:r>
        <w:rPr>
          <w:spacing w:val="-1"/>
        </w:rPr>
        <w:t xml:space="preserve"> </w:t>
      </w:r>
      <w:r>
        <w:t>have</w:t>
      </w:r>
      <w:r>
        <w:rPr>
          <w:spacing w:val="-1"/>
        </w:rPr>
        <w:t xml:space="preserve"> </w:t>
      </w:r>
      <w:r>
        <w:t>sex</w:t>
      </w:r>
      <w:r>
        <w:rPr>
          <w:spacing w:val="-2"/>
        </w:rPr>
        <w:t xml:space="preserve"> </w:t>
      </w:r>
      <w:r>
        <w:t>with</w:t>
      </w:r>
      <w:r>
        <w:rPr>
          <w:spacing w:val="-2"/>
        </w:rPr>
        <w:t xml:space="preserve"> </w:t>
      </w:r>
      <w:r>
        <w:t>other men, this</w:t>
      </w:r>
      <w:r>
        <w:rPr>
          <w:spacing w:val="-6"/>
        </w:rPr>
        <w:t xml:space="preserve"> </w:t>
      </w:r>
      <w:r>
        <w:t>population</w:t>
      </w:r>
      <w:r>
        <w:rPr>
          <w:spacing w:val="-8"/>
        </w:rPr>
        <w:t xml:space="preserve"> </w:t>
      </w:r>
      <w:r>
        <w:t>fac</w:t>
      </w:r>
      <w:r>
        <w:t>es</w:t>
      </w:r>
      <w:r>
        <w:rPr>
          <w:spacing w:val="-6"/>
        </w:rPr>
        <w:t xml:space="preserve"> </w:t>
      </w:r>
      <w:r>
        <w:t>several</w:t>
      </w:r>
      <w:r>
        <w:rPr>
          <w:spacing w:val="-8"/>
        </w:rPr>
        <w:t xml:space="preserve"> </w:t>
      </w:r>
      <w:r>
        <w:t>barriers</w:t>
      </w:r>
      <w:r>
        <w:rPr>
          <w:spacing w:val="-6"/>
        </w:rPr>
        <w:t xml:space="preserve"> </w:t>
      </w:r>
      <w:r>
        <w:t>to</w:t>
      </w:r>
      <w:r>
        <w:rPr>
          <w:spacing w:val="-6"/>
        </w:rPr>
        <w:t xml:space="preserve"> </w:t>
      </w:r>
      <w:r>
        <w:t>accessing</w:t>
      </w:r>
      <w:r>
        <w:rPr>
          <w:spacing w:val="-7"/>
        </w:rPr>
        <w:t xml:space="preserve"> </w:t>
      </w:r>
      <w:r>
        <w:t>this</w:t>
      </w:r>
      <w:r>
        <w:rPr>
          <w:spacing w:val="-7"/>
        </w:rPr>
        <w:t xml:space="preserve"> </w:t>
      </w:r>
      <w:r>
        <w:t>treatment,</w:t>
      </w:r>
      <w:r>
        <w:rPr>
          <w:spacing w:val="-6"/>
        </w:rPr>
        <w:t xml:space="preserve"> </w:t>
      </w:r>
      <w:r>
        <w:t>including</w:t>
      </w:r>
      <w:r>
        <w:rPr>
          <w:spacing w:val="-7"/>
        </w:rPr>
        <w:t xml:space="preserve"> </w:t>
      </w:r>
      <w:r>
        <w:t>stigma,</w:t>
      </w:r>
      <w:r>
        <w:rPr>
          <w:spacing w:val="-7"/>
        </w:rPr>
        <w:t xml:space="preserve"> </w:t>
      </w:r>
      <w:r>
        <w:t>lack</w:t>
      </w:r>
      <w:r>
        <w:rPr>
          <w:spacing w:val="-7"/>
        </w:rPr>
        <w:t xml:space="preserve"> </w:t>
      </w:r>
      <w:r>
        <w:t>of</w:t>
      </w:r>
      <w:r>
        <w:rPr>
          <w:spacing w:val="-8"/>
        </w:rPr>
        <w:t xml:space="preserve"> </w:t>
      </w:r>
      <w:r>
        <w:t>access</w:t>
      </w:r>
      <w:r>
        <w:rPr>
          <w:spacing w:val="-6"/>
        </w:rPr>
        <w:t xml:space="preserve"> </w:t>
      </w:r>
      <w:r>
        <w:t>to</w:t>
      </w:r>
      <w:r>
        <w:rPr>
          <w:spacing w:val="-7"/>
        </w:rPr>
        <w:t xml:space="preserve"> </w:t>
      </w:r>
      <w:r>
        <w:t>informed providers, and exclusion from health services.</w:t>
      </w:r>
      <w:hyperlink w:anchor="_bookmark448" w:history="1">
        <w:r>
          <w:rPr>
            <w:vertAlign w:val="superscript"/>
          </w:rPr>
          <w:t>30</w:t>
        </w:r>
        <w:r>
          <w:t xml:space="preserve"> </w:t>
        </w:r>
      </w:hyperlink>
      <w:r>
        <w:t>According to a study published in 2020, for young gay and bisexual Black men, fri</w:t>
      </w:r>
      <w:r>
        <w:t>ends and peer groups are the primary source of health information on PrEP, and individuals with friends who openly discuss PrEP were more likely to initiate treatment. The same study revealed that young black men with providers unaware of PrEP were most he</w:t>
      </w:r>
      <w:r>
        <w:t>sitant or distrustful to use it.</w:t>
      </w:r>
      <w:hyperlink w:anchor="_bookmark449" w:history="1">
        <w:r>
          <w:rPr>
            <w:vertAlign w:val="superscript"/>
          </w:rPr>
          <w:t>31</w:t>
        </w:r>
      </w:hyperlink>
      <w:r>
        <w:t xml:space="preserve"> Another</w:t>
      </w:r>
      <w:r>
        <w:rPr>
          <w:spacing w:val="-3"/>
        </w:rPr>
        <w:t xml:space="preserve"> </w:t>
      </w:r>
      <w:r>
        <w:t>study</w:t>
      </w:r>
      <w:r>
        <w:rPr>
          <w:spacing w:val="-8"/>
        </w:rPr>
        <w:t xml:space="preserve"> </w:t>
      </w:r>
      <w:r>
        <w:t>found</w:t>
      </w:r>
      <w:r>
        <w:rPr>
          <w:spacing w:val="-7"/>
        </w:rPr>
        <w:t xml:space="preserve"> </w:t>
      </w:r>
      <w:r>
        <w:t>that</w:t>
      </w:r>
      <w:r>
        <w:rPr>
          <w:spacing w:val="-6"/>
        </w:rPr>
        <w:t xml:space="preserve"> </w:t>
      </w:r>
      <w:r>
        <w:t>black</w:t>
      </w:r>
      <w:r>
        <w:rPr>
          <w:spacing w:val="-7"/>
        </w:rPr>
        <w:t xml:space="preserve"> </w:t>
      </w:r>
      <w:r>
        <w:t>college</w:t>
      </w:r>
      <w:r>
        <w:rPr>
          <w:spacing w:val="-5"/>
        </w:rPr>
        <w:t xml:space="preserve"> </w:t>
      </w:r>
      <w:r>
        <w:t>students</w:t>
      </w:r>
      <w:r>
        <w:rPr>
          <w:spacing w:val="-7"/>
        </w:rPr>
        <w:t xml:space="preserve"> </w:t>
      </w:r>
      <w:r>
        <w:t>at</w:t>
      </w:r>
      <w:r>
        <w:rPr>
          <w:spacing w:val="-7"/>
        </w:rPr>
        <w:t xml:space="preserve"> </w:t>
      </w:r>
      <w:r>
        <w:t>historically</w:t>
      </w:r>
      <w:r>
        <w:rPr>
          <w:spacing w:val="-7"/>
        </w:rPr>
        <w:t xml:space="preserve"> </w:t>
      </w:r>
      <w:r>
        <w:t>black</w:t>
      </w:r>
      <w:r>
        <w:rPr>
          <w:spacing w:val="-8"/>
        </w:rPr>
        <w:t xml:space="preserve"> </w:t>
      </w:r>
      <w:r>
        <w:t>colleges</w:t>
      </w:r>
      <w:r>
        <w:rPr>
          <w:spacing w:val="-6"/>
        </w:rPr>
        <w:t xml:space="preserve"> </w:t>
      </w:r>
      <w:r>
        <w:t>have</w:t>
      </w:r>
      <w:r>
        <w:rPr>
          <w:spacing w:val="-8"/>
        </w:rPr>
        <w:t xml:space="preserve"> </w:t>
      </w:r>
      <w:r>
        <w:t>a</w:t>
      </w:r>
      <w:r>
        <w:rPr>
          <w:spacing w:val="-7"/>
        </w:rPr>
        <w:t xml:space="preserve"> </w:t>
      </w:r>
      <w:r>
        <w:t>favorable</w:t>
      </w:r>
      <w:r>
        <w:rPr>
          <w:spacing w:val="-8"/>
        </w:rPr>
        <w:t xml:space="preserve"> </w:t>
      </w:r>
      <w:r>
        <w:t>view</w:t>
      </w:r>
      <w:r>
        <w:rPr>
          <w:spacing w:val="-6"/>
        </w:rPr>
        <w:t xml:space="preserve"> </w:t>
      </w:r>
      <w:r>
        <w:t>of</w:t>
      </w:r>
      <w:r>
        <w:rPr>
          <w:spacing w:val="-6"/>
        </w:rPr>
        <w:t xml:space="preserve"> </w:t>
      </w:r>
      <w:r>
        <w:t>PrEP</w:t>
      </w:r>
      <w:r>
        <w:rPr>
          <w:spacing w:val="-2"/>
        </w:rPr>
        <w:t xml:space="preserve"> </w:t>
      </w:r>
      <w:r>
        <w:t>to prevent HIV</w:t>
      </w:r>
      <w:hyperlink w:anchor="_bookmark450" w:history="1">
        <w:r>
          <w:t>.</w:t>
        </w:r>
        <w:r>
          <w:rPr>
            <w:vertAlign w:val="superscript"/>
          </w:rPr>
          <w:t>32</w:t>
        </w:r>
        <w:r>
          <w:t xml:space="preserve"> </w:t>
        </w:r>
      </w:hyperlink>
      <w:r>
        <w:t>However, studies have also highlighted that adolescents want information beyond the basics of PrEP to make informed decisions about their health, especially regarding side effects, drug interactions, and</w:t>
      </w:r>
      <w:r>
        <w:rPr>
          <w:spacing w:val="-9"/>
        </w:rPr>
        <w:t xml:space="preserve"> </w:t>
      </w:r>
      <w:r>
        <w:t>how</w:t>
      </w:r>
      <w:r>
        <w:rPr>
          <w:spacing w:val="-8"/>
        </w:rPr>
        <w:t xml:space="preserve"> </w:t>
      </w:r>
      <w:r>
        <w:t>to</w:t>
      </w:r>
      <w:r>
        <w:rPr>
          <w:spacing w:val="-8"/>
        </w:rPr>
        <w:t xml:space="preserve"> </w:t>
      </w:r>
      <w:r>
        <w:t>overcome</w:t>
      </w:r>
      <w:r>
        <w:rPr>
          <w:spacing w:val="-9"/>
        </w:rPr>
        <w:t xml:space="preserve"> </w:t>
      </w:r>
      <w:r>
        <w:t>barriers</w:t>
      </w:r>
      <w:r>
        <w:rPr>
          <w:spacing w:val="-8"/>
        </w:rPr>
        <w:t xml:space="preserve"> </w:t>
      </w:r>
      <w:r>
        <w:t>such</w:t>
      </w:r>
      <w:r>
        <w:rPr>
          <w:spacing w:val="-10"/>
        </w:rPr>
        <w:t xml:space="preserve"> </w:t>
      </w:r>
      <w:r>
        <w:t>as</w:t>
      </w:r>
      <w:r>
        <w:rPr>
          <w:spacing w:val="-7"/>
        </w:rPr>
        <w:t xml:space="preserve"> </w:t>
      </w:r>
      <w:r>
        <w:t>cost,</w:t>
      </w:r>
      <w:r>
        <w:rPr>
          <w:spacing w:val="-9"/>
        </w:rPr>
        <w:t xml:space="preserve"> </w:t>
      </w:r>
      <w:r>
        <w:t>talking</w:t>
      </w:r>
      <w:r>
        <w:rPr>
          <w:spacing w:val="-7"/>
        </w:rPr>
        <w:t xml:space="preserve"> </w:t>
      </w:r>
      <w:r>
        <w:t>to</w:t>
      </w:r>
      <w:r>
        <w:rPr>
          <w:spacing w:val="-6"/>
        </w:rPr>
        <w:t xml:space="preserve"> </w:t>
      </w:r>
      <w:r>
        <w:t>pa</w:t>
      </w:r>
      <w:r>
        <w:t>rents/guardians</w:t>
      </w:r>
      <w:r>
        <w:rPr>
          <w:spacing w:val="-8"/>
        </w:rPr>
        <w:t xml:space="preserve"> </w:t>
      </w:r>
      <w:r>
        <w:t>about</w:t>
      </w:r>
      <w:r>
        <w:rPr>
          <w:spacing w:val="-10"/>
        </w:rPr>
        <w:t xml:space="preserve"> </w:t>
      </w:r>
      <w:r>
        <w:t>PrEP,</w:t>
      </w:r>
      <w:r>
        <w:rPr>
          <w:spacing w:val="-9"/>
        </w:rPr>
        <w:t xml:space="preserve"> </w:t>
      </w:r>
      <w:r>
        <w:t>or</w:t>
      </w:r>
      <w:r>
        <w:rPr>
          <w:spacing w:val="-8"/>
        </w:rPr>
        <w:t xml:space="preserve"> </w:t>
      </w:r>
      <w:r>
        <w:t>hiding</w:t>
      </w:r>
      <w:r>
        <w:rPr>
          <w:spacing w:val="-6"/>
        </w:rPr>
        <w:t xml:space="preserve"> </w:t>
      </w:r>
      <w:r>
        <w:t>it</w:t>
      </w:r>
      <w:r>
        <w:rPr>
          <w:spacing w:val="-10"/>
        </w:rPr>
        <w:t xml:space="preserve"> </w:t>
      </w:r>
      <w:r>
        <w:t>from</w:t>
      </w:r>
      <w:r>
        <w:rPr>
          <w:spacing w:val="-7"/>
        </w:rPr>
        <w:t xml:space="preserve"> </w:t>
      </w:r>
      <w:r>
        <w:t>them.</w:t>
      </w:r>
      <w:hyperlink w:anchor="_bookmark451" w:history="1">
        <w:r>
          <w:rPr>
            <w:vertAlign w:val="superscript"/>
          </w:rPr>
          <w:t>33</w:t>
        </w:r>
      </w:hyperlink>
    </w:p>
    <w:p w:rsidR="00C76E6D" w:rsidRDefault="00C76E6D">
      <w:pPr>
        <w:pStyle w:val="BodyText"/>
        <w:spacing w:before="8"/>
        <w:rPr>
          <w:sz w:val="19"/>
        </w:rPr>
      </w:pPr>
    </w:p>
    <w:p w:rsidR="00C76E6D" w:rsidRDefault="00913831">
      <w:pPr>
        <w:pStyle w:val="BodyText"/>
        <w:spacing w:line="276" w:lineRule="auto"/>
        <w:ind w:left="338" w:right="294"/>
        <w:jc w:val="both"/>
      </w:pPr>
      <w:r>
        <w:t>The effects of COVID-19 on HIV+ youth are still being studied. Some of the information available so far indicates that for transgender and non-binary people a younger ag</w:t>
      </w:r>
      <w:r>
        <w:t>e and job loss are associated with burdensome access to HIV medications</w:t>
      </w:r>
      <w:hyperlink w:anchor="_bookmark452" w:history="1">
        <w:r>
          <w:t>.</w:t>
        </w:r>
        <w:r>
          <w:rPr>
            <w:vertAlign w:val="superscript"/>
          </w:rPr>
          <w:t>34</w:t>
        </w:r>
        <w:r>
          <w:t xml:space="preserve"> I</w:t>
        </w:r>
      </w:hyperlink>
      <w:r>
        <w:t>n another study, Latinx participants express concern about the potential of becoming infected with COVID-19 when accessing HIV/STI testing</w:t>
      </w:r>
      <w:hyperlink w:anchor="_bookmark453" w:history="1">
        <w:r>
          <w:t>.</w:t>
        </w:r>
        <w:r>
          <w:rPr>
            <w:vertAlign w:val="superscript"/>
          </w:rPr>
          <w:t>35</w:t>
        </w:r>
      </w:hyperlink>
    </w:p>
    <w:p w:rsidR="00C76E6D" w:rsidRDefault="00C76E6D">
      <w:pPr>
        <w:pStyle w:val="BodyText"/>
        <w:spacing w:before="4"/>
        <w:rPr>
          <w:sz w:val="26"/>
        </w:rPr>
      </w:pPr>
    </w:p>
    <w:p w:rsidR="00C76E6D" w:rsidRDefault="00913831">
      <w:pPr>
        <w:pStyle w:val="Heading6"/>
        <w:numPr>
          <w:ilvl w:val="0"/>
          <w:numId w:val="35"/>
        </w:numPr>
        <w:tabs>
          <w:tab w:val="left" w:pos="560"/>
        </w:tabs>
        <w:ind w:hanging="222"/>
        <w:jc w:val="left"/>
      </w:pPr>
      <w:bookmarkStart w:id="564" w:name="4._Substance_Use"/>
      <w:bookmarkEnd w:id="564"/>
      <w:r>
        <w:rPr>
          <w:spacing w:val="-2"/>
        </w:rPr>
        <w:t>Substance</w:t>
      </w:r>
      <w:r>
        <w:rPr>
          <w:spacing w:val="-10"/>
        </w:rPr>
        <w:t xml:space="preserve"> </w:t>
      </w:r>
      <w:r>
        <w:rPr>
          <w:spacing w:val="-5"/>
        </w:rPr>
        <w:t>Use</w:t>
      </w:r>
    </w:p>
    <w:p w:rsidR="00C76E6D" w:rsidRDefault="00C76E6D">
      <w:pPr>
        <w:pStyle w:val="BodyText"/>
        <w:spacing w:before="5"/>
        <w:rPr>
          <w:b/>
          <w:sz w:val="29"/>
        </w:rPr>
      </w:pPr>
    </w:p>
    <w:p w:rsidR="00C76E6D" w:rsidRDefault="00913831">
      <w:pPr>
        <w:pStyle w:val="BodyText"/>
        <w:spacing w:line="276" w:lineRule="auto"/>
        <w:ind w:left="337" w:right="294"/>
        <w:jc w:val="both"/>
      </w:pPr>
      <w:r>
        <w:t>In public health practice, substance abuse is a health condition, and it may involve the use of legal and criminalized mind-altering substances. Multiple factors have shown a predisposition to substance abuse in the general population, including biological</w:t>
      </w:r>
      <w:r>
        <w:t>, biochemical, psychological, social, and cultural factors</w:t>
      </w:r>
      <w:hyperlink w:anchor="_bookmark454" w:history="1">
        <w:r>
          <w:t>.</w:t>
        </w:r>
        <w:r>
          <w:rPr>
            <w:vertAlign w:val="superscript"/>
          </w:rPr>
          <w:t>36</w:t>
        </w:r>
      </w:hyperlink>
      <w:r>
        <w:t xml:space="preserve"> Furthermore,</w:t>
      </w:r>
      <w:r>
        <w:rPr>
          <w:spacing w:val="-10"/>
        </w:rPr>
        <w:t xml:space="preserve"> </w:t>
      </w:r>
      <w:r>
        <w:t>a</w:t>
      </w:r>
      <w:r>
        <w:rPr>
          <w:spacing w:val="-10"/>
        </w:rPr>
        <w:t xml:space="preserve"> </w:t>
      </w:r>
      <w:r>
        <w:t>lack</w:t>
      </w:r>
      <w:r>
        <w:rPr>
          <w:spacing w:val="-11"/>
        </w:rPr>
        <w:t xml:space="preserve"> </w:t>
      </w:r>
      <w:r>
        <w:t>of</w:t>
      </w:r>
      <w:r>
        <w:rPr>
          <w:spacing w:val="-10"/>
        </w:rPr>
        <w:t xml:space="preserve"> </w:t>
      </w:r>
      <w:r>
        <w:t>awareness</w:t>
      </w:r>
      <w:r>
        <w:rPr>
          <w:spacing w:val="-10"/>
        </w:rPr>
        <w:t xml:space="preserve"> </w:t>
      </w:r>
      <w:r>
        <w:t>of</w:t>
      </w:r>
      <w:r>
        <w:rPr>
          <w:spacing w:val="-10"/>
        </w:rPr>
        <w:t xml:space="preserve"> </w:t>
      </w:r>
      <w:r>
        <w:t>community</w:t>
      </w:r>
      <w:r>
        <w:rPr>
          <w:spacing w:val="-10"/>
        </w:rPr>
        <w:t xml:space="preserve"> </w:t>
      </w:r>
      <w:r>
        <w:t>support</w:t>
      </w:r>
      <w:r>
        <w:rPr>
          <w:spacing w:val="-12"/>
        </w:rPr>
        <w:t xml:space="preserve"> </w:t>
      </w:r>
      <w:r>
        <w:t>for</w:t>
      </w:r>
      <w:r>
        <w:rPr>
          <w:spacing w:val="-10"/>
        </w:rPr>
        <w:t xml:space="preserve"> </w:t>
      </w:r>
      <w:r>
        <w:t>gay</w:t>
      </w:r>
      <w:r>
        <w:rPr>
          <w:spacing w:val="-10"/>
        </w:rPr>
        <w:t xml:space="preserve"> </w:t>
      </w:r>
      <w:r>
        <w:t>and</w:t>
      </w:r>
      <w:r>
        <w:rPr>
          <w:spacing w:val="-12"/>
        </w:rPr>
        <w:t xml:space="preserve"> </w:t>
      </w:r>
      <w:r>
        <w:t>lesbian</w:t>
      </w:r>
      <w:r>
        <w:rPr>
          <w:spacing w:val="-11"/>
        </w:rPr>
        <w:t xml:space="preserve"> </w:t>
      </w:r>
      <w:r>
        <w:t>youth</w:t>
      </w:r>
      <w:r>
        <w:rPr>
          <w:spacing w:val="-10"/>
        </w:rPr>
        <w:t xml:space="preserve"> </w:t>
      </w:r>
      <w:r>
        <w:t>is</w:t>
      </w:r>
      <w:r>
        <w:rPr>
          <w:spacing w:val="-10"/>
        </w:rPr>
        <w:t xml:space="preserve"> </w:t>
      </w:r>
      <w:r>
        <w:t>a</w:t>
      </w:r>
      <w:r>
        <w:rPr>
          <w:spacing w:val="-10"/>
        </w:rPr>
        <w:t xml:space="preserve"> </w:t>
      </w:r>
      <w:r>
        <w:t>predictor</w:t>
      </w:r>
      <w:r>
        <w:rPr>
          <w:spacing w:val="-10"/>
        </w:rPr>
        <w:t xml:space="preserve"> </w:t>
      </w:r>
      <w:r>
        <w:t>for</w:t>
      </w:r>
      <w:r>
        <w:rPr>
          <w:spacing w:val="-10"/>
        </w:rPr>
        <w:t xml:space="preserve"> </w:t>
      </w:r>
      <w:r>
        <w:t>substance abuse and criminal activities even in the presence of</w:t>
      </w:r>
      <w:r>
        <w:t xml:space="preserve"> parental acceptance and/or a gay/lesbian social </w:t>
      </w:r>
      <w:r>
        <w:rPr>
          <w:spacing w:val="-2"/>
        </w:rPr>
        <w:t>network</w:t>
      </w:r>
      <w:hyperlink w:anchor="_bookmark455" w:history="1">
        <w:r>
          <w:rPr>
            <w:spacing w:val="-2"/>
          </w:rPr>
          <w:t>.</w:t>
        </w:r>
        <w:r>
          <w:rPr>
            <w:spacing w:val="-2"/>
            <w:vertAlign w:val="superscript"/>
          </w:rPr>
          <w:t>37</w:t>
        </w:r>
      </w:hyperlink>
    </w:p>
    <w:p w:rsidR="00C76E6D" w:rsidRDefault="00C76E6D">
      <w:pPr>
        <w:pStyle w:val="BodyText"/>
        <w:spacing w:before="9"/>
        <w:rPr>
          <w:sz w:val="19"/>
        </w:rPr>
      </w:pPr>
    </w:p>
    <w:p w:rsidR="00C76E6D" w:rsidRDefault="00913831">
      <w:pPr>
        <w:pStyle w:val="BodyText"/>
        <w:spacing w:line="276" w:lineRule="auto"/>
        <w:ind w:left="338" w:right="293"/>
        <w:jc w:val="both"/>
      </w:pPr>
      <w:r>
        <w:t>Substance use is relatively common among high school students nationally, where 29.2% of respondents indicated current use of alcohol (13.7% for binge drinking) an</w:t>
      </w:r>
      <w:r>
        <w:t>d 21.7% for marijuana use. Lifetime report of marijuana was reported by 36.8% of students, prescription opioids by 14.3%, synthetic marijuana by 7.3%, cocaine by 3.9%, methamphetamine by 2.1%, and heroin by 1.8%. Rates of use were higher among self- identi</w:t>
      </w:r>
      <w:r>
        <w:t>fied LGB young people, with 31% reporting current marijuana use and 49.6% reporting lifetime use, 33.9% reporting current alcohol use (15.6% for binge drinking). LGB youth reported life use of prescription opioids by 23.9%, synthetic marijuana by 11.6%, co</w:t>
      </w:r>
      <w:r>
        <w:t>caine by 7%, methamphetamine by 5%, and heroin by 3.8%.</w:t>
      </w:r>
      <w:hyperlink w:anchor="_bookmark456" w:history="1">
        <w:r>
          <w:rPr>
            <w:vertAlign w:val="superscript"/>
          </w:rPr>
          <w:t>38</w:t>
        </w:r>
        <w:r>
          <w:t xml:space="preserve"> </w:t>
        </w:r>
      </w:hyperlink>
      <w:r>
        <w:t>LGB youth's higher rate of substance use and abuse is concerning and might be explained by the minority stress model</w:t>
      </w:r>
      <w:hyperlink w:anchor="_bookmark457" w:history="1">
        <w:r>
          <w:t>.</w:t>
        </w:r>
        <w:r>
          <w:rPr>
            <w:vertAlign w:val="superscript"/>
          </w:rPr>
          <w:t>39</w:t>
        </w:r>
        <w:r>
          <w:t xml:space="preserve"> </w:t>
        </w:r>
      </w:hyperlink>
      <w:r>
        <w:t>For example, a</w:t>
      </w:r>
      <w:r>
        <w:t xml:space="preserve"> study found that sexual and gender identity concealment predicted widespread</w:t>
      </w:r>
      <w:r>
        <w:rPr>
          <w:spacing w:val="-1"/>
        </w:rPr>
        <w:t xml:space="preserve"> </w:t>
      </w:r>
      <w:r>
        <w:t>alcohol</w:t>
      </w:r>
      <w:r>
        <w:rPr>
          <w:spacing w:val="-2"/>
        </w:rPr>
        <w:t xml:space="preserve"> </w:t>
      </w:r>
      <w:r>
        <w:t>use</w:t>
      </w:r>
      <w:r>
        <w:rPr>
          <w:spacing w:val="-1"/>
        </w:rPr>
        <w:t xml:space="preserve"> </w:t>
      </w:r>
      <w:r>
        <w:t>and</w:t>
      </w:r>
      <w:r>
        <w:rPr>
          <w:spacing w:val="-2"/>
        </w:rPr>
        <w:t xml:space="preserve"> </w:t>
      </w:r>
      <w:r>
        <w:t>was related to higher alcohol</w:t>
      </w:r>
      <w:r>
        <w:rPr>
          <w:spacing w:val="-1"/>
        </w:rPr>
        <w:t xml:space="preserve"> </w:t>
      </w:r>
      <w:r>
        <w:t>consumption.</w:t>
      </w:r>
      <w:r>
        <w:rPr>
          <w:spacing w:val="-1"/>
        </w:rPr>
        <w:t xml:space="preserve"> </w:t>
      </w:r>
      <w:r>
        <w:t>The same</w:t>
      </w:r>
      <w:r>
        <w:rPr>
          <w:spacing w:val="-2"/>
        </w:rPr>
        <w:t xml:space="preserve"> </w:t>
      </w:r>
      <w:r>
        <w:t>study</w:t>
      </w:r>
      <w:r>
        <w:rPr>
          <w:spacing w:val="-6"/>
        </w:rPr>
        <w:t xml:space="preserve"> </w:t>
      </w:r>
      <w:r>
        <w:t>found</w:t>
      </w:r>
      <w:r>
        <w:rPr>
          <w:spacing w:val="-5"/>
        </w:rPr>
        <w:t xml:space="preserve"> </w:t>
      </w:r>
      <w:r>
        <w:t>that</w:t>
      </w:r>
      <w:r>
        <w:rPr>
          <w:spacing w:val="-5"/>
        </w:rPr>
        <w:t xml:space="preserve"> </w:t>
      </w:r>
      <w:r>
        <w:t>the</w:t>
      </w:r>
      <w:r>
        <w:rPr>
          <w:spacing w:val="-3"/>
        </w:rPr>
        <w:t xml:space="preserve"> </w:t>
      </w:r>
      <w:r>
        <w:t>level of</w:t>
      </w:r>
      <w:r>
        <w:rPr>
          <w:spacing w:val="-4"/>
        </w:rPr>
        <w:t xml:space="preserve"> </w:t>
      </w:r>
      <w:r>
        <w:t>concealment</w:t>
      </w:r>
      <w:r>
        <w:rPr>
          <w:spacing w:val="-6"/>
        </w:rPr>
        <w:t xml:space="preserve"> </w:t>
      </w:r>
      <w:r>
        <w:t>of</w:t>
      </w:r>
      <w:r>
        <w:rPr>
          <w:spacing w:val="-4"/>
        </w:rPr>
        <w:t xml:space="preserve"> </w:t>
      </w:r>
      <w:r>
        <w:t>one's</w:t>
      </w:r>
      <w:r>
        <w:rPr>
          <w:spacing w:val="-4"/>
        </w:rPr>
        <w:t xml:space="preserve"> </w:t>
      </w:r>
      <w:r>
        <w:t>sexual</w:t>
      </w:r>
      <w:r>
        <w:rPr>
          <w:spacing w:val="-6"/>
        </w:rPr>
        <w:t xml:space="preserve"> </w:t>
      </w:r>
      <w:r>
        <w:t>and</w:t>
      </w:r>
      <w:r>
        <w:rPr>
          <w:spacing w:val="-2"/>
        </w:rPr>
        <w:t xml:space="preserve"> </w:t>
      </w:r>
      <w:r>
        <w:t>gender</w:t>
      </w:r>
      <w:r>
        <w:rPr>
          <w:spacing w:val="-3"/>
        </w:rPr>
        <w:t xml:space="preserve"> </w:t>
      </w:r>
      <w:r>
        <w:t>identity</w:t>
      </w:r>
      <w:r>
        <w:rPr>
          <w:spacing w:val="-3"/>
        </w:rPr>
        <w:t xml:space="preserve"> </w:t>
      </w:r>
      <w:r>
        <w:t>predicted</w:t>
      </w:r>
      <w:r>
        <w:rPr>
          <w:spacing w:val="-3"/>
        </w:rPr>
        <w:t xml:space="preserve"> </w:t>
      </w:r>
      <w:r>
        <w:t>drug</w:t>
      </w:r>
      <w:r>
        <w:rPr>
          <w:spacing w:val="-4"/>
        </w:rPr>
        <w:t xml:space="preserve"> </w:t>
      </w:r>
      <w:r>
        <w:t>use</w:t>
      </w:r>
      <w:r>
        <w:rPr>
          <w:spacing w:val="-1"/>
        </w:rPr>
        <w:t xml:space="preserve"> </w:t>
      </w:r>
      <w:r>
        <w:t>(accounting</w:t>
      </w:r>
      <w:r>
        <w:rPr>
          <w:spacing w:val="-1"/>
        </w:rPr>
        <w:t xml:space="preserve"> </w:t>
      </w:r>
      <w:r>
        <w:t>for</w:t>
      </w:r>
      <w:r>
        <w:rPr>
          <w:spacing w:val="-2"/>
        </w:rPr>
        <w:t xml:space="preserve"> </w:t>
      </w:r>
      <w:r>
        <w:t>1.40%</w:t>
      </w:r>
      <w:r>
        <w:rPr>
          <w:spacing w:val="-1"/>
        </w:rPr>
        <w:t xml:space="preserve"> </w:t>
      </w:r>
      <w:r>
        <w:t>of the</w:t>
      </w:r>
      <w:r>
        <w:rPr>
          <w:spacing w:val="-1"/>
        </w:rPr>
        <w:t xml:space="preserve"> </w:t>
      </w:r>
      <w:r>
        <w:t>variance in score)</w:t>
      </w:r>
      <w:hyperlink w:anchor="_bookmark458" w:history="1">
        <w:r>
          <w:t>.</w:t>
        </w:r>
        <w:r>
          <w:rPr>
            <w:vertAlign w:val="superscript"/>
          </w:rPr>
          <w:t>40</w:t>
        </w:r>
      </w:hyperlink>
    </w:p>
    <w:p w:rsidR="00C76E6D" w:rsidRDefault="00C76E6D">
      <w:pPr>
        <w:pStyle w:val="BodyText"/>
        <w:spacing w:before="5"/>
        <w:rPr>
          <w:sz w:val="25"/>
        </w:rPr>
      </w:pPr>
    </w:p>
    <w:p w:rsidR="00C76E6D" w:rsidRDefault="00913831">
      <w:pPr>
        <w:pStyle w:val="Heading6"/>
        <w:numPr>
          <w:ilvl w:val="0"/>
          <w:numId w:val="35"/>
        </w:numPr>
        <w:tabs>
          <w:tab w:val="left" w:pos="560"/>
        </w:tabs>
        <w:ind w:hanging="222"/>
        <w:jc w:val="left"/>
      </w:pPr>
      <w:bookmarkStart w:id="565" w:name="5._Sexual_Health_Education"/>
      <w:bookmarkEnd w:id="565"/>
      <w:r>
        <w:rPr>
          <w:w w:val="95"/>
        </w:rPr>
        <w:t>Sexual</w:t>
      </w:r>
      <w:r>
        <w:rPr>
          <w:spacing w:val="13"/>
        </w:rPr>
        <w:t xml:space="preserve"> </w:t>
      </w:r>
      <w:r>
        <w:rPr>
          <w:w w:val="95"/>
        </w:rPr>
        <w:t>Health</w:t>
      </w:r>
      <w:r>
        <w:rPr>
          <w:spacing w:val="9"/>
        </w:rPr>
        <w:t xml:space="preserve"> </w:t>
      </w:r>
      <w:r>
        <w:rPr>
          <w:spacing w:val="-2"/>
          <w:w w:val="95"/>
        </w:rPr>
        <w:t>Education</w:t>
      </w:r>
    </w:p>
    <w:p w:rsidR="00C76E6D" w:rsidRDefault="00C76E6D">
      <w:pPr>
        <w:pStyle w:val="BodyText"/>
        <w:spacing w:before="6"/>
        <w:rPr>
          <w:b/>
          <w:sz w:val="29"/>
        </w:rPr>
      </w:pPr>
    </w:p>
    <w:p w:rsidR="00C76E6D" w:rsidRDefault="00913831">
      <w:pPr>
        <w:pStyle w:val="BodyText"/>
        <w:spacing w:line="276" w:lineRule="auto"/>
        <w:ind w:left="337" w:right="295"/>
        <w:jc w:val="both"/>
      </w:pPr>
      <w:r>
        <w:t>Sexual</w:t>
      </w:r>
      <w:r>
        <w:rPr>
          <w:spacing w:val="-8"/>
        </w:rPr>
        <w:t xml:space="preserve"> </w:t>
      </w:r>
      <w:r>
        <w:t>health</w:t>
      </w:r>
      <w:r>
        <w:rPr>
          <w:spacing w:val="-7"/>
        </w:rPr>
        <w:t xml:space="preserve"> </w:t>
      </w:r>
      <w:r>
        <w:t>is</w:t>
      </w:r>
      <w:r>
        <w:rPr>
          <w:spacing w:val="-8"/>
        </w:rPr>
        <w:t xml:space="preserve"> </w:t>
      </w:r>
      <w:r>
        <w:t>a</w:t>
      </w:r>
      <w:r>
        <w:rPr>
          <w:spacing w:val="-9"/>
        </w:rPr>
        <w:t xml:space="preserve"> </w:t>
      </w:r>
      <w:r>
        <w:t>fundamental</w:t>
      </w:r>
      <w:r>
        <w:rPr>
          <w:spacing w:val="-9"/>
        </w:rPr>
        <w:t xml:space="preserve"> </w:t>
      </w:r>
      <w:r>
        <w:t>right</w:t>
      </w:r>
      <w:r>
        <w:rPr>
          <w:spacing w:val="-8"/>
        </w:rPr>
        <w:t xml:space="preserve"> </w:t>
      </w:r>
      <w:r>
        <w:t>that</w:t>
      </w:r>
      <w:r>
        <w:rPr>
          <w:spacing w:val="-8"/>
        </w:rPr>
        <w:t xml:space="preserve"> </w:t>
      </w:r>
      <w:r>
        <w:t>includes</w:t>
      </w:r>
      <w:r>
        <w:rPr>
          <w:spacing w:val="-7"/>
        </w:rPr>
        <w:t xml:space="preserve"> </w:t>
      </w:r>
      <w:r>
        <w:t>the</w:t>
      </w:r>
      <w:r>
        <w:rPr>
          <w:spacing w:val="-6"/>
        </w:rPr>
        <w:t xml:space="preserve"> </w:t>
      </w:r>
      <w:r>
        <w:t>right</w:t>
      </w:r>
      <w:r>
        <w:rPr>
          <w:spacing w:val="-8"/>
        </w:rPr>
        <w:t xml:space="preserve"> </w:t>
      </w:r>
      <w:r>
        <w:t>to</w:t>
      </w:r>
      <w:r>
        <w:rPr>
          <w:spacing w:val="-8"/>
        </w:rPr>
        <w:t xml:space="preserve"> </w:t>
      </w:r>
      <w:r>
        <w:t>sexual</w:t>
      </w:r>
      <w:r>
        <w:rPr>
          <w:spacing w:val="-9"/>
        </w:rPr>
        <w:t xml:space="preserve"> </w:t>
      </w:r>
      <w:r>
        <w:t>identity,</w:t>
      </w:r>
      <w:r>
        <w:rPr>
          <w:spacing w:val="-8"/>
        </w:rPr>
        <w:t xml:space="preserve"> </w:t>
      </w:r>
      <w:r>
        <w:t>expression,</w:t>
      </w:r>
      <w:r>
        <w:rPr>
          <w:spacing w:val="-9"/>
        </w:rPr>
        <w:t xml:space="preserve"> </w:t>
      </w:r>
      <w:r>
        <w:t>and</w:t>
      </w:r>
      <w:r>
        <w:rPr>
          <w:spacing w:val="-9"/>
        </w:rPr>
        <w:t xml:space="preserve"> </w:t>
      </w:r>
      <w:r>
        <w:t>activity</w:t>
      </w:r>
      <w:hyperlink w:anchor="_bookmark459" w:history="1">
        <w:r>
          <w:t>.</w:t>
        </w:r>
        <w:r>
          <w:rPr>
            <w:vertAlign w:val="superscript"/>
          </w:rPr>
          <w:t>41</w:t>
        </w:r>
        <w:r>
          <w:rPr>
            <w:spacing w:val="-9"/>
          </w:rPr>
          <w:t xml:space="preserve"> </w:t>
        </w:r>
      </w:hyperlink>
      <w:r>
        <w:t>Frank discussions of sexual activity and health are largely considered to be taboo and largely contested in sexual health education, especially in regards to LGBTQ youth. Seven states in the US even prohibit the mention of LGBTQ</w:t>
      </w:r>
      <w:r>
        <w:rPr>
          <w:spacing w:val="-13"/>
        </w:rPr>
        <w:t xml:space="preserve"> </w:t>
      </w:r>
      <w:r>
        <w:t>sexuality</w:t>
      </w:r>
      <w:r>
        <w:rPr>
          <w:spacing w:val="-16"/>
        </w:rPr>
        <w:t xml:space="preserve"> </w:t>
      </w:r>
      <w:r>
        <w:t>and</w:t>
      </w:r>
      <w:r>
        <w:rPr>
          <w:spacing w:val="-14"/>
        </w:rPr>
        <w:t xml:space="preserve"> </w:t>
      </w:r>
      <w:r>
        <w:t>identities</w:t>
      </w:r>
      <w:r>
        <w:rPr>
          <w:spacing w:val="-13"/>
        </w:rPr>
        <w:t xml:space="preserve"> </w:t>
      </w:r>
      <w:r>
        <w:t>in</w:t>
      </w:r>
      <w:r>
        <w:rPr>
          <w:spacing w:val="-13"/>
        </w:rPr>
        <w:t xml:space="preserve"> </w:t>
      </w:r>
      <w:r>
        <w:t>a</w:t>
      </w:r>
      <w:r>
        <w:rPr>
          <w:spacing w:val="-14"/>
        </w:rPr>
        <w:t xml:space="preserve"> </w:t>
      </w:r>
      <w:r>
        <w:t>positive</w:t>
      </w:r>
      <w:r>
        <w:rPr>
          <w:spacing w:val="-15"/>
        </w:rPr>
        <w:t xml:space="preserve"> </w:t>
      </w:r>
      <w:r>
        <w:t>light</w:t>
      </w:r>
      <w:r>
        <w:rPr>
          <w:spacing w:val="-14"/>
        </w:rPr>
        <w:t xml:space="preserve"> </w:t>
      </w:r>
      <w:r>
        <w:t>in</w:t>
      </w:r>
      <w:r>
        <w:rPr>
          <w:spacing w:val="-13"/>
        </w:rPr>
        <w:t xml:space="preserve"> </w:t>
      </w:r>
      <w:r>
        <w:t>sexual</w:t>
      </w:r>
      <w:r>
        <w:rPr>
          <w:spacing w:val="-14"/>
        </w:rPr>
        <w:t xml:space="preserve"> </w:t>
      </w:r>
      <w:r>
        <w:t>health</w:t>
      </w:r>
      <w:r>
        <w:rPr>
          <w:spacing w:val="-13"/>
        </w:rPr>
        <w:t xml:space="preserve"> </w:t>
      </w:r>
      <w:r>
        <w:t>education</w:t>
      </w:r>
      <w:r>
        <w:rPr>
          <w:spacing w:val="-14"/>
        </w:rPr>
        <w:t xml:space="preserve"> </w:t>
      </w:r>
      <w:r>
        <w:t>contexts</w:t>
      </w:r>
      <w:r>
        <w:rPr>
          <w:spacing w:val="-13"/>
        </w:rPr>
        <w:t xml:space="preserve"> </w:t>
      </w:r>
      <w:r>
        <w:t>through</w:t>
      </w:r>
      <w:r>
        <w:rPr>
          <w:spacing w:val="-14"/>
        </w:rPr>
        <w:t xml:space="preserve"> </w:t>
      </w:r>
      <w:r>
        <w:t>legislation</w:t>
      </w:r>
      <w:r>
        <w:rPr>
          <w:spacing w:val="-13"/>
        </w:rPr>
        <w:t xml:space="preserve"> </w:t>
      </w:r>
      <w:r>
        <w:t>coined</w:t>
      </w:r>
    </w:p>
    <w:p w:rsidR="00C76E6D" w:rsidRDefault="00C76E6D">
      <w:pPr>
        <w:spacing w:line="276" w:lineRule="auto"/>
        <w:jc w:val="both"/>
        <w:sectPr w:rsidR="00C76E6D">
          <w:pgSz w:w="12240" w:h="15840"/>
          <w:pgMar w:top="1000" w:right="960" w:bottom="640" w:left="960" w:header="802" w:footer="440" w:gutter="0"/>
          <w:cols w:space="720"/>
        </w:sectPr>
      </w:pPr>
    </w:p>
    <w:p w:rsidR="00C76E6D" w:rsidRDefault="00C76E6D">
      <w:pPr>
        <w:pStyle w:val="BodyText"/>
        <w:spacing w:before="10"/>
        <w:rPr>
          <w:sz w:val="19"/>
        </w:rPr>
      </w:pPr>
    </w:p>
    <w:p w:rsidR="00C76E6D" w:rsidRDefault="00913831">
      <w:pPr>
        <w:pStyle w:val="BodyText"/>
        <w:spacing w:before="77"/>
        <w:ind w:left="338"/>
        <w:jc w:val="both"/>
      </w:pPr>
      <w:r>
        <w:t>as</w:t>
      </w:r>
      <w:r>
        <w:rPr>
          <w:spacing w:val="-13"/>
        </w:rPr>
        <w:t xml:space="preserve"> </w:t>
      </w:r>
      <w:r>
        <w:t>“‘no</w:t>
      </w:r>
      <w:r>
        <w:rPr>
          <w:spacing w:val="-12"/>
        </w:rPr>
        <w:t xml:space="preserve"> </w:t>
      </w:r>
      <w:r>
        <w:t>promo</w:t>
      </w:r>
      <w:r>
        <w:rPr>
          <w:spacing w:val="-13"/>
        </w:rPr>
        <w:t xml:space="preserve"> </w:t>
      </w:r>
      <w:r>
        <w:t>homo’</w:t>
      </w:r>
      <w:r>
        <w:rPr>
          <w:spacing w:val="-12"/>
        </w:rPr>
        <w:t xml:space="preserve"> </w:t>
      </w:r>
      <w:r>
        <w:rPr>
          <w:spacing w:val="-2"/>
        </w:rPr>
        <w:t>laws.”</w:t>
      </w:r>
      <w:hyperlink w:anchor="_bookmark460" w:history="1">
        <w:r>
          <w:rPr>
            <w:spacing w:val="-2"/>
            <w:vertAlign w:val="superscript"/>
          </w:rPr>
          <w:t>42</w:t>
        </w:r>
      </w:hyperlink>
    </w:p>
    <w:p w:rsidR="00C76E6D" w:rsidRDefault="00C76E6D">
      <w:pPr>
        <w:pStyle w:val="BodyText"/>
        <w:spacing w:before="10"/>
      </w:pPr>
    </w:p>
    <w:p w:rsidR="00C76E6D" w:rsidRDefault="00913831">
      <w:pPr>
        <w:pStyle w:val="BodyText"/>
        <w:spacing w:line="276" w:lineRule="auto"/>
        <w:ind w:left="338" w:right="293"/>
        <w:jc w:val="both"/>
      </w:pPr>
      <w:r>
        <w:t>Sexual health education is a protective factor against STIs and risky sexual behavior. Students wh</w:t>
      </w:r>
      <w:r>
        <w:t>o have received</w:t>
      </w:r>
      <w:r>
        <w:rPr>
          <w:spacing w:val="-9"/>
        </w:rPr>
        <w:t xml:space="preserve"> </w:t>
      </w:r>
      <w:r>
        <w:t>sexual</w:t>
      </w:r>
      <w:r>
        <w:rPr>
          <w:spacing w:val="-9"/>
        </w:rPr>
        <w:t xml:space="preserve"> </w:t>
      </w:r>
      <w:r>
        <w:t>health</w:t>
      </w:r>
      <w:r>
        <w:rPr>
          <w:spacing w:val="-9"/>
        </w:rPr>
        <w:t xml:space="preserve"> </w:t>
      </w:r>
      <w:r>
        <w:t>education</w:t>
      </w:r>
      <w:r>
        <w:rPr>
          <w:spacing w:val="-9"/>
        </w:rPr>
        <w:t xml:space="preserve"> </w:t>
      </w:r>
      <w:r>
        <w:t>and</w:t>
      </w:r>
      <w:r>
        <w:rPr>
          <w:spacing w:val="-9"/>
        </w:rPr>
        <w:t xml:space="preserve"> </w:t>
      </w:r>
      <w:r>
        <w:t>have</w:t>
      </w:r>
      <w:r>
        <w:rPr>
          <w:spacing w:val="-9"/>
        </w:rPr>
        <w:t xml:space="preserve"> </w:t>
      </w:r>
      <w:r>
        <w:t>multiple</w:t>
      </w:r>
      <w:r>
        <w:rPr>
          <w:spacing w:val="-9"/>
        </w:rPr>
        <w:t xml:space="preserve"> </w:t>
      </w:r>
      <w:r>
        <w:t>partners</w:t>
      </w:r>
      <w:r>
        <w:rPr>
          <w:spacing w:val="-10"/>
        </w:rPr>
        <w:t xml:space="preserve"> </w:t>
      </w:r>
      <w:r>
        <w:t>are</w:t>
      </w:r>
      <w:r>
        <w:rPr>
          <w:spacing w:val="-8"/>
        </w:rPr>
        <w:t xml:space="preserve"> </w:t>
      </w:r>
      <w:r>
        <w:t>more</w:t>
      </w:r>
      <w:r>
        <w:rPr>
          <w:spacing w:val="-9"/>
        </w:rPr>
        <w:t xml:space="preserve"> </w:t>
      </w:r>
      <w:r>
        <w:t>likely</w:t>
      </w:r>
      <w:r>
        <w:rPr>
          <w:spacing w:val="-8"/>
        </w:rPr>
        <w:t xml:space="preserve"> </w:t>
      </w:r>
      <w:r>
        <w:t>to</w:t>
      </w:r>
      <w:r>
        <w:rPr>
          <w:spacing w:val="-10"/>
        </w:rPr>
        <w:t xml:space="preserve"> </w:t>
      </w:r>
      <w:r>
        <w:t>seek</w:t>
      </w:r>
      <w:r>
        <w:rPr>
          <w:spacing w:val="-9"/>
        </w:rPr>
        <w:t xml:space="preserve"> </w:t>
      </w:r>
      <w:r>
        <w:t>HIV</w:t>
      </w:r>
      <w:r>
        <w:rPr>
          <w:spacing w:val="-9"/>
        </w:rPr>
        <w:t xml:space="preserve"> </w:t>
      </w:r>
      <w:r>
        <w:t>testing</w:t>
      </w:r>
      <w:r>
        <w:rPr>
          <w:spacing w:val="-10"/>
        </w:rPr>
        <w:t xml:space="preserve"> </w:t>
      </w:r>
      <w:r>
        <w:t>than</w:t>
      </w:r>
      <w:r>
        <w:rPr>
          <w:spacing w:val="-10"/>
        </w:rPr>
        <w:t xml:space="preserve"> </w:t>
      </w:r>
      <w:r>
        <w:t>students who</w:t>
      </w:r>
      <w:r>
        <w:rPr>
          <w:spacing w:val="-1"/>
        </w:rPr>
        <w:t xml:space="preserve"> </w:t>
      </w:r>
      <w:r>
        <w:t>have</w:t>
      </w:r>
      <w:r>
        <w:rPr>
          <w:spacing w:val="-3"/>
        </w:rPr>
        <w:t xml:space="preserve"> </w:t>
      </w:r>
      <w:r>
        <w:t>not.</w:t>
      </w:r>
      <w:r>
        <w:rPr>
          <w:spacing w:val="-5"/>
        </w:rPr>
        <w:t xml:space="preserve"> </w:t>
      </w:r>
      <w:r>
        <w:t>They</w:t>
      </w:r>
      <w:r>
        <w:rPr>
          <w:spacing w:val="-1"/>
        </w:rPr>
        <w:t xml:space="preserve"> </w:t>
      </w:r>
      <w:r>
        <w:t>are</w:t>
      </w:r>
      <w:r>
        <w:rPr>
          <w:spacing w:val="-3"/>
        </w:rPr>
        <w:t xml:space="preserve"> </w:t>
      </w:r>
      <w:r>
        <w:t>also</w:t>
      </w:r>
      <w:r>
        <w:rPr>
          <w:spacing w:val="-1"/>
        </w:rPr>
        <w:t xml:space="preserve"> </w:t>
      </w:r>
      <w:r>
        <w:t>more</w:t>
      </w:r>
      <w:r>
        <w:rPr>
          <w:spacing w:val="-4"/>
        </w:rPr>
        <w:t xml:space="preserve"> </w:t>
      </w:r>
      <w:r>
        <w:t>likely</w:t>
      </w:r>
      <w:r>
        <w:rPr>
          <w:spacing w:val="-1"/>
        </w:rPr>
        <w:t xml:space="preserve"> </w:t>
      </w:r>
      <w:r>
        <w:t>to</w:t>
      </w:r>
      <w:r>
        <w:rPr>
          <w:spacing w:val="-2"/>
        </w:rPr>
        <w:t xml:space="preserve"> </w:t>
      </w:r>
      <w:r>
        <w:t>use</w:t>
      </w:r>
      <w:r>
        <w:rPr>
          <w:spacing w:val="-2"/>
        </w:rPr>
        <w:t xml:space="preserve"> </w:t>
      </w:r>
      <w:r>
        <w:t>condoms</w:t>
      </w:r>
      <w:r>
        <w:rPr>
          <w:spacing w:val="-1"/>
        </w:rPr>
        <w:t xml:space="preserve"> </w:t>
      </w:r>
      <w:r>
        <w:t>and</w:t>
      </w:r>
      <w:r>
        <w:rPr>
          <w:spacing w:val="-2"/>
        </w:rPr>
        <w:t xml:space="preserve"> </w:t>
      </w:r>
      <w:r>
        <w:t>less</w:t>
      </w:r>
      <w:r>
        <w:rPr>
          <w:spacing w:val="-1"/>
        </w:rPr>
        <w:t xml:space="preserve"> </w:t>
      </w:r>
      <w:r>
        <w:t>likely</w:t>
      </w:r>
      <w:r>
        <w:rPr>
          <w:spacing w:val="-1"/>
        </w:rPr>
        <w:t xml:space="preserve"> </w:t>
      </w:r>
      <w:r>
        <w:t>to</w:t>
      </w:r>
      <w:r>
        <w:rPr>
          <w:spacing w:val="-2"/>
        </w:rPr>
        <w:t xml:space="preserve"> </w:t>
      </w:r>
      <w:r>
        <w:t>engage</w:t>
      </w:r>
      <w:r>
        <w:rPr>
          <w:spacing w:val="-5"/>
        </w:rPr>
        <w:t xml:space="preserve"> </w:t>
      </w:r>
      <w:r>
        <w:t>in</w:t>
      </w:r>
      <w:r>
        <w:rPr>
          <w:spacing w:val="-3"/>
        </w:rPr>
        <w:t xml:space="preserve"> </w:t>
      </w:r>
      <w:r>
        <w:t>sexual</w:t>
      </w:r>
      <w:r>
        <w:rPr>
          <w:spacing w:val="-5"/>
        </w:rPr>
        <w:t xml:space="preserve"> </w:t>
      </w:r>
      <w:r>
        <w:t>activity</w:t>
      </w:r>
      <w:r>
        <w:rPr>
          <w:spacing w:val="-3"/>
        </w:rPr>
        <w:t xml:space="preserve"> </w:t>
      </w:r>
      <w:r>
        <w:t>under</w:t>
      </w:r>
      <w:r>
        <w:rPr>
          <w:spacing w:val="-3"/>
        </w:rPr>
        <w:t xml:space="preserve"> </w:t>
      </w:r>
      <w:r>
        <w:t>the influence</w:t>
      </w:r>
      <w:r>
        <w:rPr>
          <w:spacing w:val="-13"/>
        </w:rPr>
        <w:t xml:space="preserve"> </w:t>
      </w:r>
      <w:r>
        <w:t>of</w:t>
      </w:r>
      <w:r>
        <w:rPr>
          <w:spacing w:val="-12"/>
        </w:rPr>
        <w:t xml:space="preserve"> </w:t>
      </w:r>
      <w:r>
        <w:t>alcohol</w:t>
      </w:r>
      <w:r>
        <w:rPr>
          <w:spacing w:val="-13"/>
        </w:rPr>
        <w:t xml:space="preserve"> </w:t>
      </w:r>
      <w:r>
        <w:t>or</w:t>
      </w:r>
      <w:r>
        <w:rPr>
          <w:spacing w:val="-12"/>
        </w:rPr>
        <w:t xml:space="preserve"> </w:t>
      </w:r>
      <w:r>
        <w:t>drugs.</w:t>
      </w:r>
      <w:r>
        <w:rPr>
          <w:spacing w:val="-13"/>
        </w:rPr>
        <w:t xml:space="preserve"> </w:t>
      </w:r>
      <w:r>
        <w:t>Students</w:t>
      </w:r>
      <w:r>
        <w:rPr>
          <w:spacing w:val="-12"/>
        </w:rPr>
        <w:t xml:space="preserve"> </w:t>
      </w:r>
      <w:r>
        <w:t>who</w:t>
      </w:r>
      <w:r>
        <w:rPr>
          <w:spacing w:val="-13"/>
        </w:rPr>
        <w:t xml:space="preserve"> </w:t>
      </w:r>
      <w:r>
        <w:t>engage</w:t>
      </w:r>
      <w:r>
        <w:rPr>
          <w:spacing w:val="-12"/>
        </w:rPr>
        <w:t xml:space="preserve"> </w:t>
      </w:r>
      <w:r>
        <w:t>in</w:t>
      </w:r>
      <w:r>
        <w:rPr>
          <w:spacing w:val="-12"/>
        </w:rPr>
        <w:t xml:space="preserve"> </w:t>
      </w:r>
      <w:r>
        <w:t>risky</w:t>
      </w:r>
      <w:r>
        <w:rPr>
          <w:spacing w:val="-13"/>
        </w:rPr>
        <w:t xml:space="preserve"> </w:t>
      </w:r>
      <w:r>
        <w:t>behavior</w:t>
      </w:r>
      <w:r>
        <w:rPr>
          <w:spacing w:val="-12"/>
        </w:rPr>
        <w:t xml:space="preserve"> </w:t>
      </w:r>
      <w:r>
        <w:t>and</w:t>
      </w:r>
      <w:r>
        <w:rPr>
          <w:spacing w:val="-13"/>
        </w:rPr>
        <w:t xml:space="preserve"> </w:t>
      </w:r>
      <w:r>
        <w:t>receive</w:t>
      </w:r>
      <w:r>
        <w:rPr>
          <w:spacing w:val="-12"/>
        </w:rPr>
        <w:t xml:space="preserve"> </w:t>
      </w:r>
      <w:r>
        <w:t>destigmatizing</w:t>
      </w:r>
      <w:r>
        <w:rPr>
          <w:spacing w:val="-13"/>
        </w:rPr>
        <w:t xml:space="preserve"> </w:t>
      </w:r>
      <w:r>
        <w:t>HIV</w:t>
      </w:r>
      <w:r>
        <w:rPr>
          <w:spacing w:val="-12"/>
        </w:rPr>
        <w:t xml:space="preserve"> </w:t>
      </w:r>
      <w:r>
        <w:t>education are</w:t>
      </w:r>
      <w:r>
        <w:rPr>
          <w:spacing w:val="-12"/>
        </w:rPr>
        <w:t xml:space="preserve"> </w:t>
      </w:r>
      <w:r>
        <w:t>more</w:t>
      </w:r>
      <w:r>
        <w:rPr>
          <w:spacing w:val="-12"/>
        </w:rPr>
        <w:t xml:space="preserve"> </w:t>
      </w:r>
      <w:r>
        <w:t>likely</w:t>
      </w:r>
      <w:r>
        <w:rPr>
          <w:spacing w:val="-12"/>
        </w:rPr>
        <w:t xml:space="preserve"> </w:t>
      </w:r>
      <w:r>
        <w:t>to</w:t>
      </w:r>
      <w:r>
        <w:rPr>
          <w:spacing w:val="-12"/>
        </w:rPr>
        <w:t xml:space="preserve"> </w:t>
      </w:r>
      <w:r>
        <w:t>seek</w:t>
      </w:r>
      <w:r>
        <w:rPr>
          <w:spacing w:val="-12"/>
        </w:rPr>
        <w:t xml:space="preserve"> </w:t>
      </w:r>
      <w:r>
        <w:t>testing</w:t>
      </w:r>
      <w:r>
        <w:rPr>
          <w:spacing w:val="-11"/>
        </w:rPr>
        <w:t xml:space="preserve"> </w:t>
      </w:r>
      <w:r>
        <w:t>and</w:t>
      </w:r>
      <w:r>
        <w:rPr>
          <w:spacing w:val="-11"/>
        </w:rPr>
        <w:t xml:space="preserve"> </w:t>
      </w:r>
      <w:r>
        <w:t>treatment</w:t>
      </w:r>
      <w:r>
        <w:rPr>
          <w:spacing w:val="-12"/>
        </w:rPr>
        <w:t xml:space="preserve"> </w:t>
      </w:r>
      <w:r>
        <w:t>for</w:t>
      </w:r>
      <w:r>
        <w:rPr>
          <w:spacing w:val="-11"/>
        </w:rPr>
        <w:t xml:space="preserve"> </w:t>
      </w:r>
      <w:r>
        <w:t>STIs,</w:t>
      </w:r>
      <w:r>
        <w:rPr>
          <w:spacing w:val="-11"/>
        </w:rPr>
        <w:t xml:space="preserve"> </w:t>
      </w:r>
      <w:r>
        <w:t>decreasing</w:t>
      </w:r>
      <w:r>
        <w:rPr>
          <w:spacing w:val="-11"/>
        </w:rPr>
        <w:t xml:space="preserve"> </w:t>
      </w:r>
      <w:r>
        <w:t>their</w:t>
      </w:r>
      <w:r>
        <w:rPr>
          <w:spacing w:val="-11"/>
        </w:rPr>
        <w:t xml:space="preserve"> </w:t>
      </w:r>
      <w:r>
        <w:t>chances</w:t>
      </w:r>
      <w:r>
        <w:rPr>
          <w:spacing w:val="-12"/>
        </w:rPr>
        <w:t xml:space="preserve"> </w:t>
      </w:r>
      <w:r>
        <w:t>for</w:t>
      </w:r>
      <w:r>
        <w:rPr>
          <w:spacing w:val="-12"/>
        </w:rPr>
        <w:t xml:space="preserve"> </w:t>
      </w:r>
      <w:r>
        <w:t>complications</w:t>
      </w:r>
      <w:r>
        <w:rPr>
          <w:spacing w:val="-11"/>
        </w:rPr>
        <w:t xml:space="preserve"> </w:t>
      </w:r>
      <w:r>
        <w:t>and</w:t>
      </w:r>
      <w:r>
        <w:rPr>
          <w:spacing w:val="-12"/>
        </w:rPr>
        <w:t xml:space="preserve"> </w:t>
      </w:r>
      <w:r>
        <w:t>death</w:t>
      </w:r>
      <w:hyperlink w:anchor="_bookmark461" w:history="1">
        <w:r>
          <w:t>.</w:t>
        </w:r>
        <w:r>
          <w:rPr>
            <w:vertAlign w:val="superscript"/>
          </w:rPr>
          <w:t>43</w:t>
        </w:r>
      </w:hyperlink>
    </w:p>
    <w:p w:rsidR="00C76E6D" w:rsidRDefault="00C76E6D">
      <w:pPr>
        <w:pStyle w:val="BodyText"/>
        <w:spacing w:before="8"/>
        <w:rPr>
          <w:sz w:val="19"/>
        </w:rPr>
      </w:pPr>
    </w:p>
    <w:p w:rsidR="00C76E6D" w:rsidRDefault="00913831">
      <w:pPr>
        <w:pStyle w:val="BodyText"/>
        <w:ind w:left="338"/>
        <w:jc w:val="both"/>
      </w:pPr>
      <w:r>
        <w:rPr>
          <w:w w:val="95"/>
        </w:rPr>
        <w:t>In</w:t>
      </w:r>
      <w:r>
        <w:rPr>
          <w:spacing w:val="-1"/>
        </w:rPr>
        <w:t xml:space="preserve"> </w:t>
      </w:r>
      <w:r>
        <w:rPr>
          <w:w w:val="95"/>
        </w:rPr>
        <w:t>the</w:t>
      </w:r>
      <w:r>
        <w:rPr>
          <w:spacing w:val="-3"/>
          <w:w w:val="95"/>
        </w:rPr>
        <w:t xml:space="preserve"> </w:t>
      </w:r>
      <w:r>
        <w:rPr>
          <w:w w:val="95"/>
        </w:rPr>
        <w:t>US,</w:t>
      </w:r>
      <w:r>
        <w:rPr>
          <w:spacing w:val="-1"/>
          <w:w w:val="95"/>
        </w:rPr>
        <w:t xml:space="preserve"> </w:t>
      </w:r>
      <w:r>
        <w:rPr>
          <w:w w:val="95"/>
        </w:rPr>
        <w:t>only</w:t>
      </w:r>
      <w:r>
        <w:rPr>
          <w:spacing w:val="-2"/>
          <w:w w:val="95"/>
        </w:rPr>
        <w:t xml:space="preserve"> </w:t>
      </w:r>
      <w:r>
        <w:rPr>
          <w:w w:val="95"/>
        </w:rPr>
        <w:t>29</w:t>
      </w:r>
      <w:r>
        <w:rPr>
          <w:spacing w:val="-2"/>
        </w:rPr>
        <w:t xml:space="preserve"> </w:t>
      </w:r>
      <w:r>
        <w:rPr>
          <w:w w:val="95"/>
        </w:rPr>
        <w:t>states</w:t>
      </w:r>
      <w:r>
        <w:rPr>
          <w:spacing w:val="-3"/>
          <w:w w:val="95"/>
        </w:rPr>
        <w:t xml:space="preserve"> </w:t>
      </w:r>
      <w:r>
        <w:rPr>
          <w:w w:val="95"/>
        </w:rPr>
        <w:t>and</w:t>
      </w:r>
      <w:r>
        <w:rPr>
          <w:spacing w:val="-1"/>
          <w:w w:val="95"/>
        </w:rPr>
        <w:t xml:space="preserve"> </w:t>
      </w:r>
      <w:r>
        <w:rPr>
          <w:w w:val="95"/>
        </w:rPr>
        <w:t>D.C.</w:t>
      </w:r>
      <w:r>
        <w:rPr>
          <w:spacing w:val="-1"/>
        </w:rPr>
        <w:t xml:space="preserve"> </w:t>
      </w:r>
      <w:r>
        <w:rPr>
          <w:w w:val="95"/>
        </w:rPr>
        <w:t>mandate</w:t>
      </w:r>
      <w:r>
        <w:rPr>
          <w:spacing w:val="-3"/>
          <w:w w:val="95"/>
        </w:rPr>
        <w:t xml:space="preserve"> </w:t>
      </w:r>
      <w:r>
        <w:rPr>
          <w:w w:val="95"/>
        </w:rPr>
        <w:t>sexual</w:t>
      </w:r>
      <w:r>
        <w:rPr>
          <w:spacing w:val="12"/>
        </w:rPr>
        <w:t xml:space="preserve"> </w:t>
      </w:r>
      <w:r>
        <w:rPr>
          <w:w w:val="95"/>
        </w:rPr>
        <w:t>health</w:t>
      </w:r>
      <w:r>
        <w:rPr>
          <w:spacing w:val="8"/>
        </w:rPr>
        <w:t xml:space="preserve"> </w:t>
      </w:r>
      <w:r>
        <w:rPr>
          <w:w w:val="95"/>
        </w:rPr>
        <w:t>education</w:t>
      </w:r>
      <w:r>
        <w:rPr>
          <w:spacing w:val="10"/>
        </w:rPr>
        <w:t xml:space="preserve"> </w:t>
      </w:r>
      <w:r>
        <w:rPr>
          <w:w w:val="95"/>
        </w:rPr>
        <w:t>to</w:t>
      </w:r>
      <w:r>
        <w:rPr>
          <w:spacing w:val="9"/>
        </w:rPr>
        <w:t xml:space="preserve"> </w:t>
      </w:r>
      <w:r>
        <w:rPr>
          <w:w w:val="95"/>
        </w:rPr>
        <w:t>be</w:t>
      </w:r>
      <w:r>
        <w:rPr>
          <w:spacing w:val="9"/>
        </w:rPr>
        <w:t xml:space="preserve"> </w:t>
      </w:r>
      <w:r>
        <w:rPr>
          <w:w w:val="95"/>
        </w:rPr>
        <w:t>taught</w:t>
      </w:r>
      <w:r>
        <w:rPr>
          <w:spacing w:val="10"/>
        </w:rPr>
        <w:t xml:space="preserve"> </w:t>
      </w:r>
      <w:r>
        <w:rPr>
          <w:w w:val="95"/>
        </w:rPr>
        <w:t>in</w:t>
      </w:r>
      <w:r>
        <w:rPr>
          <w:spacing w:val="9"/>
        </w:rPr>
        <w:t xml:space="preserve"> </w:t>
      </w:r>
      <w:r>
        <w:rPr>
          <w:w w:val="95"/>
        </w:rPr>
        <w:t>schools,</w:t>
      </w:r>
      <w:r>
        <w:t xml:space="preserve"> </w:t>
      </w:r>
      <w:r>
        <w:rPr>
          <w:w w:val="95"/>
        </w:rPr>
        <w:t>while</w:t>
      </w:r>
      <w:r>
        <w:rPr>
          <w:spacing w:val="-1"/>
          <w:w w:val="95"/>
        </w:rPr>
        <w:t xml:space="preserve"> </w:t>
      </w:r>
      <w:r>
        <w:rPr>
          <w:w w:val="95"/>
        </w:rPr>
        <w:t>40</w:t>
      </w:r>
      <w:r>
        <w:rPr>
          <w:spacing w:val="-2"/>
        </w:rPr>
        <w:t xml:space="preserve"> </w:t>
      </w:r>
      <w:r>
        <w:rPr>
          <w:w w:val="95"/>
        </w:rPr>
        <w:t>states</w:t>
      </w:r>
      <w:r>
        <w:rPr>
          <w:spacing w:val="10"/>
        </w:rPr>
        <w:t xml:space="preserve"> </w:t>
      </w:r>
      <w:r>
        <w:rPr>
          <w:spacing w:val="-5"/>
          <w:w w:val="95"/>
        </w:rPr>
        <w:t>and</w:t>
      </w:r>
    </w:p>
    <w:p w:rsidR="00C76E6D" w:rsidRDefault="00913831">
      <w:pPr>
        <w:pStyle w:val="BodyText"/>
        <w:spacing w:before="40" w:line="276" w:lineRule="auto"/>
        <w:ind w:left="338" w:right="294"/>
        <w:jc w:val="both"/>
      </w:pPr>
      <w:r>
        <w:t>D.C. require school districts to involve parents in sex education, HIV education, or both. Consequently, the content and quality of the curricula will vary extensively. A content analysis of sexual health education indicated that 74% recommended abstinence</w:t>
      </w:r>
      <w:r>
        <w:t xml:space="preserve"> or abstinence-until-marriage sexual health education be stressed</w:t>
      </w:r>
      <w:r>
        <w:rPr>
          <w:spacing w:val="-13"/>
        </w:rPr>
        <w:t xml:space="preserve"> </w:t>
      </w:r>
      <w:r>
        <w:t>to</w:t>
      </w:r>
      <w:r>
        <w:rPr>
          <w:spacing w:val="-12"/>
        </w:rPr>
        <w:t xml:space="preserve"> </w:t>
      </w:r>
      <w:r>
        <w:t>students,</w:t>
      </w:r>
      <w:r>
        <w:rPr>
          <w:spacing w:val="-13"/>
        </w:rPr>
        <w:t xml:space="preserve"> </w:t>
      </w:r>
      <w:r>
        <w:t>a</w:t>
      </w:r>
      <w:r>
        <w:rPr>
          <w:spacing w:val="-12"/>
        </w:rPr>
        <w:t xml:space="preserve"> </w:t>
      </w:r>
      <w:r>
        <w:t>method</w:t>
      </w:r>
      <w:r>
        <w:rPr>
          <w:spacing w:val="-13"/>
        </w:rPr>
        <w:t xml:space="preserve"> </w:t>
      </w:r>
      <w:r>
        <w:t>that</w:t>
      </w:r>
      <w:r>
        <w:rPr>
          <w:spacing w:val="-12"/>
        </w:rPr>
        <w:t xml:space="preserve"> </w:t>
      </w:r>
      <w:r>
        <w:t>has</w:t>
      </w:r>
      <w:r>
        <w:rPr>
          <w:spacing w:val="-13"/>
        </w:rPr>
        <w:t xml:space="preserve"> </w:t>
      </w:r>
      <w:r>
        <w:t>widely</w:t>
      </w:r>
      <w:r>
        <w:rPr>
          <w:spacing w:val="-12"/>
        </w:rPr>
        <w:t xml:space="preserve"> </w:t>
      </w:r>
      <w:r>
        <w:t>been</w:t>
      </w:r>
      <w:r>
        <w:rPr>
          <w:spacing w:val="-12"/>
        </w:rPr>
        <w:t xml:space="preserve"> </w:t>
      </w:r>
      <w:r>
        <w:t>demonstrated</w:t>
      </w:r>
      <w:r>
        <w:rPr>
          <w:spacing w:val="-13"/>
        </w:rPr>
        <w:t xml:space="preserve"> </w:t>
      </w:r>
      <w:r>
        <w:t>to</w:t>
      </w:r>
      <w:r>
        <w:rPr>
          <w:spacing w:val="-12"/>
        </w:rPr>
        <w:t xml:space="preserve"> </w:t>
      </w:r>
      <w:r>
        <w:t>be</w:t>
      </w:r>
      <w:r>
        <w:rPr>
          <w:spacing w:val="-13"/>
        </w:rPr>
        <w:t xml:space="preserve"> </w:t>
      </w:r>
      <w:r>
        <w:t>ineffective</w:t>
      </w:r>
      <w:r>
        <w:rPr>
          <w:spacing w:val="-12"/>
        </w:rPr>
        <w:t xml:space="preserve"> </w:t>
      </w:r>
      <w:r>
        <w:t>at</w:t>
      </w:r>
      <w:r>
        <w:rPr>
          <w:spacing w:val="-13"/>
        </w:rPr>
        <w:t xml:space="preserve"> </w:t>
      </w:r>
      <w:r>
        <w:t>preventing</w:t>
      </w:r>
      <w:r>
        <w:rPr>
          <w:spacing w:val="-12"/>
        </w:rPr>
        <w:t xml:space="preserve"> </w:t>
      </w:r>
      <w:r>
        <w:t xml:space="preserve">unintended pregnancies and STIs. Over half of these states did not require education on contraceptive </w:t>
      </w:r>
      <w:r>
        <w:t>and barrier methods, and less than one-fourth required details about effectiveness, pros and cons, and instructions on their use to be taught. Only 42% included content related to healthy relationships, 54% required content about</w:t>
      </w:r>
      <w:r>
        <w:rPr>
          <w:spacing w:val="-9"/>
        </w:rPr>
        <w:t xml:space="preserve"> </w:t>
      </w:r>
      <w:r>
        <w:t>sexual</w:t>
      </w:r>
      <w:r>
        <w:rPr>
          <w:spacing w:val="-7"/>
        </w:rPr>
        <w:t xml:space="preserve"> </w:t>
      </w:r>
      <w:r>
        <w:t>violence,</w:t>
      </w:r>
      <w:r>
        <w:rPr>
          <w:spacing w:val="-10"/>
        </w:rPr>
        <w:t xml:space="preserve"> </w:t>
      </w:r>
      <w:r>
        <w:t>and</w:t>
      </w:r>
      <w:r>
        <w:rPr>
          <w:spacing w:val="-9"/>
        </w:rPr>
        <w:t xml:space="preserve"> </w:t>
      </w:r>
      <w:r>
        <w:t>36%</w:t>
      </w:r>
      <w:r>
        <w:rPr>
          <w:spacing w:val="-11"/>
        </w:rPr>
        <w:t xml:space="preserve"> </w:t>
      </w:r>
      <w:r>
        <w:t>r</w:t>
      </w:r>
      <w:r>
        <w:t>equired</w:t>
      </w:r>
      <w:r>
        <w:rPr>
          <w:spacing w:val="-9"/>
        </w:rPr>
        <w:t xml:space="preserve"> </w:t>
      </w:r>
      <w:r>
        <w:t>content</w:t>
      </w:r>
      <w:r>
        <w:rPr>
          <w:spacing w:val="-12"/>
        </w:rPr>
        <w:t xml:space="preserve"> </w:t>
      </w:r>
      <w:r>
        <w:t>specifically</w:t>
      </w:r>
      <w:r>
        <w:rPr>
          <w:spacing w:val="-8"/>
        </w:rPr>
        <w:t xml:space="preserve"> </w:t>
      </w:r>
      <w:r>
        <w:t>about</w:t>
      </w:r>
      <w:r>
        <w:rPr>
          <w:spacing w:val="-8"/>
        </w:rPr>
        <w:t xml:space="preserve"> </w:t>
      </w:r>
      <w:r>
        <w:t>sexual</w:t>
      </w:r>
      <w:r>
        <w:rPr>
          <w:spacing w:val="-12"/>
        </w:rPr>
        <w:t xml:space="preserve"> </w:t>
      </w:r>
      <w:r>
        <w:t>consent.</w:t>
      </w:r>
      <w:r>
        <w:rPr>
          <w:spacing w:val="-11"/>
        </w:rPr>
        <w:t xml:space="preserve"> </w:t>
      </w:r>
      <w:r>
        <w:t>About</w:t>
      </w:r>
      <w:r>
        <w:rPr>
          <w:spacing w:val="-11"/>
        </w:rPr>
        <w:t xml:space="preserve"> </w:t>
      </w:r>
      <w:r>
        <w:t>12%</w:t>
      </w:r>
      <w:r>
        <w:rPr>
          <w:spacing w:val="-10"/>
        </w:rPr>
        <w:t xml:space="preserve"> </w:t>
      </w:r>
      <w:r>
        <w:t>of</w:t>
      </w:r>
      <w:r>
        <w:rPr>
          <w:spacing w:val="-10"/>
        </w:rPr>
        <w:t xml:space="preserve"> </w:t>
      </w:r>
      <w:r>
        <w:t>states</w:t>
      </w:r>
      <w:r>
        <w:rPr>
          <w:spacing w:val="-10"/>
        </w:rPr>
        <w:t xml:space="preserve"> </w:t>
      </w:r>
      <w:r>
        <w:t>in</w:t>
      </w:r>
      <w:r>
        <w:rPr>
          <w:spacing w:val="-10"/>
        </w:rPr>
        <w:t xml:space="preserve"> </w:t>
      </w:r>
      <w:r>
        <w:t>the US</w:t>
      </w:r>
      <w:r>
        <w:rPr>
          <w:spacing w:val="-3"/>
        </w:rPr>
        <w:t xml:space="preserve"> </w:t>
      </w:r>
      <w:r>
        <w:t>have</w:t>
      </w:r>
      <w:r>
        <w:rPr>
          <w:spacing w:val="-4"/>
        </w:rPr>
        <w:t xml:space="preserve"> </w:t>
      </w:r>
      <w:r>
        <w:t>sexual</w:t>
      </w:r>
      <w:r>
        <w:rPr>
          <w:spacing w:val="-4"/>
        </w:rPr>
        <w:t xml:space="preserve"> </w:t>
      </w:r>
      <w:r>
        <w:t>health</w:t>
      </w:r>
      <w:r>
        <w:rPr>
          <w:spacing w:val="-3"/>
        </w:rPr>
        <w:t xml:space="preserve"> </w:t>
      </w:r>
      <w:r>
        <w:t>education</w:t>
      </w:r>
      <w:r>
        <w:rPr>
          <w:spacing w:val="-3"/>
        </w:rPr>
        <w:t xml:space="preserve"> </w:t>
      </w:r>
      <w:r>
        <w:t>policies</w:t>
      </w:r>
      <w:r>
        <w:rPr>
          <w:spacing w:val="-3"/>
        </w:rPr>
        <w:t xml:space="preserve"> </w:t>
      </w:r>
      <w:r>
        <w:t>that</w:t>
      </w:r>
      <w:r>
        <w:rPr>
          <w:spacing w:val="-3"/>
        </w:rPr>
        <w:t xml:space="preserve"> </w:t>
      </w:r>
      <w:r>
        <w:t>explicitly</w:t>
      </w:r>
      <w:r>
        <w:rPr>
          <w:spacing w:val="-3"/>
        </w:rPr>
        <w:t xml:space="preserve"> </w:t>
      </w:r>
      <w:r>
        <w:t>stigmatize</w:t>
      </w:r>
      <w:r>
        <w:rPr>
          <w:spacing w:val="-2"/>
        </w:rPr>
        <w:t xml:space="preserve"> </w:t>
      </w:r>
      <w:r>
        <w:t>homosexuality,</w:t>
      </w:r>
      <w:r>
        <w:rPr>
          <w:spacing w:val="-4"/>
        </w:rPr>
        <w:t xml:space="preserve"> </w:t>
      </w:r>
      <w:r>
        <w:t>while</w:t>
      </w:r>
      <w:r>
        <w:rPr>
          <w:spacing w:val="-4"/>
        </w:rPr>
        <w:t xml:space="preserve"> </w:t>
      </w:r>
      <w:r>
        <w:t>10% require</w:t>
      </w:r>
      <w:r>
        <w:rPr>
          <w:spacing w:val="-3"/>
        </w:rPr>
        <w:t xml:space="preserve"> </w:t>
      </w:r>
      <w:r>
        <w:t>that</w:t>
      </w:r>
      <w:r>
        <w:rPr>
          <w:spacing w:val="-4"/>
        </w:rPr>
        <w:t xml:space="preserve"> </w:t>
      </w:r>
      <w:r>
        <w:t>sex education classes be separated based on biological sex which stigmatizes transgender students</w:t>
      </w:r>
      <w:hyperlink w:anchor="_bookmark462" w:history="1">
        <w:r>
          <w:t>.</w:t>
        </w:r>
        <w:r>
          <w:rPr>
            <w:vertAlign w:val="superscript"/>
          </w:rPr>
          <w:t>44</w:t>
        </w:r>
      </w:hyperlink>
    </w:p>
    <w:p w:rsidR="00C76E6D" w:rsidRDefault="00C76E6D">
      <w:pPr>
        <w:pStyle w:val="BodyText"/>
        <w:spacing w:before="7"/>
        <w:rPr>
          <w:sz w:val="19"/>
        </w:rPr>
      </w:pPr>
    </w:p>
    <w:p w:rsidR="00C76E6D" w:rsidRDefault="00913831">
      <w:pPr>
        <w:pStyle w:val="BodyText"/>
        <w:spacing w:line="276" w:lineRule="auto"/>
        <w:ind w:left="338" w:right="291" w:hanging="1"/>
        <w:jc w:val="both"/>
      </w:pPr>
      <w:r>
        <w:t>Nevertheless,</w:t>
      </w:r>
      <w:r>
        <w:rPr>
          <w:spacing w:val="-4"/>
        </w:rPr>
        <w:t xml:space="preserve"> </w:t>
      </w:r>
      <w:r>
        <w:t>24%</w:t>
      </w:r>
      <w:r>
        <w:rPr>
          <w:spacing w:val="-4"/>
        </w:rPr>
        <w:t xml:space="preserve"> </w:t>
      </w:r>
      <w:r>
        <w:t>of</w:t>
      </w:r>
      <w:r>
        <w:rPr>
          <w:spacing w:val="-4"/>
        </w:rPr>
        <w:t xml:space="preserve"> </w:t>
      </w:r>
      <w:r>
        <w:t>sexual</w:t>
      </w:r>
      <w:r>
        <w:rPr>
          <w:spacing w:val="-4"/>
        </w:rPr>
        <w:t xml:space="preserve"> </w:t>
      </w:r>
      <w:r>
        <w:t>education</w:t>
      </w:r>
      <w:r>
        <w:rPr>
          <w:spacing w:val="-4"/>
        </w:rPr>
        <w:t xml:space="preserve"> </w:t>
      </w:r>
      <w:r>
        <w:t>curricula</w:t>
      </w:r>
      <w:r>
        <w:rPr>
          <w:spacing w:val="-4"/>
        </w:rPr>
        <w:t xml:space="preserve"> </w:t>
      </w:r>
      <w:r>
        <w:t>require</w:t>
      </w:r>
      <w:r>
        <w:rPr>
          <w:spacing w:val="-3"/>
        </w:rPr>
        <w:t xml:space="preserve"> </w:t>
      </w:r>
      <w:r>
        <w:t>content</w:t>
      </w:r>
      <w:r>
        <w:rPr>
          <w:spacing w:val="-4"/>
        </w:rPr>
        <w:t xml:space="preserve"> </w:t>
      </w:r>
      <w:r>
        <w:t>that</w:t>
      </w:r>
      <w:r>
        <w:rPr>
          <w:spacing w:val="-4"/>
        </w:rPr>
        <w:t xml:space="preserve"> </w:t>
      </w:r>
      <w:r>
        <w:t>includes</w:t>
      </w:r>
      <w:r>
        <w:rPr>
          <w:spacing w:val="-2"/>
        </w:rPr>
        <w:t xml:space="preserve"> </w:t>
      </w:r>
      <w:r>
        <w:t>diversity</w:t>
      </w:r>
      <w:r>
        <w:rPr>
          <w:spacing w:val="-4"/>
        </w:rPr>
        <w:t xml:space="preserve"> </w:t>
      </w:r>
      <w:r>
        <w:t>of</w:t>
      </w:r>
      <w:r>
        <w:rPr>
          <w:spacing w:val="-4"/>
        </w:rPr>
        <w:t xml:space="preserve"> </w:t>
      </w:r>
      <w:r>
        <w:t>sexual</w:t>
      </w:r>
      <w:r>
        <w:rPr>
          <w:spacing w:val="-2"/>
        </w:rPr>
        <w:t xml:space="preserve"> </w:t>
      </w:r>
      <w:r>
        <w:t>orientation, and 14% wer</w:t>
      </w:r>
      <w:r>
        <w:t>e found to be inclusive of different gender identities. Abstinence-based programs and sexual health education that are not inclusive of sexual orientation and gender identity leave youth ill-equipped to make informed choices about their sexual and romantic</w:t>
      </w:r>
      <w:r>
        <w:t xml:space="preserve"> health, leading to deep health inequities. More worrisome is that research also shows that instances of sexual assault can be construed as normal by youth lacking</w:t>
      </w:r>
      <w:r>
        <w:rPr>
          <w:spacing w:val="-11"/>
        </w:rPr>
        <w:t xml:space="preserve"> </w:t>
      </w:r>
      <w:r>
        <w:t>the</w:t>
      </w:r>
      <w:r>
        <w:rPr>
          <w:spacing w:val="-4"/>
        </w:rPr>
        <w:t xml:space="preserve"> </w:t>
      </w:r>
      <w:r>
        <w:t>proper</w:t>
      </w:r>
      <w:r>
        <w:rPr>
          <w:spacing w:val="-4"/>
        </w:rPr>
        <w:t xml:space="preserve"> </w:t>
      </w:r>
      <w:r>
        <w:t>education</w:t>
      </w:r>
      <w:hyperlink w:anchor="_bookmark463" w:history="1">
        <w:r>
          <w:t>.</w:t>
        </w:r>
        <w:r>
          <w:rPr>
            <w:vertAlign w:val="superscript"/>
          </w:rPr>
          <w:t>45</w:t>
        </w:r>
        <w:r>
          <w:rPr>
            <w:spacing w:val="-5"/>
          </w:rPr>
          <w:t xml:space="preserve"> </w:t>
        </w:r>
      </w:hyperlink>
      <w:r>
        <w:t>While</w:t>
      </w:r>
      <w:r>
        <w:rPr>
          <w:spacing w:val="-12"/>
        </w:rPr>
        <w:t xml:space="preserve"> </w:t>
      </w:r>
      <w:r>
        <w:t>sexual</w:t>
      </w:r>
      <w:r>
        <w:rPr>
          <w:spacing w:val="-12"/>
        </w:rPr>
        <w:t xml:space="preserve"> </w:t>
      </w:r>
      <w:r>
        <w:t>health</w:t>
      </w:r>
      <w:r>
        <w:rPr>
          <w:spacing w:val="-10"/>
        </w:rPr>
        <w:t xml:space="preserve"> </w:t>
      </w:r>
      <w:r>
        <w:t>education</w:t>
      </w:r>
      <w:r>
        <w:rPr>
          <w:spacing w:val="-13"/>
        </w:rPr>
        <w:t xml:space="preserve"> </w:t>
      </w:r>
      <w:r>
        <w:t>is</w:t>
      </w:r>
      <w:r>
        <w:rPr>
          <w:spacing w:val="-11"/>
        </w:rPr>
        <w:t xml:space="preserve"> </w:t>
      </w:r>
      <w:r>
        <w:t>a</w:t>
      </w:r>
      <w:r>
        <w:rPr>
          <w:spacing w:val="-11"/>
        </w:rPr>
        <w:t xml:space="preserve"> </w:t>
      </w:r>
      <w:r>
        <w:t>good</w:t>
      </w:r>
      <w:r>
        <w:rPr>
          <w:spacing w:val="-12"/>
        </w:rPr>
        <w:t xml:space="preserve"> </w:t>
      </w:r>
      <w:r>
        <w:t>predictor</w:t>
      </w:r>
      <w:r>
        <w:rPr>
          <w:spacing w:val="-12"/>
        </w:rPr>
        <w:t xml:space="preserve"> </w:t>
      </w:r>
      <w:r>
        <w:t>of</w:t>
      </w:r>
      <w:r>
        <w:rPr>
          <w:spacing w:val="-12"/>
        </w:rPr>
        <w:t xml:space="preserve"> </w:t>
      </w:r>
      <w:r>
        <w:t>protective</w:t>
      </w:r>
      <w:r>
        <w:rPr>
          <w:spacing w:val="-12"/>
        </w:rPr>
        <w:t xml:space="preserve"> </w:t>
      </w:r>
      <w:r>
        <w:t>factors</w:t>
      </w:r>
      <w:r>
        <w:rPr>
          <w:spacing w:val="-12"/>
        </w:rPr>
        <w:t xml:space="preserve"> </w:t>
      </w:r>
      <w:r>
        <w:t xml:space="preserve">against STIs and pregnancy, the quality of sexual health education must also be taken into account to serve LGBTQ </w:t>
      </w:r>
      <w:r>
        <w:rPr>
          <w:spacing w:val="-2"/>
        </w:rPr>
        <w:t>youth.</w:t>
      </w:r>
    </w:p>
    <w:p w:rsidR="00C76E6D" w:rsidRDefault="00C76E6D">
      <w:pPr>
        <w:pStyle w:val="BodyText"/>
        <w:spacing w:before="8"/>
        <w:rPr>
          <w:sz w:val="19"/>
        </w:rPr>
      </w:pPr>
    </w:p>
    <w:p w:rsidR="00C76E6D" w:rsidRDefault="00913831">
      <w:pPr>
        <w:pStyle w:val="BodyText"/>
        <w:spacing w:line="276" w:lineRule="auto"/>
        <w:ind w:left="338" w:right="291"/>
        <w:jc w:val="both"/>
      </w:pPr>
      <w:r>
        <w:t>In</w:t>
      </w:r>
      <w:r>
        <w:rPr>
          <w:spacing w:val="-10"/>
        </w:rPr>
        <w:t xml:space="preserve"> </w:t>
      </w:r>
      <w:r>
        <w:t>Massachusetts,</w:t>
      </w:r>
      <w:r>
        <w:rPr>
          <w:spacing w:val="-10"/>
        </w:rPr>
        <w:t xml:space="preserve"> </w:t>
      </w:r>
      <w:r>
        <w:t>schools</w:t>
      </w:r>
      <w:r>
        <w:rPr>
          <w:spacing w:val="-10"/>
        </w:rPr>
        <w:t xml:space="preserve"> </w:t>
      </w:r>
      <w:r>
        <w:t>are</w:t>
      </w:r>
      <w:r>
        <w:rPr>
          <w:spacing w:val="-11"/>
        </w:rPr>
        <w:t xml:space="preserve"> </w:t>
      </w:r>
      <w:r>
        <w:t>not</w:t>
      </w:r>
      <w:r>
        <w:rPr>
          <w:spacing w:val="-10"/>
        </w:rPr>
        <w:t xml:space="preserve"> </w:t>
      </w:r>
      <w:r>
        <w:t>required</w:t>
      </w:r>
      <w:r>
        <w:rPr>
          <w:spacing w:val="-10"/>
        </w:rPr>
        <w:t xml:space="preserve"> </w:t>
      </w:r>
      <w:r>
        <w:t>to</w:t>
      </w:r>
      <w:r>
        <w:rPr>
          <w:spacing w:val="-8"/>
        </w:rPr>
        <w:t xml:space="preserve"> </w:t>
      </w:r>
      <w:r>
        <w:t>teach</w:t>
      </w:r>
      <w:r>
        <w:rPr>
          <w:spacing w:val="-10"/>
        </w:rPr>
        <w:t xml:space="preserve"> </w:t>
      </w:r>
      <w:r>
        <w:t>sex</w:t>
      </w:r>
      <w:r>
        <w:rPr>
          <w:spacing w:val="-10"/>
        </w:rPr>
        <w:t xml:space="preserve"> </w:t>
      </w:r>
      <w:r>
        <w:t>education</w:t>
      </w:r>
      <w:r>
        <w:rPr>
          <w:spacing w:val="-8"/>
        </w:rPr>
        <w:t xml:space="preserve"> </w:t>
      </w:r>
      <w:r>
        <w:t>comprehensively,</w:t>
      </w:r>
      <w:r>
        <w:rPr>
          <w:spacing w:val="-10"/>
        </w:rPr>
        <w:t xml:space="preserve"> </w:t>
      </w:r>
      <w:r>
        <w:t>and</w:t>
      </w:r>
      <w:r>
        <w:rPr>
          <w:spacing w:val="-9"/>
        </w:rPr>
        <w:t xml:space="preserve"> </w:t>
      </w:r>
      <w:r>
        <w:t>the</w:t>
      </w:r>
      <w:r>
        <w:rPr>
          <w:spacing w:val="-8"/>
        </w:rPr>
        <w:t xml:space="preserve"> </w:t>
      </w:r>
      <w:r>
        <w:t>curriculum</w:t>
      </w:r>
      <w:r>
        <w:rPr>
          <w:spacing w:val="-9"/>
        </w:rPr>
        <w:t xml:space="preserve"> </w:t>
      </w:r>
      <w:r>
        <w:t>must explain the benefits of abstinence; no information on sexual orientation or identity is required, nor information on sexual consent. Additionally, parents or guardians can exempt their children from sexual education through written notice t</w:t>
      </w:r>
      <w:r>
        <w:t>o principals</w:t>
      </w:r>
      <w:hyperlink w:anchor="_bookmark464" w:history="1">
        <w:r>
          <w:t>.</w:t>
        </w:r>
        <w:r>
          <w:rPr>
            <w:vertAlign w:val="superscript"/>
          </w:rPr>
          <w:t>46</w:t>
        </w:r>
      </w:hyperlink>
    </w:p>
    <w:p w:rsidR="00C76E6D" w:rsidRDefault="00C76E6D">
      <w:pPr>
        <w:pStyle w:val="BodyText"/>
        <w:spacing w:before="9"/>
        <w:rPr>
          <w:sz w:val="19"/>
        </w:rPr>
      </w:pPr>
    </w:p>
    <w:p w:rsidR="00C76E6D" w:rsidRDefault="00913831">
      <w:pPr>
        <w:pStyle w:val="BodyText"/>
        <w:spacing w:line="276" w:lineRule="auto"/>
        <w:ind w:left="339" w:right="294" w:hanging="1"/>
        <w:jc w:val="both"/>
      </w:pPr>
      <w:r>
        <w:t>The</w:t>
      </w:r>
      <w:r>
        <w:rPr>
          <w:spacing w:val="-8"/>
        </w:rPr>
        <w:t xml:space="preserve"> </w:t>
      </w:r>
      <w:r>
        <w:t>CDC</w:t>
      </w:r>
      <w:r>
        <w:rPr>
          <w:spacing w:val="-5"/>
        </w:rPr>
        <w:t xml:space="preserve"> </w:t>
      </w:r>
      <w:r>
        <w:t>lists</w:t>
      </w:r>
      <w:r>
        <w:rPr>
          <w:spacing w:val="-3"/>
        </w:rPr>
        <w:t xml:space="preserve"> </w:t>
      </w:r>
      <w:r>
        <w:rPr>
          <w:b/>
        </w:rPr>
        <w:t>20</w:t>
      </w:r>
      <w:r>
        <w:rPr>
          <w:b/>
          <w:spacing w:val="-2"/>
        </w:rPr>
        <w:t xml:space="preserve"> </w:t>
      </w:r>
      <w:r>
        <w:rPr>
          <w:b/>
        </w:rPr>
        <w:t>critical</w:t>
      </w:r>
      <w:r>
        <w:rPr>
          <w:b/>
          <w:spacing w:val="-3"/>
        </w:rPr>
        <w:t xml:space="preserve"> </w:t>
      </w:r>
      <w:r>
        <w:rPr>
          <w:b/>
        </w:rPr>
        <w:t>sexual</w:t>
      </w:r>
      <w:r>
        <w:rPr>
          <w:b/>
          <w:spacing w:val="-1"/>
        </w:rPr>
        <w:t xml:space="preserve"> </w:t>
      </w:r>
      <w:r>
        <w:rPr>
          <w:b/>
        </w:rPr>
        <w:t>education</w:t>
      </w:r>
      <w:r>
        <w:rPr>
          <w:b/>
          <w:spacing w:val="-3"/>
        </w:rPr>
        <w:t xml:space="preserve"> </w:t>
      </w:r>
      <w:r>
        <w:rPr>
          <w:b/>
        </w:rPr>
        <w:t>topics</w:t>
      </w:r>
      <w:r>
        <w:rPr>
          <w:b/>
          <w:spacing w:val="-1"/>
        </w:rPr>
        <w:t xml:space="preserve"> </w:t>
      </w:r>
      <w:r>
        <w:rPr>
          <w:b/>
        </w:rPr>
        <w:t>for</w:t>
      </w:r>
      <w:r>
        <w:rPr>
          <w:b/>
          <w:spacing w:val="-1"/>
        </w:rPr>
        <w:t xml:space="preserve"> </w:t>
      </w:r>
      <w:r>
        <w:rPr>
          <w:b/>
        </w:rPr>
        <w:t>youth</w:t>
      </w:r>
      <w:r>
        <w:t>.</w:t>
      </w:r>
      <w:r>
        <w:rPr>
          <w:spacing w:val="-5"/>
        </w:rPr>
        <w:t xml:space="preserve"> </w:t>
      </w:r>
      <w:r>
        <w:t>Below</w:t>
      </w:r>
      <w:r>
        <w:rPr>
          <w:spacing w:val="-4"/>
        </w:rPr>
        <w:t xml:space="preserve"> </w:t>
      </w:r>
      <w:r>
        <w:t>is</w:t>
      </w:r>
      <w:r>
        <w:rPr>
          <w:spacing w:val="-5"/>
        </w:rPr>
        <w:t xml:space="preserve"> </w:t>
      </w:r>
      <w:r>
        <w:t>listed</w:t>
      </w:r>
      <w:r>
        <w:rPr>
          <w:spacing w:val="-5"/>
        </w:rPr>
        <w:t xml:space="preserve"> </w:t>
      </w:r>
      <w:r>
        <w:t>a</w:t>
      </w:r>
      <w:r>
        <w:rPr>
          <w:spacing w:val="-5"/>
        </w:rPr>
        <w:t xml:space="preserve"> </w:t>
      </w:r>
      <w:r>
        <w:t>selection</w:t>
      </w:r>
      <w:r>
        <w:rPr>
          <w:spacing w:val="-6"/>
        </w:rPr>
        <w:t xml:space="preserve"> </w:t>
      </w:r>
      <w:r>
        <w:t>of</w:t>
      </w:r>
      <w:r>
        <w:rPr>
          <w:spacing w:val="-4"/>
        </w:rPr>
        <w:t xml:space="preserve"> </w:t>
      </w:r>
      <w:r>
        <w:t>sexual</w:t>
      </w:r>
      <w:r>
        <w:rPr>
          <w:spacing w:val="-5"/>
        </w:rPr>
        <w:t xml:space="preserve"> </w:t>
      </w:r>
      <w:r>
        <w:t>health</w:t>
      </w:r>
      <w:r>
        <w:rPr>
          <w:spacing w:val="-9"/>
        </w:rPr>
        <w:t xml:space="preserve"> </w:t>
      </w:r>
      <w:r>
        <w:t>related data</w:t>
      </w:r>
      <w:r>
        <w:rPr>
          <w:spacing w:val="-8"/>
        </w:rPr>
        <w:t xml:space="preserve"> </w:t>
      </w:r>
      <w:r>
        <w:t>from</w:t>
      </w:r>
      <w:r>
        <w:rPr>
          <w:spacing w:val="-9"/>
        </w:rPr>
        <w:t xml:space="preserve"> </w:t>
      </w:r>
      <w:r>
        <w:t>Massachusetts</w:t>
      </w:r>
      <w:r>
        <w:rPr>
          <w:spacing w:val="-8"/>
        </w:rPr>
        <w:t xml:space="preserve"> </w:t>
      </w:r>
      <w:r>
        <w:t>School</w:t>
      </w:r>
      <w:r>
        <w:rPr>
          <w:spacing w:val="-9"/>
        </w:rPr>
        <w:t xml:space="preserve"> </w:t>
      </w:r>
      <w:r>
        <w:t>Health</w:t>
      </w:r>
      <w:r>
        <w:rPr>
          <w:spacing w:val="-5"/>
        </w:rPr>
        <w:t xml:space="preserve"> </w:t>
      </w:r>
      <w:r>
        <w:t>Profiles</w:t>
      </w:r>
      <w:r>
        <w:rPr>
          <w:spacing w:val="-9"/>
        </w:rPr>
        <w:t xml:space="preserve"> </w:t>
      </w:r>
      <w:r>
        <w:t>as</w:t>
      </w:r>
      <w:r>
        <w:rPr>
          <w:spacing w:val="-8"/>
        </w:rPr>
        <w:t xml:space="preserve"> </w:t>
      </w:r>
      <w:r>
        <w:t>collected</w:t>
      </w:r>
      <w:r>
        <w:rPr>
          <w:spacing w:val="-9"/>
        </w:rPr>
        <w:t xml:space="preserve"> </w:t>
      </w:r>
      <w:r>
        <w:t>through</w:t>
      </w:r>
      <w:r>
        <w:rPr>
          <w:spacing w:val="-10"/>
        </w:rPr>
        <w:t xml:space="preserve"> </w:t>
      </w:r>
      <w:r>
        <w:t>surveys</w:t>
      </w:r>
      <w:r>
        <w:rPr>
          <w:spacing w:val="-8"/>
        </w:rPr>
        <w:t xml:space="preserve"> </w:t>
      </w:r>
      <w:r>
        <w:t>given</w:t>
      </w:r>
      <w:r>
        <w:rPr>
          <w:spacing w:val="-3"/>
        </w:rPr>
        <w:t xml:space="preserve"> </w:t>
      </w:r>
      <w:r>
        <w:t>to</w:t>
      </w:r>
      <w:r>
        <w:rPr>
          <w:spacing w:val="-3"/>
        </w:rPr>
        <w:t xml:space="preserve"> </w:t>
      </w:r>
      <w:r>
        <w:t>principals</w:t>
      </w:r>
      <w:r>
        <w:rPr>
          <w:spacing w:val="-4"/>
        </w:rPr>
        <w:t xml:space="preserve"> </w:t>
      </w:r>
      <w:r>
        <w:t>and</w:t>
      </w:r>
      <w:r>
        <w:rPr>
          <w:spacing w:val="-3"/>
        </w:rPr>
        <w:t xml:space="preserve"> </w:t>
      </w:r>
      <w:r>
        <w:t>teachers by the</w:t>
      </w:r>
      <w:r>
        <w:rPr>
          <w:spacing w:val="-1"/>
        </w:rPr>
        <w:t xml:space="preserve"> </w:t>
      </w:r>
      <w:r>
        <w:t>CDC between</w:t>
      </w:r>
      <w:r>
        <w:rPr>
          <w:spacing w:val="-1"/>
        </w:rPr>
        <w:t xml:space="preserve"> </w:t>
      </w:r>
      <w:r>
        <w:t>2017 and</w:t>
      </w:r>
      <w:r>
        <w:rPr>
          <w:spacing w:val="-2"/>
        </w:rPr>
        <w:t xml:space="preserve"> </w:t>
      </w:r>
      <w:r>
        <w:t>2018 with</w:t>
      </w:r>
      <w:r>
        <w:rPr>
          <w:spacing w:val="-2"/>
        </w:rPr>
        <w:t xml:space="preserve"> </w:t>
      </w:r>
      <w:r>
        <w:t>a 72% response</w:t>
      </w:r>
      <w:r>
        <w:rPr>
          <w:spacing w:val="-2"/>
        </w:rPr>
        <w:t xml:space="preserve"> </w:t>
      </w:r>
      <w:r>
        <w:t>rate from</w:t>
      </w:r>
      <w:r>
        <w:rPr>
          <w:spacing w:val="-1"/>
        </w:rPr>
        <w:t xml:space="preserve"> </w:t>
      </w:r>
      <w:r>
        <w:t>principals and</w:t>
      </w:r>
      <w:r>
        <w:rPr>
          <w:spacing w:val="-2"/>
        </w:rPr>
        <w:t xml:space="preserve"> </w:t>
      </w:r>
      <w:r>
        <w:t>a 75% response</w:t>
      </w:r>
      <w:r>
        <w:rPr>
          <w:spacing w:val="-2"/>
        </w:rPr>
        <w:t xml:space="preserve"> </w:t>
      </w:r>
      <w:r>
        <w:t xml:space="preserve">rate from </w:t>
      </w:r>
      <w:r>
        <w:rPr>
          <w:spacing w:val="-2"/>
        </w:rPr>
        <w:t>teachers.</w:t>
      </w:r>
      <w:r>
        <w:rPr>
          <w:spacing w:val="-2"/>
          <w:vertAlign w:val="superscript"/>
        </w:rPr>
        <w:t>58</w:t>
      </w:r>
    </w:p>
    <w:p w:rsidR="00C76E6D" w:rsidRDefault="00C76E6D">
      <w:pPr>
        <w:pStyle w:val="BodyText"/>
        <w:spacing w:before="5"/>
        <w:rPr>
          <w:sz w:val="26"/>
        </w:rPr>
      </w:pPr>
    </w:p>
    <w:p w:rsidR="00C76E6D" w:rsidRDefault="00913831">
      <w:pPr>
        <w:pStyle w:val="Heading6"/>
        <w:ind w:left="338"/>
        <w:jc w:val="both"/>
      </w:pPr>
      <w:bookmarkStart w:id="566" w:name="Reported_teaching_all_20_critical_sexual"/>
      <w:bookmarkEnd w:id="566"/>
      <w:r>
        <w:rPr>
          <w:w w:val="95"/>
        </w:rPr>
        <w:t>Reported</w:t>
      </w:r>
      <w:r>
        <w:rPr>
          <w:spacing w:val="8"/>
        </w:rPr>
        <w:t xml:space="preserve"> </w:t>
      </w:r>
      <w:r>
        <w:rPr>
          <w:w w:val="95"/>
        </w:rPr>
        <w:t>teaching</w:t>
      </w:r>
      <w:r>
        <w:rPr>
          <w:spacing w:val="9"/>
        </w:rPr>
        <w:t xml:space="preserve"> </w:t>
      </w:r>
      <w:r>
        <w:rPr>
          <w:w w:val="95"/>
        </w:rPr>
        <w:t>all</w:t>
      </w:r>
      <w:r>
        <w:rPr>
          <w:spacing w:val="12"/>
        </w:rPr>
        <w:t xml:space="preserve"> </w:t>
      </w:r>
      <w:r>
        <w:rPr>
          <w:w w:val="95"/>
        </w:rPr>
        <w:t>20</w:t>
      </w:r>
      <w:r>
        <w:rPr>
          <w:spacing w:val="10"/>
        </w:rPr>
        <w:t xml:space="preserve"> </w:t>
      </w:r>
      <w:r>
        <w:rPr>
          <w:w w:val="95"/>
        </w:rPr>
        <w:t>critical</w:t>
      </w:r>
      <w:r>
        <w:rPr>
          <w:spacing w:val="8"/>
        </w:rPr>
        <w:t xml:space="preserve"> </w:t>
      </w:r>
      <w:r>
        <w:rPr>
          <w:w w:val="95"/>
        </w:rPr>
        <w:t>sexual</w:t>
      </w:r>
      <w:r>
        <w:rPr>
          <w:spacing w:val="12"/>
        </w:rPr>
        <w:t xml:space="preserve"> </w:t>
      </w:r>
      <w:r>
        <w:rPr>
          <w:w w:val="95"/>
        </w:rPr>
        <w:t>health</w:t>
      </w:r>
      <w:r>
        <w:rPr>
          <w:spacing w:val="9"/>
        </w:rPr>
        <w:t xml:space="preserve"> </w:t>
      </w:r>
      <w:r>
        <w:rPr>
          <w:w w:val="95"/>
        </w:rPr>
        <w:t>education</w:t>
      </w:r>
      <w:r>
        <w:rPr>
          <w:spacing w:val="10"/>
        </w:rPr>
        <w:t xml:space="preserve"> </w:t>
      </w:r>
      <w:r>
        <w:rPr>
          <w:spacing w:val="-2"/>
          <w:w w:val="95"/>
        </w:rPr>
        <w:t>topics:</w:t>
      </w:r>
    </w:p>
    <w:p w:rsidR="00C76E6D" w:rsidRDefault="00C76E6D">
      <w:pPr>
        <w:pStyle w:val="BodyText"/>
        <w:spacing w:before="6"/>
        <w:rPr>
          <w:b/>
          <w:sz w:val="29"/>
        </w:rPr>
      </w:pPr>
    </w:p>
    <w:p w:rsidR="00C76E6D" w:rsidRDefault="00913831">
      <w:pPr>
        <w:pStyle w:val="ListParagraph"/>
        <w:numPr>
          <w:ilvl w:val="0"/>
          <w:numId w:val="34"/>
        </w:numPr>
        <w:tabs>
          <w:tab w:val="left" w:pos="842"/>
          <w:tab w:val="left" w:pos="843"/>
        </w:tabs>
        <w:spacing w:line="271" w:lineRule="auto"/>
        <w:ind w:right="396"/>
      </w:pPr>
      <w:r>
        <w:t>27.6%</w:t>
      </w:r>
      <w:r>
        <w:rPr>
          <w:spacing w:val="35"/>
        </w:rPr>
        <w:t xml:space="preserve"> </w:t>
      </w:r>
      <w:r>
        <w:t>of</w:t>
      </w:r>
      <w:r>
        <w:rPr>
          <w:spacing w:val="36"/>
        </w:rPr>
        <w:t xml:space="preserve"> </w:t>
      </w:r>
      <w:r>
        <w:t>Massachusetts</w:t>
      </w:r>
      <w:r>
        <w:rPr>
          <w:spacing w:val="37"/>
        </w:rPr>
        <w:t xml:space="preserve"> </w:t>
      </w:r>
      <w:r>
        <w:t>secondary</w:t>
      </w:r>
      <w:r>
        <w:rPr>
          <w:spacing w:val="36"/>
        </w:rPr>
        <w:t xml:space="preserve"> </w:t>
      </w:r>
      <w:r>
        <w:t>schools</w:t>
      </w:r>
      <w:r>
        <w:rPr>
          <w:spacing w:val="35"/>
        </w:rPr>
        <w:t xml:space="preserve"> </w:t>
      </w:r>
      <w:r>
        <w:t>taught</w:t>
      </w:r>
      <w:r>
        <w:rPr>
          <w:spacing w:val="34"/>
        </w:rPr>
        <w:t xml:space="preserve"> </w:t>
      </w:r>
      <w:r>
        <w:t>students</w:t>
      </w:r>
      <w:r>
        <w:rPr>
          <w:spacing w:val="35"/>
        </w:rPr>
        <w:t xml:space="preserve"> </w:t>
      </w:r>
      <w:r>
        <w:t>all</w:t>
      </w:r>
      <w:r>
        <w:rPr>
          <w:spacing w:val="36"/>
        </w:rPr>
        <w:t xml:space="preserve"> </w:t>
      </w:r>
      <w:r>
        <w:t>20</w:t>
      </w:r>
      <w:r>
        <w:rPr>
          <w:spacing w:val="35"/>
        </w:rPr>
        <w:t xml:space="preserve"> </w:t>
      </w:r>
      <w:r>
        <w:t>critical</w:t>
      </w:r>
      <w:r>
        <w:rPr>
          <w:spacing w:val="36"/>
        </w:rPr>
        <w:t xml:space="preserve"> </w:t>
      </w:r>
      <w:r>
        <w:t>sexual</w:t>
      </w:r>
      <w:r>
        <w:rPr>
          <w:spacing w:val="35"/>
        </w:rPr>
        <w:t xml:space="preserve"> </w:t>
      </w:r>
      <w:r>
        <w:t>health</w:t>
      </w:r>
      <w:r>
        <w:rPr>
          <w:spacing w:val="-2"/>
        </w:rPr>
        <w:t xml:space="preserve"> </w:t>
      </w:r>
      <w:r>
        <w:t>education topics in a required course in any of grades 6, 7, or 8.</w:t>
      </w:r>
    </w:p>
    <w:p w:rsidR="00C76E6D" w:rsidRDefault="00913831">
      <w:pPr>
        <w:pStyle w:val="ListParagraph"/>
        <w:numPr>
          <w:ilvl w:val="0"/>
          <w:numId w:val="34"/>
        </w:numPr>
        <w:tabs>
          <w:tab w:val="left" w:pos="842"/>
          <w:tab w:val="left" w:pos="843"/>
        </w:tabs>
        <w:spacing w:before="8" w:line="273" w:lineRule="auto"/>
        <w:ind w:right="396"/>
      </w:pPr>
      <w:r>
        <w:t>61.6%</w:t>
      </w:r>
      <w:r>
        <w:rPr>
          <w:spacing w:val="35"/>
        </w:rPr>
        <w:t xml:space="preserve"> </w:t>
      </w:r>
      <w:r>
        <w:t>of</w:t>
      </w:r>
      <w:r>
        <w:rPr>
          <w:spacing w:val="36"/>
        </w:rPr>
        <w:t xml:space="preserve"> </w:t>
      </w:r>
      <w:r>
        <w:t>Massachusetts</w:t>
      </w:r>
      <w:r>
        <w:rPr>
          <w:spacing w:val="37"/>
        </w:rPr>
        <w:t xml:space="preserve"> </w:t>
      </w:r>
      <w:r>
        <w:t>secondary</w:t>
      </w:r>
      <w:r>
        <w:rPr>
          <w:spacing w:val="36"/>
        </w:rPr>
        <w:t xml:space="preserve"> </w:t>
      </w:r>
      <w:r>
        <w:t>schools</w:t>
      </w:r>
      <w:r>
        <w:rPr>
          <w:spacing w:val="35"/>
        </w:rPr>
        <w:t xml:space="preserve"> </w:t>
      </w:r>
      <w:r>
        <w:t>taught</w:t>
      </w:r>
      <w:r>
        <w:rPr>
          <w:spacing w:val="34"/>
        </w:rPr>
        <w:t xml:space="preserve"> </w:t>
      </w:r>
      <w:r>
        <w:t>students</w:t>
      </w:r>
      <w:r>
        <w:rPr>
          <w:spacing w:val="35"/>
        </w:rPr>
        <w:t xml:space="preserve"> </w:t>
      </w:r>
      <w:r>
        <w:t>all</w:t>
      </w:r>
      <w:r>
        <w:rPr>
          <w:spacing w:val="36"/>
        </w:rPr>
        <w:t xml:space="preserve"> </w:t>
      </w:r>
      <w:r>
        <w:t>20</w:t>
      </w:r>
      <w:r>
        <w:rPr>
          <w:spacing w:val="35"/>
        </w:rPr>
        <w:t xml:space="preserve"> </w:t>
      </w:r>
      <w:r>
        <w:t>critical</w:t>
      </w:r>
      <w:r>
        <w:rPr>
          <w:spacing w:val="36"/>
        </w:rPr>
        <w:t xml:space="preserve"> </w:t>
      </w:r>
      <w:r>
        <w:t>sexual</w:t>
      </w:r>
      <w:r>
        <w:rPr>
          <w:spacing w:val="35"/>
        </w:rPr>
        <w:t xml:space="preserve"> </w:t>
      </w:r>
      <w:r>
        <w:t>health</w:t>
      </w:r>
      <w:r>
        <w:rPr>
          <w:spacing w:val="-2"/>
        </w:rPr>
        <w:t xml:space="preserve"> </w:t>
      </w:r>
      <w:r>
        <w:t>education topics in a required course in any of grades 9, 10, 1</w:t>
      </w:r>
      <w:r>
        <w:t>1, or 12.</w:t>
      </w:r>
    </w:p>
    <w:p w:rsidR="00C76E6D" w:rsidRDefault="00C76E6D">
      <w:pPr>
        <w:spacing w:line="273" w:lineRule="auto"/>
        <w:sectPr w:rsidR="00C76E6D">
          <w:pgSz w:w="12240" w:h="15840"/>
          <w:pgMar w:top="1000" w:right="960" w:bottom="640" w:left="960" w:header="802" w:footer="440" w:gutter="0"/>
          <w:cols w:space="720"/>
        </w:sectPr>
      </w:pPr>
    </w:p>
    <w:p w:rsidR="00C76E6D" w:rsidRDefault="00C76E6D">
      <w:pPr>
        <w:pStyle w:val="BodyText"/>
        <w:rPr>
          <w:sz w:val="20"/>
        </w:rPr>
      </w:pPr>
    </w:p>
    <w:p w:rsidR="00C76E6D" w:rsidRDefault="00C76E6D">
      <w:pPr>
        <w:pStyle w:val="BodyText"/>
        <w:spacing w:before="9"/>
        <w:rPr>
          <w:sz w:val="26"/>
        </w:rPr>
      </w:pPr>
    </w:p>
    <w:p w:rsidR="00C76E6D" w:rsidRDefault="00913831">
      <w:pPr>
        <w:pStyle w:val="Heading6"/>
        <w:spacing w:before="55"/>
        <w:ind w:left="338"/>
      </w:pPr>
      <w:bookmarkStart w:id="567" w:name="Reported_teaching_about_the_benefits_of_"/>
      <w:bookmarkEnd w:id="567"/>
      <w:r>
        <w:rPr>
          <w:w w:val="95"/>
        </w:rPr>
        <w:t>Reported</w:t>
      </w:r>
      <w:r>
        <w:rPr>
          <w:spacing w:val="7"/>
        </w:rPr>
        <w:t xml:space="preserve"> </w:t>
      </w:r>
      <w:r>
        <w:rPr>
          <w:w w:val="95"/>
        </w:rPr>
        <w:t>teaching</w:t>
      </w:r>
      <w:r>
        <w:rPr>
          <w:spacing w:val="8"/>
        </w:rPr>
        <w:t xml:space="preserve"> </w:t>
      </w:r>
      <w:r>
        <w:rPr>
          <w:w w:val="95"/>
        </w:rPr>
        <w:t>about</w:t>
      </w:r>
      <w:r>
        <w:rPr>
          <w:spacing w:val="11"/>
        </w:rPr>
        <w:t xml:space="preserve"> </w:t>
      </w:r>
      <w:r>
        <w:rPr>
          <w:w w:val="95"/>
        </w:rPr>
        <w:t>the</w:t>
      </w:r>
      <w:r>
        <w:rPr>
          <w:spacing w:val="7"/>
        </w:rPr>
        <w:t xml:space="preserve"> </w:t>
      </w:r>
      <w:r>
        <w:rPr>
          <w:w w:val="95"/>
        </w:rPr>
        <w:t>benefits</w:t>
      </w:r>
      <w:r>
        <w:rPr>
          <w:spacing w:val="11"/>
        </w:rPr>
        <w:t xml:space="preserve"> </w:t>
      </w:r>
      <w:r>
        <w:rPr>
          <w:w w:val="95"/>
        </w:rPr>
        <w:t>of</w:t>
      </w:r>
      <w:r>
        <w:rPr>
          <w:spacing w:val="9"/>
        </w:rPr>
        <w:t xml:space="preserve"> </w:t>
      </w:r>
      <w:r>
        <w:rPr>
          <w:w w:val="95"/>
        </w:rPr>
        <w:t>being</w:t>
      </w:r>
      <w:r>
        <w:rPr>
          <w:spacing w:val="13"/>
        </w:rPr>
        <w:t xml:space="preserve"> </w:t>
      </w:r>
      <w:r>
        <w:rPr>
          <w:w w:val="95"/>
        </w:rPr>
        <w:t>sexually</w:t>
      </w:r>
      <w:r>
        <w:rPr>
          <w:spacing w:val="9"/>
        </w:rPr>
        <w:t xml:space="preserve"> </w:t>
      </w:r>
      <w:r>
        <w:rPr>
          <w:spacing w:val="-2"/>
          <w:w w:val="95"/>
        </w:rPr>
        <w:t>abstinent:</w:t>
      </w:r>
    </w:p>
    <w:p w:rsidR="00C76E6D" w:rsidRDefault="00C76E6D">
      <w:pPr>
        <w:pStyle w:val="BodyText"/>
        <w:spacing w:before="9"/>
        <w:rPr>
          <w:b/>
          <w:sz w:val="28"/>
        </w:rPr>
      </w:pPr>
    </w:p>
    <w:p w:rsidR="00C76E6D" w:rsidRDefault="00913831">
      <w:pPr>
        <w:pStyle w:val="ListParagraph"/>
        <w:numPr>
          <w:ilvl w:val="0"/>
          <w:numId w:val="33"/>
        </w:numPr>
        <w:tabs>
          <w:tab w:val="left" w:pos="699"/>
        </w:tabs>
        <w:spacing w:line="271" w:lineRule="auto"/>
        <w:ind w:right="296"/>
        <w:jc w:val="both"/>
      </w:pPr>
      <w:r>
        <w:t>72.1%</w:t>
      </w:r>
      <w:r>
        <w:rPr>
          <w:spacing w:val="-12"/>
        </w:rPr>
        <w:t xml:space="preserve"> </w:t>
      </w:r>
      <w:r>
        <w:t>of</w:t>
      </w:r>
      <w:r>
        <w:rPr>
          <w:spacing w:val="-12"/>
        </w:rPr>
        <w:t xml:space="preserve"> </w:t>
      </w:r>
      <w:r>
        <w:t>Massachusetts</w:t>
      </w:r>
      <w:r>
        <w:rPr>
          <w:spacing w:val="-12"/>
        </w:rPr>
        <w:t xml:space="preserve"> </w:t>
      </w:r>
      <w:r>
        <w:t>secondary</w:t>
      </w:r>
      <w:r>
        <w:rPr>
          <w:spacing w:val="-12"/>
        </w:rPr>
        <w:t xml:space="preserve"> </w:t>
      </w:r>
      <w:r>
        <w:t>schools</w:t>
      </w:r>
      <w:r>
        <w:rPr>
          <w:spacing w:val="-12"/>
        </w:rPr>
        <w:t xml:space="preserve"> </w:t>
      </w:r>
      <w:r>
        <w:t>taught</w:t>
      </w:r>
      <w:r>
        <w:rPr>
          <w:spacing w:val="-13"/>
        </w:rPr>
        <w:t xml:space="preserve"> </w:t>
      </w:r>
      <w:r>
        <w:t>students</w:t>
      </w:r>
      <w:r>
        <w:rPr>
          <w:spacing w:val="-11"/>
        </w:rPr>
        <w:t xml:space="preserve"> </w:t>
      </w:r>
      <w:r>
        <w:t>about</w:t>
      </w:r>
      <w:r>
        <w:rPr>
          <w:spacing w:val="-12"/>
        </w:rPr>
        <w:t xml:space="preserve"> </w:t>
      </w:r>
      <w:r>
        <w:t>the</w:t>
      </w:r>
      <w:r>
        <w:rPr>
          <w:spacing w:val="-11"/>
        </w:rPr>
        <w:t xml:space="preserve"> </w:t>
      </w:r>
      <w:r>
        <w:t>benefits</w:t>
      </w:r>
      <w:r>
        <w:rPr>
          <w:spacing w:val="-12"/>
        </w:rPr>
        <w:t xml:space="preserve"> </w:t>
      </w:r>
      <w:r>
        <w:t>of</w:t>
      </w:r>
      <w:r>
        <w:rPr>
          <w:spacing w:val="-10"/>
        </w:rPr>
        <w:t xml:space="preserve"> </w:t>
      </w:r>
      <w:r>
        <w:t>being</w:t>
      </w:r>
      <w:r>
        <w:rPr>
          <w:spacing w:val="-12"/>
        </w:rPr>
        <w:t xml:space="preserve"> </w:t>
      </w:r>
      <w:r>
        <w:t>sexually</w:t>
      </w:r>
      <w:r>
        <w:rPr>
          <w:spacing w:val="-12"/>
        </w:rPr>
        <w:t xml:space="preserve"> </w:t>
      </w:r>
      <w:r>
        <w:t>abstinent in a required course in any of grades 6, 7, or 8.</w:t>
      </w:r>
    </w:p>
    <w:p w:rsidR="00C76E6D" w:rsidRDefault="00913831">
      <w:pPr>
        <w:pStyle w:val="ListParagraph"/>
        <w:numPr>
          <w:ilvl w:val="0"/>
          <w:numId w:val="33"/>
        </w:numPr>
        <w:tabs>
          <w:tab w:val="left" w:pos="699"/>
        </w:tabs>
        <w:spacing w:before="8" w:line="273" w:lineRule="auto"/>
        <w:ind w:left="697" w:right="300"/>
        <w:jc w:val="both"/>
      </w:pPr>
      <w:r>
        <w:t>91.4</w:t>
      </w:r>
      <w:r>
        <w:rPr>
          <w:spacing w:val="-13"/>
        </w:rPr>
        <w:t xml:space="preserve"> </w:t>
      </w:r>
      <w:r>
        <w:t>%</w:t>
      </w:r>
      <w:r>
        <w:rPr>
          <w:spacing w:val="-12"/>
        </w:rPr>
        <w:t xml:space="preserve"> </w:t>
      </w:r>
      <w:r>
        <w:t>of</w:t>
      </w:r>
      <w:r>
        <w:rPr>
          <w:spacing w:val="-13"/>
        </w:rPr>
        <w:t xml:space="preserve"> </w:t>
      </w:r>
      <w:r>
        <w:t>Massachusetts</w:t>
      </w:r>
      <w:r>
        <w:rPr>
          <w:spacing w:val="-12"/>
        </w:rPr>
        <w:t xml:space="preserve"> </w:t>
      </w:r>
      <w:r>
        <w:t>secondary</w:t>
      </w:r>
      <w:r>
        <w:rPr>
          <w:spacing w:val="-13"/>
        </w:rPr>
        <w:t xml:space="preserve"> </w:t>
      </w:r>
      <w:r>
        <w:t>schools</w:t>
      </w:r>
      <w:r>
        <w:rPr>
          <w:spacing w:val="-12"/>
        </w:rPr>
        <w:t xml:space="preserve"> </w:t>
      </w:r>
      <w:r>
        <w:t>taught</w:t>
      </w:r>
      <w:r>
        <w:rPr>
          <w:spacing w:val="-13"/>
        </w:rPr>
        <w:t xml:space="preserve"> </w:t>
      </w:r>
      <w:r>
        <w:t>students</w:t>
      </w:r>
      <w:r>
        <w:rPr>
          <w:spacing w:val="-12"/>
        </w:rPr>
        <w:t xml:space="preserve"> </w:t>
      </w:r>
      <w:r>
        <w:t>about</w:t>
      </w:r>
      <w:r>
        <w:rPr>
          <w:spacing w:val="-12"/>
        </w:rPr>
        <w:t xml:space="preserve"> </w:t>
      </w:r>
      <w:r>
        <w:t>the</w:t>
      </w:r>
      <w:r>
        <w:rPr>
          <w:spacing w:val="-13"/>
        </w:rPr>
        <w:t xml:space="preserve"> </w:t>
      </w:r>
      <w:r>
        <w:t>benefits</w:t>
      </w:r>
      <w:r>
        <w:rPr>
          <w:spacing w:val="-12"/>
        </w:rPr>
        <w:t xml:space="preserve"> </w:t>
      </w:r>
      <w:r>
        <w:t>of</w:t>
      </w:r>
      <w:r>
        <w:rPr>
          <w:spacing w:val="-13"/>
        </w:rPr>
        <w:t xml:space="preserve"> </w:t>
      </w:r>
      <w:r>
        <w:t>being</w:t>
      </w:r>
      <w:r>
        <w:rPr>
          <w:spacing w:val="-12"/>
        </w:rPr>
        <w:t xml:space="preserve"> </w:t>
      </w:r>
      <w:r>
        <w:t>sexually</w:t>
      </w:r>
      <w:r>
        <w:rPr>
          <w:spacing w:val="-13"/>
        </w:rPr>
        <w:t xml:space="preserve"> </w:t>
      </w:r>
      <w:r>
        <w:t>abstinent in a required course in any of grades 9, 10, 11, or 12.</w:t>
      </w:r>
    </w:p>
    <w:p w:rsidR="00C76E6D" w:rsidRDefault="00C76E6D">
      <w:pPr>
        <w:pStyle w:val="BodyText"/>
        <w:spacing w:before="10"/>
        <w:rPr>
          <w:sz w:val="25"/>
        </w:rPr>
      </w:pPr>
    </w:p>
    <w:p w:rsidR="00C76E6D" w:rsidRDefault="00913831">
      <w:pPr>
        <w:pStyle w:val="Heading6"/>
        <w:spacing w:line="276" w:lineRule="auto"/>
        <w:ind w:left="338" w:right="326"/>
      </w:pPr>
      <w:bookmarkStart w:id="568" w:name="Reported_teaching_how_to_access_valid_an"/>
      <w:bookmarkEnd w:id="568"/>
      <w:r>
        <w:t>Reported</w:t>
      </w:r>
      <w:r>
        <w:rPr>
          <w:spacing w:val="-13"/>
        </w:rPr>
        <w:t xml:space="preserve"> </w:t>
      </w:r>
      <w:r>
        <w:t>teaching</w:t>
      </w:r>
      <w:r>
        <w:rPr>
          <w:spacing w:val="-14"/>
        </w:rPr>
        <w:t xml:space="preserve"> </w:t>
      </w:r>
      <w:r>
        <w:t>how</w:t>
      </w:r>
      <w:r>
        <w:rPr>
          <w:spacing w:val="-17"/>
        </w:rPr>
        <w:t xml:space="preserve"> </w:t>
      </w:r>
      <w:r>
        <w:t>to</w:t>
      </w:r>
      <w:r>
        <w:rPr>
          <w:spacing w:val="-13"/>
        </w:rPr>
        <w:t xml:space="preserve"> </w:t>
      </w:r>
      <w:r>
        <w:t>access</w:t>
      </w:r>
      <w:r>
        <w:rPr>
          <w:spacing w:val="-16"/>
        </w:rPr>
        <w:t xml:space="preserve"> </w:t>
      </w:r>
      <w:r>
        <w:t>valid</w:t>
      </w:r>
      <w:r>
        <w:rPr>
          <w:spacing w:val="-12"/>
        </w:rPr>
        <w:t xml:space="preserve"> </w:t>
      </w:r>
      <w:r>
        <w:t>and</w:t>
      </w:r>
      <w:r>
        <w:rPr>
          <w:spacing w:val="-16"/>
        </w:rPr>
        <w:t xml:space="preserve"> </w:t>
      </w:r>
      <w:r>
        <w:t>reliable</w:t>
      </w:r>
      <w:r>
        <w:rPr>
          <w:spacing w:val="-14"/>
        </w:rPr>
        <w:t xml:space="preserve"> </w:t>
      </w:r>
      <w:r>
        <w:t>information,</w:t>
      </w:r>
      <w:r>
        <w:rPr>
          <w:spacing w:val="-13"/>
        </w:rPr>
        <w:t xml:space="preserve"> </w:t>
      </w:r>
      <w:r>
        <w:t>products,</w:t>
      </w:r>
      <w:r>
        <w:rPr>
          <w:spacing w:val="-14"/>
        </w:rPr>
        <w:t xml:space="preserve"> </w:t>
      </w:r>
      <w:r>
        <w:t>and</w:t>
      </w:r>
      <w:r>
        <w:rPr>
          <w:spacing w:val="-15"/>
        </w:rPr>
        <w:t xml:space="preserve"> </w:t>
      </w:r>
      <w:r>
        <w:t>services</w:t>
      </w:r>
      <w:r>
        <w:rPr>
          <w:spacing w:val="-16"/>
        </w:rPr>
        <w:t xml:space="preserve"> </w:t>
      </w:r>
      <w:r>
        <w:t>related</w:t>
      </w:r>
      <w:r>
        <w:rPr>
          <w:spacing w:val="-13"/>
        </w:rPr>
        <w:t xml:space="preserve"> </w:t>
      </w:r>
      <w:r>
        <w:t>to</w:t>
      </w:r>
      <w:r>
        <w:rPr>
          <w:spacing w:val="-13"/>
        </w:rPr>
        <w:t xml:space="preserve"> </w:t>
      </w:r>
      <w:r>
        <w:t>HIV,</w:t>
      </w:r>
      <w:r>
        <w:rPr>
          <w:spacing w:val="-13"/>
        </w:rPr>
        <w:t xml:space="preserve"> </w:t>
      </w:r>
      <w:r>
        <w:t>other STDs, and pregnancy:</w:t>
      </w:r>
    </w:p>
    <w:p w:rsidR="00C76E6D" w:rsidRDefault="00C76E6D">
      <w:pPr>
        <w:pStyle w:val="BodyText"/>
        <w:spacing w:before="2"/>
        <w:rPr>
          <w:b/>
          <w:sz w:val="26"/>
        </w:rPr>
      </w:pPr>
    </w:p>
    <w:p w:rsidR="00C76E6D" w:rsidRDefault="00913831">
      <w:pPr>
        <w:pStyle w:val="ListParagraph"/>
        <w:numPr>
          <w:ilvl w:val="0"/>
          <w:numId w:val="33"/>
        </w:numPr>
        <w:tabs>
          <w:tab w:val="left" w:pos="699"/>
        </w:tabs>
        <w:spacing w:line="273" w:lineRule="auto"/>
        <w:ind w:left="699" w:right="295" w:hanging="361"/>
        <w:jc w:val="both"/>
      </w:pPr>
      <w:r>
        <w:t>66.7%</w:t>
      </w:r>
      <w:r>
        <w:rPr>
          <w:spacing w:val="-5"/>
        </w:rPr>
        <w:t xml:space="preserve"> </w:t>
      </w:r>
      <w:r>
        <w:t>of</w:t>
      </w:r>
      <w:r>
        <w:rPr>
          <w:spacing w:val="-5"/>
        </w:rPr>
        <w:t xml:space="preserve"> </w:t>
      </w:r>
      <w:r>
        <w:t>Massachusetts</w:t>
      </w:r>
      <w:r>
        <w:rPr>
          <w:spacing w:val="-5"/>
        </w:rPr>
        <w:t xml:space="preserve"> </w:t>
      </w:r>
      <w:r>
        <w:t>secondary</w:t>
      </w:r>
      <w:r>
        <w:rPr>
          <w:spacing w:val="-5"/>
        </w:rPr>
        <w:t xml:space="preserve"> </w:t>
      </w:r>
      <w:r>
        <w:t>schools</w:t>
      </w:r>
      <w:r>
        <w:rPr>
          <w:spacing w:val="-5"/>
        </w:rPr>
        <w:t xml:space="preserve"> </w:t>
      </w:r>
      <w:r>
        <w:t>taught</w:t>
      </w:r>
      <w:r>
        <w:rPr>
          <w:spacing w:val="-4"/>
        </w:rPr>
        <w:t xml:space="preserve"> </w:t>
      </w:r>
      <w:r>
        <w:t>students</w:t>
      </w:r>
      <w:r>
        <w:rPr>
          <w:spacing w:val="-3"/>
        </w:rPr>
        <w:t xml:space="preserve"> </w:t>
      </w:r>
      <w:r>
        <w:t>how</w:t>
      </w:r>
      <w:r>
        <w:rPr>
          <w:spacing w:val="-5"/>
        </w:rPr>
        <w:t xml:space="preserve"> </w:t>
      </w:r>
      <w:r>
        <w:t>to</w:t>
      </w:r>
      <w:r>
        <w:rPr>
          <w:spacing w:val="-2"/>
        </w:rPr>
        <w:t xml:space="preserve"> </w:t>
      </w:r>
      <w:r>
        <w:t>access</w:t>
      </w:r>
      <w:r>
        <w:rPr>
          <w:spacing w:val="-5"/>
        </w:rPr>
        <w:t xml:space="preserve"> </w:t>
      </w:r>
      <w:r>
        <w:t>valid</w:t>
      </w:r>
      <w:r>
        <w:rPr>
          <w:spacing w:val="-5"/>
        </w:rPr>
        <w:t xml:space="preserve"> </w:t>
      </w:r>
      <w:r>
        <w:t>and</w:t>
      </w:r>
      <w:r>
        <w:rPr>
          <w:spacing w:val="-5"/>
        </w:rPr>
        <w:t xml:space="preserve"> </w:t>
      </w:r>
      <w:r>
        <w:t>reliable</w:t>
      </w:r>
      <w:r>
        <w:rPr>
          <w:spacing w:val="-6"/>
        </w:rPr>
        <w:t xml:space="preserve"> </w:t>
      </w:r>
      <w:r>
        <w:t>information, products,</w:t>
      </w:r>
      <w:r>
        <w:rPr>
          <w:spacing w:val="-3"/>
        </w:rPr>
        <w:t xml:space="preserve"> </w:t>
      </w:r>
      <w:r>
        <w:t>and</w:t>
      </w:r>
      <w:r>
        <w:rPr>
          <w:spacing w:val="-3"/>
        </w:rPr>
        <w:t xml:space="preserve"> </w:t>
      </w:r>
      <w:r>
        <w:t>services</w:t>
      </w:r>
      <w:r>
        <w:rPr>
          <w:spacing w:val="-1"/>
        </w:rPr>
        <w:t xml:space="preserve"> </w:t>
      </w:r>
      <w:r>
        <w:t>related</w:t>
      </w:r>
      <w:r>
        <w:rPr>
          <w:spacing w:val="-2"/>
        </w:rPr>
        <w:t xml:space="preserve"> </w:t>
      </w:r>
      <w:r>
        <w:t>to HIV,</w:t>
      </w:r>
      <w:r>
        <w:rPr>
          <w:spacing w:val="-1"/>
        </w:rPr>
        <w:t xml:space="preserve"> </w:t>
      </w:r>
      <w:r>
        <w:t>other</w:t>
      </w:r>
      <w:r>
        <w:rPr>
          <w:spacing w:val="-2"/>
        </w:rPr>
        <w:t xml:space="preserve"> </w:t>
      </w:r>
      <w:r>
        <w:t>STDs,</w:t>
      </w:r>
      <w:r>
        <w:rPr>
          <w:spacing w:val="-2"/>
        </w:rPr>
        <w:t xml:space="preserve"> </w:t>
      </w:r>
      <w:r>
        <w:t>and</w:t>
      </w:r>
      <w:r>
        <w:rPr>
          <w:spacing w:val="-2"/>
        </w:rPr>
        <w:t xml:space="preserve"> </w:t>
      </w:r>
      <w:r>
        <w:t>pregnancy</w:t>
      </w:r>
      <w:r>
        <w:rPr>
          <w:spacing w:val="-2"/>
        </w:rPr>
        <w:t xml:space="preserve"> </w:t>
      </w:r>
      <w:r>
        <w:t>in</w:t>
      </w:r>
      <w:r>
        <w:rPr>
          <w:spacing w:val="-2"/>
        </w:rPr>
        <w:t xml:space="preserve"> </w:t>
      </w:r>
      <w:r>
        <w:t>a required</w:t>
      </w:r>
      <w:r>
        <w:rPr>
          <w:spacing w:val="-1"/>
        </w:rPr>
        <w:t xml:space="preserve"> </w:t>
      </w:r>
      <w:r>
        <w:t>course</w:t>
      </w:r>
      <w:r>
        <w:rPr>
          <w:spacing w:val="-2"/>
        </w:rPr>
        <w:t xml:space="preserve"> </w:t>
      </w:r>
      <w:r>
        <w:t>in</w:t>
      </w:r>
      <w:r>
        <w:rPr>
          <w:spacing w:val="-2"/>
        </w:rPr>
        <w:t xml:space="preserve"> </w:t>
      </w:r>
      <w:r>
        <w:t>any</w:t>
      </w:r>
      <w:r>
        <w:rPr>
          <w:spacing w:val="-3"/>
        </w:rPr>
        <w:t xml:space="preserve"> </w:t>
      </w:r>
      <w:r>
        <w:t>of</w:t>
      </w:r>
      <w:r>
        <w:rPr>
          <w:spacing w:val="-2"/>
        </w:rPr>
        <w:t xml:space="preserve"> </w:t>
      </w:r>
      <w:r>
        <w:t>grades 6, 7, or 8.</w:t>
      </w:r>
    </w:p>
    <w:p w:rsidR="00C76E6D" w:rsidRDefault="00913831">
      <w:pPr>
        <w:pStyle w:val="ListParagraph"/>
        <w:numPr>
          <w:ilvl w:val="0"/>
          <w:numId w:val="33"/>
        </w:numPr>
        <w:tabs>
          <w:tab w:val="left" w:pos="699"/>
        </w:tabs>
        <w:spacing w:before="6" w:line="273" w:lineRule="auto"/>
        <w:ind w:right="298" w:hanging="361"/>
        <w:jc w:val="both"/>
      </w:pPr>
      <w:r>
        <w:t>90.5%</w:t>
      </w:r>
      <w:r>
        <w:rPr>
          <w:spacing w:val="-5"/>
        </w:rPr>
        <w:t xml:space="preserve"> </w:t>
      </w:r>
      <w:r>
        <w:t>of</w:t>
      </w:r>
      <w:r>
        <w:rPr>
          <w:spacing w:val="-5"/>
        </w:rPr>
        <w:t xml:space="preserve"> </w:t>
      </w:r>
      <w:r>
        <w:t>Massachusetts</w:t>
      </w:r>
      <w:r>
        <w:rPr>
          <w:spacing w:val="-4"/>
        </w:rPr>
        <w:t xml:space="preserve"> </w:t>
      </w:r>
      <w:r>
        <w:t>secondary</w:t>
      </w:r>
      <w:r>
        <w:rPr>
          <w:spacing w:val="-5"/>
        </w:rPr>
        <w:t xml:space="preserve"> </w:t>
      </w:r>
      <w:r>
        <w:t>schools</w:t>
      </w:r>
      <w:r>
        <w:rPr>
          <w:spacing w:val="-5"/>
        </w:rPr>
        <w:t xml:space="preserve"> </w:t>
      </w:r>
      <w:r>
        <w:t>taught</w:t>
      </w:r>
      <w:r>
        <w:rPr>
          <w:spacing w:val="-4"/>
        </w:rPr>
        <w:t xml:space="preserve"> </w:t>
      </w:r>
      <w:r>
        <w:t>students</w:t>
      </w:r>
      <w:r>
        <w:rPr>
          <w:spacing w:val="-3"/>
        </w:rPr>
        <w:t xml:space="preserve"> </w:t>
      </w:r>
      <w:r>
        <w:t>how</w:t>
      </w:r>
      <w:r>
        <w:rPr>
          <w:spacing w:val="-5"/>
        </w:rPr>
        <w:t xml:space="preserve"> </w:t>
      </w:r>
      <w:r>
        <w:t>to</w:t>
      </w:r>
      <w:r>
        <w:rPr>
          <w:spacing w:val="-2"/>
        </w:rPr>
        <w:t xml:space="preserve"> </w:t>
      </w:r>
      <w:r>
        <w:t>access</w:t>
      </w:r>
      <w:r>
        <w:rPr>
          <w:spacing w:val="-5"/>
        </w:rPr>
        <w:t xml:space="preserve"> </w:t>
      </w:r>
      <w:r>
        <w:t>valid</w:t>
      </w:r>
      <w:r>
        <w:rPr>
          <w:spacing w:val="-5"/>
        </w:rPr>
        <w:t xml:space="preserve"> </w:t>
      </w:r>
      <w:r>
        <w:t>and</w:t>
      </w:r>
      <w:r>
        <w:rPr>
          <w:spacing w:val="-5"/>
        </w:rPr>
        <w:t xml:space="preserve"> </w:t>
      </w:r>
      <w:r>
        <w:t>reliable</w:t>
      </w:r>
      <w:r>
        <w:rPr>
          <w:spacing w:val="-6"/>
        </w:rPr>
        <w:t xml:space="preserve"> </w:t>
      </w:r>
      <w:r>
        <w:t>information, products,</w:t>
      </w:r>
      <w:r>
        <w:rPr>
          <w:spacing w:val="-3"/>
        </w:rPr>
        <w:t xml:space="preserve"> </w:t>
      </w:r>
      <w:r>
        <w:t>and</w:t>
      </w:r>
      <w:r>
        <w:rPr>
          <w:spacing w:val="-3"/>
        </w:rPr>
        <w:t xml:space="preserve"> </w:t>
      </w:r>
      <w:r>
        <w:t>services</w:t>
      </w:r>
      <w:r>
        <w:rPr>
          <w:spacing w:val="-1"/>
        </w:rPr>
        <w:t xml:space="preserve"> </w:t>
      </w:r>
      <w:r>
        <w:t>related</w:t>
      </w:r>
      <w:r>
        <w:rPr>
          <w:spacing w:val="-2"/>
        </w:rPr>
        <w:t xml:space="preserve"> </w:t>
      </w:r>
      <w:r>
        <w:t>to</w:t>
      </w:r>
      <w:r>
        <w:rPr>
          <w:spacing w:val="-1"/>
        </w:rPr>
        <w:t xml:space="preserve"> </w:t>
      </w:r>
      <w:r>
        <w:t>HIV,</w:t>
      </w:r>
      <w:r>
        <w:rPr>
          <w:spacing w:val="-1"/>
        </w:rPr>
        <w:t xml:space="preserve"> </w:t>
      </w:r>
      <w:r>
        <w:t>other</w:t>
      </w:r>
      <w:r>
        <w:rPr>
          <w:spacing w:val="-2"/>
        </w:rPr>
        <w:t xml:space="preserve"> </w:t>
      </w:r>
      <w:r>
        <w:t>STDs,</w:t>
      </w:r>
      <w:r>
        <w:rPr>
          <w:spacing w:val="-2"/>
        </w:rPr>
        <w:t xml:space="preserve"> </w:t>
      </w:r>
      <w:r>
        <w:t>and</w:t>
      </w:r>
      <w:r>
        <w:rPr>
          <w:spacing w:val="-2"/>
        </w:rPr>
        <w:t xml:space="preserve"> </w:t>
      </w:r>
      <w:r>
        <w:t>pregnancy</w:t>
      </w:r>
      <w:r>
        <w:rPr>
          <w:spacing w:val="-2"/>
        </w:rPr>
        <w:t xml:space="preserve"> </w:t>
      </w:r>
      <w:r>
        <w:t>in</w:t>
      </w:r>
      <w:r>
        <w:rPr>
          <w:spacing w:val="-2"/>
        </w:rPr>
        <w:t xml:space="preserve"> </w:t>
      </w:r>
      <w:r>
        <w:t>a required course</w:t>
      </w:r>
      <w:r>
        <w:rPr>
          <w:spacing w:val="-2"/>
        </w:rPr>
        <w:t xml:space="preserve"> </w:t>
      </w:r>
      <w:r>
        <w:t>in</w:t>
      </w:r>
      <w:r>
        <w:rPr>
          <w:spacing w:val="-2"/>
        </w:rPr>
        <w:t xml:space="preserve"> </w:t>
      </w:r>
      <w:r>
        <w:t>any</w:t>
      </w:r>
      <w:r>
        <w:rPr>
          <w:spacing w:val="-3"/>
        </w:rPr>
        <w:t xml:space="preserve"> </w:t>
      </w:r>
      <w:r>
        <w:t>of</w:t>
      </w:r>
      <w:r>
        <w:rPr>
          <w:spacing w:val="-2"/>
        </w:rPr>
        <w:t xml:space="preserve"> </w:t>
      </w:r>
      <w:r>
        <w:t>grades</w:t>
      </w:r>
      <w:r>
        <w:rPr>
          <w:spacing w:val="-1"/>
        </w:rPr>
        <w:t xml:space="preserve"> </w:t>
      </w:r>
      <w:r>
        <w:t>9, 10, 11, or 12.</w:t>
      </w:r>
    </w:p>
    <w:p w:rsidR="00C76E6D" w:rsidRDefault="00C76E6D">
      <w:pPr>
        <w:pStyle w:val="BodyText"/>
        <w:spacing w:before="11"/>
        <w:rPr>
          <w:sz w:val="25"/>
        </w:rPr>
      </w:pPr>
    </w:p>
    <w:p w:rsidR="00C76E6D" w:rsidRDefault="00913831">
      <w:pPr>
        <w:pStyle w:val="Heading6"/>
        <w:ind w:left="338"/>
      </w:pPr>
      <w:bookmarkStart w:id="569" w:name="Reported_teaching_how_to_create_and_sust"/>
      <w:bookmarkEnd w:id="569"/>
      <w:r>
        <w:rPr>
          <w:w w:val="95"/>
        </w:rPr>
        <w:t>Reported</w:t>
      </w:r>
      <w:r>
        <w:rPr>
          <w:spacing w:val="7"/>
        </w:rPr>
        <w:t xml:space="preserve"> </w:t>
      </w:r>
      <w:r>
        <w:rPr>
          <w:w w:val="95"/>
        </w:rPr>
        <w:t>teaching</w:t>
      </w:r>
      <w:r>
        <w:rPr>
          <w:spacing w:val="8"/>
        </w:rPr>
        <w:t xml:space="preserve"> </w:t>
      </w:r>
      <w:r>
        <w:rPr>
          <w:w w:val="95"/>
        </w:rPr>
        <w:t>how</w:t>
      </w:r>
      <w:r>
        <w:rPr>
          <w:spacing w:val="11"/>
        </w:rPr>
        <w:t xml:space="preserve"> </w:t>
      </w:r>
      <w:r>
        <w:rPr>
          <w:w w:val="95"/>
        </w:rPr>
        <w:t>to</w:t>
      </w:r>
      <w:r>
        <w:rPr>
          <w:spacing w:val="13"/>
        </w:rPr>
        <w:t xml:space="preserve"> </w:t>
      </w:r>
      <w:r>
        <w:rPr>
          <w:w w:val="95"/>
        </w:rPr>
        <w:t>create</w:t>
      </w:r>
      <w:r>
        <w:rPr>
          <w:spacing w:val="7"/>
        </w:rPr>
        <w:t xml:space="preserve"> </w:t>
      </w:r>
      <w:r>
        <w:rPr>
          <w:w w:val="95"/>
        </w:rPr>
        <w:t>and</w:t>
      </w:r>
      <w:r>
        <w:rPr>
          <w:spacing w:val="11"/>
        </w:rPr>
        <w:t xml:space="preserve"> </w:t>
      </w:r>
      <w:r>
        <w:rPr>
          <w:w w:val="95"/>
        </w:rPr>
        <w:t>sust</w:t>
      </w:r>
      <w:r>
        <w:rPr>
          <w:w w:val="95"/>
        </w:rPr>
        <w:t>ain</w:t>
      </w:r>
      <w:r>
        <w:rPr>
          <w:spacing w:val="7"/>
        </w:rPr>
        <w:t xml:space="preserve"> </w:t>
      </w:r>
      <w:r>
        <w:rPr>
          <w:w w:val="95"/>
        </w:rPr>
        <w:t>healthy</w:t>
      </w:r>
      <w:r>
        <w:rPr>
          <w:spacing w:val="13"/>
        </w:rPr>
        <w:t xml:space="preserve"> </w:t>
      </w:r>
      <w:r>
        <w:rPr>
          <w:w w:val="95"/>
        </w:rPr>
        <w:t>and</w:t>
      </w:r>
      <w:r>
        <w:rPr>
          <w:spacing w:val="10"/>
        </w:rPr>
        <w:t xml:space="preserve"> </w:t>
      </w:r>
      <w:r>
        <w:rPr>
          <w:w w:val="95"/>
        </w:rPr>
        <w:t>respectful</w:t>
      </w:r>
      <w:r>
        <w:rPr>
          <w:spacing w:val="8"/>
        </w:rPr>
        <w:t xml:space="preserve"> </w:t>
      </w:r>
      <w:r>
        <w:rPr>
          <w:spacing w:val="-2"/>
          <w:w w:val="95"/>
        </w:rPr>
        <w:t>relationships:</w:t>
      </w:r>
    </w:p>
    <w:p w:rsidR="00C76E6D" w:rsidRDefault="00C76E6D">
      <w:pPr>
        <w:pStyle w:val="BodyText"/>
        <w:spacing w:before="6"/>
        <w:rPr>
          <w:b/>
          <w:sz w:val="29"/>
        </w:rPr>
      </w:pPr>
    </w:p>
    <w:p w:rsidR="00C76E6D" w:rsidRDefault="00913831">
      <w:pPr>
        <w:pStyle w:val="ListParagraph"/>
        <w:numPr>
          <w:ilvl w:val="0"/>
          <w:numId w:val="33"/>
        </w:numPr>
        <w:tabs>
          <w:tab w:val="left" w:pos="699"/>
        </w:tabs>
        <w:spacing w:before="1" w:line="271" w:lineRule="auto"/>
        <w:ind w:right="300"/>
        <w:jc w:val="both"/>
      </w:pPr>
      <w:r>
        <w:t>76.4% of Massachusetts secondary schools taught students how to create and sustain healthy and respectful relationships in a required course in any of grades 6, 7, or 8.</w:t>
      </w:r>
    </w:p>
    <w:p w:rsidR="00C76E6D" w:rsidRDefault="00913831">
      <w:pPr>
        <w:pStyle w:val="ListParagraph"/>
        <w:numPr>
          <w:ilvl w:val="0"/>
          <w:numId w:val="33"/>
        </w:numPr>
        <w:tabs>
          <w:tab w:val="left" w:pos="699"/>
        </w:tabs>
        <w:spacing w:before="7" w:line="271" w:lineRule="auto"/>
        <w:ind w:right="299"/>
        <w:jc w:val="both"/>
      </w:pPr>
      <w:r>
        <w:t>92.7% of Massachusetts secondary schools taught students how to create and sustain healthy and respectful relationships in a required course in any of grades 9, 10, 11, or 12.</w:t>
      </w:r>
    </w:p>
    <w:p w:rsidR="00C76E6D" w:rsidRDefault="00C76E6D">
      <w:pPr>
        <w:pStyle w:val="BodyText"/>
        <w:spacing w:before="6"/>
        <w:rPr>
          <w:sz w:val="30"/>
        </w:rPr>
      </w:pPr>
    </w:p>
    <w:p w:rsidR="00C76E6D" w:rsidRDefault="00913831">
      <w:pPr>
        <w:pStyle w:val="Heading6"/>
        <w:ind w:left="339"/>
      </w:pPr>
      <w:bookmarkStart w:id="570" w:name="Reported_teaching_about_preventive_care_"/>
      <w:bookmarkEnd w:id="570"/>
      <w:r>
        <w:rPr>
          <w:w w:val="95"/>
        </w:rPr>
        <w:t>Reported</w:t>
      </w:r>
      <w:r>
        <w:rPr>
          <w:spacing w:val="5"/>
        </w:rPr>
        <w:t xml:space="preserve"> </w:t>
      </w:r>
      <w:r>
        <w:rPr>
          <w:w w:val="95"/>
        </w:rPr>
        <w:t>teaching</w:t>
      </w:r>
      <w:r>
        <w:rPr>
          <w:spacing w:val="5"/>
        </w:rPr>
        <w:t xml:space="preserve"> </w:t>
      </w:r>
      <w:r>
        <w:rPr>
          <w:w w:val="95"/>
        </w:rPr>
        <w:t>about</w:t>
      </w:r>
      <w:r>
        <w:rPr>
          <w:spacing w:val="8"/>
        </w:rPr>
        <w:t xml:space="preserve"> </w:t>
      </w:r>
      <w:r>
        <w:rPr>
          <w:w w:val="95"/>
        </w:rPr>
        <w:t>preventive</w:t>
      </w:r>
      <w:r>
        <w:rPr>
          <w:spacing w:val="2"/>
        </w:rPr>
        <w:t xml:space="preserve"> </w:t>
      </w:r>
      <w:r>
        <w:rPr>
          <w:w w:val="95"/>
        </w:rPr>
        <w:t>care</w:t>
      </w:r>
      <w:r>
        <w:rPr>
          <w:spacing w:val="5"/>
        </w:rPr>
        <w:t xml:space="preserve"> </w:t>
      </w:r>
      <w:r>
        <w:rPr>
          <w:w w:val="95"/>
        </w:rPr>
        <w:t>that</w:t>
      </w:r>
      <w:r>
        <w:rPr>
          <w:spacing w:val="5"/>
        </w:rPr>
        <w:t xml:space="preserve"> </w:t>
      </w:r>
      <w:r>
        <w:rPr>
          <w:w w:val="95"/>
        </w:rPr>
        <w:t>is</w:t>
      </w:r>
      <w:r>
        <w:rPr>
          <w:spacing w:val="4"/>
        </w:rPr>
        <w:t xml:space="preserve"> </w:t>
      </w:r>
      <w:r>
        <w:rPr>
          <w:w w:val="95"/>
        </w:rPr>
        <w:t>necessary</w:t>
      </w:r>
      <w:r>
        <w:rPr>
          <w:spacing w:val="8"/>
        </w:rPr>
        <w:t xml:space="preserve"> </w:t>
      </w:r>
      <w:r>
        <w:rPr>
          <w:w w:val="95"/>
        </w:rPr>
        <w:t>to</w:t>
      </w:r>
      <w:r>
        <w:rPr>
          <w:spacing w:val="8"/>
        </w:rPr>
        <w:t xml:space="preserve"> </w:t>
      </w:r>
      <w:r>
        <w:rPr>
          <w:w w:val="95"/>
        </w:rPr>
        <w:t>maintain</w:t>
      </w:r>
      <w:r>
        <w:rPr>
          <w:spacing w:val="4"/>
        </w:rPr>
        <w:t xml:space="preserve"> </w:t>
      </w:r>
      <w:r>
        <w:rPr>
          <w:w w:val="95"/>
        </w:rPr>
        <w:t>reproduct</w:t>
      </w:r>
      <w:r>
        <w:rPr>
          <w:w w:val="95"/>
        </w:rPr>
        <w:t>ive</w:t>
      </w:r>
      <w:r>
        <w:rPr>
          <w:spacing w:val="1"/>
        </w:rPr>
        <w:t xml:space="preserve"> </w:t>
      </w:r>
      <w:r>
        <w:rPr>
          <w:w w:val="95"/>
        </w:rPr>
        <w:t>and</w:t>
      </w:r>
      <w:r>
        <w:rPr>
          <w:spacing w:val="6"/>
        </w:rPr>
        <w:t xml:space="preserve"> </w:t>
      </w:r>
      <w:r>
        <w:rPr>
          <w:w w:val="95"/>
        </w:rPr>
        <w:t>sexual</w:t>
      </w:r>
      <w:r>
        <w:rPr>
          <w:spacing w:val="24"/>
        </w:rPr>
        <w:t xml:space="preserve"> </w:t>
      </w:r>
      <w:r>
        <w:rPr>
          <w:spacing w:val="-2"/>
          <w:w w:val="95"/>
        </w:rPr>
        <w:t>health:</w:t>
      </w:r>
    </w:p>
    <w:p w:rsidR="00C76E6D" w:rsidRDefault="00C76E6D">
      <w:pPr>
        <w:pStyle w:val="BodyText"/>
        <w:spacing w:before="4"/>
        <w:rPr>
          <w:b/>
          <w:sz w:val="29"/>
        </w:rPr>
      </w:pPr>
    </w:p>
    <w:p w:rsidR="00C76E6D" w:rsidRDefault="00913831">
      <w:pPr>
        <w:pStyle w:val="ListParagraph"/>
        <w:numPr>
          <w:ilvl w:val="0"/>
          <w:numId w:val="33"/>
        </w:numPr>
        <w:tabs>
          <w:tab w:val="left" w:pos="700"/>
        </w:tabs>
        <w:spacing w:line="271" w:lineRule="auto"/>
        <w:ind w:left="699" w:right="299" w:hanging="362"/>
        <w:jc w:val="both"/>
      </w:pPr>
      <w:r>
        <w:t>63.5% of Massachusetts secondary schools taught students about preventive care that is necessary to maintain reproductive</w:t>
      </w:r>
      <w:r>
        <w:rPr>
          <w:spacing w:val="-1"/>
        </w:rPr>
        <w:t xml:space="preserve"> </w:t>
      </w:r>
      <w:r>
        <w:t>and sexual</w:t>
      </w:r>
      <w:r>
        <w:rPr>
          <w:spacing w:val="-2"/>
        </w:rPr>
        <w:t xml:space="preserve"> </w:t>
      </w:r>
      <w:r>
        <w:t>health in</w:t>
      </w:r>
      <w:r>
        <w:rPr>
          <w:spacing w:val="-2"/>
        </w:rPr>
        <w:t xml:space="preserve"> </w:t>
      </w:r>
      <w:r>
        <w:t>a required course</w:t>
      </w:r>
      <w:r>
        <w:rPr>
          <w:spacing w:val="-5"/>
        </w:rPr>
        <w:t xml:space="preserve"> </w:t>
      </w:r>
      <w:r>
        <w:t>in</w:t>
      </w:r>
      <w:r>
        <w:rPr>
          <w:spacing w:val="-1"/>
        </w:rPr>
        <w:t xml:space="preserve"> </w:t>
      </w:r>
      <w:r>
        <w:t>any of</w:t>
      </w:r>
      <w:r>
        <w:rPr>
          <w:spacing w:val="-1"/>
        </w:rPr>
        <w:t xml:space="preserve"> </w:t>
      </w:r>
      <w:r>
        <w:t>grades 6, 7, or 8.</w:t>
      </w:r>
    </w:p>
    <w:p w:rsidR="00C76E6D" w:rsidRDefault="00913831">
      <w:pPr>
        <w:pStyle w:val="ListParagraph"/>
        <w:numPr>
          <w:ilvl w:val="0"/>
          <w:numId w:val="33"/>
        </w:numPr>
        <w:tabs>
          <w:tab w:val="left" w:pos="699"/>
        </w:tabs>
        <w:spacing w:before="12" w:line="271" w:lineRule="auto"/>
        <w:ind w:right="299"/>
        <w:jc w:val="both"/>
      </w:pPr>
      <w:r>
        <w:t>87.4% of Massachusetts secondary schools t</w:t>
      </w:r>
      <w:r>
        <w:t>aught students about preventive care that is necessary to maintain reproductive</w:t>
      </w:r>
      <w:r>
        <w:rPr>
          <w:spacing w:val="-4"/>
        </w:rPr>
        <w:t xml:space="preserve"> </w:t>
      </w:r>
      <w:r>
        <w:t>and sexual</w:t>
      </w:r>
      <w:r>
        <w:rPr>
          <w:spacing w:val="-4"/>
        </w:rPr>
        <w:t xml:space="preserve"> </w:t>
      </w:r>
      <w:r>
        <w:t>health in</w:t>
      </w:r>
      <w:r>
        <w:rPr>
          <w:spacing w:val="-5"/>
        </w:rPr>
        <w:t xml:space="preserve"> </w:t>
      </w:r>
      <w:r>
        <w:t>a</w:t>
      </w:r>
      <w:r>
        <w:rPr>
          <w:spacing w:val="-1"/>
        </w:rPr>
        <w:t xml:space="preserve"> </w:t>
      </w:r>
      <w:r>
        <w:t>required course</w:t>
      </w:r>
      <w:r>
        <w:rPr>
          <w:spacing w:val="-5"/>
        </w:rPr>
        <w:t xml:space="preserve"> </w:t>
      </w:r>
      <w:r>
        <w:t>in</w:t>
      </w:r>
      <w:r>
        <w:rPr>
          <w:spacing w:val="-1"/>
        </w:rPr>
        <w:t xml:space="preserve"> </w:t>
      </w:r>
      <w:r>
        <w:t>any of</w:t>
      </w:r>
      <w:r>
        <w:rPr>
          <w:spacing w:val="-3"/>
        </w:rPr>
        <w:t xml:space="preserve"> </w:t>
      </w:r>
      <w:r>
        <w:t>grades 9, 10, 11, or 12.</w:t>
      </w:r>
    </w:p>
    <w:p w:rsidR="00C76E6D" w:rsidRDefault="00C76E6D">
      <w:pPr>
        <w:pStyle w:val="BodyText"/>
        <w:rPr>
          <w:sz w:val="27"/>
        </w:rPr>
      </w:pPr>
    </w:p>
    <w:p w:rsidR="00C76E6D" w:rsidRDefault="00913831">
      <w:pPr>
        <w:pStyle w:val="Heading6"/>
        <w:ind w:left="338"/>
      </w:pPr>
      <w:bookmarkStart w:id="571" w:name="Reported_teaching_how_to_correctly_use_a"/>
      <w:bookmarkEnd w:id="571"/>
      <w:r>
        <w:rPr>
          <w:w w:val="95"/>
        </w:rPr>
        <w:t>Reported</w:t>
      </w:r>
      <w:r>
        <w:rPr>
          <w:spacing w:val="7"/>
        </w:rPr>
        <w:t xml:space="preserve"> </w:t>
      </w:r>
      <w:r>
        <w:rPr>
          <w:w w:val="95"/>
        </w:rPr>
        <w:t>teaching</w:t>
      </w:r>
      <w:r>
        <w:rPr>
          <w:spacing w:val="6"/>
        </w:rPr>
        <w:t xml:space="preserve"> </w:t>
      </w:r>
      <w:r>
        <w:rPr>
          <w:w w:val="95"/>
        </w:rPr>
        <w:t>how</w:t>
      </w:r>
      <w:r>
        <w:rPr>
          <w:spacing w:val="9"/>
        </w:rPr>
        <w:t xml:space="preserve"> </w:t>
      </w:r>
      <w:r>
        <w:rPr>
          <w:w w:val="95"/>
        </w:rPr>
        <w:t>to</w:t>
      </w:r>
      <w:r>
        <w:rPr>
          <w:spacing w:val="9"/>
        </w:rPr>
        <w:t xml:space="preserve"> </w:t>
      </w:r>
      <w:r>
        <w:rPr>
          <w:w w:val="95"/>
        </w:rPr>
        <w:t>correctly</w:t>
      </w:r>
      <w:r>
        <w:rPr>
          <w:spacing w:val="9"/>
        </w:rPr>
        <w:t xml:space="preserve"> </w:t>
      </w:r>
      <w:r>
        <w:rPr>
          <w:w w:val="95"/>
        </w:rPr>
        <w:t>use</w:t>
      </w:r>
      <w:r>
        <w:rPr>
          <w:spacing w:val="11"/>
        </w:rPr>
        <w:t xml:space="preserve"> </w:t>
      </w:r>
      <w:r>
        <w:rPr>
          <w:w w:val="95"/>
        </w:rPr>
        <w:t>a</w:t>
      </w:r>
      <w:r>
        <w:rPr>
          <w:spacing w:val="6"/>
        </w:rPr>
        <w:t xml:space="preserve"> </w:t>
      </w:r>
      <w:r>
        <w:rPr>
          <w:spacing w:val="-2"/>
          <w:w w:val="95"/>
        </w:rPr>
        <w:t>condom:</w:t>
      </w:r>
    </w:p>
    <w:p w:rsidR="00C76E6D" w:rsidRDefault="00C76E6D">
      <w:pPr>
        <w:pStyle w:val="BodyText"/>
        <w:spacing w:before="8"/>
        <w:rPr>
          <w:b/>
          <w:sz w:val="28"/>
        </w:rPr>
      </w:pPr>
    </w:p>
    <w:p w:rsidR="00C76E6D" w:rsidRDefault="00913831">
      <w:pPr>
        <w:pStyle w:val="ListParagraph"/>
        <w:numPr>
          <w:ilvl w:val="0"/>
          <w:numId w:val="33"/>
        </w:numPr>
        <w:tabs>
          <w:tab w:val="left" w:pos="699"/>
        </w:tabs>
        <w:spacing w:line="273" w:lineRule="auto"/>
        <w:ind w:left="699" w:right="297" w:hanging="362"/>
        <w:jc w:val="both"/>
      </w:pPr>
      <w:r>
        <w:t>36.7%</w:t>
      </w:r>
      <w:r>
        <w:rPr>
          <w:spacing w:val="-3"/>
        </w:rPr>
        <w:t xml:space="preserve"> </w:t>
      </w:r>
      <w:r>
        <w:t>of</w:t>
      </w:r>
      <w:r>
        <w:rPr>
          <w:spacing w:val="-3"/>
        </w:rPr>
        <w:t xml:space="preserve"> </w:t>
      </w:r>
      <w:r>
        <w:t>Massachusetts</w:t>
      </w:r>
      <w:r>
        <w:rPr>
          <w:spacing w:val="-1"/>
        </w:rPr>
        <w:t xml:space="preserve"> </w:t>
      </w:r>
      <w:r>
        <w:t>secondary</w:t>
      </w:r>
      <w:r>
        <w:rPr>
          <w:spacing w:val="-3"/>
        </w:rPr>
        <w:t xml:space="preserve"> </w:t>
      </w:r>
      <w:r>
        <w:t>schools</w:t>
      </w:r>
      <w:r>
        <w:rPr>
          <w:spacing w:val="-2"/>
        </w:rPr>
        <w:t xml:space="preserve"> </w:t>
      </w:r>
      <w:r>
        <w:t>taught</w:t>
      </w:r>
      <w:r>
        <w:rPr>
          <w:spacing w:val="-2"/>
        </w:rPr>
        <w:t xml:space="preserve"> </w:t>
      </w:r>
      <w:r>
        <w:t>students</w:t>
      </w:r>
      <w:r>
        <w:rPr>
          <w:spacing w:val="-1"/>
        </w:rPr>
        <w:t xml:space="preserve"> </w:t>
      </w:r>
      <w:r>
        <w:t>how</w:t>
      </w:r>
      <w:r>
        <w:rPr>
          <w:spacing w:val="-2"/>
        </w:rPr>
        <w:t xml:space="preserve"> </w:t>
      </w:r>
      <w:r>
        <w:t>to</w:t>
      </w:r>
      <w:r>
        <w:rPr>
          <w:spacing w:val="-2"/>
        </w:rPr>
        <w:t xml:space="preserve"> </w:t>
      </w:r>
      <w:r>
        <w:t>correctly</w:t>
      </w:r>
      <w:r>
        <w:rPr>
          <w:spacing w:val="-2"/>
        </w:rPr>
        <w:t xml:space="preserve"> </w:t>
      </w:r>
      <w:r>
        <w:t>use</w:t>
      </w:r>
      <w:r>
        <w:rPr>
          <w:spacing w:val="-2"/>
        </w:rPr>
        <w:t xml:space="preserve"> </w:t>
      </w:r>
      <w:r>
        <w:t>a</w:t>
      </w:r>
      <w:r>
        <w:rPr>
          <w:spacing w:val="-2"/>
        </w:rPr>
        <w:t xml:space="preserve"> </w:t>
      </w:r>
      <w:r>
        <w:t>condom</w:t>
      </w:r>
      <w:r>
        <w:rPr>
          <w:spacing w:val="-3"/>
        </w:rPr>
        <w:t xml:space="preserve"> </w:t>
      </w:r>
      <w:r>
        <w:t>in a</w:t>
      </w:r>
      <w:r>
        <w:rPr>
          <w:spacing w:val="-2"/>
        </w:rPr>
        <w:t xml:space="preserve"> </w:t>
      </w:r>
      <w:r>
        <w:t>required course in any of grades 6, 7, or 8.</w:t>
      </w:r>
    </w:p>
    <w:p w:rsidR="00C76E6D" w:rsidRDefault="00913831">
      <w:pPr>
        <w:pStyle w:val="ListParagraph"/>
        <w:numPr>
          <w:ilvl w:val="0"/>
          <w:numId w:val="33"/>
        </w:numPr>
        <w:tabs>
          <w:tab w:val="left" w:pos="699"/>
        </w:tabs>
        <w:spacing w:before="4" w:line="271" w:lineRule="auto"/>
        <w:ind w:left="699" w:right="298" w:hanging="362"/>
        <w:jc w:val="both"/>
      </w:pPr>
      <w:r>
        <w:t>79.3%</w:t>
      </w:r>
      <w:r>
        <w:rPr>
          <w:spacing w:val="-3"/>
        </w:rPr>
        <w:t xml:space="preserve"> </w:t>
      </w:r>
      <w:r>
        <w:t>of</w:t>
      </w:r>
      <w:r>
        <w:rPr>
          <w:spacing w:val="-3"/>
        </w:rPr>
        <w:t xml:space="preserve"> </w:t>
      </w:r>
      <w:r>
        <w:t>Massachusetts</w:t>
      </w:r>
      <w:r>
        <w:rPr>
          <w:spacing w:val="-1"/>
        </w:rPr>
        <w:t xml:space="preserve"> </w:t>
      </w:r>
      <w:r>
        <w:t>secondary</w:t>
      </w:r>
      <w:r>
        <w:rPr>
          <w:spacing w:val="-2"/>
        </w:rPr>
        <w:t xml:space="preserve"> </w:t>
      </w:r>
      <w:r>
        <w:t>schools</w:t>
      </w:r>
      <w:r>
        <w:rPr>
          <w:spacing w:val="-2"/>
        </w:rPr>
        <w:t xml:space="preserve"> </w:t>
      </w:r>
      <w:r>
        <w:t>taught</w:t>
      </w:r>
      <w:r>
        <w:rPr>
          <w:spacing w:val="-3"/>
        </w:rPr>
        <w:t xml:space="preserve"> </w:t>
      </w:r>
      <w:r>
        <w:t>students</w:t>
      </w:r>
      <w:r>
        <w:rPr>
          <w:spacing w:val="-1"/>
        </w:rPr>
        <w:t xml:space="preserve"> </w:t>
      </w:r>
      <w:r>
        <w:t>how</w:t>
      </w:r>
      <w:r>
        <w:rPr>
          <w:spacing w:val="-2"/>
        </w:rPr>
        <w:t xml:space="preserve"> </w:t>
      </w:r>
      <w:r>
        <w:t>to correctly</w:t>
      </w:r>
      <w:r>
        <w:rPr>
          <w:spacing w:val="-2"/>
        </w:rPr>
        <w:t xml:space="preserve"> </w:t>
      </w:r>
      <w:r>
        <w:t>use</w:t>
      </w:r>
      <w:r>
        <w:rPr>
          <w:spacing w:val="-2"/>
        </w:rPr>
        <w:t xml:space="preserve"> </w:t>
      </w:r>
      <w:r>
        <w:t>a</w:t>
      </w:r>
      <w:r>
        <w:rPr>
          <w:spacing w:val="-2"/>
        </w:rPr>
        <w:t xml:space="preserve"> </w:t>
      </w:r>
      <w:r>
        <w:t>condom</w:t>
      </w:r>
      <w:r>
        <w:rPr>
          <w:spacing w:val="-2"/>
        </w:rPr>
        <w:t xml:space="preserve"> </w:t>
      </w:r>
      <w:r>
        <w:t>in a</w:t>
      </w:r>
      <w:r>
        <w:rPr>
          <w:spacing w:val="-2"/>
        </w:rPr>
        <w:t xml:space="preserve"> </w:t>
      </w:r>
      <w:r>
        <w:t>required course in any of grades 9, 10, 11, or 12.</w:t>
      </w:r>
    </w:p>
    <w:p w:rsidR="00C76E6D" w:rsidRDefault="00C76E6D">
      <w:pPr>
        <w:pStyle w:val="BodyText"/>
        <w:spacing w:before="11"/>
        <w:rPr>
          <w:sz w:val="25"/>
        </w:rPr>
      </w:pPr>
    </w:p>
    <w:p w:rsidR="00C76E6D" w:rsidRDefault="00913831">
      <w:pPr>
        <w:pStyle w:val="Heading6"/>
        <w:spacing w:line="276" w:lineRule="auto"/>
        <w:ind w:left="338" w:right="470"/>
      </w:pPr>
      <w:bookmarkStart w:id="572" w:name="Reported_teaching_about_methods_of_contr"/>
      <w:bookmarkEnd w:id="572"/>
      <w:r>
        <w:t>Reported</w:t>
      </w:r>
      <w:r>
        <w:rPr>
          <w:spacing w:val="-3"/>
        </w:rPr>
        <w:t xml:space="preserve"> </w:t>
      </w:r>
      <w:r>
        <w:t>teaching</w:t>
      </w:r>
      <w:r>
        <w:rPr>
          <w:spacing w:val="-4"/>
        </w:rPr>
        <w:t xml:space="preserve"> </w:t>
      </w:r>
      <w:r>
        <w:t>about</w:t>
      </w:r>
      <w:r>
        <w:rPr>
          <w:spacing w:val="-2"/>
        </w:rPr>
        <w:t xml:space="preserve"> </w:t>
      </w:r>
      <w:r>
        <w:t>methods</w:t>
      </w:r>
      <w:r>
        <w:rPr>
          <w:spacing w:val="-3"/>
        </w:rPr>
        <w:t xml:space="preserve"> </w:t>
      </w:r>
      <w:r>
        <w:t>of</w:t>
      </w:r>
      <w:r>
        <w:rPr>
          <w:spacing w:val="-3"/>
        </w:rPr>
        <w:t xml:space="preserve"> </w:t>
      </w:r>
      <w:r>
        <w:t>contraception</w:t>
      </w:r>
      <w:r>
        <w:rPr>
          <w:spacing w:val="-3"/>
        </w:rPr>
        <w:t xml:space="preserve"> </w:t>
      </w:r>
      <w:r>
        <w:t>other</w:t>
      </w:r>
      <w:r>
        <w:rPr>
          <w:spacing w:val="-3"/>
        </w:rPr>
        <w:t xml:space="preserve"> </w:t>
      </w:r>
      <w:r>
        <w:t>than</w:t>
      </w:r>
      <w:r>
        <w:rPr>
          <w:spacing w:val="-4"/>
        </w:rPr>
        <w:t xml:space="preserve"> </w:t>
      </w:r>
      <w:r>
        <w:t>condoms</w:t>
      </w:r>
      <w:r>
        <w:rPr>
          <w:spacing w:val="-3"/>
        </w:rPr>
        <w:t xml:space="preserve"> </w:t>
      </w:r>
      <w:r>
        <w:t>(LGBTQ</w:t>
      </w:r>
      <w:r>
        <w:rPr>
          <w:spacing w:val="-3"/>
        </w:rPr>
        <w:t xml:space="preserve"> </w:t>
      </w:r>
      <w:r>
        <w:t>youth</w:t>
      </w:r>
      <w:r>
        <w:rPr>
          <w:spacing w:val="-3"/>
        </w:rPr>
        <w:t xml:space="preserve"> </w:t>
      </w:r>
      <w:r>
        <w:t>are</w:t>
      </w:r>
      <w:r>
        <w:rPr>
          <w:spacing w:val="-3"/>
        </w:rPr>
        <w:t xml:space="preserve"> </w:t>
      </w:r>
      <w:r>
        <w:t>at</w:t>
      </w:r>
      <w:r>
        <w:rPr>
          <w:spacing w:val="-5"/>
        </w:rPr>
        <w:t xml:space="preserve"> </w:t>
      </w:r>
      <w:r>
        <w:t>higher</w:t>
      </w:r>
      <w:r>
        <w:rPr>
          <w:spacing w:val="-3"/>
        </w:rPr>
        <w:t xml:space="preserve"> </w:t>
      </w:r>
      <w:r>
        <w:t>risk for unintended pregnancies:</w:t>
      </w:r>
    </w:p>
    <w:p w:rsidR="00C76E6D" w:rsidRDefault="00C76E6D">
      <w:pPr>
        <w:pStyle w:val="BodyText"/>
        <w:spacing w:before="4"/>
        <w:rPr>
          <w:b/>
          <w:sz w:val="26"/>
        </w:rPr>
      </w:pPr>
    </w:p>
    <w:p w:rsidR="00C76E6D" w:rsidRDefault="00913831">
      <w:pPr>
        <w:pStyle w:val="ListParagraph"/>
        <w:numPr>
          <w:ilvl w:val="0"/>
          <w:numId w:val="33"/>
        </w:numPr>
        <w:tabs>
          <w:tab w:val="left" w:pos="698"/>
          <w:tab w:val="left" w:pos="699"/>
        </w:tabs>
        <w:ind w:hanging="361"/>
      </w:pPr>
      <w:r>
        <w:rPr>
          <w:spacing w:val="-2"/>
        </w:rPr>
        <w:t>51.6% of</w:t>
      </w:r>
      <w:r>
        <w:t xml:space="preserve"> </w:t>
      </w:r>
      <w:r>
        <w:rPr>
          <w:spacing w:val="-2"/>
        </w:rPr>
        <w:t>Massachusetts</w:t>
      </w:r>
      <w:r>
        <w:rPr>
          <w:spacing w:val="1"/>
        </w:rPr>
        <w:t xml:space="preserve"> </w:t>
      </w:r>
      <w:r>
        <w:rPr>
          <w:spacing w:val="-2"/>
        </w:rPr>
        <w:t>secondary schools</w:t>
      </w:r>
      <w:r>
        <w:t xml:space="preserve"> </w:t>
      </w:r>
      <w:r>
        <w:rPr>
          <w:spacing w:val="-2"/>
        </w:rPr>
        <w:t>taught</w:t>
      </w:r>
      <w:r>
        <w:t xml:space="preserve"> </w:t>
      </w:r>
      <w:r>
        <w:rPr>
          <w:spacing w:val="-2"/>
        </w:rPr>
        <w:t>students</w:t>
      </w:r>
      <w:r>
        <w:t xml:space="preserve"> </w:t>
      </w:r>
      <w:r>
        <w:rPr>
          <w:spacing w:val="-2"/>
        </w:rPr>
        <w:t>about</w:t>
      </w:r>
      <w:r>
        <w:t xml:space="preserve"> </w:t>
      </w:r>
      <w:r>
        <w:rPr>
          <w:spacing w:val="-2"/>
        </w:rPr>
        <w:t>methods</w:t>
      </w:r>
      <w:r>
        <w:rPr>
          <w:spacing w:val="1"/>
        </w:rPr>
        <w:t xml:space="preserve"> </w:t>
      </w:r>
      <w:r>
        <w:rPr>
          <w:spacing w:val="-2"/>
        </w:rPr>
        <w:t>of</w:t>
      </w:r>
      <w:r>
        <w:t xml:space="preserve"> </w:t>
      </w:r>
      <w:r>
        <w:rPr>
          <w:spacing w:val="-2"/>
        </w:rPr>
        <w:t>contraception</w:t>
      </w:r>
      <w:r>
        <w:rPr>
          <w:spacing w:val="1"/>
        </w:rPr>
        <w:t xml:space="preserve"> </w:t>
      </w:r>
      <w:r>
        <w:rPr>
          <w:spacing w:val="-2"/>
        </w:rPr>
        <w:t>other</w:t>
      </w:r>
      <w:r>
        <w:t xml:space="preserve"> </w:t>
      </w:r>
      <w:r>
        <w:rPr>
          <w:spacing w:val="-4"/>
        </w:rPr>
        <w:t>than</w:t>
      </w:r>
    </w:p>
    <w:p w:rsidR="00C76E6D" w:rsidRDefault="00C76E6D">
      <w:pPr>
        <w:sectPr w:rsidR="00C76E6D">
          <w:pgSz w:w="12240" w:h="15840"/>
          <w:pgMar w:top="1000" w:right="960" w:bottom="640" w:left="960" w:header="802" w:footer="440" w:gutter="0"/>
          <w:cols w:space="720"/>
        </w:sectPr>
      </w:pPr>
    </w:p>
    <w:p w:rsidR="00C76E6D" w:rsidRDefault="00C76E6D">
      <w:pPr>
        <w:pStyle w:val="BodyText"/>
        <w:spacing w:before="6"/>
        <w:rPr>
          <w:sz w:val="21"/>
        </w:rPr>
      </w:pPr>
    </w:p>
    <w:p w:rsidR="00C76E6D" w:rsidRDefault="00913831">
      <w:pPr>
        <w:pStyle w:val="BodyText"/>
        <w:spacing w:before="55"/>
        <w:ind w:left="698"/>
      </w:pPr>
      <w:r>
        <w:t>condoms</w:t>
      </w:r>
      <w:r>
        <w:rPr>
          <w:spacing w:val="-10"/>
        </w:rPr>
        <w:t xml:space="preserve"> </w:t>
      </w:r>
      <w:r>
        <w:t>in</w:t>
      </w:r>
      <w:r>
        <w:rPr>
          <w:spacing w:val="-10"/>
        </w:rPr>
        <w:t xml:space="preserve"> </w:t>
      </w:r>
      <w:r>
        <w:t>a</w:t>
      </w:r>
      <w:r>
        <w:rPr>
          <w:spacing w:val="-7"/>
        </w:rPr>
        <w:t xml:space="preserve"> </w:t>
      </w:r>
      <w:r>
        <w:t>required</w:t>
      </w:r>
      <w:r>
        <w:rPr>
          <w:spacing w:val="-10"/>
        </w:rPr>
        <w:t xml:space="preserve"> </w:t>
      </w:r>
      <w:r>
        <w:t>course</w:t>
      </w:r>
      <w:r>
        <w:rPr>
          <w:spacing w:val="-11"/>
        </w:rPr>
        <w:t xml:space="preserve"> </w:t>
      </w:r>
      <w:r>
        <w:t>in</w:t>
      </w:r>
      <w:r>
        <w:rPr>
          <w:spacing w:val="-10"/>
        </w:rPr>
        <w:t xml:space="preserve"> </w:t>
      </w:r>
      <w:r>
        <w:t>any</w:t>
      </w:r>
      <w:r>
        <w:rPr>
          <w:spacing w:val="-9"/>
        </w:rPr>
        <w:t xml:space="preserve"> </w:t>
      </w:r>
      <w:r>
        <w:t>of</w:t>
      </w:r>
      <w:r>
        <w:rPr>
          <w:spacing w:val="-9"/>
        </w:rPr>
        <w:t xml:space="preserve"> </w:t>
      </w:r>
      <w:r>
        <w:t>grades</w:t>
      </w:r>
      <w:r>
        <w:rPr>
          <w:spacing w:val="-10"/>
        </w:rPr>
        <w:t xml:space="preserve"> </w:t>
      </w:r>
      <w:r>
        <w:t>6,</w:t>
      </w:r>
      <w:r>
        <w:rPr>
          <w:spacing w:val="-10"/>
        </w:rPr>
        <w:t xml:space="preserve"> </w:t>
      </w:r>
      <w:r>
        <w:t>7,</w:t>
      </w:r>
      <w:r>
        <w:rPr>
          <w:spacing w:val="-9"/>
        </w:rPr>
        <w:t xml:space="preserve"> </w:t>
      </w:r>
      <w:r>
        <w:t>or</w:t>
      </w:r>
      <w:r>
        <w:rPr>
          <w:spacing w:val="-11"/>
        </w:rPr>
        <w:t xml:space="preserve"> </w:t>
      </w:r>
      <w:r>
        <w:rPr>
          <w:spacing w:val="-5"/>
        </w:rPr>
        <w:t>8.</w:t>
      </w:r>
    </w:p>
    <w:p w:rsidR="00C76E6D" w:rsidRDefault="00913831">
      <w:pPr>
        <w:pStyle w:val="ListParagraph"/>
        <w:numPr>
          <w:ilvl w:val="0"/>
          <w:numId w:val="33"/>
        </w:numPr>
        <w:tabs>
          <w:tab w:val="left" w:pos="698"/>
          <w:tab w:val="left" w:pos="699"/>
        </w:tabs>
        <w:spacing w:before="40" w:line="271" w:lineRule="auto"/>
        <w:ind w:right="370"/>
      </w:pPr>
      <w:r>
        <w:t>86.5%</w:t>
      </w:r>
      <w:r>
        <w:rPr>
          <w:spacing w:val="-4"/>
        </w:rPr>
        <w:t xml:space="preserve"> </w:t>
      </w:r>
      <w:r>
        <w:t>of</w:t>
      </w:r>
      <w:r>
        <w:rPr>
          <w:spacing w:val="-4"/>
        </w:rPr>
        <w:t xml:space="preserve"> </w:t>
      </w:r>
      <w:r>
        <w:t>Massachusetts</w:t>
      </w:r>
      <w:r>
        <w:rPr>
          <w:spacing w:val="-3"/>
        </w:rPr>
        <w:t xml:space="preserve"> </w:t>
      </w:r>
      <w:r>
        <w:t>secondary</w:t>
      </w:r>
      <w:r>
        <w:rPr>
          <w:spacing w:val="-4"/>
        </w:rPr>
        <w:t xml:space="preserve"> </w:t>
      </w:r>
      <w:r>
        <w:t>schools</w:t>
      </w:r>
      <w:r>
        <w:rPr>
          <w:spacing w:val="-4"/>
        </w:rPr>
        <w:t xml:space="preserve"> </w:t>
      </w:r>
      <w:r>
        <w:t>taught</w:t>
      </w:r>
      <w:r>
        <w:rPr>
          <w:spacing w:val="-4"/>
        </w:rPr>
        <w:t xml:space="preserve"> </w:t>
      </w:r>
      <w:r>
        <w:t>students</w:t>
      </w:r>
      <w:r>
        <w:rPr>
          <w:spacing w:val="-4"/>
        </w:rPr>
        <w:t xml:space="preserve"> </w:t>
      </w:r>
      <w:r>
        <w:t>about</w:t>
      </w:r>
      <w:r>
        <w:rPr>
          <w:spacing w:val="-4"/>
        </w:rPr>
        <w:t xml:space="preserve"> </w:t>
      </w:r>
      <w:r>
        <w:t>methods</w:t>
      </w:r>
      <w:r>
        <w:rPr>
          <w:spacing w:val="-3"/>
        </w:rPr>
        <w:t xml:space="preserve"> </w:t>
      </w:r>
      <w:r>
        <w:t>of</w:t>
      </w:r>
      <w:r>
        <w:rPr>
          <w:spacing w:val="-4"/>
        </w:rPr>
        <w:t xml:space="preserve"> </w:t>
      </w:r>
      <w:r>
        <w:t>contraception</w:t>
      </w:r>
      <w:r>
        <w:rPr>
          <w:spacing w:val="-4"/>
        </w:rPr>
        <w:t xml:space="preserve"> </w:t>
      </w:r>
      <w:r>
        <w:t>other</w:t>
      </w:r>
      <w:r>
        <w:rPr>
          <w:spacing w:val="-4"/>
        </w:rPr>
        <w:t xml:space="preserve"> </w:t>
      </w:r>
      <w:r>
        <w:t>than condoms in a required course in any of grades 9, 10, 11, or 12.</w:t>
      </w:r>
    </w:p>
    <w:p w:rsidR="00C76E6D" w:rsidRDefault="00C76E6D">
      <w:pPr>
        <w:pStyle w:val="BodyText"/>
        <w:spacing w:before="9"/>
        <w:rPr>
          <w:sz w:val="26"/>
        </w:rPr>
      </w:pPr>
    </w:p>
    <w:p w:rsidR="00C76E6D" w:rsidRDefault="00913831">
      <w:pPr>
        <w:pStyle w:val="Heading6"/>
        <w:ind w:left="338"/>
      </w:pPr>
      <w:bookmarkStart w:id="573" w:name="Reported_teaching_about_sexual_orientati"/>
      <w:bookmarkEnd w:id="573"/>
      <w:r>
        <w:rPr>
          <w:w w:val="95"/>
        </w:rPr>
        <w:t>Reported</w:t>
      </w:r>
      <w:r>
        <w:rPr>
          <w:spacing w:val="11"/>
        </w:rPr>
        <w:t xml:space="preserve"> </w:t>
      </w:r>
      <w:r>
        <w:rPr>
          <w:w w:val="95"/>
        </w:rPr>
        <w:t>teaching</w:t>
      </w:r>
      <w:r>
        <w:rPr>
          <w:spacing w:val="10"/>
        </w:rPr>
        <w:t xml:space="preserve"> </w:t>
      </w:r>
      <w:r>
        <w:rPr>
          <w:w w:val="95"/>
        </w:rPr>
        <w:t>about</w:t>
      </w:r>
      <w:r>
        <w:rPr>
          <w:spacing w:val="13"/>
        </w:rPr>
        <w:t xml:space="preserve"> </w:t>
      </w:r>
      <w:r>
        <w:rPr>
          <w:w w:val="95"/>
        </w:rPr>
        <w:t>sexual</w:t>
      </w:r>
      <w:r>
        <w:rPr>
          <w:spacing w:val="18"/>
        </w:rPr>
        <w:t xml:space="preserve"> </w:t>
      </w:r>
      <w:r>
        <w:rPr>
          <w:spacing w:val="-2"/>
          <w:w w:val="95"/>
        </w:rPr>
        <w:t>orientation:</w:t>
      </w:r>
    </w:p>
    <w:p w:rsidR="00C76E6D" w:rsidRDefault="00C76E6D">
      <w:pPr>
        <w:pStyle w:val="BodyText"/>
        <w:spacing w:before="4"/>
        <w:rPr>
          <w:b/>
          <w:sz w:val="29"/>
        </w:rPr>
      </w:pPr>
    </w:p>
    <w:p w:rsidR="00C76E6D" w:rsidRDefault="00913831">
      <w:pPr>
        <w:pStyle w:val="ListParagraph"/>
        <w:numPr>
          <w:ilvl w:val="0"/>
          <w:numId w:val="33"/>
        </w:numPr>
        <w:tabs>
          <w:tab w:val="left" w:pos="698"/>
          <w:tab w:val="left" w:pos="699"/>
        </w:tabs>
        <w:spacing w:line="273" w:lineRule="auto"/>
        <w:ind w:right="414"/>
      </w:pPr>
      <w:r>
        <w:t>63%</w:t>
      </w:r>
      <w:r>
        <w:rPr>
          <w:spacing w:val="-4"/>
        </w:rPr>
        <w:t xml:space="preserve"> </w:t>
      </w:r>
      <w:r>
        <w:t>of</w:t>
      </w:r>
      <w:r>
        <w:rPr>
          <w:spacing w:val="-4"/>
        </w:rPr>
        <w:t xml:space="preserve"> </w:t>
      </w:r>
      <w:r>
        <w:t>Massachusetts</w:t>
      </w:r>
      <w:r>
        <w:rPr>
          <w:spacing w:val="-4"/>
        </w:rPr>
        <w:t xml:space="preserve"> </w:t>
      </w:r>
      <w:r>
        <w:t>secondary</w:t>
      </w:r>
      <w:r>
        <w:rPr>
          <w:spacing w:val="-4"/>
        </w:rPr>
        <w:t xml:space="preserve"> </w:t>
      </w:r>
      <w:r>
        <w:t>schools</w:t>
      </w:r>
      <w:r>
        <w:rPr>
          <w:spacing w:val="-4"/>
        </w:rPr>
        <w:t xml:space="preserve"> </w:t>
      </w:r>
      <w:r>
        <w:t>taught</w:t>
      </w:r>
      <w:r>
        <w:rPr>
          <w:spacing w:val="-4"/>
        </w:rPr>
        <w:t xml:space="preserve"> </w:t>
      </w:r>
      <w:r>
        <w:t>students</w:t>
      </w:r>
      <w:r>
        <w:rPr>
          <w:spacing w:val="-4"/>
        </w:rPr>
        <w:t xml:space="preserve"> </w:t>
      </w:r>
      <w:r>
        <w:t>about</w:t>
      </w:r>
      <w:r>
        <w:rPr>
          <w:spacing w:val="-4"/>
        </w:rPr>
        <w:t xml:space="preserve"> </w:t>
      </w:r>
      <w:r>
        <w:t>sexual</w:t>
      </w:r>
      <w:r>
        <w:rPr>
          <w:spacing w:val="-4"/>
        </w:rPr>
        <w:t xml:space="preserve"> </w:t>
      </w:r>
      <w:r>
        <w:t>orientation</w:t>
      </w:r>
      <w:r>
        <w:rPr>
          <w:spacing w:val="-4"/>
        </w:rPr>
        <w:t xml:space="preserve"> </w:t>
      </w:r>
      <w:r>
        <w:t>in</w:t>
      </w:r>
      <w:r>
        <w:rPr>
          <w:spacing w:val="-4"/>
        </w:rPr>
        <w:t xml:space="preserve"> </w:t>
      </w:r>
      <w:r>
        <w:t>a</w:t>
      </w:r>
      <w:r>
        <w:rPr>
          <w:spacing w:val="-2"/>
        </w:rPr>
        <w:t xml:space="preserve"> </w:t>
      </w:r>
      <w:r>
        <w:t>required</w:t>
      </w:r>
      <w:r>
        <w:rPr>
          <w:spacing w:val="-4"/>
        </w:rPr>
        <w:t xml:space="preserve"> </w:t>
      </w:r>
      <w:r>
        <w:t>course in any of grades 6, 7, or 8.</w:t>
      </w:r>
    </w:p>
    <w:p w:rsidR="00C76E6D" w:rsidRDefault="00913831">
      <w:pPr>
        <w:pStyle w:val="ListParagraph"/>
        <w:numPr>
          <w:ilvl w:val="0"/>
          <w:numId w:val="33"/>
        </w:numPr>
        <w:tabs>
          <w:tab w:val="left" w:pos="698"/>
          <w:tab w:val="left" w:pos="699"/>
        </w:tabs>
        <w:spacing w:before="7" w:line="271" w:lineRule="auto"/>
        <w:ind w:right="346" w:hanging="361"/>
      </w:pPr>
      <w:r>
        <w:t>82.9%</w:t>
      </w:r>
      <w:r>
        <w:rPr>
          <w:spacing w:val="-13"/>
        </w:rPr>
        <w:t xml:space="preserve"> </w:t>
      </w:r>
      <w:r>
        <w:t>of</w:t>
      </w:r>
      <w:r>
        <w:rPr>
          <w:spacing w:val="-10"/>
        </w:rPr>
        <w:t xml:space="preserve"> </w:t>
      </w:r>
      <w:r>
        <w:t>Massachusetts</w:t>
      </w:r>
      <w:r>
        <w:rPr>
          <w:spacing w:val="-13"/>
        </w:rPr>
        <w:t xml:space="preserve"> </w:t>
      </w:r>
      <w:r>
        <w:t>secondary</w:t>
      </w:r>
      <w:r>
        <w:rPr>
          <w:spacing w:val="-12"/>
        </w:rPr>
        <w:t xml:space="preserve"> </w:t>
      </w:r>
      <w:r>
        <w:t>schools</w:t>
      </w:r>
      <w:r>
        <w:rPr>
          <w:spacing w:val="-12"/>
        </w:rPr>
        <w:t xml:space="preserve"> </w:t>
      </w:r>
      <w:r>
        <w:t>taught</w:t>
      </w:r>
      <w:r>
        <w:rPr>
          <w:spacing w:val="-12"/>
        </w:rPr>
        <w:t xml:space="preserve"> </w:t>
      </w:r>
      <w:r>
        <w:t>students</w:t>
      </w:r>
      <w:r>
        <w:rPr>
          <w:spacing w:val="-11"/>
        </w:rPr>
        <w:t xml:space="preserve"> </w:t>
      </w:r>
      <w:r>
        <w:t>about</w:t>
      </w:r>
      <w:r>
        <w:rPr>
          <w:spacing w:val="-12"/>
        </w:rPr>
        <w:t xml:space="preserve"> </w:t>
      </w:r>
      <w:r>
        <w:t>sexual</w:t>
      </w:r>
      <w:r>
        <w:rPr>
          <w:spacing w:val="-13"/>
        </w:rPr>
        <w:t xml:space="preserve"> </w:t>
      </w:r>
      <w:r>
        <w:t>orientation</w:t>
      </w:r>
      <w:r>
        <w:rPr>
          <w:spacing w:val="-9"/>
        </w:rPr>
        <w:t xml:space="preserve"> </w:t>
      </w:r>
      <w:r>
        <w:t>in</w:t>
      </w:r>
      <w:r>
        <w:rPr>
          <w:spacing w:val="-11"/>
        </w:rPr>
        <w:t xml:space="preserve"> </w:t>
      </w:r>
      <w:r>
        <w:t>a</w:t>
      </w:r>
      <w:r>
        <w:rPr>
          <w:spacing w:val="-8"/>
        </w:rPr>
        <w:t xml:space="preserve"> </w:t>
      </w:r>
      <w:r>
        <w:t>required</w:t>
      </w:r>
      <w:r>
        <w:rPr>
          <w:spacing w:val="-9"/>
        </w:rPr>
        <w:t xml:space="preserve"> </w:t>
      </w:r>
      <w:r>
        <w:t>course in any of grades 9, 10, 11, or 12.</w:t>
      </w:r>
    </w:p>
    <w:p w:rsidR="00C76E6D" w:rsidRDefault="00C76E6D">
      <w:pPr>
        <w:pStyle w:val="BodyText"/>
        <w:spacing w:before="8"/>
        <w:rPr>
          <w:sz w:val="26"/>
        </w:rPr>
      </w:pPr>
    </w:p>
    <w:p w:rsidR="00C76E6D" w:rsidRDefault="00913831">
      <w:pPr>
        <w:pStyle w:val="Heading6"/>
        <w:ind w:left="338"/>
      </w:pPr>
      <w:bookmarkStart w:id="574" w:name="Reported_teaching_about_gender_roles,_ge"/>
      <w:bookmarkEnd w:id="574"/>
      <w:r>
        <w:rPr>
          <w:w w:val="95"/>
        </w:rPr>
        <w:t>Reported</w:t>
      </w:r>
      <w:r>
        <w:rPr>
          <w:spacing w:val="9"/>
        </w:rPr>
        <w:t xml:space="preserve"> </w:t>
      </w:r>
      <w:r>
        <w:rPr>
          <w:w w:val="95"/>
        </w:rPr>
        <w:t>teaching</w:t>
      </w:r>
      <w:r>
        <w:rPr>
          <w:spacing w:val="9"/>
        </w:rPr>
        <w:t xml:space="preserve"> </w:t>
      </w:r>
      <w:r>
        <w:rPr>
          <w:w w:val="95"/>
        </w:rPr>
        <w:t>about</w:t>
      </w:r>
      <w:r>
        <w:rPr>
          <w:spacing w:val="7"/>
        </w:rPr>
        <w:t xml:space="preserve"> </w:t>
      </w:r>
      <w:r>
        <w:rPr>
          <w:w w:val="95"/>
        </w:rPr>
        <w:t>gender</w:t>
      </w:r>
      <w:r>
        <w:rPr>
          <w:spacing w:val="14"/>
        </w:rPr>
        <w:t xml:space="preserve"> </w:t>
      </w:r>
      <w:r>
        <w:rPr>
          <w:w w:val="95"/>
        </w:rPr>
        <w:t>roles,</w:t>
      </w:r>
      <w:r>
        <w:rPr>
          <w:spacing w:val="11"/>
        </w:rPr>
        <w:t xml:space="preserve"> </w:t>
      </w:r>
      <w:r>
        <w:rPr>
          <w:w w:val="95"/>
        </w:rPr>
        <w:t>gender</w:t>
      </w:r>
      <w:r>
        <w:rPr>
          <w:spacing w:val="13"/>
        </w:rPr>
        <w:t xml:space="preserve"> </w:t>
      </w:r>
      <w:r>
        <w:rPr>
          <w:w w:val="95"/>
        </w:rPr>
        <w:t>identity,</w:t>
      </w:r>
      <w:r>
        <w:rPr>
          <w:spacing w:val="9"/>
        </w:rPr>
        <w:t xml:space="preserve"> </w:t>
      </w:r>
      <w:r>
        <w:rPr>
          <w:w w:val="95"/>
        </w:rPr>
        <w:t>or</w:t>
      </w:r>
      <w:r>
        <w:rPr>
          <w:spacing w:val="14"/>
        </w:rPr>
        <w:t xml:space="preserve"> </w:t>
      </w:r>
      <w:r>
        <w:rPr>
          <w:w w:val="95"/>
        </w:rPr>
        <w:t>gender</w:t>
      </w:r>
      <w:r>
        <w:rPr>
          <w:spacing w:val="12"/>
        </w:rPr>
        <w:t xml:space="preserve"> </w:t>
      </w:r>
      <w:r>
        <w:rPr>
          <w:spacing w:val="-2"/>
          <w:w w:val="95"/>
        </w:rPr>
        <w:t>expression:</w:t>
      </w:r>
    </w:p>
    <w:p w:rsidR="00C76E6D" w:rsidRDefault="00C76E6D">
      <w:pPr>
        <w:pStyle w:val="BodyText"/>
        <w:spacing w:before="6"/>
        <w:rPr>
          <w:b/>
          <w:sz w:val="29"/>
        </w:rPr>
      </w:pPr>
    </w:p>
    <w:p w:rsidR="00C76E6D" w:rsidRDefault="00913831">
      <w:pPr>
        <w:pStyle w:val="ListParagraph"/>
        <w:numPr>
          <w:ilvl w:val="0"/>
          <w:numId w:val="33"/>
        </w:numPr>
        <w:tabs>
          <w:tab w:val="left" w:pos="698"/>
          <w:tab w:val="left" w:pos="699"/>
        </w:tabs>
        <w:spacing w:line="271" w:lineRule="auto"/>
        <w:ind w:left="697" w:right="342"/>
      </w:pPr>
      <w:r>
        <w:t>62.8%</w:t>
      </w:r>
      <w:r>
        <w:rPr>
          <w:spacing w:val="34"/>
        </w:rPr>
        <w:t xml:space="preserve"> </w:t>
      </w:r>
      <w:r>
        <w:t>of</w:t>
      </w:r>
      <w:r>
        <w:rPr>
          <w:spacing w:val="35"/>
        </w:rPr>
        <w:t xml:space="preserve"> </w:t>
      </w:r>
      <w:r>
        <w:t>Massachusetts</w:t>
      </w:r>
      <w:r>
        <w:rPr>
          <w:spacing w:val="37"/>
        </w:rPr>
        <w:t xml:space="preserve"> </w:t>
      </w:r>
      <w:r>
        <w:t>secondary</w:t>
      </w:r>
      <w:r>
        <w:rPr>
          <w:spacing w:val="34"/>
        </w:rPr>
        <w:t xml:space="preserve"> </w:t>
      </w:r>
      <w:r>
        <w:t>schools</w:t>
      </w:r>
      <w:r>
        <w:rPr>
          <w:spacing w:val="35"/>
        </w:rPr>
        <w:t xml:space="preserve"> </w:t>
      </w:r>
      <w:r>
        <w:t>taught</w:t>
      </w:r>
      <w:r>
        <w:rPr>
          <w:spacing w:val="34"/>
        </w:rPr>
        <w:t xml:space="preserve"> </w:t>
      </w:r>
      <w:r>
        <w:t>students</w:t>
      </w:r>
      <w:r>
        <w:rPr>
          <w:spacing w:val="35"/>
        </w:rPr>
        <w:t xml:space="preserve"> </w:t>
      </w:r>
      <w:r>
        <w:t>about</w:t>
      </w:r>
      <w:r>
        <w:rPr>
          <w:spacing w:val="34"/>
        </w:rPr>
        <w:t xml:space="preserve"> </w:t>
      </w:r>
      <w:r>
        <w:t>gender</w:t>
      </w:r>
      <w:r>
        <w:rPr>
          <w:spacing w:val="34"/>
        </w:rPr>
        <w:t xml:space="preserve"> </w:t>
      </w:r>
      <w:r>
        <w:t>roles,</w:t>
      </w:r>
      <w:r>
        <w:rPr>
          <w:spacing w:val="36"/>
        </w:rPr>
        <w:t xml:space="preserve"> </w:t>
      </w:r>
      <w:r>
        <w:t>gender</w:t>
      </w:r>
      <w:r>
        <w:rPr>
          <w:spacing w:val="36"/>
        </w:rPr>
        <w:t xml:space="preserve"> </w:t>
      </w:r>
      <w:r>
        <w:t>identity,</w:t>
      </w:r>
      <w:r>
        <w:rPr>
          <w:spacing w:val="35"/>
        </w:rPr>
        <w:t xml:space="preserve"> </w:t>
      </w:r>
      <w:r>
        <w:t>or gender expression in a required course in any of grades 6, 7, or 8.</w:t>
      </w:r>
    </w:p>
    <w:p w:rsidR="00C76E6D" w:rsidRDefault="00913831">
      <w:pPr>
        <w:pStyle w:val="ListParagraph"/>
        <w:numPr>
          <w:ilvl w:val="0"/>
          <w:numId w:val="33"/>
        </w:numPr>
        <w:tabs>
          <w:tab w:val="left" w:pos="698"/>
          <w:tab w:val="left" w:pos="699"/>
        </w:tabs>
        <w:spacing w:before="11" w:line="271" w:lineRule="auto"/>
        <w:ind w:left="697" w:right="342"/>
      </w:pPr>
      <w:r>
        <w:t>82.8%</w:t>
      </w:r>
      <w:r>
        <w:rPr>
          <w:spacing w:val="34"/>
        </w:rPr>
        <w:t xml:space="preserve"> </w:t>
      </w:r>
      <w:r>
        <w:t>of</w:t>
      </w:r>
      <w:r>
        <w:rPr>
          <w:spacing w:val="35"/>
        </w:rPr>
        <w:t xml:space="preserve"> </w:t>
      </w:r>
      <w:r>
        <w:t>Massachusetts</w:t>
      </w:r>
      <w:r>
        <w:rPr>
          <w:spacing w:val="37"/>
        </w:rPr>
        <w:t xml:space="preserve"> </w:t>
      </w:r>
      <w:r>
        <w:t>secondary</w:t>
      </w:r>
      <w:r>
        <w:rPr>
          <w:spacing w:val="34"/>
        </w:rPr>
        <w:t xml:space="preserve"> </w:t>
      </w:r>
      <w:r>
        <w:t>schools</w:t>
      </w:r>
      <w:r>
        <w:rPr>
          <w:spacing w:val="35"/>
        </w:rPr>
        <w:t xml:space="preserve"> </w:t>
      </w:r>
      <w:r>
        <w:t>taught</w:t>
      </w:r>
      <w:r>
        <w:rPr>
          <w:spacing w:val="34"/>
        </w:rPr>
        <w:t xml:space="preserve"> </w:t>
      </w:r>
      <w:r>
        <w:t>students</w:t>
      </w:r>
      <w:r>
        <w:rPr>
          <w:spacing w:val="35"/>
        </w:rPr>
        <w:t xml:space="preserve"> </w:t>
      </w:r>
      <w:r>
        <w:t>about</w:t>
      </w:r>
      <w:r>
        <w:rPr>
          <w:spacing w:val="34"/>
        </w:rPr>
        <w:t xml:space="preserve"> </w:t>
      </w:r>
      <w:r>
        <w:t>gender</w:t>
      </w:r>
      <w:r>
        <w:rPr>
          <w:spacing w:val="34"/>
        </w:rPr>
        <w:t xml:space="preserve"> </w:t>
      </w:r>
      <w:r>
        <w:t>roles,</w:t>
      </w:r>
      <w:r>
        <w:rPr>
          <w:spacing w:val="36"/>
        </w:rPr>
        <w:t xml:space="preserve"> </w:t>
      </w:r>
      <w:r>
        <w:t>gender</w:t>
      </w:r>
      <w:r>
        <w:rPr>
          <w:spacing w:val="36"/>
        </w:rPr>
        <w:t xml:space="preserve"> </w:t>
      </w:r>
      <w:r>
        <w:t>identity,</w:t>
      </w:r>
      <w:r>
        <w:rPr>
          <w:spacing w:val="35"/>
        </w:rPr>
        <w:t xml:space="preserve"> </w:t>
      </w:r>
      <w:r>
        <w:t>or gender expression in a required course in any of grades 9, 10, 11, or 12.</w:t>
      </w:r>
    </w:p>
    <w:p w:rsidR="00C76E6D" w:rsidRDefault="00C76E6D">
      <w:pPr>
        <w:pStyle w:val="BodyText"/>
        <w:rPr>
          <w:sz w:val="27"/>
        </w:rPr>
      </w:pPr>
    </w:p>
    <w:p w:rsidR="00C76E6D" w:rsidRDefault="00913831">
      <w:pPr>
        <w:pStyle w:val="Heading6"/>
        <w:spacing w:before="1" w:line="276" w:lineRule="auto"/>
        <w:ind w:left="338" w:right="298" w:hanging="1"/>
        <w:jc w:val="both"/>
      </w:pPr>
      <w:bookmarkStart w:id="575" w:name="Reported_providing_curricula_or_suppleme"/>
      <w:bookmarkEnd w:id="575"/>
      <w:r>
        <w:t>Reported providing curricula or supplementary materials relevant to lesbian, gay, bisexual, t</w:t>
      </w:r>
      <w:r>
        <w:t>ransgender, or questioning (LGBTQ) youth:</w:t>
      </w:r>
    </w:p>
    <w:p w:rsidR="00C76E6D" w:rsidRDefault="00C76E6D">
      <w:pPr>
        <w:pStyle w:val="BodyText"/>
        <w:spacing w:before="8"/>
        <w:rPr>
          <w:b/>
          <w:sz w:val="32"/>
        </w:rPr>
      </w:pPr>
    </w:p>
    <w:p w:rsidR="00C76E6D" w:rsidRDefault="00913831">
      <w:pPr>
        <w:pStyle w:val="ListParagraph"/>
        <w:numPr>
          <w:ilvl w:val="0"/>
          <w:numId w:val="33"/>
        </w:numPr>
        <w:tabs>
          <w:tab w:val="left" w:pos="698"/>
          <w:tab w:val="left" w:pos="699"/>
        </w:tabs>
        <w:spacing w:line="273" w:lineRule="auto"/>
        <w:ind w:right="346" w:hanging="361"/>
      </w:pPr>
      <w:r>
        <w:t>68.3%</w:t>
      </w:r>
      <w:r>
        <w:rPr>
          <w:spacing w:val="-8"/>
        </w:rPr>
        <w:t xml:space="preserve"> </w:t>
      </w:r>
      <w:r>
        <w:t>of</w:t>
      </w:r>
      <w:r>
        <w:rPr>
          <w:spacing w:val="-7"/>
        </w:rPr>
        <w:t xml:space="preserve"> </w:t>
      </w:r>
      <w:r>
        <w:t>Massachusetts</w:t>
      </w:r>
      <w:r>
        <w:rPr>
          <w:spacing w:val="-6"/>
        </w:rPr>
        <w:t xml:space="preserve"> </w:t>
      </w:r>
      <w:r>
        <w:t>secondary</w:t>
      </w:r>
      <w:r>
        <w:rPr>
          <w:spacing w:val="-8"/>
        </w:rPr>
        <w:t xml:space="preserve"> </w:t>
      </w:r>
      <w:r>
        <w:t>schools</w:t>
      </w:r>
      <w:r>
        <w:rPr>
          <w:spacing w:val="-8"/>
        </w:rPr>
        <w:t xml:space="preserve"> </w:t>
      </w:r>
      <w:r>
        <w:t>provided</w:t>
      </w:r>
      <w:r>
        <w:rPr>
          <w:spacing w:val="-6"/>
        </w:rPr>
        <w:t xml:space="preserve"> </w:t>
      </w:r>
      <w:r>
        <w:t>students</w:t>
      </w:r>
      <w:r>
        <w:rPr>
          <w:spacing w:val="-8"/>
        </w:rPr>
        <w:t xml:space="preserve"> </w:t>
      </w:r>
      <w:r>
        <w:t>with</w:t>
      </w:r>
      <w:r>
        <w:rPr>
          <w:spacing w:val="-7"/>
        </w:rPr>
        <w:t xml:space="preserve"> </w:t>
      </w:r>
      <w:r>
        <w:t>curricula</w:t>
      </w:r>
      <w:r>
        <w:rPr>
          <w:spacing w:val="-7"/>
        </w:rPr>
        <w:t xml:space="preserve"> </w:t>
      </w:r>
      <w:r>
        <w:t>or</w:t>
      </w:r>
      <w:r>
        <w:rPr>
          <w:spacing w:val="-7"/>
        </w:rPr>
        <w:t xml:space="preserve"> </w:t>
      </w:r>
      <w:r>
        <w:t>supplementary</w:t>
      </w:r>
      <w:r>
        <w:rPr>
          <w:spacing w:val="-8"/>
        </w:rPr>
        <w:t xml:space="preserve"> </w:t>
      </w:r>
      <w:r>
        <w:t>materials that included HIV, STD, or pregnancy prevention information relevant to LGBTQ youth.</w:t>
      </w:r>
    </w:p>
    <w:p w:rsidR="00C76E6D" w:rsidRDefault="00C76E6D">
      <w:pPr>
        <w:pStyle w:val="BodyText"/>
        <w:spacing w:before="10"/>
        <w:rPr>
          <w:sz w:val="25"/>
        </w:rPr>
      </w:pPr>
    </w:p>
    <w:p w:rsidR="00C76E6D" w:rsidRDefault="00913831">
      <w:pPr>
        <w:pStyle w:val="BodyText"/>
        <w:spacing w:line="276" w:lineRule="auto"/>
        <w:ind w:left="338" w:right="292" w:hanging="1"/>
        <w:jc w:val="both"/>
      </w:pPr>
      <w:r>
        <w:rPr>
          <w:spacing w:val="-2"/>
        </w:rPr>
        <w:t>While</w:t>
      </w:r>
      <w:r>
        <w:rPr>
          <w:spacing w:val="-5"/>
        </w:rPr>
        <w:t xml:space="preserve"> </w:t>
      </w:r>
      <w:r>
        <w:rPr>
          <w:spacing w:val="-2"/>
        </w:rPr>
        <w:t>barriers</w:t>
      </w:r>
      <w:r>
        <w:rPr>
          <w:spacing w:val="-7"/>
        </w:rPr>
        <w:t xml:space="preserve"> </w:t>
      </w:r>
      <w:r>
        <w:rPr>
          <w:spacing w:val="-2"/>
        </w:rPr>
        <w:t>to</w:t>
      </w:r>
      <w:r>
        <w:rPr>
          <w:spacing w:val="-3"/>
        </w:rPr>
        <w:t xml:space="preserve"> </w:t>
      </w:r>
      <w:r>
        <w:rPr>
          <w:spacing w:val="-2"/>
        </w:rPr>
        <w:t>comprehe</w:t>
      </w:r>
      <w:r>
        <w:rPr>
          <w:spacing w:val="-2"/>
        </w:rPr>
        <w:t>nsive</w:t>
      </w:r>
      <w:r>
        <w:rPr>
          <w:spacing w:val="-7"/>
        </w:rPr>
        <w:t xml:space="preserve"> </w:t>
      </w:r>
      <w:r>
        <w:rPr>
          <w:spacing w:val="-2"/>
        </w:rPr>
        <w:t>sexual</w:t>
      </w:r>
      <w:r>
        <w:rPr>
          <w:spacing w:val="10"/>
        </w:rPr>
        <w:t xml:space="preserve"> </w:t>
      </w:r>
      <w:r>
        <w:rPr>
          <w:spacing w:val="-2"/>
        </w:rPr>
        <w:t>health</w:t>
      </w:r>
      <w:r>
        <w:rPr>
          <w:spacing w:val="-5"/>
        </w:rPr>
        <w:t xml:space="preserve"> </w:t>
      </w:r>
      <w:r>
        <w:rPr>
          <w:spacing w:val="-2"/>
        </w:rPr>
        <w:t>education</w:t>
      </w:r>
      <w:r>
        <w:rPr>
          <w:spacing w:val="-8"/>
        </w:rPr>
        <w:t xml:space="preserve"> </w:t>
      </w:r>
      <w:r>
        <w:rPr>
          <w:spacing w:val="-2"/>
        </w:rPr>
        <w:t>are</w:t>
      </w:r>
      <w:r>
        <w:rPr>
          <w:spacing w:val="-3"/>
        </w:rPr>
        <w:t xml:space="preserve"> </w:t>
      </w:r>
      <w:r>
        <w:rPr>
          <w:spacing w:val="-2"/>
        </w:rPr>
        <w:t>pervasive,</w:t>
      </w:r>
      <w:r>
        <w:rPr>
          <w:spacing w:val="-5"/>
        </w:rPr>
        <w:t xml:space="preserve"> </w:t>
      </w:r>
      <w:r>
        <w:rPr>
          <w:spacing w:val="-2"/>
        </w:rPr>
        <w:t>it</w:t>
      </w:r>
      <w:r>
        <w:rPr>
          <w:spacing w:val="-6"/>
        </w:rPr>
        <w:t xml:space="preserve"> </w:t>
      </w:r>
      <w:r>
        <w:rPr>
          <w:spacing w:val="-2"/>
        </w:rPr>
        <w:t>is</w:t>
      </w:r>
      <w:r>
        <w:rPr>
          <w:spacing w:val="-4"/>
        </w:rPr>
        <w:t xml:space="preserve"> </w:t>
      </w:r>
      <w:r>
        <w:rPr>
          <w:spacing w:val="-2"/>
        </w:rPr>
        <w:t>more</w:t>
      </w:r>
      <w:r>
        <w:rPr>
          <w:spacing w:val="-7"/>
        </w:rPr>
        <w:t xml:space="preserve"> </w:t>
      </w:r>
      <w:r>
        <w:rPr>
          <w:spacing w:val="-2"/>
        </w:rPr>
        <w:t>so</w:t>
      </w:r>
      <w:r>
        <w:rPr>
          <w:spacing w:val="-5"/>
        </w:rPr>
        <w:t xml:space="preserve"> </w:t>
      </w:r>
      <w:r>
        <w:rPr>
          <w:spacing w:val="-2"/>
        </w:rPr>
        <w:t>when</w:t>
      </w:r>
      <w:r>
        <w:rPr>
          <w:spacing w:val="-6"/>
        </w:rPr>
        <w:t xml:space="preserve"> </w:t>
      </w:r>
      <w:r>
        <w:rPr>
          <w:spacing w:val="-2"/>
        </w:rPr>
        <w:t>analyzing</w:t>
      </w:r>
      <w:r>
        <w:rPr>
          <w:spacing w:val="-5"/>
        </w:rPr>
        <w:t xml:space="preserve"> </w:t>
      </w:r>
      <w:r>
        <w:rPr>
          <w:spacing w:val="-2"/>
        </w:rPr>
        <w:t>it</w:t>
      </w:r>
      <w:r>
        <w:rPr>
          <w:spacing w:val="-9"/>
        </w:rPr>
        <w:t xml:space="preserve"> </w:t>
      </w:r>
      <w:r>
        <w:rPr>
          <w:spacing w:val="-2"/>
        </w:rPr>
        <w:t xml:space="preserve">from an </w:t>
      </w:r>
      <w:r>
        <w:t>intersectional lens.</w:t>
      </w:r>
      <w:r>
        <w:rPr>
          <w:spacing w:val="-1"/>
        </w:rPr>
        <w:t xml:space="preserve"> </w:t>
      </w:r>
      <w:r>
        <w:t>Sexual</w:t>
      </w:r>
      <w:r>
        <w:rPr>
          <w:spacing w:val="-1"/>
        </w:rPr>
        <w:t xml:space="preserve"> </w:t>
      </w:r>
      <w:r>
        <w:t>health education</w:t>
      </w:r>
      <w:r>
        <w:rPr>
          <w:spacing w:val="-2"/>
        </w:rPr>
        <w:t xml:space="preserve"> </w:t>
      </w:r>
      <w:r>
        <w:t>rarely</w:t>
      </w:r>
      <w:r>
        <w:rPr>
          <w:spacing w:val="-1"/>
        </w:rPr>
        <w:t xml:space="preserve"> </w:t>
      </w:r>
      <w:r>
        <w:t>includes the</w:t>
      </w:r>
      <w:r>
        <w:rPr>
          <w:spacing w:val="-1"/>
        </w:rPr>
        <w:t xml:space="preserve"> </w:t>
      </w:r>
      <w:r>
        <w:t>experiences of people</w:t>
      </w:r>
      <w:r>
        <w:rPr>
          <w:spacing w:val="-2"/>
        </w:rPr>
        <w:t xml:space="preserve"> </w:t>
      </w:r>
      <w:r>
        <w:t>with disabilities, much less people with disabilities who are LGBTQ youth. A small study found that only 42% of adolescents with Intellectual</w:t>
      </w:r>
      <w:r>
        <w:rPr>
          <w:spacing w:val="-13"/>
        </w:rPr>
        <w:t xml:space="preserve"> </w:t>
      </w:r>
      <w:r>
        <w:t>and</w:t>
      </w:r>
      <w:r>
        <w:rPr>
          <w:spacing w:val="-11"/>
        </w:rPr>
        <w:t xml:space="preserve"> </w:t>
      </w:r>
      <w:r>
        <w:t>Developmental</w:t>
      </w:r>
      <w:r>
        <w:rPr>
          <w:spacing w:val="-11"/>
        </w:rPr>
        <w:t xml:space="preserve"> </w:t>
      </w:r>
      <w:r>
        <w:t>Disabilities</w:t>
      </w:r>
      <w:r>
        <w:rPr>
          <w:spacing w:val="-11"/>
        </w:rPr>
        <w:t xml:space="preserve"> </w:t>
      </w:r>
      <w:r>
        <w:t>(IDD)</w:t>
      </w:r>
      <w:r>
        <w:rPr>
          <w:spacing w:val="-12"/>
        </w:rPr>
        <w:t xml:space="preserve"> </w:t>
      </w:r>
      <w:r>
        <w:t>understood</w:t>
      </w:r>
      <w:r>
        <w:rPr>
          <w:spacing w:val="-13"/>
        </w:rPr>
        <w:t xml:space="preserve"> </w:t>
      </w:r>
      <w:r>
        <w:t>pregnancy</w:t>
      </w:r>
      <w:r>
        <w:rPr>
          <w:spacing w:val="-10"/>
        </w:rPr>
        <w:t xml:space="preserve"> </w:t>
      </w:r>
      <w:r>
        <w:t>and</w:t>
      </w:r>
      <w:r>
        <w:rPr>
          <w:spacing w:val="-13"/>
        </w:rPr>
        <w:t xml:space="preserve"> </w:t>
      </w:r>
      <w:r>
        <w:t>reproduction,</w:t>
      </w:r>
      <w:r>
        <w:rPr>
          <w:spacing w:val="-10"/>
        </w:rPr>
        <w:t xml:space="preserve"> </w:t>
      </w:r>
      <w:r>
        <w:t>37.5%</w:t>
      </w:r>
      <w:r>
        <w:rPr>
          <w:spacing w:val="-12"/>
        </w:rPr>
        <w:t xml:space="preserve"> </w:t>
      </w:r>
      <w:r>
        <w:t>knew</w:t>
      </w:r>
      <w:r>
        <w:rPr>
          <w:spacing w:val="-11"/>
        </w:rPr>
        <w:t xml:space="preserve"> </w:t>
      </w:r>
      <w:r>
        <w:t>about contraception, and 45</w:t>
      </w:r>
      <w:r>
        <w:t>.3% knew about sexually transmitted infections</w:t>
      </w:r>
      <w:hyperlink w:anchor="_bookmark465" w:history="1">
        <w:r>
          <w:t>.</w:t>
        </w:r>
        <w:r>
          <w:rPr>
            <w:vertAlign w:val="superscript"/>
          </w:rPr>
          <w:t>47</w:t>
        </w:r>
      </w:hyperlink>
    </w:p>
    <w:p w:rsidR="00C76E6D" w:rsidRDefault="00C76E6D">
      <w:pPr>
        <w:pStyle w:val="BodyText"/>
        <w:spacing w:before="3"/>
        <w:rPr>
          <w:sz w:val="26"/>
        </w:rPr>
      </w:pPr>
    </w:p>
    <w:p w:rsidR="00C76E6D" w:rsidRDefault="00913831">
      <w:pPr>
        <w:pStyle w:val="Heading6"/>
        <w:numPr>
          <w:ilvl w:val="0"/>
          <w:numId w:val="35"/>
        </w:numPr>
        <w:tabs>
          <w:tab w:val="left" w:pos="560"/>
        </w:tabs>
        <w:ind w:hanging="222"/>
        <w:jc w:val="left"/>
      </w:pPr>
      <w:bookmarkStart w:id="576" w:name="6._Mental_Health_and_Suicide_Risk"/>
      <w:bookmarkEnd w:id="576"/>
      <w:r>
        <w:rPr>
          <w:w w:val="95"/>
        </w:rPr>
        <w:t>Mental</w:t>
      </w:r>
      <w:r>
        <w:rPr>
          <w:spacing w:val="13"/>
        </w:rPr>
        <w:t xml:space="preserve"> </w:t>
      </w:r>
      <w:r>
        <w:rPr>
          <w:w w:val="95"/>
        </w:rPr>
        <w:t>Health</w:t>
      </w:r>
      <w:r>
        <w:rPr>
          <w:spacing w:val="11"/>
        </w:rPr>
        <w:t xml:space="preserve"> </w:t>
      </w:r>
      <w:r>
        <w:rPr>
          <w:w w:val="95"/>
        </w:rPr>
        <w:t>and</w:t>
      </w:r>
      <w:r>
        <w:rPr>
          <w:spacing w:val="9"/>
        </w:rPr>
        <w:t xml:space="preserve"> </w:t>
      </w:r>
      <w:r>
        <w:rPr>
          <w:w w:val="95"/>
        </w:rPr>
        <w:t>Suicide</w:t>
      </w:r>
      <w:r>
        <w:rPr>
          <w:spacing w:val="10"/>
        </w:rPr>
        <w:t xml:space="preserve"> </w:t>
      </w:r>
      <w:r>
        <w:rPr>
          <w:spacing w:val="-4"/>
          <w:w w:val="95"/>
        </w:rPr>
        <w:t>Risk</w:t>
      </w:r>
    </w:p>
    <w:p w:rsidR="00C76E6D" w:rsidRDefault="00C76E6D">
      <w:pPr>
        <w:pStyle w:val="BodyText"/>
        <w:spacing w:before="8"/>
        <w:rPr>
          <w:b/>
          <w:sz w:val="28"/>
        </w:rPr>
      </w:pPr>
    </w:p>
    <w:p w:rsidR="00C76E6D" w:rsidRDefault="00913831">
      <w:pPr>
        <w:pStyle w:val="BodyText"/>
        <w:spacing w:line="276" w:lineRule="auto"/>
        <w:ind w:left="339" w:right="295" w:hanging="2"/>
        <w:jc w:val="both"/>
      </w:pPr>
      <w:r>
        <w:t>Mental health is often confused with the mere absence of mental health disorders and adjacent to health instead of an integral part of human wellbeing. Good mental health cannot exist without addressing social determinants</w:t>
      </w:r>
      <w:r>
        <w:rPr>
          <w:spacing w:val="-8"/>
        </w:rPr>
        <w:t xml:space="preserve"> </w:t>
      </w:r>
      <w:r>
        <w:t>of</w:t>
      </w:r>
      <w:r>
        <w:rPr>
          <w:spacing w:val="-10"/>
        </w:rPr>
        <w:t xml:space="preserve"> </w:t>
      </w:r>
      <w:r>
        <w:t>health</w:t>
      </w:r>
      <w:r>
        <w:rPr>
          <w:spacing w:val="-9"/>
        </w:rPr>
        <w:t xml:space="preserve"> </w:t>
      </w:r>
      <w:r>
        <w:t>such</w:t>
      </w:r>
      <w:r>
        <w:rPr>
          <w:spacing w:val="-10"/>
        </w:rPr>
        <w:t xml:space="preserve"> </w:t>
      </w:r>
      <w:r>
        <w:t>as</w:t>
      </w:r>
      <w:r>
        <w:rPr>
          <w:spacing w:val="-9"/>
        </w:rPr>
        <w:t xml:space="preserve"> </w:t>
      </w:r>
      <w:r>
        <w:t>heterosexism,</w:t>
      </w:r>
      <w:r>
        <w:rPr>
          <w:spacing w:val="-10"/>
        </w:rPr>
        <w:t xml:space="preserve"> </w:t>
      </w:r>
      <w:r>
        <w:t>c</w:t>
      </w:r>
      <w:r>
        <w:t>issexism,</w:t>
      </w:r>
      <w:r>
        <w:rPr>
          <w:spacing w:val="-9"/>
        </w:rPr>
        <w:t xml:space="preserve"> </w:t>
      </w:r>
      <w:r>
        <w:t>poverty,</w:t>
      </w:r>
      <w:r>
        <w:rPr>
          <w:spacing w:val="-9"/>
        </w:rPr>
        <w:t xml:space="preserve"> </w:t>
      </w:r>
      <w:r>
        <w:t>racism,</w:t>
      </w:r>
      <w:r>
        <w:rPr>
          <w:spacing w:val="-9"/>
        </w:rPr>
        <w:t xml:space="preserve"> </w:t>
      </w:r>
      <w:r>
        <w:t>and</w:t>
      </w:r>
      <w:r>
        <w:rPr>
          <w:spacing w:val="-10"/>
        </w:rPr>
        <w:t xml:space="preserve"> </w:t>
      </w:r>
      <w:r>
        <w:t>other</w:t>
      </w:r>
      <w:r>
        <w:rPr>
          <w:spacing w:val="-10"/>
        </w:rPr>
        <w:t xml:space="preserve"> </w:t>
      </w:r>
      <w:r>
        <w:t>human</w:t>
      </w:r>
      <w:r>
        <w:rPr>
          <w:spacing w:val="-10"/>
        </w:rPr>
        <w:t xml:space="preserve"> </w:t>
      </w:r>
      <w:r>
        <w:t>rights</w:t>
      </w:r>
      <w:r>
        <w:rPr>
          <w:spacing w:val="-9"/>
        </w:rPr>
        <w:t xml:space="preserve"> </w:t>
      </w:r>
      <w:r>
        <w:t>violations</w:t>
      </w:r>
      <w:hyperlink w:anchor="_bookmark466" w:history="1">
        <w:r>
          <w:t>.</w:t>
        </w:r>
        <w:r>
          <w:rPr>
            <w:vertAlign w:val="superscript"/>
          </w:rPr>
          <w:t>48</w:t>
        </w:r>
      </w:hyperlink>
    </w:p>
    <w:p w:rsidR="00C76E6D" w:rsidRDefault="00C76E6D">
      <w:pPr>
        <w:pStyle w:val="BodyText"/>
        <w:spacing w:before="8"/>
        <w:rPr>
          <w:sz w:val="19"/>
        </w:rPr>
      </w:pPr>
    </w:p>
    <w:p w:rsidR="00C76E6D" w:rsidRDefault="00913831">
      <w:pPr>
        <w:pStyle w:val="BodyText"/>
        <w:spacing w:line="276" w:lineRule="auto"/>
        <w:ind w:left="338" w:right="292"/>
        <w:jc w:val="both"/>
      </w:pPr>
      <w:r>
        <w:t>Between 2008 and 2018, there was an increase in the percentage of schools across states in which the lead health</w:t>
      </w:r>
      <w:r>
        <w:rPr>
          <w:spacing w:val="-9"/>
        </w:rPr>
        <w:t xml:space="preserve"> </w:t>
      </w:r>
      <w:r>
        <w:t>education</w:t>
      </w:r>
      <w:r>
        <w:rPr>
          <w:spacing w:val="-10"/>
        </w:rPr>
        <w:t xml:space="preserve"> </w:t>
      </w:r>
      <w:r>
        <w:t>teacher</w:t>
      </w:r>
      <w:r>
        <w:rPr>
          <w:spacing w:val="-8"/>
        </w:rPr>
        <w:t xml:space="preserve"> </w:t>
      </w:r>
      <w:r>
        <w:t>received</w:t>
      </w:r>
      <w:r>
        <w:rPr>
          <w:spacing w:val="-8"/>
        </w:rPr>
        <w:t xml:space="preserve"> </w:t>
      </w:r>
      <w:r>
        <w:t>professional</w:t>
      </w:r>
      <w:r>
        <w:rPr>
          <w:spacing w:val="-10"/>
        </w:rPr>
        <w:t xml:space="preserve"> </w:t>
      </w:r>
      <w:r>
        <w:t>develo</w:t>
      </w:r>
      <w:r>
        <w:t>pment</w:t>
      </w:r>
      <w:r>
        <w:rPr>
          <w:spacing w:val="-9"/>
        </w:rPr>
        <w:t xml:space="preserve"> </w:t>
      </w:r>
      <w:r>
        <w:t>on</w:t>
      </w:r>
      <w:r>
        <w:rPr>
          <w:spacing w:val="-9"/>
        </w:rPr>
        <w:t xml:space="preserve"> </w:t>
      </w:r>
      <w:r>
        <w:t>emotional</w:t>
      </w:r>
      <w:r>
        <w:rPr>
          <w:spacing w:val="-10"/>
        </w:rPr>
        <w:t xml:space="preserve"> </w:t>
      </w:r>
      <w:r>
        <w:t>and</w:t>
      </w:r>
      <w:r>
        <w:rPr>
          <w:spacing w:val="-9"/>
        </w:rPr>
        <w:t xml:space="preserve"> </w:t>
      </w:r>
      <w:r>
        <w:t>mental</w:t>
      </w:r>
      <w:r>
        <w:rPr>
          <w:spacing w:val="-10"/>
        </w:rPr>
        <w:t xml:space="preserve"> </w:t>
      </w:r>
      <w:r>
        <w:t>health</w:t>
      </w:r>
      <w:r>
        <w:rPr>
          <w:spacing w:val="-12"/>
        </w:rPr>
        <w:t xml:space="preserve"> </w:t>
      </w:r>
      <w:r>
        <w:t>(from</w:t>
      </w:r>
      <w:r>
        <w:rPr>
          <w:spacing w:val="-11"/>
        </w:rPr>
        <w:t xml:space="preserve"> </w:t>
      </w:r>
      <w:r>
        <w:t>40.8%</w:t>
      </w:r>
      <w:r>
        <w:rPr>
          <w:spacing w:val="-11"/>
        </w:rPr>
        <w:t xml:space="preserve"> </w:t>
      </w:r>
      <w:r>
        <w:t>to 84.8%)</w:t>
      </w:r>
      <w:r>
        <w:rPr>
          <w:spacing w:val="-12"/>
        </w:rPr>
        <w:t xml:space="preserve"> </w:t>
      </w:r>
      <w:r>
        <w:t>and</w:t>
      </w:r>
      <w:r>
        <w:rPr>
          <w:spacing w:val="-10"/>
        </w:rPr>
        <w:t xml:space="preserve"> </w:t>
      </w:r>
      <w:r>
        <w:t>suicide</w:t>
      </w:r>
      <w:r>
        <w:rPr>
          <w:spacing w:val="-11"/>
        </w:rPr>
        <w:t xml:space="preserve"> </w:t>
      </w:r>
      <w:r>
        <w:t>prevention</w:t>
      </w:r>
      <w:r>
        <w:rPr>
          <w:spacing w:val="-9"/>
        </w:rPr>
        <w:t xml:space="preserve"> </w:t>
      </w:r>
      <w:r>
        <w:t>(34.5%</w:t>
      </w:r>
      <w:r>
        <w:rPr>
          <w:spacing w:val="-10"/>
        </w:rPr>
        <w:t xml:space="preserve"> </w:t>
      </w:r>
      <w:r>
        <w:t>to</w:t>
      </w:r>
      <w:r>
        <w:rPr>
          <w:spacing w:val="-11"/>
        </w:rPr>
        <w:t xml:space="preserve"> </w:t>
      </w:r>
      <w:r>
        <w:t>83.9%).</w:t>
      </w:r>
      <w:r>
        <w:rPr>
          <w:spacing w:val="-11"/>
        </w:rPr>
        <w:t xml:space="preserve"> </w:t>
      </w:r>
      <w:r>
        <w:t>In</w:t>
      </w:r>
      <w:r>
        <w:rPr>
          <w:spacing w:val="-10"/>
        </w:rPr>
        <w:t xml:space="preserve"> </w:t>
      </w:r>
      <w:r>
        <w:t>addition,</w:t>
      </w:r>
      <w:r>
        <w:rPr>
          <w:spacing w:val="-10"/>
        </w:rPr>
        <w:t xml:space="preserve"> </w:t>
      </w:r>
      <w:r>
        <w:t>there</w:t>
      </w:r>
      <w:r>
        <w:rPr>
          <w:spacing w:val="-8"/>
        </w:rPr>
        <w:t xml:space="preserve"> </w:t>
      </w:r>
      <w:r>
        <w:t>was</w:t>
      </w:r>
      <w:r>
        <w:rPr>
          <w:spacing w:val="-9"/>
        </w:rPr>
        <w:t xml:space="preserve"> </w:t>
      </w:r>
      <w:r>
        <w:t>an</w:t>
      </w:r>
      <w:r>
        <w:rPr>
          <w:spacing w:val="-9"/>
        </w:rPr>
        <w:t xml:space="preserve"> </w:t>
      </w:r>
      <w:r>
        <w:t>increase</w:t>
      </w:r>
      <w:r>
        <w:rPr>
          <w:spacing w:val="-9"/>
        </w:rPr>
        <w:t xml:space="preserve"> </w:t>
      </w:r>
      <w:r>
        <w:t>in</w:t>
      </w:r>
      <w:r>
        <w:rPr>
          <w:spacing w:val="-9"/>
        </w:rPr>
        <w:t xml:space="preserve"> </w:t>
      </w:r>
      <w:r>
        <w:t>development</w:t>
      </w:r>
      <w:r>
        <w:rPr>
          <w:spacing w:val="-9"/>
        </w:rPr>
        <w:t xml:space="preserve"> </w:t>
      </w:r>
      <w:r>
        <w:t>education for teachers in supporting students with disabilities, diverse cultural backgrounds, and limited English proficiency. During 2018 in Massachusetts, 92.2% of secondary school teachers tried to increase student's knowledge on emotional and mental h</w:t>
      </w:r>
      <w:r>
        <w:t>ealth, 82.3% of secondary lead health education teachers received professional development in emotional and mental health, and 77.9% of teachers tried to increase suicide prevention knowledge with their students</w:t>
      </w:r>
      <w:hyperlink w:anchor="_bookmark467" w:history="1">
        <w:r>
          <w:t>.</w:t>
        </w:r>
        <w:r>
          <w:rPr>
            <w:vertAlign w:val="superscript"/>
          </w:rPr>
          <w:t>49</w:t>
        </w:r>
      </w:hyperlink>
    </w:p>
    <w:p w:rsidR="00C76E6D" w:rsidRDefault="00C76E6D">
      <w:pPr>
        <w:spacing w:line="276" w:lineRule="auto"/>
        <w:jc w:val="both"/>
        <w:sectPr w:rsidR="00C76E6D">
          <w:pgSz w:w="12240" w:h="15840"/>
          <w:pgMar w:top="1000" w:right="960" w:bottom="640" w:left="960" w:header="802" w:footer="440" w:gutter="0"/>
          <w:cols w:space="720"/>
        </w:sectPr>
      </w:pPr>
    </w:p>
    <w:p w:rsidR="00C76E6D" w:rsidRDefault="00C76E6D">
      <w:pPr>
        <w:pStyle w:val="BodyText"/>
        <w:rPr>
          <w:sz w:val="20"/>
        </w:rPr>
      </w:pPr>
    </w:p>
    <w:p w:rsidR="00C76E6D" w:rsidRDefault="00C76E6D">
      <w:pPr>
        <w:pStyle w:val="BodyText"/>
        <w:spacing w:before="10"/>
        <w:rPr>
          <w:sz w:val="26"/>
        </w:rPr>
      </w:pPr>
    </w:p>
    <w:p w:rsidR="00C76E6D" w:rsidRDefault="00913831">
      <w:pPr>
        <w:pStyle w:val="BodyText"/>
        <w:spacing w:before="55" w:line="276" w:lineRule="auto"/>
        <w:ind w:left="338" w:right="294" w:hanging="1"/>
        <w:jc w:val="both"/>
      </w:pPr>
      <w:r>
        <w:t>According</w:t>
      </w:r>
      <w:r>
        <w:rPr>
          <w:spacing w:val="-2"/>
        </w:rPr>
        <w:t xml:space="preserve"> </w:t>
      </w:r>
      <w:r>
        <w:t>to the</w:t>
      </w:r>
      <w:r>
        <w:rPr>
          <w:spacing w:val="-2"/>
        </w:rPr>
        <w:t xml:space="preserve"> </w:t>
      </w:r>
      <w:r>
        <w:t>YRBS</w:t>
      </w:r>
      <w:r>
        <w:rPr>
          <w:spacing w:val="-2"/>
        </w:rPr>
        <w:t xml:space="preserve"> </w:t>
      </w:r>
      <w:r>
        <w:t>2019</w:t>
      </w:r>
      <w:r>
        <w:rPr>
          <w:spacing w:val="-4"/>
        </w:rPr>
        <w:t xml:space="preserve"> </w:t>
      </w:r>
      <w:r>
        <w:t>Boston</w:t>
      </w:r>
      <w:r>
        <w:rPr>
          <w:spacing w:val="-3"/>
        </w:rPr>
        <w:t xml:space="preserve"> </w:t>
      </w:r>
      <w:r>
        <w:t>data,</w:t>
      </w:r>
      <w:r>
        <w:rPr>
          <w:spacing w:val="-4"/>
        </w:rPr>
        <w:t xml:space="preserve"> </w:t>
      </w:r>
      <w:r>
        <w:t>LGB</w:t>
      </w:r>
      <w:r>
        <w:rPr>
          <w:spacing w:val="-2"/>
        </w:rPr>
        <w:t xml:space="preserve"> </w:t>
      </w:r>
      <w:r>
        <w:t>youth</w:t>
      </w:r>
      <w:r>
        <w:rPr>
          <w:spacing w:val="-2"/>
        </w:rPr>
        <w:t xml:space="preserve"> </w:t>
      </w:r>
      <w:r>
        <w:t>were</w:t>
      </w:r>
      <w:r>
        <w:rPr>
          <w:spacing w:val="-3"/>
        </w:rPr>
        <w:t xml:space="preserve"> </w:t>
      </w:r>
      <w:r>
        <w:t>twice</w:t>
      </w:r>
      <w:r>
        <w:rPr>
          <w:spacing w:val="-2"/>
        </w:rPr>
        <w:t xml:space="preserve"> </w:t>
      </w:r>
      <w:r>
        <w:t>as</w:t>
      </w:r>
      <w:r>
        <w:rPr>
          <w:spacing w:val="-4"/>
        </w:rPr>
        <w:t xml:space="preserve"> </w:t>
      </w:r>
      <w:r>
        <w:t>likely</w:t>
      </w:r>
      <w:r>
        <w:rPr>
          <w:spacing w:val="-1"/>
        </w:rPr>
        <w:t xml:space="preserve"> </w:t>
      </w:r>
      <w:r>
        <w:t>to</w:t>
      </w:r>
      <w:r>
        <w:rPr>
          <w:spacing w:val="-1"/>
        </w:rPr>
        <w:t xml:space="preserve"> </w:t>
      </w:r>
      <w:r>
        <w:t>feel sad</w:t>
      </w:r>
      <w:r>
        <w:rPr>
          <w:spacing w:val="-4"/>
        </w:rPr>
        <w:t xml:space="preserve"> </w:t>
      </w:r>
      <w:r>
        <w:t>or</w:t>
      </w:r>
      <w:r>
        <w:rPr>
          <w:spacing w:val="-3"/>
        </w:rPr>
        <w:t xml:space="preserve"> </w:t>
      </w:r>
      <w:r>
        <w:t>hopeless</w:t>
      </w:r>
      <w:r>
        <w:rPr>
          <w:spacing w:val="-3"/>
        </w:rPr>
        <w:t xml:space="preserve"> </w:t>
      </w:r>
      <w:r>
        <w:t>31%</w:t>
      </w:r>
      <w:r>
        <w:rPr>
          <w:spacing w:val="-5"/>
        </w:rPr>
        <w:t xml:space="preserve"> </w:t>
      </w:r>
      <w:r>
        <w:t>vs.</w:t>
      </w:r>
      <w:r>
        <w:rPr>
          <w:spacing w:val="-4"/>
        </w:rPr>
        <w:t xml:space="preserve"> </w:t>
      </w:r>
      <w:r>
        <w:t>59%; twice</w:t>
      </w:r>
      <w:r>
        <w:rPr>
          <w:spacing w:val="-3"/>
        </w:rPr>
        <w:t xml:space="preserve"> </w:t>
      </w:r>
      <w:r>
        <w:t>as</w:t>
      </w:r>
      <w:r>
        <w:rPr>
          <w:spacing w:val="-4"/>
        </w:rPr>
        <w:t xml:space="preserve"> </w:t>
      </w:r>
      <w:r>
        <w:t>likely</w:t>
      </w:r>
      <w:r>
        <w:rPr>
          <w:spacing w:val="-4"/>
        </w:rPr>
        <w:t xml:space="preserve"> </w:t>
      </w:r>
      <w:r>
        <w:t>to</w:t>
      </w:r>
      <w:r>
        <w:rPr>
          <w:spacing w:val="-4"/>
        </w:rPr>
        <w:t xml:space="preserve"> </w:t>
      </w:r>
      <w:r>
        <w:t>have</w:t>
      </w:r>
      <w:r>
        <w:rPr>
          <w:spacing w:val="-4"/>
        </w:rPr>
        <w:t xml:space="preserve"> </w:t>
      </w:r>
      <w:r>
        <w:t>seriously</w:t>
      </w:r>
      <w:r>
        <w:rPr>
          <w:spacing w:val="-4"/>
        </w:rPr>
        <w:t xml:space="preserve"> </w:t>
      </w:r>
      <w:r>
        <w:t>considered</w:t>
      </w:r>
      <w:r>
        <w:rPr>
          <w:spacing w:val="-4"/>
        </w:rPr>
        <w:t xml:space="preserve"> </w:t>
      </w:r>
      <w:r>
        <w:t>suicide</w:t>
      </w:r>
      <w:r>
        <w:rPr>
          <w:spacing w:val="-4"/>
        </w:rPr>
        <w:t xml:space="preserve"> </w:t>
      </w:r>
      <w:r>
        <w:t>34%</w:t>
      </w:r>
      <w:r>
        <w:rPr>
          <w:spacing w:val="-4"/>
        </w:rPr>
        <w:t xml:space="preserve"> </w:t>
      </w:r>
      <w:r>
        <w:t>vs.</w:t>
      </w:r>
      <w:r>
        <w:rPr>
          <w:spacing w:val="-6"/>
        </w:rPr>
        <w:t xml:space="preserve"> </w:t>
      </w:r>
      <w:r>
        <w:t>12%;</w:t>
      </w:r>
      <w:r>
        <w:rPr>
          <w:spacing w:val="-4"/>
        </w:rPr>
        <w:t xml:space="preserve"> </w:t>
      </w:r>
      <w:r>
        <w:t>and</w:t>
      </w:r>
      <w:r>
        <w:rPr>
          <w:spacing w:val="-4"/>
        </w:rPr>
        <w:t xml:space="preserve"> </w:t>
      </w:r>
      <w:r>
        <w:t>twice</w:t>
      </w:r>
      <w:r>
        <w:rPr>
          <w:spacing w:val="-4"/>
        </w:rPr>
        <w:t xml:space="preserve"> </w:t>
      </w:r>
      <w:r>
        <w:t>as</w:t>
      </w:r>
      <w:r>
        <w:rPr>
          <w:spacing w:val="-4"/>
        </w:rPr>
        <w:t xml:space="preserve"> </w:t>
      </w:r>
      <w:r>
        <w:t>likely</w:t>
      </w:r>
      <w:r>
        <w:rPr>
          <w:spacing w:val="-1"/>
        </w:rPr>
        <w:t xml:space="preserve"> </w:t>
      </w:r>
      <w:r>
        <w:t>to</w:t>
      </w:r>
      <w:r>
        <w:rPr>
          <w:spacing w:val="-1"/>
        </w:rPr>
        <w:t xml:space="preserve"> </w:t>
      </w:r>
      <w:r>
        <w:t>have</w:t>
      </w:r>
      <w:r>
        <w:rPr>
          <w:spacing w:val="-2"/>
        </w:rPr>
        <w:t xml:space="preserve"> </w:t>
      </w:r>
      <w:r>
        <w:t>purposefully hurt themselves</w:t>
      </w:r>
      <w:r>
        <w:rPr>
          <w:spacing w:val="-13"/>
        </w:rPr>
        <w:t xml:space="preserve"> </w:t>
      </w:r>
      <w:r>
        <w:t>without</w:t>
      </w:r>
      <w:r>
        <w:rPr>
          <w:spacing w:val="-12"/>
        </w:rPr>
        <w:t xml:space="preserve"> </w:t>
      </w:r>
      <w:r>
        <w:t>wanting</w:t>
      </w:r>
      <w:r>
        <w:rPr>
          <w:spacing w:val="-13"/>
        </w:rPr>
        <w:t xml:space="preserve"> </w:t>
      </w:r>
      <w:r>
        <w:t>to</w:t>
      </w:r>
      <w:r>
        <w:rPr>
          <w:spacing w:val="-12"/>
        </w:rPr>
        <w:t xml:space="preserve"> </w:t>
      </w:r>
      <w:r>
        <w:t>die</w:t>
      </w:r>
      <w:r>
        <w:rPr>
          <w:spacing w:val="-13"/>
        </w:rPr>
        <w:t xml:space="preserve"> </w:t>
      </w:r>
      <w:r>
        <w:t>33%</w:t>
      </w:r>
      <w:r>
        <w:rPr>
          <w:spacing w:val="-12"/>
        </w:rPr>
        <w:t xml:space="preserve"> </w:t>
      </w:r>
      <w:r>
        <w:t>vs.</w:t>
      </w:r>
      <w:r>
        <w:rPr>
          <w:spacing w:val="-13"/>
        </w:rPr>
        <w:t xml:space="preserve"> </w:t>
      </w:r>
      <w:r>
        <w:t>12%.</w:t>
      </w:r>
      <w:hyperlink w:anchor="_bookmark468" w:history="1">
        <w:r>
          <w:rPr>
            <w:vertAlign w:val="superscript"/>
          </w:rPr>
          <w:t>50</w:t>
        </w:r>
        <w:r>
          <w:rPr>
            <w:spacing w:val="-12"/>
          </w:rPr>
          <w:t xml:space="preserve"> </w:t>
        </w:r>
      </w:hyperlink>
      <w:r>
        <w:t>Upwards</w:t>
      </w:r>
      <w:r>
        <w:rPr>
          <w:spacing w:val="-12"/>
        </w:rPr>
        <w:t xml:space="preserve"> </w:t>
      </w:r>
      <w:r>
        <w:t>of</w:t>
      </w:r>
      <w:r>
        <w:rPr>
          <w:spacing w:val="-13"/>
        </w:rPr>
        <w:t xml:space="preserve"> </w:t>
      </w:r>
      <w:r>
        <w:t>70%</w:t>
      </w:r>
      <w:r>
        <w:rPr>
          <w:spacing w:val="-12"/>
        </w:rPr>
        <w:t xml:space="preserve"> </w:t>
      </w:r>
      <w:r>
        <w:t>LGBTQ+</w:t>
      </w:r>
      <w:r>
        <w:rPr>
          <w:spacing w:val="-13"/>
        </w:rPr>
        <w:t xml:space="preserve"> </w:t>
      </w:r>
      <w:r>
        <w:t>youth</w:t>
      </w:r>
      <w:r>
        <w:rPr>
          <w:spacing w:val="-12"/>
        </w:rPr>
        <w:t xml:space="preserve"> </w:t>
      </w:r>
      <w:r>
        <w:t>have</w:t>
      </w:r>
      <w:r>
        <w:rPr>
          <w:spacing w:val="-13"/>
        </w:rPr>
        <w:t xml:space="preserve"> </w:t>
      </w:r>
      <w:r>
        <w:t>disclosed</w:t>
      </w:r>
      <w:r>
        <w:rPr>
          <w:spacing w:val="-12"/>
        </w:rPr>
        <w:t xml:space="preserve"> </w:t>
      </w:r>
      <w:r>
        <w:t>experiencing at least one instance of enacted stigma and discrimination, including physical and verbal violence. The experience of violence and discrim</w:t>
      </w:r>
      <w:r>
        <w:t>ination will harm youth's mental health, leading to hypervigilance in the effort to predict dangerous situations</w:t>
      </w:r>
      <w:hyperlink w:anchor="_bookmark469" w:history="1">
        <w:r>
          <w:t>.</w:t>
        </w:r>
        <w:r>
          <w:rPr>
            <w:vertAlign w:val="superscript"/>
          </w:rPr>
          <w:t>51</w:t>
        </w:r>
      </w:hyperlink>
    </w:p>
    <w:p w:rsidR="00C76E6D" w:rsidRDefault="00C76E6D">
      <w:pPr>
        <w:pStyle w:val="BodyText"/>
        <w:spacing w:before="7"/>
        <w:rPr>
          <w:sz w:val="19"/>
        </w:rPr>
      </w:pPr>
    </w:p>
    <w:p w:rsidR="00C76E6D" w:rsidRDefault="00913831">
      <w:pPr>
        <w:pStyle w:val="BodyText"/>
        <w:spacing w:line="276" w:lineRule="auto"/>
        <w:ind w:left="337" w:right="296"/>
        <w:jc w:val="both"/>
      </w:pPr>
      <w:r>
        <w:t>Suicide is the second leading cause of death for people ages 10 and 34, and it accounted for 6,488</w:t>
      </w:r>
      <w:r>
        <w:rPr>
          <w:spacing w:val="-4"/>
        </w:rPr>
        <w:t xml:space="preserve"> </w:t>
      </w:r>
      <w:r>
        <w:t>deaths</w:t>
      </w:r>
      <w:r>
        <w:rPr>
          <w:spacing w:val="-4"/>
        </w:rPr>
        <w:t xml:space="preserve"> </w:t>
      </w:r>
      <w:r>
        <w:t>o</w:t>
      </w:r>
      <w:r>
        <w:t>f youth between the ages 10 and 24 in</w:t>
      </w:r>
      <w:r>
        <w:rPr>
          <w:spacing w:val="-1"/>
        </w:rPr>
        <w:t xml:space="preserve"> </w:t>
      </w:r>
      <w:r>
        <w:t>2019.</w:t>
      </w:r>
      <w:r>
        <w:rPr>
          <w:spacing w:val="-6"/>
        </w:rPr>
        <w:t xml:space="preserve"> </w:t>
      </w:r>
      <w:r>
        <w:t>LGBTQ+</w:t>
      </w:r>
      <w:r>
        <w:rPr>
          <w:spacing w:val="-3"/>
        </w:rPr>
        <w:t xml:space="preserve"> </w:t>
      </w:r>
      <w:r>
        <w:t>youth</w:t>
      </w:r>
      <w:r>
        <w:rPr>
          <w:spacing w:val="-6"/>
        </w:rPr>
        <w:t xml:space="preserve"> </w:t>
      </w:r>
      <w:r>
        <w:t>are</w:t>
      </w:r>
      <w:r>
        <w:rPr>
          <w:spacing w:val="-4"/>
        </w:rPr>
        <w:t xml:space="preserve"> </w:t>
      </w:r>
      <w:r>
        <w:t>particularly</w:t>
      </w:r>
      <w:r>
        <w:rPr>
          <w:spacing w:val="-4"/>
        </w:rPr>
        <w:t xml:space="preserve"> </w:t>
      </w:r>
      <w:r>
        <w:t>vulnerable</w:t>
      </w:r>
      <w:r>
        <w:rPr>
          <w:spacing w:val="-4"/>
        </w:rPr>
        <w:t xml:space="preserve"> </w:t>
      </w:r>
      <w:r>
        <w:t>to</w:t>
      </w:r>
      <w:r>
        <w:rPr>
          <w:spacing w:val="-5"/>
        </w:rPr>
        <w:t xml:space="preserve"> </w:t>
      </w:r>
      <w:r>
        <w:t>suicide</w:t>
      </w:r>
      <w:r>
        <w:rPr>
          <w:spacing w:val="-5"/>
        </w:rPr>
        <w:t xml:space="preserve"> </w:t>
      </w:r>
      <w:r>
        <w:t>ideation</w:t>
      </w:r>
      <w:r>
        <w:rPr>
          <w:spacing w:val="-4"/>
        </w:rPr>
        <w:t xml:space="preserve"> </w:t>
      </w:r>
      <w:r>
        <w:t>and attempts</w:t>
      </w:r>
      <w:hyperlink w:anchor="_bookmark470" w:history="1">
        <w:r>
          <w:rPr>
            <w:vertAlign w:val="superscript"/>
          </w:rPr>
          <w:t>52</w:t>
        </w:r>
        <w:r>
          <w:rPr>
            <w:spacing w:val="-10"/>
          </w:rPr>
          <w:t xml:space="preserve"> </w:t>
        </w:r>
      </w:hyperlink>
      <w:r>
        <w:t>–</w:t>
      </w:r>
      <w:r>
        <w:rPr>
          <w:spacing w:val="-5"/>
        </w:rPr>
        <w:t xml:space="preserve"> </w:t>
      </w:r>
      <w:r>
        <w:t>and</w:t>
      </w:r>
      <w:r>
        <w:rPr>
          <w:spacing w:val="-7"/>
        </w:rPr>
        <w:t xml:space="preserve"> </w:t>
      </w:r>
      <w:r>
        <w:t>completion</w:t>
      </w:r>
      <w:hyperlink w:anchor="_bookmark471" w:history="1">
        <w:r>
          <w:rPr>
            <w:vertAlign w:val="superscript"/>
          </w:rPr>
          <w:t>53</w:t>
        </w:r>
        <w:r>
          <w:rPr>
            <w:spacing w:val="-8"/>
          </w:rPr>
          <w:t xml:space="preserve"> </w:t>
        </w:r>
      </w:hyperlink>
      <w:r>
        <w:t>–</w:t>
      </w:r>
      <w:r>
        <w:rPr>
          <w:spacing w:val="-6"/>
        </w:rPr>
        <w:t xml:space="preserve"> </w:t>
      </w:r>
      <w:r>
        <w:t>especially</w:t>
      </w:r>
      <w:r>
        <w:rPr>
          <w:spacing w:val="-7"/>
        </w:rPr>
        <w:t xml:space="preserve"> </w:t>
      </w:r>
      <w:r>
        <w:t>among</w:t>
      </w:r>
      <w:r>
        <w:rPr>
          <w:spacing w:val="-7"/>
        </w:rPr>
        <w:t xml:space="preserve"> </w:t>
      </w:r>
      <w:r>
        <w:t>transgender</w:t>
      </w:r>
      <w:r>
        <w:rPr>
          <w:spacing w:val="-6"/>
        </w:rPr>
        <w:t xml:space="preserve"> </w:t>
      </w:r>
      <w:r>
        <w:t>youth</w:t>
      </w:r>
      <w:hyperlink w:anchor="_bookmark472" w:history="1">
        <w:r>
          <w:t>.</w:t>
        </w:r>
        <w:r>
          <w:rPr>
            <w:vertAlign w:val="superscript"/>
          </w:rPr>
          <w:t>54</w:t>
        </w:r>
        <w:r>
          <w:rPr>
            <w:spacing w:val="-8"/>
          </w:rPr>
          <w:t xml:space="preserve"> </w:t>
        </w:r>
      </w:hyperlink>
      <w:r>
        <w:t>Additionally,</w:t>
      </w:r>
      <w:r>
        <w:rPr>
          <w:spacing w:val="-7"/>
        </w:rPr>
        <w:t xml:space="preserve"> </w:t>
      </w:r>
      <w:r>
        <w:t>the</w:t>
      </w:r>
      <w:r>
        <w:rPr>
          <w:spacing w:val="-10"/>
        </w:rPr>
        <w:t xml:space="preserve"> </w:t>
      </w:r>
      <w:r>
        <w:t>COVID-19</w:t>
      </w:r>
      <w:r>
        <w:rPr>
          <w:spacing w:val="-7"/>
        </w:rPr>
        <w:t xml:space="preserve"> </w:t>
      </w:r>
      <w:r>
        <w:t>pandemic has exacerbated feelings of loneliness and isolation among LGBTQ youth</w:t>
      </w:r>
      <w:hyperlink w:anchor="_bookmark473" w:history="1">
        <w:r>
          <w:t>.</w:t>
        </w:r>
        <w:r>
          <w:rPr>
            <w:vertAlign w:val="superscript"/>
          </w:rPr>
          <w:t>55</w:t>
        </w:r>
      </w:hyperlink>
    </w:p>
    <w:p w:rsidR="00C76E6D" w:rsidRDefault="00C76E6D">
      <w:pPr>
        <w:pStyle w:val="BodyText"/>
        <w:spacing w:before="10"/>
        <w:rPr>
          <w:sz w:val="19"/>
        </w:rPr>
      </w:pPr>
    </w:p>
    <w:p w:rsidR="00C76E6D" w:rsidRDefault="00913831">
      <w:pPr>
        <w:pStyle w:val="BodyText"/>
        <w:spacing w:line="276" w:lineRule="auto"/>
        <w:ind w:left="338" w:right="291" w:hanging="1"/>
        <w:jc w:val="both"/>
      </w:pPr>
      <w:r>
        <w:t>In</w:t>
      </w:r>
      <w:r>
        <w:rPr>
          <w:spacing w:val="-3"/>
        </w:rPr>
        <w:t xml:space="preserve"> </w:t>
      </w:r>
      <w:r>
        <w:t>an</w:t>
      </w:r>
      <w:r>
        <w:rPr>
          <w:spacing w:val="-3"/>
        </w:rPr>
        <w:t xml:space="preserve"> </w:t>
      </w:r>
      <w:r>
        <w:t>alarming</w:t>
      </w:r>
      <w:r>
        <w:rPr>
          <w:spacing w:val="-3"/>
        </w:rPr>
        <w:t xml:space="preserve"> </w:t>
      </w:r>
      <w:r>
        <w:t>2022</w:t>
      </w:r>
      <w:r>
        <w:rPr>
          <w:spacing w:val="-4"/>
        </w:rPr>
        <w:t xml:space="preserve"> </w:t>
      </w:r>
      <w:r>
        <w:t>national</w:t>
      </w:r>
      <w:r>
        <w:rPr>
          <w:spacing w:val="-3"/>
        </w:rPr>
        <w:t xml:space="preserve"> </w:t>
      </w:r>
      <w:r>
        <w:t>report</w:t>
      </w:r>
      <w:r>
        <w:rPr>
          <w:spacing w:val="-5"/>
        </w:rPr>
        <w:t xml:space="preserve"> </w:t>
      </w:r>
      <w:r>
        <w:t>from</w:t>
      </w:r>
      <w:r>
        <w:rPr>
          <w:spacing w:val="-3"/>
        </w:rPr>
        <w:t xml:space="preserve"> </w:t>
      </w:r>
      <w:r>
        <w:t>The</w:t>
      </w:r>
      <w:r>
        <w:rPr>
          <w:spacing w:val="-3"/>
        </w:rPr>
        <w:t xml:space="preserve"> </w:t>
      </w:r>
      <w:r>
        <w:t>Trevor</w:t>
      </w:r>
      <w:r>
        <w:rPr>
          <w:spacing w:val="-1"/>
        </w:rPr>
        <w:t xml:space="preserve"> </w:t>
      </w:r>
      <w:r>
        <w:t>Project,</w:t>
      </w:r>
      <w:r>
        <w:rPr>
          <w:spacing w:val="-4"/>
        </w:rPr>
        <w:t xml:space="preserve"> </w:t>
      </w:r>
      <w:r>
        <w:t>nearly</w:t>
      </w:r>
      <w:r>
        <w:rPr>
          <w:spacing w:val="-3"/>
        </w:rPr>
        <w:t xml:space="preserve"> </w:t>
      </w:r>
      <w:r>
        <w:t>half</w:t>
      </w:r>
      <w:r>
        <w:rPr>
          <w:spacing w:val="-3"/>
        </w:rPr>
        <w:t xml:space="preserve"> </w:t>
      </w:r>
      <w:r>
        <w:t>(45%)</w:t>
      </w:r>
      <w:r>
        <w:rPr>
          <w:spacing w:val="-2"/>
        </w:rPr>
        <w:t xml:space="preserve"> </w:t>
      </w:r>
      <w:r>
        <w:t>of</w:t>
      </w:r>
      <w:r>
        <w:rPr>
          <w:spacing w:val="-3"/>
        </w:rPr>
        <w:t xml:space="preserve"> </w:t>
      </w:r>
      <w:r>
        <w:t>LGBTQ</w:t>
      </w:r>
      <w:r>
        <w:rPr>
          <w:spacing w:val="-3"/>
        </w:rPr>
        <w:t xml:space="preserve"> </w:t>
      </w:r>
      <w:r>
        <w:t>youth</w:t>
      </w:r>
      <w:r>
        <w:rPr>
          <w:spacing w:val="-3"/>
        </w:rPr>
        <w:t xml:space="preserve"> </w:t>
      </w:r>
      <w:r>
        <w:t>reported</w:t>
      </w:r>
      <w:r>
        <w:rPr>
          <w:spacing w:val="-2"/>
        </w:rPr>
        <w:t xml:space="preserve"> </w:t>
      </w:r>
      <w:r>
        <w:t>that they</w:t>
      </w:r>
      <w:r>
        <w:rPr>
          <w:spacing w:val="-3"/>
        </w:rPr>
        <w:t xml:space="preserve"> </w:t>
      </w:r>
      <w:r>
        <w:t>had</w:t>
      </w:r>
      <w:r>
        <w:rPr>
          <w:spacing w:val="-3"/>
        </w:rPr>
        <w:t xml:space="preserve"> </w:t>
      </w:r>
      <w:r>
        <w:t>seriously</w:t>
      </w:r>
      <w:r>
        <w:rPr>
          <w:spacing w:val="-4"/>
        </w:rPr>
        <w:t xml:space="preserve"> </w:t>
      </w:r>
      <w:r>
        <w:t>considered</w:t>
      </w:r>
      <w:r>
        <w:rPr>
          <w:spacing w:val="-4"/>
        </w:rPr>
        <w:t xml:space="preserve"> </w:t>
      </w:r>
      <w:r>
        <w:t>suicide</w:t>
      </w:r>
      <w:r>
        <w:rPr>
          <w:spacing w:val="-3"/>
        </w:rPr>
        <w:t xml:space="preserve"> </w:t>
      </w:r>
      <w:r>
        <w:t>in</w:t>
      </w:r>
      <w:r>
        <w:rPr>
          <w:spacing w:val="-3"/>
        </w:rPr>
        <w:t xml:space="preserve"> </w:t>
      </w:r>
      <w:r>
        <w:t>the</w:t>
      </w:r>
      <w:r>
        <w:rPr>
          <w:spacing w:val="-3"/>
        </w:rPr>
        <w:t xml:space="preserve"> </w:t>
      </w:r>
      <w:r>
        <w:t>past</w:t>
      </w:r>
      <w:r>
        <w:rPr>
          <w:spacing w:val="-3"/>
        </w:rPr>
        <w:t xml:space="preserve"> </w:t>
      </w:r>
      <w:r>
        <w:t>year,</w:t>
      </w:r>
      <w:r>
        <w:rPr>
          <w:spacing w:val="-4"/>
        </w:rPr>
        <w:t xml:space="preserve"> </w:t>
      </w:r>
      <w:r>
        <w:t>which</w:t>
      </w:r>
      <w:r>
        <w:rPr>
          <w:spacing w:val="-4"/>
        </w:rPr>
        <w:t xml:space="preserve"> </w:t>
      </w:r>
      <w:r>
        <w:t>is</w:t>
      </w:r>
      <w:r>
        <w:rPr>
          <w:spacing w:val="-2"/>
        </w:rPr>
        <w:t xml:space="preserve"> </w:t>
      </w:r>
      <w:r>
        <w:t>an</w:t>
      </w:r>
      <w:r>
        <w:rPr>
          <w:spacing w:val="-3"/>
        </w:rPr>
        <w:t xml:space="preserve"> </w:t>
      </w:r>
      <w:r>
        <w:t>increase</w:t>
      </w:r>
      <w:r>
        <w:rPr>
          <w:spacing w:val="-4"/>
        </w:rPr>
        <w:t xml:space="preserve"> </w:t>
      </w:r>
      <w:r>
        <w:t>of</w:t>
      </w:r>
      <w:r>
        <w:rPr>
          <w:spacing w:val="-3"/>
        </w:rPr>
        <w:t xml:space="preserve"> </w:t>
      </w:r>
      <w:r>
        <w:t>5%</w:t>
      </w:r>
      <w:r>
        <w:rPr>
          <w:spacing w:val="-4"/>
        </w:rPr>
        <w:t xml:space="preserve"> </w:t>
      </w:r>
      <w:r>
        <w:t>from</w:t>
      </w:r>
      <w:r>
        <w:rPr>
          <w:spacing w:val="-3"/>
        </w:rPr>
        <w:t xml:space="preserve"> </w:t>
      </w:r>
      <w:r>
        <w:t>prior</w:t>
      </w:r>
      <w:r>
        <w:rPr>
          <w:spacing w:val="-2"/>
        </w:rPr>
        <w:t xml:space="preserve"> </w:t>
      </w:r>
      <w:r>
        <w:t>to</w:t>
      </w:r>
      <w:r>
        <w:rPr>
          <w:spacing w:val="-4"/>
        </w:rPr>
        <w:t xml:space="preserve"> </w:t>
      </w:r>
      <w:r>
        <w:t>the</w:t>
      </w:r>
      <w:r>
        <w:rPr>
          <w:spacing w:val="-3"/>
        </w:rPr>
        <w:t xml:space="preserve"> </w:t>
      </w:r>
      <w:r>
        <w:t>pandemic in 2020. Of this group, 50% of youth were between the ages of 13 and 17, and 37% between the ages of 18 and 24; 53% of youth identifying as pansexual and 59% of transgender males reported suicidal ideation. Almost one in five of transgender and no</w:t>
      </w:r>
      <w:r>
        <w:t>nbinary youth attempted suicide, and more than two in three transgender</w:t>
      </w:r>
      <w:r>
        <w:rPr>
          <w:spacing w:val="-6"/>
        </w:rPr>
        <w:t xml:space="preserve"> </w:t>
      </w:r>
      <w:r>
        <w:t>and</w:t>
      </w:r>
      <w:r>
        <w:rPr>
          <w:spacing w:val="-9"/>
        </w:rPr>
        <w:t xml:space="preserve"> </w:t>
      </w:r>
      <w:r>
        <w:t>nonbinary</w:t>
      </w:r>
      <w:r>
        <w:rPr>
          <w:spacing w:val="-10"/>
        </w:rPr>
        <w:t xml:space="preserve"> </w:t>
      </w:r>
      <w:r>
        <w:t>youth</w:t>
      </w:r>
      <w:r>
        <w:rPr>
          <w:spacing w:val="-9"/>
        </w:rPr>
        <w:t xml:space="preserve"> </w:t>
      </w:r>
      <w:r>
        <w:t>reported</w:t>
      </w:r>
      <w:r>
        <w:rPr>
          <w:spacing w:val="-8"/>
        </w:rPr>
        <w:t xml:space="preserve"> </w:t>
      </w:r>
      <w:r>
        <w:t>that</w:t>
      </w:r>
      <w:r>
        <w:rPr>
          <w:spacing w:val="-8"/>
        </w:rPr>
        <w:t xml:space="preserve"> </w:t>
      </w:r>
      <w:r>
        <w:t>their</w:t>
      </w:r>
      <w:r>
        <w:rPr>
          <w:spacing w:val="-6"/>
        </w:rPr>
        <w:t xml:space="preserve"> </w:t>
      </w:r>
      <w:r>
        <w:t>current</w:t>
      </w:r>
      <w:r>
        <w:rPr>
          <w:spacing w:val="-9"/>
        </w:rPr>
        <w:t xml:space="preserve"> </w:t>
      </w:r>
      <w:r>
        <w:t>home</w:t>
      </w:r>
      <w:r>
        <w:rPr>
          <w:spacing w:val="-9"/>
        </w:rPr>
        <w:t xml:space="preserve"> </w:t>
      </w:r>
      <w:r>
        <w:t>is</w:t>
      </w:r>
      <w:r>
        <w:rPr>
          <w:spacing w:val="-7"/>
        </w:rPr>
        <w:t xml:space="preserve"> </w:t>
      </w:r>
      <w:r>
        <w:t>not</w:t>
      </w:r>
      <w:r>
        <w:rPr>
          <w:spacing w:val="-8"/>
        </w:rPr>
        <w:t xml:space="preserve"> </w:t>
      </w:r>
      <w:r>
        <w:t>gender-affirming.</w:t>
      </w:r>
      <w:r>
        <w:rPr>
          <w:spacing w:val="-7"/>
        </w:rPr>
        <w:t xml:space="preserve"> </w:t>
      </w:r>
      <w:r>
        <w:t>Overwhelmingly, youth</w:t>
      </w:r>
      <w:r>
        <w:rPr>
          <w:spacing w:val="-6"/>
        </w:rPr>
        <w:t xml:space="preserve"> </w:t>
      </w:r>
      <w:r>
        <w:t>of</w:t>
      </w:r>
      <w:r>
        <w:rPr>
          <w:spacing w:val="-3"/>
        </w:rPr>
        <w:t xml:space="preserve"> </w:t>
      </w:r>
      <w:r>
        <w:t>color</w:t>
      </w:r>
      <w:r>
        <w:rPr>
          <w:spacing w:val="-4"/>
        </w:rPr>
        <w:t xml:space="preserve"> </w:t>
      </w:r>
      <w:r>
        <w:t>were</w:t>
      </w:r>
      <w:r>
        <w:rPr>
          <w:spacing w:val="-4"/>
        </w:rPr>
        <w:t xml:space="preserve"> </w:t>
      </w:r>
      <w:r>
        <w:t>more</w:t>
      </w:r>
      <w:r>
        <w:rPr>
          <w:spacing w:val="-5"/>
        </w:rPr>
        <w:t xml:space="preserve"> </w:t>
      </w:r>
      <w:r>
        <w:t>likely</w:t>
      </w:r>
      <w:r>
        <w:rPr>
          <w:spacing w:val="-4"/>
        </w:rPr>
        <w:t xml:space="preserve"> </w:t>
      </w:r>
      <w:r>
        <w:t>to</w:t>
      </w:r>
      <w:r>
        <w:rPr>
          <w:spacing w:val="-4"/>
        </w:rPr>
        <w:t xml:space="preserve"> </w:t>
      </w:r>
      <w:r>
        <w:t>report</w:t>
      </w:r>
      <w:r>
        <w:rPr>
          <w:spacing w:val="-6"/>
        </w:rPr>
        <w:t xml:space="preserve"> </w:t>
      </w:r>
      <w:r>
        <w:t>suicidal</w:t>
      </w:r>
      <w:r>
        <w:rPr>
          <w:spacing w:val="-4"/>
        </w:rPr>
        <w:t xml:space="preserve"> </w:t>
      </w:r>
      <w:r>
        <w:t>ideation</w:t>
      </w:r>
      <w:r>
        <w:rPr>
          <w:spacing w:val="-5"/>
        </w:rPr>
        <w:t xml:space="preserve"> </w:t>
      </w:r>
      <w:r>
        <w:t>and</w:t>
      </w:r>
      <w:r>
        <w:rPr>
          <w:spacing w:val="-4"/>
        </w:rPr>
        <w:t xml:space="preserve"> </w:t>
      </w:r>
      <w:r>
        <w:t>suicide</w:t>
      </w:r>
      <w:r>
        <w:rPr>
          <w:spacing w:val="-4"/>
        </w:rPr>
        <w:t xml:space="preserve"> </w:t>
      </w:r>
      <w:r>
        <w:t>attempts</w:t>
      </w:r>
      <w:r>
        <w:rPr>
          <w:spacing w:val="-2"/>
        </w:rPr>
        <w:t xml:space="preserve"> </w:t>
      </w:r>
      <w:r>
        <w:t>than</w:t>
      </w:r>
      <w:r>
        <w:rPr>
          <w:spacing w:val="-6"/>
        </w:rPr>
        <w:t xml:space="preserve"> </w:t>
      </w:r>
      <w:r>
        <w:t>whit</w:t>
      </w:r>
      <w:r>
        <w:t>e</w:t>
      </w:r>
      <w:r>
        <w:rPr>
          <w:spacing w:val="-4"/>
        </w:rPr>
        <w:t xml:space="preserve"> </w:t>
      </w:r>
      <w:r>
        <w:t>youth.</w:t>
      </w:r>
      <w:r>
        <w:rPr>
          <w:spacing w:val="-3"/>
        </w:rPr>
        <w:t xml:space="preserve"> </w:t>
      </w:r>
      <w:r>
        <w:t>Youth</w:t>
      </w:r>
      <w:r>
        <w:rPr>
          <w:spacing w:val="-4"/>
        </w:rPr>
        <w:t xml:space="preserve"> </w:t>
      </w:r>
      <w:r>
        <w:t>that reported</w:t>
      </w:r>
      <w:r>
        <w:rPr>
          <w:spacing w:val="-13"/>
        </w:rPr>
        <w:t xml:space="preserve"> </w:t>
      </w:r>
      <w:r>
        <w:t>affirming</w:t>
      </w:r>
      <w:r>
        <w:rPr>
          <w:spacing w:val="-13"/>
        </w:rPr>
        <w:t xml:space="preserve"> </w:t>
      </w:r>
      <w:r>
        <w:t>homes</w:t>
      </w:r>
      <w:r>
        <w:rPr>
          <w:spacing w:val="-12"/>
        </w:rPr>
        <w:t xml:space="preserve"> </w:t>
      </w:r>
      <w:r>
        <w:t>and</w:t>
      </w:r>
      <w:r>
        <w:rPr>
          <w:spacing w:val="-14"/>
        </w:rPr>
        <w:t xml:space="preserve"> </w:t>
      </w:r>
      <w:r>
        <w:t>schools</w:t>
      </w:r>
      <w:r>
        <w:rPr>
          <w:spacing w:val="-14"/>
        </w:rPr>
        <w:t xml:space="preserve"> </w:t>
      </w:r>
      <w:r>
        <w:t>were</w:t>
      </w:r>
      <w:r>
        <w:rPr>
          <w:spacing w:val="-14"/>
        </w:rPr>
        <w:t xml:space="preserve"> </w:t>
      </w:r>
      <w:r>
        <w:t>far</w:t>
      </w:r>
      <w:r>
        <w:rPr>
          <w:spacing w:val="-14"/>
        </w:rPr>
        <w:t xml:space="preserve"> </w:t>
      </w:r>
      <w:r>
        <w:t>less</w:t>
      </w:r>
      <w:r>
        <w:rPr>
          <w:spacing w:val="-14"/>
        </w:rPr>
        <w:t xml:space="preserve"> </w:t>
      </w:r>
      <w:r>
        <w:t>likely</w:t>
      </w:r>
      <w:r>
        <w:rPr>
          <w:spacing w:val="-14"/>
        </w:rPr>
        <w:t xml:space="preserve"> </w:t>
      </w:r>
      <w:r>
        <w:t>to</w:t>
      </w:r>
      <w:r>
        <w:rPr>
          <w:spacing w:val="-11"/>
        </w:rPr>
        <w:t xml:space="preserve"> </w:t>
      </w:r>
      <w:r>
        <w:t>experience</w:t>
      </w:r>
      <w:r>
        <w:rPr>
          <w:spacing w:val="-13"/>
        </w:rPr>
        <w:t xml:space="preserve"> </w:t>
      </w:r>
      <w:r>
        <w:t>suicidal</w:t>
      </w:r>
      <w:r>
        <w:rPr>
          <w:spacing w:val="-13"/>
        </w:rPr>
        <w:t xml:space="preserve"> </w:t>
      </w:r>
      <w:r>
        <w:t>ideation</w:t>
      </w:r>
      <w:r>
        <w:rPr>
          <w:spacing w:val="-14"/>
        </w:rPr>
        <w:t xml:space="preserve"> </w:t>
      </w:r>
      <w:r>
        <w:t>or</w:t>
      </w:r>
      <w:r>
        <w:rPr>
          <w:spacing w:val="-14"/>
        </w:rPr>
        <w:t xml:space="preserve"> </w:t>
      </w:r>
      <w:r>
        <w:t>suicide</w:t>
      </w:r>
      <w:r>
        <w:rPr>
          <w:spacing w:val="-14"/>
        </w:rPr>
        <w:t xml:space="preserve"> </w:t>
      </w:r>
      <w:r>
        <w:t>attempts</w:t>
      </w:r>
      <w:hyperlink w:anchor="_bookmark474" w:history="1">
        <w:r>
          <w:t>.</w:t>
        </w:r>
        <w:r>
          <w:rPr>
            <w:vertAlign w:val="superscript"/>
          </w:rPr>
          <w:t>56</w:t>
        </w:r>
      </w:hyperlink>
    </w:p>
    <w:p w:rsidR="00C76E6D" w:rsidRDefault="00C76E6D">
      <w:pPr>
        <w:pStyle w:val="BodyText"/>
        <w:spacing w:before="7"/>
        <w:rPr>
          <w:sz w:val="19"/>
        </w:rPr>
      </w:pPr>
    </w:p>
    <w:p w:rsidR="00C76E6D" w:rsidRDefault="00913831">
      <w:pPr>
        <w:pStyle w:val="BodyText"/>
        <w:spacing w:line="276" w:lineRule="auto"/>
        <w:ind w:left="338" w:right="291"/>
        <w:jc w:val="both"/>
      </w:pPr>
      <w:r>
        <w:t>In the same survey from The Trevor Project, 73% of LGBTQ youth and, specifically, 80% of youth identifying as transgender males, nonbinary, or questioning</w:t>
      </w:r>
      <w:r>
        <w:rPr>
          <w:spacing w:val="-1"/>
        </w:rPr>
        <w:t xml:space="preserve"> </w:t>
      </w:r>
      <w:r>
        <w:t>reported</w:t>
      </w:r>
      <w:r>
        <w:rPr>
          <w:spacing w:val="-1"/>
        </w:rPr>
        <w:t xml:space="preserve"> </w:t>
      </w:r>
      <w:r>
        <w:t>experiencing symptoms of anxiety, as well as 71% of cisgender and transgender females. While</w:t>
      </w:r>
      <w:r>
        <w:t xml:space="preserve"> the COVID-19 pandemic significantly exacerbated barriers to mental healthcare</w:t>
      </w:r>
      <w:r>
        <w:rPr>
          <w:spacing w:val="-1"/>
        </w:rPr>
        <w:t xml:space="preserve"> </w:t>
      </w:r>
      <w:r>
        <w:t>for many</w:t>
      </w:r>
      <w:r>
        <w:rPr>
          <w:spacing w:val="-1"/>
        </w:rPr>
        <w:t xml:space="preserve"> </w:t>
      </w:r>
      <w:r>
        <w:t>individuals, 60% of LGBTQ</w:t>
      </w:r>
      <w:r>
        <w:rPr>
          <w:spacing w:val="-1"/>
        </w:rPr>
        <w:t xml:space="preserve"> </w:t>
      </w:r>
      <w:r>
        <w:t>youth could</w:t>
      </w:r>
      <w:r>
        <w:rPr>
          <w:spacing w:val="-1"/>
        </w:rPr>
        <w:t xml:space="preserve"> </w:t>
      </w:r>
      <w:r>
        <w:t>not</w:t>
      </w:r>
      <w:r>
        <w:rPr>
          <w:spacing w:val="-1"/>
        </w:rPr>
        <w:t xml:space="preserve"> </w:t>
      </w:r>
      <w:r>
        <w:t>access crucial mental</w:t>
      </w:r>
      <w:r>
        <w:rPr>
          <w:spacing w:val="-2"/>
        </w:rPr>
        <w:t xml:space="preserve"> </w:t>
      </w:r>
      <w:r>
        <w:t>health services in</w:t>
      </w:r>
      <w:r>
        <w:rPr>
          <w:spacing w:val="-4"/>
        </w:rPr>
        <w:t xml:space="preserve"> </w:t>
      </w:r>
      <w:r>
        <w:t>the</w:t>
      </w:r>
      <w:r>
        <w:rPr>
          <w:spacing w:val="-3"/>
        </w:rPr>
        <w:t xml:space="preserve"> </w:t>
      </w:r>
      <w:r>
        <w:t>past</w:t>
      </w:r>
      <w:r>
        <w:rPr>
          <w:spacing w:val="-5"/>
        </w:rPr>
        <w:t xml:space="preserve"> </w:t>
      </w:r>
      <w:r>
        <w:t>year,</w:t>
      </w:r>
      <w:r>
        <w:rPr>
          <w:spacing w:val="-4"/>
        </w:rPr>
        <w:t xml:space="preserve"> </w:t>
      </w:r>
      <w:r>
        <w:t>and</w:t>
      </w:r>
      <w:r>
        <w:rPr>
          <w:spacing w:val="-4"/>
        </w:rPr>
        <w:t xml:space="preserve"> </w:t>
      </w:r>
      <w:r>
        <w:t>56%</w:t>
      </w:r>
      <w:r>
        <w:rPr>
          <w:spacing w:val="-4"/>
        </w:rPr>
        <w:t xml:space="preserve"> </w:t>
      </w:r>
      <w:r>
        <w:t>of</w:t>
      </w:r>
      <w:r>
        <w:rPr>
          <w:spacing w:val="-4"/>
        </w:rPr>
        <w:t xml:space="preserve"> </w:t>
      </w:r>
      <w:r>
        <w:t>LGBTQ</w:t>
      </w:r>
      <w:r>
        <w:rPr>
          <w:spacing w:val="-4"/>
        </w:rPr>
        <w:t xml:space="preserve"> </w:t>
      </w:r>
      <w:r>
        <w:t>youth</w:t>
      </w:r>
      <w:r>
        <w:rPr>
          <w:spacing w:val="-6"/>
        </w:rPr>
        <w:t xml:space="preserve"> </w:t>
      </w:r>
      <w:r>
        <w:t>reported</w:t>
      </w:r>
      <w:r>
        <w:rPr>
          <w:spacing w:val="-3"/>
        </w:rPr>
        <w:t xml:space="preserve"> </w:t>
      </w:r>
      <w:r>
        <w:t>that</w:t>
      </w:r>
      <w:r>
        <w:rPr>
          <w:spacing w:val="-5"/>
        </w:rPr>
        <w:t xml:space="preserve"> </w:t>
      </w:r>
      <w:r>
        <w:t>their</w:t>
      </w:r>
      <w:r>
        <w:rPr>
          <w:spacing w:val="-3"/>
        </w:rPr>
        <w:t xml:space="preserve"> </w:t>
      </w:r>
      <w:r>
        <w:t>mental</w:t>
      </w:r>
      <w:r>
        <w:rPr>
          <w:spacing w:val="-4"/>
        </w:rPr>
        <w:t xml:space="preserve"> </w:t>
      </w:r>
      <w:r>
        <w:t>health</w:t>
      </w:r>
      <w:r>
        <w:rPr>
          <w:spacing w:val="-4"/>
        </w:rPr>
        <w:t xml:space="preserve"> </w:t>
      </w:r>
      <w:r>
        <w:t>was</w:t>
      </w:r>
      <w:r>
        <w:rPr>
          <w:spacing w:val="-3"/>
        </w:rPr>
        <w:t xml:space="preserve"> </w:t>
      </w:r>
      <w:r>
        <w:t>poor</w:t>
      </w:r>
      <w:r>
        <w:rPr>
          <w:spacing w:val="-4"/>
        </w:rPr>
        <w:t xml:space="preserve"> </w:t>
      </w:r>
      <w:r>
        <w:t>most</w:t>
      </w:r>
      <w:r>
        <w:rPr>
          <w:spacing w:val="-5"/>
        </w:rPr>
        <w:t xml:space="preserve"> </w:t>
      </w:r>
      <w:r>
        <w:t>of</w:t>
      </w:r>
      <w:r>
        <w:rPr>
          <w:spacing w:val="-4"/>
        </w:rPr>
        <w:t xml:space="preserve"> </w:t>
      </w:r>
      <w:r>
        <w:t>the</w:t>
      </w:r>
      <w:r>
        <w:rPr>
          <w:spacing w:val="-4"/>
        </w:rPr>
        <w:t xml:space="preserve"> </w:t>
      </w:r>
      <w:r>
        <w:t>time</w:t>
      </w:r>
      <w:r>
        <w:rPr>
          <w:spacing w:val="-4"/>
        </w:rPr>
        <w:t xml:space="preserve"> </w:t>
      </w:r>
      <w:r>
        <w:t>or</w:t>
      </w:r>
      <w:r>
        <w:rPr>
          <w:spacing w:val="-4"/>
        </w:rPr>
        <w:t xml:space="preserve"> </w:t>
      </w:r>
      <w:r>
        <w:t>for at</w:t>
      </w:r>
      <w:r>
        <w:rPr>
          <w:spacing w:val="-6"/>
        </w:rPr>
        <w:t xml:space="preserve"> </w:t>
      </w:r>
      <w:r>
        <w:t>least</w:t>
      </w:r>
      <w:r>
        <w:rPr>
          <w:spacing w:val="-4"/>
        </w:rPr>
        <w:t xml:space="preserve"> </w:t>
      </w:r>
      <w:r>
        <w:t>half</w:t>
      </w:r>
      <w:r>
        <w:rPr>
          <w:spacing w:val="-5"/>
        </w:rPr>
        <w:t xml:space="preserve"> </w:t>
      </w:r>
      <w:r>
        <w:t>of</w:t>
      </w:r>
      <w:r>
        <w:rPr>
          <w:spacing w:val="-5"/>
        </w:rPr>
        <w:t xml:space="preserve"> </w:t>
      </w:r>
      <w:r>
        <w:t>the</w:t>
      </w:r>
      <w:r>
        <w:rPr>
          <w:spacing w:val="-4"/>
        </w:rPr>
        <w:t xml:space="preserve"> </w:t>
      </w:r>
      <w:r>
        <w:t>COVID-19</w:t>
      </w:r>
      <w:r>
        <w:rPr>
          <w:spacing w:val="-5"/>
        </w:rPr>
        <w:t xml:space="preserve"> </w:t>
      </w:r>
      <w:r>
        <w:t>pandemic.</w:t>
      </w:r>
      <w:r>
        <w:rPr>
          <w:spacing w:val="-3"/>
        </w:rPr>
        <w:t xml:space="preserve"> </w:t>
      </w:r>
      <w:r>
        <w:t>Of</w:t>
      </w:r>
      <w:r>
        <w:rPr>
          <w:spacing w:val="-5"/>
        </w:rPr>
        <w:t xml:space="preserve"> </w:t>
      </w:r>
      <w:r>
        <w:t>these</w:t>
      </w:r>
      <w:r>
        <w:rPr>
          <w:spacing w:val="-4"/>
        </w:rPr>
        <w:t xml:space="preserve"> </w:t>
      </w:r>
      <w:r>
        <w:t>youth,</w:t>
      </w:r>
      <w:r>
        <w:rPr>
          <w:spacing w:val="-5"/>
        </w:rPr>
        <w:t xml:space="preserve"> </w:t>
      </w:r>
      <w:r>
        <w:t>approximately</w:t>
      </w:r>
      <w:r>
        <w:rPr>
          <w:spacing w:val="-6"/>
        </w:rPr>
        <w:t xml:space="preserve"> </w:t>
      </w:r>
      <w:r>
        <w:t>60%</w:t>
      </w:r>
      <w:r>
        <w:rPr>
          <w:spacing w:val="-4"/>
        </w:rPr>
        <w:t xml:space="preserve"> </w:t>
      </w:r>
      <w:r>
        <w:t>were</w:t>
      </w:r>
      <w:r>
        <w:rPr>
          <w:spacing w:val="-6"/>
        </w:rPr>
        <w:t xml:space="preserve"> </w:t>
      </w:r>
      <w:r>
        <w:t>transgender</w:t>
      </w:r>
      <w:r>
        <w:rPr>
          <w:spacing w:val="-5"/>
        </w:rPr>
        <w:t xml:space="preserve"> </w:t>
      </w:r>
      <w:r>
        <w:t>and</w:t>
      </w:r>
      <w:r>
        <w:rPr>
          <w:spacing w:val="-4"/>
        </w:rPr>
        <w:t xml:space="preserve"> </w:t>
      </w:r>
      <w:r>
        <w:t>nonbinary youth. The following variables were listed as reasons youth could not access mental healthcare:</w:t>
      </w:r>
      <w:hyperlink w:anchor="_bookmark475" w:history="1">
        <w:r>
          <w:rPr>
            <w:vertAlign w:val="superscript"/>
          </w:rPr>
          <w:t>57</w:t>
        </w:r>
      </w:hyperlink>
    </w:p>
    <w:p w:rsidR="00C76E6D" w:rsidRDefault="00C76E6D">
      <w:pPr>
        <w:pStyle w:val="BodyText"/>
        <w:spacing w:before="4"/>
        <w:rPr>
          <w:sz w:val="25"/>
        </w:rPr>
      </w:pPr>
    </w:p>
    <w:p w:rsidR="00C76E6D" w:rsidRDefault="00913831">
      <w:pPr>
        <w:pStyle w:val="ListParagraph"/>
        <w:numPr>
          <w:ilvl w:val="0"/>
          <w:numId w:val="32"/>
        </w:numPr>
        <w:tabs>
          <w:tab w:val="left" w:pos="987"/>
          <w:tab w:val="left" w:pos="988"/>
        </w:tabs>
      </w:pPr>
      <w:r>
        <w:rPr>
          <w:w w:val="95"/>
        </w:rPr>
        <w:t>(48%)</w:t>
      </w:r>
      <w:r>
        <w:rPr>
          <w:spacing w:val="8"/>
        </w:rPr>
        <w:t xml:space="preserve"> </w:t>
      </w:r>
      <w:r>
        <w:rPr>
          <w:w w:val="95"/>
        </w:rPr>
        <w:t>Fear</w:t>
      </w:r>
      <w:r>
        <w:rPr>
          <w:spacing w:val="11"/>
        </w:rPr>
        <w:t xml:space="preserve"> </w:t>
      </w:r>
      <w:r>
        <w:rPr>
          <w:w w:val="95"/>
        </w:rPr>
        <w:t>of</w:t>
      </w:r>
      <w:r>
        <w:rPr>
          <w:spacing w:val="11"/>
        </w:rPr>
        <w:t xml:space="preserve"> </w:t>
      </w:r>
      <w:r>
        <w:rPr>
          <w:w w:val="95"/>
        </w:rPr>
        <w:t>discussing</w:t>
      </w:r>
      <w:r>
        <w:rPr>
          <w:spacing w:val="12"/>
        </w:rPr>
        <w:t xml:space="preserve"> </w:t>
      </w:r>
      <w:r>
        <w:rPr>
          <w:w w:val="95"/>
        </w:rPr>
        <w:t>mental</w:t>
      </w:r>
      <w:r>
        <w:rPr>
          <w:spacing w:val="11"/>
        </w:rPr>
        <w:t xml:space="preserve"> </w:t>
      </w:r>
      <w:r>
        <w:rPr>
          <w:w w:val="95"/>
        </w:rPr>
        <w:t>health</w:t>
      </w:r>
      <w:r>
        <w:rPr>
          <w:spacing w:val="11"/>
        </w:rPr>
        <w:t xml:space="preserve"> </w:t>
      </w:r>
      <w:r>
        <w:rPr>
          <w:spacing w:val="-2"/>
          <w:w w:val="95"/>
        </w:rPr>
        <w:t>concerns</w:t>
      </w:r>
    </w:p>
    <w:p w:rsidR="00C76E6D" w:rsidRDefault="00913831">
      <w:pPr>
        <w:pStyle w:val="ListParagraph"/>
        <w:numPr>
          <w:ilvl w:val="0"/>
          <w:numId w:val="32"/>
        </w:numPr>
        <w:tabs>
          <w:tab w:val="left" w:pos="987"/>
          <w:tab w:val="left" w:pos="988"/>
        </w:tabs>
        <w:spacing w:before="40"/>
      </w:pPr>
      <w:r>
        <w:rPr>
          <w:w w:val="95"/>
        </w:rPr>
        <w:t>(45%)</w:t>
      </w:r>
      <w:r>
        <w:rPr>
          <w:spacing w:val="17"/>
        </w:rPr>
        <w:t xml:space="preserve"> </w:t>
      </w:r>
      <w:r>
        <w:rPr>
          <w:w w:val="95"/>
        </w:rPr>
        <w:t>Concerns</w:t>
      </w:r>
      <w:r>
        <w:rPr>
          <w:spacing w:val="16"/>
        </w:rPr>
        <w:t xml:space="preserve"> </w:t>
      </w:r>
      <w:r>
        <w:rPr>
          <w:w w:val="95"/>
        </w:rPr>
        <w:t>with</w:t>
      </w:r>
      <w:r>
        <w:rPr>
          <w:spacing w:val="20"/>
        </w:rPr>
        <w:t xml:space="preserve"> </w:t>
      </w:r>
      <w:r>
        <w:rPr>
          <w:w w:val="95"/>
        </w:rPr>
        <w:t>obtaining</w:t>
      </w:r>
      <w:r>
        <w:rPr>
          <w:spacing w:val="20"/>
        </w:rPr>
        <w:t xml:space="preserve"> </w:t>
      </w:r>
      <w:r>
        <w:rPr>
          <w:w w:val="95"/>
        </w:rPr>
        <w:t>parent/caregiver</w:t>
      </w:r>
      <w:r>
        <w:rPr>
          <w:spacing w:val="19"/>
        </w:rPr>
        <w:t xml:space="preserve"> </w:t>
      </w:r>
      <w:r>
        <w:rPr>
          <w:spacing w:val="-2"/>
          <w:w w:val="95"/>
        </w:rPr>
        <w:t>permission</w:t>
      </w:r>
    </w:p>
    <w:p w:rsidR="00C76E6D" w:rsidRDefault="00913831">
      <w:pPr>
        <w:pStyle w:val="ListParagraph"/>
        <w:numPr>
          <w:ilvl w:val="0"/>
          <w:numId w:val="32"/>
        </w:numPr>
        <w:tabs>
          <w:tab w:val="left" w:pos="987"/>
          <w:tab w:val="left" w:pos="988"/>
        </w:tabs>
        <w:spacing w:before="41"/>
      </w:pPr>
      <w:r>
        <w:t>(43%)</w:t>
      </w:r>
      <w:r>
        <w:rPr>
          <w:spacing w:val="-12"/>
        </w:rPr>
        <w:t xml:space="preserve"> </w:t>
      </w:r>
      <w:r>
        <w:t>Fear</w:t>
      </w:r>
      <w:r>
        <w:rPr>
          <w:spacing w:val="-12"/>
        </w:rPr>
        <w:t xml:space="preserve"> </w:t>
      </w:r>
      <w:r>
        <w:t>of</w:t>
      </w:r>
      <w:r>
        <w:rPr>
          <w:spacing w:val="-12"/>
        </w:rPr>
        <w:t xml:space="preserve"> </w:t>
      </w:r>
      <w:r>
        <w:t>not</w:t>
      </w:r>
      <w:r>
        <w:rPr>
          <w:spacing w:val="-12"/>
        </w:rPr>
        <w:t xml:space="preserve"> </w:t>
      </w:r>
      <w:r>
        <w:t>being</w:t>
      </w:r>
      <w:r>
        <w:rPr>
          <w:spacing w:val="-11"/>
        </w:rPr>
        <w:t xml:space="preserve"> </w:t>
      </w:r>
      <w:r>
        <w:t>taken</w:t>
      </w:r>
      <w:r>
        <w:rPr>
          <w:spacing w:val="-12"/>
        </w:rPr>
        <w:t xml:space="preserve"> </w:t>
      </w:r>
      <w:r>
        <w:rPr>
          <w:spacing w:val="-2"/>
        </w:rPr>
        <w:t>seriously</w:t>
      </w:r>
    </w:p>
    <w:p w:rsidR="00C76E6D" w:rsidRDefault="00913831">
      <w:pPr>
        <w:pStyle w:val="ListParagraph"/>
        <w:numPr>
          <w:ilvl w:val="0"/>
          <w:numId w:val="32"/>
        </w:numPr>
        <w:tabs>
          <w:tab w:val="left" w:pos="987"/>
          <w:tab w:val="left" w:pos="988"/>
        </w:tabs>
        <w:spacing w:before="42"/>
      </w:pPr>
      <w:r>
        <w:t>(41%)</w:t>
      </w:r>
      <w:r>
        <w:rPr>
          <w:spacing w:val="-10"/>
        </w:rPr>
        <w:t xml:space="preserve"> </w:t>
      </w:r>
      <w:r>
        <w:t>Lack</w:t>
      </w:r>
      <w:r>
        <w:rPr>
          <w:spacing w:val="-9"/>
        </w:rPr>
        <w:t xml:space="preserve"> </w:t>
      </w:r>
      <w:r>
        <w:t>of</w:t>
      </w:r>
      <w:r>
        <w:rPr>
          <w:spacing w:val="-8"/>
        </w:rPr>
        <w:t xml:space="preserve"> </w:t>
      </w:r>
      <w:r>
        <w:rPr>
          <w:spacing w:val="-2"/>
        </w:rPr>
        <w:t>affordability</w:t>
      </w:r>
    </w:p>
    <w:p w:rsidR="00C76E6D" w:rsidRDefault="00913831">
      <w:pPr>
        <w:pStyle w:val="ListParagraph"/>
        <w:numPr>
          <w:ilvl w:val="0"/>
          <w:numId w:val="32"/>
        </w:numPr>
        <w:tabs>
          <w:tab w:val="left" w:pos="987"/>
          <w:tab w:val="left" w:pos="988"/>
        </w:tabs>
        <w:spacing w:before="40"/>
      </w:pPr>
      <w:r>
        <w:t>(34%)</w:t>
      </w:r>
      <w:r>
        <w:rPr>
          <w:spacing w:val="-10"/>
        </w:rPr>
        <w:t xml:space="preserve"> </w:t>
      </w:r>
      <w:r>
        <w:t>Fear</w:t>
      </w:r>
      <w:r>
        <w:rPr>
          <w:spacing w:val="-11"/>
        </w:rPr>
        <w:t xml:space="preserve"> </w:t>
      </w:r>
      <w:r>
        <w:t>of</w:t>
      </w:r>
      <w:r>
        <w:rPr>
          <w:spacing w:val="-8"/>
        </w:rPr>
        <w:t xml:space="preserve"> </w:t>
      </w:r>
      <w:r>
        <w:t>care</w:t>
      </w:r>
      <w:r>
        <w:rPr>
          <w:spacing w:val="-11"/>
        </w:rPr>
        <w:t xml:space="preserve"> </w:t>
      </w:r>
      <w:r>
        <w:t>not</w:t>
      </w:r>
      <w:r>
        <w:rPr>
          <w:spacing w:val="-9"/>
        </w:rPr>
        <w:t xml:space="preserve"> </w:t>
      </w:r>
      <w:r>
        <w:rPr>
          <w:spacing w:val="-2"/>
        </w:rPr>
        <w:t>working</w:t>
      </w:r>
    </w:p>
    <w:p w:rsidR="00C76E6D" w:rsidRDefault="00913831">
      <w:pPr>
        <w:pStyle w:val="ListParagraph"/>
        <w:numPr>
          <w:ilvl w:val="0"/>
          <w:numId w:val="32"/>
        </w:numPr>
        <w:tabs>
          <w:tab w:val="left" w:pos="987"/>
          <w:tab w:val="left" w:pos="988"/>
        </w:tabs>
        <w:spacing w:before="40"/>
      </w:pPr>
      <w:r>
        <w:t>(29%)</w:t>
      </w:r>
      <w:r>
        <w:rPr>
          <w:spacing w:val="-12"/>
        </w:rPr>
        <w:t xml:space="preserve"> </w:t>
      </w:r>
      <w:r>
        <w:t>Fear</w:t>
      </w:r>
      <w:r>
        <w:rPr>
          <w:spacing w:val="-12"/>
        </w:rPr>
        <w:t xml:space="preserve"> </w:t>
      </w:r>
      <w:r>
        <w:t>of</w:t>
      </w:r>
      <w:r>
        <w:rPr>
          <w:spacing w:val="-10"/>
        </w:rPr>
        <w:t xml:space="preserve"> </w:t>
      </w:r>
      <w:r>
        <w:t>being</w:t>
      </w:r>
      <w:r>
        <w:rPr>
          <w:spacing w:val="-11"/>
        </w:rPr>
        <w:t xml:space="preserve"> </w:t>
      </w:r>
      <w:r>
        <w:rPr>
          <w:spacing w:val="-4"/>
        </w:rPr>
        <w:t>outed</w:t>
      </w:r>
    </w:p>
    <w:p w:rsidR="00C76E6D" w:rsidRDefault="00913831">
      <w:pPr>
        <w:pStyle w:val="ListParagraph"/>
        <w:numPr>
          <w:ilvl w:val="0"/>
          <w:numId w:val="32"/>
        </w:numPr>
        <w:tabs>
          <w:tab w:val="left" w:pos="987"/>
          <w:tab w:val="left" w:pos="988"/>
        </w:tabs>
        <w:spacing w:before="39"/>
      </w:pPr>
      <w:r>
        <w:t>(26%)</w:t>
      </w:r>
      <w:r>
        <w:rPr>
          <w:spacing w:val="-13"/>
        </w:rPr>
        <w:t xml:space="preserve"> </w:t>
      </w:r>
      <w:r>
        <w:t>Fear</w:t>
      </w:r>
      <w:r>
        <w:rPr>
          <w:spacing w:val="-12"/>
        </w:rPr>
        <w:t xml:space="preserve"> </w:t>
      </w:r>
      <w:r>
        <w:t>of</w:t>
      </w:r>
      <w:r>
        <w:rPr>
          <w:spacing w:val="-13"/>
        </w:rPr>
        <w:t xml:space="preserve"> </w:t>
      </w:r>
      <w:r>
        <w:t>my</w:t>
      </w:r>
      <w:r>
        <w:rPr>
          <w:spacing w:val="-12"/>
        </w:rPr>
        <w:t xml:space="preserve"> </w:t>
      </w:r>
      <w:r>
        <w:t>identity</w:t>
      </w:r>
      <w:r>
        <w:rPr>
          <w:spacing w:val="-10"/>
        </w:rPr>
        <w:t xml:space="preserve"> </w:t>
      </w:r>
      <w:r>
        <w:t>being</w:t>
      </w:r>
      <w:r>
        <w:rPr>
          <w:spacing w:val="-12"/>
        </w:rPr>
        <w:t xml:space="preserve"> </w:t>
      </w:r>
      <w:r>
        <w:rPr>
          <w:spacing w:val="-2"/>
        </w:rPr>
        <w:t>misunderstood</w:t>
      </w:r>
    </w:p>
    <w:p w:rsidR="00C76E6D" w:rsidRDefault="00913831">
      <w:pPr>
        <w:pStyle w:val="ListParagraph"/>
        <w:numPr>
          <w:ilvl w:val="0"/>
          <w:numId w:val="32"/>
        </w:numPr>
        <w:tabs>
          <w:tab w:val="left" w:pos="987"/>
          <w:tab w:val="left" w:pos="988"/>
        </w:tabs>
        <w:spacing w:before="40"/>
      </w:pPr>
      <w:r>
        <w:rPr>
          <w:w w:val="95"/>
        </w:rPr>
        <w:t>(23%)</w:t>
      </w:r>
      <w:r>
        <w:rPr>
          <w:spacing w:val="11"/>
        </w:rPr>
        <w:t xml:space="preserve"> </w:t>
      </w:r>
      <w:r>
        <w:rPr>
          <w:w w:val="95"/>
        </w:rPr>
        <w:t>Concerns</w:t>
      </w:r>
      <w:r>
        <w:rPr>
          <w:spacing w:val="11"/>
        </w:rPr>
        <w:t xml:space="preserve"> </w:t>
      </w:r>
      <w:r>
        <w:rPr>
          <w:w w:val="95"/>
        </w:rPr>
        <w:t>with</w:t>
      </w:r>
      <w:r>
        <w:rPr>
          <w:spacing w:val="12"/>
        </w:rPr>
        <w:t xml:space="preserve"> </w:t>
      </w:r>
      <w:r>
        <w:rPr>
          <w:w w:val="95"/>
        </w:rPr>
        <w:t>receiving</w:t>
      </w:r>
      <w:r>
        <w:rPr>
          <w:spacing w:val="10"/>
        </w:rPr>
        <w:t xml:space="preserve"> </w:t>
      </w:r>
      <w:r>
        <w:rPr>
          <w:w w:val="95"/>
        </w:rPr>
        <w:t>virtual</w:t>
      </w:r>
      <w:r>
        <w:rPr>
          <w:spacing w:val="14"/>
        </w:rPr>
        <w:t xml:space="preserve"> </w:t>
      </w:r>
      <w:r>
        <w:rPr>
          <w:w w:val="95"/>
        </w:rPr>
        <w:t>care</w:t>
      </w:r>
      <w:r>
        <w:rPr>
          <w:spacing w:val="8"/>
        </w:rPr>
        <w:t xml:space="preserve"> </w:t>
      </w:r>
      <w:r>
        <w:rPr>
          <w:w w:val="95"/>
        </w:rPr>
        <w:t>at</w:t>
      </w:r>
      <w:r>
        <w:rPr>
          <w:spacing w:val="14"/>
        </w:rPr>
        <w:t xml:space="preserve"> </w:t>
      </w:r>
      <w:r>
        <w:rPr>
          <w:spacing w:val="-4"/>
          <w:w w:val="95"/>
        </w:rPr>
        <w:t>home</w:t>
      </w:r>
    </w:p>
    <w:p w:rsidR="00C76E6D" w:rsidRDefault="00913831">
      <w:pPr>
        <w:pStyle w:val="ListParagraph"/>
        <w:numPr>
          <w:ilvl w:val="0"/>
          <w:numId w:val="32"/>
        </w:numPr>
        <w:tabs>
          <w:tab w:val="left" w:pos="987"/>
          <w:tab w:val="left" w:pos="988"/>
        </w:tabs>
        <w:spacing w:before="40"/>
      </w:pPr>
      <w:r>
        <w:rPr>
          <w:w w:val="95"/>
        </w:rPr>
        <w:t>(21%)</w:t>
      </w:r>
      <w:r>
        <w:rPr>
          <w:spacing w:val="13"/>
        </w:rPr>
        <w:t xml:space="preserve"> </w:t>
      </w:r>
      <w:r>
        <w:rPr>
          <w:w w:val="95"/>
        </w:rPr>
        <w:t>Lack</w:t>
      </w:r>
      <w:r>
        <w:rPr>
          <w:spacing w:val="11"/>
        </w:rPr>
        <w:t xml:space="preserve"> </w:t>
      </w:r>
      <w:r>
        <w:rPr>
          <w:w w:val="95"/>
        </w:rPr>
        <w:t>of</w:t>
      </w:r>
      <w:r>
        <w:rPr>
          <w:spacing w:val="17"/>
        </w:rPr>
        <w:t xml:space="preserve"> </w:t>
      </w:r>
      <w:r>
        <w:rPr>
          <w:w w:val="95"/>
        </w:rPr>
        <w:t>transportation</w:t>
      </w:r>
      <w:r>
        <w:rPr>
          <w:spacing w:val="13"/>
        </w:rPr>
        <w:t xml:space="preserve"> </w:t>
      </w:r>
      <w:r>
        <w:rPr>
          <w:spacing w:val="-2"/>
          <w:w w:val="95"/>
        </w:rPr>
        <w:t>options</w:t>
      </w:r>
    </w:p>
    <w:p w:rsidR="00C76E6D" w:rsidRDefault="00913831">
      <w:pPr>
        <w:pStyle w:val="ListParagraph"/>
        <w:numPr>
          <w:ilvl w:val="0"/>
          <w:numId w:val="32"/>
        </w:numPr>
        <w:tabs>
          <w:tab w:val="left" w:pos="987"/>
          <w:tab w:val="left" w:pos="988"/>
        </w:tabs>
        <w:spacing w:before="40"/>
      </w:pPr>
      <w:r>
        <w:rPr>
          <w:w w:val="95"/>
        </w:rPr>
        <w:t>(20%)</w:t>
      </w:r>
      <w:r>
        <w:rPr>
          <w:spacing w:val="13"/>
        </w:rPr>
        <w:t xml:space="preserve"> </w:t>
      </w:r>
      <w:r>
        <w:rPr>
          <w:w w:val="95"/>
        </w:rPr>
        <w:t>Lack</w:t>
      </w:r>
      <w:r>
        <w:rPr>
          <w:spacing w:val="17"/>
        </w:rPr>
        <w:t xml:space="preserve"> </w:t>
      </w:r>
      <w:r>
        <w:rPr>
          <w:w w:val="95"/>
        </w:rPr>
        <w:t>of</w:t>
      </w:r>
      <w:r>
        <w:rPr>
          <w:spacing w:val="16"/>
        </w:rPr>
        <w:t xml:space="preserve"> </w:t>
      </w:r>
      <w:r>
        <w:rPr>
          <w:w w:val="95"/>
        </w:rPr>
        <w:t>parent/caregiver</w:t>
      </w:r>
      <w:r>
        <w:rPr>
          <w:spacing w:val="15"/>
        </w:rPr>
        <w:t xml:space="preserve"> </w:t>
      </w:r>
      <w:r>
        <w:rPr>
          <w:spacing w:val="-2"/>
          <w:w w:val="95"/>
        </w:rPr>
        <w:t>permission</w:t>
      </w:r>
    </w:p>
    <w:p w:rsidR="00C76E6D" w:rsidRDefault="00C76E6D">
      <w:pPr>
        <w:pStyle w:val="BodyText"/>
        <w:spacing w:before="3"/>
        <w:rPr>
          <w:sz w:val="38"/>
        </w:rPr>
      </w:pPr>
    </w:p>
    <w:p w:rsidR="00C76E6D" w:rsidRDefault="00913831">
      <w:pPr>
        <w:pStyle w:val="BodyText"/>
        <w:spacing w:before="1" w:line="276" w:lineRule="auto"/>
        <w:ind w:left="338" w:right="295"/>
        <w:jc w:val="both"/>
      </w:pPr>
      <w:r>
        <w:t>According to a systematic review of 44 studies on risk, resiliency, and mental health factors for transgender and gender non-conforming youth, commons factors correlating to poor mental health include physical and verbal abuse, discrimination, stigma, isol</w:t>
      </w:r>
      <w:r>
        <w:t>ation, poor peer relations, low self-esteem, weight dissatisfaction,</w:t>
      </w:r>
    </w:p>
    <w:p w:rsidR="00C76E6D" w:rsidRDefault="00C76E6D">
      <w:pPr>
        <w:spacing w:line="276" w:lineRule="auto"/>
        <w:jc w:val="both"/>
        <w:sectPr w:rsidR="00C76E6D">
          <w:pgSz w:w="12240" w:h="15840"/>
          <w:pgMar w:top="1000" w:right="960" w:bottom="640" w:left="960" w:header="802" w:footer="440" w:gutter="0"/>
          <w:cols w:space="720"/>
        </w:sectPr>
      </w:pPr>
    </w:p>
    <w:p w:rsidR="00C76E6D" w:rsidRDefault="00C76E6D">
      <w:pPr>
        <w:pStyle w:val="BodyText"/>
        <w:spacing w:before="6"/>
        <w:rPr>
          <w:sz w:val="21"/>
        </w:rPr>
      </w:pPr>
    </w:p>
    <w:p w:rsidR="00C76E6D" w:rsidRDefault="00913831">
      <w:pPr>
        <w:pStyle w:val="BodyText"/>
        <w:spacing w:before="55" w:line="276" w:lineRule="auto"/>
        <w:ind w:left="339" w:right="293" w:hanging="1"/>
        <w:jc w:val="both"/>
      </w:pPr>
      <w:r>
        <w:t>and</w:t>
      </w:r>
      <w:r>
        <w:rPr>
          <w:spacing w:val="-6"/>
        </w:rPr>
        <w:t xml:space="preserve"> </w:t>
      </w:r>
      <w:r>
        <w:t>older</w:t>
      </w:r>
      <w:r>
        <w:rPr>
          <w:spacing w:val="-4"/>
        </w:rPr>
        <w:t xml:space="preserve"> </w:t>
      </w:r>
      <w:r>
        <w:t>age.</w:t>
      </w:r>
      <w:r>
        <w:rPr>
          <w:spacing w:val="-6"/>
        </w:rPr>
        <w:t xml:space="preserve"> </w:t>
      </w:r>
      <w:r>
        <w:t>Conversely,</w:t>
      </w:r>
      <w:r>
        <w:rPr>
          <w:spacing w:val="-4"/>
        </w:rPr>
        <w:t xml:space="preserve"> </w:t>
      </w:r>
      <w:r>
        <w:t>protective</w:t>
      </w:r>
      <w:r>
        <w:rPr>
          <w:spacing w:val="-5"/>
        </w:rPr>
        <w:t xml:space="preserve"> </w:t>
      </w:r>
      <w:r>
        <w:t>factors</w:t>
      </w:r>
      <w:r>
        <w:rPr>
          <w:spacing w:val="-4"/>
        </w:rPr>
        <w:t xml:space="preserve"> </w:t>
      </w:r>
      <w:r>
        <w:t>included</w:t>
      </w:r>
      <w:r>
        <w:rPr>
          <w:spacing w:val="-6"/>
        </w:rPr>
        <w:t xml:space="preserve"> </w:t>
      </w:r>
      <w:r>
        <w:t>family</w:t>
      </w:r>
      <w:r>
        <w:rPr>
          <w:spacing w:val="-4"/>
        </w:rPr>
        <w:t xml:space="preserve"> </w:t>
      </w:r>
      <w:r>
        <w:t>connections,</w:t>
      </w:r>
      <w:r>
        <w:rPr>
          <w:spacing w:val="-4"/>
        </w:rPr>
        <w:t xml:space="preserve"> </w:t>
      </w:r>
      <w:r>
        <w:t>feelings</w:t>
      </w:r>
      <w:r>
        <w:rPr>
          <w:spacing w:val="-4"/>
        </w:rPr>
        <w:t xml:space="preserve"> </w:t>
      </w:r>
      <w:r>
        <w:t>of</w:t>
      </w:r>
      <w:r>
        <w:rPr>
          <w:spacing w:val="-4"/>
        </w:rPr>
        <w:t xml:space="preserve"> </w:t>
      </w:r>
      <w:r>
        <w:t>belonging</w:t>
      </w:r>
      <w:r>
        <w:rPr>
          <w:spacing w:val="-6"/>
        </w:rPr>
        <w:t xml:space="preserve"> </w:t>
      </w:r>
      <w:r>
        <w:t>and</w:t>
      </w:r>
      <w:r>
        <w:rPr>
          <w:spacing w:val="-6"/>
        </w:rPr>
        <w:t xml:space="preserve"> </w:t>
      </w:r>
      <w:r>
        <w:t>safety</w:t>
      </w:r>
      <w:r>
        <w:rPr>
          <w:spacing w:val="-4"/>
        </w:rPr>
        <w:t xml:space="preserve"> </w:t>
      </w:r>
      <w:r>
        <w:t>at school, social supports, and respect for gender congruent names. Youth who were open about their gender identity</w:t>
      </w:r>
      <w:r>
        <w:rPr>
          <w:spacing w:val="-4"/>
        </w:rPr>
        <w:t xml:space="preserve"> </w:t>
      </w:r>
      <w:r>
        <w:t>were</w:t>
      </w:r>
      <w:r>
        <w:rPr>
          <w:spacing w:val="-3"/>
        </w:rPr>
        <w:t xml:space="preserve"> </w:t>
      </w:r>
      <w:r>
        <w:t>more</w:t>
      </w:r>
      <w:r>
        <w:rPr>
          <w:spacing w:val="-4"/>
        </w:rPr>
        <w:t xml:space="preserve"> </w:t>
      </w:r>
      <w:r>
        <w:t>likely</w:t>
      </w:r>
      <w:r>
        <w:rPr>
          <w:spacing w:val="-2"/>
        </w:rPr>
        <w:t xml:space="preserve"> </w:t>
      </w:r>
      <w:r>
        <w:t>to</w:t>
      </w:r>
      <w:r>
        <w:rPr>
          <w:spacing w:val="-2"/>
        </w:rPr>
        <w:t xml:space="preserve"> </w:t>
      </w:r>
      <w:r>
        <w:t>report</w:t>
      </w:r>
      <w:r>
        <w:rPr>
          <w:spacing w:val="-3"/>
        </w:rPr>
        <w:t xml:space="preserve"> </w:t>
      </w:r>
      <w:r>
        <w:t>mental</w:t>
      </w:r>
      <w:r>
        <w:rPr>
          <w:spacing w:val="-3"/>
        </w:rPr>
        <w:t xml:space="preserve"> </w:t>
      </w:r>
      <w:r>
        <w:t>health</w:t>
      </w:r>
      <w:r>
        <w:rPr>
          <w:spacing w:val="-1"/>
        </w:rPr>
        <w:t xml:space="preserve"> </w:t>
      </w:r>
      <w:r>
        <w:t>problems.</w:t>
      </w:r>
      <w:r>
        <w:rPr>
          <w:spacing w:val="-2"/>
        </w:rPr>
        <w:t xml:space="preserve"> </w:t>
      </w:r>
      <w:r>
        <w:t>However,</w:t>
      </w:r>
      <w:r>
        <w:rPr>
          <w:spacing w:val="-4"/>
        </w:rPr>
        <w:t xml:space="preserve"> </w:t>
      </w:r>
      <w:r>
        <w:t>youth</w:t>
      </w:r>
      <w:r>
        <w:rPr>
          <w:spacing w:val="-3"/>
        </w:rPr>
        <w:t xml:space="preserve"> </w:t>
      </w:r>
      <w:r>
        <w:t>who</w:t>
      </w:r>
      <w:r>
        <w:rPr>
          <w:spacing w:val="-2"/>
        </w:rPr>
        <w:t xml:space="preserve"> </w:t>
      </w:r>
      <w:r>
        <w:t>reported</w:t>
      </w:r>
      <w:r>
        <w:rPr>
          <w:spacing w:val="-1"/>
        </w:rPr>
        <w:t xml:space="preserve"> </w:t>
      </w:r>
      <w:r>
        <w:t>being</w:t>
      </w:r>
      <w:r>
        <w:rPr>
          <w:spacing w:val="-3"/>
        </w:rPr>
        <w:t xml:space="preserve"> </w:t>
      </w:r>
      <w:r>
        <w:t>able</w:t>
      </w:r>
      <w:r>
        <w:rPr>
          <w:spacing w:val="-3"/>
        </w:rPr>
        <w:t xml:space="preserve"> </w:t>
      </w:r>
      <w:r>
        <w:t>to use their chosen name across all social contexts (a name they have chosen for themselves rather than the one assigned</w:t>
      </w:r>
      <w:r>
        <w:rPr>
          <w:spacing w:val="-8"/>
        </w:rPr>
        <w:t xml:space="preserve"> </w:t>
      </w:r>
      <w:r>
        <w:t>by</w:t>
      </w:r>
      <w:r>
        <w:rPr>
          <w:spacing w:val="-7"/>
        </w:rPr>
        <w:t xml:space="preserve"> </w:t>
      </w:r>
      <w:r>
        <w:t>parents</w:t>
      </w:r>
      <w:r>
        <w:rPr>
          <w:spacing w:val="-8"/>
        </w:rPr>
        <w:t xml:space="preserve"> </w:t>
      </w:r>
      <w:r>
        <w:t>at</w:t>
      </w:r>
      <w:r>
        <w:rPr>
          <w:spacing w:val="-7"/>
        </w:rPr>
        <w:t xml:space="preserve"> </w:t>
      </w:r>
      <w:r>
        <w:t>birth</w:t>
      </w:r>
      <w:r>
        <w:rPr>
          <w:spacing w:val="-8"/>
        </w:rPr>
        <w:t xml:space="preserve"> </w:t>
      </w:r>
      <w:r>
        <w:t>as</w:t>
      </w:r>
      <w:r>
        <w:rPr>
          <w:spacing w:val="-6"/>
        </w:rPr>
        <w:t xml:space="preserve"> </w:t>
      </w:r>
      <w:r>
        <w:t>a</w:t>
      </w:r>
      <w:r>
        <w:rPr>
          <w:spacing w:val="-9"/>
        </w:rPr>
        <w:t xml:space="preserve"> </w:t>
      </w:r>
      <w:r>
        <w:t>signifier</w:t>
      </w:r>
      <w:r>
        <w:rPr>
          <w:spacing w:val="-7"/>
        </w:rPr>
        <w:t xml:space="preserve"> </w:t>
      </w:r>
      <w:r>
        <w:t>of</w:t>
      </w:r>
      <w:r>
        <w:rPr>
          <w:spacing w:val="-8"/>
        </w:rPr>
        <w:t xml:space="preserve"> </w:t>
      </w:r>
      <w:r>
        <w:t>gender</w:t>
      </w:r>
      <w:r>
        <w:rPr>
          <w:spacing w:val="-6"/>
        </w:rPr>
        <w:t xml:space="preserve"> </w:t>
      </w:r>
      <w:r>
        <w:t>acceptance</w:t>
      </w:r>
      <w:r>
        <w:rPr>
          <w:spacing w:val="-5"/>
        </w:rPr>
        <w:t xml:space="preserve"> </w:t>
      </w:r>
      <w:r>
        <w:t>in</w:t>
      </w:r>
      <w:r>
        <w:rPr>
          <w:spacing w:val="-7"/>
        </w:rPr>
        <w:t xml:space="preserve"> </w:t>
      </w:r>
      <w:r>
        <w:t>the</w:t>
      </w:r>
      <w:r>
        <w:rPr>
          <w:spacing w:val="-5"/>
        </w:rPr>
        <w:t xml:space="preserve"> </w:t>
      </w:r>
      <w:r>
        <w:t>community)</w:t>
      </w:r>
      <w:r>
        <w:rPr>
          <w:spacing w:val="-8"/>
        </w:rPr>
        <w:t xml:space="preserve"> </w:t>
      </w:r>
      <w:r>
        <w:t>presented</w:t>
      </w:r>
      <w:r>
        <w:rPr>
          <w:spacing w:val="-5"/>
        </w:rPr>
        <w:t xml:space="preserve"> </w:t>
      </w:r>
      <w:r>
        <w:t>the</w:t>
      </w:r>
      <w:r>
        <w:rPr>
          <w:spacing w:val="-4"/>
        </w:rPr>
        <w:t xml:space="preserve"> </w:t>
      </w:r>
      <w:r>
        <w:t>lowest</w:t>
      </w:r>
      <w:r>
        <w:rPr>
          <w:spacing w:val="-8"/>
        </w:rPr>
        <w:t xml:space="preserve"> </w:t>
      </w:r>
      <w:r>
        <w:t>rates of depression and suicidality. The</w:t>
      </w:r>
      <w:r>
        <w:t>se findings indicate that youth who find supportive environments that respect</w:t>
      </w:r>
      <w:r>
        <w:rPr>
          <w:spacing w:val="-9"/>
        </w:rPr>
        <w:t xml:space="preserve"> </w:t>
      </w:r>
      <w:r>
        <w:t>their</w:t>
      </w:r>
      <w:r>
        <w:rPr>
          <w:spacing w:val="-10"/>
        </w:rPr>
        <w:t xml:space="preserve"> </w:t>
      </w:r>
      <w:r>
        <w:t>identities,</w:t>
      </w:r>
      <w:r>
        <w:rPr>
          <w:spacing w:val="-9"/>
        </w:rPr>
        <w:t xml:space="preserve"> </w:t>
      </w:r>
      <w:r>
        <w:t>protect</w:t>
      </w:r>
      <w:r>
        <w:rPr>
          <w:spacing w:val="-11"/>
        </w:rPr>
        <w:t xml:space="preserve"> </w:t>
      </w:r>
      <w:r>
        <w:t>them</w:t>
      </w:r>
      <w:r>
        <w:rPr>
          <w:spacing w:val="-10"/>
        </w:rPr>
        <w:t xml:space="preserve"> </w:t>
      </w:r>
      <w:r>
        <w:t>from</w:t>
      </w:r>
      <w:r>
        <w:rPr>
          <w:spacing w:val="-11"/>
        </w:rPr>
        <w:t xml:space="preserve"> </w:t>
      </w:r>
      <w:r>
        <w:t>harassment,</w:t>
      </w:r>
      <w:r>
        <w:rPr>
          <w:spacing w:val="-9"/>
        </w:rPr>
        <w:t xml:space="preserve"> </w:t>
      </w:r>
      <w:r>
        <w:t>provide</w:t>
      </w:r>
      <w:r>
        <w:rPr>
          <w:spacing w:val="-10"/>
        </w:rPr>
        <w:t xml:space="preserve"> </w:t>
      </w:r>
      <w:r>
        <w:t>them</w:t>
      </w:r>
      <w:r>
        <w:rPr>
          <w:spacing w:val="-12"/>
        </w:rPr>
        <w:t xml:space="preserve"> </w:t>
      </w:r>
      <w:r>
        <w:t>with</w:t>
      </w:r>
      <w:r>
        <w:rPr>
          <w:spacing w:val="-10"/>
        </w:rPr>
        <w:t xml:space="preserve"> </w:t>
      </w:r>
      <w:r>
        <w:t>affirming</w:t>
      </w:r>
      <w:r>
        <w:rPr>
          <w:spacing w:val="-12"/>
        </w:rPr>
        <w:t xml:space="preserve"> </w:t>
      </w:r>
      <w:r>
        <w:t>medical</w:t>
      </w:r>
      <w:r>
        <w:rPr>
          <w:spacing w:val="-10"/>
        </w:rPr>
        <w:t xml:space="preserve"> </w:t>
      </w:r>
      <w:r>
        <w:t>care,</w:t>
      </w:r>
      <w:r>
        <w:rPr>
          <w:spacing w:val="-10"/>
        </w:rPr>
        <w:t xml:space="preserve"> </w:t>
      </w:r>
      <w:r>
        <w:t>participate in sports as their whole selves, and support them in a discriminatory larger world will be able to thrive. Unfortunately, the review found that nearly one-fifth of the studies did not provide information regarding ethnicity, impeding a racially</w:t>
      </w:r>
      <w:r>
        <w:t xml:space="preserve"> intersectional analysis of their results</w:t>
      </w:r>
      <w:hyperlink w:anchor="_bookmark476" w:history="1">
        <w:r>
          <w:t>.</w:t>
        </w:r>
        <w:r>
          <w:rPr>
            <w:vertAlign w:val="superscript"/>
          </w:rPr>
          <w:t>58</w:t>
        </w:r>
      </w:hyperlink>
    </w:p>
    <w:p w:rsidR="00C76E6D" w:rsidRDefault="00C76E6D">
      <w:pPr>
        <w:pStyle w:val="BodyText"/>
        <w:spacing w:before="6"/>
        <w:rPr>
          <w:sz w:val="19"/>
        </w:rPr>
      </w:pPr>
    </w:p>
    <w:p w:rsidR="00C76E6D" w:rsidRDefault="00913831">
      <w:pPr>
        <w:pStyle w:val="BodyText"/>
        <w:spacing w:line="276" w:lineRule="auto"/>
        <w:ind w:left="338" w:right="293"/>
        <w:jc w:val="both"/>
      </w:pPr>
      <w:r>
        <w:t>A study found that concealment of sexual and gender identity is associated with higher rates of depression, anxiety,</w:t>
      </w:r>
      <w:r>
        <w:rPr>
          <w:spacing w:val="-5"/>
        </w:rPr>
        <w:t xml:space="preserve"> </w:t>
      </w:r>
      <w:r>
        <w:t>social</w:t>
      </w:r>
      <w:r>
        <w:rPr>
          <w:spacing w:val="-5"/>
        </w:rPr>
        <w:t xml:space="preserve"> </w:t>
      </w:r>
      <w:r>
        <w:t>anxiety,</w:t>
      </w:r>
      <w:r>
        <w:rPr>
          <w:spacing w:val="-5"/>
        </w:rPr>
        <w:t xml:space="preserve"> </w:t>
      </w:r>
      <w:r>
        <w:t>and</w:t>
      </w:r>
      <w:r>
        <w:rPr>
          <w:spacing w:val="-5"/>
        </w:rPr>
        <w:t xml:space="preserve"> </w:t>
      </w:r>
      <w:r>
        <w:t>stress.</w:t>
      </w:r>
      <w:r>
        <w:rPr>
          <w:spacing w:val="26"/>
        </w:rPr>
        <w:t xml:space="preserve"> </w:t>
      </w:r>
      <w:r>
        <w:t>This</w:t>
      </w:r>
      <w:r>
        <w:rPr>
          <w:spacing w:val="-5"/>
        </w:rPr>
        <w:t xml:space="preserve"> </w:t>
      </w:r>
      <w:r>
        <w:t>study</w:t>
      </w:r>
      <w:r>
        <w:rPr>
          <w:spacing w:val="-5"/>
        </w:rPr>
        <w:t xml:space="preserve"> </w:t>
      </w:r>
      <w:r>
        <w:t>compared</w:t>
      </w:r>
      <w:r>
        <w:rPr>
          <w:spacing w:val="-6"/>
        </w:rPr>
        <w:t xml:space="preserve"> </w:t>
      </w:r>
      <w:r>
        <w:t>their</w:t>
      </w:r>
      <w:r>
        <w:rPr>
          <w:spacing w:val="-5"/>
        </w:rPr>
        <w:t xml:space="preserve"> </w:t>
      </w:r>
      <w:r>
        <w:t>results</w:t>
      </w:r>
      <w:r>
        <w:rPr>
          <w:spacing w:val="-5"/>
        </w:rPr>
        <w:t xml:space="preserve"> </w:t>
      </w:r>
      <w:r>
        <w:t>between</w:t>
      </w:r>
      <w:r>
        <w:rPr>
          <w:spacing w:val="-5"/>
        </w:rPr>
        <w:t xml:space="preserve"> </w:t>
      </w:r>
      <w:r>
        <w:t>gender</w:t>
      </w:r>
      <w:r>
        <w:rPr>
          <w:spacing w:val="-1"/>
        </w:rPr>
        <w:t xml:space="preserve"> </w:t>
      </w:r>
      <w:r>
        <w:t>minority</w:t>
      </w:r>
      <w:r>
        <w:rPr>
          <w:spacing w:val="-2"/>
        </w:rPr>
        <w:t xml:space="preserve"> </w:t>
      </w:r>
      <w:r>
        <w:t>and</w:t>
      </w:r>
      <w:r>
        <w:rPr>
          <w:spacing w:val="-2"/>
        </w:rPr>
        <w:t xml:space="preserve"> </w:t>
      </w:r>
      <w:r>
        <w:t>cisgender participants. The extent of concealment was equally predictive of depression, anxiety, social anxiety, and stress for gender minorities and cisgender, and helps explain that higher concealment rates for gender minorit</w:t>
      </w:r>
      <w:r>
        <w:t>ies</w:t>
      </w:r>
      <w:r>
        <w:rPr>
          <w:spacing w:val="-1"/>
        </w:rPr>
        <w:t xml:space="preserve"> </w:t>
      </w:r>
      <w:r>
        <w:t>result</w:t>
      </w:r>
      <w:r>
        <w:rPr>
          <w:spacing w:val="-2"/>
        </w:rPr>
        <w:t xml:space="preserve"> </w:t>
      </w:r>
      <w:r>
        <w:t>in</w:t>
      </w:r>
      <w:r>
        <w:rPr>
          <w:spacing w:val="-2"/>
        </w:rPr>
        <w:t xml:space="preserve"> </w:t>
      </w:r>
      <w:r>
        <w:t>a</w:t>
      </w:r>
      <w:r>
        <w:rPr>
          <w:spacing w:val="-1"/>
        </w:rPr>
        <w:t xml:space="preserve"> </w:t>
      </w:r>
      <w:r>
        <w:t>higher</w:t>
      </w:r>
      <w:r>
        <w:rPr>
          <w:spacing w:val="-3"/>
        </w:rPr>
        <w:t xml:space="preserve"> </w:t>
      </w:r>
      <w:r>
        <w:t>rate</w:t>
      </w:r>
      <w:r>
        <w:rPr>
          <w:spacing w:val="-2"/>
        </w:rPr>
        <w:t xml:space="preserve"> </w:t>
      </w:r>
      <w:r>
        <w:t>of</w:t>
      </w:r>
      <w:r>
        <w:rPr>
          <w:spacing w:val="-2"/>
        </w:rPr>
        <w:t xml:space="preserve"> </w:t>
      </w:r>
      <w:r>
        <w:t>mental</w:t>
      </w:r>
      <w:r>
        <w:rPr>
          <w:spacing w:val="-3"/>
        </w:rPr>
        <w:t xml:space="preserve"> </w:t>
      </w:r>
      <w:r>
        <w:t>health</w:t>
      </w:r>
      <w:r>
        <w:rPr>
          <w:spacing w:val="-2"/>
        </w:rPr>
        <w:t xml:space="preserve"> </w:t>
      </w:r>
      <w:r>
        <w:t>problems</w:t>
      </w:r>
      <w:hyperlink w:anchor="_bookmark477" w:history="1">
        <w:r>
          <w:t>.</w:t>
        </w:r>
        <w:r>
          <w:rPr>
            <w:vertAlign w:val="superscript"/>
          </w:rPr>
          <w:t>59</w:t>
        </w:r>
        <w:r>
          <w:rPr>
            <w:spacing w:val="-2"/>
          </w:rPr>
          <w:t xml:space="preserve"> </w:t>
        </w:r>
      </w:hyperlink>
      <w:r>
        <w:t>Finally,</w:t>
      </w:r>
      <w:r>
        <w:rPr>
          <w:spacing w:val="-2"/>
        </w:rPr>
        <w:t xml:space="preserve"> </w:t>
      </w:r>
      <w:r>
        <w:t>in</w:t>
      </w:r>
      <w:r>
        <w:rPr>
          <w:spacing w:val="-2"/>
        </w:rPr>
        <w:t xml:space="preserve"> </w:t>
      </w:r>
      <w:r>
        <w:t>2021,</w:t>
      </w:r>
      <w:r>
        <w:rPr>
          <w:spacing w:val="-2"/>
        </w:rPr>
        <w:t xml:space="preserve"> </w:t>
      </w:r>
      <w:r>
        <w:t>17%</w:t>
      </w:r>
      <w:r>
        <w:rPr>
          <w:spacing w:val="-3"/>
        </w:rPr>
        <w:t xml:space="preserve"> </w:t>
      </w:r>
      <w:r>
        <w:t>of</w:t>
      </w:r>
      <w:r>
        <w:rPr>
          <w:spacing w:val="-3"/>
        </w:rPr>
        <w:t xml:space="preserve"> </w:t>
      </w:r>
      <w:r>
        <w:t>LGBTQ</w:t>
      </w:r>
      <w:r>
        <w:rPr>
          <w:spacing w:val="-1"/>
        </w:rPr>
        <w:t xml:space="preserve"> </w:t>
      </w:r>
      <w:r>
        <w:t>youth</w:t>
      </w:r>
      <w:r>
        <w:rPr>
          <w:spacing w:val="-3"/>
        </w:rPr>
        <w:t xml:space="preserve"> </w:t>
      </w:r>
      <w:r>
        <w:t xml:space="preserve">reported being threatened or subject to conversion therapy, including more than 1 in 5 transgender and nonbinary </w:t>
      </w:r>
      <w:r>
        <w:rPr>
          <w:spacing w:val="-2"/>
        </w:rPr>
        <w:t>youth.</w:t>
      </w:r>
      <w:hyperlink w:anchor="_bookmark478" w:history="1">
        <w:r>
          <w:rPr>
            <w:spacing w:val="-2"/>
            <w:vertAlign w:val="superscript"/>
          </w:rPr>
          <w:t>60</w:t>
        </w:r>
      </w:hyperlink>
    </w:p>
    <w:p w:rsidR="00C76E6D" w:rsidRDefault="00C76E6D">
      <w:pPr>
        <w:pStyle w:val="BodyText"/>
        <w:spacing w:before="5"/>
        <w:rPr>
          <w:sz w:val="25"/>
        </w:rPr>
      </w:pPr>
    </w:p>
    <w:p w:rsidR="00C76E6D" w:rsidRDefault="00913831">
      <w:pPr>
        <w:pStyle w:val="Heading6"/>
        <w:numPr>
          <w:ilvl w:val="0"/>
          <w:numId w:val="35"/>
        </w:numPr>
        <w:tabs>
          <w:tab w:val="left" w:pos="560"/>
        </w:tabs>
        <w:ind w:hanging="222"/>
        <w:jc w:val="left"/>
      </w:pPr>
      <w:bookmarkStart w:id="577" w:name="7._Eating_Disorders_and_Body_Dysmorphic_"/>
      <w:bookmarkEnd w:id="577"/>
      <w:r>
        <w:rPr>
          <w:w w:val="95"/>
        </w:rPr>
        <w:t>Eating</w:t>
      </w:r>
      <w:r>
        <w:rPr>
          <w:spacing w:val="13"/>
        </w:rPr>
        <w:t xml:space="preserve"> </w:t>
      </w:r>
      <w:r>
        <w:rPr>
          <w:w w:val="95"/>
        </w:rPr>
        <w:t>Disorders</w:t>
      </w:r>
      <w:r>
        <w:rPr>
          <w:spacing w:val="12"/>
        </w:rPr>
        <w:t xml:space="preserve"> </w:t>
      </w:r>
      <w:r>
        <w:rPr>
          <w:w w:val="95"/>
        </w:rPr>
        <w:t>and</w:t>
      </w:r>
      <w:r>
        <w:rPr>
          <w:spacing w:val="10"/>
        </w:rPr>
        <w:t xml:space="preserve"> </w:t>
      </w:r>
      <w:r>
        <w:rPr>
          <w:w w:val="95"/>
        </w:rPr>
        <w:t>Body</w:t>
      </w:r>
      <w:r>
        <w:rPr>
          <w:spacing w:val="14"/>
        </w:rPr>
        <w:t xml:space="preserve"> </w:t>
      </w:r>
      <w:r>
        <w:rPr>
          <w:w w:val="95"/>
        </w:rPr>
        <w:t>Dysmorphic</w:t>
      </w:r>
      <w:r>
        <w:rPr>
          <w:spacing w:val="13"/>
        </w:rPr>
        <w:t xml:space="preserve"> </w:t>
      </w:r>
      <w:r>
        <w:rPr>
          <w:spacing w:val="-2"/>
          <w:w w:val="95"/>
        </w:rPr>
        <w:t>Disorder</w:t>
      </w:r>
    </w:p>
    <w:p w:rsidR="00C76E6D" w:rsidRDefault="00C76E6D">
      <w:pPr>
        <w:pStyle w:val="BodyText"/>
        <w:spacing w:before="7"/>
        <w:rPr>
          <w:b/>
          <w:sz w:val="28"/>
        </w:rPr>
      </w:pPr>
    </w:p>
    <w:p w:rsidR="00C76E6D" w:rsidRDefault="00913831">
      <w:pPr>
        <w:pStyle w:val="BodyText"/>
        <w:spacing w:before="1" w:line="276" w:lineRule="auto"/>
        <w:ind w:left="338" w:right="292"/>
        <w:jc w:val="both"/>
      </w:pPr>
      <w:r>
        <w:t>LGBTQ youth experience a higher prevalence of mental health challenges caused by stigma and prejudice than heterosexual and cisgender counterparts. Unique factors challenge lesbian, gay, bisexual, transgender, and gender-nonconforming youth as an aggregate</w:t>
      </w:r>
      <w:r>
        <w:t xml:space="preserve"> and per each group. Some of the factors affecting youth include</w:t>
      </w:r>
      <w:r>
        <w:rPr>
          <w:spacing w:val="-11"/>
        </w:rPr>
        <w:t xml:space="preserve"> </w:t>
      </w:r>
      <w:r>
        <w:t>victimization,</w:t>
      </w:r>
      <w:r>
        <w:rPr>
          <w:spacing w:val="-8"/>
        </w:rPr>
        <w:t xml:space="preserve"> </w:t>
      </w:r>
      <w:r>
        <w:t>expectations</w:t>
      </w:r>
      <w:r>
        <w:rPr>
          <w:spacing w:val="-8"/>
        </w:rPr>
        <w:t xml:space="preserve"> </w:t>
      </w:r>
      <w:r>
        <w:t>of</w:t>
      </w:r>
      <w:r>
        <w:rPr>
          <w:spacing w:val="-10"/>
        </w:rPr>
        <w:t xml:space="preserve"> </w:t>
      </w:r>
      <w:r>
        <w:t>rejection,</w:t>
      </w:r>
      <w:r>
        <w:rPr>
          <w:spacing w:val="-8"/>
        </w:rPr>
        <w:t xml:space="preserve"> </w:t>
      </w:r>
      <w:r>
        <w:t>and</w:t>
      </w:r>
      <w:r>
        <w:rPr>
          <w:spacing w:val="-8"/>
        </w:rPr>
        <w:t xml:space="preserve"> </w:t>
      </w:r>
      <w:r>
        <w:t>internalized</w:t>
      </w:r>
      <w:r>
        <w:rPr>
          <w:spacing w:val="-9"/>
        </w:rPr>
        <w:t xml:space="preserve"> </w:t>
      </w:r>
      <w:r>
        <w:t>stigma</w:t>
      </w:r>
      <w:r>
        <w:rPr>
          <w:spacing w:val="-8"/>
        </w:rPr>
        <w:t xml:space="preserve"> </w:t>
      </w:r>
      <w:r>
        <w:t>such</w:t>
      </w:r>
      <w:r>
        <w:rPr>
          <w:spacing w:val="-9"/>
        </w:rPr>
        <w:t xml:space="preserve"> </w:t>
      </w:r>
      <w:r>
        <w:t>as</w:t>
      </w:r>
      <w:r>
        <w:rPr>
          <w:spacing w:val="-8"/>
        </w:rPr>
        <w:t xml:space="preserve"> </w:t>
      </w:r>
      <w:r>
        <w:t>homophobia,</w:t>
      </w:r>
      <w:r>
        <w:rPr>
          <w:spacing w:val="-10"/>
        </w:rPr>
        <w:t xml:space="preserve"> </w:t>
      </w:r>
      <w:r>
        <w:t>concealment</w:t>
      </w:r>
      <w:r>
        <w:rPr>
          <w:spacing w:val="-11"/>
        </w:rPr>
        <w:t xml:space="preserve"> </w:t>
      </w:r>
      <w:r>
        <w:t>of identity</w:t>
      </w:r>
      <w:r>
        <w:rPr>
          <w:spacing w:val="-5"/>
        </w:rPr>
        <w:t xml:space="preserve"> </w:t>
      </w:r>
      <w:r>
        <w:t>stress,</w:t>
      </w:r>
      <w:r>
        <w:rPr>
          <w:spacing w:val="-6"/>
        </w:rPr>
        <w:t xml:space="preserve"> </w:t>
      </w:r>
      <w:r>
        <w:t>and</w:t>
      </w:r>
      <w:r>
        <w:rPr>
          <w:spacing w:val="-6"/>
        </w:rPr>
        <w:t xml:space="preserve"> </w:t>
      </w:r>
      <w:r>
        <w:t>violence,</w:t>
      </w:r>
      <w:r>
        <w:rPr>
          <w:spacing w:val="-6"/>
        </w:rPr>
        <w:t xml:space="preserve"> </w:t>
      </w:r>
      <w:r>
        <w:t>and</w:t>
      </w:r>
      <w:r>
        <w:rPr>
          <w:spacing w:val="-7"/>
        </w:rPr>
        <w:t xml:space="preserve"> </w:t>
      </w:r>
      <w:r>
        <w:t>social</w:t>
      </w:r>
      <w:r>
        <w:rPr>
          <w:spacing w:val="-4"/>
        </w:rPr>
        <w:t xml:space="preserve"> </w:t>
      </w:r>
      <w:r>
        <w:t>and</w:t>
      </w:r>
      <w:r>
        <w:rPr>
          <w:spacing w:val="-6"/>
        </w:rPr>
        <w:t xml:space="preserve"> </w:t>
      </w:r>
      <w:r>
        <w:t>verbal</w:t>
      </w:r>
      <w:r>
        <w:rPr>
          <w:spacing w:val="-6"/>
        </w:rPr>
        <w:t xml:space="preserve"> </w:t>
      </w:r>
      <w:r>
        <w:t>victimization.</w:t>
      </w:r>
      <w:r>
        <w:rPr>
          <w:spacing w:val="-7"/>
        </w:rPr>
        <w:t xml:space="preserve"> </w:t>
      </w:r>
      <w:r>
        <w:t>Additionally,</w:t>
      </w:r>
      <w:r>
        <w:rPr>
          <w:spacing w:val="-4"/>
        </w:rPr>
        <w:t xml:space="preserve"> </w:t>
      </w:r>
      <w:r>
        <w:t>LGBTQ</w:t>
      </w:r>
      <w:r>
        <w:rPr>
          <w:spacing w:val="-3"/>
        </w:rPr>
        <w:t xml:space="preserve"> </w:t>
      </w:r>
      <w:r>
        <w:t>yo</w:t>
      </w:r>
      <w:r>
        <w:t>uth</w:t>
      </w:r>
      <w:r>
        <w:rPr>
          <w:spacing w:val="-9"/>
        </w:rPr>
        <w:t xml:space="preserve"> </w:t>
      </w:r>
      <w:r>
        <w:t>are</w:t>
      </w:r>
      <w:r>
        <w:rPr>
          <w:spacing w:val="-9"/>
        </w:rPr>
        <w:t xml:space="preserve"> </w:t>
      </w:r>
      <w:r>
        <w:t>more</w:t>
      </w:r>
      <w:r>
        <w:rPr>
          <w:spacing w:val="-10"/>
        </w:rPr>
        <w:t xml:space="preserve"> </w:t>
      </w:r>
      <w:r>
        <w:t>likely</w:t>
      </w:r>
      <w:r>
        <w:rPr>
          <w:spacing w:val="-8"/>
        </w:rPr>
        <w:t xml:space="preserve"> </w:t>
      </w:r>
      <w:r>
        <w:t>to report eating disorder symptoms if they perceive higher levels of stigma. Therefore, it is not surprising that LGBTQ youth would experience higher clinical eating disorders and eating disorder behaviors. Different studies have stated</w:t>
      </w:r>
      <w:r>
        <w:t xml:space="preserve"> that anywhere from 50% to 70% of LGBTQ youth have reported disordered eating, with higher rates among transgender youth</w:t>
      </w:r>
      <w:hyperlink w:anchor="_bookmark479" w:history="1">
        <w:r>
          <w:t>.</w:t>
        </w:r>
        <w:r>
          <w:rPr>
            <w:vertAlign w:val="superscript"/>
          </w:rPr>
          <w:t>61</w:t>
        </w:r>
      </w:hyperlink>
    </w:p>
    <w:p w:rsidR="00C76E6D" w:rsidRDefault="00C76E6D">
      <w:pPr>
        <w:pStyle w:val="BodyText"/>
        <w:spacing w:before="7"/>
        <w:rPr>
          <w:sz w:val="19"/>
        </w:rPr>
      </w:pPr>
    </w:p>
    <w:p w:rsidR="00C76E6D" w:rsidRDefault="00913831">
      <w:pPr>
        <w:pStyle w:val="BodyText"/>
        <w:ind w:left="338"/>
        <w:jc w:val="both"/>
      </w:pPr>
      <w:r>
        <w:rPr>
          <w:w w:val="95"/>
        </w:rPr>
        <w:t>Parker</w:t>
      </w:r>
      <w:r>
        <w:rPr>
          <w:spacing w:val="7"/>
        </w:rPr>
        <w:t xml:space="preserve"> </w:t>
      </w:r>
      <w:r>
        <w:rPr>
          <w:w w:val="95"/>
        </w:rPr>
        <w:t>and</w:t>
      </w:r>
      <w:r>
        <w:rPr>
          <w:spacing w:val="11"/>
        </w:rPr>
        <w:t xml:space="preserve"> </w:t>
      </w:r>
      <w:r>
        <w:rPr>
          <w:w w:val="95"/>
        </w:rPr>
        <w:t>Harriger</w:t>
      </w:r>
      <w:r>
        <w:rPr>
          <w:spacing w:val="11"/>
        </w:rPr>
        <w:t xml:space="preserve"> </w:t>
      </w:r>
      <w:r>
        <w:rPr>
          <w:w w:val="95"/>
        </w:rPr>
        <w:t>found</w:t>
      </w:r>
      <w:r>
        <w:rPr>
          <w:spacing w:val="13"/>
        </w:rPr>
        <w:t xml:space="preserve"> </w:t>
      </w:r>
      <w:r>
        <w:rPr>
          <w:w w:val="95"/>
        </w:rPr>
        <w:t>in</w:t>
      </w:r>
      <w:r>
        <w:rPr>
          <w:spacing w:val="7"/>
        </w:rPr>
        <w:t xml:space="preserve"> </w:t>
      </w:r>
      <w:r>
        <w:rPr>
          <w:w w:val="95"/>
        </w:rPr>
        <w:t>a</w:t>
      </w:r>
      <w:r>
        <w:rPr>
          <w:spacing w:val="11"/>
        </w:rPr>
        <w:t xml:space="preserve"> </w:t>
      </w:r>
      <w:r>
        <w:rPr>
          <w:w w:val="95"/>
        </w:rPr>
        <w:t>systematic</w:t>
      </w:r>
      <w:r>
        <w:rPr>
          <w:spacing w:val="8"/>
        </w:rPr>
        <w:t xml:space="preserve"> </w:t>
      </w:r>
      <w:r>
        <w:rPr>
          <w:w w:val="95"/>
        </w:rPr>
        <w:t>review</w:t>
      </w:r>
      <w:r>
        <w:rPr>
          <w:spacing w:val="11"/>
        </w:rPr>
        <w:t xml:space="preserve"> </w:t>
      </w:r>
      <w:r>
        <w:rPr>
          <w:w w:val="95"/>
        </w:rPr>
        <w:t>four</w:t>
      </w:r>
      <w:r>
        <w:rPr>
          <w:spacing w:val="9"/>
        </w:rPr>
        <w:t xml:space="preserve"> </w:t>
      </w:r>
      <w:r>
        <w:rPr>
          <w:w w:val="95"/>
        </w:rPr>
        <w:t>main</w:t>
      </w:r>
      <w:r>
        <w:rPr>
          <w:spacing w:val="11"/>
        </w:rPr>
        <w:t xml:space="preserve"> </w:t>
      </w:r>
      <w:r>
        <w:rPr>
          <w:w w:val="95"/>
        </w:rPr>
        <w:t>themes</w:t>
      </w:r>
      <w:r>
        <w:rPr>
          <w:spacing w:val="17"/>
        </w:rPr>
        <w:t xml:space="preserve"> </w:t>
      </w:r>
      <w:r>
        <w:rPr>
          <w:w w:val="95"/>
        </w:rPr>
        <w:t>concerning</w:t>
      </w:r>
      <w:r>
        <w:rPr>
          <w:spacing w:val="11"/>
        </w:rPr>
        <w:t xml:space="preserve"> </w:t>
      </w:r>
      <w:r>
        <w:rPr>
          <w:w w:val="95"/>
        </w:rPr>
        <w:t>research</w:t>
      </w:r>
      <w:r>
        <w:rPr>
          <w:spacing w:val="11"/>
        </w:rPr>
        <w:t xml:space="preserve"> </w:t>
      </w:r>
      <w:r>
        <w:rPr>
          <w:spacing w:val="-2"/>
          <w:w w:val="95"/>
        </w:rPr>
        <w:t>results:</w:t>
      </w:r>
    </w:p>
    <w:p w:rsidR="00C76E6D" w:rsidRDefault="00C76E6D">
      <w:pPr>
        <w:pStyle w:val="BodyText"/>
      </w:pPr>
    </w:p>
    <w:p w:rsidR="00C76E6D" w:rsidRDefault="00913831">
      <w:pPr>
        <w:pStyle w:val="ListParagraph"/>
        <w:numPr>
          <w:ilvl w:val="1"/>
          <w:numId w:val="35"/>
        </w:numPr>
        <w:tabs>
          <w:tab w:val="left" w:pos="1060"/>
        </w:tabs>
        <w:spacing w:before="172" w:line="276" w:lineRule="auto"/>
        <w:ind w:right="733"/>
      </w:pPr>
      <w:r>
        <w:t>Ideals</w:t>
      </w:r>
      <w:r>
        <w:rPr>
          <w:spacing w:val="-4"/>
        </w:rPr>
        <w:t xml:space="preserve"> </w:t>
      </w:r>
      <w:r>
        <w:t>of</w:t>
      </w:r>
      <w:r>
        <w:rPr>
          <w:spacing w:val="-4"/>
        </w:rPr>
        <w:t xml:space="preserve"> </w:t>
      </w:r>
      <w:r>
        <w:t>appearance</w:t>
      </w:r>
      <w:r>
        <w:rPr>
          <w:spacing w:val="-4"/>
        </w:rPr>
        <w:t xml:space="preserve"> </w:t>
      </w:r>
      <w:r>
        <w:t>were</w:t>
      </w:r>
      <w:r>
        <w:rPr>
          <w:spacing w:val="-3"/>
        </w:rPr>
        <w:t xml:space="preserve"> </w:t>
      </w:r>
      <w:r>
        <w:t>created</w:t>
      </w:r>
      <w:r>
        <w:rPr>
          <w:spacing w:val="-4"/>
        </w:rPr>
        <w:t xml:space="preserve"> </w:t>
      </w:r>
      <w:r>
        <w:t>from</w:t>
      </w:r>
      <w:r>
        <w:rPr>
          <w:spacing w:val="-3"/>
        </w:rPr>
        <w:t xml:space="preserve"> </w:t>
      </w:r>
      <w:r>
        <w:t>different</w:t>
      </w:r>
      <w:r>
        <w:rPr>
          <w:spacing w:val="-4"/>
        </w:rPr>
        <w:t xml:space="preserve"> </w:t>
      </w:r>
      <w:r>
        <w:t>sources</w:t>
      </w:r>
      <w:r>
        <w:rPr>
          <w:spacing w:val="-4"/>
        </w:rPr>
        <w:t xml:space="preserve"> </w:t>
      </w:r>
      <w:r>
        <w:t>corresponding</w:t>
      </w:r>
      <w:r>
        <w:rPr>
          <w:spacing w:val="-3"/>
        </w:rPr>
        <w:t xml:space="preserve"> </w:t>
      </w:r>
      <w:r>
        <w:t>to</w:t>
      </w:r>
      <w:r>
        <w:rPr>
          <w:spacing w:val="-3"/>
        </w:rPr>
        <w:t xml:space="preserve"> </w:t>
      </w:r>
      <w:r>
        <w:t>one's</w:t>
      </w:r>
      <w:r>
        <w:rPr>
          <w:spacing w:val="-4"/>
        </w:rPr>
        <w:t xml:space="preserve"> </w:t>
      </w:r>
      <w:r>
        <w:t>sexual</w:t>
      </w:r>
      <w:r>
        <w:rPr>
          <w:spacing w:val="-4"/>
        </w:rPr>
        <w:t xml:space="preserve"> </w:t>
      </w:r>
      <w:r>
        <w:t>and/or gender identity.</w:t>
      </w:r>
    </w:p>
    <w:p w:rsidR="00C76E6D" w:rsidRDefault="00913831">
      <w:pPr>
        <w:pStyle w:val="ListParagraph"/>
        <w:numPr>
          <w:ilvl w:val="1"/>
          <w:numId w:val="35"/>
        </w:numPr>
        <w:tabs>
          <w:tab w:val="left" w:pos="1061"/>
        </w:tabs>
        <w:spacing w:before="2" w:line="276" w:lineRule="auto"/>
        <w:ind w:left="1060" w:right="674" w:hanging="361"/>
      </w:pPr>
      <w:r>
        <w:t>Appearance</w:t>
      </w:r>
      <w:r>
        <w:rPr>
          <w:spacing w:val="34"/>
        </w:rPr>
        <w:t xml:space="preserve"> </w:t>
      </w:r>
      <w:r>
        <w:t>ideals</w:t>
      </w:r>
      <w:r>
        <w:rPr>
          <w:spacing w:val="36"/>
        </w:rPr>
        <w:t xml:space="preserve"> </w:t>
      </w:r>
      <w:r>
        <w:t>and</w:t>
      </w:r>
      <w:r>
        <w:rPr>
          <w:spacing w:val="36"/>
        </w:rPr>
        <w:t xml:space="preserve"> </w:t>
      </w:r>
      <w:r>
        <w:t>stereotypes</w:t>
      </w:r>
      <w:r>
        <w:rPr>
          <w:spacing w:val="35"/>
        </w:rPr>
        <w:t xml:space="preserve"> </w:t>
      </w:r>
      <w:r>
        <w:t>about</w:t>
      </w:r>
      <w:r>
        <w:rPr>
          <w:spacing w:val="34"/>
        </w:rPr>
        <w:t xml:space="preserve"> </w:t>
      </w:r>
      <w:r>
        <w:t>physical</w:t>
      </w:r>
      <w:r>
        <w:rPr>
          <w:spacing w:val="37"/>
        </w:rPr>
        <w:t xml:space="preserve"> </w:t>
      </w:r>
      <w:r>
        <w:t>characteristics</w:t>
      </w:r>
      <w:r>
        <w:rPr>
          <w:spacing w:val="35"/>
        </w:rPr>
        <w:t xml:space="preserve"> </w:t>
      </w:r>
      <w:r>
        <w:t>of</w:t>
      </w:r>
      <w:r>
        <w:rPr>
          <w:spacing w:val="35"/>
        </w:rPr>
        <w:t xml:space="preserve"> </w:t>
      </w:r>
      <w:r>
        <w:t>one's</w:t>
      </w:r>
      <w:r>
        <w:rPr>
          <w:spacing w:val="35"/>
        </w:rPr>
        <w:t xml:space="preserve"> </w:t>
      </w:r>
      <w:r>
        <w:t>sexual</w:t>
      </w:r>
      <w:r>
        <w:rPr>
          <w:spacing w:val="-14"/>
        </w:rPr>
        <w:t xml:space="preserve"> </w:t>
      </w:r>
      <w:r>
        <w:t>orientation or gender identity were intertwined.</w:t>
      </w:r>
    </w:p>
    <w:p w:rsidR="00C76E6D" w:rsidRDefault="00913831">
      <w:pPr>
        <w:pStyle w:val="ListParagraph"/>
        <w:numPr>
          <w:ilvl w:val="1"/>
          <w:numId w:val="35"/>
        </w:numPr>
        <w:tabs>
          <w:tab w:val="left" w:pos="1061"/>
        </w:tabs>
        <w:spacing w:before="5"/>
        <w:ind w:left="1060" w:hanging="363"/>
      </w:pPr>
      <w:r>
        <w:rPr>
          <w:w w:val="95"/>
        </w:rPr>
        <w:t>Race,</w:t>
      </w:r>
      <w:r>
        <w:rPr>
          <w:spacing w:val="7"/>
        </w:rPr>
        <w:t xml:space="preserve"> </w:t>
      </w:r>
      <w:r>
        <w:rPr>
          <w:w w:val="95"/>
        </w:rPr>
        <w:t>as</w:t>
      </w:r>
      <w:r>
        <w:rPr>
          <w:spacing w:val="11"/>
        </w:rPr>
        <w:t xml:space="preserve"> </w:t>
      </w:r>
      <w:r>
        <w:rPr>
          <w:w w:val="95"/>
        </w:rPr>
        <w:t>well</w:t>
      </w:r>
      <w:r>
        <w:rPr>
          <w:spacing w:val="9"/>
        </w:rPr>
        <w:t xml:space="preserve"> </w:t>
      </w:r>
      <w:r>
        <w:rPr>
          <w:w w:val="95"/>
        </w:rPr>
        <w:t>as</w:t>
      </w:r>
      <w:r>
        <w:rPr>
          <w:spacing w:val="5"/>
        </w:rPr>
        <w:t xml:space="preserve"> </w:t>
      </w:r>
      <w:r>
        <w:rPr>
          <w:w w:val="95"/>
        </w:rPr>
        <w:t>gender</w:t>
      </w:r>
      <w:r>
        <w:rPr>
          <w:spacing w:val="8"/>
        </w:rPr>
        <w:t xml:space="preserve"> </w:t>
      </w:r>
      <w:r>
        <w:rPr>
          <w:w w:val="95"/>
        </w:rPr>
        <w:t>identity</w:t>
      </w:r>
      <w:r>
        <w:rPr>
          <w:spacing w:val="6"/>
        </w:rPr>
        <w:t xml:space="preserve"> </w:t>
      </w:r>
      <w:r>
        <w:rPr>
          <w:w w:val="95"/>
        </w:rPr>
        <w:t>and</w:t>
      </w:r>
      <w:r>
        <w:rPr>
          <w:spacing w:val="10"/>
        </w:rPr>
        <w:t xml:space="preserve"> </w:t>
      </w:r>
      <w:r>
        <w:rPr>
          <w:w w:val="95"/>
        </w:rPr>
        <w:t>sexual</w:t>
      </w:r>
      <w:r>
        <w:rPr>
          <w:spacing w:val="4"/>
        </w:rPr>
        <w:t xml:space="preserve"> </w:t>
      </w:r>
      <w:r>
        <w:rPr>
          <w:w w:val="95"/>
        </w:rPr>
        <w:t>orientation,</w:t>
      </w:r>
      <w:r>
        <w:rPr>
          <w:spacing w:val="13"/>
        </w:rPr>
        <w:t xml:space="preserve"> </w:t>
      </w:r>
      <w:r>
        <w:rPr>
          <w:w w:val="95"/>
        </w:rPr>
        <w:t>intersected</w:t>
      </w:r>
      <w:r>
        <w:rPr>
          <w:spacing w:val="8"/>
        </w:rPr>
        <w:t xml:space="preserve"> </w:t>
      </w:r>
      <w:r>
        <w:rPr>
          <w:w w:val="95"/>
        </w:rPr>
        <w:t>to</w:t>
      </w:r>
      <w:r>
        <w:rPr>
          <w:spacing w:val="6"/>
        </w:rPr>
        <w:t xml:space="preserve"> </w:t>
      </w:r>
      <w:r>
        <w:rPr>
          <w:w w:val="95"/>
        </w:rPr>
        <w:t>create</w:t>
      </w:r>
      <w:r>
        <w:rPr>
          <w:spacing w:val="6"/>
        </w:rPr>
        <w:t xml:space="preserve"> </w:t>
      </w:r>
      <w:r>
        <w:rPr>
          <w:w w:val="95"/>
        </w:rPr>
        <w:t>image</w:t>
      </w:r>
      <w:r>
        <w:rPr>
          <w:spacing w:val="7"/>
        </w:rPr>
        <w:t xml:space="preserve"> </w:t>
      </w:r>
      <w:r>
        <w:rPr>
          <w:spacing w:val="-2"/>
          <w:w w:val="95"/>
        </w:rPr>
        <w:t>ideals</w:t>
      </w:r>
    </w:p>
    <w:p w:rsidR="00C76E6D" w:rsidRDefault="00913831">
      <w:pPr>
        <w:pStyle w:val="ListParagraph"/>
        <w:numPr>
          <w:ilvl w:val="1"/>
          <w:numId w:val="35"/>
        </w:numPr>
        <w:tabs>
          <w:tab w:val="left" w:pos="1061"/>
        </w:tabs>
        <w:spacing w:before="35" w:line="273" w:lineRule="auto"/>
        <w:ind w:left="1060" w:right="761"/>
      </w:pPr>
      <w:r>
        <w:t>LGBT</w:t>
      </w:r>
      <w:r>
        <w:rPr>
          <w:spacing w:val="-4"/>
        </w:rPr>
        <w:t xml:space="preserve"> </w:t>
      </w:r>
      <w:r>
        <w:t>spaces</w:t>
      </w:r>
      <w:r>
        <w:rPr>
          <w:spacing w:val="-2"/>
        </w:rPr>
        <w:t xml:space="preserve"> </w:t>
      </w:r>
      <w:r>
        <w:t>could</w:t>
      </w:r>
      <w:r>
        <w:rPr>
          <w:spacing w:val="-3"/>
        </w:rPr>
        <w:t xml:space="preserve"> </w:t>
      </w:r>
      <w:r>
        <w:t>contribute</w:t>
      </w:r>
      <w:r>
        <w:rPr>
          <w:spacing w:val="-3"/>
        </w:rPr>
        <w:t xml:space="preserve"> </w:t>
      </w:r>
      <w:r>
        <w:t>to</w:t>
      </w:r>
      <w:r>
        <w:rPr>
          <w:spacing w:val="-3"/>
        </w:rPr>
        <w:t xml:space="preserve"> </w:t>
      </w:r>
      <w:r>
        <w:t>forced</w:t>
      </w:r>
      <w:r>
        <w:rPr>
          <w:spacing w:val="-3"/>
        </w:rPr>
        <w:t xml:space="preserve"> </w:t>
      </w:r>
      <w:r>
        <w:t>ideals</w:t>
      </w:r>
      <w:r>
        <w:rPr>
          <w:spacing w:val="-4"/>
        </w:rPr>
        <w:t xml:space="preserve"> </w:t>
      </w:r>
      <w:r>
        <w:t>and</w:t>
      </w:r>
      <w:r>
        <w:rPr>
          <w:spacing w:val="-3"/>
        </w:rPr>
        <w:t xml:space="preserve"> </w:t>
      </w:r>
      <w:r>
        <w:t>could</w:t>
      </w:r>
      <w:r>
        <w:rPr>
          <w:spacing w:val="-4"/>
        </w:rPr>
        <w:t xml:space="preserve"> </w:t>
      </w:r>
      <w:r>
        <w:t>also</w:t>
      </w:r>
      <w:r>
        <w:rPr>
          <w:spacing w:val="-3"/>
        </w:rPr>
        <w:t xml:space="preserve"> </w:t>
      </w:r>
      <w:r>
        <w:t>support</w:t>
      </w:r>
      <w:r>
        <w:rPr>
          <w:spacing w:val="-4"/>
        </w:rPr>
        <w:t xml:space="preserve"> </w:t>
      </w:r>
      <w:r>
        <w:t>the</w:t>
      </w:r>
      <w:r>
        <w:rPr>
          <w:spacing w:val="-3"/>
        </w:rPr>
        <w:t xml:space="preserve"> </w:t>
      </w:r>
      <w:r>
        <w:t>acceptance</w:t>
      </w:r>
      <w:r>
        <w:rPr>
          <w:spacing w:val="-3"/>
        </w:rPr>
        <w:t xml:space="preserve"> </w:t>
      </w:r>
      <w:r>
        <w:t>of</w:t>
      </w:r>
      <w:r>
        <w:rPr>
          <w:spacing w:val="-4"/>
        </w:rPr>
        <w:t xml:space="preserve"> </w:t>
      </w:r>
      <w:r>
        <w:t>various body shapes and sizes</w:t>
      </w:r>
      <w:hyperlink w:anchor="_bookmark480" w:history="1">
        <w:r>
          <w:t>.</w:t>
        </w:r>
        <w:r>
          <w:rPr>
            <w:vertAlign w:val="superscript"/>
          </w:rPr>
          <w:t>62</w:t>
        </w:r>
      </w:hyperlink>
    </w:p>
    <w:p w:rsidR="00C76E6D" w:rsidRDefault="00C76E6D">
      <w:pPr>
        <w:pStyle w:val="BodyText"/>
        <w:spacing w:before="9"/>
        <w:rPr>
          <w:sz w:val="25"/>
        </w:rPr>
      </w:pPr>
    </w:p>
    <w:p w:rsidR="00C76E6D" w:rsidRDefault="00913831">
      <w:pPr>
        <w:pStyle w:val="BodyText"/>
        <w:spacing w:line="276" w:lineRule="auto"/>
        <w:ind w:left="338" w:right="295" w:hanging="1"/>
        <w:jc w:val="both"/>
      </w:pPr>
      <w:r>
        <w:t>Adolescent</w:t>
      </w:r>
      <w:r>
        <w:rPr>
          <w:spacing w:val="-4"/>
        </w:rPr>
        <w:t xml:space="preserve"> </w:t>
      </w:r>
      <w:r>
        <w:t>lesbians</w:t>
      </w:r>
      <w:r>
        <w:rPr>
          <w:spacing w:val="-3"/>
        </w:rPr>
        <w:t xml:space="preserve"> </w:t>
      </w:r>
      <w:r>
        <w:t>were</w:t>
      </w:r>
      <w:r>
        <w:rPr>
          <w:spacing w:val="-4"/>
        </w:rPr>
        <w:t xml:space="preserve"> </w:t>
      </w:r>
      <w:r>
        <w:t>found</w:t>
      </w:r>
      <w:r>
        <w:rPr>
          <w:spacing w:val="-4"/>
        </w:rPr>
        <w:t xml:space="preserve"> </w:t>
      </w:r>
      <w:r>
        <w:t>to</w:t>
      </w:r>
      <w:r>
        <w:rPr>
          <w:spacing w:val="-2"/>
        </w:rPr>
        <w:t xml:space="preserve"> </w:t>
      </w:r>
      <w:r>
        <w:t>engage</w:t>
      </w:r>
      <w:r>
        <w:rPr>
          <w:spacing w:val="-4"/>
        </w:rPr>
        <w:t xml:space="preserve"> </w:t>
      </w:r>
      <w:r>
        <w:t>in</w:t>
      </w:r>
      <w:r>
        <w:rPr>
          <w:spacing w:val="-3"/>
        </w:rPr>
        <w:t xml:space="preserve"> </w:t>
      </w:r>
      <w:r>
        <w:t>more</w:t>
      </w:r>
      <w:r>
        <w:rPr>
          <w:spacing w:val="-4"/>
        </w:rPr>
        <w:t xml:space="preserve"> </w:t>
      </w:r>
      <w:r>
        <w:t>disordered</w:t>
      </w:r>
      <w:r>
        <w:rPr>
          <w:spacing w:val="-4"/>
        </w:rPr>
        <w:t xml:space="preserve"> </w:t>
      </w:r>
      <w:r>
        <w:t>eating</w:t>
      </w:r>
      <w:r>
        <w:rPr>
          <w:spacing w:val="-4"/>
        </w:rPr>
        <w:t xml:space="preserve"> </w:t>
      </w:r>
      <w:r>
        <w:t>behaviors</w:t>
      </w:r>
      <w:r>
        <w:rPr>
          <w:spacing w:val="-4"/>
        </w:rPr>
        <w:t xml:space="preserve"> </w:t>
      </w:r>
      <w:r>
        <w:t>than</w:t>
      </w:r>
      <w:r>
        <w:rPr>
          <w:spacing w:val="-4"/>
        </w:rPr>
        <w:t xml:space="preserve"> </w:t>
      </w:r>
      <w:r>
        <w:t>heterosexual</w:t>
      </w:r>
      <w:r>
        <w:rPr>
          <w:spacing w:val="-4"/>
        </w:rPr>
        <w:t xml:space="preserve"> </w:t>
      </w:r>
      <w:r>
        <w:t>peers</w:t>
      </w:r>
      <w:r>
        <w:rPr>
          <w:spacing w:val="-3"/>
        </w:rPr>
        <w:t xml:space="preserve"> </w:t>
      </w:r>
      <w:r>
        <w:t>and had</w:t>
      </w:r>
      <w:r>
        <w:rPr>
          <w:spacing w:val="-5"/>
        </w:rPr>
        <w:t xml:space="preserve"> </w:t>
      </w:r>
      <w:r>
        <w:t>similar</w:t>
      </w:r>
      <w:r>
        <w:rPr>
          <w:spacing w:val="-4"/>
        </w:rPr>
        <w:t xml:space="preserve"> </w:t>
      </w:r>
      <w:r>
        <w:t>rates</w:t>
      </w:r>
      <w:r>
        <w:rPr>
          <w:spacing w:val="-4"/>
        </w:rPr>
        <w:t xml:space="preserve"> </w:t>
      </w:r>
      <w:r>
        <w:t>to</w:t>
      </w:r>
      <w:r>
        <w:rPr>
          <w:spacing w:val="-5"/>
        </w:rPr>
        <w:t xml:space="preserve"> </w:t>
      </w:r>
      <w:r>
        <w:t>bisexual</w:t>
      </w:r>
      <w:r>
        <w:rPr>
          <w:spacing w:val="-5"/>
        </w:rPr>
        <w:t xml:space="preserve"> </w:t>
      </w:r>
      <w:r>
        <w:t>females.</w:t>
      </w:r>
      <w:r>
        <w:rPr>
          <w:spacing w:val="-5"/>
        </w:rPr>
        <w:t xml:space="preserve"> </w:t>
      </w:r>
      <w:r>
        <w:t>However,</w:t>
      </w:r>
      <w:r>
        <w:rPr>
          <w:spacing w:val="-5"/>
        </w:rPr>
        <w:t xml:space="preserve"> </w:t>
      </w:r>
      <w:r>
        <w:t>adolescent</w:t>
      </w:r>
      <w:r>
        <w:rPr>
          <w:spacing w:val="-4"/>
        </w:rPr>
        <w:t xml:space="preserve"> </w:t>
      </w:r>
      <w:r>
        <w:t>lesbians</w:t>
      </w:r>
      <w:r>
        <w:rPr>
          <w:spacing w:val="-4"/>
        </w:rPr>
        <w:t xml:space="preserve"> </w:t>
      </w:r>
      <w:r>
        <w:t>reported</w:t>
      </w:r>
      <w:r>
        <w:rPr>
          <w:spacing w:val="-4"/>
        </w:rPr>
        <w:t xml:space="preserve"> </w:t>
      </w:r>
      <w:r>
        <w:t>binge</w:t>
      </w:r>
      <w:r>
        <w:rPr>
          <w:spacing w:val="-5"/>
        </w:rPr>
        <w:t xml:space="preserve"> </w:t>
      </w:r>
      <w:r>
        <w:t>eating</w:t>
      </w:r>
      <w:r>
        <w:rPr>
          <w:spacing w:val="-4"/>
        </w:rPr>
        <w:t xml:space="preserve"> </w:t>
      </w:r>
      <w:r>
        <w:t>occurred</w:t>
      </w:r>
      <w:r>
        <w:rPr>
          <w:spacing w:val="-6"/>
        </w:rPr>
        <w:t xml:space="preserve"> </w:t>
      </w:r>
      <w:r>
        <w:t>at</w:t>
      </w:r>
      <w:r>
        <w:rPr>
          <w:spacing w:val="-4"/>
        </w:rPr>
        <w:t xml:space="preserve"> </w:t>
      </w:r>
      <w:r>
        <w:t xml:space="preserve">higher rates than any other sexual orientation group. Unlike heterosexual </w:t>
      </w:r>
      <w:r>
        <w:t>and gay male adolescents, lesbians did</w:t>
      </w:r>
    </w:p>
    <w:p w:rsidR="00C76E6D" w:rsidRDefault="00C76E6D">
      <w:pPr>
        <w:spacing w:line="276" w:lineRule="auto"/>
        <w:jc w:val="both"/>
        <w:sectPr w:rsidR="00C76E6D">
          <w:pgSz w:w="12240" w:h="15840"/>
          <w:pgMar w:top="1000" w:right="960" w:bottom="640" w:left="960" w:header="802" w:footer="440" w:gutter="0"/>
          <w:cols w:space="720"/>
        </w:sectPr>
      </w:pPr>
    </w:p>
    <w:p w:rsidR="00C76E6D" w:rsidRDefault="00C76E6D">
      <w:pPr>
        <w:pStyle w:val="BodyText"/>
        <w:spacing w:before="6"/>
        <w:rPr>
          <w:sz w:val="21"/>
        </w:rPr>
      </w:pPr>
    </w:p>
    <w:p w:rsidR="00C76E6D" w:rsidRDefault="00913831">
      <w:pPr>
        <w:pStyle w:val="BodyText"/>
        <w:spacing w:before="55" w:line="276" w:lineRule="auto"/>
        <w:ind w:left="338" w:right="298"/>
        <w:jc w:val="both"/>
      </w:pPr>
      <w:r>
        <w:t>not decrease disordered eating over time, and the rates were more likely to increase. Albeit, other studies have found that such differences might not be statistically different</w:t>
      </w:r>
      <w:hyperlink w:anchor="_bookmark481" w:history="1">
        <w:r>
          <w:t>.</w:t>
        </w:r>
        <w:r>
          <w:rPr>
            <w:vertAlign w:val="superscript"/>
          </w:rPr>
          <w:t>63</w:t>
        </w:r>
      </w:hyperlink>
    </w:p>
    <w:p w:rsidR="00C76E6D" w:rsidRDefault="00C76E6D">
      <w:pPr>
        <w:pStyle w:val="BodyText"/>
        <w:spacing w:before="6"/>
        <w:rPr>
          <w:sz w:val="19"/>
        </w:rPr>
      </w:pPr>
    </w:p>
    <w:p w:rsidR="00C76E6D" w:rsidRDefault="00913831">
      <w:pPr>
        <w:pStyle w:val="BodyText"/>
        <w:spacing w:line="276" w:lineRule="auto"/>
        <w:ind w:left="338" w:right="294"/>
        <w:jc w:val="both"/>
      </w:pPr>
      <w:r>
        <w:t>Compared to their heterosexual counterparts, gay and bisexual male youth were more likely to engage in exercise</w:t>
      </w:r>
      <w:r>
        <w:rPr>
          <w:spacing w:val="-11"/>
        </w:rPr>
        <w:t xml:space="preserve"> </w:t>
      </w:r>
      <w:r>
        <w:t>to</w:t>
      </w:r>
      <w:r>
        <w:rPr>
          <w:spacing w:val="-11"/>
        </w:rPr>
        <w:t xml:space="preserve"> </w:t>
      </w:r>
      <w:r>
        <w:t>lose</w:t>
      </w:r>
      <w:r>
        <w:rPr>
          <w:spacing w:val="-13"/>
        </w:rPr>
        <w:t xml:space="preserve"> </w:t>
      </w:r>
      <w:r>
        <w:t>weight,</w:t>
      </w:r>
      <w:r>
        <w:rPr>
          <w:spacing w:val="-11"/>
        </w:rPr>
        <w:t xml:space="preserve"> </w:t>
      </w:r>
      <w:r>
        <w:t>disordered</w:t>
      </w:r>
      <w:r>
        <w:rPr>
          <w:spacing w:val="-11"/>
        </w:rPr>
        <w:t xml:space="preserve"> </w:t>
      </w:r>
      <w:r>
        <w:t>eating,</w:t>
      </w:r>
      <w:r>
        <w:rPr>
          <w:spacing w:val="-11"/>
        </w:rPr>
        <w:t xml:space="preserve"> </w:t>
      </w:r>
      <w:r>
        <w:t>use</w:t>
      </w:r>
      <w:r>
        <w:rPr>
          <w:spacing w:val="-12"/>
        </w:rPr>
        <w:t xml:space="preserve"> </w:t>
      </w:r>
      <w:r>
        <w:t>diet</w:t>
      </w:r>
      <w:r>
        <w:rPr>
          <w:spacing w:val="-11"/>
        </w:rPr>
        <w:t xml:space="preserve"> </w:t>
      </w:r>
      <w:r>
        <w:t>pills,</w:t>
      </w:r>
      <w:r>
        <w:rPr>
          <w:spacing w:val="-11"/>
        </w:rPr>
        <w:t xml:space="preserve"> </w:t>
      </w:r>
      <w:r>
        <w:t>and</w:t>
      </w:r>
      <w:r>
        <w:rPr>
          <w:spacing w:val="-13"/>
        </w:rPr>
        <w:t xml:space="preserve"> </w:t>
      </w:r>
      <w:r>
        <w:t>felt</w:t>
      </w:r>
      <w:r>
        <w:rPr>
          <w:spacing w:val="-12"/>
        </w:rPr>
        <w:t xml:space="preserve"> </w:t>
      </w:r>
      <w:r>
        <w:t>more</w:t>
      </w:r>
      <w:r>
        <w:rPr>
          <w:spacing w:val="-12"/>
        </w:rPr>
        <w:t xml:space="preserve"> </w:t>
      </w:r>
      <w:r>
        <w:t>dissatisfied</w:t>
      </w:r>
      <w:r>
        <w:rPr>
          <w:spacing w:val="-11"/>
        </w:rPr>
        <w:t xml:space="preserve"> </w:t>
      </w:r>
      <w:r>
        <w:t>with</w:t>
      </w:r>
      <w:r>
        <w:rPr>
          <w:spacing w:val="-6"/>
        </w:rPr>
        <w:t xml:space="preserve"> </w:t>
      </w:r>
      <w:r>
        <w:t>their</w:t>
      </w:r>
      <w:r>
        <w:rPr>
          <w:spacing w:val="-5"/>
        </w:rPr>
        <w:t xml:space="preserve"> </w:t>
      </w:r>
      <w:r>
        <w:t>body</w:t>
      </w:r>
      <w:r>
        <w:rPr>
          <w:spacing w:val="-7"/>
        </w:rPr>
        <w:t xml:space="preserve"> </w:t>
      </w:r>
      <w:r>
        <w:t>shape;</w:t>
      </w:r>
      <w:r>
        <w:rPr>
          <w:spacing w:val="-6"/>
        </w:rPr>
        <w:t xml:space="preserve"> </w:t>
      </w:r>
      <w:r>
        <w:t>they were also less likely to gain weight, experience a decrease in BMI from adolescence to early adulthood, and participate</w:t>
      </w:r>
      <w:r>
        <w:rPr>
          <w:spacing w:val="-10"/>
        </w:rPr>
        <w:t xml:space="preserve"> </w:t>
      </w:r>
      <w:r>
        <w:t>less</w:t>
      </w:r>
      <w:r>
        <w:rPr>
          <w:spacing w:val="-8"/>
        </w:rPr>
        <w:t xml:space="preserve"> </w:t>
      </w:r>
      <w:r>
        <w:t>in</w:t>
      </w:r>
      <w:r>
        <w:rPr>
          <w:spacing w:val="-9"/>
        </w:rPr>
        <w:t xml:space="preserve"> </w:t>
      </w:r>
      <w:r>
        <w:t>physical</w:t>
      </w:r>
      <w:r>
        <w:rPr>
          <w:spacing w:val="-8"/>
        </w:rPr>
        <w:t xml:space="preserve"> </w:t>
      </w:r>
      <w:r>
        <w:t>activity</w:t>
      </w:r>
      <w:r>
        <w:rPr>
          <w:spacing w:val="-9"/>
        </w:rPr>
        <w:t xml:space="preserve"> </w:t>
      </w:r>
      <w:r>
        <w:t>or</w:t>
      </w:r>
      <w:r>
        <w:rPr>
          <w:spacing w:val="-9"/>
        </w:rPr>
        <w:t xml:space="preserve"> </w:t>
      </w:r>
      <w:r>
        <w:t>team</w:t>
      </w:r>
      <w:r>
        <w:rPr>
          <w:spacing w:val="-9"/>
        </w:rPr>
        <w:t xml:space="preserve"> </w:t>
      </w:r>
      <w:r>
        <w:t>sports</w:t>
      </w:r>
      <w:r>
        <w:rPr>
          <w:spacing w:val="-10"/>
        </w:rPr>
        <w:t xml:space="preserve"> </w:t>
      </w:r>
      <w:r>
        <w:t>than</w:t>
      </w:r>
      <w:r>
        <w:rPr>
          <w:spacing w:val="-9"/>
        </w:rPr>
        <w:t xml:space="preserve"> </w:t>
      </w:r>
      <w:r>
        <w:t>their</w:t>
      </w:r>
      <w:r>
        <w:rPr>
          <w:spacing w:val="-6"/>
        </w:rPr>
        <w:t xml:space="preserve"> </w:t>
      </w:r>
      <w:r>
        <w:t>heterosexual</w:t>
      </w:r>
      <w:r>
        <w:rPr>
          <w:spacing w:val="-7"/>
        </w:rPr>
        <w:t xml:space="preserve"> </w:t>
      </w:r>
      <w:r>
        <w:t>counterparts.</w:t>
      </w:r>
      <w:r>
        <w:rPr>
          <w:spacing w:val="-8"/>
        </w:rPr>
        <w:t xml:space="preserve"> </w:t>
      </w:r>
      <w:r>
        <w:t>Higher</w:t>
      </w:r>
      <w:r>
        <w:rPr>
          <w:spacing w:val="-5"/>
        </w:rPr>
        <w:t xml:space="preserve"> </w:t>
      </w:r>
      <w:r>
        <w:t>BMI</w:t>
      </w:r>
      <w:r>
        <w:rPr>
          <w:spacing w:val="-8"/>
        </w:rPr>
        <w:t xml:space="preserve"> </w:t>
      </w:r>
      <w:r>
        <w:t>is</w:t>
      </w:r>
      <w:r>
        <w:rPr>
          <w:spacing w:val="-6"/>
        </w:rPr>
        <w:t xml:space="preserve"> </w:t>
      </w:r>
      <w:r>
        <w:t>directly associated with disordered ea</w:t>
      </w:r>
      <w:r>
        <w:t>ting. Like their lesbian peers, having a higher BMI was predicted by age, employment status, depression, anxiety, and stress level</w:t>
      </w:r>
      <w:hyperlink w:anchor="_bookmark482" w:history="1">
        <w:r>
          <w:t>.</w:t>
        </w:r>
        <w:r>
          <w:rPr>
            <w:vertAlign w:val="superscript"/>
          </w:rPr>
          <w:t>64</w:t>
        </w:r>
      </w:hyperlink>
    </w:p>
    <w:p w:rsidR="00C76E6D" w:rsidRDefault="00C76E6D">
      <w:pPr>
        <w:pStyle w:val="BodyText"/>
        <w:spacing w:before="9"/>
        <w:rPr>
          <w:sz w:val="19"/>
        </w:rPr>
      </w:pPr>
    </w:p>
    <w:p w:rsidR="00C76E6D" w:rsidRDefault="00913831">
      <w:pPr>
        <w:pStyle w:val="BodyText"/>
        <w:spacing w:line="276" w:lineRule="auto"/>
        <w:ind w:left="338" w:right="293"/>
        <w:jc w:val="both"/>
      </w:pPr>
      <w:r>
        <w:t>Bisexual females and males were also found to engage in higher rates of disordered eating</w:t>
      </w:r>
      <w:r>
        <w:t xml:space="preserve"> than their heterosexual peers in multiple studies. For bisexual men, risks for disordered eating included ambivalence regarding</w:t>
      </w:r>
      <w:r>
        <w:rPr>
          <w:spacing w:val="-9"/>
        </w:rPr>
        <w:t xml:space="preserve"> </w:t>
      </w:r>
      <w:r>
        <w:t>their</w:t>
      </w:r>
      <w:r>
        <w:rPr>
          <w:spacing w:val="-9"/>
        </w:rPr>
        <w:t xml:space="preserve"> </w:t>
      </w:r>
      <w:r>
        <w:t>sexual</w:t>
      </w:r>
      <w:r>
        <w:rPr>
          <w:spacing w:val="-10"/>
        </w:rPr>
        <w:t xml:space="preserve"> </w:t>
      </w:r>
      <w:r>
        <w:t>orientation,</w:t>
      </w:r>
      <w:r>
        <w:rPr>
          <w:spacing w:val="-8"/>
        </w:rPr>
        <w:t xml:space="preserve"> </w:t>
      </w:r>
      <w:r>
        <w:t>concern</w:t>
      </w:r>
      <w:r>
        <w:rPr>
          <w:spacing w:val="-9"/>
        </w:rPr>
        <w:t xml:space="preserve"> </w:t>
      </w:r>
      <w:r>
        <w:t>about</w:t>
      </w:r>
      <w:r>
        <w:rPr>
          <w:spacing w:val="-10"/>
        </w:rPr>
        <w:t xml:space="preserve"> </w:t>
      </w:r>
      <w:r>
        <w:t>the</w:t>
      </w:r>
      <w:r>
        <w:rPr>
          <w:spacing w:val="-8"/>
        </w:rPr>
        <w:t xml:space="preserve"> </w:t>
      </w:r>
      <w:r>
        <w:t>perception</w:t>
      </w:r>
      <w:r>
        <w:rPr>
          <w:spacing w:val="-8"/>
        </w:rPr>
        <w:t xml:space="preserve"> </w:t>
      </w:r>
      <w:r>
        <w:t>of</w:t>
      </w:r>
      <w:r>
        <w:rPr>
          <w:spacing w:val="-9"/>
        </w:rPr>
        <w:t xml:space="preserve"> </w:t>
      </w:r>
      <w:r>
        <w:t>others</w:t>
      </w:r>
      <w:r>
        <w:rPr>
          <w:spacing w:val="-3"/>
        </w:rPr>
        <w:t xml:space="preserve"> </w:t>
      </w:r>
      <w:r>
        <w:t>regarding</w:t>
      </w:r>
      <w:r>
        <w:rPr>
          <w:spacing w:val="-4"/>
        </w:rPr>
        <w:t xml:space="preserve"> </w:t>
      </w:r>
      <w:r>
        <w:t>their</w:t>
      </w:r>
      <w:r>
        <w:rPr>
          <w:spacing w:val="-4"/>
        </w:rPr>
        <w:t xml:space="preserve"> </w:t>
      </w:r>
      <w:r>
        <w:t>sexual</w:t>
      </w:r>
      <w:r>
        <w:rPr>
          <w:spacing w:val="-5"/>
        </w:rPr>
        <w:t xml:space="preserve"> </w:t>
      </w:r>
      <w:r>
        <w:t>orientation, gay community involvement, sexual objectification experiences, antibisexual discrimination, internalized biphobia, sexual objectification experiences, and increased use of pornography. For bisexual females, risk factors include gay community i</w:t>
      </w:r>
      <w:r>
        <w:t>nvolvement, antibisexual discrimination, internalized biphobia, sexual objectification experiences, relationship dissatisfaction, depression, being Latina/Hispanic or Black, gender role orientation, low self-esteem, maladaptive social comparison, objectifi</w:t>
      </w:r>
      <w:r>
        <w:t>ed body consciousness, self- consciousness</w:t>
      </w:r>
      <w:r>
        <w:rPr>
          <w:spacing w:val="-6"/>
        </w:rPr>
        <w:t xml:space="preserve"> </w:t>
      </w:r>
      <w:r>
        <w:t>during</w:t>
      </w:r>
      <w:r>
        <w:rPr>
          <w:spacing w:val="-4"/>
        </w:rPr>
        <w:t xml:space="preserve"> </w:t>
      </w:r>
      <w:r>
        <w:t>physical</w:t>
      </w:r>
      <w:r>
        <w:rPr>
          <w:spacing w:val="-7"/>
        </w:rPr>
        <w:t xml:space="preserve"> </w:t>
      </w:r>
      <w:r>
        <w:t>intimacy,</w:t>
      </w:r>
      <w:r>
        <w:rPr>
          <w:spacing w:val="-6"/>
        </w:rPr>
        <w:t xml:space="preserve"> </w:t>
      </w:r>
      <w:r>
        <w:t>internalization</w:t>
      </w:r>
      <w:r>
        <w:rPr>
          <w:spacing w:val="-6"/>
        </w:rPr>
        <w:t xml:space="preserve"> </w:t>
      </w:r>
      <w:r>
        <w:t>of</w:t>
      </w:r>
      <w:r>
        <w:rPr>
          <w:spacing w:val="-6"/>
        </w:rPr>
        <w:t xml:space="preserve"> </w:t>
      </w:r>
      <w:r>
        <w:t>sociocultural</w:t>
      </w:r>
      <w:r>
        <w:rPr>
          <w:spacing w:val="-7"/>
        </w:rPr>
        <w:t xml:space="preserve"> </w:t>
      </w:r>
      <w:r>
        <w:t>standards</w:t>
      </w:r>
      <w:r>
        <w:rPr>
          <w:spacing w:val="-6"/>
        </w:rPr>
        <w:t xml:space="preserve"> </w:t>
      </w:r>
      <w:r>
        <w:t>of</w:t>
      </w:r>
      <w:r>
        <w:rPr>
          <w:spacing w:val="-6"/>
        </w:rPr>
        <w:t xml:space="preserve"> </w:t>
      </w:r>
      <w:r>
        <w:t>attractiveness,</w:t>
      </w:r>
      <w:r>
        <w:rPr>
          <w:spacing w:val="-6"/>
        </w:rPr>
        <w:t xml:space="preserve"> </w:t>
      </w:r>
      <w:r>
        <w:t>and</w:t>
      </w:r>
      <w:r>
        <w:rPr>
          <w:spacing w:val="-7"/>
        </w:rPr>
        <w:t xml:space="preserve"> </w:t>
      </w:r>
      <w:r>
        <w:t>body surveillance. Young Latinx and Black bisexual youth were more likely to engage in disordered eating than other racia</w:t>
      </w:r>
      <w:r>
        <w:t>l/ethnic demographics</w:t>
      </w:r>
      <w:hyperlink w:anchor="_bookmark483" w:history="1">
        <w:r>
          <w:t>.</w:t>
        </w:r>
        <w:r>
          <w:rPr>
            <w:vertAlign w:val="superscript"/>
          </w:rPr>
          <w:t>65</w:t>
        </w:r>
      </w:hyperlink>
    </w:p>
    <w:p w:rsidR="00C76E6D" w:rsidRDefault="00C76E6D">
      <w:pPr>
        <w:pStyle w:val="BodyText"/>
        <w:spacing w:before="8"/>
        <w:rPr>
          <w:sz w:val="19"/>
        </w:rPr>
      </w:pPr>
    </w:p>
    <w:p w:rsidR="00C76E6D" w:rsidRDefault="00913831">
      <w:pPr>
        <w:pStyle w:val="BodyText"/>
        <w:spacing w:line="276" w:lineRule="auto"/>
        <w:ind w:left="338" w:right="294"/>
        <w:jc w:val="both"/>
      </w:pPr>
      <w:r>
        <w:t>Transgender and nonconforming youth seem to be at particular risk for disordered eating behaviors, and accordingly, more research is needed. One study, for example, showed that transgender and gende</w:t>
      </w:r>
      <w:r>
        <w:t>r- nonconforming adolescents were more likely to be bullied for their weight or size and were less physically active</w:t>
      </w:r>
      <w:r>
        <w:rPr>
          <w:spacing w:val="-2"/>
        </w:rPr>
        <w:t xml:space="preserve"> </w:t>
      </w:r>
      <w:r>
        <w:t>compared</w:t>
      </w:r>
      <w:r>
        <w:rPr>
          <w:spacing w:val="-3"/>
        </w:rPr>
        <w:t xml:space="preserve"> </w:t>
      </w:r>
      <w:r>
        <w:t>to</w:t>
      </w:r>
      <w:r>
        <w:rPr>
          <w:spacing w:val="-2"/>
        </w:rPr>
        <w:t xml:space="preserve"> </w:t>
      </w:r>
      <w:r>
        <w:t>other youth.</w:t>
      </w:r>
      <w:r>
        <w:rPr>
          <w:spacing w:val="-2"/>
        </w:rPr>
        <w:t xml:space="preserve"> </w:t>
      </w:r>
      <w:r>
        <w:t>Body</w:t>
      </w:r>
      <w:r>
        <w:rPr>
          <w:spacing w:val="-2"/>
        </w:rPr>
        <w:t xml:space="preserve"> </w:t>
      </w:r>
      <w:r>
        <w:t>dissatisfaction</w:t>
      </w:r>
      <w:r>
        <w:rPr>
          <w:spacing w:val="-3"/>
        </w:rPr>
        <w:t xml:space="preserve"> </w:t>
      </w:r>
      <w:r>
        <w:t>is</w:t>
      </w:r>
      <w:r>
        <w:rPr>
          <w:spacing w:val="-2"/>
        </w:rPr>
        <w:t xml:space="preserve"> </w:t>
      </w:r>
      <w:r>
        <w:t>a</w:t>
      </w:r>
      <w:r>
        <w:rPr>
          <w:spacing w:val="-3"/>
        </w:rPr>
        <w:t xml:space="preserve"> </w:t>
      </w:r>
      <w:r>
        <w:t>significant</w:t>
      </w:r>
      <w:r>
        <w:rPr>
          <w:spacing w:val="-3"/>
        </w:rPr>
        <w:t xml:space="preserve"> </w:t>
      </w:r>
      <w:r>
        <w:t>factor,</w:t>
      </w:r>
      <w:r>
        <w:rPr>
          <w:spacing w:val="-4"/>
        </w:rPr>
        <w:t xml:space="preserve"> </w:t>
      </w:r>
      <w:r>
        <w:t>as</w:t>
      </w:r>
      <w:r>
        <w:rPr>
          <w:spacing w:val="-1"/>
        </w:rPr>
        <w:t xml:space="preserve"> </w:t>
      </w:r>
      <w:r>
        <w:t>well</w:t>
      </w:r>
      <w:r>
        <w:rPr>
          <w:spacing w:val="-3"/>
        </w:rPr>
        <w:t xml:space="preserve"> </w:t>
      </w:r>
      <w:r>
        <w:t>as</w:t>
      </w:r>
      <w:r>
        <w:rPr>
          <w:spacing w:val="-2"/>
        </w:rPr>
        <w:t xml:space="preserve"> </w:t>
      </w:r>
      <w:r>
        <w:t>thoughts</w:t>
      </w:r>
      <w:r>
        <w:rPr>
          <w:spacing w:val="-2"/>
        </w:rPr>
        <w:t xml:space="preserve"> </w:t>
      </w:r>
      <w:r>
        <w:t>that</w:t>
      </w:r>
      <w:r>
        <w:rPr>
          <w:spacing w:val="-2"/>
        </w:rPr>
        <w:t xml:space="preserve"> </w:t>
      </w:r>
      <w:r>
        <w:t>changing a body size will have a feminizing</w:t>
      </w:r>
      <w:r>
        <w:t xml:space="preserve"> or masculinizing effect, likely related to gender dysphoria (feelings of distress at the incongruence of primary and secondary sex characteristics with one's gender identity). Restrictive eating was more common among transgender women, and higher BMIs wer</w:t>
      </w:r>
      <w:r>
        <w:t>e associated with transgender men, likely in an attempt to control body shape and size. Eating disorder behavior is also more prevalent among youth who could not access gender affirmation medical treatment and youth who present suicidal ideation, suicide a</w:t>
      </w:r>
      <w:r>
        <w:t>ttempt, and self-injurious behaviors</w:t>
      </w:r>
      <w:hyperlink w:anchor="_bookmark484" w:history="1">
        <w:r>
          <w:t>.</w:t>
        </w:r>
        <w:r>
          <w:rPr>
            <w:vertAlign w:val="superscript"/>
          </w:rPr>
          <w:t>66</w:t>
        </w:r>
      </w:hyperlink>
      <w:r>
        <w:t xml:space="preserve"> A study focusing on the effects of objectification on transgender women found important links between objectification and disordered eating rather than congruence of the body with gend</w:t>
      </w:r>
      <w:r>
        <w:t>er identity</w:t>
      </w:r>
      <w:hyperlink w:anchor="_bookmark485" w:history="1">
        <w:r>
          <w:t>.</w:t>
        </w:r>
        <w:r>
          <w:rPr>
            <w:vertAlign w:val="superscript"/>
          </w:rPr>
          <w:t>67</w:t>
        </w:r>
      </w:hyperlink>
    </w:p>
    <w:p w:rsidR="00C76E6D" w:rsidRDefault="00C76E6D">
      <w:pPr>
        <w:pStyle w:val="BodyText"/>
        <w:spacing w:before="9"/>
        <w:rPr>
          <w:sz w:val="19"/>
        </w:rPr>
      </w:pPr>
    </w:p>
    <w:p w:rsidR="00C76E6D" w:rsidRDefault="00913831">
      <w:pPr>
        <w:pStyle w:val="BodyText"/>
        <w:spacing w:line="276" w:lineRule="auto"/>
        <w:ind w:left="338" w:right="294" w:hanging="1"/>
        <w:jc w:val="both"/>
      </w:pPr>
      <w:r>
        <w:t>It</w:t>
      </w:r>
      <w:r>
        <w:rPr>
          <w:spacing w:val="-4"/>
        </w:rPr>
        <w:t xml:space="preserve"> </w:t>
      </w:r>
      <w:r>
        <w:t>is</w:t>
      </w:r>
      <w:r>
        <w:rPr>
          <w:spacing w:val="-3"/>
        </w:rPr>
        <w:t xml:space="preserve"> </w:t>
      </w:r>
      <w:r>
        <w:t>essential</w:t>
      </w:r>
      <w:r>
        <w:rPr>
          <w:spacing w:val="-3"/>
        </w:rPr>
        <w:t xml:space="preserve"> </w:t>
      </w:r>
      <w:r>
        <w:t>for</w:t>
      </w:r>
      <w:r>
        <w:rPr>
          <w:spacing w:val="-4"/>
        </w:rPr>
        <w:t xml:space="preserve"> </w:t>
      </w:r>
      <w:r>
        <w:t>medical</w:t>
      </w:r>
      <w:r>
        <w:rPr>
          <w:spacing w:val="-4"/>
        </w:rPr>
        <w:t xml:space="preserve"> </w:t>
      </w:r>
      <w:r>
        <w:t>providers</w:t>
      </w:r>
      <w:r>
        <w:rPr>
          <w:spacing w:val="-3"/>
        </w:rPr>
        <w:t xml:space="preserve"> </w:t>
      </w:r>
      <w:r>
        <w:t>working</w:t>
      </w:r>
      <w:r>
        <w:rPr>
          <w:spacing w:val="-4"/>
        </w:rPr>
        <w:t xml:space="preserve"> </w:t>
      </w:r>
      <w:r>
        <w:t>with</w:t>
      </w:r>
      <w:r>
        <w:rPr>
          <w:spacing w:val="-3"/>
        </w:rPr>
        <w:t xml:space="preserve"> </w:t>
      </w:r>
      <w:r>
        <w:t>LGBTQ</w:t>
      </w:r>
      <w:r>
        <w:rPr>
          <w:spacing w:val="-4"/>
        </w:rPr>
        <w:t xml:space="preserve"> </w:t>
      </w:r>
      <w:r>
        <w:t>youth</w:t>
      </w:r>
      <w:r>
        <w:rPr>
          <w:spacing w:val="-3"/>
        </w:rPr>
        <w:t xml:space="preserve"> </w:t>
      </w:r>
      <w:r>
        <w:t>to</w:t>
      </w:r>
      <w:r>
        <w:rPr>
          <w:spacing w:val="-3"/>
        </w:rPr>
        <w:t xml:space="preserve"> </w:t>
      </w:r>
      <w:r>
        <w:t>assess</w:t>
      </w:r>
      <w:r>
        <w:rPr>
          <w:spacing w:val="-3"/>
        </w:rPr>
        <w:t xml:space="preserve"> </w:t>
      </w:r>
      <w:r>
        <w:t>for</w:t>
      </w:r>
      <w:r>
        <w:rPr>
          <w:spacing w:val="-3"/>
        </w:rPr>
        <w:t xml:space="preserve"> </w:t>
      </w:r>
      <w:r>
        <w:t>eating</w:t>
      </w:r>
      <w:r>
        <w:rPr>
          <w:spacing w:val="-3"/>
        </w:rPr>
        <w:t xml:space="preserve"> </w:t>
      </w:r>
      <w:r>
        <w:t>disorder</w:t>
      </w:r>
      <w:r>
        <w:rPr>
          <w:spacing w:val="-3"/>
        </w:rPr>
        <w:t xml:space="preserve"> </w:t>
      </w:r>
      <w:r>
        <w:t>behaviors</w:t>
      </w:r>
      <w:r>
        <w:rPr>
          <w:spacing w:val="-3"/>
        </w:rPr>
        <w:t xml:space="preserve"> </w:t>
      </w:r>
      <w:r>
        <w:t>and</w:t>
      </w:r>
      <w:r>
        <w:rPr>
          <w:spacing w:val="-3"/>
        </w:rPr>
        <w:t xml:space="preserve"> </w:t>
      </w:r>
      <w:r>
        <w:t>be adequately</w:t>
      </w:r>
      <w:r>
        <w:rPr>
          <w:spacing w:val="-4"/>
        </w:rPr>
        <w:t xml:space="preserve"> </w:t>
      </w:r>
      <w:r>
        <w:t>trained</w:t>
      </w:r>
      <w:r>
        <w:rPr>
          <w:spacing w:val="-5"/>
        </w:rPr>
        <w:t xml:space="preserve"> </w:t>
      </w:r>
      <w:r>
        <w:t>in</w:t>
      </w:r>
      <w:r>
        <w:rPr>
          <w:spacing w:val="-4"/>
        </w:rPr>
        <w:t xml:space="preserve"> </w:t>
      </w:r>
      <w:r>
        <w:t>how</w:t>
      </w:r>
      <w:r>
        <w:rPr>
          <w:spacing w:val="-4"/>
        </w:rPr>
        <w:t xml:space="preserve"> </w:t>
      </w:r>
      <w:r>
        <w:t>to</w:t>
      </w:r>
      <w:r>
        <w:rPr>
          <w:spacing w:val="-6"/>
        </w:rPr>
        <w:t xml:space="preserve"> </w:t>
      </w:r>
      <w:r>
        <w:t>engage</w:t>
      </w:r>
      <w:r>
        <w:rPr>
          <w:spacing w:val="-5"/>
        </w:rPr>
        <w:t xml:space="preserve"> </w:t>
      </w:r>
      <w:r>
        <w:t>respectfully</w:t>
      </w:r>
      <w:r>
        <w:rPr>
          <w:spacing w:val="-5"/>
        </w:rPr>
        <w:t xml:space="preserve"> </w:t>
      </w:r>
      <w:r>
        <w:t>with</w:t>
      </w:r>
      <w:r>
        <w:rPr>
          <w:spacing w:val="-4"/>
        </w:rPr>
        <w:t xml:space="preserve"> </w:t>
      </w:r>
      <w:r>
        <w:t>these</w:t>
      </w:r>
      <w:r>
        <w:rPr>
          <w:spacing w:val="-4"/>
        </w:rPr>
        <w:t xml:space="preserve"> </w:t>
      </w:r>
      <w:r>
        <w:t>communities.</w:t>
      </w:r>
      <w:r>
        <w:rPr>
          <w:spacing w:val="-4"/>
        </w:rPr>
        <w:t xml:space="preserve"> </w:t>
      </w:r>
      <w:r>
        <w:t>Furthermore,</w:t>
      </w:r>
      <w:r>
        <w:rPr>
          <w:spacing w:val="-6"/>
        </w:rPr>
        <w:t xml:space="preserve"> </w:t>
      </w:r>
      <w:r>
        <w:t>a</w:t>
      </w:r>
      <w:r>
        <w:rPr>
          <w:spacing w:val="-5"/>
        </w:rPr>
        <w:t xml:space="preserve"> </w:t>
      </w:r>
      <w:r>
        <w:t>lack</w:t>
      </w:r>
      <w:r>
        <w:rPr>
          <w:spacing w:val="-6"/>
        </w:rPr>
        <w:t xml:space="preserve"> </w:t>
      </w:r>
      <w:r>
        <w:t>of</w:t>
      </w:r>
      <w:r>
        <w:rPr>
          <w:spacing w:val="-5"/>
        </w:rPr>
        <w:t xml:space="preserve"> </w:t>
      </w:r>
      <w:r>
        <w:t>knowledge of the clinical and social needs of LGBTQ+ may lead to the belief that the treatment being received is not appropriate.</w:t>
      </w:r>
      <w:r>
        <w:rPr>
          <w:spacing w:val="-3"/>
        </w:rPr>
        <w:t xml:space="preserve"> </w:t>
      </w:r>
      <w:r>
        <w:t>Similarly,</w:t>
      </w:r>
      <w:r>
        <w:rPr>
          <w:spacing w:val="-4"/>
        </w:rPr>
        <w:t xml:space="preserve"> </w:t>
      </w:r>
      <w:r>
        <w:t>educators</w:t>
      </w:r>
      <w:r>
        <w:rPr>
          <w:spacing w:val="-5"/>
        </w:rPr>
        <w:t xml:space="preserve"> </w:t>
      </w:r>
      <w:r>
        <w:t>and</w:t>
      </w:r>
      <w:r>
        <w:rPr>
          <w:spacing w:val="-7"/>
        </w:rPr>
        <w:t xml:space="preserve"> </w:t>
      </w:r>
      <w:r>
        <w:t>school</w:t>
      </w:r>
      <w:r>
        <w:rPr>
          <w:spacing w:val="-8"/>
        </w:rPr>
        <w:t xml:space="preserve"> </w:t>
      </w:r>
      <w:r>
        <w:t>administrators</w:t>
      </w:r>
      <w:r>
        <w:rPr>
          <w:spacing w:val="-7"/>
        </w:rPr>
        <w:t xml:space="preserve"> </w:t>
      </w:r>
      <w:r>
        <w:t>need</w:t>
      </w:r>
      <w:r>
        <w:rPr>
          <w:spacing w:val="-6"/>
        </w:rPr>
        <w:t xml:space="preserve"> </w:t>
      </w:r>
      <w:r>
        <w:t>to</w:t>
      </w:r>
      <w:r>
        <w:rPr>
          <w:spacing w:val="-7"/>
        </w:rPr>
        <w:t xml:space="preserve"> </w:t>
      </w:r>
      <w:r>
        <w:t>be</w:t>
      </w:r>
      <w:r>
        <w:rPr>
          <w:spacing w:val="-8"/>
        </w:rPr>
        <w:t xml:space="preserve"> </w:t>
      </w:r>
      <w:r>
        <w:t>aware</w:t>
      </w:r>
      <w:r>
        <w:rPr>
          <w:spacing w:val="-5"/>
        </w:rPr>
        <w:t xml:space="preserve"> </w:t>
      </w:r>
      <w:r>
        <w:t>of</w:t>
      </w:r>
      <w:r>
        <w:rPr>
          <w:spacing w:val="-6"/>
        </w:rPr>
        <w:t xml:space="preserve"> </w:t>
      </w:r>
      <w:r>
        <w:t>LGBTQ</w:t>
      </w:r>
      <w:r>
        <w:rPr>
          <w:spacing w:val="-7"/>
        </w:rPr>
        <w:t xml:space="preserve"> </w:t>
      </w:r>
      <w:r>
        <w:t>youth's</w:t>
      </w:r>
      <w:r>
        <w:rPr>
          <w:spacing w:val="-7"/>
        </w:rPr>
        <w:t xml:space="preserve"> </w:t>
      </w:r>
      <w:r>
        <w:t>risks.</w:t>
      </w:r>
      <w:hyperlink w:anchor="_bookmark486" w:history="1">
        <w:r>
          <w:rPr>
            <w:vertAlign w:val="superscript"/>
          </w:rPr>
          <w:t>68</w:t>
        </w:r>
        <w:r>
          <w:rPr>
            <w:spacing w:val="-7"/>
          </w:rPr>
          <w:t xml:space="preserve"> </w:t>
        </w:r>
      </w:hyperlink>
      <w:r>
        <w:t>While no data is available on the knowledge of school administrators about the particular risks for LGBTQ+ youth, in Massachusetts, 68.8% of schools had teachers increase students’ knowledge of the signs, symptoms, and treatment</w:t>
      </w:r>
      <w:r>
        <w:rPr>
          <w:spacing w:val="-16"/>
        </w:rPr>
        <w:t xml:space="preserve"> </w:t>
      </w:r>
      <w:r>
        <w:t>for</w:t>
      </w:r>
      <w:r>
        <w:rPr>
          <w:spacing w:val="-15"/>
        </w:rPr>
        <w:t xml:space="preserve"> </w:t>
      </w:r>
      <w:r>
        <w:t>eating</w:t>
      </w:r>
      <w:r>
        <w:rPr>
          <w:spacing w:val="-17"/>
        </w:rPr>
        <w:t xml:space="preserve"> </w:t>
      </w:r>
      <w:r>
        <w:t>disorders</w:t>
      </w:r>
      <w:hyperlink w:anchor="_bookmark487" w:history="1">
        <w:r>
          <w:t>.</w:t>
        </w:r>
        <w:r>
          <w:rPr>
            <w:vertAlign w:val="superscript"/>
          </w:rPr>
          <w:t>69</w:t>
        </w:r>
        <w:r>
          <w:rPr>
            <w:spacing w:val="-15"/>
          </w:rPr>
          <w:t xml:space="preserve"> </w:t>
        </w:r>
      </w:hyperlink>
      <w:r>
        <w:t>In</w:t>
      </w:r>
      <w:r>
        <w:rPr>
          <w:spacing w:val="-16"/>
        </w:rPr>
        <w:t xml:space="preserve"> </w:t>
      </w:r>
      <w:r>
        <w:t>regards</w:t>
      </w:r>
      <w:r>
        <w:rPr>
          <w:spacing w:val="-17"/>
        </w:rPr>
        <w:t xml:space="preserve"> </w:t>
      </w:r>
      <w:r>
        <w:t>to</w:t>
      </w:r>
      <w:r>
        <w:rPr>
          <w:spacing w:val="-16"/>
        </w:rPr>
        <w:t xml:space="preserve"> </w:t>
      </w:r>
      <w:r>
        <w:t>screening,</w:t>
      </w:r>
      <w:r>
        <w:rPr>
          <w:spacing w:val="-17"/>
        </w:rPr>
        <w:t xml:space="preserve"> </w:t>
      </w:r>
      <w:r>
        <w:t>research</w:t>
      </w:r>
      <w:r>
        <w:rPr>
          <w:spacing w:val="-15"/>
        </w:rPr>
        <w:t xml:space="preserve"> </w:t>
      </w:r>
      <w:r>
        <w:t>shows</w:t>
      </w:r>
      <w:r>
        <w:rPr>
          <w:spacing w:val="-17"/>
        </w:rPr>
        <w:t xml:space="preserve"> </w:t>
      </w:r>
      <w:r>
        <w:t>that</w:t>
      </w:r>
      <w:r>
        <w:rPr>
          <w:spacing w:val="-13"/>
        </w:rPr>
        <w:t xml:space="preserve"> </w:t>
      </w:r>
      <w:r>
        <w:t>the</w:t>
      </w:r>
      <w:r>
        <w:rPr>
          <w:spacing w:val="-11"/>
        </w:rPr>
        <w:t xml:space="preserve"> </w:t>
      </w:r>
      <w:r>
        <w:t>Eating</w:t>
      </w:r>
      <w:r>
        <w:rPr>
          <w:spacing w:val="-10"/>
        </w:rPr>
        <w:t xml:space="preserve"> </w:t>
      </w:r>
      <w:r>
        <w:t>Disorder</w:t>
      </w:r>
      <w:r>
        <w:rPr>
          <w:spacing w:val="-5"/>
        </w:rPr>
        <w:t xml:space="preserve"> </w:t>
      </w:r>
      <w:r>
        <w:t>Examination</w:t>
      </w:r>
    </w:p>
    <w:p w:rsidR="00C76E6D" w:rsidRDefault="00913831">
      <w:pPr>
        <w:pStyle w:val="ListParagraph"/>
        <w:numPr>
          <w:ilvl w:val="0"/>
          <w:numId w:val="31"/>
        </w:numPr>
        <w:tabs>
          <w:tab w:val="left" w:pos="532"/>
        </w:tabs>
        <w:spacing w:line="276" w:lineRule="auto"/>
        <w:ind w:right="293" w:firstLine="0"/>
        <w:jc w:val="both"/>
      </w:pPr>
      <w:r>
        <w:t>Questionnaire Short (EDE-QS) is a valid instrument for assessing disordered eating in transgender and gender-nonconforming populations</w:t>
      </w:r>
      <w:hyperlink w:anchor="_bookmark488" w:history="1">
        <w:r>
          <w:t>.</w:t>
        </w:r>
        <w:r>
          <w:rPr>
            <w:vertAlign w:val="superscript"/>
          </w:rPr>
          <w:t>70</w:t>
        </w:r>
      </w:hyperlink>
    </w:p>
    <w:p w:rsidR="00C76E6D" w:rsidRDefault="00C76E6D">
      <w:pPr>
        <w:spacing w:line="276" w:lineRule="auto"/>
        <w:jc w:val="both"/>
        <w:sectPr w:rsidR="00C76E6D">
          <w:pgSz w:w="12240" w:h="15840"/>
          <w:pgMar w:top="1000" w:right="960" w:bottom="640" w:left="960" w:header="802" w:footer="440" w:gutter="0"/>
          <w:cols w:space="720"/>
        </w:sectPr>
      </w:pPr>
    </w:p>
    <w:p w:rsidR="00C76E6D" w:rsidRDefault="00C76E6D">
      <w:pPr>
        <w:pStyle w:val="BodyText"/>
        <w:spacing w:before="6"/>
        <w:rPr>
          <w:sz w:val="21"/>
        </w:rPr>
      </w:pPr>
    </w:p>
    <w:p w:rsidR="00C76E6D" w:rsidRDefault="00913831">
      <w:pPr>
        <w:pStyle w:val="Heading6"/>
        <w:numPr>
          <w:ilvl w:val="0"/>
          <w:numId w:val="35"/>
        </w:numPr>
        <w:tabs>
          <w:tab w:val="left" w:pos="699"/>
        </w:tabs>
        <w:spacing w:before="55"/>
        <w:ind w:left="698"/>
        <w:jc w:val="left"/>
      </w:pPr>
      <w:bookmarkStart w:id="578" w:name="8._Healthcare_Access_and_Utilization"/>
      <w:bookmarkEnd w:id="578"/>
      <w:r>
        <w:rPr>
          <w:w w:val="95"/>
        </w:rPr>
        <w:t>Healthcare</w:t>
      </w:r>
      <w:r>
        <w:rPr>
          <w:spacing w:val="10"/>
        </w:rPr>
        <w:t xml:space="preserve"> </w:t>
      </w:r>
      <w:r>
        <w:rPr>
          <w:w w:val="95"/>
        </w:rPr>
        <w:t>Access</w:t>
      </w:r>
      <w:r>
        <w:rPr>
          <w:spacing w:val="12"/>
        </w:rPr>
        <w:t xml:space="preserve"> </w:t>
      </w:r>
      <w:r>
        <w:rPr>
          <w:w w:val="95"/>
        </w:rPr>
        <w:t>and</w:t>
      </w:r>
      <w:r>
        <w:rPr>
          <w:spacing w:val="15"/>
        </w:rPr>
        <w:t xml:space="preserve"> </w:t>
      </w:r>
      <w:r>
        <w:rPr>
          <w:spacing w:val="-2"/>
          <w:w w:val="95"/>
        </w:rPr>
        <w:t>Utilization</w:t>
      </w:r>
    </w:p>
    <w:p w:rsidR="00C76E6D" w:rsidRDefault="00C76E6D">
      <w:pPr>
        <w:pStyle w:val="BodyText"/>
        <w:spacing w:before="5"/>
        <w:rPr>
          <w:b/>
          <w:sz w:val="29"/>
        </w:rPr>
      </w:pPr>
    </w:p>
    <w:p w:rsidR="00C76E6D" w:rsidRDefault="00913831">
      <w:pPr>
        <w:pStyle w:val="BodyText"/>
        <w:spacing w:line="276" w:lineRule="auto"/>
        <w:ind w:left="338" w:right="294"/>
        <w:jc w:val="both"/>
      </w:pPr>
      <w:r>
        <w:t xml:space="preserve">Healthcare access and utilization for LGBTQ youth may include complex and layered variables, including access to culturally humble or competent care in which a provider is aware of the needs and respects the identities of the patients, insurance that will </w:t>
      </w:r>
      <w:r>
        <w:t>cover the care that is needed or will be accepted by the appropriate</w:t>
      </w:r>
      <w:r>
        <w:rPr>
          <w:spacing w:val="-5"/>
        </w:rPr>
        <w:t xml:space="preserve"> </w:t>
      </w:r>
      <w:r>
        <w:t>providers,</w:t>
      </w:r>
      <w:r>
        <w:rPr>
          <w:spacing w:val="-4"/>
        </w:rPr>
        <w:t xml:space="preserve"> </w:t>
      </w:r>
      <w:r>
        <w:t>experienced</w:t>
      </w:r>
      <w:r>
        <w:rPr>
          <w:spacing w:val="-5"/>
        </w:rPr>
        <w:t xml:space="preserve"> </w:t>
      </w:r>
      <w:r>
        <w:t>discrimination,</w:t>
      </w:r>
      <w:r>
        <w:rPr>
          <w:spacing w:val="-5"/>
        </w:rPr>
        <w:t xml:space="preserve"> </w:t>
      </w:r>
      <w:r>
        <w:t>anticipated</w:t>
      </w:r>
      <w:r>
        <w:rPr>
          <w:spacing w:val="-4"/>
        </w:rPr>
        <w:t xml:space="preserve"> </w:t>
      </w:r>
      <w:r>
        <w:t>discrimination,</w:t>
      </w:r>
      <w:r>
        <w:rPr>
          <w:spacing w:val="-5"/>
        </w:rPr>
        <w:t xml:space="preserve"> </w:t>
      </w:r>
      <w:r>
        <w:t>disclosure</w:t>
      </w:r>
      <w:r>
        <w:rPr>
          <w:spacing w:val="-5"/>
        </w:rPr>
        <w:t xml:space="preserve"> </w:t>
      </w:r>
      <w:r>
        <w:t>of</w:t>
      </w:r>
      <w:r>
        <w:rPr>
          <w:spacing w:val="-5"/>
        </w:rPr>
        <w:t xml:space="preserve"> </w:t>
      </w:r>
      <w:r>
        <w:t>sexuality,</w:t>
      </w:r>
      <w:r>
        <w:rPr>
          <w:spacing w:val="-4"/>
        </w:rPr>
        <w:t xml:space="preserve"> </w:t>
      </w:r>
      <w:r>
        <w:t>racism in health systems, refusal of care, and harassment in healthcare settings.</w:t>
      </w:r>
      <w:hyperlink w:anchor="_bookmark489" w:history="1">
        <w:r>
          <w:rPr>
            <w:vertAlign w:val="superscript"/>
          </w:rPr>
          <w:t>71</w:t>
        </w:r>
      </w:hyperlink>
    </w:p>
    <w:p w:rsidR="00C76E6D" w:rsidRDefault="00C76E6D">
      <w:pPr>
        <w:pStyle w:val="BodyText"/>
        <w:spacing w:before="9"/>
        <w:rPr>
          <w:sz w:val="19"/>
        </w:rPr>
      </w:pPr>
    </w:p>
    <w:p w:rsidR="00C76E6D" w:rsidRDefault="00913831">
      <w:pPr>
        <w:pStyle w:val="BodyText"/>
        <w:spacing w:line="276" w:lineRule="auto"/>
        <w:ind w:left="338" w:right="293" w:hanging="1"/>
        <w:jc w:val="both"/>
      </w:pPr>
      <w:r>
        <w:t>A barrier to appropriate care</w:t>
      </w:r>
      <w:r>
        <w:rPr>
          <w:spacing w:val="-3"/>
        </w:rPr>
        <w:t xml:space="preserve"> </w:t>
      </w:r>
      <w:r>
        <w:t>is the disclosure</w:t>
      </w:r>
      <w:r>
        <w:rPr>
          <w:spacing w:val="-2"/>
        </w:rPr>
        <w:t xml:space="preserve"> </w:t>
      </w:r>
      <w:r>
        <w:t>of sexual</w:t>
      </w:r>
      <w:r>
        <w:rPr>
          <w:spacing w:val="-2"/>
        </w:rPr>
        <w:t xml:space="preserve"> </w:t>
      </w:r>
      <w:r>
        <w:t>orientation or sexual behavior to their provider.</w:t>
      </w:r>
      <w:r>
        <w:rPr>
          <w:spacing w:val="-1"/>
        </w:rPr>
        <w:t xml:space="preserve"> </w:t>
      </w:r>
      <w:r>
        <w:t>One study</w:t>
      </w:r>
      <w:r>
        <w:rPr>
          <w:spacing w:val="-3"/>
        </w:rPr>
        <w:t xml:space="preserve"> </w:t>
      </w:r>
      <w:r>
        <w:t>found</w:t>
      </w:r>
      <w:r>
        <w:rPr>
          <w:spacing w:val="-2"/>
        </w:rPr>
        <w:t xml:space="preserve"> </w:t>
      </w:r>
      <w:r>
        <w:t>that</w:t>
      </w:r>
      <w:r>
        <w:rPr>
          <w:spacing w:val="-4"/>
        </w:rPr>
        <w:t xml:space="preserve"> </w:t>
      </w:r>
      <w:r>
        <w:t>37%</w:t>
      </w:r>
      <w:r>
        <w:rPr>
          <w:spacing w:val="-3"/>
        </w:rPr>
        <w:t xml:space="preserve"> </w:t>
      </w:r>
      <w:r>
        <w:t>of</w:t>
      </w:r>
      <w:r>
        <w:rPr>
          <w:spacing w:val="-3"/>
        </w:rPr>
        <w:t xml:space="preserve"> </w:t>
      </w:r>
      <w:r>
        <w:t>participating</w:t>
      </w:r>
      <w:r>
        <w:rPr>
          <w:spacing w:val="-2"/>
        </w:rPr>
        <w:t xml:space="preserve"> </w:t>
      </w:r>
      <w:r>
        <w:t>Sexual</w:t>
      </w:r>
      <w:r>
        <w:rPr>
          <w:spacing w:val="-3"/>
        </w:rPr>
        <w:t xml:space="preserve"> </w:t>
      </w:r>
      <w:r>
        <w:t>Minority</w:t>
      </w:r>
      <w:r>
        <w:rPr>
          <w:spacing w:val="-1"/>
        </w:rPr>
        <w:t xml:space="preserve"> </w:t>
      </w:r>
      <w:r>
        <w:t>Men</w:t>
      </w:r>
      <w:r>
        <w:rPr>
          <w:spacing w:val="-3"/>
        </w:rPr>
        <w:t xml:space="preserve"> </w:t>
      </w:r>
      <w:r>
        <w:t>at</w:t>
      </w:r>
      <w:r>
        <w:rPr>
          <w:spacing w:val="-3"/>
        </w:rPr>
        <w:t xml:space="preserve"> </w:t>
      </w:r>
      <w:r>
        <w:t>high</w:t>
      </w:r>
      <w:r>
        <w:rPr>
          <w:spacing w:val="-2"/>
        </w:rPr>
        <w:t xml:space="preserve"> </w:t>
      </w:r>
      <w:r>
        <w:t>risk</w:t>
      </w:r>
      <w:r>
        <w:rPr>
          <w:spacing w:val="-4"/>
        </w:rPr>
        <w:t xml:space="preserve"> </w:t>
      </w:r>
      <w:r>
        <w:t>for</w:t>
      </w:r>
      <w:r>
        <w:rPr>
          <w:spacing w:val="-4"/>
        </w:rPr>
        <w:t xml:space="preserve"> </w:t>
      </w:r>
      <w:r>
        <w:t>HIV</w:t>
      </w:r>
      <w:r>
        <w:rPr>
          <w:spacing w:val="-4"/>
        </w:rPr>
        <w:t xml:space="preserve"> </w:t>
      </w:r>
      <w:r>
        <w:t>infection</w:t>
      </w:r>
      <w:r>
        <w:rPr>
          <w:spacing w:val="-4"/>
        </w:rPr>
        <w:t xml:space="preserve"> </w:t>
      </w:r>
      <w:r>
        <w:t>did</w:t>
      </w:r>
      <w:r>
        <w:rPr>
          <w:spacing w:val="-6"/>
        </w:rPr>
        <w:t xml:space="preserve"> </w:t>
      </w:r>
      <w:r>
        <w:t>not</w:t>
      </w:r>
      <w:r>
        <w:rPr>
          <w:spacing w:val="-7"/>
        </w:rPr>
        <w:t xml:space="preserve"> </w:t>
      </w:r>
      <w:r>
        <w:t>disclose</w:t>
      </w:r>
      <w:r>
        <w:rPr>
          <w:spacing w:val="-4"/>
        </w:rPr>
        <w:t xml:space="preserve"> </w:t>
      </w:r>
      <w:r>
        <w:t>their sexual ori</w:t>
      </w:r>
      <w:r>
        <w:t>entation and 25% were not comfortable discussing sex with their providers despite being patients at an LGBTQ-affirming health center. The same study found that non-disclosure rates were higher among men of color. The authors speculated that these rates are</w:t>
      </w:r>
      <w:r>
        <w:t xml:space="preserve"> higher at non-affirming facilities</w:t>
      </w:r>
      <w:hyperlink w:anchor="_bookmark490" w:history="1">
        <w:r>
          <w:t>.</w:t>
        </w:r>
        <w:r>
          <w:rPr>
            <w:vertAlign w:val="superscript"/>
          </w:rPr>
          <w:t>72</w:t>
        </w:r>
      </w:hyperlink>
    </w:p>
    <w:p w:rsidR="00C76E6D" w:rsidRDefault="00C76E6D">
      <w:pPr>
        <w:pStyle w:val="BodyText"/>
        <w:spacing w:before="9"/>
        <w:rPr>
          <w:sz w:val="19"/>
        </w:rPr>
      </w:pPr>
    </w:p>
    <w:p w:rsidR="00C76E6D" w:rsidRDefault="00913831">
      <w:pPr>
        <w:pStyle w:val="BodyText"/>
        <w:spacing w:line="276" w:lineRule="auto"/>
        <w:ind w:left="336" w:right="294" w:firstLine="1"/>
        <w:jc w:val="both"/>
      </w:pPr>
      <w:r>
        <w:t>Currently,</w:t>
      </w:r>
      <w:r>
        <w:rPr>
          <w:spacing w:val="-11"/>
        </w:rPr>
        <w:t xml:space="preserve"> </w:t>
      </w:r>
      <w:r>
        <w:t>COVID-19</w:t>
      </w:r>
      <w:r>
        <w:rPr>
          <w:spacing w:val="-11"/>
        </w:rPr>
        <w:t xml:space="preserve"> </w:t>
      </w:r>
      <w:r>
        <w:t>has</w:t>
      </w:r>
      <w:r>
        <w:rPr>
          <w:spacing w:val="-11"/>
        </w:rPr>
        <w:t xml:space="preserve"> </w:t>
      </w:r>
      <w:r>
        <w:t>pushed</w:t>
      </w:r>
      <w:r>
        <w:rPr>
          <w:spacing w:val="-11"/>
        </w:rPr>
        <w:t xml:space="preserve"> </w:t>
      </w:r>
      <w:r>
        <w:t>the</w:t>
      </w:r>
      <w:r>
        <w:rPr>
          <w:spacing w:val="-11"/>
        </w:rPr>
        <w:t xml:space="preserve"> </w:t>
      </w:r>
      <w:r>
        <w:t>use</w:t>
      </w:r>
      <w:r>
        <w:rPr>
          <w:spacing w:val="-10"/>
        </w:rPr>
        <w:t xml:space="preserve"> </w:t>
      </w:r>
      <w:r>
        <w:t>of</w:t>
      </w:r>
      <w:r>
        <w:rPr>
          <w:spacing w:val="-11"/>
        </w:rPr>
        <w:t xml:space="preserve"> </w:t>
      </w:r>
      <w:r>
        <w:t>telehealth</w:t>
      </w:r>
      <w:r>
        <w:rPr>
          <w:spacing w:val="-8"/>
        </w:rPr>
        <w:t xml:space="preserve"> </w:t>
      </w:r>
      <w:r>
        <w:t>services</w:t>
      </w:r>
      <w:r>
        <w:rPr>
          <w:spacing w:val="-11"/>
        </w:rPr>
        <w:t xml:space="preserve"> </w:t>
      </w:r>
      <w:r>
        <w:t>to</w:t>
      </w:r>
      <w:r>
        <w:rPr>
          <w:spacing w:val="-11"/>
        </w:rPr>
        <w:t xml:space="preserve"> </w:t>
      </w:r>
      <w:r>
        <w:t>the</w:t>
      </w:r>
      <w:r>
        <w:rPr>
          <w:spacing w:val="-11"/>
        </w:rPr>
        <w:t xml:space="preserve"> </w:t>
      </w:r>
      <w:r>
        <w:t>forefront.</w:t>
      </w:r>
      <w:r>
        <w:rPr>
          <w:spacing w:val="-12"/>
        </w:rPr>
        <w:t xml:space="preserve"> </w:t>
      </w:r>
      <w:r>
        <w:t>Before</w:t>
      </w:r>
      <w:r>
        <w:rPr>
          <w:spacing w:val="-11"/>
        </w:rPr>
        <w:t xml:space="preserve"> </w:t>
      </w:r>
      <w:r>
        <w:t>the</w:t>
      </w:r>
      <w:r>
        <w:rPr>
          <w:spacing w:val="-11"/>
        </w:rPr>
        <w:t xml:space="preserve"> </w:t>
      </w:r>
      <w:r>
        <w:t>pandemic,</w:t>
      </w:r>
      <w:r>
        <w:rPr>
          <w:spacing w:val="-11"/>
        </w:rPr>
        <w:t xml:space="preserve"> </w:t>
      </w:r>
      <w:r>
        <w:t>the</w:t>
      </w:r>
      <w:r>
        <w:rPr>
          <w:spacing w:val="-11"/>
        </w:rPr>
        <w:t xml:space="preserve"> </w:t>
      </w:r>
      <w:r>
        <w:t>Pew Research</w:t>
      </w:r>
      <w:r>
        <w:rPr>
          <w:spacing w:val="-13"/>
        </w:rPr>
        <w:t xml:space="preserve"> </w:t>
      </w:r>
      <w:r>
        <w:t>Center</w:t>
      </w:r>
      <w:r>
        <w:rPr>
          <w:spacing w:val="-11"/>
        </w:rPr>
        <w:t xml:space="preserve"> </w:t>
      </w:r>
      <w:r>
        <w:t>reported</w:t>
      </w:r>
      <w:r>
        <w:rPr>
          <w:spacing w:val="-12"/>
        </w:rPr>
        <w:t xml:space="preserve"> </w:t>
      </w:r>
      <w:r>
        <w:t>that</w:t>
      </w:r>
      <w:r>
        <w:rPr>
          <w:spacing w:val="-13"/>
        </w:rPr>
        <w:t xml:space="preserve"> </w:t>
      </w:r>
      <w:r>
        <w:t>about</w:t>
      </w:r>
      <w:r>
        <w:rPr>
          <w:spacing w:val="-12"/>
        </w:rPr>
        <w:t xml:space="preserve"> </w:t>
      </w:r>
      <w:r>
        <w:t>89%</w:t>
      </w:r>
      <w:r>
        <w:rPr>
          <w:spacing w:val="-12"/>
        </w:rPr>
        <w:t xml:space="preserve"> </w:t>
      </w:r>
      <w:r>
        <w:t>of</w:t>
      </w:r>
      <w:r>
        <w:rPr>
          <w:spacing w:val="-13"/>
        </w:rPr>
        <w:t xml:space="preserve"> </w:t>
      </w:r>
      <w:r>
        <w:t>adolescents</w:t>
      </w:r>
      <w:r>
        <w:rPr>
          <w:spacing w:val="-12"/>
        </w:rPr>
        <w:t xml:space="preserve"> </w:t>
      </w:r>
      <w:r>
        <w:t>in</w:t>
      </w:r>
      <w:r>
        <w:rPr>
          <w:spacing w:val="-11"/>
        </w:rPr>
        <w:t xml:space="preserve"> </w:t>
      </w:r>
      <w:r>
        <w:t>the</w:t>
      </w:r>
      <w:r>
        <w:rPr>
          <w:spacing w:val="-10"/>
        </w:rPr>
        <w:t xml:space="preserve"> </w:t>
      </w:r>
      <w:r>
        <w:t>U.S.</w:t>
      </w:r>
      <w:r>
        <w:rPr>
          <w:spacing w:val="-12"/>
        </w:rPr>
        <w:t xml:space="preserve"> </w:t>
      </w:r>
      <w:r>
        <w:t>spent</w:t>
      </w:r>
      <w:r>
        <w:rPr>
          <w:spacing w:val="-11"/>
        </w:rPr>
        <w:t xml:space="preserve"> </w:t>
      </w:r>
      <w:r>
        <w:t>time</w:t>
      </w:r>
      <w:r>
        <w:rPr>
          <w:spacing w:val="-13"/>
        </w:rPr>
        <w:t xml:space="preserve"> </w:t>
      </w:r>
      <w:r>
        <w:t>online</w:t>
      </w:r>
      <w:r>
        <w:rPr>
          <w:spacing w:val="-12"/>
        </w:rPr>
        <w:t xml:space="preserve"> </w:t>
      </w:r>
      <w:r>
        <w:t>"constantly"</w:t>
      </w:r>
      <w:r>
        <w:rPr>
          <w:spacing w:val="-12"/>
        </w:rPr>
        <w:t xml:space="preserve"> </w:t>
      </w:r>
      <w:r>
        <w:t>or</w:t>
      </w:r>
      <w:r>
        <w:rPr>
          <w:spacing w:val="-11"/>
        </w:rPr>
        <w:t xml:space="preserve"> </w:t>
      </w:r>
      <w:r>
        <w:t>"several times</w:t>
      </w:r>
      <w:r>
        <w:rPr>
          <w:spacing w:val="-13"/>
        </w:rPr>
        <w:t xml:space="preserve"> </w:t>
      </w:r>
      <w:r>
        <w:t>per</w:t>
      </w:r>
      <w:r>
        <w:rPr>
          <w:spacing w:val="-12"/>
        </w:rPr>
        <w:t xml:space="preserve"> </w:t>
      </w:r>
      <w:r>
        <w:t>day."</w:t>
      </w:r>
      <w:r>
        <w:rPr>
          <w:spacing w:val="-13"/>
        </w:rPr>
        <w:t xml:space="preserve"> </w:t>
      </w:r>
      <w:r>
        <w:t>In</w:t>
      </w:r>
      <w:r>
        <w:rPr>
          <w:spacing w:val="-12"/>
        </w:rPr>
        <w:t xml:space="preserve"> </w:t>
      </w:r>
      <w:r>
        <w:t>an</w:t>
      </w:r>
      <w:r>
        <w:rPr>
          <w:spacing w:val="-13"/>
        </w:rPr>
        <w:t xml:space="preserve"> </w:t>
      </w:r>
      <w:r>
        <w:t>LGBTQ+</w:t>
      </w:r>
      <w:r>
        <w:rPr>
          <w:spacing w:val="-12"/>
        </w:rPr>
        <w:t xml:space="preserve"> </w:t>
      </w:r>
      <w:r>
        <w:t>youth</w:t>
      </w:r>
      <w:r>
        <w:rPr>
          <w:spacing w:val="-13"/>
        </w:rPr>
        <w:t xml:space="preserve"> </w:t>
      </w:r>
      <w:r>
        <w:t>survey,</w:t>
      </w:r>
      <w:r>
        <w:rPr>
          <w:spacing w:val="-11"/>
        </w:rPr>
        <w:t xml:space="preserve"> </w:t>
      </w:r>
      <w:r>
        <w:t>89.2%</w:t>
      </w:r>
      <w:r>
        <w:rPr>
          <w:spacing w:val="-12"/>
        </w:rPr>
        <w:t xml:space="preserve"> </w:t>
      </w:r>
      <w:r>
        <w:t>of</w:t>
      </w:r>
      <w:r>
        <w:rPr>
          <w:spacing w:val="-11"/>
        </w:rPr>
        <w:t xml:space="preserve"> </w:t>
      </w:r>
      <w:r>
        <w:t>respondents</w:t>
      </w:r>
      <w:r>
        <w:rPr>
          <w:spacing w:val="-10"/>
        </w:rPr>
        <w:t xml:space="preserve"> </w:t>
      </w:r>
      <w:r>
        <w:t>reported</w:t>
      </w:r>
      <w:r>
        <w:rPr>
          <w:spacing w:val="-13"/>
        </w:rPr>
        <w:t xml:space="preserve"> </w:t>
      </w:r>
      <w:r>
        <w:t>spending</w:t>
      </w:r>
      <w:r>
        <w:rPr>
          <w:spacing w:val="-11"/>
        </w:rPr>
        <w:t xml:space="preserve"> </w:t>
      </w:r>
      <w:r>
        <w:t>at</w:t>
      </w:r>
      <w:r>
        <w:rPr>
          <w:spacing w:val="-13"/>
        </w:rPr>
        <w:t xml:space="preserve"> </w:t>
      </w:r>
      <w:r>
        <w:t>least</w:t>
      </w:r>
      <w:r>
        <w:rPr>
          <w:spacing w:val="-10"/>
        </w:rPr>
        <w:t xml:space="preserve"> </w:t>
      </w:r>
      <w:r>
        <w:t>two</w:t>
      </w:r>
      <w:r>
        <w:rPr>
          <w:spacing w:val="-12"/>
        </w:rPr>
        <w:t xml:space="preserve"> </w:t>
      </w:r>
      <w:r>
        <w:t>hours</w:t>
      </w:r>
      <w:r>
        <w:rPr>
          <w:spacing w:val="-12"/>
        </w:rPr>
        <w:t xml:space="preserve"> </w:t>
      </w:r>
      <w:r>
        <w:t>online per day. The same study found that LGBTQ youth were on average 15 years old when they first</w:t>
      </w:r>
      <w:r>
        <w:rPr>
          <w:spacing w:val="-1"/>
        </w:rPr>
        <w:t xml:space="preserve"> </w:t>
      </w:r>
      <w:r>
        <w:t>participated in the LGBTQ+ community online and were slightly older when they participated offline; the age difference was</w:t>
      </w:r>
      <w:r>
        <w:rPr>
          <w:spacing w:val="-11"/>
        </w:rPr>
        <w:t xml:space="preserve"> </w:t>
      </w:r>
      <w:r>
        <w:t>statistically</w:t>
      </w:r>
      <w:r>
        <w:rPr>
          <w:spacing w:val="-10"/>
        </w:rPr>
        <w:t xml:space="preserve"> </w:t>
      </w:r>
      <w:r>
        <w:t>significant.</w:t>
      </w:r>
      <w:r>
        <w:rPr>
          <w:spacing w:val="-9"/>
        </w:rPr>
        <w:t xml:space="preserve"> </w:t>
      </w:r>
      <w:r>
        <w:t>Pre-COVID-19</w:t>
      </w:r>
      <w:r>
        <w:rPr>
          <w:spacing w:val="-10"/>
        </w:rPr>
        <w:t xml:space="preserve"> </w:t>
      </w:r>
      <w:r>
        <w:t>pandemic,</w:t>
      </w:r>
      <w:r>
        <w:rPr>
          <w:spacing w:val="-9"/>
        </w:rPr>
        <w:t xml:space="preserve"> </w:t>
      </w:r>
      <w:r>
        <w:t>LGBTQ</w:t>
      </w:r>
      <w:r>
        <w:rPr>
          <w:spacing w:val="-10"/>
        </w:rPr>
        <w:t xml:space="preserve"> </w:t>
      </w:r>
      <w:r>
        <w:t>youth</w:t>
      </w:r>
      <w:r>
        <w:rPr>
          <w:spacing w:val="-9"/>
        </w:rPr>
        <w:t xml:space="preserve"> </w:t>
      </w:r>
      <w:r>
        <w:t>reported</w:t>
      </w:r>
      <w:r>
        <w:rPr>
          <w:spacing w:val="-9"/>
        </w:rPr>
        <w:t xml:space="preserve"> </w:t>
      </w:r>
      <w:r>
        <w:t>being</w:t>
      </w:r>
      <w:r>
        <w:rPr>
          <w:spacing w:val="-10"/>
        </w:rPr>
        <w:t xml:space="preserve"> </w:t>
      </w:r>
      <w:r>
        <w:t>significantly</w:t>
      </w:r>
      <w:r>
        <w:rPr>
          <w:spacing w:val="-9"/>
        </w:rPr>
        <w:t xml:space="preserve"> </w:t>
      </w:r>
      <w:r>
        <w:t>more</w:t>
      </w:r>
      <w:r>
        <w:rPr>
          <w:spacing w:val="-9"/>
        </w:rPr>
        <w:t xml:space="preserve"> </w:t>
      </w:r>
      <w:r>
        <w:t>engaged in online resources catered t</w:t>
      </w:r>
      <w:r>
        <w:t>o them than offline ones. Nearly two-thirds used online resources to access health information compared to 35% who had used offline resources</w:t>
      </w:r>
      <w:hyperlink w:anchor="_bookmark491" w:history="1">
        <w:r>
          <w:t>.</w:t>
        </w:r>
        <w:r>
          <w:rPr>
            <w:vertAlign w:val="superscript"/>
          </w:rPr>
          <w:t>73</w:t>
        </w:r>
        <w:r>
          <w:t xml:space="preserve"> </w:t>
        </w:r>
      </w:hyperlink>
      <w:r>
        <w:t>Upwards of 94% of LGBTQ+ centers have offered online programs during stay at ho</w:t>
      </w:r>
      <w:r>
        <w:t>me orders</w:t>
      </w:r>
      <w:hyperlink w:anchor="_bookmark492" w:history="1">
        <w:r>
          <w:t>.</w:t>
        </w:r>
        <w:r>
          <w:rPr>
            <w:vertAlign w:val="superscript"/>
          </w:rPr>
          <w:t>74</w:t>
        </w:r>
      </w:hyperlink>
      <w:r>
        <w:t xml:space="preserve"> LGBTQ populations showed higher rates of behavioral health support use before and during the COVID-19 pandemic</w:t>
      </w:r>
      <w:hyperlink w:anchor="_bookmark493" w:history="1">
        <w:r>
          <w:t>.</w:t>
        </w:r>
        <w:r>
          <w:rPr>
            <w:vertAlign w:val="superscript"/>
          </w:rPr>
          <w:t>75</w:t>
        </w:r>
      </w:hyperlink>
    </w:p>
    <w:p w:rsidR="00C76E6D" w:rsidRDefault="00C76E6D">
      <w:pPr>
        <w:pStyle w:val="BodyText"/>
        <w:spacing w:before="7"/>
        <w:rPr>
          <w:sz w:val="19"/>
        </w:rPr>
      </w:pPr>
    </w:p>
    <w:p w:rsidR="00C76E6D" w:rsidRDefault="00913831">
      <w:pPr>
        <w:pStyle w:val="BodyText"/>
        <w:spacing w:line="276" w:lineRule="auto"/>
        <w:ind w:left="338" w:right="292"/>
        <w:jc w:val="both"/>
      </w:pPr>
      <w:r>
        <w:t>Regarding access to care, the most glaring health inequities are suffered by transgender and gender- nonconforming</w:t>
      </w:r>
      <w:r>
        <w:rPr>
          <w:spacing w:val="-9"/>
        </w:rPr>
        <w:t xml:space="preserve"> </w:t>
      </w:r>
      <w:r>
        <w:t>(TGNC)</w:t>
      </w:r>
      <w:r>
        <w:rPr>
          <w:spacing w:val="-7"/>
        </w:rPr>
        <w:t xml:space="preserve"> </w:t>
      </w:r>
      <w:r>
        <w:t>people</w:t>
      </w:r>
      <w:r>
        <w:rPr>
          <w:spacing w:val="-8"/>
        </w:rPr>
        <w:t xml:space="preserve"> </w:t>
      </w:r>
      <w:r>
        <w:t>due</w:t>
      </w:r>
      <w:r>
        <w:rPr>
          <w:spacing w:val="-7"/>
        </w:rPr>
        <w:t xml:space="preserve"> </w:t>
      </w:r>
      <w:r>
        <w:t>to</w:t>
      </w:r>
      <w:r>
        <w:rPr>
          <w:spacing w:val="-7"/>
        </w:rPr>
        <w:t xml:space="preserve"> </w:t>
      </w:r>
      <w:r>
        <w:t>lack</w:t>
      </w:r>
      <w:r>
        <w:rPr>
          <w:spacing w:val="-8"/>
        </w:rPr>
        <w:t xml:space="preserve"> </w:t>
      </w:r>
      <w:r>
        <w:t>of</w:t>
      </w:r>
      <w:r>
        <w:rPr>
          <w:spacing w:val="-8"/>
        </w:rPr>
        <w:t xml:space="preserve"> </w:t>
      </w:r>
      <w:r>
        <w:t>provider</w:t>
      </w:r>
      <w:r>
        <w:rPr>
          <w:spacing w:val="-6"/>
        </w:rPr>
        <w:t xml:space="preserve"> </w:t>
      </w:r>
      <w:r>
        <w:t>training</w:t>
      </w:r>
      <w:hyperlink w:anchor="_bookmark494" w:history="1">
        <w:r>
          <w:rPr>
            <w:vertAlign w:val="superscript"/>
          </w:rPr>
          <w:t>76</w:t>
        </w:r>
        <w:r>
          <w:rPr>
            <w:spacing w:val="-9"/>
          </w:rPr>
          <w:t xml:space="preserve"> </w:t>
        </w:r>
      </w:hyperlink>
      <w:r>
        <w:t>–</w:t>
      </w:r>
      <w:r>
        <w:rPr>
          <w:spacing w:val="-7"/>
        </w:rPr>
        <w:t xml:space="preserve"> </w:t>
      </w:r>
      <w:r>
        <w:t>and</w:t>
      </w:r>
      <w:r>
        <w:rPr>
          <w:spacing w:val="-9"/>
        </w:rPr>
        <w:t xml:space="preserve"> </w:t>
      </w:r>
      <w:r>
        <w:t>outright</w:t>
      </w:r>
      <w:r>
        <w:rPr>
          <w:spacing w:val="-7"/>
        </w:rPr>
        <w:t xml:space="preserve"> </w:t>
      </w:r>
      <w:r>
        <w:t>healthcare</w:t>
      </w:r>
      <w:r>
        <w:rPr>
          <w:spacing w:val="-3"/>
        </w:rPr>
        <w:t xml:space="preserve"> </w:t>
      </w:r>
      <w:r>
        <w:t>denial.</w:t>
      </w:r>
      <w:hyperlink w:anchor="_bookmark495" w:history="1">
        <w:r>
          <w:rPr>
            <w:vertAlign w:val="superscript"/>
          </w:rPr>
          <w:t>77</w:t>
        </w:r>
        <w:r>
          <w:rPr>
            <w:spacing w:val="-4"/>
          </w:rPr>
          <w:t xml:space="preserve"> </w:t>
        </w:r>
      </w:hyperlink>
      <w:r>
        <w:t>According to</w:t>
      </w:r>
      <w:r>
        <w:rPr>
          <w:spacing w:val="-6"/>
        </w:rPr>
        <w:t xml:space="preserve"> </w:t>
      </w:r>
      <w:r>
        <w:t>the</w:t>
      </w:r>
      <w:r>
        <w:rPr>
          <w:spacing w:val="-2"/>
        </w:rPr>
        <w:t xml:space="preserve"> </w:t>
      </w:r>
      <w:r>
        <w:t>2015</w:t>
      </w:r>
      <w:r>
        <w:rPr>
          <w:spacing w:val="-2"/>
        </w:rPr>
        <w:t xml:space="preserve"> </w:t>
      </w:r>
      <w:r>
        <w:t>US</w:t>
      </w:r>
      <w:r>
        <w:rPr>
          <w:spacing w:val="-3"/>
        </w:rPr>
        <w:t xml:space="preserve"> </w:t>
      </w:r>
      <w:r>
        <w:t>Transgender</w:t>
      </w:r>
      <w:r>
        <w:rPr>
          <w:spacing w:val="-3"/>
        </w:rPr>
        <w:t xml:space="preserve"> </w:t>
      </w:r>
      <w:r>
        <w:t>Survey Report,</w:t>
      </w:r>
      <w:r>
        <w:rPr>
          <w:spacing w:val="-3"/>
        </w:rPr>
        <w:t xml:space="preserve"> </w:t>
      </w:r>
      <w:r>
        <w:t>TNG</w:t>
      </w:r>
      <w:r>
        <w:rPr>
          <w:spacing w:val="-2"/>
        </w:rPr>
        <w:t xml:space="preserve"> </w:t>
      </w:r>
      <w:r>
        <w:t>people</w:t>
      </w:r>
      <w:r>
        <w:rPr>
          <w:spacing w:val="-3"/>
        </w:rPr>
        <w:t xml:space="preserve"> </w:t>
      </w:r>
      <w:r>
        <w:t>suffer</w:t>
      </w:r>
      <w:r>
        <w:rPr>
          <w:spacing w:val="-2"/>
        </w:rPr>
        <w:t xml:space="preserve"> </w:t>
      </w:r>
      <w:r>
        <w:t>a</w:t>
      </w:r>
      <w:r>
        <w:rPr>
          <w:spacing w:val="-1"/>
        </w:rPr>
        <w:t xml:space="preserve"> </w:t>
      </w:r>
      <w:r>
        <w:t>pervasive</w:t>
      </w:r>
      <w:r>
        <w:rPr>
          <w:spacing w:val="-3"/>
        </w:rPr>
        <w:t xml:space="preserve"> </w:t>
      </w:r>
      <w:r>
        <w:t>lack/refusal</w:t>
      </w:r>
      <w:r>
        <w:rPr>
          <w:spacing w:val="-9"/>
        </w:rPr>
        <w:t xml:space="preserve"> </w:t>
      </w:r>
      <w:r>
        <w:t>of</w:t>
      </w:r>
      <w:r>
        <w:rPr>
          <w:spacing w:val="-9"/>
        </w:rPr>
        <w:t xml:space="preserve"> </w:t>
      </w:r>
      <w:r>
        <w:t>healthcare</w:t>
      </w:r>
      <w:r>
        <w:rPr>
          <w:spacing w:val="-8"/>
        </w:rPr>
        <w:t xml:space="preserve"> </w:t>
      </w:r>
      <w:r>
        <w:t>due</w:t>
      </w:r>
      <w:r>
        <w:rPr>
          <w:spacing w:val="-8"/>
        </w:rPr>
        <w:t xml:space="preserve"> </w:t>
      </w:r>
      <w:r>
        <w:t>to</w:t>
      </w:r>
      <w:r>
        <w:rPr>
          <w:spacing w:val="-8"/>
        </w:rPr>
        <w:t xml:space="preserve"> </w:t>
      </w:r>
      <w:r>
        <w:t>a myriad of systemic issues; nearly 25% of respondents reported being refused medical care due to gender- nonconforming identity, while approximately 30% reported having a negative experience with medical providers. Additionally, higher rates were reported</w:t>
      </w:r>
      <w:r>
        <w:t xml:space="preserve"> for people of color and/or disabilities leading to 20% of respondents postponing medical care due to fear of mistreatment; 30% due to the inability to afford it; and 2% being the victims of violence in healthcare settings</w:t>
      </w:r>
      <w:hyperlink w:anchor="_bookmark496" w:history="1">
        <w:r>
          <w:t>.</w:t>
        </w:r>
        <w:r>
          <w:rPr>
            <w:vertAlign w:val="superscript"/>
          </w:rPr>
          <w:t>7</w:t>
        </w:r>
        <w:r>
          <w:rPr>
            <w:vertAlign w:val="superscript"/>
          </w:rPr>
          <w:t>8</w:t>
        </w:r>
      </w:hyperlink>
    </w:p>
    <w:p w:rsidR="00C76E6D" w:rsidRDefault="00C76E6D">
      <w:pPr>
        <w:pStyle w:val="BodyText"/>
        <w:spacing w:before="9"/>
        <w:rPr>
          <w:sz w:val="19"/>
        </w:rPr>
      </w:pPr>
    </w:p>
    <w:p w:rsidR="00C76E6D" w:rsidRDefault="00913831">
      <w:pPr>
        <w:pStyle w:val="BodyText"/>
        <w:spacing w:line="276" w:lineRule="auto"/>
        <w:ind w:left="338" w:right="292"/>
        <w:jc w:val="both"/>
      </w:pPr>
      <w:r>
        <w:t>TGNC who are also people of color who were "out" in healthcare settings were more likely to have experienced discrimination in a doctor's office or hospital, as well as were more</w:t>
      </w:r>
      <w:r>
        <w:rPr>
          <w:spacing w:val="-1"/>
        </w:rPr>
        <w:t xml:space="preserve"> </w:t>
      </w:r>
      <w:r>
        <w:t>likely to be asked questions that</w:t>
      </w:r>
      <w:r>
        <w:rPr>
          <w:spacing w:val="-5"/>
        </w:rPr>
        <w:t xml:space="preserve"> </w:t>
      </w:r>
      <w:r>
        <w:t>would</w:t>
      </w:r>
      <w:r>
        <w:rPr>
          <w:spacing w:val="-3"/>
        </w:rPr>
        <w:t xml:space="preserve"> </w:t>
      </w:r>
      <w:r>
        <w:t>not</w:t>
      </w:r>
      <w:r>
        <w:rPr>
          <w:spacing w:val="-5"/>
        </w:rPr>
        <w:t xml:space="preserve"> </w:t>
      </w:r>
      <w:r>
        <w:t>typically</w:t>
      </w:r>
      <w:r>
        <w:rPr>
          <w:spacing w:val="-2"/>
        </w:rPr>
        <w:t xml:space="preserve"> </w:t>
      </w:r>
      <w:r>
        <w:t>be</w:t>
      </w:r>
      <w:r>
        <w:rPr>
          <w:spacing w:val="-4"/>
        </w:rPr>
        <w:t xml:space="preserve"> </w:t>
      </w:r>
      <w:r>
        <w:t>asked</w:t>
      </w:r>
      <w:r>
        <w:rPr>
          <w:spacing w:val="-4"/>
        </w:rPr>
        <w:t xml:space="preserve"> </w:t>
      </w:r>
      <w:r>
        <w:t>of</w:t>
      </w:r>
      <w:r>
        <w:rPr>
          <w:spacing w:val="-3"/>
        </w:rPr>
        <w:t xml:space="preserve"> </w:t>
      </w:r>
      <w:r>
        <w:t>other</w:t>
      </w:r>
      <w:r>
        <w:rPr>
          <w:spacing w:val="-4"/>
        </w:rPr>
        <w:t xml:space="preserve"> </w:t>
      </w:r>
      <w:r>
        <w:t>pa</w:t>
      </w:r>
      <w:r>
        <w:t>tients.</w:t>
      </w:r>
      <w:r>
        <w:rPr>
          <w:spacing w:val="-2"/>
        </w:rPr>
        <w:t xml:space="preserve"> </w:t>
      </w:r>
      <w:r>
        <w:t>TGNC</w:t>
      </w:r>
      <w:r>
        <w:rPr>
          <w:spacing w:val="-2"/>
        </w:rPr>
        <w:t xml:space="preserve"> </w:t>
      </w:r>
      <w:r>
        <w:t>individuals</w:t>
      </w:r>
      <w:r>
        <w:rPr>
          <w:spacing w:val="-3"/>
        </w:rPr>
        <w:t xml:space="preserve"> </w:t>
      </w:r>
      <w:r>
        <w:t>were</w:t>
      </w:r>
      <w:r>
        <w:rPr>
          <w:spacing w:val="-4"/>
        </w:rPr>
        <w:t xml:space="preserve"> </w:t>
      </w:r>
      <w:r>
        <w:t>also</w:t>
      </w:r>
      <w:r>
        <w:rPr>
          <w:spacing w:val="-3"/>
        </w:rPr>
        <w:t xml:space="preserve"> </w:t>
      </w:r>
      <w:r>
        <w:t>more</w:t>
      </w:r>
      <w:r>
        <w:rPr>
          <w:spacing w:val="-5"/>
        </w:rPr>
        <w:t xml:space="preserve"> </w:t>
      </w:r>
      <w:r>
        <w:t>likely</w:t>
      </w:r>
      <w:r>
        <w:rPr>
          <w:spacing w:val="-2"/>
        </w:rPr>
        <w:t xml:space="preserve"> </w:t>
      </w:r>
      <w:r>
        <w:t>to</w:t>
      </w:r>
      <w:r>
        <w:rPr>
          <w:spacing w:val="-4"/>
        </w:rPr>
        <w:t xml:space="preserve"> </w:t>
      </w:r>
      <w:r>
        <w:t>postpone</w:t>
      </w:r>
      <w:r>
        <w:rPr>
          <w:spacing w:val="-2"/>
        </w:rPr>
        <w:t xml:space="preserve"> </w:t>
      </w:r>
      <w:r>
        <w:t>care; experience misgendering; encounter doctors with insufficient medical knowledge; be subjected to doctors who made assumptions about sexually-transmitted infections, drug use, and psychiatric diseases; and be subjected</w:t>
      </w:r>
      <w:r>
        <w:rPr>
          <w:spacing w:val="-1"/>
        </w:rPr>
        <w:t xml:space="preserve"> </w:t>
      </w:r>
      <w:r>
        <w:t>to unnecessary</w:t>
      </w:r>
      <w:r>
        <w:rPr>
          <w:spacing w:val="-1"/>
        </w:rPr>
        <w:t xml:space="preserve"> </w:t>
      </w:r>
      <w:r>
        <w:t>physical</w:t>
      </w:r>
      <w:r>
        <w:rPr>
          <w:spacing w:val="-1"/>
        </w:rPr>
        <w:t xml:space="preserve"> </w:t>
      </w:r>
      <w:r>
        <w:t>examinati</w:t>
      </w:r>
      <w:r>
        <w:t>ons</w:t>
      </w:r>
      <w:hyperlink w:anchor="_bookmark497" w:history="1">
        <w:r>
          <w:t>.</w:t>
        </w:r>
        <w:r>
          <w:rPr>
            <w:vertAlign w:val="superscript"/>
          </w:rPr>
          <w:t>79</w:t>
        </w:r>
      </w:hyperlink>
      <w:r>
        <w:rPr>
          <w:spacing w:val="33"/>
        </w:rPr>
        <w:t xml:space="preserve"> </w:t>
      </w:r>
      <w:r>
        <w:t>Black,</w:t>
      </w:r>
      <w:r>
        <w:rPr>
          <w:spacing w:val="-2"/>
        </w:rPr>
        <w:t xml:space="preserve"> </w:t>
      </w:r>
      <w:r>
        <w:t>Latinx, and</w:t>
      </w:r>
      <w:r>
        <w:rPr>
          <w:spacing w:val="-3"/>
        </w:rPr>
        <w:t xml:space="preserve"> </w:t>
      </w:r>
      <w:r>
        <w:t>gender minority</w:t>
      </w:r>
      <w:r>
        <w:rPr>
          <w:spacing w:val="-1"/>
        </w:rPr>
        <w:t xml:space="preserve"> </w:t>
      </w:r>
      <w:r>
        <w:t>youth</w:t>
      </w:r>
      <w:r>
        <w:rPr>
          <w:spacing w:val="-3"/>
        </w:rPr>
        <w:t xml:space="preserve"> </w:t>
      </w:r>
      <w:r>
        <w:t>and</w:t>
      </w:r>
      <w:r>
        <w:rPr>
          <w:spacing w:val="-4"/>
        </w:rPr>
        <w:t xml:space="preserve"> </w:t>
      </w:r>
      <w:r>
        <w:t>adults</w:t>
      </w:r>
      <w:r>
        <w:rPr>
          <w:spacing w:val="-3"/>
        </w:rPr>
        <w:t xml:space="preserve"> </w:t>
      </w:r>
      <w:r>
        <w:t>were less</w:t>
      </w:r>
      <w:r>
        <w:rPr>
          <w:spacing w:val="-3"/>
        </w:rPr>
        <w:t xml:space="preserve"> </w:t>
      </w:r>
      <w:r>
        <w:t>likely</w:t>
      </w:r>
      <w:r>
        <w:rPr>
          <w:spacing w:val="-1"/>
        </w:rPr>
        <w:t xml:space="preserve"> </w:t>
      </w:r>
      <w:r>
        <w:t>to have</w:t>
      </w:r>
      <w:r>
        <w:rPr>
          <w:spacing w:val="-4"/>
        </w:rPr>
        <w:t xml:space="preserve"> </w:t>
      </w:r>
      <w:r>
        <w:t>a</w:t>
      </w:r>
      <w:r>
        <w:rPr>
          <w:spacing w:val="-1"/>
        </w:rPr>
        <w:t xml:space="preserve"> </w:t>
      </w:r>
      <w:r>
        <w:t>primary</w:t>
      </w:r>
      <w:r>
        <w:rPr>
          <w:spacing w:val="-4"/>
        </w:rPr>
        <w:t xml:space="preserve"> </w:t>
      </w:r>
      <w:r>
        <w:t>care</w:t>
      </w:r>
      <w:r>
        <w:rPr>
          <w:spacing w:val="-2"/>
        </w:rPr>
        <w:t xml:space="preserve"> </w:t>
      </w:r>
      <w:r>
        <w:t>provider</w:t>
      </w:r>
      <w:r>
        <w:rPr>
          <w:spacing w:val="-4"/>
        </w:rPr>
        <w:t xml:space="preserve"> </w:t>
      </w:r>
      <w:r>
        <w:t>or</w:t>
      </w:r>
      <w:r>
        <w:rPr>
          <w:spacing w:val="-3"/>
        </w:rPr>
        <w:t xml:space="preserve"> </w:t>
      </w:r>
      <w:r>
        <w:t>contact</w:t>
      </w:r>
      <w:r>
        <w:rPr>
          <w:spacing w:val="-5"/>
        </w:rPr>
        <w:t xml:space="preserve"> </w:t>
      </w:r>
      <w:r>
        <w:t>a</w:t>
      </w:r>
      <w:r>
        <w:rPr>
          <w:spacing w:val="-3"/>
        </w:rPr>
        <w:t xml:space="preserve"> </w:t>
      </w:r>
      <w:r>
        <w:t>doctor</w:t>
      </w:r>
      <w:r>
        <w:rPr>
          <w:spacing w:val="-4"/>
        </w:rPr>
        <w:t xml:space="preserve"> </w:t>
      </w:r>
      <w:r>
        <w:t>in</w:t>
      </w:r>
      <w:r>
        <w:rPr>
          <w:spacing w:val="-3"/>
        </w:rPr>
        <w:t xml:space="preserve"> </w:t>
      </w:r>
      <w:r>
        <w:t>regards</w:t>
      </w:r>
      <w:r>
        <w:rPr>
          <w:spacing w:val="-3"/>
        </w:rPr>
        <w:t xml:space="preserve"> </w:t>
      </w:r>
      <w:r>
        <w:t>to</w:t>
      </w:r>
      <w:r>
        <w:rPr>
          <w:spacing w:val="-4"/>
        </w:rPr>
        <w:t xml:space="preserve"> </w:t>
      </w:r>
      <w:r>
        <w:t>COVID-19</w:t>
      </w:r>
      <w:r>
        <w:rPr>
          <w:spacing w:val="-4"/>
        </w:rPr>
        <w:t xml:space="preserve"> </w:t>
      </w:r>
      <w:r>
        <w:t>testing</w:t>
      </w:r>
      <w:hyperlink w:anchor="_bookmark498" w:history="1">
        <w:r>
          <w:t>.</w:t>
        </w:r>
        <w:r>
          <w:rPr>
            <w:vertAlign w:val="superscript"/>
          </w:rPr>
          <w:t>80</w:t>
        </w:r>
        <w:r>
          <w:rPr>
            <w:spacing w:val="-6"/>
          </w:rPr>
          <w:t xml:space="preserve"> </w:t>
        </w:r>
      </w:hyperlink>
      <w:r>
        <w:t>Among</w:t>
      </w:r>
      <w:r>
        <w:rPr>
          <w:spacing w:val="-3"/>
        </w:rPr>
        <w:t xml:space="preserve"> </w:t>
      </w:r>
      <w:r>
        <w:t>Latinx sexual minority m</w:t>
      </w:r>
      <w:r>
        <w:t>en and transgender women, 13.5% said they were unable to get needed medications and 34.6% said they got less medical attention than usual during the pandemic</w:t>
      </w:r>
      <w:hyperlink w:anchor="_bookmark499" w:history="1">
        <w:r>
          <w:t>.</w:t>
        </w:r>
        <w:r>
          <w:rPr>
            <w:vertAlign w:val="superscript"/>
          </w:rPr>
          <w:t>81</w:t>
        </w:r>
      </w:hyperlink>
    </w:p>
    <w:p w:rsidR="00C76E6D" w:rsidRDefault="00C76E6D">
      <w:pPr>
        <w:pStyle w:val="BodyText"/>
        <w:spacing w:before="6"/>
        <w:rPr>
          <w:sz w:val="25"/>
        </w:rPr>
      </w:pPr>
    </w:p>
    <w:p w:rsidR="00C76E6D" w:rsidRDefault="00913831">
      <w:pPr>
        <w:pStyle w:val="Heading6"/>
        <w:numPr>
          <w:ilvl w:val="0"/>
          <w:numId w:val="35"/>
        </w:numPr>
        <w:tabs>
          <w:tab w:val="left" w:pos="560"/>
        </w:tabs>
        <w:ind w:hanging="222"/>
        <w:jc w:val="left"/>
      </w:pPr>
      <w:bookmarkStart w:id="579" w:name="9._Gender_Affirming_Care"/>
      <w:bookmarkEnd w:id="579"/>
      <w:r>
        <w:rPr>
          <w:w w:val="95"/>
        </w:rPr>
        <w:t>Gender</w:t>
      </w:r>
      <w:r>
        <w:rPr>
          <w:spacing w:val="16"/>
        </w:rPr>
        <w:t xml:space="preserve"> </w:t>
      </w:r>
      <w:r>
        <w:rPr>
          <w:w w:val="95"/>
        </w:rPr>
        <w:t>Affirming</w:t>
      </w:r>
      <w:r>
        <w:rPr>
          <w:spacing w:val="17"/>
        </w:rPr>
        <w:t xml:space="preserve"> </w:t>
      </w:r>
      <w:r>
        <w:rPr>
          <w:spacing w:val="-4"/>
          <w:w w:val="95"/>
        </w:rPr>
        <w:t>Care</w:t>
      </w:r>
    </w:p>
    <w:p w:rsidR="00C76E6D" w:rsidRDefault="00C76E6D">
      <w:pPr>
        <w:sectPr w:rsidR="00C76E6D">
          <w:pgSz w:w="12240" w:h="15840"/>
          <w:pgMar w:top="1000" w:right="960" w:bottom="640" w:left="960" w:header="802" w:footer="440" w:gutter="0"/>
          <w:cols w:space="720"/>
        </w:sectPr>
      </w:pPr>
    </w:p>
    <w:p w:rsidR="00C76E6D" w:rsidRDefault="00C76E6D">
      <w:pPr>
        <w:pStyle w:val="BodyText"/>
        <w:rPr>
          <w:b/>
          <w:sz w:val="20"/>
        </w:rPr>
      </w:pPr>
    </w:p>
    <w:p w:rsidR="00C76E6D" w:rsidRDefault="00C76E6D">
      <w:pPr>
        <w:pStyle w:val="BodyText"/>
        <w:spacing w:before="9"/>
        <w:rPr>
          <w:b/>
          <w:sz w:val="26"/>
        </w:rPr>
      </w:pPr>
    </w:p>
    <w:p w:rsidR="00C76E6D" w:rsidRDefault="00913831">
      <w:pPr>
        <w:pStyle w:val="BodyText"/>
        <w:spacing w:before="55" w:line="276" w:lineRule="auto"/>
        <w:ind w:left="338" w:right="294"/>
        <w:jc w:val="both"/>
      </w:pPr>
      <w:r>
        <w:t>"Gender-affirming</w:t>
      </w:r>
      <w:r>
        <w:rPr>
          <w:spacing w:val="-12"/>
        </w:rPr>
        <w:t xml:space="preserve"> </w:t>
      </w:r>
      <w:r>
        <w:t>care</w:t>
      </w:r>
      <w:r>
        <w:rPr>
          <w:spacing w:val="-11"/>
        </w:rPr>
        <w:t xml:space="preserve"> </w:t>
      </w:r>
      <w:r>
        <w:t>is</w:t>
      </w:r>
      <w:r>
        <w:rPr>
          <w:spacing w:val="-11"/>
        </w:rPr>
        <w:t xml:space="preserve"> </w:t>
      </w:r>
      <w:r>
        <w:t>the</w:t>
      </w:r>
      <w:r>
        <w:rPr>
          <w:spacing w:val="-12"/>
        </w:rPr>
        <w:t xml:space="preserve"> </w:t>
      </w:r>
      <w:r>
        <w:t>provision</w:t>
      </w:r>
      <w:r>
        <w:rPr>
          <w:spacing w:val="-11"/>
        </w:rPr>
        <w:t xml:space="preserve"> </w:t>
      </w:r>
      <w:r>
        <w:t>of</w:t>
      </w:r>
      <w:r>
        <w:rPr>
          <w:spacing w:val="-11"/>
        </w:rPr>
        <w:t xml:space="preserve"> </w:t>
      </w:r>
      <w:r>
        <w:t>culturally</w:t>
      </w:r>
      <w:r>
        <w:rPr>
          <w:spacing w:val="-11"/>
        </w:rPr>
        <w:t xml:space="preserve"> </w:t>
      </w:r>
      <w:r>
        <w:t>and</w:t>
      </w:r>
      <w:r>
        <w:rPr>
          <w:spacing w:val="-11"/>
        </w:rPr>
        <w:t xml:space="preserve"> </w:t>
      </w:r>
      <w:r>
        <w:t>clinically</w:t>
      </w:r>
      <w:r>
        <w:rPr>
          <w:spacing w:val="-11"/>
        </w:rPr>
        <w:t xml:space="preserve"> </w:t>
      </w:r>
      <w:r>
        <w:t>competent</w:t>
      </w:r>
      <w:r>
        <w:rPr>
          <w:spacing w:val="-11"/>
        </w:rPr>
        <w:t xml:space="preserve"> </w:t>
      </w:r>
      <w:r>
        <w:t>care</w:t>
      </w:r>
      <w:r>
        <w:rPr>
          <w:spacing w:val="-12"/>
        </w:rPr>
        <w:t xml:space="preserve"> </w:t>
      </w:r>
      <w:r>
        <w:t>across</w:t>
      </w:r>
      <w:r>
        <w:rPr>
          <w:spacing w:val="-11"/>
        </w:rPr>
        <w:t xml:space="preserve"> </w:t>
      </w:r>
      <w:r>
        <w:t>all</w:t>
      </w:r>
      <w:r>
        <w:rPr>
          <w:spacing w:val="-13"/>
        </w:rPr>
        <w:t xml:space="preserve"> </w:t>
      </w:r>
      <w:r>
        <w:t>health</w:t>
      </w:r>
      <w:r>
        <w:rPr>
          <w:spacing w:val="-11"/>
        </w:rPr>
        <w:t xml:space="preserve"> </w:t>
      </w:r>
      <w:r>
        <w:t>disciplines" for the benefit of transgender and gender-nonconforming persons</w:t>
      </w:r>
      <w:hyperlink w:anchor="_bookmark500" w:history="1">
        <w:r>
          <w:t>.</w:t>
        </w:r>
        <w:r>
          <w:rPr>
            <w:vertAlign w:val="superscript"/>
          </w:rPr>
          <w:t>82</w:t>
        </w:r>
        <w:r>
          <w:t xml:space="preserve"> </w:t>
        </w:r>
      </w:hyperlink>
      <w:r>
        <w:t>The Gender Affirmation framework is influenced by Objectification</w:t>
      </w:r>
      <w:r>
        <w:t xml:space="preserve"> Theory and Identity Threat Model of Stigma. Objectification theory is used to understand the need to control one's body to comply with cultural standards of attractiveness or gender compliance. In transgender people, this may entail seeking medical care f</w:t>
      </w:r>
      <w:r>
        <w:t>or hormones or body modification</w:t>
      </w:r>
    </w:p>
    <w:p w:rsidR="00C76E6D" w:rsidRDefault="00913831">
      <w:pPr>
        <w:pStyle w:val="ListParagraph"/>
        <w:numPr>
          <w:ilvl w:val="0"/>
          <w:numId w:val="31"/>
        </w:numPr>
        <w:tabs>
          <w:tab w:val="left" w:pos="490"/>
        </w:tabs>
        <w:spacing w:line="276" w:lineRule="auto"/>
        <w:ind w:right="293" w:hanging="1"/>
        <w:jc w:val="both"/>
      </w:pPr>
      <w:r>
        <w:t>if</w:t>
      </w:r>
      <w:r>
        <w:rPr>
          <w:spacing w:val="-11"/>
        </w:rPr>
        <w:t xml:space="preserve"> </w:t>
      </w:r>
      <w:r>
        <w:t>that</w:t>
      </w:r>
      <w:r>
        <w:rPr>
          <w:spacing w:val="-11"/>
        </w:rPr>
        <w:t xml:space="preserve"> </w:t>
      </w:r>
      <w:r>
        <w:t>care</w:t>
      </w:r>
      <w:r>
        <w:rPr>
          <w:spacing w:val="-11"/>
        </w:rPr>
        <w:t xml:space="preserve"> </w:t>
      </w:r>
      <w:r>
        <w:t>is</w:t>
      </w:r>
      <w:r>
        <w:rPr>
          <w:spacing w:val="-9"/>
        </w:rPr>
        <w:t xml:space="preserve"> </w:t>
      </w:r>
      <w:r>
        <w:t>not</w:t>
      </w:r>
      <w:r>
        <w:rPr>
          <w:spacing w:val="-12"/>
        </w:rPr>
        <w:t xml:space="preserve"> </w:t>
      </w:r>
      <w:r>
        <w:t>available</w:t>
      </w:r>
      <w:r>
        <w:rPr>
          <w:spacing w:val="-10"/>
        </w:rPr>
        <w:t xml:space="preserve"> </w:t>
      </w:r>
      <w:r>
        <w:t>through</w:t>
      </w:r>
      <w:r>
        <w:rPr>
          <w:spacing w:val="-11"/>
        </w:rPr>
        <w:t xml:space="preserve"> </w:t>
      </w:r>
      <w:r>
        <w:t>appropriate</w:t>
      </w:r>
      <w:r>
        <w:rPr>
          <w:spacing w:val="-11"/>
        </w:rPr>
        <w:t xml:space="preserve"> </w:t>
      </w:r>
      <w:r>
        <w:t>medical</w:t>
      </w:r>
      <w:r>
        <w:rPr>
          <w:spacing w:val="-12"/>
        </w:rPr>
        <w:t xml:space="preserve"> </w:t>
      </w:r>
      <w:r>
        <w:t>channels,</w:t>
      </w:r>
      <w:r>
        <w:rPr>
          <w:spacing w:val="-11"/>
        </w:rPr>
        <w:t xml:space="preserve"> </w:t>
      </w:r>
      <w:r>
        <w:t>it</w:t>
      </w:r>
      <w:r>
        <w:rPr>
          <w:spacing w:val="-12"/>
        </w:rPr>
        <w:t xml:space="preserve"> </w:t>
      </w:r>
      <w:r>
        <w:t>may</w:t>
      </w:r>
      <w:r>
        <w:rPr>
          <w:spacing w:val="-11"/>
        </w:rPr>
        <w:t xml:space="preserve"> </w:t>
      </w:r>
      <w:r>
        <w:t>also</w:t>
      </w:r>
      <w:r>
        <w:rPr>
          <w:spacing w:val="-11"/>
        </w:rPr>
        <w:t xml:space="preserve"> </w:t>
      </w:r>
      <w:r>
        <w:t>mean</w:t>
      </w:r>
      <w:r>
        <w:rPr>
          <w:spacing w:val="-12"/>
        </w:rPr>
        <w:t xml:space="preserve"> </w:t>
      </w:r>
      <w:r>
        <w:t>seeking</w:t>
      </w:r>
      <w:r>
        <w:rPr>
          <w:spacing w:val="-10"/>
        </w:rPr>
        <w:t xml:space="preserve"> </w:t>
      </w:r>
      <w:r>
        <w:t>it</w:t>
      </w:r>
      <w:r>
        <w:rPr>
          <w:spacing w:val="-12"/>
        </w:rPr>
        <w:t xml:space="preserve"> </w:t>
      </w:r>
      <w:r>
        <w:t>through</w:t>
      </w:r>
      <w:r>
        <w:rPr>
          <w:spacing w:val="-12"/>
        </w:rPr>
        <w:t xml:space="preserve"> </w:t>
      </w:r>
      <w:r>
        <w:t>illegal or other dangerous means. The Identity Threat Model of Stigma explains that high levels of stigma, body shame, and discrimination create a high need for gender affirmation while the same conditions deny access to</w:t>
      </w:r>
      <w:r>
        <w:rPr>
          <w:spacing w:val="-5"/>
        </w:rPr>
        <w:t xml:space="preserve"> </w:t>
      </w:r>
      <w:r>
        <w:t>the</w:t>
      </w:r>
      <w:r>
        <w:rPr>
          <w:spacing w:val="-5"/>
        </w:rPr>
        <w:t xml:space="preserve"> </w:t>
      </w:r>
      <w:r>
        <w:t>very</w:t>
      </w:r>
      <w:r>
        <w:rPr>
          <w:spacing w:val="-4"/>
        </w:rPr>
        <w:t xml:space="preserve"> </w:t>
      </w:r>
      <w:r>
        <w:t>gender</w:t>
      </w:r>
      <w:r>
        <w:rPr>
          <w:spacing w:val="-5"/>
        </w:rPr>
        <w:t xml:space="preserve"> </w:t>
      </w:r>
      <w:r>
        <w:t>affirmation</w:t>
      </w:r>
      <w:r>
        <w:rPr>
          <w:spacing w:val="-7"/>
        </w:rPr>
        <w:t xml:space="preserve"> </w:t>
      </w:r>
      <w:r>
        <w:t>that</w:t>
      </w:r>
      <w:r>
        <w:rPr>
          <w:spacing w:val="-4"/>
        </w:rPr>
        <w:t xml:space="preserve"> </w:t>
      </w:r>
      <w:r>
        <w:t>ca</w:t>
      </w:r>
      <w:r>
        <w:t>n</w:t>
      </w:r>
      <w:r>
        <w:rPr>
          <w:spacing w:val="-6"/>
        </w:rPr>
        <w:t xml:space="preserve"> </w:t>
      </w:r>
      <w:r>
        <w:t>help</w:t>
      </w:r>
      <w:r>
        <w:rPr>
          <w:spacing w:val="-7"/>
        </w:rPr>
        <w:t xml:space="preserve"> </w:t>
      </w:r>
      <w:r>
        <w:t>alleviate</w:t>
      </w:r>
      <w:r>
        <w:rPr>
          <w:spacing w:val="-5"/>
        </w:rPr>
        <w:t xml:space="preserve"> </w:t>
      </w:r>
      <w:r>
        <w:t>it.</w:t>
      </w:r>
      <w:r>
        <w:rPr>
          <w:spacing w:val="-6"/>
        </w:rPr>
        <w:t xml:space="preserve"> </w:t>
      </w:r>
      <w:r>
        <w:t>According</w:t>
      </w:r>
      <w:r>
        <w:rPr>
          <w:spacing w:val="-6"/>
        </w:rPr>
        <w:t xml:space="preserve"> </w:t>
      </w:r>
      <w:r>
        <w:t>to</w:t>
      </w:r>
      <w:r>
        <w:rPr>
          <w:spacing w:val="-5"/>
        </w:rPr>
        <w:t xml:space="preserve"> </w:t>
      </w:r>
      <w:r>
        <w:t>this</w:t>
      </w:r>
      <w:r>
        <w:rPr>
          <w:spacing w:val="-5"/>
        </w:rPr>
        <w:t xml:space="preserve"> </w:t>
      </w:r>
      <w:r>
        <w:t>model,</w:t>
      </w:r>
      <w:r>
        <w:rPr>
          <w:spacing w:val="-3"/>
        </w:rPr>
        <w:t xml:space="preserve"> </w:t>
      </w:r>
      <w:r>
        <w:t>those</w:t>
      </w:r>
      <w:r>
        <w:rPr>
          <w:spacing w:val="-8"/>
        </w:rPr>
        <w:t xml:space="preserve"> </w:t>
      </w:r>
      <w:r>
        <w:t>with</w:t>
      </w:r>
      <w:r>
        <w:rPr>
          <w:spacing w:val="-5"/>
        </w:rPr>
        <w:t xml:space="preserve"> </w:t>
      </w:r>
      <w:r>
        <w:t>the</w:t>
      </w:r>
      <w:r>
        <w:rPr>
          <w:spacing w:val="-8"/>
        </w:rPr>
        <w:t xml:space="preserve"> </w:t>
      </w:r>
      <w:r>
        <w:t>highest</w:t>
      </w:r>
      <w:r>
        <w:rPr>
          <w:spacing w:val="-7"/>
        </w:rPr>
        <w:t xml:space="preserve"> </w:t>
      </w:r>
      <w:r>
        <w:t>need for affirmation but the lowest access to affirming strategies are at a greater danger of engaging in maladaptive/unhealthy behavior in order to fulfill a legitimate need</w:t>
      </w:r>
      <w:hyperlink w:anchor="_bookmark501" w:history="1">
        <w:r>
          <w:t>.</w:t>
        </w:r>
        <w:r>
          <w:rPr>
            <w:vertAlign w:val="superscript"/>
          </w:rPr>
          <w:t>83</w:t>
        </w:r>
      </w:hyperlink>
    </w:p>
    <w:p w:rsidR="00C76E6D" w:rsidRDefault="00C76E6D">
      <w:pPr>
        <w:pStyle w:val="BodyText"/>
        <w:spacing w:before="7"/>
        <w:rPr>
          <w:sz w:val="19"/>
        </w:rPr>
      </w:pPr>
    </w:p>
    <w:p w:rsidR="00C76E6D" w:rsidRDefault="00913831">
      <w:pPr>
        <w:pStyle w:val="BodyText"/>
        <w:spacing w:line="276" w:lineRule="auto"/>
        <w:ind w:left="337" w:right="293"/>
        <w:jc w:val="both"/>
      </w:pPr>
      <w:r>
        <w:t>Transgender and gender-nonconforming identities are not classified as disorders anymore, but the distress associated with identifying as a gender different from the one assigned at birth is diagnosed as gender dysphoria</w:t>
      </w:r>
      <w:hyperlink w:anchor="_bookmark502" w:history="1">
        <w:r>
          <w:t>.</w:t>
        </w:r>
        <w:r>
          <w:rPr>
            <w:vertAlign w:val="superscript"/>
          </w:rPr>
          <w:t>84</w:t>
        </w:r>
        <w:r>
          <w:rPr>
            <w:spacing w:val="-11"/>
          </w:rPr>
          <w:t xml:space="preserve"> </w:t>
        </w:r>
      </w:hyperlink>
      <w:r>
        <w:t>Even</w:t>
      </w:r>
      <w:r>
        <w:rPr>
          <w:spacing w:val="-9"/>
        </w:rPr>
        <w:t xml:space="preserve"> </w:t>
      </w:r>
      <w:r>
        <w:t>if</w:t>
      </w:r>
      <w:r>
        <w:rPr>
          <w:spacing w:val="-9"/>
        </w:rPr>
        <w:t xml:space="preserve"> </w:t>
      </w:r>
      <w:r>
        <w:t>problematic,</w:t>
      </w:r>
      <w:r>
        <w:rPr>
          <w:spacing w:val="-9"/>
        </w:rPr>
        <w:t xml:space="preserve"> </w:t>
      </w:r>
      <w:r>
        <w:t>standards</w:t>
      </w:r>
      <w:r>
        <w:rPr>
          <w:spacing w:val="-10"/>
        </w:rPr>
        <w:t xml:space="preserve"> </w:t>
      </w:r>
      <w:r>
        <w:t>of</w:t>
      </w:r>
      <w:r>
        <w:rPr>
          <w:spacing w:val="-9"/>
        </w:rPr>
        <w:t xml:space="preserve"> </w:t>
      </w:r>
      <w:r>
        <w:t>care</w:t>
      </w:r>
      <w:r>
        <w:rPr>
          <w:spacing w:val="-8"/>
        </w:rPr>
        <w:t xml:space="preserve"> </w:t>
      </w:r>
      <w:r>
        <w:t>(SOC)</w:t>
      </w:r>
      <w:r>
        <w:rPr>
          <w:spacing w:val="-10"/>
        </w:rPr>
        <w:t xml:space="preserve"> </w:t>
      </w:r>
      <w:r>
        <w:t>for</w:t>
      </w:r>
      <w:r>
        <w:rPr>
          <w:spacing w:val="-10"/>
        </w:rPr>
        <w:t xml:space="preserve"> </w:t>
      </w:r>
      <w:r>
        <w:t>transgender</w:t>
      </w:r>
      <w:r>
        <w:rPr>
          <w:spacing w:val="-8"/>
        </w:rPr>
        <w:t xml:space="preserve"> </w:t>
      </w:r>
      <w:r>
        <w:t>people</w:t>
      </w:r>
      <w:r>
        <w:rPr>
          <w:spacing w:val="-9"/>
        </w:rPr>
        <w:t xml:space="preserve"> </w:t>
      </w:r>
      <w:r>
        <w:t>have</w:t>
      </w:r>
      <w:r>
        <w:rPr>
          <w:spacing w:val="-9"/>
        </w:rPr>
        <w:t xml:space="preserve"> </w:t>
      </w:r>
      <w:r>
        <w:t>existed</w:t>
      </w:r>
      <w:r>
        <w:rPr>
          <w:spacing w:val="-10"/>
        </w:rPr>
        <w:t xml:space="preserve"> </w:t>
      </w:r>
      <w:r>
        <w:t>since</w:t>
      </w:r>
      <w:r>
        <w:rPr>
          <w:spacing w:val="-9"/>
        </w:rPr>
        <w:t xml:space="preserve"> </w:t>
      </w:r>
      <w:r>
        <w:t>1978,</w:t>
      </w:r>
      <w:r>
        <w:rPr>
          <w:spacing w:val="-7"/>
        </w:rPr>
        <w:t xml:space="preserve"> </w:t>
      </w:r>
      <w:r>
        <w:t xml:space="preserve">and </w:t>
      </w:r>
      <w:r>
        <w:rPr>
          <w:spacing w:val="-2"/>
        </w:rPr>
        <w:t>the</w:t>
      </w:r>
      <w:r>
        <w:rPr>
          <w:spacing w:val="-3"/>
        </w:rPr>
        <w:t xml:space="preserve"> </w:t>
      </w:r>
      <w:r>
        <w:rPr>
          <w:spacing w:val="-2"/>
        </w:rPr>
        <w:t>World</w:t>
      </w:r>
      <w:r>
        <w:rPr>
          <w:spacing w:val="-3"/>
        </w:rPr>
        <w:t xml:space="preserve"> </w:t>
      </w:r>
      <w:r>
        <w:rPr>
          <w:spacing w:val="-2"/>
        </w:rPr>
        <w:t>Professional</w:t>
      </w:r>
      <w:r>
        <w:rPr>
          <w:spacing w:val="-4"/>
        </w:rPr>
        <w:t xml:space="preserve"> </w:t>
      </w:r>
      <w:r>
        <w:rPr>
          <w:spacing w:val="-2"/>
        </w:rPr>
        <w:t>Association</w:t>
      </w:r>
      <w:r>
        <w:rPr>
          <w:spacing w:val="-3"/>
        </w:rPr>
        <w:t xml:space="preserve"> </w:t>
      </w:r>
      <w:r>
        <w:rPr>
          <w:spacing w:val="-2"/>
        </w:rPr>
        <w:t>for Transgender Health (WPATH)</w:t>
      </w:r>
      <w:r>
        <w:rPr>
          <w:spacing w:val="-4"/>
        </w:rPr>
        <w:t xml:space="preserve"> </w:t>
      </w:r>
      <w:r>
        <w:rPr>
          <w:spacing w:val="-2"/>
        </w:rPr>
        <w:t>has</w:t>
      </w:r>
      <w:r>
        <w:rPr>
          <w:spacing w:val="-4"/>
        </w:rPr>
        <w:t xml:space="preserve"> </w:t>
      </w:r>
      <w:r>
        <w:rPr>
          <w:spacing w:val="-2"/>
        </w:rPr>
        <w:t>updated</w:t>
      </w:r>
      <w:r>
        <w:rPr>
          <w:spacing w:val="-5"/>
        </w:rPr>
        <w:t xml:space="preserve"> </w:t>
      </w:r>
      <w:r>
        <w:rPr>
          <w:spacing w:val="-2"/>
        </w:rPr>
        <w:t>them</w:t>
      </w:r>
      <w:r>
        <w:rPr>
          <w:spacing w:val="-6"/>
        </w:rPr>
        <w:t xml:space="preserve"> </w:t>
      </w:r>
      <w:r>
        <w:rPr>
          <w:spacing w:val="-2"/>
        </w:rPr>
        <w:t>seven</w:t>
      </w:r>
      <w:r>
        <w:rPr>
          <w:spacing w:val="-6"/>
        </w:rPr>
        <w:t xml:space="preserve"> </w:t>
      </w:r>
      <w:r>
        <w:rPr>
          <w:spacing w:val="-2"/>
        </w:rPr>
        <w:t>times</w:t>
      </w:r>
      <w:r>
        <w:rPr>
          <w:spacing w:val="-5"/>
        </w:rPr>
        <w:t xml:space="preserve"> </w:t>
      </w:r>
      <w:r>
        <w:rPr>
          <w:spacing w:val="-2"/>
        </w:rPr>
        <w:t>since</w:t>
      </w:r>
      <w:r>
        <w:rPr>
          <w:spacing w:val="-6"/>
        </w:rPr>
        <w:t xml:space="preserve"> </w:t>
      </w:r>
      <w:r>
        <w:rPr>
          <w:spacing w:val="-2"/>
        </w:rPr>
        <w:t xml:space="preserve">their </w:t>
      </w:r>
      <w:r>
        <w:t>establishment</w:t>
      </w:r>
      <w:hyperlink w:anchor="_bookmark503" w:history="1">
        <w:r>
          <w:t>.</w:t>
        </w:r>
        <w:r>
          <w:rPr>
            <w:vertAlign w:val="superscript"/>
          </w:rPr>
          <w:t>85</w:t>
        </w:r>
        <w:r>
          <w:t xml:space="preserve"> </w:t>
        </w:r>
      </w:hyperlink>
      <w:r>
        <w:t>Most professional medical associations have published statements affirming the necessity of</w:t>
      </w:r>
      <w:r>
        <w:rPr>
          <w:spacing w:val="-12"/>
        </w:rPr>
        <w:t xml:space="preserve"> </w:t>
      </w:r>
      <w:r>
        <w:t>medical</w:t>
      </w:r>
      <w:r>
        <w:rPr>
          <w:spacing w:val="-11"/>
        </w:rPr>
        <w:t xml:space="preserve"> </w:t>
      </w:r>
      <w:r>
        <w:t>treatment</w:t>
      </w:r>
      <w:r>
        <w:rPr>
          <w:spacing w:val="-13"/>
        </w:rPr>
        <w:t xml:space="preserve"> </w:t>
      </w:r>
      <w:r>
        <w:t>for</w:t>
      </w:r>
      <w:r>
        <w:rPr>
          <w:spacing w:val="-11"/>
        </w:rPr>
        <w:t xml:space="preserve"> </w:t>
      </w:r>
      <w:r>
        <w:t>gender</w:t>
      </w:r>
      <w:r>
        <w:rPr>
          <w:spacing w:val="-12"/>
        </w:rPr>
        <w:t xml:space="preserve"> </w:t>
      </w:r>
      <w:r>
        <w:t>dysphoria,</w:t>
      </w:r>
      <w:r>
        <w:rPr>
          <w:spacing w:val="-11"/>
        </w:rPr>
        <w:t xml:space="preserve"> </w:t>
      </w:r>
      <w:r>
        <w:t>including</w:t>
      </w:r>
      <w:r>
        <w:rPr>
          <w:spacing w:val="-11"/>
        </w:rPr>
        <w:t xml:space="preserve"> </w:t>
      </w:r>
      <w:r>
        <w:t>the</w:t>
      </w:r>
      <w:r>
        <w:rPr>
          <w:spacing w:val="-13"/>
        </w:rPr>
        <w:t xml:space="preserve"> </w:t>
      </w:r>
      <w:r>
        <w:t>American</w:t>
      </w:r>
      <w:r>
        <w:rPr>
          <w:spacing w:val="-9"/>
        </w:rPr>
        <w:t xml:space="preserve"> </w:t>
      </w:r>
      <w:r>
        <w:t>Medical</w:t>
      </w:r>
      <w:r>
        <w:rPr>
          <w:spacing w:val="-11"/>
        </w:rPr>
        <w:t xml:space="preserve"> </w:t>
      </w:r>
      <w:r>
        <w:t>Association,</w:t>
      </w:r>
      <w:r>
        <w:rPr>
          <w:spacing w:val="-11"/>
        </w:rPr>
        <w:t xml:space="preserve"> </w:t>
      </w:r>
      <w:r>
        <w:t>American</w:t>
      </w:r>
      <w:r>
        <w:rPr>
          <w:spacing w:val="-11"/>
        </w:rPr>
        <w:t xml:space="preserve"> </w:t>
      </w:r>
      <w:r>
        <w:t xml:space="preserve">Psychiatric </w:t>
      </w:r>
      <w:r>
        <w:rPr>
          <w:spacing w:val="-2"/>
        </w:rPr>
        <w:t>Association, and the Amer</w:t>
      </w:r>
      <w:r>
        <w:rPr>
          <w:spacing w:val="-2"/>
        </w:rPr>
        <w:t>ican</w:t>
      </w:r>
      <w:r>
        <w:rPr>
          <w:spacing w:val="-3"/>
        </w:rPr>
        <w:t xml:space="preserve"> </w:t>
      </w:r>
      <w:r>
        <w:rPr>
          <w:spacing w:val="-2"/>
        </w:rPr>
        <w:t>Public Health Association</w:t>
      </w:r>
      <w:hyperlink w:anchor="_bookmark504" w:history="1">
        <w:r>
          <w:rPr>
            <w:spacing w:val="-2"/>
          </w:rPr>
          <w:t>.</w:t>
        </w:r>
        <w:r>
          <w:rPr>
            <w:spacing w:val="-2"/>
            <w:vertAlign w:val="superscript"/>
          </w:rPr>
          <w:t>86</w:t>
        </w:r>
        <w:r>
          <w:rPr>
            <w:spacing w:val="-2"/>
          </w:rPr>
          <w:t xml:space="preserve"> </w:t>
        </w:r>
      </w:hyperlink>
      <w:r>
        <w:rPr>
          <w:spacing w:val="-2"/>
        </w:rPr>
        <w:t xml:space="preserve">Finally, the Joint Commission changed its standards </w:t>
      </w:r>
      <w:r>
        <w:t>in 2011 to "to require hospitals to adopt policies prohibiting discrimination based on gender identity or expression."</w:t>
      </w:r>
      <w:hyperlink w:anchor="_bookmark505" w:history="1">
        <w:r>
          <w:rPr>
            <w:vertAlign w:val="superscript"/>
          </w:rPr>
          <w:t>87</w:t>
        </w:r>
        <w:r>
          <w:t xml:space="preserve"> </w:t>
        </w:r>
      </w:hyperlink>
      <w:r>
        <w:t>Furthermore, the APA has recognized WPATH guidelines recognizing hormone therapy and gender-affirming</w:t>
      </w:r>
      <w:r>
        <w:rPr>
          <w:spacing w:val="-13"/>
        </w:rPr>
        <w:t xml:space="preserve"> </w:t>
      </w:r>
      <w:r>
        <w:t>surgery</w:t>
      </w:r>
      <w:r>
        <w:rPr>
          <w:spacing w:val="-12"/>
        </w:rPr>
        <w:t xml:space="preserve"> </w:t>
      </w:r>
      <w:r>
        <w:t>(previously</w:t>
      </w:r>
      <w:r>
        <w:rPr>
          <w:spacing w:val="-13"/>
        </w:rPr>
        <w:t xml:space="preserve"> </w:t>
      </w:r>
      <w:r>
        <w:t>referred</w:t>
      </w:r>
      <w:r>
        <w:rPr>
          <w:spacing w:val="-12"/>
        </w:rPr>
        <w:t xml:space="preserve"> </w:t>
      </w:r>
      <w:r>
        <w:t>to</w:t>
      </w:r>
      <w:r>
        <w:rPr>
          <w:spacing w:val="-13"/>
        </w:rPr>
        <w:t xml:space="preserve"> </w:t>
      </w:r>
      <w:r>
        <w:t>as</w:t>
      </w:r>
      <w:r>
        <w:rPr>
          <w:spacing w:val="-12"/>
        </w:rPr>
        <w:t xml:space="preserve"> </w:t>
      </w:r>
      <w:r>
        <w:t>sex</w:t>
      </w:r>
      <w:r>
        <w:rPr>
          <w:spacing w:val="-13"/>
        </w:rPr>
        <w:t xml:space="preserve"> </w:t>
      </w:r>
      <w:r>
        <w:t>reassignment</w:t>
      </w:r>
      <w:r>
        <w:rPr>
          <w:spacing w:val="-12"/>
        </w:rPr>
        <w:t xml:space="preserve"> </w:t>
      </w:r>
      <w:r>
        <w:t>surgery)</w:t>
      </w:r>
      <w:r>
        <w:rPr>
          <w:spacing w:val="-12"/>
        </w:rPr>
        <w:t xml:space="preserve"> </w:t>
      </w:r>
      <w:r>
        <w:t>as</w:t>
      </w:r>
      <w:r>
        <w:rPr>
          <w:spacing w:val="-13"/>
        </w:rPr>
        <w:t xml:space="preserve"> </w:t>
      </w:r>
      <w:r>
        <w:t>medically</w:t>
      </w:r>
      <w:r>
        <w:rPr>
          <w:spacing w:val="-12"/>
        </w:rPr>
        <w:t xml:space="preserve"> </w:t>
      </w:r>
      <w:r>
        <w:t>necessary</w:t>
      </w:r>
      <w:r>
        <w:rPr>
          <w:spacing w:val="-13"/>
        </w:rPr>
        <w:t xml:space="preserve"> </w:t>
      </w:r>
      <w:r>
        <w:t>and</w:t>
      </w:r>
      <w:r>
        <w:rPr>
          <w:spacing w:val="-12"/>
        </w:rPr>
        <w:t xml:space="preserve"> </w:t>
      </w:r>
      <w:r>
        <w:t xml:space="preserve">non- </w:t>
      </w:r>
      <w:r>
        <w:rPr>
          <w:spacing w:val="-2"/>
        </w:rPr>
        <w:t>experimental</w:t>
      </w:r>
      <w:hyperlink w:anchor="_bookmark506" w:history="1">
        <w:r>
          <w:rPr>
            <w:spacing w:val="-2"/>
          </w:rPr>
          <w:t>.</w:t>
        </w:r>
        <w:r>
          <w:rPr>
            <w:spacing w:val="-2"/>
            <w:vertAlign w:val="superscript"/>
          </w:rPr>
          <w:t>88</w:t>
        </w:r>
      </w:hyperlink>
    </w:p>
    <w:p w:rsidR="00C76E6D" w:rsidRDefault="00C76E6D">
      <w:pPr>
        <w:pStyle w:val="BodyText"/>
        <w:spacing w:before="8"/>
        <w:rPr>
          <w:sz w:val="19"/>
        </w:rPr>
      </w:pPr>
    </w:p>
    <w:p w:rsidR="00C76E6D" w:rsidRDefault="00913831">
      <w:pPr>
        <w:pStyle w:val="BodyText"/>
        <w:spacing w:line="276" w:lineRule="auto"/>
        <w:ind w:left="338" w:right="294"/>
        <w:jc w:val="both"/>
      </w:pPr>
      <w:r>
        <w:t>It</w:t>
      </w:r>
      <w:r>
        <w:rPr>
          <w:spacing w:val="-1"/>
        </w:rPr>
        <w:t xml:space="preserve"> </w:t>
      </w:r>
      <w:r>
        <w:t>is also essential to recognize the importance of Section 1557 of the ACA in protecting transgender people. A paper produced by the Fenway Institute asserts that because of the "Section 1557 rule, insurance plans across</w:t>
      </w:r>
      <w:r>
        <w:rPr>
          <w:spacing w:val="-1"/>
        </w:rPr>
        <w:t xml:space="preserve"> </w:t>
      </w:r>
      <w:r>
        <w:t>the country m</w:t>
      </w:r>
      <w:r>
        <w:t>ay not</w:t>
      </w:r>
      <w:r>
        <w:rPr>
          <w:spacing w:val="-2"/>
        </w:rPr>
        <w:t xml:space="preserve"> </w:t>
      </w:r>
      <w:r>
        <w:t>deny access</w:t>
      </w:r>
      <w:r>
        <w:rPr>
          <w:spacing w:val="-1"/>
        </w:rPr>
        <w:t xml:space="preserve"> </w:t>
      </w:r>
      <w:r>
        <w:t>to medically necessary</w:t>
      </w:r>
      <w:r>
        <w:rPr>
          <w:spacing w:val="-1"/>
        </w:rPr>
        <w:t xml:space="preserve"> </w:t>
      </w:r>
      <w:r>
        <w:t>medications,</w:t>
      </w:r>
      <w:r>
        <w:rPr>
          <w:spacing w:val="-1"/>
        </w:rPr>
        <w:t xml:space="preserve"> </w:t>
      </w:r>
      <w:r>
        <w:t>surgeries,</w:t>
      </w:r>
      <w:r>
        <w:rPr>
          <w:spacing w:val="-1"/>
        </w:rPr>
        <w:t xml:space="preserve"> </w:t>
      </w:r>
      <w:r>
        <w:t>and other transition- related treatments for transgender people if similar services—a hysterectomy, for example—would be covered</w:t>
      </w:r>
      <w:r>
        <w:rPr>
          <w:spacing w:val="-5"/>
        </w:rPr>
        <w:t xml:space="preserve"> </w:t>
      </w:r>
      <w:r>
        <w:t>for</w:t>
      </w:r>
      <w:r>
        <w:rPr>
          <w:spacing w:val="-5"/>
        </w:rPr>
        <w:t xml:space="preserve"> </w:t>
      </w:r>
      <w:r>
        <w:t>cisgender</w:t>
      </w:r>
      <w:r>
        <w:rPr>
          <w:spacing w:val="-5"/>
        </w:rPr>
        <w:t xml:space="preserve"> </w:t>
      </w:r>
      <w:r>
        <w:t>people.</w:t>
      </w:r>
      <w:r>
        <w:rPr>
          <w:spacing w:val="-1"/>
        </w:rPr>
        <w:t xml:space="preserve"> </w:t>
      </w:r>
      <w:r>
        <w:t>This</w:t>
      </w:r>
      <w:r>
        <w:rPr>
          <w:spacing w:val="-3"/>
        </w:rPr>
        <w:t xml:space="preserve"> </w:t>
      </w:r>
      <w:r>
        <w:t>federal</w:t>
      </w:r>
      <w:r>
        <w:rPr>
          <w:spacing w:val="-3"/>
        </w:rPr>
        <w:t xml:space="preserve"> </w:t>
      </w:r>
      <w:r>
        <w:t>regulation rule</w:t>
      </w:r>
      <w:r>
        <w:rPr>
          <w:spacing w:val="-3"/>
        </w:rPr>
        <w:t xml:space="preserve"> </w:t>
      </w:r>
      <w:r>
        <w:t>is</w:t>
      </w:r>
      <w:r>
        <w:rPr>
          <w:spacing w:val="-1"/>
        </w:rPr>
        <w:t xml:space="preserve"> </w:t>
      </w:r>
      <w:r>
        <w:t>designe</w:t>
      </w:r>
      <w:r>
        <w:t>d</w:t>
      </w:r>
      <w:r>
        <w:rPr>
          <w:spacing w:val="-2"/>
        </w:rPr>
        <w:t xml:space="preserve"> </w:t>
      </w:r>
      <w:r>
        <w:t>to</w:t>
      </w:r>
      <w:r>
        <w:rPr>
          <w:spacing w:val="-4"/>
        </w:rPr>
        <w:t xml:space="preserve"> </w:t>
      </w:r>
      <w:r>
        <w:t>promote</w:t>
      </w:r>
      <w:r>
        <w:rPr>
          <w:spacing w:val="-3"/>
        </w:rPr>
        <w:t xml:space="preserve"> </w:t>
      </w:r>
      <w:r>
        <w:t>civil</w:t>
      </w:r>
      <w:r>
        <w:rPr>
          <w:spacing w:val="-3"/>
        </w:rPr>
        <w:t xml:space="preserve"> </w:t>
      </w:r>
      <w:r>
        <w:t>rights</w:t>
      </w:r>
      <w:r>
        <w:rPr>
          <w:spacing w:val="-3"/>
        </w:rPr>
        <w:t xml:space="preserve"> </w:t>
      </w:r>
      <w:r>
        <w:t>and</w:t>
      </w:r>
      <w:r>
        <w:rPr>
          <w:spacing w:val="-2"/>
        </w:rPr>
        <w:t xml:space="preserve"> </w:t>
      </w:r>
      <w:r>
        <w:t>can</w:t>
      </w:r>
      <w:r>
        <w:rPr>
          <w:spacing w:val="-2"/>
        </w:rPr>
        <w:t xml:space="preserve"> </w:t>
      </w:r>
      <w:r>
        <w:t>be</w:t>
      </w:r>
      <w:r>
        <w:rPr>
          <w:spacing w:val="-2"/>
        </w:rPr>
        <w:t xml:space="preserve"> </w:t>
      </w:r>
      <w:r>
        <w:t>used as</w:t>
      </w:r>
      <w:r>
        <w:rPr>
          <w:spacing w:val="-4"/>
        </w:rPr>
        <w:t xml:space="preserve"> </w:t>
      </w:r>
      <w:r>
        <w:t>a</w:t>
      </w:r>
      <w:r>
        <w:rPr>
          <w:spacing w:val="-3"/>
        </w:rPr>
        <w:t xml:space="preserve"> </w:t>
      </w:r>
      <w:r>
        <w:t>legal</w:t>
      </w:r>
      <w:r>
        <w:rPr>
          <w:spacing w:val="-1"/>
        </w:rPr>
        <w:t xml:space="preserve"> </w:t>
      </w:r>
      <w:r>
        <w:t>resource when protecting the right of transgender people to receive care."</w:t>
      </w:r>
      <w:hyperlink w:anchor="_bookmark507" w:history="1">
        <w:r>
          <w:rPr>
            <w:vertAlign w:val="superscript"/>
          </w:rPr>
          <w:t>89</w:t>
        </w:r>
        <w:r>
          <w:rPr>
            <w:spacing w:val="-4"/>
          </w:rPr>
          <w:t xml:space="preserve"> </w:t>
        </w:r>
      </w:hyperlink>
      <w:r>
        <w:t>This interpretation of Section 1557 of the ACA was reversed during the Trump administration and reinstated on May 20, 2021 during the Biden administration</w:t>
      </w:r>
      <w:hyperlink w:anchor="_bookmark508" w:history="1">
        <w:r>
          <w:t>.</w:t>
        </w:r>
        <w:r>
          <w:rPr>
            <w:vertAlign w:val="superscript"/>
          </w:rPr>
          <w:t>90</w:t>
        </w:r>
      </w:hyperlink>
    </w:p>
    <w:p w:rsidR="00C76E6D" w:rsidRDefault="00C76E6D">
      <w:pPr>
        <w:pStyle w:val="BodyText"/>
        <w:spacing w:before="9"/>
        <w:rPr>
          <w:sz w:val="19"/>
        </w:rPr>
      </w:pPr>
    </w:p>
    <w:p w:rsidR="00C76E6D" w:rsidRDefault="00913831">
      <w:pPr>
        <w:pStyle w:val="BodyText"/>
        <w:spacing w:line="276" w:lineRule="auto"/>
        <w:ind w:left="338" w:right="297"/>
        <w:jc w:val="both"/>
      </w:pPr>
      <w:r>
        <w:t>Current standards of care may vary on the institution providing care, with some adhering to the WPATH standards of care, which require the diagnosis of gender dysphoria. A relatively new model of gender affirming care relies on an Informed Consent Model, w</w:t>
      </w:r>
      <w:r>
        <w:t>hich provides gender- affirming care in a context outside of medical pathologizing.</w:t>
      </w:r>
      <w:hyperlink w:anchor="_bookmark509" w:history="1">
        <w:r>
          <w:rPr>
            <w:vertAlign w:val="superscript"/>
          </w:rPr>
          <w:t>91</w:t>
        </w:r>
      </w:hyperlink>
    </w:p>
    <w:p w:rsidR="00C76E6D" w:rsidRDefault="00C76E6D">
      <w:pPr>
        <w:pStyle w:val="BodyText"/>
        <w:spacing w:before="8"/>
        <w:rPr>
          <w:sz w:val="19"/>
        </w:rPr>
      </w:pPr>
    </w:p>
    <w:p w:rsidR="00C76E6D" w:rsidRDefault="00913831">
      <w:pPr>
        <w:pStyle w:val="BodyText"/>
        <w:spacing w:line="276" w:lineRule="auto"/>
        <w:ind w:left="338" w:right="296"/>
        <w:jc w:val="both"/>
      </w:pPr>
      <w:r>
        <w:t>This report on the health of LGBTQ youth paints a painful reality of discrimination, lack of access, and other hardships.</w:t>
      </w:r>
      <w:r>
        <w:rPr>
          <w:spacing w:val="-13"/>
        </w:rPr>
        <w:t xml:space="preserve"> </w:t>
      </w:r>
      <w:r>
        <w:t>Clearly,</w:t>
      </w:r>
      <w:r>
        <w:rPr>
          <w:spacing w:val="-12"/>
        </w:rPr>
        <w:t xml:space="preserve"> </w:t>
      </w:r>
      <w:r>
        <w:t>there</w:t>
      </w:r>
      <w:r>
        <w:rPr>
          <w:spacing w:val="-13"/>
        </w:rPr>
        <w:t xml:space="preserve"> </w:t>
      </w:r>
      <w:r>
        <w:t>is</w:t>
      </w:r>
      <w:r>
        <w:rPr>
          <w:spacing w:val="-12"/>
        </w:rPr>
        <w:t xml:space="preserve"> </w:t>
      </w:r>
      <w:r>
        <w:t>still</w:t>
      </w:r>
      <w:r>
        <w:rPr>
          <w:spacing w:val="-12"/>
        </w:rPr>
        <w:t xml:space="preserve"> </w:t>
      </w:r>
      <w:r>
        <w:t>much</w:t>
      </w:r>
      <w:r>
        <w:rPr>
          <w:spacing w:val="-10"/>
        </w:rPr>
        <w:t xml:space="preserve"> </w:t>
      </w:r>
      <w:r>
        <w:t>to</w:t>
      </w:r>
      <w:r>
        <w:rPr>
          <w:spacing w:val="-10"/>
        </w:rPr>
        <w:t xml:space="preserve"> </w:t>
      </w:r>
      <w:r>
        <w:t>be</w:t>
      </w:r>
      <w:r>
        <w:rPr>
          <w:spacing w:val="-11"/>
        </w:rPr>
        <w:t xml:space="preserve"> </w:t>
      </w:r>
      <w:r>
        <w:t>researched</w:t>
      </w:r>
      <w:r>
        <w:rPr>
          <w:spacing w:val="-13"/>
        </w:rPr>
        <w:t xml:space="preserve"> </w:t>
      </w:r>
      <w:r>
        <w:t>and</w:t>
      </w:r>
      <w:r>
        <w:rPr>
          <w:spacing w:val="-12"/>
        </w:rPr>
        <w:t xml:space="preserve"> </w:t>
      </w:r>
      <w:r>
        <w:t>known</w:t>
      </w:r>
      <w:r>
        <w:rPr>
          <w:spacing w:val="-12"/>
        </w:rPr>
        <w:t xml:space="preserve"> </w:t>
      </w:r>
      <w:r>
        <w:t>about</w:t>
      </w:r>
      <w:r>
        <w:rPr>
          <w:spacing w:val="-13"/>
        </w:rPr>
        <w:t xml:space="preserve"> </w:t>
      </w:r>
      <w:r>
        <w:t>the</w:t>
      </w:r>
      <w:r>
        <w:rPr>
          <w:spacing w:val="-12"/>
        </w:rPr>
        <w:t xml:space="preserve"> </w:t>
      </w:r>
      <w:r>
        <w:t>health</w:t>
      </w:r>
      <w:r>
        <w:rPr>
          <w:spacing w:val="-13"/>
        </w:rPr>
        <w:t xml:space="preserve"> </w:t>
      </w:r>
      <w:r>
        <w:t>of</w:t>
      </w:r>
      <w:r>
        <w:rPr>
          <w:spacing w:val="-12"/>
        </w:rPr>
        <w:t xml:space="preserve"> </w:t>
      </w:r>
      <w:r>
        <w:t>LGBTQ</w:t>
      </w:r>
      <w:r>
        <w:rPr>
          <w:spacing w:val="-13"/>
        </w:rPr>
        <w:t xml:space="preserve"> </w:t>
      </w:r>
      <w:r>
        <w:t>youth,</w:t>
      </w:r>
      <w:r>
        <w:rPr>
          <w:spacing w:val="-11"/>
        </w:rPr>
        <w:t xml:space="preserve"> </w:t>
      </w:r>
      <w:r>
        <w:t>especially at the intersections of identity/exposures. It also highlights that improvements in health require access to affirming care and addressing social determinants of health. W</w:t>
      </w:r>
      <w:r>
        <w:t>e hope that some of the models of care presented in this document can help providers reach out and cultivate practices that affirm LGBTQ youth; that</w:t>
      </w:r>
      <w:r>
        <w:rPr>
          <w:spacing w:val="77"/>
        </w:rPr>
        <w:t xml:space="preserve"> </w:t>
      </w:r>
      <w:r>
        <w:t>schools</w:t>
      </w:r>
      <w:r>
        <w:rPr>
          <w:spacing w:val="79"/>
        </w:rPr>
        <w:t xml:space="preserve"> </w:t>
      </w:r>
      <w:r>
        <w:t>provide</w:t>
      </w:r>
      <w:r>
        <w:rPr>
          <w:spacing w:val="79"/>
        </w:rPr>
        <w:t xml:space="preserve"> </w:t>
      </w:r>
      <w:r>
        <w:t>comprehensive</w:t>
      </w:r>
      <w:r>
        <w:rPr>
          <w:spacing w:val="80"/>
        </w:rPr>
        <w:t xml:space="preserve"> </w:t>
      </w:r>
      <w:r>
        <w:t>sexual</w:t>
      </w:r>
      <w:r>
        <w:rPr>
          <w:spacing w:val="77"/>
        </w:rPr>
        <w:t xml:space="preserve"> </w:t>
      </w:r>
      <w:r>
        <w:t>education</w:t>
      </w:r>
      <w:r>
        <w:rPr>
          <w:spacing w:val="79"/>
        </w:rPr>
        <w:t xml:space="preserve"> </w:t>
      </w:r>
      <w:r>
        <w:t>curriculums;</w:t>
      </w:r>
      <w:r>
        <w:rPr>
          <w:spacing w:val="77"/>
        </w:rPr>
        <w:t xml:space="preserve"> </w:t>
      </w:r>
      <w:r>
        <w:t>and</w:t>
      </w:r>
      <w:r>
        <w:rPr>
          <w:spacing w:val="80"/>
        </w:rPr>
        <w:t xml:space="preserve"> </w:t>
      </w:r>
      <w:r>
        <w:t>that</w:t>
      </w:r>
      <w:r>
        <w:rPr>
          <w:spacing w:val="79"/>
        </w:rPr>
        <w:t xml:space="preserve"> </w:t>
      </w:r>
      <w:r>
        <w:t>the</w:t>
      </w:r>
      <w:r>
        <w:rPr>
          <w:spacing w:val="80"/>
        </w:rPr>
        <w:t xml:space="preserve"> </w:t>
      </w:r>
      <w:r>
        <w:t>importance</w:t>
      </w:r>
      <w:r>
        <w:rPr>
          <w:spacing w:val="79"/>
        </w:rPr>
        <w:t xml:space="preserve"> </w:t>
      </w:r>
      <w:r>
        <w:t>of</w:t>
      </w:r>
      <w:r>
        <w:rPr>
          <w:spacing w:val="80"/>
        </w:rPr>
        <w:t xml:space="preserve"> </w:t>
      </w:r>
      <w:r>
        <w:t>an</w:t>
      </w:r>
    </w:p>
    <w:p w:rsidR="00C76E6D" w:rsidRDefault="00C76E6D">
      <w:pPr>
        <w:spacing w:line="276" w:lineRule="auto"/>
        <w:jc w:val="both"/>
        <w:sectPr w:rsidR="00C76E6D">
          <w:pgSz w:w="12240" w:h="15840"/>
          <w:pgMar w:top="1000" w:right="960" w:bottom="640" w:left="960" w:header="802" w:footer="440" w:gutter="0"/>
          <w:cols w:space="720"/>
        </w:sectPr>
      </w:pPr>
    </w:p>
    <w:p w:rsidR="00C76E6D" w:rsidRDefault="00C76E6D">
      <w:pPr>
        <w:pStyle w:val="BodyText"/>
        <w:spacing w:before="6"/>
        <w:rPr>
          <w:sz w:val="21"/>
        </w:rPr>
      </w:pPr>
    </w:p>
    <w:p w:rsidR="00C76E6D" w:rsidRDefault="00913831">
      <w:pPr>
        <w:pStyle w:val="BodyText"/>
        <w:spacing w:before="55" w:line="276" w:lineRule="auto"/>
        <w:ind w:left="338"/>
      </w:pPr>
      <w:r>
        <w:t>intersectional</w:t>
      </w:r>
      <w:r>
        <w:rPr>
          <w:spacing w:val="-3"/>
        </w:rPr>
        <w:t xml:space="preserve"> </w:t>
      </w:r>
      <w:r>
        <w:t>and</w:t>
      </w:r>
      <w:r>
        <w:rPr>
          <w:spacing w:val="-3"/>
        </w:rPr>
        <w:t xml:space="preserve"> </w:t>
      </w:r>
      <w:r>
        <w:t>eco-social</w:t>
      </w:r>
      <w:r>
        <w:rPr>
          <w:spacing w:val="-4"/>
        </w:rPr>
        <w:t xml:space="preserve"> </w:t>
      </w:r>
      <w:r>
        <w:t>approach</w:t>
      </w:r>
      <w:r>
        <w:rPr>
          <w:spacing w:val="-3"/>
        </w:rPr>
        <w:t xml:space="preserve"> </w:t>
      </w:r>
      <w:r>
        <w:t>is</w:t>
      </w:r>
      <w:r>
        <w:rPr>
          <w:spacing w:val="-4"/>
        </w:rPr>
        <w:t xml:space="preserve"> </w:t>
      </w:r>
      <w:r>
        <w:t>reflected</w:t>
      </w:r>
      <w:r>
        <w:rPr>
          <w:spacing w:val="-4"/>
        </w:rPr>
        <w:t xml:space="preserve"> </w:t>
      </w:r>
      <w:r>
        <w:t>in</w:t>
      </w:r>
      <w:r>
        <w:rPr>
          <w:spacing w:val="-3"/>
        </w:rPr>
        <w:t xml:space="preserve"> </w:t>
      </w:r>
      <w:r>
        <w:t>healthcare</w:t>
      </w:r>
      <w:r>
        <w:rPr>
          <w:spacing w:val="-4"/>
        </w:rPr>
        <w:t xml:space="preserve"> </w:t>
      </w:r>
      <w:r>
        <w:t>while</w:t>
      </w:r>
      <w:r>
        <w:rPr>
          <w:spacing w:val="-3"/>
        </w:rPr>
        <w:t xml:space="preserve"> </w:t>
      </w:r>
      <w:r>
        <w:t>treating</w:t>
      </w:r>
      <w:r>
        <w:rPr>
          <w:spacing w:val="-4"/>
        </w:rPr>
        <w:t xml:space="preserve"> </w:t>
      </w:r>
      <w:r>
        <w:t>these</w:t>
      </w:r>
      <w:r>
        <w:rPr>
          <w:spacing w:val="-4"/>
        </w:rPr>
        <w:t xml:space="preserve"> </w:t>
      </w:r>
      <w:r>
        <w:t>precious</w:t>
      </w:r>
      <w:r>
        <w:rPr>
          <w:spacing w:val="-4"/>
        </w:rPr>
        <w:t xml:space="preserve"> </w:t>
      </w:r>
      <w:r>
        <w:t>communities within our society.</w:t>
      </w: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913831">
      <w:pPr>
        <w:pStyle w:val="BodyText"/>
        <w:spacing w:before="10"/>
        <w:rPr>
          <w:sz w:val="12"/>
        </w:rPr>
      </w:pPr>
      <w:r>
        <w:pict>
          <v:shape id="docshape300" o:spid="_x0000_s1139" style="position:absolute;margin-left:70.6pt;margin-top:9.05pt;width:470.95pt;height:.1pt;z-index:-15674368;mso-wrap-distance-left:0;mso-wrap-distance-right:0;mso-position-horizontal-relative:page" coordorigin="1412,181" coordsize="9419,0" path="m1412,181r9419,e" filled="f" strokeweight="1.54pt">
            <v:path arrowok="t"/>
            <w10:wrap type="topAndBottom" anchorx="page"/>
          </v:shape>
        </w:pict>
      </w:r>
    </w:p>
    <w:p w:rsidR="00C76E6D" w:rsidRDefault="00C76E6D">
      <w:pPr>
        <w:pStyle w:val="BodyText"/>
        <w:spacing w:before="4"/>
        <w:rPr>
          <w:sz w:val="20"/>
        </w:rPr>
      </w:pPr>
    </w:p>
    <w:p w:rsidR="00C76E6D" w:rsidRDefault="00913831">
      <w:pPr>
        <w:pStyle w:val="Heading4"/>
        <w:ind w:left="3688" w:right="3650"/>
      </w:pPr>
      <w:r>
        <w:rPr>
          <w:spacing w:val="-2"/>
        </w:rPr>
        <w:t>ENDNOTES</w:t>
      </w:r>
    </w:p>
    <w:p w:rsidR="00C76E6D" w:rsidRDefault="00C76E6D">
      <w:pPr>
        <w:pStyle w:val="BodyText"/>
        <w:rPr>
          <w:b/>
          <w:sz w:val="20"/>
        </w:rPr>
      </w:pPr>
    </w:p>
    <w:p w:rsidR="00C76E6D" w:rsidRDefault="00913831">
      <w:pPr>
        <w:pStyle w:val="BodyText"/>
        <w:spacing w:before="1"/>
        <w:rPr>
          <w:b/>
          <w:sz w:val="12"/>
        </w:rPr>
      </w:pPr>
      <w:r>
        <w:pict>
          <v:shape id="docshape301" o:spid="_x0000_s1138" style="position:absolute;margin-left:70.6pt;margin-top:8.6pt;width:470.95pt;height:.1pt;z-index:-15673856;mso-wrap-distance-left:0;mso-wrap-distance-right:0;mso-position-horizontal-relative:page" coordorigin="1412,172" coordsize="9419,0" path="m1412,172r9419,e" filled="f" strokeweight="1.54pt">
            <v:path arrowok="t"/>
            <w10:wrap type="topAndBottom" anchorx="page"/>
          </v:shape>
        </w:pict>
      </w:r>
    </w:p>
    <w:p w:rsidR="00C76E6D" w:rsidRDefault="00C76E6D">
      <w:pPr>
        <w:pStyle w:val="BodyText"/>
        <w:rPr>
          <w:b/>
          <w:sz w:val="26"/>
        </w:rPr>
      </w:pPr>
    </w:p>
    <w:p w:rsidR="00C76E6D" w:rsidRDefault="00913831">
      <w:pPr>
        <w:spacing w:line="276" w:lineRule="auto"/>
        <w:ind w:left="337"/>
        <w:rPr>
          <w:i/>
        </w:rPr>
      </w:pPr>
      <w:r>
        <w:rPr>
          <w:i/>
        </w:rPr>
        <w:t>Acknowledgments:</w:t>
      </w:r>
      <w:r>
        <w:rPr>
          <w:i/>
          <w:spacing w:val="40"/>
        </w:rPr>
        <w:t xml:space="preserve"> </w:t>
      </w:r>
      <w:r>
        <w:rPr>
          <w:i/>
        </w:rPr>
        <w:t>Damian</w:t>
      </w:r>
      <w:r>
        <w:rPr>
          <w:i/>
          <w:spacing w:val="40"/>
        </w:rPr>
        <w:t xml:space="preserve"> </w:t>
      </w:r>
      <w:r>
        <w:rPr>
          <w:i/>
        </w:rPr>
        <w:t>Lima,</w:t>
      </w:r>
      <w:r>
        <w:rPr>
          <w:i/>
          <w:spacing w:val="40"/>
        </w:rPr>
        <w:t xml:space="preserve"> </w:t>
      </w:r>
      <w:r>
        <w:rPr>
          <w:i/>
        </w:rPr>
        <w:t>lead</w:t>
      </w:r>
      <w:r>
        <w:rPr>
          <w:i/>
          <w:spacing w:val="40"/>
        </w:rPr>
        <w:t xml:space="preserve"> </w:t>
      </w:r>
      <w:r>
        <w:rPr>
          <w:i/>
        </w:rPr>
        <w:t>researcher</w:t>
      </w:r>
      <w:r>
        <w:rPr>
          <w:i/>
          <w:spacing w:val="40"/>
        </w:rPr>
        <w:t xml:space="preserve"> </w:t>
      </w:r>
      <w:r>
        <w:rPr>
          <w:i/>
        </w:rPr>
        <w:t>and</w:t>
      </w:r>
      <w:r>
        <w:rPr>
          <w:i/>
          <w:spacing w:val="40"/>
        </w:rPr>
        <w:t xml:space="preserve"> </w:t>
      </w:r>
      <w:r>
        <w:rPr>
          <w:i/>
        </w:rPr>
        <w:t>author</w:t>
      </w:r>
      <w:r>
        <w:rPr>
          <w:i/>
          <w:spacing w:val="40"/>
        </w:rPr>
        <w:t xml:space="preserve"> </w:t>
      </w:r>
      <w:r>
        <w:rPr>
          <w:i/>
        </w:rPr>
        <w:t>(2021);</w:t>
      </w:r>
      <w:r>
        <w:rPr>
          <w:i/>
          <w:spacing w:val="40"/>
        </w:rPr>
        <w:t xml:space="preserve"> </w:t>
      </w:r>
      <w:r>
        <w:rPr>
          <w:i/>
        </w:rPr>
        <w:t>Rayna</w:t>
      </w:r>
      <w:r>
        <w:rPr>
          <w:i/>
          <w:spacing w:val="40"/>
        </w:rPr>
        <w:t xml:space="preserve"> </w:t>
      </w:r>
      <w:r>
        <w:rPr>
          <w:i/>
        </w:rPr>
        <w:t>Danis,</w:t>
      </w:r>
      <w:r>
        <w:rPr>
          <w:i/>
          <w:spacing w:val="40"/>
        </w:rPr>
        <w:t xml:space="preserve"> </w:t>
      </w:r>
      <w:r>
        <w:rPr>
          <w:i/>
        </w:rPr>
        <w:t>secondary</w:t>
      </w:r>
      <w:r>
        <w:rPr>
          <w:i/>
          <w:spacing w:val="40"/>
        </w:rPr>
        <w:t xml:space="preserve"> </w:t>
      </w:r>
      <w:r>
        <w:rPr>
          <w:i/>
        </w:rPr>
        <w:t>author, researcher</w:t>
      </w:r>
      <w:r>
        <w:rPr>
          <w:i/>
          <w:spacing w:val="-2"/>
        </w:rPr>
        <w:t xml:space="preserve"> </w:t>
      </w:r>
      <w:r>
        <w:rPr>
          <w:i/>
        </w:rPr>
        <w:t>and</w:t>
      </w:r>
      <w:r>
        <w:rPr>
          <w:i/>
          <w:spacing w:val="-4"/>
        </w:rPr>
        <w:t xml:space="preserve"> </w:t>
      </w:r>
      <w:r>
        <w:rPr>
          <w:i/>
        </w:rPr>
        <w:t>editor</w:t>
      </w:r>
      <w:r>
        <w:rPr>
          <w:i/>
          <w:spacing w:val="-3"/>
        </w:rPr>
        <w:t xml:space="preserve"> </w:t>
      </w:r>
      <w:r>
        <w:rPr>
          <w:i/>
        </w:rPr>
        <w:t>(2022);</w:t>
      </w:r>
      <w:r>
        <w:rPr>
          <w:i/>
          <w:spacing w:val="-3"/>
        </w:rPr>
        <w:t xml:space="preserve"> </w:t>
      </w:r>
      <w:r>
        <w:rPr>
          <w:i/>
        </w:rPr>
        <w:t>editing</w:t>
      </w:r>
      <w:r>
        <w:rPr>
          <w:i/>
          <w:spacing w:val="-4"/>
        </w:rPr>
        <w:t xml:space="preserve"> </w:t>
      </w:r>
      <w:r>
        <w:rPr>
          <w:i/>
        </w:rPr>
        <w:t>and</w:t>
      </w:r>
      <w:r>
        <w:rPr>
          <w:i/>
          <w:spacing w:val="-5"/>
        </w:rPr>
        <w:t xml:space="preserve"> </w:t>
      </w:r>
      <w:r>
        <w:rPr>
          <w:i/>
        </w:rPr>
        <w:t>proofreading</w:t>
      </w:r>
      <w:r>
        <w:rPr>
          <w:i/>
          <w:spacing w:val="-5"/>
        </w:rPr>
        <w:t xml:space="preserve"> </w:t>
      </w:r>
      <w:r>
        <w:rPr>
          <w:i/>
        </w:rPr>
        <w:t>by</w:t>
      </w:r>
      <w:r>
        <w:rPr>
          <w:i/>
          <w:spacing w:val="-3"/>
        </w:rPr>
        <w:t xml:space="preserve"> </w:t>
      </w:r>
      <w:r>
        <w:rPr>
          <w:i/>
        </w:rPr>
        <w:t>Massachusetts</w:t>
      </w:r>
      <w:r>
        <w:rPr>
          <w:i/>
          <w:spacing w:val="-3"/>
        </w:rPr>
        <w:t xml:space="preserve"> </w:t>
      </w:r>
      <w:r>
        <w:rPr>
          <w:i/>
        </w:rPr>
        <w:t>Commission</w:t>
      </w:r>
      <w:r>
        <w:rPr>
          <w:i/>
          <w:spacing w:val="-3"/>
        </w:rPr>
        <w:t xml:space="preserve"> </w:t>
      </w:r>
      <w:r>
        <w:rPr>
          <w:i/>
        </w:rPr>
        <w:t>on</w:t>
      </w:r>
      <w:r>
        <w:rPr>
          <w:i/>
          <w:spacing w:val="-4"/>
        </w:rPr>
        <w:t xml:space="preserve"> </w:t>
      </w:r>
      <w:r>
        <w:rPr>
          <w:i/>
        </w:rPr>
        <w:t>LGBTQ</w:t>
      </w:r>
      <w:r>
        <w:rPr>
          <w:i/>
          <w:spacing w:val="-4"/>
        </w:rPr>
        <w:t xml:space="preserve"> </w:t>
      </w:r>
      <w:r>
        <w:rPr>
          <w:i/>
        </w:rPr>
        <w:t>Youth</w:t>
      </w:r>
      <w:r>
        <w:rPr>
          <w:i/>
          <w:spacing w:val="-3"/>
        </w:rPr>
        <w:t xml:space="preserve"> </w:t>
      </w:r>
      <w:r>
        <w:rPr>
          <w:i/>
        </w:rPr>
        <w:t>staff</w:t>
      </w:r>
    </w:p>
    <w:p w:rsidR="00C76E6D" w:rsidRDefault="00C76E6D">
      <w:pPr>
        <w:pStyle w:val="BodyText"/>
        <w:rPr>
          <w:i/>
        </w:rPr>
      </w:pPr>
    </w:p>
    <w:p w:rsidR="00C76E6D" w:rsidRDefault="00C76E6D">
      <w:pPr>
        <w:pStyle w:val="BodyText"/>
        <w:spacing w:before="4"/>
        <w:rPr>
          <w:i/>
          <w:sz w:val="25"/>
        </w:rPr>
      </w:pPr>
    </w:p>
    <w:p w:rsidR="00C76E6D" w:rsidRDefault="00913831">
      <w:pPr>
        <w:ind w:left="340" w:right="530" w:hanging="2"/>
        <w:rPr>
          <w:sz w:val="20"/>
        </w:rPr>
      </w:pPr>
      <w:bookmarkStart w:id="580" w:name="_bookmark419"/>
      <w:bookmarkEnd w:id="580"/>
      <w:r>
        <w:rPr>
          <w:sz w:val="20"/>
          <w:vertAlign w:val="superscript"/>
        </w:rPr>
        <w:t>1</w:t>
      </w:r>
      <w:r>
        <w:rPr>
          <w:spacing w:val="-4"/>
          <w:sz w:val="20"/>
        </w:rPr>
        <w:t xml:space="preserve"> </w:t>
      </w:r>
      <w:r>
        <w:rPr>
          <w:sz w:val="20"/>
        </w:rPr>
        <w:t>Sean</w:t>
      </w:r>
      <w:r>
        <w:rPr>
          <w:spacing w:val="-5"/>
          <w:sz w:val="20"/>
        </w:rPr>
        <w:t xml:space="preserve"> </w:t>
      </w:r>
      <w:r>
        <w:rPr>
          <w:sz w:val="20"/>
        </w:rPr>
        <w:t>Cahill</w:t>
      </w:r>
      <w:r>
        <w:rPr>
          <w:spacing w:val="-5"/>
          <w:sz w:val="20"/>
        </w:rPr>
        <w:t xml:space="preserve"> </w:t>
      </w:r>
      <w:r>
        <w:rPr>
          <w:sz w:val="20"/>
        </w:rPr>
        <w:t>and</w:t>
      </w:r>
      <w:r>
        <w:rPr>
          <w:spacing w:val="-4"/>
          <w:sz w:val="20"/>
        </w:rPr>
        <w:t xml:space="preserve"> </w:t>
      </w:r>
      <w:r>
        <w:rPr>
          <w:sz w:val="20"/>
        </w:rPr>
        <w:t>Harvey</w:t>
      </w:r>
      <w:r>
        <w:rPr>
          <w:spacing w:val="-6"/>
          <w:sz w:val="20"/>
        </w:rPr>
        <w:t xml:space="preserve"> </w:t>
      </w:r>
      <w:r>
        <w:rPr>
          <w:sz w:val="20"/>
        </w:rPr>
        <w:t>Makadon,</w:t>
      </w:r>
      <w:r>
        <w:rPr>
          <w:spacing w:val="-5"/>
          <w:sz w:val="20"/>
        </w:rPr>
        <w:t xml:space="preserve"> </w:t>
      </w:r>
      <w:r>
        <w:rPr>
          <w:sz w:val="20"/>
        </w:rPr>
        <w:t>“Sexual</w:t>
      </w:r>
      <w:r>
        <w:rPr>
          <w:spacing w:val="-7"/>
          <w:sz w:val="20"/>
        </w:rPr>
        <w:t xml:space="preserve"> </w:t>
      </w:r>
      <w:r>
        <w:rPr>
          <w:sz w:val="20"/>
        </w:rPr>
        <w:t>Orientation</w:t>
      </w:r>
      <w:r>
        <w:rPr>
          <w:spacing w:val="-4"/>
          <w:sz w:val="20"/>
        </w:rPr>
        <w:t xml:space="preserve"> </w:t>
      </w:r>
      <w:r>
        <w:rPr>
          <w:sz w:val="20"/>
        </w:rPr>
        <w:t>and</w:t>
      </w:r>
      <w:r>
        <w:rPr>
          <w:spacing w:val="-5"/>
          <w:sz w:val="20"/>
        </w:rPr>
        <w:t xml:space="preserve"> </w:t>
      </w:r>
      <w:r>
        <w:rPr>
          <w:sz w:val="20"/>
        </w:rPr>
        <w:t>Gender</w:t>
      </w:r>
      <w:r>
        <w:rPr>
          <w:spacing w:val="-5"/>
          <w:sz w:val="20"/>
        </w:rPr>
        <w:t xml:space="preserve"> </w:t>
      </w:r>
      <w:r>
        <w:rPr>
          <w:sz w:val="20"/>
        </w:rPr>
        <w:t>Identity</w:t>
      </w:r>
      <w:r>
        <w:rPr>
          <w:spacing w:val="-3"/>
          <w:sz w:val="20"/>
        </w:rPr>
        <w:t xml:space="preserve"> </w:t>
      </w:r>
      <w:r>
        <w:rPr>
          <w:sz w:val="20"/>
        </w:rPr>
        <w:t>Data</w:t>
      </w:r>
      <w:r>
        <w:rPr>
          <w:spacing w:val="-4"/>
          <w:sz w:val="20"/>
        </w:rPr>
        <w:t xml:space="preserve"> </w:t>
      </w:r>
      <w:r>
        <w:rPr>
          <w:sz w:val="20"/>
        </w:rPr>
        <w:t>Collection</w:t>
      </w:r>
      <w:r>
        <w:rPr>
          <w:spacing w:val="-4"/>
          <w:sz w:val="20"/>
        </w:rPr>
        <w:t xml:space="preserve"> </w:t>
      </w:r>
      <w:r>
        <w:rPr>
          <w:sz w:val="20"/>
        </w:rPr>
        <w:t>in</w:t>
      </w:r>
      <w:r>
        <w:rPr>
          <w:spacing w:val="-5"/>
          <w:sz w:val="20"/>
        </w:rPr>
        <w:t xml:space="preserve"> </w:t>
      </w:r>
      <w:r>
        <w:rPr>
          <w:sz w:val="20"/>
        </w:rPr>
        <w:t>Clinical</w:t>
      </w:r>
      <w:r>
        <w:rPr>
          <w:spacing w:val="-5"/>
          <w:sz w:val="20"/>
        </w:rPr>
        <w:t xml:space="preserve"> </w:t>
      </w:r>
      <w:r>
        <w:rPr>
          <w:sz w:val="20"/>
        </w:rPr>
        <w:t>Settings</w:t>
      </w:r>
      <w:r>
        <w:rPr>
          <w:spacing w:val="-6"/>
          <w:sz w:val="20"/>
        </w:rPr>
        <w:t xml:space="preserve"> </w:t>
      </w:r>
      <w:r>
        <w:rPr>
          <w:sz w:val="20"/>
        </w:rPr>
        <w:t>and</w:t>
      </w:r>
      <w:r>
        <w:rPr>
          <w:spacing w:val="-5"/>
          <w:sz w:val="20"/>
        </w:rPr>
        <w:t xml:space="preserve"> </w:t>
      </w:r>
      <w:r>
        <w:rPr>
          <w:sz w:val="20"/>
        </w:rPr>
        <w:t xml:space="preserve">in Electronic Health Records: A Key to Ending LGBT Health Disparities,” </w:t>
      </w:r>
      <w:r>
        <w:rPr>
          <w:i/>
          <w:sz w:val="20"/>
        </w:rPr>
        <w:t xml:space="preserve">LGBT Health </w:t>
      </w:r>
      <w:r>
        <w:rPr>
          <w:sz w:val="20"/>
        </w:rPr>
        <w:t xml:space="preserve">1, no. 1 (March 2014): 34–41, </w:t>
      </w:r>
      <w:bookmarkStart w:id="581" w:name="_bookmark420"/>
      <w:bookmarkEnd w:id="581"/>
      <w:r>
        <w:rPr>
          <w:spacing w:val="-2"/>
          <w:sz w:val="20"/>
        </w:rPr>
        <w:t>https://doi.org/10.1089/lgbt.2013.0001.</w:t>
      </w:r>
    </w:p>
    <w:p w:rsidR="00C76E6D" w:rsidRDefault="00913831">
      <w:pPr>
        <w:ind w:left="338" w:right="530"/>
        <w:rPr>
          <w:sz w:val="20"/>
        </w:rPr>
      </w:pPr>
      <w:r>
        <w:rPr>
          <w:sz w:val="20"/>
          <w:vertAlign w:val="superscript"/>
        </w:rPr>
        <w:t>2</w:t>
      </w:r>
      <w:r>
        <w:rPr>
          <w:sz w:val="20"/>
        </w:rPr>
        <w:t xml:space="preserve"> Jason Schneider, Vincent Silenzio, and Laura Erickson-Schroth, eds., </w:t>
      </w:r>
      <w:r>
        <w:rPr>
          <w:i/>
          <w:sz w:val="20"/>
        </w:rPr>
        <w:t>The GLMA Handbook on LGBT Healt</w:t>
      </w:r>
      <w:r>
        <w:rPr>
          <w:i/>
          <w:sz w:val="20"/>
        </w:rPr>
        <w:t>h</w:t>
      </w:r>
      <w:r>
        <w:rPr>
          <w:sz w:val="20"/>
        </w:rPr>
        <w:t>, 2 vols. (Santa</w:t>
      </w:r>
      <w:r>
        <w:rPr>
          <w:spacing w:val="-3"/>
          <w:sz w:val="20"/>
        </w:rPr>
        <w:t xml:space="preserve"> </w:t>
      </w:r>
      <w:r>
        <w:rPr>
          <w:sz w:val="20"/>
        </w:rPr>
        <w:t>Barbara:</w:t>
      </w:r>
      <w:r>
        <w:rPr>
          <w:spacing w:val="-2"/>
          <w:sz w:val="20"/>
        </w:rPr>
        <w:t xml:space="preserve"> </w:t>
      </w:r>
      <w:r>
        <w:rPr>
          <w:sz w:val="20"/>
        </w:rPr>
        <w:t>Praeger,</w:t>
      </w:r>
      <w:r>
        <w:rPr>
          <w:spacing w:val="-3"/>
          <w:sz w:val="20"/>
        </w:rPr>
        <w:t xml:space="preserve"> </w:t>
      </w:r>
      <w:r>
        <w:rPr>
          <w:sz w:val="20"/>
        </w:rPr>
        <w:t>2019);</w:t>
      </w:r>
      <w:r>
        <w:rPr>
          <w:spacing w:val="-4"/>
          <w:sz w:val="20"/>
        </w:rPr>
        <w:t xml:space="preserve"> </w:t>
      </w:r>
      <w:r>
        <w:rPr>
          <w:sz w:val="20"/>
        </w:rPr>
        <w:t>Megan</w:t>
      </w:r>
      <w:r>
        <w:rPr>
          <w:spacing w:val="-4"/>
          <w:sz w:val="20"/>
        </w:rPr>
        <w:t xml:space="preserve"> </w:t>
      </w:r>
      <w:r>
        <w:rPr>
          <w:sz w:val="20"/>
        </w:rPr>
        <w:t>M</w:t>
      </w:r>
      <w:r>
        <w:rPr>
          <w:spacing w:val="-4"/>
          <w:sz w:val="20"/>
        </w:rPr>
        <w:t xml:space="preserve"> </w:t>
      </w:r>
      <w:r>
        <w:rPr>
          <w:sz w:val="20"/>
        </w:rPr>
        <w:t>Ruprecht</w:t>
      </w:r>
      <w:r>
        <w:rPr>
          <w:spacing w:val="-2"/>
          <w:sz w:val="20"/>
        </w:rPr>
        <w:t xml:space="preserve"> </w:t>
      </w:r>
      <w:r>
        <w:rPr>
          <w:sz w:val="20"/>
        </w:rPr>
        <w:t>et</w:t>
      </w:r>
      <w:r>
        <w:rPr>
          <w:spacing w:val="-2"/>
          <w:sz w:val="20"/>
        </w:rPr>
        <w:t xml:space="preserve"> </w:t>
      </w:r>
      <w:r>
        <w:rPr>
          <w:sz w:val="20"/>
        </w:rPr>
        <w:t>al.,</w:t>
      </w:r>
      <w:r>
        <w:rPr>
          <w:spacing w:val="-4"/>
          <w:sz w:val="20"/>
        </w:rPr>
        <w:t xml:space="preserve"> </w:t>
      </w:r>
      <w:r>
        <w:rPr>
          <w:sz w:val="20"/>
        </w:rPr>
        <w:t>“Evidence</w:t>
      </w:r>
      <w:r>
        <w:rPr>
          <w:spacing w:val="-2"/>
          <w:sz w:val="20"/>
        </w:rPr>
        <w:t xml:space="preserve"> </w:t>
      </w:r>
      <w:r>
        <w:rPr>
          <w:sz w:val="20"/>
        </w:rPr>
        <w:t>of</w:t>
      </w:r>
      <w:r>
        <w:rPr>
          <w:spacing w:val="-5"/>
          <w:sz w:val="20"/>
        </w:rPr>
        <w:t xml:space="preserve"> </w:t>
      </w:r>
      <w:r>
        <w:rPr>
          <w:sz w:val="20"/>
        </w:rPr>
        <w:t>Social</w:t>
      </w:r>
      <w:r>
        <w:rPr>
          <w:spacing w:val="-2"/>
          <w:sz w:val="20"/>
        </w:rPr>
        <w:t xml:space="preserve"> </w:t>
      </w:r>
      <w:r>
        <w:rPr>
          <w:sz w:val="20"/>
        </w:rPr>
        <w:t>and</w:t>
      </w:r>
      <w:r>
        <w:rPr>
          <w:spacing w:val="-2"/>
          <w:sz w:val="20"/>
        </w:rPr>
        <w:t xml:space="preserve"> </w:t>
      </w:r>
      <w:r>
        <w:rPr>
          <w:sz w:val="20"/>
        </w:rPr>
        <w:t>Structural</w:t>
      </w:r>
      <w:r>
        <w:rPr>
          <w:spacing w:val="-2"/>
          <w:sz w:val="20"/>
        </w:rPr>
        <w:t xml:space="preserve"> </w:t>
      </w:r>
      <w:r>
        <w:rPr>
          <w:sz w:val="20"/>
        </w:rPr>
        <w:t>COVID-19</w:t>
      </w:r>
      <w:r>
        <w:rPr>
          <w:spacing w:val="-4"/>
          <w:sz w:val="20"/>
        </w:rPr>
        <w:t xml:space="preserve"> </w:t>
      </w:r>
      <w:r>
        <w:rPr>
          <w:sz w:val="20"/>
        </w:rPr>
        <w:t>Disparities</w:t>
      </w:r>
      <w:r>
        <w:rPr>
          <w:spacing w:val="-3"/>
          <w:sz w:val="20"/>
        </w:rPr>
        <w:t xml:space="preserve"> </w:t>
      </w:r>
      <w:r>
        <w:rPr>
          <w:sz w:val="20"/>
        </w:rPr>
        <w:t>by Sexual</w:t>
      </w:r>
      <w:r>
        <w:rPr>
          <w:spacing w:val="-7"/>
          <w:sz w:val="20"/>
        </w:rPr>
        <w:t xml:space="preserve"> </w:t>
      </w:r>
      <w:r>
        <w:rPr>
          <w:sz w:val="20"/>
        </w:rPr>
        <w:t>Orientation,</w:t>
      </w:r>
      <w:r>
        <w:rPr>
          <w:spacing w:val="-4"/>
          <w:sz w:val="20"/>
        </w:rPr>
        <w:t xml:space="preserve"> </w:t>
      </w:r>
      <w:r>
        <w:rPr>
          <w:sz w:val="20"/>
        </w:rPr>
        <w:t>Gender</w:t>
      </w:r>
      <w:r>
        <w:rPr>
          <w:spacing w:val="-5"/>
          <w:sz w:val="20"/>
        </w:rPr>
        <w:t xml:space="preserve"> </w:t>
      </w:r>
      <w:r>
        <w:rPr>
          <w:sz w:val="20"/>
        </w:rPr>
        <w:t>Identity,</w:t>
      </w:r>
      <w:r>
        <w:rPr>
          <w:spacing w:val="-4"/>
          <w:sz w:val="20"/>
        </w:rPr>
        <w:t xml:space="preserve"> </w:t>
      </w:r>
      <w:r>
        <w:rPr>
          <w:sz w:val="20"/>
        </w:rPr>
        <w:t>and</w:t>
      </w:r>
      <w:r>
        <w:rPr>
          <w:spacing w:val="-5"/>
          <w:sz w:val="20"/>
        </w:rPr>
        <w:t xml:space="preserve"> </w:t>
      </w:r>
      <w:r>
        <w:rPr>
          <w:sz w:val="20"/>
        </w:rPr>
        <w:t>Race/Ethnicity</w:t>
      </w:r>
      <w:r>
        <w:rPr>
          <w:spacing w:val="-3"/>
          <w:sz w:val="20"/>
        </w:rPr>
        <w:t xml:space="preserve"> </w:t>
      </w:r>
      <w:r>
        <w:rPr>
          <w:sz w:val="20"/>
        </w:rPr>
        <w:t>in</w:t>
      </w:r>
      <w:r>
        <w:rPr>
          <w:spacing w:val="-4"/>
          <w:sz w:val="20"/>
        </w:rPr>
        <w:t xml:space="preserve"> </w:t>
      </w:r>
      <w:r>
        <w:rPr>
          <w:sz w:val="20"/>
        </w:rPr>
        <w:t>an</w:t>
      </w:r>
      <w:r>
        <w:rPr>
          <w:spacing w:val="-4"/>
          <w:sz w:val="20"/>
        </w:rPr>
        <w:t xml:space="preserve"> </w:t>
      </w:r>
      <w:r>
        <w:rPr>
          <w:sz w:val="20"/>
        </w:rPr>
        <w:t>Urban</w:t>
      </w:r>
      <w:r>
        <w:rPr>
          <w:spacing w:val="-7"/>
          <w:sz w:val="20"/>
        </w:rPr>
        <w:t xml:space="preserve"> </w:t>
      </w:r>
      <w:r>
        <w:rPr>
          <w:sz w:val="20"/>
        </w:rPr>
        <w:t>Environment,”</w:t>
      </w:r>
      <w:r>
        <w:rPr>
          <w:spacing w:val="-4"/>
          <w:sz w:val="20"/>
        </w:rPr>
        <w:t xml:space="preserve"> </w:t>
      </w:r>
      <w:r>
        <w:rPr>
          <w:i/>
          <w:sz w:val="20"/>
        </w:rPr>
        <w:t>Journal</w:t>
      </w:r>
      <w:r>
        <w:rPr>
          <w:i/>
          <w:spacing w:val="-5"/>
          <w:sz w:val="20"/>
        </w:rPr>
        <w:t xml:space="preserve"> </w:t>
      </w:r>
      <w:r>
        <w:rPr>
          <w:i/>
          <w:sz w:val="20"/>
        </w:rPr>
        <w:t>of</w:t>
      </w:r>
      <w:r>
        <w:rPr>
          <w:i/>
          <w:spacing w:val="-4"/>
          <w:sz w:val="20"/>
        </w:rPr>
        <w:t xml:space="preserve"> </w:t>
      </w:r>
      <w:r>
        <w:rPr>
          <w:i/>
          <w:sz w:val="20"/>
        </w:rPr>
        <w:t>Urban</w:t>
      </w:r>
      <w:r>
        <w:rPr>
          <w:i/>
          <w:spacing w:val="-6"/>
          <w:sz w:val="20"/>
        </w:rPr>
        <w:t xml:space="preserve"> </w:t>
      </w:r>
      <w:r>
        <w:rPr>
          <w:i/>
          <w:sz w:val="20"/>
        </w:rPr>
        <w:t>Health</w:t>
      </w:r>
      <w:r>
        <w:rPr>
          <w:i/>
          <w:spacing w:val="-4"/>
          <w:sz w:val="20"/>
        </w:rPr>
        <w:t xml:space="preserve"> </w:t>
      </w:r>
      <w:r>
        <w:rPr>
          <w:sz w:val="20"/>
        </w:rPr>
        <w:t>98,</w:t>
      </w:r>
      <w:r>
        <w:rPr>
          <w:spacing w:val="-5"/>
          <w:sz w:val="20"/>
        </w:rPr>
        <w:t xml:space="preserve"> </w:t>
      </w:r>
      <w:r>
        <w:rPr>
          <w:sz w:val="20"/>
        </w:rPr>
        <w:t>no.</w:t>
      </w:r>
      <w:r>
        <w:rPr>
          <w:spacing w:val="-7"/>
          <w:sz w:val="20"/>
        </w:rPr>
        <w:t xml:space="preserve"> </w:t>
      </w:r>
      <w:r>
        <w:rPr>
          <w:sz w:val="20"/>
        </w:rPr>
        <w:t>1 (February 2021): 27–40, https://doi.org/10.1007/s11524-020-00497-9.</w:t>
      </w:r>
    </w:p>
    <w:p w:rsidR="00C76E6D" w:rsidRDefault="00913831">
      <w:pPr>
        <w:ind w:left="338" w:right="326" w:hanging="1"/>
        <w:rPr>
          <w:sz w:val="20"/>
        </w:rPr>
      </w:pPr>
      <w:bookmarkStart w:id="582" w:name="_bookmark421"/>
      <w:bookmarkEnd w:id="582"/>
      <w:r>
        <w:rPr>
          <w:sz w:val="20"/>
          <w:vertAlign w:val="superscript"/>
        </w:rPr>
        <w:t>3</w:t>
      </w:r>
      <w:r>
        <w:rPr>
          <w:sz w:val="20"/>
        </w:rPr>
        <w:t xml:space="preserve"> C. P. Jones, “Invited Commentary: ‘Race,’ Racism, and the Practice of Epidemiology,” </w:t>
      </w:r>
      <w:r>
        <w:rPr>
          <w:i/>
          <w:sz w:val="20"/>
        </w:rPr>
        <w:t>American Journal of Epidemiology</w:t>
      </w:r>
      <w:r>
        <w:rPr>
          <w:i/>
          <w:spacing w:val="-7"/>
          <w:sz w:val="20"/>
        </w:rPr>
        <w:t xml:space="preserve"> </w:t>
      </w:r>
      <w:r>
        <w:rPr>
          <w:sz w:val="20"/>
        </w:rPr>
        <w:t>154,</w:t>
      </w:r>
      <w:r>
        <w:rPr>
          <w:spacing w:val="-8"/>
          <w:sz w:val="20"/>
        </w:rPr>
        <w:t xml:space="preserve"> </w:t>
      </w:r>
      <w:r>
        <w:rPr>
          <w:sz w:val="20"/>
        </w:rPr>
        <w:t>no.</w:t>
      </w:r>
      <w:r>
        <w:rPr>
          <w:spacing w:val="-8"/>
          <w:sz w:val="20"/>
        </w:rPr>
        <w:t xml:space="preserve"> </w:t>
      </w:r>
      <w:r>
        <w:rPr>
          <w:sz w:val="20"/>
        </w:rPr>
        <w:t>4</w:t>
      </w:r>
      <w:r>
        <w:rPr>
          <w:spacing w:val="-7"/>
          <w:sz w:val="20"/>
        </w:rPr>
        <w:t xml:space="preserve"> </w:t>
      </w:r>
      <w:r>
        <w:rPr>
          <w:sz w:val="20"/>
        </w:rPr>
        <w:t>(August</w:t>
      </w:r>
      <w:r>
        <w:rPr>
          <w:spacing w:val="-6"/>
          <w:sz w:val="20"/>
        </w:rPr>
        <w:t xml:space="preserve"> </w:t>
      </w:r>
      <w:r>
        <w:rPr>
          <w:sz w:val="20"/>
        </w:rPr>
        <w:t>15,</w:t>
      </w:r>
      <w:r>
        <w:rPr>
          <w:spacing w:val="-8"/>
          <w:sz w:val="20"/>
        </w:rPr>
        <w:t xml:space="preserve"> </w:t>
      </w:r>
      <w:r>
        <w:rPr>
          <w:sz w:val="20"/>
        </w:rPr>
        <w:t>2001):</w:t>
      </w:r>
      <w:r>
        <w:rPr>
          <w:spacing w:val="-9"/>
          <w:sz w:val="20"/>
        </w:rPr>
        <w:t xml:space="preserve"> </w:t>
      </w:r>
      <w:r>
        <w:rPr>
          <w:sz w:val="20"/>
        </w:rPr>
        <w:t>299–304,</w:t>
      </w:r>
      <w:r>
        <w:rPr>
          <w:spacing w:val="-6"/>
          <w:sz w:val="20"/>
        </w:rPr>
        <w:t xml:space="preserve"> </w:t>
      </w:r>
      <w:r>
        <w:rPr>
          <w:sz w:val="20"/>
        </w:rPr>
        <w:t>https://doi.org/10.1093/aje</w:t>
      </w:r>
      <w:r>
        <w:rPr>
          <w:sz w:val="20"/>
        </w:rPr>
        <w:t>/154.4.299;</w:t>
      </w:r>
      <w:r>
        <w:rPr>
          <w:spacing w:val="-7"/>
          <w:sz w:val="20"/>
        </w:rPr>
        <w:t xml:space="preserve"> </w:t>
      </w:r>
      <w:r>
        <w:rPr>
          <w:sz w:val="20"/>
        </w:rPr>
        <w:t>Larry</w:t>
      </w:r>
      <w:r>
        <w:rPr>
          <w:spacing w:val="-8"/>
          <w:sz w:val="20"/>
        </w:rPr>
        <w:t xml:space="preserve"> </w:t>
      </w:r>
      <w:r>
        <w:rPr>
          <w:sz w:val="20"/>
        </w:rPr>
        <w:t>Adelman,</w:t>
      </w:r>
      <w:r>
        <w:rPr>
          <w:spacing w:val="-9"/>
          <w:sz w:val="20"/>
        </w:rPr>
        <w:t xml:space="preserve"> </w:t>
      </w:r>
      <w:r>
        <w:rPr>
          <w:i/>
          <w:sz w:val="20"/>
        </w:rPr>
        <w:t>Race:</w:t>
      </w:r>
      <w:r>
        <w:rPr>
          <w:i/>
          <w:spacing w:val="-6"/>
          <w:sz w:val="20"/>
        </w:rPr>
        <w:t xml:space="preserve"> </w:t>
      </w:r>
      <w:r>
        <w:rPr>
          <w:i/>
          <w:sz w:val="20"/>
        </w:rPr>
        <w:t>The Power of an Illusion</w:t>
      </w:r>
      <w:r>
        <w:rPr>
          <w:sz w:val="20"/>
        </w:rPr>
        <w:t>, Documentary (California Newsreel, 2003).</w:t>
      </w:r>
    </w:p>
    <w:p w:rsidR="00C76E6D" w:rsidRDefault="00913831">
      <w:pPr>
        <w:ind w:left="339" w:right="650" w:hanging="2"/>
        <w:rPr>
          <w:sz w:val="20"/>
        </w:rPr>
      </w:pPr>
      <w:bookmarkStart w:id="583" w:name="_bookmark422"/>
      <w:bookmarkEnd w:id="583"/>
      <w:r>
        <w:rPr>
          <w:sz w:val="20"/>
          <w:vertAlign w:val="superscript"/>
        </w:rPr>
        <w:t>4</w:t>
      </w:r>
      <w:r>
        <w:rPr>
          <w:spacing w:val="-4"/>
          <w:sz w:val="20"/>
        </w:rPr>
        <w:t xml:space="preserve"> </w:t>
      </w:r>
      <w:r>
        <w:rPr>
          <w:sz w:val="20"/>
        </w:rPr>
        <w:t>Ladelle</w:t>
      </w:r>
      <w:r>
        <w:rPr>
          <w:spacing w:val="-4"/>
          <w:sz w:val="20"/>
        </w:rPr>
        <w:t xml:space="preserve"> </w:t>
      </w:r>
      <w:r>
        <w:rPr>
          <w:sz w:val="20"/>
        </w:rPr>
        <w:t>Mcwhorter,</w:t>
      </w:r>
      <w:r>
        <w:rPr>
          <w:spacing w:val="-4"/>
          <w:sz w:val="20"/>
        </w:rPr>
        <w:t xml:space="preserve"> </w:t>
      </w:r>
      <w:r>
        <w:rPr>
          <w:sz w:val="20"/>
        </w:rPr>
        <w:t>“Sex,</w:t>
      </w:r>
      <w:r>
        <w:rPr>
          <w:spacing w:val="-5"/>
          <w:sz w:val="20"/>
        </w:rPr>
        <w:t xml:space="preserve"> </w:t>
      </w:r>
      <w:r>
        <w:rPr>
          <w:sz w:val="20"/>
        </w:rPr>
        <w:t>Race,</w:t>
      </w:r>
      <w:r>
        <w:rPr>
          <w:spacing w:val="-5"/>
          <w:sz w:val="20"/>
        </w:rPr>
        <w:t xml:space="preserve"> </w:t>
      </w:r>
      <w:r>
        <w:rPr>
          <w:sz w:val="20"/>
        </w:rPr>
        <w:t>and</w:t>
      </w:r>
      <w:r>
        <w:rPr>
          <w:spacing w:val="-5"/>
          <w:sz w:val="20"/>
        </w:rPr>
        <w:t xml:space="preserve"> </w:t>
      </w:r>
      <w:r>
        <w:rPr>
          <w:sz w:val="20"/>
        </w:rPr>
        <w:t>Biopower:</w:t>
      </w:r>
      <w:r>
        <w:rPr>
          <w:spacing w:val="-4"/>
          <w:sz w:val="20"/>
        </w:rPr>
        <w:t xml:space="preserve"> </w:t>
      </w:r>
      <w:r>
        <w:rPr>
          <w:sz w:val="20"/>
        </w:rPr>
        <w:t>A</w:t>
      </w:r>
      <w:r>
        <w:rPr>
          <w:spacing w:val="-5"/>
          <w:sz w:val="20"/>
        </w:rPr>
        <w:t xml:space="preserve"> </w:t>
      </w:r>
      <w:r>
        <w:rPr>
          <w:sz w:val="20"/>
        </w:rPr>
        <w:t>Foucauldian</w:t>
      </w:r>
      <w:r>
        <w:rPr>
          <w:spacing w:val="-4"/>
          <w:sz w:val="20"/>
        </w:rPr>
        <w:t xml:space="preserve"> </w:t>
      </w:r>
      <w:r>
        <w:rPr>
          <w:sz w:val="20"/>
        </w:rPr>
        <w:t>Genealogy,”</w:t>
      </w:r>
      <w:r>
        <w:rPr>
          <w:spacing w:val="-5"/>
          <w:sz w:val="20"/>
        </w:rPr>
        <w:t xml:space="preserve"> </w:t>
      </w:r>
      <w:r>
        <w:rPr>
          <w:i/>
          <w:sz w:val="20"/>
        </w:rPr>
        <w:t>Hypatia</w:t>
      </w:r>
      <w:r>
        <w:rPr>
          <w:i/>
          <w:spacing w:val="-6"/>
          <w:sz w:val="20"/>
        </w:rPr>
        <w:t xml:space="preserve"> </w:t>
      </w:r>
      <w:r>
        <w:rPr>
          <w:sz w:val="20"/>
        </w:rPr>
        <w:t>19,</w:t>
      </w:r>
      <w:r>
        <w:rPr>
          <w:spacing w:val="-7"/>
          <w:sz w:val="20"/>
        </w:rPr>
        <w:t xml:space="preserve"> </w:t>
      </w:r>
      <w:r>
        <w:rPr>
          <w:sz w:val="20"/>
        </w:rPr>
        <w:t>no.</w:t>
      </w:r>
      <w:r>
        <w:rPr>
          <w:spacing w:val="-6"/>
          <w:sz w:val="20"/>
        </w:rPr>
        <w:t xml:space="preserve"> </w:t>
      </w:r>
      <w:r>
        <w:rPr>
          <w:sz w:val="20"/>
        </w:rPr>
        <w:t>3</w:t>
      </w:r>
      <w:r>
        <w:rPr>
          <w:spacing w:val="-4"/>
          <w:sz w:val="20"/>
        </w:rPr>
        <w:t xml:space="preserve"> </w:t>
      </w:r>
      <w:r>
        <w:rPr>
          <w:sz w:val="20"/>
        </w:rPr>
        <w:t>(August</w:t>
      </w:r>
      <w:r>
        <w:rPr>
          <w:spacing w:val="-8"/>
          <w:sz w:val="20"/>
        </w:rPr>
        <w:t xml:space="preserve"> </w:t>
      </w:r>
      <w:r>
        <w:rPr>
          <w:sz w:val="20"/>
        </w:rPr>
        <w:t>2004):</w:t>
      </w:r>
      <w:r>
        <w:rPr>
          <w:spacing w:val="-5"/>
          <w:sz w:val="20"/>
        </w:rPr>
        <w:t xml:space="preserve"> </w:t>
      </w:r>
      <w:r>
        <w:rPr>
          <w:sz w:val="20"/>
        </w:rPr>
        <w:t xml:space="preserve">38–62, </w:t>
      </w:r>
      <w:r>
        <w:rPr>
          <w:spacing w:val="-2"/>
          <w:sz w:val="20"/>
        </w:rPr>
        <w:t>https://doi.org/10.1111/j.1527-2001.2004.tb01301.x.</w:t>
      </w:r>
    </w:p>
    <w:p w:rsidR="00C76E6D" w:rsidRDefault="00913831">
      <w:pPr>
        <w:ind w:left="339" w:right="1600" w:hanging="1"/>
        <w:rPr>
          <w:sz w:val="20"/>
        </w:rPr>
      </w:pPr>
      <w:bookmarkStart w:id="584" w:name="_bookmark423"/>
      <w:bookmarkEnd w:id="584"/>
      <w:r>
        <w:rPr>
          <w:sz w:val="20"/>
          <w:vertAlign w:val="superscript"/>
        </w:rPr>
        <w:t>5</w:t>
      </w:r>
      <w:r>
        <w:rPr>
          <w:spacing w:val="-6"/>
          <w:sz w:val="20"/>
        </w:rPr>
        <w:t xml:space="preserve"> </w:t>
      </w:r>
      <w:r>
        <w:rPr>
          <w:sz w:val="20"/>
        </w:rPr>
        <w:t>Kimberle</w:t>
      </w:r>
      <w:r>
        <w:rPr>
          <w:spacing w:val="-6"/>
          <w:sz w:val="20"/>
        </w:rPr>
        <w:t xml:space="preserve"> </w:t>
      </w:r>
      <w:r>
        <w:rPr>
          <w:sz w:val="20"/>
        </w:rPr>
        <w:t>Crenshaw,</w:t>
      </w:r>
      <w:r>
        <w:rPr>
          <w:spacing w:val="-6"/>
          <w:sz w:val="20"/>
        </w:rPr>
        <w:t xml:space="preserve"> </w:t>
      </w:r>
      <w:r>
        <w:rPr>
          <w:i/>
          <w:sz w:val="20"/>
        </w:rPr>
        <w:t>The</w:t>
      </w:r>
      <w:r>
        <w:rPr>
          <w:i/>
          <w:spacing w:val="-6"/>
          <w:sz w:val="20"/>
        </w:rPr>
        <w:t xml:space="preserve"> </w:t>
      </w:r>
      <w:r>
        <w:rPr>
          <w:i/>
          <w:sz w:val="20"/>
        </w:rPr>
        <w:t>Urgency</w:t>
      </w:r>
      <w:r>
        <w:rPr>
          <w:i/>
          <w:spacing w:val="-7"/>
          <w:sz w:val="20"/>
        </w:rPr>
        <w:t xml:space="preserve"> </w:t>
      </w:r>
      <w:r>
        <w:rPr>
          <w:i/>
          <w:sz w:val="20"/>
        </w:rPr>
        <w:t>of</w:t>
      </w:r>
      <w:r>
        <w:rPr>
          <w:i/>
          <w:spacing w:val="-7"/>
          <w:sz w:val="20"/>
        </w:rPr>
        <w:t xml:space="preserve"> </w:t>
      </w:r>
      <w:r>
        <w:rPr>
          <w:i/>
          <w:sz w:val="20"/>
        </w:rPr>
        <w:t>Intersectionality</w:t>
      </w:r>
      <w:r>
        <w:rPr>
          <w:i/>
          <w:spacing w:val="-7"/>
          <w:sz w:val="20"/>
        </w:rPr>
        <w:t xml:space="preserve"> </w:t>
      </w:r>
      <w:r>
        <w:rPr>
          <w:sz w:val="20"/>
        </w:rPr>
        <w:t>(TedTalk),</w:t>
      </w:r>
      <w:r>
        <w:rPr>
          <w:spacing w:val="-6"/>
          <w:sz w:val="20"/>
        </w:rPr>
        <w:t xml:space="preserve"> </w:t>
      </w:r>
      <w:r>
        <w:rPr>
          <w:sz w:val="20"/>
        </w:rPr>
        <w:t>accessed</w:t>
      </w:r>
      <w:r>
        <w:rPr>
          <w:spacing w:val="-7"/>
          <w:sz w:val="20"/>
        </w:rPr>
        <w:t xml:space="preserve"> </w:t>
      </w:r>
      <w:r>
        <w:rPr>
          <w:sz w:val="20"/>
        </w:rPr>
        <w:t>September</w:t>
      </w:r>
      <w:r>
        <w:rPr>
          <w:spacing w:val="-10"/>
          <w:sz w:val="20"/>
        </w:rPr>
        <w:t xml:space="preserve"> </w:t>
      </w:r>
      <w:r>
        <w:rPr>
          <w:sz w:val="20"/>
        </w:rPr>
        <w:t>10,</w:t>
      </w:r>
      <w:r>
        <w:rPr>
          <w:spacing w:val="-6"/>
          <w:sz w:val="20"/>
        </w:rPr>
        <w:t xml:space="preserve"> </w:t>
      </w:r>
      <w:r>
        <w:rPr>
          <w:sz w:val="20"/>
        </w:rPr>
        <w:t xml:space="preserve">2020, </w:t>
      </w:r>
      <w:r>
        <w:rPr>
          <w:spacing w:val="-2"/>
          <w:sz w:val="20"/>
        </w:rPr>
        <w:t>https://</w:t>
      </w:r>
      <w:hyperlink r:id="rId319">
        <w:r>
          <w:rPr>
            <w:spacing w:val="-2"/>
            <w:sz w:val="20"/>
          </w:rPr>
          <w:t>www.ted</w:t>
        </w:r>
        <w:r>
          <w:rPr>
            <w:spacing w:val="-2"/>
            <w:sz w:val="20"/>
          </w:rPr>
          <w:t>.com/talks/kimberle_crenshaw_the_urgency_of_intersectionality.</w:t>
        </w:r>
      </w:hyperlink>
    </w:p>
    <w:p w:rsidR="00C76E6D" w:rsidRDefault="00913831">
      <w:pPr>
        <w:ind w:left="339" w:right="290" w:hanging="2"/>
        <w:rPr>
          <w:sz w:val="20"/>
        </w:rPr>
      </w:pPr>
      <w:bookmarkStart w:id="585" w:name="_bookmark424"/>
      <w:bookmarkEnd w:id="585"/>
      <w:r>
        <w:rPr>
          <w:sz w:val="20"/>
          <w:vertAlign w:val="superscript"/>
        </w:rPr>
        <w:t>6</w:t>
      </w:r>
      <w:r>
        <w:rPr>
          <w:spacing w:val="-4"/>
          <w:sz w:val="20"/>
        </w:rPr>
        <w:t xml:space="preserve"> </w:t>
      </w:r>
      <w:r>
        <w:rPr>
          <w:sz w:val="20"/>
        </w:rPr>
        <w:t>Nancy</w:t>
      </w:r>
      <w:r>
        <w:rPr>
          <w:spacing w:val="-5"/>
          <w:sz w:val="20"/>
        </w:rPr>
        <w:t xml:space="preserve"> </w:t>
      </w:r>
      <w:r>
        <w:rPr>
          <w:sz w:val="20"/>
        </w:rPr>
        <w:t>Krieger,</w:t>
      </w:r>
      <w:r>
        <w:rPr>
          <w:spacing w:val="-5"/>
          <w:sz w:val="20"/>
        </w:rPr>
        <w:t xml:space="preserve"> </w:t>
      </w:r>
      <w:r>
        <w:rPr>
          <w:sz w:val="20"/>
        </w:rPr>
        <w:t>“Theories</w:t>
      </w:r>
      <w:r>
        <w:rPr>
          <w:spacing w:val="-5"/>
          <w:sz w:val="20"/>
        </w:rPr>
        <w:t xml:space="preserve"> </w:t>
      </w:r>
      <w:r>
        <w:rPr>
          <w:sz w:val="20"/>
        </w:rPr>
        <w:t>for</w:t>
      </w:r>
      <w:r>
        <w:rPr>
          <w:spacing w:val="-6"/>
          <w:sz w:val="20"/>
        </w:rPr>
        <w:t xml:space="preserve"> </w:t>
      </w:r>
      <w:r>
        <w:rPr>
          <w:sz w:val="20"/>
        </w:rPr>
        <w:t>Social</w:t>
      </w:r>
      <w:r>
        <w:rPr>
          <w:spacing w:val="-7"/>
          <w:sz w:val="20"/>
        </w:rPr>
        <w:t xml:space="preserve"> </w:t>
      </w:r>
      <w:r>
        <w:rPr>
          <w:sz w:val="20"/>
        </w:rPr>
        <w:t>Epidemiology</w:t>
      </w:r>
      <w:r>
        <w:rPr>
          <w:spacing w:val="-4"/>
          <w:sz w:val="20"/>
        </w:rPr>
        <w:t xml:space="preserve"> </w:t>
      </w:r>
      <w:r>
        <w:rPr>
          <w:sz w:val="20"/>
        </w:rPr>
        <w:t>in</w:t>
      </w:r>
      <w:r>
        <w:rPr>
          <w:spacing w:val="-4"/>
          <w:sz w:val="20"/>
        </w:rPr>
        <w:t xml:space="preserve"> </w:t>
      </w:r>
      <w:r>
        <w:rPr>
          <w:sz w:val="20"/>
        </w:rPr>
        <w:t>the</w:t>
      </w:r>
      <w:r>
        <w:rPr>
          <w:spacing w:val="-5"/>
          <w:sz w:val="20"/>
        </w:rPr>
        <w:t xml:space="preserve"> </w:t>
      </w:r>
      <w:r>
        <w:rPr>
          <w:sz w:val="20"/>
        </w:rPr>
        <w:t>21st</w:t>
      </w:r>
      <w:r>
        <w:rPr>
          <w:spacing w:val="-4"/>
          <w:sz w:val="20"/>
        </w:rPr>
        <w:t xml:space="preserve"> </w:t>
      </w:r>
      <w:r>
        <w:rPr>
          <w:sz w:val="20"/>
        </w:rPr>
        <w:t>Century:</w:t>
      </w:r>
      <w:r>
        <w:rPr>
          <w:spacing w:val="-6"/>
          <w:sz w:val="20"/>
        </w:rPr>
        <w:t xml:space="preserve"> </w:t>
      </w:r>
      <w:r>
        <w:rPr>
          <w:sz w:val="20"/>
        </w:rPr>
        <w:t>An</w:t>
      </w:r>
      <w:r>
        <w:rPr>
          <w:spacing w:val="-7"/>
          <w:sz w:val="20"/>
        </w:rPr>
        <w:t xml:space="preserve"> </w:t>
      </w:r>
      <w:r>
        <w:rPr>
          <w:sz w:val="20"/>
        </w:rPr>
        <w:t>Ecosocial</w:t>
      </w:r>
      <w:r>
        <w:rPr>
          <w:spacing w:val="-5"/>
          <w:sz w:val="20"/>
        </w:rPr>
        <w:t xml:space="preserve"> </w:t>
      </w:r>
      <w:r>
        <w:rPr>
          <w:sz w:val="20"/>
        </w:rPr>
        <w:t>Perspective,”</w:t>
      </w:r>
      <w:r>
        <w:rPr>
          <w:spacing w:val="-6"/>
          <w:sz w:val="20"/>
        </w:rPr>
        <w:t xml:space="preserve"> </w:t>
      </w:r>
      <w:r>
        <w:rPr>
          <w:i/>
          <w:sz w:val="20"/>
        </w:rPr>
        <w:t>International</w:t>
      </w:r>
      <w:r>
        <w:rPr>
          <w:i/>
          <w:spacing w:val="-5"/>
          <w:sz w:val="20"/>
        </w:rPr>
        <w:t xml:space="preserve"> </w:t>
      </w:r>
      <w:r>
        <w:rPr>
          <w:i/>
          <w:sz w:val="20"/>
        </w:rPr>
        <w:t xml:space="preserve">Journal of Epidemiology </w:t>
      </w:r>
      <w:r>
        <w:rPr>
          <w:sz w:val="20"/>
        </w:rPr>
        <w:t>30, no. 4 (August 2001): 668–77, https://doi.org/10.1093/ije/30.4.668.</w:t>
      </w:r>
    </w:p>
    <w:p w:rsidR="00C76E6D" w:rsidRDefault="00913831">
      <w:pPr>
        <w:spacing w:before="6" w:line="244" w:lineRule="exact"/>
        <w:ind w:left="338"/>
        <w:rPr>
          <w:sz w:val="20"/>
        </w:rPr>
      </w:pPr>
      <w:bookmarkStart w:id="586" w:name="_bookmark425"/>
      <w:bookmarkEnd w:id="586"/>
      <w:r>
        <w:rPr>
          <w:sz w:val="20"/>
          <w:vertAlign w:val="superscript"/>
        </w:rPr>
        <w:t>7</w:t>
      </w:r>
      <w:r>
        <w:rPr>
          <w:spacing w:val="-2"/>
          <w:sz w:val="20"/>
        </w:rPr>
        <w:t xml:space="preserve"> </w:t>
      </w:r>
      <w:bookmarkStart w:id="587" w:name="_bookmark426"/>
      <w:bookmarkEnd w:id="587"/>
      <w:r>
        <w:rPr>
          <w:spacing w:val="-2"/>
          <w:sz w:val="20"/>
        </w:rPr>
        <w:t>Krieger.</w:t>
      </w:r>
    </w:p>
    <w:p w:rsidR="00C76E6D" w:rsidRDefault="00913831">
      <w:pPr>
        <w:spacing w:line="244" w:lineRule="exact"/>
        <w:ind w:left="338"/>
        <w:rPr>
          <w:i/>
          <w:sz w:val="20"/>
        </w:rPr>
      </w:pPr>
      <w:r>
        <w:rPr>
          <w:sz w:val="20"/>
          <w:vertAlign w:val="superscript"/>
        </w:rPr>
        <w:t>8</w:t>
      </w:r>
      <w:r>
        <w:rPr>
          <w:spacing w:val="-6"/>
          <w:sz w:val="20"/>
        </w:rPr>
        <w:t xml:space="preserve"> </w:t>
      </w:r>
      <w:r>
        <w:rPr>
          <w:sz w:val="20"/>
        </w:rPr>
        <w:t>Nancy</w:t>
      </w:r>
      <w:r>
        <w:rPr>
          <w:spacing w:val="-7"/>
          <w:sz w:val="20"/>
        </w:rPr>
        <w:t xml:space="preserve"> </w:t>
      </w:r>
      <w:r>
        <w:rPr>
          <w:sz w:val="20"/>
        </w:rPr>
        <w:t>Krieger,</w:t>
      </w:r>
      <w:r>
        <w:rPr>
          <w:spacing w:val="-6"/>
          <w:sz w:val="20"/>
        </w:rPr>
        <w:t xml:space="preserve"> </w:t>
      </w:r>
      <w:r>
        <w:rPr>
          <w:sz w:val="20"/>
        </w:rPr>
        <w:t>“Epidemiology</w:t>
      </w:r>
      <w:r>
        <w:rPr>
          <w:spacing w:val="-6"/>
          <w:sz w:val="20"/>
        </w:rPr>
        <w:t xml:space="preserve"> </w:t>
      </w:r>
      <w:r>
        <w:rPr>
          <w:sz w:val="20"/>
        </w:rPr>
        <w:t>and</w:t>
      </w:r>
      <w:r>
        <w:rPr>
          <w:spacing w:val="-6"/>
          <w:sz w:val="20"/>
        </w:rPr>
        <w:t xml:space="preserve"> </w:t>
      </w:r>
      <w:r>
        <w:rPr>
          <w:sz w:val="20"/>
        </w:rPr>
        <w:t>the</w:t>
      </w:r>
      <w:r>
        <w:rPr>
          <w:spacing w:val="-10"/>
          <w:sz w:val="20"/>
        </w:rPr>
        <w:t xml:space="preserve"> </w:t>
      </w:r>
      <w:r>
        <w:rPr>
          <w:sz w:val="20"/>
        </w:rPr>
        <w:t>Web</w:t>
      </w:r>
      <w:r>
        <w:rPr>
          <w:spacing w:val="-6"/>
          <w:sz w:val="20"/>
        </w:rPr>
        <w:t xml:space="preserve"> </w:t>
      </w:r>
      <w:r>
        <w:rPr>
          <w:sz w:val="20"/>
        </w:rPr>
        <w:t>of</w:t>
      </w:r>
      <w:r>
        <w:rPr>
          <w:spacing w:val="-6"/>
          <w:sz w:val="20"/>
        </w:rPr>
        <w:t xml:space="preserve"> </w:t>
      </w:r>
      <w:r>
        <w:rPr>
          <w:sz w:val="20"/>
        </w:rPr>
        <w:t>Causation:</w:t>
      </w:r>
      <w:r>
        <w:rPr>
          <w:spacing w:val="-8"/>
          <w:sz w:val="20"/>
        </w:rPr>
        <w:t xml:space="preserve"> </w:t>
      </w:r>
      <w:r>
        <w:rPr>
          <w:sz w:val="20"/>
        </w:rPr>
        <w:t>Has</w:t>
      </w:r>
      <w:r>
        <w:rPr>
          <w:spacing w:val="-7"/>
          <w:sz w:val="20"/>
        </w:rPr>
        <w:t xml:space="preserve"> </w:t>
      </w:r>
      <w:r>
        <w:rPr>
          <w:sz w:val="20"/>
        </w:rPr>
        <w:t>Anyone</w:t>
      </w:r>
      <w:r>
        <w:rPr>
          <w:spacing w:val="-7"/>
          <w:sz w:val="20"/>
        </w:rPr>
        <w:t xml:space="preserve"> </w:t>
      </w:r>
      <w:r>
        <w:rPr>
          <w:sz w:val="20"/>
        </w:rPr>
        <w:t>Seen</w:t>
      </w:r>
      <w:r>
        <w:rPr>
          <w:spacing w:val="-6"/>
          <w:sz w:val="20"/>
        </w:rPr>
        <w:t xml:space="preserve"> </w:t>
      </w:r>
      <w:r>
        <w:rPr>
          <w:sz w:val="20"/>
        </w:rPr>
        <w:t>the</w:t>
      </w:r>
      <w:r>
        <w:rPr>
          <w:spacing w:val="-7"/>
          <w:sz w:val="20"/>
        </w:rPr>
        <w:t xml:space="preserve"> </w:t>
      </w:r>
      <w:r>
        <w:rPr>
          <w:sz w:val="20"/>
        </w:rPr>
        <w:t>Spider?,”</w:t>
      </w:r>
      <w:r>
        <w:rPr>
          <w:spacing w:val="-5"/>
          <w:sz w:val="20"/>
        </w:rPr>
        <w:t xml:space="preserve"> </w:t>
      </w:r>
      <w:r>
        <w:rPr>
          <w:i/>
          <w:sz w:val="20"/>
        </w:rPr>
        <w:t>Social</w:t>
      </w:r>
      <w:r>
        <w:rPr>
          <w:i/>
          <w:spacing w:val="-7"/>
          <w:sz w:val="20"/>
        </w:rPr>
        <w:t xml:space="preserve"> </w:t>
      </w:r>
      <w:r>
        <w:rPr>
          <w:i/>
          <w:sz w:val="20"/>
        </w:rPr>
        <w:t>Science</w:t>
      </w:r>
      <w:r>
        <w:rPr>
          <w:i/>
          <w:spacing w:val="-6"/>
          <w:sz w:val="20"/>
        </w:rPr>
        <w:t xml:space="preserve"> </w:t>
      </w:r>
      <w:r>
        <w:rPr>
          <w:i/>
          <w:sz w:val="20"/>
        </w:rPr>
        <w:t>&amp;</w:t>
      </w:r>
      <w:r>
        <w:rPr>
          <w:i/>
          <w:spacing w:val="-6"/>
          <w:sz w:val="20"/>
        </w:rPr>
        <w:t xml:space="preserve"> </w:t>
      </w:r>
      <w:r>
        <w:rPr>
          <w:i/>
          <w:spacing w:val="-2"/>
          <w:sz w:val="20"/>
        </w:rPr>
        <w:t>Medicine</w:t>
      </w:r>
    </w:p>
    <w:p w:rsidR="00C76E6D" w:rsidRDefault="00913831">
      <w:pPr>
        <w:spacing w:line="241" w:lineRule="exact"/>
        <w:ind w:left="339"/>
        <w:rPr>
          <w:sz w:val="20"/>
        </w:rPr>
      </w:pPr>
      <w:r>
        <w:rPr>
          <w:spacing w:val="-2"/>
          <w:sz w:val="20"/>
        </w:rPr>
        <w:t>39,</w:t>
      </w:r>
      <w:r>
        <w:rPr>
          <w:spacing w:val="2"/>
          <w:sz w:val="20"/>
        </w:rPr>
        <w:t xml:space="preserve"> </w:t>
      </w:r>
      <w:r>
        <w:rPr>
          <w:spacing w:val="-2"/>
          <w:sz w:val="20"/>
        </w:rPr>
        <w:t>no.</w:t>
      </w:r>
      <w:r>
        <w:rPr>
          <w:spacing w:val="10"/>
          <w:sz w:val="20"/>
        </w:rPr>
        <w:t xml:space="preserve"> </w:t>
      </w:r>
      <w:r>
        <w:rPr>
          <w:spacing w:val="-2"/>
          <w:sz w:val="20"/>
        </w:rPr>
        <w:t>7</w:t>
      </w:r>
      <w:r>
        <w:rPr>
          <w:spacing w:val="8"/>
          <w:sz w:val="20"/>
        </w:rPr>
        <w:t xml:space="preserve"> </w:t>
      </w:r>
      <w:r>
        <w:rPr>
          <w:spacing w:val="-2"/>
          <w:sz w:val="20"/>
        </w:rPr>
        <w:t>(October</w:t>
      </w:r>
      <w:r>
        <w:rPr>
          <w:spacing w:val="12"/>
          <w:sz w:val="20"/>
        </w:rPr>
        <w:t xml:space="preserve"> </w:t>
      </w:r>
      <w:r>
        <w:rPr>
          <w:spacing w:val="-2"/>
          <w:sz w:val="20"/>
        </w:rPr>
        <w:t>1994):</w:t>
      </w:r>
      <w:r>
        <w:rPr>
          <w:spacing w:val="11"/>
          <w:sz w:val="20"/>
        </w:rPr>
        <w:t xml:space="preserve"> </w:t>
      </w:r>
      <w:r>
        <w:rPr>
          <w:spacing w:val="-2"/>
          <w:sz w:val="20"/>
        </w:rPr>
        <w:t>887–903,</w:t>
      </w:r>
      <w:r>
        <w:rPr>
          <w:spacing w:val="11"/>
          <w:sz w:val="20"/>
        </w:rPr>
        <w:t xml:space="preserve"> </w:t>
      </w:r>
      <w:r>
        <w:rPr>
          <w:spacing w:val="-2"/>
          <w:sz w:val="20"/>
        </w:rPr>
        <w:t>https://doi.org/10.1016/0277-9536(94)90202-</w:t>
      </w:r>
      <w:r>
        <w:rPr>
          <w:spacing w:val="-5"/>
          <w:sz w:val="20"/>
        </w:rPr>
        <w:t>X.</w:t>
      </w:r>
    </w:p>
    <w:p w:rsidR="00C76E6D" w:rsidRDefault="00913831">
      <w:pPr>
        <w:ind w:left="337" w:right="470"/>
        <w:rPr>
          <w:sz w:val="20"/>
        </w:rPr>
      </w:pPr>
      <w:bookmarkStart w:id="588" w:name="_bookmark427"/>
      <w:bookmarkEnd w:id="588"/>
      <w:r>
        <w:rPr>
          <w:sz w:val="20"/>
          <w:vertAlign w:val="superscript"/>
        </w:rPr>
        <w:t>9</w:t>
      </w:r>
      <w:r>
        <w:rPr>
          <w:sz w:val="20"/>
        </w:rPr>
        <w:t xml:space="preserve"> Crista E. Johnson-Agbakwu et al., “Racism, COVID-19, and Health Inequity in the USA: A Call to Action,” </w:t>
      </w:r>
      <w:r>
        <w:rPr>
          <w:i/>
          <w:sz w:val="20"/>
        </w:rPr>
        <w:t xml:space="preserve">Journal of Racial and Ethnic Health Disparities </w:t>
      </w:r>
      <w:r>
        <w:rPr>
          <w:sz w:val="20"/>
        </w:rPr>
        <w:t>9, no. 1 (February 2022): 52–58, https://doi.org/10.1007</w:t>
      </w:r>
      <w:r>
        <w:rPr>
          <w:sz w:val="20"/>
        </w:rPr>
        <w:t xml:space="preserve">/s40615-020-00928-y; Nicholas E. Ingraham et al., “Racial and Ethnic Disparities in Hospital Admissions from COVID-19: Determining the Impact of Neighborhood Deprivation and Primary Language,” </w:t>
      </w:r>
      <w:r>
        <w:rPr>
          <w:i/>
          <w:sz w:val="20"/>
        </w:rPr>
        <w:t xml:space="preserve">Journal of General Internal Medicine </w:t>
      </w:r>
      <w:r>
        <w:rPr>
          <w:sz w:val="20"/>
        </w:rPr>
        <w:t>36, no. 11 (November 2021)</w:t>
      </w:r>
      <w:r>
        <w:rPr>
          <w:sz w:val="20"/>
        </w:rPr>
        <w:t>: 3462–70, https://doi.org/10.1007/s11606-021-06790-w; Ruprecht et al., “Evidence of Social and Structural</w:t>
      </w:r>
      <w:r>
        <w:rPr>
          <w:spacing w:val="-7"/>
          <w:sz w:val="20"/>
        </w:rPr>
        <w:t xml:space="preserve"> </w:t>
      </w:r>
      <w:r>
        <w:rPr>
          <w:sz w:val="20"/>
        </w:rPr>
        <w:t>COVID-19</w:t>
      </w:r>
      <w:r>
        <w:rPr>
          <w:spacing w:val="-6"/>
          <w:sz w:val="20"/>
        </w:rPr>
        <w:t xml:space="preserve"> </w:t>
      </w:r>
      <w:r>
        <w:rPr>
          <w:sz w:val="20"/>
        </w:rPr>
        <w:t>Disparities</w:t>
      </w:r>
      <w:r>
        <w:rPr>
          <w:spacing w:val="-7"/>
          <w:sz w:val="20"/>
        </w:rPr>
        <w:t xml:space="preserve"> </w:t>
      </w:r>
      <w:r>
        <w:rPr>
          <w:sz w:val="20"/>
        </w:rPr>
        <w:t>by</w:t>
      </w:r>
      <w:r>
        <w:rPr>
          <w:spacing w:val="-7"/>
          <w:sz w:val="20"/>
        </w:rPr>
        <w:t xml:space="preserve"> </w:t>
      </w:r>
      <w:r>
        <w:rPr>
          <w:sz w:val="20"/>
        </w:rPr>
        <w:t>Sexual</w:t>
      </w:r>
      <w:r>
        <w:rPr>
          <w:spacing w:val="-9"/>
          <w:sz w:val="20"/>
        </w:rPr>
        <w:t xml:space="preserve"> </w:t>
      </w:r>
      <w:r>
        <w:rPr>
          <w:sz w:val="20"/>
        </w:rPr>
        <w:t>Orientation,</w:t>
      </w:r>
      <w:r>
        <w:rPr>
          <w:spacing w:val="-6"/>
          <w:sz w:val="20"/>
        </w:rPr>
        <w:t xml:space="preserve"> </w:t>
      </w:r>
      <w:r>
        <w:rPr>
          <w:sz w:val="20"/>
        </w:rPr>
        <w:t>Gender</w:t>
      </w:r>
      <w:r>
        <w:rPr>
          <w:spacing w:val="-7"/>
          <w:sz w:val="20"/>
        </w:rPr>
        <w:t xml:space="preserve"> </w:t>
      </w:r>
      <w:r>
        <w:rPr>
          <w:sz w:val="20"/>
        </w:rPr>
        <w:t>Identity,</w:t>
      </w:r>
      <w:r>
        <w:rPr>
          <w:spacing w:val="-8"/>
          <w:sz w:val="20"/>
        </w:rPr>
        <w:t xml:space="preserve"> </w:t>
      </w:r>
      <w:r>
        <w:rPr>
          <w:sz w:val="20"/>
        </w:rPr>
        <w:t>and</w:t>
      </w:r>
      <w:r>
        <w:rPr>
          <w:spacing w:val="-8"/>
          <w:sz w:val="20"/>
        </w:rPr>
        <w:t xml:space="preserve"> </w:t>
      </w:r>
      <w:r>
        <w:rPr>
          <w:sz w:val="20"/>
        </w:rPr>
        <w:t>Race/Ethnicity</w:t>
      </w:r>
      <w:r>
        <w:rPr>
          <w:spacing w:val="-6"/>
          <w:sz w:val="20"/>
        </w:rPr>
        <w:t xml:space="preserve"> </w:t>
      </w:r>
      <w:r>
        <w:rPr>
          <w:sz w:val="20"/>
        </w:rPr>
        <w:t>in</w:t>
      </w:r>
      <w:r>
        <w:rPr>
          <w:spacing w:val="-6"/>
          <w:sz w:val="20"/>
        </w:rPr>
        <w:t xml:space="preserve"> </w:t>
      </w:r>
      <w:r>
        <w:rPr>
          <w:sz w:val="20"/>
        </w:rPr>
        <w:t>an</w:t>
      </w:r>
      <w:r>
        <w:rPr>
          <w:spacing w:val="-6"/>
          <w:sz w:val="20"/>
        </w:rPr>
        <w:t xml:space="preserve"> </w:t>
      </w:r>
      <w:r>
        <w:rPr>
          <w:sz w:val="20"/>
        </w:rPr>
        <w:t>Urban</w:t>
      </w:r>
      <w:r>
        <w:rPr>
          <w:spacing w:val="-8"/>
          <w:sz w:val="20"/>
        </w:rPr>
        <w:t xml:space="preserve"> </w:t>
      </w:r>
      <w:r>
        <w:rPr>
          <w:sz w:val="20"/>
        </w:rPr>
        <w:t xml:space="preserve">Environment.” </w:t>
      </w:r>
      <w:bookmarkStart w:id="589" w:name="_bookmark428"/>
      <w:bookmarkEnd w:id="589"/>
      <w:r>
        <w:rPr>
          <w:sz w:val="20"/>
          <w:vertAlign w:val="superscript"/>
        </w:rPr>
        <w:t>10</w:t>
      </w:r>
      <w:r>
        <w:rPr>
          <w:sz w:val="20"/>
        </w:rPr>
        <w:t xml:space="preserve"> Johnson-Agbakwu et al., “Racism, COVID-1</w:t>
      </w:r>
      <w:r>
        <w:rPr>
          <w:sz w:val="20"/>
        </w:rPr>
        <w:t>9, and Health Inequity in the USA.”</w:t>
      </w:r>
    </w:p>
    <w:p w:rsidR="00C76E6D" w:rsidRDefault="00913831">
      <w:pPr>
        <w:ind w:left="338"/>
        <w:rPr>
          <w:sz w:val="20"/>
        </w:rPr>
      </w:pPr>
      <w:bookmarkStart w:id="590" w:name="_bookmark429"/>
      <w:bookmarkEnd w:id="590"/>
      <w:r>
        <w:rPr>
          <w:sz w:val="20"/>
          <w:vertAlign w:val="superscript"/>
        </w:rPr>
        <w:t>11</w:t>
      </w:r>
      <w:r>
        <w:rPr>
          <w:spacing w:val="-7"/>
          <w:sz w:val="20"/>
        </w:rPr>
        <w:t xml:space="preserve"> </w:t>
      </w:r>
      <w:r>
        <w:rPr>
          <w:sz w:val="20"/>
        </w:rPr>
        <w:t>Ingraham</w:t>
      </w:r>
      <w:r>
        <w:rPr>
          <w:spacing w:val="-8"/>
          <w:sz w:val="20"/>
        </w:rPr>
        <w:t xml:space="preserve"> </w:t>
      </w:r>
      <w:r>
        <w:rPr>
          <w:sz w:val="20"/>
        </w:rPr>
        <w:t>et</w:t>
      </w:r>
      <w:r>
        <w:rPr>
          <w:spacing w:val="-10"/>
          <w:sz w:val="20"/>
        </w:rPr>
        <w:t xml:space="preserve"> </w:t>
      </w:r>
      <w:r>
        <w:rPr>
          <w:sz w:val="20"/>
        </w:rPr>
        <w:t>al.,</w:t>
      </w:r>
      <w:r>
        <w:rPr>
          <w:spacing w:val="-6"/>
          <w:sz w:val="20"/>
        </w:rPr>
        <w:t xml:space="preserve"> </w:t>
      </w:r>
      <w:r>
        <w:rPr>
          <w:sz w:val="20"/>
        </w:rPr>
        <w:t>“Racial</w:t>
      </w:r>
      <w:r>
        <w:rPr>
          <w:spacing w:val="-9"/>
          <w:sz w:val="20"/>
        </w:rPr>
        <w:t xml:space="preserve"> </w:t>
      </w:r>
      <w:r>
        <w:rPr>
          <w:sz w:val="20"/>
        </w:rPr>
        <w:t>and</w:t>
      </w:r>
      <w:r>
        <w:rPr>
          <w:spacing w:val="-8"/>
          <w:sz w:val="20"/>
        </w:rPr>
        <w:t xml:space="preserve"> </w:t>
      </w:r>
      <w:r>
        <w:rPr>
          <w:sz w:val="20"/>
        </w:rPr>
        <w:t>Ethnic</w:t>
      </w:r>
      <w:r>
        <w:rPr>
          <w:spacing w:val="-10"/>
          <w:sz w:val="20"/>
        </w:rPr>
        <w:t xml:space="preserve"> </w:t>
      </w:r>
      <w:r>
        <w:rPr>
          <w:sz w:val="20"/>
        </w:rPr>
        <w:t>Disparities</w:t>
      </w:r>
      <w:r>
        <w:rPr>
          <w:spacing w:val="-7"/>
          <w:sz w:val="20"/>
        </w:rPr>
        <w:t xml:space="preserve"> </w:t>
      </w:r>
      <w:r>
        <w:rPr>
          <w:sz w:val="20"/>
        </w:rPr>
        <w:t>in</w:t>
      </w:r>
      <w:r>
        <w:rPr>
          <w:spacing w:val="-7"/>
          <w:sz w:val="20"/>
        </w:rPr>
        <w:t xml:space="preserve"> </w:t>
      </w:r>
      <w:r>
        <w:rPr>
          <w:sz w:val="20"/>
        </w:rPr>
        <w:t>Hospital</w:t>
      </w:r>
      <w:r>
        <w:rPr>
          <w:spacing w:val="-10"/>
          <w:sz w:val="20"/>
        </w:rPr>
        <w:t xml:space="preserve"> </w:t>
      </w:r>
      <w:r>
        <w:rPr>
          <w:sz w:val="20"/>
        </w:rPr>
        <w:t>Admissions</w:t>
      </w:r>
      <w:r>
        <w:rPr>
          <w:spacing w:val="-7"/>
          <w:sz w:val="20"/>
        </w:rPr>
        <w:t xml:space="preserve"> </w:t>
      </w:r>
      <w:r>
        <w:rPr>
          <w:sz w:val="20"/>
        </w:rPr>
        <w:t>from</w:t>
      </w:r>
      <w:r>
        <w:rPr>
          <w:spacing w:val="-9"/>
          <w:sz w:val="20"/>
        </w:rPr>
        <w:t xml:space="preserve"> </w:t>
      </w:r>
      <w:r>
        <w:rPr>
          <w:sz w:val="20"/>
        </w:rPr>
        <w:t>COVID-</w:t>
      </w:r>
      <w:r>
        <w:rPr>
          <w:spacing w:val="-4"/>
          <w:sz w:val="20"/>
        </w:rPr>
        <w:t>19.”</w:t>
      </w:r>
    </w:p>
    <w:p w:rsidR="00C76E6D" w:rsidRDefault="00913831">
      <w:pPr>
        <w:ind w:left="339" w:right="530" w:hanging="1"/>
        <w:rPr>
          <w:sz w:val="20"/>
        </w:rPr>
      </w:pPr>
      <w:bookmarkStart w:id="591" w:name="_bookmark430"/>
      <w:bookmarkEnd w:id="591"/>
      <w:r>
        <w:rPr>
          <w:sz w:val="20"/>
          <w:vertAlign w:val="superscript"/>
        </w:rPr>
        <w:t>12</w:t>
      </w:r>
      <w:r>
        <w:rPr>
          <w:spacing w:val="-4"/>
          <w:sz w:val="20"/>
        </w:rPr>
        <w:t xml:space="preserve"> </w:t>
      </w:r>
      <w:r>
        <w:rPr>
          <w:sz w:val="20"/>
        </w:rPr>
        <w:t>Johnson-Agbakwu</w:t>
      </w:r>
      <w:r>
        <w:rPr>
          <w:spacing w:val="-4"/>
          <w:sz w:val="20"/>
        </w:rPr>
        <w:t xml:space="preserve"> </w:t>
      </w:r>
      <w:r>
        <w:rPr>
          <w:sz w:val="20"/>
        </w:rPr>
        <w:t>et</w:t>
      </w:r>
      <w:r>
        <w:rPr>
          <w:spacing w:val="-6"/>
          <w:sz w:val="20"/>
        </w:rPr>
        <w:t xml:space="preserve"> </w:t>
      </w:r>
      <w:r>
        <w:rPr>
          <w:sz w:val="20"/>
        </w:rPr>
        <w:t>al.,</w:t>
      </w:r>
      <w:r>
        <w:rPr>
          <w:spacing w:val="-4"/>
          <w:sz w:val="20"/>
        </w:rPr>
        <w:t xml:space="preserve"> </w:t>
      </w:r>
      <w:r>
        <w:rPr>
          <w:sz w:val="20"/>
        </w:rPr>
        <w:t>“Racism,</w:t>
      </w:r>
      <w:r>
        <w:rPr>
          <w:spacing w:val="-4"/>
          <w:sz w:val="20"/>
        </w:rPr>
        <w:t xml:space="preserve"> </w:t>
      </w:r>
      <w:r>
        <w:rPr>
          <w:sz w:val="20"/>
        </w:rPr>
        <w:t>COVID-19,</w:t>
      </w:r>
      <w:r>
        <w:rPr>
          <w:spacing w:val="-5"/>
          <w:sz w:val="20"/>
        </w:rPr>
        <w:t xml:space="preserve"> </w:t>
      </w:r>
      <w:r>
        <w:rPr>
          <w:sz w:val="20"/>
        </w:rPr>
        <w:t>and</w:t>
      </w:r>
      <w:r>
        <w:rPr>
          <w:spacing w:val="-5"/>
          <w:sz w:val="20"/>
        </w:rPr>
        <w:t xml:space="preserve"> </w:t>
      </w:r>
      <w:r>
        <w:rPr>
          <w:sz w:val="20"/>
        </w:rPr>
        <w:t>Health</w:t>
      </w:r>
      <w:r>
        <w:rPr>
          <w:spacing w:val="-6"/>
          <w:sz w:val="20"/>
        </w:rPr>
        <w:t xml:space="preserve"> </w:t>
      </w:r>
      <w:r>
        <w:rPr>
          <w:sz w:val="20"/>
        </w:rPr>
        <w:t>Inequity</w:t>
      </w:r>
      <w:r>
        <w:rPr>
          <w:spacing w:val="-4"/>
          <w:sz w:val="20"/>
        </w:rPr>
        <w:t xml:space="preserve"> </w:t>
      </w:r>
      <w:r>
        <w:rPr>
          <w:sz w:val="20"/>
        </w:rPr>
        <w:t>in</w:t>
      </w:r>
      <w:r>
        <w:rPr>
          <w:spacing w:val="-5"/>
          <w:sz w:val="20"/>
        </w:rPr>
        <w:t xml:space="preserve"> </w:t>
      </w:r>
      <w:r>
        <w:rPr>
          <w:sz w:val="20"/>
        </w:rPr>
        <w:t>the</w:t>
      </w:r>
      <w:r>
        <w:rPr>
          <w:spacing w:val="-8"/>
          <w:sz w:val="20"/>
        </w:rPr>
        <w:t xml:space="preserve"> </w:t>
      </w:r>
      <w:r>
        <w:rPr>
          <w:sz w:val="20"/>
        </w:rPr>
        <w:t>USA”;</w:t>
      </w:r>
      <w:r>
        <w:rPr>
          <w:spacing w:val="-4"/>
          <w:sz w:val="20"/>
        </w:rPr>
        <w:t xml:space="preserve"> </w:t>
      </w:r>
      <w:r>
        <w:rPr>
          <w:sz w:val="20"/>
        </w:rPr>
        <w:t>Ingraham</w:t>
      </w:r>
      <w:r>
        <w:rPr>
          <w:spacing w:val="-6"/>
          <w:sz w:val="20"/>
        </w:rPr>
        <w:t xml:space="preserve"> </w:t>
      </w:r>
      <w:r>
        <w:rPr>
          <w:sz w:val="20"/>
        </w:rPr>
        <w:t>et</w:t>
      </w:r>
      <w:r>
        <w:rPr>
          <w:spacing w:val="-4"/>
          <w:sz w:val="20"/>
        </w:rPr>
        <w:t xml:space="preserve"> </w:t>
      </w:r>
      <w:r>
        <w:rPr>
          <w:sz w:val="20"/>
        </w:rPr>
        <w:t>al.,</w:t>
      </w:r>
      <w:r>
        <w:rPr>
          <w:spacing w:val="-5"/>
          <w:sz w:val="20"/>
        </w:rPr>
        <w:t xml:space="preserve"> </w:t>
      </w:r>
      <w:r>
        <w:rPr>
          <w:sz w:val="20"/>
        </w:rPr>
        <w:t>“Racial</w:t>
      </w:r>
      <w:r>
        <w:rPr>
          <w:spacing w:val="-5"/>
          <w:sz w:val="20"/>
        </w:rPr>
        <w:t xml:space="preserve"> </w:t>
      </w:r>
      <w:r>
        <w:rPr>
          <w:sz w:val="20"/>
        </w:rPr>
        <w:t>and</w:t>
      </w:r>
      <w:r>
        <w:rPr>
          <w:spacing w:val="-5"/>
          <w:sz w:val="20"/>
        </w:rPr>
        <w:t xml:space="preserve"> </w:t>
      </w:r>
      <w:r>
        <w:rPr>
          <w:sz w:val="20"/>
        </w:rPr>
        <w:t>Ethnic Disparities in Hospital Admissions from COVID-19”; Ruprecht et al., “Evidence of Social and Structural COVID-19 Disparities by Sexual Orientation, Gender Identity, and Race/Ethnicity in an Urban Environment.”</w:t>
      </w:r>
    </w:p>
    <w:p w:rsidR="00C76E6D" w:rsidRDefault="00913831">
      <w:pPr>
        <w:spacing w:before="4" w:line="241" w:lineRule="exact"/>
        <w:ind w:left="338"/>
        <w:rPr>
          <w:sz w:val="20"/>
        </w:rPr>
      </w:pPr>
      <w:bookmarkStart w:id="592" w:name="_bookmark431"/>
      <w:bookmarkEnd w:id="592"/>
      <w:r>
        <w:rPr>
          <w:sz w:val="20"/>
          <w:vertAlign w:val="superscript"/>
        </w:rPr>
        <w:t>13</w:t>
      </w:r>
      <w:r>
        <w:rPr>
          <w:spacing w:val="-7"/>
          <w:sz w:val="20"/>
        </w:rPr>
        <w:t xml:space="preserve"> </w:t>
      </w:r>
      <w:bookmarkStart w:id="593" w:name="_bookmark432"/>
      <w:bookmarkEnd w:id="593"/>
      <w:r>
        <w:rPr>
          <w:sz w:val="20"/>
        </w:rPr>
        <w:t>Ingraham</w:t>
      </w:r>
      <w:r>
        <w:rPr>
          <w:spacing w:val="-8"/>
          <w:sz w:val="20"/>
        </w:rPr>
        <w:t xml:space="preserve"> </w:t>
      </w:r>
      <w:r>
        <w:rPr>
          <w:sz w:val="20"/>
        </w:rPr>
        <w:t>et</w:t>
      </w:r>
      <w:r>
        <w:rPr>
          <w:spacing w:val="-10"/>
          <w:sz w:val="20"/>
        </w:rPr>
        <w:t xml:space="preserve"> </w:t>
      </w:r>
      <w:r>
        <w:rPr>
          <w:sz w:val="20"/>
        </w:rPr>
        <w:t>al.,</w:t>
      </w:r>
      <w:r>
        <w:rPr>
          <w:spacing w:val="-6"/>
          <w:sz w:val="20"/>
        </w:rPr>
        <w:t xml:space="preserve"> </w:t>
      </w:r>
      <w:r>
        <w:rPr>
          <w:sz w:val="20"/>
        </w:rPr>
        <w:t>“Racial</w:t>
      </w:r>
      <w:r>
        <w:rPr>
          <w:spacing w:val="-9"/>
          <w:sz w:val="20"/>
        </w:rPr>
        <w:t xml:space="preserve"> </w:t>
      </w:r>
      <w:r>
        <w:rPr>
          <w:sz w:val="20"/>
        </w:rPr>
        <w:t>and</w:t>
      </w:r>
      <w:r>
        <w:rPr>
          <w:spacing w:val="-8"/>
          <w:sz w:val="20"/>
        </w:rPr>
        <w:t xml:space="preserve"> </w:t>
      </w:r>
      <w:r>
        <w:rPr>
          <w:sz w:val="20"/>
        </w:rPr>
        <w:t>Ethnic</w:t>
      </w:r>
      <w:r>
        <w:rPr>
          <w:spacing w:val="-10"/>
          <w:sz w:val="20"/>
        </w:rPr>
        <w:t xml:space="preserve"> </w:t>
      </w:r>
      <w:r>
        <w:rPr>
          <w:sz w:val="20"/>
        </w:rPr>
        <w:t>Disparities</w:t>
      </w:r>
      <w:r>
        <w:rPr>
          <w:spacing w:val="-7"/>
          <w:sz w:val="20"/>
        </w:rPr>
        <w:t xml:space="preserve"> </w:t>
      </w:r>
      <w:r>
        <w:rPr>
          <w:sz w:val="20"/>
        </w:rPr>
        <w:t>in</w:t>
      </w:r>
      <w:r>
        <w:rPr>
          <w:spacing w:val="-7"/>
          <w:sz w:val="20"/>
        </w:rPr>
        <w:t xml:space="preserve"> </w:t>
      </w:r>
      <w:r>
        <w:rPr>
          <w:sz w:val="20"/>
        </w:rPr>
        <w:t>Hospital</w:t>
      </w:r>
      <w:r>
        <w:rPr>
          <w:spacing w:val="-10"/>
          <w:sz w:val="20"/>
        </w:rPr>
        <w:t xml:space="preserve"> </w:t>
      </w:r>
      <w:r>
        <w:rPr>
          <w:sz w:val="20"/>
        </w:rPr>
        <w:t>Admissions</w:t>
      </w:r>
      <w:r>
        <w:rPr>
          <w:spacing w:val="-7"/>
          <w:sz w:val="20"/>
        </w:rPr>
        <w:t xml:space="preserve"> </w:t>
      </w:r>
      <w:r>
        <w:rPr>
          <w:sz w:val="20"/>
        </w:rPr>
        <w:t>from</w:t>
      </w:r>
      <w:r>
        <w:rPr>
          <w:spacing w:val="-9"/>
          <w:sz w:val="20"/>
        </w:rPr>
        <w:t xml:space="preserve"> </w:t>
      </w:r>
      <w:r>
        <w:rPr>
          <w:sz w:val="20"/>
        </w:rPr>
        <w:t>COVID-</w:t>
      </w:r>
      <w:r>
        <w:rPr>
          <w:spacing w:val="-4"/>
          <w:sz w:val="20"/>
        </w:rPr>
        <w:t>19.”</w:t>
      </w:r>
    </w:p>
    <w:p w:rsidR="00C76E6D" w:rsidRDefault="00913831">
      <w:pPr>
        <w:ind w:left="339" w:right="437" w:hanging="2"/>
        <w:rPr>
          <w:sz w:val="20"/>
        </w:rPr>
      </w:pPr>
      <w:r>
        <w:rPr>
          <w:sz w:val="20"/>
          <w:vertAlign w:val="superscript"/>
        </w:rPr>
        <w:t>14</w:t>
      </w:r>
      <w:r>
        <w:rPr>
          <w:spacing w:val="-5"/>
          <w:sz w:val="20"/>
        </w:rPr>
        <w:t xml:space="preserve"> </w:t>
      </w:r>
      <w:r>
        <w:rPr>
          <w:sz w:val="20"/>
        </w:rPr>
        <w:t>Denise</w:t>
      </w:r>
      <w:r>
        <w:rPr>
          <w:spacing w:val="-8"/>
          <w:sz w:val="20"/>
        </w:rPr>
        <w:t xml:space="preserve"> </w:t>
      </w:r>
      <w:r>
        <w:rPr>
          <w:sz w:val="20"/>
        </w:rPr>
        <w:t>Spivak,</w:t>
      </w:r>
      <w:r>
        <w:rPr>
          <w:spacing w:val="-6"/>
          <w:sz w:val="20"/>
        </w:rPr>
        <w:t xml:space="preserve"> </w:t>
      </w:r>
      <w:r>
        <w:rPr>
          <w:sz w:val="20"/>
        </w:rPr>
        <w:t>“2020</w:t>
      </w:r>
      <w:r>
        <w:rPr>
          <w:spacing w:val="-5"/>
          <w:sz w:val="20"/>
        </w:rPr>
        <w:t xml:space="preserve"> </w:t>
      </w:r>
      <w:r>
        <w:rPr>
          <w:sz w:val="20"/>
        </w:rPr>
        <w:t>LGBTQ</w:t>
      </w:r>
      <w:r>
        <w:rPr>
          <w:spacing w:val="-7"/>
          <w:sz w:val="20"/>
        </w:rPr>
        <w:t xml:space="preserve"> </w:t>
      </w:r>
      <w:r>
        <w:rPr>
          <w:sz w:val="20"/>
        </w:rPr>
        <w:t>Community</w:t>
      </w:r>
      <w:r>
        <w:rPr>
          <w:spacing w:val="-7"/>
          <w:sz w:val="20"/>
        </w:rPr>
        <w:t xml:space="preserve"> </w:t>
      </w:r>
      <w:r>
        <w:rPr>
          <w:sz w:val="20"/>
        </w:rPr>
        <w:t>Center</w:t>
      </w:r>
      <w:r>
        <w:rPr>
          <w:spacing w:val="-6"/>
          <w:sz w:val="20"/>
        </w:rPr>
        <w:t xml:space="preserve"> </w:t>
      </w:r>
      <w:r>
        <w:rPr>
          <w:sz w:val="20"/>
        </w:rPr>
        <w:t>Survey</w:t>
      </w:r>
      <w:r>
        <w:rPr>
          <w:spacing w:val="-7"/>
          <w:sz w:val="20"/>
        </w:rPr>
        <w:t xml:space="preserve"> </w:t>
      </w:r>
      <w:r>
        <w:rPr>
          <w:sz w:val="20"/>
        </w:rPr>
        <w:t>Report,”</w:t>
      </w:r>
      <w:r>
        <w:rPr>
          <w:spacing w:val="-6"/>
          <w:sz w:val="20"/>
        </w:rPr>
        <w:t xml:space="preserve"> </w:t>
      </w:r>
      <w:r>
        <w:rPr>
          <w:i/>
          <w:sz w:val="20"/>
        </w:rPr>
        <w:t>Movement</w:t>
      </w:r>
      <w:r>
        <w:rPr>
          <w:i/>
          <w:spacing w:val="-7"/>
          <w:sz w:val="20"/>
        </w:rPr>
        <w:t xml:space="preserve"> </w:t>
      </w:r>
      <w:r>
        <w:rPr>
          <w:i/>
          <w:sz w:val="20"/>
        </w:rPr>
        <w:t>Advancement</w:t>
      </w:r>
      <w:r>
        <w:rPr>
          <w:i/>
          <w:spacing w:val="-5"/>
          <w:sz w:val="20"/>
        </w:rPr>
        <w:t xml:space="preserve"> </w:t>
      </w:r>
      <w:r>
        <w:rPr>
          <w:i/>
          <w:sz w:val="20"/>
        </w:rPr>
        <w:t>Project</w:t>
      </w:r>
      <w:r>
        <w:rPr>
          <w:i/>
          <w:spacing w:val="-5"/>
          <w:sz w:val="20"/>
        </w:rPr>
        <w:t xml:space="preserve"> </w:t>
      </w:r>
      <w:r>
        <w:rPr>
          <w:i/>
          <w:sz w:val="20"/>
        </w:rPr>
        <w:t>and</w:t>
      </w:r>
      <w:r>
        <w:rPr>
          <w:i/>
          <w:spacing w:val="-5"/>
          <w:sz w:val="20"/>
        </w:rPr>
        <w:t xml:space="preserve"> </w:t>
      </w:r>
      <w:r>
        <w:rPr>
          <w:i/>
          <w:sz w:val="20"/>
        </w:rPr>
        <w:t>Centerlink (MAP)</w:t>
      </w:r>
      <w:r>
        <w:rPr>
          <w:sz w:val="20"/>
        </w:rPr>
        <w:t>, 2020, 11.</w:t>
      </w:r>
    </w:p>
    <w:p w:rsidR="00C76E6D" w:rsidRDefault="00913831">
      <w:pPr>
        <w:ind w:left="339" w:right="530" w:hanging="2"/>
        <w:rPr>
          <w:sz w:val="20"/>
        </w:rPr>
      </w:pPr>
      <w:bookmarkStart w:id="594" w:name="_bookmark433"/>
      <w:bookmarkEnd w:id="594"/>
      <w:r>
        <w:rPr>
          <w:sz w:val="20"/>
          <w:vertAlign w:val="superscript"/>
        </w:rPr>
        <w:t>15</w:t>
      </w:r>
      <w:r>
        <w:rPr>
          <w:spacing w:val="-4"/>
          <w:sz w:val="20"/>
        </w:rPr>
        <w:t xml:space="preserve"> </w:t>
      </w:r>
      <w:r>
        <w:rPr>
          <w:sz w:val="20"/>
        </w:rPr>
        <w:t>Daniel</w:t>
      </w:r>
      <w:r>
        <w:rPr>
          <w:spacing w:val="-5"/>
          <w:sz w:val="20"/>
        </w:rPr>
        <w:t xml:space="preserve"> </w:t>
      </w:r>
      <w:r>
        <w:rPr>
          <w:sz w:val="20"/>
        </w:rPr>
        <w:t>Teixeira</w:t>
      </w:r>
      <w:r>
        <w:rPr>
          <w:spacing w:val="-4"/>
          <w:sz w:val="20"/>
        </w:rPr>
        <w:t xml:space="preserve"> </w:t>
      </w:r>
      <w:r>
        <w:rPr>
          <w:sz w:val="20"/>
        </w:rPr>
        <w:t>da</w:t>
      </w:r>
      <w:r>
        <w:rPr>
          <w:spacing w:val="-6"/>
          <w:sz w:val="20"/>
        </w:rPr>
        <w:t xml:space="preserve"> </w:t>
      </w:r>
      <w:r>
        <w:rPr>
          <w:sz w:val="20"/>
        </w:rPr>
        <w:t>Silva</w:t>
      </w:r>
      <w:r>
        <w:rPr>
          <w:spacing w:val="-4"/>
          <w:sz w:val="20"/>
        </w:rPr>
        <w:t xml:space="preserve"> </w:t>
      </w:r>
      <w:r>
        <w:rPr>
          <w:sz w:val="20"/>
        </w:rPr>
        <w:t>et</w:t>
      </w:r>
      <w:r>
        <w:rPr>
          <w:spacing w:val="-4"/>
          <w:sz w:val="20"/>
        </w:rPr>
        <w:t xml:space="preserve"> </w:t>
      </w:r>
      <w:r>
        <w:rPr>
          <w:sz w:val="20"/>
        </w:rPr>
        <w:t>al.,</w:t>
      </w:r>
      <w:r>
        <w:rPr>
          <w:spacing w:val="-4"/>
          <w:sz w:val="20"/>
        </w:rPr>
        <w:t xml:space="preserve"> </w:t>
      </w:r>
      <w:r>
        <w:rPr>
          <w:sz w:val="20"/>
        </w:rPr>
        <w:t>“COVID-19</w:t>
      </w:r>
      <w:r>
        <w:rPr>
          <w:spacing w:val="-6"/>
          <w:sz w:val="20"/>
        </w:rPr>
        <w:t xml:space="preserve"> </w:t>
      </w:r>
      <w:r>
        <w:rPr>
          <w:sz w:val="20"/>
        </w:rPr>
        <w:t>Vaccine</w:t>
      </w:r>
      <w:r>
        <w:rPr>
          <w:spacing w:val="-8"/>
          <w:sz w:val="20"/>
        </w:rPr>
        <w:t xml:space="preserve"> </w:t>
      </w:r>
      <w:r>
        <w:rPr>
          <w:sz w:val="20"/>
        </w:rPr>
        <w:t>Acceptance</w:t>
      </w:r>
      <w:r>
        <w:rPr>
          <w:spacing w:val="-4"/>
          <w:sz w:val="20"/>
        </w:rPr>
        <w:t xml:space="preserve"> </w:t>
      </w:r>
      <w:r>
        <w:rPr>
          <w:sz w:val="20"/>
        </w:rPr>
        <w:t>among</w:t>
      </w:r>
      <w:r>
        <w:rPr>
          <w:spacing w:val="-5"/>
          <w:sz w:val="20"/>
        </w:rPr>
        <w:t xml:space="preserve"> </w:t>
      </w:r>
      <w:r>
        <w:rPr>
          <w:sz w:val="20"/>
        </w:rPr>
        <w:t>an</w:t>
      </w:r>
      <w:r>
        <w:rPr>
          <w:spacing w:val="-5"/>
          <w:sz w:val="20"/>
        </w:rPr>
        <w:t xml:space="preserve"> </w:t>
      </w:r>
      <w:r>
        <w:rPr>
          <w:sz w:val="20"/>
        </w:rPr>
        <w:t>Online</w:t>
      </w:r>
      <w:r>
        <w:rPr>
          <w:spacing w:val="-6"/>
          <w:sz w:val="20"/>
        </w:rPr>
        <w:t xml:space="preserve"> </w:t>
      </w:r>
      <w:r>
        <w:rPr>
          <w:sz w:val="20"/>
        </w:rPr>
        <w:t>Sample</w:t>
      </w:r>
      <w:r>
        <w:rPr>
          <w:spacing w:val="-6"/>
          <w:sz w:val="20"/>
        </w:rPr>
        <w:t xml:space="preserve"> </w:t>
      </w:r>
      <w:r>
        <w:rPr>
          <w:sz w:val="20"/>
        </w:rPr>
        <w:t>of</w:t>
      </w:r>
      <w:r>
        <w:rPr>
          <w:spacing w:val="-4"/>
          <w:sz w:val="20"/>
        </w:rPr>
        <w:t xml:space="preserve"> </w:t>
      </w:r>
      <w:r>
        <w:rPr>
          <w:sz w:val="20"/>
        </w:rPr>
        <w:t>Sexual</w:t>
      </w:r>
      <w:r>
        <w:rPr>
          <w:spacing w:val="-7"/>
          <w:sz w:val="20"/>
        </w:rPr>
        <w:t xml:space="preserve"> </w:t>
      </w:r>
      <w:r>
        <w:rPr>
          <w:sz w:val="20"/>
        </w:rPr>
        <w:t>and</w:t>
      </w:r>
      <w:r>
        <w:rPr>
          <w:spacing w:val="-5"/>
          <w:sz w:val="20"/>
        </w:rPr>
        <w:t xml:space="preserve"> </w:t>
      </w:r>
      <w:r>
        <w:rPr>
          <w:sz w:val="20"/>
        </w:rPr>
        <w:t xml:space="preserve">Gender Minority Men and Transgender Women,” </w:t>
      </w:r>
      <w:r>
        <w:rPr>
          <w:i/>
          <w:sz w:val="20"/>
        </w:rPr>
        <w:t xml:space="preserve">Vaccines </w:t>
      </w:r>
      <w:r>
        <w:rPr>
          <w:sz w:val="20"/>
        </w:rPr>
        <w:t xml:space="preserve">9, no. 3 (March 1, 2021): 204, </w:t>
      </w:r>
      <w:r>
        <w:rPr>
          <w:spacing w:val="-2"/>
          <w:sz w:val="20"/>
        </w:rPr>
        <w:t>https://doi.org/10.3390/vaccines9030204.</w:t>
      </w:r>
    </w:p>
    <w:p w:rsidR="00C76E6D" w:rsidRDefault="00913831">
      <w:pPr>
        <w:ind w:left="339" w:right="898" w:hanging="1"/>
        <w:rPr>
          <w:sz w:val="20"/>
        </w:rPr>
      </w:pPr>
      <w:bookmarkStart w:id="595" w:name="_bookmark434"/>
      <w:bookmarkEnd w:id="595"/>
      <w:r>
        <w:rPr>
          <w:sz w:val="20"/>
          <w:vertAlign w:val="superscript"/>
        </w:rPr>
        <w:t>16</w:t>
      </w:r>
      <w:r>
        <w:rPr>
          <w:spacing w:val="-6"/>
          <w:sz w:val="20"/>
        </w:rPr>
        <w:t xml:space="preserve"> </w:t>
      </w:r>
      <w:r>
        <w:rPr>
          <w:sz w:val="20"/>
        </w:rPr>
        <w:t>Massachusetts</w:t>
      </w:r>
      <w:r>
        <w:rPr>
          <w:spacing w:val="-7"/>
          <w:sz w:val="20"/>
        </w:rPr>
        <w:t xml:space="preserve"> </w:t>
      </w:r>
      <w:r>
        <w:rPr>
          <w:sz w:val="20"/>
        </w:rPr>
        <w:t>Department</w:t>
      </w:r>
      <w:r>
        <w:rPr>
          <w:spacing w:val="-7"/>
          <w:sz w:val="20"/>
        </w:rPr>
        <w:t xml:space="preserve"> </w:t>
      </w:r>
      <w:r>
        <w:rPr>
          <w:sz w:val="20"/>
        </w:rPr>
        <w:t>of</w:t>
      </w:r>
      <w:r>
        <w:rPr>
          <w:spacing w:val="-7"/>
          <w:sz w:val="20"/>
        </w:rPr>
        <w:t xml:space="preserve"> </w:t>
      </w:r>
      <w:r>
        <w:rPr>
          <w:sz w:val="20"/>
        </w:rPr>
        <w:t>Public</w:t>
      </w:r>
      <w:r>
        <w:rPr>
          <w:spacing w:val="-6"/>
          <w:sz w:val="20"/>
        </w:rPr>
        <w:t xml:space="preserve"> </w:t>
      </w:r>
      <w:r>
        <w:rPr>
          <w:sz w:val="20"/>
        </w:rPr>
        <w:t>Health,</w:t>
      </w:r>
      <w:r>
        <w:rPr>
          <w:spacing w:val="-6"/>
          <w:sz w:val="20"/>
        </w:rPr>
        <w:t xml:space="preserve"> </w:t>
      </w:r>
      <w:r>
        <w:rPr>
          <w:sz w:val="20"/>
        </w:rPr>
        <w:t>“Thursday</w:t>
      </w:r>
      <w:r>
        <w:rPr>
          <w:spacing w:val="-6"/>
          <w:sz w:val="20"/>
        </w:rPr>
        <w:t xml:space="preserve"> </w:t>
      </w:r>
      <w:r>
        <w:rPr>
          <w:sz w:val="20"/>
        </w:rPr>
        <w:t>COVID-19</w:t>
      </w:r>
      <w:r>
        <w:rPr>
          <w:spacing w:val="-6"/>
          <w:sz w:val="20"/>
        </w:rPr>
        <w:t xml:space="preserve"> </w:t>
      </w:r>
      <w:r>
        <w:rPr>
          <w:sz w:val="20"/>
        </w:rPr>
        <w:t>Internal</w:t>
      </w:r>
      <w:r>
        <w:rPr>
          <w:spacing w:val="-7"/>
          <w:sz w:val="20"/>
        </w:rPr>
        <w:t xml:space="preserve"> </w:t>
      </w:r>
      <w:r>
        <w:rPr>
          <w:sz w:val="20"/>
        </w:rPr>
        <w:t>Vaccination</w:t>
      </w:r>
      <w:r>
        <w:rPr>
          <w:spacing w:val="-6"/>
          <w:sz w:val="20"/>
        </w:rPr>
        <w:t xml:space="preserve"> </w:t>
      </w:r>
      <w:r>
        <w:rPr>
          <w:sz w:val="20"/>
        </w:rPr>
        <w:t>Report,”</w:t>
      </w:r>
      <w:r>
        <w:rPr>
          <w:spacing w:val="-6"/>
          <w:sz w:val="20"/>
        </w:rPr>
        <w:t xml:space="preserve"> </w:t>
      </w:r>
      <w:r>
        <w:rPr>
          <w:sz w:val="20"/>
        </w:rPr>
        <w:t>May</w:t>
      </w:r>
      <w:r>
        <w:rPr>
          <w:spacing w:val="-7"/>
          <w:sz w:val="20"/>
        </w:rPr>
        <w:t xml:space="preserve"> </w:t>
      </w:r>
      <w:r>
        <w:rPr>
          <w:sz w:val="20"/>
        </w:rPr>
        <w:t>31,</w:t>
      </w:r>
      <w:r>
        <w:rPr>
          <w:spacing w:val="-6"/>
          <w:sz w:val="20"/>
        </w:rPr>
        <w:t xml:space="preserve"> </w:t>
      </w:r>
      <w:r>
        <w:rPr>
          <w:sz w:val="20"/>
        </w:rPr>
        <w:t xml:space="preserve">2022, </w:t>
      </w:r>
      <w:r>
        <w:rPr>
          <w:spacing w:val="-2"/>
          <w:sz w:val="20"/>
        </w:rPr>
        <w:t>https://</w:t>
      </w:r>
      <w:hyperlink r:id="rId320">
        <w:r>
          <w:rPr>
            <w:spacing w:val="-2"/>
            <w:sz w:val="20"/>
          </w:rPr>
          <w:t>www.mass.gov/doc/weekly-covid-19-vaccination-report-june-2-2022/download.</w:t>
        </w:r>
      </w:hyperlink>
    </w:p>
    <w:p w:rsidR="00C76E6D" w:rsidRDefault="00913831">
      <w:pPr>
        <w:ind w:left="338"/>
        <w:rPr>
          <w:sz w:val="20"/>
        </w:rPr>
      </w:pPr>
      <w:bookmarkStart w:id="596" w:name="_bookmark435"/>
      <w:bookmarkEnd w:id="596"/>
      <w:r>
        <w:rPr>
          <w:sz w:val="20"/>
          <w:vertAlign w:val="superscript"/>
        </w:rPr>
        <w:t>17</w:t>
      </w:r>
      <w:r>
        <w:rPr>
          <w:spacing w:val="-6"/>
          <w:sz w:val="20"/>
        </w:rPr>
        <w:t xml:space="preserve"> </w:t>
      </w:r>
      <w:r>
        <w:rPr>
          <w:sz w:val="20"/>
        </w:rPr>
        <w:t>Nambi</w:t>
      </w:r>
      <w:r>
        <w:rPr>
          <w:spacing w:val="-7"/>
          <w:sz w:val="20"/>
        </w:rPr>
        <w:t xml:space="preserve"> </w:t>
      </w:r>
      <w:r>
        <w:rPr>
          <w:sz w:val="20"/>
        </w:rPr>
        <w:t>Ndugga</w:t>
      </w:r>
      <w:r>
        <w:rPr>
          <w:spacing w:val="-7"/>
          <w:sz w:val="20"/>
        </w:rPr>
        <w:t xml:space="preserve"> </w:t>
      </w:r>
      <w:r>
        <w:rPr>
          <w:sz w:val="20"/>
        </w:rPr>
        <w:t>et</w:t>
      </w:r>
      <w:r>
        <w:rPr>
          <w:spacing w:val="-4"/>
          <w:sz w:val="20"/>
        </w:rPr>
        <w:t xml:space="preserve"> </w:t>
      </w:r>
      <w:r>
        <w:rPr>
          <w:sz w:val="20"/>
        </w:rPr>
        <w:t>al.,</w:t>
      </w:r>
      <w:r>
        <w:rPr>
          <w:spacing w:val="-6"/>
          <w:sz w:val="20"/>
        </w:rPr>
        <w:t xml:space="preserve"> </w:t>
      </w:r>
      <w:r>
        <w:rPr>
          <w:sz w:val="20"/>
        </w:rPr>
        <w:t>“Latest</w:t>
      </w:r>
      <w:r>
        <w:rPr>
          <w:spacing w:val="-6"/>
          <w:sz w:val="20"/>
        </w:rPr>
        <w:t xml:space="preserve"> </w:t>
      </w:r>
      <w:r>
        <w:rPr>
          <w:sz w:val="20"/>
        </w:rPr>
        <w:t>Data</w:t>
      </w:r>
      <w:r>
        <w:rPr>
          <w:spacing w:val="-6"/>
          <w:sz w:val="20"/>
        </w:rPr>
        <w:t xml:space="preserve"> </w:t>
      </w:r>
      <w:r>
        <w:rPr>
          <w:sz w:val="20"/>
        </w:rPr>
        <w:t>on</w:t>
      </w:r>
      <w:r>
        <w:rPr>
          <w:spacing w:val="-6"/>
          <w:sz w:val="20"/>
        </w:rPr>
        <w:t xml:space="preserve"> </w:t>
      </w:r>
      <w:r>
        <w:rPr>
          <w:sz w:val="20"/>
        </w:rPr>
        <w:t>COVID-19</w:t>
      </w:r>
      <w:r>
        <w:rPr>
          <w:spacing w:val="-5"/>
          <w:sz w:val="20"/>
        </w:rPr>
        <w:t xml:space="preserve"> </w:t>
      </w:r>
      <w:r>
        <w:rPr>
          <w:sz w:val="20"/>
        </w:rPr>
        <w:t>Vaccinations</w:t>
      </w:r>
      <w:r>
        <w:rPr>
          <w:spacing w:val="-6"/>
          <w:sz w:val="20"/>
        </w:rPr>
        <w:t xml:space="preserve"> </w:t>
      </w:r>
      <w:r>
        <w:rPr>
          <w:sz w:val="20"/>
        </w:rPr>
        <w:t>by</w:t>
      </w:r>
      <w:r>
        <w:rPr>
          <w:spacing w:val="-8"/>
          <w:sz w:val="20"/>
        </w:rPr>
        <w:t xml:space="preserve"> </w:t>
      </w:r>
      <w:r>
        <w:rPr>
          <w:sz w:val="20"/>
        </w:rPr>
        <w:t>Race/Ethni</w:t>
      </w:r>
      <w:r>
        <w:rPr>
          <w:sz w:val="20"/>
        </w:rPr>
        <w:t>city</w:t>
      </w:r>
      <w:r>
        <w:rPr>
          <w:spacing w:val="-4"/>
          <w:sz w:val="20"/>
        </w:rPr>
        <w:t xml:space="preserve"> </w:t>
      </w:r>
      <w:r>
        <w:rPr>
          <w:sz w:val="20"/>
        </w:rPr>
        <w:t>|</w:t>
      </w:r>
      <w:r>
        <w:rPr>
          <w:spacing w:val="-6"/>
          <w:sz w:val="20"/>
        </w:rPr>
        <w:t xml:space="preserve"> </w:t>
      </w:r>
      <w:r>
        <w:rPr>
          <w:sz w:val="20"/>
        </w:rPr>
        <w:t>KFF,”</w:t>
      </w:r>
      <w:r>
        <w:rPr>
          <w:spacing w:val="-8"/>
          <w:sz w:val="20"/>
        </w:rPr>
        <w:t xml:space="preserve"> </w:t>
      </w:r>
      <w:r>
        <w:rPr>
          <w:sz w:val="20"/>
        </w:rPr>
        <w:t>KFF</w:t>
      </w:r>
      <w:r>
        <w:rPr>
          <w:spacing w:val="-7"/>
          <w:sz w:val="20"/>
        </w:rPr>
        <w:t xml:space="preserve"> </w:t>
      </w:r>
      <w:r>
        <w:rPr>
          <w:sz w:val="20"/>
        </w:rPr>
        <w:t>-</w:t>
      </w:r>
      <w:r>
        <w:rPr>
          <w:spacing w:val="-6"/>
          <w:sz w:val="20"/>
        </w:rPr>
        <w:t xml:space="preserve"> </w:t>
      </w:r>
      <w:r>
        <w:rPr>
          <w:sz w:val="20"/>
        </w:rPr>
        <w:t>Kaiser</w:t>
      </w:r>
      <w:r>
        <w:rPr>
          <w:spacing w:val="-8"/>
          <w:sz w:val="20"/>
        </w:rPr>
        <w:t xml:space="preserve"> </w:t>
      </w:r>
      <w:r>
        <w:rPr>
          <w:spacing w:val="-2"/>
          <w:sz w:val="20"/>
        </w:rPr>
        <w:t>Family</w:t>
      </w:r>
    </w:p>
    <w:p w:rsidR="00C76E6D" w:rsidRDefault="00C76E6D">
      <w:pPr>
        <w:rPr>
          <w:sz w:val="20"/>
        </w:rPr>
        <w:sectPr w:rsidR="00C76E6D">
          <w:pgSz w:w="12240" w:h="15840"/>
          <w:pgMar w:top="1000" w:right="960" w:bottom="640" w:left="960" w:header="802" w:footer="440" w:gutter="0"/>
          <w:cols w:space="720"/>
        </w:sectPr>
      </w:pPr>
    </w:p>
    <w:p w:rsidR="00C76E6D" w:rsidRDefault="00C76E6D">
      <w:pPr>
        <w:pStyle w:val="BodyText"/>
        <w:rPr>
          <w:sz w:val="20"/>
        </w:rPr>
      </w:pPr>
    </w:p>
    <w:p w:rsidR="00C76E6D" w:rsidRDefault="00C76E6D">
      <w:pPr>
        <w:pStyle w:val="BodyText"/>
        <w:rPr>
          <w:sz w:val="23"/>
        </w:rPr>
      </w:pPr>
    </w:p>
    <w:p w:rsidR="00C76E6D" w:rsidRDefault="00913831">
      <w:pPr>
        <w:spacing w:before="60"/>
        <w:ind w:left="338"/>
        <w:rPr>
          <w:sz w:val="20"/>
        </w:rPr>
      </w:pPr>
      <w:r>
        <w:rPr>
          <w:spacing w:val="-2"/>
          <w:sz w:val="20"/>
        </w:rPr>
        <w:t>Foundation, 2022, https://</w:t>
      </w:r>
      <w:hyperlink r:id="rId321">
        <w:r>
          <w:rPr>
            <w:spacing w:val="-2"/>
            <w:sz w:val="20"/>
          </w:rPr>
          <w:t>www.kff.org/coronavirus-covid-19/issue-brief/latest-data-on-covi</w:t>
        </w:r>
        <w:r>
          <w:rPr>
            <w:spacing w:val="-2"/>
            <w:sz w:val="20"/>
          </w:rPr>
          <w:t>d-19-vaccinations-by-race-</w:t>
        </w:r>
      </w:hyperlink>
      <w:r>
        <w:rPr>
          <w:spacing w:val="-2"/>
          <w:sz w:val="20"/>
        </w:rPr>
        <w:t xml:space="preserve"> ethnicity/.</w:t>
      </w:r>
    </w:p>
    <w:p w:rsidR="00C76E6D" w:rsidRDefault="00913831">
      <w:pPr>
        <w:ind w:left="338" w:right="530" w:hanging="1"/>
        <w:rPr>
          <w:sz w:val="20"/>
        </w:rPr>
      </w:pPr>
      <w:bookmarkStart w:id="597" w:name="_bookmark436"/>
      <w:bookmarkEnd w:id="597"/>
      <w:r>
        <w:rPr>
          <w:sz w:val="20"/>
          <w:vertAlign w:val="superscript"/>
        </w:rPr>
        <w:t>18</w:t>
      </w:r>
      <w:r>
        <w:rPr>
          <w:sz w:val="20"/>
        </w:rPr>
        <w:t xml:space="preserve"> Executive Office of Health and Human Services, “COVID-19 Vaccinations for Children Ages 5-11 | Mass.Gov,” </w:t>
      </w:r>
      <w:bookmarkStart w:id="598" w:name="_bookmark437"/>
      <w:bookmarkEnd w:id="598"/>
      <w:r>
        <w:rPr>
          <w:sz w:val="20"/>
        </w:rPr>
        <w:t>Mass.gov,</w:t>
      </w:r>
      <w:r>
        <w:rPr>
          <w:spacing w:val="-12"/>
          <w:sz w:val="20"/>
        </w:rPr>
        <w:t xml:space="preserve"> </w:t>
      </w:r>
      <w:r>
        <w:rPr>
          <w:sz w:val="20"/>
        </w:rPr>
        <w:t>accessed</w:t>
      </w:r>
      <w:r>
        <w:rPr>
          <w:spacing w:val="-11"/>
          <w:sz w:val="20"/>
        </w:rPr>
        <w:t xml:space="preserve"> </w:t>
      </w:r>
      <w:r>
        <w:rPr>
          <w:sz w:val="20"/>
        </w:rPr>
        <w:t>June</w:t>
      </w:r>
      <w:r>
        <w:rPr>
          <w:spacing w:val="-11"/>
          <w:sz w:val="20"/>
        </w:rPr>
        <w:t xml:space="preserve"> </w:t>
      </w:r>
      <w:r>
        <w:rPr>
          <w:sz w:val="20"/>
        </w:rPr>
        <w:t>9,</w:t>
      </w:r>
      <w:r>
        <w:rPr>
          <w:spacing w:val="-12"/>
          <w:sz w:val="20"/>
        </w:rPr>
        <w:t xml:space="preserve"> </w:t>
      </w:r>
      <w:r>
        <w:rPr>
          <w:sz w:val="20"/>
        </w:rPr>
        <w:t>2022,</w:t>
      </w:r>
      <w:r>
        <w:rPr>
          <w:spacing w:val="-11"/>
          <w:sz w:val="20"/>
        </w:rPr>
        <w:t xml:space="preserve"> </w:t>
      </w:r>
      <w:r>
        <w:rPr>
          <w:sz w:val="20"/>
        </w:rPr>
        <w:t>https://</w:t>
      </w:r>
      <w:hyperlink r:id="rId322">
        <w:r>
          <w:rPr>
            <w:sz w:val="20"/>
          </w:rPr>
          <w:t>www.mass.gov/info-details/covid-19-vaccinations-for-children-ages-5-11.</w:t>
        </w:r>
      </w:hyperlink>
    </w:p>
    <w:p w:rsidR="00C76E6D" w:rsidRDefault="00913831">
      <w:pPr>
        <w:ind w:left="339" w:right="470" w:hanging="1"/>
        <w:rPr>
          <w:sz w:val="20"/>
        </w:rPr>
      </w:pPr>
      <w:r>
        <w:rPr>
          <w:sz w:val="20"/>
          <w:vertAlign w:val="superscript"/>
        </w:rPr>
        <w:t>19</w:t>
      </w:r>
      <w:r>
        <w:rPr>
          <w:spacing w:val="-6"/>
          <w:sz w:val="20"/>
        </w:rPr>
        <w:t xml:space="preserve"> </w:t>
      </w:r>
      <w:r>
        <w:rPr>
          <w:sz w:val="20"/>
        </w:rPr>
        <w:t>Massachusetts</w:t>
      </w:r>
      <w:r>
        <w:rPr>
          <w:spacing w:val="-7"/>
          <w:sz w:val="20"/>
        </w:rPr>
        <w:t xml:space="preserve"> </w:t>
      </w:r>
      <w:r>
        <w:rPr>
          <w:sz w:val="20"/>
        </w:rPr>
        <w:t>Department</w:t>
      </w:r>
      <w:r>
        <w:rPr>
          <w:spacing w:val="-7"/>
          <w:sz w:val="20"/>
        </w:rPr>
        <w:t xml:space="preserve"> </w:t>
      </w:r>
      <w:r>
        <w:rPr>
          <w:sz w:val="20"/>
        </w:rPr>
        <w:t>of</w:t>
      </w:r>
      <w:r>
        <w:rPr>
          <w:spacing w:val="-7"/>
          <w:sz w:val="20"/>
        </w:rPr>
        <w:t xml:space="preserve"> </w:t>
      </w:r>
      <w:r>
        <w:rPr>
          <w:sz w:val="20"/>
        </w:rPr>
        <w:t>Public</w:t>
      </w:r>
      <w:r>
        <w:rPr>
          <w:spacing w:val="-7"/>
          <w:sz w:val="20"/>
        </w:rPr>
        <w:t xml:space="preserve"> </w:t>
      </w:r>
      <w:r>
        <w:rPr>
          <w:sz w:val="20"/>
        </w:rPr>
        <w:t>Health,</w:t>
      </w:r>
      <w:r>
        <w:rPr>
          <w:spacing w:val="-8"/>
          <w:sz w:val="20"/>
        </w:rPr>
        <w:t xml:space="preserve"> </w:t>
      </w:r>
      <w:r>
        <w:rPr>
          <w:sz w:val="20"/>
        </w:rPr>
        <w:t>Bureau</w:t>
      </w:r>
      <w:r>
        <w:rPr>
          <w:spacing w:val="-6"/>
          <w:sz w:val="20"/>
        </w:rPr>
        <w:t xml:space="preserve"> </w:t>
      </w:r>
      <w:r>
        <w:rPr>
          <w:sz w:val="20"/>
        </w:rPr>
        <w:t>of</w:t>
      </w:r>
      <w:r>
        <w:rPr>
          <w:spacing w:val="-7"/>
          <w:sz w:val="20"/>
        </w:rPr>
        <w:t xml:space="preserve"> </w:t>
      </w:r>
      <w:r>
        <w:rPr>
          <w:sz w:val="20"/>
        </w:rPr>
        <w:t>Infectious</w:t>
      </w:r>
      <w:r>
        <w:rPr>
          <w:spacing w:val="-8"/>
          <w:sz w:val="20"/>
        </w:rPr>
        <w:t xml:space="preserve"> </w:t>
      </w:r>
      <w:r>
        <w:rPr>
          <w:sz w:val="20"/>
        </w:rPr>
        <w:t>Disease</w:t>
      </w:r>
      <w:r>
        <w:rPr>
          <w:spacing w:val="-6"/>
          <w:sz w:val="20"/>
        </w:rPr>
        <w:t xml:space="preserve"> </w:t>
      </w:r>
      <w:r>
        <w:rPr>
          <w:sz w:val="20"/>
        </w:rPr>
        <w:t>and</w:t>
      </w:r>
      <w:r>
        <w:rPr>
          <w:spacing w:val="-8"/>
          <w:sz w:val="20"/>
        </w:rPr>
        <w:t xml:space="preserve"> </w:t>
      </w:r>
      <w:r>
        <w:rPr>
          <w:sz w:val="20"/>
        </w:rPr>
        <w:t>Laboratory</w:t>
      </w:r>
      <w:r>
        <w:rPr>
          <w:spacing w:val="-6"/>
          <w:sz w:val="20"/>
        </w:rPr>
        <w:t xml:space="preserve"> </w:t>
      </w:r>
      <w:r>
        <w:rPr>
          <w:sz w:val="20"/>
        </w:rPr>
        <w:t>Sciences,</w:t>
      </w:r>
      <w:r>
        <w:rPr>
          <w:spacing w:val="-6"/>
          <w:sz w:val="20"/>
        </w:rPr>
        <w:t xml:space="preserve"> </w:t>
      </w:r>
      <w:r>
        <w:rPr>
          <w:sz w:val="20"/>
        </w:rPr>
        <w:t xml:space="preserve">“Massachusetts HIV/AIDS Epidemiologic Profile Statewide Report – Data as of 2/1/2021,” February 2, 2021, </w:t>
      </w:r>
      <w:r>
        <w:rPr>
          <w:spacing w:val="-2"/>
          <w:sz w:val="20"/>
        </w:rPr>
        <w:t>https://</w:t>
      </w:r>
      <w:hyperlink r:id="rId323">
        <w:r>
          <w:rPr>
            <w:spacing w:val="-2"/>
            <w:sz w:val="20"/>
          </w:rPr>
          <w:t>www.mass.gov/doc/statewide-report-data-as-of-212021/down</w:t>
        </w:r>
        <w:r>
          <w:rPr>
            <w:spacing w:val="-2"/>
            <w:sz w:val="20"/>
          </w:rPr>
          <w:t>load.</w:t>
        </w:r>
      </w:hyperlink>
    </w:p>
    <w:p w:rsidR="00C76E6D" w:rsidRDefault="00913831">
      <w:pPr>
        <w:spacing w:before="1"/>
        <w:ind w:left="339" w:right="1600" w:hanging="2"/>
        <w:rPr>
          <w:sz w:val="20"/>
        </w:rPr>
      </w:pPr>
      <w:bookmarkStart w:id="599" w:name="_bookmark438"/>
      <w:bookmarkEnd w:id="599"/>
      <w:r>
        <w:rPr>
          <w:sz w:val="20"/>
          <w:vertAlign w:val="superscript"/>
        </w:rPr>
        <w:t>20</w:t>
      </w:r>
      <w:r>
        <w:rPr>
          <w:spacing w:val="-6"/>
          <w:sz w:val="20"/>
        </w:rPr>
        <w:t xml:space="preserve"> </w:t>
      </w:r>
      <w:r>
        <w:rPr>
          <w:sz w:val="20"/>
        </w:rPr>
        <w:t>Centers</w:t>
      </w:r>
      <w:r>
        <w:rPr>
          <w:spacing w:val="-7"/>
          <w:sz w:val="20"/>
        </w:rPr>
        <w:t xml:space="preserve"> </w:t>
      </w:r>
      <w:r>
        <w:rPr>
          <w:sz w:val="20"/>
        </w:rPr>
        <w:t>for</w:t>
      </w:r>
      <w:r>
        <w:rPr>
          <w:spacing w:val="-7"/>
          <w:sz w:val="20"/>
        </w:rPr>
        <w:t xml:space="preserve"> </w:t>
      </w:r>
      <w:r>
        <w:rPr>
          <w:sz w:val="20"/>
        </w:rPr>
        <w:t>Disease</w:t>
      </w:r>
      <w:r>
        <w:rPr>
          <w:spacing w:val="-6"/>
          <w:sz w:val="20"/>
        </w:rPr>
        <w:t xml:space="preserve"> </w:t>
      </w:r>
      <w:r>
        <w:rPr>
          <w:sz w:val="20"/>
        </w:rPr>
        <w:t>Control</w:t>
      </w:r>
      <w:r>
        <w:rPr>
          <w:spacing w:val="-8"/>
          <w:sz w:val="20"/>
        </w:rPr>
        <w:t xml:space="preserve"> </w:t>
      </w:r>
      <w:r>
        <w:rPr>
          <w:sz w:val="20"/>
        </w:rPr>
        <w:t>and</w:t>
      </w:r>
      <w:r>
        <w:rPr>
          <w:spacing w:val="-6"/>
          <w:sz w:val="20"/>
        </w:rPr>
        <w:t xml:space="preserve"> </w:t>
      </w:r>
      <w:r>
        <w:rPr>
          <w:sz w:val="20"/>
        </w:rPr>
        <w:t>Prevention,</w:t>
      </w:r>
      <w:r>
        <w:rPr>
          <w:spacing w:val="-6"/>
          <w:sz w:val="20"/>
        </w:rPr>
        <w:t xml:space="preserve"> </w:t>
      </w:r>
      <w:r>
        <w:rPr>
          <w:sz w:val="20"/>
        </w:rPr>
        <w:t>“HIV</w:t>
      </w:r>
      <w:r>
        <w:rPr>
          <w:spacing w:val="-6"/>
          <w:sz w:val="20"/>
        </w:rPr>
        <w:t xml:space="preserve"> </w:t>
      </w:r>
      <w:r>
        <w:rPr>
          <w:sz w:val="20"/>
        </w:rPr>
        <w:t>and</w:t>
      </w:r>
      <w:r>
        <w:rPr>
          <w:spacing w:val="-8"/>
          <w:sz w:val="20"/>
        </w:rPr>
        <w:t xml:space="preserve"> </w:t>
      </w:r>
      <w:r>
        <w:rPr>
          <w:sz w:val="20"/>
        </w:rPr>
        <w:t>Youth,”</w:t>
      </w:r>
      <w:r>
        <w:rPr>
          <w:spacing w:val="-7"/>
          <w:sz w:val="20"/>
        </w:rPr>
        <w:t xml:space="preserve"> </w:t>
      </w:r>
      <w:r>
        <w:rPr>
          <w:sz w:val="20"/>
        </w:rPr>
        <w:t>May</w:t>
      </w:r>
      <w:r>
        <w:rPr>
          <w:spacing w:val="-7"/>
          <w:sz w:val="20"/>
        </w:rPr>
        <w:t xml:space="preserve"> </w:t>
      </w:r>
      <w:r>
        <w:rPr>
          <w:sz w:val="20"/>
        </w:rPr>
        <w:t>18,</w:t>
      </w:r>
      <w:r>
        <w:rPr>
          <w:spacing w:val="-8"/>
          <w:sz w:val="20"/>
        </w:rPr>
        <w:t xml:space="preserve"> </w:t>
      </w:r>
      <w:r>
        <w:rPr>
          <w:sz w:val="20"/>
        </w:rPr>
        <w:t xml:space="preserve">2021, </w:t>
      </w:r>
      <w:bookmarkStart w:id="600" w:name="_bookmark439"/>
      <w:bookmarkEnd w:id="600"/>
      <w:r>
        <w:rPr>
          <w:spacing w:val="-2"/>
          <w:sz w:val="20"/>
        </w:rPr>
        <w:t>https://</w:t>
      </w:r>
      <w:hyperlink r:id="rId324">
        <w:r>
          <w:rPr>
            <w:spacing w:val="-2"/>
            <w:sz w:val="20"/>
          </w:rPr>
          <w:t>www.cdc.gov/hiv/group/age/youth/index.html.</w:t>
        </w:r>
      </w:hyperlink>
    </w:p>
    <w:p w:rsidR="00C76E6D" w:rsidRDefault="00913831">
      <w:pPr>
        <w:ind w:left="339" w:right="2281" w:hanging="1"/>
        <w:rPr>
          <w:sz w:val="20"/>
        </w:rPr>
      </w:pPr>
      <w:r>
        <w:rPr>
          <w:sz w:val="20"/>
          <w:vertAlign w:val="superscript"/>
        </w:rPr>
        <w:t>21</w:t>
      </w:r>
      <w:r>
        <w:rPr>
          <w:spacing w:val="-6"/>
          <w:sz w:val="20"/>
        </w:rPr>
        <w:t xml:space="preserve"> </w:t>
      </w:r>
      <w:r>
        <w:rPr>
          <w:sz w:val="20"/>
        </w:rPr>
        <w:t>Centers</w:t>
      </w:r>
      <w:r>
        <w:rPr>
          <w:spacing w:val="-7"/>
          <w:sz w:val="20"/>
        </w:rPr>
        <w:t xml:space="preserve"> </w:t>
      </w:r>
      <w:r>
        <w:rPr>
          <w:sz w:val="20"/>
        </w:rPr>
        <w:t>for</w:t>
      </w:r>
      <w:r>
        <w:rPr>
          <w:spacing w:val="-7"/>
          <w:sz w:val="20"/>
        </w:rPr>
        <w:t xml:space="preserve"> </w:t>
      </w:r>
      <w:r>
        <w:rPr>
          <w:sz w:val="20"/>
        </w:rPr>
        <w:t>Disease</w:t>
      </w:r>
      <w:r>
        <w:rPr>
          <w:spacing w:val="-6"/>
          <w:sz w:val="20"/>
        </w:rPr>
        <w:t xml:space="preserve"> </w:t>
      </w:r>
      <w:r>
        <w:rPr>
          <w:sz w:val="20"/>
        </w:rPr>
        <w:t>Control</w:t>
      </w:r>
      <w:r>
        <w:rPr>
          <w:spacing w:val="-8"/>
          <w:sz w:val="20"/>
        </w:rPr>
        <w:t xml:space="preserve"> </w:t>
      </w:r>
      <w:r>
        <w:rPr>
          <w:sz w:val="20"/>
        </w:rPr>
        <w:t>and</w:t>
      </w:r>
      <w:r>
        <w:rPr>
          <w:spacing w:val="-6"/>
          <w:sz w:val="20"/>
        </w:rPr>
        <w:t xml:space="preserve"> </w:t>
      </w:r>
      <w:r>
        <w:rPr>
          <w:sz w:val="20"/>
        </w:rPr>
        <w:t>Prevention,</w:t>
      </w:r>
      <w:r>
        <w:rPr>
          <w:spacing w:val="-6"/>
          <w:sz w:val="20"/>
        </w:rPr>
        <w:t xml:space="preserve"> </w:t>
      </w:r>
      <w:r>
        <w:rPr>
          <w:sz w:val="20"/>
        </w:rPr>
        <w:t>“HIV</w:t>
      </w:r>
      <w:r>
        <w:rPr>
          <w:spacing w:val="-8"/>
          <w:sz w:val="20"/>
        </w:rPr>
        <w:t xml:space="preserve"> </w:t>
      </w:r>
      <w:r>
        <w:rPr>
          <w:sz w:val="20"/>
        </w:rPr>
        <w:t>Surveillance</w:t>
      </w:r>
      <w:r>
        <w:rPr>
          <w:spacing w:val="-9"/>
          <w:sz w:val="20"/>
        </w:rPr>
        <w:t xml:space="preserve"> </w:t>
      </w:r>
      <w:r>
        <w:rPr>
          <w:sz w:val="20"/>
        </w:rPr>
        <w:t>Report</w:t>
      </w:r>
      <w:r>
        <w:rPr>
          <w:spacing w:val="-8"/>
          <w:sz w:val="20"/>
        </w:rPr>
        <w:t xml:space="preserve"> </w:t>
      </w:r>
      <w:r>
        <w:rPr>
          <w:sz w:val="20"/>
        </w:rPr>
        <w:t>2018</w:t>
      </w:r>
      <w:r>
        <w:rPr>
          <w:spacing w:val="-6"/>
          <w:sz w:val="20"/>
        </w:rPr>
        <w:t xml:space="preserve"> </w:t>
      </w:r>
      <w:r>
        <w:rPr>
          <w:sz w:val="20"/>
        </w:rPr>
        <w:t>(Updated),”</w:t>
      </w:r>
      <w:r>
        <w:rPr>
          <w:spacing w:val="-7"/>
          <w:sz w:val="20"/>
        </w:rPr>
        <w:t xml:space="preserve"> </w:t>
      </w:r>
      <w:r>
        <w:rPr>
          <w:sz w:val="20"/>
        </w:rPr>
        <w:t xml:space="preserve">2018, </w:t>
      </w:r>
      <w:hyperlink r:id="rId325">
        <w:r>
          <w:rPr>
            <w:spacing w:val="-2"/>
            <w:sz w:val="20"/>
          </w:rPr>
          <w:t>http://www.cdc.gov/hiv/library/reports/hiv-surveillance.html.</w:t>
        </w:r>
      </w:hyperlink>
    </w:p>
    <w:p w:rsidR="00C76E6D" w:rsidRDefault="00913831">
      <w:pPr>
        <w:ind w:left="339" w:right="318" w:hanging="2"/>
        <w:jc w:val="both"/>
        <w:rPr>
          <w:sz w:val="20"/>
        </w:rPr>
      </w:pPr>
      <w:bookmarkStart w:id="601" w:name="_bookmark440"/>
      <w:bookmarkEnd w:id="601"/>
      <w:r>
        <w:rPr>
          <w:sz w:val="20"/>
          <w:vertAlign w:val="superscript"/>
        </w:rPr>
        <w:t>22</w:t>
      </w:r>
      <w:r>
        <w:rPr>
          <w:spacing w:val="-2"/>
          <w:sz w:val="20"/>
        </w:rPr>
        <w:t xml:space="preserve"> </w:t>
      </w:r>
      <w:r>
        <w:rPr>
          <w:sz w:val="20"/>
        </w:rPr>
        <w:t>Massachusetts</w:t>
      </w:r>
      <w:r>
        <w:rPr>
          <w:spacing w:val="-2"/>
          <w:sz w:val="20"/>
        </w:rPr>
        <w:t xml:space="preserve"> </w:t>
      </w:r>
      <w:r>
        <w:rPr>
          <w:sz w:val="20"/>
        </w:rPr>
        <w:t>Department</w:t>
      </w:r>
      <w:r>
        <w:rPr>
          <w:spacing w:val="-2"/>
          <w:sz w:val="20"/>
        </w:rPr>
        <w:t xml:space="preserve"> </w:t>
      </w:r>
      <w:r>
        <w:rPr>
          <w:sz w:val="20"/>
        </w:rPr>
        <w:t>of</w:t>
      </w:r>
      <w:r>
        <w:rPr>
          <w:spacing w:val="-2"/>
          <w:sz w:val="20"/>
        </w:rPr>
        <w:t xml:space="preserve"> </w:t>
      </w:r>
      <w:r>
        <w:rPr>
          <w:sz w:val="20"/>
        </w:rPr>
        <w:t>Public</w:t>
      </w:r>
      <w:r>
        <w:rPr>
          <w:spacing w:val="-3"/>
          <w:sz w:val="20"/>
        </w:rPr>
        <w:t xml:space="preserve"> </w:t>
      </w:r>
      <w:r>
        <w:rPr>
          <w:sz w:val="20"/>
        </w:rPr>
        <w:t>Health,</w:t>
      </w:r>
      <w:r>
        <w:rPr>
          <w:spacing w:val="-3"/>
          <w:sz w:val="20"/>
        </w:rPr>
        <w:t xml:space="preserve"> </w:t>
      </w:r>
      <w:r>
        <w:rPr>
          <w:sz w:val="20"/>
        </w:rPr>
        <w:t>Bureau</w:t>
      </w:r>
      <w:r>
        <w:rPr>
          <w:spacing w:val="-2"/>
          <w:sz w:val="20"/>
        </w:rPr>
        <w:t xml:space="preserve"> </w:t>
      </w:r>
      <w:r>
        <w:rPr>
          <w:sz w:val="20"/>
        </w:rPr>
        <w:t>of</w:t>
      </w:r>
      <w:r>
        <w:rPr>
          <w:spacing w:val="-2"/>
          <w:sz w:val="20"/>
        </w:rPr>
        <w:t xml:space="preserve"> </w:t>
      </w:r>
      <w:r>
        <w:rPr>
          <w:sz w:val="20"/>
        </w:rPr>
        <w:t>Infectious</w:t>
      </w:r>
      <w:r>
        <w:rPr>
          <w:spacing w:val="-4"/>
          <w:sz w:val="20"/>
        </w:rPr>
        <w:t xml:space="preserve"> </w:t>
      </w:r>
      <w:r>
        <w:rPr>
          <w:sz w:val="20"/>
        </w:rPr>
        <w:t>Disease</w:t>
      </w:r>
      <w:r>
        <w:rPr>
          <w:spacing w:val="-2"/>
          <w:sz w:val="20"/>
        </w:rPr>
        <w:t xml:space="preserve"> </w:t>
      </w:r>
      <w:r>
        <w:rPr>
          <w:sz w:val="20"/>
        </w:rPr>
        <w:t>and</w:t>
      </w:r>
      <w:r>
        <w:rPr>
          <w:spacing w:val="-2"/>
          <w:sz w:val="20"/>
        </w:rPr>
        <w:t xml:space="preserve"> </w:t>
      </w:r>
      <w:r>
        <w:rPr>
          <w:sz w:val="20"/>
        </w:rPr>
        <w:t>Laboratory</w:t>
      </w:r>
      <w:r>
        <w:rPr>
          <w:spacing w:val="-1"/>
          <w:sz w:val="20"/>
        </w:rPr>
        <w:t xml:space="preserve"> </w:t>
      </w:r>
      <w:r>
        <w:rPr>
          <w:sz w:val="20"/>
        </w:rPr>
        <w:t>Sciences,</w:t>
      </w:r>
      <w:r>
        <w:rPr>
          <w:spacing w:val="-3"/>
          <w:sz w:val="20"/>
        </w:rPr>
        <w:t xml:space="preserve"> </w:t>
      </w:r>
      <w:r>
        <w:rPr>
          <w:sz w:val="20"/>
        </w:rPr>
        <w:t>“2019</w:t>
      </w:r>
      <w:r>
        <w:rPr>
          <w:spacing w:val="-2"/>
          <w:sz w:val="20"/>
        </w:rPr>
        <w:t xml:space="preserve"> </w:t>
      </w:r>
      <w:r>
        <w:rPr>
          <w:sz w:val="20"/>
        </w:rPr>
        <w:t>Integrated HIV/AIDS, STD</w:t>
      </w:r>
      <w:r>
        <w:rPr>
          <w:spacing w:val="-1"/>
          <w:sz w:val="20"/>
        </w:rPr>
        <w:t xml:space="preserve"> </w:t>
      </w:r>
      <w:r>
        <w:rPr>
          <w:sz w:val="20"/>
        </w:rPr>
        <w:t>and Viral Hepatitis Surveillance Report,” December 2020, https://</w:t>
      </w:r>
      <w:hyperlink r:id="rId326">
        <w:r>
          <w:rPr>
            <w:sz w:val="20"/>
          </w:rPr>
          <w:t>www.mass.gov/doc/2019- i</w:t>
        </w:r>
      </w:hyperlink>
      <w:r>
        <w:rPr>
          <w:sz w:val="20"/>
        </w:rPr>
        <w:t xml:space="preserve">ntegrated- </w:t>
      </w:r>
      <w:bookmarkStart w:id="602" w:name="_bookmark441"/>
      <w:bookmarkEnd w:id="602"/>
      <w:r>
        <w:rPr>
          <w:spacing w:val="-2"/>
          <w:sz w:val="20"/>
        </w:rPr>
        <w:t>hivaids-std-and-viral-hepatitis-report/down</w:t>
      </w:r>
      <w:r>
        <w:rPr>
          <w:spacing w:val="-2"/>
          <w:sz w:val="20"/>
        </w:rPr>
        <w:t>load.</w:t>
      </w:r>
    </w:p>
    <w:p w:rsidR="00C76E6D" w:rsidRDefault="00913831">
      <w:pPr>
        <w:spacing w:before="6" w:line="241" w:lineRule="exact"/>
        <w:ind w:left="338"/>
        <w:jc w:val="both"/>
        <w:rPr>
          <w:sz w:val="20"/>
        </w:rPr>
      </w:pPr>
      <w:r>
        <w:rPr>
          <w:sz w:val="20"/>
          <w:vertAlign w:val="superscript"/>
        </w:rPr>
        <w:t>23</w:t>
      </w:r>
      <w:r>
        <w:rPr>
          <w:spacing w:val="-7"/>
          <w:sz w:val="20"/>
        </w:rPr>
        <w:t xml:space="preserve"> </w:t>
      </w:r>
      <w:r>
        <w:rPr>
          <w:sz w:val="20"/>
        </w:rPr>
        <w:t>Centers</w:t>
      </w:r>
      <w:r>
        <w:rPr>
          <w:spacing w:val="-8"/>
          <w:sz w:val="20"/>
        </w:rPr>
        <w:t xml:space="preserve"> </w:t>
      </w:r>
      <w:r>
        <w:rPr>
          <w:sz w:val="20"/>
        </w:rPr>
        <w:t>for</w:t>
      </w:r>
      <w:r>
        <w:rPr>
          <w:spacing w:val="-9"/>
          <w:sz w:val="20"/>
        </w:rPr>
        <w:t xml:space="preserve"> </w:t>
      </w:r>
      <w:r>
        <w:rPr>
          <w:sz w:val="20"/>
        </w:rPr>
        <w:t>Disease</w:t>
      </w:r>
      <w:r>
        <w:rPr>
          <w:spacing w:val="-7"/>
          <w:sz w:val="20"/>
        </w:rPr>
        <w:t xml:space="preserve"> </w:t>
      </w:r>
      <w:r>
        <w:rPr>
          <w:sz w:val="20"/>
        </w:rPr>
        <w:t>Control</w:t>
      </w:r>
      <w:r>
        <w:rPr>
          <w:spacing w:val="-10"/>
          <w:sz w:val="20"/>
        </w:rPr>
        <w:t xml:space="preserve"> </w:t>
      </w:r>
      <w:r>
        <w:rPr>
          <w:sz w:val="20"/>
        </w:rPr>
        <w:t>and</w:t>
      </w:r>
      <w:r>
        <w:rPr>
          <w:spacing w:val="-8"/>
          <w:sz w:val="20"/>
        </w:rPr>
        <w:t xml:space="preserve"> </w:t>
      </w:r>
      <w:r>
        <w:rPr>
          <w:sz w:val="20"/>
        </w:rPr>
        <w:t>Prevention,</w:t>
      </w:r>
      <w:r>
        <w:rPr>
          <w:spacing w:val="-9"/>
          <w:sz w:val="20"/>
        </w:rPr>
        <w:t xml:space="preserve"> </w:t>
      </w:r>
      <w:r>
        <w:rPr>
          <w:sz w:val="20"/>
        </w:rPr>
        <w:t>“HIV</w:t>
      </w:r>
      <w:r>
        <w:rPr>
          <w:spacing w:val="-9"/>
          <w:sz w:val="20"/>
        </w:rPr>
        <w:t xml:space="preserve"> </w:t>
      </w:r>
      <w:r>
        <w:rPr>
          <w:sz w:val="20"/>
        </w:rPr>
        <w:t>Surveillance</w:t>
      </w:r>
      <w:r>
        <w:rPr>
          <w:spacing w:val="-11"/>
          <w:sz w:val="20"/>
        </w:rPr>
        <w:t xml:space="preserve"> </w:t>
      </w:r>
      <w:r>
        <w:rPr>
          <w:sz w:val="20"/>
        </w:rPr>
        <w:t>Report</w:t>
      </w:r>
      <w:r>
        <w:rPr>
          <w:spacing w:val="-9"/>
          <w:sz w:val="20"/>
        </w:rPr>
        <w:t xml:space="preserve"> </w:t>
      </w:r>
      <w:r>
        <w:rPr>
          <w:sz w:val="20"/>
        </w:rPr>
        <w:t>2018</w:t>
      </w:r>
      <w:r>
        <w:rPr>
          <w:spacing w:val="-8"/>
          <w:sz w:val="20"/>
        </w:rPr>
        <w:t xml:space="preserve"> </w:t>
      </w:r>
      <w:r>
        <w:rPr>
          <w:spacing w:val="-2"/>
          <w:sz w:val="20"/>
        </w:rPr>
        <w:t>(Updated).”</w:t>
      </w:r>
    </w:p>
    <w:p w:rsidR="00C76E6D" w:rsidRDefault="00913831">
      <w:pPr>
        <w:ind w:left="339" w:right="470" w:hanging="2"/>
        <w:rPr>
          <w:sz w:val="20"/>
        </w:rPr>
      </w:pPr>
      <w:bookmarkStart w:id="603" w:name="_bookmark442"/>
      <w:bookmarkEnd w:id="603"/>
      <w:r>
        <w:rPr>
          <w:sz w:val="20"/>
          <w:vertAlign w:val="superscript"/>
        </w:rPr>
        <w:t>24</w:t>
      </w:r>
      <w:r>
        <w:rPr>
          <w:spacing w:val="-4"/>
          <w:sz w:val="20"/>
        </w:rPr>
        <w:t xml:space="preserve"> </w:t>
      </w:r>
      <w:r>
        <w:rPr>
          <w:sz w:val="20"/>
        </w:rPr>
        <w:t>Katherine</w:t>
      </w:r>
      <w:r>
        <w:rPr>
          <w:spacing w:val="-5"/>
          <w:sz w:val="20"/>
        </w:rPr>
        <w:t xml:space="preserve"> </w:t>
      </w:r>
      <w:r>
        <w:rPr>
          <w:sz w:val="20"/>
        </w:rPr>
        <w:t>G.</w:t>
      </w:r>
      <w:r>
        <w:rPr>
          <w:spacing w:val="-7"/>
          <w:sz w:val="20"/>
        </w:rPr>
        <w:t xml:space="preserve"> </w:t>
      </w:r>
      <w:r>
        <w:rPr>
          <w:sz w:val="20"/>
        </w:rPr>
        <w:t>Quinn</w:t>
      </w:r>
      <w:r>
        <w:rPr>
          <w:spacing w:val="-4"/>
          <w:sz w:val="20"/>
        </w:rPr>
        <w:t xml:space="preserve"> </w:t>
      </w:r>
      <w:r>
        <w:rPr>
          <w:sz w:val="20"/>
        </w:rPr>
        <w:t>et</w:t>
      </w:r>
      <w:r>
        <w:rPr>
          <w:spacing w:val="-4"/>
          <w:sz w:val="20"/>
        </w:rPr>
        <w:t xml:space="preserve"> </w:t>
      </w:r>
      <w:r>
        <w:rPr>
          <w:sz w:val="20"/>
        </w:rPr>
        <w:t>al.,</w:t>
      </w:r>
      <w:r>
        <w:rPr>
          <w:spacing w:val="-6"/>
          <w:sz w:val="20"/>
        </w:rPr>
        <w:t xml:space="preserve"> </w:t>
      </w:r>
      <w:r>
        <w:rPr>
          <w:sz w:val="20"/>
        </w:rPr>
        <w:t>“Conceptualizing</w:t>
      </w:r>
      <w:r>
        <w:rPr>
          <w:spacing w:val="-5"/>
          <w:sz w:val="20"/>
        </w:rPr>
        <w:t xml:space="preserve"> </w:t>
      </w:r>
      <w:r>
        <w:rPr>
          <w:sz w:val="20"/>
        </w:rPr>
        <w:t>the</w:t>
      </w:r>
      <w:r>
        <w:rPr>
          <w:spacing w:val="-6"/>
          <w:sz w:val="20"/>
        </w:rPr>
        <w:t xml:space="preserve"> </w:t>
      </w:r>
      <w:r>
        <w:rPr>
          <w:sz w:val="20"/>
        </w:rPr>
        <w:t>Effects</w:t>
      </w:r>
      <w:r>
        <w:rPr>
          <w:spacing w:val="-4"/>
          <w:sz w:val="20"/>
        </w:rPr>
        <w:t xml:space="preserve"> </w:t>
      </w:r>
      <w:r>
        <w:rPr>
          <w:sz w:val="20"/>
        </w:rPr>
        <w:t>of</w:t>
      </w:r>
      <w:r>
        <w:rPr>
          <w:spacing w:val="-6"/>
          <w:sz w:val="20"/>
        </w:rPr>
        <w:t xml:space="preserve"> </w:t>
      </w:r>
      <w:r>
        <w:rPr>
          <w:sz w:val="20"/>
        </w:rPr>
        <w:t>Continuous</w:t>
      </w:r>
      <w:r>
        <w:rPr>
          <w:spacing w:val="-6"/>
          <w:sz w:val="20"/>
        </w:rPr>
        <w:t xml:space="preserve"> </w:t>
      </w:r>
      <w:r>
        <w:rPr>
          <w:sz w:val="20"/>
        </w:rPr>
        <w:t>Traumatic</w:t>
      </w:r>
      <w:r>
        <w:rPr>
          <w:spacing w:val="-5"/>
          <w:sz w:val="20"/>
        </w:rPr>
        <w:t xml:space="preserve"> </w:t>
      </w:r>
      <w:r>
        <w:rPr>
          <w:sz w:val="20"/>
        </w:rPr>
        <w:t>Violence</w:t>
      </w:r>
      <w:r>
        <w:rPr>
          <w:spacing w:val="-4"/>
          <w:sz w:val="20"/>
        </w:rPr>
        <w:t xml:space="preserve"> </w:t>
      </w:r>
      <w:r>
        <w:rPr>
          <w:sz w:val="20"/>
        </w:rPr>
        <w:t>on</w:t>
      </w:r>
      <w:r>
        <w:rPr>
          <w:spacing w:val="-5"/>
          <w:sz w:val="20"/>
        </w:rPr>
        <w:t xml:space="preserve"> </w:t>
      </w:r>
      <w:r>
        <w:rPr>
          <w:sz w:val="20"/>
        </w:rPr>
        <w:t>HIV</w:t>
      </w:r>
      <w:r>
        <w:rPr>
          <w:spacing w:val="-5"/>
          <w:sz w:val="20"/>
        </w:rPr>
        <w:t xml:space="preserve"> </w:t>
      </w:r>
      <w:r>
        <w:rPr>
          <w:sz w:val="20"/>
        </w:rPr>
        <w:t>Continuum</w:t>
      </w:r>
      <w:r>
        <w:rPr>
          <w:spacing w:val="-6"/>
          <w:sz w:val="20"/>
        </w:rPr>
        <w:t xml:space="preserve"> </w:t>
      </w:r>
      <w:r>
        <w:rPr>
          <w:sz w:val="20"/>
        </w:rPr>
        <w:t>of</w:t>
      </w:r>
      <w:r>
        <w:rPr>
          <w:spacing w:val="-4"/>
          <w:sz w:val="20"/>
        </w:rPr>
        <w:t xml:space="preserve"> </w:t>
      </w:r>
      <w:r>
        <w:rPr>
          <w:sz w:val="20"/>
        </w:rPr>
        <w:t xml:space="preserve">Care Outcomes for Young Black Men Who Have Sex with Men in the United States,” </w:t>
      </w:r>
      <w:r>
        <w:rPr>
          <w:i/>
          <w:sz w:val="20"/>
        </w:rPr>
        <w:t xml:space="preserve">AIDS and Behavior </w:t>
      </w:r>
      <w:r>
        <w:rPr>
          <w:sz w:val="20"/>
        </w:rPr>
        <w:t>25, no. 3 (March 2021): 758–72, https://doi.org/10.1007/s10461-020-03040-8.</w:t>
      </w:r>
    </w:p>
    <w:p w:rsidR="00C76E6D" w:rsidRDefault="00913831">
      <w:pPr>
        <w:ind w:left="339" w:right="530" w:hanging="1"/>
        <w:rPr>
          <w:sz w:val="20"/>
        </w:rPr>
      </w:pPr>
      <w:bookmarkStart w:id="604" w:name="_bookmark443"/>
      <w:bookmarkEnd w:id="604"/>
      <w:r>
        <w:rPr>
          <w:sz w:val="20"/>
          <w:vertAlign w:val="superscript"/>
        </w:rPr>
        <w:t>2525</w:t>
      </w:r>
      <w:r>
        <w:rPr>
          <w:spacing w:val="-4"/>
          <w:sz w:val="20"/>
        </w:rPr>
        <w:t xml:space="preserve"> </w:t>
      </w:r>
      <w:r>
        <w:rPr>
          <w:sz w:val="20"/>
        </w:rPr>
        <w:t>Sari</w:t>
      </w:r>
      <w:r>
        <w:rPr>
          <w:spacing w:val="-5"/>
          <w:sz w:val="20"/>
        </w:rPr>
        <w:t xml:space="preserve"> </w:t>
      </w:r>
      <w:r>
        <w:rPr>
          <w:sz w:val="20"/>
        </w:rPr>
        <w:t>L.</w:t>
      </w:r>
      <w:r>
        <w:rPr>
          <w:spacing w:val="-7"/>
          <w:sz w:val="20"/>
        </w:rPr>
        <w:t xml:space="preserve"> </w:t>
      </w:r>
      <w:r>
        <w:rPr>
          <w:sz w:val="20"/>
        </w:rPr>
        <w:t>Reisner</w:t>
      </w:r>
      <w:r>
        <w:rPr>
          <w:spacing w:val="-6"/>
          <w:sz w:val="20"/>
        </w:rPr>
        <w:t xml:space="preserve"> </w:t>
      </w:r>
      <w:r>
        <w:rPr>
          <w:sz w:val="20"/>
        </w:rPr>
        <w:t>et</w:t>
      </w:r>
      <w:r>
        <w:rPr>
          <w:spacing w:val="-4"/>
          <w:sz w:val="20"/>
        </w:rPr>
        <w:t xml:space="preserve"> </w:t>
      </w:r>
      <w:r>
        <w:rPr>
          <w:sz w:val="20"/>
        </w:rPr>
        <w:t>al.,</w:t>
      </w:r>
      <w:r>
        <w:rPr>
          <w:spacing w:val="-4"/>
          <w:sz w:val="20"/>
        </w:rPr>
        <w:t xml:space="preserve"> </w:t>
      </w:r>
      <w:r>
        <w:rPr>
          <w:sz w:val="20"/>
        </w:rPr>
        <w:t>“Situated</w:t>
      </w:r>
      <w:r>
        <w:rPr>
          <w:spacing w:val="-4"/>
          <w:sz w:val="20"/>
        </w:rPr>
        <w:t xml:space="preserve"> </w:t>
      </w:r>
      <w:r>
        <w:rPr>
          <w:sz w:val="20"/>
        </w:rPr>
        <w:t>Vulnerabilities,</w:t>
      </w:r>
      <w:r>
        <w:rPr>
          <w:spacing w:val="-4"/>
          <w:sz w:val="20"/>
        </w:rPr>
        <w:t xml:space="preserve"> </w:t>
      </w:r>
      <w:r>
        <w:rPr>
          <w:sz w:val="20"/>
        </w:rPr>
        <w:t>Sexual</w:t>
      </w:r>
      <w:r>
        <w:rPr>
          <w:spacing w:val="-6"/>
          <w:sz w:val="20"/>
        </w:rPr>
        <w:t xml:space="preserve"> </w:t>
      </w:r>
      <w:r>
        <w:rPr>
          <w:sz w:val="20"/>
        </w:rPr>
        <w:t>Risk,</w:t>
      </w:r>
      <w:r>
        <w:rPr>
          <w:spacing w:val="-5"/>
          <w:sz w:val="20"/>
        </w:rPr>
        <w:t xml:space="preserve"> </w:t>
      </w:r>
      <w:r>
        <w:rPr>
          <w:sz w:val="20"/>
        </w:rPr>
        <w:t>and</w:t>
      </w:r>
      <w:r>
        <w:rPr>
          <w:spacing w:val="-7"/>
          <w:sz w:val="20"/>
        </w:rPr>
        <w:t xml:space="preserve"> </w:t>
      </w:r>
      <w:r>
        <w:rPr>
          <w:sz w:val="20"/>
        </w:rPr>
        <w:t>Sexually</w:t>
      </w:r>
      <w:r>
        <w:rPr>
          <w:spacing w:val="-4"/>
          <w:sz w:val="20"/>
        </w:rPr>
        <w:t xml:space="preserve"> </w:t>
      </w:r>
      <w:r>
        <w:rPr>
          <w:sz w:val="20"/>
        </w:rPr>
        <w:t>T</w:t>
      </w:r>
      <w:r>
        <w:rPr>
          <w:sz w:val="20"/>
        </w:rPr>
        <w:t>ransmitted</w:t>
      </w:r>
      <w:r>
        <w:rPr>
          <w:spacing w:val="-4"/>
          <w:sz w:val="20"/>
        </w:rPr>
        <w:t xml:space="preserve"> </w:t>
      </w:r>
      <w:r>
        <w:rPr>
          <w:sz w:val="20"/>
        </w:rPr>
        <w:t>Infections’</w:t>
      </w:r>
      <w:r>
        <w:rPr>
          <w:spacing w:val="-5"/>
          <w:sz w:val="20"/>
        </w:rPr>
        <w:t xml:space="preserve"> </w:t>
      </w:r>
      <w:r>
        <w:rPr>
          <w:sz w:val="20"/>
        </w:rPr>
        <w:t>Diagnoses</w:t>
      </w:r>
      <w:r>
        <w:rPr>
          <w:spacing w:val="-6"/>
          <w:sz w:val="20"/>
        </w:rPr>
        <w:t xml:space="preserve"> </w:t>
      </w:r>
      <w:r>
        <w:rPr>
          <w:sz w:val="20"/>
        </w:rPr>
        <w:t>in</w:t>
      </w:r>
      <w:r>
        <w:rPr>
          <w:spacing w:val="-4"/>
          <w:sz w:val="20"/>
        </w:rPr>
        <w:t xml:space="preserve"> </w:t>
      </w:r>
      <w:r>
        <w:rPr>
          <w:sz w:val="20"/>
        </w:rPr>
        <w:t xml:space="preserve">a Sample of Transgender Youth in the United States,” </w:t>
      </w:r>
      <w:r>
        <w:rPr>
          <w:i/>
          <w:sz w:val="20"/>
        </w:rPr>
        <w:t xml:space="preserve">AIDS Patient Care and STDs </w:t>
      </w:r>
      <w:r>
        <w:rPr>
          <w:sz w:val="20"/>
        </w:rPr>
        <w:t xml:space="preserve">33, no. 3 (March 2019): 120–30, </w:t>
      </w:r>
      <w:r>
        <w:rPr>
          <w:spacing w:val="-2"/>
          <w:sz w:val="20"/>
        </w:rPr>
        <w:t>https://doi.org/10.1089/apc.2018.0249.</w:t>
      </w:r>
    </w:p>
    <w:p w:rsidR="00C76E6D" w:rsidRDefault="00913831">
      <w:pPr>
        <w:ind w:left="339" w:hanging="1"/>
        <w:rPr>
          <w:sz w:val="20"/>
        </w:rPr>
      </w:pPr>
      <w:bookmarkStart w:id="605" w:name="_bookmark444"/>
      <w:bookmarkEnd w:id="605"/>
      <w:r>
        <w:rPr>
          <w:sz w:val="20"/>
          <w:vertAlign w:val="superscript"/>
        </w:rPr>
        <w:t>26</w:t>
      </w:r>
      <w:r>
        <w:rPr>
          <w:spacing w:val="-6"/>
          <w:sz w:val="20"/>
        </w:rPr>
        <w:t xml:space="preserve"> </w:t>
      </w:r>
      <w:r>
        <w:rPr>
          <w:sz w:val="20"/>
        </w:rPr>
        <w:t>Massachusetts</w:t>
      </w:r>
      <w:r>
        <w:rPr>
          <w:spacing w:val="-7"/>
          <w:sz w:val="20"/>
        </w:rPr>
        <w:t xml:space="preserve"> </w:t>
      </w:r>
      <w:r>
        <w:rPr>
          <w:sz w:val="20"/>
        </w:rPr>
        <w:t>Department</w:t>
      </w:r>
      <w:r>
        <w:rPr>
          <w:spacing w:val="-7"/>
          <w:sz w:val="20"/>
        </w:rPr>
        <w:t xml:space="preserve"> </w:t>
      </w:r>
      <w:r>
        <w:rPr>
          <w:sz w:val="20"/>
        </w:rPr>
        <w:t>of</w:t>
      </w:r>
      <w:r>
        <w:rPr>
          <w:spacing w:val="-7"/>
          <w:sz w:val="20"/>
        </w:rPr>
        <w:t xml:space="preserve"> </w:t>
      </w:r>
      <w:r>
        <w:rPr>
          <w:sz w:val="20"/>
        </w:rPr>
        <w:t>Public</w:t>
      </w:r>
      <w:r>
        <w:rPr>
          <w:spacing w:val="-7"/>
          <w:sz w:val="20"/>
        </w:rPr>
        <w:t xml:space="preserve"> </w:t>
      </w:r>
      <w:r>
        <w:rPr>
          <w:sz w:val="20"/>
        </w:rPr>
        <w:t>Health,</w:t>
      </w:r>
      <w:r>
        <w:rPr>
          <w:spacing w:val="-8"/>
          <w:sz w:val="20"/>
        </w:rPr>
        <w:t xml:space="preserve"> </w:t>
      </w:r>
      <w:r>
        <w:rPr>
          <w:sz w:val="20"/>
        </w:rPr>
        <w:t>Bureau</w:t>
      </w:r>
      <w:r>
        <w:rPr>
          <w:spacing w:val="-6"/>
          <w:sz w:val="20"/>
        </w:rPr>
        <w:t xml:space="preserve"> </w:t>
      </w:r>
      <w:r>
        <w:rPr>
          <w:sz w:val="20"/>
        </w:rPr>
        <w:t>of</w:t>
      </w:r>
      <w:r>
        <w:rPr>
          <w:spacing w:val="-7"/>
          <w:sz w:val="20"/>
        </w:rPr>
        <w:t xml:space="preserve"> </w:t>
      </w:r>
      <w:r>
        <w:rPr>
          <w:sz w:val="20"/>
        </w:rPr>
        <w:t>Infectious</w:t>
      </w:r>
      <w:r>
        <w:rPr>
          <w:spacing w:val="-8"/>
          <w:sz w:val="20"/>
        </w:rPr>
        <w:t xml:space="preserve"> </w:t>
      </w:r>
      <w:r>
        <w:rPr>
          <w:sz w:val="20"/>
        </w:rPr>
        <w:t>Disease</w:t>
      </w:r>
      <w:r>
        <w:rPr>
          <w:spacing w:val="-6"/>
          <w:sz w:val="20"/>
        </w:rPr>
        <w:t xml:space="preserve"> </w:t>
      </w:r>
      <w:r>
        <w:rPr>
          <w:sz w:val="20"/>
        </w:rPr>
        <w:t>and</w:t>
      </w:r>
      <w:r>
        <w:rPr>
          <w:spacing w:val="-8"/>
          <w:sz w:val="20"/>
        </w:rPr>
        <w:t xml:space="preserve"> </w:t>
      </w:r>
      <w:r>
        <w:rPr>
          <w:sz w:val="20"/>
        </w:rPr>
        <w:t>Laboratory</w:t>
      </w:r>
      <w:r>
        <w:rPr>
          <w:spacing w:val="-6"/>
          <w:sz w:val="20"/>
        </w:rPr>
        <w:t xml:space="preserve"> </w:t>
      </w:r>
      <w:r>
        <w:rPr>
          <w:sz w:val="20"/>
        </w:rPr>
        <w:t>Sciences,</w:t>
      </w:r>
      <w:r>
        <w:rPr>
          <w:spacing w:val="-6"/>
          <w:sz w:val="20"/>
        </w:rPr>
        <w:t xml:space="preserve"> </w:t>
      </w:r>
      <w:r>
        <w:rPr>
          <w:sz w:val="20"/>
        </w:rPr>
        <w:t>“2019</w:t>
      </w:r>
      <w:r>
        <w:rPr>
          <w:spacing w:val="-6"/>
          <w:sz w:val="20"/>
        </w:rPr>
        <w:t xml:space="preserve"> </w:t>
      </w:r>
      <w:r>
        <w:rPr>
          <w:sz w:val="20"/>
        </w:rPr>
        <w:t>Integrated HIV/AIDS, STD and Viral Hepatitis Surveillance Report.”</w:t>
      </w:r>
    </w:p>
    <w:p w:rsidR="00C76E6D" w:rsidRDefault="00913831">
      <w:pPr>
        <w:spacing w:before="3" w:line="244" w:lineRule="exact"/>
        <w:ind w:left="338"/>
        <w:rPr>
          <w:sz w:val="20"/>
        </w:rPr>
      </w:pPr>
      <w:bookmarkStart w:id="606" w:name="_bookmark445"/>
      <w:bookmarkEnd w:id="606"/>
      <w:r>
        <w:rPr>
          <w:sz w:val="20"/>
          <w:vertAlign w:val="superscript"/>
        </w:rPr>
        <w:t>27</w:t>
      </w:r>
      <w:r>
        <w:rPr>
          <w:spacing w:val="-8"/>
          <w:sz w:val="20"/>
        </w:rPr>
        <w:t xml:space="preserve"> </w:t>
      </w:r>
      <w:bookmarkStart w:id="607" w:name="_bookmark446"/>
      <w:bookmarkEnd w:id="607"/>
      <w:r>
        <w:rPr>
          <w:sz w:val="20"/>
        </w:rPr>
        <w:t>Massachusetts</w:t>
      </w:r>
      <w:r>
        <w:rPr>
          <w:spacing w:val="-8"/>
          <w:sz w:val="20"/>
        </w:rPr>
        <w:t xml:space="preserve"> </w:t>
      </w:r>
      <w:r>
        <w:rPr>
          <w:sz w:val="20"/>
        </w:rPr>
        <w:t>Department</w:t>
      </w:r>
      <w:r>
        <w:rPr>
          <w:spacing w:val="-9"/>
          <w:sz w:val="20"/>
        </w:rPr>
        <w:t xml:space="preserve"> </w:t>
      </w:r>
      <w:r>
        <w:rPr>
          <w:sz w:val="20"/>
        </w:rPr>
        <w:t>of</w:t>
      </w:r>
      <w:r>
        <w:rPr>
          <w:spacing w:val="-9"/>
          <w:sz w:val="20"/>
        </w:rPr>
        <w:t xml:space="preserve"> </w:t>
      </w:r>
      <w:r>
        <w:rPr>
          <w:sz w:val="20"/>
        </w:rPr>
        <w:t>Public</w:t>
      </w:r>
      <w:r>
        <w:rPr>
          <w:spacing w:val="-8"/>
          <w:sz w:val="20"/>
        </w:rPr>
        <w:t xml:space="preserve"> </w:t>
      </w:r>
      <w:r>
        <w:rPr>
          <w:sz w:val="20"/>
        </w:rPr>
        <w:t>Health,</w:t>
      </w:r>
      <w:r>
        <w:rPr>
          <w:spacing w:val="-10"/>
          <w:sz w:val="20"/>
        </w:rPr>
        <w:t xml:space="preserve"> </w:t>
      </w:r>
      <w:r>
        <w:rPr>
          <w:sz w:val="20"/>
        </w:rPr>
        <w:t>Bureau</w:t>
      </w:r>
      <w:r>
        <w:rPr>
          <w:spacing w:val="-9"/>
          <w:sz w:val="20"/>
        </w:rPr>
        <w:t xml:space="preserve"> </w:t>
      </w:r>
      <w:r>
        <w:rPr>
          <w:sz w:val="20"/>
        </w:rPr>
        <w:t>of</w:t>
      </w:r>
      <w:r>
        <w:rPr>
          <w:spacing w:val="-8"/>
          <w:sz w:val="20"/>
        </w:rPr>
        <w:t xml:space="preserve"> </w:t>
      </w:r>
      <w:r>
        <w:rPr>
          <w:sz w:val="20"/>
        </w:rPr>
        <w:t>Infectious</w:t>
      </w:r>
      <w:r>
        <w:rPr>
          <w:spacing w:val="-9"/>
          <w:sz w:val="20"/>
        </w:rPr>
        <w:t xml:space="preserve"> </w:t>
      </w:r>
      <w:r>
        <w:rPr>
          <w:sz w:val="20"/>
        </w:rPr>
        <w:t>Disease</w:t>
      </w:r>
      <w:r>
        <w:rPr>
          <w:spacing w:val="-7"/>
          <w:sz w:val="20"/>
        </w:rPr>
        <w:t xml:space="preserve"> </w:t>
      </w:r>
      <w:r>
        <w:rPr>
          <w:sz w:val="20"/>
        </w:rPr>
        <w:t>and</w:t>
      </w:r>
      <w:r>
        <w:rPr>
          <w:spacing w:val="-9"/>
          <w:sz w:val="20"/>
        </w:rPr>
        <w:t xml:space="preserve"> </w:t>
      </w:r>
      <w:r>
        <w:rPr>
          <w:sz w:val="20"/>
        </w:rPr>
        <w:t>Laboratory</w:t>
      </w:r>
      <w:r>
        <w:rPr>
          <w:spacing w:val="-7"/>
          <w:sz w:val="20"/>
        </w:rPr>
        <w:t xml:space="preserve"> </w:t>
      </w:r>
      <w:r>
        <w:rPr>
          <w:spacing w:val="-2"/>
          <w:sz w:val="20"/>
        </w:rPr>
        <w:t>Sciences.</w:t>
      </w:r>
    </w:p>
    <w:p w:rsidR="00C76E6D" w:rsidRDefault="00913831">
      <w:pPr>
        <w:spacing w:line="241" w:lineRule="exact"/>
        <w:ind w:left="338"/>
        <w:rPr>
          <w:sz w:val="20"/>
        </w:rPr>
      </w:pPr>
      <w:r>
        <w:rPr>
          <w:sz w:val="20"/>
          <w:vertAlign w:val="superscript"/>
        </w:rPr>
        <w:t>28</w:t>
      </w:r>
      <w:r>
        <w:rPr>
          <w:spacing w:val="-8"/>
          <w:sz w:val="20"/>
        </w:rPr>
        <w:t xml:space="preserve"> </w:t>
      </w:r>
      <w:r>
        <w:rPr>
          <w:sz w:val="20"/>
        </w:rPr>
        <w:t>Massachusetts</w:t>
      </w:r>
      <w:r>
        <w:rPr>
          <w:spacing w:val="-8"/>
          <w:sz w:val="20"/>
        </w:rPr>
        <w:t xml:space="preserve"> </w:t>
      </w:r>
      <w:r>
        <w:rPr>
          <w:sz w:val="20"/>
        </w:rPr>
        <w:t>Department</w:t>
      </w:r>
      <w:r>
        <w:rPr>
          <w:spacing w:val="-9"/>
          <w:sz w:val="20"/>
        </w:rPr>
        <w:t xml:space="preserve"> </w:t>
      </w:r>
      <w:r>
        <w:rPr>
          <w:sz w:val="20"/>
        </w:rPr>
        <w:t>of</w:t>
      </w:r>
      <w:r>
        <w:rPr>
          <w:spacing w:val="-9"/>
          <w:sz w:val="20"/>
        </w:rPr>
        <w:t xml:space="preserve"> </w:t>
      </w:r>
      <w:r>
        <w:rPr>
          <w:sz w:val="20"/>
        </w:rPr>
        <w:t>Public</w:t>
      </w:r>
      <w:r>
        <w:rPr>
          <w:spacing w:val="-8"/>
          <w:sz w:val="20"/>
        </w:rPr>
        <w:t xml:space="preserve"> </w:t>
      </w:r>
      <w:r>
        <w:rPr>
          <w:sz w:val="20"/>
        </w:rPr>
        <w:t>Health,</w:t>
      </w:r>
      <w:r>
        <w:rPr>
          <w:spacing w:val="-10"/>
          <w:sz w:val="20"/>
        </w:rPr>
        <w:t xml:space="preserve"> </w:t>
      </w:r>
      <w:r>
        <w:rPr>
          <w:sz w:val="20"/>
        </w:rPr>
        <w:t>Bure</w:t>
      </w:r>
      <w:r>
        <w:rPr>
          <w:sz w:val="20"/>
        </w:rPr>
        <w:t>au</w:t>
      </w:r>
      <w:r>
        <w:rPr>
          <w:spacing w:val="-9"/>
          <w:sz w:val="20"/>
        </w:rPr>
        <w:t xml:space="preserve"> </w:t>
      </w:r>
      <w:r>
        <w:rPr>
          <w:sz w:val="20"/>
        </w:rPr>
        <w:t>of</w:t>
      </w:r>
      <w:r>
        <w:rPr>
          <w:spacing w:val="-8"/>
          <w:sz w:val="20"/>
        </w:rPr>
        <w:t xml:space="preserve"> </w:t>
      </w:r>
      <w:r>
        <w:rPr>
          <w:sz w:val="20"/>
        </w:rPr>
        <w:t>Infectious</w:t>
      </w:r>
      <w:r>
        <w:rPr>
          <w:spacing w:val="-9"/>
          <w:sz w:val="20"/>
        </w:rPr>
        <w:t xml:space="preserve"> </w:t>
      </w:r>
      <w:r>
        <w:rPr>
          <w:sz w:val="20"/>
        </w:rPr>
        <w:t>Disease</w:t>
      </w:r>
      <w:r>
        <w:rPr>
          <w:spacing w:val="-7"/>
          <w:sz w:val="20"/>
        </w:rPr>
        <w:t xml:space="preserve"> </w:t>
      </w:r>
      <w:r>
        <w:rPr>
          <w:sz w:val="20"/>
        </w:rPr>
        <w:t>and</w:t>
      </w:r>
      <w:r>
        <w:rPr>
          <w:spacing w:val="-9"/>
          <w:sz w:val="20"/>
        </w:rPr>
        <w:t xml:space="preserve"> </w:t>
      </w:r>
      <w:r>
        <w:rPr>
          <w:sz w:val="20"/>
        </w:rPr>
        <w:t>Laboratory</w:t>
      </w:r>
      <w:r>
        <w:rPr>
          <w:spacing w:val="-7"/>
          <w:sz w:val="20"/>
        </w:rPr>
        <w:t xml:space="preserve"> </w:t>
      </w:r>
      <w:r>
        <w:rPr>
          <w:spacing w:val="-2"/>
          <w:sz w:val="20"/>
        </w:rPr>
        <w:t>Sciences.</w:t>
      </w:r>
    </w:p>
    <w:p w:rsidR="00C76E6D" w:rsidRDefault="00913831">
      <w:pPr>
        <w:ind w:left="339" w:right="418" w:hanging="2"/>
        <w:rPr>
          <w:sz w:val="20"/>
        </w:rPr>
      </w:pPr>
      <w:bookmarkStart w:id="608" w:name="_bookmark447"/>
      <w:bookmarkEnd w:id="608"/>
      <w:r>
        <w:rPr>
          <w:sz w:val="20"/>
          <w:vertAlign w:val="superscript"/>
        </w:rPr>
        <w:t>29</w:t>
      </w:r>
      <w:r>
        <w:rPr>
          <w:spacing w:val="-4"/>
          <w:sz w:val="20"/>
        </w:rPr>
        <w:t xml:space="preserve"> </w:t>
      </w:r>
      <w:r>
        <w:rPr>
          <w:sz w:val="20"/>
        </w:rPr>
        <w:t>Centers</w:t>
      </w:r>
      <w:r>
        <w:rPr>
          <w:spacing w:val="-5"/>
          <w:sz w:val="20"/>
        </w:rPr>
        <w:t xml:space="preserve"> </w:t>
      </w:r>
      <w:r>
        <w:rPr>
          <w:sz w:val="20"/>
        </w:rPr>
        <w:t>for</w:t>
      </w:r>
      <w:r>
        <w:rPr>
          <w:spacing w:val="-7"/>
          <w:sz w:val="20"/>
        </w:rPr>
        <w:t xml:space="preserve"> </w:t>
      </w:r>
      <w:r>
        <w:rPr>
          <w:sz w:val="20"/>
        </w:rPr>
        <w:t>Disease</w:t>
      </w:r>
      <w:r>
        <w:rPr>
          <w:spacing w:val="-4"/>
          <w:sz w:val="20"/>
        </w:rPr>
        <w:t xml:space="preserve"> </w:t>
      </w:r>
      <w:r>
        <w:rPr>
          <w:sz w:val="20"/>
        </w:rPr>
        <w:t>Control</w:t>
      </w:r>
      <w:r>
        <w:rPr>
          <w:spacing w:val="-6"/>
          <w:sz w:val="20"/>
        </w:rPr>
        <w:t xml:space="preserve"> </w:t>
      </w:r>
      <w:r>
        <w:rPr>
          <w:sz w:val="20"/>
        </w:rPr>
        <w:t>and</w:t>
      </w:r>
      <w:r>
        <w:rPr>
          <w:spacing w:val="-4"/>
          <w:sz w:val="20"/>
        </w:rPr>
        <w:t xml:space="preserve"> </w:t>
      </w:r>
      <w:r>
        <w:rPr>
          <w:sz w:val="20"/>
        </w:rPr>
        <w:t>Prevention,</w:t>
      </w:r>
      <w:r>
        <w:rPr>
          <w:spacing w:val="-4"/>
          <w:sz w:val="20"/>
        </w:rPr>
        <w:t xml:space="preserve"> </w:t>
      </w:r>
      <w:r>
        <w:rPr>
          <w:sz w:val="20"/>
        </w:rPr>
        <w:t>“PrEP</w:t>
      </w:r>
      <w:r>
        <w:rPr>
          <w:spacing w:val="-7"/>
          <w:sz w:val="20"/>
        </w:rPr>
        <w:t xml:space="preserve"> </w:t>
      </w:r>
      <w:r>
        <w:rPr>
          <w:sz w:val="20"/>
        </w:rPr>
        <w:t>Effectiveness</w:t>
      </w:r>
      <w:r>
        <w:rPr>
          <w:spacing w:val="-5"/>
          <w:sz w:val="20"/>
        </w:rPr>
        <w:t xml:space="preserve"> </w:t>
      </w:r>
      <w:r>
        <w:rPr>
          <w:sz w:val="20"/>
        </w:rPr>
        <w:t>|</w:t>
      </w:r>
      <w:r>
        <w:rPr>
          <w:spacing w:val="-4"/>
          <w:sz w:val="20"/>
        </w:rPr>
        <w:t xml:space="preserve"> </w:t>
      </w:r>
      <w:r>
        <w:rPr>
          <w:sz w:val="20"/>
        </w:rPr>
        <w:t>PrEP</w:t>
      </w:r>
      <w:r>
        <w:rPr>
          <w:spacing w:val="-8"/>
          <w:sz w:val="20"/>
        </w:rPr>
        <w:t xml:space="preserve"> </w:t>
      </w:r>
      <w:r>
        <w:rPr>
          <w:sz w:val="20"/>
        </w:rPr>
        <w:t>|</w:t>
      </w:r>
      <w:r>
        <w:rPr>
          <w:spacing w:val="-4"/>
          <w:sz w:val="20"/>
        </w:rPr>
        <w:t xml:space="preserve"> </w:t>
      </w:r>
      <w:r>
        <w:rPr>
          <w:sz w:val="20"/>
        </w:rPr>
        <w:t>HIV</w:t>
      </w:r>
      <w:r>
        <w:rPr>
          <w:spacing w:val="-5"/>
          <w:sz w:val="20"/>
        </w:rPr>
        <w:t xml:space="preserve"> </w:t>
      </w:r>
      <w:r>
        <w:rPr>
          <w:sz w:val="20"/>
        </w:rPr>
        <w:t>Basics</w:t>
      </w:r>
      <w:r>
        <w:rPr>
          <w:spacing w:val="-7"/>
          <w:sz w:val="20"/>
        </w:rPr>
        <w:t xml:space="preserve"> </w:t>
      </w:r>
      <w:r>
        <w:rPr>
          <w:sz w:val="20"/>
        </w:rPr>
        <w:t>|</w:t>
      </w:r>
      <w:r>
        <w:rPr>
          <w:spacing w:val="-7"/>
          <w:sz w:val="20"/>
        </w:rPr>
        <w:t xml:space="preserve"> </w:t>
      </w:r>
      <w:r>
        <w:rPr>
          <w:sz w:val="20"/>
        </w:rPr>
        <w:t>HIV/AIDS</w:t>
      </w:r>
      <w:r>
        <w:rPr>
          <w:spacing w:val="-4"/>
          <w:sz w:val="20"/>
        </w:rPr>
        <w:t xml:space="preserve"> </w:t>
      </w:r>
      <w:r>
        <w:rPr>
          <w:sz w:val="20"/>
        </w:rPr>
        <w:t>|</w:t>
      </w:r>
      <w:r>
        <w:rPr>
          <w:spacing w:val="-6"/>
          <w:sz w:val="20"/>
        </w:rPr>
        <w:t xml:space="preserve"> </w:t>
      </w:r>
      <w:r>
        <w:rPr>
          <w:sz w:val="20"/>
        </w:rPr>
        <w:t>CDC,”</w:t>
      </w:r>
      <w:r>
        <w:rPr>
          <w:spacing w:val="-4"/>
          <w:sz w:val="20"/>
        </w:rPr>
        <w:t xml:space="preserve"> </w:t>
      </w:r>
      <w:r>
        <w:rPr>
          <w:sz w:val="20"/>
        </w:rPr>
        <w:t>June</w:t>
      </w:r>
      <w:r>
        <w:rPr>
          <w:spacing w:val="-6"/>
          <w:sz w:val="20"/>
        </w:rPr>
        <w:t xml:space="preserve"> </w:t>
      </w:r>
      <w:r>
        <w:rPr>
          <w:sz w:val="20"/>
        </w:rPr>
        <w:t>6,</w:t>
      </w:r>
      <w:r>
        <w:rPr>
          <w:spacing w:val="-7"/>
          <w:sz w:val="20"/>
        </w:rPr>
        <w:t xml:space="preserve"> </w:t>
      </w:r>
      <w:r>
        <w:rPr>
          <w:sz w:val="20"/>
        </w:rPr>
        <w:t xml:space="preserve">2022, </w:t>
      </w:r>
      <w:r>
        <w:rPr>
          <w:spacing w:val="-2"/>
          <w:sz w:val="20"/>
        </w:rPr>
        <w:t>https://</w:t>
      </w:r>
      <w:hyperlink r:id="rId327">
        <w:r>
          <w:rPr>
            <w:spacing w:val="-2"/>
            <w:sz w:val="20"/>
          </w:rPr>
          <w:t>www.cdc.gov/hiv/basics/prep/prep-effectiveness.html.</w:t>
        </w:r>
      </w:hyperlink>
    </w:p>
    <w:p w:rsidR="00C76E6D" w:rsidRDefault="00913831">
      <w:pPr>
        <w:ind w:left="339" w:right="653" w:hanging="2"/>
        <w:jc w:val="both"/>
        <w:rPr>
          <w:sz w:val="20"/>
        </w:rPr>
      </w:pPr>
      <w:bookmarkStart w:id="609" w:name="_bookmark448"/>
      <w:bookmarkEnd w:id="609"/>
      <w:r>
        <w:rPr>
          <w:sz w:val="20"/>
          <w:vertAlign w:val="superscript"/>
        </w:rPr>
        <w:t>30</w:t>
      </w:r>
      <w:r>
        <w:rPr>
          <w:spacing w:val="-4"/>
          <w:sz w:val="20"/>
        </w:rPr>
        <w:t xml:space="preserve"> </w:t>
      </w:r>
      <w:r>
        <w:rPr>
          <w:sz w:val="20"/>
        </w:rPr>
        <w:t>Katherine</w:t>
      </w:r>
      <w:r>
        <w:rPr>
          <w:spacing w:val="-5"/>
          <w:sz w:val="20"/>
        </w:rPr>
        <w:t xml:space="preserve"> </w:t>
      </w:r>
      <w:r>
        <w:rPr>
          <w:sz w:val="20"/>
        </w:rPr>
        <w:t>G.</w:t>
      </w:r>
      <w:r>
        <w:rPr>
          <w:spacing w:val="-7"/>
          <w:sz w:val="20"/>
        </w:rPr>
        <w:t xml:space="preserve"> </w:t>
      </w:r>
      <w:r>
        <w:rPr>
          <w:sz w:val="20"/>
        </w:rPr>
        <w:t>Quinn</w:t>
      </w:r>
      <w:r>
        <w:rPr>
          <w:spacing w:val="-4"/>
          <w:sz w:val="20"/>
        </w:rPr>
        <w:t xml:space="preserve"> </w:t>
      </w:r>
      <w:r>
        <w:rPr>
          <w:sz w:val="20"/>
        </w:rPr>
        <w:t>et</w:t>
      </w:r>
      <w:r>
        <w:rPr>
          <w:spacing w:val="-4"/>
          <w:sz w:val="20"/>
        </w:rPr>
        <w:t xml:space="preserve"> </w:t>
      </w:r>
      <w:r>
        <w:rPr>
          <w:sz w:val="20"/>
        </w:rPr>
        <w:t>al.,</w:t>
      </w:r>
      <w:r>
        <w:rPr>
          <w:spacing w:val="-6"/>
          <w:sz w:val="20"/>
        </w:rPr>
        <w:t xml:space="preserve"> </w:t>
      </w:r>
      <w:r>
        <w:rPr>
          <w:sz w:val="20"/>
        </w:rPr>
        <w:t>“The</w:t>
      </w:r>
      <w:r>
        <w:rPr>
          <w:spacing w:val="-5"/>
          <w:sz w:val="20"/>
        </w:rPr>
        <w:t xml:space="preserve"> </w:t>
      </w:r>
      <w:r>
        <w:rPr>
          <w:sz w:val="20"/>
        </w:rPr>
        <w:t>Influence</w:t>
      </w:r>
      <w:r>
        <w:rPr>
          <w:spacing w:val="-6"/>
          <w:sz w:val="20"/>
        </w:rPr>
        <w:t xml:space="preserve"> </w:t>
      </w:r>
      <w:r>
        <w:rPr>
          <w:sz w:val="20"/>
        </w:rPr>
        <w:t>of</w:t>
      </w:r>
      <w:r>
        <w:rPr>
          <w:spacing w:val="-7"/>
          <w:sz w:val="20"/>
        </w:rPr>
        <w:t xml:space="preserve"> </w:t>
      </w:r>
      <w:r>
        <w:rPr>
          <w:sz w:val="20"/>
        </w:rPr>
        <w:t>Peers</w:t>
      </w:r>
      <w:r>
        <w:rPr>
          <w:spacing w:val="-5"/>
          <w:sz w:val="20"/>
        </w:rPr>
        <w:t xml:space="preserve"> </w:t>
      </w:r>
      <w:r>
        <w:rPr>
          <w:sz w:val="20"/>
        </w:rPr>
        <w:t>on</w:t>
      </w:r>
      <w:r>
        <w:rPr>
          <w:spacing w:val="-4"/>
          <w:sz w:val="20"/>
        </w:rPr>
        <w:t xml:space="preserve"> </w:t>
      </w:r>
      <w:r>
        <w:rPr>
          <w:sz w:val="20"/>
        </w:rPr>
        <w:t>PrEP</w:t>
      </w:r>
      <w:r>
        <w:rPr>
          <w:spacing w:val="-7"/>
          <w:sz w:val="20"/>
        </w:rPr>
        <w:t xml:space="preserve"> </w:t>
      </w:r>
      <w:r>
        <w:rPr>
          <w:sz w:val="20"/>
        </w:rPr>
        <w:t>Perceptions</w:t>
      </w:r>
      <w:r>
        <w:rPr>
          <w:spacing w:val="-7"/>
          <w:sz w:val="20"/>
        </w:rPr>
        <w:t xml:space="preserve"> </w:t>
      </w:r>
      <w:r>
        <w:rPr>
          <w:sz w:val="20"/>
        </w:rPr>
        <w:t>and</w:t>
      </w:r>
      <w:r>
        <w:rPr>
          <w:spacing w:val="-4"/>
          <w:sz w:val="20"/>
        </w:rPr>
        <w:t xml:space="preserve"> </w:t>
      </w:r>
      <w:r>
        <w:rPr>
          <w:sz w:val="20"/>
        </w:rPr>
        <w:t>Use</w:t>
      </w:r>
      <w:r>
        <w:rPr>
          <w:spacing w:val="-6"/>
          <w:sz w:val="20"/>
        </w:rPr>
        <w:t xml:space="preserve"> </w:t>
      </w:r>
      <w:r>
        <w:rPr>
          <w:sz w:val="20"/>
        </w:rPr>
        <w:t>Among</w:t>
      </w:r>
      <w:r>
        <w:rPr>
          <w:spacing w:val="-4"/>
          <w:sz w:val="20"/>
        </w:rPr>
        <w:t xml:space="preserve"> </w:t>
      </w:r>
      <w:r>
        <w:rPr>
          <w:sz w:val="20"/>
        </w:rPr>
        <w:t>Young</w:t>
      </w:r>
      <w:r>
        <w:rPr>
          <w:spacing w:val="-4"/>
          <w:sz w:val="20"/>
        </w:rPr>
        <w:t xml:space="preserve"> </w:t>
      </w:r>
      <w:r>
        <w:rPr>
          <w:sz w:val="20"/>
        </w:rPr>
        <w:t>Black</w:t>
      </w:r>
      <w:r>
        <w:rPr>
          <w:spacing w:val="-4"/>
          <w:sz w:val="20"/>
        </w:rPr>
        <w:t xml:space="preserve"> </w:t>
      </w:r>
      <w:r>
        <w:rPr>
          <w:sz w:val="20"/>
        </w:rPr>
        <w:t>Gay,</w:t>
      </w:r>
      <w:r>
        <w:rPr>
          <w:spacing w:val="-5"/>
          <w:sz w:val="20"/>
        </w:rPr>
        <w:t xml:space="preserve"> </w:t>
      </w:r>
      <w:r>
        <w:rPr>
          <w:sz w:val="20"/>
        </w:rPr>
        <w:t>Bisexual, and</w:t>
      </w:r>
      <w:r>
        <w:rPr>
          <w:spacing w:val="-2"/>
          <w:sz w:val="20"/>
        </w:rPr>
        <w:t xml:space="preserve"> </w:t>
      </w:r>
      <w:r>
        <w:rPr>
          <w:sz w:val="20"/>
        </w:rPr>
        <w:t>Other</w:t>
      </w:r>
      <w:r>
        <w:rPr>
          <w:spacing w:val="-1"/>
          <w:sz w:val="20"/>
        </w:rPr>
        <w:t xml:space="preserve"> </w:t>
      </w:r>
      <w:r>
        <w:rPr>
          <w:sz w:val="20"/>
        </w:rPr>
        <w:t>Men</w:t>
      </w:r>
      <w:r>
        <w:rPr>
          <w:spacing w:val="-1"/>
          <w:sz w:val="20"/>
        </w:rPr>
        <w:t xml:space="preserve"> </w:t>
      </w:r>
      <w:r>
        <w:rPr>
          <w:sz w:val="20"/>
        </w:rPr>
        <w:t>Who</w:t>
      </w:r>
      <w:r>
        <w:rPr>
          <w:spacing w:val="-2"/>
          <w:sz w:val="20"/>
        </w:rPr>
        <w:t xml:space="preserve"> </w:t>
      </w:r>
      <w:r>
        <w:rPr>
          <w:sz w:val="20"/>
        </w:rPr>
        <w:t>Have</w:t>
      </w:r>
      <w:r>
        <w:rPr>
          <w:spacing w:val="-1"/>
          <w:sz w:val="20"/>
        </w:rPr>
        <w:t xml:space="preserve"> </w:t>
      </w:r>
      <w:r>
        <w:rPr>
          <w:sz w:val="20"/>
        </w:rPr>
        <w:t>Sex</w:t>
      </w:r>
      <w:r>
        <w:rPr>
          <w:spacing w:val="-1"/>
          <w:sz w:val="20"/>
        </w:rPr>
        <w:t xml:space="preserve"> </w:t>
      </w:r>
      <w:r>
        <w:rPr>
          <w:sz w:val="20"/>
        </w:rPr>
        <w:t>with</w:t>
      </w:r>
      <w:r>
        <w:rPr>
          <w:spacing w:val="-1"/>
          <w:sz w:val="20"/>
        </w:rPr>
        <w:t xml:space="preserve"> </w:t>
      </w:r>
      <w:r>
        <w:rPr>
          <w:sz w:val="20"/>
        </w:rPr>
        <w:t>Men:</w:t>
      </w:r>
      <w:r>
        <w:rPr>
          <w:spacing w:val="-2"/>
          <w:sz w:val="20"/>
        </w:rPr>
        <w:t xml:space="preserve"> </w:t>
      </w:r>
      <w:r>
        <w:rPr>
          <w:sz w:val="20"/>
        </w:rPr>
        <w:t>A</w:t>
      </w:r>
      <w:r>
        <w:rPr>
          <w:spacing w:val="-2"/>
          <w:sz w:val="20"/>
        </w:rPr>
        <w:t xml:space="preserve"> </w:t>
      </w:r>
      <w:r>
        <w:rPr>
          <w:sz w:val="20"/>
        </w:rPr>
        <w:t>Qualitative</w:t>
      </w:r>
      <w:r>
        <w:rPr>
          <w:spacing w:val="-1"/>
          <w:sz w:val="20"/>
        </w:rPr>
        <w:t xml:space="preserve"> </w:t>
      </w:r>
      <w:r>
        <w:rPr>
          <w:sz w:val="20"/>
        </w:rPr>
        <w:t>Examination,”</w:t>
      </w:r>
      <w:r>
        <w:rPr>
          <w:spacing w:val="-1"/>
          <w:sz w:val="20"/>
        </w:rPr>
        <w:t xml:space="preserve"> </w:t>
      </w:r>
      <w:r>
        <w:rPr>
          <w:i/>
          <w:sz w:val="20"/>
        </w:rPr>
        <w:t>Archives</w:t>
      </w:r>
      <w:r>
        <w:rPr>
          <w:i/>
          <w:spacing w:val="-1"/>
          <w:sz w:val="20"/>
        </w:rPr>
        <w:t xml:space="preserve"> </w:t>
      </w:r>
      <w:r>
        <w:rPr>
          <w:i/>
          <w:sz w:val="20"/>
        </w:rPr>
        <w:t>of</w:t>
      </w:r>
      <w:r>
        <w:rPr>
          <w:i/>
          <w:spacing w:val="-2"/>
          <w:sz w:val="20"/>
        </w:rPr>
        <w:t xml:space="preserve"> </w:t>
      </w:r>
      <w:r>
        <w:rPr>
          <w:i/>
          <w:sz w:val="20"/>
        </w:rPr>
        <w:t>Sexual</w:t>
      </w:r>
      <w:r>
        <w:rPr>
          <w:i/>
          <w:spacing w:val="-2"/>
          <w:sz w:val="20"/>
        </w:rPr>
        <w:t xml:space="preserve"> </w:t>
      </w:r>
      <w:r>
        <w:rPr>
          <w:i/>
          <w:sz w:val="20"/>
        </w:rPr>
        <w:t>Behavior</w:t>
      </w:r>
      <w:r>
        <w:rPr>
          <w:i/>
          <w:spacing w:val="-4"/>
          <w:sz w:val="20"/>
        </w:rPr>
        <w:t xml:space="preserve"> </w:t>
      </w:r>
      <w:r>
        <w:rPr>
          <w:sz w:val="20"/>
        </w:rPr>
        <w:t>49,</w:t>
      </w:r>
      <w:r>
        <w:rPr>
          <w:spacing w:val="-2"/>
          <w:sz w:val="20"/>
        </w:rPr>
        <w:t xml:space="preserve"> </w:t>
      </w:r>
      <w:r>
        <w:rPr>
          <w:sz w:val="20"/>
        </w:rPr>
        <w:t>no.</w:t>
      </w:r>
      <w:r>
        <w:rPr>
          <w:spacing w:val="-1"/>
          <w:sz w:val="20"/>
        </w:rPr>
        <w:t xml:space="preserve"> </w:t>
      </w:r>
      <w:r>
        <w:rPr>
          <w:sz w:val="20"/>
        </w:rPr>
        <w:t>6</w:t>
      </w:r>
      <w:r>
        <w:rPr>
          <w:spacing w:val="-2"/>
          <w:sz w:val="20"/>
        </w:rPr>
        <w:t xml:space="preserve"> </w:t>
      </w:r>
      <w:r>
        <w:rPr>
          <w:sz w:val="20"/>
        </w:rPr>
        <w:t>(August 2020): 2129–43, https://doi.org/10.1007/s10508-019-01593-x.</w:t>
      </w:r>
    </w:p>
    <w:p w:rsidR="00C76E6D" w:rsidRDefault="00913831">
      <w:pPr>
        <w:spacing w:before="2" w:line="241" w:lineRule="exact"/>
        <w:ind w:left="338"/>
        <w:jc w:val="both"/>
        <w:rPr>
          <w:sz w:val="20"/>
        </w:rPr>
      </w:pPr>
      <w:bookmarkStart w:id="610" w:name="_bookmark449"/>
      <w:bookmarkEnd w:id="610"/>
      <w:r>
        <w:rPr>
          <w:sz w:val="20"/>
          <w:vertAlign w:val="superscript"/>
        </w:rPr>
        <w:t>31</w:t>
      </w:r>
      <w:r>
        <w:rPr>
          <w:spacing w:val="-4"/>
          <w:sz w:val="20"/>
        </w:rPr>
        <w:t xml:space="preserve"> </w:t>
      </w:r>
      <w:r>
        <w:rPr>
          <w:sz w:val="20"/>
        </w:rPr>
        <w:t>Quinn</w:t>
      </w:r>
      <w:r>
        <w:rPr>
          <w:spacing w:val="-3"/>
          <w:sz w:val="20"/>
        </w:rPr>
        <w:t xml:space="preserve"> </w:t>
      </w:r>
      <w:r>
        <w:rPr>
          <w:sz w:val="20"/>
        </w:rPr>
        <w:t>et</w:t>
      </w:r>
      <w:r>
        <w:rPr>
          <w:spacing w:val="-6"/>
          <w:sz w:val="20"/>
        </w:rPr>
        <w:t xml:space="preserve"> </w:t>
      </w:r>
      <w:r>
        <w:rPr>
          <w:spacing w:val="-5"/>
          <w:sz w:val="20"/>
        </w:rPr>
        <w:t>al.</w:t>
      </w:r>
    </w:p>
    <w:p w:rsidR="00C76E6D" w:rsidRDefault="00913831">
      <w:pPr>
        <w:ind w:left="339" w:right="498" w:hanging="1"/>
        <w:jc w:val="both"/>
        <w:rPr>
          <w:sz w:val="20"/>
        </w:rPr>
      </w:pPr>
      <w:bookmarkStart w:id="611" w:name="_bookmark450"/>
      <w:bookmarkEnd w:id="611"/>
      <w:r>
        <w:rPr>
          <w:sz w:val="20"/>
          <w:vertAlign w:val="superscript"/>
        </w:rPr>
        <w:t>32</w:t>
      </w:r>
      <w:r>
        <w:rPr>
          <w:spacing w:val="-4"/>
          <w:sz w:val="20"/>
        </w:rPr>
        <w:t xml:space="preserve"> </w:t>
      </w:r>
      <w:r>
        <w:rPr>
          <w:sz w:val="20"/>
        </w:rPr>
        <w:t>Nwora</w:t>
      </w:r>
      <w:r>
        <w:rPr>
          <w:spacing w:val="-4"/>
          <w:sz w:val="20"/>
        </w:rPr>
        <w:t xml:space="preserve"> </w:t>
      </w:r>
      <w:r>
        <w:rPr>
          <w:sz w:val="20"/>
        </w:rPr>
        <w:t>Lance</w:t>
      </w:r>
      <w:r>
        <w:rPr>
          <w:spacing w:val="-7"/>
          <w:sz w:val="20"/>
        </w:rPr>
        <w:t xml:space="preserve"> </w:t>
      </w:r>
      <w:r>
        <w:rPr>
          <w:sz w:val="20"/>
        </w:rPr>
        <w:t>Okeke</w:t>
      </w:r>
      <w:r>
        <w:rPr>
          <w:spacing w:val="-6"/>
          <w:sz w:val="20"/>
        </w:rPr>
        <w:t xml:space="preserve"> </w:t>
      </w:r>
      <w:r>
        <w:rPr>
          <w:sz w:val="20"/>
        </w:rPr>
        <w:t>et</w:t>
      </w:r>
      <w:r>
        <w:rPr>
          <w:spacing w:val="-4"/>
          <w:sz w:val="20"/>
        </w:rPr>
        <w:t xml:space="preserve"> </w:t>
      </w:r>
      <w:r>
        <w:rPr>
          <w:sz w:val="20"/>
        </w:rPr>
        <w:t>al.,</w:t>
      </w:r>
      <w:r>
        <w:rPr>
          <w:spacing w:val="-6"/>
          <w:sz w:val="20"/>
        </w:rPr>
        <w:t xml:space="preserve"> </w:t>
      </w:r>
      <w:r>
        <w:rPr>
          <w:sz w:val="20"/>
        </w:rPr>
        <w:t>“Awareness</w:t>
      </w:r>
      <w:r>
        <w:rPr>
          <w:spacing w:val="-5"/>
          <w:sz w:val="20"/>
        </w:rPr>
        <w:t xml:space="preserve"> </w:t>
      </w:r>
      <w:r>
        <w:rPr>
          <w:sz w:val="20"/>
        </w:rPr>
        <w:t>and</w:t>
      </w:r>
      <w:r>
        <w:rPr>
          <w:spacing w:val="-4"/>
          <w:sz w:val="20"/>
        </w:rPr>
        <w:t xml:space="preserve"> </w:t>
      </w:r>
      <w:r>
        <w:rPr>
          <w:sz w:val="20"/>
        </w:rPr>
        <w:t>Acceptability</w:t>
      </w:r>
      <w:r>
        <w:rPr>
          <w:spacing w:val="-6"/>
          <w:sz w:val="20"/>
        </w:rPr>
        <w:t xml:space="preserve"> </w:t>
      </w:r>
      <w:r>
        <w:rPr>
          <w:sz w:val="20"/>
        </w:rPr>
        <w:t>of</w:t>
      </w:r>
      <w:r>
        <w:rPr>
          <w:spacing w:val="-4"/>
          <w:sz w:val="20"/>
        </w:rPr>
        <w:t xml:space="preserve"> </w:t>
      </w:r>
      <w:r>
        <w:rPr>
          <w:sz w:val="20"/>
        </w:rPr>
        <w:t>HIV</w:t>
      </w:r>
      <w:r>
        <w:rPr>
          <w:spacing w:val="-4"/>
          <w:sz w:val="20"/>
        </w:rPr>
        <w:t xml:space="preserve"> </w:t>
      </w:r>
      <w:r>
        <w:rPr>
          <w:sz w:val="20"/>
        </w:rPr>
        <w:t>Pre-Exposure</w:t>
      </w:r>
      <w:r>
        <w:rPr>
          <w:spacing w:val="-4"/>
          <w:sz w:val="20"/>
        </w:rPr>
        <w:t xml:space="preserve"> </w:t>
      </w:r>
      <w:r>
        <w:rPr>
          <w:sz w:val="20"/>
        </w:rPr>
        <w:t>Prophylaxis</w:t>
      </w:r>
      <w:r>
        <w:rPr>
          <w:spacing w:val="-5"/>
          <w:sz w:val="20"/>
        </w:rPr>
        <w:t xml:space="preserve"> </w:t>
      </w:r>
      <w:r>
        <w:rPr>
          <w:sz w:val="20"/>
        </w:rPr>
        <w:t>(PrEP)</w:t>
      </w:r>
      <w:r>
        <w:rPr>
          <w:spacing w:val="-4"/>
          <w:sz w:val="20"/>
        </w:rPr>
        <w:t xml:space="preserve"> </w:t>
      </w:r>
      <w:r>
        <w:rPr>
          <w:sz w:val="20"/>
        </w:rPr>
        <w:t>among</w:t>
      </w:r>
      <w:r>
        <w:rPr>
          <w:spacing w:val="-5"/>
          <w:sz w:val="20"/>
        </w:rPr>
        <w:t xml:space="preserve"> </w:t>
      </w:r>
      <w:r>
        <w:rPr>
          <w:sz w:val="20"/>
        </w:rPr>
        <w:t>Students</w:t>
      </w:r>
      <w:r>
        <w:rPr>
          <w:spacing w:val="-7"/>
          <w:sz w:val="20"/>
        </w:rPr>
        <w:t xml:space="preserve"> </w:t>
      </w:r>
      <w:r>
        <w:rPr>
          <w:sz w:val="20"/>
        </w:rPr>
        <w:t xml:space="preserve">at Two Historically Black Universities (HBCU): A Cross-Sectional Survey,” </w:t>
      </w:r>
      <w:r>
        <w:rPr>
          <w:i/>
          <w:sz w:val="20"/>
        </w:rPr>
        <w:t xml:space="preserve">BMC Public Health </w:t>
      </w:r>
      <w:r>
        <w:rPr>
          <w:sz w:val="20"/>
        </w:rPr>
        <w:t xml:space="preserve">21, no. 1 (December 2021): </w:t>
      </w:r>
      <w:bookmarkStart w:id="612" w:name="_bookmark451"/>
      <w:bookmarkEnd w:id="612"/>
      <w:r>
        <w:rPr>
          <w:sz w:val="20"/>
        </w:rPr>
        <w:t>943, https://doi.org/10.1186/s12889-021-10996-2.</w:t>
      </w:r>
    </w:p>
    <w:p w:rsidR="00C76E6D" w:rsidRDefault="00913831">
      <w:pPr>
        <w:ind w:left="339" w:right="351" w:hanging="1"/>
        <w:rPr>
          <w:sz w:val="20"/>
        </w:rPr>
      </w:pPr>
      <w:r>
        <w:rPr>
          <w:sz w:val="20"/>
          <w:vertAlign w:val="superscript"/>
        </w:rPr>
        <w:t>33</w:t>
      </w:r>
      <w:r>
        <w:rPr>
          <w:spacing w:val="-5"/>
          <w:sz w:val="20"/>
        </w:rPr>
        <w:t xml:space="preserve"> </w:t>
      </w:r>
      <w:r>
        <w:rPr>
          <w:sz w:val="20"/>
        </w:rPr>
        <w:t>Margaret</w:t>
      </w:r>
      <w:r>
        <w:rPr>
          <w:spacing w:val="-7"/>
          <w:sz w:val="20"/>
        </w:rPr>
        <w:t xml:space="preserve"> </w:t>
      </w:r>
      <w:r>
        <w:rPr>
          <w:sz w:val="20"/>
        </w:rPr>
        <w:t>Matson</w:t>
      </w:r>
      <w:r>
        <w:rPr>
          <w:spacing w:val="-5"/>
          <w:sz w:val="20"/>
        </w:rPr>
        <w:t xml:space="preserve"> </w:t>
      </w:r>
      <w:r>
        <w:rPr>
          <w:sz w:val="20"/>
        </w:rPr>
        <w:t>et</w:t>
      </w:r>
      <w:r>
        <w:rPr>
          <w:spacing w:val="-6"/>
          <w:sz w:val="20"/>
        </w:rPr>
        <w:t xml:space="preserve"> </w:t>
      </w:r>
      <w:r>
        <w:rPr>
          <w:sz w:val="20"/>
        </w:rPr>
        <w:t>al.,</w:t>
      </w:r>
      <w:r>
        <w:rPr>
          <w:spacing w:val="-5"/>
          <w:sz w:val="20"/>
        </w:rPr>
        <w:t xml:space="preserve"> </w:t>
      </w:r>
      <w:r>
        <w:rPr>
          <w:sz w:val="20"/>
        </w:rPr>
        <w:t>“Awareness</w:t>
      </w:r>
      <w:r>
        <w:rPr>
          <w:spacing w:val="-6"/>
          <w:sz w:val="20"/>
        </w:rPr>
        <w:t xml:space="preserve"> </w:t>
      </w:r>
      <w:r>
        <w:rPr>
          <w:sz w:val="20"/>
        </w:rPr>
        <w:t>and</w:t>
      </w:r>
      <w:r>
        <w:rPr>
          <w:spacing w:val="-7"/>
          <w:sz w:val="20"/>
        </w:rPr>
        <w:t xml:space="preserve"> </w:t>
      </w:r>
      <w:r>
        <w:rPr>
          <w:sz w:val="20"/>
        </w:rPr>
        <w:t>Knowledge</w:t>
      </w:r>
      <w:r>
        <w:rPr>
          <w:spacing w:val="-6"/>
          <w:sz w:val="20"/>
        </w:rPr>
        <w:t xml:space="preserve"> </w:t>
      </w:r>
      <w:r>
        <w:rPr>
          <w:sz w:val="20"/>
        </w:rPr>
        <w:t>of</w:t>
      </w:r>
      <w:r>
        <w:rPr>
          <w:spacing w:val="-7"/>
          <w:sz w:val="20"/>
        </w:rPr>
        <w:t xml:space="preserve"> </w:t>
      </w:r>
      <w:r>
        <w:rPr>
          <w:sz w:val="20"/>
        </w:rPr>
        <w:t>Pre-Exposure</w:t>
      </w:r>
      <w:r>
        <w:rPr>
          <w:spacing w:val="-6"/>
          <w:sz w:val="20"/>
        </w:rPr>
        <w:t xml:space="preserve"> </w:t>
      </w:r>
      <w:r>
        <w:rPr>
          <w:sz w:val="20"/>
        </w:rPr>
        <w:t>Prophylaxis</w:t>
      </w:r>
      <w:r>
        <w:rPr>
          <w:spacing w:val="-6"/>
          <w:sz w:val="20"/>
        </w:rPr>
        <w:t xml:space="preserve"> </w:t>
      </w:r>
      <w:r>
        <w:rPr>
          <w:sz w:val="20"/>
        </w:rPr>
        <w:t>Among</w:t>
      </w:r>
      <w:r>
        <w:rPr>
          <w:spacing w:val="-5"/>
          <w:sz w:val="20"/>
        </w:rPr>
        <w:t xml:space="preserve"> </w:t>
      </w:r>
      <w:r>
        <w:rPr>
          <w:sz w:val="20"/>
        </w:rPr>
        <w:t>Sexual</w:t>
      </w:r>
      <w:r>
        <w:rPr>
          <w:spacing w:val="-6"/>
          <w:sz w:val="20"/>
        </w:rPr>
        <w:t xml:space="preserve"> </w:t>
      </w:r>
      <w:r>
        <w:rPr>
          <w:sz w:val="20"/>
        </w:rPr>
        <w:t>and</w:t>
      </w:r>
      <w:r>
        <w:rPr>
          <w:spacing w:val="-7"/>
          <w:sz w:val="20"/>
        </w:rPr>
        <w:t xml:space="preserve"> </w:t>
      </w:r>
      <w:r>
        <w:rPr>
          <w:sz w:val="20"/>
        </w:rPr>
        <w:t>Gender</w:t>
      </w:r>
      <w:r>
        <w:rPr>
          <w:spacing w:val="-7"/>
          <w:sz w:val="20"/>
        </w:rPr>
        <w:t xml:space="preserve"> </w:t>
      </w:r>
      <w:r>
        <w:rPr>
          <w:sz w:val="20"/>
        </w:rPr>
        <w:t xml:space="preserve">Minority Adolescents Assigned Male at Birth in the United States,” </w:t>
      </w:r>
      <w:r>
        <w:rPr>
          <w:i/>
          <w:sz w:val="20"/>
        </w:rPr>
        <w:t xml:space="preserve">Archives of Sexual Behavior </w:t>
      </w:r>
      <w:r>
        <w:rPr>
          <w:sz w:val="20"/>
        </w:rPr>
        <w:t xml:space="preserve">50, no. 4 (May 2021): 1701–11, </w:t>
      </w:r>
      <w:r>
        <w:rPr>
          <w:spacing w:val="-2"/>
          <w:sz w:val="20"/>
        </w:rPr>
        <w:t>https://doi.org/10.1007/s10508-020-01904-7.</w:t>
      </w:r>
    </w:p>
    <w:p w:rsidR="00C76E6D" w:rsidRDefault="00913831">
      <w:pPr>
        <w:ind w:left="338" w:right="710" w:hanging="1"/>
        <w:rPr>
          <w:sz w:val="20"/>
        </w:rPr>
      </w:pPr>
      <w:bookmarkStart w:id="613" w:name="_bookmark452"/>
      <w:bookmarkEnd w:id="613"/>
      <w:r>
        <w:rPr>
          <w:sz w:val="20"/>
          <w:vertAlign w:val="superscript"/>
        </w:rPr>
        <w:t>34</w:t>
      </w:r>
      <w:r>
        <w:rPr>
          <w:sz w:val="20"/>
        </w:rPr>
        <w:t xml:space="preserve"> Arjee Javellana Restar et al., “HIV Treatment Engagement in the C</w:t>
      </w:r>
      <w:r>
        <w:rPr>
          <w:sz w:val="20"/>
        </w:rPr>
        <w:t>ontext of COVID-19: An Observational Global Sample</w:t>
      </w:r>
      <w:r>
        <w:rPr>
          <w:spacing w:val="-4"/>
          <w:sz w:val="20"/>
        </w:rPr>
        <w:t xml:space="preserve"> </w:t>
      </w:r>
      <w:r>
        <w:rPr>
          <w:sz w:val="20"/>
        </w:rPr>
        <w:t>of</w:t>
      </w:r>
      <w:r>
        <w:rPr>
          <w:spacing w:val="-6"/>
          <w:sz w:val="20"/>
        </w:rPr>
        <w:t xml:space="preserve"> </w:t>
      </w:r>
      <w:r>
        <w:rPr>
          <w:sz w:val="20"/>
        </w:rPr>
        <w:t>Transgender</w:t>
      </w:r>
      <w:r>
        <w:rPr>
          <w:spacing w:val="-6"/>
          <w:sz w:val="20"/>
        </w:rPr>
        <w:t xml:space="preserve"> </w:t>
      </w:r>
      <w:r>
        <w:rPr>
          <w:sz w:val="20"/>
        </w:rPr>
        <w:t>and</w:t>
      </w:r>
      <w:r>
        <w:rPr>
          <w:spacing w:val="-5"/>
          <w:sz w:val="20"/>
        </w:rPr>
        <w:t xml:space="preserve"> </w:t>
      </w:r>
      <w:r>
        <w:rPr>
          <w:sz w:val="20"/>
        </w:rPr>
        <w:t>Nonbinary</w:t>
      </w:r>
      <w:r>
        <w:rPr>
          <w:spacing w:val="-4"/>
          <w:sz w:val="20"/>
        </w:rPr>
        <w:t xml:space="preserve"> </w:t>
      </w:r>
      <w:r>
        <w:rPr>
          <w:sz w:val="20"/>
        </w:rPr>
        <w:t>People</w:t>
      </w:r>
      <w:r>
        <w:rPr>
          <w:spacing w:val="-5"/>
          <w:sz w:val="20"/>
        </w:rPr>
        <w:t xml:space="preserve"> </w:t>
      </w:r>
      <w:r>
        <w:rPr>
          <w:sz w:val="20"/>
        </w:rPr>
        <w:t>Living</w:t>
      </w:r>
      <w:r>
        <w:rPr>
          <w:spacing w:val="-4"/>
          <w:sz w:val="20"/>
        </w:rPr>
        <w:t xml:space="preserve"> </w:t>
      </w:r>
      <w:r>
        <w:rPr>
          <w:sz w:val="20"/>
        </w:rPr>
        <w:t>with</w:t>
      </w:r>
      <w:r>
        <w:rPr>
          <w:spacing w:val="-6"/>
          <w:sz w:val="20"/>
        </w:rPr>
        <w:t xml:space="preserve"> </w:t>
      </w:r>
      <w:r>
        <w:rPr>
          <w:sz w:val="20"/>
        </w:rPr>
        <w:t>HIV,”</w:t>
      </w:r>
      <w:r>
        <w:rPr>
          <w:spacing w:val="-5"/>
          <w:sz w:val="20"/>
        </w:rPr>
        <w:t xml:space="preserve"> </w:t>
      </w:r>
      <w:r>
        <w:rPr>
          <w:i/>
          <w:sz w:val="20"/>
        </w:rPr>
        <w:t>BMC</w:t>
      </w:r>
      <w:r>
        <w:rPr>
          <w:i/>
          <w:spacing w:val="-6"/>
          <w:sz w:val="20"/>
        </w:rPr>
        <w:t xml:space="preserve"> </w:t>
      </w:r>
      <w:r>
        <w:rPr>
          <w:i/>
          <w:sz w:val="20"/>
        </w:rPr>
        <w:t>Public</w:t>
      </w:r>
      <w:r>
        <w:rPr>
          <w:i/>
          <w:spacing w:val="-6"/>
          <w:sz w:val="20"/>
        </w:rPr>
        <w:t xml:space="preserve"> </w:t>
      </w:r>
      <w:r>
        <w:rPr>
          <w:i/>
          <w:sz w:val="20"/>
        </w:rPr>
        <w:t>Health</w:t>
      </w:r>
      <w:r>
        <w:rPr>
          <w:i/>
          <w:spacing w:val="-6"/>
          <w:sz w:val="20"/>
        </w:rPr>
        <w:t xml:space="preserve"> </w:t>
      </w:r>
      <w:r>
        <w:rPr>
          <w:sz w:val="20"/>
        </w:rPr>
        <w:t>21,</w:t>
      </w:r>
      <w:r>
        <w:rPr>
          <w:spacing w:val="-5"/>
          <w:sz w:val="20"/>
        </w:rPr>
        <w:t xml:space="preserve"> </w:t>
      </w:r>
      <w:r>
        <w:rPr>
          <w:sz w:val="20"/>
        </w:rPr>
        <w:t>no.</w:t>
      </w:r>
      <w:r>
        <w:rPr>
          <w:spacing w:val="-5"/>
          <w:sz w:val="20"/>
        </w:rPr>
        <w:t xml:space="preserve"> </w:t>
      </w:r>
      <w:r>
        <w:rPr>
          <w:sz w:val="20"/>
        </w:rPr>
        <w:t>1</w:t>
      </w:r>
      <w:r>
        <w:rPr>
          <w:spacing w:val="-5"/>
          <w:sz w:val="20"/>
        </w:rPr>
        <w:t xml:space="preserve"> </w:t>
      </w:r>
      <w:r>
        <w:rPr>
          <w:sz w:val="20"/>
        </w:rPr>
        <w:t>(December</w:t>
      </w:r>
      <w:r>
        <w:rPr>
          <w:spacing w:val="-7"/>
          <w:sz w:val="20"/>
        </w:rPr>
        <w:t xml:space="preserve"> </w:t>
      </w:r>
      <w:r>
        <w:rPr>
          <w:sz w:val="20"/>
        </w:rPr>
        <w:t>2021):</w:t>
      </w:r>
      <w:r>
        <w:rPr>
          <w:spacing w:val="-5"/>
          <w:sz w:val="20"/>
        </w:rPr>
        <w:t xml:space="preserve"> </w:t>
      </w:r>
      <w:r>
        <w:rPr>
          <w:sz w:val="20"/>
        </w:rPr>
        <w:t xml:space="preserve">901, </w:t>
      </w:r>
      <w:r>
        <w:rPr>
          <w:spacing w:val="-2"/>
          <w:sz w:val="20"/>
        </w:rPr>
        <w:t>https://doi.org/10.1186/s12889-021-10977-5.</w:t>
      </w:r>
    </w:p>
    <w:p w:rsidR="00C76E6D" w:rsidRDefault="00913831">
      <w:pPr>
        <w:ind w:left="339" w:right="470" w:hanging="2"/>
        <w:rPr>
          <w:sz w:val="20"/>
        </w:rPr>
      </w:pPr>
      <w:bookmarkStart w:id="614" w:name="_bookmark453"/>
      <w:bookmarkEnd w:id="614"/>
      <w:r>
        <w:rPr>
          <w:sz w:val="20"/>
          <w:vertAlign w:val="superscript"/>
        </w:rPr>
        <w:t>35</w:t>
      </w:r>
      <w:r>
        <w:rPr>
          <w:spacing w:val="-4"/>
          <w:sz w:val="20"/>
        </w:rPr>
        <w:t xml:space="preserve"> </w:t>
      </w:r>
      <w:r>
        <w:rPr>
          <w:sz w:val="20"/>
        </w:rPr>
        <w:t>Sarah</w:t>
      </w:r>
      <w:r>
        <w:rPr>
          <w:spacing w:val="-7"/>
          <w:sz w:val="20"/>
        </w:rPr>
        <w:t xml:space="preserve"> </w:t>
      </w:r>
      <w:r>
        <w:rPr>
          <w:sz w:val="20"/>
        </w:rPr>
        <w:t>MacCarthy</w:t>
      </w:r>
      <w:r>
        <w:rPr>
          <w:spacing w:val="-5"/>
          <w:sz w:val="20"/>
        </w:rPr>
        <w:t xml:space="preserve"> </w:t>
      </w:r>
      <w:r>
        <w:rPr>
          <w:sz w:val="20"/>
        </w:rPr>
        <w:t>et</w:t>
      </w:r>
      <w:r>
        <w:rPr>
          <w:spacing w:val="-4"/>
          <w:sz w:val="20"/>
        </w:rPr>
        <w:t xml:space="preserve"> </w:t>
      </w:r>
      <w:r>
        <w:rPr>
          <w:sz w:val="20"/>
        </w:rPr>
        <w:t>al.,</w:t>
      </w:r>
      <w:r>
        <w:rPr>
          <w:spacing w:val="-5"/>
          <w:sz w:val="20"/>
        </w:rPr>
        <w:t xml:space="preserve"> </w:t>
      </w:r>
      <w:r>
        <w:rPr>
          <w:sz w:val="20"/>
        </w:rPr>
        <w:t>“Rapid</w:t>
      </w:r>
      <w:r>
        <w:rPr>
          <w:spacing w:val="-4"/>
          <w:sz w:val="20"/>
        </w:rPr>
        <w:t xml:space="preserve"> </w:t>
      </w:r>
      <w:r>
        <w:rPr>
          <w:sz w:val="20"/>
        </w:rPr>
        <w:t>Mixed-Methods</w:t>
      </w:r>
      <w:r>
        <w:rPr>
          <w:spacing w:val="-6"/>
          <w:sz w:val="20"/>
        </w:rPr>
        <w:t xml:space="preserve"> </w:t>
      </w:r>
      <w:r>
        <w:rPr>
          <w:sz w:val="20"/>
        </w:rPr>
        <w:t>Assessment</w:t>
      </w:r>
      <w:r>
        <w:rPr>
          <w:spacing w:val="-4"/>
          <w:sz w:val="20"/>
        </w:rPr>
        <w:t xml:space="preserve"> </w:t>
      </w:r>
      <w:r>
        <w:rPr>
          <w:sz w:val="20"/>
        </w:rPr>
        <w:t>of</w:t>
      </w:r>
      <w:r>
        <w:rPr>
          <w:spacing w:val="-4"/>
          <w:sz w:val="20"/>
        </w:rPr>
        <w:t xml:space="preserve"> </w:t>
      </w:r>
      <w:r>
        <w:rPr>
          <w:sz w:val="20"/>
        </w:rPr>
        <w:t>COVID-19</w:t>
      </w:r>
      <w:r>
        <w:rPr>
          <w:spacing w:val="-4"/>
          <w:sz w:val="20"/>
        </w:rPr>
        <w:t xml:space="preserve"> </w:t>
      </w:r>
      <w:r>
        <w:rPr>
          <w:sz w:val="20"/>
        </w:rPr>
        <w:t>Impact</w:t>
      </w:r>
      <w:r>
        <w:rPr>
          <w:spacing w:val="-6"/>
          <w:sz w:val="20"/>
        </w:rPr>
        <w:t xml:space="preserve"> </w:t>
      </w:r>
      <w:r>
        <w:rPr>
          <w:sz w:val="20"/>
        </w:rPr>
        <w:t>on</w:t>
      </w:r>
      <w:r>
        <w:rPr>
          <w:spacing w:val="-5"/>
          <w:sz w:val="20"/>
        </w:rPr>
        <w:t xml:space="preserve"> </w:t>
      </w:r>
      <w:r>
        <w:rPr>
          <w:sz w:val="20"/>
        </w:rPr>
        <w:t>Latinx</w:t>
      </w:r>
      <w:r>
        <w:rPr>
          <w:spacing w:val="-6"/>
          <w:sz w:val="20"/>
        </w:rPr>
        <w:t xml:space="preserve"> </w:t>
      </w:r>
      <w:r>
        <w:rPr>
          <w:sz w:val="20"/>
        </w:rPr>
        <w:t>Sexual</w:t>
      </w:r>
      <w:r>
        <w:rPr>
          <w:spacing w:val="-7"/>
          <w:sz w:val="20"/>
        </w:rPr>
        <w:t xml:space="preserve"> </w:t>
      </w:r>
      <w:r>
        <w:rPr>
          <w:sz w:val="20"/>
        </w:rPr>
        <w:t>Minority</w:t>
      </w:r>
      <w:r>
        <w:rPr>
          <w:spacing w:val="-5"/>
          <w:sz w:val="20"/>
        </w:rPr>
        <w:t xml:space="preserve"> </w:t>
      </w:r>
      <w:r>
        <w:rPr>
          <w:sz w:val="20"/>
        </w:rPr>
        <w:t>Men</w:t>
      </w:r>
      <w:r>
        <w:rPr>
          <w:spacing w:val="-5"/>
          <w:sz w:val="20"/>
        </w:rPr>
        <w:t xml:space="preserve"> </w:t>
      </w:r>
      <w:r>
        <w:rPr>
          <w:sz w:val="20"/>
        </w:rPr>
        <w:t xml:space="preserve">and Latinx Transgender Women,” ed. Peter A. Newman, </w:t>
      </w:r>
      <w:r>
        <w:rPr>
          <w:i/>
          <w:sz w:val="20"/>
        </w:rPr>
        <w:t xml:space="preserve">PLOS ONE </w:t>
      </w:r>
      <w:r>
        <w:rPr>
          <w:sz w:val="20"/>
        </w:rPr>
        <w:t xml:space="preserve">15, no. 12 (December 31, 2020): e0244421, </w:t>
      </w:r>
      <w:bookmarkStart w:id="615" w:name="_bookmark454"/>
      <w:bookmarkEnd w:id="615"/>
      <w:r>
        <w:rPr>
          <w:spacing w:val="-2"/>
          <w:sz w:val="20"/>
        </w:rPr>
        <w:t>https://doi.org/10.1371/journal.pone.0244421.</w:t>
      </w:r>
    </w:p>
    <w:p w:rsidR="00C76E6D" w:rsidRDefault="00913831">
      <w:pPr>
        <w:ind w:left="338" w:right="470"/>
        <w:rPr>
          <w:sz w:val="20"/>
        </w:rPr>
      </w:pPr>
      <w:r>
        <w:rPr>
          <w:sz w:val="20"/>
          <w:vertAlign w:val="superscript"/>
        </w:rPr>
        <w:t>36</w:t>
      </w:r>
      <w:r>
        <w:rPr>
          <w:sz w:val="20"/>
        </w:rPr>
        <w:t xml:space="preserve"> Marilynn Doenges, Mary Moorhouse, and Alice </w:t>
      </w:r>
      <w:r>
        <w:rPr>
          <w:sz w:val="20"/>
        </w:rPr>
        <w:t xml:space="preserve">Murr, “General: Substance Use Disorders (SUDs),” in </w:t>
      </w:r>
      <w:r>
        <w:rPr>
          <w:i/>
          <w:sz w:val="20"/>
        </w:rPr>
        <w:t>Nursing Care Plans:</w:t>
      </w:r>
      <w:r>
        <w:rPr>
          <w:i/>
          <w:spacing w:val="-4"/>
          <w:sz w:val="20"/>
        </w:rPr>
        <w:t xml:space="preserve"> </w:t>
      </w:r>
      <w:r>
        <w:rPr>
          <w:i/>
          <w:sz w:val="20"/>
        </w:rPr>
        <w:t>Guidelines</w:t>
      </w:r>
      <w:r>
        <w:rPr>
          <w:i/>
          <w:spacing w:val="-4"/>
          <w:sz w:val="20"/>
        </w:rPr>
        <w:t xml:space="preserve"> </w:t>
      </w:r>
      <w:r>
        <w:rPr>
          <w:i/>
          <w:sz w:val="20"/>
        </w:rPr>
        <w:t>for</w:t>
      </w:r>
      <w:r>
        <w:rPr>
          <w:i/>
          <w:spacing w:val="-7"/>
          <w:sz w:val="20"/>
        </w:rPr>
        <w:t xml:space="preserve"> </w:t>
      </w:r>
      <w:r>
        <w:rPr>
          <w:i/>
          <w:sz w:val="20"/>
        </w:rPr>
        <w:t>Individualizing</w:t>
      </w:r>
      <w:r>
        <w:rPr>
          <w:i/>
          <w:spacing w:val="-4"/>
          <w:sz w:val="20"/>
        </w:rPr>
        <w:t xml:space="preserve"> </w:t>
      </w:r>
      <w:r>
        <w:rPr>
          <w:i/>
          <w:sz w:val="20"/>
        </w:rPr>
        <w:t>Client</w:t>
      </w:r>
      <w:r>
        <w:rPr>
          <w:i/>
          <w:spacing w:val="-4"/>
          <w:sz w:val="20"/>
        </w:rPr>
        <w:t xml:space="preserve"> </w:t>
      </w:r>
      <w:r>
        <w:rPr>
          <w:i/>
          <w:sz w:val="20"/>
        </w:rPr>
        <w:t>Care</w:t>
      </w:r>
      <w:r>
        <w:rPr>
          <w:i/>
          <w:spacing w:val="-4"/>
          <w:sz w:val="20"/>
        </w:rPr>
        <w:t xml:space="preserve"> </w:t>
      </w:r>
      <w:r>
        <w:rPr>
          <w:i/>
          <w:sz w:val="20"/>
        </w:rPr>
        <w:t>Across</w:t>
      </w:r>
      <w:r>
        <w:rPr>
          <w:i/>
          <w:spacing w:val="-6"/>
          <w:sz w:val="20"/>
        </w:rPr>
        <w:t xml:space="preserve"> </w:t>
      </w:r>
      <w:r>
        <w:rPr>
          <w:i/>
          <w:sz w:val="20"/>
        </w:rPr>
        <w:t>the</w:t>
      </w:r>
      <w:r>
        <w:rPr>
          <w:i/>
          <w:spacing w:val="-7"/>
          <w:sz w:val="20"/>
        </w:rPr>
        <w:t xml:space="preserve"> </w:t>
      </w:r>
      <w:r>
        <w:rPr>
          <w:i/>
          <w:sz w:val="20"/>
        </w:rPr>
        <w:t>Life</w:t>
      </w:r>
      <w:r>
        <w:rPr>
          <w:i/>
          <w:spacing w:val="-4"/>
          <w:sz w:val="20"/>
        </w:rPr>
        <w:t xml:space="preserve"> </w:t>
      </w:r>
      <w:r>
        <w:rPr>
          <w:i/>
          <w:sz w:val="20"/>
        </w:rPr>
        <w:t>Span</w:t>
      </w:r>
      <w:r>
        <w:rPr>
          <w:sz w:val="20"/>
        </w:rPr>
        <w:t>,</w:t>
      </w:r>
      <w:r>
        <w:rPr>
          <w:spacing w:val="-5"/>
          <w:sz w:val="20"/>
        </w:rPr>
        <w:t xml:space="preserve"> </w:t>
      </w:r>
      <w:r>
        <w:rPr>
          <w:sz w:val="20"/>
        </w:rPr>
        <w:t>9th</w:t>
      </w:r>
      <w:r>
        <w:rPr>
          <w:spacing w:val="-7"/>
          <w:sz w:val="20"/>
        </w:rPr>
        <w:t xml:space="preserve"> </w:t>
      </w:r>
      <w:r>
        <w:rPr>
          <w:sz w:val="20"/>
        </w:rPr>
        <w:t>ed.</w:t>
      </w:r>
      <w:r>
        <w:rPr>
          <w:spacing w:val="-5"/>
          <w:sz w:val="20"/>
        </w:rPr>
        <w:t xml:space="preserve"> </w:t>
      </w:r>
      <w:r>
        <w:rPr>
          <w:sz w:val="20"/>
        </w:rPr>
        <w:t>(Philadelphia:</w:t>
      </w:r>
      <w:r>
        <w:rPr>
          <w:spacing w:val="-4"/>
          <w:sz w:val="20"/>
        </w:rPr>
        <w:t xml:space="preserve"> </w:t>
      </w:r>
      <w:r>
        <w:rPr>
          <w:sz w:val="20"/>
        </w:rPr>
        <w:t>F.A.</w:t>
      </w:r>
      <w:r>
        <w:rPr>
          <w:spacing w:val="-6"/>
          <w:sz w:val="20"/>
        </w:rPr>
        <w:t xml:space="preserve"> </w:t>
      </w:r>
      <w:r>
        <w:rPr>
          <w:sz w:val="20"/>
        </w:rPr>
        <w:t>Davis</w:t>
      </w:r>
      <w:r>
        <w:rPr>
          <w:spacing w:val="-5"/>
          <w:sz w:val="20"/>
        </w:rPr>
        <w:t xml:space="preserve"> </w:t>
      </w:r>
      <w:r>
        <w:rPr>
          <w:sz w:val="20"/>
        </w:rPr>
        <w:t>Company,</w:t>
      </w:r>
      <w:r>
        <w:rPr>
          <w:spacing w:val="-5"/>
          <w:sz w:val="20"/>
        </w:rPr>
        <w:t xml:space="preserve"> </w:t>
      </w:r>
      <w:r>
        <w:rPr>
          <w:sz w:val="20"/>
        </w:rPr>
        <w:t xml:space="preserve">2014), </w:t>
      </w:r>
      <w:r>
        <w:rPr>
          <w:spacing w:val="-4"/>
          <w:sz w:val="20"/>
        </w:rPr>
        <w:t>815.</w:t>
      </w:r>
    </w:p>
    <w:p w:rsidR="00C76E6D" w:rsidRDefault="00913831">
      <w:pPr>
        <w:spacing w:before="3"/>
        <w:ind w:left="338"/>
        <w:rPr>
          <w:sz w:val="20"/>
        </w:rPr>
      </w:pPr>
      <w:bookmarkStart w:id="616" w:name="_bookmark455"/>
      <w:bookmarkEnd w:id="616"/>
      <w:r>
        <w:rPr>
          <w:sz w:val="20"/>
          <w:vertAlign w:val="superscript"/>
        </w:rPr>
        <w:t>37</w:t>
      </w:r>
      <w:r>
        <w:rPr>
          <w:spacing w:val="-7"/>
          <w:sz w:val="20"/>
        </w:rPr>
        <w:t xml:space="preserve"> </w:t>
      </w:r>
      <w:r>
        <w:rPr>
          <w:sz w:val="20"/>
        </w:rPr>
        <w:t>Jeffery</w:t>
      </w:r>
      <w:r>
        <w:rPr>
          <w:spacing w:val="-7"/>
          <w:sz w:val="20"/>
        </w:rPr>
        <w:t xml:space="preserve"> </w:t>
      </w:r>
      <w:r>
        <w:rPr>
          <w:sz w:val="20"/>
        </w:rPr>
        <w:t>P.</w:t>
      </w:r>
      <w:r>
        <w:rPr>
          <w:spacing w:val="-9"/>
          <w:sz w:val="20"/>
        </w:rPr>
        <w:t xml:space="preserve"> </w:t>
      </w:r>
      <w:r>
        <w:rPr>
          <w:sz w:val="20"/>
        </w:rPr>
        <w:t>Dennis,</w:t>
      </w:r>
      <w:r>
        <w:rPr>
          <w:spacing w:val="-7"/>
          <w:sz w:val="20"/>
        </w:rPr>
        <w:t xml:space="preserve"> </w:t>
      </w:r>
      <w:r>
        <w:rPr>
          <w:sz w:val="20"/>
        </w:rPr>
        <w:t>“Nothing</w:t>
      </w:r>
      <w:r>
        <w:rPr>
          <w:spacing w:val="-8"/>
          <w:sz w:val="20"/>
        </w:rPr>
        <w:t xml:space="preserve"> </w:t>
      </w:r>
      <w:r>
        <w:rPr>
          <w:sz w:val="20"/>
        </w:rPr>
        <w:t>out</w:t>
      </w:r>
      <w:r>
        <w:rPr>
          <w:spacing w:val="-7"/>
          <w:sz w:val="20"/>
        </w:rPr>
        <w:t xml:space="preserve"> </w:t>
      </w:r>
      <w:r>
        <w:rPr>
          <w:sz w:val="20"/>
        </w:rPr>
        <w:t>There:</w:t>
      </w:r>
      <w:r>
        <w:rPr>
          <w:spacing w:val="-8"/>
          <w:sz w:val="20"/>
        </w:rPr>
        <w:t xml:space="preserve"> </w:t>
      </w:r>
      <w:r>
        <w:rPr>
          <w:sz w:val="20"/>
        </w:rPr>
        <w:t>Community</w:t>
      </w:r>
      <w:r>
        <w:rPr>
          <w:spacing w:val="-7"/>
          <w:sz w:val="20"/>
        </w:rPr>
        <w:t xml:space="preserve"> </w:t>
      </w:r>
      <w:r>
        <w:rPr>
          <w:sz w:val="20"/>
        </w:rPr>
        <w:t>Awareness</w:t>
      </w:r>
      <w:r>
        <w:rPr>
          <w:spacing w:val="-8"/>
          <w:sz w:val="20"/>
        </w:rPr>
        <w:t xml:space="preserve"> </w:t>
      </w:r>
      <w:r>
        <w:rPr>
          <w:sz w:val="20"/>
        </w:rPr>
        <w:t>and</w:t>
      </w:r>
      <w:r>
        <w:rPr>
          <w:spacing w:val="-7"/>
          <w:sz w:val="20"/>
        </w:rPr>
        <w:t xml:space="preserve"> </w:t>
      </w:r>
      <w:r>
        <w:rPr>
          <w:sz w:val="20"/>
        </w:rPr>
        <w:t>Delinquency</w:t>
      </w:r>
      <w:r>
        <w:rPr>
          <w:spacing w:val="-8"/>
          <w:sz w:val="20"/>
        </w:rPr>
        <w:t xml:space="preserve"> </w:t>
      </w:r>
      <w:r>
        <w:rPr>
          <w:sz w:val="20"/>
        </w:rPr>
        <w:t>among</w:t>
      </w:r>
      <w:r>
        <w:rPr>
          <w:spacing w:val="-7"/>
          <w:sz w:val="20"/>
        </w:rPr>
        <w:t xml:space="preserve"> </w:t>
      </w:r>
      <w:r>
        <w:rPr>
          <w:sz w:val="20"/>
        </w:rPr>
        <w:t>Gay</w:t>
      </w:r>
      <w:r>
        <w:rPr>
          <w:spacing w:val="-6"/>
          <w:sz w:val="20"/>
        </w:rPr>
        <w:t xml:space="preserve"> </w:t>
      </w:r>
      <w:r>
        <w:rPr>
          <w:sz w:val="20"/>
        </w:rPr>
        <w:t>and</w:t>
      </w:r>
      <w:r>
        <w:rPr>
          <w:spacing w:val="-7"/>
          <w:sz w:val="20"/>
        </w:rPr>
        <w:t xml:space="preserve"> </w:t>
      </w:r>
      <w:r>
        <w:rPr>
          <w:sz w:val="20"/>
        </w:rPr>
        <w:t>Lesbian</w:t>
      </w:r>
      <w:r>
        <w:rPr>
          <w:spacing w:val="-7"/>
          <w:sz w:val="20"/>
        </w:rPr>
        <w:t xml:space="preserve"> </w:t>
      </w:r>
      <w:r>
        <w:rPr>
          <w:spacing w:val="-2"/>
          <w:sz w:val="20"/>
        </w:rPr>
        <w:t>Youth,”</w:t>
      </w:r>
    </w:p>
    <w:p w:rsidR="00C76E6D" w:rsidRDefault="00913831">
      <w:pPr>
        <w:spacing w:before="1" w:line="241" w:lineRule="exact"/>
        <w:ind w:left="339"/>
        <w:rPr>
          <w:sz w:val="20"/>
        </w:rPr>
      </w:pPr>
      <w:bookmarkStart w:id="617" w:name="_bookmark456"/>
      <w:bookmarkEnd w:id="617"/>
      <w:r>
        <w:rPr>
          <w:i/>
          <w:sz w:val="20"/>
        </w:rPr>
        <w:t>Journal</w:t>
      </w:r>
      <w:r>
        <w:rPr>
          <w:i/>
          <w:spacing w:val="-12"/>
          <w:sz w:val="20"/>
        </w:rPr>
        <w:t xml:space="preserve"> </w:t>
      </w:r>
      <w:r>
        <w:rPr>
          <w:i/>
          <w:sz w:val="20"/>
        </w:rPr>
        <w:t>of</w:t>
      </w:r>
      <w:r>
        <w:rPr>
          <w:i/>
          <w:spacing w:val="-3"/>
          <w:sz w:val="20"/>
        </w:rPr>
        <w:t xml:space="preserve"> </w:t>
      </w:r>
      <w:r>
        <w:rPr>
          <w:i/>
          <w:sz w:val="20"/>
        </w:rPr>
        <w:t>LGBT</w:t>
      </w:r>
      <w:r>
        <w:rPr>
          <w:i/>
          <w:spacing w:val="-5"/>
          <w:sz w:val="20"/>
        </w:rPr>
        <w:t xml:space="preserve"> </w:t>
      </w:r>
      <w:r>
        <w:rPr>
          <w:i/>
          <w:sz w:val="20"/>
        </w:rPr>
        <w:t>Youth</w:t>
      </w:r>
      <w:r>
        <w:rPr>
          <w:i/>
          <w:spacing w:val="-4"/>
          <w:sz w:val="20"/>
        </w:rPr>
        <w:t xml:space="preserve"> </w:t>
      </w:r>
      <w:r>
        <w:rPr>
          <w:sz w:val="20"/>
        </w:rPr>
        <w:t>16,</w:t>
      </w:r>
      <w:r>
        <w:rPr>
          <w:spacing w:val="-4"/>
          <w:sz w:val="20"/>
        </w:rPr>
        <w:t xml:space="preserve"> </w:t>
      </w:r>
      <w:r>
        <w:rPr>
          <w:sz w:val="20"/>
        </w:rPr>
        <w:t>no.</w:t>
      </w:r>
      <w:r>
        <w:rPr>
          <w:spacing w:val="-7"/>
          <w:sz w:val="20"/>
        </w:rPr>
        <w:t xml:space="preserve"> </w:t>
      </w:r>
      <w:r>
        <w:rPr>
          <w:sz w:val="20"/>
        </w:rPr>
        <w:t>1</w:t>
      </w:r>
      <w:r>
        <w:rPr>
          <w:spacing w:val="-3"/>
          <w:sz w:val="20"/>
        </w:rPr>
        <w:t xml:space="preserve"> </w:t>
      </w:r>
      <w:r>
        <w:rPr>
          <w:sz w:val="20"/>
        </w:rPr>
        <w:t>(January</w:t>
      </w:r>
      <w:r>
        <w:rPr>
          <w:spacing w:val="-5"/>
          <w:sz w:val="20"/>
        </w:rPr>
        <w:t xml:space="preserve"> </w:t>
      </w:r>
      <w:r>
        <w:rPr>
          <w:sz w:val="20"/>
        </w:rPr>
        <w:t>2,</w:t>
      </w:r>
      <w:r>
        <w:rPr>
          <w:spacing w:val="-5"/>
          <w:sz w:val="20"/>
        </w:rPr>
        <w:t xml:space="preserve"> </w:t>
      </w:r>
      <w:r>
        <w:rPr>
          <w:sz w:val="20"/>
        </w:rPr>
        <w:t>2019):</w:t>
      </w:r>
      <w:r>
        <w:rPr>
          <w:spacing w:val="-5"/>
          <w:sz w:val="20"/>
        </w:rPr>
        <w:t xml:space="preserve"> </w:t>
      </w:r>
      <w:r>
        <w:rPr>
          <w:sz w:val="20"/>
        </w:rPr>
        <w:t>1–17,</w:t>
      </w:r>
      <w:r>
        <w:rPr>
          <w:spacing w:val="-3"/>
          <w:sz w:val="20"/>
        </w:rPr>
        <w:t xml:space="preserve"> </w:t>
      </w:r>
      <w:r>
        <w:rPr>
          <w:spacing w:val="-2"/>
          <w:sz w:val="20"/>
        </w:rPr>
        <w:t>https://doi.org/10.1080/19361653.2018.1524320.</w:t>
      </w:r>
    </w:p>
    <w:p w:rsidR="00C76E6D" w:rsidRDefault="00913831">
      <w:pPr>
        <w:ind w:left="338" w:right="470"/>
        <w:rPr>
          <w:sz w:val="20"/>
        </w:rPr>
      </w:pPr>
      <w:r>
        <w:rPr>
          <w:sz w:val="20"/>
          <w:vertAlign w:val="superscript"/>
        </w:rPr>
        <w:t>38</w:t>
      </w:r>
      <w:r>
        <w:rPr>
          <w:sz w:val="20"/>
        </w:rPr>
        <w:t xml:space="preserve"> James M. Brennan et al., “Inconcealable: A Cognitive–Behavioral Model of Concealment of Gender and Sexual Identity</w:t>
      </w:r>
      <w:r>
        <w:rPr>
          <w:spacing w:val="-3"/>
          <w:sz w:val="20"/>
        </w:rPr>
        <w:t xml:space="preserve"> </w:t>
      </w:r>
      <w:r>
        <w:rPr>
          <w:sz w:val="20"/>
        </w:rPr>
        <w:t>and</w:t>
      </w:r>
      <w:r>
        <w:rPr>
          <w:spacing w:val="-5"/>
          <w:sz w:val="20"/>
        </w:rPr>
        <w:t xml:space="preserve"> </w:t>
      </w:r>
      <w:r>
        <w:rPr>
          <w:sz w:val="20"/>
        </w:rPr>
        <w:t>Associations</w:t>
      </w:r>
      <w:r>
        <w:rPr>
          <w:spacing w:val="-5"/>
          <w:sz w:val="20"/>
        </w:rPr>
        <w:t xml:space="preserve"> </w:t>
      </w:r>
      <w:r>
        <w:rPr>
          <w:sz w:val="20"/>
        </w:rPr>
        <w:t>with</w:t>
      </w:r>
      <w:r>
        <w:rPr>
          <w:spacing w:val="-7"/>
          <w:sz w:val="20"/>
        </w:rPr>
        <w:t xml:space="preserve"> </w:t>
      </w:r>
      <w:r>
        <w:rPr>
          <w:sz w:val="20"/>
        </w:rPr>
        <w:t>Physical</w:t>
      </w:r>
      <w:r>
        <w:rPr>
          <w:spacing w:val="-8"/>
          <w:sz w:val="20"/>
        </w:rPr>
        <w:t xml:space="preserve"> </w:t>
      </w:r>
      <w:r>
        <w:rPr>
          <w:sz w:val="20"/>
        </w:rPr>
        <w:t>and</w:t>
      </w:r>
      <w:r>
        <w:rPr>
          <w:spacing w:val="-7"/>
          <w:sz w:val="20"/>
        </w:rPr>
        <w:t xml:space="preserve"> </w:t>
      </w:r>
      <w:r>
        <w:rPr>
          <w:sz w:val="20"/>
        </w:rPr>
        <w:t>Mental</w:t>
      </w:r>
      <w:r>
        <w:rPr>
          <w:spacing w:val="-6"/>
          <w:sz w:val="20"/>
        </w:rPr>
        <w:t xml:space="preserve"> </w:t>
      </w:r>
      <w:r>
        <w:rPr>
          <w:sz w:val="20"/>
        </w:rPr>
        <w:t>Health.,”</w:t>
      </w:r>
      <w:r>
        <w:rPr>
          <w:spacing w:val="-4"/>
          <w:sz w:val="20"/>
        </w:rPr>
        <w:t xml:space="preserve"> </w:t>
      </w:r>
      <w:r>
        <w:rPr>
          <w:i/>
          <w:sz w:val="20"/>
        </w:rPr>
        <w:t>Psychology</w:t>
      </w:r>
      <w:r>
        <w:rPr>
          <w:i/>
          <w:spacing w:val="-5"/>
          <w:sz w:val="20"/>
        </w:rPr>
        <w:t xml:space="preserve"> </w:t>
      </w:r>
      <w:r>
        <w:rPr>
          <w:i/>
          <w:sz w:val="20"/>
        </w:rPr>
        <w:t>of</w:t>
      </w:r>
      <w:r>
        <w:rPr>
          <w:i/>
          <w:spacing w:val="-4"/>
          <w:sz w:val="20"/>
        </w:rPr>
        <w:t xml:space="preserve"> </w:t>
      </w:r>
      <w:r>
        <w:rPr>
          <w:i/>
          <w:sz w:val="20"/>
        </w:rPr>
        <w:t>Sexual</w:t>
      </w:r>
      <w:r>
        <w:rPr>
          <w:i/>
          <w:spacing w:val="-5"/>
          <w:sz w:val="20"/>
        </w:rPr>
        <w:t xml:space="preserve"> </w:t>
      </w:r>
      <w:r>
        <w:rPr>
          <w:i/>
          <w:sz w:val="20"/>
        </w:rPr>
        <w:t>Orientation</w:t>
      </w:r>
      <w:r>
        <w:rPr>
          <w:i/>
          <w:spacing w:val="-5"/>
          <w:sz w:val="20"/>
        </w:rPr>
        <w:t xml:space="preserve"> </w:t>
      </w:r>
      <w:r>
        <w:rPr>
          <w:i/>
          <w:sz w:val="20"/>
        </w:rPr>
        <w:t>and</w:t>
      </w:r>
      <w:r>
        <w:rPr>
          <w:i/>
          <w:spacing w:val="-5"/>
          <w:sz w:val="20"/>
        </w:rPr>
        <w:t xml:space="preserve"> </w:t>
      </w:r>
      <w:r>
        <w:rPr>
          <w:i/>
          <w:sz w:val="20"/>
        </w:rPr>
        <w:t>Gender</w:t>
      </w:r>
      <w:r>
        <w:rPr>
          <w:i/>
          <w:spacing w:val="-5"/>
          <w:sz w:val="20"/>
        </w:rPr>
        <w:t xml:space="preserve"> </w:t>
      </w:r>
      <w:r>
        <w:rPr>
          <w:i/>
          <w:sz w:val="20"/>
        </w:rPr>
        <w:t>Diversity</w:t>
      </w:r>
      <w:r>
        <w:rPr>
          <w:i/>
          <w:spacing w:val="-6"/>
          <w:sz w:val="20"/>
        </w:rPr>
        <w:t xml:space="preserve"> </w:t>
      </w:r>
      <w:r>
        <w:rPr>
          <w:sz w:val="20"/>
        </w:rPr>
        <w:t>8, no. 1 (March 2021): 80–93, https://doi.org/10.1037/sgd0000424.</w:t>
      </w:r>
    </w:p>
    <w:p w:rsidR="00C76E6D" w:rsidRDefault="00913831">
      <w:pPr>
        <w:ind w:left="338" w:right="326" w:hanging="1"/>
        <w:rPr>
          <w:sz w:val="20"/>
        </w:rPr>
      </w:pPr>
      <w:bookmarkStart w:id="618" w:name="_bookmark457"/>
      <w:bookmarkEnd w:id="618"/>
      <w:r>
        <w:rPr>
          <w:sz w:val="20"/>
          <w:vertAlign w:val="superscript"/>
        </w:rPr>
        <w:t>39</w:t>
      </w:r>
      <w:r>
        <w:rPr>
          <w:sz w:val="20"/>
        </w:rPr>
        <w:t xml:space="preserve"> Christopher M. Jones et al., “Prescription Opioid Misuse and Use of Alcohol and Other Substances Among High School</w:t>
      </w:r>
      <w:r>
        <w:rPr>
          <w:spacing w:val="-5"/>
          <w:sz w:val="20"/>
        </w:rPr>
        <w:t xml:space="preserve"> </w:t>
      </w:r>
      <w:r>
        <w:rPr>
          <w:sz w:val="20"/>
        </w:rPr>
        <w:t>Students</w:t>
      </w:r>
      <w:r>
        <w:rPr>
          <w:spacing w:val="-5"/>
          <w:sz w:val="20"/>
        </w:rPr>
        <w:t xml:space="preserve"> </w:t>
      </w:r>
      <w:r>
        <w:rPr>
          <w:sz w:val="20"/>
        </w:rPr>
        <w:t>—</w:t>
      </w:r>
      <w:r>
        <w:rPr>
          <w:spacing w:val="-5"/>
          <w:sz w:val="20"/>
        </w:rPr>
        <w:t xml:space="preserve"> </w:t>
      </w:r>
      <w:r>
        <w:rPr>
          <w:sz w:val="20"/>
        </w:rPr>
        <w:t>Youth</w:t>
      </w:r>
      <w:r>
        <w:rPr>
          <w:spacing w:val="-4"/>
          <w:sz w:val="20"/>
        </w:rPr>
        <w:t xml:space="preserve"> </w:t>
      </w:r>
      <w:r>
        <w:rPr>
          <w:sz w:val="20"/>
        </w:rPr>
        <w:t>Risk</w:t>
      </w:r>
      <w:r>
        <w:rPr>
          <w:spacing w:val="-7"/>
          <w:sz w:val="20"/>
        </w:rPr>
        <w:t xml:space="preserve"> </w:t>
      </w:r>
      <w:r>
        <w:rPr>
          <w:sz w:val="20"/>
        </w:rPr>
        <w:t>Behavior</w:t>
      </w:r>
      <w:r>
        <w:rPr>
          <w:spacing w:val="-6"/>
          <w:sz w:val="20"/>
        </w:rPr>
        <w:t xml:space="preserve"> </w:t>
      </w:r>
      <w:r>
        <w:rPr>
          <w:sz w:val="20"/>
        </w:rPr>
        <w:t>Survey,</w:t>
      </w:r>
      <w:r>
        <w:rPr>
          <w:spacing w:val="-4"/>
          <w:sz w:val="20"/>
        </w:rPr>
        <w:t xml:space="preserve"> </w:t>
      </w:r>
      <w:r>
        <w:rPr>
          <w:sz w:val="20"/>
        </w:rPr>
        <w:t>United</w:t>
      </w:r>
      <w:r>
        <w:rPr>
          <w:spacing w:val="-5"/>
          <w:sz w:val="20"/>
        </w:rPr>
        <w:t xml:space="preserve"> </w:t>
      </w:r>
      <w:r>
        <w:rPr>
          <w:sz w:val="20"/>
        </w:rPr>
        <w:t>States,</w:t>
      </w:r>
      <w:r>
        <w:rPr>
          <w:spacing w:val="-4"/>
          <w:sz w:val="20"/>
        </w:rPr>
        <w:t xml:space="preserve"> </w:t>
      </w:r>
      <w:r>
        <w:rPr>
          <w:sz w:val="20"/>
        </w:rPr>
        <w:t>2019,”</w:t>
      </w:r>
      <w:r>
        <w:rPr>
          <w:spacing w:val="-5"/>
          <w:sz w:val="20"/>
        </w:rPr>
        <w:t xml:space="preserve"> </w:t>
      </w:r>
      <w:r>
        <w:rPr>
          <w:i/>
          <w:sz w:val="20"/>
        </w:rPr>
        <w:t>MMWR</w:t>
      </w:r>
      <w:r>
        <w:rPr>
          <w:i/>
          <w:spacing w:val="-6"/>
          <w:sz w:val="20"/>
        </w:rPr>
        <w:t xml:space="preserve"> </w:t>
      </w:r>
      <w:r>
        <w:rPr>
          <w:i/>
          <w:sz w:val="20"/>
        </w:rPr>
        <w:t>Supple</w:t>
      </w:r>
      <w:r>
        <w:rPr>
          <w:i/>
          <w:sz w:val="20"/>
        </w:rPr>
        <w:t>ments</w:t>
      </w:r>
      <w:r>
        <w:rPr>
          <w:i/>
          <w:spacing w:val="-5"/>
          <w:sz w:val="20"/>
        </w:rPr>
        <w:t xml:space="preserve"> </w:t>
      </w:r>
      <w:r>
        <w:rPr>
          <w:sz w:val="20"/>
        </w:rPr>
        <w:t>69,</w:t>
      </w:r>
      <w:r>
        <w:rPr>
          <w:spacing w:val="-5"/>
          <w:sz w:val="20"/>
        </w:rPr>
        <w:t xml:space="preserve"> </w:t>
      </w:r>
      <w:r>
        <w:rPr>
          <w:sz w:val="20"/>
        </w:rPr>
        <w:t>no.</w:t>
      </w:r>
      <w:r>
        <w:rPr>
          <w:spacing w:val="-6"/>
          <w:sz w:val="20"/>
        </w:rPr>
        <w:t xml:space="preserve"> </w:t>
      </w:r>
      <w:r>
        <w:rPr>
          <w:sz w:val="20"/>
        </w:rPr>
        <w:t>1</w:t>
      </w:r>
      <w:r>
        <w:rPr>
          <w:spacing w:val="-6"/>
          <w:sz w:val="20"/>
        </w:rPr>
        <w:t xml:space="preserve"> </w:t>
      </w:r>
      <w:r>
        <w:rPr>
          <w:sz w:val="20"/>
        </w:rPr>
        <w:t>(August</w:t>
      </w:r>
      <w:r>
        <w:rPr>
          <w:spacing w:val="-6"/>
          <w:sz w:val="20"/>
        </w:rPr>
        <w:t xml:space="preserve"> </w:t>
      </w:r>
      <w:r>
        <w:rPr>
          <w:sz w:val="20"/>
        </w:rPr>
        <w:t>21,</w:t>
      </w:r>
      <w:r>
        <w:rPr>
          <w:spacing w:val="-7"/>
          <w:sz w:val="20"/>
        </w:rPr>
        <w:t xml:space="preserve"> </w:t>
      </w:r>
      <w:r>
        <w:rPr>
          <w:sz w:val="20"/>
        </w:rPr>
        <w:t>2020): 38–46, https://doi.org/10.15585/mmwr.su6901a5.</w:t>
      </w:r>
    </w:p>
    <w:p w:rsidR="00C76E6D" w:rsidRDefault="00913831">
      <w:pPr>
        <w:spacing w:line="244" w:lineRule="exact"/>
        <w:ind w:left="338"/>
        <w:rPr>
          <w:sz w:val="20"/>
        </w:rPr>
      </w:pPr>
      <w:bookmarkStart w:id="619" w:name="_bookmark458"/>
      <w:bookmarkEnd w:id="619"/>
      <w:r>
        <w:rPr>
          <w:sz w:val="20"/>
          <w:vertAlign w:val="superscript"/>
        </w:rPr>
        <w:t>40</w:t>
      </w:r>
      <w:r>
        <w:rPr>
          <w:spacing w:val="-6"/>
          <w:sz w:val="20"/>
        </w:rPr>
        <w:t xml:space="preserve"> </w:t>
      </w:r>
      <w:r>
        <w:rPr>
          <w:sz w:val="20"/>
        </w:rPr>
        <w:t>Brennan</w:t>
      </w:r>
      <w:r>
        <w:rPr>
          <w:spacing w:val="-7"/>
          <w:sz w:val="20"/>
        </w:rPr>
        <w:t xml:space="preserve"> </w:t>
      </w:r>
      <w:r>
        <w:rPr>
          <w:sz w:val="20"/>
        </w:rPr>
        <w:t>et</w:t>
      </w:r>
      <w:r>
        <w:rPr>
          <w:spacing w:val="-4"/>
          <w:sz w:val="20"/>
        </w:rPr>
        <w:t xml:space="preserve"> </w:t>
      </w:r>
      <w:r>
        <w:rPr>
          <w:sz w:val="20"/>
        </w:rPr>
        <w:t>al.,</w:t>
      </w:r>
      <w:r>
        <w:rPr>
          <w:spacing w:val="-6"/>
          <w:sz w:val="20"/>
        </w:rPr>
        <w:t xml:space="preserve"> </w:t>
      </w:r>
      <w:r>
        <w:rPr>
          <w:spacing w:val="-2"/>
          <w:sz w:val="20"/>
        </w:rPr>
        <w:t>“Inconcealable.”</w:t>
      </w:r>
    </w:p>
    <w:p w:rsidR="00C76E6D" w:rsidRDefault="00913831">
      <w:pPr>
        <w:ind w:left="338"/>
        <w:jc w:val="both"/>
        <w:rPr>
          <w:sz w:val="20"/>
        </w:rPr>
      </w:pPr>
      <w:r>
        <w:pict>
          <v:rect id="docshape303" o:spid="_x0000_s1137" style="position:absolute;left:0;text-align:left;margin-left:63.5pt;margin-top:4.15pt;width:487pt;height:.5pt;z-index:-21159424;mso-position-horizontal-relative:page" fillcolor="#d9d9d9" stroked="f">
            <w10:wrap anchorx="page"/>
          </v:rect>
        </w:pict>
      </w:r>
      <w:bookmarkStart w:id="620" w:name="_bookmark459"/>
      <w:bookmarkEnd w:id="620"/>
      <w:r>
        <w:rPr>
          <w:position w:val="7"/>
          <w:sz w:val="13"/>
        </w:rPr>
        <w:t>41</w:t>
      </w:r>
      <w:r>
        <w:rPr>
          <w:spacing w:val="12"/>
          <w:position w:val="7"/>
          <w:sz w:val="13"/>
        </w:rPr>
        <w:t xml:space="preserve"> </w:t>
      </w:r>
      <w:r>
        <w:rPr>
          <w:sz w:val="20"/>
        </w:rPr>
        <w:t>Elizabeth</w:t>
      </w:r>
      <w:r>
        <w:rPr>
          <w:spacing w:val="-5"/>
          <w:sz w:val="20"/>
        </w:rPr>
        <w:t xml:space="preserve"> </w:t>
      </w:r>
      <w:r>
        <w:rPr>
          <w:sz w:val="20"/>
        </w:rPr>
        <w:t>Schmidt</w:t>
      </w:r>
      <w:r>
        <w:rPr>
          <w:spacing w:val="-4"/>
          <w:sz w:val="20"/>
        </w:rPr>
        <w:t xml:space="preserve"> </w:t>
      </w:r>
      <w:r>
        <w:rPr>
          <w:sz w:val="20"/>
        </w:rPr>
        <w:t>et</w:t>
      </w:r>
      <w:r>
        <w:rPr>
          <w:spacing w:val="-4"/>
          <w:sz w:val="20"/>
        </w:rPr>
        <w:t xml:space="preserve"> </w:t>
      </w:r>
      <w:r>
        <w:rPr>
          <w:sz w:val="20"/>
        </w:rPr>
        <w:t>al.,</w:t>
      </w:r>
      <w:r>
        <w:rPr>
          <w:spacing w:val="-5"/>
          <w:sz w:val="20"/>
        </w:rPr>
        <w:t xml:space="preserve"> </w:t>
      </w:r>
      <w:r>
        <w:rPr>
          <w:sz w:val="20"/>
        </w:rPr>
        <w:t>“‘I</w:t>
      </w:r>
      <w:r>
        <w:rPr>
          <w:spacing w:val="-8"/>
          <w:sz w:val="20"/>
        </w:rPr>
        <w:t xml:space="preserve"> </w:t>
      </w:r>
      <w:r>
        <w:rPr>
          <w:sz w:val="20"/>
        </w:rPr>
        <w:t>Have</w:t>
      </w:r>
      <w:r>
        <w:rPr>
          <w:spacing w:val="-4"/>
          <w:sz w:val="20"/>
        </w:rPr>
        <w:t xml:space="preserve"> </w:t>
      </w:r>
      <w:r>
        <w:rPr>
          <w:sz w:val="20"/>
        </w:rPr>
        <w:t>a</w:t>
      </w:r>
      <w:r>
        <w:rPr>
          <w:spacing w:val="-4"/>
          <w:sz w:val="20"/>
        </w:rPr>
        <w:t xml:space="preserve"> </w:t>
      </w:r>
      <w:r>
        <w:rPr>
          <w:sz w:val="20"/>
        </w:rPr>
        <w:t>Disability,</w:t>
      </w:r>
      <w:r>
        <w:rPr>
          <w:spacing w:val="-4"/>
          <w:sz w:val="20"/>
        </w:rPr>
        <w:t xml:space="preserve"> </w:t>
      </w:r>
      <w:r>
        <w:rPr>
          <w:sz w:val="20"/>
        </w:rPr>
        <w:t>[and]</w:t>
      </w:r>
      <w:r>
        <w:rPr>
          <w:spacing w:val="-7"/>
          <w:sz w:val="20"/>
        </w:rPr>
        <w:t xml:space="preserve"> </w:t>
      </w:r>
      <w:r>
        <w:rPr>
          <w:sz w:val="20"/>
        </w:rPr>
        <w:t>.</w:t>
      </w:r>
      <w:r>
        <w:rPr>
          <w:spacing w:val="-4"/>
          <w:sz w:val="20"/>
        </w:rPr>
        <w:t xml:space="preserve"> </w:t>
      </w:r>
      <w:r>
        <w:rPr>
          <w:sz w:val="20"/>
        </w:rPr>
        <w:t>.</w:t>
      </w:r>
      <w:r>
        <w:rPr>
          <w:spacing w:val="-5"/>
          <w:sz w:val="20"/>
        </w:rPr>
        <w:t xml:space="preserve"> </w:t>
      </w:r>
      <w:r>
        <w:rPr>
          <w:sz w:val="20"/>
        </w:rPr>
        <w:t>.</w:t>
      </w:r>
      <w:r>
        <w:rPr>
          <w:spacing w:val="-5"/>
          <w:sz w:val="20"/>
        </w:rPr>
        <w:t xml:space="preserve"> </w:t>
      </w:r>
      <w:r>
        <w:rPr>
          <w:sz w:val="20"/>
        </w:rPr>
        <w:t>I</w:t>
      </w:r>
      <w:r>
        <w:rPr>
          <w:spacing w:val="-7"/>
          <w:sz w:val="20"/>
        </w:rPr>
        <w:t xml:space="preserve"> </w:t>
      </w:r>
      <w:r>
        <w:rPr>
          <w:sz w:val="20"/>
        </w:rPr>
        <w:t>Want</w:t>
      </w:r>
      <w:r>
        <w:rPr>
          <w:spacing w:val="-4"/>
          <w:sz w:val="20"/>
        </w:rPr>
        <w:t xml:space="preserve"> </w:t>
      </w:r>
      <w:r>
        <w:rPr>
          <w:sz w:val="20"/>
        </w:rPr>
        <w:t>to</w:t>
      </w:r>
      <w:r>
        <w:rPr>
          <w:spacing w:val="-6"/>
          <w:sz w:val="20"/>
        </w:rPr>
        <w:t xml:space="preserve"> </w:t>
      </w:r>
      <w:r>
        <w:rPr>
          <w:sz w:val="20"/>
        </w:rPr>
        <w:t>Make</w:t>
      </w:r>
      <w:r>
        <w:rPr>
          <w:spacing w:val="-8"/>
          <w:sz w:val="20"/>
        </w:rPr>
        <w:t xml:space="preserve"> </w:t>
      </w:r>
      <w:r>
        <w:rPr>
          <w:sz w:val="20"/>
        </w:rPr>
        <w:t>Love</w:t>
      </w:r>
      <w:r>
        <w:rPr>
          <w:spacing w:val="-5"/>
          <w:sz w:val="20"/>
        </w:rPr>
        <w:t xml:space="preserve"> </w:t>
      </w:r>
      <w:r>
        <w:rPr>
          <w:sz w:val="20"/>
        </w:rPr>
        <w:t>and</w:t>
      </w:r>
      <w:r>
        <w:rPr>
          <w:spacing w:val="-4"/>
          <w:sz w:val="20"/>
        </w:rPr>
        <w:t xml:space="preserve"> </w:t>
      </w:r>
      <w:r>
        <w:rPr>
          <w:sz w:val="20"/>
        </w:rPr>
        <w:t>Be</w:t>
      </w:r>
      <w:r>
        <w:rPr>
          <w:spacing w:val="-5"/>
          <w:sz w:val="20"/>
        </w:rPr>
        <w:t xml:space="preserve"> </w:t>
      </w:r>
      <w:r>
        <w:rPr>
          <w:sz w:val="20"/>
        </w:rPr>
        <w:t>Loved’:</w:t>
      </w:r>
      <w:r>
        <w:rPr>
          <w:spacing w:val="-4"/>
          <w:sz w:val="20"/>
        </w:rPr>
        <w:t xml:space="preserve"> </w:t>
      </w:r>
      <w:r>
        <w:rPr>
          <w:sz w:val="20"/>
        </w:rPr>
        <w:t>Gaps,</w:t>
      </w:r>
      <w:r>
        <w:rPr>
          <w:spacing w:val="-5"/>
          <w:sz w:val="20"/>
        </w:rPr>
        <w:t xml:space="preserve"> </w:t>
      </w:r>
      <w:r>
        <w:rPr>
          <w:sz w:val="20"/>
        </w:rPr>
        <w:t>Barriers,</w:t>
      </w:r>
      <w:r>
        <w:rPr>
          <w:spacing w:val="-4"/>
          <w:sz w:val="20"/>
        </w:rPr>
        <w:t xml:space="preserve"> </w:t>
      </w:r>
      <w:r>
        <w:rPr>
          <w:sz w:val="20"/>
        </w:rPr>
        <w:t>and</w:t>
      </w:r>
      <w:r>
        <w:rPr>
          <w:spacing w:val="65"/>
          <w:sz w:val="20"/>
        </w:rPr>
        <w:t xml:space="preserve">   </w:t>
      </w:r>
      <w:r>
        <w:rPr>
          <w:color w:val="1F4E79"/>
          <w:spacing w:val="-5"/>
          <w:position w:val="-10"/>
          <w:sz w:val="20"/>
        </w:rPr>
        <w:t>134</w:t>
      </w:r>
    </w:p>
    <w:p w:rsidR="00C76E6D" w:rsidRDefault="00C76E6D">
      <w:pPr>
        <w:jc w:val="both"/>
        <w:rPr>
          <w:sz w:val="20"/>
        </w:rPr>
        <w:sectPr w:rsidR="00C76E6D">
          <w:headerReference w:type="default" r:id="rId328"/>
          <w:footerReference w:type="default" r:id="rId329"/>
          <w:pgSz w:w="12240" w:h="15840"/>
          <w:pgMar w:top="1000" w:right="960" w:bottom="280" w:left="960" w:header="802" w:footer="0" w:gutter="0"/>
          <w:cols w:space="720"/>
        </w:sectPr>
      </w:pPr>
    </w:p>
    <w:p w:rsidR="00C76E6D" w:rsidRDefault="00C76E6D">
      <w:pPr>
        <w:pStyle w:val="BodyText"/>
        <w:rPr>
          <w:sz w:val="20"/>
        </w:rPr>
      </w:pPr>
    </w:p>
    <w:p w:rsidR="00C76E6D" w:rsidRDefault="00C76E6D">
      <w:pPr>
        <w:pStyle w:val="BodyText"/>
        <w:rPr>
          <w:sz w:val="23"/>
        </w:rPr>
      </w:pPr>
    </w:p>
    <w:p w:rsidR="00C76E6D" w:rsidRDefault="00913831">
      <w:pPr>
        <w:spacing w:before="60"/>
        <w:ind w:left="339" w:right="415" w:hanging="2"/>
        <w:rPr>
          <w:sz w:val="20"/>
        </w:rPr>
      </w:pPr>
      <w:r>
        <w:rPr>
          <w:sz w:val="20"/>
        </w:rPr>
        <w:t>Recommendations</w:t>
      </w:r>
      <w:r>
        <w:rPr>
          <w:spacing w:val="-6"/>
          <w:sz w:val="20"/>
        </w:rPr>
        <w:t xml:space="preserve"> </w:t>
      </w:r>
      <w:r>
        <w:rPr>
          <w:sz w:val="20"/>
        </w:rPr>
        <w:t>for</w:t>
      </w:r>
      <w:r>
        <w:rPr>
          <w:spacing w:val="-6"/>
          <w:sz w:val="20"/>
        </w:rPr>
        <w:t xml:space="preserve"> </w:t>
      </w:r>
      <w:r>
        <w:rPr>
          <w:sz w:val="20"/>
        </w:rPr>
        <w:t>Sex</w:t>
      </w:r>
      <w:r>
        <w:rPr>
          <w:spacing w:val="-8"/>
          <w:sz w:val="20"/>
        </w:rPr>
        <w:t xml:space="preserve"> </w:t>
      </w:r>
      <w:r>
        <w:rPr>
          <w:sz w:val="20"/>
        </w:rPr>
        <w:t>Ed</w:t>
      </w:r>
      <w:r>
        <w:rPr>
          <w:spacing w:val="-7"/>
          <w:sz w:val="20"/>
        </w:rPr>
        <w:t xml:space="preserve"> </w:t>
      </w:r>
      <w:r>
        <w:rPr>
          <w:sz w:val="20"/>
        </w:rPr>
        <w:t>for</w:t>
      </w:r>
      <w:r>
        <w:rPr>
          <w:spacing w:val="-6"/>
          <w:sz w:val="20"/>
        </w:rPr>
        <w:t xml:space="preserve"> </w:t>
      </w:r>
      <w:r>
        <w:rPr>
          <w:sz w:val="20"/>
        </w:rPr>
        <w:t>People</w:t>
      </w:r>
      <w:r>
        <w:rPr>
          <w:spacing w:val="-7"/>
          <w:sz w:val="20"/>
        </w:rPr>
        <w:t xml:space="preserve"> </w:t>
      </w:r>
      <w:r>
        <w:rPr>
          <w:sz w:val="20"/>
        </w:rPr>
        <w:t>With</w:t>
      </w:r>
      <w:r>
        <w:rPr>
          <w:spacing w:val="-6"/>
          <w:sz w:val="20"/>
        </w:rPr>
        <w:t xml:space="preserve"> </w:t>
      </w:r>
      <w:r>
        <w:rPr>
          <w:sz w:val="20"/>
        </w:rPr>
        <w:t>Intellectual</w:t>
      </w:r>
      <w:r>
        <w:rPr>
          <w:spacing w:val="-7"/>
          <w:sz w:val="20"/>
        </w:rPr>
        <w:t xml:space="preserve"> </w:t>
      </w:r>
      <w:r>
        <w:rPr>
          <w:sz w:val="20"/>
        </w:rPr>
        <w:t>and</w:t>
      </w:r>
      <w:r>
        <w:rPr>
          <w:spacing w:val="-7"/>
          <w:sz w:val="20"/>
        </w:rPr>
        <w:t xml:space="preserve"> </w:t>
      </w:r>
      <w:r>
        <w:rPr>
          <w:sz w:val="20"/>
        </w:rPr>
        <w:t>Developmental</w:t>
      </w:r>
      <w:r>
        <w:rPr>
          <w:spacing w:val="-6"/>
          <w:sz w:val="20"/>
        </w:rPr>
        <w:t xml:space="preserve"> </w:t>
      </w:r>
      <w:r>
        <w:rPr>
          <w:sz w:val="20"/>
        </w:rPr>
        <w:t>Disabilities</w:t>
      </w:r>
      <w:r>
        <w:rPr>
          <w:spacing w:val="-6"/>
          <w:sz w:val="20"/>
        </w:rPr>
        <w:t xml:space="preserve"> </w:t>
      </w:r>
      <w:r>
        <w:rPr>
          <w:sz w:val="20"/>
        </w:rPr>
        <w:t>(IDD),”</w:t>
      </w:r>
      <w:r>
        <w:rPr>
          <w:spacing w:val="-4"/>
          <w:sz w:val="20"/>
        </w:rPr>
        <w:t xml:space="preserve"> </w:t>
      </w:r>
      <w:r>
        <w:rPr>
          <w:i/>
          <w:sz w:val="20"/>
        </w:rPr>
        <w:t>The</w:t>
      </w:r>
      <w:r>
        <w:rPr>
          <w:i/>
          <w:spacing w:val="-6"/>
          <w:sz w:val="20"/>
        </w:rPr>
        <w:t xml:space="preserve"> </w:t>
      </w:r>
      <w:r>
        <w:rPr>
          <w:i/>
          <w:sz w:val="20"/>
        </w:rPr>
        <w:t>American</w:t>
      </w:r>
      <w:r>
        <w:rPr>
          <w:i/>
          <w:spacing w:val="-6"/>
          <w:sz w:val="20"/>
        </w:rPr>
        <w:t xml:space="preserve"> </w:t>
      </w:r>
      <w:r>
        <w:rPr>
          <w:i/>
          <w:sz w:val="20"/>
        </w:rPr>
        <w:t xml:space="preserve">Journal of Occupational Therapy </w:t>
      </w:r>
      <w:r>
        <w:rPr>
          <w:sz w:val="20"/>
        </w:rPr>
        <w:t xml:space="preserve">74, no. 4_Supplement_1 (August 1, 2020): 7411515351p1-7411515351p1, </w:t>
      </w:r>
      <w:r>
        <w:rPr>
          <w:spacing w:val="-2"/>
          <w:sz w:val="20"/>
        </w:rPr>
        <w:t>https://doi.org/10.5014/ajot.2020.74S1-PO1206.</w:t>
      </w:r>
    </w:p>
    <w:p w:rsidR="00C76E6D" w:rsidRDefault="00913831">
      <w:pPr>
        <w:spacing w:before="1"/>
        <w:ind w:left="339" w:right="2078" w:hanging="1"/>
        <w:rPr>
          <w:sz w:val="20"/>
        </w:rPr>
      </w:pPr>
      <w:bookmarkStart w:id="621" w:name="_bookmark460"/>
      <w:bookmarkEnd w:id="621"/>
      <w:r>
        <w:rPr>
          <w:sz w:val="20"/>
          <w:vertAlign w:val="superscript"/>
        </w:rPr>
        <w:t>42</w:t>
      </w:r>
      <w:r>
        <w:rPr>
          <w:spacing w:val="-6"/>
          <w:sz w:val="20"/>
        </w:rPr>
        <w:t xml:space="preserve"> </w:t>
      </w:r>
      <w:r>
        <w:rPr>
          <w:sz w:val="20"/>
        </w:rPr>
        <w:t>GLSEN,</w:t>
      </w:r>
      <w:r>
        <w:rPr>
          <w:spacing w:val="-8"/>
          <w:sz w:val="20"/>
        </w:rPr>
        <w:t xml:space="preserve"> </w:t>
      </w:r>
      <w:r>
        <w:rPr>
          <w:sz w:val="20"/>
        </w:rPr>
        <w:t>“Laws</w:t>
      </w:r>
      <w:r>
        <w:rPr>
          <w:spacing w:val="-8"/>
          <w:sz w:val="20"/>
        </w:rPr>
        <w:t xml:space="preserve"> </w:t>
      </w:r>
      <w:r>
        <w:rPr>
          <w:sz w:val="20"/>
        </w:rPr>
        <w:t>That</w:t>
      </w:r>
      <w:r>
        <w:rPr>
          <w:spacing w:val="-7"/>
          <w:sz w:val="20"/>
        </w:rPr>
        <w:t xml:space="preserve"> </w:t>
      </w:r>
      <w:r>
        <w:rPr>
          <w:sz w:val="20"/>
        </w:rPr>
        <w:t>Prohibit</w:t>
      </w:r>
      <w:r>
        <w:rPr>
          <w:spacing w:val="-9"/>
          <w:sz w:val="20"/>
        </w:rPr>
        <w:t xml:space="preserve"> </w:t>
      </w:r>
      <w:r>
        <w:rPr>
          <w:sz w:val="20"/>
        </w:rPr>
        <w:t>the</w:t>
      </w:r>
      <w:r>
        <w:rPr>
          <w:spacing w:val="-7"/>
          <w:sz w:val="20"/>
        </w:rPr>
        <w:t xml:space="preserve"> </w:t>
      </w:r>
      <w:r>
        <w:rPr>
          <w:sz w:val="20"/>
        </w:rPr>
        <w:t>‘Promotion</w:t>
      </w:r>
      <w:r>
        <w:rPr>
          <w:spacing w:val="-6"/>
          <w:sz w:val="20"/>
        </w:rPr>
        <w:t xml:space="preserve"> </w:t>
      </w:r>
      <w:r>
        <w:rPr>
          <w:sz w:val="20"/>
        </w:rPr>
        <w:t>of</w:t>
      </w:r>
      <w:r>
        <w:rPr>
          <w:spacing w:val="-7"/>
          <w:sz w:val="20"/>
        </w:rPr>
        <w:t xml:space="preserve"> </w:t>
      </w:r>
      <w:r>
        <w:rPr>
          <w:sz w:val="20"/>
        </w:rPr>
        <w:t>Homosexuality’:</w:t>
      </w:r>
      <w:r>
        <w:rPr>
          <w:spacing w:val="-7"/>
          <w:sz w:val="20"/>
        </w:rPr>
        <w:t xml:space="preserve"> </w:t>
      </w:r>
      <w:r>
        <w:rPr>
          <w:sz w:val="20"/>
        </w:rPr>
        <w:t>Impacts</w:t>
      </w:r>
      <w:r>
        <w:rPr>
          <w:spacing w:val="-9"/>
          <w:sz w:val="20"/>
        </w:rPr>
        <w:t xml:space="preserve"> </w:t>
      </w:r>
      <w:r>
        <w:rPr>
          <w:sz w:val="20"/>
        </w:rPr>
        <w:t>and</w:t>
      </w:r>
      <w:r>
        <w:rPr>
          <w:spacing w:val="-6"/>
          <w:sz w:val="20"/>
        </w:rPr>
        <w:t xml:space="preserve"> </w:t>
      </w:r>
      <w:r>
        <w:rPr>
          <w:sz w:val="20"/>
        </w:rPr>
        <w:t>Implications,”</w:t>
      </w:r>
      <w:r>
        <w:rPr>
          <w:spacing w:val="-6"/>
          <w:sz w:val="20"/>
        </w:rPr>
        <w:t xml:space="preserve"> </w:t>
      </w:r>
      <w:r>
        <w:rPr>
          <w:sz w:val="20"/>
        </w:rPr>
        <w:t xml:space="preserve">2018, </w:t>
      </w:r>
      <w:bookmarkStart w:id="622" w:name="_bookmark461"/>
      <w:bookmarkEnd w:id="622"/>
      <w:r>
        <w:rPr>
          <w:spacing w:val="-2"/>
          <w:sz w:val="20"/>
        </w:rPr>
        <w:t>https://</w:t>
      </w:r>
      <w:hyperlink r:id="rId330">
        <w:r>
          <w:rPr>
            <w:spacing w:val="-2"/>
            <w:sz w:val="20"/>
          </w:rPr>
          <w:t>www.glsen.org</w:t>
        </w:r>
        <w:r>
          <w:rPr>
            <w:spacing w:val="-2"/>
            <w:sz w:val="20"/>
          </w:rPr>
          <w:t>/sites/default/files/2020-04/No_Promo_Homo_2018.pdf.</w:t>
        </w:r>
      </w:hyperlink>
    </w:p>
    <w:p w:rsidR="00C76E6D" w:rsidRDefault="00913831">
      <w:pPr>
        <w:ind w:left="339" w:right="620" w:hanging="2"/>
        <w:jc w:val="both"/>
        <w:rPr>
          <w:sz w:val="20"/>
        </w:rPr>
      </w:pPr>
      <w:r>
        <w:rPr>
          <w:sz w:val="20"/>
          <w:vertAlign w:val="superscript"/>
        </w:rPr>
        <w:t>43</w:t>
      </w:r>
      <w:r>
        <w:rPr>
          <w:spacing w:val="-5"/>
          <w:sz w:val="20"/>
        </w:rPr>
        <w:t xml:space="preserve"> </w:t>
      </w:r>
      <w:r>
        <w:rPr>
          <w:sz w:val="20"/>
        </w:rPr>
        <w:t>Youn</w:t>
      </w:r>
      <w:r>
        <w:rPr>
          <w:spacing w:val="-6"/>
          <w:sz w:val="20"/>
        </w:rPr>
        <w:t xml:space="preserve"> </w:t>
      </w:r>
      <w:r>
        <w:rPr>
          <w:sz w:val="20"/>
        </w:rPr>
        <w:t>Kyoung</w:t>
      </w:r>
      <w:r>
        <w:rPr>
          <w:spacing w:val="-6"/>
          <w:sz w:val="20"/>
        </w:rPr>
        <w:t xml:space="preserve"> </w:t>
      </w:r>
      <w:r>
        <w:rPr>
          <w:sz w:val="20"/>
        </w:rPr>
        <w:t>Kim,</w:t>
      </w:r>
      <w:r>
        <w:rPr>
          <w:spacing w:val="-5"/>
          <w:sz w:val="20"/>
        </w:rPr>
        <w:t xml:space="preserve"> </w:t>
      </w:r>
      <w:r>
        <w:rPr>
          <w:sz w:val="20"/>
        </w:rPr>
        <w:t>Eusebius</w:t>
      </w:r>
      <w:r>
        <w:rPr>
          <w:spacing w:val="-7"/>
          <w:sz w:val="20"/>
        </w:rPr>
        <w:t xml:space="preserve"> </w:t>
      </w:r>
      <w:r>
        <w:rPr>
          <w:sz w:val="20"/>
        </w:rPr>
        <w:t>Small,</w:t>
      </w:r>
      <w:r>
        <w:rPr>
          <w:spacing w:val="-5"/>
          <w:sz w:val="20"/>
        </w:rPr>
        <w:t xml:space="preserve"> </w:t>
      </w:r>
      <w:r>
        <w:rPr>
          <w:sz w:val="20"/>
        </w:rPr>
        <w:t>and</w:t>
      </w:r>
      <w:r>
        <w:rPr>
          <w:spacing w:val="-6"/>
          <w:sz w:val="20"/>
        </w:rPr>
        <w:t xml:space="preserve"> </w:t>
      </w:r>
      <w:r>
        <w:rPr>
          <w:sz w:val="20"/>
        </w:rPr>
        <w:t>Moses</w:t>
      </w:r>
      <w:r>
        <w:rPr>
          <w:spacing w:val="-6"/>
          <w:sz w:val="20"/>
        </w:rPr>
        <w:t xml:space="preserve"> </w:t>
      </w:r>
      <w:r>
        <w:rPr>
          <w:sz w:val="20"/>
        </w:rPr>
        <w:t>Okumu,</w:t>
      </w:r>
      <w:r>
        <w:rPr>
          <w:spacing w:val="-6"/>
          <w:sz w:val="20"/>
        </w:rPr>
        <w:t xml:space="preserve"> </w:t>
      </w:r>
      <w:r>
        <w:rPr>
          <w:sz w:val="20"/>
        </w:rPr>
        <w:t>“School-Based</w:t>
      </w:r>
      <w:r>
        <w:rPr>
          <w:spacing w:val="-6"/>
          <w:sz w:val="20"/>
        </w:rPr>
        <w:t xml:space="preserve"> </w:t>
      </w:r>
      <w:r>
        <w:rPr>
          <w:sz w:val="20"/>
        </w:rPr>
        <w:t>HIV/AIDS</w:t>
      </w:r>
      <w:r>
        <w:rPr>
          <w:spacing w:val="-5"/>
          <w:sz w:val="20"/>
        </w:rPr>
        <w:t xml:space="preserve"> </w:t>
      </w:r>
      <w:r>
        <w:rPr>
          <w:sz w:val="20"/>
        </w:rPr>
        <w:t>Education,</w:t>
      </w:r>
      <w:r>
        <w:rPr>
          <w:spacing w:val="-6"/>
          <w:sz w:val="20"/>
        </w:rPr>
        <w:t xml:space="preserve"> </w:t>
      </w:r>
      <w:r>
        <w:rPr>
          <w:sz w:val="20"/>
        </w:rPr>
        <w:t>Risky</w:t>
      </w:r>
      <w:r>
        <w:rPr>
          <w:spacing w:val="-6"/>
          <w:sz w:val="20"/>
        </w:rPr>
        <w:t xml:space="preserve"> </w:t>
      </w:r>
      <w:r>
        <w:rPr>
          <w:sz w:val="20"/>
        </w:rPr>
        <w:t>Sexual</w:t>
      </w:r>
      <w:r>
        <w:rPr>
          <w:spacing w:val="-5"/>
          <w:sz w:val="20"/>
        </w:rPr>
        <w:t xml:space="preserve"> </w:t>
      </w:r>
      <w:r>
        <w:rPr>
          <w:sz w:val="20"/>
        </w:rPr>
        <w:t>Behaviors, and HIV Testing among High</w:t>
      </w:r>
      <w:r>
        <w:rPr>
          <w:spacing w:val="-1"/>
          <w:sz w:val="20"/>
        </w:rPr>
        <w:t xml:space="preserve"> </w:t>
      </w:r>
      <w:r>
        <w:rPr>
          <w:sz w:val="20"/>
        </w:rPr>
        <w:t>School Students in the</w:t>
      </w:r>
      <w:r>
        <w:rPr>
          <w:spacing w:val="-1"/>
          <w:sz w:val="20"/>
        </w:rPr>
        <w:t xml:space="preserve"> </w:t>
      </w:r>
      <w:r>
        <w:rPr>
          <w:sz w:val="20"/>
        </w:rPr>
        <w:t xml:space="preserve">United States,” </w:t>
      </w:r>
      <w:r>
        <w:rPr>
          <w:i/>
          <w:sz w:val="20"/>
        </w:rPr>
        <w:t>Social</w:t>
      </w:r>
      <w:r>
        <w:rPr>
          <w:i/>
          <w:spacing w:val="-1"/>
          <w:sz w:val="20"/>
        </w:rPr>
        <w:t xml:space="preserve"> </w:t>
      </w:r>
      <w:r>
        <w:rPr>
          <w:i/>
          <w:sz w:val="20"/>
        </w:rPr>
        <w:t xml:space="preserve">Work in Health Care </w:t>
      </w:r>
      <w:r>
        <w:rPr>
          <w:sz w:val="20"/>
        </w:rPr>
        <w:t>58, no. 3 (March 16, 2019): 258–73, https://doi.org/10.1080/00981389.2018.1558163.</w:t>
      </w:r>
    </w:p>
    <w:p w:rsidR="00C76E6D" w:rsidRDefault="00913831">
      <w:pPr>
        <w:ind w:left="339" w:right="1187" w:hanging="1"/>
        <w:rPr>
          <w:sz w:val="20"/>
        </w:rPr>
      </w:pPr>
      <w:bookmarkStart w:id="623" w:name="_bookmark462"/>
      <w:bookmarkEnd w:id="623"/>
      <w:r>
        <w:rPr>
          <w:sz w:val="20"/>
          <w:vertAlign w:val="superscript"/>
        </w:rPr>
        <w:t>44</w:t>
      </w:r>
      <w:r>
        <w:rPr>
          <w:spacing w:val="-6"/>
          <w:sz w:val="20"/>
        </w:rPr>
        <w:t xml:space="preserve"> </w:t>
      </w:r>
      <w:r>
        <w:rPr>
          <w:sz w:val="20"/>
        </w:rPr>
        <w:t>Guttmacher</w:t>
      </w:r>
      <w:r>
        <w:rPr>
          <w:spacing w:val="-7"/>
          <w:sz w:val="20"/>
        </w:rPr>
        <w:t xml:space="preserve"> </w:t>
      </w:r>
      <w:r>
        <w:rPr>
          <w:sz w:val="20"/>
        </w:rPr>
        <w:t>Institute,</w:t>
      </w:r>
      <w:r>
        <w:rPr>
          <w:spacing w:val="-7"/>
          <w:sz w:val="20"/>
        </w:rPr>
        <w:t xml:space="preserve"> </w:t>
      </w:r>
      <w:r>
        <w:rPr>
          <w:sz w:val="20"/>
        </w:rPr>
        <w:t>“Sex</w:t>
      </w:r>
      <w:r>
        <w:rPr>
          <w:spacing w:val="-8"/>
          <w:sz w:val="20"/>
        </w:rPr>
        <w:t xml:space="preserve"> </w:t>
      </w:r>
      <w:r>
        <w:rPr>
          <w:sz w:val="20"/>
        </w:rPr>
        <w:t>and</w:t>
      </w:r>
      <w:r>
        <w:rPr>
          <w:spacing w:val="-6"/>
          <w:sz w:val="20"/>
        </w:rPr>
        <w:t xml:space="preserve"> </w:t>
      </w:r>
      <w:r>
        <w:rPr>
          <w:sz w:val="20"/>
        </w:rPr>
        <w:t>HIV</w:t>
      </w:r>
      <w:r>
        <w:rPr>
          <w:spacing w:val="-9"/>
          <w:sz w:val="20"/>
        </w:rPr>
        <w:t xml:space="preserve"> </w:t>
      </w:r>
      <w:r>
        <w:rPr>
          <w:sz w:val="20"/>
        </w:rPr>
        <w:t>Education,”</w:t>
      </w:r>
      <w:r>
        <w:rPr>
          <w:spacing w:val="-7"/>
          <w:sz w:val="20"/>
        </w:rPr>
        <w:t xml:space="preserve"> </w:t>
      </w:r>
      <w:r>
        <w:rPr>
          <w:sz w:val="20"/>
        </w:rPr>
        <w:t>January</w:t>
      </w:r>
      <w:r>
        <w:rPr>
          <w:spacing w:val="-8"/>
          <w:sz w:val="20"/>
        </w:rPr>
        <w:t xml:space="preserve"> </w:t>
      </w:r>
      <w:r>
        <w:rPr>
          <w:sz w:val="20"/>
        </w:rPr>
        <w:t>5,</w:t>
      </w:r>
      <w:r>
        <w:rPr>
          <w:spacing w:val="-8"/>
          <w:sz w:val="20"/>
        </w:rPr>
        <w:t xml:space="preserve"> </w:t>
      </w:r>
      <w:r>
        <w:rPr>
          <w:sz w:val="20"/>
        </w:rPr>
        <w:t>2021,</w:t>
      </w:r>
      <w:r>
        <w:rPr>
          <w:spacing w:val="-8"/>
          <w:sz w:val="20"/>
        </w:rPr>
        <w:t xml:space="preserve"> </w:t>
      </w:r>
      <w:r>
        <w:rPr>
          <w:sz w:val="20"/>
        </w:rPr>
        <w:t>https://</w:t>
      </w:r>
      <w:hyperlink r:id="rId331">
        <w:r>
          <w:rPr>
            <w:sz w:val="20"/>
          </w:rPr>
          <w:t>www.guttmacher.org/p</w:t>
        </w:r>
        <w:r>
          <w:rPr>
            <w:sz w:val="20"/>
          </w:rPr>
          <w:t>rint/state-</w:t>
        </w:r>
      </w:hyperlink>
      <w:r>
        <w:rPr>
          <w:sz w:val="20"/>
        </w:rPr>
        <w:t xml:space="preserve"> </w:t>
      </w:r>
      <w:r>
        <w:rPr>
          <w:spacing w:val="-2"/>
          <w:sz w:val="20"/>
        </w:rPr>
        <w:t>policy/explore/sex-and-hiv-education.</w:t>
      </w:r>
    </w:p>
    <w:p w:rsidR="00C76E6D" w:rsidRDefault="00913831">
      <w:pPr>
        <w:ind w:left="339" w:right="530" w:hanging="1"/>
        <w:rPr>
          <w:sz w:val="20"/>
        </w:rPr>
      </w:pPr>
      <w:bookmarkStart w:id="624" w:name="_bookmark463"/>
      <w:bookmarkEnd w:id="624"/>
      <w:r>
        <w:rPr>
          <w:sz w:val="20"/>
          <w:vertAlign w:val="superscript"/>
        </w:rPr>
        <w:t>45</w:t>
      </w:r>
      <w:r>
        <w:rPr>
          <w:spacing w:val="-4"/>
          <w:sz w:val="20"/>
        </w:rPr>
        <w:t xml:space="preserve"> </w:t>
      </w:r>
      <w:r>
        <w:rPr>
          <w:sz w:val="20"/>
        </w:rPr>
        <w:t>William</w:t>
      </w:r>
      <w:r>
        <w:rPr>
          <w:spacing w:val="-6"/>
          <w:sz w:val="20"/>
        </w:rPr>
        <w:t xml:space="preserve"> </w:t>
      </w:r>
      <w:r>
        <w:rPr>
          <w:sz w:val="20"/>
        </w:rPr>
        <w:t>J.</w:t>
      </w:r>
      <w:r>
        <w:rPr>
          <w:spacing w:val="-5"/>
          <w:sz w:val="20"/>
        </w:rPr>
        <w:t xml:space="preserve"> </w:t>
      </w:r>
      <w:r>
        <w:rPr>
          <w:sz w:val="20"/>
        </w:rPr>
        <w:t>Hall</w:t>
      </w:r>
      <w:r>
        <w:rPr>
          <w:spacing w:val="-6"/>
          <w:sz w:val="20"/>
        </w:rPr>
        <w:t xml:space="preserve"> </w:t>
      </w:r>
      <w:r>
        <w:rPr>
          <w:sz w:val="20"/>
        </w:rPr>
        <w:t>et</w:t>
      </w:r>
      <w:r>
        <w:rPr>
          <w:spacing w:val="-4"/>
          <w:sz w:val="20"/>
        </w:rPr>
        <w:t xml:space="preserve"> </w:t>
      </w:r>
      <w:r>
        <w:rPr>
          <w:sz w:val="20"/>
        </w:rPr>
        <w:t>al.,</w:t>
      </w:r>
      <w:r>
        <w:rPr>
          <w:spacing w:val="-4"/>
          <w:sz w:val="20"/>
        </w:rPr>
        <w:t xml:space="preserve"> </w:t>
      </w:r>
      <w:r>
        <w:rPr>
          <w:sz w:val="20"/>
        </w:rPr>
        <w:t>“State</w:t>
      </w:r>
      <w:r>
        <w:rPr>
          <w:spacing w:val="-7"/>
          <w:sz w:val="20"/>
        </w:rPr>
        <w:t xml:space="preserve"> </w:t>
      </w:r>
      <w:r>
        <w:rPr>
          <w:sz w:val="20"/>
        </w:rPr>
        <w:t>Policy</w:t>
      </w:r>
      <w:r>
        <w:rPr>
          <w:spacing w:val="-4"/>
          <w:sz w:val="20"/>
        </w:rPr>
        <w:t xml:space="preserve"> </w:t>
      </w:r>
      <w:r>
        <w:rPr>
          <w:sz w:val="20"/>
        </w:rPr>
        <w:t>on</w:t>
      </w:r>
      <w:r>
        <w:rPr>
          <w:spacing w:val="-5"/>
          <w:sz w:val="20"/>
        </w:rPr>
        <w:t xml:space="preserve"> </w:t>
      </w:r>
      <w:r>
        <w:rPr>
          <w:sz w:val="20"/>
        </w:rPr>
        <w:t>School-Based</w:t>
      </w:r>
      <w:r>
        <w:rPr>
          <w:spacing w:val="-5"/>
          <w:sz w:val="20"/>
        </w:rPr>
        <w:t xml:space="preserve"> </w:t>
      </w:r>
      <w:r>
        <w:rPr>
          <w:sz w:val="20"/>
        </w:rPr>
        <w:t>Sex</w:t>
      </w:r>
      <w:r>
        <w:rPr>
          <w:spacing w:val="-5"/>
          <w:sz w:val="20"/>
        </w:rPr>
        <w:t xml:space="preserve"> </w:t>
      </w:r>
      <w:r>
        <w:rPr>
          <w:sz w:val="20"/>
        </w:rPr>
        <w:t>Education:</w:t>
      </w:r>
      <w:r>
        <w:rPr>
          <w:spacing w:val="-5"/>
          <w:sz w:val="20"/>
        </w:rPr>
        <w:t xml:space="preserve"> </w:t>
      </w:r>
      <w:r>
        <w:rPr>
          <w:sz w:val="20"/>
        </w:rPr>
        <w:t>A</w:t>
      </w:r>
      <w:r>
        <w:rPr>
          <w:spacing w:val="-5"/>
          <w:sz w:val="20"/>
        </w:rPr>
        <w:t xml:space="preserve"> </w:t>
      </w:r>
      <w:r>
        <w:rPr>
          <w:sz w:val="20"/>
        </w:rPr>
        <w:t>Content</w:t>
      </w:r>
      <w:r>
        <w:rPr>
          <w:spacing w:val="-7"/>
          <w:sz w:val="20"/>
        </w:rPr>
        <w:t xml:space="preserve"> </w:t>
      </w:r>
      <w:r>
        <w:rPr>
          <w:sz w:val="20"/>
        </w:rPr>
        <w:t>Analysis</w:t>
      </w:r>
      <w:r>
        <w:rPr>
          <w:spacing w:val="-5"/>
          <w:sz w:val="20"/>
        </w:rPr>
        <w:t xml:space="preserve"> </w:t>
      </w:r>
      <w:r>
        <w:rPr>
          <w:sz w:val="20"/>
        </w:rPr>
        <w:t>Focused</w:t>
      </w:r>
      <w:r>
        <w:rPr>
          <w:spacing w:val="-5"/>
          <w:sz w:val="20"/>
        </w:rPr>
        <w:t xml:space="preserve"> </w:t>
      </w:r>
      <w:r>
        <w:rPr>
          <w:sz w:val="20"/>
        </w:rPr>
        <w:t>on</w:t>
      </w:r>
      <w:r>
        <w:rPr>
          <w:spacing w:val="-5"/>
          <w:sz w:val="20"/>
        </w:rPr>
        <w:t xml:space="preserve"> </w:t>
      </w:r>
      <w:r>
        <w:rPr>
          <w:sz w:val="20"/>
        </w:rPr>
        <w:t>Sexual</w:t>
      </w:r>
      <w:r>
        <w:rPr>
          <w:spacing w:val="-5"/>
          <w:sz w:val="20"/>
        </w:rPr>
        <w:t xml:space="preserve"> </w:t>
      </w:r>
      <w:r>
        <w:rPr>
          <w:sz w:val="20"/>
        </w:rPr>
        <w:t xml:space="preserve">Behaviors, Relationships, and Identities,” </w:t>
      </w:r>
      <w:r>
        <w:rPr>
          <w:i/>
          <w:sz w:val="20"/>
        </w:rPr>
        <w:t xml:space="preserve">American Journal of Health Behavior </w:t>
      </w:r>
      <w:r>
        <w:rPr>
          <w:sz w:val="20"/>
        </w:rPr>
        <w:t xml:space="preserve">43, no. 3 (May 1, 2019): 506–19, </w:t>
      </w:r>
      <w:r>
        <w:rPr>
          <w:spacing w:val="-2"/>
          <w:sz w:val="20"/>
        </w:rPr>
        <w:t>https://doi.org/10.5993/AJHB.43.3.6.</w:t>
      </w:r>
    </w:p>
    <w:p w:rsidR="00C76E6D" w:rsidRDefault="00913831">
      <w:pPr>
        <w:ind w:left="338" w:right="4166" w:hanging="1"/>
        <w:rPr>
          <w:sz w:val="20"/>
        </w:rPr>
      </w:pPr>
      <w:bookmarkStart w:id="625" w:name="_bookmark464"/>
      <w:bookmarkEnd w:id="625"/>
      <w:r>
        <w:rPr>
          <w:sz w:val="20"/>
          <w:vertAlign w:val="superscript"/>
        </w:rPr>
        <w:t>46</w:t>
      </w:r>
      <w:r>
        <w:rPr>
          <w:spacing w:val="-7"/>
          <w:sz w:val="20"/>
        </w:rPr>
        <w:t xml:space="preserve"> </w:t>
      </w:r>
      <w:r>
        <w:rPr>
          <w:sz w:val="20"/>
        </w:rPr>
        <w:t>SIECUS,</w:t>
      </w:r>
      <w:r>
        <w:rPr>
          <w:spacing w:val="-9"/>
          <w:sz w:val="20"/>
        </w:rPr>
        <w:t xml:space="preserve"> </w:t>
      </w:r>
      <w:r>
        <w:rPr>
          <w:sz w:val="20"/>
        </w:rPr>
        <w:t>“Massachusetts</w:t>
      </w:r>
      <w:r>
        <w:rPr>
          <w:spacing w:val="-9"/>
          <w:sz w:val="20"/>
        </w:rPr>
        <w:t xml:space="preserve"> </w:t>
      </w:r>
      <w:r>
        <w:rPr>
          <w:sz w:val="20"/>
        </w:rPr>
        <w:t>State</w:t>
      </w:r>
      <w:r>
        <w:rPr>
          <w:spacing w:val="-8"/>
          <w:sz w:val="20"/>
        </w:rPr>
        <w:t xml:space="preserve"> </w:t>
      </w:r>
      <w:r>
        <w:rPr>
          <w:sz w:val="20"/>
        </w:rPr>
        <w:t>Profile,”</w:t>
      </w:r>
      <w:r>
        <w:rPr>
          <w:spacing w:val="-9"/>
          <w:sz w:val="20"/>
        </w:rPr>
        <w:t xml:space="preserve"> </w:t>
      </w:r>
      <w:r>
        <w:rPr>
          <w:sz w:val="20"/>
        </w:rPr>
        <w:t>SIECUS,</w:t>
      </w:r>
      <w:r>
        <w:rPr>
          <w:spacing w:val="-7"/>
          <w:sz w:val="20"/>
        </w:rPr>
        <w:t xml:space="preserve"> </w:t>
      </w:r>
      <w:r>
        <w:rPr>
          <w:sz w:val="20"/>
        </w:rPr>
        <w:t>accessed</w:t>
      </w:r>
      <w:r>
        <w:rPr>
          <w:spacing w:val="-7"/>
          <w:sz w:val="20"/>
        </w:rPr>
        <w:t xml:space="preserve"> </w:t>
      </w:r>
      <w:r>
        <w:rPr>
          <w:sz w:val="20"/>
        </w:rPr>
        <w:t>June</w:t>
      </w:r>
      <w:r>
        <w:rPr>
          <w:spacing w:val="-11"/>
          <w:sz w:val="20"/>
        </w:rPr>
        <w:t xml:space="preserve"> </w:t>
      </w:r>
      <w:r>
        <w:rPr>
          <w:sz w:val="20"/>
        </w:rPr>
        <w:t>9,</w:t>
      </w:r>
      <w:r>
        <w:rPr>
          <w:spacing w:val="-10"/>
          <w:sz w:val="20"/>
        </w:rPr>
        <w:t xml:space="preserve"> </w:t>
      </w:r>
      <w:r>
        <w:rPr>
          <w:sz w:val="20"/>
        </w:rPr>
        <w:t xml:space="preserve">2022, </w:t>
      </w:r>
      <w:r>
        <w:rPr>
          <w:spacing w:val="-2"/>
          <w:sz w:val="20"/>
        </w:rPr>
        <w:t>https://siecus.org/state_profile/massachusetts-state-profile/.</w:t>
      </w:r>
    </w:p>
    <w:p w:rsidR="00C76E6D" w:rsidRDefault="00913831">
      <w:pPr>
        <w:ind w:left="338"/>
        <w:rPr>
          <w:sz w:val="20"/>
        </w:rPr>
      </w:pPr>
      <w:bookmarkStart w:id="626" w:name="_bookmark465"/>
      <w:bookmarkEnd w:id="626"/>
      <w:r>
        <w:rPr>
          <w:sz w:val="20"/>
          <w:vertAlign w:val="superscript"/>
        </w:rPr>
        <w:t>47</w:t>
      </w:r>
      <w:r>
        <w:rPr>
          <w:spacing w:val="-4"/>
          <w:sz w:val="20"/>
        </w:rPr>
        <w:t xml:space="preserve"> </w:t>
      </w:r>
      <w:r>
        <w:rPr>
          <w:sz w:val="20"/>
        </w:rPr>
        <w:t>Schmidt</w:t>
      </w:r>
      <w:r>
        <w:rPr>
          <w:spacing w:val="-2"/>
          <w:sz w:val="20"/>
        </w:rPr>
        <w:t xml:space="preserve"> </w:t>
      </w:r>
      <w:r>
        <w:rPr>
          <w:sz w:val="20"/>
        </w:rPr>
        <w:t>et</w:t>
      </w:r>
      <w:r>
        <w:rPr>
          <w:spacing w:val="-3"/>
          <w:sz w:val="20"/>
        </w:rPr>
        <w:t xml:space="preserve"> </w:t>
      </w:r>
      <w:r>
        <w:rPr>
          <w:sz w:val="20"/>
        </w:rPr>
        <w:t>al.,</w:t>
      </w:r>
      <w:r>
        <w:rPr>
          <w:spacing w:val="-4"/>
          <w:sz w:val="20"/>
        </w:rPr>
        <w:t xml:space="preserve"> </w:t>
      </w:r>
      <w:r>
        <w:rPr>
          <w:sz w:val="20"/>
        </w:rPr>
        <w:t>“‘I</w:t>
      </w:r>
      <w:r>
        <w:rPr>
          <w:spacing w:val="-2"/>
          <w:sz w:val="20"/>
        </w:rPr>
        <w:t xml:space="preserve"> </w:t>
      </w:r>
      <w:r>
        <w:rPr>
          <w:sz w:val="20"/>
        </w:rPr>
        <w:t>Have</w:t>
      </w:r>
      <w:r>
        <w:rPr>
          <w:spacing w:val="-3"/>
          <w:sz w:val="20"/>
        </w:rPr>
        <w:t xml:space="preserve"> </w:t>
      </w:r>
      <w:r>
        <w:rPr>
          <w:sz w:val="20"/>
        </w:rPr>
        <w:t>a</w:t>
      </w:r>
      <w:r>
        <w:rPr>
          <w:spacing w:val="-6"/>
          <w:sz w:val="20"/>
        </w:rPr>
        <w:t xml:space="preserve"> </w:t>
      </w:r>
      <w:r>
        <w:rPr>
          <w:sz w:val="20"/>
        </w:rPr>
        <w:t>Disability,</w:t>
      </w:r>
      <w:r>
        <w:rPr>
          <w:spacing w:val="-3"/>
          <w:sz w:val="20"/>
        </w:rPr>
        <w:t xml:space="preserve"> </w:t>
      </w:r>
      <w:r>
        <w:rPr>
          <w:sz w:val="20"/>
        </w:rPr>
        <w:t>[and]</w:t>
      </w:r>
      <w:r>
        <w:rPr>
          <w:spacing w:val="-2"/>
          <w:sz w:val="20"/>
        </w:rPr>
        <w:t xml:space="preserve"> </w:t>
      </w:r>
      <w:r>
        <w:rPr>
          <w:sz w:val="20"/>
        </w:rPr>
        <w:t>.</w:t>
      </w:r>
      <w:r>
        <w:rPr>
          <w:spacing w:val="-5"/>
          <w:sz w:val="20"/>
        </w:rPr>
        <w:t xml:space="preserve"> </w:t>
      </w:r>
      <w:r>
        <w:rPr>
          <w:sz w:val="20"/>
        </w:rPr>
        <w:t>.</w:t>
      </w:r>
      <w:r>
        <w:rPr>
          <w:spacing w:val="-5"/>
          <w:sz w:val="20"/>
        </w:rPr>
        <w:t xml:space="preserve"> </w:t>
      </w:r>
      <w:r>
        <w:rPr>
          <w:sz w:val="20"/>
        </w:rPr>
        <w:t>.</w:t>
      </w:r>
      <w:r>
        <w:rPr>
          <w:spacing w:val="-4"/>
          <w:sz w:val="20"/>
        </w:rPr>
        <w:t xml:space="preserve"> </w:t>
      </w:r>
      <w:r>
        <w:rPr>
          <w:sz w:val="20"/>
        </w:rPr>
        <w:t>I</w:t>
      </w:r>
      <w:r>
        <w:rPr>
          <w:spacing w:val="-3"/>
          <w:sz w:val="20"/>
        </w:rPr>
        <w:t xml:space="preserve"> </w:t>
      </w:r>
      <w:r>
        <w:rPr>
          <w:sz w:val="20"/>
        </w:rPr>
        <w:t>Want</w:t>
      </w:r>
      <w:r>
        <w:rPr>
          <w:spacing w:val="-5"/>
          <w:sz w:val="20"/>
        </w:rPr>
        <w:t xml:space="preserve"> </w:t>
      </w:r>
      <w:r>
        <w:rPr>
          <w:sz w:val="20"/>
        </w:rPr>
        <w:t>to</w:t>
      </w:r>
      <w:r>
        <w:rPr>
          <w:spacing w:val="-4"/>
          <w:sz w:val="20"/>
        </w:rPr>
        <w:t xml:space="preserve"> </w:t>
      </w:r>
      <w:r>
        <w:rPr>
          <w:sz w:val="20"/>
        </w:rPr>
        <w:t>Make</w:t>
      </w:r>
      <w:r>
        <w:rPr>
          <w:spacing w:val="-4"/>
          <w:sz w:val="20"/>
        </w:rPr>
        <w:t xml:space="preserve"> </w:t>
      </w:r>
      <w:r>
        <w:rPr>
          <w:sz w:val="20"/>
        </w:rPr>
        <w:t>Love</w:t>
      </w:r>
      <w:r>
        <w:rPr>
          <w:spacing w:val="-2"/>
          <w:sz w:val="20"/>
        </w:rPr>
        <w:t xml:space="preserve"> </w:t>
      </w:r>
      <w:r>
        <w:rPr>
          <w:sz w:val="20"/>
        </w:rPr>
        <w:t>and</w:t>
      </w:r>
      <w:r>
        <w:rPr>
          <w:spacing w:val="-4"/>
          <w:sz w:val="20"/>
        </w:rPr>
        <w:t xml:space="preserve"> </w:t>
      </w:r>
      <w:r>
        <w:rPr>
          <w:sz w:val="20"/>
        </w:rPr>
        <w:t>Be</w:t>
      </w:r>
      <w:r>
        <w:rPr>
          <w:spacing w:val="-5"/>
          <w:sz w:val="20"/>
        </w:rPr>
        <w:t xml:space="preserve"> </w:t>
      </w:r>
      <w:r>
        <w:rPr>
          <w:spacing w:val="-2"/>
          <w:sz w:val="20"/>
        </w:rPr>
        <w:t>Loved.’”</w:t>
      </w:r>
    </w:p>
    <w:p w:rsidR="00C76E6D" w:rsidRDefault="00913831">
      <w:pPr>
        <w:ind w:left="339" w:right="1881" w:hanging="1"/>
        <w:rPr>
          <w:sz w:val="20"/>
        </w:rPr>
      </w:pPr>
      <w:bookmarkStart w:id="627" w:name="_bookmark466"/>
      <w:bookmarkEnd w:id="627"/>
      <w:r>
        <w:rPr>
          <w:sz w:val="20"/>
          <w:vertAlign w:val="superscript"/>
        </w:rPr>
        <w:t>48</w:t>
      </w:r>
      <w:r>
        <w:rPr>
          <w:spacing w:val="-6"/>
          <w:sz w:val="20"/>
        </w:rPr>
        <w:t xml:space="preserve"> </w:t>
      </w:r>
      <w:r>
        <w:rPr>
          <w:sz w:val="20"/>
        </w:rPr>
        <w:t>World</w:t>
      </w:r>
      <w:r>
        <w:rPr>
          <w:spacing w:val="-8"/>
          <w:sz w:val="20"/>
        </w:rPr>
        <w:t xml:space="preserve"> </w:t>
      </w:r>
      <w:r>
        <w:rPr>
          <w:sz w:val="20"/>
        </w:rPr>
        <w:t>Health</w:t>
      </w:r>
      <w:r>
        <w:rPr>
          <w:spacing w:val="-9"/>
          <w:sz w:val="20"/>
        </w:rPr>
        <w:t xml:space="preserve"> </w:t>
      </w:r>
      <w:r>
        <w:rPr>
          <w:sz w:val="20"/>
        </w:rPr>
        <w:t>Organization,</w:t>
      </w:r>
      <w:r>
        <w:rPr>
          <w:spacing w:val="-6"/>
          <w:sz w:val="20"/>
        </w:rPr>
        <w:t xml:space="preserve"> </w:t>
      </w:r>
      <w:r>
        <w:rPr>
          <w:sz w:val="20"/>
        </w:rPr>
        <w:t>“Mental</w:t>
      </w:r>
      <w:r>
        <w:rPr>
          <w:spacing w:val="-8"/>
          <w:sz w:val="20"/>
        </w:rPr>
        <w:t xml:space="preserve"> </w:t>
      </w:r>
      <w:r>
        <w:rPr>
          <w:sz w:val="20"/>
        </w:rPr>
        <w:t>Health:</w:t>
      </w:r>
      <w:r>
        <w:rPr>
          <w:spacing w:val="-8"/>
          <w:sz w:val="20"/>
        </w:rPr>
        <w:t xml:space="preserve"> </w:t>
      </w:r>
      <w:r>
        <w:rPr>
          <w:sz w:val="20"/>
        </w:rPr>
        <w:t>Strengthening</w:t>
      </w:r>
      <w:r>
        <w:rPr>
          <w:spacing w:val="-7"/>
          <w:sz w:val="20"/>
        </w:rPr>
        <w:t xml:space="preserve"> </w:t>
      </w:r>
      <w:r>
        <w:rPr>
          <w:sz w:val="20"/>
        </w:rPr>
        <w:t>Our</w:t>
      </w:r>
      <w:r>
        <w:rPr>
          <w:spacing w:val="-8"/>
          <w:sz w:val="20"/>
        </w:rPr>
        <w:t xml:space="preserve"> </w:t>
      </w:r>
      <w:r>
        <w:rPr>
          <w:sz w:val="20"/>
        </w:rPr>
        <w:t>Response,”</w:t>
      </w:r>
      <w:r>
        <w:rPr>
          <w:spacing w:val="-6"/>
          <w:sz w:val="20"/>
        </w:rPr>
        <w:t xml:space="preserve"> </w:t>
      </w:r>
      <w:r>
        <w:rPr>
          <w:sz w:val="20"/>
        </w:rPr>
        <w:t>accessed</w:t>
      </w:r>
      <w:r>
        <w:rPr>
          <w:spacing w:val="-6"/>
          <w:sz w:val="20"/>
        </w:rPr>
        <w:t xml:space="preserve"> </w:t>
      </w:r>
      <w:r>
        <w:rPr>
          <w:sz w:val="20"/>
        </w:rPr>
        <w:t>June</w:t>
      </w:r>
      <w:r>
        <w:rPr>
          <w:spacing w:val="-7"/>
          <w:sz w:val="20"/>
        </w:rPr>
        <w:t xml:space="preserve"> </w:t>
      </w:r>
      <w:r>
        <w:rPr>
          <w:sz w:val="20"/>
        </w:rPr>
        <w:t>9,</w:t>
      </w:r>
      <w:r>
        <w:rPr>
          <w:spacing w:val="-8"/>
          <w:sz w:val="20"/>
        </w:rPr>
        <w:t xml:space="preserve"> </w:t>
      </w:r>
      <w:r>
        <w:rPr>
          <w:sz w:val="20"/>
        </w:rPr>
        <w:t xml:space="preserve">2022, </w:t>
      </w:r>
      <w:r>
        <w:rPr>
          <w:spacing w:val="-2"/>
          <w:sz w:val="20"/>
        </w:rPr>
        <w:t>https://</w:t>
      </w:r>
      <w:hyperlink r:id="rId332">
        <w:r>
          <w:rPr>
            <w:spacing w:val="-2"/>
            <w:sz w:val="20"/>
          </w:rPr>
          <w:t>www.who.int/news-room/fact-sheets/detail/mental-health-strengthening-our-response.</w:t>
        </w:r>
      </w:hyperlink>
    </w:p>
    <w:p w:rsidR="00C76E6D" w:rsidRDefault="00913831">
      <w:pPr>
        <w:ind w:left="339" w:right="530" w:hanging="2"/>
        <w:rPr>
          <w:sz w:val="20"/>
        </w:rPr>
      </w:pPr>
      <w:bookmarkStart w:id="628" w:name="_bookmark467"/>
      <w:bookmarkEnd w:id="628"/>
      <w:r>
        <w:rPr>
          <w:sz w:val="20"/>
          <w:vertAlign w:val="superscript"/>
        </w:rPr>
        <w:t>49</w:t>
      </w:r>
      <w:r>
        <w:rPr>
          <w:spacing w:val="-4"/>
          <w:sz w:val="20"/>
        </w:rPr>
        <w:t xml:space="preserve"> </w:t>
      </w:r>
      <w:r>
        <w:rPr>
          <w:sz w:val="20"/>
        </w:rPr>
        <w:t>Alexandra</w:t>
      </w:r>
      <w:r>
        <w:rPr>
          <w:spacing w:val="-4"/>
          <w:sz w:val="20"/>
        </w:rPr>
        <w:t xml:space="preserve"> </w:t>
      </w:r>
      <w:r>
        <w:rPr>
          <w:sz w:val="20"/>
        </w:rPr>
        <w:t>B.</w:t>
      </w:r>
      <w:r>
        <w:rPr>
          <w:spacing w:val="-7"/>
          <w:sz w:val="20"/>
        </w:rPr>
        <w:t xml:space="preserve"> </w:t>
      </w:r>
      <w:r>
        <w:rPr>
          <w:sz w:val="20"/>
        </w:rPr>
        <w:t>Balaji</w:t>
      </w:r>
      <w:r>
        <w:rPr>
          <w:spacing w:val="-5"/>
          <w:sz w:val="20"/>
        </w:rPr>
        <w:t xml:space="preserve"> </w:t>
      </w:r>
      <w:r>
        <w:rPr>
          <w:sz w:val="20"/>
        </w:rPr>
        <w:t>et</w:t>
      </w:r>
      <w:r>
        <w:rPr>
          <w:spacing w:val="-4"/>
          <w:sz w:val="20"/>
        </w:rPr>
        <w:t xml:space="preserve"> </w:t>
      </w:r>
      <w:r>
        <w:rPr>
          <w:sz w:val="20"/>
        </w:rPr>
        <w:t>al.,</w:t>
      </w:r>
      <w:r>
        <w:rPr>
          <w:spacing w:val="-6"/>
          <w:sz w:val="20"/>
        </w:rPr>
        <w:t xml:space="preserve"> </w:t>
      </w:r>
      <w:r>
        <w:rPr>
          <w:sz w:val="20"/>
        </w:rPr>
        <w:t>“Characteristics</w:t>
      </w:r>
      <w:r>
        <w:rPr>
          <w:spacing w:val="-6"/>
          <w:sz w:val="20"/>
        </w:rPr>
        <w:t xml:space="preserve"> </w:t>
      </w:r>
      <w:r>
        <w:rPr>
          <w:sz w:val="20"/>
        </w:rPr>
        <w:t>of</w:t>
      </w:r>
      <w:r>
        <w:rPr>
          <w:spacing w:val="-6"/>
          <w:sz w:val="20"/>
        </w:rPr>
        <w:t xml:space="preserve"> </w:t>
      </w:r>
      <w:r>
        <w:rPr>
          <w:sz w:val="20"/>
        </w:rPr>
        <w:t>Health</w:t>
      </w:r>
      <w:r>
        <w:rPr>
          <w:spacing w:val="-4"/>
          <w:sz w:val="20"/>
        </w:rPr>
        <w:t xml:space="preserve"> </w:t>
      </w:r>
      <w:r>
        <w:rPr>
          <w:sz w:val="20"/>
        </w:rPr>
        <w:t>Programs</w:t>
      </w:r>
      <w:r>
        <w:rPr>
          <w:spacing w:val="-5"/>
          <w:sz w:val="20"/>
        </w:rPr>
        <w:t xml:space="preserve"> </w:t>
      </w:r>
      <w:r>
        <w:rPr>
          <w:sz w:val="20"/>
        </w:rPr>
        <w:t>among</w:t>
      </w:r>
      <w:r>
        <w:rPr>
          <w:spacing w:val="-5"/>
          <w:sz w:val="20"/>
        </w:rPr>
        <w:t xml:space="preserve"> </w:t>
      </w:r>
      <w:r>
        <w:rPr>
          <w:sz w:val="20"/>
        </w:rPr>
        <w:t>Secondary</w:t>
      </w:r>
      <w:r>
        <w:rPr>
          <w:spacing w:val="-5"/>
          <w:sz w:val="20"/>
        </w:rPr>
        <w:t xml:space="preserve"> </w:t>
      </w:r>
      <w:r>
        <w:rPr>
          <w:sz w:val="20"/>
        </w:rPr>
        <w:t>Schools</w:t>
      </w:r>
      <w:r>
        <w:rPr>
          <w:spacing w:val="-5"/>
          <w:sz w:val="20"/>
        </w:rPr>
        <w:t xml:space="preserve"> </w:t>
      </w:r>
      <w:r>
        <w:rPr>
          <w:sz w:val="20"/>
        </w:rPr>
        <w:t>2006:</w:t>
      </w:r>
      <w:r>
        <w:rPr>
          <w:spacing w:val="-5"/>
          <w:sz w:val="20"/>
        </w:rPr>
        <w:t xml:space="preserve"> </w:t>
      </w:r>
      <w:r>
        <w:rPr>
          <w:sz w:val="20"/>
        </w:rPr>
        <w:t>(567592009-001)” (American Psychological Association, 2008), https://doi.org</w:t>
      </w:r>
      <w:r>
        <w:rPr>
          <w:sz w:val="20"/>
        </w:rPr>
        <w:t>/10.1037/e567592009-001.</w:t>
      </w:r>
    </w:p>
    <w:p w:rsidR="00C76E6D" w:rsidRDefault="00913831">
      <w:pPr>
        <w:ind w:left="339" w:right="1600" w:hanging="1"/>
        <w:rPr>
          <w:sz w:val="20"/>
        </w:rPr>
      </w:pPr>
      <w:bookmarkStart w:id="629" w:name="_bookmark468"/>
      <w:bookmarkEnd w:id="629"/>
      <w:r>
        <w:rPr>
          <w:sz w:val="20"/>
          <w:vertAlign w:val="superscript"/>
        </w:rPr>
        <w:t>50</w:t>
      </w:r>
      <w:r>
        <w:rPr>
          <w:spacing w:val="-7"/>
          <w:sz w:val="20"/>
        </w:rPr>
        <w:t xml:space="preserve"> </w:t>
      </w:r>
      <w:r>
        <w:rPr>
          <w:sz w:val="20"/>
        </w:rPr>
        <w:t>Boston</w:t>
      </w:r>
      <w:r>
        <w:rPr>
          <w:spacing w:val="-9"/>
          <w:sz w:val="20"/>
        </w:rPr>
        <w:t xml:space="preserve"> </w:t>
      </w:r>
      <w:r>
        <w:rPr>
          <w:sz w:val="20"/>
        </w:rPr>
        <w:t>Public</w:t>
      </w:r>
      <w:r>
        <w:rPr>
          <w:spacing w:val="-8"/>
          <w:sz w:val="20"/>
        </w:rPr>
        <w:t xml:space="preserve"> </w:t>
      </w:r>
      <w:r>
        <w:rPr>
          <w:sz w:val="20"/>
        </w:rPr>
        <w:t>Schools</w:t>
      </w:r>
      <w:r>
        <w:rPr>
          <w:spacing w:val="-8"/>
          <w:sz w:val="20"/>
        </w:rPr>
        <w:t xml:space="preserve"> </w:t>
      </w:r>
      <w:r>
        <w:rPr>
          <w:sz w:val="20"/>
        </w:rPr>
        <w:t>(BPS),</w:t>
      </w:r>
      <w:r>
        <w:rPr>
          <w:spacing w:val="-7"/>
          <w:sz w:val="20"/>
        </w:rPr>
        <w:t xml:space="preserve"> </w:t>
      </w:r>
      <w:r>
        <w:rPr>
          <w:sz w:val="20"/>
        </w:rPr>
        <w:t>“2019</w:t>
      </w:r>
      <w:r>
        <w:rPr>
          <w:spacing w:val="-8"/>
          <w:sz w:val="20"/>
        </w:rPr>
        <w:t xml:space="preserve"> </w:t>
      </w:r>
      <w:r>
        <w:rPr>
          <w:sz w:val="20"/>
        </w:rPr>
        <w:t>HS</w:t>
      </w:r>
      <w:r>
        <w:rPr>
          <w:spacing w:val="-7"/>
          <w:sz w:val="20"/>
        </w:rPr>
        <w:t xml:space="preserve"> </w:t>
      </w:r>
      <w:r>
        <w:rPr>
          <w:sz w:val="20"/>
        </w:rPr>
        <w:t>YRBS,”</w:t>
      </w:r>
      <w:r>
        <w:rPr>
          <w:spacing w:val="-7"/>
          <w:sz w:val="20"/>
        </w:rPr>
        <w:t xml:space="preserve"> </w:t>
      </w:r>
      <w:r>
        <w:rPr>
          <w:sz w:val="20"/>
        </w:rPr>
        <w:t>accessed</w:t>
      </w:r>
      <w:r>
        <w:rPr>
          <w:spacing w:val="-9"/>
          <w:sz w:val="20"/>
        </w:rPr>
        <w:t xml:space="preserve"> </w:t>
      </w:r>
      <w:r>
        <w:rPr>
          <w:sz w:val="20"/>
        </w:rPr>
        <w:t>May</w:t>
      </w:r>
      <w:r>
        <w:rPr>
          <w:spacing w:val="-7"/>
          <w:sz w:val="20"/>
        </w:rPr>
        <w:t xml:space="preserve"> </w:t>
      </w:r>
      <w:r>
        <w:rPr>
          <w:sz w:val="20"/>
        </w:rPr>
        <w:t>27,</w:t>
      </w:r>
      <w:r>
        <w:rPr>
          <w:spacing w:val="-9"/>
          <w:sz w:val="20"/>
        </w:rPr>
        <w:t xml:space="preserve"> </w:t>
      </w:r>
      <w:r>
        <w:rPr>
          <w:sz w:val="20"/>
        </w:rPr>
        <w:t xml:space="preserve">2021, </w:t>
      </w:r>
      <w:r>
        <w:rPr>
          <w:spacing w:val="-2"/>
          <w:sz w:val="20"/>
        </w:rPr>
        <w:t>https://</w:t>
      </w:r>
      <w:hyperlink r:id="rId333">
        <w:r>
          <w:rPr>
            <w:spacing w:val="-2"/>
            <w:sz w:val="20"/>
          </w:rPr>
          <w:t>www.bostonpublicschools.org/Page/7329.</w:t>
        </w:r>
      </w:hyperlink>
    </w:p>
    <w:p w:rsidR="00C76E6D" w:rsidRDefault="00913831">
      <w:pPr>
        <w:ind w:left="339" w:right="530" w:hanging="1"/>
        <w:rPr>
          <w:sz w:val="20"/>
        </w:rPr>
      </w:pPr>
      <w:bookmarkStart w:id="630" w:name="_bookmark469"/>
      <w:bookmarkEnd w:id="630"/>
      <w:r>
        <w:rPr>
          <w:sz w:val="20"/>
          <w:vertAlign w:val="superscript"/>
        </w:rPr>
        <w:t>51</w:t>
      </w:r>
      <w:r>
        <w:rPr>
          <w:spacing w:val="-4"/>
          <w:sz w:val="20"/>
        </w:rPr>
        <w:t xml:space="preserve"> </w:t>
      </w:r>
      <w:r>
        <w:rPr>
          <w:sz w:val="20"/>
        </w:rPr>
        <w:t>Amy</w:t>
      </w:r>
      <w:r>
        <w:rPr>
          <w:spacing w:val="-5"/>
          <w:sz w:val="20"/>
        </w:rPr>
        <w:t xml:space="preserve"> </w:t>
      </w:r>
      <w:r>
        <w:rPr>
          <w:sz w:val="20"/>
        </w:rPr>
        <w:t>L.</w:t>
      </w:r>
      <w:r>
        <w:rPr>
          <w:spacing w:val="-5"/>
          <w:sz w:val="20"/>
        </w:rPr>
        <w:t xml:space="preserve"> </w:t>
      </w:r>
      <w:r>
        <w:rPr>
          <w:sz w:val="20"/>
        </w:rPr>
        <w:t>Gower</w:t>
      </w:r>
      <w:r>
        <w:rPr>
          <w:spacing w:val="-6"/>
          <w:sz w:val="20"/>
        </w:rPr>
        <w:t xml:space="preserve"> </w:t>
      </w:r>
      <w:r>
        <w:rPr>
          <w:sz w:val="20"/>
        </w:rPr>
        <w:t>et</w:t>
      </w:r>
      <w:r>
        <w:rPr>
          <w:spacing w:val="-4"/>
          <w:sz w:val="20"/>
        </w:rPr>
        <w:t xml:space="preserve"> </w:t>
      </w:r>
      <w:r>
        <w:rPr>
          <w:sz w:val="20"/>
        </w:rPr>
        <w:t>al.,</w:t>
      </w:r>
      <w:r>
        <w:rPr>
          <w:spacing w:val="-4"/>
          <w:sz w:val="20"/>
        </w:rPr>
        <w:t xml:space="preserve"> </w:t>
      </w:r>
      <w:r>
        <w:rPr>
          <w:sz w:val="20"/>
        </w:rPr>
        <w:t>“First-</w:t>
      </w:r>
      <w:r>
        <w:rPr>
          <w:spacing w:val="-5"/>
          <w:sz w:val="20"/>
        </w:rPr>
        <w:t xml:space="preserve"> </w:t>
      </w:r>
      <w:r>
        <w:rPr>
          <w:sz w:val="20"/>
        </w:rPr>
        <w:t>and</w:t>
      </w:r>
      <w:r>
        <w:rPr>
          <w:spacing w:val="-5"/>
          <w:sz w:val="20"/>
        </w:rPr>
        <w:t xml:space="preserve"> </w:t>
      </w:r>
      <w:r>
        <w:rPr>
          <w:sz w:val="20"/>
        </w:rPr>
        <w:t>Second-Hand</w:t>
      </w:r>
      <w:r>
        <w:rPr>
          <w:spacing w:val="-5"/>
          <w:sz w:val="20"/>
        </w:rPr>
        <w:t xml:space="preserve"> </w:t>
      </w:r>
      <w:r>
        <w:rPr>
          <w:sz w:val="20"/>
        </w:rPr>
        <w:t>Experiences</w:t>
      </w:r>
      <w:r>
        <w:rPr>
          <w:spacing w:val="-6"/>
          <w:sz w:val="20"/>
        </w:rPr>
        <w:t xml:space="preserve"> </w:t>
      </w:r>
      <w:r>
        <w:rPr>
          <w:sz w:val="20"/>
        </w:rPr>
        <w:t>of</w:t>
      </w:r>
      <w:r>
        <w:rPr>
          <w:spacing w:val="-6"/>
          <w:sz w:val="20"/>
        </w:rPr>
        <w:t xml:space="preserve"> </w:t>
      </w:r>
      <w:r>
        <w:rPr>
          <w:sz w:val="20"/>
        </w:rPr>
        <w:t>Enacted</w:t>
      </w:r>
      <w:r>
        <w:rPr>
          <w:spacing w:val="-5"/>
          <w:sz w:val="20"/>
        </w:rPr>
        <w:t xml:space="preserve"> </w:t>
      </w:r>
      <w:r>
        <w:rPr>
          <w:sz w:val="20"/>
        </w:rPr>
        <w:t>Stigma</w:t>
      </w:r>
      <w:r>
        <w:rPr>
          <w:spacing w:val="-4"/>
          <w:sz w:val="20"/>
        </w:rPr>
        <w:t xml:space="preserve"> </w:t>
      </w:r>
      <w:r>
        <w:rPr>
          <w:sz w:val="20"/>
        </w:rPr>
        <w:t>Among</w:t>
      </w:r>
      <w:r>
        <w:rPr>
          <w:spacing w:val="-5"/>
          <w:sz w:val="20"/>
        </w:rPr>
        <w:t xml:space="preserve"> </w:t>
      </w:r>
      <w:r>
        <w:rPr>
          <w:sz w:val="20"/>
        </w:rPr>
        <w:t>LGBTQ</w:t>
      </w:r>
      <w:r>
        <w:rPr>
          <w:spacing w:val="-6"/>
          <w:sz w:val="20"/>
        </w:rPr>
        <w:t xml:space="preserve"> </w:t>
      </w:r>
      <w:r>
        <w:rPr>
          <w:sz w:val="20"/>
        </w:rPr>
        <w:t>Youth,”</w:t>
      </w:r>
      <w:r>
        <w:rPr>
          <w:spacing w:val="-6"/>
          <w:sz w:val="20"/>
        </w:rPr>
        <w:t xml:space="preserve"> </w:t>
      </w:r>
      <w:r>
        <w:rPr>
          <w:i/>
          <w:sz w:val="20"/>
        </w:rPr>
        <w:t>The</w:t>
      </w:r>
      <w:r>
        <w:rPr>
          <w:i/>
          <w:spacing w:val="-4"/>
          <w:sz w:val="20"/>
        </w:rPr>
        <w:t xml:space="preserve"> </w:t>
      </w:r>
      <w:r>
        <w:rPr>
          <w:i/>
          <w:sz w:val="20"/>
        </w:rPr>
        <w:t>Journal</w:t>
      </w:r>
      <w:r>
        <w:rPr>
          <w:i/>
          <w:spacing w:val="-7"/>
          <w:sz w:val="20"/>
        </w:rPr>
        <w:t xml:space="preserve"> </w:t>
      </w:r>
      <w:r>
        <w:rPr>
          <w:i/>
          <w:sz w:val="20"/>
        </w:rPr>
        <w:t xml:space="preserve">of </w:t>
      </w:r>
      <w:bookmarkStart w:id="631" w:name="_bookmark470"/>
      <w:bookmarkEnd w:id="631"/>
      <w:r>
        <w:rPr>
          <w:i/>
          <w:sz w:val="20"/>
        </w:rPr>
        <w:t xml:space="preserve">School Nursing </w:t>
      </w:r>
      <w:r>
        <w:rPr>
          <w:sz w:val="20"/>
        </w:rPr>
        <w:t>37, no. 3 (June 2021): 185–94, https://doi.org/10.1177/1059840519863094.</w:t>
      </w:r>
    </w:p>
    <w:p w:rsidR="00C76E6D" w:rsidRDefault="00913831">
      <w:pPr>
        <w:ind w:left="338" w:right="470" w:hanging="1"/>
        <w:rPr>
          <w:sz w:val="20"/>
        </w:rPr>
      </w:pPr>
      <w:r>
        <w:rPr>
          <w:sz w:val="20"/>
          <w:vertAlign w:val="superscript"/>
        </w:rPr>
        <w:t>52</w:t>
      </w:r>
      <w:r>
        <w:rPr>
          <w:sz w:val="20"/>
        </w:rPr>
        <w:t xml:space="preserve"> National Institute of Mental Health, “Suicide,” National Institute of Mental Health (NIMH), accessed</w:t>
      </w:r>
      <w:r>
        <w:rPr>
          <w:sz w:val="20"/>
        </w:rPr>
        <w:t xml:space="preserve"> June 9, 2022, https://</w:t>
      </w:r>
      <w:hyperlink r:id="rId334">
        <w:r>
          <w:rPr>
            <w:sz w:val="20"/>
          </w:rPr>
          <w:t xml:space="preserve">www.nimh.nih.gov/health/statistics/suicide; </w:t>
        </w:r>
      </w:hyperlink>
      <w:r>
        <w:rPr>
          <w:sz w:val="20"/>
        </w:rPr>
        <w:t>Jeremy T. Goldbach et al., “Is There a Need for LGBT-Specific Suicide</w:t>
      </w:r>
      <w:r>
        <w:rPr>
          <w:spacing w:val="-8"/>
          <w:sz w:val="20"/>
        </w:rPr>
        <w:t xml:space="preserve"> </w:t>
      </w:r>
      <w:r>
        <w:rPr>
          <w:sz w:val="20"/>
        </w:rPr>
        <w:t>Crisis</w:t>
      </w:r>
      <w:r>
        <w:rPr>
          <w:spacing w:val="-7"/>
          <w:sz w:val="20"/>
        </w:rPr>
        <w:t xml:space="preserve"> </w:t>
      </w:r>
      <w:r>
        <w:rPr>
          <w:sz w:val="20"/>
        </w:rPr>
        <w:t>Services?,”</w:t>
      </w:r>
      <w:r>
        <w:rPr>
          <w:spacing w:val="-6"/>
          <w:sz w:val="20"/>
        </w:rPr>
        <w:t xml:space="preserve"> </w:t>
      </w:r>
      <w:r>
        <w:rPr>
          <w:i/>
          <w:sz w:val="20"/>
        </w:rPr>
        <w:t>Crisis</w:t>
      </w:r>
      <w:r>
        <w:rPr>
          <w:i/>
          <w:spacing w:val="-7"/>
          <w:sz w:val="20"/>
        </w:rPr>
        <w:t xml:space="preserve"> </w:t>
      </w:r>
      <w:r>
        <w:rPr>
          <w:sz w:val="20"/>
        </w:rPr>
        <w:t>40,</w:t>
      </w:r>
      <w:r>
        <w:rPr>
          <w:spacing w:val="-9"/>
          <w:sz w:val="20"/>
        </w:rPr>
        <w:t xml:space="preserve"> </w:t>
      </w:r>
      <w:r>
        <w:rPr>
          <w:sz w:val="20"/>
        </w:rPr>
        <w:t>no.</w:t>
      </w:r>
      <w:r>
        <w:rPr>
          <w:spacing w:val="-8"/>
          <w:sz w:val="20"/>
        </w:rPr>
        <w:t xml:space="preserve"> </w:t>
      </w:r>
      <w:r>
        <w:rPr>
          <w:sz w:val="20"/>
        </w:rPr>
        <w:t>3</w:t>
      </w:r>
      <w:r>
        <w:rPr>
          <w:spacing w:val="-6"/>
          <w:sz w:val="20"/>
        </w:rPr>
        <w:t xml:space="preserve"> </w:t>
      </w:r>
      <w:r>
        <w:rPr>
          <w:sz w:val="20"/>
        </w:rPr>
        <w:t>(May</w:t>
      </w:r>
      <w:r>
        <w:rPr>
          <w:spacing w:val="-6"/>
          <w:sz w:val="20"/>
        </w:rPr>
        <w:t xml:space="preserve"> </w:t>
      </w:r>
      <w:r>
        <w:rPr>
          <w:sz w:val="20"/>
        </w:rPr>
        <w:t>2019):</w:t>
      </w:r>
      <w:r>
        <w:rPr>
          <w:spacing w:val="-9"/>
          <w:sz w:val="20"/>
        </w:rPr>
        <w:t xml:space="preserve"> </w:t>
      </w:r>
      <w:r>
        <w:rPr>
          <w:sz w:val="20"/>
        </w:rPr>
        <w:t>203–8,</w:t>
      </w:r>
      <w:r>
        <w:rPr>
          <w:spacing w:val="-6"/>
          <w:sz w:val="20"/>
        </w:rPr>
        <w:t xml:space="preserve"> </w:t>
      </w:r>
      <w:r>
        <w:rPr>
          <w:sz w:val="20"/>
        </w:rPr>
        <w:t>https://doi.org/10.1027/0227-5910/a000542;</w:t>
      </w:r>
      <w:r>
        <w:rPr>
          <w:spacing w:val="-7"/>
          <w:sz w:val="20"/>
        </w:rPr>
        <w:t xml:space="preserve"> </w:t>
      </w:r>
      <w:r>
        <w:rPr>
          <w:sz w:val="20"/>
        </w:rPr>
        <w:t>Geoffrey</w:t>
      </w:r>
      <w:r>
        <w:rPr>
          <w:spacing w:val="-6"/>
          <w:sz w:val="20"/>
        </w:rPr>
        <w:t xml:space="preserve"> </w:t>
      </w:r>
      <w:r>
        <w:rPr>
          <w:sz w:val="20"/>
        </w:rPr>
        <w:t>L. Ream, “What’s Unique About Lesbian, Gay, Bisexual, and Transgender (LGBT) Youth and Young Adult Suicides?</w:t>
      </w:r>
    </w:p>
    <w:p w:rsidR="00C76E6D" w:rsidRDefault="00913831">
      <w:pPr>
        <w:ind w:left="340" w:right="470" w:hanging="2"/>
        <w:rPr>
          <w:sz w:val="20"/>
        </w:rPr>
      </w:pPr>
      <w:r>
        <w:rPr>
          <w:sz w:val="20"/>
        </w:rPr>
        <w:t>Findings</w:t>
      </w:r>
      <w:r>
        <w:rPr>
          <w:spacing w:val="-5"/>
          <w:sz w:val="20"/>
        </w:rPr>
        <w:t xml:space="preserve"> </w:t>
      </w:r>
      <w:r>
        <w:rPr>
          <w:sz w:val="20"/>
        </w:rPr>
        <w:t>From</w:t>
      </w:r>
      <w:r>
        <w:rPr>
          <w:spacing w:val="-8"/>
          <w:sz w:val="20"/>
        </w:rPr>
        <w:t xml:space="preserve"> </w:t>
      </w:r>
      <w:r>
        <w:rPr>
          <w:sz w:val="20"/>
        </w:rPr>
        <w:t>the</w:t>
      </w:r>
      <w:r>
        <w:rPr>
          <w:spacing w:val="-5"/>
          <w:sz w:val="20"/>
        </w:rPr>
        <w:t xml:space="preserve"> </w:t>
      </w:r>
      <w:r>
        <w:rPr>
          <w:sz w:val="20"/>
        </w:rPr>
        <w:t>National</w:t>
      </w:r>
      <w:r>
        <w:rPr>
          <w:spacing w:val="-7"/>
          <w:sz w:val="20"/>
        </w:rPr>
        <w:t xml:space="preserve"> </w:t>
      </w:r>
      <w:r>
        <w:rPr>
          <w:sz w:val="20"/>
        </w:rPr>
        <w:t>Violent</w:t>
      </w:r>
      <w:r>
        <w:rPr>
          <w:spacing w:val="-4"/>
          <w:sz w:val="20"/>
        </w:rPr>
        <w:t xml:space="preserve"> </w:t>
      </w:r>
      <w:r>
        <w:rPr>
          <w:sz w:val="20"/>
        </w:rPr>
        <w:t>Death</w:t>
      </w:r>
      <w:r>
        <w:rPr>
          <w:spacing w:val="-5"/>
          <w:sz w:val="20"/>
        </w:rPr>
        <w:t xml:space="preserve"> </w:t>
      </w:r>
      <w:r>
        <w:rPr>
          <w:sz w:val="20"/>
        </w:rPr>
        <w:t>Reporting</w:t>
      </w:r>
      <w:r>
        <w:rPr>
          <w:spacing w:val="-6"/>
          <w:sz w:val="20"/>
        </w:rPr>
        <w:t xml:space="preserve"> </w:t>
      </w:r>
      <w:r>
        <w:rPr>
          <w:sz w:val="20"/>
        </w:rPr>
        <w:t>System,”</w:t>
      </w:r>
      <w:r>
        <w:rPr>
          <w:spacing w:val="-4"/>
          <w:sz w:val="20"/>
        </w:rPr>
        <w:t xml:space="preserve"> </w:t>
      </w:r>
      <w:r>
        <w:rPr>
          <w:i/>
          <w:sz w:val="20"/>
        </w:rPr>
        <w:t>Journal</w:t>
      </w:r>
      <w:r>
        <w:rPr>
          <w:i/>
          <w:spacing w:val="-7"/>
          <w:sz w:val="20"/>
        </w:rPr>
        <w:t xml:space="preserve"> </w:t>
      </w:r>
      <w:r>
        <w:rPr>
          <w:i/>
          <w:sz w:val="20"/>
        </w:rPr>
        <w:t>of</w:t>
      </w:r>
      <w:r>
        <w:rPr>
          <w:i/>
          <w:spacing w:val="-6"/>
          <w:sz w:val="20"/>
        </w:rPr>
        <w:t xml:space="preserve"> </w:t>
      </w:r>
      <w:r>
        <w:rPr>
          <w:i/>
          <w:sz w:val="20"/>
        </w:rPr>
        <w:t>Adolescent</w:t>
      </w:r>
      <w:r>
        <w:rPr>
          <w:i/>
          <w:spacing w:val="-4"/>
          <w:sz w:val="20"/>
        </w:rPr>
        <w:t xml:space="preserve"> </w:t>
      </w:r>
      <w:r>
        <w:rPr>
          <w:i/>
          <w:sz w:val="20"/>
        </w:rPr>
        <w:t>Healt</w:t>
      </w:r>
      <w:r>
        <w:rPr>
          <w:i/>
          <w:sz w:val="20"/>
        </w:rPr>
        <w:t>h</w:t>
      </w:r>
      <w:r>
        <w:rPr>
          <w:i/>
          <w:spacing w:val="-5"/>
          <w:sz w:val="20"/>
        </w:rPr>
        <w:t xml:space="preserve"> </w:t>
      </w:r>
      <w:r>
        <w:rPr>
          <w:sz w:val="20"/>
        </w:rPr>
        <w:t>64,</w:t>
      </w:r>
      <w:r>
        <w:rPr>
          <w:spacing w:val="-5"/>
          <w:sz w:val="20"/>
        </w:rPr>
        <w:t xml:space="preserve"> </w:t>
      </w:r>
      <w:r>
        <w:rPr>
          <w:sz w:val="20"/>
        </w:rPr>
        <w:t>no.</w:t>
      </w:r>
      <w:r>
        <w:rPr>
          <w:spacing w:val="-6"/>
          <w:sz w:val="20"/>
        </w:rPr>
        <w:t xml:space="preserve"> </w:t>
      </w:r>
      <w:r>
        <w:rPr>
          <w:sz w:val="20"/>
        </w:rPr>
        <w:t>5</w:t>
      </w:r>
      <w:r>
        <w:rPr>
          <w:spacing w:val="-6"/>
          <w:sz w:val="20"/>
        </w:rPr>
        <w:t xml:space="preserve"> </w:t>
      </w:r>
      <w:r>
        <w:rPr>
          <w:sz w:val="20"/>
        </w:rPr>
        <w:t>(May</w:t>
      </w:r>
      <w:r>
        <w:rPr>
          <w:spacing w:val="-5"/>
          <w:sz w:val="20"/>
        </w:rPr>
        <w:t xml:space="preserve"> </w:t>
      </w:r>
      <w:r>
        <w:rPr>
          <w:sz w:val="20"/>
        </w:rPr>
        <w:t>2019):</w:t>
      </w:r>
      <w:r>
        <w:rPr>
          <w:spacing w:val="-5"/>
          <w:sz w:val="20"/>
        </w:rPr>
        <w:t xml:space="preserve"> </w:t>
      </w:r>
      <w:r>
        <w:rPr>
          <w:sz w:val="20"/>
        </w:rPr>
        <w:t xml:space="preserve">602– 7, https://doi.org/10.1016/j.jadohealth.2018.10.303; Erman Yıldız, “Suicide in Sexual Minority Populations: A Systematic Review of Evidence-Based Studies,” </w:t>
      </w:r>
      <w:r>
        <w:rPr>
          <w:i/>
          <w:sz w:val="20"/>
        </w:rPr>
        <w:t xml:space="preserve">Archives of Psychiatric Nursing </w:t>
      </w:r>
      <w:r>
        <w:rPr>
          <w:sz w:val="20"/>
        </w:rPr>
        <w:t xml:space="preserve">32, no. 4 (August 2018): 650–59, </w:t>
      </w:r>
      <w:r>
        <w:rPr>
          <w:spacing w:val="-2"/>
          <w:sz w:val="20"/>
        </w:rPr>
        <w:t>https://doi.org/10.1016/j.apnu.2018.03.003.</w:t>
      </w:r>
    </w:p>
    <w:p w:rsidR="00C76E6D" w:rsidRDefault="00913831">
      <w:pPr>
        <w:spacing w:before="6" w:line="244" w:lineRule="exact"/>
        <w:ind w:left="338"/>
        <w:rPr>
          <w:sz w:val="20"/>
        </w:rPr>
      </w:pPr>
      <w:bookmarkStart w:id="632" w:name="_bookmark471"/>
      <w:bookmarkEnd w:id="632"/>
      <w:r>
        <w:rPr>
          <w:sz w:val="20"/>
          <w:vertAlign w:val="superscript"/>
        </w:rPr>
        <w:t>53</w:t>
      </w:r>
      <w:r>
        <w:rPr>
          <w:spacing w:val="-7"/>
          <w:sz w:val="20"/>
        </w:rPr>
        <w:t xml:space="preserve"> </w:t>
      </w:r>
      <w:r>
        <w:rPr>
          <w:sz w:val="20"/>
        </w:rPr>
        <w:t>Ream,</w:t>
      </w:r>
      <w:r>
        <w:rPr>
          <w:spacing w:val="-7"/>
          <w:sz w:val="20"/>
        </w:rPr>
        <w:t xml:space="preserve"> </w:t>
      </w:r>
      <w:r>
        <w:rPr>
          <w:sz w:val="20"/>
        </w:rPr>
        <w:t>“What’s</w:t>
      </w:r>
      <w:r>
        <w:rPr>
          <w:spacing w:val="-8"/>
          <w:sz w:val="20"/>
        </w:rPr>
        <w:t xml:space="preserve"> </w:t>
      </w:r>
      <w:r>
        <w:rPr>
          <w:sz w:val="20"/>
        </w:rPr>
        <w:t>Unique</w:t>
      </w:r>
      <w:r>
        <w:rPr>
          <w:spacing w:val="-9"/>
          <w:sz w:val="20"/>
        </w:rPr>
        <w:t xml:space="preserve"> </w:t>
      </w:r>
      <w:r>
        <w:rPr>
          <w:sz w:val="20"/>
        </w:rPr>
        <w:t>About</w:t>
      </w:r>
      <w:r>
        <w:rPr>
          <w:spacing w:val="-7"/>
          <w:sz w:val="20"/>
        </w:rPr>
        <w:t xml:space="preserve"> </w:t>
      </w:r>
      <w:r>
        <w:rPr>
          <w:sz w:val="20"/>
        </w:rPr>
        <w:t>Lesbian,</w:t>
      </w:r>
      <w:r>
        <w:rPr>
          <w:spacing w:val="-9"/>
          <w:sz w:val="20"/>
        </w:rPr>
        <w:t xml:space="preserve"> </w:t>
      </w:r>
      <w:r>
        <w:rPr>
          <w:sz w:val="20"/>
        </w:rPr>
        <w:t>Gay,</w:t>
      </w:r>
      <w:r>
        <w:rPr>
          <w:spacing w:val="-7"/>
          <w:sz w:val="20"/>
        </w:rPr>
        <w:t xml:space="preserve"> </w:t>
      </w:r>
      <w:r>
        <w:rPr>
          <w:sz w:val="20"/>
        </w:rPr>
        <w:t>Bisexual,</w:t>
      </w:r>
      <w:r>
        <w:rPr>
          <w:spacing w:val="-6"/>
          <w:sz w:val="20"/>
        </w:rPr>
        <w:t xml:space="preserve"> </w:t>
      </w:r>
      <w:r>
        <w:rPr>
          <w:sz w:val="20"/>
        </w:rPr>
        <w:t>and</w:t>
      </w:r>
      <w:r>
        <w:rPr>
          <w:spacing w:val="-10"/>
          <w:sz w:val="20"/>
        </w:rPr>
        <w:t xml:space="preserve"> </w:t>
      </w:r>
      <w:r>
        <w:rPr>
          <w:sz w:val="20"/>
        </w:rPr>
        <w:t>Transgender</w:t>
      </w:r>
      <w:r>
        <w:rPr>
          <w:spacing w:val="-8"/>
          <w:sz w:val="20"/>
        </w:rPr>
        <w:t xml:space="preserve"> </w:t>
      </w:r>
      <w:r>
        <w:rPr>
          <w:sz w:val="20"/>
        </w:rPr>
        <w:t>(LGBT)</w:t>
      </w:r>
      <w:r>
        <w:rPr>
          <w:spacing w:val="-6"/>
          <w:sz w:val="20"/>
        </w:rPr>
        <w:t xml:space="preserve"> </w:t>
      </w:r>
      <w:r>
        <w:rPr>
          <w:sz w:val="20"/>
        </w:rPr>
        <w:t>Youth</w:t>
      </w:r>
      <w:r>
        <w:rPr>
          <w:spacing w:val="-7"/>
          <w:sz w:val="20"/>
        </w:rPr>
        <w:t xml:space="preserve"> </w:t>
      </w:r>
      <w:r>
        <w:rPr>
          <w:sz w:val="20"/>
        </w:rPr>
        <w:t>and</w:t>
      </w:r>
      <w:r>
        <w:rPr>
          <w:spacing w:val="-6"/>
          <w:sz w:val="20"/>
        </w:rPr>
        <w:t xml:space="preserve"> </w:t>
      </w:r>
      <w:r>
        <w:rPr>
          <w:sz w:val="20"/>
        </w:rPr>
        <w:t>Young</w:t>
      </w:r>
      <w:r>
        <w:rPr>
          <w:spacing w:val="-8"/>
          <w:sz w:val="20"/>
        </w:rPr>
        <w:t xml:space="preserve"> </w:t>
      </w:r>
      <w:r>
        <w:rPr>
          <w:sz w:val="20"/>
        </w:rPr>
        <w:t>Adult</w:t>
      </w:r>
      <w:r>
        <w:rPr>
          <w:spacing w:val="-8"/>
          <w:sz w:val="20"/>
        </w:rPr>
        <w:t xml:space="preserve"> </w:t>
      </w:r>
      <w:r>
        <w:rPr>
          <w:spacing w:val="-2"/>
          <w:sz w:val="20"/>
        </w:rPr>
        <w:t>Suicides?”;</w:t>
      </w:r>
    </w:p>
    <w:p w:rsidR="00C76E6D" w:rsidRDefault="00913831">
      <w:pPr>
        <w:spacing w:line="244" w:lineRule="exact"/>
        <w:ind w:left="339"/>
        <w:rPr>
          <w:sz w:val="20"/>
        </w:rPr>
      </w:pPr>
      <w:bookmarkStart w:id="633" w:name="_bookmark472"/>
      <w:bookmarkEnd w:id="633"/>
      <w:r>
        <w:rPr>
          <w:sz w:val="20"/>
        </w:rPr>
        <w:t>Yıldız,</w:t>
      </w:r>
      <w:r>
        <w:rPr>
          <w:spacing w:val="-7"/>
          <w:sz w:val="20"/>
        </w:rPr>
        <w:t xml:space="preserve"> </w:t>
      </w:r>
      <w:r>
        <w:rPr>
          <w:sz w:val="20"/>
        </w:rPr>
        <w:t>“Suicide</w:t>
      </w:r>
      <w:r>
        <w:rPr>
          <w:spacing w:val="-11"/>
          <w:sz w:val="20"/>
        </w:rPr>
        <w:t xml:space="preserve"> </w:t>
      </w:r>
      <w:r>
        <w:rPr>
          <w:sz w:val="20"/>
        </w:rPr>
        <w:t>in</w:t>
      </w:r>
      <w:r>
        <w:rPr>
          <w:spacing w:val="-7"/>
          <w:sz w:val="20"/>
        </w:rPr>
        <w:t xml:space="preserve"> </w:t>
      </w:r>
      <w:r>
        <w:rPr>
          <w:sz w:val="20"/>
        </w:rPr>
        <w:t>Sexual</w:t>
      </w:r>
      <w:r>
        <w:rPr>
          <w:spacing w:val="-9"/>
          <w:sz w:val="20"/>
        </w:rPr>
        <w:t xml:space="preserve"> </w:t>
      </w:r>
      <w:r>
        <w:rPr>
          <w:sz w:val="20"/>
        </w:rPr>
        <w:t>Minority</w:t>
      </w:r>
      <w:r>
        <w:rPr>
          <w:spacing w:val="-6"/>
          <w:sz w:val="20"/>
        </w:rPr>
        <w:t xml:space="preserve"> </w:t>
      </w:r>
      <w:r>
        <w:rPr>
          <w:spacing w:val="-2"/>
          <w:sz w:val="20"/>
        </w:rPr>
        <w:t>Populations.”</w:t>
      </w:r>
    </w:p>
    <w:p w:rsidR="00C76E6D" w:rsidRDefault="00913831">
      <w:pPr>
        <w:spacing w:line="241" w:lineRule="exact"/>
        <w:ind w:left="338"/>
        <w:rPr>
          <w:sz w:val="20"/>
        </w:rPr>
      </w:pPr>
      <w:r>
        <w:rPr>
          <w:sz w:val="20"/>
          <w:vertAlign w:val="superscript"/>
        </w:rPr>
        <w:t>54</w:t>
      </w:r>
      <w:r>
        <w:rPr>
          <w:spacing w:val="-7"/>
          <w:sz w:val="20"/>
        </w:rPr>
        <w:t xml:space="preserve"> </w:t>
      </w:r>
      <w:r>
        <w:rPr>
          <w:sz w:val="20"/>
        </w:rPr>
        <w:t>Yıldız,</w:t>
      </w:r>
      <w:r>
        <w:rPr>
          <w:spacing w:val="-6"/>
          <w:sz w:val="20"/>
        </w:rPr>
        <w:t xml:space="preserve"> </w:t>
      </w:r>
      <w:r>
        <w:rPr>
          <w:sz w:val="20"/>
        </w:rPr>
        <w:t>“Suicide</w:t>
      </w:r>
      <w:r>
        <w:rPr>
          <w:spacing w:val="-8"/>
          <w:sz w:val="20"/>
        </w:rPr>
        <w:t xml:space="preserve"> </w:t>
      </w:r>
      <w:r>
        <w:rPr>
          <w:sz w:val="20"/>
        </w:rPr>
        <w:t>in</w:t>
      </w:r>
      <w:r>
        <w:rPr>
          <w:spacing w:val="-6"/>
          <w:sz w:val="20"/>
        </w:rPr>
        <w:t xml:space="preserve"> </w:t>
      </w:r>
      <w:r>
        <w:rPr>
          <w:sz w:val="20"/>
        </w:rPr>
        <w:t>Sexual</w:t>
      </w:r>
      <w:r>
        <w:rPr>
          <w:spacing w:val="-8"/>
          <w:sz w:val="20"/>
        </w:rPr>
        <w:t xml:space="preserve"> </w:t>
      </w:r>
      <w:r>
        <w:rPr>
          <w:sz w:val="20"/>
        </w:rPr>
        <w:t>Minority</w:t>
      </w:r>
      <w:r>
        <w:rPr>
          <w:spacing w:val="-6"/>
          <w:sz w:val="20"/>
        </w:rPr>
        <w:t xml:space="preserve"> </w:t>
      </w:r>
      <w:r>
        <w:rPr>
          <w:spacing w:val="-2"/>
          <w:sz w:val="20"/>
        </w:rPr>
        <w:t>Populations.”</w:t>
      </w:r>
    </w:p>
    <w:p w:rsidR="00C76E6D" w:rsidRDefault="00913831">
      <w:pPr>
        <w:ind w:left="339" w:right="415" w:hanging="2"/>
        <w:jc w:val="both"/>
        <w:rPr>
          <w:sz w:val="20"/>
        </w:rPr>
      </w:pPr>
      <w:bookmarkStart w:id="634" w:name="_bookmark473"/>
      <w:bookmarkEnd w:id="634"/>
      <w:r>
        <w:rPr>
          <w:sz w:val="20"/>
          <w:vertAlign w:val="superscript"/>
        </w:rPr>
        <w:t>55</w:t>
      </w:r>
      <w:r>
        <w:rPr>
          <w:spacing w:val="-2"/>
          <w:sz w:val="20"/>
        </w:rPr>
        <w:t xml:space="preserve"> </w:t>
      </w:r>
      <w:r>
        <w:rPr>
          <w:sz w:val="20"/>
        </w:rPr>
        <w:t>MacCarthy</w:t>
      </w:r>
      <w:r>
        <w:rPr>
          <w:spacing w:val="-1"/>
          <w:sz w:val="20"/>
        </w:rPr>
        <w:t xml:space="preserve"> </w:t>
      </w:r>
      <w:r>
        <w:rPr>
          <w:sz w:val="20"/>
        </w:rPr>
        <w:t>et</w:t>
      </w:r>
      <w:r>
        <w:rPr>
          <w:spacing w:val="-2"/>
          <w:sz w:val="20"/>
        </w:rPr>
        <w:t xml:space="preserve"> </w:t>
      </w:r>
      <w:r>
        <w:rPr>
          <w:sz w:val="20"/>
        </w:rPr>
        <w:t>al.,</w:t>
      </w:r>
      <w:r>
        <w:rPr>
          <w:spacing w:val="-2"/>
          <w:sz w:val="20"/>
        </w:rPr>
        <w:t xml:space="preserve"> </w:t>
      </w:r>
      <w:r>
        <w:rPr>
          <w:sz w:val="20"/>
        </w:rPr>
        <w:t>“Rapid</w:t>
      </w:r>
      <w:r>
        <w:rPr>
          <w:spacing w:val="-3"/>
          <w:sz w:val="20"/>
        </w:rPr>
        <w:t xml:space="preserve"> </w:t>
      </w:r>
      <w:r>
        <w:rPr>
          <w:sz w:val="20"/>
        </w:rPr>
        <w:t>Mixed-Methods</w:t>
      </w:r>
      <w:r>
        <w:rPr>
          <w:spacing w:val="-5"/>
          <w:sz w:val="20"/>
        </w:rPr>
        <w:t xml:space="preserve"> </w:t>
      </w:r>
      <w:r>
        <w:rPr>
          <w:sz w:val="20"/>
        </w:rPr>
        <w:t>Assessment</w:t>
      </w:r>
      <w:r>
        <w:rPr>
          <w:spacing w:val="-2"/>
          <w:sz w:val="20"/>
        </w:rPr>
        <w:t xml:space="preserve"> </w:t>
      </w:r>
      <w:r>
        <w:rPr>
          <w:sz w:val="20"/>
        </w:rPr>
        <w:t>of</w:t>
      </w:r>
      <w:r>
        <w:rPr>
          <w:spacing w:val="-3"/>
          <w:sz w:val="20"/>
        </w:rPr>
        <w:t xml:space="preserve"> </w:t>
      </w:r>
      <w:r>
        <w:rPr>
          <w:sz w:val="20"/>
        </w:rPr>
        <w:t>COVID-19</w:t>
      </w:r>
      <w:r>
        <w:rPr>
          <w:spacing w:val="-2"/>
          <w:sz w:val="20"/>
        </w:rPr>
        <w:t xml:space="preserve"> </w:t>
      </w:r>
      <w:r>
        <w:rPr>
          <w:sz w:val="20"/>
        </w:rPr>
        <w:t>Impact</w:t>
      </w:r>
      <w:r>
        <w:rPr>
          <w:spacing w:val="-2"/>
          <w:sz w:val="20"/>
        </w:rPr>
        <w:t xml:space="preserve"> </w:t>
      </w:r>
      <w:r>
        <w:rPr>
          <w:sz w:val="20"/>
        </w:rPr>
        <w:t>on</w:t>
      </w:r>
      <w:r>
        <w:rPr>
          <w:spacing w:val="-2"/>
          <w:sz w:val="20"/>
        </w:rPr>
        <w:t xml:space="preserve"> </w:t>
      </w:r>
      <w:r>
        <w:rPr>
          <w:sz w:val="20"/>
        </w:rPr>
        <w:t>Latinx</w:t>
      </w:r>
      <w:r>
        <w:rPr>
          <w:spacing w:val="-4"/>
          <w:sz w:val="20"/>
        </w:rPr>
        <w:t xml:space="preserve"> </w:t>
      </w:r>
      <w:r>
        <w:rPr>
          <w:sz w:val="20"/>
        </w:rPr>
        <w:t>Sexual</w:t>
      </w:r>
      <w:r>
        <w:rPr>
          <w:spacing w:val="-2"/>
          <w:sz w:val="20"/>
        </w:rPr>
        <w:t xml:space="preserve"> </w:t>
      </w:r>
      <w:r>
        <w:rPr>
          <w:sz w:val="20"/>
        </w:rPr>
        <w:t>Minority</w:t>
      </w:r>
      <w:r>
        <w:rPr>
          <w:spacing w:val="-4"/>
          <w:sz w:val="20"/>
        </w:rPr>
        <w:t xml:space="preserve"> </w:t>
      </w:r>
      <w:r>
        <w:rPr>
          <w:sz w:val="20"/>
        </w:rPr>
        <w:t>Men</w:t>
      </w:r>
      <w:r>
        <w:rPr>
          <w:spacing w:val="-2"/>
          <w:sz w:val="20"/>
        </w:rPr>
        <w:t xml:space="preserve"> </w:t>
      </w:r>
      <w:r>
        <w:rPr>
          <w:sz w:val="20"/>
        </w:rPr>
        <w:t>and</w:t>
      </w:r>
      <w:r>
        <w:rPr>
          <w:spacing w:val="-2"/>
          <w:sz w:val="20"/>
        </w:rPr>
        <w:t xml:space="preserve"> </w:t>
      </w:r>
      <w:r>
        <w:rPr>
          <w:sz w:val="20"/>
        </w:rPr>
        <w:t xml:space="preserve">Latinx Transgender Women”; Ruprecht et al., “Evidence of Social and Structural COVID-19 Disparities by Sexual Orientation, </w:t>
      </w:r>
      <w:bookmarkStart w:id="635" w:name="_bookmark474"/>
      <w:bookmarkEnd w:id="635"/>
      <w:r>
        <w:rPr>
          <w:sz w:val="20"/>
        </w:rPr>
        <w:t>Gender Identi</w:t>
      </w:r>
      <w:r>
        <w:rPr>
          <w:sz w:val="20"/>
        </w:rPr>
        <w:t>ty, and Race/Ethnicity in an Urban Environment.”</w:t>
      </w:r>
    </w:p>
    <w:p w:rsidR="00C76E6D" w:rsidRDefault="00913831">
      <w:pPr>
        <w:ind w:left="339" w:right="3205" w:hanging="1"/>
        <w:rPr>
          <w:sz w:val="20"/>
        </w:rPr>
      </w:pPr>
      <w:r>
        <w:rPr>
          <w:sz w:val="20"/>
          <w:vertAlign w:val="superscript"/>
        </w:rPr>
        <w:t>56</w:t>
      </w:r>
      <w:r>
        <w:rPr>
          <w:spacing w:val="-6"/>
          <w:sz w:val="20"/>
        </w:rPr>
        <w:t xml:space="preserve"> </w:t>
      </w:r>
      <w:r>
        <w:rPr>
          <w:sz w:val="20"/>
        </w:rPr>
        <w:t>“2022</w:t>
      </w:r>
      <w:r>
        <w:rPr>
          <w:spacing w:val="-7"/>
          <w:sz w:val="20"/>
        </w:rPr>
        <w:t xml:space="preserve"> </w:t>
      </w:r>
      <w:r>
        <w:rPr>
          <w:sz w:val="20"/>
        </w:rPr>
        <w:t>National</w:t>
      </w:r>
      <w:r>
        <w:rPr>
          <w:spacing w:val="-7"/>
          <w:sz w:val="20"/>
        </w:rPr>
        <w:t xml:space="preserve"> </w:t>
      </w:r>
      <w:r>
        <w:rPr>
          <w:sz w:val="20"/>
        </w:rPr>
        <w:t>Survey</w:t>
      </w:r>
      <w:r>
        <w:rPr>
          <w:spacing w:val="-7"/>
          <w:sz w:val="20"/>
        </w:rPr>
        <w:t xml:space="preserve"> </w:t>
      </w:r>
      <w:r>
        <w:rPr>
          <w:sz w:val="20"/>
        </w:rPr>
        <w:t>on</w:t>
      </w:r>
      <w:r>
        <w:rPr>
          <w:spacing w:val="-6"/>
          <w:sz w:val="20"/>
        </w:rPr>
        <w:t xml:space="preserve"> </w:t>
      </w:r>
      <w:r>
        <w:rPr>
          <w:sz w:val="20"/>
        </w:rPr>
        <w:t>LGBTQ</w:t>
      </w:r>
      <w:r>
        <w:rPr>
          <w:spacing w:val="-7"/>
          <w:sz w:val="20"/>
        </w:rPr>
        <w:t xml:space="preserve"> </w:t>
      </w:r>
      <w:r>
        <w:rPr>
          <w:sz w:val="20"/>
        </w:rPr>
        <w:t>Youth</w:t>
      </w:r>
      <w:r>
        <w:rPr>
          <w:spacing w:val="-9"/>
          <w:sz w:val="20"/>
        </w:rPr>
        <w:t xml:space="preserve"> </w:t>
      </w:r>
      <w:r>
        <w:rPr>
          <w:sz w:val="20"/>
        </w:rPr>
        <w:t>Mental</w:t>
      </w:r>
      <w:r>
        <w:rPr>
          <w:spacing w:val="-7"/>
          <w:sz w:val="20"/>
        </w:rPr>
        <w:t xml:space="preserve"> </w:t>
      </w:r>
      <w:r>
        <w:rPr>
          <w:sz w:val="20"/>
        </w:rPr>
        <w:t>Health,”</w:t>
      </w:r>
      <w:r>
        <w:rPr>
          <w:spacing w:val="-9"/>
          <w:sz w:val="20"/>
        </w:rPr>
        <w:t xml:space="preserve"> </w:t>
      </w:r>
      <w:r>
        <w:rPr>
          <w:sz w:val="20"/>
        </w:rPr>
        <w:t>The</w:t>
      </w:r>
      <w:r>
        <w:rPr>
          <w:spacing w:val="-7"/>
          <w:sz w:val="20"/>
        </w:rPr>
        <w:t xml:space="preserve"> </w:t>
      </w:r>
      <w:r>
        <w:rPr>
          <w:sz w:val="20"/>
        </w:rPr>
        <w:t>Trevor</w:t>
      </w:r>
      <w:r>
        <w:rPr>
          <w:spacing w:val="-7"/>
          <w:sz w:val="20"/>
        </w:rPr>
        <w:t xml:space="preserve"> </w:t>
      </w:r>
      <w:r>
        <w:rPr>
          <w:sz w:val="20"/>
        </w:rPr>
        <w:t>Project,</w:t>
      </w:r>
      <w:r>
        <w:rPr>
          <w:spacing w:val="-9"/>
          <w:sz w:val="20"/>
        </w:rPr>
        <w:t xml:space="preserve"> </w:t>
      </w:r>
      <w:r>
        <w:rPr>
          <w:sz w:val="20"/>
        </w:rPr>
        <w:t xml:space="preserve">2022, </w:t>
      </w:r>
      <w:r>
        <w:rPr>
          <w:spacing w:val="-2"/>
          <w:sz w:val="20"/>
        </w:rPr>
        <w:t>https://</w:t>
      </w:r>
      <w:hyperlink r:id="rId335">
        <w:r>
          <w:rPr>
            <w:spacing w:val="-2"/>
            <w:sz w:val="20"/>
          </w:rPr>
          <w:t>www.thetrevorproject.org/survey-2022/.</w:t>
        </w:r>
      </w:hyperlink>
    </w:p>
    <w:p w:rsidR="00C76E6D" w:rsidRDefault="00913831">
      <w:pPr>
        <w:spacing w:before="3" w:line="241" w:lineRule="exact"/>
        <w:ind w:left="338"/>
        <w:rPr>
          <w:sz w:val="20"/>
        </w:rPr>
      </w:pPr>
      <w:bookmarkStart w:id="636" w:name="_bookmark475"/>
      <w:bookmarkEnd w:id="636"/>
      <w:r>
        <w:rPr>
          <w:sz w:val="20"/>
          <w:vertAlign w:val="superscript"/>
        </w:rPr>
        <w:t>57</w:t>
      </w:r>
      <w:r>
        <w:rPr>
          <w:spacing w:val="-6"/>
          <w:sz w:val="20"/>
        </w:rPr>
        <w:t xml:space="preserve"> </w:t>
      </w:r>
      <w:bookmarkStart w:id="637" w:name="_bookmark476"/>
      <w:bookmarkEnd w:id="637"/>
      <w:r>
        <w:rPr>
          <w:sz w:val="20"/>
        </w:rPr>
        <w:t>“2022</w:t>
      </w:r>
      <w:r>
        <w:rPr>
          <w:spacing w:val="-6"/>
          <w:sz w:val="20"/>
        </w:rPr>
        <w:t xml:space="preserve"> </w:t>
      </w:r>
      <w:r>
        <w:rPr>
          <w:sz w:val="20"/>
        </w:rPr>
        <w:t>Natio</w:t>
      </w:r>
      <w:r>
        <w:rPr>
          <w:sz w:val="20"/>
        </w:rPr>
        <w:t>nal</w:t>
      </w:r>
      <w:r>
        <w:rPr>
          <w:spacing w:val="-5"/>
          <w:sz w:val="20"/>
        </w:rPr>
        <w:t xml:space="preserve"> </w:t>
      </w:r>
      <w:r>
        <w:rPr>
          <w:sz w:val="20"/>
        </w:rPr>
        <w:t>Survey</w:t>
      </w:r>
      <w:r>
        <w:rPr>
          <w:spacing w:val="-7"/>
          <w:sz w:val="20"/>
        </w:rPr>
        <w:t xml:space="preserve"> </w:t>
      </w:r>
      <w:r>
        <w:rPr>
          <w:sz w:val="20"/>
        </w:rPr>
        <w:t>on</w:t>
      </w:r>
      <w:r>
        <w:rPr>
          <w:spacing w:val="-4"/>
          <w:sz w:val="20"/>
        </w:rPr>
        <w:t xml:space="preserve"> </w:t>
      </w:r>
      <w:r>
        <w:rPr>
          <w:sz w:val="20"/>
        </w:rPr>
        <w:t>LGBTQ</w:t>
      </w:r>
      <w:r>
        <w:rPr>
          <w:spacing w:val="-6"/>
          <w:sz w:val="20"/>
        </w:rPr>
        <w:t xml:space="preserve"> </w:t>
      </w:r>
      <w:r>
        <w:rPr>
          <w:sz w:val="20"/>
        </w:rPr>
        <w:t>Youth</w:t>
      </w:r>
      <w:r>
        <w:rPr>
          <w:spacing w:val="-7"/>
          <w:sz w:val="20"/>
        </w:rPr>
        <w:t xml:space="preserve"> </w:t>
      </w:r>
      <w:r>
        <w:rPr>
          <w:sz w:val="20"/>
        </w:rPr>
        <w:t>Mental</w:t>
      </w:r>
      <w:r>
        <w:rPr>
          <w:spacing w:val="-6"/>
          <w:sz w:val="20"/>
        </w:rPr>
        <w:t xml:space="preserve"> </w:t>
      </w:r>
      <w:r>
        <w:rPr>
          <w:spacing w:val="-2"/>
          <w:sz w:val="20"/>
        </w:rPr>
        <w:t>Health.”</w:t>
      </w:r>
    </w:p>
    <w:p w:rsidR="00C76E6D" w:rsidRDefault="00913831">
      <w:pPr>
        <w:ind w:left="338" w:right="530" w:hanging="1"/>
        <w:rPr>
          <w:sz w:val="20"/>
        </w:rPr>
      </w:pPr>
      <w:r>
        <w:rPr>
          <w:sz w:val="20"/>
          <w:vertAlign w:val="superscript"/>
        </w:rPr>
        <w:t>58</w:t>
      </w:r>
      <w:r>
        <w:rPr>
          <w:sz w:val="20"/>
        </w:rPr>
        <w:t xml:space="preserve"> Amelia P. Tankersley et al., “Risk and Resilience Factors for Mental Health among Transgender and Gender Nonconforming</w:t>
      </w:r>
      <w:r>
        <w:rPr>
          <w:spacing w:val="-5"/>
          <w:sz w:val="20"/>
        </w:rPr>
        <w:t xml:space="preserve"> </w:t>
      </w:r>
      <w:r>
        <w:rPr>
          <w:sz w:val="20"/>
        </w:rPr>
        <w:t>(TGNC)</w:t>
      </w:r>
      <w:r>
        <w:rPr>
          <w:spacing w:val="-6"/>
          <w:sz w:val="20"/>
        </w:rPr>
        <w:t xml:space="preserve"> </w:t>
      </w:r>
      <w:r>
        <w:rPr>
          <w:sz w:val="20"/>
        </w:rPr>
        <w:t>Youth:</w:t>
      </w:r>
      <w:r>
        <w:rPr>
          <w:spacing w:val="-6"/>
          <w:sz w:val="20"/>
        </w:rPr>
        <w:t xml:space="preserve"> </w:t>
      </w:r>
      <w:r>
        <w:rPr>
          <w:sz w:val="20"/>
        </w:rPr>
        <w:t>A</w:t>
      </w:r>
      <w:r>
        <w:rPr>
          <w:spacing w:val="-6"/>
          <w:sz w:val="20"/>
        </w:rPr>
        <w:t xml:space="preserve"> </w:t>
      </w:r>
      <w:r>
        <w:rPr>
          <w:sz w:val="20"/>
        </w:rPr>
        <w:t>Systematic</w:t>
      </w:r>
      <w:r>
        <w:rPr>
          <w:spacing w:val="-6"/>
          <w:sz w:val="20"/>
        </w:rPr>
        <w:t xml:space="preserve"> </w:t>
      </w:r>
      <w:r>
        <w:rPr>
          <w:sz w:val="20"/>
        </w:rPr>
        <w:t>Review,”</w:t>
      </w:r>
      <w:r>
        <w:rPr>
          <w:spacing w:val="-6"/>
          <w:sz w:val="20"/>
        </w:rPr>
        <w:t xml:space="preserve"> </w:t>
      </w:r>
      <w:r>
        <w:rPr>
          <w:i/>
          <w:sz w:val="20"/>
        </w:rPr>
        <w:t>Clinical</w:t>
      </w:r>
      <w:r>
        <w:rPr>
          <w:i/>
          <w:spacing w:val="-6"/>
          <w:sz w:val="20"/>
        </w:rPr>
        <w:t xml:space="preserve"> </w:t>
      </w:r>
      <w:r>
        <w:rPr>
          <w:i/>
          <w:sz w:val="20"/>
        </w:rPr>
        <w:t>Child</w:t>
      </w:r>
      <w:r>
        <w:rPr>
          <w:i/>
          <w:spacing w:val="-6"/>
          <w:sz w:val="20"/>
        </w:rPr>
        <w:t xml:space="preserve"> </w:t>
      </w:r>
      <w:r>
        <w:rPr>
          <w:i/>
          <w:sz w:val="20"/>
        </w:rPr>
        <w:t>and</w:t>
      </w:r>
      <w:r>
        <w:rPr>
          <w:i/>
          <w:spacing w:val="-6"/>
          <w:sz w:val="20"/>
        </w:rPr>
        <w:t xml:space="preserve"> </w:t>
      </w:r>
      <w:r>
        <w:rPr>
          <w:i/>
          <w:sz w:val="20"/>
        </w:rPr>
        <w:t>Family</w:t>
      </w:r>
      <w:r>
        <w:rPr>
          <w:i/>
          <w:spacing w:val="-6"/>
          <w:sz w:val="20"/>
        </w:rPr>
        <w:t xml:space="preserve"> </w:t>
      </w:r>
      <w:r>
        <w:rPr>
          <w:i/>
          <w:sz w:val="20"/>
        </w:rPr>
        <w:t>Psychology</w:t>
      </w:r>
      <w:r>
        <w:rPr>
          <w:i/>
          <w:spacing w:val="-6"/>
          <w:sz w:val="20"/>
        </w:rPr>
        <w:t xml:space="preserve"> </w:t>
      </w:r>
      <w:r>
        <w:rPr>
          <w:i/>
          <w:sz w:val="20"/>
        </w:rPr>
        <w:t>Review</w:t>
      </w:r>
      <w:r>
        <w:rPr>
          <w:i/>
          <w:spacing w:val="-6"/>
          <w:sz w:val="20"/>
        </w:rPr>
        <w:t xml:space="preserve"> </w:t>
      </w:r>
      <w:r>
        <w:rPr>
          <w:sz w:val="20"/>
        </w:rPr>
        <w:t>24,</w:t>
      </w:r>
      <w:r>
        <w:rPr>
          <w:spacing w:val="-6"/>
          <w:sz w:val="20"/>
        </w:rPr>
        <w:t xml:space="preserve"> </w:t>
      </w:r>
      <w:r>
        <w:rPr>
          <w:sz w:val="20"/>
        </w:rPr>
        <w:t>no.</w:t>
      </w:r>
      <w:r>
        <w:rPr>
          <w:spacing w:val="-6"/>
          <w:sz w:val="20"/>
        </w:rPr>
        <w:t xml:space="preserve"> </w:t>
      </w:r>
      <w:r>
        <w:rPr>
          <w:sz w:val="20"/>
        </w:rPr>
        <w:t>2</w:t>
      </w:r>
      <w:r>
        <w:rPr>
          <w:spacing w:val="-6"/>
          <w:sz w:val="20"/>
        </w:rPr>
        <w:t xml:space="preserve"> </w:t>
      </w:r>
      <w:r>
        <w:rPr>
          <w:sz w:val="20"/>
        </w:rPr>
        <w:t>(June 2021): 183–206, https://doi.org/10.1007/s10567-021-00344-6.</w:t>
      </w:r>
    </w:p>
    <w:p w:rsidR="00C76E6D" w:rsidRDefault="00913831">
      <w:pPr>
        <w:spacing w:before="4" w:line="244" w:lineRule="exact"/>
        <w:ind w:left="338"/>
        <w:rPr>
          <w:sz w:val="20"/>
        </w:rPr>
      </w:pPr>
      <w:bookmarkStart w:id="638" w:name="_bookmark477"/>
      <w:bookmarkEnd w:id="638"/>
      <w:r>
        <w:rPr>
          <w:sz w:val="20"/>
          <w:vertAlign w:val="superscript"/>
        </w:rPr>
        <w:t>59</w:t>
      </w:r>
      <w:r>
        <w:rPr>
          <w:spacing w:val="-6"/>
          <w:sz w:val="20"/>
        </w:rPr>
        <w:t xml:space="preserve"> </w:t>
      </w:r>
      <w:r>
        <w:rPr>
          <w:sz w:val="20"/>
        </w:rPr>
        <w:t>Brennan</w:t>
      </w:r>
      <w:r>
        <w:rPr>
          <w:spacing w:val="-7"/>
          <w:sz w:val="20"/>
        </w:rPr>
        <w:t xml:space="preserve"> </w:t>
      </w:r>
      <w:r>
        <w:rPr>
          <w:sz w:val="20"/>
        </w:rPr>
        <w:t>et</w:t>
      </w:r>
      <w:r>
        <w:rPr>
          <w:spacing w:val="-4"/>
          <w:sz w:val="20"/>
        </w:rPr>
        <w:t xml:space="preserve"> </w:t>
      </w:r>
      <w:r>
        <w:rPr>
          <w:sz w:val="20"/>
        </w:rPr>
        <w:t>al.,</w:t>
      </w:r>
      <w:r>
        <w:rPr>
          <w:spacing w:val="-6"/>
          <w:sz w:val="20"/>
        </w:rPr>
        <w:t xml:space="preserve"> </w:t>
      </w:r>
      <w:r>
        <w:rPr>
          <w:spacing w:val="-2"/>
          <w:sz w:val="20"/>
        </w:rPr>
        <w:t>“Inconcealable.”</w:t>
      </w:r>
    </w:p>
    <w:p w:rsidR="00C76E6D" w:rsidRDefault="00913831">
      <w:pPr>
        <w:spacing w:line="241" w:lineRule="exact"/>
        <w:ind w:left="338"/>
        <w:rPr>
          <w:sz w:val="20"/>
        </w:rPr>
      </w:pPr>
      <w:bookmarkStart w:id="639" w:name="_bookmark478"/>
      <w:bookmarkEnd w:id="639"/>
      <w:r>
        <w:rPr>
          <w:sz w:val="20"/>
          <w:vertAlign w:val="superscript"/>
        </w:rPr>
        <w:t>60</w:t>
      </w:r>
      <w:r>
        <w:rPr>
          <w:spacing w:val="-6"/>
          <w:sz w:val="20"/>
        </w:rPr>
        <w:t xml:space="preserve"> </w:t>
      </w:r>
      <w:bookmarkStart w:id="640" w:name="_bookmark479"/>
      <w:bookmarkEnd w:id="640"/>
      <w:r>
        <w:rPr>
          <w:sz w:val="20"/>
        </w:rPr>
        <w:t>“2022</w:t>
      </w:r>
      <w:r>
        <w:rPr>
          <w:spacing w:val="-6"/>
          <w:sz w:val="20"/>
        </w:rPr>
        <w:t xml:space="preserve"> </w:t>
      </w:r>
      <w:r>
        <w:rPr>
          <w:sz w:val="20"/>
        </w:rPr>
        <w:t>National</w:t>
      </w:r>
      <w:r>
        <w:rPr>
          <w:spacing w:val="-5"/>
          <w:sz w:val="20"/>
        </w:rPr>
        <w:t xml:space="preserve"> </w:t>
      </w:r>
      <w:r>
        <w:rPr>
          <w:sz w:val="20"/>
        </w:rPr>
        <w:t>Survey</w:t>
      </w:r>
      <w:r>
        <w:rPr>
          <w:spacing w:val="-7"/>
          <w:sz w:val="20"/>
        </w:rPr>
        <w:t xml:space="preserve"> </w:t>
      </w:r>
      <w:r>
        <w:rPr>
          <w:sz w:val="20"/>
        </w:rPr>
        <w:t>on</w:t>
      </w:r>
      <w:r>
        <w:rPr>
          <w:spacing w:val="-4"/>
          <w:sz w:val="20"/>
        </w:rPr>
        <w:t xml:space="preserve"> </w:t>
      </w:r>
      <w:r>
        <w:rPr>
          <w:sz w:val="20"/>
        </w:rPr>
        <w:t>LGBTQ</w:t>
      </w:r>
      <w:r>
        <w:rPr>
          <w:spacing w:val="-6"/>
          <w:sz w:val="20"/>
        </w:rPr>
        <w:t xml:space="preserve"> </w:t>
      </w:r>
      <w:r>
        <w:rPr>
          <w:sz w:val="20"/>
        </w:rPr>
        <w:t>Youth</w:t>
      </w:r>
      <w:r>
        <w:rPr>
          <w:spacing w:val="-7"/>
          <w:sz w:val="20"/>
        </w:rPr>
        <w:t xml:space="preserve"> </w:t>
      </w:r>
      <w:r>
        <w:rPr>
          <w:sz w:val="20"/>
        </w:rPr>
        <w:t>Mental</w:t>
      </w:r>
      <w:r>
        <w:rPr>
          <w:spacing w:val="-6"/>
          <w:sz w:val="20"/>
        </w:rPr>
        <w:t xml:space="preserve"> </w:t>
      </w:r>
      <w:r>
        <w:rPr>
          <w:spacing w:val="-2"/>
          <w:sz w:val="20"/>
        </w:rPr>
        <w:t>Health.”</w:t>
      </w:r>
    </w:p>
    <w:p w:rsidR="00C76E6D" w:rsidRDefault="00913831">
      <w:pPr>
        <w:ind w:left="339" w:right="396" w:hanging="2"/>
        <w:rPr>
          <w:sz w:val="20"/>
        </w:rPr>
      </w:pPr>
      <w:r>
        <w:rPr>
          <w:sz w:val="20"/>
          <w:vertAlign w:val="superscript"/>
        </w:rPr>
        <w:t>61</w:t>
      </w:r>
      <w:r>
        <w:rPr>
          <w:spacing w:val="-4"/>
          <w:sz w:val="20"/>
        </w:rPr>
        <w:t xml:space="preserve"> </w:t>
      </w:r>
      <w:r>
        <w:rPr>
          <w:sz w:val="20"/>
        </w:rPr>
        <w:t>Lacie</w:t>
      </w:r>
      <w:r>
        <w:rPr>
          <w:spacing w:val="-4"/>
          <w:sz w:val="20"/>
        </w:rPr>
        <w:t xml:space="preserve"> </w:t>
      </w:r>
      <w:r>
        <w:rPr>
          <w:sz w:val="20"/>
        </w:rPr>
        <w:t>L.</w:t>
      </w:r>
      <w:r>
        <w:rPr>
          <w:spacing w:val="-5"/>
          <w:sz w:val="20"/>
        </w:rPr>
        <w:t xml:space="preserve"> </w:t>
      </w:r>
      <w:r>
        <w:rPr>
          <w:sz w:val="20"/>
        </w:rPr>
        <w:t>Parker</w:t>
      </w:r>
      <w:r>
        <w:rPr>
          <w:spacing w:val="-5"/>
          <w:sz w:val="20"/>
        </w:rPr>
        <w:t xml:space="preserve"> </w:t>
      </w:r>
      <w:r>
        <w:rPr>
          <w:sz w:val="20"/>
        </w:rPr>
        <w:t>and</w:t>
      </w:r>
      <w:r>
        <w:rPr>
          <w:spacing w:val="-5"/>
          <w:sz w:val="20"/>
        </w:rPr>
        <w:t xml:space="preserve"> </w:t>
      </w:r>
      <w:r>
        <w:rPr>
          <w:sz w:val="20"/>
        </w:rPr>
        <w:t>Jennifer</w:t>
      </w:r>
      <w:r>
        <w:rPr>
          <w:spacing w:val="-6"/>
          <w:sz w:val="20"/>
        </w:rPr>
        <w:t xml:space="preserve"> </w:t>
      </w:r>
      <w:r>
        <w:rPr>
          <w:sz w:val="20"/>
        </w:rPr>
        <w:t>A.</w:t>
      </w:r>
      <w:r>
        <w:rPr>
          <w:spacing w:val="-5"/>
          <w:sz w:val="20"/>
        </w:rPr>
        <w:t xml:space="preserve"> </w:t>
      </w:r>
      <w:r>
        <w:rPr>
          <w:sz w:val="20"/>
        </w:rPr>
        <w:t>Harriger,</w:t>
      </w:r>
      <w:r>
        <w:rPr>
          <w:spacing w:val="-5"/>
          <w:sz w:val="20"/>
        </w:rPr>
        <w:t xml:space="preserve"> </w:t>
      </w:r>
      <w:r>
        <w:rPr>
          <w:sz w:val="20"/>
        </w:rPr>
        <w:t>“Eating</w:t>
      </w:r>
      <w:r>
        <w:rPr>
          <w:spacing w:val="-5"/>
          <w:sz w:val="20"/>
        </w:rPr>
        <w:t xml:space="preserve"> </w:t>
      </w:r>
      <w:r>
        <w:rPr>
          <w:sz w:val="20"/>
        </w:rPr>
        <w:t>Disorders</w:t>
      </w:r>
      <w:r>
        <w:rPr>
          <w:spacing w:val="-6"/>
          <w:sz w:val="20"/>
        </w:rPr>
        <w:t xml:space="preserve"> </w:t>
      </w:r>
      <w:r>
        <w:rPr>
          <w:sz w:val="20"/>
        </w:rPr>
        <w:t>and</w:t>
      </w:r>
      <w:r>
        <w:rPr>
          <w:spacing w:val="-5"/>
          <w:sz w:val="20"/>
        </w:rPr>
        <w:t xml:space="preserve"> </w:t>
      </w:r>
      <w:r>
        <w:rPr>
          <w:sz w:val="20"/>
        </w:rPr>
        <w:t>Disordered</w:t>
      </w:r>
      <w:r>
        <w:rPr>
          <w:spacing w:val="-5"/>
          <w:sz w:val="20"/>
        </w:rPr>
        <w:t xml:space="preserve"> </w:t>
      </w:r>
      <w:r>
        <w:rPr>
          <w:sz w:val="20"/>
        </w:rPr>
        <w:t>Eating</w:t>
      </w:r>
      <w:r>
        <w:rPr>
          <w:spacing w:val="-4"/>
          <w:sz w:val="20"/>
        </w:rPr>
        <w:t xml:space="preserve"> </w:t>
      </w:r>
      <w:r>
        <w:rPr>
          <w:sz w:val="20"/>
        </w:rPr>
        <w:t>Behaviors</w:t>
      </w:r>
      <w:r>
        <w:rPr>
          <w:spacing w:val="-5"/>
          <w:sz w:val="20"/>
        </w:rPr>
        <w:t xml:space="preserve"> </w:t>
      </w:r>
      <w:r>
        <w:rPr>
          <w:sz w:val="20"/>
        </w:rPr>
        <w:t>in</w:t>
      </w:r>
      <w:r>
        <w:rPr>
          <w:spacing w:val="-4"/>
          <w:sz w:val="20"/>
        </w:rPr>
        <w:t xml:space="preserve"> </w:t>
      </w:r>
      <w:r>
        <w:rPr>
          <w:sz w:val="20"/>
        </w:rPr>
        <w:t>the</w:t>
      </w:r>
      <w:r>
        <w:rPr>
          <w:spacing w:val="-6"/>
          <w:sz w:val="20"/>
        </w:rPr>
        <w:t xml:space="preserve"> </w:t>
      </w:r>
      <w:r>
        <w:rPr>
          <w:sz w:val="20"/>
        </w:rPr>
        <w:t>LGBT</w:t>
      </w:r>
      <w:r>
        <w:rPr>
          <w:spacing w:val="-6"/>
          <w:sz w:val="20"/>
        </w:rPr>
        <w:t xml:space="preserve"> </w:t>
      </w:r>
      <w:r>
        <w:rPr>
          <w:sz w:val="20"/>
        </w:rPr>
        <w:t>Population:</w:t>
      </w:r>
      <w:r>
        <w:rPr>
          <w:spacing w:val="-7"/>
          <w:sz w:val="20"/>
        </w:rPr>
        <w:t xml:space="preserve"> </w:t>
      </w:r>
      <w:r>
        <w:rPr>
          <w:sz w:val="20"/>
        </w:rPr>
        <w:t xml:space="preserve">A Review of the Literature,” </w:t>
      </w:r>
      <w:r>
        <w:rPr>
          <w:i/>
          <w:sz w:val="20"/>
        </w:rPr>
        <w:t xml:space="preserve">Journal of Eating Disorders </w:t>
      </w:r>
      <w:r>
        <w:rPr>
          <w:sz w:val="20"/>
        </w:rPr>
        <w:t xml:space="preserve">8, no. 1 (December 2020): 51, https://doi.org/10.1186/s40337- </w:t>
      </w:r>
      <w:r>
        <w:rPr>
          <w:spacing w:val="-2"/>
          <w:sz w:val="20"/>
        </w:rPr>
        <w:t>020-00327-y.</w:t>
      </w:r>
    </w:p>
    <w:p w:rsidR="00C76E6D" w:rsidRDefault="00913831">
      <w:pPr>
        <w:ind w:left="338" w:right="8153"/>
        <w:jc w:val="both"/>
        <w:rPr>
          <w:sz w:val="20"/>
        </w:rPr>
      </w:pPr>
      <w:bookmarkStart w:id="641" w:name="_bookmark480"/>
      <w:bookmarkEnd w:id="641"/>
      <w:r>
        <w:rPr>
          <w:sz w:val="20"/>
          <w:vertAlign w:val="superscript"/>
        </w:rPr>
        <w:t>62</w:t>
      </w:r>
      <w:r>
        <w:rPr>
          <w:spacing w:val="-11"/>
          <w:sz w:val="20"/>
        </w:rPr>
        <w:t xml:space="preserve"> </w:t>
      </w:r>
      <w:r>
        <w:rPr>
          <w:sz w:val="20"/>
        </w:rPr>
        <w:t>Parker</w:t>
      </w:r>
      <w:r>
        <w:rPr>
          <w:spacing w:val="-11"/>
          <w:sz w:val="20"/>
        </w:rPr>
        <w:t xml:space="preserve"> </w:t>
      </w:r>
      <w:r>
        <w:rPr>
          <w:sz w:val="20"/>
        </w:rPr>
        <w:t>and</w:t>
      </w:r>
      <w:r>
        <w:rPr>
          <w:spacing w:val="-12"/>
          <w:sz w:val="20"/>
        </w:rPr>
        <w:t xml:space="preserve"> </w:t>
      </w:r>
      <w:r>
        <w:rPr>
          <w:sz w:val="20"/>
        </w:rPr>
        <w:t xml:space="preserve">Harriger. </w:t>
      </w:r>
      <w:bookmarkStart w:id="642" w:name="_bookmark481"/>
      <w:bookmarkEnd w:id="642"/>
      <w:r>
        <w:rPr>
          <w:sz w:val="20"/>
          <w:vertAlign w:val="superscript"/>
        </w:rPr>
        <w:t>63</w:t>
      </w:r>
      <w:r>
        <w:rPr>
          <w:spacing w:val="-11"/>
          <w:sz w:val="20"/>
        </w:rPr>
        <w:t xml:space="preserve"> </w:t>
      </w:r>
      <w:r>
        <w:rPr>
          <w:sz w:val="20"/>
        </w:rPr>
        <w:t>Parker</w:t>
      </w:r>
      <w:r>
        <w:rPr>
          <w:spacing w:val="-11"/>
          <w:sz w:val="20"/>
        </w:rPr>
        <w:t xml:space="preserve"> </w:t>
      </w:r>
      <w:r>
        <w:rPr>
          <w:sz w:val="20"/>
        </w:rPr>
        <w:t>and</w:t>
      </w:r>
      <w:r>
        <w:rPr>
          <w:spacing w:val="-12"/>
          <w:sz w:val="20"/>
        </w:rPr>
        <w:t xml:space="preserve"> </w:t>
      </w:r>
      <w:r>
        <w:rPr>
          <w:sz w:val="20"/>
        </w:rPr>
        <w:t xml:space="preserve">Harriger. </w:t>
      </w:r>
      <w:bookmarkStart w:id="643" w:name="_bookmark482"/>
      <w:bookmarkEnd w:id="643"/>
      <w:r>
        <w:rPr>
          <w:sz w:val="20"/>
          <w:vertAlign w:val="superscript"/>
        </w:rPr>
        <w:t>64</w:t>
      </w:r>
      <w:r>
        <w:rPr>
          <w:spacing w:val="-11"/>
          <w:sz w:val="20"/>
        </w:rPr>
        <w:t xml:space="preserve"> </w:t>
      </w:r>
      <w:bookmarkStart w:id="644" w:name="_bookmark483"/>
      <w:bookmarkEnd w:id="644"/>
      <w:r>
        <w:rPr>
          <w:sz w:val="20"/>
        </w:rPr>
        <w:t>Parker</w:t>
      </w:r>
      <w:r>
        <w:rPr>
          <w:spacing w:val="-11"/>
          <w:sz w:val="20"/>
        </w:rPr>
        <w:t xml:space="preserve"> </w:t>
      </w:r>
      <w:r>
        <w:rPr>
          <w:sz w:val="20"/>
        </w:rPr>
        <w:t>and</w:t>
      </w:r>
      <w:r>
        <w:rPr>
          <w:spacing w:val="-12"/>
          <w:sz w:val="20"/>
        </w:rPr>
        <w:t xml:space="preserve"> </w:t>
      </w:r>
      <w:r>
        <w:rPr>
          <w:sz w:val="20"/>
        </w:rPr>
        <w:t xml:space="preserve">Harriger. </w:t>
      </w:r>
      <w:r>
        <w:rPr>
          <w:sz w:val="20"/>
          <w:vertAlign w:val="superscript"/>
        </w:rPr>
        <w:t>65</w:t>
      </w:r>
      <w:r>
        <w:rPr>
          <w:spacing w:val="-11"/>
          <w:sz w:val="20"/>
        </w:rPr>
        <w:t xml:space="preserve"> </w:t>
      </w:r>
      <w:bookmarkStart w:id="645" w:name="_bookmark484"/>
      <w:bookmarkEnd w:id="645"/>
      <w:r>
        <w:rPr>
          <w:sz w:val="20"/>
        </w:rPr>
        <w:t>Parker</w:t>
      </w:r>
      <w:r>
        <w:rPr>
          <w:spacing w:val="-11"/>
          <w:sz w:val="20"/>
        </w:rPr>
        <w:t xml:space="preserve"> </w:t>
      </w:r>
      <w:r>
        <w:rPr>
          <w:sz w:val="20"/>
        </w:rPr>
        <w:t>and</w:t>
      </w:r>
      <w:r>
        <w:rPr>
          <w:spacing w:val="-12"/>
          <w:sz w:val="20"/>
        </w:rPr>
        <w:t xml:space="preserve"> </w:t>
      </w:r>
      <w:r>
        <w:rPr>
          <w:sz w:val="20"/>
        </w:rPr>
        <w:t xml:space="preserve">Harriger. </w:t>
      </w:r>
      <w:r>
        <w:rPr>
          <w:sz w:val="20"/>
          <w:vertAlign w:val="superscript"/>
        </w:rPr>
        <w:t>66</w:t>
      </w:r>
      <w:r>
        <w:rPr>
          <w:spacing w:val="-4"/>
          <w:sz w:val="20"/>
        </w:rPr>
        <w:t xml:space="preserve"> </w:t>
      </w:r>
      <w:r>
        <w:rPr>
          <w:sz w:val="20"/>
        </w:rPr>
        <w:t>Park</w:t>
      </w:r>
      <w:r>
        <w:rPr>
          <w:sz w:val="20"/>
        </w:rPr>
        <w:t>er</w:t>
      </w:r>
      <w:r>
        <w:rPr>
          <w:spacing w:val="-4"/>
          <w:sz w:val="20"/>
        </w:rPr>
        <w:t xml:space="preserve"> </w:t>
      </w:r>
      <w:r>
        <w:rPr>
          <w:sz w:val="20"/>
        </w:rPr>
        <w:t>and</w:t>
      </w:r>
      <w:r>
        <w:rPr>
          <w:spacing w:val="-4"/>
          <w:sz w:val="20"/>
        </w:rPr>
        <w:t xml:space="preserve"> </w:t>
      </w:r>
      <w:r>
        <w:rPr>
          <w:spacing w:val="-2"/>
          <w:sz w:val="20"/>
        </w:rPr>
        <w:t>Harriger.</w:t>
      </w:r>
    </w:p>
    <w:p w:rsidR="00C76E6D" w:rsidRDefault="00913831">
      <w:pPr>
        <w:spacing w:before="4"/>
        <w:ind w:left="338"/>
        <w:jc w:val="both"/>
        <w:rPr>
          <w:sz w:val="20"/>
        </w:rPr>
      </w:pPr>
      <w:bookmarkStart w:id="646" w:name="_bookmark485"/>
      <w:bookmarkEnd w:id="646"/>
      <w:r>
        <w:rPr>
          <w:sz w:val="20"/>
          <w:vertAlign w:val="superscript"/>
        </w:rPr>
        <w:t>67</w:t>
      </w:r>
      <w:r>
        <w:rPr>
          <w:spacing w:val="-7"/>
          <w:sz w:val="20"/>
        </w:rPr>
        <w:t xml:space="preserve"> </w:t>
      </w:r>
      <w:r>
        <w:rPr>
          <w:sz w:val="20"/>
        </w:rPr>
        <w:t>Allison</w:t>
      </w:r>
      <w:r>
        <w:rPr>
          <w:spacing w:val="-6"/>
          <w:sz w:val="20"/>
        </w:rPr>
        <w:t xml:space="preserve"> </w:t>
      </w:r>
      <w:r>
        <w:rPr>
          <w:sz w:val="20"/>
        </w:rPr>
        <w:t>Comiskey,</w:t>
      </w:r>
      <w:r>
        <w:rPr>
          <w:spacing w:val="-7"/>
          <w:sz w:val="20"/>
        </w:rPr>
        <w:t xml:space="preserve"> </w:t>
      </w:r>
      <w:r>
        <w:rPr>
          <w:sz w:val="20"/>
        </w:rPr>
        <w:t>Mike</w:t>
      </w:r>
      <w:r>
        <w:rPr>
          <w:spacing w:val="-7"/>
          <w:sz w:val="20"/>
        </w:rPr>
        <w:t xml:space="preserve"> </w:t>
      </w:r>
      <w:r>
        <w:rPr>
          <w:sz w:val="20"/>
        </w:rPr>
        <w:t>C.</w:t>
      </w:r>
      <w:r>
        <w:rPr>
          <w:spacing w:val="-8"/>
          <w:sz w:val="20"/>
        </w:rPr>
        <w:t xml:space="preserve"> </w:t>
      </w:r>
      <w:r>
        <w:rPr>
          <w:sz w:val="20"/>
        </w:rPr>
        <w:t>Parent,</w:t>
      </w:r>
      <w:r>
        <w:rPr>
          <w:spacing w:val="-7"/>
          <w:sz w:val="20"/>
        </w:rPr>
        <w:t xml:space="preserve"> </w:t>
      </w:r>
      <w:r>
        <w:rPr>
          <w:sz w:val="20"/>
        </w:rPr>
        <w:t>and</w:t>
      </w:r>
      <w:r>
        <w:rPr>
          <w:spacing w:val="-8"/>
          <w:sz w:val="20"/>
        </w:rPr>
        <w:t xml:space="preserve"> </w:t>
      </w:r>
      <w:r>
        <w:rPr>
          <w:sz w:val="20"/>
        </w:rPr>
        <w:t>Elliot</w:t>
      </w:r>
      <w:r>
        <w:rPr>
          <w:spacing w:val="-6"/>
          <w:sz w:val="20"/>
        </w:rPr>
        <w:t xml:space="preserve"> </w:t>
      </w:r>
      <w:r>
        <w:rPr>
          <w:sz w:val="20"/>
        </w:rPr>
        <w:t>A.</w:t>
      </w:r>
      <w:r>
        <w:rPr>
          <w:spacing w:val="-7"/>
          <w:sz w:val="20"/>
        </w:rPr>
        <w:t xml:space="preserve"> </w:t>
      </w:r>
      <w:r>
        <w:rPr>
          <w:sz w:val="20"/>
        </w:rPr>
        <w:t>Tebbe,</w:t>
      </w:r>
      <w:r>
        <w:rPr>
          <w:spacing w:val="-8"/>
          <w:sz w:val="20"/>
        </w:rPr>
        <w:t xml:space="preserve"> </w:t>
      </w:r>
      <w:r>
        <w:rPr>
          <w:sz w:val="20"/>
        </w:rPr>
        <w:t>“An</w:t>
      </w:r>
      <w:r>
        <w:rPr>
          <w:spacing w:val="-7"/>
          <w:sz w:val="20"/>
        </w:rPr>
        <w:t xml:space="preserve"> </w:t>
      </w:r>
      <w:r>
        <w:rPr>
          <w:sz w:val="20"/>
        </w:rPr>
        <w:t>Inhospitable</w:t>
      </w:r>
      <w:r>
        <w:rPr>
          <w:spacing w:val="-8"/>
          <w:sz w:val="20"/>
        </w:rPr>
        <w:t xml:space="preserve"> </w:t>
      </w:r>
      <w:r>
        <w:rPr>
          <w:sz w:val="20"/>
        </w:rPr>
        <w:t>World:</w:t>
      </w:r>
      <w:r>
        <w:rPr>
          <w:spacing w:val="-9"/>
          <w:sz w:val="20"/>
        </w:rPr>
        <w:t xml:space="preserve"> </w:t>
      </w:r>
      <w:r>
        <w:rPr>
          <w:sz w:val="20"/>
        </w:rPr>
        <w:t>Exploring</w:t>
      </w:r>
      <w:r>
        <w:rPr>
          <w:spacing w:val="-9"/>
          <w:sz w:val="20"/>
        </w:rPr>
        <w:t xml:space="preserve"> </w:t>
      </w:r>
      <w:r>
        <w:rPr>
          <w:sz w:val="20"/>
        </w:rPr>
        <w:t>a</w:t>
      </w:r>
      <w:r>
        <w:rPr>
          <w:spacing w:val="-7"/>
          <w:sz w:val="20"/>
        </w:rPr>
        <w:t xml:space="preserve"> </w:t>
      </w:r>
      <w:r>
        <w:rPr>
          <w:sz w:val="20"/>
        </w:rPr>
        <w:t>Model</w:t>
      </w:r>
      <w:r>
        <w:rPr>
          <w:spacing w:val="-7"/>
          <w:sz w:val="20"/>
        </w:rPr>
        <w:t xml:space="preserve"> </w:t>
      </w:r>
      <w:r>
        <w:rPr>
          <w:sz w:val="20"/>
        </w:rPr>
        <w:t>of</w:t>
      </w:r>
      <w:r>
        <w:rPr>
          <w:spacing w:val="-9"/>
          <w:sz w:val="20"/>
        </w:rPr>
        <w:t xml:space="preserve"> </w:t>
      </w:r>
      <w:r>
        <w:rPr>
          <w:spacing w:val="-2"/>
          <w:sz w:val="20"/>
        </w:rPr>
        <w:t>Objectification</w:t>
      </w:r>
    </w:p>
    <w:p w:rsidR="00C76E6D" w:rsidRDefault="00C76E6D">
      <w:pPr>
        <w:jc w:val="both"/>
        <w:rPr>
          <w:sz w:val="20"/>
        </w:rPr>
        <w:sectPr w:rsidR="00C76E6D">
          <w:headerReference w:type="default" r:id="rId336"/>
          <w:footerReference w:type="default" r:id="rId337"/>
          <w:pgSz w:w="12240" w:h="15840"/>
          <w:pgMar w:top="1000" w:right="960" w:bottom="720" w:left="960" w:header="802" w:footer="540" w:gutter="0"/>
          <w:cols w:space="720"/>
        </w:sectPr>
      </w:pPr>
    </w:p>
    <w:p w:rsidR="00C76E6D" w:rsidRDefault="00C76E6D">
      <w:pPr>
        <w:pStyle w:val="BodyText"/>
        <w:rPr>
          <w:sz w:val="20"/>
        </w:rPr>
      </w:pPr>
    </w:p>
    <w:p w:rsidR="00C76E6D" w:rsidRDefault="00C76E6D">
      <w:pPr>
        <w:pStyle w:val="BodyText"/>
        <w:rPr>
          <w:sz w:val="23"/>
        </w:rPr>
      </w:pPr>
    </w:p>
    <w:p w:rsidR="00C76E6D" w:rsidRDefault="00913831">
      <w:pPr>
        <w:spacing w:before="60"/>
        <w:ind w:left="338"/>
        <w:rPr>
          <w:sz w:val="20"/>
        </w:rPr>
      </w:pPr>
      <w:r>
        <w:rPr>
          <w:spacing w:val="-2"/>
          <w:sz w:val="20"/>
        </w:rPr>
        <w:t>https://doi.org/10.1177/0361684319889595.</w:t>
      </w:r>
    </w:p>
    <w:p w:rsidR="00C76E6D" w:rsidRDefault="00913831">
      <w:pPr>
        <w:spacing w:before="7" w:line="244" w:lineRule="exact"/>
        <w:ind w:left="338"/>
        <w:rPr>
          <w:sz w:val="20"/>
        </w:rPr>
      </w:pPr>
      <w:bookmarkStart w:id="647" w:name="_bookmark486"/>
      <w:bookmarkEnd w:id="647"/>
      <w:r>
        <w:rPr>
          <w:sz w:val="20"/>
          <w:vertAlign w:val="superscript"/>
        </w:rPr>
        <w:t>68</w:t>
      </w:r>
      <w:r>
        <w:rPr>
          <w:spacing w:val="-7"/>
          <w:sz w:val="20"/>
        </w:rPr>
        <w:t xml:space="preserve"> </w:t>
      </w:r>
      <w:r>
        <w:rPr>
          <w:sz w:val="20"/>
        </w:rPr>
        <w:t>Parker</w:t>
      </w:r>
      <w:r>
        <w:rPr>
          <w:spacing w:val="-7"/>
          <w:sz w:val="20"/>
        </w:rPr>
        <w:t xml:space="preserve"> </w:t>
      </w:r>
      <w:r>
        <w:rPr>
          <w:sz w:val="20"/>
        </w:rPr>
        <w:t>and</w:t>
      </w:r>
      <w:r>
        <w:rPr>
          <w:spacing w:val="-8"/>
          <w:sz w:val="20"/>
        </w:rPr>
        <w:t xml:space="preserve"> </w:t>
      </w:r>
      <w:r>
        <w:rPr>
          <w:sz w:val="20"/>
        </w:rPr>
        <w:t>Harriger,</w:t>
      </w:r>
      <w:r>
        <w:rPr>
          <w:spacing w:val="-6"/>
          <w:sz w:val="20"/>
        </w:rPr>
        <w:t xml:space="preserve"> </w:t>
      </w:r>
      <w:r>
        <w:rPr>
          <w:sz w:val="20"/>
        </w:rPr>
        <w:t>“Eating</w:t>
      </w:r>
      <w:r>
        <w:rPr>
          <w:spacing w:val="-9"/>
          <w:sz w:val="20"/>
        </w:rPr>
        <w:t xml:space="preserve"> </w:t>
      </w:r>
      <w:r>
        <w:rPr>
          <w:sz w:val="20"/>
        </w:rPr>
        <w:t>Disorders</w:t>
      </w:r>
      <w:r>
        <w:rPr>
          <w:spacing w:val="-7"/>
          <w:sz w:val="20"/>
        </w:rPr>
        <w:t xml:space="preserve"> </w:t>
      </w:r>
      <w:r>
        <w:rPr>
          <w:sz w:val="20"/>
        </w:rPr>
        <w:t>and</w:t>
      </w:r>
      <w:r>
        <w:rPr>
          <w:spacing w:val="-8"/>
          <w:sz w:val="20"/>
        </w:rPr>
        <w:t xml:space="preserve"> </w:t>
      </w:r>
      <w:r>
        <w:rPr>
          <w:sz w:val="20"/>
        </w:rPr>
        <w:t>Disordered</w:t>
      </w:r>
      <w:r>
        <w:rPr>
          <w:spacing w:val="-9"/>
          <w:sz w:val="20"/>
        </w:rPr>
        <w:t xml:space="preserve"> </w:t>
      </w:r>
      <w:r>
        <w:rPr>
          <w:sz w:val="20"/>
        </w:rPr>
        <w:t>Eating</w:t>
      </w:r>
      <w:r>
        <w:rPr>
          <w:spacing w:val="-6"/>
          <w:sz w:val="20"/>
        </w:rPr>
        <w:t xml:space="preserve"> </w:t>
      </w:r>
      <w:r>
        <w:rPr>
          <w:sz w:val="20"/>
        </w:rPr>
        <w:t>Behaviors</w:t>
      </w:r>
      <w:r>
        <w:rPr>
          <w:spacing w:val="-8"/>
          <w:sz w:val="20"/>
        </w:rPr>
        <w:t xml:space="preserve"> </w:t>
      </w:r>
      <w:r>
        <w:rPr>
          <w:sz w:val="20"/>
        </w:rPr>
        <w:t>in</w:t>
      </w:r>
      <w:r>
        <w:rPr>
          <w:spacing w:val="-6"/>
          <w:sz w:val="20"/>
        </w:rPr>
        <w:t xml:space="preserve"> </w:t>
      </w:r>
      <w:r>
        <w:rPr>
          <w:sz w:val="20"/>
        </w:rPr>
        <w:t>the</w:t>
      </w:r>
      <w:r>
        <w:rPr>
          <w:spacing w:val="-8"/>
          <w:sz w:val="20"/>
        </w:rPr>
        <w:t xml:space="preserve"> </w:t>
      </w:r>
      <w:r>
        <w:rPr>
          <w:sz w:val="20"/>
        </w:rPr>
        <w:t>LGBT</w:t>
      </w:r>
      <w:r>
        <w:rPr>
          <w:spacing w:val="-9"/>
          <w:sz w:val="20"/>
        </w:rPr>
        <w:t xml:space="preserve"> </w:t>
      </w:r>
      <w:r>
        <w:rPr>
          <w:spacing w:val="-2"/>
          <w:sz w:val="20"/>
        </w:rPr>
        <w:t>Population.”</w:t>
      </w:r>
    </w:p>
    <w:p w:rsidR="00C76E6D" w:rsidRDefault="00913831">
      <w:pPr>
        <w:spacing w:line="241" w:lineRule="exact"/>
        <w:ind w:left="338"/>
        <w:rPr>
          <w:sz w:val="20"/>
        </w:rPr>
      </w:pPr>
      <w:bookmarkStart w:id="648" w:name="_bookmark487"/>
      <w:bookmarkEnd w:id="648"/>
      <w:r>
        <w:rPr>
          <w:sz w:val="20"/>
          <w:vertAlign w:val="superscript"/>
        </w:rPr>
        <w:t>69</w:t>
      </w:r>
      <w:r>
        <w:rPr>
          <w:spacing w:val="-7"/>
          <w:sz w:val="20"/>
        </w:rPr>
        <w:t xml:space="preserve"> </w:t>
      </w:r>
      <w:bookmarkStart w:id="649" w:name="_bookmark488"/>
      <w:bookmarkEnd w:id="649"/>
      <w:r>
        <w:rPr>
          <w:sz w:val="20"/>
        </w:rPr>
        <w:t>Balaji</w:t>
      </w:r>
      <w:r>
        <w:rPr>
          <w:spacing w:val="-8"/>
          <w:sz w:val="20"/>
        </w:rPr>
        <w:t xml:space="preserve"> </w:t>
      </w:r>
      <w:r>
        <w:rPr>
          <w:sz w:val="20"/>
        </w:rPr>
        <w:t>et</w:t>
      </w:r>
      <w:r>
        <w:rPr>
          <w:spacing w:val="-9"/>
          <w:sz w:val="20"/>
        </w:rPr>
        <w:t xml:space="preserve"> </w:t>
      </w:r>
      <w:r>
        <w:rPr>
          <w:sz w:val="20"/>
        </w:rPr>
        <w:t>al.,</w:t>
      </w:r>
      <w:r>
        <w:rPr>
          <w:spacing w:val="-8"/>
          <w:sz w:val="20"/>
        </w:rPr>
        <w:t xml:space="preserve"> </w:t>
      </w:r>
      <w:r>
        <w:rPr>
          <w:sz w:val="20"/>
        </w:rPr>
        <w:t>“Characteristics</w:t>
      </w:r>
      <w:r>
        <w:rPr>
          <w:spacing w:val="-9"/>
          <w:sz w:val="20"/>
        </w:rPr>
        <w:t xml:space="preserve"> </w:t>
      </w:r>
      <w:r>
        <w:rPr>
          <w:sz w:val="20"/>
        </w:rPr>
        <w:t>of</w:t>
      </w:r>
      <w:r>
        <w:rPr>
          <w:spacing w:val="-8"/>
          <w:sz w:val="20"/>
        </w:rPr>
        <w:t xml:space="preserve"> </w:t>
      </w:r>
      <w:r>
        <w:rPr>
          <w:sz w:val="20"/>
        </w:rPr>
        <w:t>Health</w:t>
      </w:r>
      <w:r>
        <w:rPr>
          <w:spacing w:val="-7"/>
          <w:sz w:val="20"/>
        </w:rPr>
        <w:t xml:space="preserve"> </w:t>
      </w:r>
      <w:r>
        <w:rPr>
          <w:sz w:val="20"/>
        </w:rPr>
        <w:t>Programs</w:t>
      </w:r>
      <w:r>
        <w:rPr>
          <w:spacing w:val="-7"/>
          <w:sz w:val="20"/>
        </w:rPr>
        <w:t xml:space="preserve"> </w:t>
      </w:r>
      <w:r>
        <w:rPr>
          <w:sz w:val="20"/>
        </w:rPr>
        <w:t>among</w:t>
      </w:r>
      <w:r>
        <w:rPr>
          <w:spacing w:val="-10"/>
          <w:sz w:val="20"/>
        </w:rPr>
        <w:t xml:space="preserve"> </w:t>
      </w:r>
      <w:r>
        <w:rPr>
          <w:sz w:val="20"/>
        </w:rPr>
        <w:t>Secondary</w:t>
      </w:r>
      <w:r>
        <w:rPr>
          <w:spacing w:val="-7"/>
          <w:sz w:val="20"/>
        </w:rPr>
        <w:t xml:space="preserve"> </w:t>
      </w:r>
      <w:r>
        <w:rPr>
          <w:sz w:val="20"/>
        </w:rPr>
        <w:t>Schools</w:t>
      </w:r>
      <w:r>
        <w:rPr>
          <w:spacing w:val="-8"/>
          <w:sz w:val="20"/>
        </w:rPr>
        <w:t xml:space="preserve"> </w:t>
      </w:r>
      <w:r>
        <w:rPr>
          <w:spacing w:val="-2"/>
          <w:sz w:val="20"/>
        </w:rPr>
        <w:t>2006.”</w:t>
      </w:r>
    </w:p>
    <w:p w:rsidR="00C76E6D" w:rsidRDefault="00913831">
      <w:pPr>
        <w:ind w:left="338" w:right="326"/>
        <w:rPr>
          <w:sz w:val="20"/>
        </w:rPr>
      </w:pPr>
      <w:r>
        <w:rPr>
          <w:sz w:val="20"/>
          <w:vertAlign w:val="superscript"/>
        </w:rPr>
        <w:t>70</w:t>
      </w:r>
      <w:r>
        <w:rPr>
          <w:sz w:val="20"/>
        </w:rPr>
        <w:t xml:space="preserve"> Mary E. Duffy et al., “Measurement and Construct Validity of the Eating Disorder Examination Questionnaire Short Form</w:t>
      </w:r>
      <w:r>
        <w:rPr>
          <w:spacing w:val="-6"/>
          <w:sz w:val="20"/>
        </w:rPr>
        <w:t xml:space="preserve"> </w:t>
      </w:r>
      <w:r>
        <w:rPr>
          <w:sz w:val="20"/>
        </w:rPr>
        <w:t>in</w:t>
      </w:r>
      <w:r>
        <w:rPr>
          <w:spacing w:val="-4"/>
          <w:sz w:val="20"/>
        </w:rPr>
        <w:t xml:space="preserve"> </w:t>
      </w:r>
      <w:r>
        <w:rPr>
          <w:sz w:val="20"/>
        </w:rPr>
        <w:t>a</w:t>
      </w:r>
      <w:r>
        <w:rPr>
          <w:spacing w:val="-6"/>
          <w:sz w:val="20"/>
        </w:rPr>
        <w:t xml:space="preserve"> </w:t>
      </w:r>
      <w:r>
        <w:rPr>
          <w:sz w:val="20"/>
        </w:rPr>
        <w:t>Transgender</w:t>
      </w:r>
      <w:r>
        <w:rPr>
          <w:spacing w:val="-7"/>
          <w:sz w:val="20"/>
        </w:rPr>
        <w:t xml:space="preserve"> </w:t>
      </w:r>
      <w:r>
        <w:rPr>
          <w:sz w:val="20"/>
        </w:rPr>
        <w:t>and</w:t>
      </w:r>
      <w:r>
        <w:rPr>
          <w:spacing w:val="-4"/>
          <w:sz w:val="20"/>
        </w:rPr>
        <w:t xml:space="preserve"> </w:t>
      </w:r>
      <w:r>
        <w:rPr>
          <w:sz w:val="20"/>
        </w:rPr>
        <w:t>Gender</w:t>
      </w:r>
      <w:r>
        <w:rPr>
          <w:spacing w:val="-7"/>
          <w:sz w:val="20"/>
        </w:rPr>
        <w:t xml:space="preserve"> </w:t>
      </w:r>
      <w:r>
        <w:rPr>
          <w:sz w:val="20"/>
        </w:rPr>
        <w:t>Diverse</w:t>
      </w:r>
      <w:r>
        <w:rPr>
          <w:spacing w:val="-4"/>
          <w:sz w:val="20"/>
        </w:rPr>
        <w:t xml:space="preserve"> </w:t>
      </w:r>
      <w:r>
        <w:rPr>
          <w:sz w:val="20"/>
        </w:rPr>
        <w:t>Community</w:t>
      </w:r>
      <w:r>
        <w:rPr>
          <w:spacing w:val="-6"/>
          <w:sz w:val="20"/>
        </w:rPr>
        <w:t xml:space="preserve"> </w:t>
      </w:r>
      <w:r>
        <w:rPr>
          <w:sz w:val="20"/>
        </w:rPr>
        <w:t>Sample.,”</w:t>
      </w:r>
      <w:r>
        <w:rPr>
          <w:spacing w:val="-4"/>
          <w:sz w:val="20"/>
        </w:rPr>
        <w:t xml:space="preserve"> </w:t>
      </w:r>
      <w:r>
        <w:rPr>
          <w:i/>
          <w:sz w:val="20"/>
        </w:rPr>
        <w:t>Psychological</w:t>
      </w:r>
      <w:r>
        <w:rPr>
          <w:i/>
          <w:spacing w:val="-5"/>
          <w:sz w:val="20"/>
        </w:rPr>
        <w:t xml:space="preserve"> </w:t>
      </w:r>
      <w:r>
        <w:rPr>
          <w:i/>
          <w:sz w:val="20"/>
        </w:rPr>
        <w:t>Assessment</w:t>
      </w:r>
      <w:r>
        <w:rPr>
          <w:i/>
          <w:spacing w:val="-6"/>
          <w:sz w:val="20"/>
        </w:rPr>
        <w:t xml:space="preserve"> </w:t>
      </w:r>
      <w:r>
        <w:rPr>
          <w:sz w:val="20"/>
        </w:rPr>
        <w:t>33,</w:t>
      </w:r>
      <w:r>
        <w:rPr>
          <w:spacing w:val="-7"/>
          <w:sz w:val="20"/>
        </w:rPr>
        <w:t xml:space="preserve"> </w:t>
      </w:r>
      <w:r>
        <w:rPr>
          <w:sz w:val="20"/>
        </w:rPr>
        <w:t>no.</w:t>
      </w:r>
      <w:r>
        <w:rPr>
          <w:spacing w:val="-6"/>
          <w:sz w:val="20"/>
        </w:rPr>
        <w:t xml:space="preserve"> </w:t>
      </w:r>
      <w:r>
        <w:rPr>
          <w:sz w:val="20"/>
        </w:rPr>
        <w:t>5</w:t>
      </w:r>
      <w:r>
        <w:rPr>
          <w:spacing w:val="-6"/>
          <w:sz w:val="20"/>
        </w:rPr>
        <w:t xml:space="preserve"> </w:t>
      </w:r>
      <w:r>
        <w:rPr>
          <w:sz w:val="20"/>
        </w:rPr>
        <w:t>(May</w:t>
      </w:r>
      <w:r>
        <w:rPr>
          <w:spacing w:val="-5"/>
          <w:sz w:val="20"/>
        </w:rPr>
        <w:t xml:space="preserve"> </w:t>
      </w:r>
      <w:r>
        <w:rPr>
          <w:sz w:val="20"/>
        </w:rPr>
        <w:t>2021):</w:t>
      </w:r>
      <w:r>
        <w:rPr>
          <w:spacing w:val="-5"/>
          <w:sz w:val="20"/>
        </w:rPr>
        <w:t xml:space="preserve"> </w:t>
      </w:r>
      <w:r>
        <w:rPr>
          <w:sz w:val="20"/>
        </w:rPr>
        <w:t>459– 63, https://doi.org/10.1037/p</w:t>
      </w:r>
      <w:r>
        <w:rPr>
          <w:sz w:val="20"/>
        </w:rPr>
        <w:t>as0000996.</w:t>
      </w:r>
    </w:p>
    <w:p w:rsidR="00C76E6D" w:rsidRDefault="00913831">
      <w:pPr>
        <w:ind w:left="338" w:right="351" w:hanging="1"/>
        <w:rPr>
          <w:sz w:val="20"/>
        </w:rPr>
      </w:pPr>
      <w:bookmarkStart w:id="650" w:name="_bookmark489"/>
      <w:bookmarkEnd w:id="650"/>
      <w:r>
        <w:rPr>
          <w:sz w:val="20"/>
          <w:vertAlign w:val="superscript"/>
        </w:rPr>
        <w:t>71</w:t>
      </w:r>
      <w:r>
        <w:rPr>
          <w:sz w:val="20"/>
        </w:rPr>
        <w:t xml:space="preserve"> Natalie M. Alizaga, Rodrigo A. Aguayo-Romero, and Courtney P. Glickman, “Experiences of Health Care Discrimination among Transgender and Gender Nonconforming People of Color: A Latent Class Analysis.,” </w:t>
      </w:r>
      <w:r>
        <w:rPr>
          <w:i/>
          <w:sz w:val="20"/>
        </w:rPr>
        <w:t>Psychology of</w:t>
      </w:r>
      <w:r>
        <w:rPr>
          <w:i/>
          <w:spacing w:val="-3"/>
          <w:sz w:val="20"/>
        </w:rPr>
        <w:t xml:space="preserve"> </w:t>
      </w:r>
      <w:r>
        <w:rPr>
          <w:i/>
          <w:sz w:val="20"/>
        </w:rPr>
        <w:t>Sexual</w:t>
      </w:r>
      <w:r>
        <w:rPr>
          <w:i/>
          <w:spacing w:val="-4"/>
          <w:sz w:val="20"/>
        </w:rPr>
        <w:t xml:space="preserve"> </w:t>
      </w:r>
      <w:r>
        <w:rPr>
          <w:i/>
          <w:sz w:val="20"/>
        </w:rPr>
        <w:t>Orientation</w:t>
      </w:r>
      <w:r>
        <w:rPr>
          <w:i/>
          <w:spacing w:val="-3"/>
          <w:sz w:val="20"/>
        </w:rPr>
        <w:t xml:space="preserve"> </w:t>
      </w:r>
      <w:r>
        <w:rPr>
          <w:i/>
          <w:sz w:val="20"/>
        </w:rPr>
        <w:t>and</w:t>
      </w:r>
      <w:r>
        <w:rPr>
          <w:i/>
          <w:spacing w:val="-3"/>
          <w:sz w:val="20"/>
        </w:rPr>
        <w:t xml:space="preserve"> </w:t>
      </w:r>
      <w:r>
        <w:rPr>
          <w:i/>
          <w:sz w:val="20"/>
        </w:rPr>
        <w:t>Gender</w:t>
      </w:r>
      <w:r>
        <w:rPr>
          <w:i/>
          <w:spacing w:val="-2"/>
          <w:sz w:val="20"/>
        </w:rPr>
        <w:t xml:space="preserve"> </w:t>
      </w:r>
      <w:r>
        <w:rPr>
          <w:i/>
          <w:sz w:val="20"/>
        </w:rPr>
        <w:t>Diversity</w:t>
      </w:r>
      <w:r>
        <w:rPr>
          <w:i/>
          <w:spacing w:val="-3"/>
          <w:sz w:val="20"/>
        </w:rPr>
        <w:t xml:space="preserve"> </w:t>
      </w:r>
      <w:r>
        <w:rPr>
          <w:sz w:val="20"/>
        </w:rPr>
        <w:t>9,</w:t>
      </w:r>
      <w:r>
        <w:rPr>
          <w:spacing w:val="-3"/>
          <w:sz w:val="20"/>
        </w:rPr>
        <w:t xml:space="preserve"> </w:t>
      </w:r>
      <w:r>
        <w:rPr>
          <w:sz w:val="20"/>
        </w:rPr>
        <w:t>no.</w:t>
      </w:r>
      <w:r>
        <w:rPr>
          <w:spacing w:val="-3"/>
          <w:sz w:val="20"/>
        </w:rPr>
        <w:t xml:space="preserve"> </w:t>
      </w:r>
      <w:r>
        <w:rPr>
          <w:sz w:val="20"/>
        </w:rPr>
        <w:t>2</w:t>
      </w:r>
      <w:r>
        <w:rPr>
          <w:spacing w:val="-2"/>
          <w:sz w:val="20"/>
        </w:rPr>
        <w:t xml:space="preserve"> </w:t>
      </w:r>
      <w:r>
        <w:rPr>
          <w:sz w:val="20"/>
        </w:rPr>
        <w:t>(June</w:t>
      </w:r>
      <w:r>
        <w:rPr>
          <w:spacing w:val="-3"/>
          <w:sz w:val="20"/>
        </w:rPr>
        <w:t xml:space="preserve"> </w:t>
      </w:r>
      <w:r>
        <w:rPr>
          <w:sz w:val="20"/>
        </w:rPr>
        <w:t>2022):</w:t>
      </w:r>
      <w:r>
        <w:rPr>
          <w:spacing w:val="-3"/>
          <w:sz w:val="20"/>
        </w:rPr>
        <w:t xml:space="preserve"> </w:t>
      </w:r>
      <w:r>
        <w:rPr>
          <w:sz w:val="20"/>
        </w:rPr>
        <w:t>141–51,</w:t>
      </w:r>
      <w:r>
        <w:rPr>
          <w:spacing w:val="-3"/>
          <w:sz w:val="20"/>
        </w:rPr>
        <w:t xml:space="preserve"> </w:t>
      </w:r>
      <w:r>
        <w:rPr>
          <w:sz w:val="20"/>
        </w:rPr>
        <w:t>https://doi.org/10.1037/sgd0000479;</w:t>
      </w:r>
      <w:r>
        <w:rPr>
          <w:spacing w:val="-3"/>
          <w:sz w:val="20"/>
        </w:rPr>
        <w:t xml:space="preserve"> </w:t>
      </w:r>
      <w:r>
        <w:rPr>
          <w:sz w:val="20"/>
        </w:rPr>
        <w:t>Audrey Harkness</w:t>
      </w:r>
      <w:r>
        <w:rPr>
          <w:spacing w:val="-5"/>
          <w:sz w:val="20"/>
        </w:rPr>
        <w:t xml:space="preserve"> </w:t>
      </w:r>
      <w:r>
        <w:rPr>
          <w:sz w:val="20"/>
        </w:rPr>
        <w:t>et</w:t>
      </w:r>
      <w:r>
        <w:rPr>
          <w:spacing w:val="-6"/>
          <w:sz w:val="20"/>
        </w:rPr>
        <w:t xml:space="preserve"> </w:t>
      </w:r>
      <w:r>
        <w:rPr>
          <w:sz w:val="20"/>
        </w:rPr>
        <w:t>al.,</w:t>
      </w:r>
      <w:r>
        <w:rPr>
          <w:spacing w:val="-4"/>
          <w:sz w:val="20"/>
        </w:rPr>
        <w:t xml:space="preserve"> </w:t>
      </w:r>
      <w:r>
        <w:rPr>
          <w:sz w:val="20"/>
        </w:rPr>
        <w:t>“Factors</w:t>
      </w:r>
      <w:r>
        <w:rPr>
          <w:spacing w:val="-7"/>
          <w:sz w:val="20"/>
        </w:rPr>
        <w:t xml:space="preserve"> </w:t>
      </w:r>
      <w:r>
        <w:rPr>
          <w:sz w:val="20"/>
        </w:rPr>
        <w:t>Associated</w:t>
      </w:r>
      <w:r>
        <w:rPr>
          <w:spacing w:val="-4"/>
          <w:sz w:val="20"/>
        </w:rPr>
        <w:t xml:space="preserve"> </w:t>
      </w:r>
      <w:r>
        <w:rPr>
          <w:sz w:val="20"/>
        </w:rPr>
        <w:t>with</w:t>
      </w:r>
      <w:r>
        <w:rPr>
          <w:spacing w:val="-6"/>
          <w:sz w:val="20"/>
        </w:rPr>
        <w:t xml:space="preserve"> </w:t>
      </w:r>
      <w:r>
        <w:rPr>
          <w:sz w:val="20"/>
        </w:rPr>
        <w:t>Barriers</w:t>
      </w:r>
      <w:r>
        <w:rPr>
          <w:spacing w:val="-4"/>
          <w:sz w:val="20"/>
        </w:rPr>
        <w:t xml:space="preserve"> </w:t>
      </w:r>
      <w:r>
        <w:rPr>
          <w:sz w:val="20"/>
        </w:rPr>
        <w:t>to</w:t>
      </w:r>
      <w:r>
        <w:rPr>
          <w:spacing w:val="-4"/>
          <w:sz w:val="20"/>
        </w:rPr>
        <w:t xml:space="preserve"> </w:t>
      </w:r>
      <w:r>
        <w:rPr>
          <w:sz w:val="20"/>
        </w:rPr>
        <w:t>Engagement</w:t>
      </w:r>
      <w:r>
        <w:rPr>
          <w:spacing w:val="-4"/>
          <w:sz w:val="20"/>
        </w:rPr>
        <w:t xml:space="preserve"> </w:t>
      </w:r>
      <w:r>
        <w:rPr>
          <w:sz w:val="20"/>
        </w:rPr>
        <w:t>in</w:t>
      </w:r>
      <w:r>
        <w:rPr>
          <w:spacing w:val="-5"/>
          <w:sz w:val="20"/>
        </w:rPr>
        <w:t xml:space="preserve"> </w:t>
      </w:r>
      <w:r>
        <w:rPr>
          <w:sz w:val="20"/>
        </w:rPr>
        <w:t>HIV-Prevention</w:t>
      </w:r>
      <w:r>
        <w:rPr>
          <w:spacing w:val="-4"/>
          <w:sz w:val="20"/>
        </w:rPr>
        <w:t xml:space="preserve"> </w:t>
      </w:r>
      <w:r>
        <w:rPr>
          <w:sz w:val="20"/>
        </w:rPr>
        <w:t>Care</w:t>
      </w:r>
      <w:r>
        <w:rPr>
          <w:spacing w:val="-9"/>
          <w:sz w:val="20"/>
        </w:rPr>
        <w:t xml:space="preserve"> </w:t>
      </w:r>
      <w:r>
        <w:rPr>
          <w:sz w:val="20"/>
        </w:rPr>
        <w:t>among</w:t>
      </w:r>
      <w:r>
        <w:rPr>
          <w:spacing w:val="-5"/>
          <w:sz w:val="20"/>
        </w:rPr>
        <w:t xml:space="preserve"> </w:t>
      </w:r>
      <w:r>
        <w:rPr>
          <w:sz w:val="20"/>
        </w:rPr>
        <w:t>Sexual</w:t>
      </w:r>
      <w:r>
        <w:rPr>
          <w:spacing w:val="-7"/>
          <w:sz w:val="20"/>
        </w:rPr>
        <w:t xml:space="preserve"> </w:t>
      </w:r>
      <w:r>
        <w:rPr>
          <w:sz w:val="20"/>
        </w:rPr>
        <w:t>Minority</w:t>
      </w:r>
      <w:r>
        <w:rPr>
          <w:spacing w:val="-6"/>
          <w:sz w:val="20"/>
        </w:rPr>
        <w:t xml:space="preserve"> </w:t>
      </w:r>
      <w:r>
        <w:rPr>
          <w:sz w:val="20"/>
        </w:rPr>
        <w:t xml:space="preserve">Men,” </w:t>
      </w:r>
      <w:r>
        <w:rPr>
          <w:i/>
          <w:sz w:val="20"/>
        </w:rPr>
        <w:t xml:space="preserve">Journal of Behavioral Medicine </w:t>
      </w:r>
      <w:r>
        <w:rPr>
          <w:sz w:val="20"/>
        </w:rPr>
        <w:t>44, no. 6 (December</w:t>
      </w:r>
      <w:r>
        <w:rPr>
          <w:sz w:val="20"/>
        </w:rPr>
        <w:t xml:space="preserve"> 2021): 784–93, https://doi.org/10.1007/s10865-021-00230-0.</w:t>
      </w:r>
    </w:p>
    <w:p w:rsidR="00C76E6D" w:rsidRDefault="00913831">
      <w:pPr>
        <w:ind w:left="339" w:right="530" w:hanging="1"/>
        <w:rPr>
          <w:sz w:val="20"/>
        </w:rPr>
      </w:pPr>
      <w:bookmarkStart w:id="651" w:name="_bookmark490"/>
      <w:bookmarkEnd w:id="651"/>
      <w:r>
        <w:rPr>
          <w:sz w:val="20"/>
          <w:vertAlign w:val="superscript"/>
        </w:rPr>
        <w:t>72</w:t>
      </w:r>
      <w:r>
        <w:rPr>
          <w:spacing w:val="-5"/>
          <w:sz w:val="20"/>
        </w:rPr>
        <w:t xml:space="preserve"> </w:t>
      </w:r>
      <w:r>
        <w:rPr>
          <w:sz w:val="20"/>
        </w:rPr>
        <w:t>Harkness</w:t>
      </w:r>
      <w:r>
        <w:rPr>
          <w:spacing w:val="-6"/>
          <w:sz w:val="20"/>
        </w:rPr>
        <w:t xml:space="preserve"> </w:t>
      </w:r>
      <w:r>
        <w:rPr>
          <w:sz w:val="20"/>
        </w:rPr>
        <w:t>et</w:t>
      </w:r>
      <w:r>
        <w:rPr>
          <w:spacing w:val="-7"/>
          <w:sz w:val="20"/>
        </w:rPr>
        <w:t xml:space="preserve"> </w:t>
      </w:r>
      <w:r>
        <w:rPr>
          <w:sz w:val="20"/>
        </w:rPr>
        <w:t>al.,</w:t>
      </w:r>
      <w:r>
        <w:rPr>
          <w:spacing w:val="-5"/>
          <w:sz w:val="20"/>
        </w:rPr>
        <w:t xml:space="preserve"> </w:t>
      </w:r>
      <w:r>
        <w:rPr>
          <w:sz w:val="20"/>
        </w:rPr>
        <w:t>“Factors</w:t>
      </w:r>
      <w:r>
        <w:rPr>
          <w:spacing w:val="-8"/>
          <w:sz w:val="20"/>
        </w:rPr>
        <w:t xml:space="preserve"> </w:t>
      </w:r>
      <w:r>
        <w:rPr>
          <w:sz w:val="20"/>
        </w:rPr>
        <w:t>Associated</w:t>
      </w:r>
      <w:r>
        <w:rPr>
          <w:spacing w:val="-6"/>
          <w:sz w:val="20"/>
        </w:rPr>
        <w:t xml:space="preserve"> </w:t>
      </w:r>
      <w:r>
        <w:rPr>
          <w:sz w:val="20"/>
        </w:rPr>
        <w:t>with</w:t>
      </w:r>
      <w:r>
        <w:rPr>
          <w:spacing w:val="-7"/>
          <w:sz w:val="20"/>
        </w:rPr>
        <w:t xml:space="preserve"> </w:t>
      </w:r>
      <w:r>
        <w:rPr>
          <w:sz w:val="20"/>
        </w:rPr>
        <w:t>Barriers</w:t>
      </w:r>
      <w:r>
        <w:rPr>
          <w:spacing w:val="-6"/>
          <w:sz w:val="20"/>
        </w:rPr>
        <w:t xml:space="preserve"> </w:t>
      </w:r>
      <w:r>
        <w:rPr>
          <w:sz w:val="20"/>
        </w:rPr>
        <w:t>to</w:t>
      </w:r>
      <w:r>
        <w:rPr>
          <w:spacing w:val="-6"/>
          <w:sz w:val="20"/>
        </w:rPr>
        <w:t xml:space="preserve"> </w:t>
      </w:r>
      <w:r>
        <w:rPr>
          <w:sz w:val="20"/>
        </w:rPr>
        <w:t>Engagement</w:t>
      </w:r>
      <w:r>
        <w:rPr>
          <w:spacing w:val="-7"/>
          <w:sz w:val="20"/>
        </w:rPr>
        <w:t xml:space="preserve"> </w:t>
      </w:r>
      <w:r>
        <w:rPr>
          <w:sz w:val="20"/>
        </w:rPr>
        <w:t>in</w:t>
      </w:r>
      <w:r>
        <w:rPr>
          <w:spacing w:val="-5"/>
          <w:sz w:val="20"/>
        </w:rPr>
        <w:t xml:space="preserve"> </w:t>
      </w:r>
      <w:r>
        <w:rPr>
          <w:sz w:val="20"/>
        </w:rPr>
        <w:t>HIV-Prevention</w:t>
      </w:r>
      <w:r>
        <w:rPr>
          <w:spacing w:val="-6"/>
          <w:sz w:val="20"/>
        </w:rPr>
        <w:t xml:space="preserve"> </w:t>
      </w:r>
      <w:r>
        <w:rPr>
          <w:sz w:val="20"/>
        </w:rPr>
        <w:t>Care</w:t>
      </w:r>
      <w:r>
        <w:rPr>
          <w:spacing w:val="-6"/>
          <w:sz w:val="20"/>
        </w:rPr>
        <w:t xml:space="preserve"> </w:t>
      </w:r>
      <w:r>
        <w:rPr>
          <w:sz w:val="20"/>
        </w:rPr>
        <w:t>among</w:t>
      </w:r>
      <w:r>
        <w:rPr>
          <w:spacing w:val="-5"/>
          <w:sz w:val="20"/>
        </w:rPr>
        <w:t xml:space="preserve"> </w:t>
      </w:r>
      <w:r>
        <w:rPr>
          <w:sz w:val="20"/>
        </w:rPr>
        <w:t>Sexual</w:t>
      </w:r>
      <w:r>
        <w:rPr>
          <w:spacing w:val="-6"/>
          <w:sz w:val="20"/>
        </w:rPr>
        <w:t xml:space="preserve"> </w:t>
      </w:r>
      <w:r>
        <w:rPr>
          <w:sz w:val="20"/>
        </w:rPr>
        <w:t xml:space="preserve">Minority </w:t>
      </w:r>
      <w:r>
        <w:rPr>
          <w:spacing w:val="-2"/>
          <w:sz w:val="20"/>
        </w:rPr>
        <w:t>Men.”</w:t>
      </w:r>
    </w:p>
    <w:p w:rsidR="00C76E6D" w:rsidRDefault="00913831">
      <w:pPr>
        <w:ind w:left="339" w:right="437" w:hanging="2"/>
        <w:rPr>
          <w:sz w:val="20"/>
        </w:rPr>
      </w:pPr>
      <w:bookmarkStart w:id="652" w:name="_bookmark491"/>
      <w:bookmarkEnd w:id="652"/>
      <w:r>
        <w:rPr>
          <w:sz w:val="20"/>
          <w:vertAlign w:val="superscript"/>
        </w:rPr>
        <w:t>73</w:t>
      </w:r>
      <w:r>
        <w:rPr>
          <w:spacing w:val="-4"/>
          <w:sz w:val="20"/>
        </w:rPr>
        <w:t xml:space="preserve"> </w:t>
      </w:r>
      <w:r>
        <w:rPr>
          <w:sz w:val="20"/>
        </w:rPr>
        <w:t>Lauren</w:t>
      </w:r>
      <w:r>
        <w:rPr>
          <w:spacing w:val="-5"/>
          <w:sz w:val="20"/>
        </w:rPr>
        <w:t xml:space="preserve"> </w:t>
      </w:r>
      <w:r>
        <w:rPr>
          <w:sz w:val="20"/>
        </w:rPr>
        <w:t>B.</w:t>
      </w:r>
      <w:r>
        <w:rPr>
          <w:spacing w:val="-7"/>
          <w:sz w:val="20"/>
        </w:rPr>
        <w:t xml:space="preserve"> </w:t>
      </w:r>
      <w:r>
        <w:rPr>
          <w:sz w:val="20"/>
        </w:rPr>
        <w:t>McInroy</w:t>
      </w:r>
      <w:r>
        <w:rPr>
          <w:spacing w:val="-4"/>
          <w:sz w:val="20"/>
        </w:rPr>
        <w:t xml:space="preserve"> </w:t>
      </w:r>
      <w:r>
        <w:rPr>
          <w:sz w:val="20"/>
        </w:rPr>
        <w:t>et</w:t>
      </w:r>
      <w:r>
        <w:rPr>
          <w:spacing w:val="-4"/>
          <w:sz w:val="20"/>
        </w:rPr>
        <w:t xml:space="preserve"> </w:t>
      </w:r>
      <w:r>
        <w:rPr>
          <w:sz w:val="20"/>
        </w:rPr>
        <w:t>al.,</w:t>
      </w:r>
      <w:r>
        <w:rPr>
          <w:spacing w:val="-5"/>
          <w:sz w:val="20"/>
        </w:rPr>
        <w:t xml:space="preserve"> </w:t>
      </w:r>
      <w:r>
        <w:rPr>
          <w:sz w:val="20"/>
        </w:rPr>
        <w:t>“LGBTQ+</w:t>
      </w:r>
      <w:r>
        <w:rPr>
          <w:spacing w:val="-5"/>
          <w:sz w:val="20"/>
        </w:rPr>
        <w:t xml:space="preserve"> </w:t>
      </w:r>
      <w:r>
        <w:rPr>
          <w:sz w:val="20"/>
        </w:rPr>
        <w:t>Youths’</w:t>
      </w:r>
      <w:r>
        <w:rPr>
          <w:spacing w:val="-6"/>
          <w:sz w:val="20"/>
        </w:rPr>
        <w:t xml:space="preserve"> </w:t>
      </w:r>
      <w:r>
        <w:rPr>
          <w:sz w:val="20"/>
        </w:rPr>
        <w:t>Community</w:t>
      </w:r>
      <w:r>
        <w:rPr>
          <w:spacing w:val="-5"/>
          <w:sz w:val="20"/>
        </w:rPr>
        <w:t xml:space="preserve"> </w:t>
      </w:r>
      <w:r>
        <w:rPr>
          <w:sz w:val="20"/>
        </w:rPr>
        <w:t>Engagement</w:t>
      </w:r>
      <w:r>
        <w:rPr>
          <w:spacing w:val="-5"/>
          <w:sz w:val="20"/>
        </w:rPr>
        <w:t xml:space="preserve"> </w:t>
      </w:r>
      <w:r>
        <w:rPr>
          <w:sz w:val="20"/>
        </w:rPr>
        <w:t>and</w:t>
      </w:r>
      <w:r>
        <w:rPr>
          <w:spacing w:val="-7"/>
          <w:sz w:val="20"/>
        </w:rPr>
        <w:t xml:space="preserve"> </w:t>
      </w:r>
      <w:r>
        <w:rPr>
          <w:sz w:val="20"/>
        </w:rPr>
        <w:t>Resource</w:t>
      </w:r>
      <w:r>
        <w:rPr>
          <w:spacing w:val="-6"/>
          <w:sz w:val="20"/>
        </w:rPr>
        <w:t xml:space="preserve"> </w:t>
      </w:r>
      <w:r>
        <w:rPr>
          <w:sz w:val="20"/>
        </w:rPr>
        <w:t>Seeking</w:t>
      </w:r>
      <w:r>
        <w:rPr>
          <w:spacing w:val="-6"/>
          <w:sz w:val="20"/>
        </w:rPr>
        <w:t xml:space="preserve"> </w:t>
      </w:r>
      <w:r>
        <w:rPr>
          <w:sz w:val="20"/>
        </w:rPr>
        <w:t>Online</w:t>
      </w:r>
      <w:r>
        <w:rPr>
          <w:spacing w:val="-7"/>
          <w:sz w:val="20"/>
        </w:rPr>
        <w:t xml:space="preserve"> </w:t>
      </w:r>
      <w:r>
        <w:rPr>
          <w:sz w:val="20"/>
        </w:rPr>
        <w:t>versus</w:t>
      </w:r>
      <w:r>
        <w:rPr>
          <w:spacing w:val="-5"/>
          <w:sz w:val="20"/>
        </w:rPr>
        <w:t xml:space="preserve"> </w:t>
      </w:r>
      <w:r>
        <w:rPr>
          <w:sz w:val="20"/>
        </w:rPr>
        <w:t xml:space="preserve">Offline,” </w:t>
      </w:r>
      <w:r>
        <w:rPr>
          <w:i/>
          <w:sz w:val="20"/>
        </w:rPr>
        <w:t xml:space="preserve">Journal of Technology in Human Services </w:t>
      </w:r>
      <w:r>
        <w:rPr>
          <w:sz w:val="20"/>
        </w:rPr>
        <w:t xml:space="preserve">37, no. 4 (October 2, 2019): 315–33, </w:t>
      </w:r>
      <w:r>
        <w:rPr>
          <w:spacing w:val="-2"/>
          <w:sz w:val="20"/>
        </w:rPr>
        <w:t>https://doi.org/10.1080/15228835.2019.1617823.</w:t>
      </w:r>
    </w:p>
    <w:p w:rsidR="00C76E6D" w:rsidRDefault="00913831">
      <w:pPr>
        <w:spacing w:before="2" w:line="241" w:lineRule="exact"/>
        <w:ind w:left="338"/>
        <w:rPr>
          <w:sz w:val="20"/>
        </w:rPr>
      </w:pPr>
      <w:bookmarkStart w:id="653" w:name="_bookmark492"/>
      <w:bookmarkEnd w:id="653"/>
      <w:r>
        <w:rPr>
          <w:sz w:val="20"/>
          <w:vertAlign w:val="superscript"/>
        </w:rPr>
        <w:t>74</w:t>
      </w:r>
      <w:r>
        <w:rPr>
          <w:spacing w:val="-7"/>
          <w:sz w:val="20"/>
        </w:rPr>
        <w:t xml:space="preserve"> </w:t>
      </w:r>
      <w:bookmarkStart w:id="654" w:name="_bookmark493"/>
      <w:bookmarkEnd w:id="654"/>
      <w:r>
        <w:rPr>
          <w:sz w:val="20"/>
        </w:rPr>
        <w:t>Spivak,</w:t>
      </w:r>
      <w:r>
        <w:rPr>
          <w:spacing w:val="-7"/>
          <w:sz w:val="20"/>
        </w:rPr>
        <w:t xml:space="preserve"> </w:t>
      </w:r>
      <w:r>
        <w:rPr>
          <w:sz w:val="20"/>
        </w:rPr>
        <w:t>“2020</w:t>
      </w:r>
      <w:r>
        <w:rPr>
          <w:spacing w:val="-8"/>
          <w:sz w:val="20"/>
        </w:rPr>
        <w:t xml:space="preserve"> </w:t>
      </w:r>
      <w:r>
        <w:rPr>
          <w:sz w:val="20"/>
        </w:rPr>
        <w:t>LGBTQ</w:t>
      </w:r>
      <w:r>
        <w:rPr>
          <w:spacing w:val="-8"/>
          <w:sz w:val="20"/>
        </w:rPr>
        <w:t xml:space="preserve"> </w:t>
      </w:r>
      <w:r>
        <w:rPr>
          <w:sz w:val="20"/>
        </w:rPr>
        <w:t>Community</w:t>
      </w:r>
      <w:r>
        <w:rPr>
          <w:spacing w:val="-7"/>
          <w:sz w:val="20"/>
        </w:rPr>
        <w:t xml:space="preserve"> </w:t>
      </w:r>
      <w:r>
        <w:rPr>
          <w:sz w:val="20"/>
        </w:rPr>
        <w:t>Center</w:t>
      </w:r>
      <w:r>
        <w:rPr>
          <w:spacing w:val="-8"/>
          <w:sz w:val="20"/>
        </w:rPr>
        <w:t xml:space="preserve"> </w:t>
      </w:r>
      <w:r>
        <w:rPr>
          <w:sz w:val="20"/>
        </w:rPr>
        <w:t>Survey</w:t>
      </w:r>
      <w:r>
        <w:rPr>
          <w:spacing w:val="-8"/>
          <w:sz w:val="20"/>
        </w:rPr>
        <w:t xml:space="preserve"> </w:t>
      </w:r>
      <w:r>
        <w:rPr>
          <w:spacing w:val="-2"/>
          <w:sz w:val="20"/>
        </w:rPr>
        <w:t>Report.”</w:t>
      </w:r>
    </w:p>
    <w:p w:rsidR="00C76E6D" w:rsidRDefault="00913831">
      <w:pPr>
        <w:ind w:left="339" w:right="437" w:hanging="2"/>
        <w:rPr>
          <w:sz w:val="20"/>
        </w:rPr>
      </w:pPr>
      <w:r>
        <w:rPr>
          <w:sz w:val="20"/>
          <w:vertAlign w:val="superscript"/>
        </w:rPr>
        <w:t>75</w:t>
      </w:r>
      <w:r>
        <w:rPr>
          <w:spacing w:val="-4"/>
          <w:sz w:val="20"/>
        </w:rPr>
        <w:t xml:space="preserve"> </w:t>
      </w:r>
      <w:r>
        <w:rPr>
          <w:sz w:val="20"/>
        </w:rPr>
        <w:t>Ruprecht</w:t>
      </w:r>
      <w:r>
        <w:rPr>
          <w:spacing w:val="-4"/>
          <w:sz w:val="20"/>
        </w:rPr>
        <w:t xml:space="preserve"> </w:t>
      </w:r>
      <w:r>
        <w:rPr>
          <w:sz w:val="20"/>
        </w:rPr>
        <w:t>et</w:t>
      </w:r>
      <w:r>
        <w:rPr>
          <w:spacing w:val="-7"/>
          <w:sz w:val="20"/>
        </w:rPr>
        <w:t xml:space="preserve"> </w:t>
      </w:r>
      <w:r>
        <w:rPr>
          <w:sz w:val="20"/>
        </w:rPr>
        <w:t>al.,</w:t>
      </w:r>
      <w:r>
        <w:rPr>
          <w:spacing w:val="-4"/>
          <w:sz w:val="20"/>
        </w:rPr>
        <w:t xml:space="preserve"> </w:t>
      </w:r>
      <w:r>
        <w:rPr>
          <w:sz w:val="20"/>
        </w:rPr>
        <w:t>“Evidence</w:t>
      </w:r>
      <w:r>
        <w:rPr>
          <w:spacing w:val="-5"/>
          <w:sz w:val="20"/>
        </w:rPr>
        <w:t xml:space="preserve"> </w:t>
      </w:r>
      <w:r>
        <w:rPr>
          <w:sz w:val="20"/>
        </w:rPr>
        <w:t>of</w:t>
      </w:r>
      <w:r>
        <w:rPr>
          <w:spacing w:val="-6"/>
          <w:sz w:val="20"/>
        </w:rPr>
        <w:t xml:space="preserve"> </w:t>
      </w:r>
      <w:r>
        <w:rPr>
          <w:sz w:val="20"/>
        </w:rPr>
        <w:t>Social</w:t>
      </w:r>
      <w:r>
        <w:rPr>
          <w:spacing w:val="-5"/>
          <w:sz w:val="20"/>
        </w:rPr>
        <w:t xml:space="preserve"> </w:t>
      </w:r>
      <w:r>
        <w:rPr>
          <w:sz w:val="20"/>
        </w:rPr>
        <w:t>and</w:t>
      </w:r>
      <w:r>
        <w:rPr>
          <w:spacing w:val="-5"/>
          <w:sz w:val="20"/>
        </w:rPr>
        <w:t xml:space="preserve"> </w:t>
      </w:r>
      <w:r>
        <w:rPr>
          <w:sz w:val="20"/>
        </w:rPr>
        <w:t>Structural</w:t>
      </w:r>
      <w:r>
        <w:rPr>
          <w:spacing w:val="-4"/>
          <w:sz w:val="20"/>
        </w:rPr>
        <w:t xml:space="preserve"> </w:t>
      </w:r>
      <w:r>
        <w:rPr>
          <w:sz w:val="20"/>
        </w:rPr>
        <w:t>COVID-19</w:t>
      </w:r>
      <w:r>
        <w:rPr>
          <w:spacing w:val="-4"/>
          <w:sz w:val="20"/>
        </w:rPr>
        <w:t xml:space="preserve"> </w:t>
      </w:r>
      <w:r>
        <w:rPr>
          <w:sz w:val="20"/>
        </w:rPr>
        <w:t>Disparities</w:t>
      </w:r>
      <w:r>
        <w:rPr>
          <w:spacing w:val="-6"/>
          <w:sz w:val="20"/>
        </w:rPr>
        <w:t xml:space="preserve"> </w:t>
      </w:r>
      <w:r>
        <w:rPr>
          <w:sz w:val="20"/>
        </w:rPr>
        <w:t>by</w:t>
      </w:r>
      <w:r>
        <w:rPr>
          <w:spacing w:val="-5"/>
          <w:sz w:val="20"/>
        </w:rPr>
        <w:t xml:space="preserve"> </w:t>
      </w:r>
      <w:r>
        <w:rPr>
          <w:sz w:val="20"/>
        </w:rPr>
        <w:t>Sexual</w:t>
      </w:r>
      <w:r>
        <w:rPr>
          <w:spacing w:val="-7"/>
          <w:sz w:val="20"/>
        </w:rPr>
        <w:t xml:space="preserve"> </w:t>
      </w:r>
      <w:r>
        <w:rPr>
          <w:sz w:val="20"/>
        </w:rPr>
        <w:t>Orientation,</w:t>
      </w:r>
      <w:r>
        <w:rPr>
          <w:spacing w:val="-4"/>
          <w:sz w:val="20"/>
        </w:rPr>
        <w:t xml:space="preserve"> </w:t>
      </w:r>
      <w:r>
        <w:rPr>
          <w:sz w:val="20"/>
        </w:rPr>
        <w:t>Gender</w:t>
      </w:r>
      <w:r>
        <w:rPr>
          <w:spacing w:val="-6"/>
          <w:sz w:val="20"/>
        </w:rPr>
        <w:t xml:space="preserve"> </w:t>
      </w:r>
      <w:r>
        <w:rPr>
          <w:sz w:val="20"/>
        </w:rPr>
        <w:t>Identity,</w:t>
      </w:r>
      <w:r>
        <w:rPr>
          <w:spacing w:val="-5"/>
          <w:sz w:val="20"/>
        </w:rPr>
        <w:t xml:space="preserve"> </w:t>
      </w:r>
      <w:r>
        <w:rPr>
          <w:sz w:val="20"/>
        </w:rPr>
        <w:t xml:space="preserve">and </w:t>
      </w:r>
      <w:bookmarkStart w:id="655" w:name="_bookmark494"/>
      <w:bookmarkEnd w:id="655"/>
      <w:r>
        <w:rPr>
          <w:sz w:val="20"/>
        </w:rPr>
        <w:t>Race/Ethnicity in an Urban Environment.”</w:t>
      </w:r>
    </w:p>
    <w:p w:rsidR="00C76E6D" w:rsidRDefault="00913831">
      <w:pPr>
        <w:ind w:left="339" w:right="437" w:hanging="2"/>
        <w:rPr>
          <w:sz w:val="20"/>
        </w:rPr>
      </w:pPr>
      <w:r>
        <w:rPr>
          <w:sz w:val="20"/>
          <w:vertAlign w:val="superscript"/>
        </w:rPr>
        <w:t>76</w:t>
      </w:r>
      <w:r>
        <w:rPr>
          <w:spacing w:val="-4"/>
          <w:sz w:val="20"/>
        </w:rPr>
        <w:t xml:space="preserve"> </w:t>
      </w:r>
      <w:r>
        <w:rPr>
          <w:sz w:val="20"/>
        </w:rPr>
        <w:t>Institute</w:t>
      </w:r>
      <w:r>
        <w:rPr>
          <w:spacing w:val="-6"/>
          <w:sz w:val="20"/>
        </w:rPr>
        <w:t xml:space="preserve"> </w:t>
      </w:r>
      <w:r>
        <w:rPr>
          <w:sz w:val="20"/>
        </w:rPr>
        <w:t>of</w:t>
      </w:r>
      <w:r>
        <w:rPr>
          <w:spacing w:val="-7"/>
          <w:sz w:val="20"/>
        </w:rPr>
        <w:t xml:space="preserve"> </w:t>
      </w:r>
      <w:r>
        <w:rPr>
          <w:sz w:val="20"/>
        </w:rPr>
        <w:t>Medicine</w:t>
      </w:r>
      <w:r>
        <w:rPr>
          <w:spacing w:val="-6"/>
          <w:sz w:val="20"/>
        </w:rPr>
        <w:t xml:space="preserve"> </w:t>
      </w:r>
      <w:r>
        <w:rPr>
          <w:sz w:val="20"/>
        </w:rPr>
        <w:t>Committee</w:t>
      </w:r>
      <w:r>
        <w:rPr>
          <w:spacing w:val="-4"/>
          <w:sz w:val="20"/>
        </w:rPr>
        <w:t xml:space="preserve"> </w:t>
      </w:r>
      <w:r>
        <w:rPr>
          <w:sz w:val="20"/>
        </w:rPr>
        <w:t>on</w:t>
      </w:r>
      <w:r>
        <w:rPr>
          <w:spacing w:val="-5"/>
          <w:sz w:val="20"/>
        </w:rPr>
        <w:t xml:space="preserve"> </w:t>
      </w:r>
      <w:r>
        <w:rPr>
          <w:sz w:val="20"/>
        </w:rPr>
        <w:t>Lesbian,</w:t>
      </w:r>
      <w:r>
        <w:rPr>
          <w:spacing w:val="-4"/>
          <w:sz w:val="20"/>
        </w:rPr>
        <w:t xml:space="preserve"> </w:t>
      </w:r>
      <w:r>
        <w:rPr>
          <w:sz w:val="20"/>
        </w:rPr>
        <w:t>Gay,</w:t>
      </w:r>
      <w:r>
        <w:rPr>
          <w:spacing w:val="-5"/>
          <w:sz w:val="20"/>
        </w:rPr>
        <w:t xml:space="preserve"> </w:t>
      </w:r>
      <w:r>
        <w:rPr>
          <w:sz w:val="20"/>
        </w:rPr>
        <w:t>Bisexual,</w:t>
      </w:r>
      <w:r>
        <w:rPr>
          <w:spacing w:val="-3"/>
          <w:sz w:val="20"/>
        </w:rPr>
        <w:t xml:space="preserve"> </w:t>
      </w:r>
      <w:r>
        <w:rPr>
          <w:sz w:val="20"/>
        </w:rPr>
        <w:t>and</w:t>
      </w:r>
      <w:r>
        <w:rPr>
          <w:spacing w:val="-4"/>
          <w:sz w:val="20"/>
        </w:rPr>
        <w:t xml:space="preserve"> </w:t>
      </w:r>
      <w:r>
        <w:rPr>
          <w:sz w:val="20"/>
        </w:rPr>
        <w:t>Transgender</w:t>
      </w:r>
      <w:r>
        <w:rPr>
          <w:spacing w:val="-5"/>
          <w:sz w:val="20"/>
        </w:rPr>
        <w:t xml:space="preserve"> </w:t>
      </w:r>
      <w:r>
        <w:rPr>
          <w:sz w:val="20"/>
        </w:rPr>
        <w:t>Health</w:t>
      </w:r>
      <w:r>
        <w:rPr>
          <w:spacing w:val="-5"/>
          <w:sz w:val="20"/>
        </w:rPr>
        <w:t xml:space="preserve"> </w:t>
      </w:r>
      <w:r>
        <w:rPr>
          <w:sz w:val="20"/>
        </w:rPr>
        <w:t>Issues</w:t>
      </w:r>
      <w:r>
        <w:rPr>
          <w:spacing w:val="-5"/>
          <w:sz w:val="20"/>
        </w:rPr>
        <w:t xml:space="preserve"> </w:t>
      </w:r>
      <w:r>
        <w:rPr>
          <w:sz w:val="20"/>
        </w:rPr>
        <w:t>and</w:t>
      </w:r>
      <w:r>
        <w:rPr>
          <w:spacing w:val="-5"/>
          <w:sz w:val="20"/>
        </w:rPr>
        <w:t xml:space="preserve"> </w:t>
      </w:r>
      <w:r>
        <w:rPr>
          <w:sz w:val="20"/>
        </w:rPr>
        <w:t>Research</w:t>
      </w:r>
      <w:r>
        <w:rPr>
          <w:spacing w:val="-4"/>
          <w:sz w:val="20"/>
        </w:rPr>
        <w:t xml:space="preserve"> </w:t>
      </w:r>
      <w:r>
        <w:rPr>
          <w:sz w:val="20"/>
        </w:rPr>
        <w:t>Gaps</w:t>
      </w:r>
      <w:r>
        <w:rPr>
          <w:spacing w:val="-5"/>
          <w:sz w:val="20"/>
        </w:rPr>
        <w:t xml:space="preserve"> </w:t>
      </w:r>
      <w:r>
        <w:rPr>
          <w:sz w:val="20"/>
        </w:rPr>
        <w:t>and Opportunities,</w:t>
      </w:r>
      <w:r>
        <w:rPr>
          <w:sz w:val="20"/>
        </w:rPr>
        <w:t xml:space="preserve"> </w:t>
      </w:r>
      <w:r>
        <w:rPr>
          <w:i/>
          <w:sz w:val="20"/>
        </w:rPr>
        <w:t xml:space="preserve">The Health of Lesbian, Gay, Bisexual, and Transgender People: Building a Foundation for Better Understanding </w:t>
      </w:r>
      <w:r>
        <w:rPr>
          <w:sz w:val="20"/>
        </w:rPr>
        <w:t>(Washington, D.C.: National Academies Press, 2011).</w:t>
      </w:r>
    </w:p>
    <w:p w:rsidR="00C76E6D" w:rsidRDefault="00913831">
      <w:pPr>
        <w:ind w:left="338" w:right="530" w:hanging="1"/>
        <w:rPr>
          <w:sz w:val="20"/>
        </w:rPr>
      </w:pPr>
      <w:bookmarkStart w:id="656" w:name="_bookmark495"/>
      <w:bookmarkEnd w:id="656"/>
      <w:r>
        <w:rPr>
          <w:sz w:val="20"/>
          <w:vertAlign w:val="superscript"/>
        </w:rPr>
        <w:t>77</w:t>
      </w:r>
      <w:r>
        <w:rPr>
          <w:sz w:val="20"/>
        </w:rPr>
        <w:t xml:space="preserve"> Jaime Grant, Lisa Mottet, and Justin Tanis, “Injustice at Every Turn: A Report of the Natio</w:t>
      </w:r>
      <w:r>
        <w:rPr>
          <w:sz w:val="20"/>
        </w:rPr>
        <w:t>nal Transgender Discrimination</w:t>
      </w:r>
      <w:r>
        <w:rPr>
          <w:spacing w:val="-6"/>
          <w:sz w:val="20"/>
        </w:rPr>
        <w:t xml:space="preserve"> </w:t>
      </w:r>
      <w:r>
        <w:rPr>
          <w:sz w:val="20"/>
        </w:rPr>
        <w:t>Survey”</w:t>
      </w:r>
      <w:r>
        <w:rPr>
          <w:spacing w:val="-6"/>
          <w:sz w:val="20"/>
        </w:rPr>
        <w:t xml:space="preserve"> </w:t>
      </w:r>
      <w:r>
        <w:rPr>
          <w:sz w:val="20"/>
        </w:rPr>
        <w:t>(National</w:t>
      </w:r>
      <w:r>
        <w:rPr>
          <w:spacing w:val="-5"/>
          <w:sz w:val="20"/>
        </w:rPr>
        <w:t xml:space="preserve"> </w:t>
      </w:r>
      <w:r>
        <w:rPr>
          <w:sz w:val="20"/>
        </w:rPr>
        <w:t>Center</w:t>
      </w:r>
      <w:r>
        <w:rPr>
          <w:spacing w:val="-5"/>
          <w:sz w:val="20"/>
        </w:rPr>
        <w:t xml:space="preserve"> </w:t>
      </w:r>
      <w:r>
        <w:rPr>
          <w:sz w:val="20"/>
        </w:rPr>
        <w:t>for</w:t>
      </w:r>
      <w:r>
        <w:rPr>
          <w:spacing w:val="-8"/>
          <w:sz w:val="20"/>
        </w:rPr>
        <w:t xml:space="preserve"> </w:t>
      </w:r>
      <w:r>
        <w:rPr>
          <w:sz w:val="20"/>
        </w:rPr>
        <w:t>Transgender</w:t>
      </w:r>
      <w:r>
        <w:rPr>
          <w:spacing w:val="-7"/>
          <w:sz w:val="20"/>
        </w:rPr>
        <w:t xml:space="preserve"> </w:t>
      </w:r>
      <w:r>
        <w:rPr>
          <w:sz w:val="20"/>
        </w:rPr>
        <w:t>Equality</w:t>
      </w:r>
      <w:r>
        <w:rPr>
          <w:spacing w:val="-5"/>
          <w:sz w:val="20"/>
        </w:rPr>
        <w:t xml:space="preserve"> </w:t>
      </w:r>
      <w:r>
        <w:rPr>
          <w:sz w:val="20"/>
        </w:rPr>
        <w:t>and</w:t>
      </w:r>
      <w:r>
        <w:rPr>
          <w:spacing w:val="-5"/>
          <w:sz w:val="20"/>
        </w:rPr>
        <w:t xml:space="preserve"> </w:t>
      </w:r>
      <w:r>
        <w:rPr>
          <w:sz w:val="20"/>
        </w:rPr>
        <w:t>National</w:t>
      </w:r>
      <w:r>
        <w:rPr>
          <w:spacing w:val="-5"/>
          <w:sz w:val="20"/>
        </w:rPr>
        <w:t xml:space="preserve"> </w:t>
      </w:r>
      <w:r>
        <w:rPr>
          <w:sz w:val="20"/>
        </w:rPr>
        <w:t>Gay</w:t>
      </w:r>
      <w:r>
        <w:rPr>
          <w:spacing w:val="-5"/>
          <w:sz w:val="20"/>
        </w:rPr>
        <w:t xml:space="preserve"> </w:t>
      </w:r>
      <w:r>
        <w:rPr>
          <w:sz w:val="20"/>
        </w:rPr>
        <w:t>and</w:t>
      </w:r>
      <w:r>
        <w:rPr>
          <w:spacing w:val="-7"/>
          <w:sz w:val="20"/>
        </w:rPr>
        <w:t xml:space="preserve"> </w:t>
      </w:r>
      <w:r>
        <w:rPr>
          <w:sz w:val="20"/>
        </w:rPr>
        <w:t>Lesbian</w:t>
      </w:r>
      <w:r>
        <w:rPr>
          <w:spacing w:val="-4"/>
          <w:sz w:val="20"/>
        </w:rPr>
        <w:t xml:space="preserve"> </w:t>
      </w:r>
      <w:r>
        <w:rPr>
          <w:sz w:val="20"/>
        </w:rPr>
        <w:t>Task</w:t>
      </w:r>
      <w:r>
        <w:rPr>
          <w:spacing w:val="-5"/>
          <w:sz w:val="20"/>
        </w:rPr>
        <w:t xml:space="preserve"> </w:t>
      </w:r>
      <w:r>
        <w:rPr>
          <w:sz w:val="20"/>
        </w:rPr>
        <w:t>Force,</w:t>
      </w:r>
      <w:r>
        <w:rPr>
          <w:spacing w:val="-5"/>
          <w:sz w:val="20"/>
        </w:rPr>
        <w:t xml:space="preserve"> </w:t>
      </w:r>
      <w:r>
        <w:rPr>
          <w:sz w:val="20"/>
        </w:rPr>
        <w:t xml:space="preserve">2011), </w:t>
      </w:r>
      <w:r>
        <w:rPr>
          <w:spacing w:val="-2"/>
          <w:sz w:val="20"/>
        </w:rPr>
        <w:t>https://transequality.org/sites/default/files/docs/resources/NTDS_Exec_Summary.pdf.</w:t>
      </w:r>
    </w:p>
    <w:p w:rsidR="00C76E6D" w:rsidRDefault="00913831">
      <w:pPr>
        <w:spacing w:before="4" w:line="241" w:lineRule="exact"/>
        <w:ind w:left="338"/>
        <w:rPr>
          <w:sz w:val="20"/>
        </w:rPr>
      </w:pPr>
      <w:bookmarkStart w:id="657" w:name="_bookmark496"/>
      <w:bookmarkEnd w:id="657"/>
      <w:r>
        <w:rPr>
          <w:sz w:val="20"/>
          <w:vertAlign w:val="superscript"/>
        </w:rPr>
        <w:t>78</w:t>
      </w:r>
      <w:r>
        <w:rPr>
          <w:spacing w:val="-6"/>
          <w:sz w:val="20"/>
        </w:rPr>
        <w:t xml:space="preserve"> </w:t>
      </w:r>
      <w:r>
        <w:rPr>
          <w:sz w:val="20"/>
        </w:rPr>
        <w:t>Grant,</w:t>
      </w:r>
      <w:r>
        <w:rPr>
          <w:spacing w:val="-7"/>
          <w:sz w:val="20"/>
        </w:rPr>
        <w:t xml:space="preserve"> </w:t>
      </w:r>
      <w:r>
        <w:rPr>
          <w:sz w:val="20"/>
        </w:rPr>
        <w:t>Mottet,</w:t>
      </w:r>
      <w:r>
        <w:rPr>
          <w:spacing w:val="-4"/>
          <w:sz w:val="20"/>
        </w:rPr>
        <w:t xml:space="preserve"> </w:t>
      </w:r>
      <w:r>
        <w:rPr>
          <w:sz w:val="20"/>
        </w:rPr>
        <w:t>and</w:t>
      </w:r>
      <w:r>
        <w:rPr>
          <w:spacing w:val="-6"/>
          <w:sz w:val="20"/>
        </w:rPr>
        <w:t xml:space="preserve"> </w:t>
      </w:r>
      <w:r>
        <w:rPr>
          <w:spacing w:val="-2"/>
          <w:sz w:val="20"/>
        </w:rPr>
        <w:t>Tanis.</w:t>
      </w:r>
    </w:p>
    <w:p w:rsidR="00C76E6D" w:rsidRDefault="00913831">
      <w:pPr>
        <w:ind w:left="339" w:hanging="1"/>
        <w:rPr>
          <w:sz w:val="20"/>
        </w:rPr>
      </w:pPr>
      <w:bookmarkStart w:id="658" w:name="_bookmark497"/>
      <w:bookmarkEnd w:id="658"/>
      <w:r>
        <w:rPr>
          <w:sz w:val="20"/>
          <w:vertAlign w:val="superscript"/>
        </w:rPr>
        <w:t>79</w:t>
      </w:r>
      <w:r>
        <w:rPr>
          <w:spacing w:val="-6"/>
          <w:sz w:val="20"/>
        </w:rPr>
        <w:t xml:space="preserve"> </w:t>
      </w:r>
      <w:r>
        <w:rPr>
          <w:sz w:val="20"/>
        </w:rPr>
        <w:t>Alizaga,</w:t>
      </w:r>
      <w:r>
        <w:rPr>
          <w:spacing w:val="-7"/>
          <w:sz w:val="20"/>
        </w:rPr>
        <w:t xml:space="preserve"> </w:t>
      </w:r>
      <w:r>
        <w:rPr>
          <w:sz w:val="20"/>
        </w:rPr>
        <w:t>Aguayo-Romero,</w:t>
      </w:r>
      <w:r>
        <w:rPr>
          <w:spacing w:val="-7"/>
          <w:sz w:val="20"/>
        </w:rPr>
        <w:t xml:space="preserve"> </w:t>
      </w:r>
      <w:r>
        <w:rPr>
          <w:sz w:val="20"/>
        </w:rPr>
        <w:t>and</w:t>
      </w:r>
      <w:r>
        <w:rPr>
          <w:spacing w:val="-8"/>
          <w:sz w:val="20"/>
        </w:rPr>
        <w:t xml:space="preserve"> </w:t>
      </w:r>
      <w:r>
        <w:rPr>
          <w:sz w:val="20"/>
        </w:rPr>
        <w:t>Glickman,</w:t>
      </w:r>
      <w:r>
        <w:rPr>
          <w:spacing w:val="-6"/>
          <w:sz w:val="20"/>
        </w:rPr>
        <w:t xml:space="preserve"> </w:t>
      </w:r>
      <w:r>
        <w:rPr>
          <w:sz w:val="20"/>
        </w:rPr>
        <w:t>“Experiences</w:t>
      </w:r>
      <w:r>
        <w:rPr>
          <w:spacing w:val="-7"/>
          <w:sz w:val="20"/>
        </w:rPr>
        <w:t xml:space="preserve"> </w:t>
      </w:r>
      <w:r>
        <w:rPr>
          <w:sz w:val="20"/>
        </w:rPr>
        <w:t>of</w:t>
      </w:r>
      <w:r>
        <w:rPr>
          <w:spacing w:val="-8"/>
          <w:sz w:val="20"/>
        </w:rPr>
        <w:t xml:space="preserve"> </w:t>
      </w:r>
      <w:r>
        <w:rPr>
          <w:sz w:val="20"/>
        </w:rPr>
        <w:t>Health</w:t>
      </w:r>
      <w:r>
        <w:rPr>
          <w:spacing w:val="-6"/>
          <w:sz w:val="20"/>
        </w:rPr>
        <w:t xml:space="preserve"> </w:t>
      </w:r>
      <w:r>
        <w:rPr>
          <w:sz w:val="20"/>
        </w:rPr>
        <w:t>Care</w:t>
      </w:r>
      <w:r>
        <w:rPr>
          <w:spacing w:val="-8"/>
          <w:sz w:val="20"/>
        </w:rPr>
        <w:t xml:space="preserve"> </w:t>
      </w:r>
      <w:r>
        <w:rPr>
          <w:sz w:val="20"/>
        </w:rPr>
        <w:t>Discrimination</w:t>
      </w:r>
      <w:r>
        <w:rPr>
          <w:spacing w:val="-6"/>
          <w:sz w:val="20"/>
        </w:rPr>
        <w:t xml:space="preserve"> </w:t>
      </w:r>
      <w:r>
        <w:rPr>
          <w:sz w:val="20"/>
        </w:rPr>
        <w:t>among</w:t>
      </w:r>
      <w:r>
        <w:rPr>
          <w:spacing w:val="-6"/>
          <w:sz w:val="20"/>
        </w:rPr>
        <w:t xml:space="preserve"> </w:t>
      </w:r>
      <w:r>
        <w:rPr>
          <w:sz w:val="20"/>
        </w:rPr>
        <w:t>Transgender</w:t>
      </w:r>
      <w:r>
        <w:rPr>
          <w:spacing w:val="-7"/>
          <w:sz w:val="20"/>
        </w:rPr>
        <w:t xml:space="preserve"> </w:t>
      </w:r>
      <w:r>
        <w:rPr>
          <w:sz w:val="20"/>
        </w:rPr>
        <w:t>and</w:t>
      </w:r>
      <w:r>
        <w:rPr>
          <w:spacing w:val="-6"/>
          <w:sz w:val="20"/>
        </w:rPr>
        <w:t xml:space="preserve"> </w:t>
      </w:r>
      <w:r>
        <w:rPr>
          <w:sz w:val="20"/>
        </w:rPr>
        <w:t xml:space="preserve">Gender </w:t>
      </w:r>
      <w:bookmarkStart w:id="659" w:name="_bookmark498"/>
      <w:bookmarkEnd w:id="659"/>
      <w:r>
        <w:rPr>
          <w:sz w:val="20"/>
        </w:rPr>
        <w:t>Nonconforming People of Color.”</w:t>
      </w:r>
    </w:p>
    <w:p w:rsidR="00C76E6D" w:rsidRDefault="00913831">
      <w:pPr>
        <w:ind w:left="339" w:right="437" w:hanging="2"/>
        <w:rPr>
          <w:sz w:val="20"/>
        </w:rPr>
      </w:pPr>
      <w:r>
        <w:rPr>
          <w:sz w:val="20"/>
          <w:vertAlign w:val="superscript"/>
        </w:rPr>
        <w:t>80</w:t>
      </w:r>
      <w:r>
        <w:rPr>
          <w:spacing w:val="-4"/>
          <w:sz w:val="20"/>
        </w:rPr>
        <w:t xml:space="preserve"> </w:t>
      </w:r>
      <w:r>
        <w:rPr>
          <w:sz w:val="20"/>
        </w:rPr>
        <w:t>Ruprecht</w:t>
      </w:r>
      <w:r>
        <w:rPr>
          <w:spacing w:val="-4"/>
          <w:sz w:val="20"/>
        </w:rPr>
        <w:t xml:space="preserve"> </w:t>
      </w:r>
      <w:r>
        <w:rPr>
          <w:sz w:val="20"/>
        </w:rPr>
        <w:t>et</w:t>
      </w:r>
      <w:r>
        <w:rPr>
          <w:spacing w:val="-7"/>
          <w:sz w:val="20"/>
        </w:rPr>
        <w:t xml:space="preserve"> </w:t>
      </w:r>
      <w:r>
        <w:rPr>
          <w:sz w:val="20"/>
        </w:rPr>
        <w:t>al.,</w:t>
      </w:r>
      <w:r>
        <w:rPr>
          <w:spacing w:val="-4"/>
          <w:sz w:val="20"/>
        </w:rPr>
        <w:t xml:space="preserve"> </w:t>
      </w:r>
      <w:r>
        <w:rPr>
          <w:sz w:val="20"/>
        </w:rPr>
        <w:t>“Evidence</w:t>
      </w:r>
      <w:r>
        <w:rPr>
          <w:spacing w:val="-5"/>
          <w:sz w:val="20"/>
        </w:rPr>
        <w:t xml:space="preserve"> </w:t>
      </w:r>
      <w:r>
        <w:rPr>
          <w:sz w:val="20"/>
        </w:rPr>
        <w:t>of</w:t>
      </w:r>
      <w:r>
        <w:rPr>
          <w:spacing w:val="-6"/>
          <w:sz w:val="20"/>
        </w:rPr>
        <w:t xml:space="preserve"> </w:t>
      </w:r>
      <w:r>
        <w:rPr>
          <w:sz w:val="20"/>
        </w:rPr>
        <w:t>Social</w:t>
      </w:r>
      <w:r>
        <w:rPr>
          <w:spacing w:val="-5"/>
          <w:sz w:val="20"/>
        </w:rPr>
        <w:t xml:space="preserve"> </w:t>
      </w:r>
      <w:r>
        <w:rPr>
          <w:sz w:val="20"/>
        </w:rPr>
        <w:t>and</w:t>
      </w:r>
      <w:r>
        <w:rPr>
          <w:spacing w:val="-5"/>
          <w:sz w:val="20"/>
        </w:rPr>
        <w:t xml:space="preserve"> </w:t>
      </w:r>
      <w:r>
        <w:rPr>
          <w:sz w:val="20"/>
        </w:rPr>
        <w:t>Structural</w:t>
      </w:r>
      <w:r>
        <w:rPr>
          <w:spacing w:val="-4"/>
          <w:sz w:val="20"/>
        </w:rPr>
        <w:t xml:space="preserve"> </w:t>
      </w:r>
      <w:r>
        <w:rPr>
          <w:sz w:val="20"/>
        </w:rPr>
        <w:t>COVID-19</w:t>
      </w:r>
      <w:r>
        <w:rPr>
          <w:spacing w:val="-4"/>
          <w:sz w:val="20"/>
        </w:rPr>
        <w:t xml:space="preserve"> </w:t>
      </w:r>
      <w:r>
        <w:rPr>
          <w:sz w:val="20"/>
        </w:rPr>
        <w:t>Disparities</w:t>
      </w:r>
      <w:r>
        <w:rPr>
          <w:spacing w:val="-6"/>
          <w:sz w:val="20"/>
        </w:rPr>
        <w:t xml:space="preserve"> </w:t>
      </w:r>
      <w:r>
        <w:rPr>
          <w:sz w:val="20"/>
        </w:rPr>
        <w:t>by</w:t>
      </w:r>
      <w:r>
        <w:rPr>
          <w:spacing w:val="-5"/>
          <w:sz w:val="20"/>
        </w:rPr>
        <w:t xml:space="preserve"> </w:t>
      </w:r>
      <w:r>
        <w:rPr>
          <w:sz w:val="20"/>
        </w:rPr>
        <w:t>Sexual</w:t>
      </w:r>
      <w:r>
        <w:rPr>
          <w:spacing w:val="-7"/>
          <w:sz w:val="20"/>
        </w:rPr>
        <w:t xml:space="preserve"> </w:t>
      </w:r>
      <w:r>
        <w:rPr>
          <w:sz w:val="20"/>
        </w:rPr>
        <w:t>Orientation,</w:t>
      </w:r>
      <w:r>
        <w:rPr>
          <w:spacing w:val="-4"/>
          <w:sz w:val="20"/>
        </w:rPr>
        <w:t xml:space="preserve"> </w:t>
      </w:r>
      <w:r>
        <w:rPr>
          <w:sz w:val="20"/>
        </w:rPr>
        <w:t>Gender</w:t>
      </w:r>
      <w:r>
        <w:rPr>
          <w:spacing w:val="-6"/>
          <w:sz w:val="20"/>
        </w:rPr>
        <w:t xml:space="preserve"> </w:t>
      </w:r>
      <w:r>
        <w:rPr>
          <w:sz w:val="20"/>
        </w:rPr>
        <w:t>Identity,</w:t>
      </w:r>
      <w:r>
        <w:rPr>
          <w:spacing w:val="-5"/>
          <w:sz w:val="20"/>
        </w:rPr>
        <w:t xml:space="preserve"> </w:t>
      </w:r>
      <w:r>
        <w:rPr>
          <w:sz w:val="20"/>
        </w:rPr>
        <w:t>and Race/Ethnicity in an Urban Environment.”</w:t>
      </w:r>
    </w:p>
    <w:p w:rsidR="00C76E6D" w:rsidRDefault="00913831">
      <w:pPr>
        <w:ind w:left="339" w:hanging="1"/>
        <w:rPr>
          <w:sz w:val="20"/>
        </w:rPr>
      </w:pPr>
      <w:bookmarkStart w:id="660" w:name="_bookmark499"/>
      <w:bookmarkEnd w:id="660"/>
      <w:r>
        <w:rPr>
          <w:sz w:val="20"/>
          <w:vertAlign w:val="superscript"/>
        </w:rPr>
        <w:t>81</w:t>
      </w:r>
      <w:r>
        <w:rPr>
          <w:spacing w:val="-4"/>
          <w:sz w:val="20"/>
        </w:rPr>
        <w:t xml:space="preserve"> </w:t>
      </w:r>
      <w:r>
        <w:rPr>
          <w:sz w:val="20"/>
        </w:rPr>
        <w:t>MacCarthy</w:t>
      </w:r>
      <w:r>
        <w:rPr>
          <w:spacing w:val="-4"/>
          <w:sz w:val="20"/>
        </w:rPr>
        <w:t xml:space="preserve"> </w:t>
      </w:r>
      <w:r>
        <w:rPr>
          <w:sz w:val="20"/>
        </w:rPr>
        <w:t>et</w:t>
      </w:r>
      <w:r>
        <w:rPr>
          <w:spacing w:val="-6"/>
          <w:sz w:val="20"/>
        </w:rPr>
        <w:t xml:space="preserve"> </w:t>
      </w:r>
      <w:r>
        <w:rPr>
          <w:sz w:val="20"/>
        </w:rPr>
        <w:t>al.,</w:t>
      </w:r>
      <w:r>
        <w:rPr>
          <w:spacing w:val="-4"/>
          <w:sz w:val="20"/>
        </w:rPr>
        <w:t xml:space="preserve"> </w:t>
      </w:r>
      <w:r>
        <w:rPr>
          <w:sz w:val="20"/>
        </w:rPr>
        <w:t>“Rapid</w:t>
      </w:r>
      <w:r>
        <w:rPr>
          <w:spacing w:val="-5"/>
          <w:sz w:val="20"/>
        </w:rPr>
        <w:t xml:space="preserve"> </w:t>
      </w:r>
      <w:r>
        <w:rPr>
          <w:sz w:val="20"/>
        </w:rPr>
        <w:t>Mixed-Methods</w:t>
      </w:r>
      <w:r>
        <w:rPr>
          <w:spacing w:val="-8"/>
          <w:sz w:val="20"/>
        </w:rPr>
        <w:t xml:space="preserve"> </w:t>
      </w:r>
      <w:r>
        <w:rPr>
          <w:sz w:val="20"/>
        </w:rPr>
        <w:t>Assessment</w:t>
      </w:r>
      <w:r>
        <w:rPr>
          <w:spacing w:val="-4"/>
          <w:sz w:val="20"/>
        </w:rPr>
        <w:t xml:space="preserve"> </w:t>
      </w:r>
      <w:r>
        <w:rPr>
          <w:sz w:val="20"/>
        </w:rPr>
        <w:t>of</w:t>
      </w:r>
      <w:r>
        <w:rPr>
          <w:spacing w:val="-6"/>
          <w:sz w:val="20"/>
        </w:rPr>
        <w:t xml:space="preserve"> </w:t>
      </w:r>
      <w:r>
        <w:rPr>
          <w:sz w:val="20"/>
        </w:rPr>
        <w:t>COVID-19</w:t>
      </w:r>
      <w:r>
        <w:rPr>
          <w:spacing w:val="-4"/>
          <w:sz w:val="20"/>
        </w:rPr>
        <w:t xml:space="preserve"> </w:t>
      </w:r>
      <w:r>
        <w:rPr>
          <w:sz w:val="20"/>
        </w:rPr>
        <w:t>Impact</w:t>
      </w:r>
      <w:r>
        <w:rPr>
          <w:spacing w:val="-4"/>
          <w:sz w:val="20"/>
        </w:rPr>
        <w:t xml:space="preserve"> </w:t>
      </w:r>
      <w:r>
        <w:rPr>
          <w:sz w:val="20"/>
        </w:rPr>
        <w:t>on</w:t>
      </w:r>
      <w:r>
        <w:rPr>
          <w:spacing w:val="-4"/>
          <w:sz w:val="20"/>
        </w:rPr>
        <w:t xml:space="preserve"> </w:t>
      </w:r>
      <w:r>
        <w:rPr>
          <w:sz w:val="20"/>
        </w:rPr>
        <w:t>Latinx</w:t>
      </w:r>
      <w:r>
        <w:rPr>
          <w:spacing w:val="-6"/>
          <w:sz w:val="20"/>
        </w:rPr>
        <w:t xml:space="preserve"> </w:t>
      </w:r>
      <w:r>
        <w:rPr>
          <w:sz w:val="20"/>
        </w:rPr>
        <w:t>Sexual</w:t>
      </w:r>
      <w:r>
        <w:rPr>
          <w:spacing w:val="-5"/>
          <w:sz w:val="20"/>
        </w:rPr>
        <w:t xml:space="preserve"> </w:t>
      </w:r>
      <w:r>
        <w:rPr>
          <w:sz w:val="20"/>
        </w:rPr>
        <w:t>Minority</w:t>
      </w:r>
      <w:r>
        <w:rPr>
          <w:spacing w:val="-6"/>
          <w:sz w:val="20"/>
        </w:rPr>
        <w:t xml:space="preserve"> </w:t>
      </w:r>
      <w:r>
        <w:rPr>
          <w:sz w:val="20"/>
        </w:rPr>
        <w:t>Men</w:t>
      </w:r>
      <w:r>
        <w:rPr>
          <w:spacing w:val="-4"/>
          <w:sz w:val="20"/>
        </w:rPr>
        <w:t xml:space="preserve"> </w:t>
      </w:r>
      <w:r>
        <w:rPr>
          <w:sz w:val="20"/>
        </w:rPr>
        <w:t>and</w:t>
      </w:r>
      <w:r>
        <w:rPr>
          <w:spacing w:val="-4"/>
          <w:sz w:val="20"/>
        </w:rPr>
        <w:t xml:space="preserve"> </w:t>
      </w:r>
      <w:r>
        <w:rPr>
          <w:sz w:val="20"/>
        </w:rPr>
        <w:t>Latinx Transgender Women.”</w:t>
      </w:r>
    </w:p>
    <w:p w:rsidR="00C76E6D" w:rsidRDefault="00913831">
      <w:pPr>
        <w:ind w:left="340" w:right="530" w:hanging="2"/>
        <w:rPr>
          <w:sz w:val="20"/>
        </w:rPr>
      </w:pPr>
      <w:bookmarkStart w:id="661" w:name="_bookmark500"/>
      <w:bookmarkEnd w:id="661"/>
      <w:r>
        <w:rPr>
          <w:sz w:val="20"/>
          <w:vertAlign w:val="superscript"/>
        </w:rPr>
        <w:t>82</w:t>
      </w:r>
      <w:r>
        <w:rPr>
          <w:spacing w:val="-4"/>
          <w:sz w:val="20"/>
        </w:rPr>
        <w:t xml:space="preserve"> </w:t>
      </w:r>
      <w:r>
        <w:rPr>
          <w:sz w:val="20"/>
        </w:rPr>
        <w:t>Paula</w:t>
      </w:r>
      <w:r>
        <w:rPr>
          <w:spacing w:val="-4"/>
          <w:sz w:val="20"/>
        </w:rPr>
        <w:t xml:space="preserve"> </w:t>
      </w:r>
      <w:r>
        <w:rPr>
          <w:sz w:val="20"/>
        </w:rPr>
        <w:t>Neira</w:t>
      </w:r>
      <w:r>
        <w:rPr>
          <w:spacing w:val="-6"/>
          <w:sz w:val="20"/>
        </w:rPr>
        <w:t xml:space="preserve"> </w:t>
      </w:r>
      <w:r>
        <w:rPr>
          <w:sz w:val="20"/>
        </w:rPr>
        <w:t>and</w:t>
      </w:r>
      <w:r>
        <w:rPr>
          <w:spacing w:val="-5"/>
          <w:sz w:val="20"/>
        </w:rPr>
        <w:t xml:space="preserve"> </w:t>
      </w:r>
      <w:r>
        <w:rPr>
          <w:sz w:val="20"/>
        </w:rPr>
        <w:t>An</w:t>
      </w:r>
      <w:r>
        <w:rPr>
          <w:spacing w:val="-5"/>
          <w:sz w:val="20"/>
        </w:rPr>
        <w:t xml:space="preserve"> </w:t>
      </w:r>
      <w:r>
        <w:rPr>
          <w:sz w:val="20"/>
        </w:rPr>
        <w:t>Na</w:t>
      </w:r>
      <w:r>
        <w:rPr>
          <w:spacing w:val="-4"/>
          <w:sz w:val="20"/>
        </w:rPr>
        <w:t xml:space="preserve"> </w:t>
      </w:r>
      <w:r>
        <w:rPr>
          <w:sz w:val="20"/>
        </w:rPr>
        <w:t>Lee,</w:t>
      </w:r>
      <w:r>
        <w:rPr>
          <w:spacing w:val="-5"/>
          <w:sz w:val="20"/>
        </w:rPr>
        <w:t xml:space="preserve"> </w:t>
      </w:r>
      <w:r>
        <w:rPr>
          <w:sz w:val="20"/>
        </w:rPr>
        <w:t>“Under</w:t>
      </w:r>
      <w:r>
        <w:rPr>
          <w:spacing w:val="-7"/>
          <w:sz w:val="20"/>
        </w:rPr>
        <w:t xml:space="preserve"> </w:t>
      </w:r>
      <w:r>
        <w:rPr>
          <w:sz w:val="20"/>
        </w:rPr>
        <w:t>Attack:</w:t>
      </w:r>
      <w:r>
        <w:rPr>
          <w:spacing w:val="-5"/>
          <w:sz w:val="20"/>
        </w:rPr>
        <w:t xml:space="preserve"> </w:t>
      </w:r>
      <w:r>
        <w:rPr>
          <w:sz w:val="20"/>
        </w:rPr>
        <w:t>Transgender</w:t>
      </w:r>
      <w:r>
        <w:rPr>
          <w:spacing w:val="-6"/>
          <w:sz w:val="20"/>
        </w:rPr>
        <w:t xml:space="preserve"> </w:t>
      </w:r>
      <w:r>
        <w:rPr>
          <w:sz w:val="20"/>
        </w:rPr>
        <w:t>Health</w:t>
      </w:r>
      <w:r>
        <w:rPr>
          <w:spacing w:val="-4"/>
          <w:sz w:val="20"/>
        </w:rPr>
        <w:t xml:space="preserve"> </w:t>
      </w:r>
      <w:r>
        <w:rPr>
          <w:sz w:val="20"/>
        </w:rPr>
        <w:t>In</w:t>
      </w:r>
      <w:r>
        <w:rPr>
          <w:spacing w:val="-7"/>
          <w:sz w:val="20"/>
        </w:rPr>
        <w:t xml:space="preserve"> </w:t>
      </w:r>
      <w:r>
        <w:rPr>
          <w:sz w:val="20"/>
        </w:rPr>
        <w:t>2020,”</w:t>
      </w:r>
      <w:r>
        <w:rPr>
          <w:spacing w:val="-5"/>
          <w:sz w:val="20"/>
        </w:rPr>
        <w:t xml:space="preserve"> </w:t>
      </w:r>
      <w:r>
        <w:rPr>
          <w:i/>
          <w:sz w:val="20"/>
        </w:rPr>
        <w:t>Journal</w:t>
      </w:r>
      <w:r>
        <w:rPr>
          <w:i/>
          <w:spacing w:val="-7"/>
          <w:sz w:val="20"/>
        </w:rPr>
        <w:t xml:space="preserve"> </w:t>
      </w:r>
      <w:r>
        <w:rPr>
          <w:i/>
          <w:sz w:val="20"/>
        </w:rPr>
        <w:t>of</w:t>
      </w:r>
      <w:r>
        <w:rPr>
          <w:i/>
          <w:spacing w:val="-6"/>
          <w:sz w:val="20"/>
        </w:rPr>
        <w:t xml:space="preserve"> </w:t>
      </w:r>
      <w:r>
        <w:rPr>
          <w:i/>
          <w:sz w:val="20"/>
        </w:rPr>
        <w:t>Health</w:t>
      </w:r>
      <w:r>
        <w:rPr>
          <w:i/>
          <w:spacing w:val="-4"/>
          <w:sz w:val="20"/>
        </w:rPr>
        <w:t xml:space="preserve"> </w:t>
      </w:r>
      <w:r>
        <w:rPr>
          <w:i/>
          <w:sz w:val="20"/>
        </w:rPr>
        <w:t>Care</w:t>
      </w:r>
      <w:r>
        <w:rPr>
          <w:i/>
          <w:spacing w:val="-4"/>
          <w:sz w:val="20"/>
        </w:rPr>
        <w:t xml:space="preserve"> </w:t>
      </w:r>
      <w:r>
        <w:rPr>
          <w:i/>
          <w:sz w:val="20"/>
        </w:rPr>
        <w:t>Law</w:t>
      </w:r>
      <w:r>
        <w:rPr>
          <w:i/>
          <w:spacing w:val="-7"/>
          <w:sz w:val="20"/>
        </w:rPr>
        <w:t xml:space="preserve"> </w:t>
      </w:r>
      <w:r>
        <w:rPr>
          <w:i/>
          <w:sz w:val="20"/>
        </w:rPr>
        <w:t>&amp;</w:t>
      </w:r>
      <w:r>
        <w:rPr>
          <w:i/>
          <w:spacing w:val="-5"/>
          <w:sz w:val="20"/>
        </w:rPr>
        <w:t xml:space="preserve"> </w:t>
      </w:r>
      <w:r>
        <w:rPr>
          <w:i/>
          <w:sz w:val="20"/>
        </w:rPr>
        <w:t>Policy</w:t>
      </w:r>
      <w:r>
        <w:rPr>
          <w:i/>
          <w:spacing w:val="-4"/>
          <w:sz w:val="20"/>
        </w:rPr>
        <w:t xml:space="preserve"> </w:t>
      </w:r>
      <w:r>
        <w:rPr>
          <w:sz w:val="20"/>
        </w:rPr>
        <w:t>24 (2021): 31.</w:t>
      </w:r>
    </w:p>
    <w:p w:rsidR="00C76E6D" w:rsidRDefault="00913831">
      <w:pPr>
        <w:ind w:left="339" w:right="437" w:hanging="2"/>
        <w:rPr>
          <w:sz w:val="20"/>
        </w:rPr>
      </w:pPr>
      <w:bookmarkStart w:id="662" w:name="_bookmark501"/>
      <w:bookmarkEnd w:id="662"/>
      <w:r>
        <w:rPr>
          <w:sz w:val="20"/>
          <w:vertAlign w:val="superscript"/>
        </w:rPr>
        <w:t>83</w:t>
      </w:r>
      <w:r>
        <w:rPr>
          <w:spacing w:val="-5"/>
          <w:sz w:val="20"/>
        </w:rPr>
        <w:t xml:space="preserve"> </w:t>
      </w:r>
      <w:r>
        <w:rPr>
          <w:sz w:val="20"/>
        </w:rPr>
        <w:t>Jae</w:t>
      </w:r>
      <w:r>
        <w:rPr>
          <w:spacing w:val="-6"/>
          <w:sz w:val="20"/>
        </w:rPr>
        <w:t xml:space="preserve"> </w:t>
      </w:r>
      <w:r>
        <w:rPr>
          <w:sz w:val="20"/>
        </w:rPr>
        <w:t>M.</w:t>
      </w:r>
      <w:r>
        <w:rPr>
          <w:spacing w:val="-6"/>
          <w:sz w:val="20"/>
        </w:rPr>
        <w:t xml:space="preserve"> </w:t>
      </w:r>
      <w:r>
        <w:rPr>
          <w:sz w:val="20"/>
        </w:rPr>
        <w:t>Sevelius,</w:t>
      </w:r>
      <w:r>
        <w:rPr>
          <w:spacing w:val="-5"/>
          <w:sz w:val="20"/>
        </w:rPr>
        <w:t xml:space="preserve"> </w:t>
      </w:r>
      <w:r>
        <w:rPr>
          <w:sz w:val="20"/>
        </w:rPr>
        <w:t>“Gender</w:t>
      </w:r>
      <w:r>
        <w:rPr>
          <w:spacing w:val="-6"/>
          <w:sz w:val="20"/>
        </w:rPr>
        <w:t xml:space="preserve"> </w:t>
      </w:r>
      <w:r>
        <w:rPr>
          <w:sz w:val="20"/>
        </w:rPr>
        <w:t>Affirmation:</w:t>
      </w:r>
      <w:r>
        <w:rPr>
          <w:spacing w:val="-6"/>
          <w:sz w:val="20"/>
        </w:rPr>
        <w:t xml:space="preserve"> </w:t>
      </w:r>
      <w:r>
        <w:rPr>
          <w:sz w:val="20"/>
        </w:rPr>
        <w:t>A</w:t>
      </w:r>
      <w:r>
        <w:rPr>
          <w:spacing w:val="-5"/>
          <w:sz w:val="20"/>
        </w:rPr>
        <w:t xml:space="preserve"> </w:t>
      </w:r>
      <w:r>
        <w:rPr>
          <w:sz w:val="20"/>
        </w:rPr>
        <w:t>Framework</w:t>
      </w:r>
      <w:r>
        <w:rPr>
          <w:spacing w:val="-6"/>
          <w:sz w:val="20"/>
        </w:rPr>
        <w:t xml:space="preserve"> </w:t>
      </w:r>
      <w:r>
        <w:rPr>
          <w:sz w:val="20"/>
        </w:rPr>
        <w:t>for</w:t>
      </w:r>
      <w:r>
        <w:rPr>
          <w:spacing w:val="-6"/>
          <w:sz w:val="20"/>
        </w:rPr>
        <w:t xml:space="preserve"> </w:t>
      </w:r>
      <w:r>
        <w:rPr>
          <w:sz w:val="20"/>
        </w:rPr>
        <w:t>Conceptualizing</w:t>
      </w:r>
      <w:r>
        <w:rPr>
          <w:spacing w:val="-7"/>
          <w:sz w:val="20"/>
        </w:rPr>
        <w:t xml:space="preserve"> </w:t>
      </w:r>
      <w:r>
        <w:rPr>
          <w:sz w:val="20"/>
        </w:rPr>
        <w:t>Risk</w:t>
      </w:r>
      <w:r>
        <w:rPr>
          <w:spacing w:val="-5"/>
          <w:sz w:val="20"/>
        </w:rPr>
        <w:t xml:space="preserve"> </w:t>
      </w:r>
      <w:r>
        <w:rPr>
          <w:sz w:val="20"/>
        </w:rPr>
        <w:t>Behavior</w:t>
      </w:r>
      <w:r>
        <w:rPr>
          <w:spacing w:val="-6"/>
          <w:sz w:val="20"/>
        </w:rPr>
        <w:t xml:space="preserve"> </w:t>
      </w:r>
      <w:r>
        <w:rPr>
          <w:sz w:val="20"/>
        </w:rPr>
        <w:t>Among</w:t>
      </w:r>
      <w:r>
        <w:rPr>
          <w:spacing w:val="-5"/>
          <w:sz w:val="20"/>
        </w:rPr>
        <w:t xml:space="preserve"> </w:t>
      </w:r>
      <w:r>
        <w:rPr>
          <w:sz w:val="20"/>
        </w:rPr>
        <w:t>Transgender</w:t>
      </w:r>
      <w:r>
        <w:rPr>
          <w:spacing w:val="-7"/>
          <w:sz w:val="20"/>
        </w:rPr>
        <w:t xml:space="preserve"> </w:t>
      </w:r>
      <w:r>
        <w:rPr>
          <w:sz w:val="20"/>
        </w:rPr>
        <w:t xml:space="preserve">Women of Color,” </w:t>
      </w:r>
      <w:r>
        <w:rPr>
          <w:i/>
          <w:sz w:val="20"/>
        </w:rPr>
        <w:t xml:space="preserve">Sex Roles </w:t>
      </w:r>
      <w:r>
        <w:rPr>
          <w:sz w:val="20"/>
        </w:rPr>
        <w:t>68, no. 11–12 (June 2013): 675–89, https://doi.org/10.1007/s11199-012-0216-5.</w:t>
      </w:r>
    </w:p>
    <w:p w:rsidR="00C76E6D" w:rsidRDefault="00913831">
      <w:pPr>
        <w:ind w:left="339" w:right="530" w:hanging="1"/>
        <w:rPr>
          <w:sz w:val="20"/>
        </w:rPr>
      </w:pPr>
      <w:bookmarkStart w:id="663" w:name="_bookmark502"/>
      <w:bookmarkEnd w:id="663"/>
      <w:r>
        <w:rPr>
          <w:sz w:val="20"/>
          <w:vertAlign w:val="superscript"/>
        </w:rPr>
        <w:t>84</w:t>
      </w:r>
      <w:r>
        <w:rPr>
          <w:spacing w:val="-6"/>
          <w:sz w:val="20"/>
        </w:rPr>
        <w:t xml:space="preserve"> </w:t>
      </w:r>
      <w:r>
        <w:rPr>
          <w:sz w:val="20"/>
        </w:rPr>
        <w:t>American</w:t>
      </w:r>
      <w:r>
        <w:rPr>
          <w:spacing w:val="-6"/>
          <w:sz w:val="20"/>
        </w:rPr>
        <w:t xml:space="preserve"> </w:t>
      </w:r>
      <w:r>
        <w:rPr>
          <w:sz w:val="20"/>
        </w:rPr>
        <w:t>Psychiatric</w:t>
      </w:r>
      <w:r>
        <w:rPr>
          <w:spacing w:val="-7"/>
          <w:sz w:val="20"/>
        </w:rPr>
        <w:t xml:space="preserve"> </w:t>
      </w:r>
      <w:r>
        <w:rPr>
          <w:sz w:val="20"/>
        </w:rPr>
        <w:t>Association,</w:t>
      </w:r>
      <w:r>
        <w:rPr>
          <w:spacing w:val="-7"/>
          <w:sz w:val="20"/>
        </w:rPr>
        <w:t xml:space="preserve"> </w:t>
      </w:r>
      <w:r>
        <w:rPr>
          <w:i/>
          <w:sz w:val="20"/>
        </w:rPr>
        <w:t>Diagnostic</w:t>
      </w:r>
      <w:r>
        <w:rPr>
          <w:i/>
          <w:spacing w:val="-7"/>
          <w:sz w:val="20"/>
        </w:rPr>
        <w:t xml:space="preserve"> </w:t>
      </w:r>
      <w:r>
        <w:rPr>
          <w:i/>
          <w:sz w:val="20"/>
        </w:rPr>
        <w:t>and</w:t>
      </w:r>
      <w:r>
        <w:rPr>
          <w:i/>
          <w:spacing w:val="-8"/>
          <w:sz w:val="20"/>
        </w:rPr>
        <w:t xml:space="preserve"> </w:t>
      </w:r>
      <w:r>
        <w:rPr>
          <w:i/>
          <w:sz w:val="20"/>
        </w:rPr>
        <w:t>Statistic</w:t>
      </w:r>
      <w:r>
        <w:rPr>
          <w:i/>
          <w:spacing w:val="-7"/>
          <w:sz w:val="20"/>
        </w:rPr>
        <w:t xml:space="preserve"> </w:t>
      </w:r>
      <w:r>
        <w:rPr>
          <w:i/>
          <w:sz w:val="20"/>
        </w:rPr>
        <w:t>Manual</w:t>
      </w:r>
      <w:r>
        <w:rPr>
          <w:i/>
          <w:spacing w:val="-7"/>
          <w:sz w:val="20"/>
        </w:rPr>
        <w:t xml:space="preserve"> </w:t>
      </w:r>
      <w:r>
        <w:rPr>
          <w:i/>
          <w:sz w:val="20"/>
        </w:rPr>
        <w:t>of</w:t>
      </w:r>
      <w:r>
        <w:rPr>
          <w:i/>
          <w:spacing w:val="-8"/>
          <w:sz w:val="20"/>
        </w:rPr>
        <w:t xml:space="preserve"> </w:t>
      </w:r>
      <w:r>
        <w:rPr>
          <w:i/>
          <w:sz w:val="20"/>
        </w:rPr>
        <w:t>Mental</w:t>
      </w:r>
      <w:r>
        <w:rPr>
          <w:i/>
          <w:spacing w:val="-7"/>
          <w:sz w:val="20"/>
        </w:rPr>
        <w:t xml:space="preserve"> </w:t>
      </w:r>
      <w:r>
        <w:rPr>
          <w:i/>
          <w:sz w:val="20"/>
        </w:rPr>
        <w:t>Disorders:</w:t>
      </w:r>
      <w:r>
        <w:rPr>
          <w:i/>
          <w:spacing w:val="-7"/>
          <w:sz w:val="20"/>
        </w:rPr>
        <w:t xml:space="preserve"> </w:t>
      </w:r>
      <w:r>
        <w:rPr>
          <w:i/>
          <w:sz w:val="20"/>
        </w:rPr>
        <w:t>DSM-5</w:t>
      </w:r>
      <w:r>
        <w:rPr>
          <w:i/>
          <w:spacing w:val="-7"/>
          <w:sz w:val="20"/>
        </w:rPr>
        <w:t xml:space="preserve"> </w:t>
      </w:r>
      <w:r>
        <w:rPr>
          <w:sz w:val="20"/>
        </w:rPr>
        <w:t>(Arlington,</w:t>
      </w:r>
      <w:r>
        <w:rPr>
          <w:spacing w:val="-7"/>
          <w:sz w:val="20"/>
        </w:rPr>
        <w:t xml:space="preserve"> </w:t>
      </w:r>
      <w:r>
        <w:rPr>
          <w:sz w:val="20"/>
        </w:rPr>
        <w:t xml:space="preserve">VA: </w:t>
      </w:r>
      <w:bookmarkStart w:id="664" w:name="_bookmark503"/>
      <w:bookmarkEnd w:id="664"/>
      <w:r>
        <w:rPr>
          <w:sz w:val="20"/>
        </w:rPr>
        <w:t>American Psychiatric Association, 2013).</w:t>
      </w:r>
    </w:p>
    <w:p w:rsidR="00C76E6D" w:rsidRDefault="00913831">
      <w:pPr>
        <w:ind w:left="339" w:right="326" w:hanging="2"/>
        <w:rPr>
          <w:sz w:val="20"/>
        </w:rPr>
      </w:pPr>
      <w:r>
        <w:rPr>
          <w:sz w:val="20"/>
          <w:vertAlign w:val="superscript"/>
        </w:rPr>
        <w:t>85</w:t>
      </w:r>
      <w:r>
        <w:rPr>
          <w:spacing w:val="-4"/>
          <w:sz w:val="20"/>
        </w:rPr>
        <w:t xml:space="preserve"> </w:t>
      </w:r>
      <w:r>
        <w:rPr>
          <w:sz w:val="20"/>
        </w:rPr>
        <w:t>Eli</w:t>
      </w:r>
      <w:r>
        <w:rPr>
          <w:spacing w:val="-6"/>
          <w:sz w:val="20"/>
        </w:rPr>
        <w:t xml:space="preserve"> </w:t>
      </w:r>
      <w:r>
        <w:rPr>
          <w:sz w:val="20"/>
        </w:rPr>
        <w:t>Coleman</w:t>
      </w:r>
      <w:r>
        <w:rPr>
          <w:spacing w:val="-7"/>
          <w:sz w:val="20"/>
        </w:rPr>
        <w:t xml:space="preserve"> </w:t>
      </w:r>
      <w:r>
        <w:rPr>
          <w:sz w:val="20"/>
        </w:rPr>
        <w:t>et</w:t>
      </w:r>
      <w:r>
        <w:rPr>
          <w:spacing w:val="-6"/>
          <w:sz w:val="20"/>
        </w:rPr>
        <w:t xml:space="preserve"> </w:t>
      </w:r>
      <w:r>
        <w:rPr>
          <w:sz w:val="20"/>
        </w:rPr>
        <w:t>al.,</w:t>
      </w:r>
      <w:r>
        <w:rPr>
          <w:spacing w:val="-5"/>
          <w:sz w:val="20"/>
        </w:rPr>
        <w:t xml:space="preserve"> </w:t>
      </w:r>
      <w:r>
        <w:rPr>
          <w:i/>
          <w:sz w:val="20"/>
        </w:rPr>
        <w:t>Standards</w:t>
      </w:r>
      <w:r>
        <w:rPr>
          <w:i/>
          <w:spacing w:val="-7"/>
          <w:sz w:val="20"/>
        </w:rPr>
        <w:t xml:space="preserve"> </w:t>
      </w:r>
      <w:r>
        <w:rPr>
          <w:i/>
          <w:sz w:val="20"/>
        </w:rPr>
        <w:t>of</w:t>
      </w:r>
      <w:r>
        <w:rPr>
          <w:i/>
          <w:spacing w:val="-4"/>
          <w:sz w:val="20"/>
        </w:rPr>
        <w:t xml:space="preserve"> </w:t>
      </w:r>
      <w:r>
        <w:rPr>
          <w:i/>
          <w:sz w:val="20"/>
        </w:rPr>
        <w:t>Care</w:t>
      </w:r>
      <w:r>
        <w:rPr>
          <w:i/>
          <w:spacing w:val="-5"/>
          <w:sz w:val="20"/>
        </w:rPr>
        <w:t xml:space="preserve"> </w:t>
      </w:r>
      <w:r>
        <w:rPr>
          <w:i/>
          <w:sz w:val="20"/>
        </w:rPr>
        <w:t>for</w:t>
      </w:r>
      <w:r>
        <w:rPr>
          <w:i/>
          <w:spacing w:val="-6"/>
          <w:sz w:val="20"/>
        </w:rPr>
        <w:t xml:space="preserve"> </w:t>
      </w:r>
      <w:r>
        <w:rPr>
          <w:i/>
          <w:sz w:val="20"/>
        </w:rPr>
        <w:t>the</w:t>
      </w:r>
      <w:r>
        <w:rPr>
          <w:i/>
          <w:spacing w:val="-7"/>
          <w:sz w:val="20"/>
        </w:rPr>
        <w:t xml:space="preserve"> </w:t>
      </w:r>
      <w:r>
        <w:rPr>
          <w:i/>
          <w:sz w:val="20"/>
        </w:rPr>
        <w:t>Health</w:t>
      </w:r>
      <w:r>
        <w:rPr>
          <w:i/>
          <w:spacing w:val="-5"/>
          <w:sz w:val="20"/>
        </w:rPr>
        <w:t xml:space="preserve"> </w:t>
      </w:r>
      <w:r>
        <w:rPr>
          <w:i/>
          <w:sz w:val="20"/>
        </w:rPr>
        <w:t>of</w:t>
      </w:r>
      <w:r>
        <w:rPr>
          <w:i/>
          <w:spacing w:val="-4"/>
          <w:sz w:val="20"/>
        </w:rPr>
        <w:t xml:space="preserve"> </w:t>
      </w:r>
      <w:r>
        <w:rPr>
          <w:i/>
          <w:sz w:val="20"/>
        </w:rPr>
        <w:t>Transsexual,</w:t>
      </w:r>
      <w:r>
        <w:rPr>
          <w:i/>
          <w:spacing w:val="-5"/>
          <w:sz w:val="20"/>
        </w:rPr>
        <w:t xml:space="preserve"> </w:t>
      </w:r>
      <w:r>
        <w:rPr>
          <w:i/>
          <w:sz w:val="20"/>
        </w:rPr>
        <w:t>Transgender,</w:t>
      </w:r>
      <w:r>
        <w:rPr>
          <w:i/>
          <w:spacing w:val="-6"/>
          <w:sz w:val="20"/>
        </w:rPr>
        <w:t xml:space="preserve"> </w:t>
      </w:r>
      <w:r>
        <w:rPr>
          <w:i/>
          <w:sz w:val="20"/>
        </w:rPr>
        <w:t>and</w:t>
      </w:r>
      <w:r>
        <w:rPr>
          <w:i/>
          <w:spacing w:val="-7"/>
          <w:sz w:val="20"/>
        </w:rPr>
        <w:t xml:space="preserve"> </w:t>
      </w:r>
      <w:r>
        <w:rPr>
          <w:i/>
          <w:sz w:val="20"/>
        </w:rPr>
        <w:t>Gender-Nonconforming</w:t>
      </w:r>
      <w:r>
        <w:rPr>
          <w:i/>
          <w:spacing w:val="-4"/>
          <w:sz w:val="20"/>
        </w:rPr>
        <w:t xml:space="preserve"> </w:t>
      </w:r>
      <w:r>
        <w:rPr>
          <w:i/>
          <w:sz w:val="20"/>
        </w:rPr>
        <w:t>People</w:t>
      </w:r>
      <w:r>
        <w:rPr>
          <w:sz w:val="20"/>
        </w:rPr>
        <w:t>, 7th ed. (World Professional Association for Transgender Health (WPATH), 2012).</w:t>
      </w:r>
    </w:p>
    <w:p w:rsidR="00C76E6D" w:rsidRDefault="00913831">
      <w:pPr>
        <w:spacing w:before="2" w:line="241" w:lineRule="exact"/>
        <w:ind w:left="338"/>
        <w:rPr>
          <w:sz w:val="20"/>
        </w:rPr>
      </w:pPr>
      <w:bookmarkStart w:id="665" w:name="_bookmark504"/>
      <w:bookmarkEnd w:id="665"/>
      <w:r>
        <w:rPr>
          <w:sz w:val="20"/>
          <w:vertAlign w:val="superscript"/>
        </w:rPr>
        <w:t>86</w:t>
      </w:r>
      <w:r>
        <w:rPr>
          <w:spacing w:val="-6"/>
          <w:sz w:val="20"/>
        </w:rPr>
        <w:t xml:space="preserve"> </w:t>
      </w:r>
      <w:bookmarkStart w:id="666" w:name="_bookmark505"/>
      <w:bookmarkEnd w:id="666"/>
      <w:r>
        <w:rPr>
          <w:sz w:val="20"/>
        </w:rPr>
        <w:t>Neira</w:t>
      </w:r>
      <w:r>
        <w:rPr>
          <w:spacing w:val="-7"/>
          <w:sz w:val="20"/>
        </w:rPr>
        <w:t xml:space="preserve"> </w:t>
      </w:r>
      <w:r>
        <w:rPr>
          <w:sz w:val="20"/>
        </w:rPr>
        <w:t>and</w:t>
      </w:r>
      <w:r>
        <w:rPr>
          <w:spacing w:val="-6"/>
          <w:sz w:val="20"/>
        </w:rPr>
        <w:t xml:space="preserve"> </w:t>
      </w:r>
      <w:r>
        <w:rPr>
          <w:sz w:val="20"/>
        </w:rPr>
        <w:t>Lee,</w:t>
      </w:r>
      <w:r>
        <w:rPr>
          <w:spacing w:val="-7"/>
          <w:sz w:val="20"/>
        </w:rPr>
        <w:t xml:space="preserve"> </w:t>
      </w:r>
      <w:r>
        <w:rPr>
          <w:sz w:val="20"/>
        </w:rPr>
        <w:t>“Under</w:t>
      </w:r>
      <w:r>
        <w:rPr>
          <w:spacing w:val="-8"/>
          <w:sz w:val="20"/>
        </w:rPr>
        <w:t xml:space="preserve"> </w:t>
      </w:r>
      <w:r>
        <w:rPr>
          <w:sz w:val="20"/>
        </w:rPr>
        <w:t>Attack:</w:t>
      </w:r>
      <w:r>
        <w:rPr>
          <w:spacing w:val="-6"/>
          <w:sz w:val="20"/>
        </w:rPr>
        <w:t xml:space="preserve"> </w:t>
      </w:r>
      <w:r>
        <w:rPr>
          <w:sz w:val="20"/>
        </w:rPr>
        <w:t>Transgender</w:t>
      </w:r>
      <w:r>
        <w:rPr>
          <w:spacing w:val="-9"/>
          <w:sz w:val="20"/>
        </w:rPr>
        <w:t xml:space="preserve"> </w:t>
      </w:r>
      <w:r>
        <w:rPr>
          <w:sz w:val="20"/>
        </w:rPr>
        <w:t>Health</w:t>
      </w:r>
      <w:r>
        <w:rPr>
          <w:spacing w:val="-7"/>
          <w:sz w:val="20"/>
        </w:rPr>
        <w:t xml:space="preserve"> </w:t>
      </w:r>
      <w:r>
        <w:rPr>
          <w:sz w:val="20"/>
        </w:rPr>
        <w:t>In</w:t>
      </w:r>
      <w:r>
        <w:rPr>
          <w:spacing w:val="-6"/>
          <w:sz w:val="20"/>
        </w:rPr>
        <w:t xml:space="preserve"> </w:t>
      </w:r>
      <w:r>
        <w:rPr>
          <w:spacing w:val="-2"/>
          <w:sz w:val="20"/>
        </w:rPr>
        <w:t>2020.”</w:t>
      </w:r>
    </w:p>
    <w:p w:rsidR="00C76E6D" w:rsidRDefault="00913831">
      <w:pPr>
        <w:ind w:left="339" w:right="975" w:hanging="1"/>
        <w:rPr>
          <w:sz w:val="20"/>
        </w:rPr>
      </w:pPr>
      <w:r>
        <w:rPr>
          <w:sz w:val="20"/>
          <w:vertAlign w:val="superscript"/>
        </w:rPr>
        <w:t>87</w:t>
      </w:r>
      <w:r>
        <w:rPr>
          <w:spacing w:val="-6"/>
          <w:sz w:val="20"/>
        </w:rPr>
        <w:t xml:space="preserve"> </w:t>
      </w:r>
      <w:r>
        <w:rPr>
          <w:sz w:val="20"/>
        </w:rPr>
        <w:t>Lambda</w:t>
      </w:r>
      <w:r>
        <w:rPr>
          <w:spacing w:val="-7"/>
          <w:sz w:val="20"/>
        </w:rPr>
        <w:t xml:space="preserve"> </w:t>
      </w:r>
      <w:r>
        <w:rPr>
          <w:sz w:val="20"/>
        </w:rPr>
        <w:t>Legal,</w:t>
      </w:r>
      <w:r>
        <w:rPr>
          <w:spacing w:val="-6"/>
          <w:sz w:val="20"/>
        </w:rPr>
        <w:t xml:space="preserve"> </w:t>
      </w:r>
      <w:r>
        <w:rPr>
          <w:sz w:val="20"/>
        </w:rPr>
        <w:t>“Creating</w:t>
      </w:r>
      <w:r>
        <w:rPr>
          <w:spacing w:val="-8"/>
          <w:sz w:val="20"/>
        </w:rPr>
        <w:t xml:space="preserve"> </w:t>
      </w:r>
      <w:r>
        <w:rPr>
          <w:sz w:val="20"/>
        </w:rPr>
        <w:t>Equal</w:t>
      </w:r>
      <w:r>
        <w:rPr>
          <w:spacing w:val="-6"/>
          <w:sz w:val="20"/>
        </w:rPr>
        <w:t xml:space="preserve"> </w:t>
      </w:r>
      <w:r>
        <w:rPr>
          <w:sz w:val="20"/>
        </w:rPr>
        <w:t>Access</w:t>
      </w:r>
      <w:r>
        <w:rPr>
          <w:spacing w:val="-7"/>
          <w:sz w:val="20"/>
        </w:rPr>
        <w:t xml:space="preserve"> </w:t>
      </w:r>
      <w:r>
        <w:rPr>
          <w:sz w:val="20"/>
        </w:rPr>
        <w:t>to</w:t>
      </w:r>
      <w:r>
        <w:rPr>
          <w:spacing w:val="-8"/>
          <w:sz w:val="20"/>
        </w:rPr>
        <w:t xml:space="preserve"> </w:t>
      </w:r>
      <w:r>
        <w:rPr>
          <w:sz w:val="20"/>
        </w:rPr>
        <w:t>Quality</w:t>
      </w:r>
      <w:r>
        <w:rPr>
          <w:spacing w:val="-6"/>
          <w:sz w:val="20"/>
        </w:rPr>
        <w:t xml:space="preserve"> </w:t>
      </w:r>
      <w:r>
        <w:rPr>
          <w:sz w:val="20"/>
        </w:rPr>
        <w:t>Healthcare</w:t>
      </w:r>
      <w:r>
        <w:rPr>
          <w:spacing w:val="-6"/>
          <w:sz w:val="20"/>
        </w:rPr>
        <w:t xml:space="preserve"> </w:t>
      </w:r>
      <w:r>
        <w:rPr>
          <w:sz w:val="20"/>
        </w:rPr>
        <w:t>for</w:t>
      </w:r>
      <w:r>
        <w:rPr>
          <w:spacing w:val="-7"/>
          <w:sz w:val="20"/>
        </w:rPr>
        <w:t xml:space="preserve"> </w:t>
      </w:r>
      <w:r>
        <w:rPr>
          <w:sz w:val="20"/>
        </w:rPr>
        <w:t>Transgender</w:t>
      </w:r>
      <w:r>
        <w:rPr>
          <w:spacing w:val="-6"/>
          <w:sz w:val="20"/>
        </w:rPr>
        <w:t xml:space="preserve"> </w:t>
      </w:r>
      <w:r>
        <w:rPr>
          <w:sz w:val="20"/>
        </w:rPr>
        <w:t>Patients:</w:t>
      </w:r>
      <w:r>
        <w:rPr>
          <w:spacing w:val="-6"/>
          <w:sz w:val="20"/>
        </w:rPr>
        <w:t xml:space="preserve"> </w:t>
      </w:r>
      <w:r>
        <w:rPr>
          <w:sz w:val="20"/>
        </w:rPr>
        <w:t>Transgender-</w:t>
      </w:r>
      <w:r>
        <w:rPr>
          <w:spacing w:val="-7"/>
          <w:sz w:val="20"/>
        </w:rPr>
        <w:t xml:space="preserve"> </w:t>
      </w:r>
      <w:r>
        <w:rPr>
          <w:sz w:val="20"/>
        </w:rPr>
        <w:t xml:space="preserve">Affirming Hospital Policies” (Lambda Legal, 2016), </w:t>
      </w:r>
      <w:r>
        <w:rPr>
          <w:spacing w:val="-2"/>
          <w:sz w:val="20"/>
        </w:rPr>
        <w:t>https://</w:t>
      </w:r>
      <w:hyperlink r:id="rId338">
        <w:r>
          <w:rPr>
            <w:spacing w:val="-2"/>
            <w:sz w:val="20"/>
          </w:rPr>
          <w:t>www.lambdalegal.org/sites/default/files/publications/downloads/fs_20160525_transgender-affirming-</w:t>
        </w:r>
      </w:hyperlink>
      <w:r>
        <w:rPr>
          <w:spacing w:val="-2"/>
          <w:sz w:val="20"/>
        </w:rPr>
        <w:t xml:space="preserve"> hospital-policies.pdf.</w:t>
      </w:r>
    </w:p>
    <w:p w:rsidR="00C76E6D" w:rsidRDefault="00913831">
      <w:pPr>
        <w:ind w:left="339" w:right="418" w:hanging="2"/>
        <w:rPr>
          <w:sz w:val="20"/>
        </w:rPr>
      </w:pPr>
      <w:bookmarkStart w:id="667" w:name="_bookmark506"/>
      <w:bookmarkEnd w:id="667"/>
      <w:r>
        <w:rPr>
          <w:sz w:val="20"/>
          <w:vertAlign w:val="superscript"/>
        </w:rPr>
        <w:t>88</w:t>
      </w:r>
      <w:r>
        <w:rPr>
          <w:spacing w:val="-4"/>
          <w:sz w:val="20"/>
        </w:rPr>
        <w:t xml:space="preserve"> </w:t>
      </w:r>
      <w:r>
        <w:rPr>
          <w:sz w:val="20"/>
        </w:rPr>
        <w:t>Daphna</w:t>
      </w:r>
      <w:r>
        <w:rPr>
          <w:spacing w:val="-7"/>
          <w:sz w:val="20"/>
        </w:rPr>
        <w:t xml:space="preserve"> </w:t>
      </w:r>
      <w:r>
        <w:rPr>
          <w:sz w:val="20"/>
        </w:rPr>
        <w:t>Stroumsa,</w:t>
      </w:r>
      <w:r>
        <w:rPr>
          <w:spacing w:val="-4"/>
          <w:sz w:val="20"/>
        </w:rPr>
        <w:t xml:space="preserve"> </w:t>
      </w:r>
      <w:r>
        <w:rPr>
          <w:sz w:val="20"/>
        </w:rPr>
        <w:t>“The</w:t>
      </w:r>
      <w:r>
        <w:rPr>
          <w:spacing w:val="-7"/>
          <w:sz w:val="20"/>
        </w:rPr>
        <w:t xml:space="preserve"> </w:t>
      </w:r>
      <w:r>
        <w:rPr>
          <w:sz w:val="20"/>
        </w:rPr>
        <w:t>State</w:t>
      </w:r>
      <w:r>
        <w:rPr>
          <w:spacing w:val="-4"/>
          <w:sz w:val="20"/>
        </w:rPr>
        <w:t xml:space="preserve"> </w:t>
      </w:r>
      <w:r>
        <w:rPr>
          <w:sz w:val="20"/>
        </w:rPr>
        <w:t>of</w:t>
      </w:r>
      <w:r>
        <w:rPr>
          <w:spacing w:val="-4"/>
          <w:sz w:val="20"/>
        </w:rPr>
        <w:t xml:space="preserve"> </w:t>
      </w:r>
      <w:r>
        <w:rPr>
          <w:sz w:val="20"/>
        </w:rPr>
        <w:t>Transgender</w:t>
      </w:r>
      <w:r>
        <w:rPr>
          <w:spacing w:val="-4"/>
          <w:sz w:val="20"/>
        </w:rPr>
        <w:t xml:space="preserve"> </w:t>
      </w:r>
      <w:r>
        <w:rPr>
          <w:sz w:val="20"/>
        </w:rPr>
        <w:t>Health</w:t>
      </w:r>
      <w:r>
        <w:rPr>
          <w:spacing w:val="-5"/>
          <w:sz w:val="20"/>
        </w:rPr>
        <w:t xml:space="preserve"> </w:t>
      </w:r>
      <w:r>
        <w:rPr>
          <w:sz w:val="20"/>
        </w:rPr>
        <w:t>Care:</w:t>
      </w:r>
      <w:r>
        <w:rPr>
          <w:spacing w:val="-5"/>
          <w:sz w:val="20"/>
        </w:rPr>
        <w:t xml:space="preserve"> </w:t>
      </w:r>
      <w:r>
        <w:rPr>
          <w:sz w:val="20"/>
        </w:rPr>
        <w:t>Policy,</w:t>
      </w:r>
      <w:r>
        <w:rPr>
          <w:spacing w:val="-5"/>
          <w:sz w:val="20"/>
        </w:rPr>
        <w:t xml:space="preserve"> </w:t>
      </w:r>
      <w:r>
        <w:rPr>
          <w:sz w:val="20"/>
        </w:rPr>
        <w:t>Law,</w:t>
      </w:r>
      <w:r>
        <w:rPr>
          <w:spacing w:val="-5"/>
          <w:sz w:val="20"/>
        </w:rPr>
        <w:t xml:space="preserve"> </w:t>
      </w:r>
      <w:r>
        <w:rPr>
          <w:sz w:val="20"/>
        </w:rPr>
        <w:t>and</w:t>
      </w:r>
      <w:r>
        <w:rPr>
          <w:spacing w:val="-5"/>
          <w:sz w:val="20"/>
        </w:rPr>
        <w:t xml:space="preserve"> </w:t>
      </w:r>
      <w:r>
        <w:rPr>
          <w:sz w:val="20"/>
        </w:rPr>
        <w:t>Medical</w:t>
      </w:r>
      <w:r>
        <w:rPr>
          <w:spacing w:val="-6"/>
          <w:sz w:val="20"/>
        </w:rPr>
        <w:t xml:space="preserve"> </w:t>
      </w:r>
      <w:r>
        <w:rPr>
          <w:sz w:val="20"/>
        </w:rPr>
        <w:t>Frameworks,”</w:t>
      </w:r>
      <w:r>
        <w:rPr>
          <w:spacing w:val="-4"/>
          <w:sz w:val="20"/>
        </w:rPr>
        <w:t xml:space="preserve"> </w:t>
      </w:r>
      <w:r>
        <w:rPr>
          <w:i/>
          <w:sz w:val="20"/>
        </w:rPr>
        <w:t>American</w:t>
      </w:r>
      <w:r>
        <w:rPr>
          <w:i/>
          <w:spacing w:val="-4"/>
          <w:sz w:val="20"/>
        </w:rPr>
        <w:t xml:space="preserve"> </w:t>
      </w:r>
      <w:r>
        <w:rPr>
          <w:i/>
          <w:sz w:val="20"/>
        </w:rPr>
        <w:t xml:space="preserve">Journal of Public </w:t>
      </w:r>
      <w:r>
        <w:rPr>
          <w:i/>
          <w:sz w:val="20"/>
        </w:rPr>
        <w:t xml:space="preserve">Health </w:t>
      </w:r>
      <w:r>
        <w:rPr>
          <w:sz w:val="20"/>
        </w:rPr>
        <w:t>104, no. 3 (March 2014): e31–38, https://doi.org/10.2105/AJPH.2013.301789.</w:t>
      </w:r>
    </w:p>
    <w:p w:rsidR="00C76E6D" w:rsidRDefault="00913831">
      <w:pPr>
        <w:ind w:left="339" w:right="437" w:hanging="2"/>
        <w:rPr>
          <w:sz w:val="20"/>
        </w:rPr>
      </w:pPr>
      <w:bookmarkStart w:id="668" w:name="_bookmark507"/>
      <w:bookmarkEnd w:id="668"/>
      <w:r>
        <w:rPr>
          <w:sz w:val="20"/>
          <w:vertAlign w:val="superscript"/>
        </w:rPr>
        <w:t>89</w:t>
      </w:r>
      <w:r>
        <w:rPr>
          <w:spacing w:val="-5"/>
          <w:sz w:val="20"/>
        </w:rPr>
        <w:t xml:space="preserve"> </w:t>
      </w:r>
      <w:r>
        <w:rPr>
          <w:sz w:val="20"/>
        </w:rPr>
        <w:t>Timothy</w:t>
      </w:r>
      <w:r>
        <w:rPr>
          <w:spacing w:val="-6"/>
          <w:sz w:val="20"/>
        </w:rPr>
        <w:t xml:space="preserve"> </w:t>
      </w:r>
      <w:r>
        <w:rPr>
          <w:sz w:val="20"/>
        </w:rPr>
        <w:t>Wang,</w:t>
      </w:r>
      <w:r>
        <w:rPr>
          <w:spacing w:val="-7"/>
          <w:sz w:val="20"/>
        </w:rPr>
        <w:t xml:space="preserve"> </w:t>
      </w:r>
      <w:r>
        <w:rPr>
          <w:sz w:val="20"/>
        </w:rPr>
        <w:t>Elizabeth</w:t>
      </w:r>
      <w:r>
        <w:rPr>
          <w:spacing w:val="-6"/>
          <w:sz w:val="20"/>
        </w:rPr>
        <w:t xml:space="preserve"> </w:t>
      </w:r>
      <w:r>
        <w:rPr>
          <w:sz w:val="20"/>
        </w:rPr>
        <w:t>Kelman,</w:t>
      </w:r>
      <w:r>
        <w:rPr>
          <w:spacing w:val="-5"/>
          <w:sz w:val="20"/>
        </w:rPr>
        <w:t xml:space="preserve"> </w:t>
      </w:r>
      <w:r>
        <w:rPr>
          <w:sz w:val="20"/>
        </w:rPr>
        <w:t>and</w:t>
      </w:r>
      <w:r>
        <w:rPr>
          <w:spacing w:val="-6"/>
          <w:sz w:val="20"/>
        </w:rPr>
        <w:t xml:space="preserve"> </w:t>
      </w:r>
      <w:r>
        <w:rPr>
          <w:sz w:val="20"/>
        </w:rPr>
        <w:t>Sean</w:t>
      </w:r>
      <w:r>
        <w:rPr>
          <w:spacing w:val="-6"/>
          <w:sz w:val="20"/>
        </w:rPr>
        <w:t xml:space="preserve"> </w:t>
      </w:r>
      <w:r>
        <w:rPr>
          <w:sz w:val="20"/>
        </w:rPr>
        <w:t>Cahill,</w:t>
      </w:r>
      <w:r>
        <w:rPr>
          <w:spacing w:val="-5"/>
          <w:sz w:val="20"/>
        </w:rPr>
        <w:t xml:space="preserve"> </w:t>
      </w:r>
      <w:r>
        <w:rPr>
          <w:sz w:val="20"/>
        </w:rPr>
        <w:t>“WHAT</w:t>
      </w:r>
      <w:r>
        <w:rPr>
          <w:spacing w:val="-7"/>
          <w:sz w:val="20"/>
        </w:rPr>
        <w:t xml:space="preserve"> </w:t>
      </w:r>
      <w:r>
        <w:rPr>
          <w:sz w:val="20"/>
        </w:rPr>
        <w:t>THE</w:t>
      </w:r>
      <w:r>
        <w:rPr>
          <w:spacing w:val="-6"/>
          <w:sz w:val="20"/>
        </w:rPr>
        <w:t xml:space="preserve"> </w:t>
      </w:r>
      <w:r>
        <w:rPr>
          <w:sz w:val="20"/>
        </w:rPr>
        <w:t>NEW</w:t>
      </w:r>
      <w:r>
        <w:rPr>
          <w:spacing w:val="-7"/>
          <w:sz w:val="20"/>
        </w:rPr>
        <w:t xml:space="preserve"> </w:t>
      </w:r>
      <w:r>
        <w:rPr>
          <w:sz w:val="20"/>
        </w:rPr>
        <w:t>AFFORDABLE</w:t>
      </w:r>
      <w:r>
        <w:rPr>
          <w:spacing w:val="-6"/>
          <w:sz w:val="20"/>
        </w:rPr>
        <w:t xml:space="preserve"> </w:t>
      </w:r>
      <w:r>
        <w:rPr>
          <w:sz w:val="20"/>
        </w:rPr>
        <w:t>CARE</w:t>
      </w:r>
      <w:r>
        <w:rPr>
          <w:spacing w:val="-7"/>
          <w:sz w:val="20"/>
        </w:rPr>
        <w:t xml:space="preserve"> </w:t>
      </w:r>
      <w:r>
        <w:rPr>
          <w:sz w:val="20"/>
        </w:rPr>
        <w:t>ACT</w:t>
      </w:r>
      <w:r>
        <w:rPr>
          <w:spacing w:val="-7"/>
          <w:sz w:val="20"/>
        </w:rPr>
        <w:t xml:space="preserve"> </w:t>
      </w:r>
      <w:r>
        <w:rPr>
          <w:sz w:val="20"/>
        </w:rPr>
        <w:t xml:space="preserve">NONDISCRIMINATION RULE MEANS FOR PROVIDERS AND LGBT PATIENTS,” </w:t>
      </w:r>
      <w:r>
        <w:rPr>
          <w:i/>
          <w:sz w:val="20"/>
        </w:rPr>
        <w:t>The Fenway Institute</w:t>
      </w:r>
      <w:r>
        <w:rPr>
          <w:sz w:val="20"/>
        </w:rPr>
        <w:t>, September 2016, 9.</w:t>
      </w:r>
    </w:p>
    <w:p w:rsidR="00C76E6D" w:rsidRDefault="00913831">
      <w:pPr>
        <w:ind w:left="339" w:right="530" w:hanging="2"/>
        <w:rPr>
          <w:sz w:val="20"/>
        </w:rPr>
      </w:pPr>
      <w:bookmarkStart w:id="669" w:name="_bookmark508"/>
      <w:bookmarkEnd w:id="669"/>
      <w:r>
        <w:rPr>
          <w:sz w:val="20"/>
          <w:vertAlign w:val="superscript"/>
        </w:rPr>
        <w:t>90</w:t>
      </w:r>
      <w:r>
        <w:rPr>
          <w:spacing w:val="-4"/>
          <w:sz w:val="20"/>
        </w:rPr>
        <w:t xml:space="preserve"> </w:t>
      </w:r>
      <w:r>
        <w:rPr>
          <w:sz w:val="20"/>
        </w:rPr>
        <w:t>Department</w:t>
      </w:r>
      <w:r>
        <w:rPr>
          <w:spacing w:val="-7"/>
          <w:sz w:val="20"/>
        </w:rPr>
        <w:t xml:space="preserve"> </w:t>
      </w:r>
      <w:r>
        <w:rPr>
          <w:sz w:val="20"/>
        </w:rPr>
        <w:t>of</w:t>
      </w:r>
      <w:r>
        <w:rPr>
          <w:spacing w:val="-4"/>
          <w:sz w:val="20"/>
        </w:rPr>
        <w:t xml:space="preserve"> </w:t>
      </w:r>
      <w:r>
        <w:rPr>
          <w:sz w:val="20"/>
        </w:rPr>
        <w:t>Health</w:t>
      </w:r>
      <w:r>
        <w:rPr>
          <w:spacing w:val="-5"/>
          <w:sz w:val="20"/>
        </w:rPr>
        <w:t xml:space="preserve"> </w:t>
      </w:r>
      <w:r>
        <w:rPr>
          <w:sz w:val="20"/>
        </w:rPr>
        <w:t>and</w:t>
      </w:r>
      <w:r>
        <w:rPr>
          <w:spacing w:val="-5"/>
          <w:sz w:val="20"/>
        </w:rPr>
        <w:t xml:space="preserve"> </w:t>
      </w:r>
      <w:r>
        <w:rPr>
          <w:sz w:val="20"/>
        </w:rPr>
        <w:t>Human</w:t>
      </w:r>
      <w:r>
        <w:rPr>
          <w:spacing w:val="-5"/>
          <w:sz w:val="20"/>
        </w:rPr>
        <w:t xml:space="preserve"> </w:t>
      </w:r>
      <w:r>
        <w:rPr>
          <w:sz w:val="20"/>
        </w:rPr>
        <w:t>Services,</w:t>
      </w:r>
      <w:r>
        <w:rPr>
          <w:spacing w:val="-5"/>
          <w:sz w:val="20"/>
        </w:rPr>
        <w:t xml:space="preserve"> </w:t>
      </w:r>
      <w:r>
        <w:rPr>
          <w:sz w:val="20"/>
        </w:rPr>
        <w:t>“Notification</w:t>
      </w:r>
      <w:r>
        <w:rPr>
          <w:spacing w:val="-6"/>
          <w:sz w:val="20"/>
        </w:rPr>
        <w:t xml:space="preserve"> </w:t>
      </w:r>
      <w:r>
        <w:rPr>
          <w:sz w:val="20"/>
        </w:rPr>
        <w:t>of</w:t>
      </w:r>
      <w:r>
        <w:rPr>
          <w:spacing w:val="-4"/>
          <w:sz w:val="20"/>
        </w:rPr>
        <w:t xml:space="preserve"> </w:t>
      </w:r>
      <w:r>
        <w:rPr>
          <w:sz w:val="20"/>
        </w:rPr>
        <w:t>Interpretation</w:t>
      </w:r>
      <w:r>
        <w:rPr>
          <w:spacing w:val="-4"/>
          <w:sz w:val="20"/>
        </w:rPr>
        <w:t xml:space="preserve"> </w:t>
      </w:r>
      <w:r>
        <w:rPr>
          <w:sz w:val="20"/>
        </w:rPr>
        <w:t>and</w:t>
      </w:r>
      <w:r>
        <w:rPr>
          <w:spacing w:val="-5"/>
          <w:sz w:val="20"/>
        </w:rPr>
        <w:t xml:space="preserve"> </w:t>
      </w:r>
      <w:r>
        <w:rPr>
          <w:sz w:val="20"/>
        </w:rPr>
        <w:t>Enforcement</w:t>
      </w:r>
      <w:r>
        <w:rPr>
          <w:spacing w:val="-5"/>
          <w:sz w:val="20"/>
        </w:rPr>
        <w:t xml:space="preserve"> </w:t>
      </w:r>
      <w:r>
        <w:rPr>
          <w:sz w:val="20"/>
        </w:rPr>
        <w:t>of</w:t>
      </w:r>
      <w:r>
        <w:rPr>
          <w:spacing w:val="-6"/>
          <w:sz w:val="20"/>
        </w:rPr>
        <w:t xml:space="preserve"> </w:t>
      </w:r>
      <w:r>
        <w:rPr>
          <w:sz w:val="20"/>
        </w:rPr>
        <w:t>Section</w:t>
      </w:r>
      <w:r>
        <w:rPr>
          <w:spacing w:val="-4"/>
          <w:sz w:val="20"/>
        </w:rPr>
        <w:t xml:space="preserve"> </w:t>
      </w:r>
      <w:r>
        <w:rPr>
          <w:sz w:val="20"/>
        </w:rPr>
        <w:t>1557</w:t>
      </w:r>
      <w:r>
        <w:rPr>
          <w:spacing w:val="-4"/>
          <w:sz w:val="20"/>
        </w:rPr>
        <w:t xml:space="preserve"> </w:t>
      </w:r>
      <w:r>
        <w:rPr>
          <w:sz w:val="20"/>
        </w:rPr>
        <w:t>of</w:t>
      </w:r>
      <w:r>
        <w:rPr>
          <w:spacing w:val="-4"/>
          <w:sz w:val="20"/>
        </w:rPr>
        <w:t xml:space="preserve"> </w:t>
      </w:r>
      <w:r>
        <w:rPr>
          <w:sz w:val="20"/>
        </w:rPr>
        <w:t>the Affordable Care Act and Title IX of the Education Amendments of 1972,” 2021.</w:t>
      </w:r>
    </w:p>
    <w:p w:rsidR="00C76E6D" w:rsidRDefault="00913831">
      <w:pPr>
        <w:ind w:left="338" w:right="530" w:hanging="1"/>
        <w:rPr>
          <w:sz w:val="20"/>
        </w:rPr>
      </w:pPr>
      <w:bookmarkStart w:id="670" w:name="_bookmark509"/>
      <w:bookmarkEnd w:id="670"/>
      <w:r>
        <w:rPr>
          <w:sz w:val="20"/>
          <w:vertAlign w:val="superscript"/>
        </w:rPr>
        <w:t>91</w:t>
      </w:r>
      <w:r>
        <w:rPr>
          <w:spacing w:val="-4"/>
          <w:sz w:val="20"/>
        </w:rPr>
        <w:t xml:space="preserve"> </w:t>
      </w:r>
      <w:r>
        <w:rPr>
          <w:sz w:val="20"/>
        </w:rPr>
        <w:t>Sarah</w:t>
      </w:r>
      <w:r>
        <w:rPr>
          <w:spacing w:val="-5"/>
          <w:sz w:val="20"/>
        </w:rPr>
        <w:t xml:space="preserve"> </w:t>
      </w:r>
      <w:r>
        <w:rPr>
          <w:sz w:val="20"/>
        </w:rPr>
        <w:t>L.</w:t>
      </w:r>
      <w:r>
        <w:rPr>
          <w:spacing w:val="-5"/>
          <w:sz w:val="20"/>
        </w:rPr>
        <w:t xml:space="preserve"> </w:t>
      </w:r>
      <w:r>
        <w:rPr>
          <w:sz w:val="20"/>
        </w:rPr>
        <w:t>Schulz,</w:t>
      </w:r>
      <w:r>
        <w:rPr>
          <w:spacing w:val="-4"/>
          <w:sz w:val="20"/>
        </w:rPr>
        <w:t xml:space="preserve"> </w:t>
      </w:r>
      <w:r>
        <w:rPr>
          <w:sz w:val="20"/>
        </w:rPr>
        <w:t>“The</w:t>
      </w:r>
      <w:r>
        <w:rPr>
          <w:spacing w:val="-6"/>
          <w:sz w:val="20"/>
        </w:rPr>
        <w:t xml:space="preserve"> </w:t>
      </w:r>
      <w:r>
        <w:rPr>
          <w:sz w:val="20"/>
        </w:rPr>
        <w:t>Informed</w:t>
      </w:r>
      <w:r>
        <w:rPr>
          <w:spacing w:val="-4"/>
          <w:sz w:val="20"/>
        </w:rPr>
        <w:t xml:space="preserve"> </w:t>
      </w:r>
      <w:r>
        <w:rPr>
          <w:sz w:val="20"/>
        </w:rPr>
        <w:t>Consent</w:t>
      </w:r>
      <w:r>
        <w:rPr>
          <w:spacing w:val="-6"/>
          <w:sz w:val="20"/>
        </w:rPr>
        <w:t xml:space="preserve"> </w:t>
      </w:r>
      <w:r>
        <w:rPr>
          <w:sz w:val="20"/>
        </w:rPr>
        <w:t>M</w:t>
      </w:r>
      <w:r>
        <w:rPr>
          <w:sz w:val="20"/>
        </w:rPr>
        <w:t>odel</w:t>
      </w:r>
      <w:r>
        <w:rPr>
          <w:spacing w:val="-5"/>
          <w:sz w:val="20"/>
        </w:rPr>
        <w:t xml:space="preserve"> </w:t>
      </w:r>
      <w:r>
        <w:rPr>
          <w:sz w:val="20"/>
        </w:rPr>
        <w:t>of</w:t>
      </w:r>
      <w:r>
        <w:rPr>
          <w:spacing w:val="-4"/>
          <w:sz w:val="20"/>
        </w:rPr>
        <w:t xml:space="preserve"> </w:t>
      </w:r>
      <w:r>
        <w:rPr>
          <w:sz w:val="20"/>
        </w:rPr>
        <w:t>Transgender</w:t>
      </w:r>
      <w:r>
        <w:rPr>
          <w:spacing w:val="-5"/>
          <w:sz w:val="20"/>
        </w:rPr>
        <w:t xml:space="preserve"> </w:t>
      </w:r>
      <w:r>
        <w:rPr>
          <w:sz w:val="20"/>
        </w:rPr>
        <w:t>Care:</w:t>
      </w:r>
      <w:r>
        <w:rPr>
          <w:spacing w:val="-6"/>
          <w:sz w:val="20"/>
        </w:rPr>
        <w:t xml:space="preserve"> </w:t>
      </w:r>
      <w:r>
        <w:rPr>
          <w:sz w:val="20"/>
        </w:rPr>
        <w:t>An</w:t>
      </w:r>
      <w:r>
        <w:rPr>
          <w:spacing w:val="-5"/>
          <w:sz w:val="20"/>
        </w:rPr>
        <w:t xml:space="preserve"> </w:t>
      </w:r>
      <w:r>
        <w:rPr>
          <w:sz w:val="20"/>
        </w:rPr>
        <w:t>Alternative</w:t>
      </w:r>
      <w:r>
        <w:rPr>
          <w:spacing w:val="-5"/>
          <w:sz w:val="20"/>
        </w:rPr>
        <w:t xml:space="preserve"> </w:t>
      </w:r>
      <w:r>
        <w:rPr>
          <w:sz w:val="20"/>
        </w:rPr>
        <w:t>to</w:t>
      </w:r>
      <w:r>
        <w:rPr>
          <w:spacing w:val="-6"/>
          <w:sz w:val="20"/>
        </w:rPr>
        <w:t xml:space="preserve"> </w:t>
      </w:r>
      <w:r>
        <w:rPr>
          <w:sz w:val="20"/>
        </w:rPr>
        <w:t>the</w:t>
      </w:r>
      <w:r>
        <w:rPr>
          <w:spacing w:val="-5"/>
          <w:sz w:val="20"/>
        </w:rPr>
        <w:t xml:space="preserve"> </w:t>
      </w:r>
      <w:r>
        <w:rPr>
          <w:sz w:val="20"/>
        </w:rPr>
        <w:t>Diagnosis</w:t>
      </w:r>
      <w:r>
        <w:rPr>
          <w:spacing w:val="-5"/>
          <w:sz w:val="20"/>
        </w:rPr>
        <w:t xml:space="preserve"> </w:t>
      </w:r>
      <w:r>
        <w:rPr>
          <w:sz w:val="20"/>
        </w:rPr>
        <w:t>of</w:t>
      </w:r>
      <w:r>
        <w:rPr>
          <w:spacing w:val="-4"/>
          <w:sz w:val="20"/>
        </w:rPr>
        <w:t xml:space="preserve"> </w:t>
      </w:r>
      <w:r>
        <w:rPr>
          <w:sz w:val="20"/>
        </w:rPr>
        <w:t xml:space="preserve">Gender Dysphoria,” </w:t>
      </w:r>
      <w:r>
        <w:rPr>
          <w:i/>
          <w:sz w:val="20"/>
        </w:rPr>
        <w:t xml:space="preserve">Journal of Humanistic Psychology </w:t>
      </w:r>
      <w:r>
        <w:rPr>
          <w:sz w:val="20"/>
        </w:rPr>
        <w:t xml:space="preserve">58, no. 1 (January 2018): 72–92, </w:t>
      </w:r>
      <w:r>
        <w:rPr>
          <w:spacing w:val="-2"/>
          <w:sz w:val="20"/>
        </w:rPr>
        <w:t>https://doi.org/10.1177/0022167817745217.</w:t>
      </w:r>
    </w:p>
    <w:p w:rsidR="00C76E6D" w:rsidRDefault="00C76E6D">
      <w:pPr>
        <w:rPr>
          <w:sz w:val="20"/>
        </w:rPr>
        <w:sectPr w:rsidR="00C76E6D">
          <w:headerReference w:type="default" r:id="rId339"/>
          <w:footerReference w:type="default" r:id="rId340"/>
          <w:pgSz w:w="12240" w:h="15840"/>
          <w:pgMar w:top="1000" w:right="960" w:bottom="720" w:left="960" w:header="802" w:footer="520" w:gutter="0"/>
          <w:cols w:space="720"/>
        </w:sectPr>
      </w:pPr>
    </w:p>
    <w:p w:rsidR="00C76E6D" w:rsidRDefault="00C76E6D">
      <w:pPr>
        <w:pStyle w:val="BodyText"/>
        <w:rPr>
          <w:sz w:val="20"/>
        </w:rPr>
      </w:pPr>
    </w:p>
    <w:p w:rsidR="00C76E6D" w:rsidRDefault="00913831">
      <w:pPr>
        <w:pStyle w:val="Heading1"/>
        <w:ind w:left="727"/>
        <w:jc w:val="left"/>
      </w:pPr>
      <w:bookmarkStart w:id="671" w:name="SEXUAL_VICTIMIZATION"/>
      <w:bookmarkEnd w:id="671"/>
      <w:r>
        <w:t>SEXUAL</w:t>
      </w:r>
      <w:r>
        <w:rPr>
          <w:spacing w:val="-10"/>
        </w:rPr>
        <w:t xml:space="preserve"> </w:t>
      </w:r>
      <w:r>
        <w:rPr>
          <w:spacing w:val="-2"/>
        </w:rPr>
        <w:t>VICTIMIZATION</w:t>
      </w:r>
    </w:p>
    <w:p w:rsidR="00C76E6D" w:rsidRDefault="00913831">
      <w:pPr>
        <w:pStyle w:val="BodyText"/>
        <w:spacing w:before="6"/>
        <w:rPr>
          <w:b/>
          <w:sz w:val="7"/>
        </w:rPr>
      </w:pPr>
      <w:r>
        <w:pict>
          <v:shape id="docshape314" o:spid="_x0000_s1136" style="position:absolute;margin-left:70.6pt;margin-top:5.8pt;width:470.95pt;height:.1pt;z-index:-15672832;mso-wrap-distance-left:0;mso-wrap-distance-right:0;mso-position-horizontal-relative:page" coordorigin="1412,116" coordsize="9419,0" path="m1412,116r9419,e" filled="f" strokeweight="1.54pt">
            <v:path arrowok="t"/>
            <w10:wrap type="topAndBottom" anchorx="page"/>
          </v:shape>
        </w:pict>
      </w:r>
    </w:p>
    <w:p w:rsidR="00C76E6D" w:rsidRDefault="00913831">
      <w:pPr>
        <w:pStyle w:val="Heading5"/>
        <w:numPr>
          <w:ilvl w:val="0"/>
          <w:numId w:val="30"/>
        </w:numPr>
        <w:tabs>
          <w:tab w:val="left" w:pos="838"/>
        </w:tabs>
        <w:spacing w:before="281"/>
        <w:ind w:hanging="360"/>
        <w:jc w:val="left"/>
      </w:pPr>
      <w:bookmarkStart w:id="672" w:name="_bookmark510"/>
      <w:bookmarkEnd w:id="672"/>
      <w:r>
        <w:rPr>
          <w:spacing w:val="-2"/>
        </w:rPr>
        <w:t>I</w:t>
      </w:r>
      <w:r>
        <w:rPr>
          <w:spacing w:val="-2"/>
        </w:rPr>
        <w:t>ntroduction</w:t>
      </w:r>
    </w:p>
    <w:p w:rsidR="00C76E6D" w:rsidRDefault="00913831">
      <w:pPr>
        <w:pStyle w:val="BodyText"/>
        <w:spacing w:before="2"/>
        <w:rPr>
          <w:b/>
          <w:sz w:val="19"/>
        </w:rPr>
      </w:pPr>
      <w:r>
        <w:pict>
          <v:shape id="docshape315" o:spid="_x0000_s1135" style="position:absolute;margin-left:1in;margin-top:12.95pt;width:466.3pt;height:.1pt;z-index:-15672320;mso-wrap-distance-left:0;mso-wrap-distance-right:0;mso-position-horizontal-relative:page" coordorigin="1440,259" coordsize="9326,0" path="m1440,259r9326,e" filled="f" strokeweight=".40958mm">
            <v:path arrowok="t"/>
            <w10:wrap type="topAndBottom" anchorx="page"/>
          </v:shape>
        </w:pict>
      </w:r>
    </w:p>
    <w:p w:rsidR="00C76E6D" w:rsidRDefault="00C76E6D">
      <w:pPr>
        <w:pStyle w:val="BodyText"/>
        <w:spacing w:before="2"/>
        <w:rPr>
          <w:b/>
          <w:sz w:val="27"/>
        </w:rPr>
      </w:pPr>
    </w:p>
    <w:p w:rsidR="00C76E6D" w:rsidRDefault="00913831">
      <w:pPr>
        <w:pStyle w:val="BodyText"/>
        <w:spacing w:before="1" w:line="276" w:lineRule="auto"/>
        <w:ind w:left="478" w:right="473" w:hanging="1"/>
        <w:jc w:val="both"/>
      </w:pPr>
      <w:r>
        <w:t>LGBTQ</w:t>
      </w:r>
      <w:r>
        <w:rPr>
          <w:spacing w:val="-6"/>
        </w:rPr>
        <w:t xml:space="preserve"> </w:t>
      </w:r>
      <w:r>
        <w:t>people</w:t>
      </w:r>
      <w:r>
        <w:rPr>
          <w:spacing w:val="-9"/>
        </w:rPr>
        <w:t xml:space="preserve"> </w:t>
      </w:r>
      <w:r>
        <w:t>experience</w:t>
      </w:r>
      <w:r>
        <w:rPr>
          <w:spacing w:val="-7"/>
        </w:rPr>
        <w:t xml:space="preserve"> </w:t>
      </w:r>
      <w:r>
        <w:t>disproportionately</w:t>
      </w:r>
      <w:r>
        <w:rPr>
          <w:spacing w:val="-8"/>
        </w:rPr>
        <w:t xml:space="preserve"> </w:t>
      </w:r>
      <w:r>
        <w:t>high</w:t>
      </w:r>
      <w:r>
        <w:rPr>
          <w:spacing w:val="-8"/>
        </w:rPr>
        <w:t xml:space="preserve"> </w:t>
      </w:r>
      <w:r>
        <w:t>rates</w:t>
      </w:r>
      <w:r>
        <w:rPr>
          <w:spacing w:val="-7"/>
        </w:rPr>
        <w:t xml:space="preserve"> </w:t>
      </w:r>
      <w:r>
        <w:t>of</w:t>
      </w:r>
      <w:r>
        <w:rPr>
          <w:spacing w:val="-7"/>
        </w:rPr>
        <w:t xml:space="preserve"> </w:t>
      </w:r>
      <w:r>
        <w:t>sexual</w:t>
      </w:r>
      <w:r>
        <w:rPr>
          <w:spacing w:val="-8"/>
        </w:rPr>
        <w:t xml:space="preserve"> </w:t>
      </w:r>
      <w:r>
        <w:t>violence</w:t>
      </w:r>
      <w:r>
        <w:rPr>
          <w:spacing w:val="-7"/>
        </w:rPr>
        <w:t xml:space="preserve"> </w:t>
      </w:r>
      <w:r>
        <w:t>when</w:t>
      </w:r>
      <w:r>
        <w:rPr>
          <w:spacing w:val="-7"/>
        </w:rPr>
        <w:t xml:space="preserve"> </w:t>
      </w:r>
      <w:r>
        <w:t>compared</w:t>
      </w:r>
      <w:r>
        <w:rPr>
          <w:spacing w:val="-7"/>
        </w:rPr>
        <w:t xml:space="preserve"> </w:t>
      </w:r>
      <w:r>
        <w:t>to</w:t>
      </w:r>
      <w:r>
        <w:rPr>
          <w:spacing w:val="-6"/>
        </w:rPr>
        <w:t xml:space="preserve"> </w:t>
      </w:r>
      <w:r>
        <w:t xml:space="preserve">non-LGBTQ people. </w:t>
      </w:r>
      <w:hyperlink w:anchor="_bookmark513" w:history="1">
        <w:r>
          <w:rPr>
            <w:vertAlign w:val="superscript"/>
          </w:rPr>
          <w:t>1</w:t>
        </w:r>
      </w:hyperlink>
      <w:r>
        <w:t xml:space="preserve"> Current research demonstrates that sexual violence affects people of all genders, sexual orientations, races, abilities, ages, and more; however, it uniquely impacts LGBTQ youth and the LGBTQ community. Discrimination, marginalization, racism, sexism, and</w:t>
      </w:r>
      <w:r>
        <w:t xml:space="preserve"> hate-motivated violence put LGBTQ persons at a higher risk of sexual assault. </w:t>
      </w:r>
      <w:hyperlink w:anchor="_bookmark514" w:history="1">
        <w:r>
          <w:rPr>
            <w:vertAlign w:val="superscript"/>
          </w:rPr>
          <w:t>2</w:t>
        </w:r>
      </w:hyperlink>
      <w:r>
        <w:t xml:space="preserve"> Society also often hypersexualizes LGBTQ people and stigmatizes queer relationships, which contributes to ineffective responses to sexual viole</w:t>
      </w:r>
      <w:r>
        <w:t>nce in the community and decreased reporting.</w:t>
      </w:r>
      <w:hyperlink w:anchor="_bookmark515" w:history="1">
        <w:r>
          <w:rPr>
            <w:vertAlign w:val="superscript"/>
          </w:rPr>
          <w:t>3</w:t>
        </w:r>
      </w:hyperlink>
    </w:p>
    <w:p w:rsidR="00C76E6D" w:rsidRDefault="00913831">
      <w:pPr>
        <w:pStyle w:val="BodyText"/>
        <w:spacing w:before="162" w:line="276" w:lineRule="auto"/>
        <w:ind w:left="479" w:right="474"/>
        <w:jc w:val="both"/>
      </w:pPr>
      <w:r>
        <w:t>Internalized homophobia and transphobia in the community have been linked to intimate partner violence</w:t>
      </w:r>
      <w:r>
        <w:rPr>
          <w:spacing w:val="-10"/>
        </w:rPr>
        <w:t xml:space="preserve"> </w:t>
      </w:r>
      <w:r>
        <w:t>between</w:t>
      </w:r>
      <w:r>
        <w:rPr>
          <w:spacing w:val="-8"/>
        </w:rPr>
        <w:t xml:space="preserve"> </w:t>
      </w:r>
      <w:r>
        <w:t>LGBTQ</w:t>
      </w:r>
      <w:r>
        <w:rPr>
          <w:spacing w:val="-5"/>
        </w:rPr>
        <w:t xml:space="preserve"> </w:t>
      </w:r>
      <w:r>
        <w:t>couples</w:t>
      </w:r>
      <w:hyperlink w:anchor="_bookmark516" w:history="1">
        <w:r>
          <w:t>.</w:t>
        </w:r>
        <w:r>
          <w:rPr>
            <w:vertAlign w:val="superscript"/>
          </w:rPr>
          <w:t>4</w:t>
        </w:r>
        <w:r>
          <w:rPr>
            <w:spacing w:val="-9"/>
          </w:rPr>
          <w:t xml:space="preserve"> </w:t>
        </w:r>
      </w:hyperlink>
      <w:r>
        <w:t>Finally,</w:t>
      </w:r>
      <w:r>
        <w:rPr>
          <w:spacing w:val="-6"/>
        </w:rPr>
        <w:t xml:space="preserve"> </w:t>
      </w:r>
      <w:r>
        <w:t>LGBTQ</w:t>
      </w:r>
      <w:r>
        <w:rPr>
          <w:spacing w:val="-8"/>
        </w:rPr>
        <w:t xml:space="preserve"> </w:t>
      </w:r>
      <w:r>
        <w:t>you</w:t>
      </w:r>
      <w:r>
        <w:t>th</w:t>
      </w:r>
      <w:r>
        <w:rPr>
          <w:spacing w:val="-8"/>
        </w:rPr>
        <w:t xml:space="preserve"> </w:t>
      </w:r>
      <w:r>
        <w:t>and</w:t>
      </w:r>
      <w:r>
        <w:rPr>
          <w:spacing w:val="-8"/>
        </w:rPr>
        <w:t xml:space="preserve"> </w:t>
      </w:r>
      <w:r>
        <w:t>young</w:t>
      </w:r>
      <w:r>
        <w:rPr>
          <w:spacing w:val="-8"/>
        </w:rPr>
        <w:t xml:space="preserve"> </w:t>
      </w:r>
      <w:r>
        <w:t>people</w:t>
      </w:r>
      <w:r>
        <w:rPr>
          <w:spacing w:val="-5"/>
        </w:rPr>
        <w:t xml:space="preserve"> </w:t>
      </w:r>
      <w:r>
        <w:t>experience</w:t>
      </w:r>
      <w:r>
        <w:rPr>
          <w:spacing w:val="-6"/>
        </w:rPr>
        <w:t xml:space="preserve"> </w:t>
      </w:r>
      <w:r>
        <w:t>disproportionately high rates of sexual violence in higher education and carceral institutions.</w:t>
      </w:r>
    </w:p>
    <w:p w:rsidR="00C76E6D" w:rsidRDefault="00913831">
      <w:pPr>
        <w:pStyle w:val="BodyText"/>
        <w:spacing w:before="158" w:line="276" w:lineRule="auto"/>
        <w:ind w:left="478" w:right="477"/>
        <w:jc w:val="both"/>
      </w:pPr>
      <w:r>
        <w:t>Sexual victimization often intersects with other forms of abuse. For instance, sexual assault may be a component</w:t>
      </w:r>
      <w:r>
        <w:rPr>
          <w:spacing w:val="-12"/>
        </w:rPr>
        <w:t xml:space="preserve"> </w:t>
      </w:r>
      <w:r>
        <w:t>of</w:t>
      </w:r>
      <w:r>
        <w:rPr>
          <w:spacing w:val="-11"/>
        </w:rPr>
        <w:t xml:space="preserve"> </w:t>
      </w:r>
      <w:r>
        <w:t>an</w:t>
      </w:r>
      <w:r>
        <w:rPr>
          <w:spacing w:val="-12"/>
        </w:rPr>
        <w:t xml:space="preserve"> </w:t>
      </w:r>
      <w:r>
        <w:t>anti-LGBTQ</w:t>
      </w:r>
      <w:r>
        <w:rPr>
          <w:spacing w:val="-10"/>
        </w:rPr>
        <w:t xml:space="preserve"> </w:t>
      </w:r>
      <w:r>
        <w:t>hate</w:t>
      </w:r>
      <w:r>
        <w:rPr>
          <w:spacing w:val="-9"/>
        </w:rPr>
        <w:t xml:space="preserve"> </w:t>
      </w:r>
      <w:r>
        <w:t>crime</w:t>
      </w:r>
      <w:hyperlink w:anchor="_bookmark517" w:history="1">
        <w:r>
          <w:t>.</w:t>
        </w:r>
        <w:r>
          <w:rPr>
            <w:vertAlign w:val="superscript"/>
          </w:rPr>
          <w:t>5</w:t>
        </w:r>
        <w:r>
          <w:rPr>
            <w:spacing w:val="-12"/>
          </w:rPr>
          <w:t xml:space="preserve"> </w:t>
        </w:r>
      </w:hyperlink>
      <w:r>
        <w:t>The</w:t>
      </w:r>
      <w:r>
        <w:rPr>
          <w:spacing w:val="-9"/>
        </w:rPr>
        <w:t xml:space="preserve"> </w:t>
      </w:r>
      <w:r>
        <w:t>Network/La</w:t>
      </w:r>
      <w:r>
        <w:rPr>
          <w:spacing w:val="-10"/>
        </w:rPr>
        <w:t xml:space="preserve"> </w:t>
      </w:r>
      <w:r>
        <w:t>Red,</w:t>
      </w:r>
      <w:r>
        <w:rPr>
          <w:spacing w:val="-10"/>
        </w:rPr>
        <w:t xml:space="preserve"> </w:t>
      </w:r>
      <w:r>
        <w:t>a</w:t>
      </w:r>
      <w:r>
        <w:rPr>
          <w:spacing w:val="-8"/>
        </w:rPr>
        <w:t xml:space="preserve"> </w:t>
      </w:r>
      <w:r>
        <w:t>Boston-based,</w:t>
      </w:r>
      <w:r>
        <w:rPr>
          <w:spacing w:val="-11"/>
        </w:rPr>
        <w:t xml:space="preserve"> </w:t>
      </w:r>
      <w:r>
        <w:t>survivor-led</w:t>
      </w:r>
      <w:r>
        <w:rPr>
          <w:spacing w:val="-9"/>
        </w:rPr>
        <w:t xml:space="preserve"> </w:t>
      </w:r>
      <w:r>
        <w:t>organization captures the different tactics of abuse that may be experienced by LGBTQ youth and adults:</w:t>
      </w:r>
    </w:p>
    <w:p w:rsidR="00C76E6D" w:rsidRDefault="00C76E6D">
      <w:pPr>
        <w:pStyle w:val="BodyText"/>
      </w:pPr>
    </w:p>
    <w:p w:rsidR="00C76E6D" w:rsidRDefault="00913831">
      <w:pPr>
        <w:pStyle w:val="Heading6"/>
        <w:spacing w:before="163"/>
        <w:ind w:left="478"/>
        <w:jc w:val="both"/>
        <w:rPr>
          <w:b w:val="0"/>
        </w:rPr>
      </w:pPr>
      <w:bookmarkStart w:id="673" w:name="Tactics_of_Abuse6"/>
      <w:bookmarkEnd w:id="673"/>
      <w:r>
        <w:rPr>
          <w:spacing w:val="-2"/>
        </w:rPr>
        <w:t>Tactics</w:t>
      </w:r>
      <w:r>
        <w:rPr>
          <w:spacing w:val="-4"/>
        </w:rPr>
        <w:t xml:space="preserve"> </w:t>
      </w:r>
      <w:r>
        <w:rPr>
          <w:spacing w:val="-2"/>
        </w:rPr>
        <w:t>of</w:t>
      </w:r>
      <w:r>
        <w:rPr>
          <w:spacing w:val="-4"/>
        </w:rPr>
        <w:t xml:space="preserve"> </w:t>
      </w:r>
      <w:r>
        <w:rPr>
          <w:spacing w:val="-2"/>
        </w:rPr>
        <w:t>Abuse</w:t>
      </w:r>
      <w:hyperlink w:anchor="_bookmark518" w:history="1">
        <w:r>
          <w:rPr>
            <w:b w:val="0"/>
            <w:spacing w:val="-2"/>
            <w:vertAlign w:val="superscript"/>
          </w:rPr>
          <w:t>6</w:t>
        </w:r>
      </w:hyperlink>
    </w:p>
    <w:p w:rsidR="00C76E6D" w:rsidRDefault="00913831">
      <w:pPr>
        <w:spacing w:before="159"/>
        <w:ind w:left="478"/>
        <w:jc w:val="both"/>
        <w:rPr>
          <w:b/>
        </w:rPr>
      </w:pPr>
      <w:r>
        <w:rPr>
          <w:b/>
          <w:w w:val="95"/>
        </w:rPr>
        <w:t>The</w:t>
      </w:r>
      <w:r>
        <w:rPr>
          <w:b/>
          <w:spacing w:val="11"/>
        </w:rPr>
        <w:t xml:space="preserve"> </w:t>
      </w:r>
      <w:r>
        <w:rPr>
          <w:b/>
          <w:w w:val="95"/>
        </w:rPr>
        <w:t>Network/La</w:t>
      </w:r>
      <w:r>
        <w:rPr>
          <w:b/>
          <w:spacing w:val="13"/>
        </w:rPr>
        <w:t xml:space="preserve"> </w:t>
      </w:r>
      <w:r>
        <w:rPr>
          <w:b/>
          <w:w w:val="95"/>
        </w:rPr>
        <w:t>Red,</w:t>
      </w:r>
      <w:r>
        <w:rPr>
          <w:b/>
          <w:spacing w:val="16"/>
        </w:rPr>
        <w:t xml:space="preserve"> </w:t>
      </w:r>
      <w:r>
        <w:rPr>
          <w:b/>
          <w:spacing w:val="-2"/>
          <w:w w:val="95"/>
        </w:rPr>
        <w:t>Boston</w:t>
      </w:r>
    </w:p>
    <w:p w:rsidR="00C76E6D" w:rsidRDefault="00C76E6D">
      <w:pPr>
        <w:pStyle w:val="BodyText"/>
        <w:spacing w:before="1"/>
        <w:rPr>
          <w:b/>
          <w:sz w:val="13"/>
        </w:rPr>
      </w:pPr>
    </w:p>
    <w:tbl>
      <w:tblPr>
        <w:tblW w:w="0" w:type="auto"/>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5"/>
        <w:gridCol w:w="7110"/>
      </w:tblGrid>
      <w:tr w:rsidR="00C76E6D">
        <w:trPr>
          <w:trHeight w:val="280"/>
        </w:trPr>
        <w:tc>
          <w:tcPr>
            <w:tcW w:w="2245" w:type="dxa"/>
          </w:tcPr>
          <w:p w:rsidR="00C76E6D" w:rsidRDefault="00913831">
            <w:pPr>
              <w:pStyle w:val="TableParagraph"/>
              <w:spacing w:before="5"/>
              <w:ind w:left="111"/>
              <w:rPr>
                <w:b/>
                <w:sz w:val="20"/>
              </w:rPr>
            </w:pPr>
            <w:r>
              <w:rPr>
                <w:b/>
                <w:sz w:val="20"/>
              </w:rPr>
              <w:t>Type</w:t>
            </w:r>
            <w:r>
              <w:rPr>
                <w:b/>
                <w:spacing w:val="-5"/>
                <w:sz w:val="20"/>
              </w:rPr>
              <w:t xml:space="preserve"> </w:t>
            </w:r>
            <w:r>
              <w:rPr>
                <w:b/>
                <w:sz w:val="20"/>
              </w:rPr>
              <w:t>of</w:t>
            </w:r>
            <w:r>
              <w:rPr>
                <w:b/>
                <w:spacing w:val="-1"/>
                <w:sz w:val="20"/>
              </w:rPr>
              <w:t xml:space="preserve"> </w:t>
            </w:r>
            <w:r>
              <w:rPr>
                <w:b/>
                <w:spacing w:val="-2"/>
                <w:sz w:val="20"/>
              </w:rPr>
              <w:t>Abuse</w:t>
            </w:r>
          </w:p>
        </w:tc>
        <w:tc>
          <w:tcPr>
            <w:tcW w:w="7110" w:type="dxa"/>
          </w:tcPr>
          <w:p w:rsidR="00C76E6D" w:rsidRDefault="00913831">
            <w:pPr>
              <w:pStyle w:val="TableParagraph"/>
              <w:spacing w:before="5"/>
              <w:ind w:left="112"/>
              <w:rPr>
                <w:b/>
                <w:sz w:val="20"/>
              </w:rPr>
            </w:pPr>
            <w:r>
              <w:rPr>
                <w:b/>
                <w:spacing w:val="-2"/>
                <w:sz w:val="20"/>
              </w:rPr>
              <w:t>Examples</w:t>
            </w:r>
          </w:p>
        </w:tc>
      </w:tr>
      <w:tr w:rsidR="00C76E6D">
        <w:trPr>
          <w:trHeight w:val="1965"/>
        </w:trPr>
        <w:tc>
          <w:tcPr>
            <w:tcW w:w="2245" w:type="dxa"/>
          </w:tcPr>
          <w:p w:rsidR="00C76E6D" w:rsidRDefault="00913831">
            <w:pPr>
              <w:pStyle w:val="TableParagraph"/>
              <w:spacing w:line="243" w:lineRule="exact"/>
              <w:ind w:left="111"/>
              <w:rPr>
                <w:b/>
                <w:sz w:val="20"/>
              </w:rPr>
            </w:pPr>
            <w:r>
              <w:rPr>
                <w:b/>
                <w:sz w:val="20"/>
              </w:rPr>
              <w:t>Sexual</w:t>
            </w:r>
            <w:r>
              <w:rPr>
                <w:b/>
                <w:spacing w:val="-4"/>
                <w:sz w:val="20"/>
              </w:rPr>
              <w:t xml:space="preserve"> </w:t>
            </w:r>
            <w:r>
              <w:rPr>
                <w:b/>
                <w:spacing w:val="-2"/>
                <w:sz w:val="20"/>
              </w:rPr>
              <w:t>Abuse</w:t>
            </w:r>
          </w:p>
        </w:tc>
        <w:tc>
          <w:tcPr>
            <w:tcW w:w="7110" w:type="dxa"/>
          </w:tcPr>
          <w:p w:rsidR="00C76E6D" w:rsidRDefault="00913831">
            <w:pPr>
              <w:pStyle w:val="TableParagraph"/>
              <w:numPr>
                <w:ilvl w:val="0"/>
                <w:numId w:val="29"/>
              </w:numPr>
              <w:tabs>
                <w:tab w:val="left" w:pos="279"/>
              </w:tabs>
              <w:spacing w:line="243" w:lineRule="exact"/>
              <w:ind w:hanging="168"/>
              <w:rPr>
                <w:sz w:val="20"/>
              </w:rPr>
            </w:pPr>
            <w:r>
              <w:rPr>
                <w:sz w:val="20"/>
              </w:rPr>
              <w:t>Unwanted</w:t>
            </w:r>
            <w:r>
              <w:rPr>
                <w:spacing w:val="-8"/>
                <w:sz w:val="20"/>
              </w:rPr>
              <w:t xml:space="preserve"> </w:t>
            </w:r>
            <w:r>
              <w:rPr>
                <w:sz w:val="20"/>
              </w:rPr>
              <w:t>touching</w:t>
            </w:r>
            <w:r>
              <w:rPr>
                <w:spacing w:val="-7"/>
                <w:sz w:val="20"/>
              </w:rPr>
              <w:t xml:space="preserve"> </w:t>
            </w:r>
            <w:r>
              <w:rPr>
                <w:sz w:val="20"/>
              </w:rPr>
              <w:t>or</w:t>
            </w:r>
            <w:r>
              <w:rPr>
                <w:spacing w:val="-8"/>
                <w:sz w:val="20"/>
              </w:rPr>
              <w:t xml:space="preserve"> </w:t>
            </w:r>
            <w:r>
              <w:rPr>
                <w:spacing w:val="-2"/>
                <w:sz w:val="20"/>
              </w:rPr>
              <w:t>contact</w:t>
            </w:r>
          </w:p>
          <w:p w:rsidR="00C76E6D" w:rsidRDefault="00913831">
            <w:pPr>
              <w:pStyle w:val="TableParagraph"/>
              <w:numPr>
                <w:ilvl w:val="0"/>
                <w:numId w:val="29"/>
              </w:numPr>
              <w:tabs>
                <w:tab w:val="left" w:pos="279"/>
              </w:tabs>
              <w:spacing w:before="38"/>
              <w:ind w:hanging="168"/>
              <w:rPr>
                <w:sz w:val="20"/>
              </w:rPr>
            </w:pPr>
            <w:r>
              <w:rPr>
                <w:spacing w:val="-2"/>
                <w:sz w:val="20"/>
              </w:rPr>
              <w:t>Withholding</w:t>
            </w:r>
            <w:r>
              <w:rPr>
                <w:spacing w:val="7"/>
                <w:sz w:val="20"/>
              </w:rPr>
              <w:t xml:space="preserve"> </w:t>
            </w:r>
            <w:r>
              <w:rPr>
                <w:spacing w:val="-2"/>
                <w:sz w:val="20"/>
              </w:rPr>
              <w:t>affection</w:t>
            </w:r>
          </w:p>
          <w:p w:rsidR="00C76E6D" w:rsidRDefault="00913831">
            <w:pPr>
              <w:pStyle w:val="TableParagraph"/>
              <w:numPr>
                <w:ilvl w:val="0"/>
                <w:numId w:val="29"/>
              </w:numPr>
              <w:tabs>
                <w:tab w:val="left" w:pos="279"/>
              </w:tabs>
              <w:spacing w:before="35"/>
              <w:ind w:hanging="168"/>
              <w:rPr>
                <w:sz w:val="20"/>
              </w:rPr>
            </w:pPr>
            <w:r>
              <w:rPr>
                <w:spacing w:val="-4"/>
                <w:sz w:val="20"/>
              </w:rPr>
              <w:t>Rape</w:t>
            </w:r>
          </w:p>
          <w:p w:rsidR="00C76E6D" w:rsidRDefault="00913831">
            <w:pPr>
              <w:pStyle w:val="TableParagraph"/>
              <w:numPr>
                <w:ilvl w:val="0"/>
                <w:numId w:val="29"/>
              </w:numPr>
              <w:tabs>
                <w:tab w:val="left" w:pos="279"/>
              </w:tabs>
              <w:spacing w:before="37"/>
              <w:rPr>
                <w:sz w:val="20"/>
              </w:rPr>
            </w:pPr>
            <w:r>
              <w:rPr>
                <w:sz w:val="20"/>
              </w:rPr>
              <w:t>Sexual</w:t>
            </w:r>
            <w:r>
              <w:rPr>
                <w:spacing w:val="-11"/>
                <w:sz w:val="20"/>
              </w:rPr>
              <w:t xml:space="preserve"> </w:t>
            </w:r>
            <w:r>
              <w:rPr>
                <w:spacing w:val="-2"/>
                <w:sz w:val="20"/>
              </w:rPr>
              <w:t>Assault</w:t>
            </w:r>
          </w:p>
          <w:p w:rsidR="00C76E6D" w:rsidRDefault="00913831">
            <w:pPr>
              <w:pStyle w:val="TableParagraph"/>
              <w:numPr>
                <w:ilvl w:val="0"/>
                <w:numId w:val="29"/>
              </w:numPr>
              <w:tabs>
                <w:tab w:val="left" w:pos="280"/>
              </w:tabs>
              <w:spacing w:before="35"/>
              <w:ind w:left="279" w:hanging="168"/>
              <w:rPr>
                <w:sz w:val="20"/>
              </w:rPr>
            </w:pPr>
            <w:r>
              <w:rPr>
                <w:sz w:val="20"/>
              </w:rPr>
              <w:t>Refusing</w:t>
            </w:r>
            <w:r>
              <w:rPr>
                <w:spacing w:val="-7"/>
                <w:sz w:val="20"/>
              </w:rPr>
              <w:t xml:space="preserve"> </w:t>
            </w:r>
            <w:r>
              <w:rPr>
                <w:sz w:val="20"/>
              </w:rPr>
              <w:t>safer</w:t>
            </w:r>
            <w:r>
              <w:rPr>
                <w:spacing w:val="-9"/>
                <w:sz w:val="20"/>
              </w:rPr>
              <w:t xml:space="preserve"> </w:t>
            </w:r>
            <w:r>
              <w:rPr>
                <w:sz w:val="20"/>
              </w:rPr>
              <w:t>sex</w:t>
            </w:r>
            <w:r>
              <w:rPr>
                <w:spacing w:val="-6"/>
                <w:sz w:val="20"/>
              </w:rPr>
              <w:t xml:space="preserve"> </w:t>
            </w:r>
            <w:r>
              <w:rPr>
                <w:spacing w:val="-2"/>
                <w:sz w:val="20"/>
              </w:rPr>
              <w:t>practices</w:t>
            </w:r>
          </w:p>
          <w:p w:rsidR="00C76E6D" w:rsidRDefault="00913831">
            <w:pPr>
              <w:pStyle w:val="TableParagraph"/>
              <w:numPr>
                <w:ilvl w:val="0"/>
                <w:numId w:val="29"/>
              </w:numPr>
              <w:tabs>
                <w:tab w:val="left" w:pos="280"/>
              </w:tabs>
              <w:spacing w:before="37"/>
              <w:ind w:left="279" w:hanging="168"/>
              <w:rPr>
                <w:sz w:val="20"/>
              </w:rPr>
            </w:pPr>
            <w:r>
              <w:rPr>
                <w:sz w:val="20"/>
              </w:rPr>
              <w:t>Sexual</w:t>
            </w:r>
            <w:r>
              <w:rPr>
                <w:spacing w:val="-10"/>
                <w:sz w:val="20"/>
              </w:rPr>
              <w:t xml:space="preserve"> </w:t>
            </w:r>
            <w:r>
              <w:rPr>
                <w:sz w:val="20"/>
              </w:rPr>
              <w:t>exploitation</w:t>
            </w:r>
            <w:r>
              <w:rPr>
                <w:spacing w:val="-7"/>
                <w:sz w:val="20"/>
              </w:rPr>
              <w:t xml:space="preserve"> </w:t>
            </w:r>
            <w:r>
              <w:rPr>
                <w:sz w:val="20"/>
              </w:rPr>
              <w:t>and</w:t>
            </w:r>
            <w:r>
              <w:rPr>
                <w:spacing w:val="-10"/>
                <w:sz w:val="20"/>
              </w:rPr>
              <w:t xml:space="preserve"> </w:t>
            </w:r>
            <w:r>
              <w:rPr>
                <w:spacing w:val="-2"/>
                <w:sz w:val="20"/>
              </w:rPr>
              <w:t>trafficking</w:t>
            </w:r>
          </w:p>
          <w:p w:rsidR="00C76E6D" w:rsidRDefault="00913831">
            <w:pPr>
              <w:pStyle w:val="TableParagraph"/>
              <w:numPr>
                <w:ilvl w:val="0"/>
                <w:numId w:val="29"/>
              </w:numPr>
              <w:tabs>
                <w:tab w:val="left" w:pos="280"/>
              </w:tabs>
              <w:spacing w:before="37"/>
              <w:ind w:left="279"/>
              <w:rPr>
                <w:sz w:val="20"/>
              </w:rPr>
            </w:pPr>
            <w:r>
              <w:rPr>
                <w:sz w:val="20"/>
              </w:rPr>
              <w:t>Exposing</w:t>
            </w:r>
            <w:r>
              <w:rPr>
                <w:spacing w:val="-8"/>
                <w:sz w:val="20"/>
              </w:rPr>
              <w:t xml:space="preserve"> </w:t>
            </w:r>
            <w:r>
              <w:rPr>
                <w:sz w:val="20"/>
              </w:rPr>
              <w:t>one’s</w:t>
            </w:r>
            <w:r>
              <w:rPr>
                <w:spacing w:val="-8"/>
                <w:sz w:val="20"/>
              </w:rPr>
              <w:t xml:space="preserve"> </w:t>
            </w:r>
            <w:r>
              <w:rPr>
                <w:sz w:val="20"/>
              </w:rPr>
              <w:t>genitals</w:t>
            </w:r>
            <w:r>
              <w:rPr>
                <w:spacing w:val="-7"/>
                <w:sz w:val="20"/>
              </w:rPr>
              <w:t xml:space="preserve"> </w:t>
            </w:r>
            <w:r>
              <w:rPr>
                <w:sz w:val="20"/>
              </w:rPr>
              <w:t>to</w:t>
            </w:r>
            <w:r>
              <w:rPr>
                <w:spacing w:val="-7"/>
                <w:sz w:val="20"/>
              </w:rPr>
              <w:t xml:space="preserve"> </w:t>
            </w:r>
            <w:r>
              <w:rPr>
                <w:sz w:val="20"/>
              </w:rPr>
              <w:t>others</w:t>
            </w:r>
            <w:r>
              <w:rPr>
                <w:spacing w:val="-7"/>
                <w:sz w:val="20"/>
              </w:rPr>
              <w:t xml:space="preserve"> </w:t>
            </w:r>
            <w:r>
              <w:rPr>
                <w:sz w:val="20"/>
              </w:rPr>
              <w:t>without</w:t>
            </w:r>
            <w:r>
              <w:rPr>
                <w:spacing w:val="-7"/>
                <w:sz w:val="20"/>
              </w:rPr>
              <w:t xml:space="preserve"> </w:t>
            </w:r>
            <w:r>
              <w:rPr>
                <w:spacing w:val="-2"/>
                <w:sz w:val="20"/>
              </w:rPr>
              <w:t>consent</w:t>
            </w:r>
          </w:p>
        </w:tc>
      </w:tr>
      <w:tr w:rsidR="00C76E6D">
        <w:trPr>
          <w:trHeight w:val="1403"/>
        </w:trPr>
        <w:tc>
          <w:tcPr>
            <w:tcW w:w="2245" w:type="dxa"/>
          </w:tcPr>
          <w:p w:rsidR="00C76E6D" w:rsidRDefault="00913831">
            <w:pPr>
              <w:pStyle w:val="TableParagraph"/>
              <w:spacing w:line="243" w:lineRule="exact"/>
              <w:ind w:left="111"/>
              <w:rPr>
                <w:b/>
                <w:sz w:val="20"/>
              </w:rPr>
            </w:pPr>
            <w:r>
              <w:rPr>
                <w:b/>
                <w:sz w:val="20"/>
              </w:rPr>
              <w:t>Emotional</w:t>
            </w:r>
            <w:r>
              <w:rPr>
                <w:b/>
                <w:spacing w:val="-10"/>
                <w:sz w:val="20"/>
              </w:rPr>
              <w:t xml:space="preserve"> </w:t>
            </w:r>
            <w:r>
              <w:rPr>
                <w:b/>
                <w:spacing w:val="-2"/>
                <w:sz w:val="20"/>
              </w:rPr>
              <w:t>Abuse</w:t>
            </w:r>
          </w:p>
        </w:tc>
        <w:tc>
          <w:tcPr>
            <w:tcW w:w="7110" w:type="dxa"/>
          </w:tcPr>
          <w:p w:rsidR="00C76E6D" w:rsidRDefault="00913831">
            <w:pPr>
              <w:pStyle w:val="TableParagraph"/>
              <w:numPr>
                <w:ilvl w:val="0"/>
                <w:numId w:val="28"/>
              </w:numPr>
              <w:tabs>
                <w:tab w:val="left" w:pos="279"/>
              </w:tabs>
              <w:spacing w:line="243" w:lineRule="exact"/>
              <w:ind w:hanging="168"/>
              <w:rPr>
                <w:sz w:val="20"/>
              </w:rPr>
            </w:pPr>
            <w:r>
              <w:rPr>
                <w:sz w:val="20"/>
              </w:rPr>
              <w:t>Threats</w:t>
            </w:r>
            <w:r>
              <w:rPr>
                <w:spacing w:val="-8"/>
                <w:sz w:val="20"/>
              </w:rPr>
              <w:t xml:space="preserve"> </w:t>
            </w:r>
            <w:r>
              <w:rPr>
                <w:sz w:val="20"/>
              </w:rPr>
              <w:t>of</w:t>
            </w:r>
            <w:r>
              <w:rPr>
                <w:spacing w:val="-8"/>
                <w:sz w:val="20"/>
              </w:rPr>
              <w:t xml:space="preserve"> </w:t>
            </w:r>
            <w:r>
              <w:rPr>
                <w:sz w:val="20"/>
              </w:rPr>
              <w:t>suicide</w:t>
            </w:r>
            <w:r>
              <w:rPr>
                <w:spacing w:val="-8"/>
                <w:sz w:val="20"/>
              </w:rPr>
              <w:t xml:space="preserve"> </w:t>
            </w:r>
            <w:r>
              <w:rPr>
                <w:sz w:val="20"/>
              </w:rPr>
              <w:t>or</w:t>
            </w:r>
            <w:r>
              <w:rPr>
                <w:spacing w:val="-7"/>
                <w:sz w:val="20"/>
              </w:rPr>
              <w:t xml:space="preserve"> </w:t>
            </w:r>
            <w:r>
              <w:rPr>
                <w:sz w:val="20"/>
              </w:rPr>
              <w:t>self-</w:t>
            </w:r>
            <w:r>
              <w:rPr>
                <w:spacing w:val="-4"/>
                <w:sz w:val="20"/>
              </w:rPr>
              <w:t>harm</w:t>
            </w:r>
          </w:p>
          <w:p w:rsidR="00C76E6D" w:rsidRDefault="00913831">
            <w:pPr>
              <w:pStyle w:val="TableParagraph"/>
              <w:numPr>
                <w:ilvl w:val="0"/>
                <w:numId w:val="28"/>
              </w:numPr>
              <w:tabs>
                <w:tab w:val="left" w:pos="279"/>
              </w:tabs>
              <w:spacing w:before="36"/>
              <w:ind w:hanging="168"/>
              <w:rPr>
                <w:sz w:val="20"/>
              </w:rPr>
            </w:pPr>
            <w:r>
              <w:rPr>
                <w:sz w:val="20"/>
              </w:rPr>
              <w:t>Breaking</w:t>
            </w:r>
            <w:r>
              <w:rPr>
                <w:spacing w:val="-8"/>
                <w:sz w:val="20"/>
              </w:rPr>
              <w:t xml:space="preserve"> </w:t>
            </w:r>
            <w:r>
              <w:rPr>
                <w:sz w:val="20"/>
              </w:rPr>
              <w:t>into</w:t>
            </w:r>
            <w:r>
              <w:rPr>
                <w:spacing w:val="-7"/>
                <w:sz w:val="20"/>
              </w:rPr>
              <w:t xml:space="preserve"> </w:t>
            </w:r>
            <w:r>
              <w:rPr>
                <w:sz w:val="20"/>
              </w:rPr>
              <w:t>social</w:t>
            </w:r>
            <w:r>
              <w:rPr>
                <w:spacing w:val="-7"/>
                <w:sz w:val="20"/>
              </w:rPr>
              <w:t xml:space="preserve"> </w:t>
            </w:r>
            <w:r>
              <w:rPr>
                <w:sz w:val="20"/>
              </w:rPr>
              <w:t>media</w:t>
            </w:r>
            <w:r>
              <w:rPr>
                <w:spacing w:val="-8"/>
                <w:sz w:val="20"/>
              </w:rPr>
              <w:t xml:space="preserve"> </w:t>
            </w:r>
            <w:r>
              <w:rPr>
                <w:spacing w:val="-2"/>
                <w:sz w:val="20"/>
              </w:rPr>
              <w:t>accounts</w:t>
            </w:r>
          </w:p>
          <w:p w:rsidR="00C76E6D" w:rsidRDefault="00913831">
            <w:pPr>
              <w:pStyle w:val="TableParagraph"/>
              <w:numPr>
                <w:ilvl w:val="0"/>
                <w:numId w:val="28"/>
              </w:numPr>
              <w:tabs>
                <w:tab w:val="left" w:pos="279"/>
              </w:tabs>
              <w:spacing w:before="37"/>
              <w:rPr>
                <w:sz w:val="20"/>
              </w:rPr>
            </w:pPr>
            <w:r>
              <w:rPr>
                <w:sz w:val="20"/>
              </w:rPr>
              <w:t>Re-defining</w:t>
            </w:r>
            <w:r>
              <w:rPr>
                <w:spacing w:val="-11"/>
                <w:sz w:val="20"/>
              </w:rPr>
              <w:t xml:space="preserve"> </w:t>
            </w:r>
            <w:r>
              <w:rPr>
                <w:sz w:val="20"/>
              </w:rPr>
              <w:t>reality</w:t>
            </w:r>
            <w:r>
              <w:rPr>
                <w:spacing w:val="-9"/>
                <w:sz w:val="20"/>
              </w:rPr>
              <w:t xml:space="preserve"> </w:t>
            </w:r>
            <w:r>
              <w:rPr>
                <w:sz w:val="20"/>
              </w:rPr>
              <w:t>and</w:t>
            </w:r>
            <w:r>
              <w:rPr>
                <w:spacing w:val="-11"/>
                <w:sz w:val="20"/>
              </w:rPr>
              <w:t xml:space="preserve"> </w:t>
            </w:r>
            <w:r>
              <w:rPr>
                <w:sz w:val="20"/>
              </w:rPr>
              <w:t>dismissing</w:t>
            </w:r>
            <w:r>
              <w:rPr>
                <w:spacing w:val="-9"/>
                <w:sz w:val="20"/>
              </w:rPr>
              <w:t xml:space="preserve"> </w:t>
            </w:r>
            <w:r>
              <w:rPr>
                <w:spacing w:val="-2"/>
                <w:sz w:val="20"/>
              </w:rPr>
              <w:t>feelings</w:t>
            </w:r>
          </w:p>
          <w:p w:rsidR="00C76E6D" w:rsidRDefault="00913831">
            <w:pPr>
              <w:pStyle w:val="TableParagraph"/>
              <w:numPr>
                <w:ilvl w:val="0"/>
                <w:numId w:val="28"/>
              </w:numPr>
              <w:tabs>
                <w:tab w:val="left" w:pos="280"/>
              </w:tabs>
              <w:spacing w:before="37"/>
              <w:ind w:left="279" w:hanging="168"/>
              <w:rPr>
                <w:sz w:val="20"/>
              </w:rPr>
            </w:pPr>
            <w:r>
              <w:rPr>
                <w:sz w:val="20"/>
              </w:rPr>
              <w:t>Isolation</w:t>
            </w:r>
            <w:r>
              <w:rPr>
                <w:spacing w:val="-9"/>
                <w:sz w:val="20"/>
              </w:rPr>
              <w:t xml:space="preserve"> </w:t>
            </w:r>
            <w:r>
              <w:rPr>
                <w:sz w:val="20"/>
              </w:rPr>
              <w:t>from</w:t>
            </w:r>
            <w:r>
              <w:rPr>
                <w:spacing w:val="-9"/>
                <w:sz w:val="20"/>
              </w:rPr>
              <w:t xml:space="preserve"> </w:t>
            </w:r>
            <w:r>
              <w:rPr>
                <w:sz w:val="20"/>
              </w:rPr>
              <w:t>LGBTQ</w:t>
            </w:r>
            <w:r>
              <w:rPr>
                <w:spacing w:val="-7"/>
                <w:sz w:val="20"/>
              </w:rPr>
              <w:t xml:space="preserve"> </w:t>
            </w:r>
            <w:r>
              <w:rPr>
                <w:sz w:val="20"/>
              </w:rPr>
              <w:t>safe</w:t>
            </w:r>
            <w:r>
              <w:rPr>
                <w:spacing w:val="-7"/>
                <w:sz w:val="20"/>
              </w:rPr>
              <w:t xml:space="preserve"> </w:t>
            </w:r>
            <w:r>
              <w:rPr>
                <w:sz w:val="20"/>
              </w:rPr>
              <w:t>spaces,</w:t>
            </w:r>
            <w:r>
              <w:rPr>
                <w:spacing w:val="-8"/>
                <w:sz w:val="20"/>
              </w:rPr>
              <w:t xml:space="preserve"> </w:t>
            </w:r>
            <w:r>
              <w:rPr>
                <w:sz w:val="20"/>
              </w:rPr>
              <w:t>family,</w:t>
            </w:r>
            <w:r>
              <w:rPr>
                <w:spacing w:val="-7"/>
                <w:sz w:val="20"/>
              </w:rPr>
              <w:t xml:space="preserve"> </w:t>
            </w:r>
            <w:r>
              <w:rPr>
                <w:sz w:val="20"/>
              </w:rPr>
              <w:t>and</w:t>
            </w:r>
            <w:r>
              <w:rPr>
                <w:spacing w:val="-6"/>
                <w:sz w:val="20"/>
              </w:rPr>
              <w:t xml:space="preserve"> </w:t>
            </w:r>
            <w:r>
              <w:rPr>
                <w:spacing w:val="-2"/>
                <w:sz w:val="20"/>
              </w:rPr>
              <w:t>friends</w:t>
            </w:r>
          </w:p>
          <w:p w:rsidR="00C76E6D" w:rsidRDefault="00913831">
            <w:pPr>
              <w:pStyle w:val="TableParagraph"/>
              <w:numPr>
                <w:ilvl w:val="0"/>
                <w:numId w:val="28"/>
              </w:numPr>
              <w:tabs>
                <w:tab w:val="left" w:pos="281"/>
              </w:tabs>
              <w:spacing w:before="37"/>
              <w:ind w:left="280" w:hanging="168"/>
              <w:rPr>
                <w:sz w:val="20"/>
              </w:rPr>
            </w:pPr>
            <w:r>
              <w:rPr>
                <w:spacing w:val="-2"/>
                <w:sz w:val="20"/>
              </w:rPr>
              <w:t>Sabotaging</w:t>
            </w:r>
            <w:r>
              <w:rPr>
                <w:spacing w:val="5"/>
                <w:sz w:val="20"/>
              </w:rPr>
              <w:t xml:space="preserve"> </w:t>
            </w:r>
            <w:r>
              <w:rPr>
                <w:spacing w:val="-2"/>
                <w:sz w:val="20"/>
              </w:rPr>
              <w:t>personal</w:t>
            </w:r>
            <w:r>
              <w:rPr>
                <w:spacing w:val="7"/>
                <w:sz w:val="20"/>
              </w:rPr>
              <w:t xml:space="preserve"> </w:t>
            </w:r>
            <w:r>
              <w:rPr>
                <w:spacing w:val="-2"/>
                <w:sz w:val="20"/>
              </w:rPr>
              <w:t>relationships</w:t>
            </w:r>
          </w:p>
        </w:tc>
      </w:tr>
      <w:tr w:rsidR="00C76E6D">
        <w:trPr>
          <w:trHeight w:val="1403"/>
        </w:trPr>
        <w:tc>
          <w:tcPr>
            <w:tcW w:w="2245" w:type="dxa"/>
          </w:tcPr>
          <w:p w:rsidR="00C76E6D" w:rsidRDefault="00913831">
            <w:pPr>
              <w:pStyle w:val="TableParagraph"/>
              <w:spacing w:before="3"/>
              <w:ind w:left="111"/>
              <w:rPr>
                <w:b/>
                <w:sz w:val="20"/>
              </w:rPr>
            </w:pPr>
            <w:r>
              <w:rPr>
                <w:b/>
                <w:sz w:val="20"/>
              </w:rPr>
              <w:t>Physical</w:t>
            </w:r>
            <w:r>
              <w:rPr>
                <w:b/>
                <w:spacing w:val="-9"/>
                <w:sz w:val="20"/>
              </w:rPr>
              <w:t xml:space="preserve"> </w:t>
            </w:r>
            <w:r>
              <w:rPr>
                <w:b/>
                <w:spacing w:val="-2"/>
                <w:sz w:val="20"/>
              </w:rPr>
              <w:t>Abuse</w:t>
            </w:r>
          </w:p>
        </w:tc>
        <w:tc>
          <w:tcPr>
            <w:tcW w:w="7110" w:type="dxa"/>
          </w:tcPr>
          <w:p w:rsidR="00C76E6D" w:rsidRDefault="00913831">
            <w:pPr>
              <w:pStyle w:val="TableParagraph"/>
              <w:numPr>
                <w:ilvl w:val="0"/>
                <w:numId w:val="27"/>
              </w:numPr>
              <w:tabs>
                <w:tab w:val="left" w:pos="279"/>
              </w:tabs>
              <w:spacing w:before="3"/>
              <w:ind w:hanging="168"/>
              <w:rPr>
                <w:sz w:val="20"/>
              </w:rPr>
            </w:pPr>
            <w:r>
              <w:rPr>
                <w:sz w:val="20"/>
              </w:rPr>
              <w:t>Threats</w:t>
            </w:r>
            <w:r>
              <w:rPr>
                <w:spacing w:val="-8"/>
                <w:sz w:val="20"/>
              </w:rPr>
              <w:t xml:space="preserve"> </w:t>
            </w:r>
            <w:r>
              <w:rPr>
                <w:sz w:val="20"/>
              </w:rPr>
              <w:t>of</w:t>
            </w:r>
            <w:r>
              <w:rPr>
                <w:spacing w:val="-8"/>
                <w:sz w:val="20"/>
              </w:rPr>
              <w:t xml:space="preserve"> </w:t>
            </w:r>
            <w:r>
              <w:rPr>
                <w:sz w:val="20"/>
              </w:rPr>
              <w:t>suicide</w:t>
            </w:r>
            <w:r>
              <w:rPr>
                <w:spacing w:val="-8"/>
                <w:sz w:val="20"/>
              </w:rPr>
              <w:t xml:space="preserve"> </w:t>
            </w:r>
            <w:r>
              <w:rPr>
                <w:sz w:val="20"/>
              </w:rPr>
              <w:t>or</w:t>
            </w:r>
            <w:r>
              <w:rPr>
                <w:spacing w:val="-7"/>
                <w:sz w:val="20"/>
              </w:rPr>
              <w:t xml:space="preserve"> </w:t>
            </w:r>
            <w:r>
              <w:rPr>
                <w:sz w:val="20"/>
              </w:rPr>
              <w:t>self-</w:t>
            </w:r>
            <w:r>
              <w:rPr>
                <w:spacing w:val="-4"/>
                <w:sz w:val="20"/>
              </w:rPr>
              <w:t>harm</w:t>
            </w:r>
          </w:p>
          <w:p w:rsidR="00C76E6D" w:rsidRDefault="00913831">
            <w:pPr>
              <w:pStyle w:val="TableParagraph"/>
              <w:numPr>
                <w:ilvl w:val="0"/>
                <w:numId w:val="27"/>
              </w:numPr>
              <w:tabs>
                <w:tab w:val="left" w:pos="279"/>
              </w:tabs>
              <w:spacing w:before="31"/>
              <w:ind w:hanging="168"/>
              <w:rPr>
                <w:sz w:val="20"/>
              </w:rPr>
            </w:pPr>
            <w:r>
              <w:rPr>
                <w:sz w:val="20"/>
              </w:rPr>
              <w:t>Breaking</w:t>
            </w:r>
            <w:r>
              <w:rPr>
                <w:spacing w:val="-8"/>
                <w:sz w:val="20"/>
              </w:rPr>
              <w:t xml:space="preserve"> </w:t>
            </w:r>
            <w:r>
              <w:rPr>
                <w:sz w:val="20"/>
              </w:rPr>
              <w:t>into</w:t>
            </w:r>
            <w:r>
              <w:rPr>
                <w:spacing w:val="-7"/>
                <w:sz w:val="20"/>
              </w:rPr>
              <w:t xml:space="preserve"> </w:t>
            </w:r>
            <w:r>
              <w:rPr>
                <w:sz w:val="20"/>
              </w:rPr>
              <w:t>social</w:t>
            </w:r>
            <w:r>
              <w:rPr>
                <w:spacing w:val="-7"/>
                <w:sz w:val="20"/>
              </w:rPr>
              <w:t xml:space="preserve"> </w:t>
            </w:r>
            <w:r>
              <w:rPr>
                <w:sz w:val="20"/>
              </w:rPr>
              <w:t>media</w:t>
            </w:r>
            <w:r>
              <w:rPr>
                <w:spacing w:val="-8"/>
                <w:sz w:val="20"/>
              </w:rPr>
              <w:t xml:space="preserve"> </w:t>
            </w:r>
            <w:r>
              <w:rPr>
                <w:spacing w:val="-2"/>
                <w:sz w:val="20"/>
              </w:rPr>
              <w:t>accounts</w:t>
            </w:r>
          </w:p>
          <w:p w:rsidR="00C76E6D" w:rsidRDefault="00913831">
            <w:pPr>
              <w:pStyle w:val="TableParagraph"/>
              <w:numPr>
                <w:ilvl w:val="0"/>
                <w:numId w:val="27"/>
              </w:numPr>
              <w:tabs>
                <w:tab w:val="left" w:pos="279"/>
              </w:tabs>
              <w:spacing w:before="37"/>
              <w:rPr>
                <w:sz w:val="20"/>
              </w:rPr>
            </w:pPr>
            <w:r>
              <w:rPr>
                <w:sz w:val="20"/>
              </w:rPr>
              <w:t>Re-defining</w:t>
            </w:r>
            <w:r>
              <w:rPr>
                <w:spacing w:val="-11"/>
                <w:sz w:val="20"/>
              </w:rPr>
              <w:t xml:space="preserve"> </w:t>
            </w:r>
            <w:r>
              <w:rPr>
                <w:sz w:val="20"/>
              </w:rPr>
              <w:t>reality</w:t>
            </w:r>
            <w:r>
              <w:rPr>
                <w:spacing w:val="-9"/>
                <w:sz w:val="20"/>
              </w:rPr>
              <w:t xml:space="preserve"> </w:t>
            </w:r>
            <w:r>
              <w:rPr>
                <w:sz w:val="20"/>
              </w:rPr>
              <w:t>and</w:t>
            </w:r>
            <w:r>
              <w:rPr>
                <w:spacing w:val="-11"/>
                <w:sz w:val="20"/>
              </w:rPr>
              <w:t xml:space="preserve"> </w:t>
            </w:r>
            <w:r>
              <w:rPr>
                <w:sz w:val="20"/>
              </w:rPr>
              <w:t>dismissing</w:t>
            </w:r>
            <w:r>
              <w:rPr>
                <w:spacing w:val="-9"/>
                <w:sz w:val="20"/>
              </w:rPr>
              <w:t xml:space="preserve"> </w:t>
            </w:r>
            <w:r>
              <w:rPr>
                <w:spacing w:val="-2"/>
                <w:sz w:val="20"/>
              </w:rPr>
              <w:t>feelings</w:t>
            </w:r>
          </w:p>
          <w:p w:rsidR="00C76E6D" w:rsidRDefault="00913831">
            <w:pPr>
              <w:pStyle w:val="TableParagraph"/>
              <w:numPr>
                <w:ilvl w:val="0"/>
                <w:numId w:val="27"/>
              </w:numPr>
              <w:tabs>
                <w:tab w:val="left" w:pos="280"/>
              </w:tabs>
              <w:spacing w:before="38"/>
              <w:ind w:left="279" w:hanging="168"/>
              <w:rPr>
                <w:sz w:val="20"/>
              </w:rPr>
            </w:pPr>
            <w:r>
              <w:rPr>
                <w:sz w:val="20"/>
              </w:rPr>
              <w:t>Isolation</w:t>
            </w:r>
            <w:r>
              <w:rPr>
                <w:spacing w:val="-9"/>
                <w:sz w:val="20"/>
              </w:rPr>
              <w:t xml:space="preserve"> </w:t>
            </w:r>
            <w:r>
              <w:rPr>
                <w:sz w:val="20"/>
              </w:rPr>
              <w:t>from</w:t>
            </w:r>
            <w:r>
              <w:rPr>
                <w:spacing w:val="-9"/>
                <w:sz w:val="20"/>
              </w:rPr>
              <w:t xml:space="preserve"> </w:t>
            </w:r>
            <w:r>
              <w:rPr>
                <w:sz w:val="20"/>
              </w:rPr>
              <w:t>LGBTQ</w:t>
            </w:r>
            <w:r>
              <w:rPr>
                <w:spacing w:val="-7"/>
                <w:sz w:val="20"/>
              </w:rPr>
              <w:t xml:space="preserve"> </w:t>
            </w:r>
            <w:r>
              <w:rPr>
                <w:sz w:val="20"/>
              </w:rPr>
              <w:t>safe</w:t>
            </w:r>
            <w:r>
              <w:rPr>
                <w:spacing w:val="-7"/>
                <w:sz w:val="20"/>
              </w:rPr>
              <w:t xml:space="preserve"> </w:t>
            </w:r>
            <w:r>
              <w:rPr>
                <w:sz w:val="20"/>
              </w:rPr>
              <w:t>spaces,</w:t>
            </w:r>
            <w:r>
              <w:rPr>
                <w:spacing w:val="-8"/>
                <w:sz w:val="20"/>
              </w:rPr>
              <w:t xml:space="preserve"> </w:t>
            </w:r>
            <w:r>
              <w:rPr>
                <w:sz w:val="20"/>
              </w:rPr>
              <w:t>family,</w:t>
            </w:r>
            <w:r>
              <w:rPr>
                <w:spacing w:val="-7"/>
                <w:sz w:val="20"/>
              </w:rPr>
              <w:t xml:space="preserve"> </w:t>
            </w:r>
            <w:r>
              <w:rPr>
                <w:sz w:val="20"/>
              </w:rPr>
              <w:t>and</w:t>
            </w:r>
            <w:r>
              <w:rPr>
                <w:spacing w:val="-6"/>
                <w:sz w:val="20"/>
              </w:rPr>
              <w:t xml:space="preserve"> </w:t>
            </w:r>
            <w:r>
              <w:rPr>
                <w:spacing w:val="-2"/>
                <w:sz w:val="20"/>
              </w:rPr>
              <w:t>friends</w:t>
            </w:r>
          </w:p>
          <w:p w:rsidR="00C76E6D" w:rsidRDefault="00913831">
            <w:pPr>
              <w:pStyle w:val="TableParagraph"/>
              <w:numPr>
                <w:ilvl w:val="0"/>
                <w:numId w:val="27"/>
              </w:numPr>
              <w:tabs>
                <w:tab w:val="left" w:pos="281"/>
              </w:tabs>
              <w:spacing w:before="35"/>
              <w:ind w:left="280" w:hanging="168"/>
              <w:rPr>
                <w:sz w:val="20"/>
              </w:rPr>
            </w:pPr>
            <w:r>
              <w:rPr>
                <w:spacing w:val="-2"/>
                <w:sz w:val="20"/>
              </w:rPr>
              <w:t>Sabotaging</w:t>
            </w:r>
            <w:r>
              <w:rPr>
                <w:spacing w:val="5"/>
                <w:sz w:val="20"/>
              </w:rPr>
              <w:t xml:space="preserve"> </w:t>
            </w:r>
            <w:r>
              <w:rPr>
                <w:spacing w:val="-2"/>
                <w:sz w:val="20"/>
              </w:rPr>
              <w:t>personal</w:t>
            </w:r>
            <w:r>
              <w:rPr>
                <w:spacing w:val="7"/>
                <w:sz w:val="20"/>
              </w:rPr>
              <w:t xml:space="preserve"> </w:t>
            </w:r>
            <w:r>
              <w:rPr>
                <w:spacing w:val="-2"/>
                <w:sz w:val="20"/>
              </w:rPr>
              <w:t>relationships</w:t>
            </w:r>
          </w:p>
        </w:tc>
      </w:tr>
      <w:tr w:rsidR="00C76E6D">
        <w:trPr>
          <w:trHeight w:val="280"/>
        </w:trPr>
        <w:tc>
          <w:tcPr>
            <w:tcW w:w="2245" w:type="dxa"/>
          </w:tcPr>
          <w:p w:rsidR="00C76E6D" w:rsidRDefault="00913831">
            <w:pPr>
              <w:pStyle w:val="TableParagraph"/>
              <w:spacing w:before="3"/>
              <w:ind w:left="111"/>
              <w:rPr>
                <w:b/>
                <w:sz w:val="20"/>
              </w:rPr>
            </w:pPr>
            <w:r>
              <w:rPr>
                <w:b/>
                <w:spacing w:val="-2"/>
                <w:sz w:val="20"/>
              </w:rPr>
              <w:t>Cultural/Identity</w:t>
            </w:r>
            <w:r>
              <w:rPr>
                <w:b/>
                <w:spacing w:val="12"/>
                <w:sz w:val="20"/>
              </w:rPr>
              <w:t xml:space="preserve"> </w:t>
            </w:r>
            <w:r>
              <w:rPr>
                <w:b/>
                <w:spacing w:val="-2"/>
                <w:sz w:val="20"/>
              </w:rPr>
              <w:t>Abuse</w:t>
            </w:r>
          </w:p>
        </w:tc>
        <w:tc>
          <w:tcPr>
            <w:tcW w:w="7110" w:type="dxa"/>
          </w:tcPr>
          <w:p w:rsidR="00C76E6D" w:rsidRDefault="00913831">
            <w:pPr>
              <w:pStyle w:val="TableParagraph"/>
              <w:numPr>
                <w:ilvl w:val="0"/>
                <w:numId w:val="26"/>
              </w:numPr>
              <w:tabs>
                <w:tab w:val="left" w:pos="279"/>
              </w:tabs>
              <w:spacing w:before="3"/>
              <w:ind w:hanging="168"/>
              <w:rPr>
                <w:sz w:val="20"/>
              </w:rPr>
            </w:pPr>
            <w:r>
              <w:rPr>
                <w:sz w:val="20"/>
              </w:rPr>
              <w:t>Controlling</w:t>
            </w:r>
            <w:r>
              <w:rPr>
                <w:spacing w:val="-11"/>
                <w:sz w:val="20"/>
              </w:rPr>
              <w:t xml:space="preserve"> </w:t>
            </w:r>
            <w:r>
              <w:rPr>
                <w:sz w:val="20"/>
              </w:rPr>
              <w:t>identity</w:t>
            </w:r>
            <w:r>
              <w:rPr>
                <w:spacing w:val="-10"/>
                <w:sz w:val="20"/>
              </w:rPr>
              <w:t xml:space="preserve"> </w:t>
            </w:r>
            <w:r>
              <w:rPr>
                <w:sz w:val="20"/>
              </w:rPr>
              <w:t>and</w:t>
            </w:r>
            <w:r>
              <w:rPr>
                <w:spacing w:val="-10"/>
                <w:sz w:val="20"/>
              </w:rPr>
              <w:t xml:space="preserve"> </w:t>
            </w:r>
            <w:r>
              <w:rPr>
                <w:sz w:val="20"/>
              </w:rPr>
              <w:t>gender</w:t>
            </w:r>
            <w:r>
              <w:rPr>
                <w:spacing w:val="-9"/>
                <w:sz w:val="20"/>
              </w:rPr>
              <w:t xml:space="preserve"> </w:t>
            </w:r>
            <w:r>
              <w:rPr>
                <w:spacing w:val="-2"/>
                <w:sz w:val="20"/>
              </w:rPr>
              <w:t>expression</w:t>
            </w:r>
          </w:p>
        </w:tc>
      </w:tr>
    </w:tbl>
    <w:p w:rsidR="00C76E6D" w:rsidRDefault="00C76E6D">
      <w:pPr>
        <w:rPr>
          <w:sz w:val="20"/>
        </w:rPr>
        <w:sectPr w:rsidR="00C76E6D">
          <w:headerReference w:type="default" r:id="rId341"/>
          <w:footerReference w:type="default" r:id="rId342"/>
          <w:pgSz w:w="12240" w:h="15840"/>
          <w:pgMar w:top="960" w:right="960" w:bottom="880" w:left="960" w:header="769" w:footer="694" w:gutter="0"/>
          <w:pgNumType w:start="137"/>
          <w:cols w:space="720"/>
        </w:sectPr>
      </w:pPr>
    </w:p>
    <w:p w:rsidR="00C76E6D" w:rsidRDefault="00C76E6D">
      <w:pPr>
        <w:pStyle w:val="BodyText"/>
        <w:rPr>
          <w:b/>
          <w:sz w:val="20"/>
        </w:rPr>
      </w:pPr>
    </w:p>
    <w:p w:rsidR="00C76E6D" w:rsidRDefault="00C76E6D">
      <w:pPr>
        <w:pStyle w:val="BodyText"/>
        <w:spacing w:before="1"/>
        <w:rPr>
          <w:b/>
          <w:sz w:val="17"/>
        </w:rPr>
      </w:pPr>
    </w:p>
    <w:tbl>
      <w:tblPr>
        <w:tblW w:w="0" w:type="auto"/>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5"/>
        <w:gridCol w:w="7110"/>
      </w:tblGrid>
      <w:tr w:rsidR="00C76E6D">
        <w:trPr>
          <w:trHeight w:val="840"/>
        </w:trPr>
        <w:tc>
          <w:tcPr>
            <w:tcW w:w="2245" w:type="dxa"/>
          </w:tcPr>
          <w:p w:rsidR="00C76E6D" w:rsidRDefault="00C76E6D">
            <w:pPr>
              <w:pStyle w:val="TableParagraph"/>
              <w:rPr>
                <w:rFonts w:ascii="Times New Roman"/>
                <w:sz w:val="20"/>
              </w:rPr>
            </w:pPr>
          </w:p>
        </w:tc>
        <w:tc>
          <w:tcPr>
            <w:tcW w:w="7110" w:type="dxa"/>
          </w:tcPr>
          <w:p w:rsidR="00C76E6D" w:rsidRDefault="00913831">
            <w:pPr>
              <w:pStyle w:val="TableParagraph"/>
              <w:numPr>
                <w:ilvl w:val="0"/>
                <w:numId w:val="25"/>
              </w:numPr>
              <w:tabs>
                <w:tab w:val="left" w:pos="279"/>
              </w:tabs>
              <w:spacing w:before="3"/>
              <w:ind w:hanging="168"/>
              <w:rPr>
                <w:sz w:val="20"/>
              </w:rPr>
            </w:pPr>
            <w:r>
              <w:rPr>
                <w:sz w:val="20"/>
              </w:rPr>
              <w:t>Purposefully</w:t>
            </w:r>
            <w:r>
              <w:rPr>
                <w:spacing w:val="-11"/>
                <w:sz w:val="20"/>
              </w:rPr>
              <w:t xml:space="preserve"> </w:t>
            </w:r>
            <w:r>
              <w:rPr>
                <w:sz w:val="20"/>
              </w:rPr>
              <w:t>using</w:t>
            </w:r>
            <w:r>
              <w:rPr>
                <w:spacing w:val="-6"/>
                <w:sz w:val="20"/>
              </w:rPr>
              <w:t xml:space="preserve"> </w:t>
            </w:r>
            <w:r>
              <w:rPr>
                <w:sz w:val="20"/>
              </w:rPr>
              <w:t>the</w:t>
            </w:r>
            <w:r>
              <w:rPr>
                <w:spacing w:val="-8"/>
                <w:sz w:val="20"/>
              </w:rPr>
              <w:t xml:space="preserve"> </w:t>
            </w:r>
            <w:r>
              <w:rPr>
                <w:sz w:val="20"/>
              </w:rPr>
              <w:t>wrong</w:t>
            </w:r>
            <w:r>
              <w:rPr>
                <w:spacing w:val="-8"/>
                <w:sz w:val="20"/>
              </w:rPr>
              <w:t xml:space="preserve"> </w:t>
            </w:r>
            <w:r>
              <w:rPr>
                <w:sz w:val="20"/>
              </w:rPr>
              <w:t>name</w:t>
            </w:r>
            <w:r>
              <w:rPr>
                <w:spacing w:val="-8"/>
                <w:sz w:val="20"/>
              </w:rPr>
              <w:t xml:space="preserve"> </w:t>
            </w:r>
            <w:r>
              <w:rPr>
                <w:sz w:val="20"/>
              </w:rPr>
              <w:t>and/or</w:t>
            </w:r>
            <w:r>
              <w:rPr>
                <w:spacing w:val="-7"/>
                <w:sz w:val="20"/>
              </w:rPr>
              <w:t xml:space="preserve"> </w:t>
            </w:r>
            <w:r>
              <w:rPr>
                <w:spacing w:val="-2"/>
                <w:sz w:val="20"/>
              </w:rPr>
              <w:t>pronouns</w:t>
            </w:r>
          </w:p>
          <w:p w:rsidR="00C76E6D" w:rsidRDefault="00913831">
            <w:pPr>
              <w:pStyle w:val="TableParagraph"/>
              <w:numPr>
                <w:ilvl w:val="0"/>
                <w:numId w:val="25"/>
              </w:numPr>
              <w:tabs>
                <w:tab w:val="left" w:pos="279"/>
              </w:tabs>
              <w:spacing w:before="30"/>
              <w:ind w:hanging="168"/>
              <w:rPr>
                <w:sz w:val="20"/>
              </w:rPr>
            </w:pPr>
            <w:r>
              <w:rPr>
                <w:sz w:val="20"/>
              </w:rPr>
              <w:t>Outing</w:t>
            </w:r>
            <w:r>
              <w:rPr>
                <w:spacing w:val="-7"/>
                <w:sz w:val="20"/>
              </w:rPr>
              <w:t xml:space="preserve"> </w:t>
            </w:r>
            <w:r>
              <w:rPr>
                <w:sz w:val="20"/>
              </w:rPr>
              <w:t>or</w:t>
            </w:r>
            <w:r>
              <w:rPr>
                <w:spacing w:val="-6"/>
                <w:sz w:val="20"/>
              </w:rPr>
              <w:t xml:space="preserve"> </w:t>
            </w:r>
            <w:r>
              <w:rPr>
                <w:sz w:val="20"/>
              </w:rPr>
              <w:t>threatening</w:t>
            </w:r>
            <w:r>
              <w:rPr>
                <w:spacing w:val="-4"/>
                <w:sz w:val="20"/>
              </w:rPr>
              <w:t xml:space="preserve"> </w:t>
            </w:r>
            <w:r>
              <w:rPr>
                <w:sz w:val="20"/>
              </w:rPr>
              <w:t>to</w:t>
            </w:r>
            <w:r>
              <w:rPr>
                <w:spacing w:val="-7"/>
                <w:sz w:val="20"/>
              </w:rPr>
              <w:t xml:space="preserve"> </w:t>
            </w:r>
            <w:r>
              <w:rPr>
                <w:spacing w:val="-5"/>
                <w:sz w:val="20"/>
              </w:rPr>
              <w:t>out</w:t>
            </w:r>
          </w:p>
          <w:p w:rsidR="00C76E6D" w:rsidRDefault="00913831">
            <w:pPr>
              <w:pStyle w:val="TableParagraph"/>
              <w:numPr>
                <w:ilvl w:val="0"/>
                <w:numId w:val="25"/>
              </w:numPr>
              <w:tabs>
                <w:tab w:val="left" w:pos="279"/>
              </w:tabs>
              <w:spacing w:before="38"/>
              <w:ind w:hanging="168"/>
              <w:rPr>
                <w:sz w:val="20"/>
              </w:rPr>
            </w:pPr>
            <w:r>
              <w:rPr>
                <w:sz w:val="20"/>
              </w:rPr>
              <w:t>Preventing</w:t>
            </w:r>
            <w:r>
              <w:rPr>
                <w:spacing w:val="-12"/>
                <w:sz w:val="20"/>
              </w:rPr>
              <w:t xml:space="preserve"> </w:t>
            </w:r>
            <w:r>
              <w:rPr>
                <w:sz w:val="20"/>
              </w:rPr>
              <w:t>associations</w:t>
            </w:r>
            <w:r>
              <w:rPr>
                <w:spacing w:val="-11"/>
                <w:sz w:val="20"/>
              </w:rPr>
              <w:t xml:space="preserve"> </w:t>
            </w:r>
            <w:r>
              <w:rPr>
                <w:sz w:val="20"/>
              </w:rPr>
              <w:t>with</w:t>
            </w:r>
            <w:r>
              <w:rPr>
                <w:spacing w:val="-11"/>
                <w:sz w:val="20"/>
              </w:rPr>
              <w:t xml:space="preserve"> </w:t>
            </w:r>
            <w:r>
              <w:rPr>
                <w:sz w:val="20"/>
              </w:rPr>
              <w:t>community</w:t>
            </w:r>
            <w:r>
              <w:rPr>
                <w:spacing w:val="-11"/>
                <w:sz w:val="20"/>
              </w:rPr>
              <w:t xml:space="preserve"> </w:t>
            </w:r>
            <w:r>
              <w:rPr>
                <w:sz w:val="20"/>
              </w:rPr>
              <w:t>and</w:t>
            </w:r>
            <w:r>
              <w:rPr>
                <w:spacing w:val="-10"/>
                <w:sz w:val="20"/>
              </w:rPr>
              <w:t xml:space="preserve"> </w:t>
            </w:r>
            <w:r>
              <w:rPr>
                <w:spacing w:val="-2"/>
                <w:sz w:val="20"/>
              </w:rPr>
              <w:t>culture</w:t>
            </w:r>
          </w:p>
        </w:tc>
      </w:tr>
      <w:tr w:rsidR="00C76E6D">
        <w:trPr>
          <w:trHeight w:val="1122"/>
        </w:trPr>
        <w:tc>
          <w:tcPr>
            <w:tcW w:w="2245" w:type="dxa"/>
          </w:tcPr>
          <w:p w:rsidR="00C76E6D" w:rsidRDefault="00913831">
            <w:pPr>
              <w:pStyle w:val="TableParagraph"/>
              <w:spacing w:line="243" w:lineRule="exact"/>
              <w:ind w:left="111"/>
              <w:rPr>
                <w:b/>
                <w:sz w:val="20"/>
              </w:rPr>
            </w:pPr>
            <w:r>
              <w:rPr>
                <w:b/>
                <w:sz w:val="20"/>
              </w:rPr>
              <w:t>Financial</w:t>
            </w:r>
            <w:r>
              <w:rPr>
                <w:b/>
                <w:spacing w:val="-10"/>
                <w:sz w:val="20"/>
              </w:rPr>
              <w:t xml:space="preserve"> </w:t>
            </w:r>
            <w:r>
              <w:rPr>
                <w:b/>
                <w:spacing w:val="-2"/>
                <w:sz w:val="20"/>
              </w:rPr>
              <w:t>Abuse</w:t>
            </w:r>
          </w:p>
        </w:tc>
        <w:tc>
          <w:tcPr>
            <w:tcW w:w="7110" w:type="dxa"/>
          </w:tcPr>
          <w:p w:rsidR="00C76E6D" w:rsidRDefault="00913831">
            <w:pPr>
              <w:pStyle w:val="TableParagraph"/>
              <w:numPr>
                <w:ilvl w:val="0"/>
                <w:numId w:val="24"/>
              </w:numPr>
              <w:tabs>
                <w:tab w:val="left" w:pos="279"/>
              </w:tabs>
              <w:spacing w:line="243" w:lineRule="exact"/>
              <w:ind w:hanging="168"/>
              <w:rPr>
                <w:sz w:val="20"/>
              </w:rPr>
            </w:pPr>
            <w:r>
              <w:rPr>
                <w:spacing w:val="-2"/>
                <w:sz w:val="20"/>
              </w:rPr>
              <w:t>Controlling</w:t>
            </w:r>
            <w:r>
              <w:rPr>
                <w:spacing w:val="7"/>
                <w:sz w:val="20"/>
              </w:rPr>
              <w:t xml:space="preserve"> </w:t>
            </w:r>
            <w:r>
              <w:rPr>
                <w:spacing w:val="-2"/>
                <w:sz w:val="20"/>
              </w:rPr>
              <w:t>finances</w:t>
            </w:r>
          </w:p>
          <w:p w:rsidR="00C76E6D" w:rsidRDefault="00913831">
            <w:pPr>
              <w:pStyle w:val="TableParagraph"/>
              <w:numPr>
                <w:ilvl w:val="0"/>
                <w:numId w:val="24"/>
              </w:numPr>
              <w:tabs>
                <w:tab w:val="left" w:pos="279"/>
              </w:tabs>
              <w:spacing w:before="36"/>
              <w:ind w:hanging="168"/>
              <w:rPr>
                <w:sz w:val="20"/>
              </w:rPr>
            </w:pPr>
            <w:r>
              <w:rPr>
                <w:sz w:val="20"/>
              </w:rPr>
              <w:t>Jeopardizing</w:t>
            </w:r>
            <w:r>
              <w:rPr>
                <w:spacing w:val="-12"/>
                <w:sz w:val="20"/>
              </w:rPr>
              <w:t xml:space="preserve"> </w:t>
            </w:r>
            <w:r>
              <w:rPr>
                <w:sz w:val="20"/>
              </w:rPr>
              <w:t>public</w:t>
            </w:r>
            <w:r>
              <w:rPr>
                <w:spacing w:val="-10"/>
                <w:sz w:val="20"/>
              </w:rPr>
              <w:t xml:space="preserve"> </w:t>
            </w:r>
            <w:r>
              <w:rPr>
                <w:spacing w:val="-2"/>
                <w:sz w:val="20"/>
              </w:rPr>
              <w:t>assistance</w:t>
            </w:r>
          </w:p>
          <w:p w:rsidR="00C76E6D" w:rsidRDefault="00913831">
            <w:pPr>
              <w:pStyle w:val="TableParagraph"/>
              <w:numPr>
                <w:ilvl w:val="0"/>
                <w:numId w:val="24"/>
              </w:numPr>
              <w:tabs>
                <w:tab w:val="left" w:pos="279"/>
              </w:tabs>
              <w:spacing w:before="37"/>
              <w:rPr>
                <w:sz w:val="20"/>
              </w:rPr>
            </w:pPr>
            <w:r>
              <w:rPr>
                <w:sz w:val="20"/>
              </w:rPr>
              <w:t>Making</w:t>
            </w:r>
            <w:r>
              <w:rPr>
                <w:spacing w:val="-7"/>
                <w:sz w:val="20"/>
              </w:rPr>
              <w:t xml:space="preserve"> </w:t>
            </w:r>
            <w:r>
              <w:rPr>
                <w:sz w:val="20"/>
              </w:rPr>
              <w:t>late</w:t>
            </w:r>
            <w:r>
              <w:rPr>
                <w:spacing w:val="-8"/>
                <w:sz w:val="20"/>
              </w:rPr>
              <w:t xml:space="preserve"> </w:t>
            </w:r>
            <w:r>
              <w:rPr>
                <w:sz w:val="20"/>
              </w:rPr>
              <w:t>for</w:t>
            </w:r>
            <w:r>
              <w:rPr>
                <w:spacing w:val="-6"/>
                <w:sz w:val="20"/>
              </w:rPr>
              <w:t xml:space="preserve"> </w:t>
            </w:r>
            <w:r>
              <w:rPr>
                <w:sz w:val="20"/>
              </w:rPr>
              <w:t>work/school</w:t>
            </w:r>
            <w:r>
              <w:rPr>
                <w:spacing w:val="-8"/>
                <w:sz w:val="20"/>
              </w:rPr>
              <w:t xml:space="preserve"> </w:t>
            </w:r>
            <w:r>
              <w:rPr>
                <w:sz w:val="20"/>
              </w:rPr>
              <w:t>or</w:t>
            </w:r>
            <w:r>
              <w:rPr>
                <w:spacing w:val="-7"/>
                <w:sz w:val="20"/>
              </w:rPr>
              <w:t xml:space="preserve"> </w:t>
            </w:r>
            <w:r>
              <w:rPr>
                <w:sz w:val="20"/>
              </w:rPr>
              <w:t>forcing</w:t>
            </w:r>
            <w:r>
              <w:rPr>
                <w:spacing w:val="-5"/>
                <w:sz w:val="20"/>
              </w:rPr>
              <w:t xml:space="preserve"> </w:t>
            </w:r>
            <w:r>
              <w:rPr>
                <w:sz w:val="20"/>
              </w:rPr>
              <w:t>to</w:t>
            </w:r>
            <w:r>
              <w:rPr>
                <w:spacing w:val="-8"/>
                <w:sz w:val="20"/>
              </w:rPr>
              <w:t xml:space="preserve"> </w:t>
            </w:r>
            <w:r>
              <w:rPr>
                <w:sz w:val="20"/>
              </w:rPr>
              <w:t>leave</w:t>
            </w:r>
            <w:r>
              <w:rPr>
                <w:spacing w:val="-6"/>
                <w:sz w:val="20"/>
              </w:rPr>
              <w:t xml:space="preserve"> </w:t>
            </w:r>
            <w:r>
              <w:rPr>
                <w:spacing w:val="-2"/>
                <w:sz w:val="20"/>
              </w:rPr>
              <w:t>early</w:t>
            </w:r>
          </w:p>
          <w:p w:rsidR="00C76E6D" w:rsidRDefault="00913831">
            <w:pPr>
              <w:pStyle w:val="TableParagraph"/>
              <w:numPr>
                <w:ilvl w:val="0"/>
                <w:numId w:val="24"/>
              </w:numPr>
              <w:tabs>
                <w:tab w:val="left" w:pos="280"/>
              </w:tabs>
              <w:spacing w:before="35"/>
              <w:ind w:left="279" w:hanging="168"/>
              <w:rPr>
                <w:sz w:val="20"/>
              </w:rPr>
            </w:pPr>
            <w:r>
              <w:rPr>
                <w:sz w:val="20"/>
              </w:rPr>
              <w:t>Forcing</w:t>
            </w:r>
            <w:r>
              <w:rPr>
                <w:spacing w:val="-11"/>
                <w:sz w:val="20"/>
              </w:rPr>
              <w:t xml:space="preserve"> </w:t>
            </w:r>
            <w:r>
              <w:rPr>
                <w:sz w:val="20"/>
              </w:rPr>
              <w:t>or</w:t>
            </w:r>
            <w:r>
              <w:rPr>
                <w:spacing w:val="-9"/>
                <w:sz w:val="20"/>
              </w:rPr>
              <w:t xml:space="preserve"> </w:t>
            </w:r>
            <w:r>
              <w:rPr>
                <w:sz w:val="20"/>
              </w:rPr>
              <w:t>prohibiting</w:t>
            </w:r>
            <w:r>
              <w:rPr>
                <w:spacing w:val="-9"/>
                <w:sz w:val="20"/>
              </w:rPr>
              <w:t xml:space="preserve"> </w:t>
            </w:r>
            <w:r>
              <w:rPr>
                <w:sz w:val="20"/>
              </w:rPr>
              <w:t>employment</w:t>
            </w:r>
            <w:r>
              <w:rPr>
                <w:spacing w:val="-10"/>
                <w:sz w:val="20"/>
              </w:rPr>
              <w:t xml:space="preserve"> </w:t>
            </w:r>
            <w:r>
              <w:rPr>
                <w:sz w:val="20"/>
              </w:rPr>
              <w:t>or</w:t>
            </w:r>
            <w:r>
              <w:rPr>
                <w:spacing w:val="-8"/>
                <w:sz w:val="20"/>
              </w:rPr>
              <w:t xml:space="preserve"> </w:t>
            </w:r>
            <w:r>
              <w:rPr>
                <w:sz w:val="20"/>
              </w:rPr>
              <w:t>school</w:t>
            </w:r>
            <w:r>
              <w:rPr>
                <w:spacing w:val="-8"/>
                <w:sz w:val="20"/>
              </w:rPr>
              <w:t xml:space="preserve"> </w:t>
            </w:r>
            <w:r>
              <w:rPr>
                <w:spacing w:val="-2"/>
                <w:sz w:val="20"/>
              </w:rPr>
              <w:t>attendance</w:t>
            </w:r>
          </w:p>
        </w:tc>
      </w:tr>
    </w:tbl>
    <w:p w:rsidR="00C76E6D" w:rsidRDefault="00C76E6D">
      <w:pPr>
        <w:pStyle w:val="BodyText"/>
        <w:rPr>
          <w:b/>
          <w:sz w:val="20"/>
        </w:rPr>
      </w:pPr>
    </w:p>
    <w:p w:rsidR="00C76E6D" w:rsidRDefault="00C76E6D">
      <w:pPr>
        <w:pStyle w:val="BodyText"/>
        <w:spacing w:before="5"/>
        <w:rPr>
          <w:b/>
          <w:sz w:val="18"/>
        </w:rPr>
      </w:pPr>
    </w:p>
    <w:p w:rsidR="00C76E6D" w:rsidRDefault="00913831">
      <w:pPr>
        <w:pStyle w:val="BodyText"/>
        <w:spacing w:before="1" w:line="276" w:lineRule="auto"/>
        <w:ind w:left="480" w:right="473" w:hanging="1"/>
        <w:jc w:val="both"/>
      </w:pPr>
      <w:r>
        <w:t>The</w:t>
      </w:r>
      <w:r>
        <w:rPr>
          <w:spacing w:val="-8"/>
        </w:rPr>
        <w:t xml:space="preserve"> </w:t>
      </w:r>
      <w:r>
        <w:t>Boston</w:t>
      </w:r>
      <w:r>
        <w:rPr>
          <w:spacing w:val="-8"/>
        </w:rPr>
        <w:t xml:space="preserve"> </w:t>
      </w:r>
      <w:r>
        <w:t>Area</w:t>
      </w:r>
      <w:r>
        <w:rPr>
          <w:spacing w:val="-7"/>
        </w:rPr>
        <w:t xml:space="preserve"> </w:t>
      </w:r>
      <w:r>
        <w:t>Rape</w:t>
      </w:r>
      <w:r>
        <w:rPr>
          <w:spacing w:val="-8"/>
        </w:rPr>
        <w:t xml:space="preserve"> </w:t>
      </w:r>
      <w:r>
        <w:t>Crisis</w:t>
      </w:r>
      <w:r>
        <w:rPr>
          <w:spacing w:val="-7"/>
        </w:rPr>
        <w:t xml:space="preserve"> </w:t>
      </w:r>
      <w:r>
        <w:t>Center</w:t>
      </w:r>
      <w:r>
        <w:rPr>
          <w:spacing w:val="-6"/>
        </w:rPr>
        <w:t xml:space="preserve"> </w:t>
      </w:r>
      <w:r>
        <w:t>identifies</w:t>
      </w:r>
      <w:r>
        <w:rPr>
          <w:spacing w:val="-5"/>
        </w:rPr>
        <w:t xml:space="preserve"> </w:t>
      </w:r>
      <w:r>
        <w:t>common</w:t>
      </w:r>
      <w:r>
        <w:rPr>
          <w:spacing w:val="-8"/>
        </w:rPr>
        <w:t xml:space="preserve"> </w:t>
      </w:r>
      <w:r>
        <w:t>survivor</w:t>
      </w:r>
      <w:r>
        <w:rPr>
          <w:spacing w:val="-8"/>
        </w:rPr>
        <w:t xml:space="preserve"> </w:t>
      </w:r>
      <w:r>
        <w:t>reactions</w:t>
      </w:r>
      <w:r>
        <w:rPr>
          <w:spacing w:val="-6"/>
        </w:rPr>
        <w:t xml:space="preserve"> </w:t>
      </w:r>
      <w:r>
        <w:t>to</w:t>
      </w:r>
      <w:r>
        <w:rPr>
          <w:spacing w:val="-6"/>
        </w:rPr>
        <w:t xml:space="preserve"> </w:t>
      </w:r>
      <w:r>
        <w:t>sexual</w:t>
      </w:r>
      <w:r>
        <w:rPr>
          <w:spacing w:val="-8"/>
        </w:rPr>
        <w:t xml:space="preserve"> </w:t>
      </w:r>
      <w:r>
        <w:t>violence</w:t>
      </w:r>
      <w:r>
        <w:rPr>
          <w:spacing w:val="-6"/>
        </w:rPr>
        <w:t xml:space="preserve"> </w:t>
      </w:r>
      <w:r>
        <w:t>and</w:t>
      </w:r>
      <w:r>
        <w:rPr>
          <w:spacing w:val="-8"/>
        </w:rPr>
        <w:t xml:space="preserve"> </w:t>
      </w:r>
      <w:r>
        <w:t>the</w:t>
      </w:r>
      <w:r>
        <w:rPr>
          <w:spacing w:val="-8"/>
        </w:rPr>
        <w:t xml:space="preserve"> </w:t>
      </w:r>
      <w:r>
        <w:t>other forms of violence detailed above. Many survivors experience guilt, fear, avoidance, anger, mood swings, distrust,</w:t>
      </w:r>
      <w:r>
        <w:rPr>
          <w:spacing w:val="-7"/>
        </w:rPr>
        <w:t xml:space="preserve"> </w:t>
      </w:r>
      <w:r>
        <w:t>loss</w:t>
      </w:r>
      <w:r>
        <w:rPr>
          <w:spacing w:val="-2"/>
        </w:rPr>
        <w:t xml:space="preserve"> </w:t>
      </w:r>
      <w:r>
        <w:t>of</w:t>
      </w:r>
      <w:r>
        <w:rPr>
          <w:spacing w:val="-4"/>
        </w:rPr>
        <w:t xml:space="preserve"> </w:t>
      </w:r>
      <w:r>
        <w:t>control,</w:t>
      </w:r>
      <w:r>
        <w:rPr>
          <w:spacing w:val="-4"/>
        </w:rPr>
        <w:t xml:space="preserve"> </w:t>
      </w:r>
      <w:r>
        <w:t>numbness,</w:t>
      </w:r>
      <w:r>
        <w:rPr>
          <w:spacing w:val="-4"/>
        </w:rPr>
        <w:t xml:space="preserve"> </w:t>
      </w:r>
      <w:r>
        <w:t>and re-experiencing.</w:t>
      </w:r>
      <w:hyperlink w:anchor="_bookmark519" w:history="1">
        <w:r>
          <w:rPr>
            <w:vertAlign w:val="superscript"/>
          </w:rPr>
          <w:t>7</w:t>
        </w:r>
        <w:r>
          <w:rPr>
            <w:spacing w:val="-8"/>
          </w:rPr>
          <w:t xml:space="preserve"> </w:t>
        </w:r>
      </w:hyperlink>
      <w:r>
        <w:t>These</w:t>
      </w:r>
      <w:r>
        <w:rPr>
          <w:spacing w:val="-3"/>
        </w:rPr>
        <w:t xml:space="preserve"> </w:t>
      </w:r>
      <w:r>
        <w:t>reactions</w:t>
      </w:r>
      <w:r>
        <w:rPr>
          <w:spacing w:val="-2"/>
        </w:rPr>
        <w:t xml:space="preserve"> </w:t>
      </w:r>
      <w:r>
        <w:t>may</w:t>
      </w:r>
      <w:r>
        <w:rPr>
          <w:spacing w:val="-1"/>
        </w:rPr>
        <w:t xml:space="preserve"> </w:t>
      </w:r>
      <w:r>
        <w:t>be</w:t>
      </w:r>
      <w:r>
        <w:rPr>
          <w:spacing w:val="-4"/>
        </w:rPr>
        <w:t xml:space="preserve"> </w:t>
      </w:r>
      <w:r>
        <w:t>exacerbated</w:t>
      </w:r>
      <w:r>
        <w:rPr>
          <w:spacing w:val="-4"/>
        </w:rPr>
        <w:t xml:space="preserve"> </w:t>
      </w:r>
      <w:r>
        <w:t>for</w:t>
      </w:r>
      <w:r>
        <w:rPr>
          <w:spacing w:val="-4"/>
        </w:rPr>
        <w:t xml:space="preserve"> </w:t>
      </w:r>
      <w:r>
        <w:t>LGBTQ individual</w:t>
      </w:r>
      <w:r>
        <w:t>s due</w:t>
      </w:r>
      <w:r>
        <w:rPr>
          <w:spacing w:val="-2"/>
        </w:rPr>
        <w:t xml:space="preserve"> </w:t>
      </w:r>
      <w:r>
        <w:t>to</w:t>
      </w:r>
      <w:r>
        <w:rPr>
          <w:spacing w:val="-1"/>
        </w:rPr>
        <w:t xml:space="preserve"> </w:t>
      </w:r>
      <w:r>
        <w:t>discrimination</w:t>
      </w:r>
      <w:r>
        <w:rPr>
          <w:spacing w:val="-2"/>
        </w:rPr>
        <w:t xml:space="preserve"> </w:t>
      </w:r>
      <w:r>
        <w:t>based on</w:t>
      </w:r>
      <w:r>
        <w:rPr>
          <w:spacing w:val="-3"/>
        </w:rPr>
        <w:t xml:space="preserve"> </w:t>
      </w:r>
      <w:r>
        <w:t>identity,</w:t>
      </w:r>
      <w:r>
        <w:rPr>
          <w:spacing w:val="-1"/>
        </w:rPr>
        <w:t xml:space="preserve"> </w:t>
      </w:r>
      <w:r>
        <w:t>lack</w:t>
      </w:r>
      <w:r>
        <w:rPr>
          <w:spacing w:val="-2"/>
        </w:rPr>
        <w:t xml:space="preserve"> </w:t>
      </w:r>
      <w:r>
        <w:t>of</w:t>
      </w:r>
      <w:r>
        <w:rPr>
          <w:spacing w:val="-1"/>
        </w:rPr>
        <w:t xml:space="preserve"> </w:t>
      </w:r>
      <w:r>
        <w:t>support,</w:t>
      </w:r>
      <w:r>
        <w:rPr>
          <w:spacing w:val="-1"/>
        </w:rPr>
        <w:t xml:space="preserve"> </w:t>
      </w:r>
      <w:r>
        <w:t>poverty,</w:t>
      </w:r>
      <w:r>
        <w:rPr>
          <w:spacing w:val="-1"/>
        </w:rPr>
        <w:t xml:space="preserve"> </w:t>
      </w:r>
      <w:r>
        <w:t>racism,</w:t>
      </w:r>
      <w:r>
        <w:rPr>
          <w:spacing w:val="-1"/>
        </w:rPr>
        <w:t xml:space="preserve"> </w:t>
      </w:r>
      <w:r>
        <w:t>and</w:t>
      </w:r>
      <w:r>
        <w:rPr>
          <w:spacing w:val="-2"/>
        </w:rPr>
        <w:t xml:space="preserve"> </w:t>
      </w:r>
      <w:r>
        <w:t>other</w:t>
      </w:r>
      <w:r>
        <w:rPr>
          <w:spacing w:val="-1"/>
        </w:rPr>
        <w:t xml:space="preserve"> </w:t>
      </w:r>
      <w:r>
        <w:t xml:space="preserve">structural </w:t>
      </w:r>
      <w:r>
        <w:rPr>
          <w:spacing w:val="-2"/>
        </w:rPr>
        <w:t>challenges.</w:t>
      </w:r>
    </w:p>
    <w:p w:rsidR="00C76E6D" w:rsidRDefault="00C76E6D">
      <w:pPr>
        <w:pStyle w:val="BodyText"/>
      </w:pPr>
    </w:p>
    <w:p w:rsidR="00C76E6D" w:rsidRDefault="00C76E6D">
      <w:pPr>
        <w:pStyle w:val="BodyText"/>
        <w:spacing w:before="9"/>
        <w:rPr>
          <w:sz w:val="16"/>
        </w:rPr>
      </w:pPr>
    </w:p>
    <w:p w:rsidR="00C76E6D" w:rsidRDefault="00913831">
      <w:pPr>
        <w:pStyle w:val="Heading5"/>
        <w:numPr>
          <w:ilvl w:val="0"/>
          <w:numId w:val="30"/>
        </w:numPr>
        <w:tabs>
          <w:tab w:val="left" w:pos="838"/>
        </w:tabs>
        <w:ind w:hanging="360"/>
        <w:jc w:val="left"/>
      </w:pPr>
      <w:bookmarkStart w:id="674" w:name="B._Recommendations_to_the_Governor_and_L"/>
      <w:bookmarkStart w:id="675" w:name="_bookmark511"/>
      <w:bookmarkEnd w:id="674"/>
      <w:bookmarkEnd w:id="675"/>
      <w:r>
        <w:rPr>
          <w:spacing w:val="-2"/>
        </w:rPr>
        <w:t>Recommendations</w:t>
      </w:r>
      <w:r>
        <w:rPr>
          <w:spacing w:val="-10"/>
        </w:rPr>
        <w:t xml:space="preserve"> </w:t>
      </w:r>
      <w:r>
        <w:rPr>
          <w:spacing w:val="-2"/>
        </w:rPr>
        <w:t>to</w:t>
      </w:r>
      <w:r>
        <w:rPr>
          <w:spacing w:val="-6"/>
        </w:rPr>
        <w:t xml:space="preserve"> </w:t>
      </w:r>
      <w:r>
        <w:rPr>
          <w:spacing w:val="-2"/>
        </w:rPr>
        <w:t>the</w:t>
      </w:r>
      <w:r>
        <w:t xml:space="preserve"> </w:t>
      </w:r>
      <w:r>
        <w:rPr>
          <w:spacing w:val="-2"/>
        </w:rPr>
        <w:t>Governor</w:t>
      </w:r>
      <w:r>
        <w:rPr>
          <w:spacing w:val="2"/>
        </w:rPr>
        <w:t xml:space="preserve"> </w:t>
      </w:r>
      <w:r>
        <w:rPr>
          <w:spacing w:val="-2"/>
        </w:rPr>
        <w:t>and</w:t>
      </w:r>
      <w:r>
        <w:t xml:space="preserve"> </w:t>
      </w:r>
      <w:r>
        <w:rPr>
          <w:spacing w:val="-2"/>
        </w:rPr>
        <w:t>Legislature</w:t>
      </w:r>
      <w:r>
        <w:rPr>
          <w:spacing w:val="-1"/>
        </w:rPr>
        <w:t xml:space="preserve"> </w:t>
      </w:r>
      <w:r>
        <w:rPr>
          <w:spacing w:val="-2"/>
        </w:rPr>
        <w:t>on</w:t>
      </w:r>
      <w:r>
        <w:rPr>
          <w:spacing w:val="-6"/>
        </w:rPr>
        <w:t xml:space="preserve"> </w:t>
      </w:r>
      <w:r>
        <w:rPr>
          <w:spacing w:val="-2"/>
        </w:rPr>
        <w:t>Sexual</w:t>
      </w:r>
      <w:r>
        <w:rPr>
          <w:spacing w:val="-4"/>
        </w:rPr>
        <w:t xml:space="preserve"> </w:t>
      </w:r>
      <w:r>
        <w:rPr>
          <w:spacing w:val="-2"/>
        </w:rPr>
        <w:t>Victimization</w:t>
      </w:r>
    </w:p>
    <w:p w:rsidR="00C76E6D" w:rsidRDefault="00913831">
      <w:pPr>
        <w:pStyle w:val="BodyText"/>
        <w:spacing w:before="2"/>
        <w:rPr>
          <w:b/>
          <w:sz w:val="19"/>
        </w:rPr>
      </w:pPr>
      <w:r>
        <w:pict>
          <v:shape id="docshape316" o:spid="_x0000_s1134" style="position:absolute;margin-left:1in;margin-top:12.9pt;width:466.3pt;height:.1pt;z-index:-15671808;mso-wrap-distance-left:0;mso-wrap-distance-right:0;mso-position-horizontal-relative:page" coordorigin="1440,258" coordsize="9326,0" path="m1440,258r9326,e" filled="f" strokeweight=".40958mm">
            <v:path arrowok="t"/>
            <w10:wrap type="topAndBottom" anchorx="page"/>
          </v:shape>
        </w:pict>
      </w:r>
    </w:p>
    <w:p w:rsidR="00C76E6D" w:rsidRDefault="00C76E6D">
      <w:pPr>
        <w:pStyle w:val="BodyText"/>
        <w:spacing w:before="2"/>
        <w:rPr>
          <w:b/>
          <w:sz w:val="31"/>
        </w:rPr>
      </w:pPr>
    </w:p>
    <w:p w:rsidR="00C76E6D" w:rsidRDefault="00913831">
      <w:pPr>
        <w:pStyle w:val="Heading6"/>
        <w:spacing w:line="276" w:lineRule="auto"/>
        <w:ind w:left="479"/>
      </w:pPr>
      <w:bookmarkStart w:id="676" w:name="1._Require_schools_to_teach_inclusive_se"/>
      <w:bookmarkEnd w:id="676"/>
      <w:r>
        <w:t>1.</w:t>
      </w:r>
      <w:r>
        <w:rPr>
          <w:spacing w:val="-13"/>
        </w:rPr>
        <w:t xml:space="preserve"> </w:t>
      </w:r>
      <w:r>
        <w:t>Require</w:t>
      </w:r>
      <w:r>
        <w:rPr>
          <w:spacing w:val="-14"/>
        </w:rPr>
        <w:t xml:space="preserve"> </w:t>
      </w:r>
      <w:r>
        <w:t>schools</w:t>
      </w:r>
      <w:r>
        <w:rPr>
          <w:spacing w:val="-13"/>
        </w:rPr>
        <w:t xml:space="preserve"> </w:t>
      </w:r>
      <w:r>
        <w:t>to</w:t>
      </w:r>
      <w:r>
        <w:rPr>
          <w:spacing w:val="-12"/>
        </w:rPr>
        <w:t xml:space="preserve"> </w:t>
      </w:r>
      <w:r>
        <w:t>teach</w:t>
      </w:r>
      <w:r>
        <w:rPr>
          <w:spacing w:val="-15"/>
        </w:rPr>
        <w:t xml:space="preserve"> </w:t>
      </w:r>
      <w:r>
        <w:t>inclusive</w:t>
      </w:r>
      <w:r>
        <w:rPr>
          <w:spacing w:val="-13"/>
        </w:rPr>
        <w:t xml:space="preserve"> </w:t>
      </w:r>
      <w:r>
        <w:t>sexual</w:t>
      </w:r>
      <w:r>
        <w:rPr>
          <w:spacing w:val="-13"/>
        </w:rPr>
        <w:t xml:space="preserve"> </w:t>
      </w:r>
      <w:r>
        <w:t>health</w:t>
      </w:r>
      <w:r>
        <w:rPr>
          <w:spacing w:val="-12"/>
        </w:rPr>
        <w:t xml:space="preserve"> </w:t>
      </w:r>
      <w:r>
        <w:t>education</w:t>
      </w:r>
      <w:r>
        <w:rPr>
          <w:spacing w:val="-13"/>
        </w:rPr>
        <w:t xml:space="preserve"> </w:t>
      </w:r>
      <w:r>
        <w:t>that</w:t>
      </w:r>
      <w:r>
        <w:rPr>
          <w:spacing w:val="-13"/>
        </w:rPr>
        <w:t xml:space="preserve"> </w:t>
      </w:r>
      <w:r>
        <w:t>includes</w:t>
      </w:r>
      <w:r>
        <w:rPr>
          <w:spacing w:val="-12"/>
        </w:rPr>
        <w:t xml:space="preserve"> </w:t>
      </w:r>
      <w:r>
        <w:t>consent</w:t>
      </w:r>
      <w:r>
        <w:rPr>
          <w:spacing w:val="-13"/>
        </w:rPr>
        <w:t xml:space="preserve"> </w:t>
      </w:r>
      <w:r>
        <w:t>and</w:t>
      </w:r>
      <w:r>
        <w:rPr>
          <w:spacing w:val="-13"/>
        </w:rPr>
        <w:t xml:space="preserve"> </w:t>
      </w:r>
      <w:r>
        <w:t>develop</w:t>
      </w:r>
      <w:r>
        <w:rPr>
          <w:spacing w:val="-12"/>
        </w:rPr>
        <w:t xml:space="preserve"> </w:t>
      </w:r>
      <w:r>
        <w:t>consent education programs to prevent and reduce instances of sexual assault.</w:t>
      </w:r>
    </w:p>
    <w:p w:rsidR="00C76E6D" w:rsidRDefault="00C76E6D">
      <w:pPr>
        <w:pStyle w:val="BodyText"/>
        <w:spacing w:before="3"/>
        <w:rPr>
          <w:b/>
          <w:sz w:val="25"/>
        </w:rPr>
      </w:pPr>
    </w:p>
    <w:p w:rsidR="00C76E6D" w:rsidRDefault="00913831">
      <w:pPr>
        <w:pStyle w:val="BodyText"/>
        <w:spacing w:line="276" w:lineRule="auto"/>
        <w:ind w:left="480" w:right="474"/>
        <w:jc w:val="both"/>
      </w:pPr>
      <w:r>
        <w:t xml:space="preserve">LGBTQ students experience stark disparities in sexual violence and intimate partner violence. It is imperative that schools play a more significant </w:t>
      </w:r>
      <w:r>
        <w:t>role in educating students on the importance of consent and healthy relationships. H. 673, An Act Relative to Healthy Youth would help further this goal. The Commission commends the Senate for the passage of the “Healthy Youth Act” in September 2021 and im</w:t>
      </w:r>
      <w:r>
        <w:t>plores the House to pass this essential bill.</w:t>
      </w:r>
    </w:p>
    <w:p w:rsidR="00C76E6D" w:rsidRDefault="00C76E6D">
      <w:pPr>
        <w:pStyle w:val="BodyText"/>
        <w:spacing w:before="8"/>
        <w:rPr>
          <w:sz w:val="19"/>
        </w:rPr>
      </w:pPr>
    </w:p>
    <w:p w:rsidR="00C76E6D" w:rsidRDefault="00913831">
      <w:pPr>
        <w:pStyle w:val="BodyText"/>
        <w:spacing w:before="1" w:line="276" w:lineRule="auto"/>
        <w:ind w:left="479" w:right="477" w:hanging="1"/>
        <w:jc w:val="both"/>
      </w:pPr>
      <w:r>
        <w:t>The</w:t>
      </w:r>
      <w:r>
        <w:rPr>
          <w:spacing w:val="-2"/>
        </w:rPr>
        <w:t xml:space="preserve"> </w:t>
      </w:r>
      <w:r>
        <w:t>Commission</w:t>
      </w:r>
      <w:r>
        <w:rPr>
          <w:spacing w:val="-4"/>
        </w:rPr>
        <w:t xml:space="preserve"> </w:t>
      </w:r>
      <w:r>
        <w:t>also</w:t>
      </w:r>
      <w:r>
        <w:rPr>
          <w:spacing w:val="-1"/>
        </w:rPr>
        <w:t xml:space="preserve"> </w:t>
      </w:r>
      <w:r>
        <w:t>notes</w:t>
      </w:r>
      <w:r>
        <w:rPr>
          <w:spacing w:val="-1"/>
        </w:rPr>
        <w:t xml:space="preserve"> </w:t>
      </w:r>
      <w:r>
        <w:t>that</w:t>
      </w:r>
      <w:r>
        <w:rPr>
          <w:spacing w:val="-1"/>
        </w:rPr>
        <w:t xml:space="preserve"> </w:t>
      </w:r>
      <w:r>
        <w:t>there</w:t>
      </w:r>
      <w:r>
        <w:rPr>
          <w:spacing w:val="-2"/>
        </w:rPr>
        <w:t xml:space="preserve"> </w:t>
      </w:r>
      <w:r>
        <w:t>are</w:t>
      </w:r>
      <w:r>
        <w:rPr>
          <w:spacing w:val="-3"/>
        </w:rPr>
        <w:t xml:space="preserve"> </w:t>
      </w:r>
      <w:r>
        <w:t>other</w:t>
      </w:r>
      <w:r>
        <w:rPr>
          <w:spacing w:val="-2"/>
        </w:rPr>
        <w:t xml:space="preserve"> </w:t>
      </w:r>
      <w:r>
        <w:t>means</w:t>
      </w:r>
      <w:r>
        <w:rPr>
          <w:spacing w:val="-1"/>
        </w:rPr>
        <w:t xml:space="preserve"> </w:t>
      </w:r>
      <w:r>
        <w:t>of</w:t>
      </w:r>
      <w:r>
        <w:rPr>
          <w:spacing w:val="-3"/>
        </w:rPr>
        <w:t xml:space="preserve"> </w:t>
      </w:r>
      <w:r>
        <w:t>ending</w:t>
      </w:r>
      <w:r>
        <w:rPr>
          <w:spacing w:val="-1"/>
        </w:rPr>
        <w:t xml:space="preserve"> </w:t>
      </w:r>
      <w:r>
        <w:t>sexual</w:t>
      </w:r>
      <w:r>
        <w:rPr>
          <w:spacing w:val="-2"/>
        </w:rPr>
        <w:t xml:space="preserve"> </w:t>
      </w:r>
      <w:r>
        <w:t>victimization</w:t>
      </w:r>
      <w:r>
        <w:rPr>
          <w:spacing w:val="-2"/>
        </w:rPr>
        <w:t xml:space="preserve"> </w:t>
      </w:r>
      <w:r>
        <w:t>that</w:t>
      </w:r>
      <w:r>
        <w:rPr>
          <w:spacing w:val="-2"/>
        </w:rPr>
        <w:t xml:space="preserve"> </w:t>
      </w:r>
      <w:r>
        <w:t>the</w:t>
      </w:r>
      <w:r>
        <w:rPr>
          <w:spacing w:val="-3"/>
        </w:rPr>
        <w:t xml:space="preserve"> </w:t>
      </w:r>
      <w:r>
        <w:t>legislature and executive branch should pursue; many of these recommendations are presented above in previous Core R</w:t>
      </w:r>
      <w:r>
        <w:t>ecommendations.</w:t>
      </w:r>
    </w:p>
    <w:p w:rsidR="00C76E6D" w:rsidRDefault="00C76E6D">
      <w:pPr>
        <w:pStyle w:val="BodyText"/>
      </w:pPr>
    </w:p>
    <w:p w:rsidR="00C76E6D" w:rsidRDefault="00C76E6D">
      <w:pPr>
        <w:pStyle w:val="BodyText"/>
        <w:spacing w:before="2"/>
        <w:rPr>
          <w:sz w:val="23"/>
        </w:rPr>
      </w:pPr>
    </w:p>
    <w:p w:rsidR="00C76E6D" w:rsidRDefault="00913831">
      <w:pPr>
        <w:pStyle w:val="Heading5"/>
        <w:numPr>
          <w:ilvl w:val="0"/>
          <w:numId w:val="30"/>
        </w:numPr>
        <w:tabs>
          <w:tab w:val="left" w:pos="939"/>
        </w:tabs>
        <w:ind w:left="938" w:hanging="361"/>
        <w:jc w:val="left"/>
      </w:pPr>
      <w:r>
        <w:pict>
          <v:shape id="docshape317" o:spid="_x0000_s1133" style="position:absolute;left:0;text-align:left;margin-left:70.6pt;margin-top:16.4pt;width:470.95pt;height:.1pt;z-index:-15671296;mso-wrap-distance-left:0;mso-wrap-distance-right:0;mso-position-horizontal-relative:page" coordorigin="1412,328" coordsize="9419,0" path="m1412,328r9419,e" filled="f" strokeweight="1.54pt">
            <v:path arrowok="t"/>
            <w10:wrap type="topAndBottom" anchorx="page"/>
          </v:shape>
        </w:pict>
      </w:r>
      <w:bookmarkStart w:id="677" w:name="C._Research_on_Sexual_Victimization_and_"/>
      <w:bookmarkStart w:id="678" w:name="_bookmark512"/>
      <w:bookmarkEnd w:id="677"/>
      <w:bookmarkEnd w:id="678"/>
      <w:r>
        <w:rPr>
          <w:spacing w:val="-2"/>
        </w:rPr>
        <w:t>Research</w:t>
      </w:r>
      <w:r>
        <w:rPr>
          <w:spacing w:val="-6"/>
        </w:rPr>
        <w:t xml:space="preserve"> </w:t>
      </w:r>
      <w:r>
        <w:rPr>
          <w:spacing w:val="-2"/>
        </w:rPr>
        <w:t>on Sexual</w:t>
      </w:r>
      <w:r>
        <w:rPr>
          <w:spacing w:val="-3"/>
        </w:rPr>
        <w:t xml:space="preserve"> </w:t>
      </w:r>
      <w:r>
        <w:rPr>
          <w:spacing w:val="-2"/>
        </w:rPr>
        <w:t>Victimization</w:t>
      </w:r>
      <w:r>
        <w:rPr>
          <w:spacing w:val="-6"/>
        </w:rPr>
        <w:t xml:space="preserve"> </w:t>
      </w:r>
      <w:r>
        <w:rPr>
          <w:spacing w:val="-2"/>
        </w:rPr>
        <w:t>and</w:t>
      </w:r>
      <w:r>
        <w:rPr>
          <w:spacing w:val="-8"/>
        </w:rPr>
        <w:t xml:space="preserve"> </w:t>
      </w:r>
      <w:r>
        <w:rPr>
          <w:spacing w:val="-2"/>
        </w:rPr>
        <w:t>LGBTQ</w:t>
      </w:r>
      <w:r>
        <w:rPr>
          <w:spacing w:val="-5"/>
        </w:rPr>
        <w:t xml:space="preserve"> </w:t>
      </w:r>
      <w:r>
        <w:rPr>
          <w:spacing w:val="-4"/>
        </w:rPr>
        <w:t>Youth</w:t>
      </w:r>
    </w:p>
    <w:p w:rsidR="00C76E6D" w:rsidRDefault="00C76E6D">
      <w:pPr>
        <w:pStyle w:val="BodyText"/>
        <w:spacing w:before="9"/>
        <w:rPr>
          <w:b/>
          <w:sz w:val="30"/>
        </w:rPr>
      </w:pPr>
    </w:p>
    <w:p w:rsidR="00C76E6D" w:rsidRDefault="00913831">
      <w:pPr>
        <w:pStyle w:val="Heading6"/>
        <w:numPr>
          <w:ilvl w:val="1"/>
          <w:numId w:val="30"/>
        </w:numPr>
        <w:tabs>
          <w:tab w:val="left" w:pos="939"/>
        </w:tabs>
        <w:ind w:hanging="361"/>
      </w:pPr>
      <w:bookmarkStart w:id="679" w:name="1._Intimate_Partner_Violence"/>
      <w:bookmarkEnd w:id="679"/>
      <w:r>
        <w:rPr>
          <w:w w:val="95"/>
        </w:rPr>
        <w:t>Intimate</w:t>
      </w:r>
      <w:r>
        <w:rPr>
          <w:spacing w:val="16"/>
        </w:rPr>
        <w:t xml:space="preserve"> </w:t>
      </w:r>
      <w:r>
        <w:rPr>
          <w:w w:val="95"/>
        </w:rPr>
        <w:t>Partner</w:t>
      </w:r>
      <w:r>
        <w:rPr>
          <w:spacing w:val="18"/>
        </w:rPr>
        <w:t xml:space="preserve"> </w:t>
      </w:r>
      <w:r>
        <w:rPr>
          <w:spacing w:val="-2"/>
          <w:w w:val="95"/>
        </w:rPr>
        <w:t>Violence</w:t>
      </w:r>
    </w:p>
    <w:p w:rsidR="00C76E6D" w:rsidRDefault="00C76E6D">
      <w:pPr>
        <w:pStyle w:val="BodyText"/>
        <w:spacing w:before="10"/>
        <w:rPr>
          <w:b/>
        </w:rPr>
      </w:pPr>
    </w:p>
    <w:p w:rsidR="00C76E6D" w:rsidRDefault="00913831">
      <w:pPr>
        <w:pStyle w:val="BodyText"/>
        <w:spacing w:line="276" w:lineRule="auto"/>
        <w:ind w:left="478" w:right="475"/>
        <w:jc w:val="both"/>
      </w:pPr>
      <w:r>
        <w:t>Intimate partner</w:t>
      </w:r>
      <w:r>
        <w:rPr>
          <w:spacing w:val="-1"/>
        </w:rPr>
        <w:t xml:space="preserve"> </w:t>
      </w:r>
      <w:r>
        <w:t>violence is</w:t>
      </w:r>
      <w:r>
        <w:rPr>
          <w:spacing w:val="-1"/>
        </w:rPr>
        <w:t xml:space="preserve"> </w:t>
      </w:r>
      <w:r>
        <w:t>a “systematic</w:t>
      </w:r>
      <w:r>
        <w:rPr>
          <w:spacing w:val="-1"/>
        </w:rPr>
        <w:t xml:space="preserve"> </w:t>
      </w:r>
      <w:r>
        <w:t>pattern of behaviors</w:t>
      </w:r>
      <w:r>
        <w:rPr>
          <w:spacing w:val="-1"/>
        </w:rPr>
        <w:t xml:space="preserve"> </w:t>
      </w:r>
      <w:r>
        <w:t>where</w:t>
      </w:r>
      <w:r>
        <w:rPr>
          <w:spacing w:val="-2"/>
        </w:rPr>
        <w:t xml:space="preserve"> </w:t>
      </w:r>
      <w:r>
        <w:t>one person</w:t>
      </w:r>
      <w:r>
        <w:rPr>
          <w:spacing w:val="-2"/>
        </w:rPr>
        <w:t xml:space="preserve"> </w:t>
      </w:r>
      <w:r>
        <w:t>non-consensually uses power to try to control the thoughts, beliefs, actions, body, and/or spirit of a partner.”</w:t>
      </w:r>
      <w:hyperlink w:anchor="_bookmark520" w:history="1">
        <w:r>
          <w:rPr>
            <w:vertAlign w:val="superscript"/>
          </w:rPr>
          <w:t>8</w:t>
        </w:r>
        <w:r>
          <w:t xml:space="preserve"> </w:t>
        </w:r>
      </w:hyperlink>
      <w:r>
        <w:t>In general, the Network/La Red estimates that 25-33% of LGBTQ people experience abuse by a partner, and one ou</w:t>
      </w:r>
      <w:r>
        <w:t>t of four LGBTQ youth experience abuse from a dating partner</w:t>
      </w:r>
      <w:hyperlink w:anchor="_bookmark521" w:history="1">
        <w:r>
          <w:t>.</w:t>
        </w:r>
        <w:r>
          <w:rPr>
            <w:vertAlign w:val="superscript"/>
          </w:rPr>
          <w:t>9</w:t>
        </w:r>
        <w:r>
          <w:t xml:space="preserve"> </w:t>
        </w:r>
      </w:hyperlink>
      <w:r>
        <w:t>Relatedly, the CDC found that compared to non-LGBTQ peers, LGBTQ high school students are over three times more likely to have forced sexual intercourse (19.4% v</w:t>
      </w:r>
      <w:r>
        <w:t>s. 6.7%); two times more likely to experience physical violence while dating (13.1%</w:t>
      </w:r>
    </w:p>
    <w:p w:rsidR="00C76E6D" w:rsidRDefault="00C76E6D">
      <w:pPr>
        <w:spacing w:line="276" w:lineRule="auto"/>
        <w:jc w:val="both"/>
        <w:sectPr w:rsidR="00C76E6D">
          <w:pgSz w:w="12240" w:h="15840"/>
          <w:pgMar w:top="960" w:right="960" w:bottom="880" w:left="960" w:header="769" w:footer="694" w:gutter="0"/>
          <w:cols w:space="720"/>
        </w:sectPr>
      </w:pPr>
    </w:p>
    <w:p w:rsidR="00C76E6D" w:rsidRDefault="00C76E6D">
      <w:pPr>
        <w:pStyle w:val="BodyText"/>
        <w:rPr>
          <w:sz w:val="20"/>
        </w:rPr>
      </w:pPr>
    </w:p>
    <w:p w:rsidR="00C76E6D" w:rsidRDefault="00913831">
      <w:pPr>
        <w:pStyle w:val="BodyText"/>
        <w:spacing w:before="206" w:line="276" w:lineRule="auto"/>
        <w:ind w:left="478" w:right="481"/>
        <w:jc w:val="both"/>
      </w:pPr>
      <w:r>
        <w:t>vs.</w:t>
      </w:r>
      <w:r>
        <w:rPr>
          <w:spacing w:val="-13"/>
        </w:rPr>
        <w:t xml:space="preserve"> </w:t>
      </w:r>
      <w:r>
        <w:t>7.2%);</w:t>
      </w:r>
      <w:r>
        <w:rPr>
          <w:spacing w:val="-12"/>
        </w:rPr>
        <w:t xml:space="preserve"> </w:t>
      </w:r>
      <w:r>
        <w:t>and</w:t>
      </w:r>
      <w:r>
        <w:rPr>
          <w:spacing w:val="-13"/>
        </w:rPr>
        <w:t xml:space="preserve"> </w:t>
      </w:r>
      <w:r>
        <w:t>two-and-a-half</w:t>
      </w:r>
      <w:r>
        <w:rPr>
          <w:spacing w:val="-12"/>
        </w:rPr>
        <w:t xml:space="preserve"> </w:t>
      </w:r>
      <w:r>
        <w:t>times</w:t>
      </w:r>
      <w:r>
        <w:rPr>
          <w:spacing w:val="-13"/>
        </w:rPr>
        <w:t xml:space="preserve"> </w:t>
      </w:r>
      <w:r>
        <w:t>more</w:t>
      </w:r>
      <w:r>
        <w:rPr>
          <w:spacing w:val="-12"/>
        </w:rPr>
        <w:t xml:space="preserve"> </w:t>
      </w:r>
      <w:r>
        <w:t>likely</w:t>
      </w:r>
      <w:r>
        <w:rPr>
          <w:spacing w:val="-13"/>
        </w:rPr>
        <w:t xml:space="preserve"> </w:t>
      </w:r>
      <w:r>
        <w:t>to</w:t>
      </w:r>
      <w:r>
        <w:rPr>
          <w:spacing w:val="-12"/>
        </w:rPr>
        <w:t xml:space="preserve"> </w:t>
      </w:r>
      <w:r>
        <w:t>have</w:t>
      </w:r>
      <w:r>
        <w:rPr>
          <w:spacing w:val="-12"/>
        </w:rPr>
        <w:t xml:space="preserve"> </w:t>
      </w:r>
      <w:r>
        <w:t>experienced</w:t>
      </w:r>
      <w:r>
        <w:rPr>
          <w:spacing w:val="-13"/>
        </w:rPr>
        <w:t xml:space="preserve"> </w:t>
      </w:r>
      <w:r>
        <w:t>sexual</w:t>
      </w:r>
      <w:r>
        <w:rPr>
          <w:spacing w:val="-12"/>
        </w:rPr>
        <w:t xml:space="preserve"> </w:t>
      </w:r>
      <w:r>
        <w:t>dating</w:t>
      </w:r>
      <w:r>
        <w:rPr>
          <w:spacing w:val="-13"/>
        </w:rPr>
        <w:t xml:space="preserve"> </w:t>
      </w:r>
      <w:r>
        <w:t>violence</w:t>
      </w:r>
      <w:r>
        <w:rPr>
          <w:spacing w:val="-12"/>
        </w:rPr>
        <w:t xml:space="preserve"> </w:t>
      </w:r>
      <w:r>
        <w:t>over</w:t>
      </w:r>
      <w:r>
        <w:rPr>
          <w:spacing w:val="-13"/>
        </w:rPr>
        <w:t xml:space="preserve"> </w:t>
      </w:r>
      <w:r>
        <w:t>the</w:t>
      </w:r>
      <w:r>
        <w:rPr>
          <w:spacing w:val="-12"/>
        </w:rPr>
        <w:t xml:space="preserve"> </w:t>
      </w:r>
      <w:r>
        <w:t>course of a year (2019) (16.4% v. 6.7%)</w:t>
      </w:r>
      <w:hyperlink w:anchor="_bookmark522" w:history="1">
        <w:r>
          <w:t>.</w:t>
        </w:r>
        <w:r>
          <w:rPr>
            <w:vertAlign w:val="superscript"/>
          </w:rPr>
          <w:t>10</w:t>
        </w:r>
      </w:hyperlink>
    </w:p>
    <w:p w:rsidR="00C76E6D" w:rsidRDefault="00C76E6D">
      <w:pPr>
        <w:pStyle w:val="BodyText"/>
        <w:spacing w:before="7"/>
        <w:rPr>
          <w:sz w:val="19"/>
        </w:rPr>
      </w:pPr>
    </w:p>
    <w:p w:rsidR="00C76E6D" w:rsidRDefault="00913831">
      <w:pPr>
        <w:pStyle w:val="BodyText"/>
        <w:spacing w:before="1" w:line="276" w:lineRule="auto"/>
        <w:ind w:left="478" w:right="476"/>
        <w:jc w:val="both"/>
      </w:pPr>
      <w:r>
        <w:t>This national trend is reflected in the Commonwealth of Massachusetts. In Massachusetts, LGBTQ youth are 2.7 times more likely to experience sexual contact against their will than non- LGBTQ youth; and LGBTQ youth are 3.6</w:t>
      </w:r>
      <w:r>
        <w:t xml:space="preserve"> times more likely to experience sexual dating violence than non-LGBTQ youth</w:t>
      </w:r>
      <w:hyperlink w:anchor="_bookmark523" w:history="1">
        <w:r>
          <w:t>.</w:t>
        </w:r>
        <w:r>
          <w:rPr>
            <w:vertAlign w:val="superscript"/>
          </w:rPr>
          <w:t>11</w:t>
        </w:r>
      </w:hyperlink>
      <w:r>
        <w:t xml:space="preserve"> Transgender students experience higher rates of forced sexual intercourse, physical dating violence, and sexual dating violence than their cisge</w:t>
      </w:r>
      <w:r>
        <w:t>nder peers, including other LGBQ youth, indicating that there are key disparities to be addressed even within the LGBTQ community</w:t>
      </w:r>
      <w:hyperlink w:anchor="_bookmark524" w:history="1">
        <w:r>
          <w:t>.</w:t>
        </w:r>
        <w:r>
          <w:rPr>
            <w:vertAlign w:val="superscript"/>
          </w:rPr>
          <w:t>12</w:t>
        </w:r>
      </w:hyperlink>
    </w:p>
    <w:p w:rsidR="00C76E6D" w:rsidRDefault="00C76E6D">
      <w:pPr>
        <w:pStyle w:val="BodyText"/>
        <w:spacing w:before="7"/>
        <w:rPr>
          <w:sz w:val="19"/>
        </w:rPr>
      </w:pPr>
    </w:p>
    <w:p w:rsidR="00C76E6D" w:rsidRDefault="00913831">
      <w:pPr>
        <w:pStyle w:val="BodyText"/>
        <w:spacing w:line="276" w:lineRule="auto"/>
        <w:ind w:left="478" w:right="473"/>
        <w:jc w:val="both"/>
      </w:pPr>
      <w:r>
        <w:t>In</w:t>
      </w:r>
      <w:r>
        <w:rPr>
          <w:spacing w:val="-4"/>
        </w:rPr>
        <w:t xml:space="preserve"> </w:t>
      </w:r>
      <w:r>
        <w:t>Massachusetts,</w:t>
      </w:r>
      <w:r>
        <w:rPr>
          <w:spacing w:val="-3"/>
        </w:rPr>
        <w:t xml:space="preserve"> </w:t>
      </w:r>
      <w:r>
        <w:t>among</w:t>
      </w:r>
      <w:r>
        <w:rPr>
          <w:spacing w:val="-4"/>
        </w:rPr>
        <w:t xml:space="preserve"> </w:t>
      </w:r>
      <w:r>
        <w:t>students</w:t>
      </w:r>
      <w:r>
        <w:rPr>
          <w:spacing w:val="-3"/>
        </w:rPr>
        <w:t xml:space="preserve"> </w:t>
      </w:r>
      <w:r>
        <w:t>who</w:t>
      </w:r>
      <w:r>
        <w:rPr>
          <w:spacing w:val="-2"/>
        </w:rPr>
        <w:t xml:space="preserve"> </w:t>
      </w:r>
      <w:r>
        <w:t>have</w:t>
      </w:r>
      <w:r>
        <w:rPr>
          <w:spacing w:val="-4"/>
        </w:rPr>
        <w:t xml:space="preserve"> </w:t>
      </w:r>
      <w:r>
        <w:t>been</w:t>
      </w:r>
      <w:r>
        <w:rPr>
          <w:spacing w:val="-4"/>
        </w:rPr>
        <w:t xml:space="preserve"> </w:t>
      </w:r>
      <w:r>
        <w:t>on</w:t>
      </w:r>
      <w:r>
        <w:rPr>
          <w:spacing w:val="-4"/>
        </w:rPr>
        <w:t xml:space="preserve"> </w:t>
      </w:r>
      <w:r>
        <w:t>a</w:t>
      </w:r>
      <w:r>
        <w:rPr>
          <w:spacing w:val="-2"/>
        </w:rPr>
        <w:t xml:space="preserve"> </w:t>
      </w:r>
      <w:r>
        <w:t>date,</w:t>
      </w:r>
      <w:r>
        <w:rPr>
          <w:spacing w:val="-3"/>
        </w:rPr>
        <w:t xml:space="preserve"> </w:t>
      </w:r>
      <w:r>
        <w:t>17.7%</w:t>
      </w:r>
      <w:r>
        <w:rPr>
          <w:spacing w:val="-4"/>
        </w:rPr>
        <w:t xml:space="preserve"> </w:t>
      </w:r>
      <w:r>
        <w:t>of</w:t>
      </w:r>
      <w:r>
        <w:rPr>
          <w:spacing w:val="-4"/>
        </w:rPr>
        <w:t xml:space="preserve"> </w:t>
      </w:r>
      <w:r>
        <w:t>LGBTQ</w:t>
      </w:r>
      <w:r>
        <w:rPr>
          <w:spacing w:val="-4"/>
        </w:rPr>
        <w:t xml:space="preserve"> </w:t>
      </w:r>
      <w:r>
        <w:t>respondents</w:t>
      </w:r>
      <w:r>
        <w:rPr>
          <w:spacing w:val="-4"/>
        </w:rPr>
        <w:t xml:space="preserve"> </w:t>
      </w:r>
      <w:r>
        <w:t>repor</w:t>
      </w:r>
      <w:r>
        <w:t>ted</w:t>
      </w:r>
      <w:r>
        <w:rPr>
          <w:spacing w:val="-3"/>
        </w:rPr>
        <w:t xml:space="preserve"> </w:t>
      </w:r>
      <w:r>
        <w:t>that a dating partner hurt them physically, compared to 5% of non-LGBTQ</w:t>
      </w:r>
      <w:r>
        <w:rPr>
          <w:spacing w:val="-2"/>
        </w:rPr>
        <w:t xml:space="preserve"> </w:t>
      </w:r>
      <w:r>
        <w:t>respondents reporting</w:t>
      </w:r>
      <w:r>
        <w:rPr>
          <w:spacing w:val="-1"/>
        </w:rPr>
        <w:t xml:space="preserve"> </w:t>
      </w:r>
      <w:r>
        <w:t>the same</w:t>
      </w:r>
      <w:hyperlink w:anchor="_bookmark525" w:history="1">
        <w:r>
          <w:t>.</w:t>
        </w:r>
        <w:r>
          <w:rPr>
            <w:vertAlign w:val="superscript"/>
          </w:rPr>
          <w:t>13</w:t>
        </w:r>
      </w:hyperlink>
      <w:r>
        <w:t xml:space="preserve"> This</w:t>
      </w:r>
      <w:r>
        <w:rPr>
          <w:spacing w:val="-1"/>
        </w:rPr>
        <w:t xml:space="preserve"> </w:t>
      </w:r>
      <w:r>
        <w:t>risk is heightened</w:t>
      </w:r>
      <w:r>
        <w:rPr>
          <w:spacing w:val="-1"/>
        </w:rPr>
        <w:t xml:space="preserve"> </w:t>
      </w:r>
      <w:r>
        <w:t>for bisexual</w:t>
      </w:r>
      <w:r>
        <w:rPr>
          <w:spacing w:val="-2"/>
        </w:rPr>
        <w:t xml:space="preserve"> </w:t>
      </w:r>
      <w:r>
        <w:t>youth,</w:t>
      </w:r>
      <w:r>
        <w:rPr>
          <w:spacing w:val="-1"/>
        </w:rPr>
        <w:t xml:space="preserve"> </w:t>
      </w:r>
      <w:r>
        <w:t>who</w:t>
      </w:r>
      <w:r>
        <w:rPr>
          <w:spacing w:val="-1"/>
        </w:rPr>
        <w:t xml:space="preserve"> </w:t>
      </w:r>
      <w:r>
        <w:t>experience</w:t>
      </w:r>
      <w:r>
        <w:rPr>
          <w:spacing w:val="-1"/>
        </w:rPr>
        <w:t xml:space="preserve"> </w:t>
      </w:r>
      <w:r>
        <w:t>dating</w:t>
      </w:r>
      <w:r>
        <w:rPr>
          <w:spacing w:val="-1"/>
        </w:rPr>
        <w:t xml:space="preserve"> </w:t>
      </w:r>
      <w:r>
        <w:t>violence at</w:t>
      </w:r>
      <w:r>
        <w:rPr>
          <w:spacing w:val="-1"/>
        </w:rPr>
        <w:t xml:space="preserve"> </w:t>
      </w:r>
      <w:r>
        <w:t>even</w:t>
      </w:r>
      <w:r>
        <w:rPr>
          <w:spacing w:val="-2"/>
        </w:rPr>
        <w:t xml:space="preserve"> </w:t>
      </w:r>
      <w:r>
        <w:t>higher rates</w:t>
      </w:r>
      <w:r>
        <w:rPr>
          <w:spacing w:val="-1"/>
        </w:rPr>
        <w:t xml:space="preserve"> </w:t>
      </w:r>
      <w:r>
        <w:t>than</w:t>
      </w:r>
      <w:r>
        <w:rPr>
          <w:spacing w:val="-1"/>
        </w:rPr>
        <w:t xml:space="preserve"> </w:t>
      </w:r>
      <w:r>
        <w:t>their gay or lesbian peers. In one study of LGBTQ teen dating violence, researchers found that most respondents identified school or community LGBTQ youth groups as resources for teens experiencing dating violence, implying that work should be done to ensu</w:t>
      </w:r>
      <w:r>
        <w:t>re that these organizations are prepared to serve this population. Research has also found that LGBTQ women who experienced intimate partner violence</w:t>
      </w:r>
      <w:r>
        <w:rPr>
          <w:spacing w:val="-13"/>
        </w:rPr>
        <w:t xml:space="preserve"> </w:t>
      </w:r>
      <w:r>
        <w:t>suffered</w:t>
      </w:r>
      <w:r>
        <w:rPr>
          <w:spacing w:val="-12"/>
        </w:rPr>
        <w:t xml:space="preserve"> </w:t>
      </w:r>
      <w:r>
        <w:t>longer-lasting</w:t>
      </w:r>
      <w:r>
        <w:rPr>
          <w:spacing w:val="-13"/>
        </w:rPr>
        <w:t xml:space="preserve"> </w:t>
      </w:r>
      <w:r>
        <w:t>consequences</w:t>
      </w:r>
      <w:r>
        <w:rPr>
          <w:spacing w:val="-12"/>
        </w:rPr>
        <w:t xml:space="preserve"> </w:t>
      </w:r>
      <w:r>
        <w:t>at</w:t>
      </w:r>
      <w:r>
        <w:rPr>
          <w:spacing w:val="-13"/>
        </w:rPr>
        <w:t xml:space="preserve"> </w:t>
      </w:r>
      <w:r>
        <w:t>a</w:t>
      </w:r>
      <w:r>
        <w:rPr>
          <w:spacing w:val="-12"/>
        </w:rPr>
        <w:t xml:space="preserve"> </w:t>
      </w:r>
      <w:r>
        <w:t>higher</w:t>
      </w:r>
      <w:r>
        <w:rPr>
          <w:spacing w:val="-12"/>
        </w:rPr>
        <w:t xml:space="preserve"> </w:t>
      </w:r>
      <w:r>
        <w:t>rate</w:t>
      </w:r>
      <w:r>
        <w:rPr>
          <w:spacing w:val="-13"/>
        </w:rPr>
        <w:t xml:space="preserve"> </w:t>
      </w:r>
      <w:r>
        <w:t>than</w:t>
      </w:r>
      <w:r>
        <w:rPr>
          <w:spacing w:val="-12"/>
        </w:rPr>
        <w:t xml:space="preserve"> </w:t>
      </w:r>
      <w:r>
        <w:t>heterosexual,</w:t>
      </w:r>
      <w:r>
        <w:rPr>
          <w:spacing w:val="-13"/>
        </w:rPr>
        <w:t xml:space="preserve"> </w:t>
      </w:r>
      <w:r>
        <w:t>cisgender</w:t>
      </w:r>
      <w:r>
        <w:rPr>
          <w:spacing w:val="-10"/>
        </w:rPr>
        <w:t xml:space="preserve"> </w:t>
      </w:r>
      <w:r>
        <w:t>women,</w:t>
      </w:r>
      <w:r>
        <w:rPr>
          <w:spacing w:val="-13"/>
        </w:rPr>
        <w:t xml:space="preserve"> </w:t>
      </w:r>
      <w:r>
        <w:t>likely caused by</w:t>
      </w:r>
      <w:r>
        <w:t xml:space="preserve"> barriers to support due to their sexual orientation.</w:t>
      </w:r>
      <w:hyperlink w:anchor="_bookmark526" w:history="1">
        <w:r>
          <w:rPr>
            <w:vertAlign w:val="superscript"/>
          </w:rPr>
          <w:t>14</w:t>
        </w:r>
        <w:r>
          <w:t xml:space="preserve"> </w:t>
        </w:r>
      </w:hyperlink>
      <w:r>
        <w:t>This troubling data on dating violence underscores</w:t>
      </w:r>
      <w:r>
        <w:rPr>
          <w:spacing w:val="-12"/>
        </w:rPr>
        <w:t xml:space="preserve"> </w:t>
      </w:r>
      <w:r>
        <w:t>the</w:t>
      </w:r>
      <w:r>
        <w:rPr>
          <w:spacing w:val="-12"/>
        </w:rPr>
        <w:t xml:space="preserve"> </w:t>
      </w:r>
      <w:r>
        <w:t>importance</w:t>
      </w:r>
      <w:r>
        <w:rPr>
          <w:spacing w:val="-13"/>
        </w:rPr>
        <w:t xml:space="preserve"> </w:t>
      </w:r>
      <w:r>
        <w:t>of</w:t>
      </w:r>
      <w:r>
        <w:rPr>
          <w:spacing w:val="-12"/>
        </w:rPr>
        <w:t xml:space="preserve"> </w:t>
      </w:r>
      <w:r>
        <w:t>evidence-based,</w:t>
      </w:r>
      <w:r>
        <w:rPr>
          <w:spacing w:val="-11"/>
        </w:rPr>
        <w:t xml:space="preserve"> </w:t>
      </w:r>
      <w:r>
        <w:t>comprehensive,</w:t>
      </w:r>
      <w:r>
        <w:rPr>
          <w:spacing w:val="-12"/>
        </w:rPr>
        <w:t xml:space="preserve"> </w:t>
      </w:r>
      <w:r>
        <w:t>and</w:t>
      </w:r>
      <w:r>
        <w:rPr>
          <w:spacing w:val="-13"/>
        </w:rPr>
        <w:t xml:space="preserve"> </w:t>
      </w:r>
      <w:r>
        <w:t>LGBTQ-inclusive</w:t>
      </w:r>
      <w:r>
        <w:rPr>
          <w:spacing w:val="-12"/>
        </w:rPr>
        <w:t xml:space="preserve"> </w:t>
      </w:r>
      <w:r>
        <w:t>support</w:t>
      </w:r>
      <w:r>
        <w:rPr>
          <w:spacing w:val="-11"/>
        </w:rPr>
        <w:t xml:space="preserve"> </w:t>
      </w:r>
      <w:r>
        <w:t>services</w:t>
      </w:r>
      <w:r>
        <w:rPr>
          <w:spacing w:val="-12"/>
        </w:rPr>
        <w:t xml:space="preserve"> </w:t>
      </w:r>
      <w:r>
        <w:t>for LGBTQ youth in the Commonwe</w:t>
      </w:r>
      <w:r>
        <w:t>alth of Massachusetts.</w:t>
      </w:r>
    </w:p>
    <w:p w:rsidR="00C76E6D" w:rsidRDefault="00C76E6D">
      <w:pPr>
        <w:pStyle w:val="BodyText"/>
      </w:pPr>
    </w:p>
    <w:p w:rsidR="00C76E6D" w:rsidRDefault="00C76E6D">
      <w:pPr>
        <w:pStyle w:val="BodyText"/>
        <w:spacing w:before="8"/>
        <w:rPr>
          <w:sz w:val="16"/>
        </w:rPr>
      </w:pPr>
    </w:p>
    <w:p w:rsidR="00C76E6D" w:rsidRDefault="00913831">
      <w:pPr>
        <w:pStyle w:val="Heading6"/>
        <w:numPr>
          <w:ilvl w:val="1"/>
          <w:numId w:val="30"/>
        </w:numPr>
        <w:tabs>
          <w:tab w:val="left" w:pos="939"/>
        </w:tabs>
        <w:ind w:hanging="361"/>
      </w:pPr>
      <w:bookmarkStart w:id="680" w:name="2._Sexual_Violence_in_Institutions"/>
      <w:bookmarkEnd w:id="680"/>
      <w:r>
        <w:rPr>
          <w:w w:val="95"/>
        </w:rPr>
        <w:t>Sexual</w:t>
      </w:r>
      <w:r>
        <w:rPr>
          <w:spacing w:val="12"/>
        </w:rPr>
        <w:t xml:space="preserve"> </w:t>
      </w:r>
      <w:r>
        <w:rPr>
          <w:w w:val="95"/>
        </w:rPr>
        <w:t>Violence</w:t>
      </w:r>
      <w:r>
        <w:rPr>
          <w:spacing w:val="9"/>
        </w:rPr>
        <w:t xml:space="preserve"> </w:t>
      </w:r>
      <w:r>
        <w:rPr>
          <w:w w:val="95"/>
        </w:rPr>
        <w:t>in</w:t>
      </w:r>
      <w:r>
        <w:rPr>
          <w:spacing w:val="12"/>
        </w:rPr>
        <w:t xml:space="preserve"> </w:t>
      </w:r>
      <w:r>
        <w:rPr>
          <w:spacing w:val="-2"/>
          <w:w w:val="95"/>
        </w:rPr>
        <w:t>Institutions</w:t>
      </w:r>
    </w:p>
    <w:p w:rsidR="00C76E6D" w:rsidRDefault="00C76E6D">
      <w:pPr>
        <w:pStyle w:val="BodyText"/>
        <w:spacing w:before="5"/>
        <w:rPr>
          <w:b/>
          <w:sz w:val="28"/>
        </w:rPr>
      </w:pPr>
    </w:p>
    <w:p w:rsidR="00C76E6D" w:rsidRDefault="00913831">
      <w:pPr>
        <w:pStyle w:val="ListParagraph"/>
        <w:numPr>
          <w:ilvl w:val="2"/>
          <w:numId w:val="30"/>
        </w:numPr>
        <w:tabs>
          <w:tab w:val="left" w:pos="1200"/>
        </w:tabs>
        <w:rPr>
          <w:b/>
        </w:rPr>
      </w:pPr>
      <w:r>
        <w:rPr>
          <w:b/>
          <w:w w:val="95"/>
        </w:rPr>
        <w:t>Higher</w:t>
      </w:r>
      <w:r>
        <w:rPr>
          <w:b/>
          <w:spacing w:val="12"/>
        </w:rPr>
        <w:t xml:space="preserve"> </w:t>
      </w:r>
      <w:r>
        <w:rPr>
          <w:b/>
          <w:spacing w:val="-2"/>
        </w:rPr>
        <w:t>Education</w:t>
      </w:r>
    </w:p>
    <w:p w:rsidR="00C76E6D" w:rsidRDefault="00C76E6D">
      <w:pPr>
        <w:pStyle w:val="BodyText"/>
        <w:spacing w:before="7"/>
        <w:rPr>
          <w:b/>
          <w:sz w:val="28"/>
        </w:rPr>
      </w:pPr>
    </w:p>
    <w:p w:rsidR="00C76E6D" w:rsidRDefault="00913831">
      <w:pPr>
        <w:pStyle w:val="BodyText"/>
        <w:spacing w:line="276" w:lineRule="auto"/>
        <w:ind w:left="480" w:right="477"/>
        <w:jc w:val="both"/>
      </w:pPr>
      <w:r>
        <w:t>Research</w:t>
      </w:r>
      <w:r>
        <w:rPr>
          <w:spacing w:val="-12"/>
        </w:rPr>
        <w:t xml:space="preserve"> </w:t>
      </w:r>
      <w:r>
        <w:t>has</w:t>
      </w:r>
      <w:r>
        <w:rPr>
          <w:spacing w:val="-10"/>
        </w:rPr>
        <w:t xml:space="preserve"> </w:t>
      </w:r>
      <w:r>
        <w:t>long</w:t>
      </w:r>
      <w:r>
        <w:rPr>
          <w:spacing w:val="-13"/>
        </w:rPr>
        <w:t xml:space="preserve"> </w:t>
      </w:r>
      <w:r>
        <w:t>demonstrated</w:t>
      </w:r>
      <w:r>
        <w:rPr>
          <w:spacing w:val="-12"/>
        </w:rPr>
        <w:t xml:space="preserve"> </w:t>
      </w:r>
      <w:r>
        <w:t>that</w:t>
      </w:r>
      <w:r>
        <w:rPr>
          <w:spacing w:val="-12"/>
        </w:rPr>
        <w:t xml:space="preserve"> </w:t>
      </w:r>
      <w:r>
        <w:t>sexual</w:t>
      </w:r>
      <w:r>
        <w:rPr>
          <w:spacing w:val="-12"/>
        </w:rPr>
        <w:t xml:space="preserve"> </w:t>
      </w:r>
      <w:r>
        <w:t>violence</w:t>
      </w:r>
      <w:r>
        <w:rPr>
          <w:spacing w:val="-11"/>
        </w:rPr>
        <w:t xml:space="preserve"> </w:t>
      </w:r>
      <w:r>
        <w:t>is</w:t>
      </w:r>
      <w:r>
        <w:rPr>
          <w:spacing w:val="-12"/>
        </w:rPr>
        <w:t xml:space="preserve"> </w:t>
      </w:r>
      <w:r>
        <w:t>a</w:t>
      </w:r>
      <w:r>
        <w:rPr>
          <w:spacing w:val="-12"/>
        </w:rPr>
        <w:t xml:space="preserve"> </w:t>
      </w:r>
      <w:r>
        <w:t>pervasive</w:t>
      </w:r>
      <w:r>
        <w:rPr>
          <w:spacing w:val="-12"/>
        </w:rPr>
        <w:t xml:space="preserve"> </w:t>
      </w:r>
      <w:r>
        <w:t>issue</w:t>
      </w:r>
      <w:r>
        <w:rPr>
          <w:spacing w:val="-13"/>
        </w:rPr>
        <w:t xml:space="preserve"> </w:t>
      </w:r>
      <w:r>
        <w:t>across</w:t>
      </w:r>
      <w:r>
        <w:rPr>
          <w:spacing w:val="-11"/>
        </w:rPr>
        <w:t xml:space="preserve"> </w:t>
      </w:r>
      <w:r>
        <w:t>college</w:t>
      </w:r>
      <w:r>
        <w:rPr>
          <w:spacing w:val="-12"/>
        </w:rPr>
        <w:t xml:space="preserve"> </w:t>
      </w:r>
      <w:r>
        <w:t>campuses.</w:t>
      </w:r>
      <w:r>
        <w:rPr>
          <w:spacing w:val="-13"/>
        </w:rPr>
        <w:t xml:space="preserve"> </w:t>
      </w:r>
      <w:r>
        <w:t>Studies further show that LGBTQ people experience sexual violence at higher rates than their heterosexual, cisgender peers. On campus, LGB students are approximately three times more likely than their heterosexual</w:t>
      </w:r>
      <w:r>
        <w:rPr>
          <w:spacing w:val="-8"/>
        </w:rPr>
        <w:t xml:space="preserve"> </w:t>
      </w:r>
      <w:r>
        <w:t>peers</w:t>
      </w:r>
      <w:r>
        <w:rPr>
          <w:spacing w:val="-8"/>
        </w:rPr>
        <w:t xml:space="preserve"> </w:t>
      </w:r>
      <w:r>
        <w:t>to</w:t>
      </w:r>
      <w:r>
        <w:rPr>
          <w:spacing w:val="-9"/>
        </w:rPr>
        <w:t xml:space="preserve"> </w:t>
      </w:r>
      <w:r>
        <w:t>experience</w:t>
      </w:r>
      <w:r>
        <w:rPr>
          <w:spacing w:val="-9"/>
        </w:rPr>
        <w:t xml:space="preserve"> </w:t>
      </w:r>
      <w:r>
        <w:t>sexual</w:t>
      </w:r>
      <w:r>
        <w:rPr>
          <w:spacing w:val="-9"/>
        </w:rPr>
        <w:t xml:space="preserve"> </w:t>
      </w:r>
      <w:r>
        <w:t>violence,</w:t>
      </w:r>
      <w:r>
        <w:rPr>
          <w:spacing w:val="-9"/>
        </w:rPr>
        <w:t xml:space="preserve"> </w:t>
      </w:r>
      <w:r>
        <w:t>while</w:t>
      </w:r>
      <w:r>
        <w:rPr>
          <w:spacing w:val="-10"/>
        </w:rPr>
        <w:t xml:space="preserve"> </w:t>
      </w:r>
      <w:r>
        <w:t>transgender</w:t>
      </w:r>
      <w:r>
        <w:rPr>
          <w:spacing w:val="-10"/>
        </w:rPr>
        <w:t xml:space="preserve"> </w:t>
      </w:r>
      <w:r>
        <w:t>students</w:t>
      </w:r>
      <w:r>
        <w:rPr>
          <w:spacing w:val="-9"/>
        </w:rPr>
        <w:t xml:space="preserve"> </w:t>
      </w:r>
      <w:r>
        <w:t>are</w:t>
      </w:r>
      <w:r>
        <w:rPr>
          <w:spacing w:val="-10"/>
        </w:rPr>
        <w:t xml:space="preserve"> </w:t>
      </w:r>
      <w:r>
        <w:t>significantly</w:t>
      </w:r>
      <w:r>
        <w:rPr>
          <w:spacing w:val="-9"/>
        </w:rPr>
        <w:t xml:space="preserve"> </w:t>
      </w:r>
      <w:r>
        <w:t>more</w:t>
      </w:r>
      <w:r>
        <w:rPr>
          <w:spacing w:val="-10"/>
        </w:rPr>
        <w:t xml:space="preserve"> </w:t>
      </w:r>
      <w:r>
        <w:t>likely to experience sexual violence than their cisgender female peers.</w:t>
      </w:r>
    </w:p>
    <w:p w:rsidR="00C76E6D" w:rsidRDefault="00C76E6D">
      <w:pPr>
        <w:pStyle w:val="BodyText"/>
        <w:spacing w:before="9"/>
        <w:rPr>
          <w:sz w:val="19"/>
        </w:rPr>
      </w:pPr>
    </w:p>
    <w:p w:rsidR="00C76E6D" w:rsidRDefault="00913831">
      <w:pPr>
        <w:pStyle w:val="BodyText"/>
        <w:spacing w:line="276" w:lineRule="auto"/>
        <w:ind w:left="479" w:right="472"/>
        <w:jc w:val="both"/>
      </w:pPr>
      <w:r>
        <w:t>Within the LGBTQ community, students of color experience higher rates of sexual violence than their white</w:t>
      </w:r>
      <w:r>
        <w:rPr>
          <w:spacing w:val="-5"/>
        </w:rPr>
        <w:t xml:space="preserve"> </w:t>
      </w:r>
      <w:r>
        <w:t>peers</w:t>
      </w:r>
      <w:hyperlink w:anchor="_bookmark527" w:history="1">
        <w:r>
          <w:t>.</w:t>
        </w:r>
        <w:r>
          <w:rPr>
            <w:vertAlign w:val="superscript"/>
          </w:rPr>
          <w:t>15</w:t>
        </w:r>
        <w:r>
          <w:rPr>
            <w:spacing w:val="-9"/>
          </w:rPr>
          <w:t xml:space="preserve"> </w:t>
        </w:r>
      </w:hyperlink>
      <w:r>
        <w:t>In</w:t>
      </w:r>
      <w:r>
        <w:rPr>
          <w:spacing w:val="-2"/>
        </w:rPr>
        <w:t xml:space="preserve"> </w:t>
      </w:r>
      <w:r>
        <w:t>general,</w:t>
      </w:r>
      <w:r>
        <w:rPr>
          <w:spacing w:val="-2"/>
        </w:rPr>
        <w:t xml:space="preserve"> </w:t>
      </w:r>
      <w:r>
        <w:t>34%</w:t>
      </w:r>
      <w:r>
        <w:rPr>
          <w:spacing w:val="-3"/>
        </w:rPr>
        <w:t xml:space="preserve"> </w:t>
      </w:r>
      <w:r>
        <w:t>of</w:t>
      </w:r>
      <w:r>
        <w:rPr>
          <w:spacing w:val="-3"/>
        </w:rPr>
        <w:t xml:space="preserve"> </w:t>
      </w:r>
      <w:r>
        <w:t>multiracial</w:t>
      </w:r>
      <w:r>
        <w:rPr>
          <w:spacing w:val="-2"/>
        </w:rPr>
        <w:t xml:space="preserve"> </w:t>
      </w:r>
      <w:r>
        <w:t>women,</w:t>
      </w:r>
      <w:r>
        <w:rPr>
          <w:spacing w:val="-1"/>
        </w:rPr>
        <w:t xml:space="preserve"> </w:t>
      </w:r>
      <w:r>
        <w:t>27%</w:t>
      </w:r>
      <w:r>
        <w:rPr>
          <w:spacing w:val="-2"/>
        </w:rPr>
        <w:t xml:space="preserve"> </w:t>
      </w:r>
      <w:r>
        <w:t>of</w:t>
      </w:r>
      <w:r>
        <w:rPr>
          <w:spacing w:val="-3"/>
        </w:rPr>
        <w:t xml:space="preserve"> </w:t>
      </w:r>
      <w:r>
        <w:t>Alaska</w:t>
      </w:r>
      <w:r>
        <w:rPr>
          <w:spacing w:val="-2"/>
        </w:rPr>
        <w:t xml:space="preserve"> </w:t>
      </w:r>
      <w:r>
        <w:t>Native/American</w:t>
      </w:r>
      <w:r>
        <w:rPr>
          <w:spacing w:val="-2"/>
        </w:rPr>
        <w:t xml:space="preserve"> </w:t>
      </w:r>
      <w:r>
        <w:t>Indian</w:t>
      </w:r>
      <w:r>
        <w:rPr>
          <w:spacing w:val="-1"/>
        </w:rPr>
        <w:t xml:space="preserve"> </w:t>
      </w:r>
      <w:r>
        <w:t>women,</w:t>
      </w:r>
      <w:r>
        <w:rPr>
          <w:spacing w:val="-2"/>
        </w:rPr>
        <w:t xml:space="preserve"> </w:t>
      </w:r>
      <w:r>
        <w:t xml:space="preserve">22% of black women, and 14.6% of Hispanic women are survivors of sexual violence. </w:t>
      </w:r>
      <w:hyperlink w:anchor="_bookmark528" w:history="1">
        <w:r>
          <w:rPr>
            <w:vertAlign w:val="superscript"/>
          </w:rPr>
          <w:t>16</w:t>
        </w:r>
      </w:hyperlink>
      <w:r>
        <w:t xml:space="preserve"> Students of color experience regular racism, which leads them to distrust institutions that purportedly serve to support them. In hospitals and police stations, they may experience microaggressions, victim-blaming, or less respect or priority than their w</w:t>
      </w:r>
      <w:r>
        <w:t>hite peers. Finally, survivors of color often lack culturally appropriate services and resources that capture their unique needs</w:t>
      </w:r>
      <w:hyperlink w:anchor="_bookmark529" w:history="1">
        <w:r>
          <w:t>.</w:t>
        </w:r>
        <w:r>
          <w:rPr>
            <w:vertAlign w:val="superscript"/>
          </w:rPr>
          <w:t>17</w:t>
        </w:r>
      </w:hyperlink>
    </w:p>
    <w:p w:rsidR="00C76E6D" w:rsidRDefault="00913831">
      <w:pPr>
        <w:pStyle w:val="BodyText"/>
        <w:spacing w:before="160" w:line="276" w:lineRule="auto"/>
        <w:ind w:left="480" w:right="473" w:hanging="1"/>
        <w:jc w:val="both"/>
      </w:pPr>
      <w:r>
        <w:t>In</w:t>
      </w:r>
      <w:r>
        <w:rPr>
          <w:spacing w:val="-13"/>
        </w:rPr>
        <w:t xml:space="preserve"> </w:t>
      </w:r>
      <w:r>
        <w:t>August</w:t>
      </w:r>
      <w:r>
        <w:rPr>
          <w:spacing w:val="-12"/>
        </w:rPr>
        <w:t xml:space="preserve"> </w:t>
      </w:r>
      <w:r>
        <w:t>2021,</w:t>
      </w:r>
      <w:r>
        <w:rPr>
          <w:spacing w:val="-13"/>
        </w:rPr>
        <w:t xml:space="preserve"> </w:t>
      </w:r>
      <w:r>
        <w:t>the</w:t>
      </w:r>
      <w:r>
        <w:rPr>
          <w:spacing w:val="-12"/>
        </w:rPr>
        <w:t xml:space="preserve"> </w:t>
      </w:r>
      <w:r>
        <w:t>Campus</w:t>
      </w:r>
      <w:r>
        <w:rPr>
          <w:spacing w:val="-13"/>
        </w:rPr>
        <w:t xml:space="preserve"> </w:t>
      </w:r>
      <w:r>
        <w:t>Sexual</w:t>
      </w:r>
      <w:r>
        <w:rPr>
          <w:spacing w:val="-12"/>
        </w:rPr>
        <w:t xml:space="preserve"> </w:t>
      </w:r>
      <w:r>
        <w:t>Violence</w:t>
      </w:r>
      <w:r>
        <w:rPr>
          <w:spacing w:val="-13"/>
        </w:rPr>
        <w:t xml:space="preserve"> </w:t>
      </w:r>
      <w:r>
        <w:t>Act</w:t>
      </w:r>
      <w:r>
        <w:rPr>
          <w:spacing w:val="-12"/>
        </w:rPr>
        <w:t xml:space="preserve"> </w:t>
      </w:r>
      <w:r>
        <w:t>and</w:t>
      </w:r>
      <w:r>
        <w:rPr>
          <w:spacing w:val="-12"/>
        </w:rPr>
        <w:t xml:space="preserve"> </w:t>
      </w:r>
      <w:r>
        <w:t>new</w:t>
      </w:r>
      <w:r>
        <w:rPr>
          <w:spacing w:val="-13"/>
        </w:rPr>
        <w:t xml:space="preserve"> </w:t>
      </w:r>
      <w:r>
        <w:t>regulations</w:t>
      </w:r>
      <w:r>
        <w:rPr>
          <w:spacing w:val="-12"/>
        </w:rPr>
        <w:t xml:space="preserve"> </w:t>
      </w:r>
      <w:r>
        <w:t>from</w:t>
      </w:r>
      <w:r>
        <w:rPr>
          <w:spacing w:val="-13"/>
        </w:rPr>
        <w:t xml:space="preserve"> </w:t>
      </w:r>
      <w:r>
        <w:t>the</w:t>
      </w:r>
      <w:r>
        <w:rPr>
          <w:spacing w:val="-12"/>
        </w:rPr>
        <w:t xml:space="preserve"> </w:t>
      </w:r>
      <w:r>
        <w:t>Massachusetts</w:t>
      </w:r>
      <w:r>
        <w:rPr>
          <w:spacing w:val="-13"/>
        </w:rPr>
        <w:t xml:space="preserve"> </w:t>
      </w:r>
      <w:r>
        <w:t>De</w:t>
      </w:r>
      <w:r>
        <w:t>partment of</w:t>
      </w:r>
      <w:r>
        <w:rPr>
          <w:spacing w:val="-7"/>
        </w:rPr>
        <w:t xml:space="preserve"> </w:t>
      </w:r>
      <w:r>
        <w:t>Higher</w:t>
      </w:r>
      <w:r>
        <w:rPr>
          <w:spacing w:val="-4"/>
        </w:rPr>
        <w:t xml:space="preserve"> </w:t>
      </w:r>
      <w:r>
        <w:t>Education</w:t>
      </w:r>
      <w:r>
        <w:rPr>
          <w:spacing w:val="-6"/>
        </w:rPr>
        <w:t xml:space="preserve"> </w:t>
      </w:r>
      <w:r>
        <w:t>took</w:t>
      </w:r>
      <w:r>
        <w:rPr>
          <w:spacing w:val="-7"/>
        </w:rPr>
        <w:t xml:space="preserve"> </w:t>
      </w:r>
      <w:r>
        <w:t>effect.</w:t>
      </w:r>
      <w:r>
        <w:rPr>
          <w:spacing w:val="-6"/>
        </w:rPr>
        <w:t xml:space="preserve"> </w:t>
      </w:r>
      <w:r>
        <w:t>The</w:t>
      </w:r>
      <w:r>
        <w:rPr>
          <w:spacing w:val="-7"/>
        </w:rPr>
        <w:t xml:space="preserve"> </w:t>
      </w:r>
      <w:r>
        <w:t>Campus</w:t>
      </w:r>
      <w:r>
        <w:rPr>
          <w:spacing w:val="-7"/>
        </w:rPr>
        <w:t xml:space="preserve"> </w:t>
      </w:r>
      <w:r>
        <w:t>Sexual</w:t>
      </w:r>
      <w:r>
        <w:rPr>
          <w:spacing w:val="-5"/>
        </w:rPr>
        <w:t xml:space="preserve"> </w:t>
      </w:r>
      <w:r>
        <w:t>Violence</w:t>
      </w:r>
      <w:r>
        <w:rPr>
          <w:spacing w:val="-5"/>
        </w:rPr>
        <w:t xml:space="preserve"> </w:t>
      </w:r>
      <w:r>
        <w:t>Act</w:t>
      </w:r>
      <w:r>
        <w:rPr>
          <w:spacing w:val="-8"/>
        </w:rPr>
        <w:t xml:space="preserve"> </w:t>
      </w:r>
      <w:r>
        <w:t>is</w:t>
      </w:r>
      <w:r>
        <w:rPr>
          <w:spacing w:val="-4"/>
        </w:rPr>
        <w:t xml:space="preserve"> </w:t>
      </w:r>
      <w:r>
        <w:t>essentially</w:t>
      </w:r>
      <w:r>
        <w:rPr>
          <w:spacing w:val="-5"/>
        </w:rPr>
        <w:t xml:space="preserve"> </w:t>
      </w:r>
      <w:r>
        <w:t>Massachusetts’s</w:t>
      </w:r>
      <w:r>
        <w:rPr>
          <w:spacing w:val="-6"/>
        </w:rPr>
        <w:t xml:space="preserve"> </w:t>
      </w:r>
      <w:r>
        <w:t>version</w:t>
      </w:r>
      <w:r>
        <w:rPr>
          <w:spacing w:val="-8"/>
        </w:rPr>
        <w:t xml:space="preserve"> </w:t>
      </w:r>
      <w:r>
        <w:t>of</w:t>
      </w:r>
    </w:p>
    <w:p w:rsidR="00C76E6D" w:rsidRDefault="00C76E6D">
      <w:pPr>
        <w:spacing w:line="276" w:lineRule="auto"/>
        <w:jc w:val="both"/>
        <w:sectPr w:rsidR="00C76E6D">
          <w:pgSz w:w="12240" w:h="15840"/>
          <w:pgMar w:top="960" w:right="960" w:bottom="880" w:left="960" w:header="769" w:footer="694" w:gutter="0"/>
          <w:cols w:space="720"/>
        </w:sectPr>
      </w:pPr>
    </w:p>
    <w:p w:rsidR="00C76E6D" w:rsidRDefault="00C76E6D">
      <w:pPr>
        <w:pStyle w:val="BodyText"/>
        <w:rPr>
          <w:sz w:val="20"/>
        </w:rPr>
      </w:pPr>
    </w:p>
    <w:p w:rsidR="00C76E6D" w:rsidRDefault="00913831">
      <w:pPr>
        <w:pStyle w:val="BodyText"/>
        <w:spacing w:before="206" w:line="276" w:lineRule="auto"/>
        <w:ind w:left="480" w:right="474" w:hanging="1"/>
        <w:jc w:val="both"/>
      </w:pPr>
      <w:r>
        <w:t>the</w:t>
      </w:r>
      <w:r>
        <w:rPr>
          <w:spacing w:val="-6"/>
        </w:rPr>
        <w:t xml:space="preserve"> </w:t>
      </w:r>
      <w:r>
        <w:t>federal</w:t>
      </w:r>
      <w:r>
        <w:rPr>
          <w:spacing w:val="-6"/>
        </w:rPr>
        <w:t xml:space="preserve"> </w:t>
      </w:r>
      <w:r>
        <w:t>Title</w:t>
      </w:r>
      <w:r>
        <w:rPr>
          <w:spacing w:val="-7"/>
        </w:rPr>
        <w:t xml:space="preserve"> </w:t>
      </w:r>
      <w:r>
        <w:t>IX,</w:t>
      </w:r>
      <w:r>
        <w:rPr>
          <w:spacing w:val="-7"/>
        </w:rPr>
        <w:t xml:space="preserve"> </w:t>
      </w:r>
      <w:r>
        <w:t>which</w:t>
      </w:r>
      <w:r>
        <w:rPr>
          <w:spacing w:val="-4"/>
        </w:rPr>
        <w:t xml:space="preserve"> </w:t>
      </w:r>
      <w:r>
        <w:t>addresses</w:t>
      </w:r>
      <w:r>
        <w:rPr>
          <w:spacing w:val="-7"/>
        </w:rPr>
        <w:t xml:space="preserve"> </w:t>
      </w:r>
      <w:r>
        <w:t>sexual</w:t>
      </w:r>
      <w:r>
        <w:rPr>
          <w:spacing w:val="-8"/>
        </w:rPr>
        <w:t xml:space="preserve"> </w:t>
      </w:r>
      <w:r>
        <w:t>violence</w:t>
      </w:r>
      <w:r>
        <w:rPr>
          <w:spacing w:val="-7"/>
        </w:rPr>
        <w:t xml:space="preserve"> </w:t>
      </w:r>
      <w:r>
        <w:t>on</w:t>
      </w:r>
      <w:r>
        <w:rPr>
          <w:spacing w:val="-8"/>
        </w:rPr>
        <w:t xml:space="preserve"> </w:t>
      </w:r>
      <w:r>
        <w:t>college</w:t>
      </w:r>
      <w:r>
        <w:rPr>
          <w:spacing w:val="-6"/>
        </w:rPr>
        <w:t xml:space="preserve"> </w:t>
      </w:r>
      <w:r>
        <w:t>and</w:t>
      </w:r>
      <w:r>
        <w:rPr>
          <w:spacing w:val="-5"/>
        </w:rPr>
        <w:t xml:space="preserve"> </w:t>
      </w:r>
      <w:r>
        <w:t>university</w:t>
      </w:r>
      <w:r>
        <w:rPr>
          <w:spacing w:val="-6"/>
        </w:rPr>
        <w:t xml:space="preserve"> </w:t>
      </w:r>
      <w:r>
        <w:t>campuses.</w:t>
      </w:r>
      <w:r>
        <w:rPr>
          <w:spacing w:val="-7"/>
        </w:rPr>
        <w:t xml:space="preserve"> </w:t>
      </w:r>
      <w:r>
        <w:t>The</w:t>
      </w:r>
      <w:r>
        <w:rPr>
          <w:spacing w:val="-4"/>
        </w:rPr>
        <w:t xml:space="preserve"> </w:t>
      </w:r>
      <w:r>
        <w:t>Act</w:t>
      </w:r>
      <w:r>
        <w:rPr>
          <w:spacing w:val="-7"/>
        </w:rPr>
        <w:t xml:space="preserve"> </w:t>
      </w:r>
      <w:r>
        <w:t>requires private</w:t>
      </w:r>
      <w:r>
        <w:rPr>
          <w:spacing w:val="-2"/>
        </w:rPr>
        <w:t xml:space="preserve"> </w:t>
      </w:r>
      <w:r>
        <w:t>and</w:t>
      </w:r>
      <w:r>
        <w:rPr>
          <w:spacing w:val="-1"/>
        </w:rPr>
        <w:t xml:space="preserve"> </w:t>
      </w:r>
      <w:r>
        <w:t>public</w:t>
      </w:r>
      <w:r>
        <w:rPr>
          <w:spacing w:val="-1"/>
        </w:rPr>
        <w:t xml:space="preserve"> </w:t>
      </w:r>
      <w:r>
        <w:t>colleges to</w:t>
      </w:r>
      <w:r>
        <w:rPr>
          <w:spacing w:val="-1"/>
        </w:rPr>
        <w:t xml:space="preserve"> </w:t>
      </w:r>
      <w:r>
        <w:t>promptly disclose</w:t>
      </w:r>
      <w:r>
        <w:rPr>
          <w:spacing w:val="-1"/>
        </w:rPr>
        <w:t xml:space="preserve"> </w:t>
      </w:r>
      <w:r>
        <w:t>to</w:t>
      </w:r>
      <w:r>
        <w:rPr>
          <w:spacing w:val="-1"/>
        </w:rPr>
        <w:t xml:space="preserve"> </w:t>
      </w:r>
      <w:r>
        <w:t>the</w:t>
      </w:r>
      <w:r>
        <w:rPr>
          <w:spacing w:val="-2"/>
        </w:rPr>
        <w:t xml:space="preserve"> </w:t>
      </w:r>
      <w:r>
        <w:t>public</w:t>
      </w:r>
      <w:r>
        <w:rPr>
          <w:spacing w:val="-2"/>
        </w:rPr>
        <w:t xml:space="preserve"> </w:t>
      </w:r>
      <w:r>
        <w:t>via</w:t>
      </w:r>
      <w:r>
        <w:rPr>
          <w:spacing w:val="-2"/>
        </w:rPr>
        <w:t xml:space="preserve"> </w:t>
      </w:r>
      <w:r>
        <w:t>their</w:t>
      </w:r>
      <w:r>
        <w:rPr>
          <w:spacing w:val="-1"/>
        </w:rPr>
        <w:t xml:space="preserve"> </w:t>
      </w:r>
      <w:r>
        <w:t>websites</w:t>
      </w:r>
      <w:r>
        <w:rPr>
          <w:spacing w:val="-1"/>
        </w:rPr>
        <w:t xml:space="preserve"> </w:t>
      </w:r>
      <w:r>
        <w:t>and</w:t>
      </w:r>
      <w:r>
        <w:rPr>
          <w:spacing w:val="-1"/>
        </w:rPr>
        <w:t xml:space="preserve"> </w:t>
      </w:r>
      <w:r>
        <w:t>all</w:t>
      </w:r>
      <w:r>
        <w:rPr>
          <w:spacing w:val="-2"/>
        </w:rPr>
        <w:t xml:space="preserve"> </w:t>
      </w:r>
      <w:r>
        <w:t>students</w:t>
      </w:r>
      <w:r>
        <w:rPr>
          <w:spacing w:val="-2"/>
        </w:rPr>
        <w:t xml:space="preserve"> </w:t>
      </w:r>
      <w:r>
        <w:t>and</w:t>
      </w:r>
      <w:r>
        <w:rPr>
          <w:spacing w:val="-2"/>
        </w:rPr>
        <w:t xml:space="preserve"> </w:t>
      </w:r>
      <w:r>
        <w:t>staff via email their policies and procedures for responding to sexual misconduct. It also requires regular reporting, surveys, and training. Finally, the Act mandates inst</w:t>
      </w:r>
      <w:r>
        <w:t>itutions to contact local law enforcement to</w:t>
      </w:r>
      <w:r>
        <w:rPr>
          <w:spacing w:val="-8"/>
        </w:rPr>
        <w:t xml:space="preserve"> </w:t>
      </w:r>
      <w:r>
        <w:t>adopt</w:t>
      </w:r>
      <w:r>
        <w:rPr>
          <w:spacing w:val="-9"/>
        </w:rPr>
        <w:t xml:space="preserve"> </w:t>
      </w:r>
      <w:r>
        <w:t>a</w:t>
      </w:r>
      <w:r>
        <w:rPr>
          <w:spacing w:val="-7"/>
        </w:rPr>
        <w:t xml:space="preserve"> </w:t>
      </w:r>
      <w:r>
        <w:t>memorandum</w:t>
      </w:r>
      <w:r>
        <w:rPr>
          <w:spacing w:val="-7"/>
        </w:rPr>
        <w:t xml:space="preserve"> </w:t>
      </w:r>
      <w:r>
        <w:t>of</w:t>
      </w:r>
      <w:r>
        <w:rPr>
          <w:spacing w:val="-10"/>
        </w:rPr>
        <w:t xml:space="preserve"> </w:t>
      </w:r>
      <w:r>
        <w:t>understanding,</w:t>
      </w:r>
      <w:r>
        <w:rPr>
          <w:spacing w:val="-8"/>
        </w:rPr>
        <w:t xml:space="preserve"> </w:t>
      </w:r>
      <w:r>
        <w:t>governed</w:t>
      </w:r>
      <w:r>
        <w:rPr>
          <w:spacing w:val="-9"/>
        </w:rPr>
        <w:t xml:space="preserve"> </w:t>
      </w:r>
      <w:r>
        <w:t>by</w:t>
      </w:r>
      <w:r>
        <w:rPr>
          <w:spacing w:val="-10"/>
        </w:rPr>
        <w:t xml:space="preserve"> </w:t>
      </w:r>
      <w:r>
        <w:t>DHE</w:t>
      </w:r>
      <w:r>
        <w:rPr>
          <w:spacing w:val="-9"/>
        </w:rPr>
        <w:t xml:space="preserve"> </w:t>
      </w:r>
      <w:r>
        <w:t>regulations,</w:t>
      </w:r>
      <w:r>
        <w:rPr>
          <w:spacing w:val="-8"/>
        </w:rPr>
        <w:t xml:space="preserve"> </w:t>
      </w:r>
      <w:r>
        <w:t>regarding</w:t>
      </w:r>
      <w:r>
        <w:rPr>
          <w:spacing w:val="-9"/>
        </w:rPr>
        <w:t xml:space="preserve"> </w:t>
      </w:r>
      <w:r>
        <w:t>their</w:t>
      </w:r>
      <w:r>
        <w:rPr>
          <w:spacing w:val="-8"/>
        </w:rPr>
        <w:t xml:space="preserve"> </w:t>
      </w:r>
      <w:r>
        <w:t>respective</w:t>
      </w:r>
      <w:r>
        <w:rPr>
          <w:spacing w:val="-9"/>
        </w:rPr>
        <w:t xml:space="preserve"> </w:t>
      </w:r>
      <w:r>
        <w:t>roles and responsibilities when addressing incidents of sexual violence</w:t>
      </w:r>
      <w:hyperlink w:anchor="_bookmark530" w:history="1">
        <w:r>
          <w:t>.</w:t>
        </w:r>
        <w:r>
          <w:rPr>
            <w:vertAlign w:val="superscript"/>
          </w:rPr>
          <w:t>18</w:t>
        </w:r>
      </w:hyperlink>
    </w:p>
    <w:p w:rsidR="00C76E6D" w:rsidRDefault="00C76E6D">
      <w:pPr>
        <w:pStyle w:val="BodyText"/>
        <w:spacing w:before="9"/>
        <w:rPr>
          <w:sz w:val="19"/>
        </w:rPr>
      </w:pPr>
    </w:p>
    <w:p w:rsidR="00C76E6D" w:rsidRDefault="00913831">
      <w:pPr>
        <w:pStyle w:val="BodyText"/>
        <w:spacing w:line="276" w:lineRule="auto"/>
        <w:ind w:left="478" w:right="475"/>
        <w:jc w:val="both"/>
      </w:pPr>
      <w:r>
        <w:t>Undoubtedly, the Campus Sexual Violence Act is a landmark piece of legislation. According to the Massachusetts</w:t>
      </w:r>
      <w:r>
        <w:rPr>
          <w:spacing w:val="-3"/>
        </w:rPr>
        <w:t xml:space="preserve"> </w:t>
      </w:r>
      <w:r>
        <w:t>Commissioner</w:t>
      </w:r>
      <w:r>
        <w:rPr>
          <w:spacing w:val="-4"/>
        </w:rPr>
        <w:t xml:space="preserve"> </w:t>
      </w:r>
      <w:r>
        <w:t>of</w:t>
      </w:r>
      <w:r>
        <w:rPr>
          <w:spacing w:val="-5"/>
        </w:rPr>
        <w:t xml:space="preserve"> </w:t>
      </w:r>
      <w:r>
        <w:t>Higher</w:t>
      </w:r>
      <w:r>
        <w:rPr>
          <w:spacing w:val="-1"/>
        </w:rPr>
        <w:t xml:space="preserve"> </w:t>
      </w:r>
      <w:r>
        <w:t>Education,</w:t>
      </w:r>
      <w:r>
        <w:rPr>
          <w:spacing w:val="-4"/>
        </w:rPr>
        <w:t xml:space="preserve"> </w:t>
      </w:r>
      <w:r>
        <w:t>the</w:t>
      </w:r>
      <w:r>
        <w:rPr>
          <w:spacing w:val="-4"/>
        </w:rPr>
        <w:t xml:space="preserve"> </w:t>
      </w:r>
      <w:r>
        <w:t>Act</w:t>
      </w:r>
      <w:r>
        <w:rPr>
          <w:spacing w:val="-4"/>
        </w:rPr>
        <w:t xml:space="preserve"> </w:t>
      </w:r>
      <w:r>
        <w:t>aims</w:t>
      </w:r>
      <w:r>
        <w:rPr>
          <w:spacing w:val="-2"/>
        </w:rPr>
        <w:t xml:space="preserve"> </w:t>
      </w:r>
      <w:r>
        <w:t>to</w:t>
      </w:r>
      <w:r>
        <w:rPr>
          <w:spacing w:val="-1"/>
        </w:rPr>
        <w:t xml:space="preserve"> </w:t>
      </w:r>
      <w:r>
        <w:t>address</w:t>
      </w:r>
      <w:r>
        <w:rPr>
          <w:spacing w:val="-4"/>
        </w:rPr>
        <w:t xml:space="preserve"> </w:t>
      </w:r>
      <w:r>
        <w:t>issues</w:t>
      </w:r>
      <w:r>
        <w:rPr>
          <w:spacing w:val="-3"/>
        </w:rPr>
        <w:t xml:space="preserve"> </w:t>
      </w:r>
      <w:r>
        <w:t>of</w:t>
      </w:r>
      <w:r>
        <w:rPr>
          <w:spacing w:val="-4"/>
        </w:rPr>
        <w:t xml:space="preserve"> </w:t>
      </w:r>
      <w:r>
        <w:t>safety</w:t>
      </w:r>
      <w:r>
        <w:rPr>
          <w:spacing w:val="-5"/>
        </w:rPr>
        <w:t xml:space="preserve"> </w:t>
      </w:r>
      <w:r>
        <w:t>and</w:t>
      </w:r>
      <w:r>
        <w:rPr>
          <w:spacing w:val="-4"/>
        </w:rPr>
        <w:t xml:space="preserve"> </w:t>
      </w:r>
      <w:r>
        <w:t>equity,</w:t>
      </w:r>
      <w:r>
        <w:rPr>
          <w:spacing w:val="-4"/>
        </w:rPr>
        <w:t xml:space="preserve"> </w:t>
      </w:r>
      <w:r>
        <w:t>as Massachusetts’s most vulnerable students, including imm</w:t>
      </w:r>
      <w:r>
        <w:t>igrants, LGBTQ students, and students with disabilities, are more likely to experience sexual violence and are less likely to report it</w:t>
      </w:r>
      <w:hyperlink w:anchor="_bookmark531" w:history="1">
        <w:r>
          <w:t>.</w:t>
        </w:r>
        <w:r>
          <w:rPr>
            <w:vertAlign w:val="superscript"/>
          </w:rPr>
          <w:t>19</w:t>
        </w:r>
        <w:r>
          <w:t xml:space="preserve"> </w:t>
        </w:r>
      </w:hyperlink>
      <w:r>
        <w:t>However, the partnership with local law enforcement is problematic for communities of</w:t>
      </w:r>
      <w:r>
        <w:t xml:space="preserve"> color and other marginalized persons,</w:t>
      </w:r>
      <w:r>
        <w:rPr>
          <w:spacing w:val="-13"/>
        </w:rPr>
        <w:t xml:space="preserve"> </w:t>
      </w:r>
      <w:r>
        <w:t>given</w:t>
      </w:r>
      <w:r>
        <w:rPr>
          <w:spacing w:val="-12"/>
        </w:rPr>
        <w:t xml:space="preserve"> </w:t>
      </w:r>
      <w:r>
        <w:t>the</w:t>
      </w:r>
      <w:r>
        <w:rPr>
          <w:spacing w:val="-13"/>
        </w:rPr>
        <w:t xml:space="preserve"> </w:t>
      </w:r>
      <w:r>
        <w:t>prevalence</w:t>
      </w:r>
      <w:r>
        <w:rPr>
          <w:spacing w:val="-12"/>
        </w:rPr>
        <w:t xml:space="preserve"> </w:t>
      </w:r>
      <w:r>
        <w:t>of</w:t>
      </w:r>
      <w:r>
        <w:rPr>
          <w:spacing w:val="-13"/>
        </w:rPr>
        <w:t xml:space="preserve"> </w:t>
      </w:r>
      <w:r>
        <w:t>police</w:t>
      </w:r>
      <w:r>
        <w:rPr>
          <w:spacing w:val="-12"/>
        </w:rPr>
        <w:t xml:space="preserve"> </w:t>
      </w:r>
      <w:r>
        <w:t>brutality.</w:t>
      </w:r>
      <w:r>
        <w:rPr>
          <w:spacing w:val="-12"/>
        </w:rPr>
        <w:t xml:space="preserve"> </w:t>
      </w:r>
      <w:r>
        <w:t>It</w:t>
      </w:r>
      <w:r>
        <w:rPr>
          <w:spacing w:val="-12"/>
        </w:rPr>
        <w:t xml:space="preserve"> </w:t>
      </w:r>
      <w:r>
        <w:t>is</w:t>
      </w:r>
      <w:r>
        <w:rPr>
          <w:spacing w:val="-11"/>
        </w:rPr>
        <w:t xml:space="preserve"> </w:t>
      </w:r>
      <w:r>
        <w:t>also</w:t>
      </w:r>
      <w:r>
        <w:rPr>
          <w:spacing w:val="-13"/>
        </w:rPr>
        <w:t xml:space="preserve"> </w:t>
      </w:r>
      <w:r>
        <w:t>important</w:t>
      </w:r>
      <w:r>
        <w:rPr>
          <w:spacing w:val="-12"/>
        </w:rPr>
        <w:t xml:space="preserve"> </w:t>
      </w:r>
      <w:r>
        <w:t>that</w:t>
      </w:r>
      <w:r>
        <w:rPr>
          <w:spacing w:val="-13"/>
        </w:rPr>
        <w:t xml:space="preserve"> </w:t>
      </w:r>
      <w:r>
        <w:t>on-campus</w:t>
      </w:r>
      <w:r>
        <w:rPr>
          <w:spacing w:val="-12"/>
        </w:rPr>
        <w:t xml:space="preserve"> </w:t>
      </w:r>
      <w:r>
        <w:t>and</w:t>
      </w:r>
      <w:r>
        <w:rPr>
          <w:spacing w:val="-12"/>
        </w:rPr>
        <w:t xml:space="preserve"> </w:t>
      </w:r>
      <w:r>
        <w:t>legislative</w:t>
      </w:r>
      <w:r>
        <w:rPr>
          <w:spacing w:val="-12"/>
        </w:rPr>
        <w:t xml:space="preserve"> </w:t>
      </w:r>
      <w:r>
        <w:t>efforts specifically address the unique needs of LGBTQ students on college campuses.</w:t>
      </w:r>
    </w:p>
    <w:p w:rsidR="00C76E6D" w:rsidRDefault="00C76E6D">
      <w:pPr>
        <w:pStyle w:val="BodyText"/>
        <w:spacing w:before="6"/>
        <w:rPr>
          <w:sz w:val="19"/>
        </w:rPr>
      </w:pPr>
    </w:p>
    <w:p w:rsidR="00C76E6D" w:rsidRDefault="00913831">
      <w:pPr>
        <w:pStyle w:val="BodyText"/>
        <w:spacing w:before="1" w:line="276" w:lineRule="auto"/>
        <w:ind w:left="480" w:right="476"/>
        <w:jc w:val="both"/>
      </w:pPr>
      <w:r>
        <w:t>In terms of reporting, LGBTQ students face unique barriers that impact their decision on whether to report. Common barriers include:</w:t>
      </w:r>
      <w:hyperlink w:anchor="_bookmark532" w:history="1">
        <w:r>
          <w:rPr>
            <w:vertAlign w:val="superscript"/>
          </w:rPr>
          <w:t>20</w:t>
        </w:r>
      </w:hyperlink>
    </w:p>
    <w:p w:rsidR="00C76E6D" w:rsidRDefault="00C76E6D">
      <w:pPr>
        <w:pStyle w:val="BodyText"/>
        <w:spacing w:before="11"/>
        <w:rPr>
          <w:sz w:val="19"/>
        </w:rPr>
      </w:pPr>
    </w:p>
    <w:p w:rsidR="00C76E6D" w:rsidRDefault="00913831">
      <w:pPr>
        <w:pStyle w:val="ListParagraph"/>
        <w:numPr>
          <w:ilvl w:val="0"/>
          <w:numId w:val="23"/>
        </w:numPr>
        <w:tabs>
          <w:tab w:val="left" w:pos="1270"/>
          <w:tab w:val="left" w:pos="1271"/>
        </w:tabs>
        <w:ind w:left="1270" w:hanging="361"/>
      </w:pPr>
      <w:r>
        <w:rPr>
          <w:w w:val="95"/>
        </w:rPr>
        <w:t>Not</w:t>
      </w:r>
      <w:r>
        <w:rPr>
          <w:spacing w:val="8"/>
        </w:rPr>
        <w:t xml:space="preserve"> </w:t>
      </w:r>
      <w:r>
        <w:rPr>
          <w:w w:val="95"/>
        </w:rPr>
        <w:t>being</w:t>
      </w:r>
      <w:r>
        <w:rPr>
          <w:spacing w:val="12"/>
        </w:rPr>
        <w:t xml:space="preserve"> </w:t>
      </w:r>
      <w:r>
        <w:rPr>
          <w:w w:val="95"/>
        </w:rPr>
        <w:t>taken</w:t>
      </w:r>
      <w:r>
        <w:rPr>
          <w:spacing w:val="8"/>
        </w:rPr>
        <w:t xml:space="preserve"> </w:t>
      </w:r>
      <w:r>
        <w:rPr>
          <w:w w:val="95"/>
        </w:rPr>
        <w:t>seriously</w:t>
      </w:r>
      <w:r>
        <w:rPr>
          <w:spacing w:val="12"/>
        </w:rPr>
        <w:t xml:space="preserve"> </w:t>
      </w:r>
      <w:r>
        <w:rPr>
          <w:w w:val="95"/>
        </w:rPr>
        <w:t>or</w:t>
      </w:r>
      <w:r>
        <w:rPr>
          <w:spacing w:val="10"/>
        </w:rPr>
        <w:t xml:space="preserve"> </w:t>
      </w:r>
      <w:r>
        <w:rPr>
          <w:w w:val="95"/>
        </w:rPr>
        <w:t>having</w:t>
      </w:r>
      <w:r>
        <w:rPr>
          <w:spacing w:val="12"/>
        </w:rPr>
        <w:t xml:space="preserve"> </w:t>
      </w:r>
      <w:r>
        <w:rPr>
          <w:w w:val="95"/>
        </w:rPr>
        <w:t>their</w:t>
      </w:r>
      <w:r>
        <w:rPr>
          <w:spacing w:val="12"/>
        </w:rPr>
        <w:t xml:space="preserve"> </w:t>
      </w:r>
      <w:r>
        <w:rPr>
          <w:w w:val="95"/>
        </w:rPr>
        <w:t>experience</w:t>
      </w:r>
      <w:r>
        <w:rPr>
          <w:spacing w:val="13"/>
        </w:rPr>
        <w:t xml:space="preserve"> </w:t>
      </w:r>
      <w:r>
        <w:rPr>
          <w:spacing w:val="-2"/>
          <w:w w:val="95"/>
        </w:rPr>
        <w:t>minimized</w:t>
      </w:r>
    </w:p>
    <w:p w:rsidR="00C76E6D" w:rsidRDefault="00913831">
      <w:pPr>
        <w:pStyle w:val="ListParagraph"/>
        <w:numPr>
          <w:ilvl w:val="0"/>
          <w:numId w:val="23"/>
        </w:numPr>
        <w:tabs>
          <w:tab w:val="left" w:pos="1270"/>
          <w:tab w:val="left" w:pos="1271"/>
        </w:tabs>
        <w:spacing w:before="159"/>
        <w:ind w:left="1270" w:hanging="361"/>
      </w:pPr>
      <w:r>
        <w:rPr>
          <w:w w:val="95"/>
        </w:rPr>
        <w:t>Not</w:t>
      </w:r>
      <w:r>
        <w:rPr>
          <w:spacing w:val="9"/>
        </w:rPr>
        <w:t xml:space="preserve"> </w:t>
      </w:r>
      <w:r>
        <w:rPr>
          <w:w w:val="95"/>
        </w:rPr>
        <w:t>having</w:t>
      </w:r>
      <w:r>
        <w:rPr>
          <w:spacing w:val="13"/>
        </w:rPr>
        <w:t xml:space="preserve"> </w:t>
      </w:r>
      <w:r>
        <w:rPr>
          <w:w w:val="95"/>
        </w:rPr>
        <w:t>their</w:t>
      </w:r>
      <w:r>
        <w:rPr>
          <w:spacing w:val="10"/>
        </w:rPr>
        <w:t xml:space="preserve"> </w:t>
      </w:r>
      <w:r>
        <w:rPr>
          <w:w w:val="95"/>
        </w:rPr>
        <w:t>experience</w:t>
      </w:r>
      <w:r>
        <w:rPr>
          <w:spacing w:val="12"/>
        </w:rPr>
        <w:t xml:space="preserve"> </w:t>
      </w:r>
      <w:r>
        <w:rPr>
          <w:w w:val="95"/>
        </w:rPr>
        <w:t>called</w:t>
      </w:r>
      <w:r>
        <w:rPr>
          <w:spacing w:val="12"/>
        </w:rPr>
        <w:t xml:space="preserve"> </w:t>
      </w:r>
      <w:r>
        <w:rPr>
          <w:w w:val="95"/>
        </w:rPr>
        <w:t>sexual</w:t>
      </w:r>
      <w:r>
        <w:rPr>
          <w:spacing w:val="11"/>
        </w:rPr>
        <w:t xml:space="preserve"> </w:t>
      </w:r>
      <w:r>
        <w:rPr>
          <w:w w:val="95"/>
        </w:rPr>
        <w:t>assault</w:t>
      </w:r>
      <w:r>
        <w:rPr>
          <w:spacing w:val="9"/>
        </w:rPr>
        <w:t xml:space="preserve"> </w:t>
      </w:r>
      <w:r>
        <w:rPr>
          <w:w w:val="95"/>
        </w:rPr>
        <w:t>or</w:t>
      </w:r>
      <w:r>
        <w:rPr>
          <w:spacing w:val="12"/>
        </w:rPr>
        <w:t xml:space="preserve"> </w:t>
      </w:r>
      <w:r>
        <w:rPr>
          <w:spacing w:val="-4"/>
          <w:w w:val="95"/>
        </w:rPr>
        <w:t>rape</w:t>
      </w:r>
    </w:p>
    <w:p w:rsidR="00C76E6D" w:rsidRDefault="00913831">
      <w:pPr>
        <w:pStyle w:val="ListParagraph"/>
        <w:numPr>
          <w:ilvl w:val="0"/>
          <w:numId w:val="23"/>
        </w:numPr>
        <w:tabs>
          <w:tab w:val="left" w:pos="1270"/>
          <w:tab w:val="left" w:pos="1271"/>
        </w:tabs>
        <w:spacing w:before="160"/>
        <w:ind w:right="961"/>
      </w:pPr>
      <w:r>
        <w:t>Having to explain their experience in more detail than one would ask a heterosexual or</w:t>
      </w:r>
      <w:r>
        <w:rPr>
          <w:spacing w:val="80"/>
        </w:rPr>
        <w:t xml:space="preserve"> </w:t>
      </w:r>
      <w:r>
        <w:t>cisgender survivor</w:t>
      </w:r>
    </w:p>
    <w:p w:rsidR="00C76E6D" w:rsidRDefault="00913831">
      <w:pPr>
        <w:pStyle w:val="ListParagraph"/>
        <w:numPr>
          <w:ilvl w:val="0"/>
          <w:numId w:val="23"/>
        </w:numPr>
        <w:tabs>
          <w:tab w:val="left" w:pos="1270"/>
          <w:tab w:val="left" w:pos="1271"/>
        </w:tabs>
        <w:spacing w:before="161"/>
        <w:ind w:left="1270" w:hanging="361"/>
      </w:pPr>
      <w:r>
        <w:rPr>
          <w:spacing w:val="-2"/>
        </w:rPr>
        <w:t>Having</w:t>
      </w:r>
      <w:r>
        <w:rPr>
          <w:spacing w:val="-5"/>
        </w:rPr>
        <w:t xml:space="preserve"> </w:t>
      </w:r>
      <w:r>
        <w:rPr>
          <w:spacing w:val="-2"/>
        </w:rPr>
        <w:t>to</w:t>
      </w:r>
      <w:r>
        <w:rPr>
          <w:spacing w:val="-3"/>
        </w:rPr>
        <w:t xml:space="preserve"> </w:t>
      </w:r>
      <w:r>
        <w:rPr>
          <w:spacing w:val="-2"/>
        </w:rPr>
        <w:t>educate</w:t>
      </w:r>
      <w:r>
        <w:rPr>
          <w:spacing w:val="-3"/>
        </w:rPr>
        <w:t xml:space="preserve"> </w:t>
      </w:r>
      <w:r>
        <w:rPr>
          <w:spacing w:val="-2"/>
        </w:rPr>
        <w:t>those</w:t>
      </w:r>
      <w:r>
        <w:rPr>
          <w:spacing w:val="-4"/>
        </w:rPr>
        <w:t xml:space="preserve"> </w:t>
      </w:r>
      <w:r>
        <w:rPr>
          <w:spacing w:val="-2"/>
        </w:rPr>
        <w:t>they</w:t>
      </w:r>
      <w:r>
        <w:rPr>
          <w:spacing w:val="-5"/>
        </w:rPr>
        <w:t xml:space="preserve"> </w:t>
      </w:r>
      <w:r>
        <w:rPr>
          <w:spacing w:val="-2"/>
        </w:rPr>
        <w:t>reach</w:t>
      </w:r>
      <w:r>
        <w:rPr>
          <w:spacing w:val="-4"/>
        </w:rPr>
        <w:t xml:space="preserve"> </w:t>
      </w:r>
      <w:r>
        <w:rPr>
          <w:spacing w:val="-2"/>
        </w:rPr>
        <w:t>out</w:t>
      </w:r>
      <w:r>
        <w:rPr>
          <w:spacing w:val="-6"/>
        </w:rPr>
        <w:t xml:space="preserve"> </w:t>
      </w:r>
      <w:r>
        <w:rPr>
          <w:spacing w:val="-5"/>
        </w:rPr>
        <w:t>to</w:t>
      </w:r>
    </w:p>
    <w:p w:rsidR="00C76E6D" w:rsidRDefault="00913831">
      <w:pPr>
        <w:pStyle w:val="ListParagraph"/>
        <w:numPr>
          <w:ilvl w:val="0"/>
          <w:numId w:val="23"/>
        </w:numPr>
        <w:tabs>
          <w:tab w:val="left" w:pos="1270"/>
          <w:tab w:val="left" w:pos="1271"/>
        </w:tabs>
        <w:spacing w:before="160"/>
        <w:ind w:left="1270" w:hanging="361"/>
      </w:pPr>
      <w:r>
        <w:rPr>
          <w:w w:val="95"/>
        </w:rPr>
        <w:t>Having</w:t>
      </w:r>
      <w:r>
        <w:rPr>
          <w:spacing w:val="9"/>
        </w:rPr>
        <w:t xml:space="preserve"> </w:t>
      </w:r>
      <w:r>
        <w:rPr>
          <w:w w:val="95"/>
        </w:rPr>
        <w:t>their</w:t>
      </w:r>
      <w:r>
        <w:rPr>
          <w:spacing w:val="13"/>
        </w:rPr>
        <w:t xml:space="preserve"> </w:t>
      </w:r>
      <w:r>
        <w:rPr>
          <w:w w:val="95"/>
        </w:rPr>
        <w:t>experience</w:t>
      </w:r>
      <w:r>
        <w:rPr>
          <w:spacing w:val="13"/>
        </w:rPr>
        <w:t xml:space="preserve"> </w:t>
      </w:r>
      <w:r>
        <w:rPr>
          <w:spacing w:val="-2"/>
          <w:w w:val="95"/>
        </w:rPr>
        <w:t>sensationalized</w:t>
      </w:r>
    </w:p>
    <w:p w:rsidR="00C76E6D" w:rsidRDefault="00913831">
      <w:pPr>
        <w:pStyle w:val="ListParagraph"/>
        <w:numPr>
          <w:ilvl w:val="0"/>
          <w:numId w:val="23"/>
        </w:numPr>
        <w:tabs>
          <w:tab w:val="left" w:pos="1270"/>
          <w:tab w:val="left" w:pos="1271"/>
        </w:tabs>
        <w:spacing w:before="158"/>
        <w:ind w:left="1272" w:right="1023" w:hanging="362"/>
      </w:pPr>
      <w:r>
        <w:t>Increasing</w:t>
      </w:r>
      <w:r>
        <w:rPr>
          <w:spacing w:val="-10"/>
        </w:rPr>
        <w:t xml:space="preserve"> </w:t>
      </w:r>
      <w:r>
        <w:t>people’s</w:t>
      </w:r>
      <w:r>
        <w:rPr>
          <w:spacing w:val="-11"/>
        </w:rPr>
        <w:t xml:space="preserve"> </w:t>
      </w:r>
      <w:r>
        <w:t>homophobia/transphobia</w:t>
      </w:r>
      <w:r>
        <w:rPr>
          <w:spacing w:val="-12"/>
        </w:rPr>
        <w:t xml:space="preserve"> </w:t>
      </w:r>
      <w:r>
        <w:t>or</w:t>
      </w:r>
      <w:r>
        <w:rPr>
          <w:spacing w:val="-11"/>
        </w:rPr>
        <w:t xml:space="preserve"> </w:t>
      </w:r>
      <w:r>
        <w:t>being</w:t>
      </w:r>
      <w:r>
        <w:rPr>
          <w:spacing w:val="-12"/>
        </w:rPr>
        <w:t xml:space="preserve"> </w:t>
      </w:r>
      <w:r>
        <w:t>seen</w:t>
      </w:r>
      <w:r>
        <w:rPr>
          <w:spacing w:val="-11"/>
        </w:rPr>
        <w:t xml:space="preserve"> </w:t>
      </w:r>
      <w:r>
        <w:t>as</w:t>
      </w:r>
      <w:r>
        <w:rPr>
          <w:spacing w:val="-12"/>
        </w:rPr>
        <w:t xml:space="preserve"> </w:t>
      </w:r>
      <w:r>
        <w:t>a</w:t>
      </w:r>
      <w:r>
        <w:rPr>
          <w:spacing w:val="-10"/>
        </w:rPr>
        <w:t xml:space="preserve"> </w:t>
      </w:r>
      <w:r>
        <w:t>traitor</w:t>
      </w:r>
      <w:r>
        <w:rPr>
          <w:spacing w:val="-11"/>
        </w:rPr>
        <w:t xml:space="preserve"> </w:t>
      </w:r>
      <w:r>
        <w:t>in</w:t>
      </w:r>
      <w:r>
        <w:rPr>
          <w:spacing w:val="-12"/>
        </w:rPr>
        <w:t xml:space="preserve"> </w:t>
      </w:r>
      <w:r>
        <w:t>their</w:t>
      </w:r>
      <w:r>
        <w:rPr>
          <w:spacing w:val="-9"/>
        </w:rPr>
        <w:t xml:space="preserve"> </w:t>
      </w:r>
      <w:r>
        <w:t>community because they told their story to straight/cisgender people</w:t>
      </w:r>
    </w:p>
    <w:p w:rsidR="00C76E6D" w:rsidRDefault="00913831">
      <w:pPr>
        <w:pStyle w:val="ListParagraph"/>
        <w:numPr>
          <w:ilvl w:val="0"/>
          <w:numId w:val="23"/>
        </w:numPr>
        <w:tabs>
          <w:tab w:val="left" w:pos="1270"/>
          <w:tab w:val="left" w:pos="1271"/>
        </w:tabs>
        <w:spacing w:before="161"/>
        <w:ind w:left="1270" w:hanging="361"/>
      </w:pPr>
      <w:r>
        <w:rPr>
          <w:spacing w:val="-2"/>
        </w:rPr>
        <w:t>Mistakenly</w:t>
      </w:r>
      <w:r>
        <w:rPr>
          <w:spacing w:val="-5"/>
        </w:rPr>
        <w:t xml:space="preserve"> </w:t>
      </w:r>
      <w:r>
        <w:rPr>
          <w:spacing w:val="-2"/>
        </w:rPr>
        <w:t>being</w:t>
      </w:r>
      <w:r>
        <w:rPr>
          <w:spacing w:val="-4"/>
        </w:rPr>
        <w:t xml:space="preserve"> </w:t>
      </w:r>
      <w:r>
        <w:rPr>
          <w:spacing w:val="-2"/>
        </w:rPr>
        <w:t>seen</w:t>
      </w:r>
      <w:r>
        <w:rPr>
          <w:spacing w:val="-4"/>
        </w:rPr>
        <w:t xml:space="preserve"> </w:t>
      </w:r>
      <w:r>
        <w:rPr>
          <w:spacing w:val="-2"/>
        </w:rPr>
        <w:t>as</w:t>
      </w:r>
      <w:r>
        <w:rPr>
          <w:spacing w:val="-4"/>
        </w:rPr>
        <w:t xml:space="preserve"> </w:t>
      </w:r>
      <w:r>
        <w:rPr>
          <w:spacing w:val="-2"/>
        </w:rPr>
        <w:t>the</w:t>
      </w:r>
      <w:r>
        <w:rPr>
          <w:spacing w:val="-3"/>
        </w:rPr>
        <w:t xml:space="preserve"> </w:t>
      </w:r>
      <w:r>
        <w:rPr>
          <w:spacing w:val="-2"/>
        </w:rPr>
        <w:t>perpetrator</w:t>
      </w:r>
    </w:p>
    <w:p w:rsidR="00C76E6D" w:rsidRDefault="00913831">
      <w:pPr>
        <w:pStyle w:val="ListParagraph"/>
        <w:numPr>
          <w:ilvl w:val="0"/>
          <w:numId w:val="23"/>
        </w:numPr>
        <w:tabs>
          <w:tab w:val="left" w:pos="1270"/>
          <w:tab w:val="left" w:pos="1271"/>
        </w:tabs>
        <w:spacing w:before="160"/>
        <w:ind w:left="1270" w:hanging="362"/>
      </w:pPr>
      <w:r>
        <w:rPr>
          <w:spacing w:val="-2"/>
        </w:rPr>
        <w:t>Being</w:t>
      </w:r>
      <w:r>
        <w:rPr>
          <w:spacing w:val="-5"/>
        </w:rPr>
        <w:t xml:space="preserve"> </w:t>
      </w:r>
      <w:r>
        <w:rPr>
          <w:spacing w:val="-2"/>
        </w:rPr>
        <w:t>blamed</w:t>
      </w:r>
      <w:r>
        <w:rPr>
          <w:spacing w:val="-3"/>
        </w:rPr>
        <w:t xml:space="preserve"> </w:t>
      </w:r>
      <w:r>
        <w:rPr>
          <w:spacing w:val="-2"/>
        </w:rPr>
        <w:t>for</w:t>
      </w:r>
      <w:r>
        <w:rPr>
          <w:spacing w:val="-5"/>
        </w:rPr>
        <w:t xml:space="preserve"> </w:t>
      </w:r>
      <w:r>
        <w:rPr>
          <w:spacing w:val="-2"/>
        </w:rPr>
        <w:t>the</w:t>
      </w:r>
      <w:r>
        <w:rPr>
          <w:spacing w:val="-5"/>
        </w:rPr>
        <w:t xml:space="preserve"> </w:t>
      </w:r>
      <w:r>
        <w:rPr>
          <w:spacing w:val="-2"/>
        </w:rPr>
        <w:t>assault</w:t>
      </w:r>
    </w:p>
    <w:p w:rsidR="00C76E6D" w:rsidRDefault="00913831">
      <w:pPr>
        <w:pStyle w:val="ListParagraph"/>
        <w:numPr>
          <w:ilvl w:val="0"/>
          <w:numId w:val="23"/>
        </w:numPr>
        <w:tabs>
          <w:tab w:val="left" w:pos="1270"/>
          <w:tab w:val="left" w:pos="1271"/>
        </w:tabs>
        <w:spacing w:before="160"/>
        <w:ind w:left="1270" w:hanging="362"/>
      </w:pPr>
      <w:r>
        <w:rPr>
          <w:spacing w:val="-2"/>
        </w:rPr>
        <w:t>Not</w:t>
      </w:r>
      <w:r>
        <w:rPr>
          <w:spacing w:val="-7"/>
        </w:rPr>
        <w:t xml:space="preserve"> </w:t>
      </w:r>
      <w:r>
        <w:rPr>
          <w:spacing w:val="-2"/>
        </w:rPr>
        <w:t>being</w:t>
      </w:r>
      <w:r>
        <w:rPr>
          <w:spacing w:val="-4"/>
        </w:rPr>
        <w:t xml:space="preserve"> </w:t>
      </w:r>
      <w:r>
        <w:rPr>
          <w:spacing w:val="-2"/>
        </w:rPr>
        <w:t>understood</w:t>
      </w:r>
    </w:p>
    <w:p w:rsidR="00C76E6D" w:rsidRDefault="00913831">
      <w:pPr>
        <w:pStyle w:val="ListParagraph"/>
        <w:numPr>
          <w:ilvl w:val="0"/>
          <w:numId w:val="23"/>
        </w:numPr>
        <w:tabs>
          <w:tab w:val="left" w:pos="1270"/>
          <w:tab w:val="left" w:pos="1271"/>
        </w:tabs>
        <w:spacing w:before="160"/>
        <w:ind w:right="954" w:hanging="361"/>
      </w:pPr>
      <w:r>
        <w:t>Being</w:t>
      </w:r>
      <w:r>
        <w:rPr>
          <w:spacing w:val="-8"/>
        </w:rPr>
        <w:t xml:space="preserve"> </w:t>
      </w:r>
      <w:r>
        <w:t>treated</w:t>
      </w:r>
      <w:r>
        <w:rPr>
          <w:spacing w:val="-7"/>
        </w:rPr>
        <w:t xml:space="preserve"> </w:t>
      </w:r>
      <w:r>
        <w:t>in</w:t>
      </w:r>
      <w:r>
        <w:rPr>
          <w:spacing w:val="-8"/>
        </w:rPr>
        <w:t xml:space="preserve"> </w:t>
      </w:r>
      <w:r>
        <w:t>a</w:t>
      </w:r>
      <w:r>
        <w:rPr>
          <w:spacing w:val="-6"/>
        </w:rPr>
        <w:t xml:space="preserve"> </w:t>
      </w:r>
      <w:r>
        <w:t>homophobic,</w:t>
      </w:r>
      <w:r>
        <w:rPr>
          <w:spacing w:val="-7"/>
        </w:rPr>
        <w:t xml:space="preserve"> </w:t>
      </w:r>
      <w:r>
        <w:t>transphobic,</w:t>
      </w:r>
      <w:r>
        <w:rPr>
          <w:spacing w:val="-7"/>
        </w:rPr>
        <w:t xml:space="preserve"> </w:t>
      </w:r>
      <w:r>
        <w:t>or</w:t>
      </w:r>
      <w:r>
        <w:rPr>
          <w:spacing w:val="-7"/>
        </w:rPr>
        <w:t xml:space="preserve"> </w:t>
      </w:r>
      <w:r>
        <w:t>racist</w:t>
      </w:r>
      <w:r>
        <w:rPr>
          <w:spacing w:val="-7"/>
        </w:rPr>
        <w:t xml:space="preserve"> </w:t>
      </w:r>
      <w:r>
        <w:t>manner</w:t>
      </w:r>
      <w:r>
        <w:rPr>
          <w:spacing w:val="-6"/>
        </w:rPr>
        <w:t xml:space="preserve"> </w:t>
      </w:r>
      <w:r>
        <w:t>by</w:t>
      </w:r>
      <w:r>
        <w:rPr>
          <w:spacing w:val="-6"/>
        </w:rPr>
        <w:t xml:space="preserve"> </w:t>
      </w:r>
      <w:r>
        <w:t>police,</w:t>
      </w:r>
      <w:r>
        <w:rPr>
          <w:spacing w:val="-7"/>
        </w:rPr>
        <w:t xml:space="preserve"> </w:t>
      </w:r>
      <w:r>
        <w:t>hospital</w:t>
      </w:r>
      <w:r>
        <w:rPr>
          <w:spacing w:val="-8"/>
        </w:rPr>
        <w:t xml:space="preserve"> </w:t>
      </w:r>
      <w:r>
        <w:t>staff,</w:t>
      </w:r>
      <w:r>
        <w:rPr>
          <w:spacing w:val="-7"/>
        </w:rPr>
        <w:t xml:space="preserve"> </w:t>
      </w:r>
      <w:r>
        <w:t>rape crisis center, counselors, and others</w:t>
      </w:r>
    </w:p>
    <w:p w:rsidR="00C76E6D" w:rsidRDefault="00913831">
      <w:pPr>
        <w:pStyle w:val="ListParagraph"/>
        <w:numPr>
          <w:ilvl w:val="0"/>
          <w:numId w:val="23"/>
        </w:numPr>
        <w:tabs>
          <w:tab w:val="left" w:pos="1270"/>
          <w:tab w:val="left" w:pos="1271"/>
        </w:tabs>
        <w:spacing w:before="160"/>
        <w:ind w:left="1270" w:hanging="362"/>
      </w:pPr>
      <w:r>
        <w:rPr>
          <w:w w:val="95"/>
        </w:rPr>
        <w:t>Being</w:t>
      </w:r>
      <w:r>
        <w:rPr>
          <w:spacing w:val="7"/>
        </w:rPr>
        <w:t xml:space="preserve"> </w:t>
      </w:r>
      <w:r>
        <w:rPr>
          <w:spacing w:val="-2"/>
        </w:rPr>
        <w:t>“outed”</w:t>
      </w:r>
    </w:p>
    <w:p w:rsidR="00C76E6D" w:rsidRDefault="00913831">
      <w:pPr>
        <w:pStyle w:val="BodyText"/>
        <w:spacing w:before="239" w:line="276" w:lineRule="auto"/>
        <w:ind w:left="478" w:right="530"/>
      </w:pPr>
      <w:r>
        <w:rPr>
          <w:w w:val="95"/>
        </w:rPr>
        <w:t xml:space="preserve">In sum, despite advances in legislation, responses to sexual violence on Massachusetts’s college campuses </w:t>
      </w:r>
      <w:r>
        <w:t>must consider the positionalities and needs of LGBTQ students.</w:t>
      </w:r>
    </w:p>
    <w:p w:rsidR="00C76E6D" w:rsidRDefault="00C76E6D">
      <w:pPr>
        <w:spacing w:line="276" w:lineRule="auto"/>
        <w:sectPr w:rsidR="00C76E6D">
          <w:pgSz w:w="12240" w:h="15840"/>
          <w:pgMar w:top="960" w:right="960" w:bottom="880" w:left="960" w:header="769" w:footer="694"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Heading6"/>
        <w:numPr>
          <w:ilvl w:val="2"/>
          <w:numId w:val="30"/>
        </w:numPr>
        <w:tabs>
          <w:tab w:val="left" w:pos="1199"/>
        </w:tabs>
        <w:ind w:left="1198" w:hanging="361"/>
      </w:pPr>
      <w:bookmarkStart w:id="681" w:name="b._Carceral_Institutions"/>
      <w:bookmarkEnd w:id="681"/>
      <w:r>
        <w:rPr>
          <w:w w:val="95"/>
        </w:rPr>
        <w:t>Carceral</w:t>
      </w:r>
      <w:r>
        <w:rPr>
          <w:spacing w:val="13"/>
        </w:rPr>
        <w:t xml:space="preserve"> </w:t>
      </w:r>
      <w:r>
        <w:rPr>
          <w:spacing w:val="-2"/>
        </w:rPr>
        <w:t>Institutions</w:t>
      </w:r>
    </w:p>
    <w:p w:rsidR="00C76E6D" w:rsidRDefault="00C76E6D">
      <w:pPr>
        <w:pStyle w:val="BodyText"/>
        <w:spacing w:before="8"/>
        <w:rPr>
          <w:b/>
          <w:sz w:val="28"/>
        </w:rPr>
      </w:pPr>
    </w:p>
    <w:p w:rsidR="00C76E6D" w:rsidRDefault="00913831">
      <w:pPr>
        <w:pStyle w:val="BodyText"/>
        <w:spacing w:line="276" w:lineRule="auto"/>
        <w:ind w:left="480" w:right="481"/>
        <w:jc w:val="both"/>
      </w:pPr>
      <w:r>
        <w:t>In carceral institutions at the state and federal levels, LGBTQ youth and adults are at a significantly increased risk of sexual violence. LGBTQ incarcera</w:t>
      </w:r>
      <w:r>
        <w:t>ted persons are approximately six times more likely to experience sexual violence than the general prison population</w:t>
      </w:r>
      <w:hyperlink w:anchor="_bookmark533" w:history="1">
        <w:r>
          <w:t>.</w:t>
        </w:r>
        <w:r>
          <w:rPr>
            <w:vertAlign w:val="superscript"/>
          </w:rPr>
          <w:t>21</w:t>
        </w:r>
      </w:hyperlink>
    </w:p>
    <w:p w:rsidR="00C76E6D" w:rsidRDefault="00C76E6D">
      <w:pPr>
        <w:pStyle w:val="BodyText"/>
        <w:spacing w:before="7"/>
        <w:rPr>
          <w:sz w:val="19"/>
        </w:rPr>
      </w:pPr>
    </w:p>
    <w:p w:rsidR="00C76E6D" w:rsidRDefault="00913831">
      <w:pPr>
        <w:pStyle w:val="BodyText"/>
        <w:spacing w:before="1" w:line="276" w:lineRule="auto"/>
        <w:ind w:left="479" w:right="476" w:hanging="1"/>
        <w:jc w:val="both"/>
      </w:pPr>
      <w:r>
        <w:t>The</w:t>
      </w:r>
      <w:r>
        <w:rPr>
          <w:spacing w:val="-4"/>
        </w:rPr>
        <w:t xml:space="preserve"> </w:t>
      </w:r>
      <w:r>
        <w:t>Prison</w:t>
      </w:r>
      <w:r>
        <w:rPr>
          <w:spacing w:val="-4"/>
        </w:rPr>
        <w:t xml:space="preserve"> </w:t>
      </w:r>
      <w:r>
        <w:t>Rape</w:t>
      </w:r>
      <w:r>
        <w:rPr>
          <w:spacing w:val="-4"/>
        </w:rPr>
        <w:t xml:space="preserve"> </w:t>
      </w:r>
      <w:r>
        <w:t>Elimination</w:t>
      </w:r>
      <w:r>
        <w:rPr>
          <w:spacing w:val="-5"/>
        </w:rPr>
        <w:t xml:space="preserve"> </w:t>
      </w:r>
      <w:r>
        <w:t>Act</w:t>
      </w:r>
      <w:r>
        <w:rPr>
          <w:spacing w:val="-3"/>
        </w:rPr>
        <w:t xml:space="preserve"> </w:t>
      </w:r>
      <w:r>
        <w:t>(PREA)</w:t>
      </w:r>
      <w:r>
        <w:rPr>
          <w:spacing w:val="-3"/>
        </w:rPr>
        <w:t xml:space="preserve"> </w:t>
      </w:r>
      <w:r>
        <w:t>of</w:t>
      </w:r>
      <w:r>
        <w:rPr>
          <w:spacing w:val="-5"/>
        </w:rPr>
        <w:t xml:space="preserve"> </w:t>
      </w:r>
      <w:r>
        <w:t>2003</w:t>
      </w:r>
      <w:r>
        <w:rPr>
          <w:spacing w:val="-4"/>
        </w:rPr>
        <w:t xml:space="preserve"> </w:t>
      </w:r>
      <w:r>
        <w:t>codifies</w:t>
      </w:r>
      <w:r>
        <w:rPr>
          <w:spacing w:val="-5"/>
        </w:rPr>
        <w:t xml:space="preserve"> </w:t>
      </w:r>
      <w:r>
        <w:t>the</w:t>
      </w:r>
      <w:r>
        <w:rPr>
          <w:spacing w:val="-4"/>
        </w:rPr>
        <w:t xml:space="preserve"> </w:t>
      </w:r>
      <w:r>
        <w:t>right</w:t>
      </w:r>
      <w:r>
        <w:rPr>
          <w:spacing w:val="-6"/>
        </w:rPr>
        <w:t xml:space="preserve"> </w:t>
      </w:r>
      <w:r>
        <w:t>of</w:t>
      </w:r>
      <w:r>
        <w:rPr>
          <w:spacing w:val="-5"/>
        </w:rPr>
        <w:t xml:space="preserve"> </w:t>
      </w:r>
      <w:r>
        <w:t>incarcerated</w:t>
      </w:r>
      <w:r>
        <w:rPr>
          <w:spacing w:val="-4"/>
        </w:rPr>
        <w:t xml:space="preserve"> </w:t>
      </w:r>
      <w:r>
        <w:t>persons</w:t>
      </w:r>
      <w:r>
        <w:rPr>
          <w:spacing w:val="-5"/>
        </w:rPr>
        <w:t xml:space="preserve"> </w:t>
      </w:r>
      <w:r>
        <w:t>to</w:t>
      </w:r>
      <w:r>
        <w:rPr>
          <w:spacing w:val="-2"/>
        </w:rPr>
        <w:t xml:space="preserve"> </w:t>
      </w:r>
      <w:r>
        <w:t>be</w:t>
      </w:r>
      <w:r>
        <w:rPr>
          <w:spacing w:val="-4"/>
        </w:rPr>
        <w:t xml:space="preserve"> </w:t>
      </w:r>
      <w:r>
        <w:t>protected from sexual violence. The U.S. Department of Justice’s PREA standards specifically highlight LGBTQ incarcerated persons and risk factors related to their sexual victimization. On the one hand, PREA importantly requires correctional staff to be mo</w:t>
      </w:r>
      <w:r>
        <w:t>re aware of indicators of sexual violence against LGBTQ incarcerated persons. On the other hand, PREA has increased the surveillance of LGBTQ incarcerated persons.</w:t>
      </w:r>
      <w:r>
        <w:rPr>
          <w:spacing w:val="-13"/>
        </w:rPr>
        <w:t xml:space="preserve"> </w:t>
      </w:r>
      <w:r>
        <w:t>Under</w:t>
      </w:r>
      <w:r>
        <w:rPr>
          <w:spacing w:val="-12"/>
        </w:rPr>
        <w:t xml:space="preserve"> </w:t>
      </w:r>
      <w:r>
        <w:t>PREA,</w:t>
      </w:r>
      <w:r>
        <w:rPr>
          <w:spacing w:val="-13"/>
        </w:rPr>
        <w:t xml:space="preserve"> </w:t>
      </w:r>
      <w:r>
        <w:t>LGBTQ</w:t>
      </w:r>
      <w:r>
        <w:rPr>
          <w:spacing w:val="-12"/>
        </w:rPr>
        <w:t xml:space="preserve"> </w:t>
      </w:r>
      <w:r>
        <w:t>incarcerated</w:t>
      </w:r>
      <w:r>
        <w:rPr>
          <w:spacing w:val="-13"/>
        </w:rPr>
        <w:t xml:space="preserve"> </w:t>
      </w:r>
      <w:r>
        <w:t>persons</w:t>
      </w:r>
      <w:r>
        <w:rPr>
          <w:spacing w:val="-12"/>
        </w:rPr>
        <w:t xml:space="preserve"> </w:t>
      </w:r>
      <w:r>
        <w:t>are</w:t>
      </w:r>
      <w:r>
        <w:rPr>
          <w:spacing w:val="-13"/>
        </w:rPr>
        <w:t xml:space="preserve"> </w:t>
      </w:r>
      <w:r>
        <w:t>further</w:t>
      </w:r>
      <w:r>
        <w:rPr>
          <w:spacing w:val="-12"/>
        </w:rPr>
        <w:t xml:space="preserve"> </w:t>
      </w:r>
      <w:r>
        <w:t>stigmatized</w:t>
      </w:r>
      <w:r>
        <w:rPr>
          <w:spacing w:val="-12"/>
        </w:rPr>
        <w:t xml:space="preserve"> </w:t>
      </w:r>
      <w:r>
        <w:t>due</w:t>
      </w:r>
      <w:r>
        <w:rPr>
          <w:spacing w:val="-11"/>
        </w:rPr>
        <w:t xml:space="preserve"> </w:t>
      </w:r>
      <w:r>
        <w:t>to</w:t>
      </w:r>
      <w:r>
        <w:rPr>
          <w:spacing w:val="-12"/>
        </w:rPr>
        <w:t xml:space="preserve"> </w:t>
      </w:r>
      <w:r>
        <w:t>their</w:t>
      </w:r>
      <w:r>
        <w:rPr>
          <w:spacing w:val="-12"/>
        </w:rPr>
        <w:t xml:space="preserve"> </w:t>
      </w:r>
      <w:r>
        <w:t>increased</w:t>
      </w:r>
      <w:r>
        <w:rPr>
          <w:spacing w:val="-12"/>
        </w:rPr>
        <w:t xml:space="preserve"> </w:t>
      </w:r>
      <w:r>
        <w:t>visibi</w:t>
      </w:r>
      <w:r>
        <w:t>lity, and they continue to experience violence. Correctional staff do not always implement PREA in a benevolent manner, abusing their power in conducting inquiries and responding to violence.</w:t>
      </w:r>
      <w:hyperlink w:anchor="_bookmark534" w:history="1">
        <w:r>
          <w:rPr>
            <w:vertAlign w:val="superscript"/>
          </w:rPr>
          <w:t>22</w:t>
        </w:r>
      </w:hyperlink>
    </w:p>
    <w:p w:rsidR="00C76E6D" w:rsidRDefault="00C76E6D">
      <w:pPr>
        <w:pStyle w:val="BodyText"/>
        <w:spacing w:before="8"/>
        <w:rPr>
          <w:sz w:val="19"/>
        </w:rPr>
      </w:pPr>
    </w:p>
    <w:p w:rsidR="00C76E6D" w:rsidRDefault="00913831">
      <w:pPr>
        <w:pStyle w:val="BodyText"/>
        <w:spacing w:line="276" w:lineRule="auto"/>
        <w:ind w:left="478" w:right="474"/>
        <w:jc w:val="both"/>
      </w:pPr>
      <w:r>
        <w:t>Not only are LGBTQ persons at</w:t>
      </w:r>
      <w:r>
        <w:t xml:space="preserve"> increased risk of sexual violence, but they also experience significant barriers</w:t>
      </w:r>
      <w:r>
        <w:rPr>
          <w:spacing w:val="-9"/>
        </w:rPr>
        <w:t xml:space="preserve"> </w:t>
      </w:r>
      <w:r>
        <w:t>to</w:t>
      </w:r>
      <w:r>
        <w:rPr>
          <w:spacing w:val="-8"/>
        </w:rPr>
        <w:t xml:space="preserve"> </w:t>
      </w:r>
      <w:r>
        <w:t>reporting</w:t>
      </w:r>
      <w:r>
        <w:rPr>
          <w:spacing w:val="-9"/>
        </w:rPr>
        <w:t xml:space="preserve"> </w:t>
      </w:r>
      <w:r>
        <w:t>incidents</w:t>
      </w:r>
      <w:r>
        <w:rPr>
          <w:spacing w:val="-8"/>
        </w:rPr>
        <w:t xml:space="preserve"> </w:t>
      </w:r>
      <w:r>
        <w:t>while</w:t>
      </w:r>
      <w:r>
        <w:rPr>
          <w:spacing w:val="-9"/>
        </w:rPr>
        <w:t xml:space="preserve"> </w:t>
      </w:r>
      <w:r>
        <w:t>incarcerated.</w:t>
      </w:r>
      <w:r>
        <w:rPr>
          <w:spacing w:val="-8"/>
        </w:rPr>
        <w:t xml:space="preserve"> </w:t>
      </w:r>
      <w:r>
        <w:t>Within</w:t>
      </w:r>
      <w:r>
        <w:rPr>
          <w:spacing w:val="-8"/>
        </w:rPr>
        <w:t xml:space="preserve"> </w:t>
      </w:r>
      <w:r>
        <w:t>carceral</w:t>
      </w:r>
      <w:r>
        <w:rPr>
          <w:spacing w:val="-9"/>
        </w:rPr>
        <w:t xml:space="preserve"> </w:t>
      </w:r>
      <w:r>
        <w:t>institutions,</w:t>
      </w:r>
      <w:r>
        <w:rPr>
          <w:spacing w:val="-8"/>
        </w:rPr>
        <w:t xml:space="preserve"> </w:t>
      </w:r>
      <w:r>
        <w:t>LGBTQ</w:t>
      </w:r>
      <w:r>
        <w:rPr>
          <w:spacing w:val="-8"/>
        </w:rPr>
        <w:t xml:space="preserve"> </w:t>
      </w:r>
      <w:r>
        <w:t>persons</w:t>
      </w:r>
      <w:r>
        <w:rPr>
          <w:spacing w:val="-8"/>
        </w:rPr>
        <w:t xml:space="preserve"> </w:t>
      </w:r>
      <w:r>
        <w:t>experience substantial prejudice on a day-to-day basis, which may prevent them from rep</w:t>
      </w:r>
      <w:r>
        <w:t>orting incidents of violence</w:t>
      </w:r>
      <w:hyperlink w:anchor="_bookmark535" w:history="1">
        <w:r>
          <w:t>.</w:t>
        </w:r>
        <w:r>
          <w:rPr>
            <w:vertAlign w:val="superscript"/>
          </w:rPr>
          <w:t>23</w:t>
        </w:r>
        <w:r>
          <w:rPr>
            <w:spacing w:val="-12"/>
          </w:rPr>
          <w:t xml:space="preserve"> </w:t>
        </w:r>
      </w:hyperlink>
      <w:r>
        <w:t>Additionally,</w:t>
      </w:r>
      <w:r>
        <w:rPr>
          <w:spacing w:val="-10"/>
        </w:rPr>
        <w:t xml:space="preserve"> </w:t>
      </w:r>
      <w:r>
        <w:t>LGBTQ</w:t>
      </w:r>
      <w:r>
        <w:rPr>
          <w:spacing w:val="-11"/>
        </w:rPr>
        <w:t xml:space="preserve"> </w:t>
      </w:r>
      <w:r>
        <w:t>persons</w:t>
      </w:r>
      <w:r>
        <w:rPr>
          <w:spacing w:val="-8"/>
        </w:rPr>
        <w:t xml:space="preserve"> </w:t>
      </w:r>
      <w:r>
        <w:t>who</w:t>
      </w:r>
      <w:r>
        <w:rPr>
          <w:spacing w:val="-9"/>
        </w:rPr>
        <w:t xml:space="preserve"> </w:t>
      </w:r>
      <w:r>
        <w:t>report</w:t>
      </w:r>
      <w:r>
        <w:rPr>
          <w:spacing w:val="-9"/>
        </w:rPr>
        <w:t xml:space="preserve"> </w:t>
      </w:r>
      <w:r>
        <w:t>sexual</w:t>
      </w:r>
      <w:r>
        <w:rPr>
          <w:spacing w:val="-10"/>
        </w:rPr>
        <w:t xml:space="preserve"> </w:t>
      </w:r>
      <w:r>
        <w:t>violence</w:t>
      </w:r>
      <w:r>
        <w:rPr>
          <w:spacing w:val="-9"/>
        </w:rPr>
        <w:t xml:space="preserve"> </w:t>
      </w:r>
      <w:r>
        <w:t>may</w:t>
      </w:r>
      <w:r>
        <w:rPr>
          <w:spacing w:val="-9"/>
        </w:rPr>
        <w:t xml:space="preserve"> </w:t>
      </w:r>
      <w:r>
        <w:t>end</w:t>
      </w:r>
      <w:r>
        <w:rPr>
          <w:spacing w:val="-9"/>
        </w:rPr>
        <w:t xml:space="preserve"> </w:t>
      </w:r>
      <w:r>
        <w:t>up</w:t>
      </w:r>
      <w:r>
        <w:rPr>
          <w:spacing w:val="-9"/>
        </w:rPr>
        <w:t xml:space="preserve"> </w:t>
      </w:r>
      <w:r>
        <w:t>in</w:t>
      </w:r>
      <w:r>
        <w:rPr>
          <w:spacing w:val="-10"/>
        </w:rPr>
        <w:t xml:space="preserve"> </w:t>
      </w:r>
      <w:r>
        <w:t>solitary</w:t>
      </w:r>
      <w:r>
        <w:rPr>
          <w:spacing w:val="-8"/>
        </w:rPr>
        <w:t xml:space="preserve"> </w:t>
      </w:r>
      <w:r>
        <w:t>confinement</w:t>
      </w:r>
      <w:r>
        <w:rPr>
          <w:spacing w:val="-9"/>
        </w:rPr>
        <w:t xml:space="preserve"> </w:t>
      </w:r>
      <w:r>
        <w:t>or restrictive housing for their own “protection.” Solitary confinement, however, is inhumane and has deleterious</w:t>
      </w:r>
      <w:r>
        <w:rPr>
          <w:spacing w:val="-3"/>
        </w:rPr>
        <w:t xml:space="preserve"> </w:t>
      </w:r>
      <w:r>
        <w:t>effects</w:t>
      </w:r>
      <w:r>
        <w:rPr>
          <w:spacing w:val="-5"/>
        </w:rPr>
        <w:t xml:space="preserve"> </w:t>
      </w:r>
      <w:r>
        <w:t>on</w:t>
      </w:r>
      <w:r>
        <w:rPr>
          <w:spacing w:val="-5"/>
        </w:rPr>
        <w:t xml:space="preserve"> </w:t>
      </w:r>
      <w:r>
        <w:t>mental</w:t>
      </w:r>
      <w:r>
        <w:rPr>
          <w:spacing w:val="-5"/>
        </w:rPr>
        <w:t xml:space="preserve"> </w:t>
      </w:r>
      <w:r>
        <w:t>health;</w:t>
      </w:r>
      <w:r>
        <w:rPr>
          <w:spacing w:val="-4"/>
        </w:rPr>
        <w:t xml:space="preserve"> </w:t>
      </w:r>
      <w:r>
        <w:t>therefore,</w:t>
      </w:r>
      <w:r>
        <w:rPr>
          <w:spacing w:val="-5"/>
        </w:rPr>
        <w:t xml:space="preserve"> </w:t>
      </w:r>
      <w:r>
        <w:t>many</w:t>
      </w:r>
      <w:r>
        <w:rPr>
          <w:spacing w:val="-5"/>
        </w:rPr>
        <w:t xml:space="preserve"> </w:t>
      </w:r>
      <w:r>
        <w:t>LGBTQ</w:t>
      </w:r>
      <w:r>
        <w:rPr>
          <w:spacing w:val="-4"/>
        </w:rPr>
        <w:t xml:space="preserve"> </w:t>
      </w:r>
      <w:r>
        <w:t>persons</w:t>
      </w:r>
      <w:r>
        <w:rPr>
          <w:spacing w:val="-4"/>
        </w:rPr>
        <w:t xml:space="preserve"> </w:t>
      </w:r>
      <w:r>
        <w:t>are</w:t>
      </w:r>
      <w:r>
        <w:rPr>
          <w:spacing w:val="-5"/>
        </w:rPr>
        <w:t xml:space="preserve"> </w:t>
      </w:r>
      <w:r>
        <w:t>deterred</w:t>
      </w:r>
      <w:r>
        <w:rPr>
          <w:spacing w:val="-5"/>
        </w:rPr>
        <w:t xml:space="preserve"> </w:t>
      </w:r>
      <w:r>
        <w:t>from</w:t>
      </w:r>
      <w:r>
        <w:rPr>
          <w:spacing w:val="-5"/>
        </w:rPr>
        <w:t xml:space="preserve"> </w:t>
      </w:r>
      <w:r>
        <w:t>reporting</w:t>
      </w:r>
      <w:r>
        <w:rPr>
          <w:spacing w:val="-5"/>
        </w:rPr>
        <w:t xml:space="preserve"> </w:t>
      </w:r>
      <w:r>
        <w:t>future acts of violence</w:t>
      </w:r>
      <w:hyperlink w:anchor="_bookmark536" w:history="1">
        <w:r>
          <w:t>.</w:t>
        </w:r>
        <w:r>
          <w:rPr>
            <w:vertAlign w:val="superscript"/>
          </w:rPr>
          <w:t>24</w:t>
        </w:r>
      </w:hyperlink>
    </w:p>
    <w:p w:rsidR="00C76E6D" w:rsidRDefault="00C76E6D">
      <w:pPr>
        <w:pStyle w:val="BodyText"/>
        <w:spacing w:before="7"/>
        <w:rPr>
          <w:sz w:val="19"/>
        </w:rPr>
      </w:pPr>
    </w:p>
    <w:p w:rsidR="00C76E6D" w:rsidRDefault="00913831">
      <w:pPr>
        <w:pStyle w:val="BodyText"/>
        <w:spacing w:line="276" w:lineRule="auto"/>
        <w:ind w:left="479" w:right="475"/>
        <w:jc w:val="both"/>
      </w:pPr>
      <w:r>
        <w:t>The</w:t>
      </w:r>
      <w:r>
        <w:rPr>
          <w:spacing w:val="-10"/>
        </w:rPr>
        <w:t xml:space="preserve"> </w:t>
      </w:r>
      <w:r>
        <w:t>Criminal</w:t>
      </w:r>
      <w:r>
        <w:rPr>
          <w:spacing w:val="-9"/>
        </w:rPr>
        <w:t xml:space="preserve"> </w:t>
      </w:r>
      <w:r>
        <w:t>Justice</w:t>
      </w:r>
      <w:r>
        <w:rPr>
          <w:spacing w:val="-11"/>
        </w:rPr>
        <w:t xml:space="preserve"> </w:t>
      </w:r>
      <w:r>
        <w:t>Reform</w:t>
      </w:r>
      <w:r>
        <w:rPr>
          <w:spacing w:val="-12"/>
        </w:rPr>
        <w:t xml:space="preserve"> </w:t>
      </w:r>
      <w:r>
        <w:t>Act,</w:t>
      </w:r>
      <w:r>
        <w:rPr>
          <w:spacing w:val="-10"/>
        </w:rPr>
        <w:t xml:space="preserve"> </w:t>
      </w:r>
      <w:r>
        <w:t>passed</w:t>
      </w:r>
      <w:r>
        <w:rPr>
          <w:spacing w:val="-9"/>
        </w:rPr>
        <w:t xml:space="preserve"> </w:t>
      </w:r>
      <w:r>
        <w:t>in</w:t>
      </w:r>
      <w:r>
        <w:rPr>
          <w:spacing w:val="-10"/>
        </w:rPr>
        <w:t xml:space="preserve"> </w:t>
      </w:r>
      <w:r>
        <w:t>2018,</w:t>
      </w:r>
      <w:r>
        <w:rPr>
          <w:spacing w:val="-11"/>
        </w:rPr>
        <w:t xml:space="preserve"> </w:t>
      </w:r>
      <w:r>
        <w:t>attempts</w:t>
      </w:r>
      <w:r>
        <w:rPr>
          <w:spacing w:val="-10"/>
        </w:rPr>
        <w:t xml:space="preserve"> </w:t>
      </w:r>
      <w:r>
        <w:t>to</w:t>
      </w:r>
      <w:r>
        <w:rPr>
          <w:spacing w:val="-10"/>
        </w:rPr>
        <w:t xml:space="preserve"> </w:t>
      </w:r>
      <w:r>
        <w:t>address</w:t>
      </w:r>
      <w:r>
        <w:rPr>
          <w:spacing w:val="-11"/>
        </w:rPr>
        <w:t xml:space="preserve"> </w:t>
      </w:r>
      <w:r>
        <w:t>some</w:t>
      </w:r>
      <w:r>
        <w:rPr>
          <w:spacing w:val="-12"/>
        </w:rPr>
        <w:t xml:space="preserve"> </w:t>
      </w:r>
      <w:r>
        <w:t>of</w:t>
      </w:r>
      <w:r>
        <w:rPr>
          <w:spacing w:val="-10"/>
        </w:rPr>
        <w:t xml:space="preserve"> </w:t>
      </w:r>
      <w:r>
        <w:t>the</w:t>
      </w:r>
      <w:r>
        <w:rPr>
          <w:spacing w:val="-10"/>
        </w:rPr>
        <w:t xml:space="preserve"> </w:t>
      </w:r>
      <w:r>
        <w:t>unique</w:t>
      </w:r>
      <w:r>
        <w:rPr>
          <w:spacing w:val="-10"/>
        </w:rPr>
        <w:t xml:space="preserve"> </w:t>
      </w:r>
      <w:r>
        <w:t>challenges</w:t>
      </w:r>
      <w:r>
        <w:rPr>
          <w:spacing w:val="-9"/>
        </w:rPr>
        <w:t xml:space="preserve"> </w:t>
      </w:r>
      <w:r>
        <w:t>faced by LGBTQ persons in Massachusetts’s carceral institutions. The Act requires that staff address incarcerated persons by the gender they identify with, ensures access to providers with expertise in transgender healthcare, and may permit persons be plac</w:t>
      </w:r>
      <w:r>
        <w:t>ed in housing based on their gender identity, rather than sex assigned at birth. The Act also created a special commission to review health and safety of LGBTQ persons in carceral institutions. While the Reform Act signifies potential progress, sexual viol</w:t>
      </w:r>
      <w:r>
        <w:t>ence</w:t>
      </w:r>
      <w:r>
        <w:rPr>
          <w:spacing w:val="-8"/>
        </w:rPr>
        <w:t xml:space="preserve"> </w:t>
      </w:r>
      <w:r>
        <w:t>against</w:t>
      </w:r>
      <w:r>
        <w:rPr>
          <w:spacing w:val="-10"/>
        </w:rPr>
        <w:t xml:space="preserve"> </w:t>
      </w:r>
      <w:r>
        <w:t>LGBTQ</w:t>
      </w:r>
      <w:r>
        <w:rPr>
          <w:spacing w:val="-8"/>
        </w:rPr>
        <w:t xml:space="preserve"> </w:t>
      </w:r>
      <w:r>
        <w:t>persons</w:t>
      </w:r>
      <w:r>
        <w:rPr>
          <w:spacing w:val="-9"/>
        </w:rPr>
        <w:t xml:space="preserve"> </w:t>
      </w:r>
      <w:r>
        <w:t>in</w:t>
      </w:r>
      <w:r>
        <w:rPr>
          <w:spacing w:val="-9"/>
        </w:rPr>
        <w:t xml:space="preserve"> </w:t>
      </w:r>
      <w:r>
        <w:t>carceral</w:t>
      </w:r>
      <w:r>
        <w:rPr>
          <w:spacing w:val="-10"/>
        </w:rPr>
        <w:t xml:space="preserve"> </w:t>
      </w:r>
      <w:r>
        <w:t>institutions</w:t>
      </w:r>
      <w:r>
        <w:rPr>
          <w:spacing w:val="-9"/>
        </w:rPr>
        <w:t xml:space="preserve"> </w:t>
      </w:r>
      <w:r>
        <w:t>continues</w:t>
      </w:r>
      <w:r>
        <w:rPr>
          <w:spacing w:val="-8"/>
        </w:rPr>
        <w:t xml:space="preserve"> </w:t>
      </w:r>
      <w:r>
        <w:t>to</w:t>
      </w:r>
      <w:r>
        <w:rPr>
          <w:spacing w:val="-9"/>
        </w:rPr>
        <w:t xml:space="preserve"> </w:t>
      </w:r>
      <w:r>
        <w:t>be</w:t>
      </w:r>
      <w:r>
        <w:rPr>
          <w:spacing w:val="-9"/>
        </w:rPr>
        <w:t xml:space="preserve"> </w:t>
      </w:r>
      <w:r>
        <w:t>a</w:t>
      </w:r>
      <w:r>
        <w:rPr>
          <w:spacing w:val="-8"/>
        </w:rPr>
        <w:t xml:space="preserve"> </w:t>
      </w:r>
      <w:r>
        <w:t>systemic</w:t>
      </w:r>
      <w:r>
        <w:rPr>
          <w:spacing w:val="-10"/>
        </w:rPr>
        <w:t xml:space="preserve"> </w:t>
      </w:r>
      <w:r>
        <w:t>issue</w:t>
      </w:r>
      <w:r>
        <w:rPr>
          <w:spacing w:val="-9"/>
        </w:rPr>
        <w:t xml:space="preserve"> </w:t>
      </w:r>
      <w:r>
        <w:t>in</w:t>
      </w:r>
      <w:r>
        <w:rPr>
          <w:spacing w:val="-8"/>
        </w:rPr>
        <w:t xml:space="preserve"> </w:t>
      </w:r>
      <w:r>
        <w:t>Massachusetts. More research needs to be done on the relationship between sexual violence and incarceration of Massachusetts’s LGBTQ youth.</w:t>
      </w:r>
    </w:p>
    <w:p w:rsidR="00C76E6D" w:rsidRDefault="00C76E6D">
      <w:pPr>
        <w:pStyle w:val="BodyText"/>
      </w:pPr>
    </w:p>
    <w:p w:rsidR="00C76E6D" w:rsidRDefault="00C76E6D">
      <w:pPr>
        <w:pStyle w:val="BodyText"/>
        <w:spacing w:before="5"/>
        <w:rPr>
          <w:sz w:val="16"/>
        </w:rPr>
      </w:pPr>
    </w:p>
    <w:p w:rsidR="00C76E6D" w:rsidRDefault="00913831">
      <w:pPr>
        <w:pStyle w:val="Heading6"/>
        <w:numPr>
          <w:ilvl w:val="2"/>
          <w:numId w:val="30"/>
        </w:numPr>
        <w:tabs>
          <w:tab w:val="left" w:pos="1199"/>
          <w:tab w:val="left" w:pos="1200"/>
        </w:tabs>
      </w:pPr>
      <w:bookmarkStart w:id="682" w:name="c._Sexual_Violence_and_Economic_Instabil"/>
      <w:bookmarkEnd w:id="682"/>
      <w:r>
        <w:rPr>
          <w:w w:val="95"/>
        </w:rPr>
        <w:t>Sexual</w:t>
      </w:r>
      <w:r>
        <w:rPr>
          <w:spacing w:val="15"/>
        </w:rPr>
        <w:t xml:space="preserve"> </w:t>
      </w:r>
      <w:r>
        <w:rPr>
          <w:w w:val="95"/>
        </w:rPr>
        <w:t>Violence</w:t>
      </w:r>
      <w:r>
        <w:rPr>
          <w:spacing w:val="12"/>
        </w:rPr>
        <w:t xml:space="preserve"> </w:t>
      </w:r>
      <w:r>
        <w:rPr>
          <w:w w:val="95"/>
        </w:rPr>
        <w:t>and</w:t>
      </w:r>
      <w:r>
        <w:rPr>
          <w:spacing w:val="18"/>
        </w:rPr>
        <w:t xml:space="preserve"> </w:t>
      </w:r>
      <w:r>
        <w:rPr>
          <w:w w:val="95"/>
        </w:rPr>
        <w:t>Econom</w:t>
      </w:r>
      <w:r>
        <w:rPr>
          <w:w w:val="95"/>
        </w:rPr>
        <w:t>ic</w:t>
      </w:r>
      <w:r>
        <w:rPr>
          <w:spacing w:val="14"/>
        </w:rPr>
        <w:t xml:space="preserve"> </w:t>
      </w:r>
      <w:r>
        <w:rPr>
          <w:spacing w:val="-2"/>
          <w:w w:val="95"/>
        </w:rPr>
        <w:t>Instability</w:t>
      </w:r>
    </w:p>
    <w:p w:rsidR="00C76E6D" w:rsidRDefault="00C76E6D">
      <w:pPr>
        <w:pStyle w:val="BodyText"/>
        <w:spacing w:before="6"/>
        <w:rPr>
          <w:b/>
          <w:sz w:val="28"/>
        </w:rPr>
      </w:pPr>
    </w:p>
    <w:p w:rsidR="00C76E6D" w:rsidRDefault="00913831">
      <w:pPr>
        <w:pStyle w:val="BodyText"/>
        <w:spacing w:before="1" w:line="276" w:lineRule="auto"/>
        <w:ind w:left="478" w:right="478"/>
        <w:jc w:val="both"/>
      </w:pPr>
      <w:r>
        <w:t>In general, there is a well-established connection between sexual violence and economic instability. Sexual violence often pushes survivors of sexual violence into homelessness and/or poverty. The economic</w:t>
      </w:r>
      <w:r>
        <w:rPr>
          <w:spacing w:val="-1"/>
        </w:rPr>
        <w:t xml:space="preserve"> </w:t>
      </w:r>
      <w:r>
        <w:t>impact</w:t>
      </w:r>
      <w:r>
        <w:rPr>
          <w:spacing w:val="-1"/>
        </w:rPr>
        <w:t xml:space="preserve"> </w:t>
      </w:r>
      <w:r>
        <w:t>of</w:t>
      </w:r>
      <w:r>
        <w:rPr>
          <w:spacing w:val="-1"/>
        </w:rPr>
        <w:t xml:space="preserve"> </w:t>
      </w:r>
      <w:r>
        <w:t>sexual</w:t>
      </w:r>
      <w:r>
        <w:rPr>
          <w:spacing w:val="-2"/>
        </w:rPr>
        <w:t xml:space="preserve"> </w:t>
      </w:r>
      <w:r>
        <w:t>violence has</w:t>
      </w:r>
      <w:r>
        <w:rPr>
          <w:spacing w:val="-1"/>
        </w:rPr>
        <w:t xml:space="preserve"> </w:t>
      </w:r>
      <w:r>
        <w:t>been</w:t>
      </w:r>
      <w:r>
        <w:t xml:space="preserve"> estimated to be over</w:t>
      </w:r>
      <w:r>
        <w:rPr>
          <w:spacing w:val="-1"/>
        </w:rPr>
        <w:t xml:space="preserve"> </w:t>
      </w:r>
      <w:r>
        <w:t>$122,000</w:t>
      </w:r>
      <w:r>
        <w:rPr>
          <w:spacing w:val="-1"/>
        </w:rPr>
        <w:t xml:space="preserve"> </w:t>
      </w:r>
      <w:r>
        <w:t>per</w:t>
      </w:r>
      <w:r>
        <w:rPr>
          <w:spacing w:val="-1"/>
        </w:rPr>
        <w:t xml:space="preserve"> </w:t>
      </w:r>
      <w:r>
        <w:t xml:space="preserve">victim throughout their lifetime. </w:t>
      </w:r>
      <w:hyperlink w:anchor="_bookmark537" w:history="1">
        <w:r>
          <w:rPr>
            <w:vertAlign w:val="superscript"/>
          </w:rPr>
          <w:t>25</w:t>
        </w:r>
      </w:hyperlink>
      <w:r>
        <w:t xml:space="preserve"> At the same time, persons experiencing economic instability are at an increased risk of experiencing sexual violence. Thus, sexual violence and economic instability are deeply intertwined and often correlated.</w:t>
      </w:r>
    </w:p>
    <w:p w:rsidR="00C76E6D" w:rsidRDefault="00C76E6D">
      <w:pPr>
        <w:spacing w:line="276" w:lineRule="auto"/>
        <w:jc w:val="both"/>
        <w:sectPr w:rsidR="00C76E6D">
          <w:pgSz w:w="12240" w:h="15840"/>
          <w:pgMar w:top="960" w:right="960" w:bottom="880" w:left="960" w:header="769" w:footer="694" w:gutter="0"/>
          <w:cols w:space="720"/>
        </w:sectPr>
      </w:pPr>
    </w:p>
    <w:p w:rsidR="00C76E6D" w:rsidRDefault="00C76E6D">
      <w:pPr>
        <w:pStyle w:val="BodyText"/>
        <w:rPr>
          <w:sz w:val="20"/>
        </w:rPr>
      </w:pPr>
    </w:p>
    <w:p w:rsidR="00C76E6D" w:rsidRDefault="00913831">
      <w:pPr>
        <w:pStyle w:val="BodyText"/>
        <w:spacing w:before="206" w:line="276" w:lineRule="auto"/>
        <w:ind w:left="478" w:right="474"/>
        <w:jc w:val="both"/>
      </w:pPr>
      <w:r>
        <w:t>LGBTQ youth face high rates of</w:t>
      </w:r>
      <w:r>
        <w:t xml:space="preserve"> poverty, homeless, and discrimination, which put them at risk for sexual violence. The Boston Area Rape Crisis Center reports that while one in four homeless cisgender girls and one in ten homeless cisgender boys experienced sexual violence at least once </w:t>
      </w:r>
      <w:r>
        <w:t>since living on the street; homeless</w:t>
      </w:r>
      <w:r>
        <w:rPr>
          <w:spacing w:val="-11"/>
        </w:rPr>
        <w:t xml:space="preserve"> </w:t>
      </w:r>
      <w:r>
        <w:t>and</w:t>
      </w:r>
      <w:r>
        <w:rPr>
          <w:spacing w:val="-9"/>
        </w:rPr>
        <w:t xml:space="preserve"> </w:t>
      </w:r>
      <w:r>
        <w:t>marginally</w:t>
      </w:r>
      <w:r>
        <w:rPr>
          <w:spacing w:val="-9"/>
        </w:rPr>
        <w:t xml:space="preserve"> </w:t>
      </w:r>
      <w:r>
        <w:t>housed</w:t>
      </w:r>
      <w:r>
        <w:rPr>
          <w:spacing w:val="-10"/>
        </w:rPr>
        <w:t xml:space="preserve"> </w:t>
      </w:r>
      <w:r>
        <w:t>LGBTQ</w:t>
      </w:r>
      <w:r>
        <w:rPr>
          <w:spacing w:val="-9"/>
        </w:rPr>
        <w:t xml:space="preserve"> </w:t>
      </w:r>
      <w:r>
        <w:t>youth</w:t>
      </w:r>
      <w:r>
        <w:rPr>
          <w:spacing w:val="-9"/>
        </w:rPr>
        <w:t xml:space="preserve"> </w:t>
      </w:r>
      <w:r>
        <w:t>report</w:t>
      </w:r>
      <w:r>
        <w:rPr>
          <w:spacing w:val="-8"/>
        </w:rPr>
        <w:t xml:space="preserve"> </w:t>
      </w:r>
      <w:r>
        <w:t>even</w:t>
      </w:r>
      <w:r>
        <w:rPr>
          <w:spacing w:val="-9"/>
        </w:rPr>
        <w:t xml:space="preserve"> </w:t>
      </w:r>
      <w:r>
        <w:t>higher</w:t>
      </w:r>
      <w:r>
        <w:rPr>
          <w:spacing w:val="-10"/>
        </w:rPr>
        <w:t xml:space="preserve"> </w:t>
      </w:r>
      <w:r>
        <w:t>levels</w:t>
      </w:r>
      <w:r>
        <w:rPr>
          <w:spacing w:val="-9"/>
        </w:rPr>
        <w:t xml:space="preserve"> </w:t>
      </w:r>
      <w:r>
        <w:t>of</w:t>
      </w:r>
      <w:r>
        <w:rPr>
          <w:spacing w:val="-10"/>
        </w:rPr>
        <w:t xml:space="preserve"> </w:t>
      </w:r>
      <w:r>
        <w:t>sexual</w:t>
      </w:r>
      <w:r>
        <w:rPr>
          <w:spacing w:val="-10"/>
        </w:rPr>
        <w:t xml:space="preserve"> </w:t>
      </w:r>
      <w:r>
        <w:t>violence</w:t>
      </w:r>
      <w:hyperlink w:anchor="_bookmark538" w:history="1">
        <w:r>
          <w:t>.</w:t>
        </w:r>
        <w:r>
          <w:rPr>
            <w:vertAlign w:val="superscript"/>
          </w:rPr>
          <w:t>26</w:t>
        </w:r>
        <w:r>
          <w:rPr>
            <w:spacing w:val="-10"/>
          </w:rPr>
          <w:t xml:space="preserve"> </w:t>
        </w:r>
      </w:hyperlink>
      <w:r>
        <w:t>According</w:t>
      </w:r>
      <w:r>
        <w:rPr>
          <w:spacing w:val="-8"/>
        </w:rPr>
        <w:t xml:space="preserve"> </w:t>
      </w:r>
      <w:r>
        <w:t>to the 2019 Massachusetts Youth Count Survey, LGBTQ youth experiencing homelessness sought sexu</w:t>
      </w:r>
      <w:r>
        <w:t>al assault counseling more frequently than non-LGBTQ respondents</w:t>
      </w:r>
      <w:hyperlink w:anchor="_bookmark539" w:history="1">
        <w:r>
          <w:t>.</w:t>
        </w:r>
        <w:r>
          <w:rPr>
            <w:vertAlign w:val="superscript"/>
          </w:rPr>
          <w:t>27</w:t>
        </w:r>
        <w:r>
          <w:t xml:space="preserve"> </w:t>
        </w:r>
      </w:hyperlink>
      <w:r>
        <w:t xml:space="preserve">LGBTQ youth also may experience abuse at homeless shelters. </w:t>
      </w:r>
      <w:hyperlink w:anchor="_bookmark540" w:history="1">
        <w:r>
          <w:rPr>
            <w:vertAlign w:val="superscript"/>
          </w:rPr>
          <w:t>28</w:t>
        </w:r>
      </w:hyperlink>
      <w:r>
        <w:t xml:space="preserve"> A national study of 27,000 transgender Americans found that 1</w:t>
      </w:r>
      <w:r>
        <w:t xml:space="preserve">7% of respondents were sexually assaulted in a shelter over the course of a year because they were </w:t>
      </w:r>
      <w:r>
        <w:rPr>
          <w:spacing w:val="-2"/>
        </w:rPr>
        <w:t>transgender</w:t>
      </w:r>
      <w:hyperlink w:anchor="_bookmark541" w:history="1">
        <w:r>
          <w:rPr>
            <w:spacing w:val="-2"/>
          </w:rPr>
          <w:t>.</w:t>
        </w:r>
        <w:r>
          <w:rPr>
            <w:spacing w:val="-2"/>
            <w:vertAlign w:val="superscript"/>
          </w:rPr>
          <w:t>29</w:t>
        </w:r>
      </w:hyperlink>
    </w:p>
    <w:p w:rsidR="00C76E6D" w:rsidRDefault="00C76E6D">
      <w:pPr>
        <w:pStyle w:val="BodyText"/>
        <w:spacing w:before="9"/>
        <w:rPr>
          <w:sz w:val="19"/>
        </w:rPr>
      </w:pPr>
    </w:p>
    <w:p w:rsidR="00C76E6D" w:rsidRDefault="00913831">
      <w:pPr>
        <w:pStyle w:val="BodyText"/>
        <w:spacing w:line="276" w:lineRule="auto"/>
        <w:ind w:left="478" w:right="475"/>
        <w:jc w:val="both"/>
      </w:pPr>
      <w:r>
        <w:t>Another</w:t>
      </w:r>
      <w:r>
        <w:rPr>
          <w:spacing w:val="-1"/>
        </w:rPr>
        <w:t xml:space="preserve"> </w:t>
      </w:r>
      <w:r>
        <w:t>form</w:t>
      </w:r>
      <w:r>
        <w:rPr>
          <w:spacing w:val="-1"/>
        </w:rPr>
        <w:t xml:space="preserve"> </w:t>
      </w:r>
      <w:r>
        <w:t>of</w:t>
      </w:r>
      <w:r>
        <w:rPr>
          <w:spacing w:val="-2"/>
        </w:rPr>
        <w:t xml:space="preserve"> </w:t>
      </w:r>
      <w:r>
        <w:t>sexual</w:t>
      </w:r>
      <w:r>
        <w:rPr>
          <w:spacing w:val="-1"/>
        </w:rPr>
        <w:t xml:space="preserve"> </w:t>
      </w:r>
      <w:r>
        <w:t>victimization comes</w:t>
      </w:r>
      <w:r>
        <w:rPr>
          <w:spacing w:val="-1"/>
        </w:rPr>
        <w:t xml:space="preserve"> </w:t>
      </w:r>
      <w:r>
        <w:t>in</w:t>
      </w:r>
      <w:r>
        <w:rPr>
          <w:spacing w:val="-1"/>
        </w:rPr>
        <w:t xml:space="preserve"> </w:t>
      </w:r>
      <w:r>
        <w:t>the</w:t>
      </w:r>
      <w:r>
        <w:rPr>
          <w:spacing w:val="-1"/>
        </w:rPr>
        <w:t xml:space="preserve"> </w:t>
      </w:r>
      <w:r>
        <w:t>form</w:t>
      </w:r>
      <w:r>
        <w:rPr>
          <w:spacing w:val="-2"/>
        </w:rPr>
        <w:t xml:space="preserve"> </w:t>
      </w:r>
      <w:r>
        <w:t>of</w:t>
      </w:r>
      <w:r>
        <w:rPr>
          <w:spacing w:val="-2"/>
        </w:rPr>
        <w:t xml:space="preserve"> </w:t>
      </w:r>
      <w:r>
        <w:t>survival</w:t>
      </w:r>
      <w:r>
        <w:rPr>
          <w:spacing w:val="-2"/>
        </w:rPr>
        <w:t xml:space="preserve"> </w:t>
      </w:r>
      <w:r>
        <w:t>sex</w:t>
      </w:r>
      <w:r>
        <w:rPr>
          <w:spacing w:val="-1"/>
        </w:rPr>
        <w:t xml:space="preserve"> </w:t>
      </w:r>
      <w:r>
        <w:t>(trading sex</w:t>
      </w:r>
      <w:r>
        <w:rPr>
          <w:spacing w:val="-2"/>
        </w:rPr>
        <w:t xml:space="preserve"> </w:t>
      </w:r>
      <w:r>
        <w:t>for</w:t>
      </w:r>
      <w:r>
        <w:rPr>
          <w:spacing w:val="-2"/>
        </w:rPr>
        <w:t xml:space="preserve"> </w:t>
      </w:r>
      <w:r>
        <w:t>money,</w:t>
      </w:r>
      <w:r>
        <w:rPr>
          <w:spacing w:val="-2"/>
        </w:rPr>
        <w:t xml:space="preserve"> </w:t>
      </w:r>
      <w:r>
        <w:t>shelter, or food). The 2019 Youth Count survey cites that 25.9% of LGBTQ youth respondents reported engaging in sex for money or other necessities. LGBTQ youth experiencing homelessness are four times more likely than</w:t>
      </w:r>
      <w:r>
        <w:rPr>
          <w:spacing w:val="-13"/>
        </w:rPr>
        <w:t xml:space="preserve"> </w:t>
      </w:r>
      <w:r>
        <w:t>non-LGBTQ</w:t>
      </w:r>
      <w:r>
        <w:rPr>
          <w:spacing w:val="-12"/>
        </w:rPr>
        <w:t xml:space="preserve"> </w:t>
      </w:r>
      <w:r>
        <w:t>youth</w:t>
      </w:r>
      <w:r>
        <w:rPr>
          <w:spacing w:val="-13"/>
        </w:rPr>
        <w:t xml:space="preserve"> </w:t>
      </w:r>
      <w:r>
        <w:t>experiencing</w:t>
      </w:r>
      <w:r>
        <w:rPr>
          <w:spacing w:val="-12"/>
        </w:rPr>
        <w:t xml:space="preserve"> </w:t>
      </w:r>
      <w:r>
        <w:t>homelessn</w:t>
      </w:r>
      <w:r>
        <w:t>ess</w:t>
      </w:r>
      <w:r>
        <w:rPr>
          <w:spacing w:val="-12"/>
        </w:rPr>
        <w:t xml:space="preserve"> </w:t>
      </w:r>
      <w:r>
        <w:t>to</w:t>
      </w:r>
      <w:r>
        <w:rPr>
          <w:spacing w:val="-12"/>
        </w:rPr>
        <w:t xml:space="preserve"> </w:t>
      </w:r>
      <w:r>
        <w:t>engage</w:t>
      </w:r>
      <w:r>
        <w:rPr>
          <w:spacing w:val="-13"/>
        </w:rPr>
        <w:t xml:space="preserve"> </w:t>
      </w:r>
      <w:r>
        <w:t>in</w:t>
      </w:r>
      <w:r>
        <w:rPr>
          <w:spacing w:val="-11"/>
        </w:rPr>
        <w:t xml:space="preserve"> </w:t>
      </w:r>
      <w:r>
        <w:t>survival</w:t>
      </w:r>
      <w:r>
        <w:rPr>
          <w:spacing w:val="-13"/>
        </w:rPr>
        <w:t xml:space="preserve"> </w:t>
      </w:r>
      <w:r>
        <w:t>sex.</w:t>
      </w:r>
      <w:hyperlink w:anchor="_bookmark542" w:history="1">
        <w:r>
          <w:rPr>
            <w:vertAlign w:val="superscript"/>
          </w:rPr>
          <w:t>30</w:t>
        </w:r>
        <w:r>
          <w:rPr>
            <w:spacing w:val="-11"/>
          </w:rPr>
          <w:t xml:space="preserve"> </w:t>
        </w:r>
      </w:hyperlink>
      <w:r>
        <w:t>Survival</w:t>
      </w:r>
      <w:r>
        <w:rPr>
          <w:spacing w:val="-13"/>
        </w:rPr>
        <w:t xml:space="preserve"> </w:t>
      </w:r>
      <w:r>
        <w:t>sex</w:t>
      </w:r>
      <w:r>
        <w:rPr>
          <w:spacing w:val="-10"/>
        </w:rPr>
        <w:t xml:space="preserve"> </w:t>
      </w:r>
      <w:r>
        <w:t>may</w:t>
      </w:r>
      <w:r>
        <w:rPr>
          <w:spacing w:val="-13"/>
        </w:rPr>
        <w:t xml:space="preserve"> </w:t>
      </w:r>
      <w:r>
        <w:t>put</w:t>
      </w:r>
      <w:r>
        <w:rPr>
          <w:spacing w:val="-11"/>
        </w:rPr>
        <w:t xml:space="preserve"> </w:t>
      </w:r>
      <w:r>
        <w:t>LGBTQ youth</w:t>
      </w:r>
      <w:r>
        <w:rPr>
          <w:spacing w:val="-7"/>
        </w:rPr>
        <w:t xml:space="preserve"> </w:t>
      </w:r>
      <w:r>
        <w:t>at</w:t>
      </w:r>
      <w:r>
        <w:rPr>
          <w:spacing w:val="-3"/>
        </w:rPr>
        <w:t xml:space="preserve"> </w:t>
      </w:r>
      <w:r>
        <w:t>risk of</w:t>
      </w:r>
      <w:r>
        <w:rPr>
          <w:spacing w:val="-4"/>
        </w:rPr>
        <w:t xml:space="preserve"> </w:t>
      </w:r>
      <w:r>
        <w:t>sexual</w:t>
      </w:r>
      <w:r>
        <w:rPr>
          <w:spacing w:val="-3"/>
        </w:rPr>
        <w:t xml:space="preserve"> </w:t>
      </w:r>
      <w:r>
        <w:t>victimization,</w:t>
      </w:r>
      <w:r>
        <w:rPr>
          <w:spacing w:val="-3"/>
        </w:rPr>
        <w:t xml:space="preserve"> </w:t>
      </w:r>
      <w:r>
        <w:t>physical</w:t>
      </w:r>
      <w:r>
        <w:rPr>
          <w:spacing w:val="-4"/>
        </w:rPr>
        <w:t xml:space="preserve"> </w:t>
      </w:r>
      <w:r>
        <w:t>and</w:t>
      </w:r>
      <w:r>
        <w:rPr>
          <w:spacing w:val="-3"/>
        </w:rPr>
        <w:t xml:space="preserve"> </w:t>
      </w:r>
      <w:r>
        <w:t>mental</w:t>
      </w:r>
      <w:r>
        <w:rPr>
          <w:spacing w:val="-3"/>
        </w:rPr>
        <w:t xml:space="preserve"> </w:t>
      </w:r>
      <w:r>
        <w:t>health</w:t>
      </w:r>
      <w:r>
        <w:rPr>
          <w:spacing w:val="-2"/>
        </w:rPr>
        <w:t xml:space="preserve"> </w:t>
      </w:r>
      <w:r>
        <w:t>problems,</w:t>
      </w:r>
      <w:r>
        <w:rPr>
          <w:spacing w:val="-3"/>
        </w:rPr>
        <w:t xml:space="preserve"> </w:t>
      </w:r>
      <w:r>
        <w:t>and</w:t>
      </w:r>
      <w:r>
        <w:rPr>
          <w:spacing w:val="-2"/>
        </w:rPr>
        <w:t xml:space="preserve"> </w:t>
      </w:r>
      <w:r>
        <w:t>unsafe</w:t>
      </w:r>
      <w:r>
        <w:rPr>
          <w:spacing w:val="-4"/>
        </w:rPr>
        <w:t xml:space="preserve"> </w:t>
      </w:r>
      <w:r>
        <w:t>sex</w:t>
      </w:r>
      <w:r>
        <w:rPr>
          <w:spacing w:val="-2"/>
        </w:rPr>
        <w:t xml:space="preserve"> </w:t>
      </w:r>
      <w:r>
        <w:t>practices</w:t>
      </w:r>
      <w:hyperlink w:anchor="_bookmark543" w:history="1">
        <w:r>
          <w:t>.</w:t>
        </w:r>
        <w:r>
          <w:rPr>
            <w:vertAlign w:val="superscript"/>
          </w:rPr>
          <w:t>31</w:t>
        </w:r>
        <w:r>
          <w:rPr>
            <w:spacing w:val="-8"/>
          </w:rPr>
          <w:t xml:space="preserve"> </w:t>
        </w:r>
      </w:hyperlink>
      <w:r>
        <w:t>For example,</w:t>
      </w:r>
      <w:r>
        <w:rPr>
          <w:spacing w:val="-1"/>
        </w:rPr>
        <w:t xml:space="preserve"> </w:t>
      </w:r>
      <w:r>
        <w:t>in</w:t>
      </w:r>
      <w:r>
        <w:rPr>
          <w:spacing w:val="-3"/>
        </w:rPr>
        <w:t xml:space="preserve"> </w:t>
      </w:r>
      <w:r>
        <w:t>a</w:t>
      </w:r>
      <w:r>
        <w:rPr>
          <w:spacing w:val="-1"/>
        </w:rPr>
        <w:t xml:space="preserve"> </w:t>
      </w:r>
      <w:r>
        <w:t>national</w:t>
      </w:r>
      <w:r>
        <w:rPr>
          <w:spacing w:val="-3"/>
        </w:rPr>
        <w:t xml:space="preserve"> </w:t>
      </w:r>
      <w:r>
        <w:t>study</w:t>
      </w:r>
      <w:r>
        <w:rPr>
          <w:spacing w:val="-4"/>
        </w:rPr>
        <w:t xml:space="preserve"> </w:t>
      </w:r>
      <w:r>
        <w:t>of</w:t>
      </w:r>
      <w:r>
        <w:rPr>
          <w:spacing w:val="-4"/>
        </w:rPr>
        <w:t xml:space="preserve"> </w:t>
      </w:r>
      <w:r>
        <w:t>transgender</w:t>
      </w:r>
      <w:r>
        <w:rPr>
          <w:spacing w:val="-3"/>
        </w:rPr>
        <w:t xml:space="preserve"> </w:t>
      </w:r>
      <w:r>
        <w:t>Americans,</w:t>
      </w:r>
      <w:r>
        <w:rPr>
          <w:spacing w:val="-3"/>
        </w:rPr>
        <w:t xml:space="preserve"> </w:t>
      </w:r>
      <w:r>
        <w:t>transgender</w:t>
      </w:r>
      <w:r>
        <w:rPr>
          <w:spacing w:val="-4"/>
        </w:rPr>
        <w:t xml:space="preserve"> </w:t>
      </w:r>
      <w:r>
        <w:t>persons</w:t>
      </w:r>
      <w:r>
        <w:rPr>
          <w:spacing w:val="-4"/>
        </w:rPr>
        <w:t xml:space="preserve"> </w:t>
      </w:r>
      <w:r>
        <w:t>who</w:t>
      </w:r>
      <w:r>
        <w:rPr>
          <w:spacing w:val="-4"/>
        </w:rPr>
        <w:t xml:space="preserve"> </w:t>
      </w:r>
      <w:r>
        <w:t>engaged</w:t>
      </w:r>
      <w:r>
        <w:rPr>
          <w:spacing w:val="-3"/>
        </w:rPr>
        <w:t xml:space="preserve"> </w:t>
      </w:r>
      <w:r>
        <w:t>in</w:t>
      </w:r>
      <w:r>
        <w:rPr>
          <w:spacing w:val="-1"/>
        </w:rPr>
        <w:t xml:space="preserve"> </w:t>
      </w:r>
      <w:r>
        <w:t>survival</w:t>
      </w:r>
      <w:r>
        <w:rPr>
          <w:spacing w:val="-4"/>
        </w:rPr>
        <w:t xml:space="preserve"> </w:t>
      </w:r>
      <w:r>
        <w:t>sex had five times a higher risk of contracting HIV than the general population.</w:t>
      </w:r>
      <w:hyperlink w:anchor="_bookmark544" w:history="1">
        <w:r>
          <w:rPr>
            <w:vertAlign w:val="superscript"/>
          </w:rPr>
          <w:t>32</w:t>
        </w:r>
      </w:hyperlink>
    </w:p>
    <w:p w:rsidR="00C76E6D" w:rsidRDefault="00C76E6D">
      <w:pPr>
        <w:pStyle w:val="BodyText"/>
        <w:spacing w:before="6"/>
        <w:rPr>
          <w:sz w:val="19"/>
        </w:rPr>
      </w:pPr>
    </w:p>
    <w:p w:rsidR="00C76E6D" w:rsidRDefault="00913831">
      <w:pPr>
        <w:pStyle w:val="BodyText"/>
        <w:spacing w:before="1" w:line="276" w:lineRule="auto"/>
        <w:ind w:left="479" w:right="475" w:hanging="2"/>
        <w:jc w:val="both"/>
      </w:pPr>
      <w:r>
        <w:t xml:space="preserve">In sum, the prevalence of LGBTQ youth experiencing homelessness </w:t>
      </w:r>
      <w:r>
        <w:t>and sexual violence is astonishing.</w:t>
      </w:r>
      <w:hyperlink w:anchor="_bookmark545" w:history="1">
        <w:r>
          <w:rPr>
            <w:vertAlign w:val="superscript"/>
          </w:rPr>
          <w:t>33</w:t>
        </w:r>
      </w:hyperlink>
      <w:r>
        <w:t xml:space="preserve"> The COVID-19 pandemic, the elimination of rent moratoriums and COVID relief, and inflation have likely exasperated the negative impact of both economic instability and sexual violence on</w:t>
      </w:r>
      <w:r>
        <w:t xml:space="preserve"> LGBTQ youth, particularly for youth of color and immigrant youth.</w:t>
      </w:r>
    </w:p>
    <w:p w:rsidR="00C76E6D" w:rsidRDefault="00C76E6D">
      <w:pPr>
        <w:pStyle w:val="BodyText"/>
      </w:pPr>
    </w:p>
    <w:p w:rsidR="00C76E6D" w:rsidRDefault="00C76E6D">
      <w:pPr>
        <w:pStyle w:val="BodyText"/>
        <w:spacing w:before="5"/>
        <w:rPr>
          <w:sz w:val="16"/>
        </w:rPr>
      </w:pPr>
    </w:p>
    <w:p w:rsidR="00C76E6D" w:rsidRDefault="00913831">
      <w:pPr>
        <w:pStyle w:val="Heading6"/>
        <w:numPr>
          <w:ilvl w:val="2"/>
          <w:numId w:val="30"/>
        </w:numPr>
        <w:tabs>
          <w:tab w:val="left" w:pos="1199"/>
        </w:tabs>
        <w:ind w:left="1198" w:hanging="361"/>
      </w:pPr>
      <w:bookmarkStart w:id="683" w:name="d._Survivor_Services"/>
      <w:bookmarkEnd w:id="683"/>
      <w:r>
        <w:rPr>
          <w:w w:val="95"/>
        </w:rPr>
        <w:t>Survivor</w:t>
      </w:r>
      <w:r>
        <w:rPr>
          <w:spacing w:val="14"/>
        </w:rPr>
        <w:t xml:space="preserve"> </w:t>
      </w:r>
      <w:r>
        <w:rPr>
          <w:spacing w:val="-2"/>
        </w:rPr>
        <w:t>Services</w:t>
      </w:r>
    </w:p>
    <w:p w:rsidR="00C76E6D" w:rsidRDefault="00C76E6D">
      <w:pPr>
        <w:pStyle w:val="BodyText"/>
        <w:spacing w:before="8"/>
        <w:rPr>
          <w:b/>
          <w:sz w:val="28"/>
        </w:rPr>
      </w:pPr>
    </w:p>
    <w:p w:rsidR="00C76E6D" w:rsidRDefault="00913831">
      <w:pPr>
        <w:pStyle w:val="BodyText"/>
        <w:spacing w:line="276" w:lineRule="auto"/>
        <w:ind w:left="478" w:right="474"/>
        <w:jc w:val="both"/>
      </w:pPr>
      <w:r>
        <w:t>In the Commonwealth of Massachusetts, there are three organizations that specifically aim to address sexual</w:t>
      </w:r>
      <w:r>
        <w:rPr>
          <w:spacing w:val="-12"/>
        </w:rPr>
        <w:t xml:space="preserve"> </w:t>
      </w:r>
      <w:r>
        <w:t>violence</w:t>
      </w:r>
      <w:r>
        <w:rPr>
          <w:spacing w:val="-11"/>
        </w:rPr>
        <w:t xml:space="preserve"> </w:t>
      </w:r>
      <w:r>
        <w:t>in</w:t>
      </w:r>
      <w:r>
        <w:rPr>
          <w:spacing w:val="-10"/>
        </w:rPr>
        <w:t xml:space="preserve"> </w:t>
      </w:r>
      <w:r>
        <w:t>the</w:t>
      </w:r>
      <w:r>
        <w:rPr>
          <w:spacing w:val="-11"/>
        </w:rPr>
        <w:t xml:space="preserve"> </w:t>
      </w:r>
      <w:r>
        <w:t>LGBTQ</w:t>
      </w:r>
      <w:r>
        <w:rPr>
          <w:spacing w:val="-12"/>
        </w:rPr>
        <w:t xml:space="preserve"> </w:t>
      </w:r>
      <w:r>
        <w:t>community–</w:t>
      </w:r>
      <w:r>
        <w:rPr>
          <w:spacing w:val="-12"/>
        </w:rPr>
        <w:t xml:space="preserve"> </w:t>
      </w:r>
      <w:r>
        <w:t>the</w:t>
      </w:r>
      <w:r>
        <w:rPr>
          <w:spacing w:val="-9"/>
        </w:rPr>
        <w:t xml:space="preserve"> </w:t>
      </w:r>
      <w:r>
        <w:t>Network/La</w:t>
      </w:r>
      <w:r>
        <w:rPr>
          <w:spacing w:val="-11"/>
        </w:rPr>
        <w:t xml:space="preserve"> </w:t>
      </w:r>
      <w:r>
        <w:t>Red,</w:t>
      </w:r>
      <w:r>
        <w:rPr>
          <w:spacing w:val="-10"/>
        </w:rPr>
        <w:t xml:space="preserve"> </w:t>
      </w:r>
      <w:r>
        <w:t>the</w:t>
      </w:r>
      <w:r>
        <w:rPr>
          <w:spacing w:val="-11"/>
        </w:rPr>
        <w:t xml:space="preserve"> </w:t>
      </w:r>
      <w:r>
        <w:t>Violence</w:t>
      </w:r>
      <w:r>
        <w:rPr>
          <w:spacing w:val="-11"/>
        </w:rPr>
        <w:t xml:space="preserve"> </w:t>
      </w:r>
      <w:r>
        <w:t>Recovery</w:t>
      </w:r>
      <w:r>
        <w:rPr>
          <w:spacing w:val="-11"/>
        </w:rPr>
        <w:t xml:space="preserve"> </w:t>
      </w:r>
      <w:r>
        <w:t>Program</w:t>
      </w:r>
      <w:r>
        <w:rPr>
          <w:spacing w:val="-12"/>
        </w:rPr>
        <w:t xml:space="preserve"> </w:t>
      </w:r>
      <w:r>
        <w:t>at</w:t>
      </w:r>
      <w:r>
        <w:rPr>
          <w:spacing w:val="-12"/>
        </w:rPr>
        <w:t xml:space="preserve"> </w:t>
      </w:r>
      <w:r>
        <w:t>Fenway Community</w:t>
      </w:r>
      <w:r>
        <w:rPr>
          <w:spacing w:val="-4"/>
        </w:rPr>
        <w:t xml:space="preserve"> </w:t>
      </w:r>
      <w:r>
        <w:t>Health,</w:t>
      </w:r>
      <w:r>
        <w:rPr>
          <w:spacing w:val="-5"/>
        </w:rPr>
        <w:t xml:space="preserve"> </w:t>
      </w:r>
      <w:r>
        <w:t>and</w:t>
      </w:r>
      <w:r>
        <w:rPr>
          <w:spacing w:val="-5"/>
        </w:rPr>
        <w:t xml:space="preserve"> </w:t>
      </w:r>
      <w:r>
        <w:t>The</w:t>
      </w:r>
      <w:r>
        <w:rPr>
          <w:spacing w:val="-5"/>
        </w:rPr>
        <w:t xml:space="preserve"> </w:t>
      </w:r>
      <w:r>
        <w:t>BUILD</w:t>
      </w:r>
      <w:r>
        <w:rPr>
          <w:spacing w:val="-5"/>
        </w:rPr>
        <w:t xml:space="preserve"> </w:t>
      </w:r>
      <w:r>
        <w:t>Program,</w:t>
      </w:r>
      <w:r>
        <w:rPr>
          <w:spacing w:val="-5"/>
        </w:rPr>
        <w:t xml:space="preserve"> </w:t>
      </w:r>
      <w:r>
        <w:t>a</w:t>
      </w:r>
      <w:r>
        <w:rPr>
          <w:spacing w:val="-5"/>
        </w:rPr>
        <w:t xml:space="preserve"> </w:t>
      </w:r>
      <w:r>
        <w:t>program</w:t>
      </w:r>
      <w:r>
        <w:rPr>
          <w:spacing w:val="-7"/>
        </w:rPr>
        <w:t xml:space="preserve"> </w:t>
      </w:r>
      <w:r>
        <w:t>of</w:t>
      </w:r>
      <w:r>
        <w:rPr>
          <w:spacing w:val="-5"/>
        </w:rPr>
        <w:t xml:space="preserve"> </w:t>
      </w:r>
      <w:r>
        <w:t>Roxbury</w:t>
      </w:r>
      <w:r>
        <w:rPr>
          <w:spacing w:val="-4"/>
        </w:rPr>
        <w:t xml:space="preserve"> </w:t>
      </w:r>
      <w:r>
        <w:t>Youthworks,</w:t>
      </w:r>
      <w:r>
        <w:rPr>
          <w:spacing w:val="-4"/>
        </w:rPr>
        <w:t xml:space="preserve"> </w:t>
      </w:r>
      <w:r>
        <w:t>Inc.</w:t>
      </w:r>
      <w:r>
        <w:rPr>
          <w:spacing w:val="-4"/>
        </w:rPr>
        <w:t xml:space="preserve"> </w:t>
      </w:r>
      <w:r>
        <w:t>The</w:t>
      </w:r>
      <w:r>
        <w:rPr>
          <w:spacing w:val="-4"/>
        </w:rPr>
        <w:t xml:space="preserve"> </w:t>
      </w:r>
      <w:r>
        <w:t>Network/La</w:t>
      </w:r>
      <w:r>
        <w:rPr>
          <w:spacing w:val="-5"/>
        </w:rPr>
        <w:t xml:space="preserve"> </w:t>
      </w:r>
      <w:r>
        <w:t>Red offers a 24/7 support hotline, housing pathways program, support groups, individual support, and other resources</w:t>
      </w:r>
      <w:r>
        <w:rPr>
          <w:spacing w:val="-13"/>
        </w:rPr>
        <w:t xml:space="preserve"> </w:t>
      </w:r>
      <w:r>
        <w:t>for</w:t>
      </w:r>
      <w:r>
        <w:rPr>
          <w:spacing w:val="-12"/>
        </w:rPr>
        <w:t xml:space="preserve"> </w:t>
      </w:r>
      <w:r>
        <w:t>LGBTQ</w:t>
      </w:r>
      <w:r>
        <w:rPr>
          <w:spacing w:val="-12"/>
        </w:rPr>
        <w:t xml:space="preserve"> </w:t>
      </w:r>
      <w:r>
        <w:t>survivors</w:t>
      </w:r>
      <w:r>
        <w:rPr>
          <w:spacing w:val="-12"/>
        </w:rPr>
        <w:t xml:space="preserve"> </w:t>
      </w:r>
      <w:r>
        <w:t>of</w:t>
      </w:r>
      <w:r>
        <w:rPr>
          <w:spacing w:val="-13"/>
        </w:rPr>
        <w:t xml:space="preserve"> </w:t>
      </w:r>
      <w:r>
        <w:t>intimate</w:t>
      </w:r>
      <w:r>
        <w:rPr>
          <w:spacing w:val="-12"/>
        </w:rPr>
        <w:t xml:space="preserve"> </w:t>
      </w:r>
      <w:r>
        <w:t>partner</w:t>
      </w:r>
      <w:r>
        <w:rPr>
          <w:spacing w:val="-12"/>
        </w:rPr>
        <w:t xml:space="preserve"> </w:t>
      </w:r>
      <w:r>
        <w:t>violence</w:t>
      </w:r>
      <w:hyperlink w:anchor="_bookmark546" w:history="1">
        <w:r>
          <w:t>.</w:t>
        </w:r>
        <w:r>
          <w:rPr>
            <w:vertAlign w:val="superscript"/>
          </w:rPr>
          <w:t>34</w:t>
        </w:r>
        <w:r>
          <w:rPr>
            <w:spacing w:val="-13"/>
          </w:rPr>
          <w:t xml:space="preserve"> </w:t>
        </w:r>
      </w:hyperlink>
      <w:r>
        <w:t>Fenway</w:t>
      </w:r>
      <w:r>
        <w:rPr>
          <w:spacing w:val="-11"/>
        </w:rPr>
        <w:t xml:space="preserve"> </w:t>
      </w:r>
      <w:r>
        <w:t>Health’s</w:t>
      </w:r>
      <w:r>
        <w:rPr>
          <w:spacing w:val="-13"/>
        </w:rPr>
        <w:t xml:space="preserve"> </w:t>
      </w:r>
      <w:r>
        <w:t>Violence</w:t>
      </w:r>
      <w:r>
        <w:rPr>
          <w:spacing w:val="-11"/>
        </w:rPr>
        <w:t xml:space="preserve"> </w:t>
      </w:r>
      <w:r>
        <w:t>Recovery</w:t>
      </w:r>
      <w:r>
        <w:rPr>
          <w:spacing w:val="-12"/>
        </w:rPr>
        <w:t xml:space="preserve"> </w:t>
      </w:r>
      <w:r>
        <w:t>Program similarly provides counseling, support groups, advocacy, and referral services to survivors of sexual, domestic, and anti-LGBTQ hate violen</w:t>
      </w:r>
      <w:r>
        <w:t>ce</w:t>
      </w:r>
      <w:hyperlink w:anchor="_bookmark547" w:history="1">
        <w:r>
          <w:t>.</w:t>
        </w:r>
        <w:r>
          <w:rPr>
            <w:vertAlign w:val="superscript"/>
          </w:rPr>
          <w:t>35</w:t>
        </w:r>
      </w:hyperlink>
      <w:r>
        <w:t xml:space="preserve"> The BUILD (Being United In Leading our Destiny) Program, works</w:t>
      </w:r>
      <w:r>
        <w:rPr>
          <w:spacing w:val="-2"/>
        </w:rPr>
        <w:t xml:space="preserve"> </w:t>
      </w:r>
      <w:r>
        <w:t>exclusively</w:t>
      </w:r>
      <w:r>
        <w:rPr>
          <w:spacing w:val="-2"/>
        </w:rPr>
        <w:t xml:space="preserve"> </w:t>
      </w:r>
      <w:r>
        <w:t>with cisgender boys,</w:t>
      </w:r>
      <w:r>
        <w:rPr>
          <w:spacing w:val="-1"/>
        </w:rPr>
        <w:t xml:space="preserve"> </w:t>
      </w:r>
      <w:r>
        <w:t>transgender,</w:t>
      </w:r>
      <w:r>
        <w:rPr>
          <w:spacing w:val="-1"/>
        </w:rPr>
        <w:t xml:space="preserve"> </w:t>
      </w:r>
      <w:r>
        <w:t>and</w:t>
      </w:r>
      <w:r>
        <w:rPr>
          <w:spacing w:val="-2"/>
        </w:rPr>
        <w:t xml:space="preserve"> </w:t>
      </w:r>
      <w:r>
        <w:t>gender nonconforming/gender expansive</w:t>
      </w:r>
      <w:r>
        <w:rPr>
          <w:spacing w:val="-3"/>
        </w:rPr>
        <w:t xml:space="preserve"> </w:t>
      </w:r>
      <w:r>
        <w:t>youth who are at high risk and or victims of CSEC. BUILD offers hou</w:t>
      </w:r>
      <w:r>
        <w:t>sing navigation and financial resources, gender</w:t>
      </w:r>
      <w:r>
        <w:rPr>
          <w:spacing w:val="-13"/>
        </w:rPr>
        <w:t xml:space="preserve"> </w:t>
      </w:r>
      <w:r>
        <w:t>affirming</w:t>
      </w:r>
      <w:r>
        <w:rPr>
          <w:spacing w:val="-14"/>
        </w:rPr>
        <w:t xml:space="preserve"> </w:t>
      </w:r>
      <w:r>
        <w:t>items,</w:t>
      </w:r>
      <w:r>
        <w:rPr>
          <w:spacing w:val="-13"/>
        </w:rPr>
        <w:t xml:space="preserve"> </w:t>
      </w:r>
      <w:r>
        <w:t>case</w:t>
      </w:r>
      <w:r>
        <w:rPr>
          <w:spacing w:val="-13"/>
        </w:rPr>
        <w:t xml:space="preserve"> </w:t>
      </w:r>
      <w:r>
        <w:t>management,</w:t>
      </w:r>
      <w:r>
        <w:rPr>
          <w:spacing w:val="-14"/>
        </w:rPr>
        <w:t xml:space="preserve"> </w:t>
      </w:r>
      <w:r>
        <w:t>advocacy,</w:t>
      </w:r>
      <w:r>
        <w:rPr>
          <w:spacing w:val="-11"/>
        </w:rPr>
        <w:t xml:space="preserve"> </w:t>
      </w:r>
      <w:r>
        <w:t>and</w:t>
      </w:r>
      <w:r>
        <w:rPr>
          <w:spacing w:val="-14"/>
        </w:rPr>
        <w:t xml:space="preserve"> </w:t>
      </w:r>
      <w:r>
        <w:t>life</w:t>
      </w:r>
      <w:r>
        <w:rPr>
          <w:spacing w:val="-12"/>
        </w:rPr>
        <w:t xml:space="preserve"> </w:t>
      </w:r>
      <w:r>
        <w:t>coaching</w:t>
      </w:r>
      <w:r>
        <w:rPr>
          <w:spacing w:val="-13"/>
        </w:rPr>
        <w:t xml:space="preserve"> </w:t>
      </w:r>
      <w:r>
        <w:t>services</w:t>
      </w:r>
      <w:r>
        <w:rPr>
          <w:spacing w:val="-14"/>
        </w:rPr>
        <w:t xml:space="preserve"> </w:t>
      </w:r>
      <w:r>
        <w:t>to</w:t>
      </w:r>
      <w:r>
        <w:rPr>
          <w:spacing w:val="-13"/>
        </w:rPr>
        <w:t xml:space="preserve"> </w:t>
      </w:r>
      <w:r>
        <w:t>youth</w:t>
      </w:r>
      <w:r>
        <w:rPr>
          <w:spacing w:val="-14"/>
        </w:rPr>
        <w:t xml:space="preserve"> </w:t>
      </w:r>
      <w:r>
        <w:t>12-24</w:t>
      </w:r>
      <w:r>
        <w:rPr>
          <w:spacing w:val="-12"/>
        </w:rPr>
        <w:t xml:space="preserve"> </w:t>
      </w:r>
      <w:r>
        <w:t>years</w:t>
      </w:r>
      <w:r>
        <w:rPr>
          <w:spacing w:val="-14"/>
        </w:rPr>
        <w:t xml:space="preserve"> </w:t>
      </w:r>
      <w:r>
        <w:t>old</w:t>
      </w:r>
      <w:hyperlink w:anchor="_bookmark548" w:history="1">
        <w:r>
          <w:t>.</w:t>
        </w:r>
        <w:r>
          <w:rPr>
            <w:vertAlign w:val="superscript"/>
          </w:rPr>
          <w:t>36</w:t>
        </w:r>
      </w:hyperlink>
    </w:p>
    <w:p w:rsidR="00C76E6D" w:rsidRDefault="00C76E6D">
      <w:pPr>
        <w:pStyle w:val="BodyText"/>
        <w:spacing w:before="7"/>
        <w:rPr>
          <w:sz w:val="19"/>
        </w:rPr>
      </w:pPr>
    </w:p>
    <w:p w:rsidR="00C76E6D" w:rsidRDefault="00913831">
      <w:pPr>
        <w:pStyle w:val="BodyText"/>
        <w:spacing w:line="276" w:lineRule="auto"/>
        <w:ind w:left="478" w:right="475" w:hanging="1"/>
        <w:jc w:val="both"/>
      </w:pPr>
      <w:r>
        <w:t>Other Massachusetts-based organizations offer programs and support for LGBTQ youth survivors. For example,</w:t>
      </w:r>
      <w:r>
        <w:rPr>
          <w:spacing w:val="-5"/>
        </w:rPr>
        <w:t xml:space="preserve"> </w:t>
      </w:r>
      <w:r>
        <w:t>the</w:t>
      </w:r>
      <w:r>
        <w:rPr>
          <w:spacing w:val="-5"/>
        </w:rPr>
        <w:t xml:space="preserve"> </w:t>
      </w:r>
      <w:r>
        <w:t>GLBTQ</w:t>
      </w:r>
      <w:r>
        <w:rPr>
          <w:spacing w:val="-6"/>
        </w:rPr>
        <w:t xml:space="preserve"> </w:t>
      </w:r>
      <w:r>
        <w:t>Legal</w:t>
      </w:r>
      <w:r>
        <w:rPr>
          <w:spacing w:val="-5"/>
        </w:rPr>
        <w:t xml:space="preserve"> </w:t>
      </w:r>
      <w:r>
        <w:t>Advocates</w:t>
      </w:r>
      <w:r>
        <w:rPr>
          <w:spacing w:val="-6"/>
        </w:rPr>
        <w:t xml:space="preserve"> </w:t>
      </w:r>
      <w:r>
        <w:t>and</w:t>
      </w:r>
      <w:r>
        <w:rPr>
          <w:spacing w:val="-8"/>
        </w:rPr>
        <w:t xml:space="preserve"> </w:t>
      </w:r>
      <w:r>
        <w:t>Defenders</w:t>
      </w:r>
      <w:r>
        <w:rPr>
          <w:spacing w:val="-6"/>
        </w:rPr>
        <w:t xml:space="preserve"> </w:t>
      </w:r>
      <w:r>
        <w:t>(GLAD)</w:t>
      </w:r>
      <w:r>
        <w:rPr>
          <w:spacing w:val="-6"/>
        </w:rPr>
        <w:t xml:space="preserve"> </w:t>
      </w:r>
      <w:r>
        <w:t>provides</w:t>
      </w:r>
      <w:r>
        <w:rPr>
          <w:spacing w:val="-6"/>
        </w:rPr>
        <w:t xml:space="preserve"> </w:t>
      </w:r>
      <w:r>
        <w:t>legal</w:t>
      </w:r>
      <w:r>
        <w:rPr>
          <w:spacing w:val="-7"/>
        </w:rPr>
        <w:t xml:space="preserve"> </w:t>
      </w:r>
      <w:r>
        <w:t>support</w:t>
      </w:r>
      <w:r>
        <w:rPr>
          <w:spacing w:val="-7"/>
        </w:rPr>
        <w:t xml:space="preserve"> </w:t>
      </w:r>
      <w:r>
        <w:t>for</w:t>
      </w:r>
      <w:r>
        <w:rPr>
          <w:spacing w:val="-6"/>
        </w:rPr>
        <w:t xml:space="preserve"> </w:t>
      </w:r>
      <w:r>
        <w:t>LGBTQ</w:t>
      </w:r>
      <w:r>
        <w:rPr>
          <w:spacing w:val="-5"/>
        </w:rPr>
        <w:t xml:space="preserve"> </w:t>
      </w:r>
      <w:r>
        <w:t>survivors.</w:t>
      </w:r>
      <w:hyperlink w:anchor="_bookmark549" w:history="1">
        <w:r>
          <w:rPr>
            <w:vertAlign w:val="superscript"/>
          </w:rPr>
          <w:t>37</w:t>
        </w:r>
      </w:hyperlink>
      <w:r>
        <w:t xml:space="preserve"> The Boston Alliance of L</w:t>
      </w:r>
      <w:r>
        <w:t>esbian, Gay, Bisexual, Transgender, Queer Youth (BAGLY) hosts four distinct mental health</w:t>
      </w:r>
      <w:r>
        <w:rPr>
          <w:spacing w:val="-2"/>
        </w:rPr>
        <w:t xml:space="preserve"> </w:t>
      </w:r>
      <w:r>
        <w:t>and</w:t>
      </w:r>
      <w:r>
        <w:rPr>
          <w:spacing w:val="-1"/>
        </w:rPr>
        <w:t xml:space="preserve"> </w:t>
      </w:r>
      <w:r>
        <w:t>behavioral</w:t>
      </w:r>
      <w:r>
        <w:rPr>
          <w:spacing w:val="-2"/>
        </w:rPr>
        <w:t xml:space="preserve"> </w:t>
      </w:r>
      <w:r>
        <w:t>health therapies, which</w:t>
      </w:r>
      <w:r>
        <w:rPr>
          <w:spacing w:val="-2"/>
        </w:rPr>
        <w:t xml:space="preserve"> </w:t>
      </w:r>
      <w:r>
        <w:t>are</w:t>
      </w:r>
      <w:r>
        <w:rPr>
          <w:spacing w:val="-1"/>
        </w:rPr>
        <w:t xml:space="preserve"> </w:t>
      </w:r>
      <w:r>
        <w:t>available</w:t>
      </w:r>
      <w:r>
        <w:rPr>
          <w:spacing w:val="-1"/>
        </w:rPr>
        <w:t xml:space="preserve"> </w:t>
      </w:r>
      <w:r>
        <w:t>to any LGBTQ</w:t>
      </w:r>
      <w:r>
        <w:rPr>
          <w:spacing w:val="-1"/>
        </w:rPr>
        <w:t xml:space="preserve"> </w:t>
      </w:r>
      <w:r>
        <w:t>youth under the</w:t>
      </w:r>
      <w:r>
        <w:rPr>
          <w:spacing w:val="-1"/>
        </w:rPr>
        <w:t xml:space="preserve"> </w:t>
      </w:r>
      <w:r>
        <w:t>age</w:t>
      </w:r>
      <w:r>
        <w:rPr>
          <w:spacing w:val="-1"/>
        </w:rPr>
        <w:t xml:space="preserve"> </w:t>
      </w:r>
      <w:r>
        <w:t>of twenty-five. These therapies are free and do not require proof of insurance</w:t>
      </w:r>
      <w:hyperlink w:anchor="_bookmark550" w:history="1">
        <w:r>
          <w:t>.</w:t>
        </w:r>
        <w:r>
          <w:rPr>
            <w:vertAlign w:val="superscript"/>
          </w:rPr>
          <w:t>38</w:t>
        </w:r>
      </w:hyperlink>
    </w:p>
    <w:p w:rsidR="00C76E6D" w:rsidRDefault="00C76E6D">
      <w:pPr>
        <w:spacing w:line="276" w:lineRule="auto"/>
        <w:jc w:val="both"/>
        <w:sectPr w:rsidR="00C76E6D">
          <w:pgSz w:w="12240" w:h="15840"/>
          <w:pgMar w:top="960" w:right="960" w:bottom="880" w:left="960" w:header="769" w:footer="694" w:gutter="0"/>
          <w:cols w:space="720"/>
        </w:sectPr>
      </w:pPr>
    </w:p>
    <w:p w:rsidR="00C76E6D" w:rsidRDefault="00C76E6D">
      <w:pPr>
        <w:pStyle w:val="BodyText"/>
        <w:rPr>
          <w:sz w:val="20"/>
        </w:rPr>
      </w:pPr>
    </w:p>
    <w:p w:rsidR="00C76E6D" w:rsidRDefault="00913831">
      <w:pPr>
        <w:pStyle w:val="BodyText"/>
        <w:spacing w:before="206" w:line="276" w:lineRule="auto"/>
        <w:ind w:left="479" w:right="473"/>
        <w:jc w:val="both"/>
      </w:pPr>
      <w:r>
        <w:t>While</w:t>
      </w:r>
      <w:r>
        <w:rPr>
          <w:spacing w:val="-9"/>
        </w:rPr>
        <w:t xml:space="preserve"> </w:t>
      </w:r>
      <w:r>
        <w:t>there</w:t>
      </w:r>
      <w:r>
        <w:rPr>
          <w:spacing w:val="-9"/>
        </w:rPr>
        <w:t xml:space="preserve"> </w:t>
      </w:r>
      <w:r>
        <w:t>are</w:t>
      </w:r>
      <w:r>
        <w:rPr>
          <w:spacing w:val="-10"/>
        </w:rPr>
        <w:t xml:space="preserve"> </w:t>
      </w:r>
      <w:r>
        <w:t>general</w:t>
      </w:r>
      <w:r>
        <w:rPr>
          <w:spacing w:val="-10"/>
        </w:rPr>
        <w:t xml:space="preserve"> </w:t>
      </w:r>
      <w:r>
        <w:t>and</w:t>
      </w:r>
      <w:r>
        <w:rPr>
          <w:spacing w:val="-10"/>
        </w:rPr>
        <w:t xml:space="preserve"> </w:t>
      </w:r>
      <w:r>
        <w:t>survivor-specific</w:t>
      </w:r>
      <w:r>
        <w:rPr>
          <w:spacing w:val="-9"/>
        </w:rPr>
        <w:t xml:space="preserve"> </w:t>
      </w:r>
      <w:r>
        <w:t>services</w:t>
      </w:r>
      <w:r>
        <w:rPr>
          <w:spacing w:val="-8"/>
        </w:rPr>
        <w:t xml:space="preserve"> </w:t>
      </w:r>
      <w:r>
        <w:t>available</w:t>
      </w:r>
      <w:r>
        <w:rPr>
          <w:spacing w:val="-10"/>
        </w:rPr>
        <w:t xml:space="preserve"> </w:t>
      </w:r>
      <w:r>
        <w:t>in</w:t>
      </w:r>
      <w:r>
        <w:rPr>
          <w:spacing w:val="-8"/>
        </w:rPr>
        <w:t xml:space="preserve"> </w:t>
      </w:r>
      <w:r>
        <w:t>Massachusetts,</w:t>
      </w:r>
      <w:r>
        <w:rPr>
          <w:spacing w:val="-9"/>
        </w:rPr>
        <w:t xml:space="preserve"> </w:t>
      </w:r>
      <w:r>
        <w:t>LGBTQ</w:t>
      </w:r>
      <w:r>
        <w:rPr>
          <w:spacing w:val="-9"/>
        </w:rPr>
        <w:t xml:space="preserve"> </w:t>
      </w:r>
      <w:r>
        <w:t>youth</w:t>
      </w:r>
      <w:r>
        <w:rPr>
          <w:spacing w:val="-9"/>
        </w:rPr>
        <w:t xml:space="preserve"> </w:t>
      </w:r>
      <w:r>
        <w:t>often</w:t>
      </w:r>
      <w:r>
        <w:rPr>
          <w:spacing w:val="-10"/>
        </w:rPr>
        <w:t xml:space="preserve"> </w:t>
      </w:r>
      <w:r>
        <w:t>face difficulty accessing these services. LGBTQ youth may hide their identities or live with the perpetrat</w:t>
      </w:r>
      <w:r>
        <w:t>or, which could make accessing services challenging and even dangerous. Discrimination based on identity may</w:t>
      </w:r>
      <w:r>
        <w:rPr>
          <w:spacing w:val="-1"/>
        </w:rPr>
        <w:t xml:space="preserve"> </w:t>
      </w:r>
      <w:r>
        <w:t>also make</w:t>
      </w:r>
      <w:r>
        <w:rPr>
          <w:spacing w:val="-1"/>
        </w:rPr>
        <w:t xml:space="preserve"> </w:t>
      </w:r>
      <w:r>
        <w:t>LBGTQ youth hesitant to seek help from</w:t>
      </w:r>
      <w:r>
        <w:rPr>
          <w:spacing w:val="-1"/>
        </w:rPr>
        <w:t xml:space="preserve"> </w:t>
      </w:r>
      <w:r>
        <w:t>shelters, rape crisis organizations, or hospitals.</w:t>
      </w:r>
      <w:hyperlink w:anchor="_bookmark551" w:history="1">
        <w:r>
          <w:rPr>
            <w:vertAlign w:val="superscript"/>
          </w:rPr>
          <w:t>39</w:t>
        </w:r>
      </w:hyperlink>
      <w:r>
        <w:t xml:space="preserve"> A</w:t>
      </w:r>
      <w:r>
        <w:rPr>
          <w:spacing w:val="-5"/>
        </w:rPr>
        <w:t xml:space="preserve"> </w:t>
      </w:r>
      <w:r>
        <w:t>study</w:t>
      </w:r>
      <w:r>
        <w:rPr>
          <w:spacing w:val="-3"/>
        </w:rPr>
        <w:t xml:space="preserve"> </w:t>
      </w:r>
      <w:r>
        <w:t>by</w:t>
      </w:r>
      <w:r>
        <w:rPr>
          <w:spacing w:val="-4"/>
        </w:rPr>
        <w:t xml:space="preserve"> </w:t>
      </w:r>
      <w:r>
        <w:t>th</w:t>
      </w:r>
      <w:r>
        <w:t>e</w:t>
      </w:r>
      <w:r>
        <w:rPr>
          <w:spacing w:val="-5"/>
        </w:rPr>
        <w:t xml:space="preserve"> </w:t>
      </w:r>
      <w:r>
        <w:t>National</w:t>
      </w:r>
      <w:r>
        <w:rPr>
          <w:spacing w:val="-4"/>
        </w:rPr>
        <w:t xml:space="preserve"> </w:t>
      </w:r>
      <w:r>
        <w:t>Coalition</w:t>
      </w:r>
      <w:r>
        <w:rPr>
          <w:spacing w:val="-5"/>
        </w:rPr>
        <w:t xml:space="preserve"> </w:t>
      </w:r>
      <w:r>
        <w:t>of</w:t>
      </w:r>
      <w:r>
        <w:rPr>
          <w:spacing w:val="-5"/>
        </w:rPr>
        <w:t xml:space="preserve"> </w:t>
      </w:r>
      <w:r>
        <w:t>Anti-Violence</w:t>
      </w:r>
      <w:r>
        <w:rPr>
          <w:spacing w:val="-4"/>
        </w:rPr>
        <w:t xml:space="preserve"> </w:t>
      </w:r>
      <w:r>
        <w:t>Projects</w:t>
      </w:r>
      <w:r>
        <w:rPr>
          <w:spacing w:val="-5"/>
        </w:rPr>
        <w:t xml:space="preserve"> </w:t>
      </w:r>
      <w:r>
        <w:t>estimates</w:t>
      </w:r>
      <w:r>
        <w:rPr>
          <w:spacing w:val="-5"/>
        </w:rPr>
        <w:t xml:space="preserve"> </w:t>
      </w:r>
      <w:r>
        <w:t>that</w:t>
      </w:r>
      <w:r>
        <w:rPr>
          <w:spacing w:val="-5"/>
        </w:rPr>
        <w:t xml:space="preserve"> </w:t>
      </w:r>
      <w:r>
        <w:t>85%</w:t>
      </w:r>
      <w:r>
        <w:rPr>
          <w:spacing w:val="-5"/>
        </w:rPr>
        <w:t xml:space="preserve"> </w:t>
      </w:r>
      <w:r>
        <w:t>of</w:t>
      </w:r>
      <w:r>
        <w:rPr>
          <w:spacing w:val="-5"/>
        </w:rPr>
        <w:t xml:space="preserve"> </w:t>
      </w:r>
      <w:r>
        <w:t>survivor</w:t>
      </w:r>
      <w:r>
        <w:rPr>
          <w:spacing w:val="-5"/>
        </w:rPr>
        <w:t xml:space="preserve"> </w:t>
      </w:r>
      <w:r>
        <w:t>advocates</w:t>
      </w:r>
      <w:r>
        <w:rPr>
          <w:spacing w:val="-5"/>
        </w:rPr>
        <w:t xml:space="preserve"> </w:t>
      </w:r>
      <w:r>
        <w:t xml:space="preserve">have worked with an LGBTQ survivor who was denied services due to their sexual orientation or gender identity. </w:t>
      </w:r>
      <w:hyperlink w:anchor="_bookmark552" w:history="1">
        <w:r>
          <w:rPr>
            <w:vertAlign w:val="superscript"/>
          </w:rPr>
          <w:t>40</w:t>
        </w:r>
      </w:hyperlink>
      <w:r>
        <w:t xml:space="preserve"> Contacting police after incidents of assault or rape is often dangerous, considering the prevalence of police violence against Black, brown, and other marginalized communities. Finally, sociocultural understandings of victimhood impact access to formal he</w:t>
      </w:r>
      <w:r>
        <w:t>lp. What constitutes an “appropriate” victim and perpetrator is based on heteronormative assumptions of masculinity and femininity.</w:t>
      </w:r>
      <w:r>
        <w:rPr>
          <w:spacing w:val="-1"/>
        </w:rPr>
        <w:t xml:space="preserve"> </w:t>
      </w:r>
      <w:r>
        <w:t>These</w:t>
      </w:r>
      <w:r>
        <w:rPr>
          <w:spacing w:val="-2"/>
        </w:rPr>
        <w:t xml:space="preserve"> </w:t>
      </w:r>
      <w:r>
        <w:t>assumptions</w:t>
      </w:r>
      <w:r>
        <w:rPr>
          <w:spacing w:val="-1"/>
        </w:rPr>
        <w:t xml:space="preserve"> </w:t>
      </w:r>
      <w:r>
        <w:t>“bleed directly into homophobia,</w:t>
      </w:r>
      <w:r>
        <w:rPr>
          <w:spacing w:val="-2"/>
        </w:rPr>
        <w:t xml:space="preserve"> </w:t>
      </w:r>
      <w:r>
        <w:t>and are not only</w:t>
      </w:r>
      <w:r>
        <w:rPr>
          <w:spacing w:val="-1"/>
        </w:rPr>
        <w:t xml:space="preserve"> </w:t>
      </w:r>
      <w:r>
        <w:t>a common</w:t>
      </w:r>
      <w:r>
        <w:rPr>
          <w:spacing w:val="-2"/>
        </w:rPr>
        <w:t xml:space="preserve"> </w:t>
      </w:r>
      <w:r>
        <w:t>component underlying” sexual violence, but “als</w:t>
      </w:r>
      <w:r>
        <w:t>o perpetuate the interpersonal and systemic denial that these are real and vibrant LGBTQ issues.”</w:t>
      </w:r>
      <w:hyperlink w:anchor="_bookmark553" w:history="1">
        <w:r>
          <w:rPr>
            <w:vertAlign w:val="superscript"/>
          </w:rPr>
          <w:t>41</w:t>
        </w:r>
      </w:hyperlink>
    </w:p>
    <w:p w:rsidR="00C76E6D" w:rsidRDefault="00C76E6D">
      <w:pPr>
        <w:pStyle w:val="BodyText"/>
        <w:rPr>
          <w:sz w:val="24"/>
        </w:rPr>
      </w:pPr>
    </w:p>
    <w:p w:rsidR="00C76E6D" w:rsidRDefault="00913831">
      <w:pPr>
        <w:spacing w:before="176"/>
        <w:ind w:left="480"/>
        <w:jc w:val="both"/>
        <w:rPr>
          <w:b/>
        </w:rPr>
      </w:pPr>
      <w:r>
        <w:rPr>
          <w:b/>
          <w:w w:val="95"/>
          <w:sz w:val="28"/>
          <w:u w:val="single"/>
        </w:rPr>
        <w:t>M</w:t>
      </w:r>
      <w:r>
        <w:rPr>
          <w:b/>
          <w:w w:val="95"/>
          <w:u w:val="single"/>
        </w:rPr>
        <w:t>ASSACHUSETTS</w:t>
      </w:r>
      <w:r>
        <w:rPr>
          <w:b/>
          <w:spacing w:val="50"/>
          <w:u w:val="single"/>
        </w:rPr>
        <w:t xml:space="preserve"> </w:t>
      </w:r>
      <w:r>
        <w:rPr>
          <w:b/>
          <w:spacing w:val="-2"/>
          <w:sz w:val="28"/>
          <w:u w:val="single"/>
        </w:rPr>
        <w:t>R</w:t>
      </w:r>
      <w:r>
        <w:rPr>
          <w:b/>
          <w:spacing w:val="-2"/>
          <w:u w:val="single"/>
        </w:rPr>
        <w:t>ESOURCES</w:t>
      </w:r>
    </w:p>
    <w:p w:rsidR="00C76E6D" w:rsidRDefault="00C76E6D">
      <w:pPr>
        <w:pStyle w:val="BodyText"/>
        <w:spacing w:before="4"/>
        <w:rPr>
          <w:b/>
          <w:sz w:val="19"/>
        </w:rPr>
      </w:pPr>
    </w:p>
    <w:p w:rsidR="00C76E6D" w:rsidRDefault="00913831">
      <w:pPr>
        <w:pStyle w:val="BodyText"/>
        <w:spacing w:before="56" w:line="276" w:lineRule="auto"/>
        <w:ind w:left="480" w:right="477"/>
        <w:jc w:val="both"/>
      </w:pPr>
      <w:r>
        <w:rPr>
          <w:b/>
        </w:rPr>
        <w:t xml:space="preserve">The Network/La Red </w:t>
      </w:r>
      <w:r>
        <w:t>– The Network/La Red, a Boston-based, survivor-led organization captures the di</w:t>
      </w:r>
      <w:r>
        <w:t xml:space="preserve">fferent tactics of abuse that may be experienced by LGBTQ youth and adults. </w:t>
      </w:r>
      <w:hyperlink r:id="rId343">
        <w:r>
          <w:t>http://www.tnlr.org/en</w:t>
        </w:r>
      </w:hyperlink>
    </w:p>
    <w:p w:rsidR="00C76E6D" w:rsidRDefault="00913831">
      <w:pPr>
        <w:pStyle w:val="BodyText"/>
        <w:spacing w:before="160" w:line="276" w:lineRule="auto"/>
        <w:ind w:left="480" w:right="477" w:hanging="1"/>
        <w:jc w:val="both"/>
      </w:pPr>
      <w:r>
        <w:rPr>
          <w:b/>
        </w:rPr>
        <w:t xml:space="preserve">Boston Area Rape Crisis (BARC) </w:t>
      </w:r>
      <w:r>
        <w:t>–</w:t>
      </w:r>
      <w:r>
        <w:rPr>
          <w:spacing w:val="-2"/>
        </w:rPr>
        <w:t xml:space="preserve"> </w:t>
      </w:r>
      <w:r>
        <w:t>BARC</w:t>
      </w:r>
      <w:r>
        <w:rPr>
          <w:spacing w:val="-1"/>
        </w:rPr>
        <w:t xml:space="preserve"> </w:t>
      </w:r>
      <w:r>
        <w:t>is</w:t>
      </w:r>
      <w:r>
        <w:rPr>
          <w:spacing w:val="-1"/>
        </w:rPr>
        <w:t xml:space="preserve"> </w:t>
      </w:r>
      <w:r>
        <w:t>a</w:t>
      </w:r>
      <w:r>
        <w:rPr>
          <w:spacing w:val="-1"/>
        </w:rPr>
        <w:t xml:space="preserve"> </w:t>
      </w:r>
      <w:r>
        <w:t>comprehensive</w:t>
      </w:r>
      <w:r>
        <w:rPr>
          <w:spacing w:val="-2"/>
        </w:rPr>
        <w:t xml:space="preserve"> </w:t>
      </w:r>
      <w:r>
        <w:t>rape</w:t>
      </w:r>
      <w:r>
        <w:rPr>
          <w:spacing w:val="-1"/>
        </w:rPr>
        <w:t xml:space="preserve"> </w:t>
      </w:r>
      <w:r>
        <w:t>crisis</w:t>
      </w:r>
      <w:r>
        <w:rPr>
          <w:spacing w:val="-1"/>
        </w:rPr>
        <w:t xml:space="preserve"> </w:t>
      </w:r>
      <w:r>
        <w:t>center</w:t>
      </w:r>
      <w:r>
        <w:rPr>
          <w:spacing w:val="-1"/>
        </w:rPr>
        <w:t xml:space="preserve"> </w:t>
      </w:r>
      <w:r>
        <w:t>in</w:t>
      </w:r>
      <w:r>
        <w:rPr>
          <w:spacing w:val="-2"/>
        </w:rPr>
        <w:t xml:space="preserve"> </w:t>
      </w:r>
      <w:r>
        <w:t>the</w:t>
      </w:r>
      <w:r>
        <w:rPr>
          <w:spacing w:val="-1"/>
        </w:rPr>
        <w:t xml:space="preserve"> </w:t>
      </w:r>
      <w:r>
        <w:t>Greater Boston</w:t>
      </w:r>
      <w:r>
        <w:rPr>
          <w:spacing w:val="-3"/>
        </w:rPr>
        <w:t xml:space="preserve"> </w:t>
      </w:r>
      <w:r>
        <w:t>Area that seeks to end sexual violence through healing and social change. https://barcc.org/</w:t>
      </w:r>
    </w:p>
    <w:p w:rsidR="00C76E6D" w:rsidRDefault="00913831">
      <w:pPr>
        <w:pStyle w:val="BodyText"/>
        <w:spacing w:before="159" w:line="276" w:lineRule="auto"/>
        <w:ind w:left="480" w:right="477"/>
        <w:jc w:val="both"/>
      </w:pPr>
      <w:r>
        <w:rPr>
          <w:b/>
        </w:rPr>
        <w:t xml:space="preserve">Black and Pink </w:t>
      </w:r>
      <w:r>
        <w:t>– Black and Pink Massachusetts is a volunteer-run organization that aims to abolish the criminal justice system and liberate LGBTQ+ people and peopl</w:t>
      </w:r>
      <w:r>
        <w:t>e living with HIV/AIDs who are disproportionately affected by the system. https://</w:t>
      </w:r>
      <w:hyperlink r:id="rId344">
        <w:r>
          <w:t>www.blackandpinkma.org.</w:t>
        </w:r>
      </w:hyperlink>
    </w:p>
    <w:p w:rsidR="00C76E6D" w:rsidRDefault="00913831">
      <w:pPr>
        <w:pStyle w:val="BodyText"/>
        <w:spacing w:before="162" w:line="276" w:lineRule="auto"/>
        <w:ind w:left="480" w:right="475"/>
        <w:jc w:val="both"/>
      </w:pPr>
      <w:r>
        <w:rPr>
          <w:b/>
        </w:rPr>
        <w:t>Violence</w:t>
      </w:r>
      <w:r>
        <w:rPr>
          <w:b/>
          <w:spacing w:val="-13"/>
        </w:rPr>
        <w:t xml:space="preserve"> </w:t>
      </w:r>
      <w:r>
        <w:rPr>
          <w:b/>
        </w:rPr>
        <w:t>Recovery</w:t>
      </w:r>
      <w:r>
        <w:rPr>
          <w:b/>
          <w:spacing w:val="-12"/>
        </w:rPr>
        <w:t xml:space="preserve"> </w:t>
      </w:r>
      <w:r>
        <w:rPr>
          <w:b/>
        </w:rPr>
        <w:t>Program</w:t>
      </w:r>
      <w:r>
        <w:rPr>
          <w:b/>
          <w:spacing w:val="-13"/>
        </w:rPr>
        <w:t xml:space="preserve"> </w:t>
      </w:r>
      <w:r>
        <w:t>–</w:t>
      </w:r>
      <w:r>
        <w:rPr>
          <w:spacing w:val="-12"/>
        </w:rPr>
        <w:t xml:space="preserve"> </w:t>
      </w:r>
      <w:r>
        <w:t>The</w:t>
      </w:r>
      <w:r>
        <w:rPr>
          <w:spacing w:val="-13"/>
        </w:rPr>
        <w:t xml:space="preserve"> </w:t>
      </w:r>
      <w:r>
        <w:t>Violence</w:t>
      </w:r>
      <w:r>
        <w:rPr>
          <w:spacing w:val="-12"/>
        </w:rPr>
        <w:t xml:space="preserve"> </w:t>
      </w:r>
      <w:r>
        <w:t>Recovery</w:t>
      </w:r>
      <w:r>
        <w:rPr>
          <w:spacing w:val="-13"/>
        </w:rPr>
        <w:t xml:space="preserve"> </w:t>
      </w:r>
      <w:r>
        <w:t>Program</w:t>
      </w:r>
      <w:r>
        <w:rPr>
          <w:spacing w:val="-12"/>
        </w:rPr>
        <w:t xml:space="preserve"> </w:t>
      </w:r>
      <w:r>
        <w:t>at</w:t>
      </w:r>
      <w:r>
        <w:rPr>
          <w:spacing w:val="-12"/>
        </w:rPr>
        <w:t xml:space="preserve"> </w:t>
      </w:r>
      <w:r>
        <w:t>Fenway</w:t>
      </w:r>
      <w:r>
        <w:rPr>
          <w:spacing w:val="-13"/>
        </w:rPr>
        <w:t xml:space="preserve"> </w:t>
      </w:r>
      <w:r>
        <w:t>Health</w:t>
      </w:r>
      <w:r>
        <w:rPr>
          <w:spacing w:val="-12"/>
        </w:rPr>
        <w:t xml:space="preserve"> </w:t>
      </w:r>
      <w:r>
        <w:t>provides</w:t>
      </w:r>
      <w:r>
        <w:rPr>
          <w:spacing w:val="-13"/>
        </w:rPr>
        <w:t xml:space="preserve"> </w:t>
      </w:r>
      <w:r>
        <w:t>LGBTQ</w:t>
      </w:r>
      <w:r>
        <w:rPr>
          <w:spacing w:val="-12"/>
        </w:rPr>
        <w:t xml:space="preserve"> </w:t>
      </w:r>
      <w:r>
        <w:t xml:space="preserve">survivors counseling, support groups, advocacy, and referral services. https://fenwayhealth.org/care/behavioral- </w:t>
      </w:r>
      <w:r>
        <w:rPr>
          <w:spacing w:val="-2"/>
        </w:rPr>
        <w:t>health/violence-recovery</w:t>
      </w:r>
    </w:p>
    <w:p w:rsidR="00C76E6D" w:rsidRDefault="00913831">
      <w:pPr>
        <w:pStyle w:val="BodyText"/>
        <w:spacing w:before="159" w:line="276" w:lineRule="auto"/>
        <w:ind w:left="481" w:right="477" w:hanging="3"/>
        <w:jc w:val="both"/>
      </w:pPr>
      <w:r>
        <w:rPr>
          <w:b/>
        </w:rPr>
        <w:t>Domestic Violence</w:t>
      </w:r>
      <w:r>
        <w:rPr>
          <w:b/>
          <w:spacing w:val="-1"/>
        </w:rPr>
        <w:t xml:space="preserve"> </w:t>
      </w:r>
      <w:r>
        <w:rPr>
          <w:b/>
        </w:rPr>
        <w:t xml:space="preserve">Ended (DOVE) </w:t>
      </w:r>
      <w:r>
        <w:t>–</w:t>
      </w:r>
      <w:r>
        <w:rPr>
          <w:spacing w:val="-4"/>
        </w:rPr>
        <w:t xml:space="preserve"> </w:t>
      </w:r>
      <w:r>
        <w:t>DOVE</w:t>
      </w:r>
      <w:r>
        <w:rPr>
          <w:spacing w:val="-4"/>
        </w:rPr>
        <w:t xml:space="preserve"> </w:t>
      </w:r>
      <w:r>
        <w:t>is</w:t>
      </w:r>
      <w:r>
        <w:rPr>
          <w:spacing w:val="-3"/>
        </w:rPr>
        <w:t xml:space="preserve"> </w:t>
      </w:r>
      <w:r>
        <w:t>a</w:t>
      </w:r>
      <w:r>
        <w:rPr>
          <w:spacing w:val="-4"/>
        </w:rPr>
        <w:t xml:space="preserve"> </w:t>
      </w:r>
      <w:r>
        <w:t>multiservice</w:t>
      </w:r>
      <w:r>
        <w:rPr>
          <w:spacing w:val="-3"/>
        </w:rPr>
        <w:t xml:space="preserve"> </w:t>
      </w:r>
      <w:r>
        <w:t>organization</w:t>
      </w:r>
      <w:r>
        <w:rPr>
          <w:spacing w:val="-4"/>
        </w:rPr>
        <w:t xml:space="preserve"> </w:t>
      </w:r>
      <w:r>
        <w:t>that</w:t>
      </w:r>
      <w:r>
        <w:rPr>
          <w:spacing w:val="-3"/>
        </w:rPr>
        <w:t xml:space="preserve"> </w:t>
      </w:r>
      <w:r>
        <w:t>provides</w:t>
      </w:r>
      <w:r>
        <w:rPr>
          <w:spacing w:val="-4"/>
        </w:rPr>
        <w:t xml:space="preserve"> </w:t>
      </w:r>
      <w:r>
        <w:t>direct</w:t>
      </w:r>
      <w:r>
        <w:rPr>
          <w:spacing w:val="-3"/>
        </w:rPr>
        <w:t xml:space="preserve"> </w:t>
      </w:r>
      <w:r>
        <w:t>services</w:t>
      </w:r>
      <w:r>
        <w:rPr>
          <w:spacing w:val="-3"/>
        </w:rPr>
        <w:t xml:space="preserve"> </w:t>
      </w:r>
      <w:r>
        <w:t>and support to surv</w:t>
      </w:r>
      <w:r>
        <w:t>ivors of dating and domestic violence, including identity-specific counseling services for LGBTQ survivors. https://</w:t>
      </w:r>
      <w:hyperlink r:id="rId345">
        <w:r>
          <w:t>www.dovema.org/lgbqt</w:t>
        </w:r>
      </w:hyperlink>
    </w:p>
    <w:p w:rsidR="00C76E6D" w:rsidRDefault="00913831">
      <w:pPr>
        <w:spacing w:before="159" w:line="273" w:lineRule="auto"/>
        <w:ind w:left="481" w:right="478" w:hanging="1"/>
        <w:jc w:val="both"/>
      </w:pPr>
      <w:r>
        <w:rPr>
          <w:b/>
        </w:rPr>
        <w:t xml:space="preserve">GLBTQ Legal Advocates &amp; Defenders (GLAD) - </w:t>
      </w:r>
      <w:r>
        <w:t>GLAD offers legal services fo</w:t>
      </w:r>
      <w:r>
        <w:t>r LGBTQ survivors of sexual violence and discrimination. https://</w:t>
      </w:r>
      <w:hyperlink r:id="rId346">
        <w:r>
          <w:t>www.glad.org</w:t>
        </w:r>
      </w:hyperlink>
    </w:p>
    <w:p w:rsidR="00C76E6D" w:rsidRDefault="00C76E6D">
      <w:pPr>
        <w:pStyle w:val="BodyText"/>
        <w:spacing w:before="11"/>
        <w:rPr>
          <w:sz w:val="25"/>
        </w:rPr>
      </w:pPr>
    </w:p>
    <w:p w:rsidR="00C76E6D" w:rsidRDefault="00913831">
      <w:pPr>
        <w:pStyle w:val="BodyText"/>
        <w:spacing w:line="259" w:lineRule="auto"/>
        <w:ind w:left="480" w:right="474"/>
        <w:jc w:val="both"/>
      </w:pPr>
      <w:r>
        <w:rPr>
          <w:b/>
          <w:color w:val="1F1F1F"/>
        </w:rPr>
        <w:t xml:space="preserve">Being United In Leading our Destiny (BUILD)- </w:t>
      </w:r>
      <w:r>
        <w:t>BUILD offers housing navigation and financial resources, gender</w:t>
      </w:r>
      <w:r>
        <w:rPr>
          <w:spacing w:val="-4"/>
        </w:rPr>
        <w:t xml:space="preserve"> </w:t>
      </w:r>
      <w:r>
        <w:t>affirming</w:t>
      </w:r>
      <w:r>
        <w:rPr>
          <w:spacing w:val="-4"/>
        </w:rPr>
        <w:t xml:space="preserve"> </w:t>
      </w:r>
      <w:r>
        <w:t>items,</w:t>
      </w:r>
      <w:r>
        <w:rPr>
          <w:spacing w:val="-4"/>
        </w:rPr>
        <w:t xml:space="preserve"> </w:t>
      </w:r>
      <w:r>
        <w:t>case</w:t>
      </w:r>
      <w:r>
        <w:rPr>
          <w:spacing w:val="-4"/>
        </w:rPr>
        <w:t xml:space="preserve"> </w:t>
      </w:r>
      <w:r>
        <w:t>manage</w:t>
      </w:r>
      <w:r>
        <w:t>ment,</w:t>
      </w:r>
      <w:r>
        <w:rPr>
          <w:spacing w:val="-4"/>
        </w:rPr>
        <w:t xml:space="preserve"> </w:t>
      </w:r>
      <w:r>
        <w:t>advocacy,</w:t>
      </w:r>
      <w:r>
        <w:rPr>
          <w:spacing w:val="-1"/>
        </w:rPr>
        <w:t xml:space="preserve"> </w:t>
      </w:r>
      <w:r>
        <w:t>and</w:t>
      </w:r>
      <w:r>
        <w:rPr>
          <w:spacing w:val="-4"/>
        </w:rPr>
        <w:t xml:space="preserve"> </w:t>
      </w:r>
      <w:r>
        <w:t>life</w:t>
      </w:r>
      <w:r>
        <w:rPr>
          <w:spacing w:val="-3"/>
        </w:rPr>
        <w:t xml:space="preserve"> </w:t>
      </w:r>
      <w:r>
        <w:t>coaching</w:t>
      </w:r>
      <w:r>
        <w:rPr>
          <w:spacing w:val="-4"/>
        </w:rPr>
        <w:t xml:space="preserve"> </w:t>
      </w:r>
      <w:r>
        <w:t>services</w:t>
      </w:r>
      <w:r>
        <w:rPr>
          <w:spacing w:val="-2"/>
        </w:rPr>
        <w:t xml:space="preserve"> </w:t>
      </w:r>
      <w:r>
        <w:t>to</w:t>
      </w:r>
      <w:r>
        <w:rPr>
          <w:spacing w:val="-5"/>
        </w:rPr>
        <w:t xml:space="preserve"> </w:t>
      </w:r>
      <w:r>
        <w:t>youth</w:t>
      </w:r>
      <w:r>
        <w:rPr>
          <w:spacing w:val="-4"/>
        </w:rPr>
        <w:t xml:space="preserve"> </w:t>
      </w:r>
      <w:r>
        <w:t>12-24</w:t>
      </w:r>
      <w:r>
        <w:rPr>
          <w:spacing w:val="-5"/>
        </w:rPr>
        <w:t xml:space="preserve"> </w:t>
      </w:r>
      <w:r>
        <w:t>years</w:t>
      </w:r>
      <w:r>
        <w:rPr>
          <w:spacing w:val="-4"/>
        </w:rPr>
        <w:t xml:space="preserve"> </w:t>
      </w:r>
      <w:r>
        <w:t xml:space="preserve">old. </w:t>
      </w:r>
      <w:hyperlink r:id="rId347">
        <w:r>
          <w:rPr>
            <w:color w:val="1153CC"/>
            <w:spacing w:val="-2"/>
            <w:u w:val="single" w:color="1153CC"/>
          </w:rPr>
          <w:t>www.roxburyyouthworks.org</w:t>
        </w:r>
      </w:hyperlink>
    </w:p>
    <w:p w:rsidR="00C76E6D" w:rsidRDefault="00C76E6D">
      <w:pPr>
        <w:spacing w:line="259" w:lineRule="auto"/>
        <w:jc w:val="both"/>
        <w:sectPr w:rsidR="00C76E6D">
          <w:pgSz w:w="12240" w:h="15840"/>
          <w:pgMar w:top="960" w:right="960" w:bottom="880" w:left="960" w:header="769" w:footer="694" w:gutter="0"/>
          <w:cols w:space="720"/>
        </w:sectPr>
      </w:pPr>
    </w:p>
    <w:p w:rsidR="00C76E6D" w:rsidRDefault="00C76E6D">
      <w:pPr>
        <w:pStyle w:val="BodyText"/>
        <w:rPr>
          <w:sz w:val="20"/>
        </w:rPr>
      </w:pPr>
    </w:p>
    <w:p w:rsidR="00C76E6D" w:rsidRDefault="00913831">
      <w:pPr>
        <w:pStyle w:val="Heading5"/>
        <w:spacing w:before="210"/>
        <w:ind w:left="480"/>
      </w:pPr>
      <w:r>
        <w:pict>
          <v:shape id="docshape318" o:spid="_x0000_s1132" style="position:absolute;left:0;text-align:left;margin-left:70.6pt;margin-top:26.75pt;width:470.95pt;height:.1pt;z-index:-15670784;mso-wrap-distance-left:0;mso-wrap-distance-right:0;mso-position-horizontal-relative:page" coordorigin="1412,535" coordsize="9419,0" path="m1412,535r9419,e" filled="f" strokeweight="1.54pt">
            <v:path arrowok="t"/>
            <w10:wrap type="topAndBottom" anchorx="page"/>
          </v:shape>
        </w:pict>
      </w:r>
      <w:bookmarkStart w:id="684" w:name="E._Conclusion"/>
      <w:bookmarkEnd w:id="684"/>
      <w:r>
        <w:t>E.</w:t>
      </w:r>
      <w:r>
        <w:rPr>
          <w:spacing w:val="-4"/>
        </w:rPr>
        <w:t xml:space="preserve"> </w:t>
      </w:r>
      <w:r>
        <w:rPr>
          <w:spacing w:val="-2"/>
        </w:rPr>
        <w:t>Conclusion</w:t>
      </w:r>
    </w:p>
    <w:p w:rsidR="00C76E6D" w:rsidRDefault="00C76E6D">
      <w:pPr>
        <w:pStyle w:val="BodyText"/>
        <w:spacing w:before="2"/>
        <w:rPr>
          <w:b/>
          <w:sz w:val="31"/>
        </w:rPr>
      </w:pPr>
    </w:p>
    <w:p w:rsidR="00C76E6D" w:rsidRDefault="00913831">
      <w:pPr>
        <w:pStyle w:val="BodyText"/>
        <w:spacing w:line="276" w:lineRule="auto"/>
        <w:ind w:left="478" w:right="475"/>
        <w:jc w:val="both"/>
      </w:pPr>
      <w:r>
        <w:t>In</w:t>
      </w:r>
      <w:r>
        <w:rPr>
          <w:spacing w:val="-13"/>
        </w:rPr>
        <w:t xml:space="preserve"> </w:t>
      </w:r>
      <w:r>
        <w:t>conclusion,</w:t>
      </w:r>
      <w:r>
        <w:rPr>
          <w:spacing w:val="-12"/>
        </w:rPr>
        <w:t xml:space="preserve"> </w:t>
      </w:r>
      <w:r>
        <w:t>research</w:t>
      </w:r>
      <w:r>
        <w:rPr>
          <w:spacing w:val="-13"/>
        </w:rPr>
        <w:t xml:space="preserve"> </w:t>
      </w:r>
      <w:r>
        <w:t>has</w:t>
      </w:r>
      <w:r>
        <w:rPr>
          <w:spacing w:val="-12"/>
        </w:rPr>
        <w:t xml:space="preserve"> </w:t>
      </w:r>
      <w:r>
        <w:t>established</w:t>
      </w:r>
      <w:r>
        <w:rPr>
          <w:spacing w:val="-13"/>
        </w:rPr>
        <w:t xml:space="preserve"> </w:t>
      </w:r>
      <w:r>
        <w:t>that</w:t>
      </w:r>
      <w:r>
        <w:rPr>
          <w:spacing w:val="-12"/>
        </w:rPr>
        <w:t xml:space="preserve"> </w:t>
      </w:r>
      <w:r>
        <w:t>LGBTQ</w:t>
      </w:r>
      <w:r>
        <w:rPr>
          <w:spacing w:val="-13"/>
        </w:rPr>
        <w:t xml:space="preserve"> </w:t>
      </w:r>
      <w:r>
        <w:t>youth</w:t>
      </w:r>
      <w:r>
        <w:rPr>
          <w:spacing w:val="-12"/>
        </w:rPr>
        <w:t xml:space="preserve"> </w:t>
      </w:r>
      <w:r>
        <w:t>are</w:t>
      </w:r>
      <w:r>
        <w:rPr>
          <w:spacing w:val="-12"/>
        </w:rPr>
        <w:t xml:space="preserve"> </w:t>
      </w:r>
      <w:r>
        <w:t>at</w:t>
      </w:r>
      <w:r>
        <w:rPr>
          <w:spacing w:val="-13"/>
        </w:rPr>
        <w:t xml:space="preserve"> </w:t>
      </w:r>
      <w:r>
        <w:t>increased</w:t>
      </w:r>
      <w:r>
        <w:rPr>
          <w:spacing w:val="-12"/>
        </w:rPr>
        <w:t xml:space="preserve"> </w:t>
      </w:r>
      <w:r>
        <w:t>risk</w:t>
      </w:r>
      <w:r>
        <w:rPr>
          <w:spacing w:val="-13"/>
        </w:rPr>
        <w:t xml:space="preserve"> </w:t>
      </w:r>
      <w:r>
        <w:t>of</w:t>
      </w:r>
      <w:r>
        <w:rPr>
          <w:spacing w:val="-12"/>
        </w:rPr>
        <w:t xml:space="preserve"> </w:t>
      </w:r>
      <w:r>
        <w:t>sexual</w:t>
      </w:r>
      <w:r>
        <w:rPr>
          <w:spacing w:val="-13"/>
        </w:rPr>
        <w:t xml:space="preserve"> </w:t>
      </w:r>
      <w:r>
        <w:t>violence</w:t>
      </w:r>
      <w:r>
        <w:rPr>
          <w:spacing w:val="-12"/>
        </w:rPr>
        <w:t xml:space="preserve"> </w:t>
      </w:r>
      <w:r>
        <w:t>nationally and in the Commonwealth of Massachusetts. Sexual violence has adverse effects on LGBTQ youth’s physical health, mental health, and economic well-being, which is often further compounded by experiences</w:t>
      </w:r>
      <w:r>
        <w:rPr>
          <w:spacing w:val="-3"/>
        </w:rPr>
        <w:t xml:space="preserve"> </w:t>
      </w:r>
      <w:r>
        <w:t>of</w:t>
      </w:r>
      <w:r>
        <w:rPr>
          <w:spacing w:val="-6"/>
        </w:rPr>
        <w:t xml:space="preserve"> </w:t>
      </w:r>
      <w:r>
        <w:t>discrimination,</w:t>
      </w:r>
      <w:r>
        <w:rPr>
          <w:spacing w:val="-6"/>
        </w:rPr>
        <w:t xml:space="preserve"> </w:t>
      </w:r>
      <w:r>
        <w:t>t</w:t>
      </w:r>
      <w:r>
        <w:t>ransphobia,</w:t>
      </w:r>
      <w:r>
        <w:rPr>
          <w:spacing w:val="-6"/>
        </w:rPr>
        <w:t xml:space="preserve"> </w:t>
      </w:r>
      <w:r>
        <w:t>homophobia,</w:t>
      </w:r>
      <w:r>
        <w:rPr>
          <w:spacing w:val="-6"/>
        </w:rPr>
        <w:t xml:space="preserve"> </w:t>
      </w:r>
      <w:r>
        <w:t>racism,</w:t>
      </w:r>
      <w:r>
        <w:rPr>
          <w:spacing w:val="-3"/>
        </w:rPr>
        <w:t xml:space="preserve"> </w:t>
      </w:r>
      <w:r>
        <w:t>the</w:t>
      </w:r>
      <w:r>
        <w:rPr>
          <w:spacing w:val="-5"/>
        </w:rPr>
        <w:t xml:space="preserve"> </w:t>
      </w:r>
      <w:r>
        <w:t>COVID-19</w:t>
      </w:r>
      <w:r>
        <w:rPr>
          <w:spacing w:val="-5"/>
        </w:rPr>
        <w:t xml:space="preserve"> </w:t>
      </w:r>
      <w:r>
        <w:t>pandemic,</w:t>
      </w:r>
      <w:r>
        <w:rPr>
          <w:spacing w:val="-6"/>
        </w:rPr>
        <w:t xml:space="preserve"> </w:t>
      </w:r>
      <w:r>
        <w:t>and</w:t>
      </w:r>
      <w:r>
        <w:rPr>
          <w:spacing w:val="-7"/>
        </w:rPr>
        <w:t xml:space="preserve"> </w:t>
      </w:r>
      <w:r>
        <w:t>more.</w:t>
      </w:r>
      <w:r>
        <w:rPr>
          <w:spacing w:val="-6"/>
        </w:rPr>
        <w:t xml:space="preserve"> </w:t>
      </w:r>
      <w:r>
        <w:t>It</w:t>
      </w:r>
      <w:r>
        <w:rPr>
          <w:spacing w:val="-6"/>
        </w:rPr>
        <w:t xml:space="preserve"> </w:t>
      </w:r>
      <w:r>
        <w:t>is essential that the Commonwealth of Massachusetts understand the unique needs of LGBTQ who have suffered sexual violence and provide LGBTQ-inclusive resources and support that address these needs.</w:t>
      </w:r>
    </w:p>
    <w:p w:rsidR="00C76E6D" w:rsidRDefault="00C76E6D">
      <w:pPr>
        <w:pStyle w:val="BodyText"/>
        <w:rPr>
          <w:sz w:val="20"/>
        </w:rPr>
      </w:pPr>
    </w:p>
    <w:p w:rsidR="00C76E6D" w:rsidRDefault="00913831">
      <w:pPr>
        <w:pStyle w:val="BodyText"/>
        <w:spacing w:before="7"/>
        <w:rPr>
          <w:sz w:val="17"/>
        </w:rPr>
      </w:pPr>
      <w:r>
        <w:pict>
          <v:shape id="docshape319" o:spid="_x0000_s1131" style="position:absolute;margin-left:70.6pt;margin-top:11.95pt;width:470.95pt;height:.1pt;z-index:-15670272;mso-wrap-distance-left:0;mso-wrap-distance-right:0;mso-position-horizontal-relative:page" coordorigin="1412,239" coordsize="9419,0" path="m1412,239r9419,e" filled="f" strokeweight="1.54pt">
            <v:path arrowok="t"/>
            <w10:wrap type="topAndBottom" anchorx="page"/>
          </v:shape>
        </w:pict>
      </w:r>
    </w:p>
    <w:p w:rsidR="00C76E6D" w:rsidRDefault="00C76E6D">
      <w:pPr>
        <w:pStyle w:val="BodyText"/>
        <w:spacing w:before="7"/>
        <w:rPr>
          <w:sz w:val="20"/>
        </w:rPr>
      </w:pPr>
    </w:p>
    <w:p w:rsidR="00C76E6D" w:rsidRDefault="00913831">
      <w:pPr>
        <w:pStyle w:val="Heading4"/>
      </w:pPr>
      <w:r>
        <w:rPr>
          <w:spacing w:val="-2"/>
        </w:rPr>
        <w:t>ENDNOTES</w:t>
      </w:r>
    </w:p>
    <w:p w:rsidR="00C76E6D" w:rsidRDefault="00913831">
      <w:pPr>
        <w:pStyle w:val="BodyText"/>
        <w:rPr>
          <w:b/>
          <w:sz w:val="14"/>
        </w:rPr>
      </w:pPr>
      <w:r>
        <w:pict>
          <v:shape id="docshape320" o:spid="_x0000_s1130" style="position:absolute;margin-left:70.6pt;margin-top:9.75pt;width:470.95pt;height:.1pt;z-index:-15669760;mso-wrap-distance-left:0;mso-wrap-distance-right:0;mso-position-horizontal-relative:page" coordorigin="1412,195" coordsize="9419,0" path="m1412,195r9419,e" filled="f" strokeweight="1.54pt">
            <v:path arrowok="t"/>
            <w10:wrap type="topAndBottom" anchorx="page"/>
          </v:shape>
        </w:pict>
      </w:r>
    </w:p>
    <w:p w:rsidR="00C76E6D" w:rsidRDefault="00C76E6D">
      <w:pPr>
        <w:pStyle w:val="BodyText"/>
        <w:spacing w:before="5"/>
        <w:rPr>
          <w:b/>
          <w:sz w:val="21"/>
        </w:rPr>
      </w:pPr>
    </w:p>
    <w:p w:rsidR="00C76E6D" w:rsidRDefault="00913831">
      <w:pPr>
        <w:ind w:left="477" w:right="522"/>
        <w:rPr>
          <w:i/>
        </w:rPr>
      </w:pPr>
      <w:r>
        <w:rPr>
          <w:i/>
        </w:rPr>
        <w:t>Acknowledgments:</w:t>
      </w:r>
      <w:r>
        <w:rPr>
          <w:i/>
          <w:spacing w:val="-13"/>
        </w:rPr>
        <w:t xml:space="preserve"> </w:t>
      </w:r>
      <w:r>
        <w:rPr>
          <w:i/>
        </w:rPr>
        <w:t>Mary</w:t>
      </w:r>
      <w:r>
        <w:rPr>
          <w:i/>
          <w:spacing w:val="-13"/>
        </w:rPr>
        <w:t xml:space="preserve"> </w:t>
      </w:r>
      <w:r>
        <w:rPr>
          <w:i/>
        </w:rPr>
        <w:t>Morrissey,</w:t>
      </w:r>
      <w:r>
        <w:rPr>
          <w:i/>
          <w:spacing w:val="-13"/>
        </w:rPr>
        <w:t xml:space="preserve"> </w:t>
      </w:r>
      <w:r>
        <w:rPr>
          <w:i/>
        </w:rPr>
        <w:t>lead</w:t>
      </w:r>
      <w:r>
        <w:rPr>
          <w:i/>
          <w:spacing w:val="-14"/>
        </w:rPr>
        <w:t xml:space="preserve"> </w:t>
      </w:r>
      <w:r>
        <w:rPr>
          <w:i/>
        </w:rPr>
        <w:t>res</w:t>
      </w:r>
      <w:r>
        <w:rPr>
          <w:i/>
        </w:rPr>
        <w:t>earcher</w:t>
      </w:r>
      <w:r>
        <w:rPr>
          <w:i/>
          <w:spacing w:val="-12"/>
        </w:rPr>
        <w:t xml:space="preserve"> </w:t>
      </w:r>
      <w:r>
        <w:rPr>
          <w:i/>
        </w:rPr>
        <w:t>and</w:t>
      </w:r>
      <w:r>
        <w:rPr>
          <w:i/>
          <w:spacing w:val="-13"/>
        </w:rPr>
        <w:t xml:space="preserve"> </w:t>
      </w:r>
      <w:r>
        <w:rPr>
          <w:i/>
        </w:rPr>
        <w:t>author</w:t>
      </w:r>
      <w:r>
        <w:rPr>
          <w:i/>
          <w:spacing w:val="-13"/>
        </w:rPr>
        <w:t xml:space="preserve"> </w:t>
      </w:r>
      <w:r>
        <w:rPr>
          <w:i/>
        </w:rPr>
        <w:t>of</w:t>
      </w:r>
      <w:r>
        <w:rPr>
          <w:i/>
          <w:spacing w:val="-14"/>
        </w:rPr>
        <w:t xml:space="preserve"> </w:t>
      </w:r>
      <w:r>
        <w:rPr>
          <w:i/>
        </w:rPr>
        <w:t>the</w:t>
      </w:r>
      <w:r>
        <w:rPr>
          <w:i/>
          <w:spacing w:val="-14"/>
        </w:rPr>
        <w:t xml:space="preserve"> </w:t>
      </w:r>
      <w:r>
        <w:rPr>
          <w:i/>
        </w:rPr>
        <w:t>Sexual</w:t>
      </w:r>
      <w:r>
        <w:rPr>
          <w:i/>
          <w:spacing w:val="-12"/>
        </w:rPr>
        <w:t xml:space="preserve"> </w:t>
      </w:r>
      <w:r>
        <w:rPr>
          <w:i/>
        </w:rPr>
        <w:t>Victimization</w:t>
      </w:r>
      <w:r>
        <w:rPr>
          <w:i/>
          <w:spacing w:val="-13"/>
        </w:rPr>
        <w:t xml:space="preserve"> </w:t>
      </w:r>
      <w:r>
        <w:rPr>
          <w:i/>
        </w:rPr>
        <w:t>Report;</w:t>
      </w:r>
      <w:r>
        <w:rPr>
          <w:i/>
          <w:spacing w:val="-12"/>
        </w:rPr>
        <w:t xml:space="preserve"> </w:t>
      </w:r>
      <w:r>
        <w:rPr>
          <w:i/>
        </w:rPr>
        <w:t>editing and proofreading by Massachusetts Commission on LGBTQ Youth staff.</w:t>
      </w:r>
    </w:p>
    <w:p w:rsidR="00C76E6D" w:rsidRDefault="00C76E6D">
      <w:pPr>
        <w:pStyle w:val="BodyText"/>
        <w:rPr>
          <w:i/>
        </w:rPr>
      </w:pPr>
    </w:p>
    <w:p w:rsidR="00C76E6D" w:rsidRDefault="00C76E6D">
      <w:pPr>
        <w:pStyle w:val="BodyText"/>
        <w:spacing w:before="11"/>
        <w:rPr>
          <w:i/>
          <w:sz w:val="21"/>
        </w:rPr>
      </w:pPr>
    </w:p>
    <w:p w:rsidR="00C76E6D" w:rsidRDefault="00913831">
      <w:pPr>
        <w:ind w:left="480" w:right="794" w:hanging="2"/>
        <w:jc w:val="both"/>
        <w:rPr>
          <w:sz w:val="20"/>
        </w:rPr>
      </w:pPr>
      <w:bookmarkStart w:id="685" w:name="_bookmark513"/>
      <w:bookmarkEnd w:id="685"/>
      <w:r>
        <w:rPr>
          <w:sz w:val="20"/>
          <w:vertAlign w:val="superscript"/>
        </w:rPr>
        <w:t>1</w:t>
      </w:r>
      <w:r>
        <w:rPr>
          <w:sz w:val="20"/>
        </w:rPr>
        <w:t xml:space="preserve"> Sexual violence is defined</w:t>
      </w:r>
      <w:r>
        <w:rPr>
          <w:spacing w:val="-1"/>
          <w:sz w:val="20"/>
        </w:rPr>
        <w:t xml:space="preserve"> </w:t>
      </w:r>
      <w:r>
        <w:rPr>
          <w:sz w:val="20"/>
        </w:rPr>
        <w:t>as</w:t>
      </w:r>
      <w:r>
        <w:rPr>
          <w:spacing w:val="-1"/>
          <w:sz w:val="20"/>
        </w:rPr>
        <w:t xml:space="preserve"> </w:t>
      </w:r>
      <w:r>
        <w:rPr>
          <w:sz w:val="20"/>
        </w:rPr>
        <w:t>any sexual interaction where an offender</w:t>
      </w:r>
      <w:r>
        <w:rPr>
          <w:spacing w:val="-2"/>
          <w:sz w:val="20"/>
        </w:rPr>
        <w:t xml:space="preserve"> </w:t>
      </w:r>
      <w:r>
        <w:rPr>
          <w:sz w:val="20"/>
        </w:rPr>
        <w:t>exerts power and control over</w:t>
      </w:r>
      <w:r>
        <w:rPr>
          <w:spacing w:val="-1"/>
          <w:sz w:val="20"/>
        </w:rPr>
        <w:t xml:space="preserve"> </w:t>
      </w:r>
      <w:r>
        <w:rPr>
          <w:sz w:val="20"/>
        </w:rPr>
        <w:t>another person</w:t>
      </w:r>
      <w:r>
        <w:rPr>
          <w:spacing w:val="-2"/>
          <w:sz w:val="20"/>
        </w:rPr>
        <w:t xml:space="preserve"> </w:t>
      </w:r>
      <w:r>
        <w:rPr>
          <w:sz w:val="20"/>
        </w:rPr>
        <w:t>without</w:t>
      </w:r>
      <w:r>
        <w:rPr>
          <w:spacing w:val="-2"/>
          <w:sz w:val="20"/>
        </w:rPr>
        <w:t xml:space="preserve"> </w:t>
      </w:r>
      <w:r>
        <w:rPr>
          <w:sz w:val="20"/>
        </w:rPr>
        <w:t>their</w:t>
      </w:r>
      <w:r>
        <w:rPr>
          <w:spacing w:val="-2"/>
          <w:sz w:val="20"/>
        </w:rPr>
        <w:t xml:space="preserve"> </w:t>
      </w:r>
      <w:r>
        <w:rPr>
          <w:sz w:val="20"/>
        </w:rPr>
        <w:t>consent.</w:t>
      </w:r>
      <w:r>
        <w:rPr>
          <w:spacing w:val="-2"/>
          <w:sz w:val="20"/>
        </w:rPr>
        <w:t xml:space="preserve"> </w:t>
      </w:r>
      <w:r>
        <w:rPr>
          <w:sz w:val="20"/>
        </w:rPr>
        <w:t>Boston</w:t>
      </w:r>
      <w:r>
        <w:rPr>
          <w:spacing w:val="-3"/>
          <w:sz w:val="20"/>
        </w:rPr>
        <w:t xml:space="preserve"> </w:t>
      </w:r>
      <w:r>
        <w:rPr>
          <w:sz w:val="20"/>
        </w:rPr>
        <w:t>Area</w:t>
      </w:r>
      <w:r>
        <w:rPr>
          <w:spacing w:val="-3"/>
          <w:sz w:val="20"/>
        </w:rPr>
        <w:t xml:space="preserve"> </w:t>
      </w:r>
      <w:r>
        <w:rPr>
          <w:sz w:val="20"/>
        </w:rPr>
        <w:t>Rape</w:t>
      </w:r>
      <w:r>
        <w:rPr>
          <w:spacing w:val="-3"/>
          <w:sz w:val="20"/>
        </w:rPr>
        <w:t xml:space="preserve"> </w:t>
      </w:r>
      <w:r>
        <w:rPr>
          <w:sz w:val="20"/>
        </w:rPr>
        <w:t>Crisis</w:t>
      </w:r>
      <w:r>
        <w:rPr>
          <w:spacing w:val="-3"/>
          <w:sz w:val="20"/>
        </w:rPr>
        <w:t xml:space="preserve"> </w:t>
      </w:r>
      <w:r>
        <w:rPr>
          <w:sz w:val="20"/>
        </w:rPr>
        <w:t>Center,</w:t>
      </w:r>
      <w:r>
        <w:rPr>
          <w:spacing w:val="-2"/>
          <w:sz w:val="20"/>
        </w:rPr>
        <w:t xml:space="preserve"> </w:t>
      </w:r>
      <w:r>
        <w:rPr>
          <w:sz w:val="20"/>
        </w:rPr>
        <w:t>“About</w:t>
      </w:r>
      <w:r>
        <w:rPr>
          <w:spacing w:val="-2"/>
          <w:sz w:val="20"/>
        </w:rPr>
        <w:t xml:space="preserve"> </w:t>
      </w:r>
      <w:r>
        <w:rPr>
          <w:sz w:val="20"/>
        </w:rPr>
        <w:t>sexual</w:t>
      </w:r>
      <w:r>
        <w:rPr>
          <w:spacing w:val="-2"/>
          <w:sz w:val="20"/>
        </w:rPr>
        <w:t xml:space="preserve"> </w:t>
      </w:r>
      <w:r>
        <w:rPr>
          <w:sz w:val="20"/>
        </w:rPr>
        <w:t>violence,”</w:t>
      </w:r>
      <w:r>
        <w:rPr>
          <w:spacing w:val="-1"/>
          <w:sz w:val="20"/>
        </w:rPr>
        <w:t xml:space="preserve"> </w:t>
      </w:r>
      <w:r>
        <w:rPr>
          <w:sz w:val="20"/>
        </w:rPr>
        <w:t>accessed</w:t>
      </w:r>
      <w:r>
        <w:rPr>
          <w:spacing w:val="-1"/>
          <w:sz w:val="20"/>
        </w:rPr>
        <w:t xml:space="preserve"> </w:t>
      </w:r>
      <w:r>
        <w:rPr>
          <w:sz w:val="20"/>
        </w:rPr>
        <w:t>May</w:t>
      </w:r>
      <w:r>
        <w:rPr>
          <w:spacing w:val="-2"/>
          <w:sz w:val="20"/>
        </w:rPr>
        <w:t xml:space="preserve"> </w:t>
      </w:r>
      <w:r>
        <w:rPr>
          <w:sz w:val="20"/>
        </w:rPr>
        <w:t>14,</w:t>
      </w:r>
      <w:r>
        <w:rPr>
          <w:spacing w:val="-3"/>
          <w:sz w:val="20"/>
        </w:rPr>
        <w:t xml:space="preserve"> </w:t>
      </w:r>
      <w:r>
        <w:rPr>
          <w:sz w:val="20"/>
        </w:rPr>
        <w:t xml:space="preserve">2022, </w:t>
      </w:r>
      <w:r>
        <w:rPr>
          <w:spacing w:val="-2"/>
          <w:sz w:val="20"/>
        </w:rPr>
        <w:t>https://barcc.org/information/facts.</w:t>
      </w:r>
    </w:p>
    <w:p w:rsidR="00C76E6D" w:rsidRDefault="00913831">
      <w:pPr>
        <w:spacing w:before="160"/>
        <w:ind w:left="480" w:right="530" w:hanging="2"/>
        <w:rPr>
          <w:sz w:val="20"/>
        </w:rPr>
      </w:pPr>
      <w:bookmarkStart w:id="686" w:name="_bookmark514"/>
      <w:bookmarkEnd w:id="686"/>
      <w:r>
        <w:rPr>
          <w:sz w:val="20"/>
          <w:vertAlign w:val="superscript"/>
        </w:rPr>
        <w:t>2</w:t>
      </w:r>
      <w:r>
        <w:rPr>
          <w:spacing w:val="-6"/>
          <w:sz w:val="20"/>
        </w:rPr>
        <w:t xml:space="preserve"> </w:t>
      </w:r>
      <w:r>
        <w:rPr>
          <w:sz w:val="20"/>
        </w:rPr>
        <w:t>Lindsay</w:t>
      </w:r>
      <w:r>
        <w:rPr>
          <w:spacing w:val="-6"/>
          <w:sz w:val="20"/>
        </w:rPr>
        <w:t xml:space="preserve"> </w:t>
      </w:r>
      <w:r>
        <w:rPr>
          <w:sz w:val="20"/>
        </w:rPr>
        <w:t>K.</w:t>
      </w:r>
      <w:r>
        <w:rPr>
          <w:spacing w:val="-7"/>
          <w:sz w:val="20"/>
        </w:rPr>
        <w:t xml:space="preserve"> </w:t>
      </w:r>
      <w:r>
        <w:rPr>
          <w:sz w:val="20"/>
        </w:rPr>
        <w:t>Semprevivo,</w:t>
      </w:r>
      <w:r>
        <w:rPr>
          <w:spacing w:val="-6"/>
          <w:sz w:val="20"/>
        </w:rPr>
        <w:t xml:space="preserve"> </w:t>
      </w:r>
      <w:r>
        <w:rPr>
          <w:sz w:val="20"/>
        </w:rPr>
        <w:t>“Dating</w:t>
      </w:r>
      <w:r>
        <w:rPr>
          <w:spacing w:val="-6"/>
          <w:sz w:val="20"/>
        </w:rPr>
        <w:t xml:space="preserve"> </w:t>
      </w:r>
      <w:r>
        <w:rPr>
          <w:sz w:val="20"/>
        </w:rPr>
        <w:t>and</w:t>
      </w:r>
      <w:r>
        <w:rPr>
          <w:spacing w:val="-6"/>
          <w:sz w:val="20"/>
        </w:rPr>
        <w:t xml:space="preserve"> </w:t>
      </w:r>
      <w:r>
        <w:rPr>
          <w:sz w:val="20"/>
        </w:rPr>
        <w:t>Sexual</w:t>
      </w:r>
      <w:r>
        <w:rPr>
          <w:spacing w:val="-7"/>
          <w:sz w:val="20"/>
        </w:rPr>
        <w:t xml:space="preserve"> </w:t>
      </w:r>
      <w:r>
        <w:rPr>
          <w:sz w:val="20"/>
        </w:rPr>
        <w:t>Violence</w:t>
      </w:r>
      <w:r>
        <w:rPr>
          <w:spacing w:val="-6"/>
          <w:sz w:val="20"/>
        </w:rPr>
        <w:t xml:space="preserve"> </w:t>
      </w:r>
      <w:r>
        <w:rPr>
          <w:sz w:val="20"/>
        </w:rPr>
        <w:t>Victimization</w:t>
      </w:r>
      <w:r>
        <w:rPr>
          <w:spacing w:val="-6"/>
          <w:sz w:val="20"/>
        </w:rPr>
        <w:t xml:space="preserve"> </w:t>
      </w:r>
      <w:r>
        <w:rPr>
          <w:sz w:val="20"/>
        </w:rPr>
        <w:t>among</w:t>
      </w:r>
      <w:r>
        <w:rPr>
          <w:spacing w:val="-6"/>
          <w:sz w:val="20"/>
        </w:rPr>
        <w:t xml:space="preserve"> </w:t>
      </w:r>
      <w:r>
        <w:rPr>
          <w:sz w:val="20"/>
        </w:rPr>
        <w:t>Lesbian,</w:t>
      </w:r>
      <w:r>
        <w:rPr>
          <w:spacing w:val="-6"/>
          <w:sz w:val="20"/>
        </w:rPr>
        <w:t xml:space="preserve"> </w:t>
      </w:r>
      <w:r>
        <w:rPr>
          <w:sz w:val="20"/>
        </w:rPr>
        <w:t>Gay,</w:t>
      </w:r>
      <w:r>
        <w:rPr>
          <w:spacing w:val="-6"/>
          <w:sz w:val="20"/>
        </w:rPr>
        <w:t xml:space="preserve"> </w:t>
      </w:r>
      <w:r>
        <w:rPr>
          <w:sz w:val="20"/>
        </w:rPr>
        <w:t>Bisexual,</w:t>
      </w:r>
      <w:r>
        <w:rPr>
          <w:spacing w:val="-6"/>
          <w:sz w:val="20"/>
        </w:rPr>
        <w:t xml:space="preserve"> </w:t>
      </w:r>
      <w:r>
        <w:rPr>
          <w:sz w:val="20"/>
        </w:rPr>
        <w:t>and</w:t>
      </w:r>
      <w:r>
        <w:rPr>
          <w:spacing w:val="-8"/>
          <w:sz w:val="20"/>
        </w:rPr>
        <w:t xml:space="preserve"> </w:t>
      </w:r>
      <w:r>
        <w:rPr>
          <w:sz w:val="20"/>
        </w:rPr>
        <w:t>Questioning You</w:t>
      </w:r>
      <w:r>
        <w:rPr>
          <w:sz w:val="20"/>
        </w:rPr>
        <w:t xml:space="preserve">th: Considering the Importance of Gender and Sexual Orientation,” </w:t>
      </w:r>
      <w:r>
        <w:rPr>
          <w:i/>
          <w:sz w:val="20"/>
        </w:rPr>
        <w:t xml:space="preserve">Journal of Aggression, Maltreatment &amp; Trauma </w:t>
      </w:r>
      <w:r>
        <w:rPr>
          <w:sz w:val="20"/>
        </w:rPr>
        <w:t>30, no. 5 (2021).</w:t>
      </w:r>
    </w:p>
    <w:p w:rsidR="00C76E6D" w:rsidRDefault="00913831">
      <w:pPr>
        <w:spacing w:before="161"/>
        <w:ind w:left="480" w:right="2086" w:hanging="2"/>
        <w:rPr>
          <w:sz w:val="20"/>
        </w:rPr>
      </w:pPr>
      <w:bookmarkStart w:id="687" w:name="_bookmark515"/>
      <w:bookmarkEnd w:id="687"/>
      <w:r>
        <w:rPr>
          <w:sz w:val="20"/>
          <w:vertAlign w:val="superscript"/>
        </w:rPr>
        <w:t>3</w:t>
      </w:r>
      <w:r>
        <w:rPr>
          <w:spacing w:val="-5"/>
          <w:sz w:val="20"/>
        </w:rPr>
        <w:t xml:space="preserve"> </w:t>
      </w:r>
      <w:r>
        <w:rPr>
          <w:sz w:val="20"/>
        </w:rPr>
        <w:t>“Sexual</w:t>
      </w:r>
      <w:r>
        <w:rPr>
          <w:spacing w:val="-7"/>
          <w:sz w:val="20"/>
        </w:rPr>
        <w:t xml:space="preserve"> </w:t>
      </w:r>
      <w:r>
        <w:rPr>
          <w:sz w:val="20"/>
        </w:rPr>
        <w:t>Assault</w:t>
      </w:r>
      <w:r>
        <w:rPr>
          <w:spacing w:val="-5"/>
          <w:sz w:val="20"/>
        </w:rPr>
        <w:t xml:space="preserve"> </w:t>
      </w:r>
      <w:r>
        <w:rPr>
          <w:sz w:val="20"/>
        </w:rPr>
        <w:t>and</w:t>
      </w:r>
      <w:r>
        <w:rPr>
          <w:spacing w:val="-5"/>
          <w:sz w:val="20"/>
        </w:rPr>
        <w:t xml:space="preserve"> </w:t>
      </w:r>
      <w:r>
        <w:rPr>
          <w:sz w:val="20"/>
        </w:rPr>
        <w:t>the</w:t>
      </w:r>
      <w:r>
        <w:rPr>
          <w:spacing w:val="-6"/>
          <w:sz w:val="20"/>
        </w:rPr>
        <w:t xml:space="preserve"> </w:t>
      </w:r>
      <w:r>
        <w:rPr>
          <w:sz w:val="20"/>
        </w:rPr>
        <w:t>LGBTQ</w:t>
      </w:r>
      <w:r>
        <w:rPr>
          <w:spacing w:val="-6"/>
          <w:sz w:val="20"/>
        </w:rPr>
        <w:t xml:space="preserve"> </w:t>
      </w:r>
      <w:r>
        <w:rPr>
          <w:sz w:val="20"/>
        </w:rPr>
        <w:t>Community,”</w:t>
      </w:r>
      <w:r>
        <w:rPr>
          <w:spacing w:val="-6"/>
          <w:sz w:val="20"/>
        </w:rPr>
        <w:t xml:space="preserve"> </w:t>
      </w:r>
      <w:r>
        <w:rPr>
          <w:sz w:val="20"/>
        </w:rPr>
        <w:t>Human</w:t>
      </w:r>
      <w:r>
        <w:rPr>
          <w:spacing w:val="-7"/>
          <w:sz w:val="20"/>
        </w:rPr>
        <w:t xml:space="preserve"> </w:t>
      </w:r>
      <w:r>
        <w:rPr>
          <w:sz w:val="20"/>
        </w:rPr>
        <w:t>Rights</w:t>
      </w:r>
      <w:r>
        <w:rPr>
          <w:spacing w:val="-6"/>
          <w:sz w:val="20"/>
        </w:rPr>
        <w:t xml:space="preserve"> </w:t>
      </w:r>
      <w:r>
        <w:rPr>
          <w:sz w:val="20"/>
        </w:rPr>
        <w:t>Campaign,</w:t>
      </w:r>
      <w:r>
        <w:rPr>
          <w:spacing w:val="-8"/>
          <w:sz w:val="20"/>
        </w:rPr>
        <w:t xml:space="preserve"> </w:t>
      </w:r>
      <w:r>
        <w:rPr>
          <w:sz w:val="20"/>
        </w:rPr>
        <w:t>accessed</w:t>
      </w:r>
      <w:r>
        <w:rPr>
          <w:spacing w:val="-7"/>
          <w:sz w:val="20"/>
        </w:rPr>
        <w:t xml:space="preserve"> </w:t>
      </w:r>
      <w:r>
        <w:rPr>
          <w:sz w:val="20"/>
        </w:rPr>
        <w:t>May</w:t>
      </w:r>
      <w:r>
        <w:rPr>
          <w:spacing w:val="-8"/>
          <w:sz w:val="20"/>
        </w:rPr>
        <w:t xml:space="preserve"> </w:t>
      </w:r>
      <w:r>
        <w:rPr>
          <w:sz w:val="20"/>
        </w:rPr>
        <w:t>14,</w:t>
      </w:r>
      <w:r>
        <w:rPr>
          <w:spacing w:val="-7"/>
          <w:sz w:val="20"/>
        </w:rPr>
        <w:t xml:space="preserve"> </w:t>
      </w:r>
      <w:r>
        <w:rPr>
          <w:sz w:val="20"/>
        </w:rPr>
        <w:t xml:space="preserve">2022, </w:t>
      </w:r>
      <w:r>
        <w:rPr>
          <w:spacing w:val="-2"/>
          <w:sz w:val="20"/>
        </w:rPr>
        <w:t>https://</w:t>
      </w:r>
      <w:hyperlink r:id="rId348">
        <w:r>
          <w:rPr>
            <w:spacing w:val="-2"/>
            <w:sz w:val="20"/>
          </w:rPr>
          <w:t>www.hrc.org/resources/sexual-assault-and-the-lgbt-community.</w:t>
        </w:r>
      </w:hyperlink>
    </w:p>
    <w:p w:rsidR="00C76E6D" w:rsidRDefault="00913831">
      <w:pPr>
        <w:spacing w:before="159"/>
        <w:ind w:left="478" w:right="530"/>
        <w:rPr>
          <w:sz w:val="20"/>
        </w:rPr>
      </w:pPr>
      <w:bookmarkStart w:id="688" w:name="_bookmark516"/>
      <w:bookmarkEnd w:id="688"/>
      <w:r>
        <w:rPr>
          <w:sz w:val="20"/>
          <w:vertAlign w:val="superscript"/>
        </w:rPr>
        <w:t>4</w:t>
      </w:r>
      <w:r>
        <w:rPr>
          <w:sz w:val="20"/>
        </w:rPr>
        <w:t xml:space="preserve"> Laura Badenes-Riberra, Julio Sanchez-Meca, &amp; Claudio Longobardi, “The Relationship between Internalized Homop</w:t>
      </w:r>
      <w:r>
        <w:rPr>
          <w:sz w:val="20"/>
        </w:rPr>
        <w:t>hobia</w:t>
      </w:r>
      <w:r>
        <w:rPr>
          <w:spacing w:val="-7"/>
          <w:sz w:val="20"/>
        </w:rPr>
        <w:t xml:space="preserve"> </w:t>
      </w:r>
      <w:r>
        <w:rPr>
          <w:sz w:val="20"/>
        </w:rPr>
        <w:t>and</w:t>
      </w:r>
      <w:r>
        <w:rPr>
          <w:spacing w:val="-6"/>
          <w:sz w:val="20"/>
        </w:rPr>
        <w:t xml:space="preserve"> </w:t>
      </w:r>
      <w:r>
        <w:rPr>
          <w:sz w:val="20"/>
        </w:rPr>
        <w:t>Intimate</w:t>
      </w:r>
      <w:r>
        <w:rPr>
          <w:spacing w:val="-7"/>
          <w:sz w:val="20"/>
        </w:rPr>
        <w:t xml:space="preserve"> </w:t>
      </w:r>
      <w:r>
        <w:rPr>
          <w:sz w:val="20"/>
        </w:rPr>
        <w:t>Partner</w:t>
      </w:r>
      <w:r>
        <w:rPr>
          <w:spacing w:val="-7"/>
          <w:sz w:val="20"/>
        </w:rPr>
        <w:t xml:space="preserve"> </w:t>
      </w:r>
      <w:r>
        <w:rPr>
          <w:sz w:val="20"/>
        </w:rPr>
        <w:t>Violence</w:t>
      </w:r>
      <w:r>
        <w:rPr>
          <w:spacing w:val="-9"/>
          <w:sz w:val="20"/>
        </w:rPr>
        <w:t xml:space="preserve"> </w:t>
      </w:r>
      <w:r>
        <w:rPr>
          <w:sz w:val="20"/>
        </w:rPr>
        <w:t>in</w:t>
      </w:r>
      <w:r>
        <w:rPr>
          <w:spacing w:val="-6"/>
          <w:sz w:val="20"/>
        </w:rPr>
        <w:t xml:space="preserve"> </w:t>
      </w:r>
      <w:r>
        <w:rPr>
          <w:sz w:val="20"/>
        </w:rPr>
        <w:t>Same-Sex</w:t>
      </w:r>
      <w:r>
        <w:rPr>
          <w:spacing w:val="-7"/>
          <w:sz w:val="20"/>
        </w:rPr>
        <w:t xml:space="preserve"> </w:t>
      </w:r>
      <w:r>
        <w:rPr>
          <w:sz w:val="20"/>
        </w:rPr>
        <w:t>Relationships:</w:t>
      </w:r>
      <w:r>
        <w:rPr>
          <w:spacing w:val="-7"/>
          <w:sz w:val="20"/>
        </w:rPr>
        <w:t xml:space="preserve"> </w:t>
      </w:r>
      <w:r>
        <w:rPr>
          <w:sz w:val="20"/>
        </w:rPr>
        <w:t>A</w:t>
      </w:r>
      <w:r>
        <w:rPr>
          <w:spacing w:val="-7"/>
          <w:sz w:val="20"/>
        </w:rPr>
        <w:t xml:space="preserve"> </w:t>
      </w:r>
      <w:r>
        <w:rPr>
          <w:sz w:val="20"/>
        </w:rPr>
        <w:t>Meta-Analysis,”</w:t>
      </w:r>
      <w:r>
        <w:rPr>
          <w:spacing w:val="-6"/>
          <w:sz w:val="20"/>
        </w:rPr>
        <w:t xml:space="preserve"> </w:t>
      </w:r>
      <w:r>
        <w:rPr>
          <w:i/>
          <w:sz w:val="20"/>
        </w:rPr>
        <w:t>Trauma,</w:t>
      </w:r>
      <w:r>
        <w:rPr>
          <w:i/>
          <w:spacing w:val="-7"/>
          <w:sz w:val="20"/>
        </w:rPr>
        <w:t xml:space="preserve"> </w:t>
      </w:r>
      <w:r>
        <w:rPr>
          <w:i/>
          <w:sz w:val="20"/>
        </w:rPr>
        <w:t>Violence,</w:t>
      </w:r>
      <w:r>
        <w:rPr>
          <w:i/>
          <w:spacing w:val="-7"/>
          <w:sz w:val="20"/>
        </w:rPr>
        <w:t xml:space="preserve"> </w:t>
      </w:r>
      <w:r>
        <w:rPr>
          <w:i/>
          <w:sz w:val="20"/>
        </w:rPr>
        <w:t xml:space="preserve">&amp; Abuse </w:t>
      </w:r>
      <w:r>
        <w:rPr>
          <w:sz w:val="20"/>
        </w:rPr>
        <w:t>20, no. 3 (2019).</w:t>
      </w:r>
    </w:p>
    <w:p w:rsidR="00C76E6D" w:rsidRDefault="00913831">
      <w:pPr>
        <w:spacing w:before="161"/>
        <w:ind w:left="480" w:right="736" w:hanging="2"/>
        <w:jc w:val="both"/>
        <w:rPr>
          <w:sz w:val="20"/>
        </w:rPr>
      </w:pPr>
      <w:bookmarkStart w:id="689" w:name="_bookmark517"/>
      <w:bookmarkEnd w:id="689"/>
      <w:r>
        <w:rPr>
          <w:sz w:val="20"/>
          <w:vertAlign w:val="superscript"/>
        </w:rPr>
        <w:t>5</w:t>
      </w:r>
      <w:r>
        <w:rPr>
          <w:spacing w:val="-3"/>
          <w:sz w:val="20"/>
        </w:rPr>
        <w:t xml:space="preserve"> </w:t>
      </w:r>
      <w:r>
        <w:rPr>
          <w:sz w:val="20"/>
        </w:rPr>
        <w:t>“Victim-Centered</w:t>
      </w:r>
      <w:r>
        <w:rPr>
          <w:spacing w:val="-3"/>
          <w:sz w:val="20"/>
        </w:rPr>
        <w:t xml:space="preserve"> </w:t>
      </w:r>
      <w:r>
        <w:rPr>
          <w:sz w:val="20"/>
        </w:rPr>
        <w:t>Approaches:</w:t>
      </w:r>
      <w:r>
        <w:rPr>
          <w:spacing w:val="-3"/>
          <w:sz w:val="20"/>
        </w:rPr>
        <w:t xml:space="preserve"> </w:t>
      </w:r>
      <w:r>
        <w:rPr>
          <w:sz w:val="20"/>
        </w:rPr>
        <w:t>Section</w:t>
      </w:r>
      <w:r>
        <w:rPr>
          <w:spacing w:val="-3"/>
          <w:sz w:val="20"/>
        </w:rPr>
        <w:t xml:space="preserve"> </w:t>
      </w:r>
      <w:r>
        <w:rPr>
          <w:sz w:val="20"/>
        </w:rPr>
        <w:t>Six,”</w:t>
      </w:r>
      <w:r>
        <w:rPr>
          <w:spacing w:val="-3"/>
          <w:sz w:val="20"/>
        </w:rPr>
        <w:t xml:space="preserve"> </w:t>
      </w:r>
      <w:r>
        <w:rPr>
          <w:sz w:val="20"/>
        </w:rPr>
        <w:t>National</w:t>
      </w:r>
      <w:r>
        <w:rPr>
          <w:spacing w:val="-3"/>
          <w:sz w:val="20"/>
        </w:rPr>
        <w:t xml:space="preserve"> </w:t>
      </w:r>
      <w:r>
        <w:rPr>
          <w:sz w:val="20"/>
        </w:rPr>
        <w:t>Sexual</w:t>
      </w:r>
      <w:r>
        <w:rPr>
          <w:spacing w:val="-3"/>
          <w:sz w:val="20"/>
        </w:rPr>
        <w:t xml:space="preserve"> </w:t>
      </w:r>
      <w:r>
        <w:rPr>
          <w:sz w:val="20"/>
        </w:rPr>
        <w:t>Violence</w:t>
      </w:r>
      <w:r>
        <w:rPr>
          <w:spacing w:val="-4"/>
          <w:sz w:val="20"/>
        </w:rPr>
        <w:t xml:space="preserve"> </w:t>
      </w:r>
      <w:r>
        <w:rPr>
          <w:sz w:val="20"/>
        </w:rPr>
        <w:t>Resource</w:t>
      </w:r>
      <w:r>
        <w:rPr>
          <w:spacing w:val="-3"/>
          <w:sz w:val="20"/>
        </w:rPr>
        <w:t xml:space="preserve"> </w:t>
      </w:r>
      <w:r>
        <w:rPr>
          <w:sz w:val="20"/>
        </w:rPr>
        <w:t>Center,</w:t>
      </w:r>
      <w:r>
        <w:rPr>
          <w:spacing w:val="-3"/>
          <w:sz w:val="20"/>
        </w:rPr>
        <w:t xml:space="preserve"> </w:t>
      </w:r>
      <w:r>
        <w:rPr>
          <w:sz w:val="20"/>
        </w:rPr>
        <w:t>accessed</w:t>
      </w:r>
      <w:r>
        <w:rPr>
          <w:spacing w:val="-4"/>
          <w:sz w:val="20"/>
        </w:rPr>
        <w:t xml:space="preserve"> </w:t>
      </w:r>
      <w:r>
        <w:rPr>
          <w:sz w:val="20"/>
        </w:rPr>
        <w:t>May</w:t>
      </w:r>
      <w:r>
        <w:rPr>
          <w:spacing w:val="-3"/>
          <w:sz w:val="20"/>
        </w:rPr>
        <w:t xml:space="preserve"> </w:t>
      </w:r>
      <w:r>
        <w:rPr>
          <w:sz w:val="20"/>
        </w:rPr>
        <w:t>14,</w:t>
      </w:r>
      <w:r>
        <w:rPr>
          <w:spacing w:val="-3"/>
          <w:sz w:val="20"/>
        </w:rPr>
        <w:t xml:space="preserve"> </w:t>
      </w:r>
      <w:r>
        <w:rPr>
          <w:sz w:val="20"/>
        </w:rPr>
        <w:t xml:space="preserve">2022, </w:t>
      </w:r>
      <w:r>
        <w:rPr>
          <w:spacing w:val="-2"/>
          <w:sz w:val="20"/>
        </w:rPr>
        <w:t>https://</w:t>
      </w:r>
      <w:hyperlink r:id="rId349">
        <w:r>
          <w:rPr>
            <w:spacing w:val="-2"/>
            <w:sz w:val="20"/>
          </w:rPr>
          <w:t>www.nsvrc.org/sarts/toolkit/6-8.</w:t>
        </w:r>
      </w:hyperlink>
    </w:p>
    <w:p w:rsidR="00C76E6D" w:rsidRDefault="00913831">
      <w:pPr>
        <w:spacing w:before="159"/>
        <w:ind w:left="478" w:right="678" w:hanging="1"/>
        <w:rPr>
          <w:sz w:val="20"/>
        </w:rPr>
      </w:pPr>
      <w:bookmarkStart w:id="690" w:name="_bookmark518"/>
      <w:bookmarkEnd w:id="690"/>
      <w:r>
        <w:rPr>
          <w:sz w:val="20"/>
          <w:vertAlign w:val="superscript"/>
        </w:rPr>
        <w:t>6</w:t>
      </w:r>
      <w:r>
        <w:rPr>
          <w:sz w:val="20"/>
        </w:rPr>
        <w:t xml:space="preserve"> “Partner Abuse in LGBQ/T Communities,” The Network/La Red, accessed May 14, 2022, https://</w:t>
      </w:r>
      <w:hyperlink r:id="rId350">
        <w:r>
          <w:rPr>
            <w:sz w:val="20"/>
          </w:rPr>
          <w:t>www.tnlr.org/en/partner-abuse-in-lgbq-t-communities;</w:t>
        </w:r>
        <w:r>
          <w:rPr>
            <w:spacing w:val="-10"/>
            <w:sz w:val="20"/>
          </w:rPr>
          <w:t xml:space="preserve"> </w:t>
        </w:r>
      </w:hyperlink>
      <w:r>
        <w:rPr>
          <w:sz w:val="20"/>
        </w:rPr>
        <w:t>“About</w:t>
      </w:r>
      <w:r>
        <w:rPr>
          <w:spacing w:val="-11"/>
          <w:sz w:val="20"/>
        </w:rPr>
        <w:t xml:space="preserve"> </w:t>
      </w:r>
      <w:r>
        <w:rPr>
          <w:sz w:val="20"/>
        </w:rPr>
        <w:t>Sexual</w:t>
      </w:r>
      <w:r>
        <w:rPr>
          <w:spacing w:val="-10"/>
          <w:sz w:val="20"/>
        </w:rPr>
        <w:t xml:space="preserve"> </w:t>
      </w:r>
      <w:r>
        <w:rPr>
          <w:sz w:val="20"/>
        </w:rPr>
        <w:t>Violence,”</w:t>
      </w:r>
      <w:r>
        <w:rPr>
          <w:spacing w:val="-10"/>
          <w:sz w:val="20"/>
        </w:rPr>
        <w:t xml:space="preserve"> </w:t>
      </w:r>
      <w:r>
        <w:rPr>
          <w:sz w:val="20"/>
        </w:rPr>
        <w:t>Boston</w:t>
      </w:r>
      <w:r>
        <w:rPr>
          <w:spacing w:val="-11"/>
          <w:sz w:val="20"/>
        </w:rPr>
        <w:t xml:space="preserve"> </w:t>
      </w:r>
      <w:r>
        <w:rPr>
          <w:sz w:val="20"/>
        </w:rPr>
        <w:t>Area</w:t>
      </w:r>
      <w:r>
        <w:rPr>
          <w:spacing w:val="-12"/>
          <w:sz w:val="20"/>
        </w:rPr>
        <w:t xml:space="preserve"> </w:t>
      </w:r>
      <w:r>
        <w:rPr>
          <w:sz w:val="20"/>
        </w:rPr>
        <w:t>Rape</w:t>
      </w:r>
      <w:r>
        <w:rPr>
          <w:spacing w:val="-11"/>
          <w:sz w:val="20"/>
        </w:rPr>
        <w:t xml:space="preserve"> </w:t>
      </w:r>
      <w:r>
        <w:rPr>
          <w:sz w:val="20"/>
        </w:rPr>
        <w:t>Crisis Center, accessed May 14, 2022, https://barcc.org/information/facts.</w:t>
      </w:r>
    </w:p>
    <w:p w:rsidR="00C76E6D" w:rsidRDefault="00913831">
      <w:pPr>
        <w:spacing w:before="160"/>
        <w:ind w:left="480" w:right="1600" w:hanging="2"/>
        <w:rPr>
          <w:sz w:val="20"/>
        </w:rPr>
      </w:pPr>
      <w:bookmarkStart w:id="691" w:name="_bookmark519"/>
      <w:bookmarkEnd w:id="691"/>
      <w:r>
        <w:rPr>
          <w:sz w:val="20"/>
          <w:vertAlign w:val="superscript"/>
        </w:rPr>
        <w:t>7</w:t>
      </w:r>
      <w:r>
        <w:rPr>
          <w:spacing w:val="-6"/>
          <w:sz w:val="20"/>
        </w:rPr>
        <w:t xml:space="preserve"> </w:t>
      </w:r>
      <w:r>
        <w:rPr>
          <w:sz w:val="20"/>
        </w:rPr>
        <w:t>“Abou</w:t>
      </w:r>
      <w:r>
        <w:rPr>
          <w:sz w:val="20"/>
        </w:rPr>
        <w:t>t</w:t>
      </w:r>
      <w:r>
        <w:rPr>
          <w:spacing w:val="-8"/>
          <w:sz w:val="20"/>
        </w:rPr>
        <w:t xml:space="preserve"> </w:t>
      </w:r>
      <w:r>
        <w:rPr>
          <w:sz w:val="20"/>
        </w:rPr>
        <w:t>Sexual</w:t>
      </w:r>
      <w:r>
        <w:rPr>
          <w:spacing w:val="-7"/>
          <w:sz w:val="20"/>
        </w:rPr>
        <w:t xml:space="preserve"> </w:t>
      </w:r>
      <w:r>
        <w:rPr>
          <w:sz w:val="20"/>
        </w:rPr>
        <w:t>Violence,”</w:t>
      </w:r>
      <w:r>
        <w:rPr>
          <w:spacing w:val="-7"/>
          <w:sz w:val="20"/>
        </w:rPr>
        <w:t xml:space="preserve"> </w:t>
      </w:r>
      <w:r>
        <w:rPr>
          <w:sz w:val="20"/>
        </w:rPr>
        <w:t>Boston</w:t>
      </w:r>
      <w:r>
        <w:rPr>
          <w:spacing w:val="-8"/>
          <w:sz w:val="20"/>
        </w:rPr>
        <w:t xml:space="preserve"> </w:t>
      </w:r>
      <w:r>
        <w:rPr>
          <w:sz w:val="20"/>
        </w:rPr>
        <w:t>Area</w:t>
      </w:r>
      <w:r>
        <w:rPr>
          <w:spacing w:val="-8"/>
          <w:sz w:val="20"/>
        </w:rPr>
        <w:t xml:space="preserve"> </w:t>
      </w:r>
      <w:r>
        <w:rPr>
          <w:sz w:val="20"/>
        </w:rPr>
        <w:t>Rape</w:t>
      </w:r>
      <w:r>
        <w:rPr>
          <w:spacing w:val="-9"/>
          <w:sz w:val="20"/>
        </w:rPr>
        <w:t xml:space="preserve"> </w:t>
      </w:r>
      <w:r>
        <w:rPr>
          <w:sz w:val="20"/>
        </w:rPr>
        <w:t>Crisis</w:t>
      </w:r>
      <w:r>
        <w:rPr>
          <w:spacing w:val="-7"/>
          <w:sz w:val="20"/>
        </w:rPr>
        <w:t xml:space="preserve"> </w:t>
      </w:r>
      <w:r>
        <w:rPr>
          <w:sz w:val="20"/>
        </w:rPr>
        <w:t>Center,</w:t>
      </w:r>
      <w:r>
        <w:rPr>
          <w:spacing w:val="-6"/>
          <w:sz w:val="20"/>
        </w:rPr>
        <w:t xml:space="preserve"> </w:t>
      </w:r>
      <w:r>
        <w:rPr>
          <w:sz w:val="20"/>
        </w:rPr>
        <w:t>accessed</w:t>
      </w:r>
      <w:r>
        <w:rPr>
          <w:spacing w:val="-8"/>
          <w:sz w:val="20"/>
        </w:rPr>
        <w:t xml:space="preserve"> </w:t>
      </w:r>
      <w:r>
        <w:rPr>
          <w:sz w:val="20"/>
        </w:rPr>
        <w:t>May</w:t>
      </w:r>
      <w:r>
        <w:rPr>
          <w:spacing w:val="-9"/>
          <w:sz w:val="20"/>
        </w:rPr>
        <w:t xml:space="preserve"> </w:t>
      </w:r>
      <w:r>
        <w:rPr>
          <w:sz w:val="20"/>
        </w:rPr>
        <w:t>14,</w:t>
      </w:r>
      <w:r>
        <w:rPr>
          <w:spacing w:val="-9"/>
          <w:sz w:val="20"/>
        </w:rPr>
        <w:t xml:space="preserve"> </w:t>
      </w:r>
      <w:r>
        <w:rPr>
          <w:sz w:val="20"/>
        </w:rPr>
        <w:t xml:space="preserve">2022, </w:t>
      </w:r>
      <w:r>
        <w:rPr>
          <w:spacing w:val="-2"/>
          <w:sz w:val="20"/>
        </w:rPr>
        <w:t>https://barcc.org/information/facts.</w:t>
      </w:r>
    </w:p>
    <w:p w:rsidR="00C76E6D" w:rsidRDefault="00913831">
      <w:pPr>
        <w:spacing w:before="162"/>
        <w:ind w:left="481" w:right="651" w:hanging="3"/>
        <w:jc w:val="both"/>
        <w:rPr>
          <w:sz w:val="20"/>
        </w:rPr>
      </w:pPr>
      <w:bookmarkStart w:id="692" w:name="_bookmark520"/>
      <w:bookmarkEnd w:id="692"/>
      <w:r>
        <w:rPr>
          <w:sz w:val="20"/>
          <w:vertAlign w:val="superscript"/>
        </w:rPr>
        <w:t>8</w:t>
      </w:r>
      <w:r>
        <w:rPr>
          <w:spacing w:val="-4"/>
          <w:sz w:val="20"/>
        </w:rPr>
        <w:t xml:space="preserve"> </w:t>
      </w:r>
      <w:r>
        <w:rPr>
          <w:sz w:val="20"/>
        </w:rPr>
        <w:t>Beth</w:t>
      </w:r>
      <w:r>
        <w:rPr>
          <w:spacing w:val="-5"/>
          <w:sz w:val="20"/>
        </w:rPr>
        <w:t xml:space="preserve"> </w:t>
      </w:r>
      <w:r>
        <w:rPr>
          <w:sz w:val="20"/>
        </w:rPr>
        <w:t>Leventhal,</w:t>
      </w:r>
      <w:r>
        <w:rPr>
          <w:spacing w:val="-4"/>
          <w:sz w:val="20"/>
        </w:rPr>
        <w:t xml:space="preserve"> </w:t>
      </w:r>
      <w:r>
        <w:rPr>
          <w:sz w:val="20"/>
        </w:rPr>
        <w:t>Charly</w:t>
      </w:r>
      <w:r>
        <w:rPr>
          <w:spacing w:val="-6"/>
          <w:sz w:val="20"/>
        </w:rPr>
        <w:t xml:space="preserve"> </w:t>
      </w:r>
      <w:r>
        <w:rPr>
          <w:sz w:val="20"/>
        </w:rPr>
        <w:t>Robles,</w:t>
      </w:r>
      <w:r>
        <w:rPr>
          <w:spacing w:val="-4"/>
          <w:sz w:val="20"/>
        </w:rPr>
        <w:t xml:space="preserve"> </w:t>
      </w:r>
      <w:r>
        <w:rPr>
          <w:sz w:val="20"/>
        </w:rPr>
        <w:t>and</w:t>
      </w:r>
      <w:r>
        <w:rPr>
          <w:spacing w:val="-4"/>
          <w:sz w:val="20"/>
        </w:rPr>
        <w:t xml:space="preserve"> </w:t>
      </w:r>
      <w:r>
        <w:rPr>
          <w:sz w:val="20"/>
        </w:rPr>
        <w:t>Jenn</w:t>
      </w:r>
      <w:r>
        <w:rPr>
          <w:spacing w:val="-4"/>
          <w:sz w:val="20"/>
        </w:rPr>
        <w:t xml:space="preserve"> </w:t>
      </w:r>
      <w:r>
        <w:rPr>
          <w:sz w:val="20"/>
        </w:rPr>
        <w:t>Ho,</w:t>
      </w:r>
      <w:r>
        <w:rPr>
          <w:spacing w:val="-5"/>
          <w:sz w:val="20"/>
        </w:rPr>
        <w:t xml:space="preserve"> </w:t>
      </w:r>
      <w:r>
        <w:rPr>
          <w:i/>
          <w:sz w:val="20"/>
        </w:rPr>
        <w:t>Survivor</w:t>
      </w:r>
      <w:r>
        <w:rPr>
          <w:i/>
          <w:spacing w:val="-7"/>
          <w:sz w:val="20"/>
        </w:rPr>
        <w:t xml:space="preserve"> </w:t>
      </w:r>
      <w:r>
        <w:rPr>
          <w:i/>
          <w:sz w:val="20"/>
        </w:rPr>
        <w:t>Stories:</w:t>
      </w:r>
      <w:r>
        <w:rPr>
          <w:i/>
          <w:spacing w:val="-4"/>
          <w:sz w:val="20"/>
        </w:rPr>
        <w:t xml:space="preserve"> </w:t>
      </w:r>
      <w:r>
        <w:rPr>
          <w:i/>
          <w:sz w:val="20"/>
        </w:rPr>
        <w:t>Learning</w:t>
      </w:r>
      <w:r>
        <w:rPr>
          <w:i/>
          <w:spacing w:val="-6"/>
          <w:sz w:val="20"/>
        </w:rPr>
        <w:t xml:space="preserve"> </w:t>
      </w:r>
      <w:r>
        <w:rPr>
          <w:i/>
          <w:sz w:val="20"/>
        </w:rPr>
        <w:t>from</w:t>
      </w:r>
      <w:r>
        <w:rPr>
          <w:i/>
          <w:spacing w:val="-5"/>
          <w:sz w:val="20"/>
        </w:rPr>
        <w:t xml:space="preserve"> </w:t>
      </w:r>
      <w:r>
        <w:rPr>
          <w:i/>
          <w:sz w:val="20"/>
        </w:rPr>
        <w:t>the</w:t>
      </w:r>
      <w:r>
        <w:rPr>
          <w:i/>
          <w:spacing w:val="-5"/>
          <w:sz w:val="20"/>
        </w:rPr>
        <w:t xml:space="preserve"> </w:t>
      </w:r>
      <w:r>
        <w:rPr>
          <w:i/>
          <w:sz w:val="20"/>
        </w:rPr>
        <w:t>LBGQ/T</w:t>
      </w:r>
      <w:r>
        <w:rPr>
          <w:i/>
          <w:spacing w:val="-6"/>
          <w:sz w:val="20"/>
        </w:rPr>
        <w:t xml:space="preserve"> </w:t>
      </w:r>
      <w:r>
        <w:rPr>
          <w:i/>
          <w:sz w:val="20"/>
        </w:rPr>
        <w:t>Communities</w:t>
      </w:r>
      <w:r>
        <w:rPr>
          <w:i/>
          <w:spacing w:val="-6"/>
          <w:sz w:val="20"/>
        </w:rPr>
        <w:t xml:space="preserve"> </w:t>
      </w:r>
      <w:r>
        <w:rPr>
          <w:i/>
          <w:sz w:val="20"/>
        </w:rPr>
        <w:t>in</w:t>
      </w:r>
      <w:r>
        <w:rPr>
          <w:i/>
          <w:spacing w:val="-4"/>
          <w:sz w:val="20"/>
        </w:rPr>
        <w:t xml:space="preserve"> </w:t>
      </w:r>
      <w:r>
        <w:rPr>
          <w:i/>
          <w:sz w:val="20"/>
        </w:rPr>
        <w:t>MA</w:t>
      </w:r>
      <w:r>
        <w:rPr>
          <w:i/>
          <w:spacing w:val="-5"/>
          <w:sz w:val="20"/>
        </w:rPr>
        <w:t xml:space="preserve"> </w:t>
      </w:r>
      <w:r>
        <w:rPr>
          <w:sz w:val="20"/>
        </w:rPr>
        <w:t>(The Network/La Red, 2020), https://</w:t>
      </w:r>
      <w:hyperlink r:id="rId351">
        <w:r>
          <w:rPr>
            <w:sz w:val="20"/>
          </w:rPr>
          <w:t>www.tnlr.org/wp-content/uploads/CNA-w-cover-Final.pdf.</w:t>
        </w:r>
      </w:hyperlink>
    </w:p>
    <w:p w:rsidR="00C76E6D" w:rsidRDefault="00913831">
      <w:pPr>
        <w:spacing w:before="158"/>
        <w:ind w:left="480" w:right="2675" w:hanging="1"/>
        <w:rPr>
          <w:sz w:val="20"/>
        </w:rPr>
      </w:pPr>
      <w:bookmarkStart w:id="693" w:name="_bookmark521"/>
      <w:bookmarkEnd w:id="693"/>
      <w:r>
        <w:rPr>
          <w:sz w:val="20"/>
          <w:vertAlign w:val="superscript"/>
        </w:rPr>
        <w:t>9</w:t>
      </w:r>
      <w:r>
        <w:rPr>
          <w:spacing w:val="-7"/>
          <w:sz w:val="20"/>
        </w:rPr>
        <w:t xml:space="preserve"> </w:t>
      </w:r>
      <w:r>
        <w:rPr>
          <w:sz w:val="20"/>
        </w:rPr>
        <w:t>“Partner</w:t>
      </w:r>
      <w:r>
        <w:rPr>
          <w:spacing w:val="-10"/>
          <w:sz w:val="20"/>
        </w:rPr>
        <w:t xml:space="preserve"> </w:t>
      </w:r>
      <w:r>
        <w:rPr>
          <w:sz w:val="20"/>
        </w:rPr>
        <w:t>Abuse</w:t>
      </w:r>
      <w:r>
        <w:rPr>
          <w:spacing w:val="-8"/>
          <w:sz w:val="20"/>
        </w:rPr>
        <w:t xml:space="preserve"> </w:t>
      </w:r>
      <w:r>
        <w:rPr>
          <w:sz w:val="20"/>
        </w:rPr>
        <w:t>in</w:t>
      </w:r>
      <w:r>
        <w:rPr>
          <w:spacing w:val="-7"/>
          <w:sz w:val="20"/>
        </w:rPr>
        <w:t xml:space="preserve"> </w:t>
      </w:r>
      <w:r>
        <w:rPr>
          <w:sz w:val="20"/>
        </w:rPr>
        <w:t>LGBQ/T</w:t>
      </w:r>
      <w:r>
        <w:rPr>
          <w:spacing w:val="-8"/>
          <w:sz w:val="20"/>
        </w:rPr>
        <w:t xml:space="preserve"> </w:t>
      </w:r>
      <w:r>
        <w:rPr>
          <w:sz w:val="20"/>
        </w:rPr>
        <w:t>Communities,”</w:t>
      </w:r>
      <w:r>
        <w:rPr>
          <w:spacing w:val="-8"/>
          <w:sz w:val="20"/>
        </w:rPr>
        <w:t xml:space="preserve"> </w:t>
      </w:r>
      <w:r>
        <w:rPr>
          <w:sz w:val="20"/>
        </w:rPr>
        <w:t>The</w:t>
      </w:r>
      <w:r>
        <w:rPr>
          <w:spacing w:val="-8"/>
          <w:sz w:val="20"/>
        </w:rPr>
        <w:t xml:space="preserve"> </w:t>
      </w:r>
      <w:r>
        <w:rPr>
          <w:sz w:val="20"/>
        </w:rPr>
        <w:t>Network/La</w:t>
      </w:r>
      <w:r>
        <w:rPr>
          <w:spacing w:val="-8"/>
          <w:sz w:val="20"/>
        </w:rPr>
        <w:t xml:space="preserve"> </w:t>
      </w:r>
      <w:r>
        <w:rPr>
          <w:sz w:val="20"/>
        </w:rPr>
        <w:t>Red,</w:t>
      </w:r>
      <w:r>
        <w:rPr>
          <w:spacing w:val="-8"/>
          <w:sz w:val="20"/>
        </w:rPr>
        <w:t xml:space="preserve"> </w:t>
      </w:r>
      <w:r>
        <w:rPr>
          <w:sz w:val="20"/>
        </w:rPr>
        <w:t>accessed</w:t>
      </w:r>
      <w:r>
        <w:rPr>
          <w:spacing w:val="-8"/>
          <w:sz w:val="20"/>
        </w:rPr>
        <w:t xml:space="preserve"> </w:t>
      </w:r>
      <w:r>
        <w:rPr>
          <w:sz w:val="20"/>
        </w:rPr>
        <w:t>May</w:t>
      </w:r>
      <w:r>
        <w:rPr>
          <w:spacing w:val="-10"/>
          <w:sz w:val="20"/>
        </w:rPr>
        <w:t xml:space="preserve"> </w:t>
      </w:r>
      <w:r>
        <w:rPr>
          <w:sz w:val="20"/>
        </w:rPr>
        <w:t>14,</w:t>
      </w:r>
      <w:r>
        <w:rPr>
          <w:spacing w:val="-9"/>
          <w:sz w:val="20"/>
        </w:rPr>
        <w:t xml:space="preserve"> </w:t>
      </w:r>
      <w:r>
        <w:rPr>
          <w:sz w:val="20"/>
        </w:rPr>
        <w:t xml:space="preserve">2022, </w:t>
      </w:r>
      <w:r>
        <w:rPr>
          <w:spacing w:val="-2"/>
          <w:sz w:val="20"/>
        </w:rPr>
        <w:t>https://</w:t>
      </w:r>
      <w:hyperlink r:id="rId352">
        <w:r>
          <w:rPr>
            <w:spacing w:val="-2"/>
            <w:sz w:val="20"/>
          </w:rPr>
          <w:t>www.tnlr.org/en/partner-abuse-in-lgbq-t-communities.</w:t>
        </w:r>
      </w:hyperlink>
    </w:p>
    <w:p w:rsidR="00C76E6D" w:rsidRDefault="00913831">
      <w:pPr>
        <w:spacing w:before="160"/>
        <w:ind w:left="481" w:right="554" w:hanging="3"/>
        <w:jc w:val="both"/>
        <w:rPr>
          <w:i/>
          <w:sz w:val="20"/>
        </w:rPr>
      </w:pPr>
      <w:bookmarkStart w:id="694" w:name="_bookmark522"/>
      <w:bookmarkEnd w:id="694"/>
      <w:r>
        <w:rPr>
          <w:sz w:val="20"/>
          <w:vertAlign w:val="superscript"/>
        </w:rPr>
        <w:t>10</w:t>
      </w:r>
      <w:r>
        <w:rPr>
          <w:spacing w:val="-4"/>
          <w:sz w:val="20"/>
        </w:rPr>
        <w:t xml:space="preserve"> </w:t>
      </w:r>
      <w:r>
        <w:rPr>
          <w:sz w:val="20"/>
        </w:rPr>
        <w:t>Michelle</w:t>
      </w:r>
      <w:r>
        <w:rPr>
          <w:spacing w:val="-5"/>
          <w:sz w:val="20"/>
        </w:rPr>
        <w:t xml:space="preserve"> </w:t>
      </w:r>
      <w:r>
        <w:rPr>
          <w:sz w:val="20"/>
        </w:rPr>
        <w:t>M.</w:t>
      </w:r>
      <w:r>
        <w:rPr>
          <w:spacing w:val="-5"/>
          <w:sz w:val="20"/>
        </w:rPr>
        <w:t xml:space="preserve"> </w:t>
      </w:r>
      <w:r>
        <w:rPr>
          <w:sz w:val="20"/>
        </w:rPr>
        <w:t>Johns,</w:t>
      </w:r>
      <w:r>
        <w:rPr>
          <w:spacing w:val="-5"/>
          <w:sz w:val="20"/>
        </w:rPr>
        <w:t xml:space="preserve"> </w:t>
      </w:r>
      <w:r>
        <w:rPr>
          <w:sz w:val="20"/>
        </w:rPr>
        <w:t>et</w:t>
      </w:r>
      <w:r>
        <w:rPr>
          <w:spacing w:val="-4"/>
          <w:sz w:val="20"/>
        </w:rPr>
        <w:t xml:space="preserve"> </w:t>
      </w:r>
      <w:r>
        <w:rPr>
          <w:sz w:val="20"/>
        </w:rPr>
        <w:t>al,</w:t>
      </w:r>
      <w:r>
        <w:rPr>
          <w:spacing w:val="-6"/>
          <w:sz w:val="20"/>
        </w:rPr>
        <w:t xml:space="preserve"> </w:t>
      </w:r>
      <w:r>
        <w:rPr>
          <w:sz w:val="20"/>
        </w:rPr>
        <w:t>“Trends</w:t>
      </w:r>
      <w:r>
        <w:rPr>
          <w:spacing w:val="-5"/>
          <w:sz w:val="20"/>
        </w:rPr>
        <w:t xml:space="preserve"> </w:t>
      </w:r>
      <w:r>
        <w:rPr>
          <w:sz w:val="20"/>
        </w:rPr>
        <w:t>in</w:t>
      </w:r>
      <w:r>
        <w:rPr>
          <w:spacing w:val="-5"/>
          <w:sz w:val="20"/>
        </w:rPr>
        <w:t xml:space="preserve"> </w:t>
      </w:r>
      <w:r>
        <w:rPr>
          <w:sz w:val="20"/>
        </w:rPr>
        <w:t>Violence</w:t>
      </w:r>
      <w:r>
        <w:rPr>
          <w:spacing w:val="-4"/>
          <w:sz w:val="20"/>
        </w:rPr>
        <w:t xml:space="preserve"> </w:t>
      </w:r>
      <w:r>
        <w:rPr>
          <w:sz w:val="20"/>
        </w:rPr>
        <w:t>Victimization</w:t>
      </w:r>
      <w:r>
        <w:rPr>
          <w:spacing w:val="-5"/>
          <w:sz w:val="20"/>
        </w:rPr>
        <w:t xml:space="preserve"> </w:t>
      </w:r>
      <w:r>
        <w:rPr>
          <w:sz w:val="20"/>
        </w:rPr>
        <w:t>and</w:t>
      </w:r>
      <w:r>
        <w:rPr>
          <w:spacing w:val="-7"/>
          <w:sz w:val="20"/>
        </w:rPr>
        <w:t xml:space="preserve"> </w:t>
      </w:r>
      <w:r>
        <w:rPr>
          <w:sz w:val="20"/>
        </w:rPr>
        <w:t>Suicide</w:t>
      </w:r>
      <w:r>
        <w:rPr>
          <w:spacing w:val="-6"/>
          <w:sz w:val="20"/>
        </w:rPr>
        <w:t xml:space="preserve"> </w:t>
      </w:r>
      <w:r>
        <w:rPr>
          <w:sz w:val="20"/>
        </w:rPr>
        <w:t>Risk</w:t>
      </w:r>
      <w:r>
        <w:rPr>
          <w:spacing w:val="-4"/>
          <w:sz w:val="20"/>
        </w:rPr>
        <w:t xml:space="preserve"> </w:t>
      </w:r>
      <w:r>
        <w:rPr>
          <w:sz w:val="20"/>
        </w:rPr>
        <w:t>by</w:t>
      </w:r>
      <w:r>
        <w:rPr>
          <w:spacing w:val="-5"/>
          <w:sz w:val="20"/>
        </w:rPr>
        <w:t xml:space="preserve"> </w:t>
      </w:r>
      <w:r>
        <w:rPr>
          <w:sz w:val="20"/>
        </w:rPr>
        <w:t>Sexual</w:t>
      </w:r>
      <w:r>
        <w:rPr>
          <w:spacing w:val="-5"/>
          <w:sz w:val="20"/>
        </w:rPr>
        <w:t xml:space="preserve"> </w:t>
      </w:r>
      <w:r>
        <w:rPr>
          <w:sz w:val="20"/>
        </w:rPr>
        <w:t>Identity</w:t>
      </w:r>
      <w:r>
        <w:rPr>
          <w:spacing w:val="-6"/>
          <w:sz w:val="20"/>
        </w:rPr>
        <w:t xml:space="preserve"> </w:t>
      </w:r>
      <w:r>
        <w:rPr>
          <w:sz w:val="20"/>
        </w:rPr>
        <w:t>Among</w:t>
      </w:r>
      <w:r>
        <w:rPr>
          <w:spacing w:val="-5"/>
          <w:sz w:val="20"/>
        </w:rPr>
        <w:t xml:space="preserve"> </w:t>
      </w:r>
      <w:r>
        <w:rPr>
          <w:sz w:val="20"/>
        </w:rPr>
        <w:t>High</w:t>
      </w:r>
      <w:r>
        <w:rPr>
          <w:spacing w:val="-5"/>
          <w:sz w:val="20"/>
        </w:rPr>
        <w:t xml:space="preserve"> </w:t>
      </w:r>
      <w:r>
        <w:rPr>
          <w:sz w:val="20"/>
        </w:rPr>
        <w:t xml:space="preserve">School Students- </w:t>
      </w:r>
      <w:r>
        <w:rPr>
          <w:sz w:val="20"/>
        </w:rPr>
        <w:t xml:space="preserve">Youth Risk Behavior Survey, United States, 2015-2019,” </w:t>
      </w:r>
      <w:r>
        <w:rPr>
          <w:i/>
          <w:sz w:val="20"/>
        </w:rPr>
        <w:t>Center for Disease Control and Prevention</w:t>
      </w:r>
    </w:p>
    <w:p w:rsidR="00C76E6D" w:rsidRDefault="00C76E6D">
      <w:pPr>
        <w:jc w:val="both"/>
        <w:rPr>
          <w:sz w:val="20"/>
        </w:rPr>
        <w:sectPr w:rsidR="00C76E6D">
          <w:pgSz w:w="12240" w:h="15840"/>
          <w:pgMar w:top="960" w:right="960" w:bottom="880" w:left="960" w:header="769" w:footer="694" w:gutter="0"/>
          <w:cols w:space="720"/>
        </w:sectPr>
      </w:pPr>
    </w:p>
    <w:p w:rsidR="00C76E6D" w:rsidRDefault="00C76E6D">
      <w:pPr>
        <w:pStyle w:val="BodyText"/>
        <w:rPr>
          <w:i/>
          <w:sz w:val="20"/>
        </w:rPr>
      </w:pPr>
    </w:p>
    <w:p w:rsidR="00C76E6D" w:rsidRDefault="00C76E6D">
      <w:pPr>
        <w:pStyle w:val="BodyText"/>
        <w:rPr>
          <w:i/>
          <w:sz w:val="20"/>
        </w:rPr>
      </w:pPr>
    </w:p>
    <w:p w:rsidR="00C76E6D" w:rsidRDefault="00C76E6D">
      <w:pPr>
        <w:pStyle w:val="BodyText"/>
        <w:spacing w:before="10"/>
        <w:rPr>
          <w:i/>
          <w:sz w:val="18"/>
        </w:rPr>
      </w:pPr>
    </w:p>
    <w:p w:rsidR="00C76E6D" w:rsidRDefault="00913831">
      <w:pPr>
        <w:ind w:left="480" w:right="4665"/>
        <w:rPr>
          <w:sz w:val="20"/>
        </w:rPr>
      </w:pPr>
      <w:r>
        <w:rPr>
          <w:i/>
          <w:sz w:val="20"/>
        </w:rPr>
        <w:t xml:space="preserve">Morbidity and Mortality Weekly Report </w:t>
      </w:r>
      <w:r>
        <w:rPr>
          <w:sz w:val="20"/>
        </w:rPr>
        <w:t xml:space="preserve">69, no. 1 (2020). </w:t>
      </w:r>
      <w:r>
        <w:rPr>
          <w:spacing w:val="-4"/>
          <w:sz w:val="20"/>
        </w:rPr>
        <w:t>https://</w:t>
      </w:r>
      <w:hyperlink r:id="rId353">
        <w:r>
          <w:rPr>
            <w:spacing w:val="-4"/>
            <w:sz w:val="20"/>
          </w:rPr>
          <w:t>www</w:t>
        </w:r>
        <w:r>
          <w:rPr>
            <w:spacing w:val="-4"/>
            <w:sz w:val="20"/>
          </w:rPr>
          <w:t>.cdc.gov/mmwr/volumes/69/su/pdfs/su6901-H.pdf.</w:t>
        </w:r>
      </w:hyperlink>
    </w:p>
    <w:p w:rsidR="00C76E6D" w:rsidRDefault="00913831">
      <w:pPr>
        <w:spacing w:before="162"/>
        <w:ind w:left="480"/>
        <w:rPr>
          <w:sz w:val="20"/>
        </w:rPr>
      </w:pPr>
      <w:bookmarkStart w:id="695" w:name="_bookmark523"/>
      <w:bookmarkEnd w:id="695"/>
      <w:r>
        <w:rPr>
          <w:sz w:val="20"/>
          <w:vertAlign w:val="superscript"/>
        </w:rPr>
        <w:t>11</w:t>
      </w:r>
      <w:r>
        <w:rPr>
          <w:spacing w:val="-4"/>
          <w:sz w:val="20"/>
        </w:rPr>
        <w:t xml:space="preserve"> </w:t>
      </w:r>
      <w:r>
        <w:rPr>
          <w:sz w:val="20"/>
        </w:rPr>
        <w:t>MA</w:t>
      </w:r>
      <w:r>
        <w:rPr>
          <w:spacing w:val="-3"/>
          <w:sz w:val="20"/>
        </w:rPr>
        <w:t xml:space="preserve"> </w:t>
      </w:r>
      <w:r>
        <w:rPr>
          <w:sz w:val="20"/>
        </w:rPr>
        <w:t>YRBS</w:t>
      </w:r>
      <w:r>
        <w:rPr>
          <w:spacing w:val="-4"/>
          <w:sz w:val="20"/>
        </w:rPr>
        <w:t xml:space="preserve"> </w:t>
      </w:r>
      <w:r>
        <w:rPr>
          <w:sz w:val="20"/>
        </w:rPr>
        <w:t>2020</w:t>
      </w:r>
      <w:r>
        <w:rPr>
          <w:spacing w:val="-3"/>
          <w:sz w:val="20"/>
        </w:rPr>
        <w:t xml:space="preserve"> </w:t>
      </w:r>
      <w:r>
        <w:rPr>
          <w:spacing w:val="-2"/>
          <w:sz w:val="20"/>
        </w:rPr>
        <w:t>analysis</w:t>
      </w:r>
    </w:p>
    <w:p w:rsidR="00C76E6D" w:rsidRDefault="00913831">
      <w:pPr>
        <w:spacing w:before="160"/>
        <w:ind w:left="480"/>
        <w:rPr>
          <w:sz w:val="20"/>
        </w:rPr>
      </w:pPr>
      <w:bookmarkStart w:id="696" w:name="_bookmark524"/>
      <w:bookmarkEnd w:id="696"/>
      <w:r>
        <w:rPr>
          <w:sz w:val="20"/>
          <w:vertAlign w:val="superscript"/>
        </w:rPr>
        <w:t>12</w:t>
      </w:r>
      <w:r>
        <w:rPr>
          <w:spacing w:val="-4"/>
          <w:sz w:val="20"/>
        </w:rPr>
        <w:t xml:space="preserve"> </w:t>
      </w:r>
      <w:bookmarkStart w:id="697" w:name="_bookmark525"/>
      <w:bookmarkEnd w:id="697"/>
      <w:r>
        <w:rPr>
          <w:sz w:val="20"/>
        </w:rPr>
        <w:t>MA</w:t>
      </w:r>
      <w:r>
        <w:rPr>
          <w:spacing w:val="-3"/>
          <w:sz w:val="20"/>
        </w:rPr>
        <w:t xml:space="preserve"> </w:t>
      </w:r>
      <w:r>
        <w:rPr>
          <w:sz w:val="20"/>
        </w:rPr>
        <w:t>YRBS</w:t>
      </w:r>
      <w:r>
        <w:rPr>
          <w:spacing w:val="-4"/>
          <w:sz w:val="20"/>
        </w:rPr>
        <w:t xml:space="preserve"> </w:t>
      </w:r>
      <w:r>
        <w:rPr>
          <w:sz w:val="20"/>
        </w:rPr>
        <w:t>2020</w:t>
      </w:r>
      <w:r>
        <w:rPr>
          <w:spacing w:val="-3"/>
          <w:sz w:val="20"/>
        </w:rPr>
        <w:t xml:space="preserve"> </w:t>
      </w:r>
      <w:r>
        <w:rPr>
          <w:spacing w:val="-2"/>
          <w:sz w:val="20"/>
        </w:rPr>
        <w:t>analysis</w:t>
      </w:r>
    </w:p>
    <w:p w:rsidR="00C76E6D" w:rsidRDefault="00913831">
      <w:pPr>
        <w:spacing w:before="159"/>
        <w:ind w:left="481" w:right="1600" w:hanging="2"/>
        <w:rPr>
          <w:sz w:val="20"/>
        </w:rPr>
      </w:pPr>
      <w:r>
        <w:rPr>
          <w:sz w:val="20"/>
          <w:vertAlign w:val="superscript"/>
        </w:rPr>
        <w:t>13</w:t>
      </w:r>
      <w:r>
        <w:rPr>
          <w:spacing w:val="-9"/>
          <w:sz w:val="20"/>
        </w:rPr>
        <w:t xml:space="preserve"> </w:t>
      </w:r>
      <w:r>
        <w:rPr>
          <w:sz w:val="20"/>
        </w:rPr>
        <w:t>Center</w:t>
      </w:r>
      <w:r>
        <w:rPr>
          <w:spacing w:val="-10"/>
          <w:sz w:val="20"/>
        </w:rPr>
        <w:t xml:space="preserve"> </w:t>
      </w:r>
      <w:r>
        <w:rPr>
          <w:sz w:val="20"/>
        </w:rPr>
        <w:t>for</w:t>
      </w:r>
      <w:r>
        <w:rPr>
          <w:spacing w:val="-10"/>
          <w:sz w:val="20"/>
        </w:rPr>
        <w:t xml:space="preserve"> </w:t>
      </w:r>
      <w:r>
        <w:rPr>
          <w:sz w:val="20"/>
        </w:rPr>
        <w:t>Disease</w:t>
      </w:r>
      <w:r>
        <w:rPr>
          <w:spacing w:val="-10"/>
          <w:sz w:val="20"/>
        </w:rPr>
        <w:t xml:space="preserve"> </w:t>
      </w:r>
      <w:r>
        <w:rPr>
          <w:sz w:val="20"/>
        </w:rPr>
        <w:t>Control</w:t>
      </w:r>
      <w:r>
        <w:rPr>
          <w:spacing w:val="-12"/>
          <w:sz w:val="20"/>
        </w:rPr>
        <w:t xml:space="preserve"> </w:t>
      </w:r>
      <w:r>
        <w:rPr>
          <w:sz w:val="20"/>
        </w:rPr>
        <w:t>and</w:t>
      </w:r>
      <w:r>
        <w:rPr>
          <w:spacing w:val="-10"/>
          <w:sz w:val="20"/>
        </w:rPr>
        <w:t xml:space="preserve"> </w:t>
      </w:r>
      <w:r>
        <w:rPr>
          <w:sz w:val="20"/>
        </w:rPr>
        <w:t>Prevention,</w:t>
      </w:r>
      <w:r>
        <w:rPr>
          <w:spacing w:val="-10"/>
          <w:sz w:val="20"/>
        </w:rPr>
        <w:t xml:space="preserve"> </w:t>
      </w:r>
      <w:r>
        <w:rPr>
          <w:sz w:val="20"/>
        </w:rPr>
        <w:t>“Massachusetts</w:t>
      </w:r>
      <w:r>
        <w:rPr>
          <w:spacing w:val="-9"/>
          <w:sz w:val="20"/>
        </w:rPr>
        <w:t xml:space="preserve"> </w:t>
      </w:r>
      <w:r>
        <w:rPr>
          <w:sz w:val="20"/>
        </w:rPr>
        <w:t>2019</w:t>
      </w:r>
      <w:r>
        <w:rPr>
          <w:spacing w:val="-10"/>
          <w:sz w:val="20"/>
        </w:rPr>
        <w:t xml:space="preserve"> </w:t>
      </w:r>
      <w:r>
        <w:rPr>
          <w:sz w:val="20"/>
        </w:rPr>
        <w:t>results,”</w:t>
      </w:r>
      <w:r>
        <w:rPr>
          <w:spacing w:val="-9"/>
          <w:sz w:val="20"/>
        </w:rPr>
        <w:t xml:space="preserve"> </w:t>
      </w:r>
      <w:r>
        <w:rPr>
          <w:sz w:val="20"/>
        </w:rPr>
        <w:t xml:space="preserve">2019, </w:t>
      </w:r>
      <w:r>
        <w:rPr>
          <w:spacing w:val="-2"/>
          <w:sz w:val="20"/>
        </w:rPr>
        <w:t>https://nccd.cdc.gov/youthonline/app/Results.aspx?LID=MA.</w:t>
      </w:r>
    </w:p>
    <w:p w:rsidR="00C76E6D" w:rsidRDefault="00913831">
      <w:pPr>
        <w:spacing w:before="160"/>
        <w:ind w:left="480" w:right="591" w:hanging="2"/>
        <w:rPr>
          <w:sz w:val="20"/>
        </w:rPr>
      </w:pPr>
      <w:bookmarkStart w:id="698" w:name="_bookmark526"/>
      <w:bookmarkEnd w:id="698"/>
      <w:r>
        <w:rPr>
          <w:sz w:val="20"/>
          <w:vertAlign w:val="superscript"/>
        </w:rPr>
        <w:t>14</w:t>
      </w:r>
      <w:r>
        <w:rPr>
          <w:sz w:val="20"/>
        </w:rPr>
        <w:t xml:space="preserve"> Taylor N.T. Brown and Jody L. Herman, Intimate Partner Violence and Sexual Abuse Among LGBT People, The Williams</w:t>
      </w:r>
      <w:r>
        <w:rPr>
          <w:spacing w:val="-12"/>
          <w:sz w:val="20"/>
        </w:rPr>
        <w:t xml:space="preserve"> </w:t>
      </w:r>
      <w:r>
        <w:rPr>
          <w:sz w:val="20"/>
        </w:rPr>
        <w:t>Institute,</w:t>
      </w:r>
      <w:r>
        <w:rPr>
          <w:spacing w:val="-11"/>
          <w:sz w:val="20"/>
        </w:rPr>
        <w:t xml:space="preserve"> </w:t>
      </w:r>
      <w:r>
        <w:rPr>
          <w:sz w:val="20"/>
        </w:rPr>
        <w:t>November</w:t>
      </w:r>
      <w:r>
        <w:rPr>
          <w:spacing w:val="-11"/>
          <w:sz w:val="20"/>
        </w:rPr>
        <w:t xml:space="preserve"> </w:t>
      </w:r>
      <w:r>
        <w:rPr>
          <w:sz w:val="20"/>
        </w:rPr>
        <w:t>2015,</w:t>
      </w:r>
      <w:r>
        <w:rPr>
          <w:spacing w:val="-12"/>
          <w:sz w:val="20"/>
        </w:rPr>
        <w:t xml:space="preserve"> </w:t>
      </w:r>
      <w:r>
        <w:rPr>
          <w:sz w:val="20"/>
        </w:rPr>
        <w:t>https://williamsinstitute.law.ucla.edu/publications/ipv-sex-abuse-lgbt-people.</w:t>
      </w:r>
    </w:p>
    <w:p w:rsidR="00C76E6D" w:rsidRDefault="00913831">
      <w:pPr>
        <w:spacing w:before="160"/>
        <w:ind w:left="480"/>
        <w:rPr>
          <w:sz w:val="20"/>
        </w:rPr>
      </w:pPr>
      <w:bookmarkStart w:id="699" w:name="_bookmark527"/>
      <w:bookmarkEnd w:id="699"/>
      <w:r>
        <w:rPr>
          <w:sz w:val="20"/>
          <w:vertAlign w:val="superscript"/>
        </w:rPr>
        <w:t>15</w:t>
      </w:r>
      <w:r>
        <w:rPr>
          <w:spacing w:val="-9"/>
          <w:sz w:val="20"/>
        </w:rPr>
        <w:t xml:space="preserve"> </w:t>
      </w:r>
      <w:r>
        <w:rPr>
          <w:sz w:val="20"/>
        </w:rPr>
        <w:t>Sarah</w:t>
      </w:r>
      <w:r>
        <w:rPr>
          <w:spacing w:val="-10"/>
          <w:sz w:val="20"/>
        </w:rPr>
        <w:t xml:space="preserve"> </w:t>
      </w:r>
      <w:r>
        <w:rPr>
          <w:sz w:val="20"/>
        </w:rPr>
        <w:t>Nightingale,</w:t>
      </w:r>
      <w:r>
        <w:rPr>
          <w:spacing w:val="-9"/>
          <w:sz w:val="20"/>
        </w:rPr>
        <w:t xml:space="preserve"> </w:t>
      </w:r>
      <w:r>
        <w:rPr>
          <w:sz w:val="20"/>
        </w:rPr>
        <w:t>“The</w:t>
      </w:r>
      <w:r>
        <w:rPr>
          <w:spacing w:val="-10"/>
          <w:sz w:val="20"/>
        </w:rPr>
        <w:t xml:space="preserve"> </w:t>
      </w:r>
      <w:r>
        <w:rPr>
          <w:sz w:val="20"/>
        </w:rPr>
        <w:t>Relationsh</w:t>
      </w:r>
      <w:r>
        <w:rPr>
          <w:sz w:val="20"/>
        </w:rPr>
        <w:t>ip</w:t>
      </w:r>
      <w:r>
        <w:rPr>
          <w:spacing w:val="-11"/>
          <w:sz w:val="20"/>
        </w:rPr>
        <w:t xml:space="preserve"> </w:t>
      </w:r>
      <w:r>
        <w:rPr>
          <w:sz w:val="20"/>
        </w:rPr>
        <w:t>Between</w:t>
      </w:r>
      <w:r>
        <w:rPr>
          <w:spacing w:val="-7"/>
          <w:sz w:val="20"/>
        </w:rPr>
        <w:t xml:space="preserve"> </w:t>
      </w:r>
      <w:r>
        <w:rPr>
          <w:sz w:val="20"/>
        </w:rPr>
        <w:t>Campus</w:t>
      </w:r>
      <w:r>
        <w:rPr>
          <w:spacing w:val="-10"/>
          <w:sz w:val="20"/>
        </w:rPr>
        <w:t xml:space="preserve"> </w:t>
      </w:r>
      <w:r>
        <w:rPr>
          <w:sz w:val="20"/>
        </w:rPr>
        <w:t>Climate,</w:t>
      </w:r>
      <w:r>
        <w:rPr>
          <w:spacing w:val="-8"/>
          <w:sz w:val="20"/>
        </w:rPr>
        <w:t xml:space="preserve"> </w:t>
      </w:r>
      <w:r>
        <w:rPr>
          <w:sz w:val="20"/>
        </w:rPr>
        <w:t>Sexual</w:t>
      </w:r>
      <w:r>
        <w:rPr>
          <w:spacing w:val="-11"/>
          <w:sz w:val="20"/>
        </w:rPr>
        <w:t xml:space="preserve"> </w:t>
      </w:r>
      <w:r>
        <w:rPr>
          <w:sz w:val="20"/>
        </w:rPr>
        <w:t>Assault</w:t>
      </w:r>
      <w:r>
        <w:rPr>
          <w:spacing w:val="-10"/>
          <w:sz w:val="20"/>
        </w:rPr>
        <w:t xml:space="preserve"> </w:t>
      </w:r>
      <w:r>
        <w:rPr>
          <w:sz w:val="20"/>
        </w:rPr>
        <w:t>Victimization,</w:t>
      </w:r>
      <w:r>
        <w:rPr>
          <w:spacing w:val="-9"/>
          <w:sz w:val="20"/>
        </w:rPr>
        <w:t xml:space="preserve"> </w:t>
      </w:r>
      <w:r>
        <w:rPr>
          <w:spacing w:val="-5"/>
          <w:sz w:val="20"/>
        </w:rPr>
        <w:t>and</w:t>
      </w:r>
    </w:p>
    <w:p w:rsidR="00C76E6D" w:rsidRDefault="00913831">
      <w:pPr>
        <w:spacing w:before="1"/>
        <w:ind w:left="481" w:right="530" w:hanging="1"/>
        <w:rPr>
          <w:sz w:val="20"/>
        </w:rPr>
      </w:pPr>
      <w:r>
        <w:rPr>
          <w:sz w:val="20"/>
        </w:rPr>
        <w:t>Reporting</w:t>
      </w:r>
      <w:r>
        <w:rPr>
          <w:spacing w:val="-12"/>
          <w:sz w:val="20"/>
        </w:rPr>
        <w:t xml:space="preserve"> </w:t>
      </w:r>
      <w:r>
        <w:rPr>
          <w:sz w:val="20"/>
        </w:rPr>
        <w:t>Sexual</w:t>
      </w:r>
      <w:r>
        <w:rPr>
          <w:spacing w:val="-8"/>
          <w:sz w:val="20"/>
        </w:rPr>
        <w:t xml:space="preserve"> </w:t>
      </w:r>
      <w:r>
        <w:rPr>
          <w:sz w:val="20"/>
        </w:rPr>
        <w:t>Assault</w:t>
      </w:r>
      <w:r>
        <w:rPr>
          <w:spacing w:val="-9"/>
          <w:sz w:val="20"/>
        </w:rPr>
        <w:t xml:space="preserve"> </w:t>
      </w:r>
      <w:r>
        <w:rPr>
          <w:sz w:val="20"/>
        </w:rPr>
        <w:t>to</w:t>
      </w:r>
      <w:r>
        <w:rPr>
          <w:spacing w:val="-10"/>
          <w:sz w:val="20"/>
        </w:rPr>
        <w:t xml:space="preserve"> </w:t>
      </w:r>
      <w:r>
        <w:rPr>
          <w:sz w:val="20"/>
        </w:rPr>
        <w:t>Campus</w:t>
      </w:r>
      <w:r>
        <w:rPr>
          <w:spacing w:val="-10"/>
          <w:sz w:val="20"/>
        </w:rPr>
        <w:t xml:space="preserve"> </w:t>
      </w:r>
      <w:r>
        <w:rPr>
          <w:sz w:val="20"/>
        </w:rPr>
        <w:t>Officials</w:t>
      </w:r>
      <w:r>
        <w:rPr>
          <w:spacing w:val="-9"/>
          <w:sz w:val="20"/>
        </w:rPr>
        <w:t xml:space="preserve"> </w:t>
      </w:r>
      <w:r>
        <w:rPr>
          <w:sz w:val="20"/>
        </w:rPr>
        <w:t>for</w:t>
      </w:r>
      <w:r>
        <w:rPr>
          <w:spacing w:val="-8"/>
          <w:sz w:val="20"/>
        </w:rPr>
        <w:t xml:space="preserve"> </w:t>
      </w:r>
      <w:r>
        <w:rPr>
          <w:sz w:val="20"/>
        </w:rPr>
        <w:t>LGBTQ</w:t>
      </w:r>
      <w:r>
        <w:rPr>
          <w:spacing w:val="-8"/>
          <w:sz w:val="20"/>
        </w:rPr>
        <w:t xml:space="preserve"> </w:t>
      </w:r>
      <w:r>
        <w:rPr>
          <w:sz w:val="20"/>
        </w:rPr>
        <w:t>College</w:t>
      </w:r>
      <w:r>
        <w:rPr>
          <w:spacing w:val="-9"/>
          <w:sz w:val="20"/>
        </w:rPr>
        <w:t xml:space="preserve"> </w:t>
      </w:r>
      <w:r>
        <w:rPr>
          <w:sz w:val="20"/>
        </w:rPr>
        <w:t>Students,”</w:t>
      </w:r>
      <w:r>
        <w:rPr>
          <w:spacing w:val="-10"/>
          <w:sz w:val="20"/>
        </w:rPr>
        <w:t xml:space="preserve"> </w:t>
      </w:r>
      <w:r>
        <w:rPr>
          <w:sz w:val="20"/>
        </w:rPr>
        <w:t>PhD</w:t>
      </w:r>
      <w:r>
        <w:rPr>
          <w:spacing w:val="-7"/>
          <w:sz w:val="20"/>
        </w:rPr>
        <w:t xml:space="preserve"> </w:t>
      </w:r>
      <w:r>
        <w:rPr>
          <w:sz w:val="20"/>
        </w:rPr>
        <w:t>diss.,</w:t>
      </w:r>
      <w:r>
        <w:rPr>
          <w:spacing w:val="-9"/>
          <w:sz w:val="20"/>
        </w:rPr>
        <w:t xml:space="preserve"> </w:t>
      </w:r>
      <w:r>
        <w:rPr>
          <w:sz w:val="20"/>
        </w:rPr>
        <w:t>(University</w:t>
      </w:r>
      <w:r>
        <w:rPr>
          <w:spacing w:val="-7"/>
          <w:sz w:val="20"/>
        </w:rPr>
        <w:t xml:space="preserve"> </w:t>
      </w:r>
      <w:r>
        <w:rPr>
          <w:sz w:val="20"/>
        </w:rPr>
        <w:t>of</w:t>
      </w:r>
      <w:r>
        <w:rPr>
          <w:spacing w:val="-8"/>
          <w:sz w:val="20"/>
        </w:rPr>
        <w:t xml:space="preserve"> </w:t>
      </w:r>
      <w:r>
        <w:rPr>
          <w:sz w:val="20"/>
        </w:rPr>
        <w:t xml:space="preserve">Connecticut, </w:t>
      </w:r>
      <w:r>
        <w:rPr>
          <w:spacing w:val="-2"/>
          <w:sz w:val="20"/>
        </w:rPr>
        <w:t>2020).</w:t>
      </w:r>
    </w:p>
    <w:p w:rsidR="00C76E6D" w:rsidRDefault="00913831">
      <w:pPr>
        <w:spacing w:before="160"/>
        <w:ind w:left="480"/>
        <w:rPr>
          <w:sz w:val="20"/>
        </w:rPr>
      </w:pPr>
      <w:bookmarkStart w:id="700" w:name="_bookmark528"/>
      <w:bookmarkEnd w:id="700"/>
      <w:r>
        <w:rPr>
          <w:sz w:val="20"/>
          <w:vertAlign w:val="superscript"/>
        </w:rPr>
        <w:t>16</w:t>
      </w:r>
      <w:r>
        <w:rPr>
          <w:spacing w:val="-6"/>
          <w:sz w:val="20"/>
        </w:rPr>
        <w:t xml:space="preserve"> </w:t>
      </w:r>
      <w:r>
        <w:rPr>
          <w:sz w:val="20"/>
        </w:rPr>
        <w:t>“Statistics,”</w:t>
      </w:r>
      <w:r>
        <w:rPr>
          <w:spacing w:val="-6"/>
          <w:sz w:val="20"/>
        </w:rPr>
        <w:t xml:space="preserve"> </w:t>
      </w:r>
      <w:r>
        <w:rPr>
          <w:sz w:val="20"/>
        </w:rPr>
        <w:t>Know</w:t>
      </w:r>
      <w:r>
        <w:rPr>
          <w:spacing w:val="-6"/>
          <w:sz w:val="20"/>
        </w:rPr>
        <w:t xml:space="preserve"> </w:t>
      </w:r>
      <w:r>
        <w:rPr>
          <w:sz w:val="20"/>
        </w:rPr>
        <w:t>Your</w:t>
      </w:r>
      <w:r>
        <w:rPr>
          <w:spacing w:val="-7"/>
          <w:sz w:val="20"/>
        </w:rPr>
        <w:t xml:space="preserve"> </w:t>
      </w:r>
      <w:r>
        <w:rPr>
          <w:sz w:val="20"/>
        </w:rPr>
        <w:t>IX,</w:t>
      </w:r>
      <w:r>
        <w:rPr>
          <w:spacing w:val="-8"/>
          <w:sz w:val="20"/>
        </w:rPr>
        <w:t xml:space="preserve"> </w:t>
      </w:r>
      <w:r>
        <w:rPr>
          <w:sz w:val="20"/>
        </w:rPr>
        <w:t>accessed</w:t>
      </w:r>
      <w:r>
        <w:rPr>
          <w:spacing w:val="-6"/>
          <w:sz w:val="20"/>
        </w:rPr>
        <w:t xml:space="preserve"> </w:t>
      </w:r>
      <w:r>
        <w:rPr>
          <w:sz w:val="20"/>
        </w:rPr>
        <w:t>May</w:t>
      </w:r>
      <w:r>
        <w:rPr>
          <w:spacing w:val="-6"/>
          <w:sz w:val="20"/>
        </w:rPr>
        <w:t xml:space="preserve"> </w:t>
      </w:r>
      <w:r>
        <w:rPr>
          <w:sz w:val="20"/>
        </w:rPr>
        <w:t>14,</w:t>
      </w:r>
      <w:r>
        <w:rPr>
          <w:spacing w:val="-8"/>
          <w:sz w:val="20"/>
        </w:rPr>
        <w:t xml:space="preserve"> </w:t>
      </w:r>
      <w:r>
        <w:rPr>
          <w:sz w:val="20"/>
        </w:rPr>
        <w:t>2022,</w:t>
      </w:r>
      <w:r>
        <w:rPr>
          <w:spacing w:val="-6"/>
          <w:sz w:val="20"/>
        </w:rPr>
        <w:t xml:space="preserve"> </w:t>
      </w:r>
      <w:r>
        <w:rPr>
          <w:spacing w:val="-2"/>
          <w:sz w:val="20"/>
        </w:rPr>
        <w:t>https://</w:t>
      </w:r>
      <w:hyperlink r:id="rId354">
        <w:r>
          <w:rPr>
            <w:spacing w:val="-2"/>
            <w:sz w:val="20"/>
          </w:rPr>
          <w:t>www.knowyourix.org/issues/statistics.</w:t>
        </w:r>
      </w:hyperlink>
    </w:p>
    <w:p w:rsidR="00C76E6D" w:rsidRDefault="00913831">
      <w:pPr>
        <w:spacing w:before="159"/>
        <w:ind w:left="480" w:right="530" w:hanging="1"/>
        <w:rPr>
          <w:sz w:val="20"/>
        </w:rPr>
      </w:pPr>
      <w:bookmarkStart w:id="701" w:name="_bookmark529"/>
      <w:bookmarkEnd w:id="701"/>
      <w:r>
        <w:rPr>
          <w:sz w:val="20"/>
          <w:vertAlign w:val="superscript"/>
        </w:rPr>
        <w:t>17</w:t>
      </w:r>
      <w:r>
        <w:rPr>
          <w:spacing w:val="-6"/>
          <w:sz w:val="20"/>
        </w:rPr>
        <w:t xml:space="preserve"> </w:t>
      </w:r>
      <w:r>
        <w:rPr>
          <w:sz w:val="20"/>
        </w:rPr>
        <w:t>“Students</w:t>
      </w:r>
      <w:r>
        <w:rPr>
          <w:spacing w:val="-7"/>
          <w:sz w:val="20"/>
        </w:rPr>
        <w:t xml:space="preserve"> </w:t>
      </w:r>
      <w:r>
        <w:rPr>
          <w:sz w:val="20"/>
        </w:rPr>
        <w:t>of</w:t>
      </w:r>
      <w:r>
        <w:rPr>
          <w:spacing w:val="-10"/>
          <w:sz w:val="20"/>
        </w:rPr>
        <w:t xml:space="preserve"> </w:t>
      </w:r>
      <w:r>
        <w:rPr>
          <w:sz w:val="20"/>
        </w:rPr>
        <w:t>color,”</w:t>
      </w:r>
      <w:r>
        <w:rPr>
          <w:spacing w:val="-6"/>
          <w:sz w:val="20"/>
        </w:rPr>
        <w:t xml:space="preserve"> </w:t>
      </w:r>
      <w:r>
        <w:rPr>
          <w:sz w:val="20"/>
        </w:rPr>
        <w:t>Sexual</w:t>
      </w:r>
      <w:r>
        <w:rPr>
          <w:spacing w:val="-7"/>
          <w:sz w:val="20"/>
        </w:rPr>
        <w:t xml:space="preserve"> </w:t>
      </w:r>
      <w:r>
        <w:rPr>
          <w:sz w:val="20"/>
        </w:rPr>
        <w:t>Harassment</w:t>
      </w:r>
      <w:r>
        <w:rPr>
          <w:spacing w:val="-8"/>
          <w:sz w:val="20"/>
        </w:rPr>
        <w:t xml:space="preserve"> </w:t>
      </w:r>
      <w:r>
        <w:rPr>
          <w:sz w:val="20"/>
        </w:rPr>
        <w:t>&amp;</w:t>
      </w:r>
      <w:r>
        <w:rPr>
          <w:spacing w:val="-8"/>
          <w:sz w:val="20"/>
        </w:rPr>
        <w:t xml:space="preserve"> </w:t>
      </w:r>
      <w:r>
        <w:rPr>
          <w:sz w:val="20"/>
        </w:rPr>
        <w:t>Rape</w:t>
      </w:r>
      <w:r>
        <w:rPr>
          <w:spacing w:val="-7"/>
          <w:sz w:val="20"/>
        </w:rPr>
        <w:t xml:space="preserve"> </w:t>
      </w:r>
      <w:r>
        <w:rPr>
          <w:sz w:val="20"/>
        </w:rPr>
        <w:t>Prevention</w:t>
      </w:r>
      <w:r>
        <w:rPr>
          <w:spacing w:val="-7"/>
          <w:sz w:val="20"/>
        </w:rPr>
        <w:t xml:space="preserve"> </w:t>
      </w:r>
      <w:r>
        <w:rPr>
          <w:sz w:val="20"/>
        </w:rPr>
        <w:t>Program</w:t>
      </w:r>
      <w:r>
        <w:rPr>
          <w:spacing w:val="-10"/>
          <w:sz w:val="20"/>
        </w:rPr>
        <w:t xml:space="preserve"> </w:t>
      </w:r>
      <w:r>
        <w:rPr>
          <w:sz w:val="20"/>
        </w:rPr>
        <w:t>(SHARPP)</w:t>
      </w:r>
      <w:r>
        <w:rPr>
          <w:spacing w:val="-6"/>
          <w:sz w:val="20"/>
        </w:rPr>
        <w:t xml:space="preserve"> </w:t>
      </w:r>
      <w:r>
        <w:rPr>
          <w:sz w:val="20"/>
        </w:rPr>
        <w:t>at</w:t>
      </w:r>
      <w:r>
        <w:rPr>
          <w:spacing w:val="-8"/>
          <w:sz w:val="20"/>
        </w:rPr>
        <w:t xml:space="preserve"> </w:t>
      </w:r>
      <w:r>
        <w:rPr>
          <w:sz w:val="20"/>
        </w:rPr>
        <w:t>the</w:t>
      </w:r>
      <w:r>
        <w:rPr>
          <w:spacing w:val="-8"/>
          <w:sz w:val="20"/>
        </w:rPr>
        <w:t xml:space="preserve"> </w:t>
      </w:r>
      <w:r>
        <w:rPr>
          <w:sz w:val="20"/>
        </w:rPr>
        <w:t>University</w:t>
      </w:r>
      <w:r>
        <w:rPr>
          <w:spacing w:val="-5"/>
          <w:sz w:val="20"/>
        </w:rPr>
        <w:t xml:space="preserve"> </w:t>
      </w:r>
      <w:r>
        <w:rPr>
          <w:sz w:val="20"/>
        </w:rPr>
        <w:t>of</w:t>
      </w:r>
      <w:r>
        <w:rPr>
          <w:spacing w:val="-9"/>
          <w:sz w:val="20"/>
        </w:rPr>
        <w:t xml:space="preserve"> </w:t>
      </w:r>
      <w:r>
        <w:rPr>
          <w:sz w:val="20"/>
        </w:rPr>
        <w:t xml:space="preserve">New </w:t>
      </w:r>
      <w:bookmarkStart w:id="702" w:name="_bookmark530"/>
      <w:bookmarkEnd w:id="702"/>
      <w:r>
        <w:rPr>
          <w:sz w:val="20"/>
        </w:rPr>
        <w:t>Hampshire,</w:t>
      </w:r>
      <w:r>
        <w:rPr>
          <w:spacing w:val="-1"/>
          <w:sz w:val="20"/>
        </w:rPr>
        <w:t xml:space="preserve"> </w:t>
      </w:r>
      <w:r>
        <w:rPr>
          <w:sz w:val="20"/>
        </w:rPr>
        <w:t>accessed May 15, 2022, https://</w:t>
      </w:r>
      <w:hyperlink r:id="rId355">
        <w:r>
          <w:rPr>
            <w:sz w:val="20"/>
          </w:rPr>
          <w:t>www.unh.edu/sharpp/students_of_color.</w:t>
        </w:r>
      </w:hyperlink>
    </w:p>
    <w:p w:rsidR="00C76E6D" w:rsidRDefault="00913831">
      <w:pPr>
        <w:spacing w:before="160"/>
        <w:ind w:left="480" w:right="622" w:hanging="2"/>
        <w:rPr>
          <w:sz w:val="20"/>
        </w:rPr>
      </w:pPr>
      <w:r>
        <w:rPr>
          <w:sz w:val="20"/>
          <w:vertAlign w:val="superscript"/>
        </w:rPr>
        <w:t>18</w:t>
      </w:r>
      <w:r>
        <w:rPr>
          <w:sz w:val="20"/>
        </w:rPr>
        <w:t xml:space="preserve"> Paul G. Lannon, “Massachusetts’ New Campus Sexual Violence Law Takes Effect: Are You Ready?” Holland &amp; Knight,</w:t>
      </w:r>
      <w:r>
        <w:rPr>
          <w:spacing w:val="-12"/>
          <w:sz w:val="20"/>
        </w:rPr>
        <w:t xml:space="preserve"> </w:t>
      </w:r>
      <w:r>
        <w:rPr>
          <w:sz w:val="20"/>
        </w:rPr>
        <w:t>August</w:t>
      </w:r>
      <w:r>
        <w:rPr>
          <w:spacing w:val="-11"/>
          <w:sz w:val="20"/>
        </w:rPr>
        <w:t xml:space="preserve"> </w:t>
      </w:r>
      <w:r>
        <w:rPr>
          <w:sz w:val="20"/>
        </w:rPr>
        <w:t>11,</w:t>
      </w:r>
      <w:r>
        <w:rPr>
          <w:spacing w:val="-12"/>
          <w:sz w:val="20"/>
        </w:rPr>
        <w:t xml:space="preserve"> </w:t>
      </w:r>
      <w:r>
        <w:rPr>
          <w:sz w:val="20"/>
        </w:rPr>
        <w:t>2021,</w:t>
      </w:r>
      <w:r>
        <w:rPr>
          <w:spacing w:val="-11"/>
          <w:sz w:val="20"/>
        </w:rPr>
        <w:t xml:space="preserve"> </w:t>
      </w:r>
      <w:r>
        <w:rPr>
          <w:sz w:val="20"/>
        </w:rPr>
        <w:t>https://</w:t>
      </w:r>
      <w:hyperlink r:id="rId356">
        <w:r>
          <w:rPr>
            <w:sz w:val="20"/>
          </w:rPr>
          <w:t>www.hklaw.com/en/insights/publications/2021/08/massachusetts-new-campus-</w:t>
        </w:r>
      </w:hyperlink>
      <w:r>
        <w:rPr>
          <w:sz w:val="20"/>
        </w:rPr>
        <w:t xml:space="preserve"> </w:t>
      </w:r>
      <w:r>
        <w:rPr>
          <w:spacing w:val="-2"/>
          <w:sz w:val="20"/>
        </w:rPr>
        <w:t>sexual-violence-law-takes-effect.</w:t>
      </w:r>
    </w:p>
    <w:p w:rsidR="00C76E6D" w:rsidRDefault="00913831">
      <w:pPr>
        <w:spacing w:before="159"/>
        <w:ind w:left="478" w:right="1107"/>
        <w:rPr>
          <w:sz w:val="20"/>
        </w:rPr>
      </w:pPr>
      <w:bookmarkStart w:id="703" w:name="_bookmark531"/>
      <w:bookmarkEnd w:id="703"/>
      <w:r>
        <w:rPr>
          <w:sz w:val="20"/>
          <w:vertAlign w:val="superscript"/>
        </w:rPr>
        <w:t>19</w:t>
      </w:r>
      <w:r>
        <w:rPr>
          <w:spacing w:val="-3"/>
          <w:sz w:val="20"/>
        </w:rPr>
        <w:t xml:space="preserve"> </w:t>
      </w:r>
      <w:r>
        <w:rPr>
          <w:sz w:val="20"/>
        </w:rPr>
        <w:t>Paul</w:t>
      </w:r>
      <w:r>
        <w:rPr>
          <w:spacing w:val="-3"/>
          <w:sz w:val="20"/>
        </w:rPr>
        <w:t xml:space="preserve"> </w:t>
      </w:r>
      <w:r>
        <w:rPr>
          <w:sz w:val="20"/>
        </w:rPr>
        <w:t>G.</w:t>
      </w:r>
      <w:r>
        <w:rPr>
          <w:spacing w:val="-3"/>
          <w:sz w:val="20"/>
        </w:rPr>
        <w:t xml:space="preserve"> </w:t>
      </w:r>
      <w:r>
        <w:rPr>
          <w:sz w:val="20"/>
        </w:rPr>
        <w:t>Lannon,</w:t>
      </w:r>
      <w:r>
        <w:rPr>
          <w:spacing w:val="-3"/>
          <w:sz w:val="20"/>
        </w:rPr>
        <w:t xml:space="preserve"> </w:t>
      </w:r>
      <w:r>
        <w:rPr>
          <w:sz w:val="20"/>
        </w:rPr>
        <w:t>Miriam</w:t>
      </w:r>
      <w:r>
        <w:rPr>
          <w:spacing w:val="-3"/>
          <w:sz w:val="20"/>
        </w:rPr>
        <w:t xml:space="preserve"> </w:t>
      </w:r>
      <w:r>
        <w:rPr>
          <w:sz w:val="20"/>
        </w:rPr>
        <w:t>McKendall,</w:t>
      </w:r>
      <w:r>
        <w:rPr>
          <w:spacing w:val="-3"/>
          <w:sz w:val="20"/>
        </w:rPr>
        <w:t xml:space="preserve"> </w:t>
      </w:r>
      <w:r>
        <w:rPr>
          <w:sz w:val="20"/>
        </w:rPr>
        <w:t>and</w:t>
      </w:r>
      <w:r>
        <w:rPr>
          <w:spacing w:val="-3"/>
          <w:sz w:val="20"/>
        </w:rPr>
        <w:t xml:space="preserve"> </w:t>
      </w:r>
      <w:r>
        <w:rPr>
          <w:sz w:val="20"/>
        </w:rPr>
        <w:t>Jeffrey</w:t>
      </w:r>
      <w:r>
        <w:rPr>
          <w:spacing w:val="-3"/>
          <w:sz w:val="20"/>
        </w:rPr>
        <w:t xml:space="preserve"> </w:t>
      </w:r>
      <w:r>
        <w:rPr>
          <w:sz w:val="20"/>
        </w:rPr>
        <w:t>J.</w:t>
      </w:r>
      <w:r>
        <w:rPr>
          <w:spacing w:val="-3"/>
          <w:sz w:val="20"/>
        </w:rPr>
        <w:t xml:space="preserve"> </w:t>
      </w:r>
      <w:r>
        <w:rPr>
          <w:sz w:val="20"/>
        </w:rPr>
        <w:t>Nolan,</w:t>
      </w:r>
      <w:r>
        <w:rPr>
          <w:spacing w:val="-3"/>
          <w:sz w:val="20"/>
        </w:rPr>
        <w:t xml:space="preserve"> </w:t>
      </w:r>
      <w:r>
        <w:rPr>
          <w:sz w:val="20"/>
        </w:rPr>
        <w:t>“Massachu</w:t>
      </w:r>
      <w:r>
        <w:rPr>
          <w:sz w:val="20"/>
        </w:rPr>
        <w:t>setts</w:t>
      </w:r>
      <w:r>
        <w:rPr>
          <w:spacing w:val="-3"/>
          <w:sz w:val="20"/>
        </w:rPr>
        <w:t xml:space="preserve"> </w:t>
      </w:r>
      <w:r>
        <w:rPr>
          <w:sz w:val="20"/>
        </w:rPr>
        <w:t>Enacts</w:t>
      </w:r>
      <w:r>
        <w:rPr>
          <w:spacing w:val="-3"/>
          <w:sz w:val="20"/>
        </w:rPr>
        <w:t xml:space="preserve"> </w:t>
      </w:r>
      <w:r>
        <w:rPr>
          <w:sz w:val="20"/>
        </w:rPr>
        <w:t>Landmark</w:t>
      </w:r>
      <w:r>
        <w:rPr>
          <w:spacing w:val="-3"/>
          <w:sz w:val="20"/>
        </w:rPr>
        <w:t xml:space="preserve"> </w:t>
      </w:r>
      <w:r>
        <w:rPr>
          <w:sz w:val="20"/>
        </w:rPr>
        <w:t>Campus</w:t>
      </w:r>
      <w:r>
        <w:rPr>
          <w:spacing w:val="-4"/>
          <w:sz w:val="20"/>
        </w:rPr>
        <w:t xml:space="preserve"> </w:t>
      </w:r>
      <w:r>
        <w:rPr>
          <w:sz w:val="20"/>
        </w:rPr>
        <w:t xml:space="preserve">Sexual Violence Law,” Holland &amp; Knight, January 15, 2021, </w:t>
      </w:r>
      <w:r>
        <w:rPr>
          <w:spacing w:val="-2"/>
          <w:sz w:val="20"/>
        </w:rPr>
        <w:t>https://</w:t>
      </w:r>
      <w:hyperlink r:id="rId357">
        <w:r>
          <w:rPr>
            <w:spacing w:val="-2"/>
            <w:sz w:val="20"/>
          </w:rPr>
          <w:t>www.hklaw.com/en/insights/publications/2021/01/massachusetts-enacts-landmark-campus-sexual-</w:t>
        </w:r>
      </w:hyperlink>
      <w:r>
        <w:rPr>
          <w:spacing w:val="-2"/>
          <w:sz w:val="20"/>
        </w:rPr>
        <w:t xml:space="preserve"> violence-law.</w:t>
      </w:r>
    </w:p>
    <w:p w:rsidR="00C76E6D" w:rsidRDefault="00913831">
      <w:pPr>
        <w:spacing w:before="161"/>
        <w:ind w:left="481" w:right="698" w:hanging="3"/>
        <w:rPr>
          <w:sz w:val="20"/>
        </w:rPr>
      </w:pPr>
      <w:bookmarkStart w:id="704" w:name="_bookmark532"/>
      <w:bookmarkEnd w:id="704"/>
      <w:r>
        <w:rPr>
          <w:sz w:val="20"/>
          <w:vertAlign w:val="superscript"/>
        </w:rPr>
        <w:t>20</w:t>
      </w:r>
      <w:r>
        <w:rPr>
          <w:spacing w:val="-5"/>
          <w:sz w:val="20"/>
        </w:rPr>
        <w:t xml:space="preserve"> </w:t>
      </w:r>
      <w:r>
        <w:rPr>
          <w:sz w:val="20"/>
        </w:rPr>
        <w:t>These</w:t>
      </w:r>
      <w:r>
        <w:rPr>
          <w:spacing w:val="-6"/>
          <w:sz w:val="20"/>
        </w:rPr>
        <w:t xml:space="preserve"> </w:t>
      </w:r>
      <w:r>
        <w:rPr>
          <w:sz w:val="20"/>
        </w:rPr>
        <w:t>common</w:t>
      </w:r>
      <w:r>
        <w:rPr>
          <w:spacing w:val="-5"/>
          <w:sz w:val="20"/>
        </w:rPr>
        <w:t xml:space="preserve"> </w:t>
      </w:r>
      <w:r>
        <w:rPr>
          <w:sz w:val="20"/>
        </w:rPr>
        <w:t>barriers</w:t>
      </w:r>
      <w:r>
        <w:rPr>
          <w:spacing w:val="-6"/>
          <w:sz w:val="20"/>
        </w:rPr>
        <w:t xml:space="preserve"> </w:t>
      </w:r>
      <w:r>
        <w:rPr>
          <w:sz w:val="20"/>
        </w:rPr>
        <w:t>are</w:t>
      </w:r>
      <w:r>
        <w:rPr>
          <w:spacing w:val="-6"/>
          <w:sz w:val="20"/>
        </w:rPr>
        <w:t xml:space="preserve"> </w:t>
      </w:r>
      <w:r>
        <w:rPr>
          <w:sz w:val="20"/>
        </w:rPr>
        <w:t>taken</w:t>
      </w:r>
      <w:r>
        <w:rPr>
          <w:spacing w:val="-6"/>
          <w:sz w:val="20"/>
        </w:rPr>
        <w:t xml:space="preserve"> </w:t>
      </w:r>
      <w:r>
        <w:rPr>
          <w:sz w:val="20"/>
        </w:rPr>
        <w:t>directly</w:t>
      </w:r>
      <w:r>
        <w:rPr>
          <w:spacing w:val="-6"/>
          <w:sz w:val="20"/>
        </w:rPr>
        <w:t xml:space="preserve"> </w:t>
      </w:r>
      <w:r>
        <w:rPr>
          <w:sz w:val="20"/>
        </w:rPr>
        <w:t>from</w:t>
      </w:r>
      <w:r>
        <w:rPr>
          <w:spacing w:val="-6"/>
          <w:sz w:val="20"/>
        </w:rPr>
        <w:t xml:space="preserve"> </w:t>
      </w:r>
      <w:r>
        <w:rPr>
          <w:sz w:val="20"/>
        </w:rPr>
        <w:t>Rutgers</w:t>
      </w:r>
      <w:r>
        <w:rPr>
          <w:spacing w:val="-7"/>
          <w:sz w:val="20"/>
        </w:rPr>
        <w:t xml:space="preserve"> </w:t>
      </w:r>
      <w:r>
        <w:rPr>
          <w:sz w:val="20"/>
        </w:rPr>
        <w:t>University.</w:t>
      </w:r>
      <w:r>
        <w:rPr>
          <w:spacing w:val="-6"/>
          <w:sz w:val="20"/>
        </w:rPr>
        <w:t xml:space="preserve"> </w:t>
      </w:r>
      <w:r>
        <w:rPr>
          <w:sz w:val="20"/>
        </w:rPr>
        <w:t>“LGBTQ”</w:t>
      </w:r>
      <w:r>
        <w:rPr>
          <w:spacing w:val="-5"/>
          <w:sz w:val="20"/>
        </w:rPr>
        <w:t xml:space="preserve"> </w:t>
      </w:r>
      <w:r>
        <w:rPr>
          <w:sz w:val="20"/>
        </w:rPr>
        <w:t>Rutgers</w:t>
      </w:r>
      <w:r>
        <w:rPr>
          <w:spacing w:val="-6"/>
          <w:sz w:val="20"/>
        </w:rPr>
        <w:t xml:space="preserve"> </w:t>
      </w:r>
      <w:r>
        <w:rPr>
          <w:sz w:val="20"/>
        </w:rPr>
        <w:t>University,</w:t>
      </w:r>
      <w:r>
        <w:rPr>
          <w:spacing w:val="-5"/>
          <w:sz w:val="20"/>
        </w:rPr>
        <w:t xml:space="preserve"> </w:t>
      </w:r>
      <w:r>
        <w:rPr>
          <w:sz w:val="20"/>
        </w:rPr>
        <w:t>accessed</w:t>
      </w:r>
      <w:r>
        <w:rPr>
          <w:spacing w:val="-5"/>
          <w:sz w:val="20"/>
        </w:rPr>
        <w:t xml:space="preserve"> </w:t>
      </w:r>
      <w:r>
        <w:rPr>
          <w:sz w:val="20"/>
        </w:rPr>
        <w:t xml:space="preserve">May </w:t>
      </w:r>
      <w:bookmarkStart w:id="705" w:name="_bookmark533"/>
      <w:bookmarkEnd w:id="705"/>
      <w:r>
        <w:rPr>
          <w:sz w:val="20"/>
        </w:rPr>
        <w:t xml:space="preserve">14, 2022, </w:t>
      </w:r>
      <w:hyperlink r:id="rId358">
        <w:r>
          <w:rPr>
            <w:sz w:val="20"/>
          </w:rPr>
          <w:t>http://endsexualviolence.rutgers.edu/prevention-and-education/lgbt.</w:t>
        </w:r>
      </w:hyperlink>
    </w:p>
    <w:p w:rsidR="00C76E6D" w:rsidRDefault="00913831">
      <w:pPr>
        <w:spacing w:before="160"/>
        <w:ind w:left="480" w:right="1109" w:hanging="1"/>
        <w:rPr>
          <w:sz w:val="20"/>
        </w:rPr>
      </w:pPr>
      <w:r>
        <w:rPr>
          <w:sz w:val="20"/>
          <w:vertAlign w:val="superscript"/>
        </w:rPr>
        <w:t>21</w:t>
      </w:r>
      <w:r>
        <w:rPr>
          <w:spacing w:val="-7"/>
          <w:sz w:val="20"/>
        </w:rPr>
        <w:t xml:space="preserve"> </w:t>
      </w:r>
      <w:r>
        <w:rPr>
          <w:sz w:val="20"/>
        </w:rPr>
        <w:t>Julian</w:t>
      </w:r>
      <w:r>
        <w:rPr>
          <w:spacing w:val="-7"/>
          <w:sz w:val="20"/>
        </w:rPr>
        <w:t xml:space="preserve"> </w:t>
      </w:r>
      <w:r>
        <w:rPr>
          <w:sz w:val="20"/>
        </w:rPr>
        <w:t>Cyr,</w:t>
      </w:r>
      <w:r>
        <w:rPr>
          <w:spacing w:val="-8"/>
          <w:sz w:val="20"/>
        </w:rPr>
        <w:t xml:space="preserve"> </w:t>
      </w:r>
      <w:r>
        <w:rPr>
          <w:sz w:val="20"/>
        </w:rPr>
        <w:t>“Senate</w:t>
      </w:r>
      <w:r>
        <w:rPr>
          <w:spacing w:val="-9"/>
          <w:sz w:val="20"/>
        </w:rPr>
        <w:t xml:space="preserve"> </w:t>
      </w:r>
      <w:r>
        <w:rPr>
          <w:sz w:val="20"/>
        </w:rPr>
        <w:t>Passes</w:t>
      </w:r>
      <w:r>
        <w:rPr>
          <w:spacing w:val="-9"/>
          <w:sz w:val="20"/>
        </w:rPr>
        <w:t xml:space="preserve"> </w:t>
      </w:r>
      <w:r>
        <w:rPr>
          <w:sz w:val="20"/>
        </w:rPr>
        <w:t>Sweeping</w:t>
      </w:r>
      <w:r>
        <w:rPr>
          <w:spacing w:val="-8"/>
          <w:sz w:val="20"/>
        </w:rPr>
        <w:t xml:space="preserve"> </w:t>
      </w:r>
      <w:r>
        <w:rPr>
          <w:sz w:val="20"/>
        </w:rPr>
        <w:t>Criminal</w:t>
      </w:r>
      <w:r>
        <w:rPr>
          <w:spacing w:val="-8"/>
          <w:sz w:val="20"/>
        </w:rPr>
        <w:t xml:space="preserve"> </w:t>
      </w:r>
      <w:r>
        <w:rPr>
          <w:sz w:val="20"/>
        </w:rPr>
        <w:t>Justice</w:t>
      </w:r>
      <w:r>
        <w:rPr>
          <w:spacing w:val="-9"/>
          <w:sz w:val="20"/>
        </w:rPr>
        <w:t xml:space="preserve"> </w:t>
      </w:r>
      <w:r>
        <w:rPr>
          <w:sz w:val="20"/>
        </w:rPr>
        <w:t>Reform</w:t>
      </w:r>
      <w:r>
        <w:rPr>
          <w:spacing w:val="-8"/>
          <w:sz w:val="20"/>
        </w:rPr>
        <w:t xml:space="preserve"> </w:t>
      </w:r>
      <w:r>
        <w:rPr>
          <w:sz w:val="20"/>
        </w:rPr>
        <w:t>Bill,”</w:t>
      </w:r>
      <w:r>
        <w:rPr>
          <w:spacing w:val="-7"/>
          <w:sz w:val="20"/>
        </w:rPr>
        <w:t xml:space="preserve"> </w:t>
      </w:r>
      <w:r>
        <w:rPr>
          <w:sz w:val="20"/>
        </w:rPr>
        <w:t>Julian</w:t>
      </w:r>
      <w:r>
        <w:rPr>
          <w:spacing w:val="-8"/>
          <w:sz w:val="20"/>
        </w:rPr>
        <w:t xml:space="preserve"> </w:t>
      </w:r>
      <w:r>
        <w:rPr>
          <w:sz w:val="20"/>
        </w:rPr>
        <w:t>Cyr:</w:t>
      </w:r>
      <w:r>
        <w:rPr>
          <w:spacing w:val="-8"/>
          <w:sz w:val="20"/>
        </w:rPr>
        <w:t xml:space="preserve"> </w:t>
      </w:r>
      <w:r>
        <w:rPr>
          <w:sz w:val="20"/>
        </w:rPr>
        <w:t>Massachusetts</w:t>
      </w:r>
      <w:r>
        <w:rPr>
          <w:spacing w:val="-9"/>
          <w:sz w:val="20"/>
        </w:rPr>
        <w:t xml:space="preserve"> </w:t>
      </w:r>
      <w:r>
        <w:rPr>
          <w:sz w:val="20"/>
        </w:rPr>
        <w:t>State</w:t>
      </w:r>
      <w:r>
        <w:rPr>
          <w:spacing w:val="-9"/>
          <w:sz w:val="20"/>
        </w:rPr>
        <w:t xml:space="preserve"> </w:t>
      </w:r>
      <w:r>
        <w:rPr>
          <w:sz w:val="20"/>
        </w:rPr>
        <w:t>Senate, October</w:t>
      </w:r>
      <w:r>
        <w:rPr>
          <w:spacing w:val="-12"/>
          <w:sz w:val="20"/>
        </w:rPr>
        <w:t xml:space="preserve"> </w:t>
      </w:r>
      <w:r>
        <w:rPr>
          <w:sz w:val="20"/>
        </w:rPr>
        <w:t>27,</w:t>
      </w:r>
      <w:r>
        <w:rPr>
          <w:spacing w:val="-11"/>
          <w:sz w:val="20"/>
        </w:rPr>
        <w:t xml:space="preserve"> </w:t>
      </w:r>
      <w:r>
        <w:rPr>
          <w:sz w:val="20"/>
        </w:rPr>
        <w:t>2017,</w:t>
      </w:r>
      <w:r>
        <w:rPr>
          <w:spacing w:val="-11"/>
          <w:sz w:val="20"/>
        </w:rPr>
        <w:t xml:space="preserve"> </w:t>
      </w:r>
      <w:r>
        <w:rPr>
          <w:sz w:val="20"/>
        </w:rPr>
        <w:t>https://</w:t>
      </w:r>
      <w:hyperlink r:id="rId359">
        <w:r>
          <w:rPr>
            <w:sz w:val="20"/>
          </w:rPr>
          <w:t>www.senatorcyr.com/senate_passes_sweeping_criminal_justice_reform_bill.</w:t>
        </w:r>
      </w:hyperlink>
    </w:p>
    <w:p w:rsidR="00C76E6D" w:rsidRDefault="00913831">
      <w:pPr>
        <w:spacing w:before="160"/>
        <w:ind w:left="479" w:right="888" w:hanging="1"/>
        <w:rPr>
          <w:sz w:val="20"/>
        </w:rPr>
      </w:pPr>
      <w:bookmarkStart w:id="706" w:name="_bookmark534"/>
      <w:bookmarkEnd w:id="706"/>
      <w:r>
        <w:rPr>
          <w:sz w:val="20"/>
          <w:vertAlign w:val="superscript"/>
        </w:rPr>
        <w:t>22</w:t>
      </w:r>
      <w:r>
        <w:rPr>
          <w:spacing w:val="-5"/>
          <w:sz w:val="20"/>
        </w:rPr>
        <w:t xml:space="preserve"> </w:t>
      </w:r>
      <w:r>
        <w:rPr>
          <w:sz w:val="20"/>
        </w:rPr>
        <w:t>Brad</w:t>
      </w:r>
      <w:r>
        <w:rPr>
          <w:spacing w:val="-6"/>
          <w:sz w:val="20"/>
        </w:rPr>
        <w:t xml:space="preserve"> </w:t>
      </w:r>
      <w:r>
        <w:rPr>
          <w:sz w:val="20"/>
        </w:rPr>
        <w:t>Brockmann,</w:t>
      </w:r>
      <w:r>
        <w:rPr>
          <w:spacing w:val="-6"/>
          <w:sz w:val="20"/>
        </w:rPr>
        <w:t xml:space="preserve"> </w:t>
      </w:r>
      <w:r>
        <w:rPr>
          <w:sz w:val="20"/>
        </w:rPr>
        <w:t>et</w:t>
      </w:r>
      <w:r>
        <w:rPr>
          <w:spacing w:val="-5"/>
          <w:sz w:val="20"/>
        </w:rPr>
        <w:t xml:space="preserve"> </w:t>
      </w:r>
      <w:r>
        <w:rPr>
          <w:sz w:val="20"/>
        </w:rPr>
        <w:t>al,</w:t>
      </w:r>
      <w:r>
        <w:rPr>
          <w:spacing w:val="-5"/>
          <w:sz w:val="20"/>
        </w:rPr>
        <w:t xml:space="preserve"> </w:t>
      </w:r>
      <w:r>
        <w:rPr>
          <w:i/>
          <w:sz w:val="20"/>
        </w:rPr>
        <w:t>Emerging</w:t>
      </w:r>
      <w:r>
        <w:rPr>
          <w:i/>
          <w:spacing w:val="-5"/>
          <w:sz w:val="20"/>
        </w:rPr>
        <w:t xml:space="preserve"> </w:t>
      </w:r>
      <w:r>
        <w:rPr>
          <w:i/>
          <w:sz w:val="20"/>
        </w:rPr>
        <w:t>Best</w:t>
      </w:r>
      <w:r>
        <w:rPr>
          <w:i/>
          <w:spacing w:val="-5"/>
          <w:sz w:val="20"/>
        </w:rPr>
        <w:t xml:space="preserve"> </w:t>
      </w:r>
      <w:r>
        <w:rPr>
          <w:i/>
          <w:sz w:val="20"/>
        </w:rPr>
        <w:t>Practices</w:t>
      </w:r>
      <w:r>
        <w:rPr>
          <w:i/>
          <w:spacing w:val="-5"/>
          <w:sz w:val="20"/>
        </w:rPr>
        <w:t xml:space="preserve"> </w:t>
      </w:r>
      <w:r>
        <w:rPr>
          <w:i/>
          <w:sz w:val="20"/>
        </w:rPr>
        <w:t>for</w:t>
      </w:r>
      <w:r>
        <w:rPr>
          <w:i/>
          <w:spacing w:val="-6"/>
          <w:sz w:val="20"/>
        </w:rPr>
        <w:t xml:space="preserve"> </w:t>
      </w:r>
      <w:r>
        <w:rPr>
          <w:i/>
          <w:sz w:val="20"/>
        </w:rPr>
        <w:t>the</w:t>
      </w:r>
      <w:r>
        <w:rPr>
          <w:i/>
          <w:spacing w:val="-6"/>
          <w:sz w:val="20"/>
        </w:rPr>
        <w:t xml:space="preserve"> </w:t>
      </w:r>
      <w:r>
        <w:rPr>
          <w:i/>
          <w:sz w:val="20"/>
        </w:rPr>
        <w:t>Management</w:t>
      </w:r>
      <w:r>
        <w:rPr>
          <w:i/>
          <w:spacing w:val="-6"/>
          <w:sz w:val="20"/>
        </w:rPr>
        <w:t xml:space="preserve"> </w:t>
      </w:r>
      <w:r>
        <w:rPr>
          <w:i/>
          <w:sz w:val="20"/>
        </w:rPr>
        <w:t>and</w:t>
      </w:r>
      <w:r>
        <w:rPr>
          <w:i/>
          <w:spacing w:val="-6"/>
          <w:sz w:val="20"/>
        </w:rPr>
        <w:t xml:space="preserve"> </w:t>
      </w:r>
      <w:r>
        <w:rPr>
          <w:i/>
          <w:sz w:val="20"/>
        </w:rPr>
        <w:t>Treatm</w:t>
      </w:r>
      <w:r>
        <w:rPr>
          <w:i/>
          <w:sz w:val="20"/>
        </w:rPr>
        <w:t>ent</w:t>
      </w:r>
      <w:r>
        <w:rPr>
          <w:i/>
          <w:spacing w:val="-5"/>
          <w:sz w:val="20"/>
        </w:rPr>
        <w:t xml:space="preserve"> </w:t>
      </w:r>
      <w:r>
        <w:rPr>
          <w:i/>
          <w:sz w:val="20"/>
        </w:rPr>
        <w:t>of</w:t>
      </w:r>
      <w:r>
        <w:rPr>
          <w:i/>
          <w:spacing w:val="-6"/>
          <w:sz w:val="20"/>
        </w:rPr>
        <w:t xml:space="preserve"> </w:t>
      </w:r>
      <w:r>
        <w:rPr>
          <w:i/>
          <w:sz w:val="20"/>
        </w:rPr>
        <w:t>Incarcerated</w:t>
      </w:r>
      <w:r>
        <w:rPr>
          <w:i/>
          <w:spacing w:val="-6"/>
          <w:sz w:val="20"/>
        </w:rPr>
        <w:t xml:space="preserve"> </w:t>
      </w:r>
      <w:r>
        <w:rPr>
          <w:i/>
          <w:sz w:val="20"/>
        </w:rPr>
        <w:t xml:space="preserve">Lesbian, Gay, Bisexual, Transgender, and Intersex (LGBTI) Individuals </w:t>
      </w:r>
      <w:r>
        <w:rPr>
          <w:sz w:val="20"/>
        </w:rPr>
        <w:t xml:space="preserve">(Boston: The Fenway Institute, 2019), </w:t>
      </w:r>
      <w:r>
        <w:rPr>
          <w:spacing w:val="-2"/>
          <w:sz w:val="20"/>
        </w:rPr>
        <w:t xml:space="preserve">https://fenwayhealth.org/wp-content/uploads/TFIP-33_Best-Practices-for-LGBTI-Incarcerated-People- </w:t>
      </w:r>
      <w:bookmarkStart w:id="707" w:name="_bookmark535"/>
      <w:bookmarkEnd w:id="707"/>
      <w:r>
        <w:rPr>
          <w:spacing w:val="-2"/>
          <w:sz w:val="20"/>
        </w:rPr>
        <w:t>Brief_web.pdf.</w:t>
      </w:r>
    </w:p>
    <w:p w:rsidR="00C76E6D" w:rsidRDefault="00913831">
      <w:pPr>
        <w:spacing w:before="160"/>
        <w:ind w:left="479" w:right="888" w:hanging="1"/>
        <w:rPr>
          <w:sz w:val="20"/>
        </w:rPr>
      </w:pPr>
      <w:r>
        <w:rPr>
          <w:sz w:val="20"/>
          <w:vertAlign w:val="superscript"/>
        </w:rPr>
        <w:t>23</w:t>
      </w:r>
      <w:r>
        <w:rPr>
          <w:spacing w:val="-5"/>
          <w:sz w:val="20"/>
        </w:rPr>
        <w:t xml:space="preserve"> </w:t>
      </w:r>
      <w:r>
        <w:rPr>
          <w:sz w:val="20"/>
        </w:rPr>
        <w:t>Brad</w:t>
      </w:r>
      <w:r>
        <w:rPr>
          <w:spacing w:val="-6"/>
          <w:sz w:val="20"/>
        </w:rPr>
        <w:t xml:space="preserve"> </w:t>
      </w:r>
      <w:r>
        <w:rPr>
          <w:sz w:val="20"/>
        </w:rPr>
        <w:t>Brockma</w:t>
      </w:r>
      <w:r>
        <w:rPr>
          <w:sz w:val="20"/>
        </w:rPr>
        <w:t>nn,</w:t>
      </w:r>
      <w:r>
        <w:rPr>
          <w:spacing w:val="-6"/>
          <w:sz w:val="20"/>
        </w:rPr>
        <w:t xml:space="preserve"> </w:t>
      </w:r>
      <w:r>
        <w:rPr>
          <w:sz w:val="20"/>
        </w:rPr>
        <w:t>et</w:t>
      </w:r>
      <w:r>
        <w:rPr>
          <w:spacing w:val="-5"/>
          <w:sz w:val="20"/>
        </w:rPr>
        <w:t xml:space="preserve"> </w:t>
      </w:r>
      <w:r>
        <w:rPr>
          <w:sz w:val="20"/>
        </w:rPr>
        <w:t>al,</w:t>
      </w:r>
      <w:r>
        <w:rPr>
          <w:spacing w:val="-5"/>
          <w:sz w:val="20"/>
        </w:rPr>
        <w:t xml:space="preserve"> </w:t>
      </w:r>
      <w:r>
        <w:rPr>
          <w:i/>
          <w:sz w:val="20"/>
        </w:rPr>
        <w:t>Emerging</w:t>
      </w:r>
      <w:r>
        <w:rPr>
          <w:i/>
          <w:spacing w:val="-5"/>
          <w:sz w:val="20"/>
        </w:rPr>
        <w:t xml:space="preserve"> </w:t>
      </w:r>
      <w:r>
        <w:rPr>
          <w:i/>
          <w:sz w:val="20"/>
        </w:rPr>
        <w:t>Best</w:t>
      </w:r>
      <w:r>
        <w:rPr>
          <w:i/>
          <w:spacing w:val="-5"/>
          <w:sz w:val="20"/>
        </w:rPr>
        <w:t xml:space="preserve"> </w:t>
      </w:r>
      <w:r>
        <w:rPr>
          <w:i/>
          <w:sz w:val="20"/>
        </w:rPr>
        <w:t>Practices</w:t>
      </w:r>
      <w:r>
        <w:rPr>
          <w:i/>
          <w:spacing w:val="-5"/>
          <w:sz w:val="20"/>
        </w:rPr>
        <w:t xml:space="preserve"> </w:t>
      </w:r>
      <w:r>
        <w:rPr>
          <w:i/>
          <w:sz w:val="20"/>
        </w:rPr>
        <w:t>for</w:t>
      </w:r>
      <w:r>
        <w:rPr>
          <w:i/>
          <w:spacing w:val="-6"/>
          <w:sz w:val="20"/>
        </w:rPr>
        <w:t xml:space="preserve"> </w:t>
      </w:r>
      <w:r>
        <w:rPr>
          <w:i/>
          <w:sz w:val="20"/>
        </w:rPr>
        <w:t>the</w:t>
      </w:r>
      <w:r>
        <w:rPr>
          <w:i/>
          <w:spacing w:val="-6"/>
          <w:sz w:val="20"/>
        </w:rPr>
        <w:t xml:space="preserve"> </w:t>
      </w:r>
      <w:r>
        <w:rPr>
          <w:i/>
          <w:sz w:val="20"/>
        </w:rPr>
        <w:t>Management</w:t>
      </w:r>
      <w:r>
        <w:rPr>
          <w:i/>
          <w:spacing w:val="-6"/>
          <w:sz w:val="20"/>
        </w:rPr>
        <w:t xml:space="preserve"> </w:t>
      </w:r>
      <w:r>
        <w:rPr>
          <w:i/>
          <w:sz w:val="20"/>
        </w:rPr>
        <w:t>and</w:t>
      </w:r>
      <w:r>
        <w:rPr>
          <w:i/>
          <w:spacing w:val="-6"/>
          <w:sz w:val="20"/>
        </w:rPr>
        <w:t xml:space="preserve"> </w:t>
      </w:r>
      <w:r>
        <w:rPr>
          <w:i/>
          <w:sz w:val="20"/>
        </w:rPr>
        <w:t>Treatment</w:t>
      </w:r>
      <w:r>
        <w:rPr>
          <w:i/>
          <w:spacing w:val="-5"/>
          <w:sz w:val="20"/>
        </w:rPr>
        <w:t xml:space="preserve"> </w:t>
      </w:r>
      <w:r>
        <w:rPr>
          <w:i/>
          <w:sz w:val="20"/>
        </w:rPr>
        <w:t>of</w:t>
      </w:r>
      <w:r>
        <w:rPr>
          <w:i/>
          <w:spacing w:val="-6"/>
          <w:sz w:val="20"/>
        </w:rPr>
        <w:t xml:space="preserve"> </w:t>
      </w:r>
      <w:r>
        <w:rPr>
          <w:i/>
          <w:sz w:val="20"/>
        </w:rPr>
        <w:t>Incarcerated</w:t>
      </w:r>
      <w:r>
        <w:rPr>
          <w:i/>
          <w:spacing w:val="-6"/>
          <w:sz w:val="20"/>
        </w:rPr>
        <w:t xml:space="preserve"> </w:t>
      </w:r>
      <w:r>
        <w:rPr>
          <w:i/>
          <w:sz w:val="20"/>
        </w:rPr>
        <w:t xml:space="preserve">Lesbian, Gay, Bisexual, Transgender, and Intersex (LGBTI) Individuals </w:t>
      </w:r>
      <w:r>
        <w:rPr>
          <w:sz w:val="20"/>
        </w:rPr>
        <w:t xml:space="preserve">(Boston: The Fenway Institute, 2019), </w:t>
      </w:r>
      <w:r>
        <w:rPr>
          <w:spacing w:val="-2"/>
          <w:sz w:val="20"/>
        </w:rPr>
        <w:t>https://fenwayhealth.org/wp-content/uploads/TFIP-33_Best-Practic</w:t>
      </w:r>
      <w:r>
        <w:rPr>
          <w:spacing w:val="-2"/>
          <w:sz w:val="20"/>
        </w:rPr>
        <w:t xml:space="preserve">es-for-LGBTI-Incarcerated-People- </w:t>
      </w:r>
      <w:bookmarkStart w:id="708" w:name="_bookmark536"/>
      <w:bookmarkEnd w:id="708"/>
      <w:r>
        <w:rPr>
          <w:spacing w:val="-2"/>
          <w:sz w:val="20"/>
        </w:rPr>
        <w:t>Brief_web.pdf.</w:t>
      </w:r>
    </w:p>
    <w:p w:rsidR="00C76E6D" w:rsidRDefault="00913831">
      <w:pPr>
        <w:spacing w:before="160"/>
        <w:ind w:left="480" w:right="530" w:hanging="1"/>
        <w:rPr>
          <w:sz w:val="20"/>
        </w:rPr>
      </w:pPr>
      <w:r>
        <w:rPr>
          <w:sz w:val="20"/>
          <w:vertAlign w:val="superscript"/>
        </w:rPr>
        <w:t>24</w:t>
      </w:r>
      <w:r>
        <w:rPr>
          <w:spacing w:val="-8"/>
          <w:sz w:val="20"/>
        </w:rPr>
        <w:t xml:space="preserve"> </w:t>
      </w:r>
      <w:r>
        <w:rPr>
          <w:sz w:val="20"/>
        </w:rPr>
        <w:t>Colin</w:t>
      </w:r>
      <w:r>
        <w:rPr>
          <w:spacing w:val="-10"/>
          <w:sz w:val="20"/>
        </w:rPr>
        <w:t xml:space="preserve"> </w:t>
      </w:r>
      <w:r>
        <w:rPr>
          <w:sz w:val="20"/>
        </w:rPr>
        <w:t>A.</w:t>
      </w:r>
      <w:r>
        <w:rPr>
          <w:spacing w:val="-10"/>
          <w:sz w:val="20"/>
        </w:rPr>
        <w:t xml:space="preserve"> </w:t>
      </w:r>
      <w:r>
        <w:rPr>
          <w:sz w:val="20"/>
        </w:rPr>
        <w:t>Young,</w:t>
      </w:r>
      <w:r>
        <w:rPr>
          <w:spacing w:val="-10"/>
          <w:sz w:val="20"/>
        </w:rPr>
        <w:t xml:space="preserve"> </w:t>
      </w:r>
      <w:r>
        <w:rPr>
          <w:sz w:val="20"/>
        </w:rPr>
        <w:t>“Former</w:t>
      </w:r>
      <w:r>
        <w:rPr>
          <w:spacing w:val="-9"/>
          <w:sz w:val="20"/>
        </w:rPr>
        <w:t xml:space="preserve"> </w:t>
      </w:r>
      <w:r>
        <w:rPr>
          <w:sz w:val="20"/>
        </w:rPr>
        <w:t>Inmate:</w:t>
      </w:r>
      <w:r>
        <w:rPr>
          <w:spacing w:val="-9"/>
          <w:sz w:val="20"/>
        </w:rPr>
        <w:t xml:space="preserve"> </w:t>
      </w:r>
      <w:r>
        <w:rPr>
          <w:sz w:val="20"/>
        </w:rPr>
        <w:t>Solitary</w:t>
      </w:r>
      <w:r>
        <w:rPr>
          <w:spacing w:val="-9"/>
          <w:sz w:val="20"/>
        </w:rPr>
        <w:t xml:space="preserve"> </w:t>
      </w:r>
      <w:r>
        <w:rPr>
          <w:sz w:val="20"/>
        </w:rPr>
        <w:t>Confinement</w:t>
      </w:r>
      <w:r>
        <w:rPr>
          <w:spacing w:val="-10"/>
          <w:sz w:val="20"/>
        </w:rPr>
        <w:t xml:space="preserve"> </w:t>
      </w:r>
      <w:r>
        <w:rPr>
          <w:sz w:val="20"/>
        </w:rPr>
        <w:t>Used</w:t>
      </w:r>
      <w:r>
        <w:rPr>
          <w:spacing w:val="-9"/>
          <w:sz w:val="20"/>
        </w:rPr>
        <w:t xml:space="preserve"> </w:t>
      </w:r>
      <w:r>
        <w:rPr>
          <w:sz w:val="20"/>
        </w:rPr>
        <w:t>Disproportionately</w:t>
      </w:r>
      <w:r>
        <w:rPr>
          <w:spacing w:val="-11"/>
          <w:sz w:val="20"/>
        </w:rPr>
        <w:t xml:space="preserve"> </w:t>
      </w:r>
      <w:r>
        <w:rPr>
          <w:sz w:val="20"/>
        </w:rPr>
        <w:t>against</w:t>
      </w:r>
      <w:r>
        <w:rPr>
          <w:spacing w:val="-9"/>
          <w:sz w:val="20"/>
        </w:rPr>
        <w:t xml:space="preserve"> </w:t>
      </w:r>
      <w:r>
        <w:rPr>
          <w:sz w:val="20"/>
        </w:rPr>
        <w:t>LGBTQ</w:t>
      </w:r>
      <w:r>
        <w:rPr>
          <w:spacing w:val="-9"/>
          <w:sz w:val="20"/>
        </w:rPr>
        <w:t xml:space="preserve"> </w:t>
      </w:r>
      <w:r>
        <w:rPr>
          <w:sz w:val="20"/>
        </w:rPr>
        <w:t>Prisoners,”</w:t>
      </w:r>
      <w:r>
        <w:rPr>
          <w:spacing w:val="-11"/>
          <w:sz w:val="20"/>
        </w:rPr>
        <w:t xml:space="preserve"> </w:t>
      </w:r>
      <w:r>
        <w:rPr>
          <w:sz w:val="20"/>
        </w:rPr>
        <w:t>WBUR News, October</w:t>
      </w:r>
      <w:r>
        <w:rPr>
          <w:spacing w:val="12"/>
          <w:sz w:val="20"/>
        </w:rPr>
        <w:t xml:space="preserve"> </w:t>
      </w:r>
      <w:r>
        <w:rPr>
          <w:sz w:val="20"/>
        </w:rPr>
        <w:t>9,</w:t>
      </w:r>
      <w:r>
        <w:rPr>
          <w:spacing w:val="12"/>
          <w:sz w:val="20"/>
        </w:rPr>
        <w:t xml:space="preserve"> </w:t>
      </w:r>
      <w:r>
        <w:rPr>
          <w:sz w:val="20"/>
        </w:rPr>
        <w:t>2019,</w:t>
      </w:r>
      <w:r>
        <w:rPr>
          <w:spacing w:val="14"/>
          <w:sz w:val="20"/>
        </w:rPr>
        <w:t xml:space="preserve"> </w:t>
      </w:r>
      <w:r>
        <w:rPr>
          <w:sz w:val="20"/>
        </w:rPr>
        <w:t>https://</w:t>
      </w:r>
      <w:hyperlink r:id="rId360">
        <w:r>
          <w:rPr>
            <w:sz w:val="20"/>
          </w:rPr>
          <w:t>www.wbur.org/news/2019/10/09/lgbt-solitary-massachusetts-prisons.</w:t>
        </w:r>
      </w:hyperlink>
    </w:p>
    <w:p w:rsidR="00C76E6D" w:rsidRDefault="00913831">
      <w:pPr>
        <w:spacing w:before="160"/>
        <w:ind w:left="480" w:right="1600" w:hanging="2"/>
        <w:rPr>
          <w:sz w:val="20"/>
        </w:rPr>
      </w:pPr>
      <w:bookmarkStart w:id="709" w:name="_bookmark537"/>
      <w:bookmarkEnd w:id="709"/>
      <w:r>
        <w:rPr>
          <w:sz w:val="20"/>
          <w:vertAlign w:val="superscript"/>
        </w:rPr>
        <w:t>25</w:t>
      </w:r>
      <w:r>
        <w:rPr>
          <w:spacing w:val="-3"/>
          <w:sz w:val="20"/>
        </w:rPr>
        <w:t xml:space="preserve"> </w:t>
      </w:r>
      <w:r>
        <w:rPr>
          <w:sz w:val="20"/>
        </w:rPr>
        <w:t>Sarah</w:t>
      </w:r>
      <w:r>
        <w:rPr>
          <w:spacing w:val="-4"/>
          <w:sz w:val="20"/>
        </w:rPr>
        <w:t xml:space="preserve"> </w:t>
      </w:r>
      <w:r>
        <w:rPr>
          <w:sz w:val="20"/>
        </w:rPr>
        <w:t>DeGue,</w:t>
      </w:r>
      <w:r>
        <w:rPr>
          <w:spacing w:val="-4"/>
          <w:sz w:val="20"/>
        </w:rPr>
        <w:t xml:space="preserve"> </w:t>
      </w:r>
      <w:r>
        <w:rPr>
          <w:sz w:val="20"/>
        </w:rPr>
        <w:t>“The</w:t>
      </w:r>
      <w:r>
        <w:rPr>
          <w:spacing w:val="-4"/>
          <w:sz w:val="20"/>
        </w:rPr>
        <w:t xml:space="preserve"> </w:t>
      </w:r>
      <w:r>
        <w:rPr>
          <w:sz w:val="20"/>
        </w:rPr>
        <w:t>Cost</w:t>
      </w:r>
      <w:r>
        <w:rPr>
          <w:spacing w:val="-4"/>
          <w:sz w:val="20"/>
        </w:rPr>
        <w:t xml:space="preserve"> </w:t>
      </w:r>
      <w:r>
        <w:rPr>
          <w:sz w:val="20"/>
        </w:rPr>
        <w:t>of</w:t>
      </w:r>
      <w:r>
        <w:rPr>
          <w:spacing w:val="-5"/>
          <w:sz w:val="20"/>
        </w:rPr>
        <w:t xml:space="preserve"> </w:t>
      </w:r>
      <w:r>
        <w:rPr>
          <w:sz w:val="20"/>
        </w:rPr>
        <w:t>Rape,”</w:t>
      </w:r>
      <w:r>
        <w:rPr>
          <w:spacing w:val="-5"/>
          <w:sz w:val="20"/>
        </w:rPr>
        <w:t xml:space="preserve"> </w:t>
      </w:r>
      <w:r>
        <w:rPr>
          <w:sz w:val="20"/>
        </w:rPr>
        <w:t>NSVRC,</w:t>
      </w:r>
      <w:r>
        <w:rPr>
          <w:spacing w:val="-4"/>
          <w:sz w:val="20"/>
        </w:rPr>
        <w:t xml:space="preserve"> </w:t>
      </w:r>
      <w:r>
        <w:rPr>
          <w:sz w:val="20"/>
        </w:rPr>
        <w:t>December</w:t>
      </w:r>
      <w:r>
        <w:rPr>
          <w:spacing w:val="-4"/>
          <w:sz w:val="20"/>
        </w:rPr>
        <w:t xml:space="preserve"> </w:t>
      </w:r>
      <w:r>
        <w:rPr>
          <w:sz w:val="20"/>
        </w:rPr>
        <w:t>4,</w:t>
      </w:r>
      <w:r>
        <w:rPr>
          <w:spacing w:val="-5"/>
          <w:sz w:val="20"/>
        </w:rPr>
        <w:t xml:space="preserve"> </w:t>
      </w:r>
      <w:r>
        <w:rPr>
          <w:sz w:val="20"/>
        </w:rPr>
        <w:t>2018,</w:t>
      </w:r>
      <w:r>
        <w:rPr>
          <w:spacing w:val="-4"/>
          <w:sz w:val="20"/>
        </w:rPr>
        <w:t xml:space="preserve"> </w:t>
      </w:r>
      <w:r>
        <w:rPr>
          <w:sz w:val="20"/>
        </w:rPr>
        <w:t>https://</w:t>
      </w:r>
      <w:hyperlink r:id="rId361">
        <w:r>
          <w:rPr>
            <w:sz w:val="20"/>
          </w:rPr>
          <w:t>www.nsvrc.org/blogs/cost-</w:t>
        </w:r>
      </w:hyperlink>
      <w:r>
        <w:rPr>
          <w:sz w:val="20"/>
        </w:rPr>
        <w:t xml:space="preserve"> </w:t>
      </w:r>
      <w:r>
        <w:rPr>
          <w:spacing w:val="-2"/>
          <w:sz w:val="20"/>
        </w:rPr>
        <w:t>rape#:~:text=Sexual%20violence%20is%20a%20serious,victims%20in%20the%20US%20population.</w:t>
      </w:r>
    </w:p>
    <w:p w:rsidR="00C76E6D" w:rsidRDefault="00913831">
      <w:pPr>
        <w:spacing w:before="160"/>
        <w:ind w:left="480" w:right="541" w:hanging="3"/>
        <w:rPr>
          <w:sz w:val="20"/>
        </w:rPr>
      </w:pPr>
      <w:bookmarkStart w:id="710" w:name="_bookmark538"/>
      <w:bookmarkEnd w:id="710"/>
      <w:r>
        <w:rPr>
          <w:sz w:val="20"/>
          <w:vertAlign w:val="superscript"/>
        </w:rPr>
        <w:t>26</w:t>
      </w:r>
      <w:r>
        <w:rPr>
          <w:spacing w:val="-6"/>
          <w:sz w:val="20"/>
        </w:rPr>
        <w:t xml:space="preserve"> </w:t>
      </w:r>
      <w:r>
        <w:rPr>
          <w:sz w:val="20"/>
        </w:rPr>
        <w:t>“Basic</w:t>
      </w:r>
      <w:r>
        <w:rPr>
          <w:spacing w:val="-7"/>
          <w:sz w:val="20"/>
        </w:rPr>
        <w:t xml:space="preserve"> </w:t>
      </w:r>
      <w:r>
        <w:rPr>
          <w:sz w:val="20"/>
        </w:rPr>
        <w:t>Facts</w:t>
      </w:r>
      <w:r>
        <w:rPr>
          <w:spacing w:val="-7"/>
          <w:sz w:val="20"/>
        </w:rPr>
        <w:t xml:space="preserve"> </w:t>
      </w:r>
      <w:r>
        <w:rPr>
          <w:sz w:val="20"/>
        </w:rPr>
        <w:t>on</w:t>
      </w:r>
      <w:r>
        <w:rPr>
          <w:spacing w:val="-6"/>
          <w:sz w:val="20"/>
        </w:rPr>
        <w:t xml:space="preserve"> </w:t>
      </w:r>
      <w:r>
        <w:rPr>
          <w:sz w:val="20"/>
        </w:rPr>
        <w:t>Homelessness</w:t>
      </w:r>
      <w:r>
        <w:rPr>
          <w:spacing w:val="-7"/>
          <w:sz w:val="20"/>
        </w:rPr>
        <w:t xml:space="preserve"> </w:t>
      </w:r>
      <w:r>
        <w:rPr>
          <w:sz w:val="20"/>
        </w:rPr>
        <w:t>and</w:t>
      </w:r>
      <w:r>
        <w:rPr>
          <w:spacing w:val="-6"/>
          <w:sz w:val="20"/>
        </w:rPr>
        <w:t xml:space="preserve"> </w:t>
      </w:r>
      <w:r>
        <w:rPr>
          <w:sz w:val="20"/>
        </w:rPr>
        <w:t>Housing</w:t>
      </w:r>
      <w:r>
        <w:rPr>
          <w:spacing w:val="-6"/>
          <w:sz w:val="20"/>
        </w:rPr>
        <w:t xml:space="preserve"> </w:t>
      </w:r>
      <w:r>
        <w:rPr>
          <w:sz w:val="20"/>
        </w:rPr>
        <w:t>in</w:t>
      </w:r>
      <w:r>
        <w:rPr>
          <w:spacing w:val="-6"/>
          <w:sz w:val="20"/>
        </w:rPr>
        <w:t xml:space="preserve"> </w:t>
      </w:r>
      <w:r>
        <w:rPr>
          <w:sz w:val="20"/>
        </w:rPr>
        <w:t>Massachusetts</w:t>
      </w:r>
      <w:r>
        <w:rPr>
          <w:spacing w:val="-7"/>
          <w:sz w:val="20"/>
        </w:rPr>
        <w:t xml:space="preserve"> </w:t>
      </w:r>
      <w:r>
        <w:rPr>
          <w:sz w:val="20"/>
        </w:rPr>
        <w:t>and</w:t>
      </w:r>
      <w:r>
        <w:rPr>
          <w:spacing w:val="-7"/>
          <w:sz w:val="20"/>
        </w:rPr>
        <w:t xml:space="preserve"> </w:t>
      </w:r>
      <w:r>
        <w:rPr>
          <w:sz w:val="20"/>
        </w:rPr>
        <w:t>Across</w:t>
      </w:r>
      <w:r>
        <w:rPr>
          <w:spacing w:val="-7"/>
          <w:sz w:val="20"/>
        </w:rPr>
        <w:t xml:space="preserve"> </w:t>
      </w:r>
      <w:r>
        <w:rPr>
          <w:sz w:val="20"/>
        </w:rPr>
        <w:t>the</w:t>
      </w:r>
      <w:r>
        <w:rPr>
          <w:spacing w:val="-7"/>
          <w:sz w:val="20"/>
        </w:rPr>
        <w:t xml:space="preserve"> </w:t>
      </w:r>
      <w:r>
        <w:rPr>
          <w:sz w:val="20"/>
        </w:rPr>
        <w:t>Country,”</w:t>
      </w:r>
      <w:r>
        <w:rPr>
          <w:spacing w:val="-8"/>
          <w:sz w:val="20"/>
        </w:rPr>
        <w:t xml:space="preserve"> </w:t>
      </w:r>
      <w:r>
        <w:rPr>
          <w:sz w:val="20"/>
        </w:rPr>
        <w:t>Massachusetts</w:t>
      </w:r>
      <w:r>
        <w:rPr>
          <w:spacing w:val="-7"/>
          <w:sz w:val="20"/>
        </w:rPr>
        <w:t xml:space="preserve"> </w:t>
      </w:r>
      <w:r>
        <w:rPr>
          <w:sz w:val="20"/>
        </w:rPr>
        <w:t>Coalition for the Homeless, accessed May 15, 2022, https://mahomeless.org/basic-facts.</w:t>
      </w:r>
    </w:p>
    <w:p w:rsidR="00C76E6D" w:rsidRDefault="00C76E6D">
      <w:pPr>
        <w:rPr>
          <w:sz w:val="20"/>
        </w:rPr>
        <w:sectPr w:rsidR="00C76E6D">
          <w:pgSz w:w="12240" w:h="15840"/>
          <w:pgMar w:top="960" w:right="960" w:bottom="880" w:left="960" w:header="769" w:footer="694"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11"/>
        <w:rPr>
          <w:sz w:val="18"/>
        </w:rPr>
      </w:pPr>
    </w:p>
    <w:p w:rsidR="00C76E6D" w:rsidRDefault="00913831">
      <w:pPr>
        <w:ind w:left="480" w:right="473" w:hanging="2"/>
        <w:jc w:val="both"/>
        <w:rPr>
          <w:sz w:val="20"/>
        </w:rPr>
      </w:pPr>
      <w:bookmarkStart w:id="711" w:name="_bookmark539"/>
      <w:bookmarkEnd w:id="711"/>
      <w:r>
        <w:rPr>
          <w:sz w:val="20"/>
          <w:vertAlign w:val="superscript"/>
        </w:rPr>
        <w:t>27</w:t>
      </w:r>
      <w:r>
        <w:rPr>
          <w:spacing w:val="-3"/>
          <w:sz w:val="20"/>
        </w:rPr>
        <w:t xml:space="preserve"> </w:t>
      </w:r>
      <w:r>
        <w:rPr>
          <w:sz w:val="20"/>
        </w:rPr>
        <w:t>Laurie</w:t>
      </w:r>
      <w:r>
        <w:rPr>
          <w:spacing w:val="-3"/>
          <w:sz w:val="20"/>
        </w:rPr>
        <w:t xml:space="preserve"> </w:t>
      </w:r>
      <w:r>
        <w:rPr>
          <w:sz w:val="20"/>
        </w:rPr>
        <w:t>Ross,</w:t>
      </w:r>
      <w:r>
        <w:rPr>
          <w:spacing w:val="-4"/>
          <w:sz w:val="20"/>
        </w:rPr>
        <w:t xml:space="preserve"> </w:t>
      </w:r>
      <w:r>
        <w:rPr>
          <w:i/>
          <w:sz w:val="20"/>
        </w:rPr>
        <w:t>Massachusetts</w:t>
      </w:r>
      <w:r>
        <w:rPr>
          <w:i/>
          <w:spacing w:val="-4"/>
          <w:sz w:val="20"/>
        </w:rPr>
        <w:t xml:space="preserve"> </w:t>
      </w:r>
      <w:r>
        <w:rPr>
          <w:i/>
          <w:sz w:val="20"/>
        </w:rPr>
        <w:t>Youth</w:t>
      </w:r>
      <w:r>
        <w:rPr>
          <w:i/>
          <w:spacing w:val="-4"/>
          <w:sz w:val="20"/>
        </w:rPr>
        <w:t xml:space="preserve"> </w:t>
      </w:r>
      <w:r>
        <w:rPr>
          <w:i/>
          <w:sz w:val="20"/>
        </w:rPr>
        <w:t>Count</w:t>
      </w:r>
      <w:r>
        <w:rPr>
          <w:i/>
          <w:spacing w:val="-4"/>
          <w:sz w:val="20"/>
        </w:rPr>
        <w:t xml:space="preserve"> </w:t>
      </w:r>
      <w:r>
        <w:rPr>
          <w:i/>
          <w:sz w:val="20"/>
        </w:rPr>
        <w:t>2019</w:t>
      </w:r>
      <w:r>
        <w:rPr>
          <w:i/>
          <w:spacing w:val="-3"/>
          <w:sz w:val="20"/>
        </w:rPr>
        <w:t xml:space="preserve"> </w:t>
      </w:r>
      <w:r>
        <w:rPr>
          <w:sz w:val="20"/>
        </w:rPr>
        <w:t>(Boston:</w:t>
      </w:r>
      <w:r>
        <w:rPr>
          <w:spacing w:val="-4"/>
          <w:sz w:val="20"/>
        </w:rPr>
        <w:t xml:space="preserve"> </w:t>
      </w:r>
      <w:r>
        <w:rPr>
          <w:sz w:val="20"/>
        </w:rPr>
        <w:t>Massachusetts</w:t>
      </w:r>
      <w:r>
        <w:rPr>
          <w:spacing w:val="-4"/>
          <w:sz w:val="20"/>
        </w:rPr>
        <w:t xml:space="preserve"> </w:t>
      </w:r>
      <w:r>
        <w:rPr>
          <w:sz w:val="20"/>
        </w:rPr>
        <w:t>Commission</w:t>
      </w:r>
      <w:r>
        <w:rPr>
          <w:spacing w:val="-2"/>
          <w:sz w:val="20"/>
        </w:rPr>
        <w:t xml:space="preserve"> </w:t>
      </w:r>
      <w:r>
        <w:rPr>
          <w:sz w:val="20"/>
        </w:rPr>
        <w:t>on</w:t>
      </w:r>
      <w:r>
        <w:rPr>
          <w:spacing w:val="-3"/>
          <w:sz w:val="20"/>
        </w:rPr>
        <w:t xml:space="preserve"> </w:t>
      </w:r>
      <w:r>
        <w:rPr>
          <w:sz w:val="20"/>
        </w:rPr>
        <w:t>Unaccompanied</w:t>
      </w:r>
      <w:r>
        <w:rPr>
          <w:spacing w:val="-3"/>
          <w:sz w:val="20"/>
        </w:rPr>
        <w:t xml:space="preserve"> </w:t>
      </w:r>
      <w:r>
        <w:rPr>
          <w:sz w:val="20"/>
        </w:rPr>
        <w:t>Homeless Youth,</w:t>
      </w:r>
      <w:r>
        <w:rPr>
          <w:spacing w:val="-9"/>
          <w:sz w:val="20"/>
        </w:rPr>
        <w:t xml:space="preserve"> </w:t>
      </w:r>
      <w:r>
        <w:rPr>
          <w:sz w:val="20"/>
        </w:rPr>
        <w:t>2019),</w:t>
      </w:r>
      <w:r>
        <w:rPr>
          <w:spacing w:val="-9"/>
          <w:sz w:val="20"/>
        </w:rPr>
        <w:t xml:space="preserve"> </w:t>
      </w:r>
      <w:r>
        <w:rPr>
          <w:sz w:val="20"/>
        </w:rPr>
        <w:t>https://mahomeles</w:t>
      </w:r>
      <w:r>
        <w:rPr>
          <w:sz w:val="20"/>
        </w:rPr>
        <w:t xml:space="preserve">s.org/wp-content/uploads/2014/10/images_youth_count_2019_final_report_12- </w:t>
      </w:r>
      <w:r>
        <w:rPr>
          <w:spacing w:val="-2"/>
          <w:sz w:val="20"/>
        </w:rPr>
        <w:t>19.pdf.</w:t>
      </w:r>
    </w:p>
    <w:p w:rsidR="00C76E6D" w:rsidRDefault="00913831">
      <w:pPr>
        <w:spacing w:before="159"/>
        <w:ind w:left="479" w:right="2891"/>
        <w:rPr>
          <w:sz w:val="20"/>
        </w:rPr>
      </w:pPr>
      <w:bookmarkStart w:id="712" w:name="_bookmark540"/>
      <w:bookmarkEnd w:id="712"/>
      <w:r>
        <w:rPr>
          <w:sz w:val="20"/>
          <w:vertAlign w:val="superscript"/>
        </w:rPr>
        <w:t>28</w:t>
      </w:r>
      <w:r>
        <w:rPr>
          <w:sz w:val="20"/>
        </w:rPr>
        <w:t xml:space="preserve"> </w:t>
      </w:r>
      <w:r>
        <w:rPr>
          <w:i/>
          <w:sz w:val="20"/>
        </w:rPr>
        <w:t>LGBTQ</w:t>
      </w:r>
      <w:r>
        <w:rPr>
          <w:i/>
          <w:spacing w:val="-1"/>
          <w:sz w:val="20"/>
        </w:rPr>
        <w:t xml:space="preserve"> </w:t>
      </w:r>
      <w:r>
        <w:rPr>
          <w:i/>
          <w:sz w:val="20"/>
        </w:rPr>
        <w:t>Homelessness</w:t>
      </w:r>
      <w:r>
        <w:rPr>
          <w:i/>
          <w:spacing w:val="-2"/>
          <w:sz w:val="20"/>
        </w:rPr>
        <w:t xml:space="preserve"> </w:t>
      </w:r>
      <w:r>
        <w:rPr>
          <w:sz w:val="20"/>
        </w:rPr>
        <w:t>(Washington,</w:t>
      </w:r>
      <w:r>
        <w:rPr>
          <w:spacing w:val="-2"/>
          <w:sz w:val="20"/>
        </w:rPr>
        <w:t xml:space="preserve"> </w:t>
      </w:r>
      <w:r>
        <w:rPr>
          <w:sz w:val="20"/>
        </w:rPr>
        <w:t>DC:</w:t>
      </w:r>
      <w:r>
        <w:rPr>
          <w:spacing w:val="-2"/>
          <w:sz w:val="20"/>
        </w:rPr>
        <w:t xml:space="preserve"> </w:t>
      </w:r>
      <w:r>
        <w:rPr>
          <w:sz w:val="20"/>
        </w:rPr>
        <w:t>National</w:t>
      </w:r>
      <w:r>
        <w:rPr>
          <w:spacing w:val="-1"/>
          <w:sz w:val="20"/>
        </w:rPr>
        <w:t xml:space="preserve"> </w:t>
      </w:r>
      <w:r>
        <w:rPr>
          <w:sz w:val="20"/>
        </w:rPr>
        <w:t>Coalition</w:t>
      </w:r>
      <w:r>
        <w:rPr>
          <w:spacing w:val="-1"/>
          <w:sz w:val="20"/>
        </w:rPr>
        <w:t xml:space="preserve"> </w:t>
      </w:r>
      <w:r>
        <w:rPr>
          <w:sz w:val="20"/>
        </w:rPr>
        <w:t>for</w:t>
      </w:r>
      <w:r>
        <w:rPr>
          <w:spacing w:val="-1"/>
          <w:sz w:val="20"/>
        </w:rPr>
        <w:t xml:space="preserve"> </w:t>
      </w:r>
      <w:r>
        <w:rPr>
          <w:sz w:val="20"/>
        </w:rPr>
        <w:t>the</w:t>
      </w:r>
      <w:r>
        <w:rPr>
          <w:spacing w:val="-3"/>
          <w:sz w:val="20"/>
        </w:rPr>
        <w:t xml:space="preserve"> </w:t>
      </w:r>
      <w:r>
        <w:rPr>
          <w:sz w:val="20"/>
        </w:rPr>
        <w:t xml:space="preserve">Homeless, 2017), </w:t>
      </w:r>
      <w:r>
        <w:rPr>
          <w:spacing w:val="-4"/>
          <w:sz w:val="20"/>
        </w:rPr>
        <w:t>https://nationalhomeless.org/wp-content/uploads/2017/06/LGBTQ-Homelessness.pdf.</w:t>
      </w:r>
    </w:p>
    <w:p w:rsidR="00C76E6D" w:rsidRDefault="00913831">
      <w:pPr>
        <w:spacing w:before="161"/>
        <w:ind w:left="480" w:right="530" w:hanging="1"/>
        <w:rPr>
          <w:sz w:val="20"/>
        </w:rPr>
      </w:pPr>
      <w:bookmarkStart w:id="713" w:name="_bookmark541"/>
      <w:bookmarkEnd w:id="713"/>
      <w:r>
        <w:rPr>
          <w:sz w:val="20"/>
          <w:vertAlign w:val="superscript"/>
        </w:rPr>
        <w:t>29</w:t>
      </w:r>
      <w:r>
        <w:rPr>
          <w:sz w:val="20"/>
        </w:rPr>
        <w:t xml:space="preserve"> Sandy E. James, et al, </w:t>
      </w:r>
      <w:r>
        <w:rPr>
          <w:i/>
          <w:sz w:val="20"/>
        </w:rPr>
        <w:t>The Report of the 2015 U.S. Transgender</w:t>
      </w:r>
      <w:r>
        <w:rPr>
          <w:i/>
          <w:spacing w:val="-1"/>
          <w:sz w:val="20"/>
        </w:rPr>
        <w:t xml:space="preserve"> </w:t>
      </w:r>
      <w:r>
        <w:rPr>
          <w:i/>
          <w:sz w:val="20"/>
        </w:rPr>
        <w:t xml:space="preserve">Survey </w:t>
      </w:r>
      <w:r>
        <w:rPr>
          <w:sz w:val="20"/>
        </w:rPr>
        <w:t xml:space="preserve">(Washington, DC: National Center for </w:t>
      </w:r>
      <w:r>
        <w:rPr>
          <w:spacing w:val="-2"/>
          <w:sz w:val="20"/>
        </w:rPr>
        <w:t>Transgender</w:t>
      </w:r>
      <w:r>
        <w:rPr>
          <w:spacing w:val="30"/>
          <w:sz w:val="20"/>
        </w:rPr>
        <w:t xml:space="preserve"> </w:t>
      </w:r>
      <w:r>
        <w:rPr>
          <w:spacing w:val="-2"/>
          <w:sz w:val="20"/>
        </w:rPr>
        <w:t>Equality,</w:t>
      </w:r>
      <w:r>
        <w:rPr>
          <w:spacing w:val="32"/>
          <w:sz w:val="20"/>
        </w:rPr>
        <w:t xml:space="preserve"> </w:t>
      </w:r>
      <w:r>
        <w:rPr>
          <w:spacing w:val="-2"/>
          <w:sz w:val="20"/>
        </w:rPr>
        <w:t>2016),</w:t>
      </w:r>
      <w:r>
        <w:rPr>
          <w:spacing w:val="32"/>
          <w:sz w:val="20"/>
        </w:rPr>
        <w:t xml:space="preserve"> </w:t>
      </w:r>
      <w:r>
        <w:rPr>
          <w:spacing w:val="-2"/>
          <w:sz w:val="20"/>
        </w:rPr>
        <w:t>https://transequality.org/sites/default/files/docs/usts/USTS-Full-Report-Dec17.pdf.</w:t>
      </w:r>
    </w:p>
    <w:p w:rsidR="00C76E6D" w:rsidRDefault="00913831">
      <w:pPr>
        <w:spacing w:before="160"/>
        <w:ind w:left="480" w:right="473" w:hanging="2"/>
        <w:jc w:val="both"/>
        <w:rPr>
          <w:sz w:val="20"/>
        </w:rPr>
      </w:pPr>
      <w:bookmarkStart w:id="714" w:name="_bookmark542"/>
      <w:bookmarkEnd w:id="714"/>
      <w:r>
        <w:rPr>
          <w:sz w:val="20"/>
          <w:vertAlign w:val="superscript"/>
        </w:rPr>
        <w:t>30</w:t>
      </w:r>
      <w:r>
        <w:rPr>
          <w:spacing w:val="-3"/>
          <w:sz w:val="20"/>
        </w:rPr>
        <w:t xml:space="preserve"> </w:t>
      </w:r>
      <w:r>
        <w:rPr>
          <w:sz w:val="20"/>
        </w:rPr>
        <w:t>Laurie</w:t>
      </w:r>
      <w:r>
        <w:rPr>
          <w:spacing w:val="-3"/>
          <w:sz w:val="20"/>
        </w:rPr>
        <w:t xml:space="preserve"> </w:t>
      </w:r>
      <w:r>
        <w:rPr>
          <w:sz w:val="20"/>
        </w:rPr>
        <w:t>Ross,</w:t>
      </w:r>
      <w:r>
        <w:rPr>
          <w:spacing w:val="-4"/>
          <w:sz w:val="20"/>
        </w:rPr>
        <w:t xml:space="preserve"> </w:t>
      </w:r>
      <w:r>
        <w:rPr>
          <w:i/>
          <w:sz w:val="20"/>
        </w:rPr>
        <w:t>Massachusetts</w:t>
      </w:r>
      <w:r>
        <w:rPr>
          <w:i/>
          <w:spacing w:val="-4"/>
          <w:sz w:val="20"/>
        </w:rPr>
        <w:t xml:space="preserve"> </w:t>
      </w:r>
      <w:r>
        <w:rPr>
          <w:i/>
          <w:sz w:val="20"/>
        </w:rPr>
        <w:t>Youth</w:t>
      </w:r>
      <w:r>
        <w:rPr>
          <w:i/>
          <w:spacing w:val="-4"/>
          <w:sz w:val="20"/>
        </w:rPr>
        <w:t xml:space="preserve"> </w:t>
      </w:r>
      <w:r>
        <w:rPr>
          <w:i/>
          <w:sz w:val="20"/>
        </w:rPr>
        <w:t>Count</w:t>
      </w:r>
      <w:r>
        <w:rPr>
          <w:i/>
          <w:spacing w:val="-4"/>
          <w:sz w:val="20"/>
        </w:rPr>
        <w:t xml:space="preserve"> </w:t>
      </w:r>
      <w:r>
        <w:rPr>
          <w:i/>
          <w:sz w:val="20"/>
        </w:rPr>
        <w:t>2019</w:t>
      </w:r>
      <w:r>
        <w:rPr>
          <w:i/>
          <w:spacing w:val="-3"/>
          <w:sz w:val="20"/>
        </w:rPr>
        <w:t xml:space="preserve"> </w:t>
      </w:r>
      <w:r>
        <w:rPr>
          <w:sz w:val="20"/>
        </w:rPr>
        <w:t>(Boston:</w:t>
      </w:r>
      <w:r>
        <w:rPr>
          <w:spacing w:val="-4"/>
          <w:sz w:val="20"/>
        </w:rPr>
        <w:t xml:space="preserve"> </w:t>
      </w:r>
      <w:r>
        <w:rPr>
          <w:sz w:val="20"/>
        </w:rPr>
        <w:t>Massachusetts</w:t>
      </w:r>
      <w:r>
        <w:rPr>
          <w:spacing w:val="-4"/>
          <w:sz w:val="20"/>
        </w:rPr>
        <w:t xml:space="preserve"> </w:t>
      </w:r>
      <w:r>
        <w:rPr>
          <w:sz w:val="20"/>
        </w:rPr>
        <w:t>Commission</w:t>
      </w:r>
      <w:r>
        <w:rPr>
          <w:spacing w:val="-2"/>
          <w:sz w:val="20"/>
        </w:rPr>
        <w:t xml:space="preserve"> </w:t>
      </w:r>
      <w:r>
        <w:rPr>
          <w:sz w:val="20"/>
        </w:rPr>
        <w:t>on</w:t>
      </w:r>
      <w:r>
        <w:rPr>
          <w:spacing w:val="-3"/>
          <w:sz w:val="20"/>
        </w:rPr>
        <w:t xml:space="preserve"> </w:t>
      </w:r>
      <w:r>
        <w:rPr>
          <w:sz w:val="20"/>
        </w:rPr>
        <w:t>Unaccompanied</w:t>
      </w:r>
      <w:r>
        <w:rPr>
          <w:spacing w:val="-3"/>
          <w:sz w:val="20"/>
        </w:rPr>
        <w:t xml:space="preserve"> </w:t>
      </w:r>
      <w:r>
        <w:rPr>
          <w:sz w:val="20"/>
        </w:rPr>
        <w:t>Homeless Youth,</w:t>
      </w:r>
      <w:r>
        <w:rPr>
          <w:spacing w:val="-9"/>
          <w:sz w:val="20"/>
        </w:rPr>
        <w:t xml:space="preserve"> </w:t>
      </w:r>
      <w:r>
        <w:rPr>
          <w:sz w:val="20"/>
        </w:rPr>
        <w:t>2019),</w:t>
      </w:r>
      <w:r>
        <w:rPr>
          <w:spacing w:val="-9"/>
          <w:sz w:val="20"/>
        </w:rPr>
        <w:t xml:space="preserve"> </w:t>
      </w:r>
      <w:r>
        <w:rPr>
          <w:sz w:val="20"/>
        </w:rPr>
        <w:t xml:space="preserve">https://mahomeless.org/wp-content/uploads/2014/10/images_youth_count_2019_final_report_12- </w:t>
      </w:r>
      <w:bookmarkStart w:id="715" w:name="_bookmark543"/>
      <w:bookmarkEnd w:id="715"/>
      <w:r>
        <w:rPr>
          <w:spacing w:val="-2"/>
          <w:sz w:val="20"/>
        </w:rPr>
        <w:t>19.pdf.</w:t>
      </w:r>
    </w:p>
    <w:p w:rsidR="00C76E6D" w:rsidRDefault="00913831">
      <w:pPr>
        <w:spacing w:before="160"/>
        <w:ind w:left="479" w:right="2891"/>
        <w:rPr>
          <w:sz w:val="20"/>
        </w:rPr>
      </w:pPr>
      <w:r>
        <w:rPr>
          <w:sz w:val="20"/>
          <w:vertAlign w:val="superscript"/>
        </w:rPr>
        <w:t>31</w:t>
      </w:r>
      <w:r>
        <w:rPr>
          <w:sz w:val="20"/>
        </w:rPr>
        <w:t xml:space="preserve"> </w:t>
      </w:r>
      <w:r>
        <w:rPr>
          <w:i/>
          <w:sz w:val="20"/>
        </w:rPr>
        <w:t>LGBTQ</w:t>
      </w:r>
      <w:r>
        <w:rPr>
          <w:i/>
          <w:spacing w:val="-1"/>
          <w:sz w:val="20"/>
        </w:rPr>
        <w:t xml:space="preserve"> </w:t>
      </w:r>
      <w:r>
        <w:rPr>
          <w:i/>
          <w:sz w:val="20"/>
        </w:rPr>
        <w:t>Homelessness</w:t>
      </w:r>
      <w:r>
        <w:rPr>
          <w:i/>
          <w:spacing w:val="-2"/>
          <w:sz w:val="20"/>
        </w:rPr>
        <w:t xml:space="preserve"> </w:t>
      </w:r>
      <w:r>
        <w:rPr>
          <w:sz w:val="20"/>
        </w:rPr>
        <w:t>(Washington,</w:t>
      </w:r>
      <w:r>
        <w:rPr>
          <w:spacing w:val="-2"/>
          <w:sz w:val="20"/>
        </w:rPr>
        <w:t xml:space="preserve"> </w:t>
      </w:r>
      <w:r>
        <w:rPr>
          <w:sz w:val="20"/>
        </w:rPr>
        <w:t>DC:</w:t>
      </w:r>
      <w:r>
        <w:rPr>
          <w:spacing w:val="-2"/>
          <w:sz w:val="20"/>
        </w:rPr>
        <w:t xml:space="preserve"> </w:t>
      </w:r>
      <w:r>
        <w:rPr>
          <w:sz w:val="20"/>
        </w:rPr>
        <w:t>National</w:t>
      </w:r>
      <w:r>
        <w:rPr>
          <w:spacing w:val="-1"/>
          <w:sz w:val="20"/>
        </w:rPr>
        <w:t xml:space="preserve"> </w:t>
      </w:r>
      <w:r>
        <w:rPr>
          <w:sz w:val="20"/>
        </w:rPr>
        <w:t>Coalition</w:t>
      </w:r>
      <w:r>
        <w:rPr>
          <w:spacing w:val="-1"/>
          <w:sz w:val="20"/>
        </w:rPr>
        <w:t xml:space="preserve"> </w:t>
      </w:r>
      <w:r>
        <w:rPr>
          <w:sz w:val="20"/>
        </w:rPr>
        <w:t>for</w:t>
      </w:r>
      <w:r>
        <w:rPr>
          <w:spacing w:val="-1"/>
          <w:sz w:val="20"/>
        </w:rPr>
        <w:t xml:space="preserve"> </w:t>
      </w:r>
      <w:r>
        <w:rPr>
          <w:sz w:val="20"/>
        </w:rPr>
        <w:t>the</w:t>
      </w:r>
      <w:r>
        <w:rPr>
          <w:spacing w:val="-3"/>
          <w:sz w:val="20"/>
        </w:rPr>
        <w:t xml:space="preserve"> </w:t>
      </w:r>
      <w:r>
        <w:rPr>
          <w:sz w:val="20"/>
        </w:rPr>
        <w:t xml:space="preserve">Homeless, 2017), </w:t>
      </w:r>
      <w:r>
        <w:rPr>
          <w:spacing w:val="-4"/>
          <w:sz w:val="20"/>
        </w:rPr>
        <w:t>https://nationalhomeless.org/wp-content/uploads/2017/06/LGBTQ-Homelessness.pdf.</w:t>
      </w:r>
    </w:p>
    <w:p w:rsidR="00C76E6D" w:rsidRDefault="00913831">
      <w:pPr>
        <w:spacing w:before="160"/>
        <w:ind w:left="481" w:right="530" w:hanging="2"/>
        <w:rPr>
          <w:sz w:val="20"/>
        </w:rPr>
      </w:pPr>
      <w:bookmarkStart w:id="716" w:name="_bookmark544"/>
      <w:bookmarkEnd w:id="716"/>
      <w:r>
        <w:rPr>
          <w:sz w:val="20"/>
          <w:vertAlign w:val="superscript"/>
        </w:rPr>
        <w:t>32</w:t>
      </w:r>
      <w:r>
        <w:rPr>
          <w:sz w:val="20"/>
        </w:rPr>
        <w:t xml:space="preserve"> Sandy E. James, et al, </w:t>
      </w:r>
      <w:r>
        <w:rPr>
          <w:i/>
          <w:sz w:val="20"/>
        </w:rPr>
        <w:t>The Report of the 2015 U.S. Transgender</w:t>
      </w:r>
      <w:r>
        <w:rPr>
          <w:i/>
          <w:spacing w:val="-1"/>
          <w:sz w:val="20"/>
        </w:rPr>
        <w:t xml:space="preserve"> </w:t>
      </w:r>
      <w:r>
        <w:rPr>
          <w:i/>
          <w:sz w:val="20"/>
        </w:rPr>
        <w:t xml:space="preserve">Survey </w:t>
      </w:r>
      <w:r>
        <w:rPr>
          <w:sz w:val="20"/>
        </w:rPr>
        <w:t xml:space="preserve">(Washington, DC: National Center for </w:t>
      </w:r>
      <w:bookmarkStart w:id="717" w:name="_bookmark545"/>
      <w:bookmarkEnd w:id="717"/>
      <w:r>
        <w:rPr>
          <w:spacing w:val="-2"/>
          <w:sz w:val="20"/>
        </w:rPr>
        <w:t>Transgender</w:t>
      </w:r>
      <w:r>
        <w:rPr>
          <w:spacing w:val="19"/>
          <w:sz w:val="20"/>
        </w:rPr>
        <w:t xml:space="preserve"> </w:t>
      </w:r>
      <w:r>
        <w:rPr>
          <w:spacing w:val="-2"/>
          <w:sz w:val="20"/>
        </w:rPr>
        <w:t>Equality,</w:t>
      </w:r>
      <w:r>
        <w:rPr>
          <w:spacing w:val="24"/>
          <w:sz w:val="20"/>
        </w:rPr>
        <w:t xml:space="preserve"> </w:t>
      </w:r>
      <w:r>
        <w:rPr>
          <w:spacing w:val="-2"/>
          <w:sz w:val="20"/>
        </w:rPr>
        <w:t>2016),</w:t>
      </w:r>
      <w:r>
        <w:rPr>
          <w:spacing w:val="24"/>
          <w:sz w:val="20"/>
        </w:rPr>
        <w:t xml:space="preserve"> </w:t>
      </w:r>
      <w:r>
        <w:rPr>
          <w:spacing w:val="-2"/>
          <w:sz w:val="20"/>
        </w:rPr>
        <w:t>https://transequalit</w:t>
      </w:r>
      <w:r>
        <w:rPr>
          <w:spacing w:val="-2"/>
          <w:sz w:val="20"/>
        </w:rPr>
        <w:t>y.org/sites/default/files/docs/usts/USTS-Full-Report-Dec17.pdf.</w:t>
      </w:r>
    </w:p>
    <w:p w:rsidR="00C76E6D" w:rsidRDefault="00913831">
      <w:pPr>
        <w:spacing w:before="160"/>
        <w:ind w:left="481" w:right="773" w:hanging="3"/>
        <w:rPr>
          <w:sz w:val="20"/>
        </w:rPr>
      </w:pPr>
      <w:r>
        <w:rPr>
          <w:sz w:val="20"/>
          <w:vertAlign w:val="superscript"/>
        </w:rPr>
        <w:t>33</w:t>
      </w:r>
      <w:r>
        <w:rPr>
          <w:spacing w:val="-4"/>
          <w:sz w:val="20"/>
        </w:rPr>
        <w:t xml:space="preserve"> </w:t>
      </w:r>
      <w:r>
        <w:rPr>
          <w:sz w:val="20"/>
        </w:rPr>
        <w:t>JL</w:t>
      </w:r>
      <w:r>
        <w:rPr>
          <w:spacing w:val="-5"/>
          <w:sz w:val="20"/>
        </w:rPr>
        <w:t xml:space="preserve"> </w:t>
      </w:r>
      <w:r>
        <w:rPr>
          <w:sz w:val="20"/>
        </w:rPr>
        <w:t>Heinze,</w:t>
      </w:r>
      <w:r>
        <w:rPr>
          <w:spacing w:val="-4"/>
          <w:sz w:val="20"/>
        </w:rPr>
        <w:t xml:space="preserve"> </w:t>
      </w:r>
      <w:r>
        <w:rPr>
          <w:sz w:val="20"/>
        </w:rPr>
        <w:t>“</w:t>
      </w:r>
      <w:r>
        <w:rPr>
          <w:i/>
          <w:sz w:val="20"/>
        </w:rPr>
        <w:t>Economics</w:t>
      </w:r>
      <w:r>
        <w:rPr>
          <w:i/>
          <w:spacing w:val="-6"/>
          <w:sz w:val="20"/>
        </w:rPr>
        <w:t xml:space="preserve"> </w:t>
      </w:r>
      <w:r>
        <w:rPr>
          <w:i/>
          <w:sz w:val="20"/>
        </w:rPr>
        <w:t>as</w:t>
      </w:r>
      <w:r>
        <w:rPr>
          <w:i/>
          <w:spacing w:val="-4"/>
          <w:sz w:val="20"/>
        </w:rPr>
        <w:t xml:space="preserve"> </w:t>
      </w:r>
      <w:r>
        <w:rPr>
          <w:i/>
          <w:sz w:val="20"/>
        </w:rPr>
        <w:t>a</w:t>
      </w:r>
      <w:r>
        <w:rPr>
          <w:i/>
          <w:spacing w:val="-7"/>
          <w:sz w:val="20"/>
        </w:rPr>
        <w:t xml:space="preserve"> </w:t>
      </w:r>
      <w:r>
        <w:rPr>
          <w:i/>
          <w:sz w:val="20"/>
        </w:rPr>
        <w:t>Factor</w:t>
      </w:r>
      <w:r>
        <w:rPr>
          <w:i/>
          <w:spacing w:val="-5"/>
          <w:sz w:val="20"/>
        </w:rPr>
        <w:t xml:space="preserve"> </w:t>
      </w:r>
      <w:r>
        <w:rPr>
          <w:i/>
          <w:sz w:val="20"/>
        </w:rPr>
        <w:t>in</w:t>
      </w:r>
      <w:r>
        <w:rPr>
          <w:i/>
          <w:spacing w:val="-5"/>
          <w:sz w:val="20"/>
        </w:rPr>
        <w:t xml:space="preserve"> </w:t>
      </w:r>
      <w:r>
        <w:rPr>
          <w:i/>
          <w:sz w:val="20"/>
        </w:rPr>
        <w:t>Sexual</w:t>
      </w:r>
      <w:r>
        <w:rPr>
          <w:i/>
          <w:spacing w:val="-5"/>
          <w:sz w:val="20"/>
        </w:rPr>
        <w:t xml:space="preserve"> </w:t>
      </w:r>
      <w:r>
        <w:rPr>
          <w:i/>
          <w:sz w:val="20"/>
        </w:rPr>
        <w:t>Violence</w:t>
      </w:r>
      <w:r>
        <w:rPr>
          <w:sz w:val="20"/>
        </w:rPr>
        <w:t>,”</w:t>
      </w:r>
      <w:r>
        <w:rPr>
          <w:spacing w:val="-5"/>
          <w:sz w:val="20"/>
        </w:rPr>
        <w:t xml:space="preserve"> </w:t>
      </w:r>
      <w:r>
        <w:rPr>
          <w:sz w:val="20"/>
        </w:rPr>
        <w:t>National</w:t>
      </w:r>
      <w:r>
        <w:rPr>
          <w:spacing w:val="-5"/>
          <w:sz w:val="20"/>
        </w:rPr>
        <w:t xml:space="preserve"> </w:t>
      </w:r>
      <w:r>
        <w:rPr>
          <w:sz w:val="20"/>
        </w:rPr>
        <w:t>Sexual</w:t>
      </w:r>
      <w:r>
        <w:rPr>
          <w:spacing w:val="-8"/>
          <w:sz w:val="20"/>
        </w:rPr>
        <w:t xml:space="preserve"> </w:t>
      </w:r>
      <w:r>
        <w:rPr>
          <w:sz w:val="20"/>
        </w:rPr>
        <w:t>Violence</w:t>
      </w:r>
      <w:r>
        <w:rPr>
          <w:spacing w:val="-7"/>
          <w:sz w:val="20"/>
        </w:rPr>
        <w:t xml:space="preserve"> </w:t>
      </w:r>
      <w:r>
        <w:rPr>
          <w:sz w:val="20"/>
        </w:rPr>
        <w:t>Resource</w:t>
      </w:r>
      <w:r>
        <w:rPr>
          <w:spacing w:val="-4"/>
          <w:sz w:val="20"/>
        </w:rPr>
        <w:t xml:space="preserve"> </w:t>
      </w:r>
      <w:r>
        <w:rPr>
          <w:sz w:val="20"/>
        </w:rPr>
        <w:t>Center,</w:t>
      </w:r>
      <w:r>
        <w:rPr>
          <w:spacing w:val="-5"/>
          <w:sz w:val="20"/>
        </w:rPr>
        <w:t xml:space="preserve"> </w:t>
      </w:r>
      <w:r>
        <w:rPr>
          <w:sz w:val="20"/>
        </w:rPr>
        <w:t>May</w:t>
      </w:r>
      <w:r>
        <w:rPr>
          <w:spacing w:val="-4"/>
          <w:sz w:val="20"/>
        </w:rPr>
        <w:t xml:space="preserve"> </w:t>
      </w:r>
      <w:r>
        <w:rPr>
          <w:sz w:val="20"/>
        </w:rPr>
        <w:t>4,</w:t>
      </w:r>
      <w:r>
        <w:rPr>
          <w:spacing w:val="-5"/>
          <w:sz w:val="20"/>
        </w:rPr>
        <w:t xml:space="preserve"> </w:t>
      </w:r>
      <w:r>
        <w:rPr>
          <w:sz w:val="20"/>
        </w:rPr>
        <w:t xml:space="preserve">2021, </w:t>
      </w:r>
      <w:r>
        <w:rPr>
          <w:spacing w:val="-2"/>
          <w:sz w:val="20"/>
        </w:rPr>
        <w:t>https://</w:t>
      </w:r>
      <w:hyperlink r:id="rId362">
        <w:r>
          <w:rPr>
            <w:spacing w:val="-2"/>
            <w:sz w:val="20"/>
          </w:rPr>
          <w:t>www.nsvrc.org/blogs/economics-factor-sexual-violence.</w:t>
        </w:r>
      </w:hyperlink>
    </w:p>
    <w:p w:rsidR="00C76E6D" w:rsidRDefault="00913831">
      <w:pPr>
        <w:spacing w:before="161"/>
        <w:ind w:left="480"/>
        <w:rPr>
          <w:sz w:val="20"/>
        </w:rPr>
      </w:pPr>
      <w:bookmarkStart w:id="718" w:name="_bookmark546"/>
      <w:bookmarkEnd w:id="718"/>
      <w:r>
        <w:rPr>
          <w:spacing w:val="-2"/>
          <w:sz w:val="20"/>
          <w:vertAlign w:val="superscript"/>
        </w:rPr>
        <w:t>34</w:t>
      </w:r>
      <w:r>
        <w:rPr>
          <w:spacing w:val="6"/>
          <w:sz w:val="20"/>
        </w:rPr>
        <w:t xml:space="preserve"> </w:t>
      </w:r>
      <w:r>
        <w:rPr>
          <w:spacing w:val="-2"/>
          <w:sz w:val="20"/>
        </w:rPr>
        <w:t>“24-Hour</w:t>
      </w:r>
      <w:r>
        <w:rPr>
          <w:spacing w:val="3"/>
          <w:sz w:val="20"/>
        </w:rPr>
        <w:t xml:space="preserve"> </w:t>
      </w:r>
      <w:r>
        <w:rPr>
          <w:spacing w:val="-2"/>
          <w:sz w:val="20"/>
        </w:rPr>
        <w:t>Hotline,</w:t>
      </w:r>
      <w:r>
        <w:rPr>
          <w:spacing w:val="7"/>
          <w:sz w:val="20"/>
        </w:rPr>
        <w:t xml:space="preserve"> </w:t>
      </w:r>
      <w:r>
        <w:rPr>
          <w:spacing w:val="-2"/>
          <w:sz w:val="20"/>
        </w:rPr>
        <w:t>The</w:t>
      </w:r>
      <w:r>
        <w:rPr>
          <w:spacing w:val="5"/>
          <w:sz w:val="20"/>
        </w:rPr>
        <w:t xml:space="preserve"> </w:t>
      </w:r>
      <w:r>
        <w:rPr>
          <w:spacing w:val="-2"/>
          <w:sz w:val="20"/>
        </w:rPr>
        <w:t>Network/La</w:t>
      </w:r>
      <w:r>
        <w:rPr>
          <w:spacing w:val="2"/>
          <w:sz w:val="20"/>
        </w:rPr>
        <w:t xml:space="preserve"> </w:t>
      </w:r>
      <w:r>
        <w:rPr>
          <w:spacing w:val="-2"/>
          <w:sz w:val="20"/>
        </w:rPr>
        <w:t>Red,</w:t>
      </w:r>
      <w:r>
        <w:rPr>
          <w:spacing w:val="6"/>
          <w:sz w:val="20"/>
        </w:rPr>
        <w:t xml:space="preserve"> </w:t>
      </w:r>
      <w:r>
        <w:rPr>
          <w:spacing w:val="-2"/>
          <w:sz w:val="20"/>
        </w:rPr>
        <w:t>accessed</w:t>
      </w:r>
      <w:r>
        <w:rPr>
          <w:spacing w:val="4"/>
          <w:sz w:val="20"/>
        </w:rPr>
        <w:t xml:space="preserve"> </w:t>
      </w:r>
      <w:r>
        <w:rPr>
          <w:spacing w:val="-2"/>
          <w:sz w:val="20"/>
        </w:rPr>
        <w:t>May</w:t>
      </w:r>
      <w:r>
        <w:rPr>
          <w:spacing w:val="5"/>
          <w:sz w:val="20"/>
        </w:rPr>
        <w:t xml:space="preserve"> </w:t>
      </w:r>
      <w:r>
        <w:rPr>
          <w:spacing w:val="-2"/>
          <w:sz w:val="20"/>
        </w:rPr>
        <w:t>15,</w:t>
      </w:r>
      <w:r>
        <w:rPr>
          <w:spacing w:val="6"/>
          <w:sz w:val="20"/>
        </w:rPr>
        <w:t xml:space="preserve"> </w:t>
      </w:r>
      <w:r>
        <w:rPr>
          <w:spacing w:val="-2"/>
          <w:sz w:val="20"/>
        </w:rPr>
        <w:t>2022,</w:t>
      </w:r>
      <w:r>
        <w:rPr>
          <w:spacing w:val="3"/>
          <w:sz w:val="20"/>
        </w:rPr>
        <w:t xml:space="preserve"> </w:t>
      </w:r>
      <w:r>
        <w:rPr>
          <w:spacing w:val="-2"/>
          <w:sz w:val="20"/>
        </w:rPr>
        <w:t>https://</w:t>
      </w:r>
      <w:hyperlink r:id="rId363">
        <w:r>
          <w:rPr>
            <w:spacing w:val="-2"/>
            <w:sz w:val="20"/>
          </w:rPr>
          <w:t>www.tnlr.org/en/24-hour-hotline.</w:t>
        </w:r>
      </w:hyperlink>
    </w:p>
    <w:p w:rsidR="00C76E6D" w:rsidRDefault="00913831">
      <w:pPr>
        <w:spacing w:before="159"/>
        <w:ind w:left="480" w:right="3980" w:hanging="1"/>
        <w:rPr>
          <w:sz w:val="20"/>
        </w:rPr>
      </w:pPr>
      <w:bookmarkStart w:id="719" w:name="_bookmark547"/>
      <w:bookmarkEnd w:id="719"/>
      <w:r>
        <w:rPr>
          <w:sz w:val="20"/>
          <w:vertAlign w:val="superscript"/>
        </w:rPr>
        <w:t>35</w:t>
      </w:r>
      <w:r>
        <w:rPr>
          <w:spacing w:val="-8"/>
          <w:sz w:val="20"/>
        </w:rPr>
        <w:t xml:space="preserve"> </w:t>
      </w:r>
      <w:r>
        <w:rPr>
          <w:sz w:val="20"/>
        </w:rPr>
        <w:t>“Violence</w:t>
      </w:r>
      <w:r>
        <w:rPr>
          <w:spacing w:val="-11"/>
          <w:sz w:val="20"/>
        </w:rPr>
        <w:t xml:space="preserve"> </w:t>
      </w:r>
      <w:r>
        <w:rPr>
          <w:sz w:val="20"/>
        </w:rPr>
        <w:t>Recovery</w:t>
      </w:r>
      <w:r>
        <w:rPr>
          <w:spacing w:val="-9"/>
          <w:sz w:val="20"/>
        </w:rPr>
        <w:t xml:space="preserve"> </w:t>
      </w:r>
      <w:r>
        <w:rPr>
          <w:sz w:val="20"/>
        </w:rPr>
        <w:t>Program,”</w:t>
      </w:r>
      <w:r>
        <w:rPr>
          <w:spacing w:val="-10"/>
          <w:sz w:val="20"/>
        </w:rPr>
        <w:t xml:space="preserve"> </w:t>
      </w:r>
      <w:r>
        <w:rPr>
          <w:sz w:val="20"/>
        </w:rPr>
        <w:t>Fenway</w:t>
      </w:r>
      <w:r>
        <w:rPr>
          <w:spacing w:val="-9"/>
          <w:sz w:val="20"/>
        </w:rPr>
        <w:t xml:space="preserve"> </w:t>
      </w:r>
      <w:r>
        <w:rPr>
          <w:sz w:val="20"/>
        </w:rPr>
        <w:t>Health,</w:t>
      </w:r>
      <w:r>
        <w:rPr>
          <w:spacing w:val="-10"/>
          <w:sz w:val="20"/>
        </w:rPr>
        <w:t xml:space="preserve"> </w:t>
      </w:r>
      <w:r>
        <w:rPr>
          <w:sz w:val="20"/>
        </w:rPr>
        <w:t>accessed</w:t>
      </w:r>
      <w:r>
        <w:rPr>
          <w:spacing w:val="-12"/>
          <w:sz w:val="20"/>
        </w:rPr>
        <w:t xml:space="preserve"> </w:t>
      </w:r>
      <w:r>
        <w:rPr>
          <w:sz w:val="20"/>
        </w:rPr>
        <w:t>May</w:t>
      </w:r>
      <w:r>
        <w:rPr>
          <w:spacing w:val="-10"/>
          <w:sz w:val="20"/>
        </w:rPr>
        <w:t xml:space="preserve"> </w:t>
      </w:r>
      <w:r>
        <w:rPr>
          <w:sz w:val="20"/>
        </w:rPr>
        <w:t>15,</w:t>
      </w:r>
      <w:r>
        <w:rPr>
          <w:spacing w:val="-10"/>
          <w:sz w:val="20"/>
        </w:rPr>
        <w:t xml:space="preserve"> </w:t>
      </w:r>
      <w:r>
        <w:rPr>
          <w:sz w:val="20"/>
        </w:rPr>
        <w:t xml:space="preserve">2022, </w:t>
      </w:r>
      <w:bookmarkStart w:id="720" w:name="_bookmark548"/>
      <w:bookmarkEnd w:id="720"/>
      <w:r>
        <w:rPr>
          <w:spacing w:val="-2"/>
          <w:sz w:val="20"/>
        </w:rPr>
        <w:t>https://fenwayhealth.org/care/behavioral-health/violence-recovery.</w:t>
      </w:r>
    </w:p>
    <w:p w:rsidR="00C76E6D" w:rsidRDefault="00913831">
      <w:pPr>
        <w:spacing w:before="161"/>
        <w:ind w:left="480"/>
        <w:rPr>
          <w:sz w:val="20"/>
        </w:rPr>
      </w:pPr>
      <w:r>
        <w:rPr>
          <w:sz w:val="20"/>
          <w:vertAlign w:val="superscript"/>
        </w:rPr>
        <w:t>36</w:t>
      </w:r>
      <w:r>
        <w:rPr>
          <w:spacing w:val="-11"/>
          <w:sz w:val="20"/>
        </w:rPr>
        <w:t xml:space="preserve"> </w:t>
      </w:r>
      <w:r>
        <w:rPr>
          <w:sz w:val="20"/>
        </w:rPr>
        <w:t>Roxbury</w:t>
      </w:r>
      <w:r>
        <w:rPr>
          <w:spacing w:val="-10"/>
          <w:sz w:val="20"/>
        </w:rPr>
        <w:t xml:space="preserve"> </w:t>
      </w:r>
      <w:r>
        <w:rPr>
          <w:sz w:val="20"/>
        </w:rPr>
        <w:t>Youthworks,</w:t>
      </w:r>
      <w:r>
        <w:rPr>
          <w:spacing w:val="-10"/>
          <w:sz w:val="20"/>
        </w:rPr>
        <w:t xml:space="preserve"> </w:t>
      </w:r>
      <w:r>
        <w:rPr>
          <w:sz w:val="20"/>
        </w:rPr>
        <w:t>“Programs,”</w:t>
      </w:r>
      <w:r>
        <w:rPr>
          <w:spacing w:val="-11"/>
          <w:sz w:val="20"/>
        </w:rPr>
        <w:t xml:space="preserve"> </w:t>
      </w:r>
      <w:hyperlink r:id="rId364">
        <w:r>
          <w:rPr>
            <w:spacing w:val="-2"/>
            <w:sz w:val="20"/>
          </w:rPr>
          <w:t>http://www.roxburyyouthworks.org/pages/programs.html</w:t>
        </w:r>
      </w:hyperlink>
    </w:p>
    <w:p w:rsidR="00C76E6D" w:rsidRDefault="00913831">
      <w:pPr>
        <w:spacing w:before="179"/>
        <w:ind w:left="480"/>
        <w:rPr>
          <w:sz w:val="20"/>
        </w:rPr>
      </w:pPr>
      <w:bookmarkStart w:id="721" w:name="_bookmark549"/>
      <w:bookmarkEnd w:id="721"/>
      <w:r>
        <w:rPr>
          <w:sz w:val="20"/>
          <w:vertAlign w:val="superscript"/>
        </w:rPr>
        <w:t>37</w:t>
      </w:r>
      <w:r>
        <w:rPr>
          <w:spacing w:val="-10"/>
          <w:sz w:val="20"/>
        </w:rPr>
        <w:t xml:space="preserve"> </w:t>
      </w:r>
      <w:r>
        <w:rPr>
          <w:sz w:val="20"/>
        </w:rPr>
        <w:t>“Our</w:t>
      </w:r>
      <w:r>
        <w:rPr>
          <w:spacing w:val="-10"/>
          <w:sz w:val="20"/>
        </w:rPr>
        <w:t xml:space="preserve"> </w:t>
      </w:r>
      <w:r>
        <w:rPr>
          <w:sz w:val="20"/>
        </w:rPr>
        <w:t>Impact,”</w:t>
      </w:r>
      <w:r>
        <w:rPr>
          <w:spacing w:val="-10"/>
          <w:sz w:val="20"/>
        </w:rPr>
        <w:t xml:space="preserve"> </w:t>
      </w:r>
      <w:r>
        <w:rPr>
          <w:sz w:val="20"/>
        </w:rPr>
        <w:t>GLBTQ</w:t>
      </w:r>
      <w:r>
        <w:rPr>
          <w:spacing w:val="-11"/>
          <w:sz w:val="20"/>
        </w:rPr>
        <w:t xml:space="preserve"> </w:t>
      </w:r>
      <w:r>
        <w:rPr>
          <w:sz w:val="20"/>
        </w:rPr>
        <w:t>Legal</w:t>
      </w:r>
      <w:r>
        <w:rPr>
          <w:spacing w:val="-11"/>
          <w:sz w:val="20"/>
        </w:rPr>
        <w:t xml:space="preserve"> </w:t>
      </w:r>
      <w:r>
        <w:rPr>
          <w:sz w:val="20"/>
        </w:rPr>
        <w:t>Advocates</w:t>
      </w:r>
      <w:r>
        <w:rPr>
          <w:spacing w:val="-10"/>
          <w:sz w:val="20"/>
        </w:rPr>
        <w:t xml:space="preserve"> </w:t>
      </w:r>
      <w:r>
        <w:rPr>
          <w:sz w:val="20"/>
        </w:rPr>
        <w:t>and</w:t>
      </w:r>
      <w:r>
        <w:rPr>
          <w:spacing w:val="-12"/>
          <w:sz w:val="20"/>
        </w:rPr>
        <w:t xml:space="preserve"> </w:t>
      </w:r>
      <w:r>
        <w:rPr>
          <w:sz w:val="20"/>
        </w:rPr>
        <w:t>Defenders,</w:t>
      </w:r>
      <w:r>
        <w:rPr>
          <w:spacing w:val="-10"/>
          <w:sz w:val="20"/>
        </w:rPr>
        <w:t xml:space="preserve"> </w:t>
      </w:r>
      <w:r>
        <w:rPr>
          <w:sz w:val="20"/>
        </w:rPr>
        <w:t>accessed</w:t>
      </w:r>
      <w:r>
        <w:rPr>
          <w:spacing w:val="-8"/>
          <w:sz w:val="20"/>
        </w:rPr>
        <w:t xml:space="preserve"> </w:t>
      </w:r>
      <w:r>
        <w:rPr>
          <w:sz w:val="20"/>
        </w:rPr>
        <w:t>May</w:t>
      </w:r>
      <w:r>
        <w:rPr>
          <w:spacing w:val="-11"/>
          <w:sz w:val="20"/>
        </w:rPr>
        <w:t xml:space="preserve"> </w:t>
      </w:r>
      <w:r>
        <w:rPr>
          <w:sz w:val="20"/>
        </w:rPr>
        <w:t>15,</w:t>
      </w:r>
      <w:r>
        <w:rPr>
          <w:spacing w:val="-11"/>
          <w:sz w:val="20"/>
        </w:rPr>
        <w:t xml:space="preserve"> </w:t>
      </w:r>
      <w:r>
        <w:rPr>
          <w:sz w:val="20"/>
        </w:rPr>
        <w:t>2022,</w:t>
      </w:r>
      <w:r>
        <w:rPr>
          <w:spacing w:val="-10"/>
          <w:sz w:val="20"/>
        </w:rPr>
        <w:t xml:space="preserve"> </w:t>
      </w:r>
      <w:r>
        <w:rPr>
          <w:sz w:val="20"/>
        </w:rPr>
        <w:t>https://</w:t>
      </w:r>
      <w:hyperlink r:id="rId365">
        <w:r>
          <w:rPr>
            <w:sz w:val="20"/>
          </w:rPr>
          <w:t>www.glad.org/our-</w:t>
        </w:r>
        <w:r>
          <w:rPr>
            <w:spacing w:val="-2"/>
            <w:sz w:val="20"/>
          </w:rPr>
          <w:t>impact.</w:t>
        </w:r>
      </w:hyperlink>
    </w:p>
    <w:p w:rsidR="00C76E6D" w:rsidRDefault="00913831">
      <w:pPr>
        <w:spacing w:before="159"/>
        <w:ind w:left="479" w:right="846" w:hanging="2"/>
        <w:rPr>
          <w:sz w:val="20"/>
        </w:rPr>
      </w:pPr>
      <w:bookmarkStart w:id="722" w:name="_bookmark550"/>
      <w:bookmarkEnd w:id="722"/>
      <w:r>
        <w:rPr>
          <w:sz w:val="20"/>
          <w:vertAlign w:val="superscript"/>
        </w:rPr>
        <w:t>38</w:t>
      </w:r>
      <w:r>
        <w:rPr>
          <w:spacing w:val="-5"/>
          <w:sz w:val="20"/>
        </w:rPr>
        <w:t xml:space="preserve"> </w:t>
      </w:r>
      <w:r>
        <w:rPr>
          <w:sz w:val="20"/>
        </w:rPr>
        <w:t>“BAGLY</w:t>
      </w:r>
      <w:r>
        <w:rPr>
          <w:spacing w:val="-8"/>
          <w:sz w:val="20"/>
        </w:rPr>
        <w:t xml:space="preserve"> </w:t>
      </w:r>
      <w:r>
        <w:rPr>
          <w:sz w:val="20"/>
        </w:rPr>
        <w:t>Mental</w:t>
      </w:r>
      <w:r>
        <w:rPr>
          <w:spacing w:val="-6"/>
          <w:sz w:val="20"/>
        </w:rPr>
        <w:t xml:space="preserve"> </w:t>
      </w:r>
      <w:r>
        <w:rPr>
          <w:sz w:val="20"/>
        </w:rPr>
        <w:t>and</w:t>
      </w:r>
      <w:r>
        <w:rPr>
          <w:spacing w:val="-7"/>
          <w:sz w:val="20"/>
        </w:rPr>
        <w:t xml:space="preserve"> </w:t>
      </w:r>
      <w:r>
        <w:rPr>
          <w:sz w:val="20"/>
        </w:rPr>
        <w:t>Behavior</w:t>
      </w:r>
      <w:r>
        <w:rPr>
          <w:spacing w:val="-6"/>
          <w:sz w:val="20"/>
        </w:rPr>
        <w:t xml:space="preserve"> </w:t>
      </w:r>
      <w:r>
        <w:rPr>
          <w:sz w:val="20"/>
        </w:rPr>
        <w:t>Health</w:t>
      </w:r>
      <w:r>
        <w:rPr>
          <w:spacing w:val="-6"/>
          <w:sz w:val="20"/>
        </w:rPr>
        <w:t xml:space="preserve"> </w:t>
      </w:r>
      <w:r>
        <w:rPr>
          <w:sz w:val="20"/>
        </w:rPr>
        <w:t>Services,”</w:t>
      </w:r>
      <w:r>
        <w:rPr>
          <w:spacing w:val="-6"/>
          <w:sz w:val="20"/>
        </w:rPr>
        <w:t xml:space="preserve"> </w:t>
      </w:r>
      <w:r>
        <w:rPr>
          <w:sz w:val="20"/>
        </w:rPr>
        <w:t>The</w:t>
      </w:r>
      <w:r>
        <w:rPr>
          <w:spacing w:val="-7"/>
          <w:sz w:val="20"/>
        </w:rPr>
        <w:t xml:space="preserve"> </w:t>
      </w:r>
      <w:r>
        <w:rPr>
          <w:sz w:val="20"/>
        </w:rPr>
        <w:t>Boston</w:t>
      </w:r>
      <w:r>
        <w:rPr>
          <w:spacing w:val="-5"/>
          <w:sz w:val="20"/>
        </w:rPr>
        <w:t xml:space="preserve"> </w:t>
      </w:r>
      <w:r>
        <w:rPr>
          <w:sz w:val="20"/>
        </w:rPr>
        <w:t>Alliance</w:t>
      </w:r>
      <w:r>
        <w:rPr>
          <w:spacing w:val="-6"/>
          <w:sz w:val="20"/>
        </w:rPr>
        <w:t xml:space="preserve"> </w:t>
      </w:r>
      <w:r>
        <w:rPr>
          <w:sz w:val="20"/>
        </w:rPr>
        <w:t>of</w:t>
      </w:r>
      <w:r>
        <w:rPr>
          <w:spacing w:val="-7"/>
          <w:sz w:val="20"/>
        </w:rPr>
        <w:t xml:space="preserve"> </w:t>
      </w:r>
      <w:r>
        <w:rPr>
          <w:sz w:val="20"/>
        </w:rPr>
        <w:t>Lesbian,</w:t>
      </w:r>
      <w:r>
        <w:rPr>
          <w:spacing w:val="-5"/>
          <w:sz w:val="20"/>
        </w:rPr>
        <w:t xml:space="preserve"> </w:t>
      </w:r>
      <w:r>
        <w:rPr>
          <w:sz w:val="20"/>
        </w:rPr>
        <w:t>Gay,</w:t>
      </w:r>
      <w:r>
        <w:rPr>
          <w:spacing w:val="-6"/>
          <w:sz w:val="20"/>
        </w:rPr>
        <w:t xml:space="preserve"> </w:t>
      </w:r>
      <w:r>
        <w:rPr>
          <w:sz w:val="20"/>
        </w:rPr>
        <w:t>Bisexual,</w:t>
      </w:r>
      <w:r>
        <w:rPr>
          <w:spacing w:val="-5"/>
          <w:sz w:val="20"/>
        </w:rPr>
        <w:t xml:space="preserve"> </w:t>
      </w:r>
      <w:r>
        <w:rPr>
          <w:sz w:val="20"/>
        </w:rPr>
        <w:t>Transgender, Queer Youth, accessed May 15, 2022, https://</w:t>
      </w:r>
      <w:hyperlink r:id="rId366">
        <w:r>
          <w:rPr>
            <w:sz w:val="20"/>
          </w:rPr>
          <w:t>www.bagly.org/therapy.</w:t>
        </w:r>
      </w:hyperlink>
    </w:p>
    <w:p w:rsidR="00C76E6D" w:rsidRDefault="00913831">
      <w:pPr>
        <w:spacing w:before="160"/>
        <w:ind w:left="480" w:right="2020" w:hanging="2"/>
        <w:rPr>
          <w:sz w:val="20"/>
        </w:rPr>
      </w:pPr>
      <w:bookmarkStart w:id="723" w:name="_bookmark551"/>
      <w:bookmarkEnd w:id="723"/>
      <w:r>
        <w:rPr>
          <w:sz w:val="20"/>
          <w:vertAlign w:val="superscript"/>
        </w:rPr>
        <w:t>39</w:t>
      </w:r>
      <w:r>
        <w:rPr>
          <w:spacing w:val="-5"/>
          <w:sz w:val="20"/>
        </w:rPr>
        <w:t xml:space="preserve"> </w:t>
      </w:r>
      <w:r>
        <w:rPr>
          <w:sz w:val="20"/>
        </w:rPr>
        <w:t>“Sexual</w:t>
      </w:r>
      <w:r>
        <w:rPr>
          <w:spacing w:val="-6"/>
          <w:sz w:val="20"/>
        </w:rPr>
        <w:t xml:space="preserve"> </w:t>
      </w:r>
      <w:r>
        <w:rPr>
          <w:sz w:val="20"/>
        </w:rPr>
        <w:t>Assault</w:t>
      </w:r>
      <w:r>
        <w:rPr>
          <w:spacing w:val="-5"/>
          <w:sz w:val="20"/>
        </w:rPr>
        <w:t xml:space="preserve"> </w:t>
      </w:r>
      <w:r>
        <w:rPr>
          <w:sz w:val="20"/>
        </w:rPr>
        <w:t>and</w:t>
      </w:r>
      <w:r>
        <w:rPr>
          <w:spacing w:val="-5"/>
          <w:sz w:val="20"/>
        </w:rPr>
        <w:t xml:space="preserve"> </w:t>
      </w:r>
      <w:r>
        <w:rPr>
          <w:sz w:val="20"/>
        </w:rPr>
        <w:t>the</w:t>
      </w:r>
      <w:r>
        <w:rPr>
          <w:spacing w:val="-6"/>
          <w:sz w:val="20"/>
        </w:rPr>
        <w:t xml:space="preserve"> </w:t>
      </w:r>
      <w:r>
        <w:rPr>
          <w:sz w:val="20"/>
        </w:rPr>
        <w:t>LGBTQ</w:t>
      </w:r>
      <w:r>
        <w:rPr>
          <w:spacing w:val="-6"/>
          <w:sz w:val="20"/>
        </w:rPr>
        <w:t xml:space="preserve"> </w:t>
      </w:r>
      <w:r>
        <w:rPr>
          <w:sz w:val="20"/>
        </w:rPr>
        <w:t>Community,”</w:t>
      </w:r>
      <w:r>
        <w:rPr>
          <w:spacing w:val="-5"/>
          <w:sz w:val="20"/>
        </w:rPr>
        <w:t xml:space="preserve"> </w:t>
      </w:r>
      <w:r>
        <w:rPr>
          <w:sz w:val="20"/>
        </w:rPr>
        <w:t>Human</w:t>
      </w:r>
      <w:r>
        <w:rPr>
          <w:spacing w:val="-7"/>
          <w:sz w:val="20"/>
        </w:rPr>
        <w:t xml:space="preserve"> </w:t>
      </w:r>
      <w:r>
        <w:rPr>
          <w:sz w:val="20"/>
        </w:rPr>
        <w:t>Rights</w:t>
      </w:r>
      <w:r>
        <w:rPr>
          <w:spacing w:val="-6"/>
          <w:sz w:val="20"/>
        </w:rPr>
        <w:t xml:space="preserve"> </w:t>
      </w:r>
      <w:r>
        <w:rPr>
          <w:sz w:val="20"/>
        </w:rPr>
        <w:t>Campaign,</w:t>
      </w:r>
      <w:r>
        <w:rPr>
          <w:spacing w:val="-8"/>
          <w:sz w:val="20"/>
        </w:rPr>
        <w:t xml:space="preserve"> </w:t>
      </w:r>
      <w:r>
        <w:rPr>
          <w:sz w:val="20"/>
        </w:rPr>
        <w:t>accessed</w:t>
      </w:r>
      <w:r>
        <w:rPr>
          <w:spacing w:val="-7"/>
          <w:sz w:val="20"/>
        </w:rPr>
        <w:t xml:space="preserve"> </w:t>
      </w:r>
      <w:r>
        <w:rPr>
          <w:sz w:val="20"/>
        </w:rPr>
        <w:t>May</w:t>
      </w:r>
      <w:r>
        <w:rPr>
          <w:spacing w:val="-8"/>
          <w:sz w:val="20"/>
        </w:rPr>
        <w:t xml:space="preserve"> </w:t>
      </w:r>
      <w:r>
        <w:rPr>
          <w:sz w:val="20"/>
        </w:rPr>
        <w:t>15,</w:t>
      </w:r>
      <w:r>
        <w:rPr>
          <w:spacing w:val="-7"/>
          <w:sz w:val="20"/>
        </w:rPr>
        <w:t xml:space="preserve"> </w:t>
      </w:r>
      <w:r>
        <w:rPr>
          <w:sz w:val="20"/>
        </w:rPr>
        <w:t xml:space="preserve">2022, </w:t>
      </w:r>
      <w:r>
        <w:rPr>
          <w:spacing w:val="-2"/>
          <w:sz w:val="20"/>
        </w:rPr>
        <w:t>https://</w:t>
      </w:r>
      <w:hyperlink r:id="rId367">
        <w:r>
          <w:rPr>
            <w:spacing w:val="-2"/>
            <w:sz w:val="20"/>
          </w:rPr>
          <w:t>www.hrc.org/resources/sexual-assault-and-the-lgbt-community.</w:t>
        </w:r>
      </w:hyperlink>
    </w:p>
    <w:p w:rsidR="00C76E6D" w:rsidRDefault="00913831">
      <w:pPr>
        <w:spacing w:before="160"/>
        <w:ind w:left="480" w:right="2020" w:hanging="2"/>
        <w:rPr>
          <w:sz w:val="20"/>
        </w:rPr>
      </w:pPr>
      <w:bookmarkStart w:id="724" w:name="_bookmark552"/>
      <w:bookmarkEnd w:id="724"/>
      <w:r>
        <w:rPr>
          <w:sz w:val="20"/>
          <w:vertAlign w:val="superscript"/>
        </w:rPr>
        <w:t>40</w:t>
      </w:r>
      <w:r>
        <w:rPr>
          <w:spacing w:val="-5"/>
          <w:sz w:val="20"/>
        </w:rPr>
        <w:t xml:space="preserve"> </w:t>
      </w:r>
      <w:r>
        <w:rPr>
          <w:sz w:val="20"/>
        </w:rPr>
        <w:t>“Sexual</w:t>
      </w:r>
      <w:r>
        <w:rPr>
          <w:spacing w:val="-6"/>
          <w:sz w:val="20"/>
        </w:rPr>
        <w:t xml:space="preserve"> </w:t>
      </w:r>
      <w:r>
        <w:rPr>
          <w:sz w:val="20"/>
        </w:rPr>
        <w:t>As</w:t>
      </w:r>
      <w:r>
        <w:rPr>
          <w:sz w:val="20"/>
        </w:rPr>
        <w:t>sault</w:t>
      </w:r>
      <w:r>
        <w:rPr>
          <w:spacing w:val="-5"/>
          <w:sz w:val="20"/>
        </w:rPr>
        <w:t xml:space="preserve"> </w:t>
      </w:r>
      <w:r>
        <w:rPr>
          <w:sz w:val="20"/>
        </w:rPr>
        <w:t>and</w:t>
      </w:r>
      <w:r>
        <w:rPr>
          <w:spacing w:val="-5"/>
          <w:sz w:val="20"/>
        </w:rPr>
        <w:t xml:space="preserve"> </w:t>
      </w:r>
      <w:r>
        <w:rPr>
          <w:sz w:val="20"/>
        </w:rPr>
        <w:t>the</w:t>
      </w:r>
      <w:r>
        <w:rPr>
          <w:spacing w:val="-6"/>
          <w:sz w:val="20"/>
        </w:rPr>
        <w:t xml:space="preserve"> </w:t>
      </w:r>
      <w:r>
        <w:rPr>
          <w:sz w:val="20"/>
        </w:rPr>
        <w:t>LGBTQ</w:t>
      </w:r>
      <w:r>
        <w:rPr>
          <w:spacing w:val="-6"/>
          <w:sz w:val="20"/>
        </w:rPr>
        <w:t xml:space="preserve"> </w:t>
      </w:r>
      <w:r>
        <w:rPr>
          <w:sz w:val="20"/>
        </w:rPr>
        <w:t>Community,”</w:t>
      </w:r>
      <w:r>
        <w:rPr>
          <w:spacing w:val="-5"/>
          <w:sz w:val="20"/>
        </w:rPr>
        <w:t xml:space="preserve"> </w:t>
      </w:r>
      <w:r>
        <w:rPr>
          <w:sz w:val="20"/>
        </w:rPr>
        <w:t>Human</w:t>
      </w:r>
      <w:r>
        <w:rPr>
          <w:spacing w:val="-7"/>
          <w:sz w:val="20"/>
        </w:rPr>
        <w:t xml:space="preserve"> </w:t>
      </w:r>
      <w:r>
        <w:rPr>
          <w:sz w:val="20"/>
        </w:rPr>
        <w:t>Rights</w:t>
      </w:r>
      <w:r>
        <w:rPr>
          <w:spacing w:val="-6"/>
          <w:sz w:val="20"/>
        </w:rPr>
        <w:t xml:space="preserve"> </w:t>
      </w:r>
      <w:r>
        <w:rPr>
          <w:sz w:val="20"/>
        </w:rPr>
        <w:t>Campaign,</w:t>
      </w:r>
      <w:r>
        <w:rPr>
          <w:spacing w:val="-8"/>
          <w:sz w:val="20"/>
        </w:rPr>
        <w:t xml:space="preserve"> </w:t>
      </w:r>
      <w:r>
        <w:rPr>
          <w:sz w:val="20"/>
        </w:rPr>
        <w:t>accessed</w:t>
      </w:r>
      <w:r>
        <w:rPr>
          <w:spacing w:val="-7"/>
          <w:sz w:val="20"/>
        </w:rPr>
        <w:t xml:space="preserve"> </w:t>
      </w:r>
      <w:r>
        <w:rPr>
          <w:sz w:val="20"/>
        </w:rPr>
        <w:t>May</w:t>
      </w:r>
      <w:r>
        <w:rPr>
          <w:spacing w:val="-8"/>
          <w:sz w:val="20"/>
        </w:rPr>
        <w:t xml:space="preserve"> </w:t>
      </w:r>
      <w:r>
        <w:rPr>
          <w:sz w:val="20"/>
        </w:rPr>
        <w:t>15,</w:t>
      </w:r>
      <w:r>
        <w:rPr>
          <w:spacing w:val="-7"/>
          <w:sz w:val="20"/>
        </w:rPr>
        <w:t xml:space="preserve"> </w:t>
      </w:r>
      <w:r>
        <w:rPr>
          <w:sz w:val="20"/>
        </w:rPr>
        <w:t xml:space="preserve">2022, </w:t>
      </w:r>
      <w:r>
        <w:rPr>
          <w:spacing w:val="-2"/>
          <w:sz w:val="20"/>
        </w:rPr>
        <w:t>https://</w:t>
      </w:r>
      <w:hyperlink r:id="rId368">
        <w:r>
          <w:rPr>
            <w:spacing w:val="-2"/>
            <w:sz w:val="20"/>
          </w:rPr>
          <w:t>www.hrc.org/resources/sexual-assault-and-the-lgbt-community.</w:t>
        </w:r>
      </w:hyperlink>
    </w:p>
    <w:p w:rsidR="00C76E6D" w:rsidRDefault="00913831">
      <w:pPr>
        <w:spacing w:before="161"/>
        <w:ind w:left="480" w:right="530" w:hanging="2"/>
        <w:rPr>
          <w:sz w:val="20"/>
        </w:rPr>
      </w:pPr>
      <w:bookmarkStart w:id="725" w:name="_bookmark553"/>
      <w:bookmarkEnd w:id="725"/>
      <w:r>
        <w:rPr>
          <w:sz w:val="20"/>
          <w:vertAlign w:val="superscript"/>
        </w:rPr>
        <w:t>41</w:t>
      </w:r>
      <w:r>
        <w:rPr>
          <w:spacing w:val="-6"/>
          <w:sz w:val="20"/>
        </w:rPr>
        <w:t xml:space="preserve"> </w:t>
      </w:r>
      <w:r>
        <w:rPr>
          <w:sz w:val="20"/>
        </w:rPr>
        <w:t>Lindsay</w:t>
      </w:r>
      <w:r>
        <w:rPr>
          <w:spacing w:val="-6"/>
          <w:sz w:val="20"/>
        </w:rPr>
        <w:t xml:space="preserve"> </w:t>
      </w:r>
      <w:r>
        <w:rPr>
          <w:sz w:val="20"/>
        </w:rPr>
        <w:t>K.</w:t>
      </w:r>
      <w:r>
        <w:rPr>
          <w:spacing w:val="-7"/>
          <w:sz w:val="20"/>
        </w:rPr>
        <w:t xml:space="preserve"> </w:t>
      </w:r>
      <w:r>
        <w:rPr>
          <w:sz w:val="20"/>
        </w:rPr>
        <w:t>Semprevivo,</w:t>
      </w:r>
      <w:r>
        <w:rPr>
          <w:spacing w:val="-6"/>
          <w:sz w:val="20"/>
        </w:rPr>
        <w:t xml:space="preserve"> </w:t>
      </w:r>
      <w:r>
        <w:rPr>
          <w:sz w:val="20"/>
        </w:rPr>
        <w:t>“Dating</w:t>
      </w:r>
      <w:r>
        <w:rPr>
          <w:spacing w:val="-6"/>
          <w:sz w:val="20"/>
        </w:rPr>
        <w:t xml:space="preserve"> </w:t>
      </w:r>
      <w:r>
        <w:rPr>
          <w:sz w:val="20"/>
        </w:rPr>
        <w:t>and</w:t>
      </w:r>
      <w:r>
        <w:rPr>
          <w:spacing w:val="-6"/>
          <w:sz w:val="20"/>
        </w:rPr>
        <w:t xml:space="preserve"> </w:t>
      </w:r>
      <w:r>
        <w:rPr>
          <w:sz w:val="20"/>
        </w:rPr>
        <w:t>Sexual</w:t>
      </w:r>
      <w:r>
        <w:rPr>
          <w:spacing w:val="-7"/>
          <w:sz w:val="20"/>
        </w:rPr>
        <w:t xml:space="preserve"> </w:t>
      </w:r>
      <w:r>
        <w:rPr>
          <w:sz w:val="20"/>
        </w:rPr>
        <w:t>Violence</w:t>
      </w:r>
      <w:r>
        <w:rPr>
          <w:spacing w:val="-6"/>
          <w:sz w:val="20"/>
        </w:rPr>
        <w:t xml:space="preserve"> </w:t>
      </w:r>
      <w:r>
        <w:rPr>
          <w:sz w:val="20"/>
        </w:rPr>
        <w:t>Victimization</w:t>
      </w:r>
      <w:r>
        <w:rPr>
          <w:spacing w:val="-6"/>
          <w:sz w:val="20"/>
        </w:rPr>
        <w:t xml:space="preserve"> </w:t>
      </w:r>
      <w:r>
        <w:rPr>
          <w:sz w:val="20"/>
        </w:rPr>
        <w:t>among</w:t>
      </w:r>
      <w:r>
        <w:rPr>
          <w:spacing w:val="-6"/>
          <w:sz w:val="20"/>
        </w:rPr>
        <w:t xml:space="preserve"> </w:t>
      </w:r>
      <w:r>
        <w:rPr>
          <w:sz w:val="20"/>
        </w:rPr>
        <w:t>Lesbian,</w:t>
      </w:r>
      <w:r>
        <w:rPr>
          <w:spacing w:val="-6"/>
          <w:sz w:val="20"/>
        </w:rPr>
        <w:t xml:space="preserve"> </w:t>
      </w:r>
      <w:r>
        <w:rPr>
          <w:sz w:val="20"/>
        </w:rPr>
        <w:t>Gay,</w:t>
      </w:r>
      <w:r>
        <w:rPr>
          <w:spacing w:val="-6"/>
          <w:sz w:val="20"/>
        </w:rPr>
        <w:t xml:space="preserve"> </w:t>
      </w:r>
      <w:r>
        <w:rPr>
          <w:sz w:val="20"/>
        </w:rPr>
        <w:t>Bisexual,</w:t>
      </w:r>
      <w:r>
        <w:rPr>
          <w:spacing w:val="-6"/>
          <w:sz w:val="20"/>
        </w:rPr>
        <w:t xml:space="preserve"> </w:t>
      </w:r>
      <w:r>
        <w:rPr>
          <w:sz w:val="20"/>
        </w:rPr>
        <w:t>and</w:t>
      </w:r>
      <w:r>
        <w:rPr>
          <w:spacing w:val="-8"/>
          <w:sz w:val="20"/>
        </w:rPr>
        <w:t xml:space="preserve"> </w:t>
      </w:r>
      <w:r>
        <w:rPr>
          <w:sz w:val="20"/>
        </w:rPr>
        <w:t xml:space="preserve">Questioning Youth: Considering the Importance of Gender and Sexual Orientation,” </w:t>
      </w:r>
      <w:r>
        <w:rPr>
          <w:i/>
          <w:sz w:val="20"/>
        </w:rPr>
        <w:t xml:space="preserve">Journal of Aggression, Maltreatment &amp; Trauma </w:t>
      </w:r>
      <w:r>
        <w:rPr>
          <w:sz w:val="20"/>
        </w:rPr>
        <w:t>30, no. 5 (2021).</w:t>
      </w:r>
    </w:p>
    <w:p w:rsidR="00C76E6D" w:rsidRDefault="00C76E6D">
      <w:pPr>
        <w:rPr>
          <w:sz w:val="20"/>
        </w:rPr>
        <w:sectPr w:rsidR="00C76E6D">
          <w:pgSz w:w="12240" w:h="15840"/>
          <w:pgMar w:top="960" w:right="960" w:bottom="880" w:left="960" w:header="769" w:footer="694" w:gutter="0"/>
          <w:cols w:space="720"/>
        </w:sectPr>
      </w:pPr>
    </w:p>
    <w:p w:rsidR="00C76E6D" w:rsidRDefault="00C76E6D">
      <w:pPr>
        <w:pStyle w:val="BodyText"/>
        <w:rPr>
          <w:sz w:val="20"/>
        </w:rPr>
      </w:pPr>
    </w:p>
    <w:p w:rsidR="00C76E6D" w:rsidRDefault="00C76E6D">
      <w:pPr>
        <w:pStyle w:val="BodyText"/>
        <w:spacing w:before="12"/>
        <w:rPr>
          <w:sz w:val="18"/>
        </w:rPr>
      </w:pPr>
    </w:p>
    <w:p w:rsidR="00C76E6D" w:rsidRDefault="00913831">
      <w:pPr>
        <w:pStyle w:val="Heading1"/>
        <w:spacing w:before="35"/>
      </w:pPr>
      <w:bookmarkStart w:id="726" w:name="EXECUTIVE_OFFICE_OF_EDUCATION_RECOMMENDA"/>
      <w:bookmarkStart w:id="727" w:name="_bookmark554"/>
      <w:bookmarkEnd w:id="726"/>
      <w:bookmarkEnd w:id="727"/>
      <w:r>
        <w:t>EXECUTIV</w:t>
      </w:r>
      <w:r>
        <w:t>E</w:t>
      </w:r>
      <w:r>
        <w:rPr>
          <w:spacing w:val="-21"/>
        </w:rPr>
        <w:t xml:space="preserve"> </w:t>
      </w:r>
      <w:r>
        <w:t>OFFICE</w:t>
      </w:r>
      <w:r>
        <w:rPr>
          <w:spacing w:val="-18"/>
        </w:rPr>
        <w:t xml:space="preserve"> </w:t>
      </w:r>
      <w:r>
        <w:t>OF</w:t>
      </w:r>
      <w:r>
        <w:rPr>
          <w:spacing w:val="-14"/>
        </w:rPr>
        <w:t xml:space="preserve"> </w:t>
      </w:r>
      <w:r>
        <w:t>EDUCATION</w:t>
      </w:r>
      <w:r>
        <w:rPr>
          <w:spacing w:val="-18"/>
        </w:rPr>
        <w:t xml:space="preserve"> </w:t>
      </w:r>
      <w:r>
        <w:rPr>
          <w:spacing w:val="-2"/>
        </w:rPr>
        <w:t>RECOMMENDATIONS</w:t>
      </w:r>
    </w:p>
    <w:p w:rsidR="00C76E6D" w:rsidRDefault="00913831">
      <w:pPr>
        <w:pStyle w:val="BodyText"/>
        <w:spacing w:before="5"/>
        <w:rPr>
          <w:b/>
          <w:sz w:val="6"/>
        </w:rPr>
      </w:pPr>
      <w:r>
        <w:pict>
          <v:rect id="docshape324" o:spid="_x0000_s1129" style="position:absolute;margin-left:70.5pt;margin-top:5.15pt;width:470.95pt;height:1.45pt;z-index:-15669248;mso-wrap-distance-left:0;mso-wrap-distance-right:0;mso-position-horizontal-relative:page" fillcolor="black" stroked="f">
            <w10:wrap type="topAndBottom" anchorx="page"/>
          </v:rect>
        </w:pict>
      </w:r>
    </w:p>
    <w:p w:rsidR="00C76E6D" w:rsidRDefault="00C76E6D">
      <w:pPr>
        <w:pStyle w:val="BodyText"/>
        <w:rPr>
          <w:b/>
          <w:sz w:val="27"/>
        </w:rPr>
      </w:pPr>
    </w:p>
    <w:p w:rsidR="00C76E6D" w:rsidRDefault="00913831">
      <w:pPr>
        <w:pStyle w:val="Heading5"/>
        <w:spacing w:before="1"/>
        <w:ind w:left="480"/>
      </w:pPr>
      <w:bookmarkStart w:id="728" w:name="A._Introduction"/>
      <w:bookmarkEnd w:id="728"/>
      <w:r>
        <w:t>A.</w:t>
      </w:r>
      <w:r>
        <w:rPr>
          <w:spacing w:val="60"/>
          <w:w w:val="150"/>
        </w:rPr>
        <w:t xml:space="preserve"> </w:t>
      </w:r>
      <w:r>
        <w:rPr>
          <w:spacing w:val="-2"/>
        </w:rPr>
        <w:t>Introduction</w:t>
      </w:r>
    </w:p>
    <w:p w:rsidR="00C76E6D" w:rsidRDefault="00913831">
      <w:pPr>
        <w:pStyle w:val="BodyText"/>
        <w:spacing w:before="8"/>
        <w:rPr>
          <w:b/>
          <w:sz w:val="12"/>
        </w:rPr>
      </w:pPr>
      <w:r>
        <w:pict>
          <v:group id="docshapegroup325" o:spid="_x0000_s1126" style="position:absolute;margin-left:71.7pt;margin-top:9pt;width:466.3pt;height:1.1pt;z-index:-15668736;mso-wrap-distance-left:0;mso-wrap-distance-right:0;mso-position-horizontal-relative:page" coordorigin="1434,180" coordsize="9326,22">
            <v:line id="_x0000_s1128" style="position:absolute" from="1434,190" to="10754,190" strokeweight="1.09pt"/>
            <v:rect id="docshape326" o:spid="_x0000_s1127" style="position:absolute;left:1434;top:183;width:9326;height:17" fillcolor="black" stroked="f"/>
            <w10:wrap type="topAndBottom" anchorx="page"/>
          </v:group>
        </w:pict>
      </w:r>
    </w:p>
    <w:p w:rsidR="00C76E6D" w:rsidRDefault="00C76E6D">
      <w:pPr>
        <w:pStyle w:val="BodyText"/>
        <w:spacing w:before="8"/>
        <w:rPr>
          <w:b/>
        </w:rPr>
      </w:pPr>
    </w:p>
    <w:p w:rsidR="00C76E6D" w:rsidRDefault="00913831">
      <w:pPr>
        <w:pStyle w:val="BodyText"/>
        <w:spacing w:line="276" w:lineRule="auto"/>
        <w:ind w:left="478" w:right="475"/>
        <w:jc w:val="both"/>
      </w:pPr>
      <w:r>
        <w:t>The Commission has for many years enjoyed a particularly strong relationship with the Department of Elementary and Secondary Education (DESE). The work of the Commission is closely tied to that of DESE through the Commission’s founding legislation, the fun</w:t>
      </w:r>
      <w:r>
        <w:t>ding it receives to implement anti-bullying work, and the relationships that the Safe Schools Program—which today is co-sponsored by the Commission and DESE—has forged with the Department. More recently, the Commission has also developed fruitful relations</w:t>
      </w:r>
      <w:r>
        <w:t>hips with the Department of Early Education and Care (DEEC) and the Department of Higher Education (DHE), both of which are represented along with DESE in the sections that follow.</w:t>
      </w:r>
    </w:p>
    <w:p w:rsidR="00C76E6D" w:rsidRDefault="00C76E6D">
      <w:pPr>
        <w:pStyle w:val="BodyText"/>
        <w:spacing w:before="1"/>
        <w:rPr>
          <w:sz w:val="26"/>
        </w:rPr>
      </w:pPr>
    </w:p>
    <w:p w:rsidR="00C76E6D" w:rsidRDefault="00913831">
      <w:pPr>
        <w:pStyle w:val="BodyText"/>
        <w:spacing w:line="276" w:lineRule="auto"/>
        <w:ind w:left="478" w:right="474"/>
        <w:jc w:val="both"/>
      </w:pPr>
      <w:r>
        <w:t>The Commission looks forward to increasing its collaboration with and between these three agencies to ensure that the policies it recommends have maximum effect. For example, public school students in Massachusetts</w:t>
      </w:r>
      <w:r>
        <w:rPr>
          <w:spacing w:val="-1"/>
        </w:rPr>
        <w:t xml:space="preserve"> </w:t>
      </w:r>
      <w:r>
        <w:t>can presently</w:t>
      </w:r>
      <w:r>
        <w:rPr>
          <w:spacing w:val="-1"/>
        </w:rPr>
        <w:t xml:space="preserve"> </w:t>
      </w:r>
      <w:r>
        <w:t>elect to</w:t>
      </w:r>
      <w:r>
        <w:rPr>
          <w:spacing w:val="-1"/>
        </w:rPr>
        <w:t xml:space="preserve"> </w:t>
      </w:r>
      <w:r>
        <w:t>use</w:t>
      </w:r>
      <w:r>
        <w:rPr>
          <w:spacing w:val="-2"/>
        </w:rPr>
        <w:t xml:space="preserve"> </w:t>
      </w:r>
      <w:r>
        <w:t>a</w:t>
      </w:r>
      <w:r>
        <w:rPr>
          <w:spacing w:val="-1"/>
        </w:rPr>
        <w:t xml:space="preserve"> </w:t>
      </w:r>
      <w:r>
        <w:t>third, nonbi</w:t>
      </w:r>
      <w:r>
        <w:t>nary</w:t>
      </w:r>
      <w:r>
        <w:rPr>
          <w:spacing w:val="-2"/>
        </w:rPr>
        <w:t xml:space="preserve"> </w:t>
      </w:r>
      <w:r>
        <w:t>gender</w:t>
      </w:r>
      <w:r>
        <w:rPr>
          <w:spacing w:val="-2"/>
        </w:rPr>
        <w:t xml:space="preserve"> </w:t>
      </w:r>
      <w:r>
        <w:t>marker in</w:t>
      </w:r>
      <w:r>
        <w:rPr>
          <w:spacing w:val="-1"/>
        </w:rPr>
        <w:t xml:space="preserve"> </w:t>
      </w:r>
      <w:r>
        <w:t>lieu</w:t>
      </w:r>
      <w:r>
        <w:rPr>
          <w:spacing w:val="-1"/>
        </w:rPr>
        <w:t xml:space="preserve"> </w:t>
      </w:r>
      <w:r>
        <w:t>of “male” or “female,” due</w:t>
      </w:r>
      <w:r>
        <w:rPr>
          <w:spacing w:val="-7"/>
        </w:rPr>
        <w:t xml:space="preserve"> </w:t>
      </w:r>
      <w:r>
        <w:t>to</w:t>
      </w:r>
      <w:r>
        <w:rPr>
          <w:spacing w:val="-7"/>
        </w:rPr>
        <w:t xml:space="preserve"> </w:t>
      </w:r>
      <w:r>
        <w:t>a</w:t>
      </w:r>
      <w:r>
        <w:rPr>
          <w:spacing w:val="-6"/>
        </w:rPr>
        <w:t xml:space="preserve"> </w:t>
      </w:r>
      <w:r>
        <w:t>policy</w:t>
      </w:r>
      <w:r>
        <w:rPr>
          <w:spacing w:val="-8"/>
        </w:rPr>
        <w:t xml:space="preserve"> </w:t>
      </w:r>
      <w:r>
        <w:t>change</w:t>
      </w:r>
      <w:r>
        <w:rPr>
          <w:spacing w:val="-8"/>
        </w:rPr>
        <w:t xml:space="preserve"> </w:t>
      </w:r>
      <w:r>
        <w:t>at</w:t>
      </w:r>
      <w:r>
        <w:rPr>
          <w:spacing w:val="-8"/>
        </w:rPr>
        <w:t xml:space="preserve"> </w:t>
      </w:r>
      <w:r>
        <w:t>DESE.</w:t>
      </w:r>
      <w:r>
        <w:rPr>
          <w:spacing w:val="-8"/>
        </w:rPr>
        <w:t xml:space="preserve"> </w:t>
      </w:r>
      <w:r>
        <w:t>However,</w:t>
      </w:r>
      <w:r>
        <w:rPr>
          <w:spacing w:val="-7"/>
        </w:rPr>
        <w:t xml:space="preserve"> </w:t>
      </w:r>
      <w:r>
        <w:t>many</w:t>
      </w:r>
      <w:r>
        <w:rPr>
          <w:spacing w:val="-7"/>
        </w:rPr>
        <w:t xml:space="preserve"> </w:t>
      </w:r>
      <w:r>
        <w:t>colleges</w:t>
      </w:r>
      <w:r>
        <w:rPr>
          <w:spacing w:val="-7"/>
        </w:rPr>
        <w:t xml:space="preserve"> </w:t>
      </w:r>
      <w:r>
        <w:t>and</w:t>
      </w:r>
      <w:r>
        <w:rPr>
          <w:spacing w:val="-8"/>
        </w:rPr>
        <w:t xml:space="preserve"> </w:t>
      </w:r>
      <w:r>
        <w:t>universities</w:t>
      </w:r>
      <w:r>
        <w:rPr>
          <w:spacing w:val="-7"/>
        </w:rPr>
        <w:t xml:space="preserve"> </w:t>
      </w:r>
      <w:r>
        <w:t>in</w:t>
      </w:r>
      <w:r>
        <w:rPr>
          <w:spacing w:val="-7"/>
        </w:rPr>
        <w:t xml:space="preserve"> </w:t>
      </w:r>
      <w:r>
        <w:t>the</w:t>
      </w:r>
      <w:r>
        <w:rPr>
          <w:spacing w:val="-8"/>
        </w:rPr>
        <w:t xml:space="preserve"> </w:t>
      </w:r>
      <w:r>
        <w:t>state</w:t>
      </w:r>
      <w:r>
        <w:rPr>
          <w:spacing w:val="-8"/>
        </w:rPr>
        <w:t xml:space="preserve"> </w:t>
      </w:r>
      <w:r>
        <w:t>do</w:t>
      </w:r>
      <w:r>
        <w:rPr>
          <w:spacing w:val="-6"/>
        </w:rPr>
        <w:t xml:space="preserve"> </w:t>
      </w:r>
      <w:r>
        <w:t>not</w:t>
      </w:r>
      <w:r>
        <w:rPr>
          <w:spacing w:val="-8"/>
        </w:rPr>
        <w:t xml:space="preserve"> </w:t>
      </w:r>
      <w:r>
        <w:t>offer</w:t>
      </w:r>
      <w:r>
        <w:rPr>
          <w:spacing w:val="-9"/>
        </w:rPr>
        <w:t xml:space="preserve"> </w:t>
      </w:r>
      <w:r>
        <w:t>a</w:t>
      </w:r>
      <w:r>
        <w:rPr>
          <w:spacing w:val="-6"/>
        </w:rPr>
        <w:t xml:space="preserve"> </w:t>
      </w:r>
      <w:r>
        <w:t>similar option, leaving open an opportunity that DHE and the Commission could potentially work together to</w:t>
      </w:r>
      <w:r>
        <w:t xml:space="preserve"> support. This is but one example of how increasing collaboration and coordination of the Commission’s recommendations</w:t>
      </w:r>
      <w:r>
        <w:rPr>
          <w:spacing w:val="-6"/>
        </w:rPr>
        <w:t xml:space="preserve"> </w:t>
      </w:r>
      <w:r>
        <w:t>to</w:t>
      </w:r>
      <w:r>
        <w:rPr>
          <w:spacing w:val="-8"/>
        </w:rPr>
        <w:t xml:space="preserve"> </w:t>
      </w:r>
      <w:r>
        <w:t>DEEC,</w:t>
      </w:r>
      <w:r>
        <w:rPr>
          <w:spacing w:val="-6"/>
        </w:rPr>
        <w:t xml:space="preserve"> </w:t>
      </w:r>
      <w:r>
        <w:t>DESE,</w:t>
      </w:r>
      <w:r>
        <w:rPr>
          <w:spacing w:val="-3"/>
        </w:rPr>
        <w:t xml:space="preserve"> </w:t>
      </w:r>
      <w:r>
        <w:t>and</w:t>
      </w:r>
      <w:r>
        <w:rPr>
          <w:spacing w:val="-3"/>
        </w:rPr>
        <w:t xml:space="preserve"> </w:t>
      </w:r>
      <w:r>
        <w:t>DHE</w:t>
      </w:r>
      <w:r>
        <w:rPr>
          <w:spacing w:val="-3"/>
        </w:rPr>
        <w:t xml:space="preserve"> </w:t>
      </w:r>
      <w:r>
        <w:t>could</w:t>
      </w:r>
      <w:r>
        <w:rPr>
          <w:spacing w:val="-3"/>
        </w:rPr>
        <w:t xml:space="preserve"> </w:t>
      </w:r>
      <w:r>
        <w:t>improve</w:t>
      </w:r>
      <w:r>
        <w:rPr>
          <w:spacing w:val="-3"/>
        </w:rPr>
        <w:t xml:space="preserve"> </w:t>
      </w:r>
      <w:r>
        <w:t>service</w:t>
      </w:r>
      <w:r>
        <w:rPr>
          <w:spacing w:val="-2"/>
        </w:rPr>
        <w:t xml:space="preserve"> </w:t>
      </w:r>
      <w:r>
        <w:t>delivery</w:t>
      </w:r>
      <w:r>
        <w:rPr>
          <w:spacing w:val="-3"/>
        </w:rPr>
        <w:t xml:space="preserve"> </w:t>
      </w:r>
      <w:r>
        <w:t>for</w:t>
      </w:r>
      <w:r>
        <w:rPr>
          <w:spacing w:val="-3"/>
        </w:rPr>
        <w:t xml:space="preserve"> </w:t>
      </w:r>
      <w:r>
        <w:t>all</w:t>
      </w:r>
      <w:r>
        <w:rPr>
          <w:spacing w:val="-3"/>
        </w:rPr>
        <w:t xml:space="preserve"> </w:t>
      </w:r>
      <w:r>
        <w:t>three</w:t>
      </w:r>
      <w:r>
        <w:rPr>
          <w:spacing w:val="-3"/>
        </w:rPr>
        <w:t xml:space="preserve"> </w:t>
      </w:r>
      <w:r>
        <w:t>agencies</w:t>
      </w:r>
      <w:r>
        <w:rPr>
          <w:spacing w:val="-3"/>
        </w:rPr>
        <w:t xml:space="preserve"> </w:t>
      </w:r>
      <w:r>
        <w:t>and</w:t>
      </w:r>
      <w:r>
        <w:rPr>
          <w:spacing w:val="-3"/>
        </w:rPr>
        <w:t xml:space="preserve"> </w:t>
      </w:r>
      <w:r>
        <w:t>have an even greater impact for the Commonwealth’s LGBTQ</w:t>
      </w:r>
      <w:r>
        <w:t xml:space="preserve"> youth.</w:t>
      </w:r>
    </w:p>
    <w:p w:rsidR="00C76E6D" w:rsidRDefault="00C76E6D">
      <w:pPr>
        <w:pStyle w:val="BodyText"/>
      </w:pPr>
    </w:p>
    <w:p w:rsidR="00C76E6D" w:rsidRDefault="00913831">
      <w:pPr>
        <w:pStyle w:val="Heading3"/>
        <w:spacing w:before="190"/>
        <w:ind w:left="480"/>
        <w:jc w:val="both"/>
      </w:pPr>
      <w:bookmarkStart w:id="729" w:name="Department_of_Early_Education_and_Care"/>
      <w:bookmarkStart w:id="730" w:name="_bookmark555"/>
      <w:bookmarkEnd w:id="729"/>
      <w:bookmarkEnd w:id="730"/>
      <w:r>
        <w:rPr>
          <w:w w:val="95"/>
        </w:rPr>
        <w:t>Department</w:t>
      </w:r>
      <w:r>
        <w:rPr>
          <w:spacing w:val="18"/>
        </w:rPr>
        <w:t xml:space="preserve"> </w:t>
      </w:r>
      <w:r>
        <w:rPr>
          <w:w w:val="95"/>
        </w:rPr>
        <w:t>of</w:t>
      </w:r>
      <w:r>
        <w:rPr>
          <w:spacing w:val="18"/>
        </w:rPr>
        <w:t xml:space="preserve"> </w:t>
      </w:r>
      <w:r>
        <w:rPr>
          <w:w w:val="95"/>
        </w:rPr>
        <w:t>Early</w:t>
      </w:r>
      <w:r>
        <w:rPr>
          <w:spacing w:val="17"/>
        </w:rPr>
        <w:t xml:space="preserve"> </w:t>
      </w:r>
      <w:r>
        <w:rPr>
          <w:w w:val="95"/>
        </w:rPr>
        <w:t>Education</w:t>
      </w:r>
      <w:r>
        <w:rPr>
          <w:spacing w:val="20"/>
        </w:rPr>
        <w:t xml:space="preserve"> </w:t>
      </w:r>
      <w:r>
        <w:rPr>
          <w:w w:val="95"/>
        </w:rPr>
        <w:t>and</w:t>
      </w:r>
      <w:r>
        <w:rPr>
          <w:spacing w:val="19"/>
        </w:rPr>
        <w:t xml:space="preserve"> </w:t>
      </w:r>
      <w:r>
        <w:rPr>
          <w:spacing w:val="-4"/>
          <w:w w:val="95"/>
        </w:rPr>
        <w:t>Care</w:t>
      </w:r>
    </w:p>
    <w:p w:rsidR="00C76E6D" w:rsidRDefault="00913831">
      <w:pPr>
        <w:pStyle w:val="BodyText"/>
        <w:spacing w:before="5"/>
        <w:rPr>
          <w:b/>
          <w:sz w:val="11"/>
        </w:rPr>
      </w:pPr>
      <w:r>
        <w:pict>
          <v:shape id="docshape327" o:spid="_x0000_s1125" style="position:absolute;margin-left:1in;margin-top:8.2pt;width:476.95pt;height:.1pt;z-index:-15668224;mso-wrap-distance-left:0;mso-wrap-distance-right:0;mso-position-horizontal-relative:page" coordorigin="1440,164" coordsize="9539,0" path="m1440,164r9539,e" filled="f" strokeweight="1.54pt">
            <v:path arrowok="t"/>
            <w10:wrap type="topAndBottom" anchorx="page"/>
          </v:shape>
        </w:pict>
      </w:r>
    </w:p>
    <w:p w:rsidR="00C76E6D" w:rsidRDefault="00913831">
      <w:pPr>
        <w:pStyle w:val="Heading5"/>
        <w:spacing w:before="181"/>
        <w:ind w:left="480"/>
        <w:jc w:val="both"/>
      </w:pPr>
      <w:r>
        <w:rPr>
          <w:spacing w:val="-2"/>
        </w:rPr>
        <w:t>FY2023</w:t>
      </w:r>
      <w:r>
        <w:rPr>
          <w:spacing w:val="-4"/>
        </w:rPr>
        <w:t xml:space="preserve"> </w:t>
      </w:r>
      <w:r>
        <w:rPr>
          <w:spacing w:val="-2"/>
        </w:rPr>
        <w:t>Recommendations</w:t>
      </w:r>
    </w:p>
    <w:p w:rsidR="00C76E6D" w:rsidRDefault="00C76E6D">
      <w:pPr>
        <w:pStyle w:val="BodyText"/>
        <w:spacing w:before="12"/>
        <w:rPr>
          <w:b/>
          <w:sz w:val="28"/>
        </w:rPr>
      </w:pPr>
    </w:p>
    <w:p w:rsidR="00C76E6D" w:rsidRDefault="00913831">
      <w:pPr>
        <w:pStyle w:val="ListParagraph"/>
        <w:numPr>
          <w:ilvl w:val="0"/>
          <w:numId w:val="22"/>
        </w:numPr>
        <w:tabs>
          <w:tab w:val="left" w:pos="1042"/>
        </w:tabs>
        <w:spacing w:line="276" w:lineRule="auto"/>
        <w:ind w:right="472" w:firstLine="0"/>
        <w:jc w:val="both"/>
      </w:pPr>
      <w:r>
        <w:t>Develop an online training module on best practices for serving LGBTQ youth and families, developed in Articulate 360 for incorporation into EEC’s new Learning Management System and tied to EEC’s Core Knowledge and Competencies for early educators.</w:t>
      </w:r>
    </w:p>
    <w:p w:rsidR="00C76E6D" w:rsidRDefault="00C76E6D">
      <w:pPr>
        <w:pStyle w:val="BodyText"/>
        <w:rPr>
          <w:sz w:val="27"/>
        </w:rPr>
      </w:pPr>
    </w:p>
    <w:p w:rsidR="00C76E6D" w:rsidRDefault="00913831">
      <w:pPr>
        <w:pStyle w:val="ListParagraph"/>
        <w:numPr>
          <w:ilvl w:val="0"/>
          <w:numId w:val="22"/>
        </w:numPr>
        <w:tabs>
          <w:tab w:val="left" w:pos="983"/>
        </w:tabs>
        <w:ind w:left="982" w:hanging="218"/>
        <w:jc w:val="both"/>
      </w:pPr>
      <w:r>
        <w:rPr>
          <w:w w:val="95"/>
        </w:rPr>
        <w:t>Clarif</w:t>
      </w:r>
      <w:r>
        <w:rPr>
          <w:w w:val="95"/>
        </w:rPr>
        <w:t>y</w:t>
      </w:r>
      <w:r>
        <w:rPr>
          <w:spacing w:val="10"/>
        </w:rPr>
        <w:t xml:space="preserve"> </w:t>
      </w:r>
      <w:r>
        <w:rPr>
          <w:w w:val="95"/>
        </w:rPr>
        <w:t>that</w:t>
      </w:r>
      <w:r>
        <w:rPr>
          <w:spacing w:val="14"/>
        </w:rPr>
        <w:t xml:space="preserve"> </w:t>
      </w:r>
      <w:r>
        <w:rPr>
          <w:w w:val="95"/>
        </w:rPr>
        <w:t>providers</w:t>
      </w:r>
      <w:r>
        <w:rPr>
          <w:spacing w:val="10"/>
        </w:rPr>
        <w:t xml:space="preserve"> </w:t>
      </w:r>
      <w:r>
        <w:rPr>
          <w:w w:val="95"/>
        </w:rPr>
        <w:t>can</w:t>
      </w:r>
      <w:r>
        <w:rPr>
          <w:spacing w:val="13"/>
        </w:rPr>
        <w:t xml:space="preserve"> </w:t>
      </w:r>
      <w:r>
        <w:rPr>
          <w:w w:val="95"/>
        </w:rPr>
        <w:t>and</w:t>
      </w:r>
      <w:r>
        <w:rPr>
          <w:spacing w:val="12"/>
        </w:rPr>
        <w:t xml:space="preserve"> </w:t>
      </w:r>
      <w:r>
        <w:rPr>
          <w:w w:val="95"/>
        </w:rPr>
        <w:t>should</w:t>
      </w:r>
      <w:r>
        <w:rPr>
          <w:spacing w:val="13"/>
        </w:rPr>
        <w:t xml:space="preserve"> </w:t>
      </w:r>
      <w:r>
        <w:rPr>
          <w:w w:val="95"/>
        </w:rPr>
        <w:t>house</w:t>
      </w:r>
      <w:r>
        <w:rPr>
          <w:spacing w:val="9"/>
        </w:rPr>
        <w:t xml:space="preserve"> </w:t>
      </w:r>
      <w:r>
        <w:rPr>
          <w:w w:val="95"/>
        </w:rPr>
        <w:t>transgender</w:t>
      </w:r>
      <w:r>
        <w:rPr>
          <w:spacing w:val="11"/>
        </w:rPr>
        <w:t xml:space="preserve"> </w:t>
      </w:r>
      <w:r>
        <w:rPr>
          <w:w w:val="95"/>
        </w:rPr>
        <w:t>youth</w:t>
      </w:r>
      <w:r>
        <w:rPr>
          <w:spacing w:val="15"/>
        </w:rPr>
        <w:t xml:space="preserve"> </w:t>
      </w:r>
      <w:r>
        <w:rPr>
          <w:w w:val="95"/>
        </w:rPr>
        <w:t>based</w:t>
      </w:r>
      <w:r>
        <w:rPr>
          <w:spacing w:val="11"/>
        </w:rPr>
        <w:t xml:space="preserve"> </w:t>
      </w:r>
      <w:r>
        <w:rPr>
          <w:w w:val="95"/>
        </w:rPr>
        <w:t>on</w:t>
      </w:r>
      <w:r>
        <w:rPr>
          <w:spacing w:val="13"/>
        </w:rPr>
        <w:t xml:space="preserve"> </w:t>
      </w:r>
      <w:r>
        <w:rPr>
          <w:w w:val="95"/>
        </w:rPr>
        <w:t>their</w:t>
      </w:r>
      <w:r>
        <w:rPr>
          <w:spacing w:val="12"/>
        </w:rPr>
        <w:t xml:space="preserve"> </w:t>
      </w:r>
      <w:r>
        <w:rPr>
          <w:w w:val="95"/>
        </w:rPr>
        <w:t>gender</w:t>
      </w:r>
      <w:r>
        <w:rPr>
          <w:spacing w:val="13"/>
        </w:rPr>
        <w:t xml:space="preserve"> </w:t>
      </w:r>
      <w:r>
        <w:rPr>
          <w:spacing w:val="-2"/>
          <w:w w:val="95"/>
        </w:rPr>
        <w:t>identity.</w:t>
      </w:r>
    </w:p>
    <w:p w:rsidR="00C76E6D" w:rsidRDefault="00C76E6D">
      <w:pPr>
        <w:pStyle w:val="BodyText"/>
        <w:spacing w:before="6"/>
        <w:rPr>
          <w:sz w:val="28"/>
        </w:rPr>
      </w:pPr>
    </w:p>
    <w:p w:rsidR="00C76E6D" w:rsidRDefault="00913831">
      <w:pPr>
        <w:pStyle w:val="ListParagraph"/>
        <w:numPr>
          <w:ilvl w:val="0"/>
          <w:numId w:val="22"/>
        </w:numPr>
        <w:tabs>
          <w:tab w:val="left" w:pos="992"/>
        </w:tabs>
        <w:spacing w:before="1" w:line="276" w:lineRule="auto"/>
        <w:ind w:right="477" w:firstLine="0"/>
        <w:jc w:val="both"/>
      </w:pPr>
      <w:r>
        <w:t>Share information about LGBTQ-affirming residential placements with the Department of Children and Families (DCF).</w:t>
      </w:r>
    </w:p>
    <w:p w:rsidR="00C76E6D" w:rsidRDefault="00C76E6D">
      <w:pPr>
        <w:pStyle w:val="BodyText"/>
        <w:spacing w:before="3"/>
        <w:rPr>
          <w:sz w:val="25"/>
        </w:rPr>
      </w:pPr>
    </w:p>
    <w:p w:rsidR="00C76E6D" w:rsidRDefault="00913831">
      <w:pPr>
        <w:pStyle w:val="ListParagraph"/>
        <w:numPr>
          <w:ilvl w:val="0"/>
          <w:numId w:val="22"/>
        </w:numPr>
        <w:tabs>
          <w:tab w:val="left" w:pos="998"/>
        </w:tabs>
        <w:spacing w:line="276" w:lineRule="auto"/>
        <w:ind w:right="476" w:firstLine="0"/>
        <w:jc w:val="both"/>
      </w:pPr>
      <w:r>
        <w:t>Continue to collaborate with the Department of Elementary and Secondary Education (DESE) and other state agencies on the Statewide Family Engagement Framework (prenatal through post- secondary) to ensure that LGBTQ content and family diversity are well-rep</w:t>
      </w:r>
      <w:r>
        <w:t>resented.</w:t>
      </w:r>
    </w:p>
    <w:p w:rsidR="00C76E6D" w:rsidRDefault="00C76E6D">
      <w:pPr>
        <w:pStyle w:val="BodyText"/>
        <w:rPr>
          <w:sz w:val="27"/>
        </w:rPr>
      </w:pPr>
    </w:p>
    <w:p w:rsidR="00C76E6D" w:rsidRDefault="00913831">
      <w:pPr>
        <w:pStyle w:val="ListParagraph"/>
        <w:numPr>
          <w:ilvl w:val="0"/>
          <w:numId w:val="22"/>
        </w:numPr>
        <w:tabs>
          <w:tab w:val="left" w:pos="983"/>
        </w:tabs>
        <w:ind w:left="982" w:hanging="218"/>
        <w:jc w:val="both"/>
      </w:pPr>
      <w:r>
        <w:rPr>
          <w:w w:val="95"/>
        </w:rPr>
        <w:t>Include</w:t>
      </w:r>
      <w:r>
        <w:rPr>
          <w:spacing w:val="12"/>
        </w:rPr>
        <w:t xml:space="preserve"> </w:t>
      </w:r>
      <w:r>
        <w:rPr>
          <w:w w:val="95"/>
        </w:rPr>
        <w:t>a</w:t>
      </w:r>
      <w:r>
        <w:rPr>
          <w:spacing w:val="15"/>
        </w:rPr>
        <w:t xml:space="preserve"> </w:t>
      </w:r>
      <w:r>
        <w:rPr>
          <w:w w:val="95"/>
        </w:rPr>
        <w:t>non-binary</w:t>
      </w:r>
      <w:r>
        <w:rPr>
          <w:spacing w:val="14"/>
        </w:rPr>
        <w:t xml:space="preserve"> </w:t>
      </w:r>
      <w:r>
        <w:rPr>
          <w:w w:val="95"/>
        </w:rPr>
        <w:t>gender</w:t>
      </w:r>
      <w:r>
        <w:rPr>
          <w:spacing w:val="12"/>
        </w:rPr>
        <w:t xml:space="preserve"> </w:t>
      </w:r>
      <w:r>
        <w:rPr>
          <w:w w:val="95"/>
        </w:rPr>
        <w:t>marker</w:t>
      </w:r>
      <w:r>
        <w:rPr>
          <w:spacing w:val="14"/>
        </w:rPr>
        <w:t xml:space="preserve"> </w:t>
      </w:r>
      <w:r>
        <w:rPr>
          <w:w w:val="95"/>
        </w:rPr>
        <w:t>option</w:t>
      </w:r>
      <w:r>
        <w:rPr>
          <w:spacing w:val="10"/>
        </w:rPr>
        <w:t xml:space="preserve"> </w:t>
      </w:r>
      <w:r>
        <w:rPr>
          <w:w w:val="95"/>
        </w:rPr>
        <w:t>during</w:t>
      </w:r>
      <w:r>
        <w:rPr>
          <w:spacing w:val="14"/>
        </w:rPr>
        <w:t xml:space="preserve"> </w:t>
      </w:r>
      <w:r>
        <w:rPr>
          <w:w w:val="95"/>
        </w:rPr>
        <w:t>the</w:t>
      </w:r>
      <w:r>
        <w:rPr>
          <w:spacing w:val="14"/>
        </w:rPr>
        <w:t xml:space="preserve"> </w:t>
      </w:r>
      <w:r>
        <w:rPr>
          <w:w w:val="95"/>
        </w:rPr>
        <w:t>development</w:t>
      </w:r>
      <w:r>
        <w:rPr>
          <w:spacing w:val="12"/>
        </w:rPr>
        <w:t xml:space="preserve"> </w:t>
      </w:r>
      <w:r>
        <w:rPr>
          <w:w w:val="95"/>
        </w:rPr>
        <w:t>of</w:t>
      </w:r>
      <w:r>
        <w:rPr>
          <w:spacing w:val="14"/>
        </w:rPr>
        <w:t xml:space="preserve"> </w:t>
      </w:r>
      <w:r>
        <w:rPr>
          <w:w w:val="95"/>
        </w:rPr>
        <w:t>EEC’s</w:t>
      </w:r>
      <w:r>
        <w:rPr>
          <w:spacing w:val="11"/>
        </w:rPr>
        <w:t xml:space="preserve"> </w:t>
      </w:r>
      <w:r>
        <w:rPr>
          <w:w w:val="95"/>
        </w:rPr>
        <w:t>online</w:t>
      </w:r>
      <w:r>
        <w:rPr>
          <w:spacing w:val="12"/>
        </w:rPr>
        <w:t xml:space="preserve"> </w:t>
      </w:r>
      <w:r>
        <w:rPr>
          <w:spacing w:val="-2"/>
          <w:w w:val="95"/>
        </w:rPr>
        <w:t>applications.</w:t>
      </w:r>
    </w:p>
    <w:p w:rsidR="00C76E6D" w:rsidRDefault="00C76E6D">
      <w:pPr>
        <w:jc w:val="both"/>
        <w:sectPr w:rsidR="00C76E6D">
          <w:headerReference w:type="default" r:id="rId369"/>
          <w:footerReference w:type="default" r:id="rId370"/>
          <w:pgSz w:w="12240" w:h="15840"/>
          <w:pgMar w:top="960" w:right="960" w:bottom="860" w:left="960" w:header="769" w:footer="679" w:gutter="0"/>
          <w:cols w:space="720"/>
        </w:sectPr>
      </w:pPr>
    </w:p>
    <w:p w:rsidR="00C76E6D" w:rsidRDefault="00C76E6D">
      <w:pPr>
        <w:pStyle w:val="BodyText"/>
        <w:rPr>
          <w:sz w:val="20"/>
        </w:rPr>
      </w:pPr>
    </w:p>
    <w:p w:rsidR="00C76E6D" w:rsidRDefault="00913831">
      <w:pPr>
        <w:pStyle w:val="Heading5"/>
        <w:spacing w:before="207"/>
        <w:ind w:left="480"/>
        <w:jc w:val="both"/>
      </w:pPr>
      <w:r>
        <w:t>Background</w:t>
      </w:r>
      <w:r>
        <w:rPr>
          <w:spacing w:val="-15"/>
        </w:rPr>
        <w:t xml:space="preserve"> </w:t>
      </w:r>
      <w:r>
        <w:t>&amp;</w:t>
      </w:r>
      <w:r>
        <w:rPr>
          <w:spacing w:val="-6"/>
        </w:rPr>
        <w:t xml:space="preserve"> </w:t>
      </w:r>
      <w:r>
        <w:rPr>
          <w:spacing w:val="-2"/>
        </w:rPr>
        <w:t>Research</w:t>
      </w:r>
    </w:p>
    <w:p w:rsidR="00C76E6D" w:rsidRDefault="00913831">
      <w:pPr>
        <w:pStyle w:val="BodyText"/>
        <w:spacing w:before="2"/>
        <w:rPr>
          <w:b/>
          <w:sz w:val="11"/>
        </w:rPr>
      </w:pPr>
      <w:r>
        <w:pict>
          <v:shape id="docshape328" o:spid="_x0000_s1124" style="position:absolute;margin-left:1in;margin-top:8.05pt;width:476.95pt;height:.1pt;z-index:-15667712;mso-wrap-distance-left:0;mso-wrap-distance-right:0;mso-position-horizontal-relative:page" coordorigin="1440,161" coordsize="9539,0" path="m1440,161r9539,e" filled="f" strokeweight="1.54pt">
            <v:path arrowok="t"/>
            <w10:wrap type="topAndBottom" anchorx="page"/>
          </v:shape>
        </w:pict>
      </w:r>
    </w:p>
    <w:p w:rsidR="00C76E6D" w:rsidRDefault="00C76E6D">
      <w:pPr>
        <w:pStyle w:val="BodyText"/>
        <w:spacing w:before="11"/>
        <w:rPr>
          <w:b/>
          <w:sz w:val="27"/>
        </w:rPr>
      </w:pPr>
    </w:p>
    <w:p w:rsidR="00C76E6D" w:rsidRDefault="00913831">
      <w:pPr>
        <w:pStyle w:val="BodyText"/>
        <w:spacing w:line="276" w:lineRule="auto"/>
        <w:ind w:left="480" w:right="475"/>
        <w:jc w:val="both"/>
      </w:pPr>
      <w:r>
        <w:t>The Department of Early Education and Care (DEEC) not only provides guidance on early education, but also assists teenage parents, and licenses child-serving organizations that work with state government, including temporary</w:t>
      </w:r>
      <w:r>
        <w:rPr>
          <w:spacing w:val="-1"/>
        </w:rPr>
        <w:t xml:space="preserve"> </w:t>
      </w:r>
      <w:r>
        <w:t>shelters and</w:t>
      </w:r>
      <w:r>
        <w:rPr>
          <w:spacing w:val="-1"/>
        </w:rPr>
        <w:t xml:space="preserve"> </w:t>
      </w:r>
      <w:r>
        <w:t>foster homes.</w:t>
      </w:r>
      <w:r>
        <w:rPr>
          <w:spacing w:val="-1"/>
        </w:rPr>
        <w:t xml:space="preserve"> </w:t>
      </w:r>
      <w:r>
        <w:t>The</w:t>
      </w:r>
      <w:r>
        <w:rPr>
          <w:spacing w:val="-1"/>
        </w:rPr>
        <w:t xml:space="preserve"> </w:t>
      </w:r>
      <w:r>
        <w:t>Commission</w:t>
      </w:r>
      <w:r>
        <w:rPr>
          <w:spacing w:val="-1"/>
        </w:rPr>
        <w:t xml:space="preserve"> </w:t>
      </w:r>
      <w:r>
        <w:t>has worked</w:t>
      </w:r>
      <w:r>
        <w:rPr>
          <w:spacing w:val="-1"/>
        </w:rPr>
        <w:t xml:space="preserve"> </w:t>
      </w:r>
      <w:r>
        <w:t>with</w:t>
      </w:r>
      <w:r>
        <w:rPr>
          <w:spacing w:val="-1"/>
        </w:rPr>
        <w:t xml:space="preserve"> </w:t>
      </w:r>
      <w:r>
        <w:t>DEEC for several</w:t>
      </w:r>
      <w:r>
        <w:rPr>
          <w:spacing w:val="-2"/>
        </w:rPr>
        <w:t xml:space="preserve"> </w:t>
      </w:r>
      <w:r>
        <w:t>years and is appreciative of DEEC’s commitment to youth of all ages under its care.</w:t>
      </w:r>
    </w:p>
    <w:p w:rsidR="00C76E6D" w:rsidRDefault="00C76E6D">
      <w:pPr>
        <w:pStyle w:val="BodyText"/>
        <w:spacing w:before="7"/>
        <w:rPr>
          <w:sz w:val="19"/>
        </w:rPr>
      </w:pPr>
    </w:p>
    <w:p w:rsidR="00C76E6D" w:rsidRDefault="00913831">
      <w:pPr>
        <w:pStyle w:val="BodyText"/>
        <w:spacing w:line="276" w:lineRule="auto"/>
        <w:ind w:left="478" w:right="476"/>
        <w:jc w:val="both"/>
      </w:pPr>
      <w:r>
        <w:t>DEEC is well-positioned to impact youth in early education programs as well as at-risk LGBTQ youth through its process of licen</w:t>
      </w:r>
      <w:r>
        <w:t>sing child-serving organizations, including temporary shelters and foster homes. The Commission continues to hear that agencies managing group homes are unsure of best practices</w:t>
      </w:r>
      <w:r>
        <w:rPr>
          <w:spacing w:val="-1"/>
        </w:rPr>
        <w:t xml:space="preserve"> </w:t>
      </w:r>
      <w:r>
        <w:t>for serving</w:t>
      </w:r>
      <w:r>
        <w:rPr>
          <w:spacing w:val="-2"/>
        </w:rPr>
        <w:t xml:space="preserve"> </w:t>
      </w:r>
      <w:r>
        <w:t>LGBTQ</w:t>
      </w:r>
      <w:r>
        <w:rPr>
          <w:spacing w:val="-2"/>
        </w:rPr>
        <w:t xml:space="preserve"> </w:t>
      </w:r>
      <w:r>
        <w:t>youth, and in</w:t>
      </w:r>
      <w:r>
        <w:rPr>
          <w:spacing w:val="-2"/>
        </w:rPr>
        <w:t xml:space="preserve"> </w:t>
      </w:r>
      <w:r>
        <w:t>particular that</w:t>
      </w:r>
      <w:r>
        <w:rPr>
          <w:spacing w:val="-1"/>
        </w:rPr>
        <w:t xml:space="preserve"> </w:t>
      </w:r>
      <w:r>
        <w:t>they believe</w:t>
      </w:r>
      <w:r>
        <w:rPr>
          <w:spacing w:val="-1"/>
        </w:rPr>
        <w:t xml:space="preserve"> </w:t>
      </w:r>
      <w:r>
        <w:t>existing</w:t>
      </w:r>
      <w:r>
        <w:rPr>
          <w:spacing w:val="-1"/>
        </w:rPr>
        <w:t xml:space="preserve"> </w:t>
      </w:r>
      <w:r>
        <w:t>licensin</w:t>
      </w:r>
      <w:r>
        <w:t>g</w:t>
      </w:r>
      <w:r>
        <w:rPr>
          <w:spacing w:val="-1"/>
        </w:rPr>
        <w:t xml:space="preserve"> </w:t>
      </w:r>
      <w:r>
        <w:t>requirements</w:t>
      </w:r>
      <w:r>
        <w:rPr>
          <w:spacing w:val="-1"/>
        </w:rPr>
        <w:t xml:space="preserve"> </w:t>
      </w:r>
      <w:r>
        <w:t>are a</w:t>
      </w:r>
      <w:r>
        <w:rPr>
          <w:spacing w:val="-10"/>
        </w:rPr>
        <w:t xml:space="preserve"> </w:t>
      </w:r>
      <w:r>
        <w:t>barrier</w:t>
      </w:r>
      <w:r>
        <w:rPr>
          <w:spacing w:val="-8"/>
        </w:rPr>
        <w:t xml:space="preserve"> </w:t>
      </w:r>
      <w:r>
        <w:t>to</w:t>
      </w:r>
      <w:r>
        <w:rPr>
          <w:spacing w:val="-8"/>
        </w:rPr>
        <w:t xml:space="preserve"> </w:t>
      </w:r>
      <w:r>
        <w:t>housing</w:t>
      </w:r>
      <w:r>
        <w:rPr>
          <w:spacing w:val="-9"/>
        </w:rPr>
        <w:t xml:space="preserve"> </w:t>
      </w:r>
      <w:r>
        <w:t>transgender</w:t>
      </w:r>
      <w:r>
        <w:rPr>
          <w:spacing w:val="-9"/>
        </w:rPr>
        <w:t xml:space="preserve"> </w:t>
      </w:r>
      <w:r>
        <w:t>young</w:t>
      </w:r>
      <w:r>
        <w:rPr>
          <w:spacing w:val="-7"/>
        </w:rPr>
        <w:t xml:space="preserve"> </w:t>
      </w:r>
      <w:r>
        <w:t>people</w:t>
      </w:r>
      <w:r>
        <w:rPr>
          <w:spacing w:val="-9"/>
        </w:rPr>
        <w:t xml:space="preserve"> </w:t>
      </w:r>
      <w:r>
        <w:t>according</w:t>
      </w:r>
      <w:r>
        <w:rPr>
          <w:spacing w:val="-9"/>
        </w:rPr>
        <w:t xml:space="preserve"> </w:t>
      </w:r>
      <w:r>
        <w:t>to</w:t>
      </w:r>
      <w:r>
        <w:rPr>
          <w:spacing w:val="-7"/>
        </w:rPr>
        <w:t xml:space="preserve"> </w:t>
      </w:r>
      <w:r>
        <w:t>their</w:t>
      </w:r>
      <w:r>
        <w:rPr>
          <w:spacing w:val="-7"/>
        </w:rPr>
        <w:t xml:space="preserve"> </w:t>
      </w:r>
      <w:r>
        <w:t>gender</w:t>
      </w:r>
      <w:r>
        <w:rPr>
          <w:spacing w:val="-9"/>
        </w:rPr>
        <w:t xml:space="preserve"> </w:t>
      </w:r>
      <w:r>
        <w:t>identity</w:t>
      </w:r>
      <w:r>
        <w:rPr>
          <w:spacing w:val="-10"/>
        </w:rPr>
        <w:t xml:space="preserve"> </w:t>
      </w:r>
      <w:r>
        <w:t>rather</w:t>
      </w:r>
      <w:r>
        <w:rPr>
          <w:spacing w:val="-9"/>
        </w:rPr>
        <w:t xml:space="preserve"> </w:t>
      </w:r>
      <w:r>
        <w:t>than</w:t>
      </w:r>
      <w:r>
        <w:rPr>
          <w:spacing w:val="-10"/>
        </w:rPr>
        <w:t xml:space="preserve"> </w:t>
      </w:r>
      <w:r>
        <w:t>sex</w:t>
      </w:r>
      <w:r>
        <w:rPr>
          <w:spacing w:val="-9"/>
        </w:rPr>
        <w:t xml:space="preserve"> </w:t>
      </w:r>
      <w:r>
        <w:t>assigned at birth.</w:t>
      </w:r>
    </w:p>
    <w:p w:rsidR="00C76E6D" w:rsidRDefault="00C76E6D">
      <w:pPr>
        <w:pStyle w:val="BodyText"/>
        <w:spacing w:before="8"/>
        <w:rPr>
          <w:sz w:val="19"/>
        </w:rPr>
      </w:pPr>
    </w:p>
    <w:p w:rsidR="00C76E6D" w:rsidRDefault="00913831">
      <w:pPr>
        <w:pStyle w:val="BodyText"/>
        <w:spacing w:line="276" w:lineRule="auto"/>
        <w:ind w:left="478" w:right="476"/>
        <w:jc w:val="both"/>
      </w:pPr>
      <w:r>
        <w:t>Beyond the recommendations issued below, the Commission looks forward to working with DEEC to examine</w:t>
      </w:r>
      <w:r>
        <w:rPr>
          <w:spacing w:val="-14"/>
        </w:rPr>
        <w:t xml:space="preserve"> </w:t>
      </w:r>
      <w:r>
        <w:t>how</w:t>
      </w:r>
      <w:r>
        <w:rPr>
          <w:spacing w:val="-13"/>
        </w:rPr>
        <w:t xml:space="preserve"> </w:t>
      </w:r>
      <w:r>
        <w:t>LGBTQ</w:t>
      </w:r>
      <w:r>
        <w:rPr>
          <w:spacing w:val="-13"/>
        </w:rPr>
        <w:t xml:space="preserve"> </w:t>
      </w:r>
      <w:r>
        <w:t>competencies</w:t>
      </w:r>
      <w:r>
        <w:rPr>
          <w:spacing w:val="-12"/>
        </w:rPr>
        <w:t xml:space="preserve"> </w:t>
      </w:r>
      <w:r>
        <w:t>might</w:t>
      </w:r>
      <w:r>
        <w:rPr>
          <w:spacing w:val="-14"/>
        </w:rPr>
        <w:t xml:space="preserve"> </w:t>
      </w:r>
      <w:r>
        <w:t>be</w:t>
      </w:r>
      <w:r>
        <w:rPr>
          <w:spacing w:val="-13"/>
        </w:rPr>
        <w:t xml:space="preserve"> </w:t>
      </w:r>
      <w:r>
        <w:t>included</w:t>
      </w:r>
      <w:r>
        <w:rPr>
          <w:spacing w:val="-14"/>
        </w:rPr>
        <w:t xml:space="preserve"> </w:t>
      </w:r>
      <w:r>
        <w:t>in</w:t>
      </w:r>
      <w:r>
        <w:rPr>
          <w:spacing w:val="-13"/>
        </w:rPr>
        <w:t xml:space="preserve"> </w:t>
      </w:r>
      <w:r>
        <w:t>the</w:t>
      </w:r>
      <w:r>
        <w:rPr>
          <w:spacing w:val="-13"/>
        </w:rPr>
        <w:t xml:space="preserve"> </w:t>
      </w:r>
      <w:r>
        <w:t>Professional</w:t>
      </w:r>
      <w:r>
        <w:rPr>
          <w:spacing w:val="-14"/>
        </w:rPr>
        <w:t xml:space="preserve"> </w:t>
      </w:r>
      <w:r>
        <w:t>Qualifications</w:t>
      </w:r>
      <w:r>
        <w:rPr>
          <w:spacing w:val="-12"/>
        </w:rPr>
        <w:t xml:space="preserve"> </w:t>
      </w:r>
      <w:r>
        <w:t>Registry</w:t>
      </w:r>
      <w:r>
        <w:rPr>
          <w:spacing w:val="-14"/>
        </w:rPr>
        <w:t xml:space="preserve"> </w:t>
      </w:r>
      <w:r>
        <w:t>database.</w:t>
      </w:r>
    </w:p>
    <w:p w:rsidR="00C76E6D" w:rsidRDefault="00C76E6D">
      <w:pPr>
        <w:pStyle w:val="BodyText"/>
        <w:spacing w:before="9"/>
        <w:rPr>
          <w:sz w:val="25"/>
        </w:rPr>
      </w:pPr>
    </w:p>
    <w:p w:rsidR="00C76E6D" w:rsidRDefault="00913831">
      <w:pPr>
        <w:pStyle w:val="Heading5"/>
        <w:ind w:left="480"/>
        <w:jc w:val="both"/>
      </w:pPr>
      <w:r>
        <w:t>Expanded</w:t>
      </w:r>
      <w:r>
        <w:rPr>
          <w:spacing w:val="-10"/>
        </w:rPr>
        <w:t xml:space="preserve"> </w:t>
      </w:r>
      <w:r>
        <w:rPr>
          <w:spacing w:val="-2"/>
        </w:rPr>
        <w:t>Recommendations</w:t>
      </w:r>
    </w:p>
    <w:p w:rsidR="00C76E6D" w:rsidRDefault="00913831">
      <w:pPr>
        <w:pStyle w:val="BodyText"/>
        <w:spacing w:before="10"/>
        <w:rPr>
          <w:b/>
          <w:sz w:val="6"/>
        </w:rPr>
      </w:pPr>
      <w:r>
        <w:pict>
          <v:shape id="docshape329" o:spid="_x0000_s1123" style="position:absolute;margin-left:1in;margin-top:5.4pt;width:476.95pt;height:.1pt;z-index:-15667200;mso-wrap-distance-left:0;mso-wrap-distance-right:0;mso-position-horizontal-relative:page" coordorigin="1440,108" coordsize="9539,0" path="m1440,108r9539,e" filled="f" strokeweight="1.54pt">
            <v:path arrowok="t"/>
            <w10:wrap type="topAndBottom" anchorx="page"/>
          </v:shape>
        </w:pict>
      </w:r>
    </w:p>
    <w:p w:rsidR="00C76E6D" w:rsidRDefault="00C76E6D">
      <w:pPr>
        <w:pStyle w:val="BodyText"/>
        <w:spacing w:before="2"/>
        <w:rPr>
          <w:b/>
          <w:sz w:val="35"/>
        </w:rPr>
      </w:pPr>
    </w:p>
    <w:p w:rsidR="00C76E6D" w:rsidRDefault="00913831">
      <w:pPr>
        <w:pStyle w:val="Heading6"/>
        <w:numPr>
          <w:ilvl w:val="0"/>
          <w:numId w:val="21"/>
        </w:numPr>
        <w:tabs>
          <w:tab w:val="left" w:pos="693"/>
        </w:tabs>
        <w:spacing w:line="276" w:lineRule="auto"/>
        <w:ind w:right="475" w:hanging="1"/>
        <w:jc w:val="both"/>
        <w:rPr>
          <w:b w:val="0"/>
        </w:rPr>
      </w:pPr>
      <w:bookmarkStart w:id="731" w:name="1._Develop_an_online_training_module_on_"/>
      <w:bookmarkEnd w:id="731"/>
      <w:r>
        <w:t>Develop</w:t>
      </w:r>
      <w:r>
        <w:rPr>
          <w:spacing w:val="-12"/>
        </w:rPr>
        <w:t xml:space="preserve"> </w:t>
      </w:r>
      <w:r>
        <w:t>an</w:t>
      </w:r>
      <w:r>
        <w:rPr>
          <w:spacing w:val="-12"/>
        </w:rPr>
        <w:t xml:space="preserve"> </w:t>
      </w:r>
      <w:r>
        <w:t>online</w:t>
      </w:r>
      <w:r>
        <w:rPr>
          <w:spacing w:val="-11"/>
        </w:rPr>
        <w:t xml:space="preserve"> </w:t>
      </w:r>
      <w:r>
        <w:t>training</w:t>
      </w:r>
      <w:r>
        <w:rPr>
          <w:spacing w:val="-12"/>
        </w:rPr>
        <w:t xml:space="preserve"> </w:t>
      </w:r>
      <w:r>
        <w:t>module</w:t>
      </w:r>
      <w:r>
        <w:rPr>
          <w:spacing w:val="-11"/>
        </w:rPr>
        <w:t xml:space="preserve"> </w:t>
      </w:r>
      <w:r>
        <w:t>on</w:t>
      </w:r>
      <w:r>
        <w:rPr>
          <w:spacing w:val="-13"/>
        </w:rPr>
        <w:t xml:space="preserve"> </w:t>
      </w:r>
      <w:r>
        <w:t>best</w:t>
      </w:r>
      <w:r>
        <w:rPr>
          <w:spacing w:val="-12"/>
        </w:rPr>
        <w:t xml:space="preserve"> </w:t>
      </w:r>
      <w:r>
        <w:t>practices</w:t>
      </w:r>
      <w:r>
        <w:rPr>
          <w:spacing w:val="-11"/>
        </w:rPr>
        <w:t xml:space="preserve"> </w:t>
      </w:r>
      <w:r>
        <w:t>for</w:t>
      </w:r>
      <w:r>
        <w:rPr>
          <w:spacing w:val="-13"/>
        </w:rPr>
        <w:t xml:space="preserve"> </w:t>
      </w:r>
      <w:r>
        <w:t>serving</w:t>
      </w:r>
      <w:r>
        <w:rPr>
          <w:spacing w:val="-11"/>
        </w:rPr>
        <w:t xml:space="preserve"> </w:t>
      </w:r>
      <w:r>
        <w:t>LGBTQ</w:t>
      </w:r>
      <w:r>
        <w:rPr>
          <w:spacing w:val="-13"/>
        </w:rPr>
        <w:t xml:space="preserve"> </w:t>
      </w:r>
      <w:r>
        <w:t>youth</w:t>
      </w:r>
      <w:r>
        <w:rPr>
          <w:spacing w:val="-10"/>
        </w:rPr>
        <w:t xml:space="preserve"> </w:t>
      </w:r>
      <w:r>
        <w:t>and</w:t>
      </w:r>
      <w:r>
        <w:rPr>
          <w:spacing w:val="-12"/>
        </w:rPr>
        <w:t xml:space="preserve"> </w:t>
      </w:r>
      <w:r>
        <w:t>families,</w:t>
      </w:r>
      <w:r>
        <w:rPr>
          <w:spacing w:val="-13"/>
        </w:rPr>
        <w:t xml:space="preserve"> </w:t>
      </w:r>
      <w:r>
        <w:t>developed</w:t>
      </w:r>
      <w:r>
        <w:rPr>
          <w:spacing w:val="-4"/>
        </w:rPr>
        <w:t xml:space="preserve"> </w:t>
      </w:r>
      <w:r>
        <w:t>in Articulate 360 for incorporation into EEC’s new Learning Management System and tied to EEC’s Core Knowledge and Competencies for early educators.</w:t>
      </w:r>
    </w:p>
    <w:p w:rsidR="00C76E6D" w:rsidRDefault="00C76E6D">
      <w:pPr>
        <w:pStyle w:val="BodyText"/>
        <w:spacing w:before="11"/>
        <w:rPr>
          <w:b/>
          <w:sz w:val="26"/>
        </w:rPr>
      </w:pPr>
    </w:p>
    <w:p w:rsidR="00C76E6D" w:rsidRDefault="00913831">
      <w:pPr>
        <w:pStyle w:val="BodyText"/>
        <w:spacing w:line="276" w:lineRule="auto"/>
        <w:ind w:left="766" w:right="475"/>
        <w:jc w:val="both"/>
      </w:pPr>
      <w:r>
        <w:t>The Commission recommends that all employees who serve youth at DEEC-licensed or approved programs and fac</w:t>
      </w:r>
      <w:r>
        <w:t>ilities attend mandatory LGBTQ cultural humility training. The Commission encourages DEEC to support licensees in providing the resources staff need to serve LGBTQ youth. Training and professional development should include information on LGBTQ cultural hu</w:t>
      </w:r>
      <w:r>
        <w:t>mility and best practices for creating safe, affirming, and trauma-informed environments. Training should also include an analysis of structural issues and systems of oppression impacting LGBTQ youth, and how EEC</w:t>
      </w:r>
      <w:r>
        <w:rPr>
          <w:spacing w:val="-10"/>
        </w:rPr>
        <w:t xml:space="preserve"> </w:t>
      </w:r>
      <w:r>
        <w:t>fits</w:t>
      </w:r>
      <w:r>
        <w:rPr>
          <w:spacing w:val="-10"/>
        </w:rPr>
        <w:t xml:space="preserve"> </w:t>
      </w:r>
      <w:r>
        <w:t>within</w:t>
      </w:r>
      <w:r>
        <w:rPr>
          <w:spacing w:val="-10"/>
        </w:rPr>
        <w:t xml:space="preserve"> </w:t>
      </w:r>
      <w:r>
        <w:t>the</w:t>
      </w:r>
      <w:r>
        <w:rPr>
          <w:spacing w:val="-10"/>
        </w:rPr>
        <w:t xml:space="preserve"> </w:t>
      </w:r>
      <w:r>
        <w:t>work</w:t>
      </w:r>
      <w:r>
        <w:rPr>
          <w:spacing w:val="-9"/>
        </w:rPr>
        <w:t xml:space="preserve"> </w:t>
      </w:r>
      <w:r>
        <w:t>of</w:t>
      </w:r>
      <w:r>
        <w:rPr>
          <w:spacing w:val="-8"/>
        </w:rPr>
        <w:t xml:space="preserve"> </w:t>
      </w:r>
      <w:r>
        <w:t>interrupting</w:t>
      </w:r>
      <w:r>
        <w:rPr>
          <w:spacing w:val="-9"/>
        </w:rPr>
        <w:t xml:space="preserve"> </w:t>
      </w:r>
      <w:r>
        <w:t>those</w:t>
      </w:r>
      <w:r>
        <w:rPr>
          <w:spacing w:val="-10"/>
        </w:rPr>
        <w:t xml:space="preserve"> </w:t>
      </w:r>
      <w:r>
        <w:t>systems.</w:t>
      </w:r>
      <w:r>
        <w:rPr>
          <w:spacing w:val="-10"/>
        </w:rPr>
        <w:t xml:space="preserve"> </w:t>
      </w:r>
      <w:r>
        <w:t>The</w:t>
      </w:r>
      <w:r>
        <w:rPr>
          <w:spacing w:val="-9"/>
        </w:rPr>
        <w:t xml:space="preserve"> </w:t>
      </w:r>
      <w:r>
        <w:t>Commission</w:t>
      </w:r>
      <w:r>
        <w:rPr>
          <w:spacing w:val="-11"/>
        </w:rPr>
        <w:t xml:space="preserve"> </w:t>
      </w:r>
      <w:r>
        <w:t>urges</w:t>
      </w:r>
      <w:r>
        <w:rPr>
          <w:spacing w:val="-10"/>
        </w:rPr>
        <w:t xml:space="preserve"> </w:t>
      </w:r>
      <w:r>
        <w:t>DEEC</w:t>
      </w:r>
      <w:r>
        <w:rPr>
          <w:spacing w:val="-10"/>
        </w:rPr>
        <w:t xml:space="preserve"> </w:t>
      </w:r>
      <w:r>
        <w:t>to</w:t>
      </w:r>
      <w:r>
        <w:rPr>
          <w:spacing w:val="-8"/>
        </w:rPr>
        <w:t xml:space="preserve"> </w:t>
      </w:r>
      <w:r>
        <w:t>collaborate</w:t>
      </w:r>
      <w:r>
        <w:rPr>
          <w:spacing w:val="-10"/>
        </w:rPr>
        <w:t xml:space="preserve"> </w:t>
      </w:r>
      <w:r>
        <w:t>with community partners and other state agencies to ensure that educators and staff receive training and professional development.</w:t>
      </w:r>
    </w:p>
    <w:p w:rsidR="00C76E6D" w:rsidRDefault="00C76E6D">
      <w:pPr>
        <w:pStyle w:val="BodyText"/>
        <w:spacing w:before="3"/>
        <w:rPr>
          <w:sz w:val="25"/>
        </w:rPr>
      </w:pPr>
    </w:p>
    <w:p w:rsidR="00C76E6D" w:rsidRDefault="00913831">
      <w:pPr>
        <w:pStyle w:val="BodyText"/>
        <w:spacing w:line="276" w:lineRule="auto"/>
        <w:ind w:left="766" w:right="474"/>
        <w:jc w:val="both"/>
      </w:pPr>
      <w:r>
        <w:t>As DEEC relies on online training modules for many of its trainings, the Commission encourages DEEC to</w:t>
      </w:r>
      <w:r>
        <w:rPr>
          <w:spacing w:val="-9"/>
        </w:rPr>
        <w:t xml:space="preserve"> </w:t>
      </w:r>
      <w:r>
        <w:t>develop</w:t>
      </w:r>
      <w:r>
        <w:rPr>
          <w:spacing w:val="-10"/>
        </w:rPr>
        <w:t xml:space="preserve"> </w:t>
      </w:r>
      <w:r>
        <w:t>a</w:t>
      </w:r>
      <w:r>
        <w:rPr>
          <w:spacing w:val="-8"/>
        </w:rPr>
        <w:t xml:space="preserve"> </w:t>
      </w:r>
      <w:r>
        <w:t>regularly</w:t>
      </w:r>
      <w:r>
        <w:rPr>
          <w:spacing w:val="-10"/>
        </w:rPr>
        <w:t xml:space="preserve"> </w:t>
      </w:r>
      <w:r>
        <w:t>updated</w:t>
      </w:r>
      <w:r>
        <w:rPr>
          <w:spacing w:val="-9"/>
        </w:rPr>
        <w:t xml:space="preserve"> </w:t>
      </w:r>
      <w:r>
        <w:t>module</w:t>
      </w:r>
      <w:r>
        <w:rPr>
          <w:spacing w:val="-9"/>
        </w:rPr>
        <w:t xml:space="preserve"> </w:t>
      </w:r>
      <w:r>
        <w:t>or</w:t>
      </w:r>
      <w:r>
        <w:rPr>
          <w:spacing w:val="-10"/>
        </w:rPr>
        <w:t xml:space="preserve"> </w:t>
      </w:r>
      <w:r>
        <w:t>continuing</w:t>
      </w:r>
      <w:r>
        <w:rPr>
          <w:spacing w:val="-10"/>
        </w:rPr>
        <w:t xml:space="preserve"> </w:t>
      </w:r>
      <w:r>
        <w:t>education</w:t>
      </w:r>
      <w:r>
        <w:rPr>
          <w:spacing w:val="-8"/>
        </w:rPr>
        <w:t xml:space="preserve"> </w:t>
      </w:r>
      <w:r>
        <w:t>unit</w:t>
      </w:r>
      <w:r>
        <w:rPr>
          <w:spacing w:val="-9"/>
        </w:rPr>
        <w:t xml:space="preserve"> </w:t>
      </w:r>
      <w:r>
        <w:t>that</w:t>
      </w:r>
      <w:r>
        <w:rPr>
          <w:spacing w:val="-10"/>
        </w:rPr>
        <w:t xml:space="preserve"> </w:t>
      </w:r>
      <w:r>
        <w:t>addresses</w:t>
      </w:r>
      <w:r>
        <w:rPr>
          <w:spacing w:val="-9"/>
        </w:rPr>
        <w:t xml:space="preserve"> </w:t>
      </w:r>
      <w:r>
        <w:t>sexual</w:t>
      </w:r>
      <w:r>
        <w:rPr>
          <w:spacing w:val="-9"/>
        </w:rPr>
        <w:t xml:space="preserve"> </w:t>
      </w:r>
      <w:r>
        <w:t>orientation, gender identity, gender expression, and best practices</w:t>
      </w:r>
      <w:r>
        <w:t xml:space="preserve"> for serving LGBTQ youth and families. The Commission’s current effort to develop an online training with interagency support might provide a useful</w:t>
      </w:r>
      <w:r>
        <w:rPr>
          <w:spacing w:val="-1"/>
        </w:rPr>
        <w:t xml:space="preserve"> </w:t>
      </w:r>
      <w:r>
        <w:t>example</w:t>
      </w:r>
      <w:r>
        <w:rPr>
          <w:spacing w:val="-1"/>
        </w:rPr>
        <w:t xml:space="preserve"> </w:t>
      </w:r>
      <w:r>
        <w:t>of what</w:t>
      </w:r>
      <w:r>
        <w:rPr>
          <w:spacing w:val="-1"/>
        </w:rPr>
        <w:t xml:space="preserve"> </w:t>
      </w:r>
      <w:r>
        <w:t>DEEC itself could</w:t>
      </w:r>
      <w:r>
        <w:rPr>
          <w:spacing w:val="-1"/>
        </w:rPr>
        <w:t xml:space="preserve"> </w:t>
      </w:r>
      <w:r>
        <w:t>develop, as could the trainings provided</w:t>
      </w:r>
      <w:r>
        <w:rPr>
          <w:spacing w:val="-1"/>
        </w:rPr>
        <w:t xml:space="preserve"> </w:t>
      </w:r>
      <w:r>
        <w:t>by the Safe</w:t>
      </w:r>
      <w:r>
        <w:rPr>
          <w:spacing w:val="-1"/>
        </w:rPr>
        <w:t xml:space="preserve"> </w:t>
      </w:r>
      <w:r>
        <w:t>Schools Program for LGBTQ Students.</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Heading6"/>
        <w:numPr>
          <w:ilvl w:val="0"/>
          <w:numId w:val="21"/>
        </w:numPr>
        <w:tabs>
          <w:tab w:val="left" w:pos="699"/>
        </w:tabs>
        <w:ind w:left="698" w:hanging="221"/>
      </w:pPr>
      <w:bookmarkStart w:id="732" w:name="2._Clarify_that_providers_can_and_should"/>
      <w:bookmarkEnd w:id="732"/>
      <w:r>
        <w:rPr>
          <w:w w:val="95"/>
        </w:rPr>
        <w:t>Clarify</w:t>
      </w:r>
      <w:r>
        <w:rPr>
          <w:spacing w:val="14"/>
        </w:rPr>
        <w:t xml:space="preserve"> </w:t>
      </w:r>
      <w:r>
        <w:rPr>
          <w:w w:val="95"/>
        </w:rPr>
        <w:t>that</w:t>
      </w:r>
      <w:r>
        <w:rPr>
          <w:spacing w:val="10"/>
        </w:rPr>
        <w:t xml:space="preserve"> </w:t>
      </w:r>
      <w:r>
        <w:rPr>
          <w:w w:val="95"/>
        </w:rPr>
        <w:t>providers</w:t>
      </w:r>
      <w:r>
        <w:rPr>
          <w:spacing w:val="12"/>
        </w:rPr>
        <w:t xml:space="preserve"> </w:t>
      </w:r>
      <w:r>
        <w:rPr>
          <w:w w:val="95"/>
        </w:rPr>
        <w:t>can</w:t>
      </w:r>
      <w:r>
        <w:rPr>
          <w:spacing w:val="13"/>
        </w:rPr>
        <w:t xml:space="preserve"> </w:t>
      </w:r>
      <w:r>
        <w:rPr>
          <w:w w:val="95"/>
        </w:rPr>
        <w:t>and</w:t>
      </w:r>
      <w:r>
        <w:rPr>
          <w:spacing w:val="12"/>
        </w:rPr>
        <w:t xml:space="preserve"> </w:t>
      </w:r>
      <w:r>
        <w:rPr>
          <w:w w:val="95"/>
        </w:rPr>
        <w:t>should</w:t>
      </w:r>
      <w:r>
        <w:rPr>
          <w:spacing w:val="12"/>
        </w:rPr>
        <w:t xml:space="preserve"> </w:t>
      </w:r>
      <w:r>
        <w:rPr>
          <w:w w:val="95"/>
        </w:rPr>
        <w:t>house</w:t>
      </w:r>
      <w:r>
        <w:rPr>
          <w:spacing w:val="15"/>
        </w:rPr>
        <w:t xml:space="preserve"> </w:t>
      </w:r>
      <w:r>
        <w:rPr>
          <w:w w:val="95"/>
        </w:rPr>
        <w:t>transgender</w:t>
      </w:r>
      <w:r>
        <w:rPr>
          <w:spacing w:val="10"/>
        </w:rPr>
        <w:t xml:space="preserve"> </w:t>
      </w:r>
      <w:r>
        <w:rPr>
          <w:w w:val="95"/>
        </w:rPr>
        <w:t>youth</w:t>
      </w:r>
      <w:r>
        <w:rPr>
          <w:spacing w:val="9"/>
        </w:rPr>
        <w:t xml:space="preserve"> </w:t>
      </w:r>
      <w:r>
        <w:rPr>
          <w:w w:val="95"/>
        </w:rPr>
        <w:t>based</w:t>
      </w:r>
      <w:r>
        <w:rPr>
          <w:spacing w:val="11"/>
        </w:rPr>
        <w:t xml:space="preserve"> </w:t>
      </w:r>
      <w:r>
        <w:rPr>
          <w:w w:val="95"/>
        </w:rPr>
        <w:t>on</w:t>
      </w:r>
      <w:r>
        <w:rPr>
          <w:spacing w:val="14"/>
        </w:rPr>
        <w:t xml:space="preserve"> </w:t>
      </w:r>
      <w:r>
        <w:rPr>
          <w:w w:val="95"/>
        </w:rPr>
        <w:t>their</w:t>
      </w:r>
      <w:r>
        <w:rPr>
          <w:spacing w:val="13"/>
        </w:rPr>
        <w:t xml:space="preserve"> </w:t>
      </w:r>
      <w:r>
        <w:rPr>
          <w:w w:val="95"/>
        </w:rPr>
        <w:t>gender</w:t>
      </w:r>
      <w:r>
        <w:rPr>
          <w:spacing w:val="13"/>
        </w:rPr>
        <w:t xml:space="preserve"> </w:t>
      </w:r>
      <w:r>
        <w:rPr>
          <w:spacing w:val="-2"/>
          <w:w w:val="95"/>
        </w:rPr>
        <w:t>identity.</w:t>
      </w:r>
    </w:p>
    <w:p w:rsidR="00C76E6D" w:rsidRDefault="00C76E6D">
      <w:pPr>
        <w:pStyle w:val="BodyText"/>
        <w:spacing w:before="8"/>
        <w:rPr>
          <w:b/>
          <w:sz w:val="28"/>
        </w:rPr>
      </w:pPr>
    </w:p>
    <w:p w:rsidR="00C76E6D" w:rsidRDefault="00913831">
      <w:pPr>
        <w:pStyle w:val="BodyText"/>
        <w:spacing w:line="276" w:lineRule="auto"/>
        <w:ind w:left="767" w:right="472" w:hanging="1"/>
        <w:jc w:val="both"/>
      </w:pPr>
      <w:r>
        <w:t>Without</w:t>
      </w:r>
      <w:r>
        <w:rPr>
          <w:spacing w:val="-4"/>
        </w:rPr>
        <w:t xml:space="preserve"> </w:t>
      </w:r>
      <w:r>
        <w:t>affirming</w:t>
      </w:r>
      <w:r>
        <w:rPr>
          <w:spacing w:val="-4"/>
        </w:rPr>
        <w:t xml:space="preserve"> </w:t>
      </w:r>
      <w:r>
        <w:t>placements,</w:t>
      </w:r>
      <w:r>
        <w:rPr>
          <w:spacing w:val="-5"/>
        </w:rPr>
        <w:t xml:space="preserve"> </w:t>
      </w:r>
      <w:r>
        <w:t>transgender</w:t>
      </w:r>
      <w:r>
        <w:rPr>
          <w:spacing w:val="-5"/>
        </w:rPr>
        <w:t xml:space="preserve"> </w:t>
      </w:r>
      <w:r>
        <w:t>young</w:t>
      </w:r>
      <w:r>
        <w:rPr>
          <w:spacing w:val="-4"/>
        </w:rPr>
        <w:t xml:space="preserve"> </w:t>
      </w:r>
      <w:r>
        <w:t>people</w:t>
      </w:r>
      <w:r>
        <w:rPr>
          <w:spacing w:val="-5"/>
        </w:rPr>
        <w:t xml:space="preserve"> </w:t>
      </w:r>
      <w:r>
        <w:t>experience</w:t>
      </w:r>
      <w:r>
        <w:rPr>
          <w:spacing w:val="-4"/>
        </w:rPr>
        <w:t xml:space="preserve"> </w:t>
      </w:r>
      <w:r>
        <w:t>barriers</w:t>
      </w:r>
      <w:r>
        <w:rPr>
          <w:spacing w:val="-5"/>
        </w:rPr>
        <w:t xml:space="preserve"> </w:t>
      </w:r>
      <w:r>
        <w:t>to</w:t>
      </w:r>
      <w:r>
        <w:rPr>
          <w:spacing w:val="-4"/>
        </w:rPr>
        <w:t xml:space="preserve"> </w:t>
      </w:r>
      <w:r>
        <w:t>success</w:t>
      </w:r>
      <w:r>
        <w:rPr>
          <w:spacing w:val="-4"/>
        </w:rPr>
        <w:t xml:space="preserve"> </w:t>
      </w:r>
      <w:r>
        <w:t>and</w:t>
      </w:r>
      <w:r>
        <w:rPr>
          <w:spacing w:val="-5"/>
        </w:rPr>
        <w:t xml:space="preserve"> </w:t>
      </w:r>
      <w:r>
        <w:t>stability. Where re</w:t>
      </w:r>
      <w:r>
        <w:t>levant, the Commission urges DEEC to update the Residential and Placement regulations to include protection against discrimination based on gender identity and to include youth voice in decision-making around room assignments and programming. These updates</w:t>
      </w:r>
      <w:r>
        <w:t xml:space="preserve"> would ensure that licensees</w:t>
      </w:r>
      <w:r>
        <w:rPr>
          <w:spacing w:val="-1"/>
        </w:rPr>
        <w:t xml:space="preserve"> </w:t>
      </w:r>
      <w:r>
        <w:t>make</w:t>
      </w:r>
      <w:r>
        <w:rPr>
          <w:spacing w:val="-4"/>
        </w:rPr>
        <w:t xml:space="preserve"> </w:t>
      </w:r>
      <w:r>
        <w:t>housing</w:t>
      </w:r>
      <w:r>
        <w:rPr>
          <w:spacing w:val="-4"/>
        </w:rPr>
        <w:t xml:space="preserve"> </w:t>
      </w:r>
      <w:r>
        <w:t>and</w:t>
      </w:r>
      <w:r>
        <w:rPr>
          <w:spacing w:val="-4"/>
        </w:rPr>
        <w:t xml:space="preserve"> </w:t>
      </w:r>
      <w:r>
        <w:t>placement</w:t>
      </w:r>
      <w:r>
        <w:rPr>
          <w:spacing w:val="-5"/>
        </w:rPr>
        <w:t xml:space="preserve"> </w:t>
      </w:r>
      <w:r>
        <w:t>decisions</w:t>
      </w:r>
      <w:r>
        <w:rPr>
          <w:spacing w:val="-3"/>
        </w:rPr>
        <w:t xml:space="preserve"> </w:t>
      </w:r>
      <w:r>
        <w:t>for</w:t>
      </w:r>
      <w:r>
        <w:rPr>
          <w:spacing w:val="-4"/>
        </w:rPr>
        <w:t xml:space="preserve"> </w:t>
      </w:r>
      <w:r>
        <w:t>transgender</w:t>
      </w:r>
      <w:r>
        <w:rPr>
          <w:spacing w:val="-3"/>
        </w:rPr>
        <w:t xml:space="preserve"> </w:t>
      </w:r>
      <w:r>
        <w:t>youth</w:t>
      </w:r>
      <w:r>
        <w:rPr>
          <w:spacing w:val="-4"/>
        </w:rPr>
        <w:t xml:space="preserve"> </w:t>
      </w:r>
      <w:r>
        <w:t>in</w:t>
      </w:r>
      <w:r>
        <w:rPr>
          <w:spacing w:val="-4"/>
        </w:rPr>
        <w:t xml:space="preserve"> </w:t>
      </w:r>
      <w:r>
        <w:t>residential</w:t>
      </w:r>
      <w:r>
        <w:rPr>
          <w:spacing w:val="-2"/>
        </w:rPr>
        <w:t xml:space="preserve"> </w:t>
      </w:r>
      <w:r>
        <w:t>programs</w:t>
      </w:r>
      <w:r>
        <w:rPr>
          <w:spacing w:val="-3"/>
        </w:rPr>
        <w:t xml:space="preserve"> </w:t>
      </w:r>
      <w:r>
        <w:t xml:space="preserve">based on their gender identities, consistent with best practices and the preferences of the young person. When any young person expresses safety-based concerns, DEEC should support licensed programs in making individualized housing and placement decisions </w:t>
      </w:r>
      <w:r>
        <w:t>for the young person.</w:t>
      </w:r>
    </w:p>
    <w:p w:rsidR="00C76E6D" w:rsidRDefault="00C76E6D">
      <w:pPr>
        <w:pStyle w:val="BodyText"/>
        <w:spacing w:before="3"/>
        <w:rPr>
          <w:sz w:val="25"/>
        </w:rPr>
      </w:pPr>
    </w:p>
    <w:p w:rsidR="00C76E6D" w:rsidRDefault="00913831">
      <w:pPr>
        <w:pStyle w:val="BodyText"/>
        <w:ind w:left="766"/>
        <w:jc w:val="both"/>
      </w:pPr>
      <w:r>
        <w:rPr>
          <w:spacing w:val="-2"/>
        </w:rPr>
        <w:t>Specifically,</w:t>
      </w:r>
      <w:r>
        <w:rPr>
          <w:spacing w:val="-7"/>
        </w:rPr>
        <w:t xml:space="preserve"> </w:t>
      </w:r>
      <w:r>
        <w:rPr>
          <w:spacing w:val="-2"/>
        </w:rPr>
        <w:t>the</w:t>
      </w:r>
      <w:r>
        <w:rPr>
          <w:spacing w:val="-8"/>
        </w:rPr>
        <w:t xml:space="preserve"> </w:t>
      </w:r>
      <w:r>
        <w:rPr>
          <w:spacing w:val="-2"/>
        </w:rPr>
        <w:t>Commission</w:t>
      </w:r>
      <w:r>
        <w:rPr>
          <w:spacing w:val="-7"/>
        </w:rPr>
        <w:t xml:space="preserve"> </w:t>
      </w:r>
      <w:r>
        <w:rPr>
          <w:spacing w:val="-2"/>
        </w:rPr>
        <w:t>recommends</w:t>
      </w:r>
      <w:r>
        <w:rPr>
          <w:spacing w:val="-7"/>
        </w:rPr>
        <w:t xml:space="preserve"> </w:t>
      </w:r>
      <w:r>
        <w:rPr>
          <w:spacing w:val="-2"/>
        </w:rPr>
        <w:t>that:</w:t>
      </w:r>
    </w:p>
    <w:p w:rsidR="00C76E6D" w:rsidRDefault="00C76E6D">
      <w:pPr>
        <w:pStyle w:val="BodyText"/>
        <w:spacing w:before="6"/>
        <w:rPr>
          <w:sz w:val="28"/>
        </w:rPr>
      </w:pPr>
    </w:p>
    <w:p w:rsidR="00C76E6D" w:rsidRDefault="00913831">
      <w:pPr>
        <w:pStyle w:val="ListParagraph"/>
        <w:numPr>
          <w:ilvl w:val="1"/>
          <w:numId w:val="21"/>
        </w:numPr>
        <w:tabs>
          <w:tab w:val="left" w:pos="1035"/>
        </w:tabs>
        <w:spacing w:line="276" w:lineRule="auto"/>
        <w:ind w:right="577" w:hanging="1"/>
        <w:jc w:val="left"/>
      </w:pPr>
      <w:r>
        <w:t>DEEC</w:t>
      </w:r>
      <w:r>
        <w:rPr>
          <w:spacing w:val="40"/>
        </w:rPr>
        <w:t xml:space="preserve"> </w:t>
      </w:r>
      <w:r>
        <w:t>updates</w:t>
      </w:r>
      <w:r>
        <w:rPr>
          <w:spacing w:val="40"/>
        </w:rPr>
        <w:t xml:space="preserve"> </w:t>
      </w:r>
      <w:r>
        <w:t>the</w:t>
      </w:r>
      <w:r>
        <w:rPr>
          <w:spacing w:val="40"/>
        </w:rPr>
        <w:t xml:space="preserve"> </w:t>
      </w:r>
      <w:r>
        <w:t>Residential</w:t>
      </w:r>
      <w:r>
        <w:rPr>
          <w:spacing w:val="40"/>
        </w:rPr>
        <w:t xml:space="preserve"> </w:t>
      </w:r>
      <w:r>
        <w:t>and</w:t>
      </w:r>
      <w:r>
        <w:rPr>
          <w:spacing w:val="40"/>
        </w:rPr>
        <w:t xml:space="preserve"> </w:t>
      </w:r>
      <w:r>
        <w:t>Placement</w:t>
      </w:r>
      <w:r>
        <w:rPr>
          <w:spacing w:val="40"/>
        </w:rPr>
        <w:t xml:space="preserve"> </w:t>
      </w:r>
      <w:r>
        <w:t>regulation</w:t>
      </w:r>
      <w:r>
        <w:rPr>
          <w:spacing w:val="40"/>
        </w:rPr>
        <w:t xml:space="preserve"> </w:t>
      </w:r>
      <w:r>
        <w:t>3.04</w:t>
      </w:r>
      <w:r>
        <w:rPr>
          <w:spacing w:val="40"/>
        </w:rPr>
        <w:t xml:space="preserve"> </w:t>
      </w:r>
      <w:r>
        <w:t>(03)(l)</w:t>
      </w:r>
      <w:r>
        <w:rPr>
          <w:spacing w:val="40"/>
        </w:rPr>
        <w:t xml:space="preserve"> </w:t>
      </w:r>
      <w:r>
        <w:t>to</w:t>
      </w:r>
      <w:r>
        <w:rPr>
          <w:spacing w:val="40"/>
        </w:rPr>
        <w:t xml:space="preserve"> </w:t>
      </w:r>
      <w:r>
        <w:t>include</w:t>
      </w:r>
      <w:r>
        <w:rPr>
          <w:spacing w:val="40"/>
        </w:rPr>
        <w:t xml:space="preserve"> </w:t>
      </w:r>
      <w:r>
        <w:t>discrimination protections for gender identity:</w:t>
      </w:r>
    </w:p>
    <w:p w:rsidR="00C76E6D" w:rsidRDefault="00C76E6D">
      <w:pPr>
        <w:pStyle w:val="BodyText"/>
        <w:spacing w:before="5"/>
        <w:rPr>
          <w:sz w:val="25"/>
        </w:rPr>
      </w:pPr>
    </w:p>
    <w:p w:rsidR="00C76E6D" w:rsidRDefault="00913831">
      <w:pPr>
        <w:pStyle w:val="BodyText"/>
        <w:spacing w:line="276" w:lineRule="auto"/>
        <w:ind w:left="912" w:right="902" w:hanging="1"/>
        <w:jc w:val="both"/>
      </w:pPr>
      <w:r>
        <w:t>“(l)</w:t>
      </w:r>
      <w:r>
        <w:rPr>
          <w:spacing w:val="-2"/>
        </w:rPr>
        <w:t xml:space="preserve"> </w:t>
      </w:r>
      <w:r>
        <w:t>The</w:t>
      </w:r>
      <w:r>
        <w:rPr>
          <w:spacing w:val="-2"/>
        </w:rPr>
        <w:t xml:space="preserve"> </w:t>
      </w:r>
      <w:r>
        <w:t>licensee</w:t>
      </w:r>
      <w:r>
        <w:rPr>
          <w:spacing w:val="-2"/>
        </w:rPr>
        <w:t xml:space="preserve"> </w:t>
      </w:r>
      <w:r>
        <w:t>may</w:t>
      </w:r>
      <w:r>
        <w:rPr>
          <w:spacing w:val="-2"/>
        </w:rPr>
        <w:t xml:space="preserve"> </w:t>
      </w:r>
      <w:r>
        <w:t>not</w:t>
      </w:r>
      <w:r>
        <w:rPr>
          <w:spacing w:val="-2"/>
        </w:rPr>
        <w:t xml:space="preserve"> </w:t>
      </w:r>
      <w:r>
        <w:t>discriminate</w:t>
      </w:r>
      <w:r>
        <w:rPr>
          <w:spacing w:val="-2"/>
        </w:rPr>
        <w:t xml:space="preserve"> </w:t>
      </w:r>
      <w:r>
        <w:t>in</w:t>
      </w:r>
      <w:r>
        <w:rPr>
          <w:spacing w:val="-1"/>
        </w:rPr>
        <w:t xml:space="preserve"> </w:t>
      </w:r>
      <w:r>
        <w:t>providing</w:t>
      </w:r>
      <w:r>
        <w:rPr>
          <w:spacing w:val="-3"/>
        </w:rPr>
        <w:t xml:space="preserve"> </w:t>
      </w:r>
      <w:r>
        <w:t>services</w:t>
      </w:r>
      <w:r>
        <w:rPr>
          <w:spacing w:val="-3"/>
        </w:rPr>
        <w:t xml:space="preserve"> </w:t>
      </w:r>
      <w:r>
        <w:t>to</w:t>
      </w:r>
      <w:r>
        <w:rPr>
          <w:spacing w:val="-1"/>
        </w:rPr>
        <w:t xml:space="preserve"> </w:t>
      </w:r>
      <w:r>
        <w:t>children</w:t>
      </w:r>
      <w:r>
        <w:rPr>
          <w:spacing w:val="-3"/>
        </w:rPr>
        <w:t xml:space="preserve"> </w:t>
      </w:r>
      <w:r>
        <w:t>and</w:t>
      </w:r>
      <w:r>
        <w:rPr>
          <w:spacing w:val="-2"/>
        </w:rPr>
        <w:t xml:space="preserve"> </w:t>
      </w:r>
      <w:r>
        <w:t>their</w:t>
      </w:r>
      <w:r>
        <w:rPr>
          <w:spacing w:val="-1"/>
        </w:rPr>
        <w:t xml:space="preserve"> </w:t>
      </w:r>
      <w:r>
        <w:t>families</w:t>
      </w:r>
      <w:r>
        <w:rPr>
          <w:spacing w:val="-2"/>
        </w:rPr>
        <w:t xml:space="preserve"> </w:t>
      </w:r>
      <w:r>
        <w:t>on</w:t>
      </w:r>
      <w:r>
        <w:rPr>
          <w:spacing w:val="-2"/>
        </w:rPr>
        <w:t xml:space="preserve"> </w:t>
      </w:r>
      <w:r>
        <w:t>the basis</w:t>
      </w:r>
      <w:r>
        <w:rPr>
          <w:spacing w:val="-13"/>
        </w:rPr>
        <w:t xml:space="preserve"> </w:t>
      </w:r>
      <w:r>
        <w:t>of</w:t>
      </w:r>
      <w:r>
        <w:rPr>
          <w:spacing w:val="-12"/>
        </w:rPr>
        <w:t xml:space="preserve"> </w:t>
      </w:r>
      <w:r>
        <w:t>race,</w:t>
      </w:r>
      <w:r>
        <w:rPr>
          <w:spacing w:val="-13"/>
        </w:rPr>
        <w:t xml:space="preserve"> </w:t>
      </w:r>
      <w:r>
        <w:t>religion,</w:t>
      </w:r>
      <w:r>
        <w:rPr>
          <w:spacing w:val="-12"/>
        </w:rPr>
        <w:t xml:space="preserve"> </w:t>
      </w:r>
      <w:r>
        <w:t>ethnic</w:t>
      </w:r>
      <w:r>
        <w:rPr>
          <w:spacing w:val="-13"/>
        </w:rPr>
        <w:t xml:space="preserve"> </w:t>
      </w:r>
      <w:r>
        <w:t>background,</w:t>
      </w:r>
      <w:r>
        <w:rPr>
          <w:spacing w:val="-12"/>
        </w:rPr>
        <w:t xml:space="preserve"> </w:t>
      </w:r>
      <w:r>
        <w:t>cultural</w:t>
      </w:r>
      <w:r>
        <w:rPr>
          <w:spacing w:val="-13"/>
        </w:rPr>
        <w:t xml:space="preserve"> </w:t>
      </w:r>
      <w:r>
        <w:t>heritage,</w:t>
      </w:r>
      <w:r>
        <w:rPr>
          <w:spacing w:val="-12"/>
        </w:rPr>
        <w:t xml:space="preserve"> </w:t>
      </w:r>
      <w:r>
        <w:t>national</w:t>
      </w:r>
      <w:r>
        <w:rPr>
          <w:spacing w:val="-12"/>
        </w:rPr>
        <w:t xml:space="preserve"> </w:t>
      </w:r>
      <w:r>
        <w:t>origin,</w:t>
      </w:r>
      <w:r>
        <w:rPr>
          <w:spacing w:val="-13"/>
        </w:rPr>
        <w:t xml:space="preserve"> </w:t>
      </w:r>
      <w:r>
        <w:t>marital</w:t>
      </w:r>
      <w:r>
        <w:rPr>
          <w:spacing w:val="-12"/>
        </w:rPr>
        <w:t xml:space="preserve"> </w:t>
      </w:r>
      <w:r>
        <w:t>status,</w:t>
      </w:r>
      <w:r>
        <w:rPr>
          <w:spacing w:val="-13"/>
        </w:rPr>
        <w:t xml:space="preserve"> </w:t>
      </w:r>
      <w:r>
        <w:t>sexual orientation,</w:t>
      </w:r>
      <w:r>
        <w:rPr>
          <w:spacing w:val="-7"/>
        </w:rPr>
        <w:t xml:space="preserve"> </w:t>
      </w:r>
      <w:r>
        <w:t>gender</w:t>
      </w:r>
      <w:r>
        <w:rPr>
          <w:spacing w:val="-7"/>
        </w:rPr>
        <w:t xml:space="preserve"> </w:t>
      </w:r>
      <w:r>
        <w:t>identity,</w:t>
      </w:r>
      <w:r>
        <w:rPr>
          <w:spacing w:val="-8"/>
        </w:rPr>
        <w:t xml:space="preserve"> </w:t>
      </w:r>
      <w:r>
        <w:t>or</w:t>
      </w:r>
      <w:r>
        <w:rPr>
          <w:spacing w:val="-9"/>
        </w:rPr>
        <w:t xml:space="preserve"> </w:t>
      </w:r>
      <w:r>
        <w:t>disability,</w:t>
      </w:r>
      <w:r>
        <w:rPr>
          <w:spacing w:val="-8"/>
        </w:rPr>
        <w:t xml:space="preserve"> </w:t>
      </w:r>
      <w:r>
        <w:t>or</w:t>
      </w:r>
      <w:r>
        <w:rPr>
          <w:spacing w:val="-9"/>
        </w:rPr>
        <w:t xml:space="preserve"> </w:t>
      </w:r>
      <w:r>
        <w:t>in</w:t>
      </w:r>
      <w:r>
        <w:rPr>
          <w:spacing w:val="-8"/>
        </w:rPr>
        <w:t xml:space="preserve"> </w:t>
      </w:r>
      <w:r>
        <w:t>approving</w:t>
      </w:r>
      <w:r>
        <w:rPr>
          <w:spacing w:val="-9"/>
        </w:rPr>
        <w:t xml:space="preserve"> </w:t>
      </w:r>
      <w:r>
        <w:t>shelter</w:t>
      </w:r>
      <w:r>
        <w:rPr>
          <w:spacing w:val="-6"/>
        </w:rPr>
        <w:t xml:space="preserve"> </w:t>
      </w:r>
      <w:r>
        <w:t>home</w:t>
      </w:r>
      <w:r>
        <w:rPr>
          <w:spacing w:val="-9"/>
        </w:rPr>
        <w:t xml:space="preserve"> </w:t>
      </w:r>
      <w:r>
        <w:t>parent</w:t>
      </w:r>
      <w:r>
        <w:rPr>
          <w:spacing w:val="-8"/>
        </w:rPr>
        <w:t xml:space="preserve"> </w:t>
      </w:r>
      <w:r>
        <w:t>applicants</w:t>
      </w:r>
      <w:r>
        <w:rPr>
          <w:spacing w:val="-8"/>
        </w:rPr>
        <w:t xml:space="preserve"> </w:t>
      </w:r>
      <w:r>
        <w:t>on</w:t>
      </w:r>
      <w:r>
        <w:rPr>
          <w:spacing w:val="-7"/>
        </w:rPr>
        <w:t xml:space="preserve"> </w:t>
      </w:r>
      <w:r>
        <w:t>the basis of age, sex, race, religion, ethnic background, cultural heritage, national origin, marital status, sexual orientation, gender identity or disability.”</w:t>
      </w:r>
    </w:p>
    <w:p w:rsidR="00C76E6D" w:rsidRDefault="00C76E6D">
      <w:pPr>
        <w:pStyle w:val="BodyText"/>
        <w:spacing w:before="2"/>
        <w:rPr>
          <w:sz w:val="25"/>
        </w:rPr>
      </w:pPr>
    </w:p>
    <w:p w:rsidR="00C76E6D" w:rsidRDefault="00913831">
      <w:pPr>
        <w:pStyle w:val="ListParagraph"/>
        <w:numPr>
          <w:ilvl w:val="1"/>
          <w:numId w:val="21"/>
        </w:numPr>
        <w:tabs>
          <w:tab w:val="left" w:pos="1024"/>
        </w:tabs>
        <w:spacing w:line="276" w:lineRule="auto"/>
        <w:ind w:left="768" w:right="524" w:hanging="1"/>
        <w:jc w:val="left"/>
      </w:pPr>
      <w:r>
        <w:t>DEEC</w:t>
      </w:r>
      <w:r>
        <w:rPr>
          <w:spacing w:val="40"/>
        </w:rPr>
        <w:t xml:space="preserve"> </w:t>
      </w:r>
      <w:r>
        <w:t>updates</w:t>
      </w:r>
      <w:r>
        <w:rPr>
          <w:spacing w:val="40"/>
        </w:rPr>
        <w:t xml:space="preserve"> </w:t>
      </w:r>
      <w:r>
        <w:t>Residential</w:t>
      </w:r>
      <w:r>
        <w:rPr>
          <w:spacing w:val="40"/>
        </w:rPr>
        <w:t xml:space="preserve"> </w:t>
      </w:r>
      <w:r>
        <w:t>and</w:t>
      </w:r>
      <w:r>
        <w:rPr>
          <w:spacing w:val="40"/>
        </w:rPr>
        <w:t xml:space="preserve"> </w:t>
      </w:r>
      <w:r>
        <w:t>Placement</w:t>
      </w:r>
      <w:r>
        <w:rPr>
          <w:spacing w:val="40"/>
        </w:rPr>
        <w:t xml:space="preserve"> </w:t>
      </w:r>
      <w:r>
        <w:t>regulation</w:t>
      </w:r>
      <w:r>
        <w:rPr>
          <w:spacing w:val="40"/>
        </w:rPr>
        <w:t xml:space="preserve"> </w:t>
      </w:r>
      <w:r>
        <w:t>3.07(3)</w:t>
      </w:r>
      <w:r>
        <w:rPr>
          <w:spacing w:val="40"/>
        </w:rPr>
        <w:t xml:space="preserve"> </w:t>
      </w:r>
      <w:r>
        <w:t>to</w:t>
      </w:r>
      <w:r>
        <w:rPr>
          <w:spacing w:val="40"/>
        </w:rPr>
        <w:t xml:space="preserve"> </w:t>
      </w:r>
      <w:r>
        <w:t>include</w:t>
      </w:r>
      <w:r>
        <w:rPr>
          <w:spacing w:val="40"/>
        </w:rPr>
        <w:t xml:space="preserve"> </w:t>
      </w:r>
      <w:r>
        <w:t>youth</w:t>
      </w:r>
      <w:r>
        <w:rPr>
          <w:spacing w:val="40"/>
        </w:rPr>
        <w:t xml:space="preserve"> </w:t>
      </w:r>
      <w:r>
        <w:t>voice</w:t>
      </w:r>
      <w:r>
        <w:rPr>
          <w:spacing w:val="40"/>
        </w:rPr>
        <w:t xml:space="preserve"> </w:t>
      </w:r>
      <w:r>
        <w:t>in</w:t>
      </w:r>
      <w:r>
        <w:rPr>
          <w:spacing w:val="40"/>
        </w:rPr>
        <w:t xml:space="preserve"> </w:t>
      </w:r>
      <w:r>
        <w:t xml:space="preserve">decision </w:t>
      </w:r>
      <w:r>
        <w:t>making around room assignment and programming:</w:t>
      </w:r>
    </w:p>
    <w:p w:rsidR="00C76E6D" w:rsidRDefault="00C76E6D">
      <w:pPr>
        <w:pStyle w:val="BodyText"/>
        <w:spacing w:before="4"/>
        <w:rPr>
          <w:sz w:val="25"/>
        </w:rPr>
      </w:pPr>
    </w:p>
    <w:p w:rsidR="00C76E6D" w:rsidRDefault="00913831">
      <w:pPr>
        <w:pStyle w:val="BodyText"/>
        <w:spacing w:line="276" w:lineRule="auto"/>
        <w:ind w:left="911" w:right="908"/>
        <w:jc w:val="both"/>
      </w:pPr>
      <w:r>
        <w:t>“(a) The licensee shall assure that all room assignments are appropriate, taking into consideration the ages and needs of residents by collaborating with youth, the clinical team, guardian and referral source</w:t>
      </w:r>
      <w:r>
        <w:t>.</w:t>
      </w:r>
    </w:p>
    <w:p w:rsidR="00C76E6D" w:rsidRDefault="00C76E6D">
      <w:pPr>
        <w:pStyle w:val="BodyText"/>
        <w:spacing w:before="3"/>
        <w:rPr>
          <w:sz w:val="25"/>
        </w:rPr>
      </w:pPr>
    </w:p>
    <w:p w:rsidR="00C76E6D" w:rsidRDefault="00913831">
      <w:pPr>
        <w:pStyle w:val="BodyText"/>
        <w:spacing w:line="276" w:lineRule="auto"/>
        <w:ind w:left="912" w:right="530" w:hanging="1"/>
      </w:pPr>
      <w:r>
        <w:t>(b)</w:t>
      </w:r>
      <w:r>
        <w:rPr>
          <w:spacing w:val="29"/>
        </w:rPr>
        <w:t xml:space="preserve"> </w:t>
      </w:r>
      <w:r>
        <w:t>The</w:t>
      </w:r>
      <w:r>
        <w:rPr>
          <w:spacing w:val="29"/>
        </w:rPr>
        <w:t xml:space="preserve"> </w:t>
      </w:r>
      <w:r>
        <w:t>licensee</w:t>
      </w:r>
      <w:r>
        <w:rPr>
          <w:spacing w:val="28"/>
        </w:rPr>
        <w:t xml:space="preserve"> </w:t>
      </w:r>
      <w:r>
        <w:t>shall</w:t>
      </w:r>
      <w:r>
        <w:rPr>
          <w:spacing w:val="27"/>
        </w:rPr>
        <w:t xml:space="preserve"> </w:t>
      </w:r>
      <w:r>
        <w:t>assure</w:t>
      </w:r>
      <w:r>
        <w:rPr>
          <w:spacing w:val="27"/>
        </w:rPr>
        <w:t xml:space="preserve"> </w:t>
      </w:r>
      <w:r>
        <w:t>that</w:t>
      </w:r>
      <w:r>
        <w:rPr>
          <w:spacing w:val="27"/>
        </w:rPr>
        <w:t xml:space="preserve"> </w:t>
      </w:r>
      <w:r>
        <w:t>appropriate</w:t>
      </w:r>
      <w:r>
        <w:rPr>
          <w:spacing w:val="27"/>
        </w:rPr>
        <w:t xml:space="preserve"> </w:t>
      </w:r>
      <w:r>
        <w:t>programming</w:t>
      </w:r>
      <w:r>
        <w:rPr>
          <w:spacing w:val="28"/>
        </w:rPr>
        <w:t xml:space="preserve"> </w:t>
      </w:r>
      <w:r>
        <w:t>is</w:t>
      </w:r>
      <w:r>
        <w:rPr>
          <w:spacing w:val="29"/>
        </w:rPr>
        <w:t xml:space="preserve"> </w:t>
      </w:r>
      <w:r>
        <w:t>provided</w:t>
      </w:r>
      <w:r>
        <w:rPr>
          <w:spacing w:val="27"/>
        </w:rPr>
        <w:t xml:space="preserve"> </w:t>
      </w:r>
      <w:r>
        <w:t>for</w:t>
      </w:r>
      <w:r>
        <w:rPr>
          <w:spacing w:val="28"/>
        </w:rPr>
        <w:t xml:space="preserve"> </w:t>
      </w:r>
      <w:r>
        <w:t>each</w:t>
      </w:r>
      <w:r>
        <w:rPr>
          <w:spacing w:val="27"/>
        </w:rPr>
        <w:t xml:space="preserve"> </w:t>
      </w:r>
      <w:r>
        <w:t>age</w:t>
      </w:r>
      <w:r>
        <w:rPr>
          <w:spacing w:val="30"/>
        </w:rPr>
        <w:t xml:space="preserve"> </w:t>
      </w:r>
      <w:r>
        <w:t>group served by collaborating with youth, clinical team, guardian, and referral source.”</w:t>
      </w:r>
    </w:p>
    <w:p w:rsidR="00C76E6D" w:rsidRDefault="00C76E6D">
      <w:pPr>
        <w:pStyle w:val="BodyText"/>
        <w:spacing w:before="5"/>
        <w:rPr>
          <w:sz w:val="25"/>
        </w:rPr>
      </w:pPr>
    </w:p>
    <w:p w:rsidR="00C76E6D" w:rsidRDefault="00913831">
      <w:pPr>
        <w:pStyle w:val="Heading6"/>
        <w:numPr>
          <w:ilvl w:val="1"/>
          <w:numId w:val="21"/>
        </w:numPr>
        <w:tabs>
          <w:tab w:val="left" w:pos="716"/>
        </w:tabs>
        <w:spacing w:line="276" w:lineRule="auto"/>
        <w:ind w:left="480" w:right="623" w:firstLine="0"/>
        <w:jc w:val="left"/>
      </w:pPr>
      <w:bookmarkStart w:id="733" w:name="3._Share_information_about_LGBTQ-affirmi"/>
      <w:bookmarkEnd w:id="733"/>
      <w:r>
        <w:t>Share</w:t>
      </w:r>
      <w:r>
        <w:rPr>
          <w:spacing w:val="-5"/>
        </w:rPr>
        <w:t xml:space="preserve"> </w:t>
      </w:r>
      <w:r>
        <w:t>information</w:t>
      </w:r>
      <w:r>
        <w:rPr>
          <w:spacing w:val="-4"/>
        </w:rPr>
        <w:t xml:space="preserve"> </w:t>
      </w:r>
      <w:r>
        <w:t>about</w:t>
      </w:r>
      <w:r>
        <w:rPr>
          <w:spacing w:val="-4"/>
        </w:rPr>
        <w:t xml:space="preserve"> </w:t>
      </w:r>
      <w:r>
        <w:t>LGBTQ-affirming</w:t>
      </w:r>
      <w:r>
        <w:rPr>
          <w:spacing w:val="-5"/>
        </w:rPr>
        <w:t xml:space="preserve"> </w:t>
      </w:r>
      <w:r>
        <w:t>residential</w:t>
      </w:r>
      <w:r>
        <w:rPr>
          <w:spacing w:val="-5"/>
        </w:rPr>
        <w:t xml:space="preserve"> </w:t>
      </w:r>
      <w:r>
        <w:t>placements</w:t>
      </w:r>
      <w:r>
        <w:rPr>
          <w:spacing w:val="-4"/>
        </w:rPr>
        <w:t xml:space="preserve"> </w:t>
      </w:r>
      <w:r>
        <w:t>with</w:t>
      </w:r>
      <w:r>
        <w:rPr>
          <w:spacing w:val="-4"/>
        </w:rPr>
        <w:t xml:space="preserve"> </w:t>
      </w:r>
      <w:r>
        <w:t>the</w:t>
      </w:r>
      <w:r>
        <w:rPr>
          <w:spacing w:val="-4"/>
        </w:rPr>
        <w:t xml:space="preserve"> </w:t>
      </w:r>
      <w:r>
        <w:t>Department</w:t>
      </w:r>
      <w:r>
        <w:rPr>
          <w:spacing w:val="-4"/>
        </w:rPr>
        <w:t xml:space="preserve"> </w:t>
      </w:r>
      <w:r>
        <w:t>of</w:t>
      </w:r>
      <w:r>
        <w:rPr>
          <w:spacing w:val="-5"/>
        </w:rPr>
        <w:t xml:space="preserve"> </w:t>
      </w:r>
      <w:r>
        <w:t>Children and Families (DCF).</w:t>
      </w:r>
    </w:p>
    <w:p w:rsidR="00C76E6D" w:rsidRDefault="00C76E6D">
      <w:pPr>
        <w:pStyle w:val="BodyText"/>
        <w:spacing w:before="2"/>
        <w:rPr>
          <w:b/>
          <w:sz w:val="25"/>
        </w:rPr>
      </w:pPr>
    </w:p>
    <w:p w:rsidR="00C76E6D" w:rsidRDefault="00913831">
      <w:pPr>
        <w:pStyle w:val="BodyText"/>
        <w:spacing w:line="276" w:lineRule="auto"/>
        <w:ind w:left="767" w:right="474"/>
        <w:jc w:val="both"/>
      </w:pPr>
      <w:r>
        <w:t>DEEC works closely with DCF on child welfare matters, and the Commission has long urged DCF to be more</w:t>
      </w:r>
      <w:r>
        <w:rPr>
          <w:spacing w:val="-7"/>
        </w:rPr>
        <w:t xml:space="preserve"> </w:t>
      </w:r>
      <w:r>
        <w:t>proactive</w:t>
      </w:r>
      <w:r>
        <w:rPr>
          <w:spacing w:val="-7"/>
        </w:rPr>
        <w:t xml:space="preserve"> </w:t>
      </w:r>
      <w:r>
        <w:t>in</w:t>
      </w:r>
      <w:r>
        <w:rPr>
          <w:spacing w:val="-7"/>
        </w:rPr>
        <w:t xml:space="preserve"> </w:t>
      </w:r>
      <w:r>
        <w:t>identifying</w:t>
      </w:r>
      <w:r>
        <w:rPr>
          <w:spacing w:val="-7"/>
        </w:rPr>
        <w:t xml:space="preserve"> </w:t>
      </w:r>
      <w:r>
        <w:t>genuinely</w:t>
      </w:r>
      <w:r>
        <w:rPr>
          <w:spacing w:val="-4"/>
        </w:rPr>
        <w:t xml:space="preserve"> </w:t>
      </w:r>
      <w:r>
        <w:t>affirming</w:t>
      </w:r>
      <w:r>
        <w:rPr>
          <w:spacing w:val="-5"/>
        </w:rPr>
        <w:t xml:space="preserve"> </w:t>
      </w:r>
      <w:r>
        <w:t>placements.</w:t>
      </w:r>
      <w:r>
        <w:rPr>
          <w:spacing w:val="-7"/>
        </w:rPr>
        <w:t xml:space="preserve"> </w:t>
      </w:r>
      <w:r>
        <w:t>The</w:t>
      </w:r>
      <w:r>
        <w:rPr>
          <w:spacing w:val="-4"/>
        </w:rPr>
        <w:t xml:space="preserve"> </w:t>
      </w:r>
      <w:r>
        <w:t>Commission</w:t>
      </w:r>
      <w:r>
        <w:rPr>
          <w:spacing w:val="-6"/>
        </w:rPr>
        <w:t xml:space="preserve"> </w:t>
      </w:r>
      <w:r>
        <w:t>urges</w:t>
      </w:r>
      <w:r>
        <w:rPr>
          <w:spacing w:val="-6"/>
        </w:rPr>
        <w:t xml:space="preserve"> </w:t>
      </w:r>
      <w:r>
        <w:t>both</w:t>
      </w:r>
      <w:r>
        <w:rPr>
          <w:spacing w:val="-7"/>
        </w:rPr>
        <w:t xml:space="preserve"> </w:t>
      </w:r>
      <w:r>
        <w:t>agencies</w:t>
      </w:r>
      <w:r>
        <w:rPr>
          <w:spacing w:val="-3"/>
        </w:rPr>
        <w:t xml:space="preserve"> </w:t>
      </w:r>
      <w:r>
        <w:t>to share informat</w:t>
      </w:r>
      <w:r>
        <w:t xml:space="preserve">ion about LGBTQ-affirming placements and recognize LGBTQ youth as a priority </w:t>
      </w:r>
      <w:r>
        <w:rPr>
          <w:spacing w:val="-2"/>
        </w:rPr>
        <w:t>population.</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Heading6"/>
        <w:numPr>
          <w:ilvl w:val="1"/>
          <w:numId w:val="21"/>
        </w:numPr>
        <w:tabs>
          <w:tab w:val="left" w:pos="722"/>
        </w:tabs>
        <w:spacing w:line="276" w:lineRule="auto"/>
        <w:ind w:left="478" w:right="476" w:firstLine="0"/>
        <w:jc w:val="both"/>
      </w:pPr>
      <w:bookmarkStart w:id="734" w:name="4._Continue_to_collaborate_with_the_Depa"/>
      <w:bookmarkEnd w:id="734"/>
      <w:r>
        <w:t>C</w:t>
      </w:r>
      <w:r>
        <w:t>ontinue to collaborate with the Department of Elementary and Secondary Education (DESE) and other state agencies on the Statewide Family Engagement Framework (prenatal through post- secondary) to ensure that LGBTQ content and family diversity are well-repr</w:t>
      </w:r>
      <w:r>
        <w:t>esented.</w:t>
      </w:r>
    </w:p>
    <w:p w:rsidR="00C76E6D" w:rsidRDefault="00C76E6D">
      <w:pPr>
        <w:pStyle w:val="BodyText"/>
        <w:spacing w:before="3"/>
        <w:rPr>
          <w:b/>
          <w:sz w:val="25"/>
        </w:rPr>
      </w:pPr>
    </w:p>
    <w:p w:rsidR="00C76E6D" w:rsidRDefault="00913831">
      <w:pPr>
        <w:pStyle w:val="BodyText"/>
        <w:spacing w:line="276" w:lineRule="auto"/>
        <w:ind w:left="765" w:right="475"/>
        <w:jc w:val="both"/>
      </w:pPr>
      <w:r>
        <w:t>The Commission was happy to learn that DEEC recently held affinity listening groups for different populations</w:t>
      </w:r>
      <w:r>
        <w:rPr>
          <w:spacing w:val="-1"/>
        </w:rPr>
        <w:t xml:space="preserve"> </w:t>
      </w:r>
      <w:r>
        <w:t>conducted</w:t>
      </w:r>
      <w:r>
        <w:rPr>
          <w:spacing w:val="-3"/>
        </w:rPr>
        <w:t xml:space="preserve"> </w:t>
      </w:r>
      <w:r>
        <w:t>by the</w:t>
      </w:r>
      <w:r>
        <w:rPr>
          <w:spacing w:val="-3"/>
        </w:rPr>
        <w:t xml:space="preserve"> </w:t>
      </w:r>
      <w:r>
        <w:t>Safe</w:t>
      </w:r>
      <w:r>
        <w:rPr>
          <w:spacing w:val="-3"/>
        </w:rPr>
        <w:t xml:space="preserve"> </w:t>
      </w:r>
      <w:r>
        <w:t>Schools</w:t>
      </w:r>
      <w:r>
        <w:rPr>
          <w:spacing w:val="-4"/>
        </w:rPr>
        <w:t xml:space="preserve"> </w:t>
      </w:r>
      <w:r>
        <w:t>Program’s</w:t>
      </w:r>
      <w:r>
        <w:rPr>
          <w:spacing w:val="-5"/>
        </w:rPr>
        <w:t xml:space="preserve"> </w:t>
      </w:r>
      <w:r>
        <w:t>Jeff</w:t>
      </w:r>
      <w:r>
        <w:rPr>
          <w:spacing w:val="-3"/>
        </w:rPr>
        <w:t xml:space="preserve"> </w:t>
      </w:r>
      <w:r>
        <w:t>Perrotti.</w:t>
      </w:r>
      <w:r>
        <w:rPr>
          <w:spacing w:val="-2"/>
        </w:rPr>
        <w:t xml:space="preserve"> </w:t>
      </w:r>
      <w:r>
        <w:t>The</w:t>
      </w:r>
      <w:r>
        <w:rPr>
          <w:spacing w:val="-3"/>
        </w:rPr>
        <w:t xml:space="preserve"> </w:t>
      </w:r>
      <w:r>
        <w:t>Commission</w:t>
      </w:r>
      <w:r>
        <w:rPr>
          <w:spacing w:val="-5"/>
        </w:rPr>
        <w:t xml:space="preserve"> </w:t>
      </w:r>
      <w:r>
        <w:t>encourages</w:t>
      </w:r>
      <w:r>
        <w:rPr>
          <w:spacing w:val="-4"/>
        </w:rPr>
        <w:t xml:space="preserve"> </w:t>
      </w:r>
      <w:r>
        <w:t>DEEC to</w:t>
      </w:r>
      <w:r>
        <w:rPr>
          <w:spacing w:val="-5"/>
        </w:rPr>
        <w:t xml:space="preserve"> </w:t>
      </w:r>
      <w:r>
        <w:t>continue</w:t>
      </w:r>
      <w:r>
        <w:rPr>
          <w:spacing w:val="-5"/>
        </w:rPr>
        <w:t xml:space="preserve"> </w:t>
      </w:r>
      <w:r>
        <w:t>its</w:t>
      </w:r>
      <w:r>
        <w:rPr>
          <w:spacing w:val="-5"/>
        </w:rPr>
        <w:t xml:space="preserve"> </w:t>
      </w:r>
      <w:r>
        <w:t>collaboration</w:t>
      </w:r>
      <w:r>
        <w:rPr>
          <w:spacing w:val="-5"/>
        </w:rPr>
        <w:t xml:space="preserve"> </w:t>
      </w:r>
      <w:r>
        <w:t>with</w:t>
      </w:r>
      <w:r>
        <w:rPr>
          <w:spacing w:val="-4"/>
        </w:rPr>
        <w:t xml:space="preserve"> </w:t>
      </w:r>
      <w:r>
        <w:t>DESE</w:t>
      </w:r>
      <w:r>
        <w:rPr>
          <w:spacing w:val="-7"/>
        </w:rPr>
        <w:t xml:space="preserve"> </w:t>
      </w:r>
      <w:r>
        <w:t>and</w:t>
      </w:r>
      <w:r>
        <w:rPr>
          <w:spacing w:val="-5"/>
        </w:rPr>
        <w:t xml:space="preserve"> </w:t>
      </w:r>
      <w:r>
        <w:t>other</w:t>
      </w:r>
      <w:r>
        <w:rPr>
          <w:spacing w:val="-4"/>
        </w:rPr>
        <w:t xml:space="preserve"> </w:t>
      </w:r>
      <w:r>
        <w:t>state</w:t>
      </w:r>
      <w:r>
        <w:rPr>
          <w:spacing w:val="-5"/>
        </w:rPr>
        <w:t xml:space="preserve"> </w:t>
      </w:r>
      <w:r>
        <w:t>agencies</w:t>
      </w:r>
      <w:r>
        <w:rPr>
          <w:spacing w:val="-4"/>
        </w:rPr>
        <w:t xml:space="preserve"> </w:t>
      </w:r>
      <w:r>
        <w:t>on</w:t>
      </w:r>
      <w:r>
        <w:rPr>
          <w:spacing w:val="-4"/>
        </w:rPr>
        <w:t xml:space="preserve"> </w:t>
      </w:r>
      <w:r>
        <w:t>the</w:t>
      </w:r>
      <w:r>
        <w:rPr>
          <w:spacing w:val="-4"/>
        </w:rPr>
        <w:t xml:space="preserve"> </w:t>
      </w:r>
      <w:r>
        <w:t>Statewide</w:t>
      </w:r>
      <w:r>
        <w:rPr>
          <w:spacing w:val="-5"/>
        </w:rPr>
        <w:t xml:space="preserve"> </w:t>
      </w:r>
      <w:r>
        <w:t>Family</w:t>
      </w:r>
      <w:r>
        <w:rPr>
          <w:spacing w:val="-4"/>
        </w:rPr>
        <w:t xml:space="preserve"> </w:t>
      </w:r>
      <w:r>
        <w:t xml:space="preserve">Engagement Framework, </w:t>
      </w:r>
      <w:hyperlink r:id="rId371">
        <w:r>
          <w:rPr>
            <w:i/>
            <w:color w:val="1153CC"/>
            <w:u w:val="single" w:color="1153CC"/>
          </w:rPr>
          <w:t>STRENGTHENING</w:t>
        </w:r>
      </w:hyperlink>
      <w:r>
        <w:rPr>
          <w:i/>
          <w:color w:val="1153CC"/>
        </w:rPr>
        <w:t xml:space="preserve"> </w:t>
      </w:r>
      <w:hyperlink r:id="rId372">
        <w:r>
          <w:rPr>
            <w:i/>
            <w:color w:val="1153CC"/>
            <w:u w:val="single" w:color="1153CC"/>
          </w:rPr>
          <w:t>PARTNERSHIPS A Framew</w:t>
        </w:r>
        <w:r>
          <w:rPr>
            <w:i/>
            <w:color w:val="1153CC"/>
            <w:u w:val="single" w:color="1153CC"/>
          </w:rPr>
          <w:t>ork for Prenatal through Young Adulthood</w:t>
        </w:r>
      </w:hyperlink>
      <w:r>
        <w:rPr>
          <w:i/>
          <w:color w:val="1153CC"/>
        </w:rPr>
        <w:t xml:space="preserve"> </w:t>
      </w:r>
      <w:hyperlink r:id="rId373">
        <w:r>
          <w:rPr>
            <w:i/>
            <w:color w:val="1153CC"/>
            <w:u w:val="single" w:color="1153CC"/>
          </w:rPr>
          <w:t>Family</w:t>
        </w:r>
        <w:r>
          <w:rPr>
            <w:i/>
            <w:color w:val="1153CC"/>
            <w:spacing w:val="-2"/>
            <w:u w:val="single" w:color="1153CC"/>
          </w:rPr>
          <w:t xml:space="preserve"> </w:t>
        </w:r>
        <w:r>
          <w:rPr>
            <w:i/>
            <w:color w:val="1153CC"/>
            <w:u w:val="single" w:color="1153CC"/>
          </w:rPr>
          <w:t>Engagemen</w:t>
        </w:r>
      </w:hyperlink>
      <w:hyperlink r:id="rId374">
        <w:r>
          <w:rPr>
            <w:i/>
            <w:color w:val="1153CC"/>
            <w:u w:val="single" w:color="1153CC"/>
          </w:rPr>
          <w:t>t</w:t>
        </w:r>
        <w:r>
          <w:rPr>
            <w:i/>
            <w:color w:val="1153CC"/>
            <w:spacing w:val="-3"/>
            <w:u w:val="single" w:color="1153CC"/>
          </w:rPr>
          <w:t xml:space="preserve"> </w:t>
        </w:r>
      </w:hyperlink>
      <w:hyperlink r:id="rId375">
        <w:r>
          <w:rPr>
            <w:i/>
            <w:color w:val="1153CC"/>
            <w:u w:val="single" w:color="1153CC"/>
          </w:rPr>
          <w:t>in</w:t>
        </w:r>
        <w:r>
          <w:rPr>
            <w:i/>
            <w:color w:val="1153CC"/>
            <w:spacing w:val="-1"/>
            <w:u w:val="single" w:color="1153CC"/>
          </w:rPr>
          <w:t xml:space="preserve"> </w:t>
        </w:r>
        <w:r>
          <w:rPr>
            <w:i/>
            <w:color w:val="1153CC"/>
            <w:u w:val="single" w:color="1153CC"/>
          </w:rPr>
          <w:t>Massachusetts</w:t>
        </w:r>
        <w:r>
          <w:t>.</w:t>
        </w:r>
        <w:r>
          <w:rPr>
            <w:spacing w:val="-3"/>
          </w:rPr>
          <w:t xml:space="preserve"> </w:t>
        </w:r>
      </w:hyperlink>
      <w:r>
        <w:t>This</w:t>
      </w:r>
      <w:r>
        <w:rPr>
          <w:spacing w:val="-2"/>
        </w:rPr>
        <w:t xml:space="preserve"> </w:t>
      </w:r>
      <w:r>
        <w:t>effort</w:t>
      </w:r>
      <w:r>
        <w:rPr>
          <w:spacing w:val="-5"/>
        </w:rPr>
        <w:t xml:space="preserve"> </w:t>
      </w:r>
      <w:r>
        <w:t>was</w:t>
      </w:r>
      <w:r>
        <w:rPr>
          <w:spacing w:val="-2"/>
        </w:rPr>
        <w:t xml:space="preserve"> </w:t>
      </w:r>
      <w:r>
        <w:t>informed</w:t>
      </w:r>
      <w:r>
        <w:rPr>
          <w:spacing w:val="-3"/>
        </w:rPr>
        <w:t xml:space="preserve"> </w:t>
      </w:r>
      <w:r>
        <w:t>by affinity</w:t>
      </w:r>
      <w:r>
        <w:rPr>
          <w:spacing w:val="-2"/>
        </w:rPr>
        <w:t xml:space="preserve"> </w:t>
      </w:r>
      <w:r>
        <w:t>listening</w:t>
      </w:r>
      <w:r>
        <w:rPr>
          <w:spacing w:val="-3"/>
        </w:rPr>
        <w:t xml:space="preserve"> </w:t>
      </w:r>
      <w:r>
        <w:t>groups</w:t>
      </w:r>
      <w:r>
        <w:rPr>
          <w:spacing w:val="-2"/>
        </w:rPr>
        <w:t xml:space="preserve"> </w:t>
      </w:r>
      <w:r>
        <w:t>for</w:t>
      </w:r>
      <w:r>
        <w:rPr>
          <w:spacing w:val="-4"/>
        </w:rPr>
        <w:t xml:space="preserve"> </w:t>
      </w:r>
      <w:r>
        <w:t>several populations, including a group for LGBTQ+ families conducted by Jeff Perrotti, Senior Consultant for the Safe Schools Program for LGBTQ Students. This report informs the Commission’s work on family acceptance</w:t>
      </w:r>
      <w:r>
        <w:rPr>
          <w:spacing w:val="-9"/>
        </w:rPr>
        <w:t xml:space="preserve"> </w:t>
      </w:r>
      <w:r>
        <w:t>which</w:t>
      </w:r>
      <w:r>
        <w:rPr>
          <w:spacing w:val="-9"/>
        </w:rPr>
        <w:t xml:space="preserve"> </w:t>
      </w:r>
      <w:r>
        <w:t>is</w:t>
      </w:r>
      <w:r>
        <w:rPr>
          <w:spacing w:val="-9"/>
        </w:rPr>
        <w:t xml:space="preserve"> </w:t>
      </w:r>
      <w:r>
        <w:t>important</w:t>
      </w:r>
      <w:r>
        <w:rPr>
          <w:spacing w:val="-11"/>
        </w:rPr>
        <w:t xml:space="preserve"> </w:t>
      </w:r>
      <w:r>
        <w:t>for</w:t>
      </w:r>
      <w:r>
        <w:rPr>
          <w:spacing w:val="-9"/>
        </w:rPr>
        <w:t xml:space="preserve"> </w:t>
      </w:r>
      <w:r>
        <w:t>reducing</w:t>
      </w:r>
      <w:r>
        <w:rPr>
          <w:spacing w:val="-9"/>
        </w:rPr>
        <w:t xml:space="preserve"> </w:t>
      </w:r>
      <w:r>
        <w:t>family</w:t>
      </w:r>
      <w:r>
        <w:rPr>
          <w:spacing w:val="-9"/>
        </w:rPr>
        <w:t xml:space="preserve"> </w:t>
      </w:r>
      <w:r>
        <w:t>rejection</w:t>
      </w:r>
      <w:r>
        <w:rPr>
          <w:spacing w:val="-9"/>
        </w:rPr>
        <w:t xml:space="preserve"> </w:t>
      </w:r>
      <w:r>
        <w:t>of</w:t>
      </w:r>
      <w:r>
        <w:rPr>
          <w:spacing w:val="-9"/>
        </w:rPr>
        <w:t xml:space="preserve"> </w:t>
      </w:r>
      <w:r>
        <w:t>LGBTQ</w:t>
      </w:r>
      <w:r>
        <w:rPr>
          <w:spacing w:val="-10"/>
        </w:rPr>
        <w:t xml:space="preserve"> </w:t>
      </w:r>
      <w:r>
        <w:t>youth.</w:t>
      </w:r>
      <w:r>
        <w:rPr>
          <w:spacing w:val="-9"/>
        </w:rPr>
        <w:t xml:space="preserve"> </w:t>
      </w:r>
      <w:r>
        <w:t>The</w:t>
      </w:r>
      <w:r>
        <w:rPr>
          <w:spacing w:val="-8"/>
        </w:rPr>
        <w:t xml:space="preserve"> </w:t>
      </w:r>
      <w:r>
        <w:t>Office</w:t>
      </w:r>
      <w:r>
        <w:rPr>
          <w:spacing w:val="-9"/>
        </w:rPr>
        <w:t xml:space="preserve"> </w:t>
      </w:r>
      <w:r>
        <w:t>of</w:t>
      </w:r>
      <w:r>
        <w:rPr>
          <w:spacing w:val="-9"/>
        </w:rPr>
        <w:t xml:space="preserve"> </w:t>
      </w:r>
      <w:r>
        <w:t>Student</w:t>
      </w:r>
      <w:r>
        <w:rPr>
          <w:spacing w:val="-10"/>
        </w:rPr>
        <w:t xml:space="preserve"> </w:t>
      </w:r>
      <w:r>
        <w:t xml:space="preserve">and Family Support also hosts a number of additional resources for family engagement </w:t>
      </w:r>
      <w:hyperlink r:id="rId376">
        <w:r>
          <w:rPr>
            <w:color w:val="1153CC"/>
            <w:u w:val="single" w:color="1153CC"/>
          </w:rPr>
          <w:t>on their website.</w:t>
        </w:r>
      </w:hyperlink>
    </w:p>
    <w:p w:rsidR="00C76E6D" w:rsidRDefault="00C76E6D">
      <w:pPr>
        <w:pStyle w:val="BodyText"/>
        <w:spacing w:before="10"/>
        <w:rPr>
          <w:sz w:val="20"/>
        </w:rPr>
      </w:pPr>
    </w:p>
    <w:p w:rsidR="00C76E6D" w:rsidRDefault="00913831">
      <w:pPr>
        <w:pStyle w:val="Heading6"/>
        <w:numPr>
          <w:ilvl w:val="1"/>
          <w:numId w:val="21"/>
        </w:numPr>
        <w:tabs>
          <w:tab w:val="left" w:pos="699"/>
        </w:tabs>
        <w:spacing w:before="55"/>
        <w:ind w:left="698" w:hanging="221"/>
        <w:jc w:val="left"/>
      </w:pPr>
      <w:bookmarkStart w:id="735" w:name="5._Include_a_nonbinary_gender_marker_opt"/>
      <w:bookmarkEnd w:id="735"/>
      <w:r>
        <w:rPr>
          <w:w w:val="95"/>
        </w:rPr>
        <w:t>Include</w:t>
      </w:r>
      <w:r>
        <w:rPr>
          <w:spacing w:val="10"/>
        </w:rPr>
        <w:t xml:space="preserve"> </w:t>
      </w:r>
      <w:r>
        <w:rPr>
          <w:w w:val="95"/>
        </w:rPr>
        <w:t>a</w:t>
      </w:r>
      <w:r>
        <w:rPr>
          <w:spacing w:val="14"/>
        </w:rPr>
        <w:t xml:space="preserve"> </w:t>
      </w:r>
      <w:r>
        <w:rPr>
          <w:w w:val="95"/>
        </w:rPr>
        <w:t>nonbinary</w:t>
      </w:r>
      <w:r>
        <w:rPr>
          <w:spacing w:val="15"/>
        </w:rPr>
        <w:t xml:space="preserve"> </w:t>
      </w:r>
      <w:r>
        <w:rPr>
          <w:w w:val="95"/>
        </w:rPr>
        <w:t>gender</w:t>
      </w:r>
      <w:r>
        <w:rPr>
          <w:spacing w:val="9"/>
        </w:rPr>
        <w:t xml:space="preserve"> </w:t>
      </w:r>
      <w:r>
        <w:rPr>
          <w:w w:val="95"/>
        </w:rPr>
        <w:t>marker</w:t>
      </w:r>
      <w:r>
        <w:rPr>
          <w:spacing w:val="15"/>
        </w:rPr>
        <w:t xml:space="preserve"> </w:t>
      </w:r>
      <w:r>
        <w:rPr>
          <w:w w:val="95"/>
        </w:rPr>
        <w:t>option</w:t>
      </w:r>
      <w:r>
        <w:rPr>
          <w:spacing w:val="14"/>
        </w:rPr>
        <w:t xml:space="preserve"> </w:t>
      </w:r>
      <w:r>
        <w:rPr>
          <w:w w:val="95"/>
        </w:rPr>
        <w:t>during</w:t>
      </w:r>
      <w:r>
        <w:rPr>
          <w:spacing w:val="13"/>
        </w:rPr>
        <w:t xml:space="preserve"> </w:t>
      </w:r>
      <w:r>
        <w:rPr>
          <w:w w:val="95"/>
        </w:rPr>
        <w:t>the</w:t>
      </w:r>
      <w:r>
        <w:rPr>
          <w:spacing w:val="12"/>
        </w:rPr>
        <w:t xml:space="preserve"> </w:t>
      </w:r>
      <w:r>
        <w:rPr>
          <w:w w:val="95"/>
        </w:rPr>
        <w:t>development</w:t>
      </w:r>
      <w:r>
        <w:rPr>
          <w:spacing w:val="12"/>
        </w:rPr>
        <w:t xml:space="preserve"> </w:t>
      </w:r>
      <w:r>
        <w:rPr>
          <w:w w:val="95"/>
        </w:rPr>
        <w:t>of</w:t>
      </w:r>
      <w:r>
        <w:rPr>
          <w:spacing w:val="14"/>
        </w:rPr>
        <w:t xml:space="preserve"> </w:t>
      </w:r>
      <w:r>
        <w:rPr>
          <w:w w:val="95"/>
        </w:rPr>
        <w:t>EEC’s</w:t>
      </w:r>
      <w:r>
        <w:rPr>
          <w:spacing w:val="11"/>
        </w:rPr>
        <w:t xml:space="preserve"> </w:t>
      </w:r>
      <w:r>
        <w:rPr>
          <w:w w:val="95"/>
        </w:rPr>
        <w:t>online</w:t>
      </w:r>
      <w:r>
        <w:rPr>
          <w:spacing w:val="13"/>
        </w:rPr>
        <w:t xml:space="preserve"> </w:t>
      </w:r>
      <w:r>
        <w:rPr>
          <w:spacing w:val="-2"/>
          <w:w w:val="95"/>
        </w:rPr>
        <w:t>applications.</w:t>
      </w:r>
    </w:p>
    <w:p w:rsidR="00C76E6D" w:rsidRDefault="00C76E6D">
      <w:pPr>
        <w:pStyle w:val="BodyText"/>
        <w:spacing w:before="8"/>
        <w:rPr>
          <w:b/>
          <w:sz w:val="28"/>
        </w:rPr>
      </w:pPr>
    </w:p>
    <w:p w:rsidR="00C76E6D" w:rsidRDefault="00913831">
      <w:pPr>
        <w:pStyle w:val="BodyText"/>
        <w:spacing w:line="276" w:lineRule="auto"/>
        <w:ind w:left="767" w:right="474" w:hanging="1"/>
        <w:jc w:val="both"/>
      </w:pPr>
      <w:r>
        <w:t>DEEC,</w:t>
      </w:r>
      <w:r>
        <w:rPr>
          <w:spacing w:val="-8"/>
        </w:rPr>
        <w:t xml:space="preserve"> </w:t>
      </w:r>
      <w:r>
        <w:t>in</w:t>
      </w:r>
      <w:r>
        <w:rPr>
          <w:spacing w:val="-8"/>
        </w:rPr>
        <w:t xml:space="preserve"> </w:t>
      </w:r>
      <w:r>
        <w:t>accordance</w:t>
      </w:r>
      <w:r>
        <w:rPr>
          <w:spacing w:val="-8"/>
        </w:rPr>
        <w:t xml:space="preserve"> </w:t>
      </w:r>
      <w:r>
        <w:t>with</w:t>
      </w:r>
      <w:r>
        <w:rPr>
          <w:spacing w:val="-8"/>
        </w:rPr>
        <w:t xml:space="preserve"> </w:t>
      </w:r>
      <w:r>
        <w:t>previous</w:t>
      </w:r>
      <w:r>
        <w:rPr>
          <w:spacing w:val="-8"/>
        </w:rPr>
        <w:t xml:space="preserve"> </w:t>
      </w:r>
      <w:r>
        <w:t>years’</w:t>
      </w:r>
      <w:r>
        <w:rPr>
          <w:spacing w:val="-9"/>
        </w:rPr>
        <w:t xml:space="preserve"> </w:t>
      </w:r>
      <w:r>
        <w:t>recommendations,</w:t>
      </w:r>
      <w:r>
        <w:rPr>
          <w:spacing w:val="-9"/>
        </w:rPr>
        <w:t xml:space="preserve"> </w:t>
      </w:r>
      <w:r>
        <w:t>created</w:t>
      </w:r>
      <w:r>
        <w:rPr>
          <w:spacing w:val="-8"/>
        </w:rPr>
        <w:t xml:space="preserve"> </w:t>
      </w:r>
      <w:r>
        <w:t>the</w:t>
      </w:r>
      <w:r>
        <w:rPr>
          <w:spacing w:val="-8"/>
        </w:rPr>
        <w:t xml:space="preserve"> </w:t>
      </w:r>
      <w:r>
        <w:t>option</w:t>
      </w:r>
      <w:r>
        <w:rPr>
          <w:spacing w:val="-7"/>
        </w:rPr>
        <w:t xml:space="preserve"> </w:t>
      </w:r>
      <w:r>
        <w:t>of</w:t>
      </w:r>
      <w:r>
        <w:rPr>
          <w:spacing w:val="-9"/>
        </w:rPr>
        <w:t xml:space="preserve"> </w:t>
      </w:r>
      <w:r>
        <w:t>a</w:t>
      </w:r>
      <w:r>
        <w:rPr>
          <w:spacing w:val="-7"/>
        </w:rPr>
        <w:t xml:space="preserve"> </w:t>
      </w:r>
      <w:r>
        <w:t>nonbinary</w:t>
      </w:r>
      <w:r>
        <w:rPr>
          <w:spacing w:val="-9"/>
        </w:rPr>
        <w:t xml:space="preserve"> </w:t>
      </w:r>
      <w:r>
        <w:t>gender marker for its new Professional Qualifications Registry database. This adds DEEC to the growing number</w:t>
      </w:r>
      <w:r>
        <w:rPr>
          <w:spacing w:val="-2"/>
        </w:rPr>
        <w:t xml:space="preserve"> </w:t>
      </w:r>
      <w:r>
        <w:t>of</w:t>
      </w:r>
      <w:r>
        <w:rPr>
          <w:spacing w:val="-1"/>
        </w:rPr>
        <w:t xml:space="preserve"> </w:t>
      </w:r>
      <w:r>
        <w:t>state</w:t>
      </w:r>
      <w:r>
        <w:rPr>
          <w:spacing w:val="-2"/>
        </w:rPr>
        <w:t xml:space="preserve"> </w:t>
      </w:r>
      <w:r>
        <w:t>agencies within and beyond</w:t>
      </w:r>
      <w:r>
        <w:rPr>
          <w:spacing w:val="-1"/>
        </w:rPr>
        <w:t xml:space="preserve"> </w:t>
      </w:r>
      <w:r>
        <w:t>Massachusetts</w:t>
      </w:r>
      <w:r>
        <w:rPr>
          <w:spacing w:val="-1"/>
        </w:rPr>
        <w:t xml:space="preserve"> </w:t>
      </w:r>
      <w:r>
        <w:t>who are</w:t>
      </w:r>
      <w:r>
        <w:rPr>
          <w:spacing w:val="-2"/>
        </w:rPr>
        <w:t xml:space="preserve"> </w:t>
      </w:r>
      <w:r>
        <w:t>providing</w:t>
      </w:r>
      <w:r>
        <w:rPr>
          <w:spacing w:val="-2"/>
        </w:rPr>
        <w:t xml:space="preserve"> </w:t>
      </w:r>
      <w:r>
        <w:t>a third</w:t>
      </w:r>
      <w:r>
        <w:rPr>
          <w:spacing w:val="-2"/>
        </w:rPr>
        <w:t xml:space="preserve"> </w:t>
      </w:r>
      <w:r>
        <w:t>gender</w:t>
      </w:r>
      <w:r>
        <w:rPr>
          <w:spacing w:val="-1"/>
        </w:rPr>
        <w:t xml:space="preserve"> </w:t>
      </w:r>
      <w:r>
        <w:t xml:space="preserve">marker for </w:t>
      </w:r>
      <w:r>
        <w:t>those who do not wish to select binary “male” or “female” labels, including the Department of Elementary and Secondary Education, which has created such an option for public school students. Discussions with staff working on the registry have focused on be</w:t>
      </w:r>
      <w:r>
        <w:t>tter understanding the workforce being served to help with data collection to form a baseline data plan for recruitment retention. The EEC is also exploring opportunities to update its Educator Registry to reflect LGBTQ+ identities.</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913831">
      <w:pPr>
        <w:pStyle w:val="Heading2"/>
        <w:spacing w:before="211"/>
        <w:ind w:left="480"/>
      </w:pPr>
      <w:bookmarkStart w:id="736" w:name="Department_of_Elementary_and_Secondary_E"/>
      <w:bookmarkStart w:id="737" w:name="_bookmark556"/>
      <w:bookmarkEnd w:id="736"/>
      <w:bookmarkEnd w:id="737"/>
      <w:r>
        <w:t>Departme</w:t>
      </w:r>
      <w:r>
        <w:t>nt</w:t>
      </w:r>
      <w:r>
        <w:rPr>
          <w:spacing w:val="-11"/>
        </w:rPr>
        <w:t xml:space="preserve"> </w:t>
      </w:r>
      <w:r>
        <w:t>of</w:t>
      </w:r>
      <w:r>
        <w:rPr>
          <w:spacing w:val="-10"/>
        </w:rPr>
        <w:t xml:space="preserve"> </w:t>
      </w:r>
      <w:r>
        <w:t>Elementary</w:t>
      </w:r>
      <w:r>
        <w:rPr>
          <w:spacing w:val="-9"/>
        </w:rPr>
        <w:t xml:space="preserve"> </w:t>
      </w:r>
      <w:r>
        <w:t>and</w:t>
      </w:r>
      <w:r>
        <w:rPr>
          <w:spacing w:val="-10"/>
        </w:rPr>
        <w:t xml:space="preserve"> </w:t>
      </w:r>
      <w:r>
        <w:t>Secondary</w:t>
      </w:r>
      <w:r>
        <w:rPr>
          <w:spacing w:val="-12"/>
        </w:rPr>
        <w:t xml:space="preserve"> </w:t>
      </w:r>
      <w:r>
        <w:rPr>
          <w:spacing w:val="-2"/>
        </w:rPr>
        <w:t>Education</w:t>
      </w:r>
    </w:p>
    <w:p w:rsidR="00C76E6D" w:rsidRDefault="00913831">
      <w:pPr>
        <w:pStyle w:val="BodyText"/>
        <w:spacing w:before="11"/>
        <w:rPr>
          <w:b/>
          <w:sz w:val="11"/>
        </w:rPr>
      </w:pPr>
      <w:r>
        <w:pict>
          <v:shape id="docshape333" o:spid="_x0000_s1122" style="position:absolute;margin-left:1in;margin-top:8.5pt;width:476.95pt;height:.1pt;z-index:-15666688;mso-wrap-distance-left:0;mso-wrap-distance-right:0;mso-position-horizontal-relative:page" coordorigin="1440,170" coordsize="9539,0" path="m1440,170r9539,e" filled="f" strokeweight="1.54pt">
            <v:path arrowok="t"/>
            <w10:wrap type="topAndBottom" anchorx="page"/>
          </v:shape>
        </w:pict>
      </w:r>
    </w:p>
    <w:p w:rsidR="00C76E6D" w:rsidRDefault="00913831">
      <w:pPr>
        <w:pStyle w:val="Heading5"/>
        <w:spacing w:before="182"/>
        <w:ind w:left="480"/>
      </w:pPr>
      <w:r>
        <w:rPr>
          <w:spacing w:val="-2"/>
        </w:rPr>
        <w:t>FY2023</w:t>
      </w:r>
      <w:r>
        <w:rPr>
          <w:spacing w:val="-4"/>
        </w:rPr>
        <w:t xml:space="preserve"> </w:t>
      </w:r>
      <w:r>
        <w:rPr>
          <w:spacing w:val="-2"/>
        </w:rPr>
        <w:t>Recommendations</w:t>
      </w:r>
    </w:p>
    <w:p w:rsidR="00C76E6D" w:rsidRDefault="00C76E6D">
      <w:pPr>
        <w:pStyle w:val="BodyText"/>
        <w:spacing w:before="11"/>
        <w:rPr>
          <w:b/>
          <w:sz w:val="28"/>
        </w:rPr>
      </w:pPr>
    </w:p>
    <w:p w:rsidR="00C76E6D" w:rsidRDefault="00913831">
      <w:pPr>
        <w:pStyle w:val="ListParagraph"/>
        <w:numPr>
          <w:ilvl w:val="2"/>
          <w:numId w:val="21"/>
        </w:numPr>
        <w:tabs>
          <w:tab w:val="left" w:pos="999"/>
        </w:tabs>
        <w:spacing w:line="276" w:lineRule="auto"/>
        <w:ind w:right="476" w:firstLine="0"/>
        <w:jc w:val="both"/>
      </w:pPr>
      <w:r>
        <w:t>Continue collaboration with the Commission with respect to the Safe Schools Program for LGBTQ Students and programs in special education, early education, adult education, sexual health, afterschool programming, curriculum, homeless assistance, family enga</w:t>
      </w:r>
      <w:r>
        <w:t>gement, student leadership, student discipline, and the Safe and Supportive Schools Commission.</w:t>
      </w:r>
    </w:p>
    <w:p w:rsidR="00C76E6D" w:rsidRDefault="00C76E6D">
      <w:pPr>
        <w:pStyle w:val="BodyText"/>
        <w:spacing w:before="11"/>
        <w:rPr>
          <w:sz w:val="26"/>
        </w:rPr>
      </w:pPr>
    </w:p>
    <w:p w:rsidR="00C76E6D" w:rsidRDefault="00913831">
      <w:pPr>
        <w:pStyle w:val="ListParagraph"/>
        <w:numPr>
          <w:ilvl w:val="2"/>
          <w:numId w:val="21"/>
        </w:numPr>
        <w:tabs>
          <w:tab w:val="left" w:pos="976"/>
        </w:tabs>
        <w:ind w:left="975" w:hanging="211"/>
        <w:jc w:val="both"/>
      </w:pPr>
      <w:r>
        <w:rPr>
          <w:w w:val="95"/>
        </w:rPr>
        <w:t>Explore</w:t>
      </w:r>
      <w:r>
        <w:rPr>
          <w:spacing w:val="7"/>
        </w:rPr>
        <w:t xml:space="preserve"> </w:t>
      </w:r>
      <w:r>
        <w:rPr>
          <w:w w:val="95"/>
        </w:rPr>
        <w:t>ways</w:t>
      </w:r>
      <w:r>
        <w:rPr>
          <w:spacing w:val="9"/>
        </w:rPr>
        <w:t xml:space="preserve"> </w:t>
      </w:r>
      <w:r>
        <w:rPr>
          <w:w w:val="95"/>
        </w:rPr>
        <w:t>to</w:t>
      </w:r>
      <w:r>
        <w:rPr>
          <w:spacing w:val="7"/>
        </w:rPr>
        <w:t xml:space="preserve"> </w:t>
      </w:r>
      <w:r>
        <w:rPr>
          <w:w w:val="95"/>
        </w:rPr>
        <w:t>increase</w:t>
      </w:r>
      <w:r>
        <w:rPr>
          <w:spacing w:val="10"/>
        </w:rPr>
        <w:t xml:space="preserve"> </w:t>
      </w:r>
      <w:r>
        <w:rPr>
          <w:w w:val="95"/>
        </w:rPr>
        <w:t>data</w:t>
      </w:r>
      <w:r>
        <w:rPr>
          <w:spacing w:val="8"/>
        </w:rPr>
        <w:t xml:space="preserve"> </w:t>
      </w:r>
      <w:r>
        <w:rPr>
          <w:w w:val="95"/>
        </w:rPr>
        <w:t>relating</w:t>
      </w:r>
      <w:r>
        <w:rPr>
          <w:spacing w:val="10"/>
        </w:rPr>
        <w:t xml:space="preserve"> </w:t>
      </w:r>
      <w:r>
        <w:rPr>
          <w:w w:val="95"/>
        </w:rPr>
        <w:t>to</w:t>
      </w:r>
      <w:r>
        <w:rPr>
          <w:spacing w:val="9"/>
        </w:rPr>
        <w:t xml:space="preserve"> </w:t>
      </w:r>
      <w:r>
        <w:rPr>
          <w:w w:val="95"/>
        </w:rPr>
        <w:t>sexual</w:t>
      </w:r>
      <w:r>
        <w:rPr>
          <w:spacing w:val="12"/>
        </w:rPr>
        <w:t xml:space="preserve"> </w:t>
      </w:r>
      <w:r>
        <w:rPr>
          <w:w w:val="95"/>
        </w:rPr>
        <w:t>orientation,</w:t>
      </w:r>
      <w:r>
        <w:rPr>
          <w:spacing w:val="11"/>
        </w:rPr>
        <w:t xml:space="preserve"> </w:t>
      </w:r>
      <w:r>
        <w:rPr>
          <w:w w:val="95"/>
        </w:rPr>
        <w:t>gender</w:t>
      </w:r>
      <w:r>
        <w:rPr>
          <w:spacing w:val="7"/>
        </w:rPr>
        <w:t xml:space="preserve"> </w:t>
      </w:r>
      <w:r>
        <w:rPr>
          <w:w w:val="95"/>
        </w:rPr>
        <w:t>identity,</w:t>
      </w:r>
      <w:r>
        <w:rPr>
          <w:spacing w:val="10"/>
        </w:rPr>
        <w:t xml:space="preserve"> </w:t>
      </w:r>
      <w:r>
        <w:rPr>
          <w:w w:val="95"/>
        </w:rPr>
        <w:t>and</w:t>
      </w:r>
      <w:r>
        <w:rPr>
          <w:spacing w:val="8"/>
        </w:rPr>
        <w:t xml:space="preserve"> </w:t>
      </w:r>
      <w:r>
        <w:rPr>
          <w:w w:val="95"/>
        </w:rPr>
        <w:t>gender</w:t>
      </w:r>
      <w:r>
        <w:rPr>
          <w:spacing w:val="8"/>
        </w:rPr>
        <w:t xml:space="preserve"> </w:t>
      </w:r>
      <w:r>
        <w:rPr>
          <w:spacing w:val="-2"/>
          <w:w w:val="95"/>
        </w:rPr>
        <w:t>expression.</w:t>
      </w:r>
    </w:p>
    <w:p w:rsidR="00C76E6D" w:rsidRDefault="00C76E6D">
      <w:pPr>
        <w:pStyle w:val="BodyText"/>
        <w:spacing w:before="4"/>
        <w:rPr>
          <w:sz w:val="30"/>
        </w:rPr>
      </w:pPr>
    </w:p>
    <w:p w:rsidR="00C76E6D" w:rsidRDefault="00913831">
      <w:pPr>
        <w:pStyle w:val="ListParagraph"/>
        <w:numPr>
          <w:ilvl w:val="2"/>
          <w:numId w:val="21"/>
        </w:numPr>
        <w:tabs>
          <w:tab w:val="left" w:pos="1031"/>
        </w:tabs>
        <w:spacing w:line="276" w:lineRule="auto"/>
        <w:ind w:right="482" w:hanging="1"/>
        <w:jc w:val="both"/>
      </w:pPr>
      <w:r>
        <w:t xml:space="preserve">Ensure LGBTQ inclusivity of all curriculum initiatives, </w:t>
      </w:r>
      <w:r>
        <w:t>including curriculum frameworks, model curriculum units, and supplementary curricular materials.</w:t>
      </w:r>
    </w:p>
    <w:p w:rsidR="00C76E6D" w:rsidRDefault="00C76E6D">
      <w:pPr>
        <w:pStyle w:val="BodyText"/>
        <w:spacing w:before="9"/>
        <w:rPr>
          <w:sz w:val="26"/>
        </w:rPr>
      </w:pPr>
    </w:p>
    <w:p w:rsidR="00C76E6D" w:rsidRDefault="00913831">
      <w:pPr>
        <w:pStyle w:val="ListParagraph"/>
        <w:numPr>
          <w:ilvl w:val="2"/>
          <w:numId w:val="21"/>
        </w:numPr>
        <w:tabs>
          <w:tab w:val="left" w:pos="1012"/>
        </w:tabs>
        <w:spacing w:line="276" w:lineRule="auto"/>
        <w:ind w:left="768" w:right="477" w:hanging="2"/>
        <w:jc w:val="both"/>
      </w:pPr>
      <w:r>
        <w:t>Develop and model strategies for school districts to recruit and retain a diverse workforce that includes diversity in gender identity and sexual orientation.</w:t>
      </w:r>
    </w:p>
    <w:p w:rsidR="00C76E6D" w:rsidRDefault="00C76E6D">
      <w:pPr>
        <w:pStyle w:val="BodyText"/>
        <w:spacing w:before="1"/>
        <w:rPr>
          <w:sz w:val="27"/>
        </w:rPr>
      </w:pPr>
    </w:p>
    <w:p w:rsidR="00C76E6D" w:rsidRDefault="00913831">
      <w:pPr>
        <w:pStyle w:val="ListParagraph"/>
        <w:numPr>
          <w:ilvl w:val="2"/>
          <w:numId w:val="21"/>
        </w:numPr>
        <w:tabs>
          <w:tab w:val="left" w:pos="986"/>
        </w:tabs>
        <w:spacing w:line="276" w:lineRule="auto"/>
        <w:ind w:left="767" w:right="1679" w:firstLine="0"/>
      </w:pPr>
      <w:r>
        <w:t>Partner</w:t>
      </w:r>
      <w:r>
        <w:rPr>
          <w:spacing w:val="35"/>
        </w:rPr>
        <w:t xml:space="preserve"> </w:t>
      </w:r>
      <w:r>
        <w:t>with</w:t>
      </w:r>
      <w:r>
        <w:rPr>
          <w:spacing w:val="36"/>
        </w:rPr>
        <w:t xml:space="preserve"> </w:t>
      </w:r>
      <w:r>
        <w:t>the</w:t>
      </w:r>
      <w:r>
        <w:rPr>
          <w:spacing w:val="35"/>
        </w:rPr>
        <w:t xml:space="preserve"> </w:t>
      </w:r>
      <w:r>
        <w:t>Commission</w:t>
      </w:r>
      <w:r>
        <w:rPr>
          <w:spacing w:val="35"/>
        </w:rPr>
        <w:t xml:space="preserve"> </w:t>
      </w:r>
      <w:r>
        <w:t>to</w:t>
      </w:r>
      <w:r>
        <w:rPr>
          <w:spacing w:val="37"/>
        </w:rPr>
        <w:t xml:space="preserve"> </w:t>
      </w:r>
      <w:r>
        <w:t>better</w:t>
      </w:r>
      <w:r>
        <w:rPr>
          <w:spacing w:val="-5"/>
        </w:rPr>
        <w:t xml:space="preserve"> </w:t>
      </w:r>
      <w:r>
        <w:t>understand</w:t>
      </w:r>
      <w:r>
        <w:rPr>
          <w:spacing w:val="36"/>
        </w:rPr>
        <w:t xml:space="preserve"> </w:t>
      </w:r>
      <w:r>
        <w:t>and</w:t>
      </w:r>
      <w:r>
        <w:rPr>
          <w:spacing w:val="36"/>
        </w:rPr>
        <w:t xml:space="preserve"> </w:t>
      </w:r>
      <w:r>
        <w:t>meet</w:t>
      </w:r>
      <w:r>
        <w:rPr>
          <w:spacing w:val="-5"/>
        </w:rPr>
        <w:t xml:space="preserve"> </w:t>
      </w:r>
      <w:r>
        <w:t>the</w:t>
      </w:r>
      <w:r>
        <w:rPr>
          <w:spacing w:val="35"/>
        </w:rPr>
        <w:t xml:space="preserve"> </w:t>
      </w:r>
      <w:r>
        <w:t>needs</w:t>
      </w:r>
      <w:r>
        <w:rPr>
          <w:spacing w:val="36"/>
        </w:rPr>
        <w:t xml:space="preserve"> </w:t>
      </w:r>
      <w:r>
        <w:t>of</w:t>
      </w:r>
      <w:r>
        <w:rPr>
          <w:spacing w:val="35"/>
        </w:rPr>
        <w:t xml:space="preserve"> </w:t>
      </w:r>
      <w:r>
        <w:t>LGBTQ students of color.</w:t>
      </w:r>
    </w:p>
    <w:p w:rsidR="00C76E6D" w:rsidRDefault="00C76E6D">
      <w:pPr>
        <w:pStyle w:val="BodyText"/>
        <w:spacing w:before="10"/>
        <w:rPr>
          <w:sz w:val="26"/>
        </w:rPr>
      </w:pPr>
    </w:p>
    <w:p w:rsidR="00C76E6D" w:rsidRDefault="00913831">
      <w:pPr>
        <w:pStyle w:val="ListParagraph"/>
        <w:numPr>
          <w:ilvl w:val="2"/>
          <w:numId w:val="21"/>
        </w:numPr>
        <w:tabs>
          <w:tab w:val="left" w:pos="1025"/>
        </w:tabs>
        <w:spacing w:before="1" w:line="276" w:lineRule="auto"/>
        <w:ind w:right="522" w:firstLine="0"/>
      </w:pPr>
      <w:r>
        <w:t>Work</w:t>
      </w:r>
      <w:r>
        <w:rPr>
          <w:spacing w:val="33"/>
        </w:rPr>
        <w:t xml:space="preserve"> </w:t>
      </w:r>
      <w:r>
        <w:t>with</w:t>
      </w:r>
      <w:r>
        <w:rPr>
          <w:spacing w:val="34"/>
        </w:rPr>
        <w:t xml:space="preserve"> </w:t>
      </w:r>
      <w:r>
        <w:t>the</w:t>
      </w:r>
      <w:r>
        <w:rPr>
          <w:spacing w:val="33"/>
        </w:rPr>
        <w:t xml:space="preserve"> </w:t>
      </w:r>
      <w:r>
        <w:t>Commission</w:t>
      </w:r>
      <w:r>
        <w:rPr>
          <w:spacing w:val="33"/>
        </w:rPr>
        <w:t xml:space="preserve"> </w:t>
      </w:r>
      <w:r>
        <w:t>to</w:t>
      </w:r>
      <w:r>
        <w:rPr>
          <w:spacing w:val="35"/>
        </w:rPr>
        <w:t xml:space="preserve"> </w:t>
      </w:r>
      <w:r>
        <w:t>build</w:t>
      </w:r>
      <w:r>
        <w:rPr>
          <w:spacing w:val="34"/>
        </w:rPr>
        <w:t xml:space="preserve"> </w:t>
      </w:r>
      <w:r>
        <w:t>more</w:t>
      </w:r>
      <w:r>
        <w:rPr>
          <w:spacing w:val="33"/>
        </w:rPr>
        <w:t xml:space="preserve"> </w:t>
      </w:r>
      <w:r>
        <w:t>internal</w:t>
      </w:r>
      <w:r>
        <w:rPr>
          <w:spacing w:val="33"/>
        </w:rPr>
        <w:t xml:space="preserve"> </w:t>
      </w:r>
      <w:r>
        <w:t>and</w:t>
      </w:r>
      <w:r>
        <w:rPr>
          <w:spacing w:val="34"/>
        </w:rPr>
        <w:t xml:space="preserve"> </w:t>
      </w:r>
      <w:r>
        <w:t>district-level</w:t>
      </w:r>
      <w:r>
        <w:rPr>
          <w:spacing w:val="34"/>
        </w:rPr>
        <w:t xml:space="preserve"> </w:t>
      </w:r>
      <w:r>
        <w:t>capacity</w:t>
      </w:r>
      <w:r>
        <w:rPr>
          <w:spacing w:val="33"/>
        </w:rPr>
        <w:t xml:space="preserve"> </w:t>
      </w:r>
      <w:r>
        <w:t>for</w:t>
      </w:r>
      <w:r>
        <w:rPr>
          <w:spacing w:val="35"/>
        </w:rPr>
        <w:t xml:space="preserve"> </w:t>
      </w:r>
      <w:r>
        <w:t>trainings</w:t>
      </w:r>
      <w:r>
        <w:rPr>
          <w:spacing w:val="35"/>
        </w:rPr>
        <w:t xml:space="preserve"> </w:t>
      </w:r>
      <w:r>
        <w:t>and professional development in LGBTQ competency.</w:t>
      </w:r>
    </w:p>
    <w:p w:rsidR="00C76E6D" w:rsidRDefault="00C76E6D">
      <w:pPr>
        <w:pStyle w:val="BodyText"/>
        <w:spacing w:before="11"/>
        <w:rPr>
          <w:sz w:val="26"/>
        </w:rPr>
      </w:pPr>
    </w:p>
    <w:p w:rsidR="00C76E6D" w:rsidRDefault="00913831">
      <w:pPr>
        <w:pStyle w:val="ListParagraph"/>
        <w:numPr>
          <w:ilvl w:val="2"/>
          <w:numId w:val="21"/>
        </w:numPr>
        <w:tabs>
          <w:tab w:val="left" w:pos="1020"/>
        </w:tabs>
        <w:spacing w:line="276" w:lineRule="auto"/>
        <w:ind w:right="528" w:firstLine="0"/>
      </w:pPr>
      <w:r>
        <w:t>Continue</w:t>
      </w:r>
      <w:r>
        <w:rPr>
          <w:spacing w:val="30"/>
        </w:rPr>
        <w:t xml:space="preserve"> </w:t>
      </w:r>
      <w:r>
        <w:t>collaboration</w:t>
      </w:r>
      <w:r>
        <w:rPr>
          <w:spacing w:val="26"/>
        </w:rPr>
        <w:t xml:space="preserve"> </w:t>
      </w:r>
      <w:r>
        <w:t>with</w:t>
      </w:r>
      <w:r>
        <w:rPr>
          <w:spacing w:val="28"/>
        </w:rPr>
        <w:t xml:space="preserve"> </w:t>
      </w:r>
      <w:r>
        <w:t>the</w:t>
      </w:r>
      <w:r>
        <w:rPr>
          <w:spacing w:val="28"/>
        </w:rPr>
        <w:t xml:space="preserve"> </w:t>
      </w:r>
      <w:r>
        <w:t>Commission</w:t>
      </w:r>
      <w:r>
        <w:rPr>
          <w:spacing w:val="28"/>
        </w:rPr>
        <w:t xml:space="preserve"> </w:t>
      </w:r>
      <w:r>
        <w:t>to</w:t>
      </w:r>
      <w:r>
        <w:rPr>
          <w:spacing w:val="29"/>
        </w:rPr>
        <w:t xml:space="preserve"> </w:t>
      </w:r>
      <w:r>
        <w:t>find</w:t>
      </w:r>
      <w:r>
        <w:rPr>
          <w:spacing w:val="28"/>
        </w:rPr>
        <w:t xml:space="preserve"> </w:t>
      </w:r>
      <w:r>
        <w:t>new</w:t>
      </w:r>
      <w:r>
        <w:rPr>
          <w:spacing w:val="29"/>
        </w:rPr>
        <w:t xml:space="preserve"> </w:t>
      </w:r>
      <w:r>
        <w:t>ways</w:t>
      </w:r>
      <w:r>
        <w:rPr>
          <w:spacing w:val="29"/>
        </w:rPr>
        <w:t xml:space="preserve"> </w:t>
      </w:r>
      <w:r>
        <w:t>to</w:t>
      </w:r>
      <w:r>
        <w:rPr>
          <w:spacing w:val="29"/>
        </w:rPr>
        <w:t xml:space="preserve"> </w:t>
      </w:r>
      <w:r>
        <w:t>support</w:t>
      </w:r>
      <w:r>
        <w:rPr>
          <w:spacing w:val="29"/>
        </w:rPr>
        <w:t xml:space="preserve"> </w:t>
      </w:r>
      <w:r>
        <w:t>nonbinary</w:t>
      </w:r>
      <w:r>
        <w:rPr>
          <w:spacing w:val="30"/>
        </w:rPr>
        <w:t xml:space="preserve"> </w:t>
      </w:r>
      <w:r>
        <w:t>students, educators, and staff.</w:t>
      </w:r>
    </w:p>
    <w:p w:rsidR="00C76E6D" w:rsidRDefault="00C76E6D">
      <w:pPr>
        <w:pStyle w:val="BodyText"/>
        <w:spacing w:before="9"/>
        <w:rPr>
          <w:sz w:val="19"/>
        </w:rPr>
      </w:pPr>
    </w:p>
    <w:p w:rsidR="00C76E6D" w:rsidRDefault="00913831">
      <w:pPr>
        <w:pStyle w:val="Heading5"/>
        <w:ind w:left="480"/>
      </w:pPr>
      <w:r>
        <w:t>Background</w:t>
      </w:r>
      <w:r>
        <w:rPr>
          <w:spacing w:val="-15"/>
        </w:rPr>
        <w:t xml:space="preserve"> </w:t>
      </w:r>
      <w:r>
        <w:t>&amp;</w:t>
      </w:r>
      <w:r>
        <w:rPr>
          <w:spacing w:val="-6"/>
        </w:rPr>
        <w:t xml:space="preserve"> </w:t>
      </w:r>
      <w:r>
        <w:rPr>
          <w:spacing w:val="-2"/>
        </w:rPr>
        <w:t>Research</w:t>
      </w:r>
    </w:p>
    <w:p w:rsidR="00C76E6D" w:rsidRDefault="00913831">
      <w:pPr>
        <w:pStyle w:val="BodyText"/>
        <w:spacing w:before="3"/>
        <w:rPr>
          <w:b/>
          <w:sz w:val="11"/>
        </w:rPr>
      </w:pPr>
      <w:r>
        <w:pict>
          <v:shape id="docshape334" o:spid="_x0000_s1121" style="position:absolute;margin-left:1in;margin-top:8.05pt;width:476.95pt;height:.1pt;z-index:-15666176;mso-wrap-distance-left:0;mso-wrap-distance-right:0;mso-position-horizontal-relative:page" coordorigin="1440,161" coordsize="9539,0" path="m1440,161r9539,e" filled="f" strokeweight="1.54pt">
            <v:path arrowok="t"/>
            <w10:wrap type="topAndBottom" anchorx="page"/>
          </v:shape>
        </w:pict>
      </w:r>
    </w:p>
    <w:p w:rsidR="00C76E6D" w:rsidRDefault="00C76E6D">
      <w:pPr>
        <w:pStyle w:val="BodyText"/>
        <w:spacing w:before="2"/>
        <w:rPr>
          <w:b/>
          <w:sz w:val="26"/>
        </w:rPr>
      </w:pPr>
    </w:p>
    <w:p w:rsidR="00C76E6D" w:rsidRDefault="00913831">
      <w:pPr>
        <w:pStyle w:val="BodyText"/>
        <w:spacing w:line="276" w:lineRule="auto"/>
        <w:ind w:left="479" w:right="474" w:hanging="1"/>
        <w:jc w:val="both"/>
      </w:pPr>
      <w:r>
        <w:t>The Commission</w:t>
      </w:r>
      <w:r>
        <w:rPr>
          <w:spacing w:val="-1"/>
        </w:rPr>
        <w:t xml:space="preserve"> </w:t>
      </w:r>
      <w:r>
        <w:t>is fortunate to enjoy a strong working</w:t>
      </w:r>
      <w:r>
        <w:rPr>
          <w:spacing w:val="-1"/>
        </w:rPr>
        <w:t xml:space="preserve"> </w:t>
      </w:r>
      <w:r>
        <w:t>relationship with</w:t>
      </w:r>
      <w:r>
        <w:rPr>
          <w:spacing w:val="-1"/>
        </w:rPr>
        <w:t xml:space="preserve"> </w:t>
      </w:r>
      <w:r>
        <w:t>the Massachusetts Department of Elementary and Secondary Education (DESE). At the center of this relationship is the Safe Schools Program</w:t>
      </w:r>
      <w:r>
        <w:rPr>
          <w:spacing w:val="-6"/>
        </w:rPr>
        <w:t xml:space="preserve"> </w:t>
      </w:r>
      <w:r>
        <w:t>for</w:t>
      </w:r>
      <w:r>
        <w:rPr>
          <w:spacing w:val="-5"/>
        </w:rPr>
        <w:t xml:space="preserve"> </w:t>
      </w:r>
      <w:r>
        <w:t>LGBTQ</w:t>
      </w:r>
      <w:r>
        <w:rPr>
          <w:spacing w:val="-4"/>
        </w:rPr>
        <w:t xml:space="preserve"> </w:t>
      </w:r>
      <w:r>
        <w:t>Students,</w:t>
      </w:r>
      <w:r>
        <w:rPr>
          <w:spacing w:val="-5"/>
        </w:rPr>
        <w:t xml:space="preserve"> </w:t>
      </w:r>
      <w:r>
        <w:t>a</w:t>
      </w:r>
      <w:r>
        <w:rPr>
          <w:spacing w:val="-5"/>
        </w:rPr>
        <w:t xml:space="preserve"> </w:t>
      </w:r>
      <w:r>
        <w:t>joint</w:t>
      </w:r>
      <w:r>
        <w:rPr>
          <w:spacing w:val="-5"/>
        </w:rPr>
        <w:t xml:space="preserve"> </w:t>
      </w:r>
      <w:r>
        <w:t>initiative</w:t>
      </w:r>
      <w:r>
        <w:rPr>
          <w:spacing w:val="-6"/>
        </w:rPr>
        <w:t xml:space="preserve"> </w:t>
      </w:r>
      <w:r>
        <w:t>of</w:t>
      </w:r>
      <w:r>
        <w:rPr>
          <w:spacing w:val="-4"/>
        </w:rPr>
        <w:t xml:space="preserve"> </w:t>
      </w:r>
      <w:r>
        <w:t>the</w:t>
      </w:r>
      <w:r>
        <w:rPr>
          <w:spacing w:val="-4"/>
        </w:rPr>
        <w:t xml:space="preserve"> </w:t>
      </w:r>
      <w:r>
        <w:t>Commission</w:t>
      </w:r>
      <w:r>
        <w:rPr>
          <w:spacing w:val="-6"/>
        </w:rPr>
        <w:t xml:space="preserve"> </w:t>
      </w:r>
      <w:r>
        <w:t>and</w:t>
      </w:r>
      <w:r>
        <w:rPr>
          <w:spacing w:val="-6"/>
        </w:rPr>
        <w:t xml:space="preserve"> </w:t>
      </w:r>
      <w:r>
        <w:t>DESE</w:t>
      </w:r>
      <w:r>
        <w:rPr>
          <w:spacing w:val="-5"/>
        </w:rPr>
        <w:t xml:space="preserve"> </w:t>
      </w:r>
      <w:r>
        <w:t>that</w:t>
      </w:r>
      <w:r>
        <w:rPr>
          <w:spacing w:val="-5"/>
        </w:rPr>
        <w:t xml:space="preserve"> </w:t>
      </w:r>
      <w:r>
        <w:t>was</w:t>
      </w:r>
      <w:r>
        <w:rPr>
          <w:spacing w:val="-5"/>
        </w:rPr>
        <w:t xml:space="preserve"> </w:t>
      </w:r>
      <w:r>
        <w:t>founded</w:t>
      </w:r>
      <w:r>
        <w:rPr>
          <w:spacing w:val="-2"/>
        </w:rPr>
        <w:t xml:space="preserve"> </w:t>
      </w:r>
      <w:r>
        <w:t>in</w:t>
      </w:r>
      <w:r>
        <w:rPr>
          <w:spacing w:val="-6"/>
        </w:rPr>
        <w:t xml:space="preserve"> </w:t>
      </w:r>
      <w:r>
        <w:t>1993</w:t>
      </w:r>
      <w:r>
        <w:rPr>
          <w:spacing w:val="-5"/>
        </w:rPr>
        <w:t xml:space="preserve"> </w:t>
      </w:r>
      <w:r>
        <w:t>and remains a national lead</w:t>
      </w:r>
      <w:r>
        <w:t>er in creating policies and programs to foster safe and supportive environments for LGBTQ students. Through this program, which the Commission administers with in-kind support and invaluable</w:t>
      </w:r>
      <w:r>
        <w:rPr>
          <w:spacing w:val="-8"/>
        </w:rPr>
        <w:t xml:space="preserve"> </w:t>
      </w:r>
      <w:r>
        <w:t>input</w:t>
      </w:r>
      <w:r>
        <w:rPr>
          <w:spacing w:val="-8"/>
        </w:rPr>
        <w:t xml:space="preserve"> </w:t>
      </w:r>
      <w:r>
        <w:t>from</w:t>
      </w:r>
      <w:r>
        <w:rPr>
          <w:spacing w:val="-7"/>
        </w:rPr>
        <w:t xml:space="preserve"> </w:t>
      </w:r>
      <w:r>
        <w:t>DESE,</w:t>
      </w:r>
      <w:r>
        <w:rPr>
          <w:spacing w:val="-7"/>
        </w:rPr>
        <w:t xml:space="preserve"> </w:t>
      </w:r>
      <w:r>
        <w:t>approximately</w:t>
      </w:r>
      <w:r>
        <w:rPr>
          <w:spacing w:val="-8"/>
        </w:rPr>
        <w:t xml:space="preserve"> </w:t>
      </w:r>
      <w:r>
        <w:t>150</w:t>
      </w:r>
      <w:r>
        <w:rPr>
          <w:spacing w:val="-6"/>
        </w:rPr>
        <w:t xml:space="preserve"> </w:t>
      </w:r>
      <w:r>
        <w:t>trainings</w:t>
      </w:r>
      <w:r>
        <w:rPr>
          <w:spacing w:val="-7"/>
        </w:rPr>
        <w:t xml:space="preserve"> </w:t>
      </w:r>
      <w:r>
        <w:t>and</w:t>
      </w:r>
      <w:r>
        <w:rPr>
          <w:spacing w:val="-8"/>
        </w:rPr>
        <w:t xml:space="preserve"> </w:t>
      </w:r>
      <w:r>
        <w:t>workshops</w:t>
      </w:r>
      <w:r>
        <w:rPr>
          <w:spacing w:val="-8"/>
        </w:rPr>
        <w:t xml:space="preserve"> </w:t>
      </w:r>
      <w:r>
        <w:t>are</w:t>
      </w:r>
      <w:r>
        <w:rPr>
          <w:spacing w:val="-8"/>
        </w:rPr>
        <w:t xml:space="preserve"> </w:t>
      </w:r>
      <w:r>
        <w:t>he</w:t>
      </w:r>
      <w:r>
        <w:t>ld</w:t>
      </w:r>
      <w:r>
        <w:rPr>
          <w:spacing w:val="-8"/>
        </w:rPr>
        <w:t xml:space="preserve"> </w:t>
      </w:r>
      <w:r>
        <w:t>each</w:t>
      </w:r>
      <w:r>
        <w:rPr>
          <w:spacing w:val="-8"/>
        </w:rPr>
        <w:t xml:space="preserve"> </w:t>
      </w:r>
      <w:r>
        <w:t>year</w:t>
      </w:r>
      <w:r>
        <w:rPr>
          <w:spacing w:val="-5"/>
        </w:rPr>
        <w:t xml:space="preserve"> </w:t>
      </w:r>
      <w:r>
        <w:t>on</w:t>
      </w:r>
      <w:r>
        <w:rPr>
          <w:spacing w:val="-9"/>
        </w:rPr>
        <w:t xml:space="preserve"> </w:t>
      </w:r>
      <w:r>
        <w:t>addressing anti-LGBTQ</w:t>
      </w:r>
      <w:r>
        <w:rPr>
          <w:spacing w:val="-4"/>
        </w:rPr>
        <w:t xml:space="preserve"> </w:t>
      </w:r>
      <w:r>
        <w:t>bullying</w:t>
      </w:r>
      <w:r>
        <w:rPr>
          <w:spacing w:val="-4"/>
        </w:rPr>
        <w:t xml:space="preserve"> </w:t>
      </w:r>
      <w:r>
        <w:t>and</w:t>
      </w:r>
      <w:r>
        <w:rPr>
          <w:spacing w:val="-4"/>
        </w:rPr>
        <w:t xml:space="preserve"> </w:t>
      </w:r>
      <w:r>
        <w:t>building</w:t>
      </w:r>
      <w:r>
        <w:rPr>
          <w:spacing w:val="-4"/>
        </w:rPr>
        <w:t xml:space="preserve"> </w:t>
      </w:r>
      <w:r>
        <w:t>safer</w:t>
      </w:r>
      <w:r>
        <w:rPr>
          <w:spacing w:val="-4"/>
        </w:rPr>
        <w:t xml:space="preserve"> </w:t>
      </w:r>
      <w:r>
        <w:t>environments</w:t>
      </w:r>
      <w:r>
        <w:rPr>
          <w:spacing w:val="-5"/>
        </w:rPr>
        <w:t xml:space="preserve"> </w:t>
      </w:r>
      <w:r>
        <w:t>in</w:t>
      </w:r>
      <w:r>
        <w:rPr>
          <w:spacing w:val="-5"/>
        </w:rPr>
        <w:t xml:space="preserve"> </w:t>
      </w:r>
      <w:r>
        <w:t>public</w:t>
      </w:r>
      <w:r>
        <w:rPr>
          <w:spacing w:val="-6"/>
        </w:rPr>
        <w:t xml:space="preserve"> </w:t>
      </w:r>
      <w:r>
        <w:t>schools,</w:t>
      </w:r>
      <w:r>
        <w:rPr>
          <w:spacing w:val="-5"/>
        </w:rPr>
        <w:t xml:space="preserve"> </w:t>
      </w:r>
      <w:r>
        <w:t>in</w:t>
      </w:r>
      <w:r>
        <w:rPr>
          <w:spacing w:val="-5"/>
        </w:rPr>
        <w:t xml:space="preserve"> </w:t>
      </w:r>
      <w:r>
        <w:t>addition</w:t>
      </w:r>
      <w:r>
        <w:rPr>
          <w:spacing w:val="-5"/>
        </w:rPr>
        <w:t xml:space="preserve"> </w:t>
      </w:r>
      <w:r>
        <w:t>to</w:t>
      </w:r>
      <w:r>
        <w:rPr>
          <w:spacing w:val="-3"/>
        </w:rPr>
        <w:t xml:space="preserve"> </w:t>
      </w:r>
      <w:r>
        <w:t>nearly</w:t>
      </w:r>
      <w:r>
        <w:rPr>
          <w:spacing w:val="-4"/>
        </w:rPr>
        <w:t xml:space="preserve"> </w:t>
      </w:r>
      <w:r>
        <w:t>200</w:t>
      </w:r>
      <w:r>
        <w:rPr>
          <w:spacing w:val="-5"/>
        </w:rPr>
        <w:t xml:space="preserve"> </w:t>
      </w:r>
      <w:r>
        <w:t>technical assistance</w:t>
      </w:r>
      <w:r>
        <w:rPr>
          <w:spacing w:val="-13"/>
        </w:rPr>
        <w:t xml:space="preserve"> </w:t>
      </w:r>
      <w:r>
        <w:t>responses.</w:t>
      </w:r>
      <w:r>
        <w:rPr>
          <w:spacing w:val="-12"/>
        </w:rPr>
        <w:t xml:space="preserve"> </w:t>
      </w:r>
      <w:r>
        <w:t>The</w:t>
      </w:r>
      <w:r>
        <w:rPr>
          <w:spacing w:val="-13"/>
        </w:rPr>
        <w:t xml:space="preserve"> </w:t>
      </w:r>
      <w:r>
        <w:t>Program</w:t>
      </w:r>
      <w:r>
        <w:rPr>
          <w:spacing w:val="-12"/>
        </w:rPr>
        <w:t xml:space="preserve"> </w:t>
      </w:r>
      <w:r>
        <w:t>also</w:t>
      </w:r>
      <w:r>
        <w:rPr>
          <w:spacing w:val="-13"/>
        </w:rPr>
        <w:t xml:space="preserve"> </w:t>
      </w:r>
      <w:r>
        <w:t>manages</w:t>
      </w:r>
      <w:r>
        <w:rPr>
          <w:spacing w:val="-12"/>
        </w:rPr>
        <w:t xml:space="preserve"> </w:t>
      </w:r>
      <w:r>
        <w:t>the</w:t>
      </w:r>
      <w:r>
        <w:rPr>
          <w:spacing w:val="-13"/>
        </w:rPr>
        <w:t xml:space="preserve"> </w:t>
      </w:r>
      <w:r>
        <w:t>GSA</w:t>
      </w:r>
      <w:r>
        <w:rPr>
          <w:spacing w:val="-12"/>
        </w:rPr>
        <w:t xml:space="preserve"> </w:t>
      </w:r>
      <w:r>
        <w:t>Student</w:t>
      </w:r>
      <w:r>
        <w:rPr>
          <w:spacing w:val="-12"/>
        </w:rPr>
        <w:t xml:space="preserve"> </w:t>
      </w:r>
      <w:r>
        <w:t>Leadership</w:t>
      </w:r>
      <w:r>
        <w:rPr>
          <w:spacing w:val="-13"/>
        </w:rPr>
        <w:t xml:space="preserve"> </w:t>
      </w:r>
      <w:r>
        <w:t>Council,</w:t>
      </w:r>
      <w:r>
        <w:rPr>
          <w:spacing w:val="-12"/>
        </w:rPr>
        <w:t xml:space="preserve"> </w:t>
      </w:r>
      <w:r>
        <w:t>including</w:t>
      </w:r>
      <w:r>
        <w:rPr>
          <w:spacing w:val="-12"/>
        </w:rPr>
        <w:t xml:space="preserve"> </w:t>
      </w:r>
      <w:r>
        <w:t>statewide and regional components that meet monthly throughout the year and include student leadership and teacher professional development components. The Commission has also supported DESE in increasing its capacity to create landmark policies, provide p</w:t>
      </w:r>
      <w:r>
        <w:t>rofessional development and technical assistance to schools, and promote student leadership throughout the Commonwealth.</w:t>
      </w:r>
    </w:p>
    <w:p w:rsidR="00C76E6D" w:rsidRDefault="00C76E6D">
      <w:pPr>
        <w:spacing w:line="276" w:lineRule="auto"/>
        <w:jc w:val="both"/>
        <w:sectPr w:rsidR="00C76E6D">
          <w:headerReference w:type="default" r:id="rId377"/>
          <w:footerReference w:type="default" r:id="rId378"/>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4"/>
        <w:rPr>
          <w:sz w:val="19"/>
        </w:rPr>
      </w:pPr>
    </w:p>
    <w:p w:rsidR="00C76E6D" w:rsidRDefault="00913831">
      <w:pPr>
        <w:pStyle w:val="BodyText"/>
        <w:spacing w:before="55" w:line="276" w:lineRule="auto"/>
        <w:ind w:left="480" w:right="472"/>
        <w:jc w:val="both"/>
      </w:pPr>
      <w:r>
        <w:t>Since the</w:t>
      </w:r>
      <w:r>
        <w:rPr>
          <w:spacing w:val="-2"/>
        </w:rPr>
        <w:t xml:space="preserve"> </w:t>
      </w:r>
      <w:r>
        <w:t>establishment</w:t>
      </w:r>
      <w:r>
        <w:rPr>
          <w:spacing w:val="-3"/>
        </w:rPr>
        <w:t xml:space="preserve"> </w:t>
      </w:r>
      <w:r>
        <w:t>of</w:t>
      </w:r>
      <w:r>
        <w:rPr>
          <w:spacing w:val="-3"/>
        </w:rPr>
        <w:t xml:space="preserve"> </w:t>
      </w:r>
      <w:r>
        <w:t>a</w:t>
      </w:r>
      <w:r>
        <w:rPr>
          <w:spacing w:val="-1"/>
        </w:rPr>
        <w:t xml:space="preserve"> </w:t>
      </w:r>
      <w:r>
        <w:t>Memorandum</w:t>
      </w:r>
      <w:r>
        <w:rPr>
          <w:spacing w:val="-2"/>
        </w:rPr>
        <w:t xml:space="preserve"> </w:t>
      </w:r>
      <w:r>
        <w:t>of</w:t>
      </w:r>
      <w:r>
        <w:rPr>
          <w:spacing w:val="-2"/>
        </w:rPr>
        <w:t xml:space="preserve"> </w:t>
      </w:r>
      <w:r>
        <w:t>Understanding</w:t>
      </w:r>
      <w:r>
        <w:rPr>
          <w:spacing w:val="-1"/>
        </w:rPr>
        <w:t xml:space="preserve"> </w:t>
      </w:r>
      <w:r>
        <w:t>(MOU)</w:t>
      </w:r>
      <w:r>
        <w:rPr>
          <w:spacing w:val="-4"/>
        </w:rPr>
        <w:t xml:space="preserve"> </w:t>
      </w:r>
      <w:r>
        <w:t>with</w:t>
      </w:r>
      <w:r>
        <w:rPr>
          <w:spacing w:val="-2"/>
        </w:rPr>
        <w:t xml:space="preserve"> </w:t>
      </w:r>
      <w:r>
        <w:t>DESE</w:t>
      </w:r>
      <w:r>
        <w:rPr>
          <w:spacing w:val="-3"/>
        </w:rPr>
        <w:t xml:space="preserve"> </w:t>
      </w:r>
      <w:r>
        <w:t>in</w:t>
      </w:r>
      <w:r>
        <w:rPr>
          <w:spacing w:val="-2"/>
        </w:rPr>
        <w:t xml:space="preserve"> </w:t>
      </w:r>
      <w:r>
        <w:t>2013,</w:t>
      </w:r>
      <w:r>
        <w:rPr>
          <w:spacing w:val="-1"/>
        </w:rPr>
        <w:t xml:space="preserve"> </w:t>
      </w:r>
      <w:r>
        <w:t>the</w:t>
      </w:r>
      <w:r>
        <w:rPr>
          <w:spacing w:val="-2"/>
        </w:rPr>
        <w:t xml:space="preserve"> </w:t>
      </w:r>
      <w:r>
        <w:t>Safe</w:t>
      </w:r>
      <w:r>
        <w:rPr>
          <w:spacing w:val="-2"/>
        </w:rPr>
        <w:t xml:space="preserve"> </w:t>
      </w:r>
      <w:r>
        <w:t>Schools Program for LGBTQ Students has worked on multiple initiatives, including trainings for school personnel on bias-based bullying and policy guidance to implement “An Act Relative to Gender Identity” and the “Principl</w:t>
      </w:r>
      <w:r>
        <w:t>es for Ensuring Safe and Supportive Learning Environments for LGBTQ Students.” The Commission</w:t>
      </w:r>
      <w:r>
        <w:rPr>
          <w:spacing w:val="-3"/>
        </w:rPr>
        <w:t xml:space="preserve"> </w:t>
      </w:r>
      <w:r>
        <w:t>is</w:t>
      </w:r>
      <w:r>
        <w:rPr>
          <w:spacing w:val="-2"/>
        </w:rPr>
        <w:t xml:space="preserve"> </w:t>
      </w:r>
      <w:r>
        <w:t>grateful</w:t>
      </w:r>
      <w:r>
        <w:rPr>
          <w:spacing w:val="-3"/>
        </w:rPr>
        <w:t xml:space="preserve"> </w:t>
      </w:r>
      <w:r>
        <w:t>to</w:t>
      </w:r>
      <w:r>
        <w:rPr>
          <w:spacing w:val="-1"/>
        </w:rPr>
        <w:t xml:space="preserve"> </w:t>
      </w:r>
      <w:r>
        <w:t>DESE</w:t>
      </w:r>
      <w:r>
        <w:rPr>
          <w:spacing w:val="-3"/>
        </w:rPr>
        <w:t xml:space="preserve"> </w:t>
      </w:r>
      <w:r>
        <w:t>for</w:t>
      </w:r>
      <w:r>
        <w:rPr>
          <w:spacing w:val="-3"/>
        </w:rPr>
        <w:t xml:space="preserve"> </w:t>
      </w:r>
      <w:r>
        <w:t>its</w:t>
      </w:r>
      <w:r>
        <w:rPr>
          <w:spacing w:val="-2"/>
        </w:rPr>
        <w:t xml:space="preserve"> </w:t>
      </w:r>
      <w:r>
        <w:t>leadership</w:t>
      </w:r>
      <w:r>
        <w:rPr>
          <w:spacing w:val="-3"/>
        </w:rPr>
        <w:t xml:space="preserve"> </w:t>
      </w:r>
      <w:r>
        <w:t>on</w:t>
      </w:r>
      <w:r>
        <w:rPr>
          <w:spacing w:val="-2"/>
        </w:rPr>
        <w:t xml:space="preserve"> </w:t>
      </w:r>
      <w:r>
        <w:t>these</w:t>
      </w:r>
      <w:r>
        <w:rPr>
          <w:spacing w:val="-3"/>
        </w:rPr>
        <w:t xml:space="preserve"> </w:t>
      </w:r>
      <w:r>
        <w:t>issues,</w:t>
      </w:r>
      <w:r>
        <w:rPr>
          <w:spacing w:val="-2"/>
        </w:rPr>
        <w:t xml:space="preserve"> </w:t>
      </w:r>
      <w:r>
        <w:t>the</w:t>
      </w:r>
      <w:r>
        <w:rPr>
          <w:spacing w:val="-3"/>
        </w:rPr>
        <w:t xml:space="preserve"> </w:t>
      </w:r>
      <w:r>
        <w:t>support</w:t>
      </w:r>
      <w:r>
        <w:rPr>
          <w:spacing w:val="-3"/>
        </w:rPr>
        <w:t xml:space="preserve"> </w:t>
      </w:r>
      <w:r>
        <w:t>of</w:t>
      </w:r>
      <w:r>
        <w:rPr>
          <w:spacing w:val="-3"/>
        </w:rPr>
        <w:t xml:space="preserve"> </w:t>
      </w:r>
      <w:r>
        <w:t>key</w:t>
      </w:r>
      <w:r>
        <w:rPr>
          <w:spacing w:val="-4"/>
        </w:rPr>
        <w:t xml:space="preserve"> </w:t>
      </w:r>
      <w:r>
        <w:t>staff,</w:t>
      </w:r>
      <w:r>
        <w:rPr>
          <w:spacing w:val="-3"/>
        </w:rPr>
        <w:t xml:space="preserve"> </w:t>
      </w:r>
      <w:r>
        <w:t>and</w:t>
      </w:r>
      <w:r>
        <w:rPr>
          <w:spacing w:val="-3"/>
        </w:rPr>
        <w:t xml:space="preserve"> </w:t>
      </w:r>
      <w:r>
        <w:t>the</w:t>
      </w:r>
      <w:r>
        <w:rPr>
          <w:spacing w:val="-3"/>
        </w:rPr>
        <w:t xml:space="preserve"> </w:t>
      </w:r>
      <w:hyperlink r:id="rId379">
        <w:r>
          <w:rPr>
            <w:color w:val="1153CC"/>
            <w:u w:val="single" w:color="1153CC"/>
          </w:rPr>
          <w:t>annual</w:t>
        </w:r>
      </w:hyperlink>
      <w:r>
        <w:rPr>
          <w:color w:val="1153CC"/>
        </w:rPr>
        <w:t xml:space="preserve"> </w:t>
      </w:r>
      <w:hyperlink r:id="rId380">
        <w:r>
          <w:rPr>
            <w:color w:val="1153CC"/>
            <w:u w:val="single" w:color="1153CC"/>
          </w:rPr>
          <w:t>Commissioner's</w:t>
        </w:r>
        <w:r>
          <w:rPr>
            <w:color w:val="1153CC"/>
            <w:spacing w:val="-10"/>
            <w:u w:val="single" w:color="1153CC"/>
          </w:rPr>
          <w:t xml:space="preserve"> </w:t>
        </w:r>
        <w:r>
          <w:rPr>
            <w:color w:val="1153CC"/>
            <w:u w:val="single" w:color="1153CC"/>
          </w:rPr>
          <w:t>letter</w:t>
        </w:r>
        <w:r>
          <w:rPr>
            <w:color w:val="1153CC"/>
            <w:spacing w:val="-9"/>
            <w:u w:val="single" w:color="1153CC"/>
          </w:rPr>
          <w:t xml:space="preserve"> </w:t>
        </w:r>
        <w:r>
          <w:rPr>
            <w:color w:val="1153CC"/>
            <w:u w:val="single" w:color="1153CC"/>
          </w:rPr>
          <w:t>to</w:t>
        </w:r>
        <w:r>
          <w:rPr>
            <w:color w:val="1153CC"/>
            <w:spacing w:val="-10"/>
            <w:u w:val="single" w:color="1153CC"/>
          </w:rPr>
          <w:t xml:space="preserve"> </w:t>
        </w:r>
        <w:r>
          <w:rPr>
            <w:color w:val="1153CC"/>
            <w:u w:val="single" w:color="1153CC"/>
          </w:rPr>
          <w:t>school</w:t>
        </w:r>
        <w:r>
          <w:rPr>
            <w:color w:val="1153CC"/>
            <w:spacing w:val="-10"/>
            <w:u w:val="single" w:color="1153CC"/>
          </w:rPr>
          <w:t xml:space="preserve"> </w:t>
        </w:r>
        <w:r>
          <w:rPr>
            <w:color w:val="1153CC"/>
            <w:u w:val="single" w:color="1153CC"/>
          </w:rPr>
          <w:t>administrators.</w:t>
        </w:r>
        <w:r>
          <w:rPr>
            <w:color w:val="1153CC"/>
            <w:spacing w:val="-11"/>
          </w:rPr>
          <w:t xml:space="preserve"> </w:t>
        </w:r>
      </w:hyperlink>
      <w:r>
        <w:t>The</w:t>
      </w:r>
      <w:r>
        <w:rPr>
          <w:spacing w:val="-10"/>
        </w:rPr>
        <w:t xml:space="preserve"> </w:t>
      </w:r>
      <w:r>
        <w:t>Commission</w:t>
      </w:r>
      <w:r>
        <w:rPr>
          <w:spacing w:val="-11"/>
        </w:rPr>
        <w:t xml:space="preserve"> </w:t>
      </w:r>
      <w:r>
        <w:t>also</w:t>
      </w:r>
      <w:r>
        <w:rPr>
          <w:spacing w:val="-10"/>
        </w:rPr>
        <w:t xml:space="preserve"> </w:t>
      </w:r>
      <w:r>
        <w:t>thanks</w:t>
      </w:r>
      <w:r>
        <w:rPr>
          <w:spacing w:val="-10"/>
        </w:rPr>
        <w:t xml:space="preserve"> </w:t>
      </w:r>
      <w:r>
        <w:t>DESE</w:t>
      </w:r>
      <w:r>
        <w:rPr>
          <w:spacing w:val="-11"/>
        </w:rPr>
        <w:t xml:space="preserve"> </w:t>
      </w:r>
      <w:r>
        <w:t>for</w:t>
      </w:r>
      <w:r>
        <w:rPr>
          <w:spacing w:val="-10"/>
        </w:rPr>
        <w:t xml:space="preserve"> </w:t>
      </w:r>
      <w:r>
        <w:t>providing</w:t>
      </w:r>
      <w:r>
        <w:rPr>
          <w:spacing w:val="-10"/>
        </w:rPr>
        <w:t xml:space="preserve"> </w:t>
      </w:r>
      <w:r>
        <w:t>space</w:t>
      </w:r>
      <w:r>
        <w:rPr>
          <w:spacing w:val="-9"/>
        </w:rPr>
        <w:t xml:space="preserve"> </w:t>
      </w:r>
      <w:r>
        <w:t>and support for Safe Schools Program and Commission personnel.</w:t>
      </w:r>
    </w:p>
    <w:p w:rsidR="00C76E6D" w:rsidRDefault="00C76E6D">
      <w:pPr>
        <w:pStyle w:val="BodyText"/>
        <w:spacing w:before="9"/>
        <w:rPr>
          <w:sz w:val="19"/>
        </w:rPr>
      </w:pPr>
    </w:p>
    <w:p w:rsidR="00C76E6D" w:rsidRDefault="00913831">
      <w:pPr>
        <w:pStyle w:val="BodyText"/>
        <w:spacing w:line="276" w:lineRule="auto"/>
        <w:ind w:left="480" w:right="473"/>
        <w:jc w:val="both"/>
      </w:pPr>
      <w:r>
        <w:t>Given that ten ye</w:t>
      </w:r>
      <w:r>
        <w:t xml:space="preserve">ars have passed since the implementation of the updated student anti-discrimination law to include gender identity, the Safe Schools Program for LGBTQ Students sees this upcoming fiscal year as an opportunity to revisit the </w:t>
      </w:r>
      <w:hyperlink r:id="rId381">
        <w:r>
          <w:rPr>
            <w:color w:val="1153CC"/>
            <w:u w:val="single" w:color="1153CC"/>
          </w:rPr>
          <w:t>Guidance for Massachusetts Public Schools Creating a Safe and</w:t>
        </w:r>
      </w:hyperlink>
      <w:r>
        <w:rPr>
          <w:color w:val="1153CC"/>
        </w:rPr>
        <w:t xml:space="preserve"> </w:t>
      </w:r>
      <w:hyperlink r:id="rId382">
        <w:r>
          <w:rPr>
            <w:color w:val="1153CC"/>
            <w:u w:val="single" w:color="1153CC"/>
          </w:rPr>
          <w:t>Supportive School Environment</w:t>
        </w:r>
        <w:r>
          <w:t xml:space="preserve">. </w:t>
        </w:r>
      </w:hyperlink>
      <w:r>
        <w:t>Through a facilitated process with educators, a</w:t>
      </w:r>
      <w:r>
        <w:t>dministrators, students, DESE</w:t>
      </w:r>
      <w:r>
        <w:rPr>
          <w:spacing w:val="-6"/>
        </w:rPr>
        <w:t xml:space="preserve"> </w:t>
      </w:r>
      <w:r>
        <w:t>staff,</w:t>
      </w:r>
      <w:r>
        <w:rPr>
          <w:spacing w:val="-5"/>
        </w:rPr>
        <w:t xml:space="preserve"> </w:t>
      </w:r>
      <w:r>
        <w:t>caregivers,</w:t>
      </w:r>
      <w:r>
        <w:rPr>
          <w:spacing w:val="-6"/>
        </w:rPr>
        <w:t xml:space="preserve"> </w:t>
      </w:r>
      <w:r>
        <w:t>and</w:t>
      </w:r>
      <w:r>
        <w:rPr>
          <w:spacing w:val="-3"/>
        </w:rPr>
        <w:t xml:space="preserve"> </w:t>
      </w:r>
      <w:r>
        <w:t>others,</w:t>
      </w:r>
      <w:r>
        <w:rPr>
          <w:spacing w:val="-6"/>
        </w:rPr>
        <w:t xml:space="preserve"> </w:t>
      </w:r>
      <w:r>
        <w:t>the</w:t>
      </w:r>
      <w:r>
        <w:rPr>
          <w:spacing w:val="-5"/>
        </w:rPr>
        <w:t xml:space="preserve"> </w:t>
      </w:r>
      <w:r>
        <w:t>Program</w:t>
      </w:r>
      <w:r>
        <w:rPr>
          <w:spacing w:val="-7"/>
        </w:rPr>
        <w:t xml:space="preserve"> </w:t>
      </w:r>
      <w:r>
        <w:t>will</w:t>
      </w:r>
      <w:r>
        <w:rPr>
          <w:spacing w:val="-4"/>
        </w:rPr>
        <w:t xml:space="preserve"> </w:t>
      </w:r>
      <w:r>
        <w:t>gather</w:t>
      </w:r>
      <w:r>
        <w:rPr>
          <w:spacing w:val="-5"/>
        </w:rPr>
        <w:t xml:space="preserve"> </w:t>
      </w:r>
      <w:r>
        <w:t>feedback</w:t>
      </w:r>
      <w:r>
        <w:rPr>
          <w:spacing w:val="-7"/>
        </w:rPr>
        <w:t xml:space="preserve"> </w:t>
      </w:r>
      <w:r>
        <w:t>on</w:t>
      </w:r>
      <w:r>
        <w:rPr>
          <w:spacing w:val="-6"/>
        </w:rPr>
        <w:t xml:space="preserve"> </w:t>
      </w:r>
      <w:r>
        <w:t>how</w:t>
      </w:r>
      <w:r>
        <w:rPr>
          <w:spacing w:val="-4"/>
        </w:rPr>
        <w:t xml:space="preserve"> </w:t>
      </w:r>
      <w:r>
        <w:t>this</w:t>
      </w:r>
      <w:r>
        <w:rPr>
          <w:spacing w:val="-4"/>
        </w:rPr>
        <w:t xml:space="preserve"> </w:t>
      </w:r>
      <w:r>
        <w:t>policy</w:t>
      </w:r>
      <w:r>
        <w:rPr>
          <w:spacing w:val="-4"/>
        </w:rPr>
        <w:t xml:space="preserve"> </w:t>
      </w:r>
      <w:r>
        <w:t>can</w:t>
      </w:r>
      <w:r>
        <w:rPr>
          <w:spacing w:val="-6"/>
        </w:rPr>
        <w:t xml:space="preserve"> </w:t>
      </w:r>
      <w:r>
        <w:t>be</w:t>
      </w:r>
      <w:r>
        <w:rPr>
          <w:spacing w:val="-4"/>
        </w:rPr>
        <w:t xml:space="preserve"> </w:t>
      </w:r>
      <w:r>
        <w:t>updated</w:t>
      </w:r>
      <w:r>
        <w:rPr>
          <w:spacing w:val="-5"/>
        </w:rPr>
        <w:t xml:space="preserve"> </w:t>
      </w:r>
      <w:r>
        <w:t>to best reflect the current needs of LGBTQ youth across the Commonwealth.</w:t>
      </w:r>
    </w:p>
    <w:p w:rsidR="00C76E6D" w:rsidRDefault="00C76E6D">
      <w:pPr>
        <w:pStyle w:val="BodyText"/>
        <w:spacing w:before="7"/>
        <w:rPr>
          <w:sz w:val="19"/>
        </w:rPr>
      </w:pPr>
    </w:p>
    <w:p w:rsidR="00C76E6D" w:rsidRDefault="00913831">
      <w:pPr>
        <w:pStyle w:val="BodyText"/>
        <w:spacing w:before="1" w:line="276" w:lineRule="auto"/>
        <w:ind w:left="480" w:right="474"/>
        <w:jc w:val="both"/>
      </w:pPr>
      <w:r>
        <w:t>Part of the MOU with DESE includes annual meetings with the DESE Commissioner and presentations every other year to the Board of Elementary and Secondary Education. The Commission had its first meeting with Commissioner Jeffrey C. Riley in the summer of 20</w:t>
      </w:r>
      <w:r>
        <w:t>18, which proved very productive in introducing the Commissioner to the Commission and Safe Schools Program, and identifying shared priorities. Since then, Commissioner Riley has continued to support the Commission and Program, including sending out the an</w:t>
      </w:r>
      <w:r>
        <w:t>nual Commissioner’s letter to schools explaining the Safe Schools Program’s services.</w:t>
      </w:r>
      <w:r>
        <w:rPr>
          <w:spacing w:val="-2"/>
        </w:rPr>
        <w:t xml:space="preserve"> </w:t>
      </w:r>
      <w:r>
        <w:t>The Commission</w:t>
      </w:r>
      <w:r>
        <w:rPr>
          <w:spacing w:val="-2"/>
        </w:rPr>
        <w:t xml:space="preserve"> </w:t>
      </w:r>
      <w:r>
        <w:t>met</w:t>
      </w:r>
      <w:r>
        <w:rPr>
          <w:spacing w:val="-1"/>
        </w:rPr>
        <w:t xml:space="preserve"> </w:t>
      </w:r>
      <w:r>
        <w:t>with</w:t>
      </w:r>
      <w:r>
        <w:rPr>
          <w:spacing w:val="-2"/>
        </w:rPr>
        <w:t xml:space="preserve"> </w:t>
      </w:r>
      <w:r>
        <w:t>Commissioner Riley</w:t>
      </w:r>
      <w:r>
        <w:rPr>
          <w:spacing w:val="-1"/>
        </w:rPr>
        <w:t xml:space="preserve"> </w:t>
      </w:r>
      <w:r>
        <w:t>and</w:t>
      </w:r>
      <w:r>
        <w:rPr>
          <w:spacing w:val="-1"/>
        </w:rPr>
        <w:t xml:space="preserve"> </w:t>
      </w:r>
      <w:r>
        <w:t>DESE</w:t>
      </w:r>
      <w:r>
        <w:rPr>
          <w:spacing w:val="-1"/>
        </w:rPr>
        <w:t xml:space="preserve"> </w:t>
      </w:r>
      <w:r>
        <w:t>staff</w:t>
      </w:r>
      <w:r>
        <w:rPr>
          <w:spacing w:val="-1"/>
        </w:rPr>
        <w:t xml:space="preserve"> </w:t>
      </w:r>
      <w:r>
        <w:t>in March</w:t>
      </w:r>
      <w:r>
        <w:rPr>
          <w:spacing w:val="-2"/>
        </w:rPr>
        <w:t xml:space="preserve"> </w:t>
      </w:r>
      <w:r>
        <w:t>2020,</w:t>
      </w:r>
      <w:r>
        <w:rPr>
          <w:spacing w:val="-1"/>
        </w:rPr>
        <w:t xml:space="preserve"> </w:t>
      </w:r>
      <w:r>
        <w:t>shortly</w:t>
      </w:r>
      <w:r>
        <w:rPr>
          <w:spacing w:val="-1"/>
        </w:rPr>
        <w:t xml:space="preserve"> </w:t>
      </w:r>
      <w:r>
        <w:t>before</w:t>
      </w:r>
      <w:r>
        <w:rPr>
          <w:spacing w:val="-1"/>
        </w:rPr>
        <w:t xml:space="preserve"> </w:t>
      </w:r>
      <w:r>
        <w:t>the COVID-19 crisis. At that time, the Commission and DESE were looking into the b</w:t>
      </w:r>
      <w:r>
        <w:t>est timing for scheduling the Commission and Safe Schools Program’s biannual presentation to the Board of Elementary and Secondary Education. While the scheduling of this has been delayed due to other pressing COVID-19 related</w:t>
      </w:r>
      <w:r>
        <w:rPr>
          <w:spacing w:val="-10"/>
        </w:rPr>
        <w:t xml:space="preserve"> </w:t>
      </w:r>
      <w:r>
        <w:t>matters,</w:t>
      </w:r>
      <w:r>
        <w:rPr>
          <w:spacing w:val="-11"/>
        </w:rPr>
        <w:t xml:space="preserve"> </w:t>
      </w:r>
      <w:r>
        <w:t>the</w:t>
      </w:r>
      <w:r>
        <w:rPr>
          <w:spacing w:val="-13"/>
        </w:rPr>
        <w:t xml:space="preserve"> </w:t>
      </w:r>
      <w:r>
        <w:t>Commission</w:t>
      </w:r>
      <w:r>
        <w:rPr>
          <w:spacing w:val="-10"/>
        </w:rPr>
        <w:t xml:space="preserve"> </w:t>
      </w:r>
      <w:r>
        <w:t>looks</w:t>
      </w:r>
      <w:r>
        <w:rPr>
          <w:spacing w:val="-11"/>
        </w:rPr>
        <w:t xml:space="preserve"> </w:t>
      </w:r>
      <w:r>
        <w:t>forward</w:t>
      </w:r>
      <w:r>
        <w:rPr>
          <w:spacing w:val="-12"/>
        </w:rPr>
        <w:t xml:space="preserve"> </w:t>
      </w:r>
      <w:r>
        <w:t>to</w:t>
      </w:r>
      <w:r>
        <w:rPr>
          <w:spacing w:val="-11"/>
        </w:rPr>
        <w:t xml:space="preserve"> </w:t>
      </w:r>
      <w:r>
        <w:t>meeting</w:t>
      </w:r>
      <w:r>
        <w:rPr>
          <w:spacing w:val="-10"/>
        </w:rPr>
        <w:t xml:space="preserve"> </w:t>
      </w:r>
      <w:r>
        <w:t>with</w:t>
      </w:r>
      <w:r>
        <w:rPr>
          <w:spacing w:val="-10"/>
        </w:rPr>
        <w:t xml:space="preserve"> </w:t>
      </w:r>
      <w:r>
        <w:t>DESE</w:t>
      </w:r>
      <w:r>
        <w:rPr>
          <w:spacing w:val="-12"/>
        </w:rPr>
        <w:t xml:space="preserve"> </w:t>
      </w:r>
      <w:r>
        <w:t>and</w:t>
      </w:r>
      <w:r>
        <w:rPr>
          <w:spacing w:val="-11"/>
        </w:rPr>
        <w:t xml:space="preserve"> </w:t>
      </w:r>
      <w:r>
        <w:t>Commissioner</w:t>
      </w:r>
      <w:r>
        <w:rPr>
          <w:spacing w:val="-11"/>
        </w:rPr>
        <w:t xml:space="preserve"> </w:t>
      </w:r>
      <w:r>
        <w:t>Riley</w:t>
      </w:r>
      <w:r>
        <w:rPr>
          <w:spacing w:val="-9"/>
        </w:rPr>
        <w:t xml:space="preserve"> </w:t>
      </w:r>
      <w:r>
        <w:t>again</w:t>
      </w:r>
      <w:r>
        <w:rPr>
          <w:spacing w:val="-11"/>
        </w:rPr>
        <w:t xml:space="preserve"> </w:t>
      </w:r>
      <w:r>
        <w:t>in</w:t>
      </w:r>
      <w:r>
        <w:rPr>
          <w:spacing w:val="-11"/>
        </w:rPr>
        <w:t xml:space="preserve"> </w:t>
      </w:r>
      <w:r>
        <w:t>the near future.</w:t>
      </w:r>
    </w:p>
    <w:p w:rsidR="00C76E6D" w:rsidRDefault="00C76E6D">
      <w:pPr>
        <w:pStyle w:val="BodyText"/>
        <w:spacing w:before="6"/>
        <w:rPr>
          <w:sz w:val="25"/>
        </w:rPr>
      </w:pPr>
    </w:p>
    <w:p w:rsidR="00C76E6D" w:rsidRDefault="00913831">
      <w:pPr>
        <w:pStyle w:val="Heading5"/>
        <w:ind w:left="480"/>
        <w:jc w:val="both"/>
      </w:pPr>
      <w:r>
        <w:rPr>
          <w:spacing w:val="-2"/>
        </w:rPr>
        <w:t>Expanded</w:t>
      </w:r>
      <w:r>
        <w:t xml:space="preserve"> </w:t>
      </w:r>
      <w:r>
        <w:rPr>
          <w:spacing w:val="-2"/>
        </w:rPr>
        <w:t>Recommendations</w:t>
      </w:r>
    </w:p>
    <w:p w:rsidR="00C76E6D" w:rsidRDefault="00913831">
      <w:pPr>
        <w:pStyle w:val="BodyText"/>
        <w:spacing w:before="11"/>
        <w:rPr>
          <w:b/>
          <w:sz w:val="6"/>
        </w:rPr>
      </w:pPr>
      <w:r>
        <w:pict>
          <v:shape id="docshape335" o:spid="_x0000_s1120" style="position:absolute;margin-left:1in;margin-top:5.45pt;width:476.95pt;height:.1pt;z-index:-15665664;mso-wrap-distance-left:0;mso-wrap-distance-right:0;mso-position-horizontal-relative:page" coordorigin="1440,109" coordsize="9539,0" path="m1440,109r9539,e" filled="f" strokeweight="1.54pt">
            <v:path arrowok="t"/>
            <w10:wrap type="topAndBottom" anchorx="page"/>
          </v:shape>
        </w:pict>
      </w:r>
    </w:p>
    <w:p w:rsidR="00C76E6D" w:rsidRDefault="00913831">
      <w:pPr>
        <w:pStyle w:val="Heading6"/>
        <w:numPr>
          <w:ilvl w:val="0"/>
          <w:numId w:val="20"/>
        </w:numPr>
        <w:tabs>
          <w:tab w:val="left" w:pos="766"/>
        </w:tabs>
        <w:spacing w:before="190" w:line="276" w:lineRule="auto"/>
        <w:ind w:right="475" w:firstLine="0"/>
        <w:jc w:val="both"/>
        <w:rPr>
          <w:b w:val="0"/>
        </w:rPr>
      </w:pPr>
      <w:bookmarkStart w:id="738" w:name="1._Continue_collaboration_with_the_Commi"/>
      <w:bookmarkEnd w:id="738"/>
      <w:r>
        <w:t>C</w:t>
      </w:r>
      <w:r>
        <w:t>ontinue collaboration with the Commission on the Safe Schools Program for LGBTQ Students and programs in special education, early education, adult education, sexual health, after school programming, curriculum, homeless assistance, family engagement, stude</w:t>
      </w:r>
      <w:r>
        <w:t>nt leadership, rethinking discipline, and safe and supportive schools.</w:t>
      </w:r>
    </w:p>
    <w:p w:rsidR="00C76E6D" w:rsidRDefault="00C76E6D">
      <w:pPr>
        <w:pStyle w:val="BodyText"/>
        <w:spacing w:before="11"/>
        <w:rPr>
          <w:b/>
          <w:sz w:val="26"/>
        </w:rPr>
      </w:pPr>
    </w:p>
    <w:p w:rsidR="00C76E6D" w:rsidRDefault="00913831">
      <w:pPr>
        <w:pStyle w:val="BodyText"/>
        <w:spacing w:line="276" w:lineRule="auto"/>
        <w:ind w:left="766" w:right="474"/>
        <w:jc w:val="both"/>
      </w:pPr>
      <w:r>
        <w:t>LGBTQ students and families need safe and supportive learning environments both in and out of the classroom. LGBTQ students may have unique needs based on race, ethnicity, age, disability, experiences of</w:t>
      </w:r>
      <w:r>
        <w:rPr>
          <w:spacing w:val="-3"/>
        </w:rPr>
        <w:t xml:space="preserve"> </w:t>
      </w:r>
      <w:r>
        <w:t>trauma,</w:t>
      </w:r>
      <w:r>
        <w:rPr>
          <w:spacing w:val="-1"/>
        </w:rPr>
        <w:t xml:space="preserve"> </w:t>
      </w:r>
      <w:r>
        <w:t>and</w:t>
      </w:r>
      <w:r>
        <w:rPr>
          <w:spacing w:val="-2"/>
        </w:rPr>
        <w:t xml:space="preserve"> </w:t>
      </w:r>
      <w:r>
        <w:t>more.</w:t>
      </w:r>
      <w:r>
        <w:rPr>
          <w:spacing w:val="-2"/>
        </w:rPr>
        <w:t xml:space="preserve"> </w:t>
      </w:r>
      <w:r>
        <w:t>By</w:t>
      </w:r>
      <w:r>
        <w:rPr>
          <w:spacing w:val="-3"/>
        </w:rPr>
        <w:t xml:space="preserve"> </w:t>
      </w:r>
      <w:r>
        <w:t>leveraging</w:t>
      </w:r>
      <w:r>
        <w:rPr>
          <w:spacing w:val="-2"/>
        </w:rPr>
        <w:t xml:space="preserve"> </w:t>
      </w:r>
      <w:r>
        <w:t>the</w:t>
      </w:r>
      <w:r>
        <w:rPr>
          <w:spacing w:val="-1"/>
        </w:rPr>
        <w:t xml:space="preserve"> </w:t>
      </w:r>
      <w:r>
        <w:t>resources</w:t>
      </w:r>
      <w:r>
        <w:rPr>
          <w:spacing w:val="-2"/>
        </w:rPr>
        <w:t xml:space="preserve"> </w:t>
      </w:r>
      <w:r>
        <w:t>of</w:t>
      </w:r>
      <w:r>
        <w:rPr>
          <w:spacing w:val="-2"/>
        </w:rPr>
        <w:t xml:space="preserve"> </w:t>
      </w:r>
      <w:r>
        <w:t>the</w:t>
      </w:r>
      <w:r>
        <w:rPr>
          <w:spacing w:val="-3"/>
        </w:rPr>
        <w:t xml:space="preserve"> </w:t>
      </w:r>
      <w:r>
        <w:t>Safe Schools</w:t>
      </w:r>
      <w:r>
        <w:rPr>
          <w:spacing w:val="-2"/>
        </w:rPr>
        <w:t xml:space="preserve"> </w:t>
      </w:r>
      <w:r>
        <w:t>Program</w:t>
      </w:r>
      <w:r>
        <w:rPr>
          <w:spacing w:val="-4"/>
        </w:rPr>
        <w:t xml:space="preserve"> </w:t>
      </w:r>
      <w:r>
        <w:t>for</w:t>
      </w:r>
      <w:r>
        <w:rPr>
          <w:spacing w:val="-3"/>
        </w:rPr>
        <w:t xml:space="preserve"> </w:t>
      </w:r>
      <w:r>
        <w:t>LGBTQ Students, DESE is addressing the needs of these young people by incorporating LGBTQ topics in statewide and regional trainings. The Commission recommends that DESE continue to integrate resources</w:t>
      </w:r>
      <w:r>
        <w:rPr>
          <w:spacing w:val="-1"/>
        </w:rPr>
        <w:t xml:space="preserve"> </w:t>
      </w:r>
      <w:r>
        <w:t>and</w:t>
      </w:r>
      <w:r>
        <w:rPr>
          <w:spacing w:val="-3"/>
        </w:rPr>
        <w:t xml:space="preserve"> </w:t>
      </w:r>
      <w:r>
        <w:t>personnel from</w:t>
      </w:r>
      <w:r>
        <w:rPr>
          <w:spacing w:val="-2"/>
        </w:rPr>
        <w:t xml:space="preserve"> </w:t>
      </w:r>
      <w:r>
        <w:t xml:space="preserve">the Safe </w:t>
      </w:r>
      <w:r>
        <w:t>Schools</w:t>
      </w:r>
      <w:r>
        <w:rPr>
          <w:spacing w:val="-1"/>
        </w:rPr>
        <w:t xml:space="preserve"> </w:t>
      </w:r>
      <w:r>
        <w:t>Program</w:t>
      </w:r>
      <w:r>
        <w:rPr>
          <w:spacing w:val="-3"/>
        </w:rPr>
        <w:t xml:space="preserve"> </w:t>
      </w:r>
      <w:r>
        <w:t>for</w:t>
      </w:r>
      <w:r>
        <w:rPr>
          <w:spacing w:val="-1"/>
        </w:rPr>
        <w:t xml:space="preserve"> </w:t>
      </w:r>
      <w:r>
        <w:t>LGBTQ</w:t>
      </w:r>
      <w:r>
        <w:rPr>
          <w:spacing w:val="-3"/>
        </w:rPr>
        <w:t xml:space="preserve"> </w:t>
      </w:r>
      <w:r>
        <w:t>Students into programmatic</w:t>
      </w:r>
      <w:r>
        <w:rPr>
          <w:spacing w:val="-2"/>
        </w:rPr>
        <w:t xml:space="preserve"> </w:t>
      </w:r>
      <w:r>
        <w:t>work</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765" w:right="475"/>
        <w:jc w:val="both"/>
      </w:pPr>
      <w:r>
        <w:t>in</w:t>
      </w:r>
      <w:r>
        <w:rPr>
          <w:spacing w:val="-13"/>
        </w:rPr>
        <w:t xml:space="preserve"> </w:t>
      </w:r>
      <w:r>
        <w:t>these</w:t>
      </w:r>
      <w:r>
        <w:rPr>
          <w:spacing w:val="-12"/>
        </w:rPr>
        <w:t xml:space="preserve"> </w:t>
      </w:r>
      <w:r>
        <w:t>areas</w:t>
      </w:r>
      <w:r>
        <w:rPr>
          <w:spacing w:val="-13"/>
        </w:rPr>
        <w:t xml:space="preserve"> </w:t>
      </w:r>
      <w:r>
        <w:t>to</w:t>
      </w:r>
      <w:r>
        <w:rPr>
          <w:spacing w:val="-12"/>
        </w:rPr>
        <w:t xml:space="preserve"> </w:t>
      </w:r>
      <w:r>
        <w:t>maximize</w:t>
      </w:r>
      <w:r>
        <w:rPr>
          <w:spacing w:val="-12"/>
        </w:rPr>
        <w:t xml:space="preserve"> </w:t>
      </w:r>
      <w:r>
        <w:t>the</w:t>
      </w:r>
      <w:r>
        <w:rPr>
          <w:spacing w:val="-12"/>
        </w:rPr>
        <w:t xml:space="preserve"> </w:t>
      </w:r>
      <w:r>
        <w:t>opportunities</w:t>
      </w:r>
      <w:r>
        <w:rPr>
          <w:spacing w:val="-12"/>
        </w:rPr>
        <w:t xml:space="preserve"> </w:t>
      </w:r>
      <w:r>
        <w:t>provided</w:t>
      </w:r>
      <w:r>
        <w:rPr>
          <w:spacing w:val="-12"/>
        </w:rPr>
        <w:t xml:space="preserve"> </w:t>
      </w:r>
      <w:r>
        <w:t>for</w:t>
      </w:r>
      <w:r>
        <w:rPr>
          <w:spacing w:val="-12"/>
        </w:rPr>
        <w:t xml:space="preserve"> </w:t>
      </w:r>
      <w:r>
        <w:t>LGBTQ</w:t>
      </w:r>
      <w:r>
        <w:rPr>
          <w:spacing w:val="-13"/>
        </w:rPr>
        <w:t xml:space="preserve"> </w:t>
      </w:r>
      <w:r>
        <w:t>students</w:t>
      </w:r>
      <w:r>
        <w:rPr>
          <w:spacing w:val="-12"/>
        </w:rPr>
        <w:t xml:space="preserve"> </w:t>
      </w:r>
      <w:r>
        <w:t>and</w:t>
      </w:r>
      <w:r>
        <w:rPr>
          <w:spacing w:val="-12"/>
        </w:rPr>
        <w:t xml:space="preserve"> </w:t>
      </w:r>
      <w:r>
        <w:t>families.</w:t>
      </w:r>
      <w:r>
        <w:rPr>
          <w:spacing w:val="-10"/>
        </w:rPr>
        <w:t xml:space="preserve"> </w:t>
      </w:r>
      <w:r>
        <w:t>With</w:t>
      </w:r>
      <w:r>
        <w:rPr>
          <w:spacing w:val="-10"/>
        </w:rPr>
        <w:t xml:space="preserve"> </w:t>
      </w:r>
      <w:r>
        <w:t>the</w:t>
      </w:r>
      <w:r>
        <w:rPr>
          <w:spacing w:val="-12"/>
        </w:rPr>
        <w:t xml:space="preserve"> </w:t>
      </w:r>
      <w:r>
        <w:t>hiring of a Program Manager, Kimm Topping, in February 2021, the program has expanded its capacity to work with Jeff Perrotti, Senior Consultant, to build intentional relationships and document previous and future opportunities for collaboration. The GSA S</w:t>
      </w:r>
      <w:r>
        <w:t>tudent Leadership Council also works with the State</w:t>
      </w:r>
      <w:r>
        <w:rPr>
          <w:spacing w:val="-7"/>
        </w:rPr>
        <w:t xml:space="preserve"> </w:t>
      </w:r>
      <w:r>
        <w:t>Student</w:t>
      </w:r>
      <w:r>
        <w:rPr>
          <w:spacing w:val="-7"/>
        </w:rPr>
        <w:t xml:space="preserve"> </w:t>
      </w:r>
      <w:r>
        <w:t>Advisory</w:t>
      </w:r>
      <w:r>
        <w:rPr>
          <w:spacing w:val="-8"/>
        </w:rPr>
        <w:t xml:space="preserve"> </w:t>
      </w:r>
      <w:r>
        <w:t>Council</w:t>
      </w:r>
      <w:r>
        <w:rPr>
          <w:spacing w:val="-6"/>
        </w:rPr>
        <w:t xml:space="preserve"> </w:t>
      </w:r>
      <w:r>
        <w:t>(SSAC)</w:t>
      </w:r>
      <w:r>
        <w:rPr>
          <w:spacing w:val="-7"/>
        </w:rPr>
        <w:t xml:space="preserve"> </w:t>
      </w:r>
      <w:r>
        <w:t>to</w:t>
      </w:r>
      <w:r>
        <w:rPr>
          <w:spacing w:val="-4"/>
        </w:rPr>
        <w:t xml:space="preserve"> </w:t>
      </w:r>
      <w:r>
        <w:t>help</w:t>
      </w:r>
      <w:r>
        <w:rPr>
          <w:spacing w:val="-7"/>
        </w:rPr>
        <w:t xml:space="preserve"> </w:t>
      </w:r>
      <w:r>
        <w:t>determine</w:t>
      </w:r>
      <w:r>
        <w:rPr>
          <w:spacing w:val="-7"/>
        </w:rPr>
        <w:t xml:space="preserve"> </w:t>
      </w:r>
      <w:r>
        <w:t>the</w:t>
      </w:r>
      <w:r>
        <w:rPr>
          <w:spacing w:val="-7"/>
        </w:rPr>
        <w:t xml:space="preserve"> </w:t>
      </w:r>
      <w:r>
        <w:t>appointment</w:t>
      </w:r>
      <w:r>
        <w:rPr>
          <w:spacing w:val="-7"/>
        </w:rPr>
        <w:t xml:space="preserve"> </w:t>
      </w:r>
      <w:r>
        <w:t>of</w:t>
      </w:r>
      <w:r>
        <w:rPr>
          <w:spacing w:val="-6"/>
        </w:rPr>
        <w:t xml:space="preserve"> </w:t>
      </w:r>
      <w:r>
        <w:t>a</w:t>
      </w:r>
      <w:r>
        <w:rPr>
          <w:spacing w:val="-6"/>
        </w:rPr>
        <w:t xml:space="preserve"> </w:t>
      </w:r>
      <w:r>
        <w:t>student</w:t>
      </w:r>
      <w:r>
        <w:rPr>
          <w:spacing w:val="-6"/>
        </w:rPr>
        <w:t xml:space="preserve"> </w:t>
      </w:r>
      <w:r>
        <w:t>member</w:t>
      </w:r>
      <w:r>
        <w:rPr>
          <w:spacing w:val="-8"/>
        </w:rPr>
        <w:t xml:space="preserve"> </w:t>
      </w:r>
      <w:r>
        <w:t>to</w:t>
      </w:r>
      <w:r>
        <w:rPr>
          <w:spacing w:val="-5"/>
        </w:rPr>
        <w:t xml:space="preserve"> </w:t>
      </w:r>
      <w:r>
        <w:t>the Safe and Supportive Schools Commission.</w:t>
      </w:r>
    </w:p>
    <w:p w:rsidR="00C76E6D" w:rsidRDefault="00C76E6D">
      <w:pPr>
        <w:pStyle w:val="BodyText"/>
        <w:spacing w:before="11"/>
        <w:rPr>
          <w:sz w:val="26"/>
        </w:rPr>
      </w:pPr>
    </w:p>
    <w:p w:rsidR="00C76E6D" w:rsidRDefault="00913831">
      <w:pPr>
        <w:pStyle w:val="Heading6"/>
        <w:numPr>
          <w:ilvl w:val="0"/>
          <w:numId w:val="20"/>
        </w:numPr>
        <w:tabs>
          <w:tab w:val="left" w:pos="698"/>
        </w:tabs>
        <w:ind w:left="697" w:hanging="221"/>
      </w:pPr>
      <w:bookmarkStart w:id="739" w:name="2._Explore_ways_to_increase_data_relatin"/>
      <w:bookmarkEnd w:id="739"/>
      <w:r>
        <w:rPr>
          <w:w w:val="95"/>
        </w:rPr>
        <w:t>Explore</w:t>
      </w:r>
      <w:r>
        <w:rPr>
          <w:spacing w:val="12"/>
        </w:rPr>
        <w:t xml:space="preserve"> </w:t>
      </w:r>
      <w:r>
        <w:rPr>
          <w:w w:val="95"/>
        </w:rPr>
        <w:t>ways</w:t>
      </w:r>
      <w:r>
        <w:rPr>
          <w:spacing w:val="13"/>
        </w:rPr>
        <w:t xml:space="preserve"> </w:t>
      </w:r>
      <w:r>
        <w:rPr>
          <w:w w:val="95"/>
        </w:rPr>
        <w:t>to</w:t>
      </w:r>
      <w:r>
        <w:rPr>
          <w:spacing w:val="9"/>
        </w:rPr>
        <w:t xml:space="preserve"> </w:t>
      </w:r>
      <w:r>
        <w:rPr>
          <w:w w:val="95"/>
        </w:rPr>
        <w:t>increase</w:t>
      </w:r>
      <w:r>
        <w:rPr>
          <w:spacing w:val="8"/>
        </w:rPr>
        <w:t xml:space="preserve"> </w:t>
      </w:r>
      <w:r>
        <w:rPr>
          <w:w w:val="95"/>
        </w:rPr>
        <w:t>data</w:t>
      </w:r>
      <w:r>
        <w:rPr>
          <w:spacing w:val="10"/>
        </w:rPr>
        <w:t xml:space="preserve"> </w:t>
      </w:r>
      <w:r>
        <w:rPr>
          <w:w w:val="95"/>
        </w:rPr>
        <w:t>relating</w:t>
      </w:r>
      <w:r>
        <w:rPr>
          <w:spacing w:val="11"/>
        </w:rPr>
        <w:t xml:space="preserve"> </w:t>
      </w:r>
      <w:r>
        <w:rPr>
          <w:w w:val="95"/>
        </w:rPr>
        <w:t>to</w:t>
      </w:r>
      <w:r>
        <w:rPr>
          <w:spacing w:val="10"/>
        </w:rPr>
        <w:t xml:space="preserve"> </w:t>
      </w:r>
      <w:r>
        <w:rPr>
          <w:w w:val="95"/>
        </w:rPr>
        <w:t>sexual</w:t>
      </w:r>
      <w:r>
        <w:rPr>
          <w:spacing w:val="14"/>
        </w:rPr>
        <w:t xml:space="preserve"> </w:t>
      </w:r>
      <w:r>
        <w:rPr>
          <w:w w:val="95"/>
        </w:rPr>
        <w:t>orientation,</w:t>
      </w:r>
      <w:r>
        <w:rPr>
          <w:spacing w:val="8"/>
        </w:rPr>
        <w:t xml:space="preserve"> </w:t>
      </w:r>
      <w:r>
        <w:rPr>
          <w:w w:val="95"/>
        </w:rPr>
        <w:t>gender</w:t>
      </w:r>
      <w:r>
        <w:rPr>
          <w:spacing w:val="9"/>
        </w:rPr>
        <w:t xml:space="preserve"> </w:t>
      </w:r>
      <w:r>
        <w:rPr>
          <w:w w:val="95"/>
        </w:rPr>
        <w:t>i</w:t>
      </w:r>
      <w:r>
        <w:rPr>
          <w:w w:val="95"/>
        </w:rPr>
        <w:t>dentity,</w:t>
      </w:r>
      <w:r>
        <w:rPr>
          <w:spacing w:val="10"/>
        </w:rPr>
        <w:t xml:space="preserve"> </w:t>
      </w:r>
      <w:r>
        <w:rPr>
          <w:w w:val="95"/>
        </w:rPr>
        <w:t>and</w:t>
      </w:r>
      <w:r>
        <w:rPr>
          <w:spacing w:val="11"/>
        </w:rPr>
        <w:t xml:space="preserve"> </w:t>
      </w:r>
      <w:r>
        <w:rPr>
          <w:w w:val="95"/>
        </w:rPr>
        <w:t>gender</w:t>
      </w:r>
      <w:r>
        <w:rPr>
          <w:spacing w:val="16"/>
        </w:rPr>
        <w:t xml:space="preserve"> </w:t>
      </w:r>
      <w:r>
        <w:rPr>
          <w:spacing w:val="-2"/>
          <w:w w:val="95"/>
        </w:rPr>
        <w:t>expression.</w:t>
      </w:r>
    </w:p>
    <w:p w:rsidR="00C76E6D" w:rsidRDefault="00C76E6D">
      <w:pPr>
        <w:pStyle w:val="BodyText"/>
        <w:spacing w:before="4"/>
        <w:rPr>
          <w:b/>
          <w:sz w:val="30"/>
        </w:rPr>
      </w:pPr>
    </w:p>
    <w:p w:rsidR="00C76E6D" w:rsidRDefault="00913831">
      <w:pPr>
        <w:pStyle w:val="BodyText"/>
        <w:spacing w:line="276" w:lineRule="auto"/>
        <w:ind w:left="768" w:right="473" w:hanging="2"/>
        <w:jc w:val="both"/>
      </w:pPr>
      <w:r>
        <w:t>Massachusetts</w:t>
      </w:r>
      <w:r>
        <w:rPr>
          <w:spacing w:val="-2"/>
        </w:rPr>
        <w:t xml:space="preserve"> </w:t>
      </w:r>
      <w:r>
        <w:t>has</w:t>
      </w:r>
      <w:r>
        <w:rPr>
          <w:spacing w:val="-1"/>
        </w:rPr>
        <w:t xml:space="preserve"> </w:t>
      </w:r>
      <w:r>
        <w:t>made great</w:t>
      </w:r>
      <w:r>
        <w:rPr>
          <w:spacing w:val="-3"/>
        </w:rPr>
        <w:t xml:space="preserve"> </w:t>
      </w:r>
      <w:r>
        <w:t>progress</w:t>
      </w:r>
      <w:r>
        <w:rPr>
          <w:spacing w:val="-2"/>
        </w:rPr>
        <w:t xml:space="preserve"> </w:t>
      </w:r>
      <w:r>
        <w:t>in</w:t>
      </w:r>
      <w:r>
        <w:rPr>
          <w:spacing w:val="-3"/>
        </w:rPr>
        <w:t xml:space="preserve"> </w:t>
      </w:r>
      <w:r>
        <w:t>increasing</w:t>
      </w:r>
      <w:r>
        <w:rPr>
          <w:spacing w:val="-3"/>
        </w:rPr>
        <w:t xml:space="preserve"> </w:t>
      </w:r>
      <w:r>
        <w:t>data</w:t>
      </w:r>
      <w:r>
        <w:rPr>
          <w:spacing w:val="-1"/>
        </w:rPr>
        <w:t xml:space="preserve"> </w:t>
      </w:r>
      <w:r>
        <w:t>on</w:t>
      </w:r>
      <w:r>
        <w:rPr>
          <w:spacing w:val="-3"/>
        </w:rPr>
        <w:t xml:space="preserve"> </w:t>
      </w:r>
      <w:r>
        <w:t>sexual</w:t>
      </w:r>
      <w:r>
        <w:rPr>
          <w:spacing w:val="-3"/>
        </w:rPr>
        <w:t xml:space="preserve"> </w:t>
      </w:r>
      <w:r>
        <w:t>orientation,</w:t>
      </w:r>
      <w:r>
        <w:rPr>
          <w:spacing w:val="-2"/>
        </w:rPr>
        <w:t xml:space="preserve"> </w:t>
      </w:r>
      <w:r>
        <w:t>gender</w:t>
      </w:r>
      <w:r>
        <w:rPr>
          <w:spacing w:val="-2"/>
        </w:rPr>
        <w:t xml:space="preserve"> </w:t>
      </w:r>
      <w:r>
        <w:t>identity,</w:t>
      </w:r>
      <w:r>
        <w:rPr>
          <w:spacing w:val="-2"/>
        </w:rPr>
        <w:t xml:space="preserve"> </w:t>
      </w:r>
      <w:r>
        <w:t>and gender expression (SOGIE) with respect to the student population. For example, such measures are now</w:t>
      </w:r>
      <w:r>
        <w:rPr>
          <w:spacing w:val="-3"/>
        </w:rPr>
        <w:t xml:space="preserve"> </w:t>
      </w:r>
      <w:r>
        <w:t>included</w:t>
      </w:r>
      <w:r>
        <w:rPr>
          <w:spacing w:val="-2"/>
        </w:rPr>
        <w:t xml:space="preserve"> </w:t>
      </w:r>
      <w:r>
        <w:t>in the MYRBS.</w:t>
      </w:r>
      <w:r>
        <w:rPr>
          <w:spacing w:val="-2"/>
        </w:rPr>
        <w:t xml:space="preserve"> </w:t>
      </w:r>
      <w:r>
        <w:t>The</w:t>
      </w:r>
      <w:r>
        <w:rPr>
          <w:spacing w:val="-1"/>
        </w:rPr>
        <w:t xml:space="preserve"> </w:t>
      </w:r>
      <w:r>
        <w:t>Commission</w:t>
      </w:r>
      <w:r>
        <w:rPr>
          <w:spacing w:val="-3"/>
        </w:rPr>
        <w:t xml:space="preserve"> </w:t>
      </w:r>
      <w:r>
        <w:t>encourages</w:t>
      </w:r>
      <w:r>
        <w:rPr>
          <w:spacing w:val="-2"/>
        </w:rPr>
        <w:t xml:space="preserve"> </w:t>
      </w:r>
      <w:r>
        <w:t>DESE</w:t>
      </w:r>
      <w:r>
        <w:rPr>
          <w:spacing w:val="-2"/>
        </w:rPr>
        <w:t xml:space="preserve"> </w:t>
      </w:r>
      <w:r>
        <w:t>to continue</w:t>
      </w:r>
      <w:r>
        <w:rPr>
          <w:spacing w:val="-2"/>
        </w:rPr>
        <w:t xml:space="preserve"> </w:t>
      </w:r>
      <w:r>
        <w:t>exploring</w:t>
      </w:r>
      <w:r>
        <w:rPr>
          <w:spacing w:val="-3"/>
        </w:rPr>
        <w:t xml:space="preserve"> </w:t>
      </w:r>
      <w:r>
        <w:t>how to increase SOGIE data and thus better understand the needs and opportunities to serve LGBTQ students. For example,</w:t>
      </w:r>
      <w:r>
        <w:rPr>
          <w:spacing w:val="-5"/>
        </w:rPr>
        <w:t xml:space="preserve"> </w:t>
      </w:r>
      <w:r>
        <w:t>the</w:t>
      </w:r>
      <w:r>
        <w:rPr>
          <w:spacing w:val="-5"/>
        </w:rPr>
        <w:t xml:space="preserve"> </w:t>
      </w:r>
      <w:r>
        <w:t>Commission</w:t>
      </w:r>
      <w:r>
        <w:rPr>
          <w:spacing w:val="-7"/>
        </w:rPr>
        <w:t xml:space="preserve"> </w:t>
      </w:r>
      <w:r>
        <w:t>is</w:t>
      </w:r>
      <w:r>
        <w:rPr>
          <w:spacing w:val="-6"/>
        </w:rPr>
        <w:t xml:space="preserve"> </w:t>
      </w:r>
      <w:r>
        <w:t>very</w:t>
      </w:r>
      <w:r>
        <w:rPr>
          <w:spacing w:val="-6"/>
        </w:rPr>
        <w:t xml:space="preserve"> </w:t>
      </w:r>
      <w:r>
        <w:t>interested</w:t>
      </w:r>
      <w:r>
        <w:rPr>
          <w:spacing w:val="-6"/>
        </w:rPr>
        <w:t xml:space="preserve"> </w:t>
      </w:r>
      <w:r>
        <w:t>in</w:t>
      </w:r>
      <w:r>
        <w:rPr>
          <w:spacing w:val="-5"/>
        </w:rPr>
        <w:t xml:space="preserve"> </w:t>
      </w:r>
      <w:r>
        <w:t>how</w:t>
      </w:r>
      <w:r>
        <w:rPr>
          <w:spacing w:val="-6"/>
        </w:rPr>
        <w:t xml:space="preserve"> </w:t>
      </w:r>
      <w:r>
        <w:t>LGBTQ</w:t>
      </w:r>
      <w:r>
        <w:rPr>
          <w:spacing w:val="-8"/>
        </w:rPr>
        <w:t xml:space="preserve"> </w:t>
      </w:r>
      <w:r>
        <w:t>students</w:t>
      </w:r>
      <w:r>
        <w:rPr>
          <w:spacing w:val="-6"/>
        </w:rPr>
        <w:t xml:space="preserve"> </w:t>
      </w:r>
      <w:r>
        <w:t>are</w:t>
      </w:r>
      <w:r>
        <w:rPr>
          <w:spacing w:val="-7"/>
        </w:rPr>
        <w:t xml:space="preserve"> </w:t>
      </w:r>
      <w:r>
        <w:t>affected</w:t>
      </w:r>
      <w:r>
        <w:rPr>
          <w:spacing w:val="-4"/>
        </w:rPr>
        <w:t xml:space="preserve"> </w:t>
      </w:r>
      <w:r>
        <w:t>by</w:t>
      </w:r>
      <w:r>
        <w:rPr>
          <w:spacing w:val="-6"/>
        </w:rPr>
        <w:t xml:space="preserve"> </w:t>
      </w:r>
      <w:r>
        <w:t>school</w:t>
      </w:r>
      <w:r>
        <w:rPr>
          <w:spacing w:val="-7"/>
        </w:rPr>
        <w:t xml:space="preserve"> </w:t>
      </w:r>
      <w:r>
        <w:t>disciplinary measures,</w:t>
      </w:r>
      <w:r>
        <w:rPr>
          <w:spacing w:val="-6"/>
        </w:rPr>
        <w:t xml:space="preserve"> </w:t>
      </w:r>
      <w:r>
        <w:t>but</w:t>
      </w:r>
      <w:r>
        <w:rPr>
          <w:spacing w:val="-8"/>
        </w:rPr>
        <w:t xml:space="preserve"> </w:t>
      </w:r>
      <w:r>
        <w:t>SOGIE</w:t>
      </w:r>
      <w:r>
        <w:rPr>
          <w:spacing w:val="-7"/>
        </w:rPr>
        <w:t xml:space="preserve"> </w:t>
      </w:r>
      <w:r>
        <w:t>data</w:t>
      </w:r>
      <w:r>
        <w:rPr>
          <w:spacing w:val="-6"/>
        </w:rPr>
        <w:t xml:space="preserve"> </w:t>
      </w:r>
      <w:r>
        <w:t>is</w:t>
      </w:r>
      <w:r>
        <w:rPr>
          <w:spacing w:val="-6"/>
        </w:rPr>
        <w:t xml:space="preserve"> </w:t>
      </w:r>
      <w:r>
        <w:t>not</w:t>
      </w:r>
      <w:r>
        <w:rPr>
          <w:spacing w:val="-7"/>
        </w:rPr>
        <w:t xml:space="preserve"> </w:t>
      </w:r>
      <w:r>
        <w:t>currently</w:t>
      </w:r>
      <w:r>
        <w:rPr>
          <w:spacing w:val="-6"/>
        </w:rPr>
        <w:t xml:space="preserve"> </w:t>
      </w:r>
      <w:r>
        <w:t>being</w:t>
      </w:r>
      <w:r>
        <w:rPr>
          <w:spacing w:val="-6"/>
        </w:rPr>
        <w:t xml:space="preserve"> </w:t>
      </w:r>
      <w:r>
        <w:t>collected</w:t>
      </w:r>
      <w:r>
        <w:rPr>
          <w:spacing w:val="-5"/>
        </w:rPr>
        <w:t xml:space="preserve"> </w:t>
      </w:r>
      <w:r>
        <w:t>beyond</w:t>
      </w:r>
      <w:r>
        <w:rPr>
          <w:spacing w:val="-7"/>
        </w:rPr>
        <w:t xml:space="preserve"> </w:t>
      </w:r>
      <w:r>
        <w:t>a</w:t>
      </w:r>
      <w:r>
        <w:rPr>
          <w:spacing w:val="-5"/>
        </w:rPr>
        <w:t xml:space="preserve"> </w:t>
      </w:r>
      <w:r>
        <w:t>student’s</w:t>
      </w:r>
      <w:r>
        <w:rPr>
          <w:spacing w:val="-6"/>
        </w:rPr>
        <w:t xml:space="preserve"> </w:t>
      </w:r>
      <w:r>
        <w:t>gender.</w:t>
      </w:r>
      <w:r>
        <w:rPr>
          <w:spacing w:val="-7"/>
        </w:rPr>
        <w:t xml:space="preserve"> </w:t>
      </w:r>
      <w:r>
        <w:t>Learning</w:t>
      </w:r>
      <w:r>
        <w:rPr>
          <w:spacing w:val="-5"/>
        </w:rPr>
        <w:t xml:space="preserve"> </w:t>
      </w:r>
      <w:r>
        <w:t>how</w:t>
      </w:r>
      <w:r>
        <w:rPr>
          <w:spacing w:val="-6"/>
        </w:rPr>
        <w:t xml:space="preserve"> </w:t>
      </w:r>
      <w:r>
        <w:t>to effectively</w:t>
      </w:r>
      <w:r>
        <w:rPr>
          <w:spacing w:val="-13"/>
        </w:rPr>
        <w:t xml:space="preserve"> </w:t>
      </w:r>
      <w:r>
        <w:t>and</w:t>
      </w:r>
      <w:r>
        <w:rPr>
          <w:spacing w:val="-12"/>
        </w:rPr>
        <w:t xml:space="preserve"> </w:t>
      </w:r>
      <w:r>
        <w:t>safely</w:t>
      </w:r>
      <w:r>
        <w:rPr>
          <w:spacing w:val="-13"/>
        </w:rPr>
        <w:t xml:space="preserve"> </w:t>
      </w:r>
      <w:r>
        <w:t>collect</w:t>
      </w:r>
      <w:r>
        <w:rPr>
          <w:spacing w:val="-12"/>
        </w:rPr>
        <w:t xml:space="preserve"> </w:t>
      </w:r>
      <w:r>
        <w:t>this</w:t>
      </w:r>
      <w:r>
        <w:rPr>
          <w:spacing w:val="-13"/>
        </w:rPr>
        <w:t xml:space="preserve"> </w:t>
      </w:r>
      <w:r>
        <w:t>data</w:t>
      </w:r>
      <w:r>
        <w:rPr>
          <w:spacing w:val="-12"/>
        </w:rPr>
        <w:t xml:space="preserve"> </w:t>
      </w:r>
      <w:r>
        <w:t>could</w:t>
      </w:r>
      <w:r>
        <w:rPr>
          <w:spacing w:val="-13"/>
        </w:rPr>
        <w:t xml:space="preserve"> </w:t>
      </w:r>
      <w:r>
        <w:t>shine</w:t>
      </w:r>
      <w:r>
        <w:rPr>
          <w:spacing w:val="-12"/>
        </w:rPr>
        <w:t xml:space="preserve"> </w:t>
      </w:r>
      <w:r>
        <w:t>new</w:t>
      </w:r>
      <w:r>
        <w:rPr>
          <w:spacing w:val="-12"/>
        </w:rPr>
        <w:t xml:space="preserve"> </w:t>
      </w:r>
      <w:r>
        <w:t>light</w:t>
      </w:r>
      <w:r>
        <w:rPr>
          <w:spacing w:val="-13"/>
        </w:rPr>
        <w:t xml:space="preserve"> </w:t>
      </w:r>
      <w:r>
        <w:t>on</w:t>
      </w:r>
      <w:r>
        <w:rPr>
          <w:spacing w:val="-12"/>
        </w:rPr>
        <w:t xml:space="preserve"> </w:t>
      </w:r>
      <w:r>
        <w:t>whether</w:t>
      </w:r>
      <w:r>
        <w:rPr>
          <w:spacing w:val="-13"/>
        </w:rPr>
        <w:t xml:space="preserve"> </w:t>
      </w:r>
      <w:r>
        <w:t>LGBTQ</w:t>
      </w:r>
      <w:r>
        <w:rPr>
          <w:spacing w:val="-12"/>
        </w:rPr>
        <w:t xml:space="preserve"> </w:t>
      </w:r>
      <w:r>
        <w:t>students</w:t>
      </w:r>
      <w:r>
        <w:rPr>
          <w:spacing w:val="-13"/>
        </w:rPr>
        <w:t xml:space="preserve"> </w:t>
      </w:r>
      <w:r>
        <w:t>face</w:t>
      </w:r>
      <w:r>
        <w:rPr>
          <w:spacing w:val="-12"/>
        </w:rPr>
        <w:t xml:space="preserve"> </w:t>
      </w:r>
      <w:r>
        <w:t>disparities with respect to discipline in Massachusetts schools, as seems likely given other available data points on discriminatory/disproportionate discipline of LGBTQ youth at the national level. The Commission also urges DESE to explore ways to include</w:t>
      </w:r>
      <w:r>
        <w:t xml:space="preserve"> students in SOGIE data collection who may be excluded from surveys and other traditional means of data collection.</w:t>
      </w:r>
    </w:p>
    <w:p w:rsidR="00C76E6D" w:rsidRDefault="00C76E6D">
      <w:pPr>
        <w:pStyle w:val="BodyText"/>
        <w:spacing w:before="10"/>
        <w:rPr>
          <w:sz w:val="26"/>
        </w:rPr>
      </w:pPr>
    </w:p>
    <w:p w:rsidR="00C76E6D" w:rsidRDefault="00913831">
      <w:pPr>
        <w:pStyle w:val="BodyText"/>
        <w:spacing w:line="276" w:lineRule="auto"/>
        <w:ind w:left="766" w:right="474"/>
        <w:jc w:val="both"/>
      </w:pPr>
      <w:r>
        <w:t>Another area in which members of the Commission have expressed interest is data relating to SOGIE status and school performance. Massachuse</w:t>
      </w:r>
      <w:r>
        <w:t>tts law requires DESE to develop a student survey on school</w:t>
      </w:r>
      <w:r>
        <w:rPr>
          <w:spacing w:val="-4"/>
        </w:rPr>
        <w:t xml:space="preserve"> </w:t>
      </w:r>
      <w:r>
        <w:t>climate</w:t>
      </w:r>
      <w:r>
        <w:rPr>
          <w:spacing w:val="-4"/>
        </w:rPr>
        <w:t xml:space="preserve"> </w:t>
      </w:r>
      <w:r>
        <w:t>to</w:t>
      </w:r>
      <w:r>
        <w:rPr>
          <w:spacing w:val="-1"/>
        </w:rPr>
        <w:t xml:space="preserve"> </w:t>
      </w:r>
      <w:r>
        <w:t>be</w:t>
      </w:r>
      <w:r>
        <w:rPr>
          <w:spacing w:val="-4"/>
        </w:rPr>
        <w:t xml:space="preserve"> </w:t>
      </w:r>
      <w:r>
        <w:t>administered</w:t>
      </w:r>
      <w:r>
        <w:rPr>
          <w:spacing w:val="-3"/>
        </w:rPr>
        <w:t xml:space="preserve"> </w:t>
      </w:r>
      <w:r>
        <w:t>at</w:t>
      </w:r>
      <w:r>
        <w:rPr>
          <w:spacing w:val="-3"/>
        </w:rPr>
        <w:t xml:space="preserve"> </w:t>
      </w:r>
      <w:r>
        <w:t>least</w:t>
      </w:r>
      <w:r>
        <w:rPr>
          <w:spacing w:val="-4"/>
        </w:rPr>
        <w:t xml:space="preserve"> </w:t>
      </w:r>
      <w:r>
        <w:t>once</w:t>
      </w:r>
      <w:r>
        <w:rPr>
          <w:spacing w:val="-3"/>
        </w:rPr>
        <w:t xml:space="preserve"> </w:t>
      </w:r>
      <w:r>
        <w:t>every</w:t>
      </w:r>
      <w:r>
        <w:rPr>
          <w:spacing w:val="-4"/>
        </w:rPr>
        <w:t xml:space="preserve"> </w:t>
      </w:r>
      <w:r>
        <w:t>four</w:t>
      </w:r>
      <w:r>
        <w:rPr>
          <w:spacing w:val="-4"/>
        </w:rPr>
        <w:t xml:space="preserve"> </w:t>
      </w:r>
      <w:r>
        <w:t>years</w:t>
      </w:r>
      <w:r>
        <w:rPr>
          <w:spacing w:val="-3"/>
        </w:rPr>
        <w:t xml:space="preserve"> </w:t>
      </w:r>
      <w:r>
        <w:t>to</w:t>
      </w:r>
      <w:r>
        <w:rPr>
          <w:spacing w:val="-4"/>
        </w:rPr>
        <w:t xml:space="preserve"> </w:t>
      </w:r>
      <w:r>
        <w:t>assess</w:t>
      </w:r>
      <w:r>
        <w:rPr>
          <w:spacing w:val="-3"/>
        </w:rPr>
        <w:t xml:space="preserve"> </w:t>
      </w:r>
      <w:r>
        <w:t>the</w:t>
      </w:r>
      <w:r>
        <w:rPr>
          <w:spacing w:val="-2"/>
        </w:rPr>
        <w:t xml:space="preserve"> </w:t>
      </w:r>
      <w:r>
        <w:t>prevalence,</w:t>
      </w:r>
      <w:r>
        <w:rPr>
          <w:spacing w:val="-2"/>
        </w:rPr>
        <w:t xml:space="preserve"> </w:t>
      </w:r>
      <w:r>
        <w:t>nature,</w:t>
      </w:r>
      <w:r>
        <w:rPr>
          <w:spacing w:val="-4"/>
        </w:rPr>
        <w:t xml:space="preserve"> </w:t>
      </w:r>
      <w:r>
        <w:t>and severity of bullying in schools. As DESE has begun to administer this survey, the Commission encoura</w:t>
      </w:r>
      <w:r>
        <w:t>ges DESE to include more questions that ask if students observe bullying at one’s school on the basis of sexual orientation, gender identity, and/or gender expression and whether students themselves experienced bullying based on their real or perceived SOG</w:t>
      </w:r>
      <w:r>
        <w:t>IE status. Additionally, DESE notes</w:t>
      </w:r>
      <w:r>
        <w:rPr>
          <w:spacing w:val="-3"/>
        </w:rPr>
        <w:t xml:space="preserve"> </w:t>
      </w:r>
      <w:r>
        <w:t>that</w:t>
      </w:r>
      <w:r>
        <w:rPr>
          <w:spacing w:val="-4"/>
        </w:rPr>
        <w:t xml:space="preserve"> </w:t>
      </w:r>
      <w:r>
        <w:t>important</w:t>
      </w:r>
      <w:r>
        <w:rPr>
          <w:spacing w:val="-4"/>
        </w:rPr>
        <w:t xml:space="preserve"> </w:t>
      </w:r>
      <w:r>
        <w:t>data</w:t>
      </w:r>
      <w:r>
        <w:rPr>
          <w:spacing w:val="-1"/>
        </w:rPr>
        <w:t xml:space="preserve"> </w:t>
      </w:r>
      <w:r>
        <w:t>on</w:t>
      </w:r>
      <w:r>
        <w:rPr>
          <w:spacing w:val="-4"/>
        </w:rPr>
        <w:t xml:space="preserve"> </w:t>
      </w:r>
      <w:r>
        <w:t>LGBTQ</w:t>
      </w:r>
      <w:r>
        <w:rPr>
          <w:spacing w:val="-4"/>
        </w:rPr>
        <w:t xml:space="preserve"> </w:t>
      </w:r>
      <w:r>
        <w:t>status</w:t>
      </w:r>
      <w:r>
        <w:rPr>
          <w:spacing w:val="-4"/>
        </w:rPr>
        <w:t xml:space="preserve"> </w:t>
      </w:r>
      <w:r>
        <w:t>and</w:t>
      </w:r>
      <w:r>
        <w:rPr>
          <w:spacing w:val="-4"/>
        </w:rPr>
        <w:t xml:space="preserve"> </w:t>
      </w:r>
      <w:r>
        <w:t>bullying</w:t>
      </w:r>
      <w:r>
        <w:rPr>
          <w:spacing w:val="-4"/>
        </w:rPr>
        <w:t xml:space="preserve"> </w:t>
      </w:r>
      <w:r>
        <w:t>is</w:t>
      </w:r>
      <w:r>
        <w:rPr>
          <w:spacing w:val="-3"/>
        </w:rPr>
        <w:t xml:space="preserve"> </w:t>
      </w:r>
      <w:r>
        <w:t>already</w:t>
      </w:r>
      <w:r>
        <w:rPr>
          <w:spacing w:val="-2"/>
        </w:rPr>
        <w:t xml:space="preserve"> </w:t>
      </w:r>
      <w:r>
        <w:t>available</w:t>
      </w:r>
      <w:r>
        <w:rPr>
          <w:spacing w:val="-4"/>
        </w:rPr>
        <w:t xml:space="preserve"> </w:t>
      </w:r>
      <w:r>
        <w:t>through</w:t>
      </w:r>
      <w:r>
        <w:rPr>
          <w:spacing w:val="-4"/>
        </w:rPr>
        <w:t xml:space="preserve"> </w:t>
      </w:r>
      <w:r>
        <w:t>the</w:t>
      </w:r>
      <w:r>
        <w:rPr>
          <w:spacing w:val="-3"/>
        </w:rPr>
        <w:t xml:space="preserve"> </w:t>
      </w:r>
      <w:r>
        <w:t>MYRBS.</w:t>
      </w:r>
      <w:r>
        <w:rPr>
          <w:spacing w:val="-5"/>
        </w:rPr>
        <w:t xml:space="preserve"> </w:t>
      </w:r>
      <w:r>
        <w:t>DESE has</w:t>
      </w:r>
      <w:r>
        <w:rPr>
          <w:spacing w:val="-5"/>
        </w:rPr>
        <w:t xml:space="preserve"> </w:t>
      </w:r>
      <w:r>
        <w:t>expressed</w:t>
      </w:r>
      <w:r>
        <w:rPr>
          <w:spacing w:val="-6"/>
        </w:rPr>
        <w:t xml:space="preserve"> </w:t>
      </w:r>
      <w:r>
        <w:t>continued</w:t>
      </w:r>
      <w:r>
        <w:rPr>
          <w:spacing w:val="-6"/>
        </w:rPr>
        <w:t xml:space="preserve"> </w:t>
      </w:r>
      <w:r>
        <w:t>interest</w:t>
      </w:r>
      <w:r>
        <w:rPr>
          <w:spacing w:val="-6"/>
        </w:rPr>
        <w:t xml:space="preserve"> </w:t>
      </w:r>
      <w:r>
        <w:t>in</w:t>
      </w:r>
      <w:r>
        <w:rPr>
          <w:spacing w:val="-5"/>
        </w:rPr>
        <w:t xml:space="preserve"> </w:t>
      </w:r>
      <w:r>
        <w:t>considering</w:t>
      </w:r>
      <w:r>
        <w:rPr>
          <w:spacing w:val="-6"/>
        </w:rPr>
        <w:t xml:space="preserve"> </w:t>
      </w:r>
      <w:r>
        <w:t>and</w:t>
      </w:r>
      <w:r>
        <w:rPr>
          <w:spacing w:val="-5"/>
        </w:rPr>
        <w:t xml:space="preserve"> </w:t>
      </w:r>
      <w:r>
        <w:t>discussing</w:t>
      </w:r>
      <w:r>
        <w:rPr>
          <w:spacing w:val="-6"/>
        </w:rPr>
        <w:t xml:space="preserve"> </w:t>
      </w:r>
      <w:r>
        <w:t>how</w:t>
      </w:r>
      <w:r>
        <w:rPr>
          <w:spacing w:val="-5"/>
        </w:rPr>
        <w:t xml:space="preserve"> </w:t>
      </w:r>
      <w:r>
        <w:t>to</w:t>
      </w:r>
      <w:r>
        <w:rPr>
          <w:spacing w:val="-5"/>
        </w:rPr>
        <w:t xml:space="preserve"> </w:t>
      </w:r>
      <w:r>
        <w:t>best</w:t>
      </w:r>
      <w:r>
        <w:rPr>
          <w:spacing w:val="-5"/>
        </w:rPr>
        <w:t xml:space="preserve"> </w:t>
      </w:r>
      <w:r>
        <w:t>help</w:t>
      </w:r>
      <w:r>
        <w:rPr>
          <w:spacing w:val="-7"/>
        </w:rPr>
        <w:t xml:space="preserve"> </w:t>
      </w:r>
      <w:r>
        <w:t>schools,</w:t>
      </w:r>
      <w:r>
        <w:rPr>
          <w:spacing w:val="-5"/>
        </w:rPr>
        <w:t xml:space="preserve"> </w:t>
      </w:r>
      <w:r>
        <w:t>districts,</w:t>
      </w:r>
      <w:r>
        <w:rPr>
          <w:spacing w:val="-5"/>
        </w:rPr>
        <w:t xml:space="preserve"> </w:t>
      </w:r>
      <w:r>
        <w:t>and the state collect and share information that will be helpful and not potentially harmful to students.</w:t>
      </w:r>
    </w:p>
    <w:p w:rsidR="00C76E6D" w:rsidRDefault="00C76E6D">
      <w:pPr>
        <w:pStyle w:val="BodyText"/>
        <w:spacing w:before="4"/>
        <w:rPr>
          <w:sz w:val="25"/>
        </w:rPr>
      </w:pPr>
    </w:p>
    <w:p w:rsidR="00C76E6D" w:rsidRDefault="00913831">
      <w:pPr>
        <w:pStyle w:val="BodyText"/>
        <w:spacing w:line="276" w:lineRule="auto"/>
        <w:ind w:left="766" w:right="476"/>
        <w:jc w:val="both"/>
      </w:pPr>
      <w:r>
        <w:t>The</w:t>
      </w:r>
      <w:r>
        <w:rPr>
          <w:spacing w:val="-1"/>
        </w:rPr>
        <w:t xml:space="preserve"> </w:t>
      </w:r>
      <w:r>
        <w:t>Commission</w:t>
      </w:r>
      <w:r>
        <w:rPr>
          <w:spacing w:val="-2"/>
        </w:rPr>
        <w:t xml:space="preserve"> </w:t>
      </w:r>
      <w:r>
        <w:t>recommends</w:t>
      </w:r>
      <w:r>
        <w:rPr>
          <w:spacing w:val="-1"/>
        </w:rPr>
        <w:t xml:space="preserve"> </w:t>
      </w:r>
      <w:r>
        <w:t>more</w:t>
      </w:r>
      <w:r>
        <w:rPr>
          <w:spacing w:val="-1"/>
        </w:rPr>
        <w:t xml:space="preserve"> </w:t>
      </w:r>
      <w:r>
        <w:t>opportunities</w:t>
      </w:r>
      <w:r>
        <w:rPr>
          <w:spacing w:val="-1"/>
        </w:rPr>
        <w:t xml:space="preserve"> </w:t>
      </w:r>
      <w:r>
        <w:t>for</w:t>
      </w:r>
      <w:r>
        <w:rPr>
          <w:spacing w:val="-1"/>
        </w:rPr>
        <w:t xml:space="preserve"> </w:t>
      </w:r>
      <w:r>
        <w:t>student-led and</w:t>
      </w:r>
      <w:r>
        <w:rPr>
          <w:spacing w:val="-1"/>
        </w:rPr>
        <w:t xml:space="preserve"> </w:t>
      </w:r>
      <w:r>
        <w:t>community-led</w:t>
      </w:r>
      <w:r>
        <w:rPr>
          <w:spacing w:val="-1"/>
        </w:rPr>
        <w:t xml:space="preserve"> </w:t>
      </w:r>
      <w:r>
        <w:t>data</w:t>
      </w:r>
      <w:r>
        <w:rPr>
          <w:spacing w:val="-1"/>
        </w:rPr>
        <w:t xml:space="preserve"> </w:t>
      </w:r>
      <w:r>
        <w:t>collection and</w:t>
      </w:r>
      <w:r>
        <w:rPr>
          <w:spacing w:val="-11"/>
        </w:rPr>
        <w:t xml:space="preserve"> </w:t>
      </w:r>
      <w:r>
        <w:t>analysis</w:t>
      </w:r>
      <w:r>
        <w:rPr>
          <w:spacing w:val="-10"/>
        </w:rPr>
        <w:t xml:space="preserve"> </w:t>
      </w:r>
      <w:r>
        <w:t>to</w:t>
      </w:r>
      <w:r>
        <w:rPr>
          <w:spacing w:val="-11"/>
        </w:rPr>
        <w:t xml:space="preserve"> </w:t>
      </w:r>
      <w:r>
        <w:t>provide</w:t>
      </w:r>
      <w:r>
        <w:rPr>
          <w:spacing w:val="-10"/>
        </w:rPr>
        <w:t xml:space="preserve"> </w:t>
      </w:r>
      <w:r>
        <w:t>more</w:t>
      </w:r>
      <w:r>
        <w:rPr>
          <w:spacing w:val="-11"/>
        </w:rPr>
        <w:t xml:space="preserve"> </w:t>
      </w:r>
      <w:r>
        <w:t>local-level</w:t>
      </w:r>
      <w:r>
        <w:rPr>
          <w:spacing w:val="-9"/>
        </w:rPr>
        <w:t xml:space="preserve"> </w:t>
      </w:r>
      <w:r>
        <w:t>information,</w:t>
      </w:r>
      <w:r>
        <w:rPr>
          <w:spacing w:val="-11"/>
        </w:rPr>
        <w:t xml:space="preserve"> </w:t>
      </w:r>
      <w:r>
        <w:t>as</w:t>
      </w:r>
      <w:r>
        <w:rPr>
          <w:spacing w:val="-11"/>
        </w:rPr>
        <w:t xml:space="preserve"> </w:t>
      </w:r>
      <w:r>
        <w:t>well</w:t>
      </w:r>
      <w:r>
        <w:rPr>
          <w:spacing w:val="-11"/>
        </w:rPr>
        <w:t xml:space="preserve"> </w:t>
      </w:r>
      <w:r>
        <w:t>as</w:t>
      </w:r>
      <w:r>
        <w:rPr>
          <w:spacing w:val="-10"/>
        </w:rPr>
        <w:t xml:space="preserve"> </w:t>
      </w:r>
      <w:r>
        <w:t>community</w:t>
      </w:r>
      <w:r>
        <w:rPr>
          <w:spacing w:val="-10"/>
        </w:rPr>
        <w:t xml:space="preserve"> </w:t>
      </w:r>
      <w:r>
        <w:t>conversations</w:t>
      </w:r>
      <w:r>
        <w:rPr>
          <w:spacing w:val="-11"/>
        </w:rPr>
        <w:t xml:space="preserve"> </w:t>
      </w:r>
      <w:r>
        <w:t>around</w:t>
      </w:r>
      <w:r>
        <w:rPr>
          <w:spacing w:val="-10"/>
        </w:rPr>
        <w:t xml:space="preserve"> </w:t>
      </w:r>
      <w:r>
        <w:t>data. In FY 2023, the Safe Schools Program for LGBTQ Students will enter a partnership with the Getting to “Y”</w:t>
      </w:r>
      <w:r>
        <w:rPr>
          <w:spacing w:val="-2"/>
        </w:rPr>
        <w:t xml:space="preserve"> </w:t>
      </w:r>
      <w:r>
        <w:t>pilot</w:t>
      </w:r>
      <w:r>
        <w:rPr>
          <w:spacing w:val="-3"/>
        </w:rPr>
        <w:t xml:space="preserve"> </w:t>
      </w:r>
      <w:r>
        <w:t>program</w:t>
      </w:r>
      <w:r>
        <w:rPr>
          <w:spacing w:val="-4"/>
        </w:rPr>
        <w:t xml:space="preserve"> </w:t>
      </w:r>
      <w:r>
        <w:t>in</w:t>
      </w:r>
      <w:r>
        <w:rPr>
          <w:spacing w:val="-3"/>
        </w:rPr>
        <w:t xml:space="preserve"> </w:t>
      </w:r>
      <w:r>
        <w:t>collaboration</w:t>
      </w:r>
      <w:r>
        <w:rPr>
          <w:spacing w:val="-3"/>
        </w:rPr>
        <w:t xml:space="preserve"> </w:t>
      </w:r>
      <w:r>
        <w:t>with</w:t>
      </w:r>
      <w:r>
        <w:rPr>
          <w:spacing w:val="-3"/>
        </w:rPr>
        <w:t xml:space="preserve"> </w:t>
      </w:r>
      <w:r>
        <w:t>the</w:t>
      </w:r>
      <w:r>
        <w:rPr>
          <w:spacing w:val="-3"/>
        </w:rPr>
        <w:t xml:space="preserve"> </w:t>
      </w:r>
      <w:r>
        <w:t>Office</w:t>
      </w:r>
      <w:r>
        <w:rPr>
          <w:spacing w:val="-3"/>
        </w:rPr>
        <w:t xml:space="preserve"> </w:t>
      </w:r>
      <w:r>
        <w:t>of</w:t>
      </w:r>
      <w:r>
        <w:rPr>
          <w:spacing w:val="-3"/>
        </w:rPr>
        <w:t xml:space="preserve"> </w:t>
      </w:r>
      <w:r>
        <w:t>Student</w:t>
      </w:r>
      <w:r>
        <w:rPr>
          <w:spacing w:val="-3"/>
        </w:rPr>
        <w:t xml:space="preserve"> </w:t>
      </w:r>
      <w:r>
        <w:t>and</w:t>
      </w:r>
      <w:r>
        <w:rPr>
          <w:spacing w:val="-3"/>
        </w:rPr>
        <w:t xml:space="preserve"> </w:t>
      </w:r>
      <w:r>
        <w:t>Family</w:t>
      </w:r>
      <w:r>
        <w:rPr>
          <w:spacing w:val="-3"/>
        </w:rPr>
        <w:t xml:space="preserve"> </w:t>
      </w:r>
      <w:r>
        <w:t>Support.</w:t>
      </w:r>
      <w:r>
        <w:rPr>
          <w:spacing w:val="-3"/>
        </w:rPr>
        <w:t xml:space="preserve"> </w:t>
      </w:r>
      <w:r>
        <w:t>This</w:t>
      </w:r>
      <w:r>
        <w:rPr>
          <w:spacing w:val="-1"/>
        </w:rPr>
        <w:t xml:space="preserve"> </w:t>
      </w:r>
      <w:r>
        <w:t>partnership</w:t>
      </w:r>
      <w:r>
        <w:rPr>
          <w:spacing w:val="-3"/>
        </w:rPr>
        <w:t xml:space="preserve"> </w:t>
      </w:r>
      <w:r>
        <w:t>will provide opportunities for youth leaders of the GSA Student Leadership Council to address local and statewide YRBS data impacting their communities.</w:t>
      </w:r>
    </w:p>
    <w:p w:rsidR="00C76E6D" w:rsidRDefault="00C76E6D">
      <w:pPr>
        <w:pStyle w:val="BodyText"/>
        <w:spacing w:before="11"/>
        <w:rPr>
          <w:sz w:val="26"/>
        </w:rPr>
      </w:pPr>
    </w:p>
    <w:p w:rsidR="00C76E6D" w:rsidRDefault="00913831">
      <w:pPr>
        <w:pStyle w:val="BodyText"/>
        <w:spacing w:line="276" w:lineRule="auto"/>
        <w:ind w:left="766" w:right="476"/>
        <w:jc w:val="both"/>
      </w:pPr>
      <w:r>
        <w:t>In 2016, DESE updated its school records system to include a nonbinary gender marker. This is importan</w:t>
      </w:r>
      <w:r>
        <w:t>t both on the micro level, in which individual students have their identities recognized and</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767" w:right="478"/>
        <w:jc w:val="both"/>
      </w:pPr>
      <w:r>
        <w:t xml:space="preserve">affirmed, and the macro level, as the statewide data could be useful. However, the usage among students has been much lower than the number who self-identify as gender nonbinary in other instruments. The Commission will continue to support DESE in helping </w:t>
      </w:r>
      <w:r>
        <w:t>to ensure that students who wish to use the nonbinary marker are aware of the option.</w:t>
      </w:r>
    </w:p>
    <w:p w:rsidR="00C76E6D" w:rsidRDefault="00C76E6D">
      <w:pPr>
        <w:pStyle w:val="BodyText"/>
        <w:spacing w:before="11"/>
        <w:rPr>
          <w:sz w:val="26"/>
        </w:rPr>
      </w:pPr>
    </w:p>
    <w:p w:rsidR="00C76E6D" w:rsidRDefault="00913831">
      <w:pPr>
        <w:pStyle w:val="Heading6"/>
        <w:numPr>
          <w:ilvl w:val="0"/>
          <w:numId w:val="20"/>
        </w:numPr>
        <w:tabs>
          <w:tab w:val="left" w:pos="754"/>
        </w:tabs>
        <w:spacing w:line="276" w:lineRule="auto"/>
        <w:ind w:left="478" w:right="626" w:firstLine="0"/>
      </w:pPr>
      <w:bookmarkStart w:id="740" w:name="3._Ensure_LGBTQ_inclusivity_of_all_curri"/>
      <w:bookmarkEnd w:id="740"/>
      <w:r>
        <w:t>Ensure</w:t>
      </w:r>
      <w:r>
        <w:rPr>
          <w:spacing w:val="36"/>
        </w:rPr>
        <w:t xml:space="preserve"> </w:t>
      </w:r>
      <w:r>
        <w:t>LGBTQ</w:t>
      </w:r>
      <w:r>
        <w:rPr>
          <w:spacing w:val="36"/>
        </w:rPr>
        <w:t xml:space="preserve"> </w:t>
      </w:r>
      <w:r>
        <w:t>inclusivity</w:t>
      </w:r>
      <w:r>
        <w:rPr>
          <w:spacing w:val="35"/>
        </w:rPr>
        <w:t xml:space="preserve"> </w:t>
      </w:r>
      <w:r>
        <w:t>of</w:t>
      </w:r>
      <w:r>
        <w:rPr>
          <w:spacing w:val="37"/>
        </w:rPr>
        <w:t xml:space="preserve"> </w:t>
      </w:r>
      <w:r>
        <w:t>all</w:t>
      </w:r>
      <w:r>
        <w:rPr>
          <w:spacing w:val="35"/>
        </w:rPr>
        <w:t xml:space="preserve"> </w:t>
      </w:r>
      <w:r>
        <w:t>curriculum</w:t>
      </w:r>
      <w:r>
        <w:rPr>
          <w:spacing w:val="36"/>
        </w:rPr>
        <w:t xml:space="preserve"> </w:t>
      </w:r>
      <w:r>
        <w:t>initiatives,</w:t>
      </w:r>
      <w:r>
        <w:rPr>
          <w:spacing w:val="35"/>
        </w:rPr>
        <w:t xml:space="preserve"> </w:t>
      </w:r>
      <w:r>
        <w:t>including</w:t>
      </w:r>
      <w:r>
        <w:rPr>
          <w:spacing w:val="35"/>
        </w:rPr>
        <w:t xml:space="preserve"> </w:t>
      </w:r>
      <w:r>
        <w:t>curriculum</w:t>
      </w:r>
      <w:r>
        <w:rPr>
          <w:spacing w:val="36"/>
        </w:rPr>
        <w:t xml:space="preserve"> </w:t>
      </w:r>
      <w:r>
        <w:t>frameworks,</w:t>
      </w:r>
      <w:r>
        <w:rPr>
          <w:spacing w:val="35"/>
        </w:rPr>
        <w:t xml:space="preserve"> </w:t>
      </w:r>
      <w:r>
        <w:t>model curriculum units, and supplementary curricular materials.</w:t>
      </w:r>
    </w:p>
    <w:p w:rsidR="00C76E6D" w:rsidRDefault="00C76E6D">
      <w:pPr>
        <w:pStyle w:val="BodyText"/>
        <w:spacing w:before="10"/>
        <w:rPr>
          <w:b/>
          <w:sz w:val="26"/>
        </w:rPr>
      </w:pPr>
    </w:p>
    <w:p w:rsidR="00C76E6D" w:rsidRDefault="00913831">
      <w:pPr>
        <w:spacing w:line="276" w:lineRule="auto"/>
        <w:ind w:left="766" w:right="478"/>
        <w:jc w:val="both"/>
      </w:pPr>
      <w:r>
        <w:t>Existing curric</w:t>
      </w:r>
      <w:r>
        <w:t xml:space="preserve">ula often fail to reflect LGBTQ people. DESE’s regulation, </w:t>
      </w:r>
      <w:r>
        <w:rPr>
          <w:i/>
        </w:rPr>
        <w:t>Access to Equal Educational Opportunity Regulations for the Student Anti-discrimination Law and Principles for Ensuring Safe and Supportive</w:t>
      </w:r>
      <w:r>
        <w:rPr>
          <w:i/>
          <w:spacing w:val="-11"/>
        </w:rPr>
        <w:t xml:space="preserve"> </w:t>
      </w:r>
      <w:r>
        <w:rPr>
          <w:i/>
        </w:rPr>
        <w:t>Learning</w:t>
      </w:r>
      <w:r>
        <w:rPr>
          <w:i/>
          <w:spacing w:val="-10"/>
        </w:rPr>
        <w:t xml:space="preserve"> </w:t>
      </w:r>
      <w:r>
        <w:rPr>
          <w:i/>
        </w:rPr>
        <w:t>Environments</w:t>
      </w:r>
      <w:r>
        <w:rPr>
          <w:i/>
          <w:spacing w:val="-12"/>
        </w:rPr>
        <w:t xml:space="preserve"> </w:t>
      </w:r>
      <w:r>
        <w:rPr>
          <w:i/>
        </w:rPr>
        <w:t>for</w:t>
      </w:r>
      <w:r>
        <w:rPr>
          <w:i/>
          <w:spacing w:val="-11"/>
        </w:rPr>
        <w:t xml:space="preserve"> </w:t>
      </w:r>
      <w:r>
        <w:rPr>
          <w:i/>
        </w:rPr>
        <w:t>LGBTQ</w:t>
      </w:r>
      <w:r>
        <w:rPr>
          <w:i/>
          <w:spacing w:val="-11"/>
        </w:rPr>
        <w:t xml:space="preserve"> </w:t>
      </w:r>
      <w:r>
        <w:rPr>
          <w:i/>
        </w:rPr>
        <w:t>Students</w:t>
      </w:r>
      <w:r>
        <w:t>,</w:t>
      </w:r>
      <w:r>
        <w:rPr>
          <w:spacing w:val="-11"/>
        </w:rPr>
        <w:t xml:space="preserve"> </w:t>
      </w:r>
      <w:r>
        <w:t>indicates</w:t>
      </w:r>
      <w:r>
        <w:rPr>
          <w:spacing w:val="-11"/>
        </w:rPr>
        <w:t xml:space="preserve"> </w:t>
      </w:r>
      <w:r>
        <w:t>that</w:t>
      </w:r>
      <w:r>
        <w:rPr>
          <w:spacing w:val="-12"/>
        </w:rPr>
        <w:t xml:space="preserve"> </w:t>
      </w:r>
      <w:r>
        <w:t>curricula</w:t>
      </w:r>
      <w:r>
        <w:rPr>
          <w:spacing w:val="-9"/>
        </w:rPr>
        <w:t xml:space="preserve"> </w:t>
      </w:r>
      <w:r>
        <w:t>shall</w:t>
      </w:r>
      <w:r>
        <w:rPr>
          <w:spacing w:val="-11"/>
        </w:rPr>
        <w:t xml:space="preserve"> </w:t>
      </w:r>
      <w:r>
        <w:t>encourage</w:t>
      </w:r>
      <w:r>
        <w:rPr>
          <w:spacing w:val="-11"/>
        </w:rPr>
        <w:t xml:space="preserve"> </w:t>
      </w:r>
      <w:r>
        <w:t>respect for the human and civil rights of all individuals, including LGBTQ individuals. It states:</w:t>
      </w:r>
    </w:p>
    <w:p w:rsidR="00C76E6D" w:rsidRDefault="00C76E6D">
      <w:pPr>
        <w:pStyle w:val="BodyText"/>
        <w:spacing w:before="4"/>
        <w:rPr>
          <w:sz w:val="25"/>
        </w:rPr>
      </w:pPr>
    </w:p>
    <w:p w:rsidR="00C76E6D" w:rsidRDefault="00913831">
      <w:pPr>
        <w:pStyle w:val="BodyText"/>
        <w:spacing w:line="276" w:lineRule="auto"/>
        <w:ind w:left="910" w:right="907"/>
        <w:jc w:val="both"/>
      </w:pPr>
      <w:r>
        <w:t xml:space="preserve">“Research shows that inclusion of LGBTQ topics in curricula corresponds to all students reporting that they feel safer in school, </w:t>
      </w:r>
      <w:r>
        <w:t>regardless of sexual orientation or gender identity. Curricula should reflect issues of sexual orientation and gender identity, as relevant, to be inclusive</w:t>
      </w:r>
      <w:r>
        <w:rPr>
          <w:spacing w:val="-7"/>
        </w:rPr>
        <w:t xml:space="preserve"> </w:t>
      </w:r>
      <w:r>
        <w:t>across</w:t>
      </w:r>
      <w:r>
        <w:rPr>
          <w:spacing w:val="-8"/>
        </w:rPr>
        <w:t xml:space="preserve"> </w:t>
      </w:r>
      <w:r>
        <w:t>subject</w:t>
      </w:r>
      <w:r>
        <w:rPr>
          <w:spacing w:val="-9"/>
        </w:rPr>
        <w:t xml:space="preserve"> </w:t>
      </w:r>
      <w:r>
        <w:t>areas,</w:t>
      </w:r>
      <w:r>
        <w:rPr>
          <w:spacing w:val="-8"/>
        </w:rPr>
        <w:t xml:space="preserve"> </w:t>
      </w:r>
      <w:r>
        <w:t>including,</w:t>
      </w:r>
      <w:r>
        <w:rPr>
          <w:spacing w:val="-5"/>
        </w:rPr>
        <w:t xml:space="preserve"> </w:t>
      </w:r>
      <w:r>
        <w:t>but</w:t>
      </w:r>
      <w:r>
        <w:rPr>
          <w:spacing w:val="-8"/>
        </w:rPr>
        <w:t xml:space="preserve"> </w:t>
      </w:r>
      <w:r>
        <w:t>not</w:t>
      </w:r>
      <w:r>
        <w:rPr>
          <w:spacing w:val="-8"/>
        </w:rPr>
        <w:t xml:space="preserve"> </w:t>
      </w:r>
      <w:r>
        <w:t>limited</w:t>
      </w:r>
      <w:r>
        <w:rPr>
          <w:spacing w:val="-9"/>
        </w:rPr>
        <w:t xml:space="preserve"> </w:t>
      </w:r>
      <w:r>
        <w:t>to,</w:t>
      </w:r>
      <w:r>
        <w:rPr>
          <w:spacing w:val="-7"/>
        </w:rPr>
        <w:t xml:space="preserve"> </w:t>
      </w:r>
      <w:r>
        <w:t>health,</w:t>
      </w:r>
      <w:r>
        <w:rPr>
          <w:spacing w:val="-7"/>
        </w:rPr>
        <w:t xml:space="preserve"> </w:t>
      </w:r>
      <w:r>
        <w:t>social</w:t>
      </w:r>
      <w:r>
        <w:rPr>
          <w:spacing w:val="-9"/>
        </w:rPr>
        <w:t xml:space="preserve"> </w:t>
      </w:r>
      <w:r>
        <w:t>science,</w:t>
      </w:r>
      <w:r>
        <w:rPr>
          <w:spacing w:val="-5"/>
        </w:rPr>
        <w:t xml:space="preserve"> </w:t>
      </w:r>
      <w:r>
        <w:t>language</w:t>
      </w:r>
      <w:r>
        <w:rPr>
          <w:spacing w:val="-8"/>
        </w:rPr>
        <w:t xml:space="preserve"> </w:t>
      </w:r>
      <w:r>
        <w:t>arts, and fam</w:t>
      </w:r>
      <w:r>
        <w:t>ily life curricula.”</w:t>
      </w:r>
      <w:hyperlink w:anchor="_bookmark557" w:history="1">
        <w:r>
          <w:rPr>
            <w:vertAlign w:val="superscript"/>
          </w:rPr>
          <w:t>1</w:t>
        </w:r>
      </w:hyperlink>
    </w:p>
    <w:p w:rsidR="00C76E6D" w:rsidRDefault="00C76E6D">
      <w:pPr>
        <w:pStyle w:val="BodyText"/>
        <w:spacing w:before="5"/>
        <w:rPr>
          <w:sz w:val="25"/>
        </w:rPr>
      </w:pPr>
    </w:p>
    <w:p w:rsidR="00C76E6D" w:rsidRDefault="00913831">
      <w:pPr>
        <w:pStyle w:val="BodyText"/>
        <w:spacing w:line="276" w:lineRule="auto"/>
        <w:ind w:left="768" w:right="473"/>
        <w:jc w:val="both"/>
      </w:pPr>
      <w:r>
        <w:t>The</w:t>
      </w:r>
      <w:r>
        <w:rPr>
          <w:spacing w:val="-13"/>
        </w:rPr>
        <w:t xml:space="preserve"> </w:t>
      </w:r>
      <w:r>
        <w:t>Commission</w:t>
      </w:r>
      <w:r>
        <w:rPr>
          <w:spacing w:val="-12"/>
        </w:rPr>
        <w:t xml:space="preserve"> </w:t>
      </w:r>
      <w:r>
        <w:t>appreciates</w:t>
      </w:r>
      <w:r>
        <w:rPr>
          <w:spacing w:val="-13"/>
        </w:rPr>
        <w:t xml:space="preserve"> </w:t>
      </w:r>
      <w:r>
        <w:t>the</w:t>
      </w:r>
      <w:r>
        <w:rPr>
          <w:spacing w:val="-12"/>
        </w:rPr>
        <w:t xml:space="preserve"> </w:t>
      </w:r>
      <w:r>
        <w:t>work</w:t>
      </w:r>
      <w:r>
        <w:rPr>
          <w:spacing w:val="-13"/>
        </w:rPr>
        <w:t xml:space="preserve"> </w:t>
      </w:r>
      <w:r>
        <w:t>that</w:t>
      </w:r>
      <w:r>
        <w:rPr>
          <w:spacing w:val="-12"/>
        </w:rPr>
        <w:t xml:space="preserve"> </w:t>
      </w:r>
      <w:r>
        <w:t>DESE</w:t>
      </w:r>
      <w:r>
        <w:rPr>
          <w:spacing w:val="-13"/>
        </w:rPr>
        <w:t xml:space="preserve"> </w:t>
      </w:r>
      <w:r>
        <w:t>has</w:t>
      </w:r>
      <w:r>
        <w:rPr>
          <w:spacing w:val="-12"/>
        </w:rPr>
        <w:t xml:space="preserve"> </w:t>
      </w:r>
      <w:r>
        <w:t>done</w:t>
      </w:r>
      <w:r>
        <w:rPr>
          <w:spacing w:val="-12"/>
        </w:rPr>
        <w:t xml:space="preserve"> </w:t>
      </w:r>
      <w:r>
        <w:t>in</w:t>
      </w:r>
      <w:r>
        <w:rPr>
          <w:spacing w:val="-13"/>
        </w:rPr>
        <w:t xml:space="preserve"> </w:t>
      </w:r>
      <w:r>
        <w:t>advancing</w:t>
      </w:r>
      <w:r>
        <w:rPr>
          <w:spacing w:val="-12"/>
        </w:rPr>
        <w:t xml:space="preserve"> </w:t>
      </w:r>
      <w:r>
        <w:t>the</w:t>
      </w:r>
      <w:r>
        <w:rPr>
          <w:spacing w:val="-13"/>
        </w:rPr>
        <w:t xml:space="preserve"> </w:t>
      </w:r>
      <w:r>
        <w:t>LGBTQ-inclusive</w:t>
      </w:r>
      <w:r>
        <w:rPr>
          <w:spacing w:val="-12"/>
        </w:rPr>
        <w:t xml:space="preserve"> </w:t>
      </w:r>
      <w:r>
        <w:t>curriculum materials</w:t>
      </w:r>
      <w:r>
        <w:rPr>
          <w:spacing w:val="-13"/>
        </w:rPr>
        <w:t xml:space="preserve"> </w:t>
      </w:r>
      <w:r>
        <w:t>that</w:t>
      </w:r>
      <w:r>
        <w:rPr>
          <w:spacing w:val="-12"/>
        </w:rPr>
        <w:t xml:space="preserve"> </w:t>
      </w:r>
      <w:r>
        <w:t>has</w:t>
      </w:r>
      <w:r>
        <w:rPr>
          <w:spacing w:val="-13"/>
        </w:rPr>
        <w:t xml:space="preserve"> </w:t>
      </w:r>
      <w:r>
        <w:t>been</w:t>
      </w:r>
      <w:r>
        <w:rPr>
          <w:spacing w:val="-12"/>
        </w:rPr>
        <w:t xml:space="preserve"> </w:t>
      </w:r>
      <w:r>
        <w:t>developed</w:t>
      </w:r>
      <w:r>
        <w:rPr>
          <w:spacing w:val="-13"/>
        </w:rPr>
        <w:t xml:space="preserve"> </w:t>
      </w:r>
      <w:r>
        <w:t>in</w:t>
      </w:r>
      <w:r>
        <w:rPr>
          <w:spacing w:val="-12"/>
        </w:rPr>
        <w:t xml:space="preserve"> </w:t>
      </w:r>
      <w:r>
        <w:t>partnership,</w:t>
      </w:r>
      <w:r>
        <w:rPr>
          <w:spacing w:val="-13"/>
        </w:rPr>
        <w:t xml:space="preserve"> </w:t>
      </w:r>
      <w:r>
        <w:t>and</w:t>
      </w:r>
      <w:r>
        <w:rPr>
          <w:spacing w:val="-12"/>
        </w:rPr>
        <w:t xml:space="preserve"> </w:t>
      </w:r>
      <w:r>
        <w:t>hopes</w:t>
      </w:r>
      <w:r>
        <w:rPr>
          <w:spacing w:val="-12"/>
        </w:rPr>
        <w:t xml:space="preserve"> </w:t>
      </w:r>
      <w:r>
        <w:t>that</w:t>
      </w:r>
      <w:r>
        <w:rPr>
          <w:spacing w:val="-13"/>
        </w:rPr>
        <w:t xml:space="preserve"> </w:t>
      </w:r>
      <w:r>
        <w:t>more</w:t>
      </w:r>
      <w:r>
        <w:rPr>
          <w:spacing w:val="-12"/>
        </w:rPr>
        <w:t xml:space="preserve"> </w:t>
      </w:r>
      <w:r>
        <w:t>materials</w:t>
      </w:r>
      <w:r>
        <w:rPr>
          <w:spacing w:val="-13"/>
        </w:rPr>
        <w:t xml:space="preserve"> </w:t>
      </w:r>
      <w:r>
        <w:t>will</w:t>
      </w:r>
      <w:r>
        <w:rPr>
          <w:spacing w:val="-12"/>
        </w:rPr>
        <w:t xml:space="preserve"> </w:t>
      </w:r>
      <w:r>
        <w:t>become</w:t>
      </w:r>
      <w:r>
        <w:rPr>
          <w:spacing w:val="-13"/>
        </w:rPr>
        <w:t xml:space="preserve"> </w:t>
      </w:r>
      <w:r>
        <w:t>available in FY 2023, including resources in STEM and Spanish language. The Commission recommends, however,</w:t>
      </w:r>
      <w:r>
        <w:rPr>
          <w:spacing w:val="-13"/>
        </w:rPr>
        <w:t xml:space="preserve"> </w:t>
      </w:r>
      <w:r>
        <w:t>that</w:t>
      </w:r>
      <w:r>
        <w:rPr>
          <w:spacing w:val="-12"/>
        </w:rPr>
        <w:t xml:space="preserve"> </w:t>
      </w:r>
      <w:r>
        <w:t>DESE</w:t>
      </w:r>
      <w:r>
        <w:rPr>
          <w:spacing w:val="-13"/>
        </w:rPr>
        <w:t xml:space="preserve"> </w:t>
      </w:r>
      <w:r>
        <w:t>take</w:t>
      </w:r>
      <w:r>
        <w:rPr>
          <w:spacing w:val="-10"/>
        </w:rPr>
        <w:t xml:space="preserve"> </w:t>
      </w:r>
      <w:r>
        <w:t>more</w:t>
      </w:r>
      <w:r>
        <w:rPr>
          <w:spacing w:val="-13"/>
        </w:rPr>
        <w:t xml:space="preserve"> </w:t>
      </w:r>
      <w:r>
        <w:t>active</w:t>
      </w:r>
      <w:r>
        <w:rPr>
          <w:spacing w:val="-12"/>
        </w:rPr>
        <w:t xml:space="preserve"> </w:t>
      </w:r>
      <w:r>
        <w:t>steps</w:t>
      </w:r>
      <w:r>
        <w:rPr>
          <w:spacing w:val="-12"/>
        </w:rPr>
        <w:t xml:space="preserve"> </w:t>
      </w:r>
      <w:r>
        <w:t>in</w:t>
      </w:r>
      <w:r>
        <w:rPr>
          <w:spacing w:val="-12"/>
        </w:rPr>
        <w:t xml:space="preserve"> </w:t>
      </w:r>
      <w:r>
        <w:t>promoting</w:t>
      </w:r>
      <w:r>
        <w:rPr>
          <w:spacing w:val="-13"/>
        </w:rPr>
        <w:t xml:space="preserve"> </w:t>
      </w:r>
      <w:r>
        <w:t>the</w:t>
      </w:r>
      <w:r>
        <w:rPr>
          <w:spacing w:val="-11"/>
        </w:rPr>
        <w:t xml:space="preserve"> </w:t>
      </w:r>
      <w:r>
        <w:t>LGBTQ-inclusive</w:t>
      </w:r>
      <w:r>
        <w:rPr>
          <w:spacing w:val="-11"/>
        </w:rPr>
        <w:t xml:space="preserve"> </w:t>
      </w:r>
      <w:r>
        <w:t>curriculum</w:t>
      </w:r>
      <w:r>
        <w:rPr>
          <w:spacing w:val="-13"/>
        </w:rPr>
        <w:t xml:space="preserve"> </w:t>
      </w:r>
      <w:r>
        <w:t>materials</w:t>
      </w:r>
      <w:r>
        <w:rPr>
          <w:spacing w:val="-11"/>
        </w:rPr>
        <w:t xml:space="preserve"> </w:t>
      </w:r>
      <w:r>
        <w:t>that are currently available to ensure the materials reach as</w:t>
      </w:r>
      <w:r>
        <w:t xml:space="preserve"> many educators and students as possible. As the</w:t>
      </w:r>
      <w:r>
        <w:rPr>
          <w:spacing w:val="-2"/>
        </w:rPr>
        <w:t xml:space="preserve"> </w:t>
      </w:r>
      <w:r>
        <w:t>Commission</w:t>
      </w:r>
      <w:r>
        <w:rPr>
          <w:spacing w:val="-2"/>
        </w:rPr>
        <w:t xml:space="preserve"> </w:t>
      </w:r>
      <w:r>
        <w:t>has</w:t>
      </w:r>
      <w:r>
        <w:rPr>
          <w:spacing w:val="-2"/>
        </w:rPr>
        <w:t xml:space="preserve"> </w:t>
      </w:r>
      <w:r>
        <w:t>received</w:t>
      </w:r>
      <w:r>
        <w:rPr>
          <w:spacing w:val="-2"/>
        </w:rPr>
        <w:t xml:space="preserve"> </w:t>
      </w:r>
      <w:r>
        <w:t>a</w:t>
      </w:r>
      <w:r>
        <w:rPr>
          <w:spacing w:val="-2"/>
        </w:rPr>
        <w:t xml:space="preserve"> </w:t>
      </w:r>
      <w:r>
        <w:t>significant</w:t>
      </w:r>
      <w:r>
        <w:rPr>
          <w:spacing w:val="-2"/>
        </w:rPr>
        <w:t xml:space="preserve"> </w:t>
      </w:r>
      <w:r>
        <w:t>increase</w:t>
      </w:r>
      <w:r>
        <w:rPr>
          <w:spacing w:val="-2"/>
        </w:rPr>
        <w:t xml:space="preserve"> </w:t>
      </w:r>
      <w:r>
        <w:t>to</w:t>
      </w:r>
      <w:r>
        <w:rPr>
          <w:spacing w:val="-1"/>
        </w:rPr>
        <w:t xml:space="preserve"> </w:t>
      </w:r>
      <w:r>
        <w:t>its</w:t>
      </w:r>
      <w:r>
        <w:rPr>
          <w:spacing w:val="-2"/>
        </w:rPr>
        <w:t xml:space="preserve"> </w:t>
      </w:r>
      <w:r>
        <w:t>budget,</w:t>
      </w:r>
      <w:r>
        <w:rPr>
          <w:spacing w:val="-1"/>
        </w:rPr>
        <w:t xml:space="preserve"> </w:t>
      </w:r>
      <w:r>
        <w:t>the</w:t>
      </w:r>
      <w:r>
        <w:rPr>
          <w:spacing w:val="-2"/>
        </w:rPr>
        <w:t xml:space="preserve"> </w:t>
      </w:r>
      <w:r>
        <w:t>Commission</w:t>
      </w:r>
      <w:r>
        <w:rPr>
          <w:spacing w:val="-3"/>
        </w:rPr>
        <w:t xml:space="preserve"> </w:t>
      </w:r>
      <w:r>
        <w:t>would</w:t>
      </w:r>
      <w:r>
        <w:rPr>
          <w:spacing w:val="-2"/>
        </w:rPr>
        <w:t xml:space="preserve"> </w:t>
      </w:r>
      <w:r>
        <w:t>welcome</w:t>
      </w:r>
      <w:r>
        <w:rPr>
          <w:spacing w:val="-2"/>
        </w:rPr>
        <w:t xml:space="preserve"> </w:t>
      </w:r>
      <w:r>
        <w:t>the chance to develop more outreach strategies with DESE to promote these materials.</w:t>
      </w:r>
    </w:p>
    <w:p w:rsidR="00C76E6D" w:rsidRDefault="00C76E6D">
      <w:pPr>
        <w:pStyle w:val="BodyText"/>
        <w:spacing w:before="11"/>
        <w:rPr>
          <w:sz w:val="26"/>
        </w:rPr>
      </w:pPr>
    </w:p>
    <w:p w:rsidR="00C76E6D" w:rsidRDefault="00913831">
      <w:pPr>
        <w:pStyle w:val="BodyText"/>
        <w:spacing w:line="276" w:lineRule="auto"/>
        <w:ind w:left="768" w:right="473" w:hanging="1"/>
        <w:jc w:val="both"/>
      </w:pPr>
      <w:r>
        <w:t>The</w:t>
      </w:r>
      <w:r>
        <w:rPr>
          <w:spacing w:val="-6"/>
        </w:rPr>
        <w:t xml:space="preserve"> </w:t>
      </w:r>
      <w:r>
        <w:t>Commission</w:t>
      </w:r>
      <w:r>
        <w:rPr>
          <w:spacing w:val="-8"/>
        </w:rPr>
        <w:t xml:space="preserve"> </w:t>
      </w:r>
      <w:r>
        <w:t>also</w:t>
      </w:r>
      <w:r>
        <w:rPr>
          <w:spacing w:val="-7"/>
        </w:rPr>
        <w:t xml:space="preserve"> </w:t>
      </w:r>
      <w:r>
        <w:t>appreciates</w:t>
      </w:r>
      <w:r>
        <w:rPr>
          <w:spacing w:val="-6"/>
        </w:rPr>
        <w:t xml:space="preserve"> </w:t>
      </w:r>
      <w:r>
        <w:t>DESE</w:t>
      </w:r>
      <w:r>
        <w:rPr>
          <w:spacing w:val="-7"/>
        </w:rPr>
        <w:t xml:space="preserve"> </w:t>
      </w:r>
      <w:r>
        <w:t>including</w:t>
      </w:r>
      <w:r>
        <w:rPr>
          <w:spacing w:val="-7"/>
        </w:rPr>
        <w:t xml:space="preserve"> </w:t>
      </w:r>
      <w:r>
        <w:t>its</w:t>
      </w:r>
      <w:r>
        <w:rPr>
          <w:spacing w:val="-6"/>
        </w:rPr>
        <w:t xml:space="preserve"> </w:t>
      </w:r>
      <w:r>
        <w:t>staff</w:t>
      </w:r>
      <w:r>
        <w:rPr>
          <w:spacing w:val="-7"/>
        </w:rPr>
        <w:t xml:space="preserve"> </w:t>
      </w:r>
      <w:r>
        <w:t>and</w:t>
      </w:r>
      <w:r>
        <w:rPr>
          <w:spacing w:val="-6"/>
        </w:rPr>
        <w:t xml:space="preserve"> </w:t>
      </w:r>
      <w:r>
        <w:t>consultants</w:t>
      </w:r>
      <w:r>
        <w:rPr>
          <w:spacing w:val="-6"/>
        </w:rPr>
        <w:t xml:space="preserve"> </w:t>
      </w:r>
      <w:r>
        <w:t>in</w:t>
      </w:r>
      <w:r>
        <w:rPr>
          <w:spacing w:val="-5"/>
        </w:rPr>
        <w:t xml:space="preserve"> </w:t>
      </w:r>
      <w:r>
        <w:t>the</w:t>
      </w:r>
      <w:r>
        <w:rPr>
          <w:spacing w:val="-5"/>
        </w:rPr>
        <w:t xml:space="preserve"> </w:t>
      </w:r>
      <w:r>
        <w:t>comprehensive</w:t>
      </w:r>
      <w:r>
        <w:rPr>
          <w:spacing w:val="-8"/>
        </w:rPr>
        <w:t xml:space="preserve"> </w:t>
      </w:r>
      <w:r>
        <w:t>health framework</w:t>
      </w:r>
      <w:r>
        <w:rPr>
          <w:spacing w:val="-3"/>
        </w:rPr>
        <w:t xml:space="preserve"> </w:t>
      </w:r>
      <w:r>
        <w:t>revision</w:t>
      </w:r>
      <w:r>
        <w:rPr>
          <w:spacing w:val="-3"/>
        </w:rPr>
        <w:t xml:space="preserve"> </w:t>
      </w:r>
      <w:r>
        <w:t>process.</w:t>
      </w:r>
      <w:r>
        <w:rPr>
          <w:spacing w:val="-3"/>
        </w:rPr>
        <w:t xml:space="preserve"> </w:t>
      </w:r>
      <w:r>
        <w:t>The</w:t>
      </w:r>
      <w:r>
        <w:rPr>
          <w:spacing w:val="-2"/>
        </w:rPr>
        <w:t xml:space="preserve"> </w:t>
      </w:r>
      <w:r>
        <w:t>Commission</w:t>
      </w:r>
      <w:r>
        <w:rPr>
          <w:spacing w:val="-3"/>
        </w:rPr>
        <w:t xml:space="preserve"> </w:t>
      </w:r>
      <w:r>
        <w:t>believes</w:t>
      </w:r>
      <w:r>
        <w:rPr>
          <w:spacing w:val="-2"/>
        </w:rPr>
        <w:t xml:space="preserve"> </w:t>
      </w:r>
      <w:r>
        <w:t>that</w:t>
      </w:r>
      <w:r>
        <w:rPr>
          <w:spacing w:val="-1"/>
        </w:rPr>
        <w:t xml:space="preserve"> </w:t>
      </w:r>
      <w:r>
        <w:t>the</w:t>
      </w:r>
      <w:r>
        <w:rPr>
          <w:spacing w:val="-1"/>
        </w:rPr>
        <w:t xml:space="preserve"> </w:t>
      </w:r>
      <w:r>
        <w:t>work</w:t>
      </w:r>
      <w:r>
        <w:rPr>
          <w:spacing w:val="-4"/>
        </w:rPr>
        <w:t xml:space="preserve"> </w:t>
      </w:r>
      <w:r>
        <w:t>done</w:t>
      </w:r>
      <w:r>
        <w:rPr>
          <w:spacing w:val="-3"/>
        </w:rPr>
        <w:t xml:space="preserve"> </w:t>
      </w:r>
      <w:r>
        <w:t>so</w:t>
      </w:r>
      <w:r>
        <w:rPr>
          <w:spacing w:val="-1"/>
        </w:rPr>
        <w:t xml:space="preserve"> </w:t>
      </w:r>
      <w:r>
        <w:t>far</w:t>
      </w:r>
      <w:r>
        <w:rPr>
          <w:spacing w:val="-3"/>
        </w:rPr>
        <w:t xml:space="preserve"> </w:t>
      </w:r>
      <w:r>
        <w:t>is</w:t>
      </w:r>
      <w:r>
        <w:rPr>
          <w:spacing w:val="-1"/>
        </w:rPr>
        <w:t xml:space="preserve"> </w:t>
      </w:r>
      <w:r>
        <w:t>promising</w:t>
      </w:r>
      <w:r>
        <w:rPr>
          <w:spacing w:val="-2"/>
        </w:rPr>
        <w:t xml:space="preserve"> </w:t>
      </w:r>
      <w:r>
        <w:t>in</w:t>
      </w:r>
      <w:r>
        <w:rPr>
          <w:spacing w:val="-1"/>
        </w:rPr>
        <w:t xml:space="preserve"> </w:t>
      </w:r>
      <w:r>
        <w:t>terms of</w:t>
      </w:r>
      <w:r>
        <w:rPr>
          <w:spacing w:val="-10"/>
        </w:rPr>
        <w:t xml:space="preserve"> </w:t>
      </w:r>
      <w:r>
        <w:t>its</w:t>
      </w:r>
      <w:r>
        <w:rPr>
          <w:spacing w:val="-9"/>
        </w:rPr>
        <w:t xml:space="preserve"> </w:t>
      </w:r>
      <w:r>
        <w:t>LGBTQ</w:t>
      </w:r>
      <w:r>
        <w:rPr>
          <w:spacing w:val="-9"/>
        </w:rPr>
        <w:t xml:space="preserve"> </w:t>
      </w:r>
      <w:r>
        <w:t>inclusivity,</w:t>
      </w:r>
      <w:r>
        <w:rPr>
          <w:spacing w:val="-9"/>
        </w:rPr>
        <w:t xml:space="preserve"> </w:t>
      </w:r>
      <w:r>
        <w:t>and</w:t>
      </w:r>
      <w:r>
        <w:rPr>
          <w:spacing w:val="-10"/>
        </w:rPr>
        <w:t xml:space="preserve"> </w:t>
      </w:r>
      <w:r>
        <w:t>urges</w:t>
      </w:r>
      <w:r>
        <w:rPr>
          <w:spacing w:val="-9"/>
        </w:rPr>
        <w:t xml:space="preserve"> </w:t>
      </w:r>
      <w:r>
        <w:t>DESE</w:t>
      </w:r>
      <w:r>
        <w:rPr>
          <w:spacing w:val="-8"/>
        </w:rPr>
        <w:t xml:space="preserve"> </w:t>
      </w:r>
      <w:r>
        <w:t>to</w:t>
      </w:r>
      <w:r>
        <w:rPr>
          <w:spacing w:val="-9"/>
        </w:rPr>
        <w:t xml:space="preserve"> </w:t>
      </w:r>
      <w:r>
        <w:t>continue</w:t>
      </w:r>
      <w:r>
        <w:rPr>
          <w:spacing w:val="-9"/>
        </w:rPr>
        <w:t xml:space="preserve"> </w:t>
      </w:r>
      <w:r>
        <w:t>promoting</w:t>
      </w:r>
      <w:r>
        <w:rPr>
          <w:spacing w:val="-10"/>
        </w:rPr>
        <w:t xml:space="preserve"> </w:t>
      </w:r>
      <w:r>
        <w:t>districts’</w:t>
      </w:r>
      <w:r>
        <w:rPr>
          <w:spacing w:val="-10"/>
        </w:rPr>
        <w:t xml:space="preserve"> </w:t>
      </w:r>
      <w:r>
        <w:t>u</w:t>
      </w:r>
      <w:r>
        <w:t>se</w:t>
      </w:r>
      <w:r>
        <w:rPr>
          <w:spacing w:val="-10"/>
        </w:rPr>
        <w:t xml:space="preserve"> </w:t>
      </w:r>
      <w:r>
        <w:t>of</w:t>
      </w:r>
      <w:r>
        <w:rPr>
          <w:spacing w:val="-10"/>
        </w:rPr>
        <w:t xml:space="preserve"> </w:t>
      </w:r>
      <w:r>
        <w:t>sexual</w:t>
      </w:r>
      <w:r>
        <w:rPr>
          <w:spacing w:val="-10"/>
        </w:rPr>
        <w:t xml:space="preserve"> </w:t>
      </w:r>
      <w:r>
        <w:t>health</w:t>
      </w:r>
      <w:r>
        <w:rPr>
          <w:spacing w:val="-8"/>
        </w:rPr>
        <w:t xml:space="preserve"> </w:t>
      </w:r>
      <w:r>
        <w:t>education that is comprehensive, evidence-based, and LGBTQ-inclusive. Making such education available to every student in the Commonwealth is a major priority of the Commission, as identified in the core recommendations above. The Commission also appreciat</w:t>
      </w:r>
      <w:r>
        <w:t>es DESE’s effort to maintain sexual health education</w:t>
      </w:r>
      <w:r>
        <w:rPr>
          <w:spacing w:val="-4"/>
        </w:rPr>
        <w:t xml:space="preserve"> </w:t>
      </w:r>
      <w:r>
        <w:t>and</w:t>
      </w:r>
      <w:r>
        <w:rPr>
          <w:spacing w:val="-4"/>
        </w:rPr>
        <w:t xml:space="preserve"> </w:t>
      </w:r>
      <w:r>
        <w:t>programming</w:t>
      </w:r>
      <w:r>
        <w:rPr>
          <w:spacing w:val="-4"/>
        </w:rPr>
        <w:t xml:space="preserve"> </w:t>
      </w:r>
      <w:r>
        <w:t>in</w:t>
      </w:r>
      <w:r>
        <w:rPr>
          <w:spacing w:val="-4"/>
        </w:rPr>
        <w:t xml:space="preserve"> </w:t>
      </w:r>
      <w:r>
        <w:t>schools</w:t>
      </w:r>
      <w:r>
        <w:rPr>
          <w:spacing w:val="-2"/>
        </w:rPr>
        <w:t xml:space="preserve"> </w:t>
      </w:r>
      <w:r>
        <w:t>despite</w:t>
      </w:r>
      <w:r>
        <w:rPr>
          <w:spacing w:val="-3"/>
        </w:rPr>
        <w:t xml:space="preserve"> </w:t>
      </w:r>
      <w:r>
        <w:t>some</w:t>
      </w:r>
      <w:r>
        <w:rPr>
          <w:spacing w:val="-3"/>
        </w:rPr>
        <w:t xml:space="preserve"> </w:t>
      </w:r>
      <w:r>
        <w:t>funding</w:t>
      </w:r>
      <w:r>
        <w:rPr>
          <w:spacing w:val="-2"/>
        </w:rPr>
        <w:t xml:space="preserve"> </w:t>
      </w:r>
      <w:r>
        <w:t>cuts</w:t>
      </w:r>
      <w:r>
        <w:rPr>
          <w:spacing w:val="-1"/>
        </w:rPr>
        <w:t xml:space="preserve"> </w:t>
      </w:r>
      <w:r>
        <w:t>at</w:t>
      </w:r>
      <w:r>
        <w:rPr>
          <w:spacing w:val="-4"/>
        </w:rPr>
        <w:t xml:space="preserve"> </w:t>
      </w:r>
      <w:r>
        <w:t>the</w:t>
      </w:r>
      <w:r>
        <w:rPr>
          <w:spacing w:val="-4"/>
        </w:rPr>
        <w:t xml:space="preserve"> </w:t>
      </w:r>
      <w:r>
        <w:t>federal</w:t>
      </w:r>
      <w:r>
        <w:rPr>
          <w:spacing w:val="-3"/>
        </w:rPr>
        <w:t xml:space="preserve"> </w:t>
      </w:r>
      <w:r>
        <w:t>level</w:t>
      </w:r>
      <w:r>
        <w:rPr>
          <w:spacing w:val="-2"/>
        </w:rPr>
        <w:t xml:space="preserve"> </w:t>
      </w:r>
      <w:r>
        <w:t>and</w:t>
      </w:r>
      <w:r>
        <w:rPr>
          <w:spacing w:val="-3"/>
        </w:rPr>
        <w:t xml:space="preserve"> </w:t>
      </w:r>
      <w:r>
        <w:t>encourages the Department to continue seeking funding to do this important work.</w:t>
      </w:r>
    </w:p>
    <w:p w:rsidR="00C76E6D" w:rsidRDefault="00C76E6D">
      <w:pPr>
        <w:pStyle w:val="BodyText"/>
        <w:rPr>
          <w:sz w:val="27"/>
        </w:rPr>
      </w:pPr>
    </w:p>
    <w:p w:rsidR="00C76E6D" w:rsidRDefault="00913831">
      <w:pPr>
        <w:pStyle w:val="Heading6"/>
        <w:numPr>
          <w:ilvl w:val="0"/>
          <w:numId w:val="20"/>
        </w:numPr>
        <w:tabs>
          <w:tab w:val="left" w:pos="735"/>
        </w:tabs>
        <w:spacing w:line="276" w:lineRule="auto"/>
        <w:ind w:left="478" w:right="522" w:firstLine="0"/>
      </w:pPr>
      <w:bookmarkStart w:id="741" w:name="4._Develop_and_model_strategies_for_scho"/>
      <w:bookmarkEnd w:id="741"/>
      <w:r>
        <w:t>Develop</w:t>
      </w:r>
      <w:r>
        <w:rPr>
          <w:spacing w:val="29"/>
        </w:rPr>
        <w:t xml:space="preserve"> </w:t>
      </w:r>
      <w:r>
        <w:t>and</w:t>
      </w:r>
      <w:r>
        <w:rPr>
          <w:spacing w:val="28"/>
        </w:rPr>
        <w:t xml:space="preserve"> </w:t>
      </w:r>
      <w:r>
        <w:t>model</w:t>
      </w:r>
      <w:r>
        <w:rPr>
          <w:spacing w:val="27"/>
        </w:rPr>
        <w:t xml:space="preserve"> </w:t>
      </w:r>
      <w:r>
        <w:t>strategies</w:t>
      </w:r>
      <w:r>
        <w:rPr>
          <w:spacing w:val="27"/>
        </w:rPr>
        <w:t xml:space="preserve"> </w:t>
      </w:r>
      <w:r>
        <w:t>for</w:t>
      </w:r>
      <w:r>
        <w:rPr>
          <w:spacing w:val="27"/>
        </w:rPr>
        <w:t xml:space="preserve"> </w:t>
      </w:r>
      <w:r>
        <w:t>school</w:t>
      </w:r>
      <w:r>
        <w:rPr>
          <w:spacing w:val="29"/>
        </w:rPr>
        <w:t xml:space="preserve"> </w:t>
      </w:r>
      <w:r>
        <w:t>districts</w:t>
      </w:r>
      <w:r>
        <w:rPr>
          <w:spacing w:val="29"/>
        </w:rPr>
        <w:t xml:space="preserve"> </w:t>
      </w:r>
      <w:r>
        <w:t>to</w:t>
      </w:r>
      <w:r>
        <w:rPr>
          <w:spacing w:val="28"/>
        </w:rPr>
        <w:t xml:space="preserve"> </w:t>
      </w:r>
      <w:r>
        <w:t>recruit</w:t>
      </w:r>
      <w:r>
        <w:rPr>
          <w:spacing w:val="28"/>
        </w:rPr>
        <w:t xml:space="preserve"> </w:t>
      </w:r>
      <w:r>
        <w:t>and</w:t>
      </w:r>
      <w:r>
        <w:rPr>
          <w:spacing w:val="27"/>
        </w:rPr>
        <w:t xml:space="preserve"> </w:t>
      </w:r>
      <w:r>
        <w:t>retain</w:t>
      </w:r>
      <w:r>
        <w:rPr>
          <w:spacing w:val="27"/>
        </w:rPr>
        <w:t xml:space="preserve"> </w:t>
      </w:r>
      <w:r>
        <w:t>a</w:t>
      </w:r>
      <w:r>
        <w:rPr>
          <w:spacing w:val="28"/>
        </w:rPr>
        <w:t xml:space="preserve"> </w:t>
      </w:r>
      <w:r>
        <w:t>diverse</w:t>
      </w:r>
      <w:r>
        <w:rPr>
          <w:spacing w:val="27"/>
        </w:rPr>
        <w:t xml:space="preserve"> </w:t>
      </w:r>
      <w:r>
        <w:t>workforce</w:t>
      </w:r>
      <w:r>
        <w:rPr>
          <w:spacing w:val="27"/>
        </w:rPr>
        <w:t xml:space="preserve"> </w:t>
      </w:r>
      <w:r>
        <w:t>that includes diversity in gender identity and sexual orientation.</w:t>
      </w:r>
    </w:p>
    <w:p w:rsidR="00C76E6D" w:rsidRDefault="00C76E6D">
      <w:pPr>
        <w:pStyle w:val="BodyText"/>
        <w:spacing w:before="2"/>
        <w:rPr>
          <w:b/>
          <w:sz w:val="25"/>
        </w:rPr>
      </w:pPr>
    </w:p>
    <w:p w:rsidR="00C76E6D" w:rsidRDefault="00913831">
      <w:pPr>
        <w:spacing w:before="1" w:line="276" w:lineRule="auto"/>
        <w:ind w:left="768" w:right="480" w:hanging="2"/>
        <w:jc w:val="both"/>
      </w:pPr>
      <w:r>
        <w:t xml:space="preserve">DESE’s </w:t>
      </w:r>
      <w:hyperlink r:id="rId383">
        <w:r>
          <w:rPr>
            <w:i/>
            <w:color w:val="1153CC"/>
            <w:u w:val="single" w:color="1153CC"/>
          </w:rPr>
          <w:t>Principles for Ensuring Safe and Supportive</w:t>
        </w:r>
        <w:r>
          <w:rPr>
            <w:i/>
            <w:color w:val="1153CC"/>
            <w:u w:val="single" w:color="1153CC"/>
          </w:rPr>
          <w:t xml:space="preserve"> Learning Environments for Lesbian, Gay, Bisexual,</w:t>
        </w:r>
      </w:hyperlink>
      <w:r>
        <w:rPr>
          <w:i/>
          <w:color w:val="1153CC"/>
        </w:rPr>
        <w:t xml:space="preserve"> </w:t>
      </w:r>
      <w:hyperlink r:id="rId384">
        <w:r>
          <w:rPr>
            <w:i/>
            <w:color w:val="1153CC"/>
            <w:u w:val="single" w:color="1153CC"/>
          </w:rPr>
          <w:t>Transgender, Queer, and Questioning (LGBTQ) Students</w:t>
        </w:r>
        <w:r>
          <w:rPr>
            <w:i/>
            <w:color w:val="1153CC"/>
          </w:rPr>
          <w:t xml:space="preserve"> </w:t>
        </w:r>
      </w:hyperlink>
      <w:r>
        <w:t>states, in part:</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7"/>
        <w:rPr>
          <w:sz w:val="17"/>
        </w:rPr>
      </w:pPr>
    </w:p>
    <w:p w:rsidR="00C76E6D" w:rsidRDefault="00913831">
      <w:pPr>
        <w:pStyle w:val="BodyText"/>
        <w:spacing w:before="55" w:line="276" w:lineRule="auto"/>
        <w:ind w:left="910" w:right="907"/>
        <w:jc w:val="both"/>
      </w:pPr>
      <w:r>
        <w:t>“Schools</w:t>
      </w:r>
      <w:r>
        <w:rPr>
          <w:spacing w:val="-7"/>
        </w:rPr>
        <w:t xml:space="preserve"> </w:t>
      </w:r>
      <w:r>
        <w:t>are</w:t>
      </w:r>
      <w:r>
        <w:rPr>
          <w:spacing w:val="-6"/>
        </w:rPr>
        <w:t xml:space="preserve"> </w:t>
      </w:r>
      <w:r>
        <w:t>encouraged</w:t>
      </w:r>
      <w:r>
        <w:rPr>
          <w:spacing w:val="-7"/>
        </w:rPr>
        <w:t xml:space="preserve"> </w:t>
      </w:r>
      <w:r>
        <w:t>to</w:t>
      </w:r>
      <w:r>
        <w:rPr>
          <w:spacing w:val="-7"/>
        </w:rPr>
        <w:t xml:space="preserve"> </w:t>
      </w:r>
      <w:r>
        <w:t>have</w:t>
      </w:r>
      <w:r>
        <w:rPr>
          <w:spacing w:val="-7"/>
        </w:rPr>
        <w:t xml:space="preserve"> </w:t>
      </w:r>
      <w:r>
        <w:t>a</w:t>
      </w:r>
      <w:r>
        <w:rPr>
          <w:spacing w:val="-6"/>
        </w:rPr>
        <w:t xml:space="preserve"> </w:t>
      </w:r>
      <w:r>
        <w:t>diverse</w:t>
      </w:r>
      <w:r>
        <w:rPr>
          <w:spacing w:val="-8"/>
        </w:rPr>
        <w:t xml:space="preserve"> </w:t>
      </w:r>
      <w:r>
        <w:t>workforce.</w:t>
      </w:r>
      <w:r>
        <w:rPr>
          <w:spacing w:val="-7"/>
        </w:rPr>
        <w:t xml:space="preserve"> </w:t>
      </w:r>
      <w:r>
        <w:t>In</w:t>
      </w:r>
      <w:r>
        <w:rPr>
          <w:spacing w:val="-7"/>
        </w:rPr>
        <w:t xml:space="preserve"> </w:t>
      </w:r>
      <w:r>
        <w:t>order</w:t>
      </w:r>
      <w:r>
        <w:rPr>
          <w:spacing w:val="-6"/>
        </w:rPr>
        <w:t xml:space="preserve"> </w:t>
      </w:r>
      <w:r>
        <w:t>to</w:t>
      </w:r>
      <w:r>
        <w:rPr>
          <w:spacing w:val="-5"/>
        </w:rPr>
        <w:t xml:space="preserve"> </w:t>
      </w:r>
      <w:r>
        <w:t>provide</w:t>
      </w:r>
      <w:r>
        <w:rPr>
          <w:spacing w:val="-8"/>
        </w:rPr>
        <w:t xml:space="preserve"> </w:t>
      </w:r>
      <w:r>
        <w:t>authentic</w:t>
      </w:r>
      <w:r>
        <w:rPr>
          <w:spacing w:val="-9"/>
        </w:rPr>
        <w:t xml:space="preserve"> </w:t>
      </w:r>
      <w:r>
        <w:t>role</w:t>
      </w:r>
      <w:r>
        <w:rPr>
          <w:spacing w:val="-6"/>
        </w:rPr>
        <w:t xml:space="preserve"> </w:t>
      </w:r>
      <w:r>
        <w:t>models for all students, schools are encouraged to have diverse staff who reflect the protected categories in the Student Anti-discrimination Law, including gender identity and sexual orientation… [I]</w:t>
      </w:r>
      <w:r>
        <w:t>t is important that school systems have work environments where openly LGBTQ</w:t>
      </w:r>
      <w:r>
        <w:rPr>
          <w:spacing w:val="40"/>
        </w:rPr>
        <w:t xml:space="preserve"> </w:t>
      </w:r>
      <w:r>
        <w:t>staff</w:t>
      </w:r>
      <w:r>
        <w:rPr>
          <w:spacing w:val="40"/>
        </w:rPr>
        <w:t xml:space="preserve"> </w:t>
      </w:r>
      <w:r>
        <w:t>members feel</w:t>
      </w:r>
      <w:r>
        <w:rPr>
          <w:spacing w:val="40"/>
        </w:rPr>
        <w:t xml:space="preserve"> </w:t>
      </w:r>
      <w:r>
        <w:t>safe, supported, and valued.”</w:t>
      </w:r>
    </w:p>
    <w:p w:rsidR="00C76E6D" w:rsidRDefault="00C76E6D">
      <w:pPr>
        <w:pStyle w:val="BodyText"/>
        <w:spacing w:before="6"/>
        <w:rPr>
          <w:sz w:val="25"/>
        </w:rPr>
      </w:pPr>
    </w:p>
    <w:p w:rsidR="00C76E6D" w:rsidRDefault="00913831">
      <w:pPr>
        <w:pStyle w:val="BodyText"/>
        <w:spacing w:line="276" w:lineRule="auto"/>
        <w:ind w:left="768" w:right="470" w:hanging="2"/>
        <w:jc w:val="both"/>
      </w:pPr>
      <w:r>
        <w:t>In</w:t>
      </w:r>
      <w:r>
        <w:rPr>
          <w:spacing w:val="-2"/>
        </w:rPr>
        <w:t xml:space="preserve"> </w:t>
      </w:r>
      <w:r>
        <w:t>addition</w:t>
      </w:r>
      <w:r>
        <w:rPr>
          <w:spacing w:val="-1"/>
        </w:rPr>
        <w:t xml:space="preserve"> </w:t>
      </w:r>
      <w:r>
        <w:t>to</w:t>
      </w:r>
      <w:r>
        <w:rPr>
          <w:spacing w:val="-1"/>
        </w:rPr>
        <w:t xml:space="preserve"> </w:t>
      </w:r>
      <w:r>
        <w:t>ensuring</w:t>
      </w:r>
      <w:r>
        <w:rPr>
          <w:spacing w:val="-1"/>
        </w:rPr>
        <w:t xml:space="preserve"> </w:t>
      </w:r>
      <w:r>
        <w:t>that</w:t>
      </w:r>
      <w:r>
        <w:rPr>
          <w:spacing w:val="-2"/>
        </w:rPr>
        <w:t xml:space="preserve"> </w:t>
      </w:r>
      <w:r>
        <w:t>non-LGBTQ educators</w:t>
      </w:r>
      <w:r>
        <w:rPr>
          <w:spacing w:val="-1"/>
        </w:rPr>
        <w:t xml:space="preserve"> </w:t>
      </w:r>
      <w:r>
        <w:t>and</w:t>
      </w:r>
      <w:r>
        <w:rPr>
          <w:spacing w:val="-2"/>
        </w:rPr>
        <w:t xml:space="preserve"> </w:t>
      </w:r>
      <w:r>
        <w:t>staff</w:t>
      </w:r>
      <w:r>
        <w:rPr>
          <w:spacing w:val="-1"/>
        </w:rPr>
        <w:t xml:space="preserve"> </w:t>
      </w:r>
      <w:r>
        <w:t>are</w:t>
      </w:r>
      <w:r>
        <w:rPr>
          <w:spacing w:val="-1"/>
        </w:rPr>
        <w:t xml:space="preserve"> </w:t>
      </w:r>
      <w:r>
        <w:t>culturally</w:t>
      </w:r>
      <w:r>
        <w:rPr>
          <w:spacing w:val="-1"/>
        </w:rPr>
        <w:t xml:space="preserve"> </w:t>
      </w:r>
      <w:r>
        <w:t>competent</w:t>
      </w:r>
      <w:r>
        <w:rPr>
          <w:spacing w:val="-2"/>
        </w:rPr>
        <w:t xml:space="preserve"> </w:t>
      </w:r>
      <w:r>
        <w:t>in</w:t>
      </w:r>
      <w:r>
        <w:rPr>
          <w:spacing w:val="-1"/>
        </w:rPr>
        <w:t xml:space="preserve"> </w:t>
      </w:r>
      <w:r>
        <w:t>LGBTQ</w:t>
      </w:r>
      <w:r>
        <w:rPr>
          <w:spacing w:val="-2"/>
        </w:rPr>
        <w:t xml:space="preserve"> </w:t>
      </w:r>
      <w:r>
        <w:t>issues, the</w:t>
      </w:r>
      <w:r>
        <w:rPr>
          <w:spacing w:val="-13"/>
        </w:rPr>
        <w:t xml:space="preserve"> </w:t>
      </w:r>
      <w:r>
        <w:t>Commission</w:t>
      </w:r>
      <w:r>
        <w:rPr>
          <w:spacing w:val="-12"/>
        </w:rPr>
        <w:t xml:space="preserve"> </w:t>
      </w:r>
      <w:r>
        <w:t>also</w:t>
      </w:r>
      <w:r>
        <w:rPr>
          <w:spacing w:val="-13"/>
        </w:rPr>
        <w:t xml:space="preserve"> </w:t>
      </w:r>
      <w:r>
        <w:t>recommends</w:t>
      </w:r>
      <w:r>
        <w:rPr>
          <w:spacing w:val="-12"/>
        </w:rPr>
        <w:t xml:space="preserve"> </w:t>
      </w:r>
      <w:r>
        <w:t>that</w:t>
      </w:r>
      <w:r>
        <w:rPr>
          <w:spacing w:val="-13"/>
        </w:rPr>
        <w:t xml:space="preserve"> </w:t>
      </w:r>
      <w:r>
        <w:t>DESE</w:t>
      </w:r>
      <w:r>
        <w:rPr>
          <w:spacing w:val="-12"/>
        </w:rPr>
        <w:t xml:space="preserve"> </w:t>
      </w:r>
      <w:r>
        <w:t>state</w:t>
      </w:r>
      <w:r>
        <w:rPr>
          <w:spacing w:val="-13"/>
        </w:rPr>
        <w:t xml:space="preserve"> </w:t>
      </w:r>
      <w:r>
        <w:t>clearly</w:t>
      </w:r>
      <w:r>
        <w:rPr>
          <w:spacing w:val="-12"/>
        </w:rPr>
        <w:t xml:space="preserve"> </w:t>
      </w:r>
      <w:r>
        <w:t>its</w:t>
      </w:r>
      <w:r>
        <w:rPr>
          <w:spacing w:val="-12"/>
        </w:rPr>
        <w:t xml:space="preserve"> </w:t>
      </w:r>
      <w:r>
        <w:t>commitment</w:t>
      </w:r>
      <w:r>
        <w:rPr>
          <w:spacing w:val="-13"/>
        </w:rPr>
        <w:t xml:space="preserve"> </w:t>
      </w:r>
      <w:r>
        <w:t>to</w:t>
      </w:r>
      <w:r>
        <w:rPr>
          <w:spacing w:val="-12"/>
        </w:rPr>
        <w:t xml:space="preserve"> </w:t>
      </w:r>
      <w:r>
        <w:t>foster</w:t>
      </w:r>
      <w:r>
        <w:rPr>
          <w:spacing w:val="-13"/>
        </w:rPr>
        <w:t xml:space="preserve"> </w:t>
      </w:r>
      <w:r>
        <w:t>a</w:t>
      </w:r>
      <w:r>
        <w:rPr>
          <w:spacing w:val="-12"/>
        </w:rPr>
        <w:t xml:space="preserve"> </w:t>
      </w:r>
      <w:r>
        <w:t>diverse</w:t>
      </w:r>
      <w:r>
        <w:rPr>
          <w:spacing w:val="-13"/>
        </w:rPr>
        <w:t xml:space="preserve"> </w:t>
      </w:r>
      <w:r>
        <w:t>workforce by supporting and valuing LGBTQ educators, collecting relevant data and best practices, determining areas to focus attention and resources, and modifying the Educator Licensure</w:t>
      </w:r>
      <w:r>
        <w:t xml:space="preserve"> And Renewal (ELAR) system to include a nonbinary gender marker. The Commission would also appreciate support in sharing the guidance it has issued on making workplaces more inclusive of diverse gender identities, as noted in the core recommendations for F</w:t>
      </w:r>
      <w:r>
        <w:t>Y 2023.</w:t>
      </w:r>
    </w:p>
    <w:p w:rsidR="00C76E6D" w:rsidRDefault="00C76E6D">
      <w:pPr>
        <w:pStyle w:val="BodyText"/>
        <w:spacing w:before="10"/>
        <w:rPr>
          <w:sz w:val="26"/>
        </w:rPr>
      </w:pPr>
    </w:p>
    <w:p w:rsidR="00C76E6D" w:rsidRDefault="00913831">
      <w:pPr>
        <w:pStyle w:val="Heading6"/>
        <w:numPr>
          <w:ilvl w:val="0"/>
          <w:numId w:val="20"/>
        </w:numPr>
        <w:tabs>
          <w:tab w:val="left" w:pos="699"/>
        </w:tabs>
        <w:spacing w:before="1"/>
        <w:ind w:left="698" w:hanging="222"/>
      </w:pPr>
      <w:bookmarkStart w:id="742" w:name="5._Partner_with_the_Commission_to_better"/>
      <w:bookmarkEnd w:id="742"/>
      <w:r>
        <w:rPr>
          <w:w w:val="95"/>
        </w:rPr>
        <w:t>Partner</w:t>
      </w:r>
      <w:r>
        <w:rPr>
          <w:spacing w:val="12"/>
        </w:rPr>
        <w:t xml:space="preserve"> </w:t>
      </w:r>
      <w:r>
        <w:rPr>
          <w:w w:val="95"/>
        </w:rPr>
        <w:t>with</w:t>
      </w:r>
      <w:r>
        <w:rPr>
          <w:spacing w:val="13"/>
        </w:rPr>
        <w:t xml:space="preserve"> </w:t>
      </w:r>
      <w:r>
        <w:rPr>
          <w:w w:val="95"/>
        </w:rPr>
        <w:t>the</w:t>
      </w:r>
      <w:r>
        <w:rPr>
          <w:spacing w:val="13"/>
        </w:rPr>
        <w:t xml:space="preserve"> </w:t>
      </w:r>
      <w:r>
        <w:rPr>
          <w:w w:val="95"/>
        </w:rPr>
        <w:t>Commission</w:t>
      </w:r>
      <w:r>
        <w:rPr>
          <w:spacing w:val="14"/>
        </w:rPr>
        <w:t xml:space="preserve"> </w:t>
      </w:r>
      <w:r>
        <w:rPr>
          <w:w w:val="95"/>
        </w:rPr>
        <w:t>to</w:t>
      </w:r>
      <w:r>
        <w:rPr>
          <w:spacing w:val="11"/>
        </w:rPr>
        <w:t xml:space="preserve"> </w:t>
      </w:r>
      <w:r>
        <w:rPr>
          <w:w w:val="95"/>
        </w:rPr>
        <w:t>better</w:t>
      </w:r>
      <w:r>
        <w:rPr>
          <w:spacing w:val="14"/>
        </w:rPr>
        <w:t xml:space="preserve"> </w:t>
      </w:r>
      <w:r>
        <w:rPr>
          <w:w w:val="95"/>
        </w:rPr>
        <w:t>understand</w:t>
      </w:r>
      <w:r>
        <w:rPr>
          <w:spacing w:val="10"/>
        </w:rPr>
        <w:t xml:space="preserve"> </w:t>
      </w:r>
      <w:r>
        <w:rPr>
          <w:w w:val="95"/>
        </w:rPr>
        <w:t>and</w:t>
      </w:r>
      <w:r>
        <w:rPr>
          <w:spacing w:val="12"/>
        </w:rPr>
        <w:t xml:space="preserve"> </w:t>
      </w:r>
      <w:r>
        <w:rPr>
          <w:w w:val="95"/>
        </w:rPr>
        <w:t>meet</w:t>
      </w:r>
      <w:r>
        <w:rPr>
          <w:spacing w:val="15"/>
        </w:rPr>
        <w:t xml:space="preserve"> </w:t>
      </w:r>
      <w:r>
        <w:rPr>
          <w:w w:val="95"/>
        </w:rPr>
        <w:t>the</w:t>
      </w:r>
      <w:r>
        <w:rPr>
          <w:spacing w:val="14"/>
        </w:rPr>
        <w:t xml:space="preserve"> </w:t>
      </w:r>
      <w:r>
        <w:rPr>
          <w:w w:val="95"/>
        </w:rPr>
        <w:t>needs</w:t>
      </w:r>
      <w:r>
        <w:rPr>
          <w:spacing w:val="14"/>
        </w:rPr>
        <w:t xml:space="preserve"> </w:t>
      </w:r>
      <w:r>
        <w:rPr>
          <w:w w:val="95"/>
        </w:rPr>
        <w:t>of</w:t>
      </w:r>
      <w:r>
        <w:rPr>
          <w:spacing w:val="13"/>
        </w:rPr>
        <w:t xml:space="preserve"> </w:t>
      </w:r>
      <w:r>
        <w:rPr>
          <w:w w:val="95"/>
        </w:rPr>
        <w:t>QTBIPOC</w:t>
      </w:r>
      <w:r>
        <w:rPr>
          <w:spacing w:val="12"/>
        </w:rPr>
        <w:t xml:space="preserve"> </w:t>
      </w:r>
      <w:r>
        <w:rPr>
          <w:spacing w:val="-2"/>
          <w:w w:val="95"/>
        </w:rPr>
        <w:t>students.</w:t>
      </w:r>
    </w:p>
    <w:p w:rsidR="00C76E6D" w:rsidRDefault="00C76E6D">
      <w:pPr>
        <w:pStyle w:val="BodyText"/>
        <w:spacing w:before="3"/>
        <w:rPr>
          <w:b/>
          <w:sz w:val="30"/>
        </w:rPr>
      </w:pPr>
    </w:p>
    <w:p w:rsidR="00C76E6D" w:rsidRDefault="00913831">
      <w:pPr>
        <w:pStyle w:val="BodyText"/>
        <w:spacing w:line="276" w:lineRule="auto"/>
        <w:ind w:left="766" w:right="474"/>
        <w:jc w:val="both"/>
      </w:pPr>
      <w:r>
        <w:t>The Commission recommends that DESE investigate how QTBIPOC students are affected by policies and practices that create barriers to a safe and successful learning experience and develop trauma- informed strategies and interventions to address these barrier</w:t>
      </w:r>
      <w:r>
        <w:t>s. The Commission has been particularly concerned with the impact of the school-to-prison pipeline on QTBIPOC students, and notes that DESE’s guidance on supporting LGBTQ students calls on schools to examine how LGBTQ students</w:t>
      </w:r>
      <w:r>
        <w:rPr>
          <w:spacing w:val="-2"/>
        </w:rPr>
        <w:t xml:space="preserve"> </w:t>
      </w:r>
      <w:r>
        <w:t>are</w:t>
      </w:r>
      <w:r>
        <w:rPr>
          <w:spacing w:val="-1"/>
        </w:rPr>
        <w:t xml:space="preserve"> </w:t>
      </w:r>
      <w:r>
        <w:t>affected by</w:t>
      </w:r>
      <w:r>
        <w:rPr>
          <w:spacing w:val="-1"/>
        </w:rPr>
        <w:t xml:space="preserve"> </w:t>
      </w:r>
      <w:r>
        <w:t>related</w:t>
      </w:r>
      <w:r>
        <w:rPr>
          <w:spacing w:val="-1"/>
        </w:rPr>
        <w:t xml:space="preserve"> </w:t>
      </w:r>
      <w:r>
        <w:t>facto</w:t>
      </w:r>
      <w:r>
        <w:t>rs</w:t>
      </w:r>
      <w:r>
        <w:rPr>
          <w:spacing w:val="-2"/>
        </w:rPr>
        <w:t xml:space="preserve"> </w:t>
      </w:r>
      <w:r>
        <w:t>like disciplinary</w:t>
      </w:r>
      <w:r>
        <w:rPr>
          <w:spacing w:val="-2"/>
        </w:rPr>
        <w:t xml:space="preserve"> </w:t>
      </w:r>
      <w:r>
        <w:t>action</w:t>
      </w:r>
      <w:r>
        <w:rPr>
          <w:spacing w:val="-2"/>
        </w:rPr>
        <w:t xml:space="preserve"> </w:t>
      </w:r>
      <w:r>
        <w:t>and</w:t>
      </w:r>
      <w:r>
        <w:rPr>
          <w:spacing w:val="-3"/>
        </w:rPr>
        <w:t xml:space="preserve"> </w:t>
      </w:r>
      <w:r>
        <w:t>involvement</w:t>
      </w:r>
      <w:r>
        <w:rPr>
          <w:spacing w:val="-3"/>
        </w:rPr>
        <w:t xml:space="preserve"> </w:t>
      </w:r>
      <w:r>
        <w:t>in the</w:t>
      </w:r>
      <w:r>
        <w:rPr>
          <w:spacing w:val="-2"/>
        </w:rPr>
        <w:t xml:space="preserve"> </w:t>
      </w:r>
      <w:r>
        <w:t>juvenile</w:t>
      </w:r>
      <w:r>
        <w:rPr>
          <w:spacing w:val="-3"/>
        </w:rPr>
        <w:t xml:space="preserve"> </w:t>
      </w:r>
      <w:r>
        <w:t>justice system</w:t>
      </w:r>
      <w:hyperlink w:anchor="_bookmark558" w:history="1">
        <w:r>
          <w:t>.</w:t>
        </w:r>
        <w:r>
          <w:rPr>
            <w:vertAlign w:val="superscript"/>
          </w:rPr>
          <w:t>2</w:t>
        </w:r>
        <w:r>
          <w:t xml:space="preserve"> </w:t>
        </w:r>
      </w:hyperlink>
      <w:r>
        <w:t>As the Commission carries out its own work on racial justice, it looks forward to continuing this</w:t>
      </w:r>
      <w:r>
        <w:rPr>
          <w:spacing w:val="-3"/>
        </w:rPr>
        <w:t xml:space="preserve"> </w:t>
      </w:r>
      <w:r>
        <w:t>discussion</w:t>
      </w:r>
      <w:r>
        <w:rPr>
          <w:spacing w:val="-3"/>
        </w:rPr>
        <w:t xml:space="preserve"> </w:t>
      </w:r>
      <w:r>
        <w:t>with</w:t>
      </w:r>
      <w:r>
        <w:rPr>
          <w:spacing w:val="-3"/>
        </w:rPr>
        <w:t xml:space="preserve"> </w:t>
      </w:r>
      <w:r>
        <w:t>DESE,</w:t>
      </w:r>
      <w:r>
        <w:rPr>
          <w:spacing w:val="-3"/>
        </w:rPr>
        <w:t xml:space="preserve"> </w:t>
      </w:r>
      <w:r>
        <w:t>including</w:t>
      </w:r>
      <w:r>
        <w:rPr>
          <w:spacing w:val="-2"/>
        </w:rPr>
        <w:t xml:space="preserve"> </w:t>
      </w:r>
      <w:r>
        <w:t>how</w:t>
      </w:r>
      <w:r>
        <w:rPr>
          <w:spacing w:val="-2"/>
        </w:rPr>
        <w:t xml:space="preserve"> </w:t>
      </w:r>
      <w:r>
        <w:t>shared</w:t>
      </w:r>
      <w:r>
        <w:rPr>
          <w:spacing w:val="-2"/>
        </w:rPr>
        <w:t xml:space="preserve"> </w:t>
      </w:r>
      <w:r>
        <w:t>findings</w:t>
      </w:r>
      <w:r>
        <w:rPr>
          <w:spacing w:val="-3"/>
        </w:rPr>
        <w:t xml:space="preserve"> </w:t>
      </w:r>
      <w:r>
        <w:t>on</w:t>
      </w:r>
      <w:r>
        <w:rPr>
          <w:spacing w:val="-2"/>
        </w:rPr>
        <w:t xml:space="preserve"> </w:t>
      </w:r>
      <w:r>
        <w:t>the</w:t>
      </w:r>
      <w:r>
        <w:rPr>
          <w:spacing w:val="-2"/>
        </w:rPr>
        <w:t xml:space="preserve"> </w:t>
      </w:r>
      <w:r>
        <w:t>needs</w:t>
      </w:r>
      <w:r>
        <w:rPr>
          <w:spacing w:val="-3"/>
        </w:rPr>
        <w:t xml:space="preserve"> </w:t>
      </w:r>
      <w:r>
        <w:t>of</w:t>
      </w:r>
      <w:r>
        <w:rPr>
          <w:spacing w:val="-3"/>
        </w:rPr>
        <w:t xml:space="preserve"> </w:t>
      </w:r>
      <w:r>
        <w:t>BIPOC</w:t>
      </w:r>
      <w:r>
        <w:rPr>
          <w:spacing w:val="-2"/>
        </w:rPr>
        <w:t xml:space="preserve"> </w:t>
      </w:r>
      <w:r>
        <w:t>youth</w:t>
      </w:r>
      <w:r>
        <w:rPr>
          <w:spacing w:val="-2"/>
        </w:rPr>
        <w:t xml:space="preserve"> </w:t>
      </w:r>
      <w:r>
        <w:t>can</w:t>
      </w:r>
      <w:r>
        <w:rPr>
          <w:spacing w:val="-2"/>
        </w:rPr>
        <w:t xml:space="preserve"> </w:t>
      </w:r>
      <w:r>
        <w:t>inform</w:t>
      </w:r>
      <w:r>
        <w:rPr>
          <w:spacing w:val="-3"/>
        </w:rPr>
        <w:t xml:space="preserve"> </w:t>
      </w:r>
      <w:r>
        <w:t>Safe Schools Program for LGBTQ Students delivery.</w:t>
      </w:r>
    </w:p>
    <w:p w:rsidR="00C76E6D" w:rsidRDefault="00C76E6D">
      <w:pPr>
        <w:pStyle w:val="BodyText"/>
        <w:spacing w:before="3"/>
        <w:rPr>
          <w:sz w:val="25"/>
        </w:rPr>
      </w:pPr>
    </w:p>
    <w:p w:rsidR="00C76E6D" w:rsidRDefault="00913831">
      <w:pPr>
        <w:pStyle w:val="BodyText"/>
        <w:spacing w:line="276" w:lineRule="auto"/>
        <w:ind w:left="766" w:right="475"/>
        <w:jc w:val="both"/>
      </w:pPr>
      <w:r>
        <w:t>In</w:t>
      </w:r>
      <w:r>
        <w:rPr>
          <w:spacing w:val="-9"/>
        </w:rPr>
        <w:t xml:space="preserve"> </w:t>
      </w:r>
      <w:r>
        <w:t>an</w:t>
      </w:r>
      <w:r>
        <w:rPr>
          <w:spacing w:val="-7"/>
        </w:rPr>
        <w:t xml:space="preserve"> </w:t>
      </w:r>
      <w:r>
        <w:t>effort</w:t>
      </w:r>
      <w:r>
        <w:rPr>
          <w:spacing w:val="-7"/>
        </w:rPr>
        <w:t xml:space="preserve"> </w:t>
      </w:r>
      <w:r>
        <w:t>to</w:t>
      </w:r>
      <w:r>
        <w:rPr>
          <w:spacing w:val="-8"/>
        </w:rPr>
        <w:t xml:space="preserve"> </w:t>
      </w:r>
      <w:r>
        <w:t>develop</w:t>
      </w:r>
      <w:r>
        <w:rPr>
          <w:spacing w:val="-5"/>
        </w:rPr>
        <w:t xml:space="preserve"> </w:t>
      </w:r>
      <w:r>
        <w:t>more</w:t>
      </w:r>
      <w:r>
        <w:rPr>
          <w:spacing w:val="-8"/>
        </w:rPr>
        <w:t xml:space="preserve"> </w:t>
      </w:r>
      <w:r>
        <w:t>culturally-responsive</w:t>
      </w:r>
      <w:r>
        <w:rPr>
          <w:spacing w:val="-9"/>
        </w:rPr>
        <w:t xml:space="preserve"> </w:t>
      </w:r>
      <w:r>
        <w:t>resources,</w:t>
      </w:r>
      <w:r>
        <w:rPr>
          <w:spacing w:val="-8"/>
        </w:rPr>
        <w:t xml:space="preserve"> </w:t>
      </w:r>
      <w:r>
        <w:t>the</w:t>
      </w:r>
      <w:r>
        <w:rPr>
          <w:spacing w:val="-8"/>
        </w:rPr>
        <w:t xml:space="preserve"> </w:t>
      </w:r>
      <w:r>
        <w:t>Commission</w:t>
      </w:r>
      <w:r>
        <w:rPr>
          <w:spacing w:val="-9"/>
        </w:rPr>
        <w:t xml:space="preserve"> </w:t>
      </w:r>
      <w:r>
        <w:t>has</w:t>
      </w:r>
      <w:r>
        <w:rPr>
          <w:spacing w:val="-8"/>
        </w:rPr>
        <w:t xml:space="preserve"> </w:t>
      </w:r>
      <w:r>
        <w:t>recently:</w:t>
      </w:r>
      <w:r>
        <w:rPr>
          <w:spacing w:val="-6"/>
        </w:rPr>
        <w:t xml:space="preserve"> </w:t>
      </w:r>
      <w:r>
        <w:t>contracted a Racial Justice Consultant to review and provide feedb</w:t>
      </w:r>
      <w:r>
        <w:t>ack on the Safe Schools Program training curriculum to expand on anti-racist resources and practices; contracted a consultant to develop Spanish-language</w:t>
      </w:r>
      <w:r>
        <w:rPr>
          <w:spacing w:val="-10"/>
        </w:rPr>
        <w:t xml:space="preserve"> </w:t>
      </w:r>
      <w:r>
        <w:t>resources</w:t>
      </w:r>
      <w:r>
        <w:rPr>
          <w:spacing w:val="-9"/>
        </w:rPr>
        <w:t xml:space="preserve"> </w:t>
      </w:r>
      <w:r>
        <w:t>for</w:t>
      </w:r>
      <w:r>
        <w:rPr>
          <w:spacing w:val="-10"/>
        </w:rPr>
        <w:t xml:space="preserve"> </w:t>
      </w:r>
      <w:r>
        <w:t>educators;</w:t>
      </w:r>
      <w:r>
        <w:rPr>
          <w:spacing w:val="-10"/>
        </w:rPr>
        <w:t xml:space="preserve"> </w:t>
      </w:r>
      <w:r>
        <w:t>and</w:t>
      </w:r>
      <w:r>
        <w:rPr>
          <w:spacing w:val="-10"/>
        </w:rPr>
        <w:t xml:space="preserve"> </w:t>
      </w:r>
      <w:r>
        <w:t>contracted</w:t>
      </w:r>
      <w:r>
        <w:rPr>
          <w:spacing w:val="-9"/>
        </w:rPr>
        <w:t xml:space="preserve"> </w:t>
      </w:r>
      <w:r>
        <w:t>a</w:t>
      </w:r>
      <w:r>
        <w:rPr>
          <w:spacing w:val="-8"/>
        </w:rPr>
        <w:t xml:space="preserve"> </w:t>
      </w:r>
      <w:r>
        <w:t>consultant</w:t>
      </w:r>
      <w:r>
        <w:rPr>
          <w:spacing w:val="-8"/>
        </w:rPr>
        <w:t xml:space="preserve"> </w:t>
      </w:r>
      <w:r>
        <w:t>to</w:t>
      </w:r>
      <w:r>
        <w:rPr>
          <w:spacing w:val="-9"/>
        </w:rPr>
        <w:t xml:space="preserve"> </w:t>
      </w:r>
      <w:r>
        <w:t>create</w:t>
      </w:r>
      <w:r>
        <w:rPr>
          <w:spacing w:val="-8"/>
        </w:rPr>
        <w:t xml:space="preserve"> </w:t>
      </w:r>
      <w:r>
        <w:t>culturally-responsive resources for caregivers, educators, and GSA groups. These projects will be shared with DESE to explore opportunities for collaboration and amplification of the resources. We also look forward to continuing the DESE Pride Book Club, w</w:t>
      </w:r>
      <w:r>
        <w:t>hich has provided student-led, adult-supported opportunities to discuss books centered on QTBIPOC characters.</w:t>
      </w:r>
    </w:p>
    <w:p w:rsidR="00C76E6D" w:rsidRDefault="00C76E6D">
      <w:pPr>
        <w:pStyle w:val="BodyText"/>
        <w:spacing w:before="10"/>
        <w:rPr>
          <w:sz w:val="26"/>
        </w:rPr>
      </w:pPr>
    </w:p>
    <w:p w:rsidR="00C76E6D" w:rsidRDefault="00913831">
      <w:pPr>
        <w:pStyle w:val="Heading6"/>
        <w:numPr>
          <w:ilvl w:val="0"/>
          <w:numId w:val="20"/>
        </w:numPr>
        <w:tabs>
          <w:tab w:val="left" w:pos="748"/>
        </w:tabs>
        <w:spacing w:line="276" w:lineRule="auto"/>
        <w:ind w:right="565" w:firstLine="0"/>
      </w:pPr>
      <w:bookmarkStart w:id="743" w:name="6._Work_with_the_Commission_to_build_mor"/>
      <w:bookmarkEnd w:id="743"/>
      <w:r>
        <w:t>Work</w:t>
      </w:r>
      <w:r>
        <w:rPr>
          <w:spacing w:val="37"/>
        </w:rPr>
        <w:t xml:space="preserve"> </w:t>
      </w:r>
      <w:r>
        <w:t>with</w:t>
      </w:r>
      <w:r>
        <w:rPr>
          <w:spacing w:val="38"/>
        </w:rPr>
        <w:t xml:space="preserve"> </w:t>
      </w:r>
      <w:r>
        <w:t>the</w:t>
      </w:r>
      <w:r>
        <w:rPr>
          <w:spacing w:val="36"/>
        </w:rPr>
        <w:t xml:space="preserve"> </w:t>
      </w:r>
      <w:r>
        <w:t>Commission</w:t>
      </w:r>
      <w:r>
        <w:rPr>
          <w:spacing w:val="37"/>
        </w:rPr>
        <w:t xml:space="preserve"> </w:t>
      </w:r>
      <w:r>
        <w:t>to</w:t>
      </w:r>
      <w:r>
        <w:rPr>
          <w:spacing w:val="37"/>
        </w:rPr>
        <w:t xml:space="preserve"> </w:t>
      </w:r>
      <w:r>
        <w:t>build</w:t>
      </w:r>
      <w:r>
        <w:rPr>
          <w:spacing w:val="38"/>
        </w:rPr>
        <w:t xml:space="preserve"> </w:t>
      </w:r>
      <w:r>
        <w:t>more</w:t>
      </w:r>
      <w:r>
        <w:rPr>
          <w:spacing w:val="37"/>
        </w:rPr>
        <w:t xml:space="preserve"> </w:t>
      </w:r>
      <w:r>
        <w:t>internal</w:t>
      </w:r>
      <w:r>
        <w:rPr>
          <w:spacing w:val="37"/>
        </w:rPr>
        <w:t xml:space="preserve"> </w:t>
      </w:r>
      <w:r>
        <w:t>and</w:t>
      </w:r>
      <w:r>
        <w:rPr>
          <w:spacing w:val="37"/>
        </w:rPr>
        <w:t xml:space="preserve"> </w:t>
      </w:r>
      <w:r>
        <w:t>district-level</w:t>
      </w:r>
      <w:r>
        <w:rPr>
          <w:spacing w:val="37"/>
        </w:rPr>
        <w:t xml:space="preserve"> </w:t>
      </w:r>
      <w:r>
        <w:t>capacity</w:t>
      </w:r>
      <w:r>
        <w:rPr>
          <w:spacing w:val="36"/>
        </w:rPr>
        <w:t xml:space="preserve"> </w:t>
      </w:r>
      <w:r>
        <w:t>for</w:t>
      </w:r>
      <w:r>
        <w:rPr>
          <w:spacing w:val="37"/>
        </w:rPr>
        <w:t xml:space="preserve"> </w:t>
      </w:r>
      <w:r>
        <w:t>trainings</w:t>
      </w:r>
      <w:r>
        <w:rPr>
          <w:spacing w:val="37"/>
        </w:rPr>
        <w:t xml:space="preserve"> </w:t>
      </w:r>
      <w:r>
        <w:t>and professional development in LGBTQ inclusion.</w:t>
      </w:r>
    </w:p>
    <w:p w:rsidR="00C76E6D" w:rsidRDefault="00C76E6D">
      <w:pPr>
        <w:pStyle w:val="BodyText"/>
        <w:spacing w:before="5"/>
        <w:rPr>
          <w:b/>
          <w:sz w:val="25"/>
        </w:rPr>
      </w:pPr>
    </w:p>
    <w:p w:rsidR="00C76E6D" w:rsidRDefault="00913831">
      <w:pPr>
        <w:pStyle w:val="BodyText"/>
        <w:spacing w:line="276" w:lineRule="auto"/>
        <w:ind w:left="766" w:right="477"/>
        <w:jc w:val="both"/>
      </w:pPr>
      <w:r>
        <w:t>The</w:t>
      </w:r>
      <w:r>
        <w:rPr>
          <w:spacing w:val="-10"/>
        </w:rPr>
        <w:t xml:space="preserve"> </w:t>
      </w:r>
      <w:r>
        <w:t>C</w:t>
      </w:r>
      <w:r>
        <w:t>ommission</w:t>
      </w:r>
      <w:r>
        <w:rPr>
          <w:spacing w:val="-10"/>
        </w:rPr>
        <w:t xml:space="preserve"> </w:t>
      </w:r>
      <w:r>
        <w:t>hopes</w:t>
      </w:r>
      <w:r>
        <w:rPr>
          <w:spacing w:val="-9"/>
        </w:rPr>
        <w:t xml:space="preserve"> </w:t>
      </w:r>
      <w:r>
        <w:t>to</w:t>
      </w:r>
      <w:r>
        <w:rPr>
          <w:spacing w:val="-8"/>
        </w:rPr>
        <w:t xml:space="preserve"> </w:t>
      </w:r>
      <w:r>
        <w:t>work</w:t>
      </w:r>
      <w:r>
        <w:rPr>
          <w:spacing w:val="-11"/>
        </w:rPr>
        <w:t xml:space="preserve"> </w:t>
      </w:r>
      <w:r>
        <w:t>with</w:t>
      </w:r>
      <w:r>
        <w:rPr>
          <w:spacing w:val="-10"/>
        </w:rPr>
        <w:t xml:space="preserve"> </w:t>
      </w:r>
      <w:r>
        <w:t>DESE</w:t>
      </w:r>
      <w:r>
        <w:rPr>
          <w:spacing w:val="-10"/>
        </w:rPr>
        <w:t xml:space="preserve"> </w:t>
      </w:r>
      <w:r>
        <w:t>to</w:t>
      </w:r>
      <w:r>
        <w:rPr>
          <w:spacing w:val="-9"/>
        </w:rPr>
        <w:t xml:space="preserve"> </w:t>
      </w:r>
      <w:r>
        <w:t>develop</w:t>
      </w:r>
      <w:r>
        <w:rPr>
          <w:spacing w:val="-9"/>
        </w:rPr>
        <w:t xml:space="preserve"> </w:t>
      </w:r>
      <w:r>
        <w:t>more</w:t>
      </w:r>
      <w:r>
        <w:rPr>
          <w:spacing w:val="-10"/>
        </w:rPr>
        <w:t xml:space="preserve"> </w:t>
      </w:r>
      <w:r>
        <w:t>capacity</w:t>
      </w:r>
      <w:r>
        <w:rPr>
          <w:spacing w:val="-10"/>
        </w:rPr>
        <w:t xml:space="preserve"> </w:t>
      </w:r>
      <w:r>
        <w:t>for</w:t>
      </w:r>
      <w:r>
        <w:rPr>
          <w:spacing w:val="-11"/>
        </w:rPr>
        <w:t xml:space="preserve"> </w:t>
      </w:r>
      <w:r>
        <w:t>the</w:t>
      </w:r>
      <w:r>
        <w:rPr>
          <w:spacing w:val="-10"/>
        </w:rPr>
        <w:t xml:space="preserve"> </w:t>
      </w:r>
      <w:r>
        <w:t>Department</w:t>
      </w:r>
      <w:r>
        <w:rPr>
          <w:spacing w:val="-11"/>
        </w:rPr>
        <w:t xml:space="preserve"> </w:t>
      </w:r>
      <w:r>
        <w:t>and</w:t>
      </w:r>
      <w:r>
        <w:rPr>
          <w:spacing w:val="-10"/>
        </w:rPr>
        <w:t xml:space="preserve"> </w:t>
      </w:r>
      <w:r>
        <w:t>individual school</w:t>
      </w:r>
      <w:r>
        <w:rPr>
          <w:spacing w:val="40"/>
        </w:rPr>
        <w:t xml:space="preserve"> </w:t>
      </w:r>
      <w:r>
        <w:t>districts</w:t>
      </w:r>
      <w:r>
        <w:rPr>
          <w:spacing w:val="40"/>
        </w:rPr>
        <w:t xml:space="preserve"> </w:t>
      </w:r>
      <w:r>
        <w:t>to</w:t>
      </w:r>
      <w:r>
        <w:rPr>
          <w:spacing w:val="40"/>
        </w:rPr>
        <w:t xml:space="preserve"> </w:t>
      </w:r>
      <w:r>
        <w:t>carry</w:t>
      </w:r>
      <w:r>
        <w:rPr>
          <w:spacing w:val="40"/>
        </w:rPr>
        <w:t xml:space="preserve"> </w:t>
      </w:r>
      <w:r>
        <w:t>out</w:t>
      </w:r>
      <w:r>
        <w:rPr>
          <w:spacing w:val="40"/>
        </w:rPr>
        <w:t xml:space="preserve"> </w:t>
      </w:r>
      <w:r>
        <w:t>initiatives</w:t>
      </w:r>
      <w:r>
        <w:rPr>
          <w:spacing w:val="40"/>
        </w:rPr>
        <w:t xml:space="preserve"> </w:t>
      </w:r>
      <w:r>
        <w:t>such</w:t>
      </w:r>
      <w:r>
        <w:rPr>
          <w:spacing w:val="40"/>
        </w:rPr>
        <w:t xml:space="preserve"> </w:t>
      </w:r>
      <w:r>
        <w:t>as</w:t>
      </w:r>
      <w:r>
        <w:rPr>
          <w:spacing w:val="40"/>
        </w:rPr>
        <w:t xml:space="preserve"> </w:t>
      </w:r>
      <w:r>
        <w:t>district-wide</w:t>
      </w:r>
      <w:r>
        <w:rPr>
          <w:spacing w:val="40"/>
        </w:rPr>
        <w:t xml:space="preserve"> </w:t>
      </w:r>
      <w:r>
        <w:t>LGBTQ</w:t>
      </w:r>
      <w:r>
        <w:rPr>
          <w:spacing w:val="40"/>
        </w:rPr>
        <w:t xml:space="preserve"> </w:t>
      </w:r>
      <w:r>
        <w:t>inclusion</w:t>
      </w:r>
      <w:r>
        <w:rPr>
          <w:spacing w:val="40"/>
        </w:rPr>
        <w:t xml:space="preserve"> </w:t>
      </w:r>
      <w:r>
        <w:t>trainings,</w:t>
      </w:r>
      <w:r>
        <w:rPr>
          <w:spacing w:val="40"/>
        </w:rPr>
        <w:t xml:space="preserve"> </w:t>
      </w:r>
      <w:r>
        <w:t>training</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767" w:right="476"/>
        <w:jc w:val="both"/>
      </w:pPr>
      <w:r>
        <w:t>superintendents,</w:t>
      </w:r>
      <w:r>
        <w:rPr>
          <w:spacing w:val="-13"/>
        </w:rPr>
        <w:t xml:space="preserve"> </w:t>
      </w:r>
      <w:r>
        <w:t>and</w:t>
      </w:r>
      <w:r>
        <w:rPr>
          <w:spacing w:val="-12"/>
        </w:rPr>
        <w:t xml:space="preserve"> </w:t>
      </w:r>
      <w:r>
        <w:t>other</w:t>
      </w:r>
      <w:r>
        <w:rPr>
          <w:spacing w:val="-13"/>
        </w:rPr>
        <w:t xml:space="preserve"> </w:t>
      </w:r>
      <w:r>
        <w:t>professional</w:t>
      </w:r>
      <w:r>
        <w:rPr>
          <w:spacing w:val="-12"/>
        </w:rPr>
        <w:t xml:space="preserve"> </w:t>
      </w:r>
      <w:r>
        <w:t>development</w:t>
      </w:r>
      <w:r>
        <w:rPr>
          <w:spacing w:val="-13"/>
        </w:rPr>
        <w:t xml:space="preserve"> </w:t>
      </w:r>
      <w:r>
        <w:t>around</w:t>
      </w:r>
      <w:r>
        <w:rPr>
          <w:spacing w:val="-12"/>
        </w:rPr>
        <w:t xml:space="preserve"> </w:t>
      </w:r>
      <w:r>
        <w:t>LGBTQ</w:t>
      </w:r>
      <w:r>
        <w:rPr>
          <w:spacing w:val="-13"/>
        </w:rPr>
        <w:t xml:space="preserve"> </w:t>
      </w:r>
      <w:r>
        <w:t>issues.</w:t>
      </w:r>
      <w:r>
        <w:rPr>
          <w:spacing w:val="-12"/>
        </w:rPr>
        <w:t xml:space="preserve"> </w:t>
      </w:r>
      <w:r>
        <w:t>The</w:t>
      </w:r>
      <w:r>
        <w:rPr>
          <w:spacing w:val="-12"/>
        </w:rPr>
        <w:t xml:space="preserve"> </w:t>
      </w:r>
      <w:r>
        <w:t>Safe</w:t>
      </w:r>
      <w:r>
        <w:rPr>
          <w:spacing w:val="-13"/>
        </w:rPr>
        <w:t xml:space="preserve"> </w:t>
      </w:r>
      <w:r>
        <w:t>Schools</w:t>
      </w:r>
      <w:r>
        <w:rPr>
          <w:spacing w:val="-12"/>
        </w:rPr>
        <w:t xml:space="preserve"> </w:t>
      </w:r>
      <w:r>
        <w:t>Program for</w:t>
      </w:r>
      <w:r>
        <w:rPr>
          <w:spacing w:val="-5"/>
        </w:rPr>
        <w:t xml:space="preserve"> </w:t>
      </w:r>
      <w:r>
        <w:t>LGBTQ</w:t>
      </w:r>
      <w:r>
        <w:rPr>
          <w:spacing w:val="-5"/>
        </w:rPr>
        <w:t xml:space="preserve"> </w:t>
      </w:r>
      <w:r>
        <w:t>Students</w:t>
      </w:r>
      <w:r>
        <w:rPr>
          <w:spacing w:val="-5"/>
        </w:rPr>
        <w:t xml:space="preserve"> </w:t>
      </w:r>
      <w:r>
        <w:t>has</w:t>
      </w:r>
      <w:r>
        <w:rPr>
          <w:spacing w:val="-5"/>
        </w:rPr>
        <w:t xml:space="preserve"> </w:t>
      </w:r>
      <w:r>
        <w:t>increased</w:t>
      </w:r>
      <w:r>
        <w:rPr>
          <w:spacing w:val="-5"/>
        </w:rPr>
        <w:t xml:space="preserve"> </w:t>
      </w:r>
      <w:r>
        <w:t>its</w:t>
      </w:r>
      <w:r>
        <w:rPr>
          <w:spacing w:val="-5"/>
        </w:rPr>
        <w:t xml:space="preserve"> </w:t>
      </w:r>
      <w:r>
        <w:t>capacity</w:t>
      </w:r>
      <w:r>
        <w:rPr>
          <w:spacing w:val="-4"/>
        </w:rPr>
        <w:t xml:space="preserve"> </w:t>
      </w:r>
      <w:r>
        <w:t>to</w:t>
      </w:r>
      <w:r>
        <w:rPr>
          <w:spacing w:val="-5"/>
        </w:rPr>
        <w:t xml:space="preserve"> </w:t>
      </w:r>
      <w:r>
        <w:t>facilitate</w:t>
      </w:r>
      <w:r>
        <w:rPr>
          <w:spacing w:val="-5"/>
        </w:rPr>
        <w:t xml:space="preserve"> </w:t>
      </w:r>
      <w:r>
        <w:t>district-wide</w:t>
      </w:r>
      <w:r>
        <w:rPr>
          <w:spacing w:val="-5"/>
        </w:rPr>
        <w:t xml:space="preserve"> </w:t>
      </w:r>
      <w:r>
        <w:t>initiatives</w:t>
      </w:r>
      <w:r>
        <w:rPr>
          <w:spacing w:val="-4"/>
        </w:rPr>
        <w:t xml:space="preserve"> </w:t>
      </w:r>
      <w:r>
        <w:t>in</w:t>
      </w:r>
      <w:r>
        <w:rPr>
          <w:spacing w:val="-5"/>
        </w:rPr>
        <w:t xml:space="preserve"> </w:t>
      </w:r>
      <w:r>
        <w:t>FY</w:t>
      </w:r>
      <w:r>
        <w:rPr>
          <w:spacing w:val="-5"/>
        </w:rPr>
        <w:t xml:space="preserve"> </w:t>
      </w:r>
      <w:r>
        <w:t>2023</w:t>
      </w:r>
      <w:r>
        <w:rPr>
          <w:spacing w:val="-2"/>
        </w:rPr>
        <w:t xml:space="preserve"> </w:t>
      </w:r>
      <w:r>
        <w:t>and</w:t>
      </w:r>
      <w:r>
        <w:rPr>
          <w:spacing w:val="-5"/>
        </w:rPr>
        <w:t xml:space="preserve"> </w:t>
      </w:r>
      <w:r>
        <w:t>looks forward to further partnering with DESE, and statewide associations, like the Massachusetts</w:t>
      </w:r>
      <w:r>
        <w:t xml:space="preserve"> Association of School Superintendents, to create strategic approaches to supporting district leaders.</w:t>
      </w:r>
    </w:p>
    <w:p w:rsidR="00C76E6D" w:rsidRDefault="00C76E6D">
      <w:pPr>
        <w:pStyle w:val="BodyText"/>
        <w:spacing w:before="11"/>
        <w:rPr>
          <w:sz w:val="26"/>
        </w:rPr>
      </w:pPr>
    </w:p>
    <w:p w:rsidR="00C76E6D" w:rsidRDefault="00913831">
      <w:pPr>
        <w:pStyle w:val="Heading6"/>
        <w:numPr>
          <w:ilvl w:val="0"/>
          <w:numId w:val="20"/>
        </w:numPr>
        <w:tabs>
          <w:tab w:val="left" w:pos="743"/>
        </w:tabs>
        <w:spacing w:line="276" w:lineRule="auto"/>
        <w:ind w:right="521" w:firstLine="0"/>
      </w:pPr>
      <w:bookmarkStart w:id="744" w:name="7._Continue_collaboration_with_the_Commi"/>
      <w:bookmarkEnd w:id="744"/>
      <w:r>
        <w:t>Continue</w:t>
      </w:r>
      <w:r>
        <w:rPr>
          <w:spacing w:val="36"/>
        </w:rPr>
        <w:t xml:space="preserve"> </w:t>
      </w:r>
      <w:r>
        <w:t>collaboration</w:t>
      </w:r>
      <w:r>
        <w:rPr>
          <w:spacing w:val="37"/>
        </w:rPr>
        <w:t xml:space="preserve"> </w:t>
      </w:r>
      <w:r>
        <w:t>with</w:t>
      </w:r>
      <w:r>
        <w:rPr>
          <w:spacing w:val="37"/>
        </w:rPr>
        <w:t xml:space="preserve"> </w:t>
      </w:r>
      <w:r>
        <w:t>the</w:t>
      </w:r>
      <w:r>
        <w:rPr>
          <w:spacing w:val="36"/>
        </w:rPr>
        <w:t xml:space="preserve"> </w:t>
      </w:r>
      <w:r>
        <w:t>Commission</w:t>
      </w:r>
      <w:r>
        <w:rPr>
          <w:spacing w:val="38"/>
        </w:rPr>
        <w:t xml:space="preserve"> </w:t>
      </w:r>
      <w:r>
        <w:t>to</w:t>
      </w:r>
      <w:r>
        <w:rPr>
          <w:spacing w:val="35"/>
        </w:rPr>
        <w:t xml:space="preserve"> </w:t>
      </w:r>
      <w:r>
        <w:t>find</w:t>
      </w:r>
      <w:r>
        <w:rPr>
          <w:spacing w:val="35"/>
        </w:rPr>
        <w:t xml:space="preserve"> </w:t>
      </w:r>
      <w:r>
        <w:t>new</w:t>
      </w:r>
      <w:r>
        <w:rPr>
          <w:spacing w:val="36"/>
        </w:rPr>
        <w:t xml:space="preserve"> </w:t>
      </w:r>
      <w:r>
        <w:t>ways</w:t>
      </w:r>
      <w:r>
        <w:rPr>
          <w:spacing w:val="36"/>
        </w:rPr>
        <w:t xml:space="preserve"> </w:t>
      </w:r>
      <w:r>
        <w:t>to</w:t>
      </w:r>
      <w:r>
        <w:rPr>
          <w:spacing w:val="35"/>
        </w:rPr>
        <w:t xml:space="preserve"> </w:t>
      </w:r>
      <w:r>
        <w:t>support</w:t>
      </w:r>
      <w:r>
        <w:rPr>
          <w:spacing w:val="36"/>
        </w:rPr>
        <w:t xml:space="preserve"> </w:t>
      </w:r>
      <w:r>
        <w:t>nonbinary</w:t>
      </w:r>
      <w:r>
        <w:rPr>
          <w:spacing w:val="36"/>
        </w:rPr>
        <w:t xml:space="preserve"> </w:t>
      </w:r>
      <w:r>
        <w:t>students, educators, and staff.</w:t>
      </w:r>
    </w:p>
    <w:p w:rsidR="00C76E6D" w:rsidRDefault="00C76E6D">
      <w:pPr>
        <w:pStyle w:val="BodyText"/>
        <w:spacing w:before="3"/>
        <w:rPr>
          <w:b/>
          <w:sz w:val="25"/>
        </w:rPr>
      </w:pPr>
    </w:p>
    <w:p w:rsidR="00C76E6D" w:rsidRDefault="00913831">
      <w:pPr>
        <w:pStyle w:val="BodyText"/>
        <w:spacing w:line="276" w:lineRule="auto"/>
        <w:ind w:left="767" w:right="473"/>
        <w:jc w:val="both"/>
      </w:pPr>
      <w:r>
        <w:t>DESE has committed to providing ongoing support of nonbinary students over the past few years. Initiatives</w:t>
      </w:r>
      <w:r>
        <w:rPr>
          <w:spacing w:val="-13"/>
        </w:rPr>
        <w:t xml:space="preserve"> </w:t>
      </w:r>
      <w:r>
        <w:t>such</w:t>
      </w:r>
      <w:r>
        <w:rPr>
          <w:spacing w:val="-12"/>
        </w:rPr>
        <w:t xml:space="preserve"> </w:t>
      </w:r>
      <w:r>
        <w:t>as</w:t>
      </w:r>
      <w:r>
        <w:rPr>
          <w:spacing w:val="-13"/>
        </w:rPr>
        <w:t xml:space="preserve"> </w:t>
      </w:r>
      <w:r>
        <w:t>including</w:t>
      </w:r>
      <w:r>
        <w:rPr>
          <w:spacing w:val="-12"/>
        </w:rPr>
        <w:t xml:space="preserve"> </w:t>
      </w:r>
      <w:r>
        <w:t>a</w:t>
      </w:r>
      <w:r>
        <w:rPr>
          <w:spacing w:val="-13"/>
        </w:rPr>
        <w:t xml:space="preserve"> </w:t>
      </w:r>
      <w:r>
        <w:t>Non-Binary</w:t>
      </w:r>
      <w:r>
        <w:rPr>
          <w:spacing w:val="-12"/>
        </w:rPr>
        <w:t xml:space="preserve"> </w:t>
      </w:r>
      <w:r>
        <w:t>data</w:t>
      </w:r>
      <w:r>
        <w:rPr>
          <w:spacing w:val="-13"/>
        </w:rPr>
        <w:t xml:space="preserve"> </w:t>
      </w:r>
      <w:r>
        <w:t>element</w:t>
      </w:r>
      <w:r>
        <w:rPr>
          <w:spacing w:val="-12"/>
        </w:rPr>
        <w:t xml:space="preserve"> </w:t>
      </w:r>
      <w:r>
        <w:t>in</w:t>
      </w:r>
      <w:r>
        <w:rPr>
          <w:spacing w:val="-12"/>
        </w:rPr>
        <w:t xml:space="preserve"> </w:t>
      </w:r>
      <w:r>
        <w:t>the</w:t>
      </w:r>
      <w:r>
        <w:rPr>
          <w:spacing w:val="-13"/>
        </w:rPr>
        <w:t xml:space="preserve"> </w:t>
      </w:r>
      <w:r>
        <w:t>student</w:t>
      </w:r>
      <w:r>
        <w:rPr>
          <w:spacing w:val="-12"/>
        </w:rPr>
        <w:t xml:space="preserve"> </w:t>
      </w:r>
      <w:r>
        <w:t>information</w:t>
      </w:r>
      <w:r>
        <w:rPr>
          <w:spacing w:val="-13"/>
        </w:rPr>
        <w:t xml:space="preserve"> </w:t>
      </w:r>
      <w:r>
        <w:t>management</w:t>
      </w:r>
      <w:r>
        <w:rPr>
          <w:spacing w:val="-12"/>
        </w:rPr>
        <w:t xml:space="preserve"> </w:t>
      </w:r>
      <w:r>
        <w:t>system (SIMS), and collecting data on gender identity and expressio</w:t>
      </w:r>
      <w:r>
        <w:t xml:space="preserve">n through the MYRBS, has provided the Commonwealth with incredibly useful data. The Commission recommends that DESE continue to collaborate with the Commission, GSA Student Leadership Council, and the Safe Schools Program for LGBTQ Students to develop new </w:t>
      </w:r>
      <w:r>
        <w:t>ways to support nonbinary students, educators, and</w:t>
      </w:r>
      <w:r>
        <w:rPr>
          <w:spacing w:val="-1"/>
        </w:rPr>
        <w:t xml:space="preserve"> </w:t>
      </w:r>
      <w:r>
        <w:t>staff in</w:t>
      </w:r>
      <w:r>
        <w:rPr>
          <w:spacing w:val="-1"/>
        </w:rPr>
        <w:t xml:space="preserve"> </w:t>
      </w:r>
      <w:r>
        <w:t>schools. The Safe Schools Program for LGBTQ Students is actively collaborating with DESE staff to provide all- gender restrooms at the Malden office. In FY 2022, all-gender restrooms were included</w:t>
      </w:r>
      <w:r>
        <w:t xml:space="preserve"> during GSA Student Leadership Council meetings. In FY 2023, further education and planning will take place to explore more permanent options and other ways to support nonbinary students and staff.</w:t>
      </w:r>
    </w:p>
    <w:p w:rsidR="00C76E6D" w:rsidRDefault="00C76E6D">
      <w:pPr>
        <w:pStyle w:val="BodyText"/>
        <w:rPr>
          <w:sz w:val="20"/>
        </w:rPr>
      </w:pPr>
    </w:p>
    <w:p w:rsidR="00C76E6D" w:rsidRDefault="00913831">
      <w:pPr>
        <w:pStyle w:val="BodyText"/>
        <w:spacing w:before="2"/>
        <w:rPr>
          <w:sz w:val="26"/>
        </w:rPr>
      </w:pPr>
      <w:r>
        <w:pict>
          <v:shape id="docshape336" o:spid="_x0000_s1119" style="position:absolute;margin-left:70.6pt;margin-top:17.2pt;width:470.95pt;height:.1pt;z-index:-15665152;mso-wrap-distance-left:0;mso-wrap-distance-right:0;mso-position-horizontal-relative:page" coordorigin="1412,344" coordsize="9419,0" path="m1412,344r9419,e" filled="f" strokeweight="1.54pt">
            <v:path arrowok="t"/>
            <w10:wrap type="topAndBottom" anchorx="page"/>
          </v:shape>
        </w:pict>
      </w:r>
    </w:p>
    <w:p w:rsidR="00C76E6D" w:rsidRDefault="00C76E6D">
      <w:pPr>
        <w:pStyle w:val="BodyText"/>
        <w:spacing w:before="8"/>
      </w:pPr>
    </w:p>
    <w:p w:rsidR="00C76E6D" w:rsidRDefault="00913831">
      <w:pPr>
        <w:pStyle w:val="Heading6"/>
        <w:ind w:left="3683" w:right="3683"/>
        <w:jc w:val="center"/>
        <w:rPr>
          <w:rFonts w:ascii="Arial"/>
        </w:rPr>
      </w:pPr>
      <w:r>
        <w:rPr>
          <w:rFonts w:ascii="Arial"/>
          <w:spacing w:val="-2"/>
        </w:rPr>
        <w:t>ENDNOTES</w:t>
      </w:r>
    </w:p>
    <w:p w:rsidR="00C76E6D" w:rsidRDefault="00913831">
      <w:pPr>
        <w:pStyle w:val="BodyText"/>
        <w:spacing w:before="5"/>
        <w:rPr>
          <w:rFonts w:ascii="Arial"/>
          <w:b/>
          <w:sz w:val="24"/>
        </w:rPr>
      </w:pPr>
      <w:r>
        <w:pict>
          <v:shape id="docshape337" o:spid="_x0000_s1118" style="position:absolute;margin-left:70.6pt;margin-top:15.25pt;width:470.95pt;height:.1pt;z-index:-15664640;mso-wrap-distance-left:0;mso-wrap-distance-right:0;mso-position-horizontal-relative:page" coordorigin="1412,305" coordsize="9419,0" path="m1412,305r9419,e" filled="f" strokeweight="1.54pt">
            <v:path arrowok="t"/>
            <w10:wrap type="topAndBottom" anchorx="page"/>
          </v:shape>
        </w:pict>
      </w:r>
    </w:p>
    <w:p w:rsidR="00C76E6D" w:rsidRDefault="00C76E6D">
      <w:pPr>
        <w:pStyle w:val="BodyText"/>
        <w:rPr>
          <w:rFonts w:ascii="Arial"/>
          <w:b/>
          <w:sz w:val="24"/>
        </w:rPr>
      </w:pPr>
    </w:p>
    <w:p w:rsidR="00C76E6D" w:rsidRDefault="00C76E6D">
      <w:pPr>
        <w:pStyle w:val="BodyText"/>
        <w:rPr>
          <w:rFonts w:ascii="Arial"/>
          <w:b/>
          <w:sz w:val="24"/>
        </w:rPr>
      </w:pPr>
    </w:p>
    <w:p w:rsidR="00C76E6D" w:rsidRDefault="00C76E6D">
      <w:pPr>
        <w:pStyle w:val="BodyText"/>
        <w:spacing w:before="6"/>
        <w:rPr>
          <w:rFonts w:ascii="Arial"/>
          <w:b/>
          <w:sz w:val="27"/>
        </w:rPr>
      </w:pPr>
    </w:p>
    <w:p w:rsidR="00C76E6D" w:rsidRDefault="00913831">
      <w:pPr>
        <w:spacing w:before="1" w:line="276" w:lineRule="auto"/>
        <w:ind w:left="480" w:right="3980" w:hanging="2"/>
        <w:rPr>
          <w:sz w:val="20"/>
        </w:rPr>
      </w:pPr>
      <w:bookmarkStart w:id="745" w:name="_bookmark557"/>
      <w:bookmarkEnd w:id="745"/>
      <w:r>
        <w:rPr>
          <w:sz w:val="20"/>
          <w:vertAlign w:val="superscript"/>
        </w:rPr>
        <w:t>1</w:t>
      </w:r>
      <w:r>
        <w:rPr>
          <w:spacing w:val="-7"/>
          <w:sz w:val="20"/>
        </w:rPr>
        <w:t xml:space="preserve"> </w:t>
      </w:r>
      <w:r>
        <w:rPr>
          <w:sz w:val="20"/>
        </w:rPr>
        <w:t>603</w:t>
      </w:r>
      <w:r>
        <w:rPr>
          <w:spacing w:val="-11"/>
          <w:sz w:val="20"/>
        </w:rPr>
        <w:t xml:space="preserve"> </w:t>
      </w:r>
      <w:r>
        <w:rPr>
          <w:sz w:val="20"/>
        </w:rPr>
        <w:t>CMR</w:t>
      </w:r>
      <w:r>
        <w:rPr>
          <w:spacing w:val="-11"/>
          <w:sz w:val="20"/>
        </w:rPr>
        <w:t xml:space="preserve"> </w:t>
      </w:r>
      <w:r>
        <w:rPr>
          <w:sz w:val="20"/>
        </w:rPr>
        <w:t>26.00:</w:t>
      </w:r>
      <w:r>
        <w:rPr>
          <w:spacing w:val="-10"/>
          <w:sz w:val="20"/>
        </w:rPr>
        <w:t xml:space="preserve"> </w:t>
      </w:r>
      <w:r>
        <w:rPr>
          <w:sz w:val="20"/>
        </w:rPr>
        <w:t>M.G.L.</w:t>
      </w:r>
      <w:r>
        <w:rPr>
          <w:spacing w:val="-10"/>
          <w:sz w:val="20"/>
        </w:rPr>
        <w:t xml:space="preserve"> </w:t>
      </w:r>
      <w:r>
        <w:rPr>
          <w:sz w:val="20"/>
        </w:rPr>
        <w:t>c.</w:t>
      </w:r>
      <w:r>
        <w:rPr>
          <w:spacing w:val="-10"/>
          <w:sz w:val="20"/>
        </w:rPr>
        <w:t xml:space="preserve"> </w:t>
      </w:r>
      <w:r>
        <w:rPr>
          <w:sz w:val="20"/>
        </w:rPr>
        <w:t>76,</w:t>
      </w:r>
      <w:r>
        <w:rPr>
          <w:spacing w:val="-11"/>
          <w:sz w:val="20"/>
        </w:rPr>
        <w:t xml:space="preserve"> </w:t>
      </w:r>
      <w:r>
        <w:rPr>
          <w:sz w:val="20"/>
        </w:rPr>
        <w:t>§</w:t>
      </w:r>
      <w:r>
        <w:rPr>
          <w:spacing w:val="-12"/>
          <w:sz w:val="20"/>
        </w:rPr>
        <w:t xml:space="preserve"> </w:t>
      </w:r>
      <w:r>
        <w:rPr>
          <w:sz w:val="20"/>
        </w:rPr>
        <w:t>5.</w:t>
      </w:r>
      <w:r>
        <w:rPr>
          <w:spacing w:val="-10"/>
          <w:sz w:val="20"/>
        </w:rPr>
        <w:t xml:space="preserve"> </w:t>
      </w:r>
      <w:r>
        <w:rPr>
          <w:sz w:val="20"/>
        </w:rPr>
        <w:t>(Amended</w:t>
      </w:r>
      <w:r>
        <w:rPr>
          <w:spacing w:val="-10"/>
          <w:sz w:val="20"/>
        </w:rPr>
        <w:t xml:space="preserve"> </w:t>
      </w:r>
      <w:r>
        <w:rPr>
          <w:sz w:val="20"/>
        </w:rPr>
        <w:t>June</w:t>
      </w:r>
      <w:r>
        <w:rPr>
          <w:spacing w:val="-12"/>
          <w:sz w:val="20"/>
        </w:rPr>
        <w:t xml:space="preserve"> </w:t>
      </w:r>
      <w:r>
        <w:rPr>
          <w:sz w:val="20"/>
        </w:rPr>
        <w:t>25,</w:t>
      </w:r>
      <w:r>
        <w:rPr>
          <w:spacing w:val="-10"/>
          <w:sz w:val="20"/>
        </w:rPr>
        <w:t xml:space="preserve"> </w:t>
      </w:r>
      <w:r>
        <w:rPr>
          <w:sz w:val="20"/>
        </w:rPr>
        <w:t>2012).</w:t>
      </w:r>
      <w:r>
        <w:rPr>
          <w:spacing w:val="-9"/>
          <w:sz w:val="20"/>
        </w:rPr>
        <w:t xml:space="preserve"> </w:t>
      </w:r>
      <w:r>
        <w:rPr>
          <w:sz w:val="20"/>
        </w:rPr>
        <w:t xml:space="preserve">Retrieved from </w:t>
      </w:r>
      <w:hyperlink r:id="rId385">
        <w:r>
          <w:rPr>
            <w:color w:val="1152CC"/>
            <w:sz w:val="20"/>
          </w:rPr>
          <w:t>http://www.doe.mass.edu/lawsregs/603cmr26.html.</w:t>
        </w:r>
      </w:hyperlink>
    </w:p>
    <w:p w:rsidR="00C76E6D" w:rsidRDefault="00913831">
      <w:pPr>
        <w:spacing w:before="1" w:line="276" w:lineRule="auto"/>
        <w:ind w:left="481" w:right="1109" w:hanging="3"/>
        <w:rPr>
          <w:sz w:val="20"/>
        </w:rPr>
      </w:pPr>
      <w:bookmarkStart w:id="746" w:name="_bookmark558"/>
      <w:bookmarkEnd w:id="746"/>
      <w:r>
        <w:rPr>
          <w:sz w:val="20"/>
          <w:vertAlign w:val="superscript"/>
        </w:rPr>
        <w:t>2</w:t>
      </w:r>
      <w:r>
        <w:rPr>
          <w:sz w:val="20"/>
        </w:rPr>
        <w:t xml:space="preserve"> Massachusetts Department of Elementary and Secondary Education. Principles for Ensuring Safe and Sup</w:t>
      </w:r>
      <w:r>
        <w:rPr>
          <w:sz w:val="20"/>
        </w:rPr>
        <w:t>portive</w:t>
      </w:r>
      <w:r>
        <w:rPr>
          <w:spacing w:val="-12"/>
          <w:sz w:val="20"/>
        </w:rPr>
        <w:t xml:space="preserve"> </w:t>
      </w:r>
      <w:r>
        <w:rPr>
          <w:sz w:val="20"/>
        </w:rPr>
        <w:t>Learning</w:t>
      </w:r>
      <w:r>
        <w:rPr>
          <w:spacing w:val="-11"/>
          <w:sz w:val="20"/>
        </w:rPr>
        <w:t xml:space="preserve"> </w:t>
      </w:r>
      <w:r>
        <w:rPr>
          <w:sz w:val="20"/>
        </w:rPr>
        <w:t>Environments</w:t>
      </w:r>
      <w:r>
        <w:rPr>
          <w:spacing w:val="-11"/>
          <w:sz w:val="20"/>
        </w:rPr>
        <w:t xml:space="preserve"> </w:t>
      </w:r>
      <w:r>
        <w:rPr>
          <w:sz w:val="20"/>
        </w:rPr>
        <w:t>for</w:t>
      </w:r>
      <w:r>
        <w:rPr>
          <w:spacing w:val="-12"/>
          <w:sz w:val="20"/>
        </w:rPr>
        <w:t xml:space="preserve"> </w:t>
      </w:r>
      <w:r>
        <w:rPr>
          <w:sz w:val="20"/>
        </w:rPr>
        <w:t>Lesbian,</w:t>
      </w:r>
      <w:r>
        <w:rPr>
          <w:spacing w:val="-11"/>
          <w:sz w:val="20"/>
        </w:rPr>
        <w:t xml:space="preserve"> </w:t>
      </w:r>
      <w:r>
        <w:rPr>
          <w:sz w:val="20"/>
        </w:rPr>
        <w:t>Gay,</w:t>
      </w:r>
      <w:r>
        <w:rPr>
          <w:spacing w:val="-11"/>
          <w:sz w:val="20"/>
        </w:rPr>
        <w:t xml:space="preserve"> </w:t>
      </w:r>
      <w:r>
        <w:rPr>
          <w:sz w:val="20"/>
        </w:rPr>
        <w:t>Bisexual,</w:t>
      </w:r>
      <w:r>
        <w:rPr>
          <w:spacing w:val="-12"/>
          <w:sz w:val="20"/>
        </w:rPr>
        <w:t xml:space="preserve"> </w:t>
      </w:r>
      <w:r>
        <w:rPr>
          <w:sz w:val="20"/>
        </w:rPr>
        <w:t>Transgender,</w:t>
      </w:r>
      <w:r>
        <w:rPr>
          <w:spacing w:val="-11"/>
          <w:sz w:val="20"/>
        </w:rPr>
        <w:t xml:space="preserve"> </w:t>
      </w:r>
      <w:r>
        <w:rPr>
          <w:sz w:val="20"/>
        </w:rPr>
        <w:t>Queer,</w:t>
      </w:r>
      <w:r>
        <w:rPr>
          <w:spacing w:val="-11"/>
          <w:sz w:val="20"/>
        </w:rPr>
        <w:t xml:space="preserve"> </w:t>
      </w:r>
      <w:r>
        <w:rPr>
          <w:sz w:val="20"/>
        </w:rPr>
        <w:t>and</w:t>
      </w:r>
      <w:r>
        <w:rPr>
          <w:spacing w:val="-12"/>
          <w:sz w:val="20"/>
        </w:rPr>
        <w:t xml:space="preserve"> </w:t>
      </w:r>
      <w:r>
        <w:rPr>
          <w:sz w:val="20"/>
        </w:rPr>
        <w:t>Questioning</w:t>
      </w:r>
      <w:r>
        <w:rPr>
          <w:spacing w:val="-11"/>
          <w:sz w:val="20"/>
        </w:rPr>
        <w:t xml:space="preserve"> </w:t>
      </w:r>
      <w:r>
        <w:rPr>
          <w:sz w:val="20"/>
        </w:rPr>
        <w:t>(LGBTQ) Students.</w:t>
      </w:r>
      <w:r>
        <w:rPr>
          <w:spacing w:val="-7"/>
          <w:sz w:val="20"/>
        </w:rPr>
        <w:t xml:space="preserve"> </w:t>
      </w:r>
      <w:r>
        <w:rPr>
          <w:sz w:val="20"/>
        </w:rPr>
        <w:t>March</w:t>
      </w:r>
      <w:r>
        <w:rPr>
          <w:spacing w:val="-4"/>
          <w:sz w:val="20"/>
        </w:rPr>
        <w:t xml:space="preserve"> </w:t>
      </w:r>
      <w:r>
        <w:rPr>
          <w:sz w:val="20"/>
        </w:rPr>
        <w:t>24,</w:t>
      </w:r>
      <w:r>
        <w:rPr>
          <w:spacing w:val="-4"/>
          <w:sz w:val="20"/>
        </w:rPr>
        <w:t xml:space="preserve"> </w:t>
      </w:r>
      <w:r>
        <w:rPr>
          <w:sz w:val="20"/>
        </w:rPr>
        <w:t>2015.</w:t>
      </w:r>
      <w:r>
        <w:rPr>
          <w:spacing w:val="-4"/>
          <w:sz w:val="20"/>
        </w:rPr>
        <w:t xml:space="preserve"> </w:t>
      </w:r>
      <w:r>
        <w:rPr>
          <w:sz w:val="20"/>
        </w:rPr>
        <w:t>Retrieved</w:t>
      </w:r>
      <w:r>
        <w:rPr>
          <w:spacing w:val="-4"/>
          <w:sz w:val="20"/>
        </w:rPr>
        <w:t xml:space="preserve"> </w:t>
      </w:r>
      <w:r>
        <w:rPr>
          <w:sz w:val="20"/>
        </w:rPr>
        <w:t>from</w:t>
      </w:r>
      <w:r>
        <w:rPr>
          <w:spacing w:val="-4"/>
          <w:sz w:val="20"/>
        </w:rPr>
        <w:t xml:space="preserve"> </w:t>
      </w:r>
      <w:hyperlink r:id="rId386">
        <w:r>
          <w:rPr>
            <w:color w:val="1152CC"/>
            <w:spacing w:val="-2"/>
            <w:sz w:val="20"/>
          </w:rPr>
          <w:t>http://www.doe.mass.edu/sfs/lgbtq/L</w:t>
        </w:r>
        <w:r>
          <w:rPr>
            <w:color w:val="1152CC"/>
            <w:spacing w:val="-2"/>
            <w:sz w:val="20"/>
          </w:rPr>
          <w:t>earningEnvironments.pdf.</w:t>
        </w:r>
      </w:hyperlink>
    </w:p>
    <w:p w:rsidR="00C76E6D" w:rsidRDefault="00C76E6D">
      <w:pPr>
        <w:spacing w:line="276" w:lineRule="auto"/>
        <w:rPr>
          <w:sz w:val="20"/>
        </w:rPr>
        <w:sectPr w:rsidR="00C76E6D">
          <w:pgSz w:w="12240" w:h="15840"/>
          <w:pgMar w:top="960" w:right="960" w:bottom="860" w:left="960" w:header="769" w:footer="679" w:gutter="0"/>
          <w:cols w:space="720"/>
        </w:sectPr>
      </w:pPr>
    </w:p>
    <w:p w:rsidR="00C76E6D" w:rsidRDefault="00C76E6D">
      <w:pPr>
        <w:pStyle w:val="BodyText"/>
        <w:spacing w:before="7"/>
      </w:pPr>
    </w:p>
    <w:p w:rsidR="00C76E6D" w:rsidRDefault="00913831">
      <w:pPr>
        <w:pStyle w:val="Heading2"/>
        <w:spacing w:before="35"/>
      </w:pPr>
      <w:bookmarkStart w:id="747" w:name="Department_of_Higher_Education"/>
      <w:bookmarkStart w:id="748" w:name="_bookmark559"/>
      <w:bookmarkEnd w:id="747"/>
      <w:bookmarkEnd w:id="748"/>
      <w:r>
        <w:t>Department</w:t>
      </w:r>
      <w:r>
        <w:rPr>
          <w:spacing w:val="-8"/>
        </w:rPr>
        <w:t xml:space="preserve"> </w:t>
      </w:r>
      <w:r>
        <w:t>of</w:t>
      </w:r>
      <w:r>
        <w:rPr>
          <w:spacing w:val="-9"/>
        </w:rPr>
        <w:t xml:space="preserve"> </w:t>
      </w:r>
      <w:r>
        <w:t>Higher</w:t>
      </w:r>
      <w:r>
        <w:rPr>
          <w:spacing w:val="-7"/>
        </w:rPr>
        <w:t xml:space="preserve"> </w:t>
      </w:r>
      <w:r>
        <w:rPr>
          <w:spacing w:val="-2"/>
        </w:rPr>
        <w:t>Education</w:t>
      </w:r>
    </w:p>
    <w:p w:rsidR="00C76E6D" w:rsidRDefault="00913831">
      <w:pPr>
        <w:pStyle w:val="BodyText"/>
        <w:rPr>
          <w:b/>
          <w:sz w:val="12"/>
        </w:rPr>
      </w:pPr>
      <w:r>
        <w:pict>
          <v:shape id="docshape341" o:spid="_x0000_s1117" style="position:absolute;margin-left:65pt;margin-top:8.55pt;width:476.95pt;height:.1pt;z-index:-15664128;mso-wrap-distance-left:0;mso-wrap-distance-right:0;mso-position-horizontal-relative:page" coordorigin="1300,171" coordsize="9539,0" path="m1300,171r9539,e" filled="f" strokeweight="1.54pt">
            <v:path arrowok="t"/>
            <w10:wrap type="topAndBottom" anchorx="page"/>
          </v:shape>
        </w:pict>
      </w:r>
    </w:p>
    <w:p w:rsidR="00C76E6D" w:rsidRDefault="00913831">
      <w:pPr>
        <w:pStyle w:val="Heading5"/>
        <w:spacing w:before="181"/>
      </w:pPr>
      <w:r>
        <w:rPr>
          <w:spacing w:val="-2"/>
        </w:rPr>
        <w:t>FY2023</w:t>
      </w:r>
      <w:r>
        <w:rPr>
          <w:spacing w:val="-4"/>
        </w:rPr>
        <w:t xml:space="preserve"> </w:t>
      </w:r>
      <w:r>
        <w:rPr>
          <w:spacing w:val="-2"/>
        </w:rPr>
        <w:t>Recommendations</w:t>
      </w:r>
    </w:p>
    <w:p w:rsidR="00C76E6D" w:rsidRDefault="00C76E6D">
      <w:pPr>
        <w:pStyle w:val="BodyText"/>
        <w:rPr>
          <w:b/>
          <w:sz w:val="24"/>
        </w:rPr>
      </w:pPr>
    </w:p>
    <w:p w:rsidR="00C76E6D" w:rsidRDefault="00C76E6D">
      <w:pPr>
        <w:pStyle w:val="BodyText"/>
        <w:spacing w:before="8"/>
        <w:rPr>
          <w:b/>
          <w:sz w:val="24"/>
        </w:rPr>
      </w:pPr>
    </w:p>
    <w:p w:rsidR="00C76E6D" w:rsidRDefault="00913831">
      <w:pPr>
        <w:pStyle w:val="ListParagraph"/>
        <w:numPr>
          <w:ilvl w:val="1"/>
          <w:numId w:val="20"/>
        </w:numPr>
        <w:tabs>
          <w:tab w:val="left" w:pos="868"/>
        </w:tabs>
        <w:spacing w:line="276" w:lineRule="auto"/>
        <w:ind w:right="340" w:firstLine="0"/>
        <w:jc w:val="both"/>
      </w:pPr>
      <w:r>
        <w:t>Encourage public and private higher education institutions to enact anti-discrimination policies and best practices that include sex, gender identity, gender expression, and sexual orientation.</w:t>
      </w:r>
    </w:p>
    <w:p w:rsidR="00C76E6D" w:rsidRDefault="00C76E6D">
      <w:pPr>
        <w:pStyle w:val="BodyText"/>
        <w:spacing w:before="8"/>
        <w:rPr>
          <w:sz w:val="19"/>
        </w:rPr>
      </w:pPr>
    </w:p>
    <w:p w:rsidR="00C76E6D" w:rsidRDefault="00913831">
      <w:pPr>
        <w:pStyle w:val="ListParagraph"/>
        <w:numPr>
          <w:ilvl w:val="1"/>
          <w:numId w:val="20"/>
        </w:numPr>
        <w:tabs>
          <w:tab w:val="left" w:pos="852"/>
        </w:tabs>
        <w:spacing w:line="276" w:lineRule="auto"/>
        <w:ind w:right="336" w:firstLine="0"/>
        <w:jc w:val="both"/>
      </w:pPr>
      <w:r>
        <w:t>Continue to support quantitative and qualitative data collect</w:t>
      </w:r>
      <w:r>
        <w:t>ion measures across both the public and private higher education sectors to address potential inequities in sexual misconduct occurrence</w:t>
      </w:r>
      <w:r>
        <w:rPr>
          <w:spacing w:val="-4"/>
        </w:rPr>
        <w:t xml:space="preserve"> </w:t>
      </w:r>
      <w:r>
        <w:t>among LGBTQ students versus their non-LGBTQ counterparts.</w:t>
      </w:r>
    </w:p>
    <w:p w:rsidR="00C76E6D" w:rsidRDefault="00C76E6D">
      <w:pPr>
        <w:pStyle w:val="BodyText"/>
      </w:pPr>
    </w:p>
    <w:p w:rsidR="00C76E6D" w:rsidRDefault="00C76E6D">
      <w:pPr>
        <w:pStyle w:val="BodyText"/>
        <w:spacing w:before="11"/>
      </w:pPr>
    </w:p>
    <w:p w:rsidR="00C76E6D" w:rsidRDefault="00913831">
      <w:pPr>
        <w:pStyle w:val="Heading5"/>
        <w:spacing w:before="1"/>
      </w:pPr>
      <w:r>
        <w:t>Background</w:t>
      </w:r>
      <w:r>
        <w:rPr>
          <w:spacing w:val="-15"/>
        </w:rPr>
        <w:t xml:space="preserve"> </w:t>
      </w:r>
      <w:r>
        <w:t>&amp;</w:t>
      </w:r>
      <w:r>
        <w:rPr>
          <w:spacing w:val="-6"/>
        </w:rPr>
        <w:t xml:space="preserve"> </w:t>
      </w:r>
      <w:r>
        <w:rPr>
          <w:spacing w:val="-2"/>
        </w:rPr>
        <w:t>Research</w:t>
      </w:r>
    </w:p>
    <w:p w:rsidR="00C76E6D" w:rsidRDefault="00913831">
      <w:pPr>
        <w:pStyle w:val="BodyText"/>
        <w:spacing w:before="3"/>
        <w:rPr>
          <w:b/>
          <w:sz w:val="11"/>
        </w:rPr>
      </w:pPr>
      <w:r>
        <w:pict>
          <v:shape id="docshape342" o:spid="_x0000_s1116" style="position:absolute;margin-left:65pt;margin-top:8.05pt;width:476.95pt;height:.1pt;z-index:-15663616;mso-wrap-distance-left:0;mso-wrap-distance-right:0;mso-position-horizontal-relative:page" coordorigin="1300,161" coordsize="9539,0" path="m1300,161r9539,e" filled="f" strokeweight="1.54pt">
            <v:path arrowok="t"/>
            <w10:wrap type="topAndBottom" anchorx="page"/>
          </v:shape>
        </w:pict>
      </w:r>
    </w:p>
    <w:p w:rsidR="00C76E6D" w:rsidRDefault="00C76E6D">
      <w:pPr>
        <w:pStyle w:val="BodyText"/>
        <w:spacing w:before="2"/>
        <w:rPr>
          <w:b/>
          <w:sz w:val="31"/>
        </w:rPr>
      </w:pPr>
    </w:p>
    <w:p w:rsidR="00C76E6D" w:rsidRDefault="00913831">
      <w:pPr>
        <w:pStyle w:val="BodyText"/>
        <w:spacing w:line="276" w:lineRule="auto"/>
        <w:ind w:left="338" w:right="473"/>
        <w:jc w:val="both"/>
      </w:pPr>
      <w:r>
        <w:t>The Department of Higher Education</w:t>
      </w:r>
      <w:r>
        <w:t xml:space="preserve"> (DHE) offers vital educational opportunities to nearly 300,000 students at 15 community colleges, nine state universities, and the five campuses of the University of Massachusetts. DHE seeks to provide accessible and relevant programs that meet the changi</w:t>
      </w:r>
      <w:r>
        <w:t>ng individual and</w:t>
      </w:r>
      <w:r>
        <w:rPr>
          <w:spacing w:val="-4"/>
        </w:rPr>
        <w:t xml:space="preserve"> </w:t>
      </w:r>
      <w:r>
        <w:t>societal</w:t>
      </w:r>
      <w:r>
        <w:rPr>
          <w:spacing w:val="-2"/>
        </w:rPr>
        <w:t xml:space="preserve"> </w:t>
      </w:r>
      <w:r>
        <w:t>needs</w:t>
      </w:r>
      <w:r>
        <w:rPr>
          <w:spacing w:val="-2"/>
        </w:rPr>
        <w:t xml:space="preserve"> </w:t>
      </w:r>
      <w:r>
        <w:t>for</w:t>
      </w:r>
      <w:r>
        <w:rPr>
          <w:spacing w:val="-3"/>
        </w:rPr>
        <w:t xml:space="preserve"> </w:t>
      </w:r>
      <w:r>
        <w:t>education</w:t>
      </w:r>
      <w:r>
        <w:rPr>
          <w:spacing w:val="-3"/>
        </w:rPr>
        <w:t xml:space="preserve"> </w:t>
      </w:r>
      <w:r>
        <w:t>and</w:t>
      </w:r>
      <w:r>
        <w:rPr>
          <w:spacing w:val="-3"/>
        </w:rPr>
        <w:t xml:space="preserve"> </w:t>
      </w:r>
      <w:r>
        <w:t>employment</w:t>
      </w:r>
      <w:r>
        <w:rPr>
          <w:spacing w:val="-3"/>
        </w:rPr>
        <w:t xml:space="preserve"> </w:t>
      </w:r>
      <w:r>
        <w:t>in</w:t>
      </w:r>
      <w:r>
        <w:rPr>
          <w:spacing w:val="-3"/>
        </w:rPr>
        <w:t xml:space="preserve"> </w:t>
      </w:r>
      <w:r>
        <w:t>the</w:t>
      </w:r>
      <w:r>
        <w:rPr>
          <w:spacing w:val="-3"/>
        </w:rPr>
        <w:t xml:space="preserve"> </w:t>
      </w:r>
      <w:r>
        <w:t>Commonwealth.</w:t>
      </w:r>
      <w:r>
        <w:rPr>
          <w:spacing w:val="-2"/>
        </w:rPr>
        <w:t xml:space="preserve"> </w:t>
      </w:r>
      <w:r>
        <w:t>The</w:t>
      </w:r>
      <w:r>
        <w:rPr>
          <w:spacing w:val="-2"/>
        </w:rPr>
        <w:t xml:space="preserve"> </w:t>
      </w:r>
      <w:r>
        <w:t>Commission</w:t>
      </w:r>
      <w:r>
        <w:rPr>
          <w:spacing w:val="-3"/>
        </w:rPr>
        <w:t xml:space="preserve"> </w:t>
      </w:r>
      <w:r>
        <w:t>began</w:t>
      </w:r>
      <w:r>
        <w:rPr>
          <w:spacing w:val="-3"/>
        </w:rPr>
        <w:t xml:space="preserve"> </w:t>
      </w:r>
      <w:r>
        <w:t>meeting with DHE in 2013 to promote inclusive and welcoming campus climates and to improve educational outcomes for LGBTQ students at the collegiate lev</w:t>
      </w:r>
      <w:r>
        <w:t>el. Through our work together, DHE has ensured that state campuses consider LGBTQ identities in model guidance and best practices; has updated its campus safety and violence prevention regulations; and has committed to ensuring the protection of LGBTQ stud</w:t>
      </w:r>
      <w:r>
        <w:t>ents and students of color.</w:t>
      </w:r>
    </w:p>
    <w:p w:rsidR="00C76E6D" w:rsidRDefault="00C76E6D">
      <w:pPr>
        <w:pStyle w:val="BodyText"/>
        <w:spacing w:before="9"/>
        <w:rPr>
          <w:sz w:val="19"/>
        </w:rPr>
      </w:pPr>
    </w:p>
    <w:p w:rsidR="00C76E6D" w:rsidRDefault="00913831">
      <w:pPr>
        <w:pStyle w:val="BodyText"/>
        <w:spacing w:line="276" w:lineRule="auto"/>
        <w:ind w:left="338" w:right="474"/>
        <w:jc w:val="both"/>
      </w:pPr>
      <w:r>
        <w:t>While there is limited information regarding the experience and outcomes of LGBTQ students on public university</w:t>
      </w:r>
      <w:r>
        <w:rPr>
          <w:spacing w:val="-8"/>
        </w:rPr>
        <w:t xml:space="preserve"> </w:t>
      </w:r>
      <w:r>
        <w:t>and</w:t>
      </w:r>
      <w:r>
        <w:rPr>
          <w:spacing w:val="-9"/>
        </w:rPr>
        <w:t xml:space="preserve"> </w:t>
      </w:r>
      <w:r>
        <w:t>college</w:t>
      </w:r>
      <w:r>
        <w:rPr>
          <w:spacing w:val="-8"/>
        </w:rPr>
        <w:t xml:space="preserve"> </w:t>
      </w:r>
      <w:r>
        <w:t>campuses</w:t>
      </w:r>
      <w:r>
        <w:rPr>
          <w:spacing w:val="-8"/>
        </w:rPr>
        <w:t xml:space="preserve"> </w:t>
      </w:r>
      <w:r>
        <w:t>across</w:t>
      </w:r>
      <w:r>
        <w:rPr>
          <w:spacing w:val="-7"/>
        </w:rPr>
        <w:t xml:space="preserve"> </w:t>
      </w:r>
      <w:r>
        <w:t>the</w:t>
      </w:r>
      <w:r>
        <w:rPr>
          <w:spacing w:val="-8"/>
        </w:rPr>
        <w:t xml:space="preserve"> </w:t>
      </w:r>
      <w:r>
        <w:t>country,</w:t>
      </w:r>
      <w:r>
        <w:rPr>
          <w:spacing w:val="-9"/>
        </w:rPr>
        <w:t xml:space="preserve"> </w:t>
      </w:r>
      <w:r>
        <w:t>including</w:t>
      </w:r>
      <w:r>
        <w:rPr>
          <w:spacing w:val="-8"/>
        </w:rPr>
        <w:t xml:space="preserve"> </w:t>
      </w:r>
      <w:r>
        <w:t>in</w:t>
      </w:r>
      <w:r>
        <w:rPr>
          <w:spacing w:val="-8"/>
        </w:rPr>
        <w:t xml:space="preserve"> </w:t>
      </w:r>
      <w:r>
        <w:t>Massachusetts,</w:t>
      </w:r>
      <w:r>
        <w:rPr>
          <w:spacing w:val="-8"/>
        </w:rPr>
        <w:t xml:space="preserve"> </w:t>
      </w:r>
      <w:r>
        <w:t>national</w:t>
      </w:r>
      <w:r>
        <w:rPr>
          <w:spacing w:val="-9"/>
        </w:rPr>
        <w:t xml:space="preserve"> </w:t>
      </w:r>
      <w:r>
        <w:t>research</w:t>
      </w:r>
      <w:r>
        <w:rPr>
          <w:spacing w:val="-9"/>
        </w:rPr>
        <w:t xml:space="preserve"> </w:t>
      </w:r>
      <w:r>
        <w:t>suggests that</w:t>
      </w:r>
      <w:r>
        <w:rPr>
          <w:spacing w:val="-13"/>
        </w:rPr>
        <w:t xml:space="preserve"> </w:t>
      </w:r>
      <w:r>
        <w:t>LGBTQ</w:t>
      </w:r>
      <w:r>
        <w:rPr>
          <w:spacing w:val="-12"/>
        </w:rPr>
        <w:t xml:space="preserve"> </w:t>
      </w:r>
      <w:r>
        <w:t>college</w:t>
      </w:r>
      <w:r>
        <w:rPr>
          <w:spacing w:val="-12"/>
        </w:rPr>
        <w:t xml:space="preserve"> </w:t>
      </w:r>
      <w:r>
        <w:t>students</w:t>
      </w:r>
      <w:r>
        <w:rPr>
          <w:spacing w:val="-12"/>
        </w:rPr>
        <w:t xml:space="preserve"> </w:t>
      </w:r>
      <w:r>
        <w:t>face</w:t>
      </w:r>
      <w:r>
        <w:rPr>
          <w:spacing w:val="-12"/>
        </w:rPr>
        <w:t xml:space="preserve"> </w:t>
      </w:r>
      <w:r>
        <w:t>barriers</w:t>
      </w:r>
      <w:r>
        <w:rPr>
          <w:spacing w:val="-12"/>
        </w:rPr>
        <w:t xml:space="preserve"> </w:t>
      </w:r>
      <w:r>
        <w:t>to</w:t>
      </w:r>
      <w:r>
        <w:rPr>
          <w:spacing w:val="-12"/>
        </w:rPr>
        <w:t xml:space="preserve"> </w:t>
      </w:r>
      <w:r>
        <w:t>access</w:t>
      </w:r>
      <w:r>
        <w:rPr>
          <w:spacing w:val="-12"/>
        </w:rPr>
        <w:t xml:space="preserve"> </w:t>
      </w:r>
      <w:r>
        <w:t>and</w:t>
      </w:r>
      <w:r>
        <w:rPr>
          <w:spacing w:val="-13"/>
        </w:rPr>
        <w:t xml:space="preserve"> </w:t>
      </w:r>
      <w:r>
        <w:t>achievement</w:t>
      </w:r>
      <w:r>
        <w:rPr>
          <w:spacing w:val="-12"/>
        </w:rPr>
        <w:t xml:space="preserve"> </w:t>
      </w:r>
      <w:r>
        <w:t>in</w:t>
      </w:r>
      <w:r>
        <w:rPr>
          <w:spacing w:val="-11"/>
        </w:rPr>
        <w:t xml:space="preserve"> </w:t>
      </w:r>
      <w:r>
        <w:t>higher</w:t>
      </w:r>
      <w:r>
        <w:rPr>
          <w:spacing w:val="-12"/>
        </w:rPr>
        <w:t xml:space="preserve"> </w:t>
      </w:r>
      <w:r>
        <w:t>education</w:t>
      </w:r>
      <w:r>
        <w:rPr>
          <w:spacing w:val="-12"/>
        </w:rPr>
        <w:t xml:space="preserve"> </w:t>
      </w:r>
      <w:r>
        <w:t>programs.</w:t>
      </w:r>
      <w:r>
        <w:rPr>
          <w:spacing w:val="-13"/>
        </w:rPr>
        <w:t xml:space="preserve"> </w:t>
      </w:r>
      <w:r>
        <w:t>Despite the existence of inclusive anti-discrimination policies at some institutions, many LGBTQ students and staff members</w:t>
      </w:r>
      <w:r>
        <w:rPr>
          <w:spacing w:val="-2"/>
        </w:rPr>
        <w:t xml:space="preserve"> </w:t>
      </w:r>
      <w:r>
        <w:t>face</w:t>
      </w:r>
      <w:r>
        <w:rPr>
          <w:spacing w:val="-3"/>
        </w:rPr>
        <w:t xml:space="preserve"> </w:t>
      </w:r>
      <w:r>
        <w:t>harassment</w:t>
      </w:r>
      <w:r>
        <w:rPr>
          <w:spacing w:val="-2"/>
        </w:rPr>
        <w:t xml:space="preserve"> </w:t>
      </w:r>
      <w:r>
        <w:t>or</w:t>
      </w:r>
      <w:r>
        <w:rPr>
          <w:spacing w:val="-3"/>
        </w:rPr>
        <w:t xml:space="preserve"> </w:t>
      </w:r>
      <w:r>
        <w:t>feel</w:t>
      </w:r>
      <w:r>
        <w:rPr>
          <w:spacing w:val="-2"/>
        </w:rPr>
        <w:t xml:space="preserve"> </w:t>
      </w:r>
      <w:r>
        <w:t>pressured</w:t>
      </w:r>
      <w:r>
        <w:rPr>
          <w:spacing w:val="-2"/>
        </w:rPr>
        <w:t xml:space="preserve"> </w:t>
      </w:r>
      <w:r>
        <w:t>to</w:t>
      </w:r>
      <w:r>
        <w:rPr>
          <w:spacing w:val="-1"/>
        </w:rPr>
        <w:t xml:space="preserve"> </w:t>
      </w:r>
      <w:r>
        <w:t>hide</w:t>
      </w:r>
      <w:r>
        <w:rPr>
          <w:spacing w:val="-1"/>
        </w:rPr>
        <w:t xml:space="preserve"> </w:t>
      </w:r>
      <w:r>
        <w:t>their</w:t>
      </w:r>
      <w:r>
        <w:rPr>
          <w:spacing w:val="-3"/>
        </w:rPr>
        <w:t xml:space="preserve"> </w:t>
      </w:r>
      <w:r>
        <w:t>sexua</w:t>
      </w:r>
      <w:r>
        <w:t>l</w:t>
      </w:r>
      <w:r>
        <w:rPr>
          <w:spacing w:val="-3"/>
        </w:rPr>
        <w:t xml:space="preserve"> </w:t>
      </w:r>
      <w:r>
        <w:t>orientation</w:t>
      </w:r>
      <w:r>
        <w:rPr>
          <w:spacing w:val="-2"/>
        </w:rPr>
        <w:t xml:space="preserve"> </w:t>
      </w:r>
      <w:r>
        <w:t>or</w:t>
      </w:r>
      <w:r>
        <w:rPr>
          <w:spacing w:val="-3"/>
        </w:rPr>
        <w:t xml:space="preserve"> </w:t>
      </w:r>
      <w:r>
        <w:t>gender</w:t>
      </w:r>
      <w:r>
        <w:rPr>
          <w:spacing w:val="-3"/>
        </w:rPr>
        <w:t xml:space="preserve"> </w:t>
      </w:r>
      <w:r>
        <w:t>identity</w:t>
      </w:r>
      <w:r>
        <w:rPr>
          <w:spacing w:val="-4"/>
        </w:rPr>
        <w:t xml:space="preserve"> </w:t>
      </w:r>
      <w:r>
        <w:t>on</w:t>
      </w:r>
      <w:r>
        <w:rPr>
          <w:spacing w:val="-2"/>
        </w:rPr>
        <w:t xml:space="preserve"> </w:t>
      </w:r>
      <w:r>
        <w:t>campus. Indeed, the harassment and discrimination that many LGBTQ high school students experience continues beyond secondary school and into higher education. A report by Campus Pride, an organization that rates universi</w:t>
      </w:r>
      <w:r>
        <w:t>ties</w:t>
      </w:r>
      <w:r>
        <w:rPr>
          <w:spacing w:val="-2"/>
        </w:rPr>
        <w:t xml:space="preserve"> </w:t>
      </w:r>
      <w:r>
        <w:t>and</w:t>
      </w:r>
      <w:r>
        <w:rPr>
          <w:spacing w:val="-4"/>
        </w:rPr>
        <w:t xml:space="preserve"> </w:t>
      </w:r>
      <w:r>
        <w:t>colleges</w:t>
      </w:r>
      <w:r>
        <w:rPr>
          <w:spacing w:val="-2"/>
        </w:rPr>
        <w:t xml:space="preserve"> </w:t>
      </w:r>
      <w:r>
        <w:t>based</w:t>
      </w:r>
      <w:r>
        <w:rPr>
          <w:spacing w:val="-4"/>
        </w:rPr>
        <w:t xml:space="preserve"> </w:t>
      </w:r>
      <w:r>
        <w:t>on</w:t>
      </w:r>
      <w:r>
        <w:rPr>
          <w:spacing w:val="-4"/>
        </w:rPr>
        <w:t xml:space="preserve"> </w:t>
      </w:r>
      <w:r>
        <w:t>LGBTQ</w:t>
      </w:r>
      <w:r>
        <w:rPr>
          <w:spacing w:val="-4"/>
        </w:rPr>
        <w:t xml:space="preserve"> </w:t>
      </w:r>
      <w:r>
        <w:t>inclusion,</w:t>
      </w:r>
      <w:r>
        <w:rPr>
          <w:spacing w:val="-3"/>
        </w:rPr>
        <w:t xml:space="preserve"> </w:t>
      </w:r>
      <w:r>
        <w:t>indicates</w:t>
      </w:r>
      <w:r>
        <w:rPr>
          <w:spacing w:val="-2"/>
        </w:rPr>
        <w:t xml:space="preserve"> </w:t>
      </w:r>
      <w:r>
        <w:t>that</w:t>
      </w:r>
      <w:r>
        <w:rPr>
          <w:spacing w:val="-2"/>
        </w:rPr>
        <w:t xml:space="preserve"> </w:t>
      </w:r>
      <w:r>
        <w:t>LGBTQ</w:t>
      </w:r>
      <w:r>
        <w:rPr>
          <w:spacing w:val="-3"/>
        </w:rPr>
        <w:t xml:space="preserve"> </w:t>
      </w:r>
      <w:r>
        <w:t>individuals</w:t>
      </w:r>
      <w:r>
        <w:rPr>
          <w:spacing w:val="-3"/>
        </w:rPr>
        <w:t xml:space="preserve"> </w:t>
      </w:r>
      <w:r>
        <w:t>are</w:t>
      </w:r>
      <w:r>
        <w:rPr>
          <w:spacing w:val="-4"/>
        </w:rPr>
        <w:t xml:space="preserve"> </w:t>
      </w:r>
      <w:r>
        <w:t>significantly</w:t>
      </w:r>
      <w:r>
        <w:rPr>
          <w:spacing w:val="-2"/>
        </w:rPr>
        <w:t xml:space="preserve"> </w:t>
      </w:r>
      <w:r>
        <w:t>more likely to experience harassment on campus compared to their non-LGBTQ peers</w:t>
      </w:r>
      <w:hyperlink w:anchor="_bookmark560" w:history="1">
        <w:r>
          <w:t>.</w:t>
        </w:r>
        <w:r>
          <w:rPr>
            <w:vertAlign w:val="superscript"/>
          </w:rPr>
          <w:t>1</w:t>
        </w:r>
        <w:r>
          <w:t xml:space="preserve"> </w:t>
        </w:r>
      </w:hyperlink>
      <w:r>
        <w:t>Harassment based on sexual orientation or gender identity may also intersect with racial bias, resulting in even higher levels of harassment for LGBTQ students of color in higher educational settings</w:t>
      </w:r>
      <w:hyperlink w:anchor="_bookmark561" w:history="1">
        <w:r>
          <w:t>.</w:t>
        </w:r>
        <w:r>
          <w:rPr>
            <w:vertAlign w:val="superscript"/>
          </w:rPr>
          <w:t>2</w:t>
        </w:r>
      </w:hyperlink>
    </w:p>
    <w:p w:rsidR="00C76E6D" w:rsidRDefault="00C76E6D">
      <w:pPr>
        <w:pStyle w:val="BodyText"/>
        <w:spacing w:before="8"/>
        <w:rPr>
          <w:sz w:val="19"/>
        </w:rPr>
      </w:pPr>
    </w:p>
    <w:p w:rsidR="00C76E6D" w:rsidRDefault="00913831">
      <w:pPr>
        <w:pStyle w:val="BodyText"/>
        <w:spacing w:line="276" w:lineRule="auto"/>
        <w:ind w:left="338" w:right="475"/>
        <w:jc w:val="both"/>
      </w:pPr>
      <w:r>
        <w:t>Seven of Massachusett</w:t>
      </w:r>
      <w:r>
        <w:t>s’ 29 public colleges and universities are listed on the national Campus Pride index; The</w:t>
      </w:r>
      <w:r>
        <w:rPr>
          <w:spacing w:val="-2"/>
        </w:rPr>
        <w:t xml:space="preserve"> </w:t>
      </w:r>
      <w:r>
        <w:t>Campus Pride</w:t>
      </w:r>
      <w:r>
        <w:rPr>
          <w:spacing w:val="-3"/>
        </w:rPr>
        <w:t xml:space="preserve"> </w:t>
      </w:r>
      <w:r>
        <w:t>Index</w:t>
      </w:r>
      <w:r>
        <w:rPr>
          <w:spacing w:val="-2"/>
        </w:rPr>
        <w:t xml:space="preserve"> </w:t>
      </w:r>
      <w:r>
        <w:t>issues</w:t>
      </w:r>
      <w:r>
        <w:rPr>
          <w:spacing w:val="-2"/>
        </w:rPr>
        <w:t xml:space="preserve"> </w:t>
      </w:r>
      <w:r>
        <w:t>each</w:t>
      </w:r>
      <w:r>
        <w:rPr>
          <w:spacing w:val="-2"/>
        </w:rPr>
        <w:t xml:space="preserve"> </w:t>
      </w:r>
      <w:r>
        <w:t>campus</w:t>
      </w:r>
      <w:r>
        <w:rPr>
          <w:spacing w:val="-1"/>
        </w:rPr>
        <w:t xml:space="preserve"> </w:t>
      </w:r>
      <w:r>
        <w:t>a</w:t>
      </w:r>
      <w:r>
        <w:rPr>
          <w:spacing w:val="-1"/>
        </w:rPr>
        <w:t xml:space="preserve"> </w:t>
      </w:r>
      <w:r>
        <w:t>rating</w:t>
      </w:r>
      <w:r>
        <w:rPr>
          <w:spacing w:val="-2"/>
        </w:rPr>
        <w:t xml:space="preserve"> </w:t>
      </w:r>
      <w:r>
        <w:t>out</w:t>
      </w:r>
      <w:r>
        <w:rPr>
          <w:spacing w:val="-2"/>
        </w:rPr>
        <w:t xml:space="preserve"> </w:t>
      </w:r>
      <w:r>
        <w:t>of</w:t>
      </w:r>
      <w:r>
        <w:rPr>
          <w:spacing w:val="-2"/>
        </w:rPr>
        <w:t xml:space="preserve"> </w:t>
      </w:r>
      <w:r>
        <w:t>five</w:t>
      </w:r>
      <w:r>
        <w:rPr>
          <w:spacing w:val="-2"/>
        </w:rPr>
        <w:t xml:space="preserve"> </w:t>
      </w:r>
      <w:r>
        <w:t>stars</w:t>
      </w:r>
      <w:r>
        <w:rPr>
          <w:spacing w:val="-2"/>
        </w:rPr>
        <w:t xml:space="preserve"> </w:t>
      </w:r>
      <w:r>
        <w:t>that</w:t>
      </w:r>
      <w:r>
        <w:rPr>
          <w:spacing w:val="-2"/>
        </w:rPr>
        <w:t xml:space="preserve"> </w:t>
      </w:r>
      <w:r>
        <w:t>are</w:t>
      </w:r>
      <w:r>
        <w:rPr>
          <w:spacing w:val="-2"/>
        </w:rPr>
        <w:t xml:space="preserve"> </w:t>
      </w:r>
      <w:r>
        <w:t>determined</w:t>
      </w:r>
      <w:r>
        <w:rPr>
          <w:spacing w:val="-1"/>
        </w:rPr>
        <w:t xml:space="preserve"> </w:t>
      </w:r>
      <w:r>
        <w:t>by</w:t>
      </w:r>
      <w:r>
        <w:rPr>
          <w:spacing w:val="-3"/>
        </w:rPr>
        <w:t xml:space="preserve"> </w:t>
      </w:r>
      <w:r>
        <w:t>the</w:t>
      </w:r>
      <w:r>
        <w:rPr>
          <w:spacing w:val="-2"/>
        </w:rPr>
        <w:t xml:space="preserve"> </w:t>
      </w:r>
      <w:r>
        <w:t>existence of and commitment to forms of LGBTQ student inclusion, such as i</w:t>
      </w:r>
      <w:r>
        <w:t>nclusion policies, institutional support, academic life, housing and residence life, student life, campus safety, counseling and health, and LGBTQ recruitment and retention efforts. Fitchburg State University earned a two-and-a-half-star rating; Salem Stat</w:t>
      </w:r>
      <w:r>
        <w:t>e University and UMass Dartmouth both earned a three-star rating; Massachusetts College of Liberal Arts earned a four-star rating; Bridgewater State University and Worcester State</w:t>
      </w:r>
      <w:r>
        <w:rPr>
          <w:spacing w:val="-1"/>
        </w:rPr>
        <w:t xml:space="preserve"> </w:t>
      </w:r>
      <w:r>
        <w:t>University earned a four-</w:t>
      </w:r>
    </w:p>
    <w:p w:rsidR="00C76E6D" w:rsidRDefault="00C76E6D">
      <w:pPr>
        <w:spacing w:line="276" w:lineRule="auto"/>
        <w:jc w:val="both"/>
        <w:sectPr w:rsidR="00C76E6D">
          <w:headerReference w:type="default" r:id="rId387"/>
          <w:footerReference w:type="default" r:id="rId388"/>
          <w:pgSz w:w="12240" w:h="15840"/>
          <w:pgMar w:top="1020" w:right="960" w:bottom="640" w:left="960" w:header="832" w:footer="440" w:gutter="0"/>
          <w:cols w:space="720"/>
        </w:sectPr>
      </w:pPr>
    </w:p>
    <w:p w:rsidR="00C76E6D" w:rsidRDefault="00C76E6D">
      <w:pPr>
        <w:pStyle w:val="BodyText"/>
        <w:spacing w:before="10"/>
        <w:rPr>
          <w:sz w:val="18"/>
        </w:rPr>
      </w:pPr>
    </w:p>
    <w:p w:rsidR="00C76E6D" w:rsidRDefault="00913831">
      <w:pPr>
        <w:pStyle w:val="BodyText"/>
        <w:spacing w:before="77"/>
        <w:ind w:left="338"/>
        <w:jc w:val="both"/>
      </w:pPr>
      <w:r>
        <w:rPr>
          <w:w w:val="95"/>
        </w:rPr>
        <w:t>and-a-half-star</w:t>
      </w:r>
      <w:r>
        <w:rPr>
          <w:spacing w:val="13"/>
        </w:rPr>
        <w:t xml:space="preserve"> </w:t>
      </w:r>
      <w:r>
        <w:rPr>
          <w:w w:val="95"/>
        </w:rPr>
        <w:t>rating;</w:t>
      </w:r>
      <w:r>
        <w:rPr>
          <w:spacing w:val="13"/>
        </w:rPr>
        <w:t xml:space="preserve"> </w:t>
      </w:r>
      <w:r>
        <w:rPr>
          <w:w w:val="95"/>
        </w:rPr>
        <w:t>and</w:t>
      </w:r>
      <w:r>
        <w:rPr>
          <w:spacing w:val="18"/>
        </w:rPr>
        <w:t xml:space="preserve"> </w:t>
      </w:r>
      <w:r>
        <w:rPr>
          <w:w w:val="95"/>
        </w:rPr>
        <w:t>UMass</w:t>
      </w:r>
      <w:r>
        <w:rPr>
          <w:spacing w:val="14"/>
        </w:rPr>
        <w:t xml:space="preserve"> </w:t>
      </w:r>
      <w:r>
        <w:rPr>
          <w:w w:val="95"/>
        </w:rPr>
        <w:t>Amherst</w:t>
      </w:r>
      <w:r>
        <w:rPr>
          <w:spacing w:val="11"/>
        </w:rPr>
        <w:t xml:space="preserve"> </w:t>
      </w:r>
      <w:r>
        <w:rPr>
          <w:w w:val="95"/>
        </w:rPr>
        <w:t>earned</w:t>
      </w:r>
      <w:r>
        <w:rPr>
          <w:spacing w:val="17"/>
        </w:rPr>
        <w:t xml:space="preserve"> </w:t>
      </w:r>
      <w:r>
        <w:rPr>
          <w:w w:val="95"/>
        </w:rPr>
        <w:t>a</w:t>
      </w:r>
      <w:r>
        <w:rPr>
          <w:spacing w:val="15"/>
        </w:rPr>
        <w:t xml:space="preserve"> </w:t>
      </w:r>
      <w:r>
        <w:rPr>
          <w:w w:val="95"/>
        </w:rPr>
        <w:t>five-star</w:t>
      </w:r>
      <w:r>
        <w:rPr>
          <w:spacing w:val="13"/>
        </w:rPr>
        <w:t xml:space="preserve"> </w:t>
      </w:r>
      <w:r>
        <w:rPr>
          <w:spacing w:val="-2"/>
          <w:w w:val="95"/>
        </w:rPr>
        <w:t>rating</w:t>
      </w:r>
      <w:hyperlink w:anchor="_bookmark562" w:history="1">
        <w:r>
          <w:rPr>
            <w:spacing w:val="-2"/>
            <w:w w:val="95"/>
          </w:rPr>
          <w:t>.</w:t>
        </w:r>
        <w:r>
          <w:rPr>
            <w:spacing w:val="-2"/>
            <w:w w:val="95"/>
            <w:vertAlign w:val="superscript"/>
          </w:rPr>
          <w:t>3</w:t>
        </w:r>
      </w:hyperlink>
    </w:p>
    <w:p w:rsidR="00C76E6D" w:rsidRDefault="00C76E6D">
      <w:pPr>
        <w:pStyle w:val="BodyText"/>
        <w:rPr>
          <w:sz w:val="23"/>
        </w:rPr>
      </w:pPr>
    </w:p>
    <w:p w:rsidR="00C76E6D" w:rsidRDefault="00913831">
      <w:pPr>
        <w:pStyle w:val="BodyText"/>
        <w:spacing w:line="276" w:lineRule="auto"/>
        <w:ind w:left="338" w:right="335"/>
        <w:jc w:val="both"/>
      </w:pPr>
      <w:r>
        <w:t>Stress and concerns induced by anti-LGBTQ campus climate -whether through lack of support or targeted acts of hate- can inte</w:t>
      </w:r>
      <w:r>
        <w:t>rfere with the education of LGBTQ students. The Commission surveyed students and campus</w:t>
      </w:r>
      <w:r>
        <w:rPr>
          <w:spacing w:val="-13"/>
        </w:rPr>
        <w:t xml:space="preserve"> </w:t>
      </w:r>
      <w:r>
        <w:t>professionals</w:t>
      </w:r>
      <w:r>
        <w:rPr>
          <w:spacing w:val="-12"/>
        </w:rPr>
        <w:t xml:space="preserve"> </w:t>
      </w:r>
      <w:r>
        <w:t>in</w:t>
      </w:r>
      <w:r>
        <w:rPr>
          <w:spacing w:val="-13"/>
        </w:rPr>
        <w:t xml:space="preserve"> </w:t>
      </w:r>
      <w:r>
        <w:t>2015</w:t>
      </w:r>
      <w:r>
        <w:rPr>
          <w:spacing w:val="-12"/>
        </w:rPr>
        <w:t xml:space="preserve"> </w:t>
      </w:r>
      <w:r>
        <w:t>and</w:t>
      </w:r>
      <w:r>
        <w:rPr>
          <w:spacing w:val="-13"/>
        </w:rPr>
        <w:t xml:space="preserve"> </w:t>
      </w:r>
      <w:r>
        <w:t>found</w:t>
      </w:r>
      <w:r>
        <w:rPr>
          <w:spacing w:val="-10"/>
        </w:rPr>
        <w:t xml:space="preserve"> </w:t>
      </w:r>
      <w:r>
        <w:t>that</w:t>
      </w:r>
      <w:r>
        <w:rPr>
          <w:spacing w:val="-13"/>
        </w:rPr>
        <w:t xml:space="preserve"> </w:t>
      </w:r>
      <w:r>
        <w:t>LGBTQ</w:t>
      </w:r>
      <w:r>
        <w:rPr>
          <w:spacing w:val="-10"/>
        </w:rPr>
        <w:t xml:space="preserve"> </w:t>
      </w:r>
      <w:r>
        <w:t>college</w:t>
      </w:r>
      <w:r>
        <w:rPr>
          <w:spacing w:val="-12"/>
        </w:rPr>
        <w:t xml:space="preserve"> </w:t>
      </w:r>
      <w:r>
        <w:t>students</w:t>
      </w:r>
      <w:r>
        <w:rPr>
          <w:spacing w:val="-12"/>
        </w:rPr>
        <w:t xml:space="preserve"> </w:t>
      </w:r>
      <w:r>
        <w:t>are</w:t>
      </w:r>
      <w:r>
        <w:rPr>
          <w:spacing w:val="-13"/>
        </w:rPr>
        <w:t xml:space="preserve"> </w:t>
      </w:r>
      <w:r>
        <w:t>more</w:t>
      </w:r>
      <w:r>
        <w:rPr>
          <w:spacing w:val="-12"/>
        </w:rPr>
        <w:t xml:space="preserve"> </w:t>
      </w:r>
      <w:r>
        <w:t>likely</w:t>
      </w:r>
      <w:r>
        <w:rPr>
          <w:spacing w:val="-11"/>
        </w:rPr>
        <w:t xml:space="preserve"> </w:t>
      </w:r>
      <w:r>
        <w:t>to</w:t>
      </w:r>
      <w:r>
        <w:rPr>
          <w:spacing w:val="-12"/>
        </w:rPr>
        <w:t xml:space="preserve"> </w:t>
      </w:r>
      <w:r>
        <w:t>consider</w:t>
      </w:r>
      <w:r>
        <w:rPr>
          <w:spacing w:val="-13"/>
        </w:rPr>
        <w:t xml:space="preserve"> </w:t>
      </w:r>
      <w:r>
        <w:t>withdrawing from</w:t>
      </w:r>
      <w:r>
        <w:rPr>
          <w:spacing w:val="-9"/>
        </w:rPr>
        <w:t xml:space="preserve"> </w:t>
      </w:r>
      <w:r>
        <w:t>their</w:t>
      </w:r>
      <w:r>
        <w:rPr>
          <w:spacing w:val="-8"/>
        </w:rPr>
        <w:t xml:space="preserve"> </w:t>
      </w:r>
      <w:r>
        <w:t>institution</w:t>
      </w:r>
      <w:r>
        <w:rPr>
          <w:spacing w:val="-8"/>
        </w:rPr>
        <w:t xml:space="preserve"> </w:t>
      </w:r>
      <w:r>
        <w:t>and</w:t>
      </w:r>
      <w:r>
        <w:rPr>
          <w:spacing w:val="-5"/>
        </w:rPr>
        <w:t xml:space="preserve"> </w:t>
      </w:r>
      <w:r>
        <w:t>more</w:t>
      </w:r>
      <w:r>
        <w:rPr>
          <w:spacing w:val="-9"/>
        </w:rPr>
        <w:t xml:space="preserve"> </w:t>
      </w:r>
      <w:r>
        <w:t>likely</w:t>
      </w:r>
      <w:r>
        <w:rPr>
          <w:spacing w:val="-6"/>
        </w:rPr>
        <w:t xml:space="preserve"> </w:t>
      </w:r>
      <w:r>
        <w:t>to</w:t>
      </w:r>
      <w:r>
        <w:rPr>
          <w:spacing w:val="-6"/>
        </w:rPr>
        <w:t xml:space="preserve"> </w:t>
      </w:r>
      <w:r>
        <w:t>fear</w:t>
      </w:r>
      <w:r>
        <w:rPr>
          <w:spacing w:val="-8"/>
        </w:rPr>
        <w:t xml:space="preserve"> </w:t>
      </w:r>
      <w:r>
        <w:t>for</w:t>
      </w:r>
      <w:r>
        <w:rPr>
          <w:spacing w:val="-8"/>
        </w:rPr>
        <w:t xml:space="preserve"> </w:t>
      </w:r>
      <w:r>
        <w:t>their</w:t>
      </w:r>
      <w:r>
        <w:rPr>
          <w:spacing w:val="-5"/>
        </w:rPr>
        <w:t xml:space="preserve"> </w:t>
      </w:r>
      <w:r>
        <w:t>physical</w:t>
      </w:r>
      <w:r>
        <w:rPr>
          <w:spacing w:val="-8"/>
        </w:rPr>
        <w:t xml:space="preserve"> </w:t>
      </w:r>
      <w:r>
        <w:t>safety</w:t>
      </w:r>
      <w:r>
        <w:rPr>
          <w:spacing w:val="-9"/>
        </w:rPr>
        <w:t xml:space="preserve"> </w:t>
      </w:r>
      <w:r>
        <w:t>on</w:t>
      </w:r>
      <w:r>
        <w:rPr>
          <w:spacing w:val="-7"/>
        </w:rPr>
        <w:t xml:space="preserve"> </w:t>
      </w:r>
      <w:r>
        <w:t>campus</w:t>
      </w:r>
      <w:r>
        <w:rPr>
          <w:spacing w:val="-6"/>
        </w:rPr>
        <w:t xml:space="preserve"> </w:t>
      </w:r>
      <w:r>
        <w:t>than</w:t>
      </w:r>
      <w:r>
        <w:rPr>
          <w:spacing w:val="-8"/>
        </w:rPr>
        <w:t xml:space="preserve"> </w:t>
      </w:r>
      <w:r>
        <w:t>their</w:t>
      </w:r>
      <w:r>
        <w:rPr>
          <w:spacing w:val="-7"/>
        </w:rPr>
        <w:t xml:space="preserve"> </w:t>
      </w:r>
      <w:r>
        <w:t>non-LGBTQ</w:t>
      </w:r>
      <w:r>
        <w:rPr>
          <w:spacing w:val="-8"/>
        </w:rPr>
        <w:t xml:space="preserve"> </w:t>
      </w:r>
      <w:r>
        <w:t>peers. Additionally, LGBTQ students often feel that their public college or university does not provide adequate resources</w:t>
      </w:r>
      <w:r>
        <w:rPr>
          <w:spacing w:val="-7"/>
        </w:rPr>
        <w:t xml:space="preserve"> </w:t>
      </w:r>
      <w:r>
        <w:t>on</w:t>
      </w:r>
      <w:r>
        <w:rPr>
          <w:spacing w:val="-7"/>
        </w:rPr>
        <w:t xml:space="preserve"> </w:t>
      </w:r>
      <w:r>
        <w:t>LGBTQ</w:t>
      </w:r>
      <w:r>
        <w:rPr>
          <w:spacing w:val="-7"/>
        </w:rPr>
        <w:t xml:space="preserve"> </w:t>
      </w:r>
      <w:r>
        <w:t>issues</w:t>
      </w:r>
      <w:r>
        <w:rPr>
          <w:spacing w:val="-7"/>
        </w:rPr>
        <w:t xml:space="preserve"> </w:t>
      </w:r>
      <w:r>
        <w:t>or</w:t>
      </w:r>
      <w:r>
        <w:rPr>
          <w:spacing w:val="-9"/>
        </w:rPr>
        <w:t xml:space="preserve"> </w:t>
      </w:r>
      <w:r>
        <w:t>respond</w:t>
      </w:r>
      <w:r>
        <w:rPr>
          <w:spacing w:val="-8"/>
        </w:rPr>
        <w:t xml:space="preserve"> </w:t>
      </w:r>
      <w:r>
        <w:t>appropriately</w:t>
      </w:r>
      <w:r>
        <w:rPr>
          <w:spacing w:val="-7"/>
        </w:rPr>
        <w:t xml:space="preserve"> </w:t>
      </w:r>
      <w:r>
        <w:t>to</w:t>
      </w:r>
      <w:r>
        <w:rPr>
          <w:spacing w:val="-7"/>
        </w:rPr>
        <w:t xml:space="preserve"> </w:t>
      </w:r>
      <w:r>
        <w:t>incidents</w:t>
      </w:r>
      <w:r>
        <w:rPr>
          <w:spacing w:val="-7"/>
        </w:rPr>
        <w:t xml:space="preserve"> </w:t>
      </w:r>
      <w:r>
        <w:t>of</w:t>
      </w:r>
      <w:r>
        <w:rPr>
          <w:spacing w:val="-6"/>
        </w:rPr>
        <w:t xml:space="preserve"> </w:t>
      </w:r>
      <w:r>
        <w:t>harassment</w:t>
      </w:r>
      <w:r>
        <w:rPr>
          <w:spacing w:val="-7"/>
        </w:rPr>
        <w:t xml:space="preserve"> </w:t>
      </w:r>
      <w:r>
        <w:t>on</w:t>
      </w:r>
      <w:r>
        <w:rPr>
          <w:spacing w:val="-8"/>
        </w:rPr>
        <w:t xml:space="preserve"> </w:t>
      </w:r>
      <w:r>
        <w:t>campus.</w:t>
      </w:r>
      <w:r>
        <w:rPr>
          <w:spacing w:val="-7"/>
        </w:rPr>
        <w:t xml:space="preserve"> </w:t>
      </w:r>
      <w:r>
        <w:t>The</w:t>
      </w:r>
      <w:r>
        <w:rPr>
          <w:spacing w:val="-8"/>
        </w:rPr>
        <w:t xml:space="preserve"> </w:t>
      </w:r>
      <w:r>
        <w:t>Commission i</w:t>
      </w:r>
      <w:r>
        <w:t>s particularly concerned that this is the reality on some public campuses, especially at community colleges where limited resources exist for student services.</w:t>
      </w:r>
    </w:p>
    <w:p w:rsidR="00C76E6D" w:rsidRDefault="00C76E6D">
      <w:pPr>
        <w:pStyle w:val="BodyText"/>
        <w:spacing w:before="7"/>
        <w:rPr>
          <w:sz w:val="19"/>
        </w:rPr>
      </w:pPr>
    </w:p>
    <w:p w:rsidR="00C76E6D" w:rsidRDefault="00913831">
      <w:pPr>
        <w:pStyle w:val="BodyText"/>
        <w:spacing w:line="276" w:lineRule="auto"/>
        <w:ind w:left="338" w:right="334" w:hanging="1"/>
        <w:jc w:val="both"/>
      </w:pPr>
      <w:r>
        <w:t>Finally,</w:t>
      </w:r>
      <w:r>
        <w:rPr>
          <w:spacing w:val="-1"/>
        </w:rPr>
        <w:t xml:space="preserve"> </w:t>
      </w:r>
      <w:r>
        <w:t>the</w:t>
      </w:r>
      <w:r>
        <w:rPr>
          <w:spacing w:val="-2"/>
        </w:rPr>
        <w:t xml:space="preserve"> </w:t>
      </w:r>
      <w:r>
        <w:t>sexual</w:t>
      </w:r>
      <w:r>
        <w:rPr>
          <w:spacing w:val="-2"/>
        </w:rPr>
        <w:t xml:space="preserve"> </w:t>
      </w:r>
      <w:r>
        <w:t>violence that</w:t>
      </w:r>
      <w:r>
        <w:rPr>
          <w:spacing w:val="-2"/>
        </w:rPr>
        <w:t xml:space="preserve"> </w:t>
      </w:r>
      <w:r>
        <w:t>is pervasive</w:t>
      </w:r>
      <w:r>
        <w:rPr>
          <w:spacing w:val="-2"/>
        </w:rPr>
        <w:t xml:space="preserve"> </w:t>
      </w:r>
      <w:r>
        <w:t>on</w:t>
      </w:r>
      <w:r>
        <w:rPr>
          <w:spacing w:val="-2"/>
        </w:rPr>
        <w:t xml:space="preserve"> </w:t>
      </w:r>
      <w:r>
        <w:t>college campuses across</w:t>
      </w:r>
      <w:r>
        <w:rPr>
          <w:spacing w:val="-1"/>
        </w:rPr>
        <w:t xml:space="preserve"> </w:t>
      </w:r>
      <w:r>
        <w:t>the</w:t>
      </w:r>
      <w:r>
        <w:rPr>
          <w:spacing w:val="-1"/>
        </w:rPr>
        <w:t xml:space="preserve"> </w:t>
      </w:r>
      <w:r>
        <w:t>country</w:t>
      </w:r>
      <w:r>
        <w:rPr>
          <w:spacing w:val="-2"/>
        </w:rPr>
        <w:t xml:space="preserve"> </w:t>
      </w:r>
      <w:r>
        <w:t>affects</w:t>
      </w:r>
      <w:r>
        <w:rPr>
          <w:spacing w:val="-1"/>
        </w:rPr>
        <w:t xml:space="preserve"> </w:t>
      </w:r>
      <w:r>
        <w:t>LGBTQ</w:t>
      </w:r>
      <w:r>
        <w:rPr>
          <w:spacing w:val="-2"/>
        </w:rPr>
        <w:t xml:space="preserve"> </w:t>
      </w:r>
      <w:r>
        <w:t>students at disproportionate rates. For instance, a survey of Minnesota college students found that 12% of bisexual students and 7% of gay and lesbian students, as compared to 3.3% of heterosexual students, reported a sexual</w:t>
      </w:r>
      <w:r>
        <w:rPr>
          <w:spacing w:val="-1"/>
        </w:rPr>
        <w:t xml:space="preserve"> </w:t>
      </w:r>
      <w:r>
        <w:t>assault</w:t>
      </w:r>
      <w:r>
        <w:rPr>
          <w:spacing w:val="-1"/>
        </w:rPr>
        <w:t xml:space="preserve"> </w:t>
      </w:r>
      <w:r>
        <w:t>in the past year</w:t>
      </w:r>
      <w:hyperlink w:anchor="_bookmark563" w:history="1">
        <w:r>
          <w:t>.</w:t>
        </w:r>
        <w:r>
          <w:rPr>
            <w:vertAlign w:val="superscript"/>
          </w:rPr>
          <w:t>4</w:t>
        </w:r>
        <w:r>
          <w:rPr>
            <w:spacing w:val="-1"/>
          </w:rPr>
          <w:t xml:space="preserve"> </w:t>
        </w:r>
      </w:hyperlink>
      <w:r>
        <w:t>The same</w:t>
      </w:r>
      <w:r>
        <w:rPr>
          <w:spacing w:val="-2"/>
        </w:rPr>
        <w:t xml:space="preserve"> </w:t>
      </w:r>
      <w:r>
        <w:t>study found</w:t>
      </w:r>
      <w:r>
        <w:rPr>
          <w:spacing w:val="-1"/>
        </w:rPr>
        <w:t xml:space="preserve"> </w:t>
      </w:r>
      <w:r>
        <w:t>that</w:t>
      </w:r>
      <w:r>
        <w:rPr>
          <w:spacing w:val="-1"/>
        </w:rPr>
        <w:t xml:space="preserve"> </w:t>
      </w:r>
      <w:r>
        <w:t>47% of</w:t>
      </w:r>
      <w:r>
        <w:rPr>
          <w:spacing w:val="-1"/>
        </w:rPr>
        <w:t xml:space="preserve"> </w:t>
      </w:r>
      <w:r>
        <w:t>bisexual college</w:t>
      </w:r>
      <w:r>
        <w:rPr>
          <w:spacing w:val="-1"/>
        </w:rPr>
        <w:t xml:space="preserve"> </w:t>
      </w:r>
      <w:r>
        <w:t>students and</w:t>
      </w:r>
      <w:r>
        <w:rPr>
          <w:spacing w:val="-1"/>
        </w:rPr>
        <w:t xml:space="preserve"> </w:t>
      </w:r>
      <w:r>
        <w:t>33% of gay and lesbian students, versus only 17% of heterosexual students, reported one or more incidents of sexual assault in their lifetime</w:t>
      </w:r>
      <w:hyperlink w:anchor="_bookmark564" w:history="1">
        <w:r>
          <w:t>.</w:t>
        </w:r>
        <w:r>
          <w:rPr>
            <w:vertAlign w:val="superscript"/>
          </w:rPr>
          <w:t>5</w:t>
        </w:r>
      </w:hyperlink>
      <w:r>
        <w:t xml:space="preserve"> LGBTQ students are already more likely to begin higher education having been exposed to unwanted sexual contact, with 21.8% of LGBTQ students in Massachusetts reporting such an experience compared to 7.4% of their non-LGBTQ peers</w:t>
      </w:r>
      <w:hyperlink w:anchor="_bookmark565" w:history="1">
        <w:r>
          <w:t>.</w:t>
        </w:r>
        <w:r>
          <w:rPr>
            <w:vertAlign w:val="superscript"/>
          </w:rPr>
          <w:t>6</w:t>
        </w:r>
      </w:hyperlink>
    </w:p>
    <w:p w:rsidR="00C76E6D" w:rsidRDefault="00C76E6D">
      <w:pPr>
        <w:pStyle w:val="BodyText"/>
        <w:spacing w:before="9"/>
        <w:rPr>
          <w:sz w:val="19"/>
        </w:rPr>
      </w:pPr>
    </w:p>
    <w:p w:rsidR="00C76E6D" w:rsidRDefault="00913831">
      <w:pPr>
        <w:pStyle w:val="BodyText"/>
        <w:spacing w:line="276" w:lineRule="auto"/>
        <w:ind w:left="338" w:right="335" w:hanging="1"/>
        <w:jc w:val="both"/>
      </w:pPr>
      <w:r>
        <w:t>LGBTQ</w:t>
      </w:r>
      <w:r>
        <w:rPr>
          <w:spacing w:val="-7"/>
        </w:rPr>
        <w:t xml:space="preserve"> </w:t>
      </w:r>
      <w:r>
        <w:t>students</w:t>
      </w:r>
      <w:r>
        <w:rPr>
          <w:spacing w:val="-7"/>
        </w:rPr>
        <w:t xml:space="preserve"> </w:t>
      </w:r>
      <w:r>
        <w:t>interact</w:t>
      </w:r>
      <w:r>
        <w:rPr>
          <w:spacing w:val="-7"/>
        </w:rPr>
        <w:t xml:space="preserve"> </w:t>
      </w:r>
      <w:r>
        <w:t>with</w:t>
      </w:r>
      <w:r>
        <w:rPr>
          <w:spacing w:val="-7"/>
        </w:rPr>
        <w:t xml:space="preserve"> </w:t>
      </w:r>
      <w:r>
        <w:t>every</w:t>
      </w:r>
      <w:r>
        <w:rPr>
          <w:spacing w:val="-8"/>
        </w:rPr>
        <w:t xml:space="preserve"> </w:t>
      </w:r>
      <w:r>
        <w:t>facet</w:t>
      </w:r>
      <w:r>
        <w:rPr>
          <w:spacing w:val="-8"/>
        </w:rPr>
        <w:t xml:space="preserve"> </w:t>
      </w:r>
      <w:r>
        <w:t>of</w:t>
      </w:r>
      <w:r>
        <w:rPr>
          <w:spacing w:val="-6"/>
        </w:rPr>
        <w:t xml:space="preserve"> </w:t>
      </w:r>
      <w:r>
        <w:t>the</w:t>
      </w:r>
      <w:r>
        <w:rPr>
          <w:spacing w:val="-7"/>
        </w:rPr>
        <w:t xml:space="preserve"> </w:t>
      </w:r>
      <w:r>
        <w:t>higher</w:t>
      </w:r>
      <w:r>
        <w:rPr>
          <w:spacing w:val="-8"/>
        </w:rPr>
        <w:t xml:space="preserve"> </w:t>
      </w:r>
      <w:r>
        <w:t>education</w:t>
      </w:r>
      <w:r>
        <w:rPr>
          <w:spacing w:val="-7"/>
        </w:rPr>
        <w:t xml:space="preserve"> </w:t>
      </w:r>
      <w:r>
        <w:t>system.</w:t>
      </w:r>
      <w:r>
        <w:rPr>
          <w:spacing w:val="-7"/>
        </w:rPr>
        <w:t xml:space="preserve"> </w:t>
      </w:r>
      <w:r>
        <w:t>Best</w:t>
      </w:r>
      <w:r>
        <w:rPr>
          <w:spacing w:val="-7"/>
        </w:rPr>
        <w:t xml:space="preserve"> </w:t>
      </w:r>
      <w:r>
        <w:t>practices</w:t>
      </w:r>
      <w:r>
        <w:rPr>
          <w:spacing w:val="-5"/>
        </w:rPr>
        <w:t xml:space="preserve"> </w:t>
      </w:r>
      <w:r>
        <w:t>in</w:t>
      </w:r>
      <w:r>
        <w:rPr>
          <w:spacing w:val="-7"/>
        </w:rPr>
        <w:t xml:space="preserve"> </w:t>
      </w:r>
      <w:r>
        <w:t>policies</w:t>
      </w:r>
      <w:r>
        <w:rPr>
          <w:spacing w:val="-6"/>
        </w:rPr>
        <w:t xml:space="preserve"> </w:t>
      </w:r>
      <w:r>
        <w:t>related</w:t>
      </w:r>
      <w:r>
        <w:rPr>
          <w:spacing w:val="-7"/>
        </w:rPr>
        <w:t xml:space="preserve"> </w:t>
      </w:r>
      <w:r>
        <w:t>to housing, bias incident reporting protocols, health services, health insurance plans, and changing identity documents are increasingly addressing LGBTQ student needs on campuses nationwide. The Commission is eager to work with DHE to ensure that our publ</w:t>
      </w:r>
      <w:r>
        <w:t>ic campuses have access to the resources they need to develop</w:t>
      </w:r>
      <w:r>
        <w:rPr>
          <w:spacing w:val="-1"/>
        </w:rPr>
        <w:t xml:space="preserve"> </w:t>
      </w:r>
      <w:r>
        <w:t>the</w:t>
      </w:r>
      <w:r>
        <w:rPr>
          <w:spacing w:val="-1"/>
        </w:rPr>
        <w:t xml:space="preserve"> </w:t>
      </w:r>
      <w:r>
        <w:t>internal</w:t>
      </w:r>
      <w:r>
        <w:rPr>
          <w:spacing w:val="-1"/>
        </w:rPr>
        <w:t xml:space="preserve"> </w:t>
      </w:r>
      <w:r>
        <w:t>policies,</w:t>
      </w:r>
      <w:r>
        <w:rPr>
          <w:spacing w:val="-1"/>
        </w:rPr>
        <w:t xml:space="preserve"> </w:t>
      </w:r>
      <w:r>
        <w:t>procedures,</w:t>
      </w:r>
      <w:r>
        <w:rPr>
          <w:spacing w:val="-1"/>
        </w:rPr>
        <w:t xml:space="preserve"> </w:t>
      </w:r>
      <w:r>
        <w:t>and</w:t>
      </w:r>
      <w:r>
        <w:rPr>
          <w:spacing w:val="-1"/>
        </w:rPr>
        <w:t xml:space="preserve"> </w:t>
      </w:r>
      <w:r>
        <w:t>best</w:t>
      </w:r>
      <w:r>
        <w:rPr>
          <w:spacing w:val="-1"/>
        </w:rPr>
        <w:t xml:space="preserve"> </w:t>
      </w:r>
      <w:r>
        <w:t>practices</w:t>
      </w:r>
      <w:r>
        <w:rPr>
          <w:spacing w:val="-1"/>
        </w:rPr>
        <w:t xml:space="preserve"> </w:t>
      </w:r>
      <w:r>
        <w:t>necessary</w:t>
      </w:r>
      <w:r>
        <w:rPr>
          <w:spacing w:val="-1"/>
        </w:rPr>
        <w:t xml:space="preserve"> </w:t>
      </w:r>
      <w:r>
        <w:t>for</w:t>
      </w:r>
      <w:r>
        <w:rPr>
          <w:spacing w:val="-2"/>
        </w:rPr>
        <w:t xml:space="preserve"> </w:t>
      </w:r>
      <w:r>
        <w:t>our</w:t>
      </w:r>
      <w:r>
        <w:rPr>
          <w:spacing w:val="-2"/>
        </w:rPr>
        <w:t xml:space="preserve"> </w:t>
      </w:r>
      <w:r>
        <w:t>campuses</w:t>
      </w:r>
      <w:r>
        <w:rPr>
          <w:spacing w:val="-1"/>
        </w:rPr>
        <w:t xml:space="preserve"> </w:t>
      </w:r>
      <w:r>
        <w:t>to</w:t>
      </w:r>
      <w:r>
        <w:rPr>
          <w:spacing w:val="-1"/>
        </w:rPr>
        <w:t xml:space="preserve"> </w:t>
      </w:r>
      <w:r>
        <w:t>exceed</w:t>
      </w:r>
      <w:r>
        <w:rPr>
          <w:spacing w:val="-1"/>
        </w:rPr>
        <w:t xml:space="preserve"> </w:t>
      </w:r>
      <w:r>
        <w:t>national standards for LGBTQ student support.</w:t>
      </w:r>
    </w:p>
    <w:p w:rsidR="00C76E6D" w:rsidRDefault="00C76E6D">
      <w:pPr>
        <w:pStyle w:val="BodyText"/>
        <w:spacing w:before="3"/>
        <w:rPr>
          <w:sz w:val="25"/>
        </w:rPr>
      </w:pPr>
    </w:p>
    <w:p w:rsidR="00C76E6D" w:rsidRDefault="00913831">
      <w:pPr>
        <w:pStyle w:val="Heading5"/>
        <w:spacing w:before="1"/>
        <w:jc w:val="both"/>
      </w:pPr>
      <w:r>
        <w:rPr>
          <w:spacing w:val="-2"/>
        </w:rPr>
        <w:t>Expanded</w:t>
      </w:r>
      <w:r>
        <w:t xml:space="preserve"> </w:t>
      </w:r>
      <w:r>
        <w:rPr>
          <w:spacing w:val="-2"/>
        </w:rPr>
        <w:t>Recommendations</w:t>
      </w:r>
    </w:p>
    <w:p w:rsidR="00C76E6D" w:rsidRDefault="00913831">
      <w:pPr>
        <w:pStyle w:val="BodyText"/>
        <w:rPr>
          <w:b/>
          <w:sz w:val="11"/>
        </w:rPr>
      </w:pPr>
      <w:r>
        <w:pict>
          <v:shape id="docshape343" o:spid="_x0000_s1115" style="position:absolute;margin-left:65pt;margin-top:7.95pt;width:476.95pt;height:.1pt;z-index:-15663104;mso-wrap-distance-left:0;mso-wrap-distance-right:0;mso-position-horizontal-relative:page" coordorigin="1300,159" coordsize="9539,0" path="m1300,159r9539,e" filled="f" strokeweight="1.54pt">
            <v:path arrowok="t"/>
            <w10:wrap type="topAndBottom" anchorx="page"/>
          </v:shape>
        </w:pict>
      </w:r>
    </w:p>
    <w:p w:rsidR="00C76E6D" w:rsidRDefault="00C76E6D">
      <w:pPr>
        <w:pStyle w:val="BodyText"/>
        <w:rPr>
          <w:b/>
          <w:sz w:val="24"/>
        </w:rPr>
      </w:pPr>
    </w:p>
    <w:p w:rsidR="00C76E6D" w:rsidRDefault="00C76E6D">
      <w:pPr>
        <w:pStyle w:val="BodyText"/>
        <w:rPr>
          <w:b/>
        </w:rPr>
      </w:pPr>
    </w:p>
    <w:p w:rsidR="00C76E6D" w:rsidRDefault="00913831">
      <w:pPr>
        <w:pStyle w:val="Heading6"/>
        <w:numPr>
          <w:ilvl w:val="0"/>
          <w:numId w:val="19"/>
        </w:numPr>
        <w:tabs>
          <w:tab w:val="left" w:pos="592"/>
        </w:tabs>
        <w:spacing w:before="1" w:line="276" w:lineRule="auto"/>
        <w:ind w:right="376" w:firstLine="0"/>
      </w:pPr>
      <w:bookmarkStart w:id="749" w:name="1._Encourage_public_and_private_higher_e"/>
      <w:bookmarkEnd w:id="749"/>
      <w:r>
        <w:t>Encourage</w:t>
      </w:r>
      <w:r>
        <w:rPr>
          <w:spacing w:val="-13"/>
        </w:rPr>
        <w:t xml:space="preserve"> </w:t>
      </w:r>
      <w:r>
        <w:t>public</w:t>
      </w:r>
      <w:r>
        <w:rPr>
          <w:spacing w:val="-13"/>
        </w:rPr>
        <w:t xml:space="preserve"> </w:t>
      </w:r>
      <w:r>
        <w:t>and</w:t>
      </w:r>
      <w:r>
        <w:rPr>
          <w:spacing w:val="-13"/>
        </w:rPr>
        <w:t xml:space="preserve"> </w:t>
      </w:r>
      <w:r>
        <w:t>private</w:t>
      </w:r>
      <w:r>
        <w:rPr>
          <w:spacing w:val="-13"/>
        </w:rPr>
        <w:t xml:space="preserve"> </w:t>
      </w:r>
      <w:r>
        <w:t>higher</w:t>
      </w:r>
      <w:r>
        <w:rPr>
          <w:spacing w:val="-12"/>
        </w:rPr>
        <w:t xml:space="preserve"> </w:t>
      </w:r>
      <w:r>
        <w:t>education</w:t>
      </w:r>
      <w:r>
        <w:rPr>
          <w:spacing w:val="-13"/>
        </w:rPr>
        <w:t xml:space="preserve"> </w:t>
      </w:r>
      <w:r>
        <w:t>institutions</w:t>
      </w:r>
      <w:r>
        <w:rPr>
          <w:spacing w:val="-12"/>
        </w:rPr>
        <w:t xml:space="preserve"> </w:t>
      </w:r>
      <w:r>
        <w:t>to</w:t>
      </w:r>
      <w:r>
        <w:rPr>
          <w:spacing w:val="-15"/>
        </w:rPr>
        <w:t xml:space="preserve"> </w:t>
      </w:r>
      <w:r>
        <w:t>enact</w:t>
      </w:r>
      <w:r>
        <w:rPr>
          <w:spacing w:val="-14"/>
        </w:rPr>
        <w:t xml:space="preserve"> </w:t>
      </w:r>
      <w:r>
        <w:t>anti-discrimination</w:t>
      </w:r>
      <w:r>
        <w:rPr>
          <w:spacing w:val="-14"/>
        </w:rPr>
        <w:t xml:space="preserve"> </w:t>
      </w:r>
      <w:r>
        <w:t>policies</w:t>
      </w:r>
      <w:r>
        <w:rPr>
          <w:spacing w:val="-13"/>
        </w:rPr>
        <w:t xml:space="preserve"> </w:t>
      </w:r>
      <w:r>
        <w:t>and</w:t>
      </w:r>
      <w:r>
        <w:rPr>
          <w:spacing w:val="-13"/>
        </w:rPr>
        <w:t xml:space="preserve"> </w:t>
      </w:r>
      <w:r>
        <w:t>best practices that include sex, gender identity, gender expression, and sexual orientation.</w:t>
      </w:r>
    </w:p>
    <w:p w:rsidR="00C76E6D" w:rsidRDefault="00C76E6D">
      <w:pPr>
        <w:pStyle w:val="BodyText"/>
        <w:spacing w:before="8"/>
        <w:rPr>
          <w:b/>
          <w:sz w:val="19"/>
        </w:rPr>
      </w:pPr>
    </w:p>
    <w:p w:rsidR="00C76E6D" w:rsidRDefault="00913831">
      <w:pPr>
        <w:pStyle w:val="BodyText"/>
        <w:spacing w:line="276" w:lineRule="auto"/>
        <w:ind w:left="627" w:right="333" w:hanging="1"/>
        <w:jc w:val="both"/>
      </w:pPr>
      <w:r>
        <w:t>As with younger students, scholars in higher education programs do best when their classrooms and campuses offer a safe and supportive climate free from violence, discrimination, or harassment. DHE is uniquely positioned to support institutions in establis</w:t>
      </w:r>
      <w:r>
        <w:t>hing policies and guidance that provide campus professionals with the tools they need to support LGBTQ young people. While DHE has a limited role in the affairs of individual institutions, the Commission strongly urges DHE to act as a role model and encour</w:t>
      </w:r>
      <w:r>
        <w:t>age higher education institutions to pursue anti-discrimination policies above and beyond the baseline</w:t>
      </w:r>
      <w:r>
        <w:rPr>
          <w:spacing w:val="-8"/>
        </w:rPr>
        <w:t xml:space="preserve"> </w:t>
      </w:r>
      <w:r>
        <w:t>required</w:t>
      </w:r>
      <w:r>
        <w:rPr>
          <w:spacing w:val="-8"/>
        </w:rPr>
        <w:t xml:space="preserve"> </w:t>
      </w:r>
      <w:r>
        <w:t>by</w:t>
      </w:r>
      <w:r>
        <w:rPr>
          <w:spacing w:val="-7"/>
        </w:rPr>
        <w:t xml:space="preserve"> </w:t>
      </w:r>
      <w:r>
        <w:t>state</w:t>
      </w:r>
      <w:r>
        <w:rPr>
          <w:spacing w:val="-7"/>
        </w:rPr>
        <w:t xml:space="preserve"> </w:t>
      </w:r>
      <w:r>
        <w:t>law.</w:t>
      </w:r>
      <w:r>
        <w:rPr>
          <w:spacing w:val="-9"/>
        </w:rPr>
        <w:t xml:space="preserve"> </w:t>
      </w:r>
      <w:r>
        <w:t>In</w:t>
      </w:r>
      <w:r>
        <w:rPr>
          <w:spacing w:val="-8"/>
        </w:rPr>
        <w:t xml:space="preserve"> </w:t>
      </w:r>
      <w:r>
        <w:t>a</w:t>
      </w:r>
      <w:r>
        <w:rPr>
          <w:spacing w:val="-7"/>
        </w:rPr>
        <w:t xml:space="preserve"> </w:t>
      </w:r>
      <w:r>
        <w:t>May</w:t>
      </w:r>
      <w:r>
        <w:rPr>
          <w:spacing w:val="-6"/>
        </w:rPr>
        <w:t xml:space="preserve"> </w:t>
      </w:r>
      <w:r>
        <w:t>2022</w:t>
      </w:r>
      <w:r>
        <w:rPr>
          <w:spacing w:val="-8"/>
        </w:rPr>
        <w:t xml:space="preserve"> </w:t>
      </w:r>
      <w:r>
        <w:t>meeting,</w:t>
      </w:r>
      <w:r>
        <w:rPr>
          <w:spacing w:val="-8"/>
        </w:rPr>
        <w:t xml:space="preserve"> </w:t>
      </w:r>
      <w:r>
        <w:t>DHE</w:t>
      </w:r>
      <w:r>
        <w:rPr>
          <w:spacing w:val="-7"/>
        </w:rPr>
        <w:t xml:space="preserve"> </w:t>
      </w:r>
      <w:r>
        <w:t>noted</w:t>
      </w:r>
      <w:r>
        <w:rPr>
          <w:spacing w:val="-7"/>
        </w:rPr>
        <w:t xml:space="preserve"> </w:t>
      </w:r>
      <w:r>
        <w:t>that</w:t>
      </w:r>
      <w:r>
        <w:rPr>
          <w:spacing w:val="-8"/>
        </w:rPr>
        <w:t xml:space="preserve"> </w:t>
      </w:r>
      <w:r>
        <w:t>while</w:t>
      </w:r>
      <w:r>
        <w:rPr>
          <w:spacing w:val="-7"/>
        </w:rPr>
        <w:t xml:space="preserve"> </w:t>
      </w:r>
      <w:r>
        <w:t>the</w:t>
      </w:r>
      <w:r>
        <w:rPr>
          <w:spacing w:val="-7"/>
        </w:rPr>
        <w:t xml:space="preserve"> </w:t>
      </w:r>
      <w:r>
        <w:t>COVID-19</w:t>
      </w:r>
      <w:r>
        <w:rPr>
          <w:spacing w:val="-7"/>
        </w:rPr>
        <w:t xml:space="preserve"> </w:t>
      </w:r>
      <w:r>
        <w:t>pandemic</w:t>
      </w:r>
      <w:r>
        <w:rPr>
          <w:spacing w:val="-9"/>
        </w:rPr>
        <w:t xml:space="preserve"> </w:t>
      </w:r>
      <w:r>
        <w:t>and staffing changes limited the agency’s ability to fulfill thi</w:t>
      </w:r>
      <w:r>
        <w:t>s recommendation in the previous fiscal year, it looks forward to working with the Commission in FY 2023 to review current anti-discrimination policies in place at all 111 public and private colleges and universities located and operating in the Commonweal</w:t>
      </w:r>
      <w:r>
        <w:t>th and develop additional guidance as appropriate.</w:t>
      </w:r>
    </w:p>
    <w:p w:rsidR="00C76E6D" w:rsidRDefault="00C76E6D">
      <w:pPr>
        <w:spacing w:line="276" w:lineRule="auto"/>
        <w:jc w:val="both"/>
        <w:sectPr w:rsidR="00C76E6D">
          <w:pgSz w:w="12240" w:h="15840"/>
          <w:pgMar w:top="1020" w:right="960" w:bottom="640" w:left="960" w:header="832" w:footer="440" w:gutter="0"/>
          <w:cols w:space="720"/>
        </w:sectPr>
      </w:pPr>
    </w:p>
    <w:p w:rsidR="00C76E6D" w:rsidRDefault="00C76E6D">
      <w:pPr>
        <w:pStyle w:val="BodyText"/>
        <w:spacing w:before="7"/>
        <w:rPr>
          <w:sz w:val="20"/>
        </w:rPr>
      </w:pPr>
    </w:p>
    <w:p w:rsidR="00C76E6D" w:rsidRDefault="00913831">
      <w:pPr>
        <w:pStyle w:val="Heading6"/>
        <w:numPr>
          <w:ilvl w:val="0"/>
          <w:numId w:val="19"/>
        </w:numPr>
        <w:tabs>
          <w:tab w:val="left" w:pos="570"/>
        </w:tabs>
        <w:spacing w:before="55" w:line="276" w:lineRule="auto"/>
        <w:ind w:right="337" w:firstLine="0"/>
        <w:jc w:val="both"/>
        <w:rPr>
          <w:b w:val="0"/>
        </w:rPr>
      </w:pPr>
      <w:bookmarkStart w:id="750" w:name="2._Continue_to_support_quantitative_and_"/>
      <w:bookmarkEnd w:id="750"/>
      <w:r>
        <w:t>Continue to support quantitative and qualitative data collection measures across both the public and private higher education sectors to address potential inequities in sexual misconduct occ</w:t>
      </w:r>
      <w:r>
        <w:t>urrence</w:t>
      </w:r>
      <w:r>
        <w:rPr>
          <w:b w:val="0"/>
          <w:sz w:val="16"/>
        </w:rPr>
        <w:t>[AN2]</w:t>
      </w:r>
      <w:r>
        <w:rPr>
          <w:b w:val="0"/>
          <w:spacing w:val="40"/>
          <w:sz w:val="16"/>
        </w:rPr>
        <w:t xml:space="preserve"> </w:t>
      </w:r>
      <w:r>
        <w:t>among LGBTQ students versus their non-LGBTQ counterparts.</w:t>
      </w:r>
    </w:p>
    <w:p w:rsidR="00C76E6D" w:rsidRDefault="00C76E6D">
      <w:pPr>
        <w:pStyle w:val="BodyText"/>
        <w:spacing w:before="8"/>
        <w:rPr>
          <w:b/>
          <w:sz w:val="19"/>
        </w:rPr>
      </w:pPr>
    </w:p>
    <w:p w:rsidR="00C76E6D" w:rsidRDefault="00913831">
      <w:pPr>
        <w:pStyle w:val="BodyText"/>
        <w:spacing w:line="276" w:lineRule="auto"/>
        <w:ind w:left="627" w:right="333"/>
        <w:jc w:val="both"/>
      </w:pPr>
      <w:r>
        <w:t>National data indicates that sexual violence</w:t>
      </w:r>
      <w:r>
        <w:rPr>
          <w:sz w:val="16"/>
        </w:rPr>
        <w:t>[AN3]</w:t>
      </w:r>
      <w:r>
        <w:rPr>
          <w:spacing w:val="35"/>
          <w:sz w:val="16"/>
        </w:rPr>
        <w:t xml:space="preserve"> </w:t>
      </w:r>
      <w:r>
        <w:t>continues to have a disproportionate impact on LGBTQ students.</w:t>
      </w:r>
      <w:r>
        <w:rPr>
          <w:sz w:val="8"/>
        </w:rPr>
        <w:t>30</w:t>
      </w:r>
      <w:r>
        <w:rPr>
          <w:spacing w:val="-2"/>
          <w:sz w:val="8"/>
        </w:rPr>
        <w:t xml:space="preserve"> </w:t>
      </w:r>
      <w:r>
        <w:t>In the 2019-2020 legislative session, S.2979 / H.5241, An Act Relativ</w:t>
      </w:r>
      <w:r>
        <w:t>e to Sexual Violence on Higher Education Campuses (the “2021 Campus Sexual Assault Law”), was signed into law by Governor Baker</w:t>
      </w:r>
      <w:r>
        <w:rPr>
          <w:spacing w:val="-4"/>
        </w:rPr>
        <w:t xml:space="preserve"> </w:t>
      </w:r>
      <w:r>
        <w:t>(Ch.</w:t>
      </w:r>
      <w:r>
        <w:rPr>
          <w:spacing w:val="-4"/>
        </w:rPr>
        <w:t xml:space="preserve"> </w:t>
      </w:r>
      <w:r>
        <w:t>337</w:t>
      </w:r>
      <w:r>
        <w:rPr>
          <w:spacing w:val="-4"/>
        </w:rPr>
        <w:t xml:space="preserve"> </w:t>
      </w:r>
      <w:r>
        <w:t>of</w:t>
      </w:r>
      <w:r>
        <w:rPr>
          <w:spacing w:val="-4"/>
        </w:rPr>
        <w:t xml:space="preserve"> </w:t>
      </w:r>
      <w:r>
        <w:t>the</w:t>
      </w:r>
      <w:r>
        <w:rPr>
          <w:spacing w:val="-4"/>
        </w:rPr>
        <w:t xml:space="preserve"> </w:t>
      </w:r>
      <w:r>
        <w:t>Acts</w:t>
      </w:r>
      <w:r>
        <w:rPr>
          <w:spacing w:val="-3"/>
        </w:rPr>
        <w:t xml:space="preserve"> </w:t>
      </w:r>
      <w:r>
        <w:t>of</w:t>
      </w:r>
      <w:r>
        <w:rPr>
          <w:spacing w:val="-4"/>
        </w:rPr>
        <w:t xml:space="preserve"> </w:t>
      </w:r>
      <w:r>
        <w:t>2020).</w:t>
      </w:r>
      <w:r>
        <w:rPr>
          <w:spacing w:val="-4"/>
        </w:rPr>
        <w:t xml:space="preserve"> </w:t>
      </w:r>
      <w:r>
        <w:t>This</w:t>
      </w:r>
      <w:r>
        <w:rPr>
          <w:spacing w:val="-2"/>
        </w:rPr>
        <w:t xml:space="preserve"> </w:t>
      </w:r>
      <w:r>
        <w:t>legislation</w:t>
      </w:r>
      <w:r>
        <w:rPr>
          <w:spacing w:val="-4"/>
        </w:rPr>
        <w:t xml:space="preserve"> </w:t>
      </w:r>
      <w:r>
        <w:t>established</w:t>
      </w:r>
      <w:r>
        <w:rPr>
          <w:spacing w:val="-4"/>
        </w:rPr>
        <w:t xml:space="preserve"> </w:t>
      </w:r>
      <w:r>
        <w:t>a</w:t>
      </w:r>
      <w:r>
        <w:rPr>
          <w:spacing w:val="-3"/>
        </w:rPr>
        <w:t xml:space="preserve"> </w:t>
      </w:r>
      <w:r>
        <w:t>task</w:t>
      </w:r>
      <w:r>
        <w:rPr>
          <w:spacing w:val="-6"/>
        </w:rPr>
        <w:t xml:space="preserve"> </w:t>
      </w:r>
      <w:r>
        <w:t>force</w:t>
      </w:r>
      <w:r>
        <w:rPr>
          <w:spacing w:val="-4"/>
        </w:rPr>
        <w:t xml:space="preserve"> </w:t>
      </w:r>
      <w:r>
        <w:t>on</w:t>
      </w:r>
      <w:r>
        <w:rPr>
          <w:spacing w:val="-4"/>
        </w:rPr>
        <w:t xml:space="preserve"> </w:t>
      </w:r>
      <w:r>
        <w:t>sexual</w:t>
      </w:r>
      <w:r>
        <w:rPr>
          <w:spacing w:val="-4"/>
        </w:rPr>
        <w:t xml:space="preserve"> </w:t>
      </w:r>
      <w:r>
        <w:t>misconduct</w:t>
      </w:r>
      <w:r>
        <w:rPr>
          <w:spacing w:val="-5"/>
        </w:rPr>
        <w:t xml:space="preserve"> </w:t>
      </w:r>
      <w:r>
        <w:t>surveys and gave the Commission the power to nominate a task force member for appointment; Commission member Fahmina Zaman was appointed to the task force along with 26 other members. The “Commonwealth of Massachusetts Task Force Report on Sexual Misconduc</w:t>
      </w:r>
      <w:r>
        <w:t>t Surveys” was released on May 3, 2022, and provided a model campus climate survey to the Commissioner of Higher Education, as well as recommendations related to “the content, timing, and application of the surveys.” While there were some limitations to wh</w:t>
      </w:r>
      <w:r>
        <w:t>at the task force could recommend in relation to SOGI data collection to protect</w:t>
      </w:r>
      <w:r>
        <w:rPr>
          <w:spacing w:val="-9"/>
        </w:rPr>
        <w:t xml:space="preserve"> </w:t>
      </w:r>
      <w:r>
        <w:t>student</w:t>
      </w:r>
      <w:r>
        <w:rPr>
          <w:spacing w:val="-11"/>
        </w:rPr>
        <w:t xml:space="preserve"> </w:t>
      </w:r>
      <w:r>
        <w:t>anonymity,</w:t>
      </w:r>
      <w:r>
        <w:rPr>
          <w:spacing w:val="-9"/>
        </w:rPr>
        <w:t xml:space="preserve"> </w:t>
      </w:r>
      <w:r>
        <w:t>the</w:t>
      </w:r>
      <w:r>
        <w:rPr>
          <w:spacing w:val="-10"/>
        </w:rPr>
        <w:t xml:space="preserve"> </w:t>
      </w:r>
      <w:r>
        <w:t>Commission</w:t>
      </w:r>
      <w:r>
        <w:rPr>
          <w:spacing w:val="-9"/>
        </w:rPr>
        <w:t xml:space="preserve"> </w:t>
      </w:r>
      <w:r>
        <w:t>looks</w:t>
      </w:r>
      <w:r>
        <w:rPr>
          <w:spacing w:val="-10"/>
        </w:rPr>
        <w:t xml:space="preserve"> </w:t>
      </w:r>
      <w:r>
        <w:t>forward</w:t>
      </w:r>
      <w:r>
        <w:rPr>
          <w:spacing w:val="-9"/>
        </w:rPr>
        <w:t xml:space="preserve"> </w:t>
      </w:r>
      <w:r>
        <w:t>to</w:t>
      </w:r>
      <w:r>
        <w:rPr>
          <w:spacing w:val="-9"/>
        </w:rPr>
        <w:t xml:space="preserve"> </w:t>
      </w:r>
      <w:r>
        <w:t>reviewing</w:t>
      </w:r>
      <w:r>
        <w:rPr>
          <w:spacing w:val="-9"/>
        </w:rPr>
        <w:t xml:space="preserve"> </w:t>
      </w:r>
      <w:r>
        <w:t>next</w:t>
      </w:r>
      <w:r>
        <w:rPr>
          <w:spacing w:val="-11"/>
        </w:rPr>
        <w:t xml:space="preserve"> </w:t>
      </w:r>
      <w:r>
        <w:t>steps</w:t>
      </w:r>
      <w:r>
        <w:rPr>
          <w:spacing w:val="-9"/>
        </w:rPr>
        <w:t xml:space="preserve"> </w:t>
      </w:r>
      <w:r>
        <w:t>with</w:t>
      </w:r>
      <w:r>
        <w:rPr>
          <w:spacing w:val="-9"/>
        </w:rPr>
        <w:t xml:space="preserve"> </w:t>
      </w:r>
      <w:r>
        <w:t>the</w:t>
      </w:r>
      <w:r>
        <w:rPr>
          <w:spacing w:val="-10"/>
        </w:rPr>
        <w:t xml:space="preserve"> </w:t>
      </w:r>
      <w:r>
        <w:t>task</w:t>
      </w:r>
      <w:r>
        <w:rPr>
          <w:spacing w:val="-9"/>
        </w:rPr>
        <w:t xml:space="preserve"> </w:t>
      </w:r>
      <w:r>
        <w:t>force</w:t>
      </w:r>
      <w:r>
        <w:rPr>
          <w:spacing w:val="-10"/>
        </w:rPr>
        <w:t xml:space="preserve"> </w:t>
      </w:r>
      <w:r>
        <w:t>and DHE in FY 2023.</w:t>
      </w:r>
    </w:p>
    <w:p w:rsidR="00C76E6D" w:rsidRDefault="00C76E6D">
      <w:pPr>
        <w:pStyle w:val="BodyText"/>
        <w:spacing w:before="8"/>
        <w:rPr>
          <w:sz w:val="19"/>
        </w:rPr>
      </w:pPr>
    </w:p>
    <w:p w:rsidR="00C76E6D" w:rsidRDefault="00913831">
      <w:pPr>
        <w:pStyle w:val="BodyText"/>
        <w:spacing w:line="276" w:lineRule="auto"/>
        <w:ind w:left="626" w:right="332"/>
        <w:jc w:val="both"/>
      </w:pPr>
      <w:r>
        <w:t>In</w:t>
      </w:r>
      <w:r>
        <w:rPr>
          <w:spacing w:val="-10"/>
        </w:rPr>
        <w:t xml:space="preserve"> </w:t>
      </w:r>
      <w:r>
        <w:t>addition,</w:t>
      </w:r>
      <w:r>
        <w:rPr>
          <w:spacing w:val="-10"/>
        </w:rPr>
        <w:t xml:space="preserve"> </w:t>
      </w:r>
      <w:r>
        <w:t>the</w:t>
      </w:r>
      <w:r>
        <w:rPr>
          <w:spacing w:val="-10"/>
        </w:rPr>
        <w:t xml:space="preserve"> </w:t>
      </w:r>
      <w:r>
        <w:t>DHE</w:t>
      </w:r>
      <w:r>
        <w:rPr>
          <w:spacing w:val="-10"/>
        </w:rPr>
        <w:t xml:space="preserve"> </w:t>
      </w:r>
      <w:r>
        <w:t>has</w:t>
      </w:r>
      <w:r>
        <w:rPr>
          <w:spacing w:val="-10"/>
        </w:rPr>
        <w:t xml:space="preserve"> </w:t>
      </w:r>
      <w:r>
        <w:t>begun</w:t>
      </w:r>
      <w:r>
        <w:rPr>
          <w:spacing w:val="-10"/>
        </w:rPr>
        <w:t xml:space="preserve"> </w:t>
      </w:r>
      <w:r>
        <w:t>to</w:t>
      </w:r>
      <w:r>
        <w:rPr>
          <w:spacing w:val="-10"/>
        </w:rPr>
        <w:t xml:space="preserve"> </w:t>
      </w:r>
      <w:r>
        <w:t>work</w:t>
      </w:r>
      <w:r>
        <w:rPr>
          <w:spacing w:val="-9"/>
        </w:rPr>
        <w:t xml:space="preserve"> </w:t>
      </w:r>
      <w:r>
        <w:t>with</w:t>
      </w:r>
      <w:r>
        <w:rPr>
          <w:spacing w:val="-10"/>
        </w:rPr>
        <w:t xml:space="preserve"> </w:t>
      </w:r>
      <w:r>
        <w:t>Commonwealth’s</w:t>
      </w:r>
      <w:r>
        <w:rPr>
          <w:spacing w:val="-10"/>
        </w:rPr>
        <w:t xml:space="preserve"> </w:t>
      </w:r>
      <w:r>
        <w:t>higher</w:t>
      </w:r>
      <w:r>
        <w:rPr>
          <w:spacing w:val="-10"/>
        </w:rPr>
        <w:t xml:space="preserve"> </w:t>
      </w:r>
      <w:r>
        <w:t>education</w:t>
      </w:r>
      <w:r>
        <w:rPr>
          <w:spacing w:val="-10"/>
        </w:rPr>
        <w:t xml:space="preserve"> </w:t>
      </w:r>
      <w:r>
        <w:t>institutions</w:t>
      </w:r>
      <w:r>
        <w:rPr>
          <w:spacing w:val="-8"/>
        </w:rPr>
        <w:t xml:space="preserve"> </w:t>
      </w:r>
      <w:r>
        <w:t>to</w:t>
      </w:r>
      <w:r>
        <w:rPr>
          <w:spacing w:val="-10"/>
        </w:rPr>
        <w:t xml:space="preserve"> </w:t>
      </w:r>
      <w:r>
        <w:t>implement the new law’s requirement that institutions provide sexual assault crisis services, or alternatively, enter into MOUs with</w:t>
      </w:r>
      <w:r>
        <w:rPr>
          <w:spacing w:val="-1"/>
        </w:rPr>
        <w:t xml:space="preserve"> </w:t>
      </w:r>
      <w:r>
        <w:t>community-based</w:t>
      </w:r>
      <w:r>
        <w:rPr>
          <w:spacing w:val="-2"/>
        </w:rPr>
        <w:t xml:space="preserve"> </w:t>
      </w:r>
      <w:r>
        <w:t>sexual</w:t>
      </w:r>
      <w:r>
        <w:rPr>
          <w:spacing w:val="-3"/>
        </w:rPr>
        <w:t xml:space="preserve"> </w:t>
      </w:r>
      <w:r>
        <w:t>assault</w:t>
      </w:r>
      <w:r>
        <w:rPr>
          <w:spacing w:val="-1"/>
        </w:rPr>
        <w:t xml:space="preserve"> </w:t>
      </w:r>
      <w:r>
        <w:t>crisis</w:t>
      </w:r>
      <w:r>
        <w:rPr>
          <w:spacing w:val="-1"/>
        </w:rPr>
        <w:t xml:space="preserve"> </w:t>
      </w:r>
      <w:r>
        <w:t>service centers</w:t>
      </w:r>
      <w:r>
        <w:rPr>
          <w:spacing w:val="-1"/>
        </w:rPr>
        <w:t xml:space="preserve"> </w:t>
      </w:r>
      <w:r>
        <w:t>and domestic</w:t>
      </w:r>
      <w:r>
        <w:rPr>
          <w:spacing w:val="-2"/>
        </w:rPr>
        <w:t xml:space="preserve"> </w:t>
      </w:r>
      <w:r>
        <w:t>violence prevention programs</w:t>
      </w:r>
      <w:r>
        <w:rPr>
          <w:spacing w:val="-1"/>
        </w:rPr>
        <w:t xml:space="preserve"> </w:t>
      </w:r>
      <w:r>
        <w:t>funded</w:t>
      </w:r>
      <w:r>
        <w:rPr>
          <w:spacing w:val="-2"/>
        </w:rPr>
        <w:t xml:space="preserve"> </w:t>
      </w:r>
      <w:r>
        <w:t>by DPH to</w:t>
      </w:r>
      <w:r>
        <w:rPr>
          <w:spacing w:val="-1"/>
        </w:rPr>
        <w:t xml:space="preserve"> </w:t>
      </w:r>
      <w:r>
        <w:t>provide</w:t>
      </w:r>
      <w:r>
        <w:rPr>
          <w:spacing w:val="-2"/>
        </w:rPr>
        <w:t xml:space="preserve"> </w:t>
      </w:r>
      <w:r>
        <w:t>survivor</w:t>
      </w:r>
      <w:r>
        <w:rPr>
          <w:spacing w:val="-3"/>
        </w:rPr>
        <w:t xml:space="preserve"> </w:t>
      </w:r>
      <w:r>
        <w:t>services to</w:t>
      </w:r>
      <w:r>
        <w:rPr>
          <w:spacing w:val="-1"/>
        </w:rPr>
        <w:t xml:space="preserve"> </w:t>
      </w:r>
      <w:r>
        <w:t>students</w:t>
      </w:r>
      <w:r>
        <w:rPr>
          <w:spacing w:val="-1"/>
        </w:rPr>
        <w:t xml:space="preserve"> </w:t>
      </w:r>
      <w:r>
        <w:t>and</w:t>
      </w:r>
      <w:r>
        <w:rPr>
          <w:spacing w:val="-2"/>
        </w:rPr>
        <w:t xml:space="preserve"> </w:t>
      </w:r>
      <w:r>
        <w:t>employees.</w:t>
      </w:r>
      <w:r>
        <w:rPr>
          <w:spacing w:val="-3"/>
        </w:rPr>
        <w:t xml:space="preserve"> </w:t>
      </w:r>
      <w:r>
        <w:t>The</w:t>
      </w:r>
      <w:r>
        <w:rPr>
          <w:spacing w:val="-2"/>
        </w:rPr>
        <w:t xml:space="preserve"> </w:t>
      </w:r>
      <w:r>
        <w:t>Commission</w:t>
      </w:r>
      <w:r>
        <w:rPr>
          <w:spacing w:val="-3"/>
        </w:rPr>
        <w:t xml:space="preserve"> </w:t>
      </w:r>
      <w:r>
        <w:t>urges DHE</w:t>
      </w:r>
      <w:r>
        <w:rPr>
          <w:spacing w:val="24"/>
        </w:rPr>
        <w:t xml:space="preserve"> </w:t>
      </w:r>
      <w:r>
        <w:t>to</w:t>
      </w:r>
      <w:r>
        <w:rPr>
          <w:spacing w:val="-1"/>
        </w:rPr>
        <w:t xml:space="preserve"> </w:t>
      </w:r>
      <w:r>
        <w:t>encourage</w:t>
      </w:r>
      <w:r>
        <w:rPr>
          <w:spacing w:val="-3"/>
        </w:rPr>
        <w:t xml:space="preserve"> </w:t>
      </w:r>
      <w:r>
        <w:t>institutions</w:t>
      </w:r>
      <w:r>
        <w:rPr>
          <w:spacing w:val="-2"/>
        </w:rPr>
        <w:t xml:space="preserve"> </w:t>
      </w:r>
      <w:r>
        <w:t>to</w:t>
      </w:r>
      <w:r>
        <w:rPr>
          <w:spacing w:val="-2"/>
        </w:rPr>
        <w:t xml:space="preserve"> </w:t>
      </w:r>
      <w:r>
        <w:t>make</w:t>
      </w:r>
      <w:r>
        <w:rPr>
          <w:spacing w:val="-2"/>
        </w:rPr>
        <w:t xml:space="preserve"> </w:t>
      </w:r>
      <w:r>
        <w:t>explicit</w:t>
      </w:r>
      <w:r>
        <w:rPr>
          <w:spacing w:val="-2"/>
        </w:rPr>
        <w:t xml:space="preserve"> </w:t>
      </w:r>
      <w:r>
        <w:t>provisions</w:t>
      </w:r>
      <w:r>
        <w:rPr>
          <w:spacing w:val="-2"/>
        </w:rPr>
        <w:t xml:space="preserve"> </w:t>
      </w:r>
      <w:r>
        <w:t>in</w:t>
      </w:r>
      <w:r>
        <w:rPr>
          <w:spacing w:val="-3"/>
        </w:rPr>
        <w:t xml:space="preserve"> </w:t>
      </w:r>
      <w:r>
        <w:t>these</w:t>
      </w:r>
      <w:r>
        <w:rPr>
          <w:spacing w:val="-2"/>
        </w:rPr>
        <w:t xml:space="preserve"> </w:t>
      </w:r>
      <w:r>
        <w:t>MOUs</w:t>
      </w:r>
      <w:r>
        <w:rPr>
          <w:spacing w:val="-1"/>
        </w:rPr>
        <w:t xml:space="preserve"> </w:t>
      </w:r>
      <w:r>
        <w:t>that</w:t>
      </w:r>
      <w:r>
        <w:rPr>
          <w:spacing w:val="-2"/>
        </w:rPr>
        <w:t xml:space="preserve"> </w:t>
      </w:r>
      <w:r>
        <w:t>provide</w:t>
      </w:r>
      <w:r>
        <w:rPr>
          <w:spacing w:val="-3"/>
        </w:rPr>
        <w:t xml:space="preserve"> </w:t>
      </w:r>
      <w:r>
        <w:t>for</w:t>
      </w:r>
      <w:r>
        <w:rPr>
          <w:spacing w:val="-3"/>
        </w:rPr>
        <w:t xml:space="preserve"> </w:t>
      </w:r>
      <w:r>
        <w:t>LGBTQ-specific cultural humility trainings arou</w:t>
      </w:r>
      <w:r>
        <w:t xml:space="preserve">nd the delivery of sexual assault services to LGBTQ students and </w:t>
      </w:r>
      <w:r>
        <w:rPr>
          <w:spacing w:val="-2"/>
        </w:rPr>
        <w:t>employees.</w:t>
      </w:r>
    </w:p>
    <w:p w:rsidR="00C76E6D" w:rsidRDefault="00C76E6D">
      <w:pPr>
        <w:pStyle w:val="BodyText"/>
        <w:spacing w:before="8"/>
        <w:rPr>
          <w:sz w:val="19"/>
        </w:rPr>
      </w:pPr>
    </w:p>
    <w:p w:rsidR="00C76E6D" w:rsidRDefault="00913831">
      <w:pPr>
        <w:pStyle w:val="BodyText"/>
        <w:spacing w:before="1" w:line="276" w:lineRule="auto"/>
        <w:ind w:left="627" w:right="336"/>
        <w:jc w:val="both"/>
      </w:pPr>
      <w:r>
        <w:t>The Commission further urges DHE to continue supporting data collection efforts that allow Massachusetts</w:t>
      </w:r>
      <w:r>
        <w:rPr>
          <w:spacing w:val="-3"/>
        </w:rPr>
        <w:t xml:space="preserve"> </w:t>
      </w:r>
      <w:r>
        <w:t>institutions</w:t>
      </w:r>
      <w:r>
        <w:rPr>
          <w:spacing w:val="-4"/>
        </w:rPr>
        <w:t xml:space="preserve"> </w:t>
      </w:r>
      <w:r>
        <w:t>to</w:t>
      </w:r>
      <w:r>
        <w:rPr>
          <w:spacing w:val="-3"/>
        </w:rPr>
        <w:t xml:space="preserve"> </w:t>
      </w:r>
      <w:r>
        <w:t>identify</w:t>
      </w:r>
      <w:r>
        <w:rPr>
          <w:spacing w:val="-3"/>
        </w:rPr>
        <w:t xml:space="preserve"> </w:t>
      </w:r>
      <w:r>
        <w:t>disparities</w:t>
      </w:r>
      <w:r>
        <w:rPr>
          <w:spacing w:val="-3"/>
        </w:rPr>
        <w:t xml:space="preserve"> </w:t>
      </w:r>
      <w:r>
        <w:t>in</w:t>
      </w:r>
      <w:r>
        <w:rPr>
          <w:spacing w:val="-4"/>
        </w:rPr>
        <w:t xml:space="preserve"> </w:t>
      </w:r>
      <w:r>
        <w:t>student</w:t>
      </w:r>
      <w:r>
        <w:rPr>
          <w:spacing w:val="-4"/>
        </w:rPr>
        <w:t xml:space="preserve"> </w:t>
      </w:r>
      <w:r>
        <w:t>success</w:t>
      </w:r>
      <w:r>
        <w:rPr>
          <w:spacing w:val="-3"/>
        </w:rPr>
        <w:t xml:space="preserve"> </w:t>
      </w:r>
      <w:r>
        <w:t>and</w:t>
      </w:r>
      <w:r>
        <w:rPr>
          <w:spacing w:val="-4"/>
        </w:rPr>
        <w:t xml:space="preserve"> </w:t>
      </w:r>
      <w:r>
        <w:t>inclusion</w:t>
      </w:r>
      <w:r>
        <w:rPr>
          <w:spacing w:val="-4"/>
        </w:rPr>
        <w:t xml:space="preserve"> </w:t>
      </w:r>
      <w:r>
        <w:t>on</w:t>
      </w:r>
      <w:r>
        <w:rPr>
          <w:spacing w:val="-4"/>
        </w:rPr>
        <w:t xml:space="preserve"> </w:t>
      </w:r>
      <w:r>
        <w:t>t</w:t>
      </w:r>
      <w:r>
        <w:t>heir</w:t>
      </w:r>
      <w:r>
        <w:rPr>
          <w:spacing w:val="-4"/>
        </w:rPr>
        <w:t xml:space="preserve"> </w:t>
      </w:r>
      <w:r>
        <w:t>campuses,</w:t>
      </w:r>
      <w:r>
        <w:rPr>
          <w:spacing w:val="-4"/>
        </w:rPr>
        <w:t xml:space="preserve"> </w:t>
      </w:r>
      <w:r>
        <w:t>and to develop inclusive policy and programmatic solutions to end them. Additionally, the Commission encourages DHE to provide LGBTQ cultural humility trainings to its own staff as it reviews internal policies as they relate to nondiscrimina</w:t>
      </w:r>
      <w:r>
        <w:t>tion and intersectionality.</w:t>
      </w:r>
    </w:p>
    <w:p w:rsidR="00C76E6D" w:rsidRDefault="00C76E6D">
      <w:pPr>
        <w:pStyle w:val="BodyText"/>
        <w:rPr>
          <w:sz w:val="20"/>
        </w:rPr>
      </w:pPr>
    </w:p>
    <w:p w:rsidR="00C76E6D" w:rsidRDefault="00C76E6D">
      <w:pPr>
        <w:pStyle w:val="BodyText"/>
        <w:rPr>
          <w:sz w:val="20"/>
        </w:rPr>
      </w:pPr>
    </w:p>
    <w:p w:rsidR="00C76E6D" w:rsidRDefault="00913831">
      <w:pPr>
        <w:pStyle w:val="BodyText"/>
        <w:spacing w:before="6"/>
        <w:rPr>
          <w:sz w:val="21"/>
        </w:rPr>
      </w:pPr>
      <w:r>
        <w:pict>
          <v:shape id="docshape344" o:spid="_x0000_s1114" style="position:absolute;margin-left:70.6pt;margin-top:14.35pt;width:470.95pt;height:.1pt;z-index:-15662592;mso-wrap-distance-left:0;mso-wrap-distance-right:0;mso-position-horizontal-relative:page" coordorigin="1412,287" coordsize="9419,0" path="m1412,287r9419,e" filled="f" strokeweight="1.54pt">
            <v:path arrowok="t"/>
            <w10:wrap type="topAndBottom" anchorx="page"/>
          </v:shape>
        </w:pict>
      </w:r>
    </w:p>
    <w:p w:rsidR="00C76E6D" w:rsidRDefault="00C76E6D">
      <w:pPr>
        <w:pStyle w:val="BodyText"/>
        <w:spacing w:before="9"/>
      </w:pPr>
    </w:p>
    <w:p w:rsidR="00C76E6D" w:rsidRDefault="00913831">
      <w:pPr>
        <w:pStyle w:val="Heading6"/>
        <w:ind w:left="3682" w:right="3683"/>
        <w:jc w:val="center"/>
      </w:pPr>
      <w:r>
        <w:rPr>
          <w:spacing w:val="-2"/>
        </w:rPr>
        <w:t>ENDNOTES</w:t>
      </w:r>
    </w:p>
    <w:p w:rsidR="00C76E6D" w:rsidRDefault="00913831">
      <w:pPr>
        <w:pStyle w:val="BodyText"/>
        <w:spacing w:before="9"/>
        <w:rPr>
          <w:b/>
          <w:sz w:val="25"/>
        </w:rPr>
      </w:pPr>
      <w:r>
        <w:pict>
          <v:shape id="docshape345" o:spid="_x0000_s1113" style="position:absolute;margin-left:70.6pt;margin-top:16.9pt;width:470.95pt;height:.1pt;z-index:-15662080;mso-wrap-distance-left:0;mso-wrap-distance-right:0;mso-position-horizontal-relative:page" coordorigin="1412,338" coordsize="9419,0" path="m1412,338r9419,e" filled="f" strokeweight="1.54pt">
            <v:path arrowok="t"/>
            <w10:wrap type="topAndBottom" anchorx="page"/>
          </v:shape>
        </w:pict>
      </w:r>
    </w:p>
    <w:p w:rsidR="00C76E6D" w:rsidRDefault="00C76E6D">
      <w:pPr>
        <w:pStyle w:val="BodyText"/>
        <w:rPr>
          <w:b/>
        </w:rPr>
      </w:pPr>
    </w:p>
    <w:p w:rsidR="00C76E6D" w:rsidRDefault="00C76E6D">
      <w:pPr>
        <w:pStyle w:val="BodyText"/>
        <w:rPr>
          <w:b/>
        </w:rPr>
      </w:pPr>
    </w:p>
    <w:p w:rsidR="00C76E6D" w:rsidRDefault="00C76E6D">
      <w:pPr>
        <w:pStyle w:val="BodyText"/>
        <w:spacing w:before="7"/>
        <w:rPr>
          <w:b/>
          <w:sz w:val="23"/>
        </w:rPr>
      </w:pPr>
    </w:p>
    <w:p w:rsidR="00C76E6D" w:rsidRDefault="00913831">
      <w:pPr>
        <w:ind w:left="340" w:right="530" w:hanging="2"/>
        <w:rPr>
          <w:sz w:val="20"/>
        </w:rPr>
      </w:pPr>
      <w:bookmarkStart w:id="751" w:name="_bookmark560"/>
      <w:bookmarkEnd w:id="751"/>
      <w:r>
        <w:rPr>
          <w:sz w:val="20"/>
          <w:vertAlign w:val="superscript"/>
        </w:rPr>
        <w:t>1</w:t>
      </w:r>
      <w:r>
        <w:rPr>
          <w:spacing w:val="-4"/>
          <w:sz w:val="20"/>
        </w:rPr>
        <w:t xml:space="preserve"> </w:t>
      </w:r>
      <w:r>
        <w:rPr>
          <w:sz w:val="20"/>
        </w:rPr>
        <w:t>Rankin,</w:t>
      </w:r>
      <w:r>
        <w:rPr>
          <w:spacing w:val="-5"/>
          <w:sz w:val="20"/>
        </w:rPr>
        <w:t xml:space="preserve"> </w:t>
      </w:r>
      <w:r>
        <w:rPr>
          <w:sz w:val="20"/>
        </w:rPr>
        <w:t>S.,</w:t>
      </w:r>
      <w:r>
        <w:rPr>
          <w:spacing w:val="-5"/>
          <w:sz w:val="20"/>
        </w:rPr>
        <w:t xml:space="preserve"> </w:t>
      </w:r>
      <w:r>
        <w:rPr>
          <w:sz w:val="20"/>
        </w:rPr>
        <w:t>Weber,</w:t>
      </w:r>
      <w:r>
        <w:rPr>
          <w:spacing w:val="-4"/>
          <w:sz w:val="20"/>
        </w:rPr>
        <w:t xml:space="preserve"> </w:t>
      </w:r>
      <w:r>
        <w:rPr>
          <w:sz w:val="20"/>
        </w:rPr>
        <w:t>G.,</w:t>
      </w:r>
      <w:r>
        <w:rPr>
          <w:spacing w:val="-5"/>
          <w:sz w:val="20"/>
        </w:rPr>
        <w:t xml:space="preserve"> </w:t>
      </w:r>
      <w:r>
        <w:rPr>
          <w:sz w:val="20"/>
        </w:rPr>
        <w:t>Blumenfeld,</w:t>
      </w:r>
      <w:r>
        <w:rPr>
          <w:spacing w:val="-6"/>
          <w:sz w:val="20"/>
        </w:rPr>
        <w:t xml:space="preserve"> </w:t>
      </w:r>
      <w:r>
        <w:rPr>
          <w:sz w:val="20"/>
        </w:rPr>
        <w:t>W.,</w:t>
      </w:r>
      <w:r>
        <w:rPr>
          <w:spacing w:val="-5"/>
          <w:sz w:val="20"/>
        </w:rPr>
        <w:t xml:space="preserve"> </w:t>
      </w:r>
      <w:r>
        <w:rPr>
          <w:sz w:val="20"/>
        </w:rPr>
        <w:t>&amp;</w:t>
      </w:r>
      <w:r>
        <w:rPr>
          <w:spacing w:val="-5"/>
          <w:sz w:val="20"/>
        </w:rPr>
        <w:t xml:space="preserve"> </w:t>
      </w:r>
      <w:r>
        <w:rPr>
          <w:sz w:val="20"/>
        </w:rPr>
        <w:t>Frazer,</w:t>
      </w:r>
      <w:r>
        <w:rPr>
          <w:spacing w:val="-4"/>
          <w:sz w:val="20"/>
        </w:rPr>
        <w:t xml:space="preserve"> </w:t>
      </w:r>
      <w:r>
        <w:rPr>
          <w:sz w:val="20"/>
        </w:rPr>
        <w:t>S.</w:t>
      </w:r>
      <w:r>
        <w:rPr>
          <w:spacing w:val="-6"/>
          <w:sz w:val="20"/>
        </w:rPr>
        <w:t xml:space="preserve"> </w:t>
      </w:r>
      <w:r>
        <w:rPr>
          <w:sz w:val="20"/>
        </w:rPr>
        <w:t>(2010).</w:t>
      </w:r>
      <w:r>
        <w:rPr>
          <w:spacing w:val="-6"/>
          <w:sz w:val="20"/>
        </w:rPr>
        <w:t xml:space="preserve"> </w:t>
      </w:r>
      <w:r>
        <w:rPr>
          <w:sz w:val="20"/>
        </w:rPr>
        <w:t>2010</w:t>
      </w:r>
      <w:r>
        <w:rPr>
          <w:spacing w:val="-5"/>
          <w:sz w:val="20"/>
        </w:rPr>
        <w:t xml:space="preserve"> </w:t>
      </w:r>
      <w:r>
        <w:rPr>
          <w:sz w:val="20"/>
        </w:rPr>
        <w:t>state</w:t>
      </w:r>
      <w:r>
        <w:rPr>
          <w:spacing w:val="-6"/>
          <w:sz w:val="20"/>
        </w:rPr>
        <w:t xml:space="preserve"> </w:t>
      </w:r>
      <w:r>
        <w:rPr>
          <w:sz w:val="20"/>
        </w:rPr>
        <w:t>of</w:t>
      </w:r>
      <w:r>
        <w:rPr>
          <w:spacing w:val="-7"/>
          <w:sz w:val="20"/>
        </w:rPr>
        <w:t xml:space="preserve"> </w:t>
      </w:r>
      <w:r>
        <w:rPr>
          <w:sz w:val="20"/>
        </w:rPr>
        <w:t>higher</w:t>
      </w:r>
      <w:r>
        <w:rPr>
          <w:spacing w:val="-7"/>
          <w:sz w:val="20"/>
        </w:rPr>
        <w:t xml:space="preserve"> </w:t>
      </w:r>
      <w:r>
        <w:rPr>
          <w:sz w:val="20"/>
        </w:rPr>
        <w:t>education</w:t>
      </w:r>
      <w:r>
        <w:rPr>
          <w:spacing w:val="-4"/>
          <w:sz w:val="20"/>
        </w:rPr>
        <w:t xml:space="preserve"> </w:t>
      </w:r>
      <w:r>
        <w:rPr>
          <w:sz w:val="20"/>
        </w:rPr>
        <w:t>for</w:t>
      </w:r>
      <w:r>
        <w:rPr>
          <w:spacing w:val="-5"/>
          <w:sz w:val="20"/>
        </w:rPr>
        <w:t xml:space="preserve"> </w:t>
      </w:r>
      <w:r>
        <w:rPr>
          <w:sz w:val="20"/>
        </w:rPr>
        <w:t>lesbian,</w:t>
      </w:r>
      <w:r>
        <w:rPr>
          <w:spacing w:val="-6"/>
          <w:sz w:val="20"/>
        </w:rPr>
        <w:t xml:space="preserve"> </w:t>
      </w:r>
      <w:r>
        <w:rPr>
          <w:sz w:val="20"/>
        </w:rPr>
        <w:t>gay,</w:t>
      </w:r>
      <w:r>
        <w:rPr>
          <w:spacing w:val="-4"/>
          <w:sz w:val="20"/>
        </w:rPr>
        <w:t xml:space="preserve"> </w:t>
      </w:r>
      <w:r>
        <w:rPr>
          <w:sz w:val="20"/>
        </w:rPr>
        <w:t xml:space="preserve">bisexual, and transgender people. Campus Pride. Retrieved from </w:t>
      </w:r>
      <w:hyperlink r:id="rId389">
        <w:r>
          <w:rPr>
            <w:sz w:val="20"/>
          </w:rPr>
          <w:t>http://www.campuspride.org/</w:t>
        </w:r>
      </w:hyperlink>
      <w:r>
        <w:rPr>
          <w:sz w:val="20"/>
        </w:rPr>
        <w:t xml:space="preserve"> </w:t>
      </w:r>
      <w:bookmarkStart w:id="752" w:name="_bookmark561"/>
      <w:bookmarkEnd w:id="752"/>
      <w:r>
        <w:rPr>
          <w:spacing w:val="-2"/>
          <w:sz w:val="20"/>
        </w:rPr>
        <w:t>Campus%20Pride%202010%20LGBT%20Report%20Summary.pdf</w:t>
      </w:r>
    </w:p>
    <w:p w:rsidR="00C76E6D" w:rsidRDefault="00913831">
      <w:pPr>
        <w:spacing w:before="2"/>
        <w:ind w:left="340" w:right="326" w:hanging="2"/>
        <w:rPr>
          <w:sz w:val="20"/>
        </w:rPr>
      </w:pPr>
      <w:r>
        <w:rPr>
          <w:sz w:val="20"/>
          <w:vertAlign w:val="superscript"/>
        </w:rPr>
        <w:t>2</w:t>
      </w:r>
      <w:r>
        <w:rPr>
          <w:spacing w:val="-4"/>
          <w:sz w:val="20"/>
        </w:rPr>
        <w:t xml:space="preserve"> </w:t>
      </w:r>
      <w:r>
        <w:rPr>
          <w:sz w:val="20"/>
        </w:rPr>
        <w:t>Rankin,</w:t>
      </w:r>
      <w:r>
        <w:rPr>
          <w:spacing w:val="-5"/>
          <w:sz w:val="20"/>
        </w:rPr>
        <w:t xml:space="preserve"> </w:t>
      </w:r>
      <w:r>
        <w:rPr>
          <w:sz w:val="20"/>
        </w:rPr>
        <w:t>S.</w:t>
      </w:r>
      <w:r>
        <w:rPr>
          <w:spacing w:val="-7"/>
          <w:sz w:val="20"/>
        </w:rPr>
        <w:t xml:space="preserve"> </w:t>
      </w:r>
      <w:r>
        <w:rPr>
          <w:sz w:val="20"/>
        </w:rPr>
        <w:t>(2003).</w:t>
      </w:r>
      <w:r>
        <w:rPr>
          <w:spacing w:val="-5"/>
          <w:sz w:val="20"/>
        </w:rPr>
        <w:t xml:space="preserve"> </w:t>
      </w:r>
      <w:r>
        <w:rPr>
          <w:sz w:val="20"/>
        </w:rPr>
        <w:t>Campus</w:t>
      </w:r>
      <w:r>
        <w:rPr>
          <w:spacing w:val="-7"/>
          <w:sz w:val="20"/>
        </w:rPr>
        <w:t xml:space="preserve"> </w:t>
      </w:r>
      <w:r>
        <w:rPr>
          <w:sz w:val="20"/>
        </w:rPr>
        <w:t>climate</w:t>
      </w:r>
      <w:r>
        <w:rPr>
          <w:spacing w:val="-4"/>
          <w:sz w:val="20"/>
        </w:rPr>
        <w:t xml:space="preserve"> </w:t>
      </w:r>
      <w:r>
        <w:rPr>
          <w:sz w:val="20"/>
        </w:rPr>
        <w:t>for</w:t>
      </w:r>
      <w:r>
        <w:rPr>
          <w:spacing w:val="-5"/>
          <w:sz w:val="20"/>
        </w:rPr>
        <w:t xml:space="preserve"> </w:t>
      </w:r>
      <w:r>
        <w:rPr>
          <w:sz w:val="20"/>
        </w:rPr>
        <w:t>gay,</w:t>
      </w:r>
      <w:r>
        <w:rPr>
          <w:spacing w:val="-4"/>
          <w:sz w:val="20"/>
        </w:rPr>
        <w:t xml:space="preserve"> </w:t>
      </w:r>
      <w:r>
        <w:rPr>
          <w:sz w:val="20"/>
        </w:rPr>
        <w:t>lesbian,</w:t>
      </w:r>
      <w:r>
        <w:rPr>
          <w:spacing w:val="-5"/>
          <w:sz w:val="20"/>
        </w:rPr>
        <w:t xml:space="preserve"> </w:t>
      </w:r>
      <w:r>
        <w:rPr>
          <w:sz w:val="20"/>
        </w:rPr>
        <w:t>bisexual,</w:t>
      </w:r>
      <w:r>
        <w:rPr>
          <w:spacing w:val="-4"/>
          <w:sz w:val="20"/>
        </w:rPr>
        <w:t xml:space="preserve"> </w:t>
      </w:r>
      <w:r>
        <w:rPr>
          <w:sz w:val="20"/>
        </w:rPr>
        <w:t>and</w:t>
      </w:r>
      <w:r>
        <w:rPr>
          <w:spacing w:val="-5"/>
          <w:sz w:val="20"/>
        </w:rPr>
        <w:t xml:space="preserve"> </w:t>
      </w:r>
      <w:r>
        <w:rPr>
          <w:sz w:val="20"/>
        </w:rPr>
        <w:t>transgender</w:t>
      </w:r>
      <w:r>
        <w:rPr>
          <w:spacing w:val="-7"/>
          <w:sz w:val="20"/>
        </w:rPr>
        <w:t xml:space="preserve"> </w:t>
      </w:r>
      <w:r>
        <w:rPr>
          <w:sz w:val="20"/>
        </w:rPr>
        <w:t>people:</w:t>
      </w:r>
      <w:r>
        <w:rPr>
          <w:spacing w:val="-5"/>
          <w:sz w:val="20"/>
        </w:rPr>
        <w:t xml:space="preserve"> </w:t>
      </w:r>
      <w:r>
        <w:rPr>
          <w:sz w:val="20"/>
        </w:rPr>
        <w:t>A</w:t>
      </w:r>
      <w:r>
        <w:rPr>
          <w:spacing w:val="-6"/>
          <w:sz w:val="20"/>
        </w:rPr>
        <w:t xml:space="preserve"> </w:t>
      </w:r>
      <w:r>
        <w:rPr>
          <w:sz w:val="20"/>
        </w:rPr>
        <w:t>national</w:t>
      </w:r>
      <w:r>
        <w:rPr>
          <w:spacing w:val="-5"/>
          <w:sz w:val="20"/>
        </w:rPr>
        <w:t xml:space="preserve"> </w:t>
      </w:r>
      <w:r>
        <w:rPr>
          <w:sz w:val="20"/>
        </w:rPr>
        <w:t>perspective.</w:t>
      </w:r>
      <w:r>
        <w:rPr>
          <w:spacing w:val="-5"/>
          <w:sz w:val="20"/>
        </w:rPr>
        <w:t xml:space="preserve"> </w:t>
      </w:r>
      <w:r>
        <w:rPr>
          <w:sz w:val="20"/>
        </w:rPr>
        <w:t xml:space="preserve">National Gay and Lesbian Task Force. Retrieved from </w:t>
      </w:r>
      <w:hyperlink r:id="rId390">
        <w:r>
          <w:rPr>
            <w:sz w:val="20"/>
          </w:rPr>
          <w:t xml:space="preserve">http://www.thetaskforce.org </w:t>
        </w:r>
      </w:hyperlink>
      <w:r>
        <w:rPr>
          <w:sz w:val="20"/>
        </w:rPr>
        <w:t xml:space="preserve">/downloads/ reports/ reports/ Campus </w:t>
      </w:r>
      <w:r>
        <w:rPr>
          <w:spacing w:val="-2"/>
          <w:sz w:val="20"/>
        </w:rPr>
        <w:t>Climate.pdf</w:t>
      </w:r>
    </w:p>
    <w:p w:rsidR="00C76E6D" w:rsidRDefault="00913831">
      <w:pPr>
        <w:ind w:left="338" w:right="530" w:hanging="1"/>
        <w:rPr>
          <w:sz w:val="20"/>
        </w:rPr>
      </w:pPr>
      <w:bookmarkStart w:id="753" w:name="_bookmark562"/>
      <w:bookmarkEnd w:id="753"/>
      <w:r>
        <w:rPr>
          <w:sz w:val="20"/>
          <w:vertAlign w:val="superscript"/>
        </w:rPr>
        <w:t>3</w:t>
      </w:r>
      <w:r>
        <w:rPr>
          <w:sz w:val="20"/>
        </w:rPr>
        <w:t xml:space="preserve"> Salem State University. (n.d,). Campus Pride.; University of Massachusetts Da</w:t>
      </w:r>
      <w:r>
        <w:rPr>
          <w:sz w:val="20"/>
        </w:rPr>
        <w:t>rtmouth. (n.d). Campus Pride; University</w:t>
      </w:r>
      <w:r>
        <w:rPr>
          <w:spacing w:val="-6"/>
          <w:sz w:val="20"/>
        </w:rPr>
        <w:t xml:space="preserve"> </w:t>
      </w:r>
      <w:r>
        <w:rPr>
          <w:sz w:val="20"/>
        </w:rPr>
        <w:t>of</w:t>
      </w:r>
      <w:r>
        <w:rPr>
          <w:spacing w:val="-8"/>
          <w:sz w:val="20"/>
        </w:rPr>
        <w:t xml:space="preserve"> </w:t>
      </w:r>
      <w:r>
        <w:rPr>
          <w:sz w:val="20"/>
        </w:rPr>
        <w:t>Massachusetts</w:t>
      </w:r>
      <w:r>
        <w:rPr>
          <w:spacing w:val="-9"/>
          <w:sz w:val="20"/>
        </w:rPr>
        <w:t xml:space="preserve"> </w:t>
      </w:r>
      <w:r>
        <w:rPr>
          <w:sz w:val="20"/>
        </w:rPr>
        <w:t>Amherst.</w:t>
      </w:r>
      <w:r>
        <w:rPr>
          <w:spacing w:val="-9"/>
          <w:sz w:val="20"/>
        </w:rPr>
        <w:t xml:space="preserve"> </w:t>
      </w:r>
      <w:r>
        <w:rPr>
          <w:sz w:val="20"/>
        </w:rPr>
        <w:t>(n.d).</w:t>
      </w:r>
      <w:r>
        <w:rPr>
          <w:spacing w:val="-7"/>
          <w:sz w:val="20"/>
        </w:rPr>
        <w:t xml:space="preserve"> </w:t>
      </w:r>
      <w:r>
        <w:rPr>
          <w:sz w:val="20"/>
        </w:rPr>
        <w:t>Campus</w:t>
      </w:r>
      <w:r>
        <w:rPr>
          <w:spacing w:val="-7"/>
          <w:sz w:val="20"/>
        </w:rPr>
        <w:t xml:space="preserve"> </w:t>
      </w:r>
      <w:r>
        <w:rPr>
          <w:sz w:val="20"/>
        </w:rPr>
        <w:t>Pride.;</w:t>
      </w:r>
      <w:r>
        <w:rPr>
          <w:spacing w:val="-6"/>
          <w:sz w:val="20"/>
        </w:rPr>
        <w:t xml:space="preserve"> </w:t>
      </w:r>
      <w:r>
        <w:rPr>
          <w:sz w:val="20"/>
        </w:rPr>
        <w:t>Bridgewater</w:t>
      </w:r>
      <w:r>
        <w:rPr>
          <w:spacing w:val="-9"/>
          <w:sz w:val="20"/>
        </w:rPr>
        <w:t xml:space="preserve"> </w:t>
      </w:r>
      <w:r>
        <w:rPr>
          <w:sz w:val="20"/>
        </w:rPr>
        <w:t>State</w:t>
      </w:r>
      <w:r>
        <w:rPr>
          <w:spacing w:val="-7"/>
          <w:sz w:val="20"/>
        </w:rPr>
        <w:t xml:space="preserve"> </w:t>
      </w:r>
      <w:r>
        <w:rPr>
          <w:sz w:val="20"/>
        </w:rPr>
        <w:t>University.</w:t>
      </w:r>
      <w:r>
        <w:rPr>
          <w:spacing w:val="-7"/>
          <w:sz w:val="20"/>
        </w:rPr>
        <w:t xml:space="preserve"> </w:t>
      </w:r>
      <w:r>
        <w:rPr>
          <w:sz w:val="20"/>
        </w:rPr>
        <w:t>(n.d).</w:t>
      </w:r>
      <w:r>
        <w:rPr>
          <w:spacing w:val="-7"/>
          <w:sz w:val="20"/>
        </w:rPr>
        <w:t xml:space="preserve"> </w:t>
      </w:r>
      <w:r>
        <w:rPr>
          <w:sz w:val="20"/>
        </w:rPr>
        <w:t>Campus</w:t>
      </w:r>
      <w:r>
        <w:rPr>
          <w:spacing w:val="-7"/>
          <w:sz w:val="20"/>
        </w:rPr>
        <w:t xml:space="preserve"> </w:t>
      </w:r>
      <w:r>
        <w:rPr>
          <w:sz w:val="20"/>
        </w:rPr>
        <w:t>Pride.;</w:t>
      </w:r>
    </w:p>
    <w:p w:rsidR="00C76E6D" w:rsidRDefault="00C76E6D">
      <w:pPr>
        <w:rPr>
          <w:sz w:val="20"/>
        </w:rPr>
        <w:sectPr w:rsidR="00C76E6D">
          <w:pgSz w:w="12240" w:h="15840"/>
          <w:pgMar w:top="1020" w:right="960" w:bottom="640" w:left="960" w:header="832" w:footer="440" w:gutter="0"/>
          <w:cols w:space="720"/>
        </w:sectPr>
      </w:pPr>
    </w:p>
    <w:p w:rsidR="00C76E6D" w:rsidRDefault="00C76E6D">
      <w:pPr>
        <w:pStyle w:val="BodyText"/>
        <w:rPr>
          <w:sz w:val="20"/>
        </w:rPr>
      </w:pPr>
    </w:p>
    <w:p w:rsidR="00C76E6D" w:rsidRDefault="00C76E6D">
      <w:pPr>
        <w:pStyle w:val="BodyText"/>
        <w:spacing w:before="1"/>
      </w:pPr>
    </w:p>
    <w:p w:rsidR="00C76E6D" w:rsidRDefault="00913831">
      <w:pPr>
        <w:spacing w:before="60"/>
        <w:ind w:left="339" w:right="1600" w:hanging="1"/>
        <w:rPr>
          <w:sz w:val="20"/>
        </w:rPr>
      </w:pPr>
      <w:r>
        <w:rPr>
          <w:sz w:val="20"/>
        </w:rPr>
        <w:t>Massachusetts</w:t>
      </w:r>
      <w:r>
        <w:rPr>
          <w:spacing w:val="-9"/>
          <w:sz w:val="20"/>
        </w:rPr>
        <w:t xml:space="preserve"> </w:t>
      </w:r>
      <w:r>
        <w:rPr>
          <w:sz w:val="20"/>
        </w:rPr>
        <w:t>Dartmouth.</w:t>
      </w:r>
      <w:r>
        <w:rPr>
          <w:spacing w:val="-9"/>
          <w:sz w:val="20"/>
        </w:rPr>
        <w:t xml:space="preserve"> </w:t>
      </w:r>
      <w:r>
        <w:rPr>
          <w:sz w:val="20"/>
        </w:rPr>
        <w:t>(n.d).</w:t>
      </w:r>
      <w:r>
        <w:rPr>
          <w:spacing w:val="-8"/>
          <w:sz w:val="20"/>
        </w:rPr>
        <w:t xml:space="preserve"> </w:t>
      </w:r>
      <w:r>
        <w:rPr>
          <w:sz w:val="20"/>
        </w:rPr>
        <w:t>Campus</w:t>
      </w:r>
      <w:r>
        <w:rPr>
          <w:spacing w:val="-8"/>
          <w:sz w:val="20"/>
        </w:rPr>
        <w:t xml:space="preserve"> </w:t>
      </w:r>
      <w:r>
        <w:rPr>
          <w:sz w:val="20"/>
        </w:rPr>
        <w:t>Pride.</w:t>
      </w:r>
      <w:r>
        <w:rPr>
          <w:spacing w:val="-8"/>
          <w:sz w:val="20"/>
        </w:rPr>
        <w:t xml:space="preserve"> </w:t>
      </w:r>
      <w:r>
        <w:rPr>
          <w:sz w:val="20"/>
        </w:rPr>
        <w:t>Salem</w:t>
      </w:r>
      <w:r>
        <w:rPr>
          <w:spacing w:val="-9"/>
          <w:sz w:val="20"/>
        </w:rPr>
        <w:t xml:space="preserve"> </w:t>
      </w:r>
      <w:r>
        <w:rPr>
          <w:sz w:val="20"/>
        </w:rPr>
        <w:t>State</w:t>
      </w:r>
      <w:r>
        <w:rPr>
          <w:spacing w:val="-8"/>
          <w:sz w:val="20"/>
        </w:rPr>
        <w:t xml:space="preserve"> </w:t>
      </w:r>
      <w:r>
        <w:rPr>
          <w:sz w:val="20"/>
        </w:rPr>
        <w:t>University.</w:t>
      </w:r>
      <w:r>
        <w:rPr>
          <w:spacing w:val="-8"/>
          <w:sz w:val="20"/>
        </w:rPr>
        <w:t xml:space="preserve"> </w:t>
      </w:r>
      <w:r>
        <w:rPr>
          <w:sz w:val="20"/>
        </w:rPr>
        <w:t>(n.d,).</w:t>
      </w:r>
      <w:r>
        <w:rPr>
          <w:spacing w:val="-9"/>
          <w:sz w:val="20"/>
        </w:rPr>
        <w:t xml:space="preserve"> </w:t>
      </w:r>
      <w:r>
        <w:rPr>
          <w:sz w:val="20"/>
        </w:rPr>
        <w:t>Campus</w:t>
      </w:r>
      <w:r>
        <w:rPr>
          <w:spacing w:val="-8"/>
          <w:sz w:val="20"/>
        </w:rPr>
        <w:t xml:space="preserve"> </w:t>
      </w:r>
      <w:r>
        <w:rPr>
          <w:sz w:val="20"/>
        </w:rPr>
        <w:t xml:space="preserve">Pride. </w:t>
      </w:r>
      <w:r>
        <w:rPr>
          <w:spacing w:val="-2"/>
          <w:sz w:val="20"/>
        </w:rPr>
        <w:t>https://</w:t>
      </w:r>
      <w:hyperlink r:id="rId391">
        <w:r>
          <w:rPr>
            <w:spacing w:val="-2"/>
            <w:sz w:val="20"/>
          </w:rPr>
          <w:t>www.campusprideindex.org/searchresults/display/1627957</w:t>
        </w:r>
      </w:hyperlink>
    </w:p>
    <w:p w:rsidR="00C76E6D" w:rsidRDefault="00913831">
      <w:pPr>
        <w:ind w:left="338" w:right="846" w:hanging="1"/>
        <w:rPr>
          <w:sz w:val="20"/>
        </w:rPr>
      </w:pPr>
      <w:bookmarkStart w:id="754" w:name="_bookmark563"/>
      <w:bookmarkEnd w:id="754"/>
      <w:r>
        <w:rPr>
          <w:sz w:val="20"/>
          <w:vertAlign w:val="superscript"/>
        </w:rPr>
        <w:t>4</w:t>
      </w:r>
      <w:r>
        <w:rPr>
          <w:sz w:val="20"/>
        </w:rPr>
        <w:t xml:space="preserve"> Lust, K. (2011). College Student Health Survey Report 2007–2011: Health and Health-Related Behaviors Minnesota</w:t>
      </w:r>
      <w:r>
        <w:rPr>
          <w:spacing w:val="-8"/>
          <w:sz w:val="20"/>
        </w:rPr>
        <w:t xml:space="preserve"> </w:t>
      </w:r>
      <w:r>
        <w:rPr>
          <w:sz w:val="20"/>
        </w:rPr>
        <w:t>Postsecondary</w:t>
      </w:r>
      <w:r>
        <w:rPr>
          <w:spacing w:val="-7"/>
          <w:sz w:val="20"/>
        </w:rPr>
        <w:t xml:space="preserve"> </w:t>
      </w:r>
      <w:r>
        <w:rPr>
          <w:sz w:val="20"/>
        </w:rPr>
        <w:t>Lesbian,</w:t>
      </w:r>
      <w:r>
        <w:rPr>
          <w:spacing w:val="-7"/>
          <w:sz w:val="20"/>
        </w:rPr>
        <w:t xml:space="preserve"> </w:t>
      </w:r>
      <w:r>
        <w:rPr>
          <w:sz w:val="20"/>
        </w:rPr>
        <w:t>Gay,</w:t>
      </w:r>
      <w:r>
        <w:rPr>
          <w:spacing w:val="-6"/>
          <w:sz w:val="20"/>
        </w:rPr>
        <w:t xml:space="preserve"> </w:t>
      </w:r>
      <w:r>
        <w:rPr>
          <w:sz w:val="20"/>
        </w:rPr>
        <w:t>and</w:t>
      </w:r>
      <w:r>
        <w:rPr>
          <w:spacing w:val="-8"/>
          <w:sz w:val="20"/>
        </w:rPr>
        <w:t xml:space="preserve"> </w:t>
      </w:r>
      <w:r>
        <w:rPr>
          <w:sz w:val="20"/>
        </w:rPr>
        <w:t>Bisexual</w:t>
      </w:r>
      <w:r>
        <w:rPr>
          <w:spacing w:val="-7"/>
          <w:sz w:val="20"/>
        </w:rPr>
        <w:t xml:space="preserve"> </w:t>
      </w:r>
      <w:r>
        <w:rPr>
          <w:sz w:val="20"/>
        </w:rPr>
        <w:t>Students.</w:t>
      </w:r>
      <w:r>
        <w:rPr>
          <w:spacing w:val="-7"/>
          <w:sz w:val="20"/>
        </w:rPr>
        <w:t xml:space="preserve"> </w:t>
      </w:r>
      <w:r>
        <w:rPr>
          <w:sz w:val="20"/>
        </w:rPr>
        <w:t>Boynton</w:t>
      </w:r>
      <w:r>
        <w:rPr>
          <w:spacing w:val="-6"/>
          <w:sz w:val="20"/>
        </w:rPr>
        <w:t xml:space="preserve"> </w:t>
      </w:r>
      <w:r>
        <w:rPr>
          <w:sz w:val="20"/>
        </w:rPr>
        <w:t>Health</w:t>
      </w:r>
      <w:r>
        <w:rPr>
          <w:spacing w:val="-6"/>
          <w:sz w:val="20"/>
        </w:rPr>
        <w:t xml:space="preserve"> </w:t>
      </w:r>
      <w:r>
        <w:rPr>
          <w:sz w:val="20"/>
        </w:rPr>
        <w:t>Service,</w:t>
      </w:r>
      <w:r>
        <w:rPr>
          <w:spacing w:val="-9"/>
          <w:sz w:val="20"/>
        </w:rPr>
        <w:t xml:space="preserve"> </w:t>
      </w:r>
      <w:r>
        <w:rPr>
          <w:sz w:val="20"/>
        </w:rPr>
        <w:t>University</w:t>
      </w:r>
      <w:r>
        <w:rPr>
          <w:spacing w:val="-6"/>
          <w:sz w:val="20"/>
        </w:rPr>
        <w:t xml:space="preserve"> </w:t>
      </w:r>
      <w:r>
        <w:rPr>
          <w:sz w:val="20"/>
        </w:rPr>
        <w:t>of</w:t>
      </w:r>
      <w:r>
        <w:rPr>
          <w:spacing w:val="-8"/>
          <w:sz w:val="20"/>
        </w:rPr>
        <w:t xml:space="preserve"> </w:t>
      </w:r>
      <w:r>
        <w:rPr>
          <w:sz w:val="20"/>
        </w:rPr>
        <w:t xml:space="preserve">Minnesota. </w:t>
      </w:r>
      <w:bookmarkStart w:id="755" w:name="_bookmark564"/>
      <w:bookmarkEnd w:id="755"/>
      <w:r>
        <w:rPr>
          <w:sz w:val="20"/>
        </w:rPr>
        <w:t xml:space="preserve">Retrieved from </w:t>
      </w:r>
      <w:hyperlink r:id="rId392">
        <w:r>
          <w:rPr>
            <w:sz w:val="20"/>
          </w:rPr>
          <w:t>http://www.bhs.umn.edu/surveys/survey-results/</w:t>
        </w:r>
        <w:r>
          <w:rPr>
            <w:sz w:val="20"/>
          </w:rPr>
          <w:t>2007-2011_LGB_CSHSReport.pdf</w:t>
        </w:r>
      </w:hyperlink>
    </w:p>
    <w:p w:rsidR="00C76E6D" w:rsidRDefault="00913831">
      <w:pPr>
        <w:spacing w:before="7" w:line="241" w:lineRule="exact"/>
        <w:ind w:left="338"/>
        <w:rPr>
          <w:sz w:val="20"/>
        </w:rPr>
      </w:pPr>
      <w:r>
        <w:rPr>
          <w:sz w:val="20"/>
          <w:vertAlign w:val="superscript"/>
        </w:rPr>
        <w:t>5</w:t>
      </w:r>
      <w:r>
        <w:rPr>
          <w:spacing w:val="-4"/>
          <w:sz w:val="20"/>
        </w:rPr>
        <w:t xml:space="preserve"> </w:t>
      </w:r>
      <w:r>
        <w:rPr>
          <w:sz w:val="20"/>
        </w:rPr>
        <w:t>Lust,</w:t>
      </w:r>
      <w:r>
        <w:rPr>
          <w:spacing w:val="-3"/>
          <w:sz w:val="20"/>
        </w:rPr>
        <w:t xml:space="preserve"> </w:t>
      </w:r>
      <w:r>
        <w:rPr>
          <w:spacing w:val="-5"/>
          <w:sz w:val="20"/>
        </w:rPr>
        <w:t>K.</w:t>
      </w:r>
    </w:p>
    <w:p w:rsidR="00C76E6D" w:rsidRDefault="00913831">
      <w:pPr>
        <w:ind w:left="339" w:right="502" w:hanging="2"/>
        <w:rPr>
          <w:sz w:val="20"/>
        </w:rPr>
      </w:pPr>
      <w:bookmarkStart w:id="756" w:name="_bookmark565"/>
      <w:bookmarkEnd w:id="756"/>
      <w:r>
        <w:rPr>
          <w:sz w:val="20"/>
          <w:vertAlign w:val="superscript"/>
        </w:rPr>
        <w:t>6</w:t>
      </w:r>
      <w:r>
        <w:rPr>
          <w:spacing w:val="-4"/>
          <w:sz w:val="20"/>
        </w:rPr>
        <w:t xml:space="preserve"> </w:t>
      </w:r>
      <w:r>
        <w:rPr>
          <w:color w:val="333333"/>
          <w:sz w:val="20"/>
        </w:rPr>
        <w:t>Heck,</w:t>
      </w:r>
      <w:r>
        <w:rPr>
          <w:color w:val="333333"/>
          <w:spacing w:val="-4"/>
          <w:sz w:val="20"/>
        </w:rPr>
        <w:t xml:space="preserve"> </w:t>
      </w:r>
      <w:r>
        <w:rPr>
          <w:color w:val="333333"/>
          <w:sz w:val="20"/>
        </w:rPr>
        <w:t>N.</w:t>
      </w:r>
      <w:r>
        <w:rPr>
          <w:color w:val="333333"/>
          <w:spacing w:val="-7"/>
          <w:sz w:val="20"/>
        </w:rPr>
        <w:t xml:space="preserve"> </w:t>
      </w:r>
      <w:r>
        <w:rPr>
          <w:color w:val="333333"/>
          <w:sz w:val="20"/>
        </w:rPr>
        <w:t>C.,</w:t>
      </w:r>
      <w:r>
        <w:rPr>
          <w:color w:val="333333"/>
          <w:spacing w:val="-5"/>
          <w:sz w:val="20"/>
        </w:rPr>
        <w:t xml:space="preserve"> </w:t>
      </w:r>
      <w:r>
        <w:rPr>
          <w:color w:val="333333"/>
          <w:sz w:val="20"/>
        </w:rPr>
        <w:t>Poteat,</w:t>
      </w:r>
      <w:r>
        <w:rPr>
          <w:color w:val="333333"/>
          <w:spacing w:val="-5"/>
          <w:sz w:val="20"/>
        </w:rPr>
        <w:t xml:space="preserve"> </w:t>
      </w:r>
      <w:r>
        <w:rPr>
          <w:color w:val="333333"/>
          <w:sz w:val="20"/>
        </w:rPr>
        <w:t>V.</w:t>
      </w:r>
      <w:r>
        <w:rPr>
          <w:color w:val="333333"/>
          <w:spacing w:val="-5"/>
          <w:sz w:val="20"/>
        </w:rPr>
        <w:t xml:space="preserve"> </w:t>
      </w:r>
      <w:r>
        <w:rPr>
          <w:color w:val="333333"/>
          <w:sz w:val="20"/>
        </w:rPr>
        <w:t>P.,</w:t>
      </w:r>
      <w:r>
        <w:rPr>
          <w:color w:val="333333"/>
          <w:spacing w:val="-5"/>
          <w:sz w:val="20"/>
        </w:rPr>
        <w:t xml:space="preserve"> </w:t>
      </w:r>
      <w:r>
        <w:rPr>
          <w:color w:val="333333"/>
          <w:sz w:val="20"/>
        </w:rPr>
        <w:t>&amp;</w:t>
      </w:r>
      <w:r>
        <w:rPr>
          <w:color w:val="333333"/>
          <w:spacing w:val="-5"/>
          <w:sz w:val="20"/>
        </w:rPr>
        <w:t xml:space="preserve"> </w:t>
      </w:r>
      <w:r>
        <w:rPr>
          <w:color w:val="333333"/>
          <w:sz w:val="20"/>
        </w:rPr>
        <w:t>Goodenow,</w:t>
      </w:r>
      <w:r>
        <w:rPr>
          <w:color w:val="333333"/>
          <w:spacing w:val="-5"/>
          <w:sz w:val="20"/>
        </w:rPr>
        <w:t xml:space="preserve"> </w:t>
      </w:r>
      <w:r>
        <w:rPr>
          <w:color w:val="333333"/>
          <w:sz w:val="20"/>
        </w:rPr>
        <w:t>C.</w:t>
      </w:r>
      <w:r>
        <w:rPr>
          <w:color w:val="333333"/>
          <w:spacing w:val="-6"/>
          <w:sz w:val="20"/>
        </w:rPr>
        <w:t xml:space="preserve"> </w:t>
      </w:r>
      <w:r>
        <w:rPr>
          <w:color w:val="333333"/>
          <w:sz w:val="20"/>
        </w:rPr>
        <w:t>S.</w:t>
      </w:r>
      <w:r>
        <w:rPr>
          <w:color w:val="333333"/>
          <w:spacing w:val="-6"/>
          <w:sz w:val="20"/>
        </w:rPr>
        <w:t xml:space="preserve"> </w:t>
      </w:r>
      <w:r>
        <w:rPr>
          <w:color w:val="333333"/>
          <w:sz w:val="20"/>
        </w:rPr>
        <w:t>(2016).</w:t>
      </w:r>
      <w:r>
        <w:rPr>
          <w:color w:val="333333"/>
          <w:spacing w:val="-7"/>
          <w:sz w:val="20"/>
        </w:rPr>
        <w:t xml:space="preserve"> </w:t>
      </w:r>
      <w:r>
        <w:rPr>
          <w:color w:val="333333"/>
          <w:sz w:val="20"/>
        </w:rPr>
        <w:t>Advances</w:t>
      </w:r>
      <w:r>
        <w:rPr>
          <w:color w:val="333333"/>
          <w:spacing w:val="-5"/>
          <w:sz w:val="20"/>
        </w:rPr>
        <w:t xml:space="preserve"> </w:t>
      </w:r>
      <w:r>
        <w:rPr>
          <w:color w:val="333333"/>
          <w:sz w:val="20"/>
        </w:rPr>
        <w:t>in</w:t>
      </w:r>
      <w:r>
        <w:rPr>
          <w:color w:val="333333"/>
          <w:spacing w:val="-4"/>
          <w:sz w:val="20"/>
        </w:rPr>
        <w:t xml:space="preserve"> </w:t>
      </w:r>
      <w:r>
        <w:rPr>
          <w:color w:val="333333"/>
          <w:sz w:val="20"/>
        </w:rPr>
        <w:t>research</w:t>
      </w:r>
      <w:r>
        <w:rPr>
          <w:color w:val="333333"/>
          <w:spacing w:val="-5"/>
          <w:sz w:val="20"/>
        </w:rPr>
        <w:t xml:space="preserve"> </w:t>
      </w:r>
      <w:r>
        <w:rPr>
          <w:color w:val="333333"/>
          <w:sz w:val="20"/>
        </w:rPr>
        <w:t>with</w:t>
      </w:r>
      <w:r>
        <w:rPr>
          <w:color w:val="333333"/>
          <w:spacing w:val="-4"/>
          <w:sz w:val="20"/>
        </w:rPr>
        <w:t xml:space="preserve"> </w:t>
      </w:r>
      <w:r>
        <w:rPr>
          <w:color w:val="333333"/>
          <w:sz w:val="20"/>
        </w:rPr>
        <w:t>LGBTQ</w:t>
      </w:r>
      <w:r>
        <w:rPr>
          <w:color w:val="333333"/>
          <w:spacing w:val="-7"/>
          <w:sz w:val="20"/>
        </w:rPr>
        <w:t xml:space="preserve"> </w:t>
      </w:r>
      <w:r>
        <w:rPr>
          <w:color w:val="333333"/>
          <w:sz w:val="20"/>
        </w:rPr>
        <w:t>youth</w:t>
      </w:r>
      <w:r>
        <w:rPr>
          <w:color w:val="333333"/>
          <w:spacing w:val="-4"/>
          <w:sz w:val="20"/>
        </w:rPr>
        <w:t xml:space="preserve"> </w:t>
      </w:r>
      <w:r>
        <w:rPr>
          <w:color w:val="333333"/>
          <w:sz w:val="20"/>
        </w:rPr>
        <w:t>in</w:t>
      </w:r>
      <w:r>
        <w:rPr>
          <w:color w:val="333333"/>
          <w:spacing w:val="-4"/>
          <w:sz w:val="20"/>
        </w:rPr>
        <w:t xml:space="preserve"> </w:t>
      </w:r>
      <w:r>
        <w:rPr>
          <w:color w:val="333333"/>
          <w:sz w:val="20"/>
        </w:rPr>
        <w:t>schools.</w:t>
      </w:r>
      <w:r>
        <w:rPr>
          <w:color w:val="333333"/>
          <w:spacing w:val="-4"/>
          <w:sz w:val="20"/>
        </w:rPr>
        <w:t xml:space="preserve"> </w:t>
      </w:r>
      <w:r>
        <w:rPr>
          <w:i/>
          <w:color w:val="333333"/>
          <w:sz w:val="20"/>
        </w:rPr>
        <w:t>Psychology of Sexual Orientation and Gender Diversity, 3</w:t>
      </w:r>
      <w:r>
        <w:rPr>
          <w:color w:val="333333"/>
          <w:sz w:val="20"/>
        </w:rPr>
        <w:t>(4), 381–385. https://doi.org/10.1037/sgd0000206</w:t>
      </w:r>
    </w:p>
    <w:p w:rsidR="00C76E6D" w:rsidRDefault="00C76E6D">
      <w:pPr>
        <w:rPr>
          <w:sz w:val="20"/>
        </w:rPr>
        <w:sectPr w:rsidR="00C76E6D">
          <w:pgSz w:w="12240" w:h="15840"/>
          <w:pgMar w:top="1020" w:right="960" w:bottom="640" w:left="960" w:header="832" w:footer="440" w:gutter="0"/>
          <w:cols w:space="720"/>
        </w:sectPr>
      </w:pPr>
    </w:p>
    <w:p w:rsidR="00C76E6D" w:rsidRDefault="00C76E6D">
      <w:pPr>
        <w:pStyle w:val="BodyText"/>
        <w:rPr>
          <w:sz w:val="20"/>
        </w:rPr>
      </w:pPr>
    </w:p>
    <w:p w:rsidR="00C76E6D" w:rsidRDefault="00C76E6D">
      <w:pPr>
        <w:pStyle w:val="BodyText"/>
        <w:spacing w:before="6"/>
        <w:rPr>
          <w:sz w:val="17"/>
        </w:rPr>
      </w:pPr>
    </w:p>
    <w:p w:rsidR="00C76E6D" w:rsidRDefault="00913831">
      <w:pPr>
        <w:pStyle w:val="Heading2"/>
        <w:ind w:left="480"/>
        <w:jc w:val="both"/>
      </w:pPr>
      <w:bookmarkStart w:id="757" w:name="Executive_Office_of_Health_and_Human_Ser"/>
      <w:bookmarkStart w:id="758" w:name="_bookmark566"/>
      <w:bookmarkEnd w:id="757"/>
      <w:bookmarkEnd w:id="758"/>
      <w:r>
        <w:t>Executive</w:t>
      </w:r>
      <w:r>
        <w:rPr>
          <w:spacing w:val="-21"/>
        </w:rPr>
        <w:t xml:space="preserve"> </w:t>
      </w:r>
      <w:r>
        <w:t>Office</w:t>
      </w:r>
      <w:r>
        <w:rPr>
          <w:spacing w:val="-11"/>
        </w:rPr>
        <w:t xml:space="preserve"> </w:t>
      </w:r>
      <w:r>
        <w:t>of</w:t>
      </w:r>
      <w:r>
        <w:rPr>
          <w:spacing w:val="-13"/>
        </w:rPr>
        <w:t xml:space="preserve"> </w:t>
      </w:r>
      <w:r>
        <w:t>Health</w:t>
      </w:r>
      <w:r>
        <w:rPr>
          <w:spacing w:val="-13"/>
        </w:rPr>
        <w:t xml:space="preserve"> </w:t>
      </w:r>
      <w:r>
        <w:t>and</w:t>
      </w:r>
      <w:r>
        <w:rPr>
          <w:spacing w:val="-11"/>
        </w:rPr>
        <w:t xml:space="preserve"> </w:t>
      </w:r>
      <w:r>
        <w:t>Human</w:t>
      </w:r>
      <w:r>
        <w:rPr>
          <w:spacing w:val="-11"/>
        </w:rPr>
        <w:t xml:space="preserve"> </w:t>
      </w:r>
      <w:r>
        <w:t>Services</w:t>
      </w:r>
      <w:r>
        <w:rPr>
          <w:spacing w:val="-8"/>
        </w:rPr>
        <w:t xml:space="preserve"> </w:t>
      </w:r>
      <w:r>
        <w:rPr>
          <w:spacing w:val="-2"/>
        </w:rPr>
        <w:t>Recommendations</w:t>
      </w:r>
    </w:p>
    <w:p w:rsidR="00C76E6D" w:rsidRDefault="00913831">
      <w:pPr>
        <w:pStyle w:val="BodyText"/>
        <w:rPr>
          <w:b/>
          <w:sz w:val="8"/>
        </w:rPr>
      </w:pPr>
      <w:r>
        <w:pict>
          <v:rect id="docshape349" o:spid="_x0000_s1112" style="position:absolute;margin-left:70.5pt;margin-top:6.1pt;width:470.95pt;height:1.45pt;z-index:-15661568;mso-wrap-distance-left:0;mso-wrap-distance-right:0;mso-position-horizontal-relative:page" fillcolor="black" stroked="f">
            <w10:wrap type="topAndBottom" anchorx="page"/>
          </v:rect>
        </w:pict>
      </w:r>
    </w:p>
    <w:p w:rsidR="00C76E6D" w:rsidRDefault="00C76E6D">
      <w:pPr>
        <w:pStyle w:val="BodyText"/>
        <w:rPr>
          <w:b/>
          <w:sz w:val="27"/>
        </w:rPr>
      </w:pPr>
    </w:p>
    <w:p w:rsidR="00C76E6D" w:rsidRDefault="00913831">
      <w:pPr>
        <w:pStyle w:val="BodyText"/>
        <w:ind w:left="478" w:right="474"/>
        <w:jc w:val="both"/>
      </w:pPr>
      <w:r>
        <w:t>In</w:t>
      </w:r>
      <w:r>
        <w:rPr>
          <w:spacing w:val="-11"/>
        </w:rPr>
        <w:t xml:space="preserve"> </w:t>
      </w:r>
      <w:r>
        <w:t>FY</w:t>
      </w:r>
      <w:r>
        <w:rPr>
          <w:spacing w:val="-10"/>
        </w:rPr>
        <w:t xml:space="preserve"> </w:t>
      </w:r>
      <w:r>
        <w:t>2017,</w:t>
      </w:r>
      <w:r>
        <w:rPr>
          <w:spacing w:val="-11"/>
        </w:rPr>
        <w:t xml:space="preserve"> </w:t>
      </w:r>
      <w:r>
        <w:t>the</w:t>
      </w:r>
      <w:r>
        <w:rPr>
          <w:spacing w:val="-11"/>
        </w:rPr>
        <w:t xml:space="preserve"> </w:t>
      </w:r>
      <w:r>
        <w:t>Executive</w:t>
      </w:r>
      <w:r>
        <w:rPr>
          <w:spacing w:val="-10"/>
        </w:rPr>
        <w:t xml:space="preserve"> </w:t>
      </w:r>
      <w:r>
        <w:t>Office</w:t>
      </w:r>
      <w:r>
        <w:rPr>
          <w:spacing w:val="-11"/>
        </w:rPr>
        <w:t xml:space="preserve"> </w:t>
      </w:r>
      <w:r>
        <w:t>of</w:t>
      </w:r>
      <w:r>
        <w:rPr>
          <w:spacing w:val="-11"/>
        </w:rPr>
        <w:t xml:space="preserve"> </w:t>
      </w:r>
      <w:r>
        <w:t>Health</w:t>
      </w:r>
      <w:r>
        <w:rPr>
          <w:spacing w:val="-11"/>
        </w:rPr>
        <w:t xml:space="preserve"> </w:t>
      </w:r>
      <w:r>
        <w:t>and</w:t>
      </w:r>
      <w:r>
        <w:rPr>
          <w:spacing w:val="-10"/>
        </w:rPr>
        <w:t xml:space="preserve"> </w:t>
      </w:r>
      <w:r>
        <w:t>Human</w:t>
      </w:r>
      <w:r>
        <w:rPr>
          <w:spacing w:val="-9"/>
        </w:rPr>
        <w:t xml:space="preserve"> </w:t>
      </w:r>
      <w:r>
        <w:t>Services</w:t>
      </w:r>
      <w:r>
        <w:rPr>
          <w:spacing w:val="-9"/>
        </w:rPr>
        <w:t xml:space="preserve"> </w:t>
      </w:r>
      <w:r>
        <w:t>(EOHHS)</w:t>
      </w:r>
      <w:r>
        <w:rPr>
          <w:spacing w:val="-11"/>
        </w:rPr>
        <w:t xml:space="preserve"> </w:t>
      </w:r>
      <w:r>
        <w:t>formed</w:t>
      </w:r>
      <w:r>
        <w:rPr>
          <w:spacing w:val="-9"/>
        </w:rPr>
        <w:t xml:space="preserve"> </w:t>
      </w:r>
      <w:r>
        <w:t>an</w:t>
      </w:r>
      <w:r>
        <w:rPr>
          <w:spacing w:val="-12"/>
        </w:rPr>
        <w:t xml:space="preserve"> </w:t>
      </w:r>
      <w:r>
        <w:t>interagency</w:t>
      </w:r>
      <w:r>
        <w:rPr>
          <w:spacing w:val="-11"/>
        </w:rPr>
        <w:t xml:space="preserve"> </w:t>
      </w:r>
      <w:r>
        <w:t xml:space="preserve">committee on LGBTQ youth issues co-chaired by the Commission. The Commission appreciates the frequent and thoughtful collaboration with staff of the Office of Children, Youth and Families, which has resulted in EOHHS taking a coordinated and collaborative </w:t>
      </w:r>
      <w:r>
        <w:t>approach to addressing the recommendations presented by the Commission to EOHHS agencies.</w:t>
      </w:r>
    </w:p>
    <w:p w:rsidR="00C76E6D" w:rsidRDefault="00C76E6D">
      <w:pPr>
        <w:pStyle w:val="BodyText"/>
      </w:pPr>
    </w:p>
    <w:p w:rsidR="00C76E6D" w:rsidRDefault="00913831">
      <w:pPr>
        <w:pStyle w:val="BodyText"/>
        <w:spacing w:before="1"/>
        <w:ind w:left="478" w:right="475"/>
        <w:jc w:val="both"/>
      </w:pPr>
      <w:r>
        <w:t>The EOHHS interagency committee, which the Commission hopes will be a model for other executive offices,</w:t>
      </w:r>
      <w:r>
        <w:rPr>
          <w:spacing w:val="-7"/>
        </w:rPr>
        <w:t xml:space="preserve"> </w:t>
      </w:r>
      <w:r>
        <w:t>is</w:t>
      </w:r>
      <w:r>
        <w:rPr>
          <w:spacing w:val="-7"/>
        </w:rPr>
        <w:t xml:space="preserve"> </w:t>
      </w:r>
      <w:r>
        <w:t>comprised</w:t>
      </w:r>
      <w:r>
        <w:rPr>
          <w:spacing w:val="-8"/>
        </w:rPr>
        <w:t xml:space="preserve"> </w:t>
      </w:r>
      <w:r>
        <w:t>of</w:t>
      </w:r>
      <w:r>
        <w:rPr>
          <w:spacing w:val="-7"/>
        </w:rPr>
        <w:t xml:space="preserve"> </w:t>
      </w:r>
      <w:r>
        <w:t>representatives</w:t>
      </w:r>
      <w:r>
        <w:rPr>
          <w:spacing w:val="-4"/>
        </w:rPr>
        <w:t xml:space="preserve"> </w:t>
      </w:r>
      <w:r>
        <w:t>from</w:t>
      </w:r>
      <w:r>
        <w:rPr>
          <w:spacing w:val="-9"/>
        </w:rPr>
        <w:t xml:space="preserve"> </w:t>
      </w:r>
      <w:r>
        <w:t>each</w:t>
      </w:r>
      <w:r>
        <w:rPr>
          <w:spacing w:val="-7"/>
        </w:rPr>
        <w:t xml:space="preserve"> </w:t>
      </w:r>
      <w:r>
        <w:t>of</w:t>
      </w:r>
      <w:r>
        <w:rPr>
          <w:spacing w:val="-6"/>
        </w:rPr>
        <w:t xml:space="preserve"> </w:t>
      </w:r>
      <w:r>
        <w:t>the</w:t>
      </w:r>
      <w:r>
        <w:rPr>
          <w:spacing w:val="-8"/>
        </w:rPr>
        <w:t xml:space="preserve"> </w:t>
      </w:r>
      <w:r>
        <w:t>relevant</w:t>
      </w:r>
      <w:r>
        <w:rPr>
          <w:spacing w:val="-6"/>
        </w:rPr>
        <w:t xml:space="preserve"> </w:t>
      </w:r>
      <w:r>
        <w:t>EO</w:t>
      </w:r>
      <w:r>
        <w:t>HHS</w:t>
      </w:r>
      <w:r>
        <w:rPr>
          <w:spacing w:val="-8"/>
        </w:rPr>
        <w:t xml:space="preserve"> </w:t>
      </w:r>
      <w:r>
        <w:t>agencies.</w:t>
      </w:r>
      <w:r>
        <w:rPr>
          <w:spacing w:val="-7"/>
        </w:rPr>
        <w:t xml:space="preserve"> </w:t>
      </w:r>
      <w:r>
        <w:t>These</w:t>
      </w:r>
      <w:r>
        <w:rPr>
          <w:spacing w:val="-6"/>
        </w:rPr>
        <w:t xml:space="preserve"> </w:t>
      </w:r>
      <w:r>
        <w:t>representatives have met regularly since the end of FY 2017 to discuss their individual recommendations from the Commission,</w:t>
      </w:r>
      <w:r>
        <w:rPr>
          <w:spacing w:val="-7"/>
        </w:rPr>
        <w:t xml:space="preserve"> </w:t>
      </w:r>
      <w:r>
        <w:t>the</w:t>
      </w:r>
      <w:r>
        <w:rPr>
          <w:spacing w:val="-5"/>
        </w:rPr>
        <w:t xml:space="preserve"> </w:t>
      </w:r>
      <w:r>
        <w:t>many</w:t>
      </w:r>
      <w:r>
        <w:rPr>
          <w:spacing w:val="-5"/>
        </w:rPr>
        <w:t xml:space="preserve"> </w:t>
      </w:r>
      <w:r>
        <w:t>commonalities,</w:t>
      </w:r>
      <w:r>
        <w:rPr>
          <w:spacing w:val="-6"/>
        </w:rPr>
        <w:t xml:space="preserve"> </w:t>
      </w:r>
      <w:r>
        <w:t>and</w:t>
      </w:r>
      <w:r>
        <w:rPr>
          <w:spacing w:val="-8"/>
        </w:rPr>
        <w:t xml:space="preserve"> </w:t>
      </w:r>
      <w:r>
        <w:t>how</w:t>
      </w:r>
      <w:r>
        <w:rPr>
          <w:spacing w:val="-6"/>
        </w:rPr>
        <w:t xml:space="preserve"> </w:t>
      </w:r>
      <w:r>
        <w:t>they</w:t>
      </w:r>
      <w:r>
        <w:rPr>
          <w:spacing w:val="-5"/>
        </w:rPr>
        <w:t xml:space="preserve"> </w:t>
      </w:r>
      <w:r>
        <w:t>can</w:t>
      </w:r>
      <w:r>
        <w:rPr>
          <w:spacing w:val="-5"/>
        </w:rPr>
        <w:t xml:space="preserve"> </w:t>
      </w:r>
      <w:r>
        <w:t>best</w:t>
      </w:r>
      <w:r>
        <w:rPr>
          <w:spacing w:val="-7"/>
        </w:rPr>
        <w:t xml:space="preserve"> </w:t>
      </w:r>
      <w:r>
        <w:t>work</w:t>
      </w:r>
      <w:r>
        <w:rPr>
          <w:spacing w:val="-7"/>
        </w:rPr>
        <w:t xml:space="preserve"> </w:t>
      </w:r>
      <w:r>
        <w:t>together</w:t>
      </w:r>
      <w:r>
        <w:rPr>
          <w:spacing w:val="-5"/>
        </w:rPr>
        <w:t xml:space="preserve"> </w:t>
      </w:r>
      <w:r>
        <w:t>to</w:t>
      </w:r>
      <w:r>
        <w:rPr>
          <w:spacing w:val="-5"/>
        </w:rPr>
        <w:t xml:space="preserve"> </w:t>
      </w:r>
      <w:r>
        <w:t>effectively</w:t>
      </w:r>
      <w:r>
        <w:rPr>
          <w:spacing w:val="-5"/>
        </w:rPr>
        <w:t xml:space="preserve"> </w:t>
      </w:r>
      <w:r>
        <w:t>and</w:t>
      </w:r>
      <w:r>
        <w:rPr>
          <w:spacing w:val="-8"/>
        </w:rPr>
        <w:t xml:space="preserve"> </w:t>
      </w:r>
      <w:r>
        <w:t>efficiently achieve goals related to LGBTQ youth.</w:t>
      </w:r>
    </w:p>
    <w:p w:rsidR="00C76E6D" w:rsidRDefault="00C76E6D">
      <w:pPr>
        <w:pStyle w:val="BodyText"/>
      </w:pPr>
    </w:p>
    <w:p w:rsidR="00C76E6D" w:rsidRDefault="00913831">
      <w:pPr>
        <w:pStyle w:val="BodyText"/>
        <w:ind w:left="478" w:right="472" w:firstLine="1"/>
        <w:jc w:val="both"/>
      </w:pPr>
      <w:r>
        <w:t>This interagency effort reached a major milestone in November 2019 when an LGBTQ inclusion training resource</w:t>
      </w:r>
      <w:r>
        <w:rPr>
          <w:spacing w:val="-13"/>
        </w:rPr>
        <w:t xml:space="preserve"> </w:t>
      </w:r>
      <w:r>
        <w:t>being</w:t>
      </w:r>
      <w:r>
        <w:rPr>
          <w:spacing w:val="-12"/>
        </w:rPr>
        <w:t xml:space="preserve"> </w:t>
      </w:r>
      <w:r>
        <w:t>developed</w:t>
      </w:r>
      <w:r>
        <w:rPr>
          <w:spacing w:val="-13"/>
        </w:rPr>
        <w:t xml:space="preserve"> </w:t>
      </w:r>
      <w:r>
        <w:t>by</w:t>
      </w:r>
      <w:r>
        <w:rPr>
          <w:spacing w:val="-12"/>
        </w:rPr>
        <w:t xml:space="preserve"> </w:t>
      </w:r>
      <w:r>
        <w:t>the</w:t>
      </w:r>
      <w:r>
        <w:rPr>
          <w:spacing w:val="-13"/>
        </w:rPr>
        <w:t xml:space="preserve"> </w:t>
      </w:r>
      <w:r>
        <w:t>group</w:t>
      </w:r>
      <w:r>
        <w:rPr>
          <w:spacing w:val="-12"/>
        </w:rPr>
        <w:t xml:space="preserve"> </w:t>
      </w:r>
      <w:r>
        <w:t>received</w:t>
      </w:r>
      <w:r>
        <w:rPr>
          <w:spacing w:val="-13"/>
        </w:rPr>
        <w:t xml:space="preserve"> </w:t>
      </w:r>
      <w:r>
        <w:t>the</w:t>
      </w:r>
      <w:r>
        <w:rPr>
          <w:spacing w:val="-12"/>
        </w:rPr>
        <w:t xml:space="preserve"> </w:t>
      </w:r>
      <w:r>
        <w:t>input</w:t>
      </w:r>
      <w:r>
        <w:rPr>
          <w:spacing w:val="-12"/>
        </w:rPr>
        <w:t xml:space="preserve"> </w:t>
      </w:r>
      <w:r>
        <w:t>and</w:t>
      </w:r>
      <w:r>
        <w:rPr>
          <w:spacing w:val="-13"/>
        </w:rPr>
        <w:t xml:space="preserve"> </w:t>
      </w:r>
      <w:r>
        <w:t>feedback</w:t>
      </w:r>
      <w:r>
        <w:rPr>
          <w:spacing w:val="-12"/>
        </w:rPr>
        <w:t xml:space="preserve"> </w:t>
      </w:r>
      <w:r>
        <w:t>of</w:t>
      </w:r>
      <w:r>
        <w:rPr>
          <w:spacing w:val="-13"/>
        </w:rPr>
        <w:t xml:space="preserve"> </w:t>
      </w:r>
      <w:r>
        <w:t>every</w:t>
      </w:r>
      <w:r>
        <w:rPr>
          <w:spacing w:val="-11"/>
        </w:rPr>
        <w:t xml:space="preserve"> </w:t>
      </w:r>
      <w:r>
        <w:t>agency</w:t>
      </w:r>
      <w:r>
        <w:rPr>
          <w:spacing w:val="-13"/>
        </w:rPr>
        <w:t xml:space="preserve"> </w:t>
      </w:r>
      <w:r>
        <w:t>in</w:t>
      </w:r>
      <w:r>
        <w:rPr>
          <w:spacing w:val="-10"/>
        </w:rPr>
        <w:t xml:space="preserve"> </w:t>
      </w:r>
      <w:r>
        <w:t>the</w:t>
      </w:r>
      <w:r>
        <w:rPr>
          <w:spacing w:val="-13"/>
        </w:rPr>
        <w:t xml:space="preserve"> </w:t>
      </w:r>
      <w:r>
        <w:t xml:space="preserve">secretariat. This resource is a product of the Commission, through a collaboration with EOHHS, which offers a </w:t>
      </w:r>
      <w:r>
        <w:rPr>
          <w:spacing w:val="-2"/>
        </w:rPr>
        <w:t>curriculum</w:t>
      </w:r>
      <w:r>
        <w:rPr>
          <w:spacing w:val="-7"/>
        </w:rPr>
        <w:t xml:space="preserve"> </w:t>
      </w:r>
      <w:r>
        <w:rPr>
          <w:spacing w:val="-2"/>
        </w:rPr>
        <w:t>for</w:t>
      </w:r>
      <w:r>
        <w:rPr>
          <w:spacing w:val="-4"/>
        </w:rPr>
        <w:t xml:space="preserve"> </w:t>
      </w:r>
      <w:r>
        <w:rPr>
          <w:spacing w:val="-2"/>
        </w:rPr>
        <w:t>agencies to use in training</w:t>
      </w:r>
      <w:r>
        <w:rPr>
          <w:spacing w:val="-3"/>
        </w:rPr>
        <w:t xml:space="preserve"> </w:t>
      </w:r>
      <w:r>
        <w:rPr>
          <w:spacing w:val="-2"/>
        </w:rPr>
        <w:t>their</w:t>
      </w:r>
      <w:r>
        <w:rPr>
          <w:spacing w:val="-3"/>
        </w:rPr>
        <w:t xml:space="preserve"> </w:t>
      </w:r>
      <w:r>
        <w:rPr>
          <w:spacing w:val="-2"/>
        </w:rPr>
        <w:t>staff, contractors,</w:t>
      </w:r>
      <w:r>
        <w:rPr>
          <w:spacing w:val="-3"/>
        </w:rPr>
        <w:t xml:space="preserve"> </w:t>
      </w:r>
      <w:r>
        <w:rPr>
          <w:spacing w:val="-2"/>
        </w:rPr>
        <w:t>and</w:t>
      </w:r>
      <w:r>
        <w:rPr>
          <w:spacing w:val="-3"/>
        </w:rPr>
        <w:t xml:space="preserve"> </w:t>
      </w:r>
      <w:r>
        <w:rPr>
          <w:spacing w:val="-2"/>
        </w:rPr>
        <w:t>providers</w:t>
      </w:r>
      <w:r>
        <w:rPr>
          <w:spacing w:val="-6"/>
        </w:rPr>
        <w:t xml:space="preserve"> </w:t>
      </w:r>
      <w:r>
        <w:rPr>
          <w:spacing w:val="-2"/>
        </w:rPr>
        <w:t>in</w:t>
      </w:r>
      <w:r>
        <w:rPr>
          <w:spacing w:val="-7"/>
        </w:rPr>
        <w:t xml:space="preserve"> </w:t>
      </w:r>
      <w:r>
        <w:rPr>
          <w:spacing w:val="-2"/>
        </w:rPr>
        <w:t>the</w:t>
      </w:r>
      <w:r>
        <w:rPr>
          <w:spacing w:val="-7"/>
        </w:rPr>
        <w:t xml:space="preserve"> </w:t>
      </w:r>
      <w:r>
        <w:rPr>
          <w:spacing w:val="-2"/>
        </w:rPr>
        <w:t>importance</w:t>
      </w:r>
      <w:r>
        <w:rPr>
          <w:spacing w:val="-7"/>
        </w:rPr>
        <w:t xml:space="preserve"> </w:t>
      </w:r>
      <w:r>
        <w:rPr>
          <w:spacing w:val="-2"/>
        </w:rPr>
        <w:t>of</w:t>
      </w:r>
      <w:r>
        <w:rPr>
          <w:spacing w:val="-7"/>
        </w:rPr>
        <w:t xml:space="preserve"> </w:t>
      </w:r>
      <w:r>
        <w:rPr>
          <w:spacing w:val="-2"/>
        </w:rPr>
        <w:t>LGBTQ inclusion.</w:t>
      </w:r>
      <w:r>
        <w:rPr>
          <w:spacing w:val="-9"/>
        </w:rPr>
        <w:t xml:space="preserve"> </w:t>
      </w:r>
      <w:r>
        <w:rPr>
          <w:spacing w:val="-2"/>
        </w:rPr>
        <w:t>Since</w:t>
      </w:r>
      <w:r>
        <w:rPr>
          <w:spacing w:val="-10"/>
        </w:rPr>
        <w:t xml:space="preserve"> </w:t>
      </w:r>
      <w:r>
        <w:rPr>
          <w:spacing w:val="-2"/>
        </w:rPr>
        <w:t>the</w:t>
      </w:r>
      <w:r>
        <w:rPr>
          <w:spacing w:val="-10"/>
        </w:rPr>
        <w:t xml:space="preserve"> </w:t>
      </w:r>
      <w:r>
        <w:rPr>
          <w:spacing w:val="-2"/>
        </w:rPr>
        <w:t>product</w:t>
      </w:r>
      <w:r>
        <w:rPr>
          <w:spacing w:val="-9"/>
        </w:rPr>
        <w:t xml:space="preserve"> </w:t>
      </w:r>
      <w:r>
        <w:rPr>
          <w:spacing w:val="-2"/>
        </w:rPr>
        <w:t>wasfina</w:t>
      </w:r>
      <w:r>
        <w:rPr>
          <w:spacing w:val="-2"/>
        </w:rPr>
        <w:t>lized,</w:t>
      </w:r>
      <w:r>
        <w:rPr>
          <w:spacing w:val="-9"/>
        </w:rPr>
        <w:t xml:space="preserve"> </w:t>
      </w:r>
      <w:r>
        <w:rPr>
          <w:spacing w:val="-2"/>
        </w:rPr>
        <w:t>the</w:t>
      </w:r>
      <w:r>
        <w:rPr>
          <w:spacing w:val="-9"/>
        </w:rPr>
        <w:t xml:space="preserve"> </w:t>
      </w:r>
      <w:r>
        <w:rPr>
          <w:spacing w:val="-2"/>
        </w:rPr>
        <w:t xml:space="preserve">Commission, EOHHS, and several of its agencies have worked </w:t>
      </w:r>
      <w:r>
        <w:t>to</w:t>
      </w:r>
      <w:r>
        <w:rPr>
          <w:spacing w:val="-11"/>
        </w:rPr>
        <w:t xml:space="preserve"> </w:t>
      </w:r>
      <w:r>
        <w:t>arrange</w:t>
      </w:r>
      <w:r>
        <w:rPr>
          <w:spacing w:val="-10"/>
        </w:rPr>
        <w:t xml:space="preserve"> </w:t>
      </w:r>
      <w:r>
        <w:t>both</w:t>
      </w:r>
      <w:r>
        <w:rPr>
          <w:spacing w:val="-11"/>
        </w:rPr>
        <w:t xml:space="preserve"> </w:t>
      </w:r>
      <w:r>
        <w:t>in-person</w:t>
      </w:r>
      <w:r>
        <w:rPr>
          <w:spacing w:val="-9"/>
        </w:rPr>
        <w:t xml:space="preserve"> </w:t>
      </w:r>
      <w:r>
        <w:t>and</w:t>
      </w:r>
      <w:r>
        <w:rPr>
          <w:spacing w:val="-10"/>
        </w:rPr>
        <w:t xml:space="preserve"> </w:t>
      </w:r>
      <w:r>
        <w:t>(in</w:t>
      </w:r>
      <w:r>
        <w:rPr>
          <w:spacing w:val="-10"/>
        </w:rPr>
        <w:t xml:space="preserve"> </w:t>
      </w:r>
      <w:r>
        <w:t>the</w:t>
      </w:r>
      <w:r>
        <w:rPr>
          <w:spacing w:val="-11"/>
        </w:rPr>
        <w:t xml:space="preserve"> </w:t>
      </w:r>
      <w:r>
        <w:t>wake</w:t>
      </w:r>
      <w:r>
        <w:rPr>
          <w:spacing w:val="-12"/>
        </w:rPr>
        <w:t xml:space="preserve"> </w:t>
      </w:r>
      <w:r>
        <w:t>of</w:t>
      </w:r>
      <w:r>
        <w:rPr>
          <w:spacing w:val="-10"/>
        </w:rPr>
        <w:t xml:space="preserve"> </w:t>
      </w:r>
      <w:r>
        <w:t>the</w:t>
      </w:r>
      <w:r>
        <w:rPr>
          <w:spacing w:val="-10"/>
        </w:rPr>
        <w:t xml:space="preserve"> </w:t>
      </w:r>
      <w:r>
        <w:t>COVID-19</w:t>
      </w:r>
      <w:r>
        <w:rPr>
          <w:spacing w:val="-11"/>
        </w:rPr>
        <w:t xml:space="preserve"> </w:t>
      </w:r>
      <w:r>
        <w:t>pandemic)</w:t>
      </w:r>
      <w:r>
        <w:rPr>
          <w:spacing w:val="-12"/>
        </w:rPr>
        <w:t xml:space="preserve"> </w:t>
      </w:r>
      <w:r>
        <w:t>online</w:t>
      </w:r>
      <w:r>
        <w:rPr>
          <w:spacing w:val="-10"/>
        </w:rPr>
        <w:t xml:space="preserve"> </w:t>
      </w:r>
      <w:r>
        <w:t>trainings;</w:t>
      </w:r>
      <w:r>
        <w:rPr>
          <w:spacing w:val="-10"/>
        </w:rPr>
        <w:t xml:space="preserve"> </w:t>
      </w:r>
      <w:r>
        <w:t>the</w:t>
      </w:r>
      <w:r>
        <w:rPr>
          <w:spacing w:val="-10"/>
        </w:rPr>
        <w:t xml:space="preserve"> </w:t>
      </w:r>
      <w:r>
        <w:t>feedback</w:t>
      </w:r>
      <w:r>
        <w:rPr>
          <w:spacing w:val="-11"/>
        </w:rPr>
        <w:t xml:space="preserve"> </w:t>
      </w:r>
      <w:r>
        <w:t>thus far has been overwhelmingly positive, and the Commission is using this feedback to create a version of the</w:t>
      </w:r>
      <w:r>
        <w:rPr>
          <w:spacing w:val="-13"/>
        </w:rPr>
        <w:t xml:space="preserve"> </w:t>
      </w:r>
      <w:r>
        <w:t>training</w:t>
      </w:r>
      <w:r>
        <w:rPr>
          <w:spacing w:val="-12"/>
        </w:rPr>
        <w:t xml:space="preserve"> </w:t>
      </w:r>
      <w:r>
        <w:t>resource</w:t>
      </w:r>
      <w:r>
        <w:rPr>
          <w:spacing w:val="-13"/>
        </w:rPr>
        <w:t xml:space="preserve"> </w:t>
      </w:r>
      <w:r>
        <w:t>that</w:t>
      </w:r>
      <w:r>
        <w:rPr>
          <w:spacing w:val="-12"/>
        </w:rPr>
        <w:t xml:space="preserve"> </w:t>
      </w:r>
      <w:r>
        <w:t>could</w:t>
      </w:r>
      <w:r>
        <w:rPr>
          <w:spacing w:val="-13"/>
        </w:rPr>
        <w:t xml:space="preserve"> </w:t>
      </w:r>
      <w:r>
        <w:t>be</w:t>
      </w:r>
      <w:r>
        <w:rPr>
          <w:spacing w:val="-12"/>
        </w:rPr>
        <w:t xml:space="preserve"> </w:t>
      </w:r>
      <w:r>
        <w:t>used</w:t>
      </w:r>
      <w:r>
        <w:rPr>
          <w:spacing w:val="-13"/>
        </w:rPr>
        <w:t xml:space="preserve"> </w:t>
      </w:r>
      <w:r>
        <w:t>as</w:t>
      </w:r>
      <w:r>
        <w:rPr>
          <w:spacing w:val="-12"/>
        </w:rPr>
        <w:t xml:space="preserve"> </w:t>
      </w:r>
      <w:r>
        <w:t>an</w:t>
      </w:r>
      <w:r>
        <w:rPr>
          <w:spacing w:val="-12"/>
        </w:rPr>
        <w:t xml:space="preserve"> </w:t>
      </w:r>
      <w:r>
        <w:t>online</w:t>
      </w:r>
      <w:r>
        <w:rPr>
          <w:spacing w:val="-13"/>
        </w:rPr>
        <w:t xml:space="preserve"> </w:t>
      </w:r>
      <w:r>
        <w:t>training</w:t>
      </w:r>
      <w:r>
        <w:rPr>
          <w:spacing w:val="-12"/>
        </w:rPr>
        <w:t xml:space="preserve"> </w:t>
      </w:r>
      <w:r>
        <w:t>open</w:t>
      </w:r>
      <w:r>
        <w:rPr>
          <w:spacing w:val="-13"/>
        </w:rPr>
        <w:t xml:space="preserve"> </w:t>
      </w:r>
      <w:r>
        <w:t>to</w:t>
      </w:r>
      <w:r>
        <w:rPr>
          <w:spacing w:val="-12"/>
        </w:rPr>
        <w:t xml:space="preserve"> </w:t>
      </w:r>
      <w:r>
        <w:t>all</w:t>
      </w:r>
      <w:r>
        <w:rPr>
          <w:spacing w:val="-13"/>
        </w:rPr>
        <w:t xml:space="preserve"> </w:t>
      </w:r>
      <w:r>
        <w:t>state</w:t>
      </w:r>
      <w:r>
        <w:rPr>
          <w:spacing w:val="-12"/>
        </w:rPr>
        <w:t xml:space="preserve"> </w:t>
      </w:r>
      <w:r>
        <w:t>employees.</w:t>
      </w:r>
      <w:r>
        <w:rPr>
          <w:spacing w:val="-12"/>
        </w:rPr>
        <w:t xml:space="preserve"> </w:t>
      </w:r>
      <w:r>
        <w:t>The</w:t>
      </w:r>
      <w:r>
        <w:rPr>
          <w:spacing w:val="-13"/>
        </w:rPr>
        <w:t xml:space="preserve"> </w:t>
      </w:r>
      <w:r>
        <w:t>Commission appreciates EOHHS’s assistance in explori</w:t>
      </w:r>
      <w:r>
        <w:t>ng this possibility.</w:t>
      </w:r>
    </w:p>
    <w:p w:rsidR="00C76E6D" w:rsidRDefault="00C76E6D">
      <w:pPr>
        <w:pStyle w:val="BodyText"/>
        <w:spacing w:before="1"/>
      </w:pPr>
    </w:p>
    <w:p w:rsidR="00C76E6D" w:rsidRDefault="00913831">
      <w:pPr>
        <w:pStyle w:val="BodyText"/>
        <w:ind w:left="479" w:right="477"/>
        <w:jc w:val="both"/>
      </w:pPr>
      <w:r>
        <w:t>The Commission encourages EOHHS to work with its agencies to create comprehensive LGBTQ inclusion policies, which some agencies have already published or drafted, as well as to consider if EOHHS-wide policies would be appropriate. Thi</w:t>
      </w:r>
      <w:r>
        <w:t>s could include goals around increasing SOGIE data collection, which has been another discussion point of the interagency committee.</w:t>
      </w:r>
    </w:p>
    <w:p w:rsidR="00C76E6D" w:rsidRDefault="00C76E6D">
      <w:pPr>
        <w:jc w:val="both"/>
        <w:sectPr w:rsidR="00C76E6D">
          <w:headerReference w:type="default" r:id="rId393"/>
          <w:footerReference w:type="default" r:id="rId394"/>
          <w:pgSz w:w="12240" w:h="15840"/>
          <w:pgMar w:top="980" w:right="960" w:bottom="880" w:left="960" w:header="790" w:footer="694" w:gutter="0"/>
          <w:cols w:space="720"/>
        </w:sectPr>
      </w:pPr>
    </w:p>
    <w:p w:rsidR="00C76E6D" w:rsidRDefault="00C76E6D">
      <w:pPr>
        <w:pStyle w:val="BodyText"/>
        <w:rPr>
          <w:sz w:val="20"/>
        </w:rPr>
      </w:pPr>
    </w:p>
    <w:p w:rsidR="00C76E6D" w:rsidRDefault="00913831">
      <w:pPr>
        <w:pStyle w:val="Heading2"/>
        <w:spacing w:before="211"/>
        <w:ind w:left="480"/>
      </w:pPr>
      <w:bookmarkStart w:id="759" w:name="Department_of_Child_and_Families"/>
      <w:bookmarkStart w:id="760" w:name="_bookmark567"/>
      <w:bookmarkEnd w:id="759"/>
      <w:bookmarkEnd w:id="760"/>
      <w:r>
        <w:t>Department</w:t>
      </w:r>
      <w:r>
        <w:rPr>
          <w:spacing w:val="-7"/>
        </w:rPr>
        <w:t xml:space="preserve"> </w:t>
      </w:r>
      <w:r>
        <w:t>of</w:t>
      </w:r>
      <w:r>
        <w:rPr>
          <w:spacing w:val="-7"/>
        </w:rPr>
        <w:t xml:space="preserve"> </w:t>
      </w:r>
      <w:r>
        <w:t>Child</w:t>
      </w:r>
      <w:r>
        <w:rPr>
          <w:spacing w:val="-7"/>
        </w:rPr>
        <w:t xml:space="preserve"> </w:t>
      </w:r>
      <w:r>
        <w:t>and</w:t>
      </w:r>
      <w:r>
        <w:rPr>
          <w:spacing w:val="-7"/>
        </w:rPr>
        <w:t xml:space="preserve"> </w:t>
      </w:r>
      <w:r>
        <w:rPr>
          <w:spacing w:val="-2"/>
        </w:rPr>
        <w:t>Families</w:t>
      </w:r>
    </w:p>
    <w:p w:rsidR="00C76E6D" w:rsidRDefault="00913831">
      <w:pPr>
        <w:pStyle w:val="BodyText"/>
        <w:spacing w:before="11"/>
        <w:rPr>
          <w:b/>
          <w:sz w:val="11"/>
        </w:rPr>
      </w:pPr>
      <w:r>
        <w:pict>
          <v:shape id="docshape353" o:spid="_x0000_s1111" style="position:absolute;margin-left:1in;margin-top:8.5pt;width:476.95pt;height:.1pt;z-index:-15661056;mso-wrap-distance-left:0;mso-wrap-distance-right:0;mso-position-horizontal-relative:page" coordorigin="1440,170" coordsize="9539,0" path="m1440,170r9539,e" filled="f" strokeweight="1.54pt">
            <v:path arrowok="t"/>
            <w10:wrap type="topAndBottom" anchorx="page"/>
          </v:shape>
        </w:pict>
      </w:r>
    </w:p>
    <w:p w:rsidR="00C76E6D" w:rsidRDefault="00913831">
      <w:pPr>
        <w:pStyle w:val="Heading5"/>
        <w:spacing w:before="182"/>
        <w:ind w:left="480"/>
      </w:pPr>
      <w:r>
        <w:rPr>
          <w:spacing w:val="-2"/>
        </w:rPr>
        <w:t>FY2023</w:t>
      </w:r>
      <w:r>
        <w:rPr>
          <w:spacing w:val="-4"/>
        </w:rPr>
        <w:t xml:space="preserve"> </w:t>
      </w:r>
      <w:r>
        <w:rPr>
          <w:spacing w:val="-2"/>
        </w:rPr>
        <w:t>Recommendations</w:t>
      </w:r>
    </w:p>
    <w:p w:rsidR="00C76E6D" w:rsidRDefault="00C76E6D">
      <w:pPr>
        <w:pStyle w:val="BodyText"/>
        <w:rPr>
          <w:b/>
          <w:sz w:val="32"/>
        </w:rPr>
      </w:pPr>
    </w:p>
    <w:p w:rsidR="00C76E6D" w:rsidRDefault="00913831">
      <w:pPr>
        <w:pStyle w:val="ListParagraph"/>
        <w:numPr>
          <w:ilvl w:val="1"/>
          <w:numId w:val="19"/>
        </w:numPr>
        <w:tabs>
          <w:tab w:val="left" w:pos="1199"/>
        </w:tabs>
        <w:spacing w:line="276" w:lineRule="auto"/>
        <w:ind w:right="853"/>
      </w:pPr>
      <w:r>
        <w:t>Ensure</w:t>
      </w:r>
      <w:r>
        <w:rPr>
          <w:spacing w:val="36"/>
        </w:rPr>
        <w:t xml:space="preserve"> </w:t>
      </w:r>
      <w:r>
        <w:t>thorough</w:t>
      </w:r>
      <w:r>
        <w:rPr>
          <w:spacing w:val="36"/>
        </w:rPr>
        <w:t xml:space="preserve"> </w:t>
      </w:r>
      <w:r>
        <w:t>and</w:t>
      </w:r>
      <w:r>
        <w:rPr>
          <w:spacing w:val="36"/>
        </w:rPr>
        <w:t xml:space="preserve"> </w:t>
      </w:r>
      <w:r>
        <w:t>accurate</w:t>
      </w:r>
      <w:r>
        <w:rPr>
          <w:spacing w:val="36"/>
        </w:rPr>
        <w:t xml:space="preserve"> </w:t>
      </w:r>
      <w:r>
        <w:t>SOGI</w:t>
      </w:r>
      <w:r>
        <w:rPr>
          <w:spacing w:val="36"/>
        </w:rPr>
        <w:t xml:space="preserve"> </w:t>
      </w:r>
      <w:r>
        <w:t>data</w:t>
      </w:r>
      <w:r>
        <w:rPr>
          <w:spacing w:val="35"/>
        </w:rPr>
        <w:t xml:space="preserve"> </w:t>
      </w:r>
      <w:r>
        <w:t>collection</w:t>
      </w:r>
      <w:r>
        <w:rPr>
          <w:spacing w:val="36"/>
        </w:rPr>
        <w:t xml:space="preserve"> </w:t>
      </w:r>
      <w:r>
        <w:t>through</w:t>
      </w:r>
      <w:r>
        <w:rPr>
          <w:spacing w:val="36"/>
        </w:rPr>
        <w:t xml:space="preserve"> </w:t>
      </w:r>
      <w:r>
        <w:t>implementation</w:t>
      </w:r>
      <w:r>
        <w:rPr>
          <w:spacing w:val="34"/>
        </w:rPr>
        <w:t xml:space="preserve"> </w:t>
      </w:r>
      <w:r>
        <w:t>of</w:t>
      </w:r>
      <w:r>
        <w:rPr>
          <w:spacing w:val="36"/>
        </w:rPr>
        <w:t xml:space="preserve"> </w:t>
      </w:r>
      <w:r>
        <w:t>the</w:t>
      </w:r>
      <w:r>
        <w:rPr>
          <w:spacing w:val="36"/>
        </w:rPr>
        <w:t xml:space="preserve"> </w:t>
      </w:r>
      <w:r>
        <w:t>new mandatory data elements and staff training.</w:t>
      </w:r>
    </w:p>
    <w:p w:rsidR="00C76E6D" w:rsidRDefault="00C76E6D">
      <w:pPr>
        <w:pStyle w:val="BodyText"/>
        <w:spacing w:before="4"/>
        <w:rPr>
          <w:sz w:val="25"/>
        </w:rPr>
      </w:pPr>
    </w:p>
    <w:p w:rsidR="00C76E6D" w:rsidRDefault="00913831">
      <w:pPr>
        <w:pStyle w:val="ListParagraph"/>
        <w:numPr>
          <w:ilvl w:val="1"/>
          <w:numId w:val="19"/>
        </w:numPr>
        <w:tabs>
          <w:tab w:val="left" w:pos="1199"/>
        </w:tabs>
        <w:spacing w:before="1"/>
        <w:ind w:hanging="361"/>
      </w:pPr>
      <w:r>
        <w:t>Create</w:t>
      </w:r>
      <w:r>
        <w:rPr>
          <w:spacing w:val="-13"/>
        </w:rPr>
        <w:t xml:space="preserve"> </w:t>
      </w:r>
      <w:r>
        <w:t>and</w:t>
      </w:r>
      <w:r>
        <w:rPr>
          <w:spacing w:val="-12"/>
        </w:rPr>
        <w:t xml:space="preserve"> </w:t>
      </w:r>
      <w:r>
        <w:t>follow</w:t>
      </w:r>
      <w:r>
        <w:rPr>
          <w:spacing w:val="-13"/>
        </w:rPr>
        <w:t xml:space="preserve"> </w:t>
      </w:r>
      <w:r>
        <w:t>a</w:t>
      </w:r>
      <w:r>
        <w:rPr>
          <w:spacing w:val="-12"/>
        </w:rPr>
        <w:t xml:space="preserve"> </w:t>
      </w:r>
      <w:r>
        <w:t>plan</w:t>
      </w:r>
      <w:r>
        <w:rPr>
          <w:spacing w:val="-13"/>
        </w:rPr>
        <w:t xml:space="preserve"> </w:t>
      </w:r>
      <w:r>
        <w:t>for</w:t>
      </w:r>
      <w:r>
        <w:rPr>
          <w:spacing w:val="-12"/>
        </w:rPr>
        <w:t xml:space="preserve"> </w:t>
      </w:r>
      <w:r>
        <w:t>additional</w:t>
      </w:r>
      <w:r>
        <w:rPr>
          <w:spacing w:val="-12"/>
        </w:rPr>
        <w:t xml:space="preserve"> </w:t>
      </w:r>
      <w:r>
        <w:t>phases</w:t>
      </w:r>
      <w:r>
        <w:rPr>
          <w:spacing w:val="-12"/>
        </w:rPr>
        <w:t xml:space="preserve"> </w:t>
      </w:r>
      <w:r>
        <w:t>of</w:t>
      </w:r>
      <w:r>
        <w:rPr>
          <w:spacing w:val="-13"/>
        </w:rPr>
        <w:t xml:space="preserve"> </w:t>
      </w:r>
      <w:r>
        <w:t>SOGI</w:t>
      </w:r>
      <w:r>
        <w:rPr>
          <w:spacing w:val="-11"/>
        </w:rPr>
        <w:t xml:space="preserve"> </w:t>
      </w:r>
      <w:r>
        <w:t>data</w:t>
      </w:r>
      <w:r>
        <w:rPr>
          <w:spacing w:val="-9"/>
        </w:rPr>
        <w:t xml:space="preserve"> </w:t>
      </w:r>
      <w:r>
        <w:rPr>
          <w:spacing w:val="-2"/>
        </w:rPr>
        <w:t>collection.</w:t>
      </w:r>
    </w:p>
    <w:p w:rsidR="00C76E6D" w:rsidRDefault="00C76E6D">
      <w:pPr>
        <w:pStyle w:val="BodyText"/>
        <w:spacing w:before="6"/>
        <w:rPr>
          <w:sz w:val="28"/>
        </w:rPr>
      </w:pPr>
    </w:p>
    <w:p w:rsidR="00C76E6D" w:rsidRDefault="00913831">
      <w:pPr>
        <w:pStyle w:val="ListParagraph"/>
        <w:numPr>
          <w:ilvl w:val="1"/>
          <w:numId w:val="19"/>
        </w:numPr>
        <w:tabs>
          <w:tab w:val="left" w:pos="1199"/>
        </w:tabs>
        <w:ind w:hanging="361"/>
      </w:pPr>
      <w:r>
        <w:rPr>
          <w:spacing w:val="-2"/>
        </w:rPr>
        <w:t>Report</w:t>
      </w:r>
      <w:r>
        <w:rPr>
          <w:spacing w:val="-3"/>
        </w:rPr>
        <w:t xml:space="preserve"> </w:t>
      </w:r>
      <w:r>
        <w:rPr>
          <w:spacing w:val="-2"/>
        </w:rPr>
        <w:t>SOGI</w:t>
      </w:r>
      <w:r>
        <w:rPr>
          <w:spacing w:val="-3"/>
        </w:rPr>
        <w:t xml:space="preserve"> </w:t>
      </w:r>
      <w:r>
        <w:rPr>
          <w:spacing w:val="-2"/>
        </w:rPr>
        <w:t>data in</w:t>
      </w:r>
      <w:r>
        <w:rPr>
          <w:spacing w:val="-3"/>
        </w:rPr>
        <w:t xml:space="preserve"> </w:t>
      </w:r>
      <w:r>
        <w:rPr>
          <w:spacing w:val="-2"/>
        </w:rPr>
        <w:t>detail,</w:t>
      </w:r>
      <w:r>
        <w:rPr>
          <w:spacing w:val="-3"/>
        </w:rPr>
        <w:t xml:space="preserve"> </w:t>
      </w:r>
      <w:r>
        <w:rPr>
          <w:spacing w:val="-2"/>
        </w:rPr>
        <w:t>in</w:t>
      </w:r>
      <w:r>
        <w:rPr>
          <w:spacing w:val="-4"/>
        </w:rPr>
        <w:t xml:space="preserve"> </w:t>
      </w:r>
      <w:r>
        <w:rPr>
          <w:spacing w:val="-2"/>
        </w:rPr>
        <w:t>annual</w:t>
      </w:r>
      <w:r>
        <w:rPr>
          <w:spacing w:val="-3"/>
        </w:rPr>
        <w:t xml:space="preserve"> </w:t>
      </w:r>
      <w:r>
        <w:rPr>
          <w:spacing w:val="-2"/>
        </w:rPr>
        <w:t>and</w:t>
      </w:r>
      <w:r>
        <w:rPr>
          <w:spacing w:val="-4"/>
        </w:rPr>
        <w:t xml:space="preserve"> </w:t>
      </w:r>
      <w:r>
        <w:rPr>
          <w:spacing w:val="-2"/>
        </w:rPr>
        <w:t>quarterly</w:t>
      </w:r>
      <w:r>
        <w:rPr>
          <w:spacing w:val="-4"/>
        </w:rPr>
        <w:t xml:space="preserve"> </w:t>
      </w:r>
      <w:r>
        <w:rPr>
          <w:spacing w:val="-2"/>
        </w:rPr>
        <w:t>reports.</w:t>
      </w:r>
    </w:p>
    <w:p w:rsidR="00C76E6D" w:rsidRDefault="00C76E6D">
      <w:pPr>
        <w:pStyle w:val="BodyText"/>
        <w:spacing w:before="9"/>
        <w:rPr>
          <w:sz w:val="28"/>
        </w:rPr>
      </w:pPr>
    </w:p>
    <w:p w:rsidR="00C76E6D" w:rsidRDefault="00913831">
      <w:pPr>
        <w:pStyle w:val="ListParagraph"/>
        <w:numPr>
          <w:ilvl w:val="1"/>
          <w:numId w:val="19"/>
        </w:numPr>
        <w:tabs>
          <w:tab w:val="left" w:pos="1199"/>
        </w:tabs>
        <w:ind w:hanging="361"/>
      </w:pPr>
      <w:r>
        <w:rPr>
          <w:w w:val="95"/>
        </w:rPr>
        <w:t>Ensure</w:t>
      </w:r>
      <w:r>
        <w:rPr>
          <w:spacing w:val="12"/>
        </w:rPr>
        <w:t xml:space="preserve"> </w:t>
      </w:r>
      <w:r>
        <w:rPr>
          <w:w w:val="95"/>
        </w:rPr>
        <w:t>LGBTQ</w:t>
      </w:r>
      <w:r>
        <w:rPr>
          <w:spacing w:val="17"/>
        </w:rPr>
        <w:t xml:space="preserve"> </w:t>
      </w:r>
      <w:r>
        <w:rPr>
          <w:w w:val="95"/>
        </w:rPr>
        <w:t>community</w:t>
      </w:r>
      <w:r>
        <w:rPr>
          <w:spacing w:val="15"/>
        </w:rPr>
        <w:t xml:space="preserve"> </w:t>
      </w:r>
      <w:r>
        <w:rPr>
          <w:w w:val="95"/>
        </w:rPr>
        <w:t>representation</w:t>
      </w:r>
      <w:r>
        <w:rPr>
          <w:spacing w:val="16"/>
        </w:rPr>
        <w:t xml:space="preserve"> </w:t>
      </w:r>
      <w:r>
        <w:rPr>
          <w:w w:val="95"/>
        </w:rPr>
        <w:t>in</w:t>
      </w:r>
      <w:r>
        <w:rPr>
          <w:spacing w:val="17"/>
        </w:rPr>
        <w:t xml:space="preserve"> </w:t>
      </w:r>
      <w:r>
        <w:rPr>
          <w:w w:val="95"/>
        </w:rPr>
        <w:t>decisions</w:t>
      </w:r>
      <w:r>
        <w:rPr>
          <w:spacing w:val="16"/>
        </w:rPr>
        <w:t xml:space="preserve"> </w:t>
      </w:r>
      <w:r>
        <w:rPr>
          <w:w w:val="95"/>
        </w:rPr>
        <w:t>regarding</w:t>
      </w:r>
      <w:r>
        <w:rPr>
          <w:spacing w:val="18"/>
        </w:rPr>
        <w:t xml:space="preserve"> </w:t>
      </w:r>
      <w:r>
        <w:rPr>
          <w:w w:val="95"/>
        </w:rPr>
        <w:t>data</w:t>
      </w:r>
      <w:r>
        <w:rPr>
          <w:spacing w:val="15"/>
        </w:rPr>
        <w:t xml:space="preserve"> </w:t>
      </w:r>
      <w:r>
        <w:rPr>
          <w:w w:val="95"/>
        </w:rPr>
        <w:t>collection</w:t>
      </w:r>
      <w:r>
        <w:rPr>
          <w:spacing w:val="17"/>
        </w:rPr>
        <w:t xml:space="preserve"> </w:t>
      </w:r>
      <w:r>
        <w:rPr>
          <w:w w:val="95"/>
        </w:rPr>
        <w:t>and</w:t>
      </w:r>
      <w:r>
        <w:rPr>
          <w:spacing w:val="17"/>
        </w:rPr>
        <w:t xml:space="preserve"> </w:t>
      </w:r>
      <w:r>
        <w:rPr>
          <w:spacing w:val="-2"/>
          <w:w w:val="95"/>
        </w:rPr>
        <w:t>reporting.</w:t>
      </w:r>
    </w:p>
    <w:p w:rsidR="00C76E6D" w:rsidRDefault="00C76E6D">
      <w:pPr>
        <w:pStyle w:val="BodyText"/>
        <w:spacing w:before="6"/>
        <w:rPr>
          <w:sz w:val="28"/>
        </w:rPr>
      </w:pPr>
    </w:p>
    <w:p w:rsidR="00C76E6D" w:rsidRDefault="00913831">
      <w:pPr>
        <w:pStyle w:val="ListParagraph"/>
        <w:numPr>
          <w:ilvl w:val="1"/>
          <w:numId w:val="19"/>
        </w:numPr>
        <w:tabs>
          <w:tab w:val="left" w:pos="1199"/>
        </w:tabs>
        <w:ind w:hanging="361"/>
      </w:pPr>
      <w:r>
        <w:rPr>
          <w:spacing w:val="-2"/>
        </w:rPr>
        <w:t>Release</w:t>
      </w:r>
      <w:r>
        <w:rPr>
          <w:spacing w:val="-9"/>
        </w:rPr>
        <w:t xml:space="preserve"> </w:t>
      </w:r>
      <w:r>
        <w:rPr>
          <w:spacing w:val="-2"/>
        </w:rPr>
        <w:t>a</w:t>
      </w:r>
      <w:r>
        <w:rPr>
          <w:spacing w:val="-6"/>
        </w:rPr>
        <w:t xml:space="preserve"> </w:t>
      </w:r>
      <w:r>
        <w:rPr>
          <w:spacing w:val="-2"/>
        </w:rPr>
        <w:t>comprehensive</w:t>
      </w:r>
      <w:r>
        <w:rPr>
          <w:spacing w:val="-6"/>
        </w:rPr>
        <w:t xml:space="preserve"> </w:t>
      </w:r>
      <w:r>
        <w:rPr>
          <w:spacing w:val="-2"/>
        </w:rPr>
        <w:t>LGBTQ</w:t>
      </w:r>
      <w:r>
        <w:rPr>
          <w:spacing w:val="-8"/>
        </w:rPr>
        <w:t xml:space="preserve"> </w:t>
      </w:r>
      <w:r>
        <w:rPr>
          <w:spacing w:val="-2"/>
        </w:rPr>
        <w:t>nondiscrimination</w:t>
      </w:r>
      <w:r>
        <w:rPr>
          <w:spacing w:val="-4"/>
        </w:rPr>
        <w:t xml:space="preserve"> </w:t>
      </w:r>
      <w:r>
        <w:rPr>
          <w:spacing w:val="-2"/>
        </w:rPr>
        <w:t>policy</w:t>
      </w:r>
    </w:p>
    <w:p w:rsidR="00C76E6D" w:rsidRDefault="00C76E6D">
      <w:pPr>
        <w:pStyle w:val="BodyText"/>
        <w:spacing w:before="8"/>
        <w:rPr>
          <w:sz w:val="28"/>
        </w:rPr>
      </w:pPr>
    </w:p>
    <w:p w:rsidR="00C76E6D" w:rsidRDefault="00913831">
      <w:pPr>
        <w:pStyle w:val="ListParagraph"/>
        <w:numPr>
          <w:ilvl w:val="1"/>
          <w:numId w:val="19"/>
        </w:numPr>
        <w:tabs>
          <w:tab w:val="left" w:pos="1199"/>
        </w:tabs>
        <w:ind w:hanging="361"/>
      </w:pPr>
      <w:r>
        <w:rPr>
          <w:w w:val="95"/>
        </w:rPr>
        <w:t>Continue</w:t>
      </w:r>
      <w:r>
        <w:rPr>
          <w:spacing w:val="15"/>
        </w:rPr>
        <w:t xml:space="preserve"> </w:t>
      </w:r>
      <w:r>
        <w:rPr>
          <w:w w:val="95"/>
        </w:rPr>
        <w:t>implementation</w:t>
      </w:r>
      <w:r>
        <w:rPr>
          <w:spacing w:val="16"/>
        </w:rPr>
        <w:t xml:space="preserve"> </w:t>
      </w:r>
      <w:r>
        <w:rPr>
          <w:w w:val="95"/>
        </w:rPr>
        <w:t>of</w:t>
      </w:r>
      <w:r>
        <w:rPr>
          <w:spacing w:val="15"/>
        </w:rPr>
        <w:t xml:space="preserve"> </w:t>
      </w:r>
      <w:r>
        <w:rPr>
          <w:w w:val="95"/>
        </w:rPr>
        <w:t>the</w:t>
      </w:r>
      <w:r>
        <w:rPr>
          <w:spacing w:val="17"/>
        </w:rPr>
        <w:t xml:space="preserve"> </w:t>
      </w:r>
      <w:r>
        <w:rPr>
          <w:w w:val="95"/>
        </w:rPr>
        <w:t>Gender</w:t>
      </w:r>
      <w:r>
        <w:rPr>
          <w:spacing w:val="18"/>
        </w:rPr>
        <w:t xml:space="preserve"> </w:t>
      </w:r>
      <w:r>
        <w:rPr>
          <w:w w:val="95"/>
        </w:rPr>
        <w:t>Affirming</w:t>
      </w:r>
      <w:r>
        <w:rPr>
          <w:spacing w:val="19"/>
        </w:rPr>
        <w:t xml:space="preserve"> </w:t>
      </w:r>
      <w:r>
        <w:rPr>
          <w:w w:val="95"/>
        </w:rPr>
        <w:t>Medication</w:t>
      </w:r>
      <w:r>
        <w:rPr>
          <w:spacing w:val="15"/>
        </w:rPr>
        <w:t xml:space="preserve"> </w:t>
      </w:r>
      <w:r>
        <w:rPr>
          <w:w w:val="95"/>
        </w:rPr>
        <w:t>Consent</w:t>
      </w:r>
      <w:r>
        <w:rPr>
          <w:spacing w:val="15"/>
        </w:rPr>
        <w:t xml:space="preserve"> </w:t>
      </w:r>
      <w:r>
        <w:rPr>
          <w:spacing w:val="-2"/>
          <w:w w:val="95"/>
        </w:rPr>
        <w:t>Policy</w:t>
      </w:r>
    </w:p>
    <w:p w:rsidR="00C76E6D" w:rsidRDefault="00C76E6D">
      <w:pPr>
        <w:pStyle w:val="BodyText"/>
        <w:spacing w:before="6"/>
        <w:rPr>
          <w:sz w:val="28"/>
        </w:rPr>
      </w:pPr>
    </w:p>
    <w:p w:rsidR="00C76E6D" w:rsidRDefault="00913831">
      <w:pPr>
        <w:pStyle w:val="ListParagraph"/>
        <w:numPr>
          <w:ilvl w:val="1"/>
          <w:numId w:val="19"/>
        </w:numPr>
        <w:tabs>
          <w:tab w:val="left" w:pos="1199"/>
        </w:tabs>
        <w:ind w:hanging="361"/>
      </w:pPr>
      <w:r>
        <w:rPr>
          <w:w w:val="95"/>
        </w:rPr>
        <w:t>Update</w:t>
      </w:r>
      <w:r>
        <w:rPr>
          <w:spacing w:val="13"/>
        </w:rPr>
        <w:t xml:space="preserve"> </w:t>
      </w:r>
      <w:r>
        <w:rPr>
          <w:w w:val="95"/>
        </w:rPr>
        <w:t>the</w:t>
      </w:r>
      <w:r>
        <w:rPr>
          <w:spacing w:val="15"/>
        </w:rPr>
        <w:t xml:space="preserve"> </w:t>
      </w:r>
      <w:r>
        <w:rPr>
          <w:w w:val="95"/>
        </w:rPr>
        <w:t>Family</w:t>
      </w:r>
      <w:r>
        <w:rPr>
          <w:spacing w:val="14"/>
        </w:rPr>
        <w:t xml:space="preserve"> </w:t>
      </w:r>
      <w:r>
        <w:rPr>
          <w:w w:val="95"/>
        </w:rPr>
        <w:t>Resource</w:t>
      </w:r>
      <w:r>
        <w:rPr>
          <w:spacing w:val="13"/>
        </w:rPr>
        <w:t xml:space="preserve"> </w:t>
      </w:r>
      <w:r>
        <w:rPr>
          <w:w w:val="95"/>
        </w:rPr>
        <w:t>Policy</w:t>
      </w:r>
      <w:r>
        <w:rPr>
          <w:spacing w:val="17"/>
        </w:rPr>
        <w:t xml:space="preserve"> </w:t>
      </w:r>
      <w:r>
        <w:rPr>
          <w:w w:val="95"/>
        </w:rPr>
        <w:t>with</w:t>
      </w:r>
      <w:r>
        <w:rPr>
          <w:spacing w:val="15"/>
        </w:rPr>
        <w:t xml:space="preserve"> </w:t>
      </w:r>
      <w:r>
        <w:rPr>
          <w:w w:val="95"/>
        </w:rPr>
        <w:t>LGBTQ-Inclusive</w:t>
      </w:r>
      <w:r>
        <w:rPr>
          <w:spacing w:val="14"/>
        </w:rPr>
        <w:t xml:space="preserve"> </w:t>
      </w:r>
      <w:r>
        <w:rPr>
          <w:spacing w:val="-2"/>
          <w:w w:val="95"/>
        </w:rPr>
        <w:t>Provisions</w:t>
      </w:r>
    </w:p>
    <w:p w:rsidR="00C76E6D" w:rsidRDefault="00C76E6D">
      <w:pPr>
        <w:pStyle w:val="BodyText"/>
        <w:spacing w:before="8"/>
        <w:rPr>
          <w:sz w:val="28"/>
        </w:rPr>
      </w:pPr>
    </w:p>
    <w:p w:rsidR="00C76E6D" w:rsidRDefault="00913831">
      <w:pPr>
        <w:pStyle w:val="ListParagraph"/>
        <w:numPr>
          <w:ilvl w:val="1"/>
          <w:numId w:val="19"/>
        </w:numPr>
        <w:tabs>
          <w:tab w:val="left" w:pos="1199"/>
        </w:tabs>
        <w:ind w:hanging="362"/>
      </w:pPr>
      <w:r>
        <w:rPr>
          <w:w w:val="95"/>
        </w:rPr>
        <w:t>Clarify</w:t>
      </w:r>
      <w:r>
        <w:rPr>
          <w:spacing w:val="14"/>
        </w:rPr>
        <w:t xml:space="preserve"> </w:t>
      </w:r>
      <w:r>
        <w:rPr>
          <w:w w:val="95"/>
        </w:rPr>
        <w:t>Policy</w:t>
      </w:r>
      <w:r>
        <w:rPr>
          <w:spacing w:val="15"/>
        </w:rPr>
        <w:t xml:space="preserve"> </w:t>
      </w:r>
      <w:r>
        <w:rPr>
          <w:w w:val="95"/>
        </w:rPr>
        <w:t>Regarding</w:t>
      </w:r>
      <w:r>
        <w:rPr>
          <w:spacing w:val="13"/>
        </w:rPr>
        <w:t xml:space="preserve"> </w:t>
      </w:r>
      <w:r>
        <w:rPr>
          <w:w w:val="95"/>
        </w:rPr>
        <w:t>Placement</w:t>
      </w:r>
      <w:r>
        <w:rPr>
          <w:spacing w:val="15"/>
        </w:rPr>
        <w:t xml:space="preserve"> </w:t>
      </w:r>
      <w:r>
        <w:rPr>
          <w:w w:val="95"/>
        </w:rPr>
        <w:t>Consistent</w:t>
      </w:r>
      <w:r>
        <w:rPr>
          <w:spacing w:val="15"/>
        </w:rPr>
        <w:t xml:space="preserve"> </w:t>
      </w:r>
      <w:r>
        <w:rPr>
          <w:w w:val="95"/>
        </w:rPr>
        <w:t>with</w:t>
      </w:r>
      <w:r>
        <w:rPr>
          <w:spacing w:val="18"/>
        </w:rPr>
        <w:t xml:space="preserve"> </w:t>
      </w:r>
      <w:r>
        <w:rPr>
          <w:w w:val="95"/>
        </w:rPr>
        <w:t>Gender</w:t>
      </w:r>
      <w:r>
        <w:rPr>
          <w:spacing w:val="16"/>
        </w:rPr>
        <w:t xml:space="preserve"> </w:t>
      </w:r>
      <w:r>
        <w:rPr>
          <w:spacing w:val="-2"/>
          <w:w w:val="95"/>
        </w:rPr>
        <w:t>Identity</w:t>
      </w:r>
    </w:p>
    <w:p w:rsidR="00C76E6D" w:rsidRDefault="00C76E6D">
      <w:pPr>
        <w:pStyle w:val="BodyText"/>
        <w:spacing w:before="9"/>
        <w:rPr>
          <w:sz w:val="28"/>
        </w:rPr>
      </w:pPr>
    </w:p>
    <w:p w:rsidR="00C76E6D" w:rsidRDefault="00913831">
      <w:pPr>
        <w:pStyle w:val="ListParagraph"/>
        <w:numPr>
          <w:ilvl w:val="1"/>
          <w:numId w:val="19"/>
        </w:numPr>
        <w:tabs>
          <w:tab w:val="left" w:pos="1199"/>
        </w:tabs>
        <w:ind w:hanging="362"/>
      </w:pPr>
      <w:r>
        <w:rPr>
          <w:w w:val="95"/>
        </w:rPr>
        <w:t>Continue</w:t>
      </w:r>
      <w:r>
        <w:rPr>
          <w:spacing w:val="13"/>
        </w:rPr>
        <w:t xml:space="preserve"> </w:t>
      </w:r>
      <w:r>
        <w:rPr>
          <w:w w:val="95"/>
        </w:rPr>
        <w:t>Policy</w:t>
      </w:r>
      <w:r>
        <w:rPr>
          <w:spacing w:val="13"/>
        </w:rPr>
        <w:t xml:space="preserve"> </w:t>
      </w:r>
      <w:r>
        <w:rPr>
          <w:w w:val="95"/>
        </w:rPr>
        <w:t>Collaborations</w:t>
      </w:r>
      <w:r>
        <w:rPr>
          <w:spacing w:val="14"/>
        </w:rPr>
        <w:t xml:space="preserve"> </w:t>
      </w:r>
      <w:r>
        <w:rPr>
          <w:w w:val="95"/>
        </w:rPr>
        <w:t>with</w:t>
      </w:r>
      <w:r>
        <w:rPr>
          <w:spacing w:val="16"/>
        </w:rPr>
        <w:t xml:space="preserve"> </w:t>
      </w:r>
      <w:r>
        <w:rPr>
          <w:w w:val="95"/>
        </w:rPr>
        <w:t>the</w:t>
      </w:r>
      <w:r>
        <w:rPr>
          <w:spacing w:val="19"/>
        </w:rPr>
        <w:t xml:space="preserve"> </w:t>
      </w:r>
      <w:r>
        <w:rPr>
          <w:spacing w:val="-2"/>
          <w:w w:val="95"/>
        </w:rPr>
        <w:t>Commission</w:t>
      </w:r>
    </w:p>
    <w:p w:rsidR="00C76E6D" w:rsidRDefault="00C76E6D">
      <w:pPr>
        <w:pStyle w:val="BodyText"/>
        <w:spacing w:before="5"/>
        <w:rPr>
          <w:sz w:val="28"/>
        </w:rPr>
      </w:pPr>
    </w:p>
    <w:p w:rsidR="00C76E6D" w:rsidRDefault="00913831">
      <w:pPr>
        <w:pStyle w:val="ListParagraph"/>
        <w:numPr>
          <w:ilvl w:val="1"/>
          <w:numId w:val="19"/>
        </w:numPr>
        <w:tabs>
          <w:tab w:val="left" w:pos="1199"/>
        </w:tabs>
        <w:spacing w:line="276" w:lineRule="auto"/>
        <w:ind w:right="807"/>
      </w:pPr>
      <w:r>
        <w:t>Update</w:t>
      </w:r>
      <w:r>
        <w:rPr>
          <w:spacing w:val="-11"/>
        </w:rPr>
        <w:t xml:space="preserve"> </w:t>
      </w:r>
      <w:r>
        <w:t>the</w:t>
      </w:r>
      <w:r>
        <w:rPr>
          <w:spacing w:val="-11"/>
        </w:rPr>
        <w:t xml:space="preserve"> </w:t>
      </w:r>
      <w:r>
        <w:t>LGBTQ</w:t>
      </w:r>
      <w:r>
        <w:rPr>
          <w:spacing w:val="-11"/>
        </w:rPr>
        <w:t xml:space="preserve"> </w:t>
      </w:r>
      <w:r>
        <w:t>Guide</w:t>
      </w:r>
      <w:r>
        <w:rPr>
          <w:spacing w:val="-9"/>
        </w:rPr>
        <w:t xml:space="preserve"> </w:t>
      </w:r>
      <w:r>
        <w:t>and</w:t>
      </w:r>
      <w:r>
        <w:rPr>
          <w:spacing w:val="-13"/>
        </w:rPr>
        <w:t xml:space="preserve"> </w:t>
      </w:r>
      <w:r>
        <w:t>ensure</w:t>
      </w:r>
      <w:r>
        <w:rPr>
          <w:spacing w:val="-12"/>
        </w:rPr>
        <w:t xml:space="preserve"> </w:t>
      </w:r>
      <w:r>
        <w:t>that</w:t>
      </w:r>
      <w:r>
        <w:rPr>
          <w:spacing w:val="-13"/>
        </w:rPr>
        <w:t xml:space="preserve"> </w:t>
      </w:r>
      <w:r>
        <w:t>all</w:t>
      </w:r>
      <w:r>
        <w:rPr>
          <w:spacing w:val="-11"/>
        </w:rPr>
        <w:t xml:space="preserve"> </w:t>
      </w:r>
      <w:r>
        <w:t>staff,</w:t>
      </w:r>
      <w:r>
        <w:rPr>
          <w:spacing w:val="-12"/>
        </w:rPr>
        <w:t xml:space="preserve"> </w:t>
      </w:r>
      <w:r>
        <w:t>providers,</w:t>
      </w:r>
      <w:r>
        <w:rPr>
          <w:spacing w:val="-13"/>
        </w:rPr>
        <w:t xml:space="preserve"> </w:t>
      </w:r>
      <w:r>
        <w:t>youth,</w:t>
      </w:r>
      <w:r>
        <w:rPr>
          <w:spacing w:val="-12"/>
        </w:rPr>
        <w:t xml:space="preserve"> </w:t>
      </w:r>
      <w:r>
        <w:t>and</w:t>
      </w:r>
      <w:r>
        <w:rPr>
          <w:spacing w:val="-12"/>
        </w:rPr>
        <w:t xml:space="preserve"> </w:t>
      </w:r>
      <w:r>
        <w:t>families</w:t>
      </w:r>
      <w:r>
        <w:rPr>
          <w:spacing w:val="-13"/>
        </w:rPr>
        <w:t xml:space="preserve"> </w:t>
      </w:r>
      <w:r>
        <w:t>know</w:t>
      </w:r>
      <w:r>
        <w:rPr>
          <w:spacing w:val="-11"/>
        </w:rPr>
        <w:t xml:space="preserve"> </w:t>
      </w:r>
      <w:r>
        <w:t>it</w:t>
      </w:r>
      <w:r>
        <w:rPr>
          <w:spacing w:val="-11"/>
        </w:rPr>
        <w:t xml:space="preserve"> </w:t>
      </w:r>
      <w:r>
        <w:t>exists and where to access a copy.</w:t>
      </w:r>
    </w:p>
    <w:p w:rsidR="00C76E6D" w:rsidRDefault="00C76E6D">
      <w:pPr>
        <w:pStyle w:val="BodyText"/>
        <w:spacing w:before="4"/>
        <w:rPr>
          <w:sz w:val="25"/>
        </w:rPr>
      </w:pPr>
    </w:p>
    <w:p w:rsidR="00C76E6D" w:rsidRDefault="00913831">
      <w:pPr>
        <w:pStyle w:val="ListParagraph"/>
        <w:numPr>
          <w:ilvl w:val="1"/>
          <w:numId w:val="19"/>
        </w:numPr>
        <w:tabs>
          <w:tab w:val="left" w:pos="1199"/>
        </w:tabs>
        <w:ind w:hanging="362"/>
      </w:pPr>
      <w:r>
        <w:rPr>
          <w:w w:val="95"/>
        </w:rPr>
        <w:t>Expand</w:t>
      </w:r>
      <w:r>
        <w:rPr>
          <w:spacing w:val="10"/>
        </w:rPr>
        <w:t xml:space="preserve"> </w:t>
      </w:r>
      <w:r>
        <w:rPr>
          <w:w w:val="95"/>
        </w:rPr>
        <w:t>and</w:t>
      </w:r>
      <w:r>
        <w:rPr>
          <w:spacing w:val="12"/>
        </w:rPr>
        <w:t xml:space="preserve"> </w:t>
      </w:r>
      <w:r>
        <w:rPr>
          <w:w w:val="95"/>
        </w:rPr>
        <w:t>require</w:t>
      </w:r>
      <w:r>
        <w:rPr>
          <w:spacing w:val="12"/>
        </w:rPr>
        <w:t xml:space="preserve"> </w:t>
      </w:r>
      <w:r>
        <w:rPr>
          <w:w w:val="95"/>
        </w:rPr>
        <w:t>LGBTQ</w:t>
      </w:r>
      <w:r>
        <w:rPr>
          <w:spacing w:val="12"/>
        </w:rPr>
        <w:t xml:space="preserve"> </w:t>
      </w:r>
      <w:r>
        <w:rPr>
          <w:w w:val="95"/>
        </w:rPr>
        <w:t>cultural</w:t>
      </w:r>
      <w:r>
        <w:rPr>
          <w:spacing w:val="26"/>
        </w:rPr>
        <w:t xml:space="preserve"> </w:t>
      </w:r>
      <w:r>
        <w:rPr>
          <w:w w:val="95"/>
        </w:rPr>
        <w:t>humility</w:t>
      </w:r>
      <w:r>
        <w:rPr>
          <w:spacing w:val="14"/>
        </w:rPr>
        <w:t xml:space="preserve"> </w:t>
      </w:r>
      <w:r>
        <w:rPr>
          <w:spacing w:val="-2"/>
          <w:w w:val="95"/>
        </w:rPr>
        <w:t>training.</w:t>
      </w:r>
    </w:p>
    <w:p w:rsidR="00C76E6D" w:rsidRDefault="00C76E6D">
      <w:pPr>
        <w:pStyle w:val="BodyText"/>
        <w:spacing w:before="7"/>
        <w:rPr>
          <w:sz w:val="28"/>
        </w:rPr>
      </w:pPr>
    </w:p>
    <w:p w:rsidR="00C76E6D" w:rsidRDefault="00913831">
      <w:pPr>
        <w:pStyle w:val="ListParagraph"/>
        <w:numPr>
          <w:ilvl w:val="1"/>
          <w:numId w:val="19"/>
        </w:numPr>
        <w:tabs>
          <w:tab w:val="left" w:pos="1199"/>
        </w:tabs>
        <w:ind w:hanging="362"/>
      </w:pPr>
      <w:r>
        <w:rPr>
          <w:w w:val="95"/>
        </w:rPr>
        <w:t>Update</w:t>
      </w:r>
      <w:r>
        <w:rPr>
          <w:spacing w:val="9"/>
        </w:rPr>
        <w:t xml:space="preserve"> </w:t>
      </w:r>
      <w:r>
        <w:rPr>
          <w:w w:val="95"/>
        </w:rPr>
        <w:t>and</w:t>
      </w:r>
      <w:r>
        <w:rPr>
          <w:spacing w:val="13"/>
        </w:rPr>
        <w:t xml:space="preserve"> </w:t>
      </w:r>
      <w:r>
        <w:rPr>
          <w:w w:val="95"/>
        </w:rPr>
        <w:t>Improve</w:t>
      </w:r>
      <w:r>
        <w:rPr>
          <w:spacing w:val="11"/>
        </w:rPr>
        <w:t xml:space="preserve"> </w:t>
      </w:r>
      <w:r>
        <w:rPr>
          <w:w w:val="95"/>
        </w:rPr>
        <w:t>the</w:t>
      </w:r>
      <w:r>
        <w:rPr>
          <w:spacing w:val="14"/>
        </w:rPr>
        <w:t xml:space="preserve"> </w:t>
      </w:r>
      <w:r>
        <w:rPr>
          <w:w w:val="95"/>
        </w:rPr>
        <w:t>MAPP</w:t>
      </w:r>
      <w:r>
        <w:rPr>
          <w:spacing w:val="14"/>
        </w:rPr>
        <w:t xml:space="preserve"> </w:t>
      </w:r>
      <w:r>
        <w:rPr>
          <w:spacing w:val="-2"/>
          <w:w w:val="95"/>
        </w:rPr>
        <w:t>Training</w:t>
      </w:r>
    </w:p>
    <w:p w:rsidR="00C76E6D" w:rsidRDefault="00C76E6D">
      <w:pPr>
        <w:pStyle w:val="BodyText"/>
        <w:spacing w:before="8"/>
        <w:rPr>
          <w:sz w:val="28"/>
        </w:rPr>
      </w:pPr>
    </w:p>
    <w:p w:rsidR="00C76E6D" w:rsidRDefault="00913831">
      <w:pPr>
        <w:pStyle w:val="ListParagraph"/>
        <w:numPr>
          <w:ilvl w:val="1"/>
          <w:numId w:val="19"/>
        </w:numPr>
        <w:tabs>
          <w:tab w:val="left" w:pos="1199"/>
        </w:tabs>
        <w:ind w:hanging="362"/>
      </w:pPr>
      <w:r>
        <w:rPr>
          <w:w w:val="95"/>
        </w:rPr>
        <w:t>Create</w:t>
      </w:r>
      <w:r>
        <w:rPr>
          <w:spacing w:val="13"/>
        </w:rPr>
        <w:t xml:space="preserve"> </w:t>
      </w:r>
      <w:r>
        <w:rPr>
          <w:w w:val="95"/>
        </w:rPr>
        <w:t>a</w:t>
      </w:r>
      <w:r>
        <w:rPr>
          <w:spacing w:val="16"/>
        </w:rPr>
        <w:t xml:space="preserve"> </w:t>
      </w:r>
      <w:r>
        <w:rPr>
          <w:w w:val="95"/>
        </w:rPr>
        <w:t>statewide</w:t>
      </w:r>
      <w:r>
        <w:rPr>
          <w:spacing w:val="18"/>
        </w:rPr>
        <w:t xml:space="preserve"> </w:t>
      </w:r>
      <w:r>
        <w:rPr>
          <w:w w:val="95"/>
        </w:rPr>
        <w:t>database</w:t>
      </w:r>
      <w:r>
        <w:rPr>
          <w:spacing w:val="14"/>
        </w:rPr>
        <w:t xml:space="preserve"> </w:t>
      </w:r>
      <w:r>
        <w:rPr>
          <w:w w:val="95"/>
        </w:rPr>
        <w:t>listing</w:t>
      </w:r>
      <w:r>
        <w:rPr>
          <w:spacing w:val="19"/>
        </w:rPr>
        <w:t xml:space="preserve"> </w:t>
      </w:r>
      <w:r>
        <w:rPr>
          <w:w w:val="95"/>
        </w:rPr>
        <w:t>LGBTQ-affirming</w:t>
      </w:r>
      <w:r>
        <w:rPr>
          <w:spacing w:val="17"/>
        </w:rPr>
        <w:t xml:space="preserve"> </w:t>
      </w:r>
      <w:r>
        <w:rPr>
          <w:spacing w:val="-2"/>
          <w:w w:val="95"/>
        </w:rPr>
        <w:t>homes.</w:t>
      </w:r>
    </w:p>
    <w:p w:rsidR="00C76E6D" w:rsidRDefault="00C76E6D">
      <w:pPr>
        <w:pStyle w:val="BodyText"/>
        <w:spacing w:before="7"/>
        <w:rPr>
          <w:sz w:val="28"/>
        </w:rPr>
      </w:pPr>
    </w:p>
    <w:p w:rsidR="00C76E6D" w:rsidRDefault="00913831">
      <w:pPr>
        <w:pStyle w:val="ListParagraph"/>
        <w:numPr>
          <w:ilvl w:val="1"/>
          <w:numId w:val="19"/>
        </w:numPr>
        <w:tabs>
          <w:tab w:val="left" w:pos="1199"/>
        </w:tabs>
        <w:spacing w:before="1"/>
        <w:ind w:hanging="362"/>
      </w:pPr>
      <w:r>
        <w:rPr>
          <w:w w:val="95"/>
        </w:rPr>
        <w:t>Improve</w:t>
      </w:r>
      <w:r>
        <w:rPr>
          <w:spacing w:val="14"/>
        </w:rPr>
        <w:t xml:space="preserve"> </w:t>
      </w:r>
      <w:r>
        <w:rPr>
          <w:w w:val="95"/>
        </w:rPr>
        <w:t>recruitment</w:t>
      </w:r>
      <w:r>
        <w:rPr>
          <w:spacing w:val="16"/>
        </w:rPr>
        <w:t xml:space="preserve"> </w:t>
      </w:r>
      <w:r>
        <w:rPr>
          <w:w w:val="95"/>
        </w:rPr>
        <w:t>of</w:t>
      </w:r>
      <w:r>
        <w:rPr>
          <w:spacing w:val="16"/>
        </w:rPr>
        <w:t xml:space="preserve"> </w:t>
      </w:r>
      <w:r>
        <w:rPr>
          <w:w w:val="95"/>
        </w:rPr>
        <w:t>LGBTQ</w:t>
      </w:r>
      <w:r>
        <w:rPr>
          <w:spacing w:val="13"/>
        </w:rPr>
        <w:t xml:space="preserve"> </w:t>
      </w:r>
      <w:r>
        <w:rPr>
          <w:w w:val="95"/>
        </w:rPr>
        <w:t>affirming</w:t>
      </w:r>
      <w:r>
        <w:rPr>
          <w:spacing w:val="14"/>
        </w:rPr>
        <w:t xml:space="preserve"> </w:t>
      </w:r>
      <w:r>
        <w:rPr>
          <w:w w:val="95"/>
        </w:rPr>
        <w:t>foster</w:t>
      </w:r>
      <w:r>
        <w:rPr>
          <w:spacing w:val="16"/>
        </w:rPr>
        <w:t xml:space="preserve"> </w:t>
      </w:r>
      <w:r>
        <w:rPr>
          <w:spacing w:val="-2"/>
          <w:w w:val="95"/>
        </w:rPr>
        <w:t>parents.</w:t>
      </w:r>
    </w:p>
    <w:p w:rsidR="00C76E6D" w:rsidRDefault="00C76E6D">
      <w:pPr>
        <w:pStyle w:val="BodyText"/>
        <w:spacing w:before="5"/>
        <w:rPr>
          <w:sz w:val="28"/>
        </w:rPr>
      </w:pPr>
    </w:p>
    <w:p w:rsidR="00C76E6D" w:rsidRDefault="00913831">
      <w:pPr>
        <w:pStyle w:val="ListParagraph"/>
        <w:numPr>
          <w:ilvl w:val="1"/>
          <w:numId w:val="19"/>
        </w:numPr>
        <w:tabs>
          <w:tab w:val="left" w:pos="1199"/>
        </w:tabs>
        <w:spacing w:line="276" w:lineRule="auto"/>
        <w:ind w:left="1199" w:right="809" w:hanging="361"/>
      </w:pPr>
      <w:r>
        <w:t>Create</w:t>
      </w:r>
      <w:r>
        <w:rPr>
          <w:spacing w:val="-7"/>
        </w:rPr>
        <w:t xml:space="preserve"> </w:t>
      </w:r>
      <w:r>
        <w:t>Positions</w:t>
      </w:r>
      <w:r>
        <w:rPr>
          <w:spacing w:val="-6"/>
        </w:rPr>
        <w:t xml:space="preserve"> </w:t>
      </w:r>
      <w:r>
        <w:t>for</w:t>
      </w:r>
      <w:r>
        <w:rPr>
          <w:spacing w:val="-8"/>
        </w:rPr>
        <w:t xml:space="preserve"> </w:t>
      </w:r>
      <w:r>
        <w:t>LGBTQ</w:t>
      </w:r>
      <w:r>
        <w:rPr>
          <w:spacing w:val="-5"/>
        </w:rPr>
        <w:t xml:space="preserve"> </w:t>
      </w:r>
      <w:r>
        <w:t>Regional</w:t>
      </w:r>
      <w:r>
        <w:rPr>
          <w:spacing w:val="-6"/>
        </w:rPr>
        <w:t xml:space="preserve"> </w:t>
      </w:r>
      <w:r>
        <w:t>Specialists</w:t>
      </w:r>
      <w:r>
        <w:rPr>
          <w:spacing w:val="-3"/>
        </w:rPr>
        <w:t xml:space="preserve"> </w:t>
      </w:r>
      <w:r>
        <w:t>and</w:t>
      </w:r>
      <w:r>
        <w:rPr>
          <w:spacing w:val="-5"/>
        </w:rPr>
        <w:t xml:space="preserve"> </w:t>
      </w:r>
      <w:r>
        <w:t>Add</w:t>
      </w:r>
      <w:r>
        <w:rPr>
          <w:spacing w:val="-5"/>
        </w:rPr>
        <w:t xml:space="preserve"> </w:t>
      </w:r>
      <w:r>
        <w:t>or</w:t>
      </w:r>
      <w:r>
        <w:rPr>
          <w:spacing w:val="-6"/>
        </w:rPr>
        <w:t xml:space="preserve"> </w:t>
      </w:r>
      <w:r>
        <w:t>Adjust</w:t>
      </w:r>
      <w:r>
        <w:rPr>
          <w:spacing w:val="-7"/>
        </w:rPr>
        <w:t xml:space="preserve"> </w:t>
      </w:r>
      <w:r>
        <w:t>Other</w:t>
      </w:r>
      <w:r>
        <w:rPr>
          <w:spacing w:val="-5"/>
        </w:rPr>
        <w:t xml:space="preserve"> </w:t>
      </w:r>
      <w:r>
        <w:t>Staff</w:t>
      </w:r>
      <w:r>
        <w:rPr>
          <w:spacing w:val="-4"/>
        </w:rPr>
        <w:t xml:space="preserve"> </w:t>
      </w:r>
      <w:r>
        <w:t>Responsibilities to Promote LGBTQ Equity</w:t>
      </w:r>
    </w:p>
    <w:p w:rsidR="00C76E6D" w:rsidRDefault="00C76E6D">
      <w:pPr>
        <w:pStyle w:val="BodyText"/>
        <w:spacing w:before="4"/>
        <w:rPr>
          <w:sz w:val="25"/>
        </w:rPr>
      </w:pPr>
    </w:p>
    <w:p w:rsidR="00C76E6D" w:rsidRDefault="00913831">
      <w:pPr>
        <w:pStyle w:val="ListParagraph"/>
        <w:numPr>
          <w:ilvl w:val="1"/>
          <w:numId w:val="19"/>
        </w:numPr>
        <w:tabs>
          <w:tab w:val="left" w:pos="1199"/>
        </w:tabs>
        <w:spacing w:before="1"/>
        <w:ind w:hanging="362"/>
      </w:pPr>
      <w:r>
        <w:rPr>
          <w:w w:val="95"/>
        </w:rPr>
        <w:t>Promote</w:t>
      </w:r>
      <w:r>
        <w:rPr>
          <w:spacing w:val="11"/>
        </w:rPr>
        <w:t xml:space="preserve"> </w:t>
      </w:r>
      <w:r>
        <w:rPr>
          <w:w w:val="95"/>
        </w:rPr>
        <w:t>Youth</w:t>
      </w:r>
      <w:r>
        <w:rPr>
          <w:spacing w:val="14"/>
        </w:rPr>
        <w:t xml:space="preserve"> </w:t>
      </w:r>
      <w:r>
        <w:rPr>
          <w:w w:val="95"/>
        </w:rPr>
        <w:t>Rights</w:t>
      </w:r>
      <w:r>
        <w:rPr>
          <w:spacing w:val="13"/>
        </w:rPr>
        <w:t xml:space="preserve"> </w:t>
      </w:r>
      <w:r>
        <w:rPr>
          <w:w w:val="95"/>
        </w:rPr>
        <w:t>and</w:t>
      </w:r>
      <w:r>
        <w:rPr>
          <w:spacing w:val="15"/>
        </w:rPr>
        <w:t xml:space="preserve"> </w:t>
      </w:r>
      <w:r>
        <w:rPr>
          <w:spacing w:val="-2"/>
          <w:w w:val="95"/>
        </w:rPr>
        <w:t>Voices</w:t>
      </w:r>
    </w:p>
    <w:p w:rsidR="00C76E6D" w:rsidRDefault="00C76E6D">
      <w:pPr>
        <w:sectPr w:rsidR="00C76E6D">
          <w:headerReference w:type="default" r:id="rId395"/>
          <w:footerReference w:type="default" r:id="rId396"/>
          <w:pgSz w:w="12240" w:h="15840"/>
          <w:pgMar w:top="960" w:right="960" w:bottom="860" w:left="960" w:header="769" w:footer="679" w:gutter="0"/>
          <w:cols w:space="720"/>
        </w:sectPr>
      </w:pPr>
    </w:p>
    <w:p w:rsidR="00C76E6D" w:rsidRDefault="00C76E6D">
      <w:pPr>
        <w:pStyle w:val="BodyText"/>
        <w:rPr>
          <w:sz w:val="20"/>
        </w:rPr>
      </w:pPr>
    </w:p>
    <w:p w:rsidR="00C76E6D" w:rsidRDefault="00913831">
      <w:pPr>
        <w:pStyle w:val="Heading5"/>
        <w:spacing w:before="207"/>
        <w:ind w:left="480"/>
        <w:jc w:val="both"/>
      </w:pPr>
      <w:r>
        <w:t>Background</w:t>
      </w:r>
      <w:r>
        <w:rPr>
          <w:spacing w:val="-15"/>
        </w:rPr>
        <w:t xml:space="preserve"> </w:t>
      </w:r>
      <w:r>
        <w:t>&amp;</w:t>
      </w:r>
      <w:r>
        <w:rPr>
          <w:spacing w:val="-6"/>
        </w:rPr>
        <w:t xml:space="preserve"> </w:t>
      </w:r>
      <w:r>
        <w:rPr>
          <w:spacing w:val="-2"/>
        </w:rPr>
        <w:t>Research</w:t>
      </w:r>
    </w:p>
    <w:p w:rsidR="00C76E6D" w:rsidRDefault="00913831">
      <w:pPr>
        <w:pStyle w:val="BodyText"/>
        <w:spacing w:before="4"/>
        <w:rPr>
          <w:b/>
          <w:sz w:val="8"/>
        </w:rPr>
      </w:pPr>
      <w:r>
        <w:pict>
          <v:shape id="docshape354" o:spid="_x0000_s1110" style="position:absolute;margin-left:1in;margin-top:6.35pt;width:476.95pt;height:.1pt;z-index:-15660544;mso-wrap-distance-left:0;mso-wrap-distance-right:0;mso-position-horizontal-relative:page" coordorigin="1440,127" coordsize="9539,0" path="m1440,127r9539,e" filled="f" strokeweight="1.54pt">
            <v:path arrowok="t"/>
            <w10:wrap type="topAndBottom" anchorx="page"/>
          </v:shape>
        </w:pict>
      </w:r>
    </w:p>
    <w:p w:rsidR="00C76E6D" w:rsidRDefault="00C76E6D">
      <w:pPr>
        <w:pStyle w:val="BodyText"/>
        <w:spacing w:before="9"/>
        <w:rPr>
          <w:b/>
          <w:sz w:val="25"/>
        </w:rPr>
      </w:pPr>
    </w:p>
    <w:p w:rsidR="00C76E6D" w:rsidRDefault="00913831">
      <w:pPr>
        <w:pStyle w:val="BodyText"/>
        <w:spacing w:line="276" w:lineRule="auto"/>
        <w:ind w:left="478" w:right="473"/>
        <w:jc w:val="both"/>
      </w:pPr>
      <w:r>
        <w:t>In July 2021, the Commission published a first-of-its-kind report on the experiences of LGBTQ young people in the Massachusetts child welfare system.</w:t>
      </w:r>
      <w:r>
        <w:rPr>
          <w:vertAlign w:val="superscript"/>
        </w:rPr>
        <w:t>1</w:t>
      </w:r>
      <w:r>
        <w:t xml:space="preserve"> The report found pervasive threats to the safety, wellbeing, and permanency of DCF-involved queer youth, describing the status quo as an emergency.</w:t>
      </w:r>
      <w:r>
        <w:rPr>
          <w:vertAlign w:val="superscript"/>
        </w:rPr>
        <w:t>2</w:t>
      </w:r>
      <w:r>
        <w:t xml:space="preserve"> Despite</w:t>
      </w:r>
      <w:r>
        <w:rPr>
          <w:spacing w:val="-4"/>
        </w:rPr>
        <w:t xml:space="preserve"> </w:t>
      </w:r>
      <w:r>
        <w:t>the</w:t>
      </w:r>
      <w:r>
        <w:rPr>
          <w:spacing w:val="-4"/>
        </w:rPr>
        <w:t xml:space="preserve"> </w:t>
      </w:r>
      <w:r>
        <w:t>urgent</w:t>
      </w:r>
      <w:r>
        <w:rPr>
          <w:spacing w:val="-3"/>
        </w:rPr>
        <w:t xml:space="preserve"> </w:t>
      </w:r>
      <w:r>
        <w:t>nature</w:t>
      </w:r>
      <w:r>
        <w:rPr>
          <w:spacing w:val="-3"/>
        </w:rPr>
        <w:t xml:space="preserve"> </w:t>
      </w:r>
      <w:r>
        <w:t>of</w:t>
      </w:r>
      <w:r>
        <w:rPr>
          <w:spacing w:val="-4"/>
        </w:rPr>
        <w:t xml:space="preserve"> </w:t>
      </w:r>
      <w:r>
        <w:t>the</w:t>
      </w:r>
      <w:r>
        <w:rPr>
          <w:spacing w:val="-4"/>
        </w:rPr>
        <w:t xml:space="preserve"> </w:t>
      </w:r>
      <w:r>
        <w:t>problems</w:t>
      </w:r>
      <w:r>
        <w:rPr>
          <w:spacing w:val="-4"/>
        </w:rPr>
        <w:t xml:space="preserve"> </w:t>
      </w:r>
      <w:r>
        <w:t>facing</w:t>
      </w:r>
      <w:r>
        <w:rPr>
          <w:spacing w:val="-4"/>
        </w:rPr>
        <w:t xml:space="preserve"> </w:t>
      </w:r>
      <w:r>
        <w:t>LGBTQ</w:t>
      </w:r>
      <w:r>
        <w:rPr>
          <w:spacing w:val="-4"/>
        </w:rPr>
        <w:t xml:space="preserve"> </w:t>
      </w:r>
      <w:r>
        <w:t>youth</w:t>
      </w:r>
      <w:r>
        <w:rPr>
          <w:spacing w:val="-4"/>
        </w:rPr>
        <w:t xml:space="preserve"> </w:t>
      </w:r>
      <w:r>
        <w:t>in</w:t>
      </w:r>
      <w:r>
        <w:rPr>
          <w:spacing w:val="-3"/>
        </w:rPr>
        <w:t xml:space="preserve"> </w:t>
      </w:r>
      <w:r>
        <w:t>foster</w:t>
      </w:r>
      <w:r>
        <w:rPr>
          <w:spacing w:val="-4"/>
        </w:rPr>
        <w:t xml:space="preserve"> </w:t>
      </w:r>
      <w:r>
        <w:t>care,</w:t>
      </w:r>
      <w:r>
        <w:rPr>
          <w:spacing w:val="-5"/>
        </w:rPr>
        <w:t xml:space="preserve"> </w:t>
      </w:r>
      <w:r>
        <w:t>the</w:t>
      </w:r>
      <w:r>
        <w:rPr>
          <w:spacing w:val="-4"/>
        </w:rPr>
        <w:t xml:space="preserve"> </w:t>
      </w:r>
      <w:r>
        <w:t>Commission</w:t>
      </w:r>
      <w:r>
        <w:rPr>
          <w:spacing w:val="-4"/>
        </w:rPr>
        <w:t xml:space="preserve"> </w:t>
      </w:r>
      <w:r>
        <w:t>found</w:t>
      </w:r>
      <w:r>
        <w:rPr>
          <w:spacing w:val="-4"/>
        </w:rPr>
        <w:t xml:space="preserve"> </w:t>
      </w:r>
      <w:r>
        <w:t>that far</w:t>
      </w:r>
      <w:r>
        <w:t xml:space="preserve"> too little had changed since the first Governor’s Commission on Gay and Lesbian Youth identified a pipeline for queer young people from family rejection to foster care to homelessness as early as 1994.</w:t>
      </w:r>
      <w:r>
        <w:rPr>
          <w:vertAlign w:val="superscript"/>
        </w:rPr>
        <w:t>3</w:t>
      </w:r>
      <w:r>
        <w:t xml:space="preserve"> Building</w:t>
      </w:r>
      <w:r>
        <w:rPr>
          <w:spacing w:val="-9"/>
        </w:rPr>
        <w:t xml:space="preserve"> </w:t>
      </w:r>
      <w:r>
        <w:t>on</w:t>
      </w:r>
      <w:r>
        <w:rPr>
          <w:spacing w:val="-9"/>
        </w:rPr>
        <w:t xml:space="preserve"> </w:t>
      </w:r>
      <w:r>
        <w:t>its</w:t>
      </w:r>
      <w:r>
        <w:rPr>
          <w:spacing w:val="-9"/>
        </w:rPr>
        <w:t xml:space="preserve"> </w:t>
      </w:r>
      <w:r>
        <w:t>history</w:t>
      </w:r>
      <w:r>
        <w:rPr>
          <w:spacing w:val="-10"/>
        </w:rPr>
        <w:t xml:space="preserve"> </w:t>
      </w:r>
      <w:r>
        <w:t>of</w:t>
      </w:r>
      <w:r>
        <w:rPr>
          <w:spacing w:val="-10"/>
        </w:rPr>
        <w:t xml:space="preserve"> </w:t>
      </w:r>
      <w:r>
        <w:t>issuing</w:t>
      </w:r>
      <w:r>
        <w:rPr>
          <w:spacing w:val="-10"/>
        </w:rPr>
        <w:t xml:space="preserve"> </w:t>
      </w:r>
      <w:r>
        <w:t>recommendations</w:t>
      </w:r>
      <w:r>
        <w:rPr>
          <w:spacing w:val="-10"/>
        </w:rPr>
        <w:t xml:space="preserve"> </w:t>
      </w:r>
      <w:r>
        <w:t>t</w:t>
      </w:r>
      <w:r>
        <w:t>o</w:t>
      </w:r>
      <w:r>
        <w:rPr>
          <w:spacing w:val="-10"/>
        </w:rPr>
        <w:t xml:space="preserve"> </w:t>
      </w:r>
      <w:r>
        <w:t>DCF</w:t>
      </w:r>
      <w:r>
        <w:rPr>
          <w:spacing w:val="-10"/>
        </w:rPr>
        <w:t xml:space="preserve"> </w:t>
      </w:r>
      <w:r>
        <w:t>since</w:t>
      </w:r>
      <w:r>
        <w:rPr>
          <w:spacing w:val="-9"/>
        </w:rPr>
        <w:t xml:space="preserve"> </w:t>
      </w:r>
      <w:r>
        <w:t>Fiscal</w:t>
      </w:r>
      <w:r>
        <w:rPr>
          <w:spacing w:val="-10"/>
        </w:rPr>
        <w:t xml:space="preserve"> </w:t>
      </w:r>
      <w:r>
        <w:t>Year</w:t>
      </w:r>
      <w:r>
        <w:rPr>
          <w:spacing w:val="-10"/>
        </w:rPr>
        <w:t xml:space="preserve"> </w:t>
      </w:r>
      <w:r>
        <w:t>2011,</w:t>
      </w:r>
      <w:r>
        <w:rPr>
          <w:spacing w:val="-10"/>
        </w:rPr>
        <w:t xml:space="preserve"> </w:t>
      </w:r>
      <w:r>
        <w:t>the</w:t>
      </w:r>
      <w:r>
        <w:rPr>
          <w:spacing w:val="-9"/>
        </w:rPr>
        <w:t xml:space="preserve"> </w:t>
      </w:r>
      <w:r>
        <w:t>Commission</w:t>
      </w:r>
      <w:r>
        <w:rPr>
          <w:spacing w:val="-10"/>
        </w:rPr>
        <w:t xml:space="preserve"> </w:t>
      </w:r>
      <w:r>
        <w:t>outlined action steps for DCF in four key areas: data, policy, training and resources, and structural change.</w:t>
      </w:r>
    </w:p>
    <w:p w:rsidR="00C76E6D" w:rsidRDefault="00C76E6D">
      <w:pPr>
        <w:pStyle w:val="BodyText"/>
        <w:spacing w:before="8"/>
        <w:rPr>
          <w:sz w:val="19"/>
        </w:rPr>
      </w:pPr>
    </w:p>
    <w:p w:rsidR="00C76E6D" w:rsidRDefault="00913831">
      <w:pPr>
        <w:pStyle w:val="BodyText"/>
        <w:spacing w:line="276" w:lineRule="auto"/>
        <w:ind w:left="478" w:right="473"/>
        <w:jc w:val="both"/>
      </w:pPr>
      <w:r>
        <w:t>Since</w:t>
      </w:r>
      <w:r>
        <w:rPr>
          <w:spacing w:val="-2"/>
        </w:rPr>
        <w:t xml:space="preserve"> </w:t>
      </w:r>
      <w:r>
        <w:t>issuing</w:t>
      </w:r>
      <w:r>
        <w:rPr>
          <w:spacing w:val="-1"/>
        </w:rPr>
        <w:t xml:space="preserve"> </w:t>
      </w:r>
      <w:r>
        <w:t>the</w:t>
      </w:r>
      <w:r>
        <w:rPr>
          <w:spacing w:val="-2"/>
        </w:rPr>
        <w:t xml:space="preserve"> </w:t>
      </w:r>
      <w:r>
        <w:t>report, the</w:t>
      </w:r>
      <w:r>
        <w:rPr>
          <w:spacing w:val="-3"/>
        </w:rPr>
        <w:t xml:space="preserve"> </w:t>
      </w:r>
      <w:r>
        <w:t>Commission</w:t>
      </w:r>
      <w:r>
        <w:rPr>
          <w:spacing w:val="-3"/>
        </w:rPr>
        <w:t xml:space="preserve"> </w:t>
      </w:r>
      <w:r>
        <w:t>has</w:t>
      </w:r>
      <w:r>
        <w:rPr>
          <w:spacing w:val="-1"/>
        </w:rPr>
        <w:t xml:space="preserve"> </w:t>
      </w:r>
      <w:r>
        <w:t>been</w:t>
      </w:r>
      <w:r>
        <w:rPr>
          <w:spacing w:val="-1"/>
        </w:rPr>
        <w:t xml:space="preserve"> </w:t>
      </w:r>
      <w:r>
        <w:t>pleased</w:t>
      </w:r>
      <w:r>
        <w:rPr>
          <w:spacing w:val="-3"/>
        </w:rPr>
        <w:t xml:space="preserve"> </w:t>
      </w:r>
      <w:r>
        <w:t>to be</w:t>
      </w:r>
      <w:r>
        <w:rPr>
          <w:spacing w:val="-1"/>
        </w:rPr>
        <w:t xml:space="preserve"> </w:t>
      </w:r>
      <w:r>
        <w:t>meeting</w:t>
      </w:r>
      <w:r>
        <w:rPr>
          <w:spacing w:val="-2"/>
        </w:rPr>
        <w:t xml:space="preserve"> </w:t>
      </w:r>
      <w:r>
        <w:t>with</w:t>
      </w:r>
      <w:r>
        <w:rPr>
          <w:spacing w:val="-2"/>
        </w:rPr>
        <w:t xml:space="preserve"> </w:t>
      </w:r>
      <w:r>
        <w:t>DCF</w:t>
      </w:r>
      <w:r>
        <w:rPr>
          <w:spacing w:val="-3"/>
        </w:rPr>
        <w:t xml:space="preserve"> </w:t>
      </w:r>
      <w:r>
        <w:t>on</w:t>
      </w:r>
      <w:r>
        <w:rPr>
          <w:spacing w:val="-2"/>
        </w:rPr>
        <w:t xml:space="preserve"> </w:t>
      </w:r>
      <w:r>
        <w:t>a monthly</w:t>
      </w:r>
      <w:r>
        <w:rPr>
          <w:spacing w:val="-2"/>
        </w:rPr>
        <w:t xml:space="preserve"> </w:t>
      </w:r>
      <w:r>
        <w:t>basis to address the critical</w:t>
      </w:r>
      <w:r>
        <w:rPr>
          <w:spacing w:val="-1"/>
        </w:rPr>
        <w:t xml:space="preserve"> </w:t>
      </w:r>
      <w:r>
        <w:t>issues facing</w:t>
      </w:r>
      <w:r>
        <w:rPr>
          <w:spacing w:val="-1"/>
        </w:rPr>
        <w:t xml:space="preserve"> </w:t>
      </w:r>
      <w:r>
        <w:t>LGBTQ youth</w:t>
      </w:r>
      <w:r>
        <w:rPr>
          <w:spacing w:val="-1"/>
        </w:rPr>
        <w:t xml:space="preserve"> </w:t>
      </w:r>
      <w:r>
        <w:t>in care.</w:t>
      </w:r>
      <w:r>
        <w:rPr>
          <w:spacing w:val="-1"/>
        </w:rPr>
        <w:t xml:space="preserve"> </w:t>
      </w:r>
      <w:r>
        <w:t>DCF also released</w:t>
      </w:r>
      <w:r>
        <w:rPr>
          <w:spacing w:val="-1"/>
        </w:rPr>
        <w:t xml:space="preserve"> </w:t>
      </w:r>
      <w:r>
        <w:t>a new policy in September 2021 outlining the process for ensuring young people get healthcare that affirms their gender identities - a particularly meaningful change at a ti</w:t>
      </w:r>
      <w:r>
        <w:t>me when other states are seeking to harm transgender youth and their families by banning this evidence-based, best-practice, medically necessary, even life-saving, care.</w:t>
      </w:r>
      <w:r>
        <w:rPr>
          <w:vertAlign w:val="superscript"/>
        </w:rPr>
        <w:t>4</w:t>
      </w:r>
      <w:r>
        <w:t xml:space="preserve"> It is the clear public policy of the Commonwealth to affirm and protect transgender p</w:t>
      </w:r>
      <w:r>
        <w:t xml:space="preserve">eople. DCF's new policy ensuring access to medical care for transgender youth aligns with this public policy and is an important step toward ensuring timely access to care. DCF has also expanded training opportunities for staff on LGBTQ cultural humility, </w:t>
      </w:r>
      <w:r>
        <w:t>though there remains an urgent need for more in-depth training that reaches all staff, contractors, and foster parents.</w:t>
      </w:r>
    </w:p>
    <w:p w:rsidR="00C76E6D" w:rsidRDefault="00C76E6D">
      <w:pPr>
        <w:pStyle w:val="BodyText"/>
        <w:spacing w:before="8"/>
        <w:rPr>
          <w:sz w:val="19"/>
        </w:rPr>
      </w:pPr>
    </w:p>
    <w:p w:rsidR="00C76E6D" w:rsidRDefault="00913831">
      <w:pPr>
        <w:pStyle w:val="BodyText"/>
        <w:spacing w:line="276" w:lineRule="auto"/>
        <w:ind w:left="477" w:right="476"/>
        <w:jc w:val="both"/>
      </w:pPr>
      <w:r>
        <w:t>For more than a decade, a barrier to progress in Massachusetts has been the lack of quantitative information on DCF-involved LGBTQ yout</w:t>
      </w:r>
      <w:r>
        <w:t>h. Although DCF adopted fields to collect SOGI data in 2016, as of</w:t>
      </w:r>
      <w:r>
        <w:rPr>
          <w:spacing w:val="-8"/>
        </w:rPr>
        <w:t xml:space="preserve"> </w:t>
      </w:r>
      <w:r>
        <w:t>the</w:t>
      </w:r>
      <w:r>
        <w:rPr>
          <w:spacing w:val="-7"/>
        </w:rPr>
        <w:t xml:space="preserve"> </w:t>
      </w:r>
      <w:r>
        <w:t>end</w:t>
      </w:r>
      <w:r>
        <w:rPr>
          <w:spacing w:val="-7"/>
        </w:rPr>
        <w:t xml:space="preserve"> </w:t>
      </w:r>
      <w:r>
        <w:t>of</w:t>
      </w:r>
      <w:r>
        <w:rPr>
          <w:spacing w:val="-5"/>
        </w:rPr>
        <w:t xml:space="preserve"> </w:t>
      </w:r>
      <w:r>
        <w:t>FY21,</w:t>
      </w:r>
      <w:r>
        <w:rPr>
          <w:spacing w:val="-7"/>
        </w:rPr>
        <w:t xml:space="preserve"> </w:t>
      </w:r>
      <w:r>
        <w:t>only</w:t>
      </w:r>
      <w:r>
        <w:rPr>
          <w:spacing w:val="-6"/>
        </w:rPr>
        <w:t xml:space="preserve"> </w:t>
      </w:r>
      <w:r>
        <w:t>12</w:t>
      </w:r>
      <w:r>
        <w:rPr>
          <w:spacing w:val="-5"/>
        </w:rPr>
        <w:t xml:space="preserve"> </w:t>
      </w:r>
      <w:r>
        <w:t>percent</w:t>
      </w:r>
      <w:r>
        <w:rPr>
          <w:spacing w:val="-7"/>
        </w:rPr>
        <w:t xml:space="preserve"> </w:t>
      </w:r>
      <w:r>
        <w:t>of</w:t>
      </w:r>
      <w:r>
        <w:rPr>
          <w:spacing w:val="-8"/>
        </w:rPr>
        <w:t xml:space="preserve"> </w:t>
      </w:r>
      <w:r>
        <w:t>children</w:t>
      </w:r>
      <w:r>
        <w:rPr>
          <w:spacing w:val="-7"/>
        </w:rPr>
        <w:t xml:space="preserve"> </w:t>
      </w:r>
      <w:r>
        <w:t>&amp;</w:t>
      </w:r>
      <w:r>
        <w:rPr>
          <w:spacing w:val="-8"/>
        </w:rPr>
        <w:t xml:space="preserve"> </w:t>
      </w:r>
      <w:r>
        <w:t>youth</w:t>
      </w:r>
      <w:r>
        <w:rPr>
          <w:spacing w:val="-8"/>
        </w:rPr>
        <w:t xml:space="preserve"> </w:t>
      </w:r>
      <w:r>
        <w:t>in</w:t>
      </w:r>
      <w:r>
        <w:rPr>
          <w:spacing w:val="-7"/>
        </w:rPr>
        <w:t xml:space="preserve"> </w:t>
      </w:r>
      <w:r>
        <w:t>DCF</w:t>
      </w:r>
      <w:r>
        <w:rPr>
          <w:spacing w:val="-7"/>
        </w:rPr>
        <w:t xml:space="preserve"> </w:t>
      </w:r>
      <w:r>
        <w:t>placement</w:t>
      </w:r>
      <w:r>
        <w:rPr>
          <w:spacing w:val="-7"/>
        </w:rPr>
        <w:t xml:space="preserve"> </w:t>
      </w:r>
      <w:r>
        <w:t>had</w:t>
      </w:r>
      <w:r>
        <w:rPr>
          <w:spacing w:val="-8"/>
        </w:rPr>
        <w:t xml:space="preserve"> </w:t>
      </w:r>
      <w:r>
        <w:t>a</w:t>
      </w:r>
      <w:r>
        <w:rPr>
          <w:spacing w:val="-4"/>
        </w:rPr>
        <w:t xml:space="preserve"> </w:t>
      </w:r>
      <w:r>
        <w:t>field</w:t>
      </w:r>
      <w:r>
        <w:rPr>
          <w:spacing w:val="-6"/>
        </w:rPr>
        <w:t xml:space="preserve"> </w:t>
      </w:r>
      <w:r>
        <w:t>completed</w:t>
      </w:r>
      <w:r>
        <w:rPr>
          <w:spacing w:val="-8"/>
        </w:rPr>
        <w:t xml:space="preserve"> </w:t>
      </w:r>
      <w:r>
        <w:t>for</w:t>
      </w:r>
      <w:r>
        <w:rPr>
          <w:spacing w:val="-8"/>
        </w:rPr>
        <w:t xml:space="preserve"> </w:t>
      </w:r>
      <w:r>
        <w:t>sexual orientation and 26 percent for gender identity.</w:t>
      </w:r>
      <w:r>
        <w:rPr>
          <w:vertAlign w:val="superscript"/>
        </w:rPr>
        <w:t>5</w:t>
      </w:r>
      <w:r>
        <w:t xml:space="preserve"> Data from other jurisdictions suggest</w:t>
      </w:r>
      <w:r>
        <w:t xml:space="preserve"> that as many as roughly</w:t>
      </w:r>
      <w:r>
        <w:rPr>
          <w:spacing w:val="-13"/>
        </w:rPr>
        <w:t xml:space="preserve"> </w:t>
      </w:r>
      <w:r>
        <w:t>one-third</w:t>
      </w:r>
      <w:r>
        <w:rPr>
          <w:spacing w:val="-12"/>
        </w:rPr>
        <w:t xml:space="preserve"> </w:t>
      </w:r>
      <w:r>
        <w:t>of</w:t>
      </w:r>
      <w:r>
        <w:rPr>
          <w:spacing w:val="-13"/>
        </w:rPr>
        <w:t xml:space="preserve"> </w:t>
      </w:r>
      <w:r>
        <w:t>youth</w:t>
      </w:r>
      <w:r>
        <w:rPr>
          <w:spacing w:val="-12"/>
        </w:rPr>
        <w:t xml:space="preserve"> </w:t>
      </w:r>
      <w:r>
        <w:t>in</w:t>
      </w:r>
      <w:r>
        <w:rPr>
          <w:spacing w:val="-13"/>
        </w:rPr>
        <w:t xml:space="preserve"> </w:t>
      </w:r>
      <w:r>
        <w:t>foster</w:t>
      </w:r>
      <w:r>
        <w:rPr>
          <w:spacing w:val="-12"/>
        </w:rPr>
        <w:t xml:space="preserve"> </w:t>
      </w:r>
      <w:r>
        <w:t>care</w:t>
      </w:r>
      <w:r>
        <w:rPr>
          <w:spacing w:val="-11"/>
        </w:rPr>
        <w:t xml:space="preserve"> </w:t>
      </w:r>
      <w:r>
        <w:t>are</w:t>
      </w:r>
      <w:r>
        <w:rPr>
          <w:spacing w:val="-12"/>
        </w:rPr>
        <w:t xml:space="preserve"> </w:t>
      </w:r>
      <w:r>
        <w:t>LGBTQ.</w:t>
      </w:r>
      <w:r>
        <w:rPr>
          <w:vertAlign w:val="superscript"/>
        </w:rPr>
        <w:t>6</w:t>
      </w:r>
      <w:r>
        <w:rPr>
          <w:spacing w:val="-12"/>
        </w:rPr>
        <w:t xml:space="preserve"> </w:t>
      </w:r>
      <w:r>
        <w:t>These</w:t>
      </w:r>
      <w:r>
        <w:rPr>
          <w:spacing w:val="-13"/>
        </w:rPr>
        <w:t xml:space="preserve"> </w:t>
      </w:r>
      <w:r>
        <w:t>youth</w:t>
      </w:r>
      <w:r>
        <w:rPr>
          <w:spacing w:val="-10"/>
        </w:rPr>
        <w:t xml:space="preserve"> </w:t>
      </w:r>
      <w:r>
        <w:t>experience</w:t>
      </w:r>
      <w:r>
        <w:rPr>
          <w:spacing w:val="-12"/>
        </w:rPr>
        <w:t xml:space="preserve"> </w:t>
      </w:r>
      <w:r>
        <w:t>negative</w:t>
      </w:r>
      <w:r>
        <w:rPr>
          <w:spacing w:val="-13"/>
        </w:rPr>
        <w:t xml:space="preserve"> </w:t>
      </w:r>
      <w:r>
        <w:t>outcomes</w:t>
      </w:r>
      <w:r>
        <w:rPr>
          <w:spacing w:val="-12"/>
        </w:rPr>
        <w:t xml:space="preserve"> </w:t>
      </w:r>
      <w:r>
        <w:t>at</w:t>
      </w:r>
      <w:r>
        <w:rPr>
          <w:spacing w:val="-13"/>
        </w:rPr>
        <w:t xml:space="preserve"> </w:t>
      </w:r>
      <w:r>
        <w:t>higher rates than their peers, including higher rates of mistreatment in care, hospitalizations for emotional reasons, numbers of placements, and placement in congregate care settings.</w:t>
      </w:r>
      <w:r>
        <w:rPr>
          <w:vertAlign w:val="superscript"/>
        </w:rPr>
        <w:t>7</w:t>
      </w:r>
    </w:p>
    <w:p w:rsidR="00C76E6D" w:rsidRDefault="00C76E6D">
      <w:pPr>
        <w:pStyle w:val="BodyText"/>
        <w:spacing w:before="8"/>
        <w:rPr>
          <w:sz w:val="19"/>
        </w:rPr>
      </w:pPr>
    </w:p>
    <w:p w:rsidR="00C76E6D" w:rsidRDefault="00913831">
      <w:pPr>
        <w:pStyle w:val="BodyText"/>
        <w:spacing w:line="276" w:lineRule="auto"/>
        <w:ind w:left="480" w:right="472" w:hanging="2"/>
        <w:jc w:val="both"/>
      </w:pPr>
      <w:r>
        <w:t>DCF</w:t>
      </w:r>
      <w:r>
        <w:rPr>
          <w:spacing w:val="-4"/>
        </w:rPr>
        <w:t xml:space="preserve"> </w:t>
      </w:r>
      <w:r>
        <w:t>took</w:t>
      </w:r>
      <w:r>
        <w:rPr>
          <w:spacing w:val="-4"/>
        </w:rPr>
        <w:t xml:space="preserve"> </w:t>
      </w:r>
      <w:r>
        <w:t>a</w:t>
      </w:r>
      <w:r>
        <w:rPr>
          <w:spacing w:val="-4"/>
        </w:rPr>
        <w:t xml:space="preserve"> </w:t>
      </w:r>
      <w:r>
        <w:t>significant</w:t>
      </w:r>
      <w:r>
        <w:rPr>
          <w:spacing w:val="-4"/>
        </w:rPr>
        <w:t xml:space="preserve"> </w:t>
      </w:r>
      <w:r>
        <w:t>step</w:t>
      </w:r>
      <w:r>
        <w:rPr>
          <w:spacing w:val="-3"/>
        </w:rPr>
        <w:t xml:space="preserve"> </w:t>
      </w:r>
      <w:r>
        <w:t>forward</w:t>
      </w:r>
      <w:r>
        <w:rPr>
          <w:spacing w:val="-5"/>
        </w:rPr>
        <w:t xml:space="preserve"> </w:t>
      </w:r>
      <w:r>
        <w:t>in</w:t>
      </w:r>
      <w:r>
        <w:rPr>
          <w:spacing w:val="-4"/>
        </w:rPr>
        <w:t xml:space="preserve"> </w:t>
      </w:r>
      <w:r>
        <w:t>April</w:t>
      </w:r>
      <w:r>
        <w:rPr>
          <w:spacing w:val="-4"/>
        </w:rPr>
        <w:t xml:space="preserve"> </w:t>
      </w:r>
      <w:r>
        <w:t>2022</w:t>
      </w:r>
      <w:r>
        <w:rPr>
          <w:spacing w:val="-4"/>
        </w:rPr>
        <w:t xml:space="preserve"> </w:t>
      </w:r>
      <w:r>
        <w:t>by</w:t>
      </w:r>
      <w:r>
        <w:rPr>
          <w:spacing w:val="-3"/>
        </w:rPr>
        <w:t xml:space="preserve"> </w:t>
      </w:r>
      <w:r>
        <w:t>making</w:t>
      </w:r>
      <w:r>
        <w:rPr>
          <w:spacing w:val="-3"/>
        </w:rPr>
        <w:t xml:space="preserve"> </w:t>
      </w:r>
      <w:r>
        <w:t>SOGI</w:t>
      </w:r>
      <w:r>
        <w:rPr>
          <w:spacing w:val="-2"/>
        </w:rPr>
        <w:t xml:space="preserve"> </w:t>
      </w:r>
      <w:r>
        <w:t>data</w:t>
      </w:r>
      <w:r>
        <w:rPr>
          <w:spacing w:val="-4"/>
        </w:rPr>
        <w:t xml:space="preserve"> </w:t>
      </w:r>
      <w:r>
        <w:t>a</w:t>
      </w:r>
      <w:r>
        <w:rPr>
          <w:spacing w:val="-4"/>
        </w:rPr>
        <w:t xml:space="preserve"> </w:t>
      </w:r>
      <w:r>
        <w:t>mandatory</w:t>
      </w:r>
      <w:r>
        <w:rPr>
          <w:spacing w:val="-4"/>
        </w:rPr>
        <w:t xml:space="preserve"> </w:t>
      </w:r>
      <w:r>
        <w:t>part</w:t>
      </w:r>
      <w:r>
        <w:rPr>
          <w:spacing w:val="-4"/>
        </w:rPr>
        <w:t xml:space="preserve"> </w:t>
      </w:r>
      <w:r>
        <w:t>of</w:t>
      </w:r>
      <w:r>
        <w:rPr>
          <w:spacing w:val="-4"/>
        </w:rPr>
        <w:t xml:space="preserve"> </w:t>
      </w:r>
      <w:r>
        <w:t>its</w:t>
      </w:r>
      <w:r>
        <w:rPr>
          <w:spacing w:val="-3"/>
        </w:rPr>
        <w:t xml:space="preserve"> </w:t>
      </w:r>
      <w:r>
        <w:t>i-FamilyNet system. The Commission looks forward to obtaining a more complete and intersectional analysis of the experiences</w:t>
      </w:r>
      <w:r>
        <w:rPr>
          <w:spacing w:val="-6"/>
        </w:rPr>
        <w:t xml:space="preserve"> </w:t>
      </w:r>
      <w:r>
        <w:t>of</w:t>
      </w:r>
      <w:r>
        <w:rPr>
          <w:spacing w:val="-10"/>
        </w:rPr>
        <w:t xml:space="preserve"> </w:t>
      </w:r>
      <w:r>
        <w:t>LGBTQ</w:t>
      </w:r>
      <w:r>
        <w:rPr>
          <w:spacing w:val="-9"/>
        </w:rPr>
        <w:t xml:space="preserve"> </w:t>
      </w:r>
      <w:r>
        <w:t>youth</w:t>
      </w:r>
      <w:r>
        <w:rPr>
          <w:spacing w:val="-9"/>
        </w:rPr>
        <w:t xml:space="preserve"> </w:t>
      </w:r>
      <w:r>
        <w:t>in</w:t>
      </w:r>
      <w:r>
        <w:rPr>
          <w:spacing w:val="-8"/>
        </w:rPr>
        <w:t xml:space="preserve"> </w:t>
      </w:r>
      <w:r>
        <w:t>Massachusetts</w:t>
      </w:r>
      <w:r>
        <w:rPr>
          <w:spacing w:val="-8"/>
        </w:rPr>
        <w:t xml:space="preserve"> </w:t>
      </w:r>
      <w:r>
        <w:t>foster</w:t>
      </w:r>
      <w:r>
        <w:rPr>
          <w:spacing w:val="-7"/>
        </w:rPr>
        <w:t xml:space="preserve"> </w:t>
      </w:r>
      <w:r>
        <w:t>care</w:t>
      </w:r>
      <w:r>
        <w:rPr>
          <w:spacing w:val="-10"/>
        </w:rPr>
        <w:t xml:space="preserve"> </w:t>
      </w:r>
      <w:r>
        <w:t>as</w:t>
      </w:r>
      <w:r>
        <w:rPr>
          <w:spacing w:val="-8"/>
        </w:rPr>
        <w:t xml:space="preserve"> </w:t>
      </w:r>
      <w:r>
        <w:t>the</w:t>
      </w:r>
      <w:r>
        <w:rPr>
          <w:spacing w:val="-9"/>
        </w:rPr>
        <w:t xml:space="preserve"> </w:t>
      </w:r>
      <w:r>
        <w:t>quality</w:t>
      </w:r>
      <w:r>
        <w:rPr>
          <w:spacing w:val="-10"/>
        </w:rPr>
        <w:t xml:space="preserve"> </w:t>
      </w:r>
      <w:r>
        <w:t>of</w:t>
      </w:r>
      <w:r>
        <w:rPr>
          <w:spacing w:val="-8"/>
        </w:rPr>
        <w:t xml:space="preserve"> </w:t>
      </w:r>
      <w:r>
        <w:t>data</w:t>
      </w:r>
      <w:r>
        <w:rPr>
          <w:spacing w:val="-6"/>
        </w:rPr>
        <w:t xml:space="preserve"> </w:t>
      </w:r>
      <w:r>
        <w:t>collection</w:t>
      </w:r>
      <w:r>
        <w:rPr>
          <w:spacing w:val="-10"/>
        </w:rPr>
        <w:t xml:space="preserve"> </w:t>
      </w:r>
      <w:r>
        <w:t>improves.</w:t>
      </w:r>
      <w:r>
        <w:rPr>
          <w:spacing w:val="-10"/>
        </w:rPr>
        <w:t xml:space="preserve"> </w:t>
      </w:r>
      <w:r>
        <w:t>Done properly, collecting data on sexual orientation and gender identity (SOGI) not only provides better information on the experiences of LGBTQ youth in care, but also promotes opportunities for those same youth to discuss their identities without bearing</w:t>
      </w:r>
      <w:r>
        <w:t xml:space="preserve"> the burden of initiating the conversation.</w:t>
      </w:r>
      <w:r>
        <w:rPr>
          <w:vertAlign w:val="superscript"/>
        </w:rPr>
        <w:t>8</w:t>
      </w:r>
    </w:p>
    <w:p w:rsidR="00C76E6D" w:rsidRDefault="00C76E6D">
      <w:pPr>
        <w:pStyle w:val="BodyText"/>
        <w:spacing w:before="7"/>
        <w:rPr>
          <w:sz w:val="19"/>
        </w:rPr>
      </w:pPr>
    </w:p>
    <w:p w:rsidR="00C76E6D" w:rsidRDefault="00913831">
      <w:pPr>
        <w:pStyle w:val="BodyText"/>
        <w:spacing w:line="276" w:lineRule="auto"/>
        <w:ind w:left="476" w:right="477" w:firstLine="2"/>
        <w:jc w:val="both"/>
      </w:pPr>
      <w:r>
        <w:t>In</w:t>
      </w:r>
      <w:r>
        <w:rPr>
          <w:spacing w:val="-8"/>
        </w:rPr>
        <w:t xml:space="preserve"> </w:t>
      </w:r>
      <w:r>
        <w:t>other</w:t>
      </w:r>
      <w:r>
        <w:rPr>
          <w:spacing w:val="-6"/>
        </w:rPr>
        <w:t xml:space="preserve"> </w:t>
      </w:r>
      <w:r>
        <w:t>key</w:t>
      </w:r>
      <w:r>
        <w:rPr>
          <w:spacing w:val="-7"/>
        </w:rPr>
        <w:t xml:space="preserve"> </w:t>
      </w:r>
      <w:r>
        <w:t>areas,</w:t>
      </w:r>
      <w:r>
        <w:rPr>
          <w:spacing w:val="-7"/>
        </w:rPr>
        <w:t xml:space="preserve"> </w:t>
      </w:r>
      <w:r>
        <w:t>the</w:t>
      </w:r>
      <w:r>
        <w:rPr>
          <w:spacing w:val="-7"/>
        </w:rPr>
        <w:t xml:space="preserve"> </w:t>
      </w:r>
      <w:r>
        <w:t>Commission</w:t>
      </w:r>
      <w:r>
        <w:rPr>
          <w:spacing w:val="-7"/>
        </w:rPr>
        <w:t xml:space="preserve"> </w:t>
      </w:r>
      <w:r>
        <w:t>has</w:t>
      </w:r>
      <w:r>
        <w:rPr>
          <w:spacing w:val="-7"/>
        </w:rPr>
        <w:t xml:space="preserve"> </w:t>
      </w:r>
      <w:r>
        <w:t>yet</w:t>
      </w:r>
      <w:r>
        <w:rPr>
          <w:spacing w:val="-7"/>
        </w:rPr>
        <w:t xml:space="preserve"> </w:t>
      </w:r>
      <w:r>
        <w:t>to</w:t>
      </w:r>
      <w:r>
        <w:rPr>
          <w:spacing w:val="-6"/>
        </w:rPr>
        <w:t xml:space="preserve"> </w:t>
      </w:r>
      <w:r>
        <w:t>see</w:t>
      </w:r>
      <w:r>
        <w:rPr>
          <w:spacing w:val="-7"/>
        </w:rPr>
        <w:t xml:space="preserve"> </w:t>
      </w:r>
      <w:r>
        <w:t>tangible</w:t>
      </w:r>
      <w:r>
        <w:rPr>
          <w:spacing w:val="-6"/>
        </w:rPr>
        <w:t xml:space="preserve"> </w:t>
      </w:r>
      <w:r>
        <w:t>change</w:t>
      </w:r>
      <w:r>
        <w:rPr>
          <w:spacing w:val="-8"/>
        </w:rPr>
        <w:t xml:space="preserve"> </w:t>
      </w:r>
      <w:r>
        <w:t>for</w:t>
      </w:r>
      <w:r>
        <w:rPr>
          <w:spacing w:val="-7"/>
        </w:rPr>
        <w:t xml:space="preserve"> </w:t>
      </w:r>
      <w:r>
        <w:t>LGBTQ</w:t>
      </w:r>
      <w:r>
        <w:rPr>
          <w:spacing w:val="-7"/>
        </w:rPr>
        <w:t xml:space="preserve"> </w:t>
      </w:r>
      <w:r>
        <w:t>youth.</w:t>
      </w:r>
      <w:r>
        <w:rPr>
          <w:spacing w:val="-7"/>
        </w:rPr>
        <w:t xml:space="preserve"> </w:t>
      </w:r>
      <w:r>
        <w:t>In</w:t>
      </w:r>
      <w:r>
        <w:rPr>
          <w:spacing w:val="-7"/>
        </w:rPr>
        <w:t xml:space="preserve"> </w:t>
      </w:r>
      <w:r>
        <w:t>particular,</w:t>
      </w:r>
      <w:r>
        <w:rPr>
          <w:spacing w:val="-8"/>
        </w:rPr>
        <w:t xml:space="preserve"> </w:t>
      </w:r>
      <w:r>
        <w:t>DCF</w:t>
      </w:r>
      <w:r>
        <w:rPr>
          <w:spacing w:val="-7"/>
        </w:rPr>
        <w:t xml:space="preserve"> </w:t>
      </w:r>
      <w:r>
        <w:t>has not</w:t>
      </w:r>
      <w:r>
        <w:rPr>
          <w:spacing w:val="-8"/>
        </w:rPr>
        <w:t xml:space="preserve"> </w:t>
      </w:r>
      <w:r>
        <w:t>yet</w:t>
      </w:r>
      <w:r>
        <w:rPr>
          <w:spacing w:val="-7"/>
        </w:rPr>
        <w:t xml:space="preserve"> </w:t>
      </w:r>
      <w:r>
        <w:t>released</w:t>
      </w:r>
      <w:r>
        <w:rPr>
          <w:spacing w:val="-8"/>
        </w:rPr>
        <w:t xml:space="preserve"> </w:t>
      </w:r>
      <w:r>
        <w:t>a</w:t>
      </w:r>
      <w:r>
        <w:rPr>
          <w:spacing w:val="-5"/>
        </w:rPr>
        <w:t xml:space="preserve"> </w:t>
      </w:r>
      <w:r>
        <w:t>nondiscrimination</w:t>
      </w:r>
      <w:r>
        <w:rPr>
          <w:spacing w:val="-6"/>
        </w:rPr>
        <w:t xml:space="preserve"> </w:t>
      </w:r>
      <w:r>
        <w:t>policy</w:t>
      </w:r>
      <w:r>
        <w:rPr>
          <w:spacing w:val="-8"/>
        </w:rPr>
        <w:t xml:space="preserve"> </w:t>
      </w:r>
      <w:r>
        <w:t>for</w:t>
      </w:r>
      <w:r>
        <w:rPr>
          <w:spacing w:val="-7"/>
        </w:rPr>
        <w:t xml:space="preserve"> </w:t>
      </w:r>
      <w:r>
        <w:t>LGBTQ</w:t>
      </w:r>
      <w:r>
        <w:rPr>
          <w:spacing w:val="-7"/>
        </w:rPr>
        <w:t xml:space="preserve"> </w:t>
      </w:r>
      <w:r>
        <w:t>youth</w:t>
      </w:r>
      <w:r>
        <w:rPr>
          <w:spacing w:val="-7"/>
        </w:rPr>
        <w:t xml:space="preserve"> </w:t>
      </w:r>
      <w:r>
        <w:t>-</w:t>
      </w:r>
      <w:r>
        <w:rPr>
          <w:spacing w:val="-7"/>
        </w:rPr>
        <w:t xml:space="preserve"> </w:t>
      </w:r>
      <w:r>
        <w:t>a</w:t>
      </w:r>
      <w:r>
        <w:rPr>
          <w:spacing w:val="-6"/>
        </w:rPr>
        <w:t xml:space="preserve"> </w:t>
      </w:r>
      <w:r>
        <w:t>longstanding</w:t>
      </w:r>
      <w:r>
        <w:rPr>
          <w:spacing w:val="-7"/>
        </w:rPr>
        <w:t xml:space="preserve"> </w:t>
      </w:r>
      <w:r>
        <w:t>priority</w:t>
      </w:r>
      <w:r>
        <w:rPr>
          <w:spacing w:val="-8"/>
        </w:rPr>
        <w:t xml:space="preserve"> </w:t>
      </w:r>
      <w:r>
        <w:t>for</w:t>
      </w:r>
      <w:r>
        <w:rPr>
          <w:spacing w:val="-7"/>
        </w:rPr>
        <w:t xml:space="preserve"> </w:t>
      </w:r>
      <w:r>
        <w:t>the</w:t>
      </w:r>
      <w:r>
        <w:rPr>
          <w:spacing w:val="-5"/>
        </w:rPr>
        <w:t xml:space="preserve"> </w:t>
      </w:r>
      <w:r>
        <w:t>Commission. At</w:t>
      </w:r>
      <w:r>
        <w:rPr>
          <w:spacing w:val="-11"/>
        </w:rPr>
        <w:t xml:space="preserve"> </w:t>
      </w:r>
      <w:r>
        <w:t>the</w:t>
      </w:r>
      <w:r>
        <w:rPr>
          <w:spacing w:val="-9"/>
        </w:rPr>
        <w:t xml:space="preserve"> </w:t>
      </w:r>
      <w:r>
        <w:t>time</w:t>
      </w:r>
      <w:r>
        <w:rPr>
          <w:spacing w:val="-10"/>
        </w:rPr>
        <w:t xml:space="preserve"> </w:t>
      </w:r>
      <w:r>
        <w:t>of</w:t>
      </w:r>
      <w:r>
        <w:rPr>
          <w:spacing w:val="-10"/>
        </w:rPr>
        <w:t xml:space="preserve"> </w:t>
      </w:r>
      <w:r>
        <w:t>this</w:t>
      </w:r>
      <w:r>
        <w:rPr>
          <w:spacing w:val="-10"/>
        </w:rPr>
        <w:t xml:space="preserve"> </w:t>
      </w:r>
      <w:r>
        <w:t>report's</w:t>
      </w:r>
      <w:r>
        <w:rPr>
          <w:spacing w:val="-7"/>
        </w:rPr>
        <w:t xml:space="preserve"> </w:t>
      </w:r>
      <w:r>
        <w:t>release,</w:t>
      </w:r>
      <w:r>
        <w:rPr>
          <w:spacing w:val="-10"/>
        </w:rPr>
        <w:t xml:space="preserve"> </w:t>
      </w:r>
      <w:r>
        <w:t>the</w:t>
      </w:r>
      <w:r>
        <w:rPr>
          <w:spacing w:val="-10"/>
        </w:rPr>
        <w:t xml:space="preserve"> </w:t>
      </w:r>
      <w:r>
        <w:t>Commission</w:t>
      </w:r>
      <w:r>
        <w:rPr>
          <w:spacing w:val="-11"/>
        </w:rPr>
        <w:t xml:space="preserve"> </w:t>
      </w:r>
      <w:r>
        <w:t>has</w:t>
      </w:r>
      <w:r>
        <w:rPr>
          <w:spacing w:val="-10"/>
        </w:rPr>
        <w:t xml:space="preserve"> </w:t>
      </w:r>
      <w:r>
        <w:t>met</w:t>
      </w:r>
      <w:r>
        <w:rPr>
          <w:spacing w:val="-11"/>
        </w:rPr>
        <w:t xml:space="preserve"> </w:t>
      </w:r>
      <w:r>
        <w:t>with</w:t>
      </w:r>
      <w:r>
        <w:rPr>
          <w:spacing w:val="-10"/>
        </w:rPr>
        <w:t xml:space="preserve"> </w:t>
      </w:r>
      <w:r>
        <w:t>DCF</w:t>
      </w:r>
      <w:r>
        <w:rPr>
          <w:spacing w:val="-11"/>
        </w:rPr>
        <w:t xml:space="preserve"> </w:t>
      </w:r>
      <w:r>
        <w:t>to</w:t>
      </w:r>
      <w:r>
        <w:rPr>
          <w:spacing w:val="-10"/>
        </w:rPr>
        <w:t xml:space="preserve"> </w:t>
      </w:r>
      <w:r>
        <w:t>discuss</w:t>
      </w:r>
      <w:r>
        <w:rPr>
          <w:spacing w:val="-10"/>
        </w:rPr>
        <w:t xml:space="preserve"> </w:t>
      </w:r>
      <w:r>
        <w:t>feedback</w:t>
      </w:r>
      <w:r>
        <w:rPr>
          <w:spacing w:val="-12"/>
        </w:rPr>
        <w:t xml:space="preserve"> </w:t>
      </w:r>
      <w:r>
        <w:t>on</w:t>
      </w:r>
      <w:r>
        <w:rPr>
          <w:spacing w:val="-8"/>
        </w:rPr>
        <w:t xml:space="preserve"> </w:t>
      </w:r>
      <w:r>
        <w:t>a</w:t>
      </w:r>
      <w:r>
        <w:rPr>
          <w:spacing w:val="-10"/>
        </w:rPr>
        <w:t xml:space="preserve"> </w:t>
      </w:r>
      <w:r>
        <w:t>draft</w:t>
      </w:r>
      <w:r>
        <w:rPr>
          <w:spacing w:val="-11"/>
        </w:rPr>
        <w:t xml:space="preserve"> </w:t>
      </w:r>
      <w:r>
        <w:t>policy and the Department’s plan to release it by the end of June 2022. Given the pervasive threats of harassment,</w:t>
      </w:r>
      <w:r>
        <w:rPr>
          <w:spacing w:val="-2"/>
        </w:rPr>
        <w:t xml:space="preserve"> </w:t>
      </w:r>
      <w:r>
        <w:t>discrimination,</w:t>
      </w:r>
      <w:r>
        <w:rPr>
          <w:spacing w:val="-3"/>
        </w:rPr>
        <w:t xml:space="preserve"> </w:t>
      </w:r>
      <w:r>
        <w:t>and</w:t>
      </w:r>
      <w:r>
        <w:rPr>
          <w:spacing w:val="-2"/>
        </w:rPr>
        <w:t xml:space="preserve"> </w:t>
      </w:r>
      <w:r>
        <w:t>violence</w:t>
      </w:r>
      <w:r>
        <w:rPr>
          <w:spacing w:val="-2"/>
        </w:rPr>
        <w:t xml:space="preserve"> </w:t>
      </w:r>
      <w:r>
        <w:t>to</w:t>
      </w:r>
      <w:r>
        <w:rPr>
          <w:spacing w:val="-1"/>
        </w:rPr>
        <w:t xml:space="preserve"> </w:t>
      </w:r>
      <w:r>
        <w:t>LGBTQ</w:t>
      </w:r>
      <w:r>
        <w:rPr>
          <w:spacing w:val="-1"/>
        </w:rPr>
        <w:t xml:space="preserve"> </w:t>
      </w:r>
      <w:r>
        <w:t>youth</w:t>
      </w:r>
      <w:r>
        <w:rPr>
          <w:spacing w:val="-2"/>
        </w:rPr>
        <w:t xml:space="preserve"> </w:t>
      </w:r>
      <w:r>
        <w:t>in</w:t>
      </w:r>
      <w:r>
        <w:rPr>
          <w:spacing w:val="-2"/>
        </w:rPr>
        <w:t xml:space="preserve"> </w:t>
      </w:r>
      <w:r>
        <w:t>state</w:t>
      </w:r>
      <w:r>
        <w:rPr>
          <w:spacing w:val="-2"/>
        </w:rPr>
        <w:t xml:space="preserve"> </w:t>
      </w:r>
      <w:r>
        <w:t>custody,</w:t>
      </w:r>
      <w:r>
        <w:rPr>
          <w:spacing w:val="-2"/>
        </w:rPr>
        <w:t xml:space="preserve"> </w:t>
      </w:r>
      <w:r>
        <w:t>LGBTQ</w:t>
      </w:r>
      <w:r>
        <w:rPr>
          <w:spacing w:val="-4"/>
        </w:rPr>
        <w:t xml:space="preserve"> </w:t>
      </w:r>
      <w:r>
        <w:t>youth</w:t>
      </w:r>
      <w:r>
        <w:rPr>
          <w:spacing w:val="-1"/>
        </w:rPr>
        <w:t xml:space="preserve"> </w:t>
      </w:r>
      <w:r>
        <w:t>cannot</w:t>
      </w:r>
      <w:r>
        <w:rPr>
          <w:spacing w:val="-3"/>
        </w:rPr>
        <w:t xml:space="preserve"> </w:t>
      </w:r>
      <w:r>
        <w:t>wait</w:t>
      </w:r>
      <w:r>
        <w:rPr>
          <w:spacing w:val="-3"/>
        </w:rPr>
        <w:t xml:space="preserve"> </w:t>
      </w:r>
      <w:r>
        <w:t>any</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480" w:right="477"/>
        <w:jc w:val="both"/>
      </w:pPr>
      <w:r>
        <w:t xml:space="preserve">longer for a policy that establishes clear expectations for respectful and affirming care. The Commission urges DCF to make a </w:t>
      </w:r>
      <w:r w:rsidR="00AB50BD">
        <w:t xml:space="preserve">timely and comprehensive </w:t>
      </w:r>
      <w:bookmarkStart w:id="761" w:name="_GoBack"/>
      <w:bookmarkEnd w:id="761"/>
      <w:r>
        <w:t>release of this policy a top priority.</w:t>
      </w:r>
    </w:p>
    <w:p w:rsidR="00C76E6D" w:rsidRDefault="00C76E6D">
      <w:pPr>
        <w:pStyle w:val="BodyText"/>
        <w:rPr>
          <w:sz w:val="20"/>
        </w:rPr>
      </w:pPr>
    </w:p>
    <w:p w:rsidR="00C76E6D" w:rsidRDefault="00913831">
      <w:pPr>
        <w:pStyle w:val="Heading5"/>
        <w:ind w:left="480"/>
        <w:jc w:val="both"/>
      </w:pPr>
      <w:r>
        <w:rPr>
          <w:spacing w:val="-2"/>
        </w:rPr>
        <w:t>Expan</w:t>
      </w:r>
      <w:r>
        <w:rPr>
          <w:spacing w:val="-2"/>
        </w:rPr>
        <w:t>ded</w:t>
      </w:r>
      <w:r>
        <w:t xml:space="preserve"> </w:t>
      </w:r>
      <w:r>
        <w:rPr>
          <w:spacing w:val="-2"/>
        </w:rPr>
        <w:t>Recommendations</w:t>
      </w:r>
    </w:p>
    <w:p w:rsidR="00C76E6D" w:rsidRDefault="00913831">
      <w:pPr>
        <w:pStyle w:val="BodyText"/>
        <w:spacing w:before="10"/>
        <w:rPr>
          <w:b/>
          <w:sz w:val="6"/>
        </w:rPr>
      </w:pPr>
      <w:r>
        <w:pict>
          <v:shape id="docshape355" o:spid="_x0000_s1109" style="position:absolute;margin-left:1in;margin-top:5.35pt;width:476.95pt;height:.1pt;z-index:-15660032;mso-wrap-distance-left:0;mso-wrap-distance-right:0;mso-position-horizontal-relative:page" coordorigin="1440,107" coordsize="9539,0" path="m1440,107r9539,e" filled="f" strokeweight="1.54pt">
            <v:path arrowok="t"/>
            <w10:wrap type="topAndBottom" anchorx="page"/>
          </v:shape>
        </w:pict>
      </w:r>
    </w:p>
    <w:p w:rsidR="00C76E6D" w:rsidRDefault="00C76E6D">
      <w:pPr>
        <w:pStyle w:val="BodyText"/>
        <w:spacing w:before="11"/>
        <w:rPr>
          <w:b/>
          <w:sz w:val="29"/>
        </w:rPr>
      </w:pPr>
    </w:p>
    <w:p w:rsidR="00C76E6D" w:rsidRDefault="00913831">
      <w:pPr>
        <w:pStyle w:val="Heading6"/>
        <w:numPr>
          <w:ilvl w:val="0"/>
          <w:numId w:val="18"/>
        </w:numPr>
        <w:tabs>
          <w:tab w:val="left" w:pos="722"/>
        </w:tabs>
        <w:ind w:hanging="244"/>
      </w:pPr>
      <w:bookmarkStart w:id="762" w:name="A._Data_Recommendations"/>
      <w:bookmarkEnd w:id="762"/>
      <w:r>
        <w:rPr>
          <w:spacing w:val="-2"/>
        </w:rPr>
        <w:t>Data</w:t>
      </w:r>
      <w:r>
        <w:rPr>
          <w:spacing w:val="-6"/>
        </w:rPr>
        <w:t xml:space="preserve"> </w:t>
      </w:r>
      <w:r>
        <w:rPr>
          <w:spacing w:val="-2"/>
        </w:rPr>
        <w:t>Recommendations</w:t>
      </w:r>
    </w:p>
    <w:p w:rsidR="00C76E6D" w:rsidRDefault="00C76E6D">
      <w:pPr>
        <w:pStyle w:val="BodyText"/>
        <w:spacing w:before="9"/>
        <w:rPr>
          <w:b/>
          <w:sz w:val="27"/>
        </w:rPr>
      </w:pPr>
    </w:p>
    <w:p w:rsidR="00C76E6D" w:rsidRDefault="00913831">
      <w:pPr>
        <w:pStyle w:val="BodyText"/>
        <w:spacing w:line="276" w:lineRule="auto"/>
        <w:ind w:left="478" w:right="476"/>
        <w:jc w:val="both"/>
      </w:pPr>
      <w:r>
        <w:t>The</w:t>
      </w:r>
      <w:r>
        <w:rPr>
          <w:spacing w:val="-13"/>
        </w:rPr>
        <w:t xml:space="preserve"> </w:t>
      </w:r>
      <w:r>
        <w:t>Commission</w:t>
      </w:r>
      <w:r>
        <w:rPr>
          <w:spacing w:val="-12"/>
        </w:rPr>
        <w:t xml:space="preserve"> </w:t>
      </w:r>
      <w:r>
        <w:t>began</w:t>
      </w:r>
      <w:r>
        <w:rPr>
          <w:spacing w:val="-13"/>
        </w:rPr>
        <w:t xml:space="preserve"> </w:t>
      </w:r>
      <w:r>
        <w:t>asking</w:t>
      </w:r>
      <w:r>
        <w:rPr>
          <w:spacing w:val="-11"/>
        </w:rPr>
        <w:t xml:space="preserve"> </w:t>
      </w:r>
      <w:r>
        <w:t>DCF</w:t>
      </w:r>
      <w:r>
        <w:rPr>
          <w:spacing w:val="-11"/>
        </w:rPr>
        <w:t xml:space="preserve"> </w:t>
      </w:r>
      <w:r>
        <w:t>to</w:t>
      </w:r>
      <w:r>
        <w:rPr>
          <w:spacing w:val="-11"/>
        </w:rPr>
        <w:t xml:space="preserve"> </w:t>
      </w:r>
      <w:r>
        <w:t>ascertain</w:t>
      </w:r>
      <w:r>
        <w:rPr>
          <w:spacing w:val="-12"/>
        </w:rPr>
        <w:t xml:space="preserve"> </w:t>
      </w:r>
      <w:r>
        <w:t>if</w:t>
      </w:r>
      <w:r>
        <w:rPr>
          <w:spacing w:val="-11"/>
        </w:rPr>
        <w:t xml:space="preserve"> </w:t>
      </w:r>
      <w:r>
        <w:t>LGBTQ</w:t>
      </w:r>
      <w:r>
        <w:rPr>
          <w:spacing w:val="-13"/>
        </w:rPr>
        <w:t xml:space="preserve"> </w:t>
      </w:r>
      <w:r>
        <w:t>youth</w:t>
      </w:r>
      <w:r>
        <w:rPr>
          <w:spacing w:val="-12"/>
        </w:rPr>
        <w:t xml:space="preserve"> </w:t>
      </w:r>
      <w:r>
        <w:t>achieved</w:t>
      </w:r>
      <w:r>
        <w:rPr>
          <w:spacing w:val="-11"/>
        </w:rPr>
        <w:t xml:space="preserve"> </w:t>
      </w:r>
      <w:r>
        <w:t>the</w:t>
      </w:r>
      <w:r>
        <w:rPr>
          <w:spacing w:val="-12"/>
        </w:rPr>
        <w:t xml:space="preserve"> </w:t>
      </w:r>
      <w:r>
        <w:t>same</w:t>
      </w:r>
      <w:r>
        <w:rPr>
          <w:spacing w:val="-9"/>
        </w:rPr>
        <w:t xml:space="preserve"> </w:t>
      </w:r>
      <w:r>
        <w:t>outcomes</w:t>
      </w:r>
      <w:r>
        <w:rPr>
          <w:spacing w:val="-11"/>
        </w:rPr>
        <w:t xml:space="preserve"> </w:t>
      </w:r>
      <w:r>
        <w:t>as</w:t>
      </w:r>
      <w:r>
        <w:rPr>
          <w:spacing w:val="-10"/>
        </w:rPr>
        <w:t xml:space="preserve"> </w:t>
      </w:r>
      <w:r>
        <w:t>their</w:t>
      </w:r>
      <w:r>
        <w:rPr>
          <w:spacing w:val="-10"/>
        </w:rPr>
        <w:t xml:space="preserve"> </w:t>
      </w:r>
      <w:r>
        <w:t>peers and the extent to which race and ethnicity impacted those outcomes in its FY11 recommendations. DCF created the fields to collect SOGI data elements in 2016 and began to implement the capacity to collect SOGI data in 2017, but the IT changes were inc</w:t>
      </w:r>
      <w:r>
        <w:t>omplete and remained optional. In their FY20 and FY21 annual reports, DCF reported the percentages of youth in care who identified as LGBTQ, based on a sample of youth who had SOGI demographic fields completed. However, the low numbers of youth for whom th</w:t>
      </w:r>
      <w:r>
        <w:t>ese data were available leave the reliability of these values unclear.</w:t>
      </w:r>
      <w:r>
        <w:rPr>
          <w:vertAlign w:val="superscript"/>
        </w:rPr>
        <w:t>9</w:t>
      </w:r>
    </w:p>
    <w:p w:rsidR="00C76E6D" w:rsidRDefault="00C76E6D">
      <w:pPr>
        <w:pStyle w:val="BodyText"/>
        <w:spacing w:before="6"/>
        <w:rPr>
          <w:sz w:val="24"/>
        </w:rPr>
      </w:pPr>
    </w:p>
    <w:p w:rsidR="00C76E6D" w:rsidRDefault="00913831">
      <w:pPr>
        <w:pStyle w:val="BodyText"/>
        <w:spacing w:before="1" w:line="276" w:lineRule="auto"/>
        <w:ind w:left="480" w:right="475" w:hanging="1"/>
        <w:jc w:val="both"/>
      </w:pPr>
      <w:r>
        <w:t>In</w:t>
      </w:r>
      <w:r>
        <w:rPr>
          <w:spacing w:val="-7"/>
        </w:rPr>
        <w:t xml:space="preserve"> </w:t>
      </w:r>
      <w:r>
        <w:t>April</w:t>
      </w:r>
      <w:r>
        <w:rPr>
          <w:spacing w:val="-6"/>
        </w:rPr>
        <w:t xml:space="preserve"> </w:t>
      </w:r>
      <w:r>
        <w:t>2022,</w:t>
      </w:r>
      <w:r>
        <w:rPr>
          <w:spacing w:val="-5"/>
        </w:rPr>
        <w:t xml:space="preserve"> </w:t>
      </w:r>
      <w:r>
        <w:t>DCF</w:t>
      </w:r>
      <w:r>
        <w:rPr>
          <w:spacing w:val="-6"/>
        </w:rPr>
        <w:t xml:space="preserve"> </w:t>
      </w:r>
      <w:r>
        <w:t>implemented</w:t>
      </w:r>
      <w:r>
        <w:rPr>
          <w:spacing w:val="-3"/>
        </w:rPr>
        <w:t xml:space="preserve"> </w:t>
      </w:r>
      <w:r>
        <w:t>mandatory</w:t>
      </w:r>
      <w:r>
        <w:rPr>
          <w:spacing w:val="-6"/>
        </w:rPr>
        <w:t xml:space="preserve"> </w:t>
      </w:r>
      <w:r>
        <w:t>SOGI</w:t>
      </w:r>
      <w:r>
        <w:rPr>
          <w:spacing w:val="-4"/>
        </w:rPr>
        <w:t xml:space="preserve"> </w:t>
      </w:r>
      <w:r>
        <w:t>data</w:t>
      </w:r>
      <w:r>
        <w:rPr>
          <w:spacing w:val="-6"/>
        </w:rPr>
        <w:t xml:space="preserve"> </w:t>
      </w:r>
      <w:r>
        <w:t>collection</w:t>
      </w:r>
      <w:r>
        <w:rPr>
          <w:spacing w:val="-6"/>
        </w:rPr>
        <w:t xml:space="preserve"> </w:t>
      </w:r>
      <w:r>
        <w:t>for</w:t>
      </w:r>
      <w:r>
        <w:rPr>
          <w:spacing w:val="-6"/>
        </w:rPr>
        <w:t xml:space="preserve"> </w:t>
      </w:r>
      <w:r>
        <w:t>all</w:t>
      </w:r>
      <w:r>
        <w:rPr>
          <w:spacing w:val="-6"/>
        </w:rPr>
        <w:t xml:space="preserve"> </w:t>
      </w:r>
      <w:r>
        <w:t>consumers</w:t>
      </w:r>
      <w:r>
        <w:rPr>
          <w:spacing w:val="-6"/>
        </w:rPr>
        <w:t xml:space="preserve"> </w:t>
      </w:r>
      <w:r>
        <w:t>over</w:t>
      </w:r>
      <w:r>
        <w:rPr>
          <w:spacing w:val="-6"/>
        </w:rPr>
        <w:t xml:space="preserve"> </w:t>
      </w:r>
      <w:r>
        <w:t>the</w:t>
      </w:r>
      <w:r>
        <w:rPr>
          <w:spacing w:val="-7"/>
        </w:rPr>
        <w:t xml:space="preserve"> </w:t>
      </w:r>
      <w:r>
        <w:t>age</w:t>
      </w:r>
      <w:r>
        <w:rPr>
          <w:spacing w:val="-7"/>
        </w:rPr>
        <w:t xml:space="preserve"> </w:t>
      </w:r>
      <w:r>
        <w:t>of</w:t>
      </w:r>
      <w:r>
        <w:rPr>
          <w:spacing w:val="-6"/>
        </w:rPr>
        <w:t xml:space="preserve"> </w:t>
      </w:r>
      <w:r>
        <w:t>3</w:t>
      </w:r>
      <w:r>
        <w:rPr>
          <w:spacing w:val="-5"/>
        </w:rPr>
        <w:t xml:space="preserve"> </w:t>
      </w:r>
      <w:r>
        <w:t>years old</w:t>
      </w:r>
      <w:r>
        <w:rPr>
          <w:spacing w:val="-1"/>
        </w:rPr>
        <w:t xml:space="preserve"> </w:t>
      </w:r>
      <w:r>
        <w:t>during the</w:t>
      </w:r>
      <w:r>
        <w:rPr>
          <w:spacing w:val="-1"/>
        </w:rPr>
        <w:t xml:space="preserve"> </w:t>
      </w:r>
      <w:r>
        <w:t>family assessment and action plan process.</w:t>
      </w:r>
      <w:r>
        <w:rPr>
          <w:spacing w:val="-1"/>
        </w:rPr>
        <w:t xml:space="preserve"> </w:t>
      </w:r>
      <w:r>
        <w:t>DCF has indicated it intends to build upon this work</w:t>
      </w:r>
      <w:r>
        <w:rPr>
          <w:spacing w:val="-9"/>
        </w:rPr>
        <w:t xml:space="preserve"> </w:t>
      </w:r>
      <w:r>
        <w:t>by</w:t>
      </w:r>
      <w:r>
        <w:rPr>
          <w:spacing w:val="-6"/>
        </w:rPr>
        <w:t xml:space="preserve"> </w:t>
      </w:r>
      <w:r>
        <w:t>offering</w:t>
      </w:r>
      <w:r>
        <w:rPr>
          <w:spacing w:val="-8"/>
        </w:rPr>
        <w:t xml:space="preserve"> </w:t>
      </w:r>
      <w:r>
        <w:t>training</w:t>
      </w:r>
      <w:r>
        <w:rPr>
          <w:spacing w:val="-7"/>
        </w:rPr>
        <w:t xml:space="preserve"> </w:t>
      </w:r>
      <w:r>
        <w:t>opportunities</w:t>
      </w:r>
      <w:r>
        <w:rPr>
          <w:spacing w:val="-4"/>
        </w:rPr>
        <w:t xml:space="preserve"> </w:t>
      </w:r>
      <w:r>
        <w:t>and</w:t>
      </w:r>
      <w:r>
        <w:rPr>
          <w:spacing w:val="-8"/>
        </w:rPr>
        <w:t xml:space="preserve"> </w:t>
      </w:r>
      <w:r>
        <w:t>making</w:t>
      </w:r>
      <w:r>
        <w:rPr>
          <w:spacing w:val="-8"/>
        </w:rPr>
        <w:t xml:space="preserve"> </w:t>
      </w:r>
      <w:r>
        <w:t>future</w:t>
      </w:r>
      <w:r>
        <w:rPr>
          <w:spacing w:val="-5"/>
        </w:rPr>
        <w:t xml:space="preserve"> </w:t>
      </w:r>
      <w:r>
        <w:t>changes</w:t>
      </w:r>
      <w:r>
        <w:rPr>
          <w:spacing w:val="-7"/>
        </w:rPr>
        <w:t xml:space="preserve"> </w:t>
      </w:r>
      <w:r>
        <w:t>to</w:t>
      </w:r>
      <w:r>
        <w:rPr>
          <w:spacing w:val="-7"/>
        </w:rPr>
        <w:t xml:space="preserve"> </w:t>
      </w:r>
      <w:r>
        <w:t>its</w:t>
      </w:r>
      <w:r>
        <w:rPr>
          <w:spacing w:val="-6"/>
        </w:rPr>
        <w:t xml:space="preserve"> </w:t>
      </w:r>
      <w:r>
        <w:t>data</w:t>
      </w:r>
      <w:r>
        <w:rPr>
          <w:spacing w:val="-6"/>
        </w:rPr>
        <w:t xml:space="preserve"> </w:t>
      </w:r>
      <w:r>
        <w:t>collection</w:t>
      </w:r>
      <w:r>
        <w:rPr>
          <w:spacing w:val="-7"/>
        </w:rPr>
        <w:t xml:space="preserve"> </w:t>
      </w:r>
      <w:r>
        <w:t>system,</w:t>
      </w:r>
      <w:r>
        <w:rPr>
          <w:spacing w:val="-7"/>
        </w:rPr>
        <w:t xml:space="preserve"> </w:t>
      </w:r>
      <w:r>
        <w:t>including collecting information on pronouns and chosen names, which the Department has committed to implementi</w:t>
      </w:r>
      <w:r>
        <w:t>ng by September 2022.</w:t>
      </w:r>
    </w:p>
    <w:p w:rsidR="00C76E6D" w:rsidRDefault="00C76E6D">
      <w:pPr>
        <w:pStyle w:val="BodyText"/>
        <w:spacing w:before="8"/>
        <w:rPr>
          <w:sz w:val="19"/>
        </w:rPr>
      </w:pPr>
    </w:p>
    <w:p w:rsidR="00C76E6D" w:rsidRDefault="00913831">
      <w:pPr>
        <w:pStyle w:val="BodyText"/>
        <w:spacing w:line="276" w:lineRule="auto"/>
        <w:ind w:left="480" w:right="477"/>
        <w:jc w:val="both"/>
      </w:pPr>
      <w:r>
        <w:t>To ensure that DCF and other Massachusetts stakeholders have the information needed to understand the experiences of and outcomes for queer youth and other LGBTQ individuals interacting with DCF, the Commission makes the following recommendations.</w:t>
      </w:r>
    </w:p>
    <w:p w:rsidR="00C76E6D" w:rsidRDefault="00C76E6D">
      <w:pPr>
        <w:pStyle w:val="BodyText"/>
        <w:spacing w:before="3"/>
        <w:rPr>
          <w:sz w:val="25"/>
        </w:rPr>
      </w:pPr>
    </w:p>
    <w:p w:rsidR="00C76E6D" w:rsidRDefault="00913831">
      <w:pPr>
        <w:pStyle w:val="Heading6"/>
        <w:numPr>
          <w:ilvl w:val="0"/>
          <w:numId w:val="17"/>
        </w:numPr>
        <w:tabs>
          <w:tab w:val="left" w:pos="707"/>
        </w:tabs>
        <w:spacing w:line="276" w:lineRule="auto"/>
        <w:ind w:right="565" w:firstLine="0"/>
      </w:pPr>
      <w:bookmarkStart w:id="763" w:name="1._Ensure_thorough_and_accurate_SOGI_dat"/>
      <w:bookmarkEnd w:id="763"/>
      <w:r>
        <w:t>Ensure</w:t>
      </w:r>
      <w:r>
        <w:rPr>
          <w:spacing w:val="-3"/>
        </w:rPr>
        <w:t xml:space="preserve"> </w:t>
      </w:r>
      <w:r>
        <w:t>thorough</w:t>
      </w:r>
      <w:r>
        <w:rPr>
          <w:spacing w:val="-3"/>
        </w:rPr>
        <w:t xml:space="preserve"> </w:t>
      </w:r>
      <w:r>
        <w:t>and</w:t>
      </w:r>
      <w:r>
        <w:rPr>
          <w:spacing w:val="-3"/>
        </w:rPr>
        <w:t xml:space="preserve"> </w:t>
      </w:r>
      <w:r>
        <w:t>accurate</w:t>
      </w:r>
      <w:r>
        <w:rPr>
          <w:spacing w:val="-4"/>
        </w:rPr>
        <w:t xml:space="preserve"> </w:t>
      </w:r>
      <w:r>
        <w:t>SOGI</w:t>
      </w:r>
      <w:r>
        <w:rPr>
          <w:spacing w:val="-4"/>
        </w:rPr>
        <w:t xml:space="preserve"> </w:t>
      </w:r>
      <w:r>
        <w:t>data</w:t>
      </w:r>
      <w:r>
        <w:rPr>
          <w:spacing w:val="-4"/>
        </w:rPr>
        <w:t xml:space="preserve"> </w:t>
      </w:r>
      <w:r>
        <w:t>collection</w:t>
      </w:r>
      <w:r>
        <w:rPr>
          <w:spacing w:val="-3"/>
        </w:rPr>
        <w:t xml:space="preserve"> </w:t>
      </w:r>
      <w:r>
        <w:t>through</w:t>
      </w:r>
      <w:r>
        <w:rPr>
          <w:spacing w:val="-4"/>
        </w:rPr>
        <w:t xml:space="preserve"> </w:t>
      </w:r>
      <w:r>
        <w:t>implementation</w:t>
      </w:r>
      <w:r>
        <w:rPr>
          <w:spacing w:val="-3"/>
        </w:rPr>
        <w:t xml:space="preserve"> </w:t>
      </w:r>
      <w:r>
        <w:t>of</w:t>
      </w:r>
      <w:r>
        <w:rPr>
          <w:spacing w:val="-3"/>
        </w:rPr>
        <w:t xml:space="preserve"> </w:t>
      </w:r>
      <w:r>
        <w:t>the</w:t>
      </w:r>
      <w:r>
        <w:rPr>
          <w:spacing w:val="-4"/>
        </w:rPr>
        <w:t xml:space="preserve"> </w:t>
      </w:r>
      <w:r>
        <w:t>new</w:t>
      </w:r>
      <w:r>
        <w:rPr>
          <w:spacing w:val="-3"/>
        </w:rPr>
        <w:t xml:space="preserve"> </w:t>
      </w:r>
      <w:r>
        <w:t>mandatory data elements and staff training.</w:t>
      </w:r>
    </w:p>
    <w:p w:rsidR="00C76E6D" w:rsidRDefault="00C76E6D">
      <w:pPr>
        <w:pStyle w:val="BodyText"/>
        <w:spacing w:before="8"/>
        <w:rPr>
          <w:b/>
          <w:sz w:val="19"/>
        </w:rPr>
      </w:pPr>
    </w:p>
    <w:p w:rsidR="00C76E6D" w:rsidRDefault="00913831">
      <w:pPr>
        <w:pStyle w:val="BodyText"/>
        <w:spacing w:line="276" w:lineRule="auto"/>
        <w:ind w:left="766" w:right="473"/>
        <w:jc w:val="both"/>
      </w:pPr>
      <w:r>
        <w:t>DCF’s</w:t>
      </w:r>
      <w:r>
        <w:rPr>
          <w:spacing w:val="-5"/>
        </w:rPr>
        <w:t xml:space="preserve"> </w:t>
      </w:r>
      <w:r>
        <w:t>implementation</w:t>
      </w:r>
      <w:r>
        <w:rPr>
          <w:spacing w:val="-4"/>
        </w:rPr>
        <w:t xml:space="preserve"> </w:t>
      </w:r>
      <w:r>
        <w:t>of</w:t>
      </w:r>
      <w:r>
        <w:rPr>
          <w:spacing w:val="-4"/>
        </w:rPr>
        <w:t xml:space="preserve"> </w:t>
      </w:r>
      <w:r>
        <w:t>mandatory</w:t>
      </w:r>
      <w:r>
        <w:rPr>
          <w:spacing w:val="-5"/>
        </w:rPr>
        <w:t xml:space="preserve"> </w:t>
      </w:r>
      <w:r>
        <w:t>SOGI</w:t>
      </w:r>
      <w:r>
        <w:rPr>
          <w:spacing w:val="-5"/>
        </w:rPr>
        <w:t xml:space="preserve"> </w:t>
      </w:r>
      <w:r>
        <w:t>data</w:t>
      </w:r>
      <w:r>
        <w:rPr>
          <w:spacing w:val="-5"/>
        </w:rPr>
        <w:t xml:space="preserve"> </w:t>
      </w:r>
      <w:r>
        <w:t>elements</w:t>
      </w:r>
      <w:r>
        <w:rPr>
          <w:spacing w:val="-5"/>
        </w:rPr>
        <w:t xml:space="preserve"> </w:t>
      </w:r>
      <w:r>
        <w:t>is</w:t>
      </w:r>
      <w:r>
        <w:rPr>
          <w:spacing w:val="-4"/>
        </w:rPr>
        <w:t xml:space="preserve"> </w:t>
      </w:r>
      <w:r>
        <w:t>an</w:t>
      </w:r>
      <w:r>
        <w:rPr>
          <w:spacing w:val="-6"/>
        </w:rPr>
        <w:t xml:space="preserve"> </w:t>
      </w:r>
      <w:r>
        <w:t>important</w:t>
      </w:r>
      <w:r>
        <w:rPr>
          <w:spacing w:val="-6"/>
        </w:rPr>
        <w:t xml:space="preserve"> </w:t>
      </w:r>
      <w:r>
        <w:t>first</w:t>
      </w:r>
      <w:r>
        <w:rPr>
          <w:spacing w:val="-6"/>
        </w:rPr>
        <w:t xml:space="preserve"> </w:t>
      </w:r>
      <w:r>
        <w:t>step</w:t>
      </w:r>
      <w:r>
        <w:rPr>
          <w:spacing w:val="-6"/>
        </w:rPr>
        <w:t xml:space="preserve"> </w:t>
      </w:r>
      <w:r>
        <w:t>in</w:t>
      </w:r>
      <w:r>
        <w:rPr>
          <w:spacing w:val="-6"/>
        </w:rPr>
        <w:t xml:space="preserve"> </w:t>
      </w:r>
      <w:r>
        <w:t>obtaining</w:t>
      </w:r>
      <w:r>
        <w:rPr>
          <w:spacing w:val="-6"/>
        </w:rPr>
        <w:t xml:space="preserve"> </w:t>
      </w:r>
      <w:r>
        <w:t>a</w:t>
      </w:r>
      <w:r>
        <w:rPr>
          <w:spacing w:val="-4"/>
        </w:rPr>
        <w:t xml:space="preserve"> </w:t>
      </w:r>
      <w:r>
        <w:t>more comprehensive understanding of what disparities exist for LGBTQ youth in DCF care and how to address them. The quality of the data collected depends on DCF staff’s ability to respectfully ask for and</w:t>
      </w:r>
      <w:r>
        <w:rPr>
          <w:spacing w:val="-1"/>
        </w:rPr>
        <w:t xml:space="preserve"> </w:t>
      </w:r>
      <w:r>
        <w:t>accurately record SOGI</w:t>
      </w:r>
      <w:r>
        <w:rPr>
          <w:spacing w:val="-1"/>
        </w:rPr>
        <w:t xml:space="preserve"> </w:t>
      </w:r>
      <w:r>
        <w:t>information. The Commission</w:t>
      </w:r>
      <w:r>
        <w:rPr>
          <w:spacing w:val="-1"/>
        </w:rPr>
        <w:t xml:space="preserve"> </w:t>
      </w:r>
      <w:r>
        <w:t>understands that DCF intends to release</w:t>
      </w:r>
      <w:r>
        <w:rPr>
          <w:spacing w:val="-1"/>
        </w:rPr>
        <w:t xml:space="preserve"> </w:t>
      </w:r>
      <w:r>
        <w:t>an e-learning</w:t>
      </w:r>
      <w:r>
        <w:rPr>
          <w:spacing w:val="-1"/>
        </w:rPr>
        <w:t xml:space="preserve"> </w:t>
      </w:r>
      <w:r>
        <w:t>module</w:t>
      </w:r>
      <w:r>
        <w:rPr>
          <w:spacing w:val="-3"/>
        </w:rPr>
        <w:t xml:space="preserve"> </w:t>
      </w:r>
      <w:r>
        <w:t>in June</w:t>
      </w:r>
      <w:r>
        <w:rPr>
          <w:spacing w:val="-2"/>
        </w:rPr>
        <w:t xml:space="preserve"> </w:t>
      </w:r>
      <w:r>
        <w:t>of</w:t>
      </w:r>
      <w:r>
        <w:rPr>
          <w:spacing w:val="-3"/>
        </w:rPr>
        <w:t xml:space="preserve"> </w:t>
      </w:r>
      <w:r>
        <w:t>2022,</w:t>
      </w:r>
      <w:r>
        <w:rPr>
          <w:spacing w:val="-2"/>
        </w:rPr>
        <w:t xml:space="preserve"> </w:t>
      </w:r>
      <w:r>
        <w:t>to</w:t>
      </w:r>
      <w:r>
        <w:rPr>
          <w:spacing w:val="-1"/>
        </w:rPr>
        <w:t xml:space="preserve"> </w:t>
      </w:r>
      <w:r>
        <w:t>build</w:t>
      </w:r>
      <w:r>
        <w:rPr>
          <w:spacing w:val="-3"/>
        </w:rPr>
        <w:t xml:space="preserve"> </w:t>
      </w:r>
      <w:r>
        <w:t>staff</w:t>
      </w:r>
      <w:r>
        <w:rPr>
          <w:spacing w:val="-2"/>
        </w:rPr>
        <w:t xml:space="preserve"> </w:t>
      </w:r>
      <w:r>
        <w:t>interview</w:t>
      </w:r>
      <w:r>
        <w:rPr>
          <w:spacing w:val="-4"/>
        </w:rPr>
        <w:t xml:space="preserve"> </w:t>
      </w:r>
      <w:r>
        <w:t>skills</w:t>
      </w:r>
      <w:r>
        <w:rPr>
          <w:spacing w:val="-2"/>
        </w:rPr>
        <w:t xml:space="preserve"> </w:t>
      </w:r>
      <w:r>
        <w:t>and</w:t>
      </w:r>
      <w:r>
        <w:rPr>
          <w:spacing w:val="-3"/>
        </w:rPr>
        <w:t xml:space="preserve"> </w:t>
      </w:r>
      <w:r>
        <w:t>provide</w:t>
      </w:r>
      <w:r>
        <w:rPr>
          <w:spacing w:val="-2"/>
        </w:rPr>
        <w:t xml:space="preserve"> </w:t>
      </w:r>
      <w:r>
        <w:t>information</w:t>
      </w:r>
      <w:r>
        <w:rPr>
          <w:spacing w:val="-3"/>
        </w:rPr>
        <w:t xml:space="preserve"> </w:t>
      </w:r>
      <w:r>
        <w:t>on</w:t>
      </w:r>
      <w:r>
        <w:rPr>
          <w:spacing w:val="-2"/>
        </w:rPr>
        <w:t xml:space="preserve"> </w:t>
      </w:r>
      <w:r>
        <w:t>why</w:t>
      </w:r>
      <w:r>
        <w:rPr>
          <w:spacing w:val="-2"/>
        </w:rPr>
        <w:t xml:space="preserve"> </w:t>
      </w:r>
      <w:r>
        <w:t>SOGI data collection matters. The Commission urges DCF to ensure that all staff take that training and to provide f</w:t>
      </w:r>
      <w:r>
        <w:t xml:space="preserve">urther training and support for staff as needed during the implementation phase of this </w:t>
      </w:r>
      <w:r>
        <w:rPr>
          <w:spacing w:val="-2"/>
        </w:rPr>
        <w:t>project.</w:t>
      </w:r>
    </w:p>
    <w:p w:rsidR="00C76E6D" w:rsidRDefault="00C76E6D">
      <w:pPr>
        <w:pStyle w:val="BodyText"/>
        <w:spacing w:before="5"/>
        <w:rPr>
          <w:sz w:val="25"/>
        </w:rPr>
      </w:pPr>
    </w:p>
    <w:p w:rsidR="00C76E6D" w:rsidRDefault="00913831">
      <w:pPr>
        <w:pStyle w:val="Heading6"/>
        <w:numPr>
          <w:ilvl w:val="0"/>
          <w:numId w:val="17"/>
        </w:numPr>
        <w:tabs>
          <w:tab w:val="left" w:pos="699"/>
        </w:tabs>
        <w:ind w:left="698" w:hanging="222"/>
      </w:pPr>
      <w:bookmarkStart w:id="764" w:name="2._Create_and_follow_a_plan_for_addition"/>
      <w:bookmarkEnd w:id="764"/>
      <w:r>
        <w:t>Create</w:t>
      </w:r>
      <w:r>
        <w:rPr>
          <w:spacing w:val="-13"/>
        </w:rPr>
        <w:t xml:space="preserve"> </w:t>
      </w:r>
      <w:r>
        <w:t>and</w:t>
      </w:r>
      <w:r>
        <w:rPr>
          <w:spacing w:val="-12"/>
        </w:rPr>
        <w:t xml:space="preserve"> </w:t>
      </w:r>
      <w:r>
        <w:t>follow</w:t>
      </w:r>
      <w:r>
        <w:rPr>
          <w:spacing w:val="-13"/>
        </w:rPr>
        <w:t xml:space="preserve"> </w:t>
      </w:r>
      <w:r>
        <w:t>a</w:t>
      </w:r>
      <w:r>
        <w:rPr>
          <w:spacing w:val="-12"/>
        </w:rPr>
        <w:t xml:space="preserve"> </w:t>
      </w:r>
      <w:r>
        <w:t>plan</w:t>
      </w:r>
      <w:r>
        <w:rPr>
          <w:spacing w:val="-13"/>
        </w:rPr>
        <w:t xml:space="preserve"> </w:t>
      </w:r>
      <w:r>
        <w:t>for</w:t>
      </w:r>
      <w:r>
        <w:rPr>
          <w:spacing w:val="-12"/>
        </w:rPr>
        <w:t xml:space="preserve"> </w:t>
      </w:r>
      <w:r>
        <w:t>additional</w:t>
      </w:r>
      <w:r>
        <w:rPr>
          <w:spacing w:val="-13"/>
        </w:rPr>
        <w:t xml:space="preserve"> </w:t>
      </w:r>
      <w:r>
        <w:t>phases</w:t>
      </w:r>
      <w:r>
        <w:rPr>
          <w:spacing w:val="-12"/>
        </w:rPr>
        <w:t xml:space="preserve"> </w:t>
      </w:r>
      <w:r>
        <w:t>of</w:t>
      </w:r>
      <w:r>
        <w:rPr>
          <w:spacing w:val="-12"/>
        </w:rPr>
        <w:t xml:space="preserve"> </w:t>
      </w:r>
      <w:r>
        <w:t>SOGI</w:t>
      </w:r>
      <w:r>
        <w:rPr>
          <w:spacing w:val="-13"/>
        </w:rPr>
        <w:t xml:space="preserve"> </w:t>
      </w:r>
      <w:r>
        <w:t>data</w:t>
      </w:r>
      <w:r>
        <w:rPr>
          <w:spacing w:val="-12"/>
        </w:rPr>
        <w:t xml:space="preserve"> </w:t>
      </w:r>
      <w:r>
        <w:rPr>
          <w:spacing w:val="-2"/>
        </w:rPr>
        <w:t>collection.</w:t>
      </w:r>
    </w:p>
    <w:p w:rsidR="00C76E6D" w:rsidRDefault="00C76E6D">
      <w:pPr>
        <w:pStyle w:val="BodyText"/>
        <w:spacing w:before="10"/>
        <w:rPr>
          <w:b/>
        </w:rPr>
      </w:pPr>
    </w:p>
    <w:p w:rsidR="00C76E6D" w:rsidRDefault="00913831">
      <w:pPr>
        <w:pStyle w:val="BodyText"/>
        <w:spacing w:line="276" w:lineRule="auto"/>
        <w:ind w:left="767" w:right="475" w:hanging="1"/>
        <w:jc w:val="both"/>
      </w:pPr>
      <w:r>
        <w:t>DCF</w:t>
      </w:r>
      <w:r>
        <w:rPr>
          <w:spacing w:val="-3"/>
        </w:rPr>
        <w:t xml:space="preserve"> </w:t>
      </w:r>
      <w:r>
        <w:t>has</w:t>
      </w:r>
      <w:r>
        <w:rPr>
          <w:spacing w:val="-3"/>
        </w:rPr>
        <w:t xml:space="preserve"> </w:t>
      </w:r>
      <w:r>
        <w:t>stated</w:t>
      </w:r>
      <w:r>
        <w:rPr>
          <w:spacing w:val="-2"/>
        </w:rPr>
        <w:t xml:space="preserve"> </w:t>
      </w:r>
      <w:r>
        <w:t>that</w:t>
      </w:r>
      <w:r>
        <w:rPr>
          <w:spacing w:val="-2"/>
        </w:rPr>
        <w:t xml:space="preserve"> </w:t>
      </w:r>
      <w:r>
        <w:t>it</w:t>
      </w:r>
      <w:r>
        <w:rPr>
          <w:spacing w:val="-2"/>
        </w:rPr>
        <w:t xml:space="preserve"> </w:t>
      </w:r>
      <w:r>
        <w:t>plans</w:t>
      </w:r>
      <w:r>
        <w:rPr>
          <w:spacing w:val="-3"/>
        </w:rPr>
        <w:t xml:space="preserve"> </w:t>
      </w:r>
      <w:r>
        <w:t>to</w:t>
      </w:r>
      <w:r>
        <w:rPr>
          <w:spacing w:val="-1"/>
        </w:rPr>
        <w:t xml:space="preserve"> </w:t>
      </w:r>
      <w:r>
        <w:t>have</w:t>
      </w:r>
      <w:r>
        <w:rPr>
          <w:spacing w:val="-2"/>
        </w:rPr>
        <w:t xml:space="preserve"> </w:t>
      </w:r>
      <w:r>
        <w:t>a</w:t>
      </w:r>
      <w:r>
        <w:rPr>
          <w:spacing w:val="-1"/>
        </w:rPr>
        <w:t xml:space="preserve"> </w:t>
      </w:r>
      <w:r>
        <w:t>second</w:t>
      </w:r>
      <w:r>
        <w:rPr>
          <w:spacing w:val="-2"/>
        </w:rPr>
        <w:t xml:space="preserve"> </w:t>
      </w:r>
      <w:r>
        <w:t>and</w:t>
      </w:r>
      <w:r>
        <w:rPr>
          <w:spacing w:val="-1"/>
        </w:rPr>
        <w:t xml:space="preserve"> </w:t>
      </w:r>
      <w:r>
        <w:t>third</w:t>
      </w:r>
      <w:r>
        <w:rPr>
          <w:spacing w:val="-2"/>
        </w:rPr>
        <w:t xml:space="preserve"> </w:t>
      </w:r>
      <w:r>
        <w:t>phase</w:t>
      </w:r>
      <w:r>
        <w:rPr>
          <w:spacing w:val="-3"/>
        </w:rPr>
        <w:t xml:space="preserve"> </w:t>
      </w:r>
      <w:r>
        <w:t>of changes</w:t>
      </w:r>
      <w:r>
        <w:rPr>
          <w:spacing w:val="-1"/>
        </w:rPr>
        <w:t xml:space="preserve"> </w:t>
      </w:r>
      <w:r>
        <w:t>to data collection,</w:t>
      </w:r>
      <w:r>
        <w:rPr>
          <w:spacing w:val="-2"/>
        </w:rPr>
        <w:t xml:space="preserve"> </w:t>
      </w:r>
      <w:r>
        <w:t>which</w:t>
      </w:r>
      <w:r>
        <w:rPr>
          <w:spacing w:val="-2"/>
        </w:rPr>
        <w:t xml:space="preserve"> </w:t>
      </w:r>
      <w:r>
        <w:t>will include</w:t>
      </w:r>
      <w:r>
        <w:rPr>
          <w:spacing w:val="-8"/>
        </w:rPr>
        <w:t xml:space="preserve"> </w:t>
      </w:r>
      <w:r>
        <w:t>revisions</w:t>
      </w:r>
      <w:r>
        <w:rPr>
          <w:spacing w:val="-8"/>
        </w:rPr>
        <w:t xml:space="preserve"> </w:t>
      </w:r>
      <w:r>
        <w:t>related</w:t>
      </w:r>
      <w:r>
        <w:rPr>
          <w:spacing w:val="-8"/>
        </w:rPr>
        <w:t xml:space="preserve"> </w:t>
      </w:r>
      <w:r>
        <w:t>to</w:t>
      </w:r>
      <w:r>
        <w:rPr>
          <w:spacing w:val="-8"/>
        </w:rPr>
        <w:t xml:space="preserve"> </w:t>
      </w:r>
      <w:r>
        <w:t>the</w:t>
      </w:r>
      <w:r>
        <w:rPr>
          <w:spacing w:val="-8"/>
        </w:rPr>
        <w:t xml:space="preserve"> </w:t>
      </w:r>
      <w:r>
        <w:t>anticipated</w:t>
      </w:r>
      <w:r>
        <w:rPr>
          <w:spacing w:val="-8"/>
        </w:rPr>
        <w:t xml:space="preserve"> </w:t>
      </w:r>
      <w:r>
        <w:t>new</w:t>
      </w:r>
      <w:r>
        <w:rPr>
          <w:spacing w:val="-7"/>
        </w:rPr>
        <w:t xml:space="preserve"> </w:t>
      </w:r>
      <w:r>
        <w:t>Family</w:t>
      </w:r>
      <w:r>
        <w:rPr>
          <w:spacing w:val="-8"/>
        </w:rPr>
        <w:t xml:space="preserve"> </w:t>
      </w:r>
      <w:r>
        <w:t>Resource</w:t>
      </w:r>
      <w:r>
        <w:rPr>
          <w:spacing w:val="-8"/>
        </w:rPr>
        <w:t xml:space="preserve"> </w:t>
      </w:r>
      <w:r>
        <w:t>Policy</w:t>
      </w:r>
      <w:r>
        <w:rPr>
          <w:spacing w:val="-9"/>
        </w:rPr>
        <w:t xml:space="preserve"> </w:t>
      </w:r>
      <w:r>
        <w:t>as</w:t>
      </w:r>
      <w:r>
        <w:rPr>
          <w:spacing w:val="-8"/>
        </w:rPr>
        <w:t xml:space="preserve"> </w:t>
      </w:r>
      <w:r>
        <w:t>well</w:t>
      </w:r>
      <w:r>
        <w:rPr>
          <w:spacing w:val="-8"/>
        </w:rPr>
        <w:t xml:space="preserve"> </w:t>
      </w:r>
      <w:r>
        <w:t>as</w:t>
      </w:r>
      <w:r>
        <w:rPr>
          <w:spacing w:val="-8"/>
        </w:rPr>
        <w:t xml:space="preserve"> </w:t>
      </w:r>
      <w:r>
        <w:t>optional</w:t>
      </w:r>
      <w:r>
        <w:rPr>
          <w:spacing w:val="-8"/>
        </w:rPr>
        <w:t xml:space="preserve"> </w:t>
      </w:r>
      <w:r>
        <w:t>prompts</w:t>
      </w:r>
      <w:r>
        <w:rPr>
          <w:spacing w:val="-8"/>
        </w:rPr>
        <w:t xml:space="preserve"> </w:t>
      </w:r>
      <w:r>
        <w:t>for SOGI</w:t>
      </w:r>
      <w:r>
        <w:rPr>
          <w:spacing w:val="-13"/>
        </w:rPr>
        <w:t xml:space="preserve"> </w:t>
      </w:r>
      <w:r>
        <w:t>data</w:t>
      </w:r>
      <w:r>
        <w:rPr>
          <w:spacing w:val="-13"/>
        </w:rPr>
        <w:t xml:space="preserve"> </w:t>
      </w:r>
      <w:r>
        <w:t>collection</w:t>
      </w:r>
      <w:r>
        <w:rPr>
          <w:spacing w:val="-14"/>
        </w:rPr>
        <w:t xml:space="preserve"> </w:t>
      </w:r>
      <w:r>
        <w:t>at</w:t>
      </w:r>
      <w:r>
        <w:rPr>
          <w:spacing w:val="-14"/>
        </w:rPr>
        <w:t xml:space="preserve"> </w:t>
      </w:r>
      <w:r>
        <w:t>stages</w:t>
      </w:r>
      <w:r>
        <w:rPr>
          <w:spacing w:val="-14"/>
        </w:rPr>
        <w:t xml:space="preserve"> </w:t>
      </w:r>
      <w:r>
        <w:t>other</w:t>
      </w:r>
      <w:r>
        <w:rPr>
          <w:spacing w:val="-13"/>
        </w:rPr>
        <w:t xml:space="preserve"> </w:t>
      </w:r>
      <w:r>
        <w:t>than</w:t>
      </w:r>
      <w:r>
        <w:rPr>
          <w:spacing w:val="-12"/>
        </w:rPr>
        <w:t xml:space="preserve"> </w:t>
      </w:r>
      <w:r>
        <w:t>family</w:t>
      </w:r>
      <w:r>
        <w:rPr>
          <w:spacing w:val="-13"/>
        </w:rPr>
        <w:t xml:space="preserve"> </w:t>
      </w:r>
      <w:r>
        <w:t>assessment</w:t>
      </w:r>
      <w:r>
        <w:rPr>
          <w:spacing w:val="-13"/>
        </w:rPr>
        <w:t xml:space="preserve"> </w:t>
      </w:r>
      <w:r>
        <w:t>and</w:t>
      </w:r>
      <w:r>
        <w:rPr>
          <w:spacing w:val="-13"/>
        </w:rPr>
        <w:t xml:space="preserve"> </w:t>
      </w:r>
      <w:r>
        <w:t>fields</w:t>
      </w:r>
      <w:r>
        <w:rPr>
          <w:spacing w:val="-12"/>
        </w:rPr>
        <w:t xml:space="preserve"> </w:t>
      </w:r>
      <w:r>
        <w:t>for</w:t>
      </w:r>
      <w:r>
        <w:rPr>
          <w:spacing w:val="-14"/>
        </w:rPr>
        <w:t xml:space="preserve"> </w:t>
      </w:r>
      <w:r>
        <w:t>pronouns</w:t>
      </w:r>
      <w:r>
        <w:rPr>
          <w:spacing w:val="-13"/>
        </w:rPr>
        <w:t xml:space="preserve"> </w:t>
      </w:r>
      <w:r>
        <w:t>and</w:t>
      </w:r>
      <w:r>
        <w:rPr>
          <w:spacing w:val="-13"/>
        </w:rPr>
        <w:t xml:space="preserve"> </w:t>
      </w:r>
      <w:r>
        <w:t>chosen</w:t>
      </w:r>
      <w:r>
        <w:rPr>
          <w:spacing w:val="-13"/>
        </w:rPr>
        <w:t xml:space="preserve"> </w:t>
      </w:r>
      <w:r>
        <w:t>names.</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913831">
      <w:pPr>
        <w:pStyle w:val="BodyText"/>
        <w:spacing w:before="206" w:line="276" w:lineRule="auto"/>
        <w:ind w:left="767" w:right="473"/>
        <w:jc w:val="both"/>
      </w:pPr>
      <w:r>
        <w:t>Outlining a schedule for next steps and then making timely changes will be important for sustained momentum</w:t>
      </w:r>
      <w:r>
        <w:rPr>
          <w:spacing w:val="-13"/>
        </w:rPr>
        <w:t xml:space="preserve"> </w:t>
      </w:r>
      <w:r>
        <w:t>on</w:t>
      </w:r>
      <w:r>
        <w:rPr>
          <w:spacing w:val="-12"/>
        </w:rPr>
        <w:t xml:space="preserve"> </w:t>
      </w:r>
      <w:r>
        <w:t>data</w:t>
      </w:r>
      <w:r>
        <w:rPr>
          <w:spacing w:val="-13"/>
        </w:rPr>
        <w:t xml:space="preserve"> </w:t>
      </w:r>
      <w:r>
        <w:t>collection.</w:t>
      </w:r>
      <w:r>
        <w:rPr>
          <w:spacing w:val="-12"/>
        </w:rPr>
        <w:t xml:space="preserve"> </w:t>
      </w:r>
      <w:r>
        <w:t>The</w:t>
      </w:r>
      <w:r>
        <w:rPr>
          <w:spacing w:val="-13"/>
        </w:rPr>
        <w:t xml:space="preserve"> </w:t>
      </w:r>
      <w:r>
        <w:t>Commission</w:t>
      </w:r>
      <w:r>
        <w:rPr>
          <w:spacing w:val="-12"/>
        </w:rPr>
        <w:t xml:space="preserve"> </w:t>
      </w:r>
      <w:r>
        <w:t>urges</w:t>
      </w:r>
      <w:r>
        <w:rPr>
          <w:spacing w:val="-13"/>
        </w:rPr>
        <w:t xml:space="preserve"> </w:t>
      </w:r>
      <w:r>
        <w:t>DCF</w:t>
      </w:r>
      <w:r>
        <w:rPr>
          <w:spacing w:val="-12"/>
        </w:rPr>
        <w:t xml:space="preserve"> </w:t>
      </w:r>
      <w:r>
        <w:t>to</w:t>
      </w:r>
      <w:r>
        <w:rPr>
          <w:spacing w:val="-12"/>
        </w:rPr>
        <w:t xml:space="preserve"> </w:t>
      </w:r>
      <w:r>
        <w:t>continue</w:t>
      </w:r>
      <w:r>
        <w:rPr>
          <w:spacing w:val="-13"/>
        </w:rPr>
        <w:t xml:space="preserve"> </w:t>
      </w:r>
      <w:r>
        <w:t>focusing</w:t>
      </w:r>
      <w:r>
        <w:rPr>
          <w:spacing w:val="-12"/>
        </w:rPr>
        <w:t xml:space="preserve"> </w:t>
      </w:r>
      <w:r>
        <w:t>on</w:t>
      </w:r>
      <w:r>
        <w:rPr>
          <w:spacing w:val="-13"/>
        </w:rPr>
        <w:t xml:space="preserve"> </w:t>
      </w:r>
      <w:r>
        <w:t>SOGI</w:t>
      </w:r>
      <w:r>
        <w:rPr>
          <w:spacing w:val="-12"/>
        </w:rPr>
        <w:t xml:space="preserve"> </w:t>
      </w:r>
      <w:r>
        <w:t>data</w:t>
      </w:r>
      <w:r>
        <w:rPr>
          <w:spacing w:val="-13"/>
        </w:rPr>
        <w:t xml:space="preserve"> </w:t>
      </w:r>
      <w:r>
        <w:t>for</w:t>
      </w:r>
      <w:r>
        <w:rPr>
          <w:spacing w:val="-12"/>
        </w:rPr>
        <w:t xml:space="preserve"> </w:t>
      </w:r>
      <w:r>
        <w:t xml:space="preserve">adults interacting with the system, including parents and foster </w:t>
      </w:r>
      <w:r>
        <w:t>parents. LGBTQ foster and pre-adoptive parents have reported negative experiences to the Commission. Furthermore, very little is known about</w:t>
      </w:r>
      <w:r>
        <w:rPr>
          <w:spacing w:val="-7"/>
        </w:rPr>
        <w:t xml:space="preserve"> </w:t>
      </w:r>
      <w:r>
        <w:t>rates</w:t>
      </w:r>
      <w:r>
        <w:rPr>
          <w:spacing w:val="-5"/>
        </w:rPr>
        <w:t xml:space="preserve"> </w:t>
      </w:r>
      <w:r>
        <w:t>of</w:t>
      </w:r>
      <w:r>
        <w:rPr>
          <w:spacing w:val="-6"/>
        </w:rPr>
        <w:t xml:space="preserve"> </w:t>
      </w:r>
      <w:r>
        <w:t>removal</w:t>
      </w:r>
      <w:r>
        <w:rPr>
          <w:spacing w:val="-7"/>
        </w:rPr>
        <w:t xml:space="preserve"> </w:t>
      </w:r>
      <w:r>
        <w:t>and</w:t>
      </w:r>
      <w:r>
        <w:rPr>
          <w:spacing w:val="-7"/>
        </w:rPr>
        <w:t xml:space="preserve"> </w:t>
      </w:r>
      <w:r>
        <w:t>reunification</w:t>
      </w:r>
      <w:r>
        <w:rPr>
          <w:spacing w:val="-7"/>
        </w:rPr>
        <w:t xml:space="preserve"> </w:t>
      </w:r>
      <w:r>
        <w:t>for</w:t>
      </w:r>
      <w:r>
        <w:rPr>
          <w:spacing w:val="-7"/>
        </w:rPr>
        <w:t xml:space="preserve"> </w:t>
      </w:r>
      <w:r>
        <w:t>LGBTQ</w:t>
      </w:r>
      <w:r>
        <w:rPr>
          <w:spacing w:val="-4"/>
        </w:rPr>
        <w:t xml:space="preserve"> </w:t>
      </w:r>
      <w:r>
        <w:t>parents,</w:t>
      </w:r>
      <w:r>
        <w:rPr>
          <w:spacing w:val="-5"/>
        </w:rPr>
        <w:t xml:space="preserve"> </w:t>
      </w:r>
      <w:r>
        <w:t>though</w:t>
      </w:r>
      <w:r>
        <w:rPr>
          <w:spacing w:val="-7"/>
        </w:rPr>
        <w:t xml:space="preserve"> </w:t>
      </w:r>
      <w:r>
        <w:t>one</w:t>
      </w:r>
      <w:r>
        <w:rPr>
          <w:spacing w:val="-6"/>
        </w:rPr>
        <w:t xml:space="preserve"> </w:t>
      </w:r>
      <w:r>
        <w:t>study</w:t>
      </w:r>
      <w:r>
        <w:rPr>
          <w:spacing w:val="-4"/>
        </w:rPr>
        <w:t xml:space="preserve"> </w:t>
      </w:r>
      <w:r>
        <w:t>of</w:t>
      </w:r>
      <w:r>
        <w:rPr>
          <w:spacing w:val="-6"/>
        </w:rPr>
        <w:t xml:space="preserve"> </w:t>
      </w:r>
      <w:r>
        <w:t>Black</w:t>
      </w:r>
      <w:r>
        <w:rPr>
          <w:spacing w:val="-6"/>
        </w:rPr>
        <w:t xml:space="preserve"> </w:t>
      </w:r>
      <w:r>
        <w:t>mothers</w:t>
      </w:r>
      <w:r>
        <w:rPr>
          <w:spacing w:val="-6"/>
        </w:rPr>
        <w:t xml:space="preserve"> </w:t>
      </w:r>
      <w:r>
        <w:t>found that those who identi</w:t>
      </w:r>
      <w:r>
        <w:t>fied as lesbian or bisexual were more likely to have lost custody of a child compared to their heterosexual counterparts.</w:t>
      </w:r>
      <w:r>
        <w:rPr>
          <w:vertAlign w:val="superscript"/>
        </w:rPr>
        <w:t>10</w:t>
      </w:r>
    </w:p>
    <w:p w:rsidR="00C76E6D" w:rsidRDefault="00C76E6D">
      <w:pPr>
        <w:pStyle w:val="BodyText"/>
        <w:spacing w:before="9"/>
        <w:rPr>
          <w:sz w:val="19"/>
        </w:rPr>
      </w:pPr>
    </w:p>
    <w:p w:rsidR="00C76E6D" w:rsidRDefault="00913831">
      <w:pPr>
        <w:pStyle w:val="BodyText"/>
        <w:spacing w:line="276" w:lineRule="auto"/>
        <w:ind w:left="767" w:right="478"/>
        <w:jc w:val="both"/>
      </w:pPr>
      <w:r>
        <w:t>The</w:t>
      </w:r>
      <w:r>
        <w:rPr>
          <w:spacing w:val="-10"/>
        </w:rPr>
        <w:t xml:space="preserve"> </w:t>
      </w:r>
      <w:r>
        <w:t>more</w:t>
      </w:r>
      <w:r>
        <w:rPr>
          <w:spacing w:val="-11"/>
        </w:rPr>
        <w:t xml:space="preserve"> </w:t>
      </w:r>
      <w:r>
        <w:t>that</w:t>
      </w:r>
      <w:r>
        <w:rPr>
          <w:spacing w:val="-11"/>
        </w:rPr>
        <w:t xml:space="preserve"> </w:t>
      </w:r>
      <w:r>
        <w:t>DCF</w:t>
      </w:r>
      <w:r>
        <w:rPr>
          <w:spacing w:val="-11"/>
        </w:rPr>
        <w:t xml:space="preserve"> </w:t>
      </w:r>
      <w:r>
        <w:t>and</w:t>
      </w:r>
      <w:r>
        <w:rPr>
          <w:spacing w:val="-11"/>
        </w:rPr>
        <w:t xml:space="preserve"> </w:t>
      </w:r>
      <w:r>
        <w:t>other</w:t>
      </w:r>
      <w:r>
        <w:rPr>
          <w:spacing w:val="-11"/>
        </w:rPr>
        <w:t xml:space="preserve"> </w:t>
      </w:r>
      <w:r>
        <w:t>stakeholders</w:t>
      </w:r>
      <w:r>
        <w:rPr>
          <w:spacing w:val="-11"/>
        </w:rPr>
        <w:t xml:space="preserve"> </w:t>
      </w:r>
      <w:r>
        <w:t>understand</w:t>
      </w:r>
      <w:r>
        <w:rPr>
          <w:spacing w:val="-11"/>
        </w:rPr>
        <w:t xml:space="preserve"> </w:t>
      </w:r>
      <w:r>
        <w:t>the</w:t>
      </w:r>
      <w:r>
        <w:rPr>
          <w:spacing w:val="-11"/>
        </w:rPr>
        <w:t xml:space="preserve"> </w:t>
      </w:r>
      <w:r>
        <w:t>interactions</w:t>
      </w:r>
      <w:r>
        <w:rPr>
          <w:spacing w:val="-11"/>
        </w:rPr>
        <w:t xml:space="preserve"> </w:t>
      </w:r>
      <w:r>
        <w:t>of</w:t>
      </w:r>
      <w:r>
        <w:rPr>
          <w:spacing w:val="-11"/>
        </w:rPr>
        <w:t xml:space="preserve"> </w:t>
      </w:r>
      <w:r>
        <w:t>LGBTQ</w:t>
      </w:r>
      <w:r>
        <w:rPr>
          <w:spacing w:val="-11"/>
        </w:rPr>
        <w:t xml:space="preserve"> </w:t>
      </w:r>
      <w:r>
        <w:t>individuals</w:t>
      </w:r>
      <w:r>
        <w:rPr>
          <w:spacing w:val="-9"/>
        </w:rPr>
        <w:t xml:space="preserve"> </w:t>
      </w:r>
      <w:r>
        <w:t>of</w:t>
      </w:r>
      <w:r>
        <w:rPr>
          <w:spacing w:val="-11"/>
        </w:rPr>
        <w:t xml:space="preserve"> </w:t>
      </w:r>
      <w:r>
        <w:t>all</w:t>
      </w:r>
      <w:r>
        <w:rPr>
          <w:spacing w:val="-11"/>
        </w:rPr>
        <w:t xml:space="preserve"> </w:t>
      </w:r>
      <w:r>
        <w:t>ages with the child welfare system, the stronger its position will be to respond to trends impacting LGBTQ youth and to be a leader on LGBTQ child welfare issues.</w:t>
      </w:r>
    </w:p>
    <w:p w:rsidR="00C76E6D" w:rsidRDefault="00C76E6D">
      <w:pPr>
        <w:pStyle w:val="BodyText"/>
        <w:spacing w:before="9"/>
        <w:rPr>
          <w:sz w:val="19"/>
        </w:rPr>
      </w:pPr>
    </w:p>
    <w:p w:rsidR="00C76E6D" w:rsidRDefault="00913831">
      <w:pPr>
        <w:pStyle w:val="Heading6"/>
        <w:numPr>
          <w:ilvl w:val="0"/>
          <w:numId w:val="17"/>
        </w:numPr>
        <w:tabs>
          <w:tab w:val="left" w:pos="699"/>
        </w:tabs>
        <w:ind w:left="698" w:hanging="221"/>
      </w:pPr>
      <w:bookmarkStart w:id="765" w:name="3._Report_SOGI_data_in_detail,_in_annual"/>
      <w:bookmarkEnd w:id="765"/>
      <w:r>
        <w:rPr>
          <w:spacing w:val="-2"/>
        </w:rPr>
        <w:t>Report</w:t>
      </w:r>
      <w:r>
        <w:rPr>
          <w:spacing w:val="-5"/>
        </w:rPr>
        <w:t xml:space="preserve"> </w:t>
      </w:r>
      <w:r>
        <w:rPr>
          <w:spacing w:val="-2"/>
        </w:rPr>
        <w:t>SOGI</w:t>
      </w:r>
      <w:r>
        <w:rPr>
          <w:spacing w:val="-4"/>
        </w:rPr>
        <w:t xml:space="preserve"> </w:t>
      </w:r>
      <w:r>
        <w:rPr>
          <w:spacing w:val="-2"/>
        </w:rPr>
        <w:t>data</w:t>
      </w:r>
      <w:r>
        <w:rPr>
          <w:spacing w:val="-4"/>
        </w:rPr>
        <w:t xml:space="preserve"> </w:t>
      </w:r>
      <w:r>
        <w:rPr>
          <w:spacing w:val="-2"/>
        </w:rPr>
        <w:t>in</w:t>
      </w:r>
      <w:r>
        <w:rPr>
          <w:spacing w:val="-3"/>
        </w:rPr>
        <w:t xml:space="preserve"> </w:t>
      </w:r>
      <w:r>
        <w:rPr>
          <w:spacing w:val="-2"/>
        </w:rPr>
        <w:t>detail,</w:t>
      </w:r>
      <w:r>
        <w:rPr>
          <w:spacing w:val="-4"/>
        </w:rPr>
        <w:t xml:space="preserve"> </w:t>
      </w:r>
      <w:r>
        <w:rPr>
          <w:spacing w:val="-2"/>
        </w:rPr>
        <w:t>in</w:t>
      </w:r>
      <w:r>
        <w:rPr>
          <w:spacing w:val="-1"/>
        </w:rPr>
        <w:t xml:space="preserve"> </w:t>
      </w:r>
      <w:r>
        <w:rPr>
          <w:spacing w:val="-2"/>
        </w:rPr>
        <w:t>annual</w:t>
      </w:r>
      <w:r>
        <w:rPr>
          <w:spacing w:val="-4"/>
        </w:rPr>
        <w:t xml:space="preserve"> </w:t>
      </w:r>
      <w:r>
        <w:rPr>
          <w:spacing w:val="-2"/>
        </w:rPr>
        <w:t>and</w:t>
      </w:r>
      <w:r>
        <w:rPr>
          <w:spacing w:val="-4"/>
        </w:rPr>
        <w:t xml:space="preserve"> </w:t>
      </w:r>
      <w:r>
        <w:rPr>
          <w:spacing w:val="-2"/>
        </w:rPr>
        <w:t>quarterly</w:t>
      </w:r>
      <w:r>
        <w:rPr>
          <w:spacing w:val="-4"/>
        </w:rPr>
        <w:t xml:space="preserve"> </w:t>
      </w:r>
      <w:r>
        <w:rPr>
          <w:spacing w:val="-2"/>
        </w:rPr>
        <w:t>reports.</w:t>
      </w:r>
    </w:p>
    <w:p w:rsidR="00C76E6D" w:rsidRDefault="00C76E6D">
      <w:pPr>
        <w:pStyle w:val="BodyText"/>
        <w:spacing w:before="10"/>
        <w:rPr>
          <w:b/>
        </w:rPr>
      </w:pPr>
    </w:p>
    <w:p w:rsidR="00C76E6D" w:rsidRDefault="00913831">
      <w:pPr>
        <w:pStyle w:val="BodyText"/>
        <w:spacing w:line="276" w:lineRule="auto"/>
        <w:ind w:left="768" w:right="471"/>
        <w:jc w:val="both"/>
      </w:pPr>
      <w:r>
        <w:t>The Commission began recommend</w:t>
      </w:r>
      <w:r>
        <w:t>ing that DCF publish SOGI data in 2018. DCF published SOGI data for</w:t>
      </w:r>
      <w:r>
        <w:rPr>
          <w:spacing w:val="-7"/>
        </w:rPr>
        <w:t xml:space="preserve"> </w:t>
      </w:r>
      <w:r>
        <w:t>the</w:t>
      </w:r>
      <w:r>
        <w:rPr>
          <w:spacing w:val="-4"/>
        </w:rPr>
        <w:t xml:space="preserve"> </w:t>
      </w:r>
      <w:r>
        <w:t>first</w:t>
      </w:r>
      <w:r>
        <w:rPr>
          <w:spacing w:val="-6"/>
        </w:rPr>
        <w:t xml:space="preserve"> </w:t>
      </w:r>
      <w:r>
        <w:t>time</w:t>
      </w:r>
      <w:r>
        <w:rPr>
          <w:spacing w:val="-7"/>
        </w:rPr>
        <w:t xml:space="preserve"> </w:t>
      </w:r>
      <w:r>
        <w:t>in</w:t>
      </w:r>
      <w:r>
        <w:rPr>
          <w:spacing w:val="-7"/>
        </w:rPr>
        <w:t xml:space="preserve"> </w:t>
      </w:r>
      <w:r>
        <w:t>2020</w:t>
      </w:r>
      <w:r>
        <w:rPr>
          <w:spacing w:val="-5"/>
        </w:rPr>
        <w:t xml:space="preserve"> </w:t>
      </w:r>
      <w:r>
        <w:t>and</w:t>
      </w:r>
      <w:r>
        <w:rPr>
          <w:spacing w:val="-7"/>
        </w:rPr>
        <w:t xml:space="preserve"> </w:t>
      </w:r>
      <w:r>
        <w:t>again</w:t>
      </w:r>
      <w:r>
        <w:rPr>
          <w:spacing w:val="-6"/>
        </w:rPr>
        <w:t xml:space="preserve"> </w:t>
      </w:r>
      <w:r>
        <w:t>in</w:t>
      </w:r>
      <w:r>
        <w:rPr>
          <w:spacing w:val="-5"/>
        </w:rPr>
        <w:t xml:space="preserve"> </w:t>
      </w:r>
      <w:r>
        <w:t>2021,</w:t>
      </w:r>
      <w:r>
        <w:rPr>
          <w:spacing w:val="-6"/>
        </w:rPr>
        <w:t xml:space="preserve"> </w:t>
      </w:r>
      <w:r>
        <w:t>but</w:t>
      </w:r>
      <w:r>
        <w:rPr>
          <w:spacing w:val="-6"/>
        </w:rPr>
        <w:t xml:space="preserve"> </w:t>
      </w:r>
      <w:r>
        <w:t>with</w:t>
      </w:r>
      <w:r>
        <w:rPr>
          <w:spacing w:val="-5"/>
        </w:rPr>
        <w:t xml:space="preserve"> </w:t>
      </w:r>
      <w:r>
        <w:t>numbers</w:t>
      </w:r>
      <w:r>
        <w:rPr>
          <w:spacing w:val="-5"/>
        </w:rPr>
        <w:t xml:space="preserve"> </w:t>
      </w:r>
      <w:r>
        <w:t>that</w:t>
      </w:r>
      <w:r>
        <w:rPr>
          <w:spacing w:val="-7"/>
        </w:rPr>
        <w:t xml:space="preserve"> </w:t>
      </w:r>
      <w:r>
        <w:t>did</w:t>
      </w:r>
      <w:r>
        <w:rPr>
          <w:spacing w:val="-5"/>
        </w:rPr>
        <w:t xml:space="preserve"> </w:t>
      </w:r>
      <w:r>
        <w:t>not</w:t>
      </w:r>
      <w:r>
        <w:rPr>
          <w:spacing w:val="-6"/>
        </w:rPr>
        <w:t xml:space="preserve"> </w:t>
      </w:r>
      <w:r>
        <w:t>appear</w:t>
      </w:r>
      <w:r>
        <w:rPr>
          <w:spacing w:val="-7"/>
        </w:rPr>
        <w:t xml:space="preserve"> </w:t>
      </w:r>
      <w:r>
        <w:t>to</w:t>
      </w:r>
      <w:r>
        <w:rPr>
          <w:spacing w:val="-5"/>
        </w:rPr>
        <w:t xml:space="preserve"> </w:t>
      </w:r>
      <w:r>
        <w:t>accurately</w:t>
      </w:r>
      <w:r>
        <w:rPr>
          <w:spacing w:val="-5"/>
        </w:rPr>
        <w:t xml:space="preserve"> </w:t>
      </w:r>
      <w:r>
        <w:t>reflect the</w:t>
      </w:r>
      <w:r>
        <w:rPr>
          <w:spacing w:val="-1"/>
        </w:rPr>
        <w:t xml:space="preserve"> </w:t>
      </w:r>
      <w:r>
        <w:t>percentages of youth</w:t>
      </w:r>
      <w:r>
        <w:rPr>
          <w:spacing w:val="-1"/>
        </w:rPr>
        <w:t xml:space="preserve"> </w:t>
      </w:r>
      <w:r>
        <w:t>in</w:t>
      </w:r>
      <w:r>
        <w:rPr>
          <w:spacing w:val="-1"/>
        </w:rPr>
        <w:t xml:space="preserve"> </w:t>
      </w:r>
      <w:r>
        <w:t>care</w:t>
      </w:r>
      <w:r>
        <w:rPr>
          <w:spacing w:val="-1"/>
        </w:rPr>
        <w:t xml:space="preserve"> </w:t>
      </w:r>
      <w:r>
        <w:t>identifying as LGBTQ.</w:t>
      </w:r>
      <w:r>
        <w:rPr>
          <w:spacing w:val="-1"/>
        </w:rPr>
        <w:t xml:space="preserve"> </w:t>
      </w:r>
      <w:r>
        <w:t>The</w:t>
      </w:r>
      <w:r>
        <w:rPr>
          <w:spacing w:val="-1"/>
        </w:rPr>
        <w:t xml:space="preserve"> </w:t>
      </w:r>
      <w:r>
        <w:t>Commission</w:t>
      </w:r>
      <w:r>
        <w:rPr>
          <w:spacing w:val="-1"/>
        </w:rPr>
        <w:t xml:space="preserve"> </w:t>
      </w:r>
      <w:r>
        <w:t>is optimistic that the</w:t>
      </w:r>
      <w:r>
        <w:rPr>
          <w:spacing w:val="-1"/>
        </w:rPr>
        <w:t xml:space="preserve"> </w:t>
      </w:r>
      <w:r>
        <w:t>changes DCF has made to its demographic data collection process will result in higher quality SOGI data. The Commission urges DCF to provide detailed, intersectional analysis of SOGI data as soon as its sample size</w:t>
      </w:r>
      <w:r>
        <w:rPr>
          <w:spacing w:val="-13"/>
        </w:rPr>
        <w:t xml:space="preserve"> </w:t>
      </w:r>
      <w:r>
        <w:t>permits.</w:t>
      </w:r>
      <w:r>
        <w:rPr>
          <w:spacing w:val="-12"/>
        </w:rPr>
        <w:t xml:space="preserve"> </w:t>
      </w:r>
      <w:r>
        <w:t>At</w:t>
      </w:r>
      <w:r>
        <w:rPr>
          <w:spacing w:val="-13"/>
        </w:rPr>
        <w:t xml:space="preserve"> </w:t>
      </w:r>
      <w:r>
        <w:t>a</w:t>
      </w:r>
      <w:r>
        <w:rPr>
          <w:spacing w:val="-10"/>
        </w:rPr>
        <w:t xml:space="preserve"> </w:t>
      </w:r>
      <w:r>
        <w:t>mini</w:t>
      </w:r>
      <w:r>
        <w:t>mum,</w:t>
      </w:r>
      <w:r>
        <w:rPr>
          <w:spacing w:val="-12"/>
        </w:rPr>
        <w:t xml:space="preserve"> </w:t>
      </w:r>
      <w:r>
        <w:t>that</w:t>
      </w:r>
      <w:r>
        <w:rPr>
          <w:spacing w:val="-12"/>
        </w:rPr>
        <w:t xml:space="preserve"> </w:t>
      </w:r>
      <w:r>
        <w:t>analysis</w:t>
      </w:r>
      <w:r>
        <w:rPr>
          <w:spacing w:val="-12"/>
        </w:rPr>
        <w:t xml:space="preserve"> </w:t>
      </w:r>
      <w:r>
        <w:t>should</w:t>
      </w:r>
      <w:r>
        <w:rPr>
          <w:spacing w:val="-13"/>
        </w:rPr>
        <w:t xml:space="preserve"> </w:t>
      </w:r>
      <w:r>
        <w:t>include:</w:t>
      </w:r>
      <w:r>
        <w:rPr>
          <w:spacing w:val="-10"/>
        </w:rPr>
        <w:t xml:space="preserve"> </w:t>
      </w:r>
      <w:r>
        <w:t>disaggregation</w:t>
      </w:r>
      <w:r>
        <w:rPr>
          <w:spacing w:val="-12"/>
        </w:rPr>
        <w:t xml:space="preserve"> </w:t>
      </w:r>
      <w:r>
        <w:t>by</w:t>
      </w:r>
      <w:r>
        <w:rPr>
          <w:spacing w:val="-12"/>
        </w:rPr>
        <w:t xml:space="preserve"> </w:t>
      </w:r>
      <w:r>
        <w:t>race,</w:t>
      </w:r>
      <w:r>
        <w:rPr>
          <w:spacing w:val="-12"/>
        </w:rPr>
        <w:t xml:space="preserve"> </w:t>
      </w:r>
      <w:r>
        <w:t>ethnicity,</w:t>
      </w:r>
      <w:r>
        <w:rPr>
          <w:spacing w:val="-12"/>
        </w:rPr>
        <w:t xml:space="preserve"> </w:t>
      </w:r>
      <w:r>
        <w:t>and</w:t>
      </w:r>
      <w:r>
        <w:rPr>
          <w:spacing w:val="-12"/>
        </w:rPr>
        <w:t xml:space="preserve"> </w:t>
      </w:r>
      <w:r>
        <w:t xml:space="preserve">gender; placement type; and outcomes in safety, permanency, adoption, and wellbeing. While DCF expects it will take six to nine months to have a robust set of SOGI demographic data, </w:t>
      </w:r>
      <w:r>
        <w:t>the Commission recommends</w:t>
      </w:r>
      <w:r>
        <w:rPr>
          <w:spacing w:val="-8"/>
        </w:rPr>
        <w:t xml:space="preserve"> </w:t>
      </w:r>
      <w:r>
        <w:t>that</w:t>
      </w:r>
      <w:r>
        <w:rPr>
          <w:spacing w:val="-12"/>
        </w:rPr>
        <w:t xml:space="preserve"> </w:t>
      </w:r>
      <w:r>
        <w:t>DCF</w:t>
      </w:r>
      <w:r>
        <w:rPr>
          <w:spacing w:val="-10"/>
        </w:rPr>
        <w:t xml:space="preserve"> </w:t>
      </w:r>
      <w:r>
        <w:t>report</w:t>
      </w:r>
      <w:r>
        <w:rPr>
          <w:spacing w:val="-12"/>
        </w:rPr>
        <w:t xml:space="preserve"> </w:t>
      </w:r>
      <w:r>
        <w:t>out</w:t>
      </w:r>
      <w:r>
        <w:rPr>
          <w:spacing w:val="-10"/>
        </w:rPr>
        <w:t xml:space="preserve"> </w:t>
      </w:r>
      <w:r>
        <w:t>preliminary</w:t>
      </w:r>
      <w:r>
        <w:rPr>
          <w:spacing w:val="-11"/>
        </w:rPr>
        <w:t xml:space="preserve"> </w:t>
      </w:r>
      <w:r>
        <w:t>data.</w:t>
      </w:r>
      <w:r>
        <w:rPr>
          <w:spacing w:val="-10"/>
        </w:rPr>
        <w:t xml:space="preserve"> </w:t>
      </w:r>
      <w:r>
        <w:t>DCF</w:t>
      </w:r>
      <w:r>
        <w:rPr>
          <w:spacing w:val="-11"/>
        </w:rPr>
        <w:t xml:space="preserve"> </w:t>
      </w:r>
      <w:r>
        <w:t>has</w:t>
      </w:r>
      <w:r>
        <w:rPr>
          <w:spacing w:val="-9"/>
        </w:rPr>
        <w:t xml:space="preserve"> </w:t>
      </w:r>
      <w:r>
        <w:t>committed</w:t>
      </w:r>
      <w:r>
        <w:rPr>
          <w:spacing w:val="-10"/>
        </w:rPr>
        <w:t xml:space="preserve"> </w:t>
      </w:r>
      <w:r>
        <w:t>to</w:t>
      </w:r>
      <w:r>
        <w:rPr>
          <w:spacing w:val="-9"/>
        </w:rPr>
        <w:t xml:space="preserve"> </w:t>
      </w:r>
      <w:r>
        <w:t>including</w:t>
      </w:r>
      <w:r>
        <w:rPr>
          <w:spacing w:val="-10"/>
        </w:rPr>
        <w:t xml:space="preserve"> </w:t>
      </w:r>
      <w:r>
        <w:t>point-in-time</w:t>
      </w:r>
      <w:r>
        <w:rPr>
          <w:spacing w:val="-10"/>
        </w:rPr>
        <w:t xml:space="preserve"> </w:t>
      </w:r>
      <w:r>
        <w:t>SOGI data in its annual reports with additional data on the process of increasing the completion of these demographic fields in its FY22 Annual Rep</w:t>
      </w:r>
      <w:r>
        <w:t>ort.</w:t>
      </w:r>
    </w:p>
    <w:p w:rsidR="00C76E6D" w:rsidRDefault="00C76E6D">
      <w:pPr>
        <w:pStyle w:val="BodyText"/>
        <w:spacing w:before="7"/>
        <w:rPr>
          <w:sz w:val="19"/>
        </w:rPr>
      </w:pPr>
    </w:p>
    <w:p w:rsidR="00C76E6D" w:rsidRDefault="00913831">
      <w:pPr>
        <w:pStyle w:val="BodyText"/>
        <w:spacing w:line="276" w:lineRule="auto"/>
        <w:ind w:left="768" w:right="475"/>
        <w:jc w:val="both"/>
      </w:pPr>
      <w:r>
        <w:t>Finally, the Commission is enthusiastic about DCF’s plan to incorporate SOGI data into a public-facing data</w:t>
      </w:r>
      <w:r>
        <w:rPr>
          <w:spacing w:val="-2"/>
        </w:rPr>
        <w:t xml:space="preserve"> </w:t>
      </w:r>
      <w:r>
        <w:t>visualization</w:t>
      </w:r>
      <w:r>
        <w:rPr>
          <w:spacing w:val="-2"/>
        </w:rPr>
        <w:t xml:space="preserve"> </w:t>
      </w:r>
      <w:r>
        <w:t>tool.</w:t>
      </w:r>
      <w:r>
        <w:rPr>
          <w:spacing w:val="-2"/>
        </w:rPr>
        <w:t xml:space="preserve"> </w:t>
      </w:r>
      <w:r>
        <w:t>The</w:t>
      </w:r>
      <w:r>
        <w:rPr>
          <w:spacing w:val="-1"/>
        </w:rPr>
        <w:t xml:space="preserve"> </w:t>
      </w:r>
      <w:r>
        <w:t>Department</w:t>
      </w:r>
      <w:r>
        <w:rPr>
          <w:spacing w:val="-2"/>
        </w:rPr>
        <w:t xml:space="preserve"> </w:t>
      </w:r>
      <w:r>
        <w:t>is</w:t>
      </w:r>
      <w:r>
        <w:rPr>
          <w:spacing w:val="-2"/>
        </w:rPr>
        <w:t xml:space="preserve"> </w:t>
      </w:r>
      <w:r>
        <w:t>committed</w:t>
      </w:r>
      <w:r>
        <w:rPr>
          <w:spacing w:val="-2"/>
        </w:rPr>
        <w:t xml:space="preserve"> </w:t>
      </w:r>
      <w:r>
        <w:t>to</w:t>
      </w:r>
      <w:r>
        <w:rPr>
          <w:spacing w:val="-2"/>
        </w:rPr>
        <w:t xml:space="preserve"> </w:t>
      </w:r>
      <w:r>
        <w:t>releasing</w:t>
      </w:r>
      <w:r>
        <w:rPr>
          <w:spacing w:val="-1"/>
        </w:rPr>
        <w:t xml:space="preserve"> </w:t>
      </w:r>
      <w:r>
        <w:t>this</w:t>
      </w:r>
      <w:r>
        <w:rPr>
          <w:spacing w:val="-2"/>
        </w:rPr>
        <w:t xml:space="preserve"> </w:t>
      </w:r>
      <w:r>
        <w:t>tool</w:t>
      </w:r>
      <w:r>
        <w:rPr>
          <w:spacing w:val="-3"/>
        </w:rPr>
        <w:t xml:space="preserve"> </w:t>
      </w:r>
      <w:r>
        <w:t>by</w:t>
      </w:r>
      <w:r>
        <w:rPr>
          <w:spacing w:val="-3"/>
        </w:rPr>
        <w:t xml:space="preserve"> </w:t>
      </w:r>
      <w:r>
        <w:t>September</w:t>
      </w:r>
      <w:r>
        <w:rPr>
          <w:spacing w:val="-2"/>
        </w:rPr>
        <w:t xml:space="preserve"> </w:t>
      </w:r>
      <w:r>
        <w:t>2022.</w:t>
      </w:r>
      <w:r>
        <w:rPr>
          <w:spacing w:val="-3"/>
        </w:rPr>
        <w:t xml:space="preserve"> </w:t>
      </w:r>
      <w:r>
        <w:t>In</w:t>
      </w:r>
      <w:r>
        <w:rPr>
          <w:spacing w:val="-2"/>
        </w:rPr>
        <w:t xml:space="preserve"> </w:t>
      </w:r>
      <w:r>
        <w:t>the meantime, the Commission continues to request that DCF include SOGI data in its quarterly profiles and that those profiles clarify whether they are reporting sex assigned at birth or gender identity.</w:t>
      </w:r>
      <w:r>
        <w:rPr>
          <w:vertAlign w:val="superscript"/>
        </w:rPr>
        <w:t>11</w:t>
      </w:r>
    </w:p>
    <w:p w:rsidR="00C76E6D" w:rsidRDefault="00C76E6D">
      <w:pPr>
        <w:pStyle w:val="BodyText"/>
        <w:spacing w:before="9"/>
        <w:rPr>
          <w:sz w:val="19"/>
        </w:rPr>
      </w:pPr>
    </w:p>
    <w:p w:rsidR="00C76E6D" w:rsidRDefault="00913831">
      <w:pPr>
        <w:pStyle w:val="Heading6"/>
        <w:numPr>
          <w:ilvl w:val="0"/>
          <w:numId w:val="17"/>
        </w:numPr>
        <w:tabs>
          <w:tab w:val="left" w:pos="699"/>
        </w:tabs>
        <w:ind w:left="698" w:hanging="221"/>
      </w:pPr>
      <w:bookmarkStart w:id="766" w:name="4._Ensure_LGBTQ_community_representation"/>
      <w:bookmarkEnd w:id="766"/>
      <w:r>
        <w:rPr>
          <w:w w:val="95"/>
        </w:rPr>
        <w:t>Ensure</w:t>
      </w:r>
      <w:r>
        <w:rPr>
          <w:spacing w:val="15"/>
        </w:rPr>
        <w:t xml:space="preserve"> </w:t>
      </w:r>
      <w:r>
        <w:rPr>
          <w:w w:val="95"/>
        </w:rPr>
        <w:t>LGBTQ</w:t>
      </w:r>
      <w:r>
        <w:rPr>
          <w:spacing w:val="16"/>
        </w:rPr>
        <w:t xml:space="preserve"> </w:t>
      </w:r>
      <w:r>
        <w:rPr>
          <w:w w:val="95"/>
        </w:rPr>
        <w:t>community</w:t>
      </w:r>
      <w:r>
        <w:rPr>
          <w:spacing w:val="17"/>
        </w:rPr>
        <w:t xml:space="preserve"> </w:t>
      </w:r>
      <w:r>
        <w:rPr>
          <w:w w:val="95"/>
        </w:rPr>
        <w:t>representation</w:t>
      </w:r>
      <w:r>
        <w:rPr>
          <w:spacing w:val="15"/>
        </w:rPr>
        <w:t xml:space="preserve"> </w:t>
      </w:r>
      <w:r>
        <w:rPr>
          <w:w w:val="95"/>
        </w:rPr>
        <w:t>in</w:t>
      </w:r>
      <w:r>
        <w:rPr>
          <w:spacing w:val="20"/>
        </w:rPr>
        <w:t xml:space="preserve"> </w:t>
      </w:r>
      <w:r>
        <w:rPr>
          <w:w w:val="95"/>
        </w:rPr>
        <w:t>decision</w:t>
      </w:r>
      <w:r>
        <w:rPr>
          <w:w w:val="95"/>
        </w:rPr>
        <w:t>s</w:t>
      </w:r>
      <w:r>
        <w:rPr>
          <w:spacing w:val="15"/>
        </w:rPr>
        <w:t xml:space="preserve"> </w:t>
      </w:r>
      <w:r>
        <w:rPr>
          <w:w w:val="95"/>
        </w:rPr>
        <w:t>regarding</w:t>
      </w:r>
      <w:r>
        <w:rPr>
          <w:spacing w:val="19"/>
        </w:rPr>
        <w:t xml:space="preserve"> </w:t>
      </w:r>
      <w:r>
        <w:rPr>
          <w:w w:val="95"/>
        </w:rPr>
        <w:t>data</w:t>
      </w:r>
      <w:r>
        <w:rPr>
          <w:spacing w:val="15"/>
        </w:rPr>
        <w:t xml:space="preserve"> </w:t>
      </w:r>
      <w:r>
        <w:rPr>
          <w:w w:val="95"/>
        </w:rPr>
        <w:t>collection</w:t>
      </w:r>
      <w:r>
        <w:rPr>
          <w:spacing w:val="17"/>
        </w:rPr>
        <w:t xml:space="preserve"> </w:t>
      </w:r>
      <w:r>
        <w:rPr>
          <w:w w:val="95"/>
        </w:rPr>
        <w:t>and</w:t>
      </w:r>
      <w:r>
        <w:rPr>
          <w:spacing w:val="16"/>
        </w:rPr>
        <w:t xml:space="preserve"> </w:t>
      </w:r>
      <w:r>
        <w:rPr>
          <w:spacing w:val="-2"/>
          <w:w w:val="95"/>
        </w:rPr>
        <w:t>reporting.</w:t>
      </w:r>
    </w:p>
    <w:p w:rsidR="00C76E6D" w:rsidRDefault="00C76E6D">
      <w:pPr>
        <w:pStyle w:val="BodyText"/>
        <w:rPr>
          <w:b/>
          <w:sz w:val="23"/>
        </w:rPr>
      </w:pPr>
    </w:p>
    <w:p w:rsidR="00C76E6D" w:rsidRDefault="00913831">
      <w:pPr>
        <w:pStyle w:val="BodyText"/>
        <w:spacing w:line="276" w:lineRule="auto"/>
        <w:ind w:left="766" w:right="474"/>
        <w:jc w:val="both"/>
      </w:pPr>
      <w:r>
        <w:t>Although</w:t>
      </w:r>
      <w:r>
        <w:rPr>
          <w:spacing w:val="-13"/>
        </w:rPr>
        <w:t xml:space="preserve"> </w:t>
      </w:r>
      <w:r>
        <w:t>the</w:t>
      </w:r>
      <w:r>
        <w:rPr>
          <w:spacing w:val="-12"/>
        </w:rPr>
        <w:t xml:space="preserve"> </w:t>
      </w:r>
      <w:r>
        <w:t>Legislative</w:t>
      </w:r>
      <w:r>
        <w:rPr>
          <w:spacing w:val="-13"/>
        </w:rPr>
        <w:t xml:space="preserve"> </w:t>
      </w:r>
      <w:r>
        <w:t>mandate</w:t>
      </w:r>
      <w:r>
        <w:rPr>
          <w:spacing w:val="-12"/>
        </w:rPr>
        <w:t xml:space="preserve"> </w:t>
      </w:r>
      <w:r>
        <w:t>for</w:t>
      </w:r>
      <w:r>
        <w:rPr>
          <w:spacing w:val="-13"/>
        </w:rPr>
        <w:t xml:space="preserve"> </w:t>
      </w:r>
      <w:r>
        <w:t>the</w:t>
      </w:r>
      <w:r>
        <w:rPr>
          <w:spacing w:val="-12"/>
        </w:rPr>
        <w:t xml:space="preserve"> </w:t>
      </w:r>
      <w:r>
        <w:t>DCF</w:t>
      </w:r>
      <w:r>
        <w:rPr>
          <w:spacing w:val="-13"/>
        </w:rPr>
        <w:t xml:space="preserve"> </w:t>
      </w:r>
      <w:r>
        <w:t>Data</w:t>
      </w:r>
      <w:r>
        <w:rPr>
          <w:spacing w:val="-12"/>
        </w:rPr>
        <w:t xml:space="preserve"> </w:t>
      </w:r>
      <w:r>
        <w:t>Work</w:t>
      </w:r>
      <w:r>
        <w:rPr>
          <w:spacing w:val="-12"/>
        </w:rPr>
        <w:t xml:space="preserve"> </w:t>
      </w:r>
      <w:r>
        <w:t>Group</w:t>
      </w:r>
      <w:r>
        <w:rPr>
          <w:spacing w:val="-13"/>
        </w:rPr>
        <w:t xml:space="preserve"> </w:t>
      </w:r>
      <w:r>
        <w:t>did</w:t>
      </w:r>
      <w:r>
        <w:rPr>
          <w:spacing w:val="-12"/>
        </w:rPr>
        <w:t xml:space="preserve"> </w:t>
      </w:r>
      <w:r>
        <w:t>not</w:t>
      </w:r>
      <w:r>
        <w:rPr>
          <w:spacing w:val="-13"/>
        </w:rPr>
        <w:t xml:space="preserve"> </w:t>
      </w:r>
      <w:r>
        <w:t>formally</w:t>
      </w:r>
      <w:r>
        <w:rPr>
          <w:spacing w:val="-12"/>
        </w:rPr>
        <w:t xml:space="preserve"> </w:t>
      </w:r>
      <w:r>
        <w:t>include</w:t>
      </w:r>
      <w:r>
        <w:rPr>
          <w:spacing w:val="-13"/>
        </w:rPr>
        <w:t xml:space="preserve"> </w:t>
      </w:r>
      <w:r>
        <w:t>representation from</w:t>
      </w:r>
      <w:r>
        <w:rPr>
          <w:spacing w:val="-3"/>
        </w:rPr>
        <w:t xml:space="preserve"> </w:t>
      </w:r>
      <w:r>
        <w:t>advocates</w:t>
      </w:r>
      <w:r>
        <w:rPr>
          <w:spacing w:val="-3"/>
        </w:rPr>
        <w:t xml:space="preserve"> </w:t>
      </w:r>
      <w:r>
        <w:t>or</w:t>
      </w:r>
      <w:r>
        <w:rPr>
          <w:spacing w:val="-3"/>
        </w:rPr>
        <w:t xml:space="preserve"> </w:t>
      </w:r>
      <w:r>
        <w:t>professionals</w:t>
      </w:r>
      <w:r>
        <w:rPr>
          <w:spacing w:val="-3"/>
        </w:rPr>
        <w:t xml:space="preserve"> </w:t>
      </w:r>
      <w:r>
        <w:t>with</w:t>
      </w:r>
      <w:r>
        <w:rPr>
          <w:spacing w:val="-2"/>
        </w:rPr>
        <w:t xml:space="preserve"> </w:t>
      </w:r>
      <w:r>
        <w:t>specific</w:t>
      </w:r>
      <w:r>
        <w:rPr>
          <w:spacing w:val="-2"/>
        </w:rPr>
        <w:t xml:space="preserve"> </w:t>
      </w:r>
      <w:r>
        <w:t>expertise</w:t>
      </w:r>
      <w:r>
        <w:rPr>
          <w:spacing w:val="-3"/>
        </w:rPr>
        <w:t xml:space="preserve"> </w:t>
      </w:r>
      <w:r>
        <w:t>in</w:t>
      </w:r>
      <w:r>
        <w:rPr>
          <w:spacing w:val="-2"/>
        </w:rPr>
        <w:t xml:space="preserve"> </w:t>
      </w:r>
      <w:r>
        <w:t>LGBTQ</w:t>
      </w:r>
      <w:r>
        <w:rPr>
          <w:spacing w:val="-1"/>
        </w:rPr>
        <w:t xml:space="preserve"> </w:t>
      </w:r>
      <w:r>
        <w:t>data</w:t>
      </w:r>
      <w:r>
        <w:rPr>
          <w:spacing w:val="-2"/>
        </w:rPr>
        <w:t xml:space="preserve"> </w:t>
      </w:r>
      <w:r>
        <w:t>collection,</w:t>
      </w:r>
      <w:r>
        <w:rPr>
          <w:spacing w:val="-3"/>
        </w:rPr>
        <w:t xml:space="preserve"> </w:t>
      </w:r>
      <w:r>
        <w:t>the</w:t>
      </w:r>
      <w:r>
        <w:rPr>
          <w:spacing w:val="-2"/>
        </w:rPr>
        <w:t xml:space="preserve"> </w:t>
      </w:r>
      <w:r>
        <w:t>Commission</w:t>
      </w:r>
      <w:r>
        <w:rPr>
          <w:spacing w:val="-3"/>
        </w:rPr>
        <w:t xml:space="preserve"> </w:t>
      </w:r>
      <w:r>
        <w:t>and LGBTQ advocates attended Work Group meetings. DCF has committed that the Data Work Group’s final report will address an expansion of SOGI data reporting. As the DCF Data Work Group sunsets, the Commission urges DCF to identify and communicate mechanism</w:t>
      </w:r>
      <w:r>
        <w:t>s by which LGBTQ community members can participate in data-related decisions and ensure the needs and experiences of LGBTQ youth</w:t>
      </w:r>
      <w:r>
        <w:rPr>
          <w:spacing w:val="-6"/>
        </w:rPr>
        <w:t xml:space="preserve"> </w:t>
      </w:r>
      <w:r>
        <w:t>are</w:t>
      </w:r>
      <w:r>
        <w:rPr>
          <w:spacing w:val="-4"/>
        </w:rPr>
        <w:t xml:space="preserve"> </w:t>
      </w:r>
      <w:r>
        <w:t>comprehensively</w:t>
      </w:r>
      <w:r>
        <w:rPr>
          <w:spacing w:val="-6"/>
        </w:rPr>
        <w:t xml:space="preserve"> </w:t>
      </w:r>
      <w:r>
        <w:t>and</w:t>
      </w:r>
      <w:r>
        <w:rPr>
          <w:spacing w:val="-4"/>
        </w:rPr>
        <w:t xml:space="preserve"> </w:t>
      </w:r>
      <w:r>
        <w:t>consistently</w:t>
      </w:r>
      <w:r>
        <w:rPr>
          <w:spacing w:val="-5"/>
        </w:rPr>
        <w:t xml:space="preserve"> </w:t>
      </w:r>
      <w:r>
        <w:t>incorporated</w:t>
      </w:r>
      <w:r>
        <w:rPr>
          <w:spacing w:val="-6"/>
        </w:rPr>
        <w:t xml:space="preserve"> </w:t>
      </w:r>
      <w:r>
        <w:t>into</w:t>
      </w:r>
      <w:r>
        <w:rPr>
          <w:spacing w:val="-3"/>
        </w:rPr>
        <w:t xml:space="preserve"> </w:t>
      </w:r>
      <w:r>
        <w:t>data-related</w:t>
      </w:r>
      <w:r>
        <w:rPr>
          <w:spacing w:val="-5"/>
        </w:rPr>
        <w:t xml:space="preserve"> </w:t>
      </w:r>
      <w:r>
        <w:t>discussions</w:t>
      </w:r>
      <w:r>
        <w:rPr>
          <w:spacing w:val="-5"/>
        </w:rPr>
        <w:t xml:space="preserve"> </w:t>
      </w:r>
      <w:r>
        <w:t>and</w:t>
      </w:r>
      <w:r>
        <w:rPr>
          <w:spacing w:val="-4"/>
        </w:rPr>
        <w:t xml:space="preserve"> </w:t>
      </w:r>
      <w:r>
        <w:t>decisions.</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Heading6"/>
        <w:numPr>
          <w:ilvl w:val="0"/>
          <w:numId w:val="18"/>
        </w:numPr>
        <w:tabs>
          <w:tab w:val="left" w:pos="712"/>
        </w:tabs>
        <w:ind w:left="711" w:hanging="234"/>
      </w:pPr>
      <w:bookmarkStart w:id="767" w:name="B._Policy_Recommendations"/>
      <w:bookmarkEnd w:id="767"/>
      <w:r>
        <w:rPr>
          <w:spacing w:val="-2"/>
        </w:rPr>
        <w:t>Policy</w:t>
      </w:r>
      <w:r>
        <w:rPr>
          <w:spacing w:val="-3"/>
        </w:rPr>
        <w:t xml:space="preserve"> </w:t>
      </w:r>
      <w:r>
        <w:rPr>
          <w:spacing w:val="-2"/>
        </w:rPr>
        <w:t>Recommendations</w:t>
      </w:r>
    </w:p>
    <w:p w:rsidR="00C76E6D" w:rsidRDefault="00C76E6D">
      <w:pPr>
        <w:pStyle w:val="BodyText"/>
        <w:spacing w:before="10"/>
        <w:rPr>
          <w:b/>
        </w:rPr>
      </w:pPr>
    </w:p>
    <w:p w:rsidR="00C76E6D" w:rsidRDefault="00913831">
      <w:pPr>
        <w:pStyle w:val="BodyText"/>
        <w:spacing w:line="276" w:lineRule="auto"/>
        <w:ind w:left="480" w:right="472"/>
        <w:jc w:val="both"/>
      </w:pPr>
      <w:r>
        <w:t>DCF’s</w:t>
      </w:r>
      <w:r>
        <w:rPr>
          <w:spacing w:val="-1"/>
        </w:rPr>
        <w:t xml:space="preserve"> </w:t>
      </w:r>
      <w:r>
        <w:t>release</w:t>
      </w:r>
      <w:r>
        <w:rPr>
          <w:spacing w:val="-3"/>
        </w:rPr>
        <w:t xml:space="preserve"> </w:t>
      </w:r>
      <w:r>
        <w:t>of</w:t>
      </w:r>
      <w:r>
        <w:rPr>
          <w:spacing w:val="-1"/>
        </w:rPr>
        <w:t xml:space="preserve"> </w:t>
      </w:r>
      <w:r>
        <w:t>its</w:t>
      </w:r>
      <w:r>
        <w:rPr>
          <w:spacing w:val="-1"/>
        </w:rPr>
        <w:t xml:space="preserve"> </w:t>
      </w:r>
      <w:r>
        <w:t>gender-affirming</w:t>
      </w:r>
      <w:r>
        <w:rPr>
          <w:spacing w:val="-1"/>
        </w:rPr>
        <w:t xml:space="preserve"> </w:t>
      </w:r>
      <w:r>
        <w:t>medication</w:t>
      </w:r>
      <w:r>
        <w:rPr>
          <w:spacing w:val="-1"/>
        </w:rPr>
        <w:t xml:space="preserve"> </w:t>
      </w:r>
      <w:r>
        <w:t>consent</w:t>
      </w:r>
      <w:r>
        <w:rPr>
          <w:spacing w:val="-2"/>
        </w:rPr>
        <w:t xml:space="preserve"> </w:t>
      </w:r>
      <w:r>
        <w:t>policy</w:t>
      </w:r>
      <w:r>
        <w:rPr>
          <w:spacing w:val="-2"/>
        </w:rPr>
        <w:t xml:space="preserve"> </w:t>
      </w:r>
      <w:r>
        <w:t>in September 2021</w:t>
      </w:r>
      <w:r>
        <w:rPr>
          <w:spacing w:val="-1"/>
        </w:rPr>
        <w:t xml:space="preserve"> </w:t>
      </w:r>
      <w:r>
        <w:t>was</w:t>
      </w:r>
      <w:r>
        <w:rPr>
          <w:spacing w:val="-1"/>
        </w:rPr>
        <w:t xml:space="preserve"> </w:t>
      </w:r>
      <w:r>
        <w:t>a</w:t>
      </w:r>
      <w:r>
        <w:rPr>
          <w:spacing w:val="-1"/>
        </w:rPr>
        <w:t xml:space="preserve"> </w:t>
      </w:r>
      <w:r>
        <w:t>significant step forward for transgender youth in DCF care. However, critical components of DCF’s policy landscape for LGBTQ youth remain incomplete. T</w:t>
      </w:r>
      <w:r>
        <w:t>he Commission has been recommending that DCF adopt a comprehensive LGBTQ nondiscrimination policy since at least 2017. The Commission strongly urges the Department to finalize its draft nondiscrimination policy and release it by the end of June 2022, as it</w:t>
      </w:r>
      <w:r>
        <w:t xml:space="preserve"> has committed to.</w:t>
      </w:r>
    </w:p>
    <w:p w:rsidR="00C76E6D" w:rsidRDefault="00C76E6D">
      <w:pPr>
        <w:pStyle w:val="BodyText"/>
        <w:spacing w:before="10"/>
        <w:rPr>
          <w:sz w:val="19"/>
        </w:rPr>
      </w:pPr>
    </w:p>
    <w:p w:rsidR="00C76E6D" w:rsidRDefault="00913831">
      <w:pPr>
        <w:pStyle w:val="Heading6"/>
        <w:numPr>
          <w:ilvl w:val="0"/>
          <w:numId w:val="17"/>
        </w:numPr>
        <w:tabs>
          <w:tab w:val="left" w:pos="699"/>
        </w:tabs>
        <w:ind w:left="698" w:hanging="221"/>
      </w:pPr>
      <w:bookmarkStart w:id="768" w:name="5._Release_a_comprehensive_LGBTQ_nondisc"/>
      <w:bookmarkEnd w:id="768"/>
      <w:r>
        <w:rPr>
          <w:w w:val="95"/>
        </w:rPr>
        <w:t>Release</w:t>
      </w:r>
      <w:r>
        <w:rPr>
          <w:spacing w:val="22"/>
        </w:rPr>
        <w:t xml:space="preserve"> </w:t>
      </w:r>
      <w:r>
        <w:rPr>
          <w:w w:val="95"/>
        </w:rPr>
        <w:t>a</w:t>
      </w:r>
      <w:r>
        <w:rPr>
          <w:spacing w:val="19"/>
        </w:rPr>
        <w:t xml:space="preserve"> </w:t>
      </w:r>
      <w:r>
        <w:rPr>
          <w:w w:val="95"/>
        </w:rPr>
        <w:t>comprehensive</w:t>
      </w:r>
      <w:r>
        <w:rPr>
          <w:spacing w:val="22"/>
        </w:rPr>
        <w:t xml:space="preserve"> </w:t>
      </w:r>
      <w:r>
        <w:rPr>
          <w:w w:val="95"/>
        </w:rPr>
        <w:t>LGBTQ</w:t>
      </w:r>
      <w:r>
        <w:rPr>
          <w:spacing w:val="23"/>
        </w:rPr>
        <w:t xml:space="preserve"> </w:t>
      </w:r>
      <w:r>
        <w:rPr>
          <w:w w:val="95"/>
        </w:rPr>
        <w:t>nondiscrimination</w:t>
      </w:r>
      <w:r>
        <w:rPr>
          <w:spacing w:val="22"/>
        </w:rPr>
        <w:t xml:space="preserve"> </w:t>
      </w:r>
      <w:r>
        <w:rPr>
          <w:spacing w:val="-2"/>
          <w:w w:val="95"/>
        </w:rPr>
        <w:t>policy</w:t>
      </w:r>
    </w:p>
    <w:p w:rsidR="00C76E6D" w:rsidRDefault="00C76E6D">
      <w:pPr>
        <w:pStyle w:val="BodyText"/>
        <w:spacing w:before="10"/>
        <w:rPr>
          <w:b/>
        </w:rPr>
      </w:pPr>
    </w:p>
    <w:p w:rsidR="00C76E6D" w:rsidRDefault="00913831">
      <w:pPr>
        <w:pStyle w:val="BodyText"/>
        <w:spacing w:before="1" w:line="276" w:lineRule="auto"/>
        <w:ind w:left="767" w:right="471"/>
        <w:jc w:val="both"/>
      </w:pPr>
      <w:r>
        <w:t>For several years, DCF leadership indicated a preference for incorporating LGBTQ nondiscrimination provisions in the context of individual policies as it revised them, rather than a stand-alone nondiscrimination</w:t>
      </w:r>
      <w:r>
        <w:rPr>
          <w:spacing w:val="-9"/>
        </w:rPr>
        <w:t xml:space="preserve"> </w:t>
      </w:r>
      <w:r>
        <w:t>policy.</w:t>
      </w:r>
      <w:r>
        <w:rPr>
          <w:spacing w:val="-6"/>
        </w:rPr>
        <w:t xml:space="preserve"> </w:t>
      </w:r>
      <w:r>
        <w:t>While</w:t>
      </w:r>
      <w:r>
        <w:rPr>
          <w:spacing w:val="-9"/>
        </w:rPr>
        <w:t xml:space="preserve"> </w:t>
      </w:r>
      <w:r>
        <w:t>the</w:t>
      </w:r>
      <w:r>
        <w:rPr>
          <w:spacing w:val="-9"/>
        </w:rPr>
        <w:t xml:space="preserve"> </w:t>
      </w:r>
      <w:r>
        <w:t>Commission</w:t>
      </w:r>
      <w:r>
        <w:rPr>
          <w:spacing w:val="-9"/>
        </w:rPr>
        <w:t xml:space="preserve"> </w:t>
      </w:r>
      <w:r>
        <w:t>supports</w:t>
      </w:r>
      <w:r>
        <w:rPr>
          <w:spacing w:val="-8"/>
        </w:rPr>
        <w:t xml:space="preserve"> </w:t>
      </w:r>
      <w:r>
        <w:t>the</w:t>
      </w:r>
      <w:r>
        <w:rPr>
          <w:spacing w:val="-9"/>
        </w:rPr>
        <w:t xml:space="preserve"> </w:t>
      </w:r>
      <w:r>
        <w:t>in</w:t>
      </w:r>
      <w:r>
        <w:t>clusion</w:t>
      </w:r>
      <w:r>
        <w:rPr>
          <w:spacing w:val="-9"/>
        </w:rPr>
        <w:t xml:space="preserve"> </w:t>
      </w:r>
      <w:r>
        <w:t>of</w:t>
      </w:r>
      <w:r>
        <w:rPr>
          <w:spacing w:val="-9"/>
        </w:rPr>
        <w:t xml:space="preserve"> </w:t>
      </w:r>
      <w:r>
        <w:t>LGBTQ</w:t>
      </w:r>
      <w:r>
        <w:rPr>
          <w:spacing w:val="-9"/>
        </w:rPr>
        <w:t xml:space="preserve"> </w:t>
      </w:r>
      <w:r>
        <w:t>provisions</w:t>
      </w:r>
      <w:r>
        <w:rPr>
          <w:spacing w:val="-10"/>
        </w:rPr>
        <w:t xml:space="preserve"> </w:t>
      </w:r>
      <w:r>
        <w:t>in</w:t>
      </w:r>
      <w:r>
        <w:rPr>
          <w:spacing w:val="-9"/>
        </w:rPr>
        <w:t xml:space="preserve"> </w:t>
      </w:r>
      <w:r>
        <w:t>existing policies,</w:t>
      </w:r>
      <w:r>
        <w:rPr>
          <w:spacing w:val="-3"/>
        </w:rPr>
        <w:t xml:space="preserve"> </w:t>
      </w:r>
      <w:r>
        <w:t>its</w:t>
      </w:r>
      <w:r>
        <w:rPr>
          <w:spacing w:val="-4"/>
        </w:rPr>
        <w:t xml:space="preserve"> </w:t>
      </w:r>
      <w:r>
        <w:t>position</w:t>
      </w:r>
      <w:r>
        <w:rPr>
          <w:spacing w:val="-5"/>
        </w:rPr>
        <w:t xml:space="preserve"> </w:t>
      </w:r>
      <w:r>
        <w:t>has</w:t>
      </w:r>
      <w:r>
        <w:rPr>
          <w:spacing w:val="-4"/>
        </w:rPr>
        <w:t xml:space="preserve"> </w:t>
      </w:r>
      <w:r>
        <w:t>been</w:t>
      </w:r>
      <w:r>
        <w:rPr>
          <w:spacing w:val="-4"/>
        </w:rPr>
        <w:t xml:space="preserve"> </w:t>
      </w:r>
      <w:r>
        <w:t>that</w:t>
      </w:r>
      <w:r>
        <w:rPr>
          <w:spacing w:val="-4"/>
        </w:rPr>
        <w:t xml:space="preserve"> </w:t>
      </w:r>
      <w:r>
        <w:t>a</w:t>
      </w:r>
      <w:r>
        <w:rPr>
          <w:spacing w:val="-4"/>
        </w:rPr>
        <w:t xml:space="preserve"> </w:t>
      </w:r>
      <w:r>
        <w:t>standalone</w:t>
      </w:r>
      <w:r>
        <w:rPr>
          <w:spacing w:val="-4"/>
        </w:rPr>
        <w:t xml:space="preserve"> </w:t>
      </w:r>
      <w:r>
        <w:t>policy</w:t>
      </w:r>
      <w:r>
        <w:rPr>
          <w:spacing w:val="-4"/>
        </w:rPr>
        <w:t xml:space="preserve"> </w:t>
      </w:r>
      <w:r>
        <w:t>is</w:t>
      </w:r>
      <w:r>
        <w:rPr>
          <w:spacing w:val="-4"/>
        </w:rPr>
        <w:t xml:space="preserve"> </w:t>
      </w:r>
      <w:r>
        <w:t>also</w:t>
      </w:r>
      <w:r>
        <w:rPr>
          <w:spacing w:val="-5"/>
        </w:rPr>
        <w:t xml:space="preserve"> </w:t>
      </w:r>
      <w:r>
        <w:t>necessary</w:t>
      </w:r>
      <w:r>
        <w:rPr>
          <w:spacing w:val="-4"/>
        </w:rPr>
        <w:t xml:space="preserve"> </w:t>
      </w:r>
      <w:r>
        <w:t>to</w:t>
      </w:r>
      <w:r>
        <w:rPr>
          <w:spacing w:val="-4"/>
        </w:rPr>
        <w:t xml:space="preserve"> </w:t>
      </w:r>
      <w:r>
        <w:t>address</w:t>
      </w:r>
      <w:r>
        <w:rPr>
          <w:spacing w:val="-4"/>
        </w:rPr>
        <w:t xml:space="preserve"> </w:t>
      </w:r>
      <w:r>
        <w:t>all</w:t>
      </w:r>
      <w:r>
        <w:rPr>
          <w:spacing w:val="-4"/>
        </w:rPr>
        <w:t xml:space="preserve"> </w:t>
      </w:r>
      <w:r>
        <w:t>areas</w:t>
      </w:r>
      <w:r>
        <w:rPr>
          <w:spacing w:val="-5"/>
        </w:rPr>
        <w:t xml:space="preserve"> </w:t>
      </w:r>
      <w:r>
        <w:t>of</w:t>
      </w:r>
      <w:r>
        <w:rPr>
          <w:spacing w:val="-4"/>
        </w:rPr>
        <w:t xml:space="preserve"> </w:t>
      </w:r>
      <w:r>
        <w:t>concern for LGBTQ youth in a timely and comprehensive manner. The DCF LGBTQ Liaisons created a draft policy, which ha</w:t>
      </w:r>
      <w:r>
        <w:t>s been available since at least 2018, and advocates met with the agency to discuss it in</w:t>
      </w:r>
      <w:r>
        <w:rPr>
          <w:spacing w:val="-6"/>
        </w:rPr>
        <w:t xml:space="preserve"> </w:t>
      </w:r>
      <w:r>
        <w:t>2020.</w:t>
      </w:r>
      <w:r>
        <w:rPr>
          <w:spacing w:val="-4"/>
        </w:rPr>
        <w:t xml:space="preserve"> </w:t>
      </w:r>
      <w:r>
        <w:t>Following</w:t>
      </w:r>
      <w:r>
        <w:rPr>
          <w:spacing w:val="-4"/>
        </w:rPr>
        <w:t xml:space="preserve"> </w:t>
      </w:r>
      <w:r>
        <w:t>the</w:t>
      </w:r>
      <w:r>
        <w:rPr>
          <w:spacing w:val="-4"/>
        </w:rPr>
        <w:t xml:space="preserve"> </w:t>
      </w:r>
      <w:r>
        <w:t>Commission’s</w:t>
      </w:r>
      <w:r>
        <w:rPr>
          <w:spacing w:val="-4"/>
        </w:rPr>
        <w:t xml:space="preserve"> </w:t>
      </w:r>
      <w:r>
        <w:t>release</w:t>
      </w:r>
      <w:r>
        <w:rPr>
          <w:spacing w:val="-5"/>
        </w:rPr>
        <w:t xml:space="preserve"> </w:t>
      </w:r>
      <w:r>
        <w:t>of</w:t>
      </w:r>
      <w:r>
        <w:rPr>
          <w:spacing w:val="-4"/>
        </w:rPr>
        <w:t xml:space="preserve"> </w:t>
      </w:r>
      <w:r>
        <w:t>its</w:t>
      </w:r>
      <w:r>
        <w:rPr>
          <w:spacing w:val="-4"/>
        </w:rPr>
        <w:t xml:space="preserve"> </w:t>
      </w:r>
      <w:r>
        <w:t>report</w:t>
      </w:r>
      <w:r>
        <w:rPr>
          <w:spacing w:val="-6"/>
        </w:rPr>
        <w:t xml:space="preserve"> </w:t>
      </w:r>
      <w:r>
        <w:t>last</w:t>
      </w:r>
      <w:r>
        <w:rPr>
          <w:spacing w:val="-4"/>
        </w:rPr>
        <w:t xml:space="preserve"> </w:t>
      </w:r>
      <w:r>
        <w:t>summer,</w:t>
      </w:r>
      <w:r>
        <w:rPr>
          <w:spacing w:val="-4"/>
        </w:rPr>
        <w:t xml:space="preserve"> </w:t>
      </w:r>
      <w:r>
        <w:t>DCF</w:t>
      </w:r>
      <w:r>
        <w:rPr>
          <w:spacing w:val="-5"/>
        </w:rPr>
        <w:t xml:space="preserve"> </w:t>
      </w:r>
      <w:r>
        <w:t>indicated</w:t>
      </w:r>
      <w:r>
        <w:rPr>
          <w:spacing w:val="-4"/>
        </w:rPr>
        <w:t xml:space="preserve"> </w:t>
      </w:r>
      <w:r>
        <w:t>that</w:t>
      </w:r>
      <w:r>
        <w:rPr>
          <w:spacing w:val="-2"/>
        </w:rPr>
        <w:t xml:space="preserve"> </w:t>
      </w:r>
      <w:r>
        <w:t>work</w:t>
      </w:r>
      <w:r>
        <w:rPr>
          <w:spacing w:val="-6"/>
        </w:rPr>
        <w:t xml:space="preserve"> </w:t>
      </w:r>
      <w:r>
        <w:t>on</w:t>
      </w:r>
      <w:r>
        <w:rPr>
          <w:spacing w:val="-4"/>
        </w:rPr>
        <w:t xml:space="preserve"> </w:t>
      </w:r>
      <w:r>
        <w:t xml:space="preserve">the policy would begin in November - a timeline that was ultimately pushed back - and DCF’s FY 2021 annual report identified creating a policy to focus on LGBTQ youth wellbeing as an agency goal for </w:t>
      </w:r>
      <w:r>
        <w:rPr>
          <w:spacing w:val="-2"/>
        </w:rPr>
        <w:t>2022.</w:t>
      </w:r>
    </w:p>
    <w:p w:rsidR="00C76E6D" w:rsidRDefault="00C76E6D">
      <w:pPr>
        <w:pStyle w:val="BodyText"/>
        <w:spacing w:before="9"/>
        <w:rPr>
          <w:sz w:val="19"/>
        </w:rPr>
      </w:pPr>
    </w:p>
    <w:p w:rsidR="00C76E6D" w:rsidRDefault="00913831">
      <w:pPr>
        <w:pStyle w:val="BodyText"/>
        <w:spacing w:line="276" w:lineRule="auto"/>
        <w:ind w:left="768" w:right="474"/>
        <w:jc w:val="both"/>
      </w:pPr>
      <w:r>
        <w:t>In January, Commissioner Spears confirmed that the</w:t>
      </w:r>
      <w:r>
        <w:t xml:space="preserve"> Policy Director was reviewing the policy. As of February 2022, DCF was reviewing the policy internally and anticipated its approval within a short period of time. In April 2022, DCF informed the Commission that the policy would be in effect by the end of </w:t>
      </w:r>
      <w:r>
        <w:t>April or early May 2022. At this time, the agency has shared a draft with the Commission and has requested feedback from the Commission and advocates. The Commission, DCF, and advocates met</w:t>
      </w:r>
      <w:r>
        <w:rPr>
          <w:spacing w:val="-1"/>
        </w:rPr>
        <w:t xml:space="preserve"> </w:t>
      </w:r>
      <w:r>
        <w:t>in</w:t>
      </w:r>
      <w:r>
        <w:rPr>
          <w:spacing w:val="-1"/>
        </w:rPr>
        <w:t xml:space="preserve"> </w:t>
      </w:r>
      <w:r>
        <w:t>the</w:t>
      </w:r>
      <w:r>
        <w:rPr>
          <w:spacing w:val="-1"/>
        </w:rPr>
        <w:t xml:space="preserve"> </w:t>
      </w:r>
      <w:r>
        <w:t>beginning</w:t>
      </w:r>
      <w:r>
        <w:rPr>
          <w:spacing w:val="-1"/>
        </w:rPr>
        <w:t xml:space="preserve"> </w:t>
      </w:r>
      <w:r>
        <w:t>of June</w:t>
      </w:r>
      <w:r>
        <w:rPr>
          <w:spacing w:val="-1"/>
        </w:rPr>
        <w:t xml:space="preserve"> </w:t>
      </w:r>
      <w:r>
        <w:t>to discuss feedback</w:t>
      </w:r>
      <w:r>
        <w:rPr>
          <w:spacing w:val="-1"/>
        </w:rPr>
        <w:t xml:space="preserve"> </w:t>
      </w:r>
      <w:r>
        <w:t>on</w:t>
      </w:r>
      <w:r>
        <w:rPr>
          <w:spacing w:val="-1"/>
        </w:rPr>
        <w:t xml:space="preserve"> </w:t>
      </w:r>
      <w:r>
        <w:t>this policy.</w:t>
      </w:r>
      <w:r>
        <w:rPr>
          <w:spacing w:val="-1"/>
        </w:rPr>
        <w:t xml:space="preserve"> </w:t>
      </w:r>
      <w:r>
        <w:t xml:space="preserve">This </w:t>
      </w:r>
      <w:r>
        <w:t>policy is not yet released, though DCF has committed to releasing the policy by the end of June 2022. The persistent absence of clear nondiscrimination standards leads to confusion and a lack of accountability that harm LGBTQ young people.</w:t>
      </w:r>
      <w:r>
        <w:rPr>
          <w:spacing w:val="-13"/>
        </w:rPr>
        <w:t xml:space="preserve"> </w:t>
      </w:r>
      <w:r>
        <w:t>After</w:t>
      </w:r>
      <w:r>
        <w:rPr>
          <w:spacing w:val="-12"/>
        </w:rPr>
        <w:t xml:space="preserve"> </w:t>
      </w:r>
      <w:r>
        <w:t>years</w:t>
      </w:r>
      <w:r>
        <w:rPr>
          <w:spacing w:val="-13"/>
        </w:rPr>
        <w:t xml:space="preserve"> </w:t>
      </w:r>
      <w:r>
        <w:t>of</w:t>
      </w:r>
      <w:r>
        <w:rPr>
          <w:spacing w:val="-12"/>
        </w:rPr>
        <w:t xml:space="preserve"> </w:t>
      </w:r>
      <w:r>
        <w:t>i</w:t>
      </w:r>
      <w:r>
        <w:t>naction</w:t>
      </w:r>
      <w:r>
        <w:rPr>
          <w:spacing w:val="-13"/>
        </w:rPr>
        <w:t xml:space="preserve"> </w:t>
      </w:r>
      <w:r>
        <w:t>in</w:t>
      </w:r>
      <w:r>
        <w:rPr>
          <w:spacing w:val="-12"/>
        </w:rPr>
        <w:t xml:space="preserve"> </w:t>
      </w:r>
      <w:r>
        <w:t>this</w:t>
      </w:r>
      <w:r>
        <w:rPr>
          <w:spacing w:val="-13"/>
        </w:rPr>
        <w:t xml:space="preserve"> </w:t>
      </w:r>
      <w:r>
        <w:t>area,</w:t>
      </w:r>
      <w:r>
        <w:rPr>
          <w:spacing w:val="-12"/>
        </w:rPr>
        <w:t xml:space="preserve"> </w:t>
      </w:r>
      <w:r>
        <w:t>it</w:t>
      </w:r>
      <w:r>
        <w:rPr>
          <w:spacing w:val="-12"/>
        </w:rPr>
        <w:t xml:space="preserve"> </w:t>
      </w:r>
      <w:r>
        <w:t>is</w:t>
      </w:r>
      <w:r>
        <w:rPr>
          <w:spacing w:val="-13"/>
        </w:rPr>
        <w:t xml:space="preserve"> </w:t>
      </w:r>
      <w:r>
        <w:t>vital</w:t>
      </w:r>
      <w:r>
        <w:rPr>
          <w:spacing w:val="-12"/>
        </w:rPr>
        <w:t xml:space="preserve"> </w:t>
      </w:r>
      <w:r>
        <w:t>that</w:t>
      </w:r>
      <w:r>
        <w:rPr>
          <w:spacing w:val="-13"/>
        </w:rPr>
        <w:t xml:space="preserve"> </w:t>
      </w:r>
      <w:r>
        <w:t>DCF</w:t>
      </w:r>
      <w:r>
        <w:rPr>
          <w:spacing w:val="-12"/>
        </w:rPr>
        <w:t xml:space="preserve"> </w:t>
      </w:r>
      <w:r>
        <w:t>finalize,</w:t>
      </w:r>
      <w:r>
        <w:rPr>
          <w:spacing w:val="-13"/>
        </w:rPr>
        <w:t xml:space="preserve"> </w:t>
      </w:r>
      <w:r>
        <w:t>release,</w:t>
      </w:r>
      <w:r>
        <w:rPr>
          <w:spacing w:val="-12"/>
        </w:rPr>
        <w:t xml:space="preserve"> </w:t>
      </w:r>
      <w:r>
        <w:t>and</w:t>
      </w:r>
      <w:r>
        <w:rPr>
          <w:spacing w:val="-12"/>
        </w:rPr>
        <w:t xml:space="preserve"> </w:t>
      </w:r>
      <w:r>
        <w:t>implement</w:t>
      </w:r>
      <w:r>
        <w:rPr>
          <w:spacing w:val="-13"/>
        </w:rPr>
        <w:t xml:space="preserve"> </w:t>
      </w:r>
      <w:r>
        <w:t>this</w:t>
      </w:r>
      <w:r>
        <w:rPr>
          <w:spacing w:val="-12"/>
        </w:rPr>
        <w:t xml:space="preserve"> </w:t>
      </w:r>
      <w:r>
        <w:t xml:space="preserve">policy </w:t>
      </w:r>
      <w:r>
        <w:rPr>
          <w:spacing w:val="-2"/>
        </w:rPr>
        <w:t>immediately.</w:t>
      </w:r>
    </w:p>
    <w:p w:rsidR="00C76E6D" w:rsidRDefault="00C76E6D">
      <w:pPr>
        <w:pStyle w:val="BodyText"/>
        <w:spacing w:before="6"/>
        <w:rPr>
          <w:sz w:val="19"/>
        </w:rPr>
      </w:pPr>
    </w:p>
    <w:p w:rsidR="00C76E6D" w:rsidRDefault="00913831">
      <w:pPr>
        <w:pStyle w:val="Heading6"/>
        <w:numPr>
          <w:ilvl w:val="0"/>
          <w:numId w:val="17"/>
        </w:numPr>
        <w:tabs>
          <w:tab w:val="left" w:pos="699"/>
        </w:tabs>
        <w:ind w:left="698" w:hanging="221"/>
      </w:pPr>
      <w:bookmarkStart w:id="769" w:name="6._Continue_implementation_of_the_Gender"/>
      <w:bookmarkEnd w:id="769"/>
      <w:r>
        <w:rPr>
          <w:w w:val="95"/>
        </w:rPr>
        <w:t>Continue</w:t>
      </w:r>
      <w:r>
        <w:rPr>
          <w:spacing w:val="15"/>
        </w:rPr>
        <w:t xml:space="preserve"> </w:t>
      </w:r>
      <w:r>
        <w:rPr>
          <w:w w:val="95"/>
        </w:rPr>
        <w:t>implementation</w:t>
      </w:r>
      <w:r>
        <w:rPr>
          <w:spacing w:val="21"/>
        </w:rPr>
        <w:t xml:space="preserve"> </w:t>
      </w:r>
      <w:r>
        <w:rPr>
          <w:w w:val="95"/>
        </w:rPr>
        <w:t>of</w:t>
      </w:r>
      <w:r>
        <w:rPr>
          <w:spacing w:val="20"/>
        </w:rPr>
        <w:t xml:space="preserve"> </w:t>
      </w:r>
      <w:r>
        <w:rPr>
          <w:w w:val="95"/>
        </w:rPr>
        <w:t>the</w:t>
      </w:r>
      <w:r>
        <w:rPr>
          <w:spacing w:val="16"/>
        </w:rPr>
        <w:t xml:space="preserve"> </w:t>
      </w:r>
      <w:r>
        <w:rPr>
          <w:w w:val="95"/>
        </w:rPr>
        <w:t>Gender</w:t>
      </w:r>
      <w:r>
        <w:rPr>
          <w:spacing w:val="17"/>
        </w:rPr>
        <w:t xml:space="preserve"> </w:t>
      </w:r>
      <w:r>
        <w:rPr>
          <w:w w:val="95"/>
        </w:rPr>
        <w:t>Affirming</w:t>
      </w:r>
      <w:r>
        <w:rPr>
          <w:spacing w:val="19"/>
        </w:rPr>
        <w:t xml:space="preserve"> </w:t>
      </w:r>
      <w:r>
        <w:rPr>
          <w:w w:val="95"/>
        </w:rPr>
        <w:t>Medication</w:t>
      </w:r>
      <w:r>
        <w:rPr>
          <w:spacing w:val="19"/>
        </w:rPr>
        <w:t xml:space="preserve"> </w:t>
      </w:r>
      <w:r>
        <w:rPr>
          <w:w w:val="95"/>
        </w:rPr>
        <w:t>Consent</w:t>
      </w:r>
      <w:r>
        <w:rPr>
          <w:spacing w:val="18"/>
        </w:rPr>
        <w:t xml:space="preserve"> </w:t>
      </w:r>
      <w:r>
        <w:rPr>
          <w:spacing w:val="-2"/>
          <w:w w:val="95"/>
        </w:rPr>
        <w:t>Policy</w:t>
      </w:r>
    </w:p>
    <w:p w:rsidR="00C76E6D" w:rsidRDefault="00C76E6D">
      <w:pPr>
        <w:pStyle w:val="BodyText"/>
        <w:rPr>
          <w:b/>
          <w:sz w:val="23"/>
        </w:rPr>
      </w:pPr>
    </w:p>
    <w:p w:rsidR="00C76E6D" w:rsidRDefault="00913831">
      <w:pPr>
        <w:pStyle w:val="BodyText"/>
        <w:spacing w:before="1" w:line="276" w:lineRule="auto"/>
        <w:ind w:left="767" w:right="475"/>
        <w:jc w:val="both"/>
      </w:pPr>
      <w:r>
        <w:t>The Commission and LGBTQ advocates provided recommendations to DCF in 2017 on improving healthcare for transgender youth during the public comment period for the agency’s medical authorization regulations. In 2021, DCF approved a new gender-affirming medic</w:t>
      </w:r>
      <w:r>
        <w:t>ation consent policy. DCF distributed the policy in September 2021 and reviewed it with staff at area office meetings in October</w:t>
      </w:r>
      <w:r>
        <w:rPr>
          <w:spacing w:val="-5"/>
        </w:rPr>
        <w:t xml:space="preserve"> </w:t>
      </w:r>
      <w:r>
        <w:t>and</w:t>
      </w:r>
      <w:r>
        <w:rPr>
          <w:spacing w:val="-4"/>
        </w:rPr>
        <w:t xml:space="preserve"> </w:t>
      </w:r>
      <w:r>
        <w:t>November</w:t>
      </w:r>
      <w:r>
        <w:rPr>
          <w:spacing w:val="-4"/>
        </w:rPr>
        <w:t xml:space="preserve"> </w:t>
      </w:r>
      <w:r>
        <w:t>2021.</w:t>
      </w:r>
      <w:r>
        <w:rPr>
          <w:spacing w:val="-6"/>
        </w:rPr>
        <w:t xml:space="preserve"> </w:t>
      </w:r>
      <w:r>
        <w:t>The</w:t>
      </w:r>
      <w:r>
        <w:rPr>
          <w:spacing w:val="-4"/>
        </w:rPr>
        <w:t xml:space="preserve"> </w:t>
      </w:r>
      <w:r>
        <w:t>agency</w:t>
      </w:r>
      <w:r>
        <w:rPr>
          <w:spacing w:val="-6"/>
        </w:rPr>
        <w:t xml:space="preserve"> </w:t>
      </w:r>
      <w:r>
        <w:t>also</w:t>
      </w:r>
      <w:r>
        <w:rPr>
          <w:spacing w:val="-5"/>
        </w:rPr>
        <w:t xml:space="preserve"> </w:t>
      </w:r>
      <w:r>
        <w:t>provided</w:t>
      </w:r>
      <w:r>
        <w:rPr>
          <w:spacing w:val="-4"/>
        </w:rPr>
        <w:t xml:space="preserve"> </w:t>
      </w:r>
      <w:r>
        <w:t>training</w:t>
      </w:r>
      <w:r>
        <w:rPr>
          <w:spacing w:val="-4"/>
        </w:rPr>
        <w:t xml:space="preserve"> </w:t>
      </w:r>
      <w:r>
        <w:t>on</w:t>
      </w:r>
      <w:r>
        <w:rPr>
          <w:spacing w:val="-6"/>
        </w:rPr>
        <w:t xml:space="preserve"> </w:t>
      </w:r>
      <w:r>
        <w:t>the</w:t>
      </w:r>
      <w:r>
        <w:rPr>
          <w:spacing w:val="-4"/>
        </w:rPr>
        <w:t xml:space="preserve"> </w:t>
      </w:r>
      <w:r>
        <w:t>policy</w:t>
      </w:r>
      <w:r>
        <w:rPr>
          <w:spacing w:val="-4"/>
        </w:rPr>
        <w:t xml:space="preserve"> </w:t>
      </w:r>
      <w:r>
        <w:t>for</w:t>
      </w:r>
      <w:r>
        <w:rPr>
          <w:spacing w:val="-5"/>
        </w:rPr>
        <w:t xml:space="preserve"> </w:t>
      </w:r>
      <w:r>
        <w:t>DCF</w:t>
      </w:r>
      <w:r>
        <w:rPr>
          <w:spacing w:val="-5"/>
        </w:rPr>
        <w:t xml:space="preserve"> </w:t>
      </w:r>
      <w:r>
        <w:t>regional</w:t>
      </w:r>
      <w:r>
        <w:rPr>
          <w:spacing w:val="-5"/>
        </w:rPr>
        <w:t xml:space="preserve"> </w:t>
      </w:r>
      <w:r>
        <w:t>nurses. DCF reports that its Medical Direct</w:t>
      </w:r>
      <w:r>
        <w:t>or is keeping track of how the process is unfolding for all requests for gender-affirming care under the policy, and that</w:t>
      </w:r>
      <w:r>
        <w:rPr>
          <w:spacing w:val="-3"/>
        </w:rPr>
        <w:t xml:space="preserve"> </w:t>
      </w:r>
      <w:r>
        <w:t>it</w:t>
      </w:r>
      <w:r>
        <w:rPr>
          <w:spacing w:val="-3"/>
        </w:rPr>
        <w:t xml:space="preserve"> </w:t>
      </w:r>
      <w:r>
        <w:t>will be</w:t>
      </w:r>
      <w:r>
        <w:rPr>
          <w:spacing w:val="-1"/>
        </w:rPr>
        <w:t xml:space="preserve"> </w:t>
      </w:r>
      <w:r>
        <w:t>possible to review the policy after it</w:t>
      </w:r>
      <w:r>
        <w:rPr>
          <w:spacing w:val="-1"/>
        </w:rPr>
        <w:t xml:space="preserve"> </w:t>
      </w:r>
      <w:r>
        <w:t>has</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768" w:right="476"/>
        <w:jc w:val="both"/>
      </w:pPr>
      <w:r>
        <w:t>been in place for a year. The Commission looks forward to an opportunity to discuss successes and lessons learned in fall 2022.</w:t>
      </w:r>
    </w:p>
    <w:p w:rsidR="00C76E6D" w:rsidRDefault="00C76E6D">
      <w:pPr>
        <w:pStyle w:val="BodyText"/>
        <w:spacing w:before="8"/>
        <w:rPr>
          <w:sz w:val="19"/>
        </w:rPr>
      </w:pPr>
    </w:p>
    <w:p w:rsidR="00C76E6D" w:rsidRDefault="00913831">
      <w:pPr>
        <w:pStyle w:val="Heading6"/>
        <w:numPr>
          <w:ilvl w:val="0"/>
          <w:numId w:val="17"/>
        </w:numPr>
        <w:tabs>
          <w:tab w:val="left" w:pos="699"/>
        </w:tabs>
        <w:ind w:left="698" w:hanging="221"/>
      </w:pPr>
      <w:bookmarkStart w:id="770" w:name="7._Update_the_Family_Resource_Policy_wit"/>
      <w:bookmarkEnd w:id="770"/>
      <w:r>
        <w:rPr>
          <w:w w:val="95"/>
        </w:rPr>
        <w:t>Update</w:t>
      </w:r>
      <w:r>
        <w:rPr>
          <w:spacing w:val="15"/>
        </w:rPr>
        <w:t xml:space="preserve"> </w:t>
      </w:r>
      <w:r>
        <w:rPr>
          <w:w w:val="95"/>
        </w:rPr>
        <w:t>the</w:t>
      </w:r>
      <w:r>
        <w:rPr>
          <w:spacing w:val="14"/>
        </w:rPr>
        <w:t xml:space="preserve"> </w:t>
      </w:r>
      <w:r>
        <w:rPr>
          <w:w w:val="95"/>
        </w:rPr>
        <w:t>Family</w:t>
      </w:r>
      <w:r>
        <w:rPr>
          <w:spacing w:val="18"/>
        </w:rPr>
        <w:t xml:space="preserve"> </w:t>
      </w:r>
      <w:r>
        <w:rPr>
          <w:w w:val="95"/>
        </w:rPr>
        <w:t>Resource</w:t>
      </w:r>
      <w:r>
        <w:rPr>
          <w:spacing w:val="15"/>
        </w:rPr>
        <w:t xml:space="preserve"> </w:t>
      </w:r>
      <w:r>
        <w:rPr>
          <w:w w:val="95"/>
        </w:rPr>
        <w:t>Policy</w:t>
      </w:r>
      <w:r>
        <w:rPr>
          <w:spacing w:val="18"/>
        </w:rPr>
        <w:t xml:space="preserve"> </w:t>
      </w:r>
      <w:r>
        <w:rPr>
          <w:w w:val="95"/>
        </w:rPr>
        <w:t>with</w:t>
      </w:r>
      <w:r>
        <w:rPr>
          <w:spacing w:val="19"/>
        </w:rPr>
        <w:t xml:space="preserve"> </w:t>
      </w:r>
      <w:r>
        <w:rPr>
          <w:w w:val="95"/>
        </w:rPr>
        <w:t>LGBTQ-Inclusive</w:t>
      </w:r>
      <w:r>
        <w:rPr>
          <w:spacing w:val="16"/>
        </w:rPr>
        <w:t xml:space="preserve"> </w:t>
      </w:r>
      <w:r>
        <w:rPr>
          <w:spacing w:val="-2"/>
          <w:w w:val="95"/>
        </w:rPr>
        <w:t>Provisions</w:t>
      </w:r>
    </w:p>
    <w:p w:rsidR="00C76E6D" w:rsidRDefault="00C76E6D">
      <w:pPr>
        <w:pStyle w:val="BodyText"/>
        <w:spacing w:before="12"/>
        <w:rPr>
          <w:b/>
        </w:rPr>
      </w:pPr>
    </w:p>
    <w:p w:rsidR="00C76E6D" w:rsidRDefault="00913831">
      <w:pPr>
        <w:pStyle w:val="BodyText"/>
        <w:spacing w:line="276" w:lineRule="auto"/>
        <w:ind w:left="767" w:right="473" w:hanging="1"/>
        <w:jc w:val="both"/>
      </w:pPr>
      <w:r>
        <w:t>Historically,</w:t>
      </w:r>
      <w:r>
        <w:rPr>
          <w:spacing w:val="-3"/>
        </w:rPr>
        <w:t xml:space="preserve"> </w:t>
      </w:r>
      <w:r>
        <w:t>the</w:t>
      </w:r>
      <w:r>
        <w:rPr>
          <w:spacing w:val="-4"/>
        </w:rPr>
        <w:t xml:space="preserve"> </w:t>
      </w:r>
      <w:r>
        <w:t>Department’s</w:t>
      </w:r>
      <w:r>
        <w:rPr>
          <w:spacing w:val="-4"/>
        </w:rPr>
        <w:t xml:space="preserve"> </w:t>
      </w:r>
      <w:r>
        <w:t>Family</w:t>
      </w:r>
      <w:r>
        <w:rPr>
          <w:spacing w:val="-3"/>
        </w:rPr>
        <w:t xml:space="preserve"> </w:t>
      </w:r>
      <w:r>
        <w:t>Resource</w:t>
      </w:r>
      <w:r>
        <w:rPr>
          <w:spacing w:val="-4"/>
        </w:rPr>
        <w:t xml:space="preserve"> </w:t>
      </w:r>
      <w:r>
        <w:t>Policy</w:t>
      </w:r>
      <w:r>
        <w:rPr>
          <w:spacing w:val="-4"/>
        </w:rPr>
        <w:t xml:space="preserve"> </w:t>
      </w:r>
      <w:r>
        <w:t>has</w:t>
      </w:r>
      <w:r>
        <w:rPr>
          <w:spacing w:val="-4"/>
        </w:rPr>
        <w:t xml:space="preserve"> </w:t>
      </w:r>
      <w:r>
        <w:t>not</w:t>
      </w:r>
      <w:r>
        <w:rPr>
          <w:spacing w:val="-4"/>
        </w:rPr>
        <w:t xml:space="preserve"> </w:t>
      </w:r>
      <w:r>
        <w:t>included</w:t>
      </w:r>
      <w:r>
        <w:rPr>
          <w:spacing w:val="-3"/>
        </w:rPr>
        <w:t xml:space="preserve"> </w:t>
      </w:r>
      <w:r>
        <w:t>the</w:t>
      </w:r>
      <w:r>
        <w:rPr>
          <w:spacing w:val="-4"/>
        </w:rPr>
        <w:t xml:space="preserve"> </w:t>
      </w:r>
      <w:r>
        <w:t>same</w:t>
      </w:r>
      <w:r>
        <w:rPr>
          <w:spacing w:val="-4"/>
        </w:rPr>
        <w:t xml:space="preserve"> </w:t>
      </w:r>
      <w:r>
        <w:t>language</w:t>
      </w:r>
      <w:r>
        <w:rPr>
          <w:spacing w:val="-3"/>
        </w:rPr>
        <w:t xml:space="preserve"> </w:t>
      </w:r>
      <w:r>
        <w:t>that</w:t>
      </w:r>
      <w:r>
        <w:rPr>
          <w:spacing w:val="-6"/>
        </w:rPr>
        <w:t xml:space="preserve"> </w:t>
      </w:r>
      <w:r>
        <w:t>is</w:t>
      </w:r>
      <w:r>
        <w:rPr>
          <w:spacing w:val="-4"/>
        </w:rPr>
        <w:t xml:space="preserve"> </w:t>
      </w:r>
      <w:r>
        <w:t>in</w:t>
      </w:r>
      <w:r>
        <w:rPr>
          <w:spacing w:val="-4"/>
        </w:rPr>
        <w:t xml:space="preserve"> </w:t>
      </w:r>
      <w:r>
        <w:t>its state</w:t>
      </w:r>
      <w:r>
        <w:rPr>
          <w:spacing w:val="-9"/>
        </w:rPr>
        <w:t xml:space="preserve"> </w:t>
      </w:r>
      <w:r>
        <w:t>regulations</w:t>
      </w:r>
      <w:r>
        <w:rPr>
          <w:spacing w:val="-8"/>
        </w:rPr>
        <w:t xml:space="preserve"> </w:t>
      </w:r>
      <w:r>
        <w:t>governing</w:t>
      </w:r>
      <w:r>
        <w:rPr>
          <w:spacing w:val="-10"/>
        </w:rPr>
        <w:t xml:space="preserve"> </w:t>
      </w:r>
      <w:r>
        <w:t>licensure</w:t>
      </w:r>
      <w:r>
        <w:rPr>
          <w:spacing w:val="-9"/>
        </w:rPr>
        <w:t xml:space="preserve"> </w:t>
      </w:r>
      <w:r>
        <w:t>for</w:t>
      </w:r>
      <w:r>
        <w:rPr>
          <w:spacing w:val="-10"/>
        </w:rPr>
        <w:t xml:space="preserve"> </w:t>
      </w:r>
      <w:r>
        <w:t>foster</w:t>
      </w:r>
      <w:r>
        <w:rPr>
          <w:spacing w:val="-8"/>
        </w:rPr>
        <w:t xml:space="preserve"> </w:t>
      </w:r>
      <w:r>
        <w:t>and</w:t>
      </w:r>
      <w:r>
        <w:rPr>
          <w:spacing w:val="-8"/>
        </w:rPr>
        <w:t xml:space="preserve"> </w:t>
      </w:r>
      <w:r>
        <w:t>pre-adoptive</w:t>
      </w:r>
      <w:r>
        <w:rPr>
          <w:spacing w:val="-9"/>
        </w:rPr>
        <w:t xml:space="preserve"> </w:t>
      </w:r>
      <w:r>
        <w:t>parents,</w:t>
      </w:r>
      <w:r>
        <w:rPr>
          <w:spacing w:val="-8"/>
        </w:rPr>
        <w:t xml:space="preserve"> </w:t>
      </w:r>
      <w:r>
        <w:t>which</w:t>
      </w:r>
      <w:r>
        <w:rPr>
          <w:spacing w:val="-8"/>
        </w:rPr>
        <w:t xml:space="preserve"> </w:t>
      </w:r>
      <w:r>
        <w:t>requires</w:t>
      </w:r>
      <w:r>
        <w:rPr>
          <w:spacing w:val="-8"/>
        </w:rPr>
        <w:t xml:space="preserve"> </w:t>
      </w:r>
      <w:r>
        <w:t>applicants</w:t>
      </w:r>
      <w:r>
        <w:rPr>
          <w:spacing w:val="-7"/>
        </w:rPr>
        <w:t xml:space="preserve"> </w:t>
      </w:r>
      <w:r>
        <w:t>to demonstrate their ability to support and respect a child’s sexual orientation and gender identity. The Com</w:t>
      </w:r>
      <w:r>
        <w:t>mission has since learned that the omission was an error and recognizes that a new draft of the Family</w:t>
      </w:r>
      <w:r>
        <w:rPr>
          <w:spacing w:val="-1"/>
        </w:rPr>
        <w:t xml:space="preserve"> </w:t>
      </w:r>
      <w:r>
        <w:t>Resource</w:t>
      </w:r>
      <w:r>
        <w:rPr>
          <w:spacing w:val="-2"/>
        </w:rPr>
        <w:t xml:space="preserve"> </w:t>
      </w:r>
      <w:r>
        <w:t>Policy</w:t>
      </w:r>
      <w:r>
        <w:rPr>
          <w:spacing w:val="-1"/>
        </w:rPr>
        <w:t xml:space="preserve"> </w:t>
      </w:r>
      <w:r>
        <w:t>includes</w:t>
      </w:r>
      <w:r>
        <w:rPr>
          <w:spacing w:val="-1"/>
        </w:rPr>
        <w:t xml:space="preserve"> </w:t>
      </w:r>
      <w:r>
        <w:t>provisions</w:t>
      </w:r>
      <w:r>
        <w:rPr>
          <w:spacing w:val="-1"/>
        </w:rPr>
        <w:t xml:space="preserve"> </w:t>
      </w:r>
      <w:r>
        <w:t>to</w:t>
      </w:r>
      <w:r>
        <w:rPr>
          <w:spacing w:val="-1"/>
        </w:rPr>
        <w:t xml:space="preserve"> </w:t>
      </w:r>
      <w:r>
        <w:t>support</w:t>
      </w:r>
      <w:r>
        <w:rPr>
          <w:spacing w:val="-2"/>
        </w:rPr>
        <w:t xml:space="preserve"> </w:t>
      </w:r>
      <w:r>
        <w:t>LGBTQ</w:t>
      </w:r>
      <w:r>
        <w:rPr>
          <w:spacing w:val="-2"/>
        </w:rPr>
        <w:t xml:space="preserve"> </w:t>
      </w:r>
      <w:r>
        <w:t>individuals.</w:t>
      </w:r>
      <w:r>
        <w:rPr>
          <w:spacing w:val="-3"/>
        </w:rPr>
        <w:t xml:space="preserve"> </w:t>
      </w:r>
      <w:r>
        <w:t>DCF</w:t>
      </w:r>
      <w:r>
        <w:rPr>
          <w:spacing w:val="-1"/>
        </w:rPr>
        <w:t xml:space="preserve"> </w:t>
      </w:r>
      <w:r>
        <w:t>has</w:t>
      </w:r>
      <w:r>
        <w:rPr>
          <w:spacing w:val="-2"/>
        </w:rPr>
        <w:t xml:space="preserve"> </w:t>
      </w:r>
      <w:r>
        <w:t>communicated</w:t>
      </w:r>
      <w:r>
        <w:rPr>
          <w:spacing w:val="-2"/>
        </w:rPr>
        <w:t xml:space="preserve"> </w:t>
      </w:r>
      <w:r>
        <w:t>that it anticipates releasing the new policy by the end of 2022 an</w:t>
      </w:r>
      <w:r>
        <w:t>d that it will also serve as the basis for other</w:t>
      </w:r>
      <w:r>
        <w:rPr>
          <w:spacing w:val="-6"/>
        </w:rPr>
        <w:t xml:space="preserve"> </w:t>
      </w:r>
      <w:r>
        <w:t>changes</w:t>
      </w:r>
      <w:r>
        <w:rPr>
          <w:spacing w:val="-8"/>
        </w:rPr>
        <w:t xml:space="preserve"> </w:t>
      </w:r>
      <w:r>
        <w:t>-</w:t>
      </w:r>
      <w:r>
        <w:rPr>
          <w:spacing w:val="-8"/>
        </w:rPr>
        <w:t xml:space="preserve"> </w:t>
      </w:r>
      <w:r>
        <w:t>including</w:t>
      </w:r>
      <w:r>
        <w:rPr>
          <w:spacing w:val="-6"/>
        </w:rPr>
        <w:t xml:space="preserve"> </w:t>
      </w:r>
      <w:r>
        <w:t>efforts</w:t>
      </w:r>
      <w:r>
        <w:rPr>
          <w:spacing w:val="-9"/>
        </w:rPr>
        <w:t xml:space="preserve"> </w:t>
      </w:r>
      <w:r>
        <w:t>to</w:t>
      </w:r>
      <w:r>
        <w:rPr>
          <w:spacing w:val="-6"/>
        </w:rPr>
        <w:t xml:space="preserve"> </w:t>
      </w:r>
      <w:r>
        <w:t>better</w:t>
      </w:r>
      <w:r>
        <w:rPr>
          <w:spacing w:val="-9"/>
        </w:rPr>
        <w:t xml:space="preserve"> </w:t>
      </w:r>
      <w:r>
        <w:t>identify</w:t>
      </w:r>
      <w:r>
        <w:rPr>
          <w:spacing w:val="-6"/>
        </w:rPr>
        <w:t xml:space="preserve"> </w:t>
      </w:r>
      <w:r>
        <w:t>LGBTQ-affirming</w:t>
      </w:r>
      <w:r>
        <w:rPr>
          <w:spacing w:val="-8"/>
        </w:rPr>
        <w:t xml:space="preserve"> </w:t>
      </w:r>
      <w:r>
        <w:t>homes.</w:t>
      </w:r>
      <w:r>
        <w:rPr>
          <w:spacing w:val="-8"/>
        </w:rPr>
        <w:t xml:space="preserve"> </w:t>
      </w:r>
      <w:r>
        <w:t>The</w:t>
      </w:r>
      <w:r>
        <w:rPr>
          <w:spacing w:val="-8"/>
        </w:rPr>
        <w:t xml:space="preserve"> </w:t>
      </w:r>
      <w:r>
        <w:t>Commission</w:t>
      </w:r>
      <w:r>
        <w:rPr>
          <w:spacing w:val="-6"/>
        </w:rPr>
        <w:t xml:space="preserve"> </w:t>
      </w:r>
      <w:r>
        <w:t>urges</w:t>
      </w:r>
      <w:r>
        <w:rPr>
          <w:spacing w:val="-7"/>
        </w:rPr>
        <w:t xml:space="preserve"> </w:t>
      </w:r>
      <w:r>
        <w:t>the release of this policy without delay and recommends that DCF consider its input on the draft, as discussed with the agency in February 2022.</w:t>
      </w:r>
    </w:p>
    <w:p w:rsidR="00C76E6D" w:rsidRDefault="00C76E6D">
      <w:pPr>
        <w:pStyle w:val="BodyText"/>
        <w:spacing w:before="7"/>
        <w:rPr>
          <w:sz w:val="19"/>
        </w:rPr>
      </w:pPr>
    </w:p>
    <w:p w:rsidR="00C76E6D" w:rsidRDefault="00913831">
      <w:pPr>
        <w:pStyle w:val="Heading6"/>
        <w:numPr>
          <w:ilvl w:val="0"/>
          <w:numId w:val="17"/>
        </w:numPr>
        <w:tabs>
          <w:tab w:val="left" w:pos="699"/>
        </w:tabs>
        <w:ind w:left="698" w:hanging="222"/>
      </w:pPr>
      <w:bookmarkStart w:id="771" w:name="8._Clarify_Policy_Regarding_Placement_Co"/>
      <w:bookmarkEnd w:id="771"/>
      <w:r>
        <w:rPr>
          <w:w w:val="95"/>
        </w:rPr>
        <w:t>Clarify</w:t>
      </w:r>
      <w:r>
        <w:rPr>
          <w:spacing w:val="17"/>
        </w:rPr>
        <w:t xml:space="preserve"> </w:t>
      </w:r>
      <w:r>
        <w:rPr>
          <w:w w:val="95"/>
        </w:rPr>
        <w:t>Policy</w:t>
      </w:r>
      <w:r>
        <w:rPr>
          <w:spacing w:val="15"/>
        </w:rPr>
        <w:t xml:space="preserve"> </w:t>
      </w:r>
      <w:r>
        <w:rPr>
          <w:w w:val="95"/>
        </w:rPr>
        <w:t>Regarding</w:t>
      </w:r>
      <w:r>
        <w:rPr>
          <w:spacing w:val="18"/>
        </w:rPr>
        <w:t xml:space="preserve"> </w:t>
      </w:r>
      <w:r>
        <w:rPr>
          <w:w w:val="95"/>
        </w:rPr>
        <w:t>Placement</w:t>
      </w:r>
      <w:r>
        <w:rPr>
          <w:spacing w:val="14"/>
        </w:rPr>
        <w:t xml:space="preserve"> </w:t>
      </w:r>
      <w:r>
        <w:rPr>
          <w:w w:val="95"/>
        </w:rPr>
        <w:t>Consistent</w:t>
      </w:r>
      <w:r>
        <w:rPr>
          <w:spacing w:val="18"/>
        </w:rPr>
        <w:t xml:space="preserve"> </w:t>
      </w:r>
      <w:r>
        <w:rPr>
          <w:w w:val="95"/>
        </w:rPr>
        <w:t>with</w:t>
      </w:r>
      <w:r>
        <w:rPr>
          <w:spacing w:val="15"/>
        </w:rPr>
        <w:t xml:space="preserve"> </w:t>
      </w:r>
      <w:r>
        <w:rPr>
          <w:w w:val="95"/>
        </w:rPr>
        <w:t>Gender</w:t>
      </w:r>
      <w:r>
        <w:rPr>
          <w:spacing w:val="16"/>
        </w:rPr>
        <w:t xml:space="preserve"> </w:t>
      </w:r>
      <w:r>
        <w:rPr>
          <w:spacing w:val="-2"/>
          <w:w w:val="95"/>
        </w:rPr>
        <w:t>Identity</w:t>
      </w:r>
    </w:p>
    <w:p w:rsidR="00C76E6D" w:rsidRDefault="00C76E6D">
      <w:pPr>
        <w:pStyle w:val="BodyText"/>
        <w:spacing w:before="12"/>
        <w:rPr>
          <w:b/>
        </w:rPr>
      </w:pPr>
    </w:p>
    <w:p w:rsidR="00C76E6D" w:rsidRDefault="00913831">
      <w:pPr>
        <w:pStyle w:val="BodyText"/>
        <w:spacing w:line="276" w:lineRule="auto"/>
        <w:ind w:left="766" w:right="472"/>
        <w:jc w:val="both"/>
      </w:pPr>
      <w:r>
        <w:t>The Commission has heard from providers th</w:t>
      </w:r>
      <w:r>
        <w:t>at a misunderstanding of state policy, combined with difficulty in finding placements for transgender children, has resulted in frequent placements of transgender youth on the basis of sex assigned at birth rather than gender identity. In some cases, confi</w:t>
      </w:r>
      <w:r>
        <w:t>dentiality</w:t>
      </w:r>
      <w:r>
        <w:rPr>
          <w:spacing w:val="-11"/>
        </w:rPr>
        <w:t xml:space="preserve"> </w:t>
      </w:r>
      <w:r>
        <w:t>breaches</w:t>
      </w:r>
      <w:r>
        <w:rPr>
          <w:spacing w:val="-12"/>
        </w:rPr>
        <w:t xml:space="preserve"> </w:t>
      </w:r>
      <w:r>
        <w:t>have</w:t>
      </w:r>
      <w:r>
        <w:rPr>
          <w:spacing w:val="-12"/>
        </w:rPr>
        <w:t xml:space="preserve"> </w:t>
      </w:r>
      <w:r>
        <w:t>occurred</w:t>
      </w:r>
      <w:r>
        <w:rPr>
          <w:spacing w:val="-10"/>
        </w:rPr>
        <w:t xml:space="preserve"> </w:t>
      </w:r>
      <w:r>
        <w:t>when</w:t>
      </w:r>
      <w:r>
        <w:rPr>
          <w:spacing w:val="-11"/>
        </w:rPr>
        <w:t xml:space="preserve"> </w:t>
      </w:r>
      <w:r>
        <w:t>providers</w:t>
      </w:r>
      <w:r>
        <w:rPr>
          <w:spacing w:val="-12"/>
        </w:rPr>
        <w:t xml:space="preserve"> </w:t>
      </w:r>
      <w:r>
        <w:t>have</w:t>
      </w:r>
      <w:r>
        <w:rPr>
          <w:spacing w:val="-12"/>
        </w:rPr>
        <w:t xml:space="preserve"> </w:t>
      </w:r>
      <w:r>
        <w:t>sought</w:t>
      </w:r>
      <w:r>
        <w:rPr>
          <w:spacing w:val="-13"/>
        </w:rPr>
        <w:t xml:space="preserve"> </w:t>
      </w:r>
      <w:r>
        <w:t>consent</w:t>
      </w:r>
      <w:r>
        <w:rPr>
          <w:spacing w:val="-12"/>
        </w:rPr>
        <w:t xml:space="preserve"> </w:t>
      </w:r>
      <w:r>
        <w:t>from</w:t>
      </w:r>
      <w:r>
        <w:rPr>
          <w:spacing w:val="-13"/>
        </w:rPr>
        <w:t xml:space="preserve"> </w:t>
      </w:r>
      <w:r>
        <w:t>parents</w:t>
      </w:r>
      <w:r>
        <w:rPr>
          <w:spacing w:val="-10"/>
        </w:rPr>
        <w:t xml:space="preserve"> </w:t>
      </w:r>
      <w:r>
        <w:t>of</w:t>
      </w:r>
      <w:r>
        <w:rPr>
          <w:spacing w:val="-11"/>
        </w:rPr>
        <w:t xml:space="preserve"> </w:t>
      </w:r>
      <w:r>
        <w:t>cisgender children rooming with transgender children. This concern has been raised since at least 2019. In its 2021 report, the Commission recommended that DCF immediately</w:t>
      </w:r>
      <w:r>
        <w:t xml:space="preserve"> issue policy or guidance for staff and providers with instructions to place children on the basis of gender identity and/or the child’s preference and own sense of safety. The Commission also recommended that any such clarification address confidentiality</w:t>
      </w:r>
      <w:r>
        <w:t xml:space="preserve"> protections for transgender children against unwanted disclosures, e.g. to parents of roommates. DCF has shared that this issue will be addressed in both the new nondiscrimination policy and the Family Resource Policy. The Commission recommends that the a</w:t>
      </w:r>
      <w:r>
        <w:t>gency release those policies and communicate them to staff and providers as soon as possible.</w:t>
      </w:r>
    </w:p>
    <w:p w:rsidR="00C76E6D" w:rsidRDefault="00C76E6D">
      <w:pPr>
        <w:pStyle w:val="BodyText"/>
        <w:spacing w:before="7"/>
        <w:rPr>
          <w:sz w:val="19"/>
        </w:rPr>
      </w:pPr>
    </w:p>
    <w:p w:rsidR="00C76E6D" w:rsidRDefault="00913831">
      <w:pPr>
        <w:pStyle w:val="Heading6"/>
        <w:numPr>
          <w:ilvl w:val="0"/>
          <w:numId w:val="17"/>
        </w:numPr>
        <w:tabs>
          <w:tab w:val="left" w:pos="699"/>
        </w:tabs>
        <w:ind w:left="698" w:hanging="222"/>
      </w:pPr>
      <w:bookmarkStart w:id="772" w:name="9._Continue_Policy_Collaborations_with_t"/>
      <w:bookmarkEnd w:id="772"/>
      <w:r>
        <w:rPr>
          <w:w w:val="95"/>
        </w:rPr>
        <w:t>Continue</w:t>
      </w:r>
      <w:r>
        <w:rPr>
          <w:spacing w:val="12"/>
        </w:rPr>
        <w:t xml:space="preserve"> </w:t>
      </w:r>
      <w:r>
        <w:rPr>
          <w:w w:val="95"/>
        </w:rPr>
        <w:t>Policy</w:t>
      </w:r>
      <w:r>
        <w:rPr>
          <w:spacing w:val="15"/>
        </w:rPr>
        <w:t xml:space="preserve"> </w:t>
      </w:r>
      <w:r>
        <w:rPr>
          <w:w w:val="95"/>
        </w:rPr>
        <w:t>Collaborations</w:t>
      </w:r>
      <w:r>
        <w:rPr>
          <w:spacing w:val="18"/>
        </w:rPr>
        <w:t xml:space="preserve"> </w:t>
      </w:r>
      <w:r>
        <w:rPr>
          <w:w w:val="95"/>
        </w:rPr>
        <w:t>with</w:t>
      </w:r>
      <w:r>
        <w:rPr>
          <w:spacing w:val="18"/>
        </w:rPr>
        <w:t xml:space="preserve"> </w:t>
      </w:r>
      <w:r>
        <w:rPr>
          <w:w w:val="95"/>
        </w:rPr>
        <w:t>the</w:t>
      </w:r>
      <w:r>
        <w:rPr>
          <w:spacing w:val="14"/>
        </w:rPr>
        <w:t xml:space="preserve"> </w:t>
      </w:r>
      <w:r>
        <w:rPr>
          <w:spacing w:val="-2"/>
          <w:w w:val="95"/>
        </w:rPr>
        <w:t>Commission</w:t>
      </w:r>
    </w:p>
    <w:p w:rsidR="00C76E6D" w:rsidRDefault="00C76E6D">
      <w:pPr>
        <w:pStyle w:val="BodyText"/>
        <w:spacing w:before="12"/>
        <w:rPr>
          <w:b/>
        </w:rPr>
      </w:pPr>
    </w:p>
    <w:p w:rsidR="00C76E6D" w:rsidRDefault="00913831">
      <w:pPr>
        <w:pStyle w:val="BodyText"/>
        <w:spacing w:line="276" w:lineRule="auto"/>
        <w:ind w:left="766" w:right="473"/>
        <w:jc w:val="both"/>
      </w:pPr>
      <w:r>
        <w:t>As DCF continues to update its own policies, the Commission requests the opportunity to work with the agency where it is possible to address issues facing LGBTQ youth in care and other LGBTQ community members who interact with the child welfare system. DCF</w:t>
      </w:r>
      <w:r>
        <w:t xml:space="preserve"> has shared that a new policy group</w:t>
      </w:r>
      <w:r>
        <w:rPr>
          <w:spacing w:val="-9"/>
        </w:rPr>
        <w:t xml:space="preserve"> </w:t>
      </w:r>
      <w:r>
        <w:t>is</w:t>
      </w:r>
      <w:r>
        <w:rPr>
          <w:spacing w:val="-8"/>
        </w:rPr>
        <w:t xml:space="preserve"> </w:t>
      </w:r>
      <w:r>
        <w:t>exploring</w:t>
      </w:r>
      <w:r>
        <w:rPr>
          <w:spacing w:val="-9"/>
        </w:rPr>
        <w:t xml:space="preserve"> </w:t>
      </w:r>
      <w:r>
        <w:t>the</w:t>
      </w:r>
      <w:r>
        <w:rPr>
          <w:spacing w:val="-8"/>
        </w:rPr>
        <w:t xml:space="preserve"> </w:t>
      </w:r>
      <w:r>
        <w:t>use</w:t>
      </w:r>
      <w:r>
        <w:rPr>
          <w:spacing w:val="-7"/>
        </w:rPr>
        <w:t xml:space="preserve"> </w:t>
      </w:r>
      <w:r>
        <w:t>of</w:t>
      </w:r>
      <w:r>
        <w:rPr>
          <w:spacing w:val="-9"/>
        </w:rPr>
        <w:t xml:space="preserve"> </w:t>
      </w:r>
      <w:r>
        <w:t>racial</w:t>
      </w:r>
      <w:r>
        <w:rPr>
          <w:spacing w:val="-9"/>
        </w:rPr>
        <w:t xml:space="preserve"> </w:t>
      </w:r>
      <w:r>
        <w:t>impact</w:t>
      </w:r>
      <w:r>
        <w:rPr>
          <w:spacing w:val="-10"/>
        </w:rPr>
        <w:t xml:space="preserve"> </w:t>
      </w:r>
      <w:r>
        <w:t>assessments</w:t>
      </w:r>
      <w:r>
        <w:rPr>
          <w:spacing w:val="-8"/>
        </w:rPr>
        <w:t xml:space="preserve"> </w:t>
      </w:r>
      <w:r>
        <w:t>during</w:t>
      </w:r>
      <w:r>
        <w:rPr>
          <w:spacing w:val="-8"/>
        </w:rPr>
        <w:t xml:space="preserve"> </w:t>
      </w:r>
      <w:r>
        <w:t>the</w:t>
      </w:r>
      <w:r>
        <w:rPr>
          <w:spacing w:val="-7"/>
        </w:rPr>
        <w:t xml:space="preserve"> </w:t>
      </w:r>
      <w:r>
        <w:t>policy</w:t>
      </w:r>
      <w:r>
        <w:rPr>
          <w:spacing w:val="-9"/>
        </w:rPr>
        <w:t xml:space="preserve"> </w:t>
      </w:r>
      <w:r>
        <w:t>revision</w:t>
      </w:r>
      <w:r>
        <w:rPr>
          <w:spacing w:val="-9"/>
        </w:rPr>
        <w:t xml:space="preserve"> </w:t>
      </w:r>
      <w:r>
        <w:t>process,</w:t>
      </w:r>
      <w:r>
        <w:rPr>
          <w:spacing w:val="-8"/>
        </w:rPr>
        <w:t xml:space="preserve"> </w:t>
      </w:r>
      <w:r>
        <w:t>and</w:t>
      </w:r>
      <w:r>
        <w:rPr>
          <w:spacing w:val="-9"/>
        </w:rPr>
        <w:t xml:space="preserve"> </w:t>
      </w:r>
      <w:r>
        <w:t>that</w:t>
      </w:r>
      <w:r>
        <w:rPr>
          <w:spacing w:val="-8"/>
        </w:rPr>
        <w:t xml:space="preserve"> </w:t>
      </w:r>
      <w:r>
        <w:t>this work will include broader issues of equity and intersectionality. The Commission looks forward to opportunities to colla</w:t>
      </w:r>
      <w:r>
        <w:t>borate through mechanisms like these.</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8"/>
        <w:rPr>
          <w:sz w:val="17"/>
        </w:rPr>
      </w:pPr>
    </w:p>
    <w:p w:rsidR="00C76E6D" w:rsidRDefault="00913831">
      <w:pPr>
        <w:pStyle w:val="Heading6"/>
        <w:numPr>
          <w:ilvl w:val="0"/>
          <w:numId w:val="18"/>
        </w:numPr>
        <w:tabs>
          <w:tab w:val="left" w:pos="705"/>
        </w:tabs>
        <w:spacing w:before="55"/>
        <w:ind w:left="704" w:hanging="227"/>
      </w:pPr>
      <w:bookmarkStart w:id="773" w:name="C._Training_&amp;_Resources_Recommendations"/>
      <w:bookmarkEnd w:id="773"/>
      <w:r>
        <w:rPr>
          <w:w w:val="95"/>
        </w:rPr>
        <w:t>Training</w:t>
      </w:r>
      <w:r>
        <w:rPr>
          <w:spacing w:val="12"/>
        </w:rPr>
        <w:t xml:space="preserve"> </w:t>
      </w:r>
      <w:r>
        <w:rPr>
          <w:w w:val="95"/>
        </w:rPr>
        <w:t>&amp;</w:t>
      </w:r>
      <w:r>
        <w:rPr>
          <w:spacing w:val="15"/>
        </w:rPr>
        <w:t xml:space="preserve"> </w:t>
      </w:r>
      <w:r>
        <w:rPr>
          <w:w w:val="95"/>
        </w:rPr>
        <w:t>Resources</w:t>
      </w:r>
      <w:r>
        <w:rPr>
          <w:spacing w:val="14"/>
        </w:rPr>
        <w:t xml:space="preserve"> </w:t>
      </w:r>
      <w:r>
        <w:rPr>
          <w:spacing w:val="-2"/>
          <w:w w:val="95"/>
        </w:rPr>
        <w:t>Recommendations</w:t>
      </w:r>
    </w:p>
    <w:p w:rsidR="00C76E6D" w:rsidRDefault="00C76E6D">
      <w:pPr>
        <w:pStyle w:val="BodyText"/>
        <w:spacing w:before="11"/>
        <w:rPr>
          <w:b/>
        </w:rPr>
      </w:pPr>
    </w:p>
    <w:p w:rsidR="00C76E6D" w:rsidRDefault="00913831">
      <w:pPr>
        <w:pStyle w:val="BodyText"/>
        <w:spacing w:line="276" w:lineRule="auto"/>
        <w:ind w:left="479" w:right="477"/>
        <w:jc w:val="both"/>
      </w:pPr>
      <w:r>
        <w:t>In</w:t>
      </w:r>
      <w:r>
        <w:rPr>
          <w:spacing w:val="-11"/>
        </w:rPr>
        <w:t xml:space="preserve"> </w:t>
      </w:r>
      <w:r>
        <w:t>order</w:t>
      </w:r>
      <w:r>
        <w:rPr>
          <w:spacing w:val="-10"/>
        </w:rPr>
        <w:t xml:space="preserve"> </w:t>
      </w:r>
      <w:r>
        <w:t>to</w:t>
      </w:r>
      <w:r>
        <w:rPr>
          <w:spacing w:val="-10"/>
        </w:rPr>
        <w:t xml:space="preserve"> </w:t>
      </w:r>
      <w:r>
        <w:t>make</w:t>
      </w:r>
      <w:r>
        <w:rPr>
          <w:spacing w:val="-10"/>
        </w:rPr>
        <w:t xml:space="preserve"> </w:t>
      </w:r>
      <w:r>
        <w:t>changes</w:t>
      </w:r>
      <w:r>
        <w:rPr>
          <w:spacing w:val="-10"/>
        </w:rPr>
        <w:t xml:space="preserve"> </w:t>
      </w:r>
      <w:r>
        <w:t>to</w:t>
      </w:r>
      <w:r>
        <w:rPr>
          <w:spacing w:val="-11"/>
        </w:rPr>
        <w:t xml:space="preserve"> </w:t>
      </w:r>
      <w:r>
        <w:t>policy</w:t>
      </w:r>
      <w:r>
        <w:rPr>
          <w:spacing w:val="-10"/>
        </w:rPr>
        <w:t xml:space="preserve"> </w:t>
      </w:r>
      <w:r>
        <w:t>and</w:t>
      </w:r>
      <w:r>
        <w:rPr>
          <w:spacing w:val="-10"/>
        </w:rPr>
        <w:t xml:space="preserve"> </w:t>
      </w:r>
      <w:r>
        <w:t>data</w:t>
      </w:r>
      <w:r>
        <w:rPr>
          <w:spacing w:val="-11"/>
        </w:rPr>
        <w:t xml:space="preserve"> </w:t>
      </w:r>
      <w:r>
        <w:t>collection</w:t>
      </w:r>
      <w:r>
        <w:rPr>
          <w:spacing w:val="-10"/>
        </w:rPr>
        <w:t xml:space="preserve"> </w:t>
      </w:r>
      <w:r>
        <w:t>feel</w:t>
      </w:r>
      <w:r>
        <w:rPr>
          <w:spacing w:val="-10"/>
        </w:rPr>
        <w:t xml:space="preserve"> </w:t>
      </w:r>
      <w:r>
        <w:t>meaningful</w:t>
      </w:r>
      <w:r>
        <w:rPr>
          <w:spacing w:val="-11"/>
        </w:rPr>
        <w:t xml:space="preserve"> </w:t>
      </w:r>
      <w:r>
        <w:t>to</w:t>
      </w:r>
      <w:r>
        <w:rPr>
          <w:spacing w:val="-10"/>
        </w:rPr>
        <w:t xml:space="preserve"> </w:t>
      </w:r>
      <w:r>
        <w:t>LGBTQ</w:t>
      </w:r>
      <w:r>
        <w:rPr>
          <w:spacing w:val="-8"/>
        </w:rPr>
        <w:t xml:space="preserve"> </w:t>
      </w:r>
      <w:r>
        <w:t>young</w:t>
      </w:r>
      <w:r>
        <w:rPr>
          <w:spacing w:val="-11"/>
        </w:rPr>
        <w:t xml:space="preserve"> </w:t>
      </w:r>
      <w:r>
        <w:t>people,</w:t>
      </w:r>
      <w:r>
        <w:rPr>
          <w:spacing w:val="-11"/>
        </w:rPr>
        <w:t xml:space="preserve"> </w:t>
      </w:r>
      <w:r>
        <w:t>it</w:t>
      </w:r>
      <w:r>
        <w:rPr>
          <w:spacing w:val="-12"/>
        </w:rPr>
        <w:t xml:space="preserve"> </w:t>
      </w:r>
      <w:r>
        <w:t>is</w:t>
      </w:r>
      <w:r>
        <w:rPr>
          <w:spacing w:val="-10"/>
        </w:rPr>
        <w:t xml:space="preserve"> </w:t>
      </w:r>
      <w:r>
        <w:t>critical that DCF offers training and resources to staff, contractors, and foster families. In the past year, DCF has taken steps to expand training opportunities. However, significant work remains to equip adults throughout the child welfare system with t</w:t>
      </w:r>
      <w:r>
        <w:t>he tools they need to support LGBTQ youth.</w:t>
      </w:r>
    </w:p>
    <w:p w:rsidR="00C76E6D" w:rsidRDefault="00C76E6D">
      <w:pPr>
        <w:pStyle w:val="BodyText"/>
      </w:pPr>
    </w:p>
    <w:p w:rsidR="00C76E6D" w:rsidRDefault="00C76E6D">
      <w:pPr>
        <w:pStyle w:val="BodyText"/>
        <w:rPr>
          <w:sz w:val="23"/>
        </w:rPr>
      </w:pPr>
    </w:p>
    <w:p w:rsidR="00C76E6D" w:rsidRDefault="00913831">
      <w:pPr>
        <w:pStyle w:val="Heading6"/>
        <w:numPr>
          <w:ilvl w:val="0"/>
          <w:numId w:val="17"/>
        </w:numPr>
        <w:tabs>
          <w:tab w:val="left" w:pos="812"/>
        </w:tabs>
        <w:spacing w:line="276" w:lineRule="auto"/>
        <w:ind w:left="480" w:right="519" w:hanging="1"/>
      </w:pPr>
      <w:bookmarkStart w:id="774" w:name="10._Update_the_LGBTQ_Guide_and_ensure_th"/>
      <w:bookmarkEnd w:id="774"/>
      <w:r>
        <w:t>Update</w:t>
      </w:r>
      <w:r>
        <w:rPr>
          <w:spacing w:val="-6"/>
        </w:rPr>
        <w:t xml:space="preserve"> </w:t>
      </w:r>
      <w:r>
        <w:t>the</w:t>
      </w:r>
      <w:r>
        <w:rPr>
          <w:spacing w:val="-7"/>
        </w:rPr>
        <w:t xml:space="preserve"> </w:t>
      </w:r>
      <w:r>
        <w:t>LGBTQ</w:t>
      </w:r>
      <w:r>
        <w:rPr>
          <w:spacing w:val="-7"/>
        </w:rPr>
        <w:t xml:space="preserve"> </w:t>
      </w:r>
      <w:r>
        <w:t>Guide</w:t>
      </w:r>
      <w:r>
        <w:rPr>
          <w:spacing w:val="-7"/>
        </w:rPr>
        <w:t xml:space="preserve"> </w:t>
      </w:r>
      <w:r>
        <w:t>and</w:t>
      </w:r>
      <w:r>
        <w:rPr>
          <w:spacing w:val="-7"/>
        </w:rPr>
        <w:t xml:space="preserve"> </w:t>
      </w:r>
      <w:r>
        <w:t>ensure</w:t>
      </w:r>
      <w:r>
        <w:rPr>
          <w:spacing w:val="-6"/>
        </w:rPr>
        <w:t xml:space="preserve"> </w:t>
      </w:r>
      <w:r>
        <w:t>that</w:t>
      </w:r>
      <w:r>
        <w:rPr>
          <w:spacing w:val="-7"/>
        </w:rPr>
        <w:t xml:space="preserve"> </w:t>
      </w:r>
      <w:r>
        <w:t>all</w:t>
      </w:r>
      <w:r>
        <w:rPr>
          <w:spacing w:val="-6"/>
        </w:rPr>
        <w:t xml:space="preserve"> </w:t>
      </w:r>
      <w:r>
        <w:t>staff,</w:t>
      </w:r>
      <w:r>
        <w:rPr>
          <w:spacing w:val="-7"/>
        </w:rPr>
        <w:t xml:space="preserve"> </w:t>
      </w:r>
      <w:r>
        <w:t>providers,</w:t>
      </w:r>
      <w:r>
        <w:rPr>
          <w:spacing w:val="-6"/>
        </w:rPr>
        <w:t xml:space="preserve"> </w:t>
      </w:r>
      <w:r>
        <w:t>youth,</w:t>
      </w:r>
      <w:r>
        <w:rPr>
          <w:spacing w:val="-7"/>
        </w:rPr>
        <w:t xml:space="preserve"> </w:t>
      </w:r>
      <w:r>
        <w:t>and</w:t>
      </w:r>
      <w:r>
        <w:rPr>
          <w:spacing w:val="-7"/>
        </w:rPr>
        <w:t xml:space="preserve"> </w:t>
      </w:r>
      <w:r>
        <w:t>families</w:t>
      </w:r>
      <w:r>
        <w:rPr>
          <w:spacing w:val="-8"/>
        </w:rPr>
        <w:t xml:space="preserve"> </w:t>
      </w:r>
      <w:r>
        <w:t>know</w:t>
      </w:r>
      <w:r>
        <w:rPr>
          <w:spacing w:val="-7"/>
        </w:rPr>
        <w:t xml:space="preserve"> </w:t>
      </w:r>
      <w:r>
        <w:t>it</w:t>
      </w:r>
      <w:r>
        <w:rPr>
          <w:spacing w:val="-8"/>
        </w:rPr>
        <w:t xml:space="preserve"> </w:t>
      </w:r>
      <w:r>
        <w:t>exists</w:t>
      </w:r>
      <w:r>
        <w:rPr>
          <w:spacing w:val="-5"/>
        </w:rPr>
        <w:t xml:space="preserve"> </w:t>
      </w:r>
      <w:r>
        <w:t>and where to access a copy.</w:t>
      </w:r>
    </w:p>
    <w:p w:rsidR="00C76E6D" w:rsidRDefault="00C76E6D">
      <w:pPr>
        <w:pStyle w:val="BodyText"/>
        <w:spacing w:before="7"/>
        <w:rPr>
          <w:b/>
          <w:sz w:val="19"/>
        </w:rPr>
      </w:pPr>
    </w:p>
    <w:p w:rsidR="00C76E6D" w:rsidRDefault="00913831">
      <w:pPr>
        <w:pStyle w:val="BodyText"/>
        <w:spacing w:line="276" w:lineRule="auto"/>
        <w:ind w:left="768" w:right="472" w:hanging="1"/>
        <w:jc w:val="both"/>
      </w:pPr>
      <w:r>
        <w:t>DCF</w:t>
      </w:r>
      <w:r>
        <w:rPr>
          <w:spacing w:val="-13"/>
        </w:rPr>
        <w:t xml:space="preserve"> </w:t>
      </w:r>
      <w:r>
        <w:t>released</w:t>
      </w:r>
      <w:r>
        <w:rPr>
          <w:spacing w:val="-12"/>
        </w:rPr>
        <w:t xml:space="preserve"> </w:t>
      </w:r>
      <w:r>
        <w:t>a</w:t>
      </w:r>
      <w:r>
        <w:rPr>
          <w:spacing w:val="-13"/>
        </w:rPr>
        <w:t xml:space="preserve"> </w:t>
      </w:r>
      <w:r>
        <w:t>Guide,</w:t>
      </w:r>
      <w:r>
        <w:rPr>
          <w:spacing w:val="-12"/>
        </w:rPr>
        <w:t xml:space="preserve"> </w:t>
      </w:r>
      <w:r>
        <w:t>written</w:t>
      </w:r>
      <w:r>
        <w:rPr>
          <w:spacing w:val="-13"/>
        </w:rPr>
        <w:t xml:space="preserve"> </w:t>
      </w:r>
      <w:r>
        <w:t>by</w:t>
      </w:r>
      <w:r>
        <w:rPr>
          <w:spacing w:val="-12"/>
        </w:rPr>
        <w:t xml:space="preserve"> </w:t>
      </w:r>
      <w:r>
        <w:t>its</w:t>
      </w:r>
      <w:r>
        <w:rPr>
          <w:spacing w:val="-13"/>
        </w:rPr>
        <w:t xml:space="preserve"> </w:t>
      </w:r>
      <w:r>
        <w:t>internal</w:t>
      </w:r>
      <w:r>
        <w:rPr>
          <w:spacing w:val="-12"/>
        </w:rPr>
        <w:t xml:space="preserve"> </w:t>
      </w:r>
      <w:r>
        <w:t>LGBTQ</w:t>
      </w:r>
      <w:r>
        <w:rPr>
          <w:spacing w:val="-12"/>
        </w:rPr>
        <w:t xml:space="preserve"> </w:t>
      </w:r>
      <w:r>
        <w:t>Liaisons,</w:t>
      </w:r>
      <w:r>
        <w:rPr>
          <w:spacing w:val="-13"/>
        </w:rPr>
        <w:t xml:space="preserve"> </w:t>
      </w:r>
      <w:r>
        <w:t>on</w:t>
      </w:r>
      <w:r>
        <w:rPr>
          <w:spacing w:val="-12"/>
        </w:rPr>
        <w:t xml:space="preserve"> </w:t>
      </w:r>
      <w:r>
        <w:t>working</w:t>
      </w:r>
      <w:r>
        <w:rPr>
          <w:spacing w:val="-13"/>
        </w:rPr>
        <w:t xml:space="preserve"> </w:t>
      </w:r>
      <w:r>
        <w:t>with</w:t>
      </w:r>
      <w:r>
        <w:rPr>
          <w:spacing w:val="-12"/>
        </w:rPr>
        <w:t xml:space="preserve"> </w:t>
      </w:r>
      <w:r>
        <w:t>LGBTQ</w:t>
      </w:r>
      <w:r>
        <w:rPr>
          <w:spacing w:val="-13"/>
        </w:rPr>
        <w:t xml:space="preserve"> </w:t>
      </w:r>
      <w:r>
        <w:t>yo</w:t>
      </w:r>
      <w:r>
        <w:t>uth</w:t>
      </w:r>
      <w:r>
        <w:rPr>
          <w:spacing w:val="-12"/>
        </w:rPr>
        <w:t xml:space="preserve"> </w:t>
      </w:r>
      <w:r>
        <w:t>and</w:t>
      </w:r>
      <w:r>
        <w:rPr>
          <w:spacing w:val="-12"/>
        </w:rPr>
        <w:t xml:space="preserve"> </w:t>
      </w:r>
      <w:r>
        <w:t>families in 2015. While the Guide is a valuable source of information, the Commission became aware in the summer of 2021 that not all workers, youth, families, or providers know it exists. Since then, DCF has informed</w:t>
      </w:r>
      <w:r>
        <w:rPr>
          <w:spacing w:val="-9"/>
        </w:rPr>
        <w:t xml:space="preserve"> </w:t>
      </w:r>
      <w:r>
        <w:t>the</w:t>
      </w:r>
      <w:r>
        <w:rPr>
          <w:spacing w:val="-8"/>
        </w:rPr>
        <w:t xml:space="preserve"> </w:t>
      </w:r>
      <w:r>
        <w:t>Commission</w:t>
      </w:r>
      <w:r>
        <w:rPr>
          <w:spacing w:val="-9"/>
        </w:rPr>
        <w:t xml:space="preserve"> </w:t>
      </w:r>
      <w:r>
        <w:t>that</w:t>
      </w:r>
      <w:r>
        <w:rPr>
          <w:spacing w:val="-9"/>
        </w:rPr>
        <w:t xml:space="preserve"> </w:t>
      </w:r>
      <w:r>
        <w:t>all</w:t>
      </w:r>
      <w:r>
        <w:rPr>
          <w:spacing w:val="-9"/>
        </w:rPr>
        <w:t xml:space="preserve"> </w:t>
      </w:r>
      <w:r>
        <w:t>new</w:t>
      </w:r>
      <w:r>
        <w:rPr>
          <w:spacing w:val="-9"/>
        </w:rPr>
        <w:t xml:space="preserve"> </w:t>
      </w:r>
      <w:r>
        <w:t>workers</w:t>
      </w:r>
      <w:r>
        <w:rPr>
          <w:spacing w:val="-8"/>
        </w:rPr>
        <w:t xml:space="preserve"> </w:t>
      </w:r>
      <w:r>
        <w:t>receive</w:t>
      </w:r>
      <w:r>
        <w:rPr>
          <w:spacing w:val="-9"/>
        </w:rPr>
        <w:t xml:space="preserve"> </w:t>
      </w:r>
      <w:r>
        <w:t>the</w:t>
      </w:r>
      <w:r>
        <w:rPr>
          <w:spacing w:val="-8"/>
        </w:rPr>
        <w:t xml:space="preserve"> </w:t>
      </w:r>
      <w:r>
        <w:t>Guide</w:t>
      </w:r>
      <w:r>
        <w:rPr>
          <w:spacing w:val="-9"/>
        </w:rPr>
        <w:t xml:space="preserve"> </w:t>
      </w:r>
      <w:r>
        <w:t>as</w:t>
      </w:r>
      <w:r>
        <w:rPr>
          <w:spacing w:val="-8"/>
        </w:rPr>
        <w:t xml:space="preserve"> </w:t>
      </w:r>
      <w:r>
        <w:t>part</w:t>
      </w:r>
      <w:r>
        <w:rPr>
          <w:spacing w:val="-9"/>
        </w:rPr>
        <w:t xml:space="preserve"> </w:t>
      </w:r>
      <w:r>
        <w:t>of</w:t>
      </w:r>
      <w:r>
        <w:rPr>
          <w:spacing w:val="-9"/>
        </w:rPr>
        <w:t xml:space="preserve"> </w:t>
      </w:r>
      <w:r>
        <w:t>their</w:t>
      </w:r>
      <w:r>
        <w:rPr>
          <w:spacing w:val="-7"/>
        </w:rPr>
        <w:t xml:space="preserve"> </w:t>
      </w:r>
      <w:r>
        <w:t>onboarding</w:t>
      </w:r>
      <w:r>
        <w:rPr>
          <w:spacing w:val="-6"/>
        </w:rPr>
        <w:t xml:space="preserve"> </w:t>
      </w:r>
      <w:r>
        <w:t>materials and that the agency is incorporating mention of the Guide into staff trainings. It is also posted on the Department’s public and internal websites. DCF also agrees that the Guide requires anot</w:t>
      </w:r>
      <w:r>
        <w:t>her update since</w:t>
      </w:r>
      <w:r>
        <w:rPr>
          <w:spacing w:val="-8"/>
        </w:rPr>
        <w:t xml:space="preserve"> </w:t>
      </w:r>
      <w:r>
        <w:t>its</w:t>
      </w:r>
      <w:r>
        <w:rPr>
          <w:spacing w:val="-6"/>
        </w:rPr>
        <w:t xml:space="preserve"> </w:t>
      </w:r>
      <w:r>
        <w:t>last</w:t>
      </w:r>
      <w:r>
        <w:rPr>
          <w:spacing w:val="-8"/>
        </w:rPr>
        <w:t xml:space="preserve"> </w:t>
      </w:r>
      <w:r>
        <w:t>update</w:t>
      </w:r>
      <w:r>
        <w:rPr>
          <w:spacing w:val="-8"/>
        </w:rPr>
        <w:t xml:space="preserve"> </w:t>
      </w:r>
      <w:r>
        <w:t>in</w:t>
      </w:r>
      <w:r>
        <w:rPr>
          <w:spacing w:val="-8"/>
        </w:rPr>
        <w:t xml:space="preserve"> </w:t>
      </w:r>
      <w:r>
        <w:t>2018.</w:t>
      </w:r>
      <w:r>
        <w:rPr>
          <w:spacing w:val="-9"/>
        </w:rPr>
        <w:t xml:space="preserve"> </w:t>
      </w:r>
      <w:r>
        <w:t>The</w:t>
      </w:r>
      <w:r>
        <w:rPr>
          <w:spacing w:val="-8"/>
        </w:rPr>
        <w:t xml:space="preserve"> </w:t>
      </w:r>
      <w:r>
        <w:t>Guide</w:t>
      </w:r>
      <w:r>
        <w:rPr>
          <w:spacing w:val="-7"/>
        </w:rPr>
        <w:t xml:space="preserve"> </w:t>
      </w:r>
      <w:r>
        <w:t>will</w:t>
      </w:r>
      <w:r>
        <w:rPr>
          <w:spacing w:val="-9"/>
        </w:rPr>
        <w:t xml:space="preserve"> </w:t>
      </w:r>
      <w:r>
        <w:t>be</w:t>
      </w:r>
      <w:r>
        <w:rPr>
          <w:spacing w:val="-7"/>
        </w:rPr>
        <w:t xml:space="preserve"> </w:t>
      </w:r>
      <w:r>
        <w:t>updated</w:t>
      </w:r>
      <w:r>
        <w:rPr>
          <w:spacing w:val="-8"/>
        </w:rPr>
        <w:t xml:space="preserve"> </w:t>
      </w:r>
      <w:r>
        <w:t>during</w:t>
      </w:r>
      <w:r>
        <w:rPr>
          <w:spacing w:val="-8"/>
        </w:rPr>
        <w:t xml:space="preserve"> </w:t>
      </w:r>
      <w:r>
        <w:t>the</w:t>
      </w:r>
      <w:r>
        <w:rPr>
          <w:spacing w:val="-8"/>
        </w:rPr>
        <w:t xml:space="preserve"> </w:t>
      </w:r>
      <w:r>
        <w:t>summer</w:t>
      </w:r>
      <w:r>
        <w:rPr>
          <w:spacing w:val="-7"/>
        </w:rPr>
        <w:t xml:space="preserve"> </w:t>
      </w:r>
      <w:r>
        <w:t>of</w:t>
      </w:r>
      <w:r>
        <w:rPr>
          <w:spacing w:val="-9"/>
        </w:rPr>
        <w:t xml:space="preserve"> </w:t>
      </w:r>
      <w:r>
        <w:t>2022</w:t>
      </w:r>
      <w:r>
        <w:rPr>
          <w:spacing w:val="-9"/>
        </w:rPr>
        <w:t xml:space="preserve"> </w:t>
      </w:r>
      <w:r>
        <w:t>in</w:t>
      </w:r>
      <w:r>
        <w:rPr>
          <w:spacing w:val="-8"/>
        </w:rPr>
        <w:t xml:space="preserve"> </w:t>
      </w:r>
      <w:r>
        <w:t>partnership</w:t>
      </w:r>
      <w:r>
        <w:rPr>
          <w:spacing w:val="-9"/>
        </w:rPr>
        <w:t xml:space="preserve"> </w:t>
      </w:r>
      <w:r>
        <w:t xml:space="preserve">with the LGBTQ Liaisons and Policy Unit. DCF plans to create a distribution plan for the new version of the Guide and has proposed releasing it at </w:t>
      </w:r>
      <w:r>
        <w:t>a celebratory conference - an idea the Commission would enthusiastically support.</w:t>
      </w:r>
    </w:p>
    <w:p w:rsidR="00C76E6D" w:rsidRDefault="00C76E6D">
      <w:pPr>
        <w:pStyle w:val="BodyText"/>
        <w:spacing w:before="10"/>
        <w:rPr>
          <w:sz w:val="19"/>
        </w:rPr>
      </w:pPr>
    </w:p>
    <w:p w:rsidR="00C76E6D" w:rsidRDefault="00913831">
      <w:pPr>
        <w:pStyle w:val="Heading6"/>
        <w:numPr>
          <w:ilvl w:val="0"/>
          <w:numId w:val="17"/>
        </w:numPr>
        <w:tabs>
          <w:tab w:val="left" w:pos="812"/>
        </w:tabs>
        <w:ind w:left="811" w:hanging="334"/>
      </w:pPr>
      <w:bookmarkStart w:id="775" w:name="11._Expand_and_require_LGBTQ_cultural_hu"/>
      <w:bookmarkEnd w:id="775"/>
      <w:r>
        <w:rPr>
          <w:w w:val="95"/>
        </w:rPr>
        <w:t>Expand</w:t>
      </w:r>
      <w:r>
        <w:rPr>
          <w:spacing w:val="12"/>
        </w:rPr>
        <w:t xml:space="preserve"> </w:t>
      </w:r>
      <w:r>
        <w:rPr>
          <w:w w:val="95"/>
        </w:rPr>
        <w:t>and</w:t>
      </w:r>
      <w:r>
        <w:rPr>
          <w:spacing w:val="11"/>
        </w:rPr>
        <w:t xml:space="preserve"> </w:t>
      </w:r>
      <w:r>
        <w:rPr>
          <w:w w:val="95"/>
        </w:rPr>
        <w:t>require</w:t>
      </w:r>
      <w:r>
        <w:rPr>
          <w:spacing w:val="10"/>
        </w:rPr>
        <w:t xml:space="preserve"> </w:t>
      </w:r>
      <w:r>
        <w:rPr>
          <w:w w:val="95"/>
        </w:rPr>
        <w:t>LGBTQ</w:t>
      </w:r>
      <w:r>
        <w:rPr>
          <w:spacing w:val="13"/>
        </w:rPr>
        <w:t xml:space="preserve"> </w:t>
      </w:r>
      <w:r>
        <w:rPr>
          <w:w w:val="95"/>
        </w:rPr>
        <w:t>cultural</w:t>
      </w:r>
      <w:r>
        <w:rPr>
          <w:spacing w:val="28"/>
        </w:rPr>
        <w:t xml:space="preserve"> </w:t>
      </w:r>
      <w:r>
        <w:rPr>
          <w:w w:val="95"/>
        </w:rPr>
        <w:t>humility</w:t>
      </w:r>
      <w:r>
        <w:rPr>
          <w:spacing w:val="14"/>
        </w:rPr>
        <w:t xml:space="preserve"> </w:t>
      </w:r>
      <w:r>
        <w:rPr>
          <w:spacing w:val="-2"/>
          <w:w w:val="95"/>
        </w:rPr>
        <w:t>training.</w:t>
      </w:r>
    </w:p>
    <w:p w:rsidR="00C76E6D" w:rsidRDefault="00C76E6D">
      <w:pPr>
        <w:pStyle w:val="BodyText"/>
        <w:spacing w:before="11"/>
        <w:rPr>
          <w:b/>
        </w:rPr>
      </w:pPr>
    </w:p>
    <w:p w:rsidR="00C76E6D" w:rsidRDefault="00913831">
      <w:pPr>
        <w:pStyle w:val="BodyText"/>
        <w:spacing w:line="276" w:lineRule="auto"/>
        <w:ind w:left="767" w:right="473"/>
        <w:jc w:val="both"/>
      </w:pPr>
      <w:r>
        <w:t>Since at least 2013, the Commission has recommended that all DCF staff receive training on issues impacting</w:t>
      </w:r>
      <w:r>
        <w:rPr>
          <w:spacing w:val="-6"/>
        </w:rPr>
        <w:t xml:space="preserve"> </w:t>
      </w:r>
      <w:r>
        <w:t>LGBTQ</w:t>
      </w:r>
      <w:r>
        <w:rPr>
          <w:spacing w:val="-6"/>
        </w:rPr>
        <w:t xml:space="preserve"> </w:t>
      </w:r>
      <w:r>
        <w:t>youth</w:t>
      </w:r>
      <w:r>
        <w:rPr>
          <w:spacing w:val="-6"/>
        </w:rPr>
        <w:t xml:space="preserve"> </w:t>
      </w:r>
      <w:r>
        <w:t>and</w:t>
      </w:r>
      <w:r>
        <w:rPr>
          <w:spacing w:val="-6"/>
        </w:rPr>
        <w:t xml:space="preserve"> </w:t>
      </w:r>
      <w:r>
        <w:t>adults.</w:t>
      </w:r>
      <w:r>
        <w:rPr>
          <w:spacing w:val="-4"/>
        </w:rPr>
        <w:t xml:space="preserve"> </w:t>
      </w:r>
      <w:r>
        <w:t>Requests</w:t>
      </w:r>
      <w:r>
        <w:rPr>
          <w:spacing w:val="-5"/>
        </w:rPr>
        <w:t xml:space="preserve"> </w:t>
      </w:r>
      <w:r>
        <w:t>for</w:t>
      </w:r>
      <w:r>
        <w:rPr>
          <w:spacing w:val="-5"/>
        </w:rPr>
        <w:t xml:space="preserve"> </w:t>
      </w:r>
      <w:r>
        <w:t>training</w:t>
      </w:r>
      <w:r>
        <w:rPr>
          <w:spacing w:val="-6"/>
        </w:rPr>
        <w:t xml:space="preserve"> </w:t>
      </w:r>
      <w:r>
        <w:t>were</w:t>
      </w:r>
      <w:r>
        <w:rPr>
          <w:spacing w:val="-5"/>
        </w:rPr>
        <w:t xml:space="preserve"> </w:t>
      </w:r>
      <w:r>
        <w:t>renewed</w:t>
      </w:r>
      <w:r>
        <w:rPr>
          <w:spacing w:val="-5"/>
        </w:rPr>
        <w:t xml:space="preserve"> </w:t>
      </w:r>
      <w:r>
        <w:t>in</w:t>
      </w:r>
      <w:r>
        <w:rPr>
          <w:spacing w:val="-6"/>
        </w:rPr>
        <w:t xml:space="preserve"> </w:t>
      </w:r>
      <w:r>
        <w:t>2016,</w:t>
      </w:r>
      <w:r>
        <w:rPr>
          <w:spacing w:val="-5"/>
        </w:rPr>
        <w:t xml:space="preserve"> </w:t>
      </w:r>
      <w:r>
        <w:t>with</w:t>
      </w:r>
      <w:r>
        <w:rPr>
          <w:spacing w:val="-5"/>
        </w:rPr>
        <w:t xml:space="preserve"> </w:t>
      </w:r>
      <w:r>
        <w:t>the</w:t>
      </w:r>
      <w:r>
        <w:rPr>
          <w:spacing w:val="-5"/>
        </w:rPr>
        <w:t xml:space="preserve"> </w:t>
      </w:r>
      <w:r>
        <w:t>Commission and</w:t>
      </w:r>
      <w:r>
        <w:rPr>
          <w:spacing w:val="-10"/>
        </w:rPr>
        <w:t xml:space="preserve"> </w:t>
      </w:r>
      <w:r>
        <w:t>the</w:t>
      </w:r>
      <w:r>
        <w:rPr>
          <w:spacing w:val="-10"/>
        </w:rPr>
        <w:t xml:space="preserve"> </w:t>
      </w:r>
      <w:r>
        <w:t>DCF</w:t>
      </w:r>
      <w:r>
        <w:rPr>
          <w:spacing w:val="-10"/>
        </w:rPr>
        <w:t xml:space="preserve"> </w:t>
      </w:r>
      <w:r>
        <w:t>LGBTQ</w:t>
      </w:r>
      <w:r>
        <w:rPr>
          <w:spacing w:val="-11"/>
        </w:rPr>
        <w:t xml:space="preserve"> </w:t>
      </w:r>
      <w:r>
        <w:t>Liaisons</w:t>
      </w:r>
      <w:r>
        <w:rPr>
          <w:spacing w:val="-9"/>
        </w:rPr>
        <w:t xml:space="preserve"> </w:t>
      </w:r>
      <w:r>
        <w:t>suggesting</w:t>
      </w:r>
      <w:r>
        <w:rPr>
          <w:spacing w:val="-9"/>
        </w:rPr>
        <w:t xml:space="preserve"> </w:t>
      </w:r>
      <w:r>
        <w:t>that</w:t>
      </w:r>
      <w:r>
        <w:rPr>
          <w:spacing w:val="-12"/>
        </w:rPr>
        <w:t xml:space="preserve"> </w:t>
      </w:r>
      <w:r>
        <w:t>DCF</w:t>
      </w:r>
      <w:r>
        <w:rPr>
          <w:spacing w:val="-10"/>
        </w:rPr>
        <w:t xml:space="preserve"> </w:t>
      </w:r>
      <w:r>
        <w:t>implement</w:t>
      </w:r>
      <w:r>
        <w:rPr>
          <w:spacing w:val="-12"/>
        </w:rPr>
        <w:t xml:space="preserve"> </w:t>
      </w:r>
      <w:r>
        <w:t>mandatory</w:t>
      </w:r>
      <w:r>
        <w:rPr>
          <w:spacing w:val="-10"/>
        </w:rPr>
        <w:t xml:space="preserve"> </w:t>
      </w:r>
      <w:r>
        <w:t>LGBTQ-specific</w:t>
      </w:r>
      <w:r>
        <w:rPr>
          <w:spacing w:val="-10"/>
        </w:rPr>
        <w:t xml:space="preserve"> </w:t>
      </w:r>
      <w:r>
        <w:t>training</w:t>
      </w:r>
      <w:r>
        <w:rPr>
          <w:spacing w:val="-10"/>
        </w:rPr>
        <w:t xml:space="preserve"> </w:t>
      </w:r>
      <w:r>
        <w:t>as</w:t>
      </w:r>
      <w:r>
        <w:rPr>
          <w:spacing w:val="-10"/>
        </w:rPr>
        <w:t xml:space="preserve"> </w:t>
      </w:r>
      <w:r>
        <w:t>part of</w:t>
      </w:r>
      <w:r>
        <w:rPr>
          <w:spacing w:val="-9"/>
        </w:rPr>
        <w:t xml:space="preserve"> </w:t>
      </w:r>
      <w:r>
        <w:t>the</w:t>
      </w:r>
      <w:r>
        <w:rPr>
          <w:spacing w:val="-10"/>
        </w:rPr>
        <w:t xml:space="preserve"> </w:t>
      </w:r>
      <w:r>
        <w:t>roll-out</w:t>
      </w:r>
      <w:r>
        <w:rPr>
          <w:spacing w:val="-10"/>
        </w:rPr>
        <w:t xml:space="preserve"> </w:t>
      </w:r>
      <w:r>
        <w:t>of</w:t>
      </w:r>
      <w:r>
        <w:rPr>
          <w:spacing w:val="-9"/>
        </w:rPr>
        <w:t xml:space="preserve"> </w:t>
      </w:r>
      <w:r>
        <w:t>the</w:t>
      </w:r>
      <w:r>
        <w:rPr>
          <w:spacing w:val="-8"/>
        </w:rPr>
        <w:t xml:space="preserve"> </w:t>
      </w:r>
      <w:r>
        <w:t>Guide</w:t>
      </w:r>
      <w:r>
        <w:rPr>
          <w:spacing w:val="-9"/>
        </w:rPr>
        <w:t xml:space="preserve"> </w:t>
      </w:r>
      <w:r>
        <w:t>and/or</w:t>
      </w:r>
      <w:r>
        <w:rPr>
          <w:spacing w:val="-9"/>
        </w:rPr>
        <w:t xml:space="preserve"> </w:t>
      </w:r>
      <w:r>
        <w:t>at</w:t>
      </w:r>
      <w:r>
        <w:rPr>
          <w:spacing w:val="-11"/>
        </w:rPr>
        <w:t xml:space="preserve"> </w:t>
      </w:r>
      <w:r>
        <w:t>staff</w:t>
      </w:r>
      <w:r>
        <w:rPr>
          <w:spacing w:val="-9"/>
        </w:rPr>
        <w:t xml:space="preserve"> </w:t>
      </w:r>
      <w:r>
        <w:t>meetings</w:t>
      </w:r>
      <w:r>
        <w:rPr>
          <w:spacing w:val="-8"/>
        </w:rPr>
        <w:t xml:space="preserve"> </w:t>
      </w:r>
      <w:r>
        <w:t>at</w:t>
      </w:r>
      <w:r>
        <w:rPr>
          <w:spacing w:val="-11"/>
        </w:rPr>
        <w:t xml:space="preserve"> </w:t>
      </w:r>
      <w:r>
        <w:t>least</w:t>
      </w:r>
      <w:r>
        <w:rPr>
          <w:spacing w:val="-9"/>
        </w:rPr>
        <w:t xml:space="preserve"> </w:t>
      </w:r>
      <w:r>
        <w:t>once</w:t>
      </w:r>
      <w:r>
        <w:rPr>
          <w:spacing w:val="-9"/>
        </w:rPr>
        <w:t xml:space="preserve"> </w:t>
      </w:r>
      <w:r>
        <w:t>each</w:t>
      </w:r>
      <w:r>
        <w:rPr>
          <w:spacing w:val="-9"/>
        </w:rPr>
        <w:t xml:space="preserve"> </w:t>
      </w:r>
      <w:r>
        <w:t>year.</w:t>
      </w:r>
      <w:r>
        <w:rPr>
          <w:spacing w:val="-11"/>
        </w:rPr>
        <w:t xml:space="preserve"> </w:t>
      </w:r>
      <w:r>
        <w:t>A</w:t>
      </w:r>
      <w:r>
        <w:t>dvocates</w:t>
      </w:r>
      <w:r>
        <w:rPr>
          <w:spacing w:val="-8"/>
        </w:rPr>
        <w:t xml:space="preserve"> </w:t>
      </w:r>
      <w:r>
        <w:t>raised</w:t>
      </w:r>
      <w:r>
        <w:rPr>
          <w:spacing w:val="-9"/>
        </w:rPr>
        <w:t xml:space="preserve"> </w:t>
      </w:r>
      <w:r>
        <w:t>the</w:t>
      </w:r>
      <w:r>
        <w:rPr>
          <w:spacing w:val="-9"/>
        </w:rPr>
        <w:t xml:space="preserve"> </w:t>
      </w:r>
      <w:r>
        <w:t>issue of cultural humility training to Secretary Sudders in 2020, who expressed that significant funds were available to support training. During COVID-19, the Commission heard concerns that new staff were not getting sufficient trainin</w:t>
      </w:r>
      <w:r>
        <w:t>g on LGBTQ identities, despite the incorporation of LGBTQ-related content into a broader three-hour cultural humility training that included information about disproportionality, microaggressions, racial equity, and disabilities.</w:t>
      </w:r>
    </w:p>
    <w:p w:rsidR="00C76E6D" w:rsidRDefault="00C76E6D">
      <w:pPr>
        <w:pStyle w:val="BodyText"/>
        <w:spacing w:before="8"/>
        <w:rPr>
          <w:sz w:val="19"/>
        </w:rPr>
      </w:pPr>
    </w:p>
    <w:p w:rsidR="00C76E6D" w:rsidRDefault="00913831">
      <w:pPr>
        <w:pStyle w:val="BodyText"/>
        <w:spacing w:line="276" w:lineRule="auto"/>
        <w:ind w:left="768" w:right="475" w:hanging="1"/>
        <w:jc w:val="both"/>
      </w:pPr>
      <w:r>
        <w:t>In</w:t>
      </w:r>
      <w:r>
        <w:rPr>
          <w:spacing w:val="-2"/>
        </w:rPr>
        <w:t xml:space="preserve"> </w:t>
      </w:r>
      <w:r>
        <w:t>the past</w:t>
      </w:r>
      <w:r>
        <w:rPr>
          <w:spacing w:val="-2"/>
        </w:rPr>
        <w:t xml:space="preserve"> </w:t>
      </w:r>
      <w:r>
        <w:t>few</w:t>
      </w:r>
      <w:r>
        <w:rPr>
          <w:spacing w:val="-2"/>
        </w:rPr>
        <w:t xml:space="preserve"> </w:t>
      </w:r>
      <w:r>
        <w:t>years,</w:t>
      </w:r>
      <w:r>
        <w:rPr>
          <w:spacing w:val="-3"/>
        </w:rPr>
        <w:t xml:space="preserve"> </w:t>
      </w:r>
      <w:r>
        <w:t>DCF</w:t>
      </w:r>
      <w:r>
        <w:rPr>
          <w:spacing w:val="-1"/>
        </w:rPr>
        <w:t xml:space="preserve"> </w:t>
      </w:r>
      <w:r>
        <w:t>has</w:t>
      </w:r>
      <w:r>
        <w:rPr>
          <w:spacing w:val="-2"/>
        </w:rPr>
        <w:t xml:space="preserve"> </w:t>
      </w:r>
      <w:r>
        <w:t>expanded</w:t>
      </w:r>
      <w:r>
        <w:rPr>
          <w:spacing w:val="-3"/>
        </w:rPr>
        <w:t xml:space="preserve"> </w:t>
      </w:r>
      <w:r>
        <w:t>training</w:t>
      </w:r>
      <w:r>
        <w:rPr>
          <w:spacing w:val="-2"/>
        </w:rPr>
        <w:t xml:space="preserve"> </w:t>
      </w:r>
      <w:r>
        <w:t>opportunities</w:t>
      </w:r>
      <w:r>
        <w:rPr>
          <w:spacing w:val="-2"/>
        </w:rPr>
        <w:t xml:space="preserve"> </w:t>
      </w:r>
      <w:r>
        <w:t>including</w:t>
      </w:r>
      <w:r>
        <w:rPr>
          <w:spacing w:val="-2"/>
        </w:rPr>
        <w:t xml:space="preserve"> </w:t>
      </w:r>
      <w:r>
        <w:t>optional</w:t>
      </w:r>
      <w:r>
        <w:rPr>
          <w:spacing w:val="-3"/>
        </w:rPr>
        <w:t xml:space="preserve"> </w:t>
      </w:r>
      <w:r>
        <w:t>programs on</w:t>
      </w:r>
      <w:r>
        <w:rPr>
          <w:spacing w:val="-3"/>
        </w:rPr>
        <w:t xml:space="preserve"> </w:t>
      </w:r>
      <w:r>
        <w:t>family support for LGBTQ youth and a “beyond the binary” module. New staff receive an introduction to LGBTQ concepts as part of a cultural humility training. DCF has also been one of th</w:t>
      </w:r>
      <w:r>
        <w:t>e first agencies in the 2022 fiscal year to offer the training developed by the Commission in partnership with EOHHS, titled “LGBTQIA+ Inclusive Workplace”. DCF offered six trainings in partnership with EOHHS during April and May 2022, which included speci</w:t>
      </w:r>
      <w:r>
        <w:t>alized DCF and child welfare information. It was reporting a waitlist for those scheduled in May. For these efforts to reach all who could benefit, it is important that</w:t>
      </w:r>
      <w:r>
        <w:rPr>
          <w:spacing w:val="-6"/>
        </w:rPr>
        <w:t xml:space="preserve"> </w:t>
      </w:r>
      <w:r>
        <w:t>DCF</w:t>
      </w:r>
      <w:r>
        <w:rPr>
          <w:spacing w:val="-2"/>
        </w:rPr>
        <w:t xml:space="preserve"> </w:t>
      </w:r>
      <w:r>
        <w:t>continue</w:t>
      </w:r>
      <w:r>
        <w:rPr>
          <w:spacing w:val="-4"/>
        </w:rPr>
        <w:t xml:space="preserve"> </w:t>
      </w:r>
      <w:r>
        <w:t>to</w:t>
      </w:r>
      <w:r>
        <w:rPr>
          <w:spacing w:val="-3"/>
        </w:rPr>
        <w:t xml:space="preserve"> </w:t>
      </w:r>
      <w:r>
        <w:t>expand</w:t>
      </w:r>
      <w:r>
        <w:rPr>
          <w:spacing w:val="-5"/>
        </w:rPr>
        <w:t xml:space="preserve"> </w:t>
      </w:r>
      <w:r>
        <w:t>its</w:t>
      </w:r>
      <w:r>
        <w:rPr>
          <w:spacing w:val="-3"/>
        </w:rPr>
        <w:t xml:space="preserve"> </w:t>
      </w:r>
      <w:r>
        <w:t>training</w:t>
      </w:r>
      <w:r>
        <w:rPr>
          <w:spacing w:val="-3"/>
        </w:rPr>
        <w:t xml:space="preserve"> </w:t>
      </w:r>
      <w:r>
        <w:t>capacity</w:t>
      </w:r>
      <w:r>
        <w:rPr>
          <w:spacing w:val="-2"/>
        </w:rPr>
        <w:t xml:space="preserve"> </w:t>
      </w:r>
      <w:r>
        <w:t>and</w:t>
      </w:r>
      <w:r>
        <w:rPr>
          <w:spacing w:val="-1"/>
        </w:rPr>
        <w:t xml:space="preserve"> </w:t>
      </w:r>
      <w:r>
        <w:t>require</w:t>
      </w:r>
      <w:r>
        <w:rPr>
          <w:spacing w:val="-4"/>
        </w:rPr>
        <w:t xml:space="preserve"> </w:t>
      </w:r>
      <w:r>
        <w:t>that</w:t>
      </w:r>
      <w:r>
        <w:rPr>
          <w:spacing w:val="-4"/>
        </w:rPr>
        <w:t xml:space="preserve"> </w:t>
      </w:r>
      <w:r>
        <w:t>all</w:t>
      </w:r>
      <w:r>
        <w:rPr>
          <w:spacing w:val="-5"/>
        </w:rPr>
        <w:t xml:space="preserve"> </w:t>
      </w:r>
      <w:r>
        <w:t>staff</w:t>
      </w:r>
      <w:r>
        <w:rPr>
          <w:spacing w:val="-5"/>
        </w:rPr>
        <w:t xml:space="preserve"> </w:t>
      </w:r>
      <w:r>
        <w:t>receive</w:t>
      </w:r>
      <w:r>
        <w:rPr>
          <w:spacing w:val="-5"/>
        </w:rPr>
        <w:t xml:space="preserve"> </w:t>
      </w:r>
      <w:r>
        <w:t>in-dept</w:t>
      </w:r>
      <w:r>
        <w:t>h</w:t>
      </w:r>
      <w:r>
        <w:rPr>
          <w:spacing w:val="-4"/>
        </w:rPr>
        <w:t xml:space="preserve"> </w:t>
      </w:r>
      <w:r>
        <w:t>training</w:t>
      </w:r>
      <w:r>
        <w:rPr>
          <w:spacing w:val="-4"/>
        </w:rPr>
        <w:t xml:space="preserve"> </w:t>
      </w:r>
      <w:r>
        <w:t>on</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766" w:right="476"/>
        <w:jc w:val="both"/>
      </w:pPr>
      <w:r>
        <w:t>how to best serve DCF-involved LGBTQ youth and adults. DCF has communicated that it intends to schedule Train the Trainer programming this summer; the Commission recommends that it follow through</w:t>
      </w:r>
      <w:r>
        <w:rPr>
          <w:spacing w:val="-8"/>
        </w:rPr>
        <w:t xml:space="preserve"> </w:t>
      </w:r>
      <w:r>
        <w:t>with</w:t>
      </w:r>
      <w:r>
        <w:rPr>
          <w:spacing w:val="-8"/>
        </w:rPr>
        <w:t xml:space="preserve"> </w:t>
      </w:r>
      <w:r>
        <w:t>that</w:t>
      </w:r>
      <w:r>
        <w:rPr>
          <w:spacing w:val="-8"/>
        </w:rPr>
        <w:t xml:space="preserve"> </w:t>
      </w:r>
      <w:r>
        <w:t>plan.</w:t>
      </w:r>
      <w:r>
        <w:rPr>
          <w:spacing w:val="-8"/>
        </w:rPr>
        <w:t xml:space="preserve"> </w:t>
      </w:r>
      <w:r>
        <w:t>It</w:t>
      </w:r>
      <w:r>
        <w:rPr>
          <w:spacing w:val="-8"/>
        </w:rPr>
        <w:t xml:space="preserve"> </w:t>
      </w:r>
      <w:r>
        <w:t>also</w:t>
      </w:r>
      <w:r>
        <w:rPr>
          <w:spacing w:val="-8"/>
        </w:rPr>
        <w:t xml:space="preserve"> </w:t>
      </w:r>
      <w:r>
        <w:t>recomm</w:t>
      </w:r>
      <w:r>
        <w:t>ends</w:t>
      </w:r>
      <w:r>
        <w:rPr>
          <w:spacing w:val="-8"/>
        </w:rPr>
        <w:t xml:space="preserve"> </w:t>
      </w:r>
      <w:r>
        <w:t>that</w:t>
      </w:r>
      <w:r>
        <w:rPr>
          <w:spacing w:val="-8"/>
        </w:rPr>
        <w:t xml:space="preserve"> </w:t>
      </w:r>
      <w:r>
        <w:t>it</w:t>
      </w:r>
      <w:r>
        <w:rPr>
          <w:spacing w:val="-8"/>
        </w:rPr>
        <w:t xml:space="preserve"> </w:t>
      </w:r>
      <w:r>
        <w:t>develop</w:t>
      </w:r>
      <w:r>
        <w:rPr>
          <w:spacing w:val="-9"/>
        </w:rPr>
        <w:t xml:space="preserve"> </w:t>
      </w:r>
      <w:r>
        <w:t>a</w:t>
      </w:r>
      <w:r>
        <w:rPr>
          <w:spacing w:val="-8"/>
        </w:rPr>
        <w:t xml:space="preserve"> </w:t>
      </w:r>
      <w:r>
        <w:t>timeline</w:t>
      </w:r>
      <w:r>
        <w:rPr>
          <w:spacing w:val="-9"/>
        </w:rPr>
        <w:t xml:space="preserve"> </w:t>
      </w:r>
      <w:r>
        <w:t>for</w:t>
      </w:r>
      <w:r>
        <w:rPr>
          <w:spacing w:val="-9"/>
        </w:rPr>
        <w:t xml:space="preserve"> </w:t>
      </w:r>
      <w:r>
        <w:t>providing</w:t>
      </w:r>
      <w:r>
        <w:rPr>
          <w:spacing w:val="-8"/>
        </w:rPr>
        <w:t xml:space="preserve"> </w:t>
      </w:r>
      <w:r>
        <w:t>mandatory</w:t>
      </w:r>
      <w:r>
        <w:rPr>
          <w:spacing w:val="-9"/>
        </w:rPr>
        <w:t xml:space="preserve"> </w:t>
      </w:r>
      <w:r>
        <w:t>training for all staff outside of state employee diversity trainings, which are not focused on how to support LGBTQ youth and families. Finally, the Commission recommends that additional skill-building opportunities be available related to increasing famil</w:t>
      </w:r>
      <w:r>
        <w:t>y acceptance for LGBTQ youth.</w:t>
      </w:r>
    </w:p>
    <w:p w:rsidR="00C76E6D" w:rsidRDefault="00C76E6D">
      <w:pPr>
        <w:pStyle w:val="BodyText"/>
        <w:spacing w:before="8"/>
        <w:rPr>
          <w:sz w:val="19"/>
        </w:rPr>
      </w:pPr>
    </w:p>
    <w:p w:rsidR="00C76E6D" w:rsidRDefault="00913831">
      <w:pPr>
        <w:pStyle w:val="BodyText"/>
        <w:spacing w:line="276" w:lineRule="auto"/>
        <w:ind w:left="767" w:right="474" w:hanging="1"/>
        <w:jc w:val="both"/>
      </w:pPr>
      <w:r>
        <w:t>DCF</w:t>
      </w:r>
      <w:r>
        <w:rPr>
          <w:spacing w:val="-3"/>
        </w:rPr>
        <w:t xml:space="preserve"> </w:t>
      </w:r>
      <w:r>
        <w:t>began</w:t>
      </w:r>
      <w:r>
        <w:rPr>
          <w:spacing w:val="-2"/>
        </w:rPr>
        <w:t xml:space="preserve"> </w:t>
      </w:r>
      <w:r>
        <w:t>a new</w:t>
      </w:r>
      <w:r>
        <w:rPr>
          <w:spacing w:val="-2"/>
        </w:rPr>
        <w:t xml:space="preserve"> </w:t>
      </w:r>
      <w:r>
        <w:t>congregate</w:t>
      </w:r>
      <w:r>
        <w:rPr>
          <w:spacing w:val="-2"/>
        </w:rPr>
        <w:t xml:space="preserve"> </w:t>
      </w:r>
      <w:r>
        <w:t>care</w:t>
      </w:r>
      <w:r>
        <w:rPr>
          <w:spacing w:val="-1"/>
        </w:rPr>
        <w:t xml:space="preserve"> </w:t>
      </w:r>
      <w:r>
        <w:t>contract</w:t>
      </w:r>
      <w:r>
        <w:rPr>
          <w:spacing w:val="-2"/>
        </w:rPr>
        <w:t xml:space="preserve"> </w:t>
      </w:r>
      <w:r>
        <w:t>in January</w:t>
      </w:r>
      <w:r>
        <w:rPr>
          <w:spacing w:val="-3"/>
        </w:rPr>
        <w:t xml:space="preserve"> </w:t>
      </w:r>
      <w:r>
        <w:t>of</w:t>
      </w:r>
      <w:r>
        <w:rPr>
          <w:spacing w:val="-2"/>
        </w:rPr>
        <w:t xml:space="preserve"> </w:t>
      </w:r>
      <w:r>
        <w:t>2022.</w:t>
      </w:r>
      <w:r>
        <w:rPr>
          <w:spacing w:val="-2"/>
        </w:rPr>
        <w:t xml:space="preserve"> </w:t>
      </w:r>
      <w:r>
        <w:t>One</w:t>
      </w:r>
      <w:r>
        <w:rPr>
          <w:spacing w:val="-3"/>
        </w:rPr>
        <w:t xml:space="preserve"> </w:t>
      </w:r>
      <w:r>
        <w:t>of</w:t>
      </w:r>
      <w:r>
        <w:rPr>
          <w:spacing w:val="-2"/>
        </w:rPr>
        <w:t xml:space="preserve"> </w:t>
      </w:r>
      <w:r>
        <w:t>the</w:t>
      </w:r>
      <w:r>
        <w:rPr>
          <w:spacing w:val="-2"/>
        </w:rPr>
        <w:t xml:space="preserve"> </w:t>
      </w:r>
      <w:r>
        <w:t>new contract</w:t>
      </w:r>
      <w:r>
        <w:rPr>
          <w:spacing w:val="-2"/>
        </w:rPr>
        <w:t xml:space="preserve"> </w:t>
      </w:r>
      <w:r>
        <w:t>requirements is that all providers train their new and existing staff on LGBTQIA+ affirming practices. DCF is also working</w:t>
      </w:r>
      <w:r>
        <w:rPr>
          <w:spacing w:val="-2"/>
        </w:rPr>
        <w:t xml:space="preserve"> </w:t>
      </w:r>
      <w:r>
        <w:t>on</w:t>
      </w:r>
      <w:r>
        <w:rPr>
          <w:spacing w:val="-2"/>
        </w:rPr>
        <w:t xml:space="preserve"> </w:t>
      </w:r>
      <w:r>
        <w:t>clarifying</w:t>
      </w:r>
      <w:r>
        <w:rPr>
          <w:spacing w:val="-2"/>
        </w:rPr>
        <w:t xml:space="preserve"> </w:t>
      </w:r>
      <w:r>
        <w:t>pol</w:t>
      </w:r>
      <w:r>
        <w:t>icy</w:t>
      </w:r>
      <w:r>
        <w:rPr>
          <w:spacing w:val="-1"/>
        </w:rPr>
        <w:t xml:space="preserve"> </w:t>
      </w:r>
      <w:r>
        <w:t>around</w:t>
      </w:r>
      <w:r>
        <w:rPr>
          <w:spacing w:val="-2"/>
        </w:rPr>
        <w:t xml:space="preserve"> </w:t>
      </w:r>
      <w:r>
        <w:t>placements</w:t>
      </w:r>
      <w:r>
        <w:rPr>
          <w:spacing w:val="-1"/>
        </w:rPr>
        <w:t xml:space="preserve"> </w:t>
      </w:r>
      <w:r>
        <w:t>for</w:t>
      </w:r>
      <w:r>
        <w:rPr>
          <w:spacing w:val="-1"/>
        </w:rPr>
        <w:t xml:space="preserve"> </w:t>
      </w:r>
      <w:r>
        <w:t>transgender</w:t>
      </w:r>
      <w:r>
        <w:rPr>
          <w:spacing w:val="-1"/>
        </w:rPr>
        <w:t xml:space="preserve"> </w:t>
      </w:r>
      <w:r>
        <w:t>youth</w:t>
      </w:r>
      <w:r>
        <w:rPr>
          <w:spacing w:val="-2"/>
        </w:rPr>
        <w:t xml:space="preserve"> </w:t>
      </w:r>
      <w:r>
        <w:t>based</w:t>
      </w:r>
      <w:r>
        <w:rPr>
          <w:spacing w:val="-1"/>
        </w:rPr>
        <w:t xml:space="preserve"> </w:t>
      </w:r>
      <w:r>
        <w:t>on their gender</w:t>
      </w:r>
      <w:r>
        <w:rPr>
          <w:spacing w:val="-1"/>
        </w:rPr>
        <w:t xml:space="preserve"> </w:t>
      </w:r>
      <w:r>
        <w:t>identity. DCF has committed to addressing this in the new Family Resource Policy as well as the new Nondiscrimination Policy.</w:t>
      </w:r>
    </w:p>
    <w:p w:rsidR="00C76E6D" w:rsidRDefault="00C76E6D">
      <w:pPr>
        <w:pStyle w:val="BodyText"/>
        <w:spacing w:before="8"/>
        <w:rPr>
          <w:sz w:val="19"/>
        </w:rPr>
      </w:pPr>
    </w:p>
    <w:p w:rsidR="00C76E6D" w:rsidRDefault="00913831">
      <w:pPr>
        <w:pStyle w:val="Heading6"/>
        <w:numPr>
          <w:ilvl w:val="0"/>
          <w:numId w:val="17"/>
        </w:numPr>
        <w:tabs>
          <w:tab w:val="left" w:pos="812"/>
        </w:tabs>
        <w:ind w:left="811" w:hanging="335"/>
      </w:pPr>
      <w:bookmarkStart w:id="776" w:name="12._Update_and_Improve_the_MAPP_Training"/>
      <w:bookmarkEnd w:id="776"/>
      <w:r>
        <w:rPr>
          <w:w w:val="95"/>
        </w:rPr>
        <w:t>Update</w:t>
      </w:r>
      <w:r>
        <w:rPr>
          <w:spacing w:val="13"/>
        </w:rPr>
        <w:t xml:space="preserve"> </w:t>
      </w:r>
      <w:r>
        <w:rPr>
          <w:w w:val="95"/>
        </w:rPr>
        <w:t>and</w:t>
      </w:r>
      <w:r>
        <w:rPr>
          <w:spacing w:val="11"/>
        </w:rPr>
        <w:t xml:space="preserve"> </w:t>
      </w:r>
      <w:r>
        <w:rPr>
          <w:w w:val="95"/>
        </w:rPr>
        <w:t>Improve</w:t>
      </w:r>
      <w:r>
        <w:rPr>
          <w:spacing w:val="13"/>
        </w:rPr>
        <w:t xml:space="preserve"> </w:t>
      </w:r>
      <w:r>
        <w:rPr>
          <w:w w:val="95"/>
        </w:rPr>
        <w:t>the</w:t>
      </w:r>
      <w:r>
        <w:rPr>
          <w:spacing w:val="15"/>
        </w:rPr>
        <w:t xml:space="preserve"> </w:t>
      </w:r>
      <w:r>
        <w:rPr>
          <w:w w:val="95"/>
        </w:rPr>
        <w:t>MAPP</w:t>
      </w:r>
      <w:r>
        <w:rPr>
          <w:spacing w:val="10"/>
        </w:rPr>
        <w:t xml:space="preserve"> </w:t>
      </w:r>
      <w:r>
        <w:rPr>
          <w:spacing w:val="-2"/>
          <w:w w:val="95"/>
        </w:rPr>
        <w:t>Training</w:t>
      </w:r>
    </w:p>
    <w:p w:rsidR="00C76E6D" w:rsidRDefault="00C76E6D">
      <w:pPr>
        <w:pStyle w:val="BodyText"/>
        <w:spacing w:before="10"/>
        <w:rPr>
          <w:b/>
        </w:rPr>
      </w:pPr>
    </w:p>
    <w:p w:rsidR="00C76E6D" w:rsidRDefault="00913831">
      <w:pPr>
        <w:pStyle w:val="BodyText"/>
        <w:spacing w:line="276" w:lineRule="auto"/>
        <w:ind w:left="767" w:right="472"/>
        <w:jc w:val="both"/>
      </w:pPr>
      <w:r>
        <w:t>In</w:t>
      </w:r>
      <w:r>
        <w:rPr>
          <w:spacing w:val="-1"/>
        </w:rPr>
        <w:t xml:space="preserve"> </w:t>
      </w:r>
      <w:r>
        <w:t>2012, the Liaisons wro</w:t>
      </w:r>
      <w:r>
        <w:t>te</w:t>
      </w:r>
      <w:r>
        <w:rPr>
          <w:spacing w:val="-2"/>
        </w:rPr>
        <w:t xml:space="preserve"> </w:t>
      </w:r>
      <w:r>
        <w:t>a MAPP module around</w:t>
      </w:r>
      <w:r>
        <w:rPr>
          <w:spacing w:val="-1"/>
        </w:rPr>
        <w:t xml:space="preserve"> </w:t>
      </w:r>
      <w:r>
        <w:t>LGBTQ</w:t>
      </w:r>
      <w:r>
        <w:rPr>
          <w:spacing w:val="-1"/>
        </w:rPr>
        <w:t xml:space="preserve"> </w:t>
      </w:r>
      <w:r>
        <w:t>youth. Updates to the</w:t>
      </w:r>
      <w:r>
        <w:rPr>
          <w:spacing w:val="-1"/>
        </w:rPr>
        <w:t xml:space="preserve"> </w:t>
      </w:r>
      <w:r>
        <w:t>module</w:t>
      </w:r>
      <w:r>
        <w:rPr>
          <w:spacing w:val="-1"/>
        </w:rPr>
        <w:t xml:space="preserve"> </w:t>
      </w:r>
      <w:r>
        <w:t>occurred</w:t>
      </w:r>
      <w:r>
        <w:rPr>
          <w:spacing w:val="-1"/>
        </w:rPr>
        <w:t xml:space="preserve"> </w:t>
      </w:r>
      <w:r>
        <w:t>in 2016,</w:t>
      </w:r>
      <w:r>
        <w:rPr>
          <w:spacing w:val="-11"/>
        </w:rPr>
        <w:t xml:space="preserve"> </w:t>
      </w:r>
      <w:r>
        <w:t>but</w:t>
      </w:r>
      <w:r>
        <w:rPr>
          <w:spacing w:val="-11"/>
        </w:rPr>
        <w:t xml:space="preserve"> </w:t>
      </w:r>
      <w:r>
        <w:t>not</w:t>
      </w:r>
      <w:r>
        <w:rPr>
          <w:spacing w:val="-11"/>
        </w:rPr>
        <w:t xml:space="preserve"> </w:t>
      </w:r>
      <w:r>
        <w:t>all</w:t>
      </w:r>
      <w:r>
        <w:rPr>
          <w:spacing w:val="-11"/>
        </w:rPr>
        <w:t xml:space="preserve"> </w:t>
      </w:r>
      <w:r>
        <w:t>components</w:t>
      </w:r>
      <w:r>
        <w:rPr>
          <w:spacing w:val="-11"/>
        </w:rPr>
        <w:t xml:space="preserve"> </w:t>
      </w:r>
      <w:r>
        <w:t>of</w:t>
      </w:r>
      <w:r>
        <w:rPr>
          <w:spacing w:val="-11"/>
        </w:rPr>
        <w:t xml:space="preserve"> </w:t>
      </w:r>
      <w:r>
        <w:t>MAPP</w:t>
      </w:r>
      <w:r>
        <w:rPr>
          <w:spacing w:val="-11"/>
        </w:rPr>
        <w:t xml:space="preserve"> </w:t>
      </w:r>
      <w:r>
        <w:t>changed</w:t>
      </w:r>
      <w:r>
        <w:rPr>
          <w:spacing w:val="-11"/>
        </w:rPr>
        <w:t xml:space="preserve"> </w:t>
      </w:r>
      <w:r>
        <w:t>accordingly.</w:t>
      </w:r>
      <w:r>
        <w:rPr>
          <w:spacing w:val="-10"/>
        </w:rPr>
        <w:t xml:space="preserve"> </w:t>
      </w:r>
      <w:r>
        <w:t>Of</w:t>
      </w:r>
      <w:r>
        <w:rPr>
          <w:spacing w:val="-10"/>
        </w:rPr>
        <w:t xml:space="preserve"> </w:t>
      </w:r>
      <w:r>
        <w:t>particular</w:t>
      </w:r>
      <w:r>
        <w:rPr>
          <w:spacing w:val="-10"/>
        </w:rPr>
        <w:t xml:space="preserve"> </w:t>
      </w:r>
      <w:r>
        <w:t>concern</w:t>
      </w:r>
      <w:r>
        <w:rPr>
          <w:spacing w:val="-11"/>
        </w:rPr>
        <w:t xml:space="preserve"> </w:t>
      </w:r>
      <w:r>
        <w:t>has</w:t>
      </w:r>
      <w:r>
        <w:rPr>
          <w:spacing w:val="-11"/>
        </w:rPr>
        <w:t xml:space="preserve"> </w:t>
      </w:r>
      <w:r>
        <w:t>been</w:t>
      </w:r>
      <w:r>
        <w:rPr>
          <w:spacing w:val="-11"/>
        </w:rPr>
        <w:t xml:space="preserve"> </w:t>
      </w:r>
      <w:r>
        <w:t>inaccurate and offensive information provided to participants, which the Commission has brought to DCF’s attention</w:t>
      </w:r>
      <w:r>
        <w:rPr>
          <w:spacing w:val="-2"/>
        </w:rPr>
        <w:t xml:space="preserve"> </w:t>
      </w:r>
      <w:r>
        <w:t>since</w:t>
      </w:r>
      <w:r>
        <w:rPr>
          <w:spacing w:val="-2"/>
        </w:rPr>
        <w:t xml:space="preserve"> </w:t>
      </w:r>
      <w:r>
        <w:t>at</w:t>
      </w:r>
      <w:r>
        <w:rPr>
          <w:spacing w:val="-1"/>
        </w:rPr>
        <w:t xml:space="preserve"> </w:t>
      </w:r>
      <w:r>
        <w:t>least</w:t>
      </w:r>
      <w:r>
        <w:rPr>
          <w:spacing w:val="-2"/>
        </w:rPr>
        <w:t xml:space="preserve"> </w:t>
      </w:r>
      <w:r>
        <w:t>2017.</w:t>
      </w:r>
      <w:r>
        <w:rPr>
          <w:spacing w:val="-3"/>
        </w:rPr>
        <w:t xml:space="preserve"> </w:t>
      </w:r>
      <w:r>
        <w:t>DCF</w:t>
      </w:r>
      <w:r>
        <w:rPr>
          <w:spacing w:val="-2"/>
        </w:rPr>
        <w:t xml:space="preserve"> </w:t>
      </w:r>
      <w:r>
        <w:t>adopted updating MAPP</w:t>
      </w:r>
      <w:r>
        <w:rPr>
          <w:spacing w:val="-1"/>
        </w:rPr>
        <w:t xml:space="preserve"> </w:t>
      </w:r>
      <w:r>
        <w:t>materials</w:t>
      </w:r>
      <w:r>
        <w:rPr>
          <w:spacing w:val="-1"/>
        </w:rPr>
        <w:t xml:space="preserve"> </w:t>
      </w:r>
      <w:r>
        <w:t>to</w:t>
      </w:r>
      <w:r>
        <w:rPr>
          <w:spacing w:val="-1"/>
        </w:rPr>
        <w:t xml:space="preserve"> </w:t>
      </w:r>
      <w:r>
        <w:t>ensure</w:t>
      </w:r>
      <w:r>
        <w:rPr>
          <w:spacing w:val="-1"/>
        </w:rPr>
        <w:t xml:space="preserve"> </w:t>
      </w:r>
      <w:r>
        <w:t>language</w:t>
      </w:r>
      <w:r>
        <w:rPr>
          <w:spacing w:val="-2"/>
        </w:rPr>
        <w:t xml:space="preserve"> </w:t>
      </w:r>
      <w:r>
        <w:t>respectful</w:t>
      </w:r>
      <w:r>
        <w:rPr>
          <w:spacing w:val="-2"/>
        </w:rPr>
        <w:t xml:space="preserve"> </w:t>
      </w:r>
      <w:r>
        <w:t>of LGBTQ identities as a goal in its FY 2019 – FY 2021</w:t>
      </w:r>
      <w:r>
        <w:t xml:space="preserve"> Diversity Plan, and the Commission understands that a redesign of the entire MAPP curriculum is taking place. DCF has indicated that the new MAPP program will include four new modules on LGBTQ topics and will incorporate family acceptance concepts.</w:t>
      </w:r>
      <w:r>
        <w:rPr>
          <w:spacing w:val="-12"/>
        </w:rPr>
        <w:t xml:space="preserve"> </w:t>
      </w:r>
      <w:r>
        <w:t>DCF</w:t>
      </w:r>
      <w:r>
        <w:rPr>
          <w:spacing w:val="-11"/>
        </w:rPr>
        <w:t xml:space="preserve"> </w:t>
      </w:r>
      <w:r>
        <w:t>ai</w:t>
      </w:r>
      <w:r>
        <w:t>ms</w:t>
      </w:r>
      <w:r>
        <w:rPr>
          <w:spacing w:val="-10"/>
        </w:rPr>
        <w:t xml:space="preserve"> </w:t>
      </w:r>
      <w:r>
        <w:t>to</w:t>
      </w:r>
      <w:r>
        <w:rPr>
          <w:spacing w:val="-11"/>
        </w:rPr>
        <w:t xml:space="preserve"> </w:t>
      </w:r>
      <w:r>
        <w:t>have</w:t>
      </w:r>
      <w:r>
        <w:rPr>
          <w:spacing w:val="-11"/>
        </w:rPr>
        <w:t xml:space="preserve"> </w:t>
      </w:r>
      <w:r>
        <w:t>the</w:t>
      </w:r>
      <w:r>
        <w:rPr>
          <w:spacing w:val="-10"/>
        </w:rPr>
        <w:t xml:space="preserve"> </w:t>
      </w:r>
      <w:r>
        <w:t>curriculum</w:t>
      </w:r>
      <w:r>
        <w:rPr>
          <w:spacing w:val="-12"/>
        </w:rPr>
        <w:t xml:space="preserve"> </w:t>
      </w:r>
      <w:r>
        <w:t>completed</w:t>
      </w:r>
      <w:r>
        <w:rPr>
          <w:spacing w:val="-12"/>
        </w:rPr>
        <w:t xml:space="preserve"> </w:t>
      </w:r>
      <w:r>
        <w:t>by</w:t>
      </w:r>
      <w:r>
        <w:rPr>
          <w:spacing w:val="-11"/>
        </w:rPr>
        <w:t xml:space="preserve"> </w:t>
      </w:r>
      <w:r>
        <w:t>fall</w:t>
      </w:r>
      <w:r>
        <w:rPr>
          <w:spacing w:val="-11"/>
        </w:rPr>
        <w:t xml:space="preserve"> </w:t>
      </w:r>
      <w:r>
        <w:t>2022.</w:t>
      </w:r>
      <w:r>
        <w:rPr>
          <w:spacing w:val="-11"/>
        </w:rPr>
        <w:t xml:space="preserve"> </w:t>
      </w:r>
      <w:r>
        <w:t>The</w:t>
      </w:r>
      <w:r>
        <w:rPr>
          <w:spacing w:val="-10"/>
        </w:rPr>
        <w:t xml:space="preserve"> </w:t>
      </w:r>
      <w:r>
        <w:t>Commission</w:t>
      </w:r>
      <w:r>
        <w:rPr>
          <w:spacing w:val="-12"/>
        </w:rPr>
        <w:t xml:space="preserve"> </w:t>
      </w:r>
      <w:r>
        <w:t>urges</w:t>
      </w:r>
      <w:r>
        <w:rPr>
          <w:spacing w:val="-11"/>
        </w:rPr>
        <w:t xml:space="preserve"> </w:t>
      </w:r>
      <w:r>
        <w:t>DCF</w:t>
      </w:r>
      <w:r>
        <w:rPr>
          <w:spacing w:val="-11"/>
        </w:rPr>
        <w:t xml:space="preserve"> </w:t>
      </w:r>
      <w:r>
        <w:t>to</w:t>
      </w:r>
      <w:r>
        <w:rPr>
          <w:spacing w:val="-10"/>
        </w:rPr>
        <w:t xml:space="preserve"> </w:t>
      </w:r>
      <w:r>
        <w:t>move forward</w:t>
      </w:r>
      <w:r>
        <w:rPr>
          <w:spacing w:val="-1"/>
        </w:rPr>
        <w:t xml:space="preserve"> </w:t>
      </w:r>
      <w:r>
        <w:t>with that timeline and to continue to seek feedback from subject matter experts throughout the process.</w:t>
      </w:r>
    </w:p>
    <w:p w:rsidR="00C76E6D" w:rsidRDefault="00C76E6D">
      <w:pPr>
        <w:pStyle w:val="BodyText"/>
      </w:pPr>
    </w:p>
    <w:p w:rsidR="00C76E6D" w:rsidRDefault="00C76E6D">
      <w:pPr>
        <w:pStyle w:val="BodyText"/>
        <w:spacing w:before="1"/>
        <w:rPr>
          <w:sz w:val="23"/>
        </w:rPr>
      </w:pPr>
    </w:p>
    <w:p w:rsidR="00C76E6D" w:rsidRDefault="00913831">
      <w:pPr>
        <w:pStyle w:val="Heading6"/>
        <w:numPr>
          <w:ilvl w:val="0"/>
          <w:numId w:val="18"/>
        </w:numPr>
        <w:tabs>
          <w:tab w:val="left" w:pos="726"/>
        </w:tabs>
        <w:ind w:left="726" w:hanging="248"/>
      </w:pPr>
      <w:bookmarkStart w:id="777" w:name="D._Infrastructure_and_Capacity_Building"/>
      <w:bookmarkEnd w:id="777"/>
      <w:r>
        <w:rPr>
          <w:w w:val="95"/>
        </w:rPr>
        <w:t>Infrastructure</w:t>
      </w:r>
      <w:r>
        <w:rPr>
          <w:spacing w:val="17"/>
        </w:rPr>
        <w:t xml:space="preserve"> </w:t>
      </w:r>
      <w:r>
        <w:rPr>
          <w:w w:val="95"/>
        </w:rPr>
        <w:t>and</w:t>
      </w:r>
      <w:r>
        <w:rPr>
          <w:spacing w:val="16"/>
        </w:rPr>
        <w:t xml:space="preserve"> </w:t>
      </w:r>
      <w:r>
        <w:rPr>
          <w:w w:val="95"/>
        </w:rPr>
        <w:t>Capacity</w:t>
      </w:r>
      <w:r>
        <w:rPr>
          <w:spacing w:val="18"/>
        </w:rPr>
        <w:t xml:space="preserve"> </w:t>
      </w:r>
      <w:r>
        <w:rPr>
          <w:spacing w:val="-2"/>
          <w:w w:val="95"/>
        </w:rPr>
        <w:t>Building</w:t>
      </w:r>
    </w:p>
    <w:p w:rsidR="00C76E6D" w:rsidRDefault="00C76E6D">
      <w:pPr>
        <w:pStyle w:val="BodyText"/>
        <w:spacing w:before="11"/>
        <w:rPr>
          <w:b/>
        </w:rPr>
      </w:pPr>
    </w:p>
    <w:p w:rsidR="00C76E6D" w:rsidRDefault="00913831">
      <w:pPr>
        <w:pStyle w:val="BodyText"/>
        <w:spacing w:line="276" w:lineRule="auto"/>
        <w:ind w:left="479" w:right="475"/>
        <w:jc w:val="both"/>
      </w:pPr>
      <w:r>
        <w:t>Sustaining change at DCF requires shifts to existing structures. In particular, the agency needs to build capacity through</w:t>
      </w:r>
      <w:r>
        <w:rPr>
          <w:spacing w:val="-1"/>
        </w:rPr>
        <w:t xml:space="preserve"> </w:t>
      </w:r>
      <w:r>
        <w:t>new systems</w:t>
      </w:r>
      <w:r>
        <w:rPr>
          <w:spacing w:val="-1"/>
        </w:rPr>
        <w:t xml:space="preserve"> </w:t>
      </w:r>
      <w:r>
        <w:t>and</w:t>
      </w:r>
      <w:r>
        <w:rPr>
          <w:spacing w:val="-2"/>
        </w:rPr>
        <w:t xml:space="preserve"> </w:t>
      </w:r>
      <w:r>
        <w:t>staff positions</w:t>
      </w:r>
      <w:r>
        <w:rPr>
          <w:spacing w:val="-1"/>
        </w:rPr>
        <w:t xml:space="preserve"> </w:t>
      </w:r>
      <w:r>
        <w:t>in order</w:t>
      </w:r>
      <w:r>
        <w:rPr>
          <w:spacing w:val="-1"/>
        </w:rPr>
        <w:t xml:space="preserve"> </w:t>
      </w:r>
      <w:r>
        <w:t>to dedicate</w:t>
      </w:r>
      <w:r>
        <w:rPr>
          <w:spacing w:val="-1"/>
        </w:rPr>
        <w:t xml:space="preserve"> </w:t>
      </w:r>
      <w:r>
        <w:t>attention</w:t>
      </w:r>
      <w:r>
        <w:rPr>
          <w:spacing w:val="-1"/>
        </w:rPr>
        <w:t xml:space="preserve"> </w:t>
      </w:r>
      <w:r>
        <w:t>to LGBTQ young</w:t>
      </w:r>
      <w:r>
        <w:rPr>
          <w:spacing w:val="-1"/>
        </w:rPr>
        <w:t xml:space="preserve"> </w:t>
      </w:r>
      <w:r>
        <w:t>people. A</w:t>
      </w:r>
      <w:r>
        <w:rPr>
          <w:spacing w:val="-2"/>
        </w:rPr>
        <w:t xml:space="preserve"> </w:t>
      </w:r>
      <w:r>
        <w:t>key priority includes addressing</w:t>
      </w:r>
      <w:r>
        <w:rPr>
          <w:spacing w:val="-2"/>
        </w:rPr>
        <w:t xml:space="preserve"> </w:t>
      </w:r>
      <w:r>
        <w:t>the</w:t>
      </w:r>
      <w:r>
        <w:rPr>
          <w:spacing w:val="-1"/>
        </w:rPr>
        <w:t xml:space="preserve"> </w:t>
      </w:r>
      <w:r>
        <w:t>availabi</w:t>
      </w:r>
      <w:r>
        <w:t>lity</w:t>
      </w:r>
      <w:r>
        <w:rPr>
          <w:spacing w:val="-1"/>
        </w:rPr>
        <w:t xml:space="preserve"> </w:t>
      </w:r>
      <w:r>
        <w:t>of affirming</w:t>
      </w:r>
      <w:r>
        <w:rPr>
          <w:spacing w:val="-1"/>
        </w:rPr>
        <w:t xml:space="preserve"> </w:t>
      </w:r>
      <w:r>
        <w:t>homes</w:t>
      </w:r>
      <w:r>
        <w:rPr>
          <w:spacing w:val="-1"/>
        </w:rPr>
        <w:t xml:space="preserve"> </w:t>
      </w:r>
      <w:r>
        <w:t>for LGBTQ</w:t>
      </w:r>
      <w:r>
        <w:rPr>
          <w:spacing w:val="-2"/>
        </w:rPr>
        <w:t xml:space="preserve"> </w:t>
      </w:r>
      <w:r>
        <w:t>youth;</w:t>
      </w:r>
      <w:r>
        <w:rPr>
          <w:spacing w:val="-1"/>
        </w:rPr>
        <w:t xml:space="preserve"> </w:t>
      </w:r>
      <w:r>
        <w:t>the Commission’s report described DCF workers struggling to find appropriate placements. While DCF has taken steps toward building capacity, the Commission’s capacity building recommendations from its report last su</w:t>
      </w:r>
      <w:r>
        <w:t>mmer still need to be completed.</w:t>
      </w:r>
    </w:p>
    <w:p w:rsidR="00C76E6D" w:rsidRDefault="00C76E6D">
      <w:pPr>
        <w:pStyle w:val="BodyText"/>
        <w:spacing w:before="8"/>
        <w:rPr>
          <w:sz w:val="19"/>
        </w:rPr>
      </w:pPr>
    </w:p>
    <w:p w:rsidR="00C76E6D" w:rsidRDefault="00913831">
      <w:pPr>
        <w:pStyle w:val="Heading6"/>
        <w:numPr>
          <w:ilvl w:val="0"/>
          <w:numId w:val="17"/>
        </w:numPr>
        <w:tabs>
          <w:tab w:val="left" w:pos="812"/>
        </w:tabs>
        <w:ind w:left="811" w:hanging="334"/>
      </w:pPr>
      <w:bookmarkStart w:id="778" w:name="13._Create_a_statewide_database_listing_"/>
      <w:bookmarkEnd w:id="778"/>
      <w:r>
        <w:rPr>
          <w:w w:val="95"/>
        </w:rPr>
        <w:t>Create</w:t>
      </w:r>
      <w:r>
        <w:rPr>
          <w:spacing w:val="17"/>
        </w:rPr>
        <w:t xml:space="preserve"> </w:t>
      </w:r>
      <w:r>
        <w:rPr>
          <w:w w:val="95"/>
        </w:rPr>
        <w:t>a</w:t>
      </w:r>
      <w:r>
        <w:rPr>
          <w:spacing w:val="17"/>
        </w:rPr>
        <w:t xml:space="preserve"> </w:t>
      </w:r>
      <w:r>
        <w:rPr>
          <w:w w:val="95"/>
        </w:rPr>
        <w:t>statewide</w:t>
      </w:r>
      <w:r>
        <w:rPr>
          <w:spacing w:val="17"/>
        </w:rPr>
        <w:t xml:space="preserve"> </w:t>
      </w:r>
      <w:r>
        <w:rPr>
          <w:w w:val="95"/>
        </w:rPr>
        <w:t>database</w:t>
      </w:r>
      <w:r>
        <w:rPr>
          <w:spacing w:val="17"/>
        </w:rPr>
        <w:t xml:space="preserve"> </w:t>
      </w:r>
      <w:r>
        <w:rPr>
          <w:w w:val="95"/>
        </w:rPr>
        <w:t>listing</w:t>
      </w:r>
      <w:r>
        <w:rPr>
          <w:spacing w:val="17"/>
        </w:rPr>
        <w:t xml:space="preserve"> </w:t>
      </w:r>
      <w:r>
        <w:rPr>
          <w:w w:val="95"/>
        </w:rPr>
        <w:t>LGBTQ-affirming</w:t>
      </w:r>
      <w:r>
        <w:rPr>
          <w:spacing w:val="15"/>
        </w:rPr>
        <w:t xml:space="preserve"> </w:t>
      </w:r>
      <w:r>
        <w:rPr>
          <w:spacing w:val="-2"/>
          <w:w w:val="95"/>
        </w:rPr>
        <w:t>homes.</w:t>
      </w:r>
    </w:p>
    <w:p w:rsidR="00C76E6D" w:rsidRDefault="00C76E6D">
      <w:pPr>
        <w:pStyle w:val="BodyText"/>
        <w:spacing w:before="10"/>
        <w:rPr>
          <w:b/>
        </w:rPr>
      </w:pPr>
    </w:p>
    <w:p w:rsidR="00C76E6D" w:rsidRDefault="00913831">
      <w:pPr>
        <w:pStyle w:val="BodyText"/>
        <w:spacing w:line="276" w:lineRule="auto"/>
        <w:ind w:left="767" w:right="476"/>
        <w:jc w:val="both"/>
      </w:pPr>
      <w:r>
        <w:t>The Commission recommended programs to specifically place gay and lesbian youth with foster parents who received training or showed sensitivity as far back as 199</w:t>
      </w:r>
      <w:r>
        <w:t>4, and renewed its recommendation to identify affirming placements in 2013. DCF listed identifying, supporting, and tracking affirming homes as a goal in its Diversity Plan in 2015, but the agency’s 2019-2021 Diversity Plan – while</w:t>
      </w:r>
      <w:r>
        <w:rPr>
          <w:spacing w:val="22"/>
        </w:rPr>
        <w:t xml:space="preserve"> </w:t>
      </w:r>
      <w:r>
        <w:t>still promoting LGBTQ co</w:t>
      </w:r>
      <w:r>
        <w:t>mmunity engagement and</w:t>
      </w:r>
      <w:r>
        <w:rPr>
          <w:spacing w:val="20"/>
        </w:rPr>
        <w:t xml:space="preserve"> </w:t>
      </w:r>
      <w:r>
        <w:t>foster</w:t>
      </w:r>
      <w:r>
        <w:rPr>
          <w:spacing w:val="19"/>
        </w:rPr>
        <w:t xml:space="preserve"> </w:t>
      </w:r>
      <w:r>
        <w:t>home</w:t>
      </w:r>
      <w:r>
        <w:rPr>
          <w:spacing w:val="20"/>
        </w:rPr>
        <w:t xml:space="preserve"> </w:t>
      </w:r>
      <w:r>
        <w:t>recruitment</w:t>
      </w:r>
      <w:r>
        <w:rPr>
          <w:spacing w:val="20"/>
        </w:rPr>
        <w:t xml:space="preserve"> </w:t>
      </w:r>
      <w:r>
        <w:t>efforts –</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768" w:right="475" w:hanging="1"/>
        <w:jc w:val="both"/>
      </w:pPr>
      <w:r>
        <w:t>omitted</w:t>
      </w:r>
      <w:r>
        <w:rPr>
          <w:spacing w:val="-3"/>
        </w:rPr>
        <w:t xml:space="preserve"> </w:t>
      </w:r>
      <w:r>
        <w:t>the</w:t>
      </w:r>
      <w:r>
        <w:rPr>
          <w:spacing w:val="-3"/>
        </w:rPr>
        <w:t xml:space="preserve"> </w:t>
      </w:r>
      <w:r>
        <w:t>2015</w:t>
      </w:r>
      <w:r>
        <w:rPr>
          <w:spacing w:val="-4"/>
        </w:rPr>
        <w:t xml:space="preserve"> </w:t>
      </w:r>
      <w:r>
        <w:t>goal</w:t>
      </w:r>
      <w:r>
        <w:rPr>
          <w:spacing w:val="-4"/>
        </w:rPr>
        <w:t xml:space="preserve"> </w:t>
      </w:r>
      <w:r>
        <w:t>to</w:t>
      </w:r>
      <w:r>
        <w:rPr>
          <w:spacing w:val="-1"/>
        </w:rPr>
        <w:t xml:space="preserve"> </w:t>
      </w:r>
      <w:r>
        <w:t>track</w:t>
      </w:r>
      <w:r>
        <w:rPr>
          <w:spacing w:val="-4"/>
        </w:rPr>
        <w:t xml:space="preserve"> </w:t>
      </w:r>
      <w:r>
        <w:t>affirming</w:t>
      </w:r>
      <w:r>
        <w:rPr>
          <w:spacing w:val="-2"/>
        </w:rPr>
        <w:t xml:space="preserve"> </w:t>
      </w:r>
      <w:r>
        <w:t>homes.</w:t>
      </w:r>
      <w:r>
        <w:rPr>
          <w:spacing w:val="-4"/>
        </w:rPr>
        <w:t xml:space="preserve"> </w:t>
      </w:r>
      <w:r>
        <w:t>In</w:t>
      </w:r>
      <w:r>
        <w:rPr>
          <w:spacing w:val="-3"/>
        </w:rPr>
        <w:t xml:space="preserve"> </w:t>
      </w:r>
      <w:r>
        <w:t>its</w:t>
      </w:r>
      <w:r>
        <w:rPr>
          <w:spacing w:val="-2"/>
        </w:rPr>
        <w:t xml:space="preserve"> </w:t>
      </w:r>
      <w:r>
        <w:t>report,</w:t>
      </w:r>
      <w:r>
        <w:rPr>
          <w:spacing w:val="-4"/>
        </w:rPr>
        <w:t xml:space="preserve"> </w:t>
      </w:r>
      <w:r>
        <w:t>the</w:t>
      </w:r>
      <w:r>
        <w:rPr>
          <w:spacing w:val="-4"/>
        </w:rPr>
        <w:t xml:space="preserve"> </w:t>
      </w:r>
      <w:r>
        <w:t>Commission</w:t>
      </w:r>
      <w:r>
        <w:rPr>
          <w:spacing w:val="-5"/>
        </w:rPr>
        <w:t xml:space="preserve"> </w:t>
      </w:r>
      <w:r>
        <w:t>noted</w:t>
      </w:r>
      <w:r>
        <w:rPr>
          <w:spacing w:val="-3"/>
        </w:rPr>
        <w:t xml:space="preserve"> </w:t>
      </w:r>
      <w:r>
        <w:t>that</w:t>
      </w:r>
      <w:r>
        <w:rPr>
          <w:spacing w:val="-3"/>
        </w:rPr>
        <w:t xml:space="preserve"> </w:t>
      </w:r>
      <w:r>
        <w:t>the</w:t>
      </w:r>
      <w:r>
        <w:rPr>
          <w:spacing w:val="-3"/>
        </w:rPr>
        <w:t xml:space="preserve"> </w:t>
      </w:r>
      <w:r>
        <w:t>informal list</w:t>
      </w:r>
      <w:r>
        <w:rPr>
          <w:spacing w:val="-7"/>
        </w:rPr>
        <w:t xml:space="preserve"> </w:t>
      </w:r>
      <w:r>
        <w:t>maintained</w:t>
      </w:r>
      <w:r>
        <w:rPr>
          <w:spacing w:val="-7"/>
        </w:rPr>
        <w:t xml:space="preserve"> </w:t>
      </w:r>
      <w:r>
        <w:t>by</w:t>
      </w:r>
      <w:r>
        <w:rPr>
          <w:spacing w:val="-6"/>
        </w:rPr>
        <w:t xml:space="preserve"> </w:t>
      </w:r>
      <w:r>
        <w:t>the</w:t>
      </w:r>
      <w:r>
        <w:rPr>
          <w:spacing w:val="-7"/>
        </w:rPr>
        <w:t xml:space="preserve"> </w:t>
      </w:r>
      <w:r>
        <w:t>Liaisons</w:t>
      </w:r>
      <w:r>
        <w:rPr>
          <w:spacing w:val="-7"/>
        </w:rPr>
        <w:t xml:space="preserve"> </w:t>
      </w:r>
      <w:r>
        <w:t>is</w:t>
      </w:r>
      <w:r>
        <w:rPr>
          <w:spacing w:val="-6"/>
        </w:rPr>
        <w:t xml:space="preserve"> </w:t>
      </w:r>
      <w:r>
        <w:t>not</w:t>
      </w:r>
      <w:r>
        <w:rPr>
          <w:spacing w:val="-7"/>
        </w:rPr>
        <w:t xml:space="preserve"> </w:t>
      </w:r>
      <w:r>
        <w:t>a</w:t>
      </w:r>
      <w:r>
        <w:rPr>
          <w:spacing w:val="-6"/>
        </w:rPr>
        <w:t xml:space="preserve"> </w:t>
      </w:r>
      <w:r>
        <w:t>replacement</w:t>
      </w:r>
      <w:r>
        <w:rPr>
          <w:spacing w:val="-8"/>
        </w:rPr>
        <w:t xml:space="preserve"> </w:t>
      </w:r>
      <w:r>
        <w:t>for</w:t>
      </w:r>
      <w:r>
        <w:rPr>
          <w:spacing w:val="-8"/>
        </w:rPr>
        <w:t xml:space="preserve"> </w:t>
      </w:r>
      <w:r>
        <w:t>a</w:t>
      </w:r>
      <w:r>
        <w:rPr>
          <w:spacing w:val="-6"/>
        </w:rPr>
        <w:t xml:space="preserve"> </w:t>
      </w:r>
      <w:r>
        <w:t>tool</w:t>
      </w:r>
      <w:r>
        <w:rPr>
          <w:spacing w:val="-8"/>
        </w:rPr>
        <w:t xml:space="preserve"> </w:t>
      </w:r>
      <w:r>
        <w:t>supported</w:t>
      </w:r>
      <w:r>
        <w:rPr>
          <w:spacing w:val="-7"/>
        </w:rPr>
        <w:t xml:space="preserve"> </w:t>
      </w:r>
      <w:r>
        <w:t>by</w:t>
      </w:r>
      <w:r>
        <w:rPr>
          <w:spacing w:val="-6"/>
        </w:rPr>
        <w:t xml:space="preserve"> </w:t>
      </w:r>
      <w:r>
        <w:t>the</w:t>
      </w:r>
      <w:r>
        <w:rPr>
          <w:spacing w:val="-4"/>
        </w:rPr>
        <w:t xml:space="preserve"> </w:t>
      </w:r>
      <w:r>
        <w:t>Department</w:t>
      </w:r>
      <w:r>
        <w:rPr>
          <w:spacing w:val="-7"/>
        </w:rPr>
        <w:t xml:space="preserve"> </w:t>
      </w:r>
      <w:r>
        <w:t>to</w:t>
      </w:r>
      <w:r>
        <w:rPr>
          <w:spacing w:val="-7"/>
        </w:rPr>
        <w:t xml:space="preserve"> </w:t>
      </w:r>
      <w:r>
        <w:t>identify all relevant LGBTQ homes across the state. Regardless, that list has only 21 homes identified for the entire state, several of which are either unable to take in new young people or are available for only limited purposes, such as sh</w:t>
      </w:r>
      <w:r>
        <w:t>ort-term stays.</w:t>
      </w:r>
      <w:r>
        <w:rPr>
          <w:spacing w:val="33"/>
        </w:rPr>
        <w:t xml:space="preserve"> </w:t>
      </w:r>
      <w:r>
        <w:t>DCF is currently developing the IT capacity in iFamilyNet to</w:t>
      </w:r>
      <w:r>
        <w:rPr>
          <w:spacing w:val="-7"/>
        </w:rPr>
        <w:t xml:space="preserve"> </w:t>
      </w:r>
      <w:r>
        <w:t>identify</w:t>
      </w:r>
      <w:r>
        <w:rPr>
          <w:spacing w:val="-5"/>
        </w:rPr>
        <w:t xml:space="preserve"> </w:t>
      </w:r>
      <w:r>
        <w:t>homes</w:t>
      </w:r>
      <w:r>
        <w:rPr>
          <w:spacing w:val="-6"/>
        </w:rPr>
        <w:t xml:space="preserve"> </w:t>
      </w:r>
      <w:r>
        <w:t>that</w:t>
      </w:r>
      <w:r>
        <w:rPr>
          <w:spacing w:val="-7"/>
        </w:rPr>
        <w:t xml:space="preserve"> </w:t>
      </w:r>
      <w:r>
        <w:t>have</w:t>
      </w:r>
      <w:r>
        <w:rPr>
          <w:spacing w:val="-8"/>
        </w:rPr>
        <w:t xml:space="preserve"> </w:t>
      </w:r>
      <w:r>
        <w:t>the</w:t>
      </w:r>
      <w:r>
        <w:rPr>
          <w:spacing w:val="-8"/>
        </w:rPr>
        <w:t xml:space="preserve"> </w:t>
      </w:r>
      <w:r>
        <w:t>interest</w:t>
      </w:r>
      <w:r>
        <w:rPr>
          <w:spacing w:val="-7"/>
        </w:rPr>
        <w:t xml:space="preserve"> </w:t>
      </w:r>
      <w:r>
        <w:t>and</w:t>
      </w:r>
      <w:r>
        <w:rPr>
          <w:spacing w:val="-7"/>
        </w:rPr>
        <w:t xml:space="preserve"> </w:t>
      </w:r>
      <w:r>
        <w:t>skill</w:t>
      </w:r>
      <w:r>
        <w:rPr>
          <w:spacing w:val="-8"/>
        </w:rPr>
        <w:t xml:space="preserve"> </w:t>
      </w:r>
      <w:r>
        <w:t>set</w:t>
      </w:r>
      <w:r>
        <w:rPr>
          <w:spacing w:val="-7"/>
        </w:rPr>
        <w:t xml:space="preserve"> </w:t>
      </w:r>
      <w:r>
        <w:t>to</w:t>
      </w:r>
      <w:r>
        <w:rPr>
          <w:spacing w:val="-7"/>
        </w:rPr>
        <w:t xml:space="preserve"> </w:t>
      </w:r>
      <w:r>
        <w:t>become</w:t>
      </w:r>
      <w:r>
        <w:rPr>
          <w:spacing w:val="-8"/>
        </w:rPr>
        <w:t xml:space="preserve"> </w:t>
      </w:r>
      <w:r>
        <w:t>affirming</w:t>
      </w:r>
      <w:r>
        <w:rPr>
          <w:spacing w:val="-7"/>
        </w:rPr>
        <w:t xml:space="preserve"> </w:t>
      </w:r>
      <w:r>
        <w:t>placements</w:t>
      </w:r>
      <w:r>
        <w:rPr>
          <w:spacing w:val="-7"/>
        </w:rPr>
        <w:t xml:space="preserve"> </w:t>
      </w:r>
      <w:r>
        <w:t>for</w:t>
      </w:r>
      <w:r>
        <w:rPr>
          <w:spacing w:val="-7"/>
        </w:rPr>
        <w:t xml:space="preserve"> </w:t>
      </w:r>
      <w:r>
        <w:t>LGBTQ</w:t>
      </w:r>
      <w:r>
        <w:rPr>
          <w:spacing w:val="-8"/>
        </w:rPr>
        <w:t xml:space="preserve"> </w:t>
      </w:r>
      <w:r>
        <w:t>youth (as well as other specialties) and this will launch in two parts (in November and December 2022) in conjunction</w:t>
      </w:r>
      <w:r>
        <w:rPr>
          <w:spacing w:val="-1"/>
        </w:rPr>
        <w:t xml:space="preserve"> </w:t>
      </w:r>
      <w:r>
        <w:t>with</w:t>
      </w:r>
      <w:r>
        <w:rPr>
          <w:spacing w:val="-3"/>
        </w:rPr>
        <w:t xml:space="preserve"> </w:t>
      </w:r>
      <w:r>
        <w:t>the</w:t>
      </w:r>
      <w:r>
        <w:rPr>
          <w:spacing w:val="-3"/>
        </w:rPr>
        <w:t xml:space="preserve"> </w:t>
      </w:r>
      <w:r>
        <w:t>new</w:t>
      </w:r>
      <w:r>
        <w:rPr>
          <w:spacing w:val="-1"/>
        </w:rPr>
        <w:t xml:space="preserve"> </w:t>
      </w:r>
      <w:r>
        <w:t>Family</w:t>
      </w:r>
      <w:r>
        <w:rPr>
          <w:spacing w:val="-1"/>
        </w:rPr>
        <w:t xml:space="preserve"> </w:t>
      </w:r>
      <w:r>
        <w:t>Resource</w:t>
      </w:r>
      <w:r>
        <w:rPr>
          <w:spacing w:val="-3"/>
        </w:rPr>
        <w:t xml:space="preserve"> </w:t>
      </w:r>
      <w:r>
        <w:t>Policy. While</w:t>
      </w:r>
      <w:r>
        <w:rPr>
          <w:spacing w:val="-2"/>
        </w:rPr>
        <w:t xml:space="preserve"> </w:t>
      </w:r>
      <w:r>
        <w:t>that</w:t>
      </w:r>
      <w:r>
        <w:rPr>
          <w:spacing w:val="-3"/>
        </w:rPr>
        <w:t xml:space="preserve"> </w:t>
      </w:r>
      <w:r>
        <w:t>is welcome</w:t>
      </w:r>
      <w:r>
        <w:rPr>
          <w:spacing w:val="-1"/>
        </w:rPr>
        <w:t xml:space="preserve"> </w:t>
      </w:r>
      <w:r>
        <w:t>news,</w:t>
      </w:r>
      <w:r>
        <w:rPr>
          <w:spacing w:val="-4"/>
        </w:rPr>
        <w:t xml:space="preserve"> </w:t>
      </w:r>
      <w:r>
        <w:t>the</w:t>
      </w:r>
      <w:r>
        <w:rPr>
          <w:spacing w:val="-3"/>
        </w:rPr>
        <w:t xml:space="preserve"> </w:t>
      </w:r>
      <w:r>
        <w:t>Commission</w:t>
      </w:r>
      <w:r>
        <w:rPr>
          <w:spacing w:val="-4"/>
        </w:rPr>
        <w:t xml:space="preserve"> </w:t>
      </w:r>
      <w:r>
        <w:t>urges DCF</w:t>
      </w:r>
      <w:r>
        <w:rPr>
          <w:spacing w:val="-13"/>
        </w:rPr>
        <w:t xml:space="preserve"> </w:t>
      </w:r>
      <w:r>
        <w:t>to</w:t>
      </w:r>
      <w:r>
        <w:rPr>
          <w:spacing w:val="-12"/>
        </w:rPr>
        <w:t xml:space="preserve"> </w:t>
      </w:r>
      <w:r>
        <w:t>find</w:t>
      </w:r>
      <w:r>
        <w:rPr>
          <w:spacing w:val="-13"/>
        </w:rPr>
        <w:t xml:space="preserve"> </w:t>
      </w:r>
      <w:r>
        <w:t>immediate</w:t>
      </w:r>
      <w:r>
        <w:rPr>
          <w:spacing w:val="-12"/>
        </w:rPr>
        <w:t xml:space="preserve"> </w:t>
      </w:r>
      <w:r>
        <w:t>ways</w:t>
      </w:r>
      <w:r>
        <w:rPr>
          <w:spacing w:val="-13"/>
        </w:rPr>
        <w:t xml:space="preserve"> </w:t>
      </w:r>
      <w:r>
        <w:t>to</w:t>
      </w:r>
      <w:r>
        <w:rPr>
          <w:spacing w:val="-12"/>
        </w:rPr>
        <w:t xml:space="preserve"> </w:t>
      </w:r>
      <w:r>
        <w:t>identify</w:t>
      </w:r>
      <w:r>
        <w:rPr>
          <w:spacing w:val="-13"/>
        </w:rPr>
        <w:t xml:space="preserve"> </w:t>
      </w:r>
      <w:r>
        <w:t>additional</w:t>
      </w:r>
      <w:r>
        <w:rPr>
          <w:spacing w:val="-12"/>
        </w:rPr>
        <w:t xml:space="preserve"> </w:t>
      </w:r>
      <w:r>
        <w:t>af</w:t>
      </w:r>
      <w:r>
        <w:t>firming</w:t>
      </w:r>
      <w:r>
        <w:rPr>
          <w:spacing w:val="-12"/>
        </w:rPr>
        <w:t xml:space="preserve"> </w:t>
      </w:r>
      <w:r>
        <w:t>homes</w:t>
      </w:r>
      <w:r>
        <w:rPr>
          <w:spacing w:val="-13"/>
        </w:rPr>
        <w:t xml:space="preserve"> </w:t>
      </w:r>
      <w:r>
        <w:t>-</w:t>
      </w:r>
      <w:r>
        <w:rPr>
          <w:spacing w:val="-12"/>
        </w:rPr>
        <w:t xml:space="preserve"> </w:t>
      </w:r>
      <w:r>
        <w:t>like</w:t>
      </w:r>
      <w:r>
        <w:rPr>
          <w:spacing w:val="-13"/>
        </w:rPr>
        <w:t xml:space="preserve"> </w:t>
      </w:r>
      <w:r>
        <w:t>encouraging</w:t>
      </w:r>
      <w:r>
        <w:rPr>
          <w:spacing w:val="-12"/>
        </w:rPr>
        <w:t xml:space="preserve"> </w:t>
      </w:r>
      <w:r>
        <w:t>all</w:t>
      </w:r>
      <w:r>
        <w:rPr>
          <w:spacing w:val="-13"/>
        </w:rPr>
        <w:t xml:space="preserve"> </w:t>
      </w:r>
      <w:r>
        <w:t>offices</w:t>
      </w:r>
      <w:r>
        <w:rPr>
          <w:spacing w:val="-12"/>
        </w:rPr>
        <w:t xml:space="preserve"> </w:t>
      </w:r>
      <w:r>
        <w:t>to</w:t>
      </w:r>
      <w:r>
        <w:rPr>
          <w:spacing w:val="-12"/>
        </w:rPr>
        <w:t xml:space="preserve"> </w:t>
      </w:r>
      <w:r>
        <w:t>share information</w:t>
      </w:r>
      <w:r>
        <w:rPr>
          <w:spacing w:val="-2"/>
        </w:rPr>
        <w:t xml:space="preserve"> </w:t>
      </w:r>
      <w:r>
        <w:t>for</w:t>
      </w:r>
      <w:r>
        <w:rPr>
          <w:spacing w:val="-1"/>
        </w:rPr>
        <w:t xml:space="preserve"> </w:t>
      </w:r>
      <w:r>
        <w:t>the</w:t>
      </w:r>
      <w:r>
        <w:rPr>
          <w:spacing w:val="-2"/>
        </w:rPr>
        <w:t xml:space="preserve"> </w:t>
      </w:r>
      <w:r>
        <w:t>Liaisons’</w:t>
      </w:r>
      <w:r>
        <w:rPr>
          <w:spacing w:val="-1"/>
        </w:rPr>
        <w:t xml:space="preserve"> </w:t>
      </w:r>
      <w:r>
        <w:t>central list. Youth</w:t>
      </w:r>
      <w:r>
        <w:rPr>
          <w:spacing w:val="-1"/>
        </w:rPr>
        <w:t xml:space="preserve"> </w:t>
      </w:r>
      <w:r>
        <w:t>cannot</w:t>
      </w:r>
      <w:r>
        <w:rPr>
          <w:spacing w:val="-2"/>
        </w:rPr>
        <w:t xml:space="preserve"> </w:t>
      </w:r>
      <w:r>
        <w:t>afford</w:t>
      </w:r>
      <w:r>
        <w:rPr>
          <w:spacing w:val="-2"/>
        </w:rPr>
        <w:t xml:space="preserve"> </w:t>
      </w:r>
      <w:r>
        <w:t>to</w:t>
      </w:r>
      <w:r>
        <w:rPr>
          <w:spacing w:val="-1"/>
        </w:rPr>
        <w:t xml:space="preserve"> </w:t>
      </w:r>
      <w:r>
        <w:t>wait</w:t>
      </w:r>
      <w:r>
        <w:rPr>
          <w:spacing w:val="-2"/>
        </w:rPr>
        <w:t xml:space="preserve"> </w:t>
      </w:r>
      <w:r>
        <w:t>another several</w:t>
      </w:r>
      <w:r>
        <w:rPr>
          <w:spacing w:val="-1"/>
        </w:rPr>
        <w:t xml:space="preserve"> </w:t>
      </w:r>
      <w:r>
        <w:t>months</w:t>
      </w:r>
      <w:r>
        <w:rPr>
          <w:spacing w:val="-1"/>
        </w:rPr>
        <w:t xml:space="preserve"> </w:t>
      </w:r>
      <w:r>
        <w:t>or</w:t>
      </w:r>
      <w:r>
        <w:rPr>
          <w:spacing w:val="-1"/>
        </w:rPr>
        <w:t xml:space="preserve"> </w:t>
      </w:r>
      <w:r>
        <w:t>more to obtain a supportive, respectful placement.</w:t>
      </w:r>
    </w:p>
    <w:p w:rsidR="00C76E6D" w:rsidRDefault="00C76E6D">
      <w:pPr>
        <w:pStyle w:val="BodyText"/>
        <w:spacing w:before="8"/>
        <w:rPr>
          <w:sz w:val="19"/>
        </w:rPr>
      </w:pPr>
    </w:p>
    <w:p w:rsidR="00C76E6D" w:rsidRDefault="00913831">
      <w:pPr>
        <w:pStyle w:val="Heading6"/>
        <w:numPr>
          <w:ilvl w:val="0"/>
          <w:numId w:val="17"/>
        </w:numPr>
        <w:tabs>
          <w:tab w:val="left" w:pos="812"/>
        </w:tabs>
        <w:ind w:left="811" w:hanging="335"/>
      </w:pPr>
      <w:bookmarkStart w:id="779" w:name="14._Improve_recruitment_of_LGBTQ_affirmi"/>
      <w:bookmarkEnd w:id="779"/>
      <w:r>
        <w:rPr>
          <w:w w:val="95"/>
        </w:rPr>
        <w:t>Improve</w:t>
      </w:r>
      <w:r>
        <w:rPr>
          <w:spacing w:val="14"/>
        </w:rPr>
        <w:t xml:space="preserve"> </w:t>
      </w:r>
      <w:r>
        <w:rPr>
          <w:w w:val="95"/>
        </w:rPr>
        <w:t>recruitment</w:t>
      </w:r>
      <w:r>
        <w:rPr>
          <w:spacing w:val="18"/>
        </w:rPr>
        <w:t xml:space="preserve"> </w:t>
      </w:r>
      <w:r>
        <w:rPr>
          <w:w w:val="95"/>
        </w:rPr>
        <w:t>of</w:t>
      </w:r>
      <w:r>
        <w:rPr>
          <w:spacing w:val="16"/>
        </w:rPr>
        <w:t xml:space="preserve"> </w:t>
      </w:r>
      <w:r>
        <w:rPr>
          <w:w w:val="95"/>
        </w:rPr>
        <w:t>LGBTQ</w:t>
      </w:r>
      <w:r>
        <w:rPr>
          <w:spacing w:val="15"/>
        </w:rPr>
        <w:t xml:space="preserve"> </w:t>
      </w:r>
      <w:r>
        <w:rPr>
          <w:w w:val="95"/>
        </w:rPr>
        <w:t>affirming</w:t>
      </w:r>
      <w:r>
        <w:rPr>
          <w:spacing w:val="14"/>
        </w:rPr>
        <w:t xml:space="preserve"> </w:t>
      </w:r>
      <w:r>
        <w:rPr>
          <w:w w:val="95"/>
        </w:rPr>
        <w:t>foster</w:t>
      </w:r>
      <w:r>
        <w:rPr>
          <w:spacing w:val="18"/>
        </w:rPr>
        <w:t xml:space="preserve"> </w:t>
      </w:r>
      <w:r>
        <w:rPr>
          <w:spacing w:val="-2"/>
          <w:w w:val="95"/>
        </w:rPr>
        <w:t>parents.</w:t>
      </w:r>
    </w:p>
    <w:p w:rsidR="00C76E6D" w:rsidRDefault="00C76E6D">
      <w:pPr>
        <w:pStyle w:val="BodyText"/>
        <w:spacing w:before="10"/>
        <w:rPr>
          <w:b/>
        </w:rPr>
      </w:pPr>
    </w:p>
    <w:p w:rsidR="00C76E6D" w:rsidRDefault="00913831">
      <w:pPr>
        <w:pStyle w:val="BodyText"/>
        <w:spacing w:line="276" w:lineRule="auto"/>
        <w:ind w:left="767" w:right="473"/>
        <w:jc w:val="both"/>
      </w:pPr>
      <w:r>
        <w:t>The Liaisons have worked for many years, in partnership with the Commission, to expand outreach and</w:t>
      </w:r>
      <w:r>
        <w:rPr>
          <w:spacing w:val="-3"/>
        </w:rPr>
        <w:t xml:space="preserve"> </w:t>
      </w:r>
      <w:r>
        <w:t>recruitment</w:t>
      </w:r>
      <w:r>
        <w:rPr>
          <w:spacing w:val="-3"/>
        </w:rPr>
        <w:t xml:space="preserve"> </w:t>
      </w:r>
      <w:r>
        <w:t>efforts</w:t>
      </w:r>
      <w:r>
        <w:rPr>
          <w:spacing w:val="-2"/>
        </w:rPr>
        <w:t xml:space="preserve"> </w:t>
      </w:r>
      <w:r>
        <w:t>to</w:t>
      </w:r>
      <w:r>
        <w:rPr>
          <w:spacing w:val="-2"/>
        </w:rPr>
        <w:t xml:space="preserve"> </w:t>
      </w:r>
      <w:r>
        <w:t>LGBTQ</w:t>
      </w:r>
      <w:r>
        <w:rPr>
          <w:spacing w:val="-3"/>
        </w:rPr>
        <w:t xml:space="preserve"> </w:t>
      </w:r>
      <w:r>
        <w:t>adults</w:t>
      </w:r>
      <w:r>
        <w:rPr>
          <w:spacing w:val="-3"/>
        </w:rPr>
        <w:t xml:space="preserve"> </w:t>
      </w:r>
      <w:r>
        <w:t>with</w:t>
      </w:r>
      <w:r>
        <w:rPr>
          <w:spacing w:val="-3"/>
        </w:rPr>
        <w:t xml:space="preserve"> </w:t>
      </w:r>
      <w:r>
        <w:t>an</w:t>
      </w:r>
      <w:r>
        <w:rPr>
          <w:spacing w:val="-3"/>
        </w:rPr>
        <w:t xml:space="preserve"> </w:t>
      </w:r>
      <w:r>
        <w:t>interest</w:t>
      </w:r>
      <w:r>
        <w:rPr>
          <w:spacing w:val="-4"/>
        </w:rPr>
        <w:t xml:space="preserve"> </w:t>
      </w:r>
      <w:r>
        <w:t>in</w:t>
      </w:r>
      <w:r>
        <w:rPr>
          <w:spacing w:val="-3"/>
        </w:rPr>
        <w:t xml:space="preserve"> </w:t>
      </w:r>
      <w:r>
        <w:t>serving</w:t>
      </w:r>
      <w:r>
        <w:rPr>
          <w:spacing w:val="-3"/>
        </w:rPr>
        <w:t xml:space="preserve"> </w:t>
      </w:r>
      <w:r>
        <w:t>as</w:t>
      </w:r>
      <w:r>
        <w:rPr>
          <w:spacing w:val="-3"/>
        </w:rPr>
        <w:t xml:space="preserve"> </w:t>
      </w:r>
      <w:r>
        <w:t>foster</w:t>
      </w:r>
      <w:r>
        <w:rPr>
          <w:spacing w:val="-4"/>
        </w:rPr>
        <w:t xml:space="preserve"> </w:t>
      </w:r>
      <w:r>
        <w:t>families.</w:t>
      </w:r>
      <w:r>
        <w:rPr>
          <w:spacing w:val="-3"/>
        </w:rPr>
        <w:t xml:space="preserve"> </w:t>
      </w:r>
      <w:r>
        <w:t>In</w:t>
      </w:r>
      <w:r>
        <w:rPr>
          <w:spacing w:val="-3"/>
        </w:rPr>
        <w:t xml:space="preserve"> </w:t>
      </w:r>
      <w:r>
        <w:t>its</w:t>
      </w:r>
      <w:r>
        <w:rPr>
          <w:spacing w:val="-1"/>
        </w:rPr>
        <w:t xml:space="preserve"> </w:t>
      </w:r>
      <w:r>
        <w:t>report,</w:t>
      </w:r>
      <w:r>
        <w:rPr>
          <w:spacing w:val="-3"/>
        </w:rPr>
        <w:t xml:space="preserve"> </w:t>
      </w:r>
      <w:r>
        <w:t>the Commission highlighted barriers for prospective LGBTQ foster or pre-adoptive parents that remain unaddressed. The Commission understands that DCF intends to improve identification and licensing for LGBTQ-affirming families through the rollout of the ne</w:t>
      </w:r>
      <w:r>
        <w:t>w Family Resource Policy and through the revised MAPP curriculum. The Commission encourages DCF to continue working together and to collaborate with outside subject matter experts well before any deadlines, to ensure that changes to these policies adequate</w:t>
      </w:r>
      <w:r>
        <w:t>ly address concerns for potential LGBTQ-affirming families.</w:t>
      </w:r>
    </w:p>
    <w:p w:rsidR="00C76E6D" w:rsidRDefault="00C76E6D">
      <w:pPr>
        <w:pStyle w:val="BodyText"/>
        <w:spacing w:before="8"/>
        <w:rPr>
          <w:sz w:val="19"/>
        </w:rPr>
      </w:pPr>
    </w:p>
    <w:p w:rsidR="00C76E6D" w:rsidRDefault="00913831">
      <w:pPr>
        <w:pStyle w:val="Heading6"/>
        <w:numPr>
          <w:ilvl w:val="0"/>
          <w:numId w:val="17"/>
        </w:numPr>
        <w:tabs>
          <w:tab w:val="left" w:pos="831"/>
        </w:tabs>
        <w:spacing w:line="276" w:lineRule="auto"/>
        <w:ind w:left="478" w:right="704" w:firstLine="0"/>
      </w:pPr>
      <w:bookmarkStart w:id="780" w:name="15._Create_Positions_for_LGBTQ_Regional_"/>
      <w:bookmarkEnd w:id="780"/>
      <w:r>
        <w:t>Create</w:t>
      </w:r>
      <w:r>
        <w:rPr>
          <w:spacing w:val="-3"/>
        </w:rPr>
        <w:t xml:space="preserve"> </w:t>
      </w:r>
      <w:r>
        <w:t>Positions</w:t>
      </w:r>
      <w:r>
        <w:rPr>
          <w:spacing w:val="-3"/>
        </w:rPr>
        <w:t xml:space="preserve"> </w:t>
      </w:r>
      <w:r>
        <w:t>for</w:t>
      </w:r>
      <w:r>
        <w:rPr>
          <w:spacing w:val="-3"/>
        </w:rPr>
        <w:t xml:space="preserve"> </w:t>
      </w:r>
      <w:r>
        <w:t>LGBTQ</w:t>
      </w:r>
      <w:r>
        <w:rPr>
          <w:spacing w:val="-3"/>
        </w:rPr>
        <w:t xml:space="preserve"> </w:t>
      </w:r>
      <w:r>
        <w:t>Regional</w:t>
      </w:r>
      <w:r>
        <w:rPr>
          <w:spacing w:val="-3"/>
        </w:rPr>
        <w:t xml:space="preserve"> </w:t>
      </w:r>
      <w:r>
        <w:t>Specialists</w:t>
      </w:r>
      <w:r>
        <w:rPr>
          <w:spacing w:val="-3"/>
        </w:rPr>
        <w:t xml:space="preserve"> </w:t>
      </w:r>
      <w:r>
        <w:t>and</w:t>
      </w:r>
      <w:r>
        <w:rPr>
          <w:spacing w:val="-4"/>
        </w:rPr>
        <w:t xml:space="preserve"> </w:t>
      </w:r>
      <w:r>
        <w:t>Add</w:t>
      </w:r>
      <w:r>
        <w:rPr>
          <w:spacing w:val="-3"/>
        </w:rPr>
        <w:t xml:space="preserve"> </w:t>
      </w:r>
      <w:r>
        <w:t>or</w:t>
      </w:r>
      <w:r>
        <w:rPr>
          <w:spacing w:val="-4"/>
        </w:rPr>
        <w:t xml:space="preserve"> </w:t>
      </w:r>
      <w:r>
        <w:t>Adjust</w:t>
      </w:r>
      <w:r>
        <w:rPr>
          <w:spacing w:val="-3"/>
        </w:rPr>
        <w:t xml:space="preserve"> </w:t>
      </w:r>
      <w:r>
        <w:t>Other</w:t>
      </w:r>
      <w:r>
        <w:rPr>
          <w:spacing w:val="-4"/>
        </w:rPr>
        <w:t xml:space="preserve"> </w:t>
      </w:r>
      <w:r>
        <w:t>Staff</w:t>
      </w:r>
      <w:r>
        <w:rPr>
          <w:spacing w:val="-4"/>
        </w:rPr>
        <w:t xml:space="preserve"> </w:t>
      </w:r>
      <w:r>
        <w:t>Responsibilities</w:t>
      </w:r>
      <w:r>
        <w:rPr>
          <w:spacing w:val="-3"/>
        </w:rPr>
        <w:t xml:space="preserve"> </w:t>
      </w:r>
      <w:r>
        <w:t>to Promote LGBTQ Equity</w:t>
      </w:r>
    </w:p>
    <w:p w:rsidR="00C76E6D" w:rsidRDefault="00C76E6D">
      <w:pPr>
        <w:pStyle w:val="BodyText"/>
        <w:spacing w:before="9"/>
        <w:rPr>
          <w:b/>
          <w:sz w:val="19"/>
        </w:rPr>
      </w:pPr>
    </w:p>
    <w:p w:rsidR="00C76E6D" w:rsidRDefault="00913831">
      <w:pPr>
        <w:pStyle w:val="BodyText"/>
        <w:spacing w:line="276" w:lineRule="auto"/>
        <w:ind w:left="766" w:right="474"/>
        <w:jc w:val="both"/>
      </w:pPr>
      <w:r>
        <w:t>The DCF LGBTQ Liaisons have served as an engine for change within DCF for years. However, the role of Liaison creates a significant workload outside of existing responsibilities. As early as 2013, the Commission recommended that Liaisons who engage in trai</w:t>
      </w:r>
      <w:r>
        <w:t>ning their colleagues receive a reduction in</w:t>
      </w:r>
      <w:r>
        <w:rPr>
          <w:spacing w:val="-8"/>
        </w:rPr>
        <w:t xml:space="preserve"> </w:t>
      </w:r>
      <w:r>
        <w:t>caseload</w:t>
      </w:r>
      <w:r>
        <w:rPr>
          <w:spacing w:val="-8"/>
        </w:rPr>
        <w:t xml:space="preserve"> </w:t>
      </w:r>
      <w:r>
        <w:t>to</w:t>
      </w:r>
      <w:r>
        <w:rPr>
          <w:spacing w:val="-7"/>
        </w:rPr>
        <w:t xml:space="preserve"> </w:t>
      </w:r>
      <w:r>
        <w:t>provide</w:t>
      </w:r>
      <w:r>
        <w:rPr>
          <w:spacing w:val="-8"/>
        </w:rPr>
        <w:t xml:space="preserve"> </w:t>
      </w:r>
      <w:r>
        <w:t>sufficient</w:t>
      </w:r>
      <w:r>
        <w:rPr>
          <w:spacing w:val="-8"/>
        </w:rPr>
        <w:t xml:space="preserve"> </w:t>
      </w:r>
      <w:r>
        <w:t>time</w:t>
      </w:r>
      <w:r>
        <w:rPr>
          <w:spacing w:val="-8"/>
        </w:rPr>
        <w:t xml:space="preserve"> </w:t>
      </w:r>
      <w:r>
        <w:t>for</w:t>
      </w:r>
      <w:r>
        <w:rPr>
          <w:spacing w:val="-9"/>
        </w:rPr>
        <w:t xml:space="preserve"> </w:t>
      </w:r>
      <w:r>
        <w:t>their</w:t>
      </w:r>
      <w:r>
        <w:rPr>
          <w:spacing w:val="-8"/>
        </w:rPr>
        <w:t xml:space="preserve"> </w:t>
      </w:r>
      <w:r>
        <w:t>work</w:t>
      </w:r>
      <w:r>
        <w:rPr>
          <w:spacing w:val="-8"/>
        </w:rPr>
        <w:t xml:space="preserve"> </w:t>
      </w:r>
      <w:r>
        <w:t>improving</w:t>
      </w:r>
      <w:r>
        <w:rPr>
          <w:spacing w:val="-8"/>
        </w:rPr>
        <w:t xml:space="preserve"> </w:t>
      </w:r>
      <w:r>
        <w:t>services</w:t>
      </w:r>
      <w:r>
        <w:rPr>
          <w:spacing w:val="-9"/>
        </w:rPr>
        <w:t xml:space="preserve"> </w:t>
      </w:r>
      <w:r>
        <w:t>for</w:t>
      </w:r>
      <w:r>
        <w:rPr>
          <w:spacing w:val="-8"/>
        </w:rPr>
        <w:t xml:space="preserve"> </w:t>
      </w:r>
      <w:r>
        <w:t>LGBTQ</w:t>
      </w:r>
      <w:r>
        <w:rPr>
          <w:spacing w:val="-9"/>
        </w:rPr>
        <w:t xml:space="preserve"> </w:t>
      </w:r>
      <w:r>
        <w:t>youth.</w:t>
      </w:r>
      <w:r>
        <w:rPr>
          <w:spacing w:val="-7"/>
        </w:rPr>
        <w:t xml:space="preserve"> </w:t>
      </w:r>
      <w:r>
        <w:t>Following</w:t>
      </w:r>
      <w:r>
        <w:rPr>
          <w:spacing w:val="-7"/>
        </w:rPr>
        <w:t xml:space="preserve"> </w:t>
      </w:r>
      <w:r>
        <w:t>the publication of the Commission’s report, DCF stated it had the funding to hire an LGBTQIA+ Director and LGBTQ s</w:t>
      </w:r>
      <w:r>
        <w:t>pecialists. As of now, DCF has posted and conducted interviews for an LGBTQ Director position</w:t>
      </w:r>
      <w:r>
        <w:rPr>
          <w:spacing w:val="-2"/>
        </w:rPr>
        <w:t xml:space="preserve"> </w:t>
      </w:r>
      <w:r>
        <w:t>and has committed</w:t>
      </w:r>
      <w:r>
        <w:rPr>
          <w:spacing w:val="-2"/>
        </w:rPr>
        <w:t xml:space="preserve"> </w:t>
      </w:r>
      <w:r>
        <w:t>to hiring two LGBTQ specialists.</w:t>
      </w:r>
      <w:r>
        <w:rPr>
          <w:spacing w:val="-1"/>
        </w:rPr>
        <w:t xml:space="preserve"> </w:t>
      </w:r>
      <w:r>
        <w:t>The</w:t>
      </w:r>
      <w:r>
        <w:rPr>
          <w:spacing w:val="-1"/>
        </w:rPr>
        <w:t xml:space="preserve"> </w:t>
      </w:r>
      <w:r>
        <w:t>Commission</w:t>
      </w:r>
      <w:r>
        <w:rPr>
          <w:spacing w:val="-1"/>
        </w:rPr>
        <w:t xml:space="preserve"> </w:t>
      </w:r>
      <w:r>
        <w:t>looks forward</w:t>
      </w:r>
      <w:r>
        <w:rPr>
          <w:spacing w:val="-2"/>
        </w:rPr>
        <w:t xml:space="preserve"> </w:t>
      </w:r>
      <w:r>
        <w:t>to seeing that position filled and urges DCF to post additional positions if staff</w:t>
      </w:r>
      <w:r>
        <w:t>ing levels prove inadequate. Additionally, the Commission continues to recommend that the Liaisons have their time recognized and, if needed, workload adjusted in order to permit them to continue working hard to ensure that LGBTQ youth in the child welfare</w:t>
      </w:r>
      <w:r>
        <w:t xml:space="preserve"> system do not slip through the cracks.</w:t>
      </w:r>
    </w:p>
    <w:p w:rsidR="00C76E6D" w:rsidRDefault="00C76E6D">
      <w:pPr>
        <w:pStyle w:val="BodyText"/>
        <w:spacing w:before="9"/>
        <w:rPr>
          <w:sz w:val="19"/>
        </w:rPr>
      </w:pPr>
    </w:p>
    <w:p w:rsidR="00C76E6D" w:rsidRDefault="00913831">
      <w:pPr>
        <w:pStyle w:val="Heading6"/>
        <w:numPr>
          <w:ilvl w:val="0"/>
          <w:numId w:val="17"/>
        </w:numPr>
        <w:tabs>
          <w:tab w:val="left" w:pos="812"/>
        </w:tabs>
        <w:ind w:left="811" w:hanging="335"/>
      </w:pPr>
      <w:bookmarkStart w:id="781" w:name="16._Promote_Youth_Rights_and_Voices"/>
      <w:bookmarkEnd w:id="781"/>
      <w:r>
        <w:rPr>
          <w:w w:val="95"/>
        </w:rPr>
        <w:t>Promote</w:t>
      </w:r>
      <w:r>
        <w:rPr>
          <w:spacing w:val="12"/>
        </w:rPr>
        <w:t xml:space="preserve"> </w:t>
      </w:r>
      <w:r>
        <w:rPr>
          <w:w w:val="95"/>
        </w:rPr>
        <w:t>Youth</w:t>
      </w:r>
      <w:r>
        <w:rPr>
          <w:spacing w:val="13"/>
        </w:rPr>
        <w:t xml:space="preserve"> </w:t>
      </w:r>
      <w:r>
        <w:rPr>
          <w:w w:val="95"/>
        </w:rPr>
        <w:t>Rights</w:t>
      </w:r>
      <w:r>
        <w:rPr>
          <w:spacing w:val="13"/>
        </w:rPr>
        <w:t xml:space="preserve"> </w:t>
      </w:r>
      <w:r>
        <w:rPr>
          <w:w w:val="95"/>
        </w:rPr>
        <w:t>and</w:t>
      </w:r>
      <w:r>
        <w:rPr>
          <w:spacing w:val="15"/>
        </w:rPr>
        <w:t xml:space="preserve"> </w:t>
      </w:r>
      <w:r>
        <w:rPr>
          <w:spacing w:val="-2"/>
          <w:w w:val="95"/>
        </w:rPr>
        <w:t>Voices</w:t>
      </w:r>
    </w:p>
    <w:p w:rsidR="00C76E6D" w:rsidRDefault="00C76E6D">
      <w:pPr>
        <w:pStyle w:val="BodyText"/>
        <w:spacing w:before="10"/>
        <w:rPr>
          <w:b/>
        </w:rPr>
      </w:pPr>
    </w:p>
    <w:p w:rsidR="00C76E6D" w:rsidRDefault="00913831">
      <w:pPr>
        <w:pStyle w:val="BodyText"/>
        <w:spacing w:line="276" w:lineRule="auto"/>
        <w:ind w:left="767" w:right="476" w:hanging="1"/>
        <w:jc w:val="both"/>
      </w:pPr>
      <w:r>
        <w:t>In</w:t>
      </w:r>
      <w:r>
        <w:rPr>
          <w:spacing w:val="-2"/>
        </w:rPr>
        <w:t xml:space="preserve"> </w:t>
      </w:r>
      <w:r>
        <w:t>its</w:t>
      </w:r>
      <w:r>
        <w:rPr>
          <w:spacing w:val="-1"/>
        </w:rPr>
        <w:t xml:space="preserve"> </w:t>
      </w:r>
      <w:r>
        <w:t>2021</w:t>
      </w:r>
      <w:r>
        <w:rPr>
          <w:spacing w:val="-1"/>
        </w:rPr>
        <w:t xml:space="preserve"> </w:t>
      </w:r>
      <w:r>
        <w:t>report,</w:t>
      </w:r>
      <w:r>
        <w:rPr>
          <w:spacing w:val="-3"/>
        </w:rPr>
        <w:t xml:space="preserve"> </w:t>
      </w:r>
      <w:r>
        <w:t>the</w:t>
      </w:r>
      <w:r>
        <w:rPr>
          <w:spacing w:val="-2"/>
        </w:rPr>
        <w:t xml:space="preserve"> </w:t>
      </w:r>
      <w:r>
        <w:t>Commission</w:t>
      </w:r>
      <w:r>
        <w:rPr>
          <w:spacing w:val="-2"/>
        </w:rPr>
        <w:t xml:space="preserve"> </w:t>
      </w:r>
      <w:r>
        <w:t>highlighted</w:t>
      </w:r>
      <w:r>
        <w:rPr>
          <w:spacing w:val="-2"/>
        </w:rPr>
        <w:t xml:space="preserve"> </w:t>
      </w:r>
      <w:r>
        <w:t>the</w:t>
      </w:r>
      <w:r>
        <w:rPr>
          <w:spacing w:val="-2"/>
        </w:rPr>
        <w:t xml:space="preserve"> </w:t>
      </w:r>
      <w:r>
        <w:t>importance</w:t>
      </w:r>
      <w:r>
        <w:rPr>
          <w:spacing w:val="-2"/>
        </w:rPr>
        <w:t xml:space="preserve"> </w:t>
      </w:r>
      <w:r>
        <w:t>of</w:t>
      </w:r>
      <w:r>
        <w:rPr>
          <w:spacing w:val="-3"/>
        </w:rPr>
        <w:t xml:space="preserve"> </w:t>
      </w:r>
      <w:r>
        <w:t>uplifting</w:t>
      </w:r>
      <w:r>
        <w:rPr>
          <w:spacing w:val="-2"/>
        </w:rPr>
        <w:t xml:space="preserve"> </w:t>
      </w:r>
      <w:r>
        <w:t>youth</w:t>
      </w:r>
      <w:r>
        <w:rPr>
          <w:spacing w:val="-2"/>
        </w:rPr>
        <w:t xml:space="preserve"> </w:t>
      </w:r>
      <w:r>
        <w:t>voices</w:t>
      </w:r>
      <w:r>
        <w:rPr>
          <w:spacing w:val="-1"/>
        </w:rPr>
        <w:t xml:space="preserve"> </w:t>
      </w:r>
      <w:r>
        <w:t>and</w:t>
      </w:r>
      <w:r>
        <w:rPr>
          <w:spacing w:val="-1"/>
        </w:rPr>
        <w:t xml:space="preserve"> </w:t>
      </w:r>
      <w:r>
        <w:t>a</w:t>
      </w:r>
      <w:r>
        <w:rPr>
          <w:spacing w:val="-1"/>
        </w:rPr>
        <w:t xml:space="preserve"> </w:t>
      </w:r>
      <w:r>
        <w:t>positive youth</w:t>
      </w:r>
      <w:r>
        <w:rPr>
          <w:spacing w:val="-6"/>
        </w:rPr>
        <w:t xml:space="preserve"> </w:t>
      </w:r>
      <w:r>
        <w:t>development</w:t>
      </w:r>
      <w:r>
        <w:rPr>
          <w:spacing w:val="-6"/>
        </w:rPr>
        <w:t xml:space="preserve"> </w:t>
      </w:r>
      <w:r>
        <w:t>model</w:t>
      </w:r>
      <w:r>
        <w:rPr>
          <w:spacing w:val="-5"/>
        </w:rPr>
        <w:t xml:space="preserve"> </w:t>
      </w:r>
      <w:r>
        <w:t>in</w:t>
      </w:r>
      <w:r>
        <w:rPr>
          <w:spacing w:val="-5"/>
        </w:rPr>
        <w:t xml:space="preserve"> </w:t>
      </w:r>
      <w:r>
        <w:t>connection</w:t>
      </w:r>
      <w:r>
        <w:rPr>
          <w:spacing w:val="-7"/>
        </w:rPr>
        <w:t xml:space="preserve"> </w:t>
      </w:r>
      <w:r>
        <w:t>with</w:t>
      </w:r>
      <w:r>
        <w:rPr>
          <w:spacing w:val="-6"/>
        </w:rPr>
        <w:t xml:space="preserve"> </w:t>
      </w:r>
      <w:r>
        <w:t>efforts</w:t>
      </w:r>
      <w:r>
        <w:rPr>
          <w:spacing w:val="-6"/>
        </w:rPr>
        <w:t xml:space="preserve"> </w:t>
      </w:r>
      <w:r>
        <w:t>to</w:t>
      </w:r>
      <w:r>
        <w:rPr>
          <w:spacing w:val="-6"/>
        </w:rPr>
        <w:t xml:space="preserve"> </w:t>
      </w:r>
      <w:r>
        <w:t>improve</w:t>
      </w:r>
      <w:r>
        <w:rPr>
          <w:spacing w:val="-7"/>
        </w:rPr>
        <w:t xml:space="preserve"> </w:t>
      </w:r>
      <w:r>
        <w:t>services</w:t>
      </w:r>
      <w:r>
        <w:rPr>
          <w:spacing w:val="-6"/>
        </w:rPr>
        <w:t xml:space="preserve"> </w:t>
      </w:r>
      <w:r>
        <w:t>for</w:t>
      </w:r>
      <w:r>
        <w:rPr>
          <w:spacing w:val="-6"/>
        </w:rPr>
        <w:t xml:space="preserve"> </w:t>
      </w:r>
      <w:r>
        <w:t>LGBTQ</w:t>
      </w:r>
      <w:r>
        <w:rPr>
          <w:spacing w:val="-7"/>
        </w:rPr>
        <w:t xml:space="preserve"> </w:t>
      </w:r>
      <w:r>
        <w:t>youth.</w:t>
      </w:r>
      <w:r>
        <w:rPr>
          <w:spacing w:val="-6"/>
        </w:rPr>
        <w:t xml:space="preserve"> </w:t>
      </w:r>
      <w:r>
        <w:t>In</w:t>
      </w:r>
      <w:r>
        <w:rPr>
          <w:spacing w:val="-5"/>
        </w:rPr>
        <w:t xml:space="preserve"> </w:t>
      </w:r>
      <w:r>
        <w:t>the</w:t>
      </w:r>
      <w:r>
        <w:rPr>
          <w:spacing w:val="-6"/>
        </w:rPr>
        <w:t xml:space="preserve"> </w:t>
      </w:r>
      <w:r>
        <w:t>past year,</w:t>
      </w:r>
      <w:r>
        <w:rPr>
          <w:spacing w:val="-7"/>
        </w:rPr>
        <w:t xml:space="preserve"> </w:t>
      </w:r>
      <w:r>
        <w:t>the</w:t>
      </w:r>
      <w:r>
        <w:rPr>
          <w:spacing w:val="-7"/>
        </w:rPr>
        <w:t xml:space="preserve"> </w:t>
      </w:r>
      <w:r>
        <w:t>Commission</w:t>
      </w:r>
      <w:r>
        <w:rPr>
          <w:spacing w:val="-8"/>
        </w:rPr>
        <w:t xml:space="preserve"> </w:t>
      </w:r>
      <w:r>
        <w:t>was</w:t>
      </w:r>
      <w:r>
        <w:rPr>
          <w:spacing w:val="-7"/>
        </w:rPr>
        <w:t xml:space="preserve"> </w:t>
      </w:r>
      <w:r>
        <w:t>pleased</w:t>
      </w:r>
      <w:r>
        <w:rPr>
          <w:spacing w:val="-7"/>
        </w:rPr>
        <w:t xml:space="preserve"> </w:t>
      </w:r>
      <w:r>
        <w:t>to</w:t>
      </w:r>
      <w:r>
        <w:rPr>
          <w:spacing w:val="-7"/>
        </w:rPr>
        <w:t xml:space="preserve"> </w:t>
      </w:r>
      <w:r>
        <w:t>see</w:t>
      </w:r>
      <w:r>
        <w:rPr>
          <w:spacing w:val="-7"/>
        </w:rPr>
        <w:t xml:space="preserve"> </w:t>
      </w:r>
      <w:r>
        <w:t>that</w:t>
      </w:r>
      <w:r>
        <w:rPr>
          <w:spacing w:val="-7"/>
        </w:rPr>
        <w:t xml:space="preserve"> </w:t>
      </w:r>
      <w:r>
        <w:t>the</w:t>
      </w:r>
      <w:r>
        <w:rPr>
          <w:spacing w:val="-7"/>
        </w:rPr>
        <w:t xml:space="preserve"> </w:t>
      </w:r>
      <w:r>
        <w:t>foster</w:t>
      </w:r>
      <w:r>
        <w:rPr>
          <w:spacing w:val="-7"/>
        </w:rPr>
        <w:t xml:space="preserve"> </w:t>
      </w:r>
      <w:r>
        <w:t>child</w:t>
      </w:r>
      <w:r>
        <w:rPr>
          <w:spacing w:val="-6"/>
        </w:rPr>
        <w:t xml:space="preserve"> </w:t>
      </w:r>
      <w:r>
        <w:t>bill</w:t>
      </w:r>
      <w:r>
        <w:rPr>
          <w:spacing w:val="-5"/>
        </w:rPr>
        <w:t xml:space="preserve"> </w:t>
      </w:r>
      <w:r>
        <w:t>of</w:t>
      </w:r>
      <w:r>
        <w:rPr>
          <w:spacing w:val="-8"/>
        </w:rPr>
        <w:t xml:space="preserve"> </w:t>
      </w:r>
      <w:r>
        <w:t>rights</w:t>
      </w:r>
      <w:r>
        <w:rPr>
          <w:spacing w:val="-6"/>
        </w:rPr>
        <w:t xml:space="preserve"> </w:t>
      </w:r>
      <w:r>
        <w:t>is</w:t>
      </w:r>
      <w:r>
        <w:rPr>
          <w:spacing w:val="-7"/>
        </w:rPr>
        <w:t xml:space="preserve"> </w:t>
      </w:r>
      <w:r>
        <w:t>now</w:t>
      </w:r>
      <w:r>
        <w:rPr>
          <w:spacing w:val="-8"/>
        </w:rPr>
        <w:t xml:space="preserve"> </w:t>
      </w:r>
      <w:r>
        <w:t>accessible</w:t>
      </w:r>
      <w:r>
        <w:rPr>
          <w:spacing w:val="-5"/>
        </w:rPr>
        <w:t xml:space="preserve"> </w:t>
      </w:r>
      <w:r>
        <w:t>online</w:t>
      </w:r>
      <w:r>
        <w:rPr>
          <w:spacing w:val="-9"/>
        </w:rPr>
        <w:t xml:space="preserve"> </w:t>
      </w:r>
      <w:r>
        <w:t>and</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767" w:right="474"/>
        <w:jc w:val="both"/>
      </w:pPr>
      <w:r>
        <w:t>provided</w:t>
      </w:r>
      <w:r>
        <w:rPr>
          <w:spacing w:val="-13"/>
        </w:rPr>
        <w:t xml:space="preserve"> </w:t>
      </w:r>
      <w:r>
        <w:t>to</w:t>
      </w:r>
      <w:r>
        <w:rPr>
          <w:spacing w:val="-12"/>
        </w:rPr>
        <w:t xml:space="preserve"> </w:t>
      </w:r>
      <w:r>
        <w:t>older</w:t>
      </w:r>
      <w:r>
        <w:rPr>
          <w:spacing w:val="-13"/>
        </w:rPr>
        <w:t xml:space="preserve"> </w:t>
      </w:r>
      <w:r>
        <w:t>youth</w:t>
      </w:r>
      <w:r>
        <w:rPr>
          <w:spacing w:val="-12"/>
        </w:rPr>
        <w:t xml:space="preserve"> </w:t>
      </w:r>
      <w:r>
        <w:t>in</w:t>
      </w:r>
      <w:r>
        <w:rPr>
          <w:spacing w:val="-13"/>
        </w:rPr>
        <w:t xml:space="preserve"> </w:t>
      </w:r>
      <w:r>
        <w:t>care,</w:t>
      </w:r>
      <w:r>
        <w:rPr>
          <w:spacing w:val="-12"/>
        </w:rPr>
        <w:t xml:space="preserve"> </w:t>
      </w:r>
      <w:r>
        <w:t>and</w:t>
      </w:r>
      <w:r>
        <w:rPr>
          <w:spacing w:val="-13"/>
        </w:rPr>
        <w:t xml:space="preserve"> </w:t>
      </w:r>
      <w:r>
        <w:t>to</w:t>
      </w:r>
      <w:r>
        <w:rPr>
          <w:spacing w:val="-12"/>
        </w:rPr>
        <w:t xml:space="preserve"> </w:t>
      </w:r>
      <w:r>
        <w:t>hear</w:t>
      </w:r>
      <w:r>
        <w:rPr>
          <w:spacing w:val="-12"/>
        </w:rPr>
        <w:t xml:space="preserve"> </w:t>
      </w:r>
      <w:r>
        <w:t>that</w:t>
      </w:r>
      <w:r>
        <w:rPr>
          <w:spacing w:val="-13"/>
        </w:rPr>
        <w:t xml:space="preserve"> </w:t>
      </w:r>
      <w:r>
        <w:t>five</w:t>
      </w:r>
      <w:r>
        <w:rPr>
          <w:spacing w:val="-12"/>
        </w:rPr>
        <w:t xml:space="preserve"> </w:t>
      </w:r>
      <w:r>
        <w:t>youth</w:t>
      </w:r>
      <w:r>
        <w:rPr>
          <w:spacing w:val="-12"/>
        </w:rPr>
        <w:t xml:space="preserve"> </w:t>
      </w:r>
      <w:r>
        <w:t>advisory</w:t>
      </w:r>
      <w:r>
        <w:rPr>
          <w:spacing w:val="-13"/>
        </w:rPr>
        <w:t xml:space="preserve"> </w:t>
      </w:r>
      <w:r>
        <w:t>boards</w:t>
      </w:r>
      <w:r>
        <w:rPr>
          <w:spacing w:val="-12"/>
        </w:rPr>
        <w:t xml:space="preserve"> </w:t>
      </w:r>
      <w:r>
        <w:t>remain</w:t>
      </w:r>
      <w:r>
        <w:rPr>
          <w:spacing w:val="-13"/>
        </w:rPr>
        <w:t xml:space="preserve"> </w:t>
      </w:r>
      <w:r>
        <w:t>active.</w:t>
      </w:r>
      <w:r>
        <w:rPr>
          <w:spacing w:val="-12"/>
        </w:rPr>
        <w:t xml:space="preserve"> </w:t>
      </w:r>
      <w:r>
        <w:t>Additionally, DCF</w:t>
      </w:r>
      <w:r>
        <w:rPr>
          <w:spacing w:val="-4"/>
        </w:rPr>
        <w:t xml:space="preserve"> </w:t>
      </w:r>
      <w:r>
        <w:t>has</w:t>
      </w:r>
      <w:r>
        <w:rPr>
          <w:spacing w:val="-4"/>
        </w:rPr>
        <w:t xml:space="preserve"> </w:t>
      </w:r>
      <w:r>
        <w:t>announced</w:t>
      </w:r>
      <w:r>
        <w:rPr>
          <w:spacing w:val="-3"/>
        </w:rPr>
        <w:t xml:space="preserve"> </w:t>
      </w:r>
      <w:r>
        <w:t>that</w:t>
      </w:r>
      <w:r>
        <w:rPr>
          <w:spacing w:val="-3"/>
        </w:rPr>
        <w:t xml:space="preserve"> </w:t>
      </w:r>
      <w:r>
        <w:t>it</w:t>
      </w:r>
      <w:r>
        <w:rPr>
          <w:spacing w:val="-3"/>
        </w:rPr>
        <w:t xml:space="preserve"> </w:t>
      </w:r>
      <w:r>
        <w:t>plans</w:t>
      </w:r>
      <w:r>
        <w:rPr>
          <w:spacing w:val="-4"/>
        </w:rPr>
        <w:t xml:space="preserve"> </w:t>
      </w:r>
      <w:r>
        <w:t>for</w:t>
      </w:r>
      <w:r>
        <w:rPr>
          <w:spacing w:val="-4"/>
        </w:rPr>
        <w:t xml:space="preserve"> </w:t>
      </w:r>
      <w:r>
        <w:t>youth</w:t>
      </w:r>
      <w:r>
        <w:rPr>
          <w:spacing w:val="-4"/>
        </w:rPr>
        <w:t xml:space="preserve"> </w:t>
      </w:r>
      <w:r>
        <w:t>in</w:t>
      </w:r>
      <w:r>
        <w:rPr>
          <w:spacing w:val="-2"/>
        </w:rPr>
        <w:t xml:space="preserve"> </w:t>
      </w:r>
      <w:r>
        <w:t>care</w:t>
      </w:r>
      <w:r>
        <w:rPr>
          <w:spacing w:val="-4"/>
        </w:rPr>
        <w:t xml:space="preserve"> </w:t>
      </w:r>
      <w:r>
        <w:t>and</w:t>
      </w:r>
      <w:r>
        <w:rPr>
          <w:spacing w:val="-3"/>
        </w:rPr>
        <w:t xml:space="preserve"> </w:t>
      </w:r>
      <w:r>
        <w:t>youth</w:t>
      </w:r>
      <w:r>
        <w:rPr>
          <w:spacing w:val="-3"/>
        </w:rPr>
        <w:t xml:space="preserve"> </w:t>
      </w:r>
      <w:r>
        <w:t>with</w:t>
      </w:r>
      <w:r>
        <w:rPr>
          <w:spacing w:val="-3"/>
        </w:rPr>
        <w:t xml:space="preserve"> </w:t>
      </w:r>
      <w:r>
        <w:t>a</w:t>
      </w:r>
      <w:r>
        <w:rPr>
          <w:spacing w:val="-1"/>
        </w:rPr>
        <w:t xml:space="preserve"> </w:t>
      </w:r>
      <w:r>
        <w:t>history</w:t>
      </w:r>
      <w:r>
        <w:rPr>
          <w:spacing w:val="-4"/>
        </w:rPr>
        <w:t xml:space="preserve"> </w:t>
      </w:r>
      <w:r>
        <w:t>of</w:t>
      </w:r>
      <w:r>
        <w:rPr>
          <w:spacing w:val="-4"/>
        </w:rPr>
        <w:t xml:space="preserve"> </w:t>
      </w:r>
      <w:r>
        <w:t>DCF</w:t>
      </w:r>
      <w:r>
        <w:rPr>
          <w:spacing w:val="-4"/>
        </w:rPr>
        <w:t xml:space="preserve"> </w:t>
      </w:r>
      <w:r>
        <w:t>involvement</w:t>
      </w:r>
      <w:r>
        <w:rPr>
          <w:spacing w:val="-4"/>
        </w:rPr>
        <w:t xml:space="preserve"> </w:t>
      </w:r>
      <w:r>
        <w:t>to</w:t>
      </w:r>
      <w:r>
        <w:rPr>
          <w:spacing w:val="-2"/>
        </w:rPr>
        <w:t xml:space="preserve"> </w:t>
      </w:r>
      <w:r>
        <w:t>play a significant role in updating the Guide. The Commission recommends that DCF ensure that LGBTQ youth have access to the Advisory Boards and other opportuniti</w:t>
      </w:r>
      <w:r>
        <w:t>es to provide feedback. The Commission</w:t>
      </w:r>
      <w:r>
        <w:rPr>
          <w:spacing w:val="-3"/>
        </w:rPr>
        <w:t xml:space="preserve"> </w:t>
      </w:r>
      <w:r>
        <w:t>looks</w:t>
      </w:r>
      <w:r>
        <w:rPr>
          <w:spacing w:val="-2"/>
        </w:rPr>
        <w:t xml:space="preserve"> </w:t>
      </w:r>
      <w:r>
        <w:t>forward</w:t>
      </w:r>
      <w:r>
        <w:rPr>
          <w:spacing w:val="-3"/>
        </w:rPr>
        <w:t xml:space="preserve"> </w:t>
      </w:r>
      <w:r>
        <w:t>to</w:t>
      </w:r>
      <w:r>
        <w:rPr>
          <w:spacing w:val="-2"/>
        </w:rPr>
        <w:t xml:space="preserve"> </w:t>
      </w:r>
      <w:r>
        <w:t>further</w:t>
      </w:r>
      <w:r>
        <w:rPr>
          <w:spacing w:val="-2"/>
        </w:rPr>
        <w:t xml:space="preserve"> </w:t>
      </w:r>
      <w:r>
        <w:t>collaboration</w:t>
      </w:r>
      <w:r>
        <w:rPr>
          <w:spacing w:val="-3"/>
        </w:rPr>
        <w:t xml:space="preserve"> </w:t>
      </w:r>
      <w:r>
        <w:t>with</w:t>
      </w:r>
      <w:r>
        <w:rPr>
          <w:spacing w:val="-3"/>
        </w:rPr>
        <w:t xml:space="preserve"> </w:t>
      </w:r>
      <w:r>
        <w:t>DCF</w:t>
      </w:r>
      <w:r>
        <w:rPr>
          <w:spacing w:val="-2"/>
        </w:rPr>
        <w:t xml:space="preserve"> </w:t>
      </w:r>
      <w:r>
        <w:t>on</w:t>
      </w:r>
      <w:r>
        <w:rPr>
          <w:spacing w:val="-2"/>
        </w:rPr>
        <w:t xml:space="preserve"> </w:t>
      </w:r>
      <w:r>
        <w:t>ways</w:t>
      </w:r>
      <w:r>
        <w:rPr>
          <w:spacing w:val="-3"/>
        </w:rPr>
        <w:t xml:space="preserve"> </w:t>
      </w:r>
      <w:r>
        <w:t>to</w:t>
      </w:r>
      <w:r>
        <w:rPr>
          <w:spacing w:val="-2"/>
        </w:rPr>
        <w:t xml:space="preserve"> </w:t>
      </w:r>
      <w:r>
        <w:t>support</w:t>
      </w:r>
      <w:r>
        <w:rPr>
          <w:spacing w:val="-3"/>
        </w:rPr>
        <w:t xml:space="preserve"> </w:t>
      </w:r>
      <w:r>
        <w:t>LGBTQ</w:t>
      </w:r>
      <w:r>
        <w:rPr>
          <w:spacing w:val="-2"/>
        </w:rPr>
        <w:t xml:space="preserve"> </w:t>
      </w:r>
      <w:r>
        <w:t>young</w:t>
      </w:r>
      <w:r>
        <w:rPr>
          <w:spacing w:val="-3"/>
        </w:rPr>
        <w:t xml:space="preserve"> </w:t>
      </w:r>
      <w:r>
        <w:t>people who are aging out of the system.</w:t>
      </w:r>
    </w:p>
    <w:p w:rsidR="00C76E6D" w:rsidRDefault="00C76E6D">
      <w:pPr>
        <w:pStyle w:val="BodyText"/>
        <w:rPr>
          <w:sz w:val="20"/>
        </w:rPr>
      </w:pPr>
    </w:p>
    <w:p w:rsidR="00C76E6D" w:rsidRDefault="00C76E6D">
      <w:pPr>
        <w:pStyle w:val="BodyText"/>
        <w:rPr>
          <w:sz w:val="20"/>
        </w:rPr>
      </w:pPr>
    </w:p>
    <w:p w:rsidR="00C76E6D" w:rsidRDefault="00913831">
      <w:pPr>
        <w:pStyle w:val="BodyText"/>
        <w:spacing w:before="9"/>
        <w:rPr>
          <w:sz w:val="18"/>
        </w:rPr>
      </w:pPr>
      <w:r>
        <w:pict>
          <v:shape id="docshape356" o:spid="_x0000_s1108" style="position:absolute;margin-left:70.6pt;margin-top:12.65pt;width:470.95pt;height:.1pt;z-index:-15659520;mso-wrap-distance-left:0;mso-wrap-distance-right:0;mso-position-horizontal-relative:page" coordorigin="1412,253" coordsize="9419,0" path="m1412,253r9419,e" filled="f" strokeweight="1.54pt">
            <v:path arrowok="t"/>
            <w10:wrap type="topAndBottom" anchorx="page"/>
          </v:shape>
        </w:pict>
      </w:r>
    </w:p>
    <w:p w:rsidR="00C76E6D" w:rsidRDefault="00C76E6D">
      <w:pPr>
        <w:pStyle w:val="BodyText"/>
        <w:spacing w:before="10"/>
      </w:pPr>
    </w:p>
    <w:p w:rsidR="00C76E6D" w:rsidRDefault="00913831">
      <w:pPr>
        <w:pStyle w:val="Heading6"/>
        <w:ind w:left="3683" w:right="3683"/>
        <w:jc w:val="center"/>
      </w:pPr>
      <w:r>
        <w:rPr>
          <w:spacing w:val="-2"/>
        </w:rPr>
        <w:t>ENDNOTES</w:t>
      </w:r>
    </w:p>
    <w:p w:rsidR="00C76E6D" w:rsidRDefault="00913831">
      <w:pPr>
        <w:pStyle w:val="BodyText"/>
        <w:spacing w:before="11"/>
        <w:rPr>
          <w:b/>
        </w:rPr>
      </w:pPr>
      <w:r>
        <w:pict>
          <v:shape id="docshape357" o:spid="_x0000_s1107" style="position:absolute;margin-left:70.6pt;margin-top:15.2pt;width:470.95pt;height:.1pt;z-index:-15659008;mso-wrap-distance-left:0;mso-wrap-distance-right:0;mso-position-horizontal-relative:page" coordorigin="1412,304" coordsize="9419,0" path="m1412,304r9419,e" filled="f" strokeweight="1.54pt">
            <v:path arrowok="t"/>
            <w10:wrap type="topAndBottom" anchorx="page"/>
          </v:shape>
        </w:pict>
      </w:r>
    </w:p>
    <w:p w:rsidR="00C76E6D" w:rsidRDefault="00C76E6D">
      <w:pPr>
        <w:pStyle w:val="BodyText"/>
        <w:spacing w:before="6"/>
        <w:rPr>
          <w:b/>
          <w:sz w:val="20"/>
        </w:rPr>
      </w:pPr>
    </w:p>
    <w:p w:rsidR="00C76E6D" w:rsidRDefault="00913831">
      <w:pPr>
        <w:tabs>
          <w:tab w:val="left" w:pos="4102"/>
        </w:tabs>
        <w:spacing w:line="276" w:lineRule="auto"/>
        <w:ind w:left="479" w:right="846" w:hanging="1"/>
        <w:rPr>
          <w:i/>
        </w:rPr>
      </w:pPr>
      <w:r>
        <w:rPr>
          <w:i/>
        </w:rPr>
        <w:t>Acknowledgments:</w:t>
      </w:r>
      <w:r>
        <w:rPr>
          <w:i/>
          <w:spacing w:val="40"/>
        </w:rPr>
        <w:t xml:space="preserve"> </w:t>
      </w:r>
      <w:r>
        <w:rPr>
          <w:i/>
        </w:rPr>
        <w:t>Hannah</w:t>
      </w:r>
      <w:r>
        <w:rPr>
          <w:i/>
          <w:spacing w:val="40"/>
        </w:rPr>
        <w:t xml:space="preserve"> </w:t>
      </w:r>
      <w:r>
        <w:rPr>
          <w:i/>
        </w:rPr>
        <w:t>Hussey,</w:t>
      </w:r>
      <w:r>
        <w:rPr>
          <w:i/>
        </w:rPr>
        <w:tab/>
        <w:t>lead</w:t>
      </w:r>
      <w:r>
        <w:rPr>
          <w:i/>
          <w:spacing w:val="40"/>
        </w:rPr>
        <w:t xml:space="preserve"> </w:t>
      </w:r>
      <w:r>
        <w:rPr>
          <w:i/>
        </w:rPr>
        <w:t>researcher,</w:t>
      </w:r>
      <w:r>
        <w:rPr>
          <w:i/>
          <w:spacing w:val="40"/>
        </w:rPr>
        <w:t xml:space="preserve"> </w:t>
      </w:r>
      <w:r>
        <w:rPr>
          <w:i/>
        </w:rPr>
        <w:t>and</w:t>
      </w:r>
      <w:r>
        <w:rPr>
          <w:i/>
          <w:spacing w:val="40"/>
        </w:rPr>
        <w:t xml:space="preserve"> </w:t>
      </w:r>
      <w:r>
        <w:rPr>
          <w:i/>
        </w:rPr>
        <w:t>writer;</w:t>
      </w:r>
      <w:r>
        <w:rPr>
          <w:i/>
          <w:spacing w:val="40"/>
        </w:rPr>
        <w:t xml:space="preserve"> </w:t>
      </w:r>
      <w:r>
        <w:rPr>
          <w:i/>
        </w:rPr>
        <w:t>editing</w:t>
      </w:r>
      <w:r>
        <w:rPr>
          <w:i/>
          <w:spacing w:val="40"/>
        </w:rPr>
        <w:t xml:space="preserve"> </w:t>
      </w:r>
      <w:r>
        <w:rPr>
          <w:i/>
        </w:rPr>
        <w:t>and</w:t>
      </w:r>
      <w:r>
        <w:rPr>
          <w:i/>
          <w:spacing w:val="40"/>
        </w:rPr>
        <w:t xml:space="preserve"> </w:t>
      </w:r>
      <w:r>
        <w:rPr>
          <w:i/>
        </w:rPr>
        <w:t>proofreading</w:t>
      </w:r>
      <w:r>
        <w:rPr>
          <w:i/>
          <w:spacing w:val="40"/>
        </w:rPr>
        <w:t xml:space="preserve"> </w:t>
      </w:r>
      <w:r>
        <w:rPr>
          <w:i/>
        </w:rPr>
        <w:t>by</w:t>
      </w:r>
      <w:r>
        <w:rPr>
          <w:i/>
          <w:spacing w:val="80"/>
        </w:rPr>
        <w:t xml:space="preserve"> </w:t>
      </w:r>
      <w:r>
        <w:rPr>
          <w:i/>
        </w:rPr>
        <w:t>Massachusetts Commission on LGBTQ Youth staff</w:t>
      </w:r>
    </w:p>
    <w:p w:rsidR="00C76E6D" w:rsidRDefault="00C76E6D">
      <w:pPr>
        <w:pStyle w:val="BodyText"/>
        <w:spacing w:before="8"/>
        <w:rPr>
          <w:i/>
          <w:sz w:val="25"/>
        </w:rPr>
      </w:pPr>
    </w:p>
    <w:p w:rsidR="00C76E6D" w:rsidRDefault="00913831">
      <w:pPr>
        <w:spacing w:before="1" w:line="244" w:lineRule="exact"/>
        <w:ind w:left="480"/>
        <w:rPr>
          <w:sz w:val="20"/>
        </w:rPr>
      </w:pPr>
      <w:r>
        <w:rPr>
          <w:spacing w:val="-2"/>
          <w:sz w:val="20"/>
          <w:vertAlign w:val="superscript"/>
        </w:rPr>
        <w:t>1</w:t>
      </w:r>
      <w:r>
        <w:rPr>
          <w:spacing w:val="26"/>
          <w:sz w:val="20"/>
        </w:rPr>
        <w:t xml:space="preserve"> </w:t>
      </w:r>
      <w:r>
        <w:rPr>
          <w:spacing w:val="-2"/>
          <w:sz w:val="20"/>
        </w:rPr>
        <w:t>https://</w:t>
      </w:r>
      <w:hyperlink r:id="rId397">
        <w:r>
          <w:rPr>
            <w:spacing w:val="-2"/>
            <w:sz w:val="20"/>
          </w:rPr>
          <w:t>www.mass.gov/doc/commission-report-on-dcf/download</w:t>
        </w:r>
      </w:hyperlink>
    </w:p>
    <w:p w:rsidR="00C76E6D" w:rsidRDefault="00913831">
      <w:pPr>
        <w:spacing w:line="244" w:lineRule="exact"/>
        <w:ind w:left="480"/>
        <w:rPr>
          <w:sz w:val="20"/>
        </w:rPr>
      </w:pPr>
      <w:r>
        <w:rPr>
          <w:sz w:val="20"/>
          <w:vertAlign w:val="superscript"/>
        </w:rPr>
        <w:t>2</w:t>
      </w:r>
      <w:r>
        <w:rPr>
          <w:spacing w:val="-4"/>
          <w:sz w:val="20"/>
        </w:rPr>
        <w:t xml:space="preserve"> </w:t>
      </w:r>
      <w:r>
        <w:rPr>
          <w:sz w:val="20"/>
        </w:rPr>
        <w:t>Report</w:t>
      </w:r>
      <w:r>
        <w:rPr>
          <w:spacing w:val="-5"/>
          <w:sz w:val="20"/>
        </w:rPr>
        <w:t xml:space="preserve"> </w:t>
      </w:r>
      <w:r>
        <w:rPr>
          <w:sz w:val="20"/>
        </w:rPr>
        <w:t>at</w:t>
      </w:r>
      <w:r>
        <w:rPr>
          <w:spacing w:val="-4"/>
          <w:sz w:val="20"/>
        </w:rPr>
        <w:t xml:space="preserve"> </w:t>
      </w:r>
      <w:r>
        <w:rPr>
          <w:spacing w:val="-10"/>
          <w:sz w:val="20"/>
        </w:rPr>
        <w:t>4</w:t>
      </w:r>
    </w:p>
    <w:p w:rsidR="00C76E6D" w:rsidRDefault="00913831">
      <w:pPr>
        <w:spacing w:before="2" w:line="244" w:lineRule="exact"/>
        <w:ind w:left="480"/>
        <w:rPr>
          <w:sz w:val="20"/>
        </w:rPr>
      </w:pPr>
      <w:r>
        <w:rPr>
          <w:sz w:val="20"/>
          <w:vertAlign w:val="superscript"/>
        </w:rPr>
        <w:t>3</w:t>
      </w:r>
      <w:r>
        <w:rPr>
          <w:spacing w:val="-4"/>
          <w:sz w:val="20"/>
        </w:rPr>
        <w:t xml:space="preserve"> </w:t>
      </w:r>
      <w:r>
        <w:rPr>
          <w:sz w:val="20"/>
        </w:rPr>
        <w:t>Report</w:t>
      </w:r>
      <w:r>
        <w:rPr>
          <w:spacing w:val="-5"/>
          <w:sz w:val="20"/>
        </w:rPr>
        <w:t xml:space="preserve"> </w:t>
      </w:r>
      <w:r>
        <w:rPr>
          <w:sz w:val="20"/>
        </w:rPr>
        <w:t>at</w:t>
      </w:r>
      <w:r>
        <w:rPr>
          <w:spacing w:val="-4"/>
          <w:sz w:val="20"/>
        </w:rPr>
        <w:t xml:space="preserve"> </w:t>
      </w:r>
      <w:r>
        <w:rPr>
          <w:spacing w:val="-10"/>
          <w:sz w:val="20"/>
        </w:rPr>
        <w:t>5</w:t>
      </w:r>
    </w:p>
    <w:p w:rsidR="00C76E6D" w:rsidRDefault="00913831">
      <w:pPr>
        <w:spacing w:line="241" w:lineRule="exact"/>
        <w:ind w:left="480"/>
        <w:rPr>
          <w:sz w:val="20"/>
        </w:rPr>
      </w:pPr>
      <w:r>
        <w:rPr>
          <w:spacing w:val="-4"/>
          <w:sz w:val="20"/>
          <w:vertAlign w:val="superscript"/>
        </w:rPr>
        <w:t>4</w:t>
      </w:r>
      <w:r>
        <w:rPr>
          <w:spacing w:val="79"/>
          <w:sz w:val="20"/>
        </w:rPr>
        <w:t xml:space="preserve">  </w:t>
      </w:r>
      <w:r>
        <w:rPr>
          <w:spacing w:val="-4"/>
          <w:sz w:val="20"/>
        </w:rPr>
        <w:t>https://williamsinstitute.law.ucla.edu/publications/bans-trans-youth-health-care/</w:t>
      </w:r>
    </w:p>
    <w:p w:rsidR="00C76E6D" w:rsidRDefault="00913831">
      <w:pPr>
        <w:ind w:left="481" w:right="530" w:hanging="3"/>
        <w:rPr>
          <w:sz w:val="20"/>
        </w:rPr>
      </w:pPr>
      <w:r>
        <w:rPr>
          <w:sz w:val="20"/>
          <w:vertAlign w:val="superscript"/>
        </w:rPr>
        <w:t>5</w:t>
      </w:r>
      <w:r>
        <w:rPr>
          <w:spacing w:val="-4"/>
          <w:sz w:val="20"/>
        </w:rPr>
        <w:t xml:space="preserve"> </w:t>
      </w:r>
      <w:r>
        <w:rPr>
          <w:sz w:val="20"/>
        </w:rPr>
        <w:t>Numbers</w:t>
      </w:r>
      <w:r>
        <w:rPr>
          <w:spacing w:val="-5"/>
          <w:sz w:val="20"/>
        </w:rPr>
        <w:t xml:space="preserve"> </w:t>
      </w:r>
      <w:r>
        <w:rPr>
          <w:sz w:val="20"/>
        </w:rPr>
        <w:t>provided</w:t>
      </w:r>
      <w:r>
        <w:rPr>
          <w:spacing w:val="-4"/>
          <w:sz w:val="20"/>
        </w:rPr>
        <w:t xml:space="preserve"> </w:t>
      </w:r>
      <w:r>
        <w:rPr>
          <w:sz w:val="20"/>
        </w:rPr>
        <w:t>by</w:t>
      </w:r>
      <w:r>
        <w:rPr>
          <w:spacing w:val="-6"/>
          <w:sz w:val="20"/>
        </w:rPr>
        <w:t xml:space="preserve"> </w:t>
      </w:r>
      <w:r>
        <w:rPr>
          <w:sz w:val="20"/>
        </w:rPr>
        <w:t>DCF.</w:t>
      </w:r>
      <w:r>
        <w:rPr>
          <w:spacing w:val="-7"/>
          <w:sz w:val="20"/>
        </w:rPr>
        <w:t xml:space="preserve"> </w:t>
      </w:r>
      <w:r>
        <w:rPr>
          <w:sz w:val="20"/>
        </w:rPr>
        <w:t>Data</w:t>
      </w:r>
      <w:r>
        <w:rPr>
          <w:spacing w:val="-4"/>
          <w:sz w:val="20"/>
        </w:rPr>
        <w:t xml:space="preserve"> </w:t>
      </w:r>
      <w:r>
        <w:rPr>
          <w:sz w:val="20"/>
        </w:rPr>
        <w:t>reflect</w:t>
      </w:r>
      <w:r>
        <w:rPr>
          <w:spacing w:val="-4"/>
          <w:sz w:val="20"/>
        </w:rPr>
        <w:t xml:space="preserve"> </w:t>
      </w:r>
      <w:r>
        <w:rPr>
          <w:sz w:val="20"/>
        </w:rPr>
        <w:t>fields</w:t>
      </w:r>
      <w:r>
        <w:rPr>
          <w:spacing w:val="-5"/>
          <w:sz w:val="20"/>
        </w:rPr>
        <w:t xml:space="preserve"> </w:t>
      </w:r>
      <w:r>
        <w:rPr>
          <w:sz w:val="20"/>
        </w:rPr>
        <w:t>for</w:t>
      </w:r>
      <w:r>
        <w:rPr>
          <w:spacing w:val="-5"/>
          <w:sz w:val="20"/>
        </w:rPr>
        <w:t xml:space="preserve"> </w:t>
      </w:r>
      <w:r>
        <w:rPr>
          <w:sz w:val="20"/>
        </w:rPr>
        <w:t>children</w:t>
      </w:r>
      <w:r>
        <w:rPr>
          <w:spacing w:val="-7"/>
          <w:sz w:val="20"/>
        </w:rPr>
        <w:t xml:space="preserve"> </w:t>
      </w:r>
      <w:r>
        <w:rPr>
          <w:sz w:val="20"/>
        </w:rPr>
        <w:t>&amp;</w:t>
      </w:r>
      <w:r>
        <w:rPr>
          <w:spacing w:val="-5"/>
          <w:sz w:val="20"/>
        </w:rPr>
        <w:t xml:space="preserve"> </w:t>
      </w:r>
      <w:r>
        <w:rPr>
          <w:sz w:val="20"/>
        </w:rPr>
        <w:t>youth</w:t>
      </w:r>
      <w:r>
        <w:rPr>
          <w:spacing w:val="-4"/>
          <w:sz w:val="20"/>
        </w:rPr>
        <w:t xml:space="preserve"> </w:t>
      </w:r>
      <w:r>
        <w:rPr>
          <w:sz w:val="20"/>
        </w:rPr>
        <w:t>in</w:t>
      </w:r>
      <w:r>
        <w:rPr>
          <w:spacing w:val="-5"/>
          <w:sz w:val="20"/>
        </w:rPr>
        <w:t xml:space="preserve"> </w:t>
      </w:r>
      <w:r>
        <w:rPr>
          <w:sz w:val="20"/>
        </w:rPr>
        <w:t>placement,</w:t>
      </w:r>
      <w:r>
        <w:rPr>
          <w:spacing w:val="-4"/>
          <w:sz w:val="20"/>
        </w:rPr>
        <w:t xml:space="preserve"> </w:t>
      </w:r>
      <w:r>
        <w:rPr>
          <w:sz w:val="20"/>
        </w:rPr>
        <w:t>of</w:t>
      </w:r>
      <w:r>
        <w:rPr>
          <w:spacing w:val="-6"/>
          <w:sz w:val="20"/>
        </w:rPr>
        <w:t xml:space="preserve"> </w:t>
      </w:r>
      <w:r>
        <w:rPr>
          <w:sz w:val="20"/>
        </w:rPr>
        <w:t>all</w:t>
      </w:r>
      <w:r>
        <w:rPr>
          <w:spacing w:val="-5"/>
          <w:sz w:val="20"/>
        </w:rPr>
        <w:t xml:space="preserve"> </w:t>
      </w:r>
      <w:r>
        <w:rPr>
          <w:sz w:val="20"/>
        </w:rPr>
        <w:t>ages.</w:t>
      </w:r>
      <w:r>
        <w:rPr>
          <w:spacing w:val="-5"/>
          <w:sz w:val="20"/>
        </w:rPr>
        <w:t xml:space="preserve"> </w:t>
      </w:r>
      <w:r>
        <w:rPr>
          <w:sz w:val="20"/>
        </w:rPr>
        <w:t>Completion</w:t>
      </w:r>
      <w:r>
        <w:rPr>
          <w:spacing w:val="-4"/>
          <w:sz w:val="20"/>
        </w:rPr>
        <w:t xml:space="preserve"> </w:t>
      </w:r>
      <w:r>
        <w:rPr>
          <w:sz w:val="20"/>
        </w:rPr>
        <w:t>of</w:t>
      </w:r>
      <w:r>
        <w:rPr>
          <w:spacing w:val="-6"/>
          <w:sz w:val="20"/>
        </w:rPr>
        <w:t xml:space="preserve"> </w:t>
      </w:r>
      <w:r>
        <w:rPr>
          <w:sz w:val="20"/>
        </w:rPr>
        <w:t>SOGI fields was higher for older youth - of those age 18 or higher, 22 percent had a completed field for sexual orientation and 34 percent had a completed field for gender identity - but the vast majority of teenagers and young adults still did not have se</w:t>
      </w:r>
      <w:r>
        <w:rPr>
          <w:sz w:val="20"/>
        </w:rPr>
        <w:t>xual orientation or gender identity data recorded.</w:t>
      </w:r>
    </w:p>
    <w:p w:rsidR="00C76E6D" w:rsidRDefault="00913831">
      <w:pPr>
        <w:ind w:left="480" w:right="652" w:hanging="2"/>
        <w:rPr>
          <w:sz w:val="20"/>
        </w:rPr>
      </w:pPr>
      <w:r>
        <w:rPr>
          <w:sz w:val="20"/>
          <w:vertAlign w:val="superscript"/>
        </w:rPr>
        <w:t>6</w:t>
      </w:r>
      <w:r>
        <w:rPr>
          <w:sz w:val="20"/>
        </w:rPr>
        <w:t xml:space="preserve"> Sandford, T.G.M. (2020).</w:t>
      </w:r>
      <w:r>
        <w:rPr>
          <w:spacing w:val="-2"/>
          <w:sz w:val="20"/>
        </w:rPr>
        <w:t xml:space="preserve"> </w:t>
      </w:r>
      <w:r>
        <w:rPr>
          <w:sz w:val="20"/>
        </w:rPr>
        <w:t>Experiences</w:t>
      </w:r>
      <w:r>
        <w:rPr>
          <w:spacing w:val="-1"/>
          <w:sz w:val="20"/>
        </w:rPr>
        <w:t xml:space="preserve"> </w:t>
      </w:r>
      <w:r>
        <w:rPr>
          <w:sz w:val="20"/>
        </w:rPr>
        <w:t>and</w:t>
      </w:r>
      <w:r>
        <w:rPr>
          <w:spacing w:val="-2"/>
          <w:sz w:val="20"/>
        </w:rPr>
        <w:t xml:space="preserve"> </w:t>
      </w:r>
      <w:r>
        <w:rPr>
          <w:sz w:val="20"/>
        </w:rPr>
        <w:t>Well-Being</w:t>
      </w:r>
      <w:r>
        <w:rPr>
          <w:spacing w:val="-1"/>
          <w:sz w:val="20"/>
        </w:rPr>
        <w:t xml:space="preserve"> </w:t>
      </w:r>
      <w:r>
        <w:rPr>
          <w:sz w:val="20"/>
        </w:rPr>
        <w:t>of</w:t>
      </w:r>
      <w:r>
        <w:rPr>
          <w:spacing w:val="-1"/>
          <w:sz w:val="20"/>
        </w:rPr>
        <w:t xml:space="preserve"> </w:t>
      </w:r>
      <w:r>
        <w:rPr>
          <w:sz w:val="20"/>
        </w:rPr>
        <w:t>Sexual</w:t>
      </w:r>
      <w:r>
        <w:rPr>
          <w:spacing w:val="-1"/>
          <w:sz w:val="20"/>
        </w:rPr>
        <w:t xml:space="preserve"> </w:t>
      </w:r>
      <w:r>
        <w:rPr>
          <w:sz w:val="20"/>
        </w:rPr>
        <w:t>and Gender</w:t>
      </w:r>
      <w:r>
        <w:rPr>
          <w:spacing w:val="-2"/>
          <w:sz w:val="20"/>
        </w:rPr>
        <w:t xml:space="preserve"> </w:t>
      </w:r>
      <w:r>
        <w:rPr>
          <w:sz w:val="20"/>
        </w:rPr>
        <w:t>Diverse Youth in Foster</w:t>
      </w:r>
      <w:r>
        <w:rPr>
          <w:spacing w:val="-2"/>
          <w:sz w:val="20"/>
        </w:rPr>
        <w:t xml:space="preserve"> </w:t>
      </w:r>
      <w:r>
        <w:rPr>
          <w:sz w:val="20"/>
        </w:rPr>
        <w:t>Care in</w:t>
      </w:r>
      <w:r>
        <w:rPr>
          <w:spacing w:val="-1"/>
          <w:sz w:val="20"/>
        </w:rPr>
        <w:t xml:space="preserve"> </w:t>
      </w:r>
      <w:r>
        <w:rPr>
          <w:sz w:val="20"/>
        </w:rPr>
        <w:t>New York City: Disproportionality and Disparities. https://www1.nyc.gov/assets/acs/pdf/about/2020/WellBeingStudyLGBTQ.pdf; University of Maryland School of Social Work Institute for Innovation and Implementation et al. (2021). The Cuyahoga Youth Count: A R</w:t>
      </w:r>
      <w:r>
        <w:rPr>
          <w:sz w:val="20"/>
        </w:rPr>
        <w:t>eport on LGBTQ+</w:t>
      </w:r>
      <w:r>
        <w:rPr>
          <w:spacing w:val="-12"/>
          <w:sz w:val="20"/>
        </w:rPr>
        <w:t xml:space="preserve"> </w:t>
      </w:r>
      <w:r>
        <w:rPr>
          <w:sz w:val="20"/>
        </w:rPr>
        <w:t>Youth</w:t>
      </w:r>
      <w:r>
        <w:rPr>
          <w:spacing w:val="-11"/>
          <w:sz w:val="20"/>
        </w:rPr>
        <w:t xml:space="preserve"> </w:t>
      </w:r>
      <w:r>
        <w:rPr>
          <w:sz w:val="20"/>
        </w:rPr>
        <w:t>Experience</w:t>
      </w:r>
      <w:r>
        <w:rPr>
          <w:spacing w:val="-11"/>
          <w:sz w:val="20"/>
        </w:rPr>
        <w:t xml:space="preserve"> </w:t>
      </w:r>
      <w:r>
        <w:rPr>
          <w:sz w:val="20"/>
        </w:rPr>
        <w:t>in</w:t>
      </w:r>
      <w:r>
        <w:rPr>
          <w:spacing w:val="-12"/>
          <w:sz w:val="20"/>
        </w:rPr>
        <w:t xml:space="preserve"> </w:t>
      </w:r>
      <w:r>
        <w:rPr>
          <w:sz w:val="20"/>
        </w:rPr>
        <w:t>Foster</w:t>
      </w:r>
      <w:r>
        <w:rPr>
          <w:spacing w:val="-11"/>
          <w:sz w:val="20"/>
        </w:rPr>
        <w:t xml:space="preserve"> </w:t>
      </w:r>
      <w:r>
        <w:rPr>
          <w:sz w:val="20"/>
        </w:rPr>
        <w:t>Care.</w:t>
      </w:r>
      <w:r>
        <w:rPr>
          <w:spacing w:val="-11"/>
          <w:sz w:val="20"/>
        </w:rPr>
        <w:t xml:space="preserve"> </w:t>
      </w:r>
      <w:r>
        <w:rPr>
          <w:sz w:val="20"/>
        </w:rPr>
        <w:t>https://theinstitute.umaryland.edu/our-work/national/lgbtq/cuyahoga- youth-count/; Baams L., Wilson B.D.M. &amp; Russell S.T. (2019). LGBTQ Youth in Unstable Housing and Foster Care. Pediatrics. 143(3), 1-9. htt</w:t>
      </w:r>
      <w:r>
        <w:rPr>
          <w:sz w:val="20"/>
        </w:rPr>
        <w:t>ps://pediatrics.aappublications.org/content/143/3/e20174211.</w:t>
      </w:r>
    </w:p>
    <w:p w:rsidR="00C76E6D" w:rsidRDefault="00913831">
      <w:pPr>
        <w:ind w:left="481" w:right="698" w:hanging="3"/>
        <w:rPr>
          <w:sz w:val="20"/>
        </w:rPr>
      </w:pPr>
      <w:r>
        <w:rPr>
          <w:sz w:val="20"/>
          <w:vertAlign w:val="superscript"/>
        </w:rPr>
        <w:t>7</w:t>
      </w:r>
      <w:r>
        <w:rPr>
          <w:spacing w:val="-5"/>
          <w:sz w:val="20"/>
        </w:rPr>
        <w:t xml:space="preserve"> </w:t>
      </w:r>
      <w:r>
        <w:rPr>
          <w:sz w:val="20"/>
        </w:rPr>
        <w:t>See</w:t>
      </w:r>
      <w:r>
        <w:rPr>
          <w:spacing w:val="-7"/>
          <w:sz w:val="20"/>
        </w:rPr>
        <w:t xml:space="preserve"> </w:t>
      </w:r>
      <w:r>
        <w:rPr>
          <w:sz w:val="20"/>
        </w:rPr>
        <w:t>Sandford</w:t>
      </w:r>
      <w:r>
        <w:rPr>
          <w:spacing w:val="-8"/>
          <w:sz w:val="20"/>
        </w:rPr>
        <w:t xml:space="preserve"> </w:t>
      </w:r>
      <w:r>
        <w:rPr>
          <w:sz w:val="20"/>
        </w:rPr>
        <w:t>(2020);</w:t>
      </w:r>
      <w:r>
        <w:rPr>
          <w:spacing w:val="-5"/>
          <w:sz w:val="20"/>
        </w:rPr>
        <w:t xml:space="preserve"> </w:t>
      </w:r>
      <w:r>
        <w:rPr>
          <w:sz w:val="20"/>
        </w:rPr>
        <w:t>University</w:t>
      </w:r>
      <w:r>
        <w:rPr>
          <w:spacing w:val="-5"/>
          <w:sz w:val="20"/>
        </w:rPr>
        <w:t xml:space="preserve"> </w:t>
      </w:r>
      <w:r>
        <w:rPr>
          <w:sz w:val="20"/>
        </w:rPr>
        <w:t>of</w:t>
      </w:r>
      <w:r>
        <w:rPr>
          <w:spacing w:val="-7"/>
          <w:sz w:val="20"/>
        </w:rPr>
        <w:t xml:space="preserve"> </w:t>
      </w:r>
      <w:r>
        <w:rPr>
          <w:sz w:val="20"/>
        </w:rPr>
        <w:t>Maryland</w:t>
      </w:r>
      <w:r>
        <w:rPr>
          <w:spacing w:val="-5"/>
          <w:sz w:val="20"/>
        </w:rPr>
        <w:t xml:space="preserve"> </w:t>
      </w:r>
      <w:r>
        <w:rPr>
          <w:sz w:val="20"/>
        </w:rPr>
        <w:t>School</w:t>
      </w:r>
      <w:r>
        <w:rPr>
          <w:spacing w:val="-7"/>
          <w:sz w:val="20"/>
        </w:rPr>
        <w:t xml:space="preserve"> </w:t>
      </w:r>
      <w:r>
        <w:rPr>
          <w:sz w:val="20"/>
        </w:rPr>
        <w:t>of</w:t>
      </w:r>
      <w:r>
        <w:rPr>
          <w:spacing w:val="-7"/>
          <w:sz w:val="20"/>
        </w:rPr>
        <w:t xml:space="preserve"> </w:t>
      </w:r>
      <w:r>
        <w:rPr>
          <w:sz w:val="20"/>
        </w:rPr>
        <w:t>Social</w:t>
      </w:r>
      <w:r>
        <w:rPr>
          <w:spacing w:val="-6"/>
          <w:sz w:val="20"/>
        </w:rPr>
        <w:t xml:space="preserve"> </w:t>
      </w:r>
      <w:r>
        <w:rPr>
          <w:sz w:val="20"/>
        </w:rPr>
        <w:t>Work</w:t>
      </w:r>
      <w:r>
        <w:rPr>
          <w:spacing w:val="-5"/>
          <w:sz w:val="20"/>
        </w:rPr>
        <w:t xml:space="preserve"> </w:t>
      </w:r>
      <w:r>
        <w:rPr>
          <w:sz w:val="20"/>
        </w:rPr>
        <w:t>Institute</w:t>
      </w:r>
      <w:r>
        <w:rPr>
          <w:spacing w:val="-6"/>
          <w:sz w:val="20"/>
        </w:rPr>
        <w:t xml:space="preserve"> </w:t>
      </w:r>
      <w:r>
        <w:rPr>
          <w:sz w:val="20"/>
        </w:rPr>
        <w:t>for</w:t>
      </w:r>
      <w:r>
        <w:rPr>
          <w:spacing w:val="-6"/>
          <w:sz w:val="20"/>
        </w:rPr>
        <w:t xml:space="preserve"> </w:t>
      </w:r>
      <w:r>
        <w:rPr>
          <w:sz w:val="20"/>
        </w:rPr>
        <w:t>Innovation</w:t>
      </w:r>
      <w:r>
        <w:rPr>
          <w:spacing w:val="-5"/>
          <w:sz w:val="20"/>
        </w:rPr>
        <w:t xml:space="preserve"> </w:t>
      </w:r>
      <w:r>
        <w:rPr>
          <w:sz w:val="20"/>
        </w:rPr>
        <w:t>and</w:t>
      </w:r>
      <w:r>
        <w:rPr>
          <w:spacing w:val="-5"/>
          <w:sz w:val="20"/>
        </w:rPr>
        <w:t xml:space="preserve"> </w:t>
      </w:r>
      <w:r>
        <w:rPr>
          <w:sz w:val="20"/>
        </w:rPr>
        <w:t>Implementation et al. (2021); Baams L., Wilson B.D.M. &amp; Russell S.T. (2019).</w:t>
      </w:r>
    </w:p>
    <w:p w:rsidR="00C76E6D" w:rsidRDefault="00913831">
      <w:pPr>
        <w:ind w:left="481" w:right="533" w:hanging="3"/>
        <w:rPr>
          <w:sz w:val="20"/>
        </w:rPr>
      </w:pPr>
      <w:r>
        <w:rPr>
          <w:sz w:val="20"/>
          <w:vertAlign w:val="superscript"/>
        </w:rPr>
        <w:t>8</w:t>
      </w:r>
      <w:r>
        <w:rPr>
          <w:spacing w:val="-4"/>
          <w:sz w:val="20"/>
        </w:rPr>
        <w:t xml:space="preserve"> </w:t>
      </w:r>
      <w:r>
        <w:rPr>
          <w:sz w:val="20"/>
        </w:rPr>
        <w:t>Center</w:t>
      </w:r>
      <w:r>
        <w:rPr>
          <w:spacing w:val="-6"/>
          <w:sz w:val="20"/>
        </w:rPr>
        <w:t xml:space="preserve"> </w:t>
      </w:r>
      <w:r>
        <w:rPr>
          <w:sz w:val="20"/>
        </w:rPr>
        <w:t>for</w:t>
      </w:r>
      <w:r>
        <w:rPr>
          <w:spacing w:val="-5"/>
          <w:sz w:val="20"/>
        </w:rPr>
        <w:t xml:space="preserve"> </w:t>
      </w:r>
      <w:r>
        <w:rPr>
          <w:sz w:val="20"/>
        </w:rPr>
        <w:t>the</w:t>
      </w:r>
      <w:r>
        <w:rPr>
          <w:spacing w:val="-5"/>
          <w:sz w:val="20"/>
        </w:rPr>
        <w:t xml:space="preserve"> </w:t>
      </w:r>
      <w:r>
        <w:rPr>
          <w:sz w:val="20"/>
        </w:rPr>
        <w:t>Stud</w:t>
      </w:r>
      <w:r>
        <w:rPr>
          <w:sz w:val="20"/>
        </w:rPr>
        <w:t>y</w:t>
      </w:r>
      <w:r>
        <w:rPr>
          <w:spacing w:val="-5"/>
          <w:sz w:val="20"/>
        </w:rPr>
        <w:t xml:space="preserve"> </w:t>
      </w:r>
      <w:r>
        <w:rPr>
          <w:sz w:val="20"/>
        </w:rPr>
        <w:t>of</w:t>
      </w:r>
      <w:r>
        <w:rPr>
          <w:spacing w:val="-6"/>
          <w:sz w:val="20"/>
        </w:rPr>
        <w:t xml:space="preserve"> </w:t>
      </w:r>
      <w:r>
        <w:rPr>
          <w:sz w:val="20"/>
        </w:rPr>
        <w:t>Social</w:t>
      </w:r>
      <w:r>
        <w:rPr>
          <w:spacing w:val="-5"/>
          <w:sz w:val="20"/>
        </w:rPr>
        <w:t xml:space="preserve"> </w:t>
      </w:r>
      <w:r>
        <w:rPr>
          <w:sz w:val="20"/>
        </w:rPr>
        <w:t>Policy.</w:t>
      </w:r>
      <w:r>
        <w:rPr>
          <w:spacing w:val="-6"/>
          <w:sz w:val="20"/>
        </w:rPr>
        <w:t xml:space="preserve"> </w:t>
      </w:r>
      <w:r>
        <w:rPr>
          <w:sz w:val="20"/>
        </w:rPr>
        <w:t>(2019).</w:t>
      </w:r>
      <w:r>
        <w:rPr>
          <w:spacing w:val="-5"/>
          <w:sz w:val="20"/>
        </w:rPr>
        <w:t xml:space="preserve"> </w:t>
      </w:r>
      <w:r>
        <w:rPr>
          <w:sz w:val="20"/>
        </w:rPr>
        <w:t>Progress</w:t>
      </w:r>
      <w:r>
        <w:rPr>
          <w:spacing w:val="-5"/>
          <w:sz w:val="20"/>
        </w:rPr>
        <w:t xml:space="preserve"> </w:t>
      </w:r>
      <w:r>
        <w:rPr>
          <w:sz w:val="20"/>
        </w:rPr>
        <w:t>Towards</w:t>
      </w:r>
      <w:r>
        <w:rPr>
          <w:spacing w:val="-6"/>
          <w:sz w:val="20"/>
        </w:rPr>
        <w:t xml:space="preserve"> </w:t>
      </w:r>
      <w:r>
        <w:rPr>
          <w:sz w:val="20"/>
        </w:rPr>
        <w:t>Building</w:t>
      </w:r>
      <w:r>
        <w:rPr>
          <w:spacing w:val="-6"/>
          <w:sz w:val="20"/>
        </w:rPr>
        <w:t xml:space="preserve"> </w:t>
      </w:r>
      <w:r>
        <w:rPr>
          <w:sz w:val="20"/>
        </w:rPr>
        <w:t>an</w:t>
      </w:r>
      <w:r>
        <w:rPr>
          <w:spacing w:val="-5"/>
          <w:sz w:val="20"/>
        </w:rPr>
        <w:t xml:space="preserve"> </w:t>
      </w:r>
      <w:r>
        <w:rPr>
          <w:sz w:val="20"/>
        </w:rPr>
        <w:t>Affirming</w:t>
      </w:r>
      <w:r>
        <w:rPr>
          <w:spacing w:val="-5"/>
          <w:sz w:val="20"/>
        </w:rPr>
        <w:t xml:space="preserve"> </w:t>
      </w:r>
      <w:r>
        <w:rPr>
          <w:sz w:val="20"/>
        </w:rPr>
        <w:t>and</w:t>
      </w:r>
      <w:r>
        <w:rPr>
          <w:spacing w:val="-5"/>
          <w:sz w:val="20"/>
        </w:rPr>
        <w:t xml:space="preserve"> </w:t>
      </w:r>
      <w:r>
        <w:rPr>
          <w:sz w:val="20"/>
        </w:rPr>
        <w:t>Supportive</w:t>
      </w:r>
      <w:r>
        <w:rPr>
          <w:spacing w:val="-6"/>
          <w:sz w:val="20"/>
        </w:rPr>
        <w:t xml:space="preserve"> </w:t>
      </w:r>
      <w:r>
        <w:rPr>
          <w:sz w:val="20"/>
        </w:rPr>
        <w:t>Child</w:t>
      </w:r>
      <w:r>
        <w:rPr>
          <w:spacing w:val="-5"/>
          <w:sz w:val="20"/>
        </w:rPr>
        <w:t xml:space="preserve"> </w:t>
      </w:r>
      <w:r>
        <w:rPr>
          <w:sz w:val="20"/>
        </w:rPr>
        <w:t xml:space="preserve">Welfare System: getREAL in Allegheny County. </w:t>
      </w:r>
      <w:r>
        <w:rPr>
          <w:spacing w:val="-2"/>
          <w:sz w:val="20"/>
        </w:rPr>
        <w:t>https://</w:t>
      </w:r>
      <w:hyperlink r:id="rId398">
        <w:r>
          <w:rPr>
            <w:spacing w:val="-2"/>
            <w:sz w:val="20"/>
          </w:rPr>
          <w:t>www.alleghenycountyanalytics.us/wpcontent/uploads/2019/05/getREAL-in-Allegheny-County-FINAL.pdf.</w:t>
        </w:r>
      </w:hyperlink>
    </w:p>
    <w:p w:rsidR="00C76E6D" w:rsidRDefault="00913831">
      <w:pPr>
        <w:spacing w:before="2" w:line="241" w:lineRule="exact"/>
        <w:ind w:left="480"/>
        <w:rPr>
          <w:sz w:val="20"/>
        </w:rPr>
      </w:pPr>
      <w:r>
        <w:rPr>
          <w:spacing w:val="-2"/>
          <w:sz w:val="20"/>
          <w:vertAlign w:val="superscript"/>
        </w:rPr>
        <w:t>9</w:t>
      </w:r>
      <w:r>
        <w:rPr>
          <w:spacing w:val="20"/>
          <w:sz w:val="20"/>
        </w:rPr>
        <w:t xml:space="preserve"> </w:t>
      </w:r>
      <w:r>
        <w:rPr>
          <w:spacing w:val="-2"/>
          <w:sz w:val="20"/>
        </w:rPr>
        <w:t>https://</w:t>
      </w:r>
      <w:hyperlink r:id="rId399">
        <w:r>
          <w:rPr>
            <w:spacing w:val="-2"/>
            <w:sz w:val="20"/>
          </w:rPr>
          <w:t>www.mass.gov/doc/dcf-annual-reportfy2021/download.</w:t>
        </w:r>
      </w:hyperlink>
    </w:p>
    <w:p w:rsidR="00C76E6D" w:rsidRDefault="00913831">
      <w:pPr>
        <w:ind w:left="478" w:right="530"/>
        <w:rPr>
          <w:sz w:val="20"/>
        </w:rPr>
      </w:pPr>
      <w:r>
        <w:rPr>
          <w:sz w:val="20"/>
          <w:vertAlign w:val="superscript"/>
        </w:rPr>
        <w:t>10</w:t>
      </w:r>
      <w:r>
        <w:rPr>
          <w:sz w:val="20"/>
        </w:rPr>
        <w:t xml:space="preserve"> Kathi L.H. Harp &amp; Carrie B. Oser, Factors</w:t>
      </w:r>
      <w:r>
        <w:rPr>
          <w:spacing w:val="-1"/>
          <w:sz w:val="20"/>
        </w:rPr>
        <w:t xml:space="preserve"> </w:t>
      </w:r>
      <w:r>
        <w:rPr>
          <w:sz w:val="20"/>
        </w:rPr>
        <w:t>Associated with Two Types of Child Custody Loss Among a Sample of African American Mothers: A Novel Approach, Soc</w:t>
      </w:r>
      <w:r>
        <w:rPr>
          <w:sz w:val="20"/>
        </w:rPr>
        <w:t xml:space="preserve">. Sci. Research, 2016, 283-296, </w:t>
      </w:r>
      <w:hyperlink r:id="rId400">
        <w:r>
          <w:rPr>
            <w:color w:val="1153CC"/>
            <w:sz w:val="20"/>
            <w:u w:val="single" w:color="1153CC"/>
          </w:rPr>
          <w:t>https://www.ncbi.nlm.nih.gov/pmc/articles/PMC5119635/pdf/nihms795147.pdf</w:t>
        </w:r>
        <w:r>
          <w:rPr>
            <w:sz w:val="20"/>
          </w:rPr>
          <w:t xml:space="preserve">; </w:t>
        </w:r>
      </w:hyperlink>
      <w:r>
        <w:rPr>
          <w:sz w:val="20"/>
        </w:rPr>
        <w:t>See also Nancy D. Polikoff, Neglected Lesbian Mothers, Fam</w:t>
      </w:r>
      <w:r>
        <w:rPr>
          <w:sz w:val="20"/>
        </w:rPr>
        <w:t xml:space="preserve">ily Law Quarterly, Vol 52 No 1, 2018, HYPERLINK </w:t>
      </w:r>
      <w:r>
        <w:rPr>
          <w:spacing w:val="-4"/>
          <w:sz w:val="20"/>
        </w:rPr>
        <w:t xml:space="preserve">"https://papers.ssrn.com/sol3/papers.cfm?abstract_id=3407307"https://papers.ssrn.com/sol3/papers.cfm?abstra </w:t>
      </w:r>
      <w:r>
        <w:rPr>
          <w:spacing w:val="-2"/>
          <w:sz w:val="20"/>
        </w:rPr>
        <w:t>ct_id=3407307</w:t>
      </w:r>
    </w:p>
    <w:p w:rsidR="00C76E6D" w:rsidRDefault="00913831">
      <w:pPr>
        <w:ind w:left="480" w:right="704"/>
        <w:rPr>
          <w:sz w:val="20"/>
        </w:rPr>
      </w:pPr>
      <w:r>
        <w:rPr>
          <w:sz w:val="20"/>
          <w:vertAlign w:val="superscript"/>
        </w:rPr>
        <w:t>11</w:t>
      </w:r>
      <w:r>
        <w:rPr>
          <w:sz w:val="20"/>
        </w:rPr>
        <w:t xml:space="preserve"> The most recent quarterly profile continues to omit SOGI data, and although it list</w:t>
      </w:r>
      <w:r>
        <w:rPr>
          <w:sz w:val="20"/>
        </w:rPr>
        <w:t>s and defines self-reported gender</w:t>
      </w:r>
      <w:r>
        <w:rPr>
          <w:spacing w:val="-5"/>
          <w:sz w:val="20"/>
        </w:rPr>
        <w:t xml:space="preserve"> </w:t>
      </w:r>
      <w:r>
        <w:rPr>
          <w:sz w:val="20"/>
        </w:rPr>
        <w:t>identity</w:t>
      </w:r>
      <w:r>
        <w:rPr>
          <w:spacing w:val="-4"/>
          <w:sz w:val="20"/>
        </w:rPr>
        <w:t xml:space="preserve"> </w:t>
      </w:r>
      <w:r>
        <w:rPr>
          <w:sz w:val="20"/>
        </w:rPr>
        <w:t>as</w:t>
      </w:r>
      <w:r>
        <w:rPr>
          <w:spacing w:val="-5"/>
          <w:sz w:val="20"/>
        </w:rPr>
        <w:t xml:space="preserve"> </w:t>
      </w:r>
      <w:r>
        <w:rPr>
          <w:sz w:val="20"/>
        </w:rPr>
        <w:t>a</w:t>
      </w:r>
      <w:r>
        <w:rPr>
          <w:spacing w:val="-6"/>
          <w:sz w:val="20"/>
        </w:rPr>
        <w:t xml:space="preserve"> </w:t>
      </w:r>
      <w:r>
        <w:rPr>
          <w:sz w:val="20"/>
        </w:rPr>
        <w:t>profile</w:t>
      </w:r>
      <w:r>
        <w:rPr>
          <w:spacing w:val="-6"/>
          <w:sz w:val="20"/>
        </w:rPr>
        <w:t xml:space="preserve"> </w:t>
      </w:r>
      <w:r>
        <w:rPr>
          <w:sz w:val="20"/>
        </w:rPr>
        <w:t>metric,</w:t>
      </w:r>
      <w:r>
        <w:rPr>
          <w:spacing w:val="-4"/>
          <w:sz w:val="20"/>
        </w:rPr>
        <w:t xml:space="preserve"> </w:t>
      </w:r>
      <w:r>
        <w:rPr>
          <w:sz w:val="20"/>
        </w:rPr>
        <w:t>it</w:t>
      </w:r>
      <w:r>
        <w:rPr>
          <w:spacing w:val="-4"/>
          <w:sz w:val="20"/>
        </w:rPr>
        <w:t xml:space="preserve"> </w:t>
      </w:r>
      <w:r>
        <w:rPr>
          <w:sz w:val="20"/>
        </w:rPr>
        <w:t>reports</w:t>
      </w:r>
      <w:r>
        <w:rPr>
          <w:spacing w:val="-6"/>
          <w:sz w:val="20"/>
        </w:rPr>
        <w:t xml:space="preserve"> </w:t>
      </w:r>
      <w:r>
        <w:rPr>
          <w:sz w:val="20"/>
        </w:rPr>
        <w:t>data</w:t>
      </w:r>
      <w:r>
        <w:rPr>
          <w:spacing w:val="-6"/>
          <w:sz w:val="20"/>
        </w:rPr>
        <w:t xml:space="preserve"> </w:t>
      </w:r>
      <w:r>
        <w:rPr>
          <w:sz w:val="20"/>
        </w:rPr>
        <w:t>under</w:t>
      </w:r>
      <w:r>
        <w:rPr>
          <w:spacing w:val="-7"/>
          <w:sz w:val="20"/>
        </w:rPr>
        <w:t xml:space="preserve"> </w:t>
      </w:r>
      <w:r>
        <w:rPr>
          <w:sz w:val="20"/>
        </w:rPr>
        <w:t>the</w:t>
      </w:r>
      <w:r>
        <w:rPr>
          <w:spacing w:val="-5"/>
          <w:sz w:val="20"/>
        </w:rPr>
        <w:t xml:space="preserve"> </w:t>
      </w:r>
      <w:r>
        <w:rPr>
          <w:sz w:val="20"/>
        </w:rPr>
        <w:t>heading</w:t>
      </w:r>
      <w:r>
        <w:rPr>
          <w:spacing w:val="-3"/>
          <w:sz w:val="20"/>
        </w:rPr>
        <w:t xml:space="preserve"> </w:t>
      </w:r>
      <w:r>
        <w:rPr>
          <w:sz w:val="20"/>
        </w:rPr>
        <w:t>of</w:t>
      </w:r>
      <w:r>
        <w:rPr>
          <w:spacing w:val="-7"/>
          <w:sz w:val="20"/>
        </w:rPr>
        <w:t xml:space="preserve"> </w:t>
      </w:r>
      <w:r>
        <w:rPr>
          <w:sz w:val="20"/>
        </w:rPr>
        <w:t>birth</w:t>
      </w:r>
      <w:r>
        <w:rPr>
          <w:spacing w:val="-4"/>
          <w:sz w:val="20"/>
        </w:rPr>
        <w:t xml:space="preserve"> </w:t>
      </w:r>
      <w:r>
        <w:rPr>
          <w:sz w:val="20"/>
        </w:rPr>
        <w:t>sex.</w:t>
      </w:r>
      <w:r>
        <w:rPr>
          <w:spacing w:val="-6"/>
          <w:sz w:val="20"/>
        </w:rPr>
        <w:t xml:space="preserve"> </w:t>
      </w:r>
      <w:r>
        <w:rPr>
          <w:i/>
          <w:sz w:val="20"/>
        </w:rPr>
        <w:t>See</w:t>
      </w:r>
      <w:r>
        <w:rPr>
          <w:i/>
          <w:spacing w:val="-8"/>
          <w:sz w:val="20"/>
        </w:rPr>
        <w:t xml:space="preserve"> </w:t>
      </w:r>
      <w:r>
        <w:rPr>
          <w:sz w:val="20"/>
        </w:rPr>
        <w:t>Massachusetts</w:t>
      </w:r>
      <w:r>
        <w:rPr>
          <w:spacing w:val="-7"/>
          <w:sz w:val="20"/>
        </w:rPr>
        <w:t xml:space="preserve"> </w:t>
      </w:r>
      <w:r>
        <w:rPr>
          <w:sz w:val="20"/>
        </w:rPr>
        <w:t>Department of</w:t>
      </w:r>
      <w:r>
        <w:rPr>
          <w:spacing w:val="-3"/>
          <w:sz w:val="20"/>
        </w:rPr>
        <w:t xml:space="preserve"> </w:t>
      </w:r>
      <w:r>
        <w:rPr>
          <w:sz w:val="20"/>
        </w:rPr>
        <w:t>Children</w:t>
      </w:r>
      <w:r>
        <w:rPr>
          <w:spacing w:val="-3"/>
          <w:sz w:val="20"/>
        </w:rPr>
        <w:t xml:space="preserve"> </w:t>
      </w:r>
      <w:r>
        <w:rPr>
          <w:sz w:val="20"/>
        </w:rPr>
        <w:t>and</w:t>
      </w:r>
      <w:r>
        <w:rPr>
          <w:spacing w:val="-3"/>
          <w:sz w:val="20"/>
        </w:rPr>
        <w:t xml:space="preserve"> </w:t>
      </w:r>
      <w:r>
        <w:rPr>
          <w:sz w:val="20"/>
        </w:rPr>
        <w:t>Families</w:t>
      </w:r>
      <w:r>
        <w:rPr>
          <w:spacing w:val="-4"/>
          <w:sz w:val="20"/>
        </w:rPr>
        <w:t xml:space="preserve"> </w:t>
      </w:r>
      <w:r>
        <w:rPr>
          <w:sz w:val="20"/>
        </w:rPr>
        <w:t>Quarterly</w:t>
      </w:r>
      <w:r>
        <w:rPr>
          <w:spacing w:val="-3"/>
          <w:sz w:val="20"/>
        </w:rPr>
        <w:t xml:space="preserve"> </w:t>
      </w:r>
      <w:r>
        <w:rPr>
          <w:sz w:val="20"/>
        </w:rPr>
        <w:t>Profile</w:t>
      </w:r>
      <w:r>
        <w:rPr>
          <w:spacing w:val="-3"/>
          <w:sz w:val="20"/>
        </w:rPr>
        <w:t xml:space="preserve"> </w:t>
      </w:r>
      <w:r>
        <w:rPr>
          <w:sz w:val="20"/>
        </w:rPr>
        <w:t>--</w:t>
      </w:r>
      <w:r>
        <w:rPr>
          <w:spacing w:val="-4"/>
          <w:sz w:val="20"/>
        </w:rPr>
        <w:t xml:space="preserve"> </w:t>
      </w:r>
      <w:r>
        <w:rPr>
          <w:sz w:val="20"/>
        </w:rPr>
        <w:t>FY’2022,</w:t>
      </w:r>
      <w:r>
        <w:rPr>
          <w:spacing w:val="-4"/>
          <w:sz w:val="20"/>
        </w:rPr>
        <w:t xml:space="preserve"> </w:t>
      </w:r>
      <w:r>
        <w:rPr>
          <w:sz w:val="20"/>
        </w:rPr>
        <w:t>Q2</w:t>
      </w:r>
      <w:r>
        <w:rPr>
          <w:spacing w:val="-4"/>
          <w:sz w:val="20"/>
        </w:rPr>
        <w:t xml:space="preserve"> </w:t>
      </w:r>
      <w:r>
        <w:rPr>
          <w:sz w:val="20"/>
        </w:rPr>
        <w:t>(10/01/21-12/31/21),</w:t>
      </w:r>
      <w:r>
        <w:rPr>
          <w:spacing w:val="-3"/>
          <w:sz w:val="20"/>
        </w:rPr>
        <w:t xml:space="preserve"> </w:t>
      </w:r>
      <w:hyperlink r:id="rId401">
        <w:r>
          <w:rPr>
            <w:color w:val="1153CC"/>
            <w:sz w:val="20"/>
            <w:u w:val="single" w:color="1153CC"/>
          </w:rPr>
          <w:t>https://www.mass.gov/doc/area-</w:t>
        </w:r>
      </w:hyperlink>
      <w:r>
        <w:rPr>
          <w:color w:val="1153CC"/>
          <w:sz w:val="20"/>
        </w:rPr>
        <w:t xml:space="preserve"> </w:t>
      </w:r>
      <w:hyperlink r:id="rId402">
        <w:r>
          <w:rPr>
            <w:color w:val="1153CC"/>
            <w:spacing w:val="-2"/>
            <w:sz w:val="20"/>
            <w:u w:val="single" w:color="1153CC"/>
          </w:rPr>
          <w:t>profile-fy2022-q2/download</w:t>
        </w:r>
        <w:r>
          <w:rPr>
            <w:spacing w:val="-2"/>
            <w:sz w:val="20"/>
          </w:rPr>
          <w:t>.</w:t>
        </w:r>
      </w:hyperlink>
    </w:p>
    <w:p w:rsidR="00C76E6D" w:rsidRDefault="00C76E6D">
      <w:pPr>
        <w:rPr>
          <w:sz w:val="20"/>
        </w:rPr>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913831">
      <w:pPr>
        <w:pStyle w:val="Heading2"/>
        <w:spacing w:before="211"/>
        <w:ind w:left="480"/>
      </w:pPr>
      <w:bookmarkStart w:id="782" w:name="Office_of_the_Child_Advocate"/>
      <w:bookmarkStart w:id="783" w:name="_bookmark568"/>
      <w:bookmarkEnd w:id="782"/>
      <w:bookmarkEnd w:id="783"/>
      <w:r>
        <w:t>Office</w:t>
      </w:r>
      <w:r>
        <w:rPr>
          <w:spacing w:val="-7"/>
        </w:rPr>
        <w:t xml:space="preserve"> </w:t>
      </w:r>
      <w:r>
        <w:t>of</w:t>
      </w:r>
      <w:r>
        <w:rPr>
          <w:spacing w:val="-4"/>
        </w:rPr>
        <w:t xml:space="preserve"> </w:t>
      </w:r>
      <w:r>
        <w:t>the</w:t>
      </w:r>
      <w:r>
        <w:rPr>
          <w:spacing w:val="-5"/>
        </w:rPr>
        <w:t xml:space="preserve"> </w:t>
      </w:r>
      <w:r>
        <w:t>Child</w:t>
      </w:r>
      <w:r>
        <w:rPr>
          <w:spacing w:val="-5"/>
        </w:rPr>
        <w:t xml:space="preserve"> </w:t>
      </w:r>
      <w:r>
        <w:rPr>
          <w:spacing w:val="-2"/>
        </w:rPr>
        <w:t>Advocate</w:t>
      </w:r>
    </w:p>
    <w:p w:rsidR="00C76E6D" w:rsidRDefault="00913831">
      <w:pPr>
        <w:pStyle w:val="BodyText"/>
        <w:spacing w:before="11"/>
        <w:rPr>
          <w:b/>
          <w:sz w:val="11"/>
        </w:rPr>
      </w:pPr>
      <w:r>
        <w:pict>
          <v:shape id="docshape361" o:spid="_x0000_s1106" style="position:absolute;margin-left:1in;margin-top:8.5pt;width:476.95pt;height:.1pt;z-index:-15658496;mso-wrap-distance-left:0;mso-wrap-distance-right:0;mso-position-horizontal-relative:page" coordorigin="1440,170" coordsize="9539,0" path="m1440,170r9539,e" filled="f" strokeweight="1.54pt">
            <v:path arrowok="t"/>
            <w10:wrap type="topAndBottom" anchorx="page"/>
          </v:shape>
        </w:pict>
      </w:r>
    </w:p>
    <w:p w:rsidR="00C76E6D" w:rsidRDefault="00913831">
      <w:pPr>
        <w:pStyle w:val="Heading6"/>
        <w:spacing w:before="184"/>
        <w:ind w:left="480"/>
      </w:pPr>
      <w:r>
        <w:rPr>
          <w:spacing w:val="-4"/>
        </w:rPr>
        <w:t>FY2023</w:t>
      </w:r>
      <w:r>
        <w:rPr>
          <w:spacing w:val="1"/>
        </w:rPr>
        <w:t xml:space="preserve"> </w:t>
      </w:r>
      <w:r>
        <w:rPr>
          <w:spacing w:val="-2"/>
        </w:rPr>
        <w:t>Recommendations</w:t>
      </w:r>
    </w:p>
    <w:p w:rsidR="00C76E6D" w:rsidRDefault="00C76E6D">
      <w:pPr>
        <w:pStyle w:val="BodyText"/>
        <w:spacing w:before="4"/>
        <w:rPr>
          <w:b/>
          <w:sz w:val="28"/>
        </w:rPr>
      </w:pPr>
    </w:p>
    <w:p w:rsidR="00C76E6D" w:rsidRDefault="00913831">
      <w:pPr>
        <w:pStyle w:val="ListParagraph"/>
        <w:numPr>
          <w:ilvl w:val="1"/>
          <w:numId w:val="17"/>
        </w:numPr>
        <w:tabs>
          <w:tab w:val="left" w:pos="1199"/>
        </w:tabs>
        <w:spacing w:line="276" w:lineRule="auto"/>
        <w:ind w:right="938"/>
      </w:pPr>
      <w:r>
        <w:t>Make</w:t>
      </w:r>
      <w:r>
        <w:rPr>
          <w:spacing w:val="-3"/>
        </w:rPr>
        <w:t xml:space="preserve"> </w:t>
      </w:r>
      <w:r>
        <w:t>efforts</w:t>
      </w:r>
      <w:r>
        <w:rPr>
          <w:spacing w:val="-2"/>
        </w:rPr>
        <w:t xml:space="preserve"> </w:t>
      </w:r>
      <w:r>
        <w:t>to</w:t>
      </w:r>
      <w:r>
        <w:rPr>
          <w:spacing w:val="-3"/>
        </w:rPr>
        <w:t xml:space="preserve"> </w:t>
      </w:r>
      <w:r>
        <w:t>understand</w:t>
      </w:r>
      <w:r>
        <w:rPr>
          <w:spacing w:val="-4"/>
        </w:rPr>
        <w:t xml:space="preserve"> </w:t>
      </w:r>
      <w:r>
        <w:t>concerns</w:t>
      </w:r>
      <w:r>
        <w:rPr>
          <w:spacing w:val="-4"/>
        </w:rPr>
        <w:t xml:space="preserve"> </w:t>
      </w:r>
      <w:r>
        <w:t>regarding</w:t>
      </w:r>
      <w:r>
        <w:rPr>
          <w:spacing w:val="-3"/>
        </w:rPr>
        <w:t xml:space="preserve"> </w:t>
      </w:r>
      <w:r>
        <w:t>LGBTQ</w:t>
      </w:r>
      <w:r>
        <w:rPr>
          <w:spacing w:val="-4"/>
        </w:rPr>
        <w:t xml:space="preserve"> </w:t>
      </w:r>
      <w:r>
        <w:t>youth</w:t>
      </w:r>
      <w:r>
        <w:rPr>
          <w:spacing w:val="-3"/>
        </w:rPr>
        <w:t xml:space="preserve"> </w:t>
      </w:r>
      <w:r>
        <w:t>in</w:t>
      </w:r>
      <w:r>
        <w:rPr>
          <w:spacing w:val="-3"/>
        </w:rPr>
        <w:t xml:space="preserve"> </w:t>
      </w:r>
      <w:r>
        <w:t>state</w:t>
      </w:r>
      <w:r>
        <w:rPr>
          <w:spacing w:val="-4"/>
        </w:rPr>
        <w:t xml:space="preserve"> </w:t>
      </w:r>
      <w:r>
        <w:t>care</w:t>
      </w:r>
      <w:r>
        <w:rPr>
          <w:spacing w:val="-3"/>
        </w:rPr>
        <w:t xml:space="preserve"> </w:t>
      </w:r>
      <w:r>
        <w:t>and</w:t>
      </w:r>
      <w:r>
        <w:rPr>
          <w:spacing w:val="-2"/>
        </w:rPr>
        <w:t xml:space="preserve"> </w:t>
      </w:r>
      <w:r>
        <w:t>custody,</w:t>
      </w:r>
      <w:r>
        <w:rPr>
          <w:spacing w:val="-4"/>
        </w:rPr>
        <w:t xml:space="preserve"> </w:t>
      </w:r>
      <w:r>
        <w:t>and should publicize how it responds to those concerns.</w:t>
      </w:r>
    </w:p>
    <w:p w:rsidR="00C76E6D" w:rsidRDefault="00C76E6D">
      <w:pPr>
        <w:pStyle w:val="BodyText"/>
        <w:spacing w:before="6"/>
        <w:rPr>
          <w:sz w:val="25"/>
        </w:rPr>
      </w:pPr>
    </w:p>
    <w:p w:rsidR="00C76E6D" w:rsidRDefault="00913831">
      <w:pPr>
        <w:pStyle w:val="ListParagraph"/>
        <w:numPr>
          <w:ilvl w:val="1"/>
          <w:numId w:val="17"/>
        </w:numPr>
        <w:tabs>
          <w:tab w:val="left" w:pos="1199"/>
        </w:tabs>
        <w:ind w:hanging="362"/>
      </w:pPr>
      <w:r>
        <w:rPr>
          <w:w w:val="95"/>
        </w:rPr>
        <w:t>Ensure</w:t>
      </w:r>
      <w:r>
        <w:rPr>
          <w:spacing w:val="13"/>
        </w:rPr>
        <w:t xml:space="preserve"> </w:t>
      </w:r>
      <w:r>
        <w:rPr>
          <w:w w:val="95"/>
        </w:rPr>
        <w:t>that</w:t>
      </w:r>
      <w:r>
        <w:rPr>
          <w:spacing w:val="13"/>
        </w:rPr>
        <w:t xml:space="preserve"> </w:t>
      </w:r>
      <w:r>
        <w:rPr>
          <w:w w:val="95"/>
        </w:rPr>
        <w:t>proposed</w:t>
      </w:r>
      <w:r>
        <w:rPr>
          <w:spacing w:val="12"/>
        </w:rPr>
        <w:t xml:space="preserve"> </w:t>
      </w:r>
      <w:r>
        <w:rPr>
          <w:w w:val="95"/>
        </w:rPr>
        <w:t>reforms</w:t>
      </w:r>
      <w:r>
        <w:rPr>
          <w:spacing w:val="12"/>
        </w:rPr>
        <w:t xml:space="preserve"> </w:t>
      </w:r>
      <w:r>
        <w:rPr>
          <w:w w:val="95"/>
        </w:rPr>
        <w:t>encompass</w:t>
      </w:r>
      <w:r>
        <w:rPr>
          <w:spacing w:val="12"/>
        </w:rPr>
        <w:t xml:space="preserve"> </w:t>
      </w:r>
      <w:r>
        <w:rPr>
          <w:w w:val="95"/>
        </w:rPr>
        <w:t>the</w:t>
      </w:r>
      <w:r>
        <w:rPr>
          <w:spacing w:val="15"/>
        </w:rPr>
        <w:t xml:space="preserve"> </w:t>
      </w:r>
      <w:r>
        <w:rPr>
          <w:w w:val="95"/>
        </w:rPr>
        <w:t>unique</w:t>
      </w:r>
      <w:r>
        <w:rPr>
          <w:spacing w:val="16"/>
        </w:rPr>
        <w:t xml:space="preserve"> </w:t>
      </w:r>
      <w:r>
        <w:rPr>
          <w:w w:val="95"/>
        </w:rPr>
        <w:t>needs</w:t>
      </w:r>
      <w:r>
        <w:rPr>
          <w:spacing w:val="12"/>
        </w:rPr>
        <w:t xml:space="preserve"> </w:t>
      </w:r>
      <w:r>
        <w:rPr>
          <w:w w:val="95"/>
        </w:rPr>
        <w:t>of</w:t>
      </w:r>
      <w:r>
        <w:rPr>
          <w:spacing w:val="12"/>
        </w:rPr>
        <w:t xml:space="preserve"> </w:t>
      </w:r>
      <w:r>
        <w:rPr>
          <w:w w:val="95"/>
        </w:rPr>
        <w:t>LGBTQ</w:t>
      </w:r>
      <w:r>
        <w:rPr>
          <w:spacing w:val="14"/>
        </w:rPr>
        <w:t xml:space="preserve"> </w:t>
      </w:r>
      <w:r>
        <w:rPr>
          <w:spacing w:val="-2"/>
          <w:w w:val="95"/>
        </w:rPr>
        <w:t>youth.</w:t>
      </w:r>
    </w:p>
    <w:p w:rsidR="00C76E6D" w:rsidRDefault="00C76E6D">
      <w:pPr>
        <w:pStyle w:val="BodyText"/>
        <w:spacing w:before="5"/>
        <w:rPr>
          <w:sz w:val="28"/>
        </w:rPr>
      </w:pPr>
    </w:p>
    <w:p w:rsidR="00C76E6D" w:rsidRDefault="00913831">
      <w:pPr>
        <w:pStyle w:val="ListParagraph"/>
        <w:numPr>
          <w:ilvl w:val="1"/>
          <w:numId w:val="17"/>
        </w:numPr>
        <w:tabs>
          <w:tab w:val="left" w:pos="1199"/>
        </w:tabs>
        <w:ind w:hanging="362"/>
      </w:pPr>
      <w:r>
        <w:rPr>
          <w:w w:val="95"/>
        </w:rPr>
        <w:t>Ensure</w:t>
      </w:r>
      <w:r>
        <w:rPr>
          <w:spacing w:val="12"/>
        </w:rPr>
        <w:t xml:space="preserve"> </w:t>
      </w:r>
      <w:r>
        <w:rPr>
          <w:w w:val="95"/>
        </w:rPr>
        <w:t>SOGI</w:t>
      </w:r>
      <w:r>
        <w:rPr>
          <w:spacing w:val="14"/>
        </w:rPr>
        <w:t xml:space="preserve"> </w:t>
      </w:r>
      <w:r>
        <w:rPr>
          <w:w w:val="95"/>
        </w:rPr>
        <w:t>data</w:t>
      </w:r>
      <w:r>
        <w:rPr>
          <w:spacing w:val="10"/>
        </w:rPr>
        <w:t xml:space="preserve"> </w:t>
      </w:r>
      <w:r>
        <w:rPr>
          <w:w w:val="95"/>
        </w:rPr>
        <w:t>collection</w:t>
      </w:r>
      <w:r>
        <w:rPr>
          <w:spacing w:val="10"/>
        </w:rPr>
        <w:t xml:space="preserve"> </w:t>
      </w:r>
      <w:r>
        <w:rPr>
          <w:w w:val="95"/>
        </w:rPr>
        <w:t>and</w:t>
      </w:r>
      <w:r>
        <w:rPr>
          <w:spacing w:val="11"/>
        </w:rPr>
        <w:t xml:space="preserve"> </w:t>
      </w:r>
      <w:r>
        <w:rPr>
          <w:spacing w:val="-2"/>
          <w:w w:val="95"/>
        </w:rPr>
        <w:t>reporting.</w:t>
      </w:r>
    </w:p>
    <w:p w:rsidR="00C76E6D" w:rsidRDefault="00C76E6D">
      <w:pPr>
        <w:pStyle w:val="BodyText"/>
        <w:spacing w:before="8"/>
        <w:rPr>
          <w:sz w:val="28"/>
        </w:rPr>
      </w:pPr>
    </w:p>
    <w:p w:rsidR="00C76E6D" w:rsidRDefault="00913831">
      <w:pPr>
        <w:pStyle w:val="ListParagraph"/>
        <w:numPr>
          <w:ilvl w:val="1"/>
          <w:numId w:val="17"/>
        </w:numPr>
        <w:tabs>
          <w:tab w:val="left" w:pos="1199"/>
        </w:tabs>
        <w:spacing w:line="276" w:lineRule="auto"/>
        <w:ind w:right="863"/>
      </w:pPr>
      <w:r>
        <w:t>Collect</w:t>
      </w:r>
      <w:r>
        <w:rPr>
          <w:spacing w:val="-4"/>
        </w:rPr>
        <w:t xml:space="preserve"> </w:t>
      </w:r>
      <w:r>
        <w:t>and</w:t>
      </w:r>
      <w:r>
        <w:rPr>
          <w:spacing w:val="-4"/>
        </w:rPr>
        <w:t xml:space="preserve"> </w:t>
      </w:r>
      <w:r>
        <w:t>report</w:t>
      </w:r>
      <w:r>
        <w:rPr>
          <w:spacing w:val="-4"/>
        </w:rPr>
        <w:t xml:space="preserve"> </w:t>
      </w:r>
      <w:r>
        <w:t>sexual</w:t>
      </w:r>
      <w:r>
        <w:rPr>
          <w:spacing w:val="-3"/>
        </w:rPr>
        <w:t xml:space="preserve"> </w:t>
      </w:r>
      <w:r>
        <w:t>orientation</w:t>
      </w:r>
      <w:r>
        <w:rPr>
          <w:spacing w:val="-4"/>
        </w:rPr>
        <w:t xml:space="preserve"> </w:t>
      </w:r>
      <w:r>
        <w:t>and</w:t>
      </w:r>
      <w:r>
        <w:rPr>
          <w:spacing w:val="-4"/>
        </w:rPr>
        <w:t xml:space="preserve"> </w:t>
      </w:r>
      <w:r>
        <w:t>gender</w:t>
      </w:r>
      <w:r>
        <w:rPr>
          <w:spacing w:val="-3"/>
        </w:rPr>
        <w:t xml:space="preserve"> </w:t>
      </w:r>
      <w:r>
        <w:t>identity</w:t>
      </w:r>
      <w:r>
        <w:rPr>
          <w:spacing w:val="-3"/>
        </w:rPr>
        <w:t xml:space="preserve"> </w:t>
      </w:r>
      <w:r>
        <w:t>(SOGI)</w:t>
      </w:r>
      <w:r>
        <w:rPr>
          <w:spacing w:val="-3"/>
        </w:rPr>
        <w:t xml:space="preserve"> </w:t>
      </w:r>
      <w:r>
        <w:t>information</w:t>
      </w:r>
      <w:r>
        <w:rPr>
          <w:spacing w:val="-3"/>
        </w:rPr>
        <w:t xml:space="preserve"> </w:t>
      </w:r>
      <w:r>
        <w:t>when</w:t>
      </w:r>
      <w:r>
        <w:rPr>
          <w:spacing w:val="-4"/>
        </w:rPr>
        <w:t xml:space="preserve"> </w:t>
      </w:r>
      <w:r>
        <w:t>reporting statistics about abuse, neglect, and critical incidents.</w:t>
      </w:r>
    </w:p>
    <w:p w:rsidR="00C76E6D" w:rsidRDefault="00C76E6D">
      <w:pPr>
        <w:pStyle w:val="BodyText"/>
        <w:spacing w:before="2"/>
        <w:rPr>
          <w:sz w:val="25"/>
        </w:rPr>
      </w:pPr>
    </w:p>
    <w:p w:rsidR="00C76E6D" w:rsidRDefault="00913831">
      <w:pPr>
        <w:pStyle w:val="ListParagraph"/>
        <w:numPr>
          <w:ilvl w:val="1"/>
          <w:numId w:val="17"/>
        </w:numPr>
        <w:tabs>
          <w:tab w:val="left" w:pos="1199"/>
        </w:tabs>
        <w:spacing w:line="276" w:lineRule="auto"/>
        <w:ind w:right="864"/>
      </w:pPr>
      <w:r>
        <w:t>Identify</w:t>
      </w:r>
      <w:r>
        <w:rPr>
          <w:spacing w:val="-4"/>
        </w:rPr>
        <w:t xml:space="preserve"> </w:t>
      </w:r>
      <w:r>
        <w:t>opportunities</w:t>
      </w:r>
      <w:r>
        <w:rPr>
          <w:spacing w:val="-3"/>
        </w:rPr>
        <w:t xml:space="preserve"> </w:t>
      </w:r>
      <w:r>
        <w:t>to</w:t>
      </w:r>
      <w:r>
        <w:rPr>
          <w:spacing w:val="-2"/>
        </w:rPr>
        <w:t xml:space="preserve"> </w:t>
      </w:r>
      <w:r>
        <w:t>partner</w:t>
      </w:r>
      <w:r>
        <w:rPr>
          <w:spacing w:val="-4"/>
        </w:rPr>
        <w:t xml:space="preserve"> </w:t>
      </w:r>
      <w:r>
        <w:t>with</w:t>
      </w:r>
      <w:r>
        <w:rPr>
          <w:spacing w:val="-3"/>
        </w:rPr>
        <w:t xml:space="preserve"> </w:t>
      </w:r>
      <w:r>
        <w:t>the</w:t>
      </w:r>
      <w:r>
        <w:rPr>
          <w:spacing w:val="-4"/>
        </w:rPr>
        <w:t xml:space="preserve"> </w:t>
      </w:r>
      <w:r>
        <w:t>Commission</w:t>
      </w:r>
      <w:r>
        <w:rPr>
          <w:spacing w:val="-4"/>
        </w:rPr>
        <w:t xml:space="preserve"> </w:t>
      </w:r>
      <w:r>
        <w:t>to</w:t>
      </w:r>
      <w:r>
        <w:rPr>
          <w:spacing w:val="-3"/>
        </w:rPr>
        <w:t xml:space="preserve"> </w:t>
      </w:r>
      <w:r>
        <w:t>ensure</w:t>
      </w:r>
      <w:r>
        <w:rPr>
          <w:spacing w:val="-3"/>
        </w:rPr>
        <w:t xml:space="preserve"> </w:t>
      </w:r>
      <w:r>
        <w:t>the</w:t>
      </w:r>
      <w:r>
        <w:rPr>
          <w:spacing w:val="-4"/>
        </w:rPr>
        <w:t xml:space="preserve"> </w:t>
      </w:r>
      <w:r>
        <w:t>safety</w:t>
      </w:r>
      <w:r>
        <w:rPr>
          <w:spacing w:val="-3"/>
        </w:rPr>
        <w:t xml:space="preserve"> </w:t>
      </w:r>
      <w:r>
        <w:t>and</w:t>
      </w:r>
      <w:r>
        <w:rPr>
          <w:spacing w:val="-4"/>
        </w:rPr>
        <w:t xml:space="preserve"> </w:t>
      </w:r>
      <w:r>
        <w:t>education</w:t>
      </w:r>
      <w:r>
        <w:rPr>
          <w:spacing w:val="-3"/>
        </w:rPr>
        <w:t xml:space="preserve"> </w:t>
      </w:r>
      <w:r>
        <w:t>of the most vulnerable LGBTQ students.</w:t>
      </w:r>
    </w:p>
    <w:p w:rsidR="00C76E6D" w:rsidRDefault="00C76E6D">
      <w:pPr>
        <w:pStyle w:val="BodyText"/>
        <w:spacing w:before="6"/>
        <w:rPr>
          <w:sz w:val="25"/>
        </w:rPr>
      </w:pPr>
    </w:p>
    <w:p w:rsidR="00C76E6D" w:rsidRDefault="00913831">
      <w:pPr>
        <w:pStyle w:val="ListParagraph"/>
        <w:numPr>
          <w:ilvl w:val="1"/>
          <w:numId w:val="17"/>
        </w:numPr>
        <w:tabs>
          <w:tab w:val="left" w:pos="1199"/>
        </w:tabs>
        <w:ind w:hanging="362"/>
      </w:pPr>
      <w:r>
        <w:rPr>
          <w:w w:val="95"/>
        </w:rPr>
        <w:t>Explore</w:t>
      </w:r>
      <w:r>
        <w:rPr>
          <w:spacing w:val="15"/>
        </w:rPr>
        <w:t xml:space="preserve"> </w:t>
      </w:r>
      <w:r>
        <w:rPr>
          <w:w w:val="95"/>
        </w:rPr>
        <w:t>new</w:t>
      </w:r>
      <w:r>
        <w:rPr>
          <w:spacing w:val="20"/>
        </w:rPr>
        <w:t xml:space="preserve"> </w:t>
      </w:r>
      <w:r>
        <w:rPr>
          <w:w w:val="95"/>
        </w:rPr>
        <w:t>ways</w:t>
      </w:r>
      <w:r>
        <w:rPr>
          <w:spacing w:val="15"/>
        </w:rPr>
        <w:t xml:space="preserve"> </w:t>
      </w:r>
      <w:r>
        <w:rPr>
          <w:w w:val="95"/>
        </w:rPr>
        <w:t>to</w:t>
      </w:r>
      <w:r>
        <w:rPr>
          <w:spacing w:val="16"/>
        </w:rPr>
        <w:t xml:space="preserve"> </w:t>
      </w:r>
      <w:r>
        <w:rPr>
          <w:w w:val="95"/>
        </w:rPr>
        <w:t>promote</w:t>
      </w:r>
      <w:r>
        <w:rPr>
          <w:spacing w:val="12"/>
        </w:rPr>
        <w:t xml:space="preserve"> </w:t>
      </w:r>
      <w:r>
        <w:rPr>
          <w:w w:val="95"/>
        </w:rPr>
        <w:t>LGBTQ-inclusive</w:t>
      </w:r>
      <w:r>
        <w:rPr>
          <w:spacing w:val="15"/>
        </w:rPr>
        <w:t xml:space="preserve"> </w:t>
      </w:r>
      <w:r>
        <w:rPr>
          <w:w w:val="95"/>
        </w:rPr>
        <w:t>suicide</w:t>
      </w:r>
      <w:r>
        <w:rPr>
          <w:spacing w:val="13"/>
        </w:rPr>
        <w:t xml:space="preserve"> </w:t>
      </w:r>
      <w:r>
        <w:rPr>
          <w:w w:val="95"/>
        </w:rPr>
        <w:t>prevention</w:t>
      </w:r>
      <w:r>
        <w:rPr>
          <w:spacing w:val="17"/>
        </w:rPr>
        <w:t xml:space="preserve"> </w:t>
      </w:r>
      <w:r>
        <w:rPr>
          <w:spacing w:val="-2"/>
          <w:w w:val="95"/>
        </w:rPr>
        <w:t>efforts.</w:t>
      </w:r>
    </w:p>
    <w:p w:rsidR="00C76E6D" w:rsidRDefault="00C76E6D">
      <w:pPr>
        <w:pStyle w:val="BodyText"/>
      </w:pPr>
    </w:p>
    <w:p w:rsidR="00C76E6D" w:rsidRDefault="00C76E6D">
      <w:pPr>
        <w:pStyle w:val="BodyText"/>
        <w:spacing w:before="5"/>
        <w:rPr>
          <w:sz w:val="28"/>
        </w:rPr>
      </w:pPr>
    </w:p>
    <w:p w:rsidR="00C76E6D" w:rsidRDefault="00913831">
      <w:pPr>
        <w:pStyle w:val="Heading5"/>
        <w:spacing w:before="1"/>
        <w:ind w:left="480"/>
      </w:pPr>
      <w:r>
        <w:t>Background</w:t>
      </w:r>
      <w:r>
        <w:rPr>
          <w:spacing w:val="-15"/>
        </w:rPr>
        <w:t xml:space="preserve"> </w:t>
      </w:r>
      <w:r>
        <w:t>&amp;</w:t>
      </w:r>
      <w:r>
        <w:rPr>
          <w:spacing w:val="-6"/>
        </w:rPr>
        <w:t xml:space="preserve"> </w:t>
      </w:r>
      <w:r>
        <w:rPr>
          <w:spacing w:val="-2"/>
        </w:rPr>
        <w:t>Research</w:t>
      </w:r>
    </w:p>
    <w:p w:rsidR="00C76E6D" w:rsidRDefault="00913831">
      <w:pPr>
        <w:pStyle w:val="BodyText"/>
        <w:spacing w:before="5"/>
        <w:rPr>
          <w:b/>
          <w:sz w:val="8"/>
        </w:rPr>
      </w:pPr>
      <w:r>
        <w:pict>
          <v:shape id="docshape362" o:spid="_x0000_s1105" style="position:absolute;margin-left:1in;margin-top:6.35pt;width:476.95pt;height:.1pt;z-index:-15657984;mso-wrap-distance-left:0;mso-wrap-distance-right:0;mso-position-horizontal-relative:page" coordorigin="1440,127" coordsize="9539,0" path="m1440,127r9539,e" filled="f" strokeweight="1.54pt">
            <v:path arrowok="t"/>
            <w10:wrap type="topAndBottom" anchorx="page"/>
          </v:shape>
        </w:pict>
      </w:r>
    </w:p>
    <w:p w:rsidR="00C76E6D" w:rsidRDefault="00C76E6D">
      <w:pPr>
        <w:pStyle w:val="BodyText"/>
        <w:spacing w:before="5"/>
        <w:rPr>
          <w:b/>
          <w:sz w:val="31"/>
        </w:rPr>
      </w:pPr>
    </w:p>
    <w:p w:rsidR="00C76E6D" w:rsidRDefault="00913831">
      <w:pPr>
        <w:pStyle w:val="BodyText"/>
        <w:spacing w:line="276" w:lineRule="auto"/>
        <w:ind w:left="480" w:right="474"/>
        <w:jc w:val="both"/>
      </w:pPr>
      <w:r>
        <w:t>The Commission is pleased to be issuing recommendations to the Office of the Child Advocate (OCA) for the first time. The Commission opens this relationship with OCA following a report the Commission released</w:t>
      </w:r>
      <w:r>
        <w:rPr>
          <w:spacing w:val="-2"/>
        </w:rPr>
        <w:t xml:space="preserve"> </w:t>
      </w:r>
      <w:r>
        <w:t>in</w:t>
      </w:r>
      <w:r>
        <w:rPr>
          <w:spacing w:val="-1"/>
        </w:rPr>
        <w:t xml:space="preserve"> </w:t>
      </w:r>
      <w:r>
        <w:t>July 2021, which</w:t>
      </w:r>
      <w:r>
        <w:rPr>
          <w:spacing w:val="-1"/>
        </w:rPr>
        <w:t xml:space="preserve"> </w:t>
      </w:r>
      <w:r>
        <w:t xml:space="preserve">detailed a state of crisis </w:t>
      </w:r>
      <w:r>
        <w:t>for LGBTQ youth</w:t>
      </w:r>
      <w:r>
        <w:rPr>
          <w:spacing w:val="-1"/>
        </w:rPr>
        <w:t xml:space="preserve"> </w:t>
      </w:r>
      <w:r>
        <w:t>in the Massachusetts child welfare system.</w:t>
      </w:r>
      <w:r>
        <w:rPr>
          <w:spacing w:val="-4"/>
        </w:rPr>
        <w:t xml:space="preserve"> </w:t>
      </w:r>
      <w:r>
        <w:t>Specifically,</w:t>
      </w:r>
      <w:r>
        <w:rPr>
          <w:spacing w:val="-4"/>
        </w:rPr>
        <w:t xml:space="preserve"> </w:t>
      </w:r>
      <w:r>
        <w:t>the</w:t>
      </w:r>
      <w:r>
        <w:rPr>
          <w:spacing w:val="-4"/>
        </w:rPr>
        <w:t xml:space="preserve"> </w:t>
      </w:r>
      <w:r>
        <w:t>report</w:t>
      </w:r>
      <w:r>
        <w:rPr>
          <w:spacing w:val="-5"/>
        </w:rPr>
        <w:t xml:space="preserve"> </w:t>
      </w:r>
      <w:r>
        <w:t>found</w:t>
      </w:r>
      <w:r>
        <w:rPr>
          <w:spacing w:val="-4"/>
        </w:rPr>
        <w:t xml:space="preserve"> </w:t>
      </w:r>
      <w:r>
        <w:t>pervasive</w:t>
      </w:r>
      <w:r>
        <w:rPr>
          <w:spacing w:val="-5"/>
        </w:rPr>
        <w:t xml:space="preserve"> </w:t>
      </w:r>
      <w:r>
        <w:t>threats</w:t>
      </w:r>
      <w:r>
        <w:rPr>
          <w:spacing w:val="-5"/>
        </w:rPr>
        <w:t xml:space="preserve"> </w:t>
      </w:r>
      <w:r>
        <w:t>to</w:t>
      </w:r>
      <w:r>
        <w:rPr>
          <w:spacing w:val="-2"/>
        </w:rPr>
        <w:t xml:space="preserve"> </w:t>
      </w:r>
      <w:r>
        <w:t>the</w:t>
      </w:r>
      <w:r>
        <w:rPr>
          <w:spacing w:val="-4"/>
        </w:rPr>
        <w:t xml:space="preserve"> </w:t>
      </w:r>
      <w:r>
        <w:t>safety,</w:t>
      </w:r>
      <w:r>
        <w:rPr>
          <w:spacing w:val="-5"/>
        </w:rPr>
        <w:t xml:space="preserve"> </w:t>
      </w:r>
      <w:r>
        <w:t>wellbeing,</w:t>
      </w:r>
      <w:r>
        <w:rPr>
          <w:spacing w:val="-5"/>
        </w:rPr>
        <w:t xml:space="preserve"> </w:t>
      </w:r>
      <w:r>
        <w:t>and</w:t>
      </w:r>
      <w:r>
        <w:rPr>
          <w:spacing w:val="-3"/>
        </w:rPr>
        <w:t xml:space="preserve"> </w:t>
      </w:r>
      <w:r>
        <w:t>permanency</w:t>
      </w:r>
      <w:r>
        <w:rPr>
          <w:spacing w:val="-4"/>
        </w:rPr>
        <w:t xml:space="preserve"> </w:t>
      </w:r>
      <w:r>
        <w:t>of</w:t>
      </w:r>
      <w:r>
        <w:rPr>
          <w:spacing w:val="-4"/>
        </w:rPr>
        <w:t xml:space="preserve"> </w:t>
      </w:r>
      <w:r>
        <w:t>DCF- involved</w:t>
      </w:r>
      <w:r>
        <w:rPr>
          <w:spacing w:val="-13"/>
        </w:rPr>
        <w:t xml:space="preserve"> </w:t>
      </w:r>
      <w:r>
        <w:t>queer</w:t>
      </w:r>
      <w:r>
        <w:rPr>
          <w:spacing w:val="-12"/>
        </w:rPr>
        <w:t xml:space="preserve"> </w:t>
      </w:r>
      <w:r>
        <w:t>youth</w:t>
      </w:r>
      <w:r>
        <w:rPr>
          <w:spacing w:val="-13"/>
        </w:rPr>
        <w:t xml:space="preserve"> </w:t>
      </w:r>
      <w:r>
        <w:t>of</w:t>
      </w:r>
      <w:r>
        <w:rPr>
          <w:spacing w:val="-12"/>
        </w:rPr>
        <w:t xml:space="preserve"> </w:t>
      </w:r>
      <w:r>
        <w:t>all</w:t>
      </w:r>
      <w:r>
        <w:rPr>
          <w:spacing w:val="-13"/>
        </w:rPr>
        <w:t xml:space="preserve"> </w:t>
      </w:r>
      <w:r>
        <w:t>ages.</w:t>
      </w:r>
      <w:r>
        <w:rPr>
          <w:spacing w:val="-12"/>
        </w:rPr>
        <w:t xml:space="preserve"> </w:t>
      </w:r>
      <w:r>
        <w:t>This</w:t>
      </w:r>
      <w:r>
        <w:rPr>
          <w:spacing w:val="-13"/>
        </w:rPr>
        <w:t xml:space="preserve"> </w:t>
      </w:r>
      <w:r>
        <w:t>included:</w:t>
      </w:r>
      <w:r>
        <w:rPr>
          <w:spacing w:val="-12"/>
        </w:rPr>
        <w:t xml:space="preserve"> </w:t>
      </w:r>
      <w:r>
        <w:t>experiences</w:t>
      </w:r>
      <w:r>
        <w:rPr>
          <w:spacing w:val="-12"/>
        </w:rPr>
        <w:t xml:space="preserve"> </w:t>
      </w:r>
      <w:r>
        <w:t>of</w:t>
      </w:r>
      <w:r>
        <w:rPr>
          <w:spacing w:val="-13"/>
        </w:rPr>
        <w:t xml:space="preserve"> </w:t>
      </w:r>
      <w:r>
        <w:t>violence,</w:t>
      </w:r>
      <w:r>
        <w:rPr>
          <w:spacing w:val="-12"/>
        </w:rPr>
        <w:t xml:space="preserve"> </w:t>
      </w:r>
      <w:r>
        <w:t>abuse,</w:t>
      </w:r>
      <w:r>
        <w:rPr>
          <w:spacing w:val="-13"/>
        </w:rPr>
        <w:t xml:space="preserve"> </w:t>
      </w:r>
      <w:r>
        <w:t>and</w:t>
      </w:r>
      <w:r>
        <w:rPr>
          <w:spacing w:val="-12"/>
        </w:rPr>
        <w:t xml:space="preserve"> </w:t>
      </w:r>
      <w:r>
        <w:t>exploitation,</w:t>
      </w:r>
      <w:r>
        <w:rPr>
          <w:spacing w:val="-13"/>
        </w:rPr>
        <w:t xml:space="preserve"> </w:t>
      </w:r>
      <w:r>
        <w:t xml:space="preserve">especially in congregate care settings; long delays in medical care and barriers to education; and inappropriate placements, frequent moves, and challenging transitions to adulthood. Strong oversight of state foster care and other youth-serving systems is </w:t>
      </w:r>
      <w:r>
        <w:t>critical to ending this pattern and ensuring that LGBTQ youth receive affirming and effective state services.</w:t>
      </w:r>
    </w:p>
    <w:p w:rsidR="00C76E6D" w:rsidRDefault="00C76E6D">
      <w:pPr>
        <w:pStyle w:val="BodyText"/>
        <w:spacing w:before="3"/>
        <w:rPr>
          <w:sz w:val="25"/>
        </w:rPr>
      </w:pPr>
    </w:p>
    <w:p w:rsidR="00C76E6D" w:rsidRDefault="00913831">
      <w:pPr>
        <w:pStyle w:val="BodyText"/>
        <w:spacing w:line="276" w:lineRule="auto"/>
        <w:ind w:left="479" w:right="474"/>
        <w:jc w:val="both"/>
      </w:pPr>
      <w:r>
        <w:t>The Commission notes that OCA has significant influence to advocate for necessary changes to the child welfare</w:t>
      </w:r>
      <w:r>
        <w:rPr>
          <w:spacing w:val="-13"/>
        </w:rPr>
        <w:t xml:space="preserve"> </w:t>
      </w:r>
      <w:r>
        <w:t>system</w:t>
      </w:r>
      <w:r>
        <w:rPr>
          <w:spacing w:val="-12"/>
        </w:rPr>
        <w:t xml:space="preserve"> </w:t>
      </w:r>
      <w:r>
        <w:t>following</w:t>
      </w:r>
      <w:r>
        <w:rPr>
          <w:spacing w:val="-12"/>
        </w:rPr>
        <w:t xml:space="preserve"> </w:t>
      </w:r>
      <w:r>
        <w:t>the</w:t>
      </w:r>
      <w:r>
        <w:rPr>
          <w:spacing w:val="-13"/>
        </w:rPr>
        <w:t xml:space="preserve"> </w:t>
      </w:r>
      <w:r>
        <w:t>tragic</w:t>
      </w:r>
      <w:r>
        <w:rPr>
          <w:spacing w:val="-12"/>
        </w:rPr>
        <w:t xml:space="preserve"> </w:t>
      </w:r>
      <w:r>
        <w:t>death</w:t>
      </w:r>
      <w:r>
        <w:rPr>
          <w:spacing w:val="-12"/>
        </w:rPr>
        <w:t xml:space="preserve"> </w:t>
      </w:r>
      <w:r>
        <w:t>and</w:t>
      </w:r>
      <w:r>
        <w:rPr>
          <w:spacing w:val="-13"/>
        </w:rPr>
        <w:t xml:space="preserve"> </w:t>
      </w:r>
      <w:r>
        <w:t>disappearance,</w:t>
      </w:r>
      <w:r>
        <w:rPr>
          <w:spacing w:val="-11"/>
        </w:rPr>
        <w:t xml:space="preserve"> </w:t>
      </w:r>
      <w:r>
        <w:t>respectively,</w:t>
      </w:r>
      <w:r>
        <w:rPr>
          <w:spacing w:val="-10"/>
        </w:rPr>
        <w:t xml:space="preserve"> </w:t>
      </w:r>
      <w:r>
        <w:t>of</w:t>
      </w:r>
      <w:r>
        <w:rPr>
          <w:spacing w:val="-13"/>
        </w:rPr>
        <w:t xml:space="preserve"> </w:t>
      </w:r>
      <w:r>
        <w:t>David</w:t>
      </w:r>
      <w:r>
        <w:rPr>
          <w:spacing w:val="-12"/>
        </w:rPr>
        <w:t xml:space="preserve"> </w:t>
      </w:r>
      <w:r>
        <w:t>Almond</w:t>
      </w:r>
      <w:r>
        <w:rPr>
          <w:spacing w:val="-10"/>
        </w:rPr>
        <w:t xml:space="preserve"> </w:t>
      </w:r>
      <w:r>
        <w:t>and</w:t>
      </w:r>
      <w:r>
        <w:rPr>
          <w:spacing w:val="-13"/>
        </w:rPr>
        <w:t xml:space="preserve"> </w:t>
      </w:r>
      <w:r>
        <w:t>Harmony Montgomery, as well as the OCA’s previous investigative reports dating back to 2013. The Commission seeks to partner with OCA to avoid leaving LGBTQ youth invisible and unaddressed - a pattern th</w:t>
      </w:r>
      <w:r>
        <w:t>at has occurred repeatedly in previous waves of Massachusetts child welfare reform.</w:t>
      </w:r>
    </w:p>
    <w:p w:rsidR="00C76E6D" w:rsidRDefault="00C76E6D">
      <w:pPr>
        <w:pStyle w:val="BodyText"/>
        <w:spacing w:before="2"/>
        <w:rPr>
          <w:sz w:val="25"/>
        </w:rPr>
      </w:pPr>
    </w:p>
    <w:p w:rsidR="00C76E6D" w:rsidRDefault="00913831">
      <w:pPr>
        <w:pStyle w:val="BodyText"/>
        <w:spacing w:line="276" w:lineRule="auto"/>
        <w:ind w:left="481" w:right="475" w:hanging="2"/>
        <w:jc w:val="both"/>
      </w:pPr>
      <w:r>
        <w:t>The</w:t>
      </w:r>
      <w:r>
        <w:rPr>
          <w:spacing w:val="-3"/>
        </w:rPr>
        <w:t xml:space="preserve"> </w:t>
      </w:r>
      <w:r>
        <w:t>Commission</w:t>
      </w:r>
      <w:r>
        <w:rPr>
          <w:spacing w:val="-3"/>
        </w:rPr>
        <w:t xml:space="preserve"> </w:t>
      </w:r>
      <w:r>
        <w:t>generally works</w:t>
      </w:r>
      <w:r>
        <w:rPr>
          <w:spacing w:val="-4"/>
        </w:rPr>
        <w:t xml:space="preserve"> </w:t>
      </w:r>
      <w:r>
        <w:t>with</w:t>
      </w:r>
      <w:r>
        <w:rPr>
          <w:spacing w:val="-3"/>
        </w:rPr>
        <w:t xml:space="preserve"> </w:t>
      </w:r>
      <w:r>
        <w:t>its</w:t>
      </w:r>
      <w:r>
        <w:rPr>
          <w:spacing w:val="-4"/>
        </w:rPr>
        <w:t xml:space="preserve"> </w:t>
      </w:r>
      <w:r>
        <w:t>state</w:t>
      </w:r>
      <w:r>
        <w:rPr>
          <w:spacing w:val="-3"/>
        </w:rPr>
        <w:t xml:space="preserve"> </w:t>
      </w:r>
      <w:r>
        <w:t>partners</w:t>
      </w:r>
      <w:r>
        <w:rPr>
          <w:spacing w:val="-4"/>
        </w:rPr>
        <w:t xml:space="preserve"> </w:t>
      </w:r>
      <w:r>
        <w:t>on</w:t>
      </w:r>
      <w:r>
        <w:rPr>
          <w:spacing w:val="-3"/>
        </w:rPr>
        <w:t xml:space="preserve"> </w:t>
      </w:r>
      <w:r>
        <w:t>an</w:t>
      </w:r>
      <w:r>
        <w:rPr>
          <w:spacing w:val="-3"/>
        </w:rPr>
        <w:t xml:space="preserve"> </w:t>
      </w:r>
      <w:r>
        <w:t>annual</w:t>
      </w:r>
      <w:r>
        <w:rPr>
          <w:spacing w:val="-3"/>
        </w:rPr>
        <w:t xml:space="preserve"> </w:t>
      </w:r>
      <w:r>
        <w:t>basis</w:t>
      </w:r>
      <w:r>
        <w:rPr>
          <w:spacing w:val="-3"/>
        </w:rPr>
        <w:t xml:space="preserve"> </w:t>
      </w:r>
      <w:r>
        <w:t>to</w:t>
      </w:r>
      <w:r>
        <w:rPr>
          <w:spacing w:val="-1"/>
        </w:rPr>
        <w:t xml:space="preserve"> </w:t>
      </w:r>
      <w:r>
        <w:t>collaboratively</w:t>
      </w:r>
      <w:r>
        <w:rPr>
          <w:spacing w:val="-3"/>
        </w:rPr>
        <w:t xml:space="preserve"> </w:t>
      </w:r>
      <w:r>
        <w:t>identify</w:t>
      </w:r>
      <w:r>
        <w:rPr>
          <w:spacing w:val="-2"/>
        </w:rPr>
        <w:t xml:space="preserve"> </w:t>
      </w:r>
      <w:r>
        <w:t>and work</w:t>
      </w:r>
      <w:r>
        <w:rPr>
          <w:spacing w:val="-10"/>
        </w:rPr>
        <w:t xml:space="preserve"> </w:t>
      </w:r>
      <w:r>
        <w:t>toward</w:t>
      </w:r>
      <w:r>
        <w:rPr>
          <w:spacing w:val="-9"/>
        </w:rPr>
        <w:t xml:space="preserve"> </w:t>
      </w:r>
      <w:r>
        <w:t>goals</w:t>
      </w:r>
      <w:r>
        <w:rPr>
          <w:spacing w:val="-9"/>
        </w:rPr>
        <w:t xml:space="preserve"> </w:t>
      </w:r>
      <w:r>
        <w:t>for</w:t>
      </w:r>
      <w:r>
        <w:rPr>
          <w:spacing w:val="-9"/>
        </w:rPr>
        <w:t xml:space="preserve"> </w:t>
      </w:r>
      <w:r>
        <w:t>the</w:t>
      </w:r>
      <w:r>
        <w:rPr>
          <w:spacing w:val="-7"/>
        </w:rPr>
        <w:t xml:space="preserve"> </w:t>
      </w:r>
      <w:r>
        <w:t>upcoming</w:t>
      </w:r>
      <w:r>
        <w:rPr>
          <w:spacing w:val="-10"/>
        </w:rPr>
        <w:t xml:space="preserve"> </w:t>
      </w:r>
      <w:r>
        <w:t>year.</w:t>
      </w:r>
      <w:r>
        <w:rPr>
          <w:spacing w:val="-10"/>
        </w:rPr>
        <w:t xml:space="preserve"> </w:t>
      </w:r>
      <w:r>
        <w:t>The</w:t>
      </w:r>
      <w:r>
        <w:rPr>
          <w:spacing w:val="-9"/>
        </w:rPr>
        <w:t xml:space="preserve"> </w:t>
      </w:r>
      <w:r>
        <w:t>Commission</w:t>
      </w:r>
      <w:r>
        <w:rPr>
          <w:spacing w:val="-10"/>
        </w:rPr>
        <w:t xml:space="preserve"> </w:t>
      </w:r>
      <w:r>
        <w:t>looks</w:t>
      </w:r>
      <w:r>
        <w:rPr>
          <w:spacing w:val="-9"/>
        </w:rPr>
        <w:t xml:space="preserve"> </w:t>
      </w:r>
      <w:r>
        <w:t>forward</w:t>
      </w:r>
      <w:r>
        <w:rPr>
          <w:spacing w:val="-10"/>
        </w:rPr>
        <w:t xml:space="preserve"> </w:t>
      </w:r>
      <w:r>
        <w:t>to</w:t>
      </w:r>
      <w:r>
        <w:rPr>
          <w:spacing w:val="-8"/>
        </w:rPr>
        <w:t xml:space="preserve"> </w:t>
      </w:r>
      <w:r>
        <w:t>engaging</w:t>
      </w:r>
      <w:r>
        <w:rPr>
          <w:spacing w:val="-9"/>
        </w:rPr>
        <w:t xml:space="preserve"> </w:t>
      </w:r>
      <w:r>
        <w:t>in</w:t>
      </w:r>
      <w:r>
        <w:rPr>
          <w:spacing w:val="-9"/>
        </w:rPr>
        <w:t xml:space="preserve"> </w:t>
      </w:r>
      <w:r>
        <w:t>that</w:t>
      </w:r>
      <w:r>
        <w:rPr>
          <w:spacing w:val="-10"/>
        </w:rPr>
        <w:t xml:space="preserve"> </w:t>
      </w:r>
      <w:r>
        <w:t>process</w:t>
      </w:r>
      <w:r>
        <w:rPr>
          <w:spacing w:val="-9"/>
        </w:rPr>
        <w:t xml:space="preserve"> </w:t>
      </w:r>
      <w:r>
        <w:t>with</w:t>
      </w:r>
    </w:p>
    <w:p w:rsidR="00C76E6D" w:rsidRDefault="00C76E6D">
      <w:pPr>
        <w:spacing w:line="276" w:lineRule="auto"/>
        <w:jc w:val="both"/>
        <w:sectPr w:rsidR="00C76E6D">
          <w:headerReference w:type="default" r:id="rId403"/>
          <w:footerReference w:type="default" r:id="rId404"/>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479" w:right="530"/>
      </w:pPr>
      <w:r>
        <w:t>OCA</w:t>
      </w:r>
      <w:r>
        <w:rPr>
          <w:spacing w:val="76"/>
        </w:rPr>
        <w:t xml:space="preserve"> </w:t>
      </w:r>
      <w:r>
        <w:t>over</w:t>
      </w:r>
      <w:r>
        <w:rPr>
          <w:spacing w:val="76"/>
        </w:rPr>
        <w:t xml:space="preserve"> </w:t>
      </w:r>
      <w:r>
        <w:t>the</w:t>
      </w:r>
      <w:r>
        <w:rPr>
          <w:spacing w:val="76"/>
        </w:rPr>
        <w:t xml:space="preserve"> </w:t>
      </w:r>
      <w:r>
        <w:t>coming</w:t>
      </w:r>
      <w:r>
        <w:rPr>
          <w:spacing w:val="75"/>
        </w:rPr>
        <w:t xml:space="preserve"> </w:t>
      </w:r>
      <w:r>
        <w:t>twelve</w:t>
      </w:r>
      <w:r>
        <w:rPr>
          <w:spacing w:val="76"/>
        </w:rPr>
        <w:t xml:space="preserve"> </w:t>
      </w:r>
      <w:r>
        <w:t>months,</w:t>
      </w:r>
      <w:r>
        <w:rPr>
          <w:spacing w:val="76"/>
        </w:rPr>
        <w:t xml:space="preserve"> </w:t>
      </w:r>
      <w:r>
        <w:t>and</w:t>
      </w:r>
      <w:r>
        <w:rPr>
          <w:spacing w:val="76"/>
        </w:rPr>
        <w:t xml:space="preserve"> </w:t>
      </w:r>
      <w:r>
        <w:t>particularly</w:t>
      </w:r>
      <w:r>
        <w:rPr>
          <w:spacing w:val="76"/>
        </w:rPr>
        <w:t xml:space="preserve"> </w:t>
      </w:r>
      <w:r>
        <w:t>hopes</w:t>
      </w:r>
      <w:r>
        <w:rPr>
          <w:spacing w:val="76"/>
        </w:rPr>
        <w:t xml:space="preserve"> </w:t>
      </w:r>
      <w:r>
        <w:t>to</w:t>
      </w:r>
      <w:r>
        <w:rPr>
          <w:spacing w:val="76"/>
        </w:rPr>
        <w:t xml:space="preserve"> </w:t>
      </w:r>
      <w:r>
        <w:t>jointly</w:t>
      </w:r>
      <w:r>
        <w:rPr>
          <w:spacing w:val="76"/>
        </w:rPr>
        <w:t xml:space="preserve"> </w:t>
      </w:r>
      <w:r>
        <w:t>address</w:t>
      </w:r>
      <w:r>
        <w:rPr>
          <w:spacing w:val="76"/>
        </w:rPr>
        <w:t xml:space="preserve"> </w:t>
      </w:r>
      <w:r>
        <w:t>the</w:t>
      </w:r>
      <w:r>
        <w:rPr>
          <w:spacing w:val="77"/>
        </w:rPr>
        <w:t xml:space="preserve"> </w:t>
      </w:r>
      <w:r>
        <w:t xml:space="preserve">following </w:t>
      </w:r>
      <w:r>
        <w:rPr>
          <w:spacing w:val="-2"/>
        </w:rPr>
        <w:t>recommendations.</w:t>
      </w:r>
    </w:p>
    <w:p w:rsidR="00C76E6D" w:rsidRDefault="00C76E6D">
      <w:pPr>
        <w:pStyle w:val="BodyText"/>
      </w:pPr>
    </w:p>
    <w:p w:rsidR="00C76E6D" w:rsidRDefault="00C76E6D">
      <w:pPr>
        <w:pStyle w:val="BodyText"/>
        <w:spacing w:before="3"/>
        <w:rPr>
          <w:sz w:val="23"/>
        </w:rPr>
      </w:pPr>
    </w:p>
    <w:p w:rsidR="00C76E6D" w:rsidRDefault="00913831">
      <w:pPr>
        <w:pStyle w:val="Heading5"/>
        <w:ind w:left="480"/>
      </w:pPr>
      <w:r>
        <w:rPr>
          <w:spacing w:val="-2"/>
        </w:rPr>
        <w:t>Expanded</w:t>
      </w:r>
      <w:r>
        <w:t xml:space="preserve"> </w:t>
      </w:r>
      <w:r>
        <w:rPr>
          <w:spacing w:val="-2"/>
        </w:rPr>
        <w:t>Recommendations</w:t>
      </w:r>
    </w:p>
    <w:p w:rsidR="00C76E6D" w:rsidRDefault="00913831">
      <w:pPr>
        <w:pStyle w:val="BodyText"/>
        <w:spacing w:before="11"/>
        <w:rPr>
          <w:b/>
          <w:sz w:val="6"/>
        </w:rPr>
      </w:pPr>
      <w:r>
        <w:pict>
          <v:shape id="docshape363" o:spid="_x0000_s1104" style="position:absolute;margin-left:1in;margin-top:5.4pt;width:476.95pt;height:.1pt;z-index:-15657472;mso-wrap-distance-left:0;mso-wrap-distance-right:0;mso-position-horizontal-relative:page" coordorigin="1440,108" coordsize="9539,0" path="m1440,108r9539,e" filled="f" strokeweight="1.54pt">
            <v:path arrowok="t"/>
            <w10:wrap type="topAndBottom" anchorx="page"/>
          </v:shape>
        </w:pict>
      </w:r>
    </w:p>
    <w:p w:rsidR="00C76E6D" w:rsidRDefault="00C76E6D">
      <w:pPr>
        <w:pStyle w:val="BodyText"/>
        <w:spacing w:before="6"/>
        <w:rPr>
          <w:b/>
          <w:sz w:val="35"/>
        </w:rPr>
      </w:pPr>
    </w:p>
    <w:p w:rsidR="00C76E6D" w:rsidRDefault="00913831">
      <w:pPr>
        <w:pStyle w:val="Heading6"/>
        <w:numPr>
          <w:ilvl w:val="0"/>
          <w:numId w:val="16"/>
        </w:numPr>
        <w:tabs>
          <w:tab w:val="left" w:pos="718"/>
        </w:tabs>
        <w:ind w:hanging="240"/>
      </w:pPr>
      <w:bookmarkStart w:id="784" w:name="A._Youth_in_State_Care_and_Custody_Recom"/>
      <w:bookmarkEnd w:id="784"/>
      <w:r>
        <w:t>Y</w:t>
      </w:r>
      <w:r>
        <w:t>outh</w:t>
      </w:r>
      <w:r>
        <w:rPr>
          <w:spacing w:val="-12"/>
        </w:rPr>
        <w:t xml:space="preserve"> </w:t>
      </w:r>
      <w:r>
        <w:t>in</w:t>
      </w:r>
      <w:r>
        <w:rPr>
          <w:spacing w:val="-13"/>
        </w:rPr>
        <w:t xml:space="preserve"> </w:t>
      </w:r>
      <w:r>
        <w:t>State</w:t>
      </w:r>
      <w:r>
        <w:rPr>
          <w:spacing w:val="-12"/>
        </w:rPr>
        <w:t xml:space="preserve"> </w:t>
      </w:r>
      <w:r>
        <w:t>Care</w:t>
      </w:r>
      <w:r>
        <w:rPr>
          <w:spacing w:val="-11"/>
        </w:rPr>
        <w:t xml:space="preserve"> </w:t>
      </w:r>
      <w:r>
        <w:t>and</w:t>
      </w:r>
      <w:r>
        <w:rPr>
          <w:spacing w:val="-12"/>
        </w:rPr>
        <w:t xml:space="preserve"> </w:t>
      </w:r>
      <w:r>
        <w:t>Custody</w:t>
      </w:r>
      <w:r>
        <w:rPr>
          <w:spacing w:val="-11"/>
        </w:rPr>
        <w:t xml:space="preserve"> </w:t>
      </w:r>
      <w:r>
        <w:rPr>
          <w:spacing w:val="-2"/>
        </w:rPr>
        <w:t>Recommendations</w:t>
      </w:r>
    </w:p>
    <w:p w:rsidR="00C76E6D" w:rsidRDefault="00C76E6D">
      <w:pPr>
        <w:pStyle w:val="BodyText"/>
        <w:spacing w:before="5"/>
        <w:rPr>
          <w:b/>
          <w:sz w:val="28"/>
        </w:rPr>
      </w:pPr>
    </w:p>
    <w:p w:rsidR="00C76E6D" w:rsidRDefault="00913831">
      <w:pPr>
        <w:pStyle w:val="ListParagraph"/>
        <w:numPr>
          <w:ilvl w:val="1"/>
          <w:numId w:val="16"/>
        </w:numPr>
        <w:tabs>
          <w:tab w:val="left" w:pos="706"/>
        </w:tabs>
        <w:spacing w:line="276" w:lineRule="auto"/>
        <w:ind w:right="562" w:hanging="1"/>
        <w:rPr>
          <w:b/>
        </w:rPr>
      </w:pPr>
      <w:r>
        <w:rPr>
          <w:b/>
        </w:rPr>
        <w:t>OCA</w:t>
      </w:r>
      <w:r>
        <w:rPr>
          <w:b/>
          <w:spacing w:val="-4"/>
        </w:rPr>
        <w:t xml:space="preserve"> </w:t>
      </w:r>
      <w:r>
        <w:rPr>
          <w:b/>
        </w:rPr>
        <w:t>should</w:t>
      </w:r>
      <w:r>
        <w:rPr>
          <w:b/>
          <w:spacing w:val="-2"/>
        </w:rPr>
        <w:t xml:space="preserve"> </w:t>
      </w:r>
      <w:r>
        <w:rPr>
          <w:b/>
        </w:rPr>
        <w:t>make</w:t>
      </w:r>
      <w:r>
        <w:rPr>
          <w:b/>
          <w:spacing w:val="-3"/>
        </w:rPr>
        <w:t xml:space="preserve"> </w:t>
      </w:r>
      <w:r>
        <w:rPr>
          <w:b/>
        </w:rPr>
        <w:t>efforts</w:t>
      </w:r>
      <w:r>
        <w:rPr>
          <w:b/>
          <w:spacing w:val="-2"/>
        </w:rPr>
        <w:t xml:space="preserve"> </w:t>
      </w:r>
      <w:r>
        <w:rPr>
          <w:b/>
        </w:rPr>
        <w:t>to</w:t>
      </w:r>
      <w:r>
        <w:rPr>
          <w:b/>
          <w:spacing w:val="-3"/>
        </w:rPr>
        <w:t xml:space="preserve"> </w:t>
      </w:r>
      <w:r>
        <w:rPr>
          <w:b/>
        </w:rPr>
        <w:t>understand</w:t>
      </w:r>
      <w:r>
        <w:rPr>
          <w:b/>
          <w:spacing w:val="-4"/>
        </w:rPr>
        <w:t xml:space="preserve"> </w:t>
      </w:r>
      <w:r>
        <w:rPr>
          <w:b/>
        </w:rPr>
        <w:t>concerns</w:t>
      </w:r>
      <w:r>
        <w:rPr>
          <w:b/>
          <w:spacing w:val="-3"/>
        </w:rPr>
        <w:t xml:space="preserve"> </w:t>
      </w:r>
      <w:r>
        <w:rPr>
          <w:b/>
        </w:rPr>
        <w:t>regarding</w:t>
      </w:r>
      <w:r>
        <w:rPr>
          <w:b/>
          <w:spacing w:val="-2"/>
        </w:rPr>
        <w:t xml:space="preserve"> </w:t>
      </w:r>
      <w:r>
        <w:rPr>
          <w:b/>
        </w:rPr>
        <w:t>LGBTQ</w:t>
      </w:r>
      <w:r>
        <w:rPr>
          <w:b/>
          <w:spacing w:val="-3"/>
        </w:rPr>
        <w:t xml:space="preserve"> </w:t>
      </w:r>
      <w:r>
        <w:rPr>
          <w:b/>
        </w:rPr>
        <w:t>youth</w:t>
      </w:r>
      <w:r>
        <w:rPr>
          <w:b/>
          <w:spacing w:val="-4"/>
        </w:rPr>
        <w:t xml:space="preserve"> </w:t>
      </w:r>
      <w:r>
        <w:rPr>
          <w:b/>
        </w:rPr>
        <w:t>in</w:t>
      </w:r>
      <w:r>
        <w:rPr>
          <w:b/>
          <w:spacing w:val="-4"/>
        </w:rPr>
        <w:t xml:space="preserve"> </w:t>
      </w:r>
      <w:r>
        <w:rPr>
          <w:b/>
        </w:rPr>
        <w:t>state</w:t>
      </w:r>
      <w:r>
        <w:rPr>
          <w:b/>
          <w:spacing w:val="-3"/>
        </w:rPr>
        <w:t xml:space="preserve"> </w:t>
      </w:r>
      <w:r>
        <w:rPr>
          <w:b/>
        </w:rPr>
        <w:t>care</w:t>
      </w:r>
      <w:r>
        <w:rPr>
          <w:b/>
          <w:spacing w:val="-3"/>
        </w:rPr>
        <w:t xml:space="preserve"> </w:t>
      </w:r>
      <w:r>
        <w:rPr>
          <w:b/>
        </w:rPr>
        <w:t>and</w:t>
      </w:r>
      <w:r>
        <w:rPr>
          <w:b/>
          <w:spacing w:val="-2"/>
        </w:rPr>
        <w:t xml:space="preserve"> </w:t>
      </w:r>
      <w:r>
        <w:rPr>
          <w:b/>
        </w:rPr>
        <w:t>custody, and should publicize how it responds to those concerns.</w:t>
      </w:r>
    </w:p>
    <w:p w:rsidR="00C76E6D" w:rsidRDefault="00C76E6D">
      <w:pPr>
        <w:pStyle w:val="BodyText"/>
        <w:spacing w:before="5"/>
        <w:rPr>
          <w:b/>
          <w:sz w:val="25"/>
        </w:rPr>
      </w:pPr>
    </w:p>
    <w:p w:rsidR="00C76E6D" w:rsidRDefault="00913831">
      <w:pPr>
        <w:pStyle w:val="BodyText"/>
        <w:spacing w:line="276" w:lineRule="auto"/>
        <w:ind w:left="766" w:right="474"/>
        <w:jc w:val="both"/>
      </w:pPr>
      <w:r>
        <w:t>OCA has very little public-facing information available around LGBTQ youth, which may discourage LGBTQ</w:t>
      </w:r>
      <w:r>
        <w:rPr>
          <w:spacing w:val="-4"/>
        </w:rPr>
        <w:t xml:space="preserve"> </w:t>
      </w:r>
      <w:r>
        <w:t>youth</w:t>
      </w:r>
      <w:r>
        <w:rPr>
          <w:spacing w:val="-3"/>
        </w:rPr>
        <w:t xml:space="preserve"> </w:t>
      </w:r>
      <w:r>
        <w:t>or</w:t>
      </w:r>
      <w:r>
        <w:rPr>
          <w:spacing w:val="-5"/>
        </w:rPr>
        <w:t xml:space="preserve"> </w:t>
      </w:r>
      <w:r>
        <w:t>their</w:t>
      </w:r>
      <w:r>
        <w:rPr>
          <w:spacing w:val="-5"/>
        </w:rPr>
        <w:t xml:space="preserve"> </w:t>
      </w:r>
      <w:r>
        <w:t>allies</w:t>
      </w:r>
      <w:r>
        <w:rPr>
          <w:spacing w:val="-3"/>
        </w:rPr>
        <w:t xml:space="preserve"> </w:t>
      </w:r>
      <w:r>
        <w:t>from</w:t>
      </w:r>
      <w:r>
        <w:rPr>
          <w:spacing w:val="-6"/>
        </w:rPr>
        <w:t xml:space="preserve"> </w:t>
      </w:r>
      <w:r>
        <w:t>voicing</w:t>
      </w:r>
      <w:r>
        <w:rPr>
          <w:spacing w:val="-3"/>
        </w:rPr>
        <w:t xml:space="preserve"> </w:t>
      </w:r>
      <w:r>
        <w:t>their</w:t>
      </w:r>
      <w:r>
        <w:rPr>
          <w:spacing w:val="-4"/>
        </w:rPr>
        <w:t xml:space="preserve"> </w:t>
      </w:r>
      <w:r>
        <w:t>concerns</w:t>
      </w:r>
      <w:r>
        <w:rPr>
          <w:spacing w:val="-5"/>
        </w:rPr>
        <w:t xml:space="preserve"> </w:t>
      </w:r>
      <w:r>
        <w:t>to</w:t>
      </w:r>
      <w:r>
        <w:rPr>
          <w:spacing w:val="-5"/>
        </w:rPr>
        <w:t xml:space="preserve"> </w:t>
      </w:r>
      <w:r>
        <w:t>OCA</w:t>
      </w:r>
      <w:r>
        <w:rPr>
          <w:spacing w:val="-5"/>
        </w:rPr>
        <w:t xml:space="preserve"> </w:t>
      </w:r>
      <w:r>
        <w:t>or</w:t>
      </w:r>
      <w:r>
        <w:rPr>
          <w:spacing w:val="-4"/>
        </w:rPr>
        <w:t xml:space="preserve"> </w:t>
      </w:r>
      <w:r>
        <w:t>receiving</w:t>
      </w:r>
      <w:r>
        <w:rPr>
          <w:spacing w:val="-5"/>
        </w:rPr>
        <w:t xml:space="preserve"> </w:t>
      </w:r>
      <w:r>
        <w:t>assistance.</w:t>
      </w:r>
      <w:r>
        <w:rPr>
          <w:spacing w:val="-6"/>
        </w:rPr>
        <w:t xml:space="preserve"> </w:t>
      </w:r>
      <w:r>
        <w:t>It</w:t>
      </w:r>
      <w:r>
        <w:rPr>
          <w:spacing w:val="-6"/>
        </w:rPr>
        <w:t xml:space="preserve"> </w:t>
      </w:r>
      <w:r>
        <w:t>is</w:t>
      </w:r>
      <w:r>
        <w:rPr>
          <w:spacing w:val="-4"/>
        </w:rPr>
        <w:t xml:space="preserve"> </w:t>
      </w:r>
      <w:r>
        <w:t>critical</w:t>
      </w:r>
      <w:r>
        <w:rPr>
          <w:spacing w:val="-4"/>
        </w:rPr>
        <w:t xml:space="preserve"> </w:t>
      </w:r>
      <w:r>
        <w:t>that these young people have a state entity that they ca</w:t>
      </w:r>
      <w:r>
        <w:t>n approach outside of DCF and DYS. The Commission</w:t>
      </w:r>
      <w:r>
        <w:rPr>
          <w:spacing w:val="-2"/>
        </w:rPr>
        <w:t xml:space="preserve"> </w:t>
      </w:r>
      <w:r>
        <w:t>recommends that</w:t>
      </w:r>
      <w:r>
        <w:rPr>
          <w:spacing w:val="-2"/>
        </w:rPr>
        <w:t xml:space="preserve"> </w:t>
      </w:r>
      <w:r>
        <w:t>OCA identify</w:t>
      </w:r>
      <w:r>
        <w:rPr>
          <w:spacing w:val="-1"/>
        </w:rPr>
        <w:t xml:space="preserve"> </w:t>
      </w:r>
      <w:r>
        <w:t>ways</w:t>
      </w:r>
      <w:r>
        <w:rPr>
          <w:spacing w:val="-1"/>
        </w:rPr>
        <w:t xml:space="preserve"> </w:t>
      </w:r>
      <w:r>
        <w:t>to</w:t>
      </w:r>
      <w:r>
        <w:rPr>
          <w:spacing w:val="-1"/>
        </w:rPr>
        <w:t xml:space="preserve"> </w:t>
      </w:r>
      <w:r>
        <w:t>become</w:t>
      </w:r>
      <w:r>
        <w:rPr>
          <w:spacing w:val="-1"/>
        </w:rPr>
        <w:t xml:space="preserve"> </w:t>
      </w:r>
      <w:r>
        <w:t>more</w:t>
      </w:r>
      <w:r>
        <w:rPr>
          <w:spacing w:val="-1"/>
        </w:rPr>
        <w:t xml:space="preserve"> </w:t>
      </w:r>
      <w:r>
        <w:t>accessible to LGBTQ</w:t>
      </w:r>
      <w:r>
        <w:rPr>
          <w:spacing w:val="-1"/>
        </w:rPr>
        <w:t xml:space="preserve"> </w:t>
      </w:r>
      <w:r>
        <w:t>communities, which</w:t>
      </w:r>
      <w:r>
        <w:rPr>
          <w:spacing w:val="-13"/>
        </w:rPr>
        <w:t xml:space="preserve"> </w:t>
      </w:r>
      <w:r>
        <w:t>could</w:t>
      </w:r>
      <w:r>
        <w:rPr>
          <w:spacing w:val="-12"/>
        </w:rPr>
        <w:t xml:space="preserve"> </w:t>
      </w:r>
      <w:r>
        <w:t>include</w:t>
      </w:r>
      <w:r>
        <w:rPr>
          <w:spacing w:val="-13"/>
        </w:rPr>
        <w:t xml:space="preserve"> </w:t>
      </w:r>
      <w:r>
        <w:t>targeted</w:t>
      </w:r>
      <w:r>
        <w:rPr>
          <w:spacing w:val="-12"/>
        </w:rPr>
        <w:t xml:space="preserve"> </w:t>
      </w:r>
      <w:r>
        <w:t>outreach,</w:t>
      </w:r>
      <w:r>
        <w:rPr>
          <w:spacing w:val="-13"/>
        </w:rPr>
        <w:t xml:space="preserve"> </w:t>
      </w:r>
      <w:r>
        <w:t>more</w:t>
      </w:r>
      <w:r>
        <w:rPr>
          <w:spacing w:val="-12"/>
        </w:rPr>
        <w:t xml:space="preserve"> </w:t>
      </w:r>
      <w:r>
        <w:t>welcoming</w:t>
      </w:r>
      <w:r>
        <w:rPr>
          <w:spacing w:val="-13"/>
        </w:rPr>
        <w:t xml:space="preserve"> </w:t>
      </w:r>
      <w:r>
        <w:t>language</w:t>
      </w:r>
      <w:r>
        <w:rPr>
          <w:spacing w:val="-12"/>
        </w:rPr>
        <w:t xml:space="preserve"> </w:t>
      </w:r>
      <w:r>
        <w:t>online,</w:t>
      </w:r>
      <w:r>
        <w:rPr>
          <w:spacing w:val="-12"/>
        </w:rPr>
        <w:t xml:space="preserve"> </w:t>
      </w:r>
      <w:r>
        <w:t>and/or</w:t>
      </w:r>
      <w:r>
        <w:rPr>
          <w:spacing w:val="-13"/>
        </w:rPr>
        <w:t xml:space="preserve"> </w:t>
      </w:r>
      <w:r>
        <w:t>meetings</w:t>
      </w:r>
      <w:r>
        <w:rPr>
          <w:spacing w:val="-12"/>
        </w:rPr>
        <w:t xml:space="preserve"> </w:t>
      </w:r>
      <w:r>
        <w:t>with</w:t>
      </w:r>
      <w:r>
        <w:rPr>
          <w:spacing w:val="-13"/>
        </w:rPr>
        <w:t xml:space="preserve"> </w:t>
      </w:r>
      <w:r>
        <w:t>LGBTQ youth</w:t>
      </w:r>
      <w:r>
        <w:rPr>
          <w:spacing w:val="-11"/>
        </w:rPr>
        <w:t xml:space="preserve"> </w:t>
      </w:r>
      <w:r>
        <w:t>organizations.</w:t>
      </w:r>
      <w:r>
        <w:rPr>
          <w:spacing w:val="-11"/>
        </w:rPr>
        <w:t xml:space="preserve"> </w:t>
      </w:r>
      <w:r>
        <w:t>The</w:t>
      </w:r>
      <w:r>
        <w:rPr>
          <w:spacing w:val="-11"/>
        </w:rPr>
        <w:t xml:space="preserve"> </w:t>
      </w:r>
      <w:r>
        <w:t>Commission</w:t>
      </w:r>
      <w:r>
        <w:rPr>
          <w:spacing w:val="-11"/>
        </w:rPr>
        <w:t xml:space="preserve"> </w:t>
      </w:r>
      <w:r>
        <w:t>is</w:t>
      </w:r>
      <w:r>
        <w:rPr>
          <w:spacing w:val="-9"/>
        </w:rPr>
        <w:t xml:space="preserve"> </w:t>
      </w:r>
      <w:r>
        <w:t>particularly</w:t>
      </w:r>
      <w:r>
        <w:rPr>
          <w:spacing w:val="-8"/>
        </w:rPr>
        <w:t xml:space="preserve"> </w:t>
      </w:r>
      <w:r>
        <w:t>concerned</w:t>
      </w:r>
      <w:r>
        <w:rPr>
          <w:spacing w:val="-10"/>
        </w:rPr>
        <w:t xml:space="preserve"> </w:t>
      </w:r>
      <w:r>
        <w:t>about</w:t>
      </w:r>
      <w:r>
        <w:rPr>
          <w:spacing w:val="-11"/>
        </w:rPr>
        <w:t xml:space="preserve"> </w:t>
      </w:r>
      <w:r>
        <w:t>violence,</w:t>
      </w:r>
      <w:r>
        <w:rPr>
          <w:spacing w:val="-8"/>
        </w:rPr>
        <w:t xml:space="preserve"> </w:t>
      </w:r>
      <w:r>
        <w:t>harassment,</w:t>
      </w:r>
      <w:r>
        <w:rPr>
          <w:spacing w:val="-8"/>
        </w:rPr>
        <w:t xml:space="preserve"> </w:t>
      </w:r>
      <w:r>
        <w:t>and</w:t>
      </w:r>
      <w:r>
        <w:rPr>
          <w:spacing w:val="-11"/>
        </w:rPr>
        <w:t xml:space="preserve"> </w:t>
      </w:r>
      <w:r>
        <w:t>abuse against</w:t>
      </w:r>
      <w:r>
        <w:rPr>
          <w:spacing w:val="-1"/>
        </w:rPr>
        <w:t xml:space="preserve"> </w:t>
      </w:r>
      <w:r>
        <w:t>LGBTQ</w:t>
      </w:r>
      <w:r>
        <w:rPr>
          <w:spacing w:val="-1"/>
        </w:rPr>
        <w:t xml:space="preserve"> </w:t>
      </w:r>
      <w:r>
        <w:t>youth that it</w:t>
      </w:r>
      <w:r>
        <w:rPr>
          <w:spacing w:val="-1"/>
        </w:rPr>
        <w:t xml:space="preserve"> </w:t>
      </w:r>
      <w:r>
        <w:t>has heard about</w:t>
      </w:r>
      <w:r>
        <w:rPr>
          <w:spacing w:val="-1"/>
        </w:rPr>
        <w:t xml:space="preserve"> </w:t>
      </w:r>
      <w:r>
        <w:t>in</w:t>
      </w:r>
      <w:r>
        <w:rPr>
          <w:spacing w:val="-1"/>
        </w:rPr>
        <w:t xml:space="preserve"> </w:t>
      </w:r>
      <w:r>
        <w:t>DCF congregate care, and recommends that OCA take a more active role in providing oversight of these facilities to ensure that LGBTQ y</w:t>
      </w:r>
      <w:r>
        <w:t xml:space="preserve">outh are safe in </w:t>
      </w:r>
      <w:r>
        <w:rPr>
          <w:spacing w:val="-2"/>
        </w:rPr>
        <w:t>placement.</w:t>
      </w:r>
    </w:p>
    <w:p w:rsidR="00C76E6D" w:rsidRDefault="00C76E6D">
      <w:pPr>
        <w:pStyle w:val="BodyText"/>
        <w:spacing w:before="4"/>
        <w:rPr>
          <w:sz w:val="25"/>
        </w:rPr>
      </w:pPr>
    </w:p>
    <w:p w:rsidR="00C76E6D" w:rsidRDefault="00913831">
      <w:pPr>
        <w:pStyle w:val="Heading6"/>
        <w:numPr>
          <w:ilvl w:val="1"/>
          <w:numId w:val="16"/>
        </w:numPr>
        <w:tabs>
          <w:tab w:val="left" w:pos="699"/>
        </w:tabs>
        <w:ind w:left="698" w:hanging="222"/>
      </w:pPr>
      <w:bookmarkStart w:id="785" w:name="2._OCA_should_ensure_that_proposed_refor"/>
      <w:bookmarkEnd w:id="785"/>
      <w:r>
        <w:rPr>
          <w:w w:val="95"/>
        </w:rPr>
        <w:t>OCA</w:t>
      </w:r>
      <w:r>
        <w:rPr>
          <w:spacing w:val="10"/>
        </w:rPr>
        <w:t xml:space="preserve"> </w:t>
      </w:r>
      <w:r>
        <w:rPr>
          <w:w w:val="95"/>
        </w:rPr>
        <w:t>should</w:t>
      </w:r>
      <w:r>
        <w:rPr>
          <w:spacing w:val="14"/>
        </w:rPr>
        <w:t xml:space="preserve"> </w:t>
      </w:r>
      <w:r>
        <w:rPr>
          <w:w w:val="95"/>
        </w:rPr>
        <w:t>ensure</w:t>
      </w:r>
      <w:r>
        <w:rPr>
          <w:spacing w:val="15"/>
        </w:rPr>
        <w:t xml:space="preserve"> </w:t>
      </w:r>
      <w:r>
        <w:rPr>
          <w:w w:val="95"/>
        </w:rPr>
        <w:t>that</w:t>
      </w:r>
      <w:r>
        <w:rPr>
          <w:spacing w:val="14"/>
        </w:rPr>
        <w:t xml:space="preserve"> </w:t>
      </w:r>
      <w:r>
        <w:rPr>
          <w:w w:val="95"/>
        </w:rPr>
        <w:t>proposed</w:t>
      </w:r>
      <w:r>
        <w:rPr>
          <w:spacing w:val="14"/>
        </w:rPr>
        <w:t xml:space="preserve"> </w:t>
      </w:r>
      <w:r>
        <w:rPr>
          <w:w w:val="95"/>
        </w:rPr>
        <w:t>reforms</w:t>
      </w:r>
      <w:r>
        <w:rPr>
          <w:spacing w:val="13"/>
        </w:rPr>
        <w:t xml:space="preserve"> </w:t>
      </w:r>
      <w:r>
        <w:rPr>
          <w:w w:val="95"/>
        </w:rPr>
        <w:t>encompass</w:t>
      </w:r>
      <w:r>
        <w:rPr>
          <w:spacing w:val="14"/>
        </w:rPr>
        <w:t xml:space="preserve"> </w:t>
      </w:r>
      <w:r>
        <w:rPr>
          <w:w w:val="95"/>
        </w:rPr>
        <w:t>the</w:t>
      </w:r>
      <w:r>
        <w:rPr>
          <w:spacing w:val="14"/>
        </w:rPr>
        <w:t xml:space="preserve"> </w:t>
      </w:r>
      <w:r>
        <w:rPr>
          <w:w w:val="95"/>
        </w:rPr>
        <w:t>unique</w:t>
      </w:r>
      <w:r>
        <w:rPr>
          <w:spacing w:val="13"/>
        </w:rPr>
        <w:t xml:space="preserve"> </w:t>
      </w:r>
      <w:r>
        <w:rPr>
          <w:w w:val="95"/>
        </w:rPr>
        <w:t>needs</w:t>
      </w:r>
      <w:r>
        <w:rPr>
          <w:spacing w:val="16"/>
        </w:rPr>
        <w:t xml:space="preserve"> </w:t>
      </w:r>
      <w:r>
        <w:rPr>
          <w:w w:val="95"/>
        </w:rPr>
        <w:t>of</w:t>
      </w:r>
      <w:r>
        <w:rPr>
          <w:spacing w:val="15"/>
        </w:rPr>
        <w:t xml:space="preserve"> </w:t>
      </w:r>
      <w:r>
        <w:rPr>
          <w:w w:val="95"/>
        </w:rPr>
        <w:t>LGBTQ</w:t>
      </w:r>
      <w:r>
        <w:rPr>
          <w:spacing w:val="12"/>
        </w:rPr>
        <w:t xml:space="preserve"> </w:t>
      </w:r>
      <w:r>
        <w:rPr>
          <w:spacing w:val="-2"/>
          <w:w w:val="95"/>
        </w:rPr>
        <w:t>youth.</w:t>
      </w:r>
    </w:p>
    <w:p w:rsidR="00C76E6D" w:rsidRDefault="00C76E6D">
      <w:pPr>
        <w:pStyle w:val="BodyText"/>
        <w:spacing w:before="6"/>
        <w:rPr>
          <w:b/>
          <w:sz w:val="28"/>
        </w:rPr>
      </w:pPr>
    </w:p>
    <w:p w:rsidR="00C76E6D" w:rsidRDefault="00913831">
      <w:pPr>
        <w:pStyle w:val="BodyText"/>
        <w:spacing w:line="276" w:lineRule="auto"/>
        <w:ind w:left="766" w:right="475"/>
        <w:jc w:val="both"/>
      </w:pPr>
      <w:r>
        <w:t xml:space="preserve">The Commission notes that - whether responding to specific tragedies, speaking more broadly to systemic issues, or both - OCA is positioned to </w:t>
      </w:r>
      <w:r>
        <w:t>be a powerful force for change. However, the specific needs of LGBTQ young people are often invisible in its recommendations. While LGBTQ youth, like all young</w:t>
      </w:r>
      <w:r>
        <w:rPr>
          <w:spacing w:val="-12"/>
        </w:rPr>
        <w:t xml:space="preserve"> </w:t>
      </w:r>
      <w:r>
        <w:t>people,</w:t>
      </w:r>
      <w:r>
        <w:rPr>
          <w:spacing w:val="-11"/>
        </w:rPr>
        <w:t xml:space="preserve"> </w:t>
      </w:r>
      <w:r>
        <w:t>would</w:t>
      </w:r>
      <w:r>
        <w:rPr>
          <w:spacing w:val="-11"/>
        </w:rPr>
        <w:t xml:space="preserve"> </w:t>
      </w:r>
      <w:r>
        <w:t>benefit</w:t>
      </w:r>
      <w:r>
        <w:rPr>
          <w:spacing w:val="-11"/>
        </w:rPr>
        <w:t xml:space="preserve"> </w:t>
      </w:r>
      <w:r>
        <w:t>from</w:t>
      </w:r>
      <w:r>
        <w:rPr>
          <w:spacing w:val="-11"/>
        </w:rPr>
        <w:t xml:space="preserve"> </w:t>
      </w:r>
      <w:r>
        <w:t>safer</w:t>
      </w:r>
      <w:r>
        <w:rPr>
          <w:spacing w:val="-11"/>
        </w:rPr>
        <w:t xml:space="preserve"> </w:t>
      </w:r>
      <w:r>
        <w:t>and</w:t>
      </w:r>
      <w:r>
        <w:rPr>
          <w:spacing w:val="-12"/>
        </w:rPr>
        <w:t xml:space="preserve"> </w:t>
      </w:r>
      <w:r>
        <w:t>more</w:t>
      </w:r>
      <w:r>
        <w:rPr>
          <w:spacing w:val="-11"/>
        </w:rPr>
        <w:t xml:space="preserve"> </w:t>
      </w:r>
      <w:r>
        <w:t>effective</w:t>
      </w:r>
      <w:r>
        <w:rPr>
          <w:spacing w:val="-11"/>
        </w:rPr>
        <w:t xml:space="preserve"> </w:t>
      </w:r>
      <w:r>
        <w:t>systems</w:t>
      </w:r>
      <w:r>
        <w:rPr>
          <w:spacing w:val="-11"/>
        </w:rPr>
        <w:t xml:space="preserve"> </w:t>
      </w:r>
      <w:r>
        <w:t>of</w:t>
      </w:r>
      <w:r>
        <w:rPr>
          <w:spacing w:val="-11"/>
        </w:rPr>
        <w:t xml:space="preserve"> </w:t>
      </w:r>
      <w:r>
        <w:t>care,</w:t>
      </w:r>
      <w:r>
        <w:rPr>
          <w:spacing w:val="-12"/>
        </w:rPr>
        <w:t xml:space="preserve"> </w:t>
      </w:r>
      <w:r>
        <w:t>any</w:t>
      </w:r>
      <w:r>
        <w:rPr>
          <w:spacing w:val="-9"/>
        </w:rPr>
        <w:t xml:space="preserve"> </w:t>
      </w:r>
      <w:r>
        <w:t>advances</w:t>
      </w:r>
      <w:r>
        <w:rPr>
          <w:spacing w:val="-11"/>
        </w:rPr>
        <w:t xml:space="preserve"> </w:t>
      </w:r>
      <w:r>
        <w:t>are</w:t>
      </w:r>
      <w:r>
        <w:rPr>
          <w:spacing w:val="-10"/>
        </w:rPr>
        <w:t xml:space="preserve"> </w:t>
      </w:r>
      <w:r>
        <w:t>destined to be incomplete unless they address specific concerns related to sexual orientation and gender identity. The Commission suggests that, moving forward, OCA consider formalizing mechanisms through which LGBTQ advocates and community members can con</w:t>
      </w:r>
      <w:r>
        <w:t>tribute to systems reform conversations. For example, OCA recently proposed establishing a working group to map how children’s</w:t>
      </w:r>
      <w:r>
        <w:rPr>
          <w:spacing w:val="-3"/>
        </w:rPr>
        <w:t xml:space="preserve"> </w:t>
      </w:r>
      <w:r>
        <w:t>welfare</w:t>
      </w:r>
      <w:r>
        <w:rPr>
          <w:spacing w:val="-3"/>
        </w:rPr>
        <w:t xml:space="preserve"> </w:t>
      </w:r>
      <w:r>
        <w:t>and</w:t>
      </w:r>
      <w:r>
        <w:rPr>
          <w:spacing w:val="-3"/>
        </w:rPr>
        <w:t xml:space="preserve"> </w:t>
      </w:r>
      <w:r>
        <w:t>best</w:t>
      </w:r>
      <w:r>
        <w:rPr>
          <w:spacing w:val="-3"/>
        </w:rPr>
        <w:t xml:space="preserve"> </w:t>
      </w:r>
      <w:r>
        <w:t>interest</w:t>
      </w:r>
      <w:r>
        <w:rPr>
          <w:spacing w:val="-3"/>
        </w:rPr>
        <w:t xml:space="preserve"> </w:t>
      </w:r>
      <w:r>
        <w:t>considerations</w:t>
      </w:r>
      <w:r>
        <w:rPr>
          <w:spacing w:val="-3"/>
        </w:rPr>
        <w:t xml:space="preserve"> </w:t>
      </w:r>
      <w:r>
        <w:t>are</w:t>
      </w:r>
      <w:r>
        <w:rPr>
          <w:spacing w:val="-3"/>
        </w:rPr>
        <w:t xml:space="preserve"> </w:t>
      </w:r>
      <w:r>
        <w:t>presented</w:t>
      </w:r>
      <w:r>
        <w:rPr>
          <w:spacing w:val="-3"/>
        </w:rPr>
        <w:t xml:space="preserve"> </w:t>
      </w:r>
      <w:r>
        <w:t>in</w:t>
      </w:r>
      <w:r>
        <w:rPr>
          <w:spacing w:val="-3"/>
        </w:rPr>
        <w:t xml:space="preserve"> </w:t>
      </w:r>
      <w:r>
        <w:t>Care</w:t>
      </w:r>
      <w:r>
        <w:rPr>
          <w:spacing w:val="-3"/>
        </w:rPr>
        <w:t xml:space="preserve"> </w:t>
      </w:r>
      <w:r>
        <w:t>and</w:t>
      </w:r>
      <w:r>
        <w:rPr>
          <w:spacing w:val="-3"/>
        </w:rPr>
        <w:t xml:space="preserve"> </w:t>
      </w:r>
      <w:r>
        <w:t>Protection</w:t>
      </w:r>
      <w:r>
        <w:rPr>
          <w:spacing w:val="-3"/>
        </w:rPr>
        <w:t xml:space="preserve"> </w:t>
      </w:r>
      <w:r>
        <w:t>cases;</w:t>
      </w:r>
      <w:r>
        <w:rPr>
          <w:spacing w:val="-3"/>
        </w:rPr>
        <w:t xml:space="preserve"> </w:t>
      </w:r>
      <w:r>
        <w:t>such</w:t>
      </w:r>
      <w:r>
        <w:rPr>
          <w:spacing w:val="-3"/>
        </w:rPr>
        <w:t xml:space="preserve"> </w:t>
      </w:r>
      <w:r>
        <w:t>a working group would benefit by includ</w:t>
      </w:r>
      <w:r>
        <w:t xml:space="preserve">ing members from across the state with expertise in whether and how the welfare and best interests of LGBTQ youth are presented in such cases and how any recommended suggestions might impact issues related to their sexual orientation and gender </w:t>
      </w:r>
      <w:r>
        <w:rPr>
          <w:spacing w:val="-2"/>
        </w:rPr>
        <w:t>identity</w:t>
      </w:r>
      <w:hyperlink w:anchor="_bookmark569" w:history="1">
        <w:r>
          <w:rPr>
            <w:spacing w:val="-2"/>
          </w:rPr>
          <w:t>.</w:t>
        </w:r>
        <w:r>
          <w:rPr>
            <w:spacing w:val="-2"/>
            <w:vertAlign w:val="superscript"/>
          </w:rPr>
          <w:t>1</w:t>
        </w:r>
      </w:hyperlink>
    </w:p>
    <w:p w:rsidR="00C76E6D" w:rsidRDefault="00C76E6D">
      <w:pPr>
        <w:pStyle w:val="BodyText"/>
        <w:spacing w:before="4"/>
        <w:rPr>
          <w:sz w:val="25"/>
        </w:rPr>
      </w:pPr>
    </w:p>
    <w:p w:rsidR="00C76E6D" w:rsidRDefault="00913831">
      <w:pPr>
        <w:pStyle w:val="BodyText"/>
        <w:spacing w:line="276" w:lineRule="auto"/>
        <w:ind w:left="766" w:right="475"/>
        <w:jc w:val="both"/>
      </w:pPr>
      <w:r>
        <w:t>Additionally, the Commission urges that OCA investigate and address compliance with nondiscrimination requirements and cultural competence around LGBTQ identities even when other types</w:t>
      </w:r>
      <w:r>
        <w:rPr>
          <w:spacing w:val="-9"/>
        </w:rPr>
        <w:t xml:space="preserve"> </w:t>
      </w:r>
      <w:r>
        <w:t>of</w:t>
      </w:r>
      <w:r>
        <w:rPr>
          <w:spacing w:val="-10"/>
        </w:rPr>
        <w:t xml:space="preserve"> </w:t>
      </w:r>
      <w:r>
        <w:t>concerns</w:t>
      </w:r>
      <w:r>
        <w:rPr>
          <w:spacing w:val="-9"/>
        </w:rPr>
        <w:t xml:space="preserve"> </w:t>
      </w:r>
      <w:r>
        <w:t>prompt</w:t>
      </w:r>
      <w:r>
        <w:rPr>
          <w:spacing w:val="-10"/>
        </w:rPr>
        <w:t xml:space="preserve"> </w:t>
      </w:r>
      <w:r>
        <w:t>reviews</w:t>
      </w:r>
      <w:r>
        <w:rPr>
          <w:spacing w:val="-9"/>
        </w:rPr>
        <w:t xml:space="preserve"> </w:t>
      </w:r>
      <w:r>
        <w:t>of</w:t>
      </w:r>
      <w:r>
        <w:rPr>
          <w:spacing w:val="-10"/>
        </w:rPr>
        <w:t xml:space="preserve"> </w:t>
      </w:r>
      <w:r>
        <w:t>congrega</w:t>
      </w:r>
      <w:r>
        <w:t>te</w:t>
      </w:r>
      <w:r>
        <w:rPr>
          <w:spacing w:val="-9"/>
        </w:rPr>
        <w:t xml:space="preserve"> </w:t>
      </w:r>
      <w:r>
        <w:t>care</w:t>
      </w:r>
      <w:r>
        <w:rPr>
          <w:spacing w:val="-10"/>
        </w:rPr>
        <w:t xml:space="preserve"> </w:t>
      </w:r>
      <w:r>
        <w:t>facilities.</w:t>
      </w:r>
      <w:r>
        <w:rPr>
          <w:spacing w:val="-8"/>
        </w:rPr>
        <w:t xml:space="preserve"> </w:t>
      </w:r>
      <w:r>
        <w:t>Finally,</w:t>
      </w:r>
      <w:r>
        <w:rPr>
          <w:spacing w:val="-9"/>
        </w:rPr>
        <w:t xml:space="preserve"> </w:t>
      </w:r>
      <w:r>
        <w:t>the</w:t>
      </w:r>
      <w:r>
        <w:rPr>
          <w:spacing w:val="-10"/>
        </w:rPr>
        <w:t xml:space="preserve"> </w:t>
      </w:r>
      <w:r>
        <w:t>Commission</w:t>
      </w:r>
      <w:r>
        <w:rPr>
          <w:spacing w:val="-10"/>
        </w:rPr>
        <w:t xml:space="preserve"> </w:t>
      </w:r>
      <w:r>
        <w:t>urges</w:t>
      </w:r>
      <w:r>
        <w:rPr>
          <w:spacing w:val="-9"/>
        </w:rPr>
        <w:t xml:space="preserve"> </w:t>
      </w:r>
      <w:r>
        <w:t>that</w:t>
      </w:r>
      <w:r>
        <w:rPr>
          <w:spacing w:val="-10"/>
        </w:rPr>
        <w:t xml:space="preserve"> </w:t>
      </w:r>
      <w:r>
        <w:t>OCA incorporate specific challenges for LGBTQ young people into its work on transition-aged youth. The</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767" w:right="476" w:hanging="1"/>
        <w:jc w:val="both"/>
      </w:pPr>
      <w:r>
        <w:t>Commission has identified numerous barriers that LGBTQ young adults face - including identity documents with incorrect name and gender marker information, barriers to employment, and a shortage</w:t>
      </w:r>
      <w:r>
        <w:rPr>
          <w:spacing w:val="-10"/>
        </w:rPr>
        <w:t xml:space="preserve"> </w:t>
      </w:r>
      <w:r>
        <w:t>of</w:t>
      </w:r>
      <w:r>
        <w:rPr>
          <w:spacing w:val="-10"/>
        </w:rPr>
        <w:t xml:space="preserve"> </w:t>
      </w:r>
      <w:r>
        <w:t>LGBTQ-affirming</w:t>
      </w:r>
      <w:r>
        <w:rPr>
          <w:spacing w:val="-11"/>
        </w:rPr>
        <w:t xml:space="preserve"> </w:t>
      </w:r>
      <w:r>
        <w:t>housing</w:t>
      </w:r>
      <w:r>
        <w:rPr>
          <w:spacing w:val="-11"/>
        </w:rPr>
        <w:t xml:space="preserve"> </w:t>
      </w:r>
      <w:r>
        <w:t>resources</w:t>
      </w:r>
      <w:r>
        <w:rPr>
          <w:spacing w:val="-10"/>
        </w:rPr>
        <w:t xml:space="preserve"> </w:t>
      </w:r>
      <w:r>
        <w:t>-</w:t>
      </w:r>
      <w:r>
        <w:rPr>
          <w:spacing w:val="-10"/>
        </w:rPr>
        <w:t xml:space="preserve"> </w:t>
      </w:r>
      <w:r>
        <w:t>and</w:t>
      </w:r>
      <w:r>
        <w:rPr>
          <w:spacing w:val="-8"/>
        </w:rPr>
        <w:t xml:space="preserve"> </w:t>
      </w:r>
      <w:r>
        <w:t>would</w:t>
      </w:r>
      <w:r>
        <w:rPr>
          <w:spacing w:val="-10"/>
        </w:rPr>
        <w:t xml:space="preserve"> </w:t>
      </w:r>
      <w:r>
        <w:t>be</w:t>
      </w:r>
      <w:r>
        <w:rPr>
          <w:spacing w:val="-9"/>
        </w:rPr>
        <w:t xml:space="preserve"> </w:t>
      </w:r>
      <w:r>
        <w:t>eager</w:t>
      </w:r>
      <w:r>
        <w:rPr>
          <w:spacing w:val="-10"/>
        </w:rPr>
        <w:t xml:space="preserve"> </w:t>
      </w:r>
      <w:r>
        <w:t>to</w:t>
      </w:r>
      <w:r>
        <w:rPr>
          <w:spacing w:val="-10"/>
        </w:rPr>
        <w:t xml:space="preserve"> </w:t>
      </w:r>
      <w:r>
        <w:t>w</w:t>
      </w:r>
      <w:r>
        <w:t>ork</w:t>
      </w:r>
      <w:r>
        <w:rPr>
          <w:spacing w:val="-11"/>
        </w:rPr>
        <w:t xml:space="preserve"> </w:t>
      </w:r>
      <w:r>
        <w:t>with</w:t>
      </w:r>
      <w:r>
        <w:rPr>
          <w:spacing w:val="-10"/>
        </w:rPr>
        <w:t xml:space="preserve"> </w:t>
      </w:r>
      <w:r>
        <w:t>OCA</w:t>
      </w:r>
      <w:r>
        <w:rPr>
          <w:spacing w:val="-9"/>
        </w:rPr>
        <w:t xml:space="preserve"> </w:t>
      </w:r>
      <w:r>
        <w:t>to</w:t>
      </w:r>
      <w:r>
        <w:rPr>
          <w:spacing w:val="-8"/>
        </w:rPr>
        <w:t xml:space="preserve"> </w:t>
      </w:r>
      <w:r>
        <w:t>ensure</w:t>
      </w:r>
      <w:r>
        <w:rPr>
          <w:spacing w:val="-10"/>
        </w:rPr>
        <w:t xml:space="preserve"> </w:t>
      </w:r>
      <w:r>
        <w:t>state efforts address these issues.</w:t>
      </w:r>
    </w:p>
    <w:p w:rsidR="00C76E6D" w:rsidRDefault="00C76E6D">
      <w:pPr>
        <w:pStyle w:val="BodyText"/>
        <w:spacing w:before="5"/>
        <w:rPr>
          <w:sz w:val="25"/>
        </w:rPr>
      </w:pPr>
    </w:p>
    <w:p w:rsidR="00C76E6D" w:rsidRDefault="00913831">
      <w:pPr>
        <w:pStyle w:val="Heading6"/>
        <w:numPr>
          <w:ilvl w:val="1"/>
          <w:numId w:val="16"/>
        </w:numPr>
        <w:tabs>
          <w:tab w:val="left" w:pos="699"/>
        </w:tabs>
        <w:ind w:left="698" w:hanging="221"/>
      </w:pPr>
      <w:bookmarkStart w:id="786" w:name="3._OCA_should_ensure_SOGI_data_collectio"/>
      <w:bookmarkEnd w:id="786"/>
      <w:r>
        <w:rPr>
          <w:w w:val="95"/>
        </w:rPr>
        <w:t>OCA</w:t>
      </w:r>
      <w:r>
        <w:rPr>
          <w:spacing w:val="10"/>
        </w:rPr>
        <w:t xml:space="preserve"> </w:t>
      </w:r>
      <w:r>
        <w:rPr>
          <w:w w:val="95"/>
        </w:rPr>
        <w:t>should</w:t>
      </w:r>
      <w:r>
        <w:rPr>
          <w:spacing w:val="14"/>
        </w:rPr>
        <w:t xml:space="preserve"> </w:t>
      </w:r>
      <w:r>
        <w:rPr>
          <w:w w:val="95"/>
        </w:rPr>
        <w:t>ensure</w:t>
      </w:r>
      <w:r>
        <w:rPr>
          <w:spacing w:val="15"/>
        </w:rPr>
        <w:t xml:space="preserve"> </w:t>
      </w:r>
      <w:r>
        <w:rPr>
          <w:w w:val="95"/>
        </w:rPr>
        <w:t>SOGI</w:t>
      </w:r>
      <w:r>
        <w:rPr>
          <w:spacing w:val="10"/>
        </w:rPr>
        <w:t xml:space="preserve"> </w:t>
      </w:r>
      <w:r>
        <w:rPr>
          <w:w w:val="95"/>
        </w:rPr>
        <w:t>data</w:t>
      </w:r>
      <w:r>
        <w:rPr>
          <w:spacing w:val="14"/>
        </w:rPr>
        <w:t xml:space="preserve"> </w:t>
      </w:r>
      <w:r>
        <w:rPr>
          <w:w w:val="95"/>
        </w:rPr>
        <w:t>collection</w:t>
      </w:r>
      <w:r>
        <w:rPr>
          <w:spacing w:val="15"/>
        </w:rPr>
        <w:t xml:space="preserve"> </w:t>
      </w:r>
      <w:r>
        <w:rPr>
          <w:w w:val="95"/>
        </w:rPr>
        <w:t>and</w:t>
      </w:r>
      <w:r>
        <w:rPr>
          <w:spacing w:val="14"/>
        </w:rPr>
        <w:t xml:space="preserve"> </w:t>
      </w:r>
      <w:r>
        <w:rPr>
          <w:spacing w:val="-2"/>
          <w:w w:val="95"/>
        </w:rPr>
        <w:t>reporting.</w:t>
      </w:r>
    </w:p>
    <w:p w:rsidR="00C76E6D" w:rsidRDefault="00C76E6D">
      <w:pPr>
        <w:pStyle w:val="BodyText"/>
        <w:spacing w:before="5"/>
        <w:rPr>
          <w:b/>
          <w:sz w:val="28"/>
        </w:rPr>
      </w:pPr>
    </w:p>
    <w:p w:rsidR="00C76E6D" w:rsidRDefault="00913831">
      <w:pPr>
        <w:pStyle w:val="BodyText"/>
        <w:spacing w:line="276" w:lineRule="auto"/>
        <w:ind w:left="766" w:right="474"/>
        <w:jc w:val="both"/>
      </w:pPr>
      <w:r>
        <w:t>OCA</w:t>
      </w:r>
      <w:r>
        <w:rPr>
          <w:spacing w:val="-13"/>
        </w:rPr>
        <w:t xml:space="preserve"> </w:t>
      </w:r>
      <w:r>
        <w:t>should,</w:t>
      </w:r>
      <w:r>
        <w:rPr>
          <w:spacing w:val="-12"/>
        </w:rPr>
        <w:t xml:space="preserve"> </w:t>
      </w:r>
      <w:r>
        <w:t>through</w:t>
      </w:r>
      <w:r>
        <w:rPr>
          <w:spacing w:val="-13"/>
        </w:rPr>
        <w:t xml:space="preserve"> </w:t>
      </w:r>
      <w:r>
        <w:t>the</w:t>
      </w:r>
      <w:r>
        <w:rPr>
          <w:spacing w:val="-12"/>
        </w:rPr>
        <w:t xml:space="preserve"> </w:t>
      </w:r>
      <w:r>
        <w:t>Juvenile</w:t>
      </w:r>
      <w:r>
        <w:rPr>
          <w:spacing w:val="-13"/>
        </w:rPr>
        <w:t xml:space="preserve"> </w:t>
      </w:r>
      <w:r>
        <w:t>Justice</w:t>
      </w:r>
      <w:r>
        <w:rPr>
          <w:spacing w:val="-12"/>
        </w:rPr>
        <w:t xml:space="preserve"> </w:t>
      </w:r>
      <w:r>
        <w:t>Policy</w:t>
      </w:r>
      <w:r>
        <w:rPr>
          <w:spacing w:val="-13"/>
        </w:rPr>
        <w:t xml:space="preserve"> </w:t>
      </w:r>
      <w:r>
        <w:t>and</w:t>
      </w:r>
      <w:r>
        <w:rPr>
          <w:spacing w:val="-12"/>
        </w:rPr>
        <w:t xml:space="preserve"> </w:t>
      </w:r>
      <w:r>
        <w:t>Data</w:t>
      </w:r>
      <w:r>
        <w:rPr>
          <w:spacing w:val="-12"/>
        </w:rPr>
        <w:t xml:space="preserve"> </w:t>
      </w:r>
      <w:r>
        <w:t>Board</w:t>
      </w:r>
      <w:r>
        <w:rPr>
          <w:spacing w:val="-13"/>
        </w:rPr>
        <w:t xml:space="preserve"> </w:t>
      </w:r>
      <w:r>
        <w:t>/</w:t>
      </w:r>
      <w:r>
        <w:rPr>
          <w:spacing w:val="-12"/>
        </w:rPr>
        <w:t xml:space="preserve"> </w:t>
      </w:r>
      <w:r>
        <w:t>Childhood</w:t>
      </w:r>
      <w:r>
        <w:rPr>
          <w:spacing w:val="-13"/>
        </w:rPr>
        <w:t xml:space="preserve"> </w:t>
      </w:r>
      <w:r>
        <w:t>Trauma</w:t>
      </w:r>
      <w:r>
        <w:rPr>
          <w:spacing w:val="-12"/>
        </w:rPr>
        <w:t xml:space="preserve"> </w:t>
      </w:r>
      <w:r>
        <w:t>Task</w:t>
      </w:r>
      <w:r>
        <w:rPr>
          <w:spacing w:val="-13"/>
        </w:rPr>
        <w:t xml:space="preserve"> </w:t>
      </w:r>
      <w:r>
        <w:t>Force</w:t>
      </w:r>
      <w:r>
        <w:rPr>
          <w:spacing w:val="-12"/>
        </w:rPr>
        <w:t xml:space="preserve"> </w:t>
      </w:r>
      <w:r>
        <w:t>or</w:t>
      </w:r>
      <w:r>
        <w:rPr>
          <w:spacing w:val="-12"/>
        </w:rPr>
        <w:t xml:space="preserve"> </w:t>
      </w:r>
      <w:r>
        <w:t>other appropriate entities, ensure the publication of detailed information regarding LGBTQ youth dually involved in the child welfare and juvenile justice systems. National data suggest that LGBTQ youth in the juvenile justice system are more likely than t</w:t>
      </w:r>
      <w:r>
        <w:t>heir non-LGBTQ peers to have histories of removal from their homes and placement in foster care</w:t>
      </w:r>
      <w:hyperlink w:anchor="_bookmark570" w:history="1">
        <w:r>
          <w:t>.</w:t>
        </w:r>
        <w:r>
          <w:rPr>
            <w:vertAlign w:val="superscript"/>
          </w:rPr>
          <w:t>2</w:t>
        </w:r>
      </w:hyperlink>
      <w:r>
        <w:t xml:space="preserve"> These young people also report higher rates of trauma</w:t>
      </w:r>
      <w:hyperlink w:anchor="_bookmark571" w:history="1">
        <w:r>
          <w:t>.</w:t>
        </w:r>
        <w:r>
          <w:rPr>
            <w:vertAlign w:val="superscript"/>
          </w:rPr>
          <w:t>3</w:t>
        </w:r>
      </w:hyperlink>
      <w:r>
        <w:t xml:space="preserve"> It is critical that Massachusetts advo</w:t>
      </w:r>
      <w:r>
        <w:t>cates and policymakers have the data needed to understand</w:t>
      </w:r>
      <w:r>
        <w:rPr>
          <w:spacing w:val="-6"/>
        </w:rPr>
        <w:t xml:space="preserve"> </w:t>
      </w:r>
      <w:r>
        <w:t>how</w:t>
      </w:r>
      <w:r>
        <w:rPr>
          <w:spacing w:val="-6"/>
        </w:rPr>
        <w:t xml:space="preserve"> </w:t>
      </w:r>
      <w:r>
        <w:t>LGBTQ</w:t>
      </w:r>
      <w:r>
        <w:rPr>
          <w:spacing w:val="-5"/>
        </w:rPr>
        <w:t xml:space="preserve"> </w:t>
      </w:r>
      <w:r>
        <w:t>youth</w:t>
      </w:r>
      <w:r>
        <w:rPr>
          <w:spacing w:val="-5"/>
        </w:rPr>
        <w:t xml:space="preserve"> </w:t>
      </w:r>
      <w:r>
        <w:t>move</w:t>
      </w:r>
      <w:r>
        <w:rPr>
          <w:spacing w:val="-6"/>
        </w:rPr>
        <w:t xml:space="preserve"> </w:t>
      </w:r>
      <w:r>
        <w:t>between</w:t>
      </w:r>
      <w:r>
        <w:rPr>
          <w:spacing w:val="-5"/>
        </w:rPr>
        <w:t xml:space="preserve"> </w:t>
      </w:r>
      <w:r>
        <w:t>the</w:t>
      </w:r>
      <w:r>
        <w:rPr>
          <w:spacing w:val="-5"/>
        </w:rPr>
        <w:t xml:space="preserve"> </w:t>
      </w:r>
      <w:r>
        <w:t>child</w:t>
      </w:r>
      <w:r>
        <w:rPr>
          <w:spacing w:val="-6"/>
        </w:rPr>
        <w:t xml:space="preserve"> </w:t>
      </w:r>
      <w:r>
        <w:t>welfare</w:t>
      </w:r>
      <w:r>
        <w:rPr>
          <w:spacing w:val="-6"/>
        </w:rPr>
        <w:t xml:space="preserve"> </w:t>
      </w:r>
      <w:r>
        <w:t>and</w:t>
      </w:r>
      <w:r>
        <w:rPr>
          <w:spacing w:val="-6"/>
        </w:rPr>
        <w:t xml:space="preserve"> </w:t>
      </w:r>
      <w:r>
        <w:t>juvenile</w:t>
      </w:r>
      <w:r>
        <w:rPr>
          <w:spacing w:val="-6"/>
        </w:rPr>
        <w:t xml:space="preserve"> </w:t>
      </w:r>
      <w:r>
        <w:t>justice</w:t>
      </w:r>
      <w:r>
        <w:rPr>
          <w:spacing w:val="-6"/>
        </w:rPr>
        <w:t xml:space="preserve"> </w:t>
      </w:r>
      <w:r>
        <w:t>systems,</w:t>
      </w:r>
      <w:r>
        <w:rPr>
          <w:spacing w:val="-6"/>
        </w:rPr>
        <w:t xml:space="preserve"> </w:t>
      </w:r>
      <w:r>
        <w:t>how</w:t>
      </w:r>
      <w:r>
        <w:rPr>
          <w:spacing w:val="-6"/>
        </w:rPr>
        <w:t xml:space="preserve"> </w:t>
      </w:r>
      <w:r>
        <w:t>they are</w:t>
      </w:r>
      <w:r>
        <w:rPr>
          <w:spacing w:val="-13"/>
        </w:rPr>
        <w:t xml:space="preserve"> </w:t>
      </w:r>
      <w:r>
        <w:t>supported,</w:t>
      </w:r>
      <w:r>
        <w:rPr>
          <w:spacing w:val="-11"/>
        </w:rPr>
        <w:t xml:space="preserve"> </w:t>
      </w:r>
      <w:r>
        <w:t>and</w:t>
      </w:r>
      <w:r>
        <w:rPr>
          <w:spacing w:val="-10"/>
        </w:rPr>
        <w:t xml:space="preserve"> </w:t>
      </w:r>
      <w:r>
        <w:t>the</w:t>
      </w:r>
      <w:r>
        <w:rPr>
          <w:spacing w:val="-11"/>
        </w:rPr>
        <w:t xml:space="preserve"> </w:t>
      </w:r>
      <w:r>
        <w:t>extent</w:t>
      </w:r>
      <w:r>
        <w:rPr>
          <w:spacing w:val="-12"/>
        </w:rPr>
        <w:t xml:space="preserve"> </w:t>
      </w:r>
      <w:r>
        <w:t>to</w:t>
      </w:r>
      <w:r>
        <w:rPr>
          <w:spacing w:val="-11"/>
        </w:rPr>
        <w:t xml:space="preserve"> </w:t>
      </w:r>
      <w:r>
        <w:t>which</w:t>
      </w:r>
      <w:r>
        <w:rPr>
          <w:spacing w:val="-12"/>
        </w:rPr>
        <w:t xml:space="preserve"> </w:t>
      </w:r>
      <w:r>
        <w:t>their</w:t>
      </w:r>
      <w:r>
        <w:rPr>
          <w:spacing w:val="-11"/>
        </w:rPr>
        <w:t xml:space="preserve"> </w:t>
      </w:r>
      <w:r>
        <w:t>needs</w:t>
      </w:r>
      <w:r>
        <w:rPr>
          <w:spacing w:val="-11"/>
        </w:rPr>
        <w:t xml:space="preserve"> </w:t>
      </w:r>
      <w:r>
        <w:t>are</w:t>
      </w:r>
      <w:r>
        <w:rPr>
          <w:spacing w:val="-13"/>
        </w:rPr>
        <w:t xml:space="preserve"> </w:t>
      </w:r>
      <w:r>
        <w:t>addressed</w:t>
      </w:r>
      <w:r>
        <w:rPr>
          <w:spacing w:val="-11"/>
        </w:rPr>
        <w:t xml:space="preserve"> </w:t>
      </w:r>
      <w:r>
        <w:t>in</w:t>
      </w:r>
      <w:r>
        <w:rPr>
          <w:spacing w:val="-11"/>
        </w:rPr>
        <w:t xml:space="preserve"> </w:t>
      </w:r>
      <w:r>
        <w:t>that</w:t>
      </w:r>
      <w:r>
        <w:rPr>
          <w:spacing w:val="-11"/>
        </w:rPr>
        <w:t xml:space="preserve"> </w:t>
      </w:r>
      <w:r>
        <w:t>movement.</w:t>
      </w:r>
      <w:r>
        <w:rPr>
          <w:spacing w:val="-12"/>
        </w:rPr>
        <w:t xml:space="preserve"> </w:t>
      </w:r>
      <w:r>
        <w:t>Such</w:t>
      </w:r>
      <w:r>
        <w:rPr>
          <w:spacing w:val="-12"/>
        </w:rPr>
        <w:t xml:space="preserve"> </w:t>
      </w:r>
      <w:r>
        <w:t>data</w:t>
      </w:r>
      <w:r>
        <w:rPr>
          <w:spacing w:val="-11"/>
        </w:rPr>
        <w:t xml:space="preserve"> </w:t>
      </w:r>
      <w:r>
        <w:t>should, at</w:t>
      </w:r>
      <w:r>
        <w:rPr>
          <w:spacing w:val="-1"/>
        </w:rPr>
        <w:t xml:space="preserve"> </w:t>
      </w:r>
      <w:r>
        <w:t>a minimum, be disaggregated by race, gender, age, and ethnicity. More generally, OCA should also work with DCF, DYS, and other state agencies to ensure high-quality, consistent SOGI data collection and reporting. Finally, the Commission urges OCA to ensure</w:t>
      </w:r>
      <w:r>
        <w:t xml:space="preserve"> that the DCF Data Work Group’s final report addresses the existing status of and recommendations for SOGI data collection.</w:t>
      </w:r>
    </w:p>
    <w:p w:rsidR="00C76E6D" w:rsidRDefault="00C76E6D">
      <w:pPr>
        <w:pStyle w:val="BodyText"/>
        <w:spacing w:before="3"/>
        <w:rPr>
          <w:sz w:val="25"/>
        </w:rPr>
      </w:pPr>
    </w:p>
    <w:p w:rsidR="00C76E6D" w:rsidRDefault="00913831">
      <w:pPr>
        <w:pStyle w:val="Heading6"/>
        <w:numPr>
          <w:ilvl w:val="1"/>
          <w:numId w:val="16"/>
        </w:numPr>
        <w:tabs>
          <w:tab w:val="left" w:pos="740"/>
        </w:tabs>
        <w:spacing w:line="276" w:lineRule="auto"/>
        <w:ind w:left="479" w:right="527" w:hanging="1"/>
      </w:pPr>
      <w:bookmarkStart w:id="787" w:name="4._OCA_should_collect_and_report_sexual_"/>
      <w:bookmarkEnd w:id="787"/>
      <w:r>
        <w:t>OCA</w:t>
      </w:r>
      <w:r>
        <w:rPr>
          <w:spacing w:val="30"/>
        </w:rPr>
        <w:t xml:space="preserve"> </w:t>
      </w:r>
      <w:r>
        <w:t>should</w:t>
      </w:r>
      <w:r>
        <w:rPr>
          <w:spacing w:val="31"/>
        </w:rPr>
        <w:t xml:space="preserve"> </w:t>
      </w:r>
      <w:r>
        <w:t>collect</w:t>
      </w:r>
      <w:r>
        <w:rPr>
          <w:spacing w:val="31"/>
        </w:rPr>
        <w:t xml:space="preserve"> </w:t>
      </w:r>
      <w:r>
        <w:t>and</w:t>
      </w:r>
      <w:r>
        <w:rPr>
          <w:spacing w:val="30"/>
        </w:rPr>
        <w:t xml:space="preserve"> </w:t>
      </w:r>
      <w:r>
        <w:t>report</w:t>
      </w:r>
      <w:r>
        <w:rPr>
          <w:spacing w:val="30"/>
        </w:rPr>
        <w:t xml:space="preserve"> </w:t>
      </w:r>
      <w:r>
        <w:t>sexual</w:t>
      </w:r>
      <w:r>
        <w:rPr>
          <w:spacing w:val="32"/>
        </w:rPr>
        <w:t xml:space="preserve"> </w:t>
      </w:r>
      <w:r>
        <w:t>orientation</w:t>
      </w:r>
      <w:r>
        <w:rPr>
          <w:spacing w:val="33"/>
        </w:rPr>
        <w:t xml:space="preserve"> </w:t>
      </w:r>
      <w:r>
        <w:t>and</w:t>
      </w:r>
      <w:r>
        <w:rPr>
          <w:spacing w:val="31"/>
        </w:rPr>
        <w:t xml:space="preserve"> </w:t>
      </w:r>
      <w:r>
        <w:t>gender</w:t>
      </w:r>
      <w:r>
        <w:rPr>
          <w:spacing w:val="31"/>
        </w:rPr>
        <w:t xml:space="preserve"> </w:t>
      </w:r>
      <w:r>
        <w:t>identity</w:t>
      </w:r>
      <w:r>
        <w:rPr>
          <w:spacing w:val="32"/>
        </w:rPr>
        <w:t xml:space="preserve"> </w:t>
      </w:r>
      <w:r>
        <w:t>(SOGI)</w:t>
      </w:r>
      <w:r>
        <w:rPr>
          <w:spacing w:val="30"/>
        </w:rPr>
        <w:t xml:space="preserve"> </w:t>
      </w:r>
      <w:r>
        <w:t>information</w:t>
      </w:r>
      <w:r>
        <w:rPr>
          <w:spacing w:val="31"/>
        </w:rPr>
        <w:t xml:space="preserve"> </w:t>
      </w:r>
      <w:r>
        <w:t>when reporting statistics about abuse, negl</w:t>
      </w:r>
      <w:r>
        <w:t>ect, and critical incidents.</w:t>
      </w:r>
    </w:p>
    <w:p w:rsidR="00C76E6D" w:rsidRDefault="00C76E6D">
      <w:pPr>
        <w:pStyle w:val="BodyText"/>
        <w:spacing w:before="4"/>
        <w:rPr>
          <w:b/>
          <w:sz w:val="25"/>
        </w:rPr>
      </w:pPr>
    </w:p>
    <w:p w:rsidR="00C76E6D" w:rsidRDefault="00913831">
      <w:pPr>
        <w:pStyle w:val="BodyText"/>
        <w:spacing w:line="276" w:lineRule="auto"/>
        <w:ind w:left="767" w:right="474" w:hanging="1"/>
        <w:jc w:val="both"/>
      </w:pPr>
      <w:r>
        <w:t>The</w:t>
      </w:r>
      <w:r>
        <w:rPr>
          <w:spacing w:val="-5"/>
        </w:rPr>
        <w:t xml:space="preserve"> </w:t>
      </w:r>
      <w:r>
        <w:t>Commission</w:t>
      </w:r>
      <w:r>
        <w:rPr>
          <w:spacing w:val="-5"/>
        </w:rPr>
        <w:t xml:space="preserve"> </w:t>
      </w:r>
      <w:r>
        <w:t>appreciates</w:t>
      </w:r>
      <w:r>
        <w:rPr>
          <w:spacing w:val="-5"/>
        </w:rPr>
        <w:t xml:space="preserve"> </w:t>
      </w:r>
      <w:r>
        <w:t>that</w:t>
      </w:r>
      <w:r>
        <w:rPr>
          <w:spacing w:val="-3"/>
        </w:rPr>
        <w:t xml:space="preserve"> </w:t>
      </w:r>
      <w:r>
        <w:t>OCA’s</w:t>
      </w:r>
      <w:r>
        <w:rPr>
          <w:spacing w:val="-3"/>
        </w:rPr>
        <w:t xml:space="preserve"> </w:t>
      </w:r>
      <w:r>
        <w:t>FY20</w:t>
      </w:r>
      <w:r>
        <w:rPr>
          <w:spacing w:val="-5"/>
        </w:rPr>
        <w:t xml:space="preserve"> </w:t>
      </w:r>
      <w:r>
        <w:t>annual</w:t>
      </w:r>
      <w:r>
        <w:rPr>
          <w:spacing w:val="-3"/>
        </w:rPr>
        <w:t xml:space="preserve"> </w:t>
      </w:r>
      <w:r>
        <w:t>report</w:t>
      </w:r>
      <w:r>
        <w:rPr>
          <w:spacing w:val="-6"/>
        </w:rPr>
        <w:t xml:space="preserve"> </w:t>
      </w:r>
      <w:r>
        <w:t>provides</w:t>
      </w:r>
      <w:r>
        <w:rPr>
          <w:spacing w:val="-4"/>
        </w:rPr>
        <w:t xml:space="preserve"> </w:t>
      </w:r>
      <w:r>
        <w:t>information</w:t>
      </w:r>
      <w:r>
        <w:rPr>
          <w:spacing w:val="-5"/>
        </w:rPr>
        <w:t xml:space="preserve"> </w:t>
      </w:r>
      <w:r>
        <w:t>about</w:t>
      </w:r>
      <w:r>
        <w:rPr>
          <w:spacing w:val="-3"/>
        </w:rPr>
        <w:t xml:space="preserve"> </w:t>
      </w:r>
      <w:r>
        <w:t>the</w:t>
      </w:r>
      <w:r>
        <w:rPr>
          <w:spacing w:val="-4"/>
        </w:rPr>
        <w:t xml:space="preserve"> </w:t>
      </w:r>
      <w:r>
        <w:t>gender</w:t>
      </w:r>
      <w:r>
        <w:rPr>
          <w:spacing w:val="-5"/>
        </w:rPr>
        <w:t xml:space="preserve"> </w:t>
      </w:r>
      <w:r>
        <w:t xml:space="preserve">of youth impacted by critical incidents, including youth identified as transgender or gender- nonconforming, but is concerned that </w:t>
      </w:r>
      <w:r>
        <w:t>the agencies who provide these data may be undercounting transgender and</w:t>
      </w:r>
      <w:r>
        <w:rPr>
          <w:spacing w:val="-1"/>
        </w:rPr>
        <w:t xml:space="preserve"> </w:t>
      </w:r>
      <w:r>
        <w:t>gender-nonconforming</w:t>
      </w:r>
      <w:r>
        <w:rPr>
          <w:spacing w:val="-1"/>
        </w:rPr>
        <w:t xml:space="preserve"> </w:t>
      </w:r>
      <w:r>
        <w:t>youth. The Commission</w:t>
      </w:r>
      <w:r>
        <w:rPr>
          <w:spacing w:val="-1"/>
        </w:rPr>
        <w:t xml:space="preserve"> </w:t>
      </w:r>
      <w:r>
        <w:t>recommends that</w:t>
      </w:r>
      <w:r>
        <w:rPr>
          <w:spacing w:val="-1"/>
        </w:rPr>
        <w:t xml:space="preserve"> </w:t>
      </w:r>
      <w:r>
        <w:t>OCA work</w:t>
      </w:r>
      <w:r>
        <w:rPr>
          <w:spacing w:val="-1"/>
        </w:rPr>
        <w:t xml:space="preserve"> </w:t>
      </w:r>
      <w:r>
        <w:t>with</w:t>
      </w:r>
      <w:r>
        <w:rPr>
          <w:spacing w:val="-1"/>
        </w:rPr>
        <w:t xml:space="preserve"> </w:t>
      </w:r>
      <w:r>
        <w:t>its partner agencies to ensure they accurately record young people’s gender identities. Additionally, the Comm</w:t>
      </w:r>
      <w:r>
        <w:t>ission urges OCA to identify whether reports of abuse and neglect in congregate care settings involve LGBTQ youth or issues of sexual orientation and gender identity, and to do so in a way that examines intersections with race and ethnicity.</w:t>
      </w:r>
    </w:p>
    <w:p w:rsidR="00C76E6D" w:rsidRDefault="00C76E6D">
      <w:pPr>
        <w:pStyle w:val="BodyText"/>
        <w:spacing w:before="5"/>
        <w:rPr>
          <w:sz w:val="25"/>
        </w:rPr>
      </w:pPr>
    </w:p>
    <w:p w:rsidR="00C76E6D" w:rsidRDefault="00913831">
      <w:pPr>
        <w:pStyle w:val="Heading6"/>
        <w:numPr>
          <w:ilvl w:val="0"/>
          <w:numId w:val="16"/>
        </w:numPr>
        <w:tabs>
          <w:tab w:val="left" w:pos="712"/>
        </w:tabs>
        <w:ind w:left="711" w:hanging="235"/>
      </w:pPr>
      <w:bookmarkStart w:id="788" w:name="B._Education_Recommendations"/>
      <w:bookmarkEnd w:id="788"/>
      <w:r>
        <w:rPr>
          <w:w w:val="95"/>
        </w:rPr>
        <w:t>Education</w:t>
      </w:r>
      <w:r>
        <w:rPr>
          <w:spacing w:val="19"/>
        </w:rPr>
        <w:t xml:space="preserve"> </w:t>
      </w:r>
      <w:r>
        <w:rPr>
          <w:spacing w:val="-2"/>
        </w:rPr>
        <w:t>Recommendations</w:t>
      </w:r>
    </w:p>
    <w:p w:rsidR="00C76E6D" w:rsidRDefault="00C76E6D">
      <w:pPr>
        <w:pStyle w:val="BodyText"/>
        <w:spacing w:before="5"/>
        <w:rPr>
          <w:b/>
          <w:sz w:val="28"/>
        </w:rPr>
      </w:pPr>
    </w:p>
    <w:p w:rsidR="00C76E6D" w:rsidRDefault="00913831">
      <w:pPr>
        <w:pStyle w:val="ListParagraph"/>
        <w:numPr>
          <w:ilvl w:val="0"/>
          <w:numId w:val="15"/>
        </w:numPr>
        <w:tabs>
          <w:tab w:val="left" w:pos="689"/>
        </w:tabs>
        <w:spacing w:before="1" w:line="276" w:lineRule="auto"/>
        <w:ind w:right="510" w:firstLine="0"/>
        <w:rPr>
          <w:b/>
        </w:rPr>
      </w:pPr>
      <w:r>
        <w:rPr>
          <w:b/>
        </w:rPr>
        <w:t>Identify</w:t>
      </w:r>
      <w:r>
        <w:rPr>
          <w:b/>
          <w:spacing w:val="-13"/>
        </w:rPr>
        <w:t xml:space="preserve"> </w:t>
      </w:r>
      <w:r>
        <w:rPr>
          <w:b/>
        </w:rPr>
        <w:t>opportunities</w:t>
      </w:r>
      <w:r>
        <w:rPr>
          <w:b/>
          <w:spacing w:val="-13"/>
        </w:rPr>
        <w:t xml:space="preserve"> </w:t>
      </w:r>
      <w:r>
        <w:rPr>
          <w:b/>
        </w:rPr>
        <w:t>to</w:t>
      </w:r>
      <w:r>
        <w:rPr>
          <w:b/>
          <w:spacing w:val="-14"/>
        </w:rPr>
        <w:t xml:space="preserve"> </w:t>
      </w:r>
      <w:r>
        <w:rPr>
          <w:b/>
        </w:rPr>
        <w:t>partner</w:t>
      </w:r>
      <w:r>
        <w:rPr>
          <w:b/>
          <w:spacing w:val="-12"/>
        </w:rPr>
        <w:t xml:space="preserve"> </w:t>
      </w:r>
      <w:r>
        <w:rPr>
          <w:b/>
        </w:rPr>
        <w:t>with</w:t>
      </w:r>
      <w:r>
        <w:rPr>
          <w:b/>
          <w:spacing w:val="-13"/>
        </w:rPr>
        <w:t xml:space="preserve"> </w:t>
      </w:r>
      <w:r>
        <w:rPr>
          <w:b/>
        </w:rPr>
        <w:t>the</w:t>
      </w:r>
      <w:r>
        <w:rPr>
          <w:b/>
          <w:spacing w:val="-13"/>
        </w:rPr>
        <w:t xml:space="preserve"> </w:t>
      </w:r>
      <w:r>
        <w:rPr>
          <w:b/>
        </w:rPr>
        <w:t>Commission</w:t>
      </w:r>
      <w:r>
        <w:rPr>
          <w:b/>
          <w:spacing w:val="-13"/>
        </w:rPr>
        <w:t xml:space="preserve"> </w:t>
      </w:r>
      <w:r>
        <w:rPr>
          <w:b/>
        </w:rPr>
        <w:t>to</w:t>
      </w:r>
      <w:r>
        <w:rPr>
          <w:b/>
          <w:spacing w:val="-14"/>
        </w:rPr>
        <w:t xml:space="preserve"> </w:t>
      </w:r>
      <w:r>
        <w:rPr>
          <w:b/>
        </w:rPr>
        <w:t>ensure</w:t>
      </w:r>
      <w:r>
        <w:rPr>
          <w:b/>
          <w:spacing w:val="-13"/>
        </w:rPr>
        <w:t xml:space="preserve"> </w:t>
      </w:r>
      <w:r>
        <w:rPr>
          <w:b/>
        </w:rPr>
        <w:t>the</w:t>
      </w:r>
      <w:r>
        <w:rPr>
          <w:b/>
          <w:spacing w:val="-13"/>
        </w:rPr>
        <w:t xml:space="preserve"> </w:t>
      </w:r>
      <w:r>
        <w:rPr>
          <w:b/>
        </w:rPr>
        <w:t>safety</w:t>
      </w:r>
      <w:r>
        <w:rPr>
          <w:b/>
          <w:spacing w:val="-12"/>
        </w:rPr>
        <w:t xml:space="preserve"> </w:t>
      </w:r>
      <w:r>
        <w:rPr>
          <w:b/>
        </w:rPr>
        <w:t>and</w:t>
      </w:r>
      <w:r>
        <w:rPr>
          <w:b/>
          <w:spacing w:val="-15"/>
        </w:rPr>
        <w:t xml:space="preserve"> </w:t>
      </w:r>
      <w:r>
        <w:rPr>
          <w:b/>
        </w:rPr>
        <w:t>education</w:t>
      </w:r>
      <w:r>
        <w:rPr>
          <w:b/>
          <w:spacing w:val="-13"/>
        </w:rPr>
        <w:t xml:space="preserve"> </w:t>
      </w:r>
      <w:r>
        <w:rPr>
          <w:b/>
        </w:rPr>
        <w:t>of</w:t>
      </w:r>
      <w:r>
        <w:rPr>
          <w:b/>
          <w:spacing w:val="-14"/>
        </w:rPr>
        <w:t xml:space="preserve"> </w:t>
      </w:r>
      <w:r>
        <w:rPr>
          <w:b/>
        </w:rPr>
        <w:t>the</w:t>
      </w:r>
      <w:r>
        <w:rPr>
          <w:b/>
          <w:spacing w:val="-13"/>
        </w:rPr>
        <w:t xml:space="preserve"> </w:t>
      </w:r>
      <w:r>
        <w:rPr>
          <w:b/>
        </w:rPr>
        <w:t>most vulnerable LGBTQ students.</w:t>
      </w:r>
    </w:p>
    <w:p w:rsidR="00C76E6D" w:rsidRDefault="00C76E6D">
      <w:pPr>
        <w:pStyle w:val="BodyText"/>
        <w:spacing w:before="4"/>
        <w:rPr>
          <w:b/>
          <w:sz w:val="25"/>
        </w:rPr>
      </w:pPr>
    </w:p>
    <w:p w:rsidR="00C76E6D" w:rsidRDefault="00913831">
      <w:pPr>
        <w:pStyle w:val="BodyText"/>
        <w:spacing w:line="276" w:lineRule="auto"/>
        <w:ind w:left="767" w:right="474" w:hanging="1"/>
        <w:jc w:val="both"/>
      </w:pPr>
      <w:r>
        <w:t>Very</w:t>
      </w:r>
      <w:r>
        <w:rPr>
          <w:spacing w:val="-9"/>
        </w:rPr>
        <w:t xml:space="preserve"> </w:t>
      </w:r>
      <w:r>
        <w:t>little</w:t>
      </w:r>
      <w:r>
        <w:rPr>
          <w:spacing w:val="-9"/>
        </w:rPr>
        <w:t xml:space="preserve"> </w:t>
      </w:r>
      <w:r>
        <w:t>is</w:t>
      </w:r>
      <w:r>
        <w:rPr>
          <w:spacing w:val="-6"/>
        </w:rPr>
        <w:t xml:space="preserve"> </w:t>
      </w:r>
      <w:r>
        <w:t>known</w:t>
      </w:r>
      <w:r>
        <w:rPr>
          <w:spacing w:val="-9"/>
        </w:rPr>
        <w:t xml:space="preserve"> </w:t>
      </w:r>
      <w:r>
        <w:t>about</w:t>
      </w:r>
      <w:r>
        <w:rPr>
          <w:spacing w:val="-7"/>
        </w:rPr>
        <w:t xml:space="preserve"> </w:t>
      </w:r>
      <w:r>
        <w:t>the</w:t>
      </w:r>
      <w:r>
        <w:rPr>
          <w:spacing w:val="-9"/>
        </w:rPr>
        <w:t xml:space="preserve"> </w:t>
      </w:r>
      <w:r>
        <w:t>experiences</w:t>
      </w:r>
      <w:r>
        <w:rPr>
          <w:spacing w:val="-8"/>
        </w:rPr>
        <w:t xml:space="preserve"> </w:t>
      </w:r>
      <w:r>
        <w:t>of</w:t>
      </w:r>
      <w:r>
        <w:rPr>
          <w:spacing w:val="-9"/>
        </w:rPr>
        <w:t xml:space="preserve"> </w:t>
      </w:r>
      <w:r>
        <w:t>LGBTQ</w:t>
      </w:r>
      <w:r>
        <w:rPr>
          <w:spacing w:val="-8"/>
        </w:rPr>
        <w:t xml:space="preserve"> </w:t>
      </w:r>
      <w:r>
        <w:t>youth</w:t>
      </w:r>
      <w:r>
        <w:rPr>
          <w:spacing w:val="-9"/>
        </w:rPr>
        <w:t xml:space="preserve"> </w:t>
      </w:r>
      <w:r>
        <w:t>in</w:t>
      </w:r>
      <w:r>
        <w:rPr>
          <w:spacing w:val="-9"/>
        </w:rPr>
        <w:t xml:space="preserve"> </w:t>
      </w:r>
      <w:r>
        <w:t>residential</w:t>
      </w:r>
      <w:r>
        <w:rPr>
          <w:spacing w:val="-9"/>
        </w:rPr>
        <w:t xml:space="preserve"> </w:t>
      </w:r>
      <w:r>
        <w:t>schools</w:t>
      </w:r>
      <w:r>
        <w:rPr>
          <w:spacing w:val="-9"/>
        </w:rPr>
        <w:t xml:space="preserve"> </w:t>
      </w:r>
      <w:r>
        <w:t>in</w:t>
      </w:r>
      <w:r>
        <w:rPr>
          <w:spacing w:val="-8"/>
        </w:rPr>
        <w:t xml:space="preserve"> </w:t>
      </w:r>
      <w:r>
        <w:t>Massachusetts.</w:t>
      </w:r>
      <w:r>
        <w:rPr>
          <w:spacing w:val="-8"/>
        </w:rPr>
        <w:t xml:space="preserve"> </w:t>
      </w:r>
      <w:r>
        <w:t>The Commission</w:t>
      </w:r>
      <w:r>
        <w:rPr>
          <w:spacing w:val="-5"/>
        </w:rPr>
        <w:t xml:space="preserve"> </w:t>
      </w:r>
      <w:r>
        <w:t>appreciates</w:t>
      </w:r>
      <w:r>
        <w:rPr>
          <w:spacing w:val="-2"/>
        </w:rPr>
        <w:t xml:space="preserve"> </w:t>
      </w:r>
      <w:r>
        <w:t>OCA’s</w:t>
      </w:r>
      <w:r>
        <w:rPr>
          <w:spacing w:val="-5"/>
        </w:rPr>
        <w:t xml:space="preserve"> </w:t>
      </w:r>
      <w:r>
        <w:t>2017</w:t>
      </w:r>
      <w:r>
        <w:rPr>
          <w:spacing w:val="-5"/>
        </w:rPr>
        <w:t xml:space="preserve"> </w:t>
      </w:r>
      <w:r>
        <w:t>report</w:t>
      </w:r>
      <w:r>
        <w:rPr>
          <w:spacing w:val="-6"/>
        </w:rPr>
        <w:t xml:space="preserve"> </w:t>
      </w:r>
      <w:r>
        <w:t>of</w:t>
      </w:r>
      <w:r>
        <w:rPr>
          <w:spacing w:val="-4"/>
        </w:rPr>
        <w:t xml:space="preserve"> </w:t>
      </w:r>
      <w:r>
        <w:t>the</w:t>
      </w:r>
      <w:r>
        <w:rPr>
          <w:spacing w:val="-4"/>
        </w:rPr>
        <w:t xml:space="preserve"> </w:t>
      </w:r>
      <w:r>
        <w:t>Interagency</w:t>
      </w:r>
      <w:r>
        <w:rPr>
          <w:spacing w:val="-2"/>
        </w:rPr>
        <w:t xml:space="preserve"> </w:t>
      </w:r>
      <w:r>
        <w:t>Working</w:t>
      </w:r>
      <w:r>
        <w:rPr>
          <w:spacing w:val="-5"/>
        </w:rPr>
        <w:t xml:space="preserve"> </w:t>
      </w:r>
      <w:r>
        <w:t>Group</w:t>
      </w:r>
      <w:r>
        <w:rPr>
          <w:spacing w:val="-5"/>
        </w:rPr>
        <w:t xml:space="preserve"> </w:t>
      </w:r>
      <w:r>
        <w:t>on</w:t>
      </w:r>
      <w:r>
        <w:rPr>
          <w:spacing w:val="-3"/>
        </w:rPr>
        <w:t xml:space="preserve"> </w:t>
      </w:r>
      <w:r>
        <w:t>Residential</w:t>
      </w:r>
      <w:r>
        <w:rPr>
          <w:spacing w:val="-4"/>
        </w:rPr>
        <w:t xml:space="preserve"> </w:t>
      </w:r>
      <w:r>
        <w:t>Schools. The Commission is eager to learn more about any ongoing work resulting from that report and how the</w:t>
      </w:r>
      <w:r>
        <w:rPr>
          <w:spacing w:val="30"/>
        </w:rPr>
        <w:t xml:space="preserve"> </w:t>
      </w:r>
      <w:r>
        <w:t>Commission</w:t>
      </w:r>
      <w:r>
        <w:rPr>
          <w:spacing w:val="29"/>
        </w:rPr>
        <w:t xml:space="preserve"> </w:t>
      </w:r>
      <w:r>
        <w:t>and</w:t>
      </w:r>
      <w:r>
        <w:rPr>
          <w:spacing w:val="29"/>
        </w:rPr>
        <w:t xml:space="preserve"> </w:t>
      </w:r>
      <w:r>
        <w:t>its</w:t>
      </w:r>
      <w:r>
        <w:rPr>
          <w:spacing w:val="31"/>
        </w:rPr>
        <w:t xml:space="preserve"> </w:t>
      </w:r>
      <w:r>
        <w:t>Safe</w:t>
      </w:r>
      <w:r>
        <w:rPr>
          <w:spacing w:val="29"/>
        </w:rPr>
        <w:t xml:space="preserve"> </w:t>
      </w:r>
      <w:r>
        <w:t>Schools</w:t>
      </w:r>
      <w:r>
        <w:rPr>
          <w:spacing w:val="29"/>
        </w:rPr>
        <w:t xml:space="preserve"> </w:t>
      </w:r>
      <w:r>
        <w:t>Program</w:t>
      </w:r>
      <w:r>
        <w:rPr>
          <w:spacing w:val="28"/>
        </w:rPr>
        <w:t xml:space="preserve"> </w:t>
      </w:r>
      <w:r>
        <w:t>for</w:t>
      </w:r>
      <w:r>
        <w:rPr>
          <w:spacing w:val="29"/>
        </w:rPr>
        <w:t xml:space="preserve"> </w:t>
      </w:r>
      <w:r>
        <w:t>LGBTQ</w:t>
      </w:r>
      <w:r>
        <w:rPr>
          <w:spacing w:val="29"/>
        </w:rPr>
        <w:t xml:space="preserve"> </w:t>
      </w:r>
      <w:r>
        <w:t>Students</w:t>
      </w:r>
      <w:r>
        <w:rPr>
          <w:spacing w:val="29"/>
        </w:rPr>
        <w:t xml:space="preserve"> </w:t>
      </w:r>
      <w:r>
        <w:t>might</w:t>
      </w:r>
      <w:r>
        <w:rPr>
          <w:spacing w:val="30"/>
        </w:rPr>
        <w:t xml:space="preserve"> </w:t>
      </w:r>
      <w:r>
        <w:t>collaborate</w:t>
      </w:r>
      <w:r>
        <w:rPr>
          <w:spacing w:val="29"/>
        </w:rPr>
        <w:t xml:space="preserve"> </w:t>
      </w:r>
      <w:r>
        <w:t>with</w:t>
      </w:r>
      <w:r>
        <w:rPr>
          <w:spacing w:val="28"/>
        </w:rPr>
        <w:t xml:space="preserve"> </w:t>
      </w:r>
      <w:r>
        <w:t>OCA</w:t>
      </w:r>
      <w:r>
        <w:rPr>
          <w:spacing w:val="30"/>
        </w:rPr>
        <w:t xml:space="preserve"> </w:t>
      </w:r>
      <w:r>
        <w:t>to</w:t>
      </w:r>
    </w:p>
    <w:p w:rsidR="00C76E6D" w:rsidRDefault="00C76E6D">
      <w:pPr>
        <w:spacing w:line="276" w:lineRule="auto"/>
        <w:jc w:val="both"/>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spacing w:before="11"/>
        <w:rPr>
          <w:sz w:val="16"/>
        </w:rPr>
      </w:pPr>
    </w:p>
    <w:p w:rsidR="00C76E6D" w:rsidRDefault="00913831">
      <w:pPr>
        <w:pStyle w:val="BodyText"/>
        <w:spacing w:line="276" w:lineRule="auto"/>
        <w:ind w:left="768" w:right="476"/>
        <w:jc w:val="both"/>
      </w:pPr>
      <w:r>
        <w:t xml:space="preserve">understand the experiences of LGBTQ youth in residential schools and to contribute to any needed </w:t>
      </w:r>
      <w:r>
        <w:rPr>
          <w:spacing w:val="-2"/>
        </w:rPr>
        <w:t>changes.</w:t>
      </w:r>
    </w:p>
    <w:p w:rsidR="00C76E6D" w:rsidRDefault="00C76E6D">
      <w:pPr>
        <w:pStyle w:val="BodyText"/>
        <w:spacing w:before="3"/>
        <w:rPr>
          <w:sz w:val="25"/>
        </w:rPr>
      </w:pPr>
    </w:p>
    <w:p w:rsidR="00C76E6D" w:rsidRDefault="00913831">
      <w:pPr>
        <w:pStyle w:val="Heading6"/>
        <w:numPr>
          <w:ilvl w:val="0"/>
          <w:numId w:val="16"/>
        </w:numPr>
        <w:tabs>
          <w:tab w:val="left" w:pos="705"/>
        </w:tabs>
        <w:spacing w:before="1"/>
        <w:ind w:left="704" w:hanging="228"/>
      </w:pPr>
      <w:bookmarkStart w:id="789" w:name="C._Public_Health_Recommendations"/>
      <w:bookmarkEnd w:id="789"/>
      <w:r>
        <w:rPr>
          <w:w w:val="95"/>
        </w:rPr>
        <w:t>Public</w:t>
      </w:r>
      <w:r>
        <w:rPr>
          <w:spacing w:val="13"/>
        </w:rPr>
        <w:t xml:space="preserve"> </w:t>
      </w:r>
      <w:r>
        <w:rPr>
          <w:w w:val="95"/>
        </w:rPr>
        <w:t>Health</w:t>
      </w:r>
      <w:r>
        <w:rPr>
          <w:spacing w:val="12"/>
        </w:rPr>
        <w:t xml:space="preserve"> </w:t>
      </w:r>
      <w:r>
        <w:rPr>
          <w:spacing w:val="-2"/>
          <w:w w:val="95"/>
        </w:rPr>
        <w:t>Recommendations</w:t>
      </w:r>
    </w:p>
    <w:p w:rsidR="00C76E6D" w:rsidRDefault="00C76E6D">
      <w:pPr>
        <w:pStyle w:val="BodyText"/>
        <w:spacing w:before="7"/>
        <w:rPr>
          <w:b/>
          <w:sz w:val="28"/>
        </w:rPr>
      </w:pPr>
    </w:p>
    <w:p w:rsidR="00C76E6D" w:rsidRDefault="00913831">
      <w:pPr>
        <w:pStyle w:val="ListParagraph"/>
        <w:numPr>
          <w:ilvl w:val="0"/>
          <w:numId w:val="15"/>
        </w:numPr>
        <w:tabs>
          <w:tab w:val="left" w:pos="699"/>
        </w:tabs>
        <w:ind w:left="698" w:hanging="221"/>
        <w:rPr>
          <w:b/>
        </w:rPr>
      </w:pPr>
      <w:r>
        <w:rPr>
          <w:b/>
          <w:w w:val="95"/>
        </w:rPr>
        <w:t>Explore</w:t>
      </w:r>
      <w:r>
        <w:rPr>
          <w:b/>
          <w:spacing w:val="15"/>
        </w:rPr>
        <w:t xml:space="preserve"> </w:t>
      </w:r>
      <w:r>
        <w:rPr>
          <w:b/>
          <w:w w:val="95"/>
        </w:rPr>
        <w:t>new</w:t>
      </w:r>
      <w:r>
        <w:rPr>
          <w:b/>
          <w:spacing w:val="17"/>
        </w:rPr>
        <w:t xml:space="preserve"> </w:t>
      </w:r>
      <w:r>
        <w:rPr>
          <w:b/>
          <w:w w:val="95"/>
        </w:rPr>
        <w:t>ways</w:t>
      </w:r>
      <w:r>
        <w:rPr>
          <w:b/>
          <w:spacing w:val="19"/>
        </w:rPr>
        <w:t xml:space="preserve"> </w:t>
      </w:r>
      <w:r>
        <w:rPr>
          <w:b/>
          <w:w w:val="95"/>
        </w:rPr>
        <w:t>to</w:t>
      </w:r>
      <w:r>
        <w:rPr>
          <w:b/>
          <w:spacing w:val="15"/>
        </w:rPr>
        <w:t xml:space="preserve"> </w:t>
      </w:r>
      <w:r>
        <w:rPr>
          <w:b/>
          <w:w w:val="95"/>
        </w:rPr>
        <w:t>promote</w:t>
      </w:r>
      <w:r>
        <w:rPr>
          <w:b/>
          <w:spacing w:val="16"/>
        </w:rPr>
        <w:t xml:space="preserve"> </w:t>
      </w:r>
      <w:r>
        <w:rPr>
          <w:b/>
          <w:w w:val="95"/>
        </w:rPr>
        <w:t>LGBTQ-inclusive</w:t>
      </w:r>
      <w:r>
        <w:rPr>
          <w:b/>
          <w:spacing w:val="17"/>
        </w:rPr>
        <w:t xml:space="preserve"> </w:t>
      </w:r>
      <w:r>
        <w:rPr>
          <w:b/>
          <w:w w:val="95"/>
        </w:rPr>
        <w:t>suicide</w:t>
      </w:r>
      <w:r>
        <w:rPr>
          <w:b/>
          <w:spacing w:val="15"/>
        </w:rPr>
        <w:t xml:space="preserve"> </w:t>
      </w:r>
      <w:r>
        <w:rPr>
          <w:b/>
          <w:w w:val="95"/>
        </w:rPr>
        <w:t>prevention</w:t>
      </w:r>
      <w:r>
        <w:rPr>
          <w:b/>
          <w:spacing w:val="16"/>
        </w:rPr>
        <w:t xml:space="preserve"> </w:t>
      </w:r>
      <w:r>
        <w:rPr>
          <w:b/>
          <w:spacing w:val="-2"/>
          <w:w w:val="95"/>
        </w:rPr>
        <w:t>efforts.</w:t>
      </w:r>
    </w:p>
    <w:p w:rsidR="00C76E6D" w:rsidRDefault="00C76E6D">
      <w:pPr>
        <w:pStyle w:val="BodyText"/>
        <w:spacing w:before="8"/>
        <w:rPr>
          <w:b/>
          <w:sz w:val="28"/>
        </w:rPr>
      </w:pPr>
    </w:p>
    <w:p w:rsidR="00C76E6D" w:rsidRDefault="00913831">
      <w:pPr>
        <w:pStyle w:val="BodyText"/>
        <w:spacing w:line="276" w:lineRule="auto"/>
        <w:ind w:left="767" w:right="476" w:hanging="2"/>
        <w:jc w:val="both"/>
      </w:pPr>
      <w:r>
        <w:t>LGBTQ youth report suicidal ideation at alarming rates</w:t>
      </w:r>
      <w:hyperlink w:anchor="_bookmark572" w:history="1">
        <w:r>
          <w:t>.</w:t>
        </w:r>
        <w:r>
          <w:rPr>
            <w:vertAlign w:val="superscript"/>
          </w:rPr>
          <w:t>4</w:t>
        </w:r>
      </w:hyperlink>
      <w:r>
        <w:t xml:space="preserve"> The Commission has partnered with the Department of Public Health for many years on suicide prevention efforts specific to and inclusive of LGBTQ</w:t>
      </w:r>
      <w:r>
        <w:rPr>
          <w:spacing w:val="-5"/>
        </w:rPr>
        <w:t xml:space="preserve"> </w:t>
      </w:r>
      <w:r>
        <w:t>young</w:t>
      </w:r>
      <w:r>
        <w:rPr>
          <w:spacing w:val="-4"/>
        </w:rPr>
        <w:t xml:space="preserve"> </w:t>
      </w:r>
      <w:r>
        <w:t>people.</w:t>
      </w:r>
      <w:r>
        <w:rPr>
          <w:spacing w:val="-5"/>
        </w:rPr>
        <w:t xml:space="preserve"> </w:t>
      </w:r>
      <w:r>
        <w:t>The</w:t>
      </w:r>
      <w:r>
        <w:rPr>
          <w:spacing w:val="-4"/>
        </w:rPr>
        <w:t xml:space="preserve"> </w:t>
      </w:r>
      <w:r>
        <w:t>Commission</w:t>
      </w:r>
      <w:r>
        <w:rPr>
          <w:spacing w:val="-6"/>
        </w:rPr>
        <w:t xml:space="preserve"> </w:t>
      </w:r>
      <w:r>
        <w:t>is</w:t>
      </w:r>
      <w:r>
        <w:rPr>
          <w:spacing w:val="-6"/>
        </w:rPr>
        <w:t xml:space="preserve"> </w:t>
      </w:r>
      <w:r>
        <w:t>eager</w:t>
      </w:r>
      <w:r>
        <w:rPr>
          <w:spacing w:val="-5"/>
        </w:rPr>
        <w:t xml:space="preserve"> </w:t>
      </w:r>
      <w:r>
        <w:t>to</w:t>
      </w:r>
      <w:r>
        <w:rPr>
          <w:spacing w:val="-5"/>
        </w:rPr>
        <w:t xml:space="preserve"> </w:t>
      </w:r>
      <w:r>
        <w:t>learn</w:t>
      </w:r>
      <w:r>
        <w:rPr>
          <w:spacing w:val="-6"/>
        </w:rPr>
        <w:t xml:space="preserve"> </w:t>
      </w:r>
      <w:r>
        <w:t>more</w:t>
      </w:r>
      <w:r>
        <w:rPr>
          <w:spacing w:val="-5"/>
        </w:rPr>
        <w:t xml:space="preserve"> </w:t>
      </w:r>
      <w:r>
        <w:t>about</w:t>
      </w:r>
      <w:r>
        <w:rPr>
          <w:spacing w:val="-7"/>
        </w:rPr>
        <w:t xml:space="preserve"> </w:t>
      </w:r>
      <w:r>
        <w:t>OCA’s</w:t>
      </w:r>
      <w:r>
        <w:rPr>
          <w:spacing w:val="-6"/>
        </w:rPr>
        <w:t xml:space="preserve"> </w:t>
      </w:r>
      <w:r>
        <w:t>work</w:t>
      </w:r>
      <w:r>
        <w:rPr>
          <w:spacing w:val="-5"/>
        </w:rPr>
        <w:t xml:space="preserve"> </w:t>
      </w:r>
      <w:r>
        <w:t>on</w:t>
      </w:r>
      <w:r>
        <w:rPr>
          <w:spacing w:val="-7"/>
        </w:rPr>
        <w:t xml:space="preserve"> </w:t>
      </w:r>
      <w:r>
        <w:t>suicide</w:t>
      </w:r>
      <w:r>
        <w:rPr>
          <w:spacing w:val="-4"/>
        </w:rPr>
        <w:t xml:space="preserve"> </w:t>
      </w:r>
      <w:r>
        <w:t>prevention and opportunities to collaborate.</w:t>
      </w:r>
    </w:p>
    <w:p w:rsidR="00C76E6D" w:rsidRDefault="00C76E6D">
      <w:pPr>
        <w:pStyle w:val="BodyText"/>
        <w:rPr>
          <w:sz w:val="20"/>
        </w:rPr>
      </w:pPr>
    </w:p>
    <w:p w:rsidR="00C76E6D" w:rsidRDefault="00C76E6D">
      <w:pPr>
        <w:pStyle w:val="BodyText"/>
        <w:rPr>
          <w:sz w:val="20"/>
        </w:rPr>
      </w:pPr>
    </w:p>
    <w:p w:rsidR="00C76E6D" w:rsidRDefault="00913831">
      <w:pPr>
        <w:pStyle w:val="BodyText"/>
        <w:spacing w:before="8"/>
        <w:rPr>
          <w:sz w:val="18"/>
        </w:rPr>
      </w:pPr>
      <w:r>
        <w:pict>
          <v:shape id="docshape364" o:spid="_x0000_s1103" style="position:absolute;margin-left:70.6pt;margin-top:12.6pt;width:470.95pt;height:.1pt;z-index:-15656960;mso-wrap-distance-left:0;mso-wrap-distance-right:0;mso-position-horizontal-relative:page" coordorigin="1412,252" coordsize="9419,0" path="m1412,252r9419,e" filled="f" strokeweight="1.54pt">
            <v:path arrowok="t"/>
            <w10:wrap type="topAndBottom" anchorx="page"/>
          </v:shape>
        </w:pict>
      </w:r>
    </w:p>
    <w:p w:rsidR="00C76E6D" w:rsidRDefault="00C76E6D">
      <w:pPr>
        <w:pStyle w:val="BodyText"/>
        <w:spacing w:before="9"/>
      </w:pPr>
    </w:p>
    <w:p w:rsidR="00C76E6D" w:rsidRDefault="00913831">
      <w:pPr>
        <w:pStyle w:val="Heading6"/>
        <w:ind w:left="3683" w:right="3683"/>
        <w:jc w:val="center"/>
      </w:pPr>
      <w:r>
        <w:rPr>
          <w:spacing w:val="-2"/>
        </w:rPr>
        <w:t>ENDNOTES</w:t>
      </w:r>
    </w:p>
    <w:p w:rsidR="00C76E6D" w:rsidRDefault="00913831">
      <w:pPr>
        <w:pStyle w:val="BodyText"/>
        <w:rPr>
          <w:b/>
          <w:sz w:val="23"/>
        </w:rPr>
      </w:pPr>
      <w:r>
        <w:pict>
          <v:shape id="docshape365" o:spid="_x0000_s1102" style="position:absolute;margin-left:70.6pt;margin-top:15.25pt;width:470.95pt;height:.1pt;z-index:-15656448;mso-wrap-distance-left:0;mso-wrap-distance-right:0;mso-position-horizontal-relative:page" coordorigin="1412,305" coordsize="9419,0" path="m1412,305r9419,e" filled="f" strokeweight="1.54pt">
            <v:path arrowok="t"/>
            <w10:wrap type="topAndBottom" anchorx="page"/>
          </v:shape>
        </w:pict>
      </w:r>
    </w:p>
    <w:p w:rsidR="00C76E6D" w:rsidRDefault="00C76E6D">
      <w:pPr>
        <w:pStyle w:val="BodyText"/>
        <w:spacing w:before="5"/>
        <w:rPr>
          <w:b/>
          <w:sz w:val="20"/>
        </w:rPr>
      </w:pPr>
    </w:p>
    <w:p w:rsidR="00C76E6D" w:rsidRDefault="00913831">
      <w:pPr>
        <w:tabs>
          <w:tab w:val="left" w:pos="4102"/>
        </w:tabs>
        <w:spacing w:before="1" w:line="276" w:lineRule="auto"/>
        <w:ind w:left="479" w:right="846" w:hanging="1"/>
        <w:rPr>
          <w:i/>
        </w:rPr>
      </w:pPr>
      <w:r>
        <w:rPr>
          <w:i/>
        </w:rPr>
        <w:t>Acknowledgments:</w:t>
      </w:r>
      <w:r>
        <w:rPr>
          <w:i/>
          <w:spacing w:val="40"/>
        </w:rPr>
        <w:t xml:space="preserve"> </w:t>
      </w:r>
      <w:r>
        <w:rPr>
          <w:i/>
        </w:rPr>
        <w:t>Hannah</w:t>
      </w:r>
      <w:r>
        <w:rPr>
          <w:i/>
          <w:spacing w:val="40"/>
        </w:rPr>
        <w:t xml:space="preserve"> </w:t>
      </w:r>
      <w:r>
        <w:rPr>
          <w:i/>
        </w:rPr>
        <w:t>Hussey,</w:t>
      </w:r>
      <w:r>
        <w:rPr>
          <w:i/>
        </w:rPr>
        <w:tab/>
        <w:t>lead</w:t>
      </w:r>
      <w:r>
        <w:rPr>
          <w:i/>
          <w:spacing w:val="40"/>
        </w:rPr>
        <w:t xml:space="preserve"> </w:t>
      </w:r>
      <w:r>
        <w:rPr>
          <w:i/>
        </w:rPr>
        <w:t>researcher,</w:t>
      </w:r>
      <w:r>
        <w:rPr>
          <w:i/>
          <w:spacing w:val="40"/>
        </w:rPr>
        <w:t xml:space="preserve"> </w:t>
      </w:r>
      <w:r>
        <w:rPr>
          <w:i/>
        </w:rPr>
        <w:t>and</w:t>
      </w:r>
      <w:r>
        <w:rPr>
          <w:i/>
          <w:spacing w:val="40"/>
        </w:rPr>
        <w:t xml:space="preserve"> </w:t>
      </w:r>
      <w:r>
        <w:rPr>
          <w:i/>
        </w:rPr>
        <w:t>writer;</w:t>
      </w:r>
      <w:r>
        <w:rPr>
          <w:i/>
          <w:spacing w:val="40"/>
        </w:rPr>
        <w:t xml:space="preserve"> </w:t>
      </w:r>
      <w:r>
        <w:rPr>
          <w:i/>
        </w:rPr>
        <w:t>editing</w:t>
      </w:r>
      <w:r>
        <w:rPr>
          <w:i/>
          <w:spacing w:val="40"/>
        </w:rPr>
        <w:t xml:space="preserve"> </w:t>
      </w:r>
      <w:r>
        <w:rPr>
          <w:i/>
        </w:rPr>
        <w:t>and</w:t>
      </w:r>
      <w:r>
        <w:rPr>
          <w:i/>
          <w:spacing w:val="40"/>
        </w:rPr>
        <w:t xml:space="preserve"> </w:t>
      </w:r>
      <w:r>
        <w:rPr>
          <w:i/>
        </w:rPr>
        <w:t>proofreading</w:t>
      </w:r>
      <w:r>
        <w:rPr>
          <w:i/>
          <w:spacing w:val="40"/>
        </w:rPr>
        <w:t xml:space="preserve"> </w:t>
      </w:r>
      <w:r>
        <w:rPr>
          <w:i/>
        </w:rPr>
        <w:t>by</w:t>
      </w:r>
      <w:r>
        <w:rPr>
          <w:i/>
          <w:spacing w:val="80"/>
        </w:rPr>
        <w:t xml:space="preserve"> </w:t>
      </w:r>
      <w:r>
        <w:rPr>
          <w:i/>
        </w:rPr>
        <w:t>Massachusetts Commission on LGBTQ Youth staff</w:t>
      </w:r>
    </w:p>
    <w:p w:rsidR="00C76E6D" w:rsidRDefault="00C76E6D">
      <w:pPr>
        <w:pStyle w:val="BodyText"/>
        <w:rPr>
          <w:i/>
        </w:rPr>
      </w:pPr>
    </w:p>
    <w:p w:rsidR="00C76E6D" w:rsidRDefault="00C76E6D">
      <w:pPr>
        <w:pStyle w:val="BodyText"/>
        <w:spacing w:before="10"/>
        <w:rPr>
          <w:i/>
          <w:sz w:val="23"/>
        </w:rPr>
      </w:pPr>
    </w:p>
    <w:p w:rsidR="00C76E6D" w:rsidRDefault="00913831">
      <w:pPr>
        <w:ind w:left="478" w:right="993"/>
        <w:rPr>
          <w:sz w:val="20"/>
        </w:rPr>
      </w:pPr>
      <w:bookmarkStart w:id="790" w:name="_bookmark569"/>
      <w:bookmarkEnd w:id="790"/>
      <w:r>
        <w:rPr>
          <w:sz w:val="20"/>
          <w:vertAlign w:val="superscript"/>
        </w:rPr>
        <w:t>1</w:t>
      </w:r>
      <w:r>
        <w:rPr>
          <w:sz w:val="20"/>
        </w:rPr>
        <w:t xml:space="preserve"> Massachusetts Office of the Child Advocate. </w:t>
      </w:r>
      <w:r>
        <w:rPr>
          <w:i/>
          <w:sz w:val="20"/>
        </w:rPr>
        <w:t>Investigative Report: A Multi System Investigation Regarding Harmony</w:t>
      </w:r>
      <w:r>
        <w:rPr>
          <w:i/>
          <w:spacing w:val="-12"/>
          <w:sz w:val="20"/>
        </w:rPr>
        <w:t xml:space="preserve"> </w:t>
      </w:r>
      <w:r>
        <w:rPr>
          <w:i/>
          <w:sz w:val="20"/>
        </w:rPr>
        <w:t>Montgomery</w:t>
      </w:r>
      <w:r>
        <w:rPr>
          <w:sz w:val="20"/>
        </w:rPr>
        <w:t>,</w:t>
      </w:r>
      <w:r>
        <w:rPr>
          <w:spacing w:val="-11"/>
          <w:sz w:val="20"/>
        </w:rPr>
        <w:t xml:space="preserve"> </w:t>
      </w:r>
      <w:r>
        <w:rPr>
          <w:sz w:val="20"/>
        </w:rPr>
        <w:t>May</w:t>
      </w:r>
      <w:r>
        <w:rPr>
          <w:spacing w:val="-11"/>
          <w:sz w:val="20"/>
        </w:rPr>
        <w:t xml:space="preserve"> </w:t>
      </w:r>
      <w:r>
        <w:rPr>
          <w:sz w:val="20"/>
        </w:rPr>
        <w:t>2022:</w:t>
      </w:r>
      <w:r>
        <w:rPr>
          <w:spacing w:val="-12"/>
          <w:sz w:val="20"/>
        </w:rPr>
        <w:t xml:space="preserve"> </w:t>
      </w:r>
      <w:r>
        <w:rPr>
          <w:sz w:val="20"/>
        </w:rPr>
        <w:t>56.</w:t>
      </w:r>
      <w:r>
        <w:rPr>
          <w:spacing w:val="-11"/>
          <w:sz w:val="20"/>
        </w:rPr>
        <w:t xml:space="preserve"> </w:t>
      </w:r>
      <w:r>
        <w:rPr>
          <w:sz w:val="20"/>
        </w:rPr>
        <w:t>https://</w:t>
      </w:r>
      <w:hyperlink r:id="rId405">
        <w:r>
          <w:rPr>
            <w:sz w:val="20"/>
          </w:rPr>
          <w:t>www.mass.gov/doc/office-of-the-child-advocate-investigative-</w:t>
        </w:r>
      </w:hyperlink>
      <w:r>
        <w:rPr>
          <w:sz w:val="20"/>
        </w:rPr>
        <w:t xml:space="preserve"> </w:t>
      </w:r>
      <w:r>
        <w:rPr>
          <w:spacing w:val="-2"/>
          <w:sz w:val="20"/>
        </w:rPr>
        <w:t>reportharmony-montgomerymay-2022/download.</w:t>
      </w:r>
    </w:p>
    <w:p w:rsidR="00C76E6D" w:rsidRDefault="00913831">
      <w:pPr>
        <w:ind w:left="480" w:right="530" w:hanging="2"/>
        <w:rPr>
          <w:sz w:val="20"/>
        </w:rPr>
      </w:pPr>
      <w:bookmarkStart w:id="791" w:name="_bookmark570"/>
      <w:bookmarkEnd w:id="791"/>
      <w:r>
        <w:rPr>
          <w:sz w:val="20"/>
          <w:vertAlign w:val="superscript"/>
        </w:rPr>
        <w:t>2</w:t>
      </w:r>
      <w:r>
        <w:rPr>
          <w:sz w:val="20"/>
        </w:rPr>
        <w:t xml:space="preserve"> Angela Irvine and Aisha Canfield, “The Overrepresentation of Lesbian, Gay, Bisexual, Questioning, Gender Nonconforming and</w:t>
      </w:r>
      <w:r>
        <w:rPr>
          <w:sz w:val="20"/>
        </w:rPr>
        <w:t xml:space="preserve"> Transgender Youth Within the Child Welfare to Juvenile Justice Crossover Populpation,” </w:t>
      </w:r>
      <w:r>
        <w:rPr>
          <w:i/>
          <w:sz w:val="20"/>
        </w:rPr>
        <w:t xml:space="preserve">Journal on Gender, Social Policy, and the Law </w:t>
      </w:r>
      <w:r>
        <w:rPr>
          <w:sz w:val="20"/>
        </w:rPr>
        <w:t xml:space="preserve">24, no. 2 (2016): 245. </w:t>
      </w:r>
      <w:r>
        <w:rPr>
          <w:spacing w:val="-4"/>
          <w:sz w:val="20"/>
        </w:rPr>
        <w:t>https://static1.squarespace.com/static/60da0d6e99c93c16e9951f78/t/60feb3d0735d6f7990c4f328/16273049</w:t>
      </w:r>
      <w:r>
        <w:rPr>
          <w:spacing w:val="-4"/>
          <w:sz w:val="20"/>
        </w:rPr>
        <w:t xml:space="preserve">199 </w:t>
      </w:r>
      <w:r>
        <w:rPr>
          <w:spacing w:val="-2"/>
          <w:sz w:val="20"/>
        </w:rPr>
        <w:t>84/irvine.canfield.jgspl.2016.pdf</w:t>
      </w:r>
    </w:p>
    <w:p w:rsidR="00C76E6D" w:rsidRDefault="00913831">
      <w:pPr>
        <w:spacing w:before="6" w:line="241" w:lineRule="exact"/>
        <w:ind w:left="480"/>
        <w:rPr>
          <w:sz w:val="20"/>
        </w:rPr>
      </w:pPr>
      <w:bookmarkStart w:id="792" w:name="_bookmark571"/>
      <w:bookmarkEnd w:id="792"/>
      <w:r>
        <w:rPr>
          <w:sz w:val="20"/>
          <w:vertAlign w:val="superscript"/>
        </w:rPr>
        <w:t>3</w:t>
      </w:r>
      <w:r>
        <w:rPr>
          <w:spacing w:val="-4"/>
          <w:sz w:val="20"/>
        </w:rPr>
        <w:t xml:space="preserve"> </w:t>
      </w:r>
      <w:bookmarkStart w:id="793" w:name="_bookmark572"/>
      <w:bookmarkEnd w:id="793"/>
      <w:r>
        <w:rPr>
          <w:sz w:val="20"/>
        </w:rPr>
        <w:t>Data</w:t>
      </w:r>
      <w:r>
        <w:rPr>
          <w:spacing w:val="-3"/>
          <w:sz w:val="20"/>
        </w:rPr>
        <w:t xml:space="preserve"> </w:t>
      </w:r>
      <w:r>
        <w:rPr>
          <w:sz w:val="20"/>
        </w:rPr>
        <w:t>on</w:t>
      </w:r>
      <w:r>
        <w:rPr>
          <w:spacing w:val="-3"/>
          <w:sz w:val="20"/>
        </w:rPr>
        <w:t xml:space="preserve"> </w:t>
      </w:r>
      <w:r>
        <w:rPr>
          <w:sz w:val="20"/>
        </w:rPr>
        <w:t>file</w:t>
      </w:r>
      <w:r>
        <w:rPr>
          <w:spacing w:val="-4"/>
          <w:sz w:val="20"/>
        </w:rPr>
        <w:t xml:space="preserve"> </w:t>
      </w:r>
      <w:r>
        <w:rPr>
          <w:sz w:val="20"/>
        </w:rPr>
        <w:t>with</w:t>
      </w:r>
      <w:r>
        <w:rPr>
          <w:spacing w:val="-2"/>
          <w:sz w:val="20"/>
        </w:rPr>
        <w:t xml:space="preserve"> </w:t>
      </w:r>
      <w:r>
        <w:rPr>
          <w:sz w:val="20"/>
        </w:rPr>
        <w:t>the</w:t>
      </w:r>
      <w:r>
        <w:rPr>
          <w:spacing w:val="-2"/>
          <w:sz w:val="20"/>
        </w:rPr>
        <w:t xml:space="preserve"> Commission.</w:t>
      </w:r>
    </w:p>
    <w:p w:rsidR="00C76E6D" w:rsidRDefault="00913831">
      <w:pPr>
        <w:ind w:left="481" w:right="1575" w:hanging="3"/>
        <w:rPr>
          <w:sz w:val="20"/>
        </w:rPr>
      </w:pPr>
      <w:r>
        <w:rPr>
          <w:sz w:val="20"/>
          <w:vertAlign w:val="superscript"/>
        </w:rPr>
        <w:t>4</w:t>
      </w:r>
      <w:r>
        <w:rPr>
          <w:spacing w:val="-6"/>
          <w:sz w:val="20"/>
        </w:rPr>
        <w:t xml:space="preserve"> </w:t>
      </w:r>
      <w:r>
        <w:rPr>
          <w:sz w:val="20"/>
        </w:rPr>
        <w:t>Massachusetts</w:t>
      </w:r>
      <w:r>
        <w:rPr>
          <w:spacing w:val="-7"/>
          <w:sz w:val="20"/>
        </w:rPr>
        <w:t xml:space="preserve"> </w:t>
      </w:r>
      <w:r>
        <w:rPr>
          <w:sz w:val="20"/>
        </w:rPr>
        <w:t>Department</w:t>
      </w:r>
      <w:r>
        <w:rPr>
          <w:spacing w:val="-8"/>
          <w:sz w:val="20"/>
        </w:rPr>
        <w:t xml:space="preserve"> </w:t>
      </w:r>
      <w:r>
        <w:rPr>
          <w:sz w:val="20"/>
        </w:rPr>
        <w:t>of</w:t>
      </w:r>
      <w:r>
        <w:rPr>
          <w:spacing w:val="-7"/>
          <w:sz w:val="20"/>
        </w:rPr>
        <w:t xml:space="preserve"> </w:t>
      </w:r>
      <w:r>
        <w:rPr>
          <w:sz w:val="20"/>
        </w:rPr>
        <w:t>Elementary</w:t>
      </w:r>
      <w:r>
        <w:rPr>
          <w:spacing w:val="-8"/>
          <w:sz w:val="20"/>
        </w:rPr>
        <w:t xml:space="preserve"> </w:t>
      </w:r>
      <w:r>
        <w:rPr>
          <w:sz w:val="20"/>
        </w:rPr>
        <w:t>and</w:t>
      </w:r>
      <w:r>
        <w:rPr>
          <w:spacing w:val="-8"/>
          <w:sz w:val="20"/>
        </w:rPr>
        <w:t xml:space="preserve"> </w:t>
      </w:r>
      <w:r>
        <w:rPr>
          <w:sz w:val="20"/>
        </w:rPr>
        <w:t>Secondary</w:t>
      </w:r>
      <w:r>
        <w:rPr>
          <w:spacing w:val="-7"/>
          <w:sz w:val="20"/>
        </w:rPr>
        <w:t xml:space="preserve"> </w:t>
      </w:r>
      <w:r>
        <w:rPr>
          <w:sz w:val="20"/>
        </w:rPr>
        <w:t>Education.</w:t>
      </w:r>
      <w:r>
        <w:rPr>
          <w:spacing w:val="-8"/>
          <w:sz w:val="20"/>
        </w:rPr>
        <w:t xml:space="preserve"> </w:t>
      </w:r>
      <w:r>
        <w:rPr>
          <w:i/>
          <w:sz w:val="20"/>
        </w:rPr>
        <w:t>2017</w:t>
      </w:r>
      <w:r>
        <w:rPr>
          <w:i/>
          <w:spacing w:val="-6"/>
          <w:sz w:val="20"/>
        </w:rPr>
        <w:t xml:space="preserve"> </w:t>
      </w:r>
      <w:r>
        <w:rPr>
          <w:i/>
          <w:sz w:val="20"/>
        </w:rPr>
        <w:t>YRBS/YHS:</w:t>
      </w:r>
      <w:r>
        <w:rPr>
          <w:i/>
          <w:spacing w:val="-7"/>
          <w:sz w:val="20"/>
        </w:rPr>
        <w:t xml:space="preserve"> </w:t>
      </w:r>
      <w:r>
        <w:rPr>
          <w:i/>
          <w:sz w:val="20"/>
        </w:rPr>
        <w:t>Mental</w:t>
      </w:r>
      <w:r>
        <w:rPr>
          <w:i/>
          <w:spacing w:val="-7"/>
          <w:sz w:val="20"/>
        </w:rPr>
        <w:t xml:space="preserve"> </w:t>
      </w:r>
      <w:r>
        <w:rPr>
          <w:i/>
          <w:sz w:val="20"/>
        </w:rPr>
        <w:t>Health</w:t>
      </w:r>
      <w:r>
        <w:rPr>
          <w:sz w:val="20"/>
        </w:rPr>
        <w:t xml:space="preserve">. </w:t>
      </w:r>
      <w:r>
        <w:rPr>
          <w:spacing w:val="-2"/>
          <w:sz w:val="20"/>
        </w:rPr>
        <w:t>https://</w:t>
      </w:r>
      <w:hyperlink r:id="rId406">
        <w:r>
          <w:rPr>
            <w:spacing w:val="-2"/>
            <w:sz w:val="20"/>
          </w:rPr>
          <w:t>www.doe.mass.edu/sfs/yrbs/2017-mental-health.pdf.</w:t>
        </w:r>
      </w:hyperlink>
    </w:p>
    <w:p w:rsidR="00C76E6D" w:rsidRDefault="00C76E6D">
      <w:pPr>
        <w:rPr>
          <w:sz w:val="20"/>
        </w:rPr>
        <w:sectPr w:rsidR="00C76E6D">
          <w:pgSz w:w="12240" w:h="15840"/>
          <w:pgMar w:top="960" w:right="960" w:bottom="860" w:left="960" w:header="769" w:footer="679" w:gutter="0"/>
          <w:cols w:space="720"/>
        </w:sectPr>
      </w:pPr>
    </w:p>
    <w:p w:rsidR="00C76E6D" w:rsidRDefault="00C76E6D">
      <w:pPr>
        <w:pStyle w:val="BodyText"/>
        <w:rPr>
          <w:sz w:val="20"/>
        </w:rPr>
      </w:pPr>
    </w:p>
    <w:p w:rsidR="00C76E6D" w:rsidRDefault="00C76E6D">
      <w:pPr>
        <w:pStyle w:val="BodyText"/>
        <w:spacing w:before="6"/>
        <w:rPr>
          <w:sz w:val="29"/>
        </w:rPr>
      </w:pPr>
    </w:p>
    <w:p w:rsidR="00C76E6D" w:rsidRDefault="00913831">
      <w:pPr>
        <w:pStyle w:val="Heading2"/>
      </w:pPr>
      <w:bookmarkStart w:id="794" w:name="Massachusetts_Commission_for_the_Blind"/>
      <w:bookmarkStart w:id="795" w:name="_bookmark573"/>
      <w:bookmarkEnd w:id="794"/>
      <w:bookmarkEnd w:id="795"/>
      <w:r>
        <w:t>Massachusetts</w:t>
      </w:r>
      <w:r>
        <w:rPr>
          <w:spacing w:val="-12"/>
        </w:rPr>
        <w:t xml:space="preserve"> </w:t>
      </w:r>
      <w:r>
        <w:t>Commission</w:t>
      </w:r>
      <w:r>
        <w:rPr>
          <w:spacing w:val="-10"/>
        </w:rPr>
        <w:t xml:space="preserve"> </w:t>
      </w:r>
      <w:r>
        <w:t>for</w:t>
      </w:r>
      <w:r>
        <w:rPr>
          <w:spacing w:val="-9"/>
        </w:rPr>
        <w:t xml:space="preserve"> </w:t>
      </w:r>
      <w:r>
        <w:t>the</w:t>
      </w:r>
      <w:r>
        <w:rPr>
          <w:spacing w:val="-8"/>
        </w:rPr>
        <w:t xml:space="preserve"> </w:t>
      </w:r>
      <w:r>
        <w:rPr>
          <w:spacing w:val="-2"/>
        </w:rPr>
        <w:t>Blind</w:t>
      </w:r>
    </w:p>
    <w:p w:rsidR="00C76E6D" w:rsidRDefault="00913831">
      <w:pPr>
        <w:pStyle w:val="BodyText"/>
        <w:rPr>
          <w:b/>
          <w:sz w:val="12"/>
        </w:rPr>
      </w:pPr>
      <w:r>
        <w:pict>
          <v:shape id="docshape369" o:spid="_x0000_s1101" style="position:absolute;margin-left:65pt;margin-top:8.55pt;width:476.95pt;height:.1pt;z-index:-15655936;mso-wrap-distance-left:0;mso-wrap-distance-right:0;mso-position-horizontal-relative:page" coordorigin="1300,171" coordsize="9539,0" path="m1300,171r9539,e" filled="f" strokeweight="1.54pt">
            <v:path arrowok="t"/>
            <w10:wrap type="topAndBottom" anchorx="page"/>
          </v:shape>
        </w:pict>
      </w:r>
    </w:p>
    <w:p w:rsidR="00C76E6D" w:rsidRDefault="00913831">
      <w:pPr>
        <w:pStyle w:val="Heading5"/>
        <w:spacing w:before="181"/>
      </w:pPr>
      <w:r>
        <w:rPr>
          <w:spacing w:val="-2"/>
        </w:rPr>
        <w:t>FY2023</w:t>
      </w:r>
      <w:r>
        <w:rPr>
          <w:spacing w:val="-4"/>
        </w:rPr>
        <w:t xml:space="preserve"> </w:t>
      </w:r>
      <w:r>
        <w:rPr>
          <w:spacing w:val="-2"/>
        </w:rPr>
        <w:t>Recommendations</w:t>
      </w:r>
    </w:p>
    <w:p w:rsidR="00C76E6D" w:rsidRDefault="00C76E6D">
      <w:pPr>
        <w:pStyle w:val="BodyText"/>
        <w:spacing w:before="10"/>
        <w:rPr>
          <w:b/>
          <w:sz w:val="33"/>
        </w:rPr>
      </w:pPr>
    </w:p>
    <w:p w:rsidR="00C76E6D" w:rsidRDefault="00913831">
      <w:pPr>
        <w:pStyle w:val="ListParagraph"/>
        <w:numPr>
          <w:ilvl w:val="1"/>
          <w:numId w:val="15"/>
        </w:numPr>
        <w:tabs>
          <w:tab w:val="left" w:pos="929"/>
        </w:tabs>
        <w:spacing w:line="276" w:lineRule="auto"/>
        <w:ind w:right="565" w:firstLine="0"/>
      </w:pPr>
      <w:r>
        <w:t>Continue</w:t>
      </w:r>
      <w:r>
        <w:rPr>
          <w:spacing w:val="-3"/>
        </w:rPr>
        <w:t xml:space="preserve"> </w:t>
      </w:r>
      <w:r>
        <w:t>offering</w:t>
      </w:r>
      <w:r>
        <w:rPr>
          <w:spacing w:val="-4"/>
        </w:rPr>
        <w:t xml:space="preserve"> </w:t>
      </w:r>
      <w:r>
        <w:t>LGBTQ</w:t>
      </w:r>
      <w:r>
        <w:rPr>
          <w:spacing w:val="-3"/>
        </w:rPr>
        <w:t xml:space="preserve"> </w:t>
      </w:r>
      <w:r>
        <w:t>competency</w:t>
      </w:r>
      <w:r>
        <w:rPr>
          <w:spacing w:val="-3"/>
        </w:rPr>
        <w:t xml:space="preserve"> </w:t>
      </w:r>
      <w:r>
        <w:t>trainings</w:t>
      </w:r>
      <w:r>
        <w:rPr>
          <w:spacing w:val="-3"/>
        </w:rPr>
        <w:t xml:space="preserve"> </w:t>
      </w:r>
      <w:r>
        <w:t>and</w:t>
      </w:r>
      <w:r>
        <w:rPr>
          <w:spacing w:val="-3"/>
        </w:rPr>
        <w:t xml:space="preserve"> </w:t>
      </w:r>
      <w:r>
        <w:t>explore</w:t>
      </w:r>
      <w:r>
        <w:rPr>
          <w:spacing w:val="-4"/>
        </w:rPr>
        <w:t xml:space="preserve"> </w:t>
      </w:r>
      <w:r>
        <w:t>how</w:t>
      </w:r>
      <w:r>
        <w:rPr>
          <w:spacing w:val="-3"/>
        </w:rPr>
        <w:t xml:space="preserve"> </w:t>
      </w:r>
      <w:r>
        <w:t>to</w:t>
      </w:r>
      <w:r>
        <w:rPr>
          <w:spacing w:val="-3"/>
        </w:rPr>
        <w:t xml:space="preserve"> </w:t>
      </w:r>
      <w:r>
        <w:t>reach</w:t>
      </w:r>
      <w:r>
        <w:rPr>
          <w:spacing w:val="-3"/>
        </w:rPr>
        <w:t xml:space="preserve"> </w:t>
      </w:r>
      <w:r>
        <w:t>the</w:t>
      </w:r>
      <w:r>
        <w:rPr>
          <w:spacing w:val="-2"/>
        </w:rPr>
        <w:t xml:space="preserve"> </w:t>
      </w:r>
      <w:r>
        <w:t>maximum</w:t>
      </w:r>
      <w:r>
        <w:rPr>
          <w:spacing w:val="-3"/>
        </w:rPr>
        <w:t xml:space="preserve"> </w:t>
      </w:r>
      <w:r>
        <w:t>number</w:t>
      </w:r>
      <w:r>
        <w:rPr>
          <w:spacing w:val="-4"/>
        </w:rPr>
        <w:t xml:space="preserve"> </w:t>
      </w:r>
      <w:r>
        <w:t>of staff, including possibly through the EOHHS interagency training initiative.</w:t>
      </w:r>
    </w:p>
    <w:p w:rsidR="00C76E6D" w:rsidRDefault="00C76E6D">
      <w:pPr>
        <w:pStyle w:val="BodyText"/>
        <w:spacing w:before="3"/>
        <w:rPr>
          <w:sz w:val="25"/>
        </w:rPr>
      </w:pPr>
    </w:p>
    <w:p w:rsidR="00C76E6D" w:rsidRDefault="00913831">
      <w:pPr>
        <w:pStyle w:val="ListParagraph"/>
        <w:numPr>
          <w:ilvl w:val="1"/>
          <w:numId w:val="15"/>
        </w:numPr>
        <w:tabs>
          <w:tab w:val="left" w:pos="836"/>
        </w:tabs>
        <w:spacing w:line="276" w:lineRule="auto"/>
        <w:ind w:right="377" w:hanging="1"/>
      </w:pPr>
      <w:r>
        <w:t>Continue</w:t>
      </w:r>
      <w:r>
        <w:rPr>
          <w:spacing w:val="-13"/>
        </w:rPr>
        <w:t xml:space="preserve"> </w:t>
      </w:r>
      <w:r>
        <w:t>advising</w:t>
      </w:r>
      <w:r>
        <w:rPr>
          <w:spacing w:val="-12"/>
        </w:rPr>
        <w:t xml:space="preserve"> </w:t>
      </w:r>
      <w:r>
        <w:t>staff</w:t>
      </w:r>
      <w:r>
        <w:rPr>
          <w:spacing w:val="-13"/>
        </w:rPr>
        <w:t xml:space="preserve"> </w:t>
      </w:r>
      <w:r>
        <w:t>on</w:t>
      </w:r>
      <w:r>
        <w:rPr>
          <w:spacing w:val="-12"/>
        </w:rPr>
        <w:t xml:space="preserve"> </w:t>
      </w:r>
      <w:r>
        <w:t>how</w:t>
      </w:r>
      <w:r>
        <w:rPr>
          <w:spacing w:val="-13"/>
        </w:rPr>
        <w:t xml:space="preserve"> </w:t>
      </w:r>
      <w:r>
        <w:t>to</w:t>
      </w:r>
      <w:r>
        <w:rPr>
          <w:spacing w:val="-12"/>
        </w:rPr>
        <w:t xml:space="preserve"> </w:t>
      </w:r>
      <w:r>
        <w:t>collect</w:t>
      </w:r>
      <w:r>
        <w:rPr>
          <w:spacing w:val="-13"/>
        </w:rPr>
        <w:t xml:space="preserve"> </w:t>
      </w:r>
      <w:r>
        <w:t>information</w:t>
      </w:r>
      <w:r>
        <w:rPr>
          <w:spacing w:val="-13"/>
        </w:rPr>
        <w:t xml:space="preserve"> </w:t>
      </w:r>
      <w:r>
        <w:t>like</w:t>
      </w:r>
      <w:r>
        <w:rPr>
          <w:spacing w:val="-12"/>
        </w:rPr>
        <w:t xml:space="preserve"> </w:t>
      </w:r>
      <w:r>
        <w:t>gender</w:t>
      </w:r>
      <w:r>
        <w:rPr>
          <w:spacing w:val="-12"/>
        </w:rPr>
        <w:t xml:space="preserve"> </w:t>
      </w:r>
      <w:r>
        <w:t>pronouns</w:t>
      </w:r>
      <w:r>
        <w:rPr>
          <w:spacing w:val="-13"/>
        </w:rPr>
        <w:t xml:space="preserve"> </w:t>
      </w:r>
      <w:r>
        <w:t>in</w:t>
      </w:r>
      <w:r>
        <w:rPr>
          <w:spacing w:val="-12"/>
        </w:rPr>
        <w:t xml:space="preserve"> </w:t>
      </w:r>
      <w:r>
        <w:t>client</w:t>
      </w:r>
      <w:r>
        <w:rPr>
          <w:spacing w:val="-13"/>
        </w:rPr>
        <w:t xml:space="preserve"> </w:t>
      </w:r>
      <w:r>
        <w:t>notes</w:t>
      </w:r>
      <w:r>
        <w:rPr>
          <w:spacing w:val="-13"/>
        </w:rPr>
        <w:t xml:space="preserve"> </w:t>
      </w:r>
      <w:r>
        <w:t>and</w:t>
      </w:r>
      <w:r>
        <w:rPr>
          <w:spacing w:val="-12"/>
        </w:rPr>
        <w:t xml:space="preserve"> </w:t>
      </w:r>
      <w:r>
        <w:t xml:space="preserve">exploring options for increasing data collection relating to sexual orientation </w:t>
      </w:r>
      <w:r>
        <w:t>and gender identity.</w:t>
      </w:r>
    </w:p>
    <w:p w:rsidR="00C76E6D" w:rsidRDefault="00C76E6D">
      <w:pPr>
        <w:pStyle w:val="BodyText"/>
        <w:spacing w:before="4"/>
        <w:rPr>
          <w:sz w:val="25"/>
        </w:rPr>
      </w:pPr>
    </w:p>
    <w:p w:rsidR="00C76E6D" w:rsidRDefault="00913831">
      <w:pPr>
        <w:pStyle w:val="ListParagraph"/>
        <w:numPr>
          <w:ilvl w:val="1"/>
          <w:numId w:val="15"/>
        </w:numPr>
        <w:tabs>
          <w:tab w:val="left" w:pos="903"/>
        </w:tabs>
        <w:spacing w:line="276" w:lineRule="auto"/>
        <w:ind w:right="549" w:firstLine="0"/>
      </w:pPr>
      <w:r>
        <w:t>Explore</w:t>
      </w:r>
      <w:r>
        <w:rPr>
          <w:spacing w:val="36"/>
        </w:rPr>
        <w:t xml:space="preserve"> </w:t>
      </w:r>
      <w:r>
        <w:t>connecting</w:t>
      </w:r>
      <w:r>
        <w:rPr>
          <w:spacing w:val="35"/>
        </w:rPr>
        <w:t xml:space="preserve"> </w:t>
      </w:r>
      <w:r>
        <w:t>clients</w:t>
      </w:r>
      <w:r>
        <w:rPr>
          <w:spacing w:val="36"/>
        </w:rPr>
        <w:t xml:space="preserve"> </w:t>
      </w:r>
      <w:r>
        <w:t>to</w:t>
      </w:r>
      <w:r>
        <w:rPr>
          <w:spacing w:val="37"/>
        </w:rPr>
        <w:t xml:space="preserve"> </w:t>
      </w:r>
      <w:r>
        <w:t>LGBTQ-friendly</w:t>
      </w:r>
      <w:r>
        <w:rPr>
          <w:spacing w:val="36"/>
        </w:rPr>
        <w:t xml:space="preserve"> </w:t>
      </w:r>
      <w:r>
        <w:t>resources</w:t>
      </w:r>
      <w:r>
        <w:rPr>
          <w:spacing w:val="35"/>
        </w:rPr>
        <w:t xml:space="preserve"> </w:t>
      </w:r>
      <w:r>
        <w:t>and</w:t>
      </w:r>
      <w:r>
        <w:rPr>
          <w:spacing w:val="36"/>
        </w:rPr>
        <w:t xml:space="preserve"> </w:t>
      </w:r>
      <w:r>
        <w:t>conducting</w:t>
      </w:r>
      <w:r>
        <w:rPr>
          <w:spacing w:val="36"/>
        </w:rPr>
        <w:t xml:space="preserve"> </w:t>
      </w:r>
      <w:r>
        <w:t>outreach</w:t>
      </w:r>
      <w:r>
        <w:rPr>
          <w:spacing w:val="36"/>
        </w:rPr>
        <w:t xml:space="preserve"> </w:t>
      </w:r>
      <w:r>
        <w:t>to</w:t>
      </w:r>
      <w:r>
        <w:rPr>
          <w:spacing w:val="37"/>
        </w:rPr>
        <w:t xml:space="preserve"> </w:t>
      </w:r>
      <w:r>
        <w:t>the</w:t>
      </w:r>
      <w:r>
        <w:rPr>
          <w:spacing w:val="37"/>
        </w:rPr>
        <w:t xml:space="preserve"> </w:t>
      </w:r>
      <w:r>
        <w:t xml:space="preserve">LGBTQ </w:t>
      </w:r>
      <w:r>
        <w:rPr>
          <w:spacing w:val="-2"/>
        </w:rPr>
        <w:t>community.</w:t>
      </w:r>
    </w:p>
    <w:p w:rsidR="00C76E6D" w:rsidRDefault="00C76E6D">
      <w:pPr>
        <w:pStyle w:val="BodyText"/>
        <w:spacing w:before="8"/>
        <w:rPr>
          <w:sz w:val="19"/>
        </w:rPr>
      </w:pPr>
    </w:p>
    <w:p w:rsidR="00C76E6D" w:rsidRDefault="00913831">
      <w:pPr>
        <w:pStyle w:val="Heading5"/>
      </w:pPr>
      <w:r>
        <w:t>Background</w:t>
      </w:r>
      <w:r>
        <w:rPr>
          <w:spacing w:val="-15"/>
        </w:rPr>
        <w:t xml:space="preserve"> </w:t>
      </w:r>
      <w:r>
        <w:t>&amp;</w:t>
      </w:r>
      <w:r>
        <w:rPr>
          <w:spacing w:val="-6"/>
        </w:rPr>
        <w:t xml:space="preserve"> </w:t>
      </w:r>
      <w:r>
        <w:rPr>
          <w:spacing w:val="-2"/>
        </w:rPr>
        <w:t>Research</w:t>
      </w:r>
    </w:p>
    <w:p w:rsidR="00C76E6D" w:rsidRDefault="00913831">
      <w:pPr>
        <w:pStyle w:val="BodyText"/>
        <w:spacing w:before="4"/>
        <w:rPr>
          <w:b/>
          <w:sz w:val="11"/>
        </w:rPr>
      </w:pPr>
      <w:r>
        <w:pict>
          <v:shape id="docshape370" o:spid="_x0000_s1100" style="position:absolute;margin-left:65pt;margin-top:8.15pt;width:476.95pt;height:.1pt;z-index:-15655424;mso-wrap-distance-left:0;mso-wrap-distance-right:0;mso-position-horizontal-relative:page" coordorigin="1300,163" coordsize="9539,0" path="m1300,163r9539,e" filled="f" strokeweight="1.54pt">
            <v:path arrowok="t"/>
            <w10:wrap type="topAndBottom" anchorx="page"/>
          </v:shape>
        </w:pict>
      </w:r>
    </w:p>
    <w:p w:rsidR="00C76E6D" w:rsidRDefault="00C76E6D">
      <w:pPr>
        <w:pStyle w:val="BodyText"/>
        <w:spacing w:before="11"/>
        <w:rPr>
          <w:b/>
        </w:rPr>
      </w:pPr>
    </w:p>
    <w:p w:rsidR="00C76E6D" w:rsidRDefault="00913831">
      <w:pPr>
        <w:pStyle w:val="BodyText"/>
        <w:spacing w:line="276" w:lineRule="auto"/>
        <w:ind w:left="339" w:right="333" w:hanging="1"/>
        <w:jc w:val="both"/>
      </w:pPr>
      <w:r>
        <w:t>The</w:t>
      </w:r>
      <w:r>
        <w:rPr>
          <w:spacing w:val="-6"/>
        </w:rPr>
        <w:t xml:space="preserve"> </w:t>
      </w:r>
      <w:r>
        <w:t>Massachusetts</w:t>
      </w:r>
      <w:r>
        <w:rPr>
          <w:spacing w:val="-5"/>
        </w:rPr>
        <w:t xml:space="preserve"> </w:t>
      </w:r>
      <w:r>
        <w:t>Commission</w:t>
      </w:r>
      <w:r>
        <w:rPr>
          <w:spacing w:val="-7"/>
        </w:rPr>
        <w:t xml:space="preserve"> </w:t>
      </w:r>
      <w:r>
        <w:t>for</w:t>
      </w:r>
      <w:r>
        <w:rPr>
          <w:spacing w:val="-7"/>
        </w:rPr>
        <w:t xml:space="preserve"> </w:t>
      </w:r>
      <w:r>
        <w:t>the</w:t>
      </w:r>
      <w:r>
        <w:rPr>
          <w:spacing w:val="-4"/>
        </w:rPr>
        <w:t xml:space="preserve"> </w:t>
      </w:r>
      <w:r>
        <w:t>Blind</w:t>
      </w:r>
      <w:r>
        <w:rPr>
          <w:spacing w:val="-6"/>
        </w:rPr>
        <w:t xml:space="preserve"> </w:t>
      </w:r>
      <w:r>
        <w:t>(MCB)</w:t>
      </w:r>
      <w:r>
        <w:rPr>
          <w:spacing w:val="-6"/>
        </w:rPr>
        <w:t xml:space="preserve"> </w:t>
      </w:r>
      <w:r>
        <w:t>is</w:t>
      </w:r>
      <w:r>
        <w:rPr>
          <w:spacing w:val="-6"/>
        </w:rPr>
        <w:t xml:space="preserve"> </w:t>
      </w:r>
      <w:r>
        <w:t>the</w:t>
      </w:r>
      <w:r>
        <w:rPr>
          <w:spacing w:val="-5"/>
        </w:rPr>
        <w:t xml:space="preserve"> </w:t>
      </w:r>
      <w:r>
        <w:t>principal</w:t>
      </w:r>
      <w:r>
        <w:rPr>
          <w:spacing w:val="-6"/>
        </w:rPr>
        <w:t xml:space="preserve"> </w:t>
      </w:r>
      <w:r>
        <w:t>agency</w:t>
      </w:r>
      <w:r>
        <w:rPr>
          <w:spacing w:val="-5"/>
        </w:rPr>
        <w:t xml:space="preserve"> </w:t>
      </w:r>
      <w:r>
        <w:t>in</w:t>
      </w:r>
      <w:r>
        <w:rPr>
          <w:spacing w:val="-5"/>
        </w:rPr>
        <w:t xml:space="preserve"> </w:t>
      </w:r>
      <w:r>
        <w:t>the</w:t>
      </w:r>
      <w:r>
        <w:rPr>
          <w:spacing w:val="-7"/>
        </w:rPr>
        <w:t xml:space="preserve"> </w:t>
      </w:r>
      <w:r>
        <w:t>Commonwealth</w:t>
      </w:r>
      <w:r>
        <w:rPr>
          <w:spacing w:val="-6"/>
        </w:rPr>
        <w:t xml:space="preserve"> </w:t>
      </w:r>
      <w:r>
        <w:t>that</w:t>
      </w:r>
      <w:r>
        <w:rPr>
          <w:spacing w:val="-6"/>
        </w:rPr>
        <w:t xml:space="preserve"> </w:t>
      </w:r>
      <w:r>
        <w:t>works on behalf of people of all ages who are blind. Unfortunately, limited research exists that examines the experiences of LGBTQ populations who are blind. Nevertheless, sexual and gender minority identities exist within blind communities. For example, B</w:t>
      </w:r>
      <w:r>
        <w:t>lind LGBT Pride International, an affiliate of the American Council of the Blind, has been operating since 1996,</w:t>
      </w:r>
      <w:hyperlink w:anchor="_bookmark574" w:history="1">
        <w:r>
          <w:rPr>
            <w:vertAlign w:val="superscript"/>
          </w:rPr>
          <w:t>1</w:t>
        </w:r>
        <w:r>
          <w:t xml:space="preserve"> </w:t>
        </w:r>
      </w:hyperlink>
      <w:r>
        <w:t>and convenes regular conferences</w:t>
      </w:r>
      <w:hyperlink w:anchor="_bookmark575" w:history="1">
        <w:r>
          <w:t>.</w:t>
        </w:r>
        <w:r>
          <w:rPr>
            <w:vertAlign w:val="superscript"/>
          </w:rPr>
          <w:t>2</w:t>
        </w:r>
      </w:hyperlink>
    </w:p>
    <w:p w:rsidR="00C76E6D" w:rsidRDefault="00C76E6D">
      <w:pPr>
        <w:pStyle w:val="BodyText"/>
        <w:spacing w:before="8"/>
        <w:rPr>
          <w:sz w:val="19"/>
        </w:rPr>
      </w:pPr>
    </w:p>
    <w:p w:rsidR="00C76E6D" w:rsidRDefault="00913831">
      <w:pPr>
        <w:pStyle w:val="BodyText"/>
        <w:spacing w:line="276" w:lineRule="auto"/>
        <w:ind w:left="338" w:right="339"/>
        <w:jc w:val="both"/>
      </w:pPr>
      <w:r>
        <w:t>In fiscal year 2018, MCB established a liaison to the Commission and also facilitated a meeting between Commission representatives and MCB’s Commissioner. During fiscal year 2019, MCB continued regular contact with the Commission, including through the EOH</w:t>
      </w:r>
      <w:r>
        <w:t>HS interagency collaboration.</w:t>
      </w:r>
    </w:p>
    <w:p w:rsidR="00C76E6D" w:rsidRDefault="00C76E6D">
      <w:pPr>
        <w:pStyle w:val="BodyText"/>
        <w:spacing w:before="8"/>
        <w:rPr>
          <w:sz w:val="19"/>
        </w:rPr>
      </w:pPr>
    </w:p>
    <w:p w:rsidR="00C76E6D" w:rsidRDefault="00913831">
      <w:pPr>
        <w:pStyle w:val="BodyText"/>
        <w:spacing w:line="276" w:lineRule="auto"/>
        <w:ind w:left="339" w:right="333" w:hanging="1"/>
        <w:jc w:val="both"/>
      </w:pPr>
      <w:r>
        <w:t>MCB</w:t>
      </w:r>
      <w:r>
        <w:rPr>
          <w:spacing w:val="-5"/>
        </w:rPr>
        <w:t xml:space="preserve"> </w:t>
      </w:r>
      <w:r>
        <w:t>has</w:t>
      </w:r>
      <w:r>
        <w:rPr>
          <w:spacing w:val="-5"/>
        </w:rPr>
        <w:t xml:space="preserve"> </w:t>
      </w:r>
      <w:r>
        <w:t>worked</w:t>
      </w:r>
      <w:r>
        <w:rPr>
          <w:spacing w:val="-5"/>
        </w:rPr>
        <w:t xml:space="preserve"> </w:t>
      </w:r>
      <w:r>
        <w:t>on</w:t>
      </w:r>
      <w:r>
        <w:rPr>
          <w:spacing w:val="-4"/>
        </w:rPr>
        <w:t xml:space="preserve"> </w:t>
      </w:r>
      <w:r>
        <w:t>identifying</w:t>
      </w:r>
      <w:r>
        <w:rPr>
          <w:spacing w:val="-5"/>
        </w:rPr>
        <w:t xml:space="preserve"> </w:t>
      </w:r>
      <w:r>
        <w:t>opportunities</w:t>
      </w:r>
      <w:r>
        <w:rPr>
          <w:spacing w:val="-3"/>
        </w:rPr>
        <w:t xml:space="preserve"> </w:t>
      </w:r>
      <w:r>
        <w:t>to</w:t>
      </w:r>
      <w:r>
        <w:rPr>
          <w:spacing w:val="-5"/>
        </w:rPr>
        <w:t xml:space="preserve"> </w:t>
      </w:r>
      <w:r>
        <w:t>fully</w:t>
      </w:r>
      <w:r>
        <w:rPr>
          <w:spacing w:val="-2"/>
        </w:rPr>
        <w:t xml:space="preserve"> </w:t>
      </w:r>
      <w:r>
        <w:t>serve</w:t>
      </w:r>
      <w:r>
        <w:rPr>
          <w:spacing w:val="-5"/>
        </w:rPr>
        <w:t xml:space="preserve"> </w:t>
      </w:r>
      <w:r>
        <w:t>LGBTQ</w:t>
      </w:r>
      <w:r>
        <w:rPr>
          <w:spacing w:val="-3"/>
        </w:rPr>
        <w:t xml:space="preserve"> </w:t>
      </w:r>
      <w:r>
        <w:t>youth,</w:t>
      </w:r>
      <w:r>
        <w:rPr>
          <w:spacing w:val="-5"/>
        </w:rPr>
        <w:t xml:space="preserve"> </w:t>
      </w:r>
      <w:r>
        <w:t>including</w:t>
      </w:r>
      <w:r>
        <w:rPr>
          <w:spacing w:val="-4"/>
        </w:rPr>
        <w:t xml:space="preserve"> </w:t>
      </w:r>
      <w:r>
        <w:t>through</w:t>
      </w:r>
      <w:r>
        <w:rPr>
          <w:spacing w:val="-4"/>
        </w:rPr>
        <w:t xml:space="preserve"> </w:t>
      </w:r>
      <w:r>
        <w:t>LGBTQ-inclusive diversity planning. Further, they have conducted optional staff trainings in the 2017, 2018, 2019, and 2022 fiscal year</w:t>
      </w:r>
      <w:r>
        <w:t>s. MCB has also worked on incorporating the collection of preferred pronouns into case notes. Future opportunities to expand their outreach and resources for LGBTQ youth could include incorporating LGBTQ information and speakers into their regular guest pr</w:t>
      </w:r>
      <w:r>
        <w:t>esentations.</w:t>
      </w:r>
    </w:p>
    <w:p w:rsidR="00C76E6D" w:rsidRDefault="00C76E6D">
      <w:pPr>
        <w:pStyle w:val="BodyText"/>
      </w:pPr>
    </w:p>
    <w:p w:rsidR="00C76E6D" w:rsidRDefault="00C76E6D">
      <w:pPr>
        <w:pStyle w:val="BodyText"/>
        <w:spacing w:before="3"/>
        <w:rPr>
          <w:sz w:val="23"/>
        </w:rPr>
      </w:pPr>
    </w:p>
    <w:p w:rsidR="00C76E6D" w:rsidRDefault="00913831">
      <w:pPr>
        <w:pStyle w:val="Heading5"/>
      </w:pPr>
      <w:r>
        <w:rPr>
          <w:spacing w:val="-2"/>
        </w:rPr>
        <w:t>Expanded</w:t>
      </w:r>
      <w:r>
        <w:t xml:space="preserve"> </w:t>
      </w:r>
      <w:r>
        <w:rPr>
          <w:spacing w:val="-2"/>
        </w:rPr>
        <w:t>Recommendations</w:t>
      </w:r>
    </w:p>
    <w:p w:rsidR="00C76E6D" w:rsidRDefault="00913831">
      <w:pPr>
        <w:pStyle w:val="BodyText"/>
        <w:spacing w:before="11"/>
        <w:rPr>
          <w:b/>
          <w:sz w:val="6"/>
        </w:rPr>
      </w:pPr>
      <w:r>
        <w:pict>
          <v:shape id="docshape371" o:spid="_x0000_s1099" style="position:absolute;margin-left:65pt;margin-top:5.45pt;width:476.95pt;height:.1pt;z-index:-15654912;mso-wrap-distance-left:0;mso-wrap-distance-right:0;mso-position-horizontal-relative:page" coordorigin="1300,109" coordsize="9539,0" path="m1300,109r9539,e" filled="f" strokeweight="1.54pt">
            <v:path arrowok="t"/>
            <w10:wrap type="topAndBottom" anchorx="page"/>
          </v:shape>
        </w:pict>
      </w:r>
    </w:p>
    <w:p w:rsidR="00C76E6D" w:rsidRDefault="00C76E6D">
      <w:pPr>
        <w:pStyle w:val="BodyText"/>
        <w:spacing w:before="2"/>
        <w:rPr>
          <w:b/>
          <w:sz w:val="35"/>
        </w:rPr>
      </w:pPr>
    </w:p>
    <w:p w:rsidR="00C76E6D" w:rsidRDefault="00913831">
      <w:pPr>
        <w:pStyle w:val="Heading6"/>
        <w:numPr>
          <w:ilvl w:val="0"/>
          <w:numId w:val="14"/>
        </w:numPr>
        <w:tabs>
          <w:tab w:val="left" w:pos="592"/>
        </w:tabs>
        <w:spacing w:before="1" w:line="276" w:lineRule="auto"/>
        <w:ind w:right="377" w:hanging="1"/>
      </w:pPr>
      <w:bookmarkStart w:id="796" w:name="1._Continue_offering_LGBTQ_competency_tr"/>
      <w:bookmarkEnd w:id="796"/>
      <w:r>
        <w:rPr>
          <w:spacing w:val="-2"/>
        </w:rPr>
        <w:t>Continue</w:t>
      </w:r>
      <w:r>
        <w:rPr>
          <w:spacing w:val="-5"/>
        </w:rPr>
        <w:t xml:space="preserve"> </w:t>
      </w:r>
      <w:r>
        <w:rPr>
          <w:spacing w:val="-2"/>
        </w:rPr>
        <w:t>offering</w:t>
      </w:r>
      <w:r>
        <w:rPr>
          <w:spacing w:val="-3"/>
        </w:rPr>
        <w:t xml:space="preserve"> </w:t>
      </w:r>
      <w:r>
        <w:rPr>
          <w:spacing w:val="-2"/>
        </w:rPr>
        <w:t>LGBTQ</w:t>
      </w:r>
      <w:r>
        <w:rPr>
          <w:spacing w:val="-5"/>
        </w:rPr>
        <w:t xml:space="preserve"> </w:t>
      </w:r>
      <w:r>
        <w:rPr>
          <w:spacing w:val="-2"/>
        </w:rPr>
        <w:t>competency trainings</w:t>
      </w:r>
      <w:r>
        <w:rPr>
          <w:spacing w:val="-5"/>
        </w:rPr>
        <w:t xml:space="preserve"> </w:t>
      </w:r>
      <w:r>
        <w:rPr>
          <w:spacing w:val="-2"/>
        </w:rPr>
        <w:t>and</w:t>
      </w:r>
      <w:r>
        <w:rPr>
          <w:spacing w:val="-3"/>
        </w:rPr>
        <w:t xml:space="preserve"> </w:t>
      </w:r>
      <w:r>
        <w:rPr>
          <w:spacing w:val="-2"/>
        </w:rPr>
        <w:t>explore</w:t>
      </w:r>
      <w:r>
        <w:rPr>
          <w:spacing w:val="-5"/>
        </w:rPr>
        <w:t xml:space="preserve"> </w:t>
      </w:r>
      <w:r>
        <w:rPr>
          <w:spacing w:val="-2"/>
        </w:rPr>
        <w:t>how to</w:t>
      </w:r>
      <w:r>
        <w:rPr>
          <w:spacing w:val="-3"/>
        </w:rPr>
        <w:t xml:space="preserve"> </w:t>
      </w:r>
      <w:r>
        <w:rPr>
          <w:spacing w:val="-2"/>
        </w:rPr>
        <w:t>reach</w:t>
      </w:r>
      <w:r>
        <w:rPr>
          <w:spacing w:val="-5"/>
        </w:rPr>
        <w:t xml:space="preserve"> </w:t>
      </w:r>
      <w:r>
        <w:rPr>
          <w:spacing w:val="-2"/>
        </w:rPr>
        <w:t>the maximum</w:t>
      </w:r>
      <w:r>
        <w:rPr>
          <w:spacing w:val="-5"/>
        </w:rPr>
        <w:t xml:space="preserve"> </w:t>
      </w:r>
      <w:r>
        <w:rPr>
          <w:spacing w:val="-2"/>
        </w:rPr>
        <w:t>number</w:t>
      </w:r>
      <w:r>
        <w:rPr>
          <w:spacing w:val="-3"/>
        </w:rPr>
        <w:t xml:space="preserve"> </w:t>
      </w:r>
      <w:r>
        <w:rPr>
          <w:spacing w:val="-2"/>
        </w:rPr>
        <w:t>of</w:t>
      </w:r>
      <w:r>
        <w:rPr>
          <w:spacing w:val="-5"/>
        </w:rPr>
        <w:t xml:space="preserve"> </w:t>
      </w:r>
      <w:r>
        <w:rPr>
          <w:spacing w:val="-2"/>
        </w:rPr>
        <w:t xml:space="preserve">staff, </w:t>
      </w:r>
      <w:r>
        <w:t>including possibly through the EOHHS interagency training initiative.</w:t>
      </w:r>
    </w:p>
    <w:p w:rsidR="00C76E6D" w:rsidRDefault="00C76E6D">
      <w:pPr>
        <w:pStyle w:val="BodyText"/>
        <w:spacing w:before="7"/>
        <w:rPr>
          <w:b/>
          <w:sz w:val="19"/>
        </w:rPr>
      </w:pPr>
    </w:p>
    <w:p w:rsidR="00C76E6D" w:rsidRDefault="00913831">
      <w:pPr>
        <w:pStyle w:val="BodyText"/>
        <w:spacing w:line="276" w:lineRule="auto"/>
        <w:ind w:left="627" w:right="336"/>
        <w:jc w:val="both"/>
      </w:pPr>
      <w:r>
        <w:t>MCB has offered several optional trainings on LGBTQ issues for its staff. In June 2019, MCB invited the Commission to conduct a brief “brown-bag lunch” training that was attended by MCB Commissioner D’Arcangelo and staff. They also provided staff with trai</w:t>
      </w:r>
      <w:r>
        <w:t>ning on how to collect gender pronouns and LGBTQ status in client notes for clients who self-identify in this way. An LGBTQ competency training was also held in FY 2018. MCB’s liaison to the Commission has been an active part of the EOHHS interagency</w:t>
      </w:r>
    </w:p>
    <w:p w:rsidR="00C76E6D" w:rsidRDefault="00C76E6D">
      <w:pPr>
        <w:spacing w:line="276" w:lineRule="auto"/>
        <w:jc w:val="both"/>
        <w:sectPr w:rsidR="00C76E6D">
          <w:headerReference w:type="default" r:id="rId407"/>
          <w:footerReference w:type="default" r:id="rId408"/>
          <w:pgSz w:w="12240" w:h="15840"/>
          <w:pgMar w:top="1020" w:right="960" w:bottom="640" w:left="960" w:header="832" w:footer="440" w:gutter="0"/>
          <w:cols w:space="720"/>
        </w:sectPr>
      </w:pPr>
    </w:p>
    <w:p w:rsidR="00C76E6D" w:rsidRDefault="00C76E6D">
      <w:pPr>
        <w:pStyle w:val="BodyText"/>
        <w:spacing w:before="3"/>
      </w:pPr>
    </w:p>
    <w:p w:rsidR="00C76E6D" w:rsidRDefault="00913831">
      <w:pPr>
        <w:pStyle w:val="BodyText"/>
        <w:spacing w:before="55" w:line="276" w:lineRule="auto"/>
        <w:ind w:left="627" w:right="335"/>
        <w:jc w:val="both"/>
      </w:pPr>
      <w:r>
        <w:t>committee working</w:t>
      </w:r>
      <w:r>
        <w:rPr>
          <w:spacing w:val="-1"/>
        </w:rPr>
        <w:t xml:space="preserve"> </w:t>
      </w:r>
      <w:r>
        <w:t>on developing a shared training curriculum, and</w:t>
      </w:r>
      <w:r>
        <w:rPr>
          <w:spacing w:val="-1"/>
        </w:rPr>
        <w:t xml:space="preserve"> </w:t>
      </w:r>
      <w:r>
        <w:t>now that that</w:t>
      </w:r>
      <w:r>
        <w:rPr>
          <w:spacing w:val="-1"/>
        </w:rPr>
        <w:t xml:space="preserve"> </w:t>
      </w:r>
      <w:r>
        <w:t xml:space="preserve">resource is complete, MCB has expressed interest in having the Commission return to present an in-person </w:t>
      </w:r>
      <w:r>
        <w:t>training based on this content. In 2021, MCB held two sessions of “LGBTQ+ Inclusive Organizations” training presented by a</w:t>
      </w:r>
      <w:r>
        <w:rPr>
          <w:spacing w:val="-9"/>
        </w:rPr>
        <w:t xml:space="preserve"> </w:t>
      </w:r>
      <w:r>
        <w:t>training</w:t>
      </w:r>
      <w:r>
        <w:rPr>
          <w:spacing w:val="-7"/>
        </w:rPr>
        <w:t xml:space="preserve"> </w:t>
      </w:r>
      <w:r>
        <w:t>consultant</w:t>
      </w:r>
      <w:r>
        <w:rPr>
          <w:spacing w:val="-8"/>
        </w:rPr>
        <w:t xml:space="preserve"> </w:t>
      </w:r>
      <w:r>
        <w:t>from</w:t>
      </w:r>
      <w:r>
        <w:rPr>
          <w:spacing w:val="-8"/>
        </w:rPr>
        <w:t xml:space="preserve"> </w:t>
      </w:r>
      <w:r>
        <w:t>the</w:t>
      </w:r>
      <w:r>
        <w:rPr>
          <w:spacing w:val="-8"/>
        </w:rPr>
        <w:t xml:space="preserve"> </w:t>
      </w:r>
      <w:r>
        <w:t>Commission</w:t>
      </w:r>
      <w:r>
        <w:rPr>
          <w:spacing w:val="-9"/>
        </w:rPr>
        <w:t xml:space="preserve"> </w:t>
      </w:r>
      <w:r>
        <w:t>on</w:t>
      </w:r>
      <w:r>
        <w:rPr>
          <w:spacing w:val="-8"/>
        </w:rPr>
        <w:t xml:space="preserve"> </w:t>
      </w:r>
      <w:r>
        <w:t>LGBTQ</w:t>
      </w:r>
      <w:r>
        <w:rPr>
          <w:spacing w:val="-7"/>
        </w:rPr>
        <w:t xml:space="preserve"> </w:t>
      </w:r>
      <w:r>
        <w:t>Youth.</w:t>
      </w:r>
      <w:r>
        <w:rPr>
          <w:spacing w:val="-7"/>
        </w:rPr>
        <w:t xml:space="preserve"> </w:t>
      </w:r>
      <w:r>
        <w:t>The</w:t>
      </w:r>
      <w:r>
        <w:rPr>
          <w:spacing w:val="-8"/>
        </w:rPr>
        <w:t xml:space="preserve"> </w:t>
      </w:r>
      <w:r>
        <w:t>Commission</w:t>
      </w:r>
      <w:r>
        <w:rPr>
          <w:spacing w:val="-9"/>
        </w:rPr>
        <w:t xml:space="preserve"> </w:t>
      </w:r>
      <w:r>
        <w:t>looks</w:t>
      </w:r>
      <w:r>
        <w:rPr>
          <w:spacing w:val="-9"/>
        </w:rPr>
        <w:t xml:space="preserve"> </w:t>
      </w:r>
      <w:r>
        <w:t>forward</w:t>
      </w:r>
      <w:r>
        <w:rPr>
          <w:spacing w:val="-8"/>
        </w:rPr>
        <w:t xml:space="preserve"> </w:t>
      </w:r>
      <w:r>
        <w:t>to</w:t>
      </w:r>
      <w:r>
        <w:rPr>
          <w:spacing w:val="-8"/>
        </w:rPr>
        <w:t xml:space="preserve"> </w:t>
      </w:r>
      <w:r>
        <w:t>continuing to partner with MCB on these train</w:t>
      </w:r>
      <w:r>
        <w:t>ings in FY 2023.</w:t>
      </w:r>
    </w:p>
    <w:p w:rsidR="00C76E6D" w:rsidRDefault="00C76E6D">
      <w:pPr>
        <w:pStyle w:val="BodyText"/>
        <w:spacing w:before="7"/>
        <w:rPr>
          <w:sz w:val="19"/>
        </w:rPr>
      </w:pPr>
    </w:p>
    <w:p w:rsidR="00C76E6D" w:rsidRDefault="00913831">
      <w:pPr>
        <w:pStyle w:val="Heading6"/>
        <w:numPr>
          <w:ilvl w:val="0"/>
          <w:numId w:val="14"/>
        </w:numPr>
        <w:tabs>
          <w:tab w:val="left" w:pos="580"/>
        </w:tabs>
        <w:spacing w:line="276" w:lineRule="auto"/>
        <w:ind w:right="1004" w:hanging="1"/>
      </w:pPr>
      <w:bookmarkStart w:id="797" w:name="2._Continue_advising_staff_on_how_to_col"/>
      <w:bookmarkEnd w:id="797"/>
      <w:r>
        <w:t>Continue</w:t>
      </w:r>
      <w:r>
        <w:rPr>
          <w:spacing w:val="-3"/>
        </w:rPr>
        <w:t xml:space="preserve"> </w:t>
      </w:r>
      <w:r>
        <w:t>advising</w:t>
      </w:r>
      <w:r>
        <w:rPr>
          <w:spacing w:val="-4"/>
        </w:rPr>
        <w:t xml:space="preserve"> </w:t>
      </w:r>
      <w:r>
        <w:t>staff</w:t>
      </w:r>
      <w:r>
        <w:rPr>
          <w:spacing w:val="-3"/>
        </w:rPr>
        <w:t xml:space="preserve"> </w:t>
      </w:r>
      <w:r>
        <w:t>on</w:t>
      </w:r>
      <w:r>
        <w:rPr>
          <w:spacing w:val="-3"/>
        </w:rPr>
        <w:t xml:space="preserve"> </w:t>
      </w:r>
      <w:r>
        <w:t>how</w:t>
      </w:r>
      <w:r>
        <w:rPr>
          <w:spacing w:val="-3"/>
        </w:rPr>
        <w:t xml:space="preserve"> </w:t>
      </w:r>
      <w:r>
        <w:t>to</w:t>
      </w:r>
      <w:r>
        <w:rPr>
          <w:spacing w:val="-3"/>
        </w:rPr>
        <w:t xml:space="preserve"> </w:t>
      </w:r>
      <w:r>
        <w:t>collect</w:t>
      </w:r>
      <w:r>
        <w:rPr>
          <w:spacing w:val="-5"/>
        </w:rPr>
        <w:t xml:space="preserve"> </w:t>
      </w:r>
      <w:r>
        <w:t>information</w:t>
      </w:r>
      <w:r>
        <w:rPr>
          <w:spacing w:val="-3"/>
        </w:rPr>
        <w:t xml:space="preserve"> </w:t>
      </w:r>
      <w:r>
        <w:t>like</w:t>
      </w:r>
      <w:r>
        <w:rPr>
          <w:spacing w:val="-3"/>
        </w:rPr>
        <w:t xml:space="preserve"> </w:t>
      </w:r>
      <w:r>
        <w:t>personal</w:t>
      </w:r>
      <w:r>
        <w:rPr>
          <w:spacing w:val="-3"/>
        </w:rPr>
        <w:t xml:space="preserve"> </w:t>
      </w:r>
      <w:r>
        <w:t>pronouns</w:t>
      </w:r>
      <w:r>
        <w:rPr>
          <w:spacing w:val="-3"/>
        </w:rPr>
        <w:t xml:space="preserve"> </w:t>
      </w:r>
      <w:r>
        <w:t>in</w:t>
      </w:r>
      <w:r>
        <w:rPr>
          <w:spacing w:val="-2"/>
        </w:rPr>
        <w:t xml:space="preserve"> </w:t>
      </w:r>
      <w:r>
        <w:t>client</w:t>
      </w:r>
      <w:r>
        <w:rPr>
          <w:spacing w:val="-3"/>
        </w:rPr>
        <w:t xml:space="preserve"> </w:t>
      </w:r>
      <w:r>
        <w:t>notes</w:t>
      </w:r>
      <w:r>
        <w:rPr>
          <w:spacing w:val="-3"/>
        </w:rPr>
        <w:t xml:space="preserve"> </w:t>
      </w:r>
      <w:r>
        <w:t>and exploring options for increasing data collection relating to sexual orientation and gender identity.</w:t>
      </w:r>
    </w:p>
    <w:p w:rsidR="00C76E6D" w:rsidRDefault="00C76E6D">
      <w:pPr>
        <w:pStyle w:val="BodyText"/>
        <w:spacing w:before="5"/>
        <w:rPr>
          <w:b/>
          <w:sz w:val="25"/>
        </w:rPr>
      </w:pPr>
    </w:p>
    <w:p w:rsidR="00C76E6D" w:rsidRDefault="00913831">
      <w:pPr>
        <w:pStyle w:val="BodyText"/>
        <w:spacing w:line="276" w:lineRule="auto"/>
        <w:ind w:left="628" w:right="332" w:hanging="2"/>
        <w:jc w:val="both"/>
      </w:pPr>
      <w:r>
        <w:t>MCB</w:t>
      </w:r>
      <w:r>
        <w:rPr>
          <w:spacing w:val="-5"/>
        </w:rPr>
        <w:t xml:space="preserve"> </w:t>
      </w:r>
      <w:r>
        <w:t>has</w:t>
      </w:r>
      <w:r>
        <w:rPr>
          <w:spacing w:val="-5"/>
        </w:rPr>
        <w:t xml:space="preserve"> </w:t>
      </w:r>
      <w:r>
        <w:t>made</w:t>
      </w:r>
      <w:r>
        <w:rPr>
          <w:spacing w:val="-6"/>
        </w:rPr>
        <w:t xml:space="preserve"> </w:t>
      </w:r>
      <w:r>
        <w:t>significant</w:t>
      </w:r>
      <w:r>
        <w:rPr>
          <w:spacing w:val="-4"/>
        </w:rPr>
        <w:t xml:space="preserve"> </w:t>
      </w:r>
      <w:r>
        <w:t>progress</w:t>
      </w:r>
      <w:r>
        <w:rPr>
          <w:spacing w:val="-5"/>
        </w:rPr>
        <w:t xml:space="preserve"> </w:t>
      </w:r>
      <w:r>
        <w:t>in</w:t>
      </w:r>
      <w:r>
        <w:rPr>
          <w:spacing w:val="-5"/>
        </w:rPr>
        <w:t xml:space="preserve"> </w:t>
      </w:r>
      <w:r>
        <w:t>collecting</w:t>
      </w:r>
      <w:r>
        <w:rPr>
          <w:spacing w:val="-5"/>
        </w:rPr>
        <w:t xml:space="preserve"> </w:t>
      </w:r>
      <w:r>
        <w:t>data</w:t>
      </w:r>
      <w:r>
        <w:rPr>
          <w:spacing w:val="-3"/>
        </w:rPr>
        <w:t xml:space="preserve"> </w:t>
      </w:r>
      <w:r>
        <w:t>relevant</w:t>
      </w:r>
      <w:r>
        <w:rPr>
          <w:spacing w:val="-5"/>
        </w:rPr>
        <w:t xml:space="preserve"> </w:t>
      </w:r>
      <w:r>
        <w:t>to</w:t>
      </w:r>
      <w:r>
        <w:rPr>
          <w:spacing w:val="-5"/>
        </w:rPr>
        <w:t xml:space="preserve"> </w:t>
      </w:r>
      <w:r>
        <w:t>LGBTQ</w:t>
      </w:r>
      <w:r>
        <w:rPr>
          <w:spacing w:val="-4"/>
        </w:rPr>
        <w:t xml:space="preserve"> </w:t>
      </w:r>
      <w:r>
        <w:t>clients.</w:t>
      </w:r>
      <w:r>
        <w:rPr>
          <w:spacing w:val="-4"/>
        </w:rPr>
        <w:t xml:space="preserve"> </w:t>
      </w:r>
      <w:r>
        <w:t>As</w:t>
      </w:r>
      <w:r>
        <w:rPr>
          <w:spacing w:val="-5"/>
        </w:rPr>
        <w:t xml:space="preserve"> </w:t>
      </w:r>
      <w:r>
        <w:t>noted</w:t>
      </w:r>
      <w:r>
        <w:rPr>
          <w:spacing w:val="-5"/>
        </w:rPr>
        <w:t xml:space="preserve"> </w:t>
      </w:r>
      <w:r>
        <w:t>above,</w:t>
      </w:r>
      <w:r>
        <w:rPr>
          <w:spacing w:val="-5"/>
        </w:rPr>
        <w:t xml:space="preserve"> </w:t>
      </w:r>
      <w:r>
        <w:t>MCB</w:t>
      </w:r>
      <w:r>
        <w:rPr>
          <w:spacing w:val="-5"/>
        </w:rPr>
        <w:t xml:space="preserve"> </w:t>
      </w:r>
      <w:r>
        <w:t>has trained staff on how to enter gender pronouns into a client’s case notes when that client discloses their pronouns, particularly when other staff may be likely to make an incorrect assumpti</w:t>
      </w:r>
      <w:r>
        <w:t>on. MCB has also explained</w:t>
      </w:r>
      <w:r>
        <w:rPr>
          <w:spacing w:val="-2"/>
        </w:rPr>
        <w:t xml:space="preserve"> </w:t>
      </w:r>
      <w:r>
        <w:t>to staff</w:t>
      </w:r>
      <w:r>
        <w:rPr>
          <w:spacing w:val="-3"/>
        </w:rPr>
        <w:t xml:space="preserve"> </w:t>
      </w:r>
      <w:r>
        <w:t>how</w:t>
      </w:r>
      <w:r>
        <w:rPr>
          <w:spacing w:val="-3"/>
        </w:rPr>
        <w:t xml:space="preserve"> </w:t>
      </w:r>
      <w:r>
        <w:t>they</w:t>
      </w:r>
      <w:r>
        <w:rPr>
          <w:spacing w:val="-3"/>
        </w:rPr>
        <w:t xml:space="preserve"> </w:t>
      </w:r>
      <w:r>
        <w:t>can</w:t>
      </w:r>
      <w:r>
        <w:rPr>
          <w:spacing w:val="-2"/>
        </w:rPr>
        <w:t xml:space="preserve"> </w:t>
      </w:r>
      <w:r>
        <w:t>record</w:t>
      </w:r>
      <w:r>
        <w:rPr>
          <w:spacing w:val="-1"/>
        </w:rPr>
        <w:t xml:space="preserve"> </w:t>
      </w:r>
      <w:r>
        <w:t>a</w:t>
      </w:r>
      <w:r>
        <w:rPr>
          <w:spacing w:val="-3"/>
        </w:rPr>
        <w:t xml:space="preserve"> </w:t>
      </w:r>
      <w:r>
        <w:t>client’s</w:t>
      </w:r>
      <w:r>
        <w:rPr>
          <w:spacing w:val="-3"/>
        </w:rPr>
        <w:t xml:space="preserve"> </w:t>
      </w:r>
      <w:r>
        <w:t>LGBTQ</w:t>
      </w:r>
      <w:r>
        <w:rPr>
          <w:spacing w:val="-3"/>
        </w:rPr>
        <w:t xml:space="preserve"> </w:t>
      </w:r>
      <w:r>
        <w:t>identity</w:t>
      </w:r>
      <w:r>
        <w:rPr>
          <w:spacing w:val="-2"/>
        </w:rPr>
        <w:t xml:space="preserve"> </w:t>
      </w:r>
      <w:r>
        <w:t>in</w:t>
      </w:r>
      <w:r>
        <w:rPr>
          <w:spacing w:val="-2"/>
        </w:rPr>
        <w:t xml:space="preserve"> </w:t>
      </w:r>
      <w:r>
        <w:t>case</w:t>
      </w:r>
      <w:r>
        <w:rPr>
          <w:spacing w:val="-2"/>
        </w:rPr>
        <w:t xml:space="preserve"> </w:t>
      </w:r>
      <w:r>
        <w:t>notes</w:t>
      </w:r>
      <w:r>
        <w:rPr>
          <w:spacing w:val="-3"/>
        </w:rPr>
        <w:t xml:space="preserve"> </w:t>
      </w:r>
      <w:r>
        <w:t>when</w:t>
      </w:r>
      <w:r>
        <w:rPr>
          <w:spacing w:val="-3"/>
        </w:rPr>
        <w:t xml:space="preserve"> </w:t>
      </w:r>
      <w:r>
        <w:t>a client</w:t>
      </w:r>
      <w:r>
        <w:rPr>
          <w:spacing w:val="-2"/>
        </w:rPr>
        <w:t xml:space="preserve"> </w:t>
      </w:r>
      <w:r>
        <w:t>discloses</w:t>
      </w:r>
      <w:r>
        <w:rPr>
          <w:spacing w:val="-2"/>
        </w:rPr>
        <w:t xml:space="preserve"> </w:t>
      </w:r>
      <w:r>
        <w:t>this information so that they can be aware of potential services or issues that might benefit or impact that client</w:t>
      </w:r>
      <w:r>
        <w:rPr>
          <w:spacing w:val="-7"/>
        </w:rPr>
        <w:t xml:space="preserve"> </w:t>
      </w:r>
      <w:r>
        <w:t>as</w:t>
      </w:r>
      <w:r>
        <w:rPr>
          <w:spacing w:val="-6"/>
        </w:rPr>
        <w:t xml:space="preserve"> </w:t>
      </w:r>
      <w:r>
        <w:t>an</w:t>
      </w:r>
      <w:r>
        <w:rPr>
          <w:spacing w:val="-6"/>
        </w:rPr>
        <w:t xml:space="preserve"> </w:t>
      </w:r>
      <w:r>
        <w:t>LGBTQ</w:t>
      </w:r>
      <w:r>
        <w:rPr>
          <w:spacing w:val="-6"/>
        </w:rPr>
        <w:t xml:space="preserve"> </w:t>
      </w:r>
      <w:r>
        <w:t>person.</w:t>
      </w:r>
      <w:r>
        <w:rPr>
          <w:spacing w:val="-7"/>
        </w:rPr>
        <w:t xml:space="preserve"> </w:t>
      </w:r>
      <w:r>
        <w:t>Since</w:t>
      </w:r>
      <w:r>
        <w:rPr>
          <w:spacing w:val="-5"/>
        </w:rPr>
        <w:t xml:space="preserve"> </w:t>
      </w:r>
      <w:r>
        <w:t>2021,</w:t>
      </w:r>
      <w:r>
        <w:rPr>
          <w:spacing w:val="-4"/>
        </w:rPr>
        <w:t xml:space="preserve"> </w:t>
      </w:r>
      <w:r>
        <w:t>MCB</w:t>
      </w:r>
      <w:r>
        <w:rPr>
          <w:spacing w:val="-6"/>
        </w:rPr>
        <w:t xml:space="preserve"> </w:t>
      </w:r>
      <w:r>
        <w:t>has</w:t>
      </w:r>
      <w:r>
        <w:rPr>
          <w:spacing w:val="-5"/>
        </w:rPr>
        <w:t xml:space="preserve"> </w:t>
      </w:r>
      <w:r>
        <w:t>allowed</w:t>
      </w:r>
      <w:r>
        <w:rPr>
          <w:spacing w:val="-7"/>
        </w:rPr>
        <w:t xml:space="preserve"> </w:t>
      </w:r>
      <w:r>
        <w:t>for</w:t>
      </w:r>
      <w:r>
        <w:rPr>
          <w:spacing w:val="-5"/>
        </w:rPr>
        <w:t xml:space="preserve"> </w:t>
      </w:r>
      <w:r>
        <w:t>clients</w:t>
      </w:r>
      <w:r>
        <w:rPr>
          <w:spacing w:val="-6"/>
        </w:rPr>
        <w:t xml:space="preserve"> </w:t>
      </w:r>
      <w:r>
        <w:t>to</w:t>
      </w:r>
      <w:r>
        <w:rPr>
          <w:spacing w:val="-6"/>
        </w:rPr>
        <w:t xml:space="preserve"> </w:t>
      </w:r>
      <w:r>
        <w:t>select</w:t>
      </w:r>
      <w:r>
        <w:rPr>
          <w:spacing w:val="-5"/>
        </w:rPr>
        <w:t xml:space="preserve"> </w:t>
      </w:r>
      <w:r>
        <w:t>“other”</w:t>
      </w:r>
      <w:r>
        <w:rPr>
          <w:spacing w:val="-6"/>
        </w:rPr>
        <w:t xml:space="preserve"> </w:t>
      </w:r>
      <w:r>
        <w:t>in</w:t>
      </w:r>
      <w:r>
        <w:rPr>
          <w:spacing w:val="-5"/>
        </w:rPr>
        <w:t xml:space="preserve"> </w:t>
      </w:r>
      <w:r>
        <w:t>place</w:t>
      </w:r>
      <w:r>
        <w:rPr>
          <w:spacing w:val="-4"/>
        </w:rPr>
        <w:t xml:space="preserve"> </w:t>
      </w:r>
      <w:r>
        <w:t>of</w:t>
      </w:r>
      <w:r>
        <w:rPr>
          <w:spacing w:val="-6"/>
        </w:rPr>
        <w:t xml:space="preserve"> </w:t>
      </w:r>
      <w:r>
        <w:t>“Male”</w:t>
      </w:r>
      <w:r>
        <w:rPr>
          <w:spacing w:val="-6"/>
        </w:rPr>
        <w:t xml:space="preserve"> </w:t>
      </w:r>
      <w:r>
        <w:t>or “Female” for their gender. This is very positive for people</w:t>
      </w:r>
      <w:r>
        <w:rPr>
          <w:spacing w:val="-1"/>
        </w:rPr>
        <w:t xml:space="preserve"> </w:t>
      </w:r>
      <w:r>
        <w:t>who identify as nonbinary</w:t>
      </w:r>
      <w:r>
        <w:rPr>
          <w:spacing w:val="-1"/>
        </w:rPr>
        <w:t xml:space="preserve"> </w:t>
      </w:r>
      <w:r>
        <w:t>or otherwise do not use a Male or Female marker and is in keeping with the new policy to a</w:t>
      </w:r>
      <w:r>
        <w:t>llow a nonbinary “X” marker on state identification.</w:t>
      </w:r>
    </w:p>
    <w:p w:rsidR="00C76E6D" w:rsidRDefault="00C76E6D">
      <w:pPr>
        <w:pStyle w:val="BodyText"/>
        <w:spacing w:before="7"/>
        <w:rPr>
          <w:sz w:val="19"/>
        </w:rPr>
      </w:pPr>
    </w:p>
    <w:p w:rsidR="00C76E6D" w:rsidRDefault="00913831">
      <w:pPr>
        <w:pStyle w:val="BodyText"/>
        <w:spacing w:line="276" w:lineRule="auto"/>
        <w:ind w:left="627" w:right="334"/>
        <w:jc w:val="both"/>
      </w:pPr>
      <w:r>
        <w:t>The Commission appreciates that more formal data collection on LGBTQ status – such as recording the sexual</w:t>
      </w:r>
      <w:r>
        <w:rPr>
          <w:spacing w:val="-7"/>
        </w:rPr>
        <w:t xml:space="preserve"> </w:t>
      </w:r>
      <w:r>
        <w:t>orientation</w:t>
      </w:r>
      <w:r>
        <w:rPr>
          <w:spacing w:val="-7"/>
        </w:rPr>
        <w:t xml:space="preserve"> </w:t>
      </w:r>
      <w:r>
        <w:t>and</w:t>
      </w:r>
      <w:r>
        <w:rPr>
          <w:spacing w:val="-5"/>
        </w:rPr>
        <w:t xml:space="preserve"> </w:t>
      </w:r>
      <w:r>
        <w:t>gender</w:t>
      </w:r>
      <w:r>
        <w:rPr>
          <w:spacing w:val="-6"/>
        </w:rPr>
        <w:t xml:space="preserve"> </w:t>
      </w:r>
      <w:r>
        <w:t>identity</w:t>
      </w:r>
      <w:r>
        <w:rPr>
          <w:spacing w:val="-5"/>
        </w:rPr>
        <w:t xml:space="preserve"> </w:t>
      </w:r>
      <w:r>
        <w:t>of</w:t>
      </w:r>
      <w:r>
        <w:rPr>
          <w:spacing w:val="-6"/>
        </w:rPr>
        <w:t xml:space="preserve"> </w:t>
      </w:r>
      <w:r>
        <w:t>each</w:t>
      </w:r>
      <w:r>
        <w:rPr>
          <w:spacing w:val="-4"/>
        </w:rPr>
        <w:t xml:space="preserve"> </w:t>
      </w:r>
      <w:r>
        <w:t>client</w:t>
      </w:r>
      <w:r>
        <w:rPr>
          <w:spacing w:val="-4"/>
        </w:rPr>
        <w:t xml:space="preserve"> </w:t>
      </w:r>
      <w:r>
        <w:t>–</w:t>
      </w:r>
      <w:r>
        <w:rPr>
          <w:spacing w:val="-7"/>
        </w:rPr>
        <w:t xml:space="preserve"> </w:t>
      </w:r>
      <w:r>
        <w:t>would</w:t>
      </w:r>
      <w:r>
        <w:rPr>
          <w:spacing w:val="-6"/>
        </w:rPr>
        <w:t xml:space="preserve"> </w:t>
      </w:r>
      <w:r>
        <w:t>be</w:t>
      </w:r>
      <w:r>
        <w:rPr>
          <w:spacing w:val="-6"/>
        </w:rPr>
        <w:t xml:space="preserve"> </w:t>
      </w:r>
      <w:r>
        <w:t>more</w:t>
      </w:r>
      <w:r>
        <w:rPr>
          <w:spacing w:val="-7"/>
        </w:rPr>
        <w:t xml:space="preserve"> </w:t>
      </w:r>
      <w:r>
        <w:t>challenging</w:t>
      </w:r>
      <w:r>
        <w:rPr>
          <w:spacing w:val="-7"/>
        </w:rPr>
        <w:t xml:space="preserve"> </w:t>
      </w:r>
      <w:r>
        <w:t>and</w:t>
      </w:r>
      <w:r>
        <w:rPr>
          <w:spacing w:val="-5"/>
        </w:rPr>
        <w:t xml:space="preserve"> </w:t>
      </w:r>
      <w:r>
        <w:t>require</w:t>
      </w:r>
      <w:r>
        <w:rPr>
          <w:spacing w:val="-7"/>
        </w:rPr>
        <w:t xml:space="preserve"> </w:t>
      </w:r>
      <w:r>
        <w:t>changes</w:t>
      </w:r>
      <w:r>
        <w:rPr>
          <w:spacing w:val="-5"/>
        </w:rPr>
        <w:t xml:space="preserve"> </w:t>
      </w:r>
      <w:r>
        <w:t>to their data system. The Commission recommends that MCB keep such additions in mind when future changes to the data system are being planned. In May 2022, MCB noted that the agency has reviewed and plans to update its current SOGI data collection practice</w:t>
      </w:r>
      <w:r>
        <w:t>s with the Commission in FY 2023.</w:t>
      </w:r>
    </w:p>
    <w:p w:rsidR="00C76E6D" w:rsidRDefault="00C76E6D">
      <w:pPr>
        <w:pStyle w:val="BodyText"/>
        <w:spacing w:before="7"/>
        <w:rPr>
          <w:sz w:val="28"/>
        </w:rPr>
      </w:pPr>
    </w:p>
    <w:p w:rsidR="00C76E6D" w:rsidRDefault="00913831">
      <w:pPr>
        <w:pStyle w:val="Heading6"/>
        <w:numPr>
          <w:ilvl w:val="0"/>
          <w:numId w:val="14"/>
        </w:numPr>
        <w:tabs>
          <w:tab w:val="left" w:pos="629"/>
        </w:tabs>
        <w:spacing w:line="276" w:lineRule="auto"/>
        <w:ind w:left="337" w:right="662" w:firstLine="0"/>
      </w:pPr>
      <w:bookmarkStart w:id="798" w:name="3._Explore_connecting_clients_to_LGBTQ-f"/>
      <w:bookmarkEnd w:id="798"/>
      <w:r>
        <w:t>Explore</w:t>
      </w:r>
      <w:r>
        <w:rPr>
          <w:spacing w:val="36"/>
        </w:rPr>
        <w:t xml:space="preserve"> </w:t>
      </w:r>
      <w:r>
        <w:t>connecting</w:t>
      </w:r>
      <w:r>
        <w:rPr>
          <w:spacing w:val="36"/>
        </w:rPr>
        <w:t xml:space="preserve"> </w:t>
      </w:r>
      <w:r>
        <w:t>clients</w:t>
      </w:r>
      <w:r>
        <w:rPr>
          <w:spacing w:val="34"/>
        </w:rPr>
        <w:t xml:space="preserve"> </w:t>
      </w:r>
      <w:r>
        <w:t>to</w:t>
      </w:r>
      <w:r>
        <w:rPr>
          <w:spacing w:val="36"/>
        </w:rPr>
        <w:t xml:space="preserve"> </w:t>
      </w:r>
      <w:r>
        <w:t>LGBTQ-friendly</w:t>
      </w:r>
      <w:r>
        <w:rPr>
          <w:spacing w:val="37"/>
        </w:rPr>
        <w:t xml:space="preserve"> </w:t>
      </w:r>
      <w:r>
        <w:t>resources</w:t>
      </w:r>
      <w:r>
        <w:rPr>
          <w:spacing w:val="36"/>
        </w:rPr>
        <w:t xml:space="preserve"> </w:t>
      </w:r>
      <w:r>
        <w:t>and</w:t>
      </w:r>
      <w:r>
        <w:rPr>
          <w:spacing w:val="35"/>
        </w:rPr>
        <w:t xml:space="preserve"> </w:t>
      </w:r>
      <w:r>
        <w:t>conducting</w:t>
      </w:r>
      <w:r>
        <w:rPr>
          <w:spacing w:val="36"/>
        </w:rPr>
        <w:t xml:space="preserve"> </w:t>
      </w:r>
      <w:r>
        <w:t>outreach</w:t>
      </w:r>
      <w:r>
        <w:rPr>
          <w:spacing w:val="36"/>
        </w:rPr>
        <w:t xml:space="preserve"> </w:t>
      </w:r>
      <w:r>
        <w:t>to</w:t>
      </w:r>
      <w:r>
        <w:rPr>
          <w:spacing w:val="36"/>
        </w:rPr>
        <w:t xml:space="preserve"> </w:t>
      </w:r>
      <w:r>
        <w:t>the</w:t>
      </w:r>
      <w:r>
        <w:rPr>
          <w:spacing w:val="36"/>
        </w:rPr>
        <w:t xml:space="preserve"> </w:t>
      </w:r>
      <w:r>
        <w:t xml:space="preserve">LGBTQ </w:t>
      </w:r>
      <w:r>
        <w:rPr>
          <w:spacing w:val="-2"/>
        </w:rPr>
        <w:t>community.</w:t>
      </w:r>
    </w:p>
    <w:p w:rsidR="00C76E6D" w:rsidRDefault="00C76E6D">
      <w:pPr>
        <w:pStyle w:val="BodyText"/>
        <w:spacing w:before="4"/>
        <w:rPr>
          <w:b/>
          <w:sz w:val="25"/>
        </w:rPr>
      </w:pPr>
    </w:p>
    <w:p w:rsidR="00C76E6D" w:rsidRDefault="00913831">
      <w:pPr>
        <w:pStyle w:val="BodyText"/>
        <w:spacing w:line="276" w:lineRule="auto"/>
        <w:ind w:left="626" w:right="332"/>
        <w:jc w:val="both"/>
      </w:pPr>
      <w:r>
        <w:t>The Commission and MCB have partnered in the past to ensure that the Commission’s resource map is accessible</w:t>
      </w:r>
      <w:r>
        <w:rPr>
          <w:spacing w:val="-11"/>
        </w:rPr>
        <w:t xml:space="preserve"> </w:t>
      </w:r>
      <w:r>
        <w:t>to</w:t>
      </w:r>
      <w:r>
        <w:rPr>
          <w:spacing w:val="-8"/>
        </w:rPr>
        <w:t xml:space="preserve"> </w:t>
      </w:r>
      <w:r>
        <w:t>people</w:t>
      </w:r>
      <w:r>
        <w:rPr>
          <w:spacing w:val="-12"/>
        </w:rPr>
        <w:t xml:space="preserve"> </w:t>
      </w:r>
      <w:r>
        <w:t>who</w:t>
      </w:r>
      <w:r>
        <w:rPr>
          <w:spacing w:val="-11"/>
        </w:rPr>
        <w:t xml:space="preserve"> </w:t>
      </w:r>
      <w:r>
        <w:t>are</w:t>
      </w:r>
      <w:r>
        <w:rPr>
          <w:spacing w:val="-13"/>
        </w:rPr>
        <w:t xml:space="preserve"> </w:t>
      </w:r>
      <w:r>
        <w:t>blind</w:t>
      </w:r>
      <w:r>
        <w:rPr>
          <w:spacing w:val="-11"/>
        </w:rPr>
        <w:t xml:space="preserve"> </w:t>
      </w:r>
      <w:r>
        <w:t>or</w:t>
      </w:r>
      <w:r>
        <w:rPr>
          <w:spacing w:val="-12"/>
        </w:rPr>
        <w:t xml:space="preserve"> </w:t>
      </w:r>
      <w:r>
        <w:t>visually</w:t>
      </w:r>
      <w:r>
        <w:rPr>
          <w:spacing w:val="-12"/>
        </w:rPr>
        <w:t xml:space="preserve"> </w:t>
      </w:r>
      <w:r>
        <w:t>impaired.</w:t>
      </w:r>
      <w:r>
        <w:rPr>
          <w:spacing w:val="-12"/>
        </w:rPr>
        <w:t xml:space="preserve"> </w:t>
      </w:r>
      <w:r>
        <w:t>With</w:t>
      </w:r>
      <w:r>
        <w:rPr>
          <w:spacing w:val="-10"/>
        </w:rPr>
        <w:t xml:space="preserve"> </w:t>
      </w:r>
      <w:r>
        <w:t>the</w:t>
      </w:r>
      <w:r>
        <w:rPr>
          <w:spacing w:val="-12"/>
        </w:rPr>
        <w:t xml:space="preserve"> </w:t>
      </w:r>
      <w:r>
        <w:t>creation</w:t>
      </w:r>
      <w:r>
        <w:rPr>
          <w:spacing w:val="-13"/>
        </w:rPr>
        <w:t xml:space="preserve"> </w:t>
      </w:r>
      <w:r>
        <w:t>of</w:t>
      </w:r>
      <w:r>
        <w:rPr>
          <w:spacing w:val="-9"/>
        </w:rPr>
        <w:t xml:space="preserve"> </w:t>
      </w:r>
      <w:r>
        <w:t>a</w:t>
      </w:r>
      <w:r>
        <w:rPr>
          <w:spacing w:val="-11"/>
        </w:rPr>
        <w:t xml:space="preserve"> </w:t>
      </w:r>
      <w:r>
        <w:t>new</w:t>
      </w:r>
      <w:r>
        <w:rPr>
          <w:spacing w:val="-13"/>
        </w:rPr>
        <w:t xml:space="preserve"> </w:t>
      </w:r>
      <w:r>
        <w:t>website</w:t>
      </w:r>
      <w:r>
        <w:rPr>
          <w:spacing w:val="-11"/>
        </w:rPr>
        <w:t xml:space="preserve"> </w:t>
      </w:r>
      <w:r>
        <w:t>to</w:t>
      </w:r>
      <w:r>
        <w:rPr>
          <w:spacing w:val="-10"/>
        </w:rPr>
        <w:t xml:space="preserve"> </w:t>
      </w:r>
      <w:r>
        <w:t>be</w:t>
      </w:r>
      <w:r>
        <w:rPr>
          <w:spacing w:val="-13"/>
        </w:rPr>
        <w:t xml:space="preserve"> </w:t>
      </w:r>
      <w:r>
        <w:t>launched at the beginning of FY 2023, the Commission looks forward to feedback from MCB to ensure the accessibility of its new resource database. Additionally, the Commissi</w:t>
      </w:r>
      <w:r>
        <w:t>on looks forward to collaborating with MCB in FY 2023 to conduct outreach to LGBTQ youth and young adults who are eligible for MCB services or could otherwise be connected to the agency (e.g., through internship opportunities), with particular attention to</w:t>
      </w:r>
      <w:r>
        <w:t xml:space="preserve"> underserved youth in the Commonwealth.</w:t>
      </w:r>
    </w:p>
    <w:p w:rsidR="00C76E6D" w:rsidRDefault="00913831">
      <w:pPr>
        <w:pStyle w:val="BodyText"/>
        <w:spacing w:before="2"/>
      </w:pPr>
      <w:r>
        <w:pict>
          <v:shape id="docshape372" o:spid="_x0000_s1098" style="position:absolute;margin-left:70.6pt;margin-top:14.75pt;width:470.95pt;height:.1pt;z-index:-15654400;mso-wrap-distance-left:0;mso-wrap-distance-right:0;mso-position-horizontal-relative:page" coordorigin="1412,295" coordsize="9419,0" path="m1412,295r9419,e" filled="f" strokeweight="1.54pt">
            <v:path arrowok="t"/>
            <w10:wrap type="topAndBottom" anchorx="page"/>
          </v:shape>
        </w:pict>
      </w:r>
    </w:p>
    <w:p w:rsidR="00C76E6D" w:rsidRDefault="00C76E6D">
      <w:pPr>
        <w:pStyle w:val="BodyText"/>
        <w:spacing w:before="10"/>
      </w:pPr>
    </w:p>
    <w:p w:rsidR="00C76E6D" w:rsidRDefault="00913831">
      <w:pPr>
        <w:pStyle w:val="Heading6"/>
        <w:ind w:left="3682" w:right="3683"/>
        <w:jc w:val="center"/>
      </w:pPr>
      <w:r>
        <w:rPr>
          <w:spacing w:val="-2"/>
        </w:rPr>
        <w:t>ENDNOTES</w:t>
      </w:r>
    </w:p>
    <w:p w:rsidR="00C76E6D" w:rsidRDefault="00913831">
      <w:pPr>
        <w:pStyle w:val="BodyText"/>
        <w:spacing w:before="8"/>
        <w:rPr>
          <w:b/>
          <w:sz w:val="25"/>
        </w:rPr>
      </w:pPr>
      <w:r>
        <w:pict>
          <v:shape id="docshape373" o:spid="_x0000_s1097" style="position:absolute;margin-left:70.6pt;margin-top:16.85pt;width:470.95pt;height:.1pt;z-index:-15653888;mso-wrap-distance-left:0;mso-wrap-distance-right:0;mso-position-horizontal-relative:page" coordorigin="1412,337" coordsize="9419,0" path="m1412,337r9419,e" filled="f" strokeweight="1.54pt">
            <v:path arrowok="t"/>
            <w10:wrap type="topAndBottom" anchorx="page"/>
          </v:shape>
        </w:pict>
      </w:r>
    </w:p>
    <w:p w:rsidR="00C76E6D" w:rsidRDefault="00C76E6D">
      <w:pPr>
        <w:pStyle w:val="BodyText"/>
        <w:rPr>
          <w:b/>
        </w:rPr>
      </w:pPr>
    </w:p>
    <w:p w:rsidR="00C76E6D" w:rsidRDefault="00C76E6D">
      <w:pPr>
        <w:pStyle w:val="BodyText"/>
        <w:rPr>
          <w:b/>
        </w:rPr>
      </w:pPr>
    </w:p>
    <w:p w:rsidR="00C76E6D" w:rsidRDefault="00C76E6D">
      <w:pPr>
        <w:pStyle w:val="BodyText"/>
        <w:spacing w:before="9"/>
        <w:rPr>
          <w:b/>
          <w:sz w:val="23"/>
        </w:rPr>
      </w:pPr>
    </w:p>
    <w:p w:rsidR="00C76E6D" w:rsidRDefault="00913831">
      <w:pPr>
        <w:ind w:left="338" w:right="1736"/>
        <w:rPr>
          <w:sz w:val="20"/>
        </w:rPr>
      </w:pPr>
      <w:bookmarkStart w:id="799" w:name="_bookmark574"/>
      <w:bookmarkEnd w:id="799"/>
      <w:r>
        <w:rPr>
          <w:sz w:val="20"/>
          <w:vertAlign w:val="superscript"/>
        </w:rPr>
        <w:t>1</w:t>
      </w:r>
      <w:r>
        <w:rPr>
          <w:spacing w:val="-7"/>
          <w:sz w:val="20"/>
        </w:rPr>
        <w:t xml:space="preserve"> </w:t>
      </w:r>
      <w:r>
        <w:rPr>
          <w:sz w:val="20"/>
        </w:rPr>
        <w:t>About</w:t>
      </w:r>
      <w:r>
        <w:rPr>
          <w:spacing w:val="-9"/>
          <w:sz w:val="20"/>
        </w:rPr>
        <w:t xml:space="preserve"> </w:t>
      </w:r>
      <w:r>
        <w:rPr>
          <w:sz w:val="20"/>
        </w:rPr>
        <w:t>Us.</w:t>
      </w:r>
      <w:r>
        <w:rPr>
          <w:spacing w:val="-10"/>
          <w:sz w:val="20"/>
        </w:rPr>
        <w:t xml:space="preserve"> </w:t>
      </w:r>
      <w:r>
        <w:rPr>
          <w:sz w:val="20"/>
        </w:rPr>
        <w:t>(2018).</w:t>
      </w:r>
      <w:r>
        <w:rPr>
          <w:spacing w:val="-8"/>
          <w:sz w:val="20"/>
        </w:rPr>
        <w:t xml:space="preserve"> </w:t>
      </w:r>
      <w:r>
        <w:rPr>
          <w:sz w:val="20"/>
        </w:rPr>
        <w:t>Blind</w:t>
      </w:r>
      <w:r>
        <w:rPr>
          <w:spacing w:val="-7"/>
          <w:sz w:val="20"/>
        </w:rPr>
        <w:t xml:space="preserve"> </w:t>
      </w:r>
      <w:r>
        <w:rPr>
          <w:sz w:val="20"/>
        </w:rPr>
        <w:t>LGBT</w:t>
      </w:r>
      <w:r>
        <w:rPr>
          <w:spacing w:val="-9"/>
          <w:sz w:val="20"/>
        </w:rPr>
        <w:t xml:space="preserve"> </w:t>
      </w:r>
      <w:r>
        <w:rPr>
          <w:sz w:val="20"/>
        </w:rPr>
        <w:t>Pride</w:t>
      </w:r>
      <w:r>
        <w:rPr>
          <w:spacing w:val="-8"/>
          <w:sz w:val="20"/>
        </w:rPr>
        <w:t xml:space="preserve"> </w:t>
      </w:r>
      <w:r>
        <w:rPr>
          <w:sz w:val="20"/>
        </w:rPr>
        <w:t>International.</w:t>
      </w:r>
      <w:r>
        <w:rPr>
          <w:spacing w:val="-9"/>
          <w:sz w:val="20"/>
        </w:rPr>
        <w:t xml:space="preserve"> </w:t>
      </w:r>
      <w:r>
        <w:rPr>
          <w:sz w:val="20"/>
        </w:rPr>
        <w:t>Retrieved</w:t>
      </w:r>
      <w:r>
        <w:rPr>
          <w:spacing w:val="-7"/>
          <w:sz w:val="20"/>
        </w:rPr>
        <w:t xml:space="preserve"> </w:t>
      </w:r>
      <w:r>
        <w:rPr>
          <w:sz w:val="20"/>
        </w:rPr>
        <w:t>from</w:t>
      </w:r>
      <w:r>
        <w:rPr>
          <w:spacing w:val="-11"/>
          <w:sz w:val="20"/>
        </w:rPr>
        <w:t xml:space="preserve"> </w:t>
      </w:r>
      <w:hyperlink r:id="rId409">
        <w:r>
          <w:rPr>
            <w:sz w:val="20"/>
          </w:rPr>
          <w:t>http://blindlgbtpride.org/about-us/</w:t>
        </w:r>
      </w:hyperlink>
      <w:r>
        <w:rPr>
          <w:sz w:val="20"/>
        </w:rPr>
        <w:t xml:space="preserve"> </w:t>
      </w:r>
      <w:bookmarkStart w:id="800" w:name="_bookmark575"/>
      <w:bookmarkEnd w:id="800"/>
      <w:r>
        <w:rPr>
          <w:sz w:val="20"/>
          <w:vertAlign w:val="superscript"/>
        </w:rPr>
        <w:t>2</w:t>
      </w:r>
      <w:r>
        <w:rPr>
          <w:sz w:val="20"/>
        </w:rPr>
        <w:t xml:space="preserve"> Upcoming events. (2018). Blind LGBT Pride International, Retrieved from </w:t>
      </w:r>
      <w:hyperlink r:id="rId410">
        <w:r>
          <w:rPr>
            <w:spacing w:val="-2"/>
            <w:sz w:val="20"/>
          </w:rPr>
          <w:t>http://blindlgbtpride.org/events/categories/upcoming/</w:t>
        </w:r>
      </w:hyperlink>
    </w:p>
    <w:p w:rsidR="00C76E6D" w:rsidRDefault="00C76E6D">
      <w:pPr>
        <w:rPr>
          <w:sz w:val="20"/>
        </w:rPr>
        <w:sectPr w:rsidR="00C76E6D">
          <w:pgSz w:w="12240" w:h="15840"/>
          <w:pgMar w:top="1020" w:right="960" w:bottom="640" w:left="960" w:header="832" w:footer="440" w:gutter="0"/>
          <w:cols w:space="720"/>
        </w:sectPr>
      </w:pPr>
    </w:p>
    <w:p w:rsidR="00C76E6D" w:rsidRDefault="00C76E6D">
      <w:pPr>
        <w:pStyle w:val="BodyText"/>
        <w:spacing w:before="3"/>
        <w:rPr>
          <w:sz w:val="24"/>
        </w:rPr>
      </w:pPr>
    </w:p>
    <w:p w:rsidR="00C76E6D" w:rsidRDefault="00913831">
      <w:pPr>
        <w:pStyle w:val="Heading2"/>
        <w:spacing w:before="35"/>
      </w:pPr>
      <w:bookmarkStart w:id="801" w:name="Massachusetts_Commission_for_the_Deaf_an"/>
      <w:bookmarkStart w:id="802" w:name="_bookmark576"/>
      <w:bookmarkEnd w:id="801"/>
      <w:bookmarkEnd w:id="802"/>
      <w:r>
        <w:t>Massachusetts</w:t>
      </w:r>
      <w:r>
        <w:rPr>
          <w:spacing w:val="-8"/>
        </w:rPr>
        <w:t xml:space="preserve"> </w:t>
      </w:r>
      <w:r>
        <w:t>Commission</w:t>
      </w:r>
      <w:r>
        <w:rPr>
          <w:spacing w:val="-7"/>
        </w:rPr>
        <w:t xml:space="preserve"> </w:t>
      </w:r>
      <w:r>
        <w:t>for</w:t>
      </w:r>
      <w:r>
        <w:rPr>
          <w:spacing w:val="-7"/>
        </w:rPr>
        <w:t xml:space="preserve"> </w:t>
      </w:r>
      <w:r>
        <w:t>the</w:t>
      </w:r>
      <w:r>
        <w:rPr>
          <w:spacing w:val="-6"/>
        </w:rPr>
        <w:t xml:space="preserve"> </w:t>
      </w:r>
      <w:r>
        <w:t>Deaf</w:t>
      </w:r>
      <w:r>
        <w:rPr>
          <w:spacing w:val="-7"/>
        </w:rPr>
        <w:t xml:space="preserve"> </w:t>
      </w:r>
      <w:r>
        <w:t>and</w:t>
      </w:r>
      <w:r>
        <w:rPr>
          <w:spacing w:val="-7"/>
        </w:rPr>
        <w:t xml:space="preserve"> </w:t>
      </w:r>
      <w:r>
        <w:t>Hard</w:t>
      </w:r>
      <w:r>
        <w:rPr>
          <w:spacing w:val="-7"/>
        </w:rPr>
        <w:t xml:space="preserve"> </w:t>
      </w:r>
      <w:r>
        <w:t>of</w:t>
      </w:r>
      <w:r>
        <w:rPr>
          <w:spacing w:val="-6"/>
        </w:rPr>
        <w:t xml:space="preserve"> </w:t>
      </w:r>
      <w:r>
        <w:rPr>
          <w:spacing w:val="-2"/>
        </w:rPr>
        <w:t>Hearing</w:t>
      </w:r>
    </w:p>
    <w:p w:rsidR="00C76E6D" w:rsidRDefault="00913831">
      <w:pPr>
        <w:pStyle w:val="BodyText"/>
        <w:rPr>
          <w:b/>
          <w:sz w:val="12"/>
        </w:rPr>
      </w:pPr>
      <w:r>
        <w:pict>
          <v:shape id="docshape377" o:spid="_x0000_s1096" style="position:absolute;margin-left:65pt;margin-top:8.55pt;width:476.95pt;height:.1pt;z-index:-15653376;mso-wrap-distance-left:0;mso-wrap-distance-right:0;mso-position-horizontal-relative:page" coordorigin="1300,171" coordsize="9539,0" path="m1300,171r9539,e" filled="f" strokeweight="1.54pt">
            <v:path arrowok="t"/>
            <w10:wrap type="topAndBottom" anchorx="page"/>
          </v:shape>
        </w:pict>
      </w:r>
    </w:p>
    <w:p w:rsidR="00C76E6D" w:rsidRDefault="00913831">
      <w:pPr>
        <w:pStyle w:val="Heading5"/>
        <w:spacing w:before="182"/>
      </w:pPr>
      <w:r>
        <w:rPr>
          <w:spacing w:val="-2"/>
        </w:rPr>
        <w:t>FY2023</w:t>
      </w:r>
      <w:r>
        <w:rPr>
          <w:spacing w:val="-4"/>
        </w:rPr>
        <w:t xml:space="preserve"> </w:t>
      </w:r>
      <w:r>
        <w:rPr>
          <w:spacing w:val="-2"/>
        </w:rPr>
        <w:t>Recommendations</w:t>
      </w:r>
    </w:p>
    <w:p w:rsidR="00C76E6D" w:rsidRDefault="00C76E6D">
      <w:pPr>
        <w:pStyle w:val="BodyText"/>
        <w:spacing w:before="10"/>
        <w:rPr>
          <w:b/>
          <w:sz w:val="33"/>
        </w:rPr>
      </w:pPr>
    </w:p>
    <w:p w:rsidR="00C76E6D" w:rsidRDefault="00913831">
      <w:pPr>
        <w:pStyle w:val="ListParagraph"/>
        <w:numPr>
          <w:ilvl w:val="1"/>
          <w:numId w:val="14"/>
        </w:numPr>
        <w:tabs>
          <w:tab w:val="left" w:pos="843"/>
        </w:tabs>
        <w:ind w:hanging="217"/>
      </w:pPr>
      <w:r>
        <w:rPr>
          <w:spacing w:val="-2"/>
        </w:rPr>
        <w:t>Review</w:t>
      </w:r>
      <w:r>
        <w:rPr>
          <w:spacing w:val="-6"/>
        </w:rPr>
        <w:t xml:space="preserve"> </w:t>
      </w:r>
      <w:r>
        <w:rPr>
          <w:spacing w:val="-2"/>
        </w:rPr>
        <w:t>and</w:t>
      </w:r>
      <w:r>
        <w:rPr>
          <w:spacing w:val="-4"/>
        </w:rPr>
        <w:t xml:space="preserve"> </w:t>
      </w:r>
      <w:r>
        <w:rPr>
          <w:spacing w:val="-2"/>
        </w:rPr>
        <w:t>continue</w:t>
      </w:r>
      <w:r>
        <w:rPr>
          <w:spacing w:val="-4"/>
        </w:rPr>
        <w:t xml:space="preserve"> </w:t>
      </w:r>
      <w:r>
        <w:rPr>
          <w:spacing w:val="-2"/>
        </w:rPr>
        <w:t>to</w:t>
      </w:r>
      <w:r>
        <w:rPr>
          <w:spacing w:val="-1"/>
        </w:rPr>
        <w:t xml:space="preserve"> </w:t>
      </w:r>
      <w:r>
        <w:rPr>
          <w:spacing w:val="-2"/>
        </w:rPr>
        <w:t>evaluate</w:t>
      </w:r>
      <w:r>
        <w:rPr>
          <w:spacing w:val="-4"/>
        </w:rPr>
        <w:t xml:space="preserve"> </w:t>
      </w:r>
      <w:r>
        <w:rPr>
          <w:spacing w:val="-2"/>
        </w:rPr>
        <w:t>how</w:t>
      </w:r>
      <w:r>
        <w:rPr>
          <w:spacing w:val="-4"/>
        </w:rPr>
        <w:t xml:space="preserve"> </w:t>
      </w:r>
      <w:r>
        <w:rPr>
          <w:spacing w:val="-2"/>
        </w:rPr>
        <w:t>to add</w:t>
      </w:r>
      <w:r>
        <w:rPr>
          <w:spacing w:val="-4"/>
        </w:rPr>
        <w:t xml:space="preserve"> </w:t>
      </w:r>
      <w:r>
        <w:rPr>
          <w:spacing w:val="-2"/>
        </w:rPr>
        <w:t>to</w:t>
      </w:r>
      <w:r>
        <w:rPr>
          <w:spacing w:val="-3"/>
        </w:rPr>
        <w:t xml:space="preserve"> </w:t>
      </w:r>
      <w:r>
        <w:rPr>
          <w:spacing w:val="-2"/>
        </w:rPr>
        <w:t>data</w:t>
      </w:r>
      <w:r>
        <w:rPr>
          <w:spacing w:val="-4"/>
        </w:rPr>
        <w:t xml:space="preserve"> </w:t>
      </w:r>
      <w:r>
        <w:rPr>
          <w:spacing w:val="-2"/>
        </w:rPr>
        <w:t>on</w:t>
      </w:r>
      <w:r>
        <w:rPr>
          <w:spacing w:val="-5"/>
        </w:rPr>
        <w:t xml:space="preserve"> </w:t>
      </w:r>
      <w:r>
        <w:rPr>
          <w:spacing w:val="-2"/>
        </w:rPr>
        <w:t>sexual</w:t>
      </w:r>
      <w:r>
        <w:rPr>
          <w:spacing w:val="-4"/>
        </w:rPr>
        <w:t xml:space="preserve"> </w:t>
      </w:r>
      <w:r>
        <w:rPr>
          <w:spacing w:val="-2"/>
        </w:rPr>
        <w:t>orientation</w:t>
      </w:r>
      <w:r>
        <w:rPr>
          <w:spacing w:val="-4"/>
        </w:rPr>
        <w:t xml:space="preserve"> </w:t>
      </w:r>
      <w:r>
        <w:rPr>
          <w:spacing w:val="-2"/>
        </w:rPr>
        <w:t>and</w:t>
      </w:r>
      <w:r>
        <w:rPr>
          <w:spacing w:val="-4"/>
        </w:rPr>
        <w:t xml:space="preserve"> </w:t>
      </w:r>
      <w:r>
        <w:rPr>
          <w:spacing w:val="-2"/>
        </w:rPr>
        <w:t>gender</w:t>
      </w:r>
      <w:r>
        <w:rPr>
          <w:spacing w:val="-3"/>
        </w:rPr>
        <w:t xml:space="preserve"> </w:t>
      </w:r>
      <w:r>
        <w:rPr>
          <w:spacing w:val="-2"/>
        </w:rPr>
        <w:t>identity.</w:t>
      </w:r>
    </w:p>
    <w:p w:rsidR="00C76E6D" w:rsidRDefault="00C76E6D">
      <w:pPr>
        <w:pStyle w:val="BodyText"/>
        <w:spacing w:before="8"/>
        <w:rPr>
          <w:sz w:val="28"/>
        </w:rPr>
      </w:pPr>
    </w:p>
    <w:p w:rsidR="00C76E6D" w:rsidRDefault="00913831">
      <w:pPr>
        <w:pStyle w:val="ListParagraph"/>
        <w:numPr>
          <w:ilvl w:val="1"/>
          <w:numId w:val="14"/>
        </w:numPr>
        <w:tabs>
          <w:tab w:val="left" w:pos="843"/>
        </w:tabs>
        <w:ind w:hanging="217"/>
      </w:pPr>
      <w:r>
        <w:rPr>
          <w:w w:val="95"/>
        </w:rPr>
        <w:t>Provide</w:t>
      </w:r>
      <w:r>
        <w:rPr>
          <w:spacing w:val="12"/>
        </w:rPr>
        <w:t xml:space="preserve"> </w:t>
      </w:r>
      <w:r>
        <w:rPr>
          <w:w w:val="95"/>
        </w:rPr>
        <w:t>LGBTQ</w:t>
      </w:r>
      <w:r>
        <w:rPr>
          <w:spacing w:val="16"/>
        </w:rPr>
        <w:t xml:space="preserve"> </w:t>
      </w:r>
      <w:r>
        <w:rPr>
          <w:w w:val="95"/>
        </w:rPr>
        <w:t>competency</w:t>
      </w:r>
      <w:r>
        <w:rPr>
          <w:spacing w:val="15"/>
        </w:rPr>
        <w:t xml:space="preserve"> </w:t>
      </w:r>
      <w:r>
        <w:rPr>
          <w:w w:val="95"/>
        </w:rPr>
        <w:t>training</w:t>
      </w:r>
      <w:r>
        <w:rPr>
          <w:spacing w:val="14"/>
        </w:rPr>
        <w:t xml:space="preserve"> </w:t>
      </w:r>
      <w:r>
        <w:rPr>
          <w:w w:val="95"/>
        </w:rPr>
        <w:t>opportunities</w:t>
      </w:r>
      <w:r>
        <w:rPr>
          <w:spacing w:val="17"/>
        </w:rPr>
        <w:t xml:space="preserve"> </w:t>
      </w:r>
      <w:r>
        <w:rPr>
          <w:w w:val="95"/>
        </w:rPr>
        <w:t>to</w:t>
      </w:r>
      <w:r>
        <w:rPr>
          <w:spacing w:val="19"/>
        </w:rPr>
        <w:t xml:space="preserve"> </w:t>
      </w:r>
      <w:r>
        <w:rPr>
          <w:w w:val="95"/>
        </w:rPr>
        <w:t>staff</w:t>
      </w:r>
      <w:r>
        <w:rPr>
          <w:spacing w:val="14"/>
        </w:rPr>
        <w:t xml:space="preserve"> </w:t>
      </w:r>
      <w:r>
        <w:rPr>
          <w:w w:val="95"/>
        </w:rPr>
        <w:t>and</w:t>
      </w:r>
      <w:r>
        <w:rPr>
          <w:spacing w:val="14"/>
        </w:rPr>
        <w:t xml:space="preserve"> </w:t>
      </w:r>
      <w:r>
        <w:rPr>
          <w:spacing w:val="-2"/>
          <w:w w:val="95"/>
        </w:rPr>
        <w:t>providers.</w:t>
      </w:r>
    </w:p>
    <w:p w:rsidR="00C76E6D" w:rsidRDefault="00C76E6D">
      <w:pPr>
        <w:pStyle w:val="BodyText"/>
        <w:spacing w:before="5"/>
        <w:rPr>
          <w:sz w:val="28"/>
        </w:rPr>
      </w:pPr>
    </w:p>
    <w:p w:rsidR="00C76E6D" w:rsidRDefault="00913831">
      <w:pPr>
        <w:pStyle w:val="ListParagraph"/>
        <w:numPr>
          <w:ilvl w:val="1"/>
          <w:numId w:val="14"/>
        </w:numPr>
        <w:tabs>
          <w:tab w:val="left" w:pos="840"/>
        </w:tabs>
        <w:spacing w:line="276" w:lineRule="auto"/>
        <w:ind w:left="627" w:right="510" w:hanging="1"/>
      </w:pPr>
      <w:r>
        <w:t>Continue</w:t>
      </w:r>
      <w:r>
        <w:rPr>
          <w:spacing w:val="-9"/>
        </w:rPr>
        <w:t xml:space="preserve"> </w:t>
      </w:r>
      <w:r>
        <w:t>partnering</w:t>
      </w:r>
      <w:r>
        <w:rPr>
          <w:spacing w:val="-13"/>
        </w:rPr>
        <w:t xml:space="preserve"> </w:t>
      </w:r>
      <w:r>
        <w:t>with</w:t>
      </w:r>
      <w:r>
        <w:rPr>
          <w:spacing w:val="-11"/>
        </w:rPr>
        <w:t xml:space="preserve"> </w:t>
      </w:r>
      <w:r>
        <w:t>the</w:t>
      </w:r>
      <w:r>
        <w:rPr>
          <w:spacing w:val="-10"/>
        </w:rPr>
        <w:t xml:space="preserve"> </w:t>
      </w:r>
      <w:r>
        <w:t>Commission</w:t>
      </w:r>
      <w:r>
        <w:rPr>
          <w:spacing w:val="-12"/>
        </w:rPr>
        <w:t xml:space="preserve"> </w:t>
      </w:r>
      <w:r>
        <w:t>to</w:t>
      </w:r>
      <w:r>
        <w:rPr>
          <w:spacing w:val="-11"/>
        </w:rPr>
        <w:t xml:space="preserve"> </w:t>
      </w:r>
      <w:r>
        <w:t>share</w:t>
      </w:r>
      <w:r>
        <w:rPr>
          <w:spacing w:val="-11"/>
        </w:rPr>
        <w:t xml:space="preserve"> </w:t>
      </w:r>
      <w:r>
        <w:t>resources</w:t>
      </w:r>
      <w:r>
        <w:rPr>
          <w:spacing w:val="-11"/>
        </w:rPr>
        <w:t xml:space="preserve"> </w:t>
      </w:r>
      <w:r>
        <w:t>and</w:t>
      </w:r>
      <w:r>
        <w:rPr>
          <w:spacing w:val="-11"/>
        </w:rPr>
        <w:t xml:space="preserve"> </w:t>
      </w:r>
      <w:r>
        <w:t>information</w:t>
      </w:r>
      <w:r>
        <w:rPr>
          <w:spacing w:val="-11"/>
        </w:rPr>
        <w:t xml:space="preserve"> </w:t>
      </w:r>
      <w:r>
        <w:t>among</w:t>
      </w:r>
      <w:r>
        <w:rPr>
          <w:spacing w:val="-9"/>
        </w:rPr>
        <w:t xml:space="preserve"> </w:t>
      </w:r>
      <w:r>
        <w:t>MCDHH’s</w:t>
      </w:r>
      <w:r>
        <w:rPr>
          <w:spacing w:val="-10"/>
        </w:rPr>
        <w:t xml:space="preserve"> </w:t>
      </w:r>
      <w:r>
        <w:t>client and provider populations.</w:t>
      </w:r>
    </w:p>
    <w:p w:rsidR="00C76E6D" w:rsidRDefault="00C76E6D">
      <w:pPr>
        <w:pStyle w:val="BodyText"/>
      </w:pPr>
    </w:p>
    <w:p w:rsidR="00C76E6D" w:rsidRDefault="00C76E6D">
      <w:pPr>
        <w:pStyle w:val="BodyText"/>
        <w:spacing w:before="1"/>
        <w:rPr>
          <w:sz w:val="23"/>
        </w:rPr>
      </w:pPr>
    </w:p>
    <w:p w:rsidR="00C76E6D" w:rsidRDefault="00913831">
      <w:pPr>
        <w:pStyle w:val="Heading5"/>
      </w:pPr>
      <w:r>
        <w:t>Background</w:t>
      </w:r>
      <w:r>
        <w:rPr>
          <w:spacing w:val="-15"/>
        </w:rPr>
        <w:t xml:space="preserve"> </w:t>
      </w:r>
      <w:r>
        <w:t>&amp;</w:t>
      </w:r>
      <w:r>
        <w:rPr>
          <w:spacing w:val="-6"/>
        </w:rPr>
        <w:t xml:space="preserve"> </w:t>
      </w:r>
      <w:r>
        <w:rPr>
          <w:spacing w:val="-2"/>
        </w:rPr>
        <w:t>Research</w:t>
      </w:r>
    </w:p>
    <w:p w:rsidR="00C76E6D" w:rsidRDefault="00913831">
      <w:pPr>
        <w:pStyle w:val="BodyText"/>
        <w:spacing w:before="3"/>
        <w:rPr>
          <w:b/>
          <w:sz w:val="11"/>
        </w:rPr>
      </w:pPr>
      <w:r>
        <w:pict>
          <v:shape id="docshape378" o:spid="_x0000_s1095" style="position:absolute;margin-left:65pt;margin-top:8.1pt;width:476.95pt;height:.1pt;z-index:-15652864;mso-wrap-distance-left:0;mso-wrap-distance-right:0;mso-position-horizontal-relative:page" coordorigin="1300,162" coordsize="9539,0" path="m1300,162r9539,e" filled="f" strokeweight="1.54pt">
            <v:path arrowok="t"/>
            <w10:wrap type="topAndBottom" anchorx="page"/>
          </v:shape>
        </w:pict>
      </w:r>
    </w:p>
    <w:p w:rsidR="00C76E6D" w:rsidRDefault="00C76E6D">
      <w:pPr>
        <w:pStyle w:val="BodyText"/>
        <w:spacing w:before="11"/>
        <w:rPr>
          <w:b/>
        </w:rPr>
      </w:pPr>
    </w:p>
    <w:p w:rsidR="00C76E6D" w:rsidRDefault="00913831">
      <w:pPr>
        <w:pStyle w:val="BodyText"/>
        <w:spacing w:line="276" w:lineRule="auto"/>
        <w:ind w:left="338" w:right="331" w:hanging="1"/>
        <w:jc w:val="both"/>
      </w:pPr>
      <w:r>
        <w:rPr>
          <w:sz w:val="24"/>
        </w:rPr>
        <w:t xml:space="preserve">The </w:t>
      </w:r>
      <w:r>
        <w:t>Massachusetts Commission for the Deaf and Hard of Hearing (MCDHH) is the principal agency in the Commonwealth</w:t>
      </w:r>
      <w:r>
        <w:rPr>
          <w:spacing w:val="-3"/>
        </w:rPr>
        <w:t xml:space="preserve"> </w:t>
      </w:r>
      <w:r>
        <w:t>that</w:t>
      </w:r>
      <w:r>
        <w:rPr>
          <w:spacing w:val="-5"/>
        </w:rPr>
        <w:t xml:space="preserve"> </w:t>
      </w:r>
      <w:r>
        <w:t>works</w:t>
      </w:r>
      <w:r>
        <w:rPr>
          <w:spacing w:val="-4"/>
        </w:rPr>
        <w:t xml:space="preserve"> </w:t>
      </w:r>
      <w:r>
        <w:t>on</w:t>
      </w:r>
      <w:r>
        <w:rPr>
          <w:spacing w:val="-4"/>
        </w:rPr>
        <w:t xml:space="preserve"> </w:t>
      </w:r>
      <w:r>
        <w:t>behalf</w:t>
      </w:r>
      <w:r>
        <w:rPr>
          <w:spacing w:val="-3"/>
        </w:rPr>
        <w:t xml:space="preserve"> </w:t>
      </w:r>
      <w:r>
        <w:t>of</w:t>
      </w:r>
      <w:r>
        <w:rPr>
          <w:spacing w:val="-4"/>
        </w:rPr>
        <w:t xml:space="preserve"> </w:t>
      </w:r>
      <w:r>
        <w:t>people</w:t>
      </w:r>
      <w:r>
        <w:rPr>
          <w:spacing w:val="-3"/>
        </w:rPr>
        <w:t xml:space="preserve"> </w:t>
      </w:r>
      <w:r>
        <w:t>of</w:t>
      </w:r>
      <w:r>
        <w:rPr>
          <w:spacing w:val="-4"/>
        </w:rPr>
        <w:t xml:space="preserve"> </w:t>
      </w:r>
      <w:r>
        <w:t>al</w:t>
      </w:r>
      <w:r>
        <w:t>l</w:t>
      </w:r>
      <w:r>
        <w:rPr>
          <w:spacing w:val="-2"/>
        </w:rPr>
        <w:t xml:space="preserve"> </w:t>
      </w:r>
      <w:r>
        <w:t>ages</w:t>
      </w:r>
      <w:r>
        <w:rPr>
          <w:spacing w:val="-3"/>
        </w:rPr>
        <w:t xml:space="preserve"> </w:t>
      </w:r>
      <w:r>
        <w:t>who</w:t>
      </w:r>
      <w:r>
        <w:rPr>
          <w:spacing w:val="-4"/>
        </w:rPr>
        <w:t xml:space="preserve"> </w:t>
      </w:r>
      <w:r>
        <w:t>are</w:t>
      </w:r>
      <w:r>
        <w:rPr>
          <w:spacing w:val="-3"/>
        </w:rPr>
        <w:t xml:space="preserve"> </w:t>
      </w:r>
      <w:r>
        <w:t>deaf</w:t>
      </w:r>
      <w:r>
        <w:rPr>
          <w:spacing w:val="-4"/>
        </w:rPr>
        <w:t xml:space="preserve"> </w:t>
      </w:r>
      <w:r>
        <w:t>and</w:t>
      </w:r>
      <w:r>
        <w:rPr>
          <w:spacing w:val="-3"/>
        </w:rPr>
        <w:t xml:space="preserve"> </w:t>
      </w:r>
      <w:r>
        <w:t>hard</w:t>
      </w:r>
      <w:r>
        <w:rPr>
          <w:spacing w:val="-4"/>
        </w:rPr>
        <w:t xml:space="preserve"> </w:t>
      </w:r>
      <w:r>
        <w:t>of</w:t>
      </w:r>
      <w:r>
        <w:rPr>
          <w:spacing w:val="-4"/>
        </w:rPr>
        <w:t xml:space="preserve"> </w:t>
      </w:r>
      <w:r>
        <w:t>hearing.</w:t>
      </w:r>
      <w:r>
        <w:rPr>
          <w:spacing w:val="-2"/>
        </w:rPr>
        <w:t xml:space="preserve"> </w:t>
      </w:r>
      <w:r>
        <w:t>Although</w:t>
      </w:r>
      <w:r>
        <w:rPr>
          <w:spacing w:val="-2"/>
        </w:rPr>
        <w:t xml:space="preserve"> </w:t>
      </w:r>
      <w:r>
        <w:t>there is</w:t>
      </w:r>
      <w:r>
        <w:rPr>
          <w:spacing w:val="-6"/>
        </w:rPr>
        <w:t xml:space="preserve"> </w:t>
      </w:r>
      <w:r>
        <w:t>limited</w:t>
      </w:r>
      <w:r>
        <w:rPr>
          <w:spacing w:val="-6"/>
        </w:rPr>
        <w:t xml:space="preserve"> </w:t>
      </w:r>
      <w:r>
        <w:t>data</w:t>
      </w:r>
      <w:r>
        <w:rPr>
          <w:spacing w:val="-6"/>
        </w:rPr>
        <w:t xml:space="preserve"> </w:t>
      </w:r>
      <w:r>
        <w:t>available</w:t>
      </w:r>
      <w:r>
        <w:rPr>
          <w:spacing w:val="-7"/>
        </w:rPr>
        <w:t xml:space="preserve"> </w:t>
      </w:r>
      <w:r>
        <w:t>on</w:t>
      </w:r>
      <w:r>
        <w:rPr>
          <w:spacing w:val="-6"/>
        </w:rPr>
        <w:t xml:space="preserve"> </w:t>
      </w:r>
      <w:r>
        <w:t>the</w:t>
      </w:r>
      <w:r>
        <w:rPr>
          <w:spacing w:val="-7"/>
        </w:rPr>
        <w:t xml:space="preserve"> </w:t>
      </w:r>
      <w:r>
        <w:t>intersections</w:t>
      </w:r>
      <w:r>
        <w:rPr>
          <w:spacing w:val="-6"/>
        </w:rPr>
        <w:t xml:space="preserve"> </w:t>
      </w:r>
      <w:r>
        <w:t>of</w:t>
      </w:r>
      <w:r>
        <w:rPr>
          <w:spacing w:val="-6"/>
        </w:rPr>
        <w:t xml:space="preserve"> </w:t>
      </w:r>
      <w:r>
        <w:t>LGBTQ</w:t>
      </w:r>
      <w:r>
        <w:rPr>
          <w:spacing w:val="-7"/>
        </w:rPr>
        <w:t xml:space="preserve"> </w:t>
      </w:r>
      <w:r>
        <w:t>identities</w:t>
      </w:r>
      <w:r>
        <w:rPr>
          <w:spacing w:val="-5"/>
        </w:rPr>
        <w:t xml:space="preserve"> </w:t>
      </w:r>
      <w:r>
        <w:t>with</w:t>
      </w:r>
      <w:r>
        <w:rPr>
          <w:spacing w:val="-7"/>
        </w:rPr>
        <w:t xml:space="preserve"> </w:t>
      </w:r>
      <w:r>
        <w:t>Deaf</w:t>
      </w:r>
      <w:r>
        <w:rPr>
          <w:spacing w:val="-6"/>
        </w:rPr>
        <w:t xml:space="preserve"> </w:t>
      </w:r>
      <w:r>
        <w:t>and</w:t>
      </w:r>
      <w:r>
        <w:rPr>
          <w:spacing w:val="-7"/>
        </w:rPr>
        <w:t xml:space="preserve"> </w:t>
      </w:r>
      <w:r>
        <w:t>hard</w:t>
      </w:r>
      <w:r>
        <w:rPr>
          <w:spacing w:val="-7"/>
        </w:rPr>
        <w:t xml:space="preserve"> </w:t>
      </w:r>
      <w:r>
        <w:t>of</w:t>
      </w:r>
      <w:r>
        <w:rPr>
          <w:spacing w:val="-5"/>
        </w:rPr>
        <w:t xml:space="preserve"> </w:t>
      </w:r>
      <w:r>
        <w:t>hearing</w:t>
      </w:r>
      <w:r>
        <w:rPr>
          <w:spacing w:val="-7"/>
        </w:rPr>
        <w:t xml:space="preserve"> </w:t>
      </w:r>
      <w:r>
        <w:t>communities, the available research suggests that LGBTQ Deaf and hard of hearing youth experience unique challenges. Both LGBTQ and Deaf and hard of hearing individuals experience risks for sexual violence and HIV transmission,</w:t>
      </w:r>
      <w:r>
        <w:rPr>
          <w:spacing w:val="-13"/>
        </w:rPr>
        <w:t xml:space="preserve"> </w:t>
      </w:r>
      <w:r>
        <w:t>and</w:t>
      </w:r>
      <w:r>
        <w:rPr>
          <w:spacing w:val="-12"/>
        </w:rPr>
        <w:t xml:space="preserve"> </w:t>
      </w:r>
      <w:r>
        <w:t>accurate</w:t>
      </w:r>
      <w:r>
        <w:rPr>
          <w:spacing w:val="-13"/>
        </w:rPr>
        <w:t xml:space="preserve"> </w:t>
      </w:r>
      <w:r>
        <w:t>and</w:t>
      </w:r>
      <w:r>
        <w:rPr>
          <w:spacing w:val="-12"/>
        </w:rPr>
        <w:t xml:space="preserve"> </w:t>
      </w:r>
      <w:r>
        <w:t>culturally</w:t>
      </w:r>
      <w:r>
        <w:rPr>
          <w:spacing w:val="-13"/>
        </w:rPr>
        <w:t xml:space="preserve"> </w:t>
      </w:r>
      <w:r>
        <w:t>competent</w:t>
      </w:r>
      <w:r>
        <w:rPr>
          <w:spacing w:val="-12"/>
        </w:rPr>
        <w:t xml:space="preserve"> </w:t>
      </w:r>
      <w:r>
        <w:t>sexual</w:t>
      </w:r>
      <w:r>
        <w:rPr>
          <w:spacing w:val="-13"/>
        </w:rPr>
        <w:t xml:space="preserve"> </w:t>
      </w:r>
      <w:r>
        <w:t>health</w:t>
      </w:r>
      <w:r>
        <w:rPr>
          <w:spacing w:val="-12"/>
        </w:rPr>
        <w:t xml:space="preserve"> </w:t>
      </w:r>
      <w:r>
        <w:t>information</w:t>
      </w:r>
      <w:r>
        <w:rPr>
          <w:spacing w:val="-12"/>
        </w:rPr>
        <w:t xml:space="preserve"> </w:t>
      </w:r>
      <w:r>
        <w:t>is</w:t>
      </w:r>
      <w:r>
        <w:rPr>
          <w:spacing w:val="-13"/>
        </w:rPr>
        <w:t xml:space="preserve"> </w:t>
      </w:r>
      <w:r>
        <w:t>often</w:t>
      </w:r>
      <w:r>
        <w:rPr>
          <w:spacing w:val="-12"/>
        </w:rPr>
        <w:t xml:space="preserve"> </w:t>
      </w:r>
      <w:r>
        <w:t>unavailable</w:t>
      </w:r>
      <w:r>
        <w:rPr>
          <w:spacing w:val="-13"/>
        </w:rPr>
        <w:t xml:space="preserve"> </w:t>
      </w:r>
      <w:r>
        <w:t>in</w:t>
      </w:r>
      <w:r>
        <w:rPr>
          <w:spacing w:val="-12"/>
        </w:rPr>
        <w:t xml:space="preserve"> </w:t>
      </w:r>
      <w:r>
        <w:t>formats accessible to this community</w:t>
      </w:r>
      <w:hyperlink w:anchor="_bookmark577" w:history="1">
        <w:r>
          <w:t>.</w:t>
        </w:r>
        <w:r>
          <w:rPr>
            <w:vertAlign w:val="superscript"/>
          </w:rPr>
          <w:t>1</w:t>
        </w:r>
        <w:r>
          <w:t xml:space="preserve"> </w:t>
        </w:r>
      </w:hyperlink>
      <w:r>
        <w:t>Such research speaks to a likely gap in inclusive resources and education for Deaf and hard of hearing youth on sexuality and</w:t>
      </w:r>
      <w:r>
        <w:t xml:space="preserve"> gender.</w:t>
      </w:r>
    </w:p>
    <w:p w:rsidR="00C76E6D" w:rsidRDefault="00C76E6D">
      <w:pPr>
        <w:pStyle w:val="BodyText"/>
        <w:spacing w:before="9"/>
        <w:rPr>
          <w:sz w:val="19"/>
        </w:rPr>
      </w:pPr>
    </w:p>
    <w:p w:rsidR="00C76E6D" w:rsidRDefault="00913831">
      <w:pPr>
        <w:pStyle w:val="BodyText"/>
        <w:spacing w:line="276" w:lineRule="auto"/>
        <w:ind w:left="338" w:right="335" w:hanging="1"/>
        <w:jc w:val="both"/>
      </w:pPr>
      <w:r>
        <w:t>In</w:t>
      </w:r>
      <w:r>
        <w:rPr>
          <w:spacing w:val="-7"/>
        </w:rPr>
        <w:t xml:space="preserve"> </w:t>
      </w:r>
      <w:r>
        <w:t>April</w:t>
      </w:r>
      <w:r>
        <w:rPr>
          <w:spacing w:val="-6"/>
        </w:rPr>
        <w:t xml:space="preserve"> </w:t>
      </w:r>
      <w:r>
        <w:t>2017,</w:t>
      </w:r>
      <w:r>
        <w:rPr>
          <w:spacing w:val="-6"/>
        </w:rPr>
        <w:t xml:space="preserve"> </w:t>
      </w:r>
      <w:r>
        <w:t>MCDHH</w:t>
      </w:r>
      <w:r>
        <w:rPr>
          <w:spacing w:val="-6"/>
        </w:rPr>
        <w:t xml:space="preserve"> </w:t>
      </w:r>
      <w:r>
        <w:t>issued</w:t>
      </w:r>
      <w:r>
        <w:rPr>
          <w:spacing w:val="-7"/>
        </w:rPr>
        <w:t xml:space="preserve"> </w:t>
      </w:r>
      <w:r>
        <w:t>a</w:t>
      </w:r>
      <w:r>
        <w:rPr>
          <w:spacing w:val="-6"/>
        </w:rPr>
        <w:t xml:space="preserve"> </w:t>
      </w:r>
      <w:r>
        <w:t>new</w:t>
      </w:r>
      <w:r>
        <w:rPr>
          <w:spacing w:val="-6"/>
        </w:rPr>
        <w:t xml:space="preserve"> </w:t>
      </w:r>
      <w:r>
        <w:t>nondiscrimination</w:t>
      </w:r>
      <w:r>
        <w:rPr>
          <w:spacing w:val="-7"/>
        </w:rPr>
        <w:t xml:space="preserve"> </w:t>
      </w:r>
      <w:r>
        <w:t>policy</w:t>
      </w:r>
      <w:r>
        <w:rPr>
          <w:spacing w:val="-6"/>
        </w:rPr>
        <w:t xml:space="preserve"> </w:t>
      </w:r>
      <w:r>
        <w:t>providing</w:t>
      </w:r>
      <w:r>
        <w:rPr>
          <w:spacing w:val="-6"/>
        </w:rPr>
        <w:t xml:space="preserve"> </w:t>
      </w:r>
      <w:r>
        <w:t>guidance</w:t>
      </w:r>
      <w:r>
        <w:rPr>
          <w:spacing w:val="-8"/>
        </w:rPr>
        <w:t xml:space="preserve"> </w:t>
      </w:r>
      <w:r>
        <w:t>for</w:t>
      </w:r>
      <w:r>
        <w:rPr>
          <w:spacing w:val="-6"/>
        </w:rPr>
        <w:t xml:space="preserve"> </w:t>
      </w:r>
      <w:r>
        <w:t>MCDHH</w:t>
      </w:r>
      <w:r>
        <w:rPr>
          <w:spacing w:val="-4"/>
        </w:rPr>
        <w:t xml:space="preserve"> </w:t>
      </w:r>
      <w:r>
        <w:t>staff</w:t>
      </w:r>
      <w:r>
        <w:rPr>
          <w:spacing w:val="-6"/>
        </w:rPr>
        <w:t xml:space="preserve"> </w:t>
      </w:r>
      <w:r>
        <w:t>and</w:t>
      </w:r>
      <w:r>
        <w:rPr>
          <w:spacing w:val="-6"/>
        </w:rPr>
        <w:t xml:space="preserve"> </w:t>
      </w:r>
      <w:r>
        <w:t>clients based on sexual orientation and gender identity. MCDHH has also taken steps to improve inclusivity in data systems, offer staff and provider training, and explore LGBTQ-related policy ideas. Given the dearth of data or policy on intersections of th</w:t>
      </w:r>
      <w:r>
        <w:t>e LGBTQ and Deaf and hard of hearing communities, Massachusetts has the opportunity to be a leader in this arena, and the Commission is confident that MCDHH can do so in partnership with the Commission.</w:t>
      </w:r>
    </w:p>
    <w:p w:rsidR="00C76E6D" w:rsidRDefault="00C76E6D">
      <w:pPr>
        <w:pStyle w:val="BodyText"/>
        <w:spacing w:before="3"/>
        <w:rPr>
          <w:sz w:val="25"/>
        </w:rPr>
      </w:pPr>
    </w:p>
    <w:p w:rsidR="00C76E6D" w:rsidRDefault="00913831">
      <w:pPr>
        <w:pStyle w:val="Heading5"/>
      </w:pPr>
      <w:r>
        <w:rPr>
          <w:spacing w:val="-2"/>
        </w:rPr>
        <w:t>Expanded</w:t>
      </w:r>
      <w:r>
        <w:t xml:space="preserve"> </w:t>
      </w:r>
      <w:r>
        <w:rPr>
          <w:spacing w:val="-2"/>
        </w:rPr>
        <w:t>Recommendations</w:t>
      </w:r>
    </w:p>
    <w:p w:rsidR="00C76E6D" w:rsidRDefault="00913831">
      <w:pPr>
        <w:pStyle w:val="BodyText"/>
        <w:spacing w:before="1"/>
        <w:rPr>
          <w:b/>
          <w:sz w:val="11"/>
        </w:rPr>
      </w:pPr>
      <w:r>
        <w:pict>
          <v:shape id="docshape379" o:spid="_x0000_s1094" style="position:absolute;margin-left:65pt;margin-top:8pt;width:476.95pt;height:.1pt;z-index:-15652352;mso-wrap-distance-left:0;mso-wrap-distance-right:0;mso-position-horizontal-relative:page" coordorigin="1300,160" coordsize="9539,0" path="m1300,160r9539,e" filled="f" strokeweight="1.54pt">
            <v:path arrowok="t"/>
            <w10:wrap type="topAndBottom" anchorx="page"/>
          </v:shape>
        </w:pict>
      </w:r>
    </w:p>
    <w:p w:rsidR="00C76E6D" w:rsidRDefault="00C76E6D">
      <w:pPr>
        <w:pStyle w:val="BodyText"/>
        <w:spacing w:before="7"/>
        <w:rPr>
          <w:b/>
          <w:sz w:val="33"/>
        </w:rPr>
      </w:pPr>
    </w:p>
    <w:p w:rsidR="00C76E6D" w:rsidRDefault="00913831">
      <w:pPr>
        <w:pStyle w:val="Heading6"/>
        <w:numPr>
          <w:ilvl w:val="0"/>
          <w:numId w:val="13"/>
        </w:numPr>
        <w:tabs>
          <w:tab w:val="left" w:pos="556"/>
        </w:tabs>
        <w:rPr>
          <w:b w:val="0"/>
        </w:rPr>
      </w:pPr>
      <w:bookmarkStart w:id="803" w:name="1._Review_and_continue_to_evaluate_how_t"/>
      <w:bookmarkEnd w:id="803"/>
      <w:r>
        <w:rPr>
          <w:spacing w:val="-2"/>
        </w:rPr>
        <w:t>Review</w:t>
      </w:r>
      <w:r>
        <w:rPr>
          <w:spacing w:val="-6"/>
        </w:rPr>
        <w:t xml:space="preserve"> </w:t>
      </w:r>
      <w:r>
        <w:rPr>
          <w:spacing w:val="-2"/>
        </w:rPr>
        <w:t>and</w:t>
      </w:r>
      <w:r>
        <w:rPr>
          <w:spacing w:val="-4"/>
        </w:rPr>
        <w:t xml:space="preserve"> </w:t>
      </w:r>
      <w:r>
        <w:rPr>
          <w:spacing w:val="-2"/>
        </w:rPr>
        <w:t>continue</w:t>
      </w:r>
      <w:r>
        <w:rPr>
          <w:spacing w:val="-5"/>
        </w:rPr>
        <w:t xml:space="preserve"> </w:t>
      </w:r>
      <w:r>
        <w:rPr>
          <w:spacing w:val="-2"/>
        </w:rPr>
        <w:t>to</w:t>
      </w:r>
      <w:r>
        <w:rPr>
          <w:spacing w:val="-3"/>
        </w:rPr>
        <w:t xml:space="preserve"> </w:t>
      </w:r>
      <w:r>
        <w:rPr>
          <w:spacing w:val="-2"/>
        </w:rPr>
        <w:t>evaluate</w:t>
      </w:r>
      <w:r>
        <w:rPr>
          <w:spacing w:val="-5"/>
        </w:rPr>
        <w:t xml:space="preserve"> </w:t>
      </w:r>
      <w:r>
        <w:rPr>
          <w:spacing w:val="-2"/>
        </w:rPr>
        <w:t>how</w:t>
      </w:r>
      <w:r>
        <w:rPr>
          <w:spacing w:val="-3"/>
        </w:rPr>
        <w:t xml:space="preserve"> </w:t>
      </w:r>
      <w:r>
        <w:rPr>
          <w:spacing w:val="-2"/>
        </w:rPr>
        <w:t>to</w:t>
      </w:r>
      <w:r>
        <w:rPr>
          <w:spacing w:val="-5"/>
        </w:rPr>
        <w:t xml:space="preserve"> </w:t>
      </w:r>
      <w:r>
        <w:rPr>
          <w:spacing w:val="-2"/>
        </w:rPr>
        <w:t>add</w:t>
      </w:r>
      <w:r>
        <w:rPr>
          <w:spacing w:val="-4"/>
        </w:rPr>
        <w:t xml:space="preserve"> </w:t>
      </w:r>
      <w:r>
        <w:rPr>
          <w:spacing w:val="-2"/>
        </w:rPr>
        <w:t>to</w:t>
      </w:r>
      <w:r>
        <w:rPr>
          <w:spacing w:val="-3"/>
        </w:rPr>
        <w:t xml:space="preserve"> </w:t>
      </w:r>
      <w:r>
        <w:rPr>
          <w:spacing w:val="-2"/>
        </w:rPr>
        <w:t>data</w:t>
      </w:r>
      <w:r>
        <w:rPr>
          <w:spacing w:val="-4"/>
        </w:rPr>
        <w:t xml:space="preserve"> </w:t>
      </w:r>
      <w:r>
        <w:rPr>
          <w:spacing w:val="-2"/>
        </w:rPr>
        <w:t>on</w:t>
      </w:r>
      <w:r>
        <w:rPr>
          <w:spacing w:val="-5"/>
        </w:rPr>
        <w:t xml:space="preserve"> </w:t>
      </w:r>
      <w:r>
        <w:rPr>
          <w:spacing w:val="-2"/>
        </w:rPr>
        <w:t>sexual</w:t>
      </w:r>
      <w:r>
        <w:rPr>
          <w:spacing w:val="-4"/>
        </w:rPr>
        <w:t xml:space="preserve"> </w:t>
      </w:r>
      <w:r>
        <w:rPr>
          <w:spacing w:val="-2"/>
        </w:rPr>
        <w:t>orientation</w:t>
      </w:r>
      <w:r>
        <w:rPr>
          <w:spacing w:val="-3"/>
        </w:rPr>
        <w:t xml:space="preserve"> </w:t>
      </w:r>
      <w:r>
        <w:rPr>
          <w:spacing w:val="-2"/>
        </w:rPr>
        <w:t>and</w:t>
      </w:r>
      <w:r>
        <w:rPr>
          <w:spacing w:val="-4"/>
        </w:rPr>
        <w:t xml:space="preserve"> </w:t>
      </w:r>
      <w:r>
        <w:rPr>
          <w:spacing w:val="-2"/>
        </w:rPr>
        <w:t>gender</w:t>
      </w:r>
      <w:r>
        <w:rPr>
          <w:spacing w:val="-3"/>
        </w:rPr>
        <w:t xml:space="preserve"> </w:t>
      </w:r>
      <w:r>
        <w:rPr>
          <w:spacing w:val="-2"/>
        </w:rPr>
        <w:t>identity.</w:t>
      </w:r>
    </w:p>
    <w:p w:rsidR="00C76E6D" w:rsidRDefault="00C76E6D">
      <w:pPr>
        <w:pStyle w:val="BodyText"/>
        <w:spacing w:before="5"/>
        <w:rPr>
          <w:b/>
          <w:sz w:val="28"/>
        </w:rPr>
      </w:pPr>
    </w:p>
    <w:p w:rsidR="00C76E6D" w:rsidRDefault="00913831">
      <w:pPr>
        <w:pStyle w:val="BodyText"/>
        <w:spacing w:line="276" w:lineRule="auto"/>
        <w:ind w:left="627" w:right="333"/>
        <w:jc w:val="both"/>
      </w:pPr>
      <w:r>
        <w:t>The Commission commends MCDHH for including a new nonbinary gender marker option in its client management database in 2019, fulfilling a previous recommendation. The Commission looks f</w:t>
      </w:r>
      <w:r>
        <w:t>orward to reviewing what data occurs from this change in FY 2023 and exploring with MCDHH how this data could inform its work. The Commission also intends to collaborate with MCDHH and other EOHHS agencies to evaluate SOGI data collection practices to pote</w:t>
      </w:r>
      <w:r>
        <w:t>ntially standardize collection to allow for cross-agency analysis. The Commission continues to recommend that MCDHH consider how else it might implement the collection and review of data related to sexual orientation and gender identity in its work.</w:t>
      </w:r>
    </w:p>
    <w:p w:rsidR="00C76E6D" w:rsidRDefault="00C76E6D">
      <w:pPr>
        <w:spacing w:line="276" w:lineRule="auto"/>
        <w:jc w:val="both"/>
        <w:sectPr w:rsidR="00C76E6D">
          <w:headerReference w:type="default" r:id="rId411"/>
          <w:footerReference w:type="default" r:id="rId412"/>
          <w:pgSz w:w="12240" w:h="15840"/>
          <w:pgMar w:top="1020" w:right="960" w:bottom="640" w:left="960" w:header="832" w:footer="440" w:gutter="0"/>
          <w:cols w:space="720"/>
        </w:sectPr>
      </w:pPr>
    </w:p>
    <w:p w:rsidR="00C76E6D" w:rsidRDefault="00C76E6D">
      <w:pPr>
        <w:pStyle w:val="BodyText"/>
        <w:spacing w:before="3"/>
      </w:pPr>
    </w:p>
    <w:p w:rsidR="00C76E6D" w:rsidRDefault="00913831">
      <w:pPr>
        <w:pStyle w:val="Heading6"/>
        <w:numPr>
          <w:ilvl w:val="0"/>
          <w:numId w:val="13"/>
        </w:numPr>
        <w:tabs>
          <w:tab w:val="left" w:pos="560"/>
        </w:tabs>
        <w:spacing w:before="55"/>
        <w:ind w:left="559" w:hanging="222"/>
      </w:pPr>
      <w:bookmarkStart w:id="804" w:name="2._Provide_LGBTQ_competency_training_opp"/>
      <w:bookmarkEnd w:id="804"/>
      <w:r>
        <w:rPr>
          <w:w w:val="95"/>
        </w:rPr>
        <w:t>Provide</w:t>
      </w:r>
      <w:r>
        <w:rPr>
          <w:spacing w:val="14"/>
        </w:rPr>
        <w:t xml:space="preserve"> </w:t>
      </w:r>
      <w:r>
        <w:rPr>
          <w:w w:val="95"/>
        </w:rPr>
        <w:t>LGBTQ</w:t>
      </w:r>
      <w:r>
        <w:rPr>
          <w:spacing w:val="16"/>
        </w:rPr>
        <w:t xml:space="preserve"> </w:t>
      </w:r>
      <w:r>
        <w:rPr>
          <w:w w:val="95"/>
        </w:rPr>
        <w:t>competency</w:t>
      </w:r>
      <w:r>
        <w:rPr>
          <w:spacing w:val="14"/>
        </w:rPr>
        <w:t xml:space="preserve"> </w:t>
      </w:r>
      <w:r>
        <w:rPr>
          <w:w w:val="95"/>
        </w:rPr>
        <w:t>training</w:t>
      </w:r>
      <w:r>
        <w:rPr>
          <w:spacing w:val="18"/>
        </w:rPr>
        <w:t xml:space="preserve"> </w:t>
      </w:r>
      <w:r>
        <w:rPr>
          <w:w w:val="95"/>
        </w:rPr>
        <w:t>opportunities</w:t>
      </w:r>
      <w:r>
        <w:rPr>
          <w:spacing w:val="18"/>
        </w:rPr>
        <w:t xml:space="preserve"> </w:t>
      </w:r>
      <w:r>
        <w:rPr>
          <w:w w:val="95"/>
        </w:rPr>
        <w:t>to</w:t>
      </w:r>
      <w:r>
        <w:rPr>
          <w:spacing w:val="14"/>
        </w:rPr>
        <w:t xml:space="preserve"> </w:t>
      </w:r>
      <w:r>
        <w:rPr>
          <w:w w:val="95"/>
        </w:rPr>
        <w:t>staff</w:t>
      </w:r>
      <w:r>
        <w:rPr>
          <w:spacing w:val="15"/>
        </w:rPr>
        <w:t xml:space="preserve"> </w:t>
      </w:r>
      <w:r>
        <w:rPr>
          <w:w w:val="95"/>
        </w:rPr>
        <w:t>and</w:t>
      </w:r>
      <w:r>
        <w:rPr>
          <w:spacing w:val="17"/>
        </w:rPr>
        <w:t xml:space="preserve"> </w:t>
      </w:r>
      <w:r>
        <w:rPr>
          <w:spacing w:val="-2"/>
          <w:w w:val="95"/>
        </w:rPr>
        <w:t>providers.</w:t>
      </w:r>
    </w:p>
    <w:p w:rsidR="00C76E6D" w:rsidRDefault="00C76E6D">
      <w:pPr>
        <w:pStyle w:val="BodyText"/>
        <w:spacing w:before="10"/>
        <w:rPr>
          <w:b/>
        </w:rPr>
      </w:pPr>
    </w:p>
    <w:p w:rsidR="00C76E6D" w:rsidRDefault="00913831">
      <w:pPr>
        <w:pStyle w:val="BodyText"/>
        <w:spacing w:before="1" w:line="276" w:lineRule="auto"/>
        <w:ind w:left="627" w:right="335"/>
        <w:jc w:val="both"/>
      </w:pPr>
      <w:r>
        <w:t>The Commission recommends that MCDHH develop opportunities for LGBTQ competency trainings to staff</w:t>
      </w:r>
      <w:r>
        <w:rPr>
          <w:spacing w:val="-13"/>
        </w:rPr>
        <w:t xml:space="preserve"> </w:t>
      </w:r>
      <w:r>
        <w:t>and</w:t>
      </w:r>
      <w:r>
        <w:rPr>
          <w:spacing w:val="-12"/>
        </w:rPr>
        <w:t xml:space="preserve"> </w:t>
      </w:r>
      <w:r>
        <w:t>providers.</w:t>
      </w:r>
      <w:r>
        <w:rPr>
          <w:spacing w:val="-13"/>
        </w:rPr>
        <w:t xml:space="preserve"> </w:t>
      </w:r>
      <w:r>
        <w:t>MCDHH</w:t>
      </w:r>
      <w:r>
        <w:rPr>
          <w:spacing w:val="-12"/>
        </w:rPr>
        <w:t xml:space="preserve"> </w:t>
      </w:r>
      <w:r>
        <w:t>notes</w:t>
      </w:r>
      <w:r>
        <w:rPr>
          <w:spacing w:val="-13"/>
        </w:rPr>
        <w:t xml:space="preserve"> </w:t>
      </w:r>
      <w:r>
        <w:t>that</w:t>
      </w:r>
      <w:r>
        <w:rPr>
          <w:spacing w:val="-12"/>
        </w:rPr>
        <w:t xml:space="preserve"> </w:t>
      </w:r>
      <w:r>
        <w:t>while</w:t>
      </w:r>
      <w:r>
        <w:rPr>
          <w:spacing w:val="-13"/>
        </w:rPr>
        <w:t xml:space="preserve"> </w:t>
      </w:r>
      <w:r>
        <w:t>internal</w:t>
      </w:r>
      <w:r>
        <w:rPr>
          <w:spacing w:val="-12"/>
        </w:rPr>
        <w:t xml:space="preserve"> </w:t>
      </w:r>
      <w:r>
        <w:t>materials,</w:t>
      </w:r>
      <w:r>
        <w:rPr>
          <w:spacing w:val="-12"/>
        </w:rPr>
        <w:t xml:space="preserve"> </w:t>
      </w:r>
      <w:r>
        <w:t>such</w:t>
      </w:r>
      <w:r>
        <w:rPr>
          <w:spacing w:val="-13"/>
        </w:rPr>
        <w:t xml:space="preserve"> </w:t>
      </w:r>
      <w:r>
        <w:t>as</w:t>
      </w:r>
      <w:r>
        <w:rPr>
          <w:spacing w:val="-12"/>
        </w:rPr>
        <w:t xml:space="preserve"> </w:t>
      </w:r>
      <w:r>
        <w:t>articles</w:t>
      </w:r>
      <w:r>
        <w:rPr>
          <w:spacing w:val="-13"/>
        </w:rPr>
        <w:t xml:space="preserve"> </w:t>
      </w:r>
      <w:r>
        <w:t>and</w:t>
      </w:r>
      <w:r>
        <w:rPr>
          <w:spacing w:val="-12"/>
        </w:rPr>
        <w:t xml:space="preserve"> </w:t>
      </w:r>
      <w:r>
        <w:t>videos,</w:t>
      </w:r>
      <w:r>
        <w:rPr>
          <w:spacing w:val="-13"/>
        </w:rPr>
        <w:t xml:space="preserve"> </w:t>
      </w:r>
      <w:r>
        <w:t>are</w:t>
      </w:r>
      <w:r>
        <w:rPr>
          <w:spacing w:val="-12"/>
        </w:rPr>
        <w:t xml:space="preserve"> </w:t>
      </w:r>
      <w:r>
        <w:t>distributed to staff for optional viewing, the last training opportunity for all staff was in 2016. In May 2022, the Commission and MCDHH discussed potential partnerships and possibilities for working with EOHHS to facilitate trainings to MCDHH staff, part</w:t>
      </w:r>
      <w:r>
        <w:t xml:space="preserve">icularly for those in Deaf and HOH Independent Living programs across the state. The Commission looks forward to continuing to collaborate on such opportunities in </w:t>
      </w:r>
      <w:r>
        <w:rPr>
          <w:spacing w:val="-2"/>
        </w:rPr>
        <w:t>FY2023.</w:t>
      </w:r>
    </w:p>
    <w:p w:rsidR="00C76E6D" w:rsidRDefault="00C76E6D">
      <w:pPr>
        <w:pStyle w:val="BodyText"/>
        <w:spacing w:before="9"/>
        <w:rPr>
          <w:sz w:val="19"/>
        </w:rPr>
      </w:pPr>
    </w:p>
    <w:p w:rsidR="00C76E6D" w:rsidRDefault="00913831">
      <w:pPr>
        <w:pStyle w:val="Heading6"/>
        <w:numPr>
          <w:ilvl w:val="0"/>
          <w:numId w:val="13"/>
        </w:numPr>
        <w:tabs>
          <w:tab w:val="left" w:pos="563"/>
        </w:tabs>
        <w:spacing w:line="276" w:lineRule="auto"/>
        <w:ind w:left="338" w:right="520" w:firstLine="0"/>
      </w:pPr>
      <w:bookmarkStart w:id="805" w:name="3._Continue_partnering_with_the_Commissi"/>
      <w:bookmarkEnd w:id="805"/>
      <w:r>
        <w:t>Continue</w:t>
      </w:r>
      <w:r>
        <w:rPr>
          <w:spacing w:val="-4"/>
        </w:rPr>
        <w:t xml:space="preserve"> </w:t>
      </w:r>
      <w:r>
        <w:t>partnering</w:t>
      </w:r>
      <w:r>
        <w:rPr>
          <w:spacing w:val="-3"/>
        </w:rPr>
        <w:t xml:space="preserve"> </w:t>
      </w:r>
      <w:r>
        <w:t>with</w:t>
      </w:r>
      <w:r>
        <w:rPr>
          <w:spacing w:val="-4"/>
        </w:rPr>
        <w:t xml:space="preserve"> </w:t>
      </w:r>
      <w:r>
        <w:t>the</w:t>
      </w:r>
      <w:r>
        <w:rPr>
          <w:spacing w:val="-3"/>
        </w:rPr>
        <w:t xml:space="preserve"> </w:t>
      </w:r>
      <w:r>
        <w:t>Commission</w:t>
      </w:r>
      <w:r>
        <w:rPr>
          <w:spacing w:val="-3"/>
        </w:rPr>
        <w:t xml:space="preserve"> </w:t>
      </w:r>
      <w:r>
        <w:t>to</w:t>
      </w:r>
      <w:r>
        <w:rPr>
          <w:spacing w:val="-6"/>
        </w:rPr>
        <w:t xml:space="preserve"> </w:t>
      </w:r>
      <w:r>
        <w:t>share</w:t>
      </w:r>
      <w:r>
        <w:rPr>
          <w:spacing w:val="-5"/>
        </w:rPr>
        <w:t xml:space="preserve"> </w:t>
      </w:r>
      <w:r>
        <w:t>resources</w:t>
      </w:r>
      <w:r>
        <w:rPr>
          <w:spacing w:val="-3"/>
        </w:rPr>
        <w:t xml:space="preserve"> </w:t>
      </w:r>
      <w:r>
        <w:t>and</w:t>
      </w:r>
      <w:r>
        <w:rPr>
          <w:spacing w:val="-4"/>
        </w:rPr>
        <w:t xml:space="preserve"> </w:t>
      </w:r>
      <w:r>
        <w:t>information</w:t>
      </w:r>
      <w:r>
        <w:rPr>
          <w:spacing w:val="-3"/>
        </w:rPr>
        <w:t xml:space="preserve"> </w:t>
      </w:r>
      <w:r>
        <w:t>among</w:t>
      </w:r>
      <w:r>
        <w:rPr>
          <w:spacing w:val="-4"/>
        </w:rPr>
        <w:t xml:space="preserve"> </w:t>
      </w:r>
      <w:r>
        <w:t>MC</w:t>
      </w:r>
      <w:r>
        <w:t>DHH’s</w:t>
      </w:r>
      <w:r>
        <w:rPr>
          <w:spacing w:val="-4"/>
        </w:rPr>
        <w:t xml:space="preserve"> </w:t>
      </w:r>
      <w:r>
        <w:t>client and provider populations.</w:t>
      </w:r>
    </w:p>
    <w:p w:rsidR="00C76E6D" w:rsidRDefault="00C76E6D">
      <w:pPr>
        <w:pStyle w:val="BodyText"/>
        <w:spacing w:before="2"/>
        <w:rPr>
          <w:b/>
          <w:sz w:val="25"/>
        </w:rPr>
      </w:pPr>
    </w:p>
    <w:p w:rsidR="00C76E6D" w:rsidRDefault="00913831">
      <w:pPr>
        <w:pStyle w:val="BodyText"/>
        <w:spacing w:before="1" w:line="276" w:lineRule="auto"/>
        <w:ind w:left="627" w:right="467"/>
        <w:jc w:val="both"/>
      </w:pPr>
      <w:r>
        <w:t>The Commission is grateful to MCDHH for the opportunities it has provided to share resources and information.</w:t>
      </w:r>
      <w:r>
        <w:rPr>
          <w:spacing w:val="-4"/>
        </w:rPr>
        <w:t xml:space="preserve"> </w:t>
      </w:r>
      <w:r>
        <w:t>For</w:t>
      </w:r>
      <w:r>
        <w:rPr>
          <w:spacing w:val="-7"/>
        </w:rPr>
        <w:t xml:space="preserve"> </w:t>
      </w:r>
      <w:r>
        <w:t>example,</w:t>
      </w:r>
      <w:r>
        <w:rPr>
          <w:spacing w:val="-5"/>
        </w:rPr>
        <w:t xml:space="preserve"> </w:t>
      </w:r>
      <w:r>
        <w:t>MCDHH’s</w:t>
      </w:r>
      <w:r>
        <w:rPr>
          <w:spacing w:val="-7"/>
        </w:rPr>
        <w:t xml:space="preserve"> </w:t>
      </w:r>
      <w:r>
        <w:t>liaison</w:t>
      </w:r>
      <w:r>
        <w:rPr>
          <w:spacing w:val="-7"/>
        </w:rPr>
        <w:t xml:space="preserve"> </w:t>
      </w:r>
      <w:r>
        <w:t>to</w:t>
      </w:r>
      <w:r>
        <w:rPr>
          <w:spacing w:val="-6"/>
        </w:rPr>
        <w:t xml:space="preserve"> </w:t>
      </w:r>
      <w:r>
        <w:t>the</w:t>
      </w:r>
      <w:r>
        <w:rPr>
          <w:spacing w:val="-7"/>
        </w:rPr>
        <w:t xml:space="preserve"> </w:t>
      </w:r>
      <w:r>
        <w:t>Commission</w:t>
      </w:r>
      <w:r>
        <w:rPr>
          <w:spacing w:val="-8"/>
        </w:rPr>
        <w:t xml:space="preserve"> </w:t>
      </w:r>
      <w:r>
        <w:t>assisted</w:t>
      </w:r>
      <w:r>
        <w:rPr>
          <w:spacing w:val="-6"/>
        </w:rPr>
        <w:t xml:space="preserve"> </w:t>
      </w:r>
      <w:r>
        <w:t>the</w:t>
      </w:r>
      <w:r>
        <w:rPr>
          <w:spacing w:val="-5"/>
        </w:rPr>
        <w:t xml:space="preserve"> </w:t>
      </w:r>
      <w:r>
        <w:t>Commission</w:t>
      </w:r>
      <w:r>
        <w:rPr>
          <w:spacing w:val="-7"/>
        </w:rPr>
        <w:t xml:space="preserve"> </w:t>
      </w:r>
      <w:r>
        <w:t>in</w:t>
      </w:r>
      <w:r>
        <w:rPr>
          <w:spacing w:val="-5"/>
        </w:rPr>
        <w:t xml:space="preserve"> </w:t>
      </w:r>
      <w:r>
        <w:t>being</w:t>
      </w:r>
      <w:r>
        <w:rPr>
          <w:spacing w:val="-7"/>
        </w:rPr>
        <w:t xml:space="preserve"> </w:t>
      </w:r>
      <w:r>
        <w:t>able</w:t>
      </w:r>
      <w:r>
        <w:rPr>
          <w:spacing w:val="-5"/>
        </w:rPr>
        <w:t xml:space="preserve"> </w:t>
      </w:r>
      <w:r>
        <w:t>to give a presentatio</w:t>
      </w:r>
      <w:r>
        <w:t>n on LGBTQ issues to a provider group serving people who are Deaf and Hard of Hearing. MCDHH and the Commission had also planned to co-present on LGBTQ issues at a national conference, which was unfortunately canceled due to the COVID-19 pandemic. The Comm</w:t>
      </w:r>
      <w:r>
        <w:t>ission looks forward</w:t>
      </w:r>
      <w:r>
        <w:rPr>
          <w:spacing w:val="-13"/>
        </w:rPr>
        <w:t xml:space="preserve"> </w:t>
      </w:r>
      <w:r>
        <w:t>to</w:t>
      </w:r>
      <w:r>
        <w:rPr>
          <w:spacing w:val="-12"/>
        </w:rPr>
        <w:t xml:space="preserve"> </w:t>
      </w:r>
      <w:r>
        <w:t>continuing</w:t>
      </w:r>
      <w:r>
        <w:rPr>
          <w:spacing w:val="-13"/>
        </w:rPr>
        <w:t xml:space="preserve"> </w:t>
      </w:r>
      <w:r>
        <w:t>its</w:t>
      </w:r>
      <w:r>
        <w:rPr>
          <w:spacing w:val="-12"/>
        </w:rPr>
        <w:t xml:space="preserve"> </w:t>
      </w:r>
      <w:r>
        <w:t>collaboration</w:t>
      </w:r>
      <w:r>
        <w:rPr>
          <w:spacing w:val="-13"/>
        </w:rPr>
        <w:t xml:space="preserve"> </w:t>
      </w:r>
      <w:r>
        <w:t>with</w:t>
      </w:r>
      <w:r>
        <w:rPr>
          <w:spacing w:val="-12"/>
        </w:rPr>
        <w:t xml:space="preserve"> </w:t>
      </w:r>
      <w:r>
        <w:t>MCDHH</w:t>
      </w:r>
      <w:r>
        <w:rPr>
          <w:spacing w:val="-13"/>
        </w:rPr>
        <w:t xml:space="preserve"> </w:t>
      </w:r>
      <w:r>
        <w:t>in</w:t>
      </w:r>
      <w:r>
        <w:rPr>
          <w:spacing w:val="-12"/>
        </w:rPr>
        <w:t xml:space="preserve"> </w:t>
      </w:r>
      <w:r>
        <w:t>FY2023,</w:t>
      </w:r>
      <w:r>
        <w:rPr>
          <w:spacing w:val="-12"/>
        </w:rPr>
        <w:t xml:space="preserve"> </w:t>
      </w:r>
      <w:r>
        <w:t>particularly</w:t>
      </w:r>
      <w:r>
        <w:rPr>
          <w:spacing w:val="-13"/>
        </w:rPr>
        <w:t xml:space="preserve"> </w:t>
      </w:r>
      <w:r>
        <w:t>in</w:t>
      </w:r>
      <w:r>
        <w:rPr>
          <w:spacing w:val="-12"/>
        </w:rPr>
        <w:t xml:space="preserve"> </w:t>
      </w:r>
      <w:r>
        <w:t>its</w:t>
      </w:r>
      <w:r>
        <w:rPr>
          <w:spacing w:val="-13"/>
        </w:rPr>
        <w:t xml:space="preserve"> </w:t>
      </w:r>
      <w:r>
        <w:t>programs</w:t>
      </w:r>
      <w:r>
        <w:rPr>
          <w:spacing w:val="-12"/>
        </w:rPr>
        <w:t xml:space="preserve"> </w:t>
      </w:r>
      <w:r>
        <w:t>affiliated</w:t>
      </w:r>
      <w:r>
        <w:rPr>
          <w:spacing w:val="-13"/>
        </w:rPr>
        <w:t xml:space="preserve"> </w:t>
      </w:r>
      <w:r>
        <w:t>with the Safe Schools Program for LGBTQ Students.</w:t>
      </w:r>
    </w:p>
    <w:p w:rsidR="00C76E6D" w:rsidRDefault="00C76E6D">
      <w:pPr>
        <w:pStyle w:val="BodyText"/>
        <w:spacing w:before="9"/>
        <w:rPr>
          <w:sz w:val="19"/>
        </w:rPr>
      </w:pPr>
    </w:p>
    <w:p w:rsidR="00C76E6D" w:rsidRDefault="00913831">
      <w:pPr>
        <w:pStyle w:val="BodyText"/>
        <w:spacing w:line="276" w:lineRule="auto"/>
        <w:ind w:left="627" w:right="332" w:hanging="1"/>
        <w:jc w:val="both"/>
      </w:pPr>
      <w:r>
        <w:t>The</w:t>
      </w:r>
      <w:r>
        <w:rPr>
          <w:spacing w:val="-8"/>
        </w:rPr>
        <w:t xml:space="preserve"> </w:t>
      </w:r>
      <w:r>
        <w:t>Commission</w:t>
      </w:r>
      <w:r>
        <w:rPr>
          <w:spacing w:val="-8"/>
        </w:rPr>
        <w:t xml:space="preserve"> </w:t>
      </w:r>
      <w:r>
        <w:t>has</w:t>
      </w:r>
      <w:r>
        <w:rPr>
          <w:spacing w:val="-7"/>
        </w:rPr>
        <w:t xml:space="preserve"> </w:t>
      </w:r>
      <w:r>
        <w:t>discussed</w:t>
      </w:r>
      <w:r>
        <w:rPr>
          <w:spacing w:val="-7"/>
        </w:rPr>
        <w:t xml:space="preserve"> </w:t>
      </w:r>
      <w:r>
        <w:t>with</w:t>
      </w:r>
      <w:r>
        <w:rPr>
          <w:spacing w:val="-5"/>
        </w:rPr>
        <w:t xml:space="preserve"> </w:t>
      </w:r>
      <w:r>
        <w:t>MCDHH</w:t>
      </w:r>
      <w:r>
        <w:rPr>
          <w:spacing w:val="-8"/>
        </w:rPr>
        <w:t xml:space="preserve"> </w:t>
      </w:r>
      <w:r>
        <w:t>its</w:t>
      </w:r>
      <w:r>
        <w:rPr>
          <w:spacing w:val="-6"/>
        </w:rPr>
        <w:t xml:space="preserve"> </w:t>
      </w:r>
      <w:r>
        <w:t>desire</w:t>
      </w:r>
      <w:r>
        <w:rPr>
          <w:spacing w:val="-8"/>
        </w:rPr>
        <w:t xml:space="preserve"> </w:t>
      </w:r>
      <w:r>
        <w:t>to</w:t>
      </w:r>
      <w:r>
        <w:rPr>
          <w:spacing w:val="-7"/>
        </w:rPr>
        <w:t xml:space="preserve"> </w:t>
      </w:r>
      <w:r>
        <w:t>work</w:t>
      </w:r>
      <w:r>
        <w:rPr>
          <w:spacing w:val="-7"/>
        </w:rPr>
        <w:t xml:space="preserve"> </w:t>
      </w:r>
      <w:r>
        <w:t>together</w:t>
      </w:r>
      <w:r>
        <w:rPr>
          <w:spacing w:val="-8"/>
        </w:rPr>
        <w:t xml:space="preserve"> </w:t>
      </w:r>
      <w:r>
        <w:t>on</w:t>
      </w:r>
      <w:r>
        <w:rPr>
          <w:spacing w:val="-8"/>
        </w:rPr>
        <w:t xml:space="preserve"> </w:t>
      </w:r>
      <w:r>
        <w:t>a</w:t>
      </w:r>
      <w:r>
        <w:rPr>
          <w:spacing w:val="-6"/>
        </w:rPr>
        <w:t xml:space="preserve"> </w:t>
      </w:r>
      <w:r>
        <w:t>small,</w:t>
      </w:r>
      <w:r>
        <w:rPr>
          <w:spacing w:val="-7"/>
        </w:rPr>
        <w:t xml:space="preserve"> </w:t>
      </w:r>
      <w:r>
        <w:t>independent</w:t>
      </w:r>
      <w:r>
        <w:rPr>
          <w:spacing w:val="-8"/>
        </w:rPr>
        <w:t xml:space="preserve"> </w:t>
      </w:r>
      <w:r>
        <w:t>report</w:t>
      </w:r>
      <w:r>
        <w:rPr>
          <w:spacing w:val="-8"/>
        </w:rPr>
        <w:t xml:space="preserve"> </w:t>
      </w:r>
      <w:r>
        <w:t>to examine the intersections of LGBTQ identities with Deaf and hard of hearing communities and looks forward</w:t>
      </w:r>
      <w:r>
        <w:rPr>
          <w:spacing w:val="-11"/>
        </w:rPr>
        <w:t xml:space="preserve"> </w:t>
      </w:r>
      <w:r>
        <w:t>to</w:t>
      </w:r>
      <w:r>
        <w:rPr>
          <w:spacing w:val="-8"/>
        </w:rPr>
        <w:t xml:space="preserve"> </w:t>
      </w:r>
      <w:r>
        <w:t>collaborating</w:t>
      </w:r>
      <w:r>
        <w:rPr>
          <w:spacing w:val="-9"/>
        </w:rPr>
        <w:t xml:space="preserve"> </w:t>
      </w:r>
      <w:r>
        <w:t>on</w:t>
      </w:r>
      <w:r>
        <w:rPr>
          <w:spacing w:val="-9"/>
        </w:rPr>
        <w:t xml:space="preserve"> </w:t>
      </w:r>
      <w:r>
        <w:t>this</w:t>
      </w:r>
      <w:r>
        <w:rPr>
          <w:spacing w:val="-8"/>
        </w:rPr>
        <w:t xml:space="preserve"> </w:t>
      </w:r>
      <w:r>
        <w:t>together</w:t>
      </w:r>
      <w:r>
        <w:rPr>
          <w:spacing w:val="-10"/>
        </w:rPr>
        <w:t xml:space="preserve"> </w:t>
      </w:r>
      <w:r>
        <w:t>in</w:t>
      </w:r>
      <w:r>
        <w:rPr>
          <w:spacing w:val="-8"/>
        </w:rPr>
        <w:t xml:space="preserve"> </w:t>
      </w:r>
      <w:r>
        <w:t>FY2023.</w:t>
      </w:r>
      <w:r>
        <w:rPr>
          <w:spacing w:val="-8"/>
        </w:rPr>
        <w:t xml:space="preserve"> </w:t>
      </w:r>
      <w:r>
        <w:t>The</w:t>
      </w:r>
      <w:r>
        <w:rPr>
          <w:spacing w:val="-9"/>
        </w:rPr>
        <w:t xml:space="preserve"> </w:t>
      </w:r>
      <w:r>
        <w:t>Commission</w:t>
      </w:r>
      <w:r>
        <w:rPr>
          <w:spacing w:val="-11"/>
        </w:rPr>
        <w:t xml:space="preserve"> </w:t>
      </w:r>
      <w:r>
        <w:t>and</w:t>
      </w:r>
      <w:r>
        <w:rPr>
          <w:spacing w:val="-8"/>
        </w:rPr>
        <w:t xml:space="preserve"> </w:t>
      </w:r>
      <w:r>
        <w:t>MCDHH</w:t>
      </w:r>
      <w:r>
        <w:rPr>
          <w:spacing w:val="-9"/>
        </w:rPr>
        <w:t xml:space="preserve"> </w:t>
      </w:r>
      <w:r>
        <w:t>have</w:t>
      </w:r>
      <w:r>
        <w:rPr>
          <w:spacing w:val="-10"/>
        </w:rPr>
        <w:t xml:space="preserve"> </w:t>
      </w:r>
      <w:r>
        <w:t>also</w:t>
      </w:r>
      <w:r>
        <w:rPr>
          <w:spacing w:val="-7"/>
        </w:rPr>
        <w:t xml:space="preserve"> </w:t>
      </w:r>
      <w:r>
        <w:t>discussed</w:t>
      </w:r>
      <w:r>
        <w:rPr>
          <w:spacing w:val="-9"/>
        </w:rPr>
        <w:t xml:space="preserve"> </w:t>
      </w:r>
      <w:r>
        <w:t>the Commission’s resource map, which t</w:t>
      </w:r>
      <w:r>
        <w:t>he Commission is in the process of transitioning into a resource database, and the Commission looks forward to receiving any feedback MCDHH might have on how the database could be made more accessible and/or inclusive before its full launch in early FY2023</w:t>
      </w:r>
      <w:r>
        <w:t>.</w:t>
      </w:r>
    </w:p>
    <w:p w:rsidR="00C76E6D" w:rsidRDefault="00C76E6D">
      <w:pPr>
        <w:pStyle w:val="BodyText"/>
        <w:rPr>
          <w:sz w:val="20"/>
        </w:rPr>
      </w:pPr>
    </w:p>
    <w:p w:rsidR="00C76E6D" w:rsidRDefault="00913831">
      <w:pPr>
        <w:pStyle w:val="BodyText"/>
        <w:spacing w:before="6"/>
        <w:rPr>
          <w:sz w:val="10"/>
        </w:rPr>
      </w:pPr>
      <w:r>
        <w:pict>
          <v:rect id="docshape380" o:spid="_x0000_s1093" style="position:absolute;margin-left:65pt;margin-top:7.65pt;width:2in;height:.7pt;z-index:-15651840;mso-wrap-distance-left:0;mso-wrap-distance-right:0;mso-position-horizontal-relative:page" fillcolor="black" stroked="f">
            <w10:wrap type="topAndBottom" anchorx="page"/>
          </v:rect>
        </w:pict>
      </w:r>
    </w:p>
    <w:p w:rsidR="00C76E6D" w:rsidRDefault="00913831">
      <w:pPr>
        <w:spacing w:before="97"/>
        <w:ind w:left="339" w:right="530" w:hanging="1"/>
        <w:rPr>
          <w:sz w:val="20"/>
        </w:rPr>
      </w:pPr>
      <w:bookmarkStart w:id="806" w:name="_bookmark577"/>
      <w:bookmarkEnd w:id="806"/>
      <w:r>
        <w:rPr>
          <w:sz w:val="20"/>
          <w:vertAlign w:val="superscript"/>
        </w:rPr>
        <w:t>1</w:t>
      </w:r>
      <w:r>
        <w:rPr>
          <w:spacing w:val="-5"/>
          <w:sz w:val="20"/>
        </w:rPr>
        <w:t xml:space="preserve"> </w:t>
      </w:r>
      <w:r>
        <w:rPr>
          <w:sz w:val="20"/>
        </w:rPr>
        <w:t>Schaad,</w:t>
      </w:r>
      <w:r>
        <w:rPr>
          <w:spacing w:val="-6"/>
          <w:sz w:val="20"/>
        </w:rPr>
        <w:t xml:space="preserve"> </w:t>
      </w:r>
      <w:r>
        <w:rPr>
          <w:sz w:val="20"/>
        </w:rPr>
        <w:t>A.</w:t>
      </w:r>
      <w:r>
        <w:rPr>
          <w:spacing w:val="-6"/>
          <w:sz w:val="20"/>
        </w:rPr>
        <w:t xml:space="preserve"> </w:t>
      </w:r>
      <w:r>
        <w:rPr>
          <w:sz w:val="20"/>
        </w:rPr>
        <w:t>L.</w:t>
      </w:r>
      <w:r>
        <w:rPr>
          <w:spacing w:val="-6"/>
          <w:sz w:val="20"/>
        </w:rPr>
        <w:t xml:space="preserve"> </w:t>
      </w:r>
      <w:r>
        <w:rPr>
          <w:sz w:val="20"/>
        </w:rPr>
        <w:t>(2016).</w:t>
      </w:r>
      <w:r>
        <w:rPr>
          <w:spacing w:val="-6"/>
          <w:sz w:val="20"/>
        </w:rPr>
        <w:t xml:space="preserve"> </w:t>
      </w:r>
      <w:r>
        <w:rPr>
          <w:sz w:val="20"/>
        </w:rPr>
        <w:t>An</w:t>
      </w:r>
      <w:r>
        <w:rPr>
          <w:spacing w:val="-5"/>
          <w:sz w:val="20"/>
        </w:rPr>
        <w:t xml:space="preserve"> </w:t>
      </w:r>
      <w:r>
        <w:rPr>
          <w:sz w:val="20"/>
        </w:rPr>
        <w:t>Interview</w:t>
      </w:r>
      <w:r>
        <w:rPr>
          <w:spacing w:val="-6"/>
          <w:sz w:val="20"/>
        </w:rPr>
        <w:t xml:space="preserve"> </w:t>
      </w:r>
      <w:r>
        <w:rPr>
          <w:sz w:val="20"/>
        </w:rPr>
        <w:t>with</w:t>
      </w:r>
      <w:r>
        <w:rPr>
          <w:spacing w:val="-6"/>
          <w:sz w:val="20"/>
        </w:rPr>
        <w:t xml:space="preserve"> </w:t>
      </w:r>
      <w:r>
        <w:rPr>
          <w:sz w:val="20"/>
        </w:rPr>
        <w:t>Three</w:t>
      </w:r>
      <w:r>
        <w:rPr>
          <w:spacing w:val="-6"/>
          <w:sz w:val="20"/>
        </w:rPr>
        <w:t xml:space="preserve"> </w:t>
      </w:r>
      <w:r>
        <w:rPr>
          <w:sz w:val="20"/>
        </w:rPr>
        <w:t>Deaf</w:t>
      </w:r>
      <w:r>
        <w:rPr>
          <w:spacing w:val="-6"/>
          <w:sz w:val="20"/>
        </w:rPr>
        <w:t xml:space="preserve"> </w:t>
      </w:r>
      <w:r>
        <w:rPr>
          <w:sz w:val="20"/>
        </w:rPr>
        <w:t>Lesbians:</w:t>
      </w:r>
      <w:r>
        <w:rPr>
          <w:spacing w:val="-5"/>
          <w:sz w:val="20"/>
        </w:rPr>
        <w:t xml:space="preserve"> </w:t>
      </w:r>
      <w:r>
        <w:rPr>
          <w:sz w:val="20"/>
        </w:rPr>
        <w:t>Intersectionality</w:t>
      </w:r>
      <w:r>
        <w:rPr>
          <w:spacing w:val="-4"/>
          <w:sz w:val="20"/>
        </w:rPr>
        <w:t xml:space="preserve"> </w:t>
      </w:r>
      <w:r>
        <w:rPr>
          <w:sz w:val="20"/>
        </w:rPr>
        <w:t>and</w:t>
      </w:r>
      <w:r>
        <w:rPr>
          <w:spacing w:val="-7"/>
          <w:sz w:val="20"/>
        </w:rPr>
        <w:t xml:space="preserve"> </w:t>
      </w:r>
      <w:r>
        <w:rPr>
          <w:sz w:val="20"/>
        </w:rPr>
        <w:t>Saliency</w:t>
      </w:r>
      <w:r>
        <w:rPr>
          <w:spacing w:val="-5"/>
          <w:sz w:val="20"/>
        </w:rPr>
        <w:t xml:space="preserve"> </w:t>
      </w:r>
      <w:r>
        <w:rPr>
          <w:sz w:val="20"/>
        </w:rPr>
        <w:t>of</w:t>
      </w:r>
      <w:r>
        <w:rPr>
          <w:spacing w:val="-6"/>
          <w:sz w:val="20"/>
        </w:rPr>
        <w:t xml:space="preserve"> </w:t>
      </w:r>
      <w:r>
        <w:rPr>
          <w:sz w:val="20"/>
        </w:rPr>
        <w:t>Identity</w:t>
      </w:r>
      <w:r>
        <w:rPr>
          <w:spacing w:val="-4"/>
          <w:sz w:val="20"/>
        </w:rPr>
        <w:t xml:space="preserve"> </w:t>
      </w:r>
      <w:r>
        <w:rPr>
          <w:sz w:val="20"/>
        </w:rPr>
        <w:t xml:space="preserve">Variables. Dissertation, Wright State University School of Professional Psychology. Retrieved from </w:t>
      </w:r>
      <w:r>
        <w:rPr>
          <w:spacing w:val="-2"/>
          <w:sz w:val="20"/>
        </w:rPr>
        <w:t>https://etd.ohiolink.edu/!etd.send_file?accession=wsupsych1435740841&amp;disposition=inline</w:t>
      </w:r>
    </w:p>
    <w:p w:rsidR="00C76E6D" w:rsidRDefault="00C76E6D">
      <w:pPr>
        <w:rPr>
          <w:sz w:val="20"/>
        </w:rPr>
        <w:sectPr w:rsidR="00C76E6D">
          <w:pgSz w:w="12240" w:h="15840"/>
          <w:pgMar w:top="1020" w:right="960" w:bottom="640" w:left="960" w:header="832" w:footer="440" w:gutter="0"/>
          <w:cols w:space="720"/>
        </w:sectPr>
      </w:pPr>
    </w:p>
    <w:p w:rsidR="00C76E6D" w:rsidRDefault="00C76E6D">
      <w:pPr>
        <w:pStyle w:val="BodyText"/>
        <w:spacing w:before="7"/>
        <w:rPr>
          <w:sz w:val="23"/>
        </w:rPr>
      </w:pPr>
    </w:p>
    <w:p w:rsidR="00C76E6D" w:rsidRDefault="00913831">
      <w:pPr>
        <w:pStyle w:val="Heading3"/>
      </w:pPr>
      <w:bookmarkStart w:id="807" w:name="Massachusetts_Rehabilitation_Commission"/>
      <w:bookmarkStart w:id="808" w:name="_bookmark578"/>
      <w:bookmarkEnd w:id="807"/>
      <w:bookmarkEnd w:id="808"/>
      <w:r>
        <w:rPr>
          <w:w w:val="95"/>
        </w:rPr>
        <w:t>Massachusetts</w:t>
      </w:r>
      <w:r>
        <w:rPr>
          <w:spacing w:val="43"/>
        </w:rPr>
        <w:t xml:space="preserve"> </w:t>
      </w:r>
      <w:r>
        <w:rPr>
          <w:w w:val="95"/>
        </w:rPr>
        <w:t>Rehabilitation</w:t>
      </w:r>
      <w:r>
        <w:rPr>
          <w:spacing w:val="46"/>
        </w:rPr>
        <w:t xml:space="preserve"> </w:t>
      </w:r>
      <w:r>
        <w:rPr>
          <w:spacing w:val="-2"/>
          <w:w w:val="95"/>
        </w:rPr>
        <w:t>Commission</w:t>
      </w:r>
    </w:p>
    <w:p w:rsidR="00C76E6D" w:rsidRDefault="00913831">
      <w:pPr>
        <w:pStyle w:val="BodyText"/>
        <w:spacing w:before="10"/>
        <w:rPr>
          <w:b/>
          <w:sz w:val="11"/>
        </w:rPr>
      </w:pPr>
      <w:r>
        <w:pict>
          <v:shape id="docshape384" o:spid="_x0000_s1092" style="position:absolute;margin-left:65.5pt;margin-top:8.45pt;width:476.45pt;height:.1pt;z-index:-15651328;mso-wrap-distance-left:0;mso-wrap-distance-right:0;mso-position-horizontal-relative:page" coordorigin="1310,169" coordsize="9529,0" path="m1310,169r9529,e" filled="f" strokeweight="1.54pt">
            <v:path arrowok="t"/>
            <w10:wrap type="topAndBottom" anchorx="page"/>
          </v:shape>
        </w:pict>
      </w:r>
    </w:p>
    <w:p w:rsidR="00C76E6D" w:rsidRDefault="00C76E6D">
      <w:pPr>
        <w:pStyle w:val="BodyText"/>
        <w:spacing w:before="10"/>
        <w:rPr>
          <w:b/>
          <w:sz w:val="39"/>
        </w:rPr>
      </w:pPr>
    </w:p>
    <w:p w:rsidR="00C76E6D" w:rsidRDefault="00913831">
      <w:pPr>
        <w:pStyle w:val="Heading5"/>
      </w:pPr>
      <w:bookmarkStart w:id="809" w:name="FY_2023_Recommendations"/>
      <w:bookmarkEnd w:id="809"/>
      <w:r>
        <w:t>FY</w:t>
      </w:r>
      <w:r>
        <w:rPr>
          <w:spacing w:val="-8"/>
        </w:rPr>
        <w:t xml:space="preserve"> </w:t>
      </w:r>
      <w:r>
        <w:t>2023</w:t>
      </w:r>
      <w:r>
        <w:rPr>
          <w:spacing w:val="-8"/>
        </w:rPr>
        <w:t xml:space="preserve"> </w:t>
      </w:r>
      <w:r>
        <w:rPr>
          <w:spacing w:val="-2"/>
        </w:rPr>
        <w:t>Recommendations</w:t>
      </w:r>
    </w:p>
    <w:p w:rsidR="00C76E6D" w:rsidRDefault="00C76E6D">
      <w:pPr>
        <w:pStyle w:val="BodyText"/>
        <w:spacing w:before="2"/>
        <w:rPr>
          <w:b/>
          <w:sz w:val="32"/>
        </w:rPr>
      </w:pPr>
    </w:p>
    <w:p w:rsidR="00C76E6D" w:rsidRDefault="00913831">
      <w:pPr>
        <w:pStyle w:val="ListParagraph"/>
        <w:numPr>
          <w:ilvl w:val="1"/>
          <w:numId w:val="13"/>
        </w:numPr>
        <w:tabs>
          <w:tab w:val="left" w:pos="848"/>
        </w:tabs>
        <w:ind w:hanging="222"/>
      </w:pPr>
      <w:r>
        <w:rPr>
          <w:w w:val="95"/>
        </w:rPr>
        <w:t>Create</w:t>
      </w:r>
      <w:r>
        <w:rPr>
          <w:spacing w:val="13"/>
        </w:rPr>
        <w:t xml:space="preserve"> </w:t>
      </w:r>
      <w:r>
        <w:rPr>
          <w:w w:val="95"/>
        </w:rPr>
        <w:t>a</w:t>
      </w:r>
      <w:r>
        <w:rPr>
          <w:spacing w:val="19"/>
        </w:rPr>
        <w:t xml:space="preserve"> </w:t>
      </w:r>
      <w:r>
        <w:rPr>
          <w:w w:val="95"/>
        </w:rPr>
        <w:t>comprehensive</w:t>
      </w:r>
      <w:r>
        <w:rPr>
          <w:spacing w:val="15"/>
        </w:rPr>
        <w:t xml:space="preserve"> </w:t>
      </w:r>
      <w:r>
        <w:rPr>
          <w:w w:val="95"/>
        </w:rPr>
        <w:t>nondiscrimination</w:t>
      </w:r>
      <w:r>
        <w:rPr>
          <w:spacing w:val="14"/>
        </w:rPr>
        <w:t xml:space="preserve"> </w:t>
      </w:r>
      <w:r>
        <w:rPr>
          <w:w w:val="95"/>
        </w:rPr>
        <w:t>and</w:t>
      </w:r>
      <w:r>
        <w:rPr>
          <w:spacing w:val="19"/>
        </w:rPr>
        <w:t xml:space="preserve"> </w:t>
      </w:r>
      <w:r>
        <w:rPr>
          <w:w w:val="95"/>
        </w:rPr>
        <w:t>inclusion</w:t>
      </w:r>
      <w:r>
        <w:rPr>
          <w:spacing w:val="14"/>
        </w:rPr>
        <w:t xml:space="preserve"> </w:t>
      </w:r>
      <w:r>
        <w:rPr>
          <w:w w:val="95"/>
        </w:rPr>
        <w:t>policy</w:t>
      </w:r>
      <w:r>
        <w:rPr>
          <w:spacing w:val="18"/>
        </w:rPr>
        <w:t xml:space="preserve"> </w:t>
      </w:r>
      <w:r>
        <w:rPr>
          <w:w w:val="95"/>
        </w:rPr>
        <w:t>for</w:t>
      </w:r>
      <w:r>
        <w:rPr>
          <w:spacing w:val="17"/>
        </w:rPr>
        <w:t xml:space="preserve"> </w:t>
      </w:r>
      <w:r>
        <w:rPr>
          <w:w w:val="95"/>
        </w:rPr>
        <w:t>LGBTQ</w:t>
      </w:r>
      <w:r>
        <w:rPr>
          <w:spacing w:val="19"/>
        </w:rPr>
        <w:t xml:space="preserve"> </w:t>
      </w:r>
      <w:r>
        <w:rPr>
          <w:spacing w:val="-2"/>
          <w:w w:val="95"/>
        </w:rPr>
        <w:t>clients.</w:t>
      </w:r>
    </w:p>
    <w:p w:rsidR="00C76E6D" w:rsidRDefault="00C76E6D">
      <w:pPr>
        <w:pStyle w:val="BodyText"/>
        <w:spacing w:before="8"/>
        <w:rPr>
          <w:sz w:val="28"/>
        </w:rPr>
      </w:pPr>
    </w:p>
    <w:p w:rsidR="00C76E6D" w:rsidRDefault="00913831">
      <w:pPr>
        <w:pStyle w:val="ListParagraph"/>
        <w:numPr>
          <w:ilvl w:val="1"/>
          <w:numId w:val="13"/>
        </w:numPr>
        <w:tabs>
          <w:tab w:val="left" w:pos="848"/>
        </w:tabs>
        <w:ind w:hanging="222"/>
      </w:pPr>
      <w:r>
        <w:rPr>
          <w:w w:val="95"/>
        </w:rPr>
        <w:t>Adopt</w:t>
      </w:r>
      <w:r>
        <w:rPr>
          <w:spacing w:val="14"/>
        </w:rPr>
        <w:t xml:space="preserve"> </w:t>
      </w:r>
      <w:r>
        <w:rPr>
          <w:w w:val="95"/>
        </w:rPr>
        <w:t>LGBTQ-inclusive</w:t>
      </w:r>
      <w:r>
        <w:rPr>
          <w:spacing w:val="18"/>
        </w:rPr>
        <w:t xml:space="preserve"> </w:t>
      </w:r>
      <w:r>
        <w:rPr>
          <w:w w:val="95"/>
        </w:rPr>
        <w:t>intake</w:t>
      </w:r>
      <w:r>
        <w:rPr>
          <w:spacing w:val="15"/>
        </w:rPr>
        <w:t xml:space="preserve"> </w:t>
      </w:r>
      <w:r>
        <w:rPr>
          <w:w w:val="95"/>
        </w:rPr>
        <w:t>forms</w:t>
      </w:r>
      <w:r>
        <w:rPr>
          <w:spacing w:val="18"/>
        </w:rPr>
        <w:t xml:space="preserve"> </w:t>
      </w:r>
      <w:r>
        <w:rPr>
          <w:w w:val="95"/>
        </w:rPr>
        <w:t>and</w:t>
      </w:r>
      <w:r>
        <w:rPr>
          <w:spacing w:val="16"/>
        </w:rPr>
        <w:t xml:space="preserve"> </w:t>
      </w:r>
      <w:r>
        <w:rPr>
          <w:w w:val="95"/>
        </w:rPr>
        <w:t>appropriately</w:t>
      </w:r>
      <w:r>
        <w:rPr>
          <w:spacing w:val="18"/>
        </w:rPr>
        <w:t xml:space="preserve"> </w:t>
      </w:r>
      <w:r>
        <w:rPr>
          <w:w w:val="95"/>
        </w:rPr>
        <w:t>train</w:t>
      </w:r>
      <w:r>
        <w:rPr>
          <w:spacing w:val="17"/>
        </w:rPr>
        <w:t xml:space="preserve"> </w:t>
      </w:r>
      <w:r>
        <w:rPr>
          <w:w w:val="95"/>
        </w:rPr>
        <w:t>staff</w:t>
      </w:r>
      <w:r>
        <w:rPr>
          <w:spacing w:val="16"/>
        </w:rPr>
        <w:t xml:space="preserve"> </w:t>
      </w:r>
      <w:r>
        <w:rPr>
          <w:w w:val="95"/>
        </w:rPr>
        <w:t>on</w:t>
      </w:r>
      <w:r>
        <w:rPr>
          <w:spacing w:val="18"/>
        </w:rPr>
        <w:t xml:space="preserve"> </w:t>
      </w:r>
      <w:r>
        <w:rPr>
          <w:w w:val="95"/>
        </w:rPr>
        <w:t>implementation</w:t>
      </w:r>
      <w:r>
        <w:rPr>
          <w:spacing w:val="15"/>
        </w:rPr>
        <w:t xml:space="preserve"> </w:t>
      </w:r>
      <w:r>
        <w:rPr>
          <w:spacing w:val="-2"/>
          <w:w w:val="95"/>
        </w:rPr>
        <w:t>procedures.</w:t>
      </w:r>
    </w:p>
    <w:p w:rsidR="00C76E6D" w:rsidRDefault="00C76E6D">
      <w:pPr>
        <w:pStyle w:val="BodyText"/>
        <w:spacing w:before="5"/>
        <w:rPr>
          <w:sz w:val="28"/>
        </w:rPr>
      </w:pPr>
    </w:p>
    <w:p w:rsidR="00C76E6D" w:rsidRDefault="00913831">
      <w:pPr>
        <w:pStyle w:val="ListParagraph"/>
        <w:numPr>
          <w:ilvl w:val="1"/>
          <w:numId w:val="13"/>
        </w:numPr>
        <w:tabs>
          <w:tab w:val="left" w:pos="845"/>
        </w:tabs>
        <w:spacing w:line="276" w:lineRule="auto"/>
        <w:ind w:left="628" w:right="386" w:hanging="1"/>
      </w:pPr>
      <w:r>
        <w:t>Provide</w:t>
      </w:r>
      <w:r>
        <w:rPr>
          <w:spacing w:val="-10"/>
        </w:rPr>
        <w:t xml:space="preserve"> </w:t>
      </w:r>
      <w:r>
        <w:t>LGBTQ</w:t>
      </w:r>
      <w:r>
        <w:rPr>
          <w:spacing w:val="-10"/>
        </w:rPr>
        <w:t xml:space="preserve"> </w:t>
      </w:r>
      <w:r>
        <w:t>cultural</w:t>
      </w:r>
      <w:r>
        <w:rPr>
          <w:spacing w:val="-8"/>
        </w:rPr>
        <w:t xml:space="preserve"> </w:t>
      </w:r>
      <w:r>
        <w:t>humility</w:t>
      </w:r>
      <w:r>
        <w:rPr>
          <w:spacing w:val="-7"/>
        </w:rPr>
        <w:t xml:space="preserve"> </w:t>
      </w:r>
      <w:r>
        <w:t>training</w:t>
      </w:r>
      <w:r>
        <w:rPr>
          <w:spacing w:val="-11"/>
        </w:rPr>
        <w:t xml:space="preserve"> </w:t>
      </w:r>
      <w:r>
        <w:t>for</w:t>
      </w:r>
      <w:r>
        <w:rPr>
          <w:spacing w:val="-9"/>
        </w:rPr>
        <w:t xml:space="preserve"> </w:t>
      </w:r>
      <w:r>
        <w:t>all</w:t>
      </w:r>
      <w:r>
        <w:rPr>
          <w:spacing w:val="-11"/>
        </w:rPr>
        <w:t xml:space="preserve"> </w:t>
      </w:r>
      <w:r>
        <w:t>youth-serving</w:t>
      </w:r>
      <w:r>
        <w:rPr>
          <w:spacing w:val="-9"/>
        </w:rPr>
        <w:t xml:space="preserve"> </w:t>
      </w:r>
      <w:r>
        <w:t>staff</w:t>
      </w:r>
      <w:r>
        <w:rPr>
          <w:spacing w:val="-9"/>
        </w:rPr>
        <w:t xml:space="preserve"> </w:t>
      </w:r>
      <w:r>
        <w:t>and</w:t>
      </w:r>
      <w:r>
        <w:rPr>
          <w:spacing w:val="-9"/>
        </w:rPr>
        <w:t xml:space="preserve"> </w:t>
      </w:r>
      <w:r>
        <w:t>providers</w:t>
      </w:r>
      <w:r>
        <w:rPr>
          <w:spacing w:val="-8"/>
        </w:rPr>
        <w:t xml:space="preserve"> </w:t>
      </w:r>
      <w:r>
        <w:t>and</w:t>
      </w:r>
      <w:r>
        <w:rPr>
          <w:spacing w:val="-8"/>
        </w:rPr>
        <w:t xml:space="preserve"> </w:t>
      </w:r>
      <w:r>
        <w:t>continue</w:t>
      </w:r>
      <w:r>
        <w:rPr>
          <w:spacing w:val="-8"/>
        </w:rPr>
        <w:t xml:space="preserve"> </w:t>
      </w:r>
      <w:r>
        <w:t>working with the EOHHS interagency committee to complete a universal training and explore implementation.</w:t>
      </w:r>
    </w:p>
    <w:p w:rsidR="00C76E6D" w:rsidRDefault="00C76E6D">
      <w:pPr>
        <w:pStyle w:val="BodyText"/>
        <w:spacing w:before="6"/>
        <w:rPr>
          <w:sz w:val="25"/>
        </w:rPr>
      </w:pPr>
    </w:p>
    <w:p w:rsidR="00C76E6D" w:rsidRDefault="00913831">
      <w:pPr>
        <w:pStyle w:val="ListParagraph"/>
        <w:numPr>
          <w:ilvl w:val="1"/>
          <w:numId w:val="13"/>
        </w:numPr>
        <w:tabs>
          <w:tab w:val="left" w:pos="848"/>
        </w:tabs>
        <w:ind w:hanging="222"/>
      </w:pPr>
      <w:r>
        <w:rPr>
          <w:w w:val="95"/>
        </w:rPr>
        <w:t>Continue</w:t>
      </w:r>
      <w:r>
        <w:rPr>
          <w:spacing w:val="13"/>
        </w:rPr>
        <w:t xml:space="preserve"> </w:t>
      </w:r>
      <w:r>
        <w:rPr>
          <w:w w:val="95"/>
        </w:rPr>
        <w:t>partnering</w:t>
      </w:r>
      <w:r>
        <w:rPr>
          <w:spacing w:val="17"/>
        </w:rPr>
        <w:t xml:space="preserve"> </w:t>
      </w:r>
      <w:r>
        <w:rPr>
          <w:w w:val="95"/>
        </w:rPr>
        <w:t>with</w:t>
      </w:r>
      <w:r>
        <w:rPr>
          <w:spacing w:val="15"/>
        </w:rPr>
        <w:t xml:space="preserve"> </w:t>
      </w:r>
      <w:r>
        <w:rPr>
          <w:w w:val="95"/>
        </w:rPr>
        <w:t>the</w:t>
      </w:r>
      <w:r>
        <w:rPr>
          <w:spacing w:val="12"/>
        </w:rPr>
        <w:t xml:space="preserve"> </w:t>
      </w:r>
      <w:r>
        <w:rPr>
          <w:w w:val="95"/>
        </w:rPr>
        <w:t>Commission</w:t>
      </w:r>
      <w:r>
        <w:rPr>
          <w:spacing w:val="12"/>
        </w:rPr>
        <w:t xml:space="preserve"> </w:t>
      </w:r>
      <w:r>
        <w:rPr>
          <w:w w:val="95"/>
        </w:rPr>
        <w:t>on</w:t>
      </w:r>
      <w:r>
        <w:rPr>
          <w:spacing w:val="14"/>
        </w:rPr>
        <w:t xml:space="preserve"> </w:t>
      </w:r>
      <w:r>
        <w:rPr>
          <w:w w:val="95"/>
        </w:rPr>
        <w:t>implementing</w:t>
      </w:r>
      <w:r>
        <w:rPr>
          <w:spacing w:val="15"/>
        </w:rPr>
        <w:t xml:space="preserve"> </w:t>
      </w:r>
      <w:r>
        <w:rPr>
          <w:w w:val="95"/>
        </w:rPr>
        <w:t>an</w:t>
      </w:r>
      <w:r>
        <w:rPr>
          <w:spacing w:val="15"/>
        </w:rPr>
        <w:t xml:space="preserve"> </w:t>
      </w:r>
      <w:r>
        <w:rPr>
          <w:w w:val="95"/>
        </w:rPr>
        <w:t>LGBTQ</w:t>
      </w:r>
      <w:r>
        <w:rPr>
          <w:spacing w:val="16"/>
        </w:rPr>
        <w:t xml:space="preserve"> </w:t>
      </w:r>
      <w:r>
        <w:rPr>
          <w:w w:val="95"/>
        </w:rPr>
        <w:t>youth</w:t>
      </w:r>
      <w:r>
        <w:rPr>
          <w:spacing w:val="17"/>
        </w:rPr>
        <w:t xml:space="preserve"> </w:t>
      </w:r>
      <w:r>
        <w:rPr>
          <w:w w:val="95"/>
        </w:rPr>
        <w:t>outreach</w:t>
      </w:r>
      <w:r>
        <w:rPr>
          <w:spacing w:val="16"/>
        </w:rPr>
        <w:t xml:space="preserve"> </w:t>
      </w:r>
      <w:r>
        <w:rPr>
          <w:spacing w:val="-2"/>
          <w:w w:val="95"/>
        </w:rPr>
        <w:t>plan.</w:t>
      </w:r>
    </w:p>
    <w:p w:rsidR="00C76E6D" w:rsidRDefault="00C76E6D">
      <w:pPr>
        <w:pStyle w:val="BodyText"/>
      </w:pPr>
    </w:p>
    <w:p w:rsidR="00C76E6D" w:rsidRDefault="00C76E6D">
      <w:pPr>
        <w:pStyle w:val="BodyText"/>
        <w:rPr>
          <w:sz w:val="24"/>
        </w:rPr>
      </w:pPr>
    </w:p>
    <w:p w:rsidR="00C76E6D" w:rsidRDefault="00913831">
      <w:pPr>
        <w:pStyle w:val="Heading5"/>
        <w:spacing w:before="1"/>
      </w:pPr>
      <w:r>
        <w:t>Background</w:t>
      </w:r>
      <w:r>
        <w:rPr>
          <w:spacing w:val="-15"/>
        </w:rPr>
        <w:t xml:space="preserve"> </w:t>
      </w:r>
      <w:r>
        <w:t>&amp;</w:t>
      </w:r>
      <w:r>
        <w:rPr>
          <w:spacing w:val="-6"/>
        </w:rPr>
        <w:t xml:space="preserve"> </w:t>
      </w:r>
      <w:r>
        <w:rPr>
          <w:spacing w:val="-2"/>
        </w:rPr>
        <w:t>Research</w:t>
      </w:r>
    </w:p>
    <w:p w:rsidR="00C76E6D" w:rsidRDefault="00913831">
      <w:pPr>
        <w:pStyle w:val="BodyText"/>
        <w:spacing w:before="11"/>
        <w:rPr>
          <w:b/>
          <w:sz w:val="6"/>
        </w:rPr>
      </w:pPr>
      <w:r>
        <w:pict>
          <v:shape id="docshape385" o:spid="_x0000_s1091" style="position:absolute;margin-left:65pt;margin-top:5.4pt;width:476.95pt;height:.1pt;z-index:-15650816;mso-wrap-distance-left:0;mso-wrap-distance-right:0;mso-position-horizontal-relative:page" coordorigin="1300,108" coordsize="9539,0" path="m1300,108r9539,e" filled="f" strokeweight="1.54pt">
            <v:path arrowok="t"/>
            <w10:wrap type="topAndBottom" anchorx="page"/>
          </v:shape>
        </w:pict>
      </w:r>
    </w:p>
    <w:p w:rsidR="00C76E6D" w:rsidRDefault="00C76E6D">
      <w:pPr>
        <w:pStyle w:val="BodyText"/>
        <w:rPr>
          <w:b/>
          <w:sz w:val="35"/>
        </w:rPr>
      </w:pPr>
    </w:p>
    <w:p w:rsidR="00C76E6D" w:rsidRDefault="00913831">
      <w:pPr>
        <w:pStyle w:val="BodyText"/>
        <w:spacing w:before="1" w:line="276" w:lineRule="auto"/>
        <w:ind w:left="338" w:right="334"/>
        <w:jc w:val="both"/>
      </w:pPr>
      <w:r>
        <w:rPr>
          <w:sz w:val="24"/>
        </w:rPr>
        <w:t>The</w:t>
      </w:r>
      <w:r>
        <w:rPr>
          <w:spacing w:val="-6"/>
          <w:sz w:val="24"/>
        </w:rPr>
        <w:t xml:space="preserve"> </w:t>
      </w:r>
      <w:r>
        <w:t>Massachusetts</w:t>
      </w:r>
      <w:r>
        <w:rPr>
          <w:spacing w:val="-7"/>
        </w:rPr>
        <w:t xml:space="preserve"> </w:t>
      </w:r>
      <w:r>
        <w:t>Rehabilitation</w:t>
      </w:r>
      <w:r>
        <w:rPr>
          <w:spacing w:val="-10"/>
        </w:rPr>
        <w:t xml:space="preserve"> </w:t>
      </w:r>
      <w:r>
        <w:t>Com</w:t>
      </w:r>
      <w:r>
        <w:t>mission</w:t>
      </w:r>
      <w:r>
        <w:rPr>
          <w:spacing w:val="-10"/>
        </w:rPr>
        <w:t xml:space="preserve"> </w:t>
      </w:r>
      <w:r>
        <w:t>(MRC)</w:t>
      </w:r>
      <w:r>
        <w:rPr>
          <w:spacing w:val="-10"/>
        </w:rPr>
        <w:t xml:space="preserve"> </w:t>
      </w:r>
      <w:r>
        <w:t>promotes</w:t>
      </w:r>
      <w:r>
        <w:rPr>
          <w:spacing w:val="-9"/>
        </w:rPr>
        <w:t xml:space="preserve"> </w:t>
      </w:r>
      <w:r>
        <w:t>equality,</w:t>
      </w:r>
      <w:r>
        <w:rPr>
          <w:spacing w:val="-8"/>
        </w:rPr>
        <w:t xml:space="preserve"> </w:t>
      </w:r>
      <w:r>
        <w:t>empowerment,</w:t>
      </w:r>
      <w:r>
        <w:rPr>
          <w:spacing w:val="-9"/>
        </w:rPr>
        <w:t xml:space="preserve"> </w:t>
      </w:r>
      <w:r>
        <w:t>and</w:t>
      </w:r>
      <w:r>
        <w:rPr>
          <w:spacing w:val="-10"/>
        </w:rPr>
        <w:t xml:space="preserve"> </w:t>
      </w:r>
      <w:r>
        <w:t>independence of</w:t>
      </w:r>
      <w:r>
        <w:rPr>
          <w:spacing w:val="-12"/>
        </w:rPr>
        <w:t xml:space="preserve"> </w:t>
      </w:r>
      <w:r>
        <w:t>individuals</w:t>
      </w:r>
      <w:r>
        <w:rPr>
          <w:spacing w:val="-10"/>
        </w:rPr>
        <w:t xml:space="preserve"> </w:t>
      </w:r>
      <w:r>
        <w:t>with</w:t>
      </w:r>
      <w:r>
        <w:rPr>
          <w:spacing w:val="-12"/>
        </w:rPr>
        <w:t xml:space="preserve"> </w:t>
      </w:r>
      <w:r>
        <w:t>disabilities.</w:t>
      </w:r>
      <w:r>
        <w:rPr>
          <w:spacing w:val="-13"/>
        </w:rPr>
        <w:t xml:space="preserve"> </w:t>
      </w:r>
      <w:r>
        <w:t>The</w:t>
      </w:r>
      <w:r>
        <w:rPr>
          <w:spacing w:val="-12"/>
        </w:rPr>
        <w:t xml:space="preserve"> </w:t>
      </w:r>
      <w:r>
        <w:t>role</w:t>
      </w:r>
      <w:r>
        <w:rPr>
          <w:spacing w:val="-10"/>
        </w:rPr>
        <w:t xml:space="preserve"> </w:t>
      </w:r>
      <w:r>
        <w:t>filled</w:t>
      </w:r>
      <w:r>
        <w:rPr>
          <w:spacing w:val="-11"/>
        </w:rPr>
        <w:t xml:space="preserve"> </w:t>
      </w:r>
      <w:r>
        <w:t>by</w:t>
      </w:r>
      <w:r>
        <w:rPr>
          <w:spacing w:val="-10"/>
        </w:rPr>
        <w:t xml:space="preserve"> </w:t>
      </w:r>
      <w:r>
        <w:t>MRC</w:t>
      </w:r>
      <w:r>
        <w:rPr>
          <w:spacing w:val="-11"/>
        </w:rPr>
        <w:t xml:space="preserve"> </w:t>
      </w:r>
      <w:r>
        <w:t>is</w:t>
      </w:r>
      <w:r>
        <w:rPr>
          <w:spacing w:val="-10"/>
        </w:rPr>
        <w:t xml:space="preserve"> </w:t>
      </w:r>
      <w:r>
        <w:t>an</w:t>
      </w:r>
      <w:r>
        <w:rPr>
          <w:spacing w:val="-13"/>
        </w:rPr>
        <w:t xml:space="preserve"> </w:t>
      </w:r>
      <w:r>
        <w:t>important</w:t>
      </w:r>
      <w:r>
        <w:rPr>
          <w:spacing w:val="-10"/>
        </w:rPr>
        <w:t xml:space="preserve"> </w:t>
      </w:r>
      <w:r>
        <w:t>one</w:t>
      </w:r>
      <w:r>
        <w:rPr>
          <w:spacing w:val="-11"/>
        </w:rPr>
        <w:t xml:space="preserve"> </w:t>
      </w:r>
      <w:r>
        <w:t>for</w:t>
      </w:r>
      <w:r>
        <w:rPr>
          <w:spacing w:val="-11"/>
        </w:rPr>
        <w:t xml:space="preserve"> </w:t>
      </w:r>
      <w:r>
        <w:t>LGBTQ+</w:t>
      </w:r>
      <w:r>
        <w:rPr>
          <w:spacing w:val="-12"/>
        </w:rPr>
        <w:t xml:space="preserve"> </w:t>
      </w:r>
      <w:r>
        <w:t>youth</w:t>
      </w:r>
      <w:r>
        <w:rPr>
          <w:spacing w:val="-12"/>
        </w:rPr>
        <w:t xml:space="preserve"> </w:t>
      </w:r>
      <w:r>
        <w:t>in</w:t>
      </w:r>
      <w:r>
        <w:rPr>
          <w:spacing w:val="-10"/>
        </w:rPr>
        <w:t xml:space="preserve"> </w:t>
      </w:r>
      <w:r>
        <w:t>Massachusetts, given that data suggest LGBTQ+ students are more than twice as likely to have a physical disability or long- term health problem than are their peers, and that they are also more likely to report having a long-term learning disability.</w:t>
      </w:r>
      <w:hyperlink w:anchor="_bookmark579" w:history="1">
        <w:r>
          <w:rPr>
            <w:vertAlign w:val="superscript"/>
          </w:rPr>
          <w:t>1</w:t>
        </w:r>
        <w:r>
          <w:t xml:space="preserve"> </w:t>
        </w:r>
      </w:hyperlink>
      <w:r>
        <w:t>A major study of adults in the state of Washington found that 26% of gay men and 40% of bisexual men have a disability compared to 22% of heterosexual men, and that 36% of both lesbian and bisexual women have a disability compar</w:t>
      </w:r>
      <w:r>
        <w:t>ed to 25% of heterosexual women</w:t>
      </w:r>
      <w:hyperlink w:anchor="_bookmark580" w:history="1">
        <w:r>
          <w:t>.</w:t>
        </w:r>
        <w:r>
          <w:rPr>
            <w:vertAlign w:val="superscript"/>
          </w:rPr>
          <w:t>2</w:t>
        </w:r>
      </w:hyperlink>
      <w:r>
        <w:t xml:space="preserve"> Additionally, in 2015, the National Center for Transgender Equality found that 39% of transgender people report having a disability compared to 15% of cisgender people</w:t>
      </w:r>
      <w:hyperlink w:anchor="_bookmark581" w:history="1">
        <w:r>
          <w:t>.</w:t>
        </w:r>
        <w:r>
          <w:rPr>
            <w:vertAlign w:val="superscript"/>
          </w:rPr>
          <w:t>3</w:t>
        </w:r>
        <w:r>
          <w:t xml:space="preserve"> </w:t>
        </w:r>
      </w:hyperlink>
      <w:r>
        <w:t>These and</w:t>
      </w:r>
      <w:r>
        <w:rPr>
          <w:spacing w:val="-1"/>
        </w:rPr>
        <w:t xml:space="preserve"> </w:t>
      </w:r>
      <w:r>
        <w:t>other studies suggest that</w:t>
      </w:r>
      <w:r>
        <w:rPr>
          <w:spacing w:val="-1"/>
        </w:rPr>
        <w:t xml:space="preserve"> </w:t>
      </w:r>
      <w:r>
        <w:t>LGBTQ+ youth and</w:t>
      </w:r>
      <w:r>
        <w:rPr>
          <w:spacing w:val="-1"/>
        </w:rPr>
        <w:t xml:space="preserve"> </w:t>
      </w:r>
      <w:r>
        <w:t xml:space="preserve">adults may indeed experience higher rates of disability, and also face greater exclusion from state and social services due to discrimination and stigma, thus making their ability to access </w:t>
      </w:r>
      <w:r>
        <w:t>the services that MRC provides all the more important.</w:t>
      </w:r>
    </w:p>
    <w:p w:rsidR="00C76E6D" w:rsidRDefault="00C76E6D">
      <w:pPr>
        <w:pStyle w:val="BodyText"/>
        <w:spacing w:before="8"/>
        <w:rPr>
          <w:sz w:val="19"/>
        </w:rPr>
      </w:pPr>
    </w:p>
    <w:p w:rsidR="00C76E6D" w:rsidRDefault="00913831">
      <w:pPr>
        <w:pStyle w:val="BodyText"/>
        <w:spacing w:line="276" w:lineRule="auto"/>
        <w:ind w:left="337" w:right="336"/>
        <w:jc w:val="both"/>
      </w:pPr>
      <w:r>
        <w:t>Since the Commission first issued recommendations to MRC, the agency has offered training opportunities in LGBTQ+ cultural humility, conducted an internal staff climate survey related to LGBTQ+ issues</w:t>
      </w:r>
      <w:r>
        <w:t>, and created an internal LGBTQ+ working group. MRC representatives have met regularly with Commission personnel,</w:t>
      </w:r>
      <w:r>
        <w:rPr>
          <w:spacing w:val="-13"/>
        </w:rPr>
        <w:t xml:space="preserve"> </w:t>
      </w:r>
      <w:r>
        <w:t>and</w:t>
      </w:r>
      <w:r>
        <w:rPr>
          <w:spacing w:val="-12"/>
        </w:rPr>
        <w:t xml:space="preserve"> </w:t>
      </w:r>
      <w:r>
        <w:t>an</w:t>
      </w:r>
      <w:r>
        <w:rPr>
          <w:spacing w:val="-12"/>
        </w:rPr>
        <w:t xml:space="preserve"> </w:t>
      </w:r>
      <w:r>
        <w:t>MRC</w:t>
      </w:r>
      <w:r>
        <w:rPr>
          <w:spacing w:val="-12"/>
        </w:rPr>
        <w:t xml:space="preserve"> </w:t>
      </w:r>
      <w:r>
        <w:t>liaison</w:t>
      </w:r>
      <w:r>
        <w:rPr>
          <w:spacing w:val="-12"/>
        </w:rPr>
        <w:t xml:space="preserve"> </w:t>
      </w:r>
      <w:r>
        <w:t>to</w:t>
      </w:r>
      <w:r>
        <w:rPr>
          <w:spacing w:val="-11"/>
        </w:rPr>
        <w:t xml:space="preserve"> </w:t>
      </w:r>
      <w:r>
        <w:t>the</w:t>
      </w:r>
      <w:r>
        <w:rPr>
          <w:spacing w:val="-13"/>
        </w:rPr>
        <w:t xml:space="preserve"> </w:t>
      </w:r>
      <w:r>
        <w:t>Commission,</w:t>
      </w:r>
      <w:r>
        <w:rPr>
          <w:spacing w:val="-11"/>
        </w:rPr>
        <w:t xml:space="preserve"> </w:t>
      </w:r>
      <w:r>
        <w:t>David</w:t>
      </w:r>
      <w:r>
        <w:rPr>
          <w:spacing w:val="-13"/>
        </w:rPr>
        <w:t xml:space="preserve"> </w:t>
      </w:r>
      <w:r>
        <w:t>Sykes,</w:t>
      </w:r>
      <w:r>
        <w:rPr>
          <w:spacing w:val="-11"/>
        </w:rPr>
        <w:t xml:space="preserve"> </w:t>
      </w:r>
      <w:r>
        <w:t>was</w:t>
      </w:r>
      <w:r>
        <w:rPr>
          <w:spacing w:val="-11"/>
        </w:rPr>
        <w:t xml:space="preserve"> </w:t>
      </w:r>
      <w:r>
        <w:t>honored</w:t>
      </w:r>
      <w:r>
        <w:rPr>
          <w:spacing w:val="-13"/>
        </w:rPr>
        <w:t xml:space="preserve"> </w:t>
      </w:r>
      <w:r>
        <w:t>with</w:t>
      </w:r>
      <w:r>
        <w:rPr>
          <w:spacing w:val="-12"/>
        </w:rPr>
        <w:t xml:space="preserve"> </w:t>
      </w:r>
      <w:r>
        <w:t>an</w:t>
      </w:r>
      <w:r>
        <w:rPr>
          <w:spacing w:val="-13"/>
        </w:rPr>
        <w:t xml:space="preserve"> </w:t>
      </w:r>
      <w:r>
        <w:t>Advancing</w:t>
      </w:r>
      <w:r>
        <w:rPr>
          <w:spacing w:val="-11"/>
        </w:rPr>
        <w:t xml:space="preserve"> </w:t>
      </w:r>
      <w:r>
        <w:t>Equity</w:t>
      </w:r>
      <w:r>
        <w:rPr>
          <w:spacing w:val="-12"/>
        </w:rPr>
        <w:t xml:space="preserve"> </w:t>
      </w:r>
      <w:r>
        <w:t>Award from the Commission in March 2018. MRC Commissioner Toni Wolf also met with Commission members personally in FY18 and had a productive conversation on MRC’s progress regarding the Commission’s recommendations. Finally, in 2020, MRC incorporated a non</w:t>
      </w:r>
      <w:r>
        <w:t>-binary gender marker option into their MRC Connect online application.</w:t>
      </w:r>
    </w:p>
    <w:p w:rsidR="00C76E6D" w:rsidRDefault="00C76E6D">
      <w:pPr>
        <w:spacing w:line="276" w:lineRule="auto"/>
        <w:jc w:val="both"/>
        <w:sectPr w:rsidR="00C76E6D">
          <w:headerReference w:type="default" r:id="rId413"/>
          <w:footerReference w:type="default" r:id="rId414"/>
          <w:pgSz w:w="12240" w:h="15840"/>
          <w:pgMar w:top="1020" w:right="960" w:bottom="640" w:left="960" w:header="832" w:footer="440" w:gutter="0"/>
          <w:cols w:space="720"/>
        </w:sectPr>
      </w:pPr>
    </w:p>
    <w:p w:rsidR="00C76E6D" w:rsidRDefault="00C76E6D">
      <w:pPr>
        <w:pStyle w:val="BodyText"/>
        <w:rPr>
          <w:sz w:val="20"/>
        </w:rPr>
      </w:pPr>
    </w:p>
    <w:p w:rsidR="00C76E6D" w:rsidRDefault="00C76E6D">
      <w:pPr>
        <w:pStyle w:val="BodyText"/>
        <w:spacing w:before="6"/>
      </w:pPr>
    </w:p>
    <w:p w:rsidR="00C76E6D" w:rsidRDefault="00913831">
      <w:pPr>
        <w:pStyle w:val="Heading5"/>
        <w:spacing w:before="52"/>
      </w:pPr>
      <w:r>
        <w:pict>
          <v:shape id="docshape386" o:spid="_x0000_s1090" style="position:absolute;left:0;text-align:left;margin-left:65pt;margin-top:18.9pt;width:476.95pt;height:.1pt;z-index:-15650304;mso-wrap-distance-left:0;mso-wrap-distance-right:0;mso-position-horizontal-relative:page" coordorigin="1300,378" coordsize="9539,0" path="m1300,378r9539,e" filled="f" strokeweight="1.54pt">
            <v:path arrowok="t"/>
            <w10:wrap type="topAndBottom" anchorx="page"/>
          </v:shape>
        </w:pict>
      </w:r>
      <w:r>
        <w:rPr>
          <w:spacing w:val="-2"/>
        </w:rPr>
        <w:t>Expanded</w:t>
      </w:r>
      <w:r>
        <w:t xml:space="preserve"> </w:t>
      </w:r>
      <w:r>
        <w:rPr>
          <w:spacing w:val="-2"/>
        </w:rPr>
        <w:t>Recommendations</w:t>
      </w:r>
    </w:p>
    <w:p w:rsidR="00C76E6D" w:rsidRDefault="00C76E6D">
      <w:pPr>
        <w:pStyle w:val="BodyText"/>
        <w:spacing w:before="6"/>
        <w:rPr>
          <w:b/>
          <w:sz w:val="26"/>
        </w:rPr>
      </w:pPr>
    </w:p>
    <w:p w:rsidR="00C76E6D" w:rsidRDefault="00913831">
      <w:pPr>
        <w:pStyle w:val="Heading6"/>
        <w:numPr>
          <w:ilvl w:val="0"/>
          <w:numId w:val="12"/>
        </w:numPr>
        <w:tabs>
          <w:tab w:val="left" w:pos="568"/>
        </w:tabs>
        <w:spacing w:before="1"/>
        <w:jc w:val="both"/>
      </w:pPr>
      <w:bookmarkStart w:id="810" w:name="1._Create_a_comprehensive_nondiscriminat"/>
      <w:bookmarkEnd w:id="810"/>
      <w:r>
        <w:rPr>
          <w:w w:val="95"/>
        </w:rPr>
        <w:t>Create</w:t>
      </w:r>
      <w:r>
        <w:rPr>
          <w:spacing w:val="16"/>
        </w:rPr>
        <w:t xml:space="preserve"> </w:t>
      </w:r>
      <w:r>
        <w:rPr>
          <w:w w:val="95"/>
        </w:rPr>
        <w:t>a</w:t>
      </w:r>
      <w:r>
        <w:rPr>
          <w:spacing w:val="15"/>
        </w:rPr>
        <w:t xml:space="preserve"> </w:t>
      </w:r>
      <w:r>
        <w:rPr>
          <w:w w:val="95"/>
        </w:rPr>
        <w:t>comprehensive</w:t>
      </w:r>
      <w:r>
        <w:rPr>
          <w:spacing w:val="16"/>
        </w:rPr>
        <w:t xml:space="preserve"> </w:t>
      </w:r>
      <w:r>
        <w:rPr>
          <w:w w:val="95"/>
        </w:rPr>
        <w:t>nondiscrimination</w:t>
      </w:r>
      <w:r>
        <w:rPr>
          <w:spacing w:val="18"/>
        </w:rPr>
        <w:t xml:space="preserve"> </w:t>
      </w:r>
      <w:r>
        <w:rPr>
          <w:w w:val="95"/>
        </w:rPr>
        <w:t>and</w:t>
      </w:r>
      <w:r>
        <w:rPr>
          <w:spacing w:val="17"/>
        </w:rPr>
        <w:t xml:space="preserve"> </w:t>
      </w:r>
      <w:r>
        <w:rPr>
          <w:w w:val="95"/>
        </w:rPr>
        <w:t>inclusion</w:t>
      </w:r>
      <w:r>
        <w:rPr>
          <w:spacing w:val="16"/>
        </w:rPr>
        <w:t xml:space="preserve"> </w:t>
      </w:r>
      <w:r>
        <w:rPr>
          <w:w w:val="95"/>
        </w:rPr>
        <w:t>policy</w:t>
      </w:r>
      <w:r>
        <w:rPr>
          <w:spacing w:val="15"/>
        </w:rPr>
        <w:t xml:space="preserve"> </w:t>
      </w:r>
      <w:r>
        <w:rPr>
          <w:w w:val="95"/>
        </w:rPr>
        <w:t>for</w:t>
      </w:r>
      <w:r>
        <w:rPr>
          <w:spacing w:val="18"/>
        </w:rPr>
        <w:t xml:space="preserve"> </w:t>
      </w:r>
      <w:r>
        <w:rPr>
          <w:w w:val="95"/>
        </w:rPr>
        <w:t>LGBTQ</w:t>
      </w:r>
      <w:r>
        <w:rPr>
          <w:spacing w:val="17"/>
        </w:rPr>
        <w:t xml:space="preserve"> </w:t>
      </w:r>
      <w:r>
        <w:rPr>
          <w:spacing w:val="-2"/>
          <w:w w:val="95"/>
        </w:rPr>
        <w:t>clients.</w:t>
      </w:r>
    </w:p>
    <w:p w:rsidR="00C76E6D" w:rsidRDefault="00C76E6D">
      <w:pPr>
        <w:pStyle w:val="BodyText"/>
        <w:spacing w:before="6"/>
        <w:rPr>
          <w:b/>
          <w:sz w:val="28"/>
        </w:rPr>
      </w:pPr>
    </w:p>
    <w:p w:rsidR="00C76E6D" w:rsidRDefault="00913831">
      <w:pPr>
        <w:pStyle w:val="BodyText"/>
        <w:spacing w:line="276" w:lineRule="auto"/>
        <w:ind w:left="627" w:right="337"/>
        <w:jc w:val="both"/>
      </w:pPr>
      <w:r>
        <w:t>The</w:t>
      </w:r>
      <w:r>
        <w:rPr>
          <w:spacing w:val="-4"/>
        </w:rPr>
        <w:t xml:space="preserve"> </w:t>
      </w:r>
      <w:r>
        <w:t>Commission</w:t>
      </w:r>
      <w:r>
        <w:rPr>
          <w:spacing w:val="-4"/>
        </w:rPr>
        <w:t xml:space="preserve"> </w:t>
      </w:r>
      <w:r>
        <w:t>is</w:t>
      </w:r>
      <w:r>
        <w:rPr>
          <w:spacing w:val="-3"/>
        </w:rPr>
        <w:t xml:space="preserve"> </w:t>
      </w:r>
      <w:r>
        <w:t>excited</w:t>
      </w:r>
      <w:r>
        <w:rPr>
          <w:spacing w:val="-1"/>
        </w:rPr>
        <w:t xml:space="preserve"> </w:t>
      </w:r>
      <w:r>
        <w:t>to</w:t>
      </w:r>
      <w:r>
        <w:rPr>
          <w:spacing w:val="-3"/>
        </w:rPr>
        <w:t xml:space="preserve"> </w:t>
      </w:r>
      <w:r>
        <w:t>hear</w:t>
      </w:r>
      <w:r>
        <w:rPr>
          <w:spacing w:val="-3"/>
        </w:rPr>
        <w:t xml:space="preserve"> </w:t>
      </w:r>
      <w:r>
        <w:t>that</w:t>
      </w:r>
      <w:r>
        <w:rPr>
          <w:spacing w:val="-3"/>
        </w:rPr>
        <w:t xml:space="preserve"> </w:t>
      </w:r>
      <w:r>
        <w:t>MRC</w:t>
      </w:r>
      <w:r>
        <w:rPr>
          <w:spacing w:val="-2"/>
        </w:rPr>
        <w:t xml:space="preserve"> </w:t>
      </w:r>
      <w:r>
        <w:t>has</w:t>
      </w:r>
      <w:r>
        <w:rPr>
          <w:spacing w:val="-2"/>
        </w:rPr>
        <w:t xml:space="preserve"> </w:t>
      </w:r>
      <w:r>
        <w:t>made</w:t>
      </w:r>
      <w:r>
        <w:rPr>
          <w:spacing w:val="-3"/>
        </w:rPr>
        <w:t xml:space="preserve"> </w:t>
      </w:r>
      <w:r>
        <w:t>concrete</w:t>
      </w:r>
      <w:r>
        <w:rPr>
          <w:spacing w:val="-3"/>
        </w:rPr>
        <w:t xml:space="preserve"> </w:t>
      </w:r>
      <w:r>
        <w:t>steps</w:t>
      </w:r>
      <w:r>
        <w:rPr>
          <w:spacing w:val="-2"/>
        </w:rPr>
        <w:t xml:space="preserve"> </w:t>
      </w:r>
      <w:r>
        <w:t>towards</w:t>
      </w:r>
      <w:r>
        <w:rPr>
          <w:spacing w:val="-1"/>
        </w:rPr>
        <w:t xml:space="preserve"> </w:t>
      </w:r>
      <w:r>
        <w:t>creating</w:t>
      </w:r>
      <w:r>
        <w:rPr>
          <w:spacing w:val="-4"/>
        </w:rPr>
        <w:t xml:space="preserve"> </w:t>
      </w:r>
      <w:r>
        <w:t>a</w:t>
      </w:r>
      <w:r>
        <w:rPr>
          <w:spacing w:val="-2"/>
        </w:rPr>
        <w:t xml:space="preserve"> </w:t>
      </w:r>
      <w:r>
        <w:t>comprehensive nondiscrimination and inclusion policy for LGBTQ+ clients with attention to intersectional identities. In 2021, MRC informed the Commission that they had f</w:t>
      </w:r>
      <w:r>
        <w:t>ormed a Unity Group that has begun research to implement relevant recommendations of the Commission and plans to develop guidance similar to the DYS</w:t>
      </w:r>
      <w:r>
        <w:rPr>
          <w:spacing w:val="-4"/>
        </w:rPr>
        <w:t xml:space="preserve"> </w:t>
      </w:r>
      <w:r>
        <w:t>policy</w:t>
      </w:r>
      <w:r>
        <w:rPr>
          <w:spacing w:val="-3"/>
        </w:rPr>
        <w:t xml:space="preserve"> </w:t>
      </w:r>
      <w:r>
        <w:t>on</w:t>
      </w:r>
      <w:r>
        <w:rPr>
          <w:spacing w:val="-3"/>
        </w:rPr>
        <w:t xml:space="preserve"> </w:t>
      </w:r>
      <w:r>
        <w:t>the</w:t>
      </w:r>
      <w:r>
        <w:rPr>
          <w:spacing w:val="-4"/>
        </w:rPr>
        <w:t xml:space="preserve"> </w:t>
      </w:r>
      <w:r>
        <w:t>Prohibition</w:t>
      </w:r>
      <w:r>
        <w:rPr>
          <w:spacing w:val="-4"/>
        </w:rPr>
        <w:t xml:space="preserve"> </w:t>
      </w:r>
      <w:r>
        <w:t>of</w:t>
      </w:r>
      <w:r>
        <w:rPr>
          <w:spacing w:val="-4"/>
        </w:rPr>
        <w:t xml:space="preserve"> </w:t>
      </w:r>
      <w:r>
        <w:t>Harassment</w:t>
      </w:r>
      <w:r>
        <w:rPr>
          <w:spacing w:val="-3"/>
        </w:rPr>
        <w:t xml:space="preserve"> </w:t>
      </w:r>
      <w:r>
        <w:t>and</w:t>
      </w:r>
      <w:r>
        <w:rPr>
          <w:spacing w:val="-3"/>
        </w:rPr>
        <w:t xml:space="preserve"> </w:t>
      </w:r>
      <w:r>
        <w:t>Discrimination</w:t>
      </w:r>
      <w:r>
        <w:rPr>
          <w:spacing w:val="-4"/>
        </w:rPr>
        <w:t xml:space="preserve"> </w:t>
      </w:r>
      <w:r>
        <w:t>Against</w:t>
      </w:r>
      <w:r>
        <w:rPr>
          <w:spacing w:val="-3"/>
        </w:rPr>
        <w:t xml:space="preserve"> </w:t>
      </w:r>
      <w:r>
        <w:t>Youth,</w:t>
      </w:r>
      <w:r>
        <w:rPr>
          <w:spacing w:val="-1"/>
        </w:rPr>
        <w:t xml:space="preserve"> </w:t>
      </w:r>
      <w:r>
        <w:t>specific</w:t>
      </w:r>
      <w:r>
        <w:rPr>
          <w:spacing w:val="-2"/>
        </w:rPr>
        <w:t xml:space="preserve"> </w:t>
      </w:r>
      <w:r>
        <w:t>to</w:t>
      </w:r>
      <w:r>
        <w:rPr>
          <w:spacing w:val="-2"/>
        </w:rPr>
        <w:t xml:space="preserve"> </w:t>
      </w:r>
      <w:r>
        <w:t>the</w:t>
      </w:r>
      <w:r>
        <w:rPr>
          <w:spacing w:val="-4"/>
        </w:rPr>
        <w:t xml:space="preserve"> </w:t>
      </w:r>
      <w:r>
        <w:t>population served</w:t>
      </w:r>
      <w:r>
        <w:t xml:space="preserve"> by MRC. In FY22, the Unity Group began drafting up a nondiscrimination statement which was recently shared with the MRC DEI Council to provide feedback, and the Commission looks forward to reviewing a draft of the statement in FY 2023. The Commission stro</w:t>
      </w:r>
      <w:r>
        <w:t>ngly supports the work of MRC and will continue to work with MRC in FY 2023.</w:t>
      </w:r>
    </w:p>
    <w:p w:rsidR="00C76E6D" w:rsidRDefault="00C76E6D">
      <w:pPr>
        <w:pStyle w:val="BodyText"/>
        <w:spacing w:before="8"/>
        <w:rPr>
          <w:sz w:val="19"/>
        </w:rPr>
      </w:pPr>
    </w:p>
    <w:p w:rsidR="00C76E6D" w:rsidRDefault="00913831">
      <w:pPr>
        <w:pStyle w:val="Heading6"/>
        <w:numPr>
          <w:ilvl w:val="0"/>
          <w:numId w:val="12"/>
        </w:numPr>
        <w:tabs>
          <w:tab w:val="left" w:pos="609"/>
        </w:tabs>
        <w:spacing w:line="276" w:lineRule="auto"/>
        <w:ind w:left="338" w:right="337" w:hanging="1"/>
        <w:jc w:val="both"/>
      </w:pPr>
      <w:bookmarkStart w:id="811" w:name="2._Continue_to_adopt_LGBTQ-inclusive_int"/>
      <w:bookmarkEnd w:id="811"/>
      <w:r>
        <w:t xml:space="preserve">Continue to adopt LGBTQ-inclusive intake forms and appropriately train staff on implementation </w:t>
      </w:r>
      <w:r>
        <w:rPr>
          <w:spacing w:val="-2"/>
        </w:rPr>
        <w:t>procedures.</w:t>
      </w:r>
    </w:p>
    <w:p w:rsidR="00C76E6D" w:rsidRDefault="00C76E6D">
      <w:pPr>
        <w:pStyle w:val="BodyText"/>
        <w:spacing w:before="3"/>
        <w:rPr>
          <w:b/>
          <w:sz w:val="25"/>
        </w:rPr>
      </w:pPr>
    </w:p>
    <w:p w:rsidR="00C76E6D" w:rsidRDefault="00913831">
      <w:pPr>
        <w:pStyle w:val="BodyText"/>
        <w:spacing w:line="276" w:lineRule="auto"/>
        <w:ind w:left="627" w:right="334"/>
        <w:jc w:val="both"/>
      </w:pPr>
      <w:r>
        <w:t>Since 2020, MRC has been discussing how best to implement the recommendations provided by the MaeBright Group under contract with the Commission, which detail how to make their systems more LGBTQ+ inclusive. The MRC LGBTQ+ &amp; Allies Committee presented this</w:t>
      </w:r>
      <w:r>
        <w:t xml:space="preserve"> plan to Commissioner Wolf in January</w:t>
      </w:r>
      <w:r>
        <w:rPr>
          <w:spacing w:val="-4"/>
        </w:rPr>
        <w:t xml:space="preserve"> </w:t>
      </w:r>
      <w:r>
        <w:t>2020</w:t>
      </w:r>
      <w:r>
        <w:rPr>
          <w:spacing w:val="-4"/>
        </w:rPr>
        <w:t xml:space="preserve"> </w:t>
      </w:r>
      <w:r>
        <w:t>and</w:t>
      </w:r>
      <w:r>
        <w:rPr>
          <w:spacing w:val="-4"/>
        </w:rPr>
        <w:t xml:space="preserve"> </w:t>
      </w:r>
      <w:r>
        <w:t>began</w:t>
      </w:r>
      <w:r>
        <w:rPr>
          <w:spacing w:val="-4"/>
        </w:rPr>
        <w:t xml:space="preserve"> </w:t>
      </w:r>
      <w:r>
        <w:t>working</w:t>
      </w:r>
      <w:r>
        <w:rPr>
          <w:spacing w:val="-4"/>
        </w:rPr>
        <w:t xml:space="preserve"> </w:t>
      </w:r>
      <w:r>
        <w:t>within</w:t>
      </w:r>
      <w:r>
        <w:rPr>
          <w:spacing w:val="-2"/>
        </w:rPr>
        <w:t xml:space="preserve"> </w:t>
      </w:r>
      <w:r>
        <w:t>the</w:t>
      </w:r>
      <w:r>
        <w:rPr>
          <w:spacing w:val="-4"/>
        </w:rPr>
        <w:t xml:space="preserve"> </w:t>
      </w:r>
      <w:r>
        <w:t>agency’s</w:t>
      </w:r>
      <w:r>
        <w:rPr>
          <w:spacing w:val="-1"/>
        </w:rPr>
        <w:t xml:space="preserve"> </w:t>
      </w:r>
      <w:r>
        <w:t>business</w:t>
      </w:r>
      <w:r>
        <w:rPr>
          <w:spacing w:val="-4"/>
        </w:rPr>
        <w:t xml:space="preserve"> </w:t>
      </w:r>
      <w:r>
        <w:t>process</w:t>
      </w:r>
      <w:r>
        <w:rPr>
          <w:spacing w:val="-3"/>
        </w:rPr>
        <w:t xml:space="preserve"> </w:t>
      </w:r>
      <w:r>
        <w:t>redesign</w:t>
      </w:r>
      <w:r>
        <w:rPr>
          <w:spacing w:val="-3"/>
        </w:rPr>
        <w:t xml:space="preserve"> </w:t>
      </w:r>
      <w:r>
        <w:t>working</w:t>
      </w:r>
      <w:r>
        <w:rPr>
          <w:spacing w:val="-4"/>
        </w:rPr>
        <w:t xml:space="preserve"> </w:t>
      </w:r>
      <w:r>
        <w:t>groups</w:t>
      </w:r>
      <w:r>
        <w:rPr>
          <w:spacing w:val="-3"/>
        </w:rPr>
        <w:t xml:space="preserve"> </w:t>
      </w:r>
      <w:r>
        <w:t>in</w:t>
      </w:r>
      <w:r>
        <w:rPr>
          <w:spacing w:val="-3"/>
        </w:rPr>
        <w:t xml:space="preserve"> </w:t>
      </w:r>
      <w:r>
        <w:t>March 2020</w:t>
      </w:r>
      <w:r>
        <w:rPr>
          <w:spacing w:val="-4"/>
        </w:rPr>
        <w:t xml:space="preserve"> </w:t>
      </w:r>
      <w:r>
        <w:t>to</w:t>
      </w:r>
      <w:r>
        <w:rPr>
          <w:spacing w:val="-4"/>
        </w:rPr>
        <w:t xml:space="preserve"> </w:t>
      </w:r>
      <w:r>
        <w:t>implement</w:t>
      </w:r>
      <w:r>
        <w:rPr>
          <w:spacing w:val="-3"/>
        </w:rPr>
        <w:t xml:space="preserve"> </w:t>
      </w:r>
      <w:r>
        <w:t>changes.</w:t>
      </w:r>
      <w:r>
        <w:rPr>
          <w:spacing w:val="-5"/>
        </w:rPr>
        <w:t xml:space="preserve"> </w:t>
      </w:r>
      <w:r>
        <w:t>The</w:t>
      </w:r>
      <w:r>
        <w:rPr>
          <w:spacing w:val="-3"/>
        </w:rPr>
        <w:t xml:space="preserve"> </w:t>
      </w:r>
      <w:r>
        <w:t>LGBTQ+</w:t>
      </w:r>
      <w:r>
        <w:rPr>
          <w:spacing w:val="-4"/>
        </w:rPr>
        <w:t xml:space="preserve"> </w:t>
      </w:r>
      <w:r>
        <w:t>&amp;</w:t>
      </w:r>
      <w:r>
        <w:rPr>
          <w:spacing w:val="-3"/>
        </w:rPr>
        <w:t xml:space="preserve"> </w:t>
      </w:r>
      <w:r>
        <w:t>Allies</w:t>
      </w:r>
      <w:r>
        <w:rPr>
          <w:spacing w:val="-2"/>
        </w:rPr>
        <w:t xml:space="preserve"> </w:t>
      </w:r>
      <w:r>
        <w:t>Committee</w:t>
      </w:r>
      <w:r>
        <w:rPr>
          <w:spacing w:val="-3"/>
        </w:rPr>
        <w:t xml:space="preserve"> </w:t>
      </w:r>
      <w:r>
        <w:t>will</w:t>
      </w:r>
      <w:r>
        <w:rPr>
          <w:spacing w:val="-4"/>
        </w:rPr>
        <w:t xml:space="preserve"> </w:t>
      </w:r>
      <w:r>
        <w:t>also</w:t>
      </w:r>
      <w:r>
        <w:rPr>
          <w:spacing w:val="-4"/>
        </w:rPr>
        <w:t xml:space="preserve"> </w:t>
      </w:r>
      <w:r>
        <w:t>be</w:t>
      </w:r>
      <w:r>
        <w:rPr>
          <w:spacing w:val="-3"/>
        </w:rPr>
        <w:t xml:space="preserve"> </w:t>
      </w:r>
      <w:r>
        <w:t>working</w:t>
      </w:r>
      <w:r>
        <w:rPr>
          <w:spacing w:val="-3"/>
        </w:rPr>
        <w:t xml:space="preserve"> </w:t>
      </w:r>
      <w:r>
        <w:t>with</w:t>
      </w:r>
      <w:r>
        <w:rPr>
          <w:spacing w:val="-3"/>
        </w:rPr>
        <w:t xml:space="preserve"> </w:t>
      </w:r>
      <w:r>
        <w:t>the</w:t>
      </w:r>
      <w:r>
        <w:rPr>
          <w:spacing w:val="-2"/>
        </w:rPr>
        <w:t xml:space="preserve"> </w:t>
      </w:r>
      <w:r>
        <w:t>MRC</w:t>
      </w:r>
      <w:r>
        <w:rPr>
          <w:spacing w:val="-1"/>
        </w:rPr>
        <w:t xml:space="preserve"> </w:t>
      </w:r>
      <w:r>
        <w:t>Learning and Development team to ensure that the necessary training is conducted once the recommendations have been implemented.</w:t>
      </w:r>
    </w:p>
    <w:p w:rsidR="00C76E6D" w:rsidRDefault="00C76E6D">
      <w:pPr>
        <w:pStyle w:val="BodyText"/>
        <w:spacing w:before="9"/>
        <w:rPr>
          <w:sz w:val="19"/>
        </w:rPr>
      </w:pPr>
    </w:p>
    <w:p w:rsidR="00C76E6D" w:rsidRDefault="00913831">
      <w:pPr>
        <w:pStyle w:val="BodyText"/>
        <w:spacing w:line="276" w:lineRule="auto"/>
        <w:ind w:left="628" w:right="334" w:hanging="1"/>
        <w:jc w:val="both"/>
      </w:pPr>
      <w:r>
        <w:t>Over</w:t>
      </w:r>
      <w:r>
        <w:rPr>
          <w:spacing w:val="-8"/>
        </w:rPr>
        <w:t xml:space="preserve"> </w:t>
      </w:r>
      <w:r>
        <w:t>the</w:t>
      </w:r>
      <w:r>
        <w:rPr>
          <w:spacing w:val="-9"/>
        </w:rPr>
        <w:t xml:space="preserve"> </w:t>
      </w:r>
      <w:r>
        <w:t>last</w:t>
      </w:r>
      <w:r>
        <w:rPr>
          <w:spacing w:val="-8"/>
        </w:rPr>
        <w:t xml:space="preserve"> </w:t>
      </w:r>
      <w:r>
        <w:t>fiscal</w:t>
      </w:r>
      <w:r>
        <w:rPr>
          <w:spacing w:val="-9"/>
        </w:rPr>
        <w:t xml:space="preserve"> </w:t>
      </w:r>
      <w:r>
        <w:t>year,</w:t>
      </w:r>
      <w:r>
        <w:rPr>
          <w:spacing w:val="-9"/>
        </w:rPr>
        <w:t xml:space="preserve"> </w:t>
      </w:r>
      <w:r>
        <w:t>MRC</w:t>
      </w:r>
      <w:r>
        <w:rPr>
          <w:spacing w:val="-9"/>
        </w:rPr>
        <w:t xml:space="preserve"> </w:t>
      </w:r>
      <w:r>
        <w:t>has</w:t>
      </w:r>
      <w:r>
        <w:rPr>
          <w:spacing w:val="-9"/>
        </w:rPr>
        <w:t xml:space="preserve"> </w:t>
      </w:r>
      <w:r>
        <w:t>begun</w:t>
      </w:r>
      <w:r>
        <w:rPr>
          <w:spacing w:val="-8"/>
        </w:rPr>
        <w:t xml:space="preserve"> </w:t>
      </w:r>
      <w:r>
        <w:t>to</w:t>
      </w:r>
      <w:r>
        <w:rPr>
          <w:spacing w:val="-8"/>
        </w:rPr>
        <w:t xml:space="preserve"> </w:t>
      </w:r>
      <w:r>
        <w:t>expand</w:t>
      </w:r>
      <w:r>
        <w:rPr>
          <w:spacing w:val="-9"/>
        </w:rPr>
        <w:t xml:space="preserve"> </w:t>
      </w:r>
      <w:r>
        <w:t>its</w:t>
      </w:r>
      <w:r>
        <w:rPr>
          <w:spacing w:val="-8"/>
        </w:rPr>
        <w:t xml:space="preserve"> </w:t>
      </w:r>
      <w:r>
        <w:t>SOGIE</w:t>
      </w:r>
      <w:r>
        <w:rPr>
          <w:spacing w:val="-9"/>
        </w:rPr>
        <w:t xml:space="preserve"> </w:t>
      </w:r>
      <w:r>
        <w:t>data</w:t>
      </w:r>
      <w:r>
        <w:rPr>
          <w:spacing w:val="-8"/>
        </w:rPr>
        <w:t xml:space="preserve"> </w:t>
      </w:r>
      <w:r>
        <w:t>collection</w:t>
      </w:r>
      <w:r>
        <w:rPr>
          <w:spacing w:val="-9"/>
        </w:rPr>
        <w:t xml:space="preserve"> </w:t>
      </w:r>
      <w:r>
        <w:t>variables</w:t>
      </w:r>
      <w:r>
        <w:rPr>
          <w:spacing w:val="-8"/>
        </w:rPr>
        <w:t xml:space="preserve"> </w:t>
      </w:r>
      <w:r>
        <w:t>to</w:t>
      </w:r>
      <w:r>
        <w:rPr>
          <w:spacing w:val="-8"/>
        </w:rPr>
        <w:t xml:space="preserve"> </w:t>
      </w:r>
      <w:r>
        <w:t>include</w:t>
      </w:r>
      <w:r>
        <w:rPr>
          <w:spacing w:val="-9"/>
        </w:rPr>
        <w:t xml:space="preserve"> </w:t>
      </w:r>
      <w:r>
        <w:t>questions around sexual orientation and gender identity, and has built out options around family structures and marital status. These new data points are currently being utilized by MRC Connect, as well as the Adult Supported Living and Turning 22 units. T</w:t>
      </w:r>
      <w:r>
        <w:t>he Commission commends this progress and looks forward to continuing to support MRC as</w:t>
      </w:r>
      <w:r>
        <w:rPr>
          <w:spacing w:val="-1"/>
        </w:rPr>
        <w:t xml:space="preserve"> </w:t>
      </w:r>
      <w:r>
        <w:t>it</w:t>
      </w:r>
      <w:r>
        <w:rPr>
          <w:spacing w:val="-2"/>
        </w:rPr>
        <w:t xml:space="preserve"> </w:t>
      </w:r>
      <w:r>
        <w:t>works to</w:t>
      </w:r>
      <w:r>
        <w:rPr>
          <w:spacing w:val="-1"/>
        </w:rPr>
        <w:t xml:space="preserve"> </w:t>
      </w:r>
      <w:r>
        <w:t>review</w:t>
      </w:r>
      <w:r>
        <w:rPr>
          <w:spacing w:val="-1"/>
        </w:rPr>
        <w:t xml:space="preserve"> </w:t>
      </w:r>
      <w:r>
        <w:t>other</w:t>
      </w:r>
      <w:r>
        <w:rPr>
          <w:spacing w:val="-1"/>
        </w:rPr>
        <w:t xml:space="preserve"> </w:t>
      </w:r>
      <w:r>
        <w:t>areas</w:t>
      </w:r>
      <w:r>
        <w:rPr>
          <w:spacing w:val="-1"/>
        </w:rPr>
        <w:t xml:space="preserve"> </w:t>
      </w:r>
      <w:r>
        <w:t>it</w:t>
      </w:r>
      <w:r>
        <w:rPr>
          <w:spacing w:val="-1"/>
        </w:rPr>
        <w:t xml:space="preserve"> </w:t>
      </w:r>
      <w:r>
        <w:t>can</w:t>
      </w:r>
      <w:r>
        <w:rPr>
          <w:spacing w:val="-2"/>
        </w:rPr>
        <w:t xml:space="preserve"> </w:t>
      </w:r>
      <w:r>
        <w:t>make</w:t>
      </w:r>
      <w:r>
        <w:rPr>
          <w:spacing w:val="-2"/>
        </w:rPr>
        <w:t xml:space="preserve"> </w:t>
      </w:r>
      <w:r>
        <w:t>its application process</w:t>
      </w:r>
      <w:r>
        <w:rPr>
          <w:spacing w:val="-1"/>
        </w:rPr>
        <w:t xml:space="preserve"> </w:t>
      </w:r>
      <w:r>
        <w:t>and</w:t>
      </w:r>
      <w:r>
        <w:rPr>
          <w:spacing w:val="-1"/>
        </w:rPr>
        <w:t xml:space="preserve"> </w:t>
      </w:r>
      <w:r>
        <w:t>data collection more inclusive agency-wide. Moving forward into FY 2023, the Commission and MRC wi</w:t>
      </w:r>
      <w:r>
        <w:t>ll explore training opportunities to ensure that all staff are trained on the necessity of this data collection.</w:t>
      </w:r>
    </w:p>
    <w:p w:rsidR="00C76E6D" w:rsidRDefault="00C76E6D">
      <w:pPr>
        <w:pStyle w:val="BodyText"/>
        <w:spacing w:before="2"/>
        <w:rPr>
          <w:sz w:val="25"/>
        </w:rPr>
      </w:pPr>
    </w:p>
    <w:p w:rsidR="00C76E6D" w:rsidRDefault="00913831">
      <w:pPr>
        <w:pStyle w:val="Heading6"/>
        <w:numPr>
          <w:ilvl w:val="0"/>
          <w:numId w:val="12"/>
        </w:numPr>
        <w:tabs>
          <w:tab w:val="left" w:pos="594"/>
        </w:tabs>
        <w:spacing w:before="1" w:line="276" w:lineRule="auto"/>
        <w:ind w:left="338" w:right="335" w:hanging="1"/>
        <w:jc w:val="both"/>
      </w:pPr>
      <w:bookmarkStart w:id="812" w:name="3._Provide_LGBTQ_cultural_humility_train"/>
      <w:bookmarkEnd w:id="812"/>
      <w:r>
        <w:t>Provide LGBTQ cultural humility training for all youth-serving staff and providers and continue</w:t>
      </w:r>
      <w:r>
        <w:rPr>
          <w:spacing w:val="80"/>
        </w:rPr>
        <w:t xml:space="preserve"> </w:t>
      </w:r>
      <w:r>
        <w:t>working with the EOHHS interagency committee t</w:t>
      </w:r>
      <w:r>
        <w:t xml:space="preserve">o complete a universal training and explore </w:t>
      </w:r>
      <w:r>
        <w:rPr>
          <w:spacing w:val="-2"/>
        </w:rPr>
        <w:t>implementation.</w:t>
      </w:r>
    </w:p>
    <w:p w:rsidR="00C76E6D" w:rsidRDefault="00C76E6D">
      <w:pPr>
        <w:pStyle w:val="BodyText"/>
        <w:spacing w:before="7"/>
        <w:rPr>
          <w:b/>
          <w:sz w:val="19"/>
        </w:rPr>
      </w:pPr>
    </w:p>
    <w:p w:rsidR="00C76E6D" w:rsidRDefault="00913831">
      <w:pPr>
        <w:pStyle w:val="BodyText"/>
        <w:spacing w:line="276" w:lineRule="auto"/>
        <w:ind w:left="627" w:right="334"/>
        <w:jc w:val="both"/>
      </w:pPr>
      <w:r>
        <w:t>The Commission recommends that MRC provide LGBTQ competency training for all staff and providers who work with youth, if not all staff. MRC staff have worked to ensure such changes would comply w</w:t>
      </w:r>
      <w:r>
        <w:t xml:space="preserve">ith </w:t>
      </w:r>
      <w:r>
        <w:rPr>
          <w:spacing w:val="-2"/>
        </w:rPr>
        <w:t xml:space="preserve">requirements from the federal government and have also discussed providing LGBTQ competency training </w:t>
      </w:r>
      <w:r>
        <w:t>for MRC staff. In 2022, staff from MRC participated in a train-the-trainer lunch and learn session hosted and</w:t>
      </w:r>
      <w:r>
        <w:rPr>
          <w:spacing w:val="-5"/>
        </w:rPr>
        <w:t xml:space="preserve"> </w:t>
      </w:r>
      <w:r>
        <w:t>developed</w:t>
      </w:r>
      <w:r>
        <w:rPr>
          <w:spacing w:val="-7"/>
        </w:rPr>
        <w:t xml:space="preserve"> </w:t>
      </w:r>
      <w:r>
        <w:t>by</w:t>
      </w:r>
      <w:r>
        <w:rPr>
          <w:spacing w:val="-3"/>
        </w:rPr>
        <w:t xml:space="preserve"> </w:t>
      </w:r>
      <w:r>
        <w:t>EOHHS</w:t>
      </w:r>
      <w:r>
        <w:rPr>
          <w:spacing w:val="-5"/>
        </w:rPr>
        <w:t xml:space="preserve"> </w:t>
      </w:r>
      <w:r>
        <w:t>and</w:t>
      </w:r>
      <w:r>
        <w:rPr>
          <w:spacing w:val="-7"/>
        </w:rPr>
        <w:t xml:space="preserve"> </w:t>
      </w:r>
      <w:r>
        <w:t>Commission</w:t>
      </w:r>
      <w:r>
        <w:rPr>
          <w:spacing w:val="-6"/>
        </w:rPr>
        <w:t xml:space="preserve"> </w:t>
      </w:r>
      <w:r>
        <w:t>trainer</w:t>
      </w:r>
      <w:r>
        <w:t>s</w:t>
      </w:r>
      <w:r>
        <w:rPr>
          <w:spacing w:val="-4"/>
        </w:rPr>
        <w:t xml:space="preserve"> </w:t>
      </w:r>
      <w:r>
        <w:t>along</w:t>
      </w:r>
      <w:r>
        <w:rPr>
          <w:spacing w:val="-6"/>
        </w:rPr>
        <w:t xml:space="preserve"> </w:t>
      </w:r>
      <w:r>
        <w:t>with</w:t>
      </w:r>
      <w:r>
        <w:rPr>
          <w:spacing w:val="-5"/>
        </w:rPr>
        <w:t xml:space="preserve"> </w:t>
      </w:r>
      <w:r>
        <w:t>representatives</w:t>
      </w:r>
      <w:r>
        <w:rPr>
          <w:spacing w:val="-4"/>
        </w:rPr>
        <w:t xml:space="preserve"> </w:t>
      </w:r>
      <w:r>
        <w:t>from</w:t>
      </w:r>
      <w:r>
        <w:rPr>
          <w:spacing w:val="-7"/>
        </w:rPr>
        <w:t xml:space="preserve"> </w:t>
      </w:r>
      <w:r>
        <w:t>other</w:t>
      </w:r>
      <w:r>
        <w:rPr>
          <w:spacing w:val="-5"/>
        </w:rPr>
        <w:t xml:space="preserve"> </w:t>
      </w:r>
      <w:r>
        <w:t>state</w:t>
      </w:r>
      <w:r>
        <w:rPr>
          <w:spacing w:val="-5"/>
        </w:rPr>
        <w:t xml:space="preserve"> </w:t>
      </w:r>
      <w:r>
        <w:t>agencies. Additionally,</w:t>
      </w:r>
      <w:r>
        <w:rPr>
          <w:spacing w:val="-11"/>
        </w:rPr>
        <w:t xml:space="preserve"> </w:t>
      </w:r>
      <w:r>
        <w:t>the</w:t>
      </w:r>
      <w:r>
        <w:rPr>
          <w:spacing w:val="-12"/>
        </w:rPr>
        <w:t xml:space="preserve"> </w:t>
      </w:r>
      <w:r>
        <w:t>Commission</w:t>
      </w:r>
      <w:r>
        <w:rPr>
          <w:spacing w:val="-13"/>
        </w:rPr>
        <w:t xml:space="preserve"> </w:t>
      </w:r>
      <w:r>
        <w:t>was</w:t>
      </w:r>
      <w:r>
        <w:rPr>
          <w:spacing w:val="-12"/>
        </w:rPr>
        <w:t xml:space="preserve"> </w:t>
      </w:r>
      <w:r>
        <w:t>pleased</w:t>
      </w:r>
      <w:r>
        <w:rPr>
          <w:spacing w:val="-11"/>
        </w:rPr>
        <w:t xml:space="preserve"> </w:t>
      </w:r>
      <w:r>
        <w:t>to</w:t>
      </w:r>
      <w:r>
        <w:rPr>
          <w:spacing w:val="-12"/>
        </w:rPr>
        <w:t xml:space="preserve"> </w:t>
      </w:r>
      <w:r>
        <w:t>learn</w:t>
      </w:r>
      <w:r>
        <w:rPr>
          <w:spacing w:val="-11"/>
        </w:rPr>
        <w:t xml:space="preserve"> </w:t>
      </w:r>
      <w:r>
        <w:t>that,</w:t>
      </w:r>
      <w:r>
        <w:rPr>
          <w:spacing w:val="-12"/>
        </w:rPr>
        <w:t xml:space="preserve"> </w:t>
      </w:r>
      <w:r>
        <w:t>as</w:t>
      </w:r>
      <w:r>
        <w:rPr>
          <w:spacing w:val="-12"/>
        </w:rPr>
        <w:t xml:space="preserve"> </w:t>
      </w:r>
      <w:r>
        <w:t>of</w:t>
      </w:r>
      <w:r>
        <w:rPr>
          <w:spacing w:val="-11"/>
        </w:rPr>
        <w:t xml:space="preserve"> </w:t>
      </w:r>
      <w:r>
        <w:t>May</w:t>
      </w:r>
      <w:r>
        <w:rPr>
          <w:spacing w:val="-11"/>
        </w:rPr>
        <w:t xml:space="preserve"> </w:t>
      </w:r>
      <w:r>
        <w:t>2022,</w:t>
      </w:r>
      <w:r>
        <w:rPr>
          <w:spacing w:val="-12"/>
        </w:rPr>
        <w:t xml:space="preserve"> </w:t>
      </w:r>
      <w:r>
        <w:t>MRC</w:t>
      </w:r>
      <w:r>
        <w:rPr>
          <w:spacing w:val="-11"/>
        </w:rPr>
        <w:t xml:space="preserve"> </w:t>
      </w:r>
      <w:r>
        <w:t>is</w:t>
      </w:r>
      <w:r>
        <w:rPr>
          <w:spacing w:val="-11"/>
        </w:rPr>
        <w:t xml:space="preserve"> </w:t>
      </w:r>
      <w:r>
        <w:t>procuring</w:t>
      </w:r>
      <w:r>
        <w:rPr>
          <w:spacing w:val="-12"/>
        </w:rPr>
        <w:t xml:space="preserve"> </w:t>
      </w:r>
      <w:r>
        <w:t>a</w:t>
      </w:r>
      <w:r>
        <w:rPr>
          <w:spacing w:val="-12"/>
        </w:rPr>
        <w:t xml:space="preserve"> </w:t>
      </w:r>
      <w:r>
        <w:t>DEI</w:t>
      </w:r>
      <w:r>
        <w:rPr>
          <w:spacing w:val="-11"/>
        </w:rPr>
        <w:t xml:space="preserve"> </w:t>
      </w:r>
      <w:r>
        <w:t>consultant to provide a robust DEI Learning Series for all staff, which will include workshops specific to content on</w:t>
      </w:r>
    </w:p>
    <w:p w:rsidR="00C76E6D" w:rsidRDefault="00C76E6D">
      <w:pPr>
        <w:spacing w:line="276" w:lineRule="auto"/>
        <w:jc w:val="both"/>
        <w:sectPr w:rsidR="00C76E6D">
          <w:pgSz w:w="12240" w:h="15840"/>
          <w:pgMar w:top="1020" w:right="960" w:bottom="640" w:left="960" w:header="832" w:footer="440" w:gutter="0"/>
          <w:cols w:space="720"/>
        </w:sectPr>
      </w:pPr>
    </w:p>
    <w:p w:rsidR="00C76E6D" w:rsidRDefault="00C76E6D">
      <w:pPr>
        <w:pStyle w:val="BodyText"/>
        <w:spacing w:before="3"/>
      </w:pPr>
    </w:p>
    <w:p w:rsidR="00C76E6D" w:rsidRDefault="00913831">
      <w:pPr>
        <w:pStyle w:val="BodyText"/>
        <w:spacing w:before="55" w:line="276" w:lineRule="auto"/>
        <w:ind w:left="627" w:right="338"/>
        <w:jc w:val="both"/>
      </w:pPr>
      <w:r>
        <w:t>LGBTQ+, disability, race, and health disparities. The Commission looks forward to continuing to partner with MRC in the nex</w:t>
      </w:r>
      <w:r>
        <w:t>t fiscal year to identify further opportunities to participate in trainings for all staff.</w:t>
      </w:r>
    </w:p>
    <w:p w:rsidR="00C76E6D" w:rsidRDefault="00C76E6D">
      <w:pPr>
        <w:pStyle w:val="BodyText"/>
        <w:spacing w:before="5"/>
        <w:rPr>
          <w:sz w:val="25"/>
        </w:rPr>
      </w:pPr>
    </w:p>
    <w:p w:rsidR="00C76E6D" w:rsidRDefault="00913831">
      <w:pPr>
        <w:pStyle w:val="Heading6"/>
        <w:numPr>
          <w:ilvl w:val="0"/>
          <w:numId w:val="12"/>
        </w:numPr>
        <w:tabs>
          <w:tab w:val="left" w:pos="560"/>
        </w:tabs>
        <w:ind w:left="559" w:hanging="222"/>
      </w:pPr>
      <w:bookmarkStart w:id="813" w:name="4._Continue_partnering_with_the_Commissi"/>
      <w:bookmarkEnd w:id="813"/>
      <w:r>
        <w:rPr>
          <w:w w:val="95"/>
        </w:rPr>
        <w:t>Continue</w:t>
      </w:r>
      <w:r>
        <w:rPr>
          <w:spacing w:val="14"/>
        </w:rPr>
        <w:t xml:space="preserve"> </w:t>
      </w:r>
      <w:r>
        <w:rPr>
          <w:w w:val="95"/>
        </w:rPr>
        <w:t>partnering</w:t>
      </w:r>
      <w:r>
        <w:rPr>
          <w:spacing w:val="16"/>
        </w:rPr>
        <w:t xml:space="preserve"> </w:t>
      </w:r>
      <w:r>
        <w:rPr>
          <w:w w:val="95"/>
        </w:rPr>
        <w:t>with</w:t>
      </w:r>
      <w:r>
        <w:rPr>
          <w:spacing w:val="18"/>
        </w:rPr>
        <w:t xml:space="preserve"> </w:t>
      </w:r>
      <w:r>
        <w:rPr>
          <w:w w:val="95"/>
        </w:rPr>
        <w:t>the</w:t>
      </w:r>
      <w:r>
        <w:rPr>
          <w:spacing w:val="14"/>
        </w:rPr>
        <w:t xml:space="preserve"> </w:t>
      </w:r>
      <w:r>
        <w:rPr>
          <w:w w:val="95"/>
        </w:rPr>
        <w:t>Commission</w:t>
      </w:r>
      <w:r>
        <w:rPr>
          <w:spacing w:val="16"/>
        </w:rPr>
        <w:t xml:space="preserve"> </w:t>
      </w:r>
      <w:r>
        <w:rPr>
          <w:w w:val="95"/>
        </w:rPr>
        <w:t>on</w:t>
      </w:r>
      <w:r>
        <w:rPr>
          <w:spacing w:val="13"/>
        </w:rPr>
        <w:t xml:space="preserve"> </w:t>
      </w:r>
      <w:r>
        <w:rPr>
          <w:w w:val="95"/>
        </w:rPr>
        <w:t>implementing</w:t>
      </w:r>
      <w:r>
        <w:rPr>
          <w:spacing w:val="19"/>
        </w:rPr>
        <w:t xml:space="preserve"> </w:t>
      </w:r>
      <w:r>
        <w:rPr>
          <w:w w:val="95"/>
        </w:rPr>
        <w:t>an</w:t>
      </w:r>
      <w:r>
        <w:rPr>
          <w:spacing w:val="18"/>
        </w:rPr>
        <w:t xml:space="preserve"> </w:t>
      </w:r>
      <w:r>
        <w:rPr>
          <w:w w:val="95"/>
        </w:rPr>
        <w:t>LGBTQ</w:t>
      </w:r>
      <w:r>
        <w:rPr>
          <w:spacing w:val="14"/>
        </w:rPr>
        <w:t xml:space="preserve"> </w:t>
      </w:r>
      <w:r>
        <w:rPr>
          <w:w w:val="95"/>
        </w:rPr>
        <w:t>youth</w:t>
      </w:r>
      <w:r>
        <w:rPr>
          <w:spacing w:val="19"/>
        </w:rPr>
        <w:t xml:space="preserve"> </w:t>
      </w:r>
      <w:r>
        <w:rPr>
          <w:w w:val="95"/>
        </w:rPr>
        <w:t>outreach</w:t>
      </w:r>
      <w:r>
        <w:rPr>
          <w:spacing w:val="15"/>
        </w:rPr>
        <w:t xml:space="preserve"> </w:t>
      </w:r>
      <w:r>
        <w:rPr>
          <w:spacing w:val="-2"/>
          <w:w w:val="95"/>
        </w:rPr>
        <w:t>plan.</w:t>
      </w:r>
    </w:p>
    <w:p w:rsidR="00C76E6D" w:rsidRDefault="00C76E6D">
      <w:pPr>
        <w:pStyle w:val="BodyText"/>
        <w:spacing w:before="5"/>
        <w:rPr>
          <w:b/>
          <w:sz w:val="28"/>
        </w:rPr>
      </w:pPr>
    </w:p>
    <w:p w:rsidR="00C76E6D" w:rsidRDefault="00913831">
      <w:pPr>
        <w:pStyle w:val="BodyText"/>
        <w:spacing w:line="276" w:lineRule="auto"/>
        <w:ind w:left="627" w:right="333"/>
        <w:jc w:val="both"/>
      </w:pPr>
      <w:r>
        <w:t>The MRC LGBTQ+ &amp; Allies Committee has finalized a plan to reach more LGBTQ youth and increase their awareness</w:t>
      </w:r>
      <w:r>
        <w:rPr>
          <w:spacing w:val="-1"/>
        </w:rPr>
        <w:t xml:space="preserve"> </w:t>
      </w:r>
      <w:r>
        <w:t>of</w:t>
      </w:r>
      <w:r>
        <w:rPr>
          <w:spacing w:val="-2"/>
        </w:rPr>
        <w:t xml:space="preserve"> </w:t>
      </w:r>
      <w:r>
        <w:t>the</w:t>
      </w:r>
      <w:r>
        <w:rPr>
          <w:spacing w:val="-1"/>
        </w:rPr>
        <w:t xml:space="preserve"> </w:t>
      </w:r>
      <w:r>
        <w:t>services MRC provides.</w:t>
      </w:r>
      <w:r>
        <w:rPr>
          <w:spacing w:val="-2"/>
        </w:rPr>
        <w:t xml:space="preserve"> </w:t>
      </w:r>
      <w:r>
        <w:t>The</w:t>
      </w:r>
      <w:r>
        <w:rPr>
          <w:spacing w:val="-1"/>
        </w:rPr>
        <w:t xml:space="preserve"> </w:t>
      </w:r>
      <w:r>
        <w:t>Commission</w:t>
      </w:r>
      <w:r>
        <w:rPr>
          <w:spacing w:val="-2"/>
        </w:rPr>
        <w:t xml:space="preserve"> </w:t>
      </w:r>
      <w:r>
        <w:t>is</w:t>
      </w:r>
      <w:r>
        <w:rPr>
          <w:spacing w:val="-1"/>
        </w:rPr>
        <w:t xml:space="preserve"> </w:t>
      </w:r>
      <w:r>
        <w:t>thankful</w:t>
      </w:r>
      <w:r>
        <w:rPr>
          <w:spacing w:val="-2"/>
        </w:rPr>
        <w:t xml:space="preserve"> </w:t>
      </w:r>
      <w:r>
        <w:t>for</w:t>
      </w:r>
      <w:r>
        <w:rPr>
          <w:spacing w:val="-1"/>
        </w:rPr>
        <w:t xml:space="preserve"> </w:t>
      </w:r>
      <w:r>
        <w:t>the</w:t>
      </w:r>
      <w:r>
        <w:rPr>
          <w:spacing w:val="-1"/>
        </w:rPr>
        <w:t xml:space="preserve"> </w:t>
      </w:r>
      <w:r>
        <w:t>opportunity to partner</w:t>
      </w:r>
      <w:r>
        <w:rPr>
          <w:spacing w:val="-1"/>
        </w:rPr>
        <w:t xml:space="preserve"> </w:t>
      </w:r>
      <w:r>
        <w:t>with MRC in this important work. The Commission and MRC ha</w:t>
      </w:r>
      <w:r>
        <w:t>ve designed joint advertising materials to promote</w:t>
      </w:r>
      <w:r>
        <w:rPr>
          <w:spacing w:val="-7"/>
        </w:rPr>
        <w:t xml:space="preserve"> </w:t>
      </w:r>
      <w:r>
        <w:t>our</w:t>
      </w:r>
      <w:r>
        <w:rPr>
          <w:spacing w:val="-4"/>
        </w:rPr>
        <w:t xml:space="preserve"> </w:t>
      </w:r>
      <w:r>
        <w:t>services</w:t>
      </w:r>
      <w:r>
        <w:rPr>
          <w:spacing w:val="-6"/>
        </w:rPr>
        <w:t xml:space="preserve"> </w:t>
      </w:r>
      <w:r>
        <w:t>among</w:t>
      </w:r>
      <w:r>
        <w:rPr>
          <w:spacing w:val="-7"/>
        </w:rPr>
        <w:t xml:space="preserve"> </w:t>
      </w:r>
      <w:r>
        <w:t>LGBTQ</w:t>
      </w:r>
      <w:r>
        <w:rPr>
          <w:spacing w:val="-6"/>
        </w:rPr>
        <w:t xml:space="preserve"> </w:t>
      </w:r>
      <w:r>
        <w:t>high</w:t>
      </w:r>
      <w:r>
        <w:rPr>
          <w:spacing w:val="-7"/>
        </w:rPr>
        <w:t xml:space="preserve"> </w:t>
      </w:r>
      <w:r>
        <w:t>school</w:t>
      </w:r>
      <w:r>
        <w:rPr>
          <w:spacing w:val="-7"/>
        </w:rPr>
        <w:t xml:space="preserve"> </w:t>
      </w:r>
      <w:r>
        <w:t>students</w:t>
      </w:r>
      <w:r>
        <w:rPr>
          <w:spacing w:val="-6"/>
        </w:rPr>
        <w:t xml:space="preserve"> </w:t>
      </w:r>
      <w:r>
        <w:t>who</w:t>
      </w:r>
      <w:r>
        <w:rPr>
          <w:spacing w:val="-6"/>
        </w:rPr>
        <w:t xml:space="preserve"> </w:t>
      </w:r>
      <w:r>
        <w:t>qualify</w:t>
      </w:r>
      <w:r>
        <w:rPr>
          <w:spacing w:val="-6"/>
        </w:rPr>
        <w:t xml:space="preserve"> </w:t>
      </w:r>
      <w:r>
        <w:t>for</w:t>
      </w:r>
      <w:r>
        <w:rPr>
          <w:spacing w:val="-5"/>
        </w:rPr>
        <w:t xml:space="preserve"> </w:t>
      </w:r>
      <w:r>
        <w:t>MRC</w:t>
      </w:r>
      <w:r>
        <w:rPr>
          <w:spacing w:val="-5"/>
        </w:rPr>
        <w:t xml:space="preserve"> </w:t>
      </w:r>
      <w:r>
        <w:t>services.</w:t>
      </w:r>
      <w:r>
        <w:rPr>
          <w:spacing w:val="-5"/>
        </w:rPr>
        <w:t xml:space="preserve"> </w:t>
      </w:r>
      <w:r>
        <w:t>The</w:t>
      </w:r>
      <w:r>
        <w:rPr>
          <w:spacing w:val="-4"/>
        </w:rPr>
        <w:t xml:space="preserve"> </w:t>
      </w:r>
      <w:r>
        <w:t>two</w:t>
      </w:r>
      <w:r>
        <w:rPr>
          <w:spacing w:val="-6"/>
        </w:rPr>
        <w:t xml:space="preserve"> </w:t>
      </w:r>
      <w:r>
        <w:t>agencies have also developed a plan to disseminate these materials and raise the visibility of LGBTQ youth with disabilities.</w:t>
      </w:r>
      <w:r>
        <w:rPr>
          <w:spacing w:val="-6"/>
        </w:rPr>
        <w:t xml:space="preserve"> </w:t>
      </w:r>
      <w:r>
        <w:t>The</w:t>
      </w:r>
      <w:r>
        <w:rPr>
          <w:spacing w:val="-9"/>
        </w:rPr>
        <w:t xml:space="preserve"> </w:t>
      </w:r>
      <w:r>
        <w:t>Commission’s</w:t>
      </w:r>
      <w:r>
        <w:rPr>
          <w:spacing w:val="-7"/>
        </w:rPr>
        <w:t xml:space="preserve"> </w:t>
      </w:r>
      <w:r>
        <w:t>Statewide</w:t>
      </w:r>
      <w:r>
        <w:rPr>
          <w:spacing w:val="-7"/>
        </w:rPr>
        <w:t xml:space="preserve"> </w:t>
      </w:r>
      <w:r>
        <w:t>GSA</w:t>
      </w:r>
      <w:r>
        <w:rPr>
          <w:spacing w:val="-6"/>
        </w:rPr>
        <w:t xml:space="preserve"> </w:t>
      </w:r>
      <w:r>
        <w:t>Student</w:t>
      </w:r>
      <w:r>
        <w:rPr>
          <w:spacing w:val="-9"/>
        </w:rPr>
        <w:t xml:space="preserve"> </w:t>
      </w:r>
      <w:r>
        <w:t>Leadership</w:t>
      </w:r>
      <w:r>
        <w:rPr>
          <w:spacing w:val="-5"/>
        </w:rPr>
        <w:t xml:space="preserve"> </w:t>
      </w:r>
      <w:r>
        <w:t>Council,</w:t>
      </w:r>
      <w:r>
        <w:rPr>
          <w:spacing w:val="-8"/>
        </w:rPr>
        <w:t xml:space="preserve"> </w:t>
      </w:r>
      <w:r>
        <w:t>which</w:t>
      </w:r>
      <w:r>
        <w:rPr>
          <w:spacing w:val="-9"/>
        </w:rPr>
        <w:t xml:space="preserve"> </w:t>
      </w:r>
      <w:r>
        <w:t>is</w:t>
      </w:r>
      <w:r>
        <w:rPr>
          <w:spacing w:val="-6"/>
        </w:rPr>
        <w:t xml:space="preserve"> </w:t>
      </w:r>
      <w:r>
        <w:t>part</w:t>
      </w:r>
      <w:r>
        <w:rPr>
          <w:spacing w:val="-8"/>
        </w:rPr>
        <w:t xml:space="preserve"> </w:t>
      </w:r>
      <w:r>
        <w:t>of</w:t>
      </w:r>
      <w:r>
        <w:rPr>
          <w:spacing w:val="-7"/>
        </w:rPr>
        <w:t xml:space="preserve"> </w:t>
      </w:r>
      <w:r>
        <w:t>its</w:t>
      </w:r>
      <w:r>
        <w:rPr>
          <w:spacing w:val="-6"/>
        </w:rPr>
        <w:t xml:space="preserve"> </w:t>
      </w:r>
      <w:r>
        <w:t>Safe</w:t>
      </w:r>
      <w:r>
        <w:rPr>
          <w:spacing w:val="-8"/>
        </w:rPr>
        <w:t xml:space="preserve"> </w:t>
      </w:r>
      <w:r>
        <w:t>Schools Program,</w:t>
      </w:r>
      <w:r>
        <w:rPr>
          <w:spacing w:val="-13"/>
        </w:rPr>
        <w:t xml:space="preserve"> </w:t>
      </w:r>
      <w:r>
        <w:t>weighed</w:t>
      </w:r>
      <w:r>
        <w:rPr>
          <w:spacing w:val="-11"/>
        </w:rPr>
        <w:t xml:space="preserve"> </w:t>
      </w:r>
      <w:r>
        <w:t>in</w:t>
      </w:r>
      <w:r>
        <w:rPr>
          <w:spacing w:val="-13"/>
        </w:rPr>
        <w:t xml:space="preserve"> </w:t>
      </w:r>
      <w:r>
        <w:t>on</w:t>
      </w:r>
      <w:r>
        <w:rPr>
          <w:spacing w:val="-11"/>
        </w:rPr>
        <w:t xml:space="preserve"> </w:t>
      </w:r>
      <w:r>
        <w:t>this</w:t>
      </w:r>
      <w:r>
        <w:rPr>
          <w:spacing w:val="-12"/>
        </w:rPr>
        <w:t xml:space="preserve"> </w:t>
      </w:r>
      <w:r>
        <w:t>outreach</w:t>
      </w:r>
      <w:r>
        <w:rPr>
          <w:spacing w:val="-11"/>
        </w:rPr>
        <w:t xml:space="preserve"> </w:t>
      </w:r>
      <w:r>
        <w:t>plan</w:t>
      </w:r>
      <w:r>
        <w:rPr>
          <w:spacing w:val="-13"/>
        </w:rPr>
        <w:t xml:space="preserve"> </w:t>
      </w:r>
      <w:r>
        <w:t>at</w:t>
      </w:r>
      <w:r>
        <w:rPr>
          <w:spacing w:val="-12"/>
        </w:rPr>
        <w:t xml:space="preserve"> </w:t>
      </w:r>
      <w:r>
        <w:t>a</w:t>
      </w:r>
      <w:r>
        <w:rPr>
          <w:spacing w:val="-11"/>
        </w:rPr>
        <w:t xml:space="preserve"> </w:t>
      </w:r>
      <w:r>
        <w:t>November</w:t>
      </w:r>
      <w:r>
        <w:rPr>
          <w:spacing w:val="-13"/>
        </w:rPr>
        <w:t xml:space="preserve"> </w:t>
      </w:r>
      <w:r>
        <w:t>2019</w:t>
      </w:r>
      <w:r>
        <w:rPr>
          <w:spacing w:val="-10"/>
        </w:rPr>
        <w:t xml:space="preserve"> </w:t>
      </w:r>
      <w:r>
        <w:t>meeting</w:t>
      </w:r>
      <w:r>
        <w:rPr>
          <w:spacing w:val="-13"/>
        </w:rPr>
        <w:t xml:space="preserve"> </w:t>
      </w:r>
      <w:r>
        <w:t>at</w:t>
      </w:r>
      <w:r>
        <w:rPr>
          <w:spacing w:val="-12"/>
        </w:rPr>
        <w:t xml:space="preserve"> </w:t>
      </w:r>
      <w:r>
        <w:t>which</w:t>
      </w:r>
      <w:r>
        <w:rPr>
          <w:spacing w:val="-12"/>
        </w:rPr>
        <w:t xml:space="preserve"> </w:t>
      </w:r>
      <w:r>
        <w:t>members</w:t>
      </w:r>
      <w:r>
        <w:rPr>
          <w:spacing w:val="-10"/>
        </w:rPr>
        <w:t xml:space="preserve"> </w:t>
      </w:r>
      <w:r>
        <w:t>of</w:t>
      </w:r>
      <w:r>
        <w:rPr>
          <w:spacing w:val="-13"/>
        </w:rPr>
        <w:t xml:space="preserve"> </w:t>
      </w:r>
      <w:r>
        <w:t>the</w:t>
      </w:r>
      <w:r>
        <w:rPr>
          <w:spacing w:val="-12"/>
        </w:rPr>
        <w:t xml:space="preserve"> </w:t>
      </w:r>
      <w:r>
        <w:t>LGBTQ+ &amp; Allies Committee presented. Three pathways for distribution were decided upon, including using the statewide</w:t>
      </w:r>
      <w:r>
        <w:rPr>
          <w:spacing w:val="-13"/>
        </w:rPr>
        <w:t xml:space="preserve"> </w:t>
      </w:r>
      <w:r>
        <w:t>and</w:t>
      </w:r>
      <w:r>
        <w:rPr>
          <w:spacing w:val="-12"/>
        </w:rPr>
        <w:t xml:space="preserve"> </w:t>
      </w:r>
      <w:r>
        <w:t>regional</w:t>
      </w:r>
      <w:r>
        <w:rPr>
          <w:spacing w:val="-13"/>
        </w:rPr>
        <w:t xml:space="preserve"> </w:t>
      </w:r>
      <w:r>
        <w:t>GSA</w:t>
      </w:r>
      <w:r>
        <w:rPr>
          <w:spacing w:val="-12"/>
        </w:rPr>
        <w:t xml:space="preserve"> </w:t>
      </w:r>
      <w:r>
        <w:t>councils,</w:t>
      </w:r>
      <w:r>
        <w:rPr>
          <w:spacing w:val="-13"/>
        </w:rPr>
        <w:t xml:space="preserve"> </w:t>
      </w:r>
      <w:r>
        <w:t>using</w:t>
      </w:r>
      <w:r>
        <w:rPr>
          <w:spacing w:val="-12"/>
        </w:rPr>
        <w:t xml:space="preserve"> </w:t>
      </w:r>
      <w:r>
        <w:t>the</w:t>
      </w:r>
      <w:r>
        <w:rPr>
          <w:spacing w:val="-13"/>
        </w:rPr>
        <w:t xml:space="preserve"> </w:t>
      </w:r>
      <w:r>
        <w:t>other</w:t>
      </w:r>
      <w:r>
        <w:rPr>
          <w:spacing w:val="-12"/>
        </w:rPr>
        <w:t xml:space="preserve"> </w:t>
      </w:r>
      <w:r>
        <w:t>networks</w:t>
      </w:r>
      <w:r>
        <w:rPr>
          <w:spacing w:val="-12"/>
        </w:rPr>
        <w:t xml:space="preserve"> </w:t>
      </w:r>
      <w:r>
        <w:t>available</w:t>
      </w:r>
      <w:r>
        <w:rPr>
          <w:spacing w:val="-13"/>
        </w:rPr>
        <w:t xml:space="preserve"> </w:t>
      </w:r>
      <w:r>
        <w:t>to</w:t>
      </w:r>
      <w:r>
        <w:rPr>
          <w:spacing w:val="-12"/>
        </w:rPr>
        <w:t xml:space="preserve"> </w:t>
      </w:r>
      <w:r>
        <w:t>the</w:t>
      </w:r>
      <w:r>
        <w:rPr>
          <w:spacing w:val="-13"/>
        </w:rPr>
        <w:t xml:space="preserve"> </w:t>
      </w:r>
      <w:r>
        <w:t>Commission,</w:t>
      </w:r>
      <w:r>
        <w:rPr>
          <w:spacing w:val="-12"/>
        </w:rPr>
        <w:t xml:space="preserve"> </w:t>
      </w:r>
      <w:r>
        <w:t>and</w:t>
      </w:r>
      <w:r>
        <w:rPr>
          <w:spacing w:val="-13"/>
        </w:rPr>
        <w:t xml:space="preserve"> </w:t>
      </w:r>
      <w:r>
        <w:t>delivering posters to MRC’s secondary school partners through its staff liaisons.</w:t>
      </w:r>
    </w:p>
    <w:p w:rsidR="00C76E6D" w:rsidRDefault="00C76E6D">
      <w:pPr>
        <w:pStyle w:val="BodyText"/>
        <w:spacing w:before="7"/>
        <w:rPr>
          <w:sz w:val="19"/>
        </w:rPr>
      </w:pPr>
    </w:p>
    <w:p w:rsidR="00C76E6D" w:rsidRDefault="00913831">
      <w:pPr>
        <w:pStyle w:val="BodyText"/>
        <w:spacing w:before="1" w:line="276" w:lineRule="auto"/>
        <w:ind w:left="627" w:right="338"/>
        <w:jc w:val="both"/>
      </w:pPr>
      <w:r>
        <w:t xml:space="preserve">The posters were planned for distribution before the close of the 2019-2020 school year, before the COVID-19 pandemic delayed these plans. In April 2021, the Commission </w:t>
      </w:r>
      <w:r>
        <w:t>and MRC discussed distributing the posters virtually, through the Commission’s newsletter, GSA Adviser listserv, and through social media. In May of 2022, the Commission and MRC discussed additional methods of distribution for electronic materials, and hav</w:t>
      </w:r>
      <w:r>
        <w:t>e committed to beginning recurring quarterly meetings in FY 2023.</w:t>
      </w:r>
    </w:p>
    <w:p w:rsidR="00C76E6D" w:rsidRDefault="00C76E6D">
      <w:pPr>
        <w:pStyle w:val="BodyText"/>
        <w:spacing w:before="9"/>
        <w:rPr>
          <w:sz w:val="19"/>
        </w:rPr>
      </w:pPr>
    </w:p>
    <w:p w:rsidR="00C76E6D" w:rsidRDefault="00913831">
      <w:pPr>
        <w:pStyle w:val="BodyText"/>
        <w:spacing w:line="276" w:lineRule="auto"/>
        <w:ind w:left="627" w:right="333"/>
        <w:jc w:val="both"/>
      </w:pPr>
      <w:r>
        <w:t>The LGBTQ+ Allies Committee's outreach work has also included participating in multiple Pride celebrations</w:t>
      </w:r>
      <w:r>
        <w:rPr>
          <w:spacing w:val="-3"/>
        </w:rPr>
        <w:t xml:space="preserve"> </w:t>
      </w:r>
      <w:r>
        <w:t>in</w:t>
      </w:r>
      <w:r>
        <w:rPr>
          <w:spacing w:val="-4"/>
        </w:rPr>
        <w:t xml:space="preserve"> </w:t>
      </w:r>
      <w:r>
        <w:t>the</w:t>
      </w:r>
      <w:r>
        <w:rPr>
          <w:spacing w:val="-4"/>
        </w:rPr>
        <w:t xml:space="preserve"> </w:t>
      </w:r>
      <w:r>
        <w:t>Commonwealth</w:t>
      </w:r>
      <w:r>
        <w:rPr>
          <w:spacing w:val="-3"/>
        </w:rPr>
        <w:t xml:space="preserve"> </w:t>
      </w:r>
      <w:r>
        <w:t>in</w:t>
      </w:r>
      <w:r>
        <w:rPr>
          <w:spacing w:val="-3"/>
        </w:rPr>
        <w:t xml:space="preserve"> </w:t>
      </w:r>
      <w:r>
        <w:t>the</w:t>
      </w:r>
      <w:r>
        <w:rPr>
          <w:spacing w:val="-4"/>
        </w:rPr>
        <w:t xml:space="preserve"> </w:t>
      </w:r>
      <w:r>
        <w:t>summer</w:t>
      </w:r>
      <w:r>
        <w:rPr>
          <w:spacing w:val="-4"/>
        </w:rPr>
        <w:t xml:space="preserve"> </w:t>
      </w:r>
      <w:r>
        <w:t>of</w:t>
      </w:r>
      <w:r>
        <w:rPr>
          <w:spacing w:val="-3"/>
        </w:rPr>
        <w:t xml:space="preserve"> </w:t>
      </w:r>
      <w:r>
        <w:t>2021</w:t>
      </w:r>
      <w:r>
        <w:rPr>
          <w:spacing w:val="-4"/>
        </w:rPr>
        <w:t xml:space="preserve"> </w:t>
      </w:r>
      <w:r>
        <w:t>as</w:t>
      </w:r>
      <w:r>
        <w:rPr>
          <w:spacing w:val="-4"/>
        </w:rPr>
        <w:t xml:space="preserve"> </w:t>
      </w:r>
      <w:r>
        <w:t>a</w:t>
      </w:r>
      <w:r>
        <w:rPr>
          <w:spacing w:val="-4"/>
        </w:rPr>
        <w:t xml:space="preserve"> </w:t>
      </w:r>
      <w:r>
        <w:t>way</w:t>
      </w:r>
      <w:r>
        <w:rPr>
          <w:spacing w:val="-4"/>
        </w:rPr>
        <w:t xml:space="preserve"> </w:t>
      </w:r>
      <w:r>
        <w:t>of</w:t>
      </w:r>
      <w:r>
        <w:rPr>
          <w:spacing w:val="-4"/>
        </w:rPr>
        <w:t xml:space="preserve"> </w:t>
      </w:r>
      <w:r>
        <w:t>further</w:t>
      </w:r>
      <w:r>
        <w:rPr>
          <w:spacing w:val="-3"/>
        </w:rPr>
        <w:t xml:space="preserve"> </w:t>
      </w:r>
      <w:r>
        <w:t>increasing</w:t>
      </w:r>
      <w:r>
        <w:rPr>
          <w:spacing w:val="-3"/>
        </w:rPr>
        <w:t xml:space="preserve"> </w:t>
      </w:r>
      <w:r>
        <w:t>their</w:t>
      </w:r>
      <w:r>
        <w:rPr>
          <w:spacing w:val="-4"/>
        </w:rPr>
        <w:t xml:space="preserve"> </w:t>
      </w:r>
      <w:r>
        <w:t>vis</w:t>
      </w:r>
      <w:r>
        <w:t>ibility</w:t>
      </w:r>
      <w:r>
        <w:rPr>
          <w:spacing w:val="-3"/>
        </w:rPr>
        <w:t xml:space="preserve"> </w:t>
      </w:r>
      <w:r>
        <w:t>in the LGBTQ community. The Commission commends MRC’s work in this area, which can serve as an example to other state agencies in conducting outreach to LGBTQ communities.</w:t>
      </w:r>
    </w:p>
    <w:p w:rsidR="00C76E6D" w:rsidRDefault="00C76E6D">
      <w:pPr>
        <w:pStyle w:val="BodyText"/>
        <w:rPr>
          <w:sz w:val="20"/>
        </w:rPr>
      </w:pPr>
    </w:p>
    <w:p w:rsidR="00C76E6D" w:rsidRDefault="00C76E6D">
      <w:pPr>
        <w:pStyle w:val="BodyText"/>
        <w:rPr>
          <w:sz w:val="20"/>
        </w:rPr>
      </w:pPr>
    </w:p>
    <w:p w:rsidR="00C76E6D" w:rsidRDefault="00913831">
      <w:pPr>
        <w:pStyle w:val="BodyText"/>
        <w:spacing w:before="12"/>
        <w:rPr>
          <w:sz w:val="25"/>
        </w:rPr>
      </w:pPr>
      <w:r>
        <w:pict>
          <v:shape id="docshape387" o:spid="_x0000_s1089" style="position:absolute;margin-left:70.6pt;margin-top:17.05pt;width:470.95pt;height:.1pt;z-index:-15649792;mso-wrap-distance-left:0;mso-wrap-distance-right:0;mso-position-horizontal-relative:page" coordorigin="1412,341" coordsize="9419,0" path="m1412,341r9419,e" filled="f" strokeweight="1.54pt">
            <v:path arrowok="t"/>
            <w10:wrap type="topAndBottom" anchorx="page"/>
          </v:shape>
        </w:pict>
      </w:r>
    </w:p>
    <w:p w:rsidR="00C76E6D" w:rsidRDefault="00C76E6D">
      <w:pPr>
        <w:pStyle w:val="BodyText"/>
        <w:spacing w:before="12"/>
      </w:pPr>
    </w:p>
    <w:p w:rsidR="00C76E6D" w:rsidRDefault="00913831">
      <w:pPr>
        <w:pStyle w:val="Heading4"/>
      </w:pPr>
      <w:r>
        <w:rPr>
          <w:spacing w:val="-2"/>
        </w:rPr>
        <w:t>ENDNOTES</w:t>
      </w:r>
    </w:p>
    <w:p w:rsidR="00C76E6D" w:rsidRDefault="00913831">
      <w:pPr>
        <w:pStyle w:val="BodyText"/>
        <w:spacing w:before="10"/>
        <w:rPr>
          <w:b/>
          <w:sz w:val="24"/>
        </w:rPr>
      </w:pPr>
      <w:r>
        <w:pict>
          <v:shape id="docshape388" o:spid="_x0000_s1088" style="position:absolute;margin-left:70.6pt;margin-top:16.35pt;width:470.95pt;height:.1pt;z-index:-15649280;mso-wrap-distance-left:0;mso-wrap-distance-right:0;mso-position-horizontal-relative:page" coordorigin="1412,327" coordsize="9419,0" path="m1412,327r9419,e" filled="f" strokeweight="1.54pt">
            <v:path arrowok="t"/>
            <w10:wrap type="topAndBottom" anchorx="page"/>
          </v:shape>
        </w:pict>
      </w:r>
    </w:p>
    <w:p w:rsidR="00C76E6D" w:rsidRDefault="00C76E6D">
      <w:pPr>
        <w:pStyle w:val="BodyText"/>
        <w:rPr>
          <w:b/>
          <w:sz w:val="24"/>
        </w:rPr>
      </w:pPr>
    </w:p>
    <w:p w:rsidR="00C76E6D" w:rsidRDefault="00C76E6D">
      <w:pPr>
        <w:pStyle w:val="BodyText"/>
        <w:rPr>
          <w:b/>
          <w:sz w:val="24"/>
        </w:rPr>
      </w:pPr>
    </w:p>
    <w:p w:rsidR="00C76E6D" w:rsidRDefault="00913831">
      <w:pPr>
        <w:spacing w:before="210" w:line="241" w:lineRule="exact"/>
        <w:ind w:left="338"/>
        <w:rPr>
          <w:sz w:val="20"/>
        </w:rPr>
      </w:pPr>
      <w:bookmarkStart w:id="814" w:name="_bookmark579"/>
      <w:bookmarkEnd w:id="814"/>
      <w:r>
        <w:rPr>
          <w:sz w:val="20"/>
          <w:vertAlign w:val="superscript"/>
        </w:rPr>
        <w:t>1</w:t>
      </w:r>
      <w:r>
        <w:rPr>
          <w:spacing w:val="-6"/>
          <w:sz w:val="20"/>
        </w:rPr>
        <w:t xml:space="preserve"> </w:t>
      </w:r>
      <w:bookmarkStart w:id="815" w:name="_bookmark580"/>
      <w:bookmarkEnd w:id="815"/>
      <w:r>
        <w:rPr>
          <w:sz w:val="20"/>
        </w:rPr>
        <w:t>Goodenow,</w:t>
      </w:r>
      <w:r>
        <w:rPr>
          <w:spacing w:val="-6"/>
          <w:sz w:val="20"/>
        </w:rPr>
        <w:t xml:space="preserve"> </w:t>
      </w:r>
      <w:r>
        <w:rPr>
          <w:sz w:val="20"/>
        </w:rPr>
        <w:t>C.</w:t>
      </w:r>
      <w:r>
        <w:rPr>
          <w:spacing w:val="-8"/>
          <w:sz w:val="20"/>
        </w:rPr>
        <w:t xml:space="preserve"> </w:t>
      </w:r>
      <w:r>
        <w:rPr>
          <w:spacing w:val="-2"/>
          <w:sz w:val="20"/>
        </w:rPr>
        <w:t>(2016).</w:t>
      </w:r>
    </w:p>
    <w:p w:rsidR="00C76E6D" w:rsidRDefault="00913831">
      <w:pPr>
        <w:ind w:left="339" w:right="437" w:hanging="2"/>
        <w:rPr>
          <w:sz w:val="20"/>
        </w:rPr>
      </w:pPr>
      <w:r>
        <w:rPr>
          <w:sz w:val="20"/>
          <w:vertAlign w:val="superscript"/>
        </w:rPr>
        <w:t>2</w:t>
      </w:r>
      <w:r>
        <w:rPr>
          <w:spacing w:val="-4"/>
          <w:sz w:val="20"/>
        </w:rPr>
        <w:t xml:space="preserve"> </w:t>
      </w:r>
      <w:r>
        <w:rPr>
          <w:sz w:val="20"/>
        </w:rPr>
        <w:t>Fredriksen-Goldsen,</w:t>
      </w:r>
      <w:r>
        <w:rPr>
          <w:spacing w:val="-5"/>
          <w:sz w:val="20"/>
        </w:rPr>
        <w:t xml:space="preserve"> </w:t>
      </w:r>
      <w:r>
        <w:rPr>
          <w:sz w:val="20"/>
        </w:rPr>
        <w:t>K.</w:t>
      </w:r>
      <w:r>
        <w:rPr>
          <w:spacing w:val="-5"/>
          <w:sz w:val="20"/>
        </w:rPr>
        <w:t xml:space="preserve"> </w:t>
      </w:r>
      <w:r>
        <w:rPr>
          <w:sz w:val="20"/>
        </w:rPr>
        <w:t>I.,</w:t>
      </w:r>
      <w:r>
        <w:rPr>
          <w:spacing w:val="-5"/>
          <w:sz w:val="20"/>
        </w:rPr>
        <w:t xml:space="preserve"> </w:t>
      </w:r>
      <w:r>
        <w:rPr>
          <w:sz w:val="20"/>
        </w:rPr>
        <w:t>Kim,</w:t>
      </w:r>
      <w:r>
        <w:rPr>
          <w:spacing w:val="-4"/>
          <w:sz w:val="20"/>
        </w:rPr>
        <w:t xml:space="preserve"> </w:t>
      </w:r>
      <w:r>
        <w:rPr>
          <w:sz w:val="20"/>
        </w:rPr>
        <w:t>H.,</w:t>
      </w:r>
      <w:r>
        <w:rPr>
          <w:spacing w:val="-5"/>
          <w:sz w:val="20"/>
        </w:rPr>
        <w:t xml:space="preserve"> </w:t>
      </w:r>
      <w:r>
        <w:rPr>
          <w:sz w:val="20"/>
        </w:rPr>
        <w:t>and</w:t>
      </w:r>
      <w:r>
        <w:rPr>
          <w:spacing w:val="-5"/>
          <w:sz w:val="20"/>
        </w:rPr>
        <w:t xml:space="preserve"> </w:t>
      </w:r>
      <w:r>
        <w:rPr>
          <w:sz w:val="20"/>
        </w:rPr>
        <w:t>Barkan,</w:t>
      </w:r>
      <w:r>
        <w:rPr>
          <w:spacing w:val="-7"/>
          <w:sz w:val="20"/>
        </w:rPr>
        <w:t xml:space="preserve"> </w:t>
      </w:r>
      <w:r>
        <w:rPr>
          <w:sz w:val="20"/>
        </w:rPr>
        <w:t>S.</w:t>
      </w:r>
      <w:r>
        <w:rPr>
          <w:spacing w:val="-6"/>
          <w:sz w:val="20"/>
        </w:rPr>
        <w:t xml:space="preserve"> </w:t>
      </w:r>
      <w:r>
        <w:rPr>
          <w:sz w:val="20"/>
        </w:rPr>
        <w:t>E.</w:t>
      </w:r>
      <w:r>
        <w:rPr>
          <w:spacing w:val="-6"/>
          <w:sz w:val="20"/>
        </w:rPr>
        <w:t xml:space="preserve"> </w:t>
      </w:r>
      <w:r>
        <w:rPr>
          <w:sz w:val="20"/>
        </w:rPr>
        <w:t>(2012).</w:t>
      </w:r>
      <w:r>
        <w:rPr>
          <w:spacing w:val="-6"/>
          <w:sz w:val="20"/>
        </w:rPr>
        <w:t xml:space="preserve"> </w:t>
      </w:r>
      <w:r>
        <w:rPr>
          <w:sz w:val="20"/>
        </w:rPr>
        <w:t>Disability</w:t>
      </w:r>
      <w:r>
        <w:rPr>
          <w:spacing w:val="-5"/>
          <w:sz w:val="20"/>
        </w:rPr>
        <w:t xml:space="preserve"> </w:t>
      </w:r>
      <w:r>
        <w:rPr>
          <w:sz w:val="20"/>
        </w:rPr>
        <w:t>Among</w:t>
      </w:r>
      <w:r>
        <w:rPr>
          <w:spacing w:val="-4"/>
          <w:sz w:val="20"/>
        </w:rPr>
        <w:t xml:space="preserve"> </w:t>
      </w:r>
      <w:r>
        <w:rPr>
          <w:sz w:val="20"/>
        </w:rPr>
        <w:t>Lesbian,</w:t>
      </w:r>
      <w:r>
        <w:rPr>
          <w:spacing w:val="-7"/>
          <w:sz w:val="20"/>
        </w:rPr>
        <w:t xml:space="preserve"> </w:t>
      </w:r>
      <w:r>
        <w:rPr>
          <w:sz w:val="20"/>
        </w:rPr>
        <w:t>Gay,</w:t>
      </w:r>
      <w:r>
        <w:rPr>
          <w:spacing w:val="-5"/>
          <w:sz w:val="20"/>
        </w:rPr>
        <w:t xml:space="preserve"> </w:t>
      </w:r>
      <w:r>
        <w:rPr>
          <w:sz w:val="20"/>
        </w:rPr>
        <w:t>and</w:t>
      </w:r>
      <w:r>
        <w:rPr>
          <w:spacing w:val="-5"/>
          <w:sz w:val="20"/>
        </w:rPr>
        <w:t xml:space="preserve"> </w:t>
      </w:r>
      <w:r>
        <w:rPr>
          <w:sz w:val="20"/>
        </w:rPr>
        <w:t>Bisexual</w:t>
      </w:r>
      <w:r>
        <w:rPr>
          <w:spacing w:val="-6"/>
          <w:sz w:val="20"/>
        </w:rPr>
        <w:t xml:space="preserve"> </w:t>
      </w:r>
      <w:r>
        <w:rPr>
          <w:sz w:val="20"/>
        </w:rPr>
        <w:t xml:space="preserve">Adults: Disparities in Prevalence and Risk. American Journal of Public Health, 102(1): e16–21. </w:t>
      </w:r>
      <w:hyperlink r:id="rId415">
        <w:r>
          <w:rPr>
            <w:spacing w:val="-2"/>
            <w:sz w:val="20"/>
          </w:rPr>
          <w:t>http://doi.org/10.2105/AJPH.</w:t>
        </w:r>
        <w:r>
          <w:rPr>
            <w:spacing w:val="-2"/>
            <w:sz w:val="20"/>
          </w:rPr>
          <w:t>2011.300379.</w:t>
        </w:r>
      </w:hyperlink>
    </w:p>
    <w:p w:rsidR="00C76E6D" w:rsidRDefault="00913831">
      <w:pPr>
        <w:ind w:left="339" w:right="1246" w:hanging="2"/>
        <w:rPr>
          <w:sz w:val="20"/>
        </w:rPr>
      </w:pPr>
      <w:bookmarkStart w:id="816" w:name="_bookmark581"/>
      <w:bookmarkEnd w:id="816"/>
      <w:r>
        <w:rPr>
          <w:sz w:val="20"/>
          <w:vertAlign w:val="superscript"/>
        </w:rPr>
        <w:t>3</w:t>
      </w:r>
      <w:r>
        <w:rPr>
          <w:spacing w:val="-4"/>
          <w:sz w:val="20"/>
        </w:rPr>
        <w:t xml:space="preserve"> </w:t>
      </w:r>
      <w:r>
        <w:rPr>
          <w:sz w:val="20"/>
        </w:rPr>
        <w:t>S.</w:t>
      </w:r>
      <w:r>
        <w:rPr>
          <w:spacing w:val="-7"/>
          <w:sz w:val="20"/>
        </w:rPr>
        <w:t xml:space="preserve"> </w:t>
      </w:r>
      <w:r>
        <w:rPr>
          <w:sz w:val="20"/>
        </w:rPr>
        <w:t>E.</w:t>
      </w:r>
      <w:r>
        <w:rPr>
          <w:spacing w:val="-5"/>
          <w:sz w:val="20"/>
        </w:rPr>
        <w:t xml:space="preserve"> </w:t>
      </w:r>
      <w:r>
        <w:rPr>
          <w:sz w:val="20"/>
        </w:rPr>
        <w:t>James</w:t>
      </w:r>
      <w:r>
        <w:rPr>
          <w:spacing w:val="-5"/>
          <w:sz w:val="20"/>
        </w:rPr>
        <w:t xml:space="preserve"> </w:t>
      </w:r>
      <w:r>
        <w:rPr>
          <w:sz w:val="20"/>
        </w:rPr>
        <w:t>et</w:t>
      </w:r>
      <w:r>
        <w:rPr>
          <w:spacing w:val="-7"/>
          <w:sz w:val="20"/>
        </w:rPr>
        <w:t xml:space="preserve"> </w:t>
      </w:r>
      <w:r>
        <w:rPr>
          <w:sz w:val="20"/>
        </w:rPr>
        <w:t>al.,</w:t>
      </w:r>
      <w:r>
        <w:rPr>
          <w:spacing w:val="-4"/>
          <w:sz w:val="20"/>
        </w:rPr>
        <w:t xml:space="preserve"> </w:t>
      </w:r>
      <w:r>
        <w:rPr>
          <w:sz w:val="20"/>
        </w:rPr>
        <w:t>“The</w:t>
      </w:r>
      <w:r>
        <w:rPr>
          <w:spacing w:val="-8"/>
          <w:sz w:val="20"/>
        </w:rPr>
        <w:t xml:space="preserve"> </w:t>
      </w:r>
      <w:r>
        <w:rPr>
          <w:sz w:val="20"/>
        </w:rPr>
        <w:t>Report</w:t>
      </w:r>
      <w:r>
        <w:rPr>
          <w:spacing w:val="-5"/>
          <w:sz w:val="20"/>
        </w:rPr>
        <w:t xml:space="preserve"> </w:t>
      </w:r>
      <w:r>
        <w:rPr>
          <w:sz w:val="20"/>
        </w:rPr>
        <w:t>of</w:t>
      </w:r>
      <w:r>
        <w:rPr>
          <w:spacing w:val="-4"/>
          <w:sz w:val="20"/>
        </w:rPr>
        <w:t xml:space="preserve"> </w:t>
      </w:r>
      <w:r>
        <w:rPr>
          <w:sz w:val="20"/>
        </w:rPr>
        <w:t>the</w:t>
      </w:r>
      <w:r>
        <w:rPr>
          <w:spacing w:val="-7"/>
          <w:sz w:val="20"/>
        </w:rPr>
        <w:t xml:space="preserve"> </w:t>
      </w:r>
      <w:r>
        <w:rPr>
          <w:sz w:val="20"/>
        </w:rPr>
        <w:t>2015</w:t>
      </w:r>
      <w:r>
        <w:rPr>
          <w:spacing w:val="-6"/>
          <w:sz w:val="20"/>
        </w:rPr>
        <w:t xml:space="preserve"> </w:t>
      </w:r>
      <w:r>
        <w:rPr>
          <w:sz w:val="20"/>
        </w:rPr>
        <w:t>U.S.</w:t>
      </w:r>
      <w:r>
        <w:rPr>
          <w:spacing w:val="-5"/>
          <w:sz w:val="20"/>
        </w:rPr>
        <w:t xml:space="preserve"> </w:t>
      </w:r>
      <w:r>
        <w:rPr>
          <w:sz w:val="20"/>
        </w:rPr>
        <w:t>Transgender</w:t>
      </w:r>
      <w:r>
        <w:rPr>
          <w:spacing w:val="-5"/>
          <w:sz w:val="20"/>
        </w:rPr>
        <w:t xml:space="preserve"> </w:t>
      </w:r>
      <w:r>
        <w:rPr>
          <w:sz w:val="20"/>
        </w:rPr>
        <w:t>Survey”</w:t>
      </w:r>
      <w:r>
        <w:rPr>
          <w:spacing w:val="-5"/>
          <w:sz w:val="20"/>
        </w:rPr>
        <w:t xml:space="preserve"> </w:t>
      </w:r>
      <w:r>
        <w:rPr>
          <w:sz w:val="20"/>
        </w:rPr>
        <w:t>(Washington,</w:t>
      </w:r>
      <w:r>
        <w:rPr>
          <w:spacing w:val="-5"/>
          <w:sz w:val="20"/>
        </w:rPr>
        <w:t xml:space="preserve"> </w:t>
      </w:r>
      <w:r>
        <w:rPr>
          <w:sz w:val="20"/>
        </w:rPr>
        <w:t>D.C.:</w:t>
      </w:r>
      <w:r>
        <w:rPr>
          <w:spacing w:val="-6"/>
          <w:sz w:val="20"/>
        </w:rPr>
        <w:t xml:space="preserve"> </w:t>
      </w:r>
      <w:r>
        <w:rPr>
          <w:sz w:val="20"/>
        </w:rPr>
        <w:t>National</w:t>
      </w:r>
      <w:r>
        <w:rPr>
          <w:spacing w:val="-5"/>
          <w:sz w:val="20"/>
        </w:rPr>
        <w:t xml:space="preserve"> </w:t>
      </w:r>
      <w:r>
        <w:rPr>
          <w:sz w:val="20"/>
        </w:rPr>
        <w:t>Center</w:t>
      </w:r>
      <w:r>
        <w:rPr>
          <w:spacing w:val="-5"/>
          <w:sz w:val="20"/>
        </w:rPr>
        <w:t xml:space="preserve"> </w:t>
      </w:r>
      <w:r>
        <w:rPr>
          <w:sz w:val="20"/>
        </w:rPr>
        <w:t xml:space="preserve">for Transgender Equality and National Gay and Lesbian Task Force, 2016), </w:t>
      </w:r>
      <w:r>
        <w:rPr>
          <w:spacing w:val="-2"/>
          <w:sz w:val="20"/>
        </w:rPr>
        <w:t>https://transequality.org/sites/default/files/docs/usts/USTS-Full-Report-Dec17.pdf.</w:t>
      </w:r>
    </w:p>
    <w:p w:rsidR="00C76E6D" w:rsidRDefault="00C76E6D">
      <w:pPr>
        <w:rPr>
          <w:sz w:val="20"/>
        </w:rPr>
        <w:sectPr w:rsidR="00C76E6D">
          <w:pgSz w:w="12240" w:h="15840"/>
          <w:pgMar w:top="1020" w:right="960" w:bottom="640" w:left="960" w:header="832" w:footer="440" w:gutter="0"/>
          <w:cols w:space="720"/>
        </w:sectPr>
      </w:pPr>
    </w:p>
    <w:p w:rsidR="00C76E6D" w:rsidRDefault="00C76E6D">
      <w:pPr>
        <w:pStyle w:val="BodyText"/>
        <w:spacing w:before="3"/>
        <w:rPr>
          <w:sz w:val="24"/>
        </w:rPr>
      </w:pPr>
    </w:p>
    <w:p w:rsidR="00C76E6D" w:rsidRDefault="00913831">
      <w:pPr>
        <w:pStyle w:val="Heading2"/>
        <w:spacing w:before="35"/>
      </w:pPr>
      <w:bookmarkStart w:id="817" w:name="Department_of_Mental_Health"/>
      <w:bookmarkStart w:id="818" w:name="_bookmark582"/>
      <w:bookmarkEnd w:id="817"/>
      <w:bookmarkEnd w:id="818"/>
      <w:r>
        <w:t>Department</w:t>
      </w:r>
      <w:r>
        <w:rPr>
          <w:spacing w:val="-8"/>
        </w:rPr>
        <w:t xml:space="preserve"> </w:t>
      </w:r>
      <w:r>
        <w:t>of</w:t>
      </w:r>
      <w:r>
        <w:rPr>
          <w:spacing w:val="-9"/>
        </w:rPr>
        <w:t xml:space="preserve"> </w:t>
      </w:r>
      <w:r>
        <w:t>Mental</w:t>
      </w:r>
      <w:r>
        <w:rPr>
          <w:spacing w:val="-7"/>
        </w:rPr>
        <w:t xml:space="preserve"> </w:t>
      </w:r>
      <w:r>
        <w:rPr>
          <w:spacing w:val="-2"/>
        </w:rPr>
        <w:t>Health</w:t>
      </w:r>
    </w:p>
    <w:p w:rsidR="00C76E6D" w:rsidRDefault="00913831">
      <w:pPr>
        <w:pStyle w:val="BodyText"/>
        <w:rPr>
          <w:b/>
          <w:sz w:val="12"/>
        </w:rPr>
      </w:pPr>
      <w:r>
        <w:pict>
          <v:shape id="docshape392" o:spid="_x0000_s1087" style="position:absolute;margin-left:65pt;margin-top:8.55pt;width:476.95pt;height:.1pt;z-index:-15648768;mso-wrap-distance-left:0;mso-wrap-distance-right:0;mso-position-horizontal-relative:page" coordorigin="1300,171" coordsize="9539,0" path="m1300,171r9539,e" filled="f" strokeweight="1.54pt">
            <v:path arrowok="t"/>
            <w10:wrap type="topAndBottom" anchorx="page"/>
          </v:shape>
        </w:pict>
      </w:r>
    </w:p>
    <w:p w:rsidR="00C76E6D" w:rsidRDefault="00913831">
      <w:pPr>
        <w:pStyle w:val="Heading5"/>
        <w:spacing w:before="182"/>
      </w:pPr>
      <w:r>
        <w:rPr>
          <w:spacing w:val="-2"/>
        </w:rPr>
        <w:t>FY2023</w:t>
      </w:r>
      <w:r>
        <w:rPr>
          <w:spacing w:val="-4"/>
        </w:rPr>
        <w:t xml:space="preserve"> </w:t>
      </w:r>
      <w:r>
        <w:rPr>
          <w:spacing w:val="-2"/>
        </w:rPr>
        <w:t>Recommendations</w:t>
      </w:r>
    </w:p>
    <w:p w:rsidR="00C76E6D" w:rsidRDefault="00C76E6D">
      <w:pPr>
        <w:pStyle w:val="BodyText"/>
        <w:spacing w:before="11"/>
        <w:rPr>
          <w:b/>
          <w:sz w:val="28"/>
        </w:rPr>
      </w:pPr>
    </w:p>
    <w:p w:rsidR="00C76E6D" w:rsidRDefault="00913831">
      <w:pPr>
        <w:pStyle w:val="ListParagraph"/>
        <w:numPr>
          <w:ilvl w:val="1"/>
          <w:numId w:val="12"/>
        </w:numPr>
        <w:tabs>
          <w:tab w:val="left" w:pos="845"/>
        </w:tabs>
        <w:spacing w:line="276" w:lineRule="auto"/>
        <w:ind w:right="381" w:hanging="1"/>
      </w:pPr>
      <w:r>
        <w:t>Disseminate</w:t>
      </w:r>
      <w:r>
        <w:rPr>
          <w:spacing w:val="-6"/>
        </w:rPr>
        <w:t xml:space="preserve"> </w:t>
      </w:r>
      <w:r>
        <w:t>and</w:t>
      </w:r>
      <w:r>
        <w:rPr>
          <w:spacing w:val="-8"/>
        </w:rPr>
        <w:t xml:space="preserve"> </w:t>
      </w:r>
      <w:r>
        <w:t>implement</w:t>
      </w:r>
      <w:r>
        <w:rPr>
          <w:spacing w:val="-7"/>
        </w:rPr>
        <w:t xml:space="preserve"> </w:t>
      </w:r>
      <w:r>
        <w:t>the</w:t>
      </w:r>
      <w:r>
        <w:rPr>
          <w:spacing w:val="-5"/>
        </w:rPr>
        <w:t xml:space="preserve"> </w:t>
      </w:r>
      <w:r>
        <w:t>new</w:t>
      </w:r>
      <w:r>
        <w:rPr>
          <w:spacing w:val="-5"/>
        </w:rPr>
        <w:t xml:space="preserve"> </w:t>
      </w:r>
      <w:r>
        <w:t>"Prohibition</w:t>
      </w:r>
      <w:r>
        <w:rPr>
          <w:spacing w:val="-7"/>
        </w:rPr>
        <w:t xml:space="preserve"> </w:t>
      </w:r>
      <w:r>
        <w:t>of</w:t>
      </w:r>
      <w:r>
        <w:rPr>
          <w:spacing w:val="-7"/>
        </w:rPr>
        <w:t xml:space="preserve"> </w:t>
      </w:r>
      <w:r>
        <w:t>Unlawful</w:t>
      </w:r>
      <w:r>
        <w:rPr>
          <w:spacing w:val="-7"/>
        </w:rPr>
        <w:t xml:space="preserve"> </w:t>
      </w:r>
      <w:r>
        <w:t>Discrimination</w:t>
      </w:r>
      <w:r>
        <w:rPr>
          <w:spacing w:val="-6"/>
        </w:rPr>
        <w:t xml:space="preserve"> </w:t>
      </w:r>
      <w:r>
        <w:t>Including</w:t>
      </w:r>
      <w:r>
        <w:rPr>
          <w:spacing w:val="-6"/>
        </w:rPr>
        <w:t xml:space="preserve"> </w:t>
      </w:r>
      <w:r>
        <w:t>against</w:t>
      </w:r>
      <w:r>
        <w:rPr>
          <w:spacing w:val="-9"/>
        </w:rPr>
        <w:t xml:space="preserve"> </w:t>
      </w:r>
      <w:r>
        <w:t>LGBTQI Persons" policy and related guidance.</w:t>
      </w:r>
    </w:p>
    <w:p w:rsidR="00C76E6D" w:rsidRDefault="00C76E6D">
      <w:pPr>
        <w:pStyle w:val="BodyText"/>
        <w:spacing w:before="4"/>
        <w:rPr>
          <w:sz w:val="25"/>
        </w:rPr>
      </w:pPr>
    </w:p>
    <w:p w:rsidR="00C76E6D" w:rsidRDefault="00913831">
      <w:pPr>
        <w:pStyle w:val="ListParagraph"/>
        <w:numPr>
          <w:ilvl w:val="1"/>
          <w:numId w:val="12"/>
        </w:numPr>
        <w:tabs>
          <w:tab w:val="left" w:pos="920"/>
        </w:tabs>
        <w:spacing w:line="276" w:lineRule="auto"/>
        <w:ind w:left="627" w:right="503" w:firstLine="0"/>
      </w:pPr>
      <w:r>
        <w:t>Continue</w:t>
      </w:r>
      <w:r>
        <w:rPr>
          <w:spacing w:val="-4"/>
        </w:rPr>
        <w:t xml:space="preserve"> </w:t>
      </w:r>
      <w:r>
        <w:t>facilitating</w:t>
      </w:r>
      <w:r>
        <w:rPr>
          <w:spacing w:val="-4"/>
        </w:rPr>
        <w:t xml:space="preserve"> </w:t>
      </w:r>
      <w:r>
        <w:t>trainings</w:t>
      </w:r>
      <w:r>
        <w:rPr>
          <w:spacing w:val="-4"/>
        </w:rPr>
        <w:t xml:space="preserve"> </w:t>
      </w:r>
      <w:r>
        <w:t>centered</w:t>
      </w:r>
      <w:r>
        <w:rPr>
          <w:spacing w:val="-4"/>
        </w:rPr>
        <w:t xml:space="preserve"> </w:t>
      </w:r>
      <w:r>
        <w:t>on</w:t>
      </w:r>
      <w:r>
        <w:rPr>
          <w:spacing w:val="-5"/>
        </w:rPr>
        <w:t xml:space="preserve"> </w:t>
      </w:r>
      <w:r>
        <w:t>LGBTQ</w:t>
      </w:r>
      <w:r>
        <w:rPr>
          <w:spacing w:val="-4"/>
        </w:rPr>
        <w:t xml:space="preserve"> </w:t>
      </w:r>
      <w:r>
        <w:t>competency,</w:t>
      </w:r>
      <w:r>
        <w:rPr>
          <w:spacing w:val="-3"/>
        </w:rPr>
        <w:t xml:space="preserve"> </w:t>
      </w:r>
      <w:r>
        <w:t>including</w:t>
      </w:r>
      <w:r>
        <w:rPr>
          <w:spacing w:val="-5"/>
        </w:rPr>
        <w:t xml:space="preserve"> </w:t>
      </w:r>
      <w:r>
        <w:t>with</w:t>
      </w:r>
      <w:r>
        <w:rPr>
          <w:spacing w:val="-4"/>
        </w:rPr>
        <w:t xml:space="preserve"> </w:t>
      </w:r>
      <w:r>
        <w:t>respect</w:t>
      </w:r>
      <w:r>
        <w:rPr>
          <w:spacing w:val="-4"/>
        </w:rPr>
        <w:t xml:space="preserve"> </w:t>
      </w:r>
      <w:r>
        <w:t>to</w:t>
      </w:r>
      <w:r>
        <w:rPr>
          <w:spacing w:val="-4"/>
        </w:rPr>
        <w:t xml:space="preserve"> </w:t>
      </w:r>
      <w:r>
        <w:t>youth,</w:t>
      </w:r>
      <w:r>
        <w:rPr>
          <w:spacing w:val="-5"/>
        </w:rPr>
        <w:t xml:space="preserve"> </w:t>
      </w:r>
      <w:r>
        <w:t>and explore the potential</w:t>
      </w:r>
      <w:r>
        <w:rPr>
          <w:spacing w:val="-1"/>
        </w:rPr>
        <w:t xml:space="preserve"> </w:t>
      </w:r>
      <w:r>
        <w:t>for</w:t>
      </w:r>
      <w:r>
        <w:rPr>
          <w:spacing w:val="-1"/>
        </w:rPr>
        <w:t xml:space="preserve"> </w:t>
      </w:r>
      <w:r>
        <w:t>an</w:t>
      </w:r>
      <w:r>
        <w:rPr>
          <w:spacing w:val="-1"/>
        </w:rPr>
        <w:t xml:space="preserve"> </w:t>
      </w:r>
      <w:r>
        <w:t>online training</w:t>
      </w:r>
      <w:r>
        <w:rPr>
          <w:spacing w:val="-1"/>
        </w:rPr>
        <w:t xml:space="preserve"> </w:t>
      </w:r>
      <w:r>
        <w:t>for</w:t>
      </w:r>
      <w:r>
        <w:rPr>
          <w:spacing w:val="-1"/>
        </w:rPr>
        <w:t xml:space="preserve"> </w:t>
      </w:r>
      <w:r>
        <w:t>use at DMH hospitals</w:t>
      </w:r>
      <w:r>
        <w:rPr>
          <w:spacing w:val="-1"/>
        </w:rPr>
        <w:t xml:space="preserve"> </w:t>
      </w:r>
      <w:r>
        <w:t>and</w:t>
      </w:r>
      <w:r>
        <w:rPr>
          <w:spacing w:val="-1"/>
        </w:rPr>
        <w:t xml:space="preserve"> </w:t>
      </w:r>
      <w:r>
        <w:t>other</w:t>
      </w:r>
      <w:r>
        <w:rPr>
          <w:spacing w:val="-1"/>
        </w:rPr>
        <w:t xml:space="preserve"> </w:t>
      </w:r>
      <w:r>
        <w:t>settings as</w:t>
      </w:r>
      <w:r>
        <w:rPr>
          <w:spacing w:val="-1"/>
        </w:rPr>
        <w:t xml:space="preserve"> </w:t>
      </w:r>
      <w:r>
        <w:t>appropriate.</w:t>
      </w:r>
    </w:p>
    <w:p w:rsidR="00C76E6D" w:rsidRDefault="00C76E6D">
      <w:pPr>
        <w:pStyle w:val="BodyText"/>
        <w:spacing w:before="5"/>
        <w:rPr>
          <w:sz w:val="25"/>
        </w:rPr>
      </w:pPr>
    </w:p>
    <w:p w:rsidR="00C76E6D" w:rsidRDefault="00913831">
      <w:pPr>
        <w:pStyle w:val="ListParagraph"/>
        <w:numPr>
          <w:ilvl w:val="1"/>
          <w:numId w:val="12"/>
        </w:numPr>
        <w:tabs>
          <w:tab w:val="left" w:pos="843"/>
        </w:tabs>
        <w:ind w:left="842" w:hanging="217"/>
      </w:pPr>
      <w:r>
        <w:rPr>
          <w:w w:val="95"/>
        </w:rPr>
        <w:t>Compl</w:t>
      </w:r>
      <w:r>
        <w:rPr>
          <w:w w:val="95"/>
        </w:rPr>
        <w:t>ete</w:t>
      </w:r>
      <w:r>
        <w:rPr>
          <w:spacing w:val="18"/>
        </w:rPr>
        <w:t xml:space="preserve"> </w:t>
      </w:r>
      <w:r>
        <w:rPr>
          <w:w w:val="95"/>
        </w:rPr>
        <w:t>implementation</w:t>
      </w:r>
      <w:r>
        <w:rPr>
          <w:spacing w:val="19"/>
        </w:rPr>
        <w:t xml:space="preserve"> </w:t>
      </w:r>
      <w:r>
        <w:rPr>
          <w:w w:val="95"/>
        </w:rPr>
        <w:t>of</w:t>
      </w:r>
      <w:r>
        <w:rPr>
          <w:spacing w:val="18"/>
        </w:rPr>
        <w:t xml:space="preserve"> </w:t>
      </w:r>
      <w:r>
        <w:rPr>
          <w:w w:val="95"/>
        </w:rPr>
        <w:t>LGBTQ-inclusive</w:t>
      </w:r>
      <w:r>
        <w:rPr>
          <w:spacing w:val="19"/>
        </w:rPr>
        <w:t xml:space="preserve"> </w:t>
      </w:r>
      <w:r>
        <w:rPr>
          <w:w w:val="95"/>
        </w:rPr>
        <w:t>data</w:t>
      </w:r>
      <w:r>
        <w:rPr>
          <w:spacing w:val="24"/>
        </w:rPr>
        <w:t xml:space="preserve"> </w:t>
      </w:r>
      <w:r>
        <w:rPr>
          <w:spacing w:val="-2"/>
          <w:w w:val="95"/>
        </w:rPr>
        <w:t>measures.</w:t>
      </w:r>
    </w:p>
    <w:p w:rsidR="00C76E6D" w:rsidRDefault="00C76E6D">
      <w:pPr>
        <w:pStyle w:val="BodyText"/>
      </w:pPr>
    </w:p>
    <w:p w:rsidR="00C76E6D" w:rsidRDefault="00C76E6D">
      <w:pPr>
        <w:pStyle w:val="BodyText"/>
        <w:spacing w:before="3"/>
        <w:rPr>
          <w:sz w:val="26"/>
        </w:rPr>
      </w:pPr>
    </w:p>
    <w:p w:rsidR="00C76E6D" w:rsidRDefault="00913831">
      <w:pPr>
        <w:pStyle w:val="Heading5"/>
      </w:pPr>
      <w:r>
        <w:t>Background</w:t>
      </w:r>
      <w:r>
        <w:rPr>
          <w:spacing w:val="-15"/>
        </w:rPr>
        <w:t xml:space="preserve"> </w:t>
      </w:r>
      <w:r>
        <w:t>&amp;</w:t>
      </w:r>
      <w:r>
        <w:rPr>
          <w:spacing w:val="-6"/>
        </w:rPr>
        <w:t xml:space="preserve"> </w:t>
      </w:r>
      <w:r>
        <w:rPr>
          <w:spacing w:val="-2"/>
        </w:rPr>
        <w:t>Research</w:t>
      </w:r>
    </w:p>
    <w:p w:rsidR="00C76E6D" w:rsidRDefault="00913831">
      <w:pPr>
        <w:pStyle w:val="BodyText"/>
        <w:spacing w:before="3"/>
        <w:rPr>
          <w:b/>
          <w:sz w:val="11"/>
        </w:rPr>
      </w:pPr>
      <w:r>
        <w:pict>
          <v:shape id="docshape393" o:spid="_x0000_s1086" style="position:absolute;margin-left:65pt;margin-top:8.1pt;width:476.95pt;height:.1pt;z-index:-15648256;mso-wrap-distance-left:0;mso-wrap-distance-right:0;mso-position-horizontal-relative:page" coordorigin="1300,162" coordsize="9539,0" path="m1300,162r9539,e" filled="f" strokeweight="1.54pt">
            <v:path arrowok="t"/>
            <w10:wrap type="topAndBottom" anchorx="page"/>
          </v:shape>
        </w:pict>
      </w:r>
    </w:p>
    <w:p w:rsidR="00C76E6D" w:rsidRDefault="00C76E6D">
      <w:pPr>
        <w:pStyle w:val="BodyText"/>
        <w:spacing w:before="3"/>
        <w:rPr>
          <w:b/>
          <w:sz w:val="31"/>
        </w:rPr>
      </w:pPr>
    </w:p>
    <w:p w:rsidR="00C76E6D" w:rsidRDefault="00913831">
      <w:pPr>
        <w:pStyle w:val="BodyText"/>
        <w:spacing w:line="276" w:lineRule="auto"/>
        <w:ind w:left="338" w:right="334" w:hanging="1"/>
        <w:jc w:val="both"/>
      </w:pPr>
      <w:r>
        <w:rPr>
          <w:sz w:val="24"/>
        </w:rPr>
        <w:t>The</w:t>
      </w:r>
      <w:r>
        <w:rPr>
          <w:spacing w:val="-3"/>
          <w:sz w:val="24"/>
        </w:rPr>
        <w:t xml:space="preserve"> </w:t>
      </w:r>
      <w:r>
        <w:t>Department</w:t>
      </w:r>
      <w:r>
        <w:rPr>
          <w:spacing w:val="-8"/>
        </w:rPr>
        <w:t xml:space="preserve"> </w:t>
      </w:r>
      <w:r>
        <w:t>of</w:t>
      </w:r>
      <w:r>
        <w:rPr>
          <w:spacing w:val="-6"/>
        </w:rPr>
        <w:t xml:space="preserve"> </w:t>
      </w:r>
      <w:r>
        <w:t>Mental</w:t>
      </w:r>
      <w:r>
        <w:rPr>
          <w:spacing w:val="-6"/>
        </w:rPr>
        <w:t xml:space="preserve"> </w:t>
      </w:r>
      <w:r>
        <w:t>Health</w:t>
      </w:r>
      <w:r>
        <w:rPr>
          <w:spacing w:val="-6"/>
        </w:rPr>
        <w:t xml:space="preserve"> </w:t>
      </w:r>
      <w:r>
        <w:t>(DMH)</w:t>
      </w:r>
      <w:r>
        <w:rPr>
          <w:spacing w:val="-8"/>
        </w:rPr>
        <w:t xml:space="preserve"> </w:t>
      </w:r>
      <w:r>
        <w:t>provides</w:t>
      </w:r>
      <w:r>
        <w:rPr>
          <w:spacing w:val="-7"/>
        </w:rPr>
        <w:t xml:space="preserve"> </w:t>
      </w:r>
      <w:r>
        <w:t>access</w:t>
      </w:r>
      <w:r>
        <w:rPr>
          <w:spacing w:val="-7"/>
        </w:rPr>
        <w:t xml:space="preserve"> </w:t>
      </w:r>
      <w:r>
        <w:t>to</w:t>
      </w:r>
      <w:r>
        <w:rPr>
          <w:spacing w:val="-7"/>
        </w:rPr>
        <w:t xml:space="preserve"> </w:t>
      </w:r>
      <w:r>
        <w:t>services</w:t>
      </w:r>
      <w:r>
        <w:rPr>
          <w:spacing w:val="-7"/>
        </w:rPr>
        <w:t xml:space="preserve"> </w:t>
      </w:r>
      <w:r>
        <w:t>and</w:t>
      </w:r>
      <w:r>
        <w:rPr>
          <w:spacing w:val="-8"/>
        </w:rPr>
        <w:t xml:space="preserve"> </w:t>
      </w:r>
      <w:r>
        <w:t>support</w:t>
      </w:r>
      <w:r>
        <w:rPr>
          <w:spacing w:val="-7"/>
        </w:rPr>
        <w:t xml:space="preserve"> </w:t>
      </w:r>
      <w:r>
        <w:t>to</w:t>
      </w:r>
      <w:r>
        <w:rPr>
          <w:spacing w:val="-7"/>
        </w:rPr>
        <w:t xml:space="preserve"> </w:t>
      </w:r>
      <w:r>
        <w:t>meet</w:t>
      </w:r>
      <w:r>
        <w:rPr>
          <w:spacing w:val="-7"/>
        </w:rPr>
        <w:t xml:space="preserve"> </w:t>
      </w:r>
      <w:r>
        <w:t>the</w:t>
      </w:r>
      <w:r>
        <w:rPr>
          <w:spacing w:val="-5"/>
        </w:rPr>
        <w:t xml:space="preserve"> </w:t>
      </w:r>
      <w:r>
        <w:t>mental</w:t>
      </w:r>
      <w:r>
        <w:rPr>
          <w:spacing w:val="-6"/>
        </w:rPr>
        <w:t xml:space="preserve"> </w:t>
      </w:r>
      <w:r>
        <w:t>health needs of individuals of all ages, enabling them to live, work, and participate in their communities. DMH oversees several programs and initiatives that directly affect</w:t>
      </w:r>
      <w:r>
        <w:rPr>
          <w:spacing w:val="-1"/>
        </w:rPr>
        <w:t xml:space="preserve"> </w:t>
      </w:r>
      <w:r>
        <w:t>LGBTQ</w:t>
      </w:r>
      <w:r>
        <w:rPr>
          <w:spacing w:val="-1"/>
        </w:rPr>
        <w:t xml:space="preserve"> </w:t>
      </w:r>
      <w:r>
        <w:t>youth, including residential placements and the Transitional Age Youth Init</w:t>
      </w:r>
      <w:r>
        <w:t>iative.</w:t>
      </w:r>
    </w:p>
    <w:p w:rsidR="00C76E6D" w:rsidRDefault="00C76E6D">
      <w:pPr>
        <w:pStyle w:val="BodyText"/>
        <w:spacing w:before="6"/>
        <w:rPr>
          <w:sz w:val="19"/>
        </w:rPr>
      </w:pPr>
    </w:p>
    <w:p w:rsidR="00C76E6D" w:rsidRDefault="00913831">
      <w:pPr>
        <w:pStyle w:val="BodyText"/>
        <w:spacing w:before="1" w:line="276" w:lineRule="auto"/>
        <w:ind w:left="338" w:right="335"/>
        <w:jc w:val="both"/>
      </w:pPr>
      <w:r>
        <w:t>Beginning</w:t>
      </w:r>
      <w:r>
        <w:rPr>
          <w:spacing w:val="-1"/>
        </w:rPr>
        <w:t xml:space="preserve"> </w:t>
      </w:r>
      <w:r>
        <w:t>in 2014 when</w:t>
      </w:r>
      <w:r>
        <w:rPr>
          <w:spacing w:val="-1"/>
        </w:rPr>
        <w:t xml:space="preserve"> </w:t>
      </w:r>
      <w:r>
        <w:t>Commissioner Fowler identified LGBTQ</w:t>
      </w:r>
      <w:r>
        <w:rPr>
          <w:spacing w:val="-1"/>
        </w:rPr>
        <w:t xml:space="preserve"> </w:t>
      </w:r>
      <w:r>
        <w:t>individuals as a population</w:t>
      </w:r>
      <w:r>
        <w:rPr>
          <w:spacing w:val="-1"/>
        </w:rPr>
        <w:t xml:space="preserve"> </w:t>
      </w:r>
      <w:r>
        <w:t>needing priority attention,</w:t>
      </w:r>
      <w:r>
        <w:rPr>
          <w:spacing w:val="-13"/>
        </w:rPr>
        <w:t xml:space="preserve"> </w:t>
      </w:r>
      <w:r>
        <w:t>DMH</w:t>
      </w:r>
      <w:r>
        <w:rPr>
          <w:spacing w:val="-12"/>
        </w:rPr>
        <w:t xml:space="preserve"> </w:t>
      </w:r>
      <w:r>
        <w:t>has</w:t>
      </w:r>
      <w:r>
        <w:rPr>
          <w:spacing w:val="-13"/>
        </w:rPr>
        <w:t xml:space="preserve"> </w:t>
      </w:r>
      <w:r>
        <w:t>consistently</w:t>
      </w:r>
      <w:r>
        <w:rPr>
          <w:spacing w:val="-12"/>
        </w:rPr>
        <w:t xml:space="preserve"> </w:t>
      </w:r>
      <w:r>
        <w:t>demonstrated</w:t>
      </w:r>
      <w:r>
        <w:rPr>
          <w:spacing w:val="-13"/>
        </w:rPr>
        <w:t xml:space="preserve"> </w:t>
      </w:r>
      <w:r>
        <w:t>leadership</w:t>
      </w:r>
      <w:r>
        <w:rPr>
          <w:spacing w:val="-12"/>
        </w:rPr>
        <w:t xml:space="preserve"> </w:t>
      </w:r>
      <w:r>
        <w:t>in</w:t>
      </w:r>
      <w:r>
        <w:rPr>
          <w:spacing w:val="-13"/>
        </w:rPr>
        <w:t xml:space="preserve"> </w:t>
      </w:r>
      <w:r>
        <w:t>its</w:t>
      </w:r>
      <w:r>
        <w:rPr>
          <w:spacing w:val="-12"/>
        </w:rPr>
        <w:t xml:space="preserve"> </w:t>
      </w:r>
      <w:r>
        <w:t>commitment</w:t>
      </w:r>
      <w:r>
        <w:rPr>
          <w:spacing w:val="-12"/>
        </w:rPr>
        <w:t xml:space="preserve"> </w:t>
      </w:r>
      <w:r>
        <w:t>to</w:t>
      </w:r>
      <w:r>
        <w:rPr>
          <w:spacing w:val="-13"/>
        </w:rPr>
        <w:t xml:space="preserve"> </w:t>
      </w:r>
      <w:r>
        <w:t>LGBTQ</w:t>
      </w:r>
      <w:r>
        <w:rPr>
          <w:spacing w:val="-12"/>
        </w:rPr>
        <w:t xml:space="preserve"> </w:t>
      </w:r>
      <w:r>
        <w:t>youth.</w:t>
      </w:r>
      <w:r>
        <w:rPr>
          <w:spacing w:val="-13"/>
        </w:rPr>
        <w:t xml:space="preserve"> </w:t>
      </w:r>
      <w:r>
        <w:t>DMH</w:t>
      </w:r>
      <w:r>
        <w:rPr>
          <w:spacing w:val="-12"/>
        </w:rPr>
        <w:t xml:space="preserve"> </w:t>
      </w:r>
      <w:r>
        <w:t>has</w:t>
      </w:r>
      <w:r>
        <w:rPr>
          <w:spacing w:val="-13"/>
        </w:rPr>
        <w:t xml:space="preserve"> </w:t>
      </w:r>
      <w:r>
        <w:t>taken a</w:t>
      </w:r>
      <w:r>
        <w:rPr>
          <w:spacing w:val="-3"/>
        </w:rPr>
        <w:t xml:space="preserve"> </w:t>
      </w:r>
      <w:r>
        <w:t>number</w:t>
      </w:r>
      <w:r>
        <w:rPr>
          <w:spacing w:val="-2"/>
        </w:rPr>
        <w:t xml:space="preserve"> </w:t>
      </w:r>
      <w:r>
        <w:t>of steps</w:t>
      </w:r>
      <w:r>
        <w:rPr>
          <w:spacing w:val="-1"/>
        </w:rPr>
        <w:t xml:space="preserve"> </w:t>
      </w:r>
      <w:r>
        <w:t>to ensure</w:t>
      </w:r>
      <w:r>
        <w:rPr>
          <w:spacing w:val="-2"/>
        </w:rPr>
        <w:t xml:space="preserve"> </w:t>
      </w:r>
      <w:r>
        <w:t>greater support</w:t>
      </w:r>
      <w:r>
        <w:rPr>
          <w:spacing w:val="-2"/>
        </w:rPr>
        <w:t xml:space="preserve"> </w:t>
      </w:r>
      <w:r>
        <w:t>and</w:t>
      </w:r>
      <w:r>
        <w:rPr>
          <w:spacing w:val="-1"/>
        </w:rPr>
        <w:t xml:space="preserve"> </w:t>
      </w:r>
      <w:r>
        <w:t>services</w:t>
      </w:r>
      <w:r>
        <w:rPr>
          <w:spacing w:val="-1"/>
        </w:rPr>
        <w:t xml:space="preserve"> </w:t>
      </w:r>
      <w:r>
        <w:t>to LGBTQ</w:t>
      </w:r>
      <w:r>
        <w:rPr>
          <w:spacing w:val="-2"/>
        </w:rPr>
        <w:t xml:space="preserve"> </w:t>
      </w:r>
      <w:r>
        <w:t>clients</w:t>
      </w:r>
      <w:r>
        <w:rPr>
          <w:spacing w:val="-1"/>
        </w:rPr>
        <w:t xml:space="preserve"> </w:t>
      </w:r>
      <w:r>
        <w:t>across</w:t>
      </w:r>
      <w:r>
        <w:rPr>
          <w:spacing w:val="-1"/>
        </w:rPr>
        <w:t xml:space="preserve"> </w:t>
      </w:r>
      <w:r>
        <w:t>the</w:t>
      </w:r>
      <w:r>
        <w:rPr>
          <w:spacing w:val="-2"/>
        </w:rPr>
        <w:t xml:space="preserve"> </w:t>
      </w:r>
      <w:r>
        <w:t>age</w:t>
      </w:r>
      <w:r>
        <w:rPr>
          <w:spacing w:val="-1"/>
        </w:rPr>
        <w:t xml:space="preserve"> </w:t>
      </w:r>
      <w:r>
        <w:t>spectrum.</w:t>
      </w:r>
      <w:r>
        <w:rPr>
          <w:spacing w:val="-2"/>
        </w:rPr>
        <w:t xml:space="preserve"> </w:t>
      </w:r>
      <w:r>
        <w:t>DMH is currently engaged in a multi-year project to evaluate, strengthen, and advance the cultural humility and services it offers to its LGBTQ clients. In collaboration with experts in</w:t>
      </w:r>
      <w:r>
        <w:t xml:space="preserve"> the field, DMH has already conducted several needs assessments and has identified areas where its services and support are strongest and other areas where DMH needs further training and assistance.</w:t>
      </w:r>
    </w:p>
    <w:p w:rsidR="00C76E6D" w:rsidRDefault="00C76E6D">
      <w:pPr>
        <w:pStyle w:val="BodyText"/>
        <w:spacing w:before="8"/>
        <w:rPr>
          <w:sz w:val="19"/>
        </w:rPr>
      </w:pPr>
    </w:p>
    <w:p w:rsidR="00C76E6D" w:rsidRDefault="00913831">
      <w:pPr>
        <w:pStyle w:val="BodyText"/>
        <w:spacing w:line="276" w:lineRule="auto"/>
        <w:ind w:left="337" w:right="336"/>
        <w:jc w:val="both"/>
      </w:pPr>
      <w:r>
        <w:t>In</w:t>
      </w:r>
      <w:r>
        <w:rPr>
          <w:spacing w:val="-3"/>
        </w:rPr>
        <w:t xml:space="preserve"> </w:t>
      </w:r>
      <w:r>
        <w:t>January</w:t>
      </w:r>
      <w:r>
        <w:rPr>
          <w:spacing w:val="-3"/>
        </w:rPr>
        <w:t xml:space="preserve"> </w:t>
      </w:r>
      <w:r>
        <w:t>2021,</w:t>
      </w:r>
      <w:r>
        <w:rPr>
          <w:spacing w:val="-3"/>
        </w:rPr>
        <w:t xml:space="preserve"> </w:t>
      </w:r>
      <w:r>
        <w:t>DMH</w:t>
      </w:r>
      <w:r>
        <w:rPr>
          <w:spacing w:val="-3"/>
        </w:rPr>
        <w:t xml:space="preserve"> </w:t>
      </w:r>
      <w:r>
        <w:t>released</w:t>
      </w:r>
      <w:r>
        <w:rPr>
          <w:spacing w:val="-4"/>
        </w:rPr>
        <w:t xml:space="preserve"> </w:t>
      </w:r>
      <w:r>
        <w:t>a</w:t>
      </w:r>
      <w:r>
        <w:rPr>
          <w:spacing w:val="-1"/>
        </w:rPr>
        <w:t xml:space="preserve"> </w:t>
      </w:r>
      <w:r>
        <w:t>comprehensive</w:t>
      </w:r>
      <w:r>
        <w:rPr>
          <w:spacing w:val="-3"/>
        </w:rPr>
        <w:t xml:space="preserve"> </w:t>
      </w:r>
      <w:r>
        <w:t>nondiscrim</w:t>
      </w:r>
      <w:r>
        <w:t>ination</w:t>
      </w:r>
      <w:r>
        <w:rPr>
          <w:spacing w:val="-3"/>
        </w:rPr>
        <w:t xml:space="preserve"> </w:t>
      </w:r>
      <w:r>
        <w:t>policy</w:t>
      </w:r>
      <w:r>
        <w:rPr>
          <w:spacing w:val="-3"/>
        </w:rPr>
        <w:t xml:space="preserve"> </w:t>
      </w:r>
      <w:r>
        <w:t>and</w:t>
      </w:r>
      <w:r>
        <w:rPr>
          <w:spacing w:val="-1"/>
        </w:rPr>
        <w:t xml:space="preserve"> </w:t>
      </w:r>
      <w:r>
        <w:t>accompanying</w:t>
      </w:r>
      <w:r>
        <w:rPr>
          <w:spacing w:val="-3"/>
        </w:rPr>
        <w:t xml:space="preserve"> </w:t>
      </w:r>
      <w:r>
        <w:t>guidance,</w:t>
      </w:r>
      <w:r>
        <w:rPr>
          <w:spacing w:val="-3"/>
        </w:rPr>
        <w:t xml:space="preserve"> </w:t>
      </w:r>
      <w:r>
        <w:t>and has made progress in training their providers on LGBTQ competency - both of which were Commission recommendations. The agency is also researching ways to improve LGBTQ inclusion in data collection, reflecting</w:t>
      </w:r>
      <w:r>
        <w:rPr>
          <w:spacing w:val="-9"/>
        </w:rPr>
        <w:t xml:space="preserve"> </w:t>
      </w:r>
      <w:r>
        <w:t>a</w:t>
      </w:r>
      <w:r>
        <w:rPr>
          <w:spacing w:val="-9"/>
        </w:rPr>
        <w:t xml:space="preserve"> </w:t>
      </w:r>
      <w:r>
        <w:t>recommendation</w:t>
      </w:r>
      <w:r>
        <w:rPr>
          <w:spacing w:val="-9"/>
        </w:rPr>
        <w:t xml:space="preserve"> </w:t>
      </w:r>
      <w:r>
        <w:t>that</w:t>
      </w:r>
      <w:r>
        <w:rPr>
          <w:spacing w:val="-9"/>
        </w:rPr>
        <w:t xml:space="preserve"> </w:t>
      </w:r>
      <w:r>
        <w:t>was</w:t>
      </w:r>
      <w:r>
        <w:rPr>
          <w:spacing w:val="-9"/>
        </w:rPr>
        <w:t xml:space="preserve"> </w:t>
      </w:r>
      <w:r>
        <w:t>first</w:t>
      </w:r>
      <w:r>
        <w:rPr>
          <w:spacing w:val="-11"/>
        </w:rPr>
        <w:t xml:space="preserve"> </w:t>
      </w:r>
      <w:r>
        <w:t>issued</w:t>
      </w:r>
      <w:r>
        <w:rPr>
          <w:spacing w:val="-9"/>
        </w:rPr>
        <w:t xml:space="preserve"> </w:t>
      </w:r>
      <w:r>
        <w:t>in</w:t>
      </w:r>
      <w:r>
        <w:rPr>
          <w:spacing w:val="-8"/>
        </w:rPr>
        <w:t xml:space="preserve"> </w:t>
      </w:r>
      <w:r>
        <w:t>FY</w:t>
      </w:r>
      <w:r>
        <w:rPr>
          <w:spacing w:val="-10"/>
        </w:rPr>
        <w:t xml:space="preserve"> </w:t>
      </w:r>
      <w:r>
        <w:t>2019.</w:t>
      </w:r>
      <w:r>
        <w:rPr>
          <w:spacing w:val="-9"/>
        </w:rPr>
        <w:t xml:space="preserve"> </w:t>
      </w:r>
      <w:r>
        <w:t>The</w:t>
      </w:r>
      <w:r>
        <w:rPr>
          <w:spacing w:val="-9"/>
        </w:rPr>
        <w:t xml:space="preserve"> </w:t>
      </w:r>
      <w:r>
        <w:t>Commission</w:t>
      </w:r>
      <w:r>
        <w:rPr>
          <w:spacing w:val="-9"/>
        </w:rPr>
        <w:t xml:space="preserve"> </w:t>
      </w:r>
      <w:r>
        <w:t>was</w:t>
      </w:r>
      <w:r>
        <w:rPr>
          <w:spacing w:val="-9"/>
        </w:rPr>
        <w:t xml:space="preserve"> </w:t>
      </w:r>
      <w:r>
        <w:t>excited</w:t>
      </w:r>
      <w:r>
        <w:rPr>
          <w:spacing w:val="-9"/>
        </w:rPr>
        <w:t xml:space="preserve"> </w:t>
      </w:r>
      <w:r>
        <w:t>to</w:t>
      </w:r>
      <w:r>
        <w:rPr>
          <w:spacing w:val="-7"/>
        </w:rPr>
        <w:t xml:space="preserve"> </w:t>
      </w:r>
      <w:r>
        <w:t>learn</w:t>
      </w:r>
      <w:r>
        <w:rPr>
          <w:spacing w:val="-9"/>
        </w:rPr>
        <w:t xml:space="preserve"> </w:t>
      </w:r>
      <w:r>
        <w:t>that</w:t>
      </w:r>
      <w:r>
        <w:rPr>
          <w:spacing w:val="-8"/>
        </w:rPr>
        <w:t xml:space="preserve"> </w:t>
      </w:r>
      <w:r>
        <w:t>DMH is opening ten new YA Access Centers across Massachusetts this year, including its first center in Boston. DMH envisions these centers as low-barrier, safe, and affirming spaces for LGBTQ and BIPOC youth that promote leadership opportunities and provid</w:t>
      </w:r>
      <w:r>
        <w:t>e a supportive community.</w:t>
      </w:r>
    </w:p>
    <w:p w:rsidR="00C76E6D" w:rsidRDefault="00C76E6D">
      <w:pPr>
        <w:pStyle w:val="BodyText"/>
        <w:spacing w:before="9"/>
        <w:rPr>
          <w:sz w:val="19"/>
        </w:rPr>
      </w:pPr>
    </w:p>
    <w:p w:rsidR="00C76E6D" w:rsidRDefault="00913831">
      <w:pPr>
        <w:pStyle w:val="BodyText"/>
        <w:spacing w:line="276" w:lineRule="auto"/>
        <w:ind w:left="338" w:right="334"/>
        <w:jc w:val="both"/>
      </w:pPr>
      <w:r>
        <w:t>Although LGBTQ youth are typically well-adjusted and mentally healthy, factors such as violence, victimization, and family rejection increase their risk of needing mental health support. The Massachusetts Youth Risk Behavior Surv</w:t>
      </w:r>
      <w:r>
        <w:t>ey (MYRBS) indicates that LGBTQ youth are at significantly higher risk than their heterosexual counterparts for suicidal ideation and substance abuse; for instance, LGBTQ youth are nearly five times more likely to have attempted suicide in the past year th</w:t>
      </w:r>
      <w:r>
        <w:t>an their peers</w:t>
      </w:r>
      <w:hyperlink w:anchor="_bookmark583" w:history="1">
        <w:r>
          <w:t>.</w:t>
        </w:r>
        <w:r>
          <w:rPr>
            <w:vertAlign w:val="superscript"/>
          </w:rPr>
          <w:t>1</w:t>
        </w:r>
      </w:hyperlink>
      <w:r>
        <w:t xml:space="preserve"> Recent surveys have shown that attempted suicide rates for self-identified transgender people are particularly high, with one- third reporting attempting suicide at least once in their lifetime. These statis</w:t>
      </w:r>
      <w:r>
        <w:t xml:space="preserve">tics are even higher for youths and young adults, and these at-risk populations need the support of inclusive policies. </w:t>
      </w:r>
      <w:hyperlink w:anchor="_bookmark584" w:history="1">
        <w:r>
          <w:rPr>
            <w:vertAlign w:val="superscript"/>
          </w:rPr>
          <w:t>2</w:t>
        </w:r>
      </w:hyperlink>
    </w:p>
    <w:p w:rsidR="00C76E6D" w:rsidRDefault="00C76E6D">
      <w:pPr>
        <w:spacing w:line="276" w:lineRule="auto"/>
        <w:jc w:val="both"/>
        <w:sectPr w:rsidR="00C76E6D">
          <w:headerReference w:type="default" r:id="rId416"/>
          <w:footerReference w:type="default" r:id="rId417"/>
          <w:pgSz w:w="12240" w:h="15840"/>
          <w:pgMar w:top="1020" w:right="960" w:bottom="640" w:left="960" w:header="832" w:footer="440" w:gutter="0"/>
          <w:cols w:space="720"/>
        </w:sectPr>
      </w:pPr>
    </w:p>
    <w:p w:rsidR="00C76E6D" w:rsidRDefault="00C76E6D">
      <w:pPr>
        <w:pStyle w:val="BodyText"/>
        <w:spacing w:before="3"/>
      </w:pPr>
    </w:p>
    <w:p w:rsidR="00C76E6D" w:rsidRDefault="00913831">
      <w:pPr>
        <w:pStyle w:val="BodyText"/>
        <w:spacing w:before="55" w:line="276" w:lineRule="auto"/>
        <w:ind w:left="339" w:right="334" w:hanging="1"/>
        <w:jc w:val="both"/>
      </w:pPr>
      <w:r>
        <w:t>The</w:t>
      </w:r>
      <w:r>
        <w:rPr>
          <w:spacing w:val="-11"/>
        </w:rPr>
        <w:t xml:space="preserve"> </w:t>
      </w:r>
      <w:r>
        <w:t>Commission’s</w:t>
      </w:r>
      <w:r>
        <w:rPr>
          <w:spacing w:val="-11"/>
        </w:rPr>
        <w:t xml:space="preserve"> </w:t>
      </w:r>
      <w:r>
        <w:t>data</w:t>
      </w:r>
      <w:r>
        <w:rPr>
          <w:spacing w:val="-11"/>
        </w:rPr>
        <w:t xml:space="preserve"> </w:t>
      </w:r>
      <w:r>
        <w:t>analysis,</w:t>
      </w:r>
      <w:r>
        <w:rPr>
          <w:spacing w:val="-11"/>
        </w:rPr>
        <w:t xml:space="preserve"> </w:t>
      </w:r>
      <w:r>
        <w:t>as</w:t>
      </w:r>
      <w:r>
        <w:rPr>
          <w:spacing w:val="-11"/>
        </w:rPr>
        <w:t xml:space="preserve"> </w:t>
      </w:r>
      <w:r>
        <w:t>shared</w:t>
      </w:r>
      <w:r>
        <w:rPr>
          <w:spacing w:val="-11"/>
        </w:rPr>
        <w:t xml:space="preserve"> </w:t>
      </w:r>
      <w:r>
        <w:t>above,</w:t>
      </w:r>
      <w:r>
        <w:rPr>
          <w:spacing w:val="-11"/>
        </w:rPr>
        <w:t xml:space="preserve"> </w:t>
      </w:r>
      <w:r>
        <w:t>shows</w:t>
      </w:r>
      <w:r>
        <w:rPr>
          <w:spacing w:val="-11"/>
        </w:rPr>
        <w:t xml:space="preserve"> </w:t>
      </w:r>
      <w:r>
        <w:t>that</w:t>
      </w:r>
      <w:r>
        <w:rPr>
          <w:spacing w:val="-12"/>
        </w:rPr>
        <w:t xml:space="preserve"> </w:t>
      </w:r>
      <w:r>
        <w:t>LGBTQ</w:t>
      </w:r>
      <w:r>
        <w:rPr>
          <w:spacing w:val="-12"/>
        </w:rPr>
        <w:t xml:space="preserve"> </w:t>
      </w:r>
      <w:r>
        <w:t>youth</w:t>
      </w:r>
      <w:r>
        <w:rPr>
          <w:spacing w:val="-12"/>
        </w:rPr>
        <w:t xml:space="preserve"> </w:t>
      </w:r>
      <w:r>
        <w:t>are</w:t>
      </w:r>
      <w:r>
        <w:rPr>
          <w:spacing w:val="-11"/>
        </w:rPr>
        <w:t xml:space="preserve"> </w:t>
      </w:r>
      <w:r>
        <w:t>at</w:t>
      </w:r>
      <w:r>
        <w:rPr>
          <w:spacing w:val="-12"/>
        </w:rPr>
        <w:t xml:space="preserve"> </w:t>
      </w:r>
      <w:r>
        <w:t>increased</w:t>
      </w:r>
      <w:r>
        <w:rPr>
          <w:spacing w:val="-11"/>
        </w:rPr>
        <w:t xml:space="preserve"> </w:t>
      </w:r>
      <w:r>
        <w:t>risk</w:t>
      </w:r>
      <w:r>
        <w:rPr>
          <w:spacing w:val="-12"/>
        </w:rPr>
        <w:t xml:space="preserve"> </w:t>
      </w:r>
      <w:r>
        <w:t>for</w:t>
      </w:r>
      <w:r>
        <w:rPr>
          <w:spacing w:val="-11"/>
        </w:rPr>
        <w:t xml:space="preserve"> </w:t>
      </w:r>
      <w:r>
        <w:t>self-harm, suicidal ideation, suicide attempt, and other health risks that relate directly or indirectly to mental health. With such alarming and disproportionate risks, it is critical that mental health providers and policymakers understand what</w:t>
      </w:r>
      <w:r>
        <w:rPr>
          <w:spacing w:val="-1"/>
        </w:rPr>
        <w:t xml:space="preserve"> </w:t>
      </w:r>
      <w:r>
        <w:t>contribut</w:t>
      </w:r>
      <w:r>
        <w:t>es to mental</w:t>
      </w:r>
      <w:r>
        <w:rPr>
          <w:spacing w:val="-1"/>
        </w:rPr>
        <w:t xml:space="preserve"> </w:t>
      </w:r>
      <w:r>
        <w:t>health problems among</w:t>
      </w:r>
      <w:r>
        <w:rPr>
          <w:spacing w:val="-1"/>
        </w:rPr>
        <w:t xml:space="preserve"> </w:t>
      </w:r>
      <w:r>
        <w:t>LGBTQ</w:t>
      </w:r>
      <w:r>
        <w:rPr>
          <w:spacing w:val="-1"/>
        </w:rPr>
        <w:t xml:space="preserve"> </w:t>
      </w:r>
      <w:r>
        <w:t>youth.</w:t>
      </w:r>
      <w:r>
        <w:rPr>
          <w:spacing w:val="-2"/>
        </w:rPr>
        <w:t xml:space="preserve"> </w:t>
      </w:r>
      <w:r>
        <w:t>Providers need to know</w:t>
      </w:r>
      <w:r>
        <w:rPr>
          <w:spacing w:val="-1"/>
        </w:rPr>
        <w:t xml:space="preserve"> </w:t>
      </w:r>
      <w:r>
        <w:t>how best to provide supportive environments and inclusive systems of care that promote positive coping mechanisms. It is vital that all mental health services, including those in drop-i</w:t>
      </w:r>
      <w:r>
        <w:t>n programs, emergency housing programs, and long-term transitional housing programs, are trauma-informed.</w:t>
      </w:r>
    </w:p>
    <w:p w:rsidR="00C76E6D" w:rsidRDefault="00C76E6D">
      <w:pPr>
        <w:pStyle w:val="BodyText"/>
        <w:spacing w:before="8"/>
        <w:rPr>
          <w:sz w:val="25"/>
        </w:rPr>
      </w:pPr>
    </w:p>
    <w:p w:rsidR="00C76E6D" w:rsidRDefault="00913831">
      <w:pPr>
        <w:pStyle w:val="Heading5"/>
        <w:jc w:val="both"/>
      </w:pPr>
      <w:r>
        <w:rPr>
          <w:spacing w:val="-2"/>
        </w:rPr>
        <w:t>Expanded</w:t>
      </w:r>
      <w:r>
        <w:t xml:space="preserve"> </w:t>
      </w:r>
      <w:r>
        <w:rPr>
          <w:spacing w:val="-2"/>
        </w:rPr>
        <w:t>Recommendations</w:t>
      </w:r>
    </w:p>
    <w:p w:rsidR="00C76E6D" w:rsidRDefault="00913831">
      <w:pPr>
        <w:pStyle w:val="BodyText"/>
        <w:spacing w:before="10"/>
        <w:rPr>
          <w:b/>
          <w:sz w:val="6"/>
        </w:rPr>
      </w:pPr>
      <w:r>
        <w:pict>
          <v:shape id="docshape394" o:spid="_x0000_s1085" style="position:absolute;margin-left:65pt;margin-top:5.4pt;width:476.95pt;height:.1pt;z-index:-15647744;mso-wrap-distance-left:0;mso-wrap-distance-right:0;mso-position-horizontal-relative:page" coordorigin="1300,108" coordsize="9539,0" path="m1300,108r9539,e" filled="f" strokeweight="1.54pt">
            <v:path arrowok="t"/>
            <w10:wrap type="topAndBottom" anchorx="page"/>
          </v:shape>
        </w:pict>
      </w:r>
    </w:p>
    <w:p w:rsidR="00C76E6D" w:rsidRDefault="00C76E6D">
      <w:pPr>
        <w:pStyle w:val="BodyText"/>
        <w:spacing w:before="2"/>
        <w:rPr>
          <w:b/>
          <w:sz w:val="35"/>
        </w:rPr>
      </w:pPr>
    </w:p>
    <w:p w:rsidR="00C76E6D" w:rsidRDefault="00913831">
      <w:pPr>
        <w:pStyle w:val="Heading6"/>
        <w:numPr>
          <w:ilvl w:val="0"/>
          <w:numId w:val="11"/>
        </w:numPr>
        <w:tabs>
          <w:tab w:val="left" w:pos="602"/>
        </w:tabs>
        <w:spacing w:before="1" w:line="276" w:lineRule="auto"/>
        <w:ind w:right="390" w:hanging="1"/>
      </w:pPr>
      <w:bookmarkStart w:id="819" w:name="1._Evaluate_the_new_&quot;Prohibition_of_Unla"/>
      <w:bookmarkEnd w:id="819"/>
      <w:r>
        <w:t>Evaluate</w:t>
      </w:r>
      <w:r>
        <w:rPr>
          <w:spacing w:val="-11"/>
        </w:rPr>
        <w:t xml:space="preserve"> </w:t>
      </w:r>
      <w:r>
        <w:t>the</w:t>
      </w:r>
      <w:r>
        <w:rPr>
          <w:spacing w:val="-11"/>
        </w:rPr>
        <w:t xml:space="preserve"> </w:t>
      </w:r>
      <w:r>
        <w:t>new</w:t>
      </w:r>
      <w:r>
        <w:rPr>
          <w:spacing w:val="-12"/>
        </w:rPr>
        <w:t xml:space="preserve"> </w:t>
      </w:r>
      <w:r>
        <w:t>"Prohibition</w:t>
      </w:r>
      <w:r>
        <w:rPr>
          <w:spacing w:val="-11"/>
        </w:rPr>
        <w:t xml:space="preserve"> </w:t>
      </w:r>
      <w:r>
        <w:t>of</w:t>
      </w:r>
      <w:r>
        <w:rPr>
          <w:spacing w:val="-10"/>
        </w:rPr>
        <w:t xml:space="preserve"> </w:t>
      </w:r>
      <w:r>
        <w:t>Unlawful</w:t>
      </w:r>
      <w:r>
        <w:rPr>
          <w:spacing w:val="-11"/>
        </w:rPr>
        <w:t xml:space="preserve"> </w:t>
      </w:r>
      <w:r>
        <w:t>Discrimination</w:t>
      </w:r>
      <w:r>
        <w:rPr>
          <w:spacing w:val="-13"/>
        </w:rPr>
        <w:t xml:space="preserve"> </w:t>
      </w:r>
      <w:r>
        <w:t>Including</w:t>
      </w:r>
      <w:r>
        <w:rPr>
          <w:spacing w:val="-11"/>
        </w:rPr>
        <w:t xml:space="preserve"> </w:t>
      </w:r>
      <w:r>
        <w:t>against</w:t>
      </w:r>
      <w:r>
        <w:rPr>
          <w:spacing w:val="-12"/>
        </w:rPr>
        <w:t xml:space="preserve"> </w:t>
      </w:r>
      <w:r>
        <w:t>LGBTQI</w:t>
      </w:r>
      <w:r>
        <w:rPr>
          <w:spacing w:val="-12"/>
        </w:rPr>
        <w:t xml:space="preserve"> </w:t>
      </w:r>
      <w:r>
        <w:t>Persons"</w:t>
      </w:r>
      <w:r>
        <w:rPr>
          <w:spacing w:val="-12"/>
        </w:rPr>
        <w:t xml:space="preserve"> </w:t>
      </w:r>
      <w:r>
        <w:t>policy</w:t>
      </w:r>
      <w:r>
        <w:rPr>
          <w:spacing w:val="-11"/>
        </w:rPr>
        <w:t xml:space="preserve"> </w:t>
      </w:r>
      <w:r>
        <w:t>and related guidance, a</w:t>
      </w:r>
      <w:r>
        <w:t>nd implement any needed updates.</w:t>
      </w:r>
    </w:p>
    <w:p w:rsidR="00C76E6D" w:rsidRDefault="00C76E6D">
      <w:pPr>
        <w:pStyle w:val="BodyText"/>
        <w:spacing w:before="1"/>
        <w:rPr>
          <w:b/>
          <w:sz w:val="30"/>
        </w:rPr>
      </w:pPr>
    </w:p>
    <w:p w:rsidR="00C76E6D" w:rsidRDefault="00913831">
      <w:pPr>
        <w:pStyle w:val="BodyText"/>
        <w:spacing w:line="276" w:lineRule="auto"/>
        <w:ind w:left="627" w:right="335"/>
        <w:jc w:val="both"/>
      </w:pPr>
      <w:r>
        <w:t>In January 2021, DMH released a comprehensive LGBTQ nondiscrimination policy, which had been a previous</w:t>
      </w:r>
      <w:r>
        <w:rPr>
          <w:spacing w:val="-2"/>
        </w:rPr>
        <w:t xml:space="preserve"> </w:t>
      </w:r>
      <w:r>
        <w:t>recommendation</w:t>
      </w:r>
      <w:r>
        <w:rPr>
          <w:spacing w:val="-1"/>
        </w:rPr>
        <w:t xml:space="preserve"> </w:t>
      </w:r>
      <w:r>
        <w:t>by</w:t>
      </w:r>
      <w:r>
        <w:rPr>
          <w:spacing w:val="-3"/>
        </w:rPr>
        <w:t xml:space="preserve"> </w:t>
      </w:r>
      <w:r>
        <w:t>the</w:t>
      </w:r>
      <w:r>
        <w:rPr>
          <w:spacing w:val="-3"/>
        </w:rPr>
        <w:t xml:space="preserve"> </w:t>
      </w:r>
      <w:r>
        <w:t>Commission.</w:t>
      </w:r>
      <w:r>
        <w:rPr>
          <w:spacing w:val="-4"/>
        </w:rPr>
        <w:t xml:space="preserve"> </w:t>
      </w:r>
      <w:r>
        <w:t>An</w:t>
      </w:r>
      <w:r>
        <w:rPr>
          <w:spacing w:val="-3"/>
        </w:rPr>
        <w:t xml:space="preserve"> </w:t>
      </w:r>
      <w:r>
        <w:t>implementation</w:t>
      </w:r>
      <w:r>
        <w:rPr>
          <w:spacing w:val="-1"/>
        </w:rPr>
        <w:t xml:space="preserve"> </w:t>
      </w:r>
      <w:r>
        <w:t>group</w:t>
      </w:r>
      <w:r>
        <w:rPr>
          <w:spacing w:val="-2"/>
        </w:rPr>
        <w:t xml:space="preserve"> </w:t>
      </w:r>
      <w:r>
        <w:t>was</w:t>
      </w:r>
      <w:r>
        <w:rPr>
          <w:spacing w:val="-2"/>
        </w:rPr>
        <w:t xml:space="preserve"> </w:t>
      </w:r>
      <w:r>
        <w:t>formed</w:t>
      </w:r>
      <w:r>
        <w:rPr>
          <w:spacing w:val="-3"/>
        </w:rPr>
        <w:t xml:space="preserve"> </w:t>
      </w:r>
      <w:r>
        <w:t>in</w:t>
      </w:r>
      <w:r>
        <w:rPr>
          <w:spacing w:val="-3"/>
        </w:rPr>
        <w:t xml:space="preserve"> </w:t>
      </w:r>
      <w:r>
        <w:t>2020 to</w:t>
      </w:r>
      <w:r>
        <w:rPr>
          <w:spacing w:val="-2"/>
        </w:rPr>
        <w:t xml:space="preserve"> </w:t>
      </w:r>
      <w:r>
        <w:t>address issues with the policy and plan and execute its implementation with successful cross-collaboration from multiple DMH departments. The Commission was pleased to see this finalized and distributed agency- wide</w:t>
      </w:r>
      <w:r>
        <w:rPr>
          <w:spacing w:val="-12"/>
        </w:rPr>
        <w:t xml:space="preserve"> </w:t>
      </w:r>
      <w:r>
        <w:t>over</w:t>
      </w:r>
      <w:r>
        <w:rPr>
          <w:spacing w:val="-11"/>
        </w:rPr>
        <w:t xml:space="preserve"> </w:t>
      </w:r>
      <w:r>
        <w:t>the</w:t>
      </w:r>
      <w:r>
        <w:rPr>
          <w:spacing w:val="-9"/>
        </w:rPr>
        <w:t xml:space="preserve"> </w:t>
      </w:r>
      <w:r>
        <w:t>past</w:t>
      </w:r>
      <w:r>
        <w:rPr>
          <w:spacing w:val="-13"/>
        </w:rPr>
        <w:t xml:space="preserve"> </w:t>
      </w:r>
      <w:r>
        <w:t>year,</w:t>
      </w:r>
      <w:r>
        <w:rPr>
          <w:spacing w:val="-10"/>
        </w:rPr>
        <w:t xml:space="preserve"> </w:t>
      </w:r>
      <w:r>
        <w:t>and</w:t>
      </w:r>
      <w:r>
        <w:rPr>
          <w:spacing w:val="-13"/>
        </w:rPr>
        <w:t xml:space="preserve"> </w:t>
      </w:r>
      <w:r>
        <w:t>looks</w:t>
      </w:r>
      <w:r>
        <w:rPr>
          <w:spacing w:val="-10"/>
        </w:rPr>
        <w:t xml:space="preserve"> </w:t>
      </w:r>
      <w:r>
        <w:t>forward</w:t>
      </w:r>
      <w:r>
        <w:rPr>
          <w:spacing w:val="-12"/>
        </w:rPr>
        <w:t xml:space="preserve"> </w:t>
      </w:r>
      <w:r>
        <w:t>to</w:t>
      </w:r>
      <w:r>
        <w:rPr>
          <w:spacing w:val="-11"/>
        </w:rPr>
        <w:t xml:space="preserve"> </w:t>
      </w:r>
      <w:r>
        <w:t>working</w:t>
      </w:r>
      <w:r>
        <w:rPr>
          <w:spacing w:val="-9"/>
        </w:rPr>
        <w:t xml:space="preserve"> </w:t>
      </w:r>
      <w:r>
        <w:t>with</w:t>
      </w:r>
      <w:r>
        <w:rPr>
          <w:spacing w:val="-12"/>
        </w:rPr>
        <w:t xml:space="preserve"> </w:t>
      </w:r>
      <w:r>
        <w:t>DMH</w:t>
      </w:r>
      <w:r>
        <w:rPr>
          <w:spacing w:val="-11"/>
        </w:rPr>
        <w:t xml:space="preserve"> </w:t>
      </w:r>
      <w:r>
        <w:t>as</w:t>
      </w:r>
      <w:r>
        <w:rPr>
          <w:spacing w:val="-11"/>
        </w:rPr>
        <w:t xml:space="preserve"> </w:t>
      </w:r>
      <w:r>
        <w:t>it</w:t>
      </w:r>
      <w:r>
        <w:rPr>
          <w:spacing w:val="-12"/>
        </w:rPr>
        <w:t xml:space="preserve"> </w:t>
      </w:r>
      <w:r>
        <w:t>prepares</w:t>
      </w:r>
      <w:r>
        <w:rPr>
          <w:spacing w:val="-11"/>
        </w:rPr>
        <w:t xml:space="preserve"> </w:t>
      </w:r>
      <w:r>
        <w:t>for</w:t>
      </w:r>
      <w:r>
        <w:rPr>
          <w:spacing w:val="-9"/>
        </w:rPr>
        <w:t xml:space="preserve"> </w:t>
      </w:r>
      <w:r>
        <w:t>an</w:t>
      </w:r>
      <w:r>
        <w:rPr>
          <w:spacing w:val="-13"/>
        </w:rPr>
        <w:t xml:space="preserve"> </w:t>
      </w:r>
      <w:r>
        <w:t>annual</w:t>
      </w:r>
      <w:r>
        <w:rPr>
          <w:spacing w:val="-10"/>
        </w:rPr>
        <w:t xml:space="preserve"> </w:t>
      </w:r>
      <w:r>
        <w:t>policy</w:t>
      </w:r>
      <w:r>
        <w:rPr>
          <w:spacing w:val="-11"/>
        </w:rPr>
        <w:t xml:space="preserve"> </w:t>
      </w:r>
      <w:r>
        <w:t>review in the fall.</w:t>
      </w:r>
    </w:p>
    <w:p w:rsidR="00C76E6D" w:rsidRDefault="00C76E6D">
      <w:pPr>
        <w:pStyle w:val="BodyText"/>
        <w:spacing w:before="4"/>
        <w:rPr>
          <w:sz w:val="25"/>
        </w:rPr>
      </w:pPr>
    </w:p>
    <w:p w:rsidR="00C76E6D" w:rsidRDefault="00913831">
      <w:pPr>
        <w:pStyle w:val="Heading6"/>
        <w:numPr>
          <w:ilvl w:val="0"/>
          <w:numId w:val="11"/>
        </w:numPr>
        <w:tabs>
          <w:tab w:val="left" w:pos="586"/>
        </w:tabs>
        <w:spacing w:line="276" w:lineRule="auto"/>
        <w:ind w:right="646" w:hanging="1"/>
      </w:pPr>
      <w:bookmarkStart w:id="820" w:name="2._Continue_facilitating_trainings_cente"/>
      <w:bookmarkEnd w:id="820"/>
      <w:r>
        <w:t>Continue</w:t>
      </w:r>
      <w:r>
        <w:rPr>
          <w:spacing w:val="-4"/>
        </w:rPr>
        <w:t xml:space="preserve"> </w:t>
      </w:r>
      <w:r>
        <w:t>facilitating</w:t>
      </w:r>
      <w:r>
        <w:rPr>
          <w:spacing w:val="-4"/>
        </w:rPr>
        <w:t xml:space="preserve"> </w:t>
      </w:r>
      <w:r>
        <w:t>trainings</w:t>
      </w:r>
      <w:r>
        <w:rPr>
          <w:spacing w:val="-4"/>
        </w:rPr>
        <w:t xml:space="preserve"> </w:t>
      </w:r>
      <w:r>
        <w:t>centered</w:t>
      </w:r>
      <w:r>
        <w:rPr>
          <w:spacing w:val="-4"/>
        </w:rPr>
        <w:t xml:space="preserve"> </w:t>
      </w:r>
      <w:r>
        <w:t>on</w:t>
      </w:r>
      <w:r>
        <w:rPr>
          <w:spacing w:val="-4"/>
        </w:rPr>
        <w:t xml:space="preserve"> </w:t>
      </w:r>
      <w:r>
        <w:t>LGBTQ</w:t>
      </w:r>
      <w:r>
        <w:rPr>
          <w:spacing w:val="-4"/>
        </w:rPr>
        <w:t xml:space="preserve"> </w:t>
      </w:r>
      <w:r>
        <w:t>competency,</w:t>
      </w:r>
      <w:r>
        <w:rPr>
          <w:spacing w:val="-4"/>
        </w:rPr>
        <w:t xml:space="preserve"> </w:t>
      </w:r>
      <w:r>
        <w:t>including</w:t>
      </w:r>
      <w:r>
        <w:rPr>
          <w:spacing w:val="-4"/>
        </w:rPr>
        <w:t xml:space="preserve"> </w:t>
      </w:r>
      <w:r>
        <w:t>with</w:t>
      </w:r>
      <w:r>
        <w:rPr>
          <w:spacing w:val="-4"/>
        </w:rPr>
        <w:t xml:space="preserve"> </w:t>
      </w:r>
      <w:r>
        <w:t>respect</w:t>
      </w:r>
      <w:r>
        <w:rPr>
          <w:spacing w:val="-4"/>
        </w:rPr>
        <w:t xml:space="preserve"> </w:t>
      </w:r>
      <w:r>
        <w:t>to</w:t>
      </w:r>
      <w:r>
        <w:rPr>
          <w:spacing w:val="-4"/>
        </w:rPr>
        <w:t xml:space="preserve"> </w:t>
      </w:r>
      <w:r>
        <w:t>youth,</w:t>
      </w:r>
      <w:r>
        <w:rPr>
          <w:spacing w:val="-4"/>
        </w:rPr>
        <w:t xml:space="preserve"> </w:t>
      </w:r>
      <w:r>
        <w:t>and work with the EOHHS interagency committee to develop an online training for potent</w:t>
      </w:r>
      <w:r>
        <w:t>ial use.</w:t>
      </w:r>
    </w:p>
    <w:p w:rsidR="00C76E6D" w:rsidRDefault="00C76E6D">
      <w:pPr>
        <w:pStyle w:val="BodyText"/>
        <w:spacing w:before="3"/>
        <w:rPr>
          <w:b/>
          <w:sz w:val="25"/>
        </w:rPr>
      </w:pPr>
    </w:p>
    <w:p w:rsidR="00C76E6D" w:rsidRDefault="00913831">
      <w:pPr>
        <w:pStyle w:val="BodyText"/>
        <w:spacing w:before="1" w:line="276" w:lineRule="auto"/>
        <w:ind w:left="627" w:right="332"/>
        <w:jc w:val="both"/>
      </w:pPr>
      <w:r>
        <w:t>DMH</w:t>
      </w:r>
      <w:r>
        <w:rPr>
          <w:spacing w:val="-7"/>
        </w:rPr>
        <w:t xml:space="preserve"> </w:t>
      </w:r>
      <w:r>
        <w:t>continues</w:t>
      </w:r>
      <w:r>
        <w:rPr>
          <w:spacing w:val="-7"/>
        </w:rPr>
        <w:t xml:space="preserve"> </w:t>
      </w:r>
      <w:r>
        <w:t>to</w:t>
      </w:r>
      <w:r>
        <w:rPr>
          <w:spacing w:val="-5"/>
        </w:rPr>
        <w:t xml:space="preserve"> </w:t>
      </w:r>
      <w:r>
        <w:t>make</w:t>
      </w:r>
      <w:r>
        <w:rPr>
          <w:spacing w:val="-7"/>
        </w:rPr>
        <w:t xml:space="preserve"> </w:t>
      </w:r>
      <w:r>
        <w:t>progress</w:t>
      </w:r>
      <w:r>
        <w:rPr>
          <w:spacing w:val="-7"/>
        </w:rPr>
        <w:t xml:space="preserve"> </w:t>
      </w:r>
      <w:r>
        <w:t>in</w:t>
      </w:r>
      <w:r>
        <w:rPr>
          <w:spacing w:val="-7"/>
        </w:rPr>
        <w:t xml:space="preserve"> </w:t>
      </w:r>
      <w:r>
        <w:t>training</w:t>
      </w:r>
      <w:r>
        <w:rPr>
          <w:spacing w:val="-7"/>
        </w:rPr>
        <w:t xml:space="preserve"> </w:t>
      </w:r>
      <w:r>
        <w:t>all</w:t>
      </w:r>
      <w:r>
        <w:rPr>
          <w:spacing w:val="-8"/>
        </w:rPr>
        <w:t xml:space="preserve"> </w:t>
      </w:r>
      <w:r>
        <w:t>of</w:t>
      </w:r>
      <w:r>
        <w:rPr>
          <w:spacing w:val="-6"/>
        </w:rPr>
        <w:t xml:space="preserve"> </w:t>
      </w:r>
      <w:r>
        <w:t>its</w:t>
      </w:r>
      <w:r>
        <w:rPr>
          <w:spacing w:val="-5"/>
        </w:rPr>
        <w:t xml:space="preserve"> </w:t>
      </w:r>
      <w:r>
        <w:t>employees</w:t>
      </w:r>
      <w:r>
        <w:rPr>
          <w:spacing w:val="-6"/>
        </w:rPr>
        <w:t xml:space="preserve"> </w:t>
      </w:r>
      <w:r>
        <w:t>on</w:t>
      </w:r>
      <w:r>
        <w:rPr>
          <w:spacing w:val="-8"/>
        </w:rPr>
        <w:t xml:space="preserve"> </w:t>
      </w:r>
      <w:r>
        <w:t>LGBTQ</w:t>
      </w:r>
      <w:r>
        <w:rPr>
          <w:spacing w:val="-7"/>
        </w:rPr>
        <w:t xml:space="preserve"> </w:t>
      </w:r>
      <w:r>
        <w:t>competency.</w:t>
      </w:r>
      <w:r>
        <w:rPr>
          <w:spacing w:val="-7"/>
        </w:rPr>
        <w:t xml:space="preserve"> </w:t>
      </w:r>
      <w:r>
        <w:t>Promisingly,</w:t>
      </w:r>
      <w:r>
        <w:rPr>
          <w:spacing w:val="-7"/>
        </w:rPr>
        <w:t xml:space="preserve"> </w:t>
      </w:r>
      <w:r>
        <w:t xml:space="preserve">Part B of DMH’s recently-released nondiscrimination policy includes training of employees; in May of 2022, DMH expressed that they currently have a 77% compliance rate among its staff on this new policy and guidelines. A section on LGBTQ cultural humility </w:t>
      </w:r>
      <w:r>
        <w:t>was additionally embedded into the mandatory employee</w:t>
      </w:r>
      <w:r>
        <w:rPr>
          <w:spacing w:val="-6"/>
        </w:rPr>
        <w:t xml:space="preserve"> </w:t>
      </w:r>
      <w:r>
        <w:t>annual</w:t>
      </w:r>
      <w:r>
        <w:rPr>
          <w:spacing w:val="-7"/>
        </w:rPr>
        <w:t xml:space="preserve"> </w:t>
      </w:r>
      <w:r>
        <w:t>review</w:t>
      </w:r>
      <w:r>
        <w:rPr>
          <w:spacing w:val="-4"/>
        </w:rPr>
        <w:t xml:space="preserve"> </w:t>
      </w:r>
      <w:r>
        <w:t>training</w:t>
      </w:r>
      <w:r>
        <w:rPr>
          <w:spacing w:val="-6"/>
        </w:rPr>
        <w:t xml:space="preserve"> </w:t>
      </w:r>
      <w:r>
        <w:t>in</w:t>
      </w:r>
      <w:r>
        <w:rPr>
          <w:spacing w:val="-5"/>
        </w:rPr>
        <w:t xml:space="preserve"> </w:t>
      </w:r>
      <w:r>
        <w:t>FY22.</w:t>
      </w:r>
      <w:r>
        <w:rPr>
          <w:spacing w:val="-7"/>
        </w:rPr>
        <w:t xml:space="preserve"> </w:t>
      </w:r>
      <w:r>
        <w:t>Over</w:t>
      </w:r>
      <w:r>
        <w:rPr>
          <w:spacing w:val="-4"/>
        </w:rPr>
        <w:t xml:space="preserve"> </w:t>
      </w:r>
      <w:r>
        <w:t>the</w:t>
      </w:r>
      <w:r>
        <w:rPr>
          <w:spacing w:val="-4"/>
        </w:rPr>
        <w:t xml:space="preserve"> </w:t>
      </w:r>
      <w:r>
        <w:t>next</w:t>
      </w:r>
      <w:r>
        <w:rPr>
          <w:spacing w:val="-6"/>
        </w:rPr>
        <w:t xml:space="preserve"> </w:t>
      </w:r>
      <w:r>
        <w:t>fiscal</w:t>
      </w:r>
      <w:r>
        <w:rPr>
          <w:spacing w:val="-5"/>
        </w:rPr>
        <w:t xml:space="preserve"> </w:t>
      </w:r>
      <w:r>
        <w:t>year,</w:t>
      </w:r>
      <w:r>
        <w:rPr>
          <w:spacing w:val="-6"/>
        </w:rPr>
        <w:t xml:space="preserve"> </w:t>
      </w:r>
      <w:r>
        <w:t>DMH</w:t>
      </w:r>
      <w:r>
        <w:rPr>
          <w:spacing w:val="-4"/>
        </w:rPr>
        <w:t xml:space="preserve"> </w:t>
      </w:r>
      <w:r>
        <w:t>aims</w:t>
      </w:r>
      <w:r>
        <w:rPr>
          <w:spacing w:val="-5"/>
        </w:rPr>
        <w:t xml:space="preserve"> </w:t>
      </w:r>
      <w:r>
        <w:t>to</w:t>
      </w:r>
      <w:r>
        <w:rPr>
          <w:spacing w:val="-6"/>
        </w:rPr>
        <w:t xml:space="preserve"> </w:t>
      </w:r>
      <w:r>
        <w:t>achieve</w:t>
      </w:r>
      <w:r>
        <w:rPr>
          <w:spacing w:val="-4"/>
        </w:rPr>
        <w:t xml:space="preserve"> </w:t>
      </w:r>
      <w:r>
        <w:t>a</w:t>
      </w:r>
      <w:r>
        <w:rPr>
          <w:spacing w:val="-5"/>
        </w:rPr>
        <w:t xml:space="preserve"> </w:t>
      </w:r>
      <w:r>
        <w:t>minimum</w:t>
      </w:r>
      <w:r>
        <w:rPr>
          <w:spacing w:val="-7"/>
        </w:rPr>
        <w:t xml:space="preserve"> </w:t>
      </w:r>
      <w:r>
        <w:t>85% compliance rate</w:t>
      </w:r>
      <w:r>
        <w:rPr>
          <w:spacing w:val="-1"/>
        </w:rPr>
        <w:t xml:space="preserve"> </w:t>
      </w:r>
      <w:r>
        <w:t>for LGBTQ cultural humility trainings among staff. DMH, like several other agencies, has expr</w:t>
      </w:r>
      <w:r>
        <w:t>essed</w:t>
      </w:r>
      <w:r>
        <w:rPr>
          <w:spacing w:val="-2"/>
        </w:rPr>
        <w:t xml:space="preserve"> </w:t>
      </w:r>
      <w:r>
        <w:t>that</w:t>
      </w:r>
      <w:r>
        <w:rPr>
          <w:spacing w:val="-2"/>
        </w:rPr>
        <w:t xml:space="preserve"> </w:t>
      </w:r>
      <w:r>
        <w:t>the</w:t>
      </w:r>
      <w:r>
        <w:rPr>
          <w:spacing w:val="-1"/>
        </w:rPr>
        <w:t xml:space="preserve"> </w:t>
      </w:r>
      <w:r>
        <w:t>difficulty</w:t>
      </w:r>
      <w:r>
        <w:rPr>
          <w:spacing w:val="-2"/>
        </w:rPr>
        <w:t xml:space="preserve"> </w:t>
      </w:r>
      <w:r>
        <w:t>in</w:t>
      </w:r>
      <w:r>
        <w:rPr>
          <w:spacing w:val="-2"/>
        </w:rPr>
        <w:t xml:space="preserve"> </w:t>
      </w:r>
      <w:r>
        <w:t>achieving</w:t>
      </w:r>
      <w:r>
        <w:rPr>
          <w:spacing w:val="-1"/>
        </w:rPr>
        <w:t xml:space="preserve"> </w:t>
      </w:r>
      <w:r>
        <w:t>such</w:t>
      </w:r>
      <w:r>
        <w:rPr>
          <w:spacing w:val="-2"/>
        </w:rPr>
        <w:t xml:space="preserve"> </w:t>
      </w:r>
      <w:r>
        <w:t>a</w:t>
      </w:r>
      <w:r>
        <w:rPr>
          <w:spacing w:val="-1"/>
        </w:rPr>
        <w:t xml:space="preserve"> </w:t>
      </w:r>
      <w:r>
        <w:t>high</w:t>
      </w:r>
      <w:r>
        <w:rPr>
          <w:spacing w:val="-1"/>
        </w:rPr>
        <w:t xml:space="preserve"> </w:t>
      </w:r>
      <w:r>
        <w:t>compliance</w:t>
      </w:r>
      <w:r>
        <w:rPr>
          <w:spacing w:val="-2"/>
        </w:rPr>
        <w:t xml:space="preserve"> </w:t>
      </w:r>
      <w:r>
        <w:t>rate</w:t>
      </w:r>
      <w:r>
        <w:rPr>
          <w:spacing w:val="-2"/>
        </w:rPr>
        <w:t xml:space="preserve"> </w:t>
      </w:r>
      <w:r>
        <w:t>can</w:t>
      </w:r>
      <w:r>
        <w:rPr>
          <w:spacing w:val="-2"/>
        </w:rPr>
        <w:t xml:space="preserve"> </w:t>
      </w:r>
      <w:r>
        <w:t>often lie</w:t>
      </w:r>
      <w:r>
        <w:rPr>
          <w:spacing w:val="-2"/>
        </w:rPr>
        <w:t xml:space="preserve"> </w:t>
      </w:r>
      <w:r>
        <w:t>with</w:t>
      </w:r>
      <w:r>
        <w:rPr>
          <w:spacing w:val="-2"/>
        </w:rPr>
        <w:t xml:space="preserve"> </w:t>
      </w:r>
      <w:r>
        <w:t>overnight</w:t>
      </w:r>
      <w:r>
        <w:rPr>
          <w:spacing w:val="-2"/>
        </w:rPr>
        <w:t xml:space="preserve"> </w:t>
      </w:r>
      <w:r>
        <w:t>staff at 24/7 programs and centers. The Commission looks forward to working with DMH and other agencies in FY 2023 to focus on flexible and considerate strategies targeting 24/7 program staff.</w:t>
      </w:r>
    </w:p>
    <w:p w:rsidR="00C76E6D" w:rsidRDefault="00C76E6D">
      <w:pPr>
        <w:pStyle w:val="BodyText"/>
        <w:spacing w:before="2"/>
        <w:rPr>
          <w:sz w:val="25"/>
        </w:rPr>
      </w:pPr>
    </w:p>
    <w:p w:rsidR="00C76E6D" w:rsidRDefault="00913831">
      <w:pPr>
        <w:pStyle w:val="BodyText"/>
        <w:spacing w:before="1" w:line="276" w:lineRule="auto"/>
        <w:ind w:left="627" w:right="336"/>
        <w:jc w:val="both"/>
      </w:pPr>
      <w:r>
        <w:t>The Commission further recommends that DMH offer more specific LGBTQ youth-specific trainings to staff who are most likely to directly interface with these populations; DMH has noted a need for higher- level</w:t>
      </w:r>
      <w:r>
        <w:rPr>
          <w:spacing w:val="-6"/>
        </w:rPr>
        <w:t xml:space="preserve"> </w:t>
      </w:r>
      <w:r>
        <w:t>trainings</w:t>
      </w:r>
      <w:r>
        <w:rPr>
          <w:spacing w:val="-6"/>
        </w:rPr>
        <w:t xml:space="preserve"> </w:t>
      </w:r>
      <w:r>
        <w:t>for</w:t>
      </w:r>
      <w:r>
        <w:rPr>
          <w:spacing w:val="-6"/>
        </w:rPr>
        <w:t xml:space="preserve"> </w:t>
      </w:r>
      <w:r>
        <w:t>clinicians</w:t>
      </w:r>
      <w:r>
        <w:rPr>
          <w:spacing w:val="-5"/>
        </w:rPr>
        <w:t xml:space="preserve"> </w:t>
      </w:r>
      <w:r>
        <w:t>in</w:t>
      </w:r>
      <w:r>
        <w:rPr>
          <w:spacing w:val="-6"/>
        </w:rPr>
        <w:t xml:space="preserve"> </w:t>
      </w:r>
      <w:r>
        <w:t>regard</w:t>
      </w:r>
      <w:r>
        <w:rPr>
          <w:spacing w:val="-5"/>
        </w:rPr>
        <w:t xml:space="preserve"> </w:t>
      </w:r>
      <w:r>
        <w:t>to</w:t>
      </w:r>
      <w:r>
        <w:rPr>
          <w:spacing w:val="-3"/>
        </w:rPr>
        <w:t xml:space="preserve"> </w:t>
      </w:r>
      <w:r>
        <w:t>gender</w:t>
      </w:r>
      <w:r>
        <w:rPr>
          <w:spacing w:val="-5"/>
        </w:rPr>
        <w:t xml:space="preserve"> </w:t>
      </w:r>
      <w:r>
        <w:t>ide</w:t>
      </w:r>
      <w:r>
        <w:t>ntity</w:t>
      </w:r>
      <w:r>
        <w:rPr>
          <w:spacing w:val="-6"/>
        </w:rPr>
        <w:t xml:space="preserve"> </w:t>
      </w:r>
      <w:r>
        <w:t>and</w:t>
      </w:r>
      <w:r>
        <w:rPr>
          <w:spacing w:val="-5"/>
        </w:rPr>
        <w:t xml:space="preserve"> </w:t>
      </w:r>
      <w:r>
        <w:t>expression.</w:t>
      </w:r>
      <w:r>
        <w:rPr>
          <w:spacing w:val="-8"/>
        </w:rPr>
        <w:t xml:space="preserve"> </w:t>
      </w:r>
      <w:r>
        <w:t>The</w:t>
      </w:r>
      <w:r>
        <w:rPr>
          <w:spacing w:val="-6"/>
        </w:rPr>
        <w:t xml:space="preserve"> </w:t>
      </w:r>
      <w:r>
        <w:t>Commission</w:t>
      </w:r>
      <w:r>
        <w:rPr>
          <w:spacing w:val="-8"/>
        </w:rPr>
        <w:t xml:space="preserve"> </w:t>
      </w:r>
      <w:r>
        <w:t>also</w:t>
      </w:r>
      <w:r>
        <w:rPr>
          <w:spacing w:val="-6"/>
        </w:rPr>
        <w:t xml:space="preserve"> </w:t>
      </w:r>
      <w:r>
        <w:t>encourages DMH</w:t>
      </w:r>
      <w:r>
        <w:rPr>
          <w:spacing w:val="-1"/>
        </w:rPr>
        <w:t xml:space="preserve"> </w:t>
      </w:r>
      <w:r>
        <w:t>to gather</w:t>
      </w:r>
      <w:r>
        <w:rPr>
          <w:spacing w:val="-2"/>
        </w:rPr>
        <w:t xml:space="preserve"> </w:t>
      </w:r>
      <w:r>
        <w:t>and</w:t>
      </w:r>
      <w:r>
        <w:rPr>
          <w:spacing w:val="-1"/>
        </w:rPr>
        <w:t xml:space="preserve"> </w:t>
      </w:r>
      <w:r>
        <w:t>analyze</w:t>
      </w:r>
      <w:r>
        <w:rPr>
          <w:spacing w:val="-2"/>
        </w:rPr>
        <w:t xml:space="preserve"> </w:t>
      </w:r>
      <w:r>
        <w:t>evaluations of</w:t>
      </w:r>
      <w:r>
        <w:rPr>
          <w:spacing w:val="-1"/>
        </w:rPr>
        <w:t xml:space="preserve"> </w:t>
      </w:r>
      <w:r>
        <w:t>its trainings</w:t>
      </w:r>
      <w:r>
        <w:rPr>
          <w:spacing w:val="-1"/>
        </w:rPr>
        <w:t xml:space="preserve"> </w:t>
      </w:r>
      <w:r>
        <w:t>and</w:t>
      </w:r>
      <w:r>
        <w:rPr>
          <w:spacing w:val="-1"/>
        </w:rPr>
        <w:t xml:space="preserve"> </w:t>
      </w:r>
      <w:r>
        <w:t>their long-term</w:t>
      </w:r>
      <w:r>
        <w:rPr>
          <w:spacing w:val="-1"/>
        </w:rPr>
        <w:t xml:space="preserve"> </w:t>
      </w:r>
      <w:r>
        <w:t>retention</w:t>
      </w:r>
      <w:r>
        <w:rPr>
          <w:spacing w:val="-1"/>
        </w:rPr>
        <w:t xml:space="preserve"> </w:t>
      </w:r>
      <w:r>
        <w:t>by staff.</w:t>
      </w:r>
      <w:r>
        <w:rPr>
          <w:spacing w:val="-2"/>
        </w:rPr>
        <w:t xml:space="preserve"> </w:t>
      </w:r>
      <w:r>
        <w:t>Finally, the Commission recommends that DMH consider how to also ensure its vendors are trained on LGBTQ com</w:t>
      </w:r>
      <w:r>
        <w:t>petency. The Commission is excited to continue to collaborate with DMH on new opportunities for trainings in FY 2023.</w:t>
      </w:r>
    </w:p>
    <w:p w:rsidR="00C76E6D" w:rsidRDefault="00C76E6D">
      <w:pPr>
        <w:spacing w:line="276" w:lineRule="auto"/>
        <w:jc w:val="both"/>
        <w:sectPr w:rsidR="00C76E6D">
          <w:pgSz w:w="12240" w:h="15840"/>
          <w:pgMar w:top="1020" w:right="960" w:bottom="640" w:left="960" w:header="832" w:footer="440" w:gutter="0"/>
          <w:cols w:space="720"/>
        </w:sectPr>
      </w:pPr>
    </w:p>
    <w:p w:rsidR="00C76E6D" w:rsidRDefault="00C76E6D">
      <w:pPr>
        <w:pStyle w:val="BodyText"/>
        <w:spacing w:before="3"/>
      </w:pPr>
    </w:p>
    <w:p w:rsidR="00C76E6D" w:rsidRDefault="00913831">
      <w:pPr>
        <w:pStyle w:val="Heading6"/>
        <w:numPr>
          <w:ilvl w:val="0"/>
          <w:numId w:val="11"/>
        </w:numPr>
        <w:tabs>
          <w:tab w:val="left" w:pos="560"/>
        </w:tabs>
        <w:spacing w:before="55"/>
        <w:ind w:left="559" w:hanging="222"/>
      </w:pPr>
      <w:bookmarkStart w:id="821" w:name="3._Complete_implementation_of_LGBTQ-incl"/>
      <w:bookmarkEnd w:id="821"/>
      <w:r>
        <w:rPr>
          <w:w w:val="95"/>
        </w:rPr>
        <w:t>Complete</w:t>
      </w:r>
      <w:r>
        <w:rPr>
          <w:spacing w:val="21"/>
        </w:rPr>
        <w:t xml:space="preserve"> </w:t>
      </w:r>
      <w:r>
        <w:rPr>
          <w:w w:val="95"/>
        </w:rPr>
        <w:t>implementation</w:t>
      </w:r>
      <w:r>
        <w:rPr>
          <w:spacing w:val="19"/>
        </w:rPr>
        <w:t xml:space="preserve"> </w:t>
      </w:r>
      <w:r>
        <w:rPr>
          <w:w w:val="95"/>
        </w:rPr>
        <w:t>of</w:t>
      </w:r>
      <w:r>
        <w:rPr>
          <w:spacing w:val="25"/>
        </w:rPr>
        <w:t xml:space="preserve"> </w:t>
      </w:r>
      <w:r>
        <w:rPr>
          <w:w w:val="95"/>
        </w:rPr>
        <w:t>LGBTQ-inclusive</w:t>
      </w:r>
      <w:r>
        <w:rPr>
          <w:spacing w:val="21"/>
        </w:rPr>
        <w:t xml:space="preserve"> </w:t>
      </w:r>
      <w:r>
        <w:rPr>
          <w:w w:val="95"/>
        </w:rPr>
        <w:t>data</w:t>
      </w:r>
      <w:r>
        <w:rPr>
          <w:spacing w:val="21"/>
        </w:rPr>
        <w:t xml:space="preserve"> </w:t>
      </w:r>
      <w:r>
        <w:rPr>
          <w:spacing w:val="-2"/>
          <w:w w:val="95"/>
        </w:rPr>
        <w:t>measures.</w:t>
      </w:r>
    </w:p>
    <w:p w:rsidR="00C76E6D" w:rsidRDefault="00C76E6D">
      <w:pPr>
        <w:pStyle w:val="BodyText"/>
        <w:spacing w:before="10"/>
        <w:rPr>
          <w:b/>
        </w:rPr>
      </w:pPr>
    </w:p>
    <w:p w:rsidR="00C76E6D" w:rsidRDefault="00913831">
      <w:pPr>
        <w:pStyle w:val="BodyText"/>
        <w:spacing w:before="1" w:line="276" w:lineRule="auto"/>
        <w:ind w:left="627" w:right="335"/>
        <w:jc w:val="both"/>
      </w:pPr>
      <w:r>
        <w:t>The Commission commends DMH for preparing to collect comprehensi</w:t>
      </w:r>
      <w:r>
        <w:t>ve sexual orientation and gender identity and expression (SOGIE) data and otherwise make its data and intake process more LGBTQ- inclusive. In 2021, DMH noted that it hoped to audit these new data collection measures to ensure that they are working properl</w:t>
      </w:r>
      <w:r>
        <w:t>y and correctly collecting the data. During this review, DMH shared with the Commission</w:t>
      </w:r>
      <w:r>
        <w:rPr>
          <w:spacing w:val="-8"/>
        </w:rPr>
        <w:t xml:space="preserve"> </w:t>
      </w:r>
      <w:r>
        <w:t>that</w:t>
      </w:r>
      <w:r>
        <w:rPr>
          <w:spacing w:val="-8"/>
        </w:rPr>
        <w:t xml:space="preserve"> </w:t>
      </w:r>
      <w:r>
        <w:t>there</w:t>
      </w:r>
      <w:r>
        <w:rPr>
          <w:spacing w:val="-7"/>
        </w:rPr>
        <w:t xml:space="preserve"> </w:t>
      </w:r>
      <w:r>
        <w:t>are</w:t>
      </w:r>
      <w:r>
        <w:rPr>
          <w:spacing w:val="-7"/>
        </w:rPr>
        <w:t xml:space="preserve"> </w:t>
      </w:r>
      <w:r>
        <w:t>some</w:t>
      </w:r>
      <w:r>
        <w:rPr>
          <w:spacing w:val="-8"/>
        </w:rPr>
        <w:t xml:space="preserve"> </w:t>
      </w:r>
      <w:r>
        <w:t>existing</w:t>
      </w:r>
      <w:r>
        <w:rPr>
          <w:spacing w:val="-7"/>
        </w:rPr>
        <w:t xml:space="preserve"> </w:t>
      </w:r>
      <w:r>
        <w:t>issues</w:t>
      </w:r>
      <w:r>
        <w:rPr>
          <w:spacing w:val="-7"/>
        </w:rPr>
        <w:t xml:space="preserve"> </w:t>
      </w:r>
      <w:r>
        <w:t>with</w:t>
      </w:r>
      <w:r>
        <w:rPr>
          <w:spacing w:val="-7"/>
        </w:rPr>
        <w:t xml:space="preserve"> </w:t>
      </w:r>
      <w:r>
        <w:t>the</w:t>
      </w:r>
      <w:r>
        <w:rPr>
          <w:spacing w:val="-8"/>
        </w:rPr>
        <w:t xml:space="preserve"> </w:t>
      </w:r>
      <w:r>
        <w:t>data</w:t>
      </w:r>
      <w:r>
        <w:rPr>
          <w:spacing w:val="-6"/>
        </w:rPr>
        <w:t xml:space="preserve"> </w:t>
      </w:r>
      <w:r>
        <w:t>collection,</w:t>
      </w:r>
      <w:r>
        <w:rPr>
          <w:spacing w:val="-7"/>
        </w:rPr>
        <w:t xml:space="preserve"> </w:t>
      </w:r>
      <w:r>
        <w:t>particularly</w:t>
      </w:r>
      <w:r>
        <w:rPr>
          <w:spacing w:val="-8"/>
        </w:rPr>
        <w:t xml:space="preserve"> </w:t>
      </w:r>
      <w:r>
        <w:t>as</w:t>
      </w:r>
      <w:r>
        <w:rPr>
          <w:spacing w:val="-7"/>
        </w:rPr>
        <w:t xml:space="preserve"> </w:t>
      </w:r>
      <w:r>
        <w:t>the</w:t>
      </w:r>
      <w:r>
        <w:rPr>
          <w:spacing w:val="-7"/>
        </w:rPr>
        <w:t xml:space="preserve"> </w:t>
      </w:r>
      <w:r>
        <w:t>data</w:t>
      </w:r>
      <w:r>
        <w:rPr>
          <w:spacing w:val="-7"/>
        </w:rPr>
        <w:t xml:space="preserve"> </w:t>
      </w:r>
      <w:r>
        <w:t>fields</w:t>
      </w:r>
      <w:r>
        <w:rPr>
          <w:spacing w:val="-7"/>
        </w:rPr>
        <w:t xml:space="preserve"> </w:t>
      </w:r>
      <w:r>
        <w:t xml:space="preserve">are difficult to find and are not mandatory. Moving into FY 2023, the Commission looks forward to working with DMH to address these barriers, particularly as DMH hopes to move to a new data system in the </w:t>
      </w:r>
      <w:r>
        <w:rPr>
          <w:spacing w:val="-2"/>
        </w:rPr>
        <w:t>future.</w:t>
      </w:r>
    </w:p>
    <w:p w:rsidR="00C76E6D" w:rsidRDefault="00C76E6D">
      <w:pPr>
        <w:pStyle w:val="BodyText"/>
        <w:rPr>
          <w:sz w:val="20"/>
        </w:rPr>
      </w:pPr>
    </w:p>
    <w:p w:rsidR="00C76E6D" w:rsidRDefault="00C76E6D">
      <w:pPr>
        <w:pStyle w:val="BodyText"/>
        <w:rPr>
          <w:sz w:val="20"/>
        </w:rPr>
      </w:pPr>
    </w:p>
    <w:p w:rsidR="00C76E6D" w:rsidRDefault="00913831">
      <w:pPr>
        <w:pStyle w:val="BodyText"/>
        <w:spacing w:before="4"/>
        <w:rPr>
          <w:sz w:val="18"/>
        </w:rPr>
      </w:pPr>
      <w:r>
        <w:pict>
          <v:shape id="docshape395" o:spid="_x0000_s1084" style="position:absolute;margin-left:70.6pt;margin-top:12.4pt;width:470.95pt;height:.1pt;z-index:-15647232;mso-wrap-distance-left:0;mso-wrap-distance-right:0;mso-position-horizontal-relative:page" coordorigin="1412,248" coordsize="9419,0" path="m1412,248r9419,e" filled="f" strokeweight="1.54pt">
            <v:path arrowok="t"/>
            <w10:wrap type="topAndBottom" anchorx="page"/>
          </v:shape>
        </w:pict>
      </w:r>
    </w:p>
    <w:p w:rsidR="00C76E6D" w:rsidRDefault="00C76E6D">
      <w:pPr>
        <w:pStyle w:val="BodyText"/>
        <w:spacing w:before="11"/>
      </w:pPr>
    </w:p>
    <w:p w:rsidR="00C76E6D" w:rsidRDefault="00913831">
      <w:pPr>
        <w:pStyle w:val="Heading4"/>
      </w:pPr>
      <w:r>
        <w:rPr>
          <w:spacing w:val="-2"/>
        </w:rPr>
        <w:t>ENDNOTES</w:t>
      </w:r>
    </w:p>
    <w:p w:rsidR="00C76E6D" w:rsidRDefault="00913831">
      <w:pPr>
        <w:pStyle w:val="BodyText"/>
        <w:spacing w:before="11"/>
        <w:rPr>
          <w:b/>
          <w:sz w:val="24"/>
        </w:rPr>
      </w:pPr>
      <w:r>
        <w:pict>
          <v:shape id="docshape396" o:spid="_x0000_s1083" style="position:absolute;margin-left:70.6pt;margin-top:16.4pt;width:470.95pt;height:.1pt;z-index:-15646720;mso-wrap-distance-left:0;mso-wrap-distance-right:0;mso-position-horizontal-relative:page" coordorigin="1412,328" coordsize="9419,0" path="m1412,328r9419,e" filled="f" strokeweight="1.54pt">
            <v:path arrowok="t"/>
            <w10:wrap type="topAndBottom" anchorx="page"/>
          </v:shape>
        </w:pict>
      </w:r>
    </w:p>
    <w:p w:rsidR="00C76E6D" w:rsidRDefault="00C76E6D">
      <w:pPr>
        <w:pStyle w:val="BodyText"/>
        <w:rPr>
          <w:b/>
          <w:sz w:val="24"/>
        </w:rPr>
      </w:pPr>
    </w:p>
    <w:p w:rsidR="00C76E6D" w:rsidRDefault="00C76E6D">
      <w:pPr>
        <w:pStyle w:val="BodyText"/>
        <w:rPr>
          <w:b/>
          <w:sz w:val="24"/>
        </w:rPr>
      </w:pPr>
    </w:p>
    <w:p w:rsidR="00C76E6D" w:rsidRDefault="00913831">
      <w:pPr>
        <w:spacing w:before="209" w:line="241" w:lineRule="exact"/>
        <w:ind w:left="338"/>
        <w:rPr>
          <w:sz w:val="20"/>
        </w:rPr>
      </w:pPr>
      <w:bookmarkStart w:id="822" w:name="_bookmark583"/>
      <w:bookmarkEnd w:id="822"/>
      <w:r>
        <w:rPr>
          <w:sz w:val="20"/>
          <w:vertAlign w:val="superscript"/>
        </w:rPr>
        <w:t>1</w:t>
      </w:r>
      <w:r>
        <w:rPr>
          <w:spacing w:val="-6"/>
          <w:sz w:val="20"/>
        </w:rPr>
        <w:t xml:space="preserve"> </w:t>
      </w:r>
      <w:bookmarkStart w:id="823" w:name="_bookmark584"/>
      <w:bookmarkEnd w:id="823"/>
      <w:r>
        <w:rPr>
          <w:sz w:val="20"/>
        </w:rPr>
        <w:t>Goodenow,</w:t>
      </w:r>
      <w:r>
        <w:rPr>
          <w:spacing w:val="-6"/>
          <w:sz w:val="20"/>
        </w:rPr>
        <w:t xml:space="preserve"> </w:t>
      </w:r>
      <w:r>
        <w:rPr>
          <w:sz w:val="20"/>
        </w:rPr>
        <w:t>C.</w:t>
      </w:r>
      <w:r>
        <w:rPr>
          <w:spacing w:val="-8"/>
          <w:sz w:val="20"/>
        </w:rPr>
        <w:t xml:space="preserve"> </w:t>
      </w:r>
      <w:r>
        <w:rPr>
          <w:spacing w:val="-2"/>
          <w:sz w:val="20"/>
        </w:rPr>
        <w:t>(2016).</w:t>
      </w:r>
    </w:p>
    <w:p w:rsidR="00C76E6D" w:rsidRDefault="00913831">
      <w:pPr>
        <w:ind w:left="339" w:right="437" w:hanging="2"/>
        <w:rPr>
          <w:sz w:val="20"/>
        </w:rPr>
      </w:pPr>
      <w:r>
        <w:rPr>
          <w:sz w:val="20"/>
          <w:vertAlign w:val="superscript"/>
        </w:rPr>
        <w:t>2</w:t>
      </w:r>
      <w:r>
        <w:rPr>
          <w:spacing w:val="-4"/>
          <w:sz w:val="20"/>
        </w:rPr>
        <w:t xml:space="preserve"> </w:t>
      </w:r>
      <w:r>
        <w:rPr>
          <w:sz w:val="20"/>
        </w:rPr>
        <w:t>H</w:t>
      </w:r>
      <w:r>
        <w:rPr>
          <w:sz w:val="20"/>
        </w:rPr>
        <w:t>aas,</w:t>
      </w:r>
      <w:r>
        <w:rPr>
          <w:spacing w:val="-5"/>
          <w:sz w:val="20"/>
        </w:rPr>
        <w:t xml:space="preserve"> </w:t>
      </w:r>
      <w:r>
        <w:rPr>
          <w:sz w:val="20"/>
        </w:rPr>
        <w:t>Ann</w:t>
      </w:r>
      <w:r>
        <w:rPr>
          <w:spacing w:val="-4"/>
          <w:sz w:val="20"/>
        </w:rPr>
        <w:t xml:space="preserve"> </w:t>
      </w:r>
      <w:r>
        <w:rPr>
          <w:sz w:val="20"/>
        </w:rPr>
        <w:t>P</w:t>
      </w:r>
      <w:r>
        <w:rPr>
          <w:spacing w:val="-5"/>
          <w:sz w:val="20"/>
        </w:rPr>
        <w:t xml:space="preserve"> </w:t>
      </w:r>
      <w:r>
        <w:rPr>
          <w:sz w:val="20"/>
        </w:rPr>
        <w:t>et</w:t>
      </w:r>
      <w:r>
        <w:rPr>
          <w:spacing w:val="-6"/>
          <w:sz w:val="20"/>
        </w:rPr>
        <w:t xml:space="preserve"> </w:t>
      </w:r>
      <w:r>
        <w:rPr>
          <w:sz w:val="20"/>
        </w:rPr>
        <w:t>al.</w:t>
      </w:r>
      <w:r>
        <w:rPr>
          <w:spacing w:val="-5"/>
          <w:sz w:val="20"/>
        </w:rPr>
        <w:t xml:space="preserve"> </w:t>
      </w:r>
      <w:r>
        <w:rPr>
          <w:sz w:val="20"/>
        </w:rPr>
        <w:t>(2011)</w:t>
      </w:r>
      <w:r>
        <w:rPr>
          <w:spacing w:val="-4"/>
          <w:sz w:val="20"/>
        </w:rPr>
        <w:t xml:space="preserve"> </w:t>
      </w:r>
      <w:r>
        <w:rPr>
          <w:sz w:val="20"/>
        </w:rPr>
        <w:t>“Suicide</w:t>
      </w:r>
      <w:r>
        <w:rPr>
          <w:spacing w:val="-5"/>
          <w:sz w:val="20"/>
        </w:rPr>
        <w:t xml:space="preserve"> </w:t>
      </w:r>
      <w:r>
        <w:rPr>
          <w:sz w:val="20"/>
        </w:rPr>
        <w:t>and</w:t>
      </w:r>
      <w:r>
        <w:rPr>
          <w:spacing w:val="-4"/>
          <w:sz w:val="20"/>
        </w:rPr>
        <w:t xml:space="preserve"> </w:t>
      </w:r>
      <w:r>
        <w:rPr>
          <w:sz w:val="20"/>
        </w:rPr>
        <w:t>suicide</w:t>
      </w:r>
      <w:r>
        <w:rPr>
          <w:spacing w:val="-5"/>
          <w:sz w:val="20"/>
        </w:rPr>
        <w:t xml:space="preserve"> </w:t>
      </w:r>
      <w:r>
        <w:rPr>
          <w:sz w:val="20"/>
        </w:rPr>
        <w:t>risk</w:t>
      </w:r>
      <w:r>
        <w:rPr>
          <w:spacing w:val="-4"/>
          <w:sz w:val="20"/>
        </w:rPr>
        <w:t xml:space="preserve"> </w:t>
      </w:r>
      <w:r>
        <w:rPr>
          <w:sz w:val="20"/>
        </w:rPr>
        <w:t>in</w:t>
      </w:r>
      <w:r>
        <w:rPr>
          <w:spacing w:val="-4"/>
          <w:sz w:val="20"/>
        </w:rPr>
        <w:t xml:space="preserve"> </w:t>
      </w:r>
      <w:r>
        <w:rPr>
          <w:sz w:val="20"/>
        </w:rPr>
        <w:t>lesbian,</w:t>
      </w:r>
      <w:r>
        <w:rPr>
          <w:spacing w:val="-5"/>
          <w:sz w:val="20"/>
        </w:rPr>
        <w:t xml:space="preserve"> </w:t>
      </w:r>
      <w:r>
        <w:rPr>
          <w:sz w:val="20"/>
        </w:rPr>
        <w:t>gay,</w:t>
      </w:r>
      <w:r>
        <w:rPr>
          <w:spacing w:val="-5"/>
          <w:sz w:val="20"/>
        </w:rPr>
        <w:t xml:space="preserve"> </w:t>
      </w:r>
      <w:r>
        <w:rPr>
          <w:sz w:val="20"/>
        </w:rPr>
        <w:t>bisexual,</w:t>
      </w:r>
      <w:r>
        <w:rPr>
          <w:spacing w:val="-4"/>
          <w:sz w:val="20"/>
        </w:rPr>
        <w:t xml:space="preserve"> </w:t>
      </w:r>
      <w:r>
        <w:rPr>
          <w:sz w:val="20"/>
        </w:rPr>
        <w:t>and</w:t>
      </w:r>
      <w:r>
        <w:rPr>
          <w:spacing w:val="-5"/>
          <w:sz w:val="20"/>
        </w:rPr>
        <w:t xml:space="preserve"> </w:t>
      </w:r>
      <w:r>
        <w:rPr>
          <w:sz w:val="20"/>
        </w:rPr>
        <w:t>transgender</w:t>
      </w:r>
      <w:r>
        <w:rPr>
          <w:spacing w:val="-4"/>
          <w:sz w:val="20"/>
        </w:rPr>
        <w:t xml:space="preserve"> </w:t>
      </w:r>
      <w:r>
        <w:rPr>
          <w:sz w:val="20"/>
        </w:rPr>
        <w:t>populations:</w:t>
      </w:r>
      <w:r>
        <w:rPr>
          <w:spacing w:val="-4"/>
          <w:sz w:val="20"/>
        </w:rPr>
        <w:t xml:space="preserve"> </w:t>
      </w:r>
      <w:r>
        <w:rPr>
          <w:sz w:val="20"/>
        </w:rPr>
        <w:t>review</w:t>
      </w:r>
      <w:r>
        <w:rPr>
          <w:spacing w:val="-6"/>
          <w:sz w:val="20"/>
        </w:rPr>
        <w:t xml:space="preserve"> </w:t>
      </w:r>
      <w:r>
        <w:rPr>
          <w:sz w:val="20"/>
        </w:rPr>
        <w:t>and recommendations.” Journal of homosexuality vol. 58,1: 10-51. doi:10.1080/00918369.2011.534038</w:t>
      </w:r>
    </w:p>
    <w:p w:rsidR="00C76E6D" w:rsidRDefault="00C76E6D">
      <w:pPr>
        <w:rPr>
          <w:sz w:val="20"/>
        </w:rPr>
        <w:sectPr w:rsidR="00C76E6D">
          <w:pgSz w:w="12240" w:h="15840"/>
          <w:pgMar w:top="1020" w:right="960" w:bottom="640" w:left="960" w:header="832" w:footer="440" w:gutter="0"/>
          <w:cols w:space="720"/>
        </w:sectPr>
      </w:pPr>
    </w:p>
    <w:p w:rsidR="00C76E6D" w:rsidRDefault="00C76E6D">
      <w:pPr>
        <w:pStyle w:val="BodyText"/>
        <w:spacing w:before="2"/>
      </w:pPr>
    </w:p>
    <w:p w:rsidR="00C76E6D" w:rsidRDefault="00913831">
      <w:pPr>
        <w:pStyle w:val="Heading2"/>
      </w:pPr>
      <w:bookmarkStart w:id="824" w:name="Department_of_Public_Health"/>
      <w:bookmarkStart w:id="825" w:name="_bookmark585"/>
      <w:bookmarkEnd w:id="824"/>
      <w:bookmarkEnd w:id="825"/>
      <w:r>
        <w:t>Department</w:t>
      </w:r>
      <w:r>
        <w:rPr>
          <w:spacing w:val="-8"/>
        </w:rPr>
        <w:t xml:space="preserve"> </w:t>
      </w:r>
      <w:r>
        <w:t>of</w:t>
      </w:r>
      <w:r>
        <w:rPr>
          <w:spacing w:val="-9"/>
        </w:rPr>
        <w:t xml:space="preserve"> </w:t>
      </w:r>
      <w:r>
        <w:t>Public</w:t>
      </w:r>
      <w:r>
        <w:rPr>
          <w:spacing w:val="-7"/>
        </w:rPr>
        <w:t xml:space="preserve"> </w:t>
      </w:r>
      <w:r>
        <w:rPr>
          <w:spacing w:val="-2"/>
        </w:rPr>
        <w:t>Health</w:t>
      </w:r>
    </w:p>
    <w:p w:rsidR="00C76E6D" w:rsidRDefault="00913831">
      <w:pPr>
        <w:pStyle w:val="BodyText"/>
        <w:spacing w:before="2"/>
        <w:rPr>
          <w:b/>
          <w:sz w:val="7"/>
        </w:rPr>
      </w:pPr>
      <w:r>
        <w:pict>
          <v:shape id="docshape400" o:spid="_x0000_s1082" style="position:absolute;margin-left:65pt;margin-top:5.6pt;width:476.95pt;height:.1pt;z-index:-15646208;mso-wrap-distance-left:0;mso-wrap-distance-right:0;mso-position-horizontal-relative:page" coordorigin="1300,112" coordsize="9539,0" path="m1300,112r9539,e" filled="f" strokeweight="1.54pt">
            <v:path arrowok="t"/>
            <w10:wrap type="topAndBottom" anchorx="page"/>
          </v:shape>
        </w:pict>
      </w:r>
    </w:p>
    <w:p w:rsidR="00C76E6D" w:rsidRDefault="00913831">
      <w:pPr>
        <w:pStyle w:val="Heading5"/>
        <w:spacing w:before="141"/>
      </w:pPr>
      <w:r>
        <w:rPr>
          <w:spacing w:val="-2"/>
        </w:rPr>
        <w:t>FY2023</w:t>
      </w:r>
      <w:r>
        <w:rPr>
          <w:spacing w:val="-4"/>
        </w:rPr>
        <w:t xml:space="preserve"> </w:t>
      </w:r>
      <w:r>
        <w:rPr>
          <w:spacing w:val="-2"/>
        </w:rPr>
        <w:t>Recommendations</w:t>
      </w:r>
    </w:p>
    <w:p w:rsidR="00C76E6D" w:rsidRDefault="00C76E6D">
      <w:pPr>
        <w:pStyle w:val="BodyText"/>
        <w:spacing w:before="4"/>
        <w:rPr>
          <w:b/>
          <w:sz w:val="25"/>
        </w:rPr>
      </w:pPr>
    </w:p>
    <w:p w:rsidR="00C76E6D" w:rsidRDefault="00913831">
      <w:pPr>
        <w:pStyle w:val="ListParagraph"/>
        <w:numPr>
          <w:ilvl w:val="1"/>
          <w:numId w:val="11"/>
        </w:numPr>
        <w:tabs>
          <w:tab w:val="left" w:pos="1059"/>
        </w:tabs>
        <w:spacing w:line="276" w:lineRule="auto"/>
        <w:ind w:right="378"/>
      </w:pPr>
      <w:r>
        <w:t>Collaborate with the Commission to explore how to continue improving the marketing of health</w:t>
      </w:r>
      <w:r>
        <w:rPr>
          <w:spacing w:val="80"/>
        </w:rPr>
        <w:t xml:space="preserve"> </w:t>
      </w:r>
      <w:r>
        <w:t>services to LGBTQ youth, including using social media and dating apps most used by young people.</w:t>
      </w:r>
    </w:p>
    <w:p w:rsidR="00C76E6D" w:rsidRDefault="00C76E6D">
      <w:pPr>
        <w:pStyle w:val="BodyText"/>
        <w:spacing w:before="4"/>
        <w:rPr>
          <w:sz w:val="25"/>
        </w:rPr>
      </w:pPr>
    </w:p>
    <w:p w:rsidR="00C76E6D" w:rsidRDefault="00913831">
      <w:pPr>
        <w:pStyle w:val="ListParagraph"/>
        <w:numPr>
          <w:ilvl w:val="1"/>
          <w:numId w:val="11"/>
        </w:numPr>
        <w:tabs>
          <w:tab w:val="left" w:pos="1059"/>
        </w:tabs>
        <w:spacing w:before="1"/>
        <w:ind w:hanging="361"/>
      </w:pPr>
      <w:r>
        <w:rPr>
          <w:w w:val="95"/>
        </w:rPr>
        <w:t>Expand</w:t>
      </w:r>
      <w:r>
        <w:rPr>
          <w:spacing w:val="14"/>
        </w:rPr>
        <w:t xml:space="preserve"> </w:t>
      </w:r>
      <w:r>
        <w:rPr>
          <w:w w:val="95"/>
        </w:rPr>
        <w:t>training</w:t>
      </w:r>
      <w:r>
        <w:rPr>
          <w:spacing w:val="14"/>
        </w:rPr>
        <w:t xml:space="preserve"> </w:t>
      </w:r>
      <w:r>
        <w:rPr>
          <w:w w:val="95"/>
        </w:rPr>
        <w:t>opportunities</w:t>
      </w:r>
      <w:r>
        <w:rPr>
          <w:spacing w:val="15"/>
        </w:rPr>
        <w:t xml:space="preserve"> </w:t>
      </w:r>
      <w:r>
        <w:rPr>
          <w:w w:val="95"/>
        </w:rPr>
        <w:t>for</w:t>
      </w:r>
      <w:r>
        <w:rPr>
          <w:spacing w:val="16"/>
        </w:rPr>
        <w:t xml:space="preserve"> </w:t>
      </w:r>
      <w:r>
        <w:rPr>
          <w:w w:val="95"/>
        </w:rPr>
        <w:t>staff</w:t>
      </w:r>
      <w:r>
        <w:rPr>
          <w:spacing w:val="16"/>
        </w:rPr>
        <w:t xml:space="preserve"> </w:t>
      </w:r>
      <w:r>
        <w:rPr>
          <w:w w:val="95"/>
        </w:rPr>
        <w:t>and</w:t>
      </w:r>
      <w:r>
        <w:rPr>
          <w:spacing w:val="15"/>
        </w:rPr>
        <w:t xml:space="preserve"> </w:t>
      </w:r>
      <w:r>
        <w:rPr>
          <w:w w:val="95"/>
        </w:rPr>
        <w:t>contracting</w:t>
      </w:r>
      <w:r>
        <w:rPr>
          <w:spacing w:val="12"/>
        </w:rPr>
        <w:t xml:space="preserve"> </w:t>
      </w:r>
      <w:r>
        <w:rPr>
          <w:spacing w:val="-2"/>
          <w:w w:val="95"/>
        </w:rPr>
        <w:t>organizations.</w:t>
      </w:r>
    </w:p>
    <w:p w:rsidR="00C76E6D" w:rsidRDefault="00C76E6D">
      <w:pPr>
        <w:pStyle w:val="BodyText"/>
        <w:spacing w:before="6"/>
        <w:rPr>
          <w:sz w:val="28"/>
        </w:rPr>
      </w:pPr>
    </w:p>
    <w:p w:rsidR="00C76E6D" w:rsidRDefault="00913831">
      <w:pPr>
        <w:pStyle w:val="ListParagraph"/>
        <w:numPr>
          <w:ilvl w:val="1"/>
          <w:numId w:val="11"/>
        </w:numPr>
        <w:tabs>
          <w:tab w:val="left" w:pos="1059"/>
        </w:tabs>
        <w:spacing w:line="276" w:lineRule="auto"/>
        <w:ind w:left="1057" w:right="376"/>
      </w:pPr>
      <w:r>
        <w:t>Finalize</w:t>
      </w:r>
      <w:r>
        <w:rPr>
          <w:spacing w:val="73"/>
        </w:rPr>
        <w:t xml:space="preserve"> </w:t>
      </w:r>
      <w:r>
        <w:t>the</w:t>
      </w:r>
      <w:r>
        <w:rPr>
          <w:spacing w:val="75"/>
        </w:rPr>
        <w:t xml:space="preserve"> </w:t>
      </w:r>
      <w:r>
        <w:t>sexual</w:t>
      </w:r>
      <w:r>
        <w:rPr>
          <w:spacing w:val="70"/>
        </w:rPr>
        <w:t xml:space="preserve"> </w:t>
      </w:r>
      <w:r>
        <w:t>orientation</w:t>
      </w:r>
      <w:r>
        <w:rPr>
          <w:spacing w:val="71"/>
        </w:rPr>
        <w:t xml:space="preserve"> </w:t>
      </w:r>
      <w:r>
        <w:t>and</w:t>
      </w:r>
      <w:r>
        <w:rPr>
          <w:spacing w:val="73"/>
        </w:rPr>
        <w:t xml:space="preserve"> </w:t>
      </w:r>
      <w:r>
        <w:t>gender</w:t>
      </w:r>
      <w:r>
        <w:rPr>
          <w:spacing w:val="72"/>
        </w:rPr>
        <w:t xml:space="preserve"> </w:t>
      </w:r>
      <w:r>
        <w:t>identity</w:t>
      </w:r>
      <w:r>
        <w:rPr>
          <w:spacing w:val="71"/>
        </w:rPr>
        <w:t xml:space="preserve"> </w:t>
      </w:r>
      <w:r>
        <w:t>and</w:t>
      </w:r>
      <w:r>
        <w:rPr>
          <w:spacing w:val="72"/>
        </w:rPr>
        <w:t xml:space="preserve"> </w:t>
      </w:r>
      <w:r>
        <w:t>expression</w:t>
      </w:r>
      <w:r>
        <w:rPr>
          <w:spacing w:val="71"/>
        </w:rPr>
        <w:t xml:space="preserve"> </w:t>
      </w:r>
      <w:r>
        <w:t>(SOGIE)</w:t>
      </w:r>
      <w:r>
        <w:rPr>
          <w:spacing w:val="70"/>
        </w:rPr>
        <w:t xml:space="preserve"> </w:t>
      </w:r>
      <w:r>
        <w:t>data</w:t>
      </w:r>
      <w:r>
        <w:rPr>
          <w:spacing w:val="71"/>
        </w:rPr>
        <w:t xml:space="preserve"> </w:t>
      </w:r>
      <w:r>
        <w:t>standards, implement them, and increase dissemination of SOGIE data.</w:t>
      </w:r>
    </w:p>
    <w:p w:rsidR="00C76E6D" w:rsidRDefault="00C76E6D">
      <w:pPr>
        <w:pStyle w:val="BodyText"/>
        <w:spacing w:before="3"/>
        <w:rPr>
          <w:sz w:val="25"/>
        </w:rPr>
      </w:pPr>
    </w:p>
    <w:p w:rsidR="00C76E6D" w:rsidRDefault="00913831">
      <w:pPr>
        <w:pStyle w:val="ListParagraph"/>
        <w:numPr>
          <w:ilvl w:val="1"/>
          <w:numId w:val="11"/>
        </w:numPr>
        <w:tabs>
          <w:tab w:val="left" w:pos="1059"/>
        </w:tabs>
        <w:spacing w:before="1" w:line="276" w:lineRule="auto"/>
        <w:ind w:right="387"/>
      </w:pPr>
      <w:r>
        <w:t>Work</w:t>
      </w:r>
      <w:r>
        <w:rPr>
          <w:spacing w:val="-4"/>
        </w:rPr>
        <w:t xml:space="preserve"> </w:t>
      </w:r>
      <w:r>
        <w:t>to</w:t>
      </w:r>
      <w:r>
        <w:rPr>
          <w:spacing w:val="-3"/>
        </w:rPr>
        <w:t xml:space="preserve"> </w:t>
      </w:r>
      <w:r>
        <w:t>expand</w:t>
      </w:r>
      <w:r>
        <w:rPr>
          <w:spacing w:val="-4"/>
        </w:rPr>
        <w:t xml:space="preserve"> </w:t>
      </w:r>
      <w:r>
        <w:t>SOGIE</w:t>
      </w:r>
      <w:r>
        <w:rPr>
          <w:spacing w:val="-3"/>
        </w:rPr>
        <w:t xml:space="preserve"> </w:t>
      </w:r>
      <w:r>
        <w:t>data</w:t>
      </w:r>
      <w:r>
        <w:rPr>
          <w:spacing w:val="-4"/>
        </w:rPr>
        <w:t xml:space="preserve"> </w:t>
      </w:r>
      <w:r>
        <w:t>collection</w:t>
      </w:r>
      <w:r>
        <w:rPr>
          <w:spacing w:val="-4"/>
        </w:rPr>
        <w:t xml:space="preserve"> </w:t>
      </w:r>
      <w:r>
        <w:t>for</w:t>
      </w:r>
      <w:r>
        <w:rPr>
          <w:spacing w:val="-4"/>
        </w:rPr>
        <w:t xml:space="preserve"> </w:t>
      </w:r>
      <w:r>
        <w:t>physicians</w:t>
      </w:r>
      <w:r>
        <w:rPr>
          <w:spacing w:val="-2"/>
        </w:rPr>
        <w:t xml:space="preserve"> </w:t>
      </w:r>
      <w:r>
        <w:t>and</w:t>
      </w:r>
      <w:r>
        <w:rPr>
          <w:spacing w:val="-4"/>
        </w:rPr>
        <w:t xml:space="preserve"> </w:t>
      </w:r>
      <w:r>
        <w:t>in</w:t>
      </w:r>
      <w:r>
        <w:rPr>
          <w:spacing w:val="-3"/>
        </w:rPr>
        <w:t xml:space="preserve"> </w:t>
      </w:r>
      <w:r>
        <w:t>electronic</w:t>
      </w:r>
      <w:r>
        <w:rPr>
          <w:spacing w:val="-4"/>
        </w:rPr>
        <w:t xml:space="preserve"> </w:t>
      </w:r>
      <w:r>
        <w:t>health</w:t>
      </w:r>
      <w:r>
        <w:rPr>
          <w:spacing w:val="-3"/>
        </w:rPr>
        <w:t xml:space="preserve"> </w:t>
      </w:r>
      <w:r>
        <w:t>records</w:t>
      </w:r>
      <w:r>
        <w:rPr>
          <w:spacing w:val="-4"/>
        </w:rPr>
        <w:t xml:space="preserve"> </w:t>
      </w:r>
      <w:r>
        <w:t>(EHRs),</w:t>
      </w:r>
      <w:r>
        <w:rPr>
          <w:spacing w:val="-4"/>
        </w:rPr>
        <w:t xml:space="preserve"> </w:t>
      </w:r>
      <w:r>
        <w:t>and</w:t>
      </w:r>
      <w:r>
        <w:rPr>
          <w:spacing w:val="-3"/>
        </w:rPr>
        <w:t xml:space="preserve"> </w:t>
      </w:r>
      <w:r>
        <w:t>to have LGBTQ cultural humility indicated on physician profiles.</w:t>
      </w:r>
    </w:p>
    <w:p w:rsidR="00C76E6D" w:rsidRDefault="00C76E6D">
      <w:pPr>
        <w:pStyle w:val="BodyText"/>
        <w:spacing w:before="4"/>
        <w:rPr>
          <w:sz w:val="26"/>
        </w:rPr>
      </w:pPr>
    </w:p>
    <w:p w:rsidR="00C76E6D" w:rsidRDefault="00913831">
      <w:pPr>
        <w:pStyle w:val="ListParagraph"/>
        <w:numPr>
          <w:ilvl w:val="1"/>
          <w:numId w:val="11"/>
        </w:numPr>
        <w:tabs>
          <w:tab w:val="left" w:pos="1060"/>
        </w:tabs>
        <w:ind w:left="1059" w:hanging="362"/>
      </w:pPr>
      <w:r>
        <w:rPr>
          <w:w w:val="95"/>
        </w:rPr>
        <w:t>Continue</w:t>
      </w:r>
      <w:r>
        <w:rPr>
          <w:spacing w:val="13"/>
        </w:rPr>
        <w:t xml:space="preserve"> </w:t>
      </w:r>
      <w:r>
        <w:rPr>
          <w:w w:val="95"/>
        </w:rPr>
        <w:t>exploring</w:t>
      </w:r>
      <w:r>
        <w:rPr>
          <w:spacing w:val="11"/>
        </w:rPr>
        <w:t xml:space="preserve"> </w:t>
      </w:r>
      <w:r>
        <w:rPr>
          <w:w w:val="95"/>
        </w:rPr>
        <w:t>ways</w:t>
      </w:r>
      <w:r>
        <w:rPr>
          <w:spacing w:val="13"/>
        </w:rPr>
        <w:t xml:space="preserve"> </w:t>
      </w:r>
      <w:r>
        <w:rPr>
          <w:w w:val="95"/>
        </w:rPr>
        <w:t>to</w:t>
      </w:r>
      <w:r>
        <w:rPr>
          <w:spacing w:val="16"/>
        </w:rPr>
        <w:t xml:space="preserve"> </w:t>
      </w:r>
      <w:r>
        <w:rPr>
          <w:w w:val="95"/>
        </w:rPr>
        <w:t>counter</w:t>
      </w:r>
      <w:r>
        <w:rPr>
          <w:spacing w:val="14"/>
        </w:rPr>
        <w:t xml:space="preserve"> </w:t>
      </w:r>
      <w:r>
        <w:rPr>
          <w:w w:val="95"/>
        </w:rPr>
        <w:t>the</w:t>
      </w:r>
      <w:r>
        <w:rPr>
          <w:spacing w:val="16"/>
        </w:rPr>
        <w:t xml:space="preserve"> </w:t>
      </w:r>
      <w:r>
        <w:rPr>
          <w:w w:val="95"/>
        </w:rPr>
        <w:t>effects</w:t>
      </w:r>
      <w:r>
        <w:rPr>
          <w:spacing w:val="12"/>
        </w:rPr>
        <w:t xml:space="preserve"> </w:t>
      </w:r>
      <w:r>
        <w:rPr>
          <w:w w:val="95"/>
        </w:rPr>
        <w:t>of</w:t>
      </w:r>
      <w:r>
        <w:rPr>
          <w:spacing w:val="12"/>
        </w:rPr>
        <w:t xml:space="preserve"> </w:t>
      </w:r>
      <w:r>
        <w:rPr>
          <w:w w:val="95"/>
        </w:rPr>
        <w:t>discrimination</w:t>
      </w:r>
      <w:r>
        <w:rPr>
          <w:spacing w:val="14"/>
        </w:rPr>
        <w:t xml:space="preserve"> </w:t>
      </w:r>
      <w:r>
        <w:rPr>
          <w:w w:val="95"/>
        </w:rPr>
        <w:t>and</w:t>
      </w:r>
      <w:r>
        <w:rPr>
          <w:spacing w:val="10"/>
        </w:rPr>
        <w:t xml:space="preserve"> </w:t>
      </w:r>
      <w:r>
        <w:rPr>
          <w:w w:val="95"/>
        </w:rPr>
        <w:t>advance</w:t>
      </w:r>
      <w:r>
        <w:rPr>
          <w:spacing w:val="12"/>
        </w:rPr>
        <w:t xml:space="preserve"> </w:t>
      </w:r>
      <w:r>
        <w:rPr>
          <w:w w:val="95"/>
        </w:rPr>
        <w:t>LGBTQ</w:t>
      </w:r>
      <w:r>
        <w:rPr>
          <w:spacing w:val="14"/>
        </w:rPr>
        <w:t xml:space="preserve"> </w:t>
      </w:r>
      <w:r>
        <w:rPr>
          <w:spacing w:val="-2"/>
          <w:w w:val="95"/>
        </w:rPr>
        <w:t>inclusion.</w:t>
      </w:r>
    </w:p>
    <w:p w:rsidR="00C76E6D" w:rsidRDefault="00C76E6D">
      <w:pPr>
        <w:pStyle w:val="BodyText"/>
        <w:spacing w:before="8"/>
        <w:rPr>
          <w:sz w:val="28"/>
        </w:rPr>
      </w:pPr>
    </w:p>
    <w:p w:rsidR="00C76E6D" w:rsidRDefault="00913831">
      <w:pPr>
        <w:pStyle w:val="ListParagraph"/>
        <w:numPr>
          <w:ilvl w:val="1"/>
          <w:numId w:val="11"/>
        </w:numPr>
        <w:tabs>
          <w:tab w:val="left" w:pos="1060"/>
        </w:tabs>
        <w:spacing w:line="276" w:lineRule="auto"/>
        <w:ind w:left="1060" w:right="385" w:hanging="362"/>
      </w:pPr>
      <w:r>
        <w:t>Support</w:t>
      </w:r>
      <w:r>
        <w:rPr>
          <w:spacing w:val="-3"/>
        </w:rPr>
        <w:t xml:space="preserve"> </w:t>
      </w:r>
      <w:r>
        <w:t>the</w:t>
      </w:r>
      <w:r>
        <w:rPr>
          <w:spacing w:val="-4"/>
        </w:rPr>
        <w:t xml:space="preserve"> </w:t>
      </w:r>
      <w:r>
        <w:t>Youth</w:t>
      </w:r>
      <w:r>
        <w:rPr>
          <w:spacing w:val="-5"/>
        </w:rPr>
        <w:t xml:space="preserve"> </w:t>
      </w:r>
      <w:r>
        <w:t>Development</w:t>
      </w:r>
      <w:r>
        <w:rPr>
          <w:spacing w:val="-3"/>
        </w:rPr>
        <w:t xml:space="preserve"> </w:t>
      </w:r>
      <w:r>
        <w:t>Roundtable</w:t>
      </w:r>
      <w:r>
        <w:rPr>
          <w:spacing w:val="-5"/>
        </w:rPr>
        <w:t xml:space="preserve"> </w:t>
      </w:r>
      <w:r>
        <w:t>as</w:t>
      </w:r>
      <w:r>
        <w:rPr>
          <w:spacing w:val="-4"/>
        </w:rPr>
        <w:t xml:space="preserve"> </w:t>
      </w:r>
      <w:r>
        <w:t>it</w:t>
      </w:r>
      <w:r>
        <w:rPr>
          <w:spacing w:val="-4"/>
        </w:rPr>
        <w:t xml:space="preserve"> </w:t>
      </w:r>
      <w:r>
        <w:t>works</w:t>
      </w:r>
      <w:r>
        <w:rPr>
          <w:spacing w:val="-4"/>
        </w:rPr>
        <w:t xml:space="preserve"> </w:t>
      </w:r>
      <w:r>
        <w:t>to</w:t>
      </w:r>
      <w:r>
        <w:rPr>
          <w:spacing w:val="-3"/>
        </w:rPr>
        <w:t xml:space="preserve"> </w:t>
      </w:r>
      <w:r>
        <w:t>advise</w:t>
      </w:r>
      <w:r>
        <w:rPr>
          <w:spacing w:val="-4"/>
        </w:rPr>
        <w:t xml:space="preserve"> </w:t>
      </w:r>
      <w:r>
        <w:t>on</w:t>
      </w:r>
      <w:r>
        <w:rPr>
          <w:spacing w:val="-5"/>
        </w:rPr>
        <w:t xml:space="preserve"> </w:t>
      </w:r>
      <w:r>
        <w:t>outreach</w:t>
      </w:r>
      <w:r>
        <w:rPr>
          <w:spacing w:val="-3"/>
        </w:rPr>
        <w:t xml:space="preserve"> </w:t>
      </w:r>
      <w:r>
        <w:t>and</w:t>
      </w:r>
      <w:r>
        <w:rPr>
          <w:spacing w:val="-5"/>
        </w:rPr>
        <w:t xml:space="preserve"> </w:t>
      </w:r>
      <w:r>
        <w:t>issues</w:t>
      </w:r>
      <w:r>
        <w:rPr>
          <w:spacing w:val="-4"/>
        </w:rPr>
        <w:t xml:space="preserve"> </w:t>
      </w:r>
      <w:r>
        <w:t>impacting LGBTQ youth.</w:t>
      </w:r>
    </w:p>
    <w:p w:rsidR="00C76E6D" w:rsidRDefault="00C76E6D">
      <w:pPr>
        <w:pStyle w:val="BodyText"/>
      </w:pPr>
    </w:p>
    <w:p w:rsidR="00C76E6D" w:rsidRDefault="00C76E6D">
      <w:pPr>
        <w:pStyle w:val="BodyText"/>
        <w:spacing w:before="11"/>
      </w:pPr>
    </w:p>
    <w:p w:rsidR="00C76E6D" w:rsidRDefault="00913831">
      <w:pPr>
        <w:pStyle w:val="Heading5"/>
        <w:spacing w:before="1"/>
      </w:pPr>
      <w:r>
        <w:t>Background</w:t>
      </w:r>
      <w:r>
        <w:rPr>
          <w:spacing w:val="-15"/>
        </w:rPr>
        <w:t xml:space="preserve"> </w:t>
      </w:r>
      <w:r>
        <w:t>&amp;</w:t>
      </w:r>
      <w:r>
        <w:rPr>
          <w:spacing w:val="-6"/>
        </w:rPr>
        <w:t xml:space="preserve"> </w:t>
      </w:r>
      <w:r>
        <w:rPr>
          <w:spacing w:val="-2"/>
        </w:rPr>
        <w:t>Research</w:t>
      </w:r>
    </w:p>
    <w:p w:rsidR="00C76E6D" w:rsidRDefault="00913831">
      <w:pPr>
        <w:pStyle w:val="BodyText"/>
        <w:spacing w:before="9"/>
        <w:rPr>
          <w:b/>
          <w:sz w:val="7"/>
        </w:rPr>
      </w:pPr>
      <w:r>
        <w:pict>
          <v:shape id="docshape401" o:spid="_x0000_s1081" style="position:absolute;margin-left:65pt;margin-top:5.95pt;width:476.95pt;height:.1pt;z-index:-15645696;mso-wrap-distance-left:0;mso-wrap-distance-right:0;mso-position-horizontal-relative:page" coordorigin="1300,119" coordsize="9539,0" path="m1300,119r9539,e" filled="f" strokeweight="1.54pt">
            <v:path arrowok="t"/>
            <w10:wrap type="topAndBottom" anchorx="page"/>
          </v:shape>
        </w:pict>
      </w:r>
    </w:p>
    <w:p w:rsidR="00C76E6D" w:rsidRDefault="00C76E6D">
      <w:pPr>
        <w:pStyle w:val="BodyText"/>
        <w:spacing w:before="7"/>
        <w:rPr>
          <w:b/>
          <w:sz w:val="25"/>
        </w:rPr>
      </w:pPr>
    </w:p>
    <w:p w:rsidR="00C76E6D" w:rsidRDefault="00913831">
      <w:pPr>
        <w:pStyle w:val="BodyText"/>
        <w:spacing w:line="276" w:lineRule="auto"/>
        <w:ind w:left="338" w:right="334"/>
        <w:jc w:val="both"/>
      </w:pPr>
      <w:r>
        <w:t>The Commission remains grateful to the Department of Public Health (DPH) for its longstanding support of the Commission and of LGBTQ youth communities. DPH clearly recognizes the long-term health and economic</w:t>
      </w:r>
      <w:r>
        <w:rPr>
          <w:spacing w:val="-1"/>
        </w:rPr>
        <w:t xml:space="preserve"> </w:t>
      </w:r>
      <w:r>
        <w:t>benefits</w:t>
      </w:r>
      <w:r>
        <w:rPr>
          <w:spacing w:val="-3"/>
        </w:rPr>
        <w:t xml:space="preserve"> </w:t>
      </w:r>
      <w:r>
        <w:t>of</w:t>
      </w:r>
      <w:r>
        <w:rPr>
          <w:spacing w:val="-2"/>
        </w:rPr>
        <w:t xml:space="preserve"> </w:t>
      </w:r>
      <w:r>
        <w:t>public</w:t>
      </w:r>
      <w:r>
        <w:rPr>
          <w:spacing w:val="-4"/>
        </w:rPr>
        <w:t xml:space="preserve"> </w:t>
      </w:r>
      <w:r>
        <w:t>health</w:t>
      </w:r>
      <w:r>
        <w:rPr>
          <w:spacing w:val="-2"/>
        </w:rPr>
        <w:t xml:space="preserve"> </w:t>
      </w:r>
      <w:r>
        <w:t>interventions</w:t>
      </w:r>
      <w:r>
        <w:rPr>
          <w:spacing w:val="-2"/>
        </w:rPr>
        <w:t xml:space="preserve"> </w:t>
      </w:r>
      <w:r>
        <w:t>with</w:t>
      </w:r>
      <w:r>
        <w:rPr>
          <w:spacing w:val="-3"/>
        </w:rPr>
        <w:t xml:space="preserve"> </w:t>
      </w:r>
      <w:r>
        <w:t>yo</w:t>
      </w:r>
      <w:r>
        <w:t>uth.</w:t>
      </w:r>
      <w:r>
        <w:rPr>
          <w:spacing w:val="-2"/>
        </w:rPr>
        <w:t xml:space="preserve"> </w:t>
      </w:r>
      <w:r>
        <w:t>The</w:t>
      </w:r>
      <w:r>
        <w:rPr>
          <w:spacing w:val="-1"/>
        </w:rPr>
        <w:t xml:space="preserve"> </w:t>
      </w:r>
      <w:r>
        <w:t>Commission</w:t>
      </w:r>
      <w:r>
        <w:rPr>
          <w:spacing w:val="-3"/>
        </w:rPr>
        <w:t xml:space="preserve"> </w:t>
      </w:r>
      <w:r>
        <w:t>thanks</w:t>
      </w:r>
      <w:r>
        <w:rPr>
          <w:spacing w:val="-3"/>
        </w:rPr>
        <w:t xml:space="preserve"> </w:t>
      </w:r>
      <w:r>
        <w:t>DPH</w:t>
      </w:r>
      <w:r>
        <w:rPr>
          <w:spacing w:val="-3"/>
        </w:rPr>
        <w:t xml:space="preserve"> </w:t>
      </w:r>
      <w:r>
        <w:t>for</w:t>
      </w:r>
      <w:r>
        <w:rPr>
          <w:spacing w:val="-3"/>
        </w:rPr>
        <w:t xml:space="preserve"> </w:t>
      </w:r>
      <w:r>
        <w:t>providing</w:t>
      </w:r>
      <w:r>
        <w:rPr>
          <w:spacing w:val="-2"/>
        </w:rPr>
        <w:t xml:space="preserve"> </w:t>
      </w:r>
      <w:r>
        <w:t>vital administrative and operational support to the Commission, including housing its staff. The Commission encourages DPH to review its findings on the impact of COVID-19 on LGBTQ youth, presented above; as the</w:t>
      </w:r>
      <w:r>
        <w:t xml:space="preserve"> pandemic</w:t>
      </w:r>
      <w:r>
        <w:rPr>
          <w:spacing w:val="-5"/>
        </w:rPr>
        <w:t xml:space="preserve"> </w:t>
      </w:r>
      <w:r>
        <w:t>had</w:t>
      </w:r>
      <w:r>
        <w:rPr>
          <w:spacing w:val="-4"/>
        </w:rPr>
        <w:t xml:space="preserve"> </w:t>
      </w:r>
      <w:r>
        <w:t>only</w:t>
      </w:r>
      <w:r>
        <w:rPr>
          <w:spacing w:val="-4"/>
        </w:rPr>
        <w:t xml:space="preserve"> </w:t>
      </w:r>
      <w:r>
        <w:t>just</w:t>
      </w:r>
      <w:r>
        <w:rPr>
          <w:spacing w:val="-4"/>
        </w:rPr>
        <w:t xml:space="preserve"> </w:t>
      </w:r>
      <w:r>
        <w:t>begun</w:t>
      </w:r>
      <w:r>
        <w:rPr>
          <w:spacing w:val="-5"/>
        </w:rPr>
        <w:t xml:space="preserve"> </w:t>
      </w:r>
      <w:r>
        <w:t>when</w:t>
      </w:r>
      <w:r>
        <w:rPr>
          <w:spacing w:val="-4"/>
        </w:rPr>
        <w:t xml:space="preserve"> </w:t>
      </w:r>
      <w:r>
        <w:t>the</w:t>
      </w:r>
      <w:r>
        <w:rPr>
          <w:spacing w:val="-4"/>
        </w:rPr>
        <w:t xml:space="preserve"> </w:t>
      </w:r>
      <w:r>
        <w:t>Commission</w:t>
      </w:r>
      <w:r>
        <w:rPr>
          <w:spacing w:val="-4"/>
        </w:rPr>
        <w:t xml:space="preserve"> </w:t>
      </w:r>
      <w:r>
        <w:t>met</w:t>
      </w:r>
      <w:r>
        <w:rPr>
          <w:spacing w:val="-5"/>
        </w:rPr>
        <w:t xml:space="preserve"> </w:t>
      </w:r>
      <w:r>
        <w:t>with</w:t>
      </w:r>
      <w:r>
        <w:rPr>
          <w:spacing w:val="-4"/>
        </w:rPr>
        <w:t xml:space="preserve"> </w:t>
      </w:r>
      <w:r>
        <w:t>DPH</w:t>
      </w:r>
      <w:r>
        <w:rPr>
          <w:spacing w:val="-4"/>
        </w:rPr>
        <w:t xml:space="preserve"> </w:t>
      </w:r>
      <w:r>
        <w:t>staff</w:t>
      </w:r>
      <w:r>
        <w:rPr>
          <w:spacing w:val="-4"/>
        </w:rPr>
        <w:t xml:space="preserve"> </w:t>
      </w:r>
      <w:r>
        <w:t>to</w:t>
      </w:r>
      <w:r>
        <w:rPr>
          <w:spacing w:val="-4"/>
        </w:rPr>
        <w:t xml:space="preserve"> </w:t>
      </w:r>
      <w:r>
        <w:t>discuss</w:t>
      </w:r>
      <w:r>
        <w:rPr>
          <w:spacing w:val="-4"/>
        </w:rPr>
        <w:t xml:space="preserve"> </w:t>
      </w:r>
      <w:r>
        <w:t>these</w:t>
      </w:r>
      <w:r>
        <w:rPr>
          <w:spacing w:val="-4"/>
        </w:rPr>
        <w:t xml:space="preserve"> </w:t>
      </w:r>
      <w:r>
        <w:t>recommendations, concerns relating to COVID- 19 have not yet been integrated within this section.</w:t>
      </w:r>
    </w:p>
    <w:p w:rsidR="00C76E6D" w:rsidRDefault="00C76E6D">
      <w:pPr>
        <w:pStyle w:val="BodyText"/>
        <w:spacing w:before="1"/>
        <w:rPr>
          <w:sz w:val="26"/>
        </w:rPr>
      </w:pPr>
    </w:p>
    <w:p w:rsidR="00C76E6D" w:rsidRDefault="00913831">
      <w:pPr>
        <w:pStyle w:val="BodyText"/>
        <w:spacing w:line="276" w:lineRule="auto"/>
        <w:ind w:left="338" w:right="335"/>
        <w:jc w:val="both"/>
      </w:pPr>
      <w:r>
        <w:t>A</w:t>
      </w:r>
      <w:r>
        <w:rPr>
          <w:spacing w:val="-3"/>
        </w:rPr>
        <w:t xml:space="preserve"> </w:t>
      </w:r>
      <w:r>
        <w:t>great</w:t>
      </w:r>
      <w:r>
        <w:rPr>
          <w:spacing w:val="-2"/>
        </w:rPr>
        <w:t xml:space="preserve"> </w:t>
      </w:r>
      <w:r>
        <w:t>deal</w:t>
      </w:r>
      <w:r>
        <w:rPr>
          <w:spacing w:val="-1"/>
        </w:rPr>
        <w:t xml:space="preserve"> </w:t>
      </w:r>
      <w:r>
        <w:t>of</w:t>
      </w:r>
      <w:r>
        <w:rPr>
          <w:spacing w:val="-3"/>
        </w:rPr>
        <w:t xml:space="preserve"> </w:t>
      </w:r>
      <w:r>
        <w:t>research</w:t>
      </w:r>
      <w:r>
        <w:rPr>
          <w:spacing w:val="-2"/>
        </w:rPr>
        <w:t xml:space="preserve"> </w:t>
      </w:r>
      <w:r>
        <w:t>over</w:t>
      </w:r>
      <w:r>
        <w:rPr>
          <w:spacing w:val="-3"/>
        </w:rPr>
        <w:t xml:space="preserve"> </w:t>
      </w:r>
      <w:r>
        <w:t>the</w:t>
      </w:r>
      <w:r>
        <w:rPr>
          <w:spacing w:val="-2"/>
        </w:rPr>
        <w:t xml:space="preserve"> </w:t>
      </w:r>
      <w:r>
        <w:t>past</w:t>
      </w:r>
      <w:r>
        <w:rPr>
          <w:spacing w:val="-2"/>
        </w:rPr>
        <w:t xml:space="preserve"> </w:t>
      </w:r>
      <w:r>
        <w:t>few</w:t>
      </w:r>
      <w:r>
        <w:rPr>
          <w:spacing w:val="-1"/>
        </w:rPr>
        <w:t xml:space="preserve"> </w:t>
      </w:r>
      <w:r>
        <w:t>decades</w:t>
      </w:r>
      <w:r>
        <w:rPr>
          <w:spacing w:val="-1"/>
        </w:rPr>
        <w:t xml:space="preserve"> </w:t>
      </w:r>
      <w:r>
        <w:t>–</w:t>
      </w:r>
      <w:r>
        <w:rPr>
          <w:spacing w:val="-1"/>
        </w:rPr>
        <w:t xml:space="preserve"> </w:t>
      </w:r>
      <w:r>
        <w:t>as</w:t>
      </w:r>
      <w:r>
        <w:rPr>
          <w:spacing w:val="-1"/>
        </w:rPr>
        <w:t xml:space="preserve"> </w:t>
      </w:r>
      <w:r>
        <w:t>detailed</w:t>
      </w:r>
      <w:r>
        <w:rPr>
          <w:spacing w:val="-1"/>
        </w:rPr>
        <w:t xml:space="preserve"> </w:t>
      </w:r>
      <w:r>
        <w:t>in</w:t>
      </w:r>
      <w:r>
        <w:rPr>
          <w:spacing w:val="-2"/>
        </w:rPr>
        <w:t xml:space="preserve"> </w:t>
      </w:r>
      <w:r>
        <w:t>the</w:t>
      </w:r>
      <w:r>
        <w:rPr>
          <w:spacing w:val="-2"/>
        </w:rPr>
        <w:t xml:space="preserve"> </w:t>
      </w:r>
      <w:r>
        <w:t>Commission’s</w:t>
      </w:r>
      <w:r>
        <w:rPr>
          <w:spacing w:val="-1"/>
        </w:rPr>
        <w:t xml:space="preserve"> </w:t>
      </w:r>
      <w:r>
        <w:t>data</w:t>
      </w:r>
      <w:r>
        <w:rPr>
          <w:spacing w:val="-2"/>
        </w:rPr>
        <w:t xml:space="preserve"> </w:t>
      </w:r>
      <w:r>
        <w:t>report</w:t>
      </w:r>
      <w:r>
        <w:rPr>
          <w:spacing w:val="-4"/>
        </w:rPr>
        <w:t xml:space="preserve"> </w:t>
      </w:r>
      <w:r>
        <w:t>and</w:t>
      </w:r>
      <w:r>
        <w:rPr>
          <w:spacing w:val="-2"/>
        </w:rPr>
        <w:t xml:space="preserve"> </w:t>
      </w:r>
      <w:r>
        <w:t>health research section above – demonstrates significant health disparities that fall under DPH’s purview. For example,</w:t>
      </w:r>
      <w:r>
        <w:rPr>
          <w:spacing w:val="-10"/>
        </w:rPr>
        <w:t xml:space="preserve"> </w:t>
      </w:r>
      <w:r>
        <w:t>a</w:t>
      </w:r>
      <w:r>
        <w:rPr>
          <w:spacing w:val="-10"/>
        </w:rPr>
        <w:t xml:space="preserve"> </w:t>
      </w:r>
      <w:r>
        <w:t>major</w:t>
      </w:r>
      <w:r>
        <w:rPr>
          <w:spacing w:val="-10"/>
        </w:rPr>
        <w:t xml:space="preserve"> </w:t>
      </w:r>
      <w:r>
        <w:t>CDC</w:t>
      </w:r>
      <w:r>
        <w:rPr>
          <w:spacing w:val="-9"/>
        </w:rPr>
        <w:t xml:space="preserve"> </w:t>
      </w:r>
      <w:r>
        <w:t>report</w:t>
      </w:r>
      <w:r>
        <w:rPr>
          <w:spacing w:val="-12"/>
        </w:rPr>
        <w:t xml:space="preserve"> </w:t>
      </w:r>
      <w:r>
        <w:t>based</w:t>
      </w:r>
      <w:r>
        <w:rPr>
          <w:spacing w:val="-10"/>
        </w:rPr>
        <w:t xml:space="preserve"> </w:t>
      </w:r>
      <w:r>
        <w:t>on</w:t>
      </w:r>
      <w:r>
        <w:rPr>
          <w:spacing w:val="-10"/>
        </w:rPr>
        <w:t xml:space="preserve"> </w:t>
      </w:r>
      <w:r>
        <w:t>data</w:t>
      </w:r>
      <w:r>
        <w:rPr>
          <w:spacing w:val="-9"/>
        </w:rPr>
        <w:t xml:space="preserve"> </w:t>
      </w:r>
      <w:r>
        <w:t>that</w:t>
      </w:r>
      <w:r>
        <w:rPr>
          <w:spacing w:val="-10"/>
        </w:rPr>
        <w:t xml:space="preserve"> </w:t>
      </w:r>
      <w:r>
        <w:t>included</w:t>
      </w:r>
      <w:r>
        <w:rPr>
          <w:spacing w:val="-10"/>
        </w:rPr>
        <w:t xml:space="preserve"> </w:t>
      </w:r>
      <w:r>
        <w:t>Massachusetts</w:t>
      </w:r>
      <w:r>
        <w:rPr>
          <w:spacing w:val="-9"/>
        </w:rPr>
        <w:t xml:space="preserve"> </w:t>
      </w:r>
      <w:r>
        <w:t>found</w:t>
      </w:r>
      <w:r>
        <w:rPr>
          <w:spacing w:val="-9"/>
        </w:rPr>
        <w:t xml:space="preserve"> </w:t>
      </w:r>
      <w:r>
        <w:t>that</w:t>
      </w:r>
      <w:r>
        <w:rPr>
          <w:spacing w:val="-12"/>
        </w:rPr>
        <w:t xml:space="preserve"> </w:t>
      </w:r>
      <w:r>
        <w:t>sexual</w:t>
      </w:r>
      <w:r>
        <w:rPr>
          <w:spacing w:val="-10"/>
        </w:rPr>
        <w:t xml:space="preserve"> </w:t>
      </w:r>
      <w:r>
        <w:t>minority</w:t>
      </w:r>
      <w:r>
        <w:rPr>
          <w:spacing w:val="-9"/>
        </w:rPr>
        <w:t xml:space="preserve"> </w:t>
      </w:r>
      <w:r>
        <w:t>students reported a higher prevalence of health risk behaviors (relative to their heterosexual peers) ranging from 49 percent to 90 percent in seven out of ten categories, including violence victimization (e.g., did not go to school because of safety conce</w:t>
      </w:r>
      <w:r>
        <w:t>rns), suicidality (e.g., made a suicide plan), tobacco use (e.g., ever smoked cigarettes),</w:t>
      </w:r>
      <w:r>
        <w:rPr>
          <w:spacing w:val="-13"/>
        </w:rPr>
        <w:t xml:space="preserve"> </w:t>
      </w:r>
      <w:r>
        <w:t>alcohol</w:t>
      </w:r>
      <w:r>
        <w:rPr>
          <w:spacing w:val="-12"/>
        </w:rPr>
        <w:t xml:space="preserve"> </w:t>
      </w:r>
      <w:r>
        <w:t>use</w:t>
      </w:r>
      <w:r>
        <w:rPr>
          <w:spacing w:val="-13"/>
        </w:rPr>
        <w:t xml:space="preserve"> </w:t>
      </w:r>
      <w:r>
        <w:t>(e.g.,</w:t>
      </w:r>
      <w:r>
        <w:rPr>
          <w:spacing w:val="-12"/>
        </w:rPr>
        <w:t xml:space="preserve"> </w:t>
      </w:r>
      <w:r>
        <w:t>binge</w:t>
      </w:r>
      <w:r>
        <w:rPr>
          <w:spacing w:val="-13"/>
        </w:rPr>
        <w:t xml:space="preserve"> </w:t>
      </w:r>
      <w:r>
        <w:t>drinking),</w:t>
      </w:r>
      <w:r>
        <w:rPr>
          <w:spacing w:val="-12"/>
        </w:rPr>
        <w:t xml:space="preserve"> </w:t>
      </w:r>
      <w:r>
        <w:t>other</w:t>
      </w:r>
      <w:r>
        <w:rPr>
          <w:spacing w:val="-13"/>
        </w:rPr>
        <w:t xml:space="preserve"> </w:t>
      </w:r>
      <w:r>
        <w:t>drug</w:t>
      </w:r>
      <w:r>
        <w:rPr>
          <w:spacing w:val="-12"/>
        </w:rPr>
        <w:t xml:space="preserve"> </w:t>
      </w:r>
      <w:r>
        <w:t>use,</w:t>
      </w:r>
      <w:r>
        <w:rPr>
          <w:spacing w:val="-12"/>
        </w:rPr>
        <w:t xml:space="preserve"> </w:t>
      </w:r>
      <w:r>
        <w:t>sexual</w:t>
      </w:r>
      <w:r>
        <w:rPr>
          <w:spacing w:val="-13"/>
        </w:rPr>
        <w:t xml:space="preserve"> </w:t>
      </w:r>
      <w:r>
        <w:t>behaviors,</w:t>
      </w:r>
      <w:r>
        <w:rPr>
          <w:spacing w:val="-12"/>
        </w:rPr>
        <w:t xml:space="preserve"> </w:t>
      </w:r>
      <w:r>
        <w:t>and</w:t>
      </w:r>
      <w:r>
        <w:rPr>
          <w:spacing w:val="-13"/>
        </w:rPr>
        <w:t xml:space="preserve"> </w:t>
      </w:r>
      <w:r>
        <w:t>weight</w:t>
      </w:r>
      <w:r>
        <w:rPr>
          <w:spacing w:val="-12"/>
        </w:rPr>
        <w:t xml:space="preserve"> </w:t>
      </w:r>
      <w:r>
        <w:t>management</w:t>
      </w:r>
      <w:r>
        <w:rPr>
          <w:spacing w:val="-13"/>
        </w:rPr>
        <w:t xml:space="preserve"> </w:t>
      </w:r>
      <w:r>
        <w:t>(e.g., use of diet pills or laxatives to lose weight)</w:t>
      </w:r>
      <w:hyperlink w:anchor="_bookmark586" w:history="1">
        <w:r>
          <w:t>.</w:t>
        </w:r>
        <w:r>
          <w:rPr>
            <w:vertAlign w:val="superscript"/>
          </w:rPr>
          <w:t>1</w:t>
        </w:r>
        <w:r>
          <w:t xml:space="preserve"> </w:t>
        </w:r>
      </w:hyperlink>
      <w:r>
        <w:t>Research also shows that LGBTQ people have elevated rates of trauma</w:t>
      </w:r>
      <w:hyperlink w:anchor="_bookmark587" w:history="1">
        <w:r>
          <w:t>,</w:t>
        </w:r>
        <w:r>
          <w:rPr>
            <w:vertAlign w:val="superscript"/>
          </w:rPr>
          <w:t>2</w:t>
        </w:r>
        <w:r>
          <w:t xml:space="preserve"> </w:t>
        </w:r>
      </w:hyperlink>
      <w:r>
        <w:t>highlighting the need for trauma-informed policy and care in the Commonwealth.</w:t>
      </w:r>
    </w:p>
    <w:p w:rsidR="00C76E6D" w:rsidRDefault="00C76E6D">
      <w:pPr>
        <w:spacing w:line="276" w:lineRule="auto"/>
        <w:jc w:val="both"/>
        <w:sectPr w:rsidR="00C76E6D">
          <w:headerReference w:type="default" r:id="rId418"/>
          <w:footerReference w:type="default" r:id="rId419"/>
          <w:pgSz w:w="12240" w:h="15840"/>
          <w:pgMar w:top="1020" w:right="960" w:bottom="720" w:left="960" w:header="818" w:footer="531" w:gutter="0"/>
          <w:cols w:space="720"/>
        </w:sectPr>
      </w:pPr>
    </w:p>
    <w:p w:rsidR="00C76E6D" w:rsidRDefault="00C76E6D">
      <w:pPr>
        <w:pStyle w:val="BodyText"/>
        <w:spacing w:before="2"/>
        <w:rPr>
          <w:sz w:val="20"/>
        </w:rPr>
      </w:pPr>
    </w:p>
    <w:p w:rsidR="00C76E6D" w:rsidRDefault="00913831">
      <w:pPr>
        <w:pStyle w:val="BodyText"/>
        <w:spacing w:before="56" w:line="276" w:lineRule="auto"/>
        <w:ind w:left="338" w:right="334"/>
        <w:jc w:val="both"/>
      </w:pPr>
      <w:r>
        <w:t>DPH has long been committed to developing consistent policies and practices for working with LGBTQ populations. Notably, DPH administers the Safe Spaces for LGBTQ Youth Program, which provides critical opportunities for LGBTQ youth to find support, build r</w:t>
      </w:r>
      <w:r>
        <w:t>esiliency, and develop leadership skills. Additionally, DPH has made LGBTQ youth a priority population in its strategic plan for smoking prevention and has provided ongoing resources through programs focused on suicide prevention and HIV. The Office of You</w:t>
      </w:r>
      <w:r>
        <w:t>th and</w:t>
      </w:r>
      <w:r>
        <w:rPr>
          <w:spacing w:val="-7"/>
        </w:rPr>
        <w:t xml:space="preserve"> </w:t>
      </w:r>
      <w:r>
        <w:t>Young</w:t>
      </w:r>
      <w:r>
        <w:rPr>
          <w:spacing w:val="-6"/>
        </w:rPr>
        <w:t xml:space="preserve"> </w:t>
      </w:r>
      <w:r>
        <w:t>Adult</w:t>
      </w:r>
      <w:r>
        <w:rPr>
          <w:spacing w:val="-6"/>
        </w:rPr>
        <w:t xml:space="preserve"> </w:t>
      </w:r>
      <w:r>
        <w:t>Services</w:t>
      </w:r>
      <w:r>
        <w:rPr>
          <w:spacing w:val="-3"/>
        </w:rPr>
        <w:t xml:space="preserve"> </w:t>
      </w:r>
      <w:r>
        <w:t>(OYYAS)</w:t>
      </w:r>
      <w:r>
        <w:rPr>
          <w:spacing w:val="-7"/>
        </w:rPr>
        <w:t xml:space="preserve"> </w:t>
      </w:r>
      <w:r>
        <w:t>within</w:t>
      </w:r>
      <w:r>
        <w:rPr>
          <w:spacing w:val="-7"/>
        </w:rPr>
        <w:t xml:space="preserve"> </w:t>
      </w:r>
      <w:r>
        <w:t>the</w:t>
      </w:r>
      <w:r>
        <w:rPr>
          <w:spacing w:val="-5"/>
        </w:rPr>
        <w:t xml:space="preserve"> </w:t>
      </w:r>
      <w:r>
        <w:t>Bureau</w:t>
      </w:r>
      <w:r>
        <w:rPr>
          <w:spacing w:val="-3"/>
        </w:rPr>
        <w:t xml:space="preserve"> </w:t>
      </w:r>
      <w:r>
        <w:t>of</w:t>
      </w:r>
      <w:r>
        <w:rPr>
          <w:spacing w:val="-6"/>
        </w:rPr>
        <w:t xml:space="preserve"> </w:t>
      </w:r>
      <w:r>
        <w:t>Substance</w:t>
      </w:r>
      <w:r>
        <w:rPr>
          <w:spacing w:val="-3"/>
        </w:rPr>
        <w:t xml:space="preserve"> </w:t>
      </w:r>
      <w:r>
        <w:t>Abuse</w:t>
      </w:r>
      <w:r>
        <w:rPr>
          <w:spacing w:val="-6"/>
        </w:rPr>
        <w:t xml:space="preserve"> </w:t>
      </w:r>
      <w:r>
        <w:t>Services</w:t>
      </w:r>
      <w:r>
        <w:rPr>
          <w:spacing w:val="-6"/>
        </w:rPr>
        <w:t xml:space="preserve"> </w:t>
      </w:r>
      <w:r>
        <w:t>has</w:t>
      </w:r>
      <w:r>
        <w:rPr>
          <w:spacing w:val="-6"/>
        </w:rPr>
        <w:t xml:space="preserve"> </w:t>
      </w:r>
      <w:r>
        <w:t>implemented</w:t>
      </w:r>
      <w:r>
        <w:rPr>
          <w:spacing w:val="-6"/>
        </w:rPr>
        <w:t xml:space="preserve"> </w:t>
      </w:r>
      <w:r>
        <w:t>a</w:t>
      </w:r>
      <w:r>
        <w:rPr>
          <w:spacing w:val="-5"/>
        </w:rPr>
        <w:t xml:space="preserve"> </w:t>
      </w:r>
      <w:r>
        <w:t>plan</w:t>
      </w:r>
      <w:r>
        <w:rPr>
          <w:spacing w:val="-7"/>
        </w:rPr>
        <w:t xml:space="preserve"> </w:t>
      </w:r>
      <w:r>
        <w:t>to increase</w:t>
      </w:r>
      <w:r>
        <w:rPr>
          <w:spacing w:val="-13"/>
        </w:rPr>
        <w:t xml:space="preserve"> </w:t>
      </w:r>
      <w:r>
        <w:t>the</w:t>
      </w:r>
      <w:r>
        <w:rPr>
          <w:spacing w:val="-12"/>
        </w:rPr>
        <w:t xml:space="preserve"> </w:t>
      </w:r>
      <w:r>
        <w:t>capacity</w:t>
      </w:r>
      <w:r>
        <w:rPr>
          <w:spacing w:val="-13"/>
        </w:rPr>
        <w:t xml:space="preserve"> </w:t>
      </w:r>
      <w:r>
        <w:t>of</w:t>
      </w:r>
      <w:r>
        <w:rPr>
          <w:spacing w:val="-12"/>
        </w:rPr>
        <w:t xml:space="preserve"> </w:t>
      </w:r>
      <w:r>
        <w:t>OYYAS</w:t>
      </w:r>
      <w:r>
        <w:rPr>
          <w:spacing w:val="-13"/>
        </w:rPr>
        <w:t xml:space="preserve"> </w:t>
      </w:r>
      <w:r>
        <w:t>and</w:t>
      </w:r>
      <w:r>
        <w:rPr>
          <w:spacing w:val="-12"/>
        </w:rPr>
        <w:t xml:space="preserve"> </w:t>
      </w:r>
      <w:r>
        <w:t>its</w:t>
      </w:r>
      <w:r>
        <w:rPr>
          <w:spacing w:val="-11"/>
        </w:rPr>
        <w:t xml:space="preserve"> </w:t>
      </w:r>
      <w:r>
        <w:t>provider</w:t>
      </w:r>
      <w:r>
        <w:rPr>
          <w:spacing w:val="-13"/>
        </w:rPr>
        <w:t xml:space="preserve"> </w:t>
      </w:r>
      <w:r>
        <w:t>system</w:t>
      </w:r>
      <w:r>
        <w:rPr>
          <w:spacing w:val="-12"/>
        </w:rPr>
        <w:t xml:space="preserve"> </w:t>
      </w:r>
      <w:r>
        <w:t>to</w:t>
      </w:r>
      <w:r>
        <w:rPr>
          <w:spacing w:val="-11"/>
        </w:rPr>
        <w:t xml:space="preserve"> </w:t>
      </w:r>
      <w:r>
        <w:t>serve</w:t>
      </w:r>
      <w:r>
        <w:rPr>
          <w:spacing w:val="-13"/>
        </w:rPr>
        <w:t xml:space="preserve"> </w:t>
      </w:r>
      <w:r>
        <w:t>LGBTQ</w:t>
      </w:r>
      <w:r>
        <w:rPr>
          <w:spacing w:val="-12"/>
        </w:rPr>
        <w:t xml:space="preserve"> </w:t>
      </w:r>
      <w:r>
        <w:t>youth</w:t>
      </w:r>
      <w:r>
        <w:rPr>
          <w:spacing w:val="-12"/>
        </w:rPr>
        <w:t xml:space="preserve"> </w:t>
      </w:r>
      <w:r>
        <w:t>and</w:t>
      </w:r>
      <w:r>
        <w:rPr>
          <w:spacing w:val="-13"/>
        </w:rPr>
        <w:t xml:space="preserve"> </w:t>
      </w:r>
      <w:r>
        <w:t>young</w:t>
      </w:r>
      <w:r>
        <w:rPr>
          <w:spacing w:val="-12"/>
        </w:rPr>
        <w:t xml:space="preserve"> </w:t>
      </w:r>
      <w:r>
        <w:t>adults,</w:t>
      </w:r>
      <w:r>
        <w:rPr>
          <w:spacing w:val="-11"/>
        </w:rPr>
        <w:t xml:space="preserve"> </w:t>
      </w:r>
      <w:r>
        <w:t>and</w:t>
      </w:r>
      <w:r>
        <w:rPr>
          <w:spacing w:val="-13"/>
        </w:rPr>
        <w:t xml:space="preserve"> </w:t>
      </w:r>
      <w:r>
        <w:t>this</w:t>
      </w:r>
      <w:r>
        <w:rPr>
          <w:spacing w:val="-10"/>
        </w:rPr>
        <w:t xml:space="preserve"> </w:t>
      </w:r>
      <w:r>
        <w:t>could well</w:t>
      </w:r>
      <w:r>
        <w:rPr>
          <w:spacing w:val="-8"/>
        </w:rPr>
        <w:t xml:space="preserve"> </w:t>
      </w:r>
      <w:r>
        <w:t>serve</w:t>
      </w:r>
      <w:r>
        <w:rPr>
          <w:spacing w:val="-8"/>
        </w:rPr>
        <w:t xml:space="preserve"> </w:t>
      </w:r>
      <w:r>
        <w:t>as</w:t>
      </w:r>
      <w:r>
        <w:rPr>
          <w:spacing w:val="-5"/>
        </w:rPr>
        <w:t xml:space="preserve"> </w:t>
      </w:r>
      <w:r>
        <w:t>a</w:t>
      </w:r>
      <w:r>
        <w:rPr>
          <w:spacing w:val="-7"/>
        </w:rPr>
        <w:t xml:space="preserve"> </w:t>
      </w:r>
      <w:r>
        <w:t>model</w:t>
      </w:r>
      <w:r>
        <w:rPr>
          <w:spacing w:val="-7"/>
        </w:rPr>
        <w:t xml:space="preserve"> </w:t>
      </w:r>
      <w:r>
        <w:t>for</w:t>
      </w:r>
      <w:r>
        <w:rPr>
          <w:spacing w:val="-8"/>
        </w:rPr>
        <w:t xml:space="preserve"> </w:t>
      </w:r>
      <w:r>
        <w:t>other</w:t>
      </w:r>
      <w:r>
        <w:rPr>
          <w:spacing w:val="-6"/>
        </w:rPr>
        <w:t xml:space="preserve"> </w:t>
      </w:r>
      <w:r>
        <w:t>units</w:t>
      </w:r>
      <w:r>
        <w:rPr>
          <w:spacing w:val="-6"/>
        </w:rPr>
        <w:t xml:space="preserve"> </w:t>
      </w:r>
      <w:r>
        <w:t>at</w:t>
      </w:r>
      <w:r>
        <w:rPr>
          <w:spacing w:val="-5"/>
        </w:rPr>
        <w:t xml:space="preserve"> </w:t>
      </w:r>
      <w:r>
        <w:t>DPH.</w:t>
      </w:r>
      <w:r>
        <w:rPr>
          <w:spacing w:val="-8"/>
        </w:rPr>
        <w:t xml:space="preserve"> </w:t>
      </w:r>
      <w:r>
        <w:t>This</w:t>
      </w:r>
      <w:r>
        <w:rPr>
          <w:spacing w:val="-6"/>
        </w:rPr>
        <w:t xml:space="preserve"> </w:t>
      </w:r>
      <w:r>
        <w:t>effort</w:t>
      </w:r>
      <w:r>
        <w:rPr>
          <w:spacing w:val="-8"/>
        </w:rPr>
        <w:t xml:space="preserve"> </w:t>
      </w:r>
      <w:r>
        <w:t>included</w:t>
      </w:r>
      <w:r>
        <w:rPr>
          <w:spacing w:val="-8"/>
        </w:rPr>
        <w:t xml:space="preserve"> </w:t>
      </w:r>
      <w:r>
        <w:t>reviewing</w:t>
      </w:r>
      <w:r>
        <w:rPr>
          <w:spacing w:val="-6"/>
        </w:rPr>
        <w:t xml:space="preserve"> </w:t>
      </w:r>
      <w:r>
        <w:t>documents</w:t>
      </w:r>
      <w:r>
        <w:rPr>
          <w:spacing w:val="-7"/>
        </w:rPr>
        <w:t xml:space="preserve"> </w:t>
      </w:r>
      <w:r>
        <w:t>for</w:t>
      </w:r>
      <w:r>
        <w:rPr>
          <w:spacing w:val="-8"/>
        </w:rPr>
        <w:t xml:space="preserve"> </w:t>
      </w:r>
      <w:r>
        <w:t>inclusive</w:t>
      </w:r>
      <w:r>
        <w:rPr>
          <w:spacing w:val="-7"/>
        </w:rPr>
        <w:t xml:space="preserve"> </w:t>
      </w:r>
      <w:r>
        <w:t>language and LGBTQ-specific data, exploring strategies for collecting data related to sexual orientation and gender identity,</w:t>
      </w:r>
      <w:r>
        <w:rPr>
          <w:spacing w:val="-6"/>
        </w:rPr>
        <w:t xml:space="preserve"> </w:t>
      </w:r>
      <w:r>
        <w:t>and</w:t>
      </w:r>
      <w:r>
        <w:rPr>
          <w:spacing w:val="-5"/>
        </w:rPr>
        <w:t xml:space="preserve"> </w:t>
      </w:r>
      <w:r>
        <w:t>training</w:t>
      </w:r>
      <w:r>
        <w:rPr>
          <w:spacing w:val="-6"/>
        </w:rPr>
        <w:t xml:space="preserve"> </w:t>
      </w:r>
      <w:r>
        <w:t>staff</w:t>
      </w:r>
      <w:r>
        <w:rPr>
          <w:spacing w:val="-5"/>
        </w:rPr>
        <w:t xml:space="preserve"> </w:t>
      </w:r>
      <w:r>
        <w:t>at</w:t>
      </w:r>
      <w:r>
        <w:rPr>
          <w:spacing w:val="-7"/>
        </w:rPr>
        <w:t xml:space="preserve"> </w:t>
      </w:r>
      <w:r>
        <w:t>all</w:t>
      </w:r>
      <w:r>
        <w:rPr>
          <w:spacing w:val="-5"/>
        </w:rPr>
        <w:t xml:space="preserve"> </w:t>
      </w:r>
      <w:r>
        <w:t>levels</w:t>
      </w:r>
      <w:r>
        <w:rPr>
          <w:spacing w:val="-3"/>
        </w:rPr>
        <w:t xml:space="preserve"> </w:t>
      </w:r>
      <w:r>
        <w:t>to</w:t>
      </w:r>
      <w:r>
        <w:rPr>
          <w:spacing w:val="-6"/>
        </w:rPr>
        <w:t xml:space="preserve"> </w:t>
      </w:r>
      <w:r>
        <w:t>ensure</w:t>
      </w:r>
      <w:r>
        <w:rPr>
          <w:spacing w:val="-5"/>
        </w:rPr>
        <w:t xml:space="preserve"> </w:t>
      </w:r>
      <w:r>
        <w:t>a</w:t>
      </w:r>
      <w:r>
        <w:rPr>
          <w:spacing w:val="-5"/>
        </w:rPr>
        <w:t xml:space="preserve"> </w:t>
      </w:r>
      <w:r>
        <w:t>more</w:t>
      </w:r>
      <w:r>
        <w:rPr>
          <w:spacing w:val="-7"/>
        </w:rPr>
        <w:t xml:space="preserve"> </w:t>
      </w:r>
      <w:r>
        <w:t>welcoming</w:t>
      </w:r>
      <w:r>
        <w:rPr>
          <w:spacing w:val="-4"/>
        </w:rPr>
        <w:t xml:space="preserve"> </w:t>
      </w:r>
      <w:r>
        <w:t>environ</w:t>
      </w:r>
      <w:r>
        <w:t>ment</w:t>
      </w:r>
      <w:r>
        <w:rPr>
          <w:spacing w:val="-5"/>
        </w:rPr>
        <w:t xml:space="preserve"> </w:t>
      </w:r>
      <w:r>
        <w:t>for</w:t>
      </w:r>
      <w:r>
        <w:rPr>
          <w:spacing w:val="-7"/>
        </w:rPr>
        <w:t xml:space="preserve"> </w:t>
      </w:r>
      <w:r>
        <w:t>LGBTQ</w:t>
      </w:r>
      <w:r>
        <w:rPr>
          <w:spacing w:val="-5"/>
        </w:rPr>
        <w:t xml:space="preserve"> </w:t>
      </w:r>
      <w:r>
        <w:t>youth</w:t>
      </w:r>
      <w:r>
        <w:rPr>
          <w:spacing w:val="-5"/>
        </w:rPr>
        <w:t xml:space="preserve"> </w:t>
      </w:r>
      <w:r>
        <w:t>and</w:t>
      </w:r>
      <w:r>
        <w:rPr>
          <w:spacing w:val="-5"/>
        </w:rPr>
        <w:t xml:space="preserve"> </w:t>
      </w:r>
      <w:r>
        <w:t xml:space="preserve">young </w:t>
      </w:r>
      <w:r>
        <w:rPr>
          <w:spacing w:val="-2"/>
        </w:rPr>
        <w:t>adults.</w:t>
      </w:r>
    </w:p>
    <w:p w:rsidR="00C76E6D" w:rsidRDefault="00C76E6D">
      <w:pPr>
        <w:pStyle w:val="BodyText"/>
        <w:spacing w:before="7"/>
        <w:rPr>
          <w:sz w:val="19"/>
        </w:rPr>
      </w:pPr>
    </w:p>
    <w:p w:rsidR="00C76E6D" w:rsidRDefault="00913831">
      <w:pPr>
        <w:pStyle w:val="BodyText"/>
        <w:spacing w:before="1" w:line="276" w:lineRule="auto"/>
        <w:ind w:left="338" w:right="332" w:hanging="1"/>
        <w:jc w:val="both"/>
      </w:pPr>
      <w:r>
        <w:t>The</w:t>
      </w:r>
      <w:r>
        <w:rPr>
          <w:spacing w:val="-11"/>
        </w:rPr>
        <w:t xml:space="preserve"> </w:t>
      </w:r>
      <w:r>
        <w:t>Commission</w:t>
      </w:r>
      <w:r>
        <w:rPr>
          <w:spacing w:val="-11"/>
        </w:rPr>
        <w:t xml:space="preserve"> </w:t>
      </w:r>
      <w:r>
        <w:t>also</w:t>
      </w:r>
      <w:r>
        <w:rPr>
          <w:spacing w:val="-11"/>
        </w:rPr>
        <w:t xml:space="preserve"> </w:t>
      </w:r>
      <w:r>
        <w:t>commends</w:t>
      </w:r>
      <w:r>
        <w:rPr>
          <w:spacing w:val="-11"/>
        </w:rPr>
        <w:t xml:space="preserve"> </w:t>
      </w:r>
      <w:r>
        <w:t>DPH</w:t>
      </w:r>
      <w:r>
        <w:rPr>
          <w:spacing w:val="-11"/>
        </w:rPr>
        <w:t xml:space="preserve"> </w:t>
      </w:r>
      <w:r>
        <w:t>for</w:t>
      </w:r>
      <w:r>
        <w:rPr>
          <w:spacing w:val="-11"/>
        </w:rPr>
        <w:t xml:space="preserve"> </w:t>
      </w:r>
      <w:r>
        <w:t>its</w:t>
      </w:r>
      <w:r>
        <w:rPr>
          <w:spacing w:val="-11"/>
        </w:rPr>
        <w:t xml:space="preserve"> </w:t>
      </w:r>
      <w:r>
        <w:t>work</w:t>
      </w:r>
      <w:r>
        <w:rPr>
          <w:spacing w:val="-12"/>
        </w:rPr>
        <w:t xml:space="preserve"> </w:t>
      </w:r>
      <w:r>
        <w:t>on</w:t>
      </w:r>
      <w:r>
        <w:rPr>
          <w:spacing w:val="-13"/>
        </w:rPr>
        <w:t xml:space="preserve"> </w:t>
      </w:r>
      <w:r>
        <w:t>racial</w:t>
      </w:r>
      <w:r>
        <w:rPr>
          <w:spacing w:val="-11"/>
        </w:rPr>
        <w:t xml:space="preserve"> </w:t>
      </w:r>
      <w:r>
        <w:t>justice,</w:t>
      </w:r>
      <w:r>
        <w:rPr>
          <w:spacing w:val="-11"/>
        </w:rPr>
        <w:t xml:space="preserve"> </w:t>
      </w:r>
      <w:r>
        <w:t>including</w:t>
      </w:r>
      <w:r>
        <w:rPr>
          <w:spacing w:val="-10"/>
        </w:rPr>
        <w:t xml:space="preserve"> </w:t>
      </w:r>
      <w:r>
        <w:t>the</w:t>
      </w:r>
      <w:r>
        <w:rPr>
          <w:spacing w:val="-10"/>
        </w:rPr>
        <w:t xml:space="preserve"> </w:t>
      </w:r>
      <w:r>
        <w:t>Bureau</w:t>
      </w:r>
      <w:r>
        <w:rPr>
          <w:spacing w:val="-12"/>
        </w:rPr>
        <w:t xml:space="preserve"> </w:t>
      </w:r>
      <w:r>
        <w:t>of</w:t>
      </w:r>
      <w:r>
        <w:rPr>
          <w:spacing w:val="-11"/>
        </w:rPr>
        <w:t xml:space="preserve"> </w:t>
      </w:r>
      <w:r>
        <w:t>Community</w:t>
      </w:r>
      <w:r>
        <w:rPr>
          <w:spacing w:val="-11"/>
        </w:rPr>
        <w:t xml:space="preserve"> </w:t>
      </w:r>
      <w:r>
        <w:t>Health and Prevention’s Racial Equity Initiative. The Commission had previously recommended that DPH continue to support and expand this work, given the intersectional disparities faced by LGBTQ youth of color, and is pleased</w:t>
      </w:r>
      <w:r>
        <w:rPr>
          <w:spacing w:val="-8"/>
        </w:rPr>
        <w:t xml:space="preserve"> </w:t>
      </w:r>
      <w:r>
        <w:t>to</w:t>
      </w:r>
      <w:r>
        <w:rPr>
          <w:spacing w:val="-6"/>
        </w:rPr>
        <w:t xml:space="preserve"> </w:t>
      </w:r>
      <w:r>
        <w:t>hear</w:t>
      </w:r>
      <w:r>
        <w:rPr>
          <w:spacing w:val="-9"/>
        </w:rPr>
        <w:t xml:space="preserve"> </w:t>
      </w:r>
      <w:r>
        <w:t>that</w:t>
      </w:r>
      <w:r>
        <w:rPr>
          <w:spacing w:val="-8"/>
        </w:rPr>
        <w:t xml:space="preserve"> </w:t>
      </w:r>
      <w:r>
        <w:t>such</w:t>
      </w:r>
      <w:r>
        <w:rPr>
          <w:spacing w:val="-7"/>
        </w:rPr>
        <w:t xml:space="preserve"> </w:t>
      </w:r>
      <w:r>
        <w:t>work</w:t>
      </w:r>
      <w:r>
        <w:rPr>
          <w:spacing w:val="-8"/>
        </w:rPr>
        <w:t xml:space="preserve"> </w:t>
      </w:r>
      <w:r>
        <w:t>continu</w:t>
      </w:r>
      <w:r>
        <w:t>es.</w:t>
      </w:r>
      <w:r>
        <w:rPr>
          <w:spacing w:val="-8"/>
        </w:rPr>
        <w:t xml:space="preserve"> </w:t>
      </w:r>
      <w:r>
        <w:t>In</w:t>
      </w:r>
      <w:r>
        <w:rPr>
          <w:spacing w:val="-8"/>
        </w:rPr>
        <w:t xml:space="preserve"> </w:t>
      </w:r>
      <w:r>
        <w:t>its</w:t>
      </w:r>
      <w:r>
        <w:rPr>
          <w:spacing w:val="-6"/>
        </w:rPr>
        <w:t xml:space="preserve"> </w:t>
      </w:r>
      <w:r>
        <w:t>May</w:t>
      </w:r>
      <w:r>
        <w:rPr>
          <w:spacing w:val="-6"/>
        </w:rPr>
        <w:t xml:space="preserve"> </w:t>
      </w:r>
      <w:r>
        <w:t>2022</w:t>
      </w:r>
      <w:r>
        <w:rPr>
          <w:spacing w:val="-8"/>
        </w:rPr>
        <w:t xml:space="preserve"> </w:t>
      </w:r>
      <w:r>
        <w:t>meetings</w:t>
      </w:r>
      <w:r>
        <w:rPr>
          <w:spacing w:val="-7"/>
        </w:rPr>
        <w:t xml:space="preserve"> </w:t>
      </w:r>
      <w:r>
        <w:t>and</w:t>
      </w:r>
      <w:r>
        <w:rPr>
          <w:spacing w:val="-8"/>
        </w:rPr>
        <w:t xml:space="preserve"> </w:t>
      </w:r>
      <w:r>
        <w:t>reports,</w:t>
      </w:r>
      <w:r>
        <w:rPr>
          <w:spacing w:val="-8"/>
        </w:rPr>
        <w:t xml:space="preserve"> </w:t>
      </w:r>
      <w:r>
        <w:t>DPH</w:t>
      </w:r>
      <w:r>
        <w:rPr>
          <w:spacing w:val="-9"/>
        </w:rPr>
        <w:t xml:space="preserve"> </w:t>
      </w:r>
      <w:r>
        <w:t>notes</w:t>
      </w:r>
      <w:r>
        <w:rPr>
          <w:spacing w:val="-6"/>
        </w:rPr>
        <w:t xml:space="preserve"> </w:t>
      </w:r>
      <w:r>
        <w:t>that</w:t>
      </w:r>
      <w:r>
        <w:rPr>
          <w:spacing w:val="-8"/>
        </w:rPr>
        <w:t xml:space="preserve"> </w:t>
      </w:r>
      <w:r>
        <w:t>it</w:t>
      </w:r>
      <w:r>
        <w:rPr>
          <w:spacing w:val="-8"/>
        </w:rPr>
        <w:t xml:space="preserve"> </w:t>
      </w:r>
      <w:r>
        <w:t xml:space="preserve">previously secured The Racial Equity Institute, a North Carolina-based anti-racist training and capacity building organization to provide an initial two-day training focusing on leaders and staff </w:t>
      </w:r>
      <w:r>
        <w:t>together to proactively understand and address racism. Though each session is limited to thirty participants, The Department will continue to invest in sponsoring multiple sessions of this training until the demand is satisfied. Staff who have</w:t>
      </w:r>
      <w:r>
        <w:rPr>
          <w:spacing w:val="-3"/>
        </w:rPr>
        <w:t xml:space="preserve"> </w:t>
      </w:r>
      <w:r>
        <w:t>completed</w:t>
      </w:r>
      <w:r>
        <w:rPr>
          <w:spacing w:val="-2"/>
        </w:rPr>
        <w:t xml:space="preserve"> </w:t>
      </w:r>
      <w:r>
        <w:t>th</w:t>
      </w:r>
      <w:r>
        <w:t>e</w:t>
      </w:r>
      <w:r>
        <w:rPr>
          <w:spacing w:val="-1"/>
        </w:rPr>
        <w:t xml:space="preserve"> </w:t>
      </w:r>
      <w:r>
        <w:t>training</w:t>
      </w:r>
      <w:r>
        <w:rPr>
          <w:spacing w:val="-3"/>
        </w:rPr>
        <w:t xml:space="preserve"> </w:t>
      </w:r>
      <w:r>
        <w:t>are</w:t>
      </w:r>
      <w:r>
        <w:rPr>
          <w:spacing w:val="-2"/>
        </w:rPr>
        <w:t xml:space="preserve"> </w:t>
      </w:r>
      <w:r>
        <w:t>invited</w:t>
      </w:r>
      <w:r>
        <w:rPr>
          <w:spacing w:val="-1"/>
        </w:rPr>
        <w:t xml:space="preserve"> </w:t>
      </w:r>
      <w:r>
        <w:t>to</w:t>
      </w:r>
      <w:r>
        <w:rPr>
          <w:spacing w:val="-2"/>
        </w:rPr>
        <w:t xml:space="preserve"> </w:t>
      </w:r>
      <w:r>
        <w:t>participate</w:t>
      </w:r>
      <w:r>
        <w:rPr>
          <w:spacing w:val="-2"/>
        </w:rPr>
        <w:t xml:space="preserve"> </w:t>
      </w:r>
      <w:r>
        <w:t>in monthly</w:t>
      </w:r>
      <w:r>
        <w:rPr>
          <w:spacing w:val="-3"/>
        </w:rPr>
        <w:t xml:space="preserve"> </w:t>
      </w:r>
      <w:r>
        <w:t>Department-wide</w:t>
      </w:r>
      <w:r>
        <w:rPr>
          <w:spacing w:val="-2"/>
        </w:rPr>
        <w:t xml:space="preserve"> </w:t>
      </w:r>
      <w:r>
        <w:t>Racial</w:t>
      </w:r>
      <w:r>
        <w:rPr>
          <w:spacing w:val="-2"/>
        </w:rPr>
        <w:t xml:space="preserve"> </w:t>
      </w:r>
      <w:r>
        <w:t>Justice</w:t>
      </w:r>
      <w:r>
        <w:rPr>
          <w:spacing w:val="-2"/>
        </w:rPr>
        <w:t xml:space="preserve"> </w:t>
      </w:r>
      <w:r>
        <w:t>Lunch</w:t>
      </w:r>
      <w:r>
        <w:rPr>
          <w:spacing w:val="-2"/>
        </w:rPr>
        <w:t xml:space="preserve"> </w:t>
      </w:r>
      <w:r>
        <w:t>and Learn sessions that focus on projects and programs that address issues of racial justice.</w:t>
      </w:r>
      <w:r>
        <w:rPr>
          <w:spacing w:val="37"/>
        </w:rPr>
        <w:t xml:space="preserve"> </w:t>
      </w:r>
      <w:r>
        <w:t>Additionally, DPH notes that bureau-specific working groups regularly convene to address their respective racial equity and anti-racism priorities.</w:t>
      </w:r>
    </w:p>
    <w:p w:rsidR="00C76E6D" w:rsidRDefault="00C76E6D">
      <w:pPr>
        <w:pStyle w:val="BodyText"/>
        <w:spacing w:before="7"/>
        <w:rPr>
          <w:sz w:val="19"/>
        </w:rPr>
      </w:pPr>
    </w:p>
    <w:p w:rsidR="00C76E6D" w:rsidRDefault="00913831">
      <w:pPr>
        <w:pStyle w:val="BodyText"/>
        <w:spacing w:line="276" w:lineRule="auto"/>
        <w:ind w:left="338" w:right="336"/>
        <w:jc w:val="both"/>
      </w:pPr>
      <w:r>
        <w:t>Finally, the Office of Population Health created a new Community Engagement Unit organized explicitly by ra</w:t>
      </w:r>
      <w:r>
        <w:t>ce, ethnicity, sexual orientation, and by populations that experience consistent disparities in health (i.e., Indigenous Populations). This new unit will employ population-based strategists that will work to identify successes</w:t>
      </w:r>
      <w:r>
        <w:rPr>
          <w:spacing w:val="-13"/>
        </w:rPr>
        <w:t xml:space="preserve"> </w:t>
      </w:r>
      <w:r>
        <w:t>and</w:t>
      </w:r>
      <w:r>
        <w:rPr>
          <w:spacing w:val="-13"/>
        </w:rPr>
        <w:t xml:space="preserve"> </w:t>
      </w:r>
      <w:r>
        <w:t>recommended</w:t>
      </w:r>
      <w:r>
        <w:rPr>
          <w:spacing w:val="-13"/>
        </w:rPr>
        <w:t xml:space="preserve"> </w:t>
      </w:r>
      <w:r>
        <w:t>improvements</w:t>
      </w:r>
      <w:r>
        <w:rPr>
          <w:spacing w:val="-12"/>
        </w:rPr>
        <w:t xml:space="preserve"> </w:t>
      </w:r>
      <w:r>
        <w:t>in</w:t>
      </w:r>
      <w:r>
        <w:rPr>
          <w:spacing w:val="-13"/>
        </w:rPr>
        <w:t xml:space="preserve"> </w:t>
      </w:r>
      <w:r>
        <w:t>public</w:t>
      </w:r>
      <w:r>
        <w:rPr>
          <w:spacing w:val="-14"/>
        </w:rPr>
        <w:t xml:space="preserve"> </w:t>
      </w:r>
      <w:r>
        <w:t>health</w:t>
      </w:r>
      <w:r>
        <w:rPr>
          <w:spacing w:val="-13"/>
        </w:rPr>
        <w:t xml:space="preserve"> </w:t>
      </w:r>
      <w:r>
        <w:t>responses</w:t>
      </w:r>
      <w:r>
        <w:rPr>
          <w:spacing w:val="-13"/>
        </w:rPr>
        <w:t xml:space="preserve"> </w:t>
      </w:r>
      <w:r>
        <w:t>with</w:t>
      </w:r>
      <w:r>
        <w:rPr>
          <w:spacing w:val="-13"/>
        </w:rPr>
        <w:t xml:space="preserve"> </w:t>
      </w:r>
      <w:r>
        <w:t>a</w:t>
      </w:r>
      <w:r>
        <w:rPr>
          <w:spacing w:val="-13"/>
        </w:rPr>
        <w:t xml:space="preserve"> </w:t>
      </w:r>
      <w:r>
        <w:t>focus</w:t>
      </w:r>
      <w:r>
        <w:rPr>
          <w:spacing w:val="-13"/>
        </w:rPr>
        <w:t xml:space="preserve"> </w:t>
      </w:r>
      <w:r>
        <w:t>on</w:t>
      </w:r>
      <w:r>
        <w:rPr>
          <w:spacing w:val="-14"/>
        </w:rPr>
        <w:t xml:space="preserve"> </w:t>
      </w:r>
      <w:r>
        <w:t>LGBTQ+</w:t>
      </w:r>
      <w:r>
        <w:rPr>
          <w:spacing w:val="-13"/>
        </w:rPr>
        <w:t xml:space="preserve"> </w:t>
      </w:r>
      <w:r>
        <w:t>public</w:t>
      </w:r>
      <w:r>
        <w:rPr>
          <w:spacing w:val="-14"/>
        </w:rPr>
        <w:t xml:space="preserve"> </w:t>
      </w:r>
      <w:r>
        <w:t>health.</w:t>
      </w:r>
    </w:p>
    <w:p w:rsidR="00C76E6D" w:rsidRDefault="00C76E6D">
      <w:pPr>
        <w:pStyle w:val="BodyText"/>
        <w:spacing w:before="8"/>
        <w:rPr>
          <w:sz w:val="19"/>
        </w:rPr>
      </w:pPr>
    </w:p>
    <w:p w:rsidR="00C76E6D" w:rsidRDefault="00913831">
      <w:pPr>
        <w:pStyle w:val="BodyText"/>
        <w:spacing w:line="276" w:lineRule="auto"/>
        <w:ind w:left="339" w:right="331" w:hanging="2"/>
        <w:jc w:val="both"/>
      </w:pPr>
      <w:r>
        <w:t>The</w:t>
      </w:r>
      <w:r>
        <w:rPr>
          <w:spacing w:val="-4"/>
        </w:rPr>
        <w:t xml:space="preserve"> </w:t>
      </w:r>
      <w:r>
        <w:t>Commission</w:t>
      </w:r>
      <w:r>
        <w:rPr>
          <w:spacing w:val="-6"/>
        </w:rPr>
        <w:t xml:space="preserve"> </w:t>
      </w:r>
      <w:r>
        <w:t>appreciated</w:t>
      </w:r>
      <w:r>
        <w:rPr>
          <w:spacing w:val="-4"/>
        </w:rPr>
        <w:t xml:space="preserve"> </w:t>
      </w:r>
      <w:r>
        <w:t>meeting</w:t>
      </w:r>
      <w:r>
        <w:rPr>
          <w:spacing w:val="-4"/>
        </w:rPr>
        <w:t xml:space="preserve"> </w:t>
      </w:r>
      <w:r>
        <w:t>with</w:t>
      </w:r>
      <w:r>
        <w:rPr>
          <w:spacing w:val="-4"/>
        </w:rPr>
        <w:t xml:space="preserve"> </w:t>
      </w:r>
      <w:r>
        <w:t>DPH</w:t>
      </w:r>
      <w:r>
        <w:rPr>
          <w:spacing w:val="-4"/>
        </w:rPr>
        <w:t xml:space="preserve"> </w:t>
      </w:r>
      <w:r>
        <w:t>staff</w:t>
      </w:r>
      <w:r>
        <w:rPr>
          <w:spacing w:val="-3"/>
        </w:rPr>
        <w:t xml:space="preserve"> </w:t>
      </w:r>
      <w:r>
        <w:t>from</w:t>
      </w:r>
      <w:r>
        <w:rPr>
          <w:spacing w:val="-6"/>
        </w:rPr>
        <w:t xml:space="preserve"> </w:t>
      </w:r>
      <w:r>
        <w:t>several</w:t>
      </w:r>
      <w:r>
        <w:rPr>
          <w:spacing w:val="-4"/>
        </w:rPr>
        <w:t xml:space="preserve"> </w:t>
      </w:r>
      <w:r>
        <w:t>departments</w:t>
      </w:r>
      <w:r>
        <w:rPr>
          <w:spacing w:val="-2"/>
        </w:rPr>
        <w:t xml:space="preserve"> </w:t>
      </w:r>
      <w:r>
        <w:t>in</w:t>
      </w:r>
      <w:r>
        <w:rPr>
          <w:spacing w:val="-4"/>
        </w:rPr>
        <w:t xml:space="preserve"> </w:t>
      </w:r>
      <w:r>
        <w:t>March</w:t>
      </w:r>
      <w:r>
        <w:rPr>
          <w:spacing w:val="-4"/>
        </w:rPr>
        <w:t xml:space="preserve"> </w:t>
      </w:r>
      <w:r>
        <w:t>2020</w:t>
      </w:r>
      <w:r>
        <w:rPr>
          <w:spacing w:val="-4"/>
        </w:rPr>
        <w:t xml:space="preserve"> </w:t>
      </w:r>
      <w:r>
        <w:t>to</w:t>
      </w:r>
      <w:r>
        <w:rPr>
          <w:spacing w:val="-4"/>
        </w:rPr>
        <w:t xml:space="preserve"> </w:t>
      </w:r>
      <w:r>
        <w:t>review</w:t>
      </w:r>
      <w:r>
        <w:rPr>
          <w:spacing w:val="-4"/>
        </w:rPr>
        <w:t xml:space="preserve"> </w:t>
      </w:r>
      <w:r>
        <w:t>the annual</w:t>
      </w:r>
      <w:r>
        <w:rPr>
          <w:spacing w:val="-2"/>
        </w:rPr>
        <w:t xml:space="preserve"> </w:t>
      </w:r>
      <w:r>
        <w:t>recommendations.</w:t>
      </w:r>
      <w:r>
        <w:rPr>
          <w:spacing w:val="-2"/>
        </w:rPr>
        <w:t xml:space="preserve"> </w:t>
      </w:r>
      <w:r>
        <w:t>The LGBT</w:t>
      </w:r>
      <w:r>
        <w:rPr>
          <w:spacing w:val="-1"/>
        </w:rPr>
        <w:t xml:space="preserve"> </w:t>
      </w:r>
      <w:r>
        <w:t>Working</w:t>
      </w:r>
      <w:r>
        <w:rPr>
          <w:spacing w:val="-1"/>
        </w:rPr>
        <w:t xml:space="preserve"> </w:t>
      </w:r>
      <w:r>
        <w:t>Group</w:t>
      </w:r>
      <w:r>
        <w:rPr>
          <w:spacing w:val="-2"/>
        </w:rPr>
        <w:t xml:space="preserve"> </w:t>
      </w:r>
      <w:r>
        <w:t>of</w:t>
      </w:r>
      <w:r>
        <w:rPr>
          <w:spacing w:val="-2"/>
        </w:rPr>
        <w:t xml:space="preserve"> </w:t>
      </w:r>
      <w:r>
        <w:t>DPH prepared</w:t>
      </w:r>
      <w:r>
        <w:rPr>
          <w:spacing w:val="-2"/>
        </w:rPr>
        <w:t xml:space="preserve"> </w:t>
      </w:r>
      <w:r>
        <w:t>a detailed</w:t>
      </w:r>
      <w:r>
        <w:rPr>
          <w:spacing w:val="-1"/>
        </w:rPr>
        <w:t xml:space="preserve"> </w:t>
      </w:r>
      <w:r>
        <w:t>and thoughtful</w:t>
      </w:r>
      <w:r>
        <w:rPr>
          <w:spacing w:val="-2"/>
        </w:rPr>
        <w:t xml:space="preserve"> </w:t>
      </w:r>
      <w:r>
        <w:t>response</w:t>
      </w:r>
      <w:r>
        <w:rPr>
          <w:spacing w:val="-2"/>
        </w:rPr>
        <w:t xml:space="preserve"> </w:t>
      </w:r>
      <w:r>
        <w:t>to the</w:t>
      </w:r>
      <w:r>
        <w:rPr>
          <w:spacing w:val="-5"/>
        </w:rPr>
        <w:t xml:space="preserve"> </w:t>
      </w:r>
      <w:r>
        <w:t>Commission’s</w:t>
      </w:r>
      <w:r>
        <w:rPr>
          <w:spacing w:val="-6"/>
        </w:rPr>
        <w:t xml:space="preserve"> </w:t>
      </w:r>
      <w:r>
        <w:t>FY</w:t>
      </w:r>
      <w:r>
        <w:rPr>
          <w:spacing w:val="-5"/>
        </w:rPr>
        <w:t xml:space="preserve"> </w:t>
      </w:r>
      <w:r>
        <w:t>2019</w:t>
      </w:r>
      <w:r>
        <w:rPr>
          <w:spacing w:val="-2"/>
        </w:rPr>
        <w:t xml:space="preserve"> </w:t>
      </w:r>
      <w:r>
        <w:t>recommendations</w:t>
      </w:r>
      <w:r>
        <w:rPr>
          <w:spacing w:val="-5"/>
        </w:rPr>
        <w:t xml:space="preserve"> </w:t>
      </w:r>
      <w:r>
        <w:t>that</w:t>
      </w:r>
      <w:r>
        <w:rPr>
          <w:spacing w:val="-4"/>
        </w:rPr>
        <w:t xml:space="preserve"> </w:t>
      </w:r>
      <w:r>
        <w:t>helped</w:t>
      </w:r>
      <w:r>
        <w:rPr>
          <w:spacing w:val="-5"/>
        </w:rPr>
        <w:t xml:space="preserve"> </w:t>
      </w:r>
      <w:r>
        <w:t>shape</w:t>
      </w:r>
      <w:r>
        <w:rPr>
          <w:spacing w:val="-4"/>
        </w:rPr>
        <w:t xml:space="preserve"> </w:t>
      </w:r>
      <w:r>
        <w:t>the</w:t>
      </w:r>
      <w:r>
        <w:rPr>
          <w:spacing w:val="-6"/>
        </w:rPr>
        <w:t xml:space="preserve"> </w:t>
      </w:r>
      <w:r>
        <w:t>recommendations</w:t>
      </w:r>
      <w:r>
        <w:rPr>
          <w:spacing w:val="-5"/>
        </w:rPr>
        <w:t xml:space="preserve"> </w:t>
      </w:r>
      <w:r>
        <w:t>presented</w:t>
      </w:r>
      <w:r>
        <w:rPr>
          <w:spacing w:val="-4"/>
        </w:rPr>
        <w:t xml:space="preserve"> </w:t>
      </w:r>
      <w:r>
        <w:t>below</w:t>
      </w:r>
      <w:r>
        <w:rPr>
          <w:spacing w:val="-6"/>
        </w:rPr>
        <w:t xml:space="preserve"> </w:t>
      </w:r>
      <w:r>
        <w:t>and has remained in contact and collaboration with the Commission throughout the year. The LGBT Working Group has made significant pro</w:t>
      </w:r>
      <w:r>
        <w:t>gress toward many LGBTQ-related goals and the Commission is thankful for having been invited to participate in it. Finally, the Commission is very appreciative to DPH for its ongoing support</w:t>
      </w:r>
      <w:r>
        <w:rPr>
          <w:spacing w:val="-9"/>
        </w:rPr>
        <w:t xml:space="preserve"> </w:t>
      </w:r>
      <w:r>
        <w:t>of</w:t>
      </w:r>
      <w:r>
        <w:rPr>
          <w:spacing w:val="-8"/>
        </w:rPr>
        <w:t xml:space="preserve"> </w:t>
      </w:r>
      <w:r>
        <w:t>our</w:t>
      </w:r>
      <w:r>
        <w:rPr>
          <w:spacing w:val="-9"/>
        </w:rPr>
        <w:t xml:space="preserve"> </w:t>
      </w:r>
      <w:r>
        <w:t>staff</w:t>
      </w:r>
      <w:r>
        <w:rPr>
          <w:spacing w:val="-8"/>
        </w:rPr>
        <w:t xml:space="preserve"> </w:t>
      </w:r>
      <w:r>
        <w:t>and</w:t>
      </w:r>
      <w:r>
        <w:rPr>
          <w:spacing w:val="-9"/>
        </w:rPr>
        <w:t xml:space="preserve"> </w:t>
      </w:r>
      <w:r>
        <w:t>programming,</w:t>
      </w:r>
      <w:r>
        <w:rPr>
          <w:spacing w:val="-6"/>
        </w:rPr>
        <w:t xml:space="preserve"> </w:t>
      </w:r>
      <w:r>
        <w:t>including</w:t>
      </w:r>
      <w:r>
        <w:rPr>
          <w:spacing w:val="-7"/>
        </w:rPr>
        <w:t xml:space="preserve"> </w:t>
      </w:r>
      <w:r>
        <w:t>the</w:t>
      </w:r>
      <w:r>
        <w:rPr>
          <w:spacing w:val="-6"/>
        </w:rPr>
        <w:t xml:space="preserve"> </w:t>
      </w:r>
      <w:r>
        <w:t>provision</w:t>
      </w:r>
      <w:r>
        <w:rPr>
          <w:spacing w:val="-9"/>
        </w:rPr>
        <w:t xml:space="preserve"> </w:t>
      </w:r>
      <w:r>
        <w:t>of</w:t>
      </w:r>
      <w:r>
        <w:rPr>
          <w:spacing w:val="-10"/>
        </w:rPr>
        <w:t xml:space="preserve"> </w:t>
      </w:r>
      <w:r>
        <w:t>funding</w:t>
      </w:r>
      <w:r>
        <w:rPr>
          <w:spacing w:val="-9"/>
        </w:rPr>
        <w:t xml:space="preserve"> </w:t>
      </w:r>
      <w:r>
        <w:t>as</w:t>
      </w:r>
      <w:r>
        <w:rPr>
          <w:spacing w:val="-7"/>
        </w:rPr>
        <w:t xml:space="preserve"> </w:t>
      </w:r>
      <w:r>
        <w:t>well</w:t>
      </w:r>
      <w:r>
        <w:rPr>
          <w:spacing w:val="-10"/>
        </w:rPr>
        <w:t xml:space="preserve"> </w:t>
      </w:r>
      <w:r>
        <w:t>as</w:t>
      </w:r>
      <w:r>
        <w:rPr>
          <w:spacing w:val="-7"/>
        </w:rPr>
        <w:t xml:space="preserve"> </w:t>
      </w:r>
      <w:r>
        <w:t>meeting</w:t>
      </w:r>
      <w:r>
        <w:rPr>
          <w:spacing w:val="-7"/>
        </w:rPr>
        <w:t xml:space="preserve"> </w:t>
      </w:r>
      <w:r>
        <w:t>and</w:t>
      </w:r>
      <w:r>
        <w:rPr>
          <w:spacing w:val="-9"/>
        </w:rPr>
        <w:t xml:space="preserve"> </w:t>
      </w:r>
      <w:r>
        <w:t>office</w:t>
      </w:r>
      <w:r>
        <w:rPr>
          <w:spacing w:val="-9"/>
        </w:rPr>
        <w:t xml:space="preserve"> </w:t>
      </w:r>
      <w:r>
        <w:t>space.</w:t>
      </w:r>
    </w:p>
    <w:p w:rsidR="00C76E6D" w:rsidRDefault="00C76E6D">
      <w:pPr>
        <w:pStyle w:val="BodyText"/>
      </w:pPr>
    </w:p>
    <w:p w:rsidR="00C76E6D" w:rsidRDefault="00C76E6D">
      <w:pPr>
        <w:pStyle w:val="BodyText"/>
        <w:spacing w:before="8"/>
        <w:rPr>
          <w:sz w:val="21"/>
        </w:rPr>
      </w:pPr>
    </w:p>
    <w:p w:rsidR="00C76E6D" w:rsidRDefault="00913831">
      <w:pPr>
        <w:pStyle w:val="Heading5"/>
        <w:jc w:val="both"/>
      </w:pPr>
      <w:r>
        <w:t>Expanded</w:t>
      </w:r>
      <w:r>
        <w:rPr>
          <w:spacing w:val="-10"/>
        </w:rPr>
        <w:t xml:space="preserve"> </w:t>
      </w:r>
      <w:r>
        <w:rPr>
          <w:spacing w:val="-2"/>
        </w:rPr>
        <w:t>Recommendations</w:t>
      </w:r>
    </w:p>
    <w:p w:rsidR="00C76E6D" w:rsidRDefault="00913831">
      <w:pPr>
        <w:pStyle w:val="BodyText"/>
        <w:spacing w:before="11"/>
        <w:rPr>
          <w:b/>
          <w:sz w:val="6"/>
        </w:rPr>
      </w:pPr>
      <w:r>
        <w:pict>
          <v:shape id="docshape402" o:spid="_x0000_s1080" style="position:absolute;margin-left:65pt;margin-top:5.45pt;width:476.95pt;height:.1pt;z-index:-15645184;mso-wrap-distance-left:0;mso-wrap-distance-right:0;mso-position-horizontal-relative:page" coordorigin="1300,109" coordsize="9539,0" path="m1300,109r9539,e" filled="f" strokeweight="1.54pt">
            <v:path arrowok="t"/>
            <w10:wrap type="topAndBottom" anchorx="page"/>
          </v:shape>
        </w:pict>
      </w:r>
    </w:p>
    <w:p w:rsidR="00C76E6D" w:rsidRDefault="00C76E6D">
      <w:pPr>
        <w:pStyle w:val="BodyText"/>
        <w:spacing w:before="10"/>
        <w:rPr>
          <w:b/>
          <w:sz w:val="19"/>
        </w:rPr>
      </w:pPr>
    </w:p>
    <w:p w:rsidR="00C76E6D" w:rsidRDefault="00913831">
      <w:pPr>
        <w:pStyle w:val="Heading6"/>
        <w:numPr>
          <w:ilvl w:val="0"/>
          <w:numId w:val="10"/>
        </w:numPr>
        <w:tabs>
          <w:tab w:val="left" w:pos="573"/>
        </w:tabs>
        <w:spacing w:line="268" w:lineRule="auto"/>
        <w:ind w:right="376" w:firstLine="0"/>
        <w:rPr>
          <w:sz w:val="24"/>
        </w:rPr>
      </w:pPr>
      <w:bookmarkStart w:id="826" w:name="1._Collaborate_with_the_Commission_to_ex"/>
      <w:bookmarkEnd w:id="826"/>
      <w:r>
        <w:rPr>
          <w:spacing w:val="-2"/>
        </w:rPr>
        <w:t>Collaborate</w:t>
      </w:r>
      <w:r>
        <w:rPr>
          <w:spacing w:val="-4"/>
        </w:rPr>
        <w:t xml:space="preserve"> </w:t>
      </w:r>
      <w:r>
        <w:rPr>
          <w:spacing w:val="-2"/>
        </w:rPr>
        <w:t>with</w:t>
      </w:r>
      <w:r>
        <w:rPr>
          <w:spacing w:val="-3"/>
        </w:rPr>
        <w:t xml:space="preserve"> </w:t>
      </w:r>
      <w:r>
        <w:rPr>
          <w:spacing w:val="-2"/>
        </w:rPr>
        <w:t>the</w:t>
      </w:r>
      <w:r>
        <w:rPr>
          <w:spacing w:val="-4"/>
        </w:rPr>
        <w:t xml:space="preserve"> </w:t>
      </w:r>
      <w:r>
        <w:rPr>
          <w:spacing w:val="-2"/>
        </w:rPr>
        <w:t>Commission</w:t>
      </w:r>
      <w:r>
        <w:rPr>
          <w:spacing w:val="-3"/>
        </w:rPr>
        <w:t xml:space="preserve"> </w:t>
      </w:r>
      <w:r>
        <w:rPr>
          <w:spacing w:val="-2"/>
        </w:rPr>
        <w:t>to</w:t>
      </w:r>
      <w:r>
        <w:rPr>
          <w:spacing w:val="-4"/>
        </w:rPr>
        <w:t xml:space="preserve"> </w:t>
      </w:r>
      <w:r>
        <w:rPr>
          <w:spacing w:val="-2"/>
        </w:rPr>
        <w:t>explore</w:t>
      </w:r>
      <w:r>
        <w:rPr>
          <w:spacing w:val="-3"/>
        </w:rPr>
        <w:t xml:space="preserve"> </w:t>
      </w:r>
      <w:r>
        <w:rPr>
          <w:spacing w:val="-2"/>
        </w:rPr>
        <w:t>how</w:t>
      </w:r>
      <w:r>
        <w:rPr>
          <w:spacing w:val="-3"/>
        </w:rPr>
        <w:t xml:space="preserve"> </w:t>
      </w:r>
      <w:r>
        <w:rPr>
          <w:spacing w:val="-2"/>
        </w:rPr>
        <w:t>to</w:t>
      </w:r>
      <w:r>
        <w:rPr>
          <w:spacing w:val="-3"/>
        </w:rPr>
        <w:t xml:space="preserve"> </w:t>
      </w:r>
      <w:r>
        <w:rPr>
          <w:spacing w:val="-2"/>
        </w:rPr>
        <w:t>continue</w:t>
      </w:r>
      <w:r>
        <w:rPr>
          <w:spacing w:val="-3"/>
        </w:rPr>
        <w:t xml:space="preserve"> </w:t>
      </w:r>
      <w:r>
        <w:rPr>
          <w:spacing w:val="-2"/>
        </w:rPr>
        <w:t>improving</w:t>
      </w:r>
      <w:r>
        <w:rPr>
          <w:spacing w:val="-3"/>
        </w:rPr>
        <w:t xml:space="preserve"> </w:t>
      </w:r>
      <w:r>
        <w:rPr>
          <w:spacing w:val="-2"/>
        </w:rPr>
        <w:t>the</w:t>
      </w:r>
      <w:r>
        <w:rPr>
          <w:spacing w:val="-3"/>
        </w:rPr>
        <w:t xml:space="preserve"> </w:t>
      </w:r>
      <w:r>
        <w:rPr>
          <w:spacing w:val="-2"/>
        </w:rPr>
        <w:t>marketing</w:t>
      </w:r>
      <w:r>
        <w:rPr>
          <w:spacing w:val="-3"/>
        </w:rPr>
        <w:t xml:space="preserve"> </w:t>
      </w:r>
      <w:r>
        <w:rPr>
          <w:spacing w:val="-2"/>
        </w:rPr>
        <w:t>of</w:t>
      </w:r>
      <w:r>
        <w:rPr>
          <w:spacing w:val="-3"/>
        </w:rPr>
        <w:t xml:space="preserve"> </w:t>
      </w:r>
      <w:r>
        <w:rPr>
          <w:spacing w:val="-2"/>
        </w:rPr>
        <w:t>health</w:t>
      </w:r>
      <w:r>
        <w:rPr>
          <w:spacing w:val="-4"/>
        </w:rPr>
        <w:t xml:space="preserve"> </w:t>
      </w:r>
      <w:r>
        <w:rPr>
          <w:spacing w:val="-2"/>
        </w:rPr>
        <w:t xml:space="preserve">services </w:t>
      </w:r>
      <w:r>
        <w:t>to LGBTQ youth, including using social media and dating apps most used by young people.</w:t>
      </w:r>
    </w:p>
    <w:p w:rsidR="00C76E6D" w:rsidRDefault="00C76E6D">
      <w:pPr>
        <w:pStyle w:val="BodyText"/>
        <w:spacing w:before="1"/>
        <w:rPr>
          <w:b/>
          <w:sz w:val="26"/>
        </w:rPr>
      </w:pPr>
    </w:p>
    <w:p w:rsidR="00C76E6D" w:rsidRDefault="00913831">
      <w:pPr>
        <w:pStyle w:val="BodyText"/>
        <w:ind w:left="627"/>
      </w:pPr>
      <w:r>
        <w:t>The</w:t>
      </w:r>
      <w:r>
        <w:rPr>
          <w:spacing w:val="19"/>
        </w:rPr>
        <w:t xml:space="preserve"> </w:t>
      </w:r>
      <w:r>
        <w:t>Commission</w:t>
      </w:r>
      <w:r>
        <w:rPr>
          <w:spacing w:val="18"/>
        </w:rPr>
        <w:t xml:space="preserve"> </w:t>
      </w:r>
      <w:r>
        <w:t>has</w:t>
      </w:r>
      <w:r>
        <w:rPr>
          <w:spacing w:val="20"/>
        </w:rPr>
        <w:t xml:space="preserve"> </w:t>
      </w:r>
      <w:r>
        <w:t>worked</w:t>
      </w:r>
      <w:r>
        <w:rPr>
          <w:spacing w:val="19"/>
        </w:rPr>
        <w:t xml:space="preserve"> </w:t>
      </w:r>
      <w:r>
        <w:t>in</w:t>
      </w:r>
      <w:r>
        <w:rPr>
          <w:spacing w:val="20"/>
        </w:rPr>
        <w:t xml:space="preserve"> </w:t>
      </w:r>
      <w:r>
        <w:t>partnership</w:t>
      </w:r>
      <w:r>
        <w:rPr>
          <w:spacing w:val="19"/>
        </w:rPr>
        <w:t xml:space="preserve"> </w:t>
      </w:r>
      <w:r>
        <w:t>with</w:t>
      </w:r>
      <w:r>
        <w:rPr>
          <w:spacing w:val="19"/>
        </w:rPr>
        <w:t xml:space="preserve"> </w:t>
      </w:r>
      <w:r>
        <w:t>DPH’s</w:t>
      </w:r>
      <w:r>
        <w:rPr>
          <w:spacing w:val="20"/>
        </w:rPr>
        <w:t xml:space="preserve"> </w:t>
      </w:r>
      <w:r>
        <w:t>Bureau</w:t>
      </w:r>
      <w:r>
        <w:rPr>
          <w:spacing w:val="20"/>
        </w:rPr>
        <w:t xml:space="preserve"> </w:t>
      </w:r>
      <w:r>
        <w:t>of</w:t>
      </w:r>
      <w:r>
        <w:rPr>
          <w:spacing w:val="19"/>
        </w:rPr>
        <w:t xml:space="preserve"> </w:t>
      </w:r>
      <w:r>
        <w:t>Infectious</w:t>
      </w:r>
      <w:r>
        <w:rPr>
          <w:spacing w:val="20"/>
        </w:rPr>
        <w:t xml:space="preserve"> </w:t>
      </w:r>
      <w:r>
        <w:t>Disease</w:t>
      </w:r>
      <w:r>
        <w:rPr>
          <w:spacing w:val="19"/>
        </w:rPr>
        <w:t xml:space="preserve"> </w:t>
      </w:r>
      <w:r>
        <w:t>and</w:t>
      </w:r>
      <w:r>
        <w:rPr>
          <w:spacing w:val="21"/>
        </w:rPr>
        <w:t xml:space="preserve"> </w:t>
      </w:r>
      <w:r>
        <w:rPr>
          <w:spacing w:val="-2"/>
        </w:rPr>
        <w:t>Laboratory</w:t>
      </w:r>
    </w:p>
    <w:p w:rsidR="00C76E6D" w:rsidRDefault="00C76E6D">
      <w:pPr>
        <w:sectPr w:rsidR="00C76E6D">
          <w:pgSz w:w="12240" w:h="15840"/>
          <w:pgMar w:top="1020" w:right="960" w:bottom="720" w:left="960" w:header="818" w:footer="531" w:gutter="0"/>
          <w:cols w:space="720"/>
        </w:sectPr>
      </w:pPr>
    </w:p>
    <w:p w:rsidR="00C76E6D" w:rsidRDefault="00C76E6D">
      <w:pPr>
        <w:pStyle w:val="BodyText"/>
        <w:spacing w:before="2"/>
        <w:rPr>
          <w:sz w:val="20"/>
        </w:rPr>
      </w:pPr>
    </w:p>
    <w:p w:rsidR="00C76E6D" w:rsidRDefault="00913831">
      <w:pPr>
        <w:pStyle w:val="BodyText"/>
        <w:spacing w:before="56" w:line="276" w:lineRule="auto"/>
        <w:ind w:left="627" w:right="332"/>
        <w:jc w:val="both"/>
      </w:pPr>
      <w:r>
        <w:t>Sciences (BIDLS), Office of HIV/AIDS to improve the marketing of key services and prevention messages to the LGBTQ youth. In 2021, DPH complete</w:t>
      </w:r>
      <w:r>
        <w:t>d guidance on using social media for promoting health and disease</w:t>
      </w:r>
      <w:r>
        <w:rPr>
          <w:spacing w:val="-10"/>
        </w:rPr>
        <w:t xml:space="preserve"> </w:t>
      </w:r>
      <w:r>
        <w:t>prevention</w:t>
      </w:r>
      <w:r>
        <w:rPr>
          <w:spacing w:val="-9"/>
        </w:rPr>
        <w:t xml:space="preserve"> </w:t>
      </w:r>
      <w:r>
        <w:t>and</w:t>
      </w:r>
      <w:r>
        <w:rPr>
          <w:spacing w:val="-9"/>
        </w:rPr>
        <w:t xml:space="preserve"> </w:t>
      </w:r>
      <w:r>
        <w:t>provided</w:t>
      </w:r>
      <w:r>
        <w:rPr>
          <w:spacing w:val="-9"/>
        </w:rPr>
        <w:t xml:space="preserve"> </w:t>
      </w:r>
      <w:r>
        <w:t>their</w:t>
      </w:r>
      <w:r>
        <w:rPr>
          <w:spacing w:val="-9"/>
        </w:rPr>
        <w:t xml:space="preserve"> </w:t>
      </w:r>
      <w:r>
        <w:t>funded</w:t>
      </w:r>
      <w:r>
        <w:rPr>
          <w:spacing w:val="-9"/>
        </w:rPr>
        <w:t xml:space="preserve"> </w:t>
      </w:r>
      <w:r>
        <w:t>organizations</w:t>
      </w:r>
      <w:r>
        <w:rPr>
          <w:spacing w:val="-10"/>
        </w:rPr>
        <w:t xml:space="preserve"> </w:t>
      </w:r>
      <w:r>
        <w:t>with</w:t>
      </w:r>
      <w:r>
        <w:rPr>
          <w:spacing w:val="-9"/>
        </w:rPr>
        <w:t xml:space="preserve"> </w:t>
      </w:r>
      <w:r>
        <w:t>this</w:t>
      </w:r>
      <w:r>
        <w:rPr>
          <w:spacing w:val="-10"/>
        </w:rPr>
        <w:t xml:space="preserve"> </w:t>
      </w:r>
      <w:r>
        <w:t>guidance.</w:t>
      </w:r>
      <w:r>
        <w:rPr>
          <w:spacing w:val="-11"/>
        </w:rPr>
        <w:t xml:space="preserve"> </w:t>
      </w:r>
      <w:r>
        <w:t>BIDLS,</w:t>
      </w:r>
      <w:r>
        <w:rPr>
          <w:spacing w:val="-10"/>
        </w:rPr>
        <w:t xml:space="preserve"> </w:t>
      </w:r>
      <w:r>
        <w:t>in</w:t>
      </w:r>
      <w:r>
        <w:rPr>
          <w:spacing w:val="-8"/>
        </w:rPr>
        <w:t xml:space="preserve"> </w:t>
      </w:r>
      <w:r>
        <w:t>partnership</w:t>
      </w:r>
      <w:r>
        <w:rPr>
          <w:spacing w:val="-10"/>
        </w:rPr>
        <w:t xml:space="preserve"> </w:t>
      </w:r>
      <w:r>
        <w:t>with MORE Advertising, convened a Material Advisory Group of diverse community members to provide guidance on health promotion messaging and images for the “Care That Fits You” campaign</w:t>
      </w:r>
      <w:hyperlink w:anchor="_bookmark588" w:history="1">
        <w:r>
          <w:t>.</w:t>
        </w:r>
        <w:r>
          <w:rPr>
            <w:vertAlign w:val="superscript"/>
          </w:rPr>
          <w:t>3</w:t>
        </w:r>
      </w:hyperlink>
      <w:r>
        <w:rPr>
          <w:spacing w:val="34"/>
        </w:rPr>
        <w:t xml:space="preserve"> </w:t>
      </w:r>
      <w:r>
        <w:t>Revisions to</w:t>
      </w:r>
      <w:r>
        <w:rPr>
          <w:spacing w:val="-13"/>
        </w:rPr>
        <w:t xml:space="preserve"> </w:t>
      </w:r>
      <w:r>
        <w:t>the</w:t>
      </w:r>
      <w:r>
        <w:rPr>
          <w:spacing w:val="-12"/>
        </w:rPr>
        <w:t xml:space="preserve"> </w:t>
      </w:r>
      <w:r>
        <w:t>campaign</w:t>
      </w:r>
      <w:r>
        <w:rPr>
          <w:spacing w:val="-13"/>
        </w:rPr>
        <w:t xml:space="preserve"> </w:t>
      </w:r>
      <w:r>
        <w:t>include</w:t>
      </w:r>
      <w:r>
        <w:rPr>
          <w:spacing w:val="-12"/>
        </w:rPr>
        <w:t xml:space="preserve"> </w:t>
      </w:r>
      <w:r>
        <w:t>ne</w:t>
      </w:r>
      <w:r>
        <w:t>w</w:t>
      </w:r>
      <w:r>
        <w:rPr>
          <w:spacing w:val="-13"/>
        </w:rPr>
        <w:t xml:space="preserve"> </w:t>
      </w:r>
      <w:r>
        <w:t>and</w:t>
      </w:r>
      <w:r>
        <w:rPr>
          <w:spacing w:val="-12"/>
        </w:rPr>
        <w:t xml:space="preserve"> </w:t>
      </w:r>
      <w:r>
        <w:t>refreshed</w:t>
      </w:r>
      <w:r>
        <w:rPr>
          <w:spacing w:val="-13"/>
        </w:rPr>
        <w:t xml:space="preserve"> </w:t>
      </w:r>
      <w:r>
        <w:t>imagers</w:t>
      </w:r>
      <w:r>
        <w:rPr>
          <w:spacing w:val="-12"/>
        </w:rPr>
        <w:t xml:space="preserve"> </w:t>
      </w:r>
      <w:r>
        <w:t>and</w:t>
      </w:r>
      <w:r>
        <w:rPr>
          <w:spacing w:val="-12"/>
        </w:rPr>
        <w:t xml:space="preserve"> </w:t>
      </w:r>
      <w:r>
        <w:t>content</w:t>
      </w:r>
      <w:r>
        <w:rPr>
          <w:spacing w:val="-13"/>
        </w:rPr>
        <w:t xml:space="preserve"> </w:t>
      </w:r>
      <w:r>
        <w:t>for</w:t>
      </w:r>
      <w:r>
        <w:rPr>
          <w:spacing w:val="-12"/>
        </w:rPr>
        <w:t xml:space="preserve"> </w:t>
      </w:r>
      <w:r>
        <w:t>the</w:t>
      </w:r>
      <w:r>
        <w:rPr>
          <w:spacing w:val="-13"/>
        </w:rPr>
        <w:t xml:space="preserve"> </w:t>
      </w:r>
      <w:r>
        <w:t>purposes</w:t>
      </w:r>
      <w:r>
        <w:rPr>
          <w:spacing w:val="-12"/>
        </w:rPr>
        <w:t xml:space="preserve"> </w:t>
      </w:r>
      <w:r>
        <w:t>of</w:t>
      </w:r>
      <w:r>
        <w:rPr>
          <w:spacing w:val="-13"/>
        </w:rPr>
        <w:t xml:space="preserve"> </w:t>
      </w:r>
      <w:r>
        <w:t>enhancing</w:t>
      </w:r>
      <w:r>
        <w:rPr>
          <w:spacing w:val="-12"/>
        </w:rPr>
        <w:t xml:space="preserve"> </w:t>
      </w:r>
      <w:r>
        <w:t>healthcare access</w:t>
      </w:r>
      <w:r>
        <w:rPr>
          <w:spacing w:val="-11"/>
        </w:rPr>
        <w:t xml:space="preserve"> </w:t>
      </w:r>
      <w:r>
        <w:t>and</w:t>
      </w:r>
      <w:r>
        <w:rPr>
          <w:spacing w:val="-11"/>
        </w:rPr>
        <w:t xml:space="preserve"> </w:t>
      </w:r>
      <w:r>
        <w:t>sexual</w:t>
      </w:r>
      <w:r>
        <w:rPr>
          <w:spacing w:val="-11"/>
        </w:rPr>
        <w:t xml:space="preserve"> </w:t>
      </w:r>
      <w:r>
        <w:t>health</w:t>
      </w:r>
      <w:r>
        <w:rPr>
          <w:spacing w:val="-11"/>
        </w:rPr>
        <w:t xml:space="preserve"> </w:t>
      </w:r>
      <w:r>
        <w:t>services</w:t>
      </w:r>
      <w:r>
        <w:rPr>
          <w:spacing w:val="-11"/>
        </w:rPr>
        <w:t xml:space="preserve"> </w:t>
      </w:r>
      <w:r>
        <w:t>for</w:t>
      </w:r>
      <w:r>
        <w:rPr>
          <w:spacing w:val="-11"/>
        </w:rPr>
        <w:t xml:space="preserve"> </w:t>
      </w:r>
      <w:r>
        <w:t>gay</w:t>
      </w:r>
      <w:r>
        <w:rPr>
          <w:spacing w:val="-10"/>
        </w:rPr>
        <w:t xml:space="preserve"> </w:t>
      </w:r>
      <w:r>
        <w:t>and</w:t>
      </w:r>
      <w:r>
        <w:rPr>
          <w:spacing w:val="-11"/>
        </w:rPr>
        <w:t xml:space="preserve"> </w:t>
      </w:r>
      <w:r>
        <w:t>queer-identified</w:t>
      </w:r>
      <w:r>
        <w:rPr>
          <w:spacing w:val="-11"/>
        </w:rPr>
        <w:t xml:space="preserve"> </w:t>
      </w:r>
      <w:r>
        <w:t>men,</w:t>
      </w:r>
      <w:r>
        <w:rPr>
          <w:spacing w:val="-10"/>
        </w:rPr>
        <w:t xml:space="preserve"> </w:t>
      </w:r>
      <w:r>
        <w:t>including</w:t>
      </w:r>
      <w:r>
        <w:rPr>
          <w:spacing w:val="-11"/>
        </w:rPr>
        <w:t xml:space="preserve"> </w:t>
      </w:r>
      <w:r>
        <w:t>young</w:t>
      </w:r>
      <w:r>
        <w:rPr>
          <w:spacing w:val="-12"/>
        </w:rPr>
        <w:t xml:space="preserve"> </w:t>
      </w:r>
      <w:r>
        <w:t>adults.</w:t>
      </w:r>
      <w:r>
        <w:rPr>
          <w:spacing w:val="-10"/>
        </w:rPr>
        <w:t xml:space="preserve"> </w:t>
      </w:r>
      <w:r>
        <w:t>These</w:t>
      </w:r>
      <w:r>
        <w:rPr>
          <w:spacing w:val="-11"/>
        </w:rPr>
        <w:t xml:space="preserve"> </w:t>
      </w:r>
      <w:r>
        <w:t>services include sexual health screenings, testing for infectious diseases, linkage to care, and PEP/PrEP. DPH is supporting</w:t>
      </w:r>
      <w:r>
        <w:rPr>
          <w:spacing w:val="-1"/>
        </w:rPr>
        <w:t xml:space="preserve"> </w:t>
      </w:r>
      <w:r>
        <w:t>innovative</w:t>
      </w:r>
      <w:r>
        <w:rPr>
          <w:spacing w:val="-2"/>
        </w:rPr>
        <w:t xml:space="preserve"> </w:t>
      </w:r>
      <w:r>
        <w:t>ways</w:t>
      </w:r>
      <w:r>
        <w:rPr>
          <w:spacing w:val="-1"/>
        </w:rPr>
        <w:t xml:space="preserve"> </w:t>
      </w:r>
      <w:r>
        <w:t>to engage</w:t>
      </w:r>
      <w:r>
        <w:rPr>
          <w:spacing w:val="-1"/>
        </w:rPr>
        <w:t xml:space="preserve"> </w:t>
      </w:r>
      <w:r>
        <w:t>LGBTQ</w:t>
      </w:r>
      <w:r>
        <w:rPr>
          <w:spacing w:val="-1"/>
        </w:rPr>
        <w:t xml:space="preserve"> </w:t>
      </w:r>
      <w:r>
        <w:t>youth</w:t>
      </w:r>
      <w:r>
        <w:rPr>
          <w:spacing w:val="-1"/>
        </w:rPr>
        <w:t xml:space="preserve"> </w:t>
      </w:r>
      <w:r>
        <w:t>in</w:t>
      </w:r>
      <w:r>
        <w:rPr>
          <w:spacing w:val="-1"/>
        </w:rPr>
        <w:t xml:space="preserve"> </w:t>
      </w:r>
      <w:r>
        <w:t>these</w:t>
      </w:r>
      <w:r>
        <w:rPr>
          <w:spacing w:val="-1"/>
        </w:rPr>
        <w:t xml:space="preserve"> </w:t>
      </w:r>
      <w:r>
        <w:t>services through</w:t>
      </w:r>
      <w:r>
        <w:rPr>
          <w:spacing w:val="-1"/>
        </w:rPr>
        <w:t xml:space="preserve"> </w:t>
      </w:r>
      <w:r>
        <w:t>social</w:t>
      </w:r>
      <w:r>
        <w:rPr>
          <w:spacing w:val="-1"/>
        </w:rPr>
        <w:t xml:space="preserve"> </w:t>
      </w:r>
      <w:r>
        <w:t>networks and</w:t>
      </w:r>
      <w:r>
        <w:rPr>
          <w:spacing w:val="-1"/>
        </w:rPr>
        <w:t xml:space="preserve"> </w:t>
      </w:r>
      <w:r>
        <w:t>media applications. The Commission has been ple</w:t>
      </w:r>
      <w:r>
        <w:t>ased to participate in reviewing and sharing information relating to this campaign, and also hopes to see the campaign expanded to more explicitly include transgender people, particularly transgender women of color.</w:t>
      </w:r>
    </w:p>
    <w:p w:rsidR="00C76E6D" w:rsidRDefault="00C76E6D">
      <w:pPr>
        <w:pStyle w:val="BodyText"/>
        <w:spacing w:before="7"/>
        <w:rPr>
          <w:sz w:val="19"/>
        </w:rPr>
      </w:pPr>
    </w:p>
    <w:p w:rsidR="00C76E6D" w:rsidRDefault="00913831">
      <w:pPr>
        <w:pStyle w:val="BodyText"/>
        <w:spacing w:line="276" w:lineRule="auto"/>
        <w:ind w:left="627" w:right="333"/>
        <w:jc w:val="both"/>
      </w:pPr>
      <w:r>
        <w:t>In concordance with the Commission’s pr</w:t>
      </w:r>
      <w:r>
        <w:t>evious recommendations, DPH has created more accessible resources for HIV-related services through social media. The agency created locator maps using links for its partner organizations to post on their own websites, that are available both electronically</w:t>
      </w:r>
      <w:r>
        <w:t xml:space="preserve"> or in print, where people can locate numerous resources such as integrated testing sites, PEP and PrEP</w:t>
      </w:r>
      <w:hyperlink w:anchor="_bookmark589" w:history="1">
        <w:r>
          <w:t>.</w:t>
        </w:r>
        <w:r>
          <w:rPr>
            <w:vertAlign w:val="superscript"/>
          </w:rPr>
          <w:t>4</w:t>
        </w:r>
        <w:r>
          <w:t xml:space="preserve"> </w:t>
        </w:r>
      </w:hyperlink>
      <w:r>
        <w:t>While the COVID-19</w:t>
      </w:r>
      <w:r>
        <w:rPr>
          <w:spacing w:val="-9"/>
        </w:rPr>
        <w:t xml:space="preserve"> </w:t>
      </w:r>
      <w:r>
        <w:t>pandemic</w:t>
      </w:r>
      <w:r>
        <w:rPr>
          <w:spacing w:val="-10"/>
        </w:rPr>
        <w:t xml:space="preserve"> </w:t>
      </w:r>
      <w:r>
        <w:t>has</w:t>
      </w:r>
      <w:r>
        <w:rPr>
          <w:spacing w:val="-7"/>
        </w:rPr>
        <w:t xml:space="preserve"> </w:t>
      </w:r>
      <w:r>
        <w:t>put</w:t>
      </w:r>
      <w:r>
        <w:rPr>
          <w:spacing w:val="-10"/>
        </w:rPr>
        <w:t xml:space="preserve"> </w:t>
      </w:r>
      <w:r>
        <w:t>several</w:t>
      </w:r>
      <w:r>
        <w:rPr>
          <w:spacing w:val="-9"/>
        </w:rPr>
        <w:t xml:space="preserve"> </w:t>
      </w:r>
      <w:r>
        <w:t>projects</w:t>
      </w:r>
      <w:r>
        <w:rPr>
          <w:spacing w:val="-8"/>
        </w:rPr>
        <w:t xml:space="preserve"> </w:t>
      </w:r>
      <w:r>
        <w:t>on</w:t>
      </w:r>
      <w:r>
        <w:rPr>
          <w:spacing w:val="-8"/>
        </w:rPr>
        <w:t xml:space="preserve"> </w:t>
      </w:r>
      <w:r>
        <w:t>pause,</w:t>
      </w:r>
      <w:r>
        <w:rPr>
          <w:spacing w:val="-10"/>
        </w:rPr>
        <w:t xml:space="preserve"> </w:t>
      </w:r>
      <w:r>
        <w:t>DPH</w:t>
      </w:r>
      <w:r>
        <w:rPr>
          <w:spacing w:val="-9"/>
        </w:rPr>
        <w:t xml:space="preserve"> </w:t>
      </w:r>
      <w:r>
        <w:t>noted</w:t>
      </w:r>
      <w:r>
        <w:rPr>
          <w:spacing w:val="-7"/>
        </w:rPr>
        <w:t xml:space="preserve"> </w:t>
      </w:r>
      <w:r>
        <w:t>that</w:t>
      </w:r>
      <w:r>
        <w:rPr>
          <w:spacing w:val="-9"/>
        </w:rPr>
        <w:t xml:space="preserve"> </w:t>
      </w:r>
      <w:r>
        <w:t>it</w:t>
      </w:r>
      <w:r>
        <w:rPr>
          <w:spacing w:val="-9"/>
        </w:rPr>
        <w:t xml:space="preserve"> </w:t>
      </w:r>
      <w:r>
        <w:t>will</w:t>
      </w:r>
      <w:r>
        <w:rPr>
          <w:spacing w:val="-9"/>
        </w:rPr>
        <w:t xml:space="preserve"> </w:t>
      </w:r>
      <w:r>
        <w:t>also</w:t>
      </w:r>
      <w:r>
        <w:rPr>
          <w:spacing w:val="-8"/>
        </w:rPr>
        <w:t xml:space="preserve"> </w:t>
      </w:r>
      <w:r>
        <w:t>be</w:t>
      </w:r>
      <w:r>
        <w:rPr>
          <w:spacing w:val="-9"/>
        </w:rPr>
        <w:t xml:space="preserve"> </w:t>
      </w:r>
      <w:r>
        <w:t>updating</w:t>
      </w:r>
      <w:r>
        <w:rPr>
          <w:spacing w:val="-8"/>
        </w:rPr>
        <w:t xml:space="preserve"> </w:t>
      </w:r>
      <w:r>
        <w:t>these</w:t>
      </w:r>
      <w:r>
        <w:rPr>
          <w:spacing w:val="-8"/>
        </w:rPr>
        <w:t xml:space="preserve"> </w:t>
      </w:r>
      <w:r>
        <w:t>maps with</w:t>
      </w:r>
      <w:r>
        <w:rPr>
          <w:spacing w:val="-10"/>
        </w:rPr>
        <w:t xml:space="preserve"> </w:t>
      </w:r>
      <w:r>
        <w:t>more</w:t>
      </w:r>
      <w:r>
        <w:rPr>
          <w:spacing w:val="-10"/>
        </w:rPr>
        <w:t xml:space="preserve"> </w:t>
      </w:r>
      <w:r>
        <w:t>sexual</w:t>
      </w:r>
      <w:r>
        <w:rPr>
          <w:spacing w:val="-10"/>
        </w:rPr>
        <w:t xml:space="preserve"> </w:t>
      </w:r>
      <w:r>
        <w:t>health</w:t>
      </w:r>
      <w:r>
        <w:rPr>
          <w:spacing w:val="-10"/>
        </w:rPr>
        <w:t xml:space="preserve"> </w:t>
      </w:r>
      <w:r>
        <w:t>services</w:t>
      </w:r>
      <w:r>
        <w:rPr>
          <w:spacing w:val="-11"/>
        </w:rPr>
        <w:t xml:space="preserve"> </w:t>
      </w:r>
      <w:r>
        <w:t>for</w:t>
      </w:r>
      <w:r>
        <w:rPr>
          <w:spacing w:val="-11"/>
        </w:rPr>
        <w:t xml:space="preserve"> </w:t>
      </w:r>
      <w:r>
        <w:t>gay</w:t>
      </w:r>
      <w:r>
        <w:rPr>
          <w:spacing w:val="-8"/>
        </w:rPr>
        <w:t xml:space="preserve"> </w:t>
      </w:r>
      <w:r>
        <w:t>and</w:t>
      </w:r>
      <w:r>
        <w:rPr>
          <w:spacing w:val="-12"/>
        </w:rPr>
        <w:t xml:space="preserve"> </w:t>
      </w:r>
      <w:r>
        <w:t>queer</w:t>
      </w:r>
      <w:r>
        <w:rPr>
          <w:spacing w:val="-10"/>
        </w:rPr>
        <w:t xml:space="preserve"> </w:t>
      </w:r>
      <w:r>
        <w:t>men.</w:t>
      </w:r>
      <w:r>
        <w:rPr>
          <w:spacing w:val="-11"/>
        </w:rPr>
        <w:t xml:space="preserve"> </w:t>
      </w:r>
      <w:r>
        <w:t>Its</w:t>
      </w:r>
      <w:r>
        <w:rPr>
          <w:spacing w:val="-10"/>
        </w:rPr>
        <w:t xml:space="preserve"> </w:t>
      </w:r>
      <w:r>
        <w:t>goal</w:t>
      </w:r>
      <w:r>
        <w:rPr>
          <w:spacing w:val="-12"/>
        </w:rPr>
        <w:t xml:space="preserve"> </w:t>
      </w:r>
      <w:r>
        <w:t>is</w:t>
      </w:r>
      <w:r>
        <w:rPr>
          <w:spacing w:val="-8"/>
        </w:rPr>
        <w:t xml:space="preserve"> </w:t>
      </w:r>
      <w:r>
        <w:t>now</w:t>
      </w:r>
      <w:r>
        <w:rPr>
          <w:spacing w:val="-11"/>
        </w:rPr>
        <w:t xml:space="preserve"> </w:t>
      </w:r>
      <w:r>
        <w:t>to</w:t>
      </w:r>
      <w:r>
        <w:rPr>
          <w:spacing w:val="-10"/>
        </w:rPr>
        <w:t xml:space="preserve"> </w:t>
      </w:r>
      <w:r>
        <w:t>expand</w:t>
      </w:r>
      <w:r>
        <w:rPr>
          <w:spacing w:val="-12"/>
        </w:rPr>
        <w:t xml:space="preserve"> </w:t>
      </w:r>
      <w:r>
        <w:t>these</w:t>
      </w:r>
      <w:r>
        <w:rPr>
          <w:spacing w:val="-12"/>
        </w:rPr>
        <w:t xml:space="preserve"> </w:t>
      </w:r>
      <w:r>
        <w:t>resources</w:t>
      </w:r>
      <w:r>
        <w:rPr>
          <w:spacing w:val="-11"/>
        </w:rPr>
        <w:t xml:space="preserve"> </w:t>
      </w:r>
      <w:r>
        <w:t>beyond its</w:t>
      </w:r>
      <w:r>
        <w:rPr>
          <w:spacing w:val="-13"/>
        </w:rPr>
        <w:t xml:space="preserve"> </w:t>
      </w:r>
      <w:r>
        <w:t>funded</w:t>
      </w:r>
      <w:r>
        <w:rPr>
          <w:spacing w:val="-12"/>
        </w:rPr>
        <w:t xml:space="preserve"> </w:t>
      </w:r>
      <w:r>
        <w:t>programs</w:t>
      </w:r>
      <w:r>
        <w:rPr>
          <w:spacing w:val="-13"/>
        </w:rPr>
        <w:t xml:space="preserve"> </w:t>
      </w:r>
      <w:r>
        <w:t>and</w:t>
      </w:r>
      <w:r>
        <w:rPr>
          <w:spacing w:val="-12"/>
        </w:rPr>
        <w:t xml:space="preserve"> </w:t>
      </w:r>
      <w:r>
        <w:t>partnering</w:t>
      </w:r>
      <w:r>
        <w:rPr>
          <w:spacing w:val="-13"/>
        </w:rPr>
        <w:t xml:space="preserve"> </w:t>
      </w:r>
      <w:r>
        <w:t>organizations</w:t>
      </w:r>
      <w:r>
        <w:rPr>
          <w:spacing w:val="-12"/>
        </w:rPr>
        <w:t xml:space="preserve"> </w:t>
      </w:r>
      <w:r>
        <w:t>to</w:t>
      </w:r>
      <w:r>
        <w:rPr>
          <w:spacing w:val="-13"/>
        </w:rPr>
        <w:t xml:space="preserve"> </w:t>
      </w:r>
      <w:r>
        <w:t>create</w:t>
      </w:r>
      <w:r>
        <w:rPr>
          <w:spacing w:val="-12"/>
        </w:rPr>
        <w:t xml:space="preserve"> </w:t>
      </w:r>
      <w:r>
        <w:t>another</w:t>
      </w:r>
      <w:r>
        <w:rPr>
          <w:spacing w:val="-12"/>
        </w:rPr>
        <w:t xml:space="preserve"> </w:t>
      </w:r>
      <w:r>
        <w:t>circle</w:t>
      </w:r>
      <w:r>
        <w:rPr>
          <w:spacing w:val="-13"/>
        </w:rPr>
        <w:t xml:space="preserve"> </w:t>
      </w:r>
      <w:r>
        <w:t>of</w:t>
      </w:r>
      <w:r>
        <w:rPr>
          <w:spacing w:val="-12"/>
        </w:rPr>
        <w:t xml:space="preserve"> </w:t>
      </w:r>
      <w:r>
        <w:t>access</w:t>
      </w:r>
      <w:r>
        <w:rPr>
          <w:spacing w:val="-13"/>
        </w:rPr>
        <w:t xml:space="preserve"> </w:t>
      </w:r>
      <w:r>
        <w:t>and</w:t>
      </w:r>
      <w:r>
        <w:rPr>
          <w:spacing w:val="-12"/>
        </w:rPr>
        <w:t xml:space="preserve"> </w:t>
      </w:r>
      <w:r>
        <w:t>to</w:t>
      </w:r>
      <w:r>
        <w:rPr>
          <w:spacing w:val="-13"/>
        </w:rPr>
        <w:t xml:space="preserve"> </w:t>
      </w:r>
      <w:r>
        <w:t>reach</w:t>
      </w:r>
      <w:r>
        <w:rPr>
          <w:spacing w:val="-12"/>
        </w:rPr>
        <w:t xml:space="preserve"> </w:t>
      </w:r>
      <w:r>
        <w:t>a</w:t>
      </w:r>
      <w:r>
        <w:rPr>
          <w:spacing w:val="-12"/>
        </w:rPr>
        <w:t xml:space="preserve"> </w:t>
      </w:r>
      <w:r>
        <w:t>broader population.</w:t>
      </w:r>
      <w:r>
        <w:rPr>
          <w:spacing w:val="-13"/>
        </w:rPr>
        <w:t xml:space="preserve"> </w:t>
      </w:r>
      <w:r>
        <w:t>DPH</w:t>
      </w:r>
      <w:r>
        <w:rPr>
          <w:spacing w:val="-12"/>
        </w:rPr>
        <w:t xml:space="preserve"> </w:t>
      </w:r>
      <w:r>
        <w:t>has</w:t>
      </w:r>
      <w:r>
        <w:rPr>
          <w:spacing w:val="-13"/>
        </w:rPr>
        <w:t xml:space="preserve"> </w:t>
      </w:r>
      <w:r>
        <w:t>asked</w:t>
      </w:r>
      <w:r>
        <w:rPr>
          <w:spacing w:val="-12"/>
        </w:rPr>
        <w:t xml:space="preserve"> </w:t>
      </w:r>
      <w:r>
        <w:t>the</w:t>
      </w:r>
      <w:r>
        <w:rPr>
          <w:spacing w:val="-13"/>
        </w:rPr>
        <w:t xml:space="preserve"> </w:t>
      </w:r>
      <w:r>
        <w:t>Commission</w:t>
      </w:r>
      <w:r>
        <w:rPr>
          <w:spacing w:val="-12"/>
        </w:rPr>
        <w:t xml:space="preserve"> </w:t>
      </w:r>
      <w:r>
        <w:t>for</w:t>
      </w:r>
      <w:r>
        <w:rPr>
          <w:spacing w:val="-13"/>
        </w:rPr>
        <w:t xml:space="preserve"> </w:t>
      </w:r>
      <w:r>
        <w:t>help</w:t>
      </w:r>
      <w:r>
        <w:rPr>
          <w:spacing w:val="-12"/>
        </w:rPr>
        <w:t xml:space="preserve"> </w:t>
      </w:r>
      <w:r>
        <w:t>in</w:t>
      </w:r>
      <w:r>
        <w:rPr>
          <w:spacing w:val="-12"/>
        </w:rPr>
        <w:t xml:space="preserve"> </w:t>
      </w:r>
      <w:r>
        <w:t>widening</w:t>
      </w:r>
      <w:r>
        <w:rPr>
          <w:spacing w:val="-13"/>
        </w:rPr>
        <w:t xml:space="preserve"> </w:t>
      </w:r>
      <w:r>
        <w:t>the</w:t>
      </w:r>
      <w:r>
        <w:rPr>
          <w:spacing w:val="-12"/>
        </w:rPr>
        <w:t xml:space="preserve"> </w:t>
      </w:r>
      <w:r>
        <w:t>population</w:t>
      </w:r>
      <w:r>
        <w:rPr>
          <w:spacing w:val="-13"/>
        </w:rPr>
        <w:t xml:space="preserve"> </w:t>
      </w:r>
      <w:r>
        <w:t>that</w:t>
      </w:r>
      <w:r>
        <w:rPr>
          <w:spacing w:val="-12"/>
        </w:rPr>
        <w:t xml:space="preserve"> </w:t>
      </w:r>
      <w:r>
        <w:t>these</w:t>
      </w:r>
      <w:r>
        <w:rPr>
          <w:spacing w:val="-13"/>
        </w:rPr>
        <w:t xml:space="preserve"> </w:t>
      </w:r>
      <w:r>
        <w:t>resources</w:t>
      </w:r>
      <w:r>
        <w:rPr>
          <w:spacing w:val="-12"/>
        </w:rPr>
        <w:t xml:space="preserve"> </w:t>
      </w:r>
      <w:r>
        <w:t>reach by continuing to share across platforms as well as give feedback, and the Commission looks forward to doing so.</w:t>
      </w:r>
    </w:p>
    <w:p w:rsidR="00C76E6D" w:rsidRDefault="00C76E6D">
      <w:pPr>
        <w:pStyle w:val="BodyText"/>
        <w:spacing w:before="8"/>
        <w:rPr>
          <w:sz w:val="19"/>
        </w:rPr>
      </w:pPr>
    </w:p>
    <w:p w:rsidR="00C76E6D" w:rsidRDefault="00913831">
      <w:pPr>
        <w:pStyle w:val="BodyText"/>
        <w:spacing w:before="1" w:line="276" w:lineRule="auto"/>
        <w:ind w:left="627" w:right="335"/>
        <w:jc w:val="both"/>
      </w:pPr>
      <w:r>
        <w:t>The</w:t>
      </w:r>
      <w:r>
        <w:rPr>
          <w:spacing w:val="-12"/>
        </w:rPr>
        <w:t xml:space="preserve"> </w:t>
      </w:r>
      <w:r>
        <w:t>Commission</w:t>
      </w:r>
      <w:r>
        <w:rPr>
          <w:spacing w:val="-13"/>
        </w:rPr>
        <w:t xml:space="preserve"> </w:t>
      </w:r>
      <w:r>
        <w:t>was</w:t>
      </w:r>
      <w:r>
        <w:rPr>
          <w:spacing w:val="-11"/>
        </w:rPr>
        <w:t xml:space="preserve"> </w:t>
      </w:r>
      <w:r>
        <w:t>pleased</w:t>
      </w:r>
      <w:r>
        <w:rPr>
          <w:spacing w:val="-12"/>
        </w:rPr>
        <w:t xml:space="preserve"> </w:t>
      </w:r>
      <w:r>
        <w:t>to</w:t>
      </w:r>
      <w:r>
        <w:rPr>
          <w:spacing w:val="-11"/>
        </w:rPr>
        <w:t xml:space="preserve"> </w:t>
      </w:r>
      <w:r>
        <w:t>learn</w:t>
      </w:r>
      <w:r>
        <w:rPr>
          <w:spacing w:val="-11"/>
        </w:rPr>
        <w:t xml:space="preserve"> </w:t>
      </w:r>
      <w:r>
        <w:t>in</w:t>
      </w:r>
      <w:r>
        <w:rPr>
          <w:spacing w:val="-10"/>
        </w:rPr>
        <w:t xml:space="preserve"> </w:t>
      </w:r>
      <w:r>
        <w:t>May</w:t>
      </w:r>
      <w:r>
        <w:rPr>
          <w:spacing w:val="-12"/>
        </w:rPr>
        <w:t xml:space="preserve"> </w:t>
      </w:r>
      <w:r>
        <w:t>2022</w:t>
      </w:r>
      <w:r>
        <w:rPr>
          <w:spacing w:val="-11"/>
        </w:rPr>
        <w:t xml:space="preserve"> </w:t>
      </w:r>
      <w:r>
        <w:t>that</w:t>
      </w:r>
      <w:r>
        <w:rPr>
          <w:spacing w:val="-13"/>
        </w:rPr>
        <w:t xml:space="preserve"> </w:t>
      </w:r>
      <w:r>
        <w:t>the</w:t>
      </w:r>
      <w:r>
        <w:rPr>
          <w:spacing w:val="-11"/>
        </w:rPr>
        <w:t xml:space="preserve"> </w:t>
      </w:r>
      <w:r>
        <w:t>Bureau</w:t>
      </w:r>
      <w:r>
        <w:rPr>
          <w:spacing w:val="-10"/>
        </w:rPr>
        <w:t xml:space="preserve"> </w:t>
      </w:r>
      <w:r>
        <w:t>of</w:t>
      </w:r>
      <w:r>
        <w:rPr>
          <w:spacing w:val="-12"/>
        </w:rPr>
        <w:t xml:space="preserve"> </w:t>
      </w:r>
      <w:r>
        <w:t>Substance</w:t>
      </w:r>
      <w:r>
        <w:rPr>
          <w:spacing w:val="-9"/>
        </w:rPr>
        <w:t xml:space="preserve"> </w:t>
      </w:r>
      <w:r>
        <w:t>Addiction</w:t>
      </w:r>
      <w:r>
        <w:rPr>
          <w:spacing w:val="-11"/>
        </w:rPr>
        <w:t xml:space="preserve"> </w:t>
      </w:r>
      <w:r>
        <w:t>Services</w:t>
      </w:r>
      <w:r>
        <w:rPr>
          <w:spacing w:val="-10"/>
        </w:rPr>
        <w:t xml:space="preserve"> </w:t>
      </w:r>
      <w:r>
        <w:t>(BSAS) initiated contact with the Masakowski Institute at Clark University about replicating a youth social- emotional</w:t>
      </w:r>
      <w:r>
        <w:rPr>
          <w:spacing w:val="-13"/>
        </w:rPr>
        <w:t xml:space="preserve"> </w:t>
      </w:r>
      <w:r>
        <w:t>health</w:t>
      </w:r>
      <w:r>
        <w:rPr>
          <w:spacing w:val="-12"/>
        </w:rPr>
        <w:t xml:space="preserve"> </w:t>
      </w:r>
      <w:r>
        <w:t>app</w:t>
      </w:r>
      <w:r>
        <w:rPr>
          <w:spacing w:val="-13"/>
        </w:rPr>
        <w:t xml:space="preserve"> </w:t>
      </w:r>
      <w:r>
        <w:t>with</w:t>
      </w:r>
      <w:r>
        <w:rPr>
          <w:spacing w:val="-12"/>
        </w:rPr>
        <w:t xml:space="preserve"> </w:t>
      </w:r>
      <w:r>
        <w:t>a</w:t>
      </w:r>
      <w:r>
        <w:rPr>
          <w:spacing w:val="-13"/>
        </w:rPr>
        <w:t xml:space="preserve"> </w:t>
      </w:r>
      <w:r>
        <w:t>focus</w:t>
      </w:r>
      <w:r>
        <w:rPr>
          <w:spacing w:val="-12"/>
        </w:rPr>
        <w:t xml:space="preserve"> </w:t>
      </w:r>
      <w:r>
        <w:t>on</w:t>
      </w:r>
      <w:r>
        <w:rPr>
          <w:spacing w:val="-13"/>
        </w:rPr>
        <w:t xml:space="preserve"> </w:t>
      </w:r>
      <w:r>
        <w:t>increasing</w:t>
      </w:r>
      <w:r>
        <w:rPr>
          <w:spacing w:val="-12"/>
        </w:rPr>
        <w:t xml:space="preserve"> </w:t>
      </w:r>
      <w:r>
        <w:t>access</w:t>
      </w:r>
      <w:r>
        <w:rPr>
          <w:spacing w:val="-12"/>
        </w:rPr>
        <w:t xml:space="preserve"> </w:t>
      </w:r>
      <w:r>
        <w:t>to</w:t>
      </w:r>
      <w:r>
        <w:rPr>
          <w:spacing w:val="-13"/>
        </w:rPr>
        <w:t xml:space="preserve"> </w:t>
      </w:r>
      <w:r>
        <w:t>youth</w:t>
      </w:r>
      <w:r>
        <w:rPr>
          <w:spacing w:val="-12"/>
        </w:rPr>
        <w:t xml:space="preserve"> </w:t>
      </w:r>
      <w:r>
        <w:t>substance</w:t>
      </w:r>
      <w:r>
        <w:rPr>
          <w:spacing w:val="-13"/>
        </w:rPr>
        <w:t xml:space="preserve"> </w:t>
      </w:r>
      <w:r>
        <w:t>use</w:t>
      </w:r>
      <w:r>
        <w:rPr>
          <w:spacing w:val="-12"/>
        </w:rPr>
        <w:t xml:space="preserve"> </w:t>
      </w:r>
      <w:r>
        <w:t>services,</w:t>
      </w:r>
      <w:r>
        <w:rPr>
          <w:spacing w:val="-13"/>
        </w:rPr>
        <w:t xml:space="preserve"> </w:t>
      </w:r>
      <w:r>
        <w:t>promoting</w:t>
      </w:r>
      <w:r>
        <w:rPr>
          <w:spacing w:val="-12"/>
        </w:rPr>
        <w:t xml:space="preserve"> </w:t>
      </w:r>
      <w:r>
        <w:t>linkage to pro-social sober pe</w:t>
      </w:r>
      <w:r>
        <w:t>er groups, and supporting ongoing recovery. This is especially relevant for LGBTQ+ youth</w:t>
      </w:r>
      <w:r>
        <w:rPr>
          <w:spacing w:val="-1"/>
        </w:rPr>
        <w:t xml:space="preserve"> </w:t>
      </w:r>
      <w:r>
        <w:t>given recent</w:t>
      </w:r>
      <w:r>
        <w:rPr>
          <w:spacing w:val="-1"/>
        </w:rPr>
        <w:t xml:space="preserve"> </w:t>
      </w:r>
      <w:r>
        <w:t>increases</w:t>
      </w:r>
      <w:r>
        <w:rPr>
          <w:spacing w:val="-1"/>
        </w:rPr>
        <w:t xml:space="preserve"> </w:t>
      </w:r>
      <w:r>
        <w:t>in substance</w:t>
      </w:r>
      <w:r>
        <w:rPr>
          <w:spacing w:val="-1"/>
        </w:rPr>
        <w:t xml:space="preserve"> </w:t>
      </w:r>
      <w:r>
        <w:t>use</w:t>
      </w:r>
      <w:r>
        <w:rPr>
          <w:spacing w:val="-1"/>
        </w:rPr>
        <w:t xml:space="preserve"> </w:t>
      </w:r>
      <w:r>
        <w:t>due to</w:t>
      </w:r>
      <w:r>
        <w:rPr>
          <w:spacing w:val="-1"/>
        </w:rPr>
        <w:t xml:space="preserve"> </w:t>
      </w:r>
      <w:r>
        <w:t>the</w:t>
      </w:r>
      <w:r>
        <w:rPr>
          <w:spacing w:val="-1"/>
        </w:rPr>
        <w:t xml:space="preserve"> </w:t>
      </w:r>
      <w:r>
        <w:t>impact</w:t>
      </w:r>
      <w:r>
        <w:rPr>
          <w:spacing w:val="-1"/>
        </w:rPr>
        <w:t xml:space="preserve"> </w:t>
      </w:r>
      <w:r>
        <w:t>of</w:t>
      </w:r>
      <w:r>
        <w:rPr>
          <w:spacing w:val="-2"/>
        </w:rPr>
        <w:t xml:space="preserve"> </w:t>
      </w:r>
      <w:r>
        <w:t>COVID-19,</w:t>
      </w:r>
      <w:r>
        <w:rPr>
          <w:spacing w:val="-1"/>
        </w:rPr>
        <w:t xml:space="preserve"> </w:t>
      </w:r>
      <w:r>
        <w:t>and</w:t>
      </w:r>
      <w:r>
        <w:rPr>
          <w:spacing w:val="-1"/>
        </w:rPr>
        <w:t xml:space="preserve"> </w:t>
      </w:r>
      <w:r>
        <w:t>the</w:t>
      </w:r>
      <w:r>
        <w:rPr>
          <w:spacing w:val="-1"/>
        </w:rPr>
        <w:t xml:space="preserve"> </w:t>
      </w:r>
      <w:r>
        <w:t>Commission</w:t>
      </w:r>
      <w:r>
        <w:rPr>
          <w:spacing w:val="-2"/>
        </w:rPr>
        <w:t xml:space="preserve"> </w:t>
      </w:r>
      <w:r>
        <w:t>looks forward to supporting this work in FY2023.</w:t>
      </w:r>
    </w:p>
    <w:p w:rsidR="00C76E6D" w:rsidRDefault="00C76E6D">
      <w:pPr>
        <w:pStyle w:val="BodyText"/>
        <w:spacing w:before="9"/>
        <w:rPr>
          <w:sz w:val="19"/>
        </w:rPr>
      </w:pPr>
    </w:p>
    <w:p w:rsidR="00C76E6D" w:rsidRDefault="00913831">
      <w:pPr>
        <w:pStyle w:val="BodyText"/>
        <w:spacing w:line="276" w:lineRule="auto"/>
        <w:ind w:left="627" w:right="334"/>
        <w:jc w:val="both"/>
      </w:pPr>
      <w:r>
        <w:t>Finally, the Commission recommends that DPH continue its focus on identifying resources for the transgender community, especially transgender women, and making these services more accessible and known within the community.</w:t>
      </w:r>
    </w:p>
    <w:p w:rsidR="00C76E6D" w:rsidRDefault="00C76E6D">
      <w:pPr>
        <w:pStyle w:val="BodyText"/>
        <w:spacing w:before="1"/>
        <w:rPr>
          <w:sz w:val="26"/>
        </w:rPr>
      </w:pPr>
    </w:p>
    <w:p w:rsidR="00C76E6D" w:rsidRDefault="00913831">
      <w:pPr>
        <w:pStyle w:val="Heading6"/>
        <w:numPr>
          <w:ilvl w:val="0"/>
          <w:numId w:val="10"/>
        </w:numPr>
        <w:tabs>
          <w:tab w:val="left" w:pos="560"/>
        </w:tabs>
        <w:ind w:left="559" w:hanging="222"/>
      </w:pPr>
      <w:bookmarkStart w:id="827" w:name="2._Expand_training_opportunities_for_sta"/>
      <w:bookmarkEnd w:id="827"/>
      <w:r>
        <w:rPr>
          <w:w w:val="95"/>
        </w:rPr>
        <w:t>Expand</w:t>
      </w:r>
      <w:r>
        <w:rPr>
          <w:spacing w:val="14"/>
        </w:rPr>
        <w:t xml:space="preserve"> </w:t>
      </w:r>
      <w:r>
        <w:rPr>
          <w:w w:val="95"/>
        </w:rPr>
        <w:t>training</w:t>
      </w:r>
      <w:r>
        <w:rPr>
          <w:spacing w:val="15"/>
        </w:rPr>
        <w:t xml:space="preserve"> </w:t>
      </w:r>
      <w:r>
        <w:rPr>
          <w:w w:val="95"/>
        </w:rPr>
        <w:t>opportunities</w:t>
      </w:r>
      <w:r>
        <w:rPr>
          <w:spacing w:val="13"/>
        </w:rPr>
        <w:t xml:space="preserve"> </w:t>
      </w:r>
      <w:r>
        <w:rPr>
          <w:w w:val="95"/>
        </w:rPr>
        <w:t>fo</w:t>
      </w:r>
      <w:r>
        <w:rPr>
          <w:w w:val="95"/>
        </w:rPr>
        <w:t>r</w:t>
      </w:r>
      <w:r>
        <w:rPr>
          <w:spacing w:val="15"/>
        </w:rPr>
        <w:t xml:space="preserve"> </w:t>
      </w:r>
      <w:r>
        <w:rPr>
          <w:w w:val="95"/>
        </w:rPr>
        <w:t>staff</w:t>
      </w:r>
      <w:r>
        <w:rPr>
          <w:spacing w:val="13"/>
        </w:rPr>
        <w:t xml:space="preserve"> </w:t>
      </w:r>
      <w:r>
        <w:rPr>
          <w:w w:val="95"/>
        </w:rPr>
        <w:t>and</w:t>
      </w:r>
      <w:r>
        <w:rPr>
          <w:spacing w:val="14"/>
        </w:rPr>
        <w:t xml:space="preserve"> </w:t>
      </w:r>
      <w:r>
        <w:rPr>
          <w:w w:val="95"/>
        </w:rPr>
        <w:t>contracting</w:t>
      </w:r>
      <w:r>
        <w:rPr>
          <w:spacing w:val="17"/>
        </w:rPr>
        <w:t xml:space="preserve"> </w:t>
      </w:r>
      <w:r>
        <w:rPr>
          <w:spacing w:val="-2"/>
          <w:w w:val="95"/>
        </w:rPr>
        <w:t>organizations.</w:t>
      </w:r>
    </w:p>
    <w:p w:rsidR="00C76E6D" w:rsidRDefault="00C76E6D">
      <w:pPr>
        <w:pStyle w:val="BodyText"/>
        <w:spacing w:before="9"/>
        <w:rPr>
          <w:b/>
          <w:sz w:val="28"/>
        </w:rPr>
      </w:pPr>
    </w:p>
    <w:p w:rsidR="00C76E6D" w:rsidRDefault="00913831">
      <w:pPr>
        <w:pStyle w:val="BodyText"/>
        <w:spacing w:line="276" w:lineRule="auto"/>
        <w:ind w:left="627" w:right="333"/>
        <w:jc w:val="both"/>
      </w:pPr>
      <w:r>
        <w:t xml:space="preserve">In the previous fiscal year, DPH completed its review of the now-finalized LGBTQ inclusion training resource that the Commission worked on for the past few years with EOHHS. DPH was an active partner in developing this training throughout the process. The </w:t>
      </w:r>
      <w:r>
        <w:t>Commission appreciates this collaboration and looks forward to continuing to partner with DPH and other EOHHS agencies on the dissemination of this training to agency employees. Many DPH Bureaus have offered optional trainings on LGBTQ issues for providers</w:t>
      </w:r>
      <w:r>
        <w:rPr>
          <w:spacing w:val="-13"/>
        </w:rPr>
        <w:t xml:space="preserve"> </w:t>
      </w:r>
      <w:r>
        <w:t>of</w:t>
      </w:r>
      <w:r>
        <w:rPr>
          <w:spacing w:val="-12"/>
        </w:rPr>
        <w:t xml:space="preserve"> </w:t>
      </w:r>
      <w:r>
        <w:t>different</w:t>
      </w:r>
      <w:r>
        <w:rPr>
          <w:spacing w:val="-13"/>
        </w:rPr>
        <w:t xml:space="preserve"> </w:t>
      </w:r>
      <w:r>
        <w:t>types</w:t>
      </w:r>
      <w:r>
        <w:rPr>
          <w:spacing w:val="-12"/>
        </w:rPr>
        <w:t xml:space="preserve"> </w:t>
      </w:r>
      <w:r>
        <w:t>of</w:t>
      </w:r>
      <w:r>
        <w:rPr>
          <w:spacing w:val="-13"/>
        </w:rPr>
        <w:t xml:space="preserve"> </w:t>
      </w:r>
      <w:r>
        <w:t>services,</w:t>
      </w:r>
      <w:r>
        <w:rPr>
          <w:spacing w:val="-12"/>
        </w:rPr>
        <w:t xml:space="preserve"> </w:t>
      </w:r>
      <w:r>
        <w:t>and</w:t>
      </w:r>
      <w:r>
        <w:rPr>
          <w:spacing w:val="-13"/>
        </w:rPr>
        <w:t xml:space="preserve"> </w:t>
      </w:r>
      <w:r>
        <w:t>the</w:t>
      </w:r>
      <w:r>
        <w:rPr>
          <w:spacing w:val="-12"/>
        </w:rPr>
        <w:t xml:space="preserve"> </w:t>
      </w:r>
      <w:r>
        <w:t>Commission</w:t>
      </w:r>
      <w:r>
        <w:rPr>
          <w:spacing w:val="-12"/>
        </w:rPr>
        <w:t xml:space="preserve"> </w:t>
      </w:r>
      <w:r>
        <w:t>has</w:t>
      </w:r>
      <w:r>
        <w:rPr>
          <w:spacing w:val="-13"/>
        </w:rPr>
        <w:t xml:space="preserve"> </w:t>
      </w:r>
      <w:r>
        <w:t>participated</w:t>
      </w:r>
      <w:r>
        <w:rPr>
          <w:spacing w:val="-12"/>
        </w:rPr>
        <w:t xml:space="preserve"> </w:t>
      </w:r>
      <w:r>
        <w:t>in</w:t>
      </w:r>
      <w:r>
        <w:rPr>
          <w:spacing w:val="-13"/>
        </w:rPr>
        <w:t xml:space="preserve"> </w:t>
      </w:r>
      <w:r>
        <w:t>many</w:t>
      </w:r>
      <w:r>
        <w:rPr>
          <w:spacing w:val="-12"/>
        </w:rPr>
        <w:t xml:space="preserve"> </w:t>
      </w:r>
      <w:r>
        <w:t>of</w:t>
      </w:r>
      <w:r>
        <w:rPr>
          <w:spacing w:val="-13"/>
        </w:rPr>
        <w:t xml:space="preserve"> </w:t>
      </w:r>
      <w:r>
        <w:t>these.</w:t>
      </w:r>
      <w:r>
        <w:rPr>
          <w:spacing w:val="-12"/>
        </w:rPr>
        <w:t xml:space="preserve"> </w:t>
      </w:r>
      <w:r>
        <w:t>The</w:t>
      </w:r>
      <w:r>
        <w:rPr>
          <w:spacing w:val="-12"/>
        </w:rPr>
        <w:t xml:space="preserve"> </w:t>
      </w:r>
      <w:r>
        <w:t>Bureau of</w:t>
      </w:r>
      <w:r>
        <w:rPr>
          <w:spacing w:val="30"/>
        </w:rPr>
        <w:t xml:space="preserve"> </w:t>
      </w:r>
      <w:r>
        <w:t>Substance</w:t>
      </w:r>
      <w:r>
        <w:rPr>
          <w:spacing w:val="32"/>
        </w:rPr>
        <w:t xml:space="preserve"> </w:t>
      </w:r>
      <w:r>
        <w:t>Abuse</w:t>
      </w:r>
      <w:r>
        <w:rPr>
          <w:spacing w:val="32"/>
        </w:rPr>
        <w:t xml:space="preserve"> </w:t>
      </w:r>
      <w:r>
        <w:t>Services</w:t>
      </w:r>
      <w:r>
        <w:rPr>
          <w:spacing w:val="33"/>
        </w:rPr>
        <w:t xml:space="preserve"> </w:t>
      </w:r>
      <w:r>
        <w:t>(BSAS)</w:t>
      </w:r>
      <w:r>
        <w:rPr>
          <w:spacing w:val="30"/>
        </w:rPr>
        <w:t xml:space="preserve"> </w:t>
      </w:r>
      <w:r>
        <w:t>and</w:t>
      </w:r>
      <w:r>
        <w:rPr>
          <w:spacing w:val="31"/>
        </w:rPr>
        <w:t xml:space="preserve"> </w:t>
      </w:r>
      <w:r>
        <w:t>the</w:t>
      </w:r>
      <w:r>
        <w:rPr>
          <w:spacing w:val="32"/>
        </w:rPr>
        <w:t xml:space="preserve"> </w:t>
      </w:r>
      <w:r>
        <w:t>Office</w:t>
      </w:r>
      <w:r>
        <w:rPr>
          <w:spacing w:val="32"/>
        </w:rPr>
        <w:t xml:space="preserve"> </w:t>
      </w:r>
      <w:r>
        <w:t>of</w:t>
      </w:r>
      <w:r>
        <w:rPr>
          <w:spacing w:val="31"/>
        </w:rPr>
        <w:t xml:space="preserve"> </w:t>
      </w:r>
      <w:r>
        <w:t>Youth</w:t>
      </w:r>
      <w:r>
        <w:rPr>
          <w:spacing w:val="31"/>
        </w:rPr>
        <w:t xml:space="preserve"> </w:t>
      </w:r>
      <w:r>
        <w:t>and</w:t>
      </w:r>
      <w:r>
        <w:rPr>
          <w:spacing w:val="30"/>
        </w:rPr>
        <w:t xml:space="preserve"> </w:t>
      </w:r>
      <w:r>
        <w:t>Young</w:t>
      </w:r>
      <w:r>
        <w:rPr>
          <w:spacing w:val="32"/>
        </w:rPr>
        <w:t xml:space="preserve"> </w:t>
      </w:r>
      <w:r>
        <w:t>Adult</w:t>
      </w:r>
      <w:r>
        <w:rPr>
          <w:spacing w:val="30"/>
        </w:rPr>
        <w:t xml:space="preserve"> </w:t>
      </w:r>
      <w:r>
        <w:t>Services</w:t>
      </w:r>
      <w:r>
        <w:rPr>
          <w:spacing w:val="33"/>
        </w:rPr>
        <w:t xml:space="preserve"> </w:t>
      </w:r>
      <w:r>
        <w:t>(OYYAS)</w:t>
      </w:r>
      <w:r>
        <w:rPr>
          <w:spacing w:val="30"/>
        </w:rPr>
        <w:t xml:space="preserve"> </w:t>
      </w:r>
      <w:r>
        <w:t>have</w:t>
      </w:r>
    </w:p>
    <w:p w:rsidR="00C76E6D" w:rsidRDefault="00913831">
      <w:pPr>
        <w:pStyle w:val="BodyText"/>
        <w:spacing w:before="7"/>
        <w:ind w:left="308"/>
        <w:jc w:val="both"/>
      </w:pPr>
      <w:r>
        <w:rPr>
          <w:spacing w:val="75"/>
          <w:u w:val="single" w:color="D9D9D9"/>
        </w:rPr>
        <w:t xml:space="preserve">   </w:t>
      </w:r>
      <w:r>
        <w:rPr>
          <w:w w:val="95"/>
          <w:u w:val="single" w:color="D9D9D9"/>
        </w:rPr>
        <w:t>modeled</w:t>
      </w:r>
      <w:r>
        <w:rPr>
          <w:spacing w:val="6"/>
          <w:u w:val="single" w:color="D9D9D9"/>
        </w:rPr>
        <w:t xml:space="preserve"> </w:t>
      </w:r>
      <w:r>
        <w:rPr>
          <w:w w:val="95"/>
          <w:u w:val="single" w:color="D9D9D9"/>
        </w:rPr>
        <w:t>an</w:t>
      </w:r>
      <w:r>
        <w:rPr>
          <w:spacing w:val="6"/>
          <w:u w:val="single" w:color="D9D9D9"/>
        </w:rPr>
        <w:t xml:space="preserve"> </w:t>
      </w:r>
      <w:r>
        <w:rPr>
          <w:w w:val="95"/>
          <w:u w:val="single" w:color="D9D9D9"/>
        </w:rPr>
        <w:t>excellent</w:t>
      </w:r>
      <w:r>
        <w:rPr>
          <w:spacing w:val="4"/>
          <w:u w:val="single" w:color="D9D9D9"/>
        </w:rPr>
        <w:t xml:space="preserve"> </w:t>
      </w:r>
      <w:r>
        <w:rPr>
          <w:w w:val="95"/>
          <w:u w:val="single" w:color="D9D9D9"/>
        </w:rPr>
        <w:t>approach</w:t>
      </w:r>
      <w:r>
        <w:rPr>
          <w:spacing w:val="8"/>
          <w:u w:val="single" w:color="D9D9D9"/>
        </w:rPr>
        <w:t xml:space="preserve"> </w:t>
      </w:r>
      <w:r>
        <w:rPr>
          <w:w w:val="95"/>
          <w:u w:val="single" w:color="D9D9D9"/>
        </w:rPr>
        <w:t>to</w:t>
      </w:r>
      <w:r>
        <w:rPr>
          <w:spacing w:val="5"/>
          <w:u w:val="single" w:color="D9D9D9"/>
        </w:rPr>
        <w:t xml:space="preserve"> </w:t>
      </w:r>
      <w:r>
        <w:rPr>
          <w:w w:val="95"/>
          <w:u w:val="single" w:color="D9D9D9"/>
        </w:rPr>
        <w:t>staff</w:t>
      </w:r>
      <w:r>
        <w:rPr>
          <w:spacing w:val="8"/>
          <w:u w:val="single" w:color="D9D9D9"/>
        </w:rPr>
        <w:t xml:space="preserve"> </w:t>
      </w:r>
      <w:r>
        <w:rPr>
          <w:w w:val="95"/>
          <w:u w:val="single" w:color="D9D9D9"/>
        </w:rPr>
        <w:t>training</w:t>
      </w:r>
      <w:r>
        <w:rPr>
          <w:spacing w:val="6"/>
          <w:u w:val="single" w:color="D9D9D9"/>
        </w:rPr>
        <w:t xml:space="preserve"> </w:t>
      </w:r>
      <w:r>
        <w:rPr>
          <w:w w:val="95"/>
          <w:u w:val="single" w:color="D9D9D9"/>
        </w:rPr>
        <w:t>in</w:t>
      </w:r>
      <w:r>
        <w:rPr>
          <w:spacing w:val="7"/>
          <w:u w:val="single" w:color="D9D9D9"/>
        </w:rPr>
        <w:t xml:space="preserve"> </w:t>
      </w:r>
      <w:r>
        <w:rPr>
          <w:w w:val="95"/>
          <w:u w:val="single" w:color="D9D9D9"/>
        </w:rPr>
        <w:t>LGBTQ</w:t>
      </w:r>
      <w:r>
        <w:rPr>
          <w:spacing w:val="6"/>
          <w:u w:val="single" w:color="D9D9D9"/>
        </w:rPr>
        <w:t xml:space="preserve"> </w:t>
      </w:r>
      <w:r>
        <w:rPr>
          <w:w w:val="95"/>
          <w:u w:val="single" w:color="D9D9D9"/>
        </w:rPr>
        <w:t>cultural</w:t>
      </w:r>
      <w:r>
        <w:rPr>
          <w:spacing w:val="16"/>
          <w:u w:val="single" w:color="D9D9D9"/>
        </w:rPr>
        <w:t xml:space="preserve"> </w:t>
      </w:r>
      <w:r>
        <w:rPr>
          <w:w w:val="95"/>
          <w:u w:val="single" w:color="D9D9D9"/>
        </w:rPr>
        <w:t>humility.</w:t>
      </w:r>
      <w:r>
        <w:rPr>
          <w:spacing w:val="11"/>
          <w:u w:val="single" w:color="D9D9D9"/>
        </w:rPr>
        <w:t xml:space="preserve"> </w:t>
      </w:r>
      <w:r>
        <w:rPr>
          <w:w w:val="95"/>
          <w:u w:val="single" w:color="D9D9D9"/>
        </w:rPr>
        <w:t>The</w:t>
      </w:r>
      <w:r>
        <w:rPr>
          <w:spacing w:val="6"/>
          <w:u w:val="single" w:color="D9D9D9"/>
        </w:rPr>
        <w:t xml:space="preserve"> </w:t>
      </w:r>
      <w:r>
        <w:rPr>
          <w:w w:val="95"/>
          <w:u w:val="single" w:color="D9D9D9"/>
        </w:rPr>
        <w:t>Commission</w:t>
      </w:r>
      <w:r>
        <w:rPr>
          <w:spacing w:val="3"/>
          <w:u w:val="single" w:color="D9D9D9"/>
        </w:rPr>
        <w:t xml:space="preserve"> </w:t>
      </w:r>
      <w:r>
        <w:rPr>
          <w:w w:val="95"/>
          <w:u w:val="single" w:color="D9D9D9"/>
        </w:rPr>
        <w:t>was</w:t>
      </w:r>
      <w:r>
        <w:rPr>
          <w:spacing w:val="6"/>
          <w:u w:val="single" w:color="D9D9D9"/>
        </w:rPr>
        <w:t xml:space="preserve"> </w:t>
      </w:r>
      <w:r>
        <w:rPr>
          <w:spacing w:val="-4"/>
          <w:w w:val="95"/>
          <w:u w:val="single" w:color="D9D9D9"/>
        </w:rPr>
        <w:t>also</w:t>
      </w:r>
    </w:p>
    <w:p w:rsidR="00C76E6D" w:rsidRDefault="00C76E6D">
      <w:pPr>
        <w:jc w:val="both"/>
        <w:sectPr w:rsidR="00C76E6D">
          <w:headerReference w:type="default" r:id="rId420"/>
          <w:footerReference w:type="default" r:id="rId421"/>
          <w:pgSz w:w="12240" w:h="15840"/>
          <w:pgMar w:top="1020" w:right="960" w:bottom="720" w:left="960" w:header="818" w:footer="532" w:gutter="0"/>
          <w:cols w:space="720"/>
        </w:sectPr>
      </w:pPr>
    </w:p>
    <w:p w:rsidR="00C76E6D" w:rsidRDefault="00C76E6D">
      <w:pPr>
        <w:pStyle w:val="BodyText"/>
        <w:spacing w:before="7"/>
        <w:rPr>
          <w:sz w:val="20"/>
        </w:rPr>
      </w:pPr>
    </w:p>
    <w:p w:rsidR="00C76E6D" w:rsidRDefault="00913831">
      <w:pPr>
        <w:pStyle w:val="BodyText"/>
        <w:spacing w:before="55"/>
        <w:ind w:left="627"/>
        <w:jc w:val="both"/>
      </w:pPr>
      <w:r>
        <w:rPr>
          <w:spacing w:val="-2"/>
        </w:rPr>
        <w:t>pleased</w:t>
      </w:r>
      <w:r>
        <w:rPr>
          <w:spacing w:val="-4"/>
        </w:rPr>
        <w:t xml:space="preserve"> </w:t>
      </w:r>
      <w:r>
        <w:rPr>
          <w:spacing w:val="-2"/>
        </w:rPr>
        <w:t>to offer</w:t>
      </w:r>
      <w:r>
        <w:rPr>
          <w:spacing w:val="-5"/>
        </w:rPr>
        <w:t xml:space="preserve"> </w:t>
      </w:r>
      <w:r>
        <w:rPr>
          <w:spacing w:val="-2"/>
        </w:rPr>
        <w:t>a</w:t>
      </w:r>
      <w:r>
        <w:rPr>
          <w:spacing w:val="-3"/>
        </w:rPr>
        <w:t xml:space="preserve"> </w:t>
      </w:r>
      <w:r>
        <w:rPr>
          <w:spacing w:val="-2"/>
        </w:rPr>
        <w:t>two-part</w:t>
      </w:r>
      <w:r>
        <w:rPr>
          <w:spacing w:val="-4"/>
        </w:rPr>
        <w:t xml:space="preserve"> </w:t>
      </w:r>
      <w:r>
        <w:rPr>
          <w:spacing w:val="-2"/>
        </w:rPr>
        <w:t>training to</w:t>
      </w:r>
      <w:r>
        <w:rPr>
          <w:spacing w:val="-3"/>
        </w:rPr>
        <w:t xml:space="preserve"> </w:t>
      </w:r>
      <w:r>
        <w:rPr>
          <w:spacing w:val="-2"/>
        </w:rPr>
        <w:t>the</w:t>
      </w:r>
      <w:r>
        <w:rPr>
          <w:spacing w:val="-4"/>
        </w:rPr>
        <w:t xml:space="preserve"> </w:t>
      </w:r>
      <w:r>
        <w:rPr>
          <w:spacing w:val="-2"/>
        </w:rPr>
        <w:t>Bureau</w:t>
      </w:r>
      <w:r>
        <w:rPr>
          <w:spacing w:val="-3"/>
        </w:rPr>
        <w:t xml:space="preserve"> </w:t>
      </w:r>
      <w:r>
        <w:rPr>
          <w:spacing w:val="-2"/>
        </w:rPr>
        <w:t>of</w:t>
      </w:r>
      <w:r>
        <w:rPr>
          <w:spacing w:val="-3"/>
        </w:rPr>
        <w:t xml:space="preserve"> </w:t>
      </w:r>
      <w:r>
        <w:rPr>
          <w:spacing w:val="-2"/>
        </w:rPr>
        <w:t>Community</w:t>
      </w:r>
      <w:r>
        <w:rPr>
          <w:spacing w:val="-4"/>
        </w:rPr>
        <w:t xml:space="preserve"> </w:t>
      </w:r>
      <w:r>
        <w:rPr>
          <w:spacing w:val="-2"/>
        </w:rPr>
        <w:t>Health</w:t>
      </w:r>
      <w:r>
        <w:rPr>
          <w:spacing w:val="-4"/>
        </w:rPr>
        <w:t xml:space="preserve"> </w:t>
      </w:r>
      <w:r>
        <w:rPr>
          <w:spacing w:val="-2"/>
        </w:rPr>
        <w:t>and</w:t>
      </w:r>
      <w:r>
        <w:rPr>
          <w:spacing w:val="-7"/>
        </w:rPr>
        <w:t xml:space="preserve"> </w:t>
      </w:r>
      <w:r>
        <w:rPr>
          <w:spacing w:val="-2"/>
        </w:rPr>
        <w:t>Prevention</w:t>
      </w:r>
      <w:r>
        <w:rPr>
          <w:spacing w:val="-3"/>
        </w:rPr>
        <w:t xml:space="preserve"> </w:t>
      </w:r>
      <w:r>
        <w:rPr>
          <w:spacing w:val="-2"/>
        </w:rPr>
        <w:t>in</w:t>
      </w:r>
      <w:r>
        <w:rPr>
          <w:spacing w:val="-4"/>
        </w:rPr>
        <w:t xml:space="preserve"> </w:t>
      </w:r>
      <w:r>
        <w:rPr>
          <w:spacing w:val="-2"/>
        </w:rPr>
        <w:t>FY21.</w:t>
      </w:r>
    </w:p>
    <w:p w:rsidR="00C76E6D" w:rsidRDefault="00C76E6D">
      <w:pPr>
        <w:pStyle w:val="BodyText"/>
        <w:rPr>
          <w:sz w:val="23"/>
        </w:rPr>
      </w:pPr>
    </w:p>
    <w:p w:rsidR="00C76E6D" w:rsidRDefault="00913831">
      <w:pPr>
        <w:pStyle w:val="BodyText"/>
        <w:spacing w:before="1" w:line="276" w:lineRule="auto"/>
        <w:ind w:left="626" w:right="336"/>
        <w:jc w:val="both"/>
      </w:pPr>
      <w:r>
        <w:t>The</w:t>
      </w:r>
      <w:r>
        <w:rPr>
          <w:spacing w:val="-13"/>
        </w:rPr>
        <w:t xml:space="preserve"> </w:t>
      </w:r>
      <w:r>
        <w:t>Commission</w:t>
      </w:r>
      <w:r>
        <w:rPr>
          <w:spacing w:val="-12"/>
        </w:rPr>
        <w:t xml:space="preserve"> </w:t>
      </w:r>
      <w:r>
        <w:t>is</w:t>
      </w:r>
      <w:r>
        <w:rPr>
          <w:spacing w:val="-13"/>
        </w:rPr>
        <w:t xml:space="preserve"> </w:t>
      </w:r>
      <w:r>
        <w:t>also</w:t>
      </w:r>
      <w:r>
        <w:rPr>
          <w:spacing w:val="-12"/>
        </w:rPr>
        <w:t xml:space="preserve"> </w:t>
      </w:r>
      <w:r>
        <w:t>pleased</w:t>
      </w:r>
      <w:r>
        <w:rPr>
          <w:spacing w:val="-13"/>
        </w:rPr>
        <w:t xml:space="preserve"> </w:t>
      </w:r>
      <w:r>
        <w:t>to</w:t>
      </w:r>
      <w:r>
        <w:rPr>
          <w:spacing w:val="-12"/>
        </w:rPr>
        <w:t xml:space="preserve"> </w:t>
      </w:r>
      <w:r>
        <w:t>hear</w:t>
      </w:r>
      <w:r>
        <w:rPr>
          <w:spacing w:val="-12"/>
        </w:rPr>
        <w:t xml:space="preserve"> </w:t>
      </w:r>
      <w:r>
        <w:t>that</w:t>
      </w:r>
      <w:r>
        <w:rPr>
          <w:spacing w:val="-13"/>
        </w:rPr>
        <w:t xml:space="preserve"> </w:t>
      </w:r>
      <w:r>
        <w:t>DPH</w:t>
      </w:r>
      <w:r>
        <w:rPr>
          <w:spacing w:val="-11"/>
        </w:rPr>
        <w:t xml:space="preserve"> </w:t>
      </w:r>
      <w:r>
        <w:t>has</w:t>
      </w:r>
      <w:r>
        <w:rPr>
          <w:spacing w:val="-12"/>
        </w:rPr>
        <w:t xml:space="preserve"> </w:t>
      </w:r>
      <w:r>
        <w:t>engaged</w:t>
      </w:r>
      <w:r>
        <w:rPr>
          <w:spacing w:val="-12"/>
        </w:rPr>
        <w:t xml:space="preserve"> </w:t>
      </w:r>
      <w:r>
        <w:t>with</w:t>
      </w:r>
      <w:r>
        <w:rPr>
          <w:spacing w:val="-13"/>
        </w:rPr>
        <w:t xml:space="preserve"> </w:t>
      </w:r>
      <w:r>
        <w:t>other</w:t>
      </w:r>
      <w:r>
        <w:rPr>
          <w:spacing w:val="-12"/>
        </w:rPr>
        <w:t xml:space="preserve"> </w:t>
      </w:r>
      <w:r>
        <w:t>organizations</w:t>
      </w:r>
      <w:r>
        <w:rPr>
          <w:spacing w:val="-12"/>
        </w:rPr>
        <w:t xml:space="preserve"> </w:t>
      </w:r>
      <w:r>
        <w:t>to</w:t>
      </w:r>
      <w:r>
        <w:rPr>
          <w:spacing w:val="-12"/>
        </w:rPr>
        <w:t xml:space="preserve"> </w:t>
      </w:r>
      <w:r>
        <w:t>develop</w:t>
      </w:r>
      <w:r>
        <w:rPr>
          <w:spacing w:val="-13"/>
        </w:rPr>
        <w:t xml:space="preserve"> </w:t>
      </w:r>
      <w:r>
        <w:t>training opportunities.</w:t>
      </w:r>
      <w:r>
        <w:rPr>
          <w:spacing w:val="-2"/>
        </w:rPr>
        <w:t xml:space="preserve"> </w:t>
      </w:r>
      <w:r>
        <w:t>In</w:t>
      </w:r>
      <w:r>
        <w:rPr>
          <w:spacing w:val="-2"/>
        </w:rPr>
        <w:t xml:space="preserve"> </w:t>
      </w:r>
      <w:r>
        <w:t>FY2020,</w:t>
      </w:r>
      <w:r>
        <w:rPr>
          <w:spacing w:val="-1"/>
        </w:rPr>
        <w:t xml:space="preserve"> </w:t>
      </w:r>
      <w:r>
        <w:t>DPH</w:t>
      </w:r>
      <w:r>
        <w:rPr>
          <w:spacing w:val="-3"/>
        </w:rPr>
        <w:t xml:space="preserve"> </w:t>
      </w:r>
      <w:r>
        <w:t>met</w:t>
      </w:r>
      <w:r>
        <w:rPr>
          <w:spacing w:val="-2"/>
        </w:rPr>
        <w:t xml:space="preserve"> </w:t>
      </w:r>
      <w:r>
        <w:t>with</w:t>
      </w:r>
      <w:r>
        <w:rPr>
          <w:spacing w:val="-1"/>
        </w:rPr>
        <w:t xml:space="preserve"> </w:t>
      </w:r>
      <w:r>
        <w:t>Advocates</w:t>
      </w:r>
      <w:r>
        <w:rPr>
          <w:spacing w:val="-1"/>
        </w:rPr>
        <w:t xml:space="preserve"> </w:t>
      </w:r>
      <w:r>
        <w:t>for</w:t>
      </w:r>
      <w:r>
        <w:rPr>
          <w:spacing w:val="-3"/>
        </w:rPr>
        <w:t xml:space="preserve"> </w:t>
      </w:r>
      <w:r>
        <w:t>Youth</w:t>
      </w:r>
      <w:r>
        <w:rPr>
          <w:spacing w:val="-1"/>
        </w:rPr>
        <w:t xml:space="preserve"> </w:t>
      </w:r>
      <w:r>
        <w:t>to</w:t>
      </w:r>
      <w:r>
        <w:rPr>
          <w:spacing w:val="-1"/>
        </w:rPr>
        <w:t xml:space="preserve"> </w:t>
      </w:r>
      <w:r>
        <w:t>discuss</w:t>
      </w:r>
      <w:r>
        <w:rPr>
          <w:spacing w:val="-1"/>
        </w:rPr>
        <w:t xml:space="preserve"> </w:t>
      </w:r>
      <w:r>
        <w:t>creating spaces</w:t>
      </w:r>
      <w:r>
        <w:rPr>
          <w:spacing w:val="-1"/>
        </w:rPr>
        <w:t xml:space="preserve"> </w:t>
      </w:r>
      <w:r>
        <w:t>for</w:t>
      </w:r>
      <w:r>
        <w:rPr>
          <w:spacing w:val="-3"/>
        </w:rPr>
        <w:t xml:space="preserve"> </w:t>
      </w:r>
      <w:r>
        <w:t>LGBTQ</w:t>
      </w:r>
      <w:r>
        <w:rPr>
          <w:spacing w:val="-3"/>
        </w:rPr>
        <w:t xml:space="preserve"> </w:t>
      </w:r>
      <w:r>
        <w:t>youth, youth-adult partnerships focused on LGBTQ and gender equity and developing a training. BSAS has also recently worked with Human Rights Campaign Foundation to create a training that addresses the risk of substance use disorder among LGBTQ youth for m</w:t>
      </w:r>
      <w:r>
        <w:t>iddle and high school contract providers. Additionally, the Commission was pleased to recently learn that BIDLS, Office of Health Care Planning (OHCP), in partnership with Justice Resource Institute (JRI), developed a new training for infectious disease pu</w:t>
      </w:r>
      <w:r>
        <w:t>blic health staff on sexual health, that included content on sexual orientation and gender identity.</w:t>
      </w:r>
    </w:p>
    <w:p w:rsidR="00C76E6D" w:rsidRDefault="00C76E6D">
      <w:pPr>
        <w:pStyle w:val="BodyText"/>
        <w:spacing w:before="6"/>
        <w:rPr>
          <w:sz w:val="19"/>
        </w:rPr>
      </w:pPr>
    </w:p>
    <w:p w:rsidR="00C76E6D" w:rsidRDefault="00913831">
      <w:pPr>
        <w:pStyle w:val="BodyText"/>
        <w:spacing w:before="1" w:line="276" w:lineRule="auto"/>
        <w:ind w:left="627" w:right="335"/>
        <w:jc w:val="both"/>
      </w:pPr>
      <w:r>
        <w:t>The</w:t>
      </w:r>
      <w:r>
        <w:rPr>
          <w:spacing w:val="-4"/>
        </w:rPr>
        <w:t xml:space="preserve"> </w:t>
      </w:r>
      <w:r>
        <w:t>EOHHS</w:t>
      </w:r>
      <w:r>
        <w:rPr>
          <w:spacing w:val="-5"/>
        </w:rPr>
        <w:t xml:space="preserve"> </w:t>
      </w:r>
      <w:r>
        <w:t>interagency</w:t>
      </w:r>
      <w:r>
        <w:rPr>
          <w:spacing w:val="-5"/>
        </w:rPr>
        <w:t xml:space="preserve"> </w:t>
      </w:r>
      <w:r>
        <w:t>training</w:t>
      </w:r>
      <w:r>
        <w:rPr>
          <w:spacing w:val="-5"/>
        </w:rPr>
        <w:t xml:space="preserve"> </w:t>
      </w:r>
      <w:r>
        <w:t>could</w:t>
      </w:r>
      <w:r>
        <w:rPr>
          <w:spacing w:val="-5"/>
        </w:rPr>
        <w:t xml:space="preserve"> </w:t>
      </w:r>
      <w:r>
        <w:t>be</w:t>
      </w:r>
      <w:r>
        <w:rPr>
          <w:spacing w:val="-7"/>
        </w:rPr>
        <w:t xml:space="preserve"> </w:t>
      </w:r>
      <w:r>
        <w:t>used</w:t>
      </w:r>
      <w:r>
        <w:rPr>
          <w:spacing w:val="-4"/>
        </w:rPr>
        <w:t xml:space="preserve"> </w:t>
      </w:r>
      <w:r>
        <w:t>to</w:t>
      </w:r>
      <w:r>
        <w:rPr>
          <w:spacing w:val="-5"/>
        </w:rPr>
        <w:t xml:space="preserve"> </w:t>
      </w:r>
      <w:r>
        <w:t>ensure</w:t>
      </w:r>
      <w:r>
        <w:rPr>
          <w:spacing w:val="-5"/>
        </w:rPr>
        <w:t xml:space="preserve"> </w:t>
      </w:r>
      <w:r>
        <w:t>more</w:t>
      </w:r>
      <w:r>
        <w:rPr>
          <w:spacing w:val="-4"/>
        </w:rPr>
        <w:t xml:space="preserve"> </w:t>
      </w:r>
      <w:r>
        <w:t>consistency</w:t>
      </w:r>
      <w:r>
        <w:rPr>
          <w:spacing w:val="-5"/>
        </w:rPr>
        <w:t xml:space="preserve"> </w:t>
      </w:r>
      <w:r>
        <w:t>between</w:t>
      </w:r>
      <w:r>
        <w:rPr>
          <w:spacing w:val="-5"/>
        </w:rPr>
        <w:t xml:space="preserve"> </w:t>
      </w:r>
      <w:r>
        <w:t>the</w:t>
      </w:r>
      <w:r>
        <w:rPr>
          <w:spacing w:val="-6"/>
        </w:rPr>
        <w:t xml:space="preserve"> </w:t>
      </w:r>
      <w:r>
        <w:t>various</w:t>
      </w:r>
      <w:r>
        <w:rPr>
          <w:spacing w:val="-6"/>
        </w:rPr>
        <w:t xml:space="preserve"> </w:t>
      </w:r>
      <w:r>
        <w:t>trainings offered to providers, although variation based on the specific type of provider and nature of the funding certainly remains important. DPH notes that during FY2022, several staff were able to participate in the EOHHS agency training groups and th</w:t>
      </w:r>
      <w:r>
        <w:t>at the trainings will continue to be promoted through quarterly required managerial meetings. The DPH LGBTQ Working Group has a community engagement subgroup committed to analyzing and implementing recommendations from the Commission as well as the Commiss</w:t>
      </w:r>
      <w:r>
        <w:t xml:space="preserve">ion on LGBT Aging. This subgroup could be one conduit for investigating provider training </w:t>
      </w:r>
      <w:r>
        <w:rPr>
          <w:spacing w:val="-2"/>
        </w:rPr>
        <w:t>opportunities.</w:t>
      </w:r>
    </w:p>
    <w:p w:rsidR="00C76E6D" w:rsidRDefault="00C76E6D">
      <w:pPr>
        <w:pStyle w:val="BodyText"/>
        <w:spacing w:before="3"/>
        <w:rPr>
          <w:sz w:val="25"/>
        </w:rPr>
      </w:pPr>
    </w:p>
    <w:p w:rsidR="00C76E6D" w:rsidRDefault="00913831">
      <w:pPr>
        <w:pStyle w:val="Heading6"/>
        <w:numPr>
          <w:ilvl w:val="0"/>
          <w:numId w:val="10"/>
        </w:numPr>
        <w:tabs>
          <w:tab w:val="left" w:pos="567"/>
        </w:tabs>
        <w:spacing w:line="276" w:lineRule="auto"/>
        <w:ind w:right="461" w:hanging="1"/>
        <w:rPr>
          <w:b w:val="0"/>
        </w:rPr>
      </w:pPr>
      <w:bookmarkStart w:id="828" w:name="3._Finalize_the_sexual_orientation_and_g"/>
      <w:bookmarkEnd w:id="828"/>
      <w:r>
        <w:t>Finalize the sexual orientation and gender identity and expression (SOGIE) data standards, implement them, and increase dissemination of SOGIE data.</w:t>
      </w:r>
    </w:p>
    <w:p w:rsidR="00C76E6D" w:rsidRDefault="00C76E6D">
      <w:pPr>
        <w:pStyle w:val="BodyText"/>
        <w:spacing w:before="2"/>
        <w:rPr>
          <w:b/>
          <w:sz w:val="26"/>
        </w:rPr>
      </w:pPr>
    </w:p>
    <w:p w:rsidR="00C76E6D" w:rsidRDefault="00913831">
      <w:pPr>
        <w:pStyle w:val="BodyText"/>
        <w:spacing w:line="276" w:lineRule="auto"/>
        <w:ind w:left="628" w:right="331" w:hanging="1"/>
        <w:jc w:val="both"/>
      </w:pPr>
      <w:r>
        <w:t>DPH</w:t>
      </w:r>
      <w:r>
        <w:rPr>
          <w:spacing w:val="-13"/>
        </w:rPr>
        <w:t xml:space="preserve"> </w:t>
      </w:r>
      <w:r>
        <w:t>has</w:t>
      </w:r>
      <w:r>
        <w:rPr>
          <w:spacing w:val="-12"/>
        </w:rPr>
        <w:t xml:space="preserve"> </w:t>
      </w:r>
      <w:r>
        <w:t>finalized</w:t>
      </w:r>
      <w:r>
        <w:rPr>
          <w:spacing w:val="-13"/>
        </w:rPr>
        <w:t xml:space="preserve"> </w:t>
      </w:r>
      <w:r>
        <w:t>data</w:t>
      </w:r>
      <w:r>
        <w:rPr>
          <w:spacing w:val="-12"/>
        </w:rPr>
        <w:t xml:space="preserve"> </w:t>
      </w:r>
      <w:r>
        <w:t>standards</w:t>
      </w:r>
      <w:r>
        <w:rPr>
          <w:spacing w:val="-13"/>
        </w:rPr>
        <w:t xml:space="preserve"> </w:t>
      </w:r>
      <w:r>
        <w:t>for</w:t>
      </w:r>
      <w:r>
        <w:rPr>
          <w:spacing w:val="-12"/>
        </w:rPr>
        <w:t xml:space="preserve"> </w:t>
      </w:r>
      <w:r>
        <w:t>providers</w:t>
      </w:r>
      <w:r>
        <w:rPr>
          <w:spacing w:val="-13"/>
        </w:rPr>
        <w:t xml:space="preserve"> </w:t>
      </w:r>
      <w:r>
        <w:t>that</w:t>
      </w:r>
      <w:r>
        <w:rPr>
          <w:spacing w:val="-12"/>
        </w:rPr>
        <w:t xml:space="preserve"> </w:t>
      </w:r>
      <w:r>
        <w:t>include</w:t>
      </w:r>
      <w:r>
        <w:rPr>
          <w:spacing w:val="-12"/>
        </w:rPr>
        <w:t xml:space="preserve"> </w:t>
      </w:r>
      <w:r>
        <w:t>SOGIE</w:t>
      </w:r>
      <w:r>
        <w:rPr>
          <w:spacing w:val="-13"/>
        </w:rPr>
        <w:t xml:space="preserve"> </w:t>
      </w:r>
      <w:r>
        <w:t>measures,</w:t>
      </w:r>
      <w:r>
        <w:rPr>
          <w:spacing w:val="-12"/>
        </w:rPr>
        <w:t xml:space="preserve"> </w:t>
      </w:r>
      <w:r>
        <w:t>as</w:t>
      </w:r>
      <w:r>
        <w:rPr>
          <w:spacing w:val="-13"/>
        </w:rPr>
        <w:t xml:space="preserve"> </w:t>
      </w:r>
      <w:r>
        <w:t>was</w:t>
      </w:r>
      <w:r>
        <w:rPr>
          <w:spacing w:val="-12"/>
        </w:rPr>
        <w:t xml:space="preserve"> </w:t>
      </w:r>
      <w:r>
        <w:t>discussed</w:t>
      </w:r>
      <w:r>
        <w:rPr>
          <w:spacing w:val="-13"/>
        </w:rPr>
        <w:t xml:space="preserve"> </w:t>
      </w:r>
      <w:r>
        <w:t>in</w:t>
      </w:r>
      <w:r>
        <w:rPr>
          <w:spacing w:val="-12"/>
        </w:rPr>
        <w:t xml:space="preserve"> </w:t>
      </w:r>
      <w:r>
        <w:t>last</w:t>
      </w:r>
      <w:r>
        <w:rPr>
          <w:spacing w:val="-12"/>
        </w:rPr>
        <w:t xml:space="preserve"> </w:t>
      </w:r>
      <w:r>
        <w:t>year’s recommendation,</w:t>
      </w:r>
      <w:r>
        <w:rPr>
          <w:spacing w:val="-4"/>
        </w:rPr>
        <w:t xml:space="preserve"> </w:t>
      </w:r>
      <w:r>
        <w:t>as</w:t>
      </w:r>
      <w:r>
        <w:rPr>
          <w:spacing w:val="-4"/>
        </w:rPr>
        <w:t xml:space="preserve"> </w:t>
      </w:r>
      <w:r>
        <w:t>well</w:t>
      </w:r>
      <w:r>
        <w:rPr>
          <w:spacing w:val="-4"/>
        </w:rPr>
        <w:t xml:space="preserve"> </w:t>
      </w:r>
      <w:r>
        <w:t>as</w:t>
      </w:r>
      <w:r>
        <w:rPr>
          <w:spacing w:val="-4"/>
        </w:rPr>
        <w:t xml:space="preserve"> </w:t>
      </w:r>
      <w:r>
        <w:t>accompanying</w:t>
      </w:r>
      <w:r>
        <w:rPr>
          <w:spacing w:val="-4"/>
        </w:rPr>
        <w:t xml:space="preserve"> </w:t>
      </w:r>
      <w:r>
        <w:t>style</w:t>
      </w:r>
      <w:r>
        <w:rPr>
          <w:spacing w:val="-4"/>
        </w:rPr>
        <w:t xml:space="preserve"> </w:t>
      </w:r>
      <w:r>
        <w:t>guides</w:t>
      </w:r>
      <w:r>
        <w:rPr>
          <w:spacing w:val="-4"/>
        </w:rPr>
        <w:t xml:space="preserve"> </w:t>
      </w:r>
      <w:r>
        <w:t>on</w:t>
      </w:r>
      <w:r>
        <w:rPr>
          <w:spacing w:val="-4"/>
        </w:rPr>
        <w:t xml:space="preserve"> </w:t>
      </w:r>
      <w:r>
        <w:t>how</w:t>
      </w:r>
      <w:r>
        <w:rPr>
          <w:spacing w:val="-4"/>
        </w:rPr>
        <w:t xml:space="preserve"> </w:t>
      </w:r>
      <w:r>
        <w:t>to</w:t>
      </w:r>
      <w:r>
        <w:rPr>
          <w:spacing w:val="-2"/>
        </w:rPr>
        <w:t xml:space="preserve"> </w:t>
      </w:r>
      <w:r>
        <w:t>properly</w:t>
      </w:r>
      <w:r>
        <w:rPr>
          <w:spacing w:val="-4"/>
        </w:rPr>
        <w:t xml:space="preserve"> </w:t>
      </w:r>
      <w:r>
        <w:t>discuss</w:t>
      </w:r>
      <w:r>
        <w:rPr>
          <w:spacing w:val="-4"/>
        </w:rPr>
        <w:t xml:space="preserve"> </w:t>
      </w:r>
      <w:r>
        <w:t>SOGIE</w:t>
      </w:r>
      <w:r>
        <w:rPr>
          <w:spacing w:val="-4"/>
        </w:rPr>
        <w:t xml:space="preserve"> </w:t>
      </w:r>
      <w:r>
        <w:t>data.</w:t>
      </w:r>
      <w:r>
        <w:rPr>
          <w:spacing w:val="-5"/>
        </w:rPr>
        <w:t xml:space="preserve"> </w:t>
      </w:r>
      <w:r>
        <w:t>Recently, the DPH SOGIE Data Working Group completed its revisions to the</w:t>
      </w:r>
      <w:r>
        <w:rPr>
          <w:spacing w:val="-1"/>
        </w:rPr>
        <w:t xml:space="preserve"> </w:t>
      </w:r>
      <w:r>
        <w:t>DPH SOGIE Data Collection Standards and will update the SOGIE Style Guide as one of three priority data collection standards to release and implement. DPH has asked the Commission fo</w:t>
      </w:r>
      <w:r>
        <w:t>r support in the implementation of this data collection endeavor, and additionally plans to contract services to support implementation. One idea that was suggested is the creation of a field guide which could be used as a method of providing more detailed</w:t>
      </w:r>
      <w:r>
        <w:t xml:space="preserve"> instructions to those</w:t>
      </w:r>
      <w:r>
        <w:rPr>
          <w:spacing w:val="-1"/>
        </w:rPr>
        <w:t xml:space="preserve"> </w:t>
      </w:r>
      <w:r>
        <w:t>collecting</w:t>
      </w:r>
      <w:r>
        <w:rPr>
          <w:spacing w:val="-1"/>
        </w:rPr>
        <w:t xml:space="preserve"> </w:t>
      </w:r>
      <w:r>
        <w:t>data.</w:t>
      </w:r>
      <w:r>
        <w:rPr>
          <w:spacing w:val="-1"/>
        </w:rPr>
        <w:t xml:space="preserve"> </w:t>
      </w:r>
      <w:r>
        <w:t>DPH</w:t>
      </w:r>
      <w:r>
        <w:rPr>
          <w:spacing w:val="-2"/>
        </w:rPr>
        <w:t xml:space="preserve"> </w:t>
      </w:r>
      <w:r>
        <w:t>also wants to analyze how</w:t>
      </w:r>
      <w:r>
        <w:rPr>
          <w:spacing w:val="-1"/>
        </w:rPr>
        <w:t xml:space="preserve"> </w:t>
      </w:r>
      <w:r>
        <w:t>these</w:t>
      </w:r>
      <w:r>
        <w:rPr>
          <w:spacing w:val="35"/>
        </w:rPr>
        <w:t xml:space="preserve"> </w:t>
      </w:r>
      <w:r>
        <w:t>questions have</w:t>
      </w:r>
      <w:r>
        <w:rPr>
          <w:spacing w:val="-2"/>
        </w:rPr>
        <w:t xml:space="preserve"> </w:t>
      </w:r>
      <w:r>
        <w:t>changed</w:t>
      </w:r>
      <w:r>
        <w:rPr>
          <w:spacing w:val="-3"/>
        </w:rPr>
        <w:t xml:space="preserve"> </w:t>
      </w:r>
      <w:r>
        <w:t>over time and how data should be analyzed as a result.</w:t>
      </w:r>
    </w:p>
    <w:p w:rsidR="00C76E6D" w:rsidRDefault="00C76E6D">
      <w:pPr>
        <w:pStyle w:val="BodyText"/>
        <w:spacing w:before="6"/>
        <w:rPr>
          <w:sz w:val="19"/>
        </w:rPr>
      </w:pPr>
    </w:p>
    <w:p w:rsidR="00C76E6D" w:rsidRDefault="00913831">
      <w:pPr>
        <w:pStyle w:val="BodyText"/>
        <w:spacing w:before="1" w:line="276" w:lineRule="auto"/>
        <w:ind w:left="627" w:right="332"/>
        <w:jc w:val="both"/>
      </w:pPr>
      <w:r>
        <w:t>Given the limited data on LGBTQ youth in Massachusetts and the difficulty in comparing data that is m</w:t>
      </w:r>
      <w:r>
        <w:t>easured</w:t>
      </w:r>
      <w:r>
        <w:rPr>
          <w:spacing w:val="-4"/>
        </w:rPr>
        <w:t xml:space="preserve"> </w:t>
      </w:r>
      <w:r>
        <w:t>in</w:t>
      </w:r>
      <w:r>
        <w:rPr>
          <w:spacing w:val="-3"/>
        </w:rPr>
        <w:t xml:space="preserve"> </w:t>
      </w:r>
      <w:r>
        <w:t>different</w:t>
      </w:r>
      <w:r>
        <w:rPr>
          <w:spacing w:val="-5"/>
        </w:rPr>
        <w:t xml:space="preserve"> </w:t>
      </w:r>
      <w:r>
        <w:t>ways,</w:t>
      </w:r>
      <w:r>
        <w:rPr>
          <w:spacing w:val="-3"/>
        </w:rPr>
        <w:t xml:space="preserve"> </w:t>
      </w:r>
      <w:r>
        <w:t>the</w:t>
      </w:r>
      <w:r>
        <w:rPr>
          <w:spacing w:val="-4"/>
        </w:rPr>
        <w:t xml:space="preserve"> </w:t>
      </w:r>
      <w:r>
        <w:t>Commission</w:t>
      </w:r>
      <w:r>
        <w:rPr>
          <w:spacing w:val="-5"/>
        </w:rPr>
        <w:t xml:space="preserve"> </w:t>
      </w:r>
      <w:r>
        <w:t>is</w:t>
      </w:r>
      <w:r>
        <w:rPr>
          <w:spacing w:val="-4"/>
        </w:rPr>
        <w:t xml:space="preserve"> </w:t>
      </w:r>
      <w:r>
        <w:t>excited</w:t>
      </w:r>
      <w:r>
        <w:rPr>
          <w:spacing w:val="-4"/>
        </w:rPr>
        <w:t xml:space="preserve"> </w:t>
      </w:r>
      <w:r>
        <w:t>to</w:t>
      </w:r>
      <w:r>
        <w:rPr>
          <w:spacing w:val="-4"/>
        </w:rPr>
        <w:t xml:space="preserve"> </w:t>
      </w:r>
      <w:r>
        <w:t>see</w:t>
      </w:r>
      <w:r>
        <w:rPr>
          <w:spacing w:val="-3"/>
        </w:rPr>
        <w:t xml:space="preserve"> </w:t>
      </w:r>
      <w:r>
        <w:t>these</w:t>
      </w:r>
      <w:r>
        <w:rPr>
          <w:spacing w:val="-6"/>
        </w:rPr>
        <w:t xml:space="preserve"> </w:t>
      </w:r>
      <w:r>
        <w:t>standards</w:t>
      </w:r>
      <w:r>
        <w:rPr>
          <w:spacing w:val="-4"/>
        </w:rPr>
        <w:t xml:space="preserve"> </w:t>
      </w:r>
      <w:r>
        <w:t>implemented,</w:t>
      </w:r>
      <w:r>
        <w:rPr>
          <w:spacing w:val="-3"/>
        </w:rPr>
        <w:t xml:space="preserve"> </w:t>
      </w:r>
      <w:r>
        <w:t>as</w:t>
      </w:r>
      <w:r>
        <w:rPr>
          <w:spacing w:val="-4"/>
        </w:rPr>
        <w:t xml:space="preserve"> </w:t>
      </w:r>
      <w:r>
        <w:t>well</w:t>
      </w:r>
      <w:r>
        <w:rPr>
          <w:spacing w:val="-4"/>
        </w:rPr>
        <w:t xml:space="preserve"> </w:t>
      </w:r>
      <w:r>
        <w:t>as</w:t>
      </w:r>
      <w:r>
        <w:rPr>
          <w:spacing w:val="-4"/>
        </w:rPr>
        <w:t xml:space="preserve"> </w:t>
      </w:r>
      <w:r>
        <w:t>to see the newly collected data analyzed and disseminated. The Commission thanks the Office of Health Equity and Office of Data Management and Outcomes Assessment for their progress on this work. The Commission believes that the standards could prove usefu</w:t>
      </w:r>
      <w:r>
        <w:t>l to other government agencies and non- governmental agencies, particularly those who have expressed concerns about how to develop SOGIE questions and prepare staff to ask them.</w:t>
      </w:r>
    </w:p>
    <w:p w:rsidR="00C76E6D" w:rsidRDefault="00C76E6D">
      <w:pPr>
        <w:pStyle w:val="BodyText"/>
        <w:spacing w:before="9"/>
        <w:rPr>
          <w:sz w:val="19"/>
        </w:rPr>
      </w:pPr>
    </w:p>
    <w:p w:rsidR="00C76E6D" w:rsidRDefault="00913831">
      <w:pPr>
        <w:pStyle w:val="BodyText"/>
        <w:spacing w:line="276" w:lineRule="auto"/>
        <w:ind w:left="627" w:right="336"/>
        <w:jc w:val="both"/>
      </w:pPr>
      <w:r>
        <w:t xml:space="preserve">The Commission also recommends that DPH analyze where and how the Department </w:t>
      </w:r>
      <w:r>
        <w:t>itself is collecting data</w:t>
      </w:r>
      <w:r>
        <w:rPr>
          <w:spacing w:val="-2"/>
        </w:rPr>
        <w:t xml:space="preserve"> </w:t>
      </w:r>
      <w:r>
        <w:t>on</w:t>
      </w:r>
      <w:r>
        <w:rPr>
          <w:spacing w:val="-4"/>
        </w:rPr>
        <w:t xml:space="preserve"> </w:t>
      </w:r>
      <w:r>
        <w:t>SOGIE</w:t>
      </w:r>
      <w:r>
        <w:rPr>
          <w:spacing w:val="-4"/>
        </w:rPr>
        <w:t xml:space="preserve"> </w:t>
      </w:r>
      <w:r>
        <w:t>identities,</w:t>
      </w:r>
      <w:r>
        <w:rPr>
          <w:spacing w:val="-3"/>
        </w:rPr>
        <w:t xml:space="preserve"> </w:t>
      </w:r>
      <w:r>
        <w:t>and</w:t>
      </w:r>
      <w:r>
        <w:rPr>
          <w:spacing w:val="-3"/>
        </w:rPr>
        <w:t xml:space="preserve"> </w:t>
      </w:r>
      <w:r>
        <w:t>how</w:t>
      </w:r>
      <w:r>
        <w:rPr>
          <w:spacing w:val="-3"/>
        </w:rPr>
        <w:t xml:space="preserve"> </w:t>
      </w:r>
      <w:r>
        <w:t>to</w:t>
      </w:r>
      <w:r>
        <w:rPr>
          <w:spacing w:val="-2"/>
        </w:rPr>
        <w:t xml:space="preserve"> </w:t>
      </w:r>
      <w:r>
        <w:t>ensure</w:t>
      </w:r>
      <w:r>
        <w:rPr>
          <w:spacing w:val="-3"/>
        </w:rPr>
        <w:t xml:space="preserve"> </w:t>
      </w:r>
      <w:r>
        <w:t>that</w:t>
      </w:r>
      <w:r>
        <w:rPr>
          <w:spacing w:val="-3"/>
        </w:rPr>
        <w:t xml:space="preserve"> </w:t>
      </w:r>
      <w:r>
        <w:t>as</w:t>
      </w:r>
      <w:r>
        <w:rPr>
          <w:spacing w:val="-3"/>
        </w:rPr>
        <w:t xml:space="preserve"> </w:t>
      </w:r>
      <w:r>
        <w:t>much</w:t>
      </w:r>
      <w:r>
        <w:rPr>
          <w:spacing w:val="-3"/>
        </w:rPr>
        <w:t xml:space="preserve"> </w:t>
      </w:r>
      <w:r>
        <w:t>of</w:t>
      </w:r>
      <w:r>
        <w:rPr>
          <w:spacing w:val="-4"/>
        </w:rPr>
        <w:t xml:space="preserve"> </w:t>
      </w:r>
      <w:r>
        <w:t>its</w:t>
      </w:r>
      <w:r>
        <w:rPr>
          <w:spacing w:val="-1"/>
        </w:rPr>
        <w:t xml:space="preserve"> </w:t>
      </w:r>
      <w:r>
        <w:t>data</w:t>
      </w:r>
      <w:r>
        <w:rPr>
          <w:spacing w:val="-3"/>
        </w:rPr>
        <w:t xml:space="preserve"> </w:t>
      </w:r>
      <w:r>
        <w:t>collection</w:t>
      </w:r>
      <w:r>
        <w:rPr>
          <w:spacing w:val="-3"/>
        </w:rPr>
        <w:t xml:space="preserve"> </w:t>
      </w:r>
      <w:r>
        <w:t>as</w:t>
      </w:r>
      <w:r>
        <w:rPr>
          <w:spacing w:val="-3"/>
        </w:rPr>
        <w:t xml:space="preserve"> </w:t>
      </w:r>
      <w:r>
        <w:t>possible</w:t>
      </w:r>
      <w:r>
        <w:rPr>
          <w:spacing w:val="-4"/>
        </w:rPr>
        <w:t xml:space="preserve"> </w:t>
      </w:r>
      <w:r>
        <w:t>includes</w:t>
      </w:r>
      <w:r>
        <w:rPr>
          <w:spacing w:val="-2"/>
        </w:rPr>
        <w:t xml:space="preserve"> </w:t>
      </w:r>
      <w:r>
        <w:t>these measures. The Commission was disappointed that the Department did not collect SOGI data with other demographic data for COVID-19</w:t>
      </w:r>
      <w:r>
        <w:t xml:space="preserve"> infections and deaths during the pandemic, which has left the public in</w:t>
      </w:r>
    </w:p>
    <w:p w:rsidR="00C76E6D" w:rsidRDefault="00C76E6D">
      <w:pPr>
        <w:spacing w:line="276" w:lineRule="auto"/>
        <w:jc w:val="both"/>
        <w:sectPr w:rsidR="00C76E6D">
          <w:headerReference w:type="default" r:id="rId422"/>
          <w:footerReference w:type="default" r:id="rId423"/>
          <w:pgSz w:w="12240" w:h="15840"/>
          <w:pgMar w:top="1020" w:right="960" w:bottom="720" w:left="960" w:header="832" w:footer="531" w:gutter="0"/>
          <w:cols w:space="720"/>
        </w:sectPr>
      </w:pPr>
    </w:p>
    <w:p w:rsidR="00C76E6D" w:rsidRDefault="00C76E6D">
      <w:pPr>
        <w:pStyle w:val="BodyText"/>
        <w:spacing w:before="7"/>
        <w:rPr>
          <w:sz w:val="20"/>
        </w:rPr>
      </w:pPr>
    </w:p>
    <w:p w:rsidR="00C76E6D" w:rsidRDefault="00913831">
      <w:pPr>
        <w:pStyle w:val="BodyText"/>
        <w:spacing w:before="55" w:line="276" w:lineRule="auto"/>
        <w:ind w:left="627" w:right="336" w:hanging="1"/>
        <w:jc w:val="both"/>
      </w:pPr>
      <w:r>
        <w:t>the</w:t>
      </w:r>
      <w:r>
        <w:rPr>
          <w:spacing w:val="-9"/>
        </w:rPr>
        <w:t xml:space="preserve"> </w:t>
      </w:r>
      <w:r>
        <w:t>dark</w:t>
      </w:r>
      <w:r>
        <w:rPr>
          <w:spacing w:val="-9"/>
        </w:rPr>
        <w:t xml:space="preserve"> </w:t>
      </w:r>
      <w:r>
        <w:t>as</w:t>
      </w:r>
      <w:r>
        <w:rPr>
          <w:spacing w:val="-9"/>
        </w:rPr>
        <w:t xml:space="preserve"> </w:t>
      </w:r>
      <w:r>
        <w:t>to</w:t>
      </w:r>
      <w:r>
        <w:rPr>
          <w:spacing w:val="-7"/>
        </w:rPr>
        <w:t xml:space="preserve"> </w:t>
      </w:r>
      <w:r>
        <w:t>the</w:t>
      </w:r>
      <w:r>
        <w:rPr>
          <w:spacing w:val="-8"/>
        </w:rPr>
        <w:t xml:space="preserve"> </w:t>
      </w:r>
      <w:r>
        <w:t>true</w:t>
      </w:r>
      <w:r>
        <w:rPr>
          <w:spacing w:val="-9"/>
        </w:rPr>
        <w:t xml:space="preserve"> </w:t>
      </w:r>
      <w:r>
        <w:t>impact</w:t>
      </w:r>
      <w:r>
        <w:rPr>
          <w:spacing w:val="-10"/>
        </w:rPr>
        <w:t xml:space="preserve"> </w:t>
      </w:r>
      <w:r>
        <w:t>of</w:t>
      </w:r>
      <w:r>
        <w:rPr>
          <w:spacing w:val="-10"/>
        </w:rPr>
        <w:t xml:space="preserve"> </w:t>
      </w:r>
      <w:r>
        <w:t>COVID-19</w:t>
      </w:r>
      <w:r>
        <w:rPr>
          <w:spacing w:val="-10"/>
        </w:rPr>
        <w:t xml:space="preserve"> </w:t>
      </w:r>
      <w:r>
        <w:t>on</w:t>
      </w:r>
      <w:r>
        <w:rPr>
          <w:spacing w:val="-9"/>
        </w:rPr>
        <w:t xml:space="preserve"> </w:t>
      </w:r>
      <w:r>
        <w:t>the</w:t>
      </w:r>
      <w:r>
        <w:rPr>
          <w:spacing w:val="-9"/>
        </w:rPr>
        <w:t xml:space="preserve"> </w:t>
      </w:r>
      <w:r>
        <w:t>LGBTQ</w:t>
      </w:r>
      <w:r>
        <w:rPr>
          <w:spacing w:val="-9"/>
        </w:rPr>
        <w:t xml:space="preserve"> </w:t>
      </w:r>
      <w:r>
        <w:t>community</w:t>
      </w:r>
      <w:r>
        <w:rPr>
          <w:spacing w:val="-10"/>
        </w:rPr>
        <w:t xml:space="preserve"> </w:t>
      </w:r>
      <w:r>
        <w:t>in</w:t>
      </w:r>
      <w:r>
        <w:rPr>
          <w:spacing w:val="-8"/>
        </w:rPr>
        <w:t xml:space="preserve"> </w:t>
      </w:r>
      <w:r>
        <w:t>Massachusetts.</w:t>
      </w:r>
      <w:r>
        <w:rPr>
          <w:spacing w:val="-8"/>
        </w:rPr>
        <w:t xml:space="preserve"> </w:t>
      </w:r>
      <w:r>
        <w:t>This</w:t>
      </w:r>
      <w:r>
        <w:rPr>
          <w:spacing w:val="-6"/>
        </w:rPr>
        <w:t xml:space="preserve"> </w:t>
      </w:r>
      <w:r>
        <w:t>omission</w:t>
      </w:r>
      <w:r>
        <w:rPr>
          <w:spacing w:val="-10"/>
        </w:rPr>
        <w:t xml:space="preserve"> </w:t>
      </w:r>
      <w:r>
        <w:t>was not a surprise, however, as most states and the federal government declined to collect such data.</w:t>
      </w:r>
    </w:p>
    <w:p w:rsidR="00C76E6D" w:rsidRDefault="00C76E6D">
      <w:pPr>
        <w:pStyle w:val="BodyText"/>
        <w:spacing w:before="7"/>
        <w:rPr>
          <w:sz w:val="19"/>
        </w:rPr>
      </w:pPr>
    </w:p>
    <w:p w:rsidR="00C76E6D" w:rsidRDefault="00913831">
      <w:pPr>
        <w:pStyle w:val="BodyText"/>
        <w:spacing w:before="1" w:line="276" w:lineRule="auto"/>
        <w:ind w:left="627" w:right="330" w:hanging="1"/>
        <w:jc w:val="both"/>
      </w:pPr>
      <w:r>
        <w:t>The</w:t>
      </w:r>
      <w:r>
        <w:rPr>
          <w:spacing w:val="-10"/>
        </w:rPr>
        <w:t xml:space="preserve"> </w:t>
      </w:r>
      <w:r>
        <w:t>Commission</w:t>
      </w:r>
      <w:r>
        <w:rPr>
          <w:spacing w:val="-9"/>
        </w:rPr>
        <w:t xml:space="preserve"> </w:t>
      </w:r>
      <w:r>
        <w:t>was</w:t>
      </w:r>
      <w:r>
        <w:rPr>
          <w:spacing w:val="-9"/>
        </w:rPr>
        <w:t xml:space="preserve"> </w:t>
      </w:r>
      <w:r>
        <w:t>glad,</w:t>
      </w:r>
      <w:r>
        <w:rPr>
          <w:spacing w:val="-10"/>
        </w:rPr>
        <w:t xml:space="preserve"> </w:t>
      </w:r>
      <w:r>
        <w:t>however,</w:t>
      </w:r>
      <w:r>
        <w:rPr>
          <w:spacing w:val="-9"/>
        </w:rPr>
        <w:t xml:space="preserve"> </w:t>
      </w:r>
      <w:r>
        <w:t>to</w:t>
      </w:r>
      <w:r>
        <w:rPr>
          <w:spacing w:val="-8"/>
        </w:rPr>
        <w:t xml:space="preserve"> </w:t>
      </w:r>
      <w:r>
        <w:t>see</w:t>
      </w:r>
      <w:r>
        <w:rPr>
          <w:spacing w:val="-9"/>
        </w:rPr>
        <w:t xml:space="preserve"> </w:t>
      </w:r>
      <w:r>
        <w:t>that</w:t>
      </w:r>
      <w:r>
        <w:rPr>
          <w:spacing w:val="-11"/>
        </w:rPr>
        <w:t xml:space="preserve"> </w:t>
      </w:r>
      <w:r>
        <w:t>DPH</w:t>
      </w:r>
      <w:r>
        <w:rPr>
          <w:spacing w:val="-9"/>
        </w:rPr>
        <w:t xml:space="preserve"> </w:t>
      </w:r>
      <w:r>
        <w:t>published</w:t>
      </w:r>
      <w:r>
        <w:rPr>
          <w:spacing w:val="-9"/>
        </w:rPr>
        <w:t xml:space="preserve"> </w:t>
      </w:r>
      <w:r>
        <w:t>a</w:t>
      </w:r>
      <w:r>
        <w:rPr>
          <w:spacing w:val="-9"/>
        </w:rPr>
        <w:t xml:space="preserve"> </w:t>
      </w:r>
      <w:r>
        <w:t>robust</w:t>
      </w:r>
      <w:r>
        <w:rPr>
          <w:spacing w:val="-11"/>
        </w:rPr>
        <w:t xml:space="preserve"> </w:t>
      </w:r>
      <w:r>
        <w:t>Community</w:t>
      </w:r>
      <w:r>
        <w:rPr>
          <w:spacing w:val="-9"/>
        </w:rPr>
        <w:t xml:space="preserve"> </w:t>
      </w:r>
      <w:r>
        <w:t>Impact</w:t>
      </w:r>
      <w:r>
        <w:rPr>
          <w:spacing w:val="-9"/>
        </w:rPr>
        <w:t xml:space="preserve"> </w:t>
      </w:r>
      <w:r>
        <w:t>Survey</w:t>
      </w:r>
      <w:r>
        <w:rPr>
          <w:spacing w:val="-9"/>
        </w:rPr>
        <w:t xml:space="preserve"> </w:t>
      </w:r>
      <w:r>
        <w:t>in</w:t>
      </w:r>
      <w:r>
        <w:rPr>
          <w:spacing w:val="-9"/>
        </w:rPr>
        <w:t xml:space="preserve"> </w:t>
      </w:r>
      <w:r>
        <w:t>May 2021, which included SOGIE data across every metric. This survey was incredibly helpful in highlighting the</w:t>
      </w:r>
      <w:r>
        <w:rPr>
          <w:spacing w:val="-6"/>
        </w:rPr>
        <w:t xml:space="preserve"> </w:t>
      </w:r>
      <w:r>
        <w:t>myriad</w:t>
      </w:r>
      <w:r>
        <w:rPr>
          <w:spacing w:val="-7"/>
        </w:rPr>
        <w:t xml:space="preserve"> </w:t>
      </w:r>
      <w:r>
        <w:t>disparities</w:t>
      </w:r>
      <w:r>
        <w:rPr>
          <w:spacing w:val="-7"/>
        </w:rPr>
        <w:t xml:space="preserve"> </w:t>
      </w:r>
      <w:r>
        <w:t>that</w:t>
      </w:r>
      <w:r>
        <w:rPr>
          <w:spacing w:val="-6"/>
        </w:rPr>
        <w:t xml:space="preserve"> </w:t>
      </w:r>
      <w:r>
        <w:t>LGBTQ</w:t>
      </w:r>
      <w:r>
        <w:rPr>
          <w:spacing w:val="-7"/>
        </w:rPr>
        <w:t xml:space="preserve"> </w:t>
      </w:r>
      <w:r>
        <w:t>individuals</w:t>
      </w:r>
      <w:r>
        <w:rPr>
          <w:spacing w:val="-7"/>
        </w:rPr>
        <w:t xml:space="preserve"> </w:t>
      </w:r>
      <w:r>
        <w:t>have</w:t>
      </w:r>
      <w:r>
        <w:rPr>
          <w:spacing w:val="-7"/>
        </w:rPr>
        <w:t xml:space="preserve"> </w:t>
      </w:r>
      <w:r>
        <w:t>faced</w:t>
      </w:r>
      <w:r>
        <w:rPr>
          <w:spacing w:val="-7"/>
        </w:rPr>
        <w:t xml:space="preserve"> </w:t>
      </w:r>
      <w:r>
        <w:t>during</w:t>
      </w:r>
      <w:r>
        <w:rPr>
          <w:spacing w:val="-6"/>
        </w:rPr>
        <w:t xml:space="preserve"> </w:t>
      </w:r>
      <w:r>
        <w:t>the</w:t>
      </w:r>
      <w:r>
        <w:rPr>
          <w:spacing w:val="-8"/>
        </w:rPr>
        <w:t xml:space="preserve"> </w:t>
      </w:r>
      <w:r>
        <w:t>COVID-19</w:t>
      </w:r>
      <w:r>
        <w:rPr>
          <w:spacing w:val="-7"/>
        </w:rPr>
        <w:t xml:space="preserve"> </w:t>
      </w:r>
      <w:r>
        <w:t>pandemic,</w:t>
      </w:r>
      <w:r>
        <w:rPr>
          <w:spacing w:val="-7"/>
        </w:rPr>
        <w:t xml:space="preserve"> </w:t>
      </w:r>
      <w:r>
        <w:t>including</w:t>
      </w:r>
      <w:r>
        <w:rPr>
          <w:spacing w:val="-7"/>
        </w:rPr>
        <w:t xml:space="preserve"> </w:t>
      </w:r>
      <w:r>
        <w:t>access to testing, healthcare</w:t>
      </w:r>
      <w:r>
        <w:rPr>
          <w:spacing w:val="-1"/>
        </w:rPr>
        <w:t xml:space="preserve"> </w:t>
      </w:r>
      <w:r>
        <w:t>access,</w:t>
      </w:r>
      <w:r>
        <w:rPr>
          <w:spacing w:val="-1"/>
        </w:rPr>
        <w:t xml:space="preserve"> </w:t>
      </w:r>
      <w:r>
        <w:t>mental health</w:t>
      </w:r>
      <w:r>
        <w:t>,</w:t>
      </w:r>
      <w:r>
        <w:rPr>
          <w:spacing w:val="-1"/>
        </w:rPr>
        <w:t xml:space="preserve"> </w:t>
      </w:r>
      <w:r>
        <w:t>and</w:t>
      </w:r>
      <w:r>
        <w:rPr>
          <w:spacing w:val="-2"/>
        </w:rPr>
        <w:t xml:space="preserve"> </w:t>
      </w:r>
      <w:r>
        <w:t>economic</w:t>
      </w:r>
      <w:r>
        <w:rPr>
          <w:spacing w:val="-1"/>
        </w:rPr>
        <w:t xml:space="preserve"> </w:t>
      </w:r>
      <w:r>
        <w:t>struggles.</w:t>
      </w:r>
      <w:r>
        <w:rPr>
          <w:spacing w:val="-2"/>
        </w:rPr>
        <w:t xml:space="preserve"> </w:t>
      </w:r>
      <w:r>
        <w:t>Notably,</w:t>
      </w:r>
      <w:r>
        <w:rPr>
          <w:spacing w:val="-1"/>
        </w:rPr>
        <w:t xml:space="preserve"> </w:t>
      </w:r>
      <w:r>
        <w:t>the</w:t>
      </w:r>
      <w:r>
        <w:rPr>
          <w:spacing w:val="-2"/>
        </w:rPr>
        <w:t xml:space="preserve"> </w:t>
      </w:r>
      <w:r>
        <w:t>survey also included</w:t>
      </w:r>
      <w:r>
        <w:rPr>
          <w:spacing w:val="-1"/>
        </w:rPr>
        <w:t xml:space="preserve"> </w:t>
      </w:r>
      <w:r>
        <w:t>a spotlight</w:t>
      </w:r>
      <w:r>
        <w:rPr>
          <w:spacing w:val="-4"/>
        </w:rPr>
        <w:t xml:space="preserve"> </w:t>
      </w:r>
      <w:r>
        <w:t>on</w:t>
      </w:r>
      <w:r>
        <w:rPr>
          <w:spacing w:val="-2"/>
        </w:rPr>
        <w:t xml:space="preserve"> </w:t>
      </w:r>
      <w:r>
        <w:t>youth,</w:t>
      </w:r>
      <w:r>
        <w:rPr>
          <w:spacing w:val="-3"/>
        </w:rPr>
        <w:t xml:space="preserve"> </w:t>
      </w:r>
      <w:r>
        <w:t>which</w:t>
      </w:r>
      <w:r>
        <w:rPr>
          <w:spacing w:val="-3"/>
        </w:rPr>
        <w:t xml:space="preserve"> </w:t>
      </w:r>
      <w:r>
        <w:t>provided</w:t>
      </w:r>
      <w:r>
        <w:rPr>
          <w:spacing w:val="-3"/>
        </w:rPr>
        <w:t xml:space="preserve"> </w:t>
      </w:r>
      <w:r>
        <w:t>significant</w:t>
      </w:r>
      <w:r>
        <w:rPr>
          <w:spacing w:val="-3"/>
        </w:rPr>
        <w:t xml:space="preserve"> </w:t>
      </w:r>
      <w:r>
        <w:t>insight</w:t>
      </w:r>
      <w:r>
        <w:rPr>
          <w:spacing w:val="-2"/>
        </w:rPr>
        <w:t xml:space="preserve"> </w:t>
      </w:r>
      <w:r>
        <w:t>into</w:t>
      </w:r>
      <w:r>
        <w:rPr>
          <w:spacing w:val="-2"/>
        </w:rPr>
        <w:t xml:space="preserve"> </w:t>
      </w:r>
      <w:r>
        <w:t>the</w:t>
      </w:r>
      <w:r>
        <w:rPr>
          <w:spacing w:val="-2"/>
        </w:rPr>
        <w:t xml:space="preserve"> </w:t>
      </w:r>
      <w:r>
        <w:t>mental</w:t>
      </w:r>
      <w:r>
        <w:rPr>
          <w:spacing w:val="-3"/>
        </w:rPr>
        <w:t xml:space="preserve"> </w:t>
      </w:r>
      <w:r>
        <w:t>health</w:t>
      </w:r>
      <w:r>
        <w:rPr>
          <w:spacing w:val="-3"/>
        </w:rPr>
        <w:t xml:space="preserve"> </w:t>
      </w:r>
      <w:r>
        <w:t>impacts</w:t>
      </w:r>
      <w:r>
        <w:rPr>
          <w:spacing w:val="-3"/>
        </w:rPr>
        <w:t xml:space="preserve"> </w:t>
      </w:r>
      <w:r>
        <w:t>on</w:t>
      </w:r>
      <w:r>
        <w:rPr>
          <w:spacing w:val="-3"/>
        </w:rPr>
        <w:t xml:space="preserve"> </w:t>
      </w:r>
      <w:r>
        <w:t>youth</w:t>
      </w:r>
      <w:r>
        <w:rPr>
          <w:spacing w:val="-2"/>
        </w:rPr>
        <w:t xml:space="preserve"> </w:t>
      </w:r>
      <w:r>
        <w:t>during</w:t>
      </w:r>
      <w:r>
        <w:rPr>
          <w:spacing w:val="-2"/>
        </w:rPr>
        <w:t xml:space="preserve"> </w:t>
      </w:r>
      <w:r>
        <w:t>the pandemic</w:t>
      </w:r>
      <w:r>
        <w:rPr>
          <w:spacing w:val="-6"/>
        </w:rPr>
        <w:t xml:space="preserve"> </w:t>
      </w:r>
      <w:r>
        <w:t>and</w:t>
      </w:r>
      <w:r>
        <w:rPr>
          <w:spacing w:val="-7"/>
        </w:rPr>
        <w:t xml:space="preserve"> </w:t>
      </w:r>
      <w:r>
        <w:t>found</w:t>
      </w:r>
      <w:r>
        <w:rPr>
          <w:spacing w:val="-6"/>
        </w:rPr>
        <w:t xml:space="preserve"> </w:t>
      </w:r>
      <w:r>
        <w:t>stark</w:t>
      </w:r>
      <w:r>
        <w:rPr>
          <w:spacing w:val="-4"/>
        </w:rPr>
        <w:t xml:space="preserve"> </w:t>
      </w:r>
      <w:r>
        <w:t>disparities</w:t>
      </w:r>
      <w:r>
        <w:rPr>
          <w:spacing w:val="-5"/>
        </w:rPr>
        <w:t xml:space="preserve"> </w:t>
      </w:r>
      <w:r>
        <w:t>among</w:t>
      </w:r>
      <w:r>
        <w:rPr>
          <w:spacing w:val="-6"/>
        </w:rPr>
        <w:t xml:space="preserve"> </w:t>
      </w:r>
      <w:r>
        <w:t>LGBTQ</w:t>
      </w:r>
      <w:r>
        <w:rPr>
          <w:spacing w:val="-6"/>
        </w:rPr>
        <w:t xml:space="preserve"> </w:t>
      </w:r>
      <w:r>
        <w:t>youth.</w:t>
      </w:r>
      <w:r>
        <w:rPr>
          <w:spacing w:val="-6"/>
        </w:rPr>
        <w:t xml:space="preserve"> </w:t>
      </w:r>
      <w:r>
        <w:t>DPH</w:t>
      </w:r>
      <w:r>
        <w:rPr>
          <w:spacing w:val="-6"/>
        </w:rPr>
        <w:t xml:space="preserve"> </w:t>
      </w:r>
      <w:r>
        <w:t>has</w:t>
      </w:r>
      <w:r>
        <w:rPr>
          <w:spacing w:val="-6"/>
        </w:rPr>
        <w:t xml:space="preserve"> </w:t>
      </w:r>
      <w:r>
        <w:t>been</w:t>
      </w:r>
      <w:r>
        <w:rPr>
          <w:spacing w:val="-4"/>
        </w:rPr>
        <w:t xml:space="preserve"> </w:t>
      </w:r>
      <w:r>
        <w:t>able</w:t>
      </w:r>
      <w:r>
        <w:rPr>
          <w:spacing w:val="-3"/>
        </w:rPr>
        <w:t xml:space="preserve"> </w:t>
      </w:r>
      <w:r>
        <w:t>to</w:t>
      </w:r>
      <w:r>
        <w:rPr>
          <w:spacing w:val="-6"/>
        </w:rPr>
        <w:t xml:space="preserve"> </w:t>
      </w:r>
      <w:r>
        <w:t>compile</w:t>
      </w:r>
      <w:r>
        <w:rPr>
          <w:spacing w:val="-4"/>
        </w:rPr>
        <w:t xml:space="preserve"> </w:t>
      </w:r>
      <w:r>
        <w:t>SOGI</w:t>
      </w:r>
      <w:r>
        <w:rPr>
          <w:spacing w:val="-4"/>
        </w:rPr>
        <w:t xml:space="preserve"> </w:t>
      </w:r>
      <w:r>
        <w:t>data</w:t>
      </w:r>
      <w:r>
        <w:rPr>
          <w:spacing w:val="-5"/>
        </w:rPr>
        <w:t xml:space="preserve"> </w:t>
      </w:r>
      <w:r>
        <w:t>from the</w:t>
      </w:r>
      <w:r>
        <w:rPr>
          <w:spacing w:val="-5"/>
        </w:rPr>
        <w:t xml:space="preserve"> </w:t>
      </w:r>
      <w:r>
        <w:t>COVID</w:t>
      </w:r>
      <w:r>
        <w:rPr>
          <w:spacing w:val="-3"/>
        </w:rPr>
        <w:t xml:space="preserve"> </w:t>
      </w:r>
      <w:r>
        <w:t>Community</w:t>
      </w:r>
      <w:r>
        <w:rPr>
          <w:spacing w:val="-4"/>
        </w:rPr>
        <w:t xml:space="preserve"> </w:t>
      </w:r>
      <w:r>
        <w:t>Impact</w:t>
      </w:r>
      <w:r>
        <w:rPr>
          <w:spacing w:val="-5"/>
        </w:rPr>
        <w:t xml:space="preserve"> </w:t>
      </w:r>
      <w:r>
        <w:t>Survey</w:t>
      </w:r>
      <w:r>
        <w:rPr>
          <w:spacing w:val="-4"/>
        </w:rPr>
        <w:t xml:space="preserve"> </w:t>
      </w:r>
      <w:r>
        <w:t>and</w:t>
      </w:r>
      <w:r>
        <w:rPr>
          <w:spacing w:val="-4"/>
        </w:rPr>
        <w:t xml:space="preserve"> </w:t>
      </w:r>
      <w:r>
        <w:t>present</w:t>
      </w:r>
      <w:r>
        <w:rPr>
          <w:spacing w:val="-3"/>
        </w:rPr>
        <w:t xml:space="preserve"> </w:t>
      </w:r>
      <w:r>
        <w:t>the</w:t>
      </w:r>
      <w:r>
        <w:rPr>
          <w:spacing w:val="-4"/>
        </w:rPr>
        <w:t xml:space="preserve"> </w:t>
      </w:r>
      <w:r>
        <w:t>data</w:t>
      </w:r>
      <w:r>
        <w:rPr>
          <w:spacing w:val="-4"/>
        </w:rPr>
        <w:t xml:space="preserve"> </w:t>
      </w:r>
      <w:r>
        <w:t>to</w:t>
      </w:r>
      <w:r>
        <w:rPr>
          <w:spacing w:val="-3"/>
        </w:rPr>
        <w:t xml:space="preserve"> </w:t>
      </w:r>
      <w:r>
        <w:t>public</w:t>
      </w:r>
      <w:r>
        <w:rPr>
          <w:spacing w:val="-6"/>
        </w:rPr>
        <w:t xml:space="preserve"> </w:t>
      </w:r>
      <w:r>
        <w:t>health</w:t>
      </w:r>
      <w:r>
        <w:rPr>
          <w:spacing w:val="-4"/>
        </w:rPr>
        <w:t xml:space="preserve"> </w:t>
      </w:r>
      <w:r>
        <w:t>stakeholder</w:t>
      </w:r>
      <w:r>
        <w:rPr>
          <w:spacing w:val="-4"/>
        </w:rPr>
        <w:t xml:space="preserve"> </w:t>
      </w:r>
      <w:r>
        <w:t>groups</w:t>
      </w:r>
      <w:r>
        <w:rPr>
          <w:spacing w:val="-3"/>
        </w:rPr>
        <w:t xml:space="preserve"> </w:t>
      </w:r>
      <w:r>
        <w:t>to</w:t>
      </w:r>
      <w:r>
        <w:rPr>
          <w:spacing w:val="-3"/>
        </w:rPr>
        <w:t xml:space="preserve"> </w:t>
      </w:r>
      <w:r>
        <w:t>inform vaccine</w:t>
      </w:r>
      <w:r>
        <w:rPr>
          <w:spacing w:val="-5"/>
        </w:rPr>
        <w:t xml:space="preserve"> </w:t>
      </w:r>
      <w:r>
        <w:t>education,</w:t>
      </w:r>
      <w:r>
        <w:rPr>
          <w:spacing w:val="-5"/>
        </w:rPr>
        <w:t xml:space="preserve"> </w:t>
      </w:r>
      <w:r>
        <w:t>access,</w:t>
      </w:r>
      <w:r>
        <w:rPr>
          <w:spacing w:val="-5"/>
        </w:rPr>
        <w:t xml:space="preserve"> </w:t>
      </w:r>
      <w:r>
        <w:t>and</w:t>
      </w:r>
      <w:r>
        <w:rPr>
          <w:spacing w:val="-5"/>
        </w:rPr>
        <w:t xml:space="preserve"> </w:t>
      </w:r>
      <w:r>
        <w:t>COVID-19</w:t>
      </w:r>
      <w:r>
        <w:rPr>
          <w:spacing w:val="-5"/>
        </w:rPr>
        <w:t xml:space="preserve"> </w:t>
      </w:r>
      <w:r>
        <w:t>endemic</w:t>
      </w:r>
      <w:r>
        <w:rPr>
          <w:spacing w:val="-6"/>
        </w:rPr>
        <w:t xml:space="preserve"> </w:t>
      </w:r>
      <w:r>
        <w:t>and</w:t>
      </w:r>
      <w:r>
        <w:rPr>
          <w:spacing w:val="-7"/>
        </w:rPr>
        <w:t xml:space="preserve"> </w:t>
      </w:r>
      <w:r>
        <w:t>recovery</w:t>
      </w:r>
      <w:r>
        <w:rPr>
          <w:spacing w:val="-5"/>
        </w:rPr>
        <w:t xml:space="preserve"> </w:t>
      </w:r>
      <w:r>
        <w:t>activities.</w:t>
      </w:r>
      <w:r>
        <w:rPr>
          <w:spacing w:val="-4"/>
        </w:rPr>
        <w:t xml:space="preserve"> </w:t>
      </w:r>
      <w:r>
        <w:t>The</w:t>
      </w:r>
      <w:r>
        <w:rPr>
          <w:spacing w:val="-5"/>
        </w:rPr>
        <w:t xml:space="preserve"> </w:t>
      </w:r>
      <w:r>
        <w:t>Commission</w:t>
      </w:r>
      <w:r>
        <w:rPr>
          <w:spacing w:val="-7"/>
        </w:rPr>
        <w:t xml:space="preserve"> </w:t>
      </w:r>
      <w:r>
        <w:t>looks</w:t>
      </w:r>
      <w:r>
        <w:rPr>
          <w:spacing w:val="-5"/>
        </w:rPr>
        <w:t xml:space="preserve"> </w:t>
      </w:r>
      <w:r>
        <w:t>forward to reviewing this data with DPH in-dep</w:t>
      </w:r>
      <w:r>
        <w:t>th and continuing to work together to address these disparities in the coming fiscal year.</w:t>
      </w:r>
    </w:p>
    <w:p w:rsidR="00C76E6D" w:rsidRDefault="00C76E6D">
      <w:pPr>
        <w:pStyle w:val="BodyText"/>
        <w:spacing w:before="4"/>
        <w:rPr>
          <w:sz w:val="30"/>
        </w:rPr>
      </w:pPr>
    </w:p>
    <w:p w:rsidR="00C76E6D" w:rsidRDefault="00913831">
      <w:pPr>
        <w:pStyle w:val="Heading6"/>
        <w:numPr>
          <w:ilvl w:val="0"/>
          <w:numId w:val="10"/>
        </w:numPr>
        <w:tabs>
          <w:tab w:val="left" w:pos="551"/>
        </w:tabs>
        <w:spacing w:before="1" w:line="276" w:lineRule="auto"/>
        <w:ind w:left="337" w:right="378" w:firstLine="0"/>
      </w:pPr>
      <w:bookmarkStart w:id="829" w:name="4._Work_to_expand_SOGIE_data_collection_"/>
      <w:bookmarkEnd w:id="829"/>
      <w:r>
        <w:t>Work</w:t>
      </w:r>
      <w:r>
        <w:rPr>
          <w:spacing w:val="-13"/>
        </w:rPr>
        <w:t xml:space="preserve"> </w:t>
      </w:r>
      <w:r>
        <w:t>to</w:t>
      </w:r>
      <w:r>
        <w:rPr>
          <w:spacing w:val="-12"/>
        </w:rPr>
        <w:t xml:space="preserve"> </w:t>
      </w:r>
      <w:r>
        <w:t>expand</w:t>
      </w:r>
      <w:r>
        <w:rPr>
          <w:spacing w:val="-13"/>
        </w:rPr>
        <w:t xml:space="preserve"> </w:t>
      </w:r>
      <w:r>
        <w:t>SOGIE</w:t>
      </w:r>
      <w:r>
        <w:rPr>
          <w:spacing w:val="-12"/>
        </w:rPr>
        <w:t xml:space="preserve"> </w:t>
      </w:r>
      <w:r>
        <w:t>data</w:t>
      </w:r>
      <w:r>
        <w:rPr>
          <w:spacing w:val="-13"/>
        </w:rPr>
        <w:t xml:space="preserve"> </w:t>
      </w:r>
      <w:r>
        <w:t>collection</w:t>
      </w:r>
      <w:r>
        <w:rPr>
          <w:spacing w:val="-13"/>
        </w:rPr>
        <w:t xml:space="preserve"> </w:t>
      </w:r>
      <w:r>
        <w:t>for</w:t>
      </w:r>
      <w:r>
        <w:rPr>
          <w:spacing w:val="-12"/>
        </w:rPr>
        <w:t xml:space="preserve"> </w:t>
      </w:r>
      <w:r>
        <w:t>physicians</w:t>
      </w:r>
      <w:r>
        <w:rPr>
          <w:spacing w:val="-13"/>
        </w:rPr>
        <w:t xml:space="preserve"> </w:t>
      </w:r>
      <w:r>
        <w:t>and</w:t>
      </w:r>
      <w:r>
        <w:rPr>
          <w:spacing w:val="-12"/>
        </w:rPr>
        <w:t xml:space="preserve"> </w:t>
      </w:r>
      <w:r>
        <w:t>in</w:t>
      </w:r>
      <w:r>
        <w:rPr>
          <w:spacing w:val="-12"/>
        </w:rPr>
        <w:t xml:space="preserve"> </w:t>
      </w:r>
      <w:r>
        <w:t>electronic</w:t>
      </w:r>
      <w:r>
        <w:rPr>
          <w:spacing w:val="-13"/>
        </w:rPr>
        <w:t xml:space="preserve"> </w:t>
      </w:r>
      <w:r>
        <w:t>health</w:t>
      </w:r>
      <w:r>
        <w:rPr>
          <w:spacing w:val="-12"/>
        </w:rPr>
        <w:t xml:space="preserve"> </w:t>
      </w:r>
      <w:r>
        <w:t>records</w:t>
      </w:r>
      <w:r>
        <w:rPr>
          <w:spacing w:val="-13"/>
        </w:rPr>
        <w:t xml:space="preserve"> </w:t>
      </w:r>
      <w:r>
        <w:t>(EHRs),</w:t>
      </w:r>
      <w:r>
        <w:rPr>
          <w:spacing w:val="-12"/>
        </w:rPr>
        <w:t xml:space="preserve"> </w:t>
      </w:r>
      <w:r>
        <w:t>and</w:t>
      </w:r>
      <w:r>
        <w:rPr>
          <w:spacing w:val="-13"/>
        </w:rPr>
        <w:t xml:space="preserve"> </w:t>
      </w:r>
      <w:r>
        <w:t>to</w:t>
      </w:r>
      <w:r>
        <w:rPr>
          <w:spacing w:val="-12"/>
        </w:rPr>
        <w:t xml:space="preserve"> </w:t>
      </w:r>
      <w:r>
        <w:t>have LGBTQ cultural humility indicated on physician profiles.</w:t>
      </w:r>
    </w:p>
    <w:p w:rsidR="00C76E6D" w:rsidRDefault="00C76E6D">
      <w:pPr>
        <w:pStyle w:val="BodyText"/>
        <w:spacing w:before="2"/>
        <w:rPr>
          <w:b/>
          <w:sz w:val="25"/>
        </w:rPr>
      </w:pPr>
    </w:p>
    <w:p w:rsidR="00C76E6D" w:rsidRDefault="00913831">
      <w:pPr>
        <w:pStyle w:val="BodyText"/>
        <w:spacing w:line="276" w:lineRule="auto"/>
        <w:ind w:left="626" w:right="336"/>
        <w:jc w:val="both"/>
      </w:pPr>
      <w:r>
        <w:t>The</w:t>
      </w:r>
      <w:r>
        <w:rPr>
          <w:spacing w:val="-10"/>
        </w:rPr>
        <w:t xml:space="preserve"> </w:t>
      </w:r>
      <w:r>
        <w:t>Commission</w:t>
      </w:r>
      <w:r>
        <w:rPr>
          <w:spacing w:val="-11"/>
        </w:rPr>
        <w:t xml:space="preserve"> </w:t>
      </w:r>
      <w:r>
        <w:t>has</w:t>
      </w:r>
      <w:r>
        <w:rPr>
          <w:spacing w:val="-10"/>
        </w:rPr>
        <w:t xml:space="preserve"> </w:t>
      </w:r>
      <w:r>
        <w:t>begun</w:t>
      </w:r>
      <w:r>
        <w:rPr>
          <w:spacing w:val="-11"/>
        </w:rPr>
        <w:t xml:space="preserve"> </w:t>
      </w:r>
      <w:r>
        <w:t>conversations</w:t>
      </w:r>
      <w:r>
        <w:rPr>
          <w:spacing w:val="-10"/>
        </w:rPr>
        <w:t xml:space="preserve"> </w:t>
      </w:r>
      <w:r>
        <w:t>with</w:t>
      </w:r>
      <w:r>
        <w:rPr>
          <w:spacing w:val="-9"/>
        </w:rPr>
        <w:t xml:space="preserve"> </w:t>
      </w:r>
      <w:r>
        <w:t>DPH</w:t>
      </w:r>
      <w:r>
        <w:rPr>
          <w:spacing w:val="-8"/>
        </w:rPr>
        <w:t xml:space="preserve"> </w:t>
      </w:r>
      <w:r>
        <w:t>on</w:t>
      </w:r>
      <w:r>
        <w:rPr>
          <w:spacing w:val="-10"/>
        </w:rPr>
        <w:t xml:space="preserve"> </w:t>
      </w:r>
      <w:r>
        <w:t>how</w:t>
      </w:r>
      <w:r>
        <w:rPr>
          <w:spacing w:val="-10"/>
        </w:rPr>
        <w:t xml:space="preserve"> </w:t>
      </w:r>
      <w:r>
        <w:t>they</w:t>
      </w:r>
      <w:r>
        <w:rPr>
          <w:spacing w:val="-7"/>
        </w:rPr>
        <w:t xml:space="preserve"> </w:t>
      </w:r>
      <w:r>
        <w:t>can</w:t>
      </w:r>
      <w:r>
        <w:rPr>
          <w:spacing w:val="-11"/>
        </w:rPr>
        <w:t xml:space="preserve"> </w:t>
      </w:r>
      <w:r>
        <w:t>work</w:t>
      </w:r>
      <w:r>
        <w:rPr>
          <w:spacing w:val="-9"/>
        </w:rPr>
        <w:t xml:space="preserve"> </w:t>
      </w:r>
      <w:r>
        <w:t>together</w:t>
      </w:r>
      <w:r>
        <w:rPr>
          <w:spacing w:val="-9"/>
        </w:rPr>
        <w:t xml:space="preserve"> </w:t>
      </w:r>
      <w:r>
        <w:t>to</w:t>
      </w:r>
      <w:r>
        <w:rPr>
          <w:spacing w:val="-8"/>
        </w:rPr>
        <w:t xml:space="preserve"> </w:t>
      </w:r>
      <w:r>
        <w:t>expand</w:t>
      </w:r>
      <w:r>
        <w:rPr>
          <w:spacing w:val="-11"/>
        </w:rPr>
        <w:t xml:space="preserve"> </w:t>
      </w:r>
      <w:r>
        <w:t>SOGIE</w:t>
      </w:r>
      <w:r>
        <w:rPr>
          <w:spacing w:val="-9"/>
        </w:rPr>
        <w:t xml:space="preserve"> </w:t>
      </w:r>
      <w:r>
        <w:t>data collection</w:t>
      </w:r>
      <w:r>
        <w:rPr>
          <w:spacing w:val="-13"/>
        </w:rPr>
        <w:t xml:space="preserve"> </w:t>
      </w:r>
      <w:r>
        <w:t>within</w:t>
      </w:r>
      <w:r>
        <w:rPr>
          <w:spacing w:val="-12"/>
        </w:rPr>
        <w:t xml:space="preserve"> </w:t>
      </w:r>
      <w:r>
        <w:t>the</w:t>
      </w:r>
      <w:r>
        <w:rPr>
          <w:spacing w:val="-13"/>
        </w:rPr>
        <w:t xml:space="preserve"> </w:t>
      </w:r>
      <w:r>
        <w:t>medical</w:t>
      </w:r>
      <w:r>
        <w:rPr>
          <w:spacing w:val="-12"/>
        </w:rPr>
        <w:t xml:space="preserve"> </w:t>
      </w:r>
      <w:r>
        <w:t>profession,</w:t>
      </w:r>
      <w:r>
        <w:rPr>
          <w:spacing w:val="-13"/>
        </w:rPr>
        <w:t xml:space="preserve"> </w:t>
      </w:r>
      <w:r>
        <w:t>have</w:t>
      </w:r>
      <w:r>
        <w:rPr>
          <w:spacing w:val="-12"/>
        </w:rPr>
        <w:t xml:space="preserve"> </w:t>
      </w:r>
      <w:r>
        <w:t>LGBTQ</w:t>
      </w:r>
      <w:r>
        <w:rPr>
          <w:spacing w:val="-13"/>
        </w:rPr>
        <w:t xml:space="preserve"> </w:t>
      </w:r>
      <w:r>
        <w:t>cultural</w:t>
      </w:r>
      <w:r>
        <w:rPr>
          <w:spacing w:val="-12"/>
        </w:rPr>
        <w:t xml:space="preserve"> </w:t>
      </w:r>
      <w:r>
        <w:t>humility</w:t>
      </w:r>
      <w:r>
        <w:rPr>
          <w:spacing w:val="-12"/>
        </w:rPr>
        <w:t xml:space="preserve"> </w:t>
      </w:r>
      <w:r>
        <w:t>indicated</w:t>
      </w:r>
      <w:r>
        <w:rPr>
          <w:spacing w:val="-13"/>
        </w:rPr>
        <w:t xml:space="preserve"> </w:t>
      </w:r>
      <w:r>
        <w:t>on</w:t>
      </w:r>
      <w:r>
        <w:rPr>
          <w:spacing w:val="-12"/>
        </w:rPr>
        <w:t xml:space="preserve"> </w:t>
      </w:r>
      <w:r>
        <w:t>physician</w:t>
      </w:r>
      <w:r>
        <w:rPr>
          <w:spacing w:val="-13"/>
        </w:rPr>
        <w:t xml:space="preserve"> </w:t>
      </w:r>
      <w:r>
        <w:t>profiles,</w:t>
      </w:r>
      <w:r>
        <w:rPr>
          <w:spacing w:val="-8"/>
        </w:rPr>
        <w:t xml:space="preserve"> </w:t>
      </w:r>
      <w:r>
        <w:t>and SOGIE data collection in EHRs. One way this could be addressed is by collaborating with BORIM and other boards of registration. Another would be to use DPH’s new data standards (described in recommendation number three above) through requirements place</w:t>
      </w:r>
      <w:r>
        <w:t>d on vendors.</w:t>
      </w:r>
    </w:p>
    <w:p w:rsidR="00C76E6D" w:rsidRDefault="00C76E6D">
      <w:pPr>
        <w:pStyle w:val="BodyText"/>
        <w:spacing w:before="8"/>
        <w:rPr>
          <w:sz w:val="19"/>
        </w:rPr>
      </w:pPr>
    </w:p>
    <w:p w:rsidR="00C76E6D" w:rsidRDefault="00913831">
      <w:pPr>
        <w:pStyle w:val="BodyText"/>
        <w:spacing w:line="276" w:lineRule="auto"/>
        <w:ind w:left="627" w:right="335"/>
        <w:jc w:val="both"/>
      </w:pPr>
      <w:r>
        <w:t>Finally, the Commission encourages DPH to join the departments of health in other states in promoting the inclusion of SOGIE fields in EHR systems among the companies that create leading systems, and to encourage</w:t>
      </w:r>
      <w:r>
        <w:rPr>
          <w:spacing w:val="-8"/>
        </w:rPr>
        <w:t xml:space="preserve"> </w:t>
      </w:r>
      <w:r>
        <w:t>users</w:t>
      </w:r>
      <w:r>
        <w:rPr>
          <w:spacing w:val="-8"/>
        </w:rPr>
        <w:t xml:space="preserve"> </w:t>
      </w:r>
      <w:r>
        <w:t>of</w:t>
      </w:r>
      <w:r>
        <w:rPr>
          <w:spacing w:val="-8"/>
        </w:rPr>
        <w:t xml:space="preserve"> </w:t>
      </w:r>
      <w:r>
        <w:t>these</w:t>
      </w:r>
      <w:r>
        <w:rPr>
          <w:spacing w:val="-8"/>
        </w:rPr>
        <w:t xml:space="preserve"> </w:t>
      </w:r>
      <w:r>
        <w:t>systems</w:t>
      </w:r>
      <w:r>
        <w:rPr>
          <w:spacing w:val="-7"/>
        </w:rPr>
        <w:t xml:space="preserve"> </w:t>
      </w:r>
      <w:r>
        <w:t>to</w:t>
      </w:r>
      <w:r>
        <w:rPr>
          <w:spacing w:val="-8"/>
        </w:rPr>
        <w:t xml:space="preserve"> </w:t>
      </w:r>
      <w:r>
        <w:t>do</w:t>
      </w:r>
      <w:r>
        <w:rPr>
          <w:spacing w:val="-6"/>
        </w:rPr>
        <w:t xml:space="preserve"> </w:t>
      </w:r>
      <w:r>
        <w:t>the</w:t>
      </w:r>
      <w:r>
        <w:rPr>
          <w:spacing w:val="-8"/>
        </w:rPr>
        <w:t xml:space="preserve"> </w:t>
      </w:r>
      <w:r>
        <w:t>same.</w:t>
      </w:r>
      <w:r>
        <w:rPr>
          <w:spacing w:val="-8"/>
        </w:rPr>
        <w:t xml:space="preserve"> </w:t>
      </w:r>
      <w:r>
        <w:t>Such</w:t>
      </w:r>
      <w:r>
        <w:rPr>
          <w:spacing w:val="-8"/>
        </w:rPr>
        <w:t xml:space="preserve"> </w:t>
      </w:r>
      <w:r>
        <w:t>pressure</w:t>
      </w:r>
      <w:r>
        <w:rPr>
          <w:spacing w:val="-6"/>
        </w:rPr>
        <w:t xml:space="preserve"> </w:t>
      </w:r>
      <w:r>
        <w:t>may</w:t>
      </w:r>
      <w:r>
        <w:rPr>
          <w:spacing w:val="-8"/>
        </w:rPr>
        <w:t xml:space="preserve"> </w:t>
      </w:r>
      <w:r>
        <w:t>lead</w:t>
      </w:r>
      <w:r>
        <w:rPr>
          <w:spacing w:val="-7"/>
        </w:rPr>
        <w:t xml:space="preserve"> </w:t>
      </w:r>
      <w:r>
        <w:t>to</w:t>
      </w:r>
      <w:r>
        <w:rPr>
          <w:spacing w:val="-7"/>
        </w:rPr>
        <w:t xml:space="preserve"> </w:t>
      </w:r>
      <w:r>
        <w:t>these</w:t>
      </w:r>
      <w:r>
        <w:rPr>
          <w:spacing w:val="-8"/>
        </w:rPr>
        <w:t xml:space="preserve"> </w:t>
      </w:r>
      <w:r>
        <w:t>companies</w:t>
      </w:r>
      <w:r>
        <w:rPr>
          <w:spacing w:val="-8"/>
        </w:rPr>
        <w:t xml:space="preserve"> </w:t>
      </w:r>
      <w:r>
        <w:t>voluntarily adding</w:t>
      </w:r>
      <w:r>
        <w:rPr>
          <w:spacing w:val="-11"/>
        </w:rPr>
        <w:t xml:space="preserve"> </w:t>
      </w:r>
      <w:r>
        <w:t>SOGIE</w:t>
      </w:r>
      <w:r>
        <w:rPr>
          <w:spacing w:val="-11"/>
        </w:rPr>
        <w:t xml:space="preserve"> </w:t>
      </w:r>
      <w:r>
        <w:t>fields</w:t>
      </w:r>
      <w:r>
        <w:rPr>
          <w:spacing w:val="-12"/>
        </w:rPr>
        <w:t xml:space="preserve"> </w:t>
      </w:r>
      <w:r>
        <w:t>as</w:t>
      </w:r>
      <w:r>
        <w:rPr>
          <w:spacing w:val="-12"/>
        </w:rPr>
        <w:t xml:space="preserve"> </w:t>
      </w:r>
      <w:r>
        <w:t>standard</w:t>
      </w:r>
      <w:r>
        <w:rPr>
          <w:spacing w:val="-13"/>
        </w:rPr>
        <w:t xml:space="preserve"> </w:t>
      </w:r>
      <w:r>
        <w:t>measures,</w:t>
      </w:r>
      <w:r>
        <w:rPr>
          <w:spacing w:val="-11"/>
        </w:rPr>
        <w:t xml:space="preserve"> </w:t>
      </w:r>
      <w:r>
        <w:t>which</w:t>
      </w:r>
      <w:r>
        <w:rPr>
          <w:spacing w:val="-12"/>
        </w:rPr>
        <w:t xml:space="preserve"> </w:t>
      </w:r>
      <w:r>
        <w:t>would</w:t>
      </w:r>
      <w:r>
        <w:rPr>
          <w:spacing w:val="-13"/>
        </w:rPr>
        <w:t xml:space="preserve"> </w:t>
      </w:r>
      <w:r>
        <w:t>increase</w:t>
      </w:r>
      <w:r>
        <w:rPr>
          <w:spacing w:val="-11"/>
        </w:rPr>
        <w:t xml:space="preserve"> </w:t>
      </w:r>
      <w:r>
        <w:t>uptake</w:t>
      </w:r>
      <w:r>
        <w:rPr>
          <w:spacing w:val="-11"/>
        </w:rPr>
        <w:t xml:space="preserve"> </w:t>
      </w:r>
      <w:r>
        <w:t>by</w:t>
      </w:r>
      <w:r>
        <w:rPr>
          <w:spacing w:val="-11"/>
        </w:rPr>
        <w:t xml:space="preserve"> </w:t>
      </w:r>
      <w:r>
        <w:t>healthcare</w:t>
      </w:r>
      <w:r>
        <w:rPr>
          <w:spacing w:val="-12"/>
        </w:rPr>
        <w:t xml:space="preserve"> </w:t>
      </w:r>
      <w:r>
        <w:t>providers</w:t>
      </w:r>
      <w:r>
        <w:rPr>
          <w:spacing w:val="-12"/>
        </w:rPr>
        <w:t xml:space="preserve"> </w:t>
      </w:r>
      <w:r>
        <w:t>including this information in EHR, thus increasing data on a macro level and improving individual</w:t>
      </w:r>
      <w:r>
        <w:t xml:space="preserve"> patients’ care on a micro-level. In its May 2022 meeting with the Commission, DPH noted that it is working towards providing trainings to external stakeholders including provider groups.</w:t>
      </w:r>
    </w:p>
    <w:p w:rsidR="00C76E6D" w:rsidRDefault="00C76E6D">
      <w:pPr>
        <w:pStyle w:val="BodyText"/>
        <w:spacing w:before="7"/>
        <w:rPr>
          <w:sz w:val="19"/>
        </w:rPr>
      </w:pPr>
    </w:p>
    <w:p w:rsidR="00C76E6D" w:rsidRDefault="00913831">
      <w:pPr>
        <w:pStyle w:val="BodyText"/>
        <w:spacing w:before="1" w:line="276" w:lineRule="auto"/>
        <w:ind w:left="627" w:right="334"/>
        <w:jc w:val="both"/>
      </w:pPr>
      <w:r>
        <w:t>DPH will continue to work with clinical capacity building, training, and technical assistance providers to advance</w:t>
      </w:r>
      <w:r>
        <w:rPr>
          <w:spacing w:val="-11"/>
        </w:rPr>
        <w:t xml:space="preserve"> </w:t>
      </w:r>
      <w:r>
        <w:t>opportunities</w:t>
      </w:r>
      <w:r>
        <w:rPr>
          <w:spacing w:val="-8"/>
        </w:rPr>
        <w:t xml:space="preserve"> </w:t>
      </w:r>
      <w:r>
        <w:t>to</w:t>
      </w:r>
      <w:r>
        <w:rPr>
          <w:spacing w:val="-11"/>
        </w:rPr>
        <w:t xml:space="preserve"> </w:t>
      </w:r>
      <w:r>
        <w:t>integrate</w:t>
      </w:r>
      <w:r>
        <w:rPr>
          <w:spacing w:val="-11"/>
        </w:rPr>
        <w:t xml:space="preserve"> </w:t>
      </w:r>
      <w:r>
        <w:t>SOGIE</w:t>
      </w:r>
      <w:r>
        <w:rPr>
          <w:spacing w:val="-12"/>
        </w:rPr>
        <w:t xml:space="preserve"> </w:t>
      </w:r>
      <w:r>
        <w:t>data</w:t>
      </w:r>
      <w:r>
        <w:rPr>
          <w:spacing w:val="-9"/>
        </w:rPr>
        <w:t xml:space="preserve"> </w:t>
      </w:r>
      <w:r>
        <w:t>collection</w:t>
      </w:r>
      <w:r>
        <w:rPr>
          <w:spacing w:val="-11"/>
        </w:rPr>
        <w:t xml:space="preserve"> </w:t>
      </w:r>
      <w:r>
        <w:t>in</w:t>
      </w:r>
      <w:r>
        <w:rPr>
          <w:spacing w:val="-10"/>
        </w:rPr>
        <w:t xml:space="preserve"> </w:t>
      </w:r>
      <w:r>
        <w:t>electronic</w:t>
      </w:r>
      <w:r>
        <w:rPr>
          <w:spacing w:val="-12"/>
        </w:rPr>
        <w:t xml:space="preserve"> </w:t>
      </w:r>
      <w:r>
        <w:t>health</w:t>
      </w:r>
      <w:r>
        <w:rPr>
          <w:spacing w:val="-11"/>
        </w:rPr>
        <w:t xml:space="preserve"> </w:t>
      </w:r>
      <w:r>
        <w:t>platforms</w:t>
      </w:r>
      <w:r>
        <w:rPr>
          <w:spacing w:val="-11"/>
        </w:rPr>
        <w:t xml:space="preserve"> </w:t>
      </w:r>
      <w:r>
        <w:t>and</w:t>
      </w:r>
      <w:r>
        <w:rPr>
          <w:spacing w:val="-9"/>
        </w:rPr>
        <w:t xml:space="preserve"> </w:t>
      </w:r>
      <w:r>
        <w:t>ways</w:t>
      </w:r>
      <w:r>
        <w:rPr>
          <w:spacing w:val="-11"/>
        </w:rPr>
        <w:t xml:space="preserve"> </w:t>
      </w:r>
      <w:r>
        <w:t>to</w:t>
      </w:r>
      <w:r>
        <w:rPr>
          <w:spacing w:val="-11"/>
        </w:rPr>
        <w:t xml:space="preserve"> </w:t>
      </w:r>
      <w:r>
        <w:t>signal LGBTQ cultural humility on provider profiles and agency social media and web-based platforms. Finally, DPH is monitoring legislation relating to this topic as well as looking into who in the state is collecting SOGIE data as they build a public heal</w:t>
      </w:r>
      <w:r>
        <w:t>th data warehouse.</w:t>
      </w:r>
    </w:p>
    <w:p w:rsidR="00C76E6D" w:rsidRDefault="00C76E6D">
      <w:pPr>
        <w:pStyle w:val="BodyText"/>
        <w:spacing w:before="3"/>
        <w:rPr>
          <w:sz w:val="26"/>
        </w:rPr>
      </w:pPr>
    </w:p>
    <w:p w:rsidR="00C76E6D" w:rsidRDefault="00913831">
      <w:pPr>
        <w:pStyle w:val="Heading6"/>
        <w:numPr>
          <w:ilvl w:val="0"/>
          <w:numId w:val="10"/>
        </w:numPr>
        <w:tabs>
          <w:tab w:val="left" w:pos="560"/>
        </w:tabs>
        <w:ind w:left="559" w:hanging="222"/>
      </w:pPr>
      <w:bookmarkStart w:id="830" w:name="5._Continue_exploring_ways_to_counter_th"/>
      <w:bookmarkEnd w:id="830"/>
      <w:r>
        <w:rPr>
          <w:w w:val="95"/>
        </w:rPr>
        <w:t>Continue</w:t>
      </w:r>
      <w:r>
        <w:rPr>
          <w:spacing w:val="13"/>
        </w:rPr>
        <w:t xml:space="preserve"> </w:t>
      </w:r>
      <w:r>
        <w:rPr>
          <w:w w:val="95"/>
        </w:rPr>
        <w:t>exploring</w:t>
      </w:r>
      <w:r>
        <w:rPr>
          <w:spacing w:val="16"/>
        </w:rPr>
        <w:t xml:space="preserve"> </w:t>
      </w:r>
      <w:r>
        <w:rPr>
          <w:w w:val="95"/>
        </w:rPr>
        <w:t>ways</w:t>
      </w:r>
      <w:r>
        <w:rPr>
          <w:spacing w:val="11"/>
        </w:rPr>
        <w:t xml:space="preserve"> </w:t>
      </w:r>
      <w:r>
        <w:rPr>
          <w:w w:val="95"/>
        </w:rPr>
        <w:t>to</w:t>
      </w:r>
      <w:r>
        <w:rPr>
          <w:spacing w:val="10"/>
        </w:rPr>
        <w:t xml:space="preserve"> </w:t>
      </w:r>
      <w:r>
        <w:rPr>
          <w:w w:val="95"/>
        </w:rPr>
        <w:t>counter</w:t>
      </w:r>
      <w:r>
        <w:rPr>
          <w:spacing w:val="16"/>
        </w:rPr>
        <w:t xml:space="preserve"> </w:t>
      </w:r>
      <w:r>
        <w:rPr>
          <w:w w:val="95"/>
        </w:rPr>
        <w:t>the</w:t>
      </w:r>
      <w:r>
        <w:rPr>
          <w:spacing w:val="11"/>
        </w:rPr>
        <w:t xml:space="preserve"> </w:t>
      </w:r>
      <w:r>
        <w:rPr>
          <w:w w:val="95"/>
        </w:rPr>
        <w:t>effects</w:t>
      </w:r>
      <w:r>
        <w:rPr>
          <w:spacing w:val="14"/>
        </w:rPr>
        <w:t xml:space="preserve"> </w:t>
      </w:r>
      <w:r>
        <w:rPr>
          <w:w w:val="95"/>
        </w:rPr>
        <w:t>of</w:t>
      </w:r>
      <w:r>
        <w:rPr>
          <w:spacing w:val="16"/>
        </w:rPr>
        <w:t xml:space="preserve"> </w:t>
      </w:r>
      <w:r>
        <w:rPr>
          <w:w w:val="95"/>
        </w:rPr>
        <w:t>discrimination</w:t>
      </w:r>
      <w:r>
        <w:rPr>
          <w:spacing w:val="16"/>
        </w:rPr>
        <w:t xml:space="preserve"> </w:t>
      </w:r>
      <w:r>
        <w:rPr>
          <w:w w:val="95"/>
        </w:rPr>
        <w:t>and</w:t>
      </w:r>
      <w:r>
        <w:rPr>
          <w:spacing w:val="14"/>
        </w:rPr>
        <w:t xml:space="preserve"> </w:t>
      </w:r>
      <w:r>
        <w:rPr>
          <w:w w:val="95"/>
        </w:rPr>
        <w:t>advance</w:t>
      </w:r>
      <w:r>
        <w:rPr>
          <w:spacing w:val="11"/>
        </w:rPr>
        <w:t xml:space="preserve"> </w:t>
      </w:r>
      <w:r>
        <w:rPr>
          <w:w w:val="95"/>
        </w:rPr>
        <w:t>LGBTQ</w:t>
      </w:r>
      <w:r>
        <w:rPr>
          <w:spacing w:val="13"/>
        </w:rPr>
        <w:t xml:space="preserve"> </w:t>
      </w:r>
      <w:r>
        <w:rPr>
          <w:spacing w:val="-2"/>
          <w:w w:val="95"/>
        </w:rPr>
        <w:t>inclusion.</w:t>
      </w:r>
    </w:p>
    <w:p w:rsidR="00C76E6D" w:rsidRDefault="00C76E6D">
      <w:pPr>
        <w:pStyle w:val="BodyText"/>
        <w:spacing w:before="9"/>
        <w:rPr>
          <w:b/>
          <w:sz w:val="28"/>
        </w:rPr>
      </w:pPr>
    </w:p>
    <w:p w:rsidR="00C76E6D" w:rsidRDefault="00913831">
      <w:pPr>
        <w:pStyle w:val="BodyText"/>
        <w:spacing w:line="276" w:lineRule="auto"/>
        <w:ind w:left="627" w:right="334"/>
        <w:jc w:val="both"/>
      </w:pPr>
      <w:r>
        <w:t>DPH has long prioritized services to marginalized populations in its programs. However, not all DPH employees or funded providers fully under</w:t>
      </w:r>
      <w:r>
        <w:t xml:space="preserve">stand what constitutes discrimination against LGBTQ clients, nor do all employees or providers understand best practices for serving and supporting LGBTQ people. </w:t>
      </w:r>
      <w:r>
        <w:rPr>
          <w:spacing w:val="-2"/>
        </w:rPr>
        <w:t>The</w:t>
      </w:r>
      <w:r>
        <w:rPr>
          <w:spacing w:val="-5"/>
        </w:rPr>
        <w:t xml:space="preserve"> </w:t>
      </w:r>
      <w:r>
        <w:rPr>
          <w:spacing w:val="-2"/>
        </w:rPr>
        <w:t>Commission</w:t>
      </w:r>
      <w:r>
        <w:rPr>
          <w:spacing w:val="-6"/>
        </w:rPr>
        <w:t xml:space="preserve"> </w:t>
      </w:r>
      <w:r>
        <w:rPr>
          <w:spacing w:val="-2"/>
        </w:rPr>
        <w:t>and</w:t>
      </w:r>
      <w:r>
        <w:rPr>
          <w:spacing w:val="-5"/>
        </w:rPr>
        <w:t xml:space="preserve"> </w:t>
      </w:r>
      <w:r>
        <w:rPr>
          <w:spacing w:val="-2"/>
        </w:rPr>
        <w:t>DPH</w:t>
      </w:r>
      <w:r>
        <w:rPr>
          <w:spacing w:val="-5"/>
        </w:rPr>
        <w:t xml:space="preserve"> </w:t>
      </w:r>
      <w:r>
        <w:rPr>
          <w:spacing w:val="-2"/>
        </w:rPr>
        <w:t>have</w:t>
      </w:r>
      <w:r>
        <w:rPr>
          <w:spacing w:val="-5"/>
        </w:rPr>
        <w:t xml:space="preserve"> </w:t>
      </w:r>
      <w:r>
        <w:rPr>
          <w:spacing w:val="-2"/>
        </w:rPr>
        <w:t>worked</w:t>
      </w:r>
      <w:r>
        <w:rPr>
          <w:spacing w:val="-5"/>
        </w:rPr>
        <w:t xml:space="preserve"> </w:t>
      </w:r>
      <w:r>
        <w:rPr>
          <w:spacing w:val="-2"/>
        </w:rPr>
        <w:t>together</w:t>
      </w:r>
      <w:r>
        <w:rPr>
          <w:spacing w:val="-4"/>
        </w:rPr>
        <w:t xml:space="preserve"> </w:t>
      </w:r>
      <w:r>
        <w:rPr>
          <w:spacing w:val="-2"/>
        </w:rPr>
        <w:t>in</w:t>
      </w:r>
      <w:r>
        <w:rPr>
          <w:spacing w:val="-5"/>
        </w:rPr>
        <w:t xml:space="preserve"> </w:t>
      </w:r>
      <w:r>
        <w:rPr>
          <w:spacing w:val="-2"/>
        </w:rPr>
        <w:t>the</w:t>
      </w:r>
      <w:r>
        <w:rPr>
          <w:spacing w:val="-5"/>
        </w:rPr>
        <w:t xml:space="preserve"> </w:t>
      </w:r>
      <w:r>
        <w:rPr>
          <w:spacing w:val="-2"/>
        </w:rPr>
        <w:t>past</w:t>
      </w:r>
      <w:r>
        <w:rPr>
          <w:spacing w:val="-6"/>
        </w:rPr>
        <w:t xml:space="preserve"> </w:t>
      </w:r>
      <w:r>
        <w:rPr>
          <w:spacing w:val="-2"/>
        </w:rPr>
        <w:t>on</w:t>
      </w:r>
      <w:r>
        <w:rPr>
          <w:spacing w:val="-5"/>
        </w:rPr>
        <w:t xml:space="preserve"> </w:t>
      </w:r>
      <w:r>
        <w:rPr>
          <w:spacing w:val="-2"/>
        </w:rPr>
        <w:t>draft</w:t>
      </w:r>
      <w:r>
        <w:rPr>
          <w:spacing w:val="-5"/>
        </w:rPr>
        <w:t xml:space="preserve"> </w:t>
      </w:r>
      <w:r>
        <w:rPr>
          <w:spacing w:val="-2"/>
        </w:rPr>
        <w:t>policies</w:t>
      </w:r>
      <w:r>
        <w:rPr>
          <w:spacing w:val="-4"/>
        </w:rPr>
        <w:t xml:space="preserve"> </w:t>
      </w:r>
      <w:r>
        <w:rPr>
          <w:spacing w:val="-2"/>
        </w:rPr>
        <w:t>and</w:t>
      </w:r>
      <w:r>
        <w:rPr>
          <w:spacing w:val="-4"/>
        </w:rPr>
        <w:t xml:space="preserve"> </w:t>
      </w:r>
      <w:r>
        <w:rPr>
          <w:spacing w:val="-2"/>
        </w:rPr>
        <w:t>guidance.</w:t>
      </w:r>
      <w:r>
        <w:rPr>
          <w:spacing w:val="-5"/>
        </w:rPr>
        <w:t xml:space="preserve"> </w:t>
      </w:r>
      <w:r>
        <w:rPr>
          <w:spacing w:val="-2"/>
        </w:rPr>
        <w:t>DPH</w:t>
      </w:r>
      <w:r>
        <w:rPr>
          <w:spacing w:val="-5"/>
        </w:rPr>
        <w:t xml:space="preserve"> </w:t>
      </w:r>
      <w:r>
        <w:rPr>
          <w:spacing w:val="-2"/>
        </w:rPr>
        <w:t>is</w:t>
      </w:r>
      <w:r>
        <w:rPr>
          <w:spacing w:val="-4"/>
        </w:rPr>
        <w:t xml:space="preserve"> </w:t>
      </w:r>
      <w:r>
        <w:rPr>
          <w:spacing w:val="-2"/>
        </w:rPr>
        <w:t xml:space="preserve">pursuing </w:t>
      </w:r>
      <w:r>
        <w:t>options for self-reporting LGBTQ employees and applicants toward achieving diversity goals.</w:t>
      </w:r>
      <w:r>
        <w:rPr>
          <w:spacing w:val="40"/>
        </w:rPr>
        <w:t xml:space="preserve"> </w:t>
      </w:r>
      <w:r>
        <w:t>Within the</w:t>
      </w:r>
    </w:p>
    <w:p w:rsidR="00C76E6D" w:rsidRDefault="00C76E6D">
      <w:pPr>
        <w:spacing w:line="276" w:lineRule="auto"/>
        <w:jc w:val="both"/>
        <w:sectPr w:rsidR="00C76E6D">
          <w:pgSz w:w="12240" w:h="15840"/>
          <w:pgMar w:top="1020" w:right="960" w:bottom="720" w:left="960" w:header="832" w:footer="531" w:gutter="0"/>
          <w:cols w:space="720"/>
        </w:sectPr>
      </w:pPr>
    </w:p>
    <w:p w:rsidR="00C76E6D" w:rsidRDefault="00C76E6D">
      <w:pPr>
        <w:pStyle w:val="BodyText"/>
        <w:spacing w:before="7"/>
        <w:rPr>
          <w:sz w:val="20"/>
        </w:rPr>
      </w:pPr>
    </w:p>
    <w:p w:rsidR="00C76E6D" w:rsidRDefault="00913831">
      <w:pPr>
        <w:pStyle w:val="BodyText"/>
        <w:spacing w:before="55" w:line="276" w:lineRule="auto"/>
        <w:ind w:left="627" w:right="333"/>
        <w:jc w:val="both"/>
      </w:pPr>
      <w:r>
        <w:t>las fiscal year, DPH has initiated explicit engagement of employee stakeholder groups and senior leadership to inform</w:t>
      </w:r>
      <w:r>
        <w:rPr>
          <w:spacing w:val="-2"/>
        </w:rPr>
        <w:t xml:space="preserve"> </w:t>
      </w:r>
      <w:r>
        <w:t>recruitment,</w:t>
      </w:r>
      <w:r>
        <w:rPr>
          <w:spacing w:val="-1"/>
        </w:rPr>
        <w:t xml:space="preserve"> </w:t>
      </w:r>
      <w:r>
        <w:t>hiring, retention,</w:t>
      </w:r>
      <w:r>
        <w:rPr>
          <w:spacing w:val="-1"/>
        </w:rPr>
        <w:t xml:space="preserve"> </w:t>
      </w:r>
      <w:r>
        <w:t>and</w:t>
      </w:r>
      <w:r>
        <w:rPr>
          <w:spacing w:val="-2"/>
        </w:rPr>
        <w:t xml:space="preserve"> </w:t>
      </w:r>
      <w:r>
        <w:t>promotion metrics</w:t>
      </w:r>
      <w:r>
        <w:rPr>
          <w:spacing w:val="-1"/>
        </w:rPr>
        <w:t xml:space="preserve"> </w:t>
      </w:r>
      <w:r>
        <w:t>for</w:t>
      </w:r>
      <w:r>
        <w:rPr>
          <w:spacing w:val="-1"/>
        </w:rPr>
        <w:t xml:space="preserve"> </w:t>
      </w:r>
      <w:r>
        <w:t>LGBTQ+ people,</w:t>
      </w:r>
      <w:r>
        <w:rPr>
          <w:spacing w:val="-1"/>
        </w:rPr>
        <w:t xml:space="preserve"> </w:t>
      </w:r>
      <w:r>
        <w:t>including student interns. Furthermore, DPH employee orientation sessions include information on many opportunities to contribute to LGBTQ+ efforts and employee affinity groups, inclu</w:t>
      </w:r>
      <w:r>
        <w:t>ding the recently established</w:t>
      </w:r>
      <w:r>
        <w:rPr>
          <w:spacing w:val="-4"/>
        </w:rPr>
        <w:t xml:space="preserve"> </w:t>
      </w:r>
      <w:r>
        <w:t>LGBTQ</w:t>
      </w:r>
      <w:r>
        <w:rPr>
          <w:spacing w:val="-4"/>
        </w:rPr>
        <w:t xml:space="preserve"> </w:t>
      </w:r>
      <w:r>
        <w:t>Affinity</w:t>
      </w:r>
      <w:r>
        <w:rPr>
          <w:spacing w:val="-3"/>
        </w:rPr>
        <w:t xml:space="preserve"> </w:t>
      </w:r>
      <w:r>
        <w:t>Group.</w:t>
      </w:r>
      <w:r>
        <w:rPr>
          <w:spacing w:val="-4"/>
        </w:rPr>
        <w:t xml:space="preserve"> </w:t>
      </w:r>
      <w:r>
        <w:t>Finally,</w:t>
      </w:r>
      <w:r>
        <w:rPr>
          <w:spacing w:val="-3"/>
        </w:rPr>
        <w:t xml:space="preserve"> </w:t>
      </w:r>
      <w:r>
        <w:t>DPH</w:t>
      </w:r>
      <w:r>
        <w:rPr>
          <w:spacing w:val="-4"/>
        </w:rPr>
        <w:t xml:space="preserve"> </w:t>
      </w:r>
      <w:r>
        <w:t>plans</w:t>
      </w:r>
      <w:r>
        <w:rPr>
          <w:spacing w:val="-5"/>
        </w:rPr>
        <w:t xml:space="preserve"> </w:t>
      </w:r>
      <w:r>
        <w:t>on</w:t>
      </w:r>
      <w:r>
        <w:rPr>
          <w:spacing w:val="-4"/>
        </w:rPr>
        <w:t xml:space="preserve"> </w:t>
      </w:r>
      <w:r>
        <w:t>including</w:t>
      </w:r>
      <w:r>
        <w:rPr>
          <w:spacing w:val="-3"/>
        </w:rPr>
        <w:t xml:space="preserve"> </w:t>
      </w:r>
      <w:r>
        <w:t>a</w:t>
      </w:r>
      <w:r>
        <w:rPr>
          <w:spacing w:val="-4"/>
        </w:rPr>
        <w:t xml:space="preserve"> </w:t>
      </w:r>
      <w:r>
        <w:t>“Pride”</w:t>
      </w:r>
      <w:r>
        <w:rPr>
          <w:spacing w:val="-3"/>
        </w:rPr>
        <w:t xml:space="preserve"> </w:t>
      </w:r>
      <w:r>
        <w:t>edition</w:t>
      </w:r>
      <w:r>
        <w:rPr>
          <w:spacing w:val="-4"/>
        </w:rPr>
        <w:t xml:space="preserve"> </w:t>
      </w:r>
      <w:r>
        <w:t>of</w:t>
      </w:r>
      <w:r>
        <w:rPr>
          <w:spacing w:val="-4"/>
        </w:rPr>
        <w:t xml:space="preserve"> </w:t>
      </w:r>
      <w:r>
        <w:t>the</w:t>
      </w:r>
      <w:r>
        <w:rPr>
          <w:spacing w:val="-5"/>
        </w:rPr>
        <w:t xml:space="preserve"> </w:t>
      </w:r>
      <w:r>
        <w:t>newsletter</w:t>
      </w:r>
      <w:r>
        <w:rPr>
          <w:spacing w:val="-3"/>
        </w:rPr>
        <w:t xml:space="preserve"> </w:t>
      </w:r>
      <w:r>
        <w:t xml:space="preserve">that includes “Pride” activities, to include and celebrate the LGBTQ community as well as their LGBTQ </w:t>
      </w:r>
      <w:r>
        <w:rPr>
          <w:spacing w:val="-2"/>
        </w:rPr>
        <w:t>employees.</w:t>
      </w:r>
    </w:p>
    <w:p w:rsidR="00C76E6D" w:rsidRDefault="00C76E6D">
      <w:pPr>
        <w:pStyle w:val="BodyText"/>
        <w:spacing w:before="8"/>
        <w:rPr>
          <w:sz w:val="19"/>
        </w:rPr>
      </w:pPr>
    </w:p>
    <w:p w:rsidR="00C76E6D" w:rsidRDefault="00913831">
      <w:pPr>
        <w:pStyle w:val="BodyText"/>
        <w:spacing w:line="276" w:lineRule="auto"/>
        <w:ind w:left="627" w:right="332"/>
        <w:jc w:val="both"/>
      </w:pPr>
      <w:r>
        <w:t>The Commission continu</w:t>
      </w:r>
      <w:r>
        <w:t xml:space="preserve">es to recommend that DPH work with the Commission and advocate in the intersex community to better understand the needs and issues impacting intersex youth. Intersex youth have long been excluded from or ignored in mainstream LGBTQ advocacy, an issue that </w:t>
      </w:r>
      <w:r>
        <w:t>the Commission is determined to help correct in its own capacity. The Commission met with InterACT in May 2021 to discuss healthcare issues impacting intersex youth, including pervasive medically unnecessary surgeries on</w:t>
      </w:r>
      <w:r>
        <w:rPr>
          <w:spacing w:val="-6"/>
        </w:rPr>
        <w:t xml:space="preserve"> </w:t>
      </w:r>
      <w:r>
        <w:t>infants.</w:t>
      </w:r>
      <w:r>
        <w:rPr>
          <w:spacing w:val="-5"/>
        </w:rPr>
        <w:t xml:space="preserve"> </w:t>
      </w:r>
      <w:r>
        <w:t>The</w:t>
      </w:r>
      <w:r>
        <w:rPr>
          <w:spacing w:val="-5"/>
        </w:rPr>
        <w:t xml:space="preserve"> </w:t>
      </w:r>
      <w:r>
        <w:t>Commission</w:t>
      </w:r>
      <w:r>
        <w:rPr>
          <w:spacing w:val="-5"/>
        </w:rPr>
        <w:t xml:space="preserve"> </w:t>
      </w:r>
      <w:r>
        <w:t>hopes</w:t>
      </w:r>
      <w:r>
        <w:rPr>
          <w:spacing w:val="-3"/>
        </w:rPr>
        <w:t xml:space="preserve"> </w:t>
      </w:r>
      <w:r>
        <w:t>that</w:t>
      </w:r>
      <w:r>
        <w:rPr>
          <w:spacing w:val="-3"/>
        </w:rPr>
        <w:t xml:space="preserve"> </w:t>
      </w:r>
      <w:r>
        <w:t>DPH</w:t>
      </w:r>
      <w:r>
        <w:rPr>
          <w:spacing w:val="-5"/>
        </w:rPr>
        <w:t xml:space="preserve"> </w:t>
      </w:r>
      <w:r>
        <w:t>will</w:t>
      </w:r>
      <w:r>
        <w:rPr>
          <w:spacing w:val="-5"/>
        </w:rPr>
        <w:t xml:space="preserve"> </w:t>
      </w:r>
      <w:r>
        <w:t>be</w:t>
      </w:r>
      <w:r>
        <w:rPr>
          <w:spacing w:val="-6"/>
        </w:rPr>
        <w:t xml:space="preserve"> </w:t>
      </w:r>
      <w:r>
        <w:t>open</w:t>
      </w:r>
      <w:r>
        <w:rPr>
          <w:spacing w:val="-4"/>
        </w:rPr>
        <w:t xml:space="preserve"> </w:t>
      </w:r>
      <w:r>
        <w:t>to</w:t>
      </w:r>
      <w:r>
        <w:rPr>
          <w:spacing w:val="-4"/>
        </w:rPr>
        <w:t xml:space="preserve"> </w:t>
      </w:r>
      <w:r>
        <w:t>convening</w:t>
      </w:r>
      <w:r>
        <w:rPr>
          <w:spacing w:val="-6"/>
        </w:rPr>
        <w:t xml:space="preserve"> </w:t>
      </w:r>
      <w:r>
        <w:t>in</w:t>
      </w:r>
      <w:r>
        <w:rPr>
          <w:spacing w:val="-6"/>
        </w:rPr>
        <w:t xml:space="preserve"> </w:t>
      </w:r>
      <w:r>
        <w:t>the</w:t>
      </w:r>
      <w:r>
        <w:rPr>
          <w:spacing w:val="-4"/>
        </w:rPr>
        <w:t xml:space="preserve"> </w:t>
      </w:r>
      <w:r>
        <w:t>coming</w:t>
      </w:r>
      <w:r>
        <w:rPr>
          <w:spacing w:val="-6"/>
        </w:rPr>
        <w:t xml:space="preserve"> </w:t>
      </w:r>
      <w:r>
        <w:t>fiscal</w:t>
      </w:r>
      <w:r>
        <w:rPr>
          <w:spacing w:val="-5"/>
        </w:rPr>
        <w:t xml:space="preserve"> </w:t>
      </w:r>
      <w:r>
        <w:t>year</w:t>
      </w:r>
      <w:r>
        <w:rPr>
          <w:spacing w:val="-5"/>
        </w:rPr>
        <w:t xml:space="preserve"> </w:t>
      </w:r>
      <w:r>
        <w:t>to</w:t>
      </w:r>
      <w:r>
        <w:rPr>
          <w:spacing w:val="-5"/>
        </w:rPr>
        <w:t xml:space="preserve"> </w:t>
      </w:r>
      <w:r>
        <w:t xml:space="preserve">discuss these issues and find ways of raising awareness. The Commission looks forward to exploring what additional steps might be productive in building proactively inclusive services and programs </w:t>
      </w:r>
      <w:r>
        <w:t>throughout the Commonwealth’s public health and healthcare systems.</w:t>
      </w:r>
    </w:p>
    <w:p w:rsidR="00C76E6D" w:rsidRDefault="00C76E6D">
      <w:pPr>
        <w:pStyle w:val="BodyText"/>
        <w:spacing w:before="3"/>
        <w:rPr>
          <w:sz w:val="26"/>
        </w:rPr>
      </w:pPr>
    </w:p>
    <w:p w:rsidR="00C76E6D" w:rsidRDefault="00913831">
      <w:pPr>
        <w:pStyle w:val="Heading6"/>
        <w:numPr>
          <w:ilvl w:val="0"/>
          <w:numId w:val="10"/>
        </w:numPr>
        <w:tabs>
          <w:tab w:val="left" w:pos="582"/>
        </w:tabs>
        <w:spacing w:before="1" w:line="276" w:lineRule="auto"/>
        <w:ind w:right="648" w:firstLine="0"/>
      </w:pPr>
      <w:bookmarkStart w:id="831" w:name="6._Support_the_Youth_Development_Roundta"/>
      <w:bookmarkEnd w:id="831"/>
      <w:r>
        <w:t>Support</w:t>
      </w:r>
      <w:r>
        <w:rPr>
          <w:spacing w:val="-3"/>
        </w:rPr>
        <w:t xml:space="preserve"> </w:t>
      </w:r>
      <w:r>
        <w:t>the</w:t>
      </w:r>
      <w:r>
        <w:rPr>
          <w:spacing w:val="-3"/>
        </w:rPr>
        <w:t xml:space="preserve"> </w:t>
      </w:r>
      <w:r>
        <w:t>Youth</w:t>
      </w:r>
      <w:r>
        <w:rPr>
          <w:spacing w:val="-3"/>
        </w:rPr>
        <w:t xml:space="preserve"> </w:t>
      </w:r>
      <w:r>
        <w:t>Development</w:t>
      </w:r>
      <w:r>
        <w:rPr>
          <w:spacing w:val="-3"/>
        </w:rPr>
        <w:t xml:space="preserve"> </w:t>
      </w:r>
      <w:r>
        <w:t>Roundtable</w:t>
      </w:r>
      <w:r>
        <w:rPr>
          <w:spacing w:val="-4"/>
        </w:rPr>
        <w:t xml:space="preserve"> </w:t>
      </w:r>
      <w:r>
        <w:t>as</w:t>
      </w:r>
      <w:r>
        <w:rPr>
          <w:spacing w:val="-4"/>
        </w:rPr>
        <w:t xml:space="preserve"> </w:t>
      </w:r>
      <w:r>
        <w:t>it</w:t>
      </w:r>
      <w:r>
        <w:rPr>
          <w:spacing w:val="-3"/>
        </w:rPr>
        <w:t xml:space="preserve"> </w:t>
      </w:r>
      <w:r>
        <w:t>works</w:t>
      </w:r>
      <w:r>
        <w:rPr>
          <w:spacing w:val="-3"/>
        </w:rPr>
        <w:t xml:space="preserve"> </w:t>
      </w:r>
      <w:r>
        <w:t>to</w:t>
      </w:r>
      <w:r>
        <w:rPr>
          <w:spacing w:val="-3"/>
        </w:rPr>
        <w:t xml:space="preserve"> </w:t>
      </w:r>
      <w:r>
        <w:t>advise</w:t>
      </w:r>
      <w:r>
        <w:rPr>
          <w:spacing w:val="-4"/>
        </w:rPr>
        <w:t xml:space="preserve"> </w:t>
      </w:r>
      <w:r>
        <w:t>on</w:t>
      </w:r>
      <w:r>
        <w:rPr>
          <w:spacing w:val="-3"/>
        </w:rPr>
        <w:t xml:space="preserve"> </w:t>
      </w:r>
      <w:r>
        <w:t>outreach</w:t>
      </w:r>
      <w:r>
        <w:rPr>
          <w:spacing w:val="-4"/>
        </w:rPr>
        <w:t xml:space="preserve"> </w:t>
      </w:r>
      <w:r>
        <w:t>and</w:t>
      </w:r>
      <w:r>
        <w:rPr>
          <w:spacing w:val="-4"/>
        </w:rPr>
        <w:t xml:space="preserve"> </w:t>
      </w:r>
      <w:r>
        <w:t>issues</w:t>
      </w:r>
      <w:r>
        <w:rPr>
          <w:spacing w:val="-3"/>
        </w:rPr>
        <w:t xml:space="preserve"> </w:t>
      </w:r>
      <w:r>
        <w:t>impacting LGBTQ youth.</w:t>
      </w:r>
    </w:p>
    <w:p w:rsidR="00C76E6D" w:rsidRDefault="00C76E6D">
      <w:pPr>
        <w:pStyle w:val="BodyText"/>
        <w:spacing w:before="3"/>
        <w:rPr>
          <w:b/>
          <w:sz w:val="26"/>
        </w:rPr>
      </w:pPr>
    </w:p>
    <w:p w:rsidR="00C76E6D" w:rsidRDefault="00913831">
      <w:pPr>
        <w:pStyle w:val="BodyText"/>
        <w:spacing w:line="276" w:lineRule="auto"/>
        <w:ind w:left="627" w:right="333" w:hanging="1"/>
        <w:jc w:val="both"/>
      </w:pPr>
      <w:r>
        <w:t>The</w:t>
      </w:r>
      <w:r>
        <w:rPr>
          <w:spacing w:val="-2"/>
        </w:rPr>
        <w:t xml:space="preserve"> </w:t>
      </w:r>
      <w:r>
        <w:t>Commission</w:t>
      </w:r>
      <w:r>
        <w:rPr>
          <w:spacing w:val="-4"/>
        </w:rPr>
        <w:t xml:space="preserve"> </w:t>
      </w:r>
      <w:r>
        <w:t>commends</w:t>
      </w:r>
      <w:r>
        <w:rPr>
          <w:spacing w:val="-3"/>
        </w:rPr>
        <w:t xml:space="preserve"> </w:t>
      </w:r>
      <w:r>
        <w:t>DPH</w:t>
      </w:r>
      <w:r>
        <w:rPr>
          <w:spacing w:val="-3"/>
        </w:rPr>
        <w:t xml:space="preserve"> </w:t>
      </w:r>
      <w:r>
        <w:t>for</w:t>
      </w:r>
      <w:r>
        <w:rPr>
          <w:spacing w:val="-3"/>
        </w:rPr>
        <w:t xml:space="preserve"> </w:t>
      </w:r>
      <w:r>
        <w:t>its</w:t>
      </w:r>
      <w:r>
        <w:rPr>
          <w:spacing w:val="-1"/>
        </w:rPr>
        <w:t xml:space="preserve"> </w:t>
      </w:r>
      <w:r>
        <w:t>success</w:t>
      </w:r>
      <w:r>
        <w:rPr>
          <w:spacing w:val="-2"/>
        </w:rPr>
        <w:t xml:space="preserve"> </w:t>
      </w:r>
      <w:r>
        <w:t>in</w:t>
      </w:r>
      <w:r>
        <w:rPr>
          <w:spacing w:val="-2"/>
        </w:rPr>
        <w:t xml:space="preserve"> </w:t>
      </w:r>
      <w:r>
        <w:t>fulfilling</w:t>
      </w:r>
      <w:r>
        <w:rPr>
          <w:spacing w:val="-2"/>
        </w:rPr>
        <w:t xml:space="preserve"> </w:t>
      </w:r>
      <w:r>
        <w:t>this</w:t>
      </w:r>
      <w:r>
        <w:rPr>
          <w:spacing w:val="-1"/>
        </w:rPr>
        <w:t xml:space="preserve"> </w:t>
      </w:r>
      <w:r>
        <w:t>previous</w:t>
      </w:r>
      <w:r>
        <w:rPr>
          <w:spacing w:val="-3"/>
        </w:rPr>
        <w:t xml:space="preserve"> </w:t>
      </w:r>
      <w:r>
        <w:t>recommendation.</w:t>
      </w:r>
      <w:r>
        <w:rPr>
          <w:spacing w:val="-2"/>
        </w:rPr>
        <w:t xml:space="preserve"> </w:t>
      </w:r>
      <w:r>
        <w:t>In</w:t>
      </w:r>
      <w:r>
        <w:rPr>
          <w:spacing w:val="-3"/>
        </w:rPr>
        <w:t xml:space="preserve"> </w:t>
      </w:r>
      <w:r>
        <w:t>the</w:t>
      </w:r>
      <w:r>
        <w:rPr>
          <w:spacing w:val="-1"/>
        </w:rPr>
        <w:t xml:space="preserve"> </w:t>
      </w:r>
      <w:r>
        <w:t>current fiscal year, the Youth Development Roundtable was established with the mission to coordinate and strengthen</w:t>
      </w:r>
      <w:r>
        <w:rPr>
          <w:spacing w:val="-5"/>
        </w:rPr>
        <w:t xml:space="preserve"> </w:t>
      </w:r>
      <w:r>
        <w:t>DPH</w:t>
      </w:r>
      <w:r>
        <w:rPr>
          <w:spacing w:val="-5"/>
        </w:rPr>
        <w:t xml:space="preserve"> </w:t>
      </w:r>
      <w:r>
        <w:t>youth-serving</w:t>
      </w:r>
      <w:r>
        <w:rPr>
          <w:spacing w:val="-6"/>
        </w:rPr>
        <w:t xml:space="preserve"> </w:t>
      </w:r>
      <w:r>
        <w:t>programs</w:t>
      </w:r>
      <w:r>
        <w:rPr>
          <w:spacing w:val="-5"/>
        </w:rPr>
        <w:t xml:space="preserve"> </w:t>
      </w:r>
      <w:r>
        <w:t>to</w:t>
      </w:r>
      <w:r>
        <w:rPr>
          <w:spacing w:val="-5"/>
        </w:rPr>
        <w:t xml:space="preserve"> </w:t>
      </w:r>
      <w:r>
        <w:t>foster</w:t>
      </w:r>
      <w:r>
        <w:rPr>
          <w:spacing w:val="-5"/>
        </w:rPr>
        <w:t xml:space="preserve"> </w:t>
      </w:r>
      <w:r>
        <w:t>collaboration,</w:t>
      </w:r>
      <w:r>
        <w:rPr>
          <w:spacing w:val="-4"/>
        </w:rPr>
        <w:t xml:space="preserve"> </w:t>
      </w:r>
      <w:r>
        <w:t>support</w:t>
      </w:r>
      <w:r>
        <w:rPr>
          <w:spacing w:val="-5"/>
        </w:rPr>
        <w:t xml:space="preserve"> </w:t>
      </w:r>
      <w:r>
        <w:t>innovative</w:t>
      </w:r>
      <w:r>
        <w:rPr>
          <w:spacing w:val="-7"/>
        </w:rPr>
        <w:t xml:space="preserve"> </w:t>
      </w:r>
      <w:r>
        <w:t>responses,</w:t>
      </w:r>
      <w:r>
        <w:rPr>
          <w:spacing w:val="-5"/>
        </w:rPr>
        <w:t xml:space="preserve"> </w:t>
      </w:r>
      <w:r>
        <w:t>and</w:t>
      </w:r>
      <w:r>
        <w:rPr>
          <w:spacing w:val="-7"/>
        </w:rPr>
        <w:t xml:space="preserve"> </w:t>
      </w:r>
      <w:r>
        <w:t>share best practices and resour</w:t>
      </w:r>
      <w:r>
        <w:t>ces. DPH notes that this includes funding programs tailored to meet the needs of LGBTQ+ youth and young adults. As the Commission has previously discussed, LGBTQ youth continue to face myriad disparities in health outcomes, health care access, and mental h</w:t>
      </w:r>
      <w:r>
        <w:t>ealth, which have been greatly</w:t>
      </w:r>
      <w:r>
        <w:rPr>
          <w:spacing w:val="-13"/>
        </w:rPr>
        <w:t xml:space="preserve"> </w:t>
      </w:r>
      <w:r>
        <w:t>exacerbated</w:t>
      </w:r>
      <w:r>
        <w:rPr>
          <w:spacing w:val="-12"/>
        </w:rPr>
        <w:t xml:space="preserve"> </w:t>
      </w:r>
      <w:r>
        <w:t>by</w:t>
      </w:r>
      <w:r>
        <w:rPr>
          <w:spacing w:val="-13"/>
        </w:rPr>
        <w:t xml:space="preserve"> </w:t>
      </w:r>
      <w:r>
        <w:t>the</w:t>
      </w:r>
      <w:r>
        <w:rPr>
          <w:spacing w:val="-12"/>
        </w:rPr>
        <w:t xml:space="preserve"> </w:t>
      </w:r>
      <w:r>
        <w:t>COVID-19</w:t>
      </w:r>
      <w:r>
        <w:rPr>
          <w:spacing w:val="-12"/>
        </w:rPr>
        <w:t xml:space="preserve"> </w:t>
      </w:r>
      <w:r>
        <w:t>crisis.</w:t>
      </w:r>
      <w:r>
        <w:rPr>
          <w:spacing w:val="-13"/>
        </w:rPr>
        <w:t xml:space="preserve"> </w:t>
      </w:r>
      <w:r>
        <w:t>The</w:t>
      </w:r>
      <w:r>
        <w:rPr>
          <w:spacing w:val="-12"/>
        </w:rPr>
        <w:t xml:space="preserve"> </w:t>
      </w:r>
      <w:r>
        <w:t>Commission</w:t>
      </w:r>
      <w:r>
        <w:rPr>
          <w:spacing w:val="-12"/>
        </w:rPr>
        <w:t xml:space="preserve"> </w:t>
      </w:r>
      <w:r>
        <w:t>looks</w:t>
      </w:r>
      <w:r>
        <w:rPr>
          <w:spacing w:val="-12"/>
        </w:rPr>
        <w:t xml:space="preserve"> </w:t>
      </w:r>
      <w:r>
        <w:t>forward</w:t>
      </w:r>
      <w:r>
        <w:rPr>
          <w:spacing w:val="-13"/>
        </w:rPr>
        <w:t xml:space="preserve"> </w:t>
      </w:r>
      <w:r>
        <w:t>to</w:t>
      </w:r>
      <w:r>
        <w:rPr>
          <w:spacing w:val="-12"/>
        </w:rPr>
        <w:t xml:space="preserve"> </w:t>
      </w:r>
      <w:r>
        <w:t>working</w:t>
      </w:r>
      <w:r>
        <w:rPr>
          <w:spacing w:val="-13"/>
        </w:rPr>
        <w:t xml:space="preserve"> </w:t>
      </w:r>
      <w:r>
        <w:t>with</w:t>
      </w:r>
      <w:r>
        <w:rPr>
          <w:spacing w:val="-12"/>
        </w:rPr>
        <w:t xml:space="preserve"> </w:t>
      </w:r>
      <w:r>
        <w:t>this</w:t>
      </w:r>
      <w:r>
        <w:rPr>
          <w:spacing w:val="-12"/>
        </w:rPr>
        <w:t xml:space="preserve"> </w:t>
      </w:r>
      <w:r>
        <w:t>new</w:t>
      </w:r>
      <w:r>
        <w:rPr>
          <w:spacing w:val="-11"/>
        </w:rPr>
        <w:t xml:space="preserve"> </w:t>
      </w:r>
      <w:r>
        <w:t>Youth Development Roundtable group and seeing its progress within DPH in the next fiscal year.</w:t>
      </w:r>
    </w:p>
    <w:p w:rsidR="00C76E6D" w:rsidRDefault="00913831">
      <w:pPr>
        <w:pStyle w:val="BodyText"/>
        <w:spacing w:before="4"/>
      </w:pPr>
      <w:r>
        <w:pict>
          <v:shape id="docshape408" o:spid="_x0000_s1079" style="position:absolute;margin-left:70.6pt;margin-top:14.85pt;width:470.95pt;height:.1pt;z-index:-15644672;mso-wrap-distance-left:0;mso-wrap-distance-right:0;mso-position-horizontal-relative:page" coordorigin="1412,297" coordsize="9419,0" path="m1412,297r9419,e" filled="f" strokeweight="1.54pt">
            <v:path arrowok="t"/>
            <w10:wrap type="topAndBottom" anchorx="page"/>
          </v:shape>
        </w:pict>
      </w:r>
    </w:p>
    <w:p w:rsidR="00C76E6D" w:rsidRDefault="00C76E6D">
      <w:pPr>
        <w:pStyle w:val="BodyText"/>
        <w:spacing w:before="10"/>
      </w:pPr>
    </w:p>
    <w:p w:rsidR="00C76E6D" w:rsidRDefault="00913831">
      <w:pPr>
        <w:pStyle w:val="Heading6"/>
        <w:ind w:left="3682" w:right="3683"/>
        <w:jc w:val="center"/>
      </w:pPr>
      <w:r>
        <w:rPr>
          <w:spacing w:val="-2"/>
        </w:rPr>
        <w:t>ENDNOTES</w:t>
      </w:r>
    </w:p>
    <w:p w:rsidR="00C76E6D" w:rsidRDefault="00913831">
      <w:pPr>
        <w:pStyle w:val="BodyText"/>
        <w:spacing w:before="8"/>
        <w:rPr>
          <w:b/>
          <w:sz w:val="25"/>
        </w:rPr>
      </w:pPr>
      <w:r>
        <w:pict>
          <v:shape id="docshape409" o:spid="_x0000_s1078" style="position:absolute;margin-left:70.6pt;margin-top:16.85pt;width:470.95pt;height:.1pt;z-index:-15644160;mso-wrap-distance-left:0;mso-wrap-distance-right:0;mso-position-horizontal-relative:page" coordorigin="1412,337" coordsize="9419,0" path="m1412,337r9419,e" filled="f" strokeweight="1.54pt">
            <v:path arrowok="t"/>
            <w10:wrap type="topAndBottom" anchorx="page"/>
          </v:shape>
        </w:pict>
      </w:r>
    </w:p>
    <w:p w:rsidR="00C76E6D" w:rsidRDefault="00C76E6D">
      <w:pPr>
        <w:pStyle w:val="BodyText"/>
        <w:rPr>
          <w:b/>
        </w:rPr>
      </w:pPr>
    </w:p>
    <w:p w:rsidR="00C76E6D" w:rsidRDefault="00C76E6D">
      <w:pPr>
        <w:pStyle w:val="BodyText"/>
        <w:rPr>
          <w:b/>
        </w:rPr>
      </w:pPr>
    </w:p>
    <w:p w:rsidR="00C76E6D" w:rsidRDefault="00C76E6D">
      <w:pPr>
        <w:pStyle w:val="BodyText"/>
        <w:spacing w:before="9"/>
        <w:rPr>
          <w:b/>
          <w:sz w:val="23"/>
        </w:rPr>
      </w:pPr>
    </w:p>
    <w:p w:rsidR="00C76E6D" w:rsidRDefault="00913831">
      <w:pPr>
        <w:ind w:left="340" w:right="530" w:hanging="2"/>
        <w:rPr>
          <w:sz w:val="20"/>
        </w:rPr>
      </w:pPr>
      <w:bookmarkStart w:id="832" w:name="_bookmark586"/>
      <w:bookmarkEnd w:id="832"/>
      <w:r>
        <w:rPr>
          <w:sz w:val="20"/>
          <w:vertAlign w:val="superscript"/>
        </w:rPr>
        <w:t>1</w:t>
      </w:r>
      <w:r>
        <w:rPr>
          <w:spacing w:val="-5"/>
          <w:sz w:val="20"/>
        </w:rPr>
        <w:t xml:space="preserve"> </w:t>
      </w:r>
      <w:r>
        <w:rPr>
          <w:sz w:val="20"/>
        </w:rPr>
        <w:t>Centers</w:t>
      </w:r>
      <w:r>
        <w:rPr>
          <w:spacing w:val="-6"/>
          <w:sz w:val="20"/>
        </w:rPr>
        <w:t xml:space="preserve"> </w:t>
      </w:r>
      <w:r>
        <w:rPr>
          <w:sz w:val="20"/>
        </w:rPr>
        <w:t>for</w:t>
      </w:r>
      <w:r>
        <w:rPr>
          <w:spacing w:val="-7"/>
          <w:sz w:val="20"/>
        </w:rPr>
        <w:t xml:space="preserve"> </w:t>
      </w:r>
      <w:r>
        <w:rPr>
          <w:sz w:val="20"/>
        </w:rPr>
        <w:t>Disease</w:t>
      </w:r>
      <w:r>
        <w:rPr>
          <w:spacing w:val="-5"/>
          <w:sz w:val="20"/>
        </w:rPr>
        <w:t xml:space="preserve"> </w:t>
      </w:r>
      <w:r>
        <w:rPr>
          <w:sz w:val="20"/>
        </w:rPr>
        <w:t>Control</w:t>
      </w:r>
      <w:r>
        <w:rPr>
          <w:spacing w:val="-8"/>
          <w:sz w:val="20"/>
        </w:rPr>
        <w:t xml:space="preserve"> </w:t>
      </w:r>
      <w:r>
        <w:rPr>
          <w:sz w:val="20"/>
        </w:rPr>
        <w:t>and</w:t>
      </w:r>
      <w:r>
        <w:rPr>
          <w:spacing w:val="-5"/>
          <w:sz w:val="20"/>
        </w:rPr>
        <w:t xml:space="preserve"> </w:t>
      </w:r>
      <w:r>
        <w:rPr>
          <w:sz w:val="20"/>
        </w:rPr>
        <w:t>Prevention,</w:t>
      </w:r>
      <w:r>
        <w:rPr>
          <w:spacing w:val="-6"/>
          <w:sz w:val="20"/>
        </w:rPr>
        <w:t xml:space="preserve"> </w:t>
      </w:r>
      <w:r>
        <w:rPr>
          <w:sz w:val="20"/>
        </w:rPr>
        <w:t>National</w:t>
      </w:r>
      <w:r>
        <w:rPr>
          <w:spacing w:val="-7"/>
          <w:sz w:val="20"/>
        </w:rPr>
        <w:t xml:space="preserve"> </w:t>
      </w:r>
      <w:r>
        <w:rPr>
          <w:sz w:val="20"/>
        </w:rPr>
        <w:t>Center</w:t>
      </w:r>
      <w:r>
        <w:rPr>
          <w:spacing w:val="-5"/>
          <w:sz w:val="20"/>
        </w:rPr>
        <w:t xml:space="preserve"> </w:t>
      </w:r>
      <w:r>
        <w:rPr>
          <w:sz w:val="20"/>
        </w:rPr>
        <w:t>for</w:t>
      </w:r>
      <w:r>
        <w:rPr>
          <w:spacing w:val="-8"/>
          <w:sz w:val="20"/>
        </w:rPr>
        <w:t xml:space="preserve"> </w:t>
      </w:r>
      <w:r>
        <w:rPr>
          <w:sz w:val="20"/>
        </w:rPr>
        <w:t>Chronic</w:t>
      </w:r>
      <w:r>
        <w:rPr>
          <w:spacing w:val="-5"/>
          <w:sz w:val="20"/>
        </w:rPr>
        <w:t xml:space="preserve"> </w:t>
      </w:r>
      <w:r>
        <w:rPr>
          <w:sz w:val="20"/>
        </w:rPr>
        <w:t>Disease</w:t>
      </w:r>
      <w:r>
        <w:rPr>
          <w:spacing w:val="-5"/>
          <w:sz w:val="20"/>
        </w:rPr>
        <w:t xml:space="preserve"> </w:t>
      </w:r>
      <w:r>
        <w:rPr>
          <w:sz w:val="20"/>
        </w:rPr>
        <w:t>Prevention</w:t>
      </w:r>
      <w:r>
        <w:rPr>
          <w:spacing w:val="-5"/>
          <w:sz w:val="20"/>
        </w:rPr>
        <w:t xml:space="preserve"> </w:t>
      </w:r>
      <w:r>
        <w:rPr>
          <w:sz w:val="20"/>
        </w:rPr>
        <w:t>and</w:t>
      </w:r>
      <w:r>
        <w:rPr>
          <w:spacing w:val="-6"/>
          <w:sz w:val="20"/>
        </w:rPr>
        <w:t xml:space="preserve"> </w:t>
      </w:r>
      <w:r>
        <w:rPr>
          <w:sz w:val="20"/>
        </w:rPr>
        <w:t>Health</w:t>
      </w:r>
      <w:r>
        <w:rPr>
          <w:spacing w:val="-5"/>
          <w:sz w:val="20"/>
        </w:rPr>
        <w:t xml:space="preserve"> </w:t>
      </w:r>
      <w:r>
        <w:rPr>
          <w:sz w:val="20"/>
        </w:rPr>
        <w:t xml:space="preserve">Promotion, Division of Adolescent and School Health. (2011). Youth Risk Behavior Surveillance System. Retrieved from </w:t>
      </w:r>
      <w:hyperlink r:id="rId424">
        <w:r>
          <w:rPr>
            <w:spacing w:val="-2"/>
            <w:sz w:val="20"/>
          </w:rPr>
          <w:t>http://www.cdc.gov/HealthyYouth/yrbs/index.htm.</w:t>
        </w:r>
      </w:hyperlink>
    </w:p>
    <w:p w:rsidR="00C76E6D" w:rsidRDefault="00913831">
      <w:pPr>
        <w:ind w:left="339" w:right="437" w:hanging="2"/>
        <w:rPr>
          <w:sz w:val="20"/>
        </w:rPr>
      </w:pPr>
      <w:bookmarkStart w:id="833" w:name="_bookmark587"/>
      <w:bookmarkEnd w:id="833"/>
      <w:r>
        <w:rPr>
          <w:sz w:val="20"/>
          <w:vertAlign w:val="superscript"/>
        </w:rPr>
        <w:t>2</w:t>
      </w:r>
      <w:r>
        <w:rPr>
          <w:spacing w:val="-4"/>
          <w:sz w:val="20"/>
        </w:rPr>
        <w:t xml:space="preserve"> </w:t>
      </w:r>
      <w:r>
        <w:rPr>
          <w:sz w:val="20"/>
        </w:rPr>
        <w:t>Valentine,</w:t>
      </w:r>
      <w:r>
        <w:rPr>
          <w:spacing w:val="-5"/>
          <w:sz w:val="20"/>
        </w:rPr>
        <w:t xml:space="preserve"> </w:t>
      </w:r>
      <w:r>
        <w:rPr>
          <w:sz w:val="20"/>
        </w:rPr>
        <w:t>S.</w:t>
      </w:r>
      <w:r>
        <w:rPr>
          <w:spacing w:val="-8"/>
          <w:sz w:val="20"/>
        </w:rPr>
        <w:t xml:space="preserve"> </w:t>
      </w:r>
      <w:r>
        <w:rPr>
          <w:sz w:val="20"/>
        </w:rPr>
        <w:t>E.,</w:t>
      </w:r>
      <w:r>
        <w:rPr>
          <w:spacing w:val="-4"/>
          <w:sz w:val="20"/>
        </w:rPr>
        <w:t xml:space="preserve"> </w:t>
      </w:r>
      <w:r>
        <w:rPr>
          <w:sz w:val="20"/>
        </w:rPr>
        <w:t>Shipherd,</w:t>
      </w:r>
      <w:r>
        <w:rPr>
          <w:spacing w:val="-4"/>
          <w:sz w:val="20"/>
        </w:rPr>
        <w:t xml:space="preserve"> </w:t>
      </w:r>
      <w:r>
        <w:rPr>
          <w:sz w:val="20"/>
        </w:rPr>
        <w:t>J.</w:t>
      </w:r>
      <w:r>
        <w:rPr>
          <w:spacing w:val="-8"/>
          <w:sz w:val="20"/>
        </w:rPr>
        <w:t xml:space="preserve"> </w:t>
      </w:r>
      <w:r>
        <w:rPr>
          <w:sz w:val="20"/>
        </w:rPr>
        <w:t>C.</w:t>
      </w:r>
      <w:r>
        <w:rPr>
          <w:spacing w:val="-5"/>
          <w:sz w:val="20"/>
        </w:rPr>
        <w:t xml:space="preserve"> </w:t>
      </w:r>
      <w:r>
        <w:rPr>
          <w:sz w:val="20"/>
        </w:rPr>
        <w:t>(2018).</w:t>
      </w:r>
      <w:r>
        <w:rPr>
          <w:spacing w:val="-6"/>
          <w:sz w:val="20"/>
        </w:rPr>
        <w:t xml:space="preserve"> </w:t>
      </w:r>
      <w:r>
        <w:rPr>
          <w:sz w:val="20"/>
        </w:rPr>
        <w:t>A</w:t>
      </w:r>
      <w:r>
        <w:rPr>
          <w:spacing w:val="-5"/>
          <w:sz w:val="20"/>
        </w:rPr>
        <w:t xml:space="preserve"> </w:t>
      </w:r>
      <w:r>
        <w:rPr>
          <w:sz w:val="20"/>
        </w:rPr>
        <w:t>systematic</w:t>
      </w:r>
      <w:r>
        <w:rPr>
          <w:spacing w:val="-4"/>
          <w:sz w:val="20"/>
        </w:rPr>
        <w:t xml:space="preserve"> </w:t>
      </w:r>
      <w:r>
        <w:rPr>
          <w:sz w:val="20"/>
        </w:rPr>
        <w:t>review</w:t>
      </w:r>
      <w:r>
        <w:rPr>
          <w:spacing w:val="-6"/>
          <w:sz w:val="20"/>
        </w:rPr>
        <w:t xml:space="preserve"> </w:t>
      </w:r>
      <w:r>
        <w:rPr>
          <w:sz w:val="20"/>
        </w:rPr>
        <w:t>of</w:t>
      </w:r>
      <w:r>
        <w:rPr>
          <w:spacing w:val="-4"/>
          <w:sz w:val="20"/>
        </w:rPr>
        <w:t xml:space="preserve"> </w:t>
      </w:r>
      <w:r>
        <w:rPr>
          <w:sz w:val="20"/>
        </w:rPr>
        <w:t>social</w:t>
      </w:r>
      <w:r>
        <w:rPr>
          <w:spacing w:val="-5"/>
          <w:sz w:val="20"/>
        </w:rPr>
        <w:t xml:space="preserve"> </w:t>
      </w:r>
      <w:r>
        <w:rPr>
          <w:sz w:val="20"/>
        </w:rPr>
        <w:t>stress</w:t>
      </w:r>
      <w:r>
        <w:rPr>
          <w:spacing w:val="-5"/>
          <w:sz w:val="20"/>
        </w:rPr>
        <w:t xml:space="preserve"> </w:t>
      </w:r>
      <w:r>
        <w:rPr>
          <w:sz w:val="20"/>
        </w:rPr>
        <w:t>and</w:t>
      </w:r>
      <w:r>
        <w:rPr>
          <w:spacing w:val="-4"/>
          <w:sz w:val="20"/>
        </w:rPr>
        <w:t xml:space="preserve"> </w:t>
      </w:r>
      <w:r>
        <w:rPr>
          <w:sz w:val="20"/>
        </w:rPr>
        <w:t>mental</w:t>
      </w:r>
      <w:r>
        <w:rPr>
          <w:spacing w:val="-7"/>
          <w:sz w:val="20"/>
        </w:rPr>
        <w:t xml:space="preserve"> </w:t>
      </w:r>
      <w:r>
        <w:rPr>
          <w:sz w:val="20"/>
        </w:rPr>
        <w:t>health</w:t>
      </w:r>
      <w:r>
        <w:rPr>
          <w:spacing w:val="-5"/>
          <w:sz w:val="20"/>
        </w:rPr>
        <w:t xml:space="preserve"> </w:t>
      </w:r>
      <w:r>
        <w:rPr>
          <w:sz w:val="20"/>
        </w:rPr>
        <w:t>among</w:t>
      </w:r>
      <w:r>
        <w:rPr>
          <w:spacing w:val="-5"/>
          <w:sz w:val="20"/>
        </w:rPr>
        <w:t xml:space="preserve"> </w:t>
      </w:r>
      <w:r>
        <w:rPr>
          <w:sz w:val="20"/>
        </w:rPr>
        <w:t>transgender</w:t>
      </w:r>
      <w:r>
        <w:rPr>
          <w:spacing w:val="-4"/>
          <w:sz w:val="20"/>
        </w:rPr>
        <w:t xml:space="preserve"> </w:t>
      </w:r>
      <w:r>
        <w:rPr>
          <w:sz w:val="20"/>
        </w:rPr>
        <w:t>and gender non-conforming p</w:t>
      </w:r>
      <w:r>
        <w:rPr>
          <w:sz w:val="20"/>
        </w:rPr>
        <w:t>eople in the United States. Clinical Psychology Review. https://doi.org/10.1016/j.cpr.2018.03.003. Chapin Hall at the University of Chicago. (2018).</w:t>
      </w:r>
    </w:p>
    <w:p w:rsidR="00C76E6D" w:rsidRDefault="00913831">
      <w:pPr>
        <w:ind w:left="338" w:right="475"/>
        <w:rPr>
          <w:sz w:val="20"/>
        </w:rPr>
      </w:pPr>
      <w:bookmarkStart w:id="834" w:name="_bookmark588"/>
      <w:bookmarkEnd w:id="834"/>
      <w:r>
        <w:rPr>
          <w:sz w:val="20"/>
          <w:vertAlign w:val="superscript"/>
        </w:rPr>
        <w:t>3</w:t>
      </w:r>
      <w:r>
        <w:rPr>
          <w:spacing w:val="-6"/>
          <w:sz w:val="20"/>
        </w:rPr>
        <w:t xml:space="preserve"> </w:t>
      </w:r>
      <w:r>
        <w:rPr>
          <w:sz w:val="20"/>
        </w:rPr>
        <w:t>Massachusetts</w:t>
      </w:r>
      <w:r>
        <w:rPr>
          <w:spacing w:val="-7"/>
          <w:sz w:val="20"/>
        </w:rPr>
        <w:t xml:space="preserve"> </w:t>
      </w:r>
      <w:r>
        <w:rPr>
          <w:sz w:val="20"/>
        </w:rPr>
        <w:t>Department</w:t>
      </w:r>
      <w:r>
        <w:rPr>
          <w:spacing w:val="-7"/>
          <w:sz w:val="20"/>
        </w:rPr>
        <w:t xml:space="preserve"> </w:t>
      </w:r>
      <w:r>
        <w:rPr>
          <w:sz w:val="20"/>
        </w:rPr>
        <w:t>of</w:t>
      </w:r>
      <w:r>
        <w:rPr>
          <w:spacing w:val="-7"/>
          <w:sz w:val="20"/>
        </w:rPr>
        <w:t xml:space="preserve"> </w:t>
      </w:r>
      <w:r>
        <w:rPr>
          <w:sz w:val="20"/>
        </w:rPr>
        <w:t>Public</w:t>
      </w:r>
      <w:r>
        <w:rPr>
          <w:spacing w:val="-7"/>
          <w:sz w:val="20"/>
        </w:rPr>
        <w:t xml:space="preserve"> </w:t>
      </w:r>
      <w:r>
        <w:rPr>
          <w:sz w:val="20"/>
        </w:rPr>
        <w:t>Health.</w:t>
      </w:r>
      <w:r>
        <w:rPr>
          <w:spacing w:val="-7"/>
          <w:sz w:val="20"/>
        </w:rPr>
        <w:t xml:space="preserve"> </w:t>
      </w:r>
      <w:r>
        <w:rPr>
          <w:sz w:val="20"/>
        </w:rPr>
        <w:t>(2019).</w:t>
      </w:r>
      <w:r>
        <w:rPr>
          <w:spacing w:val="-7"/>
          <w:sz w:val="20"/>
        </w:rPr>
        <w:t xml:space="preserve"> </w:t>
      </w:r>
      <w:r>
        <w:rPr>
          <w:sz w:val="20"/>
        </w:rPr>
        <w:t>Care</w:t>
      </w:r>
      <w:r>
        <w:rPr>
          <w:spacing w:val="-7"/>
          <w:sz w:val="20"/>
        </w:rPr>
        <w:t xml:space="preserve"> </w:t>
      </w:r>
      <w:r>
        <w:rPr>
          <w:sz w:val="20"/>
        </w:rPr>
        <w:t>That</w:t>
      </w:r>
      <w:r>
        <w:rPr>
          <w:spacing w:val="-7"/>
          <w:sz w:val="20"/>
        </w:rPr>
        <w:t xml:space="preserve"> </w:t>
      </w:r>
      <w:r>
        <w:rPr>
          <w:sz w:val="20"/>
        </w:rPr>
        <w:t>Fits</w:t>
      </w:r>
      <w:r>
        <w:rPr>
          <w:spacing w:val="-7"/>
          <w:sz w:val="20"/>
        </w:rPr>
        <w:t xml:space="preserve"> </w:t>
      </w:r>
      <w:r>
        <w:rPr>
          <w:sz w:val="20"/>
        </w:rPr>
        <w:t>You.</w:t>
      </w:r>
      <w:r>
        <w:rPr>
          <w:spacing w:val="-10"/>
          <w:sz w:val="20"/>
        </w:rPr>
        <w:t xml:space="preserve"> </w:t>
      </w:r>
      <w:r>
        <w:rPr>
          <w:sz w:val="20"/>
        </w:rPr>
        <w:t>Retrieved</w:t>
      </w:r>
      <w:r>
        <w:rPr>
          <w:spacing w:val="-6"/>
          <w:sz w:val="20"/>
        </w:rPr>
        <w:t xml:space="preserve"> </w:t>
      </w:r>
      <w:r>
        <w:rPr>
          <w:sz w:val="20"/>
        </w:rPr>
        <w:t>from:</w:t>
      </w:r>
      <w:r>
        <w:rPr>
          <w:spacing w:val="-6"/>
          <w:sz w:val="20"/>
        </w:rPr>
        <w:t xml:space="preserve"> </w:t>
      </w:r>
      <w:r>
        <w:rPr>
          <w:sz w:val="20"/>
        </w:rPr>
        <w:t xml:space="preserve">https://carethatfitsyou.org/ </w:t>
      </w:r>
      <w:bookmarkStart w:id="835" w:name="_bookmark589"/>
      <w:bookmarkEnd w:id="835"/>
      <w:r>
        <w:rPr>
          <w:sz w:val="20"/>
          <w:vertAlign w:val="superscript"/>
        </w:rPr>
        <w:t>4</w:t>
      </w:r>
      <w:r>
        <w:rPr>
          <w:sz w:val="20"/>
        </w:rPr>
        <w:t xml:space="preserve"> Massachusetts Department of Public Health. (2020). HIV Pre-Exposure Prophylaxis (PrEP) Locations. </w:t>
      </w:r>
      <w:r>
        <w:rPr>
          <w:spacing w:val="-2"/>
          <w:sz w:val="20"/>
        </w:rPr>
        <w:t>https://</w:t>
      </w:r>
      <w:hyperlink r:id="rId425">
        <w:r>
          <w:rPr>
            <w:spacing w:val="-2"/>
            <w:sz w:val="20"/>
          </w:rPr>
          <w:t>www.mass.gov/hiv-pre-exposur</w:t>
        </w:r>
        <w:r>
          <w:rPr>
            <w:spacing w:val="-2"/>
            <w:sz w:val="20"/>
          </w:rPr>
          <w:t>e-prophylaxis-prep/locations?_page=1</w:t>
        </w:r>
      </w:hyperlink>
    </w:p>
    <w:p w:rsidR="00C76E6D" w:rsidRDefault="00C76E6D">
      <w:pPr>
        <w:rPr>
          <w:sz w:val="20"/>
        </w:rPr>
        <w:sectPr w:rsidR="00C76E6D">
          <w:pgSz w:w="12240" w:h="15840"/>
          <w:pgMar w:top="1020" w:right="960" w:bottom="720" w:left="960" w:header="832" w:footer="531" w:gutter="0"/>
          <w:cols w:space="720"/>
        </w:sectPr>
      </w:pPr>
    </w:p>
    <w:p w:rsidR="00C76E6D" w:rsidRDefault="00C76E6D">
      <w:pPr>
        <w:pStyle w:val="BodyText"/>
        <w:spacing w:before="3"/>
        <w:rPr>
          <w:sz w:val="24"/>
        </w:rPr>
      </w:pPr>
    </w:p>
    <w:p w:rsidR="00C76E6D" w:rsidRDefault="00913831">
      <w:pPr>
        <w:pStyle w:val="Heading2"/>
        <w:spacing w:before="35"/>
      </w:pPr>
      <w:bookmarkStart w:id="836" w:name="MassHealth"/>
      <w:bookmarkStart w:id="837" w:name="_bookmark590"/>
      <w:bookmarkEnd w:id="836"/>
      <w:bookmarkEnd w:id="837"/>
      <w:r>
        <w:rPr>
          <w:spacing w:val="-2"/>
        </w:rPr>
        <w:t>MassHealth</w:t>
      </w:r>
    </w:p>
    <w:p w:rsidR="00C76E6D" w:rsidRDefault="00913831">
      <w:pPr>
        <w:pStyle w:val="BodyText"/>
        <w:rPr>
          <w:b/>
          <w:sz w:val="12"/>
        </w:rPr>
      </w:pPr>
      <w:r>
        <w:pict>
          <v:shape id="docshape413" o:spid="_x0000_s1077" style="position:absolute;margin-left:65pt;margin-top:8.55pt;width:476.95pt;height:.1pt;z-index:-15643648;mso-wrap-distance-left:0;mso-wrap-distance-right:0;mso-position-horizontal-relative:page" coordorigin="1300,171" coordsize="9539,0" path="m1300,171r9539,e" filled="f" strokeweight="1.54pt">
            <v:path arrowok="t"/>
            <w10:wrap type="topAndBottom" anchorx="page"/>
          </v:shape>
        </w:pict>
      </w:r>
    </w:p>
    <w:p w:rsidR="00C76E6D" w:rsidRDefault="00913831">
      <w:pPr>
        <w:pStyle w:val="Heading5"/>
        <w:spacing w:before="182"/>
      </w:pPr>
      <w:r>
        <w:rPr>
          <w:spacing w:val="-2"/>
        </w:rPr>
        <w:t>FY2023</w:t>
      </w:r>
      <w:r>
        <w:rPr>
          <w:spacing w:val="-4"/>
        </w:rPr>
        <w:t xml:space="preserve"> </w:t>
      </w:r>
      <w:r>
        <w:rPr>
          <w:spacing w:val="-2"/>
        </w:rPr>
        <w:t>Recommendations</w:t>
      </w:r>
    </w:p>
    <w:p w:rsidR="00C76E6D" w:rsidRDefault="00C76E6D">
      <w:pPr>
        <w:pStyle w:val="BodyText"/>
        <w:rPr>
          <w:b/>
          <w:sz w:val="29"/>
        </w:rPr>
      </w:pPr>
    </w:p>
    <w:p w:rsidR="00C76E6D" w:rsidRDefault="00913831">
      <w:pPr>
        <w:pStyle w:val="ListParagraph"/>
        <w:numPr>
          <w:ilvl w:val="1"/>
          <w:numId w:val="10"/>
        </w:numPr>
        <w:tabs>
          <w:tab w:val="left" w:pos="1271"/>
        </w:tabs>
        <w:spacing w:line="276" w:lineRule="auto"/>
        <w:ind w:right="383" w:firstLine="0"/>
      </w:pPr>
      <w:r>
        <w:t>Continue</w:t>
      </w:r>
      <w:r>
        <w:rPr>
          <w:spacing w:val="-13"/>
        </w:rPr>
        <w:t xml:space="preserve"> </w:t>
      </w:r>
      <w:r>
        <w:t>to</w:t>
      </w:r>
      <w:r>
        <w:rPr>
          <w:spacing w:val="-12"/>
        </w:rPr>
        <w:t xml:space="preserve"> </w:t>
      </w:r>
      <w:r>
        <w:t>review</w:t>
      </w:r>
      <w:r>
        <w:rPr>
          <w:spacing w:val="-12"/>
        </w:rPr>
        <w:t xml:space="preserve"> </w:t>
      </w:r>
      <w:r>
        <w:t>MassHealth</w:t>
      </w:r>
      <w:r>
        <w:rPr>
          <w:spacing w:val="-13"/>
        </w:rPr>
        <w:t xml:space="preserve"> </w:t>
      </w:r>
      <w:r>
        <w:t>policies</w:t>
      </w:r>
      <w:r>
        <w:rPr>
          <w:spacing w:val="-10"/>
        </w:rPr>
        <w:t xml:space="preserve"> </w:t>
      </w:r>
      <w:r>
        <w:t>and</w:t>
      </w:r>
      <w:r>
        <w:rPr>
          <w:spacing w:val="-13"/>
        </w:rPr>
        <w:t xml:space="preserve"> </w:t>
      </w:r>
      <w:r>
        <w:t>guidelines</w:t>
      </w:r>
      <w:r>
        <w:rPr>
          <w:spacing w:val="-12"/>
        </w:rPr>
        <w:t xml:space="preserve"> </w:t>
      </w:r>
      <w:r>
        <w:t>to</w:t>
      </w:r>
      <w:r>
        <w:rPr>
          <w:spacing w:val="-12"/>
        </w:rPr>
        <w:t xml:space="preserve"> </w:t>
      </w:r>
      <w:r>
        <w:t>increase</w:t>
      </w:r>
      <w:r>
        <w:rPr>
          <w:spacing w:val="-12"/>
        </w:rPr>
        <w:t xml:space="preserve"> </w:t>
      </w:r>
      <w:r>
        <w:t>access</w:t>
      </w:r>
      <w:r>
        <w:rPr>
          <w:spacing w:val="-11"/>
        </w:rPr>
        <w:t xml:space="preserve"> </w:t>
      </w:r>
      <w:r>
        <w:t>to</w:t>
      </w:r>
      <w:r>
        <w:rPr>
          <w:spacing w:val="-13"/>
        </w:rPr>
        <w:t xml:space="preserve"> </w:t>
      </w:r>
      <w:r>
        <w:t>gender-affirming</w:t>
      </w:r>
      <w:r>
        <w:rPr>
          <w:spacing w:val="-12"/>
        </w:rPr>
        <w:t xml:space="preserve"> </w:t>
      </w:r>
      <w:r>
        <w:t>care and reduce health disparities among LGBTQ+ communities and communities of color.</w:t>
      </w:r>
    </w:p>
    <w:p w:rsidR="00C76E6D" w:rsidRDefault="00C76E6D">
      <w:pPr>
        <w:pStyle w:val="BodyText"/>
        <w:spacing w:before="4"/>
        <w:rPr>
          <w:sz w:val="25"/>
        </w:rPr>
      </w:pPr>
    </w:p>
    <w:p w:rsidR="00C76E6D" w:rsidRDefault="00913831">
      <w:pPr>
        <w:pStyle w:val="ListParagraph"/>
        <w:numPr>
          <w:ilvl w:val="1"/>
          <w:numId w:val="10"/>
        </w:numPr>
        <w:tabs>
          <w:tab w:val="left" w:pos="1283"/>
        </w:tabs>
        <w:spacing w:line="276" w:lineRule="auto"/>
        <w:ind w:right="427" w:firstLine="0"/>
      </w:pPr>
      <w:r>
        <w:t>Expand</w:t>
      </w:r>
      <w:r>
        <w:rPr>
          <w:spacing w:val="-4"/>
        </w:rPr>
        <w:t xml:space="preserve"> </w:t>
      </w:r>
      <w:r>
        <w:t>data</w:t>
      </w:r>
      <w:r>
        <w:rPr>
          <w:spacing w:val="-2"/>
        </w:rPr>
        <w:t xml:space="preserve"> </w:t>
      </w:r>
      <w:r>
        <w:t>collection</w:t>
      </w:r>
      <w:r>
        <w:rPr>
          <w:spacing w:val="-4"/>
        </w:rPr>
        <w:t xml:space="preserve"> </w:t>
      </w:r>
      <w:r>
        <w:t>efforts</w:t>
      </w:r>
      <w:r>
        <w:rPr>
          <w:spacing w:val="-4"/>
        </w:rPr>
        <w:t xml:space="preserve"> </w:t>
      </w:r>
      <w:r>
        <w:t>beyond</w:t>
      </w:r>
      <w:r>
        <w:rPr>
          <w:spacing w:val="-4"/>
        </w:rPr>
        <w:t xml:space="preserve"> </w:t>
      </w:r>
      <w:r>
        <w:t>federal</w:t>
      </w:r>
      <w:r>
        <w:rPr>
          <w:spacing w:val="-4"/>
        </w:rPr>
        <w:t xml:space="preserve"> </w:t>
      </w:r>
      <w:r>
        <w:t>requirements</w:t>
      </w:r>
      <w:r>
        <w:rPr>
          <w:spacing w:val="-4"/>
        </w:rPr>
        <w:t xml:space="preserve"> </w:t>
      </w:r>
      <w:r>
        <w:t>to</w:t>
      </w:r>
      <w:r>
        <w:rPr>
          <w:spacing w:val="-2"/>
        </w:rPr>
        <w:t xml:space="preserve"> </w:t>
      </w:r>
      <w:r>
        <w:t>collect</w:t>
      </w:r>
      <w:r>
        <w:rPr>
          <w:spacing w:val="-3"/>
        </w:rPr>
        <w:t xml:space="preserve"> </w:t>
      </w:r>
      <w:r>
        <w:t>data</w:t>
      </w:r>
      <w:r>
        <w:rPr>
          <w:spacing w:val="-4"/>
        </w:rPr>
        <w:t xml:space="preserve"> </w:t>
      </w:r>
      <w:r>
        <w:t>on</w:t>
      </w:r>
      <w:r>
        <w:rPr>
          <w:spacing w:val="-3"/>
        </w:rPr>
        <w:t xml:space="preserve"> </w:t>
      </w:r>
      <w:r>
        <w:t>sexual</w:t>
      </w:r>
      <w:r>
        <w:rPr>
          <w:spacing w:val="-4"/>
        </w:rPr>
        <w:t xml:space="preserve"> </w:t>
      </w:r>
      <w:r>
        <w:t>orientation and gender identity and expression (SOGIE).</w:t>
      </w:r>
    </w:p>
    <w:p w:rsidR="00C76E6D" w:rsidRDefault="00C76E6D">
      <w:pPr>
        <w:pStyle w:val="BodyText"/>
        <w:spacing w:before="6"/>
        <w:rPr>
          <w:sz w:val="25"/>
        </w:rPr>
      </w:pPr>
    </w:p>
    <w:p w:rsidR="00C76E6D" w:rsidRDefault="00913831">
      <w:pPr>
        <w:pStyle w:val="ListParagraph"/>
        <w:numPr>
          <w:ilvl w:val="1"/>
          <w:numId w:val="10"/>
        </w:numPr>
        <w:tabs>
          <w:tab w:val="left" w:pos="1287"/>
        </w:tabs>
        <w:spacing w:line="276" w:lineRule="auto"/>
        <w:ind w:right="465" w:hanging="1"/>
      </w:pPr>
      <w:r>
        <w:t>Collaborate</w:t>
      </w:r>
      <w:r>
        <w:rPr>
          <w:spacing w:val="-4"/>
        </w:rPr>
        <w:t xml:space="preserve"> </w:t>
      </w:r>
      <w:r>
        <w:t>with</w:t>
      </w:r>
      <w:r>
        <w:rPr>
          <w:spacing w:val="-3"/>
        </w:rPr>
        <w:t xml:space="preserve"> </w:t>
      </w:r>
      <w:r>
        <w:t>the</w:t>
      </w:r>
      <w:r>
        <w:rPr>
          <w:spacing w:val="-3"/>
        </w:rPr>
        <w:t xml:space="preserve"> </w:t>
      </w:r>
      <w:r>
        <w:t>Commission</w:t>
      </w:r>
      <w:r>
        <w:rPr>
          <w:spacing w:val="-4"/>
        </w:rPr>
        <w:t xml:space="preserve"> </w:t>
      </w:r>
      <w:r>
        <w:t>to</w:t>
      </w:r>
      <w:r>
        <w:rPr>
          <w:spacing w:val="-3"/>
        </w:rPr>
        <w:t xml:space="preserve"> </w:t>
      </w:r>
      <w:r>
        <w:t>expand</w:t>
      </w:r>
      <w:r>
        <w:rPr>
          <w:spacing w:val="-3"/>
        </w:rPr>
        <w:t xml:space="preserve"> </w:t>
      </w:r>
      <w:r>
        <w:t>training</w:t>
      </w:r>
      <w:r>
        <w:rPr>
          <w:spacing w:val="-3"/>
        </w:rPr>
        <w:t xml:space="preserve"> </w:t>
      </w:r>
      <w:r>
        <w:t>programs</w:t>
      </w:r>
      <w:r>
        <w:rPr>
          <w:spacing w:val="-3"/>
        </w:rPr>
        <w:t xml:space="preserve"> </w:t>
      </w:r>
      <w:r>
        <w:t>to</w:t>
      </w:r>
      <w:r>
        <w:rPr>
          <w:spacing w:val="-2"/>
        </w:rPr>
        <w:t xml:space="preserve"> </w:t>
      </w:r>
      <w:r>
        <w:t>all</w:t>
      </w:r>
      <w:r>
        <w:rPr>
          <w:spacing w:val="-4"/>
        </w:rPr>
        <w:t xml:space="preserve"> </w:t>
      </w:r>
      <w:r>
        <w:t>workers</w:t>
      </w:r>
      <w:r>
        <w:rPr>
          <w:spacing w:val="-4"/>
        </w:rPr>
        <w:t xml:space="preserve"> </w:t>
      </w:r>
      <w:r>
        <w:t>and</w:t>
      </w:r>
      <w:r>
        <w:rPr>
          <w:spacing w:val="-4"/>
        </w:rPr>
        <w:t xml:space="preserve"> </w:t>
      </w:r>
      <w:r>
        <w:t>supervisors</w:t>
      </w:r>
      <w:r>
        <w:rPr>
          <w:spacing w:val="-4"/>
        </w:rPr>
        <w:t xml:space="preserve"> </w:t>
      </w:r>
      <w:r>
        <w:t>on issues that affect LGBTQ youth and young adults</w:t>
      </w:r>
    </w:p>
    <w:p w:rsidR="00C76E6D" w:rsidRDefault="00C76E6D">
      <w:pPr>
        <w:pStyle w:val="BodyText"/>
        <w:spacing w:before="3"/>
        <w:rPr>
          <w:sz w:val="25"/>
        </w:rPr>
      </w:pPr>
    </w:p>
    <w:p w:rsidR="00C76E6D" w:rsidRDefault="00913831">
      <w:pPr>
        <w:pStyle w:val="Heading5"/>
        <w:spacing w:before="1"/>
      </w:pPr>
      <w:r>
        <w:t>Background</w:t>
      </w:r>
      <w:r>
        <w:rPr>
          <w:spacing w:val="-15"/>
        </w:rPr>
        <w:t xml:space="preserve"> </w:t>
      </w:r>
      <w:r>
        <w:t>&amp;</w:t>
      </w:r>
      <w:r>
        <w:rPr>
          <w:spacing w:val="-6"/>
        </w:rPr>
        <w:t xml:space="preserve"> </w:t>
      </w:r>
      <w:r>
        <w:rPr>
          <w:spacing w:val="-2"/>
        </w:rPr>
        <w:t>Research</w:t>
      </w:r>
    </w:p>
    <w:p w:rsidR="00C76E6D" w:rsidRDefault="00913831">
      <w:pPr>
        <w:pStyle w:val="BodyText"/>
        <w:spacing w:before="2"/>
        <w:rPr>
          <w:b/>
          <w:sz w:val="11"/>
        </w:rPr>
      </w:pPr>
      <w:r>
        <w:pict>
          <v:shape id="docshape414" o:spid="_x0000_s1076" style="position:absolute;margin-left:65pt;margin-top:8.05pt;width:476.95pt;height:.1pt;z-index:-15643136;mso-wrap-distance-left:0;mso-wrap-distance-right:0;mso-position-horizontal-relative:page" coordorigin="1300,161" coordsize="9539,0" path="m1300,161r9539,e" filled="f" strokeweight="1.54pt">
            <v:path arrowok="t"/>
            <w10:wrap type="topAndBottom" anchorx="page"/>
          </v:shape>
        </w:pict>
      </w:r>
    </w:p>
    <w:p w:rsidR="00C76E6D" w:rsidRDefault="00C76E6D">
      <w:pPr>
        <w:pStyle w:val="BodyText"/>
        <w:spacing w:before="6"/>
        <w:rPr>
          <w:b/>
          <w:sz w:val="30"/>
        </w:rPr>
      </w:pPr>
    </w:p>
    <w:p w:rsidR="00C76E6D" w:rsidRDefault="00913831">
      <w:pPr>
        <w:pStyle w:val="BodyText"/>
        <w:spacing w:line="276" w:lineRule="auto"/>
        <w:ind w:left="338" w:right="335"/>
        <w:jc w:val="both"/>
      </w:pPr>
      <w:r>
        <w:rPr>
          <w:sz w:val="24"/>
        </w:rPr>
        <w:t xml:space="preserve">The </w:t>
      </w:r>
      <w:r>
        <w:t>MA Commission on LGBTQ Youth is very glad to establish a more formal partnership with MassHealth, with th</w:t>
      </w:r>
      <w:r>
        <w:t>e FY2022 report representing the</w:t>
      </w:r>
      <w:r>
        <w:rPr>
          <w:spacing w:val="-1"/>
        </w:rPr>
        <w:t xml:space="preserve"> </w:t>
      </w:r>
      <w:r>
        <w:t>first time the</w:t>
      </w:r>
      <w:r>
        <w:rPr>
          <w:spacing w:val="-1"/>
        </w:rPr>
        <w:t xml:space="preserve"> </w:t>
      </w:r>
      <w:r>
        <w:t>Commission</w:t>
      </w:r>
      <w:r>
        <w:rPr>
          <w:spacing w:val="-1"/>
        </w:rPr>
        <w:t xml:space="preserve"> </w:t>
      </w:r>
      <w:r>
        <w:t>issued</w:t>
      </w:r>
      <w:r>
        <w:rPr>
          <w:spacing w:val="-1"/>
        </w:rPr>
        <w:t xml:space="preserve"> </w:t>
      </w:r>
      <w:r>
        <w:t>recommendations to MassHealth on</w:t>
      </w:r>
      <w:r>
        <w:rPr>
          <w:spacing w:val="-10"/>
        </w:rPr>
        <w:t xml:space="preserve"> </w:t>
      </w:r>
      <w:r>
        <w:t>issues</w:t>
      </w:r>
      <w:r>
        <w:rPr>
          <w:spacing w:val="-9"/>
        </w:rPr>
        <w:t xml:space="preserve"> </w:t>
      </w:r>
      <w:r>
        <w:t>impacting</w:t>
      </w:r>
      <w:r>
        <w:rPr>
          <w:spacing w:val="-9"/>
        </w:rPr>
        <w:t xml:space="preserve"> </w:t>
      </w:r>
      <w:r>
        <w:t>LGBTQ</w:t>
      </w:r>
      <w:r>
        <w:rPr>
          <w:spacing w:val="-9"/>
        </w:rPr>
        <w:t xml:space="preserve"> </w:t>
      </w:r>
      <w:r>
        <w:t>youth.</w:t>
      </w:r>
      <w:r>
        <w:rPr>
          <w:spacing w:val="-9"/>
        </w:rPr>
        <w:t xml:space="preserve"> </w:t>
      </w:r>
      <w:r>
        <w:t>MassHealth</w:t>
      </w:r>
      <w:r>
        <w:rPr>
          <w:spacing w:val="-9"/>
        </w:rPr>
        <w:t xml:space="preserve"> </w:t>
      </w:r>
      <w:r>
        <w:t>provides</w:t>
      </w:r>
      <w:r>
        <w:rPr>
          <w:spacing w:val="-9"/>
        </w:rPr>
        <w:t xml:space="preserve"> </w:t>
      </w:r>
      <w:r>
        <w:t>vital</w:t>
      </w:r>
      <w:r>
        <w:rPr>
          <w:spacing w:val="-10"/>
        </w:rPr>
        <w:t xml:space="preserve"> </w:t>
      </w:r>
      <w:r>
        <w:t>resources</w:t>
      </w:r>
      <w:r>
        <w:rPr>
          <w:spacing w:val="-9"/>
        </w:rPr>
        <w:t xml:space="preserve"> </w:t>
      </w:r>
      <w:r>
        <w:t>to</w:t>
      </w:r>
      <w:r>
        <w:rPr>
          <w:spacing w:val="-9"/>
        </w:rPr>
        <w:t xml:space="preserve"> </w:t>
      </w:r>
      <w:r>
        <w:t>underserved</w:t>
      </w:r>
      <w:r>
        <w:rPr>
          <w:spacing w:val="-10"/>
        </w:rPr>
        <w:t xml:space="preserve"> </w:t>
      </w:r>
      <w:r>
        <w:t>communities,</w:t>
      </w:r>
      <w:r>
        <w:rPr>
          <w:spacing w:val="-10"/>
        </w:rPr>
        <w:t xml:space="preserve"> </w:t>
      </w:r>
      <w:r>
        <w:t>and</w:t>
      </w:r>
      <w:r>
        <w:rPr>
          <w:spacing w:val="-9"/>
        </w:rPr>
        <w:t xml:space="preserve"> </w:t>
      </w:r>
      <w:r>
        <w:t>the Commission is extremely grateful for its services, which continue to play an important part in supporting LGBTQ life. The Commission strongly believes the formalization of this partnership will allow significant strides to be made for LGBTQ health in t</w:t>
      </w:r>
      <w:r>
        <w:t>he Commonwealth.</w:t>
      </w:r>
    </w:p>
    <w:p w:rsidR="00C76E6D" w:rsidRDefault="00C76E6D">
      <w:pPr>
        <w:pStyle w:val="BodyText"/>
        <w:spacing w:before="6"/>
        <w:rPr>
          <w:sz w:val="25"/>
        </w:rPr>
      </w:pPr>
    </w:p>
    <w:p w:rsidR="00C76E6D" w:rsidRDefault="00913831">
      <w:pPr>
        <w:pStyle w:val="BodyText"/>
        <w:spacing w:line="276" w:lineRule="auto"/>
        <w:ind w:left="339" w:right="333" w:hanging="1"/>
        <w:jc w:val="both"/>
      </w:pPr>
      <w:r>
        <w:t>MassHealth</w:t>
      </w:r>
      <w:r>
        <w:rPr>
          <w:spacing w:val="-7"/>
        </w:rPr>
        <w:t xml:space="preserve"> </w:t>
      </w:r>
      <w:r>
        <w:t>refers</w:t>
      </w:r>
      <w:r>
        <w:rPr>
          <w:spacing w:val="-7"/>
        </w:rPr>
        <w:t xml:space="preserve"> </w:t>
      </w:r>
      <w:r>
        <w:t>to</w:t>
      </w:r>
      <w:r>
        <w:rPr>
          <w:spacing w:val="-6"/>
        </w:rPr>
        <w:t xml:space="preserve"> </w:t>
      </w:r>
      <w:r>
        <w:t>both</w:t>
      </w:r>
      <w:r>
        <w:rPr>
          <w:spacing w:val="-4"/>
        </w:rPr>
        <w:t xml:space="preserve"> </w:t>
      </w:r>
      <w:r>
        <w:t>Medicaid</w:t>
      </w:r>
      <w:r>
        <w:rPr>
          <w:spacing w:val="-6"/>
        </w:rPr>
        <w:t xml:space="preserve"> </w:t>
      </w:r>
      <w:r>
        <w:t>and</w:t>
      </w:r>
      <w:r>
        <w:rPr>
          <w:spacing w:val="-6"/>
        </w:rPr>
        <w:t xml:space="preserve"> </w:t>
      </w:r>
      <w:r>
        <w:t>the</w:t>
      </w:r>
      <w:r>
        <w:rPr>
          <w:spacing w:val="-6"/>
        </w:rPr>
        <w:t xml:space="preserve"> </w:t>
      </w:r>
      <w:r>
        <w:t>Children’s</w:t>
      </w:r>
      <w:r>
        <w:rPr>
          <w:spacing w:val="-7"/>
        </w:rPr>
        <w:t xml:space="preserve"> </w:t>
      </w:r>
      <w:r>
        <w:t>Health</w:t>
      </w:r>
      <w:r>
        <w:rPr>
          <w:spacing w:val="-6"/>
        </w:rPr>
        <w:t xml:space="preserve"> </w:t>
      </w:r>
      <w:r>
        <w:t>Insurance</w:t>
      </w:r>
      <w:r>
        <w:rPr>
          <w:spacing w:val="-6"/>
        </w:rPr>
        <w:t xml:space="preserve"> </w:t>
      </w:r>
      <w:r>
        <w:t>Program</w:t>
      </w:r>
      <w:r>
        <w:rPr>
          <w:spacing w:val="-7"/>
        </w:rPr>
        <w:t xml:space="preserve"> </w:t>
      </w:r>
      <w:r>
        <w:t>(CHIP)</w:t>
      </w:r>
      <w:r>
        <w:rPr>
          <w:spacing w:val="-7"/>
        </w:rPr>
        <w:t xml:space="preserve"> </w:t>
      </w:r>
      <w:r>
        <w:t>in</w:t>
      </w:r>
      <w:r>
        <w:rPr>
          <w:spacing w:val="-4"/>
        </w:rPr>
        <w:t xml:space="preserve"> </w:t>
      </w:r>
      <w:r>
        <w:t>Massachusetts,</w:t>
      </w:r>
      <w:r>
        <w:rPr>
          <w:spacing w:val="-7"/>
        </w:rPr>
        <w:t xml:space="preserve"> </w:t>
      </w:r>
      <w:r>
        <w:t>a combinative program offering benefits for doctor visits, prescription drugs, hospital stays, and many other services. It provides in</w:t>
      </w:r>
      <w:r>
        <w:t>surance and medical financial assistance to qualifying children, families, seniors, and people with disabilities</w:t>
      </w:r>
      <w:hyperlink w:anchor="_bookmark591" w:history="1">
        <w:r>
          <w:t>.</w:t>
        </w:r>
        <w:r>
          <w:rPr>
            <w:vertAlign w:val="superscript"/>
          </w:rPr>
          <w:t>1</w:t>
        </w:r>
      </w:hyperlink>
    </w:p>
    <w:p w:rsidR="00C76E6D" w:rsidRDefault="00C76E6D">
      <w:pPr>
        <w:pStyle w:val="BodyText"/>
        <w:spacing w:before="1"/>
        <w:rPr>
          <w:sz w:val="26"/>
        </w:rPr>
      </w:pPr>
    </w:p>
    <w:p w:rsidR="00C76E6D" w:rsidRDefault="00913831">
      <w:pPr>
        <w:pStyle w:val="BodyText"/>
        <w:spacing w:before="1" w:line="276" w:lineRule="auto"/>
        <w:ind w:left="337" w:right="334"/>
        <w:jc w:val="both"/>
      </w:pPr>
      <w:r>
        <w:t>As a result of a combination of factors – including familial and social rejection, harassment, discrimination, neglect,</w:t>
      </w:r>
      <w:r>
        <w:rPr>
          <w:spacing w:val="-9"/>
        </w:rPr>
        <w:t xml:space="preserve"> </w:t>
      </w:r>
      <w:r>
        <w:t>and</w:t>
      </w:r>
      <w:r>
        <w:rPr>
          <w:spacing w:val="-7"/>
        </w:rPr>
        <w:t xml:space="preserve"> </w:t>
      </w:r>
      <w:r>
        <w:t>poverty</w:t>
      </w:r>
      <w:r>
        <w:rPr>
          <w:spacing w:val="-9"/>
        </w:rPr>
        <w:t xml:space="preserve"> </w:t>
      </w:r>
      <w:r>
        <w:t>–</w:t>
      </w:r>
      <w:r>
        <w:rPr>
          <w:spacing w:val="-9"/>
        </w:rPr>
        <w:t xml:space="preserve"> </w:t>
      </w:r>
      <w:r>
        <w:t>research</w:t>
      </w:r>
      <w:r>
        <w:rPr>
          <w:spacing w:val="-9"/>
        </w:rPr>
        <w:t xml:space="preserve"> </w:t>
      </w:r>
      <w:r>
        <w:t>shows</w:t>
      </w:r>
      <w:r>
        <w:rPr>
          <w:spacing w:val="-7"/>
        </w:rPr>
        <w:t xml:space="preserve"> </w:t>
      </w:r>
      <w:r>
        <w:t>LGBTQ</w:t>
      </w:r>
      <w:r>
        <w:rPr>
          <w:spacing w:val="-9"/>
        </w:rPr>
        <w:t xml:space="preserve"> </w:t>
      </w:r>
      <w:r>
        <w:t>youth</w:t>
      </w:r>
      <w:r>
        <w:rPr>
          <w:spacing w:val="-8"/>
        </w:rPr>
        <w:t xml:space="preserve"> </w:t>
      </w:r>
      <w:r>
        <w:t>may</w:t>
      </w:r>
      <w:r>
        <w:rPr>
          <w:spacing w:val="-9"/>
        </w:rPr>
        <w:t xml:space="preserve"> </w:t>
      </w:r>
      <w:r>
        <w:t>be</w:t>
      </w:r>
      <w:r>
        <w:rPr>
          <w:spacing w:val="-9"/>
        </w:rPr>
        <w:t xml:space="preserve"> </w:t>
      </w:r>
      <w:r>
        <w:t>more</w:t>
      </w:r>
      <w:r>
        <w:rPr>
          <w:spacing w:val="-7"/>
        </w:rPr>
        <w:t xml:space="preserve"> </w:t>
      </w:r>
      <w:r>
        <w:t>likely</w:t>
      </w:r>
      <w:r>
        <w:rPr>
          <w:spacing w:val="-8"/>
        </w:rPr>
        <w:t xml:space="preserve"> </w:t>
      </w:r>
      <w:r>
        <w:t>than</w:t>
      </w:r>
      <w:r>
        <w:rPr>
          <w:spacing w:val="-9"/>
        </w:rPr>
        <w:t xml:space="preserve"> </w:t>
      </w:r>
      <w:r>
        <w:t>others</w:t>
      </w:r>
      <w:r>
        <w:rPr>
          <w:spacing w:val="-8"/>
        </w:rPr>
        <w:t xml:space="preserve"> </w:t>
      </w:r>
      <w:r>
        <w:t>to</w:t>
      </w:r>
      <w:r>
        <w:rPr>
          <w:spacing w:val="-7"/>
        </w:rPr>
        <w:t xml:space="preserve"> </w:t>
      </w:r>
      <w:r>
        <w:t>be</w:t>
      </w:r>
      <w:r>
        <w:rPr>
          <w:spacing w:val="-9"/>
        </w:rPr>
        <w:t xml:space="preserve"> </w:t>
      </w:r>
      <w:r>
        <w:t>both</w:t>
      </w:r>
      <w:r>
        <w:rPr>
          <w:spacing w:val="-9"/>
        </w:rPr>
        <w:t xml:space="preserve"> </w:t>
      </w:r>
      <w:r>
        <w:t>at</w:t>
      </w:r>
      <w:r>
        <w:rPr>
          <w:spacing w:val="-9"/>
        </w:rPr>
        <w:t xml:space="preserve"> </w:t>
      </w:r>
      <w:r>
        <w:t>risk</w:t>
      </w:r>
      <w:r>
        <w:rPr>
          <w:spacing w:val="-9"/>
        </w:rPr>
        <w:t xml:space="preserve"> </w:t>
      </w:r>
      <w:r>
        <w:t>of</w:t>
      </w:r>
      <w:r>
        <w:rPr>
          <w:spacing w:val="-9"/>
        </w:rPr>
        <w:t xml:space="preserve"> </w:t>
      </w:r>
      <w:r>
        <w:t>poor health</w:t>
      </w:r>
      <w:r>
        <w:rPr>
          <w:spacing w:val="-2"/>
        </w:rPr>
        <w:t xml:space="preserve"> </w:t>
      </w:r>
      <w:r>
        <w:t>and</w:t>
      </w:r>
      <w:r>
        <w:rPr>
          <w:spacing w:val="-2"/>
        </w:rPr>
        <w:t xml:space="preserve"> </w:t>
      </w:r>
      <w:r>
        <w:t>lacking</w:t>
      </w:r>
      <w:r>
        <w:rPr>
          <w:spacing w:val="-1"/>
        </w:rPr>
        <w:t xml:space="preserve"> </w:t>
      </w:r>
      <w:r>
        <w:t>access</w:t>
      </w:r>
      <w:r>
        <w:rPr>
          <w:spacing w:val="-1"/>
        </w:rPr>
        <w:t xml:space="preserve"> </w:t>
      </w:r>
      <w:r>
        <w:t>to</w:t>
      </w:r>
      <w:r>
        <w:rPr>
          <w:spacing w:val="-1"/>
        </w:rPr>
        <w:t xml:space="preserve"> </w:t>
      </w:r>
      <w:r>
        <w:t>vital</w:t>
      </w:r>
      <w:r>
        <w:rPr>
          <w:spacing w:val="-2"/>
        </w:rPr>
        <w:t xml:space="preserve"> </w:t>
      </w:r>
      <w:r>
        <w:t>healthcare</w:t>
      </w:r>
      <w:r>
        <w:rPr>
          <w:spacing w:val="-1"/>
        </w:rPr>
        <w:t xml:space="preserve"> </w:t>
      </w:r>
      <w:r>
        <w:t>services.</w:t>
      </w:r>
      <w:r>
        <w:rPr>
          <w:spacing w:val="-1"/>
        </w:rPr>
        <w:t xml:space="preserve"> </w:t>
      </w:r>
      <w:r>
        <w:t>These disparities</w:t>
      </w:r>
      <w:r>
        <w:rPr>
          <w:spacing w:val="-1"/>
        </w:rPr>
        <w:t xml:space="preserve"> </w:t>
      </w:r>
      <w:r>
        <w:t>are</w:t>
      </w:r>
      <w:r>
        <w:rPr>
          <w:spacing w:val="-1"/>
        </w:rPr>
        <w:t xml:space="preserve"> </w:t>
      </w:r>
      <w:r>
        <w:t>reflected</w:t>
      </w:r>
      <w:r>
        <w:rPr>
          <w:spacing w:val="-1"/>
        </w:rPr>
        <w:t xml:space="preserve"> </w:t>
      </w:r>
      <w:r>
        <w:t>in both physiological</w:t>
      </w:r>
      <w:r>
        <w:rPr>
          <w:spacing w:val="-1"/>
        </w:rPr>
        <w:t xml:space="preserve"> </w:t>
      </w:r>
      <w:r>
        <w:t>as well</w:t>
      </w:r>
      <w:r>
        <w:rPr>
          <w:spacing w:val="-9"/>
        </w:rPr>
        <w:t xml:space="preserve"> </w:t>
      </w:r>
      <w:r>
        <w:t>as</w:t>
      </w:r>
      <w:r>
        <w:rPr>
          <w:spacing w:val="-7"/>
        </w:rPr>
        <w:t xml:space="preserve"> </w:t>
      </w:r>
      <w:r>
        <w:t>mental</w:t>
      </w:r>
      <w:r>
        <w:rPr>
          <w:spacing w:val="-9"/>
        </w:rPr>
        <w:t xml:space="preserve"> </w:t>
      </w:r>
      <w:r>
        <w:t>health</w:t>
      </w:r>
      <w:r>
        <w:rPr>
          <w:spacing w:val="-9"/>
        </w:rPr>
        <w:t xml:space="preserve"> </w:t>
      </w:r>
      <w:r>
        <w:t>of</w:t>
      </w:r>
      <w:r>
        <w:rPr>
          <w:spacing w:val="-7"/>
        </w:rPr>
        <w:t xml:space="preserve"> </w:t>
      </w:r>
      <w:r>
        <w:t>LGBTQ</w:t>
      </w:r>
      <w:r>
        <w:rPr>
          <w:spacing w:val="-9"/>
        </w:rPr>
        <w:t xml:space="preserve"> </w:t>
      </w:r>
      <w:r>
        <w:t>youth,</w:t>
      </w:r>
      <w:r>
        <w:rPr>
          <w:spacing w:val="-9"/>
        </w:rPr>
        <w:t xml:space="preserve"> </w:t>
      </w:r>
      <w:r>
        <w:t>and</w:t>
      </w:r>
      <w:r>
        <w:rPr>
          <w:spacing w:val="-8"/>
        </w:rPr>
        <w:t xml:space="preserve"> </w:t>
      </w:r>
      <w:r>
        <w:t>their</w:t>
      </w:r>
      <w:r>
        <w:rPr>
          <w:spacing w:val="-8"/>
        </w:rPr>
        <w:t xml:space="preserve"> </w:t>
      </w:r>
      <w:r>
        <w:t>magnitude</w:t>
      </w:r>
      <w:r>
        <w:rPr>
          <w:spacing w:val="-9"/>
        </w:rPr>
        <w:t xml:space="preserve"> </w:t>
      </w:r>
      <w:r>
        <w:t>is</w:t>
      </w:r>
      <w:r>
        <w:rPr>
          <w:spacing w:val="-7"/>
        </w:rPr>
        <w:t xml:space="preserve"> </w:t>
      </w:r>
      <w:r>
        <w:t>often</w:t>
      </w:r>
      <w:r>
        <w:rPr>
          <w:spacing w:val="-9"/>
        </w:rPr>
        <w:t xml:space="preserve"> </w:t>
      </w:r>
      <w:r>
        <w:t>enlarged</w:t>
      </w:r>
      <w:r>
        <w:rPr>
          <w:spacing w:val="-8"/>
        </w:rPr>
        <w:t xml:space="preserve"> </w:t>
      </w:r>
      <w:r>
        <w:t>in</w:t>
      </w:r>
      <w:r>
        <w:rPr>
          <w:spacing w:val="-7"/>
        </w:rPr>
        <w:t xml:space="preserve"> </w:t>
      </w:r>
      <w:r>
        <w:t>the</w:t>
      </w:r>
      <w:r>
        <w:rPr>
          <w:spacing w:val="-8"/>
        </w:rPr>
        <w:t xml:space="preserve"> </w:t>
      </w:r>
      <w:r>
        <w:t>home,</w:t>
      </w:r>
      <w:r>
        <w:rPr>
          <w:spacing w:val="-6"/>
        </w:rPr>
        <w:t xml:space="preserve"> </w:t>
      </w:r>
      <w:r>
        <w:t>the</w:t>
      </w:r>
      <w:r>
        <w:rPr>
          <w:spacing w:val="-9"/>
        </w:rPr>
        <w:t xml:space="preserve"> </w:t>
      </w:r>
      <w:r>
        <w:t>classroom,</w:t>
      </w:r>
      <w:r>
        <w:rPr>
          <w:spacing w:val="-7"/>
        </w:rPr>
        <w:t xml:space="preserve"> </w:t>
      </w:r>
      <w:r>
        <w:t>the healthcare industry, and the workplace. According to studies by MassEq</w:t>
      </w:r>
      <w:r>
        <w:t>uality, at least 20% of LGBTQ youth report experiences of bullying and harassment</w:t>
      </w:r>
      <w:hyperlink w:anchor="_bookmark592" w:history="1">
        <w:r>
          <w:t>.</w:t>
        </w:r>
        <w:r>
          <w:rPr>
            <w:vertAlign w:val="superscript"/>
          </w:rPr>
          <w:t>2</w:t>
        </w:r>
        <w:r>
          <w:t xml:space="preserve"> </w:t>
        </w:r>
      </w:hyperlink>
      <w:r>
        <w:t>Only 8.2% of students across the nation say they receive LGBTQ- inclusive sex education in schools</w:t>
      </w:r>
      <w:hyperlink w:anchor="_bookmark593" w:history="1">
        <w:r>
          <w:t>.</w:t>
        </w:r>
        <w:r>
          <w:rPr>
            <w:vertAlign w:val="superscript"/>
          </w:rPr>
          <w:t>3</w:t>
        </w:r>
      </w:hyperlink>
      <w:r>
        <w:t xml:space="preserve"> In Mass</w:t>
      </w:r>
      <w:r>
        <w:t>achusetts alone, 82% of LGBTQ individuals report a complete lack of education about staying safe as an LGBTQ person</w:t>
      </w:r>
      <w:hyperlink w:anchor="_bookmark594" w:history="1">
        <w:r>
          <w:t>.</w:t>
        </w:r>
        <w:r>
          <w:rPr>
            <w:vertAlign w:val="superscript"/>
          </w:rPr>
          <w:t>4</w:t>
        </w:r>
        <w:r>
          <w:t xml:space="preserve"> </w:t>
        </w:r>
      </w:hyperlink>
      <w:r>
        <w:t>According to recent national studies, each</w:t>
      </w:r>
      <w:r>
        <w:rPr>
          <w:spacing w:val="-3"/>
        </w:rPr>
        <w:t xml:space="preserve"> </w:t>
      </w:r>
      <w:r>
        <w:t>time</w:t>
      </w:r>
      <w:r>
        <w:rPr>
          <w:spacing w:val="-3"/>
        </w:rPr>
        <w:t xml:space="preserve"> </w:t>
      </w:r>
      <w:r>
        <w:t>an</w:t>
      </w:r>
      <w:r>
        <w:rPr>
          <w:spacing w:val="-2"/>
        </w:rPr>
        <w:t xml:space="preserve"> </w:t>
      </w:r>
      <w:r>
        <w:t>LGBTQ</w:t>
      </w:r>
      <w:r>
        <w:rPr>
          <w:spacing w:val="-3"/>
        </w:rPr>
        <w:t xml:space="preserve"> </w:t>
      </w:r>
      <w:r>
        <w:t>child</w:t>
      </w:r>
      <w:r>
        <w:rPr>
          <w:spacing w:val="-3"/>
        </w:rPr>
        <w:t xml:space="preserve"> </w:t>
      </w:r>
      <w:r>
        <w:t>is</w:t>
      </w:r>
      <w:r>
        <w:rPr>
          <w:spacing w:val="-4"/>
        </w:rPr>
        <w:t xml:space="preserve"> </w:t>
      </w:r>
      <w:r>
        <w:t>physically</w:t>
      </w:r>
      <w:r>
        <w:rPr>
          <w:spacing w:val="-3"/>
        </w:rPr>
        <w:t xml:space="preserve"> </w:t>
      </w:r>
      <w:r>
        <w:t>or</w:t>
      </w:r>
      <w:r>
        <w:rPr>
          <w:spacing w:val="-4"/>
        </w:rPr>
        <w:t xml:space="preserve"> </w:t>
      </w:r>
      <w:r>
        <w:t>verbally</w:t>
      </w:r>
      <w:r>
        <w:rPr>
          <w:spacing w:val="-4"/>
        </w:rPr>
        <w:t xml:space="preserve"> </w:t>
      </w:r>
      <w:r>
        <w:t>abused,</w:t>
      </w:r>
      <w:r>
        <w:rPr>
          <w:spacing w:val="-4"/>
        </w:rPr>
        <w:t xml:space="preserve"> </w:t>
      </w:r>
      <w:r>
        <w:t>it</w:t>
      </w:r>
      <w:r>
        <w:rPr>
          <w:spacing w:val="-4"/>
        </w:rPr>
        <w:t xml:space="preserve"> </w:t>
      </w:r>
      <w:r>
        <w:t>increases</w:t>
      </w:r>
      <w:r>
        <w:rPr>
          <w:spacing w:val="-4"/>
        </w:rPr>
        <w:t xml:space="preserve"> </w:t>
      </w:r>
      <w:r>
        <w:t>the</w:t>
      </w:r>
      <w:r>
        <w:rPr>
          <w:spacing w:val="-3"/>
        </w:rPr>
        <w:t xml:space="preserve"> </w:t>
      </w:r>
      <w:r>
        <w:t>likelihood</w:t>
      </w:r>
      <w:r>
        <w:rPr>
          <w:spacing w:val="-4"/>
        </w:rPr>
        <w:t xml:space="preserve"> </w:t>
      </w:r>
      <w:r>
        <w:t>of</w:t>
      </w:r>
      <w:r>
        <w:rPr>
          <w:spacing w:val="-4"/>
        </w:rPr>
        <w:t xml:space="preserve"> </w:t>
      </w:r>
      <w:r>
        <w:t>them</w:t>
      </w:r>
      <w:r>
        <w:rPr>
          <w:spacing w:val="-1"/>
        </w:rPr>
        <w:t xml:space="preserve"> </w:t>
      </w:r>
      <w:r>
        <w:t>self-harming</w:t>
      </w:r>
      <w:r>
        <w:rPr>
          <w:spacing w:val="-2"/>
        </w:rPr>
        <w:t xml:space="preserve"> </w:t>
      </w:r>
      <w:r>
        <w:t>by about 2.5 times</w:t>
      </w:r>
      <w:hyperlink w:anchor="_bookmark595" w:history="1">
        <w:r>
          <w:t>.</w:t>
        </w:r>
        <w:r>
          <w:rPr>
            <w:vertAlign w:val="superscript"/>
          </w:rPr>
          <w:t>5</w:t>
        </w:r>
      </w:hyperlink>
    </w:p>
    <w:p w:rsidR="00C76E6D" w:rsidRDefault="00C76E6D">
      <w:pPr>
        <w:pStyle w:val="BodyText"/>
        <w:spacing w:before="8"/>
        <w:rPr>
          <w:sz w:val="28"/>
        </w:rPr>
      </w:pPr>
    </w:p>
    <w:p w:rsidR="00C76E6D" w:rsidRDefault="00913831">
      <w:pPr>
        <w:pStyle w:val="BodyText"/>
        <w:spacing w:before="1" w:line="276" w:lineRule="auto"/>
        <w:ind w:left="337" w:right="336"/>
        <w:jc w:val="both"/>
      </w:pPr>
      <w:r>
        <w:t>Reports</w:t>
      </w:r>
      <w:r>
        <w:rPr>
          <w:spacing w:val="-10"/>
        </w:rPr>
        <w:t xml:space="preserve"> </w:t>
      </w:r>
      <w:r>
        <w:t>from</w:t>
      </w:r>
      <w:r>
        <w:rPr>
          <w:spacing w:val="-9"/>
        </w:rPr>
        <w:t xml:space="preserve"> </w:t>
      </w:r>
      <w:r>
        <w:t>the</w:t>
      </w:r>
      <w:r>
        <w:rPr>
          <w:spacing w:val="-10"/>
        </w:rPr>
        <w:t xml:space="preserve"> </w:t>
      </w:r>
      <w:r>
        <w:t>CDC</w:t>
      </w:r>
      <w:r>
        <w:rPr>
          <w:spacing w:val="-10"/>
        </w:rPr>
        <w:t xml:space="preserve"> </w:t>
      </w:r>
      <w:r>
        <w:t>have</w:t>
      </w:r>
      <w:r>
        <w:rPr>
          <w:spacing w:val="-9"/>
        </w:rPr>
        <w:t xml:space="preserve"> </w:t>
      </w:r>
      <w:r>
        <w:t>also</w:t>
      </w:r>
      <w:r>
        <w:rPr>
          <w:spacing w:val="-10"/>
        </w:rPr>
        <w:t xml:space="preserve"> </w:t>
      </w:r>
      <w:r>
        <w:t>found</w:t>
      </w:r>
      <w:r>
        <w:rPr>
          <w:spacing w:val="-10"/>
        </w:rPr>
        <w:t xml:space="preserve"> </w:t>
      </w:r>
      <w:r>
        <w:t>LGBTQ</w:t>
      </w:r>
      <w:r>
        <w:rPr>
          <w:spacing w:val="-10"/>
        </w:rPr>
        <w:t xml:space="preserve"> </w:t>
      </w:r>
      <w:r>
        <w:t>youth</w:t>
      </w:r>
      <w:r>
        <w:rPr>
          <w:spacing w:val="-10"/>
        </w:rPr>
        <w:t xml:space="preserve"> </w:t>
      </w:r>
      <w:r>
        <w:t>to</w:t>
      </w:r>
      <w:r>
        <w:rPr>
          <w:spacing w:val="-8"/>
        </w:rPr>
        <w:t xml:space="preserve"> </w:t>
      </w:r>
      <w:r>
        <w:t>cite</w:t>
      </w:r>
      <w:r>
        <w:rPr>
          <w:spacing w:val="-10"/>
        </w:rPr>
        <w:t xml:space="preserve"> </w:t>
      </w:r>
      <w:r>
        <w:t>higher</w:t>
      </w:r>
      <w:r>
        <w:rPr>
          <w:spacing w:val="-10"/>
        </w:rPr>
        <w:t xml:space="preserve"> </w:t>
      </w:r>
      <w:r>
        <w:t>ubiquity</w:t>
      </w:r>
      <w:r>
        <w:rPr>
          <w:spacing w:val="-10"/>
        </w:rPr>
        <w:t xml:space="preserve"> </w:t>
      </w:r>
      <w:r>
        <w:t>of</w:t>
      </w:r>
      <w:r>
        <w:rPr>
          <w:spacing w:val="-10"/>
        </w:rPr>
        <w:t xml:space="preserve"> </w:t>
      </w:r>
      <w:r>
        <w:t>health</w:t>
      </w:r>
      <w:r>
        <w:rPr>
          <w:spacing w:val="-10"/>
        </w:rPr>
        <w:t xml:space="preserve"> </w:t>
      </w:r>
      <w:r>
        <w:t>risk</w:t>
      </w:r>
      <w:r>
        <w:rPr>
          <w:spacing w:val="-10"/>
        </w:rPr>
        <w:t xml:space="preserve"> </w:t>
      </w:r>
      <w:r>
        <w:t>behaviors</w:t>
      </w:r>
      <w:r>
        <w:rPr>
          <w:spacing w:val="-10"/>
        </w:rPr>
        <w:t xml:space="preserve"> </w:t>
      </w:r>
      <w:r>
        <w:t>compared to their heterosexual or cisgender peers, includi</w:t>
      </w:r>
      <w:r>
        <w:t>ng violence victimization (e.g., did not go to school because of</w:t>
      </w:r>
      <w:r>
        <w:rPr>
          <w:spacing w:val="-11"/>
        </w:rPr>
        <w:t xml:space="preserve"> </w:t>
      </w:r>
      <w:r>
        <w:t>safety</w:t>
      </w:r>
      <w:r>
        <w:rPr>
          <w:spacing w:val="-11"/>
        </w:rPr>
        <w:t xml:space="preserve"> </w:t>
      </w:r>
      <w:r>
        <w:t>concerns);</w:t>
      </w:r>
      <w:r>
        <w:rPr>
          <w:spacing w:val="-11"/>
        </w:rPr>
        <w:t xml:space="preserve"> </w:t>
      </w:r>
      <w:r>
        <w:t>suicidality</w:t>
      </w:r>
      <w:r>
        <w:rPr>
          <w:spacing w:val="-11"/>
        </w:rPr>
        <w:t xml:space="preserve"> </w:t>
      </w:r>
      <w:r>
        <w:t>and</w:t>
      </w:r>
      <w:r>
        <w:rPr>
          <w:spacing w:val="-10"/>
        </w:rPr>
        <w:t xml:space="preserve"> </w:t>
      </w:r>
      <w:r>
        <w:t>self-harm;</w:t>
      </w:r>
      <w:r>
        <w:rPr>
          <w:spacing w:val="-11"/>
        </w:rPr>
        <w:t xml:space="preserve"> </w:t>
      </w:r>
      <w:r>
        <w:t>tobacco,</w:t>
      </w:r>
      <w:r>
        <w:rPr>
          <w:spacing w:val="-11"/>
        </w:rPr>
        <w:t xml:space="preserve"> </w:t>
      </w:r>
      <w:r>
        <w:t>alcohol</w:t>
      </w:r>
      <w:r>
        <w:rPr>
          <w:spacing w:val="-11"/>
        </w:rPr>
        <w:t xml:space="preserve"> </w:t>
      </w:r>
      <w:r>
        <w:t>and</w:t>
      </w:r>
      <w:r>
        <w:rPr>
          <w:spacing w:val="-10"/>
        </w:rPr>
        <w:t xml:space="preserve"> </w:t>
      </w:r>
      <w:r>
        <w:t>drug</w:t>
      </w:r>
      <w:r>
        <w:rPr>
          <w:spacing w:val="-12"/>
        </w:rPr>
        <w:t xml:space="preserve"> </w:t>
      </w:r>
      <w:r>
        <w:t>use;</w:t>
      </w:r>
      <w:r>
        <w:rPr>
          <w:spacing w:val="-10"/>
        </w:rPr>
        <w:t xml:space="preserve"> </w:t>
      </w:r>
      <w:r>
        <w:t>sexual</w:t>
      </w:r>
      <w:r>
        <w:rPr>
          <w:spacing w:val="-11"/>
        </w:rPr>
        <w:t xml:space="preserve"> </w:t>
      </w:r>
      <w:r>
        <w:t>behaviors;</w:t>
      </w:r>
      <w:r>
        <w:rPr>
          <w:spacing w:val="-10"/>
        </w:rPr>
        <w:t xml:space="preserve"> </w:t>
      </w:r>
      <w:r>
        <w:t>and</w:t>
      </w:r>
      <w:r>
        <w:rPr>
          <w:spacing w:val="-12"/>
        </w:rPr>
        <w:t xml:space="preserve"> </w:t>
      </w:r>
      <w:r>
        <w:t>unhealthy weight management</w:t>
      </w:r>
      <w:hyperlink w:anchor="_bookmark596" w:history="1">
        <w:r>
          <w:t>.</w:t>
        </w:r>
        <w:r>
          <w:rPr>
            <w:vertAlign w:val="superscript"/>
          </w:rPr>
          <w:t>6</w:t>
        </w:r>
        <w:r>
          <w:t xml:space="preserve"> </w:t>
        </w:r>
      </w:hyperlink>
      <w:r>
        <w:t>Metrics of risk ranged as high as 49 percent to 90 percent greater than heterosexual</w:t>
      </w:r>
    </w:p>
    <w:p w:rsidR="00C76E6D" w:rsidRDefault="00C76E6D">
      <w:pPr>
        <w:spacing w:line="276" w:lineRule="auto"/>
        <w:jc w:val="both"/>
        <w:sectPr w:rsidR="00C76E6D">
          <w:headerReference w:type="default" r:id="rId426"/>
          <w:footerReference w:type="default" r:id="rId427"/>
          <w:pgSz w:w="12240" w:h="15840"/>
          <w:pgMar w:top="1020" w:right="960" w:bottom="640" w:left="960" w:header="832" w:footer="440" w:gutter="0"/>
          <w:cols w:space="720"/>
        </w:sectPr>
      </w:pPr>
    </w:p>
    <w:p w:rsidR="00C76E6D" w:rsidRDefault="00C76E6D">
      <w:pPr>
        <w:pStyle w:val="BodyText"/>
        <w:spacing w:before="6"/>
        <w:rPr>
          <w:sz w:val="20"/>
        </w:rPr>
      </w:pPr>
    </w:p>
    <w:p w:rsidR="00C76E6D" w:rsidRDefault="00913831">
      <w:pPr>
        <w:pStyle w:val="BodyText"/>
        <w:spacing w:before="77" w:line="276" w:lineRule="auto"/>
        <w:ind w:left="338" w:right="530"/>
      </w:pPr>
      <w:r>
        <w:t>peers in these seven categories. Research also shows that LGBTQ people have elevated rate</w:t>
      </w:r>
      <w:r>
        <w:t>s of trauma,</w:t>
      </w:r>
      <w:hyperlink w:anchor="_bookmark597" w:history="1">
        <w:r>
          <w:rPr>
            <w:vertAlign w:val="superscript"/>
          </w:rPr>
          <w:t>7</w:t>
        </w:r>
      </w:hyperlink>
      <w:r>
        <w:t xml:space="preserve"> emphasizing the importance of trauma-informed policy and care.</w:t>
      </w:r>
    </w:p>
    <w:p w:rsidR="00C76E6D" w:rsidRDefault="00C76E6D">
      <w:pPr>
        <w:pStyle w:val="BodyText"/>
        <w:spacing w:before="4"/>
        <w:rPr>
          <w:sz w:val="25"/>
        </w:rPr>
      </w:pPr>
    </w:p>
    <w:p w:rsidR="00C76E6D" w:rsidRDefault="00913831">
      <w:pPr>
        <w:pStyle w:val="BodyText"/>
        <w:spacing w:before="1" w:line="276" w:lineRule="auto"/>
        <w:ind w:left="338" w:right="332"/>
        <w:jc w:val="both"/>
      </w:pPr>
      <w:r>
        <w:t>Many of these adverse experiences are a direct result of a lack of health education and knowledge of resources</w:t>
      </w:r>
      <w:r>
        <w:rPr>
          <w:spacing w:val="-4"/>
        </w:rPr>
        <w:t xml:space="preserve"> </w:t>
      </w:r>
      <w:r>
        <w:t>for</w:t>
      </w:r>
      <w:r>
        <w:rPr>
          <w:spacing w:val="-4"/>
        </w:rPr>
        <w:t xml:space="preserve"> </w:t>
      </w:r>
      <w:r>
        <w:t>LGBTQ</w:t>
      </w:r>
      <w:r>
        <w:rPr>
          <w:spacing w:val="-4"/>
        </w:rPr>
        <w:t xml:space="preserve"> </w:t>
      </w:r>
      <w:r>
        <w:t>youth.</w:t>
      </w:r>
      <w:r>
        <w:rPr>
          <w:spacing w:val="-4"/>
        </w:rPr>
        <w:t xml:space="preserve"> </w:t>
      </w:r>
      <w:r>
        <w:t>Some</w:t>
      </w:r>
      <w:r>
        <w:rPr>
          <w:spacing w:val="-4"/>
        </w:rPr>
        <w:t xml:space="preserve"> </w:t>
      </w:r>
      <w:r>
        <w:t>facets</w:t>
      </w:r>
      <w:r>
        <w:rPr>
          <w:spacing w:val="-3"/>
        </w:rPr>
        <w:t xml:space="preserve"> </w:t>
      </w:r>
      <w:r>
        <w:t>of</w:t>
      </w:r>
      <w:r>
        <w:rPr>
          <w:spacing w:val="-4"/>
        </w:rPr>
        <w:t xml:space="preserve"> </w:t>
      </w:r>
      <w:r>
        <w:t>the</w:t>
      </w:r>
      <w:r>
        <w:rPr>
          <w:spacing w:val="-4"/>
        </w:rPr>
        <w:t xml:space="preserve"> </w:t>
      </w:r>
      <w:r>
        <w:t>LGBTQ</w:t>
      </w:r>
      <w:r>
        <w:rPr>
          <w:spacing w:val="-4"/>
        </w:rPr>
        <w:t xml:space="preserve"> </w:t>
      </w:r>
      <w:r>
        <w:t>community</w:t>
      </w:r>
      <w:r>
        <w:rPr>
          <w:spacing w:val="-4"/>
        </w:rPr>
        <w:t xml:space="preserve"> </w:t>
      </w:r>
      <w:r>
        <w:t>face</w:t>
      </w:r>
      <w:r>
        <w:rPr>
          <w:spacing w:val="-4"/>
        </w:rPr>
        <w:t xml:space="preserve"> </w:t>
      </w:r>
      <w:r>
        <w:t>particularly</w:t>
      </w:r>
      <w:r>
        <w:rPr>
          <w:spacing w:val="-4"/>
        </w:rPr>
        <w:t xml:space="preserve"> </w:t>
      </w:r>
      <w:r>
        <w:t>high</w:t>
      </w:r>
      <w:r>
        <w:rPr>
          <w:spacing w:val="-4"/>
        </w:rPr>
        <w:t xml:space="preserve"> </w:t>
      </w:r>
      <w:r>
        <w:t>risks</w:t>
      </w:r>
      <w:r>
        <w:rPr>
          <w:spacing w:val="-4"/>
        </w:rPr>
        <w:t xml:space="preserve"> </w:t>
      </w:r>
      <w:r>
        <w:t>to</w:t>
      </w:r>
      <w:r>
        <w:rPr>
          <w:spacing w:val="-3"/>
        </w:rPr>
        <w:t xml:space="preserve"> </w:t>
      </w:r>
      <w:r>
        <w:t>their</w:t>
      </w:r>
      <w:r>
        <w:rPr>
          <w:spacing w:val="-3"/>
        </w:rPr>
        <w:t xml:space="preserve"> </w:t>
      </w:r>
      <w:r>
        <w:t>health. According to the National Center for Transgender Equality, a 2015 U.S. Survey of Trans individuals revealed that 40% of trans people have attempted suicide at least once, compared to 4.6% of th</w:t>
      </w:r>
      <w:r>
        <w:t>e U.S. population altogether</w:t>
      </w:r>
      <w:hyperlink w:anchor="_bookmark598" w:history="1">
        <w:r>
          <w:t>.</w:t>
        </w:r>
        <w:r>
          <w:rPr>
            <w:vertAlign w:val="superscript"/>
          </w:rPr>
          <w:t>8</w:t>
        </w:r>
        <w:r>
          <w:t xml:space="preserve"> </w:t>
        </w:r>
      </w:hyperlink>
      <w:r>
        <w:t>Transgender and nonbinary youth who experienced disrespect of their pronouns by all or most people in their lives also reported attempting suicide 50% more than those who felt their pronouns we</w:t>
      </w:r>
      <w:r>
        <w:t>re respected.</w:t>
      </w:r>
      <w:hyperlink w:anchor="_bookmark599" w:history="1">
        <w:r>
          <w:rPr>
            <w:vertAlign w:val="superscript"/>
          </w:rPr>
          <w:t>9</w:t>
        </w:r>
        <w:r>
          <w:t xml:space="preserve"> </w:t>
        </w:r>
      </w:hyperlink>
      <w:r>
        <w:t xml:space="preserve">With increasing violence against transgender individuals, a focus on the health of trans youth and their families is key for MassHealth to develop a comprehensive plan to care for all Massachusetts residents. </w:t>
      </w:r>
      <w:r>
        <w:t xml:space="preserve">It is crucial for trans health to be prioritized in the Commonwealth, and in so doing MassHealth has the opportunity to play an important role in expanding access to healthcare for these severely underserved and at-risk communities and spreading awareness </w:t>
      </w:r>
      <w:r>
        <w:t>of their importance to the larger public.</w:t>
      </w:r>
    </w:p>
    <w:p w:rsidR="00C76E6D" w:rsidRDefault="00C76E6D">
      <w:pPr>
        <w:pStyle w:val="BodyText"/>
        <w:spacing w:before="3"/>
        <w:rPr>
          <w:sz w:val="25"/>
        </w:rPr>
      </w:pPr>
    </w:p>
    <w:p w:rsidR="00C76E6D" w:rsidRDefault="00913831">
      <w:pPr>
        <w:pStyle w:val="BodyText"/>
        <w:spacing w:line="276" w:lineRule="auto"/>
        <w:ind w:left="338" w:right="334"/>
        <w:jc w:val="both"/>
      </w:pPr>
      <w:r>
        <w:t>As MassHealth seeks to elevate LGBTQ health as a priority within the agency, the Commission deeply appreciates the concern for these issues. In order to effectively address these disparities, however, agency leadership</w:t>
      </w:r>
      <w:r>
        <w:rPr>
          <w:spacing w:val="-4"/>
        </w:rPr>
        <w:t xml:space="preserve"> </w:t>
      </w:r>
      <w:r>
        <w:t>must</w:t>
      </w:r>
      <w:r>
        <w:rPr>
          <w:spacing w:val="-6"/>
        </w:rPr>
        <w:t xml:space="preserve"> </w:t>
      </w:r>
      <w:r>
        <w:t>take</w:t>
      </w:r>
      <w:r>
        <w:rPr>
          <w:spacing w:val="-4"/>
        </w:rPr>
        <w:t xml:space="preserve"> </w:t>
      </w:r>
      <w:r>
        <w:t>steps</w:t>
      </w:r>
      <w:r>
        <w:rPr>
          <w:spacing w:val="-5"/>
        </w:rPr>
        <w:t xml:space="preserve"> </w:t>
      </w:r>
      <w:r>
        <w:t>to</w:t>
      </w:r>
      <w:r>
        <w:rPr>
          <w:spacing w:val="-5"/>
        </w:rPr>
        <w:t xml:space="preserve"> </w:t>
      </w:r>
      <w:r>
        <w:t>expand</w:t>
      </w:r>
      <w:r>
        <w:rPr>
          <w:spacing w:val="-4"/>
        </w:rPr>
        <w:t xml:space="preserve"> </w:t>
      </w:r>
      <w:r>
        <w:t>these</w:t>
      </w:r>
      <w:r>
        <w:rPr>
          <w:spacing w:val="-6"/>
        </w:rPr>
        <w:t xml:space="preserve"> </w:t>
      </w:r>
      <w:r>
        <w:t>servi</w:t>
      </w:r>
      <w:r>
        <w:t>ces</w:t>
      </w:r>
      <w:r>
        <w:rPr>
          <w:spacing w:val="-3"/>
        </w:rPr>
        <w:t xml:space="preserve"> </w:t>
      </w:r>
      <w:r>
        <w:t>and</w:t>
      </w:r>
      <w:r>
        <w:rPr>
          <w:spacing w:val="-6"/>
        </w:rPr>
        <w:t xml:space="preserve"> </w:t>
      </w:r>
      <w:r>
        <w:t>understand</w:t>
      </w:r>
      <w:r>
        <w:rPr>
          <w:spacing w:val="-6"/>
        </w:rPr>
        <w:t xml:space="preserve"> </w:t>
      </w:r>
      <w:r>
        <w:t>the</w:t>
      </w:r>
      <w:r>
        <w:rPr>
          <w:spacing w:val="-4"/>
        </w:rPr>
        <w:t xml:space="preserve"> </w:t>
      </w:r>
      <w:r>
        <w:t>current</w:t>
      </w:r>
      <w:r>
        <w:rPr>
          <w:spacing w:val="-6"/>
        </w:rPr>
        <w:t xml:space="preserve"> </w:t>
      </w:r>
      <w:r>
        <w:t>landscape</w:t>
      </w:r>
      <w:r>
        <w:rPr>
          <w:spacing w:val="-6"/>
        </w:rPr>
        <w:t xml:space="preserve"> </w:t>
      </w:r>
      <w:r>
        <w:t>of</w:t>
      </w:r>
      <w:r>
        <w:rPr>
          <w:spacing w:val="-5"/>
        </w:rPr>
        <w:t xml:space="preserve"> </w:t>
      </w:r>
      <w:r>
        <w:t>LGBTQ</w:t>
      </w:r>
      <w:r>
        <w:rPr>
          <w:spacing w:val="-4"/>
        </w:rPr>
        <w:t xml:space="preserve"> </w:t>
      </w:r>
      <w:r>
        <w:t>health. The</w:t>
      </w:r>
      <w:r>
        <w:rPr>
          <w:spacing w:val="-5"/>
        </w:rPr>
        <w:t xml:space="preserve"> </w:t>
      </w:r>
      <w:r>
        <w:t>Commission</w:t>
      </w:r>
      <w:r>
        <w:rPr>
          <w:spacing w:val="-5"/>
        </w:rPr>
        <w:t xml:space="preserve"> </w:t>
      </w:r>
      <w:r>
        <w:t>recommends</w:t>
      </w:r>
      <w:r>
        <w:rPr>
          <w:spacing w:val="-5"/>
        </w:rPr>
        <w:t xml:space="preserve"> </w:t>
      </w:r>
      <w:r>
        <w:t>several</w:t>
      </w:r>
      <w:r>
        <w:rPr>
          <w:spacing w:val="-5"/>
        </w:rPr>
        <w:t xml:space="preserve"> </w:t>
      </w:r>
      <w:r>
        <w:t>initiatives</w:t>
      </w:r>
      <w:r>
        <w:rPr>
          <w:spacing w:val="-4"/>
        </w:rPr>
        <w:t xml:space="preserve"> </w:t>
      </w:r>
      <w:r>
        <w:t>that</w:t>
      </w:r>
      <w:r>
        <w:rPr>
          <w:spacing w:val="-4"/>
        </w:rPr>
        <w:t xml:space="preserve"> </w:t>
      </w:r>
      <w:r>
        <w:t>involve</w:t>
      </w:r>
      <w:r>
        <w:rPr>
          <w:spacing w:val="-5"/>
        </w:rPr>
        <w:t xml:space="preserve"> </w:t>
      </w:r>
      <w:r>
        <w:t>not</w:t>
      </w:r>
      <w:r>
        <w:rPr>
          <w:spacing w:val="-5"/>
        </w:rPr>
        <w:t xml:space="preserve"> </w:t>
      </w:r>
      <w:r>
        <w:t>just</w:t>
      </w:r>
      <w:r>
        <w:rPr>
          <w:spacing w:val="-6"/>
        </w:rPr>
        <w:t xml:space="preserve"> </w:t>
      </w:r>
      <w:r>
        <w:t>a</w:t>
      </w:r>
      <w:r>
        <w:rPr>
          <w:spacing w:val="-5"/>
        </w:rPr>
        <w:t xml:space="preserve"> </w:t>
      </w:r>
      <w:r>
        <w:t>systematic</w:t>
      </w:r>
      <w:r>
        <w:rPr>
          <w:spacing w:val="-6"/>
        </w:rPr>
        <w:t xml:space="preserve"> </w:t>
      </w:r>
      <w:r>
        <w:t>analysis</w:t>
      </w:r>
      <w:r>
        <w:rPr>
          <w:spacing w:val="-5"/>
        </w:rPr>
        <w:t xml:space="preserve"> </w:t>
      </w:r>
      <w:r>
        <w:t>and</w:t>
      </w:r>
      <w:r>
        <w:rPr>
          <w:spacing w:val="-4"/>
        </w:rPr>
        <w:t xml:space="preserve"> </w:t>
      </w:r>
      <w:r>
        <w:t>revamping</w:t>
      </w:r>
      <w:r>
        <w:rPr>
          <w:spacing w:val="-4"/>
        </w:rPr>
        <w:t xml:space="preserve"> </w:t>
      </w:r>
      <w:r>
        <w:t xml:space="preserve">of what MassHealth covers, but also discerning how to make this coverage more accessible to all LGBTQ </w:t>
      </w:r>
      <w:r>
        <w:rPr>
          <w:spacing w:val="-2"/>
        </w:rPr>
        <w:t>populations.</w:t>
      </w:r>
    </w:p>
    <w:p w:rsidR="00C76E6D" w:rsidRDefault="00C76E6D">
      <w:pPr>
        <w:pStyle w:val="BodyText"/>
        <w:spacing w:before="4"/>
        <w:rPr>
          <w:sz w:val="25"/>
        </w:rPr>
      </w:pPr>
    </w:p>
    <w:p w:rsidR="00C76E6D" w:rsidRDefault="00913831">
      <w:pPr>
        <w:pStyle w:val="BodyText"/>
        <w:spacing w:line="276" w:lineRule="auto"/>
        <w:ind w:left="338" w:right="335"/>
        <w:jc w:val="both"/>
      </w:pPr>
      <w:r>
        <w:t xml:space="preserve">The Commission commends MassHealth for the significant steps the program has taken to fill the Commission’s FY22 recommendations, including </w:t>
      </w:r>
      <w:r>
        <w:t>establishing a permanent liaison to the Commission; expanding access to its gender-affirming services; and establishing a commitment to internal trainings on LGBTQ+</w:t>
      </w:r>
      <w:r>
        <w:rPr>
          <w:spacing w:val="-13"/>
        </w:rPr>
        <w:t xml:space="preserve"> </w:t>
      </w:r>
      <w:r>
        <w:t>competent</w:t>
      </w:r>
      <w:r>
        <w:rPr>
          <w:spacing w:val="-12"/>
        </w:rPr>
        <w:t xml:space="preserve"> </w:t>
      </w:r>
      <w:r>
        <w:t>care</w:t>
      </w:r>
      <w:r>
        <w:rPr>
          <w:spacing w:val="-13"/>
        </w:rPr>
        <w:t xml:space="preserve"> </w:t>
      </w:r>
      <w:r>
        <w:t>in</w:t>
      </w:r>
      <w:r>
        <w:rPr>
          <w:spacing w:val="-12"/>
        </w:rPr>
        <w:t xml:space="preserve"> </w:t>
      </w:r>
      <w:r>
        <w:t>its</w:t>
      </w:r>
      <w:r>
        <w:rPr>
          <w:spacing w:val="-13"/>
        </w:rPr>
        <w:t xml:space="preserve"> </w:t>
      </w:r>
      <w:r>
        <w:t>facilities.</w:t>
      </w:r>
      <w:r>
        <w:rPr>
          <w:spacing w:val="-12"/>
        </w:rPr>
        <w:t xml:space="preserve"> </w:t>
      </w:r>
      <w:r>
        <w:t>The</w:t>
      </w:r>
      <w:r>
        <w:rPr>
          <w:spacing w:val="-13"/>
        </w:rPr>
        <w:t xml:space="preserve"> </w:t>
      </w:r>
      <w:r>
        <w:t>Commission</w:t>
      </w:r>
      <w:r>
        <w:rPr>
          <w:spacing w:val="-12"/>
        </w:rPr>
        <w:t xml:space="preserve"> </w:t>
      </w:r>
      <w:r>
        <w:t>looks</w:t>
      </w:r>
      <w:r>
        <w:rPr>
          <w:spacing w:val="-12"/>
        </w:rPr>
        <w:t xml:space="preserve"> </w:t>
      </w:r>
      <w:r>
        <w:t>forward</w:t>
      </w:r>
      <w:r>
        <w:rPr>
          <w:spacing w:val="-13"/>
        </w:rPr>
        <w:t xml:space="preserve"> </w:t>
      </w:r>
      <w:r>
        <w:t>to</w:t>
      </w:r>
      <w:r>
        <w:rPr>
          <w:spacing w:val="-12"/>
        </w:rPr>
        <w:t xml:space="preserve"> </w:t>
      </w:r>
      <w:r>
        <w:t>its</w:t>
      </w:r>
      <w:r>
        <w:rPr>
          <w:spacing w:val="-13"/>
        </w:rPr>
        <w:t xml:space="preserve"> </w:t>
      </w:r>
      <w:r>
        <w:t>continued</w:t>
      </w:r>
      <w:r>
        <w:rPr>
          <w:spacing w:val="-12"/>
        </w:rPr>
        <w:t xml:space="preserve"> </w:t>
      </w:r>
      <w:r>
        <w:t>work</w:t>
      </w:r>
      <w:r>
        <w:rPr>
          <w:spacing w:val="-13"/>
        </w:rPr>
        <w:t xml:space="preserve"> </w:t>
      </w:r>
      <w:r>
        <w:t>with</w:t>
      </w:r>
      <w:r>
        <w:rPr>
          <w:spacing w:val="-12"/>
        </w:rPr>
        <w:t xml:space="preserve"> </w:t>
      </w:r>
      <w:r>
        <w:t>M</w:t>
      </w:r>
      <w:r>
        <w:t>assHealth in the upcoming fiscal year.</w:t>
      </w:r>
    </w:p>
    <w:p w:rsidR="00C76E6D" w:rsidRDefault="00C76E6D">
      <w:pPr>
        <w:pStyle w:val="BodyText"/>
        <w:spacing w:before="8"/>
        <w:rPr>
          <w:sz w:val="25"/>
        </w:rPr>
      </w:pPr>
    </w:p>
    <w:p w:rsidR="00C76E6D" w:rsidRDefault="00913831">
      <w:pPr>
        <w:pStyle w:val="Heading5"/>
        <w:jc w:val="both"/>
      </w:pPr>
      <w:r>
        <w:rPr>
          <w:spacing w:val="-2"/>
        </w:rPr>
        <w:t>Expanded</w:t>
      </w:r>
      <w:r>
        <w:t xml:space="preserve"> </w:t>
      </w:r>
      <w:r>
        <w:rPr>
          <w:spacing w:val="-2"/>
        </w:rPr>
        <w:t>Recommendations</w:t>
      </w:r>
    </w:p>
    <w:p w:rsidR="00C76E6D" w:rsidRDefault="00913831">
      <w:pPr>
        <w:pStyle w:val="BodyText"/>
        <w:spacing w:before="10"/>
        <w:rPr>
          <w:b/>
          <w:sz w:val="6"/>
        </w:rPr>
      </w:pPr>
      <w:r>
        <w:pict>
          <v:shape id="docshape415" o:spid="_x0000_s1075" style="position:absolute;margin-left:65pt;margin-top:5.4pt;width:476.95pt;height:.1pt;z-index:-15642624;mso-wrap-distance-left:0;mso-wrap-distance-right:0;mso-position-horizontal-relative:page" coordorigin="1300,108" coordsize="9539,0" path="m1300,108r9539,e" filled="f" strokeweight="1.54pt">
            <v:path arrowok="t"/>
            <w10:wrap type="topAndBottom" anchorx="page"/>
          </v:shape>
        </w:pict>
      </w:r>
    </w:p>
    <w:p w:rsidR="00C76E6D" w:rsidRDefault="00C76E6D">
      <w:pPr>
        <w:pStyle w:val="BodyText"/>
        <w:spacing w:before="2"/>
        <w:rPr>
          <w:b/>
          <w:sz w:val="35"/>
        </w:rPr>
      </w:pPr>
    </w:p>
    <w:p w:rsidR="00C76E6D" w:rsidRDefault="00913831">
      <w:pPr>
        <w:pStyle w:val="Heading6"/>
        <w:numPr>
          <w:ilvl w:val="0"/>
          <w:numId w:val="9"/>
        </w:numPr>
        <w:tabs>
          <w:tab w:val="left" w:pos="630"/>
        </w:tabs>
        <w:spacing w:before="1" w:line="268" w:lineRule="auto"/>
        <w:ind w:right="345" w:firstLine="0"/>
        <w:rPr>
          <w:sz w:val="24"/>
        </w:rPr>
      </w:pPr>
      <w:bookmarkStart w:id="838" w:name="1._Continue_to_review_MassHealth_policie"/>
      <w:bookmarkEnd w:id="838"/>
      <w:r>
        <w:t>Continue</w:t>
      </w:r>
      <w:r>
        <w:rPr>
          <w:spacing w:val="-3"/>
        </w:rPr>
        <w:t xml:space="preserve"> </w:t>
      </w:r>
      <w:r>
        <w:t>to</w:t>
      </w:r>
      <w:r>
        <w:rPr>
          <w:spacing w:val="-3"/>
        </w:rPr>
        <w:t xml:space="preserve"> </w:t>
      </w:r>
      <w:r>
        <w:t>review</w:t>
      </w:r>
      <w:r>
        <w:rPr>
          <w:spacing w:val="-3"/>
        </w:rPr>
        <w:t xml:space="preserve"> </w:t>
      </w:r>
      <w:r>
        <w:t>MassHealth</w:t>
      </w:r>
      <w:r>
        <w:rPr>
          <w:spacing w:val="-3"/>
        </w:rPr>
        <w:t xml:space="preserve"> </w:t>
      </w:r>
      <w:r>
        <w:t>policies</w:t>
      </w:r>
      <w:r>
        <w:rPr>
          <w:spacing w:val="-3"/>
        </w:rPr>
        <w:t xml:space="preserve"> </w:t>
      </w:r>
      <w:r>
        <w:t>and</w:t>
      </w:r>
      <w:r>
        <w:rPr>
          <w:spacing w:val="-4"/>
        </w:rPr>
        <w:t xml:space="preserve"> </w:t>
      </w:r>
      <w:r>
        <w:t>guidelines</w:t>
      </w:r>
      <w:r>
        <w:rPr>
          <w:spacing w:val="-4"/>
        </w:rPr>
        <w:t xml:space="preserve"> </w:t>
      </w:r>
      <w:r>
        <w:t>to</w:t>
      </w:r>
      <w:r>
        <w:rPr>
          <w:spacing w:val="-4"/>
        </w:rPr>
        <w:t xml:space="preserve"> </w:t>
      </w:r>
      <w:r>
        <w:t>increase</w:t>
      </w:r>
      <w:r>
        <w:rPr>
          <w:spacing w:val="-4"/>
        </w:rPr>
        <w:t xml:space="preserve"> </w:t>
      </w:r>
      <w:r>
        <w:t>access</w:t>
      </w:r>
      <w:r>
        <w:rPr>
          <w:spacing w:val="-3"/>
        </w:rPr>
        <w:t xml:space="preserve"> </w:t>
      </w:r>
      <w:r>
        <w:t>to</w:t>
      </w:r>
      <w:r>
        <w:rPr>
          <w:spacing w:val="-4"/>
        </w:rPr>
        <w:t xml:space="preserve"> </w:t>
      </w:r>
      <w:r>
        <w:t>gender-affirming</w:t>
      </w:r>
      <w:r>
        <w:rPr>
          <w:spacing w:val="-4"/>
        </w:rPr>
        <w:t xml:space="preserve"> </w:t>
      </w:r>
      <w:r>
        <w:t>care</w:t>
      </w:r>
      <w:r>
        <w:rPr>
          <w:spacing w:val="-3"/>
        </w:rPr>
        <w:t xml:space="preserve"> </w:t>
      </w:r>
      <w:r>
        <w:t>and reduce health disparities among LGBTQ+ communities and communities of color.</w:t>
      </w:r>
    </w:p>
    <w:p w:rsidR="00C76E6D" w:rsidRDefault="00C76E6D">
      <w:pPr>
        <w:pStyle w:val="BodyText"/>
        <w:spacing w:before="2"/>
        <w:rPr>
          <w:b/>
          <w:sz w:val="30"/>
        </w:rPr>
      </w:pPr>
    </w:p>
    <w:p w:rsidR="00C76E6D" w:rsidRDefault="00913831">
      <w:pPr>
        <w:pStyle w:val="BodyText"/>
        <w:spacing w:before="1" w:line="276" w:lineRule="auto"/>
        <w:ind w:left="627" w:right="332"/>
        <w:jc w:val="both"/>
      </w:pPr>
      <w:r>
        <w:t>The Commission was deeply grateful to learn of the significant progress that MassHealth made in expanding</w:t>
      </w:r>
      <w:r>
        <w:rPr>
          <w:spacing w:val="-8"/>
        </w:rPr>
        <w:t xml:space="preserve"> </w:t>
      </w:r>
      <w:r>
        <w:t>access</w:t>
      </w:r>
      <w:r>
        <w:rPr>
          <w:spacing w:val="-7"/>
        </w:rPr>
        <w:t xml:space="preserve"> </w:t>
      </w:r>
      <w:r>
        <w:t>to</w:t>
      </w:r>
      <w:r>
        <w:rPr>
          <w:spacing w:val="-6"/>
        </w:rPr>
        <w:t xml:space="preserve"> </w:t>
      </w:r>
      <w:r>
        <w:t>gender-affirming</w:t>
      </w:r>
      <w:r>
        <w:rPr>
          <w:spacing w:val="-7"/>
        </w:rPr>
        <w:t xml:space="preserve"> </w:t>
      </w:r>
      <w:r>
        <w:t>care</w:t>
      </w:r>
      <w:r>
        <w:rPr>
          <w:spacing w:val="-8"/>
        </w:rPr>
        <w:t xml:space="preserve"> </w:t>
      </w:r>
      <w:r>
        <w:t>services.</w:t>
      </w:r>
      <w:r>
        <w:rPr>
          <w:spacing w:val="-6"/>
        </w:rPr>
        <w:t xml:space="preserve"> </w:t>
      </w:r>
      <w:r>
        <w:t>Effective</w:t>
      </w:r>
      <w:r>
        <w:rPr>
          <w:spacing w:val="-5"/>
        </w:rPr>
        <w:t xml:space="preserve"> </w:t>
      </w:r>
      <w:r>
        <w:t>September</w:t>
      </w:r>
      <w:r>
        <w:rPr>
          <w:spacing w:val="-6"/>
        </w:rPr>
        <w:t xml:space="preserve"> </w:t>
      </w:r>
      <w:r>
        <w:t>1,</w:t>
      </w:r>
      <w:r>
        <w:rPr>
          <w:spacing w:val="-7"/>
        </w:rPr>
        <w:t xml:space="preserve"> </w:t>
      </w:r>
      <w:r>
        <w:t>2021,</w:t>
      </w:r>
      <w:r>
        <w:rPr>
          <w:spacing w:val="-7"/>
        </w:rPr>
        <w:t xml:space="preserve"> </w:t>
      </w:r>
      <w:r>
        <w:t>MassHealth</w:t>
      </w:r>
      <w:r>
        <w:rPr>
          <w:spacing w:val="-6"/>
        </w:rPr>
        <w:t xml:space="preserve"> </w:t>
      </w:r>
      <w:r>
        <w:t>updated</w:t>
      </w:r>
      <w:r>
        <w:rPr>
          <w:spacing w:val="-8"/>
        </w:rPr>
        <w:t xml:space="preserve"> </w:t>
      </w:r>
      <w:r>
        <w:t>its guidelines</w:t>
      </w:r>
      <w:r>
        <w:rPr>
          <w:spacing w:val="-2"/>
        </w:rPr>
        <w:t xml:space="preserve"> </w:t>
      </w:r>
      <w:r>
        <w:t>for</w:t>
      </w:r>
      <w:r>
        <w:rPr>
          <w:spacing w:val="-3"/>
        </w:rPr>
        <w:t xml:space="preserve"> </w:t>
      </w:r>
      <w:r>
        <w:t>gender-affirming</w:t>
      </w:r>
      <w:r>
        <w:rPr>
          <w:spacing w:val="-2"/>
        </w:rPr>
        <w:t xml:space="preserve"> </w:t>
      </w:r>
      <w:r>
        <w:t>surgery</w:t>
      </w:r>
      <w:r>
        <w:rPr>
          <w:spacing w:val="-1"/>
        </w:rPr>
        <w:t xml:space="preserve"> </w:t>
      </w:r>
      <w:r>
        <w:t>and</w:t>
      </w:r>
      <w:r>
        <w:rPr>
          <w:spacing w:val="-3"/>
        </w:rPr>
        <w:t xml:space="preserve"> </w:t>
      </w:r>
      <w:r>
        <w:t>added</w:t>
      </w:r>
      <w:r>
        <w:rPr>
          <w:spacing w:val="-2"/>
        </w:rPr>
        <w:t xml:space="preserve"> </w:t>
      </w:r>
      <w:r>
        <w:t>speech</w:t>
      </w:r>
      <w:r>
        <w:rPr>
          <w:spacing w:val="-2"/>
        </w:rPr>
        <w:t xml:space="preserve"> </w:t>
      </w:r>
      <w:r>
        <w:t>therapy</w:t>
      </w:r>
      <w:r>
        <w:rPr>
          <w:spacing w:val="-2"/>
        </w:rPr>
        <w:t xml:space="preserve"> </w:t>
      </w:r>
      <w:r>
        <w:t>and</w:t>
      </w:r>
      <w:r>
        <w:rPr>
          <w:spacing w:val="-2"/>
        </w:rPr>
        <w:t xml:space="preserve"> </w:t>
      </w:r>
      <w:r>
        <w:t>electrolysis</w:t>
      </w:r>
      <w:r>
        <w:rPr>
          <w:spacing w:val="-2"/>
        </w:rPr>
        <w:t xml:space="preserve"> </w:t>
      </w:r>
      <w:r>
        <w:t>hair</w:t>
      </w:r>
      <w:r>
        <w:rPr>
          <w:spacing w:val="-3"/>
        </w:rPr>
        <w:t xml:space="preserve"> </w:t>
      </w:r>
      <w:r>
        <w:t>removal</w:t>
      </w:r>
      <w:r>
        <w:rPr>
          <w:spacing w:val="-3"/>
        </w:rPr>
        <w:t xml:space="preserve"> </w:t>
      </w:r>
      <w:r>
        <w:t>to</w:t>
      </w:r>
      <w:r>
        <w:rPr>
          <w:spacing w:val="-2"/>
        </w:rPr>
        <w:t xml:space="preserve"> </w:t>
      </w:r>
      <w:r>
        <w:t>its</w:t>
      </w:r>
      <w:r>
        <w:rPr>
          <w:spacing w:val="-1"/>
        </w:rPr>
        <w:t xml:space="preserve"> </w:t>
      </w:r>
      <w:r>
        <w:t>list of covered services. Additionally, MassHealth has since stopped requiring members seeking gender- affirming</w:t>
      </w:r>
      <w:r>
        <w:rPr>
          <w:spacing w:val="-1"/>
        </w:rPr>
        <w:t xml:space="preserve"> </w:t>
      </w:r>
      <w:r>
        <w:t>surgery to provide</w:t>
      </w:r>
      <w:r>
        <w:rPr>
          <w:spacing w:val="-1"/>
        </w:rPr>
        <w:t xml:space="preserve"> </w:t>
      </w:r>
      <w:r>
        <w:t>letters of support</w:t>
      </w:r>
      <w:r>
        <w:rPr>
          <w:spacing w:val="-1"/>
        </w:rPr>
        <w:t xml:space="preserve"> </w:t>
      </w:r>
      <w:r>
        <w:t>from two separate</w:t>
      </w:r>
      <w:r>
        <w:rPr>
          <w:spacing w:val="-1"/>
        </w:rPr>
        <w:t xml:space="preserve"> </w:t>
      </w:r>
      <w:r>
        <w:t>behavioral health providers to address th</w:t>
      </w:r>
      <w:r>
        <w:t>e</w:t>
      </w:r>
      <w:r>
        <w:rPr>
          <w:spacing w:val="-2"/>
        </w:rPr>
        <w:t xml:space="preserve"> </w:t>
      </w:r>
      <w:r>
        <w:t>barriers</w:t>
      </w:r>
      <w:r>
        <w:rPr>
          <w:spacing w:val="-1"/>
        </w:rPr>
        <w:t xml:space="preserve"> </w:t>
      </w:r>
      <w:r>
        <w:t>this</w:t>
      </w:r>
      <w:r>
        <w:rPr>
          <w:spacing w:val="-2"/>
        </w:rPr>
        <w:t xml:space="preserve"> </w:t>
      </w:r>
      <w:r>
        <w:t>requirement</w:t>
      </w:r>
      <w:r>
        <w:rPr>
          <w:spacing w:val="-2"/>
        </w:rPr>
        <w:t xml:space="preserve"> </w:t>
      </w:r>
      <w:r>
        <w:t>previously</w:t>
      </w:r>
      <w:r>
        <w:rPr>
          <w:spacing w:val="-3"/>
        </w:rPr>
        <w:t xml:space="preserve"> </w:t>
      </w:r>
      <w:r>
        <w:t>posed</w:t>
      </w:r>
      <w:r>
        <w:rPr>
          <w:spacing w:val="-2"/>
        </w:rPr>
        <w:t xml:space="preserve"> </w:t>
      </w:r>
      <w:r>
        <w:t>to</w:t>
      </w:r>
      <w:r>
        <w:rPr>
          <w:spacing w:val="-1"/>
        </w:rPr>
        <w:t xml:space="preserve"> </w:t>
      </w:r>
      <w:r>
        <w:t>those</w:t>
      </w:r>
      <w:r>
        <w:rPr>
          <w:spacing w:val="-3"/>
        </w:rPr>
        <w:t xml:space="preserve"> </w:t>
      </w:r>
      <w:r>
        <w:t>seeking medically</w:t>
      </w:r>
      <w:r>
        <w:rPr>
          <w:spacing w:val="-1"/>
        </w:rPr>
        <w:t xml:space="preserve"> </w:t>
      </w:r>
      <w:r>
        <w:t>necessary</w:t>
      </w:r>
      <w:r>
        <w:rPr>
          <w:spacing w:val="-2"/>
        </w:rPr>
        <w:t xml:space="preserve"> </w:t>
      </w:r>
      <w:r>
        <w:t>care</w:t>
      </w:r>
      <w:hyperlink w:anchor="_bookmark600" w:history="1">
        <w:r>
          <w:t>.</w:t>
        </w:r>
        <w:r>
          <w:rPr>
            <w:vertAlign w:val="superscript"/>
          </w:rPr>
          <w:t>10</w:t>
        </w:r>
        <w:r>
          <w:rPr>
            <w:spacing w:val="-2"/>
          </w:rPr>
          <w:t xml:space="preserve"> </w:t>
        </w:r>
      </w:hyperlink>
      <w:r>
        <w:t>Over the</w:t>
      </w:r>
      <w:r>
        <w:rPr>
          <w:spacing w:val="-2"/>
        </w:rPr>
        <w:t xml:space="preserve"> </w:t>
      </w:r>
      <w:r>
        <w:t>last fiscal year, MassHealth has also developed a member-facing webpage to increase access and awareness to resources for gender-affirming care for transgender and gender expansive members</w:t>
      </w:r>
      <w:hyperlink w:anchor="_bookmark601" w:history="1">
        <w:r>
          <w:t>.</w:t>
        </w:r>
        <w:r>
          <w:rPr>
            <w:vertAlign w:val="superscript"/>
          </w:rPr>
          <w:t>11</w:t>
        </w:r>
      </w:hyperlink>
      <w:r>
        <w:t xml:space="preserve"> In FY 2023, MassHealth notes tha</w:t>
      </w:r>
      <w:r>
        <w:t>t EOHHS is in the process of further strengthening access to behavioral</w:t>
      </w:r>
      <w:r>
        <w:rPr>
          <w:spacing w:val="-1"/>
        </w:rPr>
        <w:t xml:space="preserve"> </w:t>
      </w:r>
      <w:r>
        <w:t>health care by</w:t>
      </w:r>
      <w:r>
        <w:rPr>
          <w:spacing w:val="33"/>
        </w:rPr>
        <w:t xml:space="preserve"> </w:t>
      </w:r>
      <w:r>
        <w:t>procuring</w:t>
      </w:r>
      <w:r>
        <w:rPr>
          <w:spacing w:val="34"/>
        </w:rPr>
        <w:t xml:space="preserve"> </w:t>
      </w:r>
      <w:r>
        <w:t>a</w:t>
      </w:r>
      <w:r>
        <w:rPr>
          <w:spacing w:val="35"/>
        </w:rPr>
        <w:t xml:space="preserve"> </w:t>
      </w:r>
      <w:r>
        <w:t>comprehensive</w:t>
      </w:r>
      <w:r>
        <w:rPr>
          <w:spacing w:val="32"/>
        </w:rPr>
        <w:t xml:space="preserve"> </w:t>
      </w:r>
      <w:r>
        <w:t>network</w:t>
      </w:r>
      <w:r>
        <w:rPr>
          <w:spacing w:val="33"/>
        </w:rPr>
        <w:t xml:space="preserve"> </w:t>
      </w:r>
      <w:r>
        <w:t>of</w:t>
      </w:r>
      <w:r>
        <w:rPr>
          <w:spacing w:val="33"/>
        </w:rPr>
        <w:t xml:space="preserve"> </w:t>
      </w:r>
      <w:r>
        <w:t>Community</w:t>
      </w:r>
      <w:r>
        <w:rPr>
          <w:spacing w:val="34"/>
        </w:rPr>
        <w:t xml:space="preserve"> </w:t>
      </w:r>
      <w:r>
        <w:t>Behavioral</w:t>
      </w:r>
      <w:r>
        <w:rPr>
          <w:spacing w:val="33"/>
        </w:rPr>
        <w:t xml:space="preserve"> </w:t>
      </w:r>
      <w:r>
        <w:t>Health</w:t>
      </w:r>
      <w:r>
        <w:rPr>
          <w:spacing w:val="34"/>
        </w:rPr>
        <w:t xml:space="preserve"> </w:t>
      </w:r>
      <w:r>
        <w:t>Centers</w:t>
      </w:r>
      <w:r>
        <w:rPr>
          <w:spacing w:val="34"/>
        </w:rPr>
        <w:t xml:space="preserve"> </w:t>
      </w:r>
      <w:r>
        <w:t>which</w:t>
      </w:r>
      <w:r>
        <w:rPr>
          <w:spacing w:val="34"/>
        </w:rPr>
        <w:t xml:space="preserve"> </w:t>
      </w:r>
      <w:r>
        <w:t>require</w:t>
      </w:r>
      <w:r>
        <w:rPr>
          <w:spacing w:val="35"/>
        </w:rPr>
        <w:t xml:space="preserve"> </w:t>
      </w:r>
      <w:r>
        <w:t>that</w:t>
      </w:r>
    </w:p>
    <w:p w:rsidR="00C76E6D" w:rsidRDefault="00C76E6D">
      <w:pPr>
        <w:spacing w:line="276" w:lineRule="auto"/>
        <w:jc w:val="both"/>
        <w:sectPr w:rsidR="00C76E6D">
          <w:pgSz w:w="12240" w:h="15840"/>
          <w:pgMar w:top="1020" w:right="960" w:bottom="640" w:left="960" w:header="832" w:footer="440" w:gutter="0"/>
          <w:cols w:space="720"/>
        </w:sectPr>
      </w:pPr>
    </w:p>
    <w:p w:rsidR="00C76E6D" w:rsidRDefault="00C76E6D">
      <w:pPr>
        <w:pStyle w:val="BodyText"/>
        <w:spacing w:before="3"/>
      </w:pPr>
    </w:p>
    <w:p w:rsidR="00C76E6D" w:rsidRDefault="00913831">
      <w:pPr>
        <w:pStyle w:val="BodyText"/>
        <w:spacing w:before="55" w:line="276" w:lineRule="auto"/>
        <w:ind w:left="627" w:right="334"/>
        <w:jc w:val="both"/>
      </w:pPr>
      <w:r>
        <w:t>providers have</w:t>
      </w:r>
      <w:r>
        <w:rPr>
          <w:spacing w:val="-1"/>
        </w:rPr>
        <w:t xml:space="preserve"> </w:t>
      </w:r>
      <w:r>
        <w:t>the capacity</w:t>
      </w:r>
      <w:r>
        <w:rPr>
          <w:spacing w:val="-1"/>
        </w:rPr>
        <w:t xml:space="preserve"> </w:t>
      </w:r>
      <w:r>
        <w:t>and competency to treat persons wh</w:t>
      </w:r>
      <w:r>
        <w:t>o are</w:t>
      </w:r>
      <w:r>
        <w:rPr>
          <w:spacing w:val="-1"/>
        </w:rPr>
        <w:t xml:space="preserve"> </w:t>
      </w:r>
      <w:r>
        <w:t>LGBTQ+. The centers will</w:t>
      </w:r>
      <w:r>
        <w:rPr>
          <w:spacing w:val="-1"/>
        </w:rPr>
        <w:t xml:space="preserve"> </w:t>
      </w:r>
      <w:r>
        <w:t>serve as hubs</w:t>
      </w:r>
      <w:r>
        <w:rPr>
          <w:spacing w:val="-4"/>
        </w:rPr>
        <w:t xml:space="preserve"> </w:t>
      </w:r>
      <w:r>
        <w:t>of</w:t>
      </w:r>
      <w:r>
        <w:rPr>
          <w:spacing w:val="-3"/>
        </w:rPr>
        <w:t xml:space="preserve"> </w:t>
      </w:r>
      <w:r>
        <w:t>coordinated</w:t>
      </w:r>
      <w:r>
        <w:rPr>
          <w:spacing w:val="-3"/>
        </w:rPr>
        <w:t xml:space="preserve"> </w:t>
      </w:r>
      <w:r>
        <w:t>and</w:t>
      </w:r>
      <w:r>
        <w:rPr>
          <w:spacing w:val="-3"/>
        </w:rPr>
        <w:t xml:space="preserve"> </w:t>
      </w:r>
      <w:r>
        <w:t>integrated</w:t>
      </w:r>
      <w:r>
        <w:rPr>
          <w:spacing w:val="-3"/>
        </w:rPr>
        <w:t xml:space="preserve"> </w:t>
      </w:r>
      <w:r>
        <w:t>mental</w:t>
      </w:r>
      <w:r>
        <w:rPr>
          <w:spacing w:val="-3"/>
        </w:rPr>
        <w:t xml:space="preserve"> </w:t>
      </w:r>
      <w:r>
        <w:t>health</w:t>
      </w:r>
      <w:r>
        <w:rPr>
          <w:spacing w:val="-4"/>
        </w:rPr>
        <w:t xml:space="preserve"> </w:t>
      </w:r>
      <w:r>
        <w:t>and</w:t>
      </w:r>
      <w:r>
        <w:rPr>
          <w:spacing w:val="-4"/>
        </w:rPr>
        <w:t xml:space="preserve"> </w:t>
      </w:r>
      <w:r>
        <w:t>substance</w:t>
      </w:r>
      <w:r>
        <w:rPr>
          <w:spacing w:val="-3"/>
        </w:rPr>
        <w:t xml:space="preserve"> </w:t>
      </w:r>
      <w:r>
        <w:t>use</w:t>
      </w:r>
      <w:r>
        <w:rPr>
          <w:spacing w:val="-2"/>
        </w:rPr>
        <w:t xml:space="preserve"> </w:t>
      </w:r>
      <w:r>
        <w:t>disorder</w:t>
      </w:r>
      <w:r>
        <w:rPr>
          <w:spacing w:val="-1"/>
        </w:rPr>
        <w:t xml:space="preserve"> </w:t>
      </w:r>
      <w:r>
        <w:t>treatment</w:t>
      </w:r>
      <w:r>
        <w:rPr>
          <w:spacing w:val="-3"/>
        </w:rPr>
        <w:t xml:space="preserve"> </w:t>
      </w:r>
      <w:r>
        <w:t>for MassHealth members</w:t>
      </w:r>
      <w:r>
        <w:rPr>
          <w:spacing w:val="-7"/>
        </w:rPr>
        <w:t xml:space="preserve"> </w:t>
      </w:r>
      <w:r>
        <w:t>of</w:t>
      </w:r>
      <w:r>
        <w:rPr>
          <w:spacing w:val="-8"/>
        </w:rPr>
        <w:t xml:space="preserve"> </w:t>
      </w:r>
      <w:r>
        <w:t>all</w:t>
      </w:r>
      <w:r>
        <w:rPr>
          <w:spacing w:val="-8"/>
        </w:rPr>
        <w:t xml:space="preserve"> </w:t>
      </w:r>
      <w:r>
        <w:t>ages,</w:t>
      </w:r>
      <w:r>
        <w:rPr>
          <w:spacing w:val="-7"/>
        </w:rPr>
        <w:t xml:space="preserve"> </w:t>
      </w:r>
      <w:r>
        <w:t>and</w:t>
      </w:r>
      <w:r>
        <w:rPr>
          <w:spacing w:val="-8"/>
        </w:rPr>
        <w:t xml:space="preserve"> </w:t>
      </w:r>
      <w:r>
        <w:t>will</w:t>
      </w:r>
      <w:r>
        <w:rPr>
          <w:spacing w:val="-8"/>
        </w:rPr>
        <w:t xml:space="preserve"> </w:t>
      </w:r>
      <w:r>
        <w:t>provide</w:t>
      </w:r>
      <w:r>
        <w:rPr>
          <w:spacing w:val="-7"/>
        </w:rPr>
        <w:t xml:space="preserve"> </w:t>
      </w:r>
      <w:r>
        <w:t>routine</w:t>
      </w:r>
      <w:r>
        <w:rPr>
          <w:spacing w:val="-7"/>
        </w:rPr>
        <w:t xml:space="preserve"> </w:t>
      </w:r>
      <w:r>
        <w:t>and</w:t>
      </w:r>
      <w:r>
        <w:rPr>
          <w:spacing w:val="-7"/>
        </w:rPr>
        <w:t xml:space="preserve"> </w:t>
      </w:r>
      <w:r>
        <w:t>urgent</w:t>
      </w:r>
      <w:r>
        <w:rPr>
          <w:spacing w:val="-7"/>
        </w:rPr>
        <w:t xml:space="preserve"> </w:t>
      </w:r>
      <w:r>
        <w:t>outpatient</w:t>
      </w:r>
      <w:r>
        <w:rPr>
          <w:spacing w:val="-8"/>
        </w:rPr>
        <w:t xml:space="preserve"> </w:t>
      </w:r>
      <w:r>
        <w:t>services;</w:t>
      </w:r>
      <w:r>
        <w:rPr>
          <w:spacing w:val="-6"/>
        </w:rPr>
        <w:t xml:space="preserve"> </w:t>
      </w:r>
      <w:r>
        <w:t>crisis</w:t>
      </w:r>
      <w:r>
        <w:rPr>
          <w:spacing w:val="-7"/>
        </w:rPr>
        <w:t xml:space="preserve"> </w:t>
      </w:r>
      <w:r>
        <w:t>services</w:t>
      </w:r>
      <w:r>
        <w:rPr>
          <w:spacing w:val="-7"/>
        </w:rPr>
        <w:t xml:space="preserve"> </w:t>
      </w:r>
      <w:r>
        <w:t>for</w:t>
      </w:r>
      <w:r>
        <w:rPr>
          <w:spacing w:val="-8"/>
        </w:rPr>
        <w:t xml:space="preserve"> </w:t>
      </w:r>
      <w:r>
        <w:t>adults</w:t>
      </w:r>
      <w:r>
        <w:rPr>
          <w:spacing w:val="-6"/>
        </w:rPr>
        <w:t xml:space="preserve"> </w:t>
      </w:r>
      <w:r>
        <w:t>and youth; and community crisis stabilization services for adults and youth.</w:t>
      </w:r>
    </w:p>
    <w:p w:rsidR="00C76E6D" w:rsidRDefault="00C76E6D">
      <w:pPr>
        <w:pStyle w:val="BodyText"/>
      </w:pPr>
    </w:p>
    <w:p w:rsidR="00C76E6D" w:rsidRDefault="00913831">
      <w:pPr>
        <w:pStyle w:val="BodyText"/>
        <w:spacing w:before="145" w:line="276" w:lineRule="auto"/>
        <w:ind w:left="627" w:right="333"/>
        <w:jc w:val="both"/>
      </w:pPr>
      <w:r>
        <w:t>The Commission continues to recommend that MassHealth adopt a comprehensive policy on LGBTQ youth issues within the Executive Office of Health and Human Services, with a particular focus on expanding healthcare access and trauma-informed care to transgende</w:t>
      </w:r>
      <w:r>
        <w:t>r communities. The Commission makes similar recommendations to other agencies, as it believes that a stand-alone policy is the most transparent, accessible, and feasible option available at this time. It should address eliminating anti- LGBTQ discriminatio</w:t>
      </w:r>
      <w:r>
        <w:t>n from healthcare and benefits practices, as well as mandate trainings for LGBTQ competency, and the creation of an employee handbook on</w:t>
      </w:r>
      <w:r>
        <w:rPr>
          <w:spacing w:val="40"/>
        </w:rPr>
        <w:t xml:space="preserve"> </w:t>
      </w:r>
      <w:r>
        <w:t>LGBTQ</w:t>
      </w:r>
      <w:r>
        <w:rPr>
          <w:spacing w:val="40"/>
        </w:rPr>
        <w:t xml:space="preserve"> </w:t>
      </w:r>
      <w:r>
        <w:t>resources and topics.</w:t>
      </w:r>
    </w:p>
    <w:p w:rsidR="00C76E6D" w:rsidRDefault="00C76E6D">
      <w:pPr>
        <w:pStyle w:val="BodyText"/>
        <w:spacing w:before="5"/>
        <w:rPr>
          <w:sz w:val="29"/>
        </w:rPr>
      </w:pPr>
    </w:p>
    <w:p w:rsidR="00C76E6D" w:rsidRDefault="00913831">
      <w:pPr>
        <w:pStyle w:val="Heading6"/>
        <w:numPr>
          <w:ilvl w:val="0"/>
          <w:numId w:val="9"/>
        </w:numPr>
        <w:tabs>
          <w:tab w:val="left" w:pos="555"/>
        </w:tabs>
        <w:spacing w:before="1" w:line="276" w:lineRule="auto"/>
        <w:ind w:left="337" w:right="382" w:firstLine="0"/>
      </w:pPr>
      <w:bookmarkStart w:id="839" w:name="2._Expand_data_collection_efforts_beyond"/>
      <w:bookmarkEnd w:id="839"/>
      <w:r>
        <w:t>Expand</w:t>
      </w:r>
      <w:r>
        <w:rPr>
          <w:spacing w:val="-13"/>
        </w:rPr>
        <w:t xml:space="preserve"> </w:t>
      </w:r>
      <w:r>
        <w:t>data</w:t>
      </w:r>
      <w:r>
        <w:rPr>
          <w:spacing w:val="-12"/>
        </w:rPr>
        <w:t xml:space="preserve"> </w:t>
      </w:r>
      <w:r>
        <w:t>collection</w:t>
      </w:r>
      <w:r>
        <w:rPr>
          <w:spacing w:val="-13"/>
        </w:rPr>
        <w:t xml:space="preserve"> </w:t>
      </w:r>
      <w:r>
        <w:t>efforts</w:t>
      </w:r>
      <w:r>
        <w:rPr>
          <w:spacing w:val="-12"/>
        </w:rPr>
        <w:t xml:space="preserve"> </w:t>
      </w:r>
      <w:r>
        <w:t>beyond</w:t>
      </w:r>
      <w:r>
        <w:rPr>
          <w:spacing w:val="-13"/>
        </w:rPr>
        <w:t xml:space="preserve"> </w:t>
      </w:r>
      <w:r>
        <w:t>federal</w:t>
      </w:r>
      <w:r>
        <w:rPr>
          <w:spacing w:val="-12"/>
        </w:rPr>
        <w:t xml:space="preserve"> </w:t>
      </w:r>
      <w:r>
        <w:t>requirements</w:t>
      </w:r>
      <w:r>
        <w:rPr>
          <w:spacing w:val="-12"/>
        </w:rPr>
        <w:t xml:space="preserve"> </w:t>
      </w:r>
      <w:r>
        <w:t>to</w:t>
      </w:r>
      <w:r>
        <w:rPr>
          <w:spacing w:val="-13"/>
        </w:rPr>
        <w:t xml:space="preserve"> </w:t>
      </w:r>
      <w:r>
        <w:t>collect</w:t>
      </w:r>
      <w:r>
        <w:rPr>
          <w:spacing w:val="-12"/>
        </w:rPr>
        <w:t xml:space="preserve"> </w:t>
      </w:r>
      <w:r>
        <w:t>data</w:t>
      </w:r>
      <w:r>
        <w:rPr>
          <w:spacing w:val="-12"/>
        </w:rPr>
        <w:t xml:space="preserve"> </w:t>
      </w:r>
      <w:r>
        <w:t>about</w:t>
      </w:r>
      <w:r>
        <w:rPr>
          <w:spacing w:val="-12"/>
        </w:rPr>
        <w:t xml:space="preserve"> </w:t>
      </w:r>
      <w:r>
        <w:t>sexual</w:t>
      </w:r>
      <w:r>
        <w:rPr>
          <w:spacing w:val="-13"/>
        </w:rPr>
        <w:t xml:space="preserve"> </w:t>
      </w:r>
      <w:r>
        <w:t>or</w:t>
      </w:r>
      <w:r>
        <w:t>ientation</w:t>
      </w:r>
      <w:r>
        <w:rPr>
          <w:spacing w:val="-12"/>
        </w:rPr>
        <w:t xml:space="preserve"> </w:t>
      </w:r>
      <w:r>
        <w:t>and gender identity and expression (SOGIE).</w:t>
      </w:r>
    </w:p>
    <w:p w:rsidR="00C76E6D" w:rsidRDefault="00C76E6D">
      <w:pPr>
        <w:pStyle w:val="BodyText"/>
        <w:spacing w:before="4"/>
        <w:rPr>
          <w:b/>
          <w:sz w:val="25"/>
        </w:rPr>
      </w:pPr>
    </w:p>
    <w:p w:rsidR="00C76E6D" w:rsidRDefault="00913831">
      <w:pPr>
        <w:pStyle w:val="BodyText"/>
        <w:spacing w:line="276" w:lineRule="auto"/>
        <w:ind w:left="627" w:right="334"/>
        <w:jc w:val="both"/>
      </w:pPr>
      <w:r>
        <w:t>The Commission appreciates MassHealth for providing further insight into current SOGIE data collection and resources that remain lacking. However, a lot of this data continues to be omitted in official</w:t>
      </w:r>
      <w:r>
        <w:t xml:space="preserve"> publications at MassHealth, as well as across most states and the federal government, which declines to collect such data. A majority of data at MassHealth is currently dependent on diagnoses of gender dysphoria, making comprehensive gender-affirming care</w:t>
      </w:r>
      <w:r>
        <w:t xml:space="preserve"> difficult to come by for many transgender individuals,</w:t>
      </w:r>
      <w:r>
        <w:rPr>
          <w:spacing w:val="-7"/>
        </w:rPr>
        <w:t xml:space="preserve"> </w:t>
      </w:r>
      <w:r>
        <w:t>especially</w:t>
      </w:r>
      <w:r>
        <w:rPr>
          <w:spacing w:val="-7"/>
        </w:rPr>
        <w:t xml:space="preserve"> </w:t>
      </w:r>
      <w:r>
        <w:t>those</w:t>
      </w:r>
      <w:r>
        <w:rPr>
          <w:spacing w:val="-9"/>
        </w:rPr>
        <w:t xml:space="preserve"> </w:t>
      </w:r>
      <w:r>
        <w:t>who</w:t>
      </w:r>
      <w:r>
        <w:rPr>
          <w:spacing w:val="-7"/>
        </w:rPr>
        <w:t xml:space="preserve"> </w:t>
      </w:r>
      <w:r>
        <w:t>are</w:t>
      </w:r>
      <w:r>
        <w:rPr>
          <w:spacing w:val="-8"/>
        </w:rPr>
        <w:t xml:space="preserve"> </w:t>
      </w:r>
      <w:r>
        <w:t>not</w:t>
      </w:r>
      <w:r>
        <w:rPr>
          <w:spacing w:val="-8"/>
        </w:rPr>
        <w:t xml:space="preserve"> </w:t>
      </w:r>
      <w:r>
        <w:t>open</w:t>
      </w:r>
      <w:r>
        <w:rPr>
          <w:spacing w:val="-8"/>
        </w:rPr>
        <w:t xml:space="preserve"> </w:t>
      </w:r>
      <w:r>
        <w:t>about</w:t>
      </w:r>
      <w:r>
        <w:rPr>
          <w:spacing w:val="-7"/>
        </w:rPr>
        <w:t xml:space="preserve"> </w:t>
      </w:r>
      <w:r>
        <w:t>their</w:t>
      </w:r>
      <w:r>
        <w:rPr>
          <w:spacing w:val="-7"/>
        </w:rPr>
        <w:t xml:space="preserve"> </w:t>
      </w:r>
      <w:r>
        <w:t>identities.</w:t>
      </w:r>
      <w:r>
        <w:rPr>
          <w:spacing w:val="-9"/>
        </w:rPr>
        <w:t xml:space="preserve"> </w:t>
      </w:r>
      <w:r>
        <w:t>As</w:t>
      </w:r>
      <w:r>
        <w:rPr>
          <w:spacing w:val="-6"/>
        </w:rPr>
        <w:t xml:space="preserve"> </w:t>
      </w:r>
      <w:r>
        <w:t>SOGIE</w:t>
      </w:r>
      <w:r>
        <w:rPr>
          <w:spacing w:val="-7"/>
        </w:rPr>
        <w:t xml:space="preserve"> </w:t>
      </w:r>
      <w:r>
        <w:t>data</w:t>
      </w:r>
      <w:r>
        <w:rPr>
          <w:spacing w:val="-7"/>
        </w:rPr>
        <w:t xml:space="preserve"> </w:t>
      </w:r>
      <w:r>
        <w:t>is</w:t>
      </w:r>
      <w:r>
        <w:rPr>
          <w:spacing w:val="-7"/>
        </w:rPr>
        <w:t xml:space="preserve"> </w:t>
      </w:r>
      <w:r>
        <w:t>often</w:t>
      </w:r>
      <w:r>
        <w:rPr>
          <w:spacing w:val="-7"/>
        </w:rPr>
        <w:t xml:space="preserve"> </w:t>
      </w:r>
      <w:r>
        <w:t>collected</w:t>
      </w:r>
      <w:r>
        <w:rPr>
          <w:spacing w:val="-6"/>
        </w:rPr>
        <w:t xml:space="preserve"> </w:t>
      </w:r>
      <w:r>
        <w:t>only through community partner programs or member surveys, there is still a large gap in accurate information, which harms the efficient and inclusive provision of healthcare services. The Commission recommends</w:t>
      </w:r>
      <w:r>
        <w:rPr>
          <w:spacing w:val="-1"/>
        </w:rPr>
        <w:t xml:space="preserve"> </w:t>
      </w:r>
      <w:r>
        <w:t>the</w:t>
      </w:r>
      <w:r>
        <w:rPr>
          <w:spacing w:val="-4"/>
        </w:rPr>
        <w:t xml:space="preserve"> </w:t>
      </w:r>
      <w:r>
        <w:t>urgent</w:t>
      </w:r>
      <w:r>
        <w:rPr>
          <w:spacing w:val="-4"/>
        </w:rPr>
        <w:t xml:space="preserve"> </w:t>
      </w:r>
      <w:r>
        <w:t>application</w:t>
      </w:r>
      <w:r>
        <w:rPr>
          <w:spacing w:val="-4"/>
        </w:rPr>
        <w:t xml:space="preserve"> </w:t>
      </w:r>
      <w:r>
        <w:t>of</w:t>
      </w:r>
      <w:r>
        <w:rPr>
          <w:spacing w:val="-4"/>
        </w:rPr>
        <w:t xml:space="preserve"> </w:t>
      </w:r>
      <w:r>
        <w:t>data</w:t>
      </w:r>
      <w:r>
        <w:rPr>
          <w:spacing w:val="-4"/>
        </w:rPr>
        <w:t xml:space="preserve"> </w:t>
      </w:r>
      <w:r>
        <w:t>collection</w:t>
      </w:r>
      <w:r>
        <w:rPr>
          <w:spacing w:val="-4"/>
        </w:rPr>
        <w:t xml:space="preserve"> </w:t>
      </w:r>
      <w:r>
        <w:t>ser</w:t>
      </w:r>
      <w:r>
        <w:t>vices</w:t>
      </w:r>
      <w:r>
        <w:rPr>
          <w:spacing w:val="-4"/>
        </w:rPr>
        <w:t xml:space="preserve"> </w:t>
      </w:r>
      <w:r>
        <w:t>that</w:t>
      </w:r>
      <w:r>
        <w:rPr>
          <w:spacing w:val="-3"/>
        </w:rPr>
        <w:t xml:space="preserve"> </w:t>
      </w:r>
      <w:r>
        <w:t>include</w:t>
      </w:r>
      <w:r>
        <w:rPr>
          <w:spacing w:val="-4"/>
        </w:rPr>
        <w:t xml:space="preserve"> </w:t>
      </w:r>
      <w:r>
        <w:t>questions</w:t>
      </w:r>
      <w:r>
        <w:rPr>
          <w:spacing w:val="-4"/>
        </w:rPr>
        <w:t xml:space="preserve"> </w:t>
      </w:r>
      <w:r>
        <w:t>on</w:t>
      </w:r>
      <w:r>
        <w:rPr>
          <w:spacing w:val="-4"/>
        </w:rPr>
        <w:t xml:space="preserve"> </w:t>
      </w:r>
      <w:r>
        <w:t>gender</w:t>
      </w:r>
      <w:r>
        <w:rPr>
          <w:spacing w:val="-4"/>
        </w:rPr>
        <w:t xml:space="preserve"> </w:t>
      </w:r>
      <w:r>
        <w:t>identity, sex assigned at birth, and sexual orientation – research that should be reinforced by proper training of healthcare providers on the uses and importance of these questions. The Commission also recommends upd</w:t>
      </w:r>
      <w:r>
        <w:t>ating MassHealth computer systems to include the option of ‘non-binary’ under ‘sex’.</w:t>
      </w:r>
    </w:p>
    <w:p w:rsidR="00C76E6D" w:rsidRDefault="00C76E6D">
      <w:pPr>
        <w:pStyle w:val="BodyText"/>
        <w:spacing w:before="3"/>
        <w:rPr>
          <w:sz w:val="25"/>
        </w:rPr>
      </w:pPr>
    </w:p>
    <w:p w:rsidR="00C76E6D" w:rsidRDefault="00913831">
      <w:pPr>
        <w:pStyle w:val="BodyText"/>
        <w:spacing w:line="276" w:lineRule="auto"/>
        <w:ind w:left="627" w:right="331"/>
        <w:jc w:val="both"/>
      </w:pPr>
      <w:r>
        <w:t>As reporting laws require data be sent to the federal government, there is the challenge of federal laws that allow only binary Male/Female categorical selections for sex</w:t>
      </w:r>
      <w:r>
        <w:t>. In order to support the counting and inclusion of LGBTQ identities in the healthcare system, the Commission strongly recommends that MassHealth add a disclaimer or explanation to all data collection efforts to clarify that federal guidelines require</w:t>
      </w:r>
      <w:r>
        <w:rPr>
          <w:spacing w:val="-5"/>
        </w:rPr>
        <w:t xml:space="preserve"> </w:t>
      </w:r>
      <w:r>
        <w:t>this</w:t>
      </w:r>
      <w:r>
        <w:rPr>
          <w:spacing w:val="-6"/>
        </w:rPr>
        <w:t xml:space="preserve"> </w:t>
      </w:r>
      <w:r>
        <w:t>information</w:t>
      </w:r>
      <w:r>
        <w:rPr>
          <w:spacing w:val="-8"/>
        </w:rPr>
        <w:t xml:space="preserve"> </w:t>
      </w:r>
      <w:r>
        <w:t>and</w:t>
      </w:r>
      <w:r>
        <w:rPr>
          <w:spacing w:val="-7"/>
        </w:rPr>
        <w:t xml:space="preserve"> </w:t>
      </w:r>
      <w:r>
        <w:t>that</w:t>
      </w:r>
      <w:r>
        <w:rPr>
          <w:spacing w:val="-6"/>
        </w:rPr>
        <w:t xml:space="preserve"> </w:t>
      </w:r>
      <w:r>
        <w:t>MassHealth</w:t>
      </w:r>
      <w:r>
        <w:rPr>
          <w:spacing w:val="-7"/>
        </w:rPr>
        <w:t xml:space="preserve"> </w:t>
      </w:r>
      <w:r>
        <w:t>recognizes</w:t>
      </w:r>
      <w:r>
        <w:rPr>
          <w:spacing w:val="-5"/>
        </w:rPr>
        <w:t xml:space="preserve"> </w:t>
      </w:r>
      <w:r>
        <w:t>the</w:t>
      </w:r>
      <w:r>
        <w:rPr>
          <w:spacing w:val="-6"/>
        </w:rPr>
        <w:t xml:space="preserve"> </w:t>
      </w:r>
      <w:r>
        <w:t>need</w:t>
      </w:r>
      <w:r>
        <w:rPr>
          <w:spacing w:val="-8"/>
        </w:rPr>
        <w:t xml:space="preserve"> </w:t>
      </w:r>
      <w:r>
        <w:t>for</w:t>
      </w:r>
      <w:r>
        <w:rPr>
          <w:spacing w:val="-6"/>
        </w:rPr>
        <w:t xml:space="preserve"> </w:t>
      </w:r>
      <w:r>
        <w:t>better</w:t>
      </w:r>
      <w:r>
        <w:rPr>
          <w:spacing w:val="-5"/>
        </w:rPr>
        <w:t xml:space="preserve"> </w:t>
      </w:r>
      <w:r>
        <w:t>categorizations.</w:t>
      </w:r>
      <w:r>
        <w:rPr>
          <w:spacing w:val="-8"/>
        </w:rPr>
        <w:t xml:space="preserve"> </w:t>
      </w:r>
      <w:r>
        <w:t>MassHealth noted in its May 2022 report that additional challenges lie in determining applicable best practices for SOGIE data collection and working with existing IT barriers</w:t>
      </w:r>
      <w:r>
        <w:t>. However, it additionally noted that this recommendation is a top priority for the MassHealth Health Equity Alignment Team. The Commission looks forward to its continued work in this area with MassHealth in the next fiscal year.</w:t>
      </w:r>
    </w:p>
    <w:p w:rsidR="00C76E6D" w:rsidRDefault="00C76E6D">
      <w:pPr>
        <w:pStyle w:val="BodyText"/>
        <w:spacing w:before="3"/>
        <w:rPr>
          <w:sz w:val="25"/>
        </w:rPr>
      </w:pPr>
    </w:p>
    <w:p w:rsidR="00C76E6D" w:rsidRDefault="00913831">
      <w:pPr>
        <w:pStyle w:val="Heading6"/>
        <w:numPr>
          <w:ilvl w:val="0"/>
          <w:numId w:val="9"/>
        </w:numPr>
        <w:tabs>
          <w:tab w:val="left" w:pos="563"/>
        </w:tabs>
        <w:spacing w:line="276" w:lineRule="auto"/>
        <w:ind w:right="392" w:hanging="1"/>
      </w:pPr>
      <w:bookmarkStart w:id="840" w:name="3._Collaborate_with_the_Commission_to_ex"/>
      <w:bookmarkEnd w:id="840"/>
      <w:r>
        <w:t>Collaborate with the Comm</w:t>
      </w:r>
      <w:r>
        <w:t>ission to expand training programs to all workers and supervisors on issues that affect LGBTQ youth and young adults.</w:t>
      </w:r>
    </w:p>
    <w:p w:rsidR="00C76E6D" w:rsidRDefault="00C76E6D">
      <w:pPr>
        <w:pStyle w:val="BodyText"/>
        <w:spacing w:before="9"/>
        <w:rPr>
          <w:b/>
          <w:sz w:val="28"/>
        </w:rPr>
      </w:pPr>
    </w:p>
    <w:p w:rsidR="00C76E6D" w:rsidRDefault="00913831">
      <w:pPr>
        <w:pStyle w:val="BodyText"/>
        <w:ind w:left="627"/>
        <w:jc w:val="both"/>
      </w:pPr>
      <w:r>
        <w:t>The</w:t>
      </w:r>
      <w:r>
        <w:rPr>
          <w:spacing w:val="-4"/>
        </w:rPr>
        <w:t xml:space="preserve"> </w:t>
      </w:r>
      <w:r>
        <w:t>Commission</w:t>
      </w:r>
      <w:r>
        <w:rPr>
          <w:spacing w:val="-5"/>
        </w:rPr>
        <w:t xml:space="preserve"> </w:t>
      </w:r>
      <w:r>
        <w:t>strongly</w:t>
      </w:r>
      <w:r>
        <w:rPr>
          <w:spacing w:val="-1"/>
        </w:rPr>
        <w:t xml:space="preserve"> </w:t>
      </w:r>
      <w:r>
        <w:t>believes</w:t>
      </w:r>
      <w:r>
        <w:rPr>
          <w:spacing w:val="-3"/>
        </w:rPr>
        <w:t xml:space="preserve"> </w:t>
      </w:r>
      <w:r>
        <w:t>LGBTQ</w:t>
      </w:r>
      <w:r>
        <w:rPr>
          <w:spacing w:val="-4"/>
        </w:rPr>
        <w:t xml:space="preserve"> </w:t>
      </w:r>
      <w:r>
        <w:t>cultural</w:t>
      </w:r>
      <w:r>
        <w:rPr>
          <w:spacing w:val="-2"/>
        </w:rPr>
        <w:t xml:space="preserve"> </w:t>
      </w:r>
      <w:r>
        <w:t>humility</w:t>
      </w:r>
      <w:r>
        <w:rPr>
          <w:spacing w:val="-2"/>
        </w:rPr>
        <w:t xml:space="preserve"> </w:t>
      </w:r>
      <w:r>
        <w:t>trainings,</w:t>
      </w:r>
      <w:r>
        <w:rPr>
          <w:spacing w:val="-4"/>
        </w:rPr>
        <w:t xml:space="preserve"> </w:t>
      </w:r>
      <w:r>
        <w:t>especially</w:t>
      </w:r>
      <w:r>
        <w:rPr>
          <w:spacing w:val="-3"/>
        </w:rPr>
        <w:t xml:space="preserve"> </w:t>
      </w:r>
      <w:r>
        <w:t>concerning</w:t>
      </w:r>
      <w:r>
        <w:rPr>
          <w:spacing w:val="-1"/>
        </w:rPr>
        <w:t xml:space="preserve"> </w:t>
      </w:r>
      <w:r>
        <w:rPr>
          <w:spacing w:val="-2"/>
        </w:rPr>
        <w:t>transgender</w:t>
      </w:r>
    </w:p>
    <w:p w:rsidR="00C76E6D" w:rsidRDefault="00C76E6D">
      <w:pPr>
        <w:jc w:val="both"/>
        <w:sectPr w:rsidR="00C76E6D">
          <w:pgSz w:w="12240" w:h="15840"/>
          <w:pgMar w:top="1020" w:right="960" w:bottom="640" w:left="960" w:header="832" w:footer="440" w:gutter="0"/>
          <w:cols w:space="720"/>
        </w:sectPr>
      </w:pPr>
    </w:p>
    <w:p w:rsidR="00C76E6D" w:rsidRDefault="00C76E6D">
      <w:pPr>
        <w:pStyle w:val="BodyText"/>
        <w:spacing w:before="3"/>
      </w:pPr>
    </w:p>
    <w:p w:rsidR="00C76E6D" w:rsidRDefault="00913831">
      <w:pPr>
        <w:pStyle w:val="BodyText"/>
        <w:spacing w:before="55" w:line="276" w:lineRule="auto"/>
        <w:ind w:left="627" w:right="335"/>
        <w:jc w:val="both"/>
      </w:pPr>
      <w:r>
        <w:t>and gender expansive youth amidst rising violence and health disparities, would be highly beneficial for MassHealth to establish</w:t>
      </w:r>
      <w:r>
        <w:rPr>
          <w:spacing w:val="-1"/>
        </w:rPr>
        <w:t xml:space="preserve"> </w:t>
      </w:r>
      <w:r>
        <w:t>across the</w:t>
      </w:r>
      <w:r>
        <w:rPr>
          <w:spacing w:val="-1"/>
        </w:rPr>
        <w:t xml:space="preserve"> </w:t>
      </w:r>
      <w:r>
        <w:t>agency</w:t>
      </w:r>
      <w:r>
        <w:rPr>
          <w:spacing w:val="-1"/>
        </w:rPr>
        <w:t xml:space="preserve"> </w:t>
      </w:r>
      <w:r>
        <w:t>and</w:t>
      </w:r>
      <w:r>
        <w:rPr>
          <w:spacing w:val="-1"/>
        </w:rPr>
        <w:t xml:space="preserve"> </w:t>
      </w:r>
      <w:r>
        <w:t>all operational</w:t>
      </w:r>
      <w:r>
        <w:rPr>
          <w:spacing w:val="-2"/>
        </w:rPr>
        <w:t xml:space="preserve"> </w:t>
      </w:r>
      <w:r>
        <w:t>regions.</w:t>
      </w:r>
      <w:r>
        <w:rPr>
          <w:spacing w:val="-1"/>
        </w:rPr>
        <w:t xml:space="preserve"> </w:t>
      </w:r>
      <w:r>
        <w:t>Monthly staff meetings should</w:t>
      </w:r>
      <w:r>
        <w:rPr>
          <w:spacing w:val="-1"/>
        </w:rPr>
        <w:t xml:space="preserve"> </w:t>
      </w:r>
      <w:r>
        <w:t>be conducted</w:t>
      </w:r>
      <w:r>
        <w:rPr>
          <w:spacing w:val="-8"/>
        </w:rPr>
        <w:t xml:space="preserve"> </w:t>
      </w:r>
      <w:r>
        <w:t>to</w:t>
      </w:r>
      <w:r>
        <w:rPr>
          <w:spacing w:val="-6"/>
        </w:rPr>
        <w:t xml:space="preserve"> </w:t>
      </w:r>
      <w:r>
        <w:t>review</w:t>
      </w:r>
      <w:r>
        <w:rPr>
          <w:spacing w:val="-8"/>
        </w:rPr>
        <w:t xml:space="preserve"> </w:t>
      </w:r>
      <w:r>
        <w:t>LGBTQ</w:t>
      </w:r>
      <w:r>
        <w:rPr>
          <w:spacing w:val="-8"/>
        </w:rPr>
        <w:t xml:space="preserve"> </w:t>
      </w:r>
      <w:r>
        <w:t>content</w:t>
      </w:r>
      <w:r>
        <w:rPr>
          <w:spacing w:val="-8"/>
        </w:rPr>
        <w:t xml:space="preserve"> </w:t>
      </w:r>
      <w:r>
        <w:t>and</w:t>
      </w:r>
      <w:r>
        <w:rPr>
          <w:spacing w:val="-8"/>
        </w:rPr>
        <w:t xml:space="preserve"> </w:t>
      </w:r>
      <w:r>
        <w:t>knowledge</w:t>
      </w:r>
      <w:r>
        <w:rPr>
          <w:spacing w:val="-7"/>
        </w:rPr>
        <w:t xml:space="preserve"> </w:t>
      </w:r>
      <w:r>
        <w:t>of</w:t>
      </w:r>
      <w:r>
        <w:rPr>
          <w:spacing w:val="-9"/>
        </w:rPr>
        <w:t xml:space="preserve"> </w:t>
      </w:r>
      <w:r>
        <w:t>resource</w:t>
      </w:r>
      <w:r>
        <w:rPr>
          <w:spacing w:val="-8"/>
        </w:rPr>
        <w:t xml:space="preserve"> </w:t>
      </w:r>
      <w:r>
        <w:t>access,</w:t>
      </w:r>
      <w:r>
        <w:rPr>
          <w:spacing w:val="-8"/>
        </w:rPr>
        <w:t xml:space="preserve"> </w:t>
      </w:r>
      <w:r>
        <w:t>and</w:t>
      </w:r>
      <w:r>
        <w:rPr>
          <w:spacing w:val="-8"/>
        </w:rPr>
        <w:t xml:space="preserve"> </w:t>
      </w:r>
      <w:r>
        <w:t>training</w:t>
      </w:r>
      <w:r>
        <w:rPr>
          <w:spacing w:val="-8"/>
        </w:rPr>
        <w:t xml:space="preserve"> </w:t>
      </w:r>
      <w:r>
        <w:t>should</w:t>
      </w:r>
      <w:r>
        <w:rPr>
          <w:spacing w:val="-8"/>
        </w:rPr>
        <w:t xml:space="preserve"> </w:t>
      </w:r>
      <w:r>
        <w:t>be</w:t>
      </w:r>
      <w:r>
        <w:rPr>
          <w:spacing w:val="-8"/>
        </w:rPr>
        <w:t xml:space="preserve"> </w:t>
      </w:r>
      <w:r>
        <w:t>prioritized for both MassHealth staff and its affiliate provider agencies.</w:t>
      </w:r>
    </w:p>
    <w:p w:rsidR="00C76E6D" w:rsidRDefault="00C76E6D">
      <w:pPr>
        <w:pStyle w:val="BodyText"/>
        <w:rPr>
          <w:sz w:val="32"/>
        </w:rPr>
      </w:pPr>
    </w:p>
    <w:p w:rsidR="00C76E6D" w:rsidRDefault="00913831">
      <w:pPr>
        <w:pStyle w:val="BodyText"/>
        <w:spacing w:line="276" w:lineRule="auto"/>
        <w:ind w:left="627" w:right="333"/>
        <w:jc w:val="both"/>
      </w:pPr>
      <w:r>
        <w:t>When examining current healthcare provider practices, MassHealth should focus on a range of topics impacting LGBTQ students in the Commo</w:t>
      </w:r>
      <w:r>
        <w:t>nwealth. Faculty, counselors, mental health providers, and school-based clinical staff should be required to complete competency training in LGBTQ health (and particularly trans</w:t>
      </w:r>
      <w:r>
        <w:rPr>
          <w:spacing w:val="-1"/>
        </w:rPr>
        <w:t xml:space="preserve"> </w:t>
      </w:r>
      <w:r>
        <w:t>health). MassHealth</w:t>
      </w:r>
      <w:r>
        <w:rPr>
          <w:spacing w:val="-1"/>
        </w:rPr>
        <w:t xml:space="preserve"> </w:t>
      </w:r>
      <w:r>
        <w:t>notes</w:t>
      </w:r>
      <w:r>
        <w:rPr>
          <w:spacing w:val="-1"/>
        </w:rPr>
        <w:t xml:space="preserve"> </w:t>
      </w:r>
      <w:r>
        <w:t>that</w:t>
      </w:r>
      <w:r>
        <w:rPr>
          <w:spacing w:val="-1"/>
        </w:rPr>
        <w:t xml:space="preserve"> </w:t>
      </w:r>
      <w:r>
        <w:t>it</w:t>
      </w:r>
      <w:r>
        <w:rPr>
          <w:spacing w:val="-2"/>
        </w:rPr>
        <w:t xml:space="preserve"> </w:t>
      </w:r>
      <w:r>
        <w:t>has</w:t>
      </w:r>
      <w:r>
        <w:rPr>
          <w:spacing w:val="-1"/>
        </w:rPr>
        <w:t xml:space="preserve"> </w:t>
      </w:r>
      <w:r>
        <w:t>been</w:t>
      </w:r>
      <w:r>
        <w:rPr>
          <w:spacing w:val="-2"/>
        </w:rPr>
        <w:t xml:space="preserve"> </w:t>
      </w:r>
      <w:r>
        <w:t>facilitating internal</w:t>
      </w:r>
      <w:r>
        <w:rPr>
          <w:spacing w:val="-2"/>
        </w:rPr>
        <w:t xml:space="preserve"> </w:t>
      </w:r>
      <w:r>
        <w:t>trainings for</w:t>
      </w:r>
      <w:r>
        <w:rPr>
          <w:spacing w:val="-1"/>
        </w:rPr>
        <w:t xml:space="preserve"> </w:t>
      </w:r>
      <w:r>
        <w:t>staff</w:t>
      </w:r>
      <w:r>
        <w:rPr>
          <w:spacing w:val="-1"/>
        </w:rPr>
        <w:t xml:space="preserve"> </w:t>
      </w:r>
      <w:r>
        <w:t>on</w:t>
      </w:r>
      <w:r>
        <w:rPr>
          <w:spacing w:val="-1"/>
        </w:rPr>
        <w:t xml:space="preserve"> </w:t>
      </w:r>
      <w:r>
        <w:t>the healthcare needs of LGBTQ communities. However, the Commission continues to recommend that MassHealth should work with the Commission to address how these trainings are currently, if at all, provided and whether they are administered at the s</w:t>
      </w:r>
      <w:r>
        <w:t>tate or local level, through the Executive Office of Education, or another state agency.</w:t>
      </w:r>
    </w:p>
    <w:p w:rsidR="00C76E6D" w:rsidRDefault="00C76E6D">
      <w:pPr>
        <w:pStyle w:val="BodyText"/>
        <w:spacing w:before="2"/>
        <w:rPr>
          <w:sz w:val="32"/>
        </w:rPr>
      </w:pPr>
    </w:p>
    <w:p w:rsidR="00C76E6D" w:rsidRDefault="00913831">
      <w:pPr>
        <w:pStyle w:val="BodyText"/>
        <w:spacing w:line="276" w:lineRule="auto"/>
        <w:ind w:left="628" w:right="331" w:hanging="1"/>
        <w:jc w:val="both"/>
      </w:pPr>
      <w:r>
        <w:t>The</w:t>
      </w:r>
      <w:r>
        <w:rPr>
          <w:spacing w:val="-2"/>
        </w:rPr>
        <w:t xml:space="preserve"> </w:t>
      </w:r>
      <w:r>
        <w:t>Commission</w:t>
      </w:r>
      <w:r>
        <w:rPr>
          <w:spacing w:val="-4"/>
        </w:rPr>
        <w:t xml:space="preserve"> </w:t>
      </w:r>
      <w:r>
        <w:t>further</w:t>
      </w:r>
      <w:r>
        <w:rPr>
          <w:spacing w:val="-2"/>
        </w:rPr>
        <w:t xml:space="preserve"> </w:t>
      </w:r>
      <w:r>
        <w:t>recommends</w:t>
      </w:r>
      <w:r>
        <w:rPr>
          <w:spacing w:val="-2"/>
        </w:rPr>
        <w:t xml:space="preserve"> </w:t>
      </w:r>
      <w:r>
        <w:t>that</w:t>
      </w:r>
      <w:r>
        <w:rPr>
          <w:spacing w:val="-3"/>
        </w:rPr>
        <w:t xml:space="preserve"> </w:t>
      </w:r>
      <w:r>
        <w:t>MassHealth</w:t>
      </w:r>
      <w:r>
        <w:rPr>
          <w:spacing w:val="-3"/>
        </w:rPr>
        <w:t xml:space="preserve"> </w:t>
      </w:r>
      <w:r>
        <w:t>implement</w:t>
      </w:r>
      <w:r>
        <w:rPr>
          <w:spacing w:val="-3"/>
        </w:rPr>
        <w:t xml:space="preserve"> </w:t>
      </w:r>
      <w:r>
        <w:t>guidance</w:t>
      </w:r>
      <w:r>
        <w:rPr>
          <w:spacing w:val="-2"/>
        </w:rPr>
        <w:t xml:space="preserve"> </w:t>
      </w:r>
      <w:r>
        <w:t>for</w:t>
      </w:r>
      <w:r>
        <w:rPr>
          <w:spacing w:val="-1"/>
        </w:rPr>
        <w:t xml:space="preserve"> </w:t>
      </w:r>
      <w:r>
        <w:t>school-based</w:t>
      </w:r>
      <w:r>
        <w:rPr>
          <w:spacing w:val="-3"/>
        </w:rPr>
        <w:t xml:space="preserve"> </w:t>
      </w:r>
      <w:r>
        <w:t>counselors and mental health clinicians to provide support to students as well as their families, including on how to assist families in supporting their trans children. School-based providers can play a large role in creating safe school environments, and</w:t>
      </w:r>
      <w:r>
        <w:t xml:space="preserve"> they should be guided in best practices for referring children or making recommendations for gender-affirming care, depending on student needs. Additionally, there is ample room for MassHealth to spearhead and/or support initiatives around gender inclusiv</w:t>
      </w:r>
      <w:r>
        <w:t>ity and trans health awareness for students, staff, families, and communities.</w:t>
      </w: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913831">
      <w:pPr>
        <w:pStyle w:val="BodyText"/>
        <w:spacing w:before="1"/>
        <w:rPr>
          <w:sz w:val="12"/>
        </w:rPr>
      </w:pPr>
      <w:r>
        <w:pict>
          <v:shape id="docshape416" o:spid="_x0000_s1074" style="position:absolute;margin-left:70.6pt;margin-top:8.6pt;width:470.95pt;height:.1pt;z-index:-15642112;mso-wrap-distance-left:0;mso-wrap-distance-right:0;mso-position-horizontal-relative:page" coordorigin="1412,172" coordsize="9419,0" path="m1412,172r9419,e" filled="f" strokeweight="1.54pt">
            <v:path arrowok="t"/>
            <w10:wrap type="topAndBottom" anchorx="page"/>
          </v:shape>
        </w:pict>
      </w:r>
    </w:p>
    <w:p w:rsidR="00C76E6D" w:rsidRDefault="00C76E6D">
      <w:pPr>
        <w:pStyle w:val="BodyText"/>
        <w:spacing w:before="11"/>
      </w:pPr>
    </w:p>
    <w:p w:rsidR="00C76E6D" w:rsidRDefault="00913831">
      <w:pPr>
        <w:pStyle w:val="Heading4"/>
      </w:pPr>
      <w:r>
        <w:rPr>
          <w:spacing w:val="-2"/>
        </w:rPr>
        <w:t>ENDNOTES</w:t>
      </w:r>
    </w:p>
    <w:p w:rsidR="00C76E6D" w:rsidRDefault="00913831">
      <w:pPr>
        <w:pStyle w:val="BodyText"/>
        <w:spacing w:before="12"/>
        <w:rPr>
          <w:b/>
          <w:sz w:val="24"/>
        </w:rPr>
      </w:pPr>
      <w:r>
        <w:pict>
          <v:shape id="docshape417" o:spid="_x0000_s1073" style="position:absolute;margin-left:70.6pt;margin-top:16.45pt;width:470.95pt;height:.1pt;z-index:-15641600;mso-wrap-distance-left:0;mso-wrap-distance-right:0;mso-position-horizontal-relative:page" coordorigin="1412,329" coordsize="9419,0" path="m1412,329r9419,e" filled="f" strokeweight="1.54pt">
            <v:path arrowok="t"/>
            <w10:wrap type="topAndBottom" anchorx="page"/>
          </v:shape>
        </w:pict>
      </w:r>
    </w:p>
    <w:p w:rsidR="00C76E6D" w:rsidRDefault="00C76E6D">
      <w:pPr>
        <w:pStyle w:val="BodyText"/>
        <w:rPr>
          <w:b/>
          <w:sz w:val="24"/>
        </w:rPr>
      </w:pPr>
    </w:p>
    <w:p w:rsidR="00C76E6D" w:rsidRDefault="00C76E6D">
      <w:pPr>
        <w:pStyle w:val="BodyText"/>
        <w:rPr>
          <w:b/>
          <w:sz w:val="24"/>
        </w:rPr>
      </w:pPr>
    </w:p>
    <w:p w:rsidR="00C76E6D" w:rsidRDefault="00C76E6D">
      <w:pPr>
        <w:pStyle w:val="BodyText"/>
        <w:rPr>
          <w:b/>
        </w:rPr>
      </w:pPr>
    </w:p>
    <w:p w:rsidR="00C76E6D" w:rsidRDefault="00913831">
      <w:pPr>
        <w:ind w:left="338" w:right="804"/>
        <w:rPr>
          <w:sz w:val="20"/>
        </w:rPr>
      </w:pPr>
      <w:bookmarkStart w:id="841" w:name="_bookmark591"/>
      <w:bookmarkEnd w:id="841"/>
      <w:r>
        <w:rPr>
          <w:sz w:val="20"/>
          <w:vertAlign w:val="superscript"/>
        </w:rPr>
        <w:t>1</w:t>
      </w:r>
      <w:r>
        <w:rPr>
          <w:spacing w:val="-8"/>
          <w:sz w:val="20"/>
        </w:rPr>
        <w:t xml:space="preserve"> </w:t>
      </w:r>
      <w:bookmarkStart w:id="842" w:name="_bookmark592"/>
      <w:bookmarkEnd w:id="842"/>
      <w:r>
        <w:rPr>
          <w:sz w:val="20"/>
        </w:rPr>
        <w:t>Commonwealth</w:t>
      </w:r>
      <w:r>
        <w:rPr>
          <w:spacing w:val="-8"/>
          <w:sz w:val="20"/>
        </w:rPr>
        <w:t xml:space="preserve"> </w:t>
      </w:r>
      <w:r>
        <w:rPr>
          <w:sz w:val="20"/>
        </w:rPr>
        <w:t>of</w:t>
      </w:r>
      <w:r>
        <w:rPr>
          <w:spacing w:val="-10"/>
          <w:sz w:val="20"/>
        </w:rPr>
        <w:t xml:space="preserve"> </w:t>
      </w:r>
      <w:r>
        <w:rPr>
          <w:sz w:val="20"/>
        </w:rPr>
        <w:t>Massachusetts.</w:t>
      </w:r>
      <w:r>
        <w:rPr>
          <w:spacing w:val="-9"/>
          <w:sz w:val="20"/>
        </w:rPr>
        <w:t xml:space="preserve"> </w:t>
      </w:r>
      <w:r>
        <w:rPr>
          <w:sz w:val="20"/>
        </w:rPr>
        <w:t>(2021).</w:t>
      </w:r>
      <w:r>
        <w:rPr>
          <w:spacing w:val="-11"/>
          <w:sz w:val="20"/>
        </w:rPr>
        <w:t xml:space="preserve"> </w:t>
      </w:r>
      <w:r>
        <w:rPr>
          <w:sz w:val="20"/>
        </w:rPr>
        <w:t>MassHealth.</w:t>
      </w:r>
      <w:r>
        <w:rPr>
          <w:spacing w:val="-11"/>
          <w:sz w:val="20"/>
        </w:rPr>
        <w:t xml:space="preserve"> </w:t>
      </w:r>
      <w:r>
        <w:rPr>
          <w:sz w:val="20"/>
        </w:rPr>
        <w:t>Retrieved</w:t>
      </w:r>
      <w:r>
        <w:rPr>
          <w:spacing w:val="-8"/>
          <w:sz w:val="20"/>
        </w:rPr>
        <w:t xml:space="preserve"> </w:t>
      </w:r>
      <w:r>
        <w:rPr>
          <w:sz w:val="20"/>
        </w:rPr>
        <w:t>from</w:t>
      </w:r>
      <w:r>
        <w:rPr>
          <w:spacing w:val="-12"/>
          <w:sz w:val="20"/>
        </w:rPr>
        <w:t xml:space="preserve"> </w:t>
      </w:r>
      <w:r>
        <w:rPr>
          <w:sz w:val="20"/>
        </w:rPr>
        <w:t>https://</w:t>
      </w:r>
      <w:hyperlink r:id="rId428">
        <w:r>
          <w:rPr>
            <w:sz w:val="20"/>
          </w:rPr>
          <w:t>www.mass.gov/orgs/massheal</w:t>
        </w:r>
        <w:r>
          <w:rPr>
            <w:sz w:val="20"/>
          </w:rPr>
          <w:t>th</w:t>
        </w:r>
      </w:hyperlink>
      <w:r>
        <w:rPr>
          <w:sz w:val="20"/>
        </w:rPr>
        <w:t xml:space="preserve"> </w:t>
      </w:r>
      <w:r>
        <w:rPr>
          <w:sz w:val="20"/>
          <w:vertAlign w:val="superscript"/>
        </w:rPr>
        <w:t>2</w:t>
      </w:r>
      <w:r>
        <w:rPr>
          <w:sz w:val="20"/>
        </w:rPr>
        <w:t xml:space="preserve"> MassEquality. (2021). Healthy Youth Act. (2021). Retrieved from https://massequality.org/legislative- </w:t>
      </w:r>
      <w:r>
        <w:rPr>
          <w:spacing w:val="-2"/>
          <w:sz w:val="20"/>
        </w:rPr>
        <w:t>agenda/healthy-youth-act/.</w:t>
      </w:r>
    </w:p>
    <w:p w:rsidR="00C76E6D" w:rsidRDefault="00913831">
      <w:pPr>
        <w:ind w:left="339" w:right="530" w:hanging="1"/>
        <w:rPr>
          <w:sz w:val="20"/>
        </w:rPr>
      </w:pPr>
      <w:bookmarkStart w:id="843" w:name="_bookmark593"/>
      <w:bookmarkEnd w:id="843"/>
      <w:r>
        <w:rPr>
          <w:sz w:val="20"/>
          <w:vertAlign w:val="superscript"/>
        </w:rPr>
        <w:t>3</w:t>
      </w:r>
      <w:r>
        <w:rPr>
          <w:spacing w:val="-5"/>
          <w:sz w:val="20"/>
        </w:rPr>
        <w:t xml:space="preserve"> </w:t>
      </w:r>
      <w:r>
        <w:rPr>
          <w:sz w:val="20"/>
        </w:rPr>
        <w:t>Unite</w:t>
      </w:r>
      <w:r>
        <w:rPr>
          <w:spacing w:val="-5"/>
          <w:sz w:val="20"/>
        </w:rPr>
        <w:t xml:space="preserve"> </w:t>
      </w:r>
      <w:r>
        <w:rPr>
          <w:sz w:val="20"/>
        </w:rPr>
        <w:t>for</w:t>
      </w:r>
      <w:r>
        <w:rPr>
          <w:spacing w:val="-7"/>
          <w:sz w:val="20"/>
        </w:rPr>
        <w:t xml:space="preserve"> </w:t>
      </w:r>
      <w:r>
        <w:rPr>
          <w:sz w:val="20"/>
        </w:rPr>
        <w:t>Reproductive</w:t>
      </w:r>
      <w:r>
        <w:rPr>
          <w:spacing w:val="-6"/>
          <w:sz w:val="20"/>
        </w:rPr>
        <w:t xml:space="preserve"> </w:t>
      </w:r>
      <w:r>
        <w:rPr>
          <w:sz w:val="20"/>
        </w:rPr>
        <w:t>and</w:t>
      </w:r>
      <w:r>
        <w:rPr>
          <w:spacing w:val="-7"/>
          <w:sz w:val="20"/>
        </w:rPr>
        <w:t xml:space="preserve"> </w:t>
      </w:r>
      <w:r>
        <w:rPr>
          <w:sz w:val="20"/>
        </w:rPr>
        <w:t>Gender</w:t>
      </w:r>
      <w:r>
        <w:rPr>
          <w:spacing w:val="-7"/>
          <w:sz w:val="20"/>
        </w:rPr>
        <w:t xml:space="preserve"> </w:t>
      </w:r>
      <w:r>
        <w:rPr>
          <w:sz w:val="20"/>
        </w:rPr>
        <w:t>Equity.</w:t>
      </w:r>
      <w:r>
        <w:rPr>
          <w:spacing w:val="-7"/>
          <w:sz w:val="20"/>
        </w:rPr>
        <w:t xml:space="preserve"> </w:t>
      </w:r>
      <w:r>
        <w:rPr>
          <w:sz w:val="20"/>
        </w:rPr>
        <w:t>Report:</w:t>
      </w:r>
      <w:r>
        <w:rPr>
          <w:spacing w:val="-5"/>
          <w:sz w:val="20"/>
        </w:rPr>
        <w:t xml:space="preserve"> </w:t>
      </w:r>
      <w:r>
        <w:rPr>
          <w:sz w:val="20"/>
        </w:rPr>
        <w:t>Lgbtq+</w:t>
      </w:r>
      <w:r>
        <w:rPr>
          <w:spacing w:val="-6"/>
          <w:sz w:val="20"/>
        </w:rPr>
        <w:t xml:space="preserve"> </w:t>
      </w:r>
      <w:r>
        <w:rPr>
          <w:sz w:val="20"/>
        </w:rPr>
        <w:t>inclusive</w:t>
      </w:r>
      <w:r>
        <w:rPr>
          <w:spacing w:val="-6"/>
          <w:sz w:val="20"/>
        </w:rPr>
        <w:t xml:space="preserve"> </w:t>
      </w:r>
      <w:r>
        <w:rPr>
          <w:sz w:val="20"/>
        </w:rPr>
        <w:t>sex</w:t>
      </w:r>
      <w:r>
        <w:rPr>
          <w:spacing w:val="-5"/>
          <w:sz w:val="20"/>
        </w:rPr>
        <w:t xml:space="preserve"> </w:t>
      </w:r>
      <w:r>
        <w:rPr>
          <w:sz w:val="20"/>
        </w:rPr>
        <w:t>ed.</w:t>
      </w:r>
      <w:r>
        <w:rPr>
          <w:spacing w:val="-6"/>
          <w:sz w:val="20"/>
        </w:rPr>
        <w:t xml:space="preserve"> </w:t>
      </w:r>
      <w:r>
        <w:rPr>
          <w:sz w:val="20"/>
        </w:rPr>
        <w:t>Retrieved</w:t>
      </w:r>
      <w:r>
        <w:rPr>
          <w:spacing w:val="-5"/>
          <w:sz w:val="20"/>
        </w:rPr>
        <w:t xml:space="preserve"> </w:t>
      </w:r>
      <w:r>
        <w:rPr>
          <w:sz w:val="20"/>
        </w:rPr>
        <w:t>from</w:t>
      </w:r>
      <w:r>
        <w:rPr>
          <w:spacing w:val="-6"/>
          <w:sz w:val="20"/>
        </w:rPr>
        <w:t xml:space="preserve"> </w:t>
      </w:r>
      <w:r>
        <w:rPr>
          <w:sz w:val="20"/>
        </w:rPr>
        <w:t xml:space="preserve">https://urge.org/lgbtq- </w:t>
      </w:r>
      <w:r>
        <w:rPr>
          <w:spacing w:val="-2"/>
          <w:sz w:val="20"/>
        </w:rPr>
        <w:t>inclusive_sexed_report/.</w:t>
      </w:r>
    </w:p>
    <w:p w:rsidR="00C76E6D" w:rsidRDefault="00913831">
      <w:pPr>
        <w:ind w:left="339" w:right="530" w:hanging="1"/>
        <w:rPr>
          <w:sz w:val="20"/>
        </w:rPr>
      </w:pPr>
      <w:bookmarkStart w:id="844" w:name="_bookmark594"/>
      <w:bookmarkEnd w:id="844"/>
      <w:r>
        <w:rPr>
          <w:sz w:val="20"/>
          <w:vertAlign w:val="superscript"/>
        </w:rPr>
        <w:t>4</w:t>
      </w:r>
      <w:r>
        <w:rPr>
          <w:spacing w:val="36"/>
          <w:sz w:val="20"/>
        </w:rPr>
        <w:t xml:space="preserve"> </w:t>
      </w:r>
      <w:r>
        <w:rPr>
          <w:sz w:val="20"/>
        </w:rPr>
        <w:t>Boston</w:t>
      </w:r>
      <w:r>
        <w:rPr>
          <w:spacing w:val="-5"/>
          <w:sz w:val="20"/>
        </w:rPr>
        <w:t xml:space="preserve"> </w:t>
      </w:r>
      <w:r>
        <w:rPr>
          <w:sz w:val="20"/>
        </w:rPr>
        <w:t>Area</w:t>
      </w:r>
      <w:r>
        <w:rPr>
          <w:spacing w:val="-6"/>
          <w:sz w:val="20"/>
        </w:rPr>
        <w:t xml:space="preserve"> </w:t>
      </w:r>
      <w:r>
        <w:rPr>
          <w:sz w:val="20"/>
        </w:rPr>
        <w:t>Rape</w:t>
      </w:r>
      <w:r>
        <w:rPr>
          <w:spacing w:val="-6"/>
          <w:sz w:val="20"/>
        </w:rPr>
        <w:t xml:space="preserve"> </w:t>
      </w:r>
      <w:r>
        <w:rPr>
          <w:sz w:val="20"/>
        </w:rPr>
        <w:t>Crisis</w:t>
      </w:r>
      <w:r>
        <w:rPr>
          <w:spacing w:val="-5"/>
          <w:sz w:val="20"/>
        </w:rPr>
        <w:t xml:space="preserve"> </w:t>
      </w:r>
      <w:r>
        <w:rPr>
          <w:sz w:val="20"/>
        </w:rPr>
        <w:t>Center.</w:t>
      </w:r>
      <w:r>
        <w:rPr>
          <w:spacing w:val="-5"/>
          <w:sz w:val="20"/>
        </w:rPr>
        <w:t xml:space="preserve"> </w:t>
      </w:r>
      <w:r>
        <w:rPr>
          <w:sz w:val="20"/>
        </w:rPr>
        <w:t>(2021).</w:t>
      </w:r>
      <w:r>
        <w:rPr>
          <w:spacing w:val="-5"/>
          <w:sz w:val="20"/>
        </w:rPr>
        <w:t xml:space="preserve"> </w:t>
      </w:r>
      <w:r>
        <w:rPr>
          <w:sz w:val="20"/>
        </w:rPr>
        <w:t>Building</w:t>
      </w:r>
      <w:r>
        <w:rPr>
          <w:spacing w:val="-5"/>
          <w:sz w:val="20"/>
        </w:rPr>
        <w:t xml:space="preserve"> </w:t>
      </w:r>
      <w:r>
        <w:rPr>
          <w:sz w:val="20"/>
        </w:rPr>
        <w:t>healthy,</w:t>
      </w:r>
      <w:r>
        <w:rPr>
          <w:spacing w:val="-4"/>
          <w:sz w:val="20"/>
        </w:rPr>
        <w:t xml:space="preserve"> </w:t>
      </w:r>
      <w:r>
        <w:rPr>
          <w:sz w:val="20"/>
        </w:rPr>
        <w:t>safe</w:t>
      </w:r>
      <w:r>
        <w:rPr>
          <w:spacing w:val="-6"/>
          <w:sz w:val="20"/>
        </w:rPr>
        <w:t xml:space="preserve"> </w:t>
      </w:r>
      <w:r>
        <w:rPr>
          <w:sz w:val="20"/>
        </w:rPr>
        <w:t>communities</w:t>
      </w:r>
      <w:r>
        <w:rPr>
          <w:spacing w:val="-5"/>
          <w:sz w:val="20"/>
        </w:rPr>
        <w:t xml:space="preserve"> </w:t>
      </w:r>
      <w:r>
        <w:rPr>
          <w:sz w:val="20"/>
        </w:rPr>
        <w:t>begins</w:t>
      </w:r>
      <w:r>
        <w:rPr>
          <w:spacing w:val="-6"/>
          <w:sz w:val="20"/>
        </w:rPr>
        <w:t xml:space="preserve"> </w:t>
      </w:r>
      <w:r>
        <w:rPr>
          <w:sz w:val="20"/>
        </w:rPr>
        <w:t>with</w:t>
      </w:r>
      <w:r>
        <w:rPr>
          <w:spacing w:val="-4"/>
          <w:sz w:val="20"/>
        </w:rPr>
        <w:t xml:space="preserve"> </w:t>
      </w:r>
      <w:r>
        <w:rPr>
          <w:sz w:val="20"/>
        </w:rPr>
        <w:t>our</w:t>
      </w:r>
      <w:r>
        <w:rPr>
          <w:spacing w:val="-7"/>
          <w:sz w:val="20"/>
        </w:rPr>
        <w:t xml:space="preserve"> </w:t>
      </w:r>
      <w:r>
        <w:rPr>
          <w:sz w:val="20"/>
        </w:rPr>
        <w:t>youth</w:t>
      </w:r>
      <w:r>
        <w:rPr>
          <w:spacing w:val="-5"/>
          <w:sz w:val="20"/>
        </w:rPr>
        <w:t xml:space="preserve"> </w:t>
      </w:r>
      <w:r>
        <w:rPr>
          <w:sz w:val="20"/>
        </w:rPr>
        <w:t>Healthy</w:t>
      </w:r>
      <w:r>
        <w:rPr>
          <w:spacing w:val="-4"/>
          <w:sz w:val="20"/>
        </w:rPr>
        <w:t xml:space="preserve"> </w:t>
      </w:r>
      <w:r>
        <w:rPr>
          <w:sz w:val="20"/>
        </w:rPr>
        <w:t>Youth Infographic. Retrieved from https://barcc.org/assets/docs/HealthyYouth_Infographic.pdf.</w:t>
      </w:r>
    </w:p>
    <w:p w:rsidR="00C76E6D" w:rsidRDefault="00913831">
      <w:pPr>
        <w:spacing w:before="1"/>
        <w:ind w:left="339" w:right="635" w:hanging="2"/>
        <w:rPr>
          <w:sz w:val="20"/>
        </w:rPr>
      </w:pPr>
      <w:bookmarkStart w:id="845" w:name="_bookmark595"/>
      <w:bookmarkEnd w:id="845"/>
      <w:r>
        <w:rPr>
          <w:sz w:val="20"/>
          <w:vertAlign w:val="superscript"/>
        </w:rPr>
        <w:t>5</w:t>
      </w:r>
      <w:r>
        <w:rPr>
          <w:spacing w:val="-4"/>
          <w:sz w:val="20"/>
        </w:rPr>
        <w:t xml:space="preserve"> </w:t>
      </w:r>
      <w:r>
        <w:rPr>
          <w:sz w:val="20"/>
        </w:rPr>
        <w:t>IMPACT.</w:t>
      </w:r>
      <w:r>
        <w:rPr>
          <w:spacing w:val="-7"/>
          <w:sz w:val="20"/>
        </w:rPr>
        <w:t xml:space="preserve"> </w:t>
      </w:r>
      <w:r>
        <w:rPr>
          <w:sz w:val="20"/>
        </w:rPr>
        <w:t>(2010).</w:t>
      </w:r>
      <w:r>
        <w:rPr>
          <w:spacing w:val="-6"/>
          <w:sz w:val="20"/>
        </w:rPr>
        <w:t xml:space="preserve"> </w:t>
      </w:r>
      <w:r>
        <w:rPr>
          <w:sz w:val="20"/>
        </w:rPr>
        <w:t>Mental</w:t>
      </w:r>
      <w:r>
        <w:rPr>
          <w:spacing w:val="-5"/>
          <w:sz w:val="20"/>
        </w:rPr>
        <w:t xml:space="preserve"> </w:t>
      </w:r>
      <w:r>
        <w:rPr>
          <w:sz w:val="20"/>
        </w:rPr>
        <w:t>health</w:t>
      </w:r>
      <w:r>
        <w:rPr>
          <w:spacing w:val="-4"/>
          <w:sz w:val="20"/>
        </w:rPr>
        <w:t xml:space="preserve"> </w:t>
      </w:r>
      <w:r>
        <w:rPr>
          <w:sz w:val="20"/>
        </w:rPr>
        <w:t>disorders,</w:t>
      </w:r>
      <w:r>
        <w:rPr>
          <w:spacing w:val="-5"/>
          <w:sz w:val="20"/>
        </w:rPr>
        <w:t xml:space="preserve"> </w:t>
      </w:r>
      <w:r>
        <w:rPr>
          <w:sz w:val="20"/>
        </w:rPr>
        <w:t>psychological</w:t>
      </w:r>
      <w:r>
        <w:rPr>
          <w:spacing w:val="-8"/>
          <w:sz w:val="20"/>
        </w:rPr>
        <w:t xml:space="preserve"> </w:t>
      </w:r>
      <w:r>
        <w:rPr>
          <w:sz w:val="20"/>
        </w:rPr>
        <w:t>distress,</w:t>
      </w:r>
      <w:r>
        <w:rPr>
          <w:spacing w:val="-4"/>
          <w:sz w:val="20"/>
        </w:rPr>
        <w:t xml:space="preserve"> </w:t>
      </w:r>
      <w:r>
        <w:rPr>
          <w:sz w:val="20"/>
        </w:rPr>
        <w:t>and</w:t>
      </w:r>
      <w:r>
        <w:rPr>
          <w:spacing w:val="-5"/>
          <w:sz w:val="20"/>
        </w:rPr>
        <w:t xml:space="preserve"> </w:t>
      </w:r>
      <w:r>
        <w:rPr>
          <w:sz w:val="20"/>
        </w:rPr>
        <w:t>suicidality</w:t>
      </w:r>
      <w:r>
        <w:rPr>
          <w:spacing w:val="-3"/>
          <w:sz w:val="20"/>
        </w:rPr>
        <w:t xml:space="preserve"> </w:t>
      </w:r>
      <w:r>
        <w:rPr>
          <w:sz w:val="20"/>
        </w:rPr>
        <w:t>in</w:t>
      </w:r>
      <w:r>
        <w:rPr>
          <w:spacing w:val="-4"/>
          <w:sz w:val="20"/>
        </w:rPr>
        <w:t xml:space="preserve"> </w:t>
      </w:r>
      <w:r>
        <w:rPr>
          <w:sz w:val="20"/>
        </w:rPr>
        <w:t>a</w:t>
      </w:r>
      <w:r>
        <w:rPr>
          <w:spacing w:val="-6"/>
          <w:sz w:val="20"/>
        </w:rPr>
        <w:t xml:space="preserve"> </w:t>
      </w:r>
      <w:r>
        <w:rPr>
          <w:sz w:val="20"/>
        </w:rPr>
        <w:t>diverse</w:t>
      </w:r>
      <w:r>
        <w:rPr>
          <w:spacing w:val="-4"/>
          <w:sz w:val="20"/>
        </w:rPr>
        <w:t xml:space="preserve"> </w:t>
      </w:r>
      <w:r>
        <w:rPr>
          <w:sz w:val="20"/>
        </w:rPr>
        <w:t>sample</w:t>
      </w:r>
      <w:r>
        <w:rPr>
          <w:spacing w:val="-5"/>
          <w:sz w:val="20"/>
        </w:rPr>
        <w:t xml:space="preserve"> </w:t>
      </w:r>
      <w:r>
        <w:rPr>
          <w:sz w:val="20"/>
        </w:rPr>
        <w:t>of</w:t>
      </w:r>
      <w:r>
        <w:rPr>
          <w:spacing w:val="-6"/>
          <w:sz w:val="20"/>
        </w:rPr>
        <w:t xml:space="preserve"> </w:t>
      </w:r>
      <w:r>
        <w:rPr>
          <w:sz w:val="20"/>
        </w:rPr>
        <w:t>lesbian,</w:t>
      </w:r>
      <w:r>
        <w:rPr>
          <w:spacing w:val="-5"/>
          <w:sz w:val="20"/>
        </w:rPr>
        <w:t xml:space="preserve"> </w:t>
      </w:r>
      <w:r>
        <w:rPr>
          <w:sz w:val="20"/>
        </w:rPr>
        <w:t xml:space="preserve">gay, bisexual, and transgender youths. American Journal of Public Health. Retrieved from </w:t>
      </w:r>
      <w:bookmarkStart w:id="846" w:name="_bookmark596"/>
      <w:bookmarkEnd w:id="846"/>
      <w:r>
        <w:rPr>
          <w:spacing w:val="-2"/>
          <w:sz w:val="20"/>
        </w:rPr>
        <w:t>https://</w:t>
      </w:r>
      <w:hyperlink r:id="rId429">
        <w:r>
          <w:rPr>
            <w:spacing w:val="-2"/>
            <w:sz w:val="20"/>
          </w:rPr>
          <w:t>www.thetrevorproject.org/resources/preventing-suicide/facts-about-suicide/.</w:t>
        </w:r>
      </w:hyperlink>
    </w:p>
    <w:p w:rsidR="00C76E6D" w:rsidRDefault="00913831">
      <w:pPr>
        <w:ind w:left="340" w:right="530" w:hanging="2"/>
        <w:rPr>
          <w:sz w:val="20"/>
        </w:rPr>
      </w:pPr>
      <w:r>
        <w:rPr>
          <w:sz w:val="20"/>
          <w:vertAlign w:val="superscript"/>
        </w:rPr>
        <w:t>6</w:t>
      </w:r>
      <w:r>
        <w:rPr>
          <w:spacing w:val="-5"/>
          <w:sz w:val="20"/>
        </w:rPr>
        <w:t xml:space="preserve"> </w:t>
      </w:r>
      <w:r>
        <w:rPr>
          <w:sz w:val="20"/>
        </w:rPr>
        <w:t>Centers</w:t>
      </w:r>
      <w:r>
        <w:rPr>
          <w:spacing w:val="-6"/>
          <w:sz w:val="20"/>
        </w:rPr>
        <w:t xml:space="preserve"> </w:t>
      </w:r>
      <w:r>
        <w:rPr>
          <w:sz w:val="20"/>
        </w:rPr>
        <w:t>for</w:t>
      </w:r>
      <w:r>
        <w:rPr>
          <w:spacing w:val="-7"/>
          <w:sz w:val="20"/>
        </w:rPr>
        <w:t xml:space="preserve"> </w:t>
      </w:r>
      <w:r>
        <w:rPr>
          <w:sz w:val="20"/>
        </w:rPr>
        <w:t>Disease</w:t>
      </w:r>
      <w:r>
        <w:rPr>
          <w:spacing w:val="-5"/>
          <w:sz w:val="20"/>
        </w:rPr>
        <w:t xml:space="preserve"> </w:t>
      </w:r>
      <w:r>
        <w:rPr>
          <w:sz w:val="20"/>
        </w:rPr>
        <w:t>Control</w:t>
      </w:r>
      <w:r>
        <w:rPr>
          <w:spacing w:val="-8"/>
          <w:sz w:val="20"/>
        </w:rPr>
        <w:t xml:space="preserve"> </w:t>
      </w:r>
      <w:r>
        <w:rPr>
          <w:sz w:val="20"/>
        </w:rPr>
        <w:t>and</w:t>
      </w:r>
      <w:r>
        <w:rPr>
          <w:spacing w:val="-5"/>
          <w:sz w:val="20"/>
        </w:rPr>
        <w:t xml:space="preserve"> </w:t>
      </w:r>
      <w:r>
        <w:rPr>
          <w:sz w:val="20"/>
        </w:rPr>
        <w:t>Prevention,</w:t>
      </w:r>
      <w:r>
        <w:rPr>
          <w:spacing w:val="-6"/>
          <w:sz w:val="20"/>
        </w:rPr>
        <w:t xml:space="preserve"> </w:t>
      </w:r>
      <w:r>
        <w:rPr>
          <w:sz w:val="20"/>
        </w:rPr>
        <w:t>National</w:t>
      </w:r>
      <w:r>
        <w:rPr>
          <w:spacing w:val="-7"/>
          <w:sz w:val="20"/>
        </w:rPr>
        <w:t xml:space="preserve"> </w:t>
      </w:r>
      <w:r>
        <w:rPr>
          <w:sz w:val="20"/>
        </w:rPr>
        <w:t>Center</w:t>
      </w:r>
      <w:r>
        <w:rPr>
          <w:spacing w:val="-5"/>
          <w:sz w:val="20"/>
        </w:rPr>
        <w:t xml:space="preserve"> </w:t>
      </w:r>
      <w:r>
        <w:rPr>
          <w:sz w:val="20"/>
        </w:rPr>
        <w:t>for</w:t>
      </w:r>
      <w:r>
        <w:rPr>
          <w:spacing w:val="-8"/>
          <w:sz w:val="20"/>
        </w:rPr>
        <w:t xml:space="preserve"> </w:t>
      </w:r>
      <w:r>
        <w:rPr>
          <w:sz w:val="20"/>
        </w:rPr>
        <w:t>Chronic</w:t>
      </w:r>
      <w:r>
        <w:rPr>
          <w:spacing w:val="-5"/>
          <w:sz w:val="20"/>
        </w:rPr>
        <w:t xml:space="preserve"> </w:t>
      </w:r>
      <w:r>
        <w:rPr>
          <w:sz w:val="20"/>
        </w:rPr>
        <w:t>Disease</w:t>
      </w:r>
      <w:r>
        <w:rPr>
          <w:spacing w:val="-5"/>
          <w:sz w:val="20"/>
        </w:rPr>
        <w:t xml:space="preserve"> </w:t>
      </w:r>
      <w:r>
        <w:rPr>
          <w:sz w:val="20"/>
        </w:rPr>
        <w:t>Prevention</w:t>
      </w:r>
      <w:r>
        <w:rPr>
          <w:spacing w:val="-5"/>
          <w:sz w:val="20"/>
        </w:rPr>
        <w:t xml:space="preserve"> </w:t>
      </w:r>
      <w:r>
        <w:rPr>
          <w:sz w:val="20"/>
        </w:rPr>
        <w:t>and</w:t>
      </w:r>
      <w:r>
        <w:rPr>
          <w:spacing w:val="-6"/>
          <w:sz w:val="20"/>
        </w:rPr>
        <w:t xml:space="preserve"> </w:t>
      </w:r>
      <w:r>
        <w:rPr>
          <w:sz w:val="20"/>
        </w:rPr>
        <w:t>Health</w:t>
      </w:r>
      <w:r>
        <w:rPr>
          <w:spacing w:val="-5"/>
          <w:sz w:val="20"/>
        </w:rPr>
        <w:t xml:space="preserve"> </w:t>
      </w:r>
      <w:r>
        <w:rPr>
          <w:sz w:val="20"/>
        </w:rPr>
        <w:t xml:space="preserve">Promotion, Division of Adolescent and School Health. (2011). Youth Risk Behavior Surveillance System. Retrieved from </w:t>
      </w:r>
      <w:hyperlink r:id="rId430">
        <w:r>
          <w:rPr>
            <w:spacing w:val="-2"/>
            <w:sz w:val="20"/>
          </w:rPr>
          <w:t>http://www.cdc.gov/HealthyYouth/yrbs/index.htm.</w:t>
        </w:r>
      </w:hyperlink>
    </w:p>
    <w:p w:rsidR="00C76E6D" w:rsidRDefault="00913831">
      <w:pPr>
        <w:ind w:left="339" w:right="326" w:hanging="2"/>
        <w:rPr>
          <w:sz w:val="20"/>
        </w:rPr>
      </w:pPr>
      <w:bookmarkStart w:id="847" w:name="_bookmark597"/>
      <w:bookmarkEnd w:id="847"/>
      <w:r>
        <w:rPr>
          <w:sz w:val="20"/>
          <w:vertAlign w:val="superscript"/>
        </w:rPr>
        <w:t>7</w:t>
      </w:r>
      <w:r>
        <w:rPr>
          <w:spacing w:val="-4"/>
          <w:sz w:val="20"/>
        </w:rPr>
        <w:t xml:space="preserve"> </w:t>
      </w:r>
      <w:r>
        <w:rPr>
          <w:sz w:val="20"/>
        </w:rPr>
        <w:t>Valentine,</w:t>
      </w:r>
      <w:r>
        <w:rPr>
          <w:spacing w:val="-5"/>
          <w:sz w:val="20"/>
        </w:rPr>
        <w:t xml:space="preserve"> </w:t>
      </w:r>
      <w:r>
        <w:rPr>
          <w:sz w:val="20"/>
        </w:rPr>
        <w:t>S.</w:t>
      </w:r>
      <w:r>
        <w:rPr>
          <w:spacing w:val="-8"/>
          <w:sz w:val="20"/>
        </w:rPr>
        <w:t xml:space="preserve"> </w:t>
      </w:r>
      <w:r>
        <w:rPr>
          <w:sz w:val="20"/>
        </w:rPr>
        <w:t>E.,</w:t>
      </w:r>
      <w:r>
        <w:rPr>
          <w:spacing w:val="-4"/>
          <w:sz w:val="20"/>
        </w:rPr>
        <w:t xml:space="preserve"> </w:t>
      </w:r>
      <w:r>
        <w:rPr>
          <w:sz w:val="20"/>
        </w:rPr>
        <w:t>Shipherd,</w:t>
      </w:r>
      <w:r>
        <w:rPr>
          <w:spacing w:val="-4"/>
          <w:sz w:val="20"/>
        </w:rPr>
        <w:t xml:space="preserve"> </w:t>
      </w:r>
      <w:r>
        <w:rPr>
          <w:sz w:val="20"/>
        </w:rPr>
        <w:t>J.</w:t>
      </w:r>
      <w:r>
        <w:rPr>
          <w:spacing w:val="-8"/>
          <w:sz w:val="20"/>
        </w:rPr>
        <w:t xml:space="preserve"> </w:t>
      </w:r>
      <w:r>
        <w:rPr>
          <w:sz w:val="20"/>
        </w:rPr>
        <w:t>C.</w:t>
      </w:r>
      <w:r>
        <w:rPr>
          <w:spacing w:val="-5"/>
          <w:sz w:val="20"/>
        </w:rPr>
        <w:t xml:space="preserve"> </w:t>
      </w:r>
      <w:r>
        <w:rPr>
          <w:sz w:val="20"/>
        </w:rPr>
        <w:t>(2018).</w:t>
      </w:r>
      <w:r>
        <w:rPr>
          <w:spacing w:val="-6"/>
          <w:sz w:val="20"/>
        </w:rPr>
        <w:t xml:space="preserve"> </w:t>
      </w:r>
      <w:r>
        <w:rPr>
          <w:sz w:val="20"/>
        </w:rPr>
        <w:t>A</w:t>
      </w:r>
      <w:r>
        <w:rPr>
          <w:spacing w:val="-5"/>
          <w:sz w:val="20"/>
        </w:rPr>
        <w:t xml:space="preserve"> </w:t>
      </w:r>
      <w:r>
        <w:rPr>
          <w:sz w:val="20"/>
        </w:rPr>
        <w:t>systematic</w:t>
      </w:r>
      <w:r>
        <w:rPr>
          <w:spacing w:val="-4"/>
          <w:sz w:val="20"/>
        </w:rPr>
        <w:t xml:space="preserve"> </w:t>
      </w:r>
      <w:r>
        <w:rPr>
          <w:sz w:val="20"/>
        </w:rPr>
        <w:t>review</w:t>
      </w:r>
      <w:r>
        <w:rPr>
          <w:spacing w:val="-6"/>
          <w:sz w:val="20"/>
        </w:rPr>
        <w:t xml:space="preserve"> </w:t>
      </w:r>
      <w:r>
        <w:rPr>
          <w:sz w:val="20"/>
        </w:rPr>
        <w:t>of</w:t>
      </w:r>
      <w:r>
        <w:rPr>
          <w:spacing w:val="-4"/>
          <w:sz w:val="20"/>
        </w:rPr>
        <w:t xml:space="preserve"> </w:t>
      </w:r>
      <w:r>
        <w:rPr>
          <w:sz w:val="20"/>
        </w:rPr>
        <w:t>social</w:t>
      </w:r>
      <w:r>
        <w:rPr>
          <w:spacing w:val="-5"/>
          <w:sz w:val="20"/>
        </w:rPr>
        <w:t xml:space="preserve"> </w:t>
      </w:r>
      <w:r>
        <w:rPr>
          <w:sz w:val="20"/>
        </w:rPr>
        <w:t>stress</w:t>
      </w:r>
      <w:r>
        <w:rPr>
          <w:spacing w:val="-5"/>
          <w:sz w:val="20"/>
        </w:rPr>
        <w:t xml:space="preserve"> </w:t>
      </w:r>
      <w:r>
        <w:rPr>
          <w:sz w:val="20"/>
        </w:rPr>
        <w:t>and</w:t>
      </w:r>
      <w:r>
        <w:rPr>
          <w:spacing w:val="-4"/>
          <w:sz w:val="20"/>
        </w:rPr>
        <w:t xml:space="preserve"> </w:t>
      </w:r>
      <w:r>
        <w:rPr>
          <w:sz w:val="20"/>
        </w:rPr>
        <w:t>mental</w:t>
      </w:r>
      <w:r>
        <w:rPr>
          <w:spacing w:val="-7"/>
          <w:sz w:val="20"/>
        </w:rPr>
        <w:t xml:space="preserve"> </w:t>
      </w:r>
      <w:r>
        <w:rPr>
          <w:sz w:val="20"/>
        </w:rPr>
        <w:t>health</w:t>
      </w:r>
      <w:r>
        <w:rPr>
          <w:spacing w:val="-5"/>
          <w:sz w:val="20"/>
        </w:rPr>
        <w:t xml:space="preserve"> </w:t>
      </w:r>
      <w:r>
        <w:rPr>
          <w:sz w:val="20"/>
        </w:rPr>
        <w:t>among</w:t>
      </w:r>
      <w:r>
        <w:rPr>
          <w:spacing w:val="-5"/>
          <w:sz w:val="20"/>
        </w:rPr>
        <w:t xml:space="preserve"> </w:t>
      </w:r>
      <w:r>
        <w:rPr>
          <w:sz w:val="20"/>
        </w:rPr>
        <w:t>transgender</w:t>
      </w:r>
      <w:r>
        <w:rPr>
          <w:spacing w:val="-4"/>
          <w:sz w:val="20"/>
        </w:rPr>
        <w:t xml:space="preserve"> </w:t>
      </w:r>
      <w:r>
        <w:rPr>
          <w:sz w:val="20"/>
        </w:rPr>
        <w:t xml:space="preserve">and gender non-conforming people in the United States. Clinical Psychology Review. Chapin Hall at the University of </w:t>
      </w:r>
      <w:bookmarkStart w:id="848" w:name="_bookmark598"/>
      <w:bookmarkEnd w:id="848"/>
      <w:r>
        <w:rPr>
          <w:sz w:val="20"/>
        </w:rPr>
        <w:t>C</w:t>
      </w:r>
      <w:r>
        <w:rPr>
          <w:sz w:val="20"/>
        </w:rPr>
        <w:t>hicago. Retrieved from https://doi.org/10.1016/j.cpr.2018.03.003.</w:t>
      </w:r>
    </w:p>
    <w:p w:rsidR="00C76E6D" w:rsidRDefault="00913831">
      <w:pPr>
        <w:spacing w:line="244" w:lineRule="exact"/>
        <w:ind w:left="338"/>
        <w:rPr>
          <w:sz w:val="20"/>
        </w:rPr>
      </w:pPr>
      <w:r>
        <w:rPr>
          <w:spacing w:val="-2"/>
          <w:sz w:val="20"/>
          <w:vertAlign w:val="superscript"/>
        </w:rPr>
        <w:t>8</w:t>
      </w:r>
      <w:r>
        <w:rPr>
          <w:spacing w:val="6"/>
          <w:sz w:val="20"/>
        </w:rPr>
        <w:t xml:space="preserve"> </w:t>
      </w:r>
      <w:r>
        <w:rPr>
          <w:spacing w:val="-2"/>
          <w:sz w:val="20"/>
        </w:rPr>
        <w:t>Massachusetts</w:t>
      </w:r>
      <w:r>
        <w:rPr>
          <w:spacing w:val="7"/>
          <w:sz w:val="20"/>
        </w:rPr>
        <w:t xml:space="preserve"> </w:t>
      </w:r>
      <w:r>
        <w:rPr>
          <w:spacing w:val="-2"/>
          <w:sz w:val="20"/>
        </w:rPr>
        <w:t>Transgender</w:t>
      </w:r>
      <w:r>
        <w:rPr>
          <w:spacing w:val="3"/>
          <w:sz w:val="20"/>
        </w:rPr>
        <w:t xml:space="preserve"> </w:t>
      </w:r>
      <w:r>
        <w:rPr>
          <w:spacing w:val="-2"/>
          <w:sz w:val="20"/>
        </w:rPr>
        <w:t>Political</w:t>
      </w:r>
      <w:r>
        <w:rPr>
          <w:spacing w:val="6"/>
          <w:sz w:val="20"/>
        </w:rPr>
        <w:t xml:space="preserve"> </w:t>
      </w:r>
      <w:r>
        <w:rPr>
          <w:spacing w:val="-2"/>
          <w:sz w:val="20"/>
        </w:rPr>
        <w:t>Coalition.</w:t>
      </w:r>
      <w:r>
        <w:rPr>
          <w:spacing w:val="7"/>
          <w:sz w:val="20"/>
        </w:rPr>
        <w:t xml:space="preserve"> </w:t>
      </w:r>
      <w:r>
        <w:rPr>
          <w:spacing w:val="-2"/>
          <w:sz w:val="20"/>
        </w:rPr>
        <w:t>(2021).</w:t>
      </w:r>
      <w:r>
        <w:rPr>
          <w:spacing w:val="5"/>
          <w:sz w:val="20"/>
        </w:rPr>
        <w:t xml:space="preserve"> </w:t>
      </w:r>
      <w:r>
        <w:rPr>
          <w:spacing w:val="-2"/>
          <w:sz w:val="20"/>
        </w:rPr>
        <w:t>Suicide</w:t>
      </w:r>
      <w:r>
        <w:rPr>
          <w:spacing w:val="2"/>
          <w:sz w:val="20"/>
        </w:rPr>
        <w:t xml:space="preserve"> </w:t>
      </w:r>
      <w:r>
        <w:rPr>
          <w:spacing w:val="-2"/>
          <w:sz w:val="20"/>
        </w:rPr>
        <w:t>Awareness</w:t>
      </w:r>
      <w:r>
        <w:rPr>
          <w:spacing w:val="5"/>
          <w:sz w:val="20"/>
        </w:rPr>
        <w:t xml:space="preserve"> </w:t>
      </w:r>
      <w:r>
        <w:rPr>
          <w:spacing w:val="-2"/>
          <w:sz w:val="20"/>
        </w:rPr>
        <w:t>and</w:t>
      </w:r>
      <w:r>
        <w:rPr>
          <w:spacing w:val="6"/>
          <w:sz w:val="20"/>
        </w:rPr>
        <w:t xml:space="preserve"> </w:t>
      </w:r>
      <w:r>
        <w:rPr>
          <w:spacing w:val="-2"/>
          <w:sz w:val="20"/>
        </w:rPr>
        <w:t>Prevention</w:t>
      </w:r>
      <w:r>
        <w:rPr>
          <w:spacing w:val="5"/>
          <w:sz w:val="20"/>
        </w:rPr>
        <w:t xml:space="preserve"> </w:t>
      </w:r>
      <w:r>
        <w:rPr>
          <w:spacing w:val="-2"/>
          <w:sz w:val="20"/>
        </w:rPr>
        <w:t>Resources.</w:t>
      </w:r>
      <w:r>
        <w:rPr>
          <w:spacing w:val="1"/>
          <w:sz w:val="20"/>
        </w:rPr>
        <w:t xml:space="preserve"> </w:t>
      </w:r>
      <w:r>
        <w:rPr>
          <w:spacing w:val="-2"/>
          <w:sz w:val="20"/>
        </w:rPr>
        <w:t>Retrieved</w:t>
      </w:r>
      <w:r>
        <w:rPr>
          <w:spacing w:val="6"/>
          <w:sz w:val="20"/>
        </w:rPr>
        <w:t xml:space="preserve"> </w:t>
      </w:r>
      <w:r>
        <w:rPr>
          <w:spacing w:val="-4"/>
          <w:sz w:val="20"/>
        </w:rPr>
        <w:t>from</w:t>
      </w:r>
    </w:p>
    <w:p w:rsidR="00C76E6D" w:rsidRDefault="00C76E6D">
      <w:pPr>
        <w:spacing w:line="244" w:lineRule="exact"/>
        <w:rPr>
          <w:sz w:val="20"/>
        </w:rPr>
        <w:sectPr w:rsidR="00C76E6D">
          <w:pgSz w:w="12240" w:h="15840"/>
          <w:pgMar w:top="1020" w:right="960" w:bottom="640" w:left="960" w:header="832" w:footer="440" w:gutter="0"/>
          <w:cols w:space="720"/>
        </w:sectPr>
      </w:pPr>
    </w:p>
    <w:p w:rsidR="00C76E6D" w:rsidRDefault="00C76E6D">
      <w:pPr>
        <w:pStyle w:val="BodyText"/>
        <w:rPr>
          <w:sz w:val="20"/>
        </w:rPr>
      </w:pPr>
    </w:p>
    <w:p w:rsidR="00C76E6D" w:rsidRDefault="00C76E6D">
      <w:pPr>
        <w:pStyle w:val="BodyText"/>
        <w:spacing w:before="3"/>
        <w:rPr>
          <w:sz w:val="24"/>
        </w:rPr>
      </w:pPr>
    </w:p>
    <w:p w:rsidR="00C76E6D" w:rsidRDefault="00913831">
      <w:pPr>
        <w:spacing w:before="60" w:line="241" w:lineRule="exact"/>
        <w:ind w:left="338"/>
        <w:rPr>
          <w:sz w:val="20"/>
        </w:rPr>
      </w:pPr>
      <w:r>
        <w:rPr>
          <w:spacing w:val="-4"/>
          <w:sz w:val="20"/>
        </w:rPr>
        <w:t>https://</w:t>
      </w:r>
      <w:hyperlink r:id="rId431">
        <w:r>
          <w:rPr>
            <w:spacing w:val="-4"/>
            <w:sz w:val="20"/>
          </w:rPr>
          <w:t>www.masstpc.org/suicide-</w:t>
        </w:r>
        <w:r>
          <w:rPr>
            <w:spacing w:val="-2"/>
            <w:sz w:val="20"/>
          </w:rPr>
          <w:t>prevention/.</w:t>
        </w:r>
      </w:hyperlink>
    </w:p>
    <w:p w:rsidR="00C76E6D" w:rsidRDefault="00913831">
      <w:pPr>
        <w:ind w:left="339" w:right="2039" w:hanging="2"/>
        <w:rPr>
          <w:sz w:val="20"/>
        </w:rPr>
      </w:pPr>
      <w:bookmarkStart w:id="849" w:name="_bookmark599"/>
      <w:bookmarkEnd w:id="849"/>
      <w:r>
        <w:rPr>
          <w:sz w:val="20"/>
          <w:vertAlign w:val="superscript"/>
        </w:rPr>
        <w:t>9</w:t>
      </w:r>
      <w:r>
        <w:rPr>
          <w:spacing w:val="-5"/>
          <w:sz w:val="20"/>
        </w:rPr>
        <w:t xml:space="preserve"> </w:t>
      </w:r>
      <w:r>
        <w:rPr>
          <w:sz w:val="20"/>
        </w:rPr>
        <w:t>The</w:t>
      </w:r>
      <w:r>
        <w:rPr>
          <w:spacing w:val="-5"/>
          <w:sz w:val="20"/>
        </w:rPr>
        <w:t xml:space="preserve"> </w:t>
      </w:r>
      <w:r>
        <w:rPr>
          <w:sz w:val="20"/>
        </w:rPr>
        <w:t>Trevor</w:t>
      </w:r>
      <w:r>
        <w:rPr>
          <w:spacing w:val="-5"/>
          <w:sz w:val="20"/>
        </w:rPr>
        <w:t xml:space="preserve"> </w:t>
      </w:r>
      <w:r>
        <w:rPr>
          <w:sz w:val="20"/>
        </w:rPr>
        <w:t>Project.</w:t>
      </w:r>
      <w:r>
        <w:rPr>
          <w:spacing w:val="-5"/>
          <w:sz w:val="20"/>
        </w:rPr>
        <w:t xml:space="preserve"> </w:t>
      </w:r>
      <w:r>
        <w:rPr>
          <w:sz w:val="20"/>
        </w:rPr>
        <w:t>(2020).</w:t>
      </w:r>
      <w:r>
        <w:rPr>
          <w:spacing w:val="-8"/>
          <w:sz w:val="20"/>
        </w:rPr>
        <w:t xml:space="preserve"> </w:t>
      </w:r>
      <w:r>
        <w:rPr>
          <w:sz w:val="20"/>
        </w:rPr>
        <w:t>National</w:t>
      </w:r>
      <w:r>
        <w:rPr>
          <w:spacing w:val="-7"/>
          <w:sz w:val="20"/>
        </w:rPr>
        <w:t xml:space="preserve"> </w:t>
      </w:r>
      <w:r>
        <w:rPr>
          <w:sz w:val="20"/>
        </w:rPr>
        <w:t>Survey</w:t>
      </w:r>
      <w:r>
        <w:rPr>
          <w:spacing w:val="-5"/>
          <w:sz w:val="20"/>
        </w:rPr>
        <w:t xml:space="preserve"> </w:t>
      </w:r>
      <w:r>
        <w:rPr>
          <w:sz w:val="20"/>
        </w:rPr>
        <w:t>on</w:t>
      </w:r>
      <w:r>
        <w:rPr>
          <w:spacing w:val="-5"/>
          <w:sz w:val="20"/>
        </w:rPr>
        <w:t xml:space="preserve"> </w:t>
      </w:r>
      <w:r>
        <w:rPr>
          <w:sz w:val="20"/>
        </w:rPr>
        <w:t>LGBTQ</w:t>
      </w:r>
      <w:r>
        <w:rPr>
          <w:spacing w:val="-6"/>
          <w:sz w:val="20"/>
        </w:rPr>
        <w:t xml:space="preserve"> </w:t>
      </w:r>
      <w:r>
        <w:rPr>
          <w:sz w:val="20"/>
        </w:rPr>
        <w:t>Youth</w:t>
      </w:r>
      <w:r>
        <w:rPr>
          <w:spacing w:val="-5"/>
          <w:sz w:val="20"/>
        </w:rPr>
        <w:t xml:space="preserve"> </w:t>
      </w:r>
      <w:r>
        <w:rPr>
          <w:sz w:val="20"/>
        </w:rPr>
        <w:t>Mental</w:t>
      </w:r>
      <w:r>
        <w:rPr>
          <w:spacing w:val="-5"/>
          <w:sz w:val="20"/>
        </w:rPr>
        <w:t xml:space="preserve"> </w:t>
      </w:r>
      <w:r>
        <w:rPr>
          <w:sz w:val="20"/>
        </w:rPr>
        <w:t>Health</w:t>
      </w:r>
      <w:r>
        <w:rPr>
          <w:spacing w:val="-5"/>
          <w:sz w:val="20"/>
        </w:rPr>
        <w:t xml:space="preserve"> </w:t>
      </w:r>
      <w:r>
        <w:rPr>
          <w:sz w:val="20"/>
        </w:rPr>
        <w:t>2020.</w:t>
      </w:r>
      <w:r>
        <w:rPr>
          <w:spacing w:val="-6"/>
          <w:sz w:val="20"/>
        </w:rPr>
        <w:t xml:space="preserve"> </w:t>
      </w:r>
      <w:r>
        <w:rPr>
          <w:sz w:val="20"/>
        </w:rPr>
        <w:t>Retrieved</w:t>
      </w:r>
      <w:r>
        <w:rPr>
          <w:spacing w:val="-5"/>
          <w:sz w:val="20"/>
        </w:rPr>
        <w:t xml:space="preserve"> </w:t>
      </w:r>
      <w:r>
        <w:rPr>
          <w:sz w:val="20"/>
        </w:rPr>
        <w:t xml:space="preserve">from </w:t>
      </w:r>
      <w:r>
        <w:rPr>
          <w:spacing w:val="-2"/>
          <w:sz w:val="20"/>
        </w:rPr>
        <w:t>https://</w:t>
      </w:r>
      <w:hyperlink r:id="rId432">
        <w:r>
          <w:rPr>
            <w:spacing w:val="-2"/>
            <w:sz w:val="20"/>
          </w:rPr>
          <w:t>www.thetrevorproject.org/survey-2020/.</w:t>
        </w:r>
      </w:hyperlink>
    </w:p>
    <w:p w:rsidR="00C76E6D" w:rsidRDefault="00913831">
      <w:pPr>
        <w:ind w:left="339" w:right="655" w:hanging="2"/>
        <w:jc w:val="both"/>
        <w:rPr>
          <w:sz w:val="20"/>
        </w:rPr>
      </w:pPr>
      <w:bookmarkStart w:id="850" w:name="_bookmark600"/>
      <w:bookmarkEnd w:id="850"/>
      <w:r>
        <w:rPr>
          <w:sz w:val="20"/>
          <w:vertAlign w:val="superscript"/>
        </w:rPr>
        <w:t>10</w:t>
      </w:r>
      <w:r>
        <w:rPr>
          <w:spacing w:val="-3"/>
          <w:sz w:val="20"/>
        </w:rPr>
        <w:t xml:space="preserve"> </w:t>
      </w:r>
      <w:r>
        <w:rPr>
          <w:sz w:val="20"/>
        </w:rPr>
        <w:t>Executive</w:t>
      </w:r>
      <w:r>
        <w:rPr>
          <w:spacing w:val="-3"/>
          <w:sz w:val="20"/>
        </w:rPr>
        <w:t xml:space="preserve"> </w:t>
      </w:r>
      <w:r>
        <w:rPr>
          <w:sz w:val="20"/>
        </w:rPr>
        <w:t>Office</w:t>
      </w:r>
      <w:r>
        <w:rPr>
          <w:spacing w:val="-3"/>
          <w:sz w:val="20"/>
        </w:rPr>
        <w:t xml:space="preserve"> </w:t>
      </w:r>
      <w:r>
        <w:rPr>
          <w:sz w:val="20"/>
        </w:rPr>
        <w:t>of</w:t>
      </w:r>
      <w:r>
        <w:rPr>
          <w:spacing w:val="-3"/>
          <w:sz w:val="20"/>
        </w:rPr>
        <w:t xml:space="preserve"> </w:t>
      </w:r>
      <w:r>
        <w:rPr>
          <w:sz w:val="20"/>
        </w:rPr>
        <w:t>Health</w:t>
      </w:r>
      <w:r>
        <w:rPr>
          <w:spacing w:val="-3"/>
          <w:sz w:val="20"/>
        </w:rPr>
        <w:t xml:space="preserve"> </w:t>
      </w:r>
      <w:r>
        <w:rPr>
          <w:sz w:val="20"/>
        </w:rPr>
        <w:t>and</w:t>
      </w:r>
      <w:r>
        <w:rPr>
          <w:spacing w:val="-3"/>
          <w:sz w:val="20"/>
        </w:rPr>
        <w:t xml:space="preserve"> </w:t>
      </w:r>
      <w:r>
        <w:rPr>
          <w:sz w:val="20"/>
        </w:rPr>
        <w:t>Human</w:t>
      </w:r>
      <w:r>
        <w:rPr>
          <w:spacing w:val="-3"/>
          <w:sz w:val="20"/>
        </w:rPr>
        <w:t xml:space="preserve"> </w:t>
      </w:r>
      <w:r>
        <w:rPr>
          <w:sz w:val="20"/>
        </w:rPr>
        <w:t>Services,</w:t>
      </w:r>
      <w:r>
        <w:rPr>
          <w:spacing w:val="-2"/>
          <w:sz w:val="20"/>
        </w:rPr>
        <w:t xml:space="preserve"> </w:t>
      </w:r>
      <w:r>
        <w:rPr>
          <w:sz w:val="20"/>
        </w:rPr>
        <w:t>“MassHealth</w:t>
      </w:r>
      <w:r>
        <w:rPr>
          <w:spacing w:val="-3"/>
          <w:sz w:val="20"/>
        </w:rPr>
        <w:t xml:space="preserve"> </w:t>
      </w:r>
      <w:r>
        <w:rPr>
          <w:sz w:val="20"/>
        </w:rPr>
        <w:t>Guidelines</w:t>
      </w:r>
      <w:r>
        <w:rPr>
          <w:spacing w:val="-4"/>
          <w:sz w:val="20"/>
        </w:rPr>
        <w:t xml:space="preserve"> </w:t>
      </w:r>
      <w:r>
        <w:rPr>
          <w:sz w:val="20"/>
        </w:rPr>
        <w:t>for</w:t>
      </w:r>
      <w:r>
        <w:rPr>
          <w:spacing w:val="-3"/>
          <w:sz w:val="20"/>
        </w:rPr>
        <w:t xml:space="preserve"> </w:t>
      </w:r>
      <w:r>
        <w:rPr>
          <w:sz w:val="20"/>
        </w:rPr>
        <w:t>Medical</w:t>
      </w:r>
      <w:r>
        <w:rPr>
          <w:spacing w:val="-3"/>
          <w:sz w:val="20"/>
        </w:rPr>
        <w:t xml:space="preserve"> </w:t>
      </w:r>
      <w:r>
        <w:rPr>
          <w:sz w:val="20"/>
        </w:rPr>
        <w:t>Necessity</w:t>
      </w:r>
      <w:r>
        <w:rPr>
          <w:spacing w:val="-2"/>
          <w:sz w:val="20"/>
        </w:rPr>
        <w:t xml:space="preserve"> </w:t>
      </w:r>
      <w:r>
        <w:rPr>
          <w:sz w:val="20"/>
        </w:rPr>
        <w:t>Determination</w:t>
      </w:r>
      <w:r>
        <w:rPr>
          <w:spacing w:val="-3"/>
          <w:sz w:val="20"/>
        </w:rPr>
        <w:t xml:space="preserve"> </w:t>
      </w:r>
      <w:r>
        <w:rPr>
          <w:sz w:val="20"/>
        </w:rPr>
        <w:t>for Gender</w:t>
      </w:r>
      <w:r>
        <w:rPr>
          <w:spacing w:val="-4"/>
          <w:sz w:val="20"/>
        </w:rPr>
        <w:t xml:space="preserve"> </w:t>
      </w:r>
      <w:r>
        <w:rPr>
          <w:sz w:val="20"/>
        </w:rPr>
        <w:t>Affirming</w:t>
      </w:r>
      <w:r>
        <w:rPr>
          <w:spacing w:val="-4"/>
          <w:sz w:val="20"/>
        </w:rPr>
        <w:t xml:space="preserve"> </w:t>
      </w:r>
      <w:r>
        <w:rPr>
          <w:sz w:val="20"/>
        </w:rPr>
        <w:t>Surgery</w:t>
      </w:r>
      <w:r>
        <w:rPr>
          <w:spacing w:val="-3"/>
          <w:sz w:val="20"/>
        </w:rPr>
        <w:t xml:space="preserve"> </w:t>
      </w:r>
      <w:r>
        <w:rPr>
          <w:sz w:val="20"/>
        </w:rPr>
        <w:t>|</w:t>
      </w:r>
      <w:r>
        <w:rPr>
          <w:spacing w:val="-5"/>
          <w:sz w:val="20"/>
        </w:rPr>
        <w:t xml:space="preserve"> </w:t>
      </w:r>
      <w:r>
        <w:rPr>
          <w:sz w:val="20"/>
        </w:rPr>
        <w:t>Mass.Gov,”</w:t>
      </w:r>
      <w:r>
        <w:rPr>
          <w:spacing w:val="-3"/>
          <w:sz w:val="20"/>
        </w:rPr>
        <w:t xml:space="preserve"> </w:t>
      </w:r>
      <w:r>
        <w:rPr>
          <w:sz w:val="20"/>
        </w:rPr>
        <w:t>Mass.gov,</w:t>
      </w:r>
      <w:r>
        <w:rPr>
          <w:spacing w:val="-3"/>
          <w:sz w:val="20"/>
        </w:rPr>
        <w:t xml:space="preserve"> </w:t>
      </w:r>
      <w:r>
        <w:rPr>
          <w:sz w:val="20"/>
        </w:rPr>
        <w:t>2021,</w:t>
      </w:r>
      <w:r>
        <w:rPr>
          <w:spacing w:val="-3"/>
          <w:sz w:val="20"/>
        </w:rPr>
        <w:t xml:space="preserve"> </w:t>
      </w:r>
      <w:r>
        <w:rPr>
          <w:sz w:val="20"/>
        </w:rPr>
        <w:t>https://</w:t>
      </w:r>
      <w:hyperlink r:id="rId433">
        <w:r>
          <w:rPr>
            <w:sz w:val="20"/>
          </w:rPr>
          <w:t>www.mass.gov/guides/masshealth-guidelines-for-</w:t>
        </w:r>
      </w:hyperlink>
      <w:r>
        <w:rPr>
          <w:sz w:val="20"/>
        </w:rPr>
        <w:t xml:space="preserve"> </w:t>
      </w:r>
      <w:r>
        <w:rPr>
          <w:spacing w:val="-2"/>
          <w:sz w:val="20"/>
        </w:rPr>
        <w:t>medical-necessity-determination-for-gender-affirming-surgery.</w:t>
      </w:r>
    </w:p>
    <w:p w:rsidR="00C76E6D" w:rsidRDefault="00913831">
      <w:pPr>
        <w:ind w:left="339" w:right="759" w:hanging="1"/>
        <w:jc w:val="both"/>
        <w:rPr>
          <w:sz w:val="20"/>
        </w:rPr>
      </w:pPr>
      <w:bookmarkStart w:id="851" w:name="_bookmark601"/>
      <w:bookmarkEnd w:id="851"/>
      <w:r>
        <w:rPr>
          <w:sz w:val="20"/>
          <w:vertAlign w:val="superscript"/>
        </w:rPr>
        <w:t>11</w:t>
      </w:r>
      <w:r>
        <w:rPr>
          <w:spacing w:val="-3"/>
          <w:sz w:val="20"/>
        </w:rPr>
        <w:t xml:space="preserve"> </w:t>
      </w:r>
      <w:r>
        <w:rPr>
          <w:sz w:val="20"/>
        </w:rPr>
        <w:t>Executive</w:t>
      </w:r>
      <w:r>
        <w:rPr>
          <w:spacing w:val="-3"/>
          <w:sz w:val="20"/>
        </w:rPr>
        <w:t xml:space="preserve"> </w:t>
      </w:r>
      <w:r>
        <w:rPr>
          <w:sz w:val="20"/>
        </w:rPr>
        <w:t>Office</w:t>
      </w:r>
      <w:r>
        <w:rPr>
          <w:spacing w:val="-3"/>
          <w:sz w:val="20"/>
        </w:rPr>
        <w:t xml:space="preserve"> </w:t>
      </w:r>
      <w:r>
        <w:rPr>
          <w:sz w:val="20"/>
        </w:rPr>
        <w:t>of</w:t>
      </w:r>
      <w:r>
        <w:rPr>
          <w:spacing w:val="-3"/>
          <w:sz w:val="20"/>
        </w:rPr>
        <w:t xml:space="preserve"> </w:t>
      </w:r>
      <w:r>
        <w:rPr>
          <w:sz w:val="20"/>
        </w:rPr>
        <w:t>Health</w:t>
      </w:r>
      <w:r>
        <w:rPr>
          <w:spacing w:val="-3"/>
          <w:sz w:val="20"/>
        </w:rPr>
        <w:t xml:space="preserve"> </w:t>
      </w:r>
      <w:r>
        <w:rPr>
          <w:sz w:val="20"/>
        </w:rPr>
        <w:t>and</w:t>
      </w:r>
      <w:r>
        <w:rPr>
          <w:spacing w:val="-3"/>
          <w:sz w:val="20"/>
        </w:rPr>
        <w:t xml:space="preserve"> </w:t>
      </w:r>
      <w:r>
        <w:rPr>
          <w:sz w:val="20"/>
        </w:rPr>
        <w:t>Human</w:t>
      </w:r>
      <w:r>
        <w:rPr>
          <w:spacing w:val="-4"/>
          <w:sz w:val="20"/>
        </w:rPr>
        <w:t xml:space="preserve"> </w:t>
      </w:r>
      <w:r>
        <w:rPr>
          <w:sz w:val="20"/>
        </w:rPr>
        <w:t>Services,</w:t>
      </w:r>
      <w:r>
        <w:rPr>
          <w:spacing w:val="-2"/>
          <w:sz w:val="20"/>
        </w:rPr>
        <w:t xml:space="preserve"> </w:t>
      </w:r>
      <w:r>
        <w:rPr>
          <w:sz w:val="20"/>
        </w:rPr>
        <w:t>“Gender-Affirming</w:t>
      </w:r>
      <w:r>
        <w:rPr>
          <w:spacing w:val="-2"/>
          <w:sz w:val="20"/>
        </w:rPr>
        <w:t xml:space="preserve"> </w:t>
      </w:r>
      <w:r>
        <w:rPr>
          <w:sz w:val="20"/>
        </w:rPr>
        <w:t>Care</w:t>
      </w:r>
      <w:r>
        <w:rPr>
          <w:spacing w:val="-3"/>
          <w:sz w:val="20"/>
        </w:rPr>
        <w:t xml:space="preserve"> </w:t>
      </w:r>
      <w:r>
        <w:rPr>
          <w:sz w:val="20"/>
        </w:rPr>
        <w:t>for</w:t>
      </w:r>
      <w:r>
        <w:rPr>
          <w:spacing w:val="-3"/>
          <w:sz w:val="20"/>
        </w:rPr>
        <w:t xml:space="preserve"> </w:t>
      </w:r>
      <w:r>
        <w:rPr>
          <w:sz w:val="20"/>
        </w:rPr>
        <w:t>MassHealth</w:t>
      </w:r>
      <w:r>
        <w:rPr>
          <w:spacing w:val="-4"/>
          <w:sz w:val="20"/>
        </w:rPr>
        <w:t xml:space="preserve"> </w:t>
      </w:r>
      <w:r>
        <w:rPr>
          <w:sz w:val="20"/>
        </w:rPr>
        <w:t>Members</w:t>
      </w:r>
      <w:r>
        <w:rPr>
          <w:spacing w:val="-4"/>
          <w:sz w:val="20"/>
        </w:rPr>
        <w:t xml:space="preserve"> </w:t>
      </w:r>
      <w:r>
        <w:rPr>
          <w:sz w:val="20"/>
        </w:rPr>
        <w:t>|</w:t>
      </w:r>
      <w:r>
        <w:rPr>
          <w:spacing w:val="-5"/>
          <w:sz w:val="20"/>
        </w:rPr>
        <w:t xml:space="preserve"> </w:t>
      </w:r>
      <w:r>
        <w:rPr>
          <w:sz w:val="20"/>
        </w:rPr>
        <w:t>Mass.Gov,” Mass.gov, 2021, https://</w:t>
      </w:r>
      <w:hyperlink r:id="rId434">
        <w:r>
          <w:rPr>
            <w:sz w:val="20"/>
          </w:rPr>
          <w:t>www.mass.gov/gender-affirming-care-for-masshealth-members.</w:t>
        </w:r>
      </w:hyperlink>
    </w:p>
    <w:p w:rsidR="00C76E6D" w:rsidRDefault="00C76E6D">
      <w:pPr>
        <w:jc w:val="both"/>
        <w:rPr>
          <w:sz w:val="20"/>
        </w:rPr>
        <w:sectPr w:rsidR="00C76E6D">
          <w:pgSz w:w="12240" w:h="15840"/>
          <w:pgMar w:top="1020" w:right="960" w:bottom="640" w:left="960" w:header="832" w:footer="440" w:gutter="0"/>
          <w:cols w:space="720"/>
        </w:sectPr>
      </w:pPr>
    </w:p>
    <w:p w:rsidR="00C76E6D" w:rsidRDefault="00C76E6D">
      <w:pPr>
        <w:pStyle w:val="BodyText"/>
        <w:spacing w:before="3"/>
        <w:rPr>
          <w:sz w:val="24"/>
        </w:rPr>
      </w:pPr>
    </w:p>
    <w:p w:rsidR="00C76E6D" w:rsidRDefault="00913831">
      <w:pPr>
        <w:pStyle w:val="Heading2"/>
        <w:spacing w:before="35"/>
      </w:pPr>
      <w:bookmarkStart w:id="852" w:name="Office_for_Refugees_and_Immigrants"/>
      <w:bookmarkStart w:id="853" w:name="_bookmark602"/>
      <w:bookmarkEnd w:id="852"/>
      <w:bookmarkEnd w:id="853"/>
      <w:r>
        <w:t>Office</w:t>
      </w:r>
      <w:r>
        <w:rPr>
          <w:spacing w:val="-8"/>
        </w:rPr>
        <w:t xml:space="preserve"> </w:t>
      </w:r>
      <w:r>
        <w:t>for</w:t>
      </w:r>
      <w:r>
        <w:rPr>
          <w:spacing w:val="-7"/>
        </w:rPr>
        <w:t xml:space="preserve"> </w:t>
      </w:r>
      <w:r>
        <w:t>Refugees</w:t>
      </w:r>
      <w:r>
        <w:rPr>
          <w:spacing w:val="-7"/>
        </w:rPr>
        <w:t xml:space="preserve"> </w:t>
      </w:r>
      <w:r>
        <w:t>and</w:t>
      </w:r>
      <w:r>
        <w:rPr>
          <w:spacing w:val="-7"/>
        </w:rPr>
        <w:t xml:space="preserve"> </w:t>
      </w:r>
      <w:r>
        <w:rPr>
          <w:spacing w:val="-2"/>
        </w:rPr>
        <w:t>Immigrants</w:t>
      </w:r>
    </w:p>
    <w:p w:rsidR="00C76E6D" w:rsidRDefault="00913831">
      <w:pPr>
        <w:pStyle w:val="BodyText"/>
        <w:rPr>
          <w:b/>
          <w:sz w:val="12"/>
        </w:rPr>
      </w:pPr>
      <w:r>
        <w:pict>
          <v:shape id="docshape421" o:spid="_x0000_s1072" style="position:absolute;margin-left:65pt;margin-top:8.55pt;width:476.95pt;height:.1pt;z-index:-15641088;mso-wrap-distance-left:0;mso-wrap-distance-right:0;mso-position-horizontal-relative:page" coordorigin="1300,171" coordsize="9539,0" path="m1300,171r9539,e" filled="f" strokeweight="1.54pt">
            <v:path arrowok="t"/>
            <w10:wrap type="topAndBottom" anchorx="page"/>
          </v:shape>
        </w:pict>
      </w:r>
    </w:p>
    <w:p w:rsidR="00C76E6D" w:rsidRDefault="00913831">
      <w:pPr>
        <w:pStyle w:val="Heading5"/>
        <w:spacing w:before="182"/>
      </w:pPr>
      <w:r>
        <w:rPr>
          <w:spacing w:val="-2"/>
        </w:rPr>
        <w:t>FY2023</w:t>
      </w:r>
      <w:r>
        <w:rPr>
          <w:spacing w:val="-4"/>
        </w:rPr>
        <w:t xml:space="preserve"> </w:t>
      </w:r>
      <w:r>
        <w:rPr>
          <w:spacing w:val="-2"/>
        </w:rPr>
        <w:t>Recommendations</w:t>
      </w:r>
    </w:p>
    <w:p w:rsidR="00C76E6D" w:rsidRDefault="00C76E6D">
      <w:pPr>
        <w:pStyle w:val="BodyText"/>
        <w:rPr>
          <w:b/>
          <w:sz w:val="29"/>
        </w:rPr>
      </w:pPr>
    </w:p>
    <w:p w:rsidR="00C76E6D" w:rsidRDefault="00913831">
      <w:pPr>
        <w:pStyle w:val="ListParagraph"/>
        <w:numPr>
          <w:ilvl w:val="1"/>
          <w:numId w:val="9"/>
        </w:numPr>
        <w:tabs>
          <w:tab w:val="left" w:pos="862"/>
        </w:tabs>
        <w:spacing w:line="276" w:lineRule="auto"/>
        <w:ind w:right="570" w:firstLine="0"/>
      </w:pPr>
      <w:r>
        <w:t>Implement</w:t>
      </w:r>
      <w:r>
        <w:rPr>
          <w:spacing w:val="-4"/>
        </w:rPr>
        <w:t xml:space="preserve"> </w:t>
      </w:r>
      <w:r>
        <w:t>ORI’s</w:t>
      </w:r>
      <w:r>
        <w:rPr>
          <w:spacing w:val="-4"/>
        </w:rPr>
        <w:t xml:space="preserve"> </w:t>
      </w:r>
      <w:r>
        <w:t>new</w:t>
      </w:r>
      <w:r>
        <w:rPr>
          <w:spacing w:val="-3"/>
        </w:rPr>
        <w:t xml:space="preserve"> </w:t>
      </w:r>
      <w:r>
        <w:t>LGBTQ</w:t>
      </w:r>
      <w:r>
        <w:rPr>
          <w:spacing w:val="-4"/>
        </w:rPr>
        <w:t xml:space="preserve"> </w:t>
      </w:r>
      <w:r>
        <w:t>nondiscrimination</w:t>
      </w:r>
      <w:r>
        <w:rPr>
          <w:spacing w:val="-3"/>
        </w:rPr>
        <w:t xml:space="preserve"> </w:t>
      </w:r>
      <w:r>
        <w:t>policy</w:t>
      </w:r>
      <w:r>
        <w:rPr>
          <w:spacing w:val="-4"/>
        </w:rPr>
        <w:t xml:space="preserve"> </w:t>
      </w:r>
      <w:r>
        <w:t>and</w:t>
      </w:r>
      <w:r>
        <w:rPr>
          <w:spacing w:val="-3"/>
        </w:rPr>
        <w:t xml:space="preserve"> </w:t>
      </w:r>
      <w:r>
        <w:t>best</w:t>
      </w:r>
      <w:r>
        <w:rPr>
          <w:spacing w:val="-3"/>
        </w:rPr>
        <w:t xml:space="preserve"> </w:t>
      </w:r>
      <w:r>
        <w:t>practices,</w:t>
      </w:r>
      <w:r>
        <w:rPr>
          <w:spacing w:val="-4"/>
        </w:rPr>
        <w:t xml:space="preserve"> </w:t>
      </w:r>
      <w:r>
        <w:t>and</w:t>
      </w:r>
      <w:r>
        <w:rPr>
          <w:spacing w:val="-3"/>
        </w:rPr>
        <w:t xml:space="preserve"> </w:t>
      </w:r>
      <w:r>
        <w:t>add</w:t>
      </w:r>
      <w:r>
        <w:rPr>
          <w:spacing w:val="-4"/>
        </w:rPr>
        <w:t xml:space="preserve"> </w:t>
      </w:r>
      <w:r>
        <w:t>to</w:t>
      </w:r>
      <w:r>
        <w:rPr>
          <w:spacing w:val="-2"/>
        </w:rPr>
        <w:t xml:space="preserve"> </w:t>
      </w:r>
      <w:r>
        <w:t>ORI’s</w:t>
      </w:r>
      <w:r>
        <w:rPr>
          <w:spacing w:val="-4"/>
        </w:rPr>
        <w:t xml:space="preserve"> </w:t>
      </w:r>
      <w:r>
        <w:t xml:space="preserve">provider </w:t>
      </w:r>
      <w:r>
        <w:rPr>
          <w:spacing w:val="-2"/>
        </w:rPr>
        <w:t>manual.</w:t>
      </w:r>
    </w:p>
    <w:p w:rsidR="00C76E6D" w:rsidRDefault="00C76E6D">
      <w:pPr>
        <w:pStyle w:val="BodyText"/>
        <w:spacing w:before="6"/>
        <w:rPr>
          <w:sz w:val="25"/>
        </w:rPr>
      </w:pPr>
    </w:p>
    <w:p w:rsidR="00C76E6D" w:rsidRDefault="00913831">
      <w:pPr>
        <w:pStyle w:val="ListParagraph"/>
        <w:numPr>
          <w:ilvl w:val="1"/>
          <w:numId w:val="9"/>
        </w:numPr>
        <w:tabs>
          <w:tab w:val="left" w:pos="843"/>
        </w:tabs>
        <w:ind w:left="842" w:hanging="217"/>
      </w:pPr>
      <w:r>
        <w:rPr>
          <w:w w:val="95"/>
        </w:rPr>
        <w:t>Ensure</w:t>
      </w:r>
      <w:r>
        <w:rPr>
          <w:spacing w:val="11"/>
        </w:rPr>
        <w:t xml:space="preserve"> </w:t>
      </w:r>
      <w:r>
        <w:rPr>
          <w:w w:val="95"/>
        </w:rPr>
        <w:t>that</w:t>
      </w:r>
      <w:r>
        <w:rPr>
          <w:spacing w:val="12"/>
        </w:rPr>
        <w:t xml:space="preserve"> </w:t>
      </w:r>
      <w:r>
        <w:rPr>
          <w:w w:val="95"/>
        </w:rPr>
        <w:t>all</w:t>
      </w:r>
      <w:r>
        <w:rPr>
          <w:spacing w:val="14"/>
        </w:rPr>
        <w:t xml:space="preserve"> </w:t>
      </w:r>
      <w:r>
        <w:rPr>
          <w:w w:val="95"/>
        </w:rPr>
        <w:t>ORI</w:t>
      </w:r>
      <w:r>
        <w:rPr>
          <w:spacing w:val="13"/>
        </w:rPr>
        <w:t xml:space="preserve"> </w:t>
      </w:r>
      <w:r>
        <w:rPr>
          <w:w w:val="95"/>
        </w:rPr>
        <w:t>service</w:t>
      </w:r>
      <w:r>
        <w:rPr>
          <w:spacing w:val="15"/>
        </w:rPr>
        <w:t xml:space="preserve"> </w:t>
      </w:r>
      <w:r>
        <w:rPr>
          <w:w w:val="95"/>
        </w:rPr>
        <w:t>providers</w:t>
      </w:r>
      <w:r>
        <w:rPr>
          <w:spacing w:val="15"/>
        </w:rPr>
        <w:t xml:space="preserve"> </w:t>
      </w:r>
      <w:r>
        <w:rPr>
          <w:w w:val="95"/>
        </w:rPr>
        <w:t>have</w:t>
      </w:r>
      <w:r>
        <w:rPr>
          <w:spacing w:val="11"/>
        </w:rPr>
        <w:t xml:space="preserve"> </w:t>
      </w:r>
      <w:r>
        <w:rPr>
          <w:w w:val="95"/>
        </w:rPr>
        <w:t>information</w:t>
      </w:r>
      <w:r>
        <w:rPr>
          <w:spacing w:val="14"/>
        </w:rPr>
        <w:t xml:space="preserve"> </w:t>
      </w:r>
      <w:r>
        <w:rPr>
          <w:w w:val="95"/>
        </w:rPr>
        <w:t>on</w:t>
      </w:r>
      <w:r>
        <w:rPr>
          <w:spacing w:val="13"/>
        </w:rPr>
        <w:t xml:space="preserve"> </w:t>
      </w:r>
      <w:r>
        <w:rPr>
          <w:w w:val="95"/>
        </w:rPr>
        <w:t>LGBTQ</w:t>
      </w:r>
      <w:r>
        <w:rPr>
          <w:spacing w:val="12"/>
        </w:rPr>
        <w:t xml:space="preserve"> </w:t>
      </w:r>
      <w:r>
        <w:rPr>
          <w:w w:val="95"/>
        </w:rPr>
        <w:t>resources</w:t>
      </w:r>
      <w:r>
        <w:rPr>
          <w:spacing w:val="12"/>
        </w:rPr>
        <w:t xml:space="preserve"> </w:t>
      </w:r>
      <w:r>
        <w:rPr>
          <w:w w:val="95"/>
        </w:rPr>
        <w:t>available</w:t>
      </w:r>
      <w:r>
        <w:rPr>
          <w:spacing w:val="10"/>
        </w:rPr>
        <w:t xml:space="preserve"> </w:t>
      </w:r>
      <w:r>
        <w:rPr>
          <w:w w:val="95"/>
        </w:rPr>
        <w:t>on</w:t>
      </w:r>
      <w:r>
        <w:rPr>
          <w:spacing w:val="13"/>
        </w:rPr>
        <w:t xml:space="preserve"> </w:t>
      </w:r>
      <w:r>
        <w:rPr>
          <w:spacing w:val="-2"/>
          <w:w w:val="95"/>
        </w:rPr>
        <w:t>site.</w:t>
      </w:r>
    </w:p>
    <w:p w:rsidR="00C76E6D" w:rsidRDefault="00C76E6D">
      <w:pPr>
        <w:pStyle w:val="BodyText"/>
        <w:spacing w:before="8"/>
        <w:rPr>
          <w:sz w:val="28"/>
        </w:rPr>
      </w:pPr>
    </w:p>
    <w:p w:rsidR="00C76E6D" w:rsidRDefault="00913831">
      <w:pPr>
        <w:pStyle w:val="ListParagraph"/>
        <w:numPr>
          <w:ilvl w:val="1"/>
          <w:numId w:val="9"/>
        </w:numPr>
        <w:tabs>
          <w:tab w:val="left" w:pos="838"/>
        </w:tabs>
        <w:spacing w:line="276" w:lineRule="auto"/>
        <w:ind w:right="385" w:firstLine="0"/>
      </w:pPr>
      <w:r>
        <w:t>Continue</w:t>
      </w:r>
      <w:r>
        <w:rPr>
          <w:spacing w:val="-13"/>
        </w:rPr>
        <w:t xml:space="preserve"> </w:t>
      </w:r>
      <w:r>
        <w:t>collaborating</w:t>
      </w:r>
      <w:r>
        <w:rPr>
          <w:spacing w:val="-12"/>
        </w:rPr>
        <w:t xml:space="preserve"> </w:t>
      </w:r>
      <w:r>
        <w:t>with</w:t>
      </w:r>
      <w:r>
        <w:rPr>
          <w:spacing w:val="-13"/>
        </w:rPr>
        <w:t xml:space="preserve"> </w:t>
      </w:r>
      <w:r>
        <w:t>the</w:t>
      </w:r>
      <w:r>
        <w:rPr>
          <w:spacing w:val="-12"/>
        </w:rPr>
        <w:t xml:space="preserve"> </w:t>
      </w:r>
      <w:r>
        <w:t>interagency</w:t>
      </w:r>
      <w:r>
        <w:rPr>
          <w:spacing w:val="-11"/>
        </w:rPr>
        <w:t xml:space="preserve"> </w:t>
      </w:r>
      <w:r>
        <w:t>EOHHS</w:t>
      </w:r>
      <w:r>
        <w:rPr>
          <w:spacing w:val="-12"/>
        </w:rPr>
        <w:t xml:space="preserve"> </w:t>
      </w:r>
      <w:r>
        <w:t>effort</w:t>
      </w:r>
      <w:r>
        <w:rPr>
          <w:spacing w:val="-13"/>
        </w:rPr>
        <w:t xml:space="preserve"> </w:t>
      </w:r>
      <w:r>
        <w:t>to</w:t>
      </w:r>
      <w:r>
        <w:rPr>
          <w:spacing w:val="-10"/>
        </w:rPr>
        <w:t xml:space="preserve"> </w:t>
      </w:r>
      <w:r>
        <w:t>launch</w:t>
      </w:r>
      <w:r>
        <w:rPr>
          <w:spacing w:val="-13"/>
        </w:rPr>
        <w:t xml:space="preserve"> </w:t>
      </w:r>
      <w:r>
        <w:t>an</w:t>
      </w:r>
      <w:r>
        <w:rPr>
          <w:spacing w:val="-12"/>
        </w:rPr>
        <w:t xml:space="preserve"> </w:t>
      </w:r>
      <w:r>
        <w:t>interagency</w:t>
      </w:r>
      <w:r>
        <w:rPr>
          <w:spacing w:val="-12"/>
        </w:rPr>
        <w:t xml:space="preserve"> </w:t>
      </w:r>
      <w:r>
        <w:t>LGBTQ</w:t>
      </w:r>
      <w:r>
        <w:rPr>
          <w:spacing w:val="-12"/>
        </w:rPr>
        <w:t xml:space="preserve"> </w:t>
      </w:r>
      <w:r>
        <w:t>training</w:t>
      </w:r>
      <w:r>
        <w:rPr>
          <w:spacing w:val="-12"/>
        </w:rPr>
        <w:t xml:space="preserve"> </w:t>
      </w:r>
      <w:r>
        <w:t>and encourage staff and providers to participate in this training in accordance with interagency strategy.</w:t>
      </w:r>
    </w:p>
    <w:p w:rsidR="00C76E6D" w:rsidRDefault="00C76E6D">
      <w:pPr>
        <w:pStyle w:val="BodyText"/>
        <w:spacing w:before="6"/>
        <w:rPr>
          <w:sz w:val="25"/>
        </w:rPr>
      </w:pPr>
    </w:p>
    <w:p w:rsidR="00C76E6D" w:rsidRDefault="00913831">
      <w:pPr>
        <w:pStyle w:val="ListParagraph"/>
        <w:numPr>
          <w:ilvl w:val="1"/>
          <w:numId w:val="9"/>
        </w:numPr>
        <w:tabs>
          <w:tab w:val="left" w:pos="868"/>
        </w:tabs>
        <w:spacing w:line="276" w:lineRule="auto"/>
        <w:ind w:right="652" w:firstLine="0"/>
      </w:pPr>
      <w:r>
        <w:t>Explore</w:t>
      </w:r>
      <w:r>
        <w:rPr>
          <w:spacing w:val="-3"/>
        </w:rPr>
        <w:t xml:space="preserve"> </w:t>
      </w:r>
      <w:r>
        <w:t>ways</w:t>
      </w:r>
      <w:r>
        <w:rPr>
          <w:spacing w:val="-2"/>
        </w:rPr>
        <w:t xml:space="preserve"> </w:t>
      </w:r>
      <w:r>
        <w:t>to</w:t>
      </w:r>
      <w:r>
        <w:rPr>
          <w:spacing w:val="-3"/>
        </w:rPr>
        <w:t xml:space="preserve"> </w:t>
      </w:r>
      <w:r>
        <w:t>improve</w:t>
      </w:r>
      <w:r>
        <w:rPr>
          <w:spacing w:val="-3"/>
        </w:rPr>
        <w:t xml:space="preserve"> </w:t>
      </w:r>
      <w:r>
        <w:t>ORI</w:t>
      </w:r>
      <w:r>
        <w:rPr>
          <w:spacing w:val="-3"/>
        </w:rPr>
        <w:t xml:space="preserve"> </w:t>
      </w:r>
      <w:r>
        <w:t>client</w:t>
      </w:r>
      <w:r>
        <w:rPr>
          <w:spacing w:val="-3"/>
        </w:rPr>
        <w:t xml:space="preserve"> </w:t>
      </w:r>
      <w:r>
        <w:t>data</w:t>
      </w:r>
      <w:r>
        <w:rPr>
          <w:spacing w:val="-2"/>
        </w:rPr>
        <w:t xml:space="preserve"> </w:t>
      </w:r>
      <w:r>
        <w:t>relating</w:t>
      </w:r>
      <w:r>
        <w:rPr>
          <w:spacing w:val="-3"/>
        </w:rPr>
        <w:t xml:space="preserve"> </w:t>
      </w:r>
      <w:r>
        <w:t>to</w:t>
      </w:r>
      <w:r>
        <w:rPr>
          <w:spacing w:val="-3"/>
        </w:rPr>
        <w:t xml:space="preserve"> </w:t>
      </w:r>
      <w:r>
        <w:t>sexual</w:t>
      </w:r>
      <w:r>
        <w:rPr>
          <w:spacing w:val="-4"/>
        </w:rPr>
        <w:t xml:space="preserve"> </w:t>
      </w:r>
      <w:r>
        <w:t>orientation,</w:t>
      </w:r>
      <w:r>
        <w:rPr>
          <w:spacing w:val="-4"/>
        </w:rPr>
        <w:t xml:space="preserve"> </w:t>
      </w:r>
      <w:r>
        <w:t>gender</w:t>
      </w:r>
      <w:r>
        <w:rPr>
          <w:spacing w:val="-4"/>
        </w:rPr>
        <w:t xml:space="preserve"> </w:t>
      </w:r>
      <w:r>
        <w:t>identity,</w:t>
      </w:r>
      <w:r>
        <w:rPr>
          <w:spacing w:val="-2"/>
        </w:rPr>
        <w:t xml:space="preserve"> </w:t>
      </w:r>
      <w:r>
        <w:t>and</w:t>
      </w:r>
      <w:r>
        <w:rPr>
          <w:spacing w:val="-3"/>
        </w:rPr>
        <w:t xml:space="preserve"> </w:t>
      </w:r>
      <w:r>
        <w:t xml:space="preserve">gender </w:t>
      </w:r>
      <w:r>
        <w:rPr>
          <w:spacing w:val="-2"/>
        </w:rPr>
        <w:t>expression.</w:t>
      </w:r>
    </w:p>
    <w:p w:rsidR="00C76E6D" w:rsidRDefault="00C76E6D">
      <w:pPr>
        <w:pStyle w:val="BodyText"/>
      </w:pPr>
    </w:p>
    <w:p w:rsidR="00C76E6D" w:rsidRDefault="00C76E6D">
      <w:pPr>
        <w:pStyle w:val="BodyText"/>
        <w:spacing w:before="3"/>
        <w:rPr>
          <w:sz w:val="25"/>
        </w:rPr>
      </w:pPr>
    </w:p>
    <w:p w:rsidR="00C76E6D" w:rsidRDefault="00913831">
      <w:pPr>
        <w:pStyle w:val="Heading5"/>
      </w:pPr>
      <w:r>
        <w:t>Background</w:t>
      </w:r>
      <w:r>
        <w:rPr>
          <w:spacing w:val="-15"/>
        </w:rPr>
        <w:t xml:space="preserve"> </w:t>
      </w:r>
      <w:r>
        <w:t>&amp;</w:t>
      </w:r>
      <w:r>
        <w:rPr>
          <w:spacing w:val="-6"/>
        </w:rPr>
        <w:t xml:space="preserve"> </w:t>
      </w:r>
      <w:r>
        <w:rPr>
          <w:spacing w:val="-2"/>
        </w:rPr>
        <w:t>Research</w:t>
      </w:r>
    </w:p>
    <w:p w:rsidR="00C76E6D" w:rsidRDefault="00913831">
      <w:pPr>
        <w:pStyle w:val="BodyText"/>
        <w:spacing w:before="2"/>
        <w:rPr>
          <w:b/>
          <w:sz w:val="11"/>
        </w:rPr>
      </w:pPr>
      <w:r>
        <w:pict>
          <v:shape id="docshape422" o:spid="_x0000_s1071" style="position:absolute;margin-left:65pt;margin-top:8.05pt;width:476.95pt;height:.1pt;z-index:-15640576;mso-wrap-distance-left:0;mso-wrap-distance-right:0;mso-position-horizontal-relative:page" coordorigin="1300,161" coordsize="9539,0" path="m1300,161r9539,e" filled="f" strokeweight="1.54pt">
            <v:path arrowok="t"/>
            <w10:wrap type="topAndBottom" anchorx="page"/>
          </v:shape>
        </w:pict>
      </w:r>
    </w:p>
    <w:p w:rsidR="00C76E6D" w:rsidRDefault="00C76E6D">
      <w:pPr>
        <w:pStyle w:val="BodyText"/>
        <w:spacing w:before="11"/>
        <w:rPr>
          <w:b/>
        </w:rPr>
      </w:pPr>
    </w:p>
    <w:p w:rsidR="00C76E6D" w:rsidRDefault="00913831">
      <w:pPr>
        <w:pStyle w:val="BodyText"/>
        <w:spacing w:line="276" w:lineRule="auto"/>
        <w:ind w:left="338" w:right="335"/>
        <w:jc w:val="both"/>
      </w:pPr>
      <w:r>
        <w:t xml:space="preserve">The Office for Refugees and Immigrants (ORI) was established in 1992 to promote the “full participation of refugees and immigrants as self-sufficient individuals and families in social, economic, and civic life of Massachusetts.” Largely through resources </w:t>
      </w:r>
      <w:r>
        <w:t>from the federal Office of Refugee Resettlement, ORI provides funding to refugee resettlement providers to support some of the most vulnerable refugees in the United States who are admitted on humanitarian grounds.</w:t>
      </w:r>
    </w:p>
    <w:p w:rsidR="00C76E6D" w:rsidRDefault="00C76E6D">
      <w:pPr>
        <w:pStyle w:val="BodyText"/>
        <w:spacing w:before="7"/>
        <w:rPr>
          <w:sz w:val="19"/>
        </w:rPr>
      </w:pPr>
    </w:p>
    <w:p w:rsidR="00C76E6D" w:rsidRDefault="00913831">
      <w:pPr>
        <w:pStyle w:val="BodyText"/>
        <w:spacing w:before="1" w:line="276" w:lineRule="auto"/>
        <w:ind w:left="337" w:right="337"/>
        <w:jc w:val="both"/>
      </w:pPr>
      <w:r>
        <w:t xml:space="preserve">ORI has taken promising steps to ensure </w:t>
      </w:r>
      <w:r>
        <w:t>that adequate services are available to LGBTQ immigrant youth, including a 2016 training with their unaccompanied refugee minor program providers. ORI’s liaison to the Commission has fostered a productive relationship, which included facilitating a meeting</w:t>
      </w:r>
      <w:r>
        <w:t xml:space="preserve"> between Commission representatives and ORI’s Executive Director, Mary Truong, and its chief of staff. Promisingly, ORI</w:t>
      </w:r>
      <w:r>
        <w:rPr>
          <w:spacing w:val="-9"/>
        </w:rPr>
        <w:t xml:space="preserve"> </w:t>
      </w:r>
      <w:r>
        <w:t>has</w:t>
      </w:r>
      <w:r>
        <w:rPr>
          <w:spacing w:val="-10"/>
        </w:rPr>
        <w:t xml:space="preserve"> </w:t>
      </w:r>
      <w:r>
        <w:t>finalized</w:t>
      </w:r>
      <w:r>
        <w:rPr>
          <w:spacing w:val="-10"/>
        </w:rPr>
        <w:t xml:space="preserve"> </w:t>
      </w:r>
      <w:r>
        <w:t>a</w:t>
      </w:r>
      <w:r>
        <w:rPr>
          <w:spacing w:val="-9"/>
        </w:rPr>
        <w:t xml:space="preserve"> </w:t>
      </w:r>
      <w:r>
        <w:t>new</w:t>
      </w:r>
      <w:r>
        <w:rPr>
          <w:spacing w:val="-10"/>
        </w:rPr>
        <w:t xml:space="preserve"> </w:t>
      </w:r>
      <w:r>
        <w:t>LGBTQ</w:t>
      </w:r>
      <w:r>
        <w:rPr>
          <w:spacing w:val="-10"/>
        </w:rPr>
        <w:t xml:space="preserve"> </w:t>
      </w:r>
      <w:r>
        <w:t>inclusive</w:t>
      </w:r>
      <w:r>
        <w:rPr>
          <w:spacing w:val="-10"/>
        </w:rPr>
        <w:t xml:space="preserve"> </w:t>
      </w:r>
      <w:r>
        <w:t>nondiscrimination</w:t>
      </w:r>
      <w:r>
        <w:rPr>
          <w:spacing w:val="-11"/>
        </w:rPr>
        <w:t xml:space="preserve"> </w:t>
      </w:r>
      <w:r>
        <w:t>policy</w:t>
      </w:r>
      <w:r>
        <w:rPr>
          <w:spacing w:val="-9"/>
        </w:rPr>
        <w:t xml:space="preserve"> </w:t>
      </w:r>
      <w:r>
        <w:t>and</w:t>
      </w:r>
      <w:r>
        <w:rPr>
          <w:spacing w:val="-10"/>
        </w:rPr>
        <w:t xml:space="preserve"> </w:t>
      </w:r>
      <w:r>
        <w:t>has</w:t>
      </w:r>
      <w:r>
        <w:rPr>
          <w:spacing w:val="-10"/>
        </w:rPr>
        <w:t xml:space="preserve"> </w:t>
      </w:r>
      <w:r>
        <w:t>sent</w:t>
      </w:r>
      <w:r>
        <w:rPr>
          <w:spacing w:val="-11"/>
        </w:rPr>
        <w:t xml:space="preserve"> </w:t>
      </w:r>
      <w:r>
        <w:t>it</w:t>
      </w:r>
      <w:r>
        <w:rPr>
          <w:spacing w:val="-8"/>
        </w:rPr>
        <w:t xml:space="preserve"> </w:t>
      </w:r>
      <w:r>
        <w:t>to</w:t>
      </w:r>
      <w:r>
        <w:rPr>
          <w:spacing w:val="-10"/>
        </w:rPr>
        <w:t xml:space="preserve"> </w:t>
      </w:r>
      <w:r>
        <w:t>counsel</w:t>
      </w:r>
      <w:r>
        <w:rPr>
          <w:spacing w:val="-9"/>
        </w:rPr>
        <w:t xml:space="preserve"> </w:t>
      </w:r>
      <w:r>
        <w:t>at</w:t>
      </w:r>
      <w:r>
        <w:rPr>
          <w:spacing w:val="-8"/>
        </w:rPr>
        <w:t xml:space="preserve"> </w:t>
      </w:r>
      <w:r>
        <w:t>EOHHS</w:t>
      </w:r>
      <w:r>
        <w:rPr>
          <w:spacing w:val="-10"/>
        </w:rPr>
        <w:t xml:space="preserve"> </w:t>
      </w:r>
      <w:r>
        <w:t>for</w:t>
      </w:r>
      <w:r>
        <w:rPr>
          <w:spacing w:val="-10"/>
        </w:rPr>
        <w:t xml:space="preserve"> </w:t>
      </w:r>
      <w:r>
        <w:t>final review before publication.</w:t>
      </w:r>
    </w:p>
    <w:p w:rsidR="00C76E6D" w:rsidRDefault="00C76E6D">
      <w:pPr>
        <w:pStyle w:val="BodyText"/>
        <w:spacing w:before="8"/>
        <w:rPr>
          <w:sz w:val="19"/>
        </w:rPr>
      </w:pPr>
    </w:p>
    <w:p w:rsidR="00C76E6D" w:rsidRDefault="00913831">
      <w:pPr>
        <w:pStyle w:val="BodyText"/>
        <w:spacing w:before="1" w:line="276" w:lineRule="auto"/>
        <w:ind w:left="338" w:right="335"/>
        <w:jc w:val="both"/>
      </w:pPr>
      <w:r>
        <w:t>While research is limited as to how many migrant youth are LGBTQ, one study of undocumented migrants between</w:t>
      </w:r>
      <w:r>
        <w:rPr>
          <w:spacing w:val="-13"/>
        </w:rPr>
        <w:t xml:space="preserve"> </w:t>
      </w:r>
      <w:r>
        <w:t>18</w:t>
      </w:r>
      <w:r>
        <w:rPr>
          <w:spacing w:val="-11"/>
        </w:rPr>
        <w:t xml:space="preserve"> </w:t>
      </w:r>
      <w:r>
        <w:t>and</w:t>
      </w:r>
      <w:r>
        <w:rPr>
          <w:spacing w:val="-13"/>
        </w:rPr>
        <w:t xml:space="preserve"> </w:t>
      </w:r>
      <w:r>
        <w:t>35</w:t>
      </w:r>
      <w:r>
        <w:rPr>
          <w:spacing w:val="-10"/>
        </w:rPr>
        <w:t xml:space="preserve"> </w:t>
      </w:r>
      <w:r>
        <w:t>found</w:t>
      </w:r>
      <w:r>
        <w:rPr>
          <w:spacing w:val="-12"/>
        </w:rPr>
        <w:t xml:space="preserve"> </w:t>
      </w:r>
      <w:r>
        <w:t>that</w:t>
      </w:r>
      <w:r>
        <w:rPr>
          <w:spacing w:val="-13"/>
        </w:rPr>
        <w:t xml:space="preserve"> </w:t>
      </w:r>
      <w:r>
        <w:t>10</w:t>
      </w:r>
      <w:r>
        <w:rPr>
          <w:spacing w:val="-10"/>
        </w:rPr>
        <w:t xml:space="preserve"> </w:t>
      </w:r>
      <w:r>
        <w:t>percent</w:t>
      </w:r>
      <w:r>
        <w:rPr>
          <w:spacing w:val="-13"/>
        </w:rPr>
        <w:t xml:space="preserve"> </w:t>
      </w:r>
      <w:r>
        <w:t>identified</w:t>
      </w:r>
      <w:r>
        <w:rPr>
          <w:spacing w:val="-11"/>
        </w:rPr>
        <w:t xml:space="preserve"> </w:t>
      </w:r>
      <w:r>
        <w:t>as</w:t>
      </w:r>
      <w:r>
        <w:rPr>
          <w:spacing w:val="-10"/>
        </w:rPr>
        <w:t xml:space="preserve"> </w:t>
      </w:r>
      <w:r>
        <w:t>LGBTQ</w:t>
      </w:r>
      <w:hyperlink w:anchor="_bookmark603" w:history="1">
        <w:r>
          <w:t>.</w:t>
        </w:r>
        <w:r>
          <w:rPr>
            <w:vertAlign w:val="superscript"/>
          </w:rPr>
          <w:t>1</w:t>
        </w:r>
        <w:r>
          <w:rPr>
            <w:spacing w:val="-12"/>
          </w:rPr>
          <w:t xml:space="preserve"> </w:t>
        </w:r>
      </w:hyperlink>
      <w:r>
        <w:t>Young</w:t>
      </w:r>
      <w:r>
        <w:rPr>
          <w:spacing w:val="-11"/>
        </w:rPr>
        <w:t xml:space="preserve"> </w:t>
      </w:r>
      <w:r>
        <w:t>LGBTQ</w:t>
      </w:r>
      <w:r>
        <w:rPr>
          <w:spacing w:val="-13"/>
        </w:rPr>
        <w:t xml:space="preserve"> </w:t>
      </w:r>
      <w:r>
        <w:t>refugees,</w:t>
      </w:r>
      <w:r>
        <w:rPr>
          <w:spacing w:val="-11"/>
        </w:rPr>
        <w:t xml:space="preserve"> </w:t>
      </w:r>
      <w:r>
        <w:t>asylees,</w:t>
      </w:r>
      <w:r>
        <w:rPr>
          <w:spacing w:val="-11"/>
        </w:rPr>
        <w:t xml:space="preserve"> </w:t>
      </w:r>
      <w:r>
        <w:t>and</w:t>
      </w:r>
      <w:r>
        <w:rPr>
          <w:spacing w:val="-13"/>
        </w:rPr>
        <w:t xml:space="preserve"> </w:t>
      </w:r>
      <w:r>
        <w:t>migrants face a unique set</w:t>
      </w:r>
      <w:r>
        <w:t xml:space="preserve"> of challenges in establishing themselves in the United States. Like other communities, migrant</w:t>
      </w:r>
      <w:r>
        <w:rPr>
          <w:spacing w:val="-6"/>
        </w:rPr>
        <w:t xml:space="preserve"> </w:t>
      </w:r>
      <w:r>
        <w:t>populations</w:t>
      </w:r>
      <w:r>
        <w:rPr>
          <w:spacing w:val="-6"/>
        </w:rPr>
        <w:t xml:space="preserve"> </w:t>
      </w:r>
      <w:r>
        <w:t>hold</w:t>
      </w:r>
      <w:r>
        <w:rPr>
          <w:spacing w:val="-5"/>
        </w:rPr>
        <w:t xml:space="preserve"> </w:t>
      </w:r>
      <w:r>
        <w:t>diverse</w:t>
      </w:r>
      <w:r>
        <w:rPr>
          <w:spacing w:val="-6"/>
        </w:rPr>
        <w:t xml:space="preserve"> </w:t>
      </w:r>
      <w:r>
        <w:t>understandings</w:t>
      </w:r>
      <w:r>
        <w:rPr>
          <w:spacing w:val="-6"/>
        </w:rPr>
        <w:t xml:space="preserve"> </w:t>
      </w:r>
      <w:r>
        <w:t>of</w:t>
      </w:r>
      <w:r>
        <w:rPr>
          <w:spacing w:val="-6"/>
        </w:rPr>
        <w:t xml:space="preserve"> </w:t>
      </w:r>
      <w:r>
        <w:t>sexuality,</w:t>
      </w:r>
      <w:r>
        <w:rPr>
          <w:spacing w:val="-4"/>
        </w:rPr>
        <w:t xml:space="preserve"> </w:t>
      </w:r>
      <w:r>
        <w:t>gender,</w:t>
      </w:r>
      <w:r>
        <w:rPr>
          <w:spacing w:val="-6"/>
        </w:rPr>
        <w:t xml:space="preserve"> </w:t>
      </w:r>
      <w:r>
        <w:t>and</w:t>
      </w:r>
      <w:r>
        <w:rPr>
          <w:spacing w:val="-5"/>
        </w:rPr>
        <w:t xml:space="preserve"> </w:t>
      </w:r>
      <w:r>
        <w:t>identity.</w:t>
      </w:r>
      <w:r>
        <w:rPr>
          <w:spacing w:val="-5"/>
        </w:rPr>
        <w:t xml:space="preserve"> </w:t>
      </w:r>
      <w:r>
        <w:t>In</w:t>
      </w:r>
      <w:r>
        <w:rPr>
          <w:spacing w:val="-5"/>
        </w:rPr>
        <w:t xml:space="preserve"> </w:t>
      </w:r>
      <w:r>
        <w:t>some</w:t>
      </w:r>
      <w:r>
        <w:rPr>
          <w:spacing w:val="-6"/>
        </w:rPr>
        <w:t xml:space="preserve"> </w:t>
      </w:r>
      <w:r>
        <w:t>instances,</w:t>
      </w:r>
      <w:r>
        <w:rPr>
          <w:spacing w:val="-5"/>
        </w:rPr>
        <w:t xml:space="preserve"> </w:t>
      </w:r>
      <w:r>
        <w:t>these young people come to the United States seeking to escape persecution or violence based on their sexual orientation</w:t>
      </w:r>
      <w:r>
        <w:rPr>
          <w:spacing w:val="-13"/>
        </w:rPr>
        <w:t xml:space="preserve"> </w:t>
      </w:r>
      <w:r>
        <w:t>or</w:t>
      </w:r>
      <w:r>
        <w:rPr>
          <w:spacing w:val="-12"/>
        </w:rPr>
        <w:t xml:space="preserve"> </w:t>
      </w:r>
      <w:r>
        <w:t>gender</w:t>
      </w:r>
      <w:r>
        <w:rPr>
          <w:spacing w:val="-13"/>
        </w:rPr>
        <w:t xml:space="preserve"> </w:t>
      </w:r>
      <w:r>
        <w:t>identity;</w:t>
      </w:r>
      <w:r>
        <w:rPr>
          <w:spacing w:val="-12"/>
        </w:rPr>
        <w:t xml:space="preserve"> </w:t>
      </w:r>
      <w:r>
        <w:t>one</w:t>
      </w:r>
      <w:r>
        <w:rPr>
          <w:spacing w:val="-13"/>
        </w:rPr>
        <w:t xml:space="preserve"> </w:t>
      </w:r>
      <w:r>
        <w:t>study</w:t>
      </w:r>
      <w:r>
        <w:rPr>
          <w:spacing w:val="-12"/>
        </w:rPr>
        <w:t xml:space="preserve"> </w:t>
      </w:r>
      <w:r>
        <w:t>found</w:t>
      </w:r>
      <w:r>
        <w:rPr>
          <w:spacing w:val="-13"/>
        </w:rPr>
        <w:t xml:space="preserve"> </w:t>
      </w:r>
      <w:r>
        <w:t>that</w:t>
      </w:r>
      <w:r>
        <w:rPr>
          <w:spacing w:val="-12"/>
        </w:rPr>
        <w:t xml:space="preserve"> </w:t>
      </w:r>
      <w:r>
        <w:t>LGBT</w:t>
      </w:r>
      <w:r>
        <w:rPr>
          <w:spacing w:val="-12"/>
        </w:rPr>
        <w:t xml:space="preserve"> </w:t>
      </w:r>
      <w:r>
        <w:t>asylum</w:t>
      </w:r>
      <w:r>
        <w:rPr>
          <w:spacing w:val="-13"/>
        </w:rPr>
        <w:t xml:space="preserve"> </w:t>
      </w:r>
      <w:r>
        <w:t>seekers</w:t>
      </w:r>
      <w:r>
        <w:rPr>
          <w:spacing w:val="-12"/>
        </w:rPr>
        <w:t xml:space="preserve"> </w:t>
      </w:r>
      <w:r>
        <w:t>have</w:t>
      </w:r>
      <w:r>
        <w:rPr>
          <w:spacing w:val="-13"/>
        </w:rPr>
        <w:t xml:space="preserve"> </w:t>
      </w:r>
      <w:r>
        <w:t>high</w:t>
      </w:r>
      <w:r>
        <w:rPr>
          <w:spacing w:val="-12"/>
        </w:rPr>
        <w:t xml:space="preserve"> </w:t>
      </w:r>
      <w:r>
        <w:t>incidences</w:t>
      </w:r>
      <w:r>
        <w:rPr>
          <w:spacing w:val="-13"/>
        </w:rPr>
        <w:t xml:space="preserve"> </w:t>
      </w:r>
      <w:r>
        <w:t>of</w:t>
      </w:r>
      <w:r>
        <w:rPr>
          <w:spacing w:val="-12"/>
        </w:rPr>
        <w:t xml:space="preserve"> </w:t>
      </w:r>
      <w:r>
        <w:t>persecution during</w:t>
      </w:r>
      <w:r>
        <w:rPr>
          <w:spacing w:val="-3"/>
        </w:rPr>
        <w:t xml:space="preserve"> </w:t>
      </w:r>
      <w:r>
        <w:t>their</w:t>
      </w:r>
      <w:r>
        <w:rPr>
          <w:spacing w:val="-2"/>
        </w:rPr>
        <w:t xml:space="preserve"> </w:t>
      </w:r>
      <w:r>
        <w:t>childhood,</w:t>
      </w:r>
      <w:r>
        <w:rPr>
          <w:spacing w:val="-4"/>
        </w:rPr>
        <w:t xml:space="preserve"> </w:t>
      </w:r>
      <w:r>
        <w:t>experiences</w:t>
      </w:r>
      <w:r>
        <w:rPr>
          <w:spacing w:val="-2"/>
        </w:rPr>
        <w:t xml:space="preserve"> </w:t>
      </w:r>
      <w:r>
        <w:t>of</w:t>
      </w:r>
      <w:r>
        <w:rPr>
          <w:spacing w:val="-3"/>
        </w:rPr>
        <w:t xml:space="preserve"> </w:t>
      </w:r>
      <w:r>
        <w:t>sexual</w:t>
      </w:r>
      <w:r>
        <w:rPr>
          <w:spacing w:val="-4"/>
        </w:rPr>
        <w:t xml:space="preserve"> </w:t>
      </w:r>
      <w:r>
        <w:t>violence,</w:t>
      </w:r>
      <w:r>
        <w:rPr>
          <w:spacing w:val="-3"/>
        </w:rPr>
        <w:t xml:space="preserve"> </w:t>
      </w:r>
      <w:r>
        <w:t>and</w:t>
      </w:r>
      <w:r>
        <w:rPr>
          <w:spacing w:val="-3"/>
        </w:rPr>
        <w:t xml:space="preserve"> </w:t>
      </w:r>
      <w:r>
        <w:t>suicidal</w:t>
      </w:r>
      <w:r>
        <w:rPr>
          <w:spacing w:val="-4"/>
        </w:rPr>
        <w:t xml:space="preserve"> </w:t>
      </w:r>
      <w:r>
        <w:t>ideation.</w:t>
      </w:r>
      <w:hyperlink w:anchor="_bookmark604" w:history="1">
        <w:r>
          <w:rPr>
            <w:vertAlign w:val="superscript"/>
          </w:rPr>
          <w:t>2</w:t>
        </w:r>
        <w:r>
          <w:rPr>
            <w:spacing w:val="-3"/>
          </w:rPr>
          <w:t xml:space="preserve"> </w:t>
        </w:r>
      </w:hyperlink>
      <w:r>
        <w:t>Other</w:t>
      </w:r>
      <w:r>
        <w:rPr>
          <w:spacing w:val="-4"/>
        </w:rPr>
        <w:t xml:space="preserve"> </w:t>
      </w:r>
      <w:r>
        <w:t>asylum</w:t>
      </w:r>
      <w:r>
        <w:rPr>
          <w:spacing w:val="-4"/>
        </w:rPr>
        <w:t xml:space="preserve"> </w:t>
      </w:r>
      <w:r>
        <w:t>seekers</w:t>
      </w:r>
      <w:r>
        <w:rPr>
          <w:spacing w:val="-2"/>
        </w:rPr>
        <w:t xml:space="preserve"> </w:t>
      </w:r>
      <w:r>
        <w:t>come</w:t>
      </w:r>
      <w:r>
        <w:rPr>
          <w:spacing w:val="-2"/>
        </w:rPr>
        <w:t xml:space="preserve"> </w:t>
      </w:r>
      <w:r>
        <w:t>to the</w:t>
      </w:r>
      <w:r>
        <w:rPr>
          <w:spacing w:val="-10"/>
        </w:rPr>
        <w:t xml:space="preserve"> </w:t>
      </w:r>
      <w:r>
        <w:t>U.S.</w:t>
      </w:r>
      <w:r>
        <w:rPr>
          <w:spacing w:val="-12"/>
        </w:rPr>
        <w:t xml:space="preserve"> </w:t>
      </w:r>
      <w:r>
        <w:t>for</w:t>
      </w:r>
      <w:r>
        <w:rPr>
          <w:spacing w:val="-10"/>
        </w:rPr>
        <w:t xml:space="preserve"> </w:t>
      </w:r>
      <w:r>
        <w:t>unrelated</w:t>
      </w:r>
      <w:r>
        <w:rPr>
          <w:spacing w:val="-10"/>
        </w:rPr>
        <w:t xml:space="preserve"> </w:t>
      </w:r>
      <w:r>
        <w:t>reasons</w:t>
      </w:r>
      <w:r>
        <w:rPr>
          <w:spacing w:val="-11"/>
        </w:rPr>
        <w:t xml:space="preserve"> </w:t>
      </w:r>
      <w:r>
        <w:t>but</w:t>
      </w:r>
      <w:r>
        <w:rPr>
          <w:spacing w:val="-11"/>
        </w:rPr>
        <w:t xml:space="preserve"> </w:t>
      </w:r>
      <w:r>
        <w:t>must</w:t>
      </w:r>
      <w:r>
        <w:rPr>
          <w:spacing w:val="-11"/>
        </w:rPr>
        <w:t xml:space="preserve"> </w:t>
      </w:r>
      <w:r>
        <w:t>navigate</w:t>
      </w:r>
      <w:r>
        <w:rPr>
          <w:spacing w:val="-11"/>
        </w:rPr>
        <w:t xml:space="preserve"> </w:t>
      </w:r>
      <w:r>
        <w:t>a</w:t>
      </w:r>
      <w:r>
        <w:rPr>
          <w:spacing w:val="-10"/>
        </w:rPr>
        <w:t xml:space="preserve"> </w:t>
      </w:r>
      <w:r>
        <w:t>system</w:t>
      </w:r>
      <w:r>
        <w:rPr>
          <w:spacing w:val="-10"/>
        </w:rPr>
        <w:t xml:space="preserve"> </w:t>
      </w:r>
      <w:r>
        <w:t>in</w:t>
      </w:r>
      <w:r>
        <w:rPr>
          <w:spacing w:val="-10"/>
        </w:rPr>
        <w:t xml:space="preserve"> </w:t>
      </w:r>
      <w:r>
        <w:t>which</w:t>
      </w:r>
      <w:r>
        <w:rPr>
          <w:spacing w:val="-9"/>
        </w:rPr>
        <w:t xml:space="preserve"> </w:t>
      </w:r>
      <w:r>
        <w:t>their</w:t>
      </w:r>
      <w:r>
        <w:rPr>
          <w:spacing w:val="-11"/>
        </w:rPr>
        <w:t xml:space="preserve"> </w:t>
      </w:r>
      <w:r>
        <w:t>sexual</w:t>
      </w:r>
      <w:r>
        <w:rPr>
          <w:spacing w:val="-10"/>
        </w:rPr>
        <w:t xml:space="preserve"> </w:t>
      </w:r>
      <w:r>
        <w:t>orientation</w:t>
      </w:r>
      <w:r>
        <w:rPr>
          <w:spacing w:val="-10"/>
        </w:rPr>
        <w:t xml:space="preserve"> </w:t>
      </w:r>
      <w:r>
        <w:t>or</w:t>
      </w:r>
      <w:r>
        <w:rPr>
          <w:spacing w:val="-9"/>
        </w:rPr>
        <w:t xml:space="preserve"> </w:t>
      </w:r>
      <w:r>
        <w:t>gender</w:t>
      </w:r>
      <w:r>
        <w:rPr>
          <w:spacing w:val="-10"/>
        </w:rPr>
        <w:t xml:space="preserve"> </w:t>
      </w:r>
      <w:r>
        <w:t>identity compound the challenges they already face as migrants more broadly.</w:t>
      </w:r>
    </w:p>
    <w:p w:rsidR="00C76E6D" w:rsidRDefault="00C76E6D">
      <w:pPr>
        <w:pStyle w:val="BodyText"/>
        <w:spacing w:before="8"/>
        <w:rPr>
          <w:sz w:val="19"/>
        </w:rPr>
      </w:pPr>
    </w:p>
    <w:p w:rsidR="00C76E6D" w:rsidRDefault="00913831">
      <w:pPr>
        <w:pStyle w:val="BodyText"/>
        <w:spacing w:before="1" w:line="276" w:lineRule="auto"/>
        <w:ind w:left="338" w:right="333"/>
        <w:jc w:val="both"/>
      </w:pPr>
      <w:r>
        <w:t>The dual-layer minority status of LGBTQ refugees and immigrants creates obstacles to accessing resources and</w:t>
      </w:r>
      <w:r>
        <w:rPr>
          <w:spacing w:val="-6"/>
        </w:rPr>
        <w:t xml:space="preserve"> </w:t>
      </w:r>
      <w:r>
        <w:t>support.</w:t>
      </w:r>
      <w:r>
        <w:rPr>
          <w:spacing w:val="-3"/>
        </w:rPr>
        <w:t xml:space="preserve"> </w:t>
      </w:r>
      <w:r>
        <w:t>A</w:t>
      </w:r>
      <w:r>
        <w:rPr>
          <w:spacing w:val="-5"/>
        </w:rPr>
        <w:t xml:space="preserve"> </w:t>
      </w:r>
      <w:r>
        <w:t>recent</w:t>
      </w:r>
      <w:r>
        <w:rPr>
          <w:spacing w:val="-6"/>
        </w:rPr>
        <w:t xml:space="preserve"> </w:t>
      </w:r>
      <w:r>
        <w:t>survey</w:t>
      </w:r>
      <w:r>
        <w:rPr>
          <w:spacing w:val="-5"/>
        </w:rPr>
        <w:t xml:space="preserve"> </w:t>
      </w:r>
      <w:r>
        <w:t>of</w:t>
      </w:r>
      <w:r>
        <w:rPr>
          <w:spacing w:val="-5"/>
        </w:rPr>
        <w:t xml:space="preserve"> </w:t>
      </w:r>
      <w:r>
        <w:t>LGBTQ</w:t>
      </w:r>
      <w:r>
        <w:rPr>
          <w:spacing w:val="-4"/>
        </w:rPr>
        <w:t xml:space="preserve"> </w:t>
      </w:r>
      <w:r>
        <w:t>immigrants</w:t>
      </w:r>
      <w:r>
        <w:rPr>
          <w:spacing w:val="-5"/>
        </w:rPr>
        <w:t xml:space="preserve"> </w:t>
      </w:r>
      <w:r>
        <w:t>of</w:t>
      </w:r>
      <w:r>
        <w:rPr>
          <w:spacing w:val="-5"/>
        </w:rPr>
        <w:t xml:space="preserve"> </w:t>
      </w:r>
      <w:r>
        <w:t>diverse</w:t>
      </w:r>
      <w:r>
        <w:rPr>
          <w:spacing w:val="-5"/>
        </w:rPr>
        <w:t xml:space="preserve"> </w:t>
      </w:r>
      <w:r>
        <w:t>backgrounds</w:t>
      </w:r>
      <w:r>
        <w:rPr>
          <w:spacing w:val="-5"/>
        </w:rPr>
        <w:t xml:space="preserve"> </w:t>
      </w:r>
      <w:r>
        <w:t>f</w:t>
      </w:r>
      <w:r>
        <w:t>ound</w:t>
      </w:r>
      <w:r>
        <w:rPr>
          <w:spacing w:val="-5"/>
        </w:rPr>
        <w:t xml:space="preserve"> </w:t>
      </w:r>
      <w:r>
        <w:t>that</w:t>
      </w:r>
      <w:r>
        <w:rPr>
          <w:spacing w:val="-5"/>
        </w:rPr>
        <w:t xml:space="preserve"> </w:t>
      </w:r>
      <w:r>
        <w:t>respondents</w:t>
      </w:r>
      <w:r>
        <w:rPr>
          <w:spacing w:val="-5"/>
        </w:rPr>
        <w:t xml:space="preserve"> </w:t>
      </w:r>
      <w:r>
        <w:t>reported high</w:t>
      </w:r>
      <w:r>
        <w:rPr>
          <w:spacing w:val="25"/>
        </w:rPr>
        <w:t xml:space="preserve"> </w:t>
      </w:r>
      <w:r>
        <w:t>rates</w:t>
      </w:r>
      <w:r>
        <w:rPr>
          <w:spacing w:val="26"/>
        </w:rPr>
        <w:t xml:space="preserve"> </w:t>
      </w:r>
      <w:r>
        <w:t>of</w:t>
      </w:r>
      <w:r>
        <w:rPr>
          <w:spacing w:val="26"/>
        </w:rPr>
        <w:t xml:space="preserve"> </w:t>
      </w:r>
      <w:r>
        <w:t>discrimination</w:t>
      </w:r>
      <w:r>
        <w:rPr>
          <w:spacing w:val="25"/>
        </w:rPr>
        <w:t xml:space="preserve"> </w:t>
      </w:r>
      <w:r>
        <w:t>related</w:t>
      </w:r>
      <w:r>
        <w:rPr>
          <w:spacing w:val="27"/>
        </w:rPr>
        <w:t xml:space="preserve"> </w:t>
      </w:r>
      <w:r>
        <w:t>to</w:t>
      </w:r>
      <w:r>
        <w:rPr>
          <w:spacing w:val="26"/>
        </w:rPr>
        <w:t xml:space="preserve"> </w:t>
      </w:r>
      <w:r>
        <w:t>their</w:t>
      </w:r>
      <w:r>
        <w:rPr>
          <w:spacing w:val="25"/>
        </w:rPr>
        <w:t xml:space="preserve"> </w:t>
      </w:r>
      <w:r>
        <w:t>immigration</w:t>
      </w:r>
      <w:r>
        <w:rPr>
          <w:spacing w:val="25"/>
        </w:rPr>
        <w:t xml:space="preserve"> </w:t>
      </w:r>
      <w:r>
        <w:t>status</w:t>
      </w:r>
      <w:r>
        <w:rPr>
          <w:spacing w:val="29"/>
        </w:rPr>
        <w:t xml:space="preserve"> </w:t>
      </w:r>
      <w:r>
        <w:t>as</w:t>
      </w:r>
      <w:r>
        <w:rPr>
          <w:spacing w:val="26"/>
        </w:rPr>
        <w:t xml:space="preserve"> </w:t>
      </w:r>
      <w:r>
        <w:t>well</w:t>
      </w:r>
      <w:r>
        <w:rPr>
          <w:spacing w:val="25"/>
        </w:rPr>
        <w:t xml:space="preserve"> </w:t>
      </w:r>
      <w:r>
        <w:t>as</w:t>
      </w:r>
      <w:r>
        <w:rPr>
          <w:spacing w:val="25"/>
        </w:rPr>
        <w:t xml:space="preserve"> </w:t>
      </w:r>
      <w:r>
        <w:t>sexual</w:t>
      </w:r>
      <w:r>
        <w:rPr>
          <w:spacing w:val="25"/>
        </w:rPr>
        <w:t xml:space="preserve"> </w:t>
      </w:r>
      <w:r>
        <w:t>orientation</w:t>
      </w:r>
      <w:r>
        <w:rPr>
          <w:spacing w:val="25"/>
        </w:rPr>
        <w:t xml:space="preserve"> </w:t>
      </w:r>
      <w:r>
        <w:t>and</w:t>
      </w:r>
      <w:r>
        <w:rPr>
          <w:spacing w:val="25"/>
        </w:rPr>
        <w:t xml:space="preserve"> </w:t>
      </w:r>
      <w:r>
        <w:t>gender</w:t>
      </w:r>
    </w:p>
    <w:p w:rsidR="00C76E6D" w:rsidRDefault="00C76E6D">
      <w:pPr>
        <w:spacing w:line="276" w:lineRule="auto"/>
        <w:jc w:val="both"/>
        <w:sectPr w:rsidR="00C76E6D">
          <w:headerReference w:type="default" r:id="rId435"/>
          <w:footerReference w:type="default" r:id="rId436"/>
          <w:pgSz w:w="12240" w:h="15840"/>
          <w:pgMar w:top="1020" w:right="960" w:bottom="640" w:left="960" w:header="832" w:footer="440" w:gutter="0"/>
          <w:cols w:space="720"/>
        </w:sectPr>
      </w:pPr>
    </w:p>
    <w:p w:rsidR="00C76E6D" w:rsidRDefault="00C76E6D">
      <w:pPr>
        <w:pStyle w:val="BodyText"/>
        <w:spacing w:before="6"/>
        <w:rPr>
          <w:sz w:val="20"/>
        </w:rPr>
      </w:pPr>
    </w:p>
    <w:p w:rsidR="00C76E6D" w:rsidRDefault="00913831">
      <w:pPr>
        <w:pStyle w:val="BodyText"/>
        <w:spacing w:before="77" w:line="276" w:lineRule="auto"/>
        <w:ind w:left="339" w:right="334" w:hanging="1"/>
        <w:jc w:val="both"/>
      </w:pPr>
      <w:r>
        <w:t>identity</w:t>
      </w:r>
      <w:hyperlink w:anchor="_bookmark605" w:history="1">
        <w:r>
          <w:t>.</w:t>
        </w:r>
        <w:r>
          <w:rPr>
            <w:vertAlign w:val="superscript"/>
          </w:rPr>
          <w:t>3</w:t>
        </w:r>
        <w:r>
          <w:rPr>
            <w:spacing w:val="-3"/>
          </w:rPr>
          <w:t xml:space="preserve"> </w:t>
        </w:r>
      </w:hyperlink>
      <w:r>
        <w:t>Additionally,</w:t>
      </w:r>
      <w:r>
        <w:rPr>
          <w:spacing w:val="-3"/>
        </w:rPr>
        <w:t xml:space="preserve"> </w:t>
      </w:r>
      <w:r>
        <w:t>LGBTQ</w:t>
      </w:r>
      <w:r>
        <w:rPr>
          <w:spacing w:val="-4"/>
        </w:rPr>
        <w:t xml:space="preserve"> </w:t>
      </w:r>
      <w:r>
        <w:t>migrant</w:t>
      </w:r>
      <w:r>
        <w:rPr>
          <w:spacing w:val="-3"/>
        </w:rPr>
        <w:t xml:space="preserve"> </w:t>
      </w:r>
      <w:r>
        <w:t>youth</w:t>
      </w:r>
      <w:r>
        <w:rPr>
          <w:spacing w:val="-3"/>
        </w:rPr>
        <w:t xml:space="preserve"> </w:t>
      </w:r>
      <w:r>
        <w:t>may</w:t>
      </w:r>
      <w:r>
        <w:rPr>
          <w:spacing w:val="-4"/>
        </w:rPr>
        <w:t xml:space="preserve"> </w:t>
      </w:r>
      <w:r>
        <w:t>face</w:t>
      </w:r>
      <w:r>
        <w:rPr>
          <w:spacing w:val="-3"/>
        </w:rPr>
        <w:t xml:space="preserve"> </w:t>
      </w:r>
      <w:r>
        <w:t>heightened</w:t>
      </w:r>
      <w:r>
        <w:rPr>
          <w:spacing w:val="-3"/>
        </w:rPr>
        <w:t xml:space="preserve"> </w:t>
      </w:r>
      <w:r>
        <w:t>health</w:t>
      </w:r>
      <w:r>
        <w:rPr>
          <w:spacing w:val="-4"/>
        </w:rPr>
        <w:t xml:space="preserve"> </w:t>
      </w:r>
      <w:r>
        <w:t>and</w:t>
      </w:r>
      <w:r>
        <w:rPr>
          <w:spacing w:val="-4"/>
        </w:rPr>
        <w:t xml:space="preserve"> </w:t>
      </w:r>
      <w:r>
        <w:t>safety</w:t>
      </w:r>
      <w:r>
        <w:rPr>
          <w:spacing w:val="-4"/>
        </w:rPr>
        <w:t xml:space="preserve"> </w:t>
      </w:r>
      <w:r>
        <w:t>risks.</w:t>
      </w:r>
      <w:r>
        <w:rPr>
          <w:spacing w:val="-3"/>
        </w:rPr>
        <w:t xml:space="preserve"> </w:t>
      </w:r>
      <w:r>
        <w:t>In</w:t>
      </w:r>
      <w:r>
        <w:rPr>
          <w:spacing w:val="-2"/>
        </w:rPr>
        <w:t xml:space="preserve"> </w:t>
      </w:r>
      <w:r>
        <w:t>Massachusetts, sexual</w:t>
      </w:r>
      <w:r>
        <w:rPr>
          <w:spacing w:val="-6"/>
        </w:rPr>
        <w:t xml:space="preserve"> </w:t>
      </w:r>
      <w:r>
        <w:t>minority</w:t>
      </w:r>
      <w:r>
        <w:rPr>
          <w:spacing w:val="-6"/>
        </w:rPr>
        <w:t xml:space="preserve"> </w:t>
      </w:r>
      <w:r>
        <w:t>high</w:t>
      </w:r>
      <w:r>
        <w:rPr>
          <w:spacing w:val="-5"/>
        </w:rPr>
        <w:t xml:space="preserve"> </w:t>
      </w:r>
      <w:r>
        <w:t>school</w:t>
      </w:r>
      <w:r>
        <w:rPr>
          <w:spacing w:val="-7"/>
        </w:rPr>
        <w:t xml:space="preserve"> </w:t>
      </w:r>
      <w:r>
        <w:t>students</w:t>
      </w:r>
      <w:r>
        <w:rPr>
          <w:spacing w:val="-5"/>
        </w:rPr>
        <w:t xml:space="preserve"> </w:t>
      </w:r>
      <w:r>
        <w:t>who</w:t>
      </w:r>
      <w:r>
        <w:rPr>
          <w:spacing w:val="-6"/>
        </w:rPr>
        <w:t xml:space="preserve"> </w:t>
      </w:r>
      <w:r>
        <w:t>have</w:t>
      </w:r>
      <w:r>
        <w:rPr>
          <w:spacing w:val="-7"/>
        </w:rPr>
        <w:t xml:space="preserve"> </w:t>
      </w:r>
      <w:r>
        <w:t>been</w:t>
      </w:r>
      <w:r>
        <w:rPr>
          <w:spacing w:val="-5"/>
        </w:rPr>
        <w:t xml:space="preserve"> </w:t>
      </w:r>
      <w:r>
        <w:t>in</w:t>
      </w:r>
      <w:r>
        <w:rPr>
          <w:spacing w:val="-7"/>
        </w:rPr>
        <w:t xml:space="preserve"> </w:t>
      </w:r>
      <w:r>
        <w:t>the</w:t>
      </w:r>
      <w:r>
        <w:rPr>
          <w:spacing w:val="-5"/>
        </w:rPr>
        <w:t xml:space="preserve"> </w:t>
      </w:r>
      <w:r>
        <w:t>United</w:t>
      </w:r>
      <w:r>
        <w:rPr>
          <w:spacing w:val="-3"/>
        </w:rPr>
        <w:t xml:space="preserve"> </w:t>
      </w:r>
      <w:r>
        <w:t>States</w:t>
      </w:r>
      <w:r>
        <w:rPr>
          <w:spacing w:val="-5"/>
        </w:rPr>
        <w:t xml:space="preserve"> </w:t>
      </w:r>
      <w:r>
        <w:t>for</w:t>
      </w:r>
      <w:r>
        <w:rPr>
          <w:spacing w:val="-5"/>
        </w:rPr>
        <w:t xml:space="preserve"> </w:t>
      </w:r>
      <w:r>
        <w:t>six</w:t>
      </w:r>
      <w:r>
        <w:rPr>
          <w:spacing w:val="-6"/>
        </w:rPr>
        <w:t xml:space="preserve"> </w:t>
      </w:r>
      <w:r>
        <w:t>years</w:t>
      </w:r>
      <w:r>
        <w:rPr>
          <w:spacing w:val="-6"/>
        </w:rPr>
        <w:t xml:space="preserve"> </w:t>
      </w:r>
      <w:r>
        <w:t>or</w:t>
      </w:r>
      <w:r>
        <w:rPr>
          <w:spacing w:val="-6"/>
        </w:rPr>
        <w:t xml:space="preserve"> </w:t>
      </w:r>
      <w:r>
        <w:t>less</w:t>
      </w:r>
      <w:r>
        <w:rPr>
          <w:spacing w:val="-6"/>
        </w:rPr>
        <w:t xml:space="preserve"> </w:t>
      </w:r>
      <w:r>
        <w:t>reported</w:t>
      </w:r>
      <w:r>
        <w:rPr>
          <w:spacing w:val="-6"/>
        </w:rPr>
        <w:t xml:space="preserve"> </w:t>
      </w:r>
      <w:r>
        <w:t>higher rates of school victimization and suicidality than heterosexual immigrant youth or sexual minority students born in the U.S</w:t>
      </w:r>
      <w:hyperlink w:anchor="_bookmark606" w:history="1">
        <w:r>
          <w:t>.</w:t>
        </w:r>
        <w:r>
          <w:rPr>
            <w:vertAlign w:val="superscript"/>
          </w:rPr>
          <w:t>4</w:t>
        </w:r>
      </w:hyperlink>
    </w:p>
    <w:p w:rsidR="00C76E6D" w:rsidRDefault="00C76E6D">
      <w:pPr>
        <w:pStyle w:val="BodyText"/>
        <w:spacing w:before="7"/>
        <w:rPr>
          <w:sz w:val="19"/>
        </w:rPr>
      </w:pPr>
    </w:p>
    <w:p w:rsidR="00C76E6D" w:rsidRDefault="00913831">
      <w:pPr>
        <w:pStyle w:val="BodyText"/>
        <w:spacing w:line="276" w:lineRule="auto"/>
        <w:ind w:left="337" w:right="337"/>
        <w:jc w:val="both"/>
      </w:pPr>
      <w:r>
        <w:t>A</w:t>
      </w:r>
      <w:r>
        <w:rPr>
          <w:spacing w:val="-12"/>
        </w:rPr>
        <w:t xml:space="preserve"> </w:t>
      </w:r>
      <w:r>
        <w:t>recent</w:t>
      </w:r>
      <w:r>
        <w:rPr>
          <w:spacing w:val="-12"/>
        </w:rPr>
        <w:t xml:space="preserve"> </w:t>
      </w:r>
      <w:r>
        <w:t>report</w:t>
      </w:r>
      <w:r>
        <w:rPr>
          <w:spacing w:val="-13"/>
        </w:rPr>
        <w:t xml:space="preserve"> </w:t>
      </w:r>
      <w:r>
        <w:t>posits</w:t>
      </w:r>
      <w:r>
        <w:rPr>
          <w:spacing w:val="-9"/>
        </w:rPr>
        <w:t xml:space="preserve"> </w:t>
      </w:r>
      <w:r>
        <w:t>that</w:t>
      </w:r>
      <w:r>
        <w:rPr>
          <w:spacing w:val="-11"/>
        </w:rPr>
        <w:t xml:space="preserve"> </w:t>
      </w:r>
      <w:r>
        <w:t>“in</w:t>
      </w:r>
      <w:r>
        <w:rPr>
          <w:spacing w:val="-13"/>
        </w:rPr>
        <w:t xml:space="preserve"> </w:t>
      </w:r>
      <w:r>
        <w:t>order</w:t>
      </w:r>
      <w:r>
        <w:rPr>
          <w:spacing w:val="-10"/>
        </w:rPr>
        <w:t xml:space="preserve"> </w:t>
      </w:r>
      <w:r>
        <w:t>to</w:t>
      </w:r>
      <w:r>
        <w:rPr>
          <w:spacing w:val="-10"/>
        </w:rPr>
        <w:t xml:space="preserve"> </w:t>
      </w:r>
      <w:r>
        <w:t>ensure</w:t>
      </w:r>
      <w:r>
        <w:rPr>
          <w:spacing w:val="-12"/>
        </w:rPr>
        <w:t xml:space="preserve"> </w:t>
      </w:r>
      <w:r>
        <w:t>that</w:t>
      </w:r>
      <w:r>
        <w:rPr>
          <w:spacing w:val="-13"/>
        </w:rPr>
        <w:t xml:space="preserve"> </w:t>
      </w:r>
      <w:r>
        <w:t>LGBTQ</w:t>
      </w:r>
      <w:r>
        <w:rPr>
          <w:spacing w:val="-12"/>
        </w:rPr>
        <w:t xml:space="preserve"> </w:t>
      </w:r>
      <w:r>
        <w:t>immigrants</w:t>
      </w:r>
      <w:r>
        <w:rPr>
          <w:spacing w:val="-11"/>
        </w:rPr>
        <w:t xml:space="preserve"> </w:t>
      </w:r>
      <w:r>
        <w:t>thrive,</w:t>
      </w:r>
      <w:r>
        <w:rPr>
          <w:spacing w:val="-11"/>
        </w:rPr>
        <w:t xml:space="preserve"> </w:t>
      </w:r>
      <w:r>
        <w:t>it</w:t>
      </w:r>
      <w:r>
        <w:rPr>
          <w:spacing w:val="-12"/>
        </w:rPr>
        <w:t xml:space="preserve"> </w:t>
      </w:r>
      <w:r>
        <w:t>is</w:t>
      </w:r>
      <w:r>
        <w:rPr>
          <w:spacing w:val="-12"/>
        </w:rPr>
        <w:t xml:space="preserve"> </w:t>
      </w:r>
      <w:r>
        <w:t>critical</w:t>
      </w:r>
      <w:r>
        <w:rPr>
          <w:spacing w:val="-12"/>
        </w:rPr>
        <w:t xml:space="preserve"> </w:t>
      </w:r>
      <w:r>
        <w:t>to</w:t>
      </w:r>
      <w:r>
        <w:rPr>
          <w:spacing w:val="-11"/>
        </w:rPr>
        <w:t xml:space="preserve"> </w:t>
      </w:r>
      <w:r>
        <w:t>invest</w:t>
      </w:r>
      <w:r>
        <w:rPr>
          <w:spacing w:val="-13"/>
        </w:rPr>
        <w:t xml:space="preserve"> </w:t>
      </w:r>
      <w:r>
        <w:t>in</w:t>
      </w:r>
      <w:r>
        <w:rPr>
          <w:spacing w:val="-9"/>
        </w:rPr>
        <w:t xml:space="preserve"> </w:t>
      </w:r>
      <w:r>
        <w:t>culturally competent immigrant integration resources that are responsive to the needs of diverse communities, enabling</w:t>
      </w:r>
      <w:r>
        <w:rPr>
          <w:spacing w:val="-2"/>
        </w:rPr>
        <w:t xml:space="preserve"> </w:t>
      </w:r>
      <w:r>
        <w:t>them</w:t>
      </w:r>
      <w:r>
        <w:rPr>
          <w:spacing w:val="-3"/>
        </w:rPr>
        <w:t xml:space="preserve"> </w:t>
      </w:r>
      <w:r>
        <w:t>to</w:t>
      </w:r>
      <w:r>
        <w:rPr>
          <w:spacing w:val="-2"/>
        </w:rPr>
        <w:t xml:space="preserve"> </w:t>
      </w:r>
      <w:r>
        <w:t>fully</w:t>
      </w:r>
      <w:r>
        <w:rPr>
          <w:spacing w:val="-2"/>
        </w:rPr>
        <w:t xml:space="preserve"> </w:t>
      </w:r>
      <w:r>
        <w:t>participate</w:t>
      </w:r>
      <w:r>
        <w:rPr>
          <w:spacing w:val="-3"/>
        </w:rPr>
        <w:t xml:space="preserve"> </w:t>
      </w:r>
      <w:r>
        <w:t>and</w:t>
      </w:r>
      <w:r>
        <w:rPr>
          <w:spacing w:val="-2"/>
        </w:rPr>
        <w:t xml:space="preserve"> </w:t>
      </w:r>
      <w:r>
        <w:t>contribute</w:t>
      </w:r>
      <w:r>
        <w:rPr>
          <w:spacing w:val="-3"/>
        </w:rPr>
        <w:t xml:space="preserve"> </w:t>
      </w:r>
      <w:r>
        <w:t>to</w:t>
      </w:r>
      <w:r>
        <w:rPr>
          <w:spacing w:val="-1"/>
        </w:rPr>
        <w:t xml:space="preserve"> </w:t>
      </w:r>
      <w:r>
        <w:t>American</w:t>
      </w:r>
      <w:r>
        <w:rPr>
          <w:spacing w:val="-2"/>
        </w:rPr>
        <w:t xml:space="preserve"> </w:t>
      </w:r>
      <w:r>
        <w:t>society.”</w:t>
      </w:r>
      <w:hyperlink w:anchor="_bookmark607" w:history="1">
        <w:r>
          <w:rPr>
            <w:vertAlign w:val="superscript"/>
          </w:rPr>
          <w:t>5</w:t>
        </w:r>
        <w:r>
          <w:rPr>
            <w:spacing w:val="-3"/>
          </w:rPr>
          <w:t xml:space="preserve"> </w:t>
        </w:r>
      </w:hyperlink>
      <w:r>
        <w:t>This</w:t>
      </w:r>
      <w:r>
        <w:rPr>
          <w:spacing w:val="-2"/>
        </w:rPr>
        <w:t xml:space="preserve"> </w:t>
      </w:r>
      <w:r>
        <w:t>goal</w:t>
      </w:r>
      <w:r>
        <w:rPr>
          <w:spacing w:val="-3"/>
        </w:rPr>
        <w:t xml:space="preserve"> </w:t>
      </w:r>
      <w:r>
        <w:t>is</w:t>
      </w:r>
      <w:r>
        <w:rPr>
          <w:spacing w:val="-2"/>
        </w:rPr>
        <w:t xml:space="preserve"> </w:t>
      </w:r>
      <w:r>
        <w:t>critic</w:t>
      </w:r>
      <w:r>
        <w:t>al</w:t>
      </w:r>
      <w:r>
        <w:rPr>
          <w:spacing w:val="-3"/>
        </w:rPr>
        <w:t xml:space="preserve"> </w:t>
      </w:r>
      <w:r>
        <w:t>to</w:t>
      </w:r>
      <w:r>
        <w:rPr>
          <w:spacing w:val="-2"/>
        </w:rPr>
        <w:t xml:space="preserve"> </w:t>
      </w:r>
      <w:r>
        <w:t>ensure</w:t>
      </w:r>
      <w:r>
        <w:rPr>
          <w:spacing w:val="-3"/>
        </w:rPr>
        <w:t xml:space="preserve"> </w:t>
      </w:r>
      <w:r>
        <w:t>that</w:t>
      </w:r>
      <w:r>
        <w:rPr>
          <w:spacing w:val="-2"/>
        </w:rPr>
        <w:t xml:space="preserve"> </w:t>
      </w:r>
      <w:r>
        <w:t>all immigrants and refugees are treated fairly and welcomed into communities across the Commonwealth.</w:t>
      </w:r>
    </w:p>
    <w:p w:rsidR="00C76E6D" w:rsidRDefault="00C76E6D">
      <w:pPr>
        <w:pStyle w:val="BodyText"/>
        <w:rPr>
          <w:sz w:val="20"/>
        </w:rPr>
      </w:pPr>
    </w:p>
    <w:p w:rsidR="00C76E6D" w:rsidRDefault="00913831">
      <w:pPr>
        <w:pStyle w:val="Heading5"/>
        <w:spacing w:before="1"/>
        <w:jc w:val="both"/>
      </w:pPr>
      <w:r>
        <w:t>Expanded</w:t>
      </w:r>
      <w:r>
        <w:rPr>
          <w:spacing w:val="-10"/>
        </w:rPr>
        <w:t xml:space="preserve"> </w:t>
      </w:r>
      <w:r>
        <w:rPr>
          <w:spacing w:val="-2"/>
        </w:rPr>
        <w:t>Recommendations</w:t>
      </w:r>
    </w:p>
    <w:p w:rsidR="00C76E6D" w:rsidRDefault="00913831">
      <w:pPr>
        <w:pStyle w:val="BodyText"/>
        <w:spacing w:before="9"/>
        <w:rPr>
          <w:b/>
          <w:sz w:val="6"/>
        </w:rPr>
      </w:pPr>
      <w:r>
        <w:pict>
          <v:shape id="docshape423" o:spid="_x0000_s1070" style="position:absolute;margin-left:65pt;margin-top:5.35pt;width:476.95pt;height:.1pt;z-index:-15640064;mso-wrap-distance-left:0;mso-wrap-distance-right:0;mso-position-horizontal-relative:page" coordorigin="1300,107" coordsize="9539,0" path="m1300,107r9539,e" filled="f" strokeweight="1.54pt">
            <v:path arrowok="t"/>
            <w10:wrap type="topAndBottom" anchorx="page"/>
          </v:shape>
        </w:pict>
      </w:r>
    </w:p>
    <w:p w:rsidR="00C76E6D" w:rsidRDefault="00C76E6D">
      <w:pPr>
        <w:pStyle w:val="BodyText"/>
        <w:spacing w:before="11"/>
        <w:rPr>
          <w:b/>
          <w:sz w:val="34"/>
        </w:rPr>
      </w:pPr>
    </w:p>
    <w:p w:rsidR="00C76E6D" w:rsidRDefault="00913831">
      <w:pPr>
        <w:pStyle w:val="Heading6"/>
        <w:numPr>
          <w:ilvl w:val="0"/>
          <w:numId w:val="8"/>
        </w:numPr>
        <w:tabs>
          <w:tab w:val="left" w:pos="651"/>
        </w:tabs>
        <w:spacing w:line="276" w:lineRule="auto"/>
        <w:ind w:right="574" w:firstLine="0"/>
      </w:pPr>
      <w:bookmarkStart w:id="854" w:name="1._Implement_ORI’s_new_LGBTQ_nondiscrimi"/>
      <w:bookmarkEnd w:id="854"/>
      <w:r>
        <w:t>Implement</w:t>
      </w:r>
      <w:r>
        <w:rPr>
          <w:spacing w:val="-5"/>
        </w:rPr>
        <w:t xml:space="preserve"> </w:t>
      </w:r>
      <w:r>
        <w:t>ORI’s</w:t>
      </w:r>
      <w:r>
        <w:rPr>
          <w:spacing w:val="-4"/>
        </w:rPr>
        <w:t xml:space="preserve"> </w:t>
      </w:r>
      <w:r>
        <w:t>new</w:t>
      </w:r>
      <w:r>
        <w:rPr>
          <w:spacing w:val="-3"/>
        </w:rPr>
        <w:t xml:space="preserve"> </w:t>
      </w:r>
      <w:r>
        <w:t>LGBTQ</w:t>
      </w:r>
      <w:r>
        <w:rPr>
          <w:spacing w:val="-3"/>
        </w:rPr>
        <w:t xml:space="preserve"> </w:t>
      </w:r>
      <w:r>
        <w:t>nondiscrimination</w:t>
      </w:r>
      <w:r>
        <w:rPr>
          <w:spacing w:val="-4"/>
        </w:rPr>
        <w:t xml:space="preserve"> </w:t>
      </w:r>
      <w:r>
        <w:t>policy</w:t>
      </w:r>
      <w:r>
        <w:rPr>
          <w:spacing w:val="-4"/>
        </w:rPr>
        <w:t xml:space="preserve"> </w:t>
      </w:r>
      <w:r>
        <w:t>and</w:t>
      </w:r>
      <w:r>
        <w:rPr>
          <w:spacing w:val="-3"/>
        </w:rPr>
        <w:t xml:space="preserve"> </w:t>
      </w:r>
      <w:r>
        <w:t>best</w:t>
      </w:r>
      <w:r>
        <w:rPr>
          <w:spacing w:val="-3"/>
        </w:rPr>
        <w:t xml:space="preserve"> </w:t>
      </w:r>
      <w:r>
        <w:t>practices,</w:t>
      </w:r>
      <w:r>
        <w:rPr>
          <w:spacing w:val="-3"/>
        </w:rPr>
        <w:t xml:space="preserve"> </w:t>
      </w:r>
      <w:r>
        <w:t>and</w:t>
      </w:r>
      <w:r>
        <w:rPr>
          <w:spacing w:val="-2"/>
        </w:rPr>
        <w:t xml:space="preserve"> </w:t>
      </w:r>
      <w:r>
        <w:t>add</w:t>
      </w:r>
      <w:r>
        <w:rPr>
          <w:spacing w:val="-3"/>
        </w:rPr>
        <w:t xml:space="preserve"> </w:t>
      </w:r>
      <w:r>
        <w:t>to</w:t>
      </w:r>
      <w:r>
        <w:rPr>
          <w:spacing w:val="-4"/>
        </w:rPr>
        <w:t xml:space="preserve"> </w:t>
      </w:r>
      <w:r>
        <w:t>ORI’s</w:t>
      </w:r>
      <w:r>
        <w:rPr>
          <w:spacing w:val="-3"/>
        </w:rPr>
        <w:t xml:space="preserve"> </w:t>
      </w:r>
      <w:r>
        <w:t xml:space="preserve">provider </w:t>
      </w:r>
      <w:r>
        <w:rPr>
          <w:spacing w:val="-2"/>
        </w:rPr>
        <w:t>manual.</w:t>
      </w:r>
    </w:p>
    <w:p w:rsidR="00C76E6D" w:rsidRDefault="00C76E6D">
      <w:pPr>
        <w:pStyle w:val="BodyText"/>
        <w:spacing w:before="6"/>
        <w:rPr>
          <w:b/>
          <w:sz w:val="19"/>
        </w:rPr>
      </w:pPr>
    </w:p>
    <w:p w:rsidR="00C76E6D" w:rsidRDefault="00913831">
      <w:pPr>
        <w:pStyle w:val="BodyText"/>
        <w:spacing w:line="276" w:lineRule="auto"/>
        <w:ind w:left="627" w:right="336" w:hanging="1"/>
        <w:jc w:val="both"/>
      </w:pPr>
      <w:r>
        <w:t>During</w:t>
      </w:r>
      <w:r>
        <w:rPr>
          <w:spacing w:val="-13"/>
        </w:rPr>
        <w:t xml:space="preserve"> </w:t>
      </w:r>
      <w:r>
        <w:t>FY</w:t>
      </w:r>
      <w:r>
        <w:rPr>
          <w:spacing w:val="-12"/>
        </w:rPr>
        <w:t xml:space="preserve"> </w:t>
      </w:r>
      <w:r>
        <w:t>2018,</w:t>
      </w:r>
      <w:r>
        <w:rPr>
          <w:spacing w:val="-13"/>
        </w:rPr>
        <w:t xml:space="preserve"> </w:t>
      </w:r>
      <w:r>
        <w:t>ORI</w:t>
      </w:r>
      <w:r>
        <w:rPr>
          <w:spacing w:val="-12"/>
        </w:rPr>
        <w:t xml:space="preserve"> </w:t>
      </w:r>
      <w:r>
        <w:t>made</w:t>
      </w:r>
      <w:r>
        <w:rPr>
          <w:spacing w:val="-13"/>
        </w:rPr>
        <w:t xml:space="preserve"> </w:t>
      </w:r>
      <w:r>
        <w:t>progress</w:t>
      </w:r>
      <w:r>
        <w:rPr>
          <w:spacing w:val="-12"/>
        </w:rPr>
        <w:t xml:space="preserve"> </w:t>
      </w:r>
      <w:r>
        <w:t>on</w:t>
      </w:r>
      <w:r>
        <w:rPr>
          <w:spacing w:val="-13"/>
        </w:rPr>
        <w:t xml:space="preserve"> </w:t>
      </w:r>
      <w:r>
        <w:t>the</w:t>
      </w:r>
      <w:r>
        <w:rPr>
          <w:spacing w:val="-12"/>
        </w:rPr>
        <w:t xml:space="preserve"> </w:t>
      </w:r>
      <w:r>
        <w:t>Commission’s</w:t>
      </w:r>
      <w:r>
        <w:rPr>
          <w:spacing w:val="-12"/>
        </w:rPr>
        <w:t xml:space="preserve"> </w:t>
      </w:r>
      <w:r>
        <w:t>recommendation</w:t>
      </w:r>
      <w:r>
        <w:rPr>
          <w:spacing w:val="-13"/>
        </w:rPr>
        <w:t xml:space="preserve"> </w:t>
      </w:r>
      <w:r>
        <w:t>to</w:t>
      </w:r>
      <w:r>
        <w:rPr>
          <w:spacing w:val="-12"/>
        </w:rPr>
        <w:t xml:space="preserve"> </w:t>
      </w:r>
      <w:r>
        <w:t>develop</w:t>
      </w:r>
      <w:r>
        <w:rPr>
          <w:spacing w:val="-13"/>
        </w:rPr>
        <w:t xml:space="preserve"> </w:t>
      </w:r>
      <w:r>
        <w:t>a</w:t>
      </w:r>
      <w:r>
        <w:rPr>
          <w:spacing w:val="-12"/>
        </w:rPr>
        <w:t xml:space="preserve"> </w:t>
      </w:r>
      <w:r>
        <w:t>nondiscrimination policy and best practices guide, which was submitted as a draft to EOHHS counsel for review. The Commission</w:t>
      </w:r>
      <w:r>
        <w:rPr>
          <w:spacing w:val="-6"/>
        </w:rPr>
        <w:t xml:space="preserve"> </w:t>
      </w:r>
      <w:r>
        <w:t>was</w:t>
      </w:r>
      <w:r>
        <w:rPr>
          <w:spacing w:val="-7"/>
        </w:rPr>
        <w:t xml:space="preserve"> </w:t>
      </w:r>
      <w:r>
        <w:t>pleased</w:t>
      </w:r>
      <w:r>
        <w:rPr>
          <w:spacing w:val="-7"/>
        </w:rPr>
        <w:t xml:space="preserve"> </w:t>
      </w:r>
      <w:r>
        <w:t>to</w:t>
      </w:r>
      <w:r>
        <w:rPr>
          <w:spacing w:val="-7"/>
        </w:rPr>
        <w:t xml:space="preserve"> </w:t>
      </w:r>
      <w:r>
        <w:t>meet</w:t>
      </w:r>
      <w:r>
        <w:rPr>
          <w:spacing w:val="-7"/>
        </w:rPr>
        <w:t xml:space="preserve"> </w:t>
      </w:r>
      <w:r>
        <w:t>with</w:t>
      </w:r>
      <w:r>
        <w:rPr>
          <w:spacing w:val="-4"/>
        </w:rPr>
        <w:t xml:space="preserve"> </w:t>
      </w:r>
      <w:r>
        <w:t>ORI</w:t>
      </w:r>
      <w:r>
        <w:rPr>
          <w:spacing w:val="-7"/>
        </w:rPr>
        <w:t xml:space="preserve"> </w:t>
      </w:r>
      <w:r>
        <w:t>in</w:t>
      </w:r>
      <w:r>
        <w:rPr>
          <w:spacing w:val="-5"/>
        </w:rPr>
        <w:t xml:space="preserve"> </w:t>
      </w:r>
      <w:r>
        <w:t>March</w:t>
      </w:r>
      <w:r>
        <w:rPr>
          <w:spacing w:val="-6"/>
        </w:rPr>
        <w:t xml:space="preserve"> </w:t>
      </w:r>
      <w:r>
        <w:t>2021</w:t>
      </w:r>
      <w:r>
        <w:rPr>
          <w:spacing w:val="-7"/>
        </w:rPr>
        <w:t xml:space="preserve"> </w:t>
      </w:r>
      <w:r>
        <w:t>and</w:t>
      </w:r>
      <w:r>
        <w:rPr>
          <w:spacing w:val="-8"/>
        </w:rPr>
        <w:t xml:space="preserve"> </w:t>
      </w:r>
      <w:r>
        <w:t>l</w:t>
      </w:r>
      <w:r>
        <w:t>earn</w:t>
      </w:r>
      <w:r>
        <w:rPr>
          <w:spacing w:val="-7"/>
        </w:rPr>
        <w:t xml:space="preserve"> </w:t>
      </w:r>
      <w:r>
        <w:t>that</w:t>
      </w:r>
      <w:r>
        <w:rPr>
          <w:spacing w:val="-7"/>
        </w:rPr>
        <w:t xml:space="preserve"> </w:t>
      </w:r>
      <w:r>
        <w:t>this</w:t>
      </w:r>
      <w:r>
        <w:rPr>
          <w:spacing w:val="-7"/>
        </w:rPr>
        <w:t xml:space="preserve"> </w:t>
      </w:r>
      <w:r>
        <w:t>guide</w:t>
      </w:r>
      <w:r>
        <w:rPr>
          <w:spacing w:val="-7"/>
        </w:rPr>
        <w:t xml:space="preserve"> </w:t>
      </w:r>
      <w:r>
        <w:t>had</w:t>
      </w:r>
      <w:r>
        <w:rPr>
          <w:spacing w:val="-7"/>
        </w:rPr>
        <w:t xml:space="preserve"> </w:t>
      </w:r>
      <w:r>
        <w:t>been</w:t>
      </w:r>
      <w:r>
        <w:rPr>
          <w:spacing w:val="-7"/>
        </w:rPr>
        <w:t xml:space="preserve"> </w:t>
      </w:r>
      <w:r>
        <w:t>approved</w:t>
      </w:r>
      <w:r>
        <w:rPr>
          <w:spacing w:val="-7"/>
        </w:rPr>
        <w:t xml:space="preserve"> </w:t>
      </w:r>
      <w:r>
        <w:t>by ORI’s Executive Director. However, the Commission was disappointed to learn in May 2022 that the nondiscrimination policy has yet to be approved by EOHHS. The Commission has offered to assist to the extent it is able to, and looks forward to working wit</w:t>
      </w:r>
      <w:r>
        <w:t xml:space="preserve">h ORI as it implements this policy in FY 2023 upon </w:t>
      </w:r>
      <w:r>
        <w:rPr>
          <w:spacing w:val="-2"/>
        </w:rPr>
        <w:t>approval.</w:t>
      </w:r>
    </w:p>
    <w:p w:rsidR="00C76E6D" w:rsidRDefault="00C76E6D">
      <w:pPr>
        <w:pStyle w:val="BodyText"/>
        <w:spacing w:before="9"/>
        <w:rPr>
          <w:sz w:val="19"/>
        </w:rPr>
      </w:pPr>
    </w:p>
    <w:p w:rsidR="00C76E6D" w:rsidRDefault="00913831">
      <w:pPr>
        <w:pStyle w:val="BodyText"/>
        <w:spacing w:line="276" w:lineRule="auto"/>
        <w:ind w:left="627" w:right="333"/>
        <w:jc w:val="both"/>
      </w:pPr>
      <w:r>
        <w:t>Because ORI has limited capacity to offer trainings to its providers, another way of ensuring that information is disseminated and that providers understand the needs of LGBTQ clients would be t</w:t>
      </w:r>
      <w:r>
        <w:t>o include information in ORI’s provider manual. Basic information—like definitions of who comprises the LGBTQ community, examples of challenges and disparities facing LGBTQ refugees and immigrants, and available</w:t>
      </w:r>
      <w:r>
        <w:rPr>
          <w:spacing w:val="-3"/>
        </w:rPr>
        <w:t xml:space="preserve"> </w:t>
      </w:r>
      <w:r>
        <w:t>resources</w:t>
      </w:r>
      <w:r>
        <w:rPr>
          <w:spacing w:val="-1"/>
        </w:rPr>
        <w:t xml:space="preserve"> </w:t>
      </w:r>
      <w:r>
        <w:t>(such</w:t>
      </w:r>
      <w:r>
        <w:rPr>
          <w:spacing w:val="-1"/>
        </w:rPr>
        <w:t xml:space="preserve"> </w:t>
      </w:r>
      <w:r>
        <w:t>as</w:t>
      </w:r>
      <w:r>
        <w:rPr>
          <w:spacing w:val="-3"/>
        </w:rPr>
        <w:t xml:space="preserve"> </w:t>
      </w:r>
      <w:r>
        <w:t>the</w:t>
      </w:r>
      <w:r>
        <w:rPr>
          <w:spacing w:val="-2"/>
        </w:rPr>
        <w:t xml:space="preserve"> </w:t>
      </w:r>
      <w:r>
        <w:t>Commission’s</w:t>
      </w:r>
      <w:r>
        <w:rPr>
          <w:spacing w:val="-2"/>
        </w:rPr>
        <w:t xml:space="preserve"> </w:t>
      </w:r>
      <w:r>
        <w:t>resource</w:t>
      </w:r>
      <w:r>
        <w:rPr>
          <w:spacing w:val="-2"/>
        </w:rPr>
        <w:t xml:space="preserve"> </w:t>
      </w:r>
      <w:r>
        <w:t>map)—</w:t>
      </w:r>
      <w:r>
        <w:rPr>
          <w:spacing w:val="-1"/>
        </w:rPr>
        <w:t xml:space="preserve"> </w:t>
      </w:r>
      <w:r>
        <w:t>would</w:t>
      </w:r>
      <w:r>
        <w:rPr>
          <w:spacing w:val="-2"/>
        </w:rPr>
        <w:t xml:space="preserve"> </w:t>
      </w:r>
      <w:r>
        <w:t>prove</w:t>
      </w:r>
      <w:r>
        <w:rPr>
          <w:spacing w:val="-2"/>
        </w:rPr>
        <w:t xml:space="preserve"> </w:t>
      </w:r>
      <w:r>
        <w:t>to</w:t>
      </w:r>
      <w:r>
        <w:rPr>
          <w:spacing w:val="-2"/>
        </w:rPr>
        <w:t xml:space="preserve"> </w:t>
      </w:r>
      <w:r>
        <w:t>be</w:t>
      </w:r>
      <w:r>
        <w:rPr>
          <w:spacing w:val="-2"/>
        </w:rPr>
        <w:t xml:space="preserve"> </w:t>
      </w:r>
      <w:r>
        <w:t>a useful</w:t>
      </w:r>
      <w:r>
        <w:rPr>
          <w:spacing w:val="-2"/>
        </w:rPr>
        <w:t xml:space="preserve"> </w:t>
      </w:r>
      <w:r>
        <w:t>starting</w:t>
      </w:r>
      <w:r>
        <w:rPr>
          <w:spacing w:val="-2"/>
        </w:rPr>
        <w:t xml:space="preserve"> </w:t>
      </w:r>
      <w:r>
        <w:t>point in</w:t>
      </w:r>
      <w:r>
        <w:rPr>
          <w:spacing w:val="-2"/>
        </w:rPr>
        <w:t xml:space="preserve"> </w:t>
      </w:r>
      <w:r>
        <w:t>educating providers</w:t>
      </w:r>
      <w:r>
        <w:rPr>
          <w:spacing w:val="-1"/>
        </w:rPr>
        <w:t xml:space="preserve"> </w:t>
      </w:r>
      <w:r>
        <w:t>and</w:t>
      </w:r>
      <w:r>
        <w:rPr>
          <w:spacing w:val="-2"/>
        </w:rPr>
        <w:t xml:space="preserve"> </w:t>
      </w:r>
      <w:r>
        <w:t>equipping</w:t>
      </w:r>
      <w:r>
        <w:rPr>
          <w:spacing w:val="-1"/>
        </w:rPr>
        <w:t xml:space="preserve"> </w:t>
      </w:r>
      <w:r>
        <w:t>them</w:t>
      </w:r>
      <w:r>
        <w:rPr>
          <w:spacing w:val="-1"/>
        </w:rPr>
        <w:t xml:space="preserve"> </w:t>
      </w:r>
      <w:r>
        <w:t>with</w:t>
      </w:r>
      <w:r>
        <w:rPr>
          <w:spacing w:val="-1"/>
        </w:rPr>
        <w:t xml:space="preserve"> </w:t>
      </w:r>
      <w:r>
        <w:t>some</w:t>
      </w:r>
      <w:r>
        <w:rPr>
          <w:spacing w:val="-2"/>
        </w:rPr>
        <w:t xml:space="preserve"> </w:t>
      </w:r>
      <w:r>
        <w:t>of the</w:t>
      </w:r>
      <w:r>
        <w:rPr>
          <w:spacing w:val="-1"/>
        </w:rPr>
        <w:t xml:space="preserve"> </w:t>
      </w:r>
      <w:r>
        <w:t>tools</w:t>
      </w:r>
      <w:r>
        <w:rPr>
          <w:spacing w:val="-1"/>
        </w:rPr>
        <w:t xml:space="preserve"> </w:t>
      </w:r>
      <w:r>
        <w:t>that</w:t>
      </w:r>
      <w:r>
        <w:rPr>
          <w:spacing w:val="-1"/>
        </w:rPr>
        <w:t xml:space="preserve"> </w:t>
      </w:r>
      <w:r>
        <w:t>they need.</w:t>
      </w:r>
      <w:r>
        <w:rPr>
          <w:spacing w:val="-1"/>
        </w:rPr>
        <w:t xml:space="preserve"> </w:t>
      </w:r>
      <w:r>
        <w:t>Once</w:t>
      </w:r>
      <w:r>
        <w:rPr>
          <w:spacing w:val="-1"/>
        </w:rPr>
        <w:t xml:space="preserve"> </w:t>
      </w:r>
      <w:r>
        <w:t>the</w:t>
      </w:r>
      <w:r>
        <w:rPr>
          <w:spacing w:val="-2"/>
        </w:rPr>
        <w:t xml:space="preserve"> </w:t>
      </w:r>
      <w:r>
        <w:t>draft</w:t>
      </w:r>
      <w:r>
        <w:rPr>
          <w:spacing w:val="-1"/>
        </w:rPr>
        <w:t xml:space="preserve"> </w:t>
      </w:r>
      <w:r>
        <w:t>LGBTQ policy and best practices has been published, this could provide the basis for adding LGBTQ content to th</w:t>
      </w:r>
      <w:r>
        <w:t>e provider manual. ORI has stated its intent to add these documents as an appendix to the manual, which would be an excellent step in sharing this information with providers.</w:t>
      </w:r>
    </w:p>
    <w:p w:rsidR="00C76E6D" w:rsidRDefault="00C76E6D">
      <w:pPr>
        <w:pStyle w:val="BodyText"/>
        <w:spacing w:before="9"/>
        <w:rPr>
          <w:sz w:val="19"/>
        </w:rPr>
      </w:pPr>
    </w:p>
    <w:p w:rsidR="00C76E6D" w:rsidRDefault="00913831">
      <w:pPr>
        <w:pStyle w:val="Heading6"/>
        <w:numPr>
          <w:ilvl w:val="0"/>
          <w:numId w:val="8"/>
        </w:numPr>
        <w:tabs>
          <w:tab w:val="left" w:pos="558"/>
        </w:tabs>
        <w:ind w:left="558" w:hanging="220"/>
      </w:pPr>
      <w:bookmarkStart w:id="855" w:name="2._Ensure_that_all_ORI_service_providers"/>
      <w:bookmarkEnd w:id="855"/>
      <w:r>
        <w:rPr>
          <w:w w:val="95"/>
        </w:rPr>
        <w:t>Ensure</w:t>
      </w:r>
      <w:r>
        <w:rPr>
          <w:spacing w:val="13"/>
        </w:rPr>
        <w:t xml:space="preserve"> </w:t>
      </w:r>
      <w:r>
        <w:rPr>
          <w:w w:val="95"/>
        </w:rPr>
        <w:t>that</w:t>
      </w:r>
      <w:r>
        <w:rPr>
          <w:spacing w:val="11"/>
        </w:rPr>
        <w:t xml:space="preserve"> </w:t>
      </w:r>
      <w:r>
        <w:rPr>
          <w:w w:val="95"/>
        </w:rPr>
        <w:t>all</w:t>
      </w:r>
      <w:r>
        <w:rPr>
          <w:spacing w:val="12"/>
        </w:rPr>
        <w:t xml:space="preserve"> </w:t>
      </w:r>
      <w:r>
        <w:rPr>
          <w:w w:val="95"/>
        </w:rPr>
        <w:t>ORI</w:t>
      </w:r>
      <w:r>
        <w:rPr>
          <w:spacing w:val="13"/>
        </w:rPr>
        <w:t xml:space="preserve"> </w:t>
      </w:r>
      <w:r>
        <w:rPr>
          <w:w w:val="95"/>
        </w:rPr>
        <w:t>service</w:t>
      </w:r>
      <w:r>
        <w:rPr>
          <w:spacing w:val="14"/>
        </w:rPr>
        <w:t xml:space="preserve"> </w:t>
      </w:r>
      <w:r>
        <w:rPr>
          <w:w w:val="95"/>
        </w:rPr>
        <w:t>providers</w:t>
      </w:r>
      <w:r>
        <w:rPr>
          <w:spacing w:val="14"/>
        </w:rPr>
        <w:t xml:space="preserve"> </w:t>
      </w:r>
      <w:r>
        <w:rPr>
          <w:w w:val="95"/>
        </w:rPr>
        <w:t>have</w:t>
      </w:r>
      <w:r>
        <w:rPr>
          <w:spacing w:val="11"/>
        </w:rPr>
        <w:t xml:space="preserve"> </w:t>
      </w:r>
      <w:r>
        <w:rPr>
          <w:w w:val="95"/>
        </w:rPr>
        <w:t>information</w:t>
      </w:r>
      <w:r>
        <w:rPr>
          <w:spacing w:val="11"/>
        </w:rPr>
        <w:t xml:space="preserve"> </w:t>
      </w:r>
      <w:r>
        <w:rPr>
          <w:w w:val="95"/>
        </w:rPr>
        <w:t>on</w:t>
      </w:r>
      <w:r>
        <w:rPr>
          <w:spacing w:val="12"/>
        </w:rPr>
        <w:t xml:space="preserve"> </w:t>
      </w:r>
      <w:r>
        <w:rPr>
          <w:w w:val="95"/>
        </w:rPr>
        <w:t>LGBTQ</w:t>
      </w:r>
      <w:r>
        <w:rPr>
          <w:spacing w:val="16"/>
        </w:rPr>
        <w:t xml:space="preserve"> </w:t>
      </w:r>
      <w:r>
        <w:rPr>
          <w:w w:val="95"/>
        </w:rPr>
        <w:t>resources</w:t>
      </w:r>
      <w:r>
        <w:rPr>
          <w:spacing w:val="12"/>
        </w:rPr>
        <w:t xml:space="preserve"> </w:t>
      </w:r>
      <w:r>
        <w:rPr>
          <w:w w:val="95"/>
        </w:rPr>
        <w:t>available</w:t>
      </w:r>
      <w:r>
        <w:rPr>
          <w:spacing w:val="13"/>
        </w:rPr>
        <w:t xml:space="preserve"> </w:t>
      </w:r>
      <w:r>
        <w:rPr>
          <w:w w:val="95"/>
        </w:rPr>
        <w:t>on</w:t>
      </w:r>
      <w:r>
        <w:rPr>
          <w:spacing w:val="17"/>
        </w:rPr>
        <w:t xml:space="preserve"> </w:t>
      </w:r>
      <w:r>
        <w:rPr>
          <w:spacing w:val="-2"/>
          <w:w w:val="95"/>
        </w:rPr>
        <w:t>site.</w:t>
      </w:r>
    </w:p>
    <w:p w:rsidR="00C76E6D" w:rsidRDefault="00C76E6D">
      <w:pPr>
        <w:pStyle w:val="BodyText"/>
        <w:spacing w:before="11"/>
        <w:rPr>
          <w:b/>
        </w:rPr>
      </w:pPr>
    </w:p>
    <w:p w:rsidR="00C76E6D" w:rsidRDefault="00913831">
      <w:pPr>
        <w:pStyle w:val="BodyText"/>
        <w:spacing w:line="276" w:lineRule="auto"/>
        <w:ind w:left="627" w:right="337"/>
        <w:jc w:val="both"/>
      </w:pPr>
      <w:r>
        <w:t>In previous years, the Commission and ORI have collaborated on designing flyers that could be used to connect LGBTQ refugees and immigrants to LGBTQ-specific and -competent resources. The Commission looks forward to developing and final</w:t>
      </w:r>
      <w:r>
        <w:t>izing more outreach materials in FY 2023, which can then be distributed to ORI’s providers. The Commission appreciates the feedback that ORI has provided on how to make its resource guide accessible to immigrant and refugee communities.</w:t>
      </w:r>
    </w:p>
    <w:p w:rsidR="00C76E6D" w:rsidRDefault="00C76E6D">
      <w:pPr>
        <w:pStyle w:val="BodyText"/>
        <w:spacing w:before="8"/>
        <w:rPr>
          <w:sz w:val="19"/>
        </w:rPr>
      </w:pPr>
    </w:p>
    <w:p w:rsidR="00C76E6D" w:rsidRDefault="00913831">
      <w:pPr>
        <w:pStyle w:val="Heading6"/>
        <w:numPr>
          <w:ilvl w:val="0"/>
          <w:numId w:val="8"/>
        </w:numPr>
        <w:tabs>
          <w:tab w:val="left" w:pos="562"/>
        </w:tabs>
        <w:spacing w:line="276" w:lineRule="auto"/>
        <w:ind w:left="339" w:right="381" w:hanging="1"/>
      </w:pPr>
      <w:bookmarkStart w:id="856" w:name="3._Collaborate_with_the_interagency_EOHH"/>
      <w:bookmarkEnd w:id="856"/>
      <w:r>
        <w:t>Collaborate</w:t>
      </w:r>
      <w:r>
        <w:rPr>
          <w:spacing w:val="-5"/>
        </w:rPr>
        <w:t xml:space="preserve"> </w:t>
      </w:r>
      <w:r>
        <w:t>with</w:t>
      </w:r>
      <w:r>
        <w:rPr>
          <w:spacing w:val="-5"/>
        </w:rPr>
        <w:t xml:space="preserve"> </w:t>
      </w:r>
      <w:r>
        <w:t>t</w:t>
      </w:r>
      <w:r>
        <w:t>he</w:t>
      </w:r>
      <w:r>
        <w:rPr>
          <w:spacing w:val="-7"/>
        </w:rPr>
        <w:t xml:space="preserve"> </w:t>
      </w:r>
      <w:r>
        <w:t>interagency</w:t>
      </w:r>
      <w:r>
        <w:rPr>
          <w:spacing w:val="-4"/>
        </w:rPr>
        <w:t xml:space="preserve"> </w:t>
      </w:r>
      <w:r>
        <w:t>EOHHS</w:t>
      </w:r>
      <w:r>
        <w:rPr>
          <w:spacing w:val="-4"/>
        </w:rPr>
        <w:t xml:space="preserve"> </w:t>
      </w:r>
      <w:r>
        <w:t>effort</w:t>
      </w:r>
      <w:r>
        <w:rPr>
          <w:spacing w:val="-3"/>
        </w:rPr>
        <w:t xml:space="preserve"> </w:t>
      </w:r>
      <w:r>
        <w:t>to</w:t>
      </w:r>
      <w:r>
        <w:rPr>
          <w:spacing w:val="-6"/>
        </w:rPr>
        <w:t xml:space="preserve"> </w:t>
      </w:r>
      <w:r>
        <w:t>launch</w:t>
      </w:r>
      <w:r>
        <w:rPr>
          <w:spacing w:val="-4"/>
        </w:rPr>
        <w:t xml:space="preserve"> </w:t>
      </w:r>
      <w:r>
        <w:t>an</w:t>
      </w:r>
      <w:r>
        <w:rPr>
          <w:spacing w:val="-7"/>
        </w:rPr>
        <w:t xml:space="preserve"> </w:t>
      </w:r>
      <w:r>
        <w:t>interagency</w:t>
      </w:r>
      <w:r>
        <w:rPr>
          <w:spacing w:val="-5"/>
        </w:rPr>
        <w:t xml:space="preserve"> </w:t>
      </w:r>
      <w:r>
        <w:t>LGBTQ</w:t>
      </w:r>
      <w:r>
        <w:rPr>
          <w:spacing w:val="-6"/>
        </w:rPr>
        <w:t xml:space="preserve"> </w:t>
      </w:r>
      <w:r>
        <w:t>training</w:t>
      </w:r>
      <w:r>
        <w:rPr>
          <w:spacing w:val="-3"/>
        </w:rPr>
        <w:t xml:space="preserve"> </w:t>
      </w:r>
      <w:r>
        <w:t>and</w:t>
      </w:r>
      <w:r>
        <w:rPr>
          <w:spacing w:val="-5"/>
        </w:rPr>
        <w:t xml:space="preserve"> </w:t>
      </w:r>
      <w:r>
        <w:t>encourage staff and providers to participate in a mandatory training in accordance with interagency strategy.</w:t>
      </w:r>
    </w:p>
    <w:p w:rsidR="00C76E6D" w:rsidRDefault="00C76E6D">
      <w:pPr>
        <w:pStyle w:val="BodyText"/>
        <w:spacing w:before="7"/>
        <w:rPr>
          <w:b/>
          <w:sz w:val="19"/>
        </w:rPr>
      </w:pPr>
    </w:p>
    <w:p w:rsidR="00C76E6D" w:rsidRDefault="00913831">
      <w:pPr>
        <w:pStyle w:val="BodyText"/>
        <w:ind w:left="627"/>
        <w:jc w:val="both"/>
      </w:pPr>
      <w:r>
        <w:rPr>
          <w:w w:val="95"/>
        </w:rPr>
        <w:t>The</w:t>
      </w:r>
      <w:r>
        <w:rPr>
          <w:spacing w:val="7"/>
        </w:rPr>
        <w:t xml:space="preserve"> </w:t>
      </w:r>
      <w:r>
        <w:rPr>
          <w:w w:val="95"/>
        </w:rPr>
        <w:t>Commission</w:t>
      </w:r>
      <w:r>
        <w:rPr>
          <w:spacing w:val="8"/>
        </w:rPr>
        <w:t xml:space="preserve"> </w:t>
      </w:r>
      <w:r>
        <w:rPr>
          <w:w w:val="95"/>
        </w:rPr>
        <w:t>encourages</w:t>
      </w:r>
      <w:r>
        <w:rPr>
          <w:spacing w:val="10"/>
        </w:rPr>
        <w:t xml:space="preserve"> </w:t>
      </w:r>
      <w:r>
        <w:rPr>
          <w:w w:val="95"/>
        </w:rPr>
        <w:t>ORI</w:t>
      </w:r>
      <w:r>
        <w:rPr>
          <w:spacing w:val="11"/>
        </w:rPr>
        <w:t xml:space="preserve"> </w:t>
      </w:r>
      <w:r>
        <w:rPr>
          <w:w w:val="95"/>
        </w:rPr>
        <w:t>to</w:t>
      </w:r>
      <w:r>
        <w:rPr>
          <w:spacing w:val="8"/>
        </w:rPr>
        <w:t xml:space="preserve"> </w:t>
      </w:r>
      <w:r>
        <w:rPr>
          <w:w w:val="95"/>
        </w:rPr>
        <w:t>hold</w:t>
      </w:r>
      <w:r>
        <w:rPr>
          <w:spacing w:val="12"/>
        </w:rPr>
        <w:t xml:space="preserve"> </w:t>
      </w:r>
      <w:r>
        <w:rPr>
          <w:w w:val="95"/>
        </w:rPr>
        <w:t>mandatory</w:t>
      </w:r>
      <w:r>
        <w:rPr>
          <w:spacing w:val="9"/>
        </w:rPr>
        <w:t xml:space="preserve"> </w:t>
      </w:r>
      <w:r>
        <w:rPr>
          <w:w w:val="95"/>
        </w:rPr>
        <w:t>LGBTQ</w:t>
      </w:r>
      <w:r>
        <w:rPr>
          <w:spacing w:val="11"/>
        </w:rPr>
        <w:t xml:space="preserve"> </w:t>
      </w:r>
      <w:r>
        <w:rPr>
          <w:w w:val="95"/>
        </w:rPr>
        <w:t>cultural</w:t>
      </w:r>
      <w:r>
        <w:rPr>
          <w:spacing w:val="-2"/>
          <w:w w:val="95"/>
        </w:rPr>
        <w:t xml:space="preserve"> </w:t>
      </w:r>
      <w:r>
        <w:rPr>
          <w:w w:val="95"/>
        </w:rPr>
        <w:t>humility</w:t>
      </w:r>
      <w:r>
        <w:rPr>
          <w:spacing w:val="12"/>
        </w:rPr>
        <w:t xml:space="preserve"> </w:t>
      </w:r>
      <w:r>
        <w:rPr>
          <w:w w:val="95"/>
        </w:rPr>
        <w:t>t</w:t>
      </w:r>
      <w:r>
        <w:rPr>
          <w:w w:val="95"/>
        </w:rPr>
        <w:t>rainings</w:t>
      </w:r>
      <w:r>
        <w:rPr>
          <w:spacing w:val="10"/>
        </w:rPr>
        <w:t xml:space="preserve"> </w:t>
      </w:r>
      <w:r>
        <w:rPr>
          <w:w w:val="95"/>
        </w:rPr>
        <w:t>for</w:t>
      </w:r>
      <w:r>
        <w:rPr>
          <w:spacing w:val="8"/>
        </w:rPr>
        <w:t xml:space="preserve"> </w:t>
      </w:r>
      <w:r>
        <w:rPr>
          <w:w w:val="95"/>
        </w:rPr>
        <w:t>its</w:t>
      </w:r>
      <w:r>
        <w:rPr>
          <w:spacing w:val="9"/>
        </w:rPr>
        <w:t xml:space="preserve"> </w:t>
      </w:r>
      <w:r>
        <w:rPr>
          <w:w w:val="95"/>
        </w:rPr>
        <w:t>staff,</w:t>
      </w:r>
      <w:r>
        <w:rPr>
          <w:spacing w:val="10"/>
        </w:rPr>
        <w:t xml:space="preserve"> </w:t>
      </w:r>
      <w:r>
        <w:rPr>
          <w:spacing w:val="-5"/>
          <w:w w:val="95"/>
        </w:rPr>
        <w:t>and</w:t>
      </w:r>
    </w:p>
    <w:p w:rsidR="00C76E6D" w:rsidRDefault="00C76E6D">
      <w:pPr>
        <w:jc w:val="both"/>
        <w:sectPr w:rsidR="00C76E6D">
          <w:pgSz w:w="12240" w:h="15840"/>
          <w:pgMar w:top="1020" w:right="960" w:bottom="640" w:left="960" w:header="832" w:footer="440" w:gutter="0"/>
          <w:cols w:space="720"/>
        </w:sectPr>
      </w:pPr>
    </w:p>
    <w:p w:rsidR="00C76E6D" w:rsidRDefault="00C76E6D">
      <w:pPr>
        <w:pStyle w:val="BodyText"/>
        <w:spacing w:before="3"/>
      </w:pPr>
    </w:p>
    <w:p w:rsidR="00C76E6D" w:rsidRDefault="00913831">
      <w:pPr>
        <w:pStyle w:val="BodyText"/>
        <w:spacing w:before="55" w:line="276" w:lineRule="auto"/>
        <w:ind w:left="626" w:right="334"/>
        <w:jc w:val="both"/>
      </w:pPr>
      <w:r>
        <w:t>continue to provide training opportunities to providers working directly with youth. ORI has previously noted to the Commission that some providers are interested in having additional LGBTQ resources and education</w:t>
      </w:r>
      <w:r>
        <w:t>, but has also noted that there is limited capacity to provide training. The Commission has volunteered to collaborate with ORI in FY 2023 to provide in-person trainings sessions for staff and providers through the curriculum it developed with EOHHS. The C</w:t>
      </w:r>
      <w:r>
        <w:t>ommission looks forward to</w:t>
      </w:r>
      <w:r>
        <w:rPr>
          <w:spacing w:val="40"/>
        </w:rPr>
        <w:t xml:space="preserve"> </w:t>
      </w:r>
      <w:r>
        <w:t>continuing conversations with ORI and finding ways of expanding training opportunities for ORI’s staff and</w:t>
      </w:r>
      <w:r>
        <w:rPr>
          <w:spacing w:val="-11"/>
        </w:rPr>
        <w:t xml:space="preserve"> </w:t>
      </w:r>
      <w:r>
        <w:t>providers.</w:t>
      </w:r>
    </w:p>
    <w:p w:rsidR="00C76E6D" w:rsidRDefault="00C76E6D">
      <w:pPr>
        <w:pStyle w:val="BodyText"/>
        <w:spacing w:before="8"/>
        <w:rPr>
          <w:sz w:val="19"/>
        </w:rPr>
      </w:pPr>
    </w:p>
    <w:p w:rsidR="00C76E6D" w:rsidRDefault="00913831">
      <w:pPr>
        <w:pStyle w:val="Heading6"/>
        <w:numPr>
          <w:ilvl w:val="0"/>
          <w:numId w:val="8"/>
        </w:numPr>
        <w:tabs>
          <w:tab w:val="left" w:pos="587"/>
        </w:tabs>
        <w:spacing w:line="276" w:lineRule="auto"/>
        <w:ind w:right="382" w:hanging="1"/>
      </w:pPr>
      <w:bookmarkStart w:id="857" w:name="4._Explore_ways_to_improve_ORI_client_da"/>
      <w:bookmarkEnd w:id="857"/>
      <w:r>
        <w:t>Explore ways to improve ORI client data relating to sexual orientation, gender identity, and gender</w:t>
      </w:r>
      <w:r>
        <w:rPr>
          <w:spacing w:val="80"/>
        </w:rPr>
        <w:t xml:space="preserve"> </w:t>
      </w:r>
      <w:r>
        <w:rPr>
          <w:spacing w:val="-2"/>
        </w:rPr>
        <w:t>expression.</w:t>
      </w:r>
    </w:p>
    <w:p w:rsidR="00C76E6D" w:rsidRDefault="00C76E6D">
      <w:pPr>
        <w:pStyle w:val="BodyText"/>
        <w:spacing w:before="8"/>
        <w:rPr>
          <w:b/>
          <w:sz w:val="19"/>
        </w:rPr>
      </w:pPr>
    </w:p>
    <w:p w:rsidR="00C76E6D" w:rsidRDefault="00913831">
      <w:pPr>
        <w:pStyle w:val="BodyText"/>
        <w:spacing w:line="276" w:lineRule="auto"/>
        <w:ind w:left="627" w:right="335"/>
        <w:jc w:val="both"/>
      </w:pPr>
      <w:r>
        <w:t>The Commission provides this new recommendation to ORI on SOGIE data collection as it continues its discussions with EOHHS agencies in FY 2023 on best practices and standardizing data collection across agencies.</w:t>
      </w:r>
      <w:r>
        <w:rPr>
          <w:spacing w:val="-7"/>
        </w:rPr>
        <w:t xml:space="preserve"> </w:t>
      </w:r>
      <w:r>
        <w:t>The</w:t>
      </w:r>
      <w:r>
        <w:rPr>
          <w:spacing w:val="-6"/>
        </w:rPr>
        <w:t xml:space="preserve"> </w:t>
      </w:r>
      <w:r>
        <w:t>Commission</w:t>
      </w:r>
      <w:r>
        <w:rPr>
          <w:spacing w:val="-7"/>
        </w:rPr>
        <w:t xml:space="preserve"> </w:t>
      </w:r>
      <w:r>
        <w:t>recognizes</w:t>
      </w:r>
      <w:r>
        <w:rPr>
          <w:spacing w:val="-7"/>
        </w:rPr>
        <w:t xml:space="preserve"> </w:t>
      </w:r>
      <w:r>
        <w:t>that</w:t>
      </w:r>
      <w:r>
        <w:rPr>
          <w:spacing w:val="-9"/>
        </w:rPr>
        <w:t xml:space="preserve"> </w:t>
      </w:r>
      <w:r>
        <w:t>language</w:t>
      </w:r>
      <w:r>
        <w:rPr>
          <w:spacing w:val="-7"/>
        </w:rPr>
        <w:t xml:space="preserve"> </w:t>
      </w:r>
      <w:r>
        <w:t>differences</w:t>
      </w:r>
      <w:r>
        <w:rPr>
          <w:spacing w:val="-6"/>
        </w:rPr>
        <w:t xml:space="preserve"> </w:t>
      </w:r>
      <w:r>
        <w:t>and</w:t>
      </w:r>
      <w:r>
        <w:rPr>
          <w:spacing w:val="-9"/>
        </w:rPr>
        <w:t xml:space="preserve"> </w:t>
      </w:r>
      <w:r>
        <w:t>federal</w:t>
      </w:r>
      <w:r>
        <w:rPr>
          <w:spacing w:val="-6"/>
        </w:rPr>
        <w:t xml:space="preserve"> </w:t>
      </w:r>
      <w:r>
        <w:t>mandates</w:t>
      </w:r>
      <w:r>
        <w:rPr>
          <w:spacing w:val="-6"/>
        </w:rPr>
        <w:t xml:space="preserve"> </w:t>
      </w:r>
      <w:r>
        <w:t>provide</w:t>
      </w:r>
      <w:r>
        <w:rPr>
          <w:spacing w:val="-8"/>
        </w:rPr>
        <w:t xml:space="preserve"> </w:t>
      </w:r>
      <w:r>
        <w:t>barriers</w:t>
      </w:r>
      <w:r>
        <w:rPr>
          <w:spacing w:val="-7"/>
        </w:rPr>
        <w:t xml:space="preserve"> </w:t>
      </w:r>
      <w:r>
        <w:t>to standardized SOGIE data collection practices. However, the Commission looks forward to collaborating with ORI and exploring potential areas of improvement in its current data collection standard</w:t>
      </w:r>
      <w:r>
        <w:t>s in FY 2023.</w:t>
      </w:r>
      <w:r>
        <w:rPr>
          <w:spacing w:val="-1"/>
        </w:rPr>
        <w:t xml:space="preserve"> </w:t>
      </w:r>
      <w:r>
        <w:t>The</w:t>
      </w:r>
      <w:r>
        <w:rPr>
          <w:spacing w:val="-1"/>
        </w:rPr>
        <w:t xml:space="preserve"> </w:t>
      </w:r>
      <w:r>
        <w:t>Commission</w:t>
      </w:r>
      <w:r>
        <w:rPr>
          <w:spacing w:val="-1"/>
        </w:rPr>
        <w:t xml:space="preserve"> </w:t>
      </w:r>
      <w:r>
        <w:t>further recommends that</w:t>
      </w:r>
      <w:r>
        <w:rPr>
          <w:spacing w:val="-1"/>
        </w:rPr>
        <w:t xml:space="preserve"> </w:t>
      </w:r>
      <w:r>
        <w:t>ORI gather and</w:t>
      </w:r>
      <w:r>
        <w:rPr>
          <w:spacing w:val="-1"/>
        </w:rPr>
        <w:t xml:space="preserve"> </w:t>
      </w:r>
      <w:r>
        <w:t>publish</w:t>
      </w:r>
      <w:r>
        <w:rPr>
          <w:spacing w:val="-1"/>
        </w:rPr>
        <w:t xml:space="preserve"> </w:t>
      </w:r>
      <w:r>
        <w:t>SOGIE data in</w:t>
      </w:r>
      <w:r>
        <w:rPr>
          <w:spacing w:val="-1"/>
        </w:rPr>
        <w:t xml:space="preserve"> </w:t>
      </w:r>
      <w:r>
        <w:t>its annual</w:t>
      </w:r>
      <w:r>
        <w:rPr>
          <w:spacing w:val="-1"/>
        </w:rPr>
        <w:t xml:space="preserve"> </w:t>
      </w:r>
      <w:r>
        <w:t>reports so as to better serve its LGBTQ refugee and immigrant clients through LGBTQ-specific programs and youth services.</w:t>
      </w:r>
    </w:p>
    <w:p w:rsidR="00C76E6D" w:rsidRDefault="00C76E6D">
      <w:pPr>
        <w:pStyle w:val="BodyText"/>
        <w:rPr>
          <w:sz w:val="20"/>
        </w:rPr>
      </w:pPr>
    </w:p>
    <w:p w:rsidR="00C76E6D" w:rsidRDefault="00C76E6D">
      <w:pPr>
        <w:pStyle w:val="BodyText"/>
        <w:rPr>
          <w:sz w:val="20"/>
        </w:rPr>
      </w:pPr>
    </w:p>
    <w:p w:rsidR="00C76E6D" w:rsidRDefault="00913831">
      <w:pPr>
        <w:pStyle w:val="BodyText"/>
        <w:spacing w:before="7"/>
        <w:rPr>
          <w:sz w:val="21"/>
        </w:rPr>
      </w:pPr>
      <w:r>
        <w:pict>
          <v:shape id="docshape424" o:spid="_x0000_s1069" style="position:absolute;margin-left:70.6pt;margin-top:14.4pt;width:470.95pt;height:.1pt;z-index:-15639552;mso-wrap-distance-left:0;mso-wrap-distance-right:0;mso-position-horizontal-relative:page" coordorigin="1412,288" coordsize="9419,0" path="m1412,288r9419,e" filled="f" strokeweight="1.54pt">
            <v:path arrowok="t"/>
            <w10:wrap type="topAndBottom" anchorx="page"/>
          </v:shape>
        </w:pict>
      </w:r>
    </w:p>
    <w:p w:rsidR="00C76E6D" w:rsidRDefault="00C76E6D">
      <w:pPr>
        <w:pStyle w:val="BodyText"/>
        <w:spacing w:before="10"/>
      </w:pPr>
    </w:p>
    <w:p w:rsidR="00C76E6D" w:rsidRDefault="00913831">
      <w:pPr>
        <w:pStyle w:val="Heading6"/>
        <w:ind w:left="3682" w:right="3683"/>
        <w:jc w:val="center"/>
      </w:pPr>
      <w:r>
        <w:rPr>
          <w:spacing w:val="-2"/>
        </w:rPr>
        <w:t>ENDNOTES</w:t>
      </w:r>
    </w:p>
    <w:p w:rsidR="00C76E6D" w:rsidRDefault="00913831">
      <w:pPr>
        <w:pStyle w:val="BodyText"/>
        <w:spacing w:before="8"/>
        <w:rPr>
          <w:b/>
          <w:sz w:val="25"/>
        </w:rPr>
      </w:pPr>
      <w:r>
        <w:pict>
          <v:shape id="docshape425" o:spid="_x0000_s1068" style="position:absolute;margin-left:70.6pt;margin-top:16.85pt;width:470.95pt;height:.1pt;z-index:-15639040;mso-wrap-distance-left:0;mso-wrap-distance-right:0;mso-position-horizontal-relative:page" coordorigin="1412,337" coordsize="9419,0" path="m1412,337r9419,e" filled="f" strokeweight="1.54pt">
            <v:path arrowok="t"/>
            <w10:wrap type="topAndBottom" anchorx="page"/>
          </v:shape>
        </w:pict>
      </w:r>
    </w:p>
    <w:p w:rsidR="00C76E6D" w:rsidRDefault="00C76E6D">
      <w:pPr>
        <w:pStyle w:val="BodyText"/>
        <w:rPr>
          <w:b/>
        </w:rPr>
      </w:pPr>
    </w:p>
    <w:p w:rsidR="00C76E6D" w:rsidRDefault="00C76E6D">
      <w:pPr>
        <w:pStyle w:val="BodyText"/>
        <w:rPr>
          <w:b/>
        </w:rPr>
      </w:pPr>
    </w:p>
    <w:p w:rsidR="00C76E6D" w:rsidRDefault="00C76E6D">
      <w:pPr>
        <w:pStyle w:val="BodyText"/>
        <w:spacing w:before="9"/>
        <w:rPr>
          <w:b/>
          <w:sz w:val="23"/>
        </w:rPr>
      </w:pPr>
    </w:p>
    <w:p w:rsidR="00C76E6D" w:rsidRDefault="00913831">
      <w:pPr>
        <w:ind w:left="338" w:right="359" w:hanging="1"/>
        <w:jc w:val="both"/>
        <w:rPr>
          <w:sz w:val="20"/>
        </w:rPr>
      </w:pPr>
      <w:bookmarkStart w:id="858" w:name="_bookmark603"/>
      <w:bookmarkEnd w:id="858"/>
      <w:r>
        <w:rPr>
          <w:sz w:val="20"/>
          <w:vertAlign w:val="superscript"/>
        </w:rPr>
        <w:t>1</w:t>
      </w:r>
      <w:r>
        <w:rPr>
          <w:sz w:val="20"/>
        </w:rPr>
        <w:t xml:space="preserve"> Wong, T. &amp;</w:t>
      </w:r>
      <w:r>
        <w:rPr>
          <w:spacing w:val="-1"/>
          <w:sz w:val="20"/>
        </w:rPr>
        <w:t xml:space="preserve"> </w:t>
      </w:r>
      <w:r>
        <w:rPr>
          <w:sz w:val="20"/>
        </w:rPr>
        <w:t>Valdivia, C. (2014). In Their</w:t>
      </w:r>
      <w:r>
        <w:rPr>
          <w:spacing w:val="-1"/>
          <w:sz w:val="20"/>
        </w:rPr>
        <w:t xml:space="preserve"> </w:t>
      </w:r>
      <w:r>
        <w:rPr>
          <w:sz w:val="20"/>
        </w:rPr>
        <w:t>Own Words: A Nationwide Survey of Undocumented</w:t>
      </w:r>
      <w:r>
        <w:rPr>
          <w:spacing w:val="-1"/>
          <w:sz w:val="20"/>
        </w:rPr>
        <w:t xml:space="preserve"> </w:t>
      </w:r>
      <w:r>
        <w:rPr>
          <w:sz w:val="20"/>
        </w:rPr>
        <w:t>Millennials. Washington and</w:t>
      </w:r>
      <w:r>
        <w:rPr>
          <w:spacing w:val="-3"/>
          <w:sz w:val="20"/>
        </w:rPr>
        <w:t xml:space="preserve"> </w:t>
      </w:r>
      <w:r>
        <w:rPr>
          <w:sz w:val="20"/>
        </w:rPr>
        <w:t>New</w:t>
      </w:r>
      <w:r>
        <w:rPr>
          <w:spacing w:val="-3"/>
          <w:sz w:val="20"/>
        </w:rPr>
        <w:t xml:space="preserve"> </w:t>
      </w:r>
      <w:r>
        <w:rPr>
          <w:sz w:val="20"/>
        </w:rPr>
        <w:t>York:</w:t>
      </w:r>
      <w:r>
        <w:rPr>
          <w:spacing w:val="-3"/>
          <w:sz w:val="20"/>
        </w:rPr>
        <w:t xml:space="preserve"> </w:t>
      </w:r>
      <w:r>
        <w:rPr>
          <w:sz w:val="20"/>
        </w:rPr>
        <w:t>United</w:t>
      </w:r>
      <w:r>
        <w:rPr>
          <w:spacing w:val="-3"/>
          <w:sz w:val="20"/>
        </w:rPr>
        <w:t xml:space="preserve"> </w:t>
      </w:r>
      <w:r>
        <w:rPr>
          <w:sz w:val="20"/>
        </w:rPr>
        <w:t>We</w:t>
      </w:r>
      <w:r>
        <w:rPr>
          <w:spacing w:val="-3"/>
          <w:sz w:val="20"/>
        </w:rPr>
        <w:t xml:space="preserve"> </w:t>
      </w:r>
      <w:r>
        <w:rPr>
          <w:sz w:val="20"/>
        </w:rPr>
        <w:t>Dream</w:t>
      </w:r>
      <w:r>
        <w:rPr>
          <w:spacing w:val="-2"/>
          <w:sz w:val="20"/>
        </w:rPr>
        <w:t xml:space="preserve"> </w:t>
      </w:r>
      <w:r>
        <w:rPr>
          <w:sz w:val="20"/>
        </w:rPr>
        <w:t>Network</w:t>
      </w:r>
      <w:r>
        <w:rPr>
          <w:spacing w:val="-4"/>
          <w:sz w:val="20"/>
        </w:rPr>
        <w:t xml:space="preserve"> </w:t>
      </w:r>
      <w:r>
        <w:rPr>
          <w:sz w:val="20"/>
        </w:rPr>
        <w:t>and</w:t>
      </w:r>
      <w:r>
        <w:rPr>
          <w:spacing w:val="-2"/>
          <w:sz w:val="20"/>
        </w:rPr>
        <w:t xml:space="preserve"> </w:t>
      </w:r>
      <w:r>
        <w:rPr>
          <w:sz w:val="20"/>
        </w:rPr>
        <w:t>Unbound</w:t>
      </w:r>
      <w:r>
        <w:rPr>
          <w:spacing w:val="-3"/>
          <w:sz w:val="20"/>
        </w:rPr>
        <w:t xml:space="preserve"> </w:t>
      </w:r>
      <w:r>
        <w:rPr>
          <w:sz w:val="20"/>
        </w:rPr>
        <w:t>Philanthropy.</w:t>
      </w:r>
      <w:r>
        <w:rPr>
          <w:spacing w:val="-3"/>
          <w:sz w:val="20"/>
        </w:rPr>
        <w:t xml:space="preserve"> </w:t>
      </w:r>
      <w:r>
        <w:rPr>
          <w:sz w:val="20"/>
        </w:rPr>
        <w:t>Retrieved</w:t>
      </w:r>
      <w:r>
        <w:rPr>
          <w:spacing w:val="-2"/>
          <w:sz w:val="20"/>
        </w:rPr>
        <w:t xml:space="preserve"> </w:t>
      </w:r>
      <w:r>
        <w:rPr>
          <w:sz w:val="20"/>
        </w:rPr>
        <w:t>from</w:t>
      </w:r>
      <w:r>
        <w:rPr>
          <w:spacing w:val="-4"/>
          <w:sz w:val="20"/>
        </w:rPr>
        <w:t xml:space="preserve"> </w:t>
      </w:r>
      <w:hyperlink r:id="rId437">
        <w:r>
          <w:rPr>
            <w:sz w:val="20"/>
          </w:rPr>
          <w:t>http://unitedwedream.org/wp-</w:t>
        </w:r>
      </w:hyperlink>
      <w:r>
        <w:rPr>
          <w:sz w:val="20"/>
        </w:rPr>
        <w:t xml:space="preserve"> </w:t>
      </w:r>
      <w:r>
        <w:rPr>
          <w:spacing w:val="-2"/>
          <w:sz w:val="20"/>
        </w:rPr>
        <w:t>content/uploads/2014/05/Undocumented-Millennials-Survey-Summary.pdf.</w:t>
      </w:r>
    </w:p>
    <w:p w:rsidR="00C76E6D" w:rsidRDefault="00913831">
      <w:pPr>
        <w:ind w:left="338" w:right="681" w:hanging="1"/>
        <w:rPr>
          <w:sz w:val="20"/>
        </w:rPr>
      </w:pPr>
      <w:bookmarkStart w:id="859" w:name="_bookmark604"/>
      <w:bookmarkEnd w:id="859"/>
      <w:r>
        <w:rPr>
          <w:sz w:val="20"/>
          <w:vertAlign w:val="superscript"/>
        </w:rPr>
        <w:t>2</w:t>
      </w:r>
      <w:r>
        <w:rPr>
          <w:sz w:val="20"/>
        </w:rPr>
        <w:t xml:space="preserve"> Hopkinson, R. A., Keatley, E., Glaeser, E., Erickson-Schroth, L., Fattal, O., Nicholson Sullivan, M. (2016). Persecution</w:t>
      </w:r>
      <w:r>
        <w:rPr>
          <w:spacing w:val="-7"/>
          <w:sz w:val="20"/>
        </w:rPr>
        <w:t xml:space="preserve"> </w:t>
      </w:r>
      <w:r>
        <w:rPr>
          <w:sz w:val="20"/>
        </w:rPr>
        <w:t>Experiences</w:t>
      </w:r>
      <w:r>
        <w:rPr>
          <w:spacing w:val="-7"/>
          <w:sz w:val="20"/>
        </w:rPr>
        <w:t xml:space="preserve"> </w:t>
      </w:r>
      <w:r>
        <w:rPr>
          <w:sz w:val="20"/>
        </w:rPr>
        <w:t>and</w:t>
      </w:r>
      <w:r>
        <w:rPr>
          <w:spacing w:val="-7"/>
          <w:sz w:val="20"/>
        </w:rPr>
        <w:t xml:space="preserve"> </w:t>
      </w:r>
      <w:r>
        <w:rPr>
          <w:sz w:val="20"/>
        </w:rPr>
        <w:t>Mental</w:t>
      </w:r>
      <w:r>
        <w:rPr>
          <w:spacing w:val="-7"/>
          <w:sz w:val="20"/>
        </w:rPr>
        <w:t xml:space="preserve"> </w:t>
      </w:r>
      <w:r>
        <w:rPr>
          <w:sz w:val="20"/>
        </w:rPr>
        <w:t>Health</w:t>
      </w:r>
      <w:r>
        <w:rPr>
          <w:spacing w:val="-6"/>
          <w:sz w:val="20"/>
        </w:rPr>
        <w:t xml:space="preserve"> </w:t>
      </w:r>
      <w:r>
        <w:rPr>
          <w:sz w:val="20"/>
        </w:rPr>
        <w:t>of</w:t>
      </w:r>
      <w:r>
        <w:rPr>
          <w:spacing w:val="-4"/>
          <w:sz w:val="20"/>
        </w:rPr>
        <w:t xml:space="preserve"> </w:t>
      </w:r>
      <w:r>
        <w:rPr>
          <w:sz w:val="20"/>
        </w:rPr>
        <w:t>LGBT</w:t>
      </w:r>
      <w:r>
        <w:rPr>
          <w:spacing w:val="-6"/>
          <w:sz w:val="20"/>
        </w:rPr>
        <w:t xml:space="preserve"> </w:t>
      </w:r>
      <w:r>
        <w:rPr>
          <w:sz w:val="20"/>
        </w:rPr>
        <w:t>Asylum</w:t>
      </w:r>
      <w:r>
        <w:rPr>
          <w:spacing w:val="-6"/>
          <w:sz w:val="20"/>
        </w:rPr>
        <w:t xml:space="preserve"> </w:t>
      </w:r>
      <w:r>
        <w:rPr>
          <w:sz w:val="20"/>
        </w:rPr>
        <w:t>Seekers.</w:t>
      </w:r>
      <w:r>
        <w:rPr>
          <w:spacing w:val="-5"/>
          <w:sz w:val="20"/>
        </w:rPr>
        <w:t xml:space="preserve"> </w:t>
      </w:r>
      <w:r>
        <w:rPr>
          <w:sz w:val="20"/>
        </w:rPr>
        <w:t>Journal</w:t>
      </w:r>
      <w:r>
        <w:rPr>
          <w:spacing w:val="-5"/>
          <w:sz w:val="20"/>
        </w:rPr>
        <w:t xml:space="preserve"> </w:t>
      </w:r>
      <w:r>
        <w:rPr>
          <w:sz w:val="20"/>
        </w:rPr>
        <w:t>o</w:t>
      </w:r>
      <w:r>
        <w:rPr>
          <w:sz w:val="20"/>
        </w:rPr>
        <w:t>f</w:t>
      </w:r>
      <w:r>
        <w:rPr>
          <w:spacing w:val="-4"/>
          <w:sz w:val="20"/>
        </w:rPr>
        <w:t xml:space="preserve"> </w:t>
      </w:r>
      <w:r>
        <w:rPr>
          <w:sz w:val="20"/>
        </w:rPr>
        <w:t>Homosexuality,</w:t>
      </w:r>
      <w:r>
        <w:rPr>
          <w:spacing w:val="-7"/>
          <w:sz w:val="20"/>
        </w:rPr>
        <w:t xml:space="preserve"> </w:t>
      </w:r>
      <w:r>
        <w:rPr>
          <w:sz w:val="20"/>
        </w:rPr>
        <w:t>64(12):</w:t>
      </w:r>
      <w:r>
        <w:rPr>
          <w:spacing w:val="-5"/>
          <w:sz w:val="20"/>
        </w:rPr>
        <w:t xml:space="preserve"> </w:t>
      </w:r>
      <w:r>
        <w:rPr>
          <w:sz w:val="20"/>
        </w:rPr>
        <w:t>1650-1666. DOI: 10.1080/00918369.2016.1253392.</w:t>
      </w:r>
    </w:p>
    <w:p w:rsidR="00C76E6D" w:rsidRDefault="00913831">
      <w:pPr>
        <w:ind w:left="339" w:right="864" w:hanging="2"/>
        <w:rPr>
          <w:sz w:val="20"/>
        </w:rPr>
      </w:pPr>
      <w:bookmarkStart w:id="860" w:name="_bookmark605"/>
      <w:bookmarkEnd w:id="860"/>
      <w:r>
        <w:rPr>
          <w:sz w:val="20"/>
          <w:vertAlign w:val="superscript"/>
        </w:rPr>
        <w:t>3</w:t>
      </w:r>
      <w:r>
        <w:rPr>
          <w:spacing w:val="-4"/>
          <w:sz w:val="20"/>
        </w:rPr>
        <w:t xml:space="preserve"> </w:t>
      </w:r>
      <w:r>
        <w:rPr>
          <w:sz w:val="20"/>
        </w:rPr>
        <w:t>Jaimes</w:t>
      </w:r>
      <w:r>
        <w:rPr>
          <w:spacing w:val="-5"/>
          <w:sz w:val="20"/>
        </w:rPr>
        <w:t xml:space="preserve"> </w:t>
      </w:r>
      <w:r>
        <w:rPr>
          <w:sz w:val="20"/>
        </w:rPr>
        <w:t>Pérez,</w:t>
      </w:r>
      <w:r>
        <w:rPr>
          <w:spacing w:val="-5"/>
          <w:sz w:val="20"/>
        </w:rPr>
        <w:t xml:space="preserve"> </w:t>
      </w:r>
      <w:r>
        <w:rPr>
          <w:sz w:val="20"/>
        </w:rPr>
        <w:t>Z.,</w:t>
      </w:r>
      <w:r>
        <w:rPr>
          <w:spacing w:val="-4"/>
          <w:sz w:val="20"/>
        </w:rPr>
        <w:t xml:space="preserve"> </w:t>
      </w:r>
      <w:r>
        <w:rPr>
          <w:sz w:val="20"/>
        </w:rPr>
        <w:t>Marrero</w:t>
      </w:r>
      <w:r>
        <w:rPr>
          <w:spacing w:val="-6"/>
          <w:sz w:val="20"/>
        </w:rPr>
        <w:t xml:space="preserve"> </w:t>
      </w:r>
      <w:r>
        <w:rPr>
          <w:sz w:val="20"/>
        </w:rPr>
        <w:t>Hi,</w:t>
      </w:r>
      <w:r>
        <w:rPr>
          <w:spacing w:val="-6"/>
          <w:sz w:val="20"/>
        </w:rPr>
        <w:t xml:space="preserve"> </w:t>
      </w:r>
      <w:r>
        <w:rPr>
          <w:sz w:val="20"/>
        </w:rPr>
        <w:t>D.,</w:t>
      </w:r>
      <w:r>
        <w:rPr>
          <w:spacing w:val="-5"/>
          <w:sz w:val="20"/>
        </w:rPr>
        <w:t xml:space="preserve"> </w:t>
      </w:r>
      <w:r>
        <w:rPr>
          <w:sz w:val="20"/>
        </w:rPr>
        <w:t>&amp;</w:t>
      </w:r>
      <w:r>
        <w:rPr>
          <w:spacing w:val="-4"/>
          <w:sz w:val="20"/>
        </w:rPr>
        <w:t xml:space="preserve"> </w:t>
      </w:r>
      <w:r>
        <w:rPr>
          <w:sz w:val="20"/>
        </w:rPr>
        <w:t>Padilla,</w:t>
      </w:r>
      <w:r>
        <w:rPr>
          <w:spacing w:val="-5"/>
          <w:sz w:val="20"/>
        </w:rPr>
        <w:t xml:space="preserve"> </w:t>
      </w:r>
      <w:r>
        <w:rPr>
          <w:sz w:val="20"/>
        </w:rPr>
        <w:t>C.</w:t>
      </w:r>
      <w:r>
        <w:rPr>
          <w:spacing w:val="-5"/>
          <w:sz w:val="20"/>
        </w:rPr>
        <w:t xml:space="preserve"> </w:t>
      </w:r>
      <w:r>
        <w:rPr>
          <w:sz w:val="20"/>
        </w:rPr>
        <w:t>(2016).</w:t>
      </w:r>
      <w:r>
        <w:rPr>
          <w:spacing w:val="-7"/>
          <w:sz w:val="20"/>
        </w:rPr>
        <w:t xml:space="preserve"> </w:t>
      </w:r>
      <w:r>
        <w:rPr>
          <w:sz w:val="20"/>
        </w:rPr>
        <w:t>No</w:t>
      </w:r>
      <w:r>
        <w:rPr>
          <w:spacing w:val="-8"/>
          <w:sz w:val="20"/>
        </w:rPr>
        <w:t xml:space="preserve"> </w:t>
      </w:r>
      <w:r>
        <w:rPr>
          <w:sz w:val="20"/>
        </w:rPr>
        <w:t>More</w:t>
      </w:r>
      <w:r>
        <w:rPr>
          <w:spacing w:val="-4"/>
          <w:sz w:val="20"/>
        </w:rPr>
        <w:t xml:space="preserve"> </w:t>
      </w:r>
      <w:r>
        <w:rPr>
          <w:sz w:val="20"/>
        </w:rPr>
        <w:t>Closets:</w:t>
      </w:r>
      <w:r>
        <w:rPr>
          <w:spacing w:val="-6"/>
          <w:sz w:val="20"/>
        </w:rPr>
        <w:t xml:space="preserve"> </w:t>
      </w:r>
      <w:r>
        <w:rPr>
          <w:sz w:val="20"/>
        </w:rPr>
        <w:t>Experiences</w:t>
      </w:r>
      <w:r>
        <w:rPr>
          <w:spacing w:val="-5"/>
          <w:sz w:val="20"/>
        </w:rPr>
        <w:t xml:space="preserve"> </w:t>
      </w:r>
      <w:r>
        <w:rPr>
          <w:sz w:val="20"/>
        </w:rPr>
        <w:t>of</w:t>
      </w:r>
      <w:r>
        <w:rPr>
          <w:spacing w:val="-7"/>
          <w:sz w:val="20"/>
        </w:rPr>
        <w:t xml:space="preserve"> </w:t>
      </w:r>
      <w:r>
        <w:rPr>
          <w:sz w:val="20"/>
        </w:rPr>
        <w:t>Discrimination</w:t>
      </w:r>
      <w:r>
        <w:rPr>
          <w:spacing w:val="-5"/>
          <w:sz w:val="20"/>
        </w:rPr>
        <w:t xml:space="preserve"> </w:t>
      </w:r>
      <w:r>
        <w:rPr>
          <w:sz w:val="20"/>
        </w:rPr>
        <w:t>among</w:t>
      </w:r>
      <w:r>
        <w:rPr>
          <w:spacing w:val="-5"/>
          <w:sz w:val="20"/>
        </w:rPr>
        <w:t xml:space="preserve"> </w:t>
      </w:r>
      <w:r>
        <w:rPr>
          <w:sz w:val="20"/>
        </w:rPr>
        <w:t xml:space="preserve">the LGBTQ Immigrant Community. United We Dream. Retrieved from </w:t>
      </w:r>
      <w:hyperlink r:id="rId438">
        <w:r>
          <w:rPr>
            <w:sz w:val="20"/>
          </w:rPr>
          <w:t>http://unitedwedream.org/wp-</w:t>
        </w:r>
      </w:hyperlink>
      <w:r>
        <w:rPr>
          <w:sz w:val="20"/>
        </w:rPr>
        <w:t xml:space="preserve"> </w:t>
      </w:r>
      <w:bookmarkStart w:id="861" w:name="_bookmark606"/>
      <w:bookmarkEnd w:id="861"/>
      <w:r>
        <w:rPr>
          <w:spacing w:val="-2"/>
          <w:sz w:val="20"/>
        </w:rPr>
        <w:t>content/uploads/2016/01/Report-No-More-Closets-1.pdf.</w:t>
      </w:r>
    </w:p>
    <w:p w:rsidR="00C76E6D" w:rsidRDefault="00913831">
      <w:pPr>
        <w:ind w:left="339" w:right="530" w:hanging="2"/>
        <w:rPr>
          <w:sz w:val="20"/>
        </w:rPr>
      </w:pPr>
      <w:r>
        <w:rPr>
          <w:sz w:val="20"/>
          <w:vertAlign w:val="superscript"/>
        </w:rPr>
        <w:t>4</w:t>
      </w:r>
      <w:r>
        <w:rPr>
          <w:spacing w:val="-4"/>
          <w:sz w:val="20"/>
        </w:rPr>
        <w:t xml:space="preserve"> </w:t>
      </w:r>
      <w:r>
        <w:rPr>
          <w:sz w:val="20"/>
        </w:rPr>
        <w:t>Goodenow,</w:t>
      </w:r>
      <w:r>
        <w:rPr>
          <w:spacing w:val="-4"/>
          <w:sz w:val="20"/>
        </w:rPr>
        <w:t xml:space="preserve"> </w:t>
      </w:r>
      <w:r>
        <w:rPr>
          <w:sz w:val="20"/>
        </w:rPr>
        <w:t>C.</w:t>
      </w:r>
      <w:r>
        <w:rPr>
          <w:spacing w:val="-6"/>
          <w:sz w:val="20"/>
        </w:rPr>
        <w:t xml:space="preserve"> </w:t>
      </w:r>
      <w:r>
        <w:rPr>
          <w:sz w:val="20"/>
        </w:rPr>
        <w:t>(2017).</w:t>
      </w:r>
      <w:r>
        <w:rPr>
          <w:spacing w:val="-6"/>
          <w:sz w:val="20"/>
        </w:rPr>
        <w:t xml:space="preserve"> </w:t>
      </w:r>
      <w:r>
        <w:rPr>
          <w:sz w:val="20"/>
        </w:rPr>
        <w:t>Analysis</w:t>
      </w:r>
      <w:r>
        <w:rPr>
          <w:spacing w:val="-5"/>
          <w:sz w:val="20"/>
        </w:rPr>
        <w:t xml:space="preserve"> </w:t>
      </w:r>
      <w:r>
        <w:rPr>
          <w:sz w:val="20"/>
        </w:rPr>
        <w:t>of</w:t>
      </w:r>
      <w:r>
        <w:rPr>
          <w:spacing w:val="-4"/>
          <w:sz w:val="20"/>
        </w:rPr>
        <w:t xml:space="preserve"> </w:t>
      </w:r>
      <w:r>
        <w:rPr>
          <w:sz w:val="20"/>
        </w:rPr>
        <w:t>2009</w:t>
      </w:r>
      <w:r>
        <w:rPr>
          <w:spacing w:val="-4"/>
          <w:sz w:val="20"/>
        </w:rPr>
        <w:t xml:space="preserve"> </w:t>
      </w:r>
      <w:r>
        <w:rPr>
          <w:sz w:val="20"/>
        </w:rPr>
        <w:t>and</w:t>
      </w:r>
      <w:r>
        <w:rPr>
          <w:spacing w:val="-7"/>
          <w:sz w:val="20"/>
        </w:rPr>
        <w:t xml:space="preserve"> </w:t>
      </w:r>
      <w:r>
        <w:rPr>
          <w:sz w:val="20"/>
        </w:rPr>
        <w:t>2013</w:t>
      </w:r>
      <w:r>
        <w:rPr>
          <w:spacing w:val="-5"/>
          <w:sz w:val="20"/>
        </w:rPr>
        <w:t xml:space="preserve"> </w:t>
      </w:r>
      <w:r>
        <w:rPr>
          <w:sz w:val="20"/>
        </w:rPr>
        <w:t>Combined</w:t>
      </w:r>
      <w:r>
        <w:rPr>
          <w:spacing w:val="-4"/>
          <w:sz w:val="20"/>
        </w:rPr>
        <w:t xml:space="preserve"> </w:t>
      </w:r>
      <w:r>
        <w:rPr>
          <w:sz w:val="20"/>
        </w:rPr>
        <w:t>YRBS</w:t>
      </w:r>
      <w:r>
        <w:rPr>
          <w:spacing w:val="-6"/>
          <w:sz w:val="20"/>
        </w:rPr>
        <w:t xml:space="preserve"> </w:t>
      </w:r>
      <w:r>
        <w:rPr>
          <w:sz w:val="20"/>
        </w:rPr>
        <w:t>Data</w:t>
      </w:r>
      <w:r>
        <w:rPr>
          <w:spacing w:val="-6"/>
          <w:sz w:val="20"/>
        </w:rPr>
        <w:t xml:space="preserve"> </w:t>
      </w:r>
      <w:r>
        <w:rPr>
          <w:sz w:val="20"/>
        </w:rPr>
        <w:t>on</w:t>
      </w:r>
      <w:r>
        <w:rPr>
          <w:spacing w:val="-4"/>
          <w:sz w:val="20"/>
        </w:rPr>
        <w:t xml:space="preserve"> </w:t>
      </w:r>
      <w:r>
        <w:rPr>
          <w:sz w:val="20"/>
        </w:rPr>
        <w:t>behalf</w:t>
      </w:r>
      <w:r>
        <w:rPr>
          <w:spacing w:val="-4"/>
          <w:sz w:val="20"/>
        </w:rPr>
        <w:t xml:space="preserve"> </w:t>
      </w:r>
      <w:r>
        <w:rPr>
          <w:sz w:val="20"/>
        </w:rPr>
        <w:t>of</w:t>
      </w:r>
      <w:r>
        <w:rPr>
          <w:spacing w:val="-6"/>
          <w:sz w:val="20"/>
        </w:rPr>
        <w:t xml:space="preserve"> </w:t>
      </w:r>
      <w:r>
        <w:rPr>
          <w:sz w:val="20"/>
        </w:rPr>
        <w:t>the</w:t>
      </w:r>
      <w:r>
        <w:rPr>
          <w:spacing w:val="-7"/>
          <w:sz w:val="20"/>
        </w:rPr>
        <w:t xml:space="preserve"> </w:t>
      </w:r>
      <w:r>
        <w:rPr>
          <w:sz w:val="20"/>
        </w:rPr>
        <w:t>Massachusetts</w:t>
      </w:r>
      <w:r>
        <w:rPr>
          <w:spacing w:val="-7"/>
          <w:sz w:val="20"/>
        </w:rPr>
        <w:t xml:space="preserve"> </w:t>
      </w:r>
      <w:r>
        <w:rPr>
          <w:sz w:val="20"/>
        </w:rPr>
        <w:t>Commission on LGBTQ Youth. U</w:t>
      </w:r>
      <w:r>
        <w:rPr>
          <w:sz w:val="20"/>
        </w:rPr>
        <w:t>npublished.</w:t>
      </w:r>
    </w:p>
    <w:p w:rsidR="00C76E6D" w:rsidRDefault="00913831">
      <w:pPr>
        <w:ind w:left="338" w:right="994"/>
        <w:rPr>
          <w:sz w:val="20"/>
        </w:rPr>
      </w:pPr>
      <w:bookmarkStart w:id="862" w:name="_bookmark607"/>
      <w:bookmarkEnd w:id="862"/>
      <w:r>
        <w:rPr>
          <w:sz w:val="20"/>
          <w:vertAlign w:val="superscript"/>
        </w:rPr>
        <w:t>5</w:t>
      </w:r>
      <w:r>
        <w:rPr>
          <w:spacing w:val="-4"/>
          <w:sz w:val="20"/>
        </w:rPr>
        <w:t xml:space="preserve"> </w:t>
      </w:r>
      <w:r>
        <w:rPr>
          <w:sz w:val="20"/>
        </w:rPr>
        <w:t>Gruberg,</w:t>
      </w:r>
      <w:r>
        <w:rPr>
          <w:spacing w:val="-5"/>
          <w:sz w:val="20"/>
        </w:rPr>
        <w:t xml:space="preserve"> </w:t>
      </w:r>
      <w:r>
        <w:rPr>
          <w:sz w:val="20"/>
        </w:rPr>
        <w:t>S.,</w:t>
      </w:r>
      <w:r>
        <w:rPr>
          <w:spacing w:val="-6"/>
          <w:sz w:val="20"/>
        </w:rPr>
        <w:t xml:space="preserve"> </w:t>
      </w:r>
      <w:r>
        <w:rPr>
          <w:sz w:val="20"/>
        </w:rPr>
        <w:t>Rooney,</w:t>
      </w:r>
      <w:r>
        <w:rPr>
          <w:spacing w:val="-4"/>
          <w:sz w:val="20"/>
        </w:rPr>
        <w:t xml:space="preserve"> </w:t>
      </w:r>
      <w:r>
        <w:rPr>
          <w:sz w:val="20"/>
        </w:rPr>
        <w:t>C.,</w:t>
      </w:r>
      <w:r>
        <w:rPr>
          <w:spacing w:val="-5"/>
          <w:sz w:val="20"/>
        </w:rPr>
        <w:t xml:space="preserve"> </w:t>
      </w:r>
      <w:r>
        <w:rPr>
          <w:sz w:val="20"/>
        </w:rPr>
        <w:t>McGovern,</w:t>
      </w:r>
      <w:r>
        <w:rPr>
          <w:spacing w:val="-4"/>
          <w:sz w:val="20"/>
        </w:rPr>
        <w:t xml:space="preserve"> </w:t>
      </w:r>
      <w:r>
        <w:rPr>
          <w:sz w:val="20"/>
        </w:rPr>
        <w:t>A.,</w:t>
      </w:r>
      <w:r>
        <w:rPr>
          <w:spacing w:val="-6"/>
          <w:sz w:val="20"/>
        </w:rPr>
        <w:t xml:space="preserve"> </w:t>
      </w:r>
      <w:r>
        <w:rPr>
          <w:sz w:val="20"/>
        </w:rPr>
        <w:t>Mirza,</w:t>
      </w:r>
      <w:r>
        <w:rPr>
          <w:spacing w:val="-4"/>
          <w:sz w:val="20"/>
        </w:rPr>
        <w:t xml:space="preserve"> </w:t>
      </w:r>
      <w:r>
        <w:rPr>
          <w:sz w:val="20"/>
        </w:rPr>
        <w:t>S.,</w:t>
      </w:r>
      <w:r>
        <w:rPr>
          <w:spacing w:val="-5"/>
          <w:sz w:val="20"/>
        </w:rPr>
        <w:t xml:space="preserve"> </w:t>
      </w:r>
      <w:r>
        <w:rPr>
          <w:sz w:val="20"/>
        </w:rPr>
        <w:t>and</w:t>
      </w:r>
      <w:r>
        <w:rPr>
          <w:spacing w:val="-7"/>
          <w:sz w:val="20"/>
        </w:rPr>
        <w:t xml:space="preserve"> </w:t>
      </w:r>
      <w:r>
        <w:rPr>
          <w:sz w:val="20"/>
        </w:rPr>
        <w:t>Durso,</w:t>
      </w:r>
      <w:r>
        <w:rPr>
          <w:spacing w:val="-4"/>
          <w:sz w:val="20"/>
        </w:rPr>
        <w:t xml:space="preserve"> </w:t>
      </w:r>
      <w:r>
        <w:rPr>
          <w:sz w:val="20"/>
        </w:rPr>
        <w:t>L.</w:t>
      </w:r>
      <w:r>
        <w:rPr>
          <w:spacing w:val="-5"/>
          <w:sz w:val="20"/>
        </w:rPr>
        <w:t xml:space="preserve"> </w:t>
      </w:r>
      <w:r>
        <w:rPr>
          <w:sz w:val="20"/>
        </w:rPr>
        <w:t>(2018).</w:t>
      </w:r>
      <w:r>
        <w:rPr>
          <w:spacing w:val="-6"/>
          <w:sz w:val="20"/>
        </w:rPr>
        <w:t xml:space="preserve"> </w:t>
      </w:r>
      <w:r>
        <w:rPr>
          <w:sz w:val="20"/>
        </w:rPr>
        <w:t>Serving</w:t>
      </w:r>
      <w:r>
        <w:rPr>
          <w:spacing w:val="-4"/>
          <w:sz w:val="20"/>
        </w:rPr>
        <w:t xml:space="preserve"> </w:t>
      </w:r>
      <w:r>
        <w:rPr>
          <w:sz w:val="20"/>
        </w:rPr>
        <w:t>LGBTQ</w:t>
      </w:r>
      <w:r>
        <w:rPr>
          <w:spacing w:val="-5"/>
          <w:sz w:val="20"/>
        </w:rPr>
        <w:t xml:space="preserve"> </w:t>
      </w:r>
      <w:r>
        <w:rPr>
          <w:sz w:val="20"/>
        </w:rPr>
        <w:t>Immigrants</w:t>
      </w:r>
      <w:r>
        <w:rPr>
          <w:spacing w:val="-5"/>
          <w:sz w:val="20"/>
        </w:rPr>
        <w:t xml:space="preserve"> </w:t>
      </w:r>
      <w:r>
        <w:rPr>
          <w:sz w:val="20"/>
        </w:rPr>
        <w:t>and</w:t>
      </w:r>
      <w:r>
        <w:rPr>
          <w:spacing w:val="-7"/>
          <w:sz w:val="20"/>
        </w:rPr>
        <w:t xml:space="preserve"> </w:t>
      </w:r>
      <w:r>
        <w:rPr>
          <w:sz w:val="20"/>
        </w:rPr>
        <w:t>Building Welcoming Communities. Retrieved from https://</w:t>
      </w:r>
      <w:hyperlink r:id="rId439">
        <w:r>
          <w:rPr>
            <w:sz w:val="20"/>
          </w:rPr>
          <w:t>www.americanprogress.org/issues/</w:t>
        </w:r>
      </w:hyperlink>
      <w:r>
        <w:rPr>
          <w:sz w:val="20"/>
        </w:rPr>
        <w:t xml:space="preserve"> </w:t>
      </w:r>
      <w:r>
        <w:rPr>
          <w:spacing w:val="-2"/>
          <w:sz w:val="20"/>
        </w:rPr>
        <w:t>lgbt/reports/2018/01/24/445308/serving-lgbtq-immigrants-building-welcoming-communities/.</w:t>
      </w:r>
    </w:p>
    <w:p w:rsidR="00C76E6D" w:rsidRDefault="00C76E6D">
      <w:pPr>
        <w:rPr>
          <w:sz w:val="20"/>
        </w:rPr>
        <w:sectPr w:rsidR="00C76E6D">
          <w:pgSz w:w="12240" w:h="15840"/>
          <w:pgMar w:top="1020" w:right="960" w:bottom="640" w:left="960" w:header="832" w:footer="440" w:gutter="0"/>
          <w:cols w:space="720"/>
        </w:sectPr>
      </w:pPr>
    </w:p>
    <w:p w:rsidR="00C76E6D" w:rsidRDefault="00C76E6D">
      <w:pPr>
        <w:pStyle w:val="BodyText"/>
        <w:spacing w:before="11"/>
        <w:rPr>
          <w:sz w:val="25"/>
        </w:rPr>
      </w:pPr>
    </w:p>
    <w:p w:rsidR="00C76E6D" w:rsidRDefault="00913831">
      <w:pPr>
        <w:pStyle w:val="Heading2"/>
      </w:pPr>
      <w:bookmarkStart w:id="863" w:name="Department_of_Transitional_Assistance"/>
      <w:bookmarkStart w:id="864" w:name="_bookmark608"/>
      <w:bookmarkEnd w:id="863"/>
      <w:bookmarkEnd w:id="864"/>
      <w:r>
        <w:t>Department</w:t>
      </w:r>
      <w:r>
        <w:rPr>
          <w:spacing w:val="-10"/>
        </w:rPr>
        <w:t xml:space="preserve"> </w:t>
      </w:r>
      <w:r>
        <w:t>of</w:t>
      </w:r>
      <w:r>
        <w:rPr>
          <w:spacing w:val="-10"/>
        </w:rPr>
        <w:t xml:space="preserve"> </w:t>
      </w:r>
      <w:r>
        <w:t>Transitional</w:t>
      </w:r>
      <w:r>
        <w:rPr>
          <w:spacing w:val="-8"/>
        </w:rPr>
        <w:t xml:space="preserve"> </w:t>
      </w:r>
      <w:r>
        <w:rPr>
          <w:spacing w:val="-2"/>
        </w:rPr>
        <w:t>Assistance</w:t>
      </w:r>
    </w:p>
    <w:p w:rsidR="00C76E6D" w:rsidRDefault="00913831">
      <w:pPr>
        <w:pStyle w:val="BodyText"/>
        <w:spacing w:before="12"/>
        <w:rPr>
          <w:b/>
          <w:sz w:val="11"/>
        </w:rPr>
      </w:pPr>
      <w:r>
        <w:pict>
          <v:shape id="docshape429" o:spid="_x0000_s1067" style="position:absolute;margin-left:65pt;margin-top:8.5pt;width:476.95pt;height:.1pt;z-index:-15638528;mso-wrap-distance-left:0;mso-wrap-distance-right:0;mso-position-horizontal-relative:page" coordorigin="1300,170" coordsize="9539,0" path="m1300,170r9539,e" filled="f" strokeweight="1.54pt">
            <v:path arrowok="t"/>
            <w10:wrap type="topAndBottom" anchorx="page"/>
          </v:shape>
        </w:pict>
      </w:r>
    </w:p>
    <w:p w:rsidR="00C76E6D" w:rsidRDefault="00913831">
      <w:pPr>
        <w:pStyle w:val="Heading5"/>
        <w:spacing w:before="181"/>
      </w:pPr>
      <w:r>
        <w:rPr>
          <w:spacing w:val="-2"/>
        </w:rPr>
        <w:t>FY2023</w:t>
      </w:r>
      <w:r>
        <w:rPr>
          <w:spacing w:val="-4"/>
        </w:rPr>
        <w:t xml:space="preserve"> </w:t>
      </w:r>
      <w:r>
        <w:rPr>
          <w:spacing w:val="-2"/>
        </w:rPr>
        <w:t>Recommendations</w:t>
      </w:r>
    </w:p>
    <w:p w:rsidR="00C76E6D" w:rsidRDefault="00C76E6D">
      <w:pPr>
        <w:pStyle w:val="BodyText"/>
        <w:spacing w:before="11"/>
        <w:rPr>
          <w:b/>
          <w:sz w:val="33"/>
        </w:rPr>
      </w:pPr>
    </w:p>
    <w:p w:rsidR="00C76E6D" w:rsidRDefault="00913831">
      <w:pPr>
        <w:pStyle w:val="ListParagraph"/>
        <w:numPr>
          <w:ilvl w:val="1"/>
          <w:numId w:val="8"/>
        </w:numPr>
        <w:tabs>
          <w:tab w:val="left" w:pos="920"/>
        </w:tabs>
        <w:spacing w:line="276" w:lineRule="auto"/>
        <w:ind w:right="341" w:firstLine="0"/>
        <w:jc w:val="both"/>
      </w:pPr>
      <w:r>
        <w:t>Support the DTA Diversity Council in developing LGBTQ-inclusive policies within DTA for employees, vendors, and clients.</w:t>
      </w:r>
    </w:p>
    <w:p w:rsidR="00C76E6D" w:rsidRDefault="00C76E6D">
      <w:pPr>
        <w:pStyle w:val="BodyText"/>
        <w:spacing w:before="2"/>
        <w:rPr>
          <w:sz w:val="25"/>
        </w:rPr>
      </w:pPr>
    </w:p>
    <w:p w:rsidR="00C76E6D" w:rsidRDefault="00913831">
      <w:pPr>
        <w:pStyle w:val="ListParagraph"/>
        <w:numPr>
          <w:ilvl w:val="1"/>
          <w:numId w:val="8"/>
        </w:numPr>
        <w:tabs>
          <w:tab w:val="left" w:pos="870"/>
        </w:tabs>
        <w:spacing w:line="276" w:lineRule="auto"/>
        <w:ind w:right="338" w:firstLine="0"/>
        <w:jc w:val="both"/>
      </w:pPr>
      <w:r>
        <w:t>Continue to provide LGBTQ cultural humility training for all staff and vendors, especially those caseworkers involved in direct servic</w:t>
      </w:r>
      <w:r>
        <w:t>e provision, and continue collaborating on the EOHHS interagency training effort.</w:t>
      </w:r>
    </w:p>
    <w:p w:rsidR="00C76E6D" w:rsidRDefault="00C76E6D">
      <w:pPr>
        <w:pStyle w:val="BodyText"/>
      </w:pPr>
    </w:p>
    <w:p w:rsidR="00C76E6D" w:rsidRDefault="00C76E6D">
      <w:pPr>
        <w:pStyle w:val="BodyText"/>
        <w:spacing w:before="2"/>
        <w:rPr>
          <w:sz w:val="23"/>
        </w:rPr>
      </w:pPr>
    </w:p>
    <w:p w:rsidR="00C76E6D" w:rsidRDefault="00913831">
      <w:pPr>
        <w:pStyle w:val="Heading5"/>
      </w:pPr>
      <w:r>
        <w:t>Background</w:t>
      </w:r>
      <w:r>
        <w:rPr>
          <w:spacing w:val="-15"/>
        </w:rPr>
        <w:t xml:space="preserve"> </w:t>
      </w:r>
      <w:r>
        <w:t>&amp;</w:t>
      </w:r>
      <w:r>
        <w:rPr>
          <w:spacing w:val="-6"/>
        </w:rPr>
        <w:t xml:space="preserve"> </w:t>
      </w:r>
      <w:r>
        <w:rPr>
          <w:spacing w:val="-2"/>
        </w:rPr>
        <w:t>Research</w:t>
      </w:r>
    </w:p>
    <w:p w:rsidR="00C76E6D" w:rsidRDefault="00913831">
      <w:pPr>
        <w:pStyle w:val="BodyText"/>
        <w:spacing w:before="2"/>
        <w:rPr>
          <w:b/>
          <w:sz w:val="11"/>
        </w:rPr>
      </w:pPr>
      <w:r>
        <w:pict>
          <v:shape id="docshape430" o:spid="_x0000_s1066" style="position:absolute;margin-left:65pt;margin-top:8.05pt;width:476.95pt;height:.1pt;z-index:-15638016;mso-wrap-distance-left:0;mso-wrap-distance-right:0;mso-position-horizontal-relative:page" coordorigin="1300,161" coordsize="9539,0" path="m1300,161r9539,e" filled="f" strokeweight="1.54pt">
            <v:path arrowok="t"/>
            <w10:wrap type="topAndBottom" anchorx="page"/>
          </v:shape>
        </w:pict>
      </w:r>
    </w:p>
    <w:p w:rsidR="00C76E6D" w:rsidRDefault="00C76E6D">
      <w:pPr>
        <w:pStyle w:val="BodyText"/>
        <w:spacing w:before="11"/>
        <w:rPr>
          <w:b/>
        </w:rPr>
      </w:pPr>
    </w:p>
    <w:p w:rsidR="00C76E6D" w:rsidRDefault="00913831">
      <w:pPr>
        <w:pStyle w:val="BodyText"/>
        <w:spacing w:line="276" w:lineRule="auto"/>
        <w:ind w:left="338" w:right="338"/>
        <w:jc w:val="both"/>
      </w:pPr>
      <w:r>
        <w:t>The Department of Transitional Assistance (DTA) assists low-income individuals and their families to meet their basic needs, increase their incomes, and improve overall quality of life. Evidence suggests that LGBTQ people</w:t>
      </w:r>
      <w:r>
        <w:rPr>
          <w:spacing w:val="-9"/>
        </w:rPr>
        <w:t xml:space="preserve"> </w:t>
      </w:r>
      <w:r>
        <w:t>are</w:t>
      </w:r>
      <w:r>
        <w:rPr>
          <w:spacing w:val="-8"/>
        </w:rPr>
        <w:t xml:space="preserve"> </w:t>
      </w:r>
      <w:r>
        <w:t>disproportionately</w:t>
      </w:r>
      <w:r>
        <w:rPr>
          <w:spacing w:val="-8"/>
        </w:rPr>
        <w:t xml:space="preserve"> </w:t>
      </w:r>
      <w:r>
        <w:t>food</w:t>
      </w:r>
      <w:r>
        <w:rPr>
          <w:spacing w:val="-9"/>
        </w:rPr>
        <w:t xml:space="preserve"> </w:t>
      </w:r>
      <w:r>
        <w:t>insecu</w:t>
      </w:r>
      <w:r>
        <w:t>re</w:t>
      </w:r>
      <w:r>
        <w:rPr>
          <w:spacing w:val="-8"/>
        </w:rPr>
        <w:t xml:space="preserve"> </w:t>
      </w:r>
      <w:r>
        <w:t>compared</w:t>
      </w:r>
      <w:r>
        <w:rPr>
          <w:spacing w:val="-9"/>
        </w:rPr>
        <w:t xml:space="preserve"> </w:t>
      </w:r>
      <w:r>
        <w:t>to</w:t>
      </w:r>
      <w:r>
        <w:rPr>
          <w:spacing w:val="-7"/>
        </w:rPr>
        <w:t xml:space="preserve"> </w:t>
      </w:r>
      <w:r>
        <w:t>non-LGBTQ</w:t>
      </w:r>
      <w:r>
        <w:rPr>
          <w:spacing w:val="-9"/>
        </w:rPr>
        <w:t xml:space="preserve"> </w:t>
      </w:r>
      <w:r>
        <w:t>peers.</w:t>
      </w:r>
      <w:r>
        <w:rPr>
          <w:spacing w:val="-8"/>
        </w:rPr>
        <w:t xml:space="preserve"> </w:t>
      </w:r>
      <w:r>
        <w:t>A</w:t>
      </w:r>
      <w:r>
        <w:rPr>
          <w:spacing w:val="-6"/>
        </w:rPr>
        <w:t xml:space="preserve"> </w:t>
      </w:r>
      <w:r>
        <w:t>national</w:t>
      </w:r>
      <w:r>
        <w:rPr>
          <w:spacing w:val="-9"/>
        </w:rPr>
        <w:t xml:space="preserve"> </w:t>
      </w:r>
      <w:r>
        <w:t>study</w:t>
      </w:r>
      <w:r>
        <w:rPr>
          <w:spacing w:val="-10"/>
        </w:rPr>
        <w:t xml:space="preserve"> </w:t>
      </w:r>
      <w:r>
        <w:t>found</w:t>
      </w:r>
      <w:r>
        <w:rPr>
          <w:spacing w:val="-8"/>
        </w:rPr>
        <w:t xml:space="preserve"> </w:t>
      </w:r>
      <w:r>
        <w:t>that</w:t>
      </w:r>
      <w:r>
        <w:rPr>
          <w:spacing w:val="-8"/>
        </w:rPr>
        <w:t xml:space="preserve"> </w:t>
      </w:r>
      <w:r>
        <w:t>LGB adults</w:t>
      </w:r>
      <w:r>
        <w:rPr>
          <w:spacing w:val="-3"/>
        </w:rPr>
        <w:t xml:space="preserve"> </w:t>
      </w:r>
      <w:r>
        <w:t>raising</w:t>
      </w:r>
      <w:r>
        <w:rPr>
          <w:spacing w:val="-2"/>
        </w:rPr>
        <w:t xml:space="preserve"> </w:t>
      </w:r>
      <w:r>
        <w:t>children</w:t>
      </w:r>
      <w:r>
        <w:rPr>
          <w:spacing w:val="-2"/>
        </w:rPr>
        <w:t xml:space="preserve"> </w:t>
      </w:r>
      <w:r>
        <w:t>are</w:t>
      </w:r>
      <w:r>
        <w:rPr>
          <w:spacing w:val="-1"/>
        </w:rPr>
        <w:t xml:space="preserve"> </w:t>
      </w:r>
      <w:r>
        <w:t>nearly</w:t>
      </w:r>
      <w:r>
        <w:rPr>
          <w:spacing w:val="-3"/>
        </w:rPr>
        <w:t xml:space="preserve"> </w:t>
      </w:r>
      <w:r>
        <w:t>twice</w:t>
      </w:r>
      <w:r>
        <w:rPr>
          <w:spacing w:val="-1"/>
        </w:rPr>
        <w:t xml:space="preserve"> </w:t>
      </w:r>
      <w:r>
        <w:t>as</w:t>
      </w:r>
      <w:r>
        <w:rPr>
          <w:spacing w:val="-3"/>
        </w:rPr>
        <w:t xml:space="preserve"> </w:t>
      </w:r>
      <w:r>
        <w:t>likely</w:t>
      </w:r>
      <w:r>
        <w:rPr>
          <w:spacing w:val="-1"/>
        </w:rPr>
        <w:t xml:space="preserve"> </w:t>
      </w:r>
      <w:r>
        <w:t>as</w:t>
      </w:r>
      <w:r>
        <w:rPr>
          <w:spacing w:val="-3"/>
        </w:rPr>
        <w:t xml:space="preserve"> </w:t>
      </w:r>
      <w:r>
        <w:t>their</w:t>
      </w:r>
      <w:r>
        <w:rPr>
          <w:spacing w:val="-3"/>
        </w:rPr>
        <w:t xml:space="preserve"> </w:t>
      </w:r>
      <w:r>
        <w:t>heterosexual</w:t>
      </w:r>
      <w:r>
        <w:rPr>
          <w:spacing w:val="-3"/>
        </w:rPr>
        <w:t xml:space="preserve"> </w:t>
      </w:r>
      <w:r>
        <w:t>counterparts</w:t>
      </w:r>
      <w:r>
        <w:rPr>
          <w:spacing w:val="-2"/>
        </w:rPr>
        <w:t xml:space="preserve"> </w:t>
      </w:r>
      <w:r>
        <w:t>to</w:t>
      </w:r>
      <w:r>
        <w:rPr>
          <w:spacing w:val="-2"/>
        </w:rPr>
        <w:t xml:space="preserve"> </w:t>
      </w:r>
      <w:r>
        <w:t>receive</w:t>
      </w:r>
      <w:r>
        <w:rPr>
          <w:spacing w:val="-3"/>
        </w:rPr>
        <w:t xml:space="preserve"> </w:t>
      </w:r>
      <w:r>
        <w:t>SNAP</w:t>
      </w:r>
      <w:r>
        <w:rPr>
          <w:spacing w:val="-1"/>
        </w:rPr>
        <w:t xml:space="preserve"> </w:t>
      </w:r>
      <w:r>
        <w:t>benefits. Sexual minority young adults aged 18 to 24 also show a stark disparity, with 26%</w:t>
      </w:r>
      <w:r>
        <w:t xml:space="preserve"> of LGB youth participating in SNAP compared to 17% of heterosexual youth</w:t>
      </w:r>
      <w:hyperlink w:anchor="_bookmark609" w:history="1">
        <w:r>
          <w:t>.</w:t>
        </w:r>
        <w:r>
          <w:rPr>
            <w:vertAlign w:val="superscript"/>
          </w:rPr>
          <w:t>1</w:t>
        </w:r>
      </w:hyperlink>
    </w:p>
    <w:p w:rsidR="00C76E6D" w:rsidRDefault="00C76E6D">
      <w:pPr>
        <w:pStyle w:val="BodyText"/>
        <w:spacing w:before="8"/>
        <w:rPr>
          <w:sz w:val="19"/>
        </w:rPr>
      </w:pPr>
    </w:p>
    <w:p w:rsidR="00C76E6D" w:rsidRDefault="00913831">
      <w:pPr>
        <w:pStyle w:val="BodyText"/>
        <w:spacing w:line="276" w:lineRule="auto"/>
        <w:ind w:left="338" w:right="333"/>
        <w:jc w:val="both"/>
      </w:pPr>
      <w:r>
        <w:t>A</w:t>
      </w:r>
      <w:r>
        <w:rPr>
          <w:spacing w:val="-13"/>
        </w:rPr>
        <w:t xml:space="preserve"> </w:t>
      </w:r>
      <w:r>
        <w:t>study</w:t>
      </w:r>
      <w:r>
        <w:rPr>
          <w:spacing w:val="-12"/>
        </w:rPr>
        <w:t xml:space="preserve"> </w:t>
      </w:r>
      <w:r>
        <w:t>done</w:t>
      </w:r>
      <w:r>
        <w:rPr>
          <w:spacing w:val="-11"/>
        </w:rPr>
        <w:t xml:space="preserve"> </w:t>
      </w:r>
      <w:r>
        <w:t>on</w:t>
      </w:r>
      <w:r>
        <w:rPr>
          <w:spacing w:val="-13"/>
        </w:rPr>
        <w:t xml:space="preserve"> </w:t>
      </w:r>
      <w:r>
        <w:t>SNAP</w:t>
      </w:r>
      <w:r>
        <w:rPr>
          <w:spacing w:val="-11"/>
        </w:rPr>
        <w:t xml:space="preserve"> </w:t>
      </w:r>
      <w:r>
        <w:t>participation</w:t>
      </w:r>
      <w:r>
        <w:rPr>
          <w:spacing w:val="-12"/>
        </w:rPr>
        <w:t xml:space="preserve"> </w:t>
      </w:r>
      <w:r>
        <w:t>during</w:t>
      </w:r>
      <w:r>
        <w:rPr>
          <w:spacing w:val="-12"/>
        </w:rPr>
        <w:t xml:space="preserve"> </w:t>
      </w:r>
      <w:r>
        <w:t>the</w:t>
      </w:r>
      <w:r>
        <w:rPr>
          <w:spacing w:val="-13"/>
        </w:rPr>
        <w:t xml:space="preserve"> </w:t>
      </w:r>
      <w:r>
        <w:t>first</w:t>
      </w:r>
      <w:r>
        <w:rPr>
          <w:spacing w:val="-12"/>
        </w:rPr>
        <w:t xml:space="preserve"> </w:t>
      </w:r>
      <w:r>
        <w:t>year</w:t>
      </w:r>
      <w:r>
        <w:rPr>
          <w:spacing w:val="-13"/>
        </w:rPr>
        <w:t xml:space="preserve"> </w:t>
      </w:r>
      <w:r>
        <w:t>of</w:t>
      </w:r>
      <w:r>
        <w:rPr>
          <w:spacing w:val="-12"/>
        </w:rPr>
        <w:t xml:space="preserve"> </w:t>
      </w:r>
      <w:r>
        <w:t>the</w:t>
      </w:r>
      <w:r>
        <w:rPr>
          <w:spacing w:val="-12"/>
        </w:rPr>
        <w:t xml:space="preserve"> </w:t>
      </w:r>
      <w:r>
        <w:t>COVID-19</w:t>
      </w:r>
      <w:r>
        <w:rPr>
          <w:spacing w:val="-12"/>
        </w:rPr>
        <w:t xml:space="preserve"> </w:t>
      </w:r>
      <w:r>
        <w:t>pandemic</w:t>
      </w:r>
      <w:r>
        <w:rPr>
          <w:spacing w:val="-12"/>
        </w:rPr>
        <w:t xml:space="preserve"> </w:t>
      </w:r>
      <w:r>
        <w:t>noted</w:t>
      </w:r>
      <w:r>
        <w:rPr>
          <w:spacing w:val="-13"/>
        </w:rPr>
        <w:t xml:space="preserve"> </w:t>
      </w:r>
      <w:r>
        <w:t>that</w:t>
      </w:r>
      <w:r>
        <w:rPr>
          <w:spacing w:val="-10"/>
        </w:rPr>
        <w:t xml:space="preserve"> </w:t>
      </w:r>
      <w:r>
        <w:t>LGBTQ</w:t>
      </w:r>
      <w:r>
        <w:rPr>
          <w:spacing w:val="-13"/>
        </w:rPr>
        <w:t xml:space="preserve"> </w:t>
      </w:r>
      <w:r>
        <w:t>women were</w:t>
      </w:r>
      <w:r>
        <w:rPr>
          <w:spacing w:val="-8"/>
        </w:rPr>
        <w:t xml:space="preserve"> </w:t>
      </w:r>
      <w:r>
        <w:t>almost</w:t>
      </w:r>
      <w:r>
        <w:rPr>
          <w:spacing w:val="-7"/>
        </w:rPr>
        <w:t xml:space="preserve"> </w:t>
      </w:r>
      <w:r>
        <w:t>twice</w:t>
      </w:r>
      <w:r>
        <w:rPr>
          <w:spacing w:val="-7"/>
        </w:rPr>
        <w:t xml:space="preserve"> </w:t>
      </w:r>
      <w:r>
        <w:t>as</w:t>
      </w:r>
      <w:r>
        <w:rPr>
          <w:spacing w:val="-6"/>
        </w:rPr>
        <w:t xml:space="preserve"> </w:t>
      </w:r>
      <w:r>
        <w:t>likely</w:t>
      </w:r>
      <w:r>
        <w:rPr>
          <w:spacing w:val="-4"/>
        </w:rPr>
        <w:t xml:space="preserve"> </w:t>
      </w:r>
      <w:r>
        <w:t>(18%)</w:t>
      </w:r>
      <w:r>
        <w:rPr>
          <w:spacing w:val="-7"/>
        </w:rPr>
        <w:t xml:space="preserve"> </w:t>
      </w:r>
      <w:r>
        <w:t>as</w:t>
      </w:r>
      <w:r>
        <w:rPr>
          <w:spacing w:val="-6"/>
        </w:rPr>
        <w:t xml:space="preserve"> </w:t>
      </w:r>
      <w:r>
        <w:t>non-LGBTQ</w:t>
      </w:r>
      <w:r>
        <w:rPr>
          <w:spacing w:val="-7"/>
        </w:rPr>
        <w:t xml:space="preserve"> </w:t>
      </w:r>
      <w:r>
        <w:t>women</w:t>
      </w:r>
      <w:r>
        <w:rPr>
          <w:spacing w:val="-7"/>
        </w:rPr>
        <w:t xml:space="preserve"> </w:t>
      </w:r>
      <w:r>
        <w:t>(10%)</w:t>
      </w:r>
      <w:r>
        <w:rPr>
          <w:spacing w:val="-6"/>
        </w:rPr>
        <w:t xml:space="preserve"> </w:t>
      </w:r>
      <w:r>
        <w:t>to</w:t>
      </w:r>
      <w:r>
        <w:rPr>
          <w:spacing w:val="-6"/>
        </w:rPr>
        <w:t xml:space="preserve"> </w:t>
      </w:r>
      <w:r>
        <w:t>receive</w:t>
      </w:r>
      <w:r>
        <w:rPr>
          <w:spacing w:val="-6"/>
        </w:rPr>
        <w:t xml:space="preserve"> </w:t>
      </w:r>
      <w:r>
        <w:t>SNAP</w:t>
      </w:r>
      <w:r>
        <w:rPr>
          <w:spacing w:val="-6"/>
        </w:rPr>
        <w:t xml:space="preserve"> </w:t>
      </w:r>
      <w:r>
        <w:t>benefits</w:t>
      </w:r>
      <w:hyperlink w:anchor="_bookmark610" w:history="1">
        <w:r>
          <w:t>.</w:t>
        </w:r>
        <w:r>
          <w:rPr>
            <w:vertAlign w:val="superscript"/>
          </w:rPr>
          <w:t>2</w:t>
        </w:r>
        <w:r>
          <w:rPr>
            <w:spacing w:val="-6"/>
          </w:rPr>
          <w:t xml:space="preserve"> </w:t>
        </w:r>
      </w:hyperlink>
      <w:r>
        <w:t>More</w:t>
      </w:r>
      <w:r>
        <w:rPr>
          <w:spacing w:val="-6"/>
        </w:rPr>
        <w:t xml:space="preserve"> </w:t>
      </w:r>
      <w:r>
        <w:t>broadly,</w:t>
      </w:r>
      <w:r>
        <w:rPr>
          <w:spacing w:val="-6"/>
        </w:rPr>
        <w:t xml:space="preserve"> </w:t>
      </w:r>
      <w:r>
        <w:t>data indicate</w:t>
      </w:r>
      <w:r>
        <w:rPr>
          <w:spacing w:val="-13"/>
        </w:rPr>
        <w:t xml:space="preserve"> </w:t>
      </w:r>
      <w:r>
        <w:t>that</w:t>
      </w:r>
      <w:r>
        <w:rPr>
          <w:spacing w:val="-10"/>
        </w:rPr>
        <w:t xml:space="preserve"> </w:t>
      </w:r>
      <w:r>
        <w:t>LGBTQ</w:t>
      </w:r>
      <w:r>
        <w:rPr>
          <w:spacing w:val="-12"/>
        </w:rPr>
        <w:t xml:space="preserve"> </w:t>
      </w:r>
      <w:r>
        <w:t>communities</w:t>
      </w:r>
      <w:r>
        <w:rPr>
          <w:spacing w:val="-12"/>
        </w:rPr>
        <w:t xml:space="preserve"> </w:t>
      </w:r>
      <w:r>
        <w:t>are</w:t>
      </w:r>
      <w:r>
        <w:rPr>
          <w:spacing w:val="-10"/>
        </w:rPr>
        <w:t xml:space="preserve"> </w:t>
      </w:r>
      <w:r>
        <w:t>particularly</w:t>
      </w:r>
      <w:r>
        <w:rPr>
          <w:spacing w:val="-12"/>
        </w:rPr>
        <w:t xml:space="preserve"> </w:t>
      </w:r>
      <w:r>
        <w:t>vulnerable</w:t>
      </w:r>
      <w:r>
        <w:rPr>
          <w:spacing w:val="-13"/>
        </w:rPr>
        <w:t xml:space="preserve"> </w:t>
      </w:r>
      <w:r>
        <w:t>to</w:t>
      </w:r>
      <w:r>
        <w:rPr>
          <w:spacing w:val="-11"/>
        </w:rPr>
        <w:t xml:space="preserve"> </w:t>
      </w:r>
      <w:r>
        <w:t>poverty.</w:t>
      </w:r>
      <w:r>
        <w:rPr>
          <w:spacing w:val="-13"/>
        </w:rPr>
        <w:t xml:space="preserve"> </w:t>
      </w:r>
      <w:r>
        <w:t>According</w:t>
      </w:r>
      <w:r>
        <w:rPr>
          <w:spacing w:val="-12"/>
        </w:rPr>
        <w:t xml:space="preserve"> </w:t>
      </w:r>
      <w:r>
        <w:t>to</w:t>
      </w:r>
      <w:r>
        <w:rPr>
          <w:spacing w:val="-11"/>
        </w:rPr>
        <w:t xml:space="preserve"> </w:t>
      </w:r>
      <w:r>
        <w:t>one</w:t>
      </w:r>
      <w:r>
        <w:rPr>
          <w:spacing w:val="-13"/>
        </w:rPr>
        <w:t xml:space="preserve"> </w:t>
      </w:r>
      <w:r>
        <w:t>analysis</w:t>
      </w:r>
      <w:r>
        <w:rPr>
          <w:spacing w:val="-12"/>
        </w:rPr>
        <w:t xml:space="preserve"> </w:t>
      </w:r>
      <w:r>
        <w:t>of</w:t>
      </w:r>
      <w:r>
        <w:rPr>
          <w:spacing w:val="-13"/>
        </w:rPr>
        <w:t xml:space="preserve"> </w:t>
      </w:r>
      <w:r>
        <w:t>national census</w:t>
      </w:r>
      <w:r>
        <w:rPr>
          <w:spacing w:val="-1"/>
        </w:rPr>
        <w:t xml:space="preserve"> </w:t>
      </w:r>
      <w:r>
        <w:t>data,</w:t>
      </w:r>
      <w:r>
        <w:rPr>
          <w:spacing w:val="-2"/>
        </w:rPr>
        <w:t xml:space="preserve"> </w:t>
      </w:r>
      <w:r>
        <w:t>individuals</w:t>
      </w:r>
      <w:r>
        <w:rPr>
          <w:spacing w:val="-1"/>
        </w:rPr>
        <w:t xml:space="preserve"> </w:t>
      </w:r>
      <w:r>
        <w:t>in</w:t>
      </w:r>
      <w:r>
        <w:rPr>
          <w:spacing w:val="-1"/>
        </w:rPr>
        <w:t xml:space="preserve"> </w:t>
      </w:r>
      <w:r>
        <w:t>same-sex</w:t>
      </w:r>
      <w:r>
        <w:rPr>
          <w:spacing w:val="-2"/>
        </w:rPr>
        <w:t xml:space="preserve"> </w:t>
      </w:r>
      <w:r>
        <w:t>couples</w:t>
      </w:r>
      <w:r>
        <w:rPr>
          <w:spacing w:val="-2"/>
        </w:rPr>
        <w:t xml:space="preserve"> </w:t>
      </w:r>
      <w:r>
        <w:t>are</w:t>
      </w:r>
      <w:r>
        <w:rPr>
          <w:spacing w:val="-1"/>
        </w:rPr>
        <w:t xml:space="preserve"> </w:t>
      </w:r>
      <w:r>
        <w:t>more</w:t>
      </w:r>
      <w:r>
        <w:rPr>
          <w:spacing w:val="-3"/>
        </w:rPr>
        <w:t xml:space="preserve"> </w:t>
      </w:r>
      <w:r>
        <w:t>likely</w:t>
      </w:r>
      <w:r>
        <w:rPr>
          <w:spacing w:val="-1"/>
        </w:rPr>
        <w:t xml:space="preserve"> </w:t>
      </w:r>
      <w:r>
        <w:t>than</w:t>
      </w:r>
      <w:r>
        <w:rPr>
          <w:spacing w:val="-1"/>
        </w:rPr>
        <w:t xml:space="preserve"> </w:t>
      </w:r>
      <w:r>
        <w:t>their</w:t>
      </w:r>
      <w:r>
        <w:rPr>
          <w:spacing w:val="-1"/>
        </w:rPr>
        <w:t xml:space="preserve"> </w:t>
      </w:r>
      <w:r>
        <w:t>counterparts</w:t>
      </w:r>
      <w:r>
        <w:rPr>
          <w:spacing w:val="-2"/>
        </w:rPr>
        <w:t xml:space="preserve"> </w:t>
      </w:r>
      <w:r>
        <w:t>in</w:t>
      </w:r>
      <w:r>
        <w:rPr>
          <w:spacing w:val="-1"/>
        </w:rPr>
        <w:t xml:space="preserve"> </w:t>
      </w:r>
      <w:r>
        <w:t>different-sex</w:t>
      </w:r>
      <w:r>
        <w:rPr>
          <w:spacing w:val="-1"/>
        </w:rPr>
        <w:t xml:space="preserve"> </w:t>
      </w:r>
      <w:r>
        <w:t>couples to report receiving TANF</w:t>
      </w:r>
      <w:hyperlink w:anchor="_bookmark611" w:history="1">
        <w:r>
          <w:t>.</w:t>
        </w:r>
        <w:r>
          <w:rPr>
            <w:vertAlign w:val="superscript"/>
          </w:rPr>
          <w:t>3</w:t>
        </w:r>
        <w:r>
          <w:t xml:space="preserve"> </w:t>
        </w:r>
      </w:hyperlink>
      <w:r>
        <w:t>Poverty rates are especially high among some LGBTQ parents and some LGBTQ communities</w:t>
      </w:r>
      <w:r>
        <w:rPr>
          <w:spacing w:val="-7"/>
        </w:rPr>
        <w:t xml:space="preserve"> </w:t>
      </w:r>
      <w:r>
        <w:t>of</w:t>
      </w:r>
      <w:r>
        <w:rPr>
          <w:spacing w:val="-11"/>
        </w:rPr>
        <w:t xml:space="preserve"> </w:t>
      </w:r>
      <w:r>
        <w:t>color</w:t>
      </w:r>
      <w:hyperlink w:anchor="_bookmark612" w:history="1">
        <w:r>
          <w:t>.</w:t>
        </w:r>
        <w:r>
          <w:rPr>
            <w:vertAlign w:val="superscript"/>
          </w:rPr>
          <w:t>4</w:t>
        </w:r>
        <w:r>
          <w:rPr>
            <w:spacing w:val="-12"/>
          </w:rPr>
          <w:t xml:space="preserve"> </w:t>
        </w:r>
      </w:hyperlink>
      <w:r>
        <w:t>Fur</w:t>
      </w:r>
      <w:r>
        <w:t>thermore,</w:t>
      </w:r>
      <w:r>
        <w:rPr>
          <w:spacing w:val="-10"/>
        </w:rPr>
        <w:t xml:space="preserve"> </w:t>
      </w:r>
      <w:r>
        <w:t>commonly</w:t>
      </w:r>
      <w:r>
        <w:rPr>
          <w:spacing w:val="-10"/>
        </w:rPr>
        <w:t xml:space="preserve"> </w:t>
      </w:r>
      <w:r>
        <w:t>cited</w:t>
      </w:r>
      <w:r>
        <w:rPr>
          <w:spacing w:val="-9"/>
        </w:rPr>
        <w:t xml:space="preserve"> </w:t>
      </w:r>
      <w:r>
        <w:t>estimates</w:t>
      </w:r>
      <w:r>
        <w:rPr>
          <w:spacing w:val="-9"/>
        </w:rPr>
        <w:t xml:space="preserve"> </w:t>
      </w:r>
      <w:r>
        <w:t>suggest</w:t>
      </w:r>
      <w:r>
        <w:rPr>
          <w:spacing w:val="-10"/>
        </w:rPr>
        <w:t xml:space="preserve"> </w:t>
      </w:r>
      <w:r>
        <w:t>that</w:t>
      </w:r>
      <w:r>
        <w:rPr>
          <w:spacing w:val="-10"/>
        </w:rPr>
        <w:t xml:space="preserve"> </w:t>
      </w:r>
      <w:r>
        <w:t>approximately</w:t>
      </w:r>
      <w:r>
        <w:rPr>
          <w:spacing w:val="-10"/>
        </w:rPr>
        <w:t xml:space="preserve"> </w:t>
      </w:r>
      <w:r>
        <w:t>40%</w:t>
      </w:r>
      <w:r>
        <w:rPr>
          <w:spacing w:val="-11"/>
        </w:rPr>
        <w:t xml:space="preserve"> </w:t>
      </w:r>
      <w:r>
        <w:t>of</w:t>
      </w:r>
      <w:r>
        <w:rPr>
          <w:spacing w:val="-10"/>
        </w:rPr>
        <w:t xml:space="preserve"> </w:t>
      </w:r>
      <w:r>
        <w:t>homeless youth are LGBTQ and that 1 in 5 transgender individuals between the ages of 18 and 24 have experienced homelessness, with many also experiencing neglect, abuse, or violence</w:t>
      </w:r>
      <w:hyperlink w:anchor="_bookmark613" w:history="1">
        <w:r>
          <w:t>.</w:t>
        </w:r>
        <w:r>
          <w:rPr>
            <w:vertAlign w:val="superscript"/>
          </w:rPr>
          <w:t>5</w:t>
        </w:r>
        <w:r>
          <w:t xml:space="preserve"> </w:t>
        </w:r>
      </w:hyperlink>
      <w:r>
        <w:t>More research on homelessness among LGBTQ youth is presented in the research review above.</w:t>
      </w:r>
    </w:p>
    <w:p w:rsidR="00C76E6D" w:rsidRDefault="00C76E6D">
      <w:pPr>
        <w:pStyle w:val="BodyText"/>
        <w:spacing w:before="9"/>
        <w:rPr>
          <w:sz w:val="19"/>
        </w:rPr>
      </w:pPr>
    </w:p>
    <w:p w:rsidR="00C76E6D" w:rsidRDefault="00913831">
      <w:pPr>
        <w:pStyle w:val="BodyText"/>
        <w:spacing w:line="276" w:lineRule="auto"/>
        <w:ind w:left="338" w:right="332"/>
        <w:jc w:val="both"/>
      </w:pPr>
      <w:r>
        <w:t>The Commission has appreciated the collaboration with Commissioner Amy Kershaw and the work that has already been done to make the local DTA offices more affirming of LGBTQ youth. The Commission congratulates DTA for its work in successfully drafting, fina</w:t>
      </w:r>
      <w:r>
        <w:t>lizing, and approving a new nondiscrimination policy and guidance that incorporates sexual orientation and gender identity and agreeing to provide customer service training to all caseworkers. DTA has been part of the EOHHS interagency committee on LGBTQ i</w:t>
      </w:r>
      <w:r>
        <w:t>ssues and has also been represented on the subcommittee working on an interagency LGBTQ training.</w:t>
      </w:r>
      <w:r>
        <w:rPr>
          <w:spacing w:val="-2"/>
        </w:rPr>
        <w:t xml:space="preserve"> </w:t>
      </w:r>
      <w:r>
        <w:t>The</w:t>
      </w:r>
      <w:r>
        <w:rPr>
          <w:spacing w:val="-2"/>
        </w:rPr>
        <w:t xml:space="preserve"> </w:t>
      </w:r>
      <w:r>
        <w:t>Commission</w:t>
      </w:r>
      <w:r>
        <w:rPr>
          <w:spacing w:val="-3"/>
        </w:rPr>
        <w:t xml:space="preserve"> </w:t>
      </w:r>
      <w:r>
        <w:t>hopes</w:t>
      </w:r>
      <w:r>
        <w:rPr>
          <w:spacing w:val="-3"/>
        </w:rPr>
        <w:t xml:space="preserve"> </w:t>
      </w:r>
      <w:r>
        <w:t>that</w:t>
      </w:r>
      <w:r>
        <w:rPr>
          <w:spacing w:val="-2"/>
        </w:rPr>
        <w:t xml:space="preserve"> </w:t>
      </w:r>
      <w:r>
        <w:t>this</w:t>
      </w:r>
      <w:r>
        <w:rPr>
          <w:spacing w:val="-3"/>
        </w:rPr>
        <w:t xml:space="preserve"> </w:t>
      </w:r>
      <w:r>
        <w:t>online</w:t>
      </w:r>
      <w:r>
        <w:rPr>
          <w:spacing w:val="-3"/>
        </w:rPr>
        <w:t xml:space="preserve"> </w:t>
      </w:r>
      <w:r>
        <w:t>training</w:t>
      </w:r>
      <w:r>
        <w:rPr>
          <w:spacing w:val="-3"/>
        </w:rPr>
        <w:t xml:space="preserve"> </w:t>
      </w:r>
      <w:r>
        <w:t>might</w:t>
      </w:r>
      <w:r>
        <w:rPr>
          <w:spacing w:val="-3"/>
        </w:rPr>
        <w:t xml:space="preserve"> </w:t>
      </w:r>
      <w:r>
        <w:t>be</w:t>
      </w:r>
      <w:r>
        <w:rPr>
          <w:spacing w:val="-2"/>
        </w:rPr>
        <w:t xml:space="preserve"> </w:t>
      </w:r>
      <w:r>
        <w:t>a</w:t>
      </w:r>
      <w:r>
        <w:rPr>
          <w:spacing w:val="-3"/>
        </w:rPr>
        <w:t xml:space="preserve"> </w:t>
      </w:r>
      <w:r>
        <w:t>way</w:t>
      </w:r>
      <w:r>
        <w:rPr>
          <w:spacing w:val="-3"/>
        </w:rPr>
        <w:t xml:space="preserve"> </w:t>
      </w:r>
      <w:r>
        <w:t>for</w:t>
      </w:r>
      <w:r>
        <w:rPr>
          <w:spacing w:val="-4"/>
        </w:rPr>
        <w:t xml:space="preserve"> </w:t>
      </w:r>
      <w:r>
        <w:t>DTA</w:t>
      </w:r>
      <w:r>
        <w:rPr>
          <w:spacing w:val="-3"/>
        </w:rPr>
        <w:t xml:space="preserve"> </w:t>
      </w:r>
      <w:r>
        <w:t>to</w:t>
      </w:r>
      <w:r>
        <w:rPr>
          <w:spacing w:val="-2"/>
        </w:rPr>
        <w:t xml:space="preserve"> </w:t>
      </w:r>
      <w:r>
        <w:t>provide</w:t>
      </w:r>
      <w:r>
        <w:rPr>
          <w:spacing w:val="-2"/>
        </w:rPr>
        <w:t xml:space="preserve"> </w:t>
      </w:r>
      <w:r>
        <w:t>all</w:t>
      </w:r>
      <w:r>
        <w:rPr>
          <w:spacing w:val="-3"/>
        </w:rPr>
        <w:t xml:space="preserve"> </w:t>
      </w:r>
      <w:r>
        <w:t>its</w:t>
      </w:r>
      <w:r>
        <w:rPr>
          <w:spacing w:val="-3"/>
        </w:rPr>
        <w:t xml:space="preserve"> </w:t>
      </w:r>
      <w:r>
        <w:t>employees with basic competency training. Finally, the Commission beg</w:t>
      </w:r>
      <w:r>
        <w:t>an a conversation with DTA about potentially expanding data collection to be more LGBTQ inclusive at a meeting in March 2019. DTA notes that most of its data collection occurs through the provision of SNAP benefits and is heavily regulated by the federal g</w:t>
      </w:r>
      <w:r>
        <w:t>overnment. The Commission looks forward to continuing this conversation and potentially offering a recommendation for 2021.</w:t>
      </w:r>
    </w:p>
    <w:p w:rsidR="00C76E6D" w:rsidRDefault="00C76E6D">
      <w:pPr>
        <w:spacing w:line="276" w:lineRule="auto"/>
        <w:jc w:val="both"/>
        <w:sectPr w:rsidR="00C76E6D">
          <w:headerReference w:type="default" r:id="rId440"/>
          <w:footerReference w:type="default" r:id="rId441"/>
          <w:pgSz w:w="12240" w:h="15840"/>
          <w:pgMar w:top="1020" w:right="960" w:bottom="640" w:left="960" w:header="832" w:footer="440" w:gutter="0"/>
          <w:cols w:space="720"/>
        </w:sectPr>
      </w:pPr>
    </w:p>
    <w:p w:rsidR="00C76E6D" w:rsidRDefault="00C76E6D">
      <w:pPr>
        <w:pStyle w:val="BodyText"/>
        <w:rPr>
          <w:sz w:val="20"/>
        </w:rPr>
      </w:pPr>
    </w:p>
    <w:p w:rsidR="00C76E6D" w:rsidRDefault="00C76E6D">
      <w:pPr>
        <w:pStyle w:val="BodyText"/>
        <w:spacing w:before="10"/>
        <w:rPr>
          <w:sz w:val="29"/>
        </w:rPr>
      </w:pPr>
    </w:p>
    <w:p w:rsidR="00C76E6D" w:rsidRDefault="00913831">
      <w:pPr>
        <w:pStyle w:val="Heading5"/>
        <w:spacing w:before="51"/>
      </w:pPr>
      <w:r>
        <w:rPr>
          <w:spacing w:val="-2"/>
        </w:rPr>
        <w:t>Expanded</w:t>
      </w:r>
      <w:r>
        <w:t xml:space="preserve"> </w:t>
      </w:r>
      <w:r>
        <w:rPr>
          <w:spacing w:val="-2"/>
        </w:rPr>
        <w:t>Recommendations</w:t>
      </w:r>
    </w:p>
    <w:p w:rsidR="00C76E6D" w:rsidRDefault="00913831">
      <w:pPr>
        <w:pStyle w:val="BodyText"/>
        <w:spacing w:before="10"/>
        <w:rPr>
          <w:b/>
          <w:sz w:val="6"/>
        </w:rPr>
      </w:pPr>
      <w:r>
        <w:pict>
          <v:shape id="docshape431" o:spid="_x0000_s1065" style="position:absolute;margin-left:65pt;margin-top:5.4pt;width:476.95pt;height:.1pt;z-index:-15637504;mso-wrap-distance-left:0;mso-wrap-distance-right:0;mso-position-horizontal-relative:page" coordorigin="1300,108" coordsize="9539,0" path="m1300,108r9539,e" filled="f" strokeweight="1.54pt">
            <v:path arrowok="t"/>
            <w10:wrap type="topAndBottom" anchorx="page"/>
          </v:shape>
        </w:pict>
      </w:r>
    </w:p>
    <w:p w:rsidR="00C76E6D" w:rsidRDefault="00C76E6D">
      <w:pPr>
        <w:pStyle w:val="BodyText"/>
        <w:spacing w:before="1"/>
        <w:rPr>
          <w:b/>
          <w:sz w:val="35"/>
        </w:rPr>
      </w:pPr>
    </w:p>
    <w:p w:rsidR="00C76E6D" w:rsidRDefault="00913831">
      <w:pPr>
        <w:pStyle w:val="Heading6"/>
        <w:numPr>
          <w:ilvl w:val="0"/>
          <w:numId w:val="7"/>
        </w:numPr>
        <w:tabs>
          <w:tab w:val="left" w:pos="586"/>
        </w:tabs>
        <w:spacing w:line="276" w:lineRule="auto"/>
        <w:ind w:right="336" w:hanging="1"/>
        <w:jc w:val="both"/>
      </w:pPr>
      <w:bookmarkStart w:id="865" w:name="1._Support_the_DTA_Diversity_Council_in_"/>
      <w:bookmarkEnd w:id="865"/>
      <w:r>
        <w:t>S</w:t>
      </w:r>
      <w:r>
        <w:t>upport the DTA Diversity Council in developing LGBTQ-inclusive policies within DTA for employees, vendors, and clients.</w:t>
      </w:r>
    </w:p>
    <w:p w:rsidR="00C76E6D" w:rsidRDefault="00C76E6D">
      <w:pPr>
        <w:pStyle w:val="BodyText"/>
        <w:spacing w:before="9"/>
        <w:rPr>
          <w:b/>
          <w:sz w:val="19"/>
        </w:rPr>
      </w:pPr>
    </w:p>
    <w:p w:rsidR="00C76E6D" w:rsidRDefault="00913831">
      <w:pPr>
        <w:pStyle w:val="BodyText"/>
        <w:spacing w:line="276" w:lineRule="auto"/>
        <w:ind w:left="628" w:right="334" w:hanging="2"/>
        <w:jc w:val="both"/>
      </w:pPr>
      <w:r>
        <w:t>Previously,</w:t>
      </w:r>
      <w:r>
        <w:rPr>
          <w:spacing w:val="-1"/>
        </w:rPr>
        <w:t xml:space="preserve"> </w:t>
      </w:r>
      <w:r>
        <w:t>the</w:t>
      </w:r>
      <w:r>
        <w:rPr>
          <w:spacing w:val="-2"/>
        </w:rPr>
        <w:t xml:space="preserve"> </w:t>
      </w:r>
      <w:r>
        <w:t>Commission</w:t>
      </w:r>
      <w:r>
        <w:rPr>
          <w:spacing w:val="-2"/>
        </w:rPr>
        <w:t xml:space="preserve"> </w:t>
      </w:r>
      <w:r>
        <w:t>had</w:t>
      </w:r>
      <w:r>
        <w:rPr>
          <w:spacing w:val="-1"/>
        </w:rPr>
        <w:t xml:space="preserve"> </w:t>
      </w:r>
      <w:r>
        <w:t>recommended</w:t>
      </w:r>
      <w:r>
        <w:rPr>
          <w:spacing w:val="-1"/>
        </w:rPr>
        <w:t xml:space="preserve"> </w:t>
      </w:r>
      <w:r>
        <w:t>that DTA</w:t>
      </w:r>
      <w:r>
        <w:rPr>
          <w:spacing w:val="-1"/>
        </w:rPr>
        <w:t xml:space="preserve"> </w:t>
      </w:r>
      <w:r>
        <w:t>work</w:t>
      </w:r>
      <w:r>
        <w:rPr>
          <w:spacing w:val="-2"/>
        </w:rPr>
        <w:t xml:space="preserve"> </w:t>
      </w:r>
      <w:r>
        <w:t>on developing</w:t>
      </w:r>
      <w:r>
        <w:rPr>
          <w:spacing w:val="-1"/>
        </w:rPr>
        <w:t xml:space="preserve"> </w:t>
      </w:r>
      <w:r>
        <w:t>an</w:t>
      </w:r>
      <w:r>
        <w:rPr>
          <w:spacing w:val="-2"/>
        </w:rPr>
        <w:t xml:space="preserve"> </w:t>
      </w:r>
      <w:r>
        <w:t>LGBTQ</w:t>
      </w:r>
      <w:r>
        <w:rPr>
          <w:spacing w:val="-1"/>
        </w:rPr>
        <w:t xml:space="preserve"> </w:t>
      </w:r>
      <w:r>
        <w:t>liaison</w:t>
      </w:r>
      <w:r>
        <w:rPr>
          <w:spacing w:val="-1"/>
        </w:rPr>
        <w:t xml:space="preserve"> </w:t>
      </w:r>
      <w:r>
        <w:t>system</w:t>
      </w:r>
      <w:r>
        <w:rPr>
          <w:spacing w:val="-1"/>
        </w:rPr>
        <w:t xml:space="preserve"> </w:t>
      </w:r>
      <w:r>
        <w:t>to help develop and implement LGBTQ-inclusive policies and programming. At a meeting in 2019, DTA instead proposed utilizing the DTA Diversity Council, a preexisting body with representation from the agency’s</w:t>
      </w:r>
      <w:r>
        <w:rPr>
          <w:spacing w:val="-3"/>
        </w:rPr>
        <w:t xml:space="preserve"> </w:t>
      </w:r>
      <w:r>
        <w:t>22</w:t>
      </w:r>
      <w:r>
        <w:rPr>
          <w:spacing w:val="-1"/>
        </w:rPr>
        <w:t xml:space="preserve"> </w:t>
      </w:r>
      <w:r>
        <w:t>local</w:t>
      </w:r>
      <w:r>
        <w:rPr>
          <w:spacing w:val="-3"/>
        </w:rPr>
        <w:t xml:space="preserve"> </w:t>
      </w:r>
      <w:r>
        <w:t>offices.</w:t>
      </w:r>
      <w:r>
        <w:rPr>
          <w:spacing w:val="-2"/>
        </w:rPr>
        <w:t xml:space="preserve"> </w:t>
      </w:r>
      <w:r>
        <w:t>In</w:t>
      </w:r>
      <w:r>
        <w:rPr>
          <w:spacing w:val="-3"/>
        </w:rPr>
        <w:t xml:space="preserve"> </w:t>
      </w:r>
      <w:r>
        <w:t>2022,</w:t>
      </w:r>
      <w:r>
        <w:rPr>
          <w:spacing w:val="-2"/>
        </w:rPr>
        <w:t xml:space="preserve"> </w:t>
      </w:r>
      <w:r>
        <w:t>DTA noted</w:t>
      </w:r>
      <w:r>
        <w:rPr>
          <w:spacing w:val="-2"/>
        </w:rPr>
        <w:t xml:space="preserve"> </w:t>
      </w:r>
      <w:r>
        <w:t>to the Com</w:t>
      </w:r>
      <w:r>
        <w:t>mission</w:t>
      </w:r>
      <w:r>
        <w:rPr>
          <w:spacing w:val="-3"/>
        </w:rPr>
        <w:t xml:space="preserve"> </w:t>
      </w:r>
      <w:r>
        <w:t>that</w:t>
      </w:r>
      <w:r>
        <w:rPr>
          <w:spacing w:val="-2"/>
        </w:rPr>
        <w:t xml:space="preserve"> </w:t>
      </w:r>
      <w:r>
        <w:t>there</w:t>
      </w:r>
      <w:r>
        <w:rPr>
          <w:spacing w:val="-2"/>
        </w:rPr>
        <w:t xml:space="preserve"> </w:t>
      </w:r>
      <w:r>
        <w:t>is</w:t>
      </w:r>
      <w:r>
        <w:rPr>
          <w:spacing w:val="-1"/>
        </w:rPr>
        <w:t xml:space="preserve"> </w:t>
      </w:r>
      <w:r>
        <w:t>also</w:t>
      </w:r>
      <w:r>
        <w:rPr>
          <w:spacing w:val="-3"/>
        </w:rPr>
        <w:t xml:space="preserve"> </w:t>
      </w:r>
      <w:r>
        <w:t>a</w:t>
      </w:r>
      <w:r>
        <w:rPr>
          <w:spacing w:val="-3"/>
        </w:rPr>
        <w:t xml:space="preserve"> </w:t>
      </w:r>
      <w:r>
        <w:t>significant</w:t>
      </w:r>
      <w:r>
        <w:rPr>
          <w:spacing w:val="-3"/>
        </w:rPr>
        <w:t xml:space="preserve"> </w:t>
      </w:r>
      <w:r>
        <w:t>amount</w:t>
      </w:r>
      <w:r>
        <w:rPr>
          <w:spacing w:val="-2"/>
        </w:rPr>
        <w:t xml:space="preserve"> </w:t>
      </w:r>
      <w:r>
        <w:t>of work being done on its Beacon 5 online guide to incorporate gender-neutral pronouns and language.</w:t>
      </w:r>
    </w:p>
    <w:p w:rsidR="00C76E6D" w:rsidRDefault="00C76E6D">
      <w:pPr>
        <w:pStyle w:val="BodyText"/>
        <w:spacing w:before="8"/>
        <w:rPr>
          <w:sz w:val="19"/>
        </w:rPr>
      </w:pPr>
    </w:p>
    <w:p w:rsidR="00C76E6D" w:rsidRDefault="00913831">
      <w:pPr>
        <w:pStyle w:val="BodyText"/>
        <w:spacing w:line="276" w:lineRule="auto"/>
        <w:ind w:left="627" w:right="332" w:hanging="2"/>
        <w:jc w:val="both"/>
      </w:pPr>
      <w:r>
        <w:t>While the COVID-19 pandemic and staffing transitions have presented significant barriers to progress towards</w:t>
      </w:r>
      <w:r>
        <w:rPr>
          <w:spacing w:val="-13"/>
        </w:rPr>
        <w:t xml:space="preserve"> </w:t>
      </w:r>
      <w:r>
        <w:t>fulfilling</w:t>
      </w:r>
      <w:r>
        <w:rPr>
          <w:spacing w:val="-12"/>
        </w:rPr>
        <w:t xml:space="preserve"> </w:t>
      </w:r>
      <w:r>
        <w:t>Commission</w:t>
      </w:r>
      <w:r>
        <w:rPr>
          <w:spacing w:val="-13"/>
        </w:rPr>
        <w:t xml:space="preserve"> </w:t>
      </w:r>
      <w:r>
        <w:t>recommendations</w:t>
      </w:r>
      <w:r>
        <w:rPr>
          <w:spacing w:val="-12"/>
        </w:rPr>
        <w:t xml:space="preserve"> </w:t>
      </w:r>
      <w:r>
        <w:t>in</w:t>
      </w:r>
      <w:r>
        <w:rPr>
          <w:spacing w:val="-13"/>
        </w:rPr>
        <w:t xml:space="preserve"> </w:t>
      </w:r>
      <w:r>
        <w:t>the</w:t>
      </w:r>
      <w:r>
        <w:rPr>
          <w:spacing w:val="-12"/>
        </w:rPr>
        <w:t xml:space="preserve"> </w:t>
      </w:r>
      <w:r>
        <w:t>last</w:t>
      </w:r>
      <w:r>
        <w:rPr>
          <w:spacing w:val="-13"/>
        </w:rPr>
        <w:t xml:space="preserve"> </w:t>
      </w:r>
      <w:r>
        <w:t>couple</w:t>
      </w:r>
      <w:r>
        <w:rPr>
          <w:spacing w:val="-12"/>
        </w:rPr>
        <w:t xml:space="preserve"> </w:t>
      </w:r>
      <w:r>
        <w:t>of</w:t>
      </w:r>
      <w:r>
        <w:rPr>
          <w:spacing w:val="-12"/>
        </w:rPr>
        <w:t xml:space="preserve"> </w:t>
      </w:r>
      <w:r>
        <w:t>years,</w:t>
      </w:r>
      <w:r>
        <w:rPr>
          <w:spacing w:val="-13"/>
        </w:rPr>
        <w:t xml:space="preserve"> </w:t>
      </w:r>
      <w:r>
        <w:t>the</w:t>
      </w:r>
      <w:r>
        <w:rPr>
          <w:spacing w:val="-12"/>
        </w:rPr>
        <w:t xml:space="preserve"> </w:t>
      </w:r>
      <w:r>
        <w:t>Commission</w:t>
      </w:r>
      <w:r>
        <w:rPr>
          <w:spacing w:val="-13"/>
        </w:rPr>
        <w:t xml:space="preserve"> </w:t>
      </w:r>
      <w:r>
        <w:t>looks</w:t>
      </w:r>
      <w:r>
        <w:rPr>
          <w:spacing w:val="-12"/>
        </w:rPr>
        <w:t xml:space="preserve"> </w:t>
      </w:r>
      <w:r>
        <w:t>forward to developing stronger relationships with DTA in FY</w:t>
      </w:r>
      <w:r>
        <w:t xml:space="preserve"> 2023 to realize these goals. The Commission was pleased to learn in May of 2022 that DTA has successfully added gender-neutral client restrooms to 10</w:t>
      </w:r>
      <w:r>
        <w:rPr>
          <w:spacing w:val="40"/>
        </w:rPr>
        <w:t xml:space="preserve"> </w:t>
      </w:r>
      <w:r>
        <w:t>of</w:t>
      </w:r>
      <w:r>
        <w:rPr>
          <w:spacing w:val="-2"/>
        </w:rPr>
        <w:t xml:space="preserve"> </w:t>
      </w:r>
      <w:r>
        <w:t>its</w:t>
      </w:r>
      <w:r>
        <w:rPr>
          <w:spacing w:val="-1"/>
        </w:rPr>
        <w:t xml:space="preserve"> </w:t>
      </w:r>
      <w:r>
        <w:t>20 local</w:t>
      </w:r>
      <w:r>
        <w:rPr>
          <w:spacing w:val="-1"/>
        </w:rPr>
        <w:t xml:space="preserve"> </w:t>
      </w:r>
      <w:r>
        <w:t>offices with</w:t>
      </w:r>
      <w:r>
        <w:rPr>
          <w:spacing w:val="-1"/>
        </w:rPr>
        <w:t xml:space="preserve"> </w:t>
      </w:r>
      <w:r>
        <w:t>the</w:t>
      </w:r>
      <w:r>
        <w:rPr>
          <w:spacing w:val="-2"/>
        </w:rPr>
        <w:t xml:space="preserve"> </w:t>
      </w:r>
      <w:r>
        <w:t>assistance</w:t>
      </w:r>
      <w:r>
        <w:rPr>
          <w:spacing w:val="-1"/>
        </w:rPr>
        <w:t xml:space="preserve"> </w:t>
      </w:r>
      <w:r>
        <w:t>of</w:t>
      </w:r>
      <w:r>
        <w:rPr>
          <w:spacing w:val="-2"/>
        </w:rPr>
        <w:t xml:space="preserve"> </w:t>
      </w:r>
      <w:r>
        <w:t>its</w:t>
      </w:r>
      <w:r>
        <w:rPr>
          <w:spacing w:val="-1"/>
        </w:rPr>
        <w:t xml:space="preserve"> </w:t>
      </w:r>
      <w:r>
        <w:t>Client</w:t>
      </w:r>
      <w:r>
        <w:rPr>
          <w:spacing w:val="-1"/>
        </w:rPr>
        <w:t xml:space="preserve"> </w:t>
      </w:r>
      <w:r>
        <w:t>Inclusion</w:t>
      </w:r>
      <w:r>
        <w:rPr>
          <w:spacing w:val="-1"/>
        </w:rPr>
        <w:t xml:space="preserve"> </w:t>
      </w:r>
      <w:r>
        <w:t>Committee;</w:t>
      </w:r>
      <w:r>
        <w:rPr>
          <w:spacing w:val="-1"/>
        </w:rPr>
        <w:t xml:space="preserve"> </w:t>
      </w:r>
      <w:r>
        <w:t>DTA aims</w:t>
      </w:r>
      <w:r>
        <w:rPr>
          <w:spacing w:val="-1"/>
        </w:rPr>
        <w:t xml:space="preserve"> </w:t>
      </w:r>
      <w:r>
        <w:t>to continue</w:t>
      </w:r>
      <w:r>
        <w:rPr>
          <w:spacing w:val="-1"/>
        </w:rPr>
        <w:t xml:space="preserve"> </w:t>
      </w:r>
      <w:r>
        <w:t>worki</w:t>
      </w:r>
      <w:r>
        <w:t>ng on this recommendation in FY 2023. Additionally, DTA is involved in ongoing conversations around its IT needs to add gender expansive markers into its data systems.</w:t>
      </w:r>
    </w:p>
    <w:p w:rsidR="00C76E6D" w:rsidRDefault="00C76E6D">
      <w:pPr>
        <w:pStyle w:val="BodyText"/>
        <w:spacing w:before="7"/>
        <w:rPr>
          <w:sz w:val="19"/>
        </w:rPr>
      </w:pPr>
    </w:p>
    <w:p w:rsidR="00C76E6D" w:rsidRDefault="00913831">
      <w:pPr>
        <w:pStyle w:val="BodyText"/>
        <w:spacing w:line="276" w:lineRule="auto"/>
        <w:ind w:left="626" w:right="333" w:firstLine="1"/>
        <w:jc w:val="both"/>
      </w:pPr>
      <w:r>
        <w:t xml:space="preserve">The Commission continues to recommend that this body take steps such as: (1) advise on </w:t>
      </w:r>
      <w:r>
        <w:t>the implementation</w:t>
      </w:r>
      <w:r>
        <w:rPr>
          <w:spacing w:val="-13"/>
        </w:rPr>
        <w:t xml:space="preserve"> </w:t>
      </w:r>
      <w:r>
        <w:t>of</w:t>
      </w:r>
      <w:r>
        <w:rPr>
          <w:spacing w:val="-12"/>
        </w:rPr>
        <w:t xml:space="preserve"> </w:t>
      </w:r>
      <w:r>
        <w:t>clear</w:t>
      </w:r>
      <w:r>
        <w:rPr>
          <w:spacing w:val="-13"/>
        </w:rPr>
        <w:t xml:space="preserve"> </w:t>
      </w:r>
      <w:r>
        <w:t>and</w:t>
      </w:r>
      <w:r>
        <w:rPr>
          <w:spacing w:val="-12"/>
        </w:rPr>
        <w:t xml:space="preserve"> </w:t>
      </w:r>
      <w:r>
        <w:t>thorough</w:t>
      </w:r>
      <w:r>
        <w:rPr>
          <w:spacing w:val="-13"/>
        </w:rPr>
        <w:t xml:space="preserve"> </w:t>
      </w:r>
      <w:r>
        <w:t>inclusion</w:t>
      </w:r>
      <w:r>
        <w:rPr>
          <w:spacing w:val="-12"/>
        </w:rPr>
        <w:t xml:space="preserve"> </w:t>
      </w:r>
      <w:r>
        <w:t>policies</w:t>
      </w:r>
      <w:r>
        <w:rPr>
          <w:spacing w:val="-13"/>
        </w:rPr>
        <w:t xml:space="preserve"> </w:t>
      </w:r>
      <w:r>
        <w:t>for</w:t>
      </w:r>
      <w:r>
        <w:rPr>
          <w:spacing w:val="-12"/>
        </w:rPr>
        <w:t xml:space="preserve"> </w:t>
      </w:r>
      <w:r>
        <w:t>both</w:t>
      </w:r>
      <w:r>
        <w:rPr>
          <w:spacing w:val="-12"/>
        </w:rPr>
        <w:t xml:space="preserve"> </w:t>
      </w:r>
      <w:r>
        <w:t>clients</w:t>
      </w:r>
      <w:r>
        <w:rPr>
          <w:spacing w:val="-13"/>
        </w:rPr>
        <w:t xml:space="preserve"> </w:t>
      </w:r>
      <w:r>
        <w:t>and</w:t>
      </w:r>
      <w:r>
        <w:rPr>
          <w:spacing w:val="-12"/>
        </w:rPr>
        <w:t xml:space="preserve"> </w:t>
      </w:r>
      <w:r>
        <w:t>staff</w:t>
      </w:r>
      <w:r>
        <w:rPr>
          <w:spacing w:val="-12"/>
        </w:rPr>
        <w:t xml:space="preserve"> </w:t>
      </w:r>
      <w:r>
        <w:t>(for</w:t>
      </w:r>
      <w:r>
        <w:rPr>
          <w:spacing w:val="-12"/>
        </w:rPr>
        <w:t xml:space="preserve"> </w:t>
      </w:r>
      <w:r>
        <w:t>example,</w:t>
      </w:r>
      <w:r>
        <w:rPr>
          <w:spacing w:val="-12"/>
        </w:rPr>
        <w:t xml:space="preserve"> </w:t>
      </w:r>
      <w:r>
        <w:t>supporting transgender employees as they work through legal transition steps) and the dissemination of LGBTQ- affirming materials; (2) disseminate guidance on transgender client service and program access; (3) continue to review contracts with DTA-funded a</w:t>
      </w:r>
      <w:r>
        <w:t>gencies to ensure that adequate gender identity anti- discrimination protections are in place. DTA has noted that a DEI statement was recently included in vendor contracts, but the Commission recommends that DTA revise the statement to include a more speci</w:t>
      </w:r>
      <w:r>
        <w:t>fic focus on gender.</w:t>
      </w:r>
    </w:p>
    <w:p w:rsidR="00C76E6D" w:rsidRDefault="00C76E6D">
      <w:pPr>
        <w:pStyle w:val="BodyText"/>
        <w:spacing w:before="8"/>
        <w:rPr>
          <w:sz w:val="19"/>
        </w:rPr>
      </w:pPr>
    </w:p>
    <w:p w:rsidR="00C76E6D" w:rsidRDefault="00913831">
      <w:pPr>
        <w:pStyle w:val="Heading6"/>
        <w:numPr>
          <w:ilvl w:val="0"/>
          <w:numId w:val="7"/>
        </w:numPr>
        <w:tabs>
          <w:tab w:val="left" w:pos="594"/>
        </w:tabs>
        <w:spacing w:before="1" w:line="276" w:lineRule="auto"/>
        <w:ind w:right="336" w:firstLine="0"/>
        <w:jc w:val="both"/>
      </w:pPr>
      <w:bookmarkStart w:id="866" w:name="2._Continue_to_provide_LGBTQ_cultural_hu"/>
      <w:bookmarkEnd w:id="866"/>
      <w:r>
        <w:t>Continue to provide LGBTQ cultural humility training for all staff and vendors, especially those caseworkers involved in direct service provision, and continue collaborating on the EOHHS interagency training effort.</w:t>
      </w:r>
    </w:p>
    <w:p w:rsidR="00C76E6D" w:rsidRDefault="00C76E6D">
      <w:pPr>
        <w:pStyle w:val="BodyText"/>
        <w:spacing w:before="7"/>
        <w:rPr>
          <w:b/>
          <w:sz w:val="19"/>
        </w:rPr>
      </w:pPr>
    </w:p>
    <w:p w:rsidR="00C76E6D" w:rsidRDefault="00913831">
      <w:pPr>
        <w:pStyle w:val="BodyText"/>
        <w:spacing w:before="1" w:line="276" w:lineRule="auto"/>
        <w:ind w:left="627" w:right="335"/>
        <w:jc w:val="both"/>
      </w:pPr>
      <w:r>
        <w:t>In 2021, the Comm</w:t>
      </w:r>
      <w:r>
        <w:t>ission recommended that DTA begin to incorporate routine LGBTQ cultural humility training for all staff; throughout the fiscal year, the DTA Diversity Council was able to hold several trainings for approximately 279 staff members on gender expression and s</w:t>
      </w:r>
      <w:r>
        <w:t>exual orientation. In the spring of 2022, DTA</w:t>
      </w:r>
      <w:r>
        <w:rPr>
          <w:spacing w:val="-2"/>
        </w:rPr>
        <w:t xml:space="preserve"> </w:t>
      </w:r>
      <w:r>
        <w:t>brought</w:t>
      </w:r>
      <w:r>
        <w:rPr>
          <w:spacing w:val="-1"/>
        </w:rPr>
        <w:t xml:space="preserve"> </w:t>
      </w:r>
      <w:r>
        <w:t>on</w:t>
      </w:r>
      <w:r>
        <w:rPr>
          <w:spacing w:val="-1"/>
        </w:rPr>
        <w:t xml:space="preserve"> </w:t>
      </w:r>
      <w:r>
        <w:t>a new training</w:t>
      </w:r>
      <w:r>
        <w:rPr>
          <w:spacing w:val="-1"/>
        </w:rPr>
        <w:t xml:space="preserve"> </w:t>
      </w:r>
      <w:r>
        <w:t>director and</w:t>
      </w:r>
      <w:r>
        <w:rPr>
          <w:spacing w:val="-2"/>
        </w:rPr>
        <w:t xml:space="preserve"> </w:t>
      </w:r>
      <w:r>
        <w:t>is intending to review how</w:t>
      </w:r>
      <w:r>
        <w:rPr>
          <w:spacing w:val="-1"/>
        </w:rPr>
        <w:t xml:space="preserve"> </w:t>
      </w:r>
      <w:r>
        <w:t>it can</w:t>
      </w:r>
      <w:r>
        <w:rPr>
          <w:spacing w:val="-1"/>
        </w:rPr>
        <w:t xml:space="preserve"> </w:t>
      </w:r>
      <w:r>
        <w:t>continue to provide training to at least half of its staff trained by the end of the coming fiscal year.</w:t>
      </w:r>
    </w:p>
    <w:p w:rsidR="00C76E6D" w:rsidRDefault="00C76E6D">
      <w:pPr>
        <w:spacing w:line="276" w:lineRule="auto"/>
        <w:jc w:val="both"/>
        <w:sectPr w:rsidR="00C76E6D">
          <w:pgSz w:w="12240" w:h="15840"/>
          <w:pgMar w:top="1020" w:right="960" w:bottom="640" w:left="960" w:header="832" w:footer="440" w:gutter="0"/>
          <w:cols w:space="720"/>
        </w:sectPr>
      </w:pPr>
    </w:p>
    <w:p w:rsidR="00C76E6D" w:rsidRDefault="00C76E6D">
      <w:pPr>
        <w:pStyle w:val="BodyText"/>
        <w:spacing w:before="6"/>
        <w:rPr>
          <w:sz w:val="19"/>
        </w:rPr>
      </w:pPr>
    </w:p>
    <w:p w:rsidR="00C76E6D" w:rsidRDefault="00913831">
      <w:pPr>
        <w:pStyle w:val="BodyText"/>
        <w:spacing w:line="20" w:lineRule="exact"/>
        <w:ind w:left="482"/>
        <w:rPr>
          <w:sz w:val="2"/>
        </w:rPr>
      </w:pPr>
      <w:r>
        <w:rPr>
          <w:sz w:val="2"/>
        </w:rPr>
      </w:r>
      <w:r>
        <w:rPr>
          <w:sz w:val="2"/>
        </w:rPr>
        <w:pict>
          <v:group id="docshapegroup432" o:spid="_x0000_s1063" style="width:470.95pt;height:1.55pt;mso-position-horizontal-relative:char;mso-position-vertical-relative:line" coordsize="9419,31">
            <v:line id="_x0000_s1064" style="position:absolute" from="0,15" to="9419,15" strokeweight="1.54pt"/>
            <w10:anchorlock/>
          </v:group>
        </w:pict>
      </w:r>
    </w:p>
    <w:p w:rsidR="00C76E6D" w:rsidRDefault="00C76E6D">
      <w:pPr>
        <w:pStyle w:val="BodyText"/>
        <w:spacing w:before="7"/>
        <w:rPr>
          <w:sz w:val="20"/>
        </w:rPr>
      </w:pPr>
    </w:p>
    <w:p w:rsidR="00C76E6D" w:rsidRDefault="00913831">
      <w:pPr>
        <w:pStyle w:val="Heading4"/>
        <w:spacing w:before="52"/>
      </w:pPr>
      <w:r>
        <w:rPr>
          <w:spacing w:val="-2"/>
        </w:rPr>
        <w:t>ENDNOTES</w:t>
      </w:r>
    </w:p>
    <w:p w:rsidR="00C76E6D" w:rsidRDefault="00913831">
      <w:pPr>
        <w:pStyle w:val="BodyText"/>
        <w:spacing w:before="10"/>
        <w:rPr>
          <w:b/>
          <w:sz w:val="24"/>
        </w:rPr>
      </w:pPr>
      <w:r>
        <w:pict>
          <v:shape id="docshape433" o:spid="_x0000_s1062" style="position:absolute;margin-left:70.6pt;margin-top:16.4pt;width:470.95pt;height:.1pt;z-index:-15636480;mso-wrap-distance-left:0;mso-wrap-distance-right:0;mso-position-horizontal-relative:page" coordorigin="1412,328" coordsize="9419,0" path="m1412,328r9419,e" filled="f" strokeweight="1.54pt">
            <v:path arrowok="t"/>
            <w10:wrap type="topAndBottom" anchorx="page"/>
          </v:shape>
        </w:pict>
      </w:r>
    </w:p>
    <w:p w:rsidR="00C76E6D" w:rsidRDefault="00C76E6D">
      <w:pPr>
        <w:pStyle w:val="BodyText"/>
        <w:rPr>
          <w:b/>
          <w:sz w:val="24"/>
        </w:rPr>
      </w:pPr>
    </w:p>
    <w:p w:rsidR="00C76E6D" w:rsidRDefault="00C76E6D">
      <w:pPr>
        <w:pStyle w:val="BodyText"/>
        <w:rPr>
          <w:b/>
          <w:sz w:val="24"/>
        </w:rPr>
      </w:pPr>
    </w:p>
    <w:p w:rsidR="00C76E6D" w:rsidRDefault="00C76E6D">
      <w:pPr>
        <w:pStyle w:val="BodyText"/>
        <w:rPr>
          <w:b/>
        </w:rPr>
      </w:pPr>
    </w:p>
    <w:p w:rsidR="00C76E6D" w:rsidRDefault="00913831">
      <w:pPr>
        <w:ind w:left="339" w:right="603" w:hanging="1"/>
        <w:rPr>
          <w:sz w:val="20"/>
        </w:rPr>
      </w:pPr>
      <w:bookmarkStart w:id="867" w:name="_bookmark609"/>
      <w:bookmarkEnd w:id="867"/>
      <w:r>
        <w:rPr>
          <w:sz w:val="20"/>
          <w:vertAlign w:val="superscript"/>
        </w:rPr>
        <w:t>1</w:t>
      </w:r>
      <w:r>
        <w:rPr>
          <w:spacing w:val="-4"/>
          <w:sz w:val="20"/>
        </w:rPr>
        <w:t xml:space="preserve"> </w:t>
      </w:r>
      <w:r>
        <w:rPr>
          <w:sz w:val="20"/>
        </w:rPr>
        <w:t>Gates,</w:t>
      </w:r>
      <w:r>
        <w:rPr>
          <w:spacing w:val="-4"/>
          <w:sz w:val="20"/>
        </w:rPr>
        <w:t xml:space="preserve"> </w:t>
      </w:r>
      <w:r>
        <w:rPr>
          <w:sz w:val="20"/>
        </w:rPr>
        <w:t>G.</w:t>
      </w:r>
      <w:r>
        <w:rPr>
          <w:spacing w:val="-5"/>
          <w:sz w:val="20"/>
        </w:rPr>
        <w:t xml:space="preserve"> </w:t>
      </w:r>
      <w:r>
        <w:rPr>
          <w:sz w:val="20"/>
        </w:rPr>
        <w:t>J.</w:t>
      </w:r>
      <w:r>
        <w:rPr>
          <w:spacing w:val="-6"/>
          <w:sz w:val="20"/>
        </w:rPr>
        <w:t xml:space="preserve"> </w:t>
      </w:r>
      <w:r>
        <w:rPr>
          <w:sz w:val="20"/>
        </w:rPr>
        <w:t>(2014).</w:t>
      </w:r>
      <w:r>
        <w:rPr>
          <w:spacing w:val="-6"/>
          <w:sz w:val="20"/>
        </w:rPr>
        <w:t xml:space="preserve"> </w:t>
      </w:r>
      <w:r>
        <w:rPr>
          <w:sz w:val="20"/>
        </w:rPr>
        <w:t>Food</w:t>
      </w:r>
      <w:r>
        <w:rPr>
          <w:spacing w:val="-5"/>
          <w:sz w:val="20"/>
        </w:rPr>
        <w:t xml:space="preserve"> </w:t>
      </w:r>
      <w:r>
        <w:rPr>
          <w:sz w:val="20"/>
        </w:rPr>
        <w:t>Insecurity</w:t>
      </w:r>
      <w:r>
        <w:rPr>
          <w:spacing w:val="-5"/>
          <w:sz w:val="20"/>
        </w:rPr>
        <w:t xml:space="preserve"> </w:t>
      </w:r>
      <w:r>
        <w:rPr>
          <w:sz w:val="20"/>
        </w:rPr>
        <w:t>and</w:t>
      </w:r>
      <w:r>
        <w:rPr>
          <w:spacing w:val="-7"/>
          <w:sz w:val="20"/>
        </w:rPr>
        <w:t xml:space="preserve"> </w:t>
      </w:r>
      <w:r>
        <w:rPr>
          <w:sz w:val="20"/>
        </w:rPr>
        <w:t>SNAP</w:t>
      </w:r>
      <w:r>
        <w:rPr>
          <w:spacing w:val="-4"/>
          <w:sz w:val="20"/>
        </w:rPr>
        <w:t xml:space="preserve"> </w:t>
      </w:r>
      <w:r>
        <w:rPr>
          <w:sz w:val="20"/>
        </w:rPr>
        <w:t>(Food</w:t>
      </w:r>
      <w:r>
        <w:rPr>
          <w:spacing w:val="-5"/>
          <w:sz w:val="20"/>
        </w:rPr>
        <w:t xml:space="preserve"> </w:t>
      </w:r>
      <w:r>
        <w:rPr>
          <w:sz w:val="20"/>
        </w:rPr>
        <w:t>Stamps)</w:t>
      </w:r>
      <w:r>
        <w:rPr>
          <w:spacing w:val="-4"/>
          <w:sz w:val="20"/>
        </w:rPr>
        <w:t xml:space="preserve"> </w:t>
      </w:r>
      <w:r>
        <w:rPr>
          <w:sz w:val="20"/>
        </w:rPr>
        <w:t>Participation</w:t>
      </w:r>
      <w:r>
        <w:rPr>
          <w:spacing w:val="-4"/>
          <w:sz w:val="20"/>
        </w:rPr>
        <w:t xml:space="preserve"> </w:t>
      </w:r>
      <w:r>
        <w:rPr>
          <w:sz w:val="20"/>
        </w:rPr>
        <w:t>in</w:t>
      </w:r>
      <w:r>
        <w:rPr>
          <w:spacing w:val="-4"/>
          <w:sz w:val="20"/>
        </w:rPr>
        <w:t xml:space="preserve"> </w:t>
      </w:r>
      <w:r>
        <w:rPr>
          <w:sz w:val="20"/>
        </w:rPr>
        <w:t>LGBT</w:t>
      </w:r>
      <w:r>
        <w:rPr>
          <w:spacing w:val="-6"/>
          <w:sz w:val="20"/>
        </w:rPr>
        <w:t xml:space="preserve"> </w:t>
      </w:r>
      <w:r>
        <w:rPr>
          <w:sz w:val="20"/>
        </w:rPr>
        <w:t>Communities.</w:t>
      </w:r>
      <w:r>
        <w:rPr>
          <w:spacing w:val="-4"/>
          <w:sz w:val="20"/>
        </w:rPr>
        <w:t xml:space="preserve"> </w:t>
      </w:r>
      <w:r>
        <w:rPr>
          <w:sz w:val="20"/>
        </w:rPr>
        <w:t>Williams</w:t>
      </w:r>
      <w:r>
        <w:rPr>
          <w:spacing w:val="-5"/>
          <w:sz w:val="20"/>
        </w:rPr>
        <w:t xml:space="preserve"> </w:t>
      </w:r>
      <w:r>
        <w:rPr>
          <w:sz w:val="20"/>
        </w:rPr>
        <w:t xml:space="preserve">Institute. Retrieved from </w:t>
      </w:r>
      <w:hyperlink r:id="rId442">
        <w:r>
          <w:rPr>
            <w:sz w:val="20"/>
          </w:rPr>
          <w:t>http://williamsinstitute.law.ucla.edu/research/health-and-hiv-aids/lgbt-people-are-</w:t>
        </w:r>
      </w:hyperlink>
      <w:r>
        <w:rPr>
          <w:sz w:val="20"/>
        </w:rPr>
        <w:t xml:space="preserve"> </w:t>
      </w:r>
      <w:r>
        <w:rPr>
          <w:spacing w:val="-2"/>
          <w:sz w:val="20"/>
        </w:rPr>
        <w:t>disproportionately-food-insecure/</w:t>
      </w:r>
    </w:p>
    <w:p w:rsidR="00C76E6D" w:rsidRDefault="00913831">
      <w:pPr>
        <w:ind w:left="339" w:right="530" w:hanging="1"/>
        <w:rPr>
          <w:sz w:val="20"/>
        </w:rPr>
      </w:pPr>
      <w:bookmarkStart w:id="868" w:name="_bookmark610"/>
      <w:bookmarkEnd w:id="868"/>
      <w:r>
        <w:rPr>
          <w:sz w:val="20"/>
          <w:vertAlign w:val="superscript"/>
        </w:rPr>
        <w:t>2</w:t>
      </w:r>
      <w:r>
        <w:rPr>
          <w:spacing w:val="-4"/>
          <w:sz w:val="20"/>
        </w:rPr>
        <w:t xml:space="preserve"> </w:t>
      </w:r>
      <w:r>
        <w:rPr>
          <w:sz w:val="20"/>
        </w:rPr>
        <w:t>Margaux</w:t>
      </w:r>
      <w:r>
        <w:rPr>
          <w:spacing w:val="-5"/>
          <w:sz w:val="20"/>
        </w:rPr>
        <w:t xml:space="preserve"> </w:t>
      </w:r>
      <w:r>
        <w:rPr>
          <w:sz w:val="20"/>
        </w:rPr>
        <w:t>Johnson-Green</w:t>
      </w:r>
      <w:r>
        <w:rPr>
          <w:spacing w:val="-4"/>
          <w:sz w:val="20"/>
        </w:rPr>
        <w:t xml:space="preserve"> </w:t>
      </w:r>
      <w:r>
        <w:rPr>
          <w:sz w:val="20"/>
        </w:rPr>
        <w:t>and</w:t>
      </w:r>
      <w:r>
        <w:rPr>
          <w:spacing w:val="-5"/>
          <w:sz w:val="20"/>
        </w:rPr>
        <w:t xml:space="preserve"> </w:t>
      </w:r>
      <w:r>
        <w:rPr>
          <w:sz w:val="20"/>
        </w:rPr>
        <w:t>Cara</w:t>
      </w:r>
      <w:r>
        <w:rPr>
          <w:spacing w:val="-4"/>
          <w:sz w:val="20"/>
        </w:rPr>
        <w:t xml:space="preserve"> </w:t>
      </w:r>
      <w:r>
        <w:rPr>
          <w:sz w:val="20"/>
        </w:rPr>
        <w:t>Claf</w:t>
      </w:r>
      <w:r>
        <w:rPr>
          <w:sz w:val="20"/>
        </w:rPr>
        <w:t>lin,</w:t>
      </w:r>
      <w:r>
        <w:rPr>
          <w:spacing w:val="-5"/>
          <w:sz w:val="20"/>
        </w:rPr>
        <w:t xml:space="preserve"> </w:t>
      </w:r>
      <w:r>
        <w:rPr>
          <w:sz w:val="20"/>
        </w:rPr>
        <w:t>“Gender</w:t>
      </w:r>
      <w:r>
        <w:rPr>
          <w:spacing w:val="-5"/>
          <w:sz w:val="20"/>
        </w:rPr>
        <w:t xml:space="preserve"> </w:t>
      </w:r>
      <w:r>
        <w:rPr>
          <w:sz w:val="20"/>
        </w:rPr>
        <w:t>and</w:t>
      </w:r>
      <w:r>
        <w:rPr>
          <w:spacing w:val="-5"/>
          <w:sz w:val="20"/>
        </w:rPr>
        <w:t xml:space="preserve"> </w:t>
      </w:r>
      <w:r>
        <w:rPr>
          <w:sz w:val="20"/>
        </w:rPr>
        <w:t>Racial</w:t>
      </w:r>
      <w:r>
        <w:rPr>
          <w:spacing w:val="-5"/>
          <w:sz w:val="20"/>
        </w:rPr>
        <w:t xml:space="preserve"> </w:t>
      </w:r>
      <w:r>
        <w:rPr>
          <w:sz w:val="20"/>
        </w:rPr>
        <w:t>Justice</w:t>
      </w:r>
      <w:r>
        <w:rPr>
          <w:spacing w:val="-4"/>
          <w:sz w:val="20"/>
        </w:rPr>
        <w:t xml:space="preserve"> </w:t>
      </w:r>
      <w:r>
        <w:rPr>
          <w:sz w:val="20"/>
        </w:rPr>
        <w:t>in</w:t>
      </w:r>
      <w:r>
        <w:rPr>
          <w:spacing w:val="-5"/>
          <w:sz w:val="20"/>
        </w:rPr>
        <w:t xml:space="preserve"> </w:t>
      </w:r>
      <w:r>
        <w:rPr>
          <w:sz w:val="20"/>
        </w:rPr>
        <w:t>SNAP,”</w:t>
      </w:r>
      <w:r>
        <w:rPr>
          <w:spacing w:val="-5"/>
          <w:sz w:val="20"/>
        </w:rPr>
        <w:t xml:space="preserve"> </w:t>
      </w:r>
      <w:r>
        <w:rPr>
          <w:i/>
          <w:sz w:val="20"/>
        </w:rPr>
        <w:t>National</w:t>
      </w:r>
      <w:r>
        <w:rPr>
          <w:i/>
          <w:spacing w:val="-6"/>
          <w:sz w:val="20"/>
        </w:rPr>
        <w:t xml:space="preserve"> </w:t>
      </w:r>
      <w:r>
        <w:rPr>
          <w:i/>
          <w:sz w:val="20"/>
        </w:rPr>
        <w:t>Women’s</w:t>
      </w:r>
      <w:r>
        <w:rPr>
          <w:i/>
          <w:spacing w:val="-4"/>
          <w:sz w:val="20"/>
        </w:rPr>
        <w:t xml:space="preserve"> </w:t>
      </w:r>
      <w:r>
        <w:rPr>
          <w:i/>
          <w:sz w:val="20"/>
        </w:rPr>
        <w:t>Law</w:t>
      </w:r>
      <w:r>
        <w:rPr>
          <w:i/>
          <w:spacing w:val="-6"/>
          <w:sz w:val="20"/>
        </w:rPr>
        <w:t xml:space="preserve"> </w:t>
      </w:r>
      <w:r>
        <w:rPr>
          <w:i/>
          <w:sz w:val="20"/>
        </w:rPr>
        <w:t>Center</w:t>
      </w:r>
      <w:r>
        <w:rPr>
          <w:sz w:val="20"/>
        </w:rPr>
        <w:t>,</w:t>
      </w:r>
      <w:r>
        <w:rPr>
          <w:spacing w:val="-4"/>
          <w:sz w:val="20"/>
        </w:rPr>
        <w:t xml:space="preserve"> </w:t>
      </w:r>
      <w:r>
        <w:rPr>
          <w:sz w:val="20"/>
        </w:rPr>
        <w:t xml:space="preserve">July </w:t>
      </w:r>
      <w:bookmarkStart w:id="869" w:name="_bookmark611"/>
      <w:bookmarkEnd w:id="869"/>
      <w:r>
        <w:rPr>
          <w:sz w:val="20"/>
        </w:rPr>
        <w:t>2021, 14.</w:t>
      </w:r>
    </w:p>
    <w:p w:rsidR="00C76E6D" w:rsidRDefault="00913831">
      <w:pPr>
        <w:ind w:left="339" w:right="687" w:hanging="2"/>
        <w:rPr>
          <w:sz w:val="20"/>
        </w:rPr>
      </w:pPr>
      <w:r>
        <w:rPr>
          <w:sz w:val="20"/>
          <w:vertAlign w:val="superscript"/>
        </w:rPr>
        <w:t>3</w:t>
      </w:r>
      <w:r>
        <w:rPr>
          <w:spacing w:val="-4"/>
          <w:sz w:val="20"/>
        </w:rPr>
        <w:t xml:space="preserve"> </w:t>
      </w:r>
      <w:r>
        <w:rPr>
          <w:sz w:val="20"/>
        </w:rPr>
        <w:t>Badgett,</w:t>
      </w:r>
      <w:r>
        <w:rPr>
          <w:spacing w:val="-4"/>
          <w:sz w:val="20"/>
        </w:rPr>
        <w:t xml:space="preserve"> </w:t>
      </w:r>
      <w:r>
        <w:rPr>
          <w:sz w:val="20"/>
        </w:rPr>
        <w:t>L.</w:t>
      </w:r>
      <w:r>
        <w:rPr>
          <w:spacing w:val="-7"/>
          <w:sz w:val="20"/>
        </w:rPr>
        <w:t xml:space="preserve"> </w:t>
      </w:r>
      <w:r>
        <w:rPr>
          <w:sz w:val="20"/>
        </w:rPr>
        <w:t>M.V.,</w:t>
      </w:r>
      <w:r>
        <w:rPr>
          <w:spacing w:val="-5"/>
          <w:sz w:val="20"/>
        </w:rPr>
        <w:t xml:space="preserve"> </w:t>
      </w:r>
      <w:r>
        <w:rPr>
          <w:sz w:val="20"/>
        </w:rPr>
        <w:t>Durso,</w:t>
      </w:r>
      <w:r>
        <w:rPr>
          <w:spacing w:val="-5"/>
          <w:sz w:val="20"/>
        </w:rPr>
        <w:t xml:space="preserve"> </w:t>
      </w:r>
      <w:r>
        <w:rPr>
          <w:sz w:val="20"/>
        </w:rPr>
        <w:t>L.</w:t>
      </w:r>
      <w:r>
        <w:rPr>
          <w:spacing w:val="-5"/>
          <w:sz w:val="20"/>
        </w:rPr>
        <w:t xml:space="preserve"> </w:t>
      </w:r>
      <w:r>
        <w:rPr>
          <w:sz w:val="20"/>
        </w:rPr>
        <w:t>E.,</w:t>
      </w:r>
      <w:r>
        <w:rPr>
          <w:spacing w:val="-5"/>
          <w:sz w:val="20"/>
        </w:rPr>
        <w:t xml:space="preserve"> </w:t>
      </w:r>
      <w:r>
        <w:rPr>
          <w:sz w:val="20"/>
        </w:rPr>
        <w:t>&amp;</w:t>
      </w:r>
      <w:r>
        <w:rPr>
          <w:spacing w:val="-4"/>
          <w:sz w:val="20"/>
        </w:rPr>
        <w:t xml:space="preserve"> </w:t>
      </w:r>
      <w:r>
        <w:rPr>
          <w:sz w:val="20"/>
        </w:rPr>
        <w:t>Schneebaum,</w:t>
      </w:r>
      <w:r>
        <w:rPr>
          <w:spacing w:val="-4"/>
          <w:sz w:val="20"/>
        </w:rPr>
        <w:t xml:space="preserve"> </w:t>
      </w:r>
      <w:r>
        <w:rPr>
          <w:sz w:val="20"/>
        </w:rPr>
        <w:t>A.</w:t>
      </w:r>
      <w:r>
        <w:rPr>
          <w:spacing w:val="-6"/>
          <w:sz w:val="20"/>
        </w:rPr>
        <w:t xml:space="preserve"> </w:t>
      </w:r>
      <w:r>
        <w:rPr>
          <w:sz w:val="20"/>
        </w:rPr>
        <w:t>(2013).</w:t>
      </w:r>
      <w:r>
        <w:rPr>
          <w:spacing w:val="-6"/>
          <w:sz w:val="20"/>
        </w:rPr>
        <w:t xml:space="preserve"> </w:t>
      </w:r>
      <w:r>
        <w:rPr>
          <w:sz w:val="20"/>
        </w:rPr>
        <w:t>New</w:t>
      </w:r>
      <w:r>
        <w:rPr>
          <w:spacing w:val="-5"/>
          <w:sz w:val="20"/>
        </w:rPr>
        <w:t xml:space="preserve"> </w:t>
      </w:r>
      <w:r>
        <w:rPr>
          <w:sz w:val="20"/>
        </w:rPr>
        <w:t>Patterns</w:t>
      </w:r>
      <w:r>
        <w:rPr>
          <w:spacing w:val="-5"/>
          <w:sz w:val="20"/>
        </w:rPr>
        <w:t xml:space="preserve"> </w:t>
      </w:r>
      <w:r>
        <w:rPr>
          <w:sz w:val="20"/>
        </w:rPr>
        <w:t>of</w:t>
      </w:r>
      <w:r>
        <w:rPr>
          <w:spacing w:val="-7"/>
          <w:sz w:val="20"/>
        </w:rPr>
        <w:t xml:space="preserve"> </w:t>
      </w:r>
      <w:r>
        <w:rPr>
          <w:sz w:val="20"/>
        </w:rPr>
        <w:t>Poverty</w:t>
      </w:r>
      <w:r>
        <w:rPr>
          <w:spacing w:val="-3"/>
          <w:sz w:val="20"/>
        </w:rPr>
        <w:t xml:space="preserve"> </w:t>
      </w:r>
      <w:r>
        <w:rPr>
          <w:sz w:val="20"/>
        </w:rPr>
        <w:t>in</w:t>
      </w:r>
      <w:r>
        <w:rPr>
          <w:spacing w:val="-5"/>
          <w:sz w:val="20"/>
        </w:rPr>
        <w:t xml:space="preserve"> </w:t>
      </w:r>
      <w:r>
        <w:rPr>
          <w:sz w:val="20"/>
        </w:rPr>
        <w:t>the</w:t>
      </w:r>
      <w:r>
        <w:rPr>
          <w:spacing w:val="-7"/>
          <w:sz w:val="20"/>
        </w:rPr>
        <w:t xml:space="preserve"> </w:t>
      </w:r>
      <w:r>
        <w:rPr>
          <w:sz w:val="20"/>
        </w:rPr>
        <w:t>Lesbian,</w:t>
      </w:r>
      <w:r>
        <w:rPr>
          <w:spacing w:val="-5"/>
          <w:sz w:val="20"/>
        </w:rPr>
        <w:t xml:space="preserve"> </w:t>
      </w:r>
      <w:r>
        <w:rPr>
          <w:sz w:val="20"/>
        </w:rPr>
        <w:t>Gay,</w:t>
      </w:r>
      <w:r>
        <w:rPr>
          <w:spacing w:val="-5"/>
          <w:sz w:val="20"/>
        </w:rPr>
        <w:t xml:space="preserve"> </w:t>
      </w:r>
      <w:r>
        <w:rPr>
          <w:sz w:val="20"/>
        </w:rPr>
        <w:t>and</w:t>
      </w:r>
      <w:r>
        <w:rPr>
          <w:spacing w:val="-5"/>
          <w:sz w:val="20"/>
        </w:rPr>
        <w:t xml:space="preserve"> </w:t>
      </w:r>
      <w:r>
        <w:rPr>
          <w:sz w:val="20"/>
        </w:rPr>
        <w:t xml:space="preserve">Bisexual Community. Williams Institute. Retrieved from </w:t>
      </w:r>
      <w:hyperlink r:id="rId443">
        <w:r>
          <w:rPr>
            <w:sz w:val="20"/>
          </w:rPr>
          <w:t xml:space="preserve">http://williamsinstitute.law.ucla.edu/wp- </w:t>
        </w:r>
      </w:hyperlink>
      <w:r>
        <w:rPr>
          <w:sz w:val="20"/>
        </w:rPr>
        <w:t xml:space="preserve">content/uploads/LGB- </w:t>
      </w:r>
      <w:r>
        <w:rPr>
          <w:spacing w:val="-2"/>
          <w:sz w:val="20"/>
        </w:rPr>
        <w:t>Poverty-Update-Jun-2013.pdf.</w:t>
      </w:r>
    </w:p>
    <w:p w:rsidR="00C76E6D" w:rsidRDefault="00913831">
      <w:pPr>
        <w:ind w:left="339" w:right="437" w:hanging="2"/>
        <w:rPr>
          <w:sz w:val="20"/>
        </w:rPr>
      </w:pPr>
      <w:bookmarkStart w:id="870" w:name="_bookmark612"/>
      <w:bookmarkEnd w:id="870"/>
      <w:r>
        <w:rPr>
          <w:sz w:val="20"/>
          <w:vertAlign w:val="superscript"/>
        </w:rPr>
        <w:t>4</w:t>
      </w:r>
      <w:r>
        <w:rPr>
          <w:spacing w:val="-4"/>
          <w:sz w:val="20"/>
        </w:rPr>
        <w:t xml:space="preserve"> </w:t>
      </w:r>
      <w:r>
        <w:rPr>
          <w:sz w:val="20"/>
        </w:rPr>
        <w:t>Center</w:t>
      </w:r>
      <w:r>
        <w:rPr>
          <w:spacing w:val="-7"/>
          <w:sz w:val="20"/>
        </w:rPr>
        <w:t xml:space="preserve"> </w:t>
      </w:r>
      <w:r>
        <w:rPr>
          <w:sz w:val="20"/>
        </w:rPr>
        <w:t>for</w:t>
      </w:r>
      <w:r>
        <w:rPr>
          <w:spacing w:val="-5"/>
          <w:sz w:val="20"/>
        </w:rPr>
        <w:t xml:space="preserve"> </w:t>
      </w:r>
      <w:r>
        <w:rPr>
          <w:sz w:val="20"/>
        </w:rPr>
        <w:t>American</w:t>
      </w:r>
      <w:r>
        <w:rPr>
          <w:spacing w:val="-4"/>
          <w:sz w:val="20"/>
        </w:rPr>
        <w:t xml:space="preserve"> </w:t>
      </w:r>
      <w:r>
        <w:rPr>
          <w:sz w:val="20"/>
        </w:rPr>
        <w:t>Progress</w:t>
      </w:r>
      <w:r>
        <w:rPr>
          <w:spacing w:val="-5"/>
          <w:sz w:val="20"/>
        </w:rPr>
        <w:t xml:space="preserve"> </w:t>
      </w:r>
      <w:r>
        <w:rPr>
          <w:sz w:val="20"/>
        </w:rPr>
        <w:t>and</w:t>
      </w:r>
      <w:r>
        <w:rPr>
          <w:spacing w:val="-5"/>
          <w:sz w:val="20"/>
        </w:rPr>
        <w:t xml:space="preserve"> </w:t>
      </w:r>
      <w:r>
        <w:rPr>
          <w:sz w:val="20"/>
        </w:rPr>
        <w:t>the</w:t>
      </w:r>
      <w:r>
        <w:rPr>
          <w:spacing w:val="-7"/>
          <w:sz w:val="20"/>
        </w:rPr>
        <w:t xml:space="preserve"> </w:t>
      </w:r>
      <w:r>
        <w:rPr>
          <w:sz w:val="20"/>
        </w:rPr>
        <w:t>Movement</w:t>
      </w:r>
      <w:r>
        <w:rPr>
          <w:spacing w:val="-6"/>
          <w:sz w:val="20"/>
        </w:rPr>
        <w:t xml:space="preserve"> </w:t>
      </w:r>
      <w:r>
        <w:rPr>
          <w:sz w:val="20"/>
        </w:rPr>
        <w:t>Advancement</w:t>
      </w:r>
      <w:r>
        <w:rPr>
          <w:spacing w:val="-4"/>
          <w:sz w:val="20"/>
        </w:rPr>
        <w:t xml:space="preserve"> </w:t>
      </w:r>
      <w:r>
        <w:rPr>
          <w:sz w:val="20"/>
        </w:rPr>
        <w:t>Project.</w:t>
      </w:r>
      <w:r>
        <w:rPr>
          <w:spacing w:val="-7"/>
          <w:sz w:val="20"/>
        </w:rPr>
        <w:t xml:space="preserve"> </w:t>
      </w:r>
      <w:r>
        <w:rPr>
          <w:sz w:val="20"/>
        </w:rPr>
        <w:t>(2014).</w:t>
      </w:r>
      <w:r>
        <w:rPr>
          <w:spacing w:val="-6"/>
          <w:sz w:val="20"/>
        </w:rPr>
        <w:t xml:space="preserve"> </w:t>
      </w:r>
      <w:r>
        <w:rPr>
          <w:sz w:val="20"/>
        </w:rPr>
        <w:t>Paying</w:t>
      </w:r>
      <w:r>
        <w:rPr>
          <w:spacing w:val="-5"/>
          <w:sz w:val="20"/>
        </w:rPr>
        <w:t xml:space="preserve"> </w:t>
      </w:r>
      <w:r>
        <w:rPr>
          <w:sz w:val="20"/>
        </w:rPr>
        <w:t>an</w:t>
      </w:r>
      <w:r>
        <w:rPr>
          <w:spacing w:val="-4"/>
          <w:sz w:val="20"/>
        </w:rPr>
        <w:t xml:space="preserve"> </w:t>
      </w:r>
      <w:r>
        <w:rPr>
          <w:sz w:val="20"/>
        </w:rPr>
        <w:t>Unfair</w:t>
      </w:r>
      <w:r>
        <w:rPr>
          <w:spacing w:val="-5"/>
          <w:sz w:val="20"/>
        </w:rPr>
        <w:t xml:space="preserve"> </w:t>
      </w:r>
      <w:r>
        <w:rPr>
          <w:sz w:val="20"/>
        </w:rPr>
        <w:t>Price:</w:t>
      </w:r>
      <w:r>
        <w:rPr>
          <w:spacing w:val="-4"/>
          <w:sz w:val="20"/>
        </w:rPr>
        <w:t xml:space="preserve"> </w:t>
      </w:r>
      <w:r>
        <w:rPr>
          <w:sz w:val="20"/>
        </w:rPr>
        <w:t>the</w:t>
      </w:r>
      <w:r>
        <w:rPr>
          <w:spacing w:val="-8"/>
          <w:sz w:val="20"/>
        </w:rPr>
        <w:t xml:space="preserve"> </w:t>
      </w:r>
      <w:r>
        <w:rPr>
          <w:sz w:val="20"/>
        </w:rPr>
        <w:t xml:space="preserve">Financial Penalty for Being LGBT in America. Retrieved from </w:t>
      </w:r>
      <w:hyperlink r:id="rId444">
        <w:r>
          <w:rPr>
            <w:sz w:val="20"/>
          </w:rPr>
          <w:t xml:space="preserve">http://www.lgbtmap.org/file/paying-an-unfair-price- </w:t>
        </w:r>
      </w:hyperlink>
      <w:r>
        <w:rPr>
          <w:sz w:val="20"/>
        </w:rPr>
        <w:t xml:space="preserve">full- </w:t>
      </w:r>
      <w:r>
        <w:rPr>
          <w:spacing w:val="-2"/>
          <w:sz w:val="20"/>
        </w:rPr>
        <w:t>report.pdf.</w:t>
      </w:r>
    </w:p>
    <w:p w:rsidR="00C76E6D" w:rsidRDefault="00913831">
      <w:pPr>
        <w:ind w:left="339" w:right="761" w:hanging="2"/>
        <w:rPr>
          <w:sz w:val="20"/>
        </w:rPr>
      </w:pPr>
      <w:bookmarkStart w:id="871" w:name="_bookmark613"/>
      <w:bookmarkEnd w:id="871"/>
      <w:r>
        <w:rPr>
          <w:sz w:val="20"/>
          <w:vertAlign w:val="superscript"/>
        </w:rPr>
        <w:t>5</w:t>
      </w:r>
      <w:r>
        <w:rPr>
          <w:spacing w:val="-4"/>
          <w:sz w:val="20"/>
        </w:rPr>
        <w:t xml:space="preserve"> </w:t>
      </w:r>
      <w:r>
        <w:rPr>
          <w:sz w:val="20"/>
        </w:rPr>
        <w:t>Cray,</w:t>
      </w:r>
      <w:r>
        <w:rPr>
          <w:spacing w:val="-5"/>
          <w:sz w:val="20"/>
        </w:rPr>
        <w:t xml:space="preserve"> </w:t>
      </w:r>
      <w:r>
        <w:rPr>
          <w:sz w:val="20"/>
        </w:rPr>
        <w:t>A.,</w:t>
      </w:r>
      <w:r>
        <w:rPr>
          <w:spacing w:val="-6"/>
          <w:sz w:val="20"/>
        </w:rPr>
        <w:t xml:space="preserve"> </w:t>
      </w:r>
      <w:r>
        <w:rPr>
          <w:sz w:val="20"/>
        </w:rPr>
        <w:t>Miller,</w:t>
      </w:r>
      <w:r>
        <w:rPr>
          <w:spacing w:val="-4"/>
          <w:sz w:val="20"/>
        </w:rPr>
        <w:t xml:space="preserve"> </w:t>
      </w:r>
      <w:r>
        <w:rPr>
          <w:sz w:val="20"/>
        </w:rPr>
        <w:t>K.,</w:t>
      </w:r>
      <w:r>
        <w:rPr>
          <w:spacing w:val="-5"/>
          <w:sz w:val="20"/>
        </w:rPr>
        <w:t xml:space="preserve"> </w:t>
      </w:r>
      <w:r>
        <w:rPr>
          <w:sz w:val="20"/>
        </w:rPr>
        <w:t>and</w:t>
      </w:r>
      <w:r>
        <w:rPr>
          <w:spacing w:val="-5"/>
          <w:sz w:val="20"/>
        </w:rPr>
        <w:t xml:space="preserve"> </w:t>
      </w:r>
      <w:r>
        <w:rPr>
          <w:sz w:val="20"/>
        </w:rPr>
        <w:t>Durso,</w:t>
      </w:r>
      <w:r>
        <w:rPr>
          <w:spacing w:val="-4"/>
          <w:sz w:val="20"/>
        </w:rPr>
        <w:t xml:space="preserve"> </w:t>
      </w:r>
      <w:r>
        <w:rPr>
          <w:sz w:val="20"/>
        </w:rPr>
        <w:t>L.</w:t>
      </w:r>
      <w:r>
        <w:rPr>
          <w:spacing w:val="-6"/>
          <w:sz w:val="20"/>
        </w:rPr>
        <w:t xml:space="preserve"> </w:t>
      </w:r>
      <w:r>
        <w:rPr>
          <w:sz w:val="20"/>
        </w:rPr>
        <w:t>E.</w:t>
      </w:r>
      <w:r>
        <w:rPr>
          <w:spacing w:val="-6"/>
          <w:sz w:val="20"/>
        </w:rPr>
        <w:t xml:space="preserve"> </w:t>
      </w:r>
      <w:r>
        <w:rPr>
          <w:sz w:val="20"/>
        </w:rPr>
        <w:t>(2013).</w:t>
      </w:r>
      <w:r>
        <w:rPr>
          <w:spacing w:val="-7"/>
          <w:sz w:val="20"/>
        </w:rPr>
        <w:t xml:space="preserve"> </w:t>
      </w:r>
      <w:r>
        <w:rPr>
          <w:sz w:val="20"/>
        </w:rPr>
        <w:t>Seekin</w:t>
      </w:r>
      <w:r>
        <w:rPr>
          <w:sz w:val="20"/>
        </w:rPr>
        <w:t>g</w:t>
      </w:r>
      <w:r>
        <w:rPr>
          <w:spacing w:val="-5"/>
          <w:sz w:val="20"/>
        </w:rPr>
        <w:t xml:space="preserve"> </w:t>
      </w:r>
      <w:r>
        <w:rPr>
          <w:sz w:val="20"/>
        </w:rPr>
        <w:t>Shelter:</w:t>
      </w:r>
      <w:r>
        <w:rPr>
          <w:spacing w:val="-4"/>
          <w:sz w:val="20"/>
        </w:rPr>
        <w:t xml:space="preserve"> </w:t>
      </w:r>
      <w:r>
        <w:rPr>
          <w:sz w:val="20"/>
        </w:rPr>
        <w:t>The</w:t>
      </w:r>
      <w:r>
        <w:rPr>
          <w:spacing w:val="-6"/>
          <w:sz w:val="20"/>
        </w:rPr>
        <w:t xml:space="preserve"> </w:t>
      </w:r>
      <w:r>
        <w:rPr>
          <w:sz w:val="20"/>
        </w:rPr>
        <w:t>Experiences</w:t>
      </w:r>
      <w:r>
        <w:rPr>
          <w:spacing w:val="-5"/>
          <w:sz w:val="20"/>
        </w:rPr>
        <w:t xml:space="preserve"> </w:t>
      </w:r>
      <w:r>
        <w:rPr>
          <w:sz w:val="20"/>
        </w:rPr>
        <w:t>and</w:t>
      </w:r>
      <w:r>
        <w:rPr>
          <w:spacing w:val="-5"/>
          <w:sz w:val="20"/>
        </w:rPr>
        <w:t xml:space="preserve"> </w:t>
      </w:r>
      <w:r>
        <w:rPr>
          <w:sz w:val="20"/>
        </w:rPr>
        <w:t>Unmet</w:t>
      </w:r>
      <w:r>
        <w:rPr>
          <w:spacing w:val="-7"/>
          <w:sz w:val="20"/>
        </w:rPr>
        <w:t xml:space="preserve"> </w:t>
      </w:r>
      <w:r>
        <w:rPr>
          <w:sz w:val="20"/>
        </w:rPr>
        <w:t>Needs</w:t>
      </w:r>
      <w:r>
        <w:rPr>
          <w:spacing w:val="-6"/>
          <w:sz w:val="20"/>
        </w:rPr>
        <w:t xml:space="preserve"> </w:t>
      </w:r>
      <w:r>
        <w:rPr>
          <w:sz w:val="20"/>
        </w:rPr>
        <w:t>of</w:t>
      </w:r>
      <w:r>
        <w:rPr>
          <w:spacing w:val="-4"/>
          <w:sz w:val="20"/>
        </w:rPr>
        <w:t xml:space="preserve"> </w:t>
      </w:r>
      <w:r>
        <w:rPr>
          <w:sz w:val="20"/>
        </w:rPr>
        <w:t>LGBT</w:t>
      </w:r>
      <w:r>
        <w:rPr>
          <w:spacing w:val="-5"/>
          <w:sz w:val="20"/>
        </w:rPr>
        <w:t xml:space="preserve"> </w:t>
      </w:r>
      <w:r>
        <w:rPr>
          <w:sz w:val="20"/>
        </w:rPr>
        <w:t>Homeless Youth. Center for American Progress. Retrieved from https://</w:t>
      </w:r>
      <w:hyperlink r:id="rId445">
        <w:r>
          <w:rPr>
            <w:sz w:val="20"/>
          </w:rPr>
          <w:t>www.americanprogress.org/wp-</w:t>
        </w:r>
      </w:hyperlink>
      <w:r>
        <w:rPr>
          <w:sz w:val="20"/>
        </w:rPr>
        <w:t xml:space="preserve"> content/uploads/2013/09/LGBTHomelessYouth.pdf. Husse</w:t>
      </w:r>
      <w:r>
        <w:rPr>
          <w:sz w:val="20"/>
        </w:rPr>
        <w:t xml:space="preserve">y, H. (2015). Beyond 4 Walls and a Roof: Addressing Homelessness among Transgender Youth. Center for American Progress. Retrieved from </w:t>
      </w:r>
      <w:r>
        <w:rPr>
          <w:spacing w:val="-2"/>
          <w:sz w:val="20"/>
        </w:rPr>
        <w:t>https://cdn.americanprogress.org/wp-content/uploads/2015/02/TransgenderHomeless-report2.pdf.</w:t>
      </w:r>
    </w:p>
    <w:p w:rsidR="00C76E6D" w:rsidRDefault="00C76E6D">
      <w:pPr>
        <w:rPr>
          <w:sz w:val="20"/>
        </w:rPr>
        <w:sectPr w:rsidR="00C76E6D">
          <w:pgSz w:w="12240" w:h="15840"/>
          <w:pgMar w:top="1020" w:right="960" w:bottom="640" w:left="960" w:header="832" w:footer="440" w:gutter="0"/>
          <w:cols w:space="720"/>
        </w:sectPr>
      </w:pPr>
    </w:p>
    <w:p w:rsidR="00C76E6D" w:rsidRDefault="00C76E6D">
      <w:pPr>
        <w:pStyle w:val="BodyText"/>
        <w:spacing w:before="3"/>
        <w:rPr>
          <w:sz w:val="24"/>
        </w:rPr>
      </w:pPr>
    </w:p>
    <w:p w:rsidR="00C76E6D" w:rsidRDefault="00913831">
      <w:pPr>
        <w:pStyle w:val="Heading2"/>
        <w:spacing w:before="35"/>
      </w:pPr>
      <w:bookmarkStart w:id="872" w:name="Department_of_Youth_Services"/>
      <w:bookmarkStart w:id="873" w:name="_bookmark614"/>
      <w:bookmarkEnd w:id="872"/>
      <w:bookmarkEnd w:id="873"/>
      <w:r>
        <w:t>Department</w:t>
      </w:r>
      <w:r>
        <w:rPr>
          <w:spacing w:val="-8"/>
        </w:rPr>
        <w:t xml:space="preserve"> </w:t>
      </w:r>
      <w:r>
        <w:t>of</w:t>
      </w:r>
      <w:r>
        <w:rPr>
          <w:spacing w:val="-8"/>
        </w:rPr>
        <w:t xml:space="preserve"> </w:t>
      </w:r>
      <w:r>
        <w:t>Youth</w:t>
      </w:r>
      <w:r>
        <w:rPr>
          <w:spacing w:val="-8"/>
        </w:rPr>
        <w:t xml:space="preserve"> </w:t>
      </w:r>
      <w:r>
        <w:rPr>
          <w:spacing w:val="-2"/>
        </w:rPr>
        <w:t>Services</w:t>
      </w:r>
    </w:p>
    <w:p w:rsidR="00C76E6D" w:rsidRDefault="00913831">
      <w:pPr>
        <w:pStyle w:val="BodyText"/>
        <w:rPr>
          <w:b/>
          <w:sz w:val="12"/>
        </w:rPr>
      </w:pPr>
      <w:r>
        <w:pict>
          <v:shape id="docshape437" o:spid="_x0000_s1061" style="position:absolute;margin-left:65pt;margin-top:8.55pt;width:476.95pt;height:.1pt;z-index:-15635968;mso-wrap-distance-left:0;mso-wrap-distance-right:0;mso-position-horizontal-relative:page" coordorigin="1300,171" coordsize="9539,0" path="m1300,171r9539,e" filled="f" strokeweight="1.54pt">
            <v:path arrowok="t"/>
            <w10:wrap type="topAndBottom" anchorx="page"/>
          </v:shape>
        </w:pict>
      </w:r>
    </w:p>
    <w:p w:rsidR="00C76E6D" w:rsidRDefault="00913831">
      <w:pPr>
        <w:pStyle w:val="Heading5"/>
        <w:spacing w:before="182"/>
      </w:pPr>
      <w:r>
        <w:rPr>
          <w:spacing w:val="-2"/>
        </w:rPr>
        <w:t>FY2023</w:t>
      </w:r>
      <w:r>
        <w:rPr>
          <w:spacing w:val="-4"/>
        </w:rPr>
        <w:t xml:space="preserve"> </w:t>
      </w:r>
      <w:r>
        <w:rPr>
          <w:spacing w:val="-2"/>
        </w:rPr>
        <w:t>Recommendations</w:t>
      </w:r>
    </w:p>
    <w:p w:rsidR="00C76E6D" w:rsidRDefault="00C76E6D">
      <w:pPr>
        <w:pStyle w:val="BodyText"/>
        <w:spacing w:before="11"/>
        <w:rPr>
          <w:b/>
          <w:sz w:val="33"/>
        </w:rPr>
      </w:pPr>
    </w:p>
    <w:p w:rsidR="00C76E6D" w:rsidRDefault="00913831">
      <w:pPr>
        <w:pStyle w:val="ListParagraph"/>
        <w:numPr>
          <w:ilvl w:val="1"/>
          <w:numId w:val="7"/>
        </w:numPr>
        <w:tabs>
          <w:tab w:val="left" w:pos="909"/>
        </w:tabs>
        <w:spacing w:before="1"/>
        <w:ind w:right="338" w:firstLine="0"/>
        <w:jc w:val="both"/>
      </w:pPr>
      <w:r>
        <w:t xml:space="preserve">Share and continue to develop data related to sexual orientation and gender identity and analyze its </w:t>
      </w:r>
      <w:r>
        <w:rPr>
          <w:spacing w:val="-2"/>
        </w:rPr>
        <w:t>implications.</w:t>
      </w:r>
    </w:p>
    <w:p w:rsidR="00C76E6D" w:rsidRDefault="00C76E6D">
      <w:pPr>
        <w:pStyle w:val="BodyText"/>
        <w:spacing w:before="11"/>
        <w:rPr>
          <w:sz w:val="21"/>
        </w:rPr>
      </w:pPr>
    </w:p>
    <w:p w:rsidR="00C76E6D" w:rsidRDefault="00913831">
      <w:pPr>
        <w:pStyle w:val="ListParagraph"/>
        <w:numPr>
          <w:ilvl w:val="1"/>
          <w:numId w:val="7"/>
        </w:numPr>
        <w:tabs>
          <w:tab w:val="left" w:pos="910"/>
        </w:tabs>
        <w:ind w:right="338" w:hanging="1"/>
        <w:jc w:val="both"/>
      </w:pPr>
      <w:r>
        <w:t xml:space="preserve">Continue to provide LGBTQ trainings and other resources and review them for currency and </w:t>
      </w:r>
      <w:r>
        <w:rPr>
          <w:spacing w:val="-2"/>
        </w:rPr>
        <w:t>effectiveness.</w:t>
      </w:r>
    </w:p>
    <w:p w:rsidR="00C76E6D" w:rsidRDefault="00C76E6D">
      <w:pPr>
        <w:pStyle w:val="BodyText"/>
      </w:pPr>
    </w:p>
    <w:p w:rsidR="00C76E6D" w:rsidRDefault="00913831">
      <w:pPr>
        <w:pStyle w:val="ListParagraph"/>
        <w:numPr>
          <w:ilvl w:val="1"/>
          <w:numId w:val="7"/>
        </w:numPr>
        <w:tabs>
          <w:tab w:val="left" w:pos="914"/>
        </w:tabs>
        <w:ind w:right="337" w:firstLine="0"/>
        <w:jc w:val="both"/>
      </w:pPr>
      <w:r>
        <w:t>Continue implementation of LGBTQ-inclusive material into existing curricula and programming provided to youth in its care.</w:t>
      </w:r>
    </w:p>
    <w:p w:rsidR="00C76E6D" w:rsidRDefault="00C76E6D">
      <w:pPr>
        <w:pStyle w:val="BodyText"/>
      </w:pPr>
    </w:p>
    <w:p w:rsidR="00C76E6D" w:rsidRDefault="00913831">
      <w:pPr>
        <w:pStyle w:val="ListParagraph"/>
        <w:numPr>
          <w:ilvl w:val="1"/>
          <w:numId w:val="7"/>
        </w:numPr>
        <w:tabs>
          <w:tab w:val="left" w:pos="844"/>
        </w:tabs>
        <w:spacing w:before="1"/>
        <w:ind w:right="340" w:hanging="1"/>
        <w:jc w:val="both"/>
      </w:pPr>
      <w:r>
        <w:t>Continue to partner with the OCA and other juvenile justice stakeholders to implement a juvenile diversion pilot pro</w:t>
      </w:r>
      <w:r>
        <w:t>gram statewide to minimize detention and system-involvement</w:t>
      </w:r>
    </w:p>
    <w:p w:rsidR="00C76E6D" w:rsidRDefault="00C76E6D">
      <w:pPr>
        <w:pStyle w:val="BodyText"/>
        <w:spacing w:before="11"/>
        <w:rPr>
          <w:sz w:val="21"/>
        </w:rPr>
      </w:pPr>
    </w:p>
    <w:p w:rsidR="00C76E6D" w:rsidRDefault="00913831">
      <w:pPr>
        <w:pStyle w:val="ListParagraph"/>
        <w:numPr>
          <w:ilvl w:val="1"/>
          <w:numId w:val="7"/>
        </w:numPr>
        <w:tabs>
          <w:tab w:val="left" w:pos="856"/>
        </w:tabs>
        <w:ind w:right="338" w:hanging="1"/>
        <w:jc w:val="both"/>
      </w:pPr>
      <w:r>
        <w:t>Investigate whether LGBTQI youth, particularly transgender and intersex youth, are generally staying longer in detention vs. individual youth and skewing numbers, and collaborate with juvenile ju</w:t>
      </w:r>
      <w:r>
        <w:t>stice partners to determine root causes.</w:t>
      </w:r>
    </w:p>
    <w:p w:rsidR="00C76E6D" w:rsidRDefault="00C76E6D">
      <w:pPr>
        <w:pStyle w:val="BodyText"/>
      </w:pPr>
    </w:p>
    <w:p w:rsidR="00C76E6D" w:rsidRDefault="00C76E6D">
      <w:pPr>
        <w:pStyle w:val="BodyText"/>
        <w:spacing w:before="10"/>
      </w:pPr>
    </w:p>
    <w:p w:rsidR="00C76E6D" w:rsidRDefault="00913831">
      <w:pPr>
        <w:pStyle w:val="Heading5"/>
      </w:pPr>
      <w:r>
        <w:t>Background</w:t>
      </w:r>
      <w:r>
        <w:rPr>
          <w:spacing w:val="-15"/>
        </w:rPr>
        <w:t xml:space="preserve"> </w:t>
      </w:r>
      <w:r>
        <w:t>&amp;</w:t>
      </w:r>
      <w:r>
        <w:rPr>
          <w:spacing w:val="-6"/>
        </w:rPr>
        <w:t xml:space="preserve"> </w:t>
      </w:r>
      <w:r>
        <w:rPr>
          <w:spacing w:val="-2"/>
        </w:rPr>
        <w:t>Research</w:t>
      </w:r>
    </w:p>
    <w:p w:rsidR="00C76E6D" w:rsidRDefault="00913831">
      <w:pPr>
        <w:pStyle w:val="BodyText"/>
        <w:spacing w:before="4"/>
        <w:rPr>
          <w:b/>
          <w:sz w:val="11"/>
        </w:rPr>
      </w:pPr>
      <w:r>
        <w:pict>
          <v:shape id="docshape438" o:spid="_x0000_s1060" style="position:absolute;margin-left:65pt;margin-top:8.15pt;width:476.95pt;height:.1pt;z-index:-15635456;mso-wrap-distance-left:0;mso-wrap-distance-right:0;mso-position-horizontal-relative:page" coordorigin="1300,163" coordsize="9539,0" path="m1300,163r9539,e" filled="f" strokeweight="1.54pt">
            <v:path arrowok="t"/>
            <w10:wrap type="topAndBottom" anchorx="page"/>
          </v:shape>
        </w:pict>
      </w:r>
    </w:p>
    <w:p w:rsidR="00C76E6D" w:rsidRDefault="00C76E6D">
      <w:pPr>
        <w:pStyle w:val="BodyText"/>
        <w:rPr>
          <w:b/>
          <w:sz w:val="24"/>
        </w:rPr>
      </w:pPr>
    </w:p>
    <w:p w:rsidR="00C76E6D" w:rsidRDefault="00C76E6D">
      <w:pPr>
        <w:pStyle w:val="BodyText"/>
        <w:spacing w:before="11"/>
        <w:rPr>
          <w:b/>
          <w:sz w:val="21"/>
        </w:rPr>
      </w:pPr>
    </w:p>
    <w:p w:rsidR="00C76E6D" w:rsidRDefault="00913831">
      <w:pPr>
        <w:pStyle w:val="BodyText"/>
        <w:spacing w:before="1" w:line="276" w:lineRule="auto"/>
        <w:ind w:left="339" w:right="335" w:hanging="2"/>
        <w:jc w:val="both"/>
      </w:pPr>
      <w:r>
        <w:t>The</w:t>
      </w:r>
      <w:r>
        <w:rPr>
          <w:spacing w:val="-6"/>
        </w:rPr>
        <w:t xml:space="preserve"> </w:t>
      </w:r>
      <w:r>
        <w:t>Department</w:t>
      </w:r>
      <w:r>
        <w:rPr>
          <w:spacing w:val="-6"/>
        </w:rPr>
        <w:t xml:space="preserve"> </w:t>
      </w:r>
      <w:r>
        <w:t>of</w:t>
      </w:r>
      <w:r>
        <w:rPr>
          <w:spacing w:val="-6"/>
        </w:rPr>
        <w:t xml:space="preserve"> </w:t>
      </w:r>
      <w:r>
        <w:t>Youth</w:t>
      </w:r>
      <w:r>
        <w:rPr>
          <w:spacing w:val="-5"/>
        </w:rPr>
        <w:t xml:space="preserve"> </w:t>
      </w:r>
      <w:r>
        <w:t>Services</w:t>
      </w:r>
      <w:r>
        <w:rPr>
          <w:spacing w:val="-4"/>
        </w:rPr>
        <w:t xml:space="preserve"> </w:t>
      </w:r>
      <w:r>
        <w:t>(DYS)</w:t>
      </w:r>
      <w:r>
        <w:rPr>
          <w:spacing w:val="-7"/>
        </w:rPr>
        <w:t xml:space="preserve"> </w:t>
      </w:r>
      <w:r>
        <w:t>is</w:t>
      </w:r>
      <w:r>
        <w:rPr>
          <w:spacing w:val="-5"/>
        </w:rPr>
        <w:t xml:space="preserve"> </w:t>
      </w:r>
      <w:r>
        <w:t>the</w:t>
      </w:r>
      <w:r>
        <w:rPr>
          <w:spacing w:val="-6"/>
        </w:rPr>
        <w:t xml:space="preserve"> </w:t>
      </w:r>
      <w:r>
        <w:t>state</w:t>
      </w:r>
      <w:r>
        <w:rPr>
          <w:spacing w:val="-5"/>
        </w:rPr>
        <w:t xml:space="preserve"> </w:t>
      </w:r>
      <w:r>
        <w:t>agency</w:t>
      </w:r>
      <w:r>
        <w:rPr>
          <w:spacing w:val="-5"/>
        </w:rPr>
        <w:t xml:space="preserve"> </w:t>
      </w:r>
      <w:r>
        <w:t>charged</w:t>
      </w:r>
      <w:r>
        <w:rPr>
          <w:spacing w:val="-7"/>
        </w:rPr>
        <w:t xml:space="preserve"> </w:t>
      </w:r>
      <w:r>
        <w:t>with</w:t>
      </w:r>
      <w:r>
        <w:rPr>
          <w:spacing w:val="-6"/>
        </w:rPr>
        <w:t xml:space="preserve"> </w:t>
      </w:r>
      <w:r>
        <w:t>serving</w:t>
      </w:r>
      <w:r>
        <w:rPr>
          <w:spacing w:val="-7"/>
        </w:rPr>
        <w:t xml:space="preserve"> </w:t>
      </w:r>
      <w:r>
        <w:t>youth</w:t>
      </w:r>
      <w:r>
        <w:rPr>
          <w:spacing w:val="-6"/>
        </w:rPr>
        <w:t xml:space="preserve"> </w:t>
      </w:r>
      <w:r>
        <w:t>in</w:t>
      </w:r>
      <w:r>
        <w:rPr>
          <w:spacing w:val="-6"/>
        </w:rPr>
        <w:t xml:space="preserve"> </w:t>
      </w:r>
      <w:r>
        <w:t>pre-trial</w:t>
      </w:r>
      <w:r>
        <w:rPr>
          <w:spacing w:val="-6"/>
        </w:rPr>
        <w:t xml:space="preserve"> </w:t>
      </w:r>
      <w:r>
        <w:t>detention or youth committed</w:t>
      </w:r>
      <w:r>
        <w:rPr>
          <w:spacing w:val="-1"/>
        </w:rPr>
        <w:t xml:space="preserve"> </w:t>
      </w:r>
      <w:r>
        <w:t>as juvenile delinquents or youthful</w:t>
      </w:r>
      <w:r>
        <w:rPr>
          <w:spacing w:val="-1"/>
        </w:rPr>
        <w:t xml:space="preserve"> </w:t>
      </w:r>
      <w:r>
        <w:t>offenders. DYS has led the</w:t>
      </w:r>
      <w:r>
        <w:rPr>
          <w:spacing w:val="-1"/>
        </w:rPr>
        <w:t xml:space="preserve"> </w:t>
      </w:r>
      <w:r>
        <w:t>nation</w:t>
      </w:r>
      <w:r>
        <w:rPr>
          <w:spacing w:val="-1"/>
        </w:rPr>
        <w:t xml:space="preserve"> </w:t>
      </w:r>
      <w:r>
        <w:t>in developing and implementing policies and guidelines to prohibit discrimination and harassment against LGBTQ youth. The DYS policy and guidelines, which became effective in July 2014, were developed through collaboration with community advocates, includi</w:t>
      </w:r>
      <w:r>
        <w:t>ng members of the Commission. DYS has received state and national recognition for its work on behalf of LGBTQ young people. Since the implementation of these changes, DYS staff has kept the Commission apprised of its progress, and has pledged to continue t</w:t>
      </w:r>
      <w:r>
        <w:t>o work with the Commission on how to best serve LGBTQ youth in its care. The Commission appreciates the level of engagement that senior leadership at DYS has shown.</w:t>
      </w:r>
    </w:p>
    <w:p w:rsidR="00C76E6D" w:rsidRDefault="00C76E6D">
      <w:pPr>
        <w:pStyle w:val="BodyText"/>
        <w:spacing w:before="8"/>
        <w:rPr>
          <w:sz w:val="19"/>
        </w:rPr>
      </w:pPr>
    </w:p>
    <w:p w:rsidR="00C76E6D" w:rsidRDefault="00913831">
      <w:pPr>
        <w:pStyle w:val="BodyText"/>
        <w:spacing w:line="276" w:lineRule="auto"/>
        <w:ind w:left="337" w:right="334"/>
        <w:jc w:val="both"/>
      </w:pPr>
      <w:r>
        <w:t>Research</w:t>
      </w:r>
      <w:r>
        <w:rPr>
          <w:spacing w:val="-7"/>
        </w:rPr>
        <w:t xml:space="preserve"> </w:t>
      </w:r>
      <w:r>
        <w:t>from</w:t>
      </w:r>
      <w:r>
        <w:rPr>
          <w:spacing w:val="-7"/>
        </w:rPr>
        <w:t xml:space="preserve"> </w:t>
      </w:r>
      <w:r>
        <w:t>across</w:t>
      </w:r>
      <w:r>
        <w:rPr>
          <w:spacing w:val="-6"/>
        </w:rPr>
        <w:t xml:space="preserve"> </w:t>
      </w:r>
      <w:r>
        <w:t>the</w:t>
      </w:r>
      <w:r>
        <w:rPr>
          <w:spacing w:val="-4"/>
        </w:rPr>
        <w:t xml:space="preserve"> </w:t>
      </w:r>
      <w:r>
        <w:t>country</w:t>
      </w:r>
      <w:r>
        <w:rPr>
          <w:spacing w:val="-6"/>
        </w:rPr>
        <w:t xml:space="preserve"> </w:t>
      </w:r>
      <w:r>
        <w:t>suggests</w:t>
      </w:r>
      <w:r>
        <w:rPr>
          <w:spacing w:val="-6"/>
        </w:rPr>
        <w:t xml:space="preserve"> </w:t>
      </w:r>
      <w:r>
        <w:t>that</w:t>
      </w:r>
      <w:r>
        <w:rPr>
          <w:spacing w:val="-7"/>
        </w:rPr>
        <w:t xml:space="preserve"> </w:t>
      </w:r>
      <w:r>
        <w:t>LGBTQ</w:t>
      </w:r>
      <w:r>
        <w:rPr>
          <w:spacing w:val="-7"/>
        </w:rPr>
        <w:t xml:space="preserve"> </w:t>
      </w:r>
      <w:r>
        <w:t>youth</w:t>
      </w:r>
      <w:r>
        <w:rPr>
          <w:spacing w:val="-7"/>
        </w:rPr>
        <w:t xml:space="preserve"> </w:t>
      </w:r>
      <w:r>
        <w:t>are</w:t>
      </w:r>
      <w:r>
        <w:rPr>
          <w:spacing w:val="-5"/>
        </w:rPr>
        <w:t xml:space="preserve"> </w:t>
      </w:r>
      <w:r>
        <w:t>overrepresented</w:t>
      </w:r>
      <w:r>
        <w:rPr>
          <w:spacing w:val="-7"/>
        </w:rPr>
        <w:t xml:space="preserve"> </w:t>
      </w:r>
      <w:r>
        <w:t>within</w:t>
      </w:r>
      <w:r>
        <w:rPr>
          <w:spacing w:val="-6"/>
        </w:rPr>
        <w:t xml:space="preserve"> </w:t>
      </w:r>
      <w:r>
        <w:t>the</w:t>
      </w:r>
      <w:r>
        <w:rPr>
          <w:spacing w:val="-8"/>
        </w:rPr>
        <w:t xml:space="preserve"> </w:t>
      </w:r>
      <w:r>
        <w:t>juvenile</w:t>
      </w:r>
      <w:r>
        <w:rPr>
          <w:spacing w:val="-6"/>
        </w:rPr>
        <w:t xml:space="preserve"> </w:t>
      </w:r>
      <w:r>
        <w:t>justice system, with up to 20% of youth in detention facilities identifying as LGBTQ</w:t>
      </w:r>
      <w:hyperlink w:anchor="_bookmark615" w:history="1">
        <w:r>
          <w:t>.</w:t>
        </w:r>
        <w:r>
          <w:rPr>
            <w:vertAlign w:val="superscript"/>
          </w:rPr>
          <w:t>1</w:t>
        </w:r>
      </w:hyperlink>
      <w:r>
        <w:t xml:space="preserve"> In contrast, LGBTQ youth represent</w:t>
      </w:r>
      <w:r>
        <w:rPr>
          <w:spacing w:val="-12"/>
        </w:rPr>
        <w:t xml:space="preserve"> </w:t>
      </w:r>
      <w:r>
        <w:t>about</w:t>
      </w:r>
      <w:r>
        <w:rPr>
          <w:spacing w:val="-13"/>
        </w:rPr>
        <w:t xml:space="preserve"> </w:t>
      </w:r>
      <w:r>
        <w:t>16%</w:t>
      </w:r>
      <w:r>
        <w:rPr>
          <w:spacing w:val="-11"/>
        </w:rPr>
        <w:t xml:space="preserve"> </w:t>
      </w:r>
      <w:r>
        <w:t>of</w:t>
      </w:r>
      <w:r>
        <w:rPr>
          <w:spacing w:val="-10"/>
        </w:rPr>
        <w:t xml:space="preserve"> </w:t>
      </w:r>
      <w:r>
        <w:t>the</w:t>
      </w:r>
      <w:r>
        <w:rPr>
          <w:spacing w:val="-11"/>
        </w:rPr>
        <w:t xml:space="preserve"> </w:t>
      </w:r>
      <w:r>
        <w:t>Massachusetts</w:t>
      </w:r>
      <w:r>
        <w:rPr>
          <w:spacing w:val="-11"/>
        </w:rPr>
        <w:t xml:space="preserve"> </w:t>
      </w:r>
      <w:r>
        <w:t>youth</w:t>
      </w:r>
      <w:r>
        <w:rPr>
          <w:spacing w:val="-11"/>
        </w:rPr>
        <w:t xml:space="preserve"> </w:t>
      </w:r>
      <w:r>
        <w:t>population</w:t>
      </w:r>
      <w:r>
        <w:rPr>
          <w:spacing w:val="-12"/>
        </w:rPr>
        <w:t xml:space="preserve"> </w:t>
      </w:r>
      <w:r>
        <w:t>and</w:t>
      </w:r>
      <w:r>
        <w:rPr>
          <w:spacing w:val="-9"/>
        </w:rPr>
        <w:t xml:space="preserve"> </w:t>
      </w:r>
      <w:r>
        <w:t>8%</w:t>
      </w:r>
      <w:r>
        <w:rPr>
          <w:spacing w:val="-11"/>
        </w:rPr>
        <w:t xml:space="preserve"> </w:t>
      </w:r>
      <w:r>
        <w:t>of</w:t>
      </w:r>
      <w:r>
        <w:rPr>
          <w:spacing w:val="-11"/>
        </w:rPr>
        <w:t xml:space="preserve"> </w:t>
      </w:r>
      <w:r>
        <w:t>the</w:t>
      </w:r>
      <w:r>
        <w:rPr>
          <w:spacing w:val="-12"/>
        </w:rPr>
        <w:t xml:space="preserve"> </w:t>
      </w:r>
      <w:r>
        <w:t>youth</w:t>
      </w:r>
      <w:r>
        <w:rPr>
          <w:spacing w:val="-12"/>
        </w:rPr>
        <w:t xml:space="preserve"> </w:t>
      </w:r>
      <w:r>
        <w:t>served</w:t>
      </w:r>
      <w:r>
        <w:rPr>
          <w:spacing w:val="-12"/>
        </w:rPr>
        <w:t xml:space="preserve"> </w:t>
      </w:r>
      <w:r>
        <w:t>by</w:t>
      </w:r>
      <w:r>
        <w:rPr>
          <w:spacing w:val="-9"/>
        </w:rPr>
        <w:t xml:space="preserve"> </w:t>
      </w:r>
      <w:r>
        <w:t>DYS.</w:t>
      </w:r>
      <w:r>
        <w:rPr>
          <w:spacing w:val="-12"/>
        </w:rPr>
        <w:t xml:space="preserve"> </w:t>
      </w:r>
      <w:r>
        <w:t>These</w:t>
      </w:r>
      <w:r>
        <w:rPr>
          <w:spacing w:val="-10"/>
        </w:rPr>
        <w:t xml:space="preserve"> </w:t>
      </w:r>
      <w:r>
        <w:t>yout</w:t>
      </w:r>
      <w:r>
        <w:t>h may</w:t>
      </w:r>
      <w:r>
        <w:rPr>
          <w:spacing w:val="-4"/>
        </w:rPr>
        <w:t xml:space="preserve"> </w:t>
      </w:r>
      <w:r>
        <w:t>come</w:t>
      </w:r>
      <w:r>
        <w:rPr>
          <w:spacing w:val="-3"/>
        </w:rPr>
        <w:t xml:space="preserve"> </w:t>
      </w:r>
      <w:r>
        <w:t>in</w:t>
      </w:r>
      <w:r>
        <w:rPr>
          <w:spacing w:val="-1"/>
        </w:rPr>
        <w:t xml:space="preserve"> </w:t>
      </w:r>
      <w:r>
        <w:t>contact</w:t>
      </w:r>
      <w:r>
        <w:rPr>
          <w:spacing w:val="-5"/>
        </w:rPr>
        <w:t xml:space="preserve"> </w:t>
      </w:r>
      <w:r>
        <w:t>with</w:t>
      </w:r>
      <w:r>
        <w:rPr>
          <w:spacing w:val="-2"/>
        </w:rPr>
        <w:t xml:space="preserve"> </w:t>
      </w:r>
      <w:r>
        <w:t>the</w:t>
      </w:r>
      <w:r>
        <w:rPr>
          <w:spacing w:val="-4"/>
        </w:rPr>
        <w:t xml:space="preserve"> </w:t>
      </w:r>
      <w:r>
        <w:t>system</w:t>
      </w:r>
      <w:r>
        <w:rPr>
          <w:spacing w:val="-4"/>
        </w:rPr>
        <w:t xml:space="preserve"> </w:t>
      </w:r>
      <w:r>
        <w:t>after</w:t>
      </w:r>
      <w:r>
        <w:rPr>
          <w:spacing w:val="-4"/>
        </w:rPr>
        <w:t xml:space="preserve"> </w:t>
      </w:r>
      <w:r>
        <w:t>experiencing</w:t>
      </w:r>
      <w:r>
        <w:rPr>
          <w:spacing w:val="-4"/>
        </w:rPr>
        <w:t xml:space="preserve"> </w:t>
      </w:r>
      <w:r>
        <w:t>family</w:t>
      </w:r>
      <w:r>
        <w:rPr>
          <w:spacing w:val="-2"/>
        </w:rPr>
        <w:t xml:space="preserve"> </w:t>
      </w:r>
      <w:r>
        <w:t>rejection,</w:t>
      </w:r>
      <w:r>
        <w:rPr>
          <w:spacing w:val="-2"/>
        </w:rPr>
        <w:t xml:space="preserve"> </w:t>
      </w:r>
      <w:r>
        <w:t>homelessness,</w:t>
      </w:r>
      <w:r>
        <w:rPr>
          <w:spacing w:val="-3"/>
        </w:rPr>
        <w:t xml:space="preserve"> </w:t>
      </w:r>
      <w:r>
        <w:t>school</w:t>
      </w:r>
      <w:r>
        <w:rPr>
          <w:spacing w:val="-4"/>
        </w:rPr>
        <w:t xml:space="preserve"> </w:t>
      </w:r>
      <w:r>
        <w:t>harassment, and “survival crimes” such as theft or sex work. Massachusetts data indicates that LGBTQ youth are more likely to be</w:t>
      </w:r>
      <w:r>
        <w:rPr>
          <w:spacing w:val="-1"/>
        </w:rPr>
        <w:t xml:space="preserve"> </w:t>
      </w:r>
      <w:r>
        <w:t>gang-involved than</w:t>
      </w:r>
      <w:r>
        <w:rPr>
          <w:spacing w:val="-1"/>
        </w:rPr>
        <w:t xml:space="preserve"> </w:t>
      </w:r>
      <w:r>
        <w:t>non-LGBTQ</w:t>
      </w:r>
      <w:r>
        <w:rPr>
          <w:spacing w:val="-2"/>
        </w:rPr>
        <w:t xml:space="preserve"> </w:t>
      </w:r>
      <w:r>
        <w:t>youth,</w:t>
      </w:r>
      <w:r>
        <w:rPr>
          <w:spacing w:val="-1"/>
        </w:rPr>
        <w:t xml:space="preserve"> </w:t>
      </w:r>
      <w:r>
        <w:t>skip</w:t>
      </w:r>
      <w:r>
        <w:rPr>
          <w:spacing w:val="-2"/>
        </w:rPr>
        <w:t xml:space="preserve"> </w:t>
      </w:r>
      <w:r>
        <w:t>school</w:t>
      </w:r>
      <w:r>
        <w:rPr>
          <w:spacing w:val="-2"/>
        </w:rPr>
        <w:t xml:space="preserve"> </w:t>
      </w:r>
      <w:r>
        <w:t>because</w:t>
      </w:r>
      <w:r>
        <w:rPr>
          <w:spacing w:val="-2"/>
        </w:rPr>
        <w:t xml:space="preserve"> </w:t>
      </w:r>
      <w:r>
        <w:t>they</w:t>
      </w:r>
      <w:r>
        <w:rPr>
          <w:spacing w:val="-2"/>
        </w:rPr>
        <w:t xml:space="preserve"> </w:t>
      </w:r>
      <w:r>
        <w:t>feel unsafe,</w:t>
      </w:r>
      <w:r>
        <w:rPr>
          <w:spacing w:val="-1"/>
        </w:rPr>
        <w:t xml:space="preserve"> </w:t>
      </w:r>
      <w:r>
        <w:t>and</w:t>
      </w:r>
      <w:r>
        <w:rPr>
          <w:spacing w:val="-1"/>
        </w:rPr>
        <w:t xml:space="preserve"> </w:t>
      </w:r>
      <w:r>
        <w:t>be</w:t>
      </w:r>
      <w:r>
        <w:rPr>
          <w:spacing w:val="-2"/>
        </w:rPr>
        <w:t xml:space="preserve"> </w:t>
      </w:r>
      <w:r>
        <w:t>involved</w:t>
      </w:r>
      <w:r>
        <w:rPr>
          <w:spacing w:val="-2"/>
        </w:rPr>
        <w:t xml:space="preserve"> </w:t>
      </w:r>
      <w:r>
        <w:t>in</w:t>
      </w:r>
      <w:r>
        <w:rPr>
          <w:spacing w:val="-1"/>
        </w:rPr>
        <w:t xml:space="preserve"> </w:t>
      </w:r>
      <w:r>
        <w:t>a fight at school</w:t>
      </w:r>
      <w:hyperlink w:anchor="_bookmark616" w:history="1">
        <w:r>
          <w:t>.</w:t>
        </w:r>
        <w:r>
          <w:rPr>
            <w:vertAlign w:val="superscript"/>
          </w:rPr>
          <w:t>2</w:t>
        </w:r>
        <w:r>
          <w:t xml:space="preserve"> </w:t>
        </w:r>
      </w:hyperlink>
      <w:r>
        <w:t>LGBTQ girls are especially likely to be system-involved, with approximately 40% of girls – disproportionately girls of color – in juvenile d</w:t>
      </w:r>
      <w:r>
        <w:t>etention facilities identified as LGBTQ or gender- nonconforming versus 3.2% of boys in juvenile detention facilities</w:t>
      </w:r>
      <w:hyperlink w:anchor="_bookmark617" w:history="1">
        <w:r>
          <w:t>.</w:t>
        </w:r>
        <w:r>
          <w:rPr>
            <w:vertAlign w:val="superscript"/>
          </w:rPr>
          <w:t>3</w:t>
        </w:r>
      </w:hyperlink>
    </w:p>
    <w:p w:rsidR="00C76E6D" w:rsidRDefault="00C76E6D">
      <w:pPr>
        <w:spacing w:line="276" w:lineRule="auto"/>
        <w:jc w:val="both"/>
        <w:sectPr w:rsidR="00C76E6D">
          <w:headerReference w:type="default" r:id="rId446"/>
          <w:footerReference w:type="default" r:id="rId447"/>
          <w:pgSz w:w="12240" w:h="15840"/>
          <w:pgMar w:top="1020" w:right="960" w:bottom="640" w:left="960" w:header="832" w:footer="440" w:gutter="0"/>
          <w:cols w:space="720"/>
        </w:sectPr>
      </w:pPr>
    </w:p>
    <w:p w:rsidR="00C76E6D" w:rsidRDefault="00C76E6D">
      <w:pPr>
        <w:pStyle w:val="BodyText"/>
        <w:rPr>
          <w:sz w:val="20"/>
        </w:rPr>
      </w:pPr>
    </w:p>
    <w:p w:rsidR="00C76E6D" w:rsidRDefault="00C76E6D">
      <w:pPr>
        <w:pStyle w:val="BodyText"/>
        <w:spacing w:before="6"/>
        <w:rPr>
          <w:sz w:val="27"/>
        </w:rPr>
      </w:pPr>
    </w:p>
    <w:p w:rsidR="00C76E6D" w:rsidRDefault="00913831">
      <w:pPr>
        <w:pStyle w:val="BodyText"/>
        <w:spacing w:before="56" w:line="276" w:lineRule="auto"/>
        <w:ind w:left="338" w:right="332"/>
        <w:jc w:val="both"/>
      </w:pPr>
      <w:r>
        <w:t>There</w:t>
      </w:r>
      <w:r>
        <w:rPr>
          <w:spacing w:val="-9"/>
        </w:rPr>
        <w:t xml:space="preserve"> </w:t>
      </w:r>
      <w:r>
        <w:t>is</w:t>
      </w:r>
      <w:r>
        <w:rPr>
          <w:spacing w:val="-7"/>
        </w:rPr>
        <w:t xml:space="preserve"> </w:t>
      </w:r>
      <w:r>
        <w:t>an</w:t>
      </w:r>
      <w:r>
        <w:rPr>
          <w:spacing w:val="-8"/>
        </w:rPr>
        <w:t xml:space="preserve"> </w:t>
      </w:r>
      <w:r>
        <w:t>emerging</w:t>
      </w:r>
      <w:r>
        <w:rPr>
          <w:spacing w:val="-9"/>
        </w:rPr>
        <w:t xml:space="preserve"> </w:t>
      </w:r>
      <w:r>
        <w:t>body</w:t>
      </w:r>
      <w:r>
        <w:rPr>
          <w:spacing w:val="-8"/>
        </w:rPr>
        <w:t xml:space="preserve"> </w:t>
      </w:r>
      <w:r>
        <w:t>of</w:t>
      </w:r>
      <w:r>
        <w:rPr>
          <w:spacing w:val="-9"/>
        </w:rPr>
        <w:t xml:space="preserve"> </w:t>
      </w:r>
      <w:r>
        <w:t>national</w:t>
      </w:r>
      <w:r>
        <w:rPr>
          <w:spacing w:val="-8"/>
        </w:rPr>
        <w:t xml:space="preserve"> </w:t>
      </w:r>
      <w:r>
        <w:t>literature</w:t>
      </w:r>
      <w:r>
        <w:rPr>
          <w:spacing w:val="-9"/>
        </w:rPr>
        <w:t xml:space="preserve"> </w:t>
      </w:r>
      <w:r>
        <w:t>indicating</w:t>
      </w:r>
      <w:r>
        <w:rPr>
          <w:spacing w:val="-8"/>
        </w:rPr>
        <w:t xml:space="preserve"> </w:t>
      </w:r>
      <w:r>
        <w:t>that</w:t>
      </w:r>
      <w:r>
        <w:rPr>
          <w:spacing w:val="-8"/>
        </w:rPr>
        <w:t xml:space="preserve"> </w:t>
      </w:r>
      <w:r>
        <w:t>LGBTQ</w:t>
      </w:r>
      <w:r>
        <w:rPr>
          <w:spacing w:val="-9"/>
        </w:rPr>
        <w:t xml:space="preserve"> </w:t>
      </w:r>
      <w:r>
        <w:t>youth</w:t>
      </w:r>
      <w:r>
        <w:rPr>
          <w:spacing w:val="-8"/>
        </w:rPr>
        <w:t xml:space="preserve"> </w:t>
      </w:r>
      <w:r>
        <w:t>are</w:t>
      </w:r>
      <w:r>
        <w:rPr>
          <w:spacing w:val="-9"/>
        </w:rPr>
        <w:t xml:space="preserve"> </w:t>
      </w:r>
      <w:r>
        <w:t>punished</w:t>
      </w:r>
      <w:r>
        <w:rPr>
          <w:spacing w:val="-8"/>
        </w:rPr>
        <w:t xml:space="preserve"> </w:t>
      </w:r>
      <w:r>
        <w:t>more</w:t>
      </w:r>
      <w:r>
        <w:rPr>
          <w:spacing w:val="-10"/>
        </w:rPr>
        <w:t xml:space="preserve"> </w:t>
      </w:r>
      <w:r>
        <w:t>harshly</w:t>
      </w:r>
      <w:r>
        <w:rPr>
          <w:spacing w:val="-8"/>
        </w:rPr>
        <w:t xml:space="preserve"> </w:t>
      </w:r>
      <w:r>
        <w:t>than their heterosexual and non-transgender peers. Sexual minority youth are punished more harshly in schools and</w:t>
      </w:r>
      <w:r>
        <w:rPr>
          <w:spacing w:val="-13"/>
        </w:rPr>
        <w:t xml:space="preserve"> </w:t>
      </w:r>
      <w:r>
        <w:t>the</w:t>
      </w:r>
      <w:r>
        <w:rPr>
          <w:spacing w:val="-12"/>
        </w:rPr>
        <w:t xml:space="preserve"> </w:t>
      </w:r>
      <w:r>
        <w:t>court</w:t>
      </w:r>
      <w:r>
        <w:rPr>
          <w:spacing w:val="-13"/>
        </w:rPr>
        <w:t xml:space="preserve"> </w:t>
      </w:r>
      <w:r>
        <w:t>system</w:t>
      </w:r>
      <w:r>
        <w:rPr>
          <w:spacing w:val="-12"/>
        </w:rPr>
        <w:t xml:space="preserve"> </w:t>
      </w:r>
      <w:r>
        <w:t>than</w:t>
      </w:r>
      <w:r>
        <w:rPr>
          <w:spacing w:val="-13"/>
        </w:rPr>
        <w:t xml:space="preserve"> </w:t>
      </w:r>
      <w:r>
        <w:t>heterosexual</w:t>
      </w:r>
      <w:r>
        <w:rPr>
          <w:spacing w:val="-12"/>
        </w:rPr>
        <w:t xml:space="preserve"> </w:t>
      </w:r>
      <w:r>
        <w:t>youth,</w:t>
      </w:r>
      <w:r>
        <w:rPr>
          <w:spacing w:val="-13"/>
        </w:rPr>
        <w:t xml:space="preserve"> </w:t>
      </w:r>
      <w:r>
        <w:t>a</w:t>
      </w:r>
      <w:r>
        <w:rPr>
          <w:spacing w:val="-12"/>
        </w:rPr>
        <w:t xml:space="preserve"> </w:t>
      </w:r>
      <w:r>
        <w:t>pattern</w:t>
      </w:r>
      <w:r>
        <w:rPr>
          <w:spacing w:val="-12"/>
        </w:rPr>
        <w:t xml:space="preserve"> </w:t>
      </w:r>
      <w:r>
        <w:t>not</w:t>
      </w:r>
      <w:r>
        <w:rPr>
          <w:spacing w:val="-13"/>
        </w:rPr>
        <w:t xml:space="preserve"> </w:t>
      </w:r>
      <w:r>
        <w:t>explained</w:t>
      </w:r>
      <w:r>
        <w:rPr>
          <w:spacing w:val="-12"/>
        </w:rPr>
        <w:t xml:space="preserve"> </w:t>
      </w:r>
      <w:r>
        <w:t>by</w:t>
      </w:r>
      <w:r>
        <w:rPr>
          <w:spacing w:val="-13"/>
        </w:rPr>
        <w:t xml:space="preserve"> </w:t>
      </w:r>
      <w:r>
        <w:t>rates</w:t>
      </w:r>
      <w:r>
        <w:rPr>
          <w:spacing w:val="-12"/>
        </w:rPr>
        <w:t xml:space="preserve"> </w:t>
      </w:r>
      <w:r>
        <w:t>of</w:t>
      </w:r>
      <w:r>
        <w:rPr>
          <w:spacing w:val="-13"/>
        </w:rPr>
        <w:t xml:space="preserve"> </w:t>
      </w:r>
      <w:r>
        <w:t>infractions.</w:t>
      </w:r>
      <w:r>
        <w:rPr>
          <w:spacing w:val="-12"/>
        </w:rPr>
        <w:t xml:space="preserve"> </w:t>
      </w:r>
      <w:r>
        <w:t>Sexual</w:t>
      </w:r>
      <w:r>
        <w:rPr>
          <w:spacing w:val="-12"/>
        </w:rPr>
        <w:t xml:space="preserve"> </w:t>
      </w:r>
      <w:r>
        <w:t>minority youth</w:t>
      </w:r>
      <w:r>
        <w:rPr>
          <w:spacing w:val="-7"/>
        </w:rPr>
        <w:t xml:space="preserve"> </w:t>
      </w:r>
      <w:r>
        <w:t>also</w:t>
      </w:r>
      <w:r>
        <w:rPr>
          <w:spacing w:val="-6"/>
        </w:rPr>
        <w:t xml:space="preserve"> </w:t>
      </w:r>
      <w:r>
        <w:t>report</w:t>
      </w:r>
      <w:r>
        <w:rPr>
          <w:spacing w:val="-7"/>
        </w:rPr>
        <w:t xml:space="preserve"> </w:t>
      </w:r>
      <w:r>
        <w:t>being</w:t>
      </w:r>
      <w:r>
        <w:rPr>
          <w:spacing w:val="-7"/>
        </w:rPr>
        <w:t xml:space="preserve"> </w:t>
      </w:r>
      <w:r>
        <w:t>suspended</w:t>
      </w:r>
      <w:r>
        <w:rPr>
          <w:spacing w:val="-6"/>
        </w:rPr>
        <w:t xml:space="preserve"> </w:t>
      </w:r>
      <w:r>
        <w:t>or</w:t>
      </w:r>
      <w:r>
        <w:rPr>
          <w:spacing w:val="-5"/>
        </w:rPr>
        <w:t xml:space="preserve"> </w:t>
      </w:r>
      <w:r>
        <w:t>expelled</w:t>
      </w:r>
      <w:r>
        <w:rPr>
          <w:spacing w:val="-6"/>
        </w:rPr>
        <w:t xml:space="preserve"> </w:t>
      </w:r>
      <w:r>
        <w:t>from</w:t>
      </w:r>
      <w:r>
        <w:rPr>
          <w:spacing w:val="-4"/>
        </w:rPr>
        <w:t xml:space="preserve"> </w:t>
      </w:r>
      <w:r>
        <w:t>school</w:t>
      </w:r>
      <w:r>
        <w:rPr>
          <w:spacing w:val="-7"/>
        </w:rPr>
        <w:t xml:space="preserve"> </w:t>
      </w:r>
      <w:r>
        <w:t>at</w:t>
      </w:r>
      <w:r>
        <w:rPr>
          <w:spacing w:val="-7"/>
        </w:rPr>
        <w:t xml:space="preserve"> </w:t>
      </w:r>
      <w:r>
        <w:t>higher</w:t>
      </w:r>
      <w:r>
        <w:rPr>
          <w:spacing w:val="-6"/>
        </w:rPr>
        <w:t xml:space="preserve"> </w:t>
      </w:r>
      <w:r>
        <w:t>rates</w:t>
      </w:r>
      <w:r>
        <w:rPr>
          <w:spacing w:val="-3"/>
        </w:rPr>
        <w:t xml:space="preserve"> </w:t>
      </w:r>
      <w:r>
        <w:t>than</w:t>
      </w:r>
      <w:r>
        <w:rPr>
          <w:spacing w:val="-7"/>
        </w:rPr>
        <w:t xml:space="preserve"> </w:t>
      </w:r>
      <w:r>
        <w:t>heterosexual</w:t>
      </w:r>
      <w:r>
        <w:rPr>
          <w:spacing w:val="-7"/>
        </w:rPr>
        <w:t xml:space="preserve"> </w:t>
      </w:r>
      <w:r>
        <w:t>students.</w:t>
      </w:r>
      <w:r>
        <w:rPr>
          <w:spacing w:val="-10"/>
        </w:rPr>
        <w:t xml:space="preserve"> </w:t>
      </w:r>
      <w:hyperlink w:anchor="_bookmark618" w:history="1">
        <w:r>
          <w:rPr>
            <w:vertAlign w:val="superscript"/>
          </w:rPr>
          <w:t>4</w:t>
        </w:r>
        <w:r>
          <w:rPr>
            <w:spacing w:val="-6"/>
          </w:rPr>
          <w:t xml:space="preserve"> </w:t>
        </w:r>
      </w:hyperlink>
      <w:r>
        <w:t>This disparity in treatment by law enforcement is especially pronounced among g</w:t>
      </w:r>
      <w:r>
        <w:t>irls. Lesbian and bisexual girls are 50% more likely to be stopped by police, and twice as likely to be arrested and convicted, even though they</w:t>
      </w:r>
      <w:r>
        <w:rPr>
          <w:spacing w:val="-2"/>
        </w:rPr>
        <w:t xml:space="preserve"> </w:t>
      </w:r>
      <w:r>
        <w:t>do</w:t>
      </w:r>
      <w:r>
        <w:rPr>
          <w:spacing w:val="-1"/>
        </w:rPr>
        <w:t xml:space="preserve"> </w:t>
      </w:r>
      <w:r>
        <w:t>not</w:t>
      </w:r>
      <w:r>
        <w:rPr>
          <w:spacing w:val="-1"/>
        </w:rPr>
        <w:t xml:space="preserve"> </w:t>
      </w:r>
      <w:r>
        <w:t>engage</w:t>
      </w:r>
      <w:r>
        <w:rPr>
          <w:spacing w:val="-2"/>
        </w:rPr>
        <w:t xml:space="preserve"> </w:t>
      </w:r>
      <w:r>
        <w:t>in</w:t>
      </w:r>
      <w:r>
        <w:rPr>
          <w:spacing w:val="-1"/>
        </w:rPr>
        <w:t xml:space="preserve"> </w:t>
      </w:r>
      <w:r>
        <w:t>higher</w:t>
      </w:r>
      <w:r>
        <w:rPr>
          <w:spacing w:val="-3"/>
        </w:rPr>
        <w:t xml:space="preserve"> </w:t>
      </w:r>
      <w:r>
        <w:t>levels</w:t>
      </w:r>
      <w:r>
        <w:rPr>
          <w:spacing w:val="-1"/>
        </w:rPr>
        <w:t xml:space="preserve"> </w:t>
      </w:r>
      <w:r>
        <w:t>of</w:t>
      </w:r>
      <w:r>
        <w:rPr>
          <w:spacing w:val="-3"/>
        </w:rPr>
        <w:t xml:space="preserve"> </w:t>
      </w:r>
      <w:r>
        <w:t>misconduct</w:t>
      </w:r>
      <w:r>
        <w:rPr>
          <w:spacing w:val="-2"/>
        </w:rPr>
        <w:t xml:space="preserve"> </w:t>
      </w:r>
      <w:r>
        <w:t>compared</w:t>
      </w:r>
      <w:r>
        <w:rPr>
          <w:spacing w:val="-2"/>
        </w:rPr>
        <w:t xml:space="preserve"> </w:t>
      </w:r>
      <w:r>
        <w:t>to</w:t>
      </w:r>
      <w:r>
        <w:rPr>
          <w:spacing w:val="-1"/>
        </w:rPr>
        <w:t xml:space="preserve"> </w:t>
      </w:r>
      <w:r>
        <w:t>heterosexual</w:t>
      </w:r>
      <w:r>
        <w:rPr>
          <w:spacing w:val="-2"/>
        </w:rPr>
        <w:t xml:space="preserve"> </w:t>
      </w:r>
      <w:r>
        <w:t>girls</w:t>
      </w:r>
      <w:hyperlink w:anchor="_bookmark619" w:history="1">
        <w:r>
          <w:t>.</w:t>
        </w:r>
        <w:r>
          <w:rPr>
            <w:vertAlign w:val="superscript"/>
          </w:rPr>
          <w:t>5</w:t>
        </w:r>
        <w:r>
          <w:rPr>
            <w:spacing w:val="-3"/>
          </w:rPr>
          <w:t xml:space="preserve"> </w:t>
        </w:r>
      </w:hyperlink>
      <w:r>
        <w:t>F</w:t>
      </w:r>
      <w:r>
        <w:t>or</w:t>
      </w:r>
      <w:r>
        <w:rPr>
          <w:spacing w:val="-3"/>
        </w:rPr>
        <w:t xml:space="preserve"> </w:t>
      </w:r>
      <w:r>
        <w:t>a</w:t>
      </w:r>
      <w:r>
        <w:rPr>
          <w:spacing w:val="-1"/>
        </w:rPr>
        <w:t xml:space="preserve"> </w:t>
      </w:r>
      <w:r>
        <w:t>detailed</w:t>
      </w:r>
      <w:r>
        <w:rPr>
          <w:spacing w:val="-2"/>
        </w:rPr>
        <w:t xml:space="preserve"> </w:t>
      </w:r>
      <w:r>
        <w:t>discussion on the risk factors LGBTQ youth face for involvement in the juvenile justice system, and their experiences there, see the research on this topic above.</w:t>
      </w:r>
    </w:p>
    <w:p w:rsidR="00C76E6D" w:rsidRDefault="00C76E6D">
      <w:pPr>
        <w:pStyle w:val="BodyText"/>
      </w:pPr>
    </w:p>
    <w:p w:rsidR="00C76E6D" w:rsidRDefault="00C76E6D">
      <w:pPr>
        <w:pStyle w:val="BodyText"/>
        <w:spacing w:before="3"/>
        <w:rPr>
          <w:sz w:val="23"/>
        </w:rPr>
      </w:pPr>
    </w:p>
    <w:p w:rsidR="00C76E6D" w:rsidRDefault="00913831">
      <w:pPr>
        <w:pStyle w:val="Heading5"/>
        <w:jc w:val="both"/>
      </w:pPr>
      <w:r>
        <w:rPr>
          <w:spacing w:val="-2"/>
        </w:rPr>
        <w:t>Expanded</w:t>
      </w:r>
      <w:r>
        <w:t xml:space="preserve"> </w:t>
      </w:r>
      <w:r>
        <w:rPr>
          <w:spacing w:val="-2"/>
        </w:rPr>
        <w:t>Recommendations</w:t>
      </w:r>
    </w:p>
    <w:p w:rsidR="00C76E6D" w:rsidRDefault="00913831">
      <w:pPr>
        <w:pStyle w:val="BodyText"/>
        <w:spacing w:before="11"/>
        <w:rPr>
          <w:b/>
          <w:sz w:val="6"/>
        </w:rPr>
      </w:pPr>
      <w:r>
        <w:pict>
          <v:shape id="docshape439" o:spid="_x0000_s1059" style="position:absolute;margin-left:65pt;margin-top:5.45pt;width:476.95pt;height:.1pt;z-index:-15634944;mso-wrap-distance-left:0;mso-wrap-distance-right:0;mso-position-horizontal-relative:page" coordorigin="1300,109" coordsize="9539,0" path="m1300,109r9539,e" filled="f" strokeweight="1.54pt">
            <v:path arrowok="t"/>
            <w10:wrap type="topAndBottom" anchorx="page"/>
          </v:shape>
        </w:pict>
      </w:r>
    </w:p>
    <w:p w:rsidR="00C76E6D" w:rsidRDefault="00C76E6D">
      <w:pPr>
        <w:pStyle w:val="BodyText"/>
        <w:spacing w:before="1"/>
        <w:rPr>
          <w:b/>
          <w:sz w:val="35"/>
        </w:rPr>
      </w:pPr>
    </w:p>
    <w:p w:rsidR="00C76E6D" w:rsidRDefault="00913831">
      <w:pPr>
        <w:pStyle w:val="Heading6"/>
        <w:numPr>
          <w:ilvl w:val="0"/>
          <w:numId w:val="6"/>
        </w:numPr>
        <w:tabs>
          <w:tab w:val="left" w:pos="550"/>
        </w:tabs>
        <w:spacing w:line="276" w:lineRule="auto"/>
        <w:ind w:right="599" w:firstLine="0"/>
        <w:rPr>
          <w:b w:val="0"/>
        </w:rPr>
      </w:pPr>
      <w:bookmarkStart w:id="874" w:name="1._Share_and_continue_to_develop_data_re"/>
      <w:bookmarkEnd w:id="874"/>
      <w:r>
        <w:t>Share</w:t>
      </w:r>
      <w:r>
        <w:rPr>
          <w:spacing w:val="-3"/>
        </w:rPr>
        <w:t xml:space="preserve"> </w:t>
      </w:r>
      <w:r>
        <w:t>and</w:t>
      </w:r>
      <w:r>
        <w:rPr>
          <w:spacing w:val="-4"/>
        </w:rPr>
        <w:t xml:space="preserve"> </w:t>
      </w:r>
      <w:r>
        <w:t>continue</w:t>
      </w:r>
      <w:r>
        <w:rPr>
          <w:spacing w:val="-3"/>
        </w:rPr>
        <w:t xml:space="preserve"> </w:t>
      </w:r>
      <w:r>
        <w:t>to</w:t>
      </w:r>
      <w:r>
        <w:rPr>
          <w:spacing w:val="-4"/>
        </w:rPr>
        <w:t xml:space="preserve"> </w:t>
      </w:r>
      <w:r>
        <w:t>develop</w:t>
      </w:r>
      <w:r>
        <w:rPr>
          <w:spacing w:val="-3"/>
        </w:rPr>
        <w:t xml:space="preserve"> </w:t>
      </w:r>
      <w:r>
        <w:t>data</w:t>
      </w:r>
      <w:r>
        <w:rPr>
          <w:spacing w:val="-4"/>
        </w:rPr>
        <w:t xml:space="preserve"> </w:t>
      </w:r>
      <w:r>
        <w:t>related</w:t>
      </w:r>
      <w:r>
        <w:rPr>
          <w:spacing w:val="-3"/>
        </w:rPr>
        <w:t xml:space="preserve"> </w:t>
      </w:r>
      <w:r>
        <w:t>to</w:t>
      </w:r>
      <w:r>
        <w:rPr>
          <w:spacing w:val="-3"/>
        </w:rPr>
        <w:t xml:space="preserve"> </w:t>
      </w:r>
      <w:r>
        <w:t>sexual</w:t>
      </w:r>
      <w:r>
        <w:rPr>
          <w:spacing w:val="-3"/>
        </w:rPr>
        <w:t xml:space="preserve"> </w:t>
      </w:r>
      <w:r>
        <w:t>orientation</w:t>
      </w:r>
      <w:r>
        <w:rPr>
          <w:spacing w:val="-4"/>
        </w:rPr>
        <w:t xml:space="preserve"> </w:t>
      </w:r>
      <w:r>
        <w:t>and</w:t>
      </w:r>
      <w:r>
        <w:rPr>
          <w:spacing w:val="-3"/>
        </w:rPr>
        <w:t xml:space="preserve"> </w:t>
      </w:r>
      <w:r>
        <w:t>gender</w:t>
      </w:r>
      <w:r>
        <w:rPr>
          <w:spacing w:val="-3"/>
        </w:rPr>
        <w:t xml:space="preserve"> </w:t>
      </w:r>
      <w:r>
        <w:t>identity</w:t>
      </w:r>
      <w:r>
        <w:rPr>
          <w:spacing w:val="-4"/>
        </w:rPr>
        <w:t xml:space="preserve"> </w:t>
      </w:r>
      <w:r>
        <w:t>and</w:t>
      </w:r>
      <w:r>
        <w:rPr>
          <w:spacing w:val="-2"/>
        </w:rPr>
        <w:t xml:space="preserve"> </w:t>
      </w:r>
      <w:r>
        <w:t>analyze</w:t>
      </w:r>
      <w:r>
        <w:rPr>
          <w:spacing w:val="-3"/>
        </w:rPr>
        <w:t xml:space="preserve"> </w:t>
      </w:r>
      <w:r>
        <w:t xml:space="preserve">its </w:t>
      </w:r>
      <w:r>
        <w:rPr>
          <w:spacing w:val="-2"/>
        </w:rPr>
        <w:t>implications.</w:t>
      </w:r>
    </w:p>
    <w:p w:rsidR="00C76E6D" w:rsidRDefault="00C76E6D">
      <w:pPr>
        <w:pStyle w:val="BodyText"/>
        <w:spacing w:before="9"/>
        <w:rPr>
          <w:b/>
          <w:sz w:val="19"/>
        </w:rPr>
      </w:pPr>
    </w:p>
    <w:p w:rsidR="00C76E6D" w:rsidRDefault="00913831">
      <w:pPr>
        <w:pStyle w:val="BodyText"/>
        <w:spacing w:line="276" w:lineRule="auto"/>
        <w:ind w:left="627" w:right="333"/>
        <w:jc w:val="both"/>
      </w:pPr>
      <w:r>
        <w:t>The Commission commends DYS for the changes it has implemented in its intake process to collect data relating to sexual orientation and gender identity and expression (SOGIE) in a though</w:t>
      </w:r>
      <w:r>
        <w:t>tful, thorough, and confidential</w:t>
      </w:r>
      <w:r>
        <w:rPr>
          <w:spacing w:val="-2"/>
        </w:rPr>
        <w:t xml:space="preserve"> </w:t>
      </w:r>
      <w:r>
        <w:t>manner.</w:t>
      </w:r>
      <w:r>
        <w:rPr>
          <w:spacing w:val="-4"/>
        </w:rPr>
        <w:t xml:space="preserve"> </w:t>
      </w:r>
      <w:r>
        <w:t>It</w:t>
      </w:r>
      <w:r>
        <w:rPr>
          <w:spacing w:val="-4"/>
        </w:rPr>
        <w:t xml:space="preserve"> </w:t>
      </w:r>
      <w:r>
        <w:t>also</w:t>
      </w:r>
      <w:r>
        <w:rPr>
          <w:spacing w:val="-4"/>
        </w:rPr>
        <w:t xml:space="preserve"> </w:t>
      </w:r>
      <w:r>
        <w:t>supports</w:t>
      </w:r>
      <w:r>
        <w:rPr>
          <w:spacing w:val="-3"/>
        </w:rPr>
        <w:t xml:space="preserve"> </w:t>
      </w:r>
      <w:r>
        <w:t>the</w:t>
      </w:r>
      <w:r>
        <w:rPr>
          <w:spacing w:val="-4"/>
        </w:rPr>
        <w:t xml:space="preserve"> </w:t>
      </w:r>
      <w:r>
        <w:t>goal</w:t>
      </w:r>
      <w:r>
        <w:rPr>
          <w:spacing w:val="-4"/>
        </w:rPr>
        <w:t xml:space="preserve"> </w:t>
      </w:r>
      <w:r>
        <w:t>identified</w:t>
      </w:r>
      <w:r>
        <w:rPr>
          <w:spacing w:val="-5"/>
        </w:rPr>
        <w:t xml:space="preserve"> </w:t>
      </w:r>
      <w:r>
        <w:t>by</w:t>
      </w:r>
      <w:r>
        <w:rPr>
          <w:spacing w:val="-4"/>
        </w:rPr>
        <w:t xml:space="preserve"> </w:t>
      </w:r>
      <w:r>
        <w:t>DYS</w:t>
      </w:r>
      <w:r>
        <w:rPr>
          <w:spacing w:val="-4"/>
        </w:rPr>
        <w:t xml:space="preserve"> </w:t>
      </w:r>
      <w:r>
        <w:t>leadership</w:t>
      </w:r>
      <w:r>
        <w:rPr>
          <w:spacing w:val="-4"/>
        </w:rPr>
        <w:t xml:space="preserve"> </w:t>
      </w:r>
      <w:r>
        <w:t>of</w:t>
      </w:r>
      <w:r>
        <w:rPr>
          <w:spacing w:val="-4"/>
        </w:rPr>
        <w:t xml:space="preserve"> </w:t>
      </w:r>
      <w:r>
        <w:t>integrating</w:t>
      </w:r>
      <w:r>
        <w:rPr>
          <w:spacing w:val="-4"/>
        </w:rPr>
        <w:t xml:space="preserve"> </w:t>
      </w:r>
      <w:r>
        <w:t>a</w:t>
      </w:r>
      <w:r>
        <w:rPr>
          <w:spacing w:val="-4"/>
        </w:rPr>
        <w:t xml:space="preserve"> </w:t>
      </w:r>
      <w:r>
        <w:t>regular</w:t>
      </w:r>
      <w:r>
        <w:rPr>
          <w:spacing w:val="-4"/>
        </w:rPr>
        <w:t xml:space="preserve"> </w:t>
      </w:r>
      <w:r>
        <w:t>review of this data into its process for reviewing other related forms of data. In March 2019, the Commission received</w:t>
      </w:r>
      <w:r>
        <w:rPr>
          <w:spacing w:val="-1"/>
        </w:rPr>
        <w:t xml:space="preserve"> </w:t>
      </w:r>
      <w:r>
        <w:t>preliminary</w:t>
      </w:r>
      <w:r>
        <w:rPr>
          <w:spacing w:val="-2"/>
        </w:rPr>
        <w:t xml:space="preserve"> </w:t>
      </w:r>
      <w:r>
        <w:t>data</w:t>
      </w:r>
      <w:r>
        <w:rPr>
          <w:spacing w:val="-1"/>
        </w:rPr>
        <w:t xml:space="preserve"> </w:t>
      </w:r>
      <w:r>
        <w:t>from</w:t>
      </w:r>
      <w:r>
        <w:rPr>
          <w:spacing w:val="-2"/>
        </w:rPr>
        <w:t xml:space="preserve"> </w:t>
      </w:r>
      <w:r>
        <w:t>DYS</w:t>
      </w:r>
      <w:r>
        <w:rPr>
          <w:spacing w:val="-1"/>
        </w:rPr>
        <w:t xml:space="preserve"> </w:t>
      </w:r>
      <w:r>
        <w:t>that</w:t>
      </w:r>
      <w:r>
        <w:rPr>
          <w:spacing w:val="-1"/>
        </w:rPr>
        <w:t xml:space="preserve"> </w:t>
      </w:r>
      <w:r>
        <w:t>has been</w:t>
      </w:r>
      <w:r>
        <w:rPr>
          <w:spacing w:val="-1"/>
        </w:rPr>
        <w:t xml:space="preserve"> </w:t>
      </w:r>
      <w:r>
        <w:t>gathered</w:t>
      </w:r>
      <w:r>
        <w:rPr>
          <w:spacing w:val="-1"/>
        </w:rPr>
        <w:t xml:space="preserve"> </w:t>
      </w:r>
      <w:r>
        <w:t>as</w:t>
      </w:r>
      <w:r>
        <w:rPr>
          <w:spacing w:val="-1"/>
        </w:rPr>
        <w:t xml:space="preserve"> </w:t>
      </w:r>
      <w:r>
        <w:t>a</w:t>
      </w:r>
      <w:r>
        <w:rPr>
          <w:spacing w:val="-1"/>
        </w:rPr>
        <w:t xml:space="preserve"> </w:t>
      </w:r>
      <w:r>
        <w:t>result</w:t>
      </w:r>
      <w:r>
        <w:rPr>
          <w:spacing w:val="-2"/>
        </w:rPr>
        <w:t xml:space="preserve"> </w:t>
      </w:r>
      <w:r>
        <w:t>of this process</w:t>
      </w:r>
      <w:r>
        <w:rPr>
          <w:spacing w:val="-1"/>
        </w:rPr>
        <w:t xml:space="preserve"> </w:t>
      </w:r>
      <w:r>
        <w:t>and</w:t>
      </w:r>
      <w:r>
        <w:rPr>
          <w:spacing w:val="-1"/>
        </w:rPr>
        <w:t xml:space="preserve"> </w:t>
      </w:r>
      <w:r>
        <w:t>received</w:t>
      </w:r>
      <w:r>
        <w:rPr>
          <w:spacing w:val="-1"/>
        </w:rPr>
        <w:t xml:space="preserve"> </w:t>
      </w:r>
      <w:r>
        <w:t>more comprehensive</w:t>
      </w:r>
      <w:r>
        <w:rPr>
          <w:spacing w:val="-10"/>
        </w:rPr>
        <w:t xml:space="preserve"> </w:t>
      </w:r>
      <w:r>
        <w:t>data</w:t>
      </w:r>
      <w:r>
        <w:rPr>
          <w:spacing w:val="-8"/>
        </w:rPr>
        <w:t xml:space="preserve"> </w:t>
      </w:r>
      <w:r>
        <w:t>in</w:t>
      </w:r>
      <w:r>
        <w:rPr>
          <w:spacing w:val="-8"/>
        </w:rPr>
        <w:t xml:space="preserve"> </w:t>
      </w:r>
      <w:r>
        <w:t>early</w:t>
      </w:r>
      <w:r>
        <w:rPr>
          <w:spacing w:val="-9"/>
        </w:rPr>
        <w:t xml:space="preserve"> </w:t>
      </w:r>
      <w:r>
        <w:t>2021.</w:t>
      </w:r>
      <w:r>
        <w:rPr>
          <w:spacing w:val="-8"/>
        </w:rPr>
        <w:t xml:space="preserve"> </w:t>
      </w:r>
      <w:r>
        <w:t>Given</w:t>
      </w:r>
      <w:r>
        <w:rPr>
          <w:spacing w:val="-9"/>
        </w:rPr>
        <w:t xml:space="preserve"> </w:t>
      </w:r>
      <w:r>
        <w:t>the</w:t>
      </w:r>
      <w:r>
        <w:rPr>
          <w:spacing w:val="-9"/>
        </w:rPr>
        <w:t xml:space="preserve"> </w:t>
      </w:r>
      <w:r>
        <w:t>limited</w:t>
      </w:r>
      <w:r>
        <w:rPr>
          <w:spacing w:val="-6"/>
        </w:rPr>
        <w:t xml:space="preserve"> </w:t>
      </w:r>
      <w:r>
        <w:t>nature</w:t>
      </w:r>
      <w:r>
        <w:rPr>
          <w:spacing w:val="-8"/>
        </w:rPr>
        <w:t xml:space="preserve"> </w:t>
      </w:r>
      <w:r>
        <w:t>of</w:t>
      </w:r>
      <w:r>
        <w:rPr>
          <w:spacing w:val="-9"/>
        </w:rPr>
        <w:t xml:space="preserve"> </w:t>
      </w:r>
      <w:r>
        <w:t>data</w:t>
      </w:r>
      <w:r>
        <w:rPr>
          <w:spacing w:val="-8"/>
        </w:rPr>
        <w:t xml:space="preserve"> </w:t>
      </w:r>
      <w:r>
        <w:t>on</w:t>
      </w:r>
      <w:r>
        <w:rPr>
          <w:spacing w:val="-9"/>
        </w:rPr>
        <w:t xml:space="preserve"> </w:t>
      </w:r>
      <w:r>
        <w:t>LGBTQ</w:t>
      </w:r>
      <w:r>
        <w:rPr>
          <w:spacing w:val="-8"/>
        </w:rPr>
        <w:t xml:space="preserve"> </w:t>
      </w:r>
      <w:r>
        <w:t>youth</w:t>
      </w:r>
      <w:r>
        <w:rPr>
          <w:spacing w:val="-9"/>
        </w:rPr>
        <w:t xml:space="preserve"> </w:t>
      </w:r>
      <w:r>
        <w:t>in</w:t>
      </w:r>
      <w:r>
        <w:rPr>
          <w:spacing w:val="-8"/>
        </w:rPr>
        <w:t xml:space="preserve"> </w:t>
      </w:r>
      <w:r>
        <w:t>the</w:t>
      </w:r>
      <w:r>
        <w:rPr>
          <w:spacing w:val="-8"/>
        </w:rPr>
        <w:t xml:space="preserve"> </w:t>
      </w:r>
      <w:r>
        <w:t>juvenile</w:t>
      </w:r>
      <w:r>
        <w:rPr>
          <w:spacing w:val="-9"/>
        </w:rPr>
        <w:t xml:space="preserve"> </w:t>
      </w:r>
      <w:r>
        <w:t>justice system, both in Massachusetts and generally across the states, the Comm</w:t>
      </w:r>
      <w:r>
        <w:t>ission believes this data could be of interest and value to the public and looks forward to continuing to work with DYS in FY 2023 on SOGIE data collection and best practices.</w:t>
      </w:r>
    </w:p>
    <w:p w:rsidR="00C76E6D" w:rsidRDefault="00C76E6D">
      <w:pPr>
        <w:pStyle w:val="BodyText"/>
        <w:spacing w:before="10"/>
        <w:rPr>
          <w:sz w:val="21"/>
        </w:rPr>
      </w:pPr>
    </w:p>
    <w:p w:rsidR="00C76E6D" w:rsidRDefault="00913831">
      <w:pPr>
        <w:pStyle w:val="BodyText"/>
        <w:spacing w:line="276" w:lineRule="auto"/>
        <w:ind w:left="627" w:right="330"/>
        <w:jc w:val="both"/>
      </w:pPr>
      <w:r>
        <w:t>Additionally,</w:t>
      </w:r>
      <w:r>
        <w:rPr>
          <w:spacing w:val="-10"/>
        </w:rPr>
        <w:t xml:space="preserve"> </w:t>
      </w:r>
      <w:r>
        <w:t>in</w:t>
      </w:r>
      <w:r>
        <w:rPr>
          <w:spacing w:val="-11"/>
        </w:rPr>
        <w:t xml:space="preserve"> </w:t>
      </w:r>
      <w:r>
        <w:t>this</w:t>
      </w:r>
      <w:r>
        <w:rPr>
          <w:spacing w:val="-10"/>
        </w:rPr>
        <w:t xml:space="preserve"> </w:t>
      </w:r>
      <w:r>
        <w:t>past</w:t>
      </w:r>
      <w:r>
        <w:rPr>
          <w:spacing w:val="-11"/>
        </w:rPr>
        <w:t xml:space="preserve"> </w:t>
      </w:r>
      <w:r>
        <w:t>fiscal</w:t>
      </w:r>
      <w:r>
        <w:rPr>
          <w:spacing w:val="-10"/>
        </w:rPr>
        <w:t xml:space="preserve"> </w:t>
      </w:r>
      <w:r>
        <w:t>year,</w:t>
      </w:r>
      <w:r>
        <w:rPr>
          <w:spacing w:val="-10"/>
        </w:rPr>
        <w:t xml:space="preserve"> </w:t>
      </w:r>
      <w:r>
        <w:t>DYS</w:t>
      </w:r>
      <w:r>
        <w:rPr>
          <w:spacing w:val="-10"/>
        </w:rPr>
        <w:t xml:space="preserve"> </w:t>
      </w:r>
      <w:r>
        <w:t>has</w:t>
      </w:r>
      <w:r>
        <w:rPr>
          <w:spacing w:val="-10"/>
        </w:rPr>
        <w:t xml:space="preserve"> </w:t>
      </w:r>
      <w:r>
        <w:t>expanded</w:t>
      </w:r>
      <w:r>
        <w:rPr>
          <w:spacing w:val="-12"/>
        </w:rPr>
        <w:t xml:space="preserve"> </w:t>
      </w:r>
      <w:r>
        <w:t>its</w:t>
      </w:r>
      <w:r>
        <w:rPr>
          <w:spacing w:val="-10"/>
        </w:rPr>
        <w:t xml:space="preserve"> </w:t>
      </w:r>
      <w:r>
        <w:t>LGBTQ</w:t>
      </w:r>
      <w:r>
        <w:rPr>
          <w:spacing w:val="-10"/>
        </w:rPr>
        <w:t xml:space="preserve"> </w:t>
      </w:r>
      <w:r>
        <w:t>working</w:t>
      </w:r>
      <w:r>
        <w:rPr>
          <w:spacing w:val="-11"/>
        </w:rPr>
        <w:t xml:space="preserve"> </w:t>
      </w:r>
      <w:r>
        <w:t>group</w:t>
      </w:r>
      <w:r>
        <w:rPr>
          <w:spacing w:val="-9"/>
        </w:rPr>
        <w:t xml:space="preserve"> </w:t>
      </w:r>
      <w:r>
        <w:t>to</w:t>
      </w:r>
      <w:r>
        <w:rPr>
          <w:spacing w:val="-10"/>
        </w:rPr>
        <w:t xml:space="preserve"> </w:t>
      </w:r>
      <w:r>
        <w:t>include</w:t>
      </w:r>
      <w:r>
        <w:rPr>
          <w:spacing w:val="-10"/>
        </w:rPr>
        <w:t xml:space="preserve"> </w:t>
      </w:r>
      <w:r>
        <w:t>representatives from</w:t>
      </w:r>
      <w:r>
        <w:rPr>
          <w:spacing w:val="-1"/>
        </w:rPr>
        <w:t xml:space="preserve"> </w:t>
      </w:r>
      <w:r>
        <w:t>clinical, residential operations, and</w:t>
      </w:r>
      <w:r>
        <w:rPr>
          <w:spacing w:val="-1"/>
        </w:rPr>
        <w:t xml:space="preserve"> </w:t>
      </w:r>
      <w:r>
        <w:t>senior administration; this group has identified some</w:t>
      </w:r>
      <w:r>
        <w:rPr>
          <w:spacing w:val="-1"/>
        </w:rPr>
        <w:t xml:space="preserve"> </w:t>
      </w:r>
      <w:r>
        <w:t>SOGI data collection operational issues that DYS is committed to addressing in FY 2023 to strengthen its approach to best prac</w:t>
      </w:r>
      <w:r>
        <w:t>tices. In particular, in its May 2022 meeting, DYS reported that while SOGI information is regularly collected at intake, a DYS consultant had noted that the interview setting often lacked privacy and DYS is working with locations to make spaces more priva</w:t>
      </w:r>
      <w:r>
        <w:t>te for this purpose. The Commission recommends that DYS works to ensure more private settings for youth at intake before asking them to disclose sensitive information. The Commission further recommends that DYS should update the SOGI data collected at inta</w:t>
      </w:r>
      <w:r>
        <w:t>ke as more trusting relationships and a stronger rapport are developed over time with the involved youth.</w:t>
      </w:r>
    </w:p>
    <w:p w:rsidR="00C76E6D" w:rsidRDefault="00C76E6D">
      <w:pPr>
        <w:pStyle w:val="BodyText"/>
        <w:spacing w:before="8"/>
        <w:rPr>
          <w:sz w:val="19"/>
        </w:rPr>
      </w:pPr>
    </w:p>
    <w:p w:rsidR="00C76E6D" w:rsidRDefault="00913831">
      <w:pPr>
        <w:pStyle w:val="BodyText"/>
        <w:spacing w:before="1" w:line="276" w:lineRule="auto"/>
        <w:ind w:left="626" w:right="336" w:firstLine="1"/>
        <w:jc w:val="both"/>
      </w:pPr>
      <w:r>
        <w:t>Beyond sharing the data, the Commission also looks forward to assisting DYS, if desired, in its analysis of the data. For example, if DYS should offi</w:t>
      </w:r>
      <w:r>
        <w:t>cially find differences in the experiences of LGBTQ youth in custody,</w:t>
      </w:r>
      <w:r>
        <w:rPr>
          <w:spacing w:val="-13"/>
        </w:rPr>
        <w:t xml:space="preserve"> </w:t>
      </w:r>
      <w:r>
        <w:t>this</w:t>
      </w:r>
      <w:r>
        <w:rPr>
          <w:spacing w:val="-12"/>
        </w:rPr>
        <w:t xml:space="preserve"> </w:t>
      </w:r>
      <w:r>
        <w:t>may</w:t>
      </w:r>
      <w:r>
        <w:rPr>
          <w:spacing w:val="-13"/>
        </w:rPr>
        <w:t xml:space="preserve"> </w:t>
      </w:r>
      <w:r>
        <w:t>be</w:t>
      </w:r>
      <w:r>
        <w:rPr>
          <w:spacing w:val="-12"/>
        </w:rPr>
        <w:t xml:space="preserve"> </w:t>
      </w:r>
      <w:r>
        <w:t>of</w:t>
      </w:r>
      <w:r>
        <w:rPr>
          <w:spacing w:val="-13"/>
        </w:rPr>
        <w:t xml:space="preserve"> </w:t>
      </w:r>
      <w:r>
        <w:t>great</w:t>
      </w:r>
      <w:r>
        <w:rPr>
          <w:spacing w:val="-12"/>
        </w:rPr>
        <w:t xml:space="preserve"> </w:t>
      </w:r>
      <w:r>
        <w:t>value</w:t>
      </w:r>
      <w:r>
        <w:rPr>
          <w:spacing w:val="-13"/>
        </w:rPr>
        <w:t xml:space="preserve"> </w:t>
      </w:r>
      <w:r>
        <w:t>in</w:t>
      </w:r>
      <w:r>
        <w:rPr>
          <w:spacing w:val="-12"/>
        </w:rPr>
        <w:t xml:space="preserve"> </w:t>
      </w:r>
      <w:r>
        <w:t>determining</w:t>
      </w:r>
      <w:r>
        <w:rPr>
          <w:spacing w:val="-12"/>
        </w:rPr>
        <w:t xml:space="preserve"> </w:t>
      </w:r>
      <w:r>
        <w:t>how</w:t>
      </w:r>
      <w:r>
        <w:rPr>
          <w:spacing w:val="-13"/>
        </w:rPr>
        <w:t xml:space="preserve"> </w:t>
      </w:r>
      <w:r>
        <w:t>to</w:t>
      </w:r>
      <w:r>
        <w:rPr>
          <w:spacing w:val="-12"/>
        </w:rPr>
        <w:t xml:space="preserve"> </w:t>
      </w:r>
      <w:r>
        <w:t>continue</w:t>
      </w:r>
      <w:r>
        <w:rPr>
          <w:spacing w:val="-13"/>
        </w:rPr>
        <w:t xml:space="preserve"> </w:t>
      </w:r>
      <w:r>
        <w:t>to</w:t>
      </w:r>
      <w:r>
        <w:rPr>
          <w:spacing w:val="-12"/>
        </w:rPr>
        <w:t xml:space="preserve"> </w:t>
      </w:r>
      <w:r>
        <w:t>improve</w:t>
      </w:r>
      <w:r>
        <w:rPr>
          <w:spacing w:val="-13"/>
        </w:rPr>
        <w:t xml:space="preserve"> </w:t>
      </w:r>
      <w:r>
        <w:t>services</w:t>
      </w:r>
      <w:r>
        <w:rPr>
          <w:spacing w:val="-12"/>
        </w:rPr>
        <w:t xml:space="preserve"> </w:t>
      </w:r>
      <w:r>
        <w:t>and</w:t>
      </w:r>
      <w:r>
        <w:rPr>
          <w:spacing w:val="-12"/>
        </w:rPr>
        <w:t xml:space="preserve"> </w:t>
      </w:r>
      <w:r>
        <w:t>thus</w:t>
      </w:r>
      <w:r>
        <w:rPr>
          <w:spacing w:val="-13"/>
        </w:rPr>
        <w:t xml:space="preserve"> </w:t>
      </w:r>
      <w:r>
        <w:t>the</w:t>
      </w:r>
      <w:r>
        <w:rPr>
          <w:spacing w:val="-12"/>
        </w:rPr>
        <w:t xml:space="preserve"> </w:t>
      </w:r>
      <w:r>
        <w:t>safety and wellbeing of these youth.</w:t>
      </w:r>
    </w:p>
    <w:p w:rsidR="00C76E6D" w:rsidRDefault="00C76E6D">
      <w:pPr>
        <w:spacing w:line="276" w:lineRule="auto"/>
        <w:jc w:val="both"/>
        <w:sectPr w:rsidR="00C76E6D">
          <w:pgSz w:w="12240" w:h="15840"/>
          <w:pgMar w:top="1020" w:right="960" w:bottom="640" w:left="960" w:header="832" w:footer="44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2"/>
        <w:rPr>
          <w:sz w:val="27"/>
        </w:rPr>
      </w:pPr>
    </w:p>
    <w:p w:rsidR="00C76E6D" w:rsidRDefault="00913831">
      <w:pPr>
        <w:pStyle w:val="Heading6"/>
        <w:numPr>
          <w:ilvl w:val="0"/>
          <w:numId w:val="6"/>
        </w:numPr>
        <w:tabs>
          <w:tab w:val="left" w:pos="635"/>
        </w:tabs>
        <w:spacing w:before="55" w:line="276" w:lineRule="auto"/>
        <w:ind w:left="337" w:right="391" w:firstLine="0"/>
      </w:pPr>
      <w:bookmarkStart w:id="875" w:name="2._Continue_to_provide_LGBTQ_trainings_a"/>
      <w:bookmarkEnd w:id="875"/>
      <w:r>
        <w:t>Continue</w:t>
      </w:r>
      <w:r>
        <w:rPr>
          <w:spacing w:val="68"/>
        </w:rPr>
        <w:t xml:space="preserve"> </w:t>
      </w:r>
      <w:r>
        <w:t>to</w:t>
      </w:r>
      <w:r>
        <w:rPr>
          <w:spacing w:val="66"/>
        </w:rPr>
        <w:t xml:space="preserve"> </w:t>
      </w:r>
      <w:r>
        <w:t>provide</w:t>
      </w:r>
      <w:r>
        <w:rPr>
          <w:spacing w:val="68"/>
        </w:rPr>
        <w:t xml:space="preserve"> </w:t>
      </w:r>
      <w:r>
        <w:t>LGBTQ</w:t>
      </w:r>
      <w:r>
        <w:rPr>
          <w:spacing w:val="68"/>
        </w:rPr>
        <w:t xml:space="preserve"> </w:t>
      </w:r>
      <w:r>
        <w:t>trainings</w:t>
      </w:r>
      <w:r>
        <w:rPr>
          <w:spacing w:val="66"/>
        </w:rPr>
        <w:t xml:space="preserve"> </w:t>
      </w:r>
      <w:r>
        <w:t>and</w:t>
      </w:r>
      <w:r>
        <w:rPr>
          <w:spacing w:val="68"/>
        </w:rPr>
        <w:t xml:space="preserve"> </w:t>
      </w:r>
      <w:r>
        <w:t>other</w:t>
      </w:r>
      <w:r>
        <w:rPr>
          <w:spacing w:val="68"/>
        </w:rPr>
        <w:t xml:space="preserve"> </w:t>
      </w:r>
      <w:r>
        <w:t>resources</w:t>
      </w:r>
      <w:r>
        <w:rPr>
          <w:spacing w:val="68"/>
        </w:rPr>
        <w:t xml:space="preserve"> </w:t>
      </w:r>
      <w:r>
        <w:t>and</w:t>
      </w:r>
      <w:r>
        <w:rPr>
          <w:spacing w:val="67"/>
        </w:rPr>
        <w:t xml:space="preserve"> </w:t>
      </w:r>
      <w:r>
        <w:t>review</w:t>
      </w:r>
      <w:r>
        <w:rPr>
          <w:spacing w:val="67"/>
        </w:rPr>
        <w:t xml:space="preserve"> </w:t>
      </w:r>
      <w:r>
        <w:t>them</w:t>
      </w:r>
      <w:r>
        <w:rPr>
          <w:spacing w:val="67"/>
        </w:rPr>
        <w:t xml:space="preserve"> </w:t>
      </w:r>
      <w:r>
        <w:t>for</w:t>
      </w:r>
      <w:r>
        <w:rPr>
          <w:spacing w:val="66"/>
        </w:rPr>
        <w:t xml:space="preserve"> </w:t>
      </w:r>
      <w:r>
        <w:t>currency</w:t>
      </w:r>
      <w:r>
        <w:rPr>
          <w:spacing w:val="68"/>
        </w:rPr>
        <w:t xml:space="preserve"> </w:t>
      </w:r>
      <w:r>
        <w:t xml:space="preserve">and </w:t>
      </w:r>
      <w:r>
        <w:rPr>
          <w:spacing w:val="-2"/>
        </w:rPr>
        <w:t>effectiveness.</w:t>
      </w:r>
    </w:p>
    <w:p w:rsidR="00C76E6D" w:rsidRDefault="00C76E6D">
      <w:pPr>
        <w:pStyle w:val="BodyText"/>
        <w:spacing w:before="7"/>
        <w:rPr>
          <w:b/>
          <w:sz w:val="19"/>
        </w:rPr>
      </w:pPr>
    </w:p>
    <w:p w:rsidR="00C76E6D" w:rsidRDefault="00913831">
      <w:pPr>
        <w:pStyle w:val="BodyText"/>
        <w:spacing w:before="1" w:line="276" w:lineRule="auto"/>
        <w:ind w:left="627" w:right="332"/>
        <w:jc w:val="both"/>
      </w:pPr>
      <w:r>
        <w:t>The Commission commends DYS for implementing LGBTQ competency training for every member of its staff</w:t>
      </w:r>
      <w:r>
        <w:rPr>
          <w:spacing w:val="-6"/>
        </w:rPr>
        <w:t xml:space="preserve"> </w:t>
      </w:r>
      <w:r>
        <w:t>and</w:t>
      </w:r>
      <w:r>
        <w:rPr>
          <w:spacing w:val="-5"/>
        </w:rPr>
        <w:t xml:space="preserve"> </w:t>
      </w:r>
      <w:r>
        <w:t>for</w:t>
      </w:r>
      <w:r>
        <w:rPr>
          <w:spacing w:val="-4"/>
        </w:rPr>
        <w:t xml:space="preserve"> </w:t>
      </w:r>
      <w:r>
        <w:t>making</w:t>
      </w:r>
      <w:r>
        <w:rPr>
          <w:spacing w:val="-6"/>
        </w:rPr>
        <w:t xml:space="preserve"> </w:t>
      </w:r>
      <w:r>
        <w:t>its</w:t>
      </w:r>
      <w:r>
        <w:rPr>
          <w:spacing w:val="-5"/>
        </w:rPr>
        <w:t xml:space="preserve"> </w:t>
      </w:r>
      <w:r>
        <w:t>educational</w:t>
      </w:r>
      <w:r>
        <w:rPr>
          <w:spacing w:val="-5"/>
        </w:rPr>
        <w:t xml:space="preserve"> </w:t>
      </w:r>
      <w:r>
        <w:t>and</w:t>
      </w:r>
      <w:r>
        <w:rPr>
          <w:spacing w:val="-4"/>
        </w:rPr>
        <w:t xml:space="preserve"> </w:t>
      </w:r>
      <w:r>
        <w:t>clinical</w:t>
      </w:r>
      <w:r>
        <w:rPr>
          <w:spacing w:val="-6"/>
        </w:rPr>
        <w:t xml:space="preserve"> </w:t>
      </w:r>
      <w:r>
        <w:t>curricula</w:t>
      </w:r>
      <w:r>
        <w:rPr>
          <w:spacing w:val="-6"/>
        </w:rPr>
        <w:t xml:space="preserve"> </w:t>
      </w:r>
      <w:r>
        <w:t>LGBTQ-inclusive.</w:t>
      </w:r>
      <w:r>
        <w:rPr>
          <w:spacing w:val="-5"/>
        </w:rPr>
        <w:t xml:space="preserve"> </w:t>
      </w:r>
      <w:r>
        <w:t>Since</w:t>
      </w:r>
      <w:r>
        <w:rPr>
          <w:spacing w:val="-3"/>
        </w:rPr>
        <w:t xml:space="preserve"> </w:t>
      </w:r>
      <w:r>
        <w:t>2013,</w:t>
      </w:r>
      <w:r>
        <w:rPr>
          <w:spacing w:val="-6"/>
        </w:rPr>
        <w:t xml:space="preserve"> </w:t>
      </w:r>
      <w:r>
        <w:t>DYS</w:t>
      </w:r>
      <w:r>
        <w:rPr>
          <w:spacing w:val="-5"/>
        </w:rPr>
        <w:t xml:space="preserve"> </w:t>
      </w:r>
      <w:r>
        <w:t>has</w:t>
      </w:r>
      <w:r>
        <w:rPr>
          <w:spacing w:val="-6"/>
        </w:rPr>
        <w:t xml:space="preserve"> </w:t>
      </w:r>
      <w:r>
        <w:t>integrated LGBTQ</w:t>
      </w:r>
      <w:r>
        <w:rPr>
          <w:spacing w:val="-6"/>
        </w:rPr>
        <w:t xml:space="preserve"> </w:t>
      </w:r>
      <w:r>
        <w:t>competency</w:t>
      </w:r>
      <w:r>
        <w:rPr>
          <w:spacing w:val="-6"/>
        </w:rPr>
        <w:t xml:space="preserve"> </w:t>
      </w:r>
      <w:r>
        <w:t>training</w:t>
      </w:r>
      <w:r>
        <w:rPr>
          <w:spacing w:val="-7"/>
        </w:rPr>
        <w:t xml:space="preserve"> </w:t>
      </w:r>
      <w:r>
        <w:t>into</w:t>
      </w:r>
      <w:r>
        <w:rPr>
          <w:spacing w:val="-7"/>
        </w:rPr>
        <w:t xml:space="preserve"> </w:t>
      </w:r>
      <w:r>
        <w:t>its</w:t>
      </w:r>
      <w:r>
        <w:rPr>
          <w:spacing w:val="-6"/>
        </w:rPr>
        <w:t xml:space="preserve"> </w:t>
      </w:r>
      <w:r>
        <w:t>new</w:t>
      </w:r>
      <w:r>
        <w:rPr>
          <w:spacing w:val="-7"/>
        </w:rPr>
        <w:t xml:space="preserve"> </w:t>
      </w:r>
      <w:r>
        <w:t>employee</w:t>
      </w:r>
      <w:r>
        <w:rPr>
          <w:spacing w:val="-5"/>
        </w:rPr>
        <w:t xml:space="preserve"> </w:t>
      </w:r>
      <w:r>
        <w:t>Basic</w:t>
      </w:r>
      <w:r>
        <w:rPr>
          <w:spacing w:val="-8"/>
        </w:rPr>
        <w:t xml:space="preserve"> </w:t>
      </w:r>
      <w:r>
        <w:t>Training,</w:t>
      </w:r>
      <w:r>
        <w:rPr>
          <w:spacing w:val="-7"/>
        </w:rPr>
        <w:t xml:space="preserve"> </w:t>
      </w:r>
      <w:r>
        <w:t>thus</w:t>
      </w:r>
      <w:r>
        <w:rPr>
          <w:spacing w:val="-6"/>
        </w:rPr>
        <w:t xml:space="preserve"> </w:t>
      </w:r>
      <w:r>
        <w:t>ensuring</w:t>
      </w:r>
      <w:r>
        <w:rPr>
          <w:spacing w:val="-7"/>
        </w:rPr>
        <w:t xml:space="preserve"> </w:t>
      </w:r>
      <w:r>
        <w:t>that</w:t>
      </w:r>
      <w:r>
        <w:rPr>
          <w:spacing w:val="-7"/>
        </w:rPr>
        <w:t xml:space="preserve"> </w:t>
      </w:r>
      <w:r>
        <w:t>every</w:t>
      </w:r>
      <w:r>
        <w:rPr>
          <w:spacing w:val="-6"/>
        </w:rPr>
        <w:t xml:space="preserve"> </w:t>
      </w:r>
      <w:r>
        <w:t>new</w:t>
      </w:r>
      <w:r>
        <w:rPr>
          <w:spacing w:val="-7"/>
        </w:rPr>
        <w:t xml:space="preserve"> </w:t>
      </w:r>
      <w:r>
        <w:t>state</w:t>
      </w:r>
      <w:r>
        <w:rPr>
          <w:spacing w:val="-6"/>
        </w:rPr>
        <w:t xml:space="preserve"> </w:t>
      </w:r>
      <w:r>
        <w:t>and contracted provider employee receive instruction early in their tenure and in a uniform manner. The Commission</w:t>
      </w:r>
      <w:r>
        <w:rPr>
          <w:spacing w:val="-6"/>
        </w:rPr>
        <w:t xml:space="preserve"> </w:t>
      </w:r>
      <w:r>
        <w:t>believes</w:t>
      </w:r>
      <w:r>
        <w:rPr>
          <w:spacing w:val="-6"/>
        </w:rPr>
        <w:t xml:space="preserve"> </w:t>
      </w:r>
      <w:r>
        <w:t>that</w:t>
      </w:r>
      <w:r>
        <w:rPr>
          <w:spacing w:val="-4"/>
        </w:rPr>
        <w:t xml:space="preserve"> </w:t>
      </w:r>
      <w:r>
        <w:t>maintaining</w:t>
      </w:r>
      <w:r>
        <w:rPr>
          <w:spacing w:val="-6"/>
        </w:rPr>
        <w:t xml:space="preserve"> </w:t>
      </w:r>
      <w:r>
        <w:t>the</w:t>
      </w:r>
      <w:r>
        <w:rPr>
          <w:spacing w:val="-6"/>
        </w:rPr>
        <w:t xml:space="preserve"> </w:t>
      </w:r>
      <w:r>
        <w:t>same</w:t>
      </w:r>
      <w:r>
        <w:rPr>
          <w:spacing w:val="-6"/>
        </w:rPr>
        <w:t xml:space="preserve"> </w:t>
      </w:r>
      <w:r>
        <w:t>level,</w:t>
      </w:r>
      <w:r>
        <w:rPr>
          <w:spacing w:val="-6"/>
        </w:rPr>
        <w:t xml:space="preserve"> </w:t>
      </w:r>
      <w:r>
        <w:t>quality,</w:t>
      </w:r>
      <w:r>
        <w:rPr>
          <w:spacing w:val="-6"/>
        </w:rPr>
        <w:t xml:space="preserve"> </w:t>
      </w:r>
      <w:r>
        <w:t>and</w:t>
      </w:r>
      <w:r>
        <w:rPr>
          <w:spacing w:val="-4"/>
        </w:rPr>
        <w:t xml:space="preserve"> </w:t>
      </w:r>
      <w:r>
        <w:t>duration</w:t>
      </w:r>
      <w:r>
        <w:rPr>
          <w:spacing w:val="-7"/>
        </w:rPr>
        <w:t xml:space="preserve"> </w:t>
      </w:r>
      <w:r>
        <w:t>of</w:t>
      </w:r>
      <w:r>
        <w:rPr>
          <w:spacing w:val="-6"/>
        </w:rPr>
        <w:t xml:space="preserve"> </w:t>
      </w:r>
      <w:r>
        <w:t>the</w:t>
      </w:r>
      <w:r>
        <w:rPr>
          <w:spacing w:val="-6"/>
        </w:rPr>
        <w:t xml:space="preserve"> </w:t>
      </w:r>
      <w:r>
        <w:t>original</w:t>
      </w:r>
      <w:r>
        <w:rPr>
          <w:spacing w:val="-5"/>
        </w:rPr>
        <w:t xml:space="preserve"> </w:t>
      </w:r>
      <w:r>
        <w:t>training</w:t>
      </w:r>
      <w:r>
        <w:rPr>
          <w:spacing w:val="-7"/>
        </w:rPr>
        <w:t xml:space="preserve"> </w:t>
      </w:r>
      <w:r>
        <w:t>will</w:t>
      </w:r>
      <w:r>
        <w:rPr>
          <w:spacing w:val="-5"/>
        </w:rPr>
        <w:t xml:space="preserve"> </w:t>
      </w:r>
      <w:r>
        <w:t>be important in DYS’s continued success. DYS notes that its working group has recommended additional training for state and provider employees, and it has committed to providing additional trainings in the next fiscal year. The Commission encourages DYS to</w:t>
      </w:r>
      <w:r>
        <w:t xml:space="preserve"> continue reviewing its LGBTQ training and other resources. The Commission appreciates the evaluation that DYS has done so far, supports its goal of conducting additional evaluation to measure the effects of this training, and encourages DYS to use this da</w:t>
      </w:r>
      <w:r>
        <w:t>ta to consider how training might be improved.</w:t>
      </w:r>
    </w:p>
    <w:p w:rsidR="00C76E6D" w:rsidRDefault="00C76E6D">
      <w:pPr>
        <w:pStyle w:val="BodyText"/>
      </w:pPr>
    </w:p>
    <w:p w:rsidR="00C76E6D" w:rsidRDefault="00C76E6D">
      <w:pPr>
        <w:pStyle w:val="BodyText"/>
        <w:spacing w:before="11"/>
      </w:pPr>
    </w:p>
    <w:p w:rsidR="00C76E6D" w:rsidRDefault="00913831">
      <w:pPr>
        <w:pStyle w:val="Heading6"/>
        <w:numPr>
          <w:ilvl w:val="0"/>
          <w:numId w:val="6"/>
        </w:numPr>
        <w:tabs>
          <w:tab w:val="left" w:pos="551"/>
        </w:tabs>
        <w:spacing w:line="276" w:lineRule="auto"/>
        <w:ind w:right="380" w:hanging="1"/>
      </w:pPr>
      <w:bookmarkStart w:id="876" w:name="3._Continue_implementation_of_LGBTQ-incl"/>
      <w:bookmarkEnd w:id="876"/>
      <w:r>
        <w:rPr>
          <w:spacing w:val="-2"/>
        </w:rPr>
        <w:t>Continue</w:t>
      </w:r>
      <w:r>
        <w:rPr>
          <w:spacing w:val="-4"/>
        </w:rPr>
        <w:t xml:space="preserve"> </w:t>
      </w:r>
      <w:r>
        <w:rPr>
          <w:spacing w:val="-2"/>
        </w:rPr>
        <w:t>implementation of LGBTQ-inclusive</w:t>
      </w:r>
      <w:r>
        <w:rPr>
          <w:spacing w:val="-3"/>
        </w:rPr>
        <w:t xml:space="preserve"> </w:t>
      </w:r>
      <w:r>
        <w:rPr>
          <w:spacing w:val="-2"/>
        </w:rPr>
        <w:t>material</w:t>
      </w:r>
      <w:r>
        <w:rPr>
          <w:spacing w:val="-3"/>
        </w:rPr>
        <w:t xml:space="preserve"> </w:t>
      </w:r>
      <w:r>
        <w:rPr>
          <w:spacing w:val="-2"/>
        </w:rPr>
        <w:t>into existing</w:t>
      </w:r>
      <w:r>
        <w:rPr>
          <w:spacing w:val="-3"/>
        </w:rPr>
        <w:t xml:space="preserve"> </w:t>
      </w:r>
      <w:r>
        <w:rPr>
          <w:spacing w:val="-2"/>
        </w:rPr>
        <w:t>curricula and</w:t>
      </w:r>
      <w:r>
        <w:rPr>
          <w:spacing w:val="-3"/>
        </w:rPr>
        <w:t xml:space="preserve"> </w:t>
      </w:r>
      <w:r>
        <w:rPr>
          <w:spacing w:val="-2"/>
        </w:rPr>
        <w:t>programming provided</w:t>
      </w:r>
      <w:r>
        <w:t xml:space="preserve"> </w:t>
      </w:r>
      <w:r>
        <w:rPr>
          <w:spacing w:val="-2"/>
        </w:rPr>
        <w:t xml:space="preserve">to </w:t>
      </w:r>
      <w:r>
        <w:t>youth in its care.</w:t>
      </w:r>
    </w:p>
    <w:p w:rsidR="00C76E6D" w:rsidRDefault="00C76E6D">
      <w:pPr>
        <w:pStyle w:val="BodyText"/>
        <w:spacing w:before="4"/>
        <w:rPr>
          <w:b/>
          <w:sz w:val="25"/>
        </w:rPr>
      </w:pPr>
    </w:p>
    <w:p w:rsidR="00C76E6D" w:rsidRDefault="00913831">
      <w:pPr>
        <w:pStyle w:val="BodyText"/>
        <w:spacing w:before="1" w:line="276" w:lineRule="auto"/>
        <w:ind w:left="627" w:right="333"/>
        <w:jc w:val="both"/>
      </w:pPr>
      <w:r>
        <w:t>The Commission commends DYS for implementing LGBTQ-inclusive material into its heal</w:t>
      </w:r>
      <w:r>
        <w:t>th and wellness curriculum. The Commission had previously recommended that DYS explore how to utilize youth in its care as peer leaders to increase understanding and acceptance of LGBTQ peers and thus increase the safety of these youth in its care. The Com</w:t>
      </w:r>
      <w:r>
        <w:t>mission was also glad to review this curriculum in FY21 and further recommended in FY22 that DYS expand its use of LGBTQ- inclusive material into curriculum beyond health and wellness, as appropriate. In May 2022, DYS reported that they continuously review</w:t>
      </w:r>
      <w:r>
        <w:t xml:space="preserve"> a diverse</w:t>
      </w:r>
      <w:r>
        <w:rPr>
          <w:spacing w:val="-1"/>
        </w:rPr>
        <w:t xml:space="preserve"> </w:t>
      </w:r>
      <w:r>
        <w:t>catalog</w:t>
      </w:r>
      <w:r>
        <w:rPr>
          <w:spacing w:val="-2"/>
        </w:rPr>
        <w:t xml:space="preserve"> </w:t>
      </w:r>
      <w:r>
        <w:t>of</w:t>
      </w:r>
      <w:r>
        <w:rPr>
          <w:spacing w:val="-2"/>
        </w:rPr>
        <w:t xml:space="preserve"> </w:t>
      </w:r>
      <w:r>
        <w:t>books available</w:t>
      </w:r>
      <w:r>
        <w:rPr>
          <w:spacing w:val="-2"/>
        </w:rPr>
        <w:t xml:space="preserve"> </w:t>
      </w:r>
      <w:r>
        <w:t>as</w:t>
      </w:r>
      <w:r>
        <w:rPr>
          <w:spacing w:val="-1"/>
        </w:rPr>
        <w:t xml:space="preserve"> </w:t>
      </w:r>
      <w:r>
        <w:t>a statewide resource</w:t>
      </w:r>
      <w:r>
        <w:rPr>
          <w:spacing w:val="-2"/>
        </w:rPr>
        <w:t xml:space="preserve"> </w:t>
      </w:r>
      <w:r>
        <w:t>with</w:t>
      </w:r>
      <w:r>
        <w:rPr>
          <w:spacing w:val="-1"/>
        </w:rPr>
        <w:t xml:space="preserve"> </w:t>
      </w:r>
      <w:r>
        <w:t>attention to intersectional identities.</w:t>
      </w:r>
      <w:r>
        <w:rPr>
          <w:spacing w:val="-1"/>
        </w:rPr>
        <w:t xml:space="preserve"> </w:t>
      </w:r>
      <w:r>
        <w:t>The Commission commends DYS for engaging in this conversation and looks forward to collaboration in the next fiscal year to create and disseminate mo</w:t>
      </w:r>
      <w:r>
        <w:t>re inclusive resources and materials to DYS locations.</w:t>
      </w:r>
    </w:p>
    <w:p w:rsidR="00C76E6D" w:rsidRDefault="00C76E6D">
      <w:pPr>
        <w:pStyle w:val="BodyText"/>
        <w:spacing w:before="7"/>
        <w:rPr>
          <w:sz w:val="19"/>
        </w:rPr>
      </w:pPr>
    </w:p>
    <w:p w:rsidR="00C76E6D" w:rsidRDefault="00913831">
      <w:pPr>
        <w:pStyle w:val="Heading6"/>
        <w:numPr>
          <w:ilvl w:val="0"/>
          <w:numId w:val="6"/>
        </w:numPr>
        <w:tabs>
          <w:tab w:val="left" w:pos="596"/>
        </w:tabs>
        <w:spacing w:line="276" w:lineRule="auto"/>
        <w:ind w:right="638" w:hanging="1"/>
      </w:pPr>
      <w:bookmarkStart w:id="877" w:name="4._Continue_to_implement_a_juvenile_dive"/>
      <w:bookmarkEnd w:id="877"/>
      <w:r>
        <w:t>Continue</w:t>
      </w:r>
      <w:r>
        <w:rPr>
          <w:spacing w:val="40"/>
        </w:rPr>
        <w:t xml:space="preserve"> </w:t>
      </w:r>
      <w:r>
        <w:t>to</w:t>
      </w:r>
      <w:r>
        <w:rPr>
          <w:spacing w:val="40"/>
        </w:rPr>
        <w:t xml:space="preserve"> </w:t>
      </w:r>
      <w:r>
        <w:t>implement</w:t>
      </w:r>
      <w:r>
        <w:rPr>
          <w:spacing w:val="40"/>
        </w:rPr>
        <w:t xml:space="preserve"> </w:t>
      </w:r>
      <w:r>
        <w:t>a</w:t>
      </w:r>
      <w:r>
        <w:rPr>
          <w:spacing w:val="40"/>
        </w:rPr>
        <w:t xml:space="preserve"> </w:t>
      </w:r>
      <w:r>
        <w:t>juvenile</w:t>
      </w:r>
      <w:r>
        <w:rPr>
          <w:spacing w:val="40"/>
        </w:rPr>
        <w:t xml:space="preserve"> </w:t>
      </w:r>
      <w:r>
        <w:t>diversion</w:t>
      </w:r>
      <w:r>
        <w:rPr>
          <w:spacing w:val="40"/>
        </w:rPr>
        <w:t xml:space="preserve"> </w:t>
      </w:r>
      <w:r>
        <w:t>pilot</w:t>
      </w:r>
      <w:r>
        <w:rPr>
          <w:spacing w:val="40"/>
        </w:rPr>
        <w:t xml:space="preserve"> </w:t>
      </w:r>
      <w:r>
        <w:t>program</w:t>
      </w:r>
      <w:r>
        <w:rPr>
          <w:spacing w:val="40"/>
        </w:rPr>
        <w:t xml:space="preserve"> </w:t>
      </w:r>
      <w:r>
        <w:t>statewide</w:t>
      </w:r>
      <w:r>
        <w:rPr>
          <w:spacing w:val="40"/>
        </w:rPr>
        <w:t xml:space="preserve"> </w:t>
      </w:r>
      <w:r>
        <w:t>to</w:t>
      </w:r>
      <w:r>
        <w:rPr>
          <w:spacing w:val="40"/>
        </w:rPr>
        <w:t xml:space="preserve"> </w:t>
      </w:r>
      <w:r>
        <w:t>minimize</w:t>
      </w:r>
      <w:r>
        <w:rPr>
          <w:spacing w:val="40"/>
        </w:rPr>
        <w:t xml:space="preserve"> </w:t>
      </w:r>
      <w:r>
        <w:t>detention</w:t>
      </w:r>
      <w:r>
        <w:rPr>
          <w:spacing w:val="40"/>
        </w:rPr>
        <w:t xml:space="preserve"> </w:t>
      </w:r>
      <w:r>
        <w:t xml:space="preserve">and </w:t>
      </w:r>
      <w:r>
        <w:rPr>
          <w:spacing w:val="-2"/>
        </w:rPr>
        <w:t>system-involvement.</w:t>
      </w:r>
    </w:p>
    <w:p w:rsidR="00C76E6D" w:rsidRDefault="00C76E6D">
      <w:pPr>
        <w:pStyle w:val="BodyText"/>
        <w:spacing w:before="4"/>
        <w:rPr>
          <w:b/>
          <w:sz w:val="25"/>
        </w:rPr>
      </w:pPr>
    </w:p>
    <w:p w:rsidR="00C76E6D" w:rsidRDefault="00913831">
      <w:pPr>
        <w:pStyle w:val="BodyText"/>
        <w:spacing w:line="276" w:lineRule="auto"/>
        <w:ind w:left="627" w:right="334"/>
        <w:jc w:val="both"/>
      </w:pPr>
      <w:r>
        <w:t>In October 2021, DYS and the Office of the Child Advocate (OCA) launched the Massachus</w:t>
      </w:r>
      <w:r>
        <w:t>etts Youth Diversion Program (MYPD) Learning Lab. The Commission was very glad to hear this news, as the expansion</w:t>
      </w:r>
      <w:r>
        <w:rPr>
          <w:spacing w:val="-12"/>
        </w:rPr>
        <w:t xml:space="preserve"> </w:t>
      </w:r>
      <w:r>
        <w:t>of</w:t>
      </w:r>
      <w:r>
        <w:rPr>
          <w:spacing w:val="-9"/>
        </w:rPr>
        <w:t xml:space="preserve"> </w:t>
      </w:r>
      <w:r>
        <w:t>juvenile</w:t>
      </w:r>
      <w:r>
        <w:rPr>
          <w:spacing w:val="-10"/>
        </w:rPr>
        <w:t xml:space="preserve"> </w:t>
      </w:r>
      <w:r>
        <w:t>diversion</w:t>
      </w:r>
      <w:r>
        <w:rPr>
          <w:spacing w:val="-11"/>
        </w:rPr>
        <w:t xml:space="preserve"> </w:t>
      </w:r>
      <w:r>
        <w:t>–</w:t>
      </w:r>
      <w:r>
        <w:rPr>
          <w:spacing w:val="-12"/>
        </w:rPr>
        <w:t xml:space="preserve"> </w:t>
      </w:r>
      <w:r>
        <w:t>a</w:t>
      </w:r>
      <w:r>
        <w:rPr>
          <w:spacing w:val="-10"/>
        </w:rPr>
        <w:t xml:space="preserve"> </w:t>
      </w:r>
      <w:r>
        <w:t>process</w:t>
      </w:r>
      <w:r>
        <w:rPr>
          <w:spacing w:val="-11"/>
        </w:rPr>
        <w:t xml:space="preserve"> </w:t>
      </w:r>
      <w:r>
        <w:t>that</w:t>
      </w:r>
      <w:r>
        <w:rPr>
          <w:spacing w:val="-12"/>
        </w:rPr>
        <w:t xml:space="preserve"> </w:t>
      </w:r>
      <w:r>
        <w:t>will</w:t>
      </w:r>
      <w:r>
        <w:rPr>
          <w:spacing w:val="-11"/>
        </w:rPr>
        <w:t xml:space="preserve"> </w:t>
      </w:r>
      <w:r>
        <w:t>allow</w:t>
      </w:r>
      <w:r>
        <w:rPr>
          <w:spacing w:val="-11"/>
        </w:rPr>
        <w:t xml:space="preserve"> </w:t>
      </w:r>
      <w:r>
        <w:t>youth</w:t>
      </w:r>
      <w:r>
        <w:rPr>
          <w:spacing w:val="-10"/>
        </w:rPr>
        <w:t xml:space="preserve"> </w:t>
      </w:r>
      <w:r>
        <w:t>who</w:t>
      </w:r>
      <w:r>
        <w:rPr>
          <w:spacing w:val="-11"/>
        </w:rPr>
        <w:t xml:space="preserve"> </w:t>
      </w:r>
      <w:r>
        <w:t>commit</w:t>
      </w:r>
      <w:r>
        <w:rPr>
          <w:spacing w:val="-12"/>
        </w:rPr>
        <w:t xml:space="preserve"> </w:t>
      </w:r>
      <w:r>
        <w:t>offenses</w:t>
      </w:r>
      <w:r>
        <w:rPr>
          <w:spacing w:val="-11"/>
        </w:rPr>
        <w:t xml:space="preserve"> </w:t>
      </w:r>
      <w:r>
        <w:t>to</w:t>
      </w:r>
      <w:r>
        <w:rPr>
          <w:spacing w:val="-10"/>
        </w:rPr>
        <w:t xml:space="preserve"> </w:t>
      </w:r>
      <w:r>
        <w:t>be</w:t>
      </w:r>
      <w:r>
        <w:rPr>
          <w:spacing w:val="-10"/>
        </w:rPr>
        <w:t xml:space="preserve"> </w:t>
      </w:r>
      <w:r>
        <w:t>directed</w:t>
      </w:r>
      <w:r>
        <w:rPr>
          <w:spacing w:val="-11"/>
        </w:rPr>
        <w:t xml:space="preserve"> </w:t>
      </w:r>
      <w:r>
        <w:t>away from</w:t>
      </w:r>
      <w:r>
        <w:rPr>
          <w:spacing w:val="-8"/>
        </w:rPr>
        <w:t xml:space="preserve"> </w:t>
      </w:r>
      <w:r>
        <w:t>more</w:t>
      </w:r>
      <w:r>
        <w:rPr>
          <w:spacing w:val="-7"/>
        </w:rPr>
        <w:t xml:space="preserve"> </w:t>
      </w:r>
      <w:r>
        <w:t>formal</w:t>
      </w:r>
      <w:r>
        <w:rPr>
          <w:spacing w:val="-8"/>
        </w:rPr>
        <w:t xml:space="preserve"> </w:t>
      </w:r>
      <w:r>
        <w:t>involvement</w:t>
      </w:r>
      <w:r>
        <w:rPr>
          <w:spacing w:val="-7"/>
        </w:rPr>
        <w:t xml:space="preserve"> </w:t>
      </w:r>
      <w:r>
        <w:t>in</w:t>
      </w:r>
      <w:r>
        <w:rPr>
          <w:spacing w:val="-7"/>
        </w:rPr>
        <w:t xml:space="preserve"> </w:t>
      </w:r>
      <w:r>
        <w:t>the</w:t>
      </w:r>
      <w:r>
        <w:rPr>
          <w:spacing w:val="-7"/>
        </w:rPr>
        <w:t xml:space="preserve"> </w:t>
      </w:r>
      <w:r>
        <w:t>juvenile</w:t>
      </w:r>
      <w:r>
        <w:rPr>
          <w:spacing w:val="-6"/>
        </w:rPr>
        <w:t xml:space="preserve"> </w:t>
      </w:r>
      <w:r>
        <w:t>legal</w:t>
      </w:r>
      <w:r>
        <w:rPr>
          <w:spacing w:val="-4"/>
        </w:rPr>
        <w:t xml:space="preserve"> </w:t>
      </w:r>
      <w:r>
        <w:t>system</w:t>
      </w:r>
      <w:r>
        <w:rPr>
          <w:spacing w:val="-8"/>
        </w:rPr>
        <w:t xml:space="preserve"> </w:t>
      </w:r>
      <w:r>
        <w:t>–</w:t>
      </w:r>
      <w:r>
        <w:rPr>
          <w:spacing w:val="-7"/>
        </w:rPr>
        <w:t xml:space="preserve"> </w:t>
      </w:r>
      <w:r>
        <w:t>is</w:t>
      </w:r>
      <w:r>
        <w:rPr>
          <w:spacing w:val="-6"/>
        </w:rPr>
        <w:t xml:space="preserve"> </w:t>
      </w:r>
      <w:r>
        <w:t>a</w:t>
      </w:r>
      <w:r>
        <w:rPr>
          <w:spacing w:val="-5"/>
        </w:rPr>
        <w:t xml:space="preserve"> </w:t>
      </w:r>
      <w:r>
        <w:t>key</w:t>
      </w:r>
      <w:r>
        <w:rPr>
          <w:spacing w:val="-6"/>
        </w:rPr>
        <w:t xml:space="preserve"> </w:t>
      </w:r>
      <w:r>
        <w:t>goal</w:t>
      </w:r>
      <w:r>
        <w:rPr>
          <w:spacing w:val="-8"/>
        </w:rPr>
        <w:t xml:space="preserve"> </w:t>
      </w:r>
      <w:r>
        <w:t>of</w:t>
      </w:r>
      <w:r>
        <w:rPr>
          <w:spacing w:val="-6"/>
        </w:rPr>
        <w:t xml:space="preserve"> </w:t>
      </w:r>
      <w:r>
        <w:t>the</w:t>
      </w:r>
      <w:r>
        <w:rPr>
          <w:spacing w:val="-8"/>
        </w:rPr>
        <w:t xml:space="preserve"> </w:t>
      </w:r>
      <w:r>
        <w:t>Commission</w:t>
      </w:r>
      <w:r>
        <w:rPr>
          <w:spacing w:val="-8"/>
        </w:rPr>
        <w:t xml:space="preserve"> </w:t>
      </w:r>
      <w:r>
        <w:t>and</w:t>
      </w:r>
      <w:r>
        <w:rPr>
          <w:spacing w:val="-7"/>
        </w:rPr>
        <w:t xml:space="preserve"> </w:t>
      </w:r>
      <w:r>
        <w:t>one</w:t>
      </w:r>
      <w:r>
        <w:rPr>
          <w:spacing w:val="-6"/>
        </w:rPr>
        <w:t xml:space="preserve"> </w:t>
      </w:r>
      <w:r>
        <w:t>that will</w:t>
      </w:r>
      <w:r>
        <w:rPr>
          <w:spacing w:val="-11"/>
        </w:rPr>
        <w:t xml:space="preserve"> </w:t>
      </w:r>
      <w:r>
        <w:t>help</w:t>
      </w:r>
      <w:r>
        <w:rPr>
          <w:spacing w:val="-12"/>
        </w:rPr>
        <w:t xml:space="preserve"> </w:t>
      </w:r>
      <w:r>
        <w:t>reduce</w:t>
      </w:r>
      <w:r>
        <w:rPr>
          <w:spacing w:val="-10"/>
        </w:rPr>
        <w:t xml:space="preserve"> </w:t>
      </w:r>
      <w:r>
        <w:t>disparities</w:t>
      </w:r>
      <w:r>
        <w:rPr>
          <w:spacing w:val="-8"/>
        </w:rPr>
        <w:t xml:space="preserve"> </w:t>
      </w:r>
      <w:r>
        <w:t>facing</w:t>
      </w:r>
      <w:r>
        <w:rPr>
          <w:spacing w:val="-10"/>
        </w:rPr>
        <w:t xml:space="preserve"> </w:t>
      </w:r>
      <w:r>
        <w:t>LGBTQ</w:t>
      </w:r>
      <w:r>
        <w:rPr>
          <w:spacing w:val="-9"/>
        </w:rPr>
        <w:t xml:space="preserve"> </w:t>
      </w:r>
      <w:r>
        <w:t>youth.</w:t>
      </w:r>
      <w:r>
        <w:rPr>
          <w:spacing w:val="-10"/>
        </w:rPr>
        <w:t xml:space="preserve"> </w:t>
      </w:r>
      <w:r>
        <w:t>The</w:t>
      </w:r>
      <w:r>
        <w:rPr>
          <w:spacing w:val="-10"/>
        </w:rPr>
        <w:t xml:space="preserve"> </w:t>
      </w:r>
      <w:r>
        <w:t>Commission</w:t>
      </w:r>
      <w:r>
        <w:rPr>
          <w:spacing w:val="-11"/>
        </w:rPr>
        <w:t xml:space="preserve"> </w:t>
      </w:r>
      <w:r>
        <w:t>recommends</w:t>
      </w:r>
      <w:r>
        <w:rPr>
          <w:spacing w:val="-10"/>
        </w:rPr>
        <w:t xml:space="preserve"> </w:t>
      </w:r>
      <w:r>
        <w:t>that</w:t>
      </w:r>
      <w:r>
        <w:rPr>
          <w:spacing w:val="-12"/>
        </w:rPr>
        <w:t xml:space="preserve"> </w:t>
      </w:r>
      <w:r>
        <w:t>DYS</w:t>
      </w:r>
      <w:r>
        <w:rPr>
          <w:spacing w:val="-10"/>
        </w:rPr>
        <w:t xml:space="preserve"> </w:t>
      </w:r>
      <w:r>
        <w:t>collect</w:t>
      </w:r>
      <w:r>
        <w:rPr>
          <w:spacing w:val="-9"/>
        </w:rPr>
        <w:t xml:space="preserve"> </w:t>
      </w:r>
      <w:r>
        <w:t>and</w:t>
      </w:r>
      <w:r>
        <w:rPr>
          <w:spacing w:val="-10"/>
        </w:rPr>
        <w:t xml:space="preserve"> </w:t>
      </w:r>
      <w:r>
        <w:t>report SOGIE data at all relevant process points and looks forward to reviewing the data available in FY 2023.</w:t>
      </w:r>
    </w:p>
    <w:p w:rsidR="00C76E6D" w:rsidRDefault="00C76E6D">
      <w:pPr>
        <w:pStyle w:val="BodyText"/>
        <w:spacing w:before="6"/>
        <w:rPr>
          <w:sz w:val="19"/>
        </w:rPr>
      </w:pPr>
    </w:p>
    <w:p w:rsidR="00C76E6D" w:rsidRDefault="00913831">
      <w:pPr>
        <w:pStyle w:val="Heading6"/>
        <w:numPr>
          <w:ilvl w:val="0"/>
          <w:numId w:val="6"/>
        </w:numPr>
        <w:tabs>
          <w:tab w:val="left" w:pos="576"/>
        </w:tabs>
        <w:spacing w:before="1" w:line="276" w:lineRule="auto"/>
        <w:ind w:right="337" w:firstLine="0"/>
        <w:jc w:val="both"/>
      </w:pPr>
      <w:bookmarkStart w:id="878" w:name="5._Investigate_whether_LGBTQI_youth,_par"/>
      <w:bookmarkEnd w:id="878"/>
      <w:r>
        <w:t>Investigate whether LGBTQI youth, particularly transgender and intersex youth, are generally staying longer</w:t>
      </w:r>
      <w:r>
        <w:rPr>
          <w:spacing w:val="-7"/>
        </w:rPr>
        <w:t xml:space="preserve"> </w:t>
      </w:r>
      <w:r>
        <w:t>in</w:t>
      </w:r>
      <w:r>
        <w:rPr>
          <w:spacing w:val="-7"/>
        </w:rPr>
        <w:t xml:space="preserve"> </w:t>
      </w:r>
      <w:r>
        <w:t>detention</w:t>
      </w:r>
      <w:r>
        <w:rPr>
          <w:spacing w:val="-7"/>
        </w:rPr>
        <w:t xml:space="preserve"> </w:t>
      </w:r>
      <w:r>
        <w:t>vs.</w:t>
      </w:r>
      <w:r>
        <w:rPr>
          <w:spacing w:val="-6"/>
        </w:rPr>
        <w:t xml:space="preserve"> </w:t>
      </w:r>
      <w:r>
        <w:t>individual</w:t>
      </w:r>
      <w:r>
        <w:rPr>
          <w:spacing w:val="-5"/>
        </w:rPr>
        <w:t xml:space="preserve"> </w:t>
      </w:r>
      <w:r>
        <w:t>youth</w:t>
      </w:r>
      <w:r>
        <w:rPr>
          <w:spacing w:val="-8"/>
        </w:rPr>
        <w:t xml:space="preserve"> </w:t>
      </w:r>
      <w:r>
        <w:t>skewing</w:t>
      </w:r>
      <w:r>
        <w:rPr>
          <w:spacing w:val="-6"/>
        </w:rPr>
        <w:t xml:space="preserve"> </w:t>
      </w:r>
      <w:r>
        <w:t>numbers</w:t>
      </w:r>
      <w:r>
        <w:rPr>
          <w:spacing w:val="-5"/>
        </w:rPr>
        <w:t xml:space="preserve"> </w:t>
      </w:r>
      <w:r>
        <w:t>and</w:t>
      </w:r>
      <w:r>
        <w:rPr>
          <w:spacing w:val="-5"/>
        </w:rPr>
        <w:t xml:space="preserve"> </w:t>
      </w:r>
      <w:r>
        <w:t>collaborate</w:t>
      </w:r>
      <w:r>
        <w:rPr>
          <w:spacing w:val="-5"/>
        </w:rPr>
        <w:t xml:space="preserve"> </w:t>
      </w:r>
      <w:r>
        <w:t>with</w:t>
      </w:r>
      <w:r>
        <w:rPr>
          <w:spacing w:val="-8"/>
        </w:rPr>
        <w:t xml:space="preserve"> </w:t>
      </w:r>
      <w:r>
        <w:t>juvenile</w:t>
      </w:r>
      <w:r>
        <w:rPr>
          <w:spacing w:val="-6"/>
        </w:rPr>
        <w:t xml:space="preserve"> </w:t>
      </w:r>
      <w:r>
        <w:t>justice</w:t>
      </w:r>
      <w:r>
        <w:rPr>
          <w:spacing w:val="-7"/>
        </w:rPr>
        <w:t xml:space="preserve"> </w:t>
      </w:r>
      <w:r>
        <w:t>partners</w:t>
      </w:r>
      <w:r>
        <w:rPr>
          <w:spacing w:val="-4"/>
        </w:rPr>
        <w:t xml:space="preserve"> </w:t>
      </w:r>
      <w:r>
        <w:t>to determine root causes.</w:t>
      </w:r>
    </w:p>
    <w:p w:rsidR="00C76E6D" w:rsidRDefault="00C76E6D">
      <w:pPr>
        <w:spacing w:line="276" w:lineRule="auto"/>
        <w:jc w:val="both"/>
        <w:sectPr w:rsidR="00C76E6D">
          <w:pgSz w:w="12240" w:h="15840"/>
          <w:pgMar w:top="1020" w:right="960" w:bottom="640" w:left="960" w:header="832" w:footer="440" w:gutter="0"/>
          <w:cols w:space="720"/>
        </w:sectPr>
      </w:pPr>
    </w:p>
    <w:p w:rsidR="00C76E6D" w:rsidRDefault="00C76E6D">
      <w:pPr>
        <w:pStyle w:val="BodyText"/>
        <w:spacing w:before="4"/>
        <w:rPr>
          <w:b/>
        </w:rPr>
      </w:pPr>
    </w:p>
    <w:p w:rsidR="00C76E6D" w:rsidRDefault="00913831">
      <w:pPr>
        <w:pStyle w:val="BodyText"/>
        <w:spacing w:before="56" w:line="276" w:lineRule="auto"/>
        <w:ind w:left="627" w:right="332"/>
        <w:jc w:val="both"/>
      </w:pPr>
      <w:r>
        <w:t>In FY20, DYS published data that indicated that intersex and transgender youth averaged longer lengths of</w:t>
      </w:r>
      <w:r>
        <w:rPr>
          <w:spacing w:val="-4"/>
        </w:rPr>
        <w:t xml:space="preserve"> </w:t>
      </w:r>
      <w:r>
        <w:t>detainment</w:t>
      </w:r>
      <w:r>
        <w:rPr>
          <w:spacing w:val="-3"/>
        </w:rPr>
        <w:t xml:space="preserve"> </w:t>
      </w:r>
      <w:r>
        <w:t>by</w:t>
      </w:r>
      <w:r>
        <w:rPr>
          <w:spacing w:val="-2"/>
        </w:rPr>
        <w:t xml:space="preserve"> </w:t>
      </w:r>
      <w:r>
        <w:t>the</w:t>
      </w:r>
      <w:r>
        <w:rPr>
          <w:spacing w:val="-2"/>
        </w:rPr>
        <w:t xml:space="preserve"> </w:t>
      </w:r>
      <w:r>
        <w:t>Juvenile</w:t>
      </w:r>
      <w:r>
        <w:rPr>
          <w:spacing w:val="-3"/>
        </w:rPr>
        <w:t xml:space="preserve"> </w:t>
      </w:r>
      <w:r>
        <w:t>Court</w:t>
      </w:r>
      <w:r>
        <w:rPr>
          <w:spacing w:val="-2"/>
        </w:rPr>
        <w:t xml:space="preserve"> </w:t>
      </w:r>
      <w:r>
        <w:t>than</w:t>
      </w:r>
      <w:r>
        <w:rPr>
          <w:spacing w:val="-3"/>
        </w:rPr>
        <w:t xml:space="preserve"> </w:t>
      </w:r>
      <w:r>
        <w:t>LGB+</w:t>
      </w:r>
      <w:r>
        <w:rPr>
          <w:spacing w:val="-2"/>
        </w:rPr>
        <w:t xml:space="preserve"> </w:t>
      </w:r>
      <w:r>
        <w:t>you</w:t>
      </w:r>
      <w:r>
        <w:t>th;</w:t>
      </w:r>
      <w:r>
        <w:rPr>
          <w:spacing w:val="-3"/>
        </w:rPr>
        <w:t xml:space="preserve"> </w:t>
      </w:r>
      <w:r>
        <w:t>upon</w:t>
      </w:r>
      <w:r>
        <w:rPr>
          <w:spacing w:val="-3"/>
        </w:rPr>
        <w:t xml:space="preserve"> </w:t>
      </w:r>
      <w:r>
        <w:t>review</w:t>
      </w:r>
      <w:r>
        <w:rPr>
          <w:spacing w:val="-1"/>
        </w:rPr>
        <w:t xml:space="preserve"> </w:t>
      </w:r>
      <w:r>
        <w:t>of</w:t>
      </w:r>
      <w:r>
        <w:rPr>
          <w:spacing w:val="-3"/>
        </w:rPr>
        <w:t xml:space="preserve"> </w:t>
      </w:r>
      <w:r>
        <w:t>this</w:t>
      </w:r>
      <w:r>
        <w:rPr>
          <w:spacing w:val="-1"/>
        </w:rPr>
        <w:t xml:space="preserve"> </w:t>
      </w:r>
      <w:r>
        <w:t>data,</w:t>
      </w:r>
      <w:r>
        <w:rPr>
          <w:spacing w:val="-2"/>
        </w:rPr>
        <w:t xml:space="preserve"> </w:t>
      </w:r>
      <w:r>
        <w:t>DYS</w:t>
      </w:r>
      <w:r>
        <w:rPr>
          <w:spacing w:val="-3"/>
        </w:rPr>
        <w:t xml:space="preserve"> </w:t>
      </w:r>
      <w:r>
        <w:t>and</w:t>
      </w:r>
      <w:r>
        <w:rPr>
          <w:spacing w:val="-2"/>
        </w:rPr>
        <w:t xml:space="preserve"> </w:t>
      </w:r>
      <w:r>
        <w:t>the</w:t>
      </w:r>
      <w:r>
        <w:rPr>
          <w:spacing w:val="-1"/>
        </w:rPr>
        <w:t xml:space="preserve"> </w:t>
      </w:r>
      <w:r>
        <w:t>Commission concluded that low reported population numbers of transgender and intersex youth likely skewed this data. For its work in FY 2023, DYS has committed to improving its SOGI data collection - both at and ou</w:t>
      </w:r>
      <w:r>
        <w:t>tside of intake - in order to better assess lengths of stay in DYS detention facilities.</w:t>
      </w:r>
    </w:p>
    <w:p w:rsidR="00C76E6D" w:rsidRDefault="00913831">
      <w:pPr>
        <w:pStyle w:val="BodyText"/>
        <w:spacing w:before="5"/>
        <w:rPr>
          <w:sz w:val="25"/>
        </w:rPr>
      </w:pPr>
      <w:r>
        <w:pict>
          <v:shape id="docshape440" o:spid="_x0000_s1058" style="position:absolute;margin-left:70.6pt;margin-top:16.7pt;width:470.95pt;height:.1pt;z-index:-15634432;mso-wrap-distance-left:0;mso-wrap-distance-right:0;mso-position-horizontal-relative:page" coordorigin="1412,334" coordsize="9419,0" path="m1412,334r9419,e" filled="f" strokeweight="1.54pt">
            <v:path arrowok="t"/>
            <w10:wrap type="topAndBottom" anchorx="page"/>
          </v:shape>
        </w:pict>
      </w:r>
    </w:p>
    <w:p w:rsidR="00C76E6D" w:rsidRDefault="00C76E6D">
      <w:pPr>
        <w:pStyle w:val="BodyText"/>
        <w:spacing w:before="9"/>
      </w:pPr>
    </w:p>
    <w:p w:rsidR="00C76E6D" w:rsidRDefault="00913831">
      <w:pPr>
        <w:pStyle w:val="Heading6"/>
        <w:ind w:left="3682" w:right="3683"/>
        <w:jc w:val="center"/>
      </w:pPr>
      <w:r>
        <w:rPr>
          <w:spacing w:val="-2"/>
        </w:rPr>
        <w:t>ENDNOTES</w:t>
      </w:r>
    </w:p>
    <w:p w:rsidR="00C76E6D" w:rsidRDefault="00913831">
      <w:pPr>
        <w:pStyle w:val="BodyText"/>
        <w:spacing w:before="9"/>
        <w:rPr>
          <w:b/>
          <w:sz w:val="25"/>
        </w:rPr>
      </w:pPr>
      <w:r>
        <w:pict>
          <v:shape id="docshape441" o:spid="_x0000_s1057" style="position:absolute;margin-left:70.6pt;margin-top:16.9pt;width:470.95pt;height:.1pt;z-index:-15633920;mso-wrap-distance-left:0;mso-wrap-distance-right:0;mso-position-horizontal-relative:page" coordorigin="1412,338" coordsize="9419,0" path="m1412,338r9419,e" filled="f" strokeweight="1.54pt">
            <v:path arrowok="t"/>
            <w10:wrap type="topAndBottom" anchorx="page"/>
          </v:shape>
        </w:pict>
      </w:r>
    </w:p>
    <w:p w:rsidR="00C76E6D" w:rsidRDefault="00C76E6D">
      <w:pPr>
        <w:pStyle w:val="BodyText"/>
        <w:rPr>
          <w:b/>
        </w:rPr>
      </w:pPr>
    </w:p>
    <w:p w:rsidR="00C76E6D" w:rsidRDefault="00C76E6D">
      <w:pPr>
        <w:pStyle w:val="BodyText"/>
        <w:rPr>
          <w:b/>
        </w:rPr>
      </w:pPr>
    </w:p>
    <w:p w:rsidR="00C76E6D" w:rsidRDefault="00C76E6D">
      <w:pPr>
        <w:pStyle w:val="BodyText"/>
        <w:spacing w:before="8"/>
        <w:rPr>
          <w:b/>
          <w:sz w:val="23"/>
        </w:rPr>
      </w:pPr>
    </w:p>
    <w:p w:rsidR="00C76E6D" w:rsidRDefault="00913831">
      <w:pPr>
        <w:ind w:left="339" w:right="906" w:hanging="1"/>
        <w:rPr>
          <w:sz w:val="20"/>
        </w:rPr>
      </w:pPr>
      <w:bookmarkStart w:id="879" w:name="_bookmark615"/>
      <w:bookmarkEnd w:id="879"/>
      <w:r>
        <w:rPr>
          <w:sz w:val="20"/>
          <w:vertAlign w:val="superscript"/>
        </w:rPr>
        <w:t>1</w:t>
      </w:r>
      <w:r>
        <w:rPr>
          <w:spacing w:val="-4"/>
          <w:sz w:val="20"/>
        </w:rPr>
        <w:t xml:space="preserve"> </w:t>
      </w:r>
      <w:r>
        <w:rPr>
          <w:sz w:val="20"/>
        </w:rPr>
        <w:t>Irving,</w:t>
      </w:r>
      <w:r>
        <w:rPr>
          <w:spacing w:val="-5"/>
          <w:sz w:val="20"/>
        </w:rPr>
        <w:t xml:space="preserve"> </w:t>
      </w:r>
      <w:r>
        <w:rPr>
          <w:sz w:val="20"/>
        </w:rPr>
        <w:t>A.</w:t>
      </w:r>
      <w:r>
        <w:rPr>
          <w:spacing w:val="-6"/>
          <w:sz w:val="20"/>
        </w:rPr>
        <w:t xml:space="preserve"> </w:t>
      </w:r>
      <w:r>
        <w:rPr>
          <w:sz w:val="20"/>
        </w:rPr>
        <w:t>&amp;</w:t>
      </w:r>
      <w:r>
        <w:rPr>
          <w:spacing w:val="-4"/>
          <w:sz w:val="20"/>
        </w:rPr>
        <w:t xml:space="preserve"> </w:t>
      </w:r>
      <w:r>
        <w:rPr>
          <w:sz w:val="20"/>
        </w:rPr>
        <w:t>Gilbert,</w:t>
      </w:r>
      <w:r>
        <w:rPr>
          <w:spacing w:val="-4"/>
          <w:sz w:val="20"/>
        </w:rPr>
        <w:t xml:space="preserve"> </w:t>
      </w:r>
      <w:r>
        <w:rPr>
          <w:sz w:val="20"/>
        </w:rPr>
        <w:t>C.</w:t>
      </w:r>
      <w:r>
        <w:rPr>
          <w:spacing w:val="-6"/>
          <w:sz w:val="20"/>
        </w:rPr>
        <w:t xml:space="preserve"> </w:t>
      </w:r>
      <w:r>
        <w:rPr>
          <w:sz w:val="20"/>
        </w:rPr>
        <w:t>(2015).</w:t>
      </w:r>
      <w:r>
        <w:rPr>
          <w:spacing w:val="-6"/>
          <w:sz w:val="20"/>
        </w:rPr>
        <w:t xml:space="preserve"> </w:t>
      </w:r>
      <w:r>
        <w:rPr>
          <w:sz w:val="20"/>
        </w:rPr>
        <w:t>LGBT</w:t>
      </w:r>
      <w:r>
        <w:rPr>
          <w:spacing w:val="-5"/>
          <w:sz w:val="20"/>
        </w:rPr>
        <w:t xml:space="preserve"> </w:t>
      </w:r>
      <w:r>
        <w:rPr>
          <w:sz w:val="20"/>
        </w:rPr>
        <w:t>and</w:t>
      </w:r>
      <w:r>
        <w:rPr>
          <w:spacing w:val="-4"/>
          <w:sz w:val="20"/>
        </w:rPr>
        <w:t xml:space="preserve"> </w:t>
      </w:r>
      <w:r>
        <w:rPr>
          <w:sz w:val="20"/>
        </w:rPr>
        <w:t>Gender-Nonconforming</w:t>
      </w:r>
      <w:r>
        <w:rPr>
          <w:spacing w:val="-4"/>
          <w:sz w:val="20"/>
        </w:rPr>
        <w:t xml:space="preserve"> </w:t>
      </w:r>
      <w:r>
        <w:rPr>
          <w:sz w:val="20"/>
        </w:rPr>
        <w:t>Youth</w:t>
      </w:r>
      <w:r>
        <w:rPr>
          <w:spacing w:val="-4"/>
          <w:sz w:val="20"/>
        </w:rPr>
        <w:t xml:space="preserve"> </w:t>
      </w:r>
      <w:r>
        <w:rPr>
          <w:sz w:val="20"/>
        </w:rPr>
        <w:t>in</w:t>
      </w:r>
      <w:r>
        <w:rPr>
          <w:spacing w:val="-5"/>
          <w:sz w:val="20"/>
        </w:rPr>
        <w:t xml:space="preserve"> </w:t>
      </w:r>
      <w:r>
        <w:rPr>
          <w:sz w:val="20"/>
        </w:rPr>
        <w:t>Juvenile</w:t>
      </w:r>
      <w:r>
        <w:rPr>
          <w:spacing w:val="-5"/>
          <w:sz w:val="20"/>
        </w:rPr>
        <w:t xml:space="preserve"> </w:t>
      </w:r>
      <w:r>
        <w:rPr>
          <w:sz w:val="20"/>
        </w:rPr>
        <w:t>Justice:</w:t>
      </w:r>
      <w:r>
        <w:rPr>
          <w:spacing w:val="-4"/>
          <w:sz w:val="20"/>
        </w:rPr>
        <w:t xml:space="preserve"> </w:t>
      </w:r>
      <w:r>
        <w:rPr>
          <w:sz w:val="20"/>
        </w:rPr>
        <w:t>Building</w:t>
      </w:r>
      <w:r>
        <w:rPr>
          <w:spacing w:val="-5"/>
          <w:sz w:val="20"/>
        </w:rPr>
        <w:t xml:space="preserve"> </w:t>
      </w:r>
      <w:r>
        <w:rPr>
          <w:sz w:val="20"/>
        </w:rPr>
        <w:t>an</w:t>
      </w:r>
      <w:r>
        <w:rPr>
          <w:spacing w:val="-8"/>
          <w:sz w:val="20"/>
        </w:rPr>
        <w:t xml:space="preserve"> </w:t>
      </w:r>
      <w:r>
        <w:rPr>
          <w:sz w:val="20"/>
        </w:rPr>
        <w:t xml:space="preserve">Equitable System with Data, Training, and Policy. Center for Juvenile Justice. Retrieved from </w:t>
      </w:r>
      <w:hyperlink r:id="rId448">
        <w:r>
          <w:rPr>
            <w:spacing w:val="-2"/>
            <w:sz w:val="20"/>
          </w:rPr>
          <w:t>http://www.juvjustice.org/webinars-and-trainings/resources.</w:t>
        </w:r>
      </w:hyperlink>
    </w:p>
    <w:p w:rsidR="00C76E6D" w:rsidRDefault="00913831">
      <w:pPr>
        <w:spacing w:before="7" w:line="241" w:lineRule="exact"/>
        <w:ind w:left="338"/>
        <w:rPr>
          <w:sz w:val="20"/>
        </w:rPr>
      </w:pPr>
      <w:bookmarkStart w:id="880" w:name="_bookmark616"/>
      <w:bookmarkEnd w:id="880"/>
      <w:r>
        <w:rPr>
          <w:sz w:val="20"/>
          <w:vertAlign w:val="superscript"/>
        </w:rPr>
        <w:t>2</w:t>
      </w:r>
      <w:r>
        <w:rPr>
          <w:spacing w:val="36"/>
          <w:sz w:val="20"/>
        </w:rPr>
        <w:t xml:space="preserve"> </w:t>
      </w:r>
      <w:bookmarkStart w:id="881" w:name="_bookmark617"/>
      <w:bookmarkEnd w:id="881"/>
      <w:r>
        <w:rPr>
          <w:sz w:val="20"/>
        </w:rPr>
        <w:t>Goodenow,</w:t>
      </w:r>
      <w:r>
        <w:rPr>
          <w:spacing w:val="-6"/>
          <w:sz w:val="20"/>
        </w:rPr>
        <w:t xml:space="preserve"> </w:t>
      </w:r>
      <w:r>
        <w:rPr>
          <w:sz w:val="20"/>
        </w:rPr>
        <w:t>C.</w:t>
      </w:r>
      <w:r>
        <w:rPr>
          <w:spacing w:val="-5"/>
          <w:sz w:val="20"/>
        </w:rPr>
        <w:t xml:space="preserve"> </w:t>
      </w:r>
      <w:r>
        <w:rPr>
          <w:spacing w:val="-2"/>
          <w:sz w:val="20"/>
        </w:rPr>
        <w:t>(2016).</w:t>
      </w:r>
    </w:p>
    <w:p w:rsidR="00C76E6D" w:rsidRDefault="00913831">
      <w:pPr>
        <w:ind w:left="338" w:right="872" w:hanging="1"/>
        <w:jc w:val="both"/>
        <w:rPr>
          <w:sz w:val="20"/>
        </w:rPr>
      </w:pPr>
      <w:r>
        <w:rPr>
          <w:sz w:val="20"/>
          <w:vertAlign w:val="superscript"/>
        </w:rPr>
        <w:t>3</w:t>
      </w:r>
      <w:r>
        <w:rPr>
          <w:spacing w:val="-4"/>
          <w:sz w:val="20"/>
        </w:rPr>
        <w:t xml:space="preserve"> </w:t>
      </w:r>
      <w:r>
        <w:rPr>
          <w:sz w:val="20"/>
        </w:rPr>
        <w:t>Irvine,</w:t>
      </w:r>
      <w:r>
        <w:rPr>
          <w:spacing w:val="-4"/>
          <w:sz w:val="20"/>
        </w:rPr>
        <w:t xml:space="preserve"> </w:t>
      </w:r>
      <w:r>
        <w:rPr>
          <w:sz w:val="20"/>
        </w:rPr>
        <w:t>A.</w:t>
      </w:r>
      <w:r>
        <w:rPr>
          <w:spacing w:val="-4"/>
          <w:sz w:val="20"/>
        </w:rPr>
        <w:t xml:space="preserve"> </w:t>
      </w:r>
      <w:r>
        <w:rPr>
          <w:sz w:val="20"/>
        </w:rPr>
        <w:t>(2015).</w:t>
      </w:r>
      <w:r>
        <w:rPr>
          <w:spacing w:val="-4"/>
          <w:sz w:val="20"/>
        </w:rPr>
        <w:t xml:space="preserve"> </w:t>
      </w:r>
      <w:r>
        <w:rPr>
          <w:sz w:val="20"/>
        </w:rPr>
        <w:t>Time</w:t>
      </w:r>
      <w:r>
        <w:rPr>
          <w:spacing w:val="-4"/>
          <w:sz w:val="20"/>
        </w:rPr>
        <w:t xml:space="preserve"> </w:t>
      </w:r>
      <w:r>
        <w:rPr>
          <w:sz w:val="20"/>
        </w:rPr>
        <w:t>to</w:t>
      </w:r>
      <w:r>
        <w:rPr>
          <w:spacing w:val="-5"/>
          <w:sz w:val="20"/>
        </w:rPr>
        <w:t xml:space="preserve"> </w:t>
      </w:r>
      <w:r>
        <w:rPr>
          <w:sz w:val="20"/>
        </w:rPr>
        <w:t>Expand</w:t>
      </w:r>
      <w:r>
        <w:rPr>
          <w:spacing w:val="-4"/>
          <w:sz w:val="20"/>
        </w:rPr>
        <w:t xml:space="preserve"> </w:t>
      </w:r>
      <w:r>
        <w:rPr>
          <w:sz w:val="20"/>
        </w:rPr>
        <w:t>the</w:t>
      </w:r>
      <w:r>
        <w:rPr>
          <w:spacing w:val="-4"/>
          <w:sz w:val="20"/>
        </w:rPr>
        <w:t xml:space="preserve"> </w:t>
      </w:r>
      <w:r>
        <w:rPr>
          <w:sz w:val="20"/>
        </w:rPr>
        <w:t>Lens</w:t>
      </w:r>
      <w:r>
        <w:rPr>
          <w:spacing w:val="-5"/>
          <w:sz w:val="20"/>
        </w:rPr>
        <w:t xml:space="preserve"> </w:t>
      </w:r>
      <w:r>
        <w:rPr>
          <w:sz w:val="20"/>
        </w:rPr>
        <w:t>on</w:t>
      </w:r>
      <w:r>
        <w:rPr>
          <w:spacing w:val="-4"/>
          <w:sz w:val="20"/>
        </w:rPr>
        <w:t xml:space="preserve"> </w:t>
      </w:r>
      <w:r>
        <w:rPr>
          <w:sz w:val="20"/>
        </w:rPr>
        <w:t>Girls</w:t>
      </w:r>
      <w:r>
        <w:rPr>
          <w:spacing w:val="-4"/>
          <w:sz w:val="20"/>
        </w:rPr>
        <w:t xml:space="preserve"> </w:t>
      </w:r>
      <w:r>
        <w:rPr>
          <w:sz w:val="20"/>
        </w:rPr>
        <w:t>in</w:t>
      </w:r>
      <w:r>
        <w:rPr>
          <w:spacing w:val="-4"/>
          <w:sz w:val="20"/>
        </w:rPr>
        <w:t xml:space="preserve"> </w:t>
      </w:r>
      <w:r>
        <w:rPr>
          <w:sz w:val="20"/>
        </w:rPr>
        <w:t>the</w:t>
      </w:r>
      <w:r>
        <w:rPr>
          <w:spacing w:val="-6"/>
          <w:sz w:val="20"/>
        </w:rPr>
        <w:t xml:space="preserve"> </w:t>
      </w:r>
      <w:r>
        <w:rPr>
          <w:sz w:val="20"/>
        </w:rPr>
        <w:t>Juvenile</w:t>
      </w:r>
      <w:r>
        <w:rPr>
          <w:spacing w:val="-4"/>
          <w:sz w:val="20"/>
        </w:rPr>
        <w:t xml:space="preserve"> </w:t>
      </w:r>
      <w:r>
        <w:rPr>
          <w:sz w:val="20"/>
        </w:rPr>
        <w:t>Justice</w:t>
      </w:r>
      <w:r>
        <w:rPr>
          <w:spacing w:val="-6"/>
          <w:sz w:val="20"/>
        </w:rPr>
        <w:t xml:space="preserve"> </w:t>
      </w:r>
      <w:r>
        <w:rPr>
          <w:sz w:val="20"/>
        </w:rPr>
        <w:t>System.</w:t>
      </w:r>
      <w:r>
        <w:rPr>
          <w:spacing w:val="-5"/>
          <w:sz w:val="20"/>
        </w:rPr>
        <w:t xml:space="preserve"> </w:t>
      </w:r>
      <w:r>
        <w:rPr>
          <w:sz w:val="20"/>
        </w:rPr>
        <w:t>National</w:t>
      </w:r>
      <w:r>
        <w:rPr>
          <w:spacing w:val="-5"/>
          <w:sz w:val="20"/>
        </w:rPr>
        <w:t xml:space="preserve"> </w:t>
      </w:r>
      <w:r>
        <w:rPr>
          <w:sz w:val="20"/>
        </w:rPr>
        <w:t>Council</w:t>
      </w:r>
      <w:r>
        <w:rPr>
          <w:spacing w:val="-4"/>
          <w:sz w:val="20"/>
        </w:rPr>
        <w:t xml:space="preserve"> </w:t>
      </w:r>
      <w:r>
        <w:rPr>
          <w:sz w:val="20"/>
        </w:rPr>
        <w:t>on</w:t>
      </w:r>
      <w:r>
        <w:rPr>
          <w:spacing w:val="-4"/>
          <w:sz w:val="20"/>
        </w:rPr>
        <w:t xml:space="preserve"> </w:t>
      </w:r>
      <w:r>
        <w:rPr>
          <w:sz w:val="20"/>
        </w:rPr>
        <w:t>Crime</w:t>
      </w:r>
      <w:r>
        <w:rPr>
          <w:spacing w:val="-4"/>
          <w:sz w:val="20"/>
        </w:rPr>
        <w:t xml:space="preserve"> </w:t>
      </w:r>
      <w:r>
        <w:rPr>
          <w:sz w:val="20"/>
        </w:rPr>
        <w:t xml:space="preserve">and Delinquency. Retrieved from </w:t>
      </w:r>
      <w:hyperlink r:id="rId449">
        <w:r>
          <w:rPr>
            <w:sz w:val="20"/>
          </w:rPr>
          <w:t>http://www.nccdglobal.org/blog/time-to-expand-the-lens-on-girls-in-the-juvenile-</w:t>
        </w:r>
      </w:hyperlink>
      <w:r>
        <w:rPr>
          <w:sz w:val="20"/>
        </w:rPr>
        <w:t xml:space="preserve"> </w:t>
      </w:r>
      <w:r>
        <w:rPr>
          <w:spacing w:val="-2"/>
          <w:sz w:val="20"/>
        </w:rPr>
        <w:t>justice-system.</w:t>
      </w:r>
    </w:p>
    <w:p w:rsidR="00C76E6D" w:rsidRDefault="00913831">
      <w:pPr>
        <w:spacing w:before="4" w:line="244" w:lineRule="exact"/>
        <w:ind w:left="338"/>
        <w:jc w:val="both"/>
        <w:rPr>
          <w:sz w:val="20"/>
        </w:rPr>
      </w:pPr>
      <w:bookmarkStart w:id="882" w:name="_bookmark618"/>
      <w:bookmarkEnd w:id="882"/>
      <w:r>
        <w:rPr>
          <w:sz w:val="20"/>
          <w:vertAlign w:val="superscript"/>
        </w:rPr>
        <w:t>4</w:t>
      </w:r>
      <w:r>
        <w:rPr>
          <w:spacing w:val="-4"/>
          <w:sz w:val="20"/>
        </w:rPr>
        <w:t xml:space="preserve"> </w:t>
      </w:r>
      <w:r>
        <w:rPr>
          <w:sz w:val="20"/>
        </w:rPr>
        <w:t>Himmelstein,</w:t>
      </w:r>
      <w:r>
        <w:rPr>
          <w:spacing w:val="-5"/>
          <w:sz w:val="20"/>
        </w:rPr>
        <w:t xml:space="preserve"> </w:t>
      </w:r>
      <w:r>
        <w:rPr>
          <w:sz w:val="20"/>
        </w:rPr>
        <w:t>K.</w:t>
      </w:r>
      <w:r>
        <w:rPr>
          <w:spacing w:val="-5"/>
          <w:sz w:val="20"/>
        </w:rPr>
        <w:t xml:space="preserve"> </w:t>
      </w:r>
      <w:r>
        <w:rPr>
          <w:sz w:val="20"/>
        </w:rPr>
        <w:t>E.</w:t>
      </w:r>
      <w:r>
        <w:rPr>
          <w:spacing w:val="-7"/>
          <w:sz w:val="20"/>
        </w:rPr>
        <w:t xml:space="preserve"> </w:t>
      </w:r>
      <w:r>
        <w:rPr>
          <w:sz w:val="20"/>
        </w:rPr>
        <w:t>W.,</w:t>
      </w:r>
      <w:r>
        <w:rPr>
          <w:spacing w:val="-5"/>
          <w:sz w:val="20"/>
        </w:rPr>
        <w:t xml:space="preserve"> </w:t>
      </w:r>
      <w:r>
        <w:rPr>
          <w:sz w:val="20"/>
        </w:rPr>
        <w:t>et</w:t>
      </w:r>
      <w:r>
        <w:rPr>
          <w:spacing w:val="-5"/>
          <w:sz w:val="20"/>
        </w:rPr>
        <w:t xml:space="preserve"> </w:t>
      </w:r>
      <w:r>
        <w:rPr>
          <w:sz w:val="20"/>
        </w:rPr>
        <w:t>al.</w:t>
      </w:r>
      <w:r>
        <w:rPr>
          <w:spacing w:val="-5"/>
          <w:sz w:val="20"/>
        </w:rPr>
        <w:t xml:space="preserve"> </w:t>
      </w:r>
      <w:r>
        <w:rPr>
          <w:spacing w:val="-2"/>
          <w:sz w:val="20"/>
        </w:rPr>
        <w:t>(2011).</w:t>
      </w:r>
    </w:p>
    <w:p w:rsidR="00C76E6D" w:rsidRDefault="00913831">
      <w:pPr>
        <w:spacing w:line="244" w:lineRule="exact"/>
        <w:ind w:left="338"/>
        <w:jc w:val="both"/>
        <w:rPr>
          <w:sz w:val="20"/>
        </w:rPr>
      </w:pPr>
      <w:bookmarkStart w:id="883" w:name="_bookmark619"/>
      <w:bookmarkEnd w:id="883"/>
      <w:r>
        <w:rPr>
          <w:sz w:val="20"/>
          <w:vertAlign w:val="superscript"/>
        </w:rPr>
        <w:t>5</w:t>
      </w:r>
      <w:r>
        <w:rPr>
          <w:spacing w:val="-4"/>
          <w:sz w:val="20"/>
        </w:rPr>
        <w:t xml:space="preserve"> </w:t>
      </w:r>
      <w:r>
        <w:rPr>
          <w:sz w:val="20"/>
        </w:rPr>
        <w:t>Majd,</w:t>
      </w:r>
      <w:r>
        <w:rPr>
          <w:spacing w:val="-3"/>
          <w:sz w:val="20"/>
        </w:rPr>
        <w:t xml:space="preserve"> </w:t>
      </w:r>
      <w:r>
        <w:rPr>
          <w:sz w:val="20"/>
        </w:rPr>
        <w:t>K.,</w:t>
      </w:r>
      <w:r>
        <w:rPr>
          <w:spacing w:val="-4"/>
          <w:sz w:val="20"/>
        </w:rPr>
        <w:t xml:space="preserve"> </w:t>
      </w:r>
      <w:r>
        <w:rPr>
          <w:sz w:val="20"/>
        </w:rPr>
        <w:t>et</w:t>
      </w:r>
      <w:r>
        <w:rPr>
          <w:spacing w:val="-2"/>
          <w:sz w:val="20"/>
        </w:rPr>
        <w:t xml:space="preserve"> </w:t>
      </w:r>
      <w:r>
        <w:rPr>
          <w:sz w:val="20"/>
        </w:rPr>
        <w:t>al.</w:t>
      </w:r>
      <w:r>
        <w:rPr>
          <w:spacing w:val="-5"/>
          <w:sz w:val="20"/>
        </w:rPr>
        <w:t xml:space="preserve"> </w:t>
      </w:r>
      <w:r>
        <w:rPr>
          <w:spacing w:val="-2"/>
          <w:sz w:val="20"/>
        </w:rPr>
        <w:t>(2009).</w:t>
      </w:r>
    </w:p>
    <w:p w:rsidR="00C76E6D" w:rsidRDefault="00C76E6D">
      <w:pPr>
        <w:spacing w:line="244" w:lineRule="exact"/>
        <w:jc w:val="both"/>
        <w:rPr>
          <w:sz w:val="20"/>
        </w:rPr>
        <w:sectPr w:rsidR="00C76E6D">
          <w:pgSz w:w="12240" w:h="15840"/>
          <w:pgMar w:top="1020" w:right="960" w:bottom="640" w:left="960" w:header="832" w:footer="440" w:gutter="0"/>
          <w:cols w:space="720"/>
        </w:sectPr>
      </w:pPr>
    </w:p>
    <w:p w:rsidR="00C76E6D" w:rsidRDefault="00C76E6D">
      <w:pPr>
        <w:pStyle w:val="BodyText"/>
        <w:spacing w:before="7"/>
        <w:rPr>
          <w:sz w:val="25"/>
        </w:rPr>
      </w:pPr>
    </w:p>
    <w:p w:rsidR="00C76E6D" w:rsidRDefault="00913831">
      <w:pPr>
        <w:pStyle w:val="Heading2"/>
      </w:pPr>
      <w:bookmarkStart w:id="884" w:name="Additional_State_Entities"/>
      <w:bookmarkStart w:id="885" w:name="_bookmark620"/>
      <w:bookmarkEnd w:id="884"/>
      <w:bookmarkEnd w:id="885"/>
      <w:r>
        <w:t>Additional</w:t>
      </w:r>
      <w:r>
        <w:rPr>
          <w:spacing w:val="-8"/>
        </w:rPr>
        <w:t xml:space="preserve"> </w:t>
      </w:r>
      <w:r>
        <w:t>State</w:t>
      </w:r>
      <w:r>
        <w:rPr>
          <w:spacing w:val="-10"/>
        </w:rPr>
        <w:t xml:space="preserve"> </w:t>
      </w:r>
      <w:r>
        <w:rPr>
          <w:spacing w:val="-2"/>
        </w:rPr>
        <w:t>Entities</w:t>
      </w:r>
    </w:p>
    <w:p w:rsidR="00C76E6D" w:rsidRDefault="00913831">
      <w:pPr>
        <w:pStyle w:val="BodyText"/>
        <w:spacing w:before="5"/>
        <w:rPr>
          <w:b/>
          <w:sz w:val="5"/>
        </w:rPr>
      </w:pPr>
      <w:r>
        <w:pict>
          <v:rect id="docshape445" o:spid="_x0000_s1056" style="position:absolute;margin-left:65pt;margin-top:4.55pt;width:471.7pt;height:2.2pt;z-index:-15633408;mso-wrap-distance-left:0;mso-wrap-distance-right:0;mso-position-horizontal-relative:page" fillcolor="black" stroked="f">
            <w10:wrap type="topAndBottom" anchorx="page"/>
          </v:rect>
        </w:pict>
      </w:r>
    </w:p>
    <w:p w:rsidR="00C76E6D" w:rsidRDefault="00C76E6D">
      <w:pPr>
        <w:pStyle w:val="BodyText"/>
        <w:spacing w:before="3"/>
        <w:rPr>
          <w:b/>
          <w:sz w:val="29"/>
        </w:rPr>
      </w:pPr>
    </w:p>
    <w:p w:rsidR="00C76E6D" w:rsidRDefault="00913831">
      <w:pPr>
        <w:pStyle w:val="Heading5"/>
      </w:pPr>
      <w:bookmarkStart w:id="886" w:name="Executive_Office_of_Public_Safety_and_Se"/>
      <w:bookmarkStart w:id="887" w:name="_bookmark621"/>
      <w:bookmarkEnd w:id="886"/>
      <w:bookmarkEnd w:id="887"/>
      <w:r>
        <w:t>Executive</w:t>
      </w:r>
      <w:r>
        <w:rPr>
          <w:spacing w:val="-10"/>
        </w:rPr>
        <w:t xml:space="preserve"> </w:t>
      </w:r>
      <w:r>
        <w:t>Office</w:t>
      </w:r>
      <w:r>
        <w:rPr>
          <w:spacing w:val="-5"/>
        </w:rPr>
        <w:t xml:space="preserve"> </w:t>
      </w:r>
      <w:r>
        <w:t>of</w:t>
      </w:r>
      <w:r>
        <w:rPr>
          <w:spacing w:val="-6"/>
        </w:rPr>
        <w:t xml:space="preserve"> </w:t>
      </w:r>
      <w:r>
        <w:t>Public</w:t>
      </w:r>
      <w:r>
        <w:rPr>
          <w:spacing w:val="-7"/>
        </w:rPr>
        <w:t xml:space="preserve"> </w:t>
      </w:r>
      <w:r>
        <w:t>Safety</w:t>
      </w:r>
      <w:r>
        <w:rPr>
          <w:spacing w:val="-5"/>
        </w:rPr>
        <w:t xml:space="preserve"> </w:t>
      </w:r>
      <w:r>
        <w:t>and</w:t>
      </w:r>
      <w:r>
        <w:rPr>
          <w:spacing w:val="-7"/>
        </w:rPr>
        <w:t xml:space="preserve"> </w:t>
      </w:r>
      <w:r>
        <w:rPr>
          <w:spacing w:val="-2"/>
        </w:rPr>
        <w:t>Security</w:t>
      </w:r>
    </w:p>
    <w:p w:rsidR="00C76E6D" w:rsidRDefault="00913831">
      <w:pPr>
        <w:pStyle w:val="BodyText"/>
        <w:rPr>
          <w:b/>
          <w:sz w:val="12"/>
        </w:rPr>
      </w:pPr>
      <w:r>
        <w:pict>
          <v:rect id="docshape446" o:spid="_x0000_s1055" style="position:absolute;margin-left:65.15pt;margin-top:8.55pt;width:471.7pt;height:2.2pt;z-index:-15632896;mso-wrap-distance-left:0;mso-wrap-distance-right:0;mso-position-horizontal-relative:page" fillcolor="black" stroked="f">
            <w10:wrap type="topAndBottom" anchorx="page"/>
          </v:rect>
        </w:pict>
      </w:r>
    </w:p>
    <w:p w:rsidR="00C76E6D" w:rsidRDefault="00C76E6D">
      <w:pPr>
        <w:pStyle w:val="BodyText"/>
        <w:spacing w:before="5"/>
        <w:rPr>
          <w:b/>
          <w:sz w:val="33"/>
        </w:rPr>
      </w:pPr>
    </w:p>
    <w:p w:rsidR="00C76E6D" w:rsidRDefault="00913831">
      <w:pPr>
        <w:ind w:left="338"/>
        <w:rPr>
          <w:b/>
          <w:sz w:val="24"/>
        </w:rPr>
      </w:pPr>
      <w:r>
        <w:rPr>
          <w:b/>
          <w:sz w:val="24"/>
        </w:rPr>
        <w:t>FY</w:t>
      </w:r>
      <w:r>
        <w:rPr>
          <w:b/>
          <w:spacing w:val="-7"/>
          <w:sz w:val="24"/>
        </w:rPr>
        <w:t xml:space="preserve"> </w:t>
      </w:r>
      <w:r>
        <w:rPr>
          <w:b/>
          <w:sz w:val="24"/>
        </w:rPr>
        <w:t>2023</w:t>
      </w:r>
      <w:r>
        <w:rPr>
          <w:b/>
          <w:spacing w:val="-2"/>
          <w:sz w:val="24"/>
        </w:rPr>
        <w:t xml:space="preserve"> Recommendations</w:t>
      </w:r>
    </w:p>
    <w:p w:rsidR="00C76E6D" w:rsidRDefault="00C76E6D">
      <w:pPr>
        <w:pStyle w:val="BodyText"/>
        <w:spacing w:before="10"/>
        <w:rPr>
          <w:b/>
          <w:sz w:val="29"/>
        </w:rPr>
      </w:pPr>
    </w:p>
    <w:p w:rsidR="00C76E6D" w:rsidRDefault="00913831">
      <w:pPr>
        <w:pStyle w:val="ListParagraph"/>
        <w:numPr>
          <w:ilvl w:val="1"/>
          <w:numId w:val="6"/>
        </w:numPr>
        <w:tabs>
          <w:tab w:val="left" w:pos="852"/>
        </w:tabs>
        <w:spacing w:line="276" w:lineRule="auto"/>
        <w:ind w:right="401" w:firstLine="0"/>
      </w:pPr>
      <w:r>
        <w:t>Convene</w:t>
      </w:r>
      <w:r>
        <w:rPr>
          <w:spacing w:val="-4"/>
        </w:rPr>
        <w:t xml:space="preserve"> </w:t>
      </w:r>
      <w:r>
        <w:t>an</w:t>
      </w:r>
      <w:r>
        <w:rPr>
          <w:spacing w:val="-4"/>
        </w:rPr>
        <w:t xml:space="preserve"> </w:t>
      </w:r>
      <w:r>
        <w:t>interagency</w:t>
      </w:r>
      <w:r>
        <w:rPr>
          <w:spacing w:val="-3"/>
        </w:rPr>
        <w:t xml:space="preserve"> </w:t>
      </w:r>
      <w:r>
        <w:t>committee</w:t>
      </w:r>
      <w:r>
        <w:rPr>
          <w:spacing w:val="-3"/>
        </w:rPr>
        <w:t xml:space="preserve"> </w:t>
      </w:r>
      <w:r>
        <w:t>to</w:t>
      </w:r>
      <w:r>
        <w:rPr>
          <w:spacing w:val="-2"/>
        </w:rPr>
        <w:t xml:space="preserve"> </w:t>
      </w:r>
      <w:r>
        <w:t>discuss</w:t>
      </w:r>
      <w:r>
        <w:rPr>
          <w:spacing w:val="-4"/>
        </w:rPr>
        <w:t xml:space="preserve"> </w:t>
      </w:r>
      <w:r>
        <w:t>the</w:t>
      </w:r>
      <w:r>
        <w:rPr>
          <w:spacing w:val="-4"/>
        </w:rPr>
        <w:t xml:space="preserve"> </w:t>
      </w:r>
      <w:r>
        <w:t>needs</w:t>
      </w:r>
      <w:r>
        <w:rPr>
          <w:spacing w:val="-4"/>
        </w:rPr>
        <w:t xml:space="preserve"> </w:t>
      </w:r>
      <w:r>
        <w:t>of</w:t>
      </w:r>
      <w:r>
        <w:rPr>
          <w:spacing w:val="-4"/>
        </w:rPr>
        <w:t xml:space="preserve"> </w:t>
      </w:r>
      <w:r>
        <w:t>LGBTQ</w:t>
      </w:r>
      <w:r>
        <w:rPr>
          <w:spacing w:val="-4"/>
        </w:rPr>
        <w:t xml:space="preserve"> </w:t>
      </w:r>
      <w:r>
        <w:t>young</w:t>
      </w:r>
      <w:r>
        <w:rPr>
          <w:spacing w:val="-3"/>
        </w:rPr>
        <w:t xml:space="preserve"> </w:t>
      </w:r>
      <w:r>
        <w:t>people</w:t>
      </w:r>
      <w:r>
        <w:rPr>
          <w:spacing w:val="-4"/>
        </w:rPr>
        <w:t xml:space="preserve"> </w:t>
      </w:r>
      <w:r>
        <w:t>involved</w:t>
      </w:r>
      <w:r>
        <w:rPr>
          <w:spacing w:val="-2"/>
        </w:rPr>
        <w:t xml:space="preserve"> </w:t>
      </w:r>
      <w:r>
        <w:t>with</w:t>
      </w:r>
      <w:r>
        <w:rPr>
          <w:spacing w:val="-3"/>
        </w:rPr>
        <w:t xml:space="preserve"> </w:t>
      </w:r>
      <w:r>
        <w:t>EOPSS agencies and explore options for data collection, training, and policies.</w:t>
      </w:r>
    </w:p>
    <w:p w:rsidR="00C76E6D" w:rsidRDefault="00C76E6D">
      <w:pPr>
        <w:pStyle w:val="BodyText"/>
        <w:spacing w:before="4"/>
        <w:rPr>
          <w:sz w:val="25"/>
        </w:rPr>
      </w:pPr>
    </w:p>
    <w:p w:rsidR="00C76E6D" w:rsidRDefault="00913831">
      <w:pPr>
        <w:pStyle w:val="Heading5"/>
      </w:pPr>
      <w:r>
        <w:t>Background</w:t>
      </w:r>
      <w:r>
        <w:rPr>
          <w:spacing w:val="-15"/>
        </w:rPr>
        <w:t xml:space="preserve"> </w:t>
      </w:r>
      <w:r>
        <w:t>&amp;</w:t>
      </w:r>
      <w:r>
        <w:rPr>
          <w:spacing w:val="-6"/>
        </w:rPr>
        <w:t xml:space="preserve"> </w:t>
      </w:r>
      <w:r>
        <w:rPr>
          <w:spacing w:val="-2"/>
        </w:rPr>
        <w:t>Research</w:t>
      </w:r>
    </w:p>
    <w:p w:rsidR="00C76E6D" w:rsidRDefault="00913831">
      <w:pPr>
        <w:pStyle w:val="BodyText"/>
        <w:spacing w:before="4"/>
        <w:rPr>
          <w:b/>
          <w:sz w:val="11"/>
        </w:rPr>
      </w:pPr>
      <w:r>
        <w:pict>
          <v:shape id="docshape447" o:spid="_x0000_s1054" style="position:absolute;margin-left:65pt;margin-top:8.1pt;width:476.95pt;height:.1pt;z-index:-15632384;mso-wrap-distance-left:0;mso-wrap-distance-right:0;mso-position-horizontal-relative:page" coordorigin="1300,162" coordsize="9539,0" path="m1300,162r9539,e" filled="f" strokeweight="1.54pt">
            <v:path arrowok="t"/>
            <w10:wrap type="topAndBottom" anchorx="page"/>
          </v:shape>
        </w:pict>
      </w:r>
    </w:p>
    <w:p w:rsidR="00C76E6D" w:rsidRDefault="00C76E6D">
      <w:pPr>
        <w:pStyle w:val="BodyText"/>
        <w:spacing w:before="6"/>
        <w:rPr>
          <w:b/>
          <w:sz w:val="30"/>
        </w:rPr>
      </w:pPr>
    </w:p>
    <w:p w:rsidR="00C76E6D" w:rsidRDefault="00913831">
      <w:pPr>
        <w:pStyle w:val="BodyText"/>
        <w:spacing w:line="276" w:lineRule="auto"/>
        <w:ind w:left="339" w:right="333" w:hanging="1"/>
        <w:jc w:val="both"/>
      </w:pPr>
      <w:r>
        <w:t>The Executive</w:t>
      </w:r>
      <w:r>
        <w:rPr>
          <w:spacing w:val="-2"/>
        </w:rPr>
        <w:t xml:space="preserve"> </w:t>
      </w:r>
      <w:r>
        <w:t>Office</w:t>
      </w:r>
      <w:r>
        <w:rPr>
          <w:spacing w:val="-1"/>
        </w:rPr>
        <w:t xml:space="preserve"> </w:t>
      </w:r>
      <w:r>
        <w:t>of</w:t>
      </w:r>
      <w:r>
        <w:rPr>
          <w:spacing w:val="-2"/>
        </w:rPr>
        <w:t xml:space="preserve"> </w:t>
      </w:r>
      <w:r>
        <w:t>Public</w:t>
      </w:r>
      <w:r>
        <w:rPr>
          <w:spacing w:val="-1"/>
        </w:rPr>
        <w:t xml:space="preserve"> </w:t>
      </w:r>
      <w:r>
        <w:t>Safety and</w:t>
      </w:r>
      <w:r>
        <w:rPr>
          <w:spacing w:val="-2"/>
        </w:rPr>
        <w:t xml:space="preserve"> </w:t>
      </w:r>
      <w:r>
        <w:t>Security (EOPSS)</w:t>
      </w:r>
      <w:r>
        <w:rPr>
          <w:spacing w:val="-1"/>
        </w:rPr>
        <w:t xml:space="preserve"> </w:t>
      </w:r>
      <w:r>
        <w:t>oversees</w:t>
      </w:r>
      <w:r>
        <w:rPr>
          <w:spacing w:val="-1"/>
        </w:rPr>
        <w:t xml:space="preserve"> </w:t>
      </w:r>
      <w:r>
        <w:t>several</w:t>
      </w:r>
      <w:r>
        <w:rPr>
          <w:spacing w:val="-2"/>
        </w:rPr>
        <w:t xml:space="preserve"> </w:t>
      </w:r>
      <w:r>
        <w:t>agencies that impact</w:t>
      </w:r>
      <w:r>
        <w:rPr>
          <w:spacing w:val="-1"/>
        </w:rPr>
        <w:t xml:space="preserve"> </w:t>
      </w:r>
      <w:r>
        <w:t>the lives</w:t>
      </w:r>
      <w:r>
        <w:rPr>
          <w:spacing w:val="-1"/>
        </w:rPr>
        <w:t xml:space="preserve"> </w:t>
      </w:r>
      <w:r>
        <w:t>of LGBTQ youth and young adults, including the State Police, Department of Correction, Sex Offender Registry Board, Municipal Police Training Committee, and Parole Board. In FY 201</w:t>
      </w:r>
      <w:r>
        <w:t>8, the Commission recommended that EOPSS appoint a liaison to begin working with us on addressing the needs of LGBTQ youth involved in their</w:t>
      </w:r>
      <w:r>
        <w:rPr>
          <w:spacing w:val="-13"/>
        </w:rPr>
        <w:t xml:space="preserve"> </w:t>
      </w:r>
      <w:r>
        <w:t>agencies.</w:t>
      </w:r>
      <w:r>
        <w:rPr>
          <w:spacing w:val="-12"/>
        </w:rPr>
        <w:t xml:space="preserve"> </w:t>
      </w:r>
      <w:r>
        <w:t>EOPSS</w:t>
      </w:r>
      <w:r>
        <w:rPr>
          <w:spacing w:val="-13"/>
        </w:rPr>
        <w:t xml:space="preserve"> </w:t>
      </w:r>
      <w:r>
        <w:t>fulfilled</w:t>
      </w:r>
      <w:r>
        <w:rPr>
          <w:spacing w:val="-12"/>
        </w:rPr>
        <w:t xml:space="preserve"> </w:t>
      </w:r>
      <w:r>
        <w:t>this</w:t>
      </w:r>
      <w:r>
        <w:rPr>
          <w:spacing w:val="-12"/>
        </w:rPr>
        <w:t xml:space="preserve"> </w:t>
      </w:r>
      <w:r>
        <w:t>recommendation</w:t>
      </w:r>
      <w:r>
        <w:rPr>
          <w:spacing w:val="-12"/>
        </w:rPr>
        <w:t xml:space="preserve"> </w:t>
      </w:r>
      <w:r>
        <w:t>and</w:t>
      </w:r>
      <w:r>
        <w:rPr>
          <w:spacing w:val="-12"/>
        </w:rPr>
        <w:t xml:space="preserve"> </w:t>
      </w:r>
      <w:r>
        <w:t>held</w:t>
      </w:r>
      <w:r>
        <w:rPr>
          <w:spacing w:val="-13"/>
        </w:rPr>
        <w:t xml:space="preserve"> </w:t>
      </w:r>
      <w:r>
        <w:t>two</w:t>
      </w:r>
      <w:r>
        <w:rPr>
          <w:spacing w:val="-10"/>
        </w:rPr>
        <w:t xml:space="preserve"> </w:t>
      </w:r>
      <w:r>
        <w:t>meetings</w:t>
      </w:r>
      <w:r>
        <w:rPr>
          <w:spacing w:val="-13"/>
        </w:rPr>
        <w:t xml:space="preserve"> </w:t>
      </w:r>
      <w:r>
        <w:t>with</w:t>
      </w:r>
      <w:r>
        <w:rPr>
          <w:spacing w:val="-12"/>
        </w:rPr>
        <w:t xml:space="preserve"> </w:t>
      </w:r>
      <w:r>
        <w:t>Commission</w:t>
      </w:r>
      <w:r>
        <w:rPr>
          <w:spacing w:val="-13"/>
        </w:rPr>
        <w:t xml:space="preserve"> </w:t>
      </w:r>
      <w:r>
        <w:t>representatives during the past</w:t>
      </w:r>
      <w:r>
        <w:t xml:space="preserve"> fiscal year to begin discussions.</w:t>
      </w:r>
    </w:p>
    <w:p w:rsidR="00C76E6D" w:rsidRDefault="00C76E6D">
      <w:pPr>
        <w:pStyle w:val="BodyText"/>
        <w:spacing w:before="9"/>
        <w:rPr>
          <w:sz w:val="19"/>
        </w:rPr>
      </w:pPr>
    </w:p>
    <w:p w:rsidR="00C76E6D" w:rsidRDefault="00913831">
      <w:pPr>
        <w:pStyle w:val="BodyText"/>
        <w:spacing w:line="276" w:lineRule="auto"/>
        <w:ind w:left="338" w:right="333" w:hanging="1"/>
        <w:jc w:val="both"/>
      </w:pPr>
      <w:r>
        <w:t>The</w:t>
      </w:r>
      <w:r>
        <w:rPr>
          <w:spacing w:val="-3"/>
        </w:rPr>
        <w:t xml:space="preserve"> </w:t>
      </w:r>
      <w:r>
        <w:t>Commission</w:t>
      </w:r>
      <w:r>
        <w:rPr>
          <w:spacing w:val="-5"/>
        </w:rPr>
        <w:t xml:space="preserve"> </w:t>
      </w:r>
      <w:r>
        <w:t>has</w:t>
      </w:r>
      <w:r>
        <w:rPr>
          <w:spacing w:val="-3"/>
        </w:rPr>
        <w:t xml:space="preserve"> </w:t>
      </w:r>
      <w:r>
        <w:t>been</w:t>
      </w:r>
      <w:r>
        <w:rPr>
          <w:spacing w:val="-2"/>
        </w:rPr>
        <w:t xml:space="preserve"> </w:t>
      </w:r>
      <w:r>
        <w:t>pleased</w:t>
      </w:r>
      <w:r>
        <w:rPr>
          <w:spacing w:val="-3"/>
        </w:rPr>
        <w:t xml:space="preserve"> </w:t>
      </w:r>
      <w:r>
        <w:t>by</w:t>
      </w:r>
      <w:r>
        <w:rPr>
          <w:spacing w:val="-3"/>
        </w:rPr>
        <w:t xml:space="preserve"> </w:t>
      </w:r>
      <w:r>
        <w:t>the</w:t>
      </w:r>
      <w:r>
        <w:rPr>
          <w:spacing w:val="-4"/>
        </w:rPr>
        <w:t xml:space="preserve"> </w:t>
      </w:r>
      <w:r>
        <w:t>nationally</w:t>
      </w:r>
      <w:r>
        <w:rPr>
          <w:spacing w:val="-3"/>
        </w:rPr>
        <w:t xml:space="preserve"> </w:t>
      </w:r>
      <w:r>
        <w:t>recognized</w:t>
      </w:r>
      <w:r>
        <w:rPr>
          <w:spacing w:val="-3"/>
        </w:rPr>
        <w:t xml:space="preserve"> </w:t>
      </w:r>
      <w:r>
        <w:t>work</w:t>
      </w:r>
      <w:r>
        <w:rPr>
          <w:spacing w:val="-4"/>
        </w:rPr>
        <w:t xml:space="preserve"> </w:t>
      </w:r>
      <w:r>
        <w:t>that</w:t>
      </w:r>
      <w:r>
        <w:rPr>
          <w:spacing w:val="-3"/>
        </w:rPr>
        <w:t xml:space="preserve"> </w:t>
      </w:r>
      <w:r>
        <w:t>has</w:t>
      </w:r>
      <w:r>
        <w:rPr>
          <w:spacing w:val="-3"/>
        </w:rPr>
        <w:t xml:space="preserve"> </w:t>
      </w:r>
      <w:r>
        <w:t>been</w:t>
      </w:r>
      <w:r>
        <w:rPr>
          <w:spacing w:val="-4"/>
        </w:rPr>
        <w:t xml:space="preserve"> </w:t>
      </w:r>
      <w:r>
        <w:t>accomplished</w:t>
      </w:r>
      <w:r>
        <w:rPr>
          <w:spacing w:val="-3"/>
        </w:rPr>
        <w:t xml:space="preserve"> </w:t>
      </w:r>
      <w:r>
        <w:t>within</w:t>
      </w:r>
      <w:r>
        <w:rPr>
          <w:spacing w:val="-3"/>
        </w:rPr>
        <w:t xml:space="preserve"> </w:t>
      </w:r>
      <w:r>
        <w:t>the juvenile</w:t>
      </w:r>
      <w:r>
        <w:rPr>
          <w:spacing w:val="-11"/>
        </w:rPr>
        <w:t xml:space="preserve"> </w:t>
      </w:r>
      <w:r>
        <w:t>justice</w:t>
      </w:r>
      <w:r>
        <w:rPr>
          <w:spacing w:val="-11"/>
        </w:rPr>
        <w:t xml:space="preserve"> </w:t>
      </w:r>
      <w:r>
        <w:t>system</w:t>
      </w:r>
      <w:r>
        <w:rPr>
          <w:spacing w:val="-11"/>
        </w:rPr>
        <w:t xml:space="preserve"> </w:t>
      </w:r>
      <w:r>
        <w:t>in</w:t>
      </w:r>
      <w:r>
        <w:rPr>
          <w:spacing w:val="-9"/>
        </w:rPr>
        <w:t xml:space="preserve"> </w:t>
      </w:r>
      <w:r>
        <w:t>Massachusetts</w:t>
      </w:r>
      <w:r>
        <w:rPr>
          <w:spacing w:val="-9"/>
        </w:rPr>
        <w:t xml:space="preserve"> </w:t>
      </w:r>
      <w:r>
        <w:t>and</w:t>
      </w:r>
      <w:r>
        <w:rPr>
          <w:spacing w:val="-11"/>
        </w:rPr>
        <w:t xml:space="preserve"> </w:t>
      </w:r>
      <w:r>
        <w:t>hopes</w:t>
      </w:r>
      <w:r>
        <w:rPr>
          <w:spacing w:val="-10"/>
        </w:rPr>
        <w:t xml:space="preserve"> </w:t>
      </w:r>
      <w:r>
        <w:t>that</w:t>
      </w:r>
      <w:r>
        <w:rPr>
          <w:spacing w:val="-12"/>
        </w:rPr>
        <w:t xml:space="preserve"> </w:t>
      </w:r>
      <w:r>
        <w:t>the</w:t>
      </w:r>
      <w:r>
        <w:rPr>
          <w:spacing w:val="-10"/>
        </w:rPr>
        <w:t xml:space="preserve"> </w:t>
      </w:r>
      <w:r>
        <w:t>momentum</w:t>
      </w:r>
      <w:r>
        <w:rPr>
          <w:spacing w:val="-11"/>
        </w:rPr>
        <w:t xml:space="preserve"> </w:t>
      </w:r>
      <w:r>
        <w:t>from</w:t>
      </w:r>
      <w:r>
        <w:rPr>
          <w:spacing w:val="-10"/>
        </w:rPr>
        <w:t xml:space="preserve"> </w:t>
      </w:r>
      <w:r>
        <w:t>these</w:t>
      </w:r>
      <w:r>
        <w:rPr>
          <w:spacing w:val="-11"/>
        </w:rPr>
        <w:t xml:space="preserve"> </w:t>
      </w:r>
      <w:r>
        <w:t>efforts</w:t>
      </w:r>
      <w:r>
        <w:rPr>
          <w:spacing w:val="-11"/>
        </w:rPr>
        <w:t xml:space="preserve"> </w:t>
      </w:r>
      <w:r>
        <w:t>will</w:t>
      </w:r>
      <w:r>
        <w:rPr>
          <w:spacing w:val="-11"/>
        </w:rPr>
        <w:t xml:space="preserve"> </w:t>
      </w:r>
      <w:r>
        <w:t>carry</w:t>
      </w:r>
      <w:r>
        <w:rPr>
          <w:spacing w:val="-11"/>
        </w:rPr>
        <w:t xml:space="preserve"> </w:t>
      </w:r>
      <w:r>
        <w:t>forward throughout</w:t>
      </w:r>
      <w:r>
        <w:rPr>
          <w:spacing w:val="-10"/>
        </w:rPr>
        <w:t xml:space="preserve"> </w:t>
      </w:r>
      <w:r>
        <w:t>the</w:t>
      </w:r>
      <w:r>
        <w:rPr>
          <w:spacing w:val="-9"/>
        </w:rPr>
        <w:t xml:space="preserve"> </w:t>
      </w:r>
      <w:r>
        <w:t>agencies</w:t>
      </w:r>
      <w:r>
        <w:rPr>
          <w:spacing w:val="-8"/>
        </w:rPr>
        <w:t xml:space="preserve"> </w:t>
      </w:r>
      <w:r>
        <w:t>under</w:t>
      </w:r>
      <w:r>
        <w:rPr>
          <w:spacing w:val="-8"/>
        </w:rPr>
        <w:t xml:space="preserve"> </w:t>
      </w:r>
      <w:r>
        <w:t>EOPSS.</w:t>
      </w:r>
      <w:r>
        <w:rPr>
          <w:spacing w:val="-8"/>
        </w:rPr>
        <w:t xml:space="preserve"> </w:t>
      </w:r>
      <w:r>
        <w:t>There</w:t>
      </w:r>
      <w:r>
        <w:rPr>
          <w:spacing w:val="-9"/>
        </w:rPr>
        <w:t xml:space="preserve"> </w:t>
      </w:r>
      <w:r>
        <w:t>are</w:t>
      </w:r>
      <w:r>
        <w:rPr>
          <w:spacing w:val="-8"/>
        </w:rPr>
        <w:t xml:space="preserve"> </w:t>
      </w:r>
      <w:r>
        <w:t>several</w:t>
      </w:r>
      <w:r>
        <w:rPr>
          <w:spacing w:val="-9"/>
        </w:rPr>
        <w:t xml:space="preserve"> </w:t>
      </w:r>
      <w:r>
        <w:t>positive</w:t>
      </w:r>
      <w:r>
        <w:rPr>
          <w:spacing w:val="-9"/>
        </w:rPr>
        <w:t xml:space="preserve"> </w:t>
      </w:r>
      <w:r>
        <w:t>training</w:t>
      </w:r>
      <w:r>
        <w:rPr>
          <w:spacing w:val="-9"/>
        </w:rPr>
        <w:t xml:space="preserve"> </w:t>
      </w:r>
      <w:r>
        <w:t>initiatives</w:t>
      </w:r>
      <w:r>
        <w:rPr>
          <w:spacing w:val="-8"/>
        </w:rPr>
        <w:t xml:space="preserve"> </w:t>
      </w:r>
      <w:r>
        <w:t>that</w:t>
      </w:r>
      <w:r>
        <w:rPr>
          <w:spacing w:val="-9"/>
        </w:rPr>
        <w:t xml:space="preserve"> </w:t>
      </w:r>
      <w:r>
        <w:t>provide</w:t>
      </w:r>
      <w:r>
        <w:rPr>
          <w:spacing w:val="-9"/>
        </w:rPr>
        <w:t xml:space="preserve"> </w:t>
      </w:r>
      <w:r>
        <w:t>a</w:t>
      </w:r>
      <w:r>
        <w:rPr>
          <w:spacing w:val="-9"/>
        </w:rPr>
        <w:t xml:space="preserve"> </w:t>
      </w:r>
      <w:r>
        <w:t>precedent for working on LGBTQ issues within public safety sectors, including LGBTQ cultural humility trainings undertaken by the Cambridge Police D</w:t>
      </w:r>
      <w:r>
        <w:t>epartment.</w:t>
      </w:r>
    </w:p>
    <w:p w:rsidR="00C76E6D" w:rsidRDefault="00C76E6D">
      <w:pPr>
        <w:pStyle w:val="BodyText"/>
        <w:spacing w:before="7"/>
        <w:rPr>
          <w:sz w:val="19"/>
        </w:rPr>
      </w:pPr>
    </w:p>
    <w:p w:rsidR="00C76E6D" w:rsidRDefault="00913831">
      <w:pPr>
        <w:pStyle w:val="BodyText"/>
        <w:spacing w:before="1" w:line="276" w:lineRule="auto"/>
        <w:ind w:left="338" w:right="336"/>
        <w:jc w:val="both"/>
      </w:pPr>
      <w:r>
        <w:t>Homelessness,</w:t>
      </w:r>
      <w:r>
        <w:rPr>
          <w:spacing w:val="-13"/>
        </w:rPr>
        <w:t xml:space="preserve"> </w:t>
      </w:r>
      <w:r>
        <w:t>financial</w:t>
      </w:r>
      <w:r>
        <w:rPr>
          <w:spacing w:val="-12"/>
        </w:rPr>
        <w:t xml:space="preserve"> </w:t>
      </w:r>
      <w:r>
        <w:t>insecurity,</w:t>
      </w:r>
      <w:r>
        <w:rPr>
          <w:spacing w:val="-13"/>
        </w:rPr>
        <w:t xml:space="preserve"> </w:t>
      </w:r>
      <w:r>
        <w:t>family</w:t>
      </w:r>
      <w:r>
        <w:rPr>
          <w:spacing w:val="-12"/>
        </w:rPr>
        <w:t xml:space="preserve"> </w:t>
      </w:r>
      <w:r>
        <w:t>rejection,</w:t>
      </w:r>
      <w:r>
        <w:rPr>
          <w:spacing w:val="-13"/>
        </w:rPr>
        <w:t xml:space="preserve"> </w:t>
      </w:r>
      <w:r>
        <w:t>and</w:t>
      </w:r>
      <w:r>
        <w:rPr>
          <w:spacing w:val="-12"/>
        </w:rPr>
        <w:t xml:space="preserve"> </w:t>
      </w:r>
      <w:r>
        <w:t>poor</w:t>
      </w:r>
      <w:r>
        <w:rPr>
          <w:spacing w:val="-13"/>
        </w:rPr>
        <w:t xml:space="preserve"> </w:t>
      </w:r>
      <w:r>
        <w:t>school</w:t>
      </w:r>
      <w:r>
        <w:rPr>
          <w:spacing w:val="-12"/>
        </w:rPr>
        <w:t xml:space="preserve"> </w:t>
      </w:r>
      <w:r>
        <w:t>climates</w:t>
      </w:r>
      <w:r>
        <w:rPr>
          <w:spacing w:val="-12"/>
        </w:rPr>
        <w:t xml:space="preserve"> </w:t>
      </w:r>
      <w:r>
        <w:t>mean</w:t>
      </w:r>
      <w:r>
        <w:rPr>
          <w:spacing w:val="-13"/>
        </w:rPr>
        <w:t xml:space="preserve"> </w:t>
      </w:r>
      <w:r>
        <w:t>that</w:t>
      </w:r>
      <w:r>
        <w:rPr>
          <w:spacing w:val="-12"/>
        </w:rPr>
        <w:t xml:space="preserve"> </w:t>
      </w:r>
      <w:r>
        <w:t>LGBTQ</w:t>
      </w:r>
      <w:r>
        <w:rPr>
          <w:spacing w:val="-13"/>
        </w:rPr>
        <w:t xml:space="preserve"> </w:t>
      </w:r>
      <w:r>
        <w:t>young</w:t>
      </w:r>
      <w:r>
        <w:rPr>
          <w:spacing w:val="-12"/>
        </w:rPr>
        <w:t xml:space="preserve"> </w:t>
      </w:r>
      <w:r>
        <w:t>people are</w:t>
      </w:r>
      <w:r>
        <w:rPr>
          <w:spacing w:val="-2"/>
        </w:rPr>
        <w:t xml:space="preserve"> </w:t>
      </w:r>
      <w:r>
        <w:t>disproportionately</w:t>
      </w:r>
      <w:r>
        <w:rPr>
          <w:spacing w:val="-2"/>
        </w:rPr>
        <w:t xml:space="preserve"> </w:t>
      </w:r>
      <w:r>
        <w:t>likely</w:t>
      </w:r>
      <w:r>
        <w:rPr>
          <w:spacing w:val="-2"/>
        </w:rPr>
        <w:t xml:space="preserve"> </w:t>
      </w:r>
      <w:r>
        <w:t>to</w:t>
      </w:r>
      <w:r>
        <w:rPr>
          <w:spacing w:val="-1"/>
        </w:rPr>
        <w:t xml:space="preserve"> </w:t>
      </w:r>
      <w:r>
        <w:t>come</w:t>
      </w:r>
      <w:r>
        <w:rPr>
          <w:spacing w:val="-2"/>
        </w:rPr>
        <w:t xml:space="preserve"> </w:t>
      </w:r>
      <w:r>
        <w:t>into</w:t>
      </w:r>
      <w:r>
        <w:rPr>
          <w:spacing w:val="-2"/>
        </w:rPr>
        <w:t xml:space="preserve"> </w:t>
      </w:r>
      <w:r>
        <w:t>contact</w:t>
      </w:r>
      <w:r>
        <w:rPr>
          <w:spacing w:val="-2"/>
        </w:rPr>
        <w:t xml:space="preserve"> </w:t>
      </w:r>
      <w:r>
        <w:t>with</w:t>
      </w:r>
      <w:r>
        <w:rPr>
          <w:spacing w:val="-2"/>
        </w:rPr>
        <w:t xml:space="preserve"> </w:t>
      </w:r>
      <w:r>
        <w:t>the</w:t>
      </w:r>
      <w:r>
        <w:rPr>
          <w:spacing w:val="-2"/>
        </w:rPr>
        <w:t xml:space="preserve"> </w:t>
      </w:r>
      <w:r>
        <w:t>public</w:t>
      </w:r>
      <w:r>
        <w:rPr>
          <w:spacing w:val="-2"/>
        </w:rPr>
        <w:t xml:space="preserve"> </w:t>
      </w:r>
      <w:r>
        <w:t>safety</w:t>
      </w:r>
      <w:r>
        <w:rPr>
          <w:spacing w:val="-2"/>
        </w:rPr>
        <w:t xml:space="preserve"> </w:t>
      </w:r>
      <w:r>
        <w:t>and criminal</w:t>
      </w:r>
      <w:r>
        <w:rPr>
          <w:spacing w:val="-2"/>
        </w:rPr>
        <w:t xml:space="preserve"> </w:t>
      </w:r>
      <w:r>
        <w:t>justice</w:t>
      </w:r>
      <w:r>
        <w:rPr>
          <w:spacing w:val="-1"/>
        </w:rPr>
        <w:t xml:space="preserve"> </w:t>
      </w:r>
      <w:r>
        <w:t>systems.</w:t>
      </w:r>
      <w:r>
        <w:rPr>
          <w:spacing w:val="-2"/>
        </w:rPr>
        <w:t xml:space="preserve"> </w:t>
      </w:r>
      <w:r>
        <w:t>Often, these interactions start while youth are still minors and continue into their early adulthood. For instance, a national study shows that lesbian, bisexual, and questioning girls in detention are approximately twice as likely</w:t>
      </w:r>
      <w:r>
        <w:rPr>
          <w:spacing w:val="-4"/>
        </w:rPr>
        <w:t xml:space="preserve"> </w:t>
      </w:r>
      <w:r>
        <w:t>as</w:t>
      </w:r>
      <w:r>
        <w:rPr>
          <w:spacing w:val="-5"/>
        </w:rPr>
        <w:t xml:space="preserve"> </w:t>
      </w:r>
      <w:r>
        <w:t>their</w:t>
      </w:r>
      <w:r>
        <w:rPr>
          <w:spacing w:val="-3"/>
        </w:rPr>
        <w:t xml:space="preserve"> </w:t>
      </w:r>
      <w:r>
        <w:t>heterosexual</w:t>
      </w:r>
      <w:r>
        <w:rPr>
          <w:spacing w:val="-2"/>
        </w:rPr>
        <w:t xml:space="preserve"> </w:t>
      </w:r>
      <w:r>
        <w:t>pe</w:t>
      </w:r>
      <w:r>
        <w:t>ers</w:t>
      </w:r>
      <w:r>
        <w:rPr>
          <w:spacing w:val="-4"/>
        </w:rPr>
        <w:t xml:space="preserve"> </w:t>
      </w:r>
      <w:r>
        <w:t>to</w:t>
      </w:r>
      <w:r>
        <w:rPr>
          <w:spacing w:val="-5"/>
        </w:rPr>
        <w:t xml:space="preserve"> </w:t>
      </w:r>
      <w:r>
        <w:t>have</w:t>
      </w:r>
      <w:r>
        <w:rPr>
          <w:spacing w:val="-3"/>
        </w:rPr>
        <w:t xml:space="preserve"> </w:t>
      </w:r>
      <w:r>
        <w:t>been</w:t>
      </w:r>
      <w:r>
        <w:rPr>
          <w:spacing w:val="-4"/>
        </w:rPr>
        <w:t xml:space="preserve"> </w:t>
      </w:r>
      <w:r>
        <w:t>detained</w:t>
      </w:r>
      <w:r>
        <w:rPr>
          <w:spacing w:val="-5"/>
        </w:rPr>
        <w:t xml:space="preserve"> </w:t>
      </w:r>
      <w:r>
        <w:t>for</w:t>
      </w:r>
      <w:r>
        <w:rPr>
          <w:spacing w:val="-4"/>
        </w:rPr>
        <w:t xml:space="preserve"> </w:t>
      </w:r>
      <w:r>
        <w:t>engaging</w:t>
      </w:r>
      <w:r>
        <w:rPr>
          <w:spacing w:val="-6"/>
        </w:rPr>
        <w:t xml:space="preserve"> </w:t>
      </w:r>
      <w:r>
        <w:t>in</w:t>
      </w:r>
      <w:r>
        <w:rPr>
          <w:spacing w:val="-3"/>
        </w:rPr>
        <w:t xml:space="preserve"> </w:t>
      </w:r>
      <w:r>
        <w:t>the</w:t>
      </w:r>
      <w:r>
        <w:rPr>
          <w:spacing w:val="-4"/>
        </w:rPr>
        <w:t xml:space="preserve"> </w:t>
      </w:r>
      <w:r>
        <w:t>sex</w:t>
      </w:r>
      <w:r>
        <w:rPr>
          <w:spacing w:val="-4"/>
        </w:rPr>
        <w:t xml:space="preserve"> </w:t>
      </w:r>
      <w:r>
        <w:t>trade,</w:t>
      </w:r>
      <w:r>
        <w:rPr>
          <w:spacing w:val="-5"/>
        </w:rPr>
        <w:t xml:space="preserve"> </w:t>
      </w:r>
      <w:r>
        <w:t>and</w:t>
      </w:r>
      <w:r>
        <w:rPr>
          <w:spacing w:val="-4"/>
        </w:rPr>
        <w:t xml:space="preserve"> </w:t>
      </w:r>
      <w:r>
        <w:t>gay,</w:t>
      </w:r>
      <w:r>
        <w:rPr>
          <w:spacing w:val="-3"/>
        </w:rPr>
        <w:t xml:space="preserve"> </w:t>
      </w:r>
      <w:r>
        <w:t>bisexual,</w:t>
      </w:r>
      <w:r>
        <w:rPr>
          <w:spacing w:val="-5"/>
        </w:rPr>
        <w:t xml:space="preserve"> </w:t>
      </w:r>
      <w:r>
        <w:t>and questioning boys are approximately ten times as likely.</w:t>
      </w:r>
      <w:hyperlink w:anchor="_bookmark622" w:history="1">
        <w:r>
          <w:rPr>
            <w:vertAlign w:val="superscript"/>
          </w:rPr>
          <w:t>1</w:t>
        </w:r>
        <w:r>
          <w:t xml:space="preserve"> </w:t>
        </w:r>
      </w:hyperlink>
      <w:r>
        <w:t xml:space="preserve">LGBTQ youth are also more likely than their non- LGBTQ peers to be detained for status offenses such as truancy, running away from home, and probation </w:t>
      </w:r>
      <w:r>
        <w:rPr>
          <w:spacing w:val="-2"/>
        </w:rPr>
        <w:t>violations</w:t>
      </w:r>
      <w:hyperlink w:anchor="_bookmark623" w:history="1">
        <w:r>
          <w:rPr>
            <w:spacing w:val="-2"/>
          </w:rPr>
          <w:t>.</w:t>
        </w:r>
        <w:r>
          <w:rPr>
            <w:spacing w:val="-2"/>
            <w:vertAlign w:val="superscript"/>
          </w:rPr>
          <w:t>2</w:t>
        </w:r>
      </w:hyperlink>
    </w:p>
    <w:p w:rsidR="00C76E6D" w:rsidRDefault="00C76E6D">
      <w:pPr>
        <w:pStyle w:val="BodyText"/>
        <w:spacing w:before="8"/>
        <w:rPr>
          <w:sz w:val="19"/>
        </w:rPr>
      </w:pPr>
    </w:p>
    <w:p w:rsidR="00C76E6D" w:rsidRDefault="00913831">
      <w:pPr>
        <w:pStyle w:val="BodyText"/>
        <w:spacing w:line="276" w:lineRule="auto"/>
        <w:ind w:left="338" w:right="334"/>
        <w:jc w:val="both"/>
      </w:pPr>
      <w:r>
        <w:t xml:space="preserve">Indeed, national research found that nearly three-quarters </w:t>
      </w:r>
      <w:r>
        <w:t>of all LGBTQ people and people living with HIV had contact with police in the previous five years. Additionally, a quarter of respondents who recently had contact with police reported experiencing misconduct or harassment, such as profiling, false arrests,</w:t>
      </w:r>
      <w:r>
        <w:t xml:space="preserve"> verbal or physical assault, or sexual harassment or assault, with higher rates among LGBTQ respondents of color and low-income respondents. </w:t>
      </w:r>
      <w:hyperlink w:anchor="_bookmark624" w:history="1">
        <w:r>
          <w:rPr>
            <w:vertAlign w:val="superscript"/>
          </w:rPr>
          <w:t>3</w:t>
        </w:r>
      </w:hyperlink>
    </w:p>
    <w:p w:rsidR="00C76E6D" w:rsidRDefault="00C76E6D">
      <w:pPr>
        <w:spacing w:line="276" w:lineRule="auto"/>
        <w:jc w:val="both"/>
        <w:sectPr w:rsidR="00C76E6D">
          <w:headerReference w:type="default" r:id="rId450"/>
          <w:footerReference w:type="default" r:id="rId451"/>
          <w:pgSz w:w="12240" w:h="15840"/>
          <w:pgMar w:top="1000" w:right="960" w:bottom="640" w:left="960" w:header="811" w:footer="440" w:gutter="0"/>
          <w:cols w:space="720"/>
        </w:sectPr>
      </w:pPr>
    </w:p>
    <w:p w:rsidR="00C76E6D" w:rsidRDefault="00C76E6D">
      <w:pPr>
        <w:pStyle w:val="BodyText"/>
        <w:spacing w:before="6"/>
        <w:rPr>
          <w:sz w:val="27"/>
        </w:rPr>
      </w:pPr>
    </w:p>
    <w:p w:rsidR="00C76E6D" w:rsidRDefault="00913831">
      <w:pPr>
        <w:pStyle w:val="BodyText"/>
        <w:spacing w:before="55" w:line="276" w:lineRule="auto"/>
        <w:ind w:left="338" w:right="334"/>
        <w:jc w:val="both"/>
      </w:pPr>
      <w:r>
        <w:t>Within detention settings, LGBTQ individuals are at increased risk for violence and victimization. While the Commission has relatively little data specific to Massachusetts, data from the Bureau of Justice Statistics suggest</w:t>
      </w:r>
      <w:r>
        <w:rPr>
          <w:spacing w:val="-10"/>
        </w:rPr>
        <w:t xml:space="preserve"> </w:t>
      </w:r>
      <w:r>
        <w:t>that</w:t>
      </w:r>
      <w:r>
        <w:rPr>
          <w:spacing w:val="-9"/>
        </w:rPr>
        <w:t xml:space="preserve"> </w:t>
      </w:r>
      <w:r>
        <w:t>nationally,</w:t>
      </w:r>
      <w:r>
        <w:rPr>
          <w:spacing w:val="-10"/>
        </w:rPr>
        <w:t xml:space="preserve"> </w:t>
      </w:r>
      <w:r>
        <w:t>non-heterosexu</w:t>
      </w:r>
      <w:r>
        <w:t>al</w:t>
      </w:r>
      <w:r>
        <w:rPr>
          <w:spacing w:val="-11"/>
        </w:rPr>
        <w:t xml:space="preserve"> </w:t>
      </w:r>
      <w:r>
        <w:t>prison</w:t>
      </w:r>
      <w:r>
        <w:rPr>
          <w:spacing w:val="-11"/>
        </w:rPr>
        <w:t xml:space="preserve"> </w:t>
      </w:r>
      <w:r>
        <w:t>inmates</w:t>
      </w:r>
      <w:r>
        <w:rPr>
          <w:spacing w:val="-10"/>
        </w:rPr>
        <w:t xml:space="preserve"> </w:t>
      </w:r>
      <w:r>
        <w:t>experience</w:t>
      </w:r>
      <w:r>
        <w:rPr>
          <w:spacing w:val="-11"/>
        </w:rPr>
        <w:t xml:space="preserve"> </w:t>
      </w:r>
      <w:r>
        <w:t>sexual</w:t>
      </w:r>
      <w:r>
        <w:rPr>
          <w:spacing w:val="-11"/>
        </w:rPr>
        <w:t xml:space="preserve"> </w:t>
      </w:r>
      <w:r>
        <w:t>victimization</w:t>
      </w:r>
      <w:r>
        <w:rPr>
          <w:spacing w:val="-11"/>
        </w:rPr>
        <w:t xml:space="preserve"> </w:t>
      </w:r>
      <w:r>
        <w:t>from</w:t>
      </w:r>
      <w:r>
        <w:rPr>
          <w:spacing w:val="-12"/>
        </w:rPr>
        <w:t xml:space="preserve"> </w:t>
      </w:r>
      <w:r>
        <w:t>other</w:t>
      </w:r>
      <w:r>
        <w:rPr>
          <w:spacing w:val="-11"/>
        </w:rPr>
        <w:t xml:space="preserve"> </w:t>
      </w:r>
      <w:r>
        <w:t>inmates at</w:t>
      </w:r>
      <w:r>
        <w:rPr>
          <w:spacing w:val="-8"/>
        </w:rPr>
        <w:t xml:space="preserve"> </w:t>
      </w:r>
      <w:r>
        <w:t>about</w:t>
      </w:r>
      <w:r>
        <w:rPr>
          <w:spacing w:val="-6"/>
        </w:rPr>
        <w:t xml:space="preserve"> </w:t>
      </w:r>
      <w:r>
        <w:t>ten</w:t>
      </w:r>
      <w:r>
        <w:rPr>
          <w:spacing w:val="-5"/>
        </w:rPr>
        <w:t xml:space="preserve"> </w:t>
      </w:r>
      <w:r>
        <w:t>times</w:t>
      </w:r>
      <w:r>
        <w:rPr>
          <w:spacing w:val="-6"/>
        </w:rPr>
        <w:t xml:space="preserve"> </w:t>
      </w:r>
      <w:r>
        <w:t>the</w:t>
      </w:r>
      <w:r>
        <w:rPr>
          <w:spacing w:val="-6"/>
        </w:rPr>
        <w:t xml:space="preserve"> </w:t>
      </w:r>
      <w:r>
        <w:t>rate</w:t>
      </w:r>
      <w:r>
        <w:rPr>
          <w:spacing w:val="-5"/>
        </w:rPr>
        <w:t xml:space="preserve"> </w:t>
      </w:r>
      <w:r>
        <w:t>of</w:t>
      </w:r>
      <w:r>
        <w:rPr>
          <w:spacing w:val="-6"/>
        </w:rPr>
        <w:t xml:space="preserve"> </w:t>
      </w:r>
      <w:r>
        <w:t>their</w:t>
      </w:r>
      <w:r>
        <w:rPr>
          <w:spacing w:val="-6"/>
        </w:rPr>
        <w:t xml:space="preserve"> </w:t>
      </w:r>
      <w:r>
        <w:t>heterosexual</w:t>
      </w:r>
      <w:r>
        <w:rPr>
          <w:spacing w:val="-7"/>
        </w:rPr>
        <w:t xml:space="preserve"> </w:t>
      </w:r>
      <w:r>
        <w:t>counterparts,</w:t>
      </w:r>
      <w:r>
        <w:rPr>
          <w:spacing w:val="-6"/>
        </w:rPr>
        <w:t xml:space="preserve"> </w:t>
      </w:r>
      <w:r>
        <w:t>and</w:t>
      </w:r>
      <w:r>
        <w:rPr>
          <w:spacing w:val="-4"/>
        </w:rPr>
        <w:t xml:space="preserve"> </w:t>
      </w:r>
      <w:r>
        <w:t>that</w:t>
      </w:r>
      <w:r>
        <w:rPr>
          <w:spacing w:val="-7"/>
        </w:rPr>
        <w:t xml:space="preserve"> </w:t>
      </w:r>
      <w:r>
        <w:t>they</w:t>
      </w:r>
      <w:r>
        <w:rPr>
          <w:spacing w:val="-6"/>
        </w:rPr>
        <w:t xml:space="preserve"> </w:t>
      </w:r>
      <w:r>
        <w:t>experience</w:t>
      </w:r>
      <w:r>
        <w:rPr>
          <w:spacing w:val="-5"/>
        </w:rPr>
        <w:t xml:space="preserve"> </w:t>
      </w:r>
      <w:r>
        <w:t>sexual</w:t>
      </w:r>
      <w:r>
        <w:rPr>
          <w:spacing w:val="-8"/>
        </w:rPr>
        <w:t xml:space="preserve"> </w:t>
      </w:r>
      <w:r>
        <w:t>victimization from staff at more than twice the rate of heterosexual inmates</w:t>
      </w:r>
      <w:hyperlink w:anchor="_bookmark625" w:history="1">
        <w:r>
          <w:t>.</w:t>
        </w:r>
        <w:r>
          <w:rPr>
            <w:vertAlign w:val="superscript"/>
          </w:rPr>
          <w:t>4</w:t>
        </w:r>
      </w:hyperlink>
      <w:r>
        <w:t xml:space="preserve"> In addition to specific experiences of violence,</w:t>
      </w:r>
      <w:r>
        <w:rPr>
          <w:spacing w:val="-8"/>
        </w:rPr>
        <w:t xml:space="preserve"> </w:t>
      </w:r>
      <w:r>
        <w:t>stigma</w:t>
      </w:r>
      <w:r>
        <w:rPr>
          <w:spacing w:val="-9"/>
        </w:rPr>
        <w:t xml:space="preserve"> </w:t>
      </w:r>
      <w:r>
        <w:t>can</w:t>
      </w:r>
      <w:r>
        <w:rPr>
          <w:spacing w:val="-7"/>
        </w:rPr>
        <w:t xml:space="preserve"> </w:t>
      </w:r>
      <w:r>
        <w:t>have</w:t>
      </w:r>
      <w:r>
        <w:rPr>
          <w:spacing w:val="-7"/>
        </w:rPr>
        <w:t xml:space="preserve"> </w:t>
      </w:r>
      <w:r>
        <w:t>a</w:t>
      </w:r>
      <w:r>
        <w:rPr>
          <w:spacing w:val="-9"/>
        </w:rPr>
        <w:t xml:space="preserve"> </w:t>
      </w:r>
      <w:r>
        <w:t>significant</w:t>
      </w:r>
      <w:r>
        <w:rPr>
          <w:spacing w:val="-8"/>
        </w:rPr>
        <w:t xml:space="preserve"> </w:t>
      </w:r>
      <w:r>
        <w:t>impact</w:t>
      </w:r>
      <w:r>
        <w:rPr>
          <w:spacing w:val="-9"/>
        </w:rPr>
        <w:t xml:space="preserve"> </w:t>
      </w:r>
      <w:r>
        <w:t>on</w:t>
      </w:r>
      <w:r>
        <w:rPr>
          <w:spacing w:val="-8"/>
        </w:rPr>
        <w:t xml:space="preserve"> </w:t>
      </w:r>
      <w:r>
        <w:t>LGBTQ</w:t>
      </w:r>
      <w:r>
        <w:rPr>
          <w:spacing w:val="-9"/>
        </w:rPr>
        <w:t xml:space="preserve"> </w:t>
      </w:r>
      <w:r>
        <w:t>incarcerated</w:t>
      </w:r>
      <w:r>
        <w:rPr>
          <w:spacing w:val="-8"/>
        </w:rPr>
        <w:t xml:space="preserve"> </w:t>
      </w:r>
      <w:r>
        <w:t>people.</w:t>
      </w:r>
      <w:r>
        <w:rPr>
          <w:spacing w:val="-7"/>
        </w:rPr>
        <w:t xml:space="preserve"> </w:t>
      </w:r>
      <w:r>
        <w:t>One</w:t>
      </w:r>
      <w:r>
        <w:rPr>
          <w:spacing w:val="-9"/>
        </w:rPr>
        <w:t xml:space="preserve"> </w:t>
      </w:r>
      <w:r>
        <w:t>survey</w:t>
      </w:r>
      <w:r>
        <w:rPr>
          <w:spacing w:val="-7"/>
        </w:rPr>
        <w:t xml:space="preserve"> </w:t>
      </w:r>
      <w:r>
        <w:t>of</w:t>
      </w:r>
      <w:r>
        <w:rPr>
          <w:spacing w:val="-9"/>
        </w:rPr>
        <w:t xml:space="preserve"> </w:t>
      </w:r>
      <w:r>
        <w:t>LGBTQ</w:t>
      </w:r>
      <w:r>
        <w:rPr>
          <w:spacing w:val="-9"/>
        </w:rPr>
        <w:t xml:space="preserve"> </w:t>
      </w:r>
      <w:r>
        <w:t>prisoners found that 70 percent of respondents had experienced emotional pain from hidi</w:t>
      </w:r>
      <w:r>
        <w:t>ng their sexuality, and 78 percent of transgender respondents had experienced emotional pain from hiding their gender identity</w:t>
      </w:r>
      <w:hyperlink w:anchor="_bookmark626" w:history="1">
        <w:r>
          <w:t>.</w:t>
        </w:r>
        <w:r>
          <w:rPr>
            <w:vertAlign w:val="superscript"/>
          </w:rPr>
          <w:t>5</w:t>
        </w:r>
        <w:r>
          <w:t xml:space="preserve"> </w:t>
        </w:r>
      </w:hyperlink>
      <w:r>
        <w:t>A detailed</w:t>
      </w:r>
      <w:r>
        <w:rPr>
          <w:spacing w:val="-3"/>
        </w:rPr>
        <w:t xml:space="preserve"> </w:t>
      </w:r>
      <w:r>
        <w:t>review</w:t>
      </w:r>
      <w:r>
        <w:rPr>
          <w:spacing w:val="-4"/>
        </w:rPr>
        <w:t xml:space="preserve"> </w:t>
      </w:r>
      <w:r>
        <w:t>of</w:t>
      </w:r>
      <w:r>
        <w:rPr>
          <w:spacing w:val="-4"/>
        </w:rPr>
        <w:t xml:space="preserve"> </w:t>
      </w:r>
      <w:r>
        <w:t>the</w:t>
      </w:r>
      <w:r>
        <w:rPr>
          <w:spacing w:val="-3"/>
        </w:rPr>
        <w:t xml:space="preserve"> </w:t>
      </w:r>
      <w:r>
        <w:t>literature</w:t>
      </w:r>
      <w:r>
        <w:rPr>
          <w:spacing w:val="-4"/>
        </w:rPr>
        <w:t xml:space="preserve"> </w:t>
      </w:r>
      <w:r>
        <w:t>on</w:t>
      </w:r>
      <w:r>
        <w:rPr>
          <w:spacing w:val="-4"/>
        </w:rPr>
        <w:t xml:space="preserve"> </w:t>
      </w:r>
      <w:r>
        <w:t>LGBTQ</w:t>
      </w:r>
      <w:r>
        <w:rPr>
          <w:spacing w:val="-4"/>
        </w:rPr>
        <w:t xml:space="preserve"> </w:t>
      </w:r>
      <w:r>
        <w:t>youth</w:t>
      </w:r>
      <w:r>
        <w:rPr>
          <w:spacing w:val="-4"/>
        </w:rPr>
        <w:t xml:space="preserve"> </w:t>
      </w:r>
      <w:r>
        <w:t>and</w:t>
      </w:r>
      <w:r>
        <w:rPr>
          <w:spacing w:val="-3"/>
        </w:rPr>
        <w:t xml:space="preserve"> </w:t>
      </w:r>
      <w:r>
        <w:t>the</w:t>
      </w:r>
      <w:r>
        <w:rPr>
          <w:spacing w:val="-4"/>
        </w:rPr>
        <w:t xml:space="preserve"> </w:t>
      </w:r>
      <w:r>
        <w:t>justice</w:t>
      </w:r>
      <w:r>
        <w:rPr>
          <w:spacing w:val="-4"/>
        </w:rPr>
        <w:t xml:space="preserve"> </w:t>
      </w:r>
      <w:r>
        <w:t>system</w:t>
      </w:r>
      <w:r>
        <w:rPr>
          <w:spacing w:val="-3"/>
        </w:rPr>
        <w:t xml:space="preserve"> </w:t>
      </w:r>
      <w:r>
        <w:t>can</w:t>
      </w:r>
      <w:r>
        <w:rPr>
          <w:spacing w:val="-3"/>
        </w:rPr>
        <w:t xml:space="preserve"> </w:t>
      </w:r>
      <w:r>
        <w:t>be</w:t>
      </w:r>
      <w:r>
        <w:rPr>
          <w:spacing w:val="-3"/>
        </w:rPr>
        <w:t xml:space="preserve"> </w:t>
      </w:r>
      <w:r>
        <w:t>found</w:t>
      </w:r>
      <w:r>
        <w:rPr>
          <w:spacing w:val="-4"/>
        </w:rPr>
        <w:t xml:space="preserve"> </w:t>
      </w:r>
      <w:r>
        <w:t>in</w:t>
      </w:r>
      <w:r>
        <w:rPr>
          <w:spacing w:val="-3"/>
        </w:rPr>
        <w:t xml:space="preserve"> </w:t>
      </w:r>
      <w:r>
        <w:t>the</w:t>
      </w:r>
      <w:r>
        <w:rPr>
          <w:spacing w:val="-3"/>
        </w:rPr>
        <w:t xml:space="preserve"> </w:t>
      </w:r>
      <w:r>
        <w:t>research</w:t>
      </w:r>
      <w:r>
        <w:rPr>
          <w:spacing w:val="-4"/>
        </w:rPr>
        <w:t xml:space="preserve"> </w:t>
      </w:r>
      <w:r>
        <w:t>review section above.</w:t>
      </w:r>
    </w:p>
    <w:p w:rsidR="00C76E6D" w:rsidRDefault="00C76E6D">
      <w:pPr>
        <w:pStyle w:val="BodyText"/>
        <w:spacing w:before="5"/>
        <w:rPr>
          <w:sz w:val="25"/>
        </w:rPr>
      </w:pPr>
    </w:p>
    <w:p w:rsidR="00C76E6D" w:rsidRDefault="00913831">
      <w:pPr>
        <w:pStyle w:val="Heading5"/>
        <w:jc w:val="both"/>
      </w:pPr>
      <w:r>
        <w:rPr>
          <w:spacing w:val="-2"/>
        </w:rPr>
        <w:t>Expanded</w:t>
      </w:r>
      <w:r>
        <w:t xml:space="preserve"> </w:t>
      </w:r>
      <w:r>
        <w:rPr>
          <w:spacing w:val="-2"/>
        </w:rPr>
        <w:t>Recommendations</w:t>
      </w:r>
    </w:p>
    <w:p w:rsidR="00C76E6D" w:rsidRDefault="00913831">
      <w:pPr>
        <w:pStyle w:val="BodyText"/>
        <w:rPr>
          <w:b/>
          <w:sz w:val="7"/>
        </w:rPr>
      </w:pPr>
      <w:r>
        <w:pict>
          <v:shape id="docshape448" o:spid="_x0000_s1053" style="position:absolute;margin-left:65pt;margin-top:5.5pt;width:476.95pt;height:.1pt;z-index:-15631872;mso-wrap-distance-left:0;mso-wrap-distance-right:0;mso-position-horizontal-relative:page" coordorigin="1300,110" coordsize="9539,0" path="m1300,110r9539,e" filled="f" strokeweight="1.54pt">
            <v:path arrowok="t"/>
            <w10:wrap type="topAndBottom" anchorx="page"/>
          </v:shape>
        </w:pict>
      </w:r>
    </w:p>
    <w:p w:rsidR="00C76E6D" w:rsidRDefault="00C76E6D">
      <w:pPr>
        <w:pStyle w:val="BodyText"/>
        <w:spacing w:before="10"/>
        <w:rPr>
          <w:b/>
          <w:sz w:val="19"/>
        </w:rPr>
      </w:pPr>
    </w:p>
    <w:p w:rsidR="00C76E6D" w:rsidRDefault="00913831">
      <w:pPr>
        <w:pStyle w:val="Heading6"/>
        <w:spacing w:line="276" w:lineRule="auto"/>
        <w:ind w:left="338" w:right="530" w:hanging="1"/>
      </w:pPr>
      <w:bookmarkStart w:id="888" w:name="1._Convene_an_interagency_committee_to_d"/>
      <w:bookmarkEnd w:id="888"/>
      <w:r>
        <w:t>1.</w:t>
      </w:r>
      <w:r>
        <w:rPr>
          <w:spacing w:val="-6"/>
        </w:rPr>
        <w:t xml:space="preserve"> </w:t>
      </w:r>
      <w:r>
        <w:t>Convene</w:t>
      </w:r>
      <w:r>
        <w:rPr>
          <w:spacing w:val="-4"/>
        </w:rPr>
        <w:t xml:space="preserve"> </w:t>
      </w:r>
      <w:r>
        <w:t>an</w:t>
      </w:r>
      <w:r>
        <w:rPr>
          <w:spacing w:val="-7"/>
        </w:rPr>
        <w:t xml:space="preserve"> </w:t>
      </w:r>
      <w:r>
        <w:t>interagency</w:t>
      </w:r>
      <w:r>
        <w:rPr>
          <w:spacing w:val="-6"/>
        </w:rPr>
        <w:t xml:space="preserve"> </w:t>
      </w:r>
      <w:r>
        <w:t>committee</w:t>
      </w:r>
      <w:r>
        <w:rPr>
          <w:spacing w:val="-4"/>
        </w:rPr>
        <w:t xml:space="preserve"> </w:t>
      </w:r>
      <w:r>
        <w:t>to</w:t>
      </w:r>
      <w:r>
        <w:rPr>
          <w:spacing w:val="-5"/>
        </w:rPr>
        <w:t xml:space="preserve"> </w:t>
      </w:r>
      <w:r>
        <w:t>discuss</w:t>
      </w:r>
      <w:r>
        <w:rPr>
          <w:spacing w:val="-5"/>
        </w:rPr>
        <w:t xml:space="preserve"> </w:t>
      </w:r>
      <w:r>
        <w:t>the</w:t>
      </w:r>
      <w:r>
        <w:rPr>
          <w:spacing w:val="-6"/>
        </w:rPr>
        <w:t xml:space="preserve"> </w:t>
      </w:r>
      <w:r>
        <w:t>needs</w:t>
      </w:r>
      <w:r>
        <w:rPr>
          <w:spacing w:val="-5"/>
        </w:rPr>
        <w:t xml:space="preserve"> </w:t>
      </w:r>
      <w:r>
        <w:t>of</w:t>
      </w:r>
      <w:r>
        <w:rPr>
          <w:spacing w:val="-5"/>
        </w:rPr>
        <w:t xml:space="preserve"> </w:t>
      </w:r>
      <w:r>
        <w:t>LGBTQ</w:t>
      </w:r>
      <w:r>
        <w:rPr>
          <w:spacing w:val="-5"/>
        </w:rPr>
        <w:t xml:space="preserve"> </w:t>
      </w:r>
      <w:r>
        <w:t>young</w:t>
      </w:r>
      <w:r>
        <w:rPr>
          <w:spacing w:val="-5"/>
        </w:rPr>
        <w:t xml:space="preserve"> </w:t>
      </w:r>
      <w:r>
        <w:t>people</w:t>
      </w:r>
      <w:r>
        <w:rPr>
          <w:spacing w:val="-6"/>
        </w:rPr>
        <w:t xml:space="preserve"> </w:t>
      </w:r>
      <w:r>
        <w:t>involved</w:t>
      </w:r>
      <w:r>
        <w:rPr>
          <w:spacing w:val="-6"/>
        </w:rPr>
        <w:t xml:space="preserve"> </w:t>
      </w:r>
      <w:r>
        <w:t>with</w:t>
      </w:r>
      <w:r>
        <w:rPr>
          <w:spacing w:val="-5"/>
        </w:rPr>
        <w:t xml:space="preserve"> </w:t>
      </w:r>
      <w:r>
        <w:t>EOPSS agencies and explore options for data collection, training, and policies.</w:t>
      </w:r>
    </w:p>
    <w:p w:rsidR="00C76E6D" w:rsidRDefault="00C76E6D">
      <w:pPr>
        <w:pStyle w:val="BodyText"/>
        <w:spacing w:before="3"/>
        <w:rPr>
          <w:b/>
          <w:sz w:val="26"/>
        </w:rPr>
      </w:pPr>
    </w:p>
    <w:p w:rsidR="00C76E6D" w:rsidRDefault="00913831">
      <w:pPr>
        <w:pStyle w:val="BodyText"/>
        <w:spacing w:line="276" w:lineRule="auto"/>
        <w:ind w:left="627" w:right="335"/>
        <w:jc w:val="both"/>
      </w:pPr>
      <w:r>
        <w:t>The Commission has seen success working within an interagency model at EOHHS and has supported discussions between EOHHS and EOPSS on how that model could be applied to EOPSS’s agencies. The Commission recommends this approach to ensure that discussions on</w:t>
      </w:r>
      <w:r>
        <w:t xml:space="preserve"> LGBTQ youth are coordinated, particularly because topics like data collection and nondiscrimination policies may not function well in isolation within the larger EOPSS system. Furthermore, the EOHHS interagency training that is being developed may serve a</w:t>
      </w:r>
      <w:r>
        <w:t>s a useful tool for many of the EOPSS agencies to adopt once it has launched.</w:t>
      </w:r>
    </w:p>
    <w:p w:rsidR="00C76E6D" w:rsidRDefault="00C76E6D">
      <w:pPr>
        <w:pStyle w:val="BodyText"/>
        <w:spacing w:before="3"/>
        <w:rPr>
          <w:sz w:val="25"/>
        </w:rPr>
      </w:pPr>
    </w:p>
    <w:p w:rsidR="00C76E6D" w:rsidRDefault="00913831">
      <w:pPr>
        <w:pStyle w:val="BodyText"/>
        <w:spacing w:line="276" w:lineRule="auto"/>
        <w:ind w:left="626" w:right="336" w:firstLine="1"/>
        <w:jc w:val="both"/>
      </w:pPr>
      <w:r>
        <w:t>In April 2021, the Commission met with EOPSS to discuss which of its agencies would be most suited to join this interagency committee and identified the Municipal Police Trainin</w:t>
      </w:r>
      <w:r>
        <w:t>g Committee (MPTC), the Department of Corrections, the State Police, and the Massachusetts National Guard as key agencies to begin this process. This effort is especially critical with respect to LGBTQ youth of color, who face both greater</w:t>
      </w:r>
      <w:r>
        <w:rPr>
          <w:spacing w:val="-13"/>
        </w:rPr>
        <w:t xml:space="preserve"> </w:t>
      </w:r>
      <w:r>
        <w:t>safety</w:t>
      </w:r>
      <w:r>
        <w:rPr>
          <w:spacing w:val="-12"/>
        </w:rPr>
        <w:t xml:space="preserve"> </w:t>
      </w:r>
      <w:r>
        <w:t>needs</w:t>
      </w:r>
      <w:r>
        <w:rPr>
          <w:spacing w:val="-13"/>
        </w:rPr>
        <w:t xml:space="preserve"> </w:t>
      </w:r>
      <w:r>
        <w:t>and</w:t>
      </w:r>
      <w:r>
        <w:rPr>
          <w:spacing w:val="-12"/>
        </w:rPr>
        <w:t xml:space="preserve"> </w:t>
      </w:r>
      <w:r>
        <w:t>higher</w:t>
      </w:r>
      <w:r>
        <w:rPr>
          <w:spacing w:val="-13"/>
        </w:rPr>
        <w:t xml:space="preserve"> </w:t>
      </w:r>
      <w:r>
        <w:t>rates</w:t>
      </w:r>
      <w:r>
        <w:rPr>
          <w:spacing w:val="-12"/>
        </w:rPr>
        <w:t xml:space="preserve"> </w:t>
      </w:r>
      <w:r>
        <w:t>of</w:t>
      </w:r>
      <w:r>
        <w:rPr>
          <w:spacing w:val="-13"/>
        </w:rPr>
        <w:t xml:space="preserve"> </w:t>
      </w:r>
      <w:r>
        <w:t>being</w:t>
      </w:r>
      <w:r>
        <w:rPr>
          <w:spacing w:val="-12"/>
        </w:rPr>
        <w:t xml:space="preserve"> </w:t>
      </w:r>
      <w:r>
        <w:t>incarcerated.</w:t>
      </w:r>
      <w:r>
        <w:rPr>
          <w:spacing w:val="-12"/>
        </w:rPr>
        <w:t xml:space="preserve"> </w:t>
      </w:r>
      <w:r>
        <w:t>In</w:t>
      </w:r>
      <w:r>
        <w:rPr>
          <w:spacing w:val="-13"/>
        </w:rPr>
        <w:t xml:space="preserve"> </w:t>
      </w:r>
      <w:r>
        <w:t>its</w:t>
      </w:r>
      <w:r>
        <w:rPr>
          <w:spacing w:val="-12"/>
        </w:rPr>
        <w:t xml:space="preserve"> </w:t>
      </w:r>
      <w:r>
        <w:t>May</w:t>
      </w:r>
      <w:r>
        <w:rPr>
          <w:spacing w:val="-13"/>
        </w:rPr>
        <w:t xml:space="preserve"> </w:t>
      </w:r>
      <w:r>
        <w:t>2022</w:t>
      </w:r>
      <w:r>
        <w:rPr>
          <w:spacing w:val="-12"/>
        </w:rPr>
        <w:t xml:space="preserve"> </w:t>
      </w:r>
      <w:r>
        <w:t>meeting</w:t>
      </w:r>
      <w:r>
        <w:rPr>
          <w:spacing w:val="-13"/>
        </w:rPr>
        <w:t xml:space="preserve"> </w:t>
      </w:r>
      <w:r>
        <w:t>with</w:t>
      </w:r>
      <w:r>
        <w:rPr>
          <w:spacing w:val="-12"/>
        </w:rPr>
        <w:t xml:space="preserve"> </w:t>
      </w:r>
      <w:r>
        <w:t>the</w:t>
      </w:r>
      <w:r>
        <w:rPr>
          <w:spacing w:val="-12"/>
        </w:rPr>
        <w:t xml:space="preserve"> </w:t>
      </w:r>
      <w:r>
        <w:t>Commission, EOPSS</w:t>
      </w:r>
      <w:r>
        <w:rPr>
          <w:spacing w:val="-4"/>
        </w:rPr>
        <w:t xml:space="preserve"> </w:t>
      </w:r>
      <w:r>
        <w:t>noted</w:t>
      </w:r>
      <w:r>
        <w:rPr>
          <w:spacing w:val="-3"/>
        </w:rPr>
        <w:t xml:space="preserve"> </w:t>
      </w:r>
      <w:r>
        <w:t>that</w:t>
      </w:r>
      <w:r>
        <w:rPr>
          <w:spacing w:val="-4"/>
        </w:rPr>
        <w:t xml:space="preserve"> </w:t>
      </w:r>
      <w:r>
        <w:t>a</w:t>
      </w:r>
      <w:r>
        <w:rPr>
          <w:spacing w:val="-4"/>
        </w:rPr>
        <w:t xml:space="preserve"> </w:t>
      </w:r>
      <w:r>
        <w:t>committee</w:t>
      </w:r>
      <w:r>
        <w:rPr>
          <w:spacing w:val="-3"/>
        </w:rPr>
        <w:t xml:space="preserve"> </w:t>
      </w:r>
      <w:r>
        <w:t>had</w:t>
      </w:r>
      <w:r>
        <w:rPr>
          <w:spacing w:val="-4"/>
        </w:rPr>
        <w:t xml:space="preserve"> </w:t>
      </w:r>
      <w:r>
        <w:t>been</w:t>
      </w:r>
      <w:r>
        <w:rPr>
          <w:spacing w:val="-5"/>
        </w:rPr>
        <w:t xml:space="preserve"> </w:t>
      </w:r>
      <w:r>
        <w:t>formed</w:t>
      </w:r>
      <w:r>
        <w:rPr>
          <w:spacing w:val="-3"/>
        </w:rPr>
        <w:t xml:space="preserve"> </w:t>
      </w:r>
      <w:r>
        <w:t>through</w:t>
      </w:r>
      <w:r>
        <w:rPr>
          <w:spacing w:val="-5"/>
        </w:rPr>
        <w:t xml:space="preserve"> </w:t>
      </w:r>
      <w:r>
        <w:t>its</w:t>
      </w:r>
      <w:r>
        <w:rPr>
          <w:spacing w:val="-3"/>
        </w:rPr>
        <w:t xml:space="preserve"> </w:t>
      </w:r>
      <w:r>
        <w:t>Human</w:t>
      </w:r>
      <w:r>
        <w:rPr>
          <w:spacing w:val="-5"/>
        </w:rPr>
        <w:t xml:space="preserve"> </w:t>
      </w:r>
      <w:r>
        <w:t>Resources</w:t>
      </w:r>
      <w:r>
        <w:rPr>
          <w:spacing w:val="-5"/>
        </w:rPr>
        <w:t xml:space="preserve"> </w:t>
      </w:r>
      <w:r>
        <w:t>Division.</w:t>
      </w:r>
      <w:r>
        <w:rPr>
          <w:spacing w:val="-4"/>
        </w:rPr>
        <w:t xml:space="preserve"> </w:t>
      </w:r>
      <w:r>
        <w:t>The</w:t>
      </w:r>
      <w:r>
        <w:rPr>
          <w:spacing w:val="-3"/>
        </w:rPr>
        <w:t xml:space="preserve"> </w:t>
      </w:r>
      <w:r>
        <w:t>Commission looks forward to learning more about this committee’s work in FY 2023.</w:t>
      </w:r>
    </w:p>
    <w:p w:rsidR="00C76E6D" w:rsidRDefault="00C76E6D">
      <w:pPr>
        <w:pStyle w:val="BodyText"/>
        <w:spacing w:before="3"/>
        <w:rPr>
          <w:sz w:val="25"/>
        </w:rPr>
      </w:pPr>
    </w:p>
    <w:p w:rsidR="00C76E6D" w:rsidRDefault="00913831">
      <w:pPr>
        <w:pStyle w:val="BodyText"/>
        <w:spacing w:line="276" w:lineRule="auto"/>
        <w:ind w:left="627" w:right="334"/>
        <w:jc w:val="both"/>
      </w:pPr>
      <w:r>
        <w:t>The</w:t>
      </w:r>
      <w:r>
        <w:rPr>
          <w:spacing w:val="-8"/>
        </w:rPr>
        <w:t xml:space="preserve"> </w:t>
      </w:r>
      <w:r>
        <w:t>Commission</w:t>
      </w:r>
      <w:r>
        <w:rPr>
          <w:spacing w:val="-8"/>
        </w:rPr>
        <w:t xml:space="preserve"> </w:t>
      </w:r>
      <w:r>
        <w:t>also</w:t>
      </w:r>
      <w:r>
        <w:rPr>
          <w:spacing w:val="-7"/>
        </w:rPr>
        <w:t xml:space="preserve"> </w:t>
      </w:r>
      <w:r>
        <w:t>recommends</w:t>
      </w:r>
      <w:r>
        <w:rPr>
          <w:spacing w:val="-7"/>
        </w:rPr>
        <w:t xml:space="preserve"> </w:t>
      </w:r>
      <w:r>
        <w:t>that</w:t>
      </w:r>
      <w:r>
        <w:rPr>
          <w:spacing w:val="-7"/>
        </w:rPr>
        <w:t xml:space="preserve"> </w:t>
      </w:r>
      <w:r>
        <w:t>EOPSS</w:t>
      </w:r>
      <w:r>
        <w:rPr>
          <w:spacing w:val="-7"/>
        </w:rPr>
        <w:t xml:space="preserve"> </w:t>
      </w:r>
      <w:r>
        <w:t>continue</w:t>
      </w:r>
      <w:r>
        <w:rPr>
          <w:spacing w:val="-8"/>
        </w:rPr>
        <w:t xml:space="preserve"> </w:t>
      </w:r>
      <w:r>
        <w:t>to</w:t>
      </w:r>
      <w:r>
        <w:rPr>
          <w:spacing w:val="-7"/>
        </w:rPr>
        <w:t xml:space="preserve"> </w:t>
      </w:r>
      <w:r>
        <w:t>explore</w:t>
      </w:r>
      <w:r>
        <w:rPr>
          <w:spacing w:val="-7"/>
        </w:rPr>
        <w:t xml:space="preserve"> </w:t>
      </w:r>
      <w:r>
        <w:t>areas</w:t>
      </w:r>
      <w:r>
        <w:rPr>
          <w:spacing w:val="-7"/>
        </w:rPr>
        <w:t xml:space="preserve"> </w:t>
      </w:r>
      <w:r>
        <w:t>in</w:t>
      </w:r>
      <w:r>
        <w:rPr>
          <w:spacing w:val="-8"/>
        </w:rPr>
        <w:t xml:space="preserve"> </w:t>
      </w:r>
      <w:r>
        <w:t>which</w:t>
      </w:r>
      <w:r>
        <w:rPr>
          <w:spacing w:val="-8"/>
        </w:rPr>
        <w:t xml:space="preserve"> </w:t>
      </w:r>
      <w:r>
        <w:t>its</w:t>
      </w:r>
      <w:r>
        <w:rPr>
          <w:spacing w:val="-7"/>
        </w:rPr>
        <w:t xml:space="preserve"> </w:t>
      </w:r>
      <w:r>
        <w:t>agencies</w:t>
      </w:r>
      <w:r>
        <w:rPr>
          <w:spacing w:val="-7"/>
        </w:rPr>
        <w:t xml:space="preserve"> </w:t>
      </w:r>
      <w:r>
        <w:t>can</w:t>
      </w:r>
      <w:r>
        <w:rPr>
          <w:spacing w:val="-7"/>
        </w:rPr>
        <w:t xml:space="preserve"> </w:t>
      </w:r>
      <w:r>
        <w:t>expand collection</w:t>
      </w:r>
      <w:r>
        <w:rPr>
          <w:spacing w:val="-2"/>
        </w:rPr>
        <w:t xml:space="preserve"> </w:t>
      </w:r>
      <w:r>
        <w:t>and</w:t>
      </w:r>
      <w:r>
        <w:rPr>
          <w:spacing w:val="-2"/>
        </w:rPr>
        <w:t xml:space="preserve"> </w:t>
      </w:r>
      <w:r>
        <w:t>reporting</w:t>
      </w:r>
      <w:r>
        <w:rPr>
          <w:spacing w:val="-1"/>
        </w:rPr>
        <w:t xml:space="preserve"> </w:t>
      </w:r>
      <w:r>
        <w:t>of</w:t>
      </w:r>
      <w:r>
        <w:rPr>
          <w:spacing w:val="-1"/>
        </w:rPr>
        <w:t xml:space="preserve"> </w:t>
      </w:r>
      <w:r>
        <w:t>data on</w:t>
      </w:r>
      <w:r>
        <w:rPr>
          <w:spacing w:val="-2"/>
        </w:rPr>
        <w:t xml:space="preserve"> </w:t>
      </w:r>
      <w:r>
        <w:t>sexual</w:t>
      </w:r>
      <w:r>
        <w:rPr>
          <w:spacing w:val="-2"/>
        </w:rPr>
        <w:t xml:space="preserve"> </w:t>
      </w:r>
      <w:r>
        <w:t>orientation</w:t>
      </w:r>
      <w:r>
        <w:rPr>
          <w:spacing w:val="-2"/>
        </w:rPr>
        <w:t xml:space="preserve"> </w:t>
      </w:r>
      <w:r>
        <w:t>and</w:t>
      </w:r>
      <w:r>
        <w:rPr>
          <w:spacing w:val="-1"/>
        </w:rPr>
        <w:t xml:space="preserve"> </w:t>
      </w:r>
      <w:r>
        <w:t>gender identity</w:t>
      </w:r>
      <w:r>
        <w:rPr>
          <w:spacing w:val="-1"/>
        </w:rPr>
        <w:t xml:space="preserve"> </w:t>
      </w:r>
      <w:r>
        <w:t>and expression</w:t>
      </w:r>
      <w:r>
        <w:rPr>
          <w:spacing w:val="-1"/>
        </w:rPr>
        <w:t xml:space="preserve"> </w:t>
      </w:r>
      <w:r>
        <w:t>(SOGIE).</w:t>
      </w:r>
      <w:r>
        <w:rPr>
          <w:spacing w:val="-2"/>
        </w:rPr>
        <w:t xml:space="preserve"> </w:t>
      </w:r>
      <w:r>
        <w:t>While agencies within EOPSS are not statutorily required to collect SOGIE data, the Commission nevertheless encourages EOPSS to pursue greater data collection in light of disparities facing LGBTQ youth who are involved in the justice system. The Commission</w:t>
      </w:r>
      <w:r>
        <w:t xml:space="preserve"> looks forward to working with EOPSS to explore and develop these data initiatives in the coming fiscal year.</w:t>
      </w:r>
    </w:p>
    <w:p w:rsidR="00C76E6D" w:rsidRDefault="00C76E6D">
      <w:pPr>
        <w:spacing w:line="276" w:lineRule="auto"/>
        <w:jc w:val="both"/>
        <w:sectPr w:rsidR="00C76E6D">
          <w:pgSz w:w="12240" w:h="15840"/>
          <w:pgMar w:top="1000" w:right="960" w:bottom="640" w:left="960" w:header="811" w:footer="440" w:gutter="0"/>
          <w:cols w:space="720"/>
        </w:sectPr>
      </w:pPr>
    </w:p>
    <w:p w:rsidR="00C76E6D" w:rsidRDefault="00C76E6D">
      <w:pPr>
        <w:pStyle w:val="BodyText"/>
        <w:spacing w:before="2"/>
        <w:rPr>
          <w:sz w:val="3"/>
        </w:rPr>
      </w:pPr>
    </w:p>
    <w:p w:rsidR="00C76E6D" w:rsidRDefault="00913831">
      <w:pPr>
        <w:pStyle w:val="BodyText"/>
        <w:spacing w:line="20" w:lineRule="exact"/>
        <w:ind w:left="482"/>
        <w:rPr>
          <w:sz w:val="2"/>
        </w:rPr>
      </w:pPr>
      <w:r>
        <w:rPr>
          <w:sz w:val="2"/>
        </w:rPr>
      </w:r>
      <w:r>
        <w:rPr>
          <w:sz w:val="2"/>
        </w:rPr>
        <w:pict>
          <v:group id="docshapegroup449" o:spid="_x0000_s1051" style="width:470.95pt;height:1.55pt;mso-position-horizontal-relative:char;mso-position-vertical-relative:line" coordsize="9419,31">
            <v:line id="_x0000_s1052" style="position:absolute" from="0,15" to="9419,15" strokeweight="1.54pt"/>
            <w10:anchorlock/>
          </v:group>
        </w:pict>
      </w:r>
    </w:p>
    <w:p w:rsidR="00C76E6D" w:rsidRDefault="00C76E6D">
      <w:pPr>
        <w:pStyle w:val="BodyText"/>
        <w:spacing w:before="4"/>
        <w:rPr>
          <w:sz w:val="19"/>
        </w:rPr>
      </w:pPr>
    </w:p>
    <w:p w:rsidR="00C76E6D" w:rsidRDefault="00913831">
      <w:pPr>
        <w:pStyle w:val="Heading6"/>
        <w:spacing w:before="55"/>
        <w:ind w:left="3682" w:right="3683"/>
        <w:jc w:val="center"/>
      </w:pPr>
      <w:r>
        <w:rPr>
          <w:spacing w:val="-2"/>
        </w:rPr>
        <w:t>ENDNOTES</w:t>
      </w:r>
    </w:p>
    <w:p w:rsidR="00C76E6D" w:rsidRDefault="00913831">
      <w:pPr>
        <w:pStyle w:val="BodyText"/>
        <w:spacing w:before="9"/>
        <w:rPr>
          <w:b/>
          <w:sz w:val="25"/>
        </w:rPr>
      </w:pPr>
      <w:r>
        <w:pict>
          <v:shape id="docshape450" o:spid="_x0000_s1050" style="position:absolute;margin-left:70.6pt;margin-top:16.95pt;width:470.95pt;height:.1pt;z-index:-15630848;mso-wrap-distance-left:0;mso-wrap-distance-right:0;mso-position-horizontal-relative:page" coordorigin="1412,339" coordsize="9419,0" path="m1412,339r9419,e" filled="f" strokeweight="1.54pt">
            <v:path arrowok="t"/>
            <w10:wrap type="topAndBottom" anchorx="page"/>
          </v:shape>
        </w:pict>
      </w:r>
    </w:p>
    <w:p w:rsidR="00C76E6D" w:rsidRDefault="00C76E6D">
      <w:pPr>
        <w:pStyle w:val="BodyText"/>
        <w:rPr>
          <w:b/>
        </w:rPr>
      </w:pPr>
    </w:p>
    <w:p w:rsidR="00C76E6D" w:rsidRDefault="00C76E6D">
      <w:pPr>
        <w:pStyle w:val="BodyText"/>
        <w:rPr>
          <w:b/>
        </w:rPr>
      </w:pPr>
    </w:p>
    <w:p w:rsidR="00C76E6D" w:rsidRDefault="00C76E6D">
      <w:pPr>
        <w:pStyle w:val="BodyText"/>
        <w:spacing w:before="9"/>
        <w:rPr>
          <w:b/>
          <w:sz w:val="23"/>
        </w:rPr>
      </w:pPr>
    </w:p>
    <w:p w:rsidR="00C76E6D" w:rsidRDefault="00913831">
      <w:pPr>
        <w:ind w:left="339" w:right="665" w:hanging="1"/>
        <w:rPr>
          <w:sz w:val="20"/>
        </w:rPr>
      </w:pPr>
      <w:bookmarkStart w:id="889" w:name="_bookmark622"/>
      <w:bookmarkEnd w:id="889"/>
      <w:r>
        <w:rPr>
          <w:sz w:val="20"/>
          <w:vertAlign w:val="superscript"/>
        </w:rPr>
        <w:t>1</w:t>
      </w:r>
      <w:r>
        <w:rPr>
          <w:spacing w:val="36"/>
          <w:sz w:val="20"/>
        </w:rPr>
        <w:t xml:space="preserve"> </w:t>
      </w:r>
      <w:r>
        <w:rPr>
          <w:sz w:val="20"/>
        </w:rPr>
        <w:t>Irvine,</w:t>
      </w:r>
      <w:r>
        <w:rPr>
          <w:spacing w:val="-5"/>
          <w:sz w:val="20"/>
        </w:rPr>
        <w:t xml:space="preserve"> </w:t>
      </w:r>
      <w:r>
        <w:rPr>
          <w:sz w:val="20"/>
        </w:rPr>
        <w:t>A.</w:t>
      </w:r>
      <w:r>
        <w:rPr>
          <w:spacing w:val="-6"/>
          <w:sz w:val="20"/>
        </w:rPr>
        <w:t xml:space="preserve"> </w:t>
      </w:r>
      <w:r>
        <w:rPr>
          <w:sz w:val="20"/>
        </w:rPr>
        <w:t>(2010).</w:t>
      </w:r>
      <w:r>
        <w:rPr>
          <w:spacing w:val="-6"/>
          <w:sz w:val="20"/>
        </w:rPr>
        <w:t xml:space="preserve"> </w:t>
      </w:r>
      <w:r>
        <w:rPr>
          <w:sz w:val="20"/>
        </w:rPr>
        <w:t>We’ve</w:t>
      </w:r>
      <w:r>
        <w:rPr>
          <w:spacing w:val="-6"/>
          <w:sz w:val="20"/>
        </w:rPr>
        <w:t xml:space="preserve"> </w:t>
      </w:r>
      <w:r>
        <w:rPr>
          <w:sz w:val="20"/>
        </w:rPr>
        <w:t>Had</w:t>
      </w:r>
      <w:r>
        <w:rPr>
          <w:spacing w:val="-5"/>
          <w:sz w:val="20"/>
        </w:rPr>
        <w:t xml:space="preserve"> </w:t>
      </w:r>
      <w:r>
        <w:rPr>
          <w:sz w:val="20"/>
        </w:rPr>
        <w:t>Three</w:t>
      </w:r>
      <w:r>
        <w:rPr>
          <w:spacing w:val="-5"/>
          <w:sz w:val="20"/>
        </w:rPr>
        <w:t xml:space="preserve"> </w:t>
      </w:r>
      <w:r>
        <w:rPr>
          <w:sz w:val="20"/>
        </w:rPr>
        <w:t>of</w:t>
      </w:r>
      <w:r>
        <w:rPr>
          <w:spacing w:val="-4"/>
          <w:sz w:val="20"/>
        </w:rPr>
        <w:t xml:space="preserve"> </w:t>
      </w:r>
      <w:r>
        <w:rPr>
          <w:sz w:val="20"/>
        </w:rPr>
        <w:t>Them.</w:t>
      </w:r>
      <w:r>
        <w:rPr>
          <w:spacing w:val="-5"/>
          <w:sz w:val="20"/>
        </w:rPr>
        <w:t xml:space="preserve"> </w:t>
      </w:r>
      <w:r>
        <w:rPr>
          <w:sz w:val="20"/>
        </w:rPr>
        <w:t>Columbia</w:t>
      </w:r>
      <w:r>
        <w:rPr>
          <w:spacing w:val="-4"/>
          <w:sz w:val="20"/>
        </w:rPr>
        <w:t xml:space="preserve"> </w:t>
      </w:r>
      <w:r>
        <w:rPr>
          <w:sz w:val="20"/>
        </w:rPr>
        <w:t>Journal</w:t>
      </w:r>
      <w:r>
        <w:rPr>
          <w:spacing w:val="-5"/>
          <w:sz w:val="20"/>
        </w:rPr>
        <w:t xml:space="preserve"> </w:t>
      </w:r>
      <w:r>
        <w:rPr>
          <w:sz w:val="20"/>
        </w:rPr>
        <w:t>of</w:t>
      </w:r>
      <w:r>
        <w:rPr>
          <w:spacing w:val="-4"/>
          <w:sz w:val="20"/>
        </w:rPr>
        <w:t xml:space="preserve"> </w:t>
      </w:r>
      <w:r>
        <w:rPr>
          <w:sz w:val="20"/>
        </w:rPr>
        <w:t>Gender</w:t>
      </w:r>
      <w:r>
        <w:rPr>
          <w:spacing w:val="-6"/>
          <w:sz w:val="20"/>
        </w:rPr>
        <w:t xml:space="preserve"> </w:t>
      </w:r>
      <w:r>
        <w:rPr>
          <w:sz w:val="20"/>
        </w:rPr>
        <w:t>and</w:t>
      </w:r>
      <w:r>
        <w:rPr>
          <w:spacing w:val="-4"/>
          <w:sz w:val="20"/>
        </w:rPr>
        <w:t xml:space="preserve"> </w:t>
      </w:r>
      <w:r>
        <w:rPr>
          <w:sz w:val="20"/>
        </w:rPr>
        <w:t>Law,</w:t>
      </w:r>
      <w:r>
        <w:rPr>
          <w:spacing w:val="-5"/>
          <w:sz w:val="20"/>
        </w:rPr>
        <w:t xml:space="preserve"> </w:t>
      </w:r>
      <w:r>
        <w:rPr>
          <w:sz w:val="20"/>
        </w:rPr>
        <w:t>19(3):</w:t>
      </w:r>
      <w:r>
        <w:rPr>
          <w:spacing w:val="-4"/>
          <w:sz w:val="20"/>
        </w:rPr>
        <w:t xml:space="preserve"> </w:t>
      </w:r>
      <w:r>
        <w:rPr>
          <w:sz w:val="20"/>
        </w:rPr>
        <w:t>675-701.</w:t>
      </w:r>
      <w:r>
        <w:rPr>
          <w:spacing w:val="-7"/>
          <w:sz w:val="20"/>
        </w:rPr>
        <w:t xml:space="preserve"> </w:t>
      </w:r>
      <w:r>
        <w:rPr>
          <w:sz w:val="20"/>
        </w:rPr>
        <w:t>Retrieved</w:t>
      </w:r>
      <w:r>
        <w:rPr>
          <w:spacing w:val="-4"/>
          <w:sz w:val="20"/>
        </w:rPr>
        <w:t xml:space="preserve"> </w:t>
      </w:r>
      <w:r>
        <w:rPr>
          <w:sz w:val="20"/>
        </w:rPr>
        <w:t xml:space="preserve">from </w:t>
      </w:r>
      <w:hyperlink r:id="rId452">
        <w:r>
          <w:rPr>
            <w:spacing w:val="-2"/>
            <w:sz w:val="20"/>
          </w:rPr>
          <w:t>http://www.nccdglobal.org/sites/default/files/content/weve-had-three-of-them.pdf.</w:t>
        </w:r>
      </w:hyperlink>
    </w:p>
    <w:p w:rsidR="00C76E6D" w:rsidRDefault="00913831">
      <w:pPr>
        <w:ind w:left="338" w:right="575" w:hanging="1"/>
        <w:rPr>
          <w:sz w:val="20"/>
        </w:rPr>
      </w:pPr>
      <w:bookmarkStart w:id="890" w:name="_bookmark623"/>
      <w:bookmarkEnd w:id="890"/>
      <w:r>
        <w:rPr>
          <w:sz w:val="20"/>
          <w:vertAlign w:val="superscript"/>
        </w:rPr>
        <w:t>2</w:t>
      </w:r>
      <w:r>
        <w:rPr>
          <w:sz w:val="20"/>
        </w:rPr>
        <w:t xml:space="preserve"> Gilbert, C. &amp; Hussey, H. (2015). Young, Queer, and Locked Up: LGBT Youth i</w:t>
      </w:r>
      <w:r>
        <w:rPr>
          <w:sz w:val="20"/>
        </w:rPr>
        <w:t>n the Adult Criminal Justice System. Campaign</w:t>
      </w:r>
      <w:r>
        <w:rPr>
          <w:spacing w:val="-10"/>
          <w:sz w:val="20"/>
        </w:rPr>
        <w:t xml:space="preserve"> </w:t>
      </w:r>
      <w:r>
        <w:rPr>
          <w:sz w:val="20"/>
        </w:rPr>
        <w:t>for</w:t>
      </w:r>
      <w:r>
        <w:rPr>
          <w:spacing w:val="-10"/>
          <w:sz w:val="20"/>
        </w:rPr>
        <w:t xml:space="preserve"> </w:t>
      </w:r>
      <w:r>
        <w:rPr>
          <w:sz w:val="20"/>
        </w:rPr>
        <w:t>Youth</w:t>
      </w:r>
      <w:r>
        <w:rPr>
          <w:spacing w:val="-11"/>
          <w:sz w:val="20"/>
        </w:rPr>
        <w:t xml:space="preserve"> </w:t>
      </w:r>
      <w:r>
        <w:rPr>
          <w:sz w:val="20"/>
        </w:rPr>
        <w:t>Justice.</w:t>
      </w:r>
      <w:r>
        <w:rPr>
          <w:spacing w:val="-12"/>
          <w:sz w:val="20"/>
        </w:rPr>
        <w:t xml:space="preserve"> </w:t>
      </w:r>
      <w:r>
        <w:rPr>
          <w:sz w:val="20"/>
        </w:rPr>
        <w:t>Retrieved</w:t>
      </w:r>
      <w:r>
        <w:rPr>
          <w:spacing w:val="-9"/>
          <w:sz w:val="20"/>
        </w:rPr>
        <w:t xml:space="preserve"> </w:t>
      </w:r>
      <w:r>
        <w:rPr>
          <w:sz w:val="20"/>
        </w:rPr>
        <w:t>from</w:t>
      </w:r>
      <w:r>
        <w:rPr>
          <w:spacing w:val="-12"/>
          <w:sz w:val="20"/>
        </w:rPr>
        <w:t xml:space="preserve"> </w:t>
      </w:r>
      <w:hyperlink r:id="rId453">
        <w:r>
          <w:rPr>
            <w:sz w:val="20"/>
          </w:rPr>
          <w:t>http://campaignforyouthjustice.org/news/blog/item/young-queer-</w:t>
        </w:r>
        <w:r>
          <w:rPr>
            <w:spacing w:val="-10"/>
            <w:sz w:val="20"/>
          </w:rPr>
          <w:t xml:space="preserve"> </w:t>
        </w:r>
      </w:hyperlink>
      <w:r>
        <w:rPr>
          <w:sz w:val="20"/>
        </w:rPr>
        <w:t xml:space="preserve">and- </w:t>
      </w:r>
      <w:r>
        <w:rPr>
          <w:spacing w:val="-2"/>
          <w:sz w:val="20"/>
        </w:rPr>
        <w:t>locked-up-lgbt-youth-in-th</w:t>
      </w:r>
      <w:r>
        <w:rPr>
          <w:spacing w:val="-2"/>
          <w:sz w:val="20"/>
        </w:rPr>
        <w:t>e-adult-criminal-justice-system.</w:t>
      </w:r>
    </w:p>
    <w:p w:rsidR="00C76E6D" w:rsidRDefault="00913831">
      <w:pPr>
        <w:ind w:left="338" w:right="400" w:hanging="1"/>
        <w:rPr>
          <w:sz w:val="20"/>
        </w:rPr>
      </w:pPr>
      <w:bookmarkStart w:id="891" w:name="_bookmark624"/>
      <w:bookmarkEnd w:id="891"/>
      <w:r>
        <w:rPr>
          <w:sz w:val="20"/>
          <w:vertAlign w:val="superscript"/>
        </w:rPr>
        <w:t>3</w:t>
      </w:r>
      <w:r>
        <w:rPr>
          <w:sz w:val="20"/>
        </w:rPr>
        <w:t xml:space="preserve"> Hanssens, C., Moodie-MIlls, A., Ritchie, A., Spade, D., &amp; Vaid, U. (2014). A Roadmap for Change: Federal Policy Recommendations</w:t>
      </w:r>
      <w:r>
        <w:rPr>
          <w:spacing w:val="-6"/>
          <w:sz w:val="20"/>
        </w:rPr>
        <w:t xml:space="preserve"> </w:t>
      </w:r>
      <w:r>
        <w:rPr>
          <w:sz w:val="20"/>
        </w:rPr>
        <w:t>for</w:t>
      </w:r>
      <w:r>
        <w:rPr>
          <w:spacing w:val="-5"/>
          <w:sz w:val="20"/>
        </w:rPr>
        <w:t xml:space="preserve"> </w:t>
      </w:r>
      <w:r>
        <w:rPr>
          <w:sz w:val="20"/>
        </w:rPr>
        <w:t>Addressing</w:t>
      </w:r>
      <w:r>
        <w:rPr>
          <w:spacing w:val="-4"/>
          <w:sz w:val="20"/>
        </w:rPr>
        <w:t xml:space="preserve"> </w:t>
      </w:r>
      <w:r>
        <w:rPr>
          <w:sz w:val="20"/>
        </w:rPr>
        <w:t>the</w:t>
      </w:r>
      <w:r>
        <w:rPr>
          <w:spacing w:val="-6"/>
          <w:sz w:val="20"/>
        </w:rPr>
        <w:t xml:space="preserve"> </w:t>
      </w:r>
      <w:r>
        <w:rPr>
          <w:sz w:val="20"/>
        </w:rPr>
        <w:t>Criminalization</w:t>
      </w:r>
      <w:r>
        <w:rPr>
          <w:spacing w:val="-4"/>
          <w:sz w:val="20"/>
        </w:rPr>
        <w:t xml:space="preserve"> </w:t>
      </w:r>
      <w:r>
        <w:rPr>
          <w:sz w:val="20"/>
        </w:rPr>
        <w:t>of</w:t>
      </w:r>
      <w:r>
        <w:rPr>
          <w:spacing w:val="-4"/>
          <w:sz w:val="20"/>
        </w:rPr>
        <w:t xml:space="preserve"> </w:t>
      </w:r>
      <w:r>
        <w:rPr>
          <w:sz w:val="20"/>
        </w:rPr>
        <w:t>LGBT</w:t>
      </w:r>
      <w:r>
        <w:rPr>
          <w:spacing w:val="-6"/>
          <w:sz w:val="20"/>
        </w:rPr>
        <w:t xml:space="preserve"> </w:t>
      </w:r>
      <w:r>
        <w:rPr>
          <w:sz w:val="20"/>
        </w:rPr>
        <w:t>People</w:t>
      </w:r>
      <w:r>
        <w:rPr>
          <w:spacing w:val="-5"/>
          <w:sz w:val="20"/>
        </w:rPr>
        <w:t xml:space="preserve"> </w:t>
      </w:r>
      <w:r>
        <w:rPr>
          <w:sz w:val="20"/>
        </w:rPr>
        <w:t>and</w:t>
      </w:r>
      <w:r>
        <w:rPr>
          <w:spacing w:val="-4"/>
          <w:sz w:val="20"/>
        </w:rPr>
        <w:t xml:space="preserve"> </w:t>
      </w:r>
      <w:r>
        <w:rPr>
          <w:sz w:val="20"/>
        </w:rPr>
        <w:t>People</w:t>
      </w:r>
      <w:r>
        <w:rPr>
          <w:spacing w:val="-5"/>
          <w:sz w:val="20"/>
        </w:rPr>
        <w:t xml:space="preserve"> </w:t>
      </w:r>
      <w:r>
        <w:rPr>
          <w:sz w:val="20"/>
        </w:rPr>
        <w:t>Living</w:t>
      </w:r>
      <w:r>
        <w:rPr>
          <w:spacing w:val="-6"/>
          <w:sz w:val="20"/>
        </w:rPr>
        <w:t xml:space="preserve"> </w:t>
      </w:r>
      <w:r>
        <w:rPr>
          <w:sz w:val="20"/>
        </w:rPr>
        <w:t>with</w:t>
      </w:r>
      <w:r>
        <w:rPr>
          <w:spacing w:val="-4"/>
          <w:sz w:val="20"/>
        </w:rPr>
        <w:t xml:space="preserve"> </w:t>
      </w:r>
      <w:r>
        <w:rPr>
          <w:sz w:val="20"/>
        </w:rPr>
        <w:t>HIV.</w:t>
      </w:r>
      <w:r>
        <w:rPr>
          <w:spacing w:val="-6"/>
          <w:sz w:val="20"/>
        </w:rPr>
        <w:t xml:space="preserve"> </w:t>
      </w:r>
      <w:r>
        <w:rPr>
          <w:sz w:val="20"/>
        </w:rPr>
        <w:t>New</w:t>
      </w:r>
      <w:r>
        <w:rPr>
          <w:spacing w:val="-7"/>
          <w:sz w:val="20"/>
        </w:rPr>
        <w:t xml:space="preserve"> </w:t>
      </w:r>
      <w:r>
        <w:rPr>
          <w:sz w:val="20"/>
        </w:rPr>
        <w:t>York:</w:t>
      </w:r>
      <w:r>
        <w:rPr>
          <w:spacing w:val="-4"/>
          <w:sz w:val="20"/>
        </w:rPr>
        <w:t xml:space="preserve"> </w:t>
      </w:r>
      <w:r>
        <w:rPr>
          <w:sz w:val="20"/>
        </w:rPr>
        <w:t>Center</w:t>
      </w:r>
      <w:r>
        <w:rPr>
          <w:spacing w:val="-4"/>
          <w:sz w:val="20"/>
        </w:rPr>
        <w:t xml:space="preserve"> </w:t>
      </w:r>
      <w:r>
        <w:rPr>
          <w:sz w:val="20"/>
        </w:rPr>
        <w:t xml:space="preserve">for Gender and Sexuality Law at Columbia Law School. Retrieved from </w:t>
      </w:r>
      <w:r>
        <w:rPr>
          <w:spacing w:val="-2"/>
          <w:sz w:val="20"/>
        </w:rPr>
        <w:t>https://web.law.columbia.edu/sites/default/files/microsites/gender- sexuality/files/roadmap_for_change_full_report.pdf.</w:t>
      </w:r>
    </w:p>
    <w:p w:rsidR="00C76E6D" w:rsidRDefault="00913831">
      <w:pPr>
        <w:ind w:left="339" w:right="530" w:hanging="2"/>
        <w:rPr>
          <w:sz w:val="20"/>
        </w:rPr>
      </w:pPr>
      <w:bookmarkStart w:id="892" w:name="_bookmark625"/>
      <w:bookmarkEnd w:id="892"/>
      <w:r>
        <w:rPr>
          <w:sz w:val="20"/>
          <w:vertAlign w:val="superscript"/>
        </w:rPr>
        <w:t>4</w:t>
      </w:r>
      <w:r>
        <w:rPr>
          <w:spacing w:val="-4"/>
          <w:sz w:val="20"/>
        </w:rPr>
        <w:t xml:space="preserve"> </w:t>
      </w:r>
      <w:r>
        <w:rPr>
          <w:sz w:val="20"/>
        </w:rPr>
        <w:t>Beck,</w:t>
      </w:r>
      <w:r>
        <w:rPr>
          <w:spacing w:val="-5"/>
          <w:sz w:val="20"/>
        </w:rPr>
        <w:t xml:space="preserve"> </w:t>
      </w:r>
      <w:r>
        <w:rPr>
          <w:sz w:val="20"/>
        </w:rPr>
        <w:t>A.</w:t>
      </w:r>
      <w:r>
        <w:rPr>
          <w:spacing w:val="-5"/>
          <w:sz w:val="20"/>
        </w:rPr>
        <w:t xml:space="preserve"> </w:t>
      </w:r>
      <w:r>
        <w:rPr>
          <w:sz w:val="20"/>
        </w:rPr>
        <w:t>J.,</w:t>
      </w:r>
      <w:r>
        <w:rPr>
          <w:spacing w:val="-5"/>
          <w:sz w:val="20"/>
        </w:rPr>
        <w:t xml:space="preserve"> </w:t>
      </w:r>
      <w:r>
        <w:rPr>
          <w:sz w:val="20"/>
        </w:rPr>
        <w:t>Berzofsky,</w:t>
      </w:r>
      <w:r>
        <w:rPr>
          <w:spacing w:val="-6"/>
          <w:sz w:val="20"/>
        </w:rPr>
        <w:t xml:space="preserve"> </w:t>
      </w:r>
      <w:r>
        <w:rPr>
          <w:sz w:val="20"/>
        </w:rPr>
        <w:t>M.,</w:t>
      </w:r>
      <w:r>
        <w:rPr>
          <w:spacing w:val="-4"/>
          <w:sz w:val="20"/>
        </w:rPr>
        <w:t xml:space="preserve"> </w:t>
      </w:r>
      <w:r>
        <w:rPr>
          <w:sz w:val="20"/>
        </w:rPr>
        <w:t>Caspar,</w:t>
      </w:r>
      <w:r>
        <w:rPr>
          <w:spacing w:val="-5"/>
          <w:sz w:val="20"/>
        </w:rPr>
        <w:t xml:space="preserve"> </w:t>
      </w:r>
      <w:r>
        <w:rPr>
          <w:sz w:val="20"/>
        </w:rPr>
        <w:t>R.,</w:t>
      </w:r>
      <w:r>
        <w:rPr>
          <w:spacing w:val="-6"/>
          <w:sz w:val="20"/>
        </w:rPr>
        <w:t xml:space="preserve"> </w:t>
      </w:r>
      <w:r>
        <w:rPr>
          <w:sz w:val="20"/>
        </w:rPr>
        <w:t>&amp;</w:t>
      </w:r>
      <w:r>
        <w:rPr>
          <w:spacing w:val="-4"/>
          <w:sz w:val="20"/>
        </w:rPr>
        <w:t xml:space="preserve"> </w:t>
      </w:r>
      <w:r>
        <w:rPr>
          <w:sz w:val="20"/>
        </w:rPr>
        <w:t>Krebs,</w:t>
      </w:r>
      <w:r>
        <w:rPr>
          <w:spacing w:val="-4"/>
          <w:sz w:val="20"/>
        </w:rPr>
        <w:t xml:space="preserve"> </w:t>
      </w:r>
      <w:r>
        <w:rPr>
          <w:sz w:val="20"/>
        </w:rPr>
        <w:t>C.</w:t>
      </w:r>
      <w:r>
        <w:rPr>
          <w:spacing w:val="-5"/>
          <w:sz w:val="20"/>
        </w:rPr>
        <w:t xml:space="preserve"> </w:t>
      </w:r>
      <w:r>
        <w:rPr>
          <w:sz w:val="20"/>
        </w:rPr>
        <w:t>(2013).</w:t>
      </w:r>
      <w:r>
        <w:rPr>
          <w:spacing w:val="-6"/>
          <w:sz w:val="20"/>
        </w:rPr>
        <w:t xml:space="preserve"> </w:t>
      </w:r>
      <w:r>
        <w:rPr>
          <w:sz w:val="20"/>
        </w:rPr>
        <w:t>Sexual</w:t>
      </w:r>
      <w:r>
        <w:rPr>
          <w:spacing w:val="-6"/>
          <w:sz w:val="20"/>
        </w:rPr>
        <w:t xml:space="preserve"> </w:t>
      </w:r>
      <w:r>
        <w:rPr>
          <w:sz w:val="20"/>
        </w:rPr>
        <w:t>Victimization</w:t>
      </w:r>
      <w:r>
        <w:rPr>
          <w:spacing w:val="-4"/>
          <w:sz w:val="20"/>
        </w:rPr>
        <w:t xml:space="preserve"> </w:t>
      </w:r>
      <w:r>
        <w:rPr>
          <w:sz w:val="20"/>
        </w:rPr>
        <w:t>in</w:t>
      </w:r>
      <w:r>
        <w:rPr>
          <w:spacing w:val="-4"/>
          <w:sz w:val="20"/>
        </w:rPr>
        <w:t xml:space="preserve"> </w:t>
      </w:r>
      <w:r>
        <w:rPr>
          <w:sz w:val="20"/>
        </w:rPr>
        <w:t>Prisons</w:t>
      </w:r>
      <w:r>
        <w:rPr>
          <w:spacing w:val="-5"/>
          <w:sz w:val="20"/>
        </w:rPr>
        <w:t xml:space="preserve"> </w:t>
      </w:r>
      <w:r>
        <w:rPr>
          <w:sz w:val="20"/>
        </w:rPr>
        <w:t>and</w:t>
      </w:r>
      <w:r>
        <w:rPr>
          <w:spacing w:val="-4"/>
          <w:sz w:val="20"/>
        </w:rPr>
        <w:t xml:space="preserve"> </w:t>
      </w:r>
      <w:r>
        <w:rPr>
          <w:sz w:val="20"/>
        </w:rPr>
        <w:t>Jails</w:t>
      </w:r>
      <w:r>
        <w:rPr>
          <w:spacing w:val="-5"/>
          <w:sz w:val="20"/>
        </w:rPr>
        <w:t xml:space="preserve"> </w:t>
      </w:r>
      <w:r>
        <w:rPr>
          <w:sz w:val="20"/>
        </w:rPr>
        <w:t>Reported</w:t>
      </w:r>
      <w:r>
        <w:rPr>
          <w:spacing w:val="-4"/>
          <w:sz w:val="20"/>
        </w:rPr>
        <w:t xml:space="preserve"> </w:t>
      </w:r>
      <w:r>
        <w:rPr>
          <w:sz w:val="20"/>
        </w:rPr>
        <w:t xml:space="preserve">by Inmates, 2011-12. U.S. Department of Justice, Bureau of Justice Statistics. Retrieved from </w:t>
      </w:r>
      <w:bookmarkStart w:id="893" w:name="_bookmark626"/>
      <w:bookmarkEnd w:id="893"/>
      <w:r>
        <w:fldChar w:fldCharType="begin"/>
      </w:r>
      <w:r>
        <w:instrText xml:space="preserve"> HYPERLINK "http://www.bjs.gov/content/pub/pdf/svpjri1112.pdf" \h </w:instrText>
      </w:r>
      <w:r>
        <w:fldChar w:fldCharType="separate"/>
      </w:r>
      <w:r>
        <w:rPr>
          <w:spacing w:val="-2"/>
          <w:sz w:val="20"/>
        </w:rPr>
        <w:t>http://www.bjs.gov/content/pub/pdf/svpjri</w:t>
      </w:r>
      <w:r>
        <w:rPr>
          <w:spacing w:val="-2"/>
          <w:sz w:val="20"/>
        </w:rPr>
        <w:t>1112.pdf.</w:t>
      </w:r>
      <w:r>
        <w:rPr>
          <w:spacing w:val="-2"/>
          <w:sz w:val="20"/>
        </w:rPr>
        <w:fldChar w:fldCharType="end"/>
      </w:r>
    </w:p>
    <w:p w:rsidR="00C76E6D" w:rsidRDefault="00913831">
      <w:pPr>
        <w:spacing w:line="244" w:lineRule="exact"/>
        <w:ind w:left="338"/>
        <w:rPr>
          <w:sz w:val="20"/>
        </w:rPr>
      </w:pPr>
      <w:r>
        <w:rPr>
          <w:sz w:val="20"/>
          <w:vertAlign w:val="superscript"/>
        </w:rPr>
        <w:t>5</w:t>
      </w:r>
      <w:r>
        <w:rPr>
          <w:spacing w:val="-4"/>
          <w:sz w:val="20"/>
        </w:rPr>
        <w:t xml:space="preserve"> </w:t>
      </w:r>
      <w:r>
        <w:rPr>
          <w:sz w:val="20"/>
        </w:rPr>
        <w:t>65</w:t>
      </w:r>
      <w:r>
        <w:rPr>
          <w:spacing w:val="-5"/>
          <w:sz w:val="20"/>
        </w:rPr>
        <w:t xml:space="preserve"> </w:t>
      </w:r>
      <w:r>
        <w:rPr>
          <w:sz w:val="20"/>
        </w:rPr>
        <w:t>Lyndon,</w:t>
      </w:r>
      <w:r>
        <w:rPr>
          <w:spacing w:val="-2"/>
          <w:sz w:val="20"/>
        </w:rPr>
        <w:t xml:space="preserve"> </w:t>
      </w:r>
      <w:r>
        <w:rPr>
          <w:sz w:val="20"/>
        </w:rPr>
        <w:t>J.,</w:t>
      </w:r>
      <w:r>
        <w:rPr>
          <w:spacing w:val="-6"/>
          <w:sz w:val="20"/>
        </w:rPr>
        <w:t xml:space="preserve"> </w:t>
      </w:r>
      <w:r>
        <w:rPr>
          <w:sz w:val="20"/>
        </w:rPr>
        <w:t>et</w:t>
      </w:r>
      <w:r>
        <w:rPr>
          <w:spacing w:val="-3"/>
          <w:sz w:val="20"/>
        </w:rPr>
        <w:t xml:space="preserve"> </w:t>
      </w:r>
      <w:r>
        <w:rPr>
          <w:sz w:val="20"/>
        </w:rPr>
        <w:t>al.</w:t>
      </w:r>
      <w:r>
        <w:rPr>
          <w:spacing w:val="-3"/>
          <w:sz w:val="20"/>
        </w:rPr>
        <w:t xml:space="preserve"> </w:t>
      </w:r>
      <w:r>
        <w:rPr>
          <w:spacing w:val="-2"/>
          <w:sz w:val="20"/>
        </w:rPr>
        <w:t>(2015).</w:t>
      </w:r>
    </w:p>
    <w:p w:rsidR="00C76E6D" w:rsidRDefault="00C76E6D">
      <w:pPr>
        <w:spacing w:line="244" w:lineRule="exact"/>
        <w:rPr>
          <w:sz w:val="20"/>
        </w:rPr>
        <w:sectPr w:rsidR="00C76E6D">
          <w:pgSz w:w="12240" w:h="15840"/>
          <w:pgMar w:top="1000" w:right="960" w:bottom="640" w:left="960" w:header="811" w:footer="440" w:gutter="0"/>
          <w:cols w:space="720"/>
        </w:sectPr>
      </w:pPr>
    </w:p>
    <w:p w:rsidR="00C76E6D" w:rsidRDefault="00C76E6D">
      <w:pPr>
        <w:pStyle w:val="BodyText"/>
        <w:spacing w:before="2"/>
        <w:rPr>
          <w:sz w:val="23"/>
        </w:rPr>
      </w:pPr>
    </w:p>
    <w:p w:rsidR="00C76E6D" w:rsidRDefault="00913831">
      <w:pPr>
        <w:pStyle w:val="Heading2"/>
        <w:tabs>
          <w:tab w:val="left" w:pos="9878"/>
        </w:tabs>
        <w:spacing w:before="35"/>
      </w:pPr>
      <w:bookmarkStart w:id="894" w:name="Registry_of_Motor_Vehicles"/>
      <w:bookmarkStart w:id="895" w:name="_bookmark627"/>
      <w:bookmarkEnd w:id="894"/>
      <w:bookmarkEnd w:id="895"/>
      <w:r>
        <w:rPr>
          <w:u w:val="thick"/>
        </w:rPr>
        <w:t>Registry</w:t>
      </w:r>
      <w:r>
        <w:rPr>
          <w:spacing w:val="-11"/>
          <w:u w:val="thick"/>
        </w:rPr>
        <w:t xml:space="preserve"> </w:t>
      </w:r>
      <w:r>
        <w:rPr>
          <w:u w:val="thick"/>
        </w:rPr>
        <w:t>of</w:t>
      </w:r>
      <w:r>
        <w:rPr>
          <w:spacing w:val="-8"/>
          <w:u w:val="thick"/>
        </w:rPr>
        <w:t xml:space="preserve"> </w:t>
      </w:r>
      <w:r>
        <w:rPr>
          <w:u w:val="thick"/>
        </w:rPr>
        <w:t>Motor</w:t>
      </w:r>
      <w:r>
        <w:rPr>
          <w:spacing w:val="-7"/>
          <w:u w:val="thick"/>
        </w:rPr>
        <w:t xml:space="preserve"> </w:t>
      </w:r>
      <w:r>
        <w:rPr>
          <w:spacing w:val="-2"/>
          <w:u w:val="thick"/>
        </w:rPr>
        <w:t>Vehicles</w:t>
      </w:r>
      <w:r>
        <w:rPr>
          <w:u w:val="thick"/>
        </w:rPr>
        <w:tab/>
      </w:r>
    </w:p>
    <w:p w:rsidR="00C76E6D" w:rsidRDefault="00C76E6D">
      <w:pPr>
        <w:pStyle w:val="BodyText"/>
        <w:spacing w:before="5"/>
        <w:rPr>
          <w:b/>
        </w:rPr>
      </w:pPr>
    </w:p>
    <w:p w:rsidR="00C76E6D" w:rsidRDefault="00913831">
      <w:pPr>
        <w:pStyle w:val="Heading5"/>
        <w:spacing w:before="52"/>
      </w:pPr>
      <w:r>
        <w:rPr>
          <w:spacing w:val="-2"/>
        </w:rPr>
        <w:t>FY2023</w:t>
      </w:r>
      <w:r>
        <w:rPr>
          <w:spacing w:val="-4"/>
        </w:rPr>
        <w:t xml:space="preserve"> </w:t>
      </w:r>
      <w:r>
        <w:rPr>
          <w:spacing w:val="-2"/>
        </w:rPr>
        <w:t>Recommendations</w:t>
      </w:r>
    </w:p>
    <w:p w:rsidR="00C76E6D" w:rsidRDefault="00C76E6D">
      <w:pPr>
        <w:pStyle w:val="BodyText"/>
        <w:rPr>
          <w:b/>
          <w:sz w:val="24"/>
        </w:rPr>
      </w:pPr>
    </w:p>
    <w:p w:rsidR="00C76E6D" w:rsidRDefault="00913831">
      <w:pPr>
        <w:pStyle w:val="ListParagraph"/>
        <w:numPr>
          <w:ilvl w:val="0"/>
          <w:numId w:val="5"/>
        </w:numPr>
        <w:tabs>
          <w:tab w:val="left" w:pos="552"/>
        </w:tabs>
        <w:spacing w:before="1"/>
      </w:pPr>
      <w:r>
        <w:t>Continue</w:t>
      </w:r>
      <w:r>
        <w:rPr>
          <w:spacing w:val="10"/>
        </w:rPr>
        <w:t xml:space="preserve"> </w:t>
      </w:r>
      <w:r>
        <w:t>monitoring</w:t>
      </w:r>
      <w:r>
        <w:rPr>
          <w:spacing w:val="11"/>
        </w:rPr>
        <w:t xml:space="preserve"> </w:t>
      </w:r>
      <w:r>
        <w:t>data</w:t>
      </w:r>
      <w:r>
        <w:rPr>
          <w:spacing w:val="12"/>
        </w:rPr>
        <w:t xml:space="preserve"> </w:t>
      </w:r>
      <w:r>
        <w:t>relating</w:t>
      </w:r>
      <w:r>
        <w:rPr>
          <w:spacing w:val="12"/>
        </w:rPr>
        <w:t xml:space="preserve"> </w:t>
      </w:r>
      <w:r>
        <w:t>to</w:t>
      </w:r>
      <w:r>
        <w:rPr>
          <w:spacing w:val="9"/>
        </w:rPr>
        <w:t xml:space="preserve"> </w:t>
      </w:r>
      <w:r>
        <w:t>nonbinary</w:t>
      </w:r>
      <w:r>
        <w:rPr>
          <w:spacing w:val="10"/>
        </w:rPr>
        <w:t xml:space="preserve"> </w:t>
      </w:r>
      <w:r>
        <w:t>gender</w:t>
      </w:r>
      <w:r>
        <w:rPr>
          <w:spacing w:val="13"/>
        </w:rPr>
        <w:t xml:space="preserve"> </w:t>
      </w:r>
      <w:r>
        <w:t>marker</w:t>
      </w:r>
      <w:r>
        <w:rPr>
          <w:spacing w:val="9"/>
        </w:rPr>
        <w:t xml:space="preserve"> </w:t>
      </w:r>
      <w:r>
        <w:t>in</w:t>
      </w:r>
      <w:r>
        <w:rPr>
          <w:spacing w:val="10"/>
        </w:rPr>
        <w:t xml:space="preserve"> </w:t>
      </w:r>
      <w:r>
        <w:t>the</w:t>
      </w:r>
      <w:r>
        <w:rPr>
          <w:spacing w:val="12"/>
        </w:rPr>
        <w:t xml:space="preserve"> </w:t>
      </w:r>
      <w:r>
        <w:t>RMV’s</w:t>
      </w:r>
      <w:r>
        <w:rPr>
          <w:spacing w:val="11"/>
        </w:rPr>
        <w:t xml:space="preserve"> </w:t>
      </w:r>
      <w:r>
        <w:t>licensing</w:t>
      </w:r>
      <w:r>
        <w:rPr>
          <w:spacing w:val="-10"/>
        </w:rPr>
        <w:t xml:space="preserve"> </w:t>
      </w:r>
      <w:r>
        <w:rPr>
          <w:spacing w:val="-2"/>
        </w:rPr>
        <w:t>system.</w:t>
      </w:r>
    </w:p>
    <w:p w:rsidR="00C76E6D" w:rsidRDefault="00C76E6D">
      <w:pPr>
        <w:pStyle w:val="BodyText"/>
        <w:spacing w:before="1"/>
      </w:pPr>
    </w:p>
    <w:p w:rsidR="00C76E6D" w:rsidRDefault="00913831">
      <w:pPr>
        <w:pStyle w:val="ListParagraph"/>
        <w:numPr>
          <w:ilvl w:val="0"/>
          <w:numId w:val="5"/>
        </w:numPr>
        <w:tabs>
          <w:tab w:val="left" w:pos="562"/>
        </w:tabs>
        <w:ind w:left="561" w:hanging="224"/>
      </w:pPr>
      <w:r>
        <w:rPr>
          <w:w w:val="95"/>
        </w:rPr>
        <w:t>Provide</w:t>
      </w:r>
      <w:r>
        <w:rPr>
          <w:spacing w:val="4"/>
        </w:rPr>
        <w:t xml:space="preserve"> </w:t>
      </w:r>
      <w:r>
        <w:rPr>
          <w:w w:val="95"/>
        </w:rPr>
        <w:t>cultural</w:t>
      </w:r>
      <w:r>
        <w:rPr>
          <w:spacing w:val="5"/>
        </w:rPr>
        <w:t xml:space="preserve"> </w:t>
      </w:r>
      <w:r>
        <w:rPr>
          <w:w w:val="95"/>
        </w:rPr>
        <w:t>humility</w:t>
      </w:r>
      <w:r>
        <w:rPr>
          <w:spacing w:val="6"/>
        </w:rPr>
        <w:t xml:space="preserve"> </w:t>
      </w:r>
      <w:r>
        <w:rPr>
          <w:w w:val="95"/>
        </w:rPr>
        <w:t>training</w:t>
      </w:r>
      <w:r>
        <w:rPr>
          <w:spacing w:val="6"/>
        </w:rPr>
        <w:t xml:space="preserve"> </w:t>
      </w:r>
      <w:r>
        <w:rPr>
          <w:w w:val="95"/>
        </w:rPr>
        <w:t>for</w:t>
      </w:r>
      <w:r>
        <w:rPr>
          <w:spacing w:val="7"/>
        </w:rPr>
        <w:t xml:space="preserve"> </w:t>
      </w:r>
      <w:r>
        <w:rPr>
          <w:w w:val="95"/>
        </w:rPr>
        <w:t>all</w:t>
      </w:r>
      <w:r>
        <w:rPr>
          <w:spacing w:val="13"/>
        </w:rPr>
        <w:t xml:space="preserve"> </w:t>
      </w:r>
      <w:r>
        <w:rPr>
          <w:w w:val="95"/>
        </w:rPr>
        <w:t>line</w:t>
      </w:r>
      <w:r>
        <w:rPr>
          <w:spacing w:val="11"/>
        </w:rPr>
        <w:t xml:space="preserve"> </w:t>
      </w:r>
      <w:r>
        <w:rPr>
          <w:spacing w:val="-2"/>
          <w:w w:val="95"/>
        </w:rPr>
        <w:t>staff.</w:t>
      </w:r>
    </w:p>
    <w:p w:rsidR="00C76E6D" w:rsidRDefault="00C76E6D">
      <w:pPr>
        <w:pStyle w:val="BodyText"/>
        <w:rPr>
          <w:sz w:val="24"/>
        </w:rPr>
      </w:pPr>
    </w:p>
    <w:p w:rsidR="00C76E6D" w:rsidRDefault="00913831">
      <w:pPr>
        <w:pStyle w:val="ListParagraph"/>
        <w:numPr>
          <w:ilvl w:val="0"/>
          <w:numId w:val="5"/>
        </w:numPr>
        <w:tabs>
          <w:tab w:val="left" w:pos="564"/>
        </w:tabs>
        <w:ind w:left="340" w:right="778" w:hanging="1"/>
      </w:pPr>
      <w:r>
        <w:t>Continue</w:t>
      </w:r>
      <w:r>
        <w:rPr>
          <w:spacing w:val="-4"/>
        </w:rPr>
        <w:t xml:space="preserve"> </w:t>
      </w:r>
      <w:r>
        <w:t>to</w:t>
      </w:r>
      <w:r>
        <w:rPr>
          <w:spacing w:val="-4"/>
        </w:rPr>
        <w:t xml:space="preserve"> </w:t>
      </w:r>
      <w:r>
        <w:t>explore</w:t>
      </w:r>
      <w:r>
        <w:rPr>
          <w:spacing w:val="-6"/>
        </w:rPr>
        <w:t xml:space="preserve"> </w:t>
      </w:r>
      <w:r>
        <w:t>initiatives</w:t>
      </w:r>
      <w:r>
        <w:rPr>
          <w:spacing w:val="-6"/>
        </w:rPr>
        <w:t xml:space="preserve"> </w:t>
      </w:r>
      <w:r>
        <w:t>to</w:t>
      </w:r>
      <w:r>
        <w:rPr>
          <w:spacing w:val="-4"/>
        </w:rPr>
        <w:t xml:space="preserve"> </w:t>
      </w:r>
      <w:r>
        <w:t>address</w:t>
      </w:r>
      <w:r>
        <w:rPr>
          <w:spacing w:val="-6"/>
        </w:rPr>
        <w:t xml:space="preserve"> </w:t>
      </w:r>
      <w:r>
        <w:t>barriers</w:t>
      </w:r>
      <w:r>
        <w:rPr>
          <w:spacing w:val="-5"/>
        </w:rPr>
        <w:t xml:space="preserve"> </w:t>
      </w:r>
      <w:r>
        <w:t>to</w:t>
      </w:r>
      <w:r>
        <w:rPr>
          <w:spacing w:val="-4"/>
        </w:rPr>
        <w:t xml:space="preserve"> </w:t>
      </w:r>
      <w:r>
        <w:t>ID</w:t>
      </w:r>
      <w:r>
        <w:rPr>
          <w:spacing w:val="-6"/>
        </w:rPr>
        <w:t xml:space="preserve"> </w:t>
      </w:r>
      <w:r>
        <w:t>access</w:t>
      </w:r>
      <w:r>
        <w:rPr>
          <w:spacing w:val="-6"/>
        </w:rPr>
        <w:t xml:space="preserve"> </w:t>
      </w:r>
      <w:r>
        <w:t>facing</w:t>
      </w:r>
      <w:r>
        <w:rPr>
          <w:spacing w:val="-6"/>
        </w:rPr>
        <w:t xml:space="preserve"> </w:t>
      </w:r>
      <w:r>
        <w:t>youth</w:t>
      </w:r>
      <w:r>
        <w:rPr>
          <w:spacing w:val="-4"/>
        </w:rPr>
        <w:t xml:space="preserve"> </w:t>
      </w:r>
      <w:r>
        <w:t>experiencing</w:t>
      </w:r>
      <w:r>
        <w:rPr>
          <w:spacing w:val="-6"/>
        </w:rPr>
        <w:t xml:space="preserve"> </w:t>
      </w:r>
      <w:r>
        <w:t>or</w:t>
      </w:r>
      <w:r>
        <w:rPr>
          <w:spacing w:val="-6"/>
        </w:rPr>
        <w:t xml:space="preserve"> </w:t>
      </w:r>
      <w:r>
        <w:t>at</w:t>
      </w:r>
      <w:r>
        <w:rPr>
          <w:spacing w:val="-7"/>
        </w:rPr>
        <w:t xml:space="preserve"> </w:t>
      </w:r>
      <w:r>
        <w:t>risk</w:t>
      </w:r>
      <w:r>
        <w:rPr>
          <w:spacing w:val="-5"/>
        </w:rPr>
        <w:t xml:space="preserve"> </w:t>
      </w:r>
      <w:r>
        <w:t xml:space="preserve">for </w:t>
      </w:r>
      <w:r>
        <w:rPr>
          <w:spacing w:val="-2"/>
        </w:rPr>
        <w:t>homelessness.</w:t>
      </w:r>
    </w:p>
    <w:p w:rsidR="00C76E6D" w:rsidRDefault="00C76E6D">
      <w:pPr>
        <w:pStyle w:val="BodyText"/>
        <w:spacing w:before="2"/>
        <w:rPr>
          <w:sz w:val="24"/>
        </w:rPr>
      </w:pPr>
    </w:p>
    <w:p w:rsidR="00C76E6D" w:rsidRDefault="00913831">
      <w:pPr>
        <w:pStyle w:val="ListParagraph"/>
        <w:numPr>
          <w:ilvl w:val="0"/>
          <w:numId w:val="5"/>
        </w:numPr>
        <w:tabs>
          <w:tab w:val="left" w:pos="563"/>
        </w:tabs>
        <w:ind w:left="562" w:hanging="225"/>
      </w:pPr>
      <w:r>
        <w:t>Create</w:t>
      </w:r>
      <w:r>
        <w:rPr>
          <w:spacing w:val="-13"/>
        </w:rPr>
        <w:t xml:space="preserve"> </w:t>
      </w:r>
      <w:r>
        <w:t>and</w:t>
      </w:r>
      <w:r>
        <w:rPr>
          <w:spacing w:val="-8"/>
        </w:rPr>
        <w:t xml:space="preserve"> </w:t>
      </w:r>
      <w:r>
        <w:t>implement</w:t>
      </w:r>
      <w:r>
        <w:rPr>
          <w:spacing w:val="-11"/>
        </w:rPr>
        <w:t xml:space="preserve"> </w:t>
      </w:r>
      <w:r>
        <w:t>a</w:t>
      </w:r>
      <w:r>
        <w:rPr>
          <w:spacing w:val="-5"/>
        </w:rPr>
        <w:t xml:space="preserve"> </w:t>
      </w:r>
      <w:r>
        <w:t>policy</w:t>
      </w:r>
      <w:r>
        <w:rPr>
          <w:spacing w:val="-7"/>
        </w:rPr>
        <w:t xml:space="preserve"> </w:t>
      </w:r>
      <w:r>
        <w:t>to</w:t>
      </w:r>
      <w:r>
        <w:rPr>
          <w:spacing w:val="-7"/>
        </w:rPr>
        <w:t xml:space="preserve"> </w:t>
      </w:r>
      <w:r>
        <w:t>promote</w:t>
      </w:r>
      <w:r>
        <w:rPr>
          <w:spacing w:val="-10"/>
        </w:rPr>
        <w:t xml:space="preserve"> </w:t>
      </w:r>
      <w:r>
        <w:t>nondiscriminatory</w:t>
      </w:r>
      <w:r>
        <w:rPr>
          <w:spacing w:val="-10"/>
        </w:rPr>
        <w:t xml:space="preserve"> </w:t>
      </w:r>
      <w:r>
        <w:t>services</w:t>
      </w:r>
      <w:r>
        <w:rPr>
          <w:spacing w:val="-13"/>
        </w:rPr>
        <w:t xml:space="preserve"> </w:t>
      </w:r>
      <w:r>
        <w:t>for</w:t>
      </w:r>
      <w:r>
        <w:rPr>
          <w:spacing w:val="-9"/>
        </w:rPr>
        <w:t xml:space="preserve"> </w:t>
      </w:r>
      <w:r>
        <w:t>LGBTQ</w:t>
      </w:r>
      <w:r>
        <w:rPr>
          <w:spacing w:val="-8"/>
        </w:rPr>
        <w:t xml:space="preserve"> </w:t>
      </w:r>
      <w:r>
        <w:t>young</w:t>
      </w:r>
      <w:r>
        <w:rPr>
          <w:spacing w:val="-12"/>
        </w:rPr>
        <w:t xml:space="preserve"> </w:t>
      </w:r>
      <w:r>
        <w:rPr>
          <w:spacing w:val="-2"/>
        </w:rPr>
        <w:t>people.</w:t>
      </w:r>
    </w:p>
    <w:p w:rsidR="00C76E6D" w:rsidRDefault="00C76E6D">
      <w:pPr>
        <w:pStyle w:val="BodyText"/>
        <w:spacing w:before="12"/>
        <w:rPr>
          <w:sz w:val="25"/>
        </w:rPr>
      </w:pPr>
    </w:p>
    <w:p w:rsidR="00C76E6D" w:rsidRDefault="00913831">
      <w:pPr>
        <w:pStyle w:val="Heading6"/>
        <w:ind w:left="339"/>
      </w:pPr>
      <w:r>
        <w:rPr>
          <w:w w:val="95"/>
        </w:rPr>
        <w:t>Background</w:t>
      </w:r>
      <w:r>
        <w:rPr>
          <w:spacing w:val="9"/>
        </w:rPr>
        <w:t xml:space="preserve"> </w:t>
      </w:r>
      <w:r>
        <w:rPr>
          <w:w w:val="95"/>
        </w:rPr>
        <w:t>&amp;</w:t>
      </w:r>
      <w:r>
        <w:rPr>
          <w:spacing w:val="11"/>
        </w:rPr>
        <w:t xml:space="preserve"> </w:t>
      </w:r>
      <w:r>
        <w:rPr>
          <w:spacing w:val="-2"/>
          <w:w w:val="95"/>
        </w:rPr>
        <w:t>Research</w:t>
      </w:r>
    </w:p>
    <w:p w:rsidR="00C76E6D" w:rsidRDefault="00913831">
      <w:pPr>
        <w:pStyle w:val="BodyText"/>
        <w:spacing w:before="6"/>
        <w:rPr>
          <w:b/>
          <w:sz w:val="7"/>
        </w:rPr>
      </w:pPr>
      <w:r>
        <w:pict>
          <v:shape id="docshape454" o:spid="_x0000_s1049" style="position:absolute;margin-left:65pt;margin-top:5.8pt;width:476.95pt;height:.1pt;z-index:-15630336;mso-wrap-distance-left:0;mso-wrap-distance-right:0;mso-position-horizontal-relative:page" coordorigin="1300,116" coordsize="9539,0" path="m1300,116r9539,e" filled="f" strokeweight="1.54pt">
            <v:path arrowok="t"/>
            <w10:wrap type="topAndBottom" anchorx="page"/>
          </v:shape>
        </w:pict>
      </w:r>
    </w:p>
    <w:p w:rsidR="00C76E6D" w:rsidRDefault="00C76E6D">
      <w:pPr>
        <w:pStyle w:val="BodyText"/>
        <w:rPr>
          <w:b/>
        </w:rPr>
      </w:pPr>
    </w:p>
    <w:p w:rsidR="00C76E6D" w:rsidRDefault="00913831">
      <w:pPr>
        <w:pStyle w:val="BodyText"/>
        <w:spacing w:before="159"/>
        <w:ind w:left="339" w:right="333" w:hanging="1"/>
        <w:jc w:val="both"/>
      </w:pPr>
      <w:r>
        <w:t>The</w:t>
      </w:r>
      <w:r>
        <w:rPr>
          <w:spacing w:val="-8"/>
        </w:rPr>
        <w:t xml:space="preserve"> </w:t>
      </w:r>
      <w:r>
        <w:t>Massachusetts</w:t>
      </w:r>
      <w:r>
        <w:rPr>
          <w:spacing w:val="-7"/>
        </w:rPr>
        <w:t xml:space="preserve"> </w:t>
      </w:r>
      <w:r>
        <w:t>Commission</w:t>
      </w:r>
      <w:r>
        <w:rPr>
          <w:spacing w:val="-9"/>
        </w:rPr>
        <w:t xml:space="preserve"> </w:t>
      </w:r>
      <w:r>
        <w:t>on</w:t>
      </w:r>
      <w:r>
        <w:rPr>
          <w:spacing w:val="-9"/>
        </w:rPr>
        <w:t xml:space="preserve"> </w:t>
      </w:r>
      <w:r>
        <w:t>LGBTQ</w:t>
      </w:r>
      <w:r>
        <w:rPr>
          <w:spacing w:val="-8"/>
        </w:rPr>
        <w:t xml:space="preserve"> </w:t>
      </w:r>
      <w:r>
        <w:t>Youth</w:t>
      </w:r>
      <w:r>
        <w:rPr>
          <w:spacing w:val="-9"/>
        </w:rPr>
        <w:t xml:space="preserve"> </w:t>
      </w:r>
      <w:r>
        <w:t>is</w:t>
      </w:r>
      <w:r>
        <w:rPr>
          <w:spacing w:val="-7"/>
        </w:rPr>
        <w:t xml:space="preserve"> </w:t>
      </w:r>
      <w:r>
        <w:t>pleased</w:t>
      </w:r>
      <w:r>
        <w:rPr>
          <w:spacing w:val="-9"/>
        </w:rPr>
        <w:t xml:space="preserve"> </w:t>
      </w:r>
      <w:r>
        <w:t>to</w:t>
      </w:r>
      <w:r>
        <w:rPr>
          <w:spacing w:val="-7"/>
        </w:rPr>
        <w:t xml:space="preserve"> </w:t>
      </w:r>
      <w:r>
        <w:t>have</w:t>
      </w:r>
      <w:r>
        <w:rPr>
          <w:spacing w:val="-9"/>
        </w:rPr>
        <w:t xml:space="preserve"> </w:t>
      </w:r>
      <w:r>
        <w:t>an</w:t>
      </w:r>
      <w:r>
        <w:rPr>
          <w:spacing w:val="-9"/>
        </w:rPr>
        <w:t xml:space="preserve"> </w:t>
      </w:r>
      <w:r>
        <w:t>ongoing</w:t>
      </w:r>
      <w:r>
        <w:rPr>
          <w:spacing w:val="-7"/>
        </w:rPr>
        <w:t xml:space="preserve"> </w:t>
      </w:r>
      <w:r>
        <w:t>relationship</w:t>
      </w:r>
      <w:r>
        <w:rPr>
          <w:spacing w:val="-7"/>
        </w:rPr>
        <w:t xml:space="preserve"> </w:t>
      </w:r>
      <w:r>
        <w:t>with</w:t>
      </w:r>
      <w:r>
        <w:rPr>
          <w:spacing w:val="-8"/>
        </w:rPr>
        <w:t xml:space="preserve"> </w:t>
      </w:r>
      <w:r>
        <w:t>the</w:t>
      </w:r>
      <w:r>
        <w:rPr>
          <w:spacing w:val="-8"/>
        </w:rPr>
        <w:t xml:space="preserve"> </w:t>
      </w:r>
      <w:r>
        <w:t>Registry of</w:t>
      </w:r>
      <w:r>
        <w:rPr>
          <w:spacing w:val="-11"/>
        </w:rPr>
        <w:t xml:space="preserve"> </w:t>
      </w:r>
      <w:r>
        <w:t>Motor</w:t>
      </w:r>
      <w:r>
        <w:rPr>
          <w:spacing w:val="-10"/>
        </w:rPr>
        <w:t xml:space="preserve"> </w:t>
      </w:r>
      <w:r>
        <w:t>Vehicles</w:t>
      </w:r>
      <w:r>
        <w:rPr>
          <w:spacing w:val="-9"/>
        </w:rPr>
        <w:t xml:space="preserve"> </w:t>
      </w:r>
      <w:r>
        <w:t>(RMV),</w:t>
      </w:r>
      <w:r>
        <w:rPr>
          <w:spacing w:val="-9"/>
        </w:rPr>
        <w:t xml:space="preserve"> </w:t>
      </w:r>
      <w:r>
        <w:t>whose</w:t>
      </w:r>
      <w:r>
        <w:rPr>
          <w:spacing w:val="-11"/>
        </w:rPr>
        <w:t xml:space="preserve"> </w:t>
      </w:r>
      <w:r>
        <w:t>work</w:t>
      </w:r>
      <w:r>
        <w:rPr>
          <w:spacing w:val="-11"/>
        </w:rPr>
        <w:t xml:space="preserve"> </w:t>
      </w:r>
      <w:r>
        <w:t>is</w:t>
      </w:r>
      <w:r>
        <w:rPr>
          <w:spacing w:val="-11"/>
        </w:rPr>
        <w:t xml:space="preserve"> </w:t>
      </w:r>
      <w:r>
        <w:t>relevant</w:t>
      </w:r>
      <w:r>
        <w:rPr>
          <w:spacing w:val="-10"/>
        </w:rPr>
        <w:t xml:space="preserve"> </w:t>
      </w:r>
      <w:r>
        <w:t>to</w:t>
      </w:r>
      <w:r>
        <w:rPr>
          <w:spacing w:val="-8"/>
        </w:rPr>
        <w:t xml:space="preserve"> </w:t>
      </w:r>
      <w:r>
        <w:t>that</w:t>
      </w:r>
      <w:r>
        <w:rPr>
          <w:spacing w:val="-12"/>
        </w:rPr>
        <w:t xml:space="preserve"> </w:t>
      </w:r>
      <w:r>
        <w:t>of</w:t>
      </w:r>
      <w:r>
        <w:rPr>
          <w:spacing w:val="-10"/>
        </w:rPr>
        <w:t xml:space="preserve"> </w:t>
      </w:r>
      <w:r>
        <w:t>the</w:t>
      </w:r>
      <w:r>
        <w:rPr>
          <w:spacing w:val="-11"/>
        </w:rPr>
        <w:t xml:space="preserve"> </w:t>
      </w:r>
      <w:r>
        <w:t>Commission</w:t>
      </w:r>
      <w:r>
        <w:rPr>
          <w:spacing w:val="-10"/>
        </w:rPr>
        <w:t xml:space="preserve"> </w:t>
      </w:r>
      <w:r>
        <w:t>because</w:t>
      </w:r>
      <w:r>
        <w:rPr>
          <w:spacing w:val="-11"/>
        </w:rPr>
        <w:t xml:space="preserve"> </w:t>
      </w:r>
      <w:r>
        <w:t>it</w:t>
      </w:r>
      <w:r>
        <w:rPr>
          <w:spacing w:val="-10"/>
        </w:rPr>
        <w:t xml:space="preserve"> </w:t>
      </w:r>
      <w:r>
        <w:t>oversees</w:t>
      </w:r>
      <w:r>
        <w:rPr>
          <w:spacing w:val="-11"/>
        </w:rPr>
        <w:t xml:space="preserve"> </w:t>
      </w:r>
      <w:r>
        <w:t>the</w:t>
      </w:r>
      <w:r>
        <w:rPr>
          <w:spacing w:val="-10"/>
        </w:rPr>
        <w:t xml:space="preserve"> </w:t>
      </w:r>
      <w:r>
        <w:t>provision of state IDs. Accurate and up-to-date identity documents are critical for LGBTQ+ young people to access education, employment, services, bank accounts, and more, and youth who lack IDs face a higher risk of adverse</w:t>
      </w:r>
      <w:r>
        <w:rPr>
          <w:spacing w:val="-5"/>
        </w:rPr>
        <w:t xml:space="preserve"> </w:t>
      </w:r>
      <w:r>
        <w:t>encounters</w:t>
      </w:r>
      <w:r>
        <w:rPr>
          <w:spacing w:val="-5"/>
        </w:rPr>
        <w:t xml:space="preserve"> </w:t>
      </w:r>
      <w:r>
        <w:t>with</w:t>
      </w:r>
      <w:r>
        <w:rPr>
          <w:spacing w:val="-5"/>
        </w:rPr>
        <w:t xml:space="preserve"> </w:t>
      </w:r>
      <w:r>
        <w:t>law</w:t>
      </w:r>
      <w:r>
        <w:rPr>
          <w:spacing w:val="-5"/>
        </w:rPr>
        <w:t xml:space="preserve"> </w:t>
      </w:r>
      <w:r>
        <w:t>enforcement</w:t>
      </w:r>
      <w:r>
        <w:t>.</w:t>
      </w:r>
      <w:r>
        <w:rPr>
          <w:spacing w:val="-6"/>
        </w:rPr>
        <w:t xml:space="preserve"> </w:t>
      </w:r>
      <w:r>
        <w:t>Both</w:t>
      </w:r>
      <w:r>
        <w:rPr>
          <w:spacing w:val="-3"/>
        </w:rPr>
        <w:t xml:space="preserve"> </w:t>
      </w:r>
      <w:r>
        <w:t>the</w:t>
      </w:r>
      <w:r>
        <w:rPr>
          <w:spacing w:val="-6"/>
        </w:rPr>
        <w:t xml:space="preserve"> </w:t>
      </w:r>
      <w:r>
        <w:t>passage</w:t>
      </w:r>
      <w:r>
        <w:rPr>
          <w:spacing w:val="-5"/>
        </w:rPr>
        <w:t xml:space="preserve"> </w:t>
      </w:r>
      <w:r>
        <w:t>of</w:t>
      </w:r>
      <w:r>
        <w:rPr>
          <w:spacing w:val="-5"/>
        </w:rPr>
        <w:t xml:space="preserve"> </w:t>
      </w:r>
      <w:r>
        <w:t>REAL</w:t>
      </w:r>
      <w:r>
        <w:rPr>
          <w:spacing w:val="-5"/>
        </w:rPr>
        <w:t xml:space="preserve"> </w:t>
      </w:r>
      <w:r>
        <w:t>ID</w:t>
      </w:r>
      <w:r>
        <w:rPr>
          <w:spacing w:val="-5"/>
        </w:rPr>
        <w:t xml:space="preserve"> </w:t>
      </w:r>
      <w:r>
        <w:t>legislation</w:t>
      </w:r>
      <w:r>
        <w:rPr>
          <w:spacing w:val="-5"/>
        </w:rPr>
        <w:t xml:space="preserve"> </w:t>
      </w:r>
      <w:r>
        <w:t>in</w:t>
      </w:r>
      <w:r>
        <w:rPr>
          <w:spacing w:val="-4"/>
        </w:rPr>
        <w:t xml:space="preserve"> </w:t>
      </w:r>
      <w:r>
        <w:t>Massachusetts</w:t>
      </w:r>
      <w:r>
        <w:rPr>
          <w:spacing w:val="-5"/>
        </w:rPr>
        <w:t xml:space="preserve"> </w:t>
      </w:r>
      <w:r>
        <w:t>and</w:t>
      </w:r>
      <w:r>
        <w:rPr>
          <w:spacing w:val="-4"/>
        </w:rPr>
        <w:t xml:space="preserve"> </w:t>
      </w:r>
      <w:r>
        <w:t>the RMV’s</w:t>
      </w:r>
      <w:r>
        <w:rPr>
          <w:spacing w:val="-9"/>
        </w:rPr>
        <w:t xml:space="preserve"> </w:t>
      </w:r>
      <w:r>
        <w:t>implementation</w:t>
      </w:r>
      <w:r>
        <w:rPr>
          <w:spacing w:val="-9"/>
        </w:rPr>
        <w:t xml:space="preserve"> </w:t>
      </w:r>
      <w:r>
        <w:t>of</w:t>
      </w:r>
      <w:r>
        <w:rPr>
          <w:spacing w:val="-9"/>
        </w:rPr>
        <w:t xml:space="preserve"> </w:t>
      </w:r>
      <w:r>
        <w:t>a</w:t>
      </w:r>
      <w:r>
        <w:rPr>
          <w:spacing w:val="-10"/>
        </w:rPr>
        <w:t xml:space="preserve"> </w:t>
      </w:r>
      <w:r>
        <w:t>new</w:t>
      </w:r>
      <w:r>
        <w:rPr>
          <w:spacing w:val="-9"/>
        </w:rPr>
        <w:t xml:space="preserve"> </w:t>
      </w:r>
      <w:r>
        <w:t>licensing</w:t>
      </w:r>
      <w:r>
        <w:rPr>
          <w:spacing w:val="-9"/>
        </w:rPr>
        <w:t xml:space="preserve"> </w:t>
      </w:r>
      <w:r>
        <w:t>system</w:t>
      </w:r>
      <w:r>
        <w:rPr>
          <w:spacing w:val="-9"/>
        </w:rPr>
        <w:t xml:space="preserve"> </w:t>
      </w:r>
      <w:r>
        <w:t>in</w:t>
      </w:r>
      <w:r>
        <w:rPr>
          <w:spacing w:val="-9"/>
        </w:rPr>
        <w:t xml:space="preserve"> </w:t>
      </w:r>
      <w:r>
        <w:t>2018</w:t>
      </w:r>
      <w:r>
        <w:rPr>
          <w:spacing w:val="-10"/>
        </w:rPr>
        <w:t xml:space="preserve"> </w:t>
      </w:r>
      <w:r>
        <w:t>have</w:t>
      </w:r>
      <w:r>
        <w:rPr>
          <w:spacing w:val="-9"/>
        </w:rPr>
        <w:t xml:space="preserve"> </w:t>
      </w:r>
      <w:r>
        <w:t>presented</w:t>
      </w:r>
      <w:r>
        <w:rPr>
          <w:spacing w:val="-9"/>
        </w:rPr>
        <w:t xml:space="preserve"> </w:t>
      </w:r>
      <w:r>
        <w:t>opportunities</w:t>
      </w:r>
      <w:r>
        <w:rPr>
          <w:spacing w:val="-10"/>
        </w:rPr>
        <w:t xml:space="preserve"> </w:t>
      </w:r>
      <w:r>
        <w:t>for</w:t>
      </w:r>
      <w:r>
        <w:rPr>
          <w:spacing w:val="-9"/>
        </w:rPr>
        <w:t xml:space="preserve"> </w:t>
      </w:r>
      <w:r>
        <w:t>collaboration</w:t>
      </w:r>
      <w:r>
        <w:rPr>
          <w:spacing w:val="-9"/>
        </w:rPr>
        <w:t xml:space="preserve"> </w:t>
      </w:r>
      <w:r>
        <w:t>and partnership between these two entities.</w:t>
      </w:r>
    </w:p>
    <w:p w:rsidR="00C76E6D" w:rsidRDefault="00C76E6D">
      <w:pPr>
        <w:pStyle w:val="BodyText"/>
        <w:spacing w:before="8"/>
        <w:rPr>
          <w:sz w:val="19"/>
        </w:rPr>
      </w:pPr>
    </w:p>
    <w:p w:rsidR="00C76E6D" w:rsidRDefault="00913831">
      <w:pPr>
        <w:pStyle w:val="BodyText"/>
        <w:ind w:left="339" w:right="332"/>
        <w:jc w:val="both"/>
      </w:pPr>
      <w:r>
        <w:t>The RMV achieved a major recommendation of the Commission in the fall of 2019 when it allowed for the first time for Massachusetts residents to identify with a nonbinary “X” gender marker in both REAL ID and state</w:t>
      </w:r>
      <w:r>
        <w:rPr>
          <w:spacing w:val="-3"/>
        </w:rPr>
        <w:t xml:space="preserve"> </w:t>
      </w:r>
      <w:r>
        <w:t>IDs.</w:t>
      </w:r>
      <w:r>
        <w:rPr>
          <w:spacing w:val="-2"/>
        </w:rPr>
        <w:t xml:space="preserve"> </w:t>
      </w:r>
      <w:r>
        <w:t>As detailed</w:t>
      </w:r>
      <w:r>
        <w:rPr>
          <w:spacing w:val="-2"/>
        </w:rPr>
        <w:t xml:space="preserve"> </w:t>
      </w:r>
      <w:r>
        <w:t>in</w:t>
      </w:r>
      <w:r>
        <w:rPr>
          <w:spacing w:val="-2"/>
        </w:rPr>
        <w:t xml:space="preserve"> </w:t>
      </w:r>
      <w:r>
        <w:t>the</w:t>
      </w:r>
      <w:r>
        <w:rPr>
          <w:spacing w:val="-3"/>
        </w:rPr>
        <w:t xml:space="preserve"> </w:t>
      </w:r>
      <w:r>
        <w:t>first</w:t>
      </w:r>
      <w:r>
        <w:rPr>
          <w:spacing w:val="-4"/>
        </w:rPr>
        <w:t xml:space="preserve"> </w:t>
      </w:r>
      <w:r>
        <w:t>recommendation</w:t>
      </w:r>
      <w:r>
        <w:rPr>
          <w:spacing w:val="-3"/>
        </w:rPr>
        <w:t xml:space="preserve"> </w:t>
      </w:r>
      <w:r>
        <w:t>below,</w:t>
      </w:r>
      <w:r>
        <w:rPr>
          <w:spacing w:val="-3"/>
        </w:rPr>
        <w:t xml:space="preserve"> </w:t>
      </w:r>
      <w:r>
        <w:t>this</w:t>
      </w:r>
      <w:r>
        <w:rPr>
          <w:spacing w:val="-1"/>
        </w:rPr>
        <w:t xml:space="preserve"> </w:t>
      </w:r>
      <w:r>
        <w:t>has</w:t>
      </w:r>
      <w:r>
        <w:rPr>
          <w:spacing w:val="-1"/>
        </w:rPr>
        <w:t xml:space="preserve"> </w:t>
      </w:r>
      <w:r>
        <w:t>proven</w:t>
      </w:r>
      <w:r>
        <w:rPr>
          <w:spacing w:val="-2"/>
        </w:rPr>
        <w:t xml:space="preserve"> </w:t>
      </w:r>
      <w:r>
        <w:t>to</w:t>
      </w:r>
      <w:r>
        <w:rPr>
          <w:spacing w:val="-1"/>
        </w:rPr>
        <w:t xml:space="preserve"> </w:t>
      </w:r>
      <w:r>
        <w:t>be</w:t>
      </w:r>
      <w:r>
        <w:rPr>
          <w:spacing w:val="-2"/>
        </w:rPr>
        <w:t xml:space="preserve"> </w:t>
      </w:r>
      <w:r>
        <w:t>a</w:t>
      </w:r>
      <w:r>
        <w:rPr>
          <w:spacing w:val="-3"/>
        </w:rPr>
        <w:t xml:space="preserve"> </w:t>
      </w:r>
      <w:r>
        <w:t>successful change</w:t>
      </w:r>
      <w:r>
        <w:rPr>
          <w:spacing w:val="-1"/>
        </w:rPr>
        <w:t xml:space="preserve"> </w:t>
      </w:r>
      <w:r>
        <w:t>that</w:t>
      </w:r>
      <w:r>
        <w:rPr>
          <w:spacing w:val="-1"/>
        </w:rPr>
        <w:t xml:space="preserve"> </w:t>
      </w:r>
      <w:r>
        <w:t>was immediately</w:t>
      </w:r>
      <w:r>
        <w:rPr>
          <w:spacing w:val="-10"/>
        </w:rPr>
        <w:t xml:space="preserve"> </w:t>
      </w:r>
      <w:r>
        <w:t>embraced</w:t>
      </w:r>
      <w:r>
        <w:rPr>
          <w:spacing w:val="-12"/>
        </w:rPr>
        <w:t xml:space="preserve"> </w:t>
      </w:r>
      <w:r>
        <w:t>by</w:t>
      </w:r>
      <w:r>
        <w:rPr>
          <w:spacing w:val="-10"/>
        </w:rPr>
        <w:t xml:space="preserve"> </w:t>
      </w:r>
      <w:r>
        <w:t>many</w:t>
      </w:r>
      <w:r>
        <w:rPr>
          <w:spacing w:val="-11"/>
        </w:rPr>
        <w:t xml:space="preserve"> </w:t>
      </w:r>
      <w:r>
        <w:t>members</w:t>
      </w:r>
      <w:r>
        <w:rPr>
          <w:spacing w:val="-12"/>
        </w:rPr>
        <w:t xml:space="preserve"> </w:t>
      </w:r>
      <w:r>
        <w:t>of</w:t>
      </w:r>
      <w:r>
        <w:rPr>
          <w:spacing w:val="-13"/>
        </w:rPr>
        <w:t xml:space="preserve"> </w:t>
      </w:r>
      <w:r>
        <w:t>the</w:t>
      </w:r>
      <w:r>
        <w:rPr>
          <w:spacing w:val="-11"/>
        </w:rPr>
        <w:t xml:space="preserve"> </w:t>
      </w:r>
      <w:r>
        <w:t>LGBTQ</w:t>
      </w:r>
      <w:r>
        <w:rPr>
          <w:spacing w:val="-12"/>
        </w:rPr>
        <w:t xml:space="preserve"> </w:t>
      </w:r>
      <w:r>
        <w:t>community.</w:t>
      </w:r>
      <w:r>
        <w:rPr>
          <w:spacing w:val="-13"/>
        </w:rPr>
        <w:t xml:space="preserve"> </w:t>
      </w:r>
      <w:r>
        <w:t>In</w:t>
      </w:r>
      <w:r>
        <w:rPr>
          <w:spacing w:val="-11"/>
        </w:rPr>
        <w:t xml:space="preserve"> </w:t>
      </w:r>
      <w:r>
        <w:t>the</w:t>
      </w:r>
      <w:r>
        <w:rPr>
          <w:spacing w:val="-12"/>
        </w:rPr>
        <w:t xml:space="preserve"> </w:t>
      </w:r>
      <w:r>
        <w:t>fall</w:t>
      </w:r>
      <w:r>
        <w:rPr>
          <w:spacing w:val="-13"/>
        </w:rPr>
        <w:t xml:space="preserve"> </w:t>
      </w:r>
      <w:r>
        <w:t>of</w:t>
      </w:r>
      <w:r>
        <w:rPr>
          <w:spacing w:val="-9"/>
        </w:rPr>
        <w:t xml:space="preserve"> </w:t>
      </w:r>
      <w:r>
        <w:t>2018,</w:t>
      </w:r>
      <w:r>
        <w:rPr>
          <w:spacing w:val="-12"/>
        </w:rPr>
        <w:t xml:space="preserve"> </w:t>
      </w:r>
      <w:r>
        <w:t>the</w:t>
      </w:r>
      <w:r>
        <w:rPr>
          <w:spacing w:val="-12"/>
        </w:rPr>
        <w:t xml:space="preserve"> </w:t>
      </w:r>
      <w:r>
        <w:t>RMV</w:t>
      </w:r>
      <w:r>
        <w:rPr>
          <w:spacing w:val="-12"/>
        </w:rPr>
        <w:t xml:space="preserve"> </w:t>
      </w:r>
      <w:r>
        <w:t>first</w:t>
      </w:r>
      <w:r>
        <w:rPr>
          <w:spacing w:val="-13"/>
        </w:rPr>
        <w:t xml:space="preserve"> </w:t>
      </w:r>
      <w:r>
        <w:t>allowed individuals to change their gender marker as easily as they can change any othe</w:t>
      </w:r>
      <w:r>
        <w:t>r detail of their ID; they no longer need to provide medical documentation, or even complete a self-attestation. These changes have helped to remove many of the barriers LGBTQ people, and particularly transgender and gender- nonconforming people, have face</w:t>
      </w:r>
      <w:r>
        <w:t>d in obtaining an ID that accurately captures their gender identity. The Commission</w:t>
      </w:r>
      <w:r>
        <w:rPr>
          <w:spacing w:val="-6"/>
        </w:rPr>
        <w:t xml:space="preserve"> </w:t>
      </w:r>
      <w:r>
        <w:t>believes</w:t>
      </w:r>
      <w:r>
        <w:rPr>
          <w:spacing w:val="-6"/>
        </w:rPr>
        <w:t xml:space="preserve"> </w:t>
      </w:r>
      <w:r>
        <w:t>that</w:t>
      </w:r>
      <w:r>
        <w:rPr>
          <w:spacing w:val="-5"/>
        </w:rPr>
        <w:t xml:space="preserve"> </w:t>
      </w:r>
      <w:r>
        <w:t>these</w:t>
      </w:r>
      <w:r>
        <w:rPr>
          <w:spacing w:val="-5"/>
        </w:rPr>
        <w:t xml:space="preserve"> </w:t>
      </w:r>
      <w:r>
        <w:t>changes</w:t>
      </w:r>
      <w:r>
        <w:rPr>
          <w:spacing w:val="-7"/>
        </w:rPr>
        <w:t xml:space="preserve"> </w:t>
      </w:r>
      <w:r>
        <w:t>are</w:t>
      </w:r>
      <w:r>
        <w:rPr>
          <w:spacing w:val="-7"/>
        </w:rPr>
        <w:t xml:space="preserve"> </w:t>
      </w:r>
      <w:r>
        <w:t>extremely</w:t>
      </w:r>
      <w:r>
        <w:rPr>
          <w:spacing w:val="-7"/>
        </w:rPr>
        <w:t xml:space="preserve"> </w:t>
      </w:r>
      <w:r>
        <w:t>positive</w:t>
      </w:r>
      <w:r>
        <w:rPr>
          <w:spacing w:val="-6"/>
        </w:rPr>
        <w:t xml:space="preserve"> </w:t>
      </w:r>
      <w:r>
        <w:t>and</w:t>
      </w:r>
      <w:r>
        <w:rPr>
          <w:spacing w:val="-8"/>
        </w:rPr>
        <w:t xml:space="preserve"> </w:t>
      </w:r>
      <w:r>
        <w:t>help</w:t>
      </w:r>
      <w:r>
        <w:rPr>
          <w:spacing w:val="-6"/>
        </w:rPr>
        <w:t xml:space="preserve"> </w:t>
      </w:r>
      <w:r>
        <w:t>to</w:t>
      </w:r>
      <w:r>
        <w:rPr>
          <w:spacing w:val="-5"/>
        </w:rPr>
        <w:t xml:space="preserve"> </w:t>
      </w:r>
      <w:r>
        <w:t>make</w:t>
      </w:r>
      <w:r>
        <w:rPr>
          <w:spacing w:val="-7"/>
        </w:rPr>
        <w:t xml:space="preserve"> </w:t>
      </w:r>
      <w:r>
        <w:t>Massachusetts</w:t>
      </w:r>
      <w:r>
        <w:rPr>
          <w:spacing w:val="-6"/>
        </w:rPr>
        <w:t xml:space="preserve"> </w:t>
      </w:r>
      <w:r>
        <w:t>a</w:t>
      </w:r>
      <w:r>
        <w:rPr>
          <w:spacing w:val="-6"/>
        </w:rPr>
        <w:t xml:space="preserve"> </w:t>
      </w:r>
      <w:r>
        <w:t>leader</w:t>
      </w:r>
      <w:r>
        <w:rPr>
          <w:spacing w:val="-3"/>
        </w:rPr>
        <w:t xml:space="preserve"> </w:t>
      </w:r>
      <w:r>
        <w:t>on affirming ID access for transgender and gender-nonconforming individuals.</w:t>
      </w:r>
    </w:p>
    <w:p w:rsidR="00C76E6D" w:rsidRDefault="00C76E6D">
      <w:pPr>
        <w:pStyle w:val="BodyText"/>
        <w:spacing w:before="9"/>
        <w:rPr>
          <w:sz w:val="19"/>
        </w:rPr>
      </w:pPr>
    </w:p>
    <w:p w:rsidR="00C76E6D" w:rsidRDefault="00913831">
      <w:pPr>
        <w:pStyle w:val="BodyText"/>
        <w:ind w:left="338" w:right="336"/>
        <w:jc w:val="both"/>
      </w:pPr>
      <w:r>
        <w:t>Research has shown ID access to be critical for this population. For example, one recent study found that nearly one-third of transgender individuals who showed ID incongruent with their gender presentation had a negative experience such as being harassed,</w:t>
      </w:r>
      <w:r>
        <w:t xml:space="preserve"> denied services, or attacked</w:t>
      </w:r>
      <w:hyperlink w:anchor="_bookmark628" w:history="1">
        <w:r>
          <w:t>.</w:t>
        </w:r>
        <w:r>
          <w:rPr>
            <w:vertAlign w:val="superscript"/>
          </w:rPr>
          <w:t>1</w:t>
        </w:r>
        <w:r>
          <w:t xml:space="preserve"> I</w:t>
        </w:r>
      </w:hyperlink>
      <w:r>
        <w:t>D access is also particularly relevant for LGBTQ+ youth experiencing homelessness, which is the subject of one of the core recommendations</w:t>
      </w:r>
      <w:r>
        <w:rPr>
          <w:spacing w:val="-7"/>
        </w:rPr>
        <w:t xml:space="preserve"> </w:t>
      </w:r>
      <w:r>
        <w:t>on</w:t>
      </w:r>
      <w:r>
        <w:rPr>
          <w:spacing w:val="-8"/>
        </w:rPr>
        <w:t xml:space="preserve"> </w:t>
      </w:r>
      <w:r>
        <w:t>homelessness</w:t>
      </w:r>
      <w:r>
        <w:rPr>
          <w:spacing w:val="-7"/>
        </w:rPr>
        <w:t xml:space="preserve"> </w:t>
      </w:r>
      <w:r>
        <w:t>above.</w:t>
      </w:r>
      <w:r>
        <w:rPr>
          <w:spacing w:val="-8"/>
        </w:rPr>
        <w:t xml:space="preserve"> </w:t>
      </w:r>
      <w:r>
        <w:t>The</w:t>
      </w:r>
      <w:r>
        <w:rPr>
          <w:spacing w:val="-6"/>
        </w:rPr>
        <w:t xml:space="preserve"> </w:t>
      </w:r>
      <w:r>
        <w:t>2019</w:t>
      </w:r>
      <w:r>
        <w:rPr>
          <w:spacing w:val="-6"/>
        </w:rPr>
        <w:t xml:space="preserve"> </w:t>
      </w:r>
      <w:r>
        <w:t>Massachusetts</w:t>
      </w:r>
      <w:r>
        <w:rPr>
          <w:spacing w:val="-7"/>
        </w:rPr>
        <w:t xml:space="preserve"> </w:t>
      </w:r>
      <w:r>
        <w:t>Youth</w:t>
      </w:r>
      <w:r>
        <w:rPr>
          <w:spacing w:val="-8"/>
        </w:rPr>
        <w:t xml:space="preserve"> </w:t>
      </w:r>
      <w:r>
        <w:t>Count</w:t>
      </w:r>
      <w:r>
        <w:rPr>
          <w:spacing w:val="-8"/>
        </w:rPr>
        <w:t xml:space="preserve"> </w:t>
      </w:r>
      <w:r>
        <w:t>demonstrated</w:t>
      </w:r>
      <w:r>
        <w:rPr>
          <w:spacing w:val="-6"/>
        </w:rPr>
        <w:t xml:space="preserve"> </w:t>
      </w:r>
      <w:r>
        <w:t>that</w:t>
      </w:r>
      <w:r>
        <w:rPr>
          <w:spacing w:val="-7"/>
        </w:rPr>
        <w:t xml:space="preserve"> </w:t>
      </w:r>
      <w:r>
        <w:t>10%</w:t>
      </w:r>
      <w:r>
        <w:rPr>
          <w:spacing w:val="-5"/>
        </w:rPr>
        <w:t xml:space="preserve"> </w:t>
      </w:r>
      <w:r>
        <w:t>of youth</w:t>
      </w:r>
      <w:r>
        <w:rPr>
          <w:spacing w:val="-7"/>
        </w:rPr>
        <w:t xml:space="preserve"> </w:t>
      </w:r>
      <w:r>
        <w:t>experiencing</w:t>
      </w:r>
      <w:r>
        <w:rPr>
          <w:spacing w:val="-6"/>
        </w:rPr>
        <w:t xml:space="preserve"> </w:t>
      </w:r>
      <w:r>
        <w:t>homelessness</w:t>
      </w:r>
      <w:r>
        <w:rPr>
          <w:spacing w:val="-7"/>
        </w:rPr>
        <w:t xml:space="preserve"> </w:t>
      </w:r>
      <w:r>
        <w:t>were</w:t>
      </w:r>
      <w:r>
        <w:rPr>
          <w:spacing w:val="-6"/>
        </w:rPr>
        <w:t xml:space="preserve"> </w:t>
      </w:r>
      <w:r>
        <w:t>not</w:t>
      </w:r>
      <w:r>
        <w:rPr>
          <w:spacing w:val="-8"/>
        </w:rPr>
        <w:t xml:space="preserve"> </w:t>
      </w:r>
      <w:r>
        <w:t>able</w:t>
      </w:r>
      <w:r>
        <w:rPr>
          <w:spacing w:val="-5"/>
        </w:rPr>
        <w:t xml:space="preserve"> </w:t>
      </w:r>
      <w:r>
        <w:t>to</w:t>
      </w:r>
      <w:r>
        <w:rPr>
          <w:spacing w:val="-6"/>
        </w:rPr>
        <w:t xml:space="preserve"> </w:t>
      </w:r>
      <w:r>
        <w:t>access</w:t>
      </w:r>
      <w:r>
        <w:rPr>
          <w:spacing w:val="-7"/>
        </w:rPr>
        <w:t xml:space="preserve"> </w:t>
      </w:r>
      <w:r>
        <w:t>needed</w:t>
      </w:r>
      <w:r>
        <w:rPr>
          <w:spacing w:val="-8"/>
        </w:rPr>
        <w:t xml:space="preserve"> </w:t>
      </w:r>
      <w:r>
        <w:t>services</w:t>
      </w:r>
      <w:r>
        <w:rPr>
          <w:spacing w:val="-6"/>
        </w:rPr>
        <w:t xml:space="preserve"> </w:t>
      </w:r>
      <w:r>
        <w:t>because</w:t>
      </w:r>
      <w:r>
        <w:rPr>
          <w:spacing w:val="-8"/>
        </w:rPr>
        <w:t xml:space="preserve"> </w:t>
      </w:r>
      <w:r>
        <w:t>they</w:t>
      </w:r>
      <w:r>
        <w:rPr>
          <w:spacing w:val="-5"/>
        </w:rPr>
        <w:t xml:space="preserve"> </w:t>
      </w:r>
      <w:r>
        <w:t>did</w:t>
      </w:r>
      <w:r>
        <w:rPr>
          <w:spacing w:val="-7"/>
        </w:rPr>
        <w:t xml:space="preserve"> </w:t>
      </w:r>
      <w:r>
        <w:t>not</w:t>
      </w:r>
      <w:r>
        <w:rPr>
          <w:spacing w:val="-8"/>
        </w:rPr>
        <w:t xml:space="preserve"> </w:t>
      </w:r>
      <w:r>
        <w:t>have</w:t>
      </w:r>
      <w:r>
        <w:rPr>
          <w:spacing w:val="-7"/>
        </w:rPr>
        <w:t xml:space="preserve"> </w:t>
      </w:r>
      <w:r>
        <w:t xml:space="preserve">proper </w:t>
      </w:r>
      <w:r>
        <w:rPr>
          <w:spacing w:val="-4"/>
        </w:rPr>
        <w:t>ID</w:t>
      </w:r>
      <w:hyperlink w:anchor="_bookmark629" w:history="1">
        <w:r>
          <w:rPr>
            <w:spacing w:val="-4"/>
          </w:rPr>
          <w:t>.</w:t>
        </w:r>
        <w:r>
          <w:rPr>
            <w:spacing w:val="-4"/>
            <w:vertAlign w:val="superscript"/>
          </w:rPr>
          <w:t>2</w:t>
        </w:r>
      </w:hyperlink>
    </w:p>
    <w:p w:rsidR="00C76E6D" w:rsidRDefault="00C76E6D">
      <w:pPr>
        <w:pStyle w:val="BodyText"/>
        <w:spacing w:before="6"/>
        <w:rPr>
          <w:sz w:val="19"/>
        </w:rPr>
      </w:pPr>
    </w:p>
    <w:p w:rsidR="00C76E6D" w:rsidRDefault="00913831">
      <w:pPr>
        <w:pStyle w:val="BodyText"/>
        <w:ind w:left="338" w:right="336"/>
        <w:jc w:val="both"/>
      </w:pPr>
      <w:r>
        <w:t>National partners such as the American Bar Association and the U.S. Interagency Council on Homelessness have also found that access to ID documents is an important issue for young people experiencing homelessness.</w:t>
      </w:r>
      <w:r>
        <w:rPr>
          <w:vertAlign w:val="superscript"/>
        </w:rPr>
        <w:t>69</w:t>
      </w:r>
      <w:r>
        <w:t xml:space="preserve"> In the fall of 2014, the Commission held</w:t>
      </w:r>
      <w:r>
        <w:t xml:space="preserve"> a Boston-area convening of youth-serving community</w:t>
      </w:r>
      <w:r>
        <w:rPr>
          <w:spacing w:val="-3"/>
        </w:rPr>
        <w:t xml:space="preserve"> </w:t>
      </w:r>
      <w:r>
        <w:t>organizations.</w:t>
      </w:r>
      <w:r>
        <w:rPr>
          <w:spacing w:val="-2"/>
        </w:rPr>
        <w:t xml:space="preserve"> </w:t>
      </w:r>
      <w:r>
        <w:t>Providers</w:t>
      </w:r>
      <w:r>
        <w:rPr>
          <w:spacing w:val="-3"/>
        </w:rPr>
        <w:t xml:space="preserve"> </w:t>
      </w:r>
      <w:r>
        <w:t>and</w:t>
      </w:r>
      <w:r>
        <w:rPr>
          <w:spacing w:val="-4"/>
        </w:rPr>
        <w:t xml:space="preserve"> </w:t>
      </w:r>
      <w:r>
        <w:t>young</w:t>
      </w:r>
      <w:r>
        <w:rPr>
          <w:spacing w:val="-2"/>
        </w:rPr>
        <w:t xml:space="preserve"> </w:t>
      </w:r>
      <w:r>
        <w:t>people</w:t>
      </w:r>
      <w:r>
        <w:rPr>
          <w:spacing w:val="-4"/>
        </w:rPr>
        <w:t xml:space="preserve"> </w:t>
      </w:r>
      <w:r>
        <w:t>identified</w:t>
      </w:r>
      <w:r>
        <w:rPr>
          <w:spacing w:val="-2"/>
        </w:rPr>
        <w:t xml:space="preserve"> </w:t>
      </w:r>
      <w:r>
        <w:t>lack</w:t>
      </w:r>
      <w:r>
        <w:rPr>
          <w:spacing w:val="-4"/>
        </w:rPr>
        <w:t xml:space="preserve"> </w:t>
      </w:r>
      <w:r>
        <w:t>of</w:t>
      </w:r>
      <w:r>
        <w:rPr>
          <w:spacing w:val="-3"/>
        </w:rPr>
        <w:t xml:space="preserve"> </w:t>
      </w:r>
      <w:r>
        <w:t>access</w:t>
      </w:r>
      <w:r>
        <w:rPr>
          <w:spacing w:val="-1"/>
        </w:rPr>
        <w:t xml:space="preserve"> </w:t>
      </w:r>
      <w:r>
        <w:t>to</w:t>
      </w:r>
      <w:r>
        <w:rPr>
          <w:spacing w:val="-3"/>
        </w:rPr>
        <w:t xml:space="preserve"> </w:t>
      </w:r>
      <w:r>
        <w:t>state-issued</w:t>
      </w:r>
      <w:r>
        <w:rPr>
          <w:spacing w:val="-4"/>
        </w:rPr>
        <w:t xml:space="preserve"> </w:t>
      </w:r>
      <w:r>
        <w:t>identification as a major barrier to services for homeless and low-income youth. Young people sometimes leave their home</w:t>
      </w:r>
      <w:r>
        <w:t>s of origin in a hurry and returning for ID cards may be physically or emotionally unsafe. In other instances,</w:t>
      </w:r>
      <w:r>
        <w:rPr>
          <w:spacing w:val="-4"/>
        </w:rPr>
        <w:t xml:space="preserve"> </w:t>
      </w:r>
      <w:r>
        <w:t>ID cards</w:t>
      </w:r>
      <w:r>
        <w:rPr>
          <w:spacing w:val="-4"/>
        </w:rPr>
        <w:t xml:space="preserve"> </w:t>
      </w:r>
      <w:r>
        <w:t>are</w:t>
      </w:r>
      <w:r>
        <w:rPr>
          <w:spacing w:val="-5"/>
        </w:rPr>
        <w:t xml:space="preserve"> </w:t>
      </w:r>
      <w:r>
        <w:t>stolen,</w:t>
      </w:r>
      <w:r>
        <w:rPr>
          <w:spacing w:val="-4"/>
        </w:rPr>
        <w:t xml:space="preserve"> </w:t>
      </w:r>
      <w:r>
        <w:t>lost,</w:t>
      </w:r>
      <w:r>
        <w:rPr>
          <w:spacing w:val="-4"/>
        </w:rPr>
        <w:t xml:space="preserve"> </w:t>
      </w:r>
      <w:r>
        <w:t>or</w:t>
      </w:r>
      <w:r>
        <w:rPr>
          <w:spacing w:val="-4"/>
        </w:rPr>
        <w:t xml:space="preserve"> </w:t>
      </w:r>
      <w:r>
        <w:t>confiscated</w:t>
      </w:r>
      <w:r>
        <w:rPr>
          <w:spacing w:val="-4"/>
        </w:rPr>
        <w:t xml:space="preserve"> </w:t>
      </w:r>
      <w:r>
        <w:t>while</w:t>
      </w:r>
      <w:r>
        <w:rPr>
          <w:spacing w:val="-5"/>
        </w:rPr>
        <w:t xml:space="preserve"> </w:t>
      </w:r>
      <w:r>
        <w:t>youth</w:t>
      </w:r>
      <w:r>
        <w:rPr>
          <w:spacing w:val="-5"/>
        </w:rPr>
        <w:t xml:space="preserve"> </w:t>
      </w:r>
      <w:r>
        <w:t>are</w:t>
      </w:r>
      <w:r>
        <w:rPr>
          <w:spacing w:val="-4"/>
        </w:rPr>
        <w:t xml:space="preserve"> </w:t>
      </w:r>
      <w:r>
        <w:t>experiencing</w:t>
      </w:r>
      <w:r>
        <w:rPr>
          <w:spacing w:val="-3"/>
        </w:rPr>
        <w:t xml:space="preserve"> </w:t>
      </w:r>
      <w:r>
        <w:t>homelessness.</w:t>
      </w:r>
      <w:r>
        <w:rPr>
          <w:spacing w:val="-4"/>
        </w:rPr>
        <w:t xml:space="preserve"> </w:t>
      </w:r>
      <w:r>
        <w:t>Furthermore,</w:t>
      </w:r>
    </w:p>
    <w:p w:rsidR="00C76E6D" w:rsidRDefault="00C76E6D">
      <w:pPr>
        <w:jc w:val="both"/>
        <w:sectPr w:rsidR="00C76E6D">
          <w:headerReference w:type="default" r:id="rId454"/>
          <w:footerReference w:type="default" r:id="rId455"/>
          <w:pgSz w:w="12240" w:h="15840"/>
          <w:pgMar w:top="1000" w:right="960" w:bottom="640" w:left="960" w:header="811" w:footer="440" w:gutter="0"/>
          <w:cols w:space="720"/>
        </w:sectPr>
      </w:pPr>
    </w:p>
    <w:p w:rsidR="00C76E6D" w:rsidRDefault="00C76E6D">
      <w:pPr>
        <w:pStyle w:val="BodyText"/>
        <w:spacing w:before="1"/>
        <w:rPr>
          <w:sz w:val="24"/>
        </w:rPr>
      </w:pPr>
    </w:p>
    <w:p w:rsidR="00C76E6D" w:rsidRDefault="00913831">
      <w:pPr>
        <w:pStyle w:val="BodyText"/>
        <w:spacing w:before="56"/>
        <w:ind w:left="338" w:right="335"/>
        <w:jc w:val="both"/>
      </w:pPr>
      <w:r>
        <w:t>even a $25 fee to obtain ID cards may be out of reach for young people experiencing homelessness. Other barriers</w:t>
      </w:r>
      <w:r>
        <w:rPr>
          <w:spacing w:val="-1"/>
        </w:rPr>
        <w:t xml:space="preserve"> </w:t>
      </w:r>
      <w:r>
        <w:t>include</w:t>
      </w:r>
      <w:r>
        <w:rPr>
          <w:spacing w:val="-2"/>
        </w:rPr>
        <w:t xml:space="preserve"> </w:t>
      </w:r>
      <w:r>
        <w:t>requirements</w:t>
      </w:r>
      <w:r>
        <w:rPr>
          <w:spacing w:val="-1"/>
        </w:rPr>
        <w:t xml:space="preserve"> </w:t>
      </w:r>
      <w:r>
        <w:t>for</w:t>
      </w:r>
      <w:r>
        <w:rPr>
          <w:spacing w:val="-1"/>
        </w:rPr>
        <w:t xml:space="preserve"> </w:t>
      </w:r>
      <w:r>
        <w:t>minors</w:t>
      </w:r>
      <w:r>
        <w:rPr>
          <w:spacing w:val="-1"/>
        </w:rPr>
        <w:t xml:space="preserve"> </w:t>
      </w:r>
      <w:r>
        <w:t>to</w:t>
      </w:r>
      <w:r>
        <w:rPr>
          <w:spacing w:val="-1"/>
        </w:rPr>
        <w:t xml:space="preserve"> </w:t>
      </w:r>
      <w:r>
        <w:t>obtain</w:t>
      </w:r>
      <w:r>
        <w:rPr>
          <w:spacing w:val="-1"/>
        </w:rPr>
        <w:t xml:space="preserve"> </w:t>
      </w:r>
      <w:r>
        <w:t>parental</w:t>
      </w:r>
      <w:r>
        <w:rPr>
          <w:spacing w:val="-1"/>
        </w:rPr>
        <w:t xml:space="preserve"> </w:t>
      </w:r>
      <w:r>
        <w:t>consent,</w:t>
      </w:r>
      <w:r>
        <w:rPr>
          <w:spacing w:val="-1"/>
        </w:rPr>
        <w:t xml:space="preserve"> </w:t>
      </w:r>
      <w:r>
        <w:t>as</w:t>
      </w:r>
      <w:r>
        <w:rPr>
          <w:spacing w:val="-1"/>
        </w:rPr>
        <w:t xml:space="preserve"> </w:t>
      </w:r>
      <w:r>
        <w:t>well</w:t>
      </w:r>
      <w:r>
        <w:rPr>
          <w:spacing w:val="-1"/>
        </w:rPr>
        <w:t xml:space="preserve"> </w:t>
      </w:r>
      <w:r>
        <w:t>as residency requirements</w:t>
      </w:r>
      <w:r>
        <w:rPr>
          <w:spacing w:val="-1"/>
        </w:rPr>
        <w:t xml:space="preserve"> </w:t>
      </w:r>
      <w:r>
        <w:t>that necessitate</w:t>
      </w:r>
      <w:r>
        <w:rPr>
          <w:spacing w:val="-12"/>
        </w:rPr>
        <w:t xml:space="preserve"> </w:t>
      </w:r>
      <w:r>
        <w:t>a</w:t>
      </w:r>
      <w:r>
        <w:rPr>
          <w:spacing w:val="-9"/>
        </w:rPr>
        <w:t xml:space="preserve"> </w:t>
      </w:r>
      <w:r>
        <w:t>s</w:t>
      </w:r>
      <w:r>
        <w:t>pecific</w:t>
      </w:r>
      <w:r>
        <w:rPr>
          <w:spacing w:val="-11"/>
        </w:rPr>
        <w:t xml:space="preserve"> </w:t>
      </w:r>
      <w:r>
        <w:t>address.</w:t>
      </w:r>
      <w:r>
        <w:rPr>
          <w:spacing w:val="-12"/>
        </w:rPr>
        <w:t xml:space="preserve"> </w:t>
      </w:r>
      <w:r>
        <w:t>The</w:t>
      </w:r>
      <w:r>
        <w:rPr>
          <w:spacing w:val="-11"/>
        </w:rPr>
        <w:t xml:space="preserve"> </w:t>
      </w:r>
      <w:r>
        <w:t>latter</w:t>
      </w:r>
      <w:r>
        <w:rPr>
          <w:spacing w:val="-12"/>
        </w:rPr>
        <w:t xml:space="preserve"> </w:t>
      </w:r>
      <w:r>
        <w:t>challenge</w:t>
      </w:r>
      <w:r>
        <w:rPr>
          <w:spacing w:val="-10"/>
        </w:rPr>
        <w:t xml:space="preserve"> </w:t>
      </w:r>
      <w:r>
        <w:t>disproportionately</w:t>
      </w:r>
      <w:r>
        <w:rPr>
          <w:spacing w:val="-12"/>
        </w:rPr>
        <w:t xml:space="preserve"> </w:t>
      </w:r>
      <w:r>
        <w:t>impacts</w:t>
      </w:r>
      <w:r>
        <w:rPr>
          <w:spacing w:val="-11"/>
        </w:rPr>
        <w:t xml:space="preserve"> </w:t>
      </w:r>
      <w:r>
        <w:t>LGBTQ+</w:t>
      </w:r>
      <w:r>
        <w:rPr>
          <w:spacing w:val="-10"/>
        </w:rPr>
        <w:t xml:space="preserve"> </w:t>
      </w:r>
      <w:r>
        <w:t>youth</w:t>
      </w:r>
      <w:r>
        <w:rPr>
          <w:spacing w:val="-10"/>
        </w:rPr>
        <w:t xml:space="preserve"> </w:t>
      </w:r>
      <w:r>
        <w:t>separated</w:t>
      </w:r>
      <w:r>
        <w:rPr>
          <w:spacing w:val="-12"/>
        </w:rPr>
        <w:t xml:space="preserve"> </w:t>
      </w:r>
      <w:r>
        <w:t>from their families because of conflicts related to their LGBTQ identities.</w:t>
      </w:r>
    </w:p>
    <w:p w:rsidR="00C76E6D" w:rsidRDefault="00C76E6D">
      <w:pPr>
        <w:pStyle w:val="BodyText"/>
        <w:spacing w:before="7"/>
        <w:rPr>
          <w:sz w:val="19"/>
        </w:rPr>
      </w:pPr>
    </w:p>
    <w:p w:rsidR="00C76E6D" w:rsidRDefault="00913831">
      <w:pPr>
        <w:pStyle w:val="BodyText"/>
        <w:spacing w:before="1"/>
        <w:ind w:left="337" w:right="336"/>
        <w:jc w:val="both"/>
      </w:pPr>
      <w:r>
        <w:t>Recent changes concerning the federal REAL ID Act increase barriers for youth to access an ID, and the Commission</w:t>
      </w:r>
      <w:r>
        <w:rPr>
          <w:spacing w:val="-6"/>
        </w:rPr>
        <w:t xml:space="preserve"> </w:t>
      </w:r>
      <w:r>
        <w:t>has</w:t>
      </w:r>
      <w:r>
        <w:rPr>
          <w:spacing w:val="-7"/>
        </w:rPr>
        <w:t xml:space="preserve"> </w:t>
      </w:r>
      <w:r>
        <w:t>worked</w:t>
      </w:r>
      <w:r>
        <w:rPr>
          <w:spacing w:val="-5"/>
        </w:rPr>
        <w:t xml:space="preserve"> </w:t>
      </w:r>
      <w:r>
        <w:t>with</w:t>
      </w:r>
      <w:r>
        <w:rPr>
          <w:spacing w:val="-7"/>
        </w:rPr>
        <w:t xml:space="preserve"> </w:t>
      </w:r>
      <w:r>
        <w:t>the</w:t>
      </w:r>
      <w:r>
        <w:rPr>
          <w:spacing w:val="-7"/>
        </w:rPr>
        <w:t xml:space="preserve"> </w:t>
      </w:r>
      <w:r>
        <w:t>RMV,</w:t>
      </w:r>
      <w:r>
        <w:rPr>
          <w:spacing w:val="-7"/>
        </w:rPr>
        <w:t xml:space="preserve"> </w:t>
      </w:r>
      <w:r>
        <w:t>as</w:t>
      </w:r>
      <w:r>
        <w:rPr>
          <w:spacing w:val="-7"/>
        </w:rPr>
        <w:t xml:space="preserve"> </w:t>
      </w:r>
      <w:r>
        <w:t>well</w:t>
      </w:r>
      <w:r>
        <w:rPr>
          <w:spacing w:val="-8"/>
        </w:rPr>
        <w:t xml:space="preserve"> </w:t>
      </w:r>
      <w:r>
        <w:t>as</w:t>
      </w:r>
      <w:r>
        <w:rPr>
          <w:spacing w:val="-5"/>
        </w:rPr>
        <w:t xml:space="preserve"> </w:t>
      </w:r>
      <w:r>
        <w:t>testified</w:t>
      </w:r>
      <w:r>
        <w:rPr>
          <w:spacing w:val="-7"/>
        </w:rPr>
        <w:t xml:space="preserve"> </w:t>
      </w:r>
      <w:r>
        <w:t>before</w:t>
      </w:r>
      <w:r>
        <w:rPr>
          <w:spacing w:val="-7"/>
        </w:rPr>
        <w:t xml:space="preserve"> </w:t>
      </w:r>
      <w:r>
        <w:t>the</w:t>
      </w:r>
      <w:r>
        <w:rPr>
          <w:spacing w:val="-7"/>
        </w:rPr>
        <w:t xml:space="preserve"> </w:t>
      </w:r>
      <w:r>
        <w:t>Joint</w:t>
      </w:r>
      <w:r>
        <w:rPr>
          <w:spacing w:val="-7"/>
        </w:rPr>
        <w:t xml:space="preserve"> </w:t>
      </w:r>
      <w:r>
        <w:t>Committee</w:t>
      </w:r>
      <w:r>
        <w:rPr>
          <w:spacing w:val="-7"/>
        </w:rPr>
        <w:t xml:space="preserve"> </w:t>
      </w:r>
      <w:r>
        <w:t>on</w:t>
      </w:r>
      <w:r>
        <w:rPr>
          <w:spacing w:val="-7"/>
        </w:rPr>
        <w:t xml:space="preserve"> </w:t>
      </w:r>
      <w:r>
        <w:t>Transportation,</w:t>
      </w:r>
      <w:r>
        <w:rPr>
          <w:spacing w:val="-7"/>
        </w:rPr>
        <w:t xml:space="preserve"> </w:t>
      </w:r>
      <w:r>
        <w:t>on the</w:t>
      </w:r>
      <w:r>
        <w:rPr>
          <w:spacing w:val="-8"/>
        </w:rPr>
        <w:t xml:space="preserve"> </w:t>
      </w:r>
      <w:r>
        <w:t>importance</w:t>
      </w:r>
      <w:r>
        <w:rPr>
          <w:spacing w:val="-9"/>
        </w:rPr>
        <w:t xml:space="preserve"> </w:t>
      </w:r>
      <w:r>
        <w:t>of</w:t>
      </w:r>
      <w:r>
        <w:rPr>
          <w:spacing w:val="-7"/>
        </w:rPr>
        <w:t xml:space="preserve"> </w:t>
      </w:r>
      <w:r>
        <w:t>this</w:t>
      </w:r>
      <w:r>
        <w:rPr>
          <w:spacing w:val="-9"/>
        </w:rPr>
        <w:t xml:space="preserve"> </w:t>
      </w:r>
      <w:r>
        <w:t>issue</w:t>
      </w:r>
      <w:r>
        <w:rPr>
          <w:spacing w:val="-10"/>
        </w:rPr>
        <w:t xml:space="preserve"> </w:t>
      </w:r>
      <w:r>
        <w:t>for</w:t>
      </w:r>
      <w:r>
        <w:rPr>
          <w:spacing w:val="-8"/>
        </w:rPr>
        <w:t xml:space="preserve"> </w:t>
      </w:r>
      <w:r>
        <w:t>LGBTQ</w:t>
      </w:r>
      <w:r>
        <w:rPr>
          <w:spacing w:val="-9"/>
        </w:rPr>
        <w:t xml:space="preserve"> </w:t>
      </w:r>
      <w:r>
        <w:t>youth</w:t>
      </w:r>
      <w:hyperlink w:anchor="_bookmark630" w:history="1">
        <w:r>
          <w:t>.</w:t>
        </w:r>
        <w:r>
          <w:rPr>
            <w:vertAlign w:val="superscript"/>
          </w:rPr>
          <w:t>3</w:t>
        </w:r>
        <w:r>
          <w:rPr>
            <w:spacing w:val="-8"/>
          </w:rPr>
          <w:t xml:space="preserve"> </w:t>
        </w:r>
      </w:hyperlink>
      <w:r>
        <w:t>Many</w:t>
      </w:r>
      <w:r>
        <w:rPr>
          <w:spacing w:val="-8"/>
        </w:rPr>
        <w:t xml:space="preserve"> </w:t>
      </w:r>
      <w:r>
        <w:t>other</w:t>
      </w:r>
      <w:r>
        <w:rPr>
          <w:spacing w:val="-9"/>
        </w:rPr>
        <w:t xml:space="preserve"> </w:t>
      </w:r>
      <w:r>
        <w:t>states</w:t>
      </w:r>
      <w:r>
        <w:rPr>
          <w:spacing w:val="-7"/>
        </w:rPr>
        <w:t xml:space="preserve"> </w:t>
      </w:r>
      <w:r>
        <w:t>have</w:t>
      </w:r>
      <w:r>
        <w:rPr>
          <w:spacing w:val="-9"/>
        </w:rPr>
        <w:t xml:space="preserve"> </w:t>
      </w:r>
      <w:r>
        <w:t>taken</w:t>
      </w:r>
      <w:r>
        <w:rPr>
          <w:spacing w:val="-8"/>
        </w:rPr>
        <w:t xml:space="preserve"> </w:t>
      </w:r>
      <w:r>
        <w:t>action</w:t>
      </w:r>
      <w:r>
        <w:rPr>
          <w:spacing w:val="-9"/>
        </w:rPr>
        <w:t xml:space="preserve"> </w:t>
      </w:r>
      <w:r>
        <w:t>to</w:t>
      </w:r>
      <w:r>
        <w:rPr>
          <w:spacing w:val="-7"/>
        </w:rPr>
        <w:t xml:space="preserve"> </w:t>
      </w:r>
      <w:r>
        <w:t>address</w:t>
      </w:r>
      <w:r>
        <w:rPr>
          <w:spacing w:val="-9"/>
        </w:rPr>
        <w:t xml:space="preserve"> </w:t>
      </w:r>
      <w:r>
        <w:t>these</w:t>
      </w:r>
      <w:r>
        <w:rPr>
          <w:spacing w:val="-8"/>
        </w:rPr>
        <w:t xml:space="preserve"> </w:t>
      </w:r>
      <w:r>
        <w:t>barriers while</w:t>
      </w:r>
      <w:r>
        <w:rPr>
          <w:spacing w:val="-7"/>
        </w:rPr>
        <w:t xml:space="preserve"> </w:t>
      </w:r>
      <w:r>
        <w:t>maintaining</w:t>
      </w:r>
      <w:r>
        <w:rPr>
          <w:spacing w:val="-8"/>
        </w:rPr>
        <w:t xml:space="preserve"> </w:t>
      </w:r>
      <w:r>
        <w:t>compliance</w:t>
      </w:r>
      <w:r>
        <w:rPr>
          <w:spacing w:val="-8"/>
        </w:rPr>
        <w:t xml:space="preserve"> </w:t>
      </w:r>
      <w:r>
        <w:t>with</w:t>
      </w:r>
      <w:r>
        <w:rPr>
          <w:spacing w:val="-8"/>
        </w:rPr>
        <w:t xml:space="preserve"> </w:t>
      </w:r>
      <w:r>
        <w:t>the</w:t>
      </w:r>
      <w:r>
        <w:rPr>
          <w:spacing w:val="-8"/>
        </w:rPr>
        <w:t xml:space="preserve"> </w:t>
      </w:r>
      <w:r>
        <w:t>federal</w:t>
      </w:r>
      <w:r>
        <w:rPr>
          <w:spacing w:val="-8"/>
        </w:rPr>
        <w:t xml:space="preserve"> </w:t>
      </w:r>
      <w:r>
        <w:t>REAL</w:t>
      </w:r>
      <w:r>
        <w:rPr>
          <w:spacing w:val="-7"/>
        </w:rPr>
        <w:t xml:space="preserve"> </w:t>
      </w:r>
      <w:r>
        <w:t>ID</w:t>
      </w:r>
      <w:r>
        <w:rPr>
          <w:spacing w:val="-8"/>
        </w:rPr>
        <w:t xml:space="preserve"> </w:t>
      </w:r>
      <w:r>
        <w:t>regulations,</w:t>
      </w:r>
      <w:r>
        <w:rPr>
          <w:spacing w:val="-9"/>
        </w:rPr>
        <w:t xml:space="preserve"> </w:t>
      </w:r>
      <w:r>
        <w:t>and</w:t>
      </w:r>
      <w:r>
        <w:rPr>
          <w:spacing w:val="-8"/>
        </w:rPr>
        <w:t xml:space="preserve"> </w:t>
      </w:r>
      <w:r>
        <w:t>their</w:t>
      </w:r>
      <w:r>
        <w:rPr>
          <w:spacing w:val="-7"/>
        </w:rPr>
        <w:t xml:space="preserve"> </w:t>
      </w:r>
      <w:r>
        <w:t>actions</w:t>
      </w:r>
      <w:r>
        <w:rPr>
          <w:spacing w:val="-8"/>
        </w:rPr>
        <w:t xml:space="preserve"> </w:t>
      </w:r>
      <w:r>
        <w:t>might</w:t>
      </w:r>
      <w:r>
        <w:rPr>
          <w:spacing w:val="-8"/>
        </w:rPr>
        <w:t xml:space="preserve"> </w:t>
      </w:r>
      <w:r>
        <w:t>provide</w:t>
      </w:r>
      <w:r>
        <w:rPr>
          <w:spacing w:val="-9"/>
        </w:rPr>
        <w:t xml:space="preserve"> </w:t>
      </w:r>
      <w:r>
        <w:t>guidance to Massachusetts as it addresses the same concerns.</w:t>
      </w:r>
      <w:hyperlink w:anchor="_bookmark631" w:history="1">
        <w:r>
          <w:rPr>
            <w:vertAlign w:val="superscript"/>
          </w:rPr>
          <w:t>4</w:t>
        </w:r>
      </w:hyperlink>
    </w:p>
    <w:p w:rsidR="00C76E6D" w:rsidRDefault="00C76E6D">
      <w:pPr>
        <w:pStyle w:val="BodyText"/>
        <w:rPr>
          <w:sz w:val="24"/>
        </w:rPr>
      </w:pPr>
    </w:p>
    <w:p w:rsidR="00C76E6D" w:rsidRDefault="00C76E6D">
      <w:pPr>
        <w:pStyle w:val="BodyText"/>
        <w:spacing w:before="10"/>
        <w:rPr>
          <w:sz w:val="17"/>
        </w:rPr>
      </w:pPr>
    </w:p>
    <w:p w:rsidR="00C76E6D" w:rsidRDefault="00913831">
      <w:pPr>
        <w:pStyle w:val="Heading5"/>
        <w:spacing w:before="1"/>
        <w:jc w:val="both"/>
      </w:pPr>
      <w:r>
        <w:rPr>
          <w:spacing w:val="-2"/>
        </w:rPr>
        <w:t>Expanded</w:t>
      </w:r>
      <w:r>
        <w:t xml:space="preserve"> </w:t>
      </w:r>
      <w:r>
        <w:rPr>
          <w:spacing w:val="-2"/>
        </w:rPr>
        <w:t>Recommendations</w:t>
      </w:r>
    </w:p>
    <w:p w:rsidR="00C76E6D" w:rsidRDefault="00913831">
      <w:pPr>
        <w:pStyle w:val="BodyText"/>
        <w:rPr>
          <w:b/>
          <w:sz w:val="7"/>
        </w:rPr>
      </w:pPr>
      <w:r>
        <w:pict>
          <v:shape id="docshape455" o:spid="_x0000_s1048" style="position:absolute;margin-left:65.5pt;margin-top:5.5pt;width:476.45pt;height:.1pt;z-index:-15629824;mso-wrap-distance-left:0;mso-wrap-distance-right:0;mso-position-horizontal-relative:page" coordorigin="1310,110" coordsize="9529,0" path="m1310,110r9529,e" filled="f" strokeweight="1.54pt">
            <v:path arrowok="t"/>
            <w10:wrap type="topAndBottom" anchorx="page"/>
          </v:shape>
        </w:pict>
      </w:r>
    </w:p>
    <w:p w:rsidR="00C76E6D" w:rsidRDefault="00C76E6D">
      <w:pPr>
        <w:pStyle w:val="BodyText"/>
        <w:spacing w:before="1"/>
        <w:rPr>
          <w:b/>
          <w:sz w:val="35"/>
        </w:rPr>
      </w:pPr>
    </w:p>
    <w:p w:rsidR="00C76E6D" w:rsidRDefault="00913831">
      <w:pPr>
        <w:pStyle w:val="Heading6"/>
        <w:numPr>
          <w:ilvl w:val="0"/>
          <w:numId w:val="4"/>
        </w:numPr>
        <w:tabs>
          <w:tab w:val="left" w:pos="574"/>
        </w:tabs>
        <w:rPr>
          <w:sz w:val="24"/>
        </w:rPr>
      </w:pPr>
      <w:bookmarkStart w:id="896" w:name="1._Continue_monitoring_data_relating_to_"/>
      <w:bookmarkEnd w:id="896"/>
      <w:r>
        <w:rPr>
          <w:w w:val="95"/>
        </w:rPr>
        <w:t>Continue</w:t>
      </w:r>
      <w:r>
        <w:rPr>
          <w:spacing w:val="14"/>
        </w:rPr>
        <w:t xml:space="preserve"> </w:t>
      </w:r>
      <w:r>
        <w:rPr>
          <w:w w:val="95"/>
        </w:rPr>
        <w:t>monitoring</w:t>
      </w:r>
      <w:r>
        <w:rPr>
          <w:spacing w:val="15"/>
        </w:rPr>
        <w:t xml:space="preserve"> </w:t>
      </w:r>
      <w:r>
        <w:rPr>
          <w:w w:val="95"/>
        </w:rPr>
        <w:t>data</w:t>
      </w:r>
      <w:r>
        <w:rPr>
          <w:spacing w:val="13"/>
        </w:rPr>
        <w:t xml:space="preserve"> </w:t>
      </w:r>
      <w:r>
        <w:rPr>
          <w:w w:val="95"/>
        </w:rPr>
        <w:t>relating</w:t>
      </w:r>
      <w:r>
        <w:rPr>
          <w:spacing w:val="18"/>
        </w:rPr>
        <w:t xml:space="preserve"> </w:t>
      </w:r>
      <w:r>
        <w:rPr>
          <w:w w:val="95"/>
        </w:rPr>
        <w:t>to</w:t>
      </w:r>
      <w:r>
        <w:rPr>
          <w:spacing w:val="11"/>
        </w:rPr>
        <w:t xml:space="preserve"> </w:t>
      </w:r>
      <w:r>
        <w:rPr>
          <w:w w:val="95"/>
        </w:rPr>
        <w:t>nonbinary</w:t>
      </w:r>
      <w:r>
        <w:rPr>
          <w:spacing w:val="15"/>
        </w:rPr>
        <w:t xml:space="preserve"> </w:t>
      </w:r>
      <w:r>
        <w:rPr>
          <w:w w:val="95"/>
        </w:rPr>
        <w:t>gender</w:t>
      </w:r>
      <w:r>
        <w:rPr>
          <w:spacing w:val="13"/>
        </w:rPr>
        <w:t xml:space="preserve"> </w:t>
      </w:r>
      <w:r>
        <w:rPr>
          <w:w w:val="95"/>
        </w:rPr>
        <w:t>marker</w:t>
      </w:r>
      <w:r>
        <w:rPr>
          <w:spacing w:val="11"/>
        </w:rPr>
        <w:t xml:space="preserve"> </w:t>
      </w:r>
      <w:r>
        <w:rPr>
          <w:w w:val="95"/>
        </w:rPr>
        <w:t>in</w:t>
      </w:r>
      <w:r>
        <w:rPr>
          <w:spacing w:val="13"/>
        </w:rPr>
        <w:t xml:space="preserve"> </w:t>
      </w:r>
      <w:r>
        <w:rPr>
          <w:w w:val="95"/>
        </w:rPr>
        <w:t>the</w:t>
      </w:r>
      <w:r>
        <w:rPr>
          <w:spacing w:val="13"/>
        </w:rPr>
        <w:t xml:space="preserve"> </w:t>
      </w:r>
      <w:r>
        <w:rPr>
          <w:w w:val="95"/>
        </w:rPr>
        <w:t>RMV’s</w:t>
      </w:r>
      <w:r>
        <w:rPr>
          <w:spacing w:val="12"/>
        </w:rPr>
        <w:t xml:space="preserve"> </w:t>
      </w:r>
      <w:r>
        <w:rPr>
          <w:w w:val="95"/>
        </w:rPr>
        <w:t>licensing</w:t>
      </w:r>
      <w:r>
        <w:rPr>
          <w:spacing w:val="18"/>
        </w:rPr>
        <w:t xml:space="preserve"> </w:t>
      </w:r>
      <w:r>
        <w:rPr>
          <w:spacing w:val="-2"/>
          <w:w w:val="95"/>
        </w:rPr>
        <w:t>system.</w:t>
      </w:r>
    </w:p>
    <w:p w:rsidR="00C76E6D" w:rsidRDefault="00C76E6D">
      <w:pPr>
        <w:pStyle w:val="BodyText"/>
        <w:spacing w:before="2"/>
        <w:rPr>
          <w:b/>
          <w:sz w:val="19"/>
        </w:rPr>
      </w:pPr>
    </w:p>
    <w:p w:rsidR="00C76E6D" w:rsidRDefault="00913831">
      <w:pPr>
        <w:pStyle w:val="BodyText"/>
        <w:spacing w:before="1"/>
        <w:ind w:left="627" w:right="335"/>
        <w:jc w:val="both"/>
      </w:pPr>
      <w:r>
        <w:t xml:space="preserve">As noted above, one of the RMV’s biggest recent successes with respect to LGBTQ issues was the RMV’s </w:t>
      </w:r>
      <w:r>
        <w:t>implementation of a nonbinary gender marker in 2019. Massachusetts has joined a growing number of other states, as well as some countries, in formally recognizing that many people do not identify exclusively as male or female. The Commission thanks the RMV</w:t>
      </w:r>
      <w:r>
        <w:t xml:space="preserve"> for implementing this change, on which our two agencies have partnered extensively over the past few years, along with the Massachusetts Transgender Political Coalition.</w:t>
      </w:r>
    </w:p>
    <w:p w:rsidR="00C76E6D" w:rsidRDefault="00C76E6D">
      <w:pPr>
        <w:pStyle w:val="BodyText"/>
        <w:spacing w:before="8"/>
        <w:rPr>
          <w:sz w:val="19"/>
        </w:rPr>
      </w:pPr>
    </w:p>
    <w:p w:rsidR="00C76E6D" w:rsidRDefault="00913831">
      <w:pPr>
        <w:pStyle w:val="BodyText"/>
        <w:ind w:left="627" w:right="332"/>
        <w:jc w:val="both"/>
      </w:pPr>
      <w:r>
        <w:t>The</w:t>
      </w:r>
      <w:r>
        <w:rPr>
          <w:spacing w:val="-2"/>
        </w:rPr>
        <w:t xml:space="preserve"> </w:t>
      </w:r>
      <w:r>
        <w:t>Commission</w:t>
      </w:r>
      <w:r>
        <w:rPr>
          <w:spacing w:val="-4"/>
        </w:rPr>
        <w:t xml:space="preserve"> </w:t>
      </w:r>
      <w:r>
        <w:t>also</w:t>
      </w:r>
      <w:r>
        <w:rPr>
          <w:spacing w:val="-2"/>
        </w:rPr>
        <w:t xml:space="preserve"> </w:t>
      </w:r>
      <w:r>
        <w:t>thanks</w:t>
      </w:r>
      <w:r>
        <w:rPr>
          <w:spacing w:val="-3"/>
        </w:rPr>
        <w:t xml:space="preserve"> </w:t>
      </w:r>
      <w:r>
        <w:t>the</w:t>
      </w:r>
      <w:r>
        <w:rPr>
          <w:spacing w:val="-2"/>
        </w:rPr>
        <w:t xml:space="preserve"> </w:t>
      </w:r>
      <w:r>
        <w:t>RMV</w:t>
      </w:r>
      <w:r>
        <w:rPr>
          <w:spacing w:val="-2"/>
        </w:rPr>
        <w:t xml:space="preserve"> </w:t>
      </w:r>
      <w:r>
        <w:t>for</w:t>
      </w:r>
      <w:r>
        <w:rPr>
          <w:spacing w:val="-3"/>
        </w:rPr>
        <w:t xml:space="preserve"> </w:t>
      </w:r>
      <w:r>
        <w:t>immediately</w:t>
      </w:r>
      <w:r>
        <w:rPr>
          <w:spacing w:val="-3"/>
        </w:rPr>
        <w:t xml:space="preserve"> </w:t>
      </w:r>
      <w:r>
        <w:t>providing</w:t>
      </w:r>
      <w:r>
        <w:rPr>
          <w:spacing w:val="-1"/>
        </w:rPr>
        <w:t xml:space="preserve"> </w:t>
      </w:r>
      <w:r>
        <w:t>it</w:t>
      </w:r>
      <w:r>
        <w:rPr>
          <w:spacing w:val="-2"/>
        </w:rPr>
        <w:t xml:space="preserve"> </w:t>
      </w:r>
      <w:r>
        <w:t>with</w:t>
      </w:r>
      <w:r>
        <w:rPr>
          <w:spacing w:val="-2"/>
        </w:rPr>
        <w:t xml:space="preserve"> </w:t>
      </w:r>
      <w:r>
        <w:t>access</w:t>
      </w:r>
      <w:r>
        <w:rPr>
          <w:spacing w:val="-1"/>
        </w:rPr>
        <w:t xml:space="preserve"> </w:t>
      </w:r>
      <w:r>
        <w:t>to</w:t>
      </w:r>
      <w:r>
        <w:rPr>
          <w:spacing w:val="-2"/>
        </w:rPr>
        <w:t xml:space="preserve"> </w:t>
      </w:r>
      <w:r>
        <w:t>early</w:t>
      </w:r>
      <w:r>
        <w:rPr>
          <w:spacing w:val="-2"/>
        </w:rPr>
        <w:t xml:space="preserve"> </w:t>
      </w:r>
      <w:r>
        <w:t>data</w:t>
      </w:r>
      <w:r>
        <w:rPr>
          <w:spacing w:val="-2"/>
        </w:rPr>
        <w:t xml:space="preserve"> </w:t>
      </w:r>
      <w:r>
        <w:t>on</w:t>
      </w:r>
      <w:r>
        <w:rPr>
          <w:spacing w:val="-3"/>
        </w:rPr>
        <w:t xml:space="preserve"> </w:t>
      </w:r>
      <w:r>
        <w:t>the</w:t>
      </w:r>
      <w:r>
        <w:rPr>
          <w:spacing w:val="-2"/>
        </w:rPr>
        <w:t xml:space="preserve"> </w:t>
      </w:r>
      <w:r>
        <w:t>usage of the nonbinary gender marker in FY2021. The Commission’s analysis of this data found that, just four months after the</w:t>
      </w:r>
      <w:r>
        <w:rPr>
          <w:spacing w:val="-1"/>
        </w:rPr>
        <w:t xml:space="preserve"> </w:t>
      </w:r>
      <w:r>
        <w:t>option</w:t>
      </w:r>
      <w:r>
        <w:rPr>
          <w:spacing w:val="-1"/>
        </w:rPr>
        <w:t xml:space="preserve"> </w:t>
      </w:r>
      <w:r>
        <w:t>went</w:t>
      </w:r>
      <w:r>
        <w:rPr>
          <w:spacing w:val="-2"/>
        </w:rPr>
        <w:t xml:space="preserve"> </w:t>
      </w:r>
      <w:r>
        <w:t>online</w:t>
      </w:r>
      <w:r>
        <w:rPr>
          <w:spacing w:val="-1"/>
        </w:rPr>
        <w:t xml:space="preserve"> </w:t>
      </w:r>
      <w:r>
        <w:t>and</w:t>
      </w:r>
      <w:r>
        <w:rPr>
          <w:spacing w:val="-2"/>
        </w:rPr>
        <w:t xml:space="preserve"> </w:t>
      </w:r>
      <w:r>
        <w:t>with</w:t>
      </w:r>
      <w:r>
        <w:rPr>
          <w:spacing w:val="-2"/>
        </w:rPr>
        <w:t xml:space="preserve"> </w:t>
      </w:r>
      <w:r>
        <w:t>little publicity</w:t>
      </w:r>
      <w:r>
        <w:rPr>
          <w:spacing w:val="-2"/>
        </w:rPr>
        <w:t xml:space="preserve"> </w:t>
      </w:r>
      <w:r>
        <w:t>on the</w:t>
      </w:r>
      <w:r>
        <w:rPr>
          <w:spacing w:val="-2"/>
        </w:rPr>
        <w:t xml:space="preserve"> </w:t>
      </w:r>
      <w:r>
        <w:t>change, the option had</w:t>
      </w:r>
      <w:r>
        <w:rPr>
          <w:spacing w:val="-2"/>
        </w:rPr>
        <w:t xml:space="preserve"> </w:t>
      </w:r>
      <w:r>
        <w:t>already</w:t>
      </w:r>
      <w:r>
        <w:rPr>
          <w:spacing w:val="-1"/>
        </w:rPr>
        <w:t xml:space="preserve"> </w:t>
      </w:r>
      <w:r>
        <w:t>been adopted by 432 residents acro</w:t>
      </w:r>
      <w:r>
        <w:t>ss Massachusetts. The age range of those who have adopted a nonbinary marker is 16 years of age to 80 years of age, with an average age of 31. This highlights both that people of all ages are increasingly identifying as nonbinary, and that the issue is par</w:t>
      </w:r>
      <w:r>
        <w:t>ticularly important to youth and</w:t>
      </w:r>
      <w:r>
        <w:rPr>
          <w:spacing w:val="-9"/>
        </w:rPr>
        <w:t xml:space="preserve"> </w:t>
      </w:r>
      <w:r>
        <w:t>young</w:t>
      </w:r>
      <w:r>
        <w:rPr>
          <w:spacing w:val="-9"/>
        </w:rPr>
        <w:t xml:space="preserve"> </w:t>
      </w:r>
      <w:r>
        <w:t>adults.</w:t>
      </w:r>
      <w:r>
        <w:rPr>
          <w:spacing w:val="-9"/>
        </w:rPr>
        <w:t xml:space="preserve"> </w:t>
      </w:r>
      <w:r>
        <w:t>Finally,</w:t>
      </w:r>
      <w:r>
        <w:rPr>
          <w:spacing w:val="-8"/>
        </w:rPr>
        <w:t xml:space="preserve"> </w:t>
      </w:r>
      <w:r>
        <w:t>there</w:t>
      </w:r>
      <w:r>
        <w:rPr>
          <w:spacing w:val="-9"/>
        </w:rPr>
        <w:t xml:space="preserve"> </w:t>
      </w:r>
      <w:r>
        <w:t>was</w:t>
      </w:r>
      <w:r>
        <w:rPr>
          <w:spacing w:val="-10"/>
        </w:rPr>
        <w:t xml:space="preserve"> </w:t>
      </w:r>
      <w:r>
        <w:t>widespread</w:t>
      </w:r>
      <w:r>
        <w:rPr>
          <w:spacing w:val="-9"/>
        </w:rPr>
        <w:t xml:space="preserve"> </w:t>
      </w:r>
      <w:r>
        <w:t>geographic</w:t>
      </w:r>
      <w:r>
        <w:rPr>
          <w:spacing w:val="-9"/>
        </w:rPr>
        <w:t xml:space="preserve"> </w:t>
      </w:r>
      <w:r>
        <w:t>adoption</w:t>
      </w:r>
      <w:r>
        <w:rPr>
          <w:spacing w:val="-9"/>
        </w:rPr>
        <w:t xml:space="preserve"> </w:t>
      </w:r>
      <w:r>
        <w:t>of</w:t>
      </w:r>
      <w:r>
        <w:rPr>
          <w:spacing w:val="-10"/>
        </w:rPr>
        <w:t xml:space="preserve"> </w:t>
      </w:r>
      <w:r>
        <w:t>the</w:t>
      </w:r>
      <w:r>
        <w:rPr>
          <w:spacing w:val="-9"/>
        </w:rPr>
        <w:t xml:space="preserve"> </w:t>
      </w:r>
      <w:r>
        <w:t>marker,</w:t>
      </w:r>
      <w:r>
        <w:rPr>
          <w:spacing w:val="-9"/>
        </w:rPr>
        <w:t xml:space="preserve"> </w:t>
      </w:r>
      <w:r>
        <w:t>with</w:t>
      </w:r>
      <w:r>
        <w:rPr>
          <w:spacing w:val="-9"/>
        </w:rPr>
        <w:t xml:space="preserve"> </w:t>
      </w:r>
      <w:r>
        <w:t>residents</w:t>
      </w:r>
      <w:r>
        <w:rPr>
          <w:spacing w:val="-9"/>
        </w:rPr>
        <w:t xml:space="preserve"> </w:t>
      </w:r>
      <w:r>
        <w:t>of</w:t>
      </w:r>
      <w:r>
        <w:rPr>
          <w:spacing w:val="-9"/>
        </w:rPr>
        <w:t xml:space="preserve"> </w:t>
      </w:r>
      <w:r>
        <w:t xml:space="preserve">180 cities and towns having elected to use the marker. The Commission looks forward to reviewing the data collected in FY2022 </w:t>
      </w:r>
      <w:r>
        <w:t>ahead of future quarterly meetings with the RMV in FY2023, while also exploring potential</w:t>
      </w:r>
      <w:r>
        <w:rPr>
          <w:spacing w:val="-5"/>
        </w:rPr>
        <w:t xml:space="preserve"> </w:t>
      </w:r>
      <w:r>
        <w:t>updates</w:t>
      </w:r>
      <w:r>
        <w:rPr>
          <w:spacing w:val="-8"/>
        </w:rPr>
        <w:t xml:space="preserve"> </w:t>
      </w:r>
      <w:r>
        <w:t>to</w:t>
      </w:r>
      <w:r>
        <w:rPr>
          <w:spacing w:val="-5"/>
        </w:rPr>
        <w:t xml:space="preserve"> </w:t>
      </w:r>
      <w:r>
        <w:t>the</w:t>
      </w:r>
      <w:r>
        <w:rPr>
          <w:spacing w:val="-6"/>
        </w:rPr>
        <w:t xml:space="preserve"> </w:t>
      </w:r>
      <w:r>
        <w:t>data</w:t>
      </w:r>
      <w:r>
        <w:rPr>
          <w:spacing w:val="-8"/>
        </w:rPr>
        <w:t xml:space="preserve"> </w:t>
      </w:r>
      <w:r>
        <w:t>collection</w:t>
      </w:r>
      <w:r>
        <w:rPr>
          <w:spacing w:val="-4"/>
        </w:rPr>
        <w:t xml:space="preserve"> </w:t>
      </w:r>
      <w:r>
        <w:t>process</w:t>
      </w:r>
      <w:r>
        <w:rPr>
          <w:spacing w:val="-8"/>
        </w:rPr>
        <w:t xml:space="preserve"> </w:t>
      </w:r>
      <w:r>
        <w:t>to</w:t>
      </w:r>
      <w:r>
        <w:rPr>
          <w:spacing w:val="-6"/>
        </w:rPr>
        <w:t xml:space="preserve"> </w:t>
      </w:r>
      <w:r>
        <w:t>ensure</w:t>
      </w:r>
      <w:r>
        <w:rPr>
          <w:spacing w:val="-10"/>
        </w:rPr>
        <w:t xml:space="preserve"> </w:t>
      </w:r>
      <w:r>
        <w:t>appropriate</w:t>
      </w:r>
      <w:r>
        <w:rPr>
          <w:spacing w:val="-8"/>
        </w:rPr>
        <w:t xml:space="preserve"> </w:t>
      </w:r>
      <w:r>
        <w:t>demographics</w:t>
      </w:r>
      <w:r>
        <w:rPr>
          <w:spacing w:val="-7"/>
        </w:rPr>
        <w:t xml:space="preserve"> </w:t>
      </w:r>
      <w:r>
        <w:t>are</w:t>
      </w:r>
      <w:r>
        <w:rPr>
          <w:spacing w:val="-7"/>
        </w:rPr>
        <w:t xml:space="preserve"> </w:t>
      </w:r>
      <w:r>
        <w:t>being</w:t>
      </w:r>
      <w:r>
        <w:rPr>
          <w:spacing w:val="-6"/>
        </w:rPr>
        <w:t xml:space="preserve"> </w:t>
      </w:r>
      <w:r>
        <w:t>collected.</w:t>
      </w:r>
    </w:p>
    <w:p w:rsidR="00C76E6D" w:rsidRDefault="00C76E6D">
      <w:pPr>
        <w:pStyle w:val="BodyText"/>
        <w:spacing w:before="8"/>
        <w:rPr>
          <w:sz w:val="19"/>
        </w:rPr>
      </w:pPr>
    </w:p>
    <w:p w:rsidR="00C76E6D" w:rsidRDefault="00913831">
      <w:pPr>
        <w:pStyle w:val="BodyText"/>
        <w:ind w:left="627" w:right="335"/>
        <w:jc w:val="both"/>
      </w:pPr>
      <w:r>
        <w:t>The Commission also thanks the RMV for monitoring and responding to feedback it has received on the process of changing one’s gender marker to the nonbinary “X.” For example, due to limitations of the licensing</w:t>
      </w:r>
      <w:r>
        <w:rPr>
          <w:spacing w:val="-8"/>
        </w:rPr>
        <w:t xml:space="preserve"> </w:t>
      </w:r>
      <w:r>
        <w:t>system,</w:t>
      </w:r>
      <w:r>
        <w:rPr>
          <w:spacing w:val="-8"/>
        </w:rPr>
        <w:t xml:space="preserve"> </w:t>
      </w:r>
      <w:r>
        <w:t>all</w:t>
      </w:r>
      <w:r>
        <w:rPr>
          <w:spacing w:val="-7"/>
        </w:rPr>
        <w:t xml:space="preserve"> </w:t>
      </w:r>
      <w:r>
        <w:t>gender</w:t>
      </w:r>
      <w:r>
        <w:rPr>
          <w:spacing w:val="-9"/>
        </w:rPr>
        <w:t xml:space="preserve"> </w:t>
      </w:r>
      <w:r>
        <w:t>markers</w:t>
      </w:r>
      <w:r>
        <w:rPr>
          <w:spacing w:val="-8"/>
        </w:rPr>
        <w:t xml:space="preserve"> </w:t>
      </w:r>
      <w:r>
        <w:t>actually</w:t>
      </w:r>
      <w:r>
        <w:rPr>
          <w:spacing w:val="-8"/>
        </w:rPr>
        <w:t xml:space="preserve"> </w:t>
      </w:r>
      <w:r>
        <w:t>appear</w:t>
      </w:r>
      <w:r>
        <w:rPr>
          <w:spacing w:val="-9"/>
        </w:rPr>
        <w:t xml:space="preserve"> </w:t>
      </w:r>
      <w:r>
        <w:t>li</w:t>
      </w:r>
      <w:r>
        <w:t>sted</w:t>
      </w:r>
      <w:r>
        <w:rPr>
          <w:spacing w:val="-9"/>
        </w:rPr>
        <w:t xml:space="preserve"> </w:t>
      </w:r>
      <w:r>
        <w:t>as</w:t>
      </w:r>
      <w:r>
        <w:rPr>
          <w:spacing w:val="-8"/>
        </w:rPr>
        <w:t xml:space="preserve"> </w:t>
      </w:r>
      <w:r>
        <w:t>“sex”</w:t>
      </w:r>
      <w:r>
        <w:rPr>
          <w:spacing w:val="-6"/>
        </w:rPr>
        <w:t xml:space="preserve"> </w:t>
      </w:r>
      <w:r>
        <w:t>on</w:t>
      </w:r>
      <w:r>
        <w:rPr>
          <w:spacing w:val="-9"/>
        </w:rPr>
        <w:t xml:space="preserve"> </w:t>
      </w:r>
      <w:r>
        <w:t>the</w:t>
      </w:r>
      <w:r>
        <w:rPr>
          <w:spacing w:val="-8"/>
        </w:rPr>
        <w:t xml:space="preserve"> </w:t>
      </w:r>
      <w:r>
        <w:t>actual</w:t>
      </w:r>
      <w:r>
        <w:rPr>
          <w:spacing w:val="-8"/>
        </w:rPr>
        <w:t xml:space="preserve"> </w:t>
      </w:r>
      <w:r>
        <w:t>license.</w:t>
      </w:r>
      <w:r>
        <w:rPr>
          <w:spacing w:val="-7"/>
        </w:rPr>
        <w:t xml:space="preserve"> </w:t>
      </w:r>
      <w:r>
        <w:t>The</w:t>
      </w:r>
      <w:r>
        <w:rPr>
          <w:spacing w:val="-8"/>
        </w:rPr>
        <w:t xml:space="preserve"> </w:t>
      </w:r>
      <w:r>
        <w:t>RMV</w:t>
      </w:r>
      <w:r>
        <w:rPr>
          <w:spacing w:val="-6"/>
        </w:rPr>
        <w:t xml:space="preserve"> </w:t>
      </w:r>
      <w:r>
        <w:t>quickly worked</w:t>
      </w:r>
      <w:r>
        <w:rPr>
          <w:spacing w:val="-13"/>
        </w:rPr>
        <w:t xml:space="preserve"> </w:t>
      </w:r>
      <w:r>
        <w:t>to</w:t>
      </w:r>
      <w:r>
        <w:rPr>
          <w:spacing w:val="-12"/>
        </w:rPr>
        <w:t xml:space="preserve"> </w:t>
      </w:r>
      <w:r>
        <w:t>clarify</w:t>
      </w:r>
      <w:r>
        <w:rPr>
          <w:spacing w:val="-13"/>
        </w:rPr>
        <w:t xml:space="preserve"> </w:t>
      </w:r>
      <w:r>
        <w:t>with</w:t>
      </w:r>
      <w:r>
        <w:rPr>
          <w:spacing w:val="-12"/>
        </w:rPr>
        <w:t xml:space="preserve"> </w:t>
      </w:r>
      <w:r>
        <w:t>applicants</w:t>
      </w:r>
      <w:r>
        <w:rPr>
          <w:spacing w:val="-13"/>
        </w:rPr>
        <w:t xml:space="preserve"> </w:t>
      </w:r>
      <w:r>
        <w:t>that,</w:t>
      </w:r>
      <w:r>
        <w:rPr>
          <w:spacing w:val="-12"/>
        </w:rPr>
        <w:t xml:space="preserve"> </w:t>
      </w:r>
      <w:r>
        <w:t>while</w:t>
      </w:r>
      <w:r>
        <w:rPr>
          <w:spacing w:val="-13"/>
        </w:rPr>
        <w:t xml:space="preserve"> </w:t>
      </w:r>
      <w:r>
        <w:t>these</w:t>
      </w:r>
      <w:r>
        <w:rPr>
          <w:spacing w:val="-12"/>
        </w:rPr>
        <w:t xml:space="preserve"> </w:t>
      </w:r>
      <w:r>
        <w:t>markers</w:t>
      </w:r>
      <w:r>
        <w:rPr>
          <w:spacing w:val="-12"/>
        </w:rPr>
        <w:t xml:space="preserve"> </w:t>
      </w:r>
      <w:r>
        <w:t>are</w:t>
      </w:r>
      <w:r>
        <w:rPr>
          <w:spacing w:val="-13"/>
        </w:rPr>
        <w:t xml:space="preserve"> </w:t>
      </w:r>
      <w:r>
        <w:t>informally</w:t>
      </w:r>
      <w:r>
        <w:rPr>
          <w:spacing w:val="-12"/>
        </w:rPr>
        <w:t xml:space="preserve"> </w:t>
      </w:r>
      <w:r>
        <w:t>referred</w:t>
      </w:r>
      <w:r>
        <w:rPr>
          <w:spacing w:val="-13"/>
        </w:rPr>
        <w:t xml:space="preserve"> </w:t>
      </w:r>
      <w:r>
        <w:t>to</w:t>
      </w:r>
      <w:r>
        <w:rPr>
          <w:spacing w:val="-12"/>
        </w:rPr>
        <w:t xml:space="preserve"> </w:t>
      </w:r>
      <w:r>
        <w:t>as</w:t>
      </w:r>
      <w:r>
        <w:rPr>
          <w:spacing w:val="-13"/>
        </w:rPr>
        <w:t xml:space="preserve"> </w:t>
      </w:r>
      <w:r>
        <w:t>“gender</w:t>
      </w:r>
      <w:r>
        <w:rPr>
          <w:spacing w:val="-12"/>
        </w:rPr>
        <w:t xml:space="preserve"> </w:t>
      </w:r>
      <w:r>
        <w:t>markers,” it</w:t>
      </w:r>
      <w:r>
        <w:rPr>
          <w:spacing w:val="-2"/>
        </w:rPr>
        <w:t xml:space="preserve"> </w:t>
      </w:r>
      <w:r>
        <w:t>will appear as</w:t>
      </w:r>
      <w:r>
        <w:rPr>
          <w:spacing w:val="-1"/>
        </w:rPr>
        <w:t xml:space="preserve"> </w:t>
      </w:r>
      <w:r>
        <w:t>“sex”</w:t>
      </w:r>
      <w:r>
        <w:rPr>
          <w:spacing w:val="-1"/>
        </w:rPr>
        <w:t xml:space="preserve"> </w:t>
      </w:r>
      <w:r>
        <w:t>on</w:t>
      </w:r>
      <w:r>
        <w:rPr>
          <w:spacing w:val="-2"/>
        </w:rPr>
        <w:t xml:space="preserve"> </w:t>
      </w:r>
      <w:r>
        <w:t>IDs.</w:t>
      </w:r>
      <w:r>
        <w:rPr>
          <w:spacing w:val="-3"/>
        </w:rPr>
        <w:t xml:space="preserve"> </w:t>
      </w:r>
      <w:r>
        <w:t>This</w:t>
      </w:r>
      <w:r>
        <w:rPr>
          <w:spacing w:val="-1"/>
        </w:rPr>
        <w:t xml:space="preserve"> </w:t>
      </w:r>
      <w:r>
        <w:t>quick</w:t>
      </w:r>
      <w:r>
        <w:rPr>
          <w:spacing w:val="-1"/>
        </w:rPr>
        <w:t xml:space="preserve"> </w:t>
      </w:r>
      <w:r>
        <w:t>response</w:t>
      </w:r>
      <w:r>
        <w:rPr>
          <w:spacing w:val="-2"/>
        </w:rPr>
        <w:t xml:space="preserve"> </w:t>
      </w:r>
      <w:r>
        <w:t>to community</w:t>
      </w:r>
      <w:r>
        <w:rPr>
          <w:spacing w:val="-1"/>
        </w:rPr>
        <w:t xml:space="preserve"> </w:t>
      </w:r>
      <w:r>
        <w:t>feedback</w:t>
      </w:r>
      <w:r>
        <w:rPr>
          <w:spacing w:val="-2"/>
        </w:rPr>
        <w:t xml:space="preserve"> </w:t>
      </w:r>
      <w:r>
        <w:t>indicates</w:t>
      </w:r>
      <w:r>
        <w:rPr>
          <w:spacing w:val="-1"/>
        </w:rPr>
        <w:t xml:space="preserve"> </w:t>
      </w:r>
      <w:r>
        <w:t>the</w:t>
      </w:r>
      <w:r>
        <w:rPr>
          <w:spacing w:val="-1"/>
        </w:rPr>
        <w:t xml:space="preserve"> </w:t>
      </w:r>
      <w:r>
        <w:t>RMV’s</w:t>
      </w:r>
      <w:r>
        <w:rPr>
          <w:spacing w:val="-1"/>
        </w:rPr>
        <w:t xml:space="preserve"> </w:t>
      </w:r>
      <w:r>
        <w:t>continued dedication to serving the LGBTQ community. The Commission encourages the RMV to continue monitoring these types of data and feedback to inform this important work and our progress towards shared goals.</w:t>
      </w:r>
    </w:p>
    <w:p w:rsidR="00C76E6D" w:rsidRDefault="00C76E6D">
      <w:pPr>
        <w:pStyle w:val="BodyText"/>
        <w:spacing w:before="8"/>
        <w:rPr>
          <w:sz w:val="19"/>
        </w:rPr>
      </w:pPr>
    </w:p>
    <w:p w:rsidR="00C76E6D" w:rsidRDefault="00913831">
      <w:pPr>
        <w:pStyle w:val="Heading6"/>
        <w:numPr>
          <w:ilvl w:val="0"/>
          <w:numId w:val="4"/>
        </w:numPr>
        <w:tabs>
          <w:tab w:val="left" w:pos="556"/>
        </w:tabs>
        <w:ind w:left="555" w:hanging="218"/>
      </w:pPr>
      <w:bookmarkStart w:id="897" w:name="2._Provide_cultural_humility_training_fo"/>
      <w:bookmarkEnd w:id="897"/>
      <w:r>
        <w:rPr>
          <w:w w:val="95"/>
        </w:rPr>
        <w:t>Provide</w:t>
      </w:r>
      <w:r>
        <w:rPr>
          <w:spacing w:val="9"/>
        </w:rPr>
        <w:t xml:space="preserve"> </w:t>
      </w:r>
      <w:r>
        <w:rPr>
          <w:w w:val="95"/>
        </w:rPr>
        <w:t>cultural</w:t>
      </w:r>
      <w:r>
        <w:rPr>
          <w:spacing w:val="11"/>
        </w:rPr>
        <w:t xml:space="preserve"> </w:t>
      </w:r>
      <w:r>
        <w:rPr>
          <w:w w:val="95"/>
        </w:rPr>
        <w:t>humility</w:t>
      </w:r>
      <w:r>
        <w:rPr>
          <w:spacing w:val="12"/>
        </w:rPr>
        <w:t xml:space="preserve"> </w:t>
      </w:r>
      <w:r>
        <w:rPr>
          <w:w w:val="95"/>
        </w:rPr>
        <w:t>training</w:t>
      </w:r>
      <w:r>
        <w:rPr>
          <w:spacing w:val="12"/>
        </w:rPr>
        <w:t xml:space="preserve"> </w:t>
      </w:r>
      <w:r>
        <w:rPr>
          <w:w w:val="95"/>
        </w:rPr>
        <w:t>for</w:t>
      </w:r>
      <w:r>
        <w:rPr>
          <w:spacing w:val="13"/>
        </w:rPr>
        <w:t xml:space="preserve"> </w:t>
      </w:r>
      <w:r>
        <w:rPr>
          <w:w w:val="95"/>
        </w:rPr>
        <w:t>all</w:t>
      </w:r>
      <w:r>
        <w:rPr>
          <w:spacing w:val="10"/>
        </w:rPr>
        <w:t xml:space="preserve"> </w:t>
      </w:r>
      <w:r>
        <w:rPr>
          <w:w w:val="95"/>
        </w:rPr>
        <w:t>line</w:t>
      </w:r>
      <w:r>
        <w:rPr>
          <w:spacing w:val="14"/>
        </w:rPr>
        <w:t xml:space="preserve"> </w:t>
      </w:r>
      <w:r>
        <w:rPr>
          <w:spacing w:val="-2"/>
          <w:w w:val="95"/>
        </w:rPr>
        <w:t>staff.</w:t>
      </w:r>
    </w:p>
    <w:p w:rsidR="00C76E6D" w:rsidRDefault="00C76E6D">
      <w:pPr>
        <w:pStyle w:val="BodyText"/>
        <w:spacing w:before="8"/>
        <w:rPr>
          <w:b/>
          <w:sz w:val="19"/>
        </w:rPr>
      </w:pPr>
    </w:p>
    <w:p w:rsidR="00C76E6D" w:rsidRDefault="00913831">
      <w:pPr>
        <w:pStyle w:val="BodyText"/>
        <w:ind w:left="627" w:right="336" w:hanging="1"/>
        <w:jc w:val="both"/>
      </w:pPr>
      <w:r>
        <w:t>The</w:t>
      </w:r>
      <w:r>
        <w:rPr>
          <w:spacing w:val="-10"/>
        </w:rPr>
        <w:t xml:space="preserve"> </w:t>
      </w:r>
      <w:r>
        <w:t>Commission</w:t>
      </w:r>
      <w:r>
        <w:rPr>
          <w:spacing w:val="-10"/>
        </w:rPr>
        <w:t xml:space="preserve"> </w:t>
      </w:r>
      <w:r>
        <w:t>was</w:t>
      </w:r>
      <w:r>
        <w:rPr>
          <w:spacing w:val="-10"/>
        </w:rPr>
        <w:t xml:space="preserve"> </w:t>
      </w:r>
      <w:r>
        <w:t>pleased</w:t>
      </w:r>
      <w:r>
        <w:rPr>
          <w:spacing w:val="-10"/>
        </w:rPr>
        <w:t xml:space="preserve"> </w:t>
      </w:r>
      <w:r>
        <w:t>to</w:t>
      </w:r>
      <w:r>
        <w:rPr>
          <w:spacing w:val="-9"/>
        </w:rPr>
        <w:t xml:space="preserve"> </w:t>
      </w:r>
      <w:r>
        <w:t>join</w:t>
      </w:r>
      <w:r>
        <w:rPr>
          <w:spacing w:val="-9"/>
        </w:rPr>
        <w:t xml:space="preserve"> </w:t>
      </w:r>
      <w:r>
        <w:t>the</w:t>
      </w:r>
      <w:r>
        <w:rPr>
          <w:spacing w:val="-8"/>
        </w:rPr>
        <w:t xml:space="preserve"> </w:t>
      </w:r>
      <w:r>
        <w:t>Massachusetts</w:t>
      </w:r>
      <w:r>
        <w:rPr>
          <w:spacing w:val="-9"/>
        </w:rPr>
        <w:t xml:space="preserve"> </w:t>
      </w:r>
      <w:r>
        <w:t>Transgender</w:t>
      </w:r>
      <w:r>
        <w:rPr>
          <w:spacing w:val="-9"/>
        </w:rPr>
        <w:t xml:space="preserve"> </w:t>
      </w:r>
      <w:r>
        <w:t>Political</w:t>
      </w:r>
      <w:r>
        <w:rPr>
          <w:spacing w:val="-9"/>
        </w:rPr>
        <w:t xml:space="preserve"> </w:t>
      </w:r>
      <w:r>
        <w:t>Coalition</w:t>
      </w:r>
      <w:r>
        <w:rPr>
          <w:spacing w:val="-10"/>
        </w:rPr>
        <w:t xml:space="preserve"> </w:t>
      </w:r>
      <w:r>
        <w:t>in</w:t>
      </w:r>
      <w:r>
        <w:rPr>
          <w:spacing w:val="-9"/>
        </w:rPr>
        <w:t xml:space="preserve"> </w:t>
      </w:r>
      <w:r>
        <w:t>presenting</w:t>
      </w:r>
      <w:r>
        <w:rPr>
          <w:spacing w:val="-9"/>
        </w:rPr>
        <w:t xml:space="preserve"> </w:t>
      </w:r>
      <w:r>
        <w:t>RMV senior</w:t>
      </w:r>
      <w:r>
        <w:rPr>
          <w:spacing w:val="-11"/>
        </w:rPr>
        <w:t xml:space="preserve"> </w:t>
      </w:r>
      <w:r>
        <w:t>staff</w:t>
      </w:r>
      <w:r>
        <w:rPr>
          <w:spacing w:val="-11"/>
        </w:rPr>
        <w:t xml:space="preserve"> </w:t>
      </w:r>
      <w:r>
        <w:t>and</w:t>
      </w:r>
      <w:r>
        <w:rPr>
          <w:spacing w:val="-11"/>
        </w:rPr>
        <w:t xml:space="preserve"> </w:t>
      </w:r>
      <w:r>
        <w:t>Service</w:t>
      </w:r>
      <w:r>
        <w:rPr>
          <w:spacing w:val="-11"/>
        </w:rPr>
        <w:t xml:space="preserve"> </w:t>
      </w:r>
      <w:r>
        <w:t>Center</w:t>
      </w:r>
      <w:r>
        <w:rPr>
          <w:spacing w:val="-10"/>
        </w:rPr>
        <w:t xml:space="preserve"> </w:t>
      </w:r>
      <w:r>
        <w:t>managers</w:t>
      </w:r>
      <w:r>
        <w:rPr>
          <w:spacing w:val="-11"/>
        </w:rPr>
        <w:t xml:space="preserve"> </w:t>
      </w:r>
      <w:r>
        <w:t>with</w:t>
      </w:r>
      <w:r>
        <w:rPr>
          <w:spacing w:val="-11"/>
        </w:rPr>
        <w:t xml:space="preserve"> </w:t>
      </w:r>
      <w:r>
        <w:t>a</w:t>
      </w:r>
      <w:r>
        <w:rPr>
          <w:spacing w:val="-11"/>
        </w:rPr>
        <w:t xml:space="preserve"> </w:t>
      </w:r>
      <w:r>
        <w:t>presentation</w:t>
      </w:r>
      <w:r>
        <w:rPr>
          <w:spacing w:val="-11"/>
        </w:rPr>
        <w:t xml:space="preserve"> </w:t>
      </w:r>
      <w:r>
        <w:t>on</w:t>
      </w:r>
      <w:r>
        <w:rPr>
          <w:spacing w:val="-10"/>
        </w:rPr>
        <w:t xml:space="preserve"> </w:t>
      </w:r>
      <w:r>
        <w:t>implementing</w:t>
      </w:r>
      <w:r>
        <w:rPr>
          <w:spacing w:val="-11"/>
        </w:rPr>
        <w:t xml:space="preserve"> </w:t>
      </w:r>
      <w:r>
        <w:t>the</w:t>
      </w:r>
      <w:r>
        <w:rPr>
          <w:spacing w:val="-11"/>
        </w:rPr>
        <w:t xml:space="preserve"> </w:t>
      </w:r>
      <w:r>
        <w:t>new</w:t>
      </w:r>
      <w:r>
        <w:rPr>
          <w:spacing w:val="-10"/>
        </w:rPr>
        <w:t xml:space="preserve"> </w:t>
      </w:r>
      <w:r>
        <w:t>nonbinary</w:t>
      </w:r>
      <w:r>
        <w:rPr>
          <w:spacing w:val="-11"/>
        </w:rPr>
        <w:t xml:space="preserve"> </w:t>
      </w:r>
      <w:r>
        <w:t xml:space="preserve">gender marker in December 2018. Following the 2018 training, materials were finalized for Service Center managers to take key lessons back to their staff in the form of an explanatory handout and a Frequently Asked Questions guide. The Commission believes </w:t>
      </w:r>
      <w:r>
        <w:t>that this is a positive first step in helping staff to best</w:t>
      </w:r>
    </w:p>
    <w:p w:rsidR="00C76E6D" w:rsidRDefault="00C76E6D">
      <w:pPr>
        <w:jc w:val="both"/>
        <w:sectPr w:rsidR="00C76E6D">
          <w:pgSz w:w="12240" w:h="15840"/>
          <w:pgMar w:top="1000" w:right="960" w:bottom="640" w:left="960" w:header="811" w:footer="440" w:gutter="0"/>
          <w:cols w:space="720"/>
        </w:sectPr>
      </w:pPr>
    </w:p>
    <w:p w:rsidR="00C76E6D" w:rsidRDefault="00C76E6D">
      <w:pPr>
        <w:pStyle w:val="BodyText"/>
        <w:spacing w:before="1"/>
        <w:rPr>
          <w:sz w:val="24"/>
        </w:rPr>
      </w:pPr>
    </w:p>
    <w:p w:rsidR="00C76E6D" w:rsidRDefault="00913831">
      <w:pPr>
        <w:pStyle w:val="BodyText"/>
        <w:spacing w:before="56"/>
        <w:ind w:left="627" w:right="331"/>
        <w:jc w:val="both"/>
      </w:pPr>
      <w:r>
        <w:t>serve LGBTQ clients. In FY2022, the Commission provided further recommendations to the RMV to consider how they might implement additional training options that could go beyond mere</w:t>
      </w:r>
      <w:r>
        <w:t>ly the nonbinary gender marker and also look at other parts of the LGBTQ community and their needs. The Commission understands that the COVID-19 pandemic and staff transitions have led to a change in priorities and have disrupted normal operations. Similar</w:t>
      </w:r>
      <w:r>
        <w:t>ly, staff transitions within the Commission impeded our ability to coordinate additional trainings in FY22. In a May 2022 meeting, the Commission and the RMV committed to continuing discussions around trainings for RMV employees, particularly frontline ser</w:t>
      </w:r>
      <w:r>
        <w:t>vice center workers, and exploring training options to integrate into employee onboarding.</w:t>
      </w:r>
    </w:p>
    <w:p w:rsidR="00C76E6D" w:rsidRDefault="00C76E6D">
      <w:pPr>
        <w:pStyle w:val="BodyText"/>
        <w:spacing w:before="12"/>
        <w:rPr>
          <w:sz w:val="21"/>
        </w:rPr>
      </w:pPr>
    </w:p>
    <w:p w:rsidR="00C76E6D" w:rsidRDefault="00913831">
      <w:pPr>
        <w:pStyle w:val="Heading6"/>
        <w:numPr>
          <w:ilvl w:val="0"/>
          <w:numId w:val="4"/>
        </w:numPr>
        <w:tabs>
          <w:tab w:val="left" w:pos="573"/>
        </w:tabs>
        <w:ind w:left="338" w:right="526" w:firstLine="0"/>
      </w:pPr>
      <w:bookmarkStart w:id="898" w:name="3._Continue_to_explore_initiatives_to_ad"/>
      <w:bookmarkEnd w:id="898"/>
      <w:r>
        <w:t>Continue</w:t>
      </w:r>
      <w:r>
        <w:rPr>
          <w:spacing w:val="-3"/>
        </w:rPr>
        <w:t xml:space="preserve"> </w:t>
      </w:r>
      <w:r>
        <w:t>to</w:t>
      </w:r>
      <w:r>
        <w:rPr>
          <w:spacing w:val="-2"/>
        </w:rPr>
        <w:t xml:space="preserve"> </w:t>
      </w:r>
      <w:r>
        <w:t>explore</w:t>
      </w:r>
      <w:r>
        <w:rPr>
          <w:spacing w:val="-4"/>
        </w:rPr>
        <w:t xml:space="preserve"> </w:t>
      </w:r>
      <w:r>
        <w:t>initiatives</w:t>
      </w:r>
      <w:r>
        <w:rPr>
          <w:spacing w:val="-3"/>
        </w:rPr>
        <w:t xml:space="preserve"> </w:t>
      </w:r>
      <w:r>
        <w:t>to</w:t>
      </w:r>
      <w:r>
        <w:rPr>
          <w:spacing w:val="-3"/>
        </w:rPr>
        <w:t xml:space="preserve"> </w:t>
      </w:r>
      <w:r>
        <w:t>address</w:t>
      </w:r>
      <w:r>
        <w:rPr>
          <w:spacing w:val="-4"/>
        </w:rPr>
        <w:t xml:space="preserve"> </w:t>
      </w:r>
      <w:r>
        <w:t>barriers</w:t>
      </w:r>
      <w:r>
        <w:rPr>
          <w:spacing w:val="-3"/>
        </w:rPr>
        <w:t xml:space="preserve"> </w:t>
      </w:r>
      <w:r>
        <w:t>to</w:t>
      </w:r>
      <w:r>
        <w:rPr>
          <w:spacing w:val="-4"/>
        </w:rPr>
        <w:t xml:space="preserve"> </w:t>
      </w:r>
      <w:r>
        <w:t>ID</w:t>
      </w:r>
      <w:r>
        <w:rPr>
          <w:spacing w:val="-3"/>
        </w:rPr>
        <w:t xml:space="preserve"> </w:t>
      </w:r>
      <w:r>
        <w:t>access</w:t>
      </w:r>
      <w:r>
        <w:rPr>
          <w:spacing w:val="-3"/>
        </w:rPr>
        <w:t xml:space="preserve"> </w:t>
      </w:r>
      <w:r>
        <w:t>facing</w:t>
      </w:r>
      <w:r>
        <w:rPr>
          <w:spacing w:val="-4"/>
        </w:rPr>
        <w:t xml:space="preserve"> </w:t>
      </w:r>
      <w:r>
        <w:t>youth</w:t>
      </w:r>
      <w:r>
        <w:rPr>
          <w:spacing w:val="-3"/>
        </w:rPr>
        <w:t xml:space="preserve"> </w:t>
      </w:r>
      <w:r>
        <w:t>experiencing</w:t>
      </w:r>
      <w:r>
        <w:rPr>
          <w:spacing w:val="-3"/>
        </w:rPr>
        <w:t xml:space="preserve"> </w:t>
      </w:r>
      <w:r>
        <w:t>or</w:t>
      </w:r>
      <w:r>
        <w:rPr>
          <w:spacing w:val="-3"/>
        </w:rPr>
        <w:t xml:space="preserve"> </w:t>
      </w:r>
      <w:r>
        <w:t>at</w:t>
      </w:r>
      <w:r>
        <w:rPr>
          <w:spacing w:val="-5"/>
        </w:rPr>
        <w:t xml:space="preserve"> </w:t>
      </w:r>
      <w:r>
        <w:t>risk</w:t>
      </w:r>
      <w:r>
        <w:rPr>
          <w:spacing w:val="-3"/>
        </w:rPr>
        <w:t xml:space="preserve"> </w:t>
      </w:r>
      <w:r>
        <w:t xml:space="preserve">for </w:t>
      </w:r>
      <w:r>
        <w:rPr>
          <w:spacing w:val="-2"/>
        </w:rPr>
        <w:t>homelessness.</w:t>
      </w:r>
    </w:p>
    <w:p w:rsidR="00C76E6D" w:rsidRDefault="00C76E6D">
      <w:pPr>
        <w:pStyle w:val="BodyText"/>
        <w:spacing w:before="9"/>
        <w:rPr>
          <w:b/>
          <w:sz w:val="19"/>
        </w:rPr>
      </w:pPr>
    </w:p>
    <w:p w:rsidR="00C76E6D" w:rsidRDefault="00913831">
      <w:pPr>
        <w:pStyle w:val="BodyText"/>
        <w:spacing w:before="1"/>
        <w:ind w:left="627" w:right="332"/>
        <w:jc w:val="both"/>
      </w:pPr>
      <w:r>
        <w:t>The Commission and the RMV continue to disc</w:t>
      </w:r>
      <w:r>
        <w:t>uss barriers to obtaining ID that face youth who are experiencing or at risk for homelessness. The Commission’s recommendations for improving access include removing the requirement for a parent or guardian’s consent for youth over the age of 14, expanding</w:t>
      </w:r>
      <w:r>
        <w:t xml:space="preserve"> accepted forms of supporting identification, and appointing a designated service coordinator for</w:t>
      </w:r>
      <w:r>
        <w:rPr>
          <w:spacing w:val="-3"/>
        </w:rPr>
        <w:t xml:space="preserve"> </w:t>
      </w:r>
      <w:r>
        <w:t>unaccompanied</w:t>
      </w:r>
      <w:r>
        <w:rPr>
          <w:spacing w:val="-2"/>
        </w:rPr>
        <w:t xml:space="preserve"> </w:t>
      </w:r>
      <w:r>
        <w:t>youth.</w:t>
      </w:r>
      <w:r>
        <w:rPr>
          <w:spacing w:val="-2"/>
        </w:rPr>
        <w:t xml:space="preserve"> </w:t>
      </w:r>
      <w:r>
        <w:t>The RMV has</w:t>
      </w:r>
      <w:r>
        <w:rPr>
          <w:spacing w:val="-1"/>
        </w:rPr>
        <w:t xml:space="preserve"> </w:t>
      </w:r>
      <w:r>
        <w:t>actively continued</w:t>
      </w:r>
      <w:r>
        <w:rPr>
          <w:spacing w:val="-2"/>
        </w:rPr>
        <w:t xml:space="preserve"> </w:t>
      </w:r>
      <w:r>
        <w:t>to look</w:t>
      </w:r>
      <w:r>
        <w:rPr>
          <w:spacing w:val="-2"/>
        </w:rPr>
        <w:t xml:space="preserve"> </w:t>
      </w:r>
      <w:r>
        <w:t>at</w:t>
      </w:r>
      <w:r>
        <w:rPr>
          <w:spacing w:val="-2"/>
        </w:rPr>
        <w:t xml:space="preserve"> </w:t>
      </w:r>
      <w:r>
        <w:t>requirements</w:t>
      </w:r>
      <w:r>
        <w:rPr>
          <w:spacing w:val="-1"/>
        </w:rPr>
        <w:t xml:space="preserve"> </w:t>
      </w:r>
      <w:r>
        <w:t>for</w:t>
      </w:r>
      <w:r>
        <w:rPr>
          <w:spacing w:val="-2"/>
        </w:rPr>
        <w:t xml:space="preserve"> </w:t>
      </w:r>
      <w:r>
        <w:t>both REAL ID</w:t>
      </w:r>
      <w:r>
        <w:rPr>
          <w:spacing w:val="-1"/>
        </w:rPr>
        <w:t xml:space="preserve"> </w:t>
      </w:r>
      <w:r>
        <w:t>and Massachusetts ID under the 2016 law, and is exploring several</w:t>
      </w:r>
      <w:r>
        <w:t xml:space="preserve"> potential initiatives. In FY 2023, the Commission and the RMV will explore potential exception processes that will assist in addressing inequities faced by LGBTQ+ youth in the Commonwealth. The Commission has previously provided testimony to</w:t>
      </w:r>
      <w:r>
        <w:rPr>
          <w:spacing w:val="-1"/>
        </w:rPr>
        <w:t xml:space="preserve"> </w:t>
      </w:r>
      <w:r>
        <w:t>the</w:t>
      </w:r>
      <w:r>
        <w:rPr>
          <w:spacing w:val="-2"/>
        </w:rPr>
        <w:t xml:space="preserve"> </w:t>
      </w:r>
      <w:r>
        <w:t>Joint</w:t>
      </w:r>
      <w:r>
        <w:rPr>
          <w:spacing w:val="-3"/>
        </w:rPr>
        <w:t xml:space="preserve"> </w:t>
      </w:r>
      <w:r>
        <w:t>Committee</w:t>
      </w:r>
      <w:r>
        <w:rPr>
          <w:spacing w:val="-3"/>
        </w:rPr>
        <w:t xml:space="preserve"> </w:t>
      </w:r>
      <w:r>
        <w:t>on</w:t>
      </w:r>
      <w:r>
        <w:rPr>
          <w:spacing w:val="-2"/>
        </w:rPr>
        <w:t xml:space="preserve"> </w:t>
      </w:r>
      <w:r>
        <w:t>Transportation</w:t>
      </w:r>
      <w:r>
        <w:rPr>
          <w:spacing w:val="-4"/>
        </w:rPr>
        <w:t xml:space="preserve"> </w:t>
      </w:r>
      <w:r>
        <w:t>regarding</w:t>
      </w:r>
      <w:r>
        <w:rPr>
          <w:spacing w:val="-2"/>
        </w:rPr>
        <w:t xml:space="preserve"> </w:t>
      </w:r>
      <w:r>
        <w:t>ID access</w:t>
      </w:r>
      <w:r>
        <w:rPr>
          <w:spacing w:val="-2"/>
        </w:rPr>
        <w:t xml:space="preserve"> </w:t>
      </w:r>
      <w:r>
        <w:t>for</w:t>
      </w:r>
      <w:r>
        <w:rPr>
          <w:spacing w:val="-3"/>
        </w:rPr>
        <w:t xml:space="preserve"> </w:t>
      </w:r>
      <w:r>
        <w:t>LGBTQ+</w:t>
      </w:r>
      <w:r>
        <w:rPr>
          <w:spacing w:val="-3"/>
        </w:rPr>
        <w:t xml:space="preserve"> </w:t>
      </w:r>
      <w:r>
        <w:t>and</w:t>
      </w:r>
      <w:r>
        <w:rPr>
          <w:spacing w:val="-2"/>
        </w:rPr>
        <w:t xml:space="preserve"> </w:t>
      </w:r>
      <w:r>
        <w:t>QTBIPOC</w:t>
      </w:r>
      <w:r>
        <w:rPr>
          <w:spacing w:val="-2"/>
        </w:rPr>
        <w:t xml:space="preserve"> </w:t>
      </w:r>
      <w:r>
        <w:t>youth experiencing homelessness to keep the legislature informed of these challenges as well.</w:t>
      </w:r>
    </w:p>
    <w:p w:rsidR="00C76E6D" w:rsidRDefault="00C76E6D">
      <w:pPr>
        <w:pStyle w:val="BodyText"/>
        <w:spacing w:before="7"/>
        <w:rPr>
          <w:sz w:val="19"/>
        </w:rPr>
      </w:pPr>
    </w:p>
    <w:p w:rsidR="00C76E6D" w:rsidRDefault="00913831">
      <w:pPr>
        <w:pStyle w:val="BodyText"/>
        <w:spacing w:before="1"/>
        <w:ind w:left="626" w:right="335" w:firstLine="1"/>
        <w:jc w:val="both"/>
      </w:pPr>
      <w:r>
        <w:t>The Commission also recommends that the RMV consider these populations in community outrea</w:t>
      </w:r>
      <w:r>
        <w:t>ch initiatives,</w:t>
      </w:r>
      <w:r>
        <w:rPr>
          <w:spacing w:val="-3"/>
        </w:rPr>
        <w:t xml:space="preserve"> </w:t>
      </w:r>
      <w:r>
        <w:t>such</w:t>
      </w:r>
      <w:r>
        <w:rPr>
          <w:spacing w:val="-4"/>
        </w:rPr>
        <w:t xml:space="preserve"> </w:t>
      </w:r>
      <w:r>
        <w:t>as</w:t>
      </w:r>
      <w:r>
        <w:rPr>
          <w:spacing w:val="-4"/>
        </w:rPr>
        <w:t xml:space="preserve"> </w:t>
      </w:r>
      <w:r>
        <w:t>by</w:t>
      </w:r>
      <w:r>
        <w:rPr>
          <w:spacing w:val="-4"/>
        </w:rPr>
        <w:t xml:space="preserve"> </w:t>
      </w:r>
      <w:r>
        <w:t>coordinating</w:t>
      </w:r>
      <w:r>
        <w:rPr>
          <w:spacing w:val="-4"/>
        </w:rPr>
        <w:t xml:space="preserve"> </w:t>
      </w:r>
      <w:r>
        <w:t>with</w:t>
      </w:r>
      <w:r>
        <w:rPr>
          <w:spacing w:val="-3"/>
        </w:rPr>
        <w:t xml:space="preserve"> </w:t>
      </w:r>
      <w:r>
        <w:t>other</w:t>
      </w:r>
      <w:r>
        <w:rPr>
          <w:spacing w:val="-4"/>
        </w:rPr>
        <w:t xml:space="preserve"> </w:t>
      </w:r>
      <w:r>
        <w:t>state</w:t>
      </w:r>
      <w:r>
        <w:rPr>
          <w:spacing w:val="-4"/>
        </w:rPr>
        <w:t xml:space="preserve"> </w:t>
      </w:r>
      <w:r>
        <w:t>agencies</w:t>
      </w:r>
      <w:r>
        <w:rPr>
          <w:spacing w:val="-3"/>
        </w:rPr>
        <w:t xml:space="preserve"> </w:t>
      </w:r>
      <w:r>
        <w:t>serving</w:t>
      </w:r>
      <w:r>
        <w:rPr>
          <w:spacing w:val="-4"/>
        </w:rPr>
        <w:t xml:space="preserve"> </w:t>
      </w:r>
      <w:r>
        <w:t>vulnerable</w:t>
      </w:r>
      <w:r>
        <w:rPr>
          <w:spacing w:val="-3"/>
        </w:rPr>
        <w:t xml:space="preserve"> </w:t>
      </w:r>
      <w:r>
        <w:t>young</w:t>
      </w:r>
      <w:r>
        <w:rPr>
          <w:spacing w:val="-4"/>
        </w:rPr>
        <w:t xml:space="preserve"> </w:t>
      </w:r>
      <w:r>
        <w:t>people</w:t>
      </w:r>
      <w:r>
        <w:rPr>
          <w:spacing w:val="-4"/>
        </w:rPr>
        <w:t xml:space="preserve"> </w:t>
      </w:r>
      <w:r>
        <w:t>or</w:t>
      </w:r>
      <w:r>
        <w:rPr>
          <w:spacing w:val="-4"/>
        </w:rPr>
        <w:t xml:space="preserve"> </w:t>
      </w:r>
      <w:r>
        <w:t>by</w:t>
      </w:r>
      <w:r>
        <w:rPr>
          <w:spacing w:val="-4"/>
        </w:rPr>
        <w:t xml:space="preserve"> </w:t>
      </w:r>
      <w:r>
        <w:t>using their existing outreach staff to hold events that speak specifically to the needs facing LGBTQ+ youth, especially</w:t>
      </w:r>
      <w:r>
        <w:rPr>
          <w:spacing w:val="-8"/>
        </w:rPr>
        <w:t xml:space="preserve"> </w:t>
      </w:r>
      <w:r>
        <w:t>those</w:t>
      </w:r>
      <w:r>
        <w:rPr>
          <w:spacing w:val="-11"/>
        </w:rPr>
        <w:t xml:space="preserve"> </w:t>
      </w:r>
      <w:r>
        <w:t>at</w:t>
      </w:r>
      <w:r>
        <w:rPr>
          <w:spacing w:val="-10"/>
        </w:rPr>
        <w:t xml:space="preserve"> </w:t>
      </w:r>
      <w:r>
        <w:t>risk</w:t>
      </w:r>
      <w:r>
        <w:rPr>
          <w:spacing w:val="-11"/>
        </w:rPr>
        <w:t xml:space="preserve"> </w:t>
      </w:r>
      <w:r>
        <w:t>for</w:t>
      </w:r>
      <w:r>
        <w:rPr>
          <w:spacing w:val="-8"/>
        </w:rPr>
        <w:t xml:space="preserve"> </w:t>
      </w:r>
      <w:r>
        <w:t>or</w:t>
      </w:r>
      <w:r>
        <w:rPr>
          <w:spacing w:val="-11"/>
        </w:rPr>
        <w:t xml:space="preserve"> </w:t>
      </w:r>
      <w:r>
        <w:t>experiencin</w:t>
      </w:r>
      <w:r>
        <w:t>g</w:t>
      </w:r>
      <w:r>
        <w:rPr>
          <w:spacing w:val="-10"/>
        </w:rPr>
        <w:t xml:space="preserve"> </w:t>
      </w:r>
      <w:r>
        <w:t>homelessness.</w:t>
      </w:r>
      <w:r>
        <w:rPr>
          <w:spacing w:val="-11"/>
        </w:rPr>
        <w:t xml:space="preserve"> </w:t>
      </w:r>
      <w:r>
        <w:t>Community</w:t>
      </w:r>
      <w:r>
        <w:rPr>
          <w:spacing w:val="-11"/>
        </w:rPr>
        <w:t xml:space="preserve"> </w:t>
      </w:r>
      <w:r>
        <w:t>organizations</w:t>
      </w:r>
      <w:r>
        <w:rPr>
          <w:spacing w:val="-11"/>
        </w:rPr>
        <w:t xml:space="preserve"> </w:t>
      </w:r>
      <w:r>
        <w:t>and</w:t>
      </w:r>
      <w:r>
        <w:rPr>
          <w:spacing w:val="-9"/>
        </w:rPr>
        <w:t xml:space="preserve"> </w:t>
      </w:r>
      <w:r>
        <w:t>members</w:t>
      </w:r>
      <w:r>
        <w:rPr>
          <w:spacing w:val="-11"/>
        </w:rPr>
        <w:t xml:space="preserve"> </w:t>
      </w:r>
      <w:r>
        <w:t>may</w:t>
      </w:r>
      <w:r>
        <w:rPr>
          <w:spacing w:val="-9"/>
        </w:rPr>
        <w:t xml:space="preserve"> </w:t>
      </w:r>
      <w:r>
        <w:t>be interested in learning more about the RMV’s initiative for people experiencing homelessness, which allows organizations to register to be able to provide an affidavit as proof of residency.</w:t>
      </w:r>
      <w:r>
        <w:rPr>
          <w:vertAlign w:val="superscript"/>
        </w:rPr>
        <w:t>73</w:t>
      </w:r>
    </w:p>
    <w:p w:rsidR="00C76E6D" w:rsidRDefault="00C76E6D">
      <w:pPr>
        <w:pStyle w:val="BodyText"/>
        <w:spacing w:before="7"/>
        <w:rPr>
          <w:sz w:val="19"/>
        </w:rPr>
      </w:pPr>
    </w:p>
    <w:p w:rsidR="00C76E6D" w:rsidRDefault="00913831">
      <w:pPr>
        <w:pStyle w:val="Heading6"/>
        <w:numPr>
          <w:ilvl w:val="0"/>
          <w:numId w:val="4"/>
        </w:numPr>
        <w:tabs>
          <w:tab w:val="left" w:pos="560"/>
        </w:tabs>
        <w:ind w:left="559" w:hanging="222"/>
      </w:pPr>
      <w:bookmarkStart w:id="899" w:name="4._Create_and_implement_a_policy_to_prom"/>
      <w:bookmarkEnd w:id="899"/>
      <w:r>
        <w:rPr>
          <w:w w:val="95"/>
        </w:rPr>
        <w:t>Crea</w:t>
      </w:r>
      <w:r>
        <w:rPr>
          <w:w w:val="95"/>
        </w:rPr>
        <w:t>te</w:t>
      </w:r>
      <w:r>
        <w:rPr>
          <w:spacing w:val="14"/>
        </w:rPr>
        <w:t xml:space="preserve"> </w:t>
      </w:r>
      <w:r>
        <w:rPr>
          <w:w w:val="95"/>
        </w:rPr>
        <w:t>and</w:t>
      </w:r>
      <w:r>
        <w:rPr>
          <w:spacing w:val="15"/>
        </w:rPr>
        <w:t xml:space="preserve"> </w:t>
      </w:r>
      <w:r>
        <w:rPr>
          <w:w w:val="95"/>
        </w:rPr>
        <w:t>implement</w:t>
      </w:r>
      <w:r>
        <w:rPr>
          <w:spacing w:val="14"/>
        </w:rPr>
        <w:t xml:space="preserve"> </w:t>
      </w:r>
      <w:r>
        <w:rPr>
          <w:w w:val="95"/>
        </w:rPr>
        <w:t>a</w:t>
      </w:r>
      <w:r>
        <w:rPr>
          <w:spacing w:val="15"/>
        </w:rPr>
        <w:t xml:space="preserve"> </w:t>
      </w:r>
      <w:r>
        <w:rPr>
          <w:w w:val="95"/>
        </w:rPr>
        <w:t>policy</w:t>
      </w:r>
      <w:r>
        <w:rPr>
          <w:spacing w:val="15"/>
        </w:rPr>
        <w:t xml:space="preserve"> </w:t>
      </w:r>
      <w:r>
        <w:rPr>
          <w:w w:val="95"/>
        </w:rPr>
        <w:t>to</w:t>
      </w:r>
      <w:r>
        <w:rPr>
          <w:spacing w:val="15"/>
        </w:rPr>
        <w:t xml:space="preserve"> </w:t>
      </w:r>
      <w:r>
        <w:rPr>
          <w:w w:val="95"/>
        </w:rPr>
        <w:t>promote</w:t>
      </w:r>
      <w:r>
        <w:rPr>
          <w:spacing w:val="11"/>
        </w:rPr>
        <w:t xml:space="preserve"> </w:t>
      </w:r>
      <w:r>
        <w:rPr>
          <w:w w:val="95"/>
        </w:rPr>
        <w:t>nondiscriminatory</w:t>
      </w:r>
      <w:r>
        <w:rPr>
          <w:spacing w:val="17"/>
        </w:rPr>
        <w:t xml:space="preserve"> </w:t>
      </w:r>
      <w:r>
        <w:rPr>
          <w:w w:val="95"/>
        </w:rPr>
        <w:t>services</w:t>
      </w:r>
      <w:r>
        <w:rPr>
          <w:spacing w:val="10"/>
        </w:rPr>
        <w:t xml:space="preserve"> </w:t>
      </w:r>
      <w:r>
        <w:rPr>
          <w:w w:val="95"/>
        </w:rPr>
        <w:t>for</w:t>
      </w:r>
      <w:r>
        <w:rPr>
          <w:spacing w:val="15"/>
        </w:rPr>
        <w:t xml:space="preserve"> </w:t>
      </w:r>
      <w:r>
        <w:rPr>
          <w:w w:val="95"/>
        </w:rPr>
        <w:t>LGBTQ</w:t>
      </w:r>
      <w:r>
        <w:rPr>
          <w:spacing w:val="13"/>
        </w:rPr>
        <w:t xml:space="preserve"> </w:t>
      </w:r>
      <w:r>
        <w:rPr>
          <w:w w:val="95"/>
        </w:rPr>
        <w:t>young</w:t>
      </w:r>
      <w:r>
        <w:rPr>
          <w:spacing w:val="17"/>
        </w:rPr>
        <w:t xml:space="preserve"> </w:t>
      </w:r>
      <w:r>
        <w:rPr>
          <w:spacing w:val="-2"/>
          <w:w w:val="95"/>
        </w:rPr>
        <w:t>people.</w:t>
      </w:r>
    </w:p>
    <w:p w:rsidR="00C76E6D" w:rsidRDefault="00C76E6D">
      <w:pPr>
        <w:pStyle w:val="BodyText"/>
        <w:spacing w:before="7"/>
        <w:rPr>
          <w:b/>
          <w:sz w:val="19"/>
        </w:rPr>
      </w:pPr>
    </w:p>
    <w:p w:rsidR="00C76E6D" w:rsidRDefault="00913831">
      <w:pPr>
        <w:pStyle w:val="BodyText"/>
        <w:ind w:left="627" w:right="334" w:hanging="2"/>
        <w:jc w:val="both"/>
      </w:pPr>
      <w:r>
        <w:t>The Commission had previously worked with the RMV on drafting a policy and guidance to promote nondiscriminatory services for LGBTQ young people, and hopes in FY 2023 to continue this discussion, especially</w:t>
      </w:r>
      <w:r>
        <w:rPr>
          <w:spacing w:val="-8"/>
        </w:rPr>
        <w:t xml:space="preserve"> </w:t>
      </w:r>
      <w:r>
        <w:t>given</w:t>
      </w:r>
      <w:r>
        <w:rPr>
          <w:spacing w:val="-9"/>
        </w:rPr>
        <w:t xml:space="preserve"> </w:t>
      </w:r>
      <w:r>
        <w:t>that</w:t>
      </w:r>
      <w:r>
        <w:rPr>
          <w:spacing w:val="-9"/>
        </w:rPr>
        <w:t xml:space="preserve"> </w:t>
      </w:r>
      <w:r>
        <w:t>some</w:t>
      </w:r>
      <w:r>
        <w:rPr>
          <w:spacing w:val="-8"/>
        </w:rPr>
        <w:t xml:space="preserve"> </w:t>
      </w:r>
      <w:r>
        <w:t>aspects</w:t>
      </w:r>
      <w:r>
        <w:rPr>
          <w:spacing w:val="-8"/>
        </w:rPr>
        <w:t xml:space="preserve"> </w:t>
      </w:r>
      <w:r>
        <w:t>of</w:t>
      </w:r>
      <w:r>
        <w:rPr>
          <w:spacing w:val="-8"/>
        </w:rPr>
        <w:t xml:space="preserve"> </w:t>
      </w:r>
      <w:r>
        <w:t>such</w:t>
      </w:r>
      <w:r>
        <w:rPr>
          <w:spacing w:val="-9"/>
        </w:rPr>
        <w:t xml:space="preserve"> </w:t>
      </w:r>
      <w:r>
        <w:t>guidance</w:t>
      </w:r>
      <w:r>
        <w:rPr>
          <w:spacing w:val="-8"/>
        </w:rPr>
        <w:t xml:space="preserve"> </w:t>
      </w:r>
      <w:r>
        <w:t>(such</w:t>
      </w:r>
      <w:r>
        <w:rPr>
          <w:spacing w:val="-9"/>
        </w:rPr>
        <w:t xml:space="preserve"> </w:t>
      </w:r>
      <w:r>
        <w:t>as</w:t>
      </w:r>
      <w:r>
        <w:rPr>
          <w:spacing w:val="-8"/>
        </w:rPr>
        <w:t xml:space="preserve"> </w:t>
      </w:r>
      <w:r>
        <w:t>serving</w:t>
      </w:r>
      <w:r>
        <w:rPr>
          <w:spacing w:val="-9"/>
        </w:rPr>
        <w:t xml:space="preserve"> </w:t>
      </w:r>
      <w:r>
        <w:t>nonbinary</w:t>
      </w:r>
      <w:r>
        <w:rPr>
          <w:spacing w:val="-7"/>
        </w:rPr>
        <w:t xml:space="preserve"> </w:t>
      </w:r>
      <w:r>
        <w:t>clients)</w:t>
      </w:r>
      <w:r>
        <w:rPr>
          <w:spacing w:val="-9"/>
        </w:rPr>
        <w:t xml:space="preserve"> </w:t>
      </w:r>
      <w:r>
        <w:t>have</w:t>
      </w:r>
      <w:r>
        <w:rPr>
          <w:spacing w:val="-6"/>
        </w:rPr>
        <w:t xml:space="preserve"> </w:t>
      </w:r>
      <w:r>
        <w:t>already</w:t>
      </w:r>
      <w:r>
        <w:rPr>
          <w:spacing w:val="-8"/>
        </w:rPr>
        <w:t xml:space="preserve"> </w:t>
      </w:r>
      <w:r>
        <w:t>been addressed</w:t>
      </w:r>
      <w:r>
        <w:rPr>
          <w:spacing w:val="-8"/>
        </w:rPr>
        <w:t xml:space="preserve"> </w:t>
      </w:r>
      <w:r>
        <w:t>in</w:t>
      </w:r>
      <w:r>
        <w:rPr>
          <w:spacing w:val="-5"/>
        </w:rPr>
        <w:t xml:space="preserve"> </w:t>
      </w:r>
      <w:r>
        <w:t>the</w:t>
      </w:r>
      <w:r>
        <w:rPr>
          <w:spacing w:val="-8"/>
        </w:rPr>
        <w:t xml:space="preserve"> </w:t>
      </w:r>
      <w:r>
        <w:t>interim.</w:t>
      </w:r>
      <w:r>
        <w:rPr>
          <w:spacing w:val="-8"/>
        </w:rPr>
        <w:t xml:space="preserve"> </w:t>
      </w:r>
      <w:r>
        <w:t>A</w:t>
      </w:r>
      <w:r>
        <w:rPr>
          <w:spacing w:val="-6"/>
        </w:rPr>
        <w:t xml:space="preserve"> </w:t>
      </w:r>
      <w:r>
        <w:t>concrete</w:t>
      </w:r>
      <w:r>
        <w:rPr>
          <w:spacing w:val="-8"/>
        </w:rPr>
        <w:t xml:space="preserve"> </w:t>
      </w:r>
      <w:r>
        <w:t>and</w:t>
      </w:r>
      <w:r>
        <w:rPr>
          <w:spacing w:val="-7"/>
        </w:rPr>
        <w:t xml:space="preserve"> </w:t>
      </w:r>
      <w:r>
        <w:t>holistic</w:t>
      </w:r>
      <w:r>
        <w:rPr>
          <w:spacing w:val="-7"/>
        </w:rPr>
        <w:t xml:space="preserve"> </w:t>
      </w:r>
      <w:r>
        <w:t>policy</w:t>
      </w:r>
      <w:r>
        <w:rPr>
          <w:spacing w:val="-8"/>
        </w:rPr>
        <w:t xml:space="preserve"> </w:t>
      </w:r>
      <w:r>
        <w:t>could</w:t>
      </w:r>
      <w:r>
        <w:rPr>
          <w:spacing w:val="-7"/>
        </w:rPr>
        <w:t xml:space="preserve"> </w:t>
      </w:r>
      <w:r>
        <w:t>help</w:t>
      </w:r>
      <w:r>
        <w:rPr>
          <w:spacing w:val="-8"/>
        </w:rPr>
        <w:t xml:space="preserve"> </w:t>
      </w:r>
      <w:r>
        <w:t>to</w:t>
      </w:r>
      <w:r>
        <w:rPr>
          <w:spacing w:val="-7"/>
        </w:rPr>
        <w:t xml:space="preserve"> </w:t>
      </w:r>
      <w:r>
        <w:t>ensure</w:t>
      </w:r>
      <w:r>
        <w:rPr>
          <w:spacing w:val="-8"/>
        </w:rPr>
        <w:t xml:space="preserve"> </w:t>
      </w:r>
      <w:r>
        <w:t>lasting,</w:t>
      </w:r>
      <w:r>
        <w:rPr>
          <w:spacing w:val="-7"/>
        </w:rPr>
        <w:t xml:space="preserve"> </w:t>
      </w:r>
      <w:r>
        <w:t>systemic</w:t>
      </w:r>
      <w:r>
        <w:rPr>
          <w:spacing w:val="-7"/>
        </w:rPr>
        <w:t xml:space="preserve"> </w:t>
      </w:r>
      <w:r>
        <w:t>change,</w:t>
      </w:r>
      <w:r>
        <w:rPr>
          <w:spacing w:val="-7"/>
        </w:rPr>
        <w:t xml:space="preserve"> </w:t>
      </w:r>
      <w:r>
        <w:t>and could be integrated into future trainings for RMV employees.</w:t>
      </w:r>
    </w:p>
    <w:p w:rsidR="00C76E6D" w:rsidRDefault="00C76E6D">
      <w:pPr>
        <w:pStyle w:val="BodyText"/>
        <w:rPr>
          <w:sz w:val="20"/>
        </w:rPr>
      </w:pPr>
    </w:p>
    <w:p w:rsidR="00C76E6D" w:rsidRDefault="00913831">
      <w:pPr>
        <w:pStyle w:val="BodyText"/>
        <w:spacing w:before="6"/>
        <w:rPr>
          <w:sz w:val="18"/>
        </w:rPr>
      </w:pPr>
      <w:r>
        <w:pict>
          <v:shape id="docshape456" o:spid="_x0000_s1047" style="position:absolute;margin-left:70.6pt;margin-top:12.5pt;width:470.95pt;height:.1pt;z-index:-15629312;mso-wrap-distance-left:0;mso-wrap-distance-right:0;mso-position-horizontal-relative:page" coordorigin="1412,250" coordsize="9419,0" path="m1412,250r9419,e" filled="f" strokeweight="1.54pt">
            <v:path arrowok="t"/>
            <w10:wrap type="topAndBottom" anchorx="page"/>
          </v:shape>
        </w:pict>
      </w:r>
    </w:p>
    <w:p w:rsidR="00C76E6D" w:rsidRDefault="00C76E6D">
      <w:pPr>
        <w:pStyle w:val="BodyText"/>
        <w:spacing w:before="9"/>
      </w:pPr>
    </w:p>
    <w:p w:rsidR="00C76E6D" w:rsidRDefault="00913831">
      <w:pPr>
        <w:pStyle w:val="Heading6"/>
        <w:ind w:left="3682" w:right="3683"/>
        <w:jc w:val="center"/>
      </w:pPr>
      <w:r>
        <w:rPr>
          <w:spacing w:val="-2"/>
        </w:rPr>
        <w:t>ENDNOTES</w:t>
      </w:r>
    </w:p>
    <w:p w:rsidR="00C76E6D" w:rsidRDefault="00913831">
      <w:pPr>
        <w:pStyle w:val="BodyText"/>
        <w:spacing w:before="9"/>
        <w:rPr>
          <w:b/>
          <w:sz w:val="25"/>
        </w:rPr>
      </w:pPr>
      <w:r>
        <w:pict>
          <v:shape id="docshape457" o:spid="_x0000_s1046" style="position:absolute;margin-left:70.6pt;margin-top:16.9pt;width:470.95pt;height:.1pt;z-index:-15628800;mso-wrap-distance-left:0;mso-wrap-distance-right:0;mso-position-horizontal-relative:page" coordorigin="1412,338" coordsize="9419,0" path="m1412,338r9419,e" filled="f" strokeweight="1.54pt">
            <v:path arrowok="t"/>
            <w10:wrap type="topAndBottom" anchorx="page"/>
          </v:shape>
        </w:pict>
      </w:r>
    </w:p>
    <w:p w:rsidR="00C76E6D" w:rsidRDefault="00C76E6D">
      <w:pPr>
        <w:pStyle w:val="BodyText"/>
        <w:rPr>
          <w:b/>
        </w:rPr>
      </w:pPr>
    </w:p>
    <w:p w:rsidR="00C76E6D" w:rsidRDefault="00C76E6D">
      <w:pPr>
        <w:pStyle w:val="BodyText"/>
        <w:rPr>
          <w:b/>
        </w:rPr>
      </w:pPr>
    </w:p>
    <w:p w:rsidR="00C76E6D" w:rsidRDefault="00C76E6D">
      <w:pPr>
        <w:pStyle w:val="BodyText"/>
        <w:spacing w:before="2"/>
        <w:rPr>
          <w:b/>
          <w:sz w:val="24"/>
        </w:rPr>
      </w:pPr>
    </w:p>
    <w:p w:rsidR="00C76E6D" w:rsidRDefault="00913831">
      <w:pPr>
        <w:spacing w:line="241" w:lineRule="exact"/>
        <w:ind w:left="338"/>
        <w:rPr>
          <w:sz w:val="20"/>
        </w:rPr>
      </w:pPr>
      <w:bookmarkStart w:id="900" w:name="_bookmark628"/>
      <w:bookmarkEnd w:id="900"/>
      <w:r>
        <w:rPr>
          <w:sz w:val="20"/>
          <w:vertAlign w:val="superscript"/>
        </w:rPr>
        <w:t>1</w:t>
      </w:r>
      <w:r>
        <w:rPr>
          <w:spacing w:val="-5"/>
          <w:sz w:val="20"/>
        </w:rPr>
        <w:t xml:space="preserve"> </w:t>
      </w:r>
      <w:bookmarkStart w:id="901" w:name="_bookmark629"/>
      <w:bookmarkEnd w:id="901"/>
      <w:r>
        <w:rPr>
          <w:sz w:val="20"/>
        </w:rPr>
        <w:t>James,</w:t>
      </w:r>
      <w:r>
        <w:rPr>
          <w:spacing w:val="-4"/>
          <w:sz w:val="20"/>
        </w:rPr>
        <w:t xml:space="preserve"> </w:t>
      </w:r>
      <w:r>
        <w:rPr>
          <w:sz w:val="20"/>
        </w:rPr>
        <w:t>S.E.,</w:t>
      </w:r>
      <w:r>
        <w:rPr>
          <w:spacing w:val="-5"/>
          <w:sz w:val="20"/>
        </w:rPr>
        <w:t xml:space="preserve"> </w:t>
      </w:r>
      <w:r>
        <w:rPr>
          <w:sz w:val="20"/>
        </w:rPr>
        <w:t>et</w:t>
      </w:r>
      <w:r>
        <w:rPr>
          <w:spacing w:val="-6"/>
          <w:sz w:val="20"/>
        </w:rPr>
        <w:t xml:space="preserve"> </w:t>
      </w:r>
      <w:r>
        <w:rPr>
          <w:sz w:val="20"/>
        </w:rPr>
        <w:t>al.</w:t>
      </w:r>
      <w:r>
        <w:rPr>
          <w:spacing w:val="-5"/>
          <w:sz w:val="20"/>
        </w:rPr>
        <w:t xml:space="preserve"> </w:t>
      </w:r>
      <w:r>
        <w:rPr>
          <w:spacing w:val="-2"/>
          <w:sz w:val="20"/>
        </w:rPr>
        <w:t>(2016).</w:t>
      </w:r>
    </w:p>
    <w:p w:rsidR="00C76E6D" w:rsidRDefault="00913831">
      <w:pPr>
        <w:ind w:left="339" w:hanging="1"/>
        <w:rPr>
          <w:sz w:val="20"/>
        </w:rPr>
      </w:pPr>
      <w:r>
        <w:rPr>
          <w:sz w:val="20"/>
          <w:vertAlign w:val="superscript"/>
        </w:rPr>
        <w:t>2</w:t>
      </w:r>
      <w:r>
        <w:rPr>
          <w:spacing w:val="-6"/>
          <w:sz w:val="20"/>
        </w:rPr>
        <w:t xml:space="preserve"> </w:t>
      </w:r>
      <w:r>
        <w:rPr>
          <w:sz w:val="20"/>
        </w:rPr>
        <w:t>Massachusetts</w:t>
      </w:r>
      <w:r>
        <w:rPr>
          <w:spacing w:val="-7"/>
          <w:sz w:val="20"/>
        </w:rPr>
        <w:t xml:space="preserve"> </w:t>
      </w:r>
      <w:r>
        <w:rPr>
          <w:sz w:val="20"/>
        </w:rPr>
        <w:t>Commission</w:t>
      </w:r>
      <w:r>
        <w:rPr>
          <w:spacing w:val="-6"/>
          <w:sz w:val="20"/>
        </w:rPr>
        <w:t xml:space="preserve"> </w:t>
      </w:r>
      <w:r>
        <w:rPr>
          <w:sz w:val="20"/>
        </w:rPr>
        <w:t>on</w:t>
      </w:r>
      <w:r>
        <w:rPr>
          <w:spacing w:val="-6"/>
          <w:sz w:val="20"/>
        </w:rPr>
        <w:t xml:space="preserve"> </w:t>
      </w:r>
      <w:r>
        <w:rPr>
          <w:sz w:val="20"/>
        </w:rPr>
        <w:t>Unaccompanied</w:t>
      </w:r>
      <w:r>
        <w:rPr>
          <w:spacing w:val="-6"/>
          <w:sz w:val="20"/>
        </w:rPr>
        <w:t xml:space="preserve"> </w:t>
      </w:r>
      <w:r>
        <w:rPr>
          <w:sz w:val="20"/>
        </w:rPr>
        <w:t>Homeless</w:t>
      </w:r>
      <w:r>
        <w:rPr>
          <w:spacing w:val="-8"/>
          <w:sz w:val="20"/>
        </w:rPr>
        <w:t xml:space="preserve"> </w:t>
      </w:r>
      <w:r>
        <w:rPr>
          <w:sz w:val="20"/>
        </w:rPr>
        <w:t>Youth.</w:t>
      </w:r>
      <w:r>
        <w:rPr>
          <w:spacing w:val="-8"/>
          <w:sz w:val="20"/>
        </w:rPr>
        <w:t xml:space="preserve"> </w:t>
      </w:r>
      <w:r>
        <w:rPr>
          <w:sz w:val="20"/>
        </w:rPr>
        <w:t>(2015).</w:t>
      </w:r>
      <w:r>
        <w:rPr>
          <w:spacing w:val="-8"/>
          <w:sz w:val="20"/>
        </w:rPr>
        <w:t xml:space="preserve"> </w:t>
      </w:r>
      <w:r>
        <w:rPr>
          <w:sz w:val="20"/>
        </w:rPr>
        <w:t>Massachusetts</w:t>
      </w:r>
      <w:r>
        <w:rPr>
          <w:spacing w:val="-7"/>
          <w:sz w:val="20"/>
        </w:rPr>
        <w:t xml:space="preserve"> </w:t>
      </w:r>
      <w:r>
        <w:rPr>
          <w:sz w:val="20"/>
        </w:rPr>
        <w:t>Coalition</w:t>
      </w:r>
      <w:r>
        <w:rPr>
          <w:spacing w:val="-6"/>
          <w:sz w:val="20"/>
        </w:rPr>
        <w:t xml:space="preserve"> </w:t>
      </w:r>
      <w:r>
        <w:rPr>
          <w:sz w:val="20"/>
        </w:rPr>
        <w:t>for</w:t>
      </w:r>
      <w:r>
        <w:rPr>
          <w:spacing w:val="-8"/>
          <w:sz w:val="20"/>
        </w:rPr>
        <w:t xml:space="preserve"> </w:t>
      </w:r>
      <w:r>
        <w:rPr>
          <w:sz w:val="20"/>
        </w:rPr>
        <w:t>the</w:t>
      </w:r>
      <w:r>
        <w:rPr>
          <w:spacing w:val="-7"/>
          <w:sz w:val="20"/>
        </w:rPr>
        <w:t xml:space="preserve"> </w:t>
      </w:r>
      <w:r>
        <w:rPr>
          <w:sz w:val="20"/>
        </w:rPr>
        <w:t>Homeless, Massachusetts Youth Count 2019. Retrieved from https://</w:t>
      </w:r>
      <w:hyperlink r:id="rId456">
        <w:r>
          <w:rPr>
            <w:sz w:val="20"/>
          </w:rPr>
          <w:t xml:space="preserve">www.mass.gov/doc/2019-massachusetts- </w:t>
        </w:r>
      </w:hyperlink>
      <w:r>
        <w:rPr>
          <w:sz w:val="20"/>
        </w:rPr>
        <w:t xml:space="preserve">youth- </w:t>
      </w:r>
      <w:r>
        <w:rPr>
          <w:spacing w:val="-2"/>
          <w:sz w:val="20"/>
        </w:rPr>
        <w:t>count/download.</w:t>
      </w:r>
    </w:p>
    <w:p w:rsidR="00C76E6D" w:rsidRDefault="00913831">
      <w:pPr>
        <w:ind w:left="338" w:right="530" w:hanging="1"/>
        <w:rPr>
          <w:sz w:val="20"/>
        </w:rPr>
      </w:pPr>
      <w:bookmarkStart w:id="902" w:name="_bookmark630"/>
      <w:bookmarkEnd w:id="902"/>
      <w:r>
        <w:rPr>
          <w:sz w:val="20"/>
          <w:vertAlign w:val="superscript"/>
        </w:rPr>
        <w:t>3</w:t>
      </w:r>
      <w:r>
        <w:rPr>
          <w:sz w:val="20"/>
        </w:rPr>
        <w:t xml:space="preserve"> Owens, M. (2016). Enhancing Access to Legal Services for Youth Experiencing Homelessness. United States Interagency</w:t>
      </w:r>
      <w:r>
        <w:rPr>
          <w:spacing w:val="-12"/>
          <w:sz w:val="20"/>
        </w:rPr>
        <w:t xml:space="preserve"> </w:t>
      </w:r>
      <w:r>
        <w:rPr>
          <w:sz w:val="20"/>
        </w:rPr>
        <w:t>Council</w:t>
      </w:r>
      <w:r>
        <w:rPr>
          <w:spacing w:val="-11"/>
          <w:sz w:val="20"/>
        </w:rPr>
        <w:t xml:space="preserve"> </w:t>
      </w:r>
      <w:r>
        <w:rPr>
          <w:sz w:val="20"/>
        </w:rPr>
        <w:t>on</w:t>
      </w:r>
      <w:r>
        <w:rPr>
          <w:spacing w:val="-11"/>
          <w:sz w:val="20"/>
        </w:rPr>
        <w:t xml:space="preserve"> </w:t>
      </w:r>
      <w:r>
        <w:rPr>
          <w:sz w:val="20"/>
        </w:rPr>
        <w:t>Homelessness.</w:t>
      </w:r>
      <w:r>
        <w:rPr>
          <w:spacing w:val="-12"/>
          <w:sz w:val="20"/>
        </w:rPr>
        <w:t xml:space="preserve"> </w:t>
      </w:r>
      <w:r>
        <w:rPr>
          <w:sz w:val="20"/>
        </w:rPr>
        <w:t>Retrieved</w:t>
      </w:r>
      <w:r>
        <w:rPr>
          <w:spacing w:val="-11"/>
          <w:sz w:val="20"/>
        </w:rPr>
        <w:t xml:space="preserve"> </w:t>
      </w:r>
      <w:r>
        <w:rPr>
          <w:sz w:val="20"/>
        </w:rPr>
        <w:t>from</w:t>
      </w:r>
      <w:r>
        <w:rPr>
          <w:spacing w:val="-11"/>
          <w:sz w:val="20"/>
        </w:rPr>
        <w:t xml:space="preserve"> </w:t>
      </w:r>
      <w:r>
        <w:rPr>
          <w:sz w:val="20"/>
        </w:rPr>
        <w:t>https://</w:t>
      </w:r>
      <w:hyperlink r:id="rId457">
        <w:r>
          <w:rPr>
            <w:sz w:val="20"/>
          </w:rPr>
          <w:t>www.usich.gov/news/enhancing-access-to-legal-</w:t>
        </w:r>
      </w:hyperlink>
    </w:p>
    <w:p w:rsidR="00C76E6D" w:rsidRDefault="00C76E6D">
      <w:pPr>
        <w:rPr>
          <w:sz w:val="20"/>
        </w:rPr>
        <w:sectPr w:rsidR="00C76E6D">
          <w:pgSz w:w="12240" w:h="15840"/>
          <w:pgMar w:top="1000" w:right="960" w:bottom="640" w:left="960" w:header="811" w:footer="440" w:gutter="0"/>
          <w:cols w:space="720"/>
        </w:sectPr>
      </w:pPr>
    </w:p>
    <w:p w:rsidR="00C76E6D" w:rsidRDefault="00C76E6D">
      <w:pPr>
        <w:pStyle w:val="BodyText"/>
        <w:rPr>
          <w:sz w:val="20"/>
        </w:rPr>
      </w:pPr>
    </w:p>
    <w:p w:rsidR="00C76E6D" w:rsidRDefault="00C76E6D">
      <w:pPr>
        <w:pStyle w:val="BodyText"/>
        <w:rPr>
          <w:sz w:val="26"/>
        </w:rPr>
      </w:pPr>
    </w:p>
    <w:p w:rsidR="00C76E6D" w:rsidRDefault="00913831">
      <w:pPr>
        <w:spacing w:before="60" w:line="241" w:lineRule="exact"/>
        <w:ind w:left="338"/>
        <w:rPr>
          <w:sz w:val="20"/>
        </w:rPr>
      </w:pPr>
      <w:r>
        <w:rPr>
          <w:spacing w:val="-4"/>
          <w:sz w:val="20"/>
        </w:rPr>
        <w:t>services-for-youth-experiencing-homelessness.</w:t>
      </w:r>
    </w:p>
    <w:p w:rsidR="00C76E6D" w:rsidRDefault="00913831">
      <w:pPr>
        <w:ind w:left="339" w:right="470" w:hanging="2"/>
        <w:rPr>
          <w:sz w:val="20"/>
        </w:rPr>
      </w:pPr>
      <w:bookmarkStart w:id="903" w:name="_bookmark631"/>
      <w:bookmarkEnd w:id="903"/>
      <w:r>
        <w:rPr>
          <w:sz w:val="20"/>
          <w:vertAlign w:val="superscript"/>
        </w:rPr>
        <w:t>4</w:t>
      </w:r>
      <w:r>
        <w:rPr>
          <w:spacing w:val="-5"/>
          <w:sz w:val="20"/>
        </w:rPr>
        <w:t xml:space="preserve"> </w:t>
      </w:r>
      <w:r>
        <w:rPr>
          <w:sz w:val="20"/>
        </w:rPr>
        <w:t>Massachusetts</w:t>
      </w:r>
      <w:r>
        <w:rPr>
          <w:spacing w:val="-6"/>
          <w:sz w:val="20"/>
        </w:rPr>
        <w:t xml:space="preserve"> </w:t>
      </w:r>
      <w:r>
        <w:rPr>
          <w:sz w:val="20"/>
        </w:rPr>
        <w:t>Commission</w:t>
      </w:r>
      <w:r>
        <w:rPr>
          <w:spacing w:val="-5"/>
          <w:sz w:val="20"/>
        </w:rPr>
        <w:t xml:space="preserve"> </w:t>
      </w:r>
      <w:r>
        <w:rPr>
          <w:sz w:val="20"/>
        </w:rPr>
        <w:t>on</w:t>
      </w:r>
      <w:r>
        <w:rPr>
          <w:spacing w:val="-5"/>
          <w:sz w:val="20"/>
        </w:rPr>
        <w:t xml:space="preserve"> </w:t>
      </w:r>
      <w:r>
        <w:rPr>
          <w:sz w:val="20"/>
        </w:rPr>
        <w:t>LGBTQ</w:t>
      </w:r>
      <w:r>
        <w:rPr>
          <w:spacing w:val="-6"/>
          <w:sz w:val="20"/>
        </w:rPr>
        <w:t xml:space="preserve"> </w:t>
      </w:r>
      <w:r>
        <w:rPr>
          <w:sz w:val="20"/>
        </w:rPr>
        <w:t>Youth.</w:t>
      </w:r>
      <w:r>
        <w:rPr>
          <w:spacing w:val="-6"/>
          <w:sz w:val="20"/>
        </w:rPr>
        <w:t xml:space="preserve"> </w:t>
      </w:r>
      <w:r>
        <w:rPr>
          <w:sz w:val="20"/>
        </w:rPr>
        <w:t>(2017).</w:t>
      </w:r>
      <w:r>
        <w:rPr>
          <w:spacing w:val="-6"/>
          <w:sz w:val="20"/>
        </w:rPr>
        <w:t xml:space="preserve"> </w:t>
      </w:r>
      <w:r>
        <w:rPr>
          <w:sz w:val="20"/>
        </w:rPr>
        <w:t>Commission</w:t>
      </w:r>
      <w:r>
        <w:rPr>
          <w:spacing w:val="-5"/>
          <w:sz w:val="20"/>
        </w:rPr>
        <w:t xml:space="preserve"> </w:t>
      </w:r>
      <w:r>
        <w:rPr>
          <w:sz w:val="20"/>
        </w:rPr>
        <w:t>Testifies</w:t>
      </w:r>
      <w:r>
        <w:rPr>
          <w:spacing w:val="-6"/>
          <w:sz w:val="20"/>
        </w:rPr>
        <w:t xml:space="preserve"> </w:t>
      </w:r>
      <w:r>
        <w:rPr>
          <w:sz w:val="20"/>
        </w:rPr>
        <w:t>on</w:t>
      </w:r>
      <w:r>
        <w:rPr>
          <w:spacing w:val="-5"/>
          <w:sz w:val="20"/>
        </w:rPr>
        <w:t xml:space="preserve"> </w:t>
      </w:r>
      <w:r>
        <w:rPr>
          <w:sz w:val="20"/>
        </w:rPr>
        <w:t>ID</w:t>
      </w:r>
      <w:r>
        <w:rPr>
          <w:spacing w:val="-5"/>
          <w:sz w:val="20"/>
        </w:rPr>
        <w:t xml:space="preserve"> </w:t>
      </w:r>
      <w:r>
        <w:rPr>
          <w:sz w:val="20"/>
        </w:rPr>
        <w:t>Access</w:t>
      </w:r>
      <w:r>
        <w:rPr>
          <w:spacing w:val="-6"/>
          <w:sz w:val="20"/>
        </w:rPr>
        <w:t xml:space="preserve"> </w:t>
      </w:r>
      <w:r>
        <w:rPr>
          <w:sz w:val="20"/>
        </w:rPr>
        <w:t>for</w:t>
      </w:r>
      <w:r>
        <w:rPr>
          <w:spacing w:val="-6"/>
          <w:sz w:val="20"/>
        </w:rPr>
        <w:t xml:space="preserve"> </w:t>
      </w:r>
      <w:r>
        <w:rPr>
          <w:sz w:val="20"/>
        </w:rPr>
        <w:t>the</w:t>
      </w:r>
      <w:r>
        <w:rPr>
          <w:spacing w:val="-6"/>
          <w:sz w:val="20"/>
        </w:rPr>
        <w:t xml:space="preserve"> </w:t>
      </w:r>
      <w:r>
        <w:rPr>
          <w:sz w:val="20"/>
        </w:rPr>
        <w:t>Homeless.</w:t>
      </w:r>
      <w:r>
        <w:rPr>
          <w:spacing w:val="-6"/>
          <w:sz w:val="20"/>
        </w:rPr>
        <w:t xml:space="preserve"> </w:t>
      </w:r>
      <w:r>
        <w:rPr>
          <w:sz w:val="20"/>
        </w:rPr>
        <w:t>Ret</w:t>
      </w:r>
      <w:r>
        <w:rPr>
          <w:sz w:val="20"/>
        </w:rPr>
        <w:t>rieved from https://</w:t>
      </w:r>
      <w:hyperlink r:id="rId458">
        <w:r>
          <w:rPr>
            <w:sz w:val="20"/>
          </w:rPr>
          <w:t>www.mass.gov/news/commission-testifies-on-id-access-for-the-homeless.</w:t>
        </w:r>
      </w:hyperlink>
    </w:p>
    <w:p w:rsidR="00C76E6D" w:rsidRDefault="00C76E6D">
      <w:pPr>
        <w:rPr>
          <w:sz w:val="20"/>
        </w:rPr>
        <w:sectPr w:rsidR="00C76E6D">
          <w:pgSz w:w="12240" w:h="15840"/>
          <w:pgMar w:top="1000" w:right="960" w:bottom="640" w:left="960" w:header="811" w:footer="440" w:gutter="0"/>
          <w:cols w:space="720"/>
        </w:sectPr>
      </w:pPr>
    </w:p>
    <w:p w:rsidR="00C76E6D" w:rsidRDefault="00C76E6D">
      <w:pPr>
        <w:pStyle w:val="BodyText"/>
        <w:spacing w:before="8"/>
        <w:rPr>
          <w:sz w:val="27"/>
        </w:rPr>
      </w:pPr>
    </w:p>
    <w:p w:rsidR="00C76E6D" w:rsidRDefault="00913831">
      <w:pPr>
        <w:pStyle w:val="Heading2"/>
      </w:pPr>
      <w:bookmarkStart w:id="904" w:name="Massachusetts_Board_of_Library_Commissio"/>
      <w:bookmarkStart w:id="905" w:name="_bookmark632"/>
      <w:bookmarkEnd w:id="904"/>
      <w:bookmarkEnd w:id="905"/>
      <w:r>
        <w:t>Massachusetts</w:t>
      </w:r>
      <w:r>
        <w:rPr>
          <w:spacing w:val="-9"/>
        </w:rPr>
        <w:t xml:space="preserve"> </w:t>
      </w:r>
      <w:r>
        <w:t>Board</w:t>
      </w:r>
      <w:r>
        <w:rPr>
          <w:spacing w:val="-9"/>
        </w:rPr>
        <w:t xml:space="preserve"> </w:t>
      </w:r>
      <w:r>
        <w:t>of</w:t>
      </w:r>
      <w:r>
        <w:rPr>
          <w:spacing w:val="-8"/>
        </w:rPr>
        <w:t xml:space="preserve"> </w:t>
      </w:r>
      <w:r>
        <w:t>Library</w:t>
      </w:r>
      <w:r>
        <w:rPr>
          <w:spacing w:val="-7"/>
        </w:rPr>
        <w:t xml:space="preserve"> </w:t>
      </w:r>
      <w:r>
        <w:rPr>
          <w:spacing w:val="-2"/>
        </w:rPr>
        <w:t>Commissioners</w:t>
      </w:r>
    </w:p>
    <w:p w:rsidR="00C76E6D" w:rsidRDefault="00913831">
      <w:pPr>
        <w:pStyle w:val="BodyText"/>
        <w:rPr>
          <w:b/>
          <w:sz w:val="12"/>
        </w:rPr>
      </w:pPr>
      <w:r>
        <w:pict>
          <v:shape id="docshape461" o:spid="_x0000_s1045" style="position:absolute;margin-left:65pt;margin-top:8.5pt;width:476.95pt;height:.1pt;z-index:-15628288;mso-wrap-distance-left:0;mso-wrap-distance-right:0;mso-position-horizontal-relative:page" coordorigin="1300,170" coordsize="9539,0" path="m1300,170r9539,e" filled="f" strokeweight="1.54pt">
            <v:path arrowok="t"/>
            <w10:wrap type="topAndBottom" anchorx="page"/>
          </v:shape>
        </w:pict>
      </w:r>
    </w:p>
    <w:p w:rsidR="00C76E6D" w:rsidRDefault="00913831">
      <w:pPr>
        <w:pStyle w:val="Heading5"/>
        <w:spacing w:before="181"/>
      </w:pPr>
      <w:r>
        <w:rPr>
          <w:spacing w:val="-2"/>
        </w:rPr>
        <w:t>FY2023</w:t>
      </w:r>
      <w:r>
        <w:rPr>
          <w:spacing w:val="-4"/>
        </w:rPr>
        <w:t xml:space="preserve"> </w:t>
      </w:r>
      <w:r>
        <w:rPr>
          <w:spacing w:val="-2"/>
        </w:rPr>
        <w:t>Recommendations</w:t>
      </w:r>
    </w:p>
    <w:p w:rsidR="00C76E6D" w:rsidRDefault="00C76E6D">
      <w:pPr>
        <w:pStyle w:val="BodyText"/>
        <w:spacing w:before="6"/>
        <w:rPr>
          <w:b/>
          <w:sz w:val="27"/>
        </w:rPr>
      </w:pPr>
    </w:p>
    <w:p w:rsidR="00C76E6D" w:rsidRDefault="00913831">
      <w:pPr>
        <w:pStyle w:val="ListParagraph"/>
        <w:numPr>
          <w:ilvl w:val="1"/>
          <w:numId w:val="4"/>
        </w:numPr>
        <w:tabs>
          <w:tab w:val="left" w:pos="892"/>
        </w:tabs>
      </w:pPr>
      <w:r>
        <w:rPr>
          <w:w w:val="95"/>
        </w:rPr>
        <w:t>Continue</w:t>
      </w:r>
      <w:r>
        <w:rPr>
          <w:spacing w:val="13"/>
        </w:rPr>
        <w:t xml:space="preserve"> </w:t>
      </w:r>
      <w:r>
        <w:rPr>
          <w:w w:val="95"/>
        </w:rPr>
        <w:t>sharing</w:t>
      </w:r>
      <w:r>
        <w:rPr>
          <w:spacing w:val="11"/>
        </w:rPr>
        <w:t xml:space="preserve"> </w:t>
      </w:r>
      <w:r>
        <w:rPr>
          <w:w w:val="95"/>
        </w:rPr>
        <w:t>resources</w:t>
      </w:r>
      <w:r>
        <w:rPr>
          <w:spacing w:val="13"/>
        </w:rPr>
        <w:t xml:space="preserve"> </w:t>
      </w:r>
      <w:r>
        <w:rPr>
          <w:w w:val="95"/>
        </w:rPr>
        <w:t>for</w:t>
      </w:r>
      <w:r>
        <w:rPr>
          <w:spacing w:val="11"/>
        </w:rPr>
        <w:t xml:space="preserve"> </w:t>
      </w:r>
      <w:r>
        <w:rPr>
          <w:w w:val="95"/>
        </w:rPr>
        <w:t>LGBTQ</w:t>
      </w:r>
      <w:r>
        <w:rPr>
          <w:spacing w:val="12"/>
        </w:rPr>
        <w:t xml:space="preserve"> </w:t>
      </w:r>
      <w:r>
        <w:rPr>
          <w:w w:val="95"/>
        </w:rPr>
        <w:t>youth</w:t>
      </w:r>
      <w:r>
        <w:rPr>
          <w:spacing w:val="12"/>
        </w:rPr>
        <w:t xml:space="preserve"> </w:t>
      </w:r>
      <w:r>
        <w:rPr>
          <w:w w:val="95"/>
        </w:rPr>
        <w:t>online</w:t>
      </w:r>
      <w:r>
        <w:rPr>
          <w:spacing w:val="14"/>
        </w:rPr>
        <w:t xml:space="preserve"> </w:t>
      </w:r>
      <w:r>
        <w:rPr>
          <w:w w:val="95"/>
        </w:rPr>
        <w:t>and</w:t>
      </w:r>
      <w:r>
        <w:rPr>
          <w:spacing w:val="12"/>
        </w:rPr>
        <w:t xml:space="preserve"> </w:t>
      </w:r>
      <w:r>
        <w:rPr>
          <w:w w:val="95"/>
        </w:rPr>
        <w:t>in</w:t>
      </w:r>
      <w:r>
        <w:rPr>
          <w:spacing w:val="14"/>
        </w:rPr>
        <w:t xml:space="preserve"> </w:t>
      </w:r>
      <w:r>
        <w:rPr>
          <w:spacing w:val="-2"/>
          <w:w w:val="95"/>
        </w:rPr>
        <w:t>libraries.</w:t>
      </w:r>
    </w:p>
    <w:p w:rsidR="00C76E6D" w:rsidRDefault="00C76E6D">
      <w:pPr>
        <w:pStyle w:val="BodyText"/>
        <w:spacing w:before="2"/>
      </w:pPr>
    </w:p>
    <w:p w:rsidR="00C76E6D" w:rsidRDefault="00913831">
      <w:pPr>
        <w:pStyle w:val="ListParagraph"/>
        <w:numPr>
          <w:ilvl w:val="1"/>
          <w:numId w:val="4"/>
        </w:numPr>
        <w:tabs>
          <w:tab w:val="left" w:pos="846"/>
        </w:tabs>
        <w:ind w:left="627" w:right="381" w:hanging="1"/>
      </w:pPr>
      <w:r>
        <w:t>Continue</w:t>
      </w:r>
      <w:r>
        <w:rPr>
          <w:spacing w:val="-4"/>
        </w:rPr>
        <w:t xml:space="preserve"> </w:t>
      </w:r>
      <w:r>
        <w:t>working</w:t>
      </w:r>
      <w:r>
        <w:rPr>
          <w:spacing w:val="-5"/>
        </w:rPr>
        <w:t xml:space="preserve"> </w:t>
      </w:r>
      <w:r>
        <w:t>with</w:t>
      </w:r>
      <w:r>
        <w:rPr>
          <w:spacing w:val="-5"/>
        </w:rPr>
        <w:t xml:space="preserve"> </w:t>
      </w:r>
      <w:r>
        <w:t>the</w:t>
      </w:r>
      <w:r>
        <w:rPr>
          <w:spacing w:val="-5"/>
        </w:rPr>
        <w:t xml:space="preserve"> </w:t>
      </w:r>
      <w:r>
        <w:t>Commission</w:t>
      </w:r>
      <w:r>
        <w:rPr>
          <w:spacing w:val="-6"/>
        </w:rPr>
        <w:t xml:space="preserve"> </w:t>
      </w:r>
      <w:r>
        <w:t>to</w:t>
      </w:r>
      <w:r>
        <w:rPr>
          <w:spacing w:val="-6"/>
        </w:rPr>
        <w:t xml:space="preserve"> </w:t>
      </w:r>
      <w:r>
        <w:t>explore</w:t>
      </w:r>
      <w:r>
        <w:rPr>
          <w:spacing w:val="-5"/>
        </w:rPr>
        <w:t xml:space="preserve"> </w:t>
      </w:r>
      <w:r>
        <w:t>creating</w:t>
      </w:r>
      <w:r>
        <w:rPr>
          <w:spacing w:val="-6"/>
        </w:rPr>
        <w:t xml:space="preserve"> </w:t>
      </w:r>
      <w:r>
        <w:t>programming</w:t>
      </w:r>
      <w:r>
        <w:rPr>
          <w:spacing w:val="-7"/>
        </w:rPr>
        <w:t xml:space="preserve"> </w:t>
      </w:r>
      <w:r>
        <w:t>opportunities,</w:t>
      </w:r>
      <w:r>
        <w:rPr>
          <w:spacing w:val="-6"/>
        </w:rPr>
        <w:t xml:space="preserve"> </w:t>
      </w:r>
      <w:r>
        <w:t>trainings,</w:t>
      </w:r>
      <w:r>
        <w:rPr>
          <w:spacing w:val="-6"/>
        </w:rPr>
        <w:t xml:space="preserve"> </w:t>
      </w:r>
      <w:r>
        <w:t>and resources for librarians on LGBTQ youth issues.</w:t>
      </w:r>
    </w:p>
    <w:p w:rsidR="00C76E6D" w:rsidRDefault="00C76E6D">
      <w:pPr>
        <w:pStyle w:val="BodyText"/>
      </w:pPr>
    </w:p>
    <w:p w:rsidR="00C76E6D" w:rsidRDefault="00C76E6D">
      <w:pPr>
        <w:pStyle w:val="BodyText"/>
        <w:spacing w:before="9"/>
      </w:pPr>
    </w:p>
    <w:p w:rsidR="00C76E6D" w:rsidRDefault="00913831">
      <w:pPr>
        <w:pStyle w:val="Heading5"/>
      </w:pPr>
      <w:r>
        <w:t>Background</w:t>
      </w:r>
      <w:r>
        <w:rPr>
          <w:spacing w:val="-15"/>
        </w:rPr>
        <w:t xml:space="preserve"> </w:t>
      </w:r>
      <w:r>
        <w:t>&amp;</w:t>
      </w:r>
      <w:r>
        <w:rPr>
          <w:spacing w:val="-6"/>
        </w:rPr>
        <w:t xml:space="preserve"> </w:t>
      </w:r>
      <w:r>
        <w:rPr>
          <w:spacing w:val="-2"/>
        </w:rPr>
        <w:t>Research</w:t>
      </w:r>
    </w:p>
    <w:p w:rsidR="00C76E6D" w:rsidRDefault="00913831">
      <w:pPr>
        <w:pStyle w:val="BodyText"/>
        <w:spacing w:before="3"/>
        <w:rPr>
          <w:b/>
          <w:sz w:val="11"/>
        </w:rPr>
      </w:pPr>
      <w:r>
        <w:pict>
          <v:shape id="docshape462" o:spid="_x0000_s1044" style="position:absolute;margin-left:65pt;margin-top:8.1pt;width:476.95pt;height:.1pt;z-index:-15627776;mso-wrap-distance-left:0;mso-wrap-distance-right:0;mso-position-horizontal-relative:page" coordorigin="1300,162" coordsize="9539,0" path="m1300,162r9539,e" filled="f" strokeweight="1.54pt">
            <v:path arrowok="t"/>
            <w10:wrap type="topAndBottom" anchorx="page"/>
          </v:shape>
        </w:pict>
      </w:r>
    </w:p>
    <w:p w:rsidR="00C76E6D" w:rsidRDefault="00C76E6D">
      <w:pPr>
        <w:pStyle w:val="BodyText"/>
        <w:spacing w:before="11"/>
        <w:rPr>
          <w:b/>
        </w:rPr>
      </w:pPr>
    </w:p>
    <w:p w:rsidR="00C76E6D" w:rsidRDefault="00913831">
      <w:pPr>
        <w:pStyle w:val="BodyText"/>
        <w:spacing w:before="1" w:line="276" w:lineRule="auto"/>
        <w:ind w:left="338" w:right="337" w:hanging="1"/>
        <w:jc w:val="both"/>
      </w:pPr>
      <w:r>
        <w:rPr>
          <w:sz w:val="24"/>
        </w:rPr>
        <w:t xml:space="preserve">The </w:t>
      </w:r>
      <w:r>
        <w:t xml:space="preserve">Massachusetts Board of Library Commissioners (MBLC) is the agency of state government with the statutory authority and responsibility to organize, develop, coordinate, and improve library services throughout the Commonwealth. Libraries are a vital </w:t>
      </w:r>
      <w:r>
        <w:t>resource for LGBTQ youth and their supporters, increasingly including access to information technology.</w:t>
      </w:r>
    </w:p>
    <w:p w:rsidR="00C76E6D" w:rsidRDefault="00C76E6D">
      <w:pPr>
        <w:pStyle w:val="BodyText"/>
        <w:spacing w:before="6"/>
        <w:rPr>
          <w:sz w:val="19"/>
        </w:rPr>
      </w:pPr>
    </w:p>
    <w:p w:rsidR="00C76E6D" w:rsidRDefault="00913831">
      <w:pPr>
        <w:pStyle w:val="BodyText"/>
        <w:spacing w:before="1" w:line="276" w:lineRule="auto"/>
        <w:ind w:left="338" w:right="335"/>
        <w:jc w:val="both"/>
      </w:pPr>
      <w:r>
        <w:t>The</w:t>
      </w:r>
      <w:r>
        <w:rPr>
          <w:spacing w:val="-13"/>
        </w:rPr>
        <w:t xml:space="preserve"> </w:t>
      </w:r>
      <w:r>
        <w:t>Commission</w:t>
      </w:r>
      <w:r>
        <w:rPr>
          <w:spacing w:val="-12"/>
        </w:rPr>
        <w:t xml:space="preserve"> </w:t>
      </w:r>
      <w:r>
        <w:t>is</w:t>
      </w:r>
      <w:r>
        <w:rPr>
          <w:spacing w:val="-13"/>
        </w:rPr>
        <w:t xml:space="preserve"> </w:t>
      </w:r>
      <w:r>
        <w:t>pleased</w:t>
      </w:r>
      <w:r>
        <w:rPr>
          <w:spacing w:val="-12"/>
        </w:rPr>
        <w:t xml:space="preserve"> </w:t>
      </w:r>
      <w:r>
        <w:t>to</w:t>
      </w:r>
      <w:r>
        <w:rPr>
          <w:spacing w:val="-13"/>
        </w:rPr>
        <w:t xml:space="preserve"> </w:t>
      </w:r>
      <w:r>
        <w:t>have</w:t>
      </w:r>
      <w:r>
        <w:rPr>
          <w:spacing w:val="-12"/>
        </w:rPr>
        <w:t xml:space="preserve"> </w:t>
      </w:r>
      <w:r>
        <w:t>established</w:t>
      </w:r>
      <w:r>
        <w:rPr>
          <w:spacing w:val="-13"/>
        </w:rPr>
        <w:t xml:space="preserve"> </w:t>
      </w:r>
      <w:r>
        <w:t>a</w:t>
      </w:r>
      <w:r>
        <w:rPr>
          <w:spacing w:val="-12"/>
        </w:rPr>
        <w:t xml:space="preserve"> </w:t>
      </w:r>
      <w:r>
        <w:t>partnership</w:t>
      </w:r>
      <w:r>
        <w:rPr>
          <w:spacing w:val="-12"/>
        </w:rPr>
        <w:t xml:space="preserve"> </w:t>
      </w:r>
      <w:r>
        <w:t>with</w:t>
      </w:r>
      <w:r>
        <w:rPr>
          <w:spacing w:val="-13"/>
        </w:rPr>
        <w:t xml:space="preserve"> </w:t>
      </w:r>
      <w:r>
        <w:t>MBLC</w:t>
      </w:r>
      <w:r>
        <w:rPr>
          <w:spacing w:val="-12"/>
        </w:rPr>
        <w:t xml:space="preserve"> </w:t>
      </w:r>
      <w:r>
        <w:t>that</w:t>
      </w:r>
      <w:r>
        <w:rPr>
          <w:spacing w:val="-13"/>
        </w:rPr>
        <w:t xml:space="preserve"> </w:t>
      </w:r>
      <w:r>
        <w:t>engages</w:t>
      </w:r>
      <w:r>
        <w:rPr>
          <w:spacing w:val="-12"/>
        </w:rPr>
        <w:t xml:space="preserve"> </w:t>
      </w:r>
      <w:r>
        <w:t>librarians</w:t>
      </w:r>
      <w:r>
        <w:rPr>
          <w:spacing w:val="-13"/>
        </w:rPr>
        <w:t xml:space="preserve"> </w:t>
      </w:r>
      <w:r>
        <w:t>around</w:t>
      </w:r>
      <w:r>
        <w:rPr>
          <w:spacing w:val="-12"/>
        </w:rPr>
        <w:t xml:space="preserve"> </w:t>
      </w:r>
      <w:r>
        <w:t>issues impacting</w:t>
      </w:r>
      <w:r>
        <w:rPr>
          <w:spacing w:val="-1"/>
        </w:rPr>
        <w:t xml:space="preserve"> </w:t>
      </w:r>
      <w:r>
        <w:t>LGBTQ</w:t>
      </w:r>
      <w:r>
        <w:rPr>
          <w:spacing w:val="-2"/>
        </w:rPr>
        <w:t xml:space="preserve"> </w:t>
      </w:r>
      <w:r>
        <w:t>youth.</w:t>
      </w:r>
      <w:r>
        <w:rPr>
          <w:spacing w:val="-1"/>
        </w:rPr>
        <w:t xml:space="preserve"> </w:t>
      </w:r>
      <w:r>
        <w:t>The</w:t>
      </w:r>
      <w:r>
        <w:rPr>
          <w:spacing w:val="-1"/>
        </w:rPr>
        <w:t xml:space="preserve"> </w:t>
      </w:r>
      <w:r>
        <w:t>Commission</w:t>
      </w:r>
      <w:r>
        <w:rPr>
          <w:spacing w:val="-1"/>
        </w:rPr>
        <w:t xml:space="preserve"> </w:t>
      </w:r>
      <w:r>
        <w:t>congr</w:t>
      </w:r>
      <w:r>
        <w:t>atulates</w:t>
      </w:r>
      <w:r>
        <w:rPr>
          <w:spacing w:val="-1"/>
        </w:rPr>
        <w:t xml:space="preserve"> </w:t>
      </w:r>
      <w:r>
        <w:t>MBLC</w:t>
      </w:r>
      <w:r>
        <w:rPr>
          <w:spacing w:val="-1"/>
        </w:rPr>
        <w:t xml:space="preserve"> </w:t>
      </w:r>
      <w:r>
        <w:t>on</w:t>
      </w:r>
      <w:r>
        <w:rPr>
          <w:spacing w:val="-1"/>
        </w:rPr>
        <w:t xml:space="preserve"> </w:t>
      </w:r>
      <w:r>
        <w:t>starting</w:t>
      </w:r>
      <w:r>
        <w:rPr>
          <w:spacing w:val="-1"/>
        </w:rPr>
        <w:t xml:space="preserve"> </w:t>
      </w:r>
      <w:r>
        <w:t>to</w:t>
      </w:r>
      <w:r>
        <w:rPr>
          <w:spacing w:val="-1"/>
        </w:rPr>
        <w:t xml:space="preserve"> </w:t>
      </w:r>
      <w:r>
        <w:t>assess</w:t>
      </w:r>
      <w:r>
        <w:rPr>
          <w:spacing w:val="-1"/>
        </w:rPr>
        <w:t xml:space="preserve"> </w:t>
      </w:r>
      <w:r>
        <w:t>the</w:t>
      </w:r>
      <w:r>
        <w:rPr>
          <w:spacing w:val="-1"/>
        </w:rPr>
        <w:t xml:space="preserve"> </w:t>
      </w:r>
      <w:r>
        <w:t>availability</w:t>
      </w:r>
      <w:r>
        <w:rPr>
          <w:spacing w:val="-1"/>
        </w:rPr>
        <w:t xml:space="preserve"> </w:t>
      </w:r>
      <w:r>
        <w:t>of</w:t>
      </w:r>
      <w:r>
        <w:rPr>
          <w:spacing w:val="-1"/>
        </w:rPr>
        <w:t xml:space="preserve"> </w:t>
      </w:r>
      <w:r>
        <w:t>single- stall,</w:t>
      </w:r>
      <w:r>
        <w:rPr>
          <w:spacing w:val="-4"/>
        </w:rPr>
        <w:t xml:space="preserve"> </w:t>
      </w:r>
      <w:r>
        <w:t>gender-neutral</w:t>
      </w:r>
      <w:r>
        <w:rPr>
          <w:spacing w:val="-3"/>
        </w:rPr>
        <w:t xml:space="preserve"> </w:t>
      </w:r>
      <w:r>
        <w:t>bathrooms</w:t>
      </w:r>
      <w:r>
        <w:rPr>
          <w:spacing w:val="-5"/>
        </w:rPr>
        <w:t xml:space="preserve"> </w:t>
      </w:r>
      <w:r>
        <w:t>among</w:t>
      </w:r>
      <w:r>
        <w:rPr>
          <w:spacing w:val="-3"/>
        </w:rPr>
        <w:t xml:space="preserve"> </w:t>
      </w:r>
      <w:r>
        <w:t>libraries</w:t>
      </w:r>
      <w:r>
        <w:rPr>
          <w:spacing w:val="-3"/>
        </w:rPr>
        <w:t xml:space="preserve"> </w:t>
      </w:r>
      <w:r>
        <w:t>in</w:t>
      </w:r>
      <w:r>
        <w:rPr>
          <w:spacing w:val="-3"/>
        </w:rPr>
        <w:t xml:space="preserve"> </w:t>
      </w:r>
      <w:r>
        <w:t>the</w:t>
      </w:r>
      <w:r>
        <w:rPr>
          <w:spacing w:val="-5"/>
        </w:rPr>
        <w:t xml:space="preserve"> </w:t>
      </w:r>
      <w:r>
        <w:t>Commonwealth,</w:t>
      </w:r>
      <w:r>
        <w:rPr>
          <w:spacing w:val="-4"/>
        </w:rPr>
        <w:t xml:space="preserve"> </w:t>
      </w:r>
      <w:r>
        <w:t>and</w:t>
      </w:r>
      <w:r>
        <w:rPr>
          <w:spacing w:val="-3"/>
        </w:rPr>
        <w:t xml:space="preserve"> </w:t>
      </w:r>
      <w:r>
        <w:t>explaining</w:t>
      </w:r>
      <w:r>
        <w:rPr>
          <w:spacing w:val="-3"/>
        </w:rPr>
        <w:t xml:space="preserve"> </w:t>
      </w:r>
      <w:r>
        <w:t>to</w:t>
      </w:r>
      <w:r>
        <w:rPr>
          <w:spacing w:val="-3"/>
        </w:rPr>
        <w:t xml:space="preserve"> </w:t>
      </w:r>
      <w:r>
        <w:t>librarians</w:t>
      </w:r>
      <w:r>
        <w:rPr>
          <w:spacing w:val="-3"/>
        </w:rPr>
        <w:t xml:space="preserve"> </w:t>
      </w:r>
      <w:r>
        <w:t>why</w:t>
      </w:r>
      <w:r>
        <w:rPr>
          <w:spacing w:val="-5"/>
        </w:rPr>
        <w:t xml:space="preserve"> </w:t>
      </w:r>
      <w:r>
        <w:t>this is important. MBLC reports that the continued funding</w:t>
      </w:r>
      <w:r>
        <w:rPr>
          <w:spacing w:val="-2"/>
        </w:rPr>
        <w:t xml:space="preserve"> </w:t>
      </w:r>
      <w:r>
        <w:t>of the</w:t>
      </w:r>
      <w:r>
        <w:rPr>
          <w:spacing w:val="-1"/>
        </w:rPr>
        <w:t xml:space="preserve"> </w:t>
      </w:r>
      <w:r>
        <w:t>library</w:t>
      </w:r>
      <w:r>
        <w:rPr>
          <w:spacing w:val="-1"/>
        </w:rPr>
        <w:t xml:space="preserve"> </w:t>
      </w:r>
      <w:r>
        <w:t>construction</w:t>
      </w:r>
      <w:r>
        <w:rPr>
          <w:spacing w:val="-1"/>
        </w:rPr>
        <w:t xml:space="preserve"> </w:t>
      </w:r>
      <w:r>
        <w:t>grant program</w:t>
      </w:r>
      <w:r>
        <w:rPr>
          <w:spacing w:val="-2"/>
        </w:rPr>
        <w:t xml:space="preserve"> </w:t>
      </w:r>
      <w:r>
        <w:t>will</w:t>
      </w:r>
      <w:r>
        <w:rPr>
          <w:spacing w:val="-1"/>
        </w:rPr>
        <w:t xml:space="preserve"> </w:t>
      </w:r>
      <w:r>
        <w:t>enable further library renovations and modernizations that will likely advance this trend.</w:t>
      </w:r>
    </w:p>
    <w:p w:rsidR="00C76E6D" w:rsidRDefault="00C76E6D">
      <w:pPr>
        <w:pStyle w:val="BodyText"/>
        <w:spacing w:before="8"/>
        <w:rPr>
          <w:sz w:val="19"/>
        </w:rPr>
      </w:pPr>
    </w:p>
    <w:p w:rsidR="00C76E6D" w:rsidRDefault="00913831">
      <w:pPr>
        <w:pStyle w:val="BodyText"/>
        <w:spacing w:line="276" w:lineRule="auto"/>
        <w:ind w:left="338" w:right="334"/>
        <w:jc w:val="both"/>
      </w:pPr>
      <w:r>
        <w:t>For privacy reasons, libraries do not generally collect demographic data on their users, so the number of LGBTQ</w:t>
      </w:r>
      <w:r>
        <w:rPr>
          <w:spacing w:val="-8"/>
        </w:rPr>
        <w:t xml:space="preserve"> </w:t>
      </w:r>
      <w:r>
        <w:t>youth</w:t>
      </w:r>
      <w:r>
        <w:rPr>
          <w:spacing w:val="-5"/>
        </w:rPr>
        <w:t xml:space="preserve"> </w:t>
      </w:r>
      <w:r>
        <w:t>accessing</w:t>
      </w:r>
      <w:r>
        <w:rPr>
          <w:spacing w:val="-6"/>
        </w:rPr>
        <w:t xml:space="preserve"> </w:t>
      </w:r>
      <w:r>
        <w:t>library</w:t>
      </w:r>
      <w:r>
        <w:rPr>
          <w:spacing w:val="-7"/>
        </w:rPr>
        <w:t xml:space="preserve"> </w:t>
      </w:r>
      <w:r>
        <w:t>services</w:t>
      </w:r>
      <w:r>
        <w:rPr>
          <w:spacing w:val="-7"/>
        </w:rPr>
        <w:t xml:space="preserve"> </w:t>
      </w:r>
      <w:r>
        <w:t>is</w:t>
      </w:r>
      <w:r>
        <w:rPr>
          <w:spacing w:val="-7"/>
        </w:rPr>
        <w:t xml:space="preserve"> </w:t>
      </w:r>
      <w:r>
        <w:t>unknown.</w:t>
      </w:r>
      <w:r>
        <w:rPr>
          <w:spacing w:val="-8"/>
        </w:rPr>
        <w:t xml:space="preserve"> </w:t>
      </w:r>
      <w:r>
        <w:t>Libraries</w:t>
      </w:r>
      <w:r>
        <w:rPr>
          <w:spacing w:val="-7"/>
        </w:rPr>
        <w:t xml:space="preserve"> </w:t>
      </w:r>
      <w:r>
        <w:t>can</w:t>
      </w:r>
      <w:r>
        <w:rPr>
          <w:spacing w:val="-7"/>
        </w:rPr>
        <w:t xml:space="preserve"> </w:t>
      </w:r>
      <w:r>
        <w:t>nonetheless</w:t>
      </w:r>
      <w:r>
        <w:rPr>
          <w:spacing w:val="-6"/>
        </w:rPr>
        <w:t xml:space="preserve"> </w:t>
      </w:r>
      <w:r>
        <w:t>take</w:t>
      </w:r>
      <w:r>
        <w:rPr>
          <w:spacing w:val="-8"/>
        </w:rPr>
        <w:t xml:space="preserve"> </w:t>
      </w:r>
      <w:r>
        <w:t>steps</w:t>
      </w:r>
      <w:r>
        <w:rPr>
          <w:spacing w:val="-7"/>
        </w:rPr>
        <w:t xml:space="preserve"> </w:t>
      </w:r>
      <w:r>
        <w:t>to</w:t>
      </w:r>
      <w:r>
        <w:rPr>
          <w:spacing w:val="-6"/>
        </w:rPr>
        <w:t xml:space="preserve"> </w:t>
      </w:r>
      <w:r>
        <w:t>be</w:t>
      </w:r>
      <w:r>
        <w:rPr>
          <w:spacing w:val="-8"/>
        </w:rPr>
        <w:t xml:space="preserve"> </w:t>
      </w:r>
      <w:r>
        <w:t>welcoming</w:t>
      </w:r>
      <w:r>
        <w:rPr>
          <w:spacing w:val="-5"/>
        </w:rPr>
        <w:t xml:space="preserve"> </w:t>
      </w:r>
      <w:r>
        <w:t>for LGBTQ youth by providing programming and materials relevant to their concerns and helping them access information technology. Events like “drag queen story times” and recognition of local</w:t>
      </w:r>
      <w:r>
        <w:t xml:space="preserve"> Pride events are examples of inclusive and welcoming programming that libraries are increasingly offering.</w:t>
      </w:r>
    </w:p>
    <w:p w:rsidR="00C76E6D" w:rsidRDefault="00C76E6D">
      <w:pPr>
        <w:pStyle w:val="BodyText"/>
        <w:spacing w:before="8"/>
        <w:rPr>
          <w:sz w:val="19"/>
        </w:rPr>
      </w:pPr>
    </w:p>
    <w:p w:rsidR="00C76E6D" w:rsidRDefault="00913831">
      <w:pPr>
        <w:pStyle w:val="BodyText"/>
        <w:spacing w:line="276" w:lineRule="auto"/>
        <w:ind w:left="338" w:right="334"/>
        <w:jc w:val="both"/>
      </w:pPr>
      <w:r>
        <w:t>MBLC’s</w:t>
      </w:r>
      <w:r>
        <w:rPr>
          <w:spacing w:val="-5"/>
        </w:rPr>
        <w:t xml:space="preserve"> </w:t>
      </w:r>
      <w:r>
        <w:t>work</w:t>
      </w:r>
      <w:r>
        <w:rPr>
          <w:spacing w:val="-6"/>
        </w:rPr>
        <w:t xml:space="preserve"> </w:t>
      </w:r>
      <w:r>
        <w:t>touches</w:t>
      </w:r>
      <w:r>
        <w:rPr>
          <w:spacing w:val="-4"/>
        </w:rPr>
        <w:t xml:space="preserve"> </w:t>
      </w:r>
      <w:r>
        <w:t>on</w:t>
      </w:r>
      <w:r>
        <w:rPr>
          <w:spacing w:val="-4"/>
        </w:rPr>
        <w:t xml:space="preserve"> </w:t>
      </w:r>
      <w:r>
        <w:t>at</w:t>
      </w:r>
      <w:r>
        <w:rPr>
          <w:spacing w:val="-5"/>
        </w:rPr>
        <w:t xml:space="preserve"> </w:t>
      </w:r>
      <w:r>
        <w:t>least</w:t>
      </w:r>
      <w:r>
        <w:rPr>
          <w:spacing w:val="-6"/>
        </w:rPr>
        <w:t xml:space="preserve"> </w:t>
      </w:r>
      <w:r>
        <w:t>two</w:t>
      </w:r>
      <w:r>
        <w:rPr>
          <w:spacing w:val="-4"/>
        </w:rPr>
        <w:t xml:space="preserve"> </w:t>
      </w:r>
      <w:r>
        <w:t>of</w:t>
      </w:r>
      <w:r>
        <w:rPr>
          <w:spacing w:val="-5"/>
        </w:rPr>
        <w:t xml:space="preserve"> </w:t>
      </w:r>
      <w:r>
        <w:t>the</w:t>
      </w:r>
      <w:r>
        <w:rPr>
          <w:spacing w:val="-5"/>
        </w:rPr>
        <w:t xml:space="preserve"> </w:t>
      </w:r>
      <w:r>
        <w:t>three</w:t>
      </w:r>
      <w:r>
        <w:rPr>
          <w:spacing w:val="-5"/>
        </w:rPr>
        <w:t xml:space="preserve"> </w:t>
      </w:r>
      <w:r>
        <w:t>focus</w:t>
      </w:r>
      <w:r>
        <w:rPr>
          <w:spacing w:val="-5"/>
        </w:rPr>
        <w:t xml:space="preserve"> </w:t>
      </w:r>
      <w:r>
        <w:t>areas</w:t>
      </w:r>
      <w:r>
        <w:rPr>
          <w:spacing w:val="-5"/>
        </w:rPr>
        <w:t xml:space="preserve"> </w:t>
      </w:r>
      <w:r>
        <w:t>identified</w:t>
      </w:r>
      <w:r>
        <w:rPr>
          <w:spacing w:val="-5"/>
        </w:rPr>
        <w:t xml:space="preserve"> </w:t>
      </w:r>
      <w:r>
        <w:t>by</w:t>
      </w:r>
      <w:r>
        <w:rPr>
          <w:spacing w:val="-4"/>
        </w:rPr>
        <w:t xml:space="preserve"> </w:t>
      </w:r>
      <w:r>
        <w:t>the</w:t>
      </w:r>
      <w:r>
        <w:rPr>
          <w:spacing w:val="-5"/>
        </w:rPr>
        <w:t xml:space="preserve"> </w:t>
      </w:r>
      <w:r>
        <w:t>Commission.</w:t>
      </w:r>
      <w:r>
        <w:rPr>
          <w:spacing w:val="-6"/>
        </w:rPr>
        <w:t xml:space="preserve"> </w:t>
      </w:r>
      <w:r>
        <w:t>The</w:t>
      </w:r>
      <w:r>
        <w:rPr>
          <w:spacing w:val="-5"/>
        </w:rPr>
        <w:t xml:space="preserve"> </w:t>
      </w:r>
      <w:r>
        <w:t>first,</w:t>
      </w:r>
      <w:r>
        <w:rPr>
          <w:spacing w:val="-5"/>
        </w:rPr>
        <w:t xml:space="preserve"> </w:t>
      </w:r>
      <w:r>
        <w:t>LGBTQ youth homelessness, is one on which the Commission and MLBC have already shared ideas and resources. One study found that 47% of homeless youth reported public libraries were the main sites granting them access to the internet, which permits communic</w:t>
      </w:r>
      <w:r>
        <w:t>ation with family, friends, caseworkers, and prospective employers</w:t>
      </w:r>
      <w:hyperlink w:anchor="_bookmark633" w:history="1">
        <w:r>
          <w:t>.</w:t>
        </w:r>
        <w:r>
          <w:rPr>
            <w:vertAlign w:val="superscript"/>
          </w:rPr>
          <w:t>1</w:t>
        </w:r>
        <w:r>
          <w:rPr>
            <w:spacing w:val="-11"/>
          </w:rPr>
          <w:t xml:space="preserve"> </w:t>
        </w:r>
      </w:hyperlink>
      <w:r>
        <w:t>Libraries</w:t>
      </w:r>
      <w:r>
        <w:rPr>
          <w:spacing w:val="-10"/>
        </w:rPr>
        <w:t xml:space="preserve"> </w:t>
      </w:r>
      <w:r>
        <w:t>are</w:t>
      </w:r>
      <w:r>
        <w:rPr>
          <w:spacing w:val="-11"/>
        </w:rPr>
        <w:t xml:space="preserve"> </w:t>
      </w:r>
      <w:r>
        <w:t>likely</w:t>
      </w:r>
      <w:r>
        <w:rPr>
          <w:spacing w:val="-11"/>
        </w:rPr>
        <w:t xml:space="preserve"> </w:t>
      </w:r>
      <w:r>
        <w:t>also</w:t>
      </w:r>
      <w:r>
        <w:rPr>
          <w:spacing w:val="-11"/>
        </w:rPr>
        <w:t xml:space="preserve"> </w:t>
      </w:r>
      <w:r>
        <w:t>a</w:t>
      </w:r>
      <w:r>
        <w:rPr>
          <w:spacing w:val="-10"/>
        </w:rPr>
        <w:t xml:space="preserve"> </w:t>
      </w:r>
      <w:r>
        <w:t>key</w:t>
      </w:r>
      <w:r>
        <w:rPr>
          <w:spacing w:val="-11"/>
        </w:rPr>
        <w:t xml:space="preserve"> </w:t>
      </w:r>
      <w:r>
        <w:t>resource</w:t>
      </w:r>
      <w:r>
        <w:rPr>
          <w:spacing w:val="-11"/>
        </w:rPr>
        <w:t xml:space="preserve"> </w:t>
      </w:r>
      <w:r>
        <w:t>for</w:t>
      </w:r>
      <w:r>
        <w:rPr>
          <w:spacing w:val="-10"/>
        </w:rPr>
        <w:t xml:space="preserve"> </w:t>
      </w:r>
      <w:r>
        <w:t>LGBTQ</w:t>
      </w:r>
      <w:r>
        <w:rPr>
          <w:spacing w:val="-10"/>
        </w:rPr>
        <w:t xml:space="preserve"> </w:t>
      </w:r>
      <w:r>
        <w:t>youth</w:t>
      </w:r>
      <w:r>
        <w:rPr>
          <w:spacing w:val="-10"/>
        </w:rPr>
        <w:t xml:space="preserve"> </w:t>
      </w:r>
      <w:r>
        <w:t>experiencing</w:t>
      </w:r>
      <w:r>
        <w:rPr>
          <w:spacing w:val="-10"/>
        </w:rPr>
        <w:t xml:space="preserve"> </w:t>
      </w:r>
      <w:r>
        <w:t>homelessness</w:t>
      </w:r>
      <w:r>
        <w:rPr>
          <w:spacing w:val="-10"/>
        </w:rPr>
        <w:t xml:space="preserve"> </w:t>
      </w:r>
      <w:r>
        <w:t>because</w:t>
      </w:r>
      <w:r>
        <w:rPr>
          <w:spacing w:val="-10"/>
        </w:rPr>
        <w:t xml:space="preserve"> </w:t>
      </w:r>
      <w:r>
        <w:t xml:space="preserve">they are open during the day when shelters are closed and often </w:t>
      </w:r>
      <w:r>
        <w:t>provide programming for underserved populations.</w:t>
      </w:r>
      <w:r>
        <w:rPr>
          <w:spacing w:val="-8"/>
        </w:rPr>
        <w:t xml:space="preserve"> </w:t>
      </w:r>
      <w:r>
        <w:t>The</w:t>
      </w:r>
      <w:r>
        <w:rPr>
          <w:spacing w:val="-10"/>
        </w:rPr>
        <w:t xml:space="preserve"> </w:t>
      </w:r>
      <w:r>
        <w:t>American</w:t>
      </w:r>
      <w:r>
        <w:rPr>
          <w:spacing w:val="-10"/>
        </w:rPr>
        <w:t xml:space="preserve"> </w:t>
      </w:r>
      <w:r>
        <w:t>Library</w:t>
      </w:r>
      <w:r>
        <w:rPr>
          <w:spacing w:val="-9"/>
        </w:rPr>
        <w:t xml:space="preserve"> </w:t>
      </w:r>
      <w:r>
        <w:t>Association</w:t>
      </w:r>
      <w:r>
        <w:rPr>
          <w:spacing w:val="-10"/>
        </w:rPr>
        <w:t xml:space="preserve"> </w:t>
      </w:r>
      <w:r>
        <w:t>has</w:t>
      </w:r>
      <w:r>
        <w:rPr>
          <w:spacing w:val="-9"/>
        </w:rPr>
        <w:t xml:space="preserve"> </w:t>
      </w:r>
      <w:r>
        <w:t>issued</w:t>
      </w:r>
      <w:r>
        <w:rPr>
          <w:spacing w:val="-10"/>
        </w:rPr>
        <w:t xml:space="preserve"> </w:t>
      </w:r>
      <w:r>
        <w:t>a</w:t>
      </w:r>
      <w:r>
        <w:rPr>
          <w:spacing w:val="-10"/>
        </w:rPr>
        <w:t xml:space="preserve"> </w:t>
      </w:r>
      <w:r>
        <w:t>policy</w:t>
      </w:r>
      <w:r>
        <w:rPr>
          <w:spacing w:val="-10"/>
        </w:rPr>
        <w:t xml:space="preserve"> </w:t>
      </w:r>
      <w:r>
        <w:t>statement</w:t>
      </w:r>
      <w:r>
        <w:rPr>
          <w:spacing w:val="-10"/>
        </w:rPr>
        <w:t xml:space="preserve"> </w:t>
      </w:r>
      <w:r>
        <w:t>on</w:t>
      </w:r>
      <w:r>
        <w:rPr>
          <w:spacing w:val="-10"/>
        </w:rPr>
        <w:t xml:space="preserve"> </w:t>
      </w:r>
      <w:r>
        <w:t>homelessness</w:t>
      </w:r>
      <w:r>
        <w:rPr>
          <w:spacing w:val="-9"/>
        </w:rPr>
        <w:t xml:space="preserve"> </w:t>
      </w:r>
      <w:r>
        <w:t>that</w:t>
      </w:r>
      <w:r>
        <w:rPr>
          <w:spacing w:val="-8"/>
        </w:rPr>
        <w:t xml:space="preserve"> </w:t>
      </w:r>
      <w:r>
        <w:t>MBLC</w:t>
      </w:r>
      <w:r>
        <w:rPr>
          <w:spacing w:val="-10"/>
        </w:rPr>
        <w:t xml:space="preserve"> </w:t>
      </w:r>
      <w:r>
        <w:t>has made available for its librarians</w:t>
      </w:r>
      <w:hyperlink w:anchor="_bookmark634" w:history="1">
        <w:r>
          <w:t>.</w:t>
        </w:r>
        <w:r>
          <w:rPr>
            <w:vertAlign w:val="superscript"/>
          </w:rPr>
          <w:t>2</w:t>
        </w:r>
        <w:r>
          <w:t xml:space="preserve"> </w:t>
        </w:r>
      </w:hyperlink>
      <w:r>
        <w:t xml:space="preserve">The second of the Commission’s focus areas in </w:t>
      </w:r>
      <w:r>
        <w:t>which MBLC also works is criminal</w:t>
      </w:r>
      <w:r>
        <w:rPr>
          <w:spacing w:val="-5"/>
        </w:rPr>
        <w:t xml:space="preserve"> </w:t>
      </w:r>
      <w:r>
        <w:t>justice,</w:t>
      </w:r>
      <w:r>
        <w:rPr>
          <w:spacing w:val="-7"/>
        </w:rPr>
        <w:t xml:space="preserve"> </w:t>
      </w:r>
      <w:r>
        <w:t>as</w:t>
      </w:r>
      <w:r>
        <w:rPr>
          <w:spacing w:val="-5"/>
        </w:rPr>
        <w:t xml:space="preserve"> </w:t>
      </w:r>
      <w:r>
        <w:t>MBLC</w:t>
      </w:r>
      <w:r>
        <w:rPr>
          <w:spacing w:val="-6"/>
        </w:rPr>
        <w:t xml:space="preserve"> </w:t>
      </w:r>
      <w:r>
        <w:t>provides</w:t>
      </w:r>
      <w:r>
        <w:rPr>
          <w:spacing w:val="-7"/>
        </w:rPr>
        <w:t xml:space="preserve"> </w:t>
      </w:r>
      <w:r>
        <w:t>library</w:t>
      </w:r>
      <w:r>
        <w:rPr>
          <w:spacing w:val="-7"/>
        </w:rPr>
        <w:t xml:space="preserve"> </w:t>
      </w:r>
      <w:r>
        <w:t>services</w:t>
      </w:r>
      <w:r>
        <w:rPr>
          <w:spacing w:val="-4"/>
        </w:rPr>
        <w:t xml:space="preserve"> </w:t>
      </w:r>
      <w:r>
        <w:t>to</w:t>
      </w:r>
      <w:r>
        <w:rPr>
          <w:spacing w:val="-6"/>
        </w:rPr>
        <w:t xml:space="preserve"> </w:t>
      </w:r>
      <w:r>
        <w:t>incarcerated</w:t>
      </w:r>
      <w:r>
        <w:rPr>
          <w:spacing w:val="-4"/>
        </w:rPr>
        <w:t xml:space="preserve"> </w:t>
      </w:r>
      <w:r>
        <w:t>persons.</w:t>
      </w:r>
      <w:r>
        <w:rPr>
          <w:spacing w:val="-8"/>
        </w:rPr>
        <w:t xml:space="preserve"> </w:t>
      </w:r>
      <w:r>
        <w:t>The</w:t>
      </w:r>
      <w:r>
        <w:rPr>
          <w:spacing w:val="-4"/>
        </w:rPr>
        <w:t xml:space="preserve"> </w:t>
      </w:r>
      <w:r>
        <w:t>Commission</w:t>
      </w:r>
      <w:r>
        <w:rPr>
          <w:spacing w:val="-7"/>
        </w:rPr>
        <w:t xml:space="preserve"> </w:t>
      </w:r>
      <w:r>
        <w:t>looks</w:t>
      </w:r>
      <w:r>
        <w:rPr>
          <w:spacing w:val="-7"/>
        </w:rPr>
        <w:t xml:space="preserve"> </w:t>
      </w:r>
      <w:r>
        <w:t>forward</w:t>
      </w:r>
      <w:r>
        <w:rPr>
          <w:spacing w:val="-7"/>
        </w:rPr>
        <w:t xml:space="preserve"> </w:t>
      </w:r>
      <w:r>
        <w:t>to working with MBLC on these and other issues facing LGBTQ youth.</w:t>
      </w:r>
    </w:p>
    <w:p w:rsidR="00C76E6D" w:rsidRDefault="00C76E6D">
      <w:pPr>
        <w:spacing w:line="276" w:lineRule="auto"/>
        <w:jc w:val="both"/>
        <w:sectPr w:rsidR="00C76E6D">
          <w:headerReference w:type="default" r:id="rId459"/>
          <w:footerReference w:type="default" r:id="rId460"/>
          <w:pgSz w:w="12240" w:h="15840"/>
          <w:pgMar w:top="1000" w:right="960" w:bottom="720" w:left="960" w:header="811" w:footer="531" w:gutter="0"/>
          <w:cols w:space="720"/>
        </w:sectPr>
      </w:pPr>
    </w:p>
    <w:p w:rsidR="00C76E6D" w:rsidRDefault="00C76E6D">
      <w:pPr>
        <w:pStyle w:val="BodyText"/>
        <w:rPr>
          <w:sz w:val="26"/>
        </w:rPr>
      </w:pPr>
    </w:p>
    <w:p w:rsidR="00C76E6D" w:rsidRDefault="00913831">
      <w:pPr>
        <w:pStyle w:val="Heading5"/>
        <w:spacing w:before="52"/>
      </w:pPr>
      <w:r>
        <w:rPr>
          <w:spacing w:val="-2"/>
        </w:rPr>
        <w:t>Expanded</w:t>
      </w:r>
      <w:r>
        <w:t xml:space="preserve"> </w:t>
      </w:r>
      <w:r>
        <w:rPr>
          <w:spacing w:val="-2"/>
        </w:rPr>
        <w:t>Recommendations</w:t>
      </w:r>
    </w:p>
    <w:p w:rsidR="00C76E6D" w:rsidRDefault="00913831">
      <w:pPr>
        <w:pStyle w:val="BodyText"/>
        <w:spacing w:before="1"/>
        <w:rPr>
          <w:b/>
          <w:sz w:val="11"/>
        </w:rPr>
      </w:pPr>
      <w:r>
        <w:pict>
          <v:shape id="docshape463" o:spid="_x0000_s1043" style="position:absolute;margin-left:65pt;margin-top:7.95pt;width:476.95pt;height:.1pt;z-index:-15627264;mso-wrap-distance-left:0;mso-wrap-distance-right:0;mso-position-horizontal-relative:page" coordorigin="1300,159" coordsize="9539,0" path="m1300,159r9539,e" filled="f" strokeweight="1.54pt">
            <v:path arrowok="t"/>
            <w10:wrap type="topAndBottom" anchorx="page"/>
          </v:shape>
        </w:pict>
      </w:r>
    </w:p>
    <w:p w:rsidR="00C76E6D" w:rsidRDefault="00C76E6D">
      <w:pPr>
        <w:pStyle w:val="BodyText"/>
        <w:spacing w:before="6"/>
        <w:rPr>
          <w:b/>
          <w:sz w:val="33"/>
        </w:rPr>
      </w:pPr>
    </w:p>
    <w:p w:rsidR="00C76E6D" w:rsidRDefault="00913831">
      <w:pPr>
        <w:pStyle w:val="Heading6"/>
        <w:numPr>
          <w:ilvl w:val="0"/>
          <w:numId w:val="3"/>
        </w:numPr>
        <w:tabs>
          <w:tab w:val="left" w:pos="608"/>
        </w:tabs>
        <w:ind w:hanging="270"/>
        <w:rPr>
          <w:b w:val="0"/>
        </w:rPr>
      </w:pPr>
      <w:bookmarkStart w:id="906" w:name="1._Continue_sharing_resources_for_LGBTQ_"/>
      <w:bookmarkEnd w:id="906"/>
      <w:r>
        <w:rPr>
          <w:w w:val="95"/>
        </w:rPr>
        <w:t>Continue</w:t>
      </w:r>
      <w:r>
        <w:rPr>
          <w:spacing w:val="12"/>
        </w:rPr>
        <w:t xml:space="preserve"> </w:t>
      </w:r>
      <w:r>
        <w:rPr>
          <w:w w:val="95"/>
        </w:rPr>
        <w:t>sharing</w:t>
      </w:r>
      <w:r>
        <w:rPr>
          <w:spacing w:val="10"/>
        </w:rPr>
        <w:t xml:space="preserve"> </w:t>
      </w:r>
      <w:r>
        <w:rPr>
          <w:w w:val="95"/>
        </w:rPr>
        <w:t>resources</w:t>
      </w:r>
      <w:r>
        <w:rPr>
          <w:spacing w:val="11"/>
        </w:rPr>
        <w:t xml:space="preserve"> </w:t>
      </w:r>
      <w:r>
        <w:rPr>
          <w:w w:val="95"/>
        </w:rPr>
        <w:t>for</w:t>
      </w:r>
      <w:r>
        <w:rPr>
          <w:spacing w:val="14"/>
        </w:rPr>
        <w:t xml:space="preserve"> </w:t>
      </w:r>
      <w:r>
        <w:rPr>
          <w:w w:val="95"/>
        </w:rPr>
        <w:t>LGBTQ</w:t>
      </w:r>
      <w:r>
        <w:rPr>
          <w:spacing w:val="14"/>
        </w:rPr>
        <w:t xml:space="preserve"> </w:t>
      </w:r>
      <w:r>
        <w:rPr>
          <w:w w:val="95"/>
        </w:rPr>
        <w:t>youth</w:t>
      </w:r>
      <w:r>
        <w:rPr>
          <w:spacing w:val="12"/>
        </w:rPr>
        <w:t xml:space="preserve"> </w:t>
      </w:r>
      <w:r>
        <w:rPr>
          <w:w w:val="95"/>
        </w:rPr>
        <w:t>online</w:t>
      </w:r>
      <w:r>
        <w:rPr>
          <w:spacing w:val="14"/>
        </w:rPr>
        <w:t xml:space="preserve"> </w:t>
      </w:r>
      <w:r>
        <w:rPr>
          <w:w w:val="95"/>
        </w:rPr>
        <w:t>and</w:t>
      </w:r>
      <w:r>
        <w:rPr>
          <w:spacing w:val="10"/>
        </w:rPr>
        <w:t xml:space="preserve"> </w:t>
      </w:r>
      <w:r>
        <w:rPr>
          <w:w w:val="95"/>
        </w:rPr>
        <w:t>in</w:t>
      </w:r>
      <w:r>
        <w:rPr>
          <w:spacing w:val="14"/>
        </w:rPr>
        <w:t xml:space="preserve"> </w:t>
      </w:r>
      <w:r>
        <w:rPr>
          <w:spacing w:val="-2"/>
          <w:w w:val="95"/>
        </w:rPr>
        <w:t>libraries.</w:t>
      </w:r>
    </w:p>
    <w:p w:rsidR="00C76E6D" w:rsidRDefault="00C76E6D">
      <w:pPr>
        <w:pStyle w:val="BodyText"/>
        <w:spacing w:before="10"/>
        <w:rPr>
          <w:b/>
        </w:rPr>
      </w:pPr>
    </w:p>
    <w:p w:rsidR="00C76E6D" w:rsidRDefault="00913831">
      <w:pPr>
        <w:pStyle w:val="BodyText"/>
        <w:spacing w:line="276" w:lineRule="auto"/>
        <w:ind w:left="627" w:right="335"/>
        <w:jc w:val="both"/>
      </w:pPr>
      <w:r>
        <w:t>Over</w:t>
      </w:r>
      <w:r>
        <w:rPr>
          <w:spacing w:val="-13"/>
        </w:rPr>
        <w:t xml:space="preserve"> </w:t>
      </w:r>
      <w:r>
        <w:t>the</w:t>
      </w:r>
      <w:r>
        <w:rPr>
          <w:spacing w:val="-12"/>
        </w:rPr>
        <w:t xml:space="preserve"> </w:t>
      </w:r>
      <w:r>
        <w:t>past</w:t>
      </w:r>
      <w:r>
        <w:rPr>
          <w:spacing w:val="-13"/>
        </w:rPr>
        <w:t xml:space="preserve"> </w:t>
      </w:r>
      <w:r>
        <w:t>few</w:t>
      </w:r>
      <w:r>
        <w:rPr>
          <w:spacing w:val="-12"/>
        </w:rPr>
        <w:t xml:space="preserve"> </w:t>
      </w:r>
      <w:r>
        <w:t>years,</w:t>
      </w:r>
      <w:r>
        <w:rPr>
          <w:spacing w:val="-13"/>
        </w:rPr>
        <w:t xml:space="preserve"> </w:t>
      </w:r>
      <w:r>
        <w:t>MBLC</w:t>
      </w:r>
      <w:r>
        <w:rPr>
          <w:spacing w:val="-12"/>
        </w:rPr>
        <w:t xml:space="preserve"> </w:t>
      </w:r>
      <w:r>
        <w:t>has</w:t>
      </w:r>
      <w:r>
        <w:rPr>
          <w:spacing w:val="-13"/>
        </w:rPr>
        <w:t xml:space="preserve"> </w:t>
      </w:r>
      <w:r>
        <w:t>partnered</w:t>
      </w:r>
      <w:r>
        <w:rPr>
          <w:spacing w:val="-12"/>
        </w:rPr>
        <w:t xml:space="preserve"> </w:t>
      </w:r>
      <w:r>
        <w:t>with</w:t>
      </w:r>
      <w:r>
        <w:rPr>
          <w:spacing w:val="-12"/>
        </w:rPr>
        <w:t xml:space="preserve"> </w:t>
      </w:r>
      <w:r>
        <w:t>the</w:t>
      </w:r>
      <w:r>
        <w:rPr>
          <w:spacing w:val="-13"/>
        </w:rPr>
        <w:t xml:space="preserve"> </w:t>
      </w:r>
      <w:r>
        <w:t>Commission</w:t>
      </w:r>
      <w:r>
        <w:rPr>
          <w:spacing w:val="-12"/>
        </w:rPr>
        <w:t xml:space="preserve"> </w:t>
      </w:r>
      <w:r>
        <w:t>on</w:t>
      </w:r>
      <w:r>
        <w:rPr>
          <w:spacing w:val="-13"/>
        </w:rPr>
        <w:t xml:space="preserve"> </w:t>
      </w:r>
      <w:r>
        <w:t>a</w:t>
      </w:r>
      <w:r>
        <w:rPr>
          <w:spacing w:val="-12"/>
        </w:rPr>
        <w:t xml:space="preserve"> </w:t>
      </w:r>
      <w:r>
        <w:t>major</w:t>
      </w:r>
      <w:r>
        <w:rPr>
          <w:spacing w:val="-13"/>
        </w:rPr>
        <w:t xml:space="preserve"> </w:t>
      </w:r>
      <w:r>
        <w:t>effort</w:t>
      </w:r>
      <w:r>
        <w:rPr>
          <w:spacing w:val="-12"/>
        </w:rPr>
        <w:t xml:space="preserve"> </w:t>
      </w:r>
      <w:r>
        <w:t>to</w:t>
      </w:r>
      <w:r>
        <w:rPr>
          <w:spacing w:val="-12"/>
        </w:rPr>
        <w:t xml:space="preserve"> </w:t>
      </w:r>
      <w:r>
        <w:t>bring</w:t>
      </w:r>
      <w:r>
        <w:rPr>
          <w:spacing w:val="-13"/>
        </w:rPr>
        <w:t xml:space="preserve"> </w:t>
      </w:r>
      <w:r>
        <w:t>more</w:t>
      </w:r>
      <w:r>
        <w:rPr>
          <w:spacing w:val="-12"/>
        </w:rPr>
        <w:t xml:space="preserve"> </w:t>
      </w:r>
      <w:r>
        <w:t>LGBTQ- inclusive reading lists into libraries. The Commission and MBLC worked together in June 2019 to create an</w:t>
      </w:r>
      <w:r>
        <w:rPr>
          <w:spacing w:val="-3"/>
        </w:rPr>
        <w:t xml:space="preserve"> </w:t>
      </w:r>
      <w:r>
        <w:t>LGBTQ-inclusive</w:t>
      </w:r>
      <w:r>
        <w:rPr>
          <w:spacing w:val="-3"/>
        </w:rPr>
        <w:t xml:space="preserve"> </w:t>
      </w:r>
      <w:r>
        <w:t>reading</w:t>
      </w:r>
      <w:r>
        <w:rPr>
          <w:spacing w:val="-2"/>
        </w:rPr>
        <w:t xml:space="preserve"> </w:t>
      </w:r>
      <w:r>
        <w:t>list</w:t>
      </w:r>
      <w:r>
        <w:rPr>
          <w:spacing w:val="-2"/>
        </w:rPr>
        <w:t xml:space="preserve"> </w:t>
      </w:r>
      <w:r>
        <w:t>for</w:t>
      </w:r>
      <w:r>
        <w:rPr>
          <w:spacing w:val="-2"/>
        </w:rPr>
        <w:t xml:space="preserve"> </w:t>
      </w:r>
      <w:r>
        <w:t>parents,</w:t>
      </w:r>
      <w:r>
        <w:rPr>
          <w:spacing w:val="-3"/>
        </w:rPr>
        <w:t xml:space="preserve"> </w:t>
      </w:r>
      <w:r>
        <w:t>families, and</w:t>
      </w:r>
      <w:r>
        <w:rPr>
          <w:spacing w:val="-2"/>
        </w:rPr>
        <w:t xml:space="preserve"> </w:t>
      </w:r>
      <w:r>
        <w:t>youth.</w:t>
      </w:r>
      <w:r>
        <w:rPr>
          <w:spacing w:val="-2"/>
        </w:rPr>
        <w:t xml:space="preserve"> </w:t>
      </w:r>
      <w:r>
        <w:t>National</w:t>
      </w:r>
      <w:r>
        <w:rPr>
          <w:spacing w:val="-3"/>
        </w:rPr>
        <w:t xml:space="preserve"> </w:t>
      </w:r>
      <w:r>
        <w:t>resources</w:t>
      </w:r>
      <w:r>
        <w:rPr>
          <w:spacing w:val="-1"/>
        </w:rPr>
        <w:t xml:space="preserve"> </w:t>
      </w:r>
      <w:r>
        <w:t>such</w:t>
      </w:r>
      <w:r>
        <w:rPr>
          <w:spacing w:val="-2"/>
        </w:rPr>
        <w:t xml:space="preserve"> </w:t>
      </w:r>
      <w:r>
        <w:t>as</w:t>
      </w:r>
      <w:r>
        <w:rPr>
          <w:spacing w:val="-1"/>
        </w:rPr>
        <w:t xml:space="preserve"> </w:t>
      </w:r>
      <w:r>
        <w:t>the</w:t>
      </w:r>
      <w:r>
        <w:rPr>
          <w:spacing w:val="-2"/>
        </w:rPr>
        <w:t xml:space="preserve"> </w:t>
      </w:r>
      <w:r>
        <w:t>American Library Association’s Rainbow Project Book List served as a model</w:t>
      </w:r>
      <w:hyperlink w:anchor="_bookmark635" w:history="1">
        <w:r>
          <w:t>,</w:t>
        </w:r>
        <w:r>
          <w:rPr>
            <w:vertAlign w:val="superscript"/>
          </w:rPr>
          <w:t>3</w:t>
        </w:r>
      </w:hyperlink>
      <w:r>
        <w:t xml:space="preserve"> while the Commission and MBLC worked to expand this concept to include other resources beyond books that serve the state’s LGBTQ communities</w:t>
      </w:r>
      <w:hyperlink w:anchor="_bookmark636" w:history="1">
        <w:r>
          <w:t>.</w:t>
        </w:r>
        <w:r>
          <w:rPr>
            <w:vertAlign w:val="superscript"/>
          </w:rPr>
          <w:t>4</w:t>
        </w:r>
        <w:r>
          <w:t xml:space="preserve"> </w:t>
        </w:r>
      </w:hyperlink>
      <w:r>
        <w:t>In addition to making the brochure available online, MBLC also shipped hard copies to every public library in the state, in time for Pride Month reading displays. The Commission received positive feedback from members of the pub</w:t>
      </w:r>
      <w:r>
        <w:t>lic looking for such resources for themselves, their families, or their students.</w:t>
      </w:r>
    </w:p>
    <w:p w:rsidR="00C76E6D" w:rsidRDefault="00C76E6D">
      <w:pPr>
        <w:pStyle w:val="BodyText"/>
        <w:spacing w:before="9"/>
        <w:rPr>
          <w:sz w:val="19"/>
        </w:rPr>
      </w:pPr>
    </w:p>
    <w:p w:rsidR="00C76E6D" w:rsidRDefault="00913831">
      <w:pPr>
        <w:pStyle w:val="BodyText"/>
        <w:spacing w:line="276" w:lineRule="auto"/>
        <w:ind w:left="628" w:right="333" w:hanging="2"/>
        <w:jc w:val="both"/>
      </w:pPr>
      <w:r>
        <w:t>Currently, MBLC</w:t>
      </w:r>
      <w:r>
        <w:rPr>
          <w:spacing w:val="-1"/>
        </w:rPr>
        <w:t xml:space="preserve"> </w:t>
      </w:r>
      <w:r>
        <w:t>is</w:t>
      </w:r>
      <w:r>
        <w:rPr>
          <w:spacing w:val="-1"/>
        </w:rPr>
        <w:t xml:space="preserve"> </w:t>
      </w:r>
      <w:r>
        <w:t>assisting</w:t>
      </w:r>
      <w:r>
        <w:rPr>
          <w:spacing w:val="-2"/>
        </w:rPr>
        <w:t xml:space="preserve"> </w:t>
      </w:r>
      <w:r>
        <w:t>the</w:t>
      </w:r>
      <w:r>
        <w:rPr>
          <w:spacing w:val="-2"/>
        </w:rPr>
        <w:t xml:space="preserve"> </w:t>
      </w:r>
      <w:r>
        <w:t>Commission</w:t>
      </w:r>
      <w:r>
        <w:rPr>
          <w:spacing w:val="-2"/>
        </w:rPr>
        <w:t xml:space="preserve"> </w:t>
      </w:r>
      <w:r>
        <w:t>as</w:t>
      </w:r>
      <w:r>
        <w:rPr>
          <w:spacing w:val="-1"/>
        </w:rPr>
        <w:t xml:space="preserve"> </w:t>
      </w:r>
      <w:r>
        <w:t>it</w:t>
      </w:r>
      <w:r>
        <w:rPr>
          <w:spacing w:val="-1"/>
        </w:rPr>
        <w:t xml:space="preserve"> </w:t>
      </w:r>
      <w:r>
        <w:t>authors</w:t>
      </w:r>
      <w:r>
        <w:rPr>
          <w:spacing w:val="-1"/>
        </w:rPr>
        <w:t xml:space="preserve"> </w:t>
      </w:r>
      <w:r>
        <w:t>a</w:t>
      </w:r>
      <w:r>
        <w:rPr>
          <w:spacing w:val="-1"/>
        </w:rPr>
        <w:t xml:space="preserve"> </w:t>
      </w:r>
      <w:r>
        <w:t>more</w:t>
      </w:r>
      <w:r>
        <w:rPr>
          <w:spacing w:val="-1"/>
        </w:rPr>
        <w:t xml:space="preserve"> </w:t>
      </w:r>
      <w:r>
        <w:t>in-depth</w:t>
      </w:r>
      <w:r>
        <w:rPr>
          <w:spacing w:val="-1"/>
        </w:rPr>
        <w:t xml:space="preserve"> </w:t>
      </w:r>
      <w:r>
        <w:t>guide</w:t>
      </w:r>
      <w:r>
        <w:rPr>
          <w:spacing w:val="-2"/>
        </w:rPr>
        <w:t xml:space="preserve"> </w:t>
      </w:r>
      <w:r>
        <w:t>for</w:t>
      </w:r>
      <w:r>
        <w:rPr>
          <w:spacing w:val="-2"/>
        </w:rPr>
        <w:t xml:space="preserve"> </w:t>
      </w:r>
      <w:r>
        <w:t>librarians</w:t>
      </w:r>
      <w:r>
        <w:rPr>
          <w:spacing w:val="-1"/>
        </w:rPr>
        <w:t xml:space="preserve"> </w:t>
      </w:r>
      <w:r>
        <w:t>on</w:t>
      </w:r>
      <w:r>
        <w:rPr>
          <w:spacing w:val="-2"/>
        </w:rPr>
        <w:t xml:space="preserve"> </w:t>
      </w:r>
      <w:r>
        <w:t>LGBTQ- inclusive books and resources. The Commission looks forward to conti</w:t>
      </w:r>
      <w:r>
        <w:t>nuing its collaborative work with MBLC in FY 2023 and creating opportunities to bring Massachusetts libraries together to discuss how best they can support LGBTQ youth.</w:t>
      </w:r>
    </w:p>
    <w:p w:rsidR="00C76E6D" w:rsidRDefault="00C76E6D">
      <w:pPr>
        <w:pStyle w:val="BodyText"/>
        <w:spacing w:before="8"/>
        <w:rPr>
          <w:sz w:val="19"/>
        </w:rPr>
      </w:pPr>
    </w:p>
    <w:p w:rsidR="00C76E6D" w:rsidRDefault="00913831">
      <w:pPr>
        <w:pStyle w:val="BodyText"/>
        <w:spacing w:line="276" w:lineRule="auto"/>
        <w:ind w:left="627" w:right="335"/>
        <w:jc w:val="both"/>
      </w:pPr>
      <w:r>
        <w:t>Since 2021, the Commission and the Gender and Sexuality Alliance (GSA) Leadership Coun</w:t>
      </w:r>
      <w:r>
        <w:t xml:space="preserve">cil partnered with the Department of Elementary and Secondary Education (DESE) for a book club discussion highlighting LGBTQ young adult literature. The Commission hopes to continue partnering with DESE on future book club initiatives and looks forward to </w:t>
      </w:r>
      <w:r>
        <w:t>working with MBLC to explore how to further broaden this collaboration.</w:t>
      </w:r>
    </w:p>
    <w:p w:rsidR="00C76E6D" w:rsidRDefault="00C76E6D">
      <w:pPr>
        <w:pStyle w:val="BodyText"/>
        <w:spacing w:before="3"/>
        <w:rPr>
          <w:sz w:val="25"/>
        </w:rPr>
      </w:pPr>
    </w:p>
    <w:p w:rsidR="00C76E6D" w:rsidRDefault="00913831">
      <w:pPr>
        <w:pStyle w:val="Heading6"/>
        <w:numPr>
          <w:ilvl w:val="0"/>
          <w:numId w:val="3"/>
        </w:numPr>
        <w:tabs>
          <w:tab w:val="left" w:pos="556"/>
        </w:tabs>
        <w:spacing w:line="276" w:lineRule="auto"/>
        <w:ind w:left="338" w:right="519" w:hanging="1"/>
      </w:pPr>
      <w:bookmarkStart w:id="907" w:name="2._Continue_working_with_the_Commission_"/>
      <w:bookmarkEnd w:id="907"/>
      <w:r>
        <w:t>Continue working with the</w:t>
      </w:r>
      <w:r>
        <w:rPr>
          <w:spacing w:val="-1"/>
        </w:rPr>
        <w:t xml:space="preserve"> </w:t>
      </w:r>
      <w:r>
        <w:t>Commission to explore creating programming opportunities, trainings, and resources for librarians on LGBTQ youth issues.</w:t>
      </w:r>
    </w:p>
    <w:p w:rsidR="00C76E6D" w:rsidRDefault="00C76E6D">
      <w:pPr>
        <w:pStyle w:val="BodyText"/>
        <w:spacing w:before="7"/>
        <w:rPr>
          <w:b/>
          <w:sz w:val="19"/>
        </w:rPr>
      </w:pPr>
    </w:p>
    <w:p w:rsidR="00C76E6D" w:rsidRDefault="00913831">
      <w:pPr>
        <w:pStyle w:val="BodyText"/>
        <w:spacing w:line="276" w:lineRule="auto"/>
        <w:ind w:left="627" w:right="335"/>
        <w:jc w:val="both"/>
      </w:pPr>
      <w:r>
        <w:t>The Commission looks forward to exp</w:t>
      </w:r>
      <w:r>
        <w:t>loring new training and programming opportunities with MBLC in FY 2023, particularly as more in-person programs begin to occur once more in library and school</w:t>
      </w:r>
      <w:r>
        <w:rPr>
          <w:spacing w:val="40"/>
        </w:rPr>
        <w:t xml:space="preserve"> </w:t>
      </w:r>
      <w:r>
        <w:t xml:space="preserve">settings. The Commission has previously worked with MBLC staff to conduct LGBTQ youth workshops, </w:t>
      </w:r>
      <w:r>
        <w:t>which received great feedback.</w:t>
      </w:r>
    </w:p>
    <w:p w:rsidR="00C76E6D" w:rsidRDefault="00C76E6D">
      <w:pPr>
        <w:pStyle w:val="BodyText"/>
        <w:rPr>
          <w:sz w:val="20"/>
        </w:rPr>
      </w:pPr>
    </w:p>
    <w:p w:rsidR="00C76E6D" w:rsidRDefault="00913831">
      <w:pPr>
        <w:pStyle w:val="BodyText"/>
        <w:spacing w:before="12"/>
        <w:rPr>
          <w:sz w:val="21"/>
        </w:rPr>
      </w:pPr>
      <w:r>
        <w:pict>
          <v:shape id="docshape464" o:spid="_x0000_s1042" style="position:absolute;margin-left:70.6pt;margin-top:14.6pt;width:470.95pt;height:.1pt;z-index:-15626752;mso-wrap-distance-left:0;mso-wrap-distance-right:0;mso-position-horizontal-relative:page" coordorigin="1412,292" coordsize="9419,0" path="m1412,292r9419,e" filled="f" strokeweight="1.54pt">
            <v:path arrowok="t"/>
            <w10:wrap type="topAndBottom" anchorx="page"/>
          </v:shape>
        </w:pict>
      </w:r>
    </w:p>
    <w:p w:rsidR="00C76E6D" w:rsidRDefault="00C76E6D">
      <w:pPr>
        <w:pStyle w:val="BodyText"/>
        <w:spacing w:before="9"/>
      </w:pPr>
    </w:p>
    <w:p w:rsidR="00C76E6D" w:rsidRDefault="00913831">
      <w:pPr>
        <w:pStyle w:val="Heading6"/>
        <w:spacing w:before="1"/>
        <w:ind w:left="3682" w:right="3683"/>
        <w:jc w:val="center"/>
      </w:pPr>
      <w:r>
        <w:rPr>
          <w:spacing w:val="-2"/>
        </w:rPr>
        <w:t>ENDNOTES</w:t>
      </w:r>
    </w:p>
    <w:p w:rsidR="00C76E6D" w:rsidRDefault="00913831">
      <w:pPr>
        <w:pStyle w:val="BodyText"/>
        <w:spacing w:before="8"/>
        <w:rPr>
          <w:b/>
          <w:sz w:val="25"/>
        </w:rPr>
      </w:pPr>
      <w:r>
        <w:pict>
          <v:shape id="docshape465" o:spid="_x0000_s1041" style="position:absolute;margin-left:70.6pt;margin-top:16.85pt;width:470.95pt;height:.1pt;z-index:-15626240;mso-wrap-distance-left:0;mso-wrap-distance-right:0;mso-position-horizontal-relative:page" coordorigin="1412,337" coordsize="9419,0" path="m1412,337r9419,e" filled="f" strokeweight="1.54pt">
            <v:path arrowok="t"/>
            <w10:wrap type="topAndBottom" anchorx="page"/>
          </v:shape>
        </w:pict>
      </w:r>
    </w:p>
    <w:p w:rsidR="00C76E6D" w:rsidRDefault="00C76E6D">
      <w:pPr>
        <w:pStyle w:val="BodyText"/>
        <w:rPr>
          <w:b/>
        </w:rPr>
      </w:pPr>
    </w:p>
    <w:p w:rsidR="00C76E6D" w:rsidRDefault="00C76E6D">
      <w:pPr>
        <w:pStyle w:val="BodyText"/>
        <w:rPr>
          <w:b/>
        </w:rPr>
      </w:pPr>
    </w:p>
    <w:p w:rsidR="00C76E6D" w:rsidRDefault="00C76E6D">
      <w:pPr>
        <w:pStyle w:val="BodyText"/>
        <w:spacing w:before="8"/>
        <w:rPr>
          <w:b/>
          <w:sz w:val="23"/>
        </w:rPr>
      </w:pPr>
    </w:p>
    <w:p w:rsidR="00C76E6D" w:rsidRDefault="00913831">
      <w:pPr>
        <w:spacing w:before="1"/>
        <w:ind w:left="338" w:right="830"/>
        <w:rPr>
          <w:sz w:val="20"/>
        </w:rPr>
      </w:pPr>
      <w:bookmarkStart w:id="908" w:name="_bookmark633"/>
      <w:bookmarkEnd w:id="908"/>
      <w:r>
        <w:rPr>
          <w:sz w:val="20"/>
          <w:vertAlign w:val="superscript"/>
        </w:rPr>
        <w:t>1</w:t>
      </w:r>
      <w:r>
        <w:rPr>
          <w:sz w:val="20"/>
        </w:rPr>
        <w:t xml:space="preserve"> Hackl, A. (2014). Helping Homeless Youth Stay Connected: LGBT Tech Connect 4 Life Program and Research. </w:t>
      </w:r>
      <w:r>
        <w:rPr>
          <w:spacing w:val="-2"/>
          <w:sz w:val="20"/>
        </w:rPr>
        <w:t xml:space="preserve">Retrieved from </w:t>
      </w:r>
      <w:hyperlink r:id="rId461">
        <w:r>
          <w:rPr>
            <w:spacing w:val="-2"/>
            <w:sz w:val="20"/>
          </w:rPr>
          <w:t>http://lgbttechpartnership.org/wp-content/uploads/2014/08/LGBT-Tech_LGBT-Homeless-Youth-</w:t>
        </w:r>
      </w:hyperlink>
      <w:r>
        <w:rPr>
          <w:spacing w:val="-2"/>
          <w:sz w:val="20"/>
        </w:rPr>
        <w:t xml:space="preserve"> Connect-4-Life-Program-and-Research-2014.pdf.</w:t>
      </w:r>
    </w:p>
    <w:p w:rsidR="00C76E6D" w:rsidRDefault="00913831">
      <w:pPr>
        <w:ind w:left="339" w:right="530" w:hanging="1"/>
        <w:rPr>
          <w:sz w:val="20"/>
        </w:rPr>
      </w:pPr>
      <w:bookmarkStart w:id="909" w:name="_bookmark634"/>
      <w:bookmarkEnd w:id="909"/>
      <w:r>
        <w:rPr>
          <w:sz w:val="20"/>
          <w:vertAlign w:val="superscript"/>
        </w:rPr>
        <w:t>2</w:t>
      </w:r>
      <w:r>
        <w:rPr>
          <w:spacing w:val="-5"/>
          <w:sz w:val="20"/>
        </w:rPr>
        <w:t xml:space="preserve"> </w:t>
      </w:r>
      <w:r>
        <w:rPr>
          <w:sz w:val="20"/>
        </w:rPr>
        <w:t>American</w:t>
      </w:r>
      <w:r>
        <w:rPr>
          <w:spacing w:val="-5"/>
          <w:sz w:val="20"/>
        </w:rPr>
        <w:t xml:space="preserve"> </w:t>
      </w:r>
      <w:r>
        <w:rPr>
          <w:sz w:val="20"/>
        </w:rPr>
        <w:t>Libr</w:t>
      </w:r>
      <w:r>
        <w:rPr>
          <w:sz w:val="20"/>
        </w:rPr>
        <w:t>ary</w:t>
      </w:r>
      <w:r>
        <w:rPr>
          <w:spacing w:val="-6"/>
          <w:sz w:val="20"/>
        </w:rPr>
        <w:t xml:space="preserve"> </w:t>
      </w:r>
      <w:r>
        <w:rPr>
          <w:sz w:val="20"/>
        </w:rPr>
        <w:t>Association.</w:t>
      </w:r>
      <w:r>
        <w:rPr>
          <w:spacing w:val="-5"/>
          <w:sz w:val="20"/>
        </w:rPr>
        <w:t xml:space="preserve"> </w:t>
      </w:r>
      <w:r>
        <w:rPr>
          <w:sz w:val="20"/>
        </w:rPr>
        <w:t>(2012).</w:t>
      </w:r>
      <w:r>
        <w:rPr>
          <w:spacing w:val="-8"/>
          <w:sz w:val="20"/>
        </w:rPr>
        <w:t xml:space="preserve"> </w:t>
      </w:r>
      <w:r>
        <w:rPr>
          <w:sz w:val="20"/>
        </w:rPr>
        <w:t>Extending</w:t>
      </w:r>
      <w:r>
        <w:rPr>
          <w:spacing w:val="-6"/>
          <w:sz w:val="20"/>
        </w:rPr>
        <w:t xml:space="preserve"> </w:t>
      </w:r>
      <w:r>
        <w:rPr>
          <w:sz w:val="20"/>
        </w:rPr>
        <w:t>Our</w:t>
      </w:r>
      <w:r>
        <w:rPr>
          <w:spacing w:val="-8"/>
          <w:sz w:val="20"/>
        </w:rPr>
        <w:t xml:space="preserve"> </w:t>
      </w:r>
      <w:r>
        <w:rPr>
          <w:sz w:val="20"/>
        </w:rPr>
        <w:t>Reach:</w:t>
      </w:r>
      <w:r>
        <w:rPr>
          <w:spacing w:val="-7"/>
          <w:sz w:val="20"/>
        </w:rPr>
        <w:t xml:space="preserve"> </w:t>
      </w:r>
      <w:r>
        <w:rPr>
          <w:sz w:val="20"/>
        </w:rPr>
        <w:t>Reducing</w:t>
      </w:r>
      <w:r>
        <w:rPr>
          <w:spacing w:val="-6"/>
          <w:sz w:val="20"/>
        </w:rPr>
        <w:t xml:space="preserve"> </w:t>
      </w:r>
      <w:r>
        <w:rPr>
          <w:sz w:val="20"/>
        </w:rPr>
        <w:t>Homelessness</w:t>
      </w:r>
      <w:r>
        <w:rPr>
          <w:spacing w:val="-6"/>
          <w:sz w:val="20"/>
        </w:rPr>
        <w:t xml:space="preserve"> </w:t>
      </w:r>
      <w:r>
        <w:rPr>
          <w:sz w:val="20"/>
        </w:rPr>
        <w:t>Through</w:t>
      </w:r>
      <w:r>
        <w:rPr>
          <w:spacing w:val="-5"/>
          <w:sz w:val="20"/>
        </w:rPr>
        <w:t xml:space="preserve"> </w:t>
      </w:r>
      <w:r>
        <w:rPr>
          <w:sz w:val="20"/>
        </w:rPr>
        <w:t>Library</w:t>
      </w:r>
      <w:r>
        <w:rPr>
          <w:spacing w:val="-7"/>
          <w:sz w:val="20"/>
        </w:rPr>
        <w:t xml:space="preserve"> </w:t>
      </w:r>
      <w:r>
        <w:rPr>
          <w:sz w:val="20"/>
        </w:rPr>
        <w:t xml:space="preserve">Engagement. </w:t>
      </w:r>
      <w:r>
        <w:rPr>
          <w:spacing w:val="-2"/>
          <w:sz w:val="20"/>
        </w:rPr>
        <w:t>Retrieved</w:t>
      </w:r>
      <w:r>
        <w:rPr>
          <w:spacing w:val="40"/>
          <w:sz w:val="20"/>
        </w:rPr>
        <w:t xml:space="preserve"> </w:t>
      </w:r>
      <w:r>
        <w:rPr>
          <w:spacing w:val="-2"/>
          <w:sz w:val="20"/>
        </w:rPr>
        <w:t>from</w:t>
      </w:r>
      <w:r>
        <w:rPr>
          <w:spacing w:val="40"/>
          <w:sz w:val="20"/>
        </w:rPr>
        <w:t xml:space="preserve"> </w:t>
      </w:r>
      <w:hyperlink r:id="rId462">
        <w:r>
          <w:rPr>
            <w:spacing w:val="-2"/>
            <w:sz w:val="20"/>
          </w:rPr>
          <w:t>http://www.ala.org/aboutala/offices/extending-o</w:t>
        </w:r>
        <w:r>
          <w:rPr>
            <w:spacing w:val="-2"/>
            <w:sz w:val="20"/>
          </w:rPr>
          <w:t>ur-reach-reducing-homelessness-</w:t>
        </w:r>
      </w:hyperlink>
      <w:r>
        <w:rPr>
          <w:spacing w:val="40"/>
          <w:sz w:val="20"/>
        </w:rPr>
        <w:t xml:space="preserve"> </w:t>
      </w:r>
      <w:r>
        <w:rPr>
          <w:spacing w:val="-2"/>
          <w:sz w:val="20"/>
        </w:rPr>
        <w:t>through-library-</w:t>
      </w:r>
    </w:p>
    <w:p w:rsidR="00C76E6D" w:rsidRDefault="00C76E6D">
      <w:pPr>
        <w:rPr>
          <w:sz w:val="20"/>
        </w:rPr>
        <w:sectPr w:rsidR="00C76E6D">
          <w:pgSz w:w="12240" w:h="15840"/>
          <w:pgMar w:top="1000" w:right="960" w:bottom="720" w:left="960" w:header="811" w:footer="531" w:gutter="0"/>
          <w:cols w:space="720"/>
        </w:sectPr>
      </w:pPr>
    </w:p>
    <w:p w:rsidR="00C76E6D" w:rsidRDefault="00C76E6D">
      <w:pPr>
        <w:pStyle w:val="BodyText"/>
        <w:rPr>
          <w:sz w:val="20"/>
        </w:rPr>
      </w:pPr>
    </w:p>
    <w:p w:rsidR="00C76E6D" w:rsidRDefault="00C76E6D">
      <w:pPr>
        <w:pStyle w:val="BodyText"/>
        <w:spacing w:before="1"/>
        <w:rPr>
          <w:sz w:val="27"/>
        </w:rPr>
      </w:pPr>
    </w:p>
    <w:p w:rsidR="00C76E6D" w:rsidRDefault="00913831">
      <w:pPr>
        <w:spacing w:before="60"/>
        <w:ind w:left="338"/>
        <w:rPr>
          <w:sz w:val="20"/>
        </w:rPr>
      </w:pPr>
      <w:r>
        <w:rPr>
          <w:spacing w:val="-4"/>
          <w:sz w:val="20"/>
        </w:rPr>
        <w:t>engagement-</w:t>
      </w:r>
      <w:r>
        <w:rPr>
          <w:spacing w:val="-5"/>
          <w:sz w:val="20"/>
        </w:rPr>
        <w:t>7.</w:t>
      </w:r>
    </w:p>
    <w:p w:rsidR="00C76E6D" w:rsidRDefault="00913831">
      <w:pPr>
        <w:spacing w:before="2"/>
        <w:ind w:left="338" w:right="3551" w:hanging="1"/>
        <w:rPr>
          <w:sz w:val="20"/>
        </w:rPr>
      </w:pPr>
      <w:bookmarkStart w:id="910" w:name="_bookmark635"/>
      <w:bookmarkEnd w:id="910"/>
      <w:r>
        <w:rPr>
          <w:sz w:val="20"/>
          <w:vertAlign w:val="superscript"/>
        </w:rPr>
        <w:t>3</w:t>
      </w:r>
      <w:r>
        <w:rPr>
          <w:spacing w:val="-7"/>
          <w:sz w:val="20"/>
        </w:rPr>
        <w:t xml:space="preserve"> </w:t>
      </w:r>
      <w:r>
        <w:rPr>
          <w:sz w:val="20"/>
        </w:rPr>
        <w:t>American</w:t>
      </w:r>
      <w:r>
        <w:rPr>
          <w:spacing w:val="-9"/>
          <w:sz w:val="20"/>
        </w:rPr>
        <w:t xml:space="preserve"> </w:t>
      </w:r>
      <w:r>
        <w:rPr>
          <w:sz w:val="20"/>
        </w:rPr>
        <w:t>Library</w:t>
      </w:r>
      <w:r>
        <w:rPr>
          <w:spacing w:val="-10"/>
          <w:sz w:val="20"/>
        </w:rPr>
        <w:t xml:space="preserve"> </w:t>
      </w:r>
      <w:r>
        <w:rPr>
          <w:sz w:val="20"/>
        </w:rPr>
        <w:t>Association.</w:t>
      </w:r>
      <w:r>
        <w:rPr>
          <w:spacing w:val="-7"/>
          <w:sz w:val="20"/>
        </w:rPr>
        <w:t xml:space="preserve"> </w:t>
      </w:r>
      <w:r>
        <w:rPr>
          <w:sz w:val="20"/>
        </w:rPr>
        <w:t>(n.d.)</w:t>
      </w:r>
      <w:r>
        <w:rPr>
          <w:spacing w:val="-10"/>
          <w:sz w:val="20"/>
        </w:rPr>
        <w:t xml:space="preserve"> </w:t>
      </w:r>
      <w:r>
        <w:rPr>
          <w:sz w:val="20"/>
        </w:rPr>
        <w:t>Rainbow</w:t>
      </w:r>
      <w:r>
        <w:rPr>
          <w:spacing w:val="-9"/>
          <w:sz w:val="20"/>
        </w:rPr>
        <w:t xml:space="preserve"> </w:t>
      </w:r>
      <w:r>
        <w:rPr>
          <w:sz w:val="20"/>
        </w:rPr>
        <w:t>Project</w:t>
      </w:r>
      <w:r>
        <w:rPr>
          <w:spacing w:val="-10"/>
          <w:sz w:val="20"/>
        </w:rPr>
        <w:t xml:space="preserve"> </w:t>
      </w:r>
      <w:r>
        <w:rPr>
          <w:sz w:val="20"/>
        </w:rPr>
        <w:t>Book</w:t>
      </w:r>
      <w:r>
        <w:rPr>
          <w:spacing w:val="-7"/>
          <w:sz w:val="20"/>
        </w:rPr>
        <w:t xml:space="preserve"> </w:t>
      </w:r>
      <w:r>
        <w:rPr>
          <w:sz w:val="20"/>
        </w:rPr>
        <w:t>List.</w:t>
      </w:r>
      <w:r>
        <w:rPr>
          <w:spacing w:val="-9"/>
          <w:sz w:val="20"/>
        </w:rPr>
        <w:t xml:space="preserve"> </w:t>
      </w:r>
      <w:r>
        <w:rPr>
          <w:sz w:val="20"/>
        </w:rPr>
        <w:t>Retrieved</w:t>
      </w:r>
      <w:r>
        <w:rPr>
          <w:spacing w:val="-7"/>
          <w:sz w:val="20"/>
        </w:rPr>
        <w:t xml:space="preserve"> </w:t>
      </w:r>
      <w:r>
        <w:rPr>
          <w:sz w:val="20"/>
        </w:rPr>
        <w:t xml:space="preserve">from </w:t>
      </w:r>
      <w:hyperlink r:id="rId463">
        <w:r>
          <w:rPr>
            <w:spacing w:val="-2"/>
            <w:sz w:val="20"/>
          </w:rPr>
          <w:t>http://www.ala.org/awardsgrants/rainbow-project-book-list.</w:t>
        </w:r>
      </w:hyperlink>
    </w:p>
    <w:p w:rsidR="00C76E6D" w:rsidRDefault="00913831">
      <w:pPr>
        <w:ind w:left="339" w:right="1230" w:hanging="1"/>
        <w:rPr>
          <w:sz w:val="20"/>
        </w:rPr>
      </w:pPr>
      <w:bookmarkStart w:id="911" w:name="_bookmark636"/>
      <w:bookmarkEnd w:id="911"/>
      <w:r>
        <w:rPr>
          <w:sz w:val="20"/>
          <w:vertAlign w:val="superscript"/>
        </w:rPr>
        <w:t>4</w:t>
      </w:r>
      <w:r>
        <w:rPr>
          <w:spacing w:val="-5"/>
          <w:sz w:val="20"/>
        </w:rPr>
        <w:t xml:space="preserve"> </w:t>
      </w:r>
      <w:r>
        <w:rPr>
          <w:sz w:val="20"/>
        </w:rPr>
        <w:t>“A</w:t>
      </w:r>
      <w:r>
        <w:rPr>
          <w:spacing w:val="-6"/>
          <w:sz w:val="20"/>
        </w:rPr>
        <w:t xml:space="preserve"> </w:t>
      </w:r>
      <w:r>
        <w:rPr>
          <w:sz w:val="20"/>
        </w:rPr>
        <w:t>Selection</w:t>
      </w:r>
      <w:r>
        <w:rPr>
          <w:spacing w:val="-6"/>
          <w:sz w:val="20"/>
        </w:rPr>
        <w:t xml:space="preserve"> </w:t>
      </w:r>
      <w:r>
        <w:rPr>
          <w:sz w:val="20"/>
        </w:rPr>
        <w:t>of</w:t>
      </w:r>
      <w:r>
        <w:rPr>
          <w:spacing w:val="-5"/>
          <w:sz w:val="20"/>
        </w:rPr>
        <w:t xml:space="preserve"> </w:t>
      </w:r>
      <w:r>
        <w:rPr>
          <w:sz w:val="20"/>
        </w:rPr>
        <w:t>LGBTQ</w:t>
      </w:r>
      <w:r>
        <w:rPr>
          <w:spacing w:val="-7"/>
          <w:sz w:val="20"/>
        </w:rPr>
        <w:t xml:space="preserve"> </w:t>
      </w:r>
      <w:r>
        <w:rPr>
          <w:sz w:val="20"/>
        </w:rPr>
        <w:t>Books</w:t>
      </w:r>
      <w:r>
        <w:rPr>
          <w:spacing w:val="-7"/>
          <w:sz w:val="20"/>
        </w:rPr>
        <w:t xml:space="preserve"> </w:t>
      </w:r>
      <w:r>
        <w:rPr>
          <w:sz w:val="20"/>
        </w:rPr>
        <w:t>and</w:t>
      </w:r>
      <w:r>
        <w:rPr>
          <w:spacing w:val="-6"/>
          <w:sz w:val="20"/>
        </w:rPr>
        <w:t xml:space="preserve"> </w:t>
      </w:r>
      <w:r>
        <w:rPr>
          <w:sz w:val="20"/>
        </w:rPr>
        <w:t>Resources.”</w:t>
      </w:r>
      <w:r>
        <w:rPr>
          <w:spacing w:val="-5"/>
          <w:sz w:val="20"/>
        </w:rPr>
        <w:t xml:space="preserve"> </w:t>
      </w:r>
      <w:r>
        <w:rPr>
          <w:sz w:val="20"/>
        </w:rPr>
        <w:t>Massachusetts</w:t>
      </w:r>
      <w:r>
        <w:rPr>
          <w:spacing w:val="-6"/>
          <w:sz w:val="20"/>
        </w:rPr>
        <w:t xml:space="preserve"> </w:t>
      </w:r>
      <w:r>
        <w:rPr>
          <w:sz w:val="20"/>
        </w:rPr>
        <w:t>Commission</w:t>
      </w:r>
      <w:r>
        <w:rPr>
          <w:spacing w:val="-5"/>
          <w:sz w:val="20"/>
        </w:rPr>
        <w:t xml:space="preserve"> </w:t>
      </w:r>
      <w:r>
        <w:rPr>
          <w:sz w:val="20"/>
        </w:rPr>
        <w:t>on</w:t>
      </w:r>
      <w:r>
        <w:rPr>
          <w:spacing w:val="-6"/>
          <w:sz w:val="20"/>
        </w:rPr>
        <w:t xml:space="preserve"> </w:t>
      </w:r>
      <w:r>
        <w:rPr>
          <w:sz w:val="20"/>
        </w:rPr>
        <w:t>LGBTQ</w:t>
      </w:r>
      <w:r>
        <w:rPr>
          <w:spacing w:val="-7"/>
          <w:sz w:val="20"/>
        </w:rPr>
        <w:t xml:space="preserve"> </w:t>
      </w:r>
      <w:r>
        <w:rPr>
          <w:sz w:val="20"/>
        </w:rPr>
        <w:t>Youth.</w:t>
      </w:r>
      <w:r>
        <w:rPr>
          <w:spacing w:val="-8"/>
          <w:sz w:val="20"/>
        </w:rPr>
        <w:t xml:space="preserve"> </w:t>
      </w:r>
      <w:r>
        <w:rPr>
          <w:sz w:val="20"/>
        </w:rPr>
        <w:t>Retrieved</w:t>
      </w:r>
      <w:r>
        <w:rPr>
          <w:spacing w:val="-6"/>
          <w:sz w:val="20"/>
        </w:rPr>
        <w:t xml:space="preserve"> </w:t>
      </w:r>
      <w:r>
        <w:rPr>
          <w:sz w:val="20"/>
        </w:rPr>
        <w:t xml:space="preserve">from </w:t>
      </w:r>
      <w:r>
        <w:rPr>
          <w:spacing w:val="-2"/>
          <w:sz w:val="20"/>
        </w:rPr>
        <w:t>https://</w:t>
      </w:r>
      <w:hyperlink r:id="rId464">
        <w:r>
          <w:rPr>
            <w:spacing w:val="-2"/>
            <w:sz w:val="20"/>
          </w:rPr>
          <w:t>www.mass.gov/d</w:t>
        </w:r>
        <w:r>
          <w:rPr>
            <w:spacing w:val="-2"/>
            <w:sz w:val="20"/>
          </w:rPr>
          <w:t>oc/lgbtq-books-brochure/download.</w:t>
        </w:r>
      </w:hyperlink>
    </w:p>
    <w:p w:rsidR="00C76E6D" w:rsidRDefault="00C76E6D">
      <w:pPr>
        <w:rPr>
          <w:sz w:val="20"/>
        </w:rPr>
        <w:sectPr w:rsidR="00C76E6D">
          <w:pgSz w:w="12240" w:h="15840"/>
          <w:pgMar w:top="1000" w:right="960" w:bottom="720" w:left="960" w:header="811" w:footer="531" w:gutter="0"/>
          <w:cols w:space="720"/>
        </w:sectPr>
      </w:pPr>
    </w:p>
    <w:p w:rsidR="00C76E6D" w:rsidRDefault="00C76E6D">
      <w:pPr>
        <w:pStyle w:val="BodyText"/>
        <w:spacing w:before="3"/>
        <w:rPr>
          <w:sz w:val="24"/>
        </w:rPr>
      </w:pPr>
    </w:p>
    <w:p w:rsidR="00C76E6D" w:rsidRDefault="00913831">
      <w:pPr>
        <w:pStyle w:val="Heading2"/>
        <w:spacing w:before="35"/>
      </w:pPr>
      <w:bookmarkStart w:id="912" w:name="Department_of_Housing_and_Community_Deve"/>
      <w:bookmarkStart w:id="913" w:name="_bookmark637"/>
      <w:bookmarkEnd w:id="912"/>
      <w:bookmarkEnd w:id="913"/>
      <w:r>
        <w:t>Department</w:t>
      </w:r>
      <w:r>
        <w:rPr>
          <w:spacing w:val="-12"/>
        </w:rPr>
        <w:t xml:space="preserve"> </w:t>
      </w:r>
      <w:r>
        <w:t>of</w:t>
      </w:r>
      <w:r>
        <w:rPr>
          <w:spacing w:val="-10"/>
        </w:rPr>
        <w:t xml:space="preserve"> </w:t>
      </w:r>
      <w:r>
        <w:t>Housing</w:t>
      </w:r>
      <w:r>
        <w:rPr>
          <w:spacing w:val="-7"/>
        </w:rPr>
        <w:t xml:space="preserve"> </w:t>
      </w:r>
      <w:r>
        <w:t>and</w:t>
      </w:r>
      <w:r>
        <w:rPr>
          <w:spacing w:val="-10"/>
        </w:rPr>
        <w:t xml:space="preserve"> </w:t>
      </w:r>
      <w:r>
        <w:t>Community</w:t>
      </w:r>
      <w:r>
        <w:rPr>
          <w:spacing w:val="-8"/>
        </w:rPr>
        <w:t xml:space="preserve"> </w:t>
      </w:r>
      <w:r>
        <w:rPr>
          <w:spacing w:val="-2"/>
        </w:rPr>
        <w:t>Development</w:t>
      </w:r>
    </w:p>
    <w:p w:rsidR="00C76E6D" w:rsidRDefault="00913831">
      <w:pPr>
        <w:pStyle w:val="BodyText"/>
        <w:rPr>
          <w:b/>
          <w:sz w:val="12"/>
        </w:rPr>
      </w:pPr>
      <w:r>
        <w:pict>
          <v:shape id="docshape469" o:spid="_x0000_s1040" style="position:absolute;margin-left:65pt;margin-top:8.55pt;width:476.95pt;height:.1pt;z-index:-15625728;mso-wrap-distance-left:0;mso-wrap-distance-right:0;mso-position-horizontal-relative:page" coordorigin="1300,171" coordsize="9539,0" path="m1300,171r9539,e" filled="f" strokeweight="1.54pt">
            <v:path arrowok="t"/>
            <w10:wrap type="topAndBottom" anchorx="page"/>
          </v:shape>
        </w:pict>
      </w:r>
    </w:p>
    <w:p w:rsidR="00C76E6D" w:rsidRDefault="00913831">
      <w:pPr>
        <w:pStyle w:val="Heading5"/>
        <w:spacing w:before="182"/>
      </w:pPr>
      <w:r>
        <w:rPr>
          <w:spacing w:val="-2"/>
        </w:rPr>
        <w:t>FY2023</w:t>
      </w:r>
      <w:r>
        <w:rPr>
          <w:spacing w:val="-4"/>
        </w:rPr>
        <w:t xml:space="preserve"> </w:t>
      </w:r>
      <w:r>
        <w:rPr>
          <w:spacing w:val="-2"/>
        </w:rPr>
        <w:t>Recommendations</w:t>
      </w:r>
    </w:p>
    <w:p w:rsidR="00C76E6D" w:rsidRDefault="00C76E6D">
      <w:pPr>
        <w:pStyle w:val="BodyText"/>
        <w:spacing w:before="11"/>
        <w:rPr>
          <w:b/>
          <w:sz w:val="28"/>
        </w:rPr>
      </w:pPr>
    </w:p>
    <w:p w:rsidR="00C76E6D" w:rsidRDefault="00913831">
      <w:pPr>
        <w:pStyle w:val="ListParagraph"/>
        <w:numPr>
          <w:ilvl w:val="1"/>
          <w:numId w:val="3"/>
        </w:numPr>
        <w:tabs>
          <w:tab w:val="left" w:pos="849"/>
        </w:tabs>
        <w:spacing w:line="276" w:lineRule="auto"/>
        <w:ind w:right="396" w:hanging="1"/>
      </w:pPr>
      <w:r>
        <w:t>Continue</w:t>
      </w:r>
      <w:r>
        <w:rPr>
          <w:spacing w:val="-3"/>
        </w:rPr>
        <w:t xml:space="preserve"> </w:t>
      </w:r>
      <w:r>
        <w:t>to</w:t>
      </w:r>
      <w:r>
        <w:rPr>
          <w:spacing w:val="-2"/>
        </w:rPr>
        <w:t xml:space="preserve"> </w:t>
      </w:r>
      <w:r>
        <w:t>work</w:t>
      </w:r>
      <w:r>
        <w:rPr>
          <w:spacing w:val="-5"/>
        </w:rPr>
        <w:t xml:space="preserve"> </w:t>
      </w:r>
      <w:r>
        <w:t>with</w:t>
      </w:r>
      <w:r>
        <w:rPr>
          <w:spacing w:val="-3"/>
        </w:rPr>
        <w:t xml:space="preserve"> </w:t>
      </w:r>
      <w:r>
        <w:t>the</w:t>
      </w:r>
      <w:r>
        <w:rPr>
          <w:spacing w:val="-5"/>
        </w:rPr>
        <w:t xml:space="preserve"> </w:t>
      </w:r>
      <w:r>
        <w:t>Interagency</w:t>
      </w:r>
      <w:r>
        <w:rPr>
          <w:spacing w:val="-3"/>
        </w:rPr>
        <w:t xml:space="preserve"> </w:t>
      </w:r>
      <w:r>
        <w:t>Council</w:t>
      </w:r>
      <w:r>
        <w:rPr>
          <w:spacing w:val="-4"/>
        </w:rPr>
        <w:t xml:space="preserve"> </w:t>
      </w:r>
      <w:r>
        <w:t>on</w:t>
      </w:r>
      <w:r>
        <w:rPr>
          <w:spacing w:val="-4"/>
        </w:rPr>
        <w:t xml:space="preserve"> </w:t>
      </w:r>
      <w:r>
        <w:t>Housing</w:t>
      </w:r>
      <w:r>
        <w:rPr>
          <w:spacing w:val="-4"/>
        </w:rPr>
        <w:t xml:space="preserve"> </w:t>
      </w:r>
      <w:r>
        <w:t>and</w:t>
      </w:r>
      <w:r>
        <w:rPr>
          <w:spacing w:val="-3"/>
        </w:rPr>
        <w:t xml:space="preserve"> </w:t>
      </w:r>
      <w:r>
        <w:t>Homelessness</w:t>
      </w:r>
      <w:r>
        <w:rPr>
          <w:spacing w:val="-4"/>
        </w:rPr>
        <w:t xml:space="preserve"> </w:t>
      </w:r>
      <w:r>
        <w:t>and</w:t>
      </w:r>
      <w:r>
        <w:rPr>
          <w:spacing w:val="-4"/>
        </w:rPr>
        <w:t xml:space="preserve"> </w:t>
      </w:r>
      <w:r>
        <w:t>the</w:t>
      </w:r>
      <w:r>
        <w:rPr>
          <w:spacing w:val="-4"/>
        </w:rPr>
        <w:t xml:space="preserve"> </w:t>
      </w:r>
      <w:r>
        <w:t>Commission</w:t>
      </w:r>
      <w:r>
        <w:rPr>
          <w:spacing w:val="-6"/>
        </w:rPr>
        <w:t xml:space="preserve"> </w:t>
      </w:r>
      <w:r>
        <w:t>on Unaccompanied Homeless Youth to address the needs of LGBTQ youth.</w:t>
      </w:r>
    </w:p>
    <w:p w:rsidR="00C76E6D" w:rsidRDefault="00C76E6D">
      <w:pPr>
        <w:pStyle w:val="BodyText"/>
        <w:spacing w:before="4"/>
        <w:rPr>
          <w:sz w:val="25"/>
        </w:rPr>
      </w:pPr>
    </w:p>
    <w:p w:rsidR="00C76E6D" w:rsidRDefault="00913831">
      <w:pPr>
        <w:pStyle w:val="ListParagraph"/>
        <w:numPr>
          <w:ilvl w:val="1"/>
          <w:numId w:val="3"/>
        </w:numPr>
        <w:tabs>
          <w:tab w:val="left" w:pos="846"/>
        </w:tabs>
        <w:spacing w:line="276" w:lineRule="auto"/>
        <w:ind w:right="756" w:hanging="1"/>
      </w:pPr>
      <w:r>
        <w:t>Provide</w:t>
      </w:r>
      <w:r>
        <w:rPr>
          <w:spacing w:val="-5"/>
        </w:rPr>
        <w:t xml:space="preserve"> </w:t>
      </w:r>
      <w:r>
        <w:t>LGBTQ</w:t>
      </w:r>
      <w:r>
        <w:rPr>
          <w:spacing w:val="-4"/>
        </w:rPr>
        <w:t xml:space="preserve"> </w:t>
      </w:r>
      <w:r>
        <w:t>cultural</w:t>
      </w:r>
      <w:r>
        <w:rPr>
          <w:spacing w:val="-4"/>
        </w:rPr>
        <w:t xml:space="preserve"> </w:t>
      </w:r>
      <w:r>
        <w:t>humility</w:t>
      </w:r>
      <w:r>
        <w:rPr>
          <w:spacing w:val="-3"/>
        </w:rPr>
        <w:t xml:space="preserve"> </w:t>
      </w:r>
      <w:r>
        <w:t>training</w:t>
      </w:r>
      <w:r>
        <w:rPr>
          <w:spacing w:val="-5"/>
        </w:rPr>
        <w:t xml:space="preserve"> </w:t>
      </w:r>
      <w:r>
        <w:t>to</w:t>
      </w:r>
      <w:r>
        <w:rPr>
          <w:spacing w:val="-3"/>
        </w:rPr>
        <w:t xml:space="preserve"> </w:t>
      </w:r>
      <w:r>
        <w:t>staff</w:t>
      </w:r>
      <w:r>
        <w:rPr>
          <w:spacing w:val="-4"/>
        </w:rPr>
        <w:t xml:space="preserve"> </w:t>
      </w:r>
      <w:r>
        <w:t>and</w:t>
      </w:r>
      <w:r>
        <w:rPr>
          <w:spacing w:val="-4"/>
        </w:rPr>
        <w:t xml:space="preserve"> </w:t>
      </w:r>
      <w:r>
        <w:t>providers</w:t>
      </w:r>
      <w:r>
        <w:rPr>
          <w:spacing w:val="-4"/>
        </w:rPr>
        <w:t xml:space="preserve"> </w:t>
      </w:r>
      <w:r>
        <w:t>to</w:t>
      </w:r>
      <w:r>
        <w:rPr>
          <w:spacing w:val="-4"/>
        </w:rPr>
        <w:t xml:space="preserve"> </w:t>
      </w:r>
      <w:r>
        <w:t>improve</w:t>
      </w:r>
      <w:r>
        <w:rPr>
          <w:spacing w:val="-6"/>
        </w:rPr>
        <w:t xml:space="preserve"> </w:t>
      </w:r>
      <w:r>
        <w:t>access</w:t>
      </w:r>
      <w:r>
        <w:rPr>
          <w:spacing w:val="-4"/>
        </w:rPr>
        <w:t xml:space="preserve"> </w:t>
      </w:r>
      <w:r>
        <w:t>to</w:t>
      </w:r>
      <w:r>
        <w:rPr>
          <w:spacing w:val="-4"/>
        </w:rPr>
        <w:t xml:space="preserve"> </w:t>
      </w:r>
      <w:r>
        <w:t>and</w:t>
      </w:r>
      <w:r>
        <w:rPr>
          <w:spacing w:val="-4"/>
        </w:rPr>
        <w:t xml:space="preserve"> </w:t>
      </w:r>
      <w:r>
        <w:t>quality</w:t>
      </w:r>
      <w:r>
        <w:rPr>
          <w:spacing w:val="-4"/>
        </w:rPr>
        <w:t xml:space="preserve"> </w:t>
      </w:r>
      <w:r>
        <w:t>of shelter and housing for LGBTQ youth.</w:t>
      </w:r>
    </w:p>
    <w:p w:rsidR="00C76E6D" w:rsidRDefault="00C76E6D">
      <w:pPr>
        <w:pStyle w:val="BodyText"/>
        <w:spacing w:before="3"/>
        <w:rPr>
          <w:sz w:val="25"/>
        </w:rPr>
      </w:pPr>
    </w:p>
    <w:p w:rsidR="00C76E6D" w:rsidRDefault="00913831">
      <w:pPr>
        <w:pStyle w:val="ListParagraph"/>
        <w:numPr>
          <w:ilvl w:val="1"/>
          <w:numId w:val="3"/>
        </w:numPr>
        <w:tabs>
          <w:tab w:val="left" w:pos="842"/>
        </w:tabs>
        <w:spacing w:before="1" w:line="276" w:lineRule="auto"/>
        <w:ind w:right="392" w:hanging="1"/>
      </w:pPr>
      <w:r>
        <w:t>Finalize,</w:t>
      </w:r>
      <w:r>
        <w:rPr>
          <w:spacing w:val="-9"/>
        </w:rPr>
        <w:t xml:space="preserve"> </w:t>
      </w:r>
      <w:r>
        <w:t>adopt,</w:t>
      </w:r>
      <w:r>
        <w:rPr>
          <w:spacing w:val="-9"/>
        </w:rPr>
        <w:t xml:space="preserve"> </w:t>
      </w:r>
      <w:r>
        <w:t>and</w:t>
      </w:r>
      <w:r>
        <w:rPr>
          <w:spacing w:val="-9"/>
        </w:rPr>
        <w:t xml:space="preserve"> </w:t>
      </w:r>
      <w:r>
        <w:t>distribute</w:t>
      </w:r>
      <w:r>
        <w:rPr>
          <w:spacing w:val="-9"/>
        </w:rPr>
        <w:t xml:space="preserve"> </w:t>
      </w:r>
      <w:r>
        <w:t>a</w:t>
      </w:r>
      <w:r>
        <w:rPr>
          <w:spacing w:val="-8"/>
        </w:rPr>
        <w:t xml:space="preserve"> </w:t>
      </w:r>
      <w:r>
        <w:t>policy</w:t>
      </w:r>
      <w:r>
        <w:rPr>
          <w:spacing w:val="-9"/>
        </w:rPr>
        <w:t xml:space="preserve"> </w:t>
      </w:r>
      <w:r>
        <w:t>and</w:t>
      </w:r>
      <w:r>
        <w:rPr>
          <w:spacing w:val="-9"/>
        </w:rPr>
        <w:t xml:space="preserve"> </w:t>
      </w:r>
      <w:r>
        <w:t>guidance</w:t>
      </w:r>
      <w:r>
        <w:rPr>
          <w:spacing w:val="-9"/>
        </w:rPr>
        <w:t xml:space="preserve"> </w:t>
      </w:r>
      <w:r>
        <w:t>to</w:t>
      </w:r>
      <w:r>
        <w:rPr>
          <w:spacing w:val="-9"/>
        </w:rPr>
        <w:t xml:space="preserve"> </w:t>
      </w:r>
      <w:r>
        <w:t>promote</w:t>
      </w:r>
      <w:r>
        <w:rPr>
          <w:spacing w:val="-8"/>
        </w:rPr>
        <w:t xml:space="preserve"> </w:t>
      </w:r>
      <w:r>
        <w:t>the</w:t>
      </w:r>
      <w:r>
        <w:rPr>
          <w:spacing w:val="-9"/>
        </w:rPr>
        <w:t xml:space="preserve"> </w:t>
      </w:r>
      <w:r>
        <w:t>safety</w:t>
      </w:r>
      <w:r>
        <w:rPr>
          <w:spacing w:val="-9"/>
        </w:rPr>
        <w:t xml:space="preserve"> </w:t>
      </w:r>
      <w:r>
        <w:t>and</w:t>
      </w:r>
      <w:r>
        <w:rPr>
          <w:spacing w:val="-9"/>
        </w:rPr>
        <w:t xml:space="preserve"> </w:t>
      </w:r>
      <w:r>
        <w:t>privacy</w:t>
      </w:r>
      <w:r>
        <w:rPr>
          <w:spacing w:val="-9"/>
        </w:rPr>
        <w:t xml:space="preserve"> </w:t>
      </w:r>
      <w:r>
        <w:t>of</w:t>
      </w:r>
      <w:r>
        <w:rPr>
          <w:spacing w:val="-9"/>
        </w:rPr>
        <w:t xml:space="preserve"> </w:t>
      </w:r>
      <w:r>
        <w:t>LGBTQ</w:t>
      </w:r>
      <w:r>
        <w:rPr>
          <w:spacing w:val="-10"/>
        </w:rPr>
        <w:t xml:space="preserve"> </w:t>
      </w:r>
      <w:r>
        <w:t>youth and/or those transitioning genders in shelters.</w:t>
      </w:r>
    </w:p>
    <w:p w:rsidR="00C76E6D" w:rsidRDefault="00C76E6D">
      <w:pPr>
        <w:pStyle w:val="BodyText"/>
        <w:spacing w:before="3"/>
        <w:rPr>
          <w:sz w:val="25"/>
        </w:rPr>
      </w:pPr>
    </w:p>
    <w:p w:rsidR="00C76E6D" w:rsidRDefault="00913831">
      <w:pPr>
        <w:pStyle w:val="ListParagraph"/>
        <w:numPr>
          <w:ilvl w:val="1"/>
          <w:numId w:val="3"/>
        </w:numPr>
        <w:tabs>
          <w:tab w:val="left" w:pos="873"/>
        </w:tabs>
        <w:spacing w:line="276" w:lineRule="auto"/>
        <w:ind w:left="627" w:right="384" w:firstLine="0"/>
      </w:pPr>
      <w:r>
        <w:t>Continue to identify intake documents for which revisions could help address the needs of LGBTQ</w:t>
      </w:r>
      <w:r>
        <w:rPr>
          <w:spacing w:val="80"/>
          <w:w w:val="150"/>
        </w:rPr>
        <w:t xml:space="preserve"> </w:t>
      </w:r>
      <w:r>
        <w:t>youth, and initiate planning for making updates as ap</w:t>
      </w:r>
      <w:r>
        <w:t>propriate.</w:t>
      </w:r>
    </w:p>
    <w:p w:rsidR="00C76E6D" w:rsidRDefault="00C76E6D">
      <w:pPr>
        <w:pStyle w:val="BodyText"/>
      </w:pPr>
    </w:p>
    <w:p w:rsidR="00C76E6D" w:rsidRDefault="00C76E6D">
      <w:pPr>
        <w:pStyle w:val="BodyText"/>
        <w:spacing w:before="12"/>
      </w:pPr>
    </w:p>
    <w:p w:rsidR="00C76E6D" w:rsidRDefault="00913831">
      <w:pPr>
        <w:pStyle w:val="Heading5"/>
      </w:pPr>
      <w:r>
        <w:t>Background</w:t>
      </w:r>
      <w:r>
        <w:rPr>
          <w:spacing w:val="-15"/>
        </w:rPr>
        <w:t xml:space="preserve"> </w:t>
      </w:r>
      <w:r>
        <w:t>&amp;</w:t>
      </w:r>
      <w:r>
        <w:rPr>
          <w:spacing w:val="-6"/>
        </w:rPr>
        <w:t xml:space="preserve"> </w:t>
      </w:r>
      <w:r>
        <w:rPr>
          <w:spacing w:val="-2"/>
        </w:rPr>
        <w:t>Research</w:t>
      </w:r>
    </w:p>
    <w:p w:rsidR="00C76E6D" w:rsidRDefault="00913831">
      <w:pPr>
        <w:pStyle w:val="BodyText"/>
        <w:spacing w:before="3"/>
        <w:rPr>
          <w:b/>
          <w:sz w:val="11"/>
        </w:rPr>
      </w:pPr>
      <w:r>
        <w:pict>
          <v:shape id="docshape470" o:spid="_x0000_s1039" style="position:absolute;margin-left:65pt;margin-top:8.1pt;width:476.95pt;height:.1pt;z-index:-15625216;mso-wrap-distance-left:0;mso-wrap-distance-right:0;mso-position-horizontal-relative:page" coordorigin="1300,162" coordsize="9539,0" path="m1300,162r9539,e" filled="f" strokeweight="1.54pt">
            <v:path arrowok="t"/>
            <w10:wrap type="topAndBottom" anchorx="page"/>
          </v:shape>
        </w:pict>
      </w:r>
    </w:p>
    <w:p w:rsidR="00C76E6D" w:rsidRDefault="00C76E6D">
      <w:pPr>
        <w:pStyle w:val="BodyText"/>
        <w:spacing w:before="11"/>
        <w:rPr>
          <w:b/>
        </w:rPr>
      </w:pPr>
    </w:p>
    <w:p w:rsidR="00C76E6D" w:rsidRDefault="00913831">
      <w:pPr>
        <w:pStyle w:val="BodyText"/>
        <w:spacing w:line="276" w:lineRule="auto"/>
        <w:ind w:left="338" w:right="336"/>
        <w:jc w:val="both"/>
      </w:pPr>
      <w:r>
        <w:rPr>
          <w:sz w:val="24"/>
        </w:rPr>
        <w:t xml:space="preserve">The </w:t>
      </w:r>
      <w:r>
        <w:t xml:space="preserve">Department of Housing and Community Development (DHCD) is responsible for providing safe and affordable housing options for Massachusetts residents, including oversight of regional networks of shelter agencies and </w:t>
      </w:r>
      <w:r>
        <w:t>partners, as well as housing stabilization and emergency assistance programs. Numerous constituencies within</w:t>
      </w:r>
      <w:r>
        <w:rPr>
          <w:spacing w:val="-1"/>
        </w:rPr>
        <w:t xml:space="preserve"> </w:t>
      </w:r>
      <w:r>
        <w:t>and outside of state government have raised the issue of the critical housing</w:t>
      </w:r>
      <w:r>
        <w:rPr>
          <w:spacing w:val="-1"/>
        </w:rPr>
        <w:t xml:space="preserve"> </w:t>
      </w:r>
      <w:r>
        <w:t>needs of LGBTQ youth and young adults.</w:t>
      </w:r>
    </w:p>
    <w:p w:rsidR="00C76E6D" w:rsidRDefault="00C76E6D">
      <w:pPr>
        <w:pStyle w:val="BodyText"/>
        <w:spacing w:before="7"/>
        <w:rPr>
          <w:sz w:val="19"/>
        </w:rPr>
      </w:pPr>
    </w:p>
    <w:p w:rsidR="00C76E6D" w:rsidRDefault="00913831">
      <w:pPr>
        <w:pStyle w:val="BodyText"/>
        <w:spacing w:line="276" w:lineRule="auto"/>
        <w:ind w:left="338" w:right="335"/>
        <w:jc w:val="both"/>
      </w:pPr>
      <w:r>
        <w:t>Reports indicate that youth w</w:t>
      </w:r>
      <w:r>
        <w:t>ho are LGBTQ are at higher risk for homelessness than the general youth population and are often subject to stigma and discrimination, as described in depth in the research and recommendations</w:t>
      </w:r>
      <w:r>
        <w:rPr>
          <w:spacing w:val="-1"/>
        </w:rPr>
        <w:t xml:space="preserve"> </w:t>
      </w:r>
      <w:r>
        <w:t>on</w:t>
      </w:r>
      <w:r>
        <w:rPr>
          <w:spacing w:val="-1"/>
        </w:rPr>
        <w:t xml:space="preserve"> </w:t>
      </w:r>
      <w:r>
        <w:t>homelessness</w:t>
      </w:r>
      <w:r>
        <w:rPr>
          <w:spacing w:val="-1"/>
        </w:rPr>
        <w:t xml:space="preserve"> </w:t>
      </w:r>
      <w:r>
        <w:t>above.</w:t>
      </w:r>
      <w:r>
        <w:rPr>
          <w:spacing w:val="-2"/>
        </w:rPr>
        <w:t xml:space="preserve"> </w:t>
      </w:r>
      <w:r>
        <w:t>The</w:t>
      </w:r>
      <w:r>
        <w:rPr>
          <w:spacing w:val="-1"/>
        </w:rPr>
        <w:t xml:space="preserve"> </w:t>
      </w:r>
      <w:r>
        <w:t>Commission</w:t>
      </w:r>
      <w:r>
        <w:rPr>
          <w:spacing w:val="-2"/>
        </w:rPr>
        <w:t xml:space="preserve"> </w:t>
      </w:r>
      <w:r>
        <w:t>convened community members</w:t>
      </w:r>
      <w:r>
        <w:rPr>
          <w:spacing w:val="-1"/>
        </w:rPr>
        <w:t xml:space="preserve"> </w:t>
      </w:r>
      <w:r>
        <w:t>and</w:t>
      </w:r>
      <w:r>
        <w:rPr>
          <w:spacing w:val="-1"/>
        </w:rPr>
        <w:t xml:space="preserve"> </w:t>
      </w:r>
      <w:r>
        <w:t>experts</w:t>
      </w:r>
      <w:r>
        <w:rPr>
          <w:spacing w:val="-1"/>
        </w:rPr>
        <w:t xml:space="preserve"> </w:t>
      </w:r>
      <w:r>
        <w:t>to discuss the</w:t>
      </w:r>
      <w:r>
        <w:rPr>
          <w:spacing w:val="-1"/>
        </w:rPr>
        <w:t xml:space="preserve"> </w:t>
      </w:r>
      <w:r>
        <w:t>issue</w:t>
      </w:r>
      <w:r>
        <w:rPr>
          <w:spacing w:val="-1"/>
        </w:rPr>
        <w:t xml:space="preserve"> </w:t>
      </w:r>
      <w:r>
        <w:t>of LGBTQ youth homelessness in</w:t>
      </w:r>
      <w:r>
        <w:rPr>
          <w:spacing w:val="-1"/>
        </w:rPr>
        <w:t xml:space="preserve"> </w:t>
      </w:r>
      <w:r>
        <w:t>December 2017 and</w:t>
      </w:r>
      <w:r>
        <w:rPr>
          <w:spacing w:val="-1"/>
        </w:rPr>
        <w:t xml:space="preserve"> </w:t>
      </w:r>
      <w:r>
        <w:t>held</w:t>
      </w:r>
      <w:r>
        <w:rPr>
          <w:spacing w:val="-1"/>
        </w:rPr>
        <w:t xml:space="preserve"> </w:t>
      </w:r>
      <w:r>
        <w:t>a legislative briefing and formal Commission meeting discussion on the topic of out-of-home youth that same month. The overwhelming consensus</w:t>
      </w:r>
      <w:r>
        <w:rPr>
          <w:spacing w:val="-7"/>
        </w:rPr>
        <w:t xml:space="preserve"> </w:t>
      </w:r>
      <w:r>
        <w:t>of</w:t>
      </w:r>
      <w:r>
        <w:rPr>
          <w:spacing w:val="-6"/>
        </w:rPr>
        <w:t xml:space="preserve"> </w:t>
      </w:r>
      <w:r>
        <w:t>those</w:t>
      </w:r>
      <w:r>
        <w:rPr>
          <w:spacing w:val="-8"/>
        </w:rPr>
        <w:t xml:space="preserve"> </w:t>
      </w:r>
      <w:r>
        <w:t>conversations,</w:t>
      </w:r>
      <w:r>
        <w:rPr>
          <w:spacing w:val="-7"/>
        </w:rPr>
        <w:t xml:space="preserve"> </w:t>
      </w:r>
      <w:r>
        <w:t>which</w:t>
      </w:r>
      <w:r>
        <w:rPr>
          <w:spacing w:val="-8"/>
        </w:rPr>
        <w:t xml:space="preserve"> </w:t>
      </w:r>
      <w:r>
        <w:t>has</w:t>
      </w:r>
      <w:r>
        <w:rPr>
          <w:spacing w:val="-7"/>
        </w:rPr>
        <w:t xml:space="preserve"> </w:t>
      </w:r>
      <w:r>
        <w:t>also</w:t>
      </w:r>
      <w:r>
        <w:rPr>
          <w:spacing w:val="-7"/>
        </w:rPr>
        <w:t xml:space="preserve"> </w:t>
      </w:r>
      <w:r>
        <w:t>been</w:t>
      </w:r>
      <w:r>
        <w:rPr>
          <w:spacing w:val="-8"/>
        </w:rPr>
        <w:t xml:space="preserve"> </w:t>
      </w:r>
      <w:r>
        <w:t>confirmed</w:t>
      </w:r>
      <w:r>
        <w:rPr>
          <w:spacing w:val="-6"/>
        </w:rPr>
        <w:t xml:space="preserve"> </w:t>
      </w:r>
      <w:r>
        <w:t>by</w:t>
      </w:r>
      <w:r>
        <w:rPr>
          <w:spacing w:val="-6"/>
        </w:rPr>
        <w:t xml:space="preserve"> </w:t>
      </w:r>
      <w:r>
        <w:t>the</w:t>
      </w:r>
      <w:r>
        <w:rPr>
          <w:spacing w:val="-5"/>
        </w:rPr>
        <w:t xml:space="preserve"> </w:t>
      </w:r>
      <w:r>
        <w:t>Massachusetts</w:t>
      </w:r>
      <w:r>
        <w:rPr>
          <w:spacing w:val="-7"/>
        </w:rPr>
        <w:t xml:space="preserve"> </w:t>
      </w:r>
      <w:r>
        <w:t>Youth</w:t>
      </w:r>
      <w:r>
        <w:rPr>
          <w:spacing w:val="-9"/>
        </w:rPr>
        <w:t xml:space="preserve"> </w:t>
      </w:r>
      <w:r>
        <w:t>Count</w:t>
      </w:r>
      <w:r>
        <w:rPr>
          <w:spacing w:val="-8"/>
        </w:rPr>
        <w:t xml:space="preserve"> </w:t>
      </w:r>
      <w:r>
        <w:t>report, is that LGBTQ youth face unique barriers in accessing services and often feel unsafe using existing shelters</w:t>
      </w:r>
      <w:hyperlink w:anchor="_bookmark638" w:history="1">
        <w:r>
          <w:t>.</w:t>
        </w:r>
        <w:r>
          <w:rPr>
            <w:vertAlign w:val="superscript"/>
          </w:rPr>
          <w:t>1</w:t>
        </w:r>
      </w:hyperlink>
    </w:p>
    <w:p w:rsidR="00C76E6D" w:rsidRDefault="00C76E6D">
      <w:pPr>
        <w:pStyle w:val="BodyText"/>
        <w:spacing w:before="8"/>
        <w:rPr>
          <w:sz w:val="19"/>
        </w:rPr>
      </w:pPr>
    </w:p>
    <w:p w:rsidR="00C76E6D" w:rsidRDefault="00913831">
      <w:pPr>
        <w:pStyle w:val="BodyText"/>
        <w:spacing w:line="276" w:lineRule="auto"/>
        <w:ind w:left="339" w:right="333" w:hanging="1"/>
        <w:jc w:val="both"/>
      </w:pPr>
      <w:r>
        <w:t>As</w:t>
      </w:r>
      <w:r>
        <w:rPr>
          <w:spacing w:val="-1"/>
        </w:rPr>
        <w:t xml:space="preserve"> </w:t>
      </w:r>
      <w:r>
        <w:t>a</w:t>
      </w:r>
      <w:r>
        <w:rPr>
          <w:spacing w:val="-1"/>
        </w:rPr>
        <w:t xml:space="preserve"> </w:t>
      </w:r>
      <w:r>
        <w:t>result, homeless</w:t>
      </w:r>
      <w:r>
        <w:rPr>
          <w:spacing w:val="-1"/>
        </w:rPr>
        <w:t xml:space="preserve"> </w:t>
      </w:r>
      <w:r>
        <w:t>LGBTQ</w:t>
      </w:r>
      <w:r>
        <w:rPr>
          <w:spacing w:val="-2"/>
        </w:rPr>
        <w:t xml:space="preserve"> </w:t>
      </w:r>
      <w:r>
        <w:t>youth</w:t>
      </w:r>
      <w:r>
        <w:rPr>
          <w:spacing w:val="-2"/>
        </w:rPr>
        <w:t xml:space="preserve"> </w:t>
      </w:r>
      <w:r>
        <w:t>experience violence</w:t>
      </w:r>
      <w:r>
        <w:rPr>
          <w:spacing w:val="-1"/>
        </w:rPr>
        <w:t xml:space="preserve"> </w:t>
      </w:r>
      <w:r>
        <w:t>and</w:t>
      </w:r>
      <w:r>
        <w:rPr>
          <w:spacing w:val="-2"/>
        </w:rPr>
        <w:t xml:space="preserve"> </w:t>
      </w:r>
      <w:r>
        <w:t>victimization</w:t>
      </w:r>
      <w:r>
        <w:rPr>
          <w:spacing w:val="-1"/>
        </w:rPr>
        <w:t xml:space="preserve"> </w:t>
      </w:r>
      <w:r>
        <w:t>on</w:t>
      </w:r>
      <w:r>
        <w:rPr>
          <w:spacing w:val="-2"/>
        </w:rPr>
        <w:t xml:space="preserve"> </w:t>
      </w:r>
      <w:r>
        <w:t>a more</w:t>
      </w:r>
      <w:r>
        <w:rPr>
          <w:spacing w:val="-2"/>
        </w:rPr>
        <w:t xml:space="preserve"> </w:t>
      </w:r>
      <w:r>
        <w:t>frequent</w:t>
      </w:r>
      <w:r>
        <w:rPr>
          <w:spacing w:val="-2"/>
        </w:rPr>
        <w:t xml:space="preserve"> </w:t>
      </w:r>
      <w:r>
        <w:t>basis</w:t>
      </w:r>
      <w:r>
        <w:rPr>
          <w:spacing w:val="-1"/>
        </w:rPr>
        <w:t xml:space="preserve"> </w:t>
      </w:r>
      <w:r>
        <w:t>and may engage</w:t>
      </w:r>
      <w:r>
        <w:rPr>
          <w:spacing w:val="-5"/>
        </w:rPr>
        <w:t xml:space="preserve"> </w:t>
      </w:r>
      <w:r>
        <w:t>in</w:t>
      </w:r>
      <w:r>
        <w:rPr>
          <w:spacing w:val="-5"/>
        </w:rPr>
        <w:t xml:space="preserve"> </w:t>
      </w:r>
      <w:r>
        <w:t>survival</w:t>
      </w:r>
      <w:r>
        <w:rPr>
          <w:spacing w:val="-7"/>
        </w:rPr>
        <w:t xml:space="preserve"> </w:t>
      </w:r>
      <w:r>
        <w:t>behaviors</w:t>
      </w:r>
      <w:r>
        <w:rPr>
          <w:spacing w:val="-6"/>
        </w:rPr>
        <w:t xml:space="preserve"> </w:t>
      </w:r>
      <w:r>
        <w:t>that</w:t>
      </w:r>
      <w:r>
        <w:rPr>
          <w:spacing w:val="-5"/>
        </w:rPr>
        <w:t xml:space="preserve"> </w:t>
      </w:r>
      <w:r>
        <w:t>put</w:t>
      </w:r>
      <w:r>
        <w:rPr>
          <w:spacing w:val="-5"/>
        </w:rPr>
        <w:t xml:space="preserve"> </w:t>
      </w:r>
      <w:r>
        <w:t>them</w:t>
      </w:r>
      <w:r>
        <w:rPr>
          <w:spacing w:val="-7"/>
        </w:rPr>
        <w:t xml:space="preserve"> </w:t>
      </w:r>
      <w:r>
        <w:t>at</w:t>
      </w:r>
      <w:r>
        <w:rPr>
          <w:spacing w:val="-6"/>
        </w:rPr>
        <w:t xml:space="preserve"> </w:t>
      </w:r>
      <w:r>
        <w:t>increased</w:t>
      </w:r>
      <w:r>
        <w:rPr>
          <w:spacing w:val="-7"/>
        </w:rPr>
        <w:t xml:space="preserve"> </w:t>
      </w:r>
      <w:r>
        <w:t>risk</w:t>
      </w:r>
      <w:r>
        <w:rPr>
          <w:spacing w:val="-5"/>
        </w:rPr>
        <w:t xml:space="preserve"> </w:t>
      </w:r>
      <w:r>
        <w:t>of</w:t>
      </w:r>
      <w:r>
        <w:rPr>
          <w:spacing w:val="-5"/>
        </w:rPr>
        <w:t xml:space="preserve"> </w:t>
      </w:r>
      <w:r>
        <w:t>negative</w:t>
      </w:r>
      <w:r>
        <w:rPr>
          <w:spacing w:val="-7"/>
        </w:rPr>
        <w:t xml:space="preserve"> </w:t>
      </w:r>
      <w:r>
        <w:t>health</w:t>
      </w:r>
      <w:r>
        <w:rPr>
          <w:spacing w:val="-5"/>
        </w:rPr>
        <w:t xml:space="preserve"> </w:t>
      </w:r>
      <w:r>
        <w:t>outcomes</w:t>
      </w:r>
      <w:r>
        <w:rPr>
          <w:spacing w:val="-6"/>
        </w:rPr>
        <w:t xml:space="preserve"> </w:t>
      </w:r>
      <w:r>
        <w:t>and</w:t>
      </w:r>
      <w:r>
        <w:rPr>
          <w:spacing w:val="-4"/>
        </w:rPr>
        <w:t xml:space="preserve"> </w:t>
      </w:r>
      <w:r>
        <w:t>involvement</w:t>
      </w:r>
      <w:r>
        <w:rPr>
          <w:spacing w:val="-5"/>
        </w:rPr>
        <w:t xml:space="preserve"> </w:t>
      </w:r>
      <w:r>
        <w:t>in the criminal justice system. Recent iterations of the Youth Count, for example, showed that LGBTQ youth were</w:t>
      </w:r>
      <w:r>
        <w:rPr>
          <w:spacing w:val="-2"/>
        </w:rPr>
        <w:t xml:space="preserve"> </w:t>
      </w:r>
      <w:r>
        <w:t>twice</w:t>
      </w:r>
      <w:r>
        <w:rPr>
          <w:spacing w:val="-2"/>
        </w:rPr>
        <w:t xml:space="preserve"> </w:t>
      </w:r>
      <w:r>
        <w:t>as</w:t>
      </w:r>
      <w:r>
        <w:rPr>
          <w:spacing w:val="-1"/>
        </w:rPr>
        <w:t xml:space="preserve"> </w:t>
      </w:r>
      <w:r>
        <w:t>likely to trade</w:t>
      </w:r>
      <w:r>
        <w:rPr>
          <w:spacing w:val="-2"/>
        </w:rPr>
        <w:t xml:space="preserve"> </w:t>
      </w:r>
      <w:r>
        <w:t>sexual</w:t>
      </w:r>
      <w:r>
        <w:rPr>
          <w:spacing w:val="-2"/>
        </w:rPr>
        <w:t xml:space="preserve"> </w:t>
      </w:r>
      <w:r>
        <w:t>acts</w:t>
      </w:r>
      <w:r>
        <w:rPr>
          <w:spacing w:val="-1"/>
        </w:rPr>
        <w:t xml:space="preserve"> </w:t>
      </w:r>
      <w:r>
        <w:t>for</w:t>
      </w:r>
      <w:r>
        <w:rPr>
          <w:spacing w:val="-2"/>
        </w:rPr>
        <w:t xml:space="preserve"> </w:t>
      </w:r>
      <w:r>
        <w:t>money, shelter,</w:t>
      </w:r>
      <w:r>
        <w:rPr>
          <w:spacing w:val="-1"/>
        </w:rPr>
        <w:t xml:space="preserve"> </w:t>
      </w:r>
      <w:r>
        <w:t>or</w:t>
      </w:r>
      <w:r>
        <w:rPr>
          <w:spacing w:val="-2"/>
        </w:rPr>
        <w:t xml:space="preserve"> </w:t>
      </w:r>
      <w:r>
        <w:t>food</w:t>
      </w:r>
      <w:r>
        <w:rPr>
          <w:spacing w:val="-3"/>
        </w:rPr>
        <w:t xml:space="preserve"> </w:t>
      </w:r>
      <w:r>
        <w:t>as were</w:t>
      </w:r>
      <w:r>
        <w:rPr>
          <w:spacing w:val="-2"/>
        </w:rPr>
        <w:t xml:space="preserve"> </w:t>
      </w:r>
      <w:r>
        <w:t>non-</w:t>
      </w:r>
      <w:r>
        <w:rPr>
          <w:spacing w:val="-1"/>
        </w:rPr>
        <w:t xml:space="preserve"> </w:t>
      </w:r>
      <w:r>
        <w:t>LGBTQ</w:t>
      </w:r>
      <w:r>
        <w:rPr>
          <w:spacing w:val="-1"/>
        </w:rPr>
        <w:t xml:space="preserve"> </w:t>
      </w:r>
      <w:r>
        <w:t>youth</w:t>
      </w:r>
      <w:r>
        <w:rPr>
          <w:spacing w:val="-1"/>
        </w:rPr>
        <w:t xml:space="preserve"> </w:t>
      </w:r>
      <w:r>
        <w:t>experiencing homelessness</w:t>
      </w:r>
      <w:hyperlink w:anchor="_bookmark639" w:history="1">
        <w:r>
          <w:t>.</w:t>
        </w:r>
        <w:r>
          <w:rPr>
            <w:vertAlign w:val="superscript"/>
          </w:rPr>
          <w:t>2</w:t>
        </w:r>
        <w:r>
          <w:rPr>
            <w:spacing w:val="-6"/>
          </w:rPr>
          <w:t xml:space="preserve"> </w:t>
        </w:r>
      </w:hyperlink>
      <w:r>
        <w:t>Additionally,</w:t>
      </w:r>
      <w:r>
        <w:rPr>
          <w:spacing w:val="-5"/>
        </w:rPr>
        <w:t xml:space="preserve"> </w:t>
      </w:r>
      <w:r>
        <w:t>state</w:t>
      </w:r>
      <w:r>
        <w:rPr>
          <w:spacing w:val="-4"/>
        </w:rPr>
        <w:t xml:space="preserve"> </w:t>
      </w:r>
      <w:r>
        <w:t>data</w:t>
      </w:r>
      <w:r>
        <w:rPr>
          <w:spacing w:val="-3"/>
        </w:rPr>
        <w:t xml:space="preserve"> </w:t>
      </w:r>
      <w:r>
        <w:t>indicates</w:t>
      </w:r>
      <w:r>
        <w:rPr>
          <w:spacing w:val="-4"/>
        </w:rPr>
        <w:t xml:space="preserve"> </w:t>
      </w:r>
      <w:r>
        <w:t>significantly</w:t>
      </w:r>
      <w:r>
        <w:rPr>
          <w:spacing w:val="-3"/>
        </w:rPr>
        <w:t xml:space="preserve"> </w:t>
      </w:r>
      <w:r>
        <w:t>higher</w:t>
      </w:r>
      <w:r>
        <w:rPr>
          <w:spacing w:val="-5"/>
        </w:rPr>
        <w:t xml:space="preserve"> </w:t>
      </w:r>
      <w:r>
        <w:t>rates</w:t>
      </w:r>
      <w:r>
        <w:rPr>
          <w:spacing w:val="-3"/>
        </w:rPr>
        <w:t xml:space="preserve"> </w:t>
      </w:r>
      <w:r>
        <w:t>of</w:t>
      </w:r>
      <w:r>
        <w:rPr>
          <w:spacing w:val="-5"/>
        </w:rPr>
        <w:t xml:space="preserve"> </w:t>
      </w:r>
      <w:r>
        <w:t>substance</w:t>
      </w:r>
      <w:r>
        <w:rPr>
          <w:spacing w:val="-3"/>
        </w:rPr>
        <w:t xml:space="preserve"> </w:t>
      </w:r>
      <w:r>
        <w:t>use,</w:t>
      </w:r>
      <w:r>
        <w:rPr>
          <w:spacing w:val="-3"/>
        </w:rPr>
        <w:t xml:space="preserve"> </w:t>
      </w:r>
      <w:r>
        <w:t>bullying,</w:t>
      </w:r>
      <w:r>
        <w:rPr>
          <w:spacing w:val="-4"/>
        </w:rPr>
        <w:t xml:space="preserve"> </w:t>
      </w:r>
      <w:r>
        <w:t>suicide attempts, and sexual violence among homeless LGB youth than among housed LGB youth or housed or homeless heterosexual youth</w:t>
      </w:r>
      <w:hyperlink w:anchor="_bookmark640" w:history="1">
        <w:r>
          <w:t>.</w:t>
        </w:r>
        <w:r>
          <w:rPr>
            <w:vertAlign w:val="superscript"/>
          </w:rPr>
          <w:t>3</w:t>
        </w:r>
      </w:hyperlink>
    </w:p>
    <w:p w:rsidR="00C76E6D" w:rsidRDefault="00C76E6D">
      <w:pPr>
        <w:pStyle w:val="BodyText"/>
        <w:spacing w:before="10"/>
        <w:rPr>
          <w:sz w:val="19"/>
        </w:rPr>
      </w:pPr>
    </w:p>
    <w:p w:rsidR="00C76E6D" w:rsidRDefault="00913831">
      <w:pPr>
        <w:pStyle w:val="BodyText"/>
        <w:spacing w:line="276" w:lineRule="auto"/>
        <w:ind w:left="337" w:right="338"/>
        <w:jc w:val="both"/>
      </w:pPr>
      <w:r>
        <w:t>Homelessness</w:t>
      </w:r>
      <w:r>
        <w:rPr>
          <w:spacing w:val="-13"/>
        </w:rPr>
        <w:t xml:space="preserve"> </w:t>
      </w:r>
      <w:r>
        <w:t>impacts</w:t>
      </w:r>
      <w:r>
        <w:rPr>
          <w:spacing w:val="-12"/>
        </w:rPr>
        <w:t xml:space="preserve"> </w:t>
      </w:r>
      <w:r>
        <w:t>not</w:t>
      </w:r>
      <w:r>
        <w:rPr>
          <w:spacing w:val="-13"/>
        </w:rPr>
        <w:t xml:space="preserve"> </w:t>
      </w:r>
      <w:r>
        <w:t>only</w:t>
      </w:r>
      <w:r>
        <w:rPr>
          <w:spacing w:val="-12"/>
        </w:rPr>
        <w:t xml:space="preserve"> </w:t>
      </w:r>
      <w:r>
        <w:t>homeless</w:t>
      </w:r>
      <w:r>
        <w:rPr>
          <w:spacing w:val="-13"/>
        </w:rPr>
        <w:t xml:space="preserve"> </w:t>
      </w:r>
      <w:r>
        <w:t>LGBTQ</w:t>
      </w:r>
      <w:r>
        <w:rPr>
          <w:spacing w:val="-12"/>
        </w:rPr>
        <w:t xml:space="preserve"> </w:t>
      </w:r>
      <w:r>
        <w:t>youth</w:t>
      </w:r>
      <w:r>
        <w:rPr>
          <w:spacing w:val="-13"/>
        </w:rPr>
        <w:t xml:space="preserve"> </w:t>
      </w:r>
      <w:r>
        <w:t>who</w:t>
      </w:r>
      <w:r>
        <w:rPr>
          <w:spacing w:val="-12"/>
        </w:rPr>
        <w:t xml:space="preserve"> </w:t>
      </w:r>
      <w:r>
        <w:t>are</w:t>
      </w:r>
      <w:r>
        <w:rPr>
          <w:spacing w:val="-12"/>
        </w:rPr>
        <w:t xml:space="preserve"> </w:t>
      </w:r>
      <w:r>
        <w:t>unaccompanied</w:t>
      </w:r>
      <w:r>
        <w:rPr>
          <w:spacing w:val="-13"/>
        </w:rPr>
        <w:t xml:space="preserve"> </w:t>
      </w:r>
      <w:r>
        <w:t>but</w:t>
      </w:r>
      <w:r>
        <w:rPr>
          <w:spacing w:val="-12"/>
        </w:rPr>
        <w:t xml:space="preserve"> </w:t>
      </w:r>
      <w:r>
        <w:t>also</w:t>
      </w:r>
      <w:r>
        <w:rPr>
          <w:spacing w:val="-13"/>
        </w:rPr>
        <w:t xml:space="preserve"> </w:t>
      </w:r>
      <w:r>
        <w:t>those</w:t>
      </w:r>
      <w:r>
        <w:rPr>
          <w:spacing w:val="-12"/>
        </w:rPr>
        <w:t xml:space="preserve"> </w:t>
      </w:r>
      <w:r>
        <w:t>who</w:t>
      </w:r>
      <w:r>
        <w:rPr>
          <w:spacing w:val="-13"/>
        </w:rPr>
        <w:t xml:space="preserve"> </w:t>
      </w:r>
      <w:r>
        <w:t>are</w:t>
      </w:r>
      <w:r>
        <w:rPr>
          <w:spacing w:val="-12"/>
        </w:rPr>
        <w:t xml:space="preserve"> </w:t>
      </w:r>
      <w:r>
        <w:t>living with their families in unstable or unsheltered situations. In a national survey of providers serving LGBTQ homeless</w:t>
      </w:r>
      <w:r>
        <w:rPr>
          <w:spacing w:val="30"/>
        </w:rPr>
        <w:t xml:space="preserve"> </w:t>
      </w:r>
      <w:r>
        <w:t>you</w:t>
      </w:r>
      <w:r>
        <w:t>th,</w:t>
      </w:r>
      <w:r>
        <w:rPr>
          <w:spacing w:val="29"/>
        </w:rPr>
        <w:t xml:space="preserve"> </w:t>
      </w:r>
      <w:r>
        <w:t>family</w:t>
      </w:r>
      <w:r>
        <w:rPr>
          <w:spacing w:val="29"/>
        </w:rPr>
        <w:t xml:space="preserve"> </w:t>
      </w:r>
      <w:r>
        <w:t>service</w:t>
      </w:r>
      <w:r>
        <w:rPr>
          <w:spacing w:val="31"/>
        </w:rPr>
        <w:t xml:space="preserve"> </w:t>
      </w:r>
      <w:r>
        <w:t>providers</w:t>
      </w:r>
      <w:r>
        <w:rPr>
          <w:spacing w:val="30"/>
        </w:rPr>
        <w:t xml:space="preserve"> </w:t>
      </w:r>
      <w:r>
        <w:t>estimated</w:t>
      </w:r>
      <w:r>
        <w:rPr>
          <w:spacing w:val="29"/>
        </w:rPr>
        <w:t xml:space="preserve"> </w:t>
      </w:r>
      <w:r>
        <w:t>that</w:t>
      </w:r>
      <w:r>
        <w:rPr>
          <w:spacing w:val="29"/>
        </w:rPr>
        <w:t xml:space="preserve"> </w:t>
      </w:r>
      <w:r>
        <w:t>of</w:t>
      </w:r>
      <w:r>
        <w:rPr>
          <w:spacing w:val="30"/>
        </w:rPr>
        <w:t xml:space="preserve"> </w:t>
      </w:r>
      <w:r>
        <w:t>their</w:t>
      </w:r>
      <w:r>
        <w:rPr>
          <w:spacing w:val="29"/>
        </w:rPr>
        <w:t xml:space="preserve"> </w:t>
      </w:r>
      <w:r>
        <w:t>total</w:t>
      </w:r>
      <w:r>
        <w:rPr>
          <w:spacing w:val="30"/>
        </w:rPr>
        <w:t xml:space="preserve"> </w:t>
      </w:r>
      <w:r>
        <w:t>youth</w:t>
      </w:r>
      <w:r>
        <w:rPr>
          <w:spacing w:val="30"/>
        </w:rPr>
        <w:t xml:space="preserve"> </w:t>
      </w:r>
      <w:r>
        <w:t>served,</w:t>
      </w:r>
      <w:r>
        <w:rPr>
          <w:spacing w:val="29"/>
        </w:rPr>
        <w:t xml:space="preserve"> </w:t>
      </w:r>
      <w:r>
        <w:t>an</w:t>
      </w:r>
      <w:r>
        <w:rPr>
          <w:spacing w:val="31"/>
        </w:rPr>
        <w:t xml:space="preserve"> </w:t>
      </w:r>
      <w:r>
        <w:t>average</w:t>
      </w:r>
      <w:r>
        <w:rPr>
          <w:spacing w:val="29"/>
        </w:rPr>
        <w:t xml:space="preserve"> </w:t>
      </w:r>
      <w:r>
        <w:t>of</w:t>
      </w:r>
      <w:r>
        <w:rPr>
          <w:spacing w:val="30"/>
        </w:rPr>
        <w:t xml:space="preserve"> </w:t>
      </w:r>
      <w:r>
        <w:t>22%</w:t>
      </w:r>
    </w:p>
    <w:p w:rsidR="00C76E6D" w:rsidRDefault="00C76E6D">
      <w:pPr>
        <w:spacing w:line="276" w:lineRule="auto"/>
        <w:jc w:val="both"/>
        <w:sectPr w:rsidR="00C76E6D">
          <w:headerReference w:type="default" r:id="rId465"/>
          <w:footerReference w:type="default" r:id="rId466"/>
          <w:pgSz w:w="12240" w:h="15840"/>
          <w:pgMar w:top="1020" w:right="960" w:bottom="640" w:left="960" w:header="832" w:footer="440" w:gutter="0"/>
          <w:cols w:space="720"/>
        </w:sectPr>
      </w:pPr>
    </w:p>
    <w:p w:rsidR="00C76E6D" w:rsidRDefault="00C76E6D">
      <w:pPr>
        <w:pStyle w:val="BodyText"/>
        <w:spacing w:before="6"/>
        <w:rPr>
          <w:sz w:val="20"/>
        </w:rPr>
      </w:pPr>
    </w:p>
    <w:p w:rsidR="00C76E6D" w:rsidRDefault="00913831">
      <w:pPr>
        <w:pStyle w:val="BodyText"/>
        <w:spacing w:before="77" w:line="276" w:lineRule="auto"/>
        <w:ind w:left="338" w:right="335" w:hanging="1"/>
        <w:jc w:val="both"/>
      </w:pPr>
      <w:r>
        <w:t>identified</w:t>
      </w:r>
      <w:r>
        <w:rPr>
          <w:spacing w:val="-4"/>
        </w:rPr>
        <w:t xml:space="preserve"> </w:t>
      </w:r>
      <w:r>
        <w:t>as</w:t>
      </w:r>
      <w:r>
        <w:rPr>
          <w:spacing w:val="-4"/>
        </w:rPr>
        <w:t xml:space="preserve"> </w:t>
      </w:r>
      <w:r>
        <w:t>LGBTQ</w:t>
      </w:r>
      <w:r>
        <w:rPr>
          <w:spacing w:val="-4"/>
        </w:rPr>
        <w:t xml:space="preserve"> </w:t>
      </w:r>
      <w:r>
        <w:t>and</w:t>
      </w:r>
      <w:r>
        <w:rPr>
          <w:spacing w:val="-4"/>
        </w:rPr>
        <w:t xml:space="preserve"> </w:t>
      </w:r>
      <w:r>
        <w:t>3%</w:t>
      </w:r>
      <w:r>
        <w:rPr>
          <w:spacing w:val="-5"/>
        </w:rPr>
        <w:t xml:space="preserve"> </w:t>
      </w:r>
      <w:r>
        <w:t>identified</w:t>
      </w:r>
      <w:r>
        <w:rPr>
          <w:spacing w:val="-5"/>
        </w:rPr>
        <w:t xml:space="preserve"> </w:t>
      </w:r>
      <w:r>
        <w:t>as</w:t>
      </w:r>
      <w:r>
        <w:rPr>
          <w:spacing w:val="-5"/>
        </w:rPr>
        <w:t xml:space="preserve"> </w:t>
      </w:r>
      <w:r>
        <w:t>transgender</w:t>
      </w:r>
      <w:hyperlink w:anchor="_bookmark641" w:history="1">
        <w:r>
          <w:t>.</w:t>
        </w:r>
        <w:r>
          <w:rPr>
            <w:vertAlign w:val="superscript"/>
          </w:rPr>
          <w:t>4</w:t>
        </w:r>
        <w:r>
          <w:rPr>
            <w:spacing w:val="-5"/>
          </w:rPr>
          <w:t xml:space="preserve"> </w:t>
        </w:r>
      </w:hyperlink>
      <w:r>
        <w:t>Parents</w:t>
      </w:r>
      <w:r>
        <w:rPr>
          <w:spacing w:val="-5"/>
        </w:rPr>
        <w:t xml:space="preserve"> </w:t>
      </w:r>
      <w:r>
        <w:t>who</w:t>
      </w:r>
      <w:r>
        <w:rPr>
          <w:spacing w:val="-5"/>
        </w:rPr>
        <w:t xml:space="preserve"> </w:t>
      </w:r>
      <w:r>
        <w:t>are</w:t>
      </w:r>
      <w:r>
        <w:rPr>
          <w:spacing w:val="-5"/>
        </w:rPr>
        <w:t xml:space="preserve"> </w:t>
      </w:r>
      <w:r>
        <w:t>struggling</w:t>
      </w:r>
      <w:r>
        <w:rPr>
          <w:spacing w:val="-4"/>
        </w:rPr>
        <w:t xml:space="preserve"> </w:t>
      </w:r>
      <w:r>
        <w:t>to</w:t>
      </w:r>
      <w:r>
        <w:rPr>
          <w:spacing w:val="-5"/>
        </w:rPr>
        <w:t xml:space="preserve"> </w:t>
      </w:r>
      <w:r>
        <w:t>navigate</w:t>
      </w:r>
      <w:r>
        <w:rPr>
          <w:spacing w:val="-5"/>
        </w:rPr>
        <w:t xml:space="preserve"> </w:t>
      </w:r>
      <w:r>
        <w:t>homelessness may be particularly in need of assistance from state agencies or providers in supporting and locating resources for their LGBTQ children.</w:t>
      </w:r>
    </w:p>
    <w:p w:rsidR="00C76E6D" w:rsidRDefault="00C76E6D">
      <w:pPr>
        <w:pStyle w:val="BodyText"/>
        <w:spacing w:before="3"/>
        <w:rPr>
          <w:sz w:val="25"/>
        </w:rPr>
      </w:pPr>
    </w:p>
    <w:p w:rsidR="00C76E6D" w:rsidRDefault="00913831">
      <w:pPr>
        <w:pStyle w:val="Heading5"/>
        <w:jc w:val="both"/>
      </w:pPr>
      <w:r>
        <w:rPr>
          <w:spacing w:val="-2"/>
        </w:rPr>
        <w:t>Expanded</w:t>
      </w:r>
      <w:r>
        <w:t xml:space="preserve"> </w:t>
      </w:r>
      <w:r>
        <w:rPr>
          <w:spacing w:val="-2"/>
        </w:rPr>
        <w:t>Recommendations</w:t>
      </w:r>
    </w:p>
    <w:p w:rsidR="00C76E6D" w:rsidRDefault="00913831">
      <w:pPr>
        <w:pStyle w:val="BodyText"/>
        <w:spacing w:before="2"/>
        <w:rPr>
          <w:b/>
          <w:sz w:val="11"/>
        </w:rPr>
      </w:pPr>
      <w:r>
        <w:pict>
          <v:shape id="docshape471" o:spid="_x0000_s1038" style="position:absolute;margin-left:65pt;margin-top:8pt;width:476.95pt;height:.1pt;z-index:-15624704;mso-wrap-distance-left:0;mso-wrap-distance-right:0;mso-position-horizontal-relative:page" coordorigin="1300,160" coordsize="9539,0" path="m1300,160r9539,e" filled="f" strokeweight="1.54pt">
            <v:path arrowok="t"/>
            <w10:wrap type="topAndBottom" anchorx="page"/>
          </v:shape>
        </w:pict>
      </w:r>
    </w:p>
    <w:p w:rsidR="00C76E6D" w:rsidRDefault="00C76E6D">
      <w:pPr>
        <w:pStyle w:val="BodyText"/>
        <w:rPr>
          <w:b/>
          <w:sz w:val="24"/>
        </w:rPr>
      </w:pPr>
    </w:p>
    <w:p w:rsidR="00C76E6D" w:rsidRDefault="00C76E6D">
      <w:pPr>
        <w:pStyle w:val="BodyText"/>
        <w:spacing w:before="2"/>
        <w:rPr>
          <w:b/>
        </w:rPr>
      </w:pPr>
    </w:p>
    <w:p w:rsidR="00C76E6D" w:rsidRDefault="00913831">
      <w:pPr>
        <w:pStyle w:val="Heading6"/>
        <w:numPr>
          <w:ilvl w:val="0"/>
          <w:numId w:val="2"/>
        </w:numPr>
        <w:tabs>
          <w:tab w:val="left" w:pos="626"/>
        </w:tabs>
        <w:spacing w:line="276" w:lineRule="auto"/>
        <w:ind w:right="427" w:firstLine="0"/>
      </w:pPr>
      <w:bookmarkStart w:id="914" w:name="1._Continue_to_work_with_the_Interagency"/>
      <w:bookmarkEnd w:id="914"/>
      <w:r>
        <w:t>Continue</w:t>
      </w:r>
      <w:r>
        <w:rPr>
          <w:spacing w:val="-3"/>
        </w:rPr>
        <w:t xml:space="preserve"> </w:t>
      </w:r>
      <w:r>
        <w:t>to</w:t>
      </w:r>
      <w:r>
        <w:rPr>
          <w:spacing w:val="-2"/>
        </w:rPr>
        <w:t xml:space="preserve"> </w:t>
      </w:r>
      <w:r>
        <w:t>work</w:t>
      </w:r>
      <w:r>
        <w:rPr>
          <w:spacing w:val="-3"/>
        </w:rPr>
        <w:t xml:space="preserve"> </w:t>
      </w:r>
      <w:r>
        <w:t>with</w:t>
      </w:r>
      <w:r>
        <w:rPr>
          <w:spacing w:val="-3"/>
        </w:rPr>
        <w:t xml:space="preserve"> </w:t>
      </w:r>
      <w:r>
        <w:t>the</w:t>
      </w:r>
      <w:r>
        <w:rPr>
          <w:spacing w:val="-4"/>
        </w:rPr>
        <w:t xml:space="preserve"> </w:t>
      </w:r>
      <w:r>
        <w:t>Interagency</w:t>
      </w:r>
      <w:r>
        <w:rPr>
          <w:spacing w:val="-4"/>
        </w:rPr>
        <w:t xml:space="preserve"> </w:t>
      </w:r>
      <w:r>
        <w:t>Council</w:t>
      </w:r>
      <w:r>
        <w:rPr>
          <w:spacing w:val="-4"/>
        </w:rPr>
        <w:t xml:space="preserve"> </w:t>
      </w:r>
      <w:r>
        <w:t>on</w:t>
      </w:r>
      <w:r>
        <w:rPr>
          <w:spacing w:val="-3"/>
        </w:rPr>
        <w:t xml:space="preserve"> </w:t>
      </w:r>
      <w:r>
        <w:t>Housing</w:t>
      </w:r>
      <w:r>
        <w:rPr>
          <w:spacing w:val="-3"/>
        </w:rPr>
        <w:t xml:space="preserve"> </w:t>
      </w:r>
      <w:r>
        <w:t>and</w:t>
      </w:r>
      <w:r>
        <w:rPr>
          <w:spacing w:val="-3"/>
        </w:rPr>
        <w:t xml:space="preserve"> </w:t>
      </w:r>
      <w:r>
        <w:t>Homelessness</w:t>
      </w:r>
      <w:r>
        <w:rPr>
          <w:spacing w:val="-4"/>
        </w:rPr>
        <w:t xml:space="preserve"> </w:t>
      </w:r>
      <w:r>
        <w:t>and</w:t>
      </w:r>
      <w:r>
        <w:rPr>
          <w:spacing w:val="-3"/>
        </w:rPr>
        <w:t xml:space="preserve"> </w:t>
      </w:r>
      <w:r>
        <w:t>the</w:t>
      </w:r>
      <w:r>
        <w:rPr>
          <w:spacing w:val="-3"/>
        </w:rPr>
        <w:t xml:space="preserve"> </w:t>
      </w:r>
      <w:r>
        <w:t>Commission</w:t>
      </w:r>
      <w:r>
        <w:rPr>
          <w:spacing w:val="-3"/>
        </w:rPr>
        <w:t xml:space="preserve"> </w:t>
      </w:r>
      <w:r>
        <w:t>on Unaccompanied Homeless Youth to address the needs of LGBTQ youth.</w:t>
      </w:r>
    </w:p>
    <w:p w:rsidR="00C76E6D" w:rsidRDefault="00C76E6D">
      <w:pPr>
        <w:pStyle w:val="BodyText"/>
        <w:spacing w:before="7"/>
        <w:rPr>
          <w:b/>
          <w:sz w:val="19"/>
        </w:rPr>
      </w:pPr>
    </w:p>
    <w:p w:rsidR="00C76E6D" w:rsidRDefault="00913831">
      <w:pPr>
        <w:pStyle w:val="BodyText"/>
        <w:spacing w:line="276" w:lineRule="auto"/>
        <w:ind w:left="627" w:right="333"/>
        <w:jc w:val="both"/>
      </w:pPr>
      <w:r>
        <w:t xml:space="preserve">DHCD is involved in and impacted by the LGBTQ+ youth-related work happening elsewhere in state government, such as the </w:t>
      </w:r>
      <w:r>
        <w:t>Commission on Unaccompanied Homeless Youth (UHY Commission) and the State Plan to End Youth and Young Adult Homelessness. DHCD is aware that the UHY Commission is assessing</w:t>
      </w:r>
      <w:r>
        <w:rPr>
          <w:spacing w:val="-6"/>
        </w:rPr>
        <w:t xml:space="preserve"> </w:t>
      </w:r>
      <w:r>
        <w:t>the</w:t>
      </w:r>
      <w:r>
        <w:rPr>
          <w:spacing w:val="-6"/>
        </w:rPr>
        <w:t xml:space="preserve"> </w:t>
      </w:r>
      <w:r>
        <w:t>needs</w:t>
      </w:r>
      <w:r>
        <w:rPr>
          <w:spacing w:val="-6"/>
        </w:rPr>
        <w:t xml:space="preserve"> </w:t>
      </w:r>
      <w:r>
        <w:t>of</w:t>
      </w:r>
      <w:r>
        <w:rPr>
          <w:spacing w:val="-5"/>
        </w:rPr>
        <w:t xml:space="preserve"> </w:t>
      </w:r>
      <w:r>
        <w:t>LGBTQ+</w:t>
      </w:r>
      <w:r>
        <w:rPr>
          <w:spacing w:val="-7"/>
        </w:rPr>
        <w:t xml:space="preserve"> </w:t>
      </w:r>
      <w:r>
        <w:t>youth,</w:t>
      </w:r>
      <w:r>
        <w:rPr>
          <w:spacing w:val="-6"/>
        </w:rPr>
        <w:t xml:space="preserve"> </w:t>
      </w:r>
      <w:r>
        <w:t>and</w:t>
      </w:r>
      <w:r>
        <w:rPr>
          <w:spacing w:val="-7"/>
        </w:rPr>
        <w:t xml:space="preserve"> </w:t>
      </w:r>
      <w:r>
        <w:t>the</w:t>
      </w:r>
      <w:r>
        <w:rPr>
          <w:spacing w:val="-7"/>
        </w:rPr>
        <w:t xml:space="preserve"> </w:t>
      </w:r>
      <w:r>
        <w:t>Commission</w:t>
      </w:r>
      <w:r>
        <w:rPr>
          <w:spacing w:val="-7"/>
        </w:rPr>
        <w:t xml:space="preserve"> </w:t>
      </w:r>
      <w:r>
        <w:t>recommends</w:t>
      </w:r>
      <w:r>
        <w:rPr>
          <w:spacing w:val="-5"/>
        </w:rPr>
        <w:t xml:space="preserve"> </w:t>
      </w:r>
      <w:r>
        <w:t>that</w:t>
      </w:r>
      <w:r>
        <w:rPr>
          <w:spacing w:val="-7"/>
        </w:rPr>
        <w:t xml:space="preserve"> </w:t>
      </w:r>
      <w:r>
        <w:t>DHCD</w:t>
      </w:r>
      <w:r>
        <w:rPr>
          <w:spacing w:val="-6"/>
        </w:rPr>
        <w:t xml:space="preserve"> </w:t>
      </w:r>
      <w:r>
        <w:t>review</w:t>
      </w:r>
      <w:r>
        <w:rPr>
          <w:spacing w:val="-5"/>
        </w:rPr>
        <w:t xml:space="preserve"> </w:t>
      </w:r>
      <w:r>
        <w:t>the</w:t>
      </w:r>
      <w:r>
        <w:rPr>
          <w:spacing w:val="-7"/>
        </w:rPr>
        <w:t xml:space="preserve"> </w:t>
      </w:r>
      <w:r>
        <w:t>2018</w:t>
      </w:r>
      <w:r>
        <w:rPr>
          <w:spacing w:val="-5"/>
        </w:rPr>
        <w:t xml:space="preserve"> </w:t>
      </w:r>
      <w:r>
        <w:t>UHY Commission Report to inform its approach to supporting the LGBTQ+ youth it serves</w:t>
      </w:r>
      <w:hyperlink w:anchor="_bookmark642" w:history="1">
        <w:r>
          <w:t>.</w:t>
        </w:r>
        <w:r>
          <w:rPr>
            <w:vertAlign w:val="superscript"/>
          </w:rPr>
          <w:t>5</w:t>
        </w:r>
        <w:r>
          <w:t xml:space="preserve"> </w:t>
        </w:r>
      </w:hyperlink>
      <w:r>
        <w:t>The Commission looks forward to continuing engagement with DHCD to follow up on needs assessments from the UHY Commission for relevant i</w:t>
      </w:r>
      <w:r>
        <w:t>nformation in considering housing needs for this population.</w:t>
      </w:r>
    </w:p>
    <w:p w:rsidR="00C76E6D" w:rsidRDefault="00C76E6D">
      <w:pPr>
        <w:pStyle w:val="BodyText"/>
        <w:spacing w:before="7"/>
        <w:rPr>
          <w:sz w:val="19"/>
        </w:rPr>
      </w:pPr>
    </w:p>
    <w:p w:rsidR="00C76E6D" w:rsidRDefault="00913831">
      <w:pPr>
        <w:pStyle w:val="Heading6"/>
        <w:numPr>
          <w:ilvl w:val="0"/>
          <w:numId w:val="2"/>
        </w:numPr>
        <w:tabs>
          <w:tab w:val="left" w:pos="568"/>
        </w:tabs>
        <w:spacing w:line="276" w:lineRule="auto"/>
        <w:ind w:right="806" w:hanging="1"/>
      </w:pPr>
      <w:bookmarkStart w:id="915" w:name="2._Provide_LGBTQ_cultural_humility_train"/>
      <w:bookmarkEnd w:id="915"/>
      <w:r>
        <w:t>Provide</w:t>
      </w:r>
      <w:r>
        <w:rPr>
          <w:spacing w:val="-3"/>
        </w:rPr>
        <w:t xml:space="preserve"> </w:t>
      </w:r>
      <w:r>
        <w:t>LGBTQ</w:t>
      </w:r>
      <w:r>
        <w:rPr>
          <w:spacing w:val="-3"/>
        </w:rPr>
        <w:t xml:space="preserve"> </w:t>
      </w:r>
      <w:r>
        <w:t>cultural</w:t>
      </w:r>
      <w:r>
        <w:rPr>
          <w:spacing w:val="-3"/>
        </w:rPr>
        <w:t xml:space="preserve"> </w:t>
      </w:r>
      <w:r>
        <w:t>humility</w:t>
      </w:r>
      <w:r>
        <w:rPr>
          <w:spacing w:val="-2"/>
        </w:rPr>
        <w:t xml:space="preserve"> </w:t>
      </w:r>
      <w:r>
        <w:t>training</w:t>
      </w:r>
      <w:r>
        <w:rPr>
          <w:spacing w:val="-4"/>
        </w:rPr>
        <w:t xml:space="preserve"> </w:t>
      </w:r>
      <w:r>
        <w:t>to</w:t>
      </w:r>
      <w:r>
        <w:rPr>
          <w:spacing w:val="-3"/>
        </w:rPr>
        <w:t xml:space="preserve"> </w:t>
      </w:r>
      <w:r>
        <w:t>staff</w:t>
      </w:r>
      <w:r>
        <w:rPr>
          <w:spacing w:val="-3"/>
        </w:rPr>
        <w:t xml:space="preserve"> </w:t>
      </w:r>
      <w:r>
        <w:t>and</w:t>
      </w:r>
      <w:r>
        <w:rPr>
          <w:spacing w:val="-3"/>
        </w:rPr>
        <w:t xml:space="preserve"> </w:t>
      </w:r>
      <w:r>
        <w:t>providers</w:t>
      </w:r>
      <w:r>
        <w:rPr>
          <w:spacing w:val="-3"/>
        </w:rPr>
        <w:t xml:space="preserve"> </w:t>
      </w:r>
      <w:r>
        <w:t>to</w:t>
      </w:r>
      <w:r>
        <w:rPr>
          <w:spacing w:val="-3"/>
        </w:rPr>
        <w:t xml:space="preserve"> </w:t>
      </w:r>
      <w:r>
        <w:t>improve</w:t>
      </w:r>
      <w:r>
        <w:rPr>
          <w:spacing w:val="-3"/>
        </w:rPr>
        <w:t xml:space="preserve"> </w:t>
      </w:r>
      <w:r>
        <w:t>access</w:t>
      </w:r>
      <w:r>
        <w:rPr>
          <w:spacing w:val="-4"/>
        </w:rPr>
        <w:t xml:space="preserve"> </w:t>
      </w:r>
      <w:r>
        <w:t>to</w:t>
      </w:r>
      <w:r>
        <w:rPr>
          <w:spacing w:val="-3"/>
        </w:rPr>
        <w:t xml:space="preserve"> </w:t>
      </w:r>
      <w:r>
        <w:t>and</w:t>
      </w:r>
      <w:r>
        <w:rPr>
          <w:spacing w:val="-4"/>
        </w:rPr>
        <w:t xml:space="preserve"> </w:t>
      </w:r>
      <w:r>
        <w:t>quality</w:t>
      </w:r>
      <w:r>
        <w:rPr>
          <w:spacing w:val="-4"/>
        </w:rPr>
        <w:t xml:space="preserve"> </w:t>
      </w:r>
      <w:r>
        <w:t>of shelter and housing for LGBTQ youth.</w:t>
      </w:r>
    </w:p>
    <w:p w:rsidR="00C76E6D" w:rsidRDefault="00C76E6D">
      <w:pPr>
        <w:pStyle w:val="BodyText"/>
        <w:spacing w:before="10"/>
        <w:rPr>
          <w:b/>
          <w:sz w:val="19"/>
        </w:rPr>
      </w:pPr>
    </w:p>
    <w:p w:rsidR="00C76E6D" w:rsidRDefault="00913831">
      <w:pPr>
        <w:pStyle w:val="BodyText"/>
        <w:spacing w:line="276" w:lineRule="auto"/>
        <w:ind w:left="627" w:right="335"/>
        <w:jc w:val="both"/>
      </w:pPr>
      <w:r>
        <w:t xml:space="preserve">The Commission commends DHCD for taking steps to engage its staff in LGBTQ+ cultural humility trainings over FY22 which provoked excellent feedback from participants and calls for more training opportunities from staff, particularly those working directly </w:t>
      </w:r>
      <w:r>
        <w:t>with LGBTQ+ youth and their families. The Commission looks forward to continuing to brainstorm potential opportunities for staff training within DHCD and is interested in adapting its statewide agency training into an online version to make it accessible t</w:t>
      </w:r>
      <w:r>
        <w:t>o DHCD. The Commission has provided shelter-specific trainings in LGBTQ+ competency for shelter staff that DHCD contracts with, and looks forward to continuing this work.</w:t>
      </w:r>
    </w:p>
    <w:p w:rsidR="00C76E6D" w:rsidRDefault="00C76E6D">
      <w:pPr>
        <w:pStyle w:val="BodyText"/>
        <w:spacing w:before="7"/>
        <w:rPr>
          <w:sz w:val="19"/>
        </w:rPr>
      </w:pPr>
    </w:p>
    <w:p w:rsidR="00C76E6D" w:rsidRDefault="00913831">
      <w:pPr>
        <w:pStyle w:val="Heading6"/>
        <w:numPr>
          <w:ilvl w:val="0"/>
          <w:numId w:val="2"/>
        </w:numPr>
        <w:tabs>
          <w:tab w:val="left" w:pos="562"/>
        </w:tabs>
        <w:spacing w:line="276" w:lineRule="auto"/>
        <w:ind w:right="387" w:hanging="1"/>
      </w:pPr>
      <w:bookmarkStart w:id="916" w:name="3._Finalize,_adopt,_and_distribute_a_pol"/>
      <w:bookmarkEnd w:id="916"/>
      <w:r>
        <w:t>Finalize,</w:t>
      </w:r>
      <w:r>
        <w:rPr>
          <w:spacing w:val="-4"/>
        </w:rPr>
        <w:t xml:space="preserve"> </w:t>
      </w:r>
      <w:r>
        <w:t>adopt,</w:t>
      </w:r>
      <w:r>
        <w:rPr>
          <w:spacing w:val="-4"/>
        </w:rPr>
        <w:t xml:space="preserve"> </w:t>
      </w:r>
      <w:r>
        <w:t>and</w:t>
      </w:r>
      <w:r>
        <w:rPr>
          <w:spacing w:val="-4"/>
        </w:rPr>
        <w:t xml:space="preserve"> </w:t>
      </w:r>
      <w:r>
        <w:t>distribute</w:t>
      </w:r>
      <w:r>
        <w:rPr>
          <w:spacing w:val="-4"/>
        </w:rPr>
        <w:t xml:space="preserve"> </w:t>
      </w:r>
      <w:r>
        <w:t>a</w:t>
      </w:r>
      <w:r>
        <w:rPr>
          <w:spacing w:val="-5"/>
        </w:rPr>
        <w:t xml:space="preserve"> </w:t>
      </w:r>
      <w:r>
        <w:t>policy</w:t>
      </w:r>
      <w:r>
        <w:rPr>
          <w:spacing w:val="-3"/>
        </w:rPr>
        <w:t xml:space="preserve"> </w:t>
      </w:r>
      <w:r>
        <w:t>and</w:t>
      </w:r>
      <w:r>
        <w:rPr>
          <w:spacing w:val="-5"/>
        </w:rPr>
        <w:t xml:space="preserve"> </w:t>
      </w:r>
      <w:r>
        <w:t>guidance</w:t>
      </w:r>
      <w:r>
        <w:rPr>
          <w:spacing w:val="-5"/>
        </w:rPr>
        <w:t xml:space="preserve"> </w:t>
      </w:r>
      <w:r>
        <w:t>to</w:t>
      </w:r>
      <w:r>
        <w:rPr>
          <w:spacing w:val="-5"/>
        </w:rPr>
        <w:t xml:space="preserve"> </w:t>
      </w:r>
      <w:r>
        <w:t>promote</w:t>
      </w:r>
      <w:r>
        <w:rPr>
          <w:spacing w:val="-4"/>
        </w:rPr>
        <w:t xml:space="preserve"> </w:t>
      </w:r>
      <w:r>
        <w:t>the</w:t>
      </w:r>
      <w:r>
        <w:rPr>
          <w:spacing w:val="-5"/>
        </w:rPr>
        <w:t xml:space="preserve"> </w:t>
      </w:r>
      <w:r>
        <w:t>safety</w:t>
      </w:r>
      <w:r>
        <w:rPr>
          <w:spacing w:val="-4"/>
        </w:rPr>
        <w:t xml:space="preserve"> </w:t>
      </w:r>
      <w:r>
        <w:t>and</w:t>
      </w:r>
      <w:r>
        <w:rPr>
          <w:spacing w:val="-5"/>
        </w:rPr>
        <w:t xml:space="preserve"> </w:t>
      </w:r>
      <w:r>
        <w:t>priv</w:t>
      </w:r>
      <w:r>
        <w:t>acy</w:t>
      </w:r>
      <w:r>
        <w:rPr>
          <w:spacing w:val="-5"/>
        </w:rPr>
        <w:t xml:space="preserve"> </w:t>
      </w:r>
      <w:r>
        <w:t>of</w:t>
      </w:r>
      <w:r>
        <w:rPr>
          <w:spacing w:val="-4"/>
        </w:rPr>
        <w:t xml:space="preserve"> </w:t>
      </w:r>
      <w:r>
        <w:t>LGBTQ</w:t>
      </w:r>
      <w:r>
        <w:rPr>
          <w:spacing w:val="-5"/>
        </w:rPr>
        <w:t xml:space="preserve"> </w:t>
      </w:r>
      <w:r>
        <w:t>youth affected by DHCD programs and services.</w:t>
      </w:r>
    </w:p>
    <w:p w:rsidR="00C76E6D" w:rsidRDefault="00C76E6D">
      <w:pPr>
        <w:pStyle w:val="BodyText"/>
        <w:spacing w:before="4"/>
        <w:rPr>
          <w:b/>
          <w:sz w:val="25"/>
        </w:rPr>
      </w:pPr>
    </w:p>
    <w:p w:rsidR="00C76E6D" w:rsidRDefault="00913831">
      <w:pPr>
        <w:pStyle w:val="BodyText"/>
        <w:spacing w:line="276" w:lineRule="auto"/>
        <w:ind w:left="627" w:right="335"/>
        <w:jc w:val="both"/>
      </w:pPr>
      <w:r>
        <w:t>In</w:t>
      </w:r>
      <w:r>
        <w:rPr>
          <w:spacing w:val="-13"/>
        </w:rPr>
        <w:t xml:space="preserve"> </w:t>
      </w:r>
      <w:r>
        <w:t>2019,</w:t>
      </w:r>
      <w:r>
        <w:rPr>
          <w:spacing w:val="-12"/>
        </w:rPr>
        <w:t xml:space="preserve"> </w:t>
      </w:r>
      <w:r>
        <w:t>in</w:t>
      </w:r>
      <w:r>
        <w:rPr>
          <w:spacing w:val="-13"/>
        </w:rPr>
        <w:t xml:space="preserve"> </w:t>
      </w:r>
      <w:r>
        <w:t>partnership</w:t>
      </w:r>
      <w:r>
        <w:rPr>
          <w:spacing w:val="-12"/>
        </w:rPr>
        <w:t xml:space="preserve"> </w:t>
      </w:r>
      <w:r>
        <w:t>with</w:t>
      </w:r>
      <w:r>
        <w:rPr>
          <w:spacing w:val="-13"/>
        </w:rPr>
        <w:t xml:space="preserve"> </w:t>
      </w:r>
      <w:r>
        <w:t>the</w:t>
      </w:r>
      <w:r>
        <w:rPr>
          <w:spacing w:val="-12"/>
        </w:rPr>
        <w:t xml:space="preserve"> </w:t>
      </w:r>
      <w:r>
        <w:t>UHY</w:t>
      </w:r>
      <w:r>
        <w:rPr>
          <w:spacing w:val="-13"/>
        </w:rPr>
        <w:t xml:space="preserve"> </w:t>
      </w:r>
      <w:r>
        <w:t>Commission,</w:t>
      </w:r>
      <w:r>
        <w:rPr>
          <w:spacing w:val="-12"/>
        </w:rPr>
        <w:t xml:space="preserve"> </w:t>
      </w:r>
      <w:r>
        <w:t>DHCD</w:t>
      </w:r>
      <w:r>
        <w:rPr>
          <w:spacing w:val="-12"/>
        </w:rPr>
        <w:t xml:space="preserve"> </w:t>
      </w:r>
      <w:r>
        <w:t>drafted</w:t>
      </w:r>
      <w:r>
        <w:rPr>
          <w:spacing w:val="-13"/>
        </w:rPr>
        <w:t xml:space="preserve"> </w:t>
      </w:r>
      <w:r>
        <w:t>shelter</w:t>
      </w:r>
      <w:r>
        <w:rPr>
          <w:spacing w:val="-12"/>
        </w:rPr>
        <w:t xml:space="preserve"> </w:t>
      </w:r>
      <w:r>
        <w:t>guidance</w:t>
      </w:r>
      <w:r>
        <w:rPr>
          <w:spacing w:val="-13"/>
        </w:rPr>
        <w:t xml:space="preserve"> </w:t>
      </w:r>
      <w:r>
        <w:t>around</w:t>
      </w:r>
      <w:r>
        <w:rPr>
          <w:spacing w:val="-12"/>
        </w:rPr>
        <w:t xml:space="preserve"> </w:t>
      </w:r>
      <w:r>
        <w:t>affirming</w:t>
      </w:r>
      <w:r>
        <w:rPr>
          <w:spacing w:val="-13"/>
        </w:rPr>
        <w:t xml:space="preserve"> </w:t>
      </w:r>
      <w:r>
        <w:t>gender identity for gender expansive youth and has been engaged in discussions with shelters around how to improve privacy and safety for youth. Along with this, DHCD has been engaged in developing an agency- wide nondiscrimination policy that will incorpo</w:t>
      </w:r>
      <w:r>
        <w:t>rate gender identity and LGBTQ-affirming language. The Commission looks forward to collaborating with DHCD and providing resources to help shape this policy to</w:t>
      </w:r>
      <w:r>
        <w:rPr>
          <w:spacing w:val="-6"/>
        </w:rPr>
        <w:t xml:space="preserve"> </w:t>
      </w:r>
      <w:r>
        <w:t>additionally</w:t>
      </w:r>
      <w:r>
        <w:rPr>
          <w:spacing w:val="-6"/>
        </w:rPr>
        <w:t xml:space="preserve"> </w:t>
      </w:r>
      <w:r>
        <w:t>incorporate</w:t>
      </w:r>
      <w:r>
        <w:rPr>
          <w:spacing w:val="-4"/>
        </w:rPr>
        <w:t xml:space="preserve"> </w:t>
      </w:r>
      <w:r>
        <w:t>an</w:t>
      </w:r>
      <w:r>
        <w:rPr>
          <w:spacing w:val="-5"/>
        </w:rPr>
        <w:t xml:space="preserve"> </w:t>
      </w:r>
      <w:r>
        <w:t>intersectional</w:t>
      </w:r>
      <w:r>
        <w:rPr>
          <w:spacing w:val="-6"/>
        </w:rPr>
        <w:t xml:space="preserve"> </w:t>
      </w:r>
      <w:r>
        <w:t>framework</w:t>
      </w:r>
      <w:r>
        <w:rPr>
          <w:spacing w:val="-7"/>
        </w:rPr>
        <w:t xml:space="preserve"> </w:t>
      </w:r>
      <w:r>
        <w:t>attentive</w:t>
      </w:r>
      <w:r>
        <w:rPr>
          <w:spacing w:val="-3"/>
        </w:rPr>
        <w:t xml:space="preserve"> </w:t>
      </w:r>
      <w:r>
        <w:t>to</w:t>
      </w:r>
      <w:r>
        <w:rPr>
          <w:spacing w:val="-6"/>
        </w:rPr>
        <w:t xml:space="preserve"> </w:t>
      </w:r>
      <w:r>
        <w:t>the</w:t>
      </w:r>
      <w:r>
        <w:rPr>
          <w:spacing w:val="-5"/>
        </w:rPr>
        <w:t xml:space="preserve"> </w:t>
      </w:r>
      <w:r>
        <w:t>specific</w:t>
      </w:r>
      <w:r>
        <w:rPr>
          <w:spacing w:val="-6"/>
        </w:rPr>
        <w:t xml:space="preserve"> </w:t>
      </w:r>
      <w:r>
        <w:t>needs</w:t>
      </w:r>
      <w:r>
        <w:rPr>
          <w:spacing w:val="-5"/>
        </w:rPr>
        <w:t xml:space="preserve"> </w:t>
      </w:r>
      <w:r>
        <w:t>of</w:t>
      </w:r>
      <w:r>
        <w:rPr>
          <w:spacing w:val="-4"/>
        </w:rPr>
        <w:t xml:space="preserve"> </w:t>
      </w:r>
      <w:r>
        <w:t>QTBIPOC</w:t>
      </w:r>
      <w:r>
        <w:rPr>
          <w:spacing w:val="-6"/>
        </w:rPr>
        <w:t xml:space="preserve"> </w:t>
      </w:r>
      <w:r>
        <w:t>youth while ensuring compliance with federal Housing and Urban Development (HUD) guidelines.</w:t>
      </w:r>
    </w:p>
    <w:p w:rsidR="00C76E6D" w:rsidRDefault="00C76E6D">
      <w:pPr>
        <w:pStyle w:val="BodyText"/>
        <w:spacing w:before="2"/>
        <w:rPr>
          <w:sz w:val="25"/>
        </w:rPr>
      </w:pPr>
    </w:p>
    <w:p w:rsidR="00C76E6D" w:rsidRDefault="00913831">
      <w:pPr>
        <w:pStyle w:val="Heading6"/>
        <w:numPr>
          <w:ilvl w:val="0"/>
          <w:numId w:val="2"/>
        </w:numPr>
        <w:tabs>
          <w:tab w:val="left" w:pos="567"/>
        </w:tabs>
        <w:spacing w:line="276" w:lineRule="auto"/>
        <w:ind w:right="431" w:hanging="1"/>
      </w:pPr>
      <w:bookmarkStart w:id="917" w:name="4._Continue_to_identify_documents_for_wh"/>
      <w:bookmarkEnd w:id="917"/>
      <w:r>
        <w:t>Continue</w:t>
      </w:r>
      <w:r>
        <w:rPr>
          <w:spacing w:val="-3"/>
        </w:rPr>
        <w:t xml:space="preserve"> </w:t>
      </w:r>
      <w:r>
        <w:t>to</w:t>
      </w:r>
      <w:r>
        <w:rPr>
          <w:spacing w:val="-3"/>
        </w:rPr>
        <w:t xml:space="preserve"> </w:t>
      </w:r>
      <w:r>
        <w:t>identify</w:t>
      </w:r>
      <w:r>
        <w:rPr>
          <w:spacing w:val="-4"/>
        </w:rPr>
        <w:t xml:space="preserve"> </w:t>
      </w:r>
      <w:r>
        <w:t>documents</w:t>
      </w:r>
      <w:r>
        <w:rPr>
          <w:spacing w:val="-3"/>
        </w:rPr>
        <w:t xml:space="preserve"> </w:t>
      </w:r>
      <w:r>
        <w:t>for</w:t>
      </w:r>
      <w:r>
        <w:rPr>
          <w:spacing w:val="-3"/>
        </w:rPr>
        <w:t xml:space="preserve"> </w:t>
      </w:r>
      <w:r>
        <w:t>which</w:t>
      </w:r>
      <w:r>
        <w:rPr>
          <w:spacing w:val="-4"/>
        </w:rPr>
        <w:t xml:space="preserve"> </w:t>
      </w:r>
      <w:r>
        <w:t>revisions</w:t>
      </w:r>
      <w:r>
        <w:rPr>
          <w:spacing w:val="-3"/>
        </w:rPr>
        <w:t xml:space="preserve"> </w:t>
      </w:r>
      <w:r>
        <w:t>could</w:t>
      </w:r>
      <w:r>
        <w:rPr>
          <w:spacing w:val="-3"/>
        </w:rPr>
        <w:t xml:space="preserve"> </w:t>
      </w:r>
      <w:r>
        <w:t>help</w:t>
      </w:r>
      <w:r>
        <w:rPr>
          <w:spacing w:val="-3"/>
        </w:rPr>
        <w:t xml:space="preserve"> </w:t>
      </w:r>
      <w:r>
        <w:t>address</w:t>
      </w:r>
      <w:r>
        <w:rPr>
          <w:spacing w:val="-3"/>
        </w:rPr>
        <w:t xml:space="preserve"> </w:t>
      </w:r>
      <w:r>
        <w:t>the</w:t>
      </w:r>
      <w:r>
        <w:rPr>
          <w:spacing w:val="-3"/>
        </w:rPr>
        <w:t xml:space="preserve"> </w:t>
      </w:r>
      <w:r>
        <w:t>needs</w:t>
      </w:r>
      <w:r>
        <w:rPr>
          <w:spacing w:val="-3"/>
        </w:rPr>
        <w:t xml:space="preserve"> </w:t>
      </w:r>
      <w:r>
        <w:t>of</w:t>
      </w:r>
      <w:r>
        <w:rPr>
          <w:spacing w:val="-4"/>
        </w:rPr>
        <w:t xml:space="preserve"> </w:t>
      </w:r>
      <w:r>
        <w:t>LGBTQ</w:t>
      </w:r>
      <w:r>
        <w:rPr>
          <w:spacing w:val="-2"/>
        </w:rPr>
        <w:t xml:space="preserve"> </w:t>
      </w:r>
      <w:r>
        <w:t>youth,</w:t>
      </w:r>
      <w:r>
        <w:rPr>
          <w:spacing w:val="-3"/>
        </w:rPr>
        <w:t xml:space="preserve"> </w:t>
      </w:r>
      <w:r>
        <w:t>and initiate planning for making updates as appropriate.</w:t>
      </w:r>
    </w:p>
    <w:p w:rsidR="00C76E6D" w:rsidRDefault="00C76E6D">
      <w:pPr>
        <w:pStyle w:val="BodyText"/>
        <w:spacing w:before="6"/>
        <w:rPr>
          <w:b/>
          <w:sz w:val="16"/>
        </w:rPr>
      </w:pPr>
    </w:p>
    <w:p w:rsidR="00C76E6D" w:rsidRDefault="00913831">
      <w:pPr>
        <w:pStyle w:val="BodyText"/>
        <w:spacing w:line="276" w:lineRule="auto"/>
        <w:ind w:left="628" w:right="336" w:hanging="1"/>
        <w:jc w:val="both"/>
      </w:pPr>
      <w:r>
        <w:t>The</w:t>
      </w:r>
      <w:r>
        <w:rPr>
          <w:spacing w:val="-1"/>
        </w:rPr>
        <w:t xml:space="preserve"> </w:t>
      </w:r>
      <w:r>
        <w:t>Commission</w:t>
      </w:r>
      <w:r>
        <w:rPr>
          <w:spacing w:val="-3"/>
        </w:rPr>
        <w:t xml:space="preserve"> </w:t>
      </w:r>
      <w:r>
        <w:t>thanks</w:t>
      </w:r>
      <w:r>
        <w:rPr>
          <w:spacing w:val="-1"/>
        </w:rPr>
        <w:t xml:space="preserve"> </w:t>
      </w:r>
      <w:r>
        <w:t>DHCD</w:t>
      </w:r>
      <w:r>
        <w:rPr>
          <w:spacing w:val="-2"/>
        </w:rPr>
        <w:t xml:space="preserve"> </w:t>
      </w:r>
      <w:r>
        <w:t>for</w:t>
      </w:r>
      <w:r>
        <w:rPr>
          <w:spacing w:val="-3"/>
        </w:rPr>
        <w:t xml:space="preserve"> </w:t>
      </w:r>
      <w:r>
        <w:t>reviewing</w:t>
      </w:r>
      <w:r>
        <w:rPr>
          <w:spacing w:val="-1"/>
        </w:rPr>
        <w:t xml:space="preserve"> </w:t>
      </w:r>
      <w:r>
        <w:t>its</w:t>
      </w:r>
      <w:r>
        <w:rPr>
          <w:spacing w:val="-1"/>
        </w:rPr>
        <w:t xml:space="preserve"> </w:t>
      </w:r>
      <w:r>
        <w:t>data collection</w:t>
      </w:r>
      <w:r>
        <w:rPr>
          <w:spacing w:val="-1"/>
        </w:rPr>
        <w:t xml:space="preserve"> </w:t>
      </w:r>
      <w:r>
        <w:t>practices</w:t>
      </w:r>
      <w:r>
        <w:rPr>
          <w:spacing w:val="-2"/>
        </w:rPr>
        <w:t xml:space="preserve"> </w:t>
      </w:r>
      <w:r>
        <w:t>with</w:t>
      </w:r>
      <w:r>
        <w:rPr>
          <w:spacing w:val="-2"/>
        </w:rPr>
        <w:t xml:space="preserve"> </w:t>
      </w:r>
      <w:r>
        <w:t>respect</w:t>
      </w:r>
      <w:r>
        <w:rPr>
          <w:spacing w:val="-2"/>
        </w:rPr>
        <w:t xml:space="preserve"> </w:t>
      </w:r>
      <w:r>
        <w:t>to transgender and gender-nonconforming</w:t>
      </w:r>
      <w:r>
        <w:rPr>
          <w:spacing w:val="-6"/>
        </w:rPr>
        <w:t xml:space="preserve"> </w:t>
      </w:r>
      <w:r>
        <w:t>youth</w:t>
      </w:r>
      <w:r>
        <w:rPr>
          <w:spacing w:val="-6"/>
        </w:rPr>
        <w:t xml:space="preserve"> </w:t>
      </w:r>
      <w:r>
        <w:t>and</w:t>
      </w:r>
      <w:r>
        <w:rPr>
          <w:spacing w:val="-6"/>
        </w:rPr>
        <w:t xml:space="preserve"> </w:t>
      </w:r>
      <w:r>
        <w:t>for</w:t>
      </w:r>
      <w:r>
        <w:rPr>
          <w:spacing w:val="-6"/>
        </w:rPr>
        <w:t xml:space="preserve"> </w:t>
      </w:r>
      <w:r>
        <w:t>thoughtfully</w:t>
      </w:r>
      <w:r>
        <w:rPr>
          <w:spacing w:val="-5"/>
        </w:rPr>
        <w:t xml:space="preserve"> </w:t>
      </w:r>
      <w:r>
        <w:t>considering</w:t>
      </w:r>
      <w:r>
        <w:rPr>
          <w:spacing w:val="-5"/>
        </w:rPr>
        <w:t xml:space="preserve"> </w:t>
      </w:r>
      <w:r>
        <w:t>how</w:t>
      </w:r>
      <w:r>
        <w:rPr>
          <w:spacing w:val="-6"/>
        </w:rPr>
        <w:t xml:space="preserve"> </w:t>
      </w:r>
      <w:r>
        <w:t>the</w:t>
      </w:r>
      <w:r>
        <w:rPr>
          <w:spacing w:val="-5"/>
        </w:rPr>
        <w:t xml:space="preserve"> </w:t>
      </w:r>
      <w:r>
        <w:t>intake</w:t>
      </w:r>
      <w:r>
        <w:rPr>
          <w:spacing w:val="-3"/>
        </w:rPr>
        <w:t xml:space="preserve"> </w:t>
      </w:r>
      <w:r>
        <w:t>process</w:t>
      </w:r>
      <w:r>
        <w:rPr>
          <w:spacing w:val="-5"/>
        </w:rPr>
        <w:t xml:space="preserve"> </w:t>
      </w:r>
      <w:r>
        <w:t>involving</w:t>
      </w:r>
      <w:r>
        <w:rPr>
          <w:spacing w:val="-5"/>
        </w:rPr>
        <w:t xml:space="preserve"> </w:t>
      </w:r>
      <w:r>
        <w:t>this</w:t>
      </w:r>
      <w:r>
        <w:rPr>
          <w:spacing w:val="-4"/>
        </w:rPr>
        <w:t xml:space="preserve"> </w:t>
      </w:r>
      <w:r>
        <w:t>data</w:t>
      </w:r>
    </w:p>
    <w:p w:rsidR="00C76E6D" w:rsidRDefault="00C76E6D">
      <w:pPr>
        <w:spacing w:line="276" w:lineRule="auto"/>
        <w:jc w:val="both"/>
        <w:sectPr w:rsidR="00C76E6D">
          <w:pgSz w:w="12240" w:h="15840"/>
          <w:pgMar w:top="1020" w:right="960" w:bottom="640" w:left="960" w:header="832" w:footer="440" w:gutter="0"/>
          <w:cols w:space="720"/>
        </w:sectPr>
      </w:pPr>
    </w:p>
    <w:p w:rsidR="00C76E6D" w:rsidRDefault="00C76E6D">
      <w:pPr>
        <w:pStyle w:val="BodyText"/>
        <w:spacing w:before="3"/>
      </w:pPr>
    </w:p>
    <w:p w:rsidR="00C76E6D" w:rsidRDefault="00913831">
      <w:pPr>
        <w:pStyle w:val="BodyText"/>
        <w:spacing w:before="55" w:line="276" w:lineRule="auto"/>
        <w:ind w:left="627" w:right="335"/>
        <w:jc w:val="both"/>
      </w:pPr>
      <w:r>
        <w:t>impacts the lives of LGBTQ youth and their families. The Commission is especially pleased to see that DHCD’s recently launched Common Housing Application for Massachusetts Public-Housing (CHAMP) is inclusive of transgender and nonbinary youth. The Commissi</w:t>
      </w:r>
      <w:r>
        <w:t>on further encourages DHCD to continue examining how it can revise relevant program practices to be LGBTQ-inclusive and to allow self- determination</w:t>
      </w:r>
      <w:r>
        <w:rPr>
          <w:spacing w:val="-9"/>
        </w:rPr>
        <w:t xml:space="preserve"> </w:t>
      </w:r>
      <w:r>
        <w:t>of</w:t>
      </w:r>
      <w:r>
        <w:rPr>
          <w:spacing w:val="-6"/>
        </w:rPr>
        <w:t xml:space="preserve"> </w:t>
      </w:r>
      <w:r>
        <w:t>gender</w:t>
      </w:r>
      <w:r>
        <w:rPr>
          <w:spacing w:val="-6"/>
        </w:rPr>
        <w:t xml:space="preserve"> </w:t>
      </w:r>
      <w:r>
        <w:t>identity</w:t>
      </w:r>
      <w:r>
        <w:rPr>
          <w:spacing w:val="-6"/>
        </w:rPr>
        <w:t xml:space="preserve"> </w:t>
      </w:r>
      <w:r>
        <w:t>to</w:t>
      </w:r>
      <w:r>
        <w:rPr>
          <w:spacing w:val="-6"/>
        </w:rPr>
        <w:t xml:space="preserve"> </w:t>
      </w:r>
      <w:r>
        <w:t>the</w:t>
      </w:r>
      <w:r>
        <w:rPr>
          <w:spacing w:val="-6"/>
        </w:rPr>
        <w:t xml:space="preserve"> </w:t>
      </w:r>
      <w:r>
        <w:t>greatest</w:t>
      </w:r>
      <w:r>
        <w:rPr>
          <w:spacing w:val="-8"/>
        </w:rPr>
        <w:t xml:space="preserve"> </w:t>
      </w:r>
      <w:r>
        <w:t>possible</w:t>
      </w:r>
      <w:r>
        <w:rPr>
          <w:spacing w:val="-8"/>
        </w:rPr>
        <w:t xml:space="preserve"> </w:t>
      </w:r>
      <w:r>
        <w:t>extent</w:t>
      </w:r>
      <w:r>
        <w:rPr>
          <w:spacing w:val="-8"/>
        </w:rPr>
        <w:t xml:space="preserve"> </w:t>
      </w:r>
      <w:r>
        <w:t>under</w:t>
      </w:r>
      <w:r>
        <w:rPr>
          <w:spacing w:val="-6"/>
        </w:rPr>
        <w:t xml:space="preserve"> </w:t>
      </w:r>
      <w:r>
        <w:t>the</w:t>
      </w:r>
      <w:r>
        <w:rPr>
          <w:spacing w:val="-6"/>
        </w:rPr>
        <w:t xml:space="preserve"> </w:t>
      </w:r>
      <w:r>
        <w:t>law</w:t>
      </w:r>
      <w:r>
        <w:rPr>
          <w:spacing w:val="-6"/>
        </w:rPr>
        <w:t xml:space="preserve"> </w:t>
      </w:r>
      <w:r>
        <w:t>and</w:t>
      </w:r>
      <w:r>
        <w:rPr>
          <w:spacing w:val="-8"/>
        </w:rPr>
        <w:t xml:space="preserve"> </w:t>
      </w:r>
      <w:r>
        <w:t>federal</w:t>
      </w:r>
      <w:r>
        <w:rPr>
          <w:spacing w:val="-6"/>
        </w:rPr>
        <w:t xml:space="preserve"> </w:t>
      </w:r>
      <w:r>
        <w:t xml:space="preserve">requirements. DHCD notes that </w:t>
      </w:r>
      <w:r>
        <w:t>this process may require resources, particularly with respect to modification of documents that would require translation in accordance with DHCD’s Language Access Plan.</w:t>
      </w: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913831">
      <w:pPr>
        <w:pStyle w:val="BodyText"/>
        <w:spacing w:before="3"/>
        <w:rPr>
          <w:sz w:val="12"/>
        </w:rPr>
      </w:pPr>
      <w:r>
        <w:pict>
          <v:shape id="docshape472" o:spid="_x0000_s1037" style="position:absolute;margin-left:70.6pt;margin-top:8.7pt;width:470.95pt;height:.1pt;z-index:-15624192;mso-wrap-distance-left:0;mso-wrap-distance-right:0;mso-position-horizontal-relative:page" coordorigin="1412,174" coordsize="9419,0" path="m1412,174r9419,e" filled="f" strokeweight="1.54pt">
            <v:path arrowok="t"/>
            <w10:wrap type="topAndBottom" anchorx="page"/>
          </v:shape>
        </w:pict>
      </w:r>
    </w:p>
    <w:p w:rsidR="00C76E6D" w:rsidRDefault="00C76E6D">
      <w:pPr>
        <w:pStyle w:val="BodyText"/>
        <w:spacing w:before="11"/>
      </w:pPr>
    </w:p>
    <w:p w:rsidR="00C76E6D" w:rsidRDefault="00913831">
      <w:pPr>
        <w:pStyle w:val="Heading4"/>
        <w:spacing w:before="1"/>
      </w:pPr>
      <w:r>
        <w:rPr>
          <w:spacing w:val="-2"/>
        </w:rPr>
        <w:t>ENDNOTES</w:t>
      </w:r>
    </w:p>
    <w:p w:rsidR="00C76E6D" w:rsidRDefault="00913831">
      <w:pPr>
        <w:pStyle w:val="BodyText"/>
        <w:spacing w:before="11"/>
        <w:rPr>
          <w:b/>
          <w:sz w:val="24"/>
        </w:rPr>
      </w:pPr>
      <w:r>
        <w:pict>
          <v:shape id="docshape473" o:spid="_x0000_s1036" style="position:absolute;margin-left:70.6pt;margin-top:16.4pt;width:470.95pt;height:.1pt;z-index:-15623680;mso-wrap-distance-left:0;mso-wrap-distance-right:0;mso-position-horizontal-relative:page" coordorigin="1412,328" coordsize="9419,0" path="m1412,328r9419,e" filled="f" strokeweight="1.54pt">
            <v:path arrowok="t"/>
            <w10:wrap type="topAndBottom" anchorx="page"/>
          </v:shape>
        </w:pict>
      </w:r>
    </w:p>
    <w:p w:rsidR="00C76E6D" w:rsidRDefault="00C76E6D">
      <w:pPr>
        <w:pStyle w:val="BodyText"/>
        <w:rPr>
          <w:b/>
          <w:sz w:val="24"/>
        </w:rPr>
      </w:pPr>
    </w:p>
    <w:p w:rsidR="00C76E6D" w:rsidRDefault="00C76E6D">
      <w:pPr>
        <w:pStyle w:val="BodyText"/>
        <w:rPr>
          <w:b/>
          <w:sz w:val="24"/>
        </w:rPr>
      </w:pPr>
    </w:p>
    <w:p w:rsidR="00C76E6D" w:rsidRDefault="00C76E6D">
      <w:pPr>
        <w:pStyle w:val="BodyText"/>
        <w:spacing w:before="1"/>
        <w:rPr>
          <w:b/>
        </w:rPr>
      </w:pPr>
    </w:p>
    <w:p w:rsidR="00C76E6D" w:rsidRDefault="00913831">
      <w:pPr>
        <w:ind w:left="339" w:hanging="1"/>
        <w:rPr>
          <w:sz w:val="20"/>
        </w:rPr>
      </w:pPr>
      <w:bookmarkStart w:id="918" w:name="_bookmark638"/>
      <w:bookmarkEnd w:id="918"/>
      <w:r>
        <w:rPr>
          <w:sz w:val="20"/>
          <w:vertAlign w:val="superscript"/>
        </w:rPr>
        <w:t>1</w:t>
      </w:r>
      <w:r>
        <w:rPr>
          <w:spacing w:val="-6"/>
          <w:sz w:val="20"/>
        </w:rPr>
        <w:t xml:space="preserve"> </w:t>
      </w:r>
      <w:r>
        <w:rPr>
          <w:sz w:val="20"/>
        </w:rPr>
        <w:t>Massachusetts</w:t>
      </w:r>
      <w:r>
        <w:rPr>
          <w:spacing w:val="-7"/>
          <w:sz w:val="20"/>
        </w:rPr>
        <w:t xml:space="preserve"> </w:t>
      </w:r>
      <w:r>
        <w:rPr>
          <w:sz w:val="20"/>
        </w:rPr>
        <w:t>Commission</w:t>
      </w:r>
      <w:r>
        <w:rPr>
          <w:spacing w:val="-6"/>
          <w:sz w:val="20"/>
        </w:rPr>
        <w:t xml:space="preserve"> </w:t>
      </w:r>
      <w:r>
        <w:rPr>
          <w:sz w:val="20"/>
        </w:rPr>
        <w:t>on</w:t>
      </w:r>
      <w:r>
        <w:rPr>
          <w:spacing w:val="-6"/>
          <w:sz w:val="20"/>
        </w:rPr>
        <w:t xml:space="preserve"> </w:t>
      </w:r>
      <w:r>
        <w:rPr>
          <w:sz w:val="20"/>
        </w:rPr>
        <w:t>Unaccompanied</w:t>
      </w:r>
      <w:r>
        <w:rPr>
          <w:spacing w:val="-6"/>
          <w:sz w:val="20"/>
        </w:rPr>
        <w:t xml:space="preserve"> </w:t>
      </w:r>
      <w:r>
        <w:rPr>
          <w:sz w:val="20"/>
        </w:rPr>
        <w:t>Homeless</w:t>
      </w:r>
      <w:r>
        <w:rPr>
          <w:spacing w:val="-8"/>
          <w:sz w:val="20"/>
        </w:rPr>
        <w:t xml:space="preserve"> </w:t>
      </w:r>
      <w:r>
        <w:rPr>
          <w:sz w:val="20"/>
        </w:rPr>
        <w:t>Youth.</w:t>
      </w:r>
      <w:r>
        <w:rPr>
          <w:spacing w:val="-8"/>
          <w:sz w:val="20"/>
        </w:rPr>
        <w:t xml:space="preserve"> </w:t>
      </w:r>
      <w:r>
        <w:rPr>
          <w:sz w:val="20"/>
        </w:rPr>
        <w:t>(2015).</w:t>
      </w:r>
      <w:r>
        <w:rPr>
          <w:spacing w:val="-8"/>
          <w:sz w:val="20"/>
        </w:rPr>
        <w:t xml:space="preserve"> </w:t>
      </w:r>
      <w:r>
        <w:rPr>
          <w:sz w:val="20"/>
        </w:rPr>
        <w:t>Massachusetts</w:t>
      </w:r>
      <w:r>
        <w:rPr>
          <w:spacing w:val="-7"/>
          <w:sz w:val="20"/>
        </w:rPr>
        <w:t xml:space="preserve"> </w:t>
      </w:r>
      <w:r>
        <w:rPr>
          <w:sz w:val="20"/>
        </w:rPr>
        <w:t>Coalition</w:t>
      </w:r>
      <w:r>
        <w:rPr>
          <w:spacing w:val="-6"/>
          <w:sz w:val="20"/>
        </w:rPr>
        <w:t xml:space="preserve"> </w:t>
      </w:r>
      <w:r>
        <w:rPr>
          <w:sz w:val="20"/>
        </w:rPr>
        <w:t>for</w:t>
      </w:r>
      <w:r>
        <w:rPr>
          <w:spacing w:val="-8"/>
          <w:sz w:val="20"/>
        </w:rPr>
        <w:t xml:space="preserve"> </w:t>
      </w:r>
      <w:r>
        <w:rPr>
          <w:sz w:val="20"/>
        </w:rPr>
        <w:t>the</w:t>
      </w:r>
      <w:r>
        <w:rPr>
          <w:spacing w:val="-7"/>
          <w:sz w:val="20"/>
        </w:rPr>
        <w:t xml:space="preserve"> </w:t>
      </w:r>
      <w:r>
        <w:rPr>
          <w:sz w:val="20"/>
        </w:rPr>
        <w:t>Homeless, Massachusetts Youth Count 2019. Retrieved from https://</w:t>
      </w:r>
      <w:hyperlink r:id="rId467">
        <w:r>
          <w:rPr>
            <w:sz w:val="20"/>
          </w:rPr>
          <w:t xml:space="preserve">www.mass.gov/doc/2019-massachusetts- </w:t>
        </w:r>
      </w:hyperlink>
      <w:r>
        <w:rPr>
          <w:sz w:val="20"/>
        </w:rPr>
        <w:t xml:space="preserve">youth- </w:t>
      </w:r>
      <w:bookmarkStart w:id="919" w:name="_bookmark639"/>
      <w:bookmarkEnd w:id="919"/>
      <w:r>
        <w:rPr>
          <w:spacing w:val="-2"/>
          <w:sz w:val="20"/>
        </w:rPr>
        <w:t>count/download.</w:t>
      </w:r>
    </w:p>
    <w:p w:rsidR="00C76E6D" w:rsidRDefault="00913831">
      <w:pPr>
        <w:ind w:left="339" w:hanging="1"/>
        <w:rPr>
          <w:sz w:val="20"/>
        </w:rPr>
      </w:pPr>
      <w:r>
        <w:rPr>
          <w:sz w:val="20"/>
          <w:vertAlign w:val="superscript"/>
        </w:rPr>
        <w:t>2</w:t>
      </w:r>
      <w:r>
        <w:rPr>
          <w:spacing w:val="-6"/>
          <w:sz w:val="20"/>
        </w:rPr>
        <w:t xml:space="preserve"> </w:t>
      </w:r>
      <w:r>
        <w:rPr>
          <w:sz w:val="20"/>
        </w:rPr>
        <w:t>Massachusetts</w:t>
      </w:r>
      <w:r>
        <w:rPr>
          <w:spacing w:val="-7"/>
          <w:sz w:val="20"/>
        </w:rPr>
        <w:t xml:space="preserve"> </w:t>
      </w:r>
      <w:r>
        <w:rPr>
          <w:sz w:val="20"/>
        </w:rPr>
        <w:t>Commission</w:t>
      </w:r>
      <w:r>
        <w:rPr>
          <w:spacing w:val="-5"/>
          <w:sz w:val="20"/>
        </w:rPr>
        <w:t xml:space="preserve"> </w:t>
      </w:r>
      <w:r>
        <w:rPr>
          <w:sz w:val="20"/>
        </w:rPr>
        <w:t>o</w:t>
      </w:r>
      <w:r>
        <w:rPr>
          <w:sz w:val="20"/>
        </w:rPr>
        <w:t>n</w:t>
      </w:r>
      <w:r>
        <w:rPr>
          <w:spacing w:val="-6"/>
          <w:sz w:val="20"/>
        </w:rPr>
        <w:t xml:space="preserve"> </w:t>
      </w:r>
      <w:r>
        <w:rPr>
          <w:sz w:val="20"/>
        </w:rPr>
        <w:t>Unaccompanied</w:t>
      </w:r>
      <w:r>
        <w:rPr>
          <w:spacing w:val="-6"/>
          <w:sz w:val="20"/>
        </w:rPr>
        <w:t xml:space="preserve"> </w:t>
      </w:r>
      <w:r>
        <w:rPr>
          <w:sz w:val="20"/>
        </w:rPr>
        <w:t>Homeless</w:t>
      </w:r>
      <w:r>
        <w:rPr>
          <w:spacing w:val="-8"/>
          <w:sz w:val="20"/>
        </w:rPr>
        <w:t xml:space="preserve"> </w:t>
      </w:r>
      <w:r>
        <w:rPr>
          <w:sz w:val="20"/>
        </w:rPr>
        <w:t>Youth.</w:t>
      </w:r>
      <w:r>
        <w:rPr>
          <w:spacing w:val="-9"/>
          <w:sz w:val="20"/>
        </w:rPr>
        <w:t xml:space="preserve"> </w:t>
      </w:r>
      <w:r>
        <w:rPr>
          <w:sz w:val="20"/>
        </w:rPr>
        <w:t>(2015).</w:t>
      </w:r>
      <w:r>
        <w:rPr>
          <w:spacing w:val="-9"/>
          <w:sz w:val="20"/>
        </w:rPr>
        <w:t xml:space="preserve"> </w:t>
      </w:r>
      <w:r>
        <w:rPr>
          <w:sz w:val="20"/>
        </w:rPr>
        <w:t>Massachusetts</w:t>
      </w:r>
      <w:r>
        <w:rPr>
          <w:spacing w:val="-7"/>
          <w:sz w:val="20"/>
        </w:rPr>
        <w:t xml:space="preserve"> </w:t>
      </w:r>
      <w:r>
        <w:rPr>
          <w:sz w:val="20"/>
        </w:rPr>
        <w:t>Coalition</w:t>
      </w:r>
      <w:r>
        <w:rPr>
          <w:spacing w:val="-6"/>
          <w:sz w:val="20"/>
        </w:rPr>
        <w:t xml:space="preserve"> </w:t>
      </w:r>
      <w:r>
        <w:rPr>
          <w:sz w:val="20"/>
        </w:rPr>
        <w:t>for</w:t>
      </w:r>
      <w:r>
        <w:rPr>
          <w:spacing w:val="-8"/>
          <w:sz w:val="20"/>
        </w:rPr>
        <w:t xml:space="preserve"> </w:t>
      </w:r>
      <w:r>
        <w:rPr>
          <w:sz w:val="20"/>
        </w:rPr>
        <w:t>the</w:t>
      </w:r>
      <w:r>
        <w:rPr>
          <w:spacing w:val="-7"/>
          <w:sz w:val="20"/>
        </w:rPr>
        <w:t xml:space="preserve"> </w:t>
      </w:r>
      <w:r>
        <w:rPr>
          <w:sz w:val="20"/>
        </w:rPr>
        <w:t>Homeless, Massachusetts Youth Count 2019. Retrieved from https://</w:t>
      </w:r>
      <w:hyperlink r:id="rId468">
        <w:r>
          <w:rPr>
            <w:sz w:val="20"/>
          </w:rPr>
          <w:t xml:space="preserve">www.mass.gov/doc/2019-massachusetts- </w:t>
        </w:r>
      </w:hyperlink>
      <w:r>
        <w:rPr>
          <w:sz w:val="20"/>
        </w:rPr>
        <w:t xml:space="preserve">youth- </w:t>
      </w:r>
      <w:r>
        <w:rPr>
          <w:spacing w:val="-2"/>
          <w:sz w:val="20"/>
        </w:rPr>
        <w:t>count/downlo</w:t>
      </w:r>
      <w:r>
        <w:rPr>
          <w:spacing w:val="-2"/>
          <w:sz w:val="20"/>
        </w:rPr>
        <w:t>ad.</w:t>
      </w:r>
    </w:p>
    <w:p w:rsidR="00C76E6D" w:rsidRDefault="00913831">
      <w:pPr>
        <w:spacing w:before="5"/>
        <w:ind w:left="338"/>
        <w:rPr>
          <w:sz w:val="20"/>
        </w:rPr>
      </w:pPr>
      <w:bookmarkStart w:id="920" w:name="_bookmark640"/>
      <w:bookmarkEnd w:id="920"/>
      <w:r>
        <w:rPr>
          <w:sz w:val="20"/>
          <w:vertAlign w:val="superscript"/>
        </w:rPr>
        <w:t>3</w:t>
      </w:r>
      <w:r>
        <w:rPr>
          <w:spacing w:val="-6"/>
          <w:sz w:val="20"/>
        </w:rPr>
        <w:t xml:space="preserve"> </w:t>
      </w:r>
      <w:bookmarkStart w:id="921" w:name="_bookmark641"/>
      <w:bookmarkEnd w:id="921"/>
      <w:r>
        <w:rPr>
          <w:sz w:val="20"/>
        </w:rPr>
        <w:t>Goodenow,</w:t>
      </w:r>
      <w:r>
        <w:rPr>
          <w:spacing w:val="-6"/>
          <w:sz w:val="20"/>
        </w:rPr>
        <w:t xml:space="preserve"> </w:t>
      </w:r>
      <w:r>
        <w:rPr>
          <w:sz w:val="20"/>
        </w:rPr>
        <w:t>C.</w:t>
      </w:r>
      <w:r>
        <w:rPr>
          <w:spacing w:val="-8"/>
          <w:sz w:val="20"/>
        </w:rPr>
        <w:t xml:space="preserve"> </w:t>
      </w:r>
      <w:r>
        <w:rPr>
          <w:spacing w:val="-2"/>
          <w:sz w:val="20"/>
        </w:rPr>
        <w:t>(2016).</w:t>
      </w:r>
    </w:p>
    <w:p w:rsidR="00C76E6D" w:rsidRDefault="00913831">
      <w:pPr>
        <w:spacing w:before="1" w:line="241" w:lineRule="exact"/>
        <w:ind w:left="338"/>
        <w:rPr>
          <w:sz w:val="20"/>
        </w:rPr>
      </w:pPr>
      <w:r>
        <w:rPr>
          <w:sz w:val="20"/>
          <w:vertAlign w:val="superscript"/>
        </w:rPr>
        <w:t>4</w:t>
      </w:r>
      <w:r>
        <w:rPr>
          <w:spacing w:val="-4"/>
          <w:sz w:val="20"/>
        </w:rPr>
        <w:t xml:space="preserve"> </w:t>
      </w:r>
      <w:bookmarkStart w:id="922" w:name="_bookmark642"/>
      <w:bookmarkEnd w:id="922"/>
      <w:r>
        <w:rPr>
          <w:sz w:val="20"/>
        </w:rPr>
        <w:t>Choi,</w:t>
      </w:r>
      <w:r>
        <w:rPr>
          <w:spacing w:val="-3"/>
          <w:sz w:val="20"/>
        </w:rPr>
        <w:t xml:space="preserve"> </w:t>
      </w:r>
      <w:r>
        <w:rPr>
          <w:sz w:val="20"/>
        </w:rPr>
        <w:t>S.</w:t>
      </w:r>
      <w:r>
        <w:rPr>
          <w:spacing w:val="-5"/>
          <w:sz w:val="20"/>
        </w:rPr>
        <w:t xml:space="preserve"> </w:t>
      </w:r>
      <w:r>
        <w:rPr>
          <w:sz w:val="20"/>
        </w:rPr>
        <w:t>K.,</w:t>
      </w:r>
      <w:r>
        <w:rPr>
          <w:spacing w:val="-3"/>
          <w:sz w:val="20"/>
        </w:rPr>
        <w:t xml:space="preserve"> </w:t>
      </w:r>
      <w:r>
        <w:rPr>
          <w:sz w:val="20"/>
        </w:rPr>
        <w:t>et</w:t>
      </w:r>
      <w:r>
        <w:rPr>
          <w:spacing w:val="-5"/>
          <w:sz w:val="20"/>
        </w:rPr>
        <w:t xml:space="preserve"> </w:t>
      </w:r>
      <w:r>
        <w:rPr>
          <w:sz w:val="20"/>
        </w:rPr>
        <w:t>al.</w:t>
      </w:r>
      <w:r>
        <w:rPr>
          <w:spacing w:val="-2"/>
          <w:sz w:val="20"/>
        </w:rPr>
        <w:t xml:space="preserve"> (2015).</w:t>
      </w:r>
    </w:p>
    <w:p w:rsidR="00C76E6D" w:rsidRDefault="00913831">
      <w:pPr>
        <w:ind w:left="338" w:right="530" w:hanging="1"/>
        <w:rPr>
          <w:sz w:val="20"/>
        </w:rPr>
      </w:pPr>
      <w:r>
        <w:rPr>
          <w:sz w:val="20"/>
          <w:vertAlign w:val="superscript"/>
        </w:rPr>
        <w:t>5</w:t>
      </w:r>
      <w:r>
        <w:rPr>
          <w:sz w:val="20"/>
        </w:rPr>
        <w:t xml:space="preserve"> Massachusetts Commission on Unaccompanied Youth, “Massachusetts State Plan To End Youth Homelessness” (Commission</w:t>
      </w:r>
      <w:r>
        <w:rPr>
          <w:spacing w:val="-12"/>
          <w:sz w:val="20"/>
        </w:rPr>
        <w:t xml:space="preserve"> </w:t>
      </w:r>
      <w:r>
        <w:rPr>
          <w:sz w:val="20"/>
        </w:rPr>
        <w:t>on</w:t>
      </w:r>
      <w:r>
        <w:rPr>
          <w:spacing w:val="-11"/>
          <w:sz w:val="20"/>
        </w:rPr>
        <w:t xml:space="preserve"> </w:t>
      </w:r>
      <w:r>
        <w:rPr>
          <w:sz w:val="20"/>
        </w:rPr>
        <w:t>Unaccompanied</w:t>
      </w:r>
      <w:r>
        <w:rPr>
          <w:spacing w:val="-11"/>
          <w:sz w:val="20"/>
        </w:rPr>
        <w:t xml:space="preserve"> </w:t>
      </w:r>
      <w:r>
        <w:rPr>
          <w:sz w:val="20"/>
        </w:rPr>
        <w:t>Youth,</w:t>
      </w:r>
      <w:r>
        <w:rPr>
          <w:spacing w:val="-12"/>
          <w:sz w:val="20"/>
        </w:rPr>
        <w:t xml:space="preserve"> </w:t>
      </w:r>
      <w:r>
        <w:rPr>
          <w:sz w:val="20"/>
        </w:rPr>
        <w:t>2018),</w:t>
      </w:r>
      <w:r>
        <w:rPr>
          <w:spacing w:val="-11"/>
          <w:sz w:val="20"/>
        </w:rPr>
        <w:t xml:space="preserve"> </w:t>
      </w:r>
      <w:r>
        <w:rPr>
          <w:sz w:val="20"/>
        </w:rPr>
        <w:t>https://</w:t>
      </w:r>
      <w:hyperlink r:id="rId469">
        <w:r>
          <w:rPr>
            <w:sz w:val="20"/>
          </w:rPr>
          <w:t>www.mass.gov/doc/massachusetts-state-plan-to-end-youth-</w:t>
        </w:r>
      </w:hyperlink>
      <w:r>
        <w:rPr>
          <w:sz w:val="20"/>
        </w:rPr>
        <w:t xml:space="preserve"> </w:t>
      </w:r>
      <w:r>
        <w:rPr>
          <w:spacing w:val="-2"/>
          <w:sz w:val="20"/>
        </w:rPr>
        <w:t>homelessness/download.</w:t>
      </w:r>
    </w:p>
    <w:p w:rsidR="00C76E6D" w:rsidRDefault="00C76E6D">
      <w:pPr>
        <w:rPr>
          <w:sz w:val="20"/>
        </w:rPr>
        <w:sectPr w:rsidR="00C76E6D">
          <w:pgSz w:w="12240" w:h="15840"/>
          <w:pgMar w:top="1020" w:right="960" w:bottom="640" w:left="960" w:header="832" w:footer="440" w:gutter="0"/>
          <w:cols w:space="720"/>
        </w:sectPr>
      </w:pPr>
    </w:p>
    <w:p w:rsidR="00C76E6D" w:rsidRDefault="00C76E6D">
      <w:pPr>
        <w:pStyle w:val="BodyText"/>
        <w:rPr>
          <w:sz w:val="26"/>
        </w:rPr>
      </w:pPr>
    </w:p>
    <w:p w:rsidR="00C76E6D" w:rsidRDefault="00913831">
      <w:pPr>
        <w:pStyle w:val="Heading2"/>
      </w:pPr>
      <w:bookmarkStart w:id="923" w:name="MassHire_Department_of_Career_Services"/>
      <w:bookmarkStart w:id="924" w:name="_bookmark643"/>
      <w:bookmarkEnd w:id="923"/>
      <w:bookmarkEnd w:id="924"/>
      <w:r>
        <w:t>MassHire</w:t>
      </w:r>
      <w:r>
        <w:rPr>
          <w:spacing w:val="-14"/>
        </w:rPr>
        <w:t xml:space="preserve"> </w:t>
      </w:r>
      <w:r>
        <w:t>Department</w:t>
      </w:r>
      <w:r>
        <w:rPr>
          <w:spacing w:val="-7"/>
        </w:rPr>
        <w:t xml:space="preserve"> </w:t>
      </w:r>
      <w:r>
        <w:t>of</w:t>
      </w:r>
      <w:r>
        <w:rPr>
          <w:spacing w:val="-10"/>
        </w:rPr>
        <w:t xml:space="preserve"> </w:t>
      </w:r>
      <w:r>
        <w:t>Career</w:t>
      </w:r>
      <w:r>
        <w:rPr>
          <w:spacing w:val="-7"/>
        </w:rPr>
        <w:t xml:space="preserve"> </w:t>
      </w:r>
      <w:r>
        <w:rPr>
          <w:spacing w:val="-2"/>
        </w:rPr>
        <w:t>Services</w:t>
      </w:r>
    </w:p>
    <w:p w:rsidR="00C76E6D" w:rsidRDefault="00913831">
      <w:pPr>
        <w:pStyle w:val="BodyText"/>
        <w:spacing w:before="11"/>
        <w:rPr>
          <w:b/>
          <w:sz w:val="11"/>
        </w:rPr>
      </w:pPr>
      <w:r>
        <w:pict>
          <v:shape id="docshape477" o:spid="_x0000_s1035" style="position:absolute;margin-left:65pt;margin-top:8.5pt;width:476.95pt;height:.1pt;z-index:-15623168;mso-wrap-distance-left:0;mso-wrap-distance-right:0;mso-position-horizontal-relative:page" coordorigin="1300,170" coordsize="9539,0" path="m1300,170r9539,e" filled="f" strokeweight="1.54pt">
            <v:path arrowok="t"/>
            <w10:wrap type="topAndBottom" anchorx="page"/>
          </v:shape>
        </w:pict>
      </w:r>
    </w:p>
    <w:p w:rsidR="00C76E6D" w:rsidRDefault="00913831">
      <w:pPr>
        <w:pStyle w:val="Heading5"/>
        <w:spacing w:before="182"/>
      </w:pPr>
      <w:bookmarkStart w:id="925" w:name="FY2023_Recommendations"/>
      <w:bookmarkEnd w:id="925"/>
      <w:r>
        <w:rPr>
          <w:spacing w:val="-2"/>
        </w:rPr>
        <w:t>FY2023</w:t>
      </w:r>
      <w:r>
        <w:rPr>
          <w:spacing w:val="-4"/>
        </w:rPr>
        <w:t xml:space="preserve"> </w:t>
      </w:r>
      <w:r>
        <w:rPr>
          <w:spacing w:val="-2"/>
        </w:rPr>
        <w:t>Recommendations</w:t>
      </w:r>
    </w:p>
    <w:p w:rsidR="00C76E6D" w:rsidRDefault="00C76E6D">
      <w:pPr>
        <w:pStyle w:val="BodyText"/>
        <w:spacing w:before="11"/>
        <w:rPr>
          <w:b/>
          <w:sz w:val="28"/>
        </w:rPr>
      </w:pPr>
    </w:p>
    <w:p w:rsidR="00C76E6D" w:rsidRDefault="00913831">
      <w:pPr>
        <w:pStyle w:val="ListParagraph"/>
        <w:numPr>
          <w:ilvl w:val="1"/>
          <w:numId w:val="2"/>
        </w:numPr>
        <w:tabs>
          <w:tab w:val="left" w:pos="843"/>
        </w:tabs>
        <w:ind w:hanging="217"/>
      </w:pPr>
      <w:r>
        <w:rPr>
          <w:w w:val="95"/>
        </w:rPr>
        <w:t>Promote</w:t>
      </w:r>
      <w:r>
        <w:rPr>
          <w:spacing w:val="10"/>
        </w:rPr>
        <w:t xml:space="preserve"> </w:t>
      </w:r>
      <w:r>
        <w:rPr>
          <w:w w:val="95"/>
        </w:rPr>
        <w:t>job</w:t>
      </w:r>
      <w:r>
        <w:rPr>
          <w:spacing w:val="16"/>
        </w:rPr>
        <w:t xml:space="preserve"> </w:t>
      </w:r>
      <w:r>
        <w:rPr>
          <w:w w:val="95"/>
        </w:rPr>
        <w:t>opportunities</w:t>
      </w:r>
      <w:r>
        <w:rPr>
          <w:spacing w:val="13"/>
        </w:rPr>
        <w:t xml:space="preserve"> </w:t>
      </w:r>
      <w:r>
        <w:rPr>
          <w:w w:val="95"/>
        </w:rPr>
        <w:t>to</w:t>
      </w:r>
      <w:r>
        <w:rPr>
          <w:spacing w:val="16"/>
        </w:rPr>
        <w:t xml:space="preserve"> </w:t>
      </w:r>
      <w:r>
        <w:rPr>
          <w:w w:val="95"/>
        </w:rPr>
        <w:t>LGBTQ</w:t>
      </w:r>
      <w:r>
        <w:rPr>
          <w:spacing w:val="17"/>
        </w:rPr>
        <w:t xml:space="preserve"> </w:t>
      </w:r>
      <w:r>
        <w:rPr>
          <w:spacing w:val="-2"/>
          <w:w w:val="95"/>
        </w:rPr>
        <w:t>youth.</w:t>
      </w:r>
    </w:p>
    <w:p w:rsidR="00C76E6D" w:rsidRDefault="00C76E6D">
      <w:pPr>
        <w:pStyle w:val="BodyText"/>
        <w:spacing w:before="7"/>
        <w:rPr>
          <w:sz w:val="28"/>
        </w:rPr>
      </w:pPr>
    </w:p>
    <w:p w:rsidR="00C76E6D" w:rsidRDefault="00913831">
      <w:pPr>
        <w:pStyle w:val="ListParagraph"/>
        <w:numPr>
          <w:ilvl w:val="1"/>
          <w:numId w:val="2"/>
        </w:numPr>
        <w:tabs>
          <w:tab w:val="left" w:pos="892"/>
        </w:tabs>
        <w:spacing w:line="276" w:lineRule="auto"/>
        <w:ind w:left="626" w:right="442" w:firstLine="0"/>
      </w:pPr>
      <w:r>
        <w:t>Continue</w:t>
      </w:r>
      <w:r>
        <w:rPr>
          <w:spacing w:val="36"/>
        </w:rPr>
        <w:t xml:space="preserve"> </w:t>
      </w:r>
      <w:r>
        <w:t>updating</w:t>
      </w:r>
      <w:r>
        <w:rPr>
          <w:spacing w:val="36"/>
        </w:rPr>
        <w:t xml:space="preserve"> </w:t>
      </w:r>
      <w:r>
        <w:t>data</w:t>
      </w:r>
      <w:r>
        <w:rPr>
          <w:spacing w:val="37"/>
        </w:rPr>
        <w:t xml:space="preserve"> </w:t>
      </w:r>
      <w:r>
        <w:t>collection</w:t>
      </w:r>
      <w:r>
        <w:rPr>
          <w:spacing w:val="37"/>
        </w:rPr>
        <w:t xml:space="preserve"> </w:t>
      </w:r>
      <w:r>
        <w:t>methods</w:t>
      </w:r>
      <w:r>
        <w:rPr>
          <w:spacing w:val="37"/>
        </w:rPr>
        <w:t xml:space="preserve"> </w:t>
      </w:r>
      <w:r>
        <w:t>to</w:t>
      </w:r>
      <w:r>
        <w:rPr>
          <w:spacing w:val="35"/>
        </w:rPr>
        <w:t xml:space="preserve"> </w:t>
      </w:r>
      <w:r>
        <w:t>reflect</w:t>
      </w:r>
      <w:r>
        <w:rPr>
          <w:spacing w:val="36"/>
        </w:rPr>
        <w:t xml:space="preserve"> </w:t>
      </w:r>
      <w:r>
        <w:t>best</w:t>
      </w:r>
      <w:r>
        <w:rPr>
          <w:spacing w:val="36"/>
        </w:rPr>
        <w:t xml:space="preserve"> </w:t>
      </w:r>
      <w:r>
        <w:t>practices</w:t>
      </w:r>
      <w:r>
        <w:rPr>
          <w:spacing w:val="35"/>
        </w:rPr>
        <w:t xml:space="preserve"> </w:t>
      </w:r>
      <w:r>
        <w:t>on</w:t>
      </w:r>
      <w:r>
        <w:rPr>
          <w:spacing w:val="36"/>
        </w:rPr>
        <w:t xml:space="preserve"> </w:t>
      </w:r>
      <w:r>
        <w:t>LGBTQ-related</w:t>
      </w:r>
      <w:r>
        <w:rPr>
          <w:spacing w:val="36"/>
        </w:rPr>
        <w:t xml:space="preserve"> </w:t>
      </w:r>
      <w:r>
        <w:t>data</w:t>
      </w:r>
      <w:r>
        <w:rPr>
          <w:spacing w:val="36"/>
        </w:rPr>
        <w:t xml:space="preserve"> </w:t>
      </w:r>
      <w:r>
        <w:t>and evaluate that data to improve LGBTQ client experiences.</w:t>
      </w:r>
    </w:p>
    <w:p w:rsidR="00C76E6D" w:rsidRDefault="00C76E6D">
      <w:pPr>
        <w:pStyle w:val="BodyText"/>
        <w:spacing w:before="4"/>
        <w:rPr>
          <w:sz w:val="25"/>
        </w:rPr>
      </w:pPr>
    </w:p>
    <w:p w:rsidR="00C76E6D" w:rsidRDefault="00913831">
      <w:pPr>
        <w:pStyle w:val="ListParagraph"/>
        <w:numPr>
          <w:ilvl w:val="1"/>
          <w:numId w:val="2"/>
        </w:numPr>
        <w:tabs>
          <w:tab w:val="left" w:pos="843"/>
        </w:tabs>
        <w:spacing w:before="1"/>
        <w:ind w:hanging="217"/>
      </w:pPr>
      <w:r>
        <w:rPr>
          <w:spacing w:val="-2"/>
        </w:rPr>
        <w:t>Work</w:t>
      </w:r>
      <w:r>
        <w:rPr>
          <w:spacing w:val="-6"/>
        </w:rPr>
        <w:t xml:space="preserve"> </w:t>
      </w:r>
      <w:r>
        <w:rPr>
          <w:spacing w:val="-2"/>
        </w:rPr>
        <w:t>with the</w:t>
      </w:r>
      <w:r>
        <w:rPr>
          <w:spacing w:val="-4"/>
        </w:rPr>
        <w:t xml:space="preserve"> </w:t>
      </w:r>
      <w:r>
        <w:rPr>
          <w:spacing w:val="-2"/>
        </w:rPr>
        <w:t>Commission</w:t>
      </w:r>
      <w:r>
        <w:rPr>
          <w:spacing w:val="-4"/>
        </w:rPr>
        <w:t xml:space="preserve"> </w:t>
      </w:r>
      <w:r>
        <w:rPr>
          <w:spacing w:val="-2"/>
        </w:rPr>
        <w:t>to offer</w:t>
      </w:r>
      <w:r>
        <w:t xml:space="preserve"> </w:t>
      </w:r>
      <w:r>
        <w:rPr>
          <w:spacing w:val="-2"/>
        </w:rPr>
        <w:t>staff</w:t>
      </w:r>
      <w:r>
        <w:rPr>
          <w:spacing w:val="-4"/>
        </w:rPr>
        <w:t xml:space="preserve"> </w:t>
      </w:r>
      <w:r>
        <w:rPr>
          <w:spacing w:val="-2"/>
        </w:rPr>
        <w:t>and</w:t>
      </w:r>
      <w:r>
        <w:rPr>
          <w:spacing w:val="-3"/>
        </w:rPr>
        <w:t xml:space="preserve"> </w:t>
      </w:r>
      <w:r>
        <w:rPr>
          <w:spacing w:val="-2"/>
        </w:rPr>
        <w:t>partner</w:t>
      </w:r>
      <w:r>
        <w:rPr>
          <w:spacing w:val="-3"/>
        </w:rPr>
        <w:t xml:space="preserve"> </w:t>
      </w:r>
      <w:r>
        <w:rPr>
          <w:spacing w:val="-2"/>
        </w:rPr>
        <w:t>trainings on</w:t>
      </w:r>
      <w:r>
        <w:rPr>
          <w:spacing w:val="-3"/>
        </w:rPr>
        <w:t xml:space="preserve"> </w:t>
      </w:r>
      <w:r>
        <w:rPr>
          <w:spacing w:val="-2"/>
        </w:rPr>
        <w:t>LGBTQ inc</w:t>
      </w:r>
      <w:r>
        <w:rPr>
          <w:spacing w:val="-2"/>
        </w:rPr>
        <w:t>lusion</w:t>
      </w:r>
      <w:r>
        <w:rPr>
          <w:spacing w:val="-5"/>
        </w:rPr>
        <w:t xml:space="preserve"> </w:t>
      </w:r>
      <w:r>
        <w:rPr>
          <w:spacing w:val="-2"/>
        </w:rPr>
        <w:t>and competency.</w:t>
      </w:r>
    </w:p>
    <w:p w:rsidR="00C76E6D" w:rsidRDefault="00C76E6D">
      <w:pPr>
        <w:pStyle w:val="BodyText"/>
        <w:spacing w:before="5"/>
        <w:rPr>
          <w:sz w:val="28"/>
        </w:rPr>
      </w:pPr>
    </w:p>
    <w:p w:rsidR="00C76E6D" w:rsidRDefault="00913831">
      <w:pPr>
        <w:pStyle w:val="ListParagraph"/>
        <w:numPr>
          <w:ilvl w:val="1"/>
          <w:numId w:val="2"/>
        </w:numPr>
        <w:tabs>
          <w:tab w:val="left" w:pos="892"/>
        </w:tabs>
        <w:spacing w:line="276" w:lineRule="auto"/>
        <w:ind w:left="627" w:right="437" w:firstLine="0"/>
      </w:pPr>
      <w:r>
        <w:t>Continue</w:t>
      </w:r>
      <w:r>
        <w:rPr>
          <w:spacing w:val="37"/>
        </w:rPr>
        <w:t xml:space="preserve"> </w:t>
      </w:r>
      <w:r>
        <w:t>to</w:t>
      </w:r>
      <w:r>
        <w:rPr>
          <w:spacing w:val="39"/>
        </w:rPr>
        <w:t xml:space="preserve"> </w:t>
      </w:r>
      <w:r>
        <w:t>partner</w:t>
      </w:r>
      <w:r>
        <w:rPr>
          <w:spacing w:val="37"/>
        </w:rPr>
        <w:t xml:space="preserve"> </w:t>
      </w:r>
      <w:r>
        <w:t>with</w:t>
      </w:r>
      <w:r>
        <w:rPr>
          <w:spacing w:val="37"/>
        </w:rPr>
        <w:t xml:space="preserve"> </w:t>
      </w:r>
      <w:r>
        <w:t>the</w:t>
      </w:r>
      <w:r>
        <w:rPr>
          <w:spacing w:val="36"/>
        </w:rPr>
        <w:t xml:space="preserve"> </w:t>
      </w:r>
      <w:r>
        <w:t>Commission</w:t>
      </w:r>
      <w:r>
        <w:rPr>
          <w:spacing w:val="36"/>
        </w:rPr>
        <w:t xml:space="preserve"> </w:t>
      </w:r>
      <w:r>
        <w:t>and</w:t>
      </w:r>
      <w:r>
        <w:rPr>
          <w:spacing w:val="37"/>
        </w:rPr>
        <w:t xml:space="preserve"> </w:t>
      </w:r>
      <w:r>
        <w:t>social</w:t>
      </w:r>
      <w:r>
        <w:rPr>
          <w:spacing w:val="36"/>
        </w:rPr>
        <w:t xml:space="preserve"> </w:t>
      </w:r>
      <w:r>
        <w:t>service</w:t>
      </w:r>
      <w:r>
        <w:rPr>
          <w:spacing w:val="37"/>
        </w:rPr>
        <w:t xml:space="preserve"> </w:t>
      </w:r>
      <w:r>
        <w:t>providers</w:t>
      </w:r>
      <w:r>
        <w:rPr>
          <w:spacing w:val="36"/>
        </w:rPr>
        <w:t xml:space="preserve"> </w:t>
      </w:r>
      <w:r>
        <w:t>to</w:t>
      </w:r>
      <w:r>
        <w:rPr>
          <w:spacing w:val="36"/>
        </w:rPr>
        <w:t xml:space="preserve"> </w:t>
      </w:r>
      <w:r>
        <w:t>offer</w:t>
      </w:r>
      <w:r>
        <w:rPr>
          <w:spacing w:val="36"/>
        </w:rPr>
        <w:t xml:space="preserve"> </w:t>
      </w:r>
      <w:r>
        <w:t>career</w:t>
      </w:r>
      <w:r>
        <w:rPr>
          <w:spacing w:val="36"/>
        </w:rPr>
        <w:t xml:space="preserve"> </w:t>
      </w:r>
      <w:r>
        <w:t>readiness resources for LGBTQ youth who face barriers to employment.</w:t>
      </w:r>
    </w:p>
    <w:p w:rsidR="00C76E6D" w:rsidRDefault="00C76E6D">
      <w:pPr>
        <w:pStyle w:val="BodyText"/>
      </w:pPr>
    </w:p>
    <w:p w:rsidR="00C76E6D" w:rsidRDefault="00C76E6D">
      <w:pPr>
        <w:pStyle w:val="BodyText"/>
        <w:rPr>
          <w:sz w:val="23"/>
        </w:rPr>
      </w:pPr>
    </w:p>
    <w:p w:rsidR="00C76E6D" w:rsidRDefault="00913831">
      <w:pPr>
        <w:pStyle w:val="Heading5"/>
        <w:spacing w:before="1"/>
      </w:pPr>
      <w:bookmarkStart w:id="926" w:name="Background_&amp;_Research"/>
      <w:bookmarkEnd w:id="926"/>
      <w:r>
        <w:t>Background</w:t>
      </w:r>
      <w:r>
        <w:rPr>
          <w:spacing w:val="-15"/>
        </w:rPr>
        <w:t xml:space="preserve"> </w:t>
      </w:r>
      <w:r>
        <w:t>&amp;</w:t>
      </w:r>
      <w:r>
        <w:rPr>
          <w:spacing w:val="-6"/>
        </w:rPr>
        <w:t xml:space="preserve"> </w:t>
      </w:r>
      <w:r>
        <w:rPr>
          <w:spacing w:val="-2"/>
        </w:rPr>
        <w:t>Research</w:t>
      </w:r>
    </w:p>
    <w:p w:rsidR="00C76E6D" w:rsidRDefault="00913831">
      <w:pPr>
        <w:pStyle w:val="BodyText"/>
        <w:spacing w:before="3"/>
        <w:rPr>
          <w:b/>
          <w:sz w:val="11"/>
        </w:rPr>
      </w:pPr>
      <w:r>
        <w:pict>
          <v:shape id="docshape478" o:spid="_x0000_s1034" style="position:absolute;margin-left:65pt;margin-top:8.05pt;width:476.95pt;height:.1pt;z-index:-15622656;mso-wrap-distance-left:0;mso-wrap-distance-right:0;mso-position-horizontal-relative:page" coordorigin="1300,161" coordsize="9539,0" path="m1300,161r9539,e" filled="f" strokeweight="1.54pt">
            <v:path arrowok="t"/>
            <w10:wrap type="topAndBottom" anchorx="page"/>
          </v:shape>
        </w:pict>
      </w:r>
    </w:p>
    <w:p w:rsidR="00C76E6D" w:rsidRDefault="00C76E6D">
      <w:pPr>
        <w:pStyle w:val="BodyText"/>
        <w:spacing w:before="3"/>
        <w:rPr>
          <w:b/>
          <w:sz w:val="26"/>
        </w:rPr>
      </w:pPr>
    </w:p>
    <w:p w:rsidR="00C76E6D" w:rsidRDefault="00913831">
      <w:pPr>
        <w:pStyle w:val="BodyText"/>
        <w:spacing w:line="276" w:lineRule="auto"/>
        <w:ind w:left="338" w:right="335"/>
        <w:jc w:val="both"/>
      </w:pPr>
      <w:r>
        <w:t>MassHire creates and sustains powerful connections between businesses and job seekers by leveraging a network of 29 MassHire Career Centers and 16 MassHire Workforce Boards located across the Commonwealth. The central MassHire branch, MassHire Department o</w:t>
      </w:r>
      <w:r>
        <w:t>f Career Services (MDCS), oversees workforce development activities, which includes providing access to quality education, skills training, and employment</w:t>
      </w:r>
      <w:r>
        <w:rPr>
          <w:spacing w:val="-2"/>
        </w:rPr>
        <w:t xml:space="preserve"> </w:t>
      </w:r>
      <w:r>
        <w:t>opportunities</w:t>
      </w:r>
      <w:r>
        <w:rPr>
          <w:spacing w:val="-2"/>
        </w:rPr>
        <w:t xml:space="preserve"> </w:t>
      </w:r>
      <w:r>
        <w:t>for</w:t>
      </w:r>
      <w:r>
        <w:rPr>
          <w:spacing w:val="-2"/>
        </w:rPr>
        <w:t xml:space="preserve"> </w:t>
      </w:r>
      <w:r>
        <w:t>job</w:t>
      </w:r>
      <w:r>
        <w:rPr>
          <w:spacing w:val="-2"/>
        </w:rPr>
        <w:t xml:space="preserve"> </w:t>
      </w:r>
      <w:r>
        <w:t>seekers,</w:t>
      </w:r>
      <w:r>
        <w:rPr>
          <w:spacing w:val="-3"/>
        </w:rPr>
        <w:t xml:space="preserve"> </w:t>
      </w:r>
      <w:r>
        <w:t>and</w:t>
      </w:r>
      <w:r>
        <w:rPr>
          <w:spacing w:val="-2"/>
        </w:rPr>
        <w:t xml:space="preserve"> </w:t>
      </w:r>
      <w:r>
        <w:t>partnering</w:t>
      </w:r>
      <w:r>
        <w:rPr>
          <w:spacing w:val="-2"/>
        </w:rPr>
        <w:t xml:space="preserve"> </w:t>
      </w:r>
      <w:r>
        <w:t>with</w:t>
      </w:r>
      <w:r>
        <w:rPr>
          <w:spacing w:val="-2"/>
        </w:rPr>
        <w:t xml:space="preserve"> </w:t>
      </w:r>
      <w:r>
        <w:t>businesses</w:t>
      </w:r>
      <w:r>
        <w:rPr>
          <w:spacing w:val="-2"/>
        </w:rPr>
        <w:t xml:space="preserve"> </w:t>
      </w:r>
      <w:r>
        <w:t>to</w:t>
      </w:r>
      <w:r>
        <w:rPr>
          <w:spacing w:val="-1"/>
        </w:rPr>
        <w:t xml:space="preserve"> </w:t>
      </w:r>
      <w:r>
        <w:t>meet</w:t>
      </w:r>
      <w:r>
        <w:rPr>
          <w:spacing w:val="-2"/>
        </w:rPr>
        <w:t xml:space="preserve"> </w:t>
      </w:r>
      <w:r>
        <w:t>their</w:t>
      </w:r>
      <w:r>
        <w:rPr>
          <w:spacing w:val="-1"/>
        </w:rPr>
        <w:t xml:space="preserve"> </w:t>
      </w:r>
      <w:r>
        <w:t>hiring</w:t>
      </w:r>
      <w:r>
        <w:rPr>
          <w:spacing w:val="-3"/>
        </w:rPr>
        <w:t xml:space="preserve"> </w:t>
      </w:r>
      <w:r>
        <w:t>and</w:t>
      </w:r>
      <w:r>
        <w:rPr>
          <w:spacing w:val="-2"/>
        </w:rPr>
        <w:t xml:space="preserve"> </w:t>
      </w:r>
      <w:r>
        <w:t>industry needs</w:t>
      </w:r>
      <w:r>
        <w:t>,</w:t>
      </w:r>
      <w:r>
        <w:rPr>
          <w:spacing w:val="-7"/>
        </w:rPr>
        <w:t xml:space="preserve"> </w:t>
      </w:r>
      <w:r>
        <w:t>at</w:t>
      </w:r>
      <w:r>
        <w:rPr>
          <w:spacing w:val="-7"/>
        </w:rPr>
        <w:t xml:space="preserve"> </w:t>
      </w:r>
      <w:r>
        <w:t>all</w:t>
      </w:r>
      <w:r>
        <w:rPr>
          <w:spacing w:val="-5"/>
        </w:rPr>
        <w:t xml:space="preserve"> </w:t>
      </w:r>
      <w:r>
        <w:t>MassHire</w:t>
      </w:r>
      <w:r>
        <w:rPr>
          <w:spacing w:val="-8"/>
        </w:rPr>
        <w:t xml:space="preserve"> </w:t>
      </w:r>
      <w:r>
        <w:t>locations.</w:t>
      </w:r>
      <w:r>
        <w:rPr>
          <w:spacing w:val="-8"/>
        </w:rPr>
        <w:t xml:space="preserve"> </w:t>
      </w:r>
      <w:r>
        <w:t>The</w:t>
      </w:r>
      <w:r>
        <w:rPr>
          <w:spacing w:val="-7"/>
        </w:rPr>
        <w:t xml:space="preserve"> </w:t>
      </w:r>
      <w:r>
        <w:t>Commission</w:t>
      </w:r>
      <w:r>
        <w:rPr>
          <w:spacing w:val="-8"/>
        </w:rPr>
        <w:t xml:space="preserve"> </w:t>
      </w:r>
      <w:r>
        <w:t>had</w:t>
      </w:r>
      <w:r>
        <w:rPr>
          <w:spacing w:val="-8"/>
        </w:rPr>
        <w:t xml:space="preserve"> </w:t>
      </w:r>
      <w:r>
        <w:t>previously</w:t>
      </w:r>
      <w:r>
        <w:rPr>
          <w:spacing w:val="-6"/>
        </w:rPr>
        <w:t xml:space="preserve"> </w:t>
      </w:r>
      <w:r>
        <w:t>worked</w:t>
      </w:r>
      <w:r>
        <w:rPr>
          <w:spacing w:val="-7"/>
        </w:rPr>
        <w:t xml:space="preserve"> </w:t>
      </w:r>
      <w:r>
        <w:t>with</w:t>
      </w:r>
      <w:r>
        <w:rPr>
          <w:spacing w:val="-6"/>
        </w:rPr>
        <w:t xml:space="preserve"> </w:t>
      </w:r>
      <w:r>
        <w:t>MassHire</w:t>
      </w:r>
      <w:r>
        <w:rPr>
          <w:spacing w:val="-6"/>
        </w:rPr>
        <w:t xml:space="preserve"> </w:t>
      </w:r>
      <w:r>
        <w:t>to</w:t>
      </w:r>
      <w:r>
        <w:rPr>
          <w:spacing w:val="-6"/>
        </w:rPr>
        <w:t xml:space="preserve"> </w:t>
      </w:r>
      <w:r>
        <w:t>update</w:t>
      </w:r>
      <w:r>
        <w:rPr>
          <w:spacing w:val="-7"/>
        </w:rPr>
        <w:t xml:space="preserve"> </w:t>
      </w:r>
      <w:r>
        <w:t>and</w:t>
      </w:r>
      <w:r>
        <w:rPr>
          <w:spacing w:val="-8"/>
        </w:rPr>
        <w:t xml:space="preserve"> </w:t>
      </w:r>
      <w:r>
        <w:t>revise its nondiscrimination policy to be LGBTQ-inclusive. Nondiscrimination and best practice guidelines were released to all MDCS staff and career centers in June 2017.</w:t>
      </w:r>
    </w:p>
    <w:p w:rsidR="00C76E6D" w:rsidRDefault="00C76E6D">
      <w:pPr>
        <w:pStyle w:val="BodyText"/>
        <w:spacing w:before="8"/>
        <w:rPr>
          <w:sz w:val="19"/>
        </w:rPr>
      </w:pPr>
    </w:p>
    <w:p w:rsidR="00C76E6D" w:rsidRDefault="00913831">
      <w:pPr>
        <w:pStyle w:val="BodyText"/>
        <w:spacing w:line="276" w:lineRule="auto"/>
        <w:ind w:left="338" w:right="333"/>
        <w:jc w:val="both"/>
      </w:pPr>
      <w:r>
        <w:t>LGBTQ youth are more likely to experience several risk factors that make obtaining e</w:t>
      </w:r>
      <w:r>
        <w:t>mployment more difficult,</w:t>
      </w:r>
      <w:r>
        <w:rPr>
          <w:spacing w:val="-3"/>
        </w:rPr>
        <w:t xml:space="preserve"> </w:t>
      </w:r>
      <w:r>
        <w:t>such</w:t>
      </w:r>
      <w:r>
        <w:rPr>
          <w:spacing w:val="-2"/>
        </w:rPr>
        <w:t xml:space="preserve"> </w:t>
      </w:r>
      <w:r>
        <w:t>as</w:t>
      </w:r>
      <w:r>
        <w:rPr>
          <w:spacing w:val="-2"/>
        </w:rPr>
        <w:t xml:space="preserve"> </w:t>
      </w:r>
      <w:r>
        <w:t>homelessness,</w:t>
      </w:r>
      <w:r>
        <w:rPr>
          <w:spacing w:val="-3"/>
        </w:rPr>
        <w:t xml:space="preserve"> </w:t>
      </w:r>
      <w:r>
        <w:t>unsafe</w:t>
      </w:r>
      <w:r>
        <w:rPr>
          <w:spacing w:val="-1"/>
        </w:rPr>
        <w:t xml:space="preserve"> </w:t>
      </w:r>
      <w:r>
        <w:t>educational</w:t>
      </w:r>
      <w:r>
        <w:rPr>
          <w:spacing w:val="-3"/>
        </w:rPr>
        <w:t xml:space="preserve"> </w:t>
      </w:r>
      <w:r>
        <w:t>environments, lacking</w:t>
      </w:r>
      <w:r>
        <w:rPr>
          <w:spacing w:val="-3"/>
        </w:rPr>
        <w:t xml:space="preserve"> </w:t>
      </w:r>
      <w:r>
        <w:t>proper</w:t>
      </w:r>
      <w:r>
        <w:rPr>
          <w:spacing w:val="-3"/>
        </w:rPr>
        <w:t xml:space="preserve"> </w:t>
      </w:r>
      <w:r>
        <w:t>ID,</w:t>
      </w:r>
      <w:r>
        <w:rPr>
          <w:spacing w:val="-2"/>
        </w:rPr>
        <w:t xml:space="preserve"> </w:t>
      </w:r>
      <w:r>
        <w:t>and</w:t>
      </w:r>
      <w:r>
        <w:rPr>
          <w:spacing w:val="-3"/>
        </w:rPr>
        <w:t xml:space="preserve"> </w:t>
      </w:r>
      <w:r>
        <w:t>involvement</w:t>
      </w:r>
      <w:r>
        <w:rPr>
          <w:spacing w:val="-2"/>
        </w:rPr>
        <w:t xml:space="preserve"> </w:t>
      </w:r>
      <w:r>
        <w:t>in</w:t>
      </w:r>
      <w:r>
        <w:rPr>
          <w:spacing w:val="-1"/>
        </w:rPr>
        <w:t xml:space="preserve"> </w:t>
      </w:r>
      <w:r>
        <w:t>the criminal</w:t>
      </w:r>
      <w:r>
        <w:rPr>
          <w:spacing w:val="-9"/>
        </w:rPr>
        <w:t xml:space="preserve"> </w:t>
      </w:r>
      <w:r>
        <w:t>justice</w:t>
      </w:r>
      <w:r>
        <w:rPr>
          <w:spacing w:val="-9"/>
        </w:rPr>
        <w:t xml:space="preserve"> </w:t>
      </w:r>
      <w:r>
        <w:t>system.</w:t>
      </w:r>
      <w:r>
        <w:rPr>
          <w:spacing w:val="-7"/>
        </w:rPr>
        <w:t xml:space="preserve"> </w:t>
      </w:r>
      <w:r>
        <w:t>Unsafe</w:t>
      </w:r>
      <w:r>
        <w:rPr>
          <w:spacing w:val="-9"/>
        </w:rPr>
        <w:t xml:space="preserve"> </w:t>
      </w:r>
      <w:r>
        <w:t>or</w:t>
      </w:r>
      <w:r>
        <w:rPr>
          <w:spacing w:val="-10"/>
        </w:rPr>
        <w:t xml:space="preserve"> </w:t>
      </w:r>
      <w:r>
        <w:t>under-resourced</w:t>
      </w:r>
      <w:r>
        <w:rPr>
          <w:spacing w:val="-9"/>
        </w:rPr>
        <w:t xml:space="preserve"> </w:t>
      </w:r>
      <w:r>
        <w:t>schools</w:t>
      </w:r>
      <w:r>
        <w:rPr>
          <w:spacing w:val="-10"/>
        </w:rPr>
        <w:t xml:space="preserve"> </w:t>
      </w:r>
      <w:r>
        <w:t>and</w:t>
      </w:r>
      <w:r>
        <w:rPr>
          <w:spacing w:val="-8"/>
        </w:rPr>
        <w:t xml:space="preserve"> </w:t>
      </w:r>
      <w:r>
        <w:t>disproportionate</w:t>
      </w:r>
      <w:r>
        <w:rPr>
          <w:spacing w:val="-9"/>
        </w:rPr>
        <w:t xml:space="preserve"> </w:t>
      </w:r>
      <w:r>
        <w:t>rates</w:t>
      </w:r>
      <w:r>
        <w:rPr>
          <w:spacing w:val="-7"/>
        </w:rPr>
        <w:t xml:space="preserve"> </w:t>
      </w:r>
      <w:r>
        <w:t>of</w:t>
      </w:r>
      <w:r>
        <w:rPr>
          <w:spacing w:val="-9"/>
        </w:rPr>
        <w:t xml:space="preserve"> </w:t>
      </w:r>
      <w:r>
        <w:t>school</w:t>
      </w:r>
      <w:r>
        <w:rPr>
          <w:spacing w:val="-9"/>
        </w:rPr>
        <w:t xml:space="preserve"> </w:t>
      </w:r>
      <w:r>
        <w:t>suspensions and</w:t>
      </w:r>
      <w:r>
        <w:rPr>
          <w:spacing w:val="-9"/>
        </w:rPr>
        <w:t xml:space="preserve"> </w:t>
      </w:r>
      <w:r>
        <w:t>arrests</w:t>
      </w:r>
      <w:r>
        <w:rPr>
          <w:spacing w:val="-9"/>
        </w:rPr>
        <w:t xml:space="preserve"> </w:t>
      </w:r>
      <w:r>
        <w:t>put</w:t>
      </w:r>
      <w:r>
        <w:rPr>
          <w:spacing w:val="-10"/>
        </w:rPr>
        <w:t xml:space="preserve"> </w:t>
      </w:r>
      <w:r>
        <w:t>LGBTQ</w:t>
      </w:r>
      <w:r>
        <w:rPr>
          <w:spacing w:val="-9"/>
        </w:rPr>
        <w:t xml:space="preserve"> </w:t>
      </w:r>
      <w:r>
        <w:t>you</w:t>
      </w:r>
      <w:r>
        <w:t>th</w:t>
      </w:r>
      <w:r>
        <w:rPr>
          <w:spacing w:val="-9"/>
        </w:rPr>
        <w:t xml:space="preserve"> </w:t>
      </w:r>
      <w:r>
        <w:t>of</w:t>
      </w:r>
      <w:r>
        <w:rPr>
          <w:spacing w:val="-9"/>
        </w:rPr>
        <w:t xml:space="preserve"> </w:t>
      </w:r>
      <w:r>
        <w:t>color</w:t>
      </w:r>
      <w:r>
        <w:rPr>
          <w:spacing w:val="-9"/>
        </w:rPr>
        <w:t xml:space="preserve"> </w:t>
      </w:r>
      <w:r>
        <w:t>at</w:t>
      </w:r>
      <w:r>
        <w:rPr>
          <w:spacing w:val="-7"/>
        </w:rPr>
        <w:t xml:space="preserve"> </w:t>
      </w:r>
      <w:r>
        <w:t>a</w:t>
      </w:r>
      <w:r>
        <w:rPr>
          <w:spacing w:val="-10"/>
        </w:rPr>
        <w:t xml:space="preserve"> </w:t>
      </w:r>
      <w:r>
        <w:t>particular</w:t>
      </w:r>
      <w:r>
        <w:rPr>
          <w:spacing w:val="-9"/>
        </w:rPr>
        <w:t xml:space="preserve"> </w:t>
      </w:r>
      <w:r>
        <w:t>disadvantage</w:t>
      </w:r>
      <w:r>
        <w:rPr>
          <w:spacing w:val="-9"/>
        </w:rPr>
        <w:t xml:space="preserve"> </w:t>
      </w:r>
      <w:r>
        <w:t>when</w:t>
      </w:r>
      <w:r>
        <w:rPr>
          <w:spacing w:val="-9"/>
        </w:rPr>
        <w:t xml:space="preserve"> </w:t>
      </w:r>
      <w:r>
        <w:t>entering</w:t>
      </w:r>
      <w:r>
        <w:rPr>
          <w:spacing w:val="-8"/>
        </w:rPr>
        <w:t xml:space="preserve"> </w:t>
      </w:r>
      <w:r>
        <w:t>the</w:t>
      </w:r>
      <w:r>
        <w:rPr>
          <w:spacing w:val="-9"/>
        </w:rPr>
        <w:t xml:space="preserve"> </w:t>
      </w:r>
      <w:r>
        <w:t>workforce.</w:t>
      </w:r>
      <w:r>
        <w:rPr>
          <w:spacing w:val="-10"/>
        </w:rPr>
        <w:t xml:space="preserve"> </w:t>
      </w:r>
      <w:r>
        <w:t>Transgender adults and LGBTQ adults of color have significantly higher unemployment rates than the national average, suggesting</w:t>
      </w:r>
      <w:r>
        <w:rPr>
          <w:spacing w:val="-6"/>
        </w:rPr>
        <w:t xml:space="preserve"> </w:t>
      </w:r>
      <w:r>
        <w:t>that</w:t>
      </w:r>
      <w:r>
        <w:rPr>
          <w:spacing w:val="-8"/>
        </w:rPr>
        <w:t xml:space="preserve"> </w:t>
      </w:r>
      <w:r>
        <w:t>the</w:t>
      </w:r>
      <w:r>
        <w:rPr>
          <w:spacing w:val="-8"/>
        </w:rPr>
        <w:t xml:space="preserve"> </w:t>
      </w:r>
      <w:r>
        <w:t>obstacles</w:t>
      </w:r>
      <w:r>
        <w:rPr>
          <w:spacing w:val="-8"/>
        </w:rPr>
        <w:t xml:space="preserve"> </w:t>
      </w:r>
      <w:r>
        <w:t>that</w:t>
      </w:r>
      <w:r>
        <w:rPr>
          <w:spacing w:val="-7"/>
        </w:rPr>
        <w:t xml:space="preserve"> </w:t>
      </w:r>
      <w:r>
        <w:t>LGBTQ</w:t>
      </w:r>
      <w:r>
        <w:rPr>
          <w:spacing w:val="-8"/>
        </w:rPr>
        <w:t xml:space="preserve"> </w:t>
      </w:r>
      <w:r>
        <w:t>youth</w:t>
      </w:r>
      <w:r>
        <w:rPr>
          <w:spacing w:val="-8"/>
        </w:rPr>
        <w:t xml:space="preserve"> </w:t>
      </w:r>
      <w:r>
        <w:t>face</w:t>
      </w:r>
      <w:r>
        <w:rPr>
          <w:spacing w:val="-7"/>
        </w:rPr>
        <w:t xml:space="preserve"> </w:t>
      </w:r>
      <w:r>
        <w:t>in</w:t>
      </w:r>
      <w:r>
        <w:rPr>
          <w:spacing w:val="-8"/>
        </w:rPr>
        <w:t xml:space="preserve"> </w:t>
      </w:r>
      <w:r>
        <w:t>obtaining</w:t>
      </w:r>
      <w:r>
        <w:rPr>
          <w:spacing w:val="-7"/>
        </w:rPr>
        <w:t xml:space="preserve"> </w:t>
      </w:r>
      <w:r>
        <w:t>employment</w:t>
      </w:r>
      <w:r>
        <w:rPr>
          <w:spacing w:val="-8"/>
        </w:rPr>
        <w:t xml:space="preserve"> </w:t>
      </w:r>
      <w:r>
        <w:t>often</w:t>
      </w:r>
      <w:r>
        <w:rPr>
          <w:spacing w:val="-8"/>
        </w:rPr>
        <w:t xml:space="preserve"> </w:t>
      </w:r>
      <w:r>
        <w:t>follow</w:t>
      </w:r>
      <w:r>
        <w:rPr>
          <w:spacing w:val="-5"/>
        </w:rPr>
        <w:t xml:space="preserve"> </w:t>
      </w:r>
      <w:r>
        <w:t>them</w:t>
      </w:r>
      <w:r>
        <w:rPr>
          <w:spacing w:val="-7"/>
        </w:rPr>
        <w:t xml:space="preserve"> </w:t>
      </w:r>
      <w:r>
        <w:t>throughout their lifespans</w:t>
      </w:r>
      <w:hyperlink w:anchor="_bookmark644" w:history="1">
        <w:r>
          <w:t>.</w:t>
        </w:r>
        <w:r>
          <w:rPr>
            <w:vertAlign w:val="superscript"/>
          </w:rPr>
          <w:t>1</w:t>
        </w:r>
      </w:hyperlink>
    </w:p>
    <w:p w:rsidR="00C76E6D" w:rsidRDefault="00C76E6D">
      <w:pPr>
        <w:pStyle w:val="BodyText"/>
        <w:spacing w:before="9"/>
        <w:rPr>
          <w:sz w:val="19"/>
        </w:rPr>
      </w:pPr>
    </w:p>
    <w:p w:rsidR="00C76E6D" w:rsidRDefault="00913831">
      <w:pPr>
        <w:pStyle w:val="BodyText"/>
        <w:spacing w:line="276" w:lineRule="auto"/>
        <w:ind w:left="338" w:right="335"/>
        <w:jc w:val="both"/>
      </w:pPr>
      <w:r>
        <w:t>A survey of LGBTQ youth of color who live, work, or spend time in Boston found that while significant numbers had access to leadership development and skill-building</w:t>
      </w:r>
      <w:r>
        <w:t xml:space="preserve"> opportunities, only 57% had a paid job or internship, with many more wanting but lacking such opportunities. Approximately one in five respondents felt</w:t>
      </w:r>
      <w:r>
        <w:rPr>
          <w:spacing w:val="-12"/>
        </w:rPr>
        <w:t xml:space="preserve"> </w:t>
      </w:r>
      <w:r>
        <w:t>there</w:t>
      </w:r>
      <w:r>
        <w:rPr>
          <w:spacing w:val="-10"/>
        </w:rPr>
        <w:t xml:space="preserve"> </w:t>
      </w:r>
      <w:r>
        <w:t>was</w:t>
      </w:r>
      <w:r>
        <w:rPr>
          <w:spacing w:val="-10"/>
        </w:rPr>
        <w:t xml:space="preserve"> </w:t>
      </w:r>
      <w:r>
        <w:t>no</w:t>
      </w:r>
      <w:r>
        <w:rPr>
          <w:spacing w:val="-10"/>
        </w:rPr>
        <w:t xml:space="preserve"> </w:t>
      </w:r>
      <w:r>
        <w:t>more</w:t>
      </w:r>
      <w:r>
        <w:rPr>
          <w:spacing w:val="-10"/>
        </w:rPr>
        <w:t xml:space="preserve"> </w:t>
      </w:r>
      <w:r>
        <w:t>than</w:t>
      </w:r>
      <w:r>
        <w:rPr>
          <w:spacing w:val="-12"/>
        </w:rPr>
        <w:t xml:space="preserve"> </w:t>
      </w:r>
      <w:r>
        <w:t>a</w:t>
      </w:r>
      <w:r>
        <w:rPr>
          <w:spacing w:val="-10"/>
        </w:rPr>
        <w:t xml:space="preserve"> </w:t>
      </w:r>
      <w:r>
        <w:t>50%</w:t>
      </w:r>
      <w:r>
        <w:rPr>
          <w:spacing w:val="-10"/>
        </w:rPr>
        <w:t xml:space="preserve"> </w:t>
      </w:r>
      <w:r>
        <w:t>chance</w:t>
      </w:r>
      <w:r>
        <w:rPr>
          <w:spacing w:val="-11"/>
        </w:rPr>
        <w:t xml:space="preserve"> </w:t>
      </w:r>
      <w:r>
        <w:t>that</w:t>
      </w:r>
      <w:r>
        <w:rPr>
          <w:spacing w:val="-9"/>
        </w:rPr>
        <w:t xml:space="preserve"> </w:t>
      </w:r>
      <w:r>
        <w:t>they</w:t>
      </w:r>
      <w:r>
        <w:rPr>
          <w:spacing w:val="-9"/>
        </w:rPr>
        <w:t xml:space="preserve"> </w:t>
      </w:r>
      <w:r>
        <w:t>would</w:t>
      </w:r>
      <w:r>
        <w:rPr>
          <w:spacing w:val="-11"/>
        </w:rPr>
        <w:t xml:space="preserve"> </w:t>
      </w:r>
      <w:r>
        <w:t>have</w:t>
      </w:r>
      <w:r>
        <w:rPr>
          <w:spacing w:val="-10"/>
        </w:rPr>
        <w:t xml:space="preserve"> </w:t>
      </w:r>
      <w:r>
        <w:t>a</w:t>
      </w:r>
      <w:r>
        <w:rPr>
          <w:spacing w:val="-9"/>
        </w:rPr>
        <w:t xml:space="preserve"> </w:t>
      </w:r>
      <w:r>
        <w:t>good</w:t>
      </w:r>
      <w:r>
        <w:rPr>
          <w:spacing w:val="-11"/>
        </w:rPr>
        <w:t xml:space="preserve"> </w:t>
      </w:r>
      <w:r>
        <w:t>job</w:t>
      </w:r>
      <w:r>
        <w:rPr>
          <w:spacing w:val="-12"/>
        </w:rPr>
        <w:t xml:space="preserve"> </w:t>
      </w:r>
      <w:r>
        <w:t>by</w:t>
      </w:r>
      <w:r>
        <w:rPr>
          <w:spacing w:val="-10"/>
        </w:rPr>
        <w:t xml:space="preserve"> </w:t>
      </w:r>
      <w:r>
        <w:t>the</w:t>
      </w:r>
      <w:r>
        <w:rPr>
          <w:spacing w:val="-10"/>
        </w:rPr>
        <w:t xml:space="preserve"> </w:t>
      </w:r>
      <w:r>
        <w:t>age</w:t>
      </w:r>
      <w:r>
        <w:rPr>
          <w:spacing w:val="-10"/>
        </w:rPr>
        <w:t xml:space="preserve"> </w:t>
      </w:r>
      <w:r>
        <w:t>of</w:t>
      </w:r>
      <w:r>
        <w:rPr>
          <w:spacing w:val="-10"/>
        </w:rPr>
        <w:t xml:space="preserve"> </w:t>
      </w:r>
      <w:r>
        <w:t>30.</w:t>
      </w:r>
      <w:hyperlink w:anchor="_bookmark645" w:history="1">
        <w:r>
          <w:rPr>
            <w:vertAlign w:val="superscript"/>
          </w:rPr>
          <w:t>2</w:t>
        </w:r>
        <w:r>
          <w:rPr>
            <w:spacing w:val="-12"/>
          </w:rPr>
          <w:t xml:space="preserve"> </w:t>
        </w:r>
      </w:hyperlink>
      <w:r>
        <w:t>To</w:t>
      </w:r>
      <w:r>
        <w:rPr>
          <w:spacing w:val="-10"/>
        </w:rPr>
        <w:t xml:space="preserve"> </w:t>
      </w:r>
      <w:r>
        <w:t>secure</w:t>
      </w:r>
      <w:r>
        <w:rPr>
          <w:spacing w:val="-11"/>
        </w:rPr>
        <w:t xml:space="preserve"> </w:t>
      </w:r>
      <w:r>
        <w:t>stable and</w:t>
      </w:r>
      <w:r>
        <w:rPr>
          <w:spacing w:val="-13"/>
        </w:rPr>
        <w:t xml:space="preserve"> </w:t>
      </w:r>
      <w:r>
        <w:t>meaningful</w:t>
      </w:r>
      <w:r>
        <w:rPr>
          <w:spacing w:val="-12"/>
        </w:rPr>
        <w:t xml:space="preserve"> </w:t>
      </w:r>
      <w:r>
        <w:t>employment,</w:t>
      </w:r>
      <w:r>
        <w:rPr>
          <w:spacing w:val="-13"/>
        </w:rPr>
        <w:t xml:space="preserve"> </w:t>
      </w:r>
      <w:r>
        <w:t>LGBTQ</w:t>
      </w:r>
      <w:r>
        <w:rPr>
          <w:spacing w:val="-12"/>
        </w:rPr>
        <w:t xml:space="preserve"> </w:t>
      </w:r>
      <w:r>
        <w:t>young</w:t>
      </w:r>
      <w:r>
        <w:rPr>
          <w:spacing w:val="-13"/>
        </w:rPr>
        <w:t xml:space="preserve"> </w:t>
      </w:r>
      <w:r>
        <w:t>people</w:t>
      </w:r>
      <w:r>
        <w:rPr>
          <w:spacing w:val="-12"/>
        </w:rPr>
        <w:t xml:space="preserve"> </w:t>
      </w:r>
      <w:r>
        <w:t>need</w:t>
      </w:r>
      <w:r>
        <w:rPr>
          <w:spacing w:val="-13"/>
        </w:rPr>
        <w:t xml:space="preserve"> </w:t>
      </w:r>
      <w:r>
        <w:t>access</w:t>
      </w:r>
      <w:r>
        <w:rPr>
          <w:spacing w:val="-12"/>
        </w:rPr>
        <w:t xml:space="preserve"> </w:t>
      </w:r>
      <w:r>
        <w:t>to</w:t>
      </w:r>
      <w:r>
        <w:rPr>
          <w:spacing w:val="-12"/>
        </w:rPr>
        <w:t xml:space="preserve"> </w:t>
      </w:r>
      <w:r>
        <w:t>quality</w:t>
      </w:r>
      <w:r>
        <w:rPr>
          <w:spacing w:val="-13"/>
        </w:rPr>
        <w:t xml:space="preserve"> </w:t>
      </w:r>
      <w:r>
        <w:t>career</w:t>
      </w:r>
      <w:r>
        <w:rPr>
          <w:spacing w:val="-12"/>
        </w:rPr>
        <w:t xml:space="preserve"> </w:t>
      </w:r>
      <w:r>
        <w:t>development</w:t>
      </w:r>
      <w:r>
        <w:rPr>
          <w:spacing w:val="-13"/>
        </w:rPr>
        <w:t xml:space="preserve"> </w:t>
      </w:r>
      <w:r>
        <w:t>programs</w:t>
      </w:r>
      <w:r>
        <w:rPr>
          <w:spacing w:val="-12"/>
        </w:rPr>
        <w:t xml:space="preserve"> </w:t>
      </w:r>
      <w:r>
        <w:t>that address the</w:t>
      </w:r>
      <w:r>
        <w:rPr>
          <w:spacing w:val="-1"/>
        </w:rPr>
        <w:t xml:space="preserve"> </w:t>
      </w:r>
      <w:r>
        <w:t>specific</w:t>
      </w:r>
      <w:r>
        <w:rPr>
          <w:spacing w:val="-1"/>
        </w:rPr>
        <w:t xml:space="preserve"> </w:t>
      </w:r>
      <w:r>
        <w:t>challenges they face, as well</w:t>
      </w:r>
      <w:r>
        <w:rPr>
          <w:spacing w:val="-2"/>
        </w:rPr>
        <w:t xml:space="preserve"> </w:t>
      </w:r>
      <w:r>
        <w:t>as employers who are</w:t>
      </w:r>
      <w:r>
        <w:rPr>
          <w:spacing w:val="-2"/>
        </w:rPr>
        <w:t xml:space="preserve"> </w:t>
      </w:r>
      <w:r>
        <w:t>willing to hire them. In</w:t>
      </w:r>
      <w:r>
        <w:rPr>
          <w:spacing w:val="-1"/>
        </w:rPr>
        <w:t xml:space="preserve"> </w:t>
      </w:r>
      <w:r>
        <w:t>this way</w:t>
      </w:r>
      <w:r>
        <w:t>, the missions of MassHire and the Commission intersect, and the Commission is looking forward to partnering with MassHire to ensure LGBTQ youth have access to quality employment opportunities.</w:t>
      </w:r>
    </w:p>
    <w:p w:rsidR="00C76E6D" w:rsidRDefault="00C76E6D">
      <w:pPr>
        <w:spacing w:line="276" w:lineRule="auto"/>
        <w:jc w:val="both"/>
        <w:sectPr w:rsidR="00C76E6D">
          <w:headerReference w:type="default" r:id="rId470"/>
          <w:footerReference w:type="default" r:id="rId471"/>
          <w:pgSz w:w="12240" w:h="15840"/>
          <w:pgMar w:top="1000" w:right="960" w:bottom="720" w:left="960" w:header="811" w:footer="531" w:gutter="0"/>
          <w:cols w:space="720"/>
        </w:sectPr>
      </w:pPr>
    </w:p>
    <w:p w:rsidR="00C76E6D" w:rsidRDefault="00C76E6D">
      <w:pPr>
        <w:pStyle w:val="BodyText"/>
        <w:rPr>
          <w:sz w:val="24"/>
        </w:rPr>
      </w:pPr>
    </w:p>
    <w:p w:rsidR="00C76E6D" w:rsidRDefault="00913831">
      <w:pPr>
        <w:pStyle w:val="BodyText"/>
        <w:spacing w:before="56" w:line="276" w:lineRule="auto"/>
        <w:ind w:left="338" w:right="336"/>
        <w:jc w:val="both"/>
      </w:pPr>
      <w:r>
        <w:t>One way to address LGBTQ-inclusive career services is by planning and creating career fairs that are specifically</w:t>
      </w:r>
      <w:r>
        <w:rPr>
          <w:spacing w:val="-13"/>
        </w:rPr>
        <w:t xml:space="preserve"> </w:t>
      </w:r>
      <w:r>
        <w:t>targeted</w:t>
      </w:r>
      <w:r>
        <w:rPr>
          <w:spacing w:val="-12"/>
        </w:rPr>
        <w:t xml:space="preserve"> </w:t>
      </w:r>
      <w:r>
        <w:t>toward</w:t>
      </w:r>
      <w:r>
        <w:rPr>
          <w:spacing w:val="-13"/>
        </w:rPr>
        <w:t xml:space="preserve"> </w:t>
      </w:r>
      <w:r>
        <w:t>LGBTQ</w:t>
      </w:r>
      <w:r>
        <w:rPr>
          <w:spacing w:val="-12"/>
        </w:rPr>
        <w:t xml:space="preserve"> </w:t>
      </w:r>
      <w:r>
        <w:t>youth.</w:t>
      </w:r>
      <w:r>
        <w:rPr>
          <w:spacing w:val="-13"/>
        </w:rPr>
        <w:t xml:space="preserve"> </w:t>
      </w:r>
      <w:r>
        <w:t>Several</w:t>
      </w:r>
      <w:r>
        <w:rPr>
          <w:spacing w:val="-12"/>
        </w:rPr>
        <w:t xml:space="preserve"> </w:t>
      </w:r>
      <w:r>
        <w:t>organizations</w:t>
      </w:r>
      <w:r>
        <w:rPr>
          <w:spacing w:val="-13"/>
        </w:rPr>
        <w:t xml:space="preserve"> </w:t>
      </w:r>
      <w:r>
        <w:t>offer</w:t>
      </w:r>
      <w:r>
        <w:rPr>
          <w:spacing w:val="-12"/>
        </w:rPr>
        <w:t xml:space="preserve"> </w:t>
      </w:r>
      <w:r>
        <w:t>LGBTQ-specific</w:t>
      </w:r>
      <w:r>
        <w:rPr>
          <w:spacing w:val="-12"/>
        </w:rPr>
        <w:t xml:space="preserve"> </w:t>
      </w:r>
      <w:r>
        <w:t>career</w:t>
      </w:r>
      <w:r>
        <w:rPr>
          <w:spacing w:val="-13"/>
        </w:rPr>
        <w:t xml:space="preserve"> </w:t>
      </w:r>
      <w:r>
        <w:t>and</w:t>
      </w:r>
      <w:r>
        <w:rPr>
          <w:spacing w:val="-12"/>
        </w:rPr>
        <w:t xml:space="preserve"> </w:t>
      </w:r>
      <w:r>
        <w:t>college</w:t>
      </w:r>
      <w:r>
        <w:rPr>
          <w:spacing w:val="-13"/>
        </w:rPr>
        <w:t xml:space="preserve"> </w:t>
      </w:r>
      <w:r>
        <w:t xml:space="preserve">fairs, but these are few in number </w:t>
      </w:r>
      <w:r>
        <w:t>and are sparsely spread throughout the country</w:t>
      </w:r>
      <w:hyperlink w:anchor="_bookmark646" w:history="1">
        <w:r>
          <w:t>.</w:t>
        </w:r>
        <w:r>
          <w:rPr>
            <w:vertAlign w:val="superscript"/>
          </w:rPr>
          <w:t>3</w:t>
        </w:r>
        <w:r>
          <w:t xml:space="preserve"> </w:t>
        </w:r>
      </w:hyperlink>
      <w:r>
        <w:t>The support of MassHire in establishing an LGBTQ youth-focused career fair might provide inclusive career options for many Massachusetts youth in need of them.</w:t>
      </w:r>
    </w:p>
    <w:p w:rsidR="00C76E6D" w:rsidRDefault="00C76E6D">
      <w:pPr>
        <w:pStyle w:val="BodyText"/>
        <w:spacing w:before="7"/>
        <w:rPr>
          <w:sz w:val="25"/>
        </w:rPr>
      </w:pPr>
    </w:p>
    <w:p w:rsidR="00C76E6D" w:rsidRDefault="00913831">
      <w:pPr>
        <w:pStyle w:val="Heading5"/>
        <w:jc w:val="both"/>
      </w:pPr>
      <w:bookmarkStart w:id="927" w:name="Expanded_Recommendations"/>
      <w:bookmarkEnd w:id="927"/>
      <w:r>
        <w:rPr>
          <w:spacing w:val="-2"/>
        </w:rPr>
        <w:t>Expanded</w:t>
      </w:r>
      <w:r>
        <w:t xml:space="preserve"> </w:t>
      </w:r>
      <w:r>
        <w:rPr>
          <w:spacing w:val="-2"/>
        </w:rPr>
        <w:t>Recom</w:t>
      </w:r>
      <w:r>
        <w:rPr>
          <w:spacing w:val="-2"/>
        </w:rPr>
        <w:t>mendations</w:t>
      </w:r>
    </w:p>
    <w:p w:rsidR="00C76E6D" w:rsidRDefault="00913831">
      <w:pPr>
        <w:pStyle w:val="BodyText"/>
        <w:spacing w:before="11"/>
        <w:rPr>
          <w:b/>
          <w:sz w:val="6"/>
        </w:rPr>
      </w:pPr>
      <w:r>
        <w:pict>
          <v:shape id="docshape479" o:spid="_x0000_s1033" style="position:absolute;margin-left:65pt;margin-top:5.4pt;width:476.95pt;height:.1pt;z-index:-15622144;mso-wrap-distance-left:0;mso-wrap-distance-right:0;mso-position-horizontal-relative:page" coordorigin="1300,108" coordsize="9539,0" path="m1300,108r9539,e" filled="f" strokeweight="1.54pt">
            <v:path arrowok="t"/>
            <w10:wrap type="topAndBottom" anchorx="page"/>
          </v:shape>
        </w:pict>
      </w:r>
    </w:p>
    <w:p w:rsidR="00C76E6D" w:rsidRDefault="00C76E6D">
      <w:pPr>
        <w:pStyle w:val="BodyText"/>
        <w:spacing w:before="3"/>
        <w:rPr>
          <w:b/>
          <w:sz w:val="35"/>
        </w:rPr>
      </w:pPr>
    </w:p>
    <w:p w:rsidR="00C76E6D" w:rsidRDefault="00913831">
      <w:pPr>
        <w:pStyle w:val="Heading6"/>
        <w:numPr>
          <w:ilvl w:val="0"/>
          <w:numId w:val="1"/>
        </w:numPr>
        <w:tabs>
          <w:tab w:val="left" w:pos="660"/>
        </w:tabs>
      </w:pPr>
      <w:bookmarkStart w:id="928" w:name="1._Promote_job_opportunities_to_LGBTQ_yo"/>
      <w:bookmarkEnd w:id="928"/>
      <w:r>
        <w:rPr>
          <w:w w:val="95"/>
        </w:rPr>
        <w:t>Promote</w:t>
      </w:r>
      <w:r>
        <w:rPr>
          <w:spacing w:val="13"/>
        </w:rPr>
        <w:t xml:space="preserve"> </w:t>
      </w:r>
      <w:r>
        <w:rPr>
          <w:w w:val="95"/>
        </w:rPr>
        <w:t>job</w:t>
      </w:r>
      <w:r>
        <w:rPr>
          <w:spacing w:val="16"/>
        </w:rPr>
        <w:t xml:space="preserve"> </w:t>
      </w:r>
      <w:r>
        <w:rPr>
          <w:w w:val="95"/>
        </w:rPr>
        <w:t>opportunities</w:t>
      </w:r>
      <w:r>
        <w:rPr>
          <w:spacing w:val="15"/>
        </w:rPr>
        <w:t xml:space="preserve"> </w:t>
      </w:r>
      <w:r>
        <w:rPr>
          <w:w w:val="95"/>
        </w:rPr>
        <w:t>to</w:t>
      </w:r>
      <w:r>
        <w:rPr>
          <w:spacing w:val="15"/>
        </w:rPr>
        <w:t xml:space="preserve"> </w:t>
      </w:r>
      <w:r>
        <w:rPr>
          <w:w w:val="95"/>
        </w:rPr>
        <w:t>LGBTQ</w:t>
      </w:r>
      <w:r>
        <w:rPr>
          <w:spacing w:val="14"/>
        </w:rPr>
        <w:t xml:space="preserve"> </w:t>
      </w:r>
      <w:r>
        <w:rPr>
          <w:spacing w:val="-2"/>
          <w:w w:val="95"/>
        </w:rPr>
        <w:t>youth.</w:t>
      </w:r>
    </w:p>
    <w:p w:rsidR="00C76E6D" w:rsidRDefault="00C76E6D">
      <w:pPr>
        <w:pStyle w:val="BodyText"/>
        <w:spacing w:before="6"/>
        <w:rPr>
          <w:b/>
          <w:sz w:val="28"/>
        </w:rPr>
      </w:pPr>
    </w:p>
    <w:p w:rsidR="00C76E6D" w:rsidRDefault="00913831">
      <w:pPr>
        <w:pStyle w:val="BodyText"/>
        <w:spacing w:line="276" w:lineRule="auto"/>
        <w:ind w:left="627" w:right="331"/>
        <w:jc w:val="both"/>
      </w:pPr>
      <w:r>
        <w:t>Over</w:t>
      </w:r>
      <w:r>
        <w:rPr>
          <w:spacing w:val="-4"/>
        </w:rPr>
        <w:t xml:space="preserve"> </w:t>
      </w:r>
      <w:r>
        <w:t>the</w:t>
      </w:r>
      <w:r>
        <w:rPr>
          <w:spacing w:val="-3"/>
        </w:rPr>
        <w:t xml:space="preserve"> </w:t>
      </w:r>
      <w:r>
        <w:t>past</w:t>
      </w:r>
      <w:r>
        <w:rPr>
          <w:spacing w:val="-4"/>
        </w:rPr>
        <w:t xml:space="preserve"> </w:t>
      </w:r>
      <w:r>
        <w:t>few</w:t>
      </w:r>
      <w:r>
        <w:rPr>
          <w:spacing w:val="-3"/>
        </w:rPr>
        <w:t xml:space="preserve"> </w:t>
      </w:r>
      <w:r>
        <w:t>years,</w:t>
      </w:r>
      <w:r>
        <w:rPr>
          <w:spacing w:val="-4"/>
        </w:rPr>
        <w:t xml:space="preserve"> </w:t>
      </w:r>
      <w:r>
        <w:t>the</w:t>
      </w:r>
      <w:r>
        <w:rPr>
          <w:spacing w:val="-4"/>
        </w:rPr>
        <w:t xml:space="preserve"> </w:t>
      </w:r>
      <w:r>
        <w:t>Commission</w:t>
      </w:r>
      <w:r>
        <w:rPr>
          <w:spacing w:val="-4"/>
        </w:rPr>
        <w:t xml:space="preserve"> </w:t>
      </w:r>
      <w:r>
        <w:t>has</w:t>
      </w:r>
      <w:r>
        <w:rPr>
          <w:spacing w:val="-4"/>
        </w:rPr>
        <w:t xml:space="preserve"> </w:t>
      </w:r>
      <w:r>
        <w:t>recommended</w:t>
      </w:r>
      <w:r>
        <w:rPr>
          <w:spacing w:val="-4"/>
        </w:rPr>
        <w:t xml:space="preserve"> </w:t>
      </w:r>
      <w:r>
        <w:t>that</w:t>
      </w:r>
      <w:r>
        <w:rPr>
          <w:spacing w:val="-3"/>
        </w:rPr>
        <w:t xml:space="preserve"> </w:t>
      </w:r>
      <w:r>
        <w:t>MassHire</w:t>
      </w:r>
      <w:r>
        <w:rPr>
          <w:spacing w:val="-4"/>
        </w:rPr>
        <w:t xml:space="preserve"> </w:t>
      </w:r>
      <w:r>
        <w:t>explore</w:t>
      </w:r>
      <w:r>
        <w:rPr>
          <w:spacing w:val="-4"/>
        </w:rPr>
        <w:t xml:space="preserve"> </w:t>
      </w:r>
      <w:r>
        <w:t>statewide</w:t>
      </w:r>
      <w:r>
        <w:rPr>
          <w:spacing w:val="-4"/>
        </w:rPr>
        <w:t xml:space="preserve"> </w:t>
      </w:r>
      <w:r>
        <w:t>or</w:t>
      </w:r>
      <w:r>
        <w:rPr>
          <w:spacing w:val="-4"/>
        </w:rPr>
        <w:t xml:space="preserve"> </w:t>
      </w:r>
      <w:r>
        <w:t>regional job fairs by leveraging the expertise and connections of private sector members of the MassHire Workforce Boards. The Commission and MassHire have also discussed other ideas for promoting job opportunities</w:t>
      </w:r>
      <w:r>
        <w:rPr>
          <w:spacing w:val="-13"/>
        </w:rPr>
        <w:t xml:space="preserve"> </w:t>
      </w:r>
      <w:r>
        <w:t>to</w:t>
      </w:r>
      <w:r>
        <w:rPr>
          <w:spacing w:val="-12"/>
        </w:rPr>
        <w:t xml:space="preserve"> </w:t>
      </w:r>
      <w:r>
        <w:t>LGBTQ</w:t>
      </w:r>
      <w:r>
        <w:rPr>
          <w:spacing w:val="-13"/>
        </w:rPr>
        <w:t xml:space="preserve"> </w:t>
      </w:r>
      <w:r>
        <w:t>youth,</w:t>
      </w:r>
      <w:r>
        <w:rPr>
          <w:spacing w:val="-12"/>
        </w:rPr>
        <w:t xml:space="preserve"> </w:t>
      </w:r>
      <w:r>
        <w:t>such</w:t>
      </w:r>
      <w:r>
        <w:rPr>
          <w:spacing w:val="-13"/>
        </w:rPr>
        <w:t xml:space="preserve"> </w:t>
      </w:r>
      <w:r>
        <w:t>as</w:t>
      </w:r>
      <w:r>
        <w:rPr>
          <w:spacing w:val="-12"/>
        </w:rPr>
        <w:t xml:space="preserve"> </w:t>
      </w:r>
      <w:r>
        <w:t>conducting</w:t>
      </w:r>
      <w:r>
        <w:rPr>
          <w:spacing w:val="-13"/>
        </w:rPr>
        <w:t xml:space="preserve"> </w:t>
      </w:r>
      <w:r>
        <w:t>outrea</w:t>
      </w:r>
      <w:r>
        <w:t>ch</w:t>
      </w:r>
      <w:r>
        <w:rPr>
          <w:spacing w:val="-12"/>
        </w:rPr>
        <w:t xml:space="preserve"> </w:t>
      </w:r>
      <w:r>
        <w:t>to</w:t>
      </w:r>
      <w:r>
        <w:rPr>
          <w:spacing w:val="-12"/>
        </w:rPr>
        <w:t xml:space="preserve"> </w:t>
      </w:r>
      <w:r>
        <w:t>LGBTQ</w:t>
      </w:r>
      <w:r>
        <w:rPr>
          <w:spacing w:val="-13"/>
        </w:rPr>
        <w:t xml:space="preserve"> </w:t>
      </w:r>
      <w:r>
        <w:t>youth</w:t>
      </w:r>
      <w:r>
        <w:rPr>
          <w:spacing w:val="-12"/>
        </w:rPr>
        <w:t xml:space="preserve"> </w:t>
      </w:r>
      <w:r>
        <w:t>for</w:t>
      </w:r>
      <w:r>
        <w:rPr>
          <w:spacing w:val="-12"/>
        </w:rPr>
        <w:t xml:space="preserve"> </w:t>
      </w:r>
      <w:r>
        <w:t>existing</w:t>
      </w:r>
      <w:r>
        <w:rPr>
          <w:spacing w:val="-10"/>
        </w:rPr>
        <w:t xml:space="preserve"> </w:t>
      </w:r>
      <w:r>
        <w:t>MassHire</w:t>
      </w:r>
      <w:r>
        <w:rPr>
          <w:spacing w:val="-12"/>
        </w:rPr>
        <w:t xml:space="preserve"> </w:t>
      </w:r>
      <w:r>
        <w:t>services and events, including the summer jobs program. The Commission and MassHire have also discussed partnering</w:t>
      </w:r>
      <w:r>
        <w:rPr>
          <w:spacing w:val="-4"/>
        </w:rPr>
        <w:t xml:space="preserve"> </w:t>
      </w:r>
      <w:r>
        <w:t>with</w:t>
      </w:r>
      <w:r>
        <w:rPr>
          <w:spacing w:val="-4"/>
        </w:rPr>
        <w:t xml:space="preserve"> </w:t>
      </w:r>
      <w:r>
        <w:t>existing</w:t>
      </w:r>
      <w:r>
        <w:rPr>
          <w:spacing w:val="-3"/>
        </w:rPr>
        <w:t xml:space="preserve"> </w:t>
      </w:r>
      <w:r>
        <w:t>employment</w:t>
      </w:r>
      <w:r>
        <w:rPr>
          <w:spacing w:val="-5"/>
        </w:rPr>
        <w:t xml:space="preserve"> </w:t>
      </w:r>
      <w:r>
        <w:t>opportunity</w:t>
      </w:r>
      <w:r>
        <w:rPr>
          <w:spacing w:val="-4"/>
        </w:rPr>
        <w:t xml:space="preserve"> </w:t>
      </w:r>
      <w:r>
        <w:t>programs</w:t>
      </w:r>
      <w:r>
        <w:rPr>
          <w:spacing w:val="-3"/>
        </w:rPr>
        <w:t xml:space="preserve"> </w:t>
      </w:r>
      <w:r>
        <w:t>aimed</w:t>
      </w:r>
      <w:r>
        <w:rPr>
          <w:spacing w:val="-4"/>
        </w:rPr>
        <w:t xml:space="preserve"> </w:t>
      </w:r>
      <w:r>
        <w:t>at</w:t>
      </w:r>
      <w:r>
        <w:rPr>
          <w:spacing w:val="-4"/>
        </w:rPr>
        <w:t xml:space="preserve"> </w:t>
      </w:r>
      <w:r>
        <w:t>LGBTQ</w:t>
      </w:r>
      <w:r>
        <w:rPr>
          <w:spacing w:val="-4"/>
        </w:rPr>
        <w:t xml:space="preserve"> </w:t>
      </w:r>
      <w:r>
        <w:t>individuals,</w:t>
      </w:r>
      <w:r>
        <w:rPr>
          <w:spacing w:val="-3"/>
        </w:rPr>
        <w:t xml:space="preserve"> </w:t>
      </w:r>
      <w:r>
        <w:t>such</w:t>
      </w:r>
      <w:r>
        <w:rPr>
          <w:spacing w:val="-4"/>
        </w:rPr>
        <w:t xml:space="preserve"> </w:t>
      </w:r>
      <w:r>
        <w:t>as</w:t>
      </w:r>
      <w:r>
        <w:rPr>
          <w:spacing w:val="-4"/>
        </w:rPr>
        <w:t xml:space="preserve"> </w:t>
      </w:r>
      <w:r>
        <w:t>working with</w:t>
      </w:r>
      <w:r>
        <w:rPr>
          <w:spacing w:val="-13"/>
        </w:rPr>
        <w:t xml:space="preserve"> </w:t>
      </w:r>
      <w:r>
        <w:t>the</w:t>
      </w:r>
      <w:r>
        <w:rPr>
          <w:spacing w:val="-11"/>
        </w:rPr>
        <w:t xml:space="preserve"> </w:t>
      </w:r>
      <w:r>
        <w:t>LGBTQ</w:t>
      </w:r>
      <w:r>
        <w:rPr>
          <w:spacing w:val="-13"/>
        </w:rPr>
        <w:t xml:space="preserve"> </w:t>
      </w:r>
      <w:r>
        <w:t>Chamber</w:t>
      </w:r>
      <w:r>
        <w:rPr>
          <w:spacing w:val="-10"/>
        </w:rPr>
        <w:t xml:space="preserve"> </w:t>
      </w:r>
      <w:r>
        <w:t>of</w:t>
      </w:r>
      <w:r>
        <w:rPr>
          <w:spacing w:val="-13"/>
        </w:rPr>
        <w:t xml:space="preserve"> </w:t>
      </w:r>
      <w:r>
        <w:t>Commerce,</w:t>
      </w:r>
      <w:r>
        <w:rPr>
          <w:spacing w:val="-11"/>
        </w:rPr>
        <w:t xml:space="preserve"> </w:t>
      </w:r>
      <w:r>
        <w:t>which</w:t>
      </w:r>
      <w:r>
        <w:rPr>
          <w:spacing w:val="-12"/>
        </w:rPr>
        <w:t xml:space="preserve"> </w:t>
      </w:r>
      <w:r>
        <w:t>has</w:t>
      </w:r>
      <w:r>
        <w:rPr>
          <w:spacing w:val="-12"/>
        </w:rPr>
        <w:t xml:space="preserve"> </w:t>
      </w:r>
      <w:r>
        <w:t>hosted</w:t>
      </w:r>
      <w:r>
        <w:rPr>
          <w:spacing w:val="-13"/>
        </w:rPr>
        <w:t xml:space="preserve"> </w:t>
      </w:r>
      <w:r>
        <w:t>events</w:t>
      </w:r>
      <w:r>
        <w:rPr>
          <w:spacing w:val="-11"/>
        </w:rPr>
        <w:t xml:space="preserve"> </w:t>
      </w:r>
      <w:r>
        <w:t>in</w:t>
      </w:r>
      <w:r>
        <w:rPr>
          <w:spacing w:val="-13"/>
        </w:rPr>
        <w:t xml:space="preserve"> </w:t>
      </w:r>
      <w:r>
        <w:t>different</w:t>
      </w:r>
      <w:r>
        <w:rPr>
          <w:spacing w:val="-11"/>
        </w:rPr>
        <w:t xml:space="preserve"> </w:t>
      </w:r>
      <w:r>
        <w:t>parts</w:t>
      </w:r>
      <w:r>
        <w:rPr>
          <w:spacing w:val="-12"/>
        </w:rPr>
        <w:t xml:space="preserve"> </w:t>
      </w:r>
      <w:r>
        <w:t>of</w:t>
      </w:r>
      <w:r>
        <w:rPr>
          <w:spacing w:val="-13"/>
        </w:rPr>
        <w:t xml:space="preserve"> </w:t>
      </w:r>
      <w:r>
        <w:t>the</w:t>
      </w:r>
      <w:r>
        <w:rPr>
          <w:spacing w:val="-12"/>
        </w:rPr>
        <w:t xml:space="preserve"> </w:t>
      </w:r>
      <w:r>
        <w:t>Commonwealth. The</w:t>
      </w:r>
      <w:r>
        <w:rPr>
          <w:spacing w:val="-4"/>
        </w:rPr>
        <w:t xml:space="preserve"> </w:t>
      </w:r>
      <w:r>
        <w:t>Commission</w:t>
      </w:r>
      <w:r>
        <w:rPr>
          <w:spacing w:val="-6"/>
        </w:rPr>
        <w:t xml:space="preserve"> </w:t>
      </w:r>
      <w:r>
        <w:t>also</w:t>
      </w:r>
      <w:r>
        <w:rPr>
          <w:spacing w:val="-5"/>
        </w:rPr>
        <w:t xml:space="preserve"> </w:t>
      </w:r>
      <w:r>
        <w:t>suggests</w:t>
      </w:r>
      <w:r>
        <w:rPr>
          <w:spacing w:val="-5"/>
        </w:rPr>
        <w:t xml:space="preserve"> </w:t>
      </w:r>
      <w:r>
        <w:t>creating</w:t>
      </w:r>
      <w:r>
        <w:rPr>
          <w:spacing w:val="-2"/>
        </w:rPr>
        <w:t xml:space="preserve"> </w:t>
      </w:r>
      <w:r>
        <w:t>an</w:t>
      </w:r>
      <w:r>
        <w:rPr>
          <w:spacing w:val="-6"/>
        </w:rPr>
        <w:t xml:space="preserve"> </w:t>
      </w:r>
      <w:r>
        <w:t>outreach</w:t>
      </w:r>
      <w:r>
        <w:rPr>
          <w:spacing w:val="-3"/>
        </w:rPr>
        <w:t xml:space="preserve"> </w:t>
      </w:r>
      <w:r>
        <w:t>plan</w:t>
      </w:r>
      <w:r>
        <w:rPr>
          <w:spacing w:val="-6"/>
        </w:rPr>
        <w:t xml:space="preserve"> </w:t>
      </w:r>
      <w:r>
        <w:t>for</w:t>
      </w:r>
      <w:r>
        <w:rPr>
          <w:spacing w:val="-4"/>
        </w:rPr>
        <w:t xml:space="preserve"> </w:t>
      </w:r>
      <w:r>
        <w:t>reaching</w:t>
      </w:r>
      <w:r>
        <w:rPr>
          <w:spacing w:val="-3"/>
        </w:rPr>
        <w:t xml:space="preserve"> </w:t>
      </w:r>
      <w:r>
        <w:t>the</w:t>
      </w:r>
      <w:r>
        <w:rPr>
          <w:spacing w:val="-4"/>
        </w:rPr>
        <w:t xml:space="preserve"> </w:t>
      </w:r>
      <w:r>
        <w:t>LGBTQ</w:t>
      </w:r>
      <w:r>
        <w:rPr>
          <w:spacing w:val="-4"/>
        </w:rPr>
        <w:t xml:space="preserve"> </w:t>
      </w:r>
      <w:r>
        <w:t>community,</w:t>
      </w:r>
      <w:r>
        <w:rPr>
          <w:spacing w:val="-4"/>
        </w:rPr>
        <w:t xml:space="preserve"> </w:t>
      </w:r>
      <w:r>
        <w:t>as</w:t>
      </w:r>
      <w:r>
        <w:rPr>
          <w:spacing w:val="-4"/>
        </w:rPr>
        <w:t xml:space="preserve"> </w:t>
      </w:r>
      <w:r>
        <w:t>has</w:t>
      </w:r>
      <w:r>
        <w:rPr>
          <w:spacing w:val="-5"/>
        </w:rPr>
        <w:t xml:space="preserve"> </w:t>
      </w:r>
      <w:r>
        <w:t>been recently done</w:t>
      </w:r>
      <w:r>
        <w:rPr>
          <w:spacing w:val="-2"/>
        </w:rPr>
        <w:t xml:space="preserve"> </w:t>
      </w:r>
      <w:r>
        <w:t>at MRC, where</w:t>
      </w:r>
      <w:r>
        <w:rPr>
          <w:spacing w:val="-1"/>
        </w:rPr>
        <w:t xml:space="preserve"> </w:t>
      </w:r>
      <w:r>
        <w:t>outreach materials were</w:t>
      </w:r>
      <w:r>
        <w:rPr>
          <w:spacing w:val="-2"/>
        </w:rPr>
        <w:t xml:space="preserve"> </w:t>
      </w:r>
      <w:r>
        <w:t>jointly crea</w:t>
      </w:r>
      <w:r>
        <w:t>ted, branded, and distributed with the Commission. The Commission looks forward to actively working in partnership with MassHire in FY 2023 to realize these goals.</w:t>
      </w:r>
    </w:p>
    <w:p w:rsidR="00C76E6D" w:rsidRDefault="00C76E6D">
      <w:pPr>
        <w:pStyle w:val="BodyText"/>
        <w:spacing w:before="3"/>
        <w:rPr>
          <w:sz w:val="25"/>
        </w:rPr>
      </w:pPr>
    </w:p>
    <w:p w:rsidR="00C76E6D" w:rsidRDefault="00913831">
      <w:pPr>
        <w:pStyle w:val="Heading6"/>
        <w:numPr>
          <w:ilvl w:val="0"/>
          <w:numId w:val="1"/>
        </w:numPr>
        <w:tabs>
          <w:tab w:val="left" w:pos="554"/>
        </w:tabs>
        <w:spacing w:line="276" w:lineRule="auto"/>
        <w:ind w:left="337" w:right="387" w:firstLine="0"/>
      </w:pPr>
      <w:bookmarkStart w:id="929" w:name="2._Continue_updating_data_collection_met"/>
      <w:bookmarkEnd w:id="929"/>
      <w:r>
        <w:t>Continue</w:t>
      </w:r>
      <w:r>
        <w:rPr>
          <w:spacing w:val="-13"/>
        </w:rPr>
        <w:t xml:space="preserve"> </w:t>
      </w:r>
      <w:r>
        <w:t>updating</w:t>
      </w:r>
      <w:r>
        <w:rPr>
          <w:spacing w:val="-12"/>
        </w:rPr>
        <w:t xml:space="preserve"> </w:t>
      </w:r>
      <w:r>
        <w:t>data</w:t>
      </w:r>
      <w:r>
        <w:rPr>
          <w:spacing w:val="-13"/>
        </w:rPr>
        <w:t xml:space="preserve"> </w:t>
      </w:r>
      <w:r>
        <w:t>collection</w:t>
      </w:r>
      <w:r>
        <w:rPr>
          <w:spacing w:val="-13"/>
        </w:rPr>
        <w:t xml:space="preserve"> </w:t>
      </w:r>
      <w:r>
        <w:t>methods</w:t>
      </w:r>
      <w:r>
        <w:rPr>
          <w:spacing w:val="-12"/>
        </w:rPr>
        <w:t xml:space="preserve"> </w:t>
      </w:r>
      <w:r>
        <w:t>to</w:t>
      </w:r>
      <w:r>
        <w:rPr>
          <w:spacing w:val="-13"/>
        </w:rPr>
        <w:t xml:space="preserve"> </w:t>
      </w:r>
      <w:r>
        <w:t>reflect</w:t>
      </w:r>
      <w:r>
        <w:rPr>
          <w:spacing w:val="-12"/>
        </w:rPr>
        <w:t xml:space="preserve"> </w:t>
      </w:r>
      <w:r>
        <w:t>best</w:t>
      </w:r>
      <w:r>
        <w:rPr>
          <w:spacing w:val="-13"/>
        </w:rPr>
        <w:t xml:space="preserve"> </w:t>
      </w:r>
      <w:r>
        <w:t>practices</w:t>
      </w:r>
      <w:r>
        <w:rPr>
          <w:spacing w:val="-12"/>
        </w:rPr>
        <w:t xml:space="preserve"> </w:t>
      </w:r>
      <w:r>
        <w:t>on</w:t>
      </w:r>
      <w:r>
        <w:rPr>
          <w:spacing w:val="-12"/>
        </w:rPr>
        <w:t xml:space="preserve"> </w:t>
      </w:r>
      <w:r>
        <w:t>LGBTQ-related</w:t>
      </w:r>
      <w:r>
        <w:rPr>
          <w:spacing w:val="-13"/>
        </w:rPr>
        <w:t xml:space="preserve"> </w:t>
      </w:r>
      <w:r>
        <w:t>data</w:t>
      </w:r>
      <w:r>
        <w:rPr>
          <w:spacing w:val="-12"/>
        </w:rPr>
        <w:t xml:space="preserve"> </w:t>
      </w:r>
      <w:r>
        <w:t>and</w:t>
      </w:r>
      <w:r>
        <w:rPr>
          <w:spacing w:val="-13"/>
        </w:rPr>
        <w:t xml:space="preserve"> </w:t>
      </w:r>
      <w:r>
        <w:t>evaluate that data to improve LGBTQ client experiences.</w:t>
      </w:r>
    </w:p>
    <w:p w:rsidR="00C76E6D" w:rsidRDefault="00C76E6D">
      <w:pPr>
        <w:pStyle w:val="BodyText"/>
        <w:spacing w:before="4"/>
        <w:rPr>
          <w:b/>
          <w:sz w:val="25"/>
        </w:rPr>
      </w:pPr>
    </w:p>
    <w:p w:rsidR="00C76E6D" w:rsidRDefault="00913831">
      <w:pPr>
        <w:pStyle w:val="BodyText"/>
        <w:spacing w:line="276" w:lineRule="auto"/>
        <w:ind w:left="627" w:right="332" w:hanging="2"/>
        <w:jc w:val="both"/>
      </w:pPr>
      <w:r>
        <w:t>MDCS made commendable progress in 2021 on making its intake and data collection procedures more LGBTQ-inclusive. For example, in the past, clients were asked if they were male or female on a binary basis, and then, those who selected male were asked if the</w:t>
      </w:r>
      <w:r>
        <w:t>y had registered with the selective service (draft), a federal requirement for males only. MDCS updated their system to (a) include a nonbinary gender marker and (b) ask the selective service question of everyone, with clients allowed to self-select whethe</w:t>
      </w:r>
      <w:r>
        <w:t>r the selective service requirement had applied to them. They have also begun to explore how their complaints system could be monitored to capture and respond on a systematic level to complaints that</w:t>
      </w:r>
      <w:r>
        <w:rPr>
          <w:spacing w:val="-5"/>
        </w:rPr>
        <w:t xml:space="preserve"> </w:t>
      </w:r>
      <w:r>
        <w:t>might</w:t>
      </w:r>
      <w:r>
        <w:rPr>
          <w:spacing w:val="-5"/>
        </w:rPr>
        <w:t xml:space="preserve"> </w:t>
      </w:r>
      <w:r>
        <w:t>be</w:t>
      </w:r>
      <w:r>
        <w:rPr>
          <w:spacing w:val="-3"/>
        </w:rPr>
        <w:t xml:space="preserve"> </w:t>
      </w:r>
      <w:r>
        <w:t>received</w:t>
      </w:r>
      <w:r>
        <w:rPr>
          <w:spacing w:val="-5"/>
        </w:rPr>
        <w:t xml:space="preserve"> </w:t>
      </w:r>
      <w:r>
        <w:t>about</w:t>
      </w:r>
      <w:r>
        <w:rPr>
          <w:spacing w:val="-4"/>
        </w:rPr>
        <w:t xml:space="preserve"> </w:t>
      </w:r>
      <w:r>
        <w:t>the</w:t>
      </w:r>
      <w:r>
        <w:rPr>
          <w:spacing w:val="-3"/>
        </w:rPr>
        <w:t xml:space="preserve"> </w:t>
      </w:r>
      <w:r>
        <w:t>treatment</w:t>
      </w:r>
      <w:r>
        <w:rPr>
          <w:spacing w:val="-6"/>
        </w:rPr>
        <w:t xml:space="preserve"> </w:t>
      </w:r>
      <w:r>
        <w:t>of</w:t>
      </w:r>
      <w:r>
        <w:rPr>
          <w:spacing w:val="-4"/>
        </w:rPr>
        <w:t xml:space="preserve"> </w:t>
      </w:r>
      <w:r>
        <w:t>LGBTQ</w:t>
      </w:r>
      <w:r>
        <w:rPr>
          <w:spacing w:val="-3"/>
        </w:rPr>
        <w:t xml:space="preserve"> </w:t>
      </w:r>
      <w:r>
        <w:t>clients</w:t>
      </w:r>
      <w:r>
        <w:rPr>
          <w:spacing w:val="-4"/>
        </w:rPr>
        <w:t xml:space="preserve"> </w:t>
      </w:r>
      <w:r>
        <w:t>i</w:t>
      </w:r>
      <w:r>
        <w:t>n</w:t>
      </w:r>
      <w:r>
        <w:rPr>
          <w:spacing w:val="-3"/>
        </w:rPr>
        <w:t xml:space="preserve"> </w:t>
      </w:r>
      <w:r>
        <w:t>the</w:t>
      </w:r>
      <w:r>
        <w:rPr>
          <w:spacing w:val="-3"/>
        </w:rPr>
        <w:t xml:space="preserve"> </w:t>
      </w:r>
      <w:r>
        <w:t>career</w:t>
      </w:r>
      <w:r>
        <w:rPr>
          <w:spacing w:val="-4"/>
        </w:rPr>
        <w:t xml:space="preserve"> </w:t>
      </w:r>
      <w:r>
        <w:t>centers</w:t>
      </w:r>
      <w:r>
        <w:rPr>
          <w:spacing w:val="-5"/>
        </w:rPr>
        <w:t xml:space="preserve"> </w:t>
      </w:r>
      <w:r>
        <w:t>that</w:t>
      </w:r>
      <w:r>
        <w:rPr>
          <w:spacing w:val="-5"/>
        </w:rPr>
        <w:t xml:space="preserve"> </w:t>
      </w:r>
      <w:r>
        <w:t>they</w:t>
      </w:r>
      <w:r>
        <w:rPr>
          <w:spacing w:val="-5"/>
        </w:rPr>
        <w:t xml:space="preserve"> </w:t>
      </w:r>
      <w:r>
        <w:t>fund.</w:t>
      </w:r>
      <w:r>
        <w:rPr>
          <w:spacing w:val="-5"/>
        </w:rPr>
        <w:t xml:space="preserve"> </w:t>
      </w:r>
      <w:r>
        <w:t>Finally, they are considering including measure(s) to identify LGBTQ clients in their Customer Journey initiative, which is evaluating customer experiences across the career centers. The Commission looks forward to cont</w:t>
      </w:r>
      <w:r>
        <w:t>inuing to support MDCS as they work to make data collection more LGBTQ-inclusive, as well as reviewing and responding to the important data that may result from this work in FY 2023.</w:t>
      </w:r>
    </w:p>
    <w:p w:rsidR="00C76E6D" w:rsidRDefault="00C76E6D">
      <w:pPr>
        <w:pStyle w:val="BodyText"/>
        <w:spacing w:before="3"/>
        <w:rPr>
          <w:sz w:val="25"/>
        </w:rPr>
      </w:pPr>
    </w:p>
    <w:p w:rsidR="00C76E6D" w:rsidRDefault="00913831">
      <w:pPr>
        <w:pStyle w:val="Heading6"/>
        <w:numPr>
          <w:ilvl w:val="0"/>
          <w:numId w:val="1"/>
        </w:numPr>
        <w:tabs>
          <w:tab w:val="left" w:pos="560"/>
        </w:tabs>
        <w:ind w:left="559" w:hanging="222"/>
      </w:pPr>
      <w:bookmarkStart w:id="930" w:name="3._Work_with_the_Commission_to_offer_sta"/>
      <w:bookmarkEnd w:id="930"/>
      <w:r>
        <w:rPr>
          <w:w w:val="95"/>
        </w:rPr>
        <w:t>Work</w:t>
      </w:r>
      <w:r>
        <w:rPr>
          <w:spacing w:val="12"/>
        </w:rPr>
        <w:t xml:space="preserve"> </w:t>
      </w:r>
      <w:r>
        <w:rPr>
          <w:w w:val="95"/>
        </w:rPr>
        <w:t>with</w:t>
      </w:r>
      <w:r>
        <w:rPr>
          <w:spacing w:val="15"/>
        </w:rPr>
        <w:t xml:space="preserve"> </w:t>
      </w:r>
      <w:r>
        <w:rPr>
          <w:w w:val="95"/>
        </w:rPr>
        <w:t>the</w:t>
      </w:r>
      <w:r>
        <w:rPr>
          <w:spacing w:val="8"/>
        </w:rPr>
        <w:t xml:space="preserve"> </w:t>
      </w:r>
      <w:r>
        <w:rPr>
          <w:w w:val="95"/>
        </w:rPr>
        <w:t>Commission</w:t>
      </w:r>
      <w:r>
        <w:rPr>
          <w:spacing w:val="13"/>
        </w:rPr>
        <w:t xml:space="preserve"> </w:t>
      </w:r>
      <w:r>
        <w:rPr>
          <w:w w:val="95"/>
        </w:rPr>
        <w:t>to</w:t>
      </w:r>
      <w:r>
        <w:rPr>
          <w:spacing w:val="11"/>
        </w:rPr>
        <w:t xml:space="preserve"> </w:t>
      </w:r>
      <w:r>
        <w:rPr>
          <w:w w:val="95"/>
        </w:rPr>
        <w:t>offer</w:t>
      </w:r>
      <w:r>
        <w:rPr>
          <w:spacing w:val="13"/>
        </w:rPr>
        <w:t xml:space="preserve"> </w:t>
      </w:r>
      <w:r>
        <w:rPr>
          <w:w w:val="95"/>
        </w:rPr>
        <w:t>staff</w:t>
      </w:r>
      <w:r>
        <w:rPr>
          <w:spacing w:val="11"/>
        </w:rPr>
        <w:t xml:space="preserve"> </w:t>
      </w:r>
      <w:r>
        <w:rPr>
          <w:w w:val="95"/>
        </w:rPr>
        <w:t>and</w:t>
      </w:r>
      <w:r>
        <w:rPr>
          <w:spacing w:val="15"/>
        </w:rPr>
        <w:t xml:space="preserve"> </w:t>
      </w:r>
      <w:r>
        <w:rPr>
          <w:w w:val="95"/>
        </w:rPr>
        <w:t>partner</w:t>
      </w:r>
      <w:r>
        <w:rPr>
          <w:spacing w:val="13"/>
        </w:rPr>
        <w:t xml:space="preserve"> </w:t>
      </w:r>
      <w:r>
        <w:rPr>
          <w:w w:val="95"/>
        </w:rPr>
        <w:t>trainings</w:t>
      </w:r>
      <w:r>
        <w:rPr>
          <w:spacing w:val="14"/>
        </w:rPr>
        <w:t xml:space="preserve"> </w:t>
      </w:r>
      <w:r>
        <w:rPr>
          <w:w w:val="95"/>
        </w:rPr>
        <w:t>on</w:t>
      </w:r>
      <w:r>
        <w:rPr>
          <w:spacing w:val="14"/>
        </w:rPr>
        <w:t xml:space="preserve"> </w:t>
      </w:r>
      <w:r>
        <w:rPr>
          <w:w w:val="95"/>
        </w:rPr>
        <w:t>LGBTQ</w:t>
      </w:r>
      <w:r>
        <w:rPr>
          <w:spacing w:val="13"/>
        </w:rPr>
        <w:t xml:space="preserve"> </w:t>
      </w:r>
      <w:r>
        <w:rPr>
          <w:w w:val="95"/>
        </w:rPr>
        <w:t>inclusion</w:t>
      </w:r>
      <w:r>
        <w:rPr>
          <w:spacing w:val="14"/>
        </w:rPr>
        <w:t xml:space="preserve"> </w:t>
      </w:r>
      <w:r>
        <w:rPr>
          <w:w w:val="95"/>
        </w:rPr>
        <w:t>and</w:t>
      </w:r>
      <w:r>
        <w:rPr>
          <w:spacing w:val="12"/>
        </w:rPr>
        <w:t xml:space="preserve"> </w:t>
      </w:r>
      <w:r>
        <w:rPr>
          <w:spacing w:val="-2"/>
          <w:w w:val="95"/>
        </w:rPr>
        <w:t>competency.</w:t>
      </w:r>
    </w:p>
    <w:p w:rsidR="00C76E6D" w:rsidRDefault="00C76E6D">
      <w:pPr>
        <w:pStyle w:val="BodyText"/>
        <w:spacing w:before="7"/>
        <w:rPr>
          <w:b/>
          <w:sz w:val="28"/>
        </w:rPr>
      </w:pPr>
    </w:p>
    <w:p w:rsidR="00C76E6D" w:rsidRDefault="00913831">
      <w:pPr>
        <w:pStyle w:val="BodyText"/>
        <w:spacing w:line="276" w:lineRule="auto"/>
        <w:ind w:left="627" w:right="335"/>
        <w:jc w:val="both"/>
      </w:pPr>
      <w:r>
        <w:t>The</w:t>
      </w:r>
      <w:r>
        <w:rPr>
          <w:spacing w:val="-3"/>
        </w:rPr>
        <w:t xml:space="preserve"> </w:t>
      </w:r>
      <w:r>
        <w:t>Commission</w:t>
      </w:r>
      <w:r>
        <w:rPr>
          <w:spacing w:val="-3"/>
        </w:rPr>
        <w:t xml:space="preserve"> </w:t>
      </w:r>
      <w:r>
        <w:t>has</w:t>
      </w:r>
      <w:r>
        <w:rPr>
          <w:spacing w:val="-2"/>
        </w:rPr>
        <w:t xml:space="preserve"> </w:t>
      </w:r>
      <w:r>
        <w:t>been</w:t>
      </w:r>
      <w:r>
        <w:rPr>
          <w:spacing w:val="-2"/>
        </w:rPr>
        <w:t xml:space="preserve"> </w:t>
      </w:r>
      <w:r>
        <w:t>engaged</w:t>
      </w:r>
      <w:r>
        <w:rPr>
          <w:spacing w:val="-2"/>
        </w:rPr>
        <w:t xml:space="preserve"> </w:t>
      </w:r>
      <w:r>
        <w:t>in</w:t>
      </w:r>
      <w:r>
        <w:rPr>
          <w:spacing w:val="-2"/>
        </w:rPr>
        <w:t xml:space="preserve"> </w:t>
      </w:r>
      <w:r>
        <w:t>conversations</w:t>
      </w:r>
      <w:r>
        <w:rPr>
          <w:spacing w:val="-2"/>
        </w:rPr>
        <w:t xml:space="preserve"> </w:t>
      </w:r>
      <w:r>
        <w:t>with</w:t>
      </w:r>
      <w:r>
        <w:rPr>
          <w:spacing w:val="-2"/>
        </w:rPr>
        <w:t xml:space="preserve"> </w:t>
      </w:r>
      <w:r>
        <w:t>MDCS</w:t>
      </w:r>
      <w:r>
        <w:rPr>
          <w:spacing w:val="-3"/>
        </w:rPr>
        <w:t xml:space="preserve"> </w:t>
      </w:r>
      <w:r>
        <w:t>staff</w:t>
      </w:r>
      <w:r>
        <w:rPr>
          <w:spacing w:val="-3"/>
        </w:rPr>
        <w:t xml:space="preserve"> </w:t>
      </w:r>
      <w:r>
        <w:t>on</w:t>
      </w:r>
      <w:r>
        <w:rPr>
          <w:spacing w:val="-3"/>
        </w:rPr>
        <w:t xml:space="preserve"> </w:t>
      </w:r>
      <w:r>
        <w:t>offering</w:t>
      </w:r>
      <w:r>
        <w:rPr>
          <w:spacing w:val="-3"/>
        </w:rPr>
        <w:t xml:space="preserve"> </w:t>
      </w:r>
      <w:r>
        <w:t>LGBTQ</w:t>
      </w:r>
      <w:r>
        <w:rPr>
          <w:spacing w:val="-1"/>
        </w:rPr>
        <w:t xml:space="preserve"> </w:t>
      </w:r>
      <w:r>
        <w:t>cultural</w:t>
      </w:r>
      <w:r>
        <w:rPr>
          <w:spacing w:val="-3"/>
        </w:rPr>
        <w:t xml:space="preserve"> </w:t>
      </w:r>
      <w:r>
        <w:t>humility trainings through the training model developed in partnership with EOHHS. The Commission believes that</w:t>
      </w:r>
      <w:r>
        <w:rPr>
          <w:spacing w:val="35"/>
        </w:rPr>
        <w:t xml:space="preserve"> </w:t>
      </w:r>
      <w:r>
        <w:t>such</w:t>
      </w:r>
      <w:r>
        <w:rPr>
          <w:spacing w:val="36"/>
        </w:rPr>
        <w:t xml:space="preserve"> </w:t>
      </w:r>
      <w:r>
        <w:t>trainings</w:t>
      </w:r>
      <w:r>
        <w:rPr>
          <w:spacing w:val="36"/>
        </w:rPr>
        <w:t xml:space="preserve"> </w:t>
      </w:r>
      <w:r>
        <w:t>are</w:t>
      </w:r>
      <w:r>
        <w:rPr>
          <w:spacing w:val="34"/>
        </w:rPr>
        <w:t xml:space="preserve"> </w:t>
      </w:r>
      <w:r>
        <w:t>a</w:t>
      </w:r>
      <w:r>
        <w:rPr>
          <w:spacing w:val="37"/>
        </w:rPr>
        <w:t xml:space="preserve"> </w:t>
      </w:r>
      <w:r>
        <w:t>nece</w:t>
      </w:r>
      <w:r>
        <w:t>ssary</w:t>
      </w:r>
      <w:r>
        <w:rPr>
          <w:spacing w:val="36"/>
        </w:rPr>
        <w:t xml:space="preserve"> </w:t>
      </w:r>
      <w:r>
        <w:t>complement</w:t>
      </w:r>
      <w:r>
        <w:rPr>
          <w:spacing w:val="35"/>
        </w:rPr>
        <w:t xml:space="preserve"> </w:t>
      </w:r>
      <w:r>
        <w:t>to</w:t>
      </w:r>
      <w:r>
        <w:rPr>
          <w:spacing w:val="38"/>
        </w:rPr>
        <w:t xml:space="preserve"> </w:t>
      </w:r>
      <w:r>
        <w:t>changes</w:t>
      </w:r>
      <w:r>
        <w:rPr>
          <w:spacing w:val="36"/>
        </w:rPr>
        <w:t xml:space="preserve"> </w:t>
      </w:r>
      <w:r>
        <w:t>currently</w:t>
      </w:r>
      <w:r>
        <w:rPr>
          <w:spacing w:val="36"/>
        </w:rPr>
        <w:t xml:space="preserve"> </w:t>
      </w:r>
      <w:r>
        <w:t>being</w:t>
      </w:r>
      <w:r>
        <w:rPr>
          <w:spacing w:val="35"/>
        </w:rPr>
        <w:t xml:space="preserve"> </w:t>
      </w:r>
      <w:r>
        <w:t>implemented</w:t>
      </w:r>
      <w:r>
        <w:rPr>
          <w:spacing w:val="37"/>
        </w:rPr>
        <w:t xml:space="preserve"> </w:t>
      </w:r>
      <w:r>
        <w:t>as</w:t>
      </w:r>
    </w:p>
    <w:p w:rsidR="00C76E6D" w:rsidRDefault="00C76E6D">
      <w:pPr>
        <w:spacing w:line="276" w:lineRule="auto"/>
        <w:jc w:val="both"/>
        <w:sectPr w:rsidR="00C76E6D">
          <w:pgSz w:w="12240" w:h="15840"/>
          <w:pgMar w:top="1000" w:right="960" w:bottom="720" w:left="960" w:header="811" w:footer="531" w:gutter="0"/>
          <w:cols w:space="720"/>
        </w:sectPr>
      </w:pPr>
    </w:p>
    <w:p w:rsidR="00C76E6D" w:rsidRDefault="00C76E6D">
      <w:pPr>
        <w:pStyle w:val="BodyText"/>
        <w:rPr>
          <w:sz w:val="24"/>
        </w:rPr>
      </w:pPr>
    </w:p>
    <w:p w:rsidR="00C76E6D" w:rsidRDefault="00913831">
      <w:pPr>
        <w:pStyle w:val="BodyText"/>
        <w:spacing w:before="56" w:line="276" w:lineRule="auto"/>
        <w:ind w:left="628" w:right="337" w:hanging="1"/>
        <w:jc w:val="both"/>
      </w:pPr>
      <w:r>
        <w:t>MassHire</w:t>
      </w:r>
      <w:r>
        <w:rPr>
          <w:spacing w:val="-7"/>
        </w:rPr>
        <w:t xml:space="preserve"> </w:t>
      </w:r>
      <w:r>
        <w:t>seeks</w:t>
      </w:r>
      <w:r>
        <w:rPr>
          <w:spacing w:val="-7"/>
        </w:rPr>
        <w:t xml:space="preserve"> </w:t>
      </w:r>
      <w:r>
        <w:t>to</w:t>
      </w:r>
      <w:r>
        <w:rPr>
          <w:spacing w:val="-6"/>
        </w:rPr>
        <w:t xml:space="preserve"> </w:t>
      </w:r>
      <w:r>
        <w:t>broaden</w:t>
      </w:r>
      <w:r>
        <w:rPr>
          <w:spacing w:val="-6"/>
        </w:rPr>
        <w:t xml:space="preserve"> </w:t>
      </w:r>
      <w:r>
        <w:t>the</w:t>
      </w:r>
      <w:r>
        <w:rPr>
          <w:spacing w:val="-8"/>
        </w:rPr>
        <w:t xml:space="preserve"> </w:t>
      </w:r>
      <w:r>
        <w:t>accessibility</w:t>
      </w:r>
      <w:r>
        <w:rPr>
          <w:spacing w:val="-7"/>
        </w:rPr>
        <w:t xml:space="preserve"> </w:t>
      </w:r>
      <w:r>
        <w:t>of</w:t>
      </w:r>
      <w:r>
        <w:rPr>
          <w:spacing w:val="-5"/>
        </w:rPr>
        <w:t xml:space="preserve"> </w:t>
      </w:r>
      <w:r>
        <w:t>MassHire</w:t>
      </w:r>
      <w:r>
        <w:rPr>
          <w:spacing w:val="-8"/>
        </w:rPr>
        <w:t xml:space="preserve"> </w:t>
      </w:r>
      <w:r>
        <w:t>services</w:t>
      </w:r>
      <w:r>
        <w:rPr>
          <w:spacing w:val="-6"/>
        </w:rPr>
        <w:t xml:space="preserve"> </w:t>
      </w:r>
      <w:r>
        <w:t>to</w:t>
      </w:r>
      <w:r>
        <w:rPr>
          <w:spacing w:val="-5"/>
        </w:rPr>
        <w:t xml:space="preserve"> </w:t>
      </w:r>
      <w:r>
        <w:t>LGBTQ</w:t>
      </w:r>
      <w:r>
        <w:rPr>
          <w:spacing w:val="-6"/>
        </w:rPr>
        <w:t xml:space="preserve"> </w:t>
      </w:r>
      <w:r>
        <w:t>youth,</w:t>
      </w:r>
      <w:r>
        <w:rPr>
          <w:spacing w:val="-7"/>
        </w:rPr>
        <w:t xml:space="preserve"> </w:t>
      </w:r>
      <w:r>
        <w:t>and</w:t>
      </w:r>
      <w:r>
        <w:rPr>
          <w:spacing w:val="-6"/>
        </w:rPr>
        <w:t xml:space="preserve"> </w:t>
      </w:r>
      <w:r>
        <w:t>LGBTQ</w:t>
      </w:r>
      <w:r>
        <w:rPr>
          <w:spacing w:val="-5"/>
        </w:rPr>
        <w:t xml:space="preserve"> </w:t>
      </w:r>
      <w:r>
        <w:t>community members generally. The Commission looks forward to continuing this discussion in FY 2023.</w:t>
      </w:r>
    </w:p>
    <w:p w:rsidR="00C76E6D" w:rsidRDefault="00C76E6D">
      <w:pPr>
        <w:pStyle w:val="BodyText"/>
        <w:spacing w:before="3"/>
        <w:rPr>
          <w:sz w:val="25"/>
        </w:rPr>
      </w:pPr>
    </w:p>
    <w:p w:rsidR="00C76E6D" w:rsidRDefault="00913831">
      <w:pPr>
        <w:pStyle w:val="Heading6"/>
        <w:numPr>
          <w:ilvl w:val="0"/>
          <w:numId w:val="1"/>
        </w:numPr>
        <w:tabs>
          <w:tab w:val="left" w:pos="549"/>
        </w:tabs>
        <w:spacing w:line="276" w:lineRule="auto"/>
        <w:ind w:left="338" w:right="367" w:firstLine="0"/>
      </w:pPr>
      <w:bookmarkStart w:id="931" w:name="4._Continue_to_partner_with_the_Commissi"/>
      <w:bookmarkEnd w:id="931"/>
      <w:r>
        <w:rPr>
          <w:spacing w:val="-2"/>
        </w:rPr>
        <w:t>Continue</w:t>
      </w:r>
      <w:r>
        <w:rPr>
          <w:spacing w:val="-3"/>
        </w:rPr>
        <w:t xml:space="preserve"> </w:t>
      </w:r>
      <w:r>
        <w:rPr>
          <w:spacing w:val="-2"/>
        </w:rPr>
        <w:t>to partner</w:t>
      </w:r>
      <w:r>
        <w:rPr>
          <w:spacing w:val="-3"/>
        </w:rPr>
        <w:t xml:space="preserve"> </w:t>
      </w:r>
      <w:r>
        <w:rPr>
          <w:spacing w:val="-2"/>
        </w:rPr>
        <w:t>with the</w:t>
      </w:r>
      <w:r>
        <w:rPr>
          <w:spacing w:val="-5"/>
        </w:rPr>
        <w:t xml:space="preserve"> </w:t>
      </w:r>
      <w:r>
        <w:rPr>
          <w:spacing w:val="-2"/>
        </w:rPr>
        <w:t>Commission and</w:t>
      </w:r>
      <w:r>
        <w:rPr>
          <w:spacing w:val="-6"/>
        </w:rPr>
        <w:t xml:space="preserve"> </w:t>
      </w:r>
      <w:r>
        <w:rPr>
          <w:spacing w:val="-2"/>
        </w:rPr>
        <w:t>social service</w:t>
      </w:r>
      <w:r>
        <w:rPr>
          <w:spacing w:val="-5"/>
        </w:rPr>
        <w:t xml:space="preserve"> </w:t>
      </w:r>
      <w:r>
        <w:rPr>
          <w:spacing w:val="-2"/>
        </w:rPr>
        <w:t>providers</w:t>
      </w:r>
      <w:r>
        <w:rPr>
          <w:spacing w:val="-3"/>
        </w:rPr>
        <w:t xml:space="preserve"> </w:t>
      </w:r>
      <w:r>
        <w:rPr>
          <w:spacing w:val="-2"/>
        </w:rPr>
        <w:t>to offer career readiness</w:t>
      </w:r>
      <w:r>
        <w:rPr>
          <w:spacing w:val="-5"/>
        </w:rPr>
        <w:t xml:space="preserve"> </w:t>
      </w:r>
      <w:r>
        <w:rPr>
          <w:spacing w:val="-2"/>
        </w:rPr>
        <w:t xml:space="preserve">resources </w:t>
      </w:r>
      <w:r>
        <w:t>for LGBTQ youth who face barriers to employment.</w:t>
      </w:r>
    </w:p>
    <w:p w:rsidR="00C76E6D" w:rsidRDefault="00C76E6D">
      <w:pPr>
        <w:pStyle w:val="BodyText"/>
        <w:spacing w:before="8"/>
        <w:rPr>
          <w:b/>
          <w:sz w:val="19"/>
        </w:rPr>
      </w:pPr>
    </w:p>
    <w:p w:rsidR="00C76E6D" w:rsidRDefault="00913831">
      <w:pPr>
        <w:pStyle w:val="BodyText"/>
        <w:spacing w:line="276" w:lineRule="auto"/>
        <w:ind w:left="627" w:right="334"/>
        <w:jc w:val="both"/>
      </w:pPr>
      <w:r>
        <w:t>The</w:t>
      </w:r>
      <w:r>
        <w:rPr>
          <w:spacing w:val="-3"/>
        </w:rPr>
        <w:t xml:space="preserve"> </w:t>
      </w:r>
      <w:r>
        <w:t>Commission</w:t>
      </w:r>
      <w:r>
        <w:rPr>
          <w:spacing w:val="-5"/>
        </w:rPr>
        <w:t xml:space="preserve"> </w:t>
      </w:r>
      <w:r>
        <w:t>encourages</w:t>
      </w:r>
      <w:r>
        <w:rPr>
          <w:spacing w:val="-2"/>
        </w:rPr>
        <w:t xml:space="preserve"> </w:t>
      </w:r>
      <w:r>
        <w:t>MassHire</w:t>
      </w:r>
      <w:r>
        <w:rPr>
          <w:spacing w:val="-3"/>
        </w:rPr>
        <w:t xml:space="preserve"> </w:t>
      </w:r>
      <w:r>
        <w:t>to</w:t>
      </w:r>
      <w:r>
        <w:rPr>
          <w:spacing w:val="-2"/>
        </w:rPr>
        <w:t xml:space="preserve"> </w:t>
      </w:r>
      <w:r>
        <w:t>continue</w:t>
      </w:r>
      <w:r>
        <w:rPr>
          <w:spacing w:val="-3"/>
        </w:rPr>
        <w:t xml:space="preserve"> </w:t>
      </w:r>
      <w:r>
        <w:t>expanding</w:t>
      </w:r>
      <w:r>
        <w:rPr>
          <w:spacing w:val="-2"/>
        </w:rPr>
        <w:t xml:space="preserve"> </w:t>
      </w:r>
      <w:r>
        <w:t>and reinforcing</w:t>
      </w:r>
      <w:r>
        <w:rPr>
          <w:spacing w:val="-2"/>
        </w:rPr>
        <w:t xml:space="preserve"> </w:t>
      </w:r>
      <w:r>
        <w:t>its</w:t>
      </w:r>
      <w:r>
        <w:rPr>
          <w:spacing w:val="-2"/>
        </w:rPr>
        <w:t xml:space="preserve"> </w:t>
      </w:r>
      <w:r>
        <w:t>partnerships</w:t>
      </w:r>
      <w:r>
        <w:rPr>
          <w:spacing w:val="-2"/>
        </w:rPr>
        <w:t xml:space="preserve"> </w:t>
      </w:r>
      <w:r>
        <w:t>with</w:t>
      </w:r>
      <w:r>
        <w:rPr>
          <w:spacing w:val="-3"/>
        </w:rPr>
        <w:t xml:space="preserve"> </w:t>
      </w:r>
      <w:r>
        <w:t>social service providers, businesses, and other state agencies to offer resources aimed at addressing the MassHire readiness needs of LGBTQ young people. Both Ma</w:t>
      </w:r>
      <w:r>
        <w:t xml:space="preserve">ssHire’s work with guidance counselors and on creating diverse talent pipelines could offer opportunities to promote workforce development for LGBTQ youth. The Commission also recommends that MDCS make LGBTQ resources available to their career centers and </w:t>
      </w:r>
      <w:r>
        <w:t>ensure that jobseeker services staff and business services staff make appropriate referrals</w:t>
      </w:r>
      <w:r>
        <w:rPr>
          <w:spacing w:val="-1"/>
        </w:rPr>
        <w:t xml:space="preserve"> </w:t>
      </w:r>
      <w:r>
        <w:t>to LGBTQ-affirming</w:t>
      </w:r>
      <w:r>
        <w:rPr>
          <w:spacing w:val="-2"/>
        </w:rPr>
        <w:t xml:space="preserve"> </w:t>
      </w:r>
      <w:r>
        <w:t>service providers.</w:t>
      </w:r>
      <w:r>
        <w:rPr>
          <w:spacing w:val="-2"/>
        </w:rPr>
        <w:t xml:space="preserve"> </w:t>
      </w:r>
      <w:r>
        <w:t>The New York</w:t>
      </w:r>
      <w:r>
        <w:rPr>
          <w:spacing w:val="-1"/>
        </w:rPr>
        <w:t xml:space="preserve"> </w:t>
      </w:r>
      <w:r>
        <w:t>State</w:t>
      </w:r>
      <w:r>
        <w:rPr>
          <w:spacing w:val="-2"/>
        </w:rPr>
        <w:t xml:space="preserve"> </w:t>
      </w:r>
      <w:r>
        <w:t>Department</w:t>
      </w:r>
      <w:r>
        <w:rPr>
          <w:spacing w:val="-1"/>
        </w:rPr>
        <w:t xml:space="preserve"> </w:t>
      </w:r>
      <w:r>
        <w:t>of</w:t>
      </w:r>
      <w:r>
        <w:rPr>
          <w:spacing w:val="-2"/>
        </w:rPr>
        <w:t xml:space="preserve"> </w:t>
      </w:r>
      <w:r>
        <w:t>Labor has</w:t>
      </w:r>
      <w:r>
        <w:rPr>
          <w:spacing w:val="-1"/>
        </w:rPr>
        <w:t xml:space="preserve"> </w:t>
      </w:r>
      <w:r>
        <w:t>been</w:t>
      </w:r>
      <w:r>
        <w:rPr>
          <w:spacing w:val="-2"/>
        </w:rPr>
        <w:t xml:space="preserve"> </w:t>
      </w:r>
      <w:r>
        <w:t>active in</w:t>
      </w:r>
      <w:r>
        <w:rPr>
          <w:spacing w:val="-7"/>
        </w:rPr>
        <w:t xml:space="preserve"> </w:t>
      </w:r>
      <w:r>
        <w:t>partnering</w:t>
      </w:r>
      <w:r>
        <w:rPr>
          <w:spacing w:val="-5"/>
        </w:rPr>
        <w:t xml:space="preserve"> </w:t>
      </w:r>
      <w:r>
        <w:t>with</w:t>
      </w:r>
      <w:r>
        <w:rPr>
          <w:spacing w:val="-6"/>
        </w:rPr>
        <w:t xml:space="preserve"> </w:t>
      </w:r>
      <w:r>
        <w:t>LGBTQ</w:t>
      </w:r>
      <w:r>
        <w:rPr>
          <w:spacing w:val="-7"/>
        </w:rPr>
        <w:t xml:space="preserve"> </w:t>
      </w:r>
      <w:r>
        <w:t>youth</w:t>
      </w:r>
      <w:r>
        <w:rPr>
          <w:spacing w:val="-6"/>
        </w:rPr>
        <w:t xml:space="preserve"> </w:t>
      </w:r>
      <w:r>
        <w:t>homeless</w:t>
      </w:r>
      <w:r>
        <w:rPr>
          <w:spacing w:val="-7"/>
        </w:rPr>
        <w:t xml:space="preserve"> </w:t>
      </w:r>
      <w:r>
        <w:t>shelters</w:t>
      </w:r>
      <w:r>
        <w:rPr>
          <w:spacing w:val="-6"/>
        </w:rPr>
        <w:t xml:space="preserve"> </w:t>
      </w:r>
      <w:r>
        <w:t>and</w:t>
      </w:r>
      <w:r>
        <w:rPr>
          <w:spacing w:val="-8"/>
        </w:rPr>
        <w:t xml:space="preserve"> </w:t>
      </w:r>
      <w:r>
        <w:t>other</w:t>
      </w:r>
      <w:r>
        <w:rPr>
          <w:spacing w:val="-5"/>
        </w:rPr>
        <w:t xml:space="preserve"> </w:t>
      </w:r>
      <w:r>
        <w:t>providers</w:t>
      </w:r>
      <w:r>
        <w:rPr>
          <w:spacing w:val="-7"/>
        </w:rPr>
        <w:t xml:space="preserve"> </w:t>
      </w:r>
      <w:r>
        <w:t>to</w:t>
      </w:r>
      <w:r>
        <w:rPr>
          <w:spacing w:val="-6"/>
        </w:rPr>
        <w:t xml:space="preserve"> </w:t>
      </w:r>
      <w:r>
        <w:t>improve</w:t>
      </w:r>
      <w:r>
        <w:rPr>
          <w:spacing w:val="-8"/>
        </w:rPr>
        <w:t xml:space="preserve"> </w:t>
      </w:r>
      <w:r>
        <w:t>access</w:t>
      </w:r>
      <w:r>
        <w:rPr>
          <w:spacing w:val="-5"/>
        </w:rPr>
        <w:t xml:space="preserve"> </w:t>
      </w:r>
      <w:r>
        <w:t>to</w:t>
      </w:r>
      <w:r>
        <w:rPr>
          <w:spacing w:val="-7"/>
        </w:rPr>
        <w:t xml:space="preserve"> </w:t>
      </w:r>
      <w:r>
        <w:t>employment opportunities for LGBTQ youth, and the Commission encourages MDCS to rely on New York State as a model</w:t>
      </w:r>
      <w:hyperlink w:anchor="_bookmark647" w:history="1">
        <w:r>
          <w:t>.</w:t>
        </w:r>
        <w:r>
          <w:rPr>
            <w:vertAlign w:val="superscript"/>
          </w:rPr>
          <w:t>4</w:t>
        </w:r>
        <w:r>
          <w:t xml:space="preserve"> I</w:t>
        </w:r>
      </w:hyperlink>
      <w:r>
        <w:t>n 2020, the Commission added MassHire Career Centers to its online resource map, which w</w:t>
      </w:r>
      <w:r>
        <w:t>ill be moved over to its new resource database at the start of FY 2023. Finally, the Commission thanks MDCS for sharing with its staff the guidance the Commission issued in recognizing gender identity diversity in state workplaces and believes that such pr</w:t>
      </w:r>
      <w:r>
        <w:t>actices can also improve the inclusiveness of services provided by MassHire to LGBTQ youth.</w:t>
      </w: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913831">
      <w:pPr>
        <w:pStyle w:val="BodyText"/>
        <w:spacing w:before="10"/>
        <w:rPr>
          <w:sz w:val="26"/>
        </w:rPr>
      </w:pPr>
      <w:r>
        <w:pict>
          <v:shape id="docshape480" o:spid="_x0000_s1032" style="position:absolute;margin-left:70.6pt;margin-top:17.6pt;width:470.95pt;height:.1pt;z-index:-15621632;mso-wrap-distance-left:0;mso-wrap-distance-right:0;mso-position-horizontal-relative:page" coordorigin="1412,352" coordsize="9419,0" path="m1412,352r9419,e" filled="f" strokeweight="1.54pt">
            <v:path arrowok="t"/>
            <w10:wrap type="topAndBottom" anchorx="page"/>
          </v:shape>
        </w:pict>
      </w:r>
    </w:p>
    <w:p w:rsidR="00C76E6D" w:rsidRDefault="00C76E6D">
      <w:pPr>
        <w:pStyle w:val="BodyText"/>
        <w:spacing w:before="9"/>
      </w:pPr>
    </w:p>
    <w:p w:rsidR="00C76E6D" w:rsidRDefault="00913831">
      <w:pPr>
        <w:pStyle w:val="Heading6"/>
        <w:ind w:left="3682" w:right="3683"/>
        <w:jc w:val="center"/>
      </w:pPr>
      <w:bookmarkStart w:id="932" w:name="ENDNOTES"/>
      <w:bookmarkEnd w:id="932"/>
      <w:r>
        <w:rPr>
          <w:spacing w:val="-2"/>
        </w:rPr>
        <w:t>ENDNOTES</w:t>
      </w:r>
    </w:p>
    <w:p w:rsidR="00C76E6D" w:rsidRDefault="00913831">
      <w:pPr>
        <w:pStyle w:val="BodyText"/>
        <w:spacing w:before="9"/>
        <w:rPr>
          <w:b/>
          <w:sz w:val="25"/>
        </w:rPr>
      </w:pPr>
      <w:r>
        <w:pict>
          <v:shape id="docshape481" o:spid="_x0000_s1031" style="position:absolute;margin-left:70.6pt;margin-top:16.9pt;width:470.95pt;height:.1pt;z-index:-15621120;mso-wrap-distance-left:0;mso-wrap-distance-right:0;mso-position-horizontal-relative:page" coordorigin="1412,338" coordsize="9419,0" path="m1412,338r9419,e" filled="f" strokeweight="1.54pt">
            <v:path arrowok="t"/>
            <w10:wrap type="topAndBottom" anchorx="page"/>
          </v:shape>
        </w:pict>
      </w:r>
    </w:p>
    <w:p w:rsidR="00C76E6D" w:rsidRDefault="00C76E6D">
      <w:pPr>
        <w:pStyle w:val="BodyText"/>
        <w:rPr>
          <w:b/>
        </w:rPr>
      </w:pPr>
    </w:p>
    <w:p w:rsidR="00C76E6D" w:rsidRDefault="00C76E6D">
      <w:pPr>
        <w:pStyle w:val="BodyText"/>
        <w:rPr>
          <w:b/>
        </w:rPr>
      </w:pPr>
    </w:p>
    <w:p w:rsidR="00C76E6D" w:rsidRDefault="00C76E6D">
      <w:pPr>
        <w:pStyle w:val="BodyText"/>
        <w:spacing w:before="2"/>
        <w:rPr>
          <w:b/>
          <w:sz w:val="24"/>
        </w:rPr>
      </w:pPr>
    </w:p>
    <w:p w:rsidR="00C76E6D" w:rsidRDefault="00913831">
      <w:pPr>
        <w:ind w:left="338"/>
        <w:rPr>
          <w:sz w:val="20"/>
        </w:rPr>
      </w:pPr>
      <w:bookmarkStart w:id="933" w:name="_bookmark644"/>
      <w:bookmarkEnd w:id="933"/>
      <w:r>
        <w:rPr>
          <w:sz w:val="20"/>
          <w:vertAlign w:val="superscript"/>
        </w:rPr>
        <w:t>1</w:t>
      </w:r>
      <w:r>
        <w:rPr>
          <w:spacing w:val="-7"/>
          <w:sz w:val="20"/>
        </w:rPr>
        <w:t xml:space="preserve"> </w:t>
      </w:r>
      <w:bookmarkStart w:id="934" w:name="_bookmark645"/>
      <w:bookmarkEnd w:id="934"/>
      <w:r>
        <w:rPr>
          <w:sz w:val="20"/>
        </w:rPr>
        <w:t>Movement</w:t>
      </w:r>
      <w:r>
        <w:rPr>
          <w:spacing w:val="-8"/>
          <w:sz w:val="20"/>
        </w:rPr>
        <w:t xml:space="preserve"> </w:t>
      </w:r>
      <w:r>
        <w:rPr>
          <w:sz w:val="20"/>
        </w:rPr>
        <w:t>Advancement</w:t>
      </w:r>
      <w:r>
        <w:rPr>
          <w:spacing w:val="-7"/>
          <w:sz w:val="20"/>
        </w:rPr>
        <w:t xml:space="preserve"> </w:t>
      </w:r>
      <w:r>
        <w:rPr>
          <w:sz w:val="20"/>
        </w:rPr>
        <w:t>Project.</w:t>
      </w:r>
      <w:r>
        <w:rPr>
          <w:spacing w:val="-8"/>
          <w:sz w:val="20"/>
        </w:rPr>
        <w:t xml:space="preserve"> </w:t>
      </w:r>
      <w:r>
        <w:rPr>
          <w:sz w:val="20"/>
        </w:rPr>
        <w:t>(2013).</w:t>
      </w:r>
      <w:r>
        <w:rPr>
          <w:spacing w:val="-10"/>
          <w:sz w:val="20"/>
        </w:rPr>
        <w:t xml:space="preserve"> </w:t>
      </w:r>
      <w:r>
        <w:rPr>
          <w:sz w:val="20"/>
        </w:rPr>
        <w:t>A</w:t>
      </w:r>
      <w:r>
        <w:rPr>
          <w:spacing w:val="-7"/>
          <w:sz w:val="20"/>
        </w:rPr>
        <w:t xml:space="preserve"> </w:t>
      </w:r>
      <w:r>
        <w:rPr>
          <w:sz w:val="20"/>
        </w:rPr>
        <w:t>Broken</w:t>
      </w:r>
      <w:r>
        <w:rPr>
          <w:spacing w:val="-8"/>
          <w:sz w:val="20"/>
        </w:rPr>
        <w:t xml:space="preserve"> </w:t>
      </w:r>
      <w:r>
        <w:rPr>
          <w:sz w:val="20"/>
        </w:rPr>
        <w:t>Bargain</w:t>
      </w:r>
      <w:r>
        <w:rPr>
          <w:spacing w:val="-6"/>
          <w:sz w:val="20"/>
        </w:rPr>
        <w:t xml:space="preserve"> </w:t>
      </w:r>
      <w:r>
        <w:rPr>
          <w:sz w:val="20"/>
        </w:rPr>
        <w:t>for</w:t>
      </w:r>
      <w:r>
        <w:rPr>
          <w:spacing w:val="-8"/>
          <w:sz w:val="20"/>
        </w:rPr>
        <w:t xml:space="preserve"> </w:t>
      </w:r>
      <w:r>
        <w:rPr>
          <w:sz w:val="20"/>
        </w:rPr>
        <w:t>LGBT</w:t>
      </w:r>
      <w:r>
        <w:rPr>
          <w:spacing w:val="-9"/>
          <w:sz w:val="20"/>
        </w:rPr>
        <w:t xml:space="preserve"> </w:t>
      </w:r>
      <w:r>
        <w:rPr>
          <w:sz w:val="20"/>
        </w:rPr>
        <w:t>Workers</w:t>
      </w:r>
      <w:r>
        <w:rPr>
          <w:spacing w:val="-7"/>
          <w:sz w:val="20"/>
        </w:rPr>
        <w:t xml:space="preserve"> </w:t>
      </w:r>
      <w:r>
        <w:rPr>
          <w:sz w:val="20"/>
        </w:rPr>
        <w:t>of</w:t>
      </w:r>
      <w:r>
        <w:rPr>
          <w:spacing w:val="-7"/>
          <w:sz w:val="20"/>
        </w:rPr>
        <w:t xml:space="preserve"> </w:t>
      </w:r>
      <w:r>
        <w:rPr>
          <w:spacing w:val="-2"/>
          <w:sz w:val="20"/>
        </w:rPr>
        <w:t>Color.</w:t>
      </w:r>
    </w:p>
    <w:p w:rsidR="00C76E6D" w:rsidRPr="00AB50BD" w:rsidRDefault="00913831">
      <w:pPr>
        <w:spacing w:before="1" w:line="244" w:lineRule="exact"/>
        <w:ind w:left="338"/>
        <w:rPr>
          <w:sz w:val="20"/>
          <w:lang w:val="es-US"/>
        </w:rPr>
      </w:pPr>
      <w:r w:rsidRPr="00AB50BD">
        <w:rPr>
          <w:sz w:val="20"/>
          <w:vertAlign w:val="superscript"/>
          <w:lang w:val="es-US"/>
        </w:rPr>
        <w:t>2</w:t>
      </w:r>
      <w:r w:rsidRPr="00AB50BD">
        <w:rPr>
          <w:spacing w:val="-4"/>
          <w:sz w:val="20"/>
          <w:lang w:val="es-US"/>
        </w:rPr>
        <w:t xml:space="preserve"> </w:t>
      </w:r>
      <w:bookmarkStart w:id="935" w:name="_bookmark646"/>
      <w:bookmarkEnd w:id="935"/>
      <w:r w:rsidRPr="00AB50BD">
        <w:rPr>
          <w:sz w:val="20"/>
          <w:lang w:val="es-US"/>
        </w:rPr>
        <w:t>Conron,</w:t>
      </w:r>
      <w:r w:rsidRPr="00AB50BD">
        <w:rPr>
          <w:spacing w:val="-5"/>
          <w:sz w:val="20"/>
          <w:lang w:val="es-US"/>
        </w:rPr>
        <w:t xml:space="preserve"> </w:t>
      </w:r>
      <w:r w:rsidRPr="00AB50BD">
        <w:rPr>
          <w:sz w:val="20"/>
          <w:lang w:val="es-US"/>
        </w:rPr>
        <w:t>K.,</w:t>
      </w:r>
      <w:r w:rsidRPr="00AB50BD">
        <w:rPr>
          <w:spacing w:val="-4"/>
          <w:sz w:val="20"/>
          <w:lang w:val="es-US"/>
        </w:rPr>
        <w:t xml:space="preserve"> </w:t>
      </w:r>
      <w:r w:rsidRPr="00AB50BD">
        <w:rPr>
          <w:sz w:val="20"/>
          <w:lang w:val="es-US"/>
        </w:rPr>
        <w:t>et</w:t>
      </w:r>
      <w:r w:rsidRPr="00AB50BD">
        <w:rPr>
          <w:spacing w:val="-6"/>
          <w:sz w:val="20"/>
          <w:lang w:val="es-US"/>
        </w:rPr>
        <w:t xml:space="preserve"> </w:t>
      </w:r>
      <w:r w:rsidRPr="00AB50BD">
        <w:rPr>
          <w:sz w:val="20"/>
          <w:lang w:val="es-US"/>
        </w:rPr>
        <w:t>al.</w:t>
      </w:r>
      <w:r w:rsidRPr="00AB50BD">
        <w:rPr>
          <w:spacing w:val="-5"/>
          <w:sz w:val="20"/>
          <w:lang w:val="es-US"/>
        </w:rPr>
        <w:t xml:space="preserve"> </w:t>
      </w:r>
      <w:r w:rsidRPr="00AB50BD">
        <w:rPr>
          <w:spacing w:val="-2"/>
          <w:sz w:val="20"/>
          <w:lang w:val="es-US"/>
        </w:rPr>
        <w:t>(2015).</w:t>
      </w:r>
    </w:p>
    <w:p w:rsidR="00C76E6D" w:rsidRDefault="00913831">
      <w:pPr>
        <w:spacing w:line="241" w:lineRule="exact"/>
        <w:ind w:left="338"/>
        <w:rPr>
          <w:sz w:val="20"/>
        </w:rPr>
      </w:pPr>
      <w:r w:rsidRPr="00AB50BD">
        <w:rPr>
          <w:sz w:val="20"/>
          <w:vertAlign w:val="superscript"/>
          <w:lang w:val="es-US"/>
        </w:rPr>
        <w:t>3</w:t>
      </w:r>
      <w:r w:rsidRPr="00AB50BD">
        <w:rPr>
          <w:spacing w:val="-4"/>
          <w:sz w:val="20"/>
          <w:lang w:val="es-US"/>
        </w:rPr>
        <w:t xml:space="preserve"> </w:t>
      </w:r>
      <w:bookmarkStart w:id="936" w:name="_bookmark647"/>
      <w:bookmarkEnd w:id="936"/>
      <w:r w:rsidRPr="00AB50BD">
        <w:rPr>
          <w:sz w:val="20"/>
          <w:lang w:val="es-US"/>
        </w:rPr>
        <w:t>Conron,</w:t>
      </w:r>
      <w:r w:rsidRPr="00AB50BD">
        <w:rPr>
          <w:spacing w:val="-5"/>
          <w:sz w:val="20"/>
          <w:lang w:val="es-US"/>
        </w:rPr>
        <w:t xml:space="preserve"> </w:t>
      </w:r>
      <w:r w:rsidRPr="00AB50BD">
        <w:rPr>
          <w:sz w:val="20"/>
          <w:lang w:val="es-US"/>
        </w:rPr>
        <w:t>K.,</w:t>
      </w:r>
      <w:r w:rsidRPr="00AB50BD">
        <w:rPr>
          <w:spacing w:val="-4"/>
          <w:sz w:val="20"/>
          <w:lang w:val="es-US"/>
        </w:rPr>
        <w:t xml:space="preserve"> </w:t>
      </w:r>
      <w:r w:rsidRPr="00AB50BD">
        <w:rPr>
          <w:sz w:val="20"/>
          <w:lang w:val="es-US"/>
        </w:rPr>
        <w:t>et</w:t>
      </w:r>
      <w:r w:rsidRPr="00AB50BD">
        <w:rPr>
          <w:spacing w:val="-6"/>
          <w:sz w:val="20"/>
          <w:lang w:val="es-US"/>
        </w:rPr>
        <w:t xml:space="preserve"> </w:t>
      </w:r>
      <w:r w:rsidRPr="00AB50BD">
        <w:rPr>
          <w:sz w:val="20"/>
          <w:lang w:val="es-US"/>
        </w:rPr>
        <w:t>al.</w:t>
      </w:r>
      <w:r w:rsidRPr="00AB50BD">
        <w:rPr>
          <w:spacing w:val="-6"/>
          <w:sz w:val="20"/>
          <w:lang w:val="es-US"/>
        </w:rPr>
        <w:t xml:space="preserve"> </w:t>
      </w:r>
      <w:r>
        <w:rPr>
          <w:spacing w:val="-2"/>
          <w:sz w:val="20"/>
        </w:rPr>
        <w:t>(2015).</w:t>
      </w:r>
    </w:p>
    <w:p w:rsidR="00C76E6D" w:rsidRDefault="00913831">
      <w:pPr>
        <w:ind w:left="338" w:right="530" w:hanging="1"/>
        <w:rPr>
          <w:sz w:val="20"/>
        </w:rPr>
      </w:pPr>
      <w:r>
        <w:rPr>
          <w:sz w:val="20"/>
          <w:vertAlign w:val="superscript"/>
        </w:rPr>
        <w:t>4</w:t>
      </w:r>
      <w:r>
        <w:rPr>
          <w:spacing w:val="-4"/>
          <w:sz w:val="20"/>
        </w:rPr>
        <w:t xml:space="preserve"> </w:t>
      </w:r>
      <w:r>
        <w:rPr>
          <w:sz w:val="20"/>
        </w:rPr>
        <w:t>New</w:t>
      </w:r>
      <w:r>
        <w:rPr>
          <w:spacing w:val="-5"/>
          <w:sz w:val="20"/>
        </w:rPr>
        <w:t xml:space="preserve"> </w:t>
      </w:r>
      <w:r>
        <w:rPr>
          <w:sz w:val="20"/>
        </w:rPr>
        <w:t>York</w:t>
      </w:r>
      <w:r>
        <w:rPr>
          <w:spacing w:val="-6"/>
          <w:sz w:val="20"/>
        </w:rPr>
        <w:t xml:space="preserve"> </w:t>
      </w:r>
      <w:r>
        <w:rPr>
          <w:sz w:val="20"/>
        </w:rPr>
        <w:t>Department</w:t>
      </w:r>
      <w:r>
        <w:rPr>
          <w:spacing w:val="-4"/>
          <w:sz w:val="20"/>
        </w:rPr>
        <w:t xml:space="preserve"> </w:t>
      </w:r>
      <w:r>
        <w:rPr>
          <w:sz w:val="20"/>
        </w:rPr>
        <w:t>of</w:t>
      </w:r>
      <w:r>
        <w:rPr>
          <w:spacing w:val="-6"/>
          <w:sz w:val="20"/>
        </w:rPr>
        <w:t xml:space="preserve"> </w:t>
      </w:r>
      <w:r>
        <w:rPr>
          <w:sz w:val="20"/>
        </w:rPr>
        <w:t>Labor.</w:t>
      </w:r>
      <w:r>
        <w:rPr>
          <w:spacing w:val="-5"/>
          <w:sz w:val="20"/>
        </w:rPr>
        <w:t xml:space="preserve"> </w:t>
      </w:r>
      <w:r>
        <w:rPr>
          <w:sz w:val="20"/>
        </w:rPr>
        <w:t>(2013).</w:t>
      </w:r>
      <w:r>
        <w:rPr>
          <w:spacing w:val="-7"/>
          <w:sz w:val="20"/>
        </w:rPr>
        <w:t xml:space="preserve"> </w:t>
      </w:r>
      <w:r>
        <w:rPr>
          <w:sz w:val="20"/>
        </w:rPr>
        <w:t>State</w:t>
      </w:r>
      <w:r>
        <w:rPr>
          <w:spacing w:val="-4"/>
          <w:sz w:val="20"/>
        </w:rPr>
        <w:t xml:space="preserve"> </w:t>
      </w:r>
      <w:r>
        <w:rPr>
          <w:sz w:val="20"/>
        </w:rPr>
        <w:t>Labor</w:t>
      </w:r>
      <w:r>
        <w:rPr>
          <w:spacing w:val="-7"/>
          <w:sz w:val="20"/>
        </w:rPr>
        <w:t xml:space="preserve"> </w:t>
      </w:r>
      <w:r>
        <w:rPr>
          <w:sz w:val="20"/>
        </w:rPr>
        <w:t>Department</w:t>
      </w:r>
      <w:r>
        <w:rPr>
          <w:spacing w:val="-5"/>
          <w:sz w:val="20"/>
        </w:rPr>
        <w:t xml:space="preserve"> </w:t>
      </w:r>
      <w:r>
        <w:rPr>
          <w:sz w:val="20"/>
        </w:rPr>
        <w:t>Announces</w:t>
      </w:r>
      <w:r>
        <w:rPr>
          <w:spacing w:val="-6"/>
          <w:sz w:val="20"/>
        </w:rPr>
        <w:t xml:space="preserve"> </w:t>
      </w:r>
      <w:r>
        <w:rPr>
          <w:sz w:val="20"/>
        </w:rPr>
        <w:t>At-Risk</w:t>
      </w:r>
      <w:r>
        <w:rPr>
          <w:spacing w:val="-5"/>
          <w:sz w:val="20"/>
        </w:rPr>
        <w:t xml:space="preserve"> </w:t>
      </w:r>
      <w:r>
        <w:rPr>
          <w:sz w:val="20"/>
        </w:rPr>
        <w:t>LGBTQ</w:t>
      </w:r>
      <w:r>
        <w:rPr>
          <w:spacing w:val="-6"/>
          <w:sz w:val="20"/>
        </w:rPr>
        <w:t xml:space="preserve"> </w:t>
      </w:r>
      <w:r>
        <w:rPr>
          <w:sz w:val="20"/>
        </w:rPr>
        <w:t>Youth</w:t>
      </w:r>
      <w:r>
        <w:rPr>
          <w:spacing w:val="-5"/>
          <w:sz w:val="20"/>
        </w:rPr>
        <w:t xml:space="preserve"> </w:t>
      </w:r>
      <w:r>
        <w:rPr>
          <w:sz w:val="20"/>
        </w:rPr>
        <w:t>Employment Initiative. Retrieved from</w:t>
      </w:r>
      <w:hyperlink r:id="rId472">
        <w:r>
          <w:rPr>
            <w:sz w:val="20"/>
          </w:rPr>
          <w:t>http://labor.ny.gov/pressreleases/2013/june-4-2013.sh</w:t>
        </w:r>
        <w:r>
          <w:rPr>
            <w:sz w:val="20"/>
          </w:rPr>
          <w:t>tm.</w:t>
        </w:r>
      </w:hyperlink>
    </w:p>
    <w:p w:rsidR="00C76E6D" w:rsidRDefault="00C76E6D">
      <w:pPr>
        <w:rPr>
          <w:sz w:val="20"/>
        </w:rPr>
        <w:sectPr w:rsidR="00C76E6D">
          <w:pgSz w:w="12240" w:h="15840"/>
          <w:pgMar w:top="1000" w:right="960" w:bottom="720" w:left="960" w:header="811" w:footer="531"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7"/>
        <w:rPr>
          <w:sz w:val="13"/>
        </w:rPr>
      </w:pPr>
    </w:p>
    <w:p w:rsidR="00C76E6D" w:rsidRDefault="00913831">
      <w:pPr>
        <w:pStyle w:val="BodyText"/>
        <w:spacing w:line="20" w:lineRule="exact"/>
        <w:ind w:left="510"/>
        <w:rPr>
          <w:sz w:val="2"/>
        </w:rPr>
      </w:pPr>
      <w:r>
        <w:rPr>
          <w:sz w:val="2"/>
        </w:rPr>
      </w:r>
      <w:r>
        <w:rPr>
          <w:sz w:val="2"/>
        </w:rPr>
        <w:pict>
          <v:group id="docshapegroup485" o:spid="_x0000_s1029" style="width:465.95pt;height:1.1pt;mso-position-horizontal-relative:char;mso-position-vertical-relative:line" coordsize="9319,22">
            <v:line id="_x0000_s1030" style="position:absolute" from="0,11" to="9319,11" strokeweight="1.09pt"/>
            <w10:anchorlock/>
          </v:group>
        </w:pict>
      </w:r>
    </w:p>
    <w:p w:rsidR="00C76E6D" w:rsidRDefault="00C76E6D">
      <w:pPr>
        <w:pStyle w:val="BodyText"/>
        <w:spacing w:before="10"/>
        <w:rPr>
          <w:sz w:val="24"/>
        </w:rPr>
      </w:pPr>
    </w:p>
    <w:p w:rsidR="00C76E6D" w:rsidRDefault="00913831">
      <w:pPr>
        <w:pStyle w:val="Heading1"/>
        <w:spacing w:before="36"/>
        <w:ind w:left="477"/>
      </w:pPr>
      <w:bookmarkStart w:id="937" w:name="GLOSSARY_OF_TERMS"/>
      <w:bookmarkStart w:id="938" w:name="_bookmark648"/>
      <w:bookmarkEnd w:id="937"/>
      <w:bookmarkEnd w:id="938"/>
      <w:r>
        <w:t>GLOSSARY</w:t>
      </w:r>
      <w:r>
        <w:rPr>
          <w:spacing w:val="-12"/>
        </w:rPr>
        <w:t xml:space="preserve"> </w:t>
      </w:r>
      <w:r>
        <w:t>OF</w:t>
      </w:r>
      <w:r>
        <w:rPr>
          <w:spacing w:val="-9"/>
        </w:rPr>
        <w:t xml:space="preserve"> </w:t>
      </w:r>
      <w:r>
        <w:rPr>
          <w:spacing w:val="-2"/>
        </w:rPr>
        <w:t>TERMS</w:t>
      </w:r>
    </w:p>
    <w:p w:rsidR="00C76E6D" w:rsidRDefault="00913831">
      <w:pPr>
        <w:pStyle w:val="BodyText"/>
        <w:spacing w:before="8"/>
        <w:rPr>
          <w:b/>
          <w:sz w:val="24"/>
        </w:rPr>
      </w:pPr>
      <w:r>
        <w:pict>
          <v:rect id="docshape486" o:spid="_x0000_s1028" style="position:absolute;margin-left:70.6pt;margin-top:16.25pt;width:470.95pt;height:1.45pt;z-index:-15620096;mso-wrap-distance-left:0;mso-wrap-distance-right:0;mso-position-horizontal-relative:page" fillcolor="black" stroked="f">
            <w10:wrap type="topAndBottom" anchorx="page"/>
          </v:rect>
        </w:pict>
      </w:r>
    </w:p>
    <w:p w:rsidR="00C76E6D" w:rsidRDefault="00C76E6D">
      <w:pPr>
        <w:pStyle w:val="BodyText"/>
        <w:spacing w:before="4"/>
        <w:rPr>
          <w:b/>
          <w:sz w:val="26"/>
        </w:rPr>
      </w:pPr>
    </w:p>
    <w:p w:rsidR="00C76E6D" w:rsidRDefault="00913831">
      <w:pPr>
        <w:pStyle w:val="Heading6"/>
        <w:spacing w:before="1" w:line="247" w:lineRule="auto"/>
        <w:ind w:left="479" w:right="476" w:hanging="4"/>
        <w:jc w:val="both"/>
      </w:pPr>
      <w:bookmarkStart w:id="939" w:name="The_terms_that_people_embrace_as_descrip"/>
      <w:bookmarkEnd w:id="939"/>
      <w:r>
        <w:t>The terms that people embrace as descriptive of their gender and sexual orientation, and those that they find offensive are relative to historical period, race, ethnicity, generation, cultural context, and geographical region.</w:t>
      </w:r>
    </w:p>
    <w:p w:rsidR="00C76E6D" w:rsidRDefault="00C76E6D">
      <w:pPr>
        <w:pStyle w:val="BodyText"/>
        <w:spacing w:before="11"/>
        <w:rPr>
          <w:b/>
          <w:sz w:val="21"/>
        </w:rPr>
      </w:pPr>
    </w:p>
    <w:p w:rsidR="00C76E6D" w:rsidRDefault="00913831">
      <w:pPr>
        <w:pStyle w:val="BodyText"/>
        <w:spacing w:line="247" w:lineRule="auto"/>
        <w:ind w:left="479" w:right="479" w:hanging="4"/>
        <w:jc w:val="both"/>
      </w:pPr>
      <w:r>
        <w:rPr>
          <w:b/>
        </w:rPr>
        <w:t xml:space="preserve">Agender: </w:t>
      </w:r>
      <w:r>
        <w:t xml:space="preserve">literally “without </w:t>
      </w:r>
      <w:r>
        <w:t>gender”; used by people who understand themselves as genderless, gender neutral, unaligned with a specific gender, and/or having a gender that defies terminology</w:t>
      </w:r>
    </w:p>
    <w:p w:rsidR="00C76E6D" w:rsidRDefault="00C76E6D">
      <w:pPr>
        <w:pStyle w:val="BodyText"/>
        <w:spacing w:before="11"/>
      </w:pPr>
    </w:p>
    <w:p w:rsidR="00C76E6D" w:rsidRDefault="00913831">
      <w:pPr>
        <w:pStyle w:val="BodyText"/>
        <w:spacing w:before="1" w:line="247" w:lineRule="auto"/>
        <w:ind w:left="479" w:right="471" w:hanging="4"/>
        <w:jc w:val="both"/>
      </w:pPr>
      <w:r>
        <w:rPr>
          <w:b/>
        </w:rPr>
        <w:t xml:space="preserve">Asexual/Ace: </w:t>
      </w:r>
      <w:r>
        <w:t>an</w:t>
      </w:r>
      <w:r>
        <w:rPr>
          <w:spacing w:val="-4"/>
        </w:rPr>
        <w:t xml:space="preserve"> </w:t>
      </w:r>
      <w:r>
        <w:t>umbrella</w:t>
      </w:r>
      <w:r>
        <w:rPr>
          <w:spacing w:val="-1"/>
        </w:rPr>
        <w:t xml:space="preserve"> </w:t>
      </w:r>
      <w:r>
        <w:t>term</w:t>
      </w:r>
      <w:r>
        <w:rPr>
          <w:spacing w:val="-4"/>
        </w:rPr>
        <w:t xml:space="preserve"> </w:t>
      </w:r>
      <w:r>
        <w:t>used</w:t>
      </w:r>
      <w:r>
        <w:rPr>
          <w:spacing w:val="-4"/>
        </w:rPr>
        <w:t xml:space="preserve"> </w:t>
      </w:r>
      <w:r>
        <w:t>to</w:t>
      </w:r>
      <w:r>
        <w:rPr>
          <w:spacing w:val="-2"/>
        </w:rPr>
        <w:t xml:space="preserve"> </w:t>
      </w:r>
      <w:r>
        <w:t>describe</w:t>
      </w:r>
      <w:r>
        <w:rPr>
          <w:spacing w:val="-4"/>
        </w:rPr>
        <w:t xml:space="preserve"> </w:t>
      </w:r>
      <w:r>
        <w:t>a</w:t>
      </w:r>
      <w:r>
        <w:rPr>
          <w:spacing w:val="-4"/>
        </w:rPr>
        <w:t xml:space="preserve"> </w:t>
      </w:r>
      <w:r>
        <w:t>spectrum</w:t>
      </w:r>
      <w:r>
        <w:rPr>
          <w:spacing w:val="-4"/>
        </w:rPr>
        <w:t xml:space="preserve"> </w:t>
      </w:r>
      <w:r>
        <w:t>of</w:t>
      </w:r>
      <w:r>
        <w:rPr>
          <w:spacing w:val="-4"/>
        </w:rPr>
        <w:t xml:space="preserve"> </w:t>
      </w:r>
      <w:r>
        <w:t>identities</w:t>
      </w:r>
      <w:r>
        <w:rPr>
          <w:spacing w:val="-1"/>
        </w:rPr>
        <w:t xml:space="preserve"> </w:t>
      </w:r>
      <w:r>
        <w:t>characterized</w:t>
      </w:r>
      <w:r>
        <w:rPr>
          <w:spacing w:val="-4"/>
        </w:rPr>
        <w:t xml:space="preserve"> </w:t>
      </w:r>
      <w:r>
        <w:t>by</w:t>
      </w:r>
      <w:r>
        <w:rPr>
          <w:spacing w:val="-3"/>
        </w:rPr>
        <w:t xml:space="preserve"> </w:t>
      </w:r>
      <w:r>
        <w:t>havi</w:t>
      </w:r>
      <w:r>
        <w:t>ng</w:t>
      </w:r>
      <w:r>
        <w:rPr>
          <w:spacing w:val="-2"/>
        </w:rPr>
        <w:t xml:space="preserve"> </w:t>
      </w:r>
      <w:r>
        <w:t>little</w:t>
      </w:r>
      <w:r>
        <w:rPr>
          <w:spacing w:val="-2"/>
        </w:rPr>
        <w:t xml:space="preserve"> </w:t>
      </w:r>
      <w:r>
        <w:t>or no interest in sex, and/or little or no interest in romantic relationships.</w:t>
      </w:r>
    </w:p>
    <w:p w:rsidR="00C76E6D" w:rsidRDefault="00C76E6D">
      <w:pPr>
        <w:pStyle w:val="BodyText"/>
      </w:pPr>
    </w:p>
    <w:p w:rsidR="00C76E6D" w:rsidRDefault="00913831">
      <w:pPr>
        <w:pStyle w:val="BodyText"/>
        <w:spacing w:line="247" w:lineRule="auto"/>
        <w:ind w:left="480" w:right="471" w:hanging="4"/>
        <w:jc w:val="both"/>
      </w:pPr>
      <w:r>
        <w:rPr>
          <w:b/>
        </w:rPr>
        <w:t xml:space="preserve">Assigned sex/sex assigned at birth: </w:t>
      </w:r>
      <w:r>
        <w:t xml:space="preserve">the sex (e.g. “male” or “female”) that is noted on an individual's birth certificate issued at birth. This is also referred to as </w:t>
      </w:r>
      <w:r>
        <w:t>sex assigned at birth, birth sex, and/or sex recorded</w:t>
      </w:r>
      <w:r>
        <w:rPr>
          <w:spacing w:val="-1"/>
        </w:rPr>
        <w:t xml:space="preserve"> </w:t>
      </w:r>
      <w:r>
        <w:t>at birth. Some individuals may opt to change</w:t>
      </w:r>
      <w:r>
        <w:rPr>
          <w:spacing w:val="-1"/>
        </w:rPr>
        <w:t xml:space="preserve"> </w:t>
      </w:r>
      <w:r>
        <w:t>the</w:t>
      </w:r>
      <w:r>
        <w:rPr>
          <w:spacing w:val="-1"/>
        </w:rPr>
        <w:t xml:space="preserve"> </w:t>
      </w:r>
      <w:r>
        <w:t>sex assigned to them on their birth certificate to better reflect their gender identity.</w:t>
      </w:r>
    </w:p>
    <w:p w:rsidR="00C76E6D" w:rsidRDefault="00C76E6D">
      <w:pPr>
        <w:pStyle w:val="BodyText"/>
      </w:pPr>
    </w:p>
    <w:p w:rsidR="00C76E6D" w:rsidRDefault="00913831">
      <w:pPr>
        <w:pStyle w:val="BodyText"/>
        <w:spacing w:line="247" w:lineRule="auto"/>
        <w:ind w:left="479" w:right="468" w:hanging="4"/>
        <w:jc w:val="both"/>
      </w:pPr>
      <w:r>
        <w:rPr>
          <w:b/>
        </w:rPr>
        <w:t xml:space="preserve">Binary sex/gender system: </w:t>
      </w:r>
      <w:r>
        <w:t>the idea that there are only two sexes/genders (male and female, or masculine and feminine) and that they are distinct, opposite forms of each other. This view is increasingly being challenged by the idea that both sex and gender are social constructions t</w:t>
      </w:r>
      <w:r>
        <w:t>hat operate along continuums, are fluid, and not necessarily congruent.</w:t>
      </w:r>
    </w:p>
    <w:p w:rsidR="00C76E6D" w:rsidRDefault="00C76E6D">
      <w:pPr>
        <w:pStyle w:val="BodyText"/>
        <w:spacing w:before="1"/>
      </w:pPr>
    </w:p>
    <w:p w:rsidR="00C76E6D" w:rsidRDefault="00913831">
      <w:pPr>
        <w:pStyle w:val="BodyText"/>
        <w:spacing w:line="247" w:lineRule="auto"/>
        <w:ind w:left="479" w:right="482" w:hanging="4"/>
        <w:jc w:val="both"/>
      </w:pPr>
      <w:r>
        <w:rPr>
          <w:b/>
        </w:rPr>
        <w:t xml:space="preserve">Bisexual: </w:t>
      </w:r>
      <w:r>
        <w:t>a person who identifies as having an emotional, sexual, spiritual, and/or relational attraction</w:t>
      </w:r>
      <w:r>
        <w:rPr>
          <w:spacing w:val="40"/>
        </w:rPr>
        <w:t xml:space="preserve"> </w:t>
      </w:r>
      <w:r>
        <w:t>to people of more than one gender.</w:t>
      </w:r>
    </w:p>
    <w:p w:rsidR="00C76E6D" w:rsidRDefault="00C76E6D">
      <w:pPr>
        <w:pStyle w:val="BodyText"/>
        <w:spacing w:before="7"/>
      </w:pPr>
    </w:p>
    <w:p w:rsidR="00C76E6D" w:rsidRDefault="00913831">
      <w:pPr>
        <w:pStyle w:val="BodyText"/>
        <w:spacing w:line="247" w:lineRule="auto"/>
        <w:ind w:left="479" w:right="477" w:hanging="4"/>
        <w:jc w:val="both"/>
      </w:pPr>
      <w:r>
        <w:rPr>
          <w:b/>
        </w:rPr>
        <w:t xml:space="preserve">Consent: </w:t>
      </w:r>
      <w:r>
        <w:t>In a sexual context, consent means an agreement to participate in sexual activity by lawful adults. Consent must be freely given, meaning it was not obtained by force or coercion, under the influence of drugs or alcohol, or while unconscious or incapacitat</w:t>
      </w:r>
      <w:r>
        <w:t>ed, and must be fully informed.</w:t>
      </w:r>
      <w:r>
        <w:rPr>
          <w:spacing w:val="40"/>
        </w:rPr>
        <w:t xml:space="preserve"> </w:t>
      </w:r>
      <w:r>
        <w:t>Consent also must be specific and reversible, so it only applies to activities that are wanted at the time they occur. Some models of consent require that it also be both explicit and enthusiastic. All sexual activities, not</w:t>
      </w:r>
      <w:r>
        <w:t xml:space="preserve"> just heterosexual sex or sex involving intercourse, can be characterized as consensual or </w:t>
      </w:r>
      <w:r>
        <w:rPr>
          <w:spacing w:val="-4"/>
        </w:rPr>
        <w:t>not.</w:t>
      </w:r>
    </w:p>
    <w:p w:rsidR="00C76E6D" w:rsidRDefault="00C76E6D">
      <w:pPr>
        <w:pStyle w:val="BodyText"/>
        <w:spacing w:before="9"/>
      </w:pPr>
    </w:p>
    <w:p w:rsidR="00C76E6D" w:rsidRDefault="00913831">
      <w:pPr>
        <w:pStyle w:val="BodyText"/>
        <w:ind w:left="477"/>
        <w:jc w:val="both"/>
      </w:pPr>
      <w:r>
        <w:rPr>
          <w:b/>
          <w:spacing w:val="-2"/>
        </w:rPr>
        <w:t>Cisgender:</w:t>
      </w:r>
      <w:r>
        <w:rPr>
          <w:b/>
          <w:spacing w:val="-5"/>
        </w:rPr>
        <w:t xml:space="preserve"> </w:t>
      </w:r>
      <w:r>
        <w:rPr>
          <w:spacing w:val="-2"/>
        </w:rPr>
        <w:t>a</w:t>
      </w:r>
      <w:r>
        <w:rPr>
          <w:spacing w:val="-4"/>
        </w:rPr>
        <w:t xml:space="preserve"> </w:t>
      </w:r>
      <w:r>
        <w:rPr>
          <w:spacing w:val="-2"/>
        </w:rPr>
        <w:t>term</w:t>
      </w:r>
      <w:r>
        <w:rPr>
          <w:spacing w:val="-7"/>
        </w:rPr>
        <w:t xml:space="preserve"> </w:t>
      </w:r>
      <w:r>
        <w:rPr>
          <w:spacing w:val="-2"/>
        </w:rPr>
        <w:t>used for someone whose</w:t>
      </w:r>
      <w:r>
        <w:rPr>
          <w:spacing w:val="-3"/>
        </w:rPr>
        <w:t xml:space="preserve"> </w:t>
      </w:r>
      <w:r>
        <w:rPr>
          <w:spacing w:val="-2"/>
        </w:rPr>
        <w:t>gender</w:t>
      </w:r>
      <w:r>
        <w:rPr>
          <w:spacing w:val="-3"/>
        </w:rPr>
        <w:t xml:space="preserve"> </w:t>
      </w:r>
      <w:r>
        <w:rPr>
          <w:spacing w:val="-2"/>
        </w:rPr>
        <w:t>identity</w:t>
      </w:r>
      <w:r>
        <w:rPr>
          <w:spacing w:val="3"/>
        </w:rPr>
        <w:t xml:space="preserve"> </w:t>
      </w:r>
      <w:r>
        <w:rPr>
          <w:spacing w:val="-2"/>
        </w:rPr>
        <w:t>matches their</w:t>
      </w:r>
      <w:r>
        <w:rPr>
          <w:spacing w:val="-4"/>
        </w:rPr>
        <w:t xml:space="preserve"> </w:t>
      </w:r>
      <w:r>
        <w:rPr>
          <w:spacing w:val="-2"/>
        </w:rPr>
        <w:t>sex</w:t>
      </w:r>
      <w:r>
        <w:rPr>
          <w:spacing w:val="-3"/>
        </w:rPr>
        <w:t xml:space="preserve"> </w:t>
      </w:r>
      <w:r>
        <w:rPr>
          <w:spacing w:val="-2"/>
        </w:rPr>
        <w:t>assigned</w:t>
      </w:r>
      <w:r>
        <w:rPr>
          <w:spacing w:val="-4"/>
        </w:rPr>
        <w:t xml:space="preserve"> </w:t>
      </w:r>
      <w:r>
        <w:rPr>
          <w:spacing w:val="-2"/>
        </w:rPr>
        <w:t>at birth,</w:t>
      </w:r>
    </w:p>
    <w:p w:rsidR="00C76E6D" w:rsidRDefault="00913831">
      <w:pPr>
        <w:pStyle w:val="BodyText"/>
        <w:spacing w:before="10"/>
        <w:ind w:left="479"/>
      </w:pPr>
      <w:r>
        <w:rPr>
          <w:w w:val="95"/>
        </w:rPr>
        <w:t>i.e.</w:t>
      </w:r>
      <w:r>
        <w:rPr>
          <w:spacing w:val="6"/>
        </w:rPr>
        <w:t xml:space="preserve"> </w:t>
      </w:r>
      <w:r>
        <w:rPr>
          <w:w w:val="95"/>
        </w:rPr>
        <w:t>who</w:t>
      </w:r>
      <w:r>
        <w:rPr>
          <w:spacing w:val="10"/>
        </w:rPr>
        <w:t xml:space="preserve"> </w:t>
      </w:r>
      <w:r>
        <w:rPr>
          <w:w w:val="95"/>
        </w:rPr>
        <w:t>is</w:t>
      </w:r>
      <w:r>
        <w:rPr>
          <w:spacing w:val="6"/>
        </w:rPr>
        <w:t xml:space="preserve"> </w:t>
      </w:r>
      <w:r>
        <w:rPr>
          <w:w w:val="95"/>
        </w:rPr>
        <w:t>not</w:t>
      </w:r>
      <w:r>
        <w:rPr>
          <w:spacing w:val="7"/>
        </w:rPr>
        <w:t xml:space="preserve"> </w:t>
      </w:r>
      <w:r>
        <w:rPr>
          <w:w w:val="95"/>
        </w:rPr>
        <w:t>transgender</w:t>
      </w:r>
      <w:r>
        <w:rPr>
          <w:spacing w:val="11"/>
        </w:rPr>
        <w:t xml:space="preserve"> </w:t>
      </w:r>
      <w:r>
        <w:rPr>
          <w:w w:val="95"/>
        </w:rPr>
        <w:t>or</w:t>
      </w:r>
      <w:r>
        <w:rPr>
          <w:spacing w:val="8"/>
        </w:rPr>
        <w:t xml:space="preserve"> </w:t>
      </w:r>
      <w:r>
        <w:rPr>
          <w:w w:val="95"/>
        </w:rPr>
        <w:t>gender-</w:t>
      </w:r>
      <w:r>
        <w:rPr>
          <w:spacing w:val="-2"/>
          <w:w w:val="95"/>
        </w:rPr>
        <w:t>nonconforming.</w:t>
      </w:r>
    </w:p>
    <w:p w:rsidR="00C76E6D" w:rsidRDefault="00C76E6D">
      <w:pPr>
        <w:pStyle w:val="BodyText"/>
        <w:spacing w:before="9"/>
      </w:pPr>
    </w:p>
    <w:p w:rsidR="00C76E6D" w:rsidRDefault="00913831">
      <w:pPr>
        <w:pStyle w:val="BodyText"/>
        <w:spacing w:line="247" w:lineRule="auto"/>
        <w:ind w:left="479" w:right="483" w:hanging="4"/>
        <w:jc w:val="both"/>
      </w:pPr>
      <w:r>
        <w:rPr>
          <w:b/>
        </w:rPr>
        <w:t xml:space="preserve">Gay: </w:t>
      </w:r>
      <w:r>
        <w:t>an ove</w:t>
      </w:r>
      <w:r>
        <w:t>rarching term to refer to a broad array of sexual orientation identities other than heterosexual.</w:t>
      </w:r>
      <w:r>
        <w:rPr>
          <w:spacing w:val="-2"/>
        </w:rPr>
        <w:t xml:space="preserve"> </w:t>
      </w:r>
      <w:r>
        <w:t>Can</w:t>
      </w:r>
      <w:r>
        <w:rPr>
          <w:spacing w:val="-2"/>
        </w:rPr>
        <w:t xml:space="preserve"> </w:t>
      </w:r>
      <w:r>
        <w:t>also refer more</w:t>
      </w:r>
      <w:r>
        <w:rPr>
          <w:spacing w:val="-4"/>
        </w:rPr>
        <w:t xml:space="preserve"> </w:t>
      </w:r>
      <w:r>
        <w:t>specifically to the identity of attraction to others</w:t>
      </w:r>
      <w:r>
        <w:rPr>
          <w:spacing w:val="-2"/>
        </w:rPr>
        <w:t xml:space="preserve"> </w:t>
      </w:r>
      <w:r>
        <w:t>of the same gender.</w:t>
      </w:r>
    </w:p>
    <w:p w:rsidR="00C76E6D" w:rsidRDefault="00C76E6D">
      <w:pPr>
        <w:pStyle w:val="BodyText"/>
        <w:spacing w:before="11"/>
        <w:rPr>
          <w:sz w:val="25"/>
        </w:rPr>
      </w:pPr>
    </w:p>
    <w:p w:rsidR="00C76E6D" w:rsidRDefault="00913831">
      <w:pPr>
        <w:pStyle w:val="BodyText"/>
        <w:spacing w:line="247" w:lineRule="auto"/>
        <w:ind w:left="478" w:right="472"/>
        <w:jc w:val="both"/>
      </w:pPr>
      <w:r>
        <w:rPr>
          <w:b/>
        </w:rPr>
        <w:t xml:space="preserve">Gender dysphoria: </w:t>
      </w:r>
      <w:r>
        <w:t>formerly known as Gender Identity Disorder (GI</w:t>
      </w:r>
      <w:r>
        <w:t>D), and described as the extreme discomfort or distress resulting from a mismatch between one's sex assigned at birth and one’s gender identity. Gender dysphoria is also the formal diagnosis for transgender identity in the Diagnostic and Statistical Manual</w:t>
      </w:r>
      <w:r>
        <w:t>, fifth edition (DSM 5). In order to be diagnosed with gender dysphoria,</w:t>
      </w:r>
      <w:r>
        <w:rPr>
          <w:spacing w:val="-8"/>
        </w:rPr>
        <w:t xml:space="preserve"> </w:t>
      </w:r>
      <w:r>
        <w:t>one</w:t>
      </w:r>
      <w:r>
        <w:rPr>
          <w:spacing w:val="-8"/>
        </w:rPr>
        <w:t xml:space="preserve"> </w:t>
      </w:r>
      <w:r>
        <w:t>must</w:t>
      </w:r>
      <w:r>
        <w:rPr>
          <w:spacing w:val="-5"/>
        </w:rPr>
        <w:t xml:space="preserve"> </w:t>
      </w:r>
      <w:r>
        <w:t>have</w:t>
      </w:r>
    </w:p>
    <w:p w:rsidR="00C76E6D" w:rsidRDefault="00C76E6D">
      <w:pPr>
        <w:spacing w:line="247" w:lineRule="auto"/>
        <w:jc w:val="both"/>
        <w:sectPr w:rsidR="00C76E6D">
          <w:headerReference w:type="default" r:id="rId473"/>
          <w:footerReference w:type="default" r:id="rId474"/>
          <w:pgSz w:w="12240" w:h="15840"/>
          <w:pgMar w:top="1020" w:right="960" w:bottom="640" w:left="960" w:header="820" w:footer="440" w:gutter="0"/>
          <w:cols w:space="720"/>
        </w:sectPr>
      </w:pPr>
    </w:p>
    <w:p w:rsidR="00C76E6D" w:rsidRDefault="00C76E6D">
      <w:pPr>
        <w:pStyle w:val="BodyText"/>
        <w:spacing w:before="11"/>
        <w:rPr>
          <w:sz w:val="24"/>
        </w:rPr>
      </w:pPr>
    </w:p>
    <w:p w:rsidR="00C76E6D" w:rsidRDefault="00913831">
      <w:pPr>
        <w:pStyle w:val="BodyText"/>
        <w:spacing w:before="55" w:line="247" w:lineRule="auto"/>
        <w:ind w:left="478" w:right="470"/>
        <w:jc w:val="both"/>
      </w:pPr>
      <w:r>
        <w:t>a</w:t>
      </w:r>
      <w:r>
        <w:rPr>
          <w:spacing w:val="-12"/>
        </w:rPr>
        <w:t xml:space="preserve"> </w:t>
      </w:r>
      <w:r>
        <w:t>marked</w:t>
      </w:r>
      <w:r>
        <w:rPr>
          <w:spacing w:val="-12"/>
        </w:rPr>
        <w:t xml:space="preserve"> </w:t>
      </w:r>
      <w:r>
        <w:t>incongruence</w:t>
      </w:r>
      <w:r>
        <w:rPr>
          <w:spacing w:val="-11"/>
        </w:rPr>
        <w:t xml:space="preserve"> </w:t>
      </w:r>
      <w:r>
        <w:t>between</w:t>
      </w:r>
      <w:r>
        <w:rPr>
          <w:spacing w:val="-11"/>
        </w:rPr>
        <w:t xml:space="preserve"> </w:t>
      </w:r>
      <w:r>
        <w:t>one's</w:t>
      </w:r>
      <w:r>
        <w:rPr>
          <w:spacing w:val="-11"/>
        </w:rPr>
        <w:t xml:space="preserve"> </w:t>
      </w:r>
      <w:r>
        <w:t>experienced/expressed</w:t>
      </w:r>
      <w:r>
        <w:rPr>
          <w:spacing w:val="-3"/>
        </w:rPr>
        <w:t xml:space="preserve"> </w:t>
      </w:r>
      <w:r>
        <w:t>gender</w:t>
      </w:r>
      <w:r>
        <w:rPr>
          <w:spacing w:val="-13"/>
        </w:rPr>
        <w:t xml:space="preserve"> </w:t>
      </w:r>
      <w:r>
        <w:t>and</w:t>
      </w:r>
      <w:r>
        <w:rPr>
          <w:spacing w:val="-9"/>
        </w:rPr>
        <w:t xml:space="preserve"> </w:t>
      </w:r>
      <w:r>
        <w:t>assigned</w:t>
      </w:r>
      <w:r>
        <w:rPr>
          <w:spacing w:val="-11"/>
        </w:rPr>
        <w:t xml:space="preserve"> </w:t>
      </w:r>
      <w:r>
        <w:t>gender</w:t>
      </w:r>
      <w:r>
        <w:rPr>
          <w:spacing w:val="-12"/>
        </w:rPr>
        <w:t xml:space="preserve"> </w:t>
      </w:r>
      <w:r>
        <w:t>for</w:t>
      </w:r>
      <w:r>
        <w:rPr>
          <w:spacing w:val="-12"/>
        </w:rPr>
        <w:t xml:space="preserve"> </w:t>
      </w:r>
      <w:r>
        <w:t>at</w:t>
      </w:r>
      <w:r>
        <w:rPr>
          <w:spacing w:val="-13"/>
        </w:rPr>
        <w:t xml:space="preserve"> </w:t>
      </w:r>
      <w:r>
        <w:t>least</w:t>
      </w:r>
      <w:r>
        <w:rPr>
          <w:spacing w:val="-12"/>
        </w:rPr>
        <w:t xml:space="preserve"> </w:t>
      </w:r>
      <w:r>
        <w:t>six months. In children, identification with a gender other than the one assigned at birth must be present and verbalized. The condition is associated with clinically significant distress or impairment in social, school, occupational, or other important ar</w:t>
      </w:r>
      <w:r>
        <w:t>eas of functioning. Not all members of the transgender community choose</w:t>
      </w:r>
      <w:r>
        <w:rPr>
          <w:spacing w:val="-1"/>
        </w:rPr>
        <w:t xml:space="preserve"> </w:t>
      </w:r>
      <w:r>
        <w:t>to take on the</w:t>
      </w:r>
      <w:r>
        <w:rPr>
          <w:spacing w:val="-1"/>
        </w:rPr>
        <w:t xml:space="preserve"> </w:t>
      </w:r>
      <w:r>
        <w:t>formal</w:t>
      </w:r>
      <w:r>
        <w:rPr>
          <w:spacing w:val="-1"/>
        </w:rPr>
        <w:t xml:space="preserve"> </w:t>
      </w:r>
      <w:r>
        <w:t>diagnosis, as there</w:t>
      </w:r>
      <w:r>
        <w:rPr>
          <w:spacing w:val="-1"/>
        </w:rPr>
        <w:t xml:space="preserve"> </w:t>
      </w:r>
      <w:r>
        <w:t>is still some stigma associated</w:t>
      </w:r>
      <w:r>
        <w:rPr>
          <w:spacing w:val="-1"/>
        </w:rPr>
        <w:t xml:space="preserve"> </w:t>
      </w:r>
      <w:r>
        <w:t>with</w:t>
      </w:r>
      <w:r>
        <w:rPr>
          <w:spacing w:val="-1"/>
        </w:rPr>
        <w:t xml:space="preserve"> </w:t>
      </w:r>
      <w:r>
        <w:t xml:space="preserve">a formal </w:t>
      </w:r>
      <w:r>
        <w:rPr>
          <w:spacing w:val="-2"/>
        </w:rPr>
        <w:t>diagnosis.</w:t>
      </w:r>
    </w:p>
    <w:p w:rsidR="00C76E6D" w:rsidRDefault="00C76E6D">
      <w:pPr>
        <w:pStyle w:val="BodyText"/>
        <w:spacing w:before="9"/>
        <w:rPr>
          <w:sz w:val="21"/>
        </w:rPr>
      </w:pPr>
    </w:p>
    <w:p w:rsidR="00C76E6D" w:rsidRDefault="00913831">
      <w:pPr>
        <w:pStyle w:val="BodyText"/>
        <w:spacing w:line="247" w:lineRule="auto"/>
        <w:ind w:left="478" w:right="474" w:hanging="4"/>
        <w:jc w:val="both"/>
      </w:pPr>
      <w:r>
        <w:rPr>
          <w:b/>
        </w:rPr>
        <w:t xml:space="preserve">Gender expression: </w:t>
      </w:r>
      <w:r>
        <w:t>how a person publicly presents or expresses their gender identity to others. This includes how they speak or act, wear their hair, dress, and otherwise present themselves to the world. Gender expression is not necessarily indicative of sexual orientation o</w:t>
      </w:r>
      <w:r>
        <w:t>r gender identity.</w:t>
      </w:r>
    </w:p>
    <w:p w:rsidR="00C76E6D" w:rsidRDefault="00C76E6D">
      <w:pPr>
        <w:pStyle w:val="BodyText"/>
        <w:spacing w:before="3"/>
      </w:pPr>
    </w:p>
    <w:p w:rsidR="00C76E6D" w:rsidRDefault="00913831">
      <w:pPr>
        <w:pStyle w:val="BodyText"/>
        <w:spacing w:line="247" w:lineRule="auto"/>
        <w:ind w:left="478" w:right="467" w:hanging="4"/>
        <w:jc w:val="both"/>
      </w:pPr>
      <w:r>
        <w:rPr>
          <w:b/>
        </w:rPr>
        <w:t xml:space="preserve">Gender identity: </w:t>
      </w:r>
      <w:r>
        <w:t>The gender a person experiences and accepts as descriptive of themselves.</w:t>
      </w:r>
      <w:r>
        <w:rPr>
          <w:spacing w:val="40"/>
        </w:rPr>
        <w:t xml:space="preserve"> </w:t>
      </w:r>
      <w:r>
        <w:t xml:space="preserve">Traditionally gender identities have been limited to man or woman. Currently there are many other additional gender identities, such genderqueer </w:t>
      </w:r>
      <w:r>
        <w:t xml:space="preserve">and nonbinary. Gender identity is separate from sexual </w:t>
      </w:r>
      <w:r>
        <w:rPr>
          <w:spacing w:val="-2"/>
        </w:rPr>
        <w:t>orientation.</w:t>
      </w:r>
    </w:p>
    <w:p w:rsidR="00C76E6D" w:rsidRDefault="00C76E6D">
      <w:pPr>
        <w:pStyle w:val="BodyText"/>
        <w:spacing w:before="2"/>
      </w:pPr>
    </w:p>
    <w:p w:rsidR="00C76E6D" w:rsidRDefault="00913831">
      <w:pPr>
        <w:pStyle w:val="BodyText"/>
        <w:spacing w:line="249" w:lineRule="auto"/>
        <w:ind w:left="480" w:right="479" w:hanging="4"/>
        <w:jc w:val="both"/>
      </w:pPr>
      <w:r>
        <w:rPr>
          <w:b/>
        </w:rPr>
        <w:t xml:space="preserve">Gender-neutral: </w:t>
      </w:r>
      <w:r>
        <w:t>a term that describes something, many times a space (like a bathroom) or a thing (such as clothing), that is not segregated by sex or gender.</w:t>
      </w:r>
    </w:p>
    <w:p w:rsidR="00C76E6D" w:rsidRDefault="00C76E6D">
      <w:pPr>
        <w:pStyle w:val="BodyText"/>
        <w:spacing w:before="2"/>
      </w:pPr>
    </w:p>
    <w:p w:rsidR="00C76E6D" w:rsidRDefault="00913831">
      <w:pPr>
        <w:pStyle w:val="BodyText"/>
        <w:spacing w:line="247" w:lineRule="auto"/>
        <w:ind w:left="479" w:right="471" w:hanging="4"/>
        <w:jc w:val="both"/>
      </w:pPr>
      <w:r>
        <w:rPr>
          <w:b/>
        </w:rPr>
        <w:t xml:space="preserve">Gender-nonconforming (GNC): </w:t>
      </w:r>
      <w:r>
        <w:t>a term used to describe people whose gender expression differs from stereotypical expectations of</w:t>
      </w:r>
      <w:r>
        <w:rPr>
          <w:spacing w:val="-3"/>
        </w:rPr>
        <w:t xml:space="preserve"> </w:t>
      </w:r>
      <w:r>
        <w:t>gender</w:t>
      </w:r>
      <w:r>
        <w:rPr>
          <w:spacing w:val="-2"/>
        </w:rPr>
        <w:t xml:space="preserve"> </w:t>
      </w:r>
      <w:r>
        <w:t>appropriate</w:t>
      </w:r>
      <w:r>
        <w:rPr>
          <w:spacing w:val="-2"/>
        </w:rPr>
        <w:t xml:space="preserve"> </w:t>
      </w:r>
      <w:r>
        <w:t>behavior</w:t>
      </w:r>
      <w:r>
        <w:rPr>
          <w:spacing w:val="-3"/>
        </w:rPr>
        <w:t xml:space="preserve"> </w:t>
      </w:r>
      <w:r>
        <w:t>or</w:t>
      </w:r>
      <w:r>
        <w:rPr>
          <w:spacing w:val="-2"/>
        </w:rPr>
        <w:t xml:space="preserve"> </w:t>
      </w:r>
      <w:r>
        <w:t>ways</w:t>
      </w:r>
      <w:r>
        <w:rPr>
          <w:spacing w:val="-2"/>
        </w:rPr>
        <w:t xml:space="preserve"> </w:t>
      </w:r>
      <w:r>
        <w:t>men</w:t>
      </w:r>
      <w:r>
        <w:rPr>
          <w:spacing w:val="-2"/>
        </w:rPr>
        <w:t xml:space="preserve"> </w:t>
      </w:r>
      <w:r>
        <w:t>and</w:t>
      </w:r>
      <w:r>
        <w:rPr>
          <w:spacing w:val="-2"/>
        </w:rPr>
        <w:t xml:space="preserve"> </w:t>
      </w:r>
      <w:r>
        <w:t>women</w:t>
      </w:r>
      <w:r>
        <w:rPr>
          <w:spacing w:val="-2"/>
        </w:rPr>
        <w:t xml:space="preserve"> </w:t>
      </w:r>
      <w:r>
        <w:t>are</w:t>
      </w:r>
      <w:r>
        <w:rPr>
          <w:spacing w:val="-2"/>
        </w:rPr>
        <w:t xml:space="preserve"> </w:t>
      </w:r>
      <w:r>
        <w:t>expected</w:t>
      </w:r>
      <w:r>
        <w:rPr>
          <w:spacing w:val="-2"/>
        </w:rPr>
        <w:t xml:space="preserve"> </w:t>
      </w:r>
      <w:r>
        <w:t>to</w:t>
      </w:r>
      <w:r>
        <w:rPr>
          <w:spacing w:val="-1"/>
        </w:rPr>
        <w:t xml:space="preserve"> </w:t>
      </w:r>
      <w:r>
        <w:t>act. Not all gender non-conforming people identify as LGBTQ. This may also be referred to as</w:t>
      </w:r>
      <w:r>
        <w:t xml:space="preserve"> gender</w:t>
      </w:r>
      <w:r>
        <w:rPr>
          <w:spacing w:val="40"/>
        </w:rPr>
        <w:t xml:space="preserve"> </w:t>
      </w:r>
      <w:r>
        <w:t>variance or gender expansive.</w:t>
      </w:r>
    </w:p>
    <w:p w:rsidR="00C76E6D" w:rsidRDefault="00C76E6D">
      <w:pPr>
        <w:pStyle w:val="BodyText"/>
        <w:spacing w:before="1"/>
      </w:pPr>
    </w:p>
    <w:p w:rsidR="00C76E6D" w:rsidRDefault="00913831">
      <w:pPr>
        <w:pStyle w:val="BodyText"/>
        <w:spacing w:line="247" w:lineRule="auto"/>
        <w:ind w:left="479" w:right="477" w:hanging="4"/>
        <w:jc w:val="both"/>
      </w:pPr>
      <w:r>
        <w:rPr>
          <w:b/>
        </w:rPr>
        <w:t xml:space="preserve">Gender role: </w:t>
      </w:r>
      <w:r>
        <w:t>Duties associated with a person’s social function; traditionally based on the sexual division of</w:t>
      </w:r>
      <w:r>
        <w:rPr>
          <w:spacing w:val="-4"/>
        </w:rPr>
        <w:t xml:space="preserve"> </w:t>
      </w:r>
      <w:r>
        <w:t>labor</w:t>
      </w:r>
      <w:r>
        <w:rPr>
          <w:spacing w:val="-4"/>
        </w:rPr>
        <w:t xml:space="preserve"> </w:t>
      </w:r>
      <w:r>
        <w:t>e.g.</w:t>
      </w:r>
      <w:r>
        <w:rPr>
          <w:spacing w:val="-3"/>
        </w:rPr>
        <w:t xml:space="preserve"> </w:t>
      </w:r>
      <w:r>
        <w:t>traditional</w:t>
      </w:r>
      <w:r>
        <w:rPr>
          <w:spacing w:val="-4"/>
        </w:rPr>
        <w:t xml:space="preserve"> </w:t>
      </w:r>
      <w:r>
        <w:t>woman</w:t>
      </w:r>
      <w:r>
        <w:rPr>
          <w:spacing w:val="-4"/>
        </w:rPr>
        <w:t xml:space="preserve"> </w:t>
      </w:r>
      <w:r>
        <w:t>–</w:t>
      </w:r>
      <w:r>
        <w:rPr>
          <w:spacing w:val="-4"/>
        </w:rPr>
        <w:t xml:space="preserve"> </w:t>
      </w:r>
      <w:r>
        <w:t>wife,</w:t>
      </w:r>
      <w:r>
        <w:rPr>
          <w:spacing w:val="-2"/>
        </w:rPr>
        <w:t xml:space="preserve"> </w:t>
      </w:r>
      <w:r>
        <w:t>mother,</w:t>
      </w:r>
      <w:r>
        <w:rPr>
          <w:spacing w:val="-2"/>
        </w:rPr>
        <w:t xml:space="preserve"> </w:t>
      </w:r>
      <w:r>
        <w:t>caregiver,</w:t>
      </w:r>
      <w:r>
        <w:rPr>
          <w:spacing w:val="-2"/>
        </w:rPr>
        <w:t xml:space="preserve"> </w:t>
      </w:r>
      <w:r>
        <w:t>emotional</w:t>
      </w:r>
      <w:r>
        <w:rPr>
          <w:spacing w:val="-3"/>
        </w:rPr>
        <w:t xml:space="preserve"> </w:t>
      </w:r>
      <w:r>
        <w:t>support;</w:t>
      </w:r>
      <w:r>
        <w:rPr>
          <w:spacing w:val="-3"/>
        </w:rPr>
        <w:t xml:space="preserve"> </w:t>
      </w:r>
      <w:r>
        <w:t>traditional</w:t>
      </w:r>
      <w:r>
        <w:rPr>
          <w:spacing w:val="-2"/>
        </w:rPr>
        <w:t xml:space="preserve"> </w:t>
      </w:r>
      <w:r>
        <w:t>man</w:t>
      </w:r>
      <w:r>
        <w:rPr>
          <w:spacing w:val="-2"/>
        </w:rPr>
        <w:t xml:space="preserve"> </w:t>
      </w:r>
      <w:r>
        <w:t>–</w:t>
      </w:r>
      <w:r>
        <w:rPr>
          <w:spacing w:val="-1"/>
        </w:rPr>
        <w:t xml:space="preserve"> </w:t>
      </w:r>
      <w:r>
        <w:t>husband, father, protector, financial provider.</w:t>
      </w:r>
    </w:p>
    <w:p w:rsidR="00C76E6D" w:rsidRDefault="00C76E6D">
      <w:pPr>
        <w:pStyle w:val="BodyText"/>
        <w:spacing w:before="11"/>
        <w:rPr>
          <w:sz w:val="21"/>
        </w:rPr>
      </w:pPr>
    </w:p>
    <w:p w:rsidR="00C76E6D" w:rsidRDefault="00913831">
      <w:pPr>
        <w:pStyle w:val="BodyText"/>
        <w:spacing w:line="247" w:lineRule="auto"/>
        <w:ind w:left="479" w:right="474" w:hanging="4"/>
        <w:jc w:val="both"/>
      </w:pPr>
      <w:r>
        <w:rPr>
          <w:b/>
        </w:rPr>
        <w:t xml:space="preserve">Genderqueer: </w:t>
      </w:r>
      <w:r>
        <w:t>a term for people who identify outside the confines of the binary definition of gender (male/female). Genderqueer people may consider themselves to be two or more genders, without a gender, a th</w:t>
      </w:r>
      <w:r>
        <w:t>ird gender, and/or fluid.</w:t>
      </w:r>
    </w:p>
    <w:p w:rsidR="00C76E6D" w:rsidRDefault="00C76E6D">
      <w:pPr>
        <w:pStyle w:val="BodyText"/>
        <w:rPr>
          <w:sz w:val="23"/>
        </w:rPr>
      </w:pPr>
    </w:p>
    <w:p w:rsidR="00C76E6D" w:rsidRDefault="00913831">
      <w:pPr>
        <w:pStyle w:val="BodyText"/>
        <w:spacing w:line="249" w:lineRule="auto"/>
        <w:ind w:left="479" w:right="481" w:hanging="4"/>
        <w:jc w:val="both"/>
      </w:pPr>
      <w:r>
        <w:rPr>
          <w:b/>
        </w:rPr>
        <w:t xml:space="preserve">Homophobia: </w:t>
      </w:r>
      <w:r>
        <w:t>fear, hatred or discriminatory response to a person who is or is perceived to be lesbian, gay, bisexual, or queer.</w:t>
      </w:r>
    </w:p>
    <w:p w:rsidR="00C76E6D" w:rsidRDefault="00C76E6D">
      <w:pPr>
        <w:pStyle w:val="BodyText"/>
        <w:spacing w:before="6"/>
      </w:pPr>
    </w:p>
    <w:p w:rsidR="00C76E6D" w:rsidRDefault="00913831">
      <w:pPr>
        <w:pStyle w:val="BodyText"/>
        <w:spacing w:line="247" w:lineRule="auto"/>
        <w:ind w:left="480" w:right="470" w:hanging="4"/>
        <w:jc w:val="both"/>
      </w:pPr>
      <w:r>
        <w:rPr>
          <w:b/>
        </w:rPr>
        <w:t xml:space="preserve">Intersex: </w:t>
      </w:r>
      <w:r>
        <w:t>a person</w:t>
      </w:r>
      <w:r>
        <w:rPr>
          <w:spacing w:val="-1"/>
        </w:rPr>
        <w:t xml:space="preserve"> </w:t>
      </w:r>
      <w:r>
        <w:t>born</w:t>
      </w:r>
      <w:r>
        <w:rPr>
          <w:spacing w:val="-1"/>
        </w:rPr>
        <w:t xml:space="preserve"> </w:t>
      </w:r>
      <w:r>
        <w:t>with a combination</w:t>
      </w:r>
      <w:r>
        <w:rPr>
          <w:spacing w:val="-1"/>
        </w:rPr>
        <w:t xml:space="preserve"> </w:t>
      </w:r>
      <w:r>
        <w:t>of chromosomes, hormones, and primary and secondary sex characteristics</w:t>
      </w:r>
      <w:r>
        <w:rPr>
          <w:spacing w:val="-3"/>
        </w:rPr>
        <w:t xml:space="preserve"> </w:t>
      </w:r>
      <w:r>
        <w:t>that</w:t>
      </w:r>
      <w:r>
        <w:rPr>
          <w:spacing w:val="-2"/>
        </w:rPr>
        <w:t xml:space="preserve"> </w:t>
      </w:r>
      <w:r>
        <w:t>do</w:t>
      </w:r>
      <w:r>
        <w:rPr>
          <w:spacing w:val="-1"/>
        </w:rPr>
        <w:t xml:space="preserve"> </w:t>
      </w:r>
      <w:r>
        <w:t>not</w:t>
      </w:r>
      <w:r>
        <w:rPr>
          <w:spacing w:val="-1"/>
        </w:rPr>
        <w:t xml:space="preserve"> </w:t>
      </w:r>
      <w:r>
        <w:t>place</w:t>
      </w:r>
      <w:r>
        <w:rPr>
          <w:spacing w:val="-2"/>
        </w:rPr>
        <w:t xml:space="preserve"> </w:t>
      </w:r>
      <w:r>
        <w:t>them</w:t>
      </w:r>
      <w:r>
        <w:rPr>
          <w:spacing w:val="-2"/>
        </w:rPr>
        <w:t xml:space="preserve"> </w:t>
      </w:r>
      <w:r>
        <w:t>into</w:t>
      </w:r>
      <w:r>
        <w:rPr>
          <w:spacing w:val="-2"/>
        </w:rPr>
        <w:t xml:space="preserve"> </w:t>
      </w:r>
      <w:r>
        <w:t>either</w:t>
      </w:r>
      <w:r>
        <w:rPr>
          <w:spacing w:val="-1"/>
        </w:rPr>
        <w:t xml:space="preserve"> </w:t>
      </w:r>
      <w:r>
        <w:t>one</w:t>
      </w:r>
      <w:r>
        <w:rPr>
          <w:spacing w:val="-1"/>
        </w:rPr>
        <w:t xml:space="preserve"> </w:t>
      </w:r>
      <w:r>
        <w:t>of</w:t>
      </w:r>
      <w:r>
        <w:rPr>
          <w:spacing w:val="-3"/>
        </w:rPr>
        <w:t xml:space="preserve"> </w:t>
      </w:r>
      <w:r>
        <w:t>the</w:t>
      </w:r>
      <w:r>
        <w:rPr>
          <w:spacing w:val="-1"/>
        </w:rPr>
        <w:t xml:space="preserve"> </w:t>
      </w:r>
      <w:r>
        <w:t>two</w:t>
      </w:r>
      <w:r>
        <w:rPr>
          <w:spacing w:val="-2"/>
        </w:rPr>
        <w:t xml:space="preserve"> </w:t>
      </w:r>
      <w:r>
        <w:t>accepted</w:t>
      </w:r>
      <w:r>
        <w:rPr>
          <w:spacing w:val="-2"/>
        </w:rPr>
        <w:t xml:space="preserve"> </w:t>
      </w:r>
      <w:r>
        <w:t>sex</w:t>
      </w:r>
      <w:r>
        <w:rPr>
          <w:spacing w:val="-1"/>
        </w:rPr>
        <w:t xml:space="preserve"> </w:t>
      </w:r>
      <w:r>
        <w:t>categories</w:t>
      </w:r>
      <w:r>
        <w:rPr>
          <w:spacing w:val="-1"/>
        </w:rPr>
        <w:t xml:space="preserve"> </w:t>
      </w:r>
      <w:r>
        <w:t>(male</w:t>
      </w:r>
      <w:r>
        <w:rPr>
          <w:spacing w:val="-3"/>
        </w:rPr>
        <w:t xml:space="preserve"> </w:t>
      </w:r>
      <w:r>
        <w:t>/</w:t>
      </w:r>
      <w:r>
        <w:rPr>
          <w:spacing w:val="-1"/>
        </w:rPr>
        <w:t xml:space="preserve"> </w:t>
      </w:r>
      <w:r>
        <w:t>female) as defined by the medical establishment in our society.</w:t>
      </w:r>
    </w:p>
    <w:p w:rsidR="00C76E6D" w:rsidRDefault="00C76E6D">
      <w:pPr>
        <w:pStyle w:val="BodyText"/>
        <w:spacing w:before="1"/>
      </w:pPr>
    </w:p>
    <w:p w:rsidR="00C76E6D" w:rsidRDefault="00913831">
      <w:pPr>
        <w:pStyle w:val="BodyText"/>
        <w:spacing w:line="247" w:lineRule="auto"/>
        <w:ind w:left="479" w:right="475" w:hanging="4"/>
        <w:jc w:val="both"/>
      </w:pPr>
      <w:r>
        <w:rPr>
          <w:b/>
        </w:rPr>
        <w:t xml:space="preserve">Lesbian: </w:t>
      </w:r>
      <w:r>
        <w:t xml:space="preserve">a woman who self-identifies </w:t>
      </w:r>
      <w:r>
        <w:t>as having an emotional, sexual, spiritual, and/or relational attraction to other women.</w:t>
      </w:r>
    </w:p>
    <w:p w:rsidR="00C76E6D" w:rsidRDefault="00C76E6D">
      <w:pPr>
        <w:pStyle w:val="BodyText"/>
        <w:rPr>
          <w:sz w:val="23"/>
        </w:rPr>
      </w:pPr>
    </w:p>
    <w:p w:rsidR="00C76E6D" w:rsidRDefault="00913831">
      <w:pPr>
        <w:pStyle w:val="BodyText"/>
        <w:spacing w:line="249" w:lineRule="auto"/>
        <w:ind w:left="478" w:right="468" w:hanging="4"/>
        <w:jc w:val="both"/>
      </w:pPr>
      <w:r>
        <w:rPr>
          <w:b/>
        </w:rPr>
        <w:t xml:space="preserve">Nonbinary: </w:t>
      </w:r>
      <w:r>
        <w:t xml:space="preserve">describes any gender identity which does not fit the male and female binary spectrum. A </w:t>
      </w:r>
      <w:r>
        <w:rPr>
          <w:w w:val="95"/>
        </w:rPr>
        <w:t>person</w:t>
      </w:r>
      <w:r>
        <w:rPr>
          <w:spacing w:val="-10"/>
          <w:w w:val="95"/>
        </w:rPr>
        <w:t xml:space="preserve"> </w:t>
      </w:r>
      <w:r>
        <w:rPr>
          <w:w w:val="95"/>
        </w:rPr>
        <w:t>who</w:t>
      </w:r>
      <w:r>
        <w:rPr>
          <w:spacing w:val="-10"/>
          <w:w w:val="95"/>
        </w:rPr>
        <w:t xml:space="preserve"> </w:t>
      </w:r>
      <w:r>
        <w:rPr>
          <w:w w:val="95"/>
        </w:rPr>
        <w:t>identifies</w:t>
      </w:r>
      <w:r>
        <w:rPr>
          <w:spacing w:val="-10"/>
          <w:w w:val="95"/>
        </w:rPr>
        <w:t xml:space="preserve"> </w:t>
      </w:r>
      <w:r>
        <w:rPr>
          <w:w w:val="95"/>
        </w:rPr>
        <w:t>as</w:t>
      </w:r>
      <w:r>
        <w:rPr>
          <w:spacing w:val="-10"/>
          <w:w w:val="95"/>
        </w:rPr>
        <w:t xml:space="preserve"> </w:t>
      </w:r>
      <w:r>
        <w:rPr>
          <w:w w:val="95"/>
        </w:rPr>
        <w:t>gender</w:t>
      </w:r>
      <w:r>
        <w:rPr>
          <w:spacing w:val="-10"/>
          <w:w w:val="95"/>
        </w:rPr>
        <w:t xml:space="preserve"> </w:t>
      </w:r>
      <w:r>
        <w:rPr>
          <w:w w:val="95"/>
        </w:rPr>
        <w:t>nonbinary</w:t>
      </w:r>
      <w:r>
        <w:rPr>
          <w:spacing w:val="-10"/>
          <w:w w:val="95"/>
        </w:rPr>
        <w:t xml:space="preserve"> </w:t>
      </w:r>
      <w:r>
        <w:rPr>
          <w:w w:val="95"/>
        </w:rPr>
        <w:t>may</w:t>
      </w:r>
      <w:r>
        <w:rPr>
          <w:spacing w:val="-9"/>
          <w:w w:val="95"/>
        </w:rPr>
        <w:t xml:space="preserve"> </w:t>
      </w:r>
      <w:r>
        <w:rPr>
          <w:w w:val="95"/>
        </w:rPr>
        <w:t>identify</w:t>
      </w:r>
      <w:r>
        <w:rPr>
          <w:spacing w:val="-9"/>
          <w:w w:val="95"/>
        </w:rPr>
        <w:t xml:space="preserve"> </w:t>
      </w:r>
      <w:r>
        <w:rPr>
          <w:w w:val="95"/>
        </w:rPr>
        <w:t>as</w:t>
      </w:r>
      <w:r>
        <w:rPr>
          <w:spacing w:val="-10"/>
          <w:w w:val="95"/>
        </w:rPr>
        <w:t xml:space="preserve"> </w:t>
      </w:r>
      <w:r>
        <w:rPr>
          <w:w w:val="95"/>
        </w:rPr>
        <w:t>both</w:t>
      </w:r>
      <w:r>
        <w:rPr>
          <w:spacing w:val="-10"/>
          <w:w w:val="95"/>
        </w:rPr>
        <w:t xml:space="preserve"> </w:t>
      </w:r>
      <w:r>
        <w:rPr>
          <w:w w:val="95"/>
        </w:rPr>
        <w:t>male</w:t>
      </w:r>
      <w:r>
        <w:rPr>
          <w:spacing w:val="-9"/>
          <w:w w:val="95"/>
        </w:rPr>
        <w:t xml:space="preserve"> </w:t>
      </w:r>
      <w:r>
        <w:rPr>
          <w:w w:val="95"/>
        </w:rPr>
        <w:t>and</w:t>
      </w:r>
      <w:r>
        <w:rPr>
          <w:spacing w:val="-10"/>
          <w:w w:val="95"/>
        </w:rPr>
        <w:t xml:space="preserve"> </w:t>
      </w:r>
      <w:r>
        <w:rPr>
          <w:w w:val="95"/>
        </w:rPr>
        <w:t>female,</w:t>
      </w:r>
      <w:r>
        <w:rPr>
          <w:spacing w:val="-10"/>
          <w:w w:val="95"/>
        </w:rPr>
        <w:t xml:space="preserve"> </w:t>
      </w:r>
      <w:r>
        <w:rPr>
          <w:w w:val="95"/>
        </w:rPr>
        <w:t>somewhere</w:t>
      </w:r>
      <w:r>
        <w:rPr>
          <w:spacing w:val="-10"/>
          <w:w w:val="95"/>
        </w:rPr>
        <w:t xml:space="preserve"> </w:t>
      </w:r>
      <w:r>
        <w:rPr>
          <w:w w:val="95"/>
        </w:rPr>
        <w:t>in</w:t>
      </w:r>
      <w:r>
        <w:rPr>
          <w:spacing w:val="-10"/>
          <w:w w:val="95"/>
        </w:rPr>
        <w:t xml:space="preserve"> </w:t>
      </w:r>
      <w:r>
        <w:rPr>
          <w:w w:val="95"/>
        </w:rPr>
        <w:t>between,</w:t>
      </w:r>
      <w:r>
        <w:rPr>
          <w:spacing w:val="-9"/>
          <w:w w:val="95"/>
        </w:rPr>
        <w:t xml:space="preserve"> </w:t>
      </w:r>
      <w:r>
        <w:rPr>
          <w:w w:val="95"/>
        </w:rPr>
        <w:t xml:space="preserve">have </w:t>
      </w:r>
      <w:r>
        <w:t xml:space="preserve">multiple genders, have a third gender entirely, or no gender at all, and may reject this binary construct altogether. A nonbinary gender marker on an ID would be one that is neither male nor female, but instead might </w:t>
      </w:r>
      <w:r>
        <w:t>be represented by an X or an N.</w:t>
      </w:r>
    </w:p>
    <w:p w:rsidR="00C76E6D" w:rsidRDefault="00C76E6D">
      <w:pPr>
        <w:spacing w:line="249" w:lineRule="auto"/>
        <w:jc w:val="both"/>
        <w:sectPr w:rsidR="00C76E6D">
          <w:pgSz w:w="12240" w:h="15840"/>
          <w:pgMar w:top="1020" w:right="960" w:bottom="640" w:left="960" w:header="820" w:footer="440" w:gutter="0"/>
          <w:cols w:space="720"/>
        </w:sect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6"/>
        <w:rPr>
          <w:sz w:val="16"/>
        </w:rPr>
      </w:pPr>
    </w:p>
    <w:p w:rsidR="00C76E6D" w:rsidRDefault="00913831">
      <w:pPr>
        <w:pStyle w:val="BodyText"/>
        <w:ind w:left="477"/>
        <w:jc w:val="both"/>
      </w:pPr>
      <w:r>
        <w:rPr>
          <w:b/>
          <w:w w:val="95"/>
        </w:rPr>
        <w:t>Pansexual:</w:t>
      </w:r>
      <w:r>
        <w:rPr>
          <w:b/>
          <w:spacing w:val="7"/>
        </w:rPr>
        <w:t xml:space="preserve"> </w:t>
      </w:r>
      <w:r>
        <w:rPr>
          <w:w w:val="95"/>
        </w:rPr>
        <w:t>attracted</w:t>
      </w:r>
      <w:r>
        <w:rPr>
          <w:spacing w:val="11"/>
        </w:rPr>
        <w:t xml:space="preserve"> </w:t>
      </w:r>
      <w:r>
        <w:rPr>
          <w:w w:val="95"/>
        </w:rPr>
        <w:t>to</w:t>
      </w:r>
      <w:r>
        <w:rPr>
          <w:spacing w:val="14"/>
        </w:rPr>
        <w:t xml:space="preserve"> </w:t>
      </w:r>
      <w:r>
        <w:rPr>
          <w:w w:val="95"/>
        </w:rPr>
        <w:t>others</w:t>
      </w:r>
      <w:r>
        <w:rPr>
          <w:spacing w:val="10"/>
        </w:rPr>
        <w:t xml:space="preserve"> </w:t>
      </w:r>
      <w:r>
        <w:rPr>
          <w:w w:val="95"/>
        </w:rPr>
        <w:t>regardless</w:t>
      </w:r>
      <w:r>
        <w:rPr>
          <w:spacing w:val="9"/>
        </w:rPr>
        <w:t xml:space="preserve"> </w:t>
      </w:r>
      <w:r>
        <w:rPr>
          <w:w w:val="95"/>
        </w:rPr>
        <w:t>of</w:t>
      </w:r>
      <w:r>
        <w:rPr>
          <w:spacing w:val="9"/>
        </w:rPr>
        <w:t xml:space="preserve"> </w:t>
      </w:r>
      <w:r>
        <w:rPr>
          <w:w w:val="95"/>
        </w:rPr>
        <w:t>gender,</w:t>
      </w:r>
      <w:r>
        <w:rPr>
          <w:spacing w:val="13"/>
        </w:rPr>
        <w:t xml:space="preserve"> </w:t>
      </w:r>
      <w:r>
        <w:rPr>
          <w:w w:val="95"/>
        </w:rPr>
        <w:t>or</w:t>
      </w:r>
      <w:r>
        <w:rPr>
          <w:spacing w:val="9"/>
        </w:rPr>
        <w:t xml:space="preserve"> </w:t>
      </w:r>
      <w:r>
        <w:rPr>
          <w:w w:val="95"/>
        </w:rPr>
        <w:t>attracted</w:t>
      </w:r>
      <w:r>
        <w:rPr>
          <w:spacing w:val="12"/>
        </w:rPr>
        <w:t xml:space="preserve"> </w:t>
      </w:r>
      <w:r>
        <w:rPr>
          <w:w w:val="95"/>
        </w:rPr>
        <w:t>to</w:t>
      </w:r>
      <w:r>
        <w:rPr>
          <w:spacing w:val="14"/>
        </w:rPr>
        <w:t xml:space="preserve"> </w:t>
      </w:r>
      <w:r>
        <w:rPr>
          <w:w w:val="95"/>
        </w:rPr>
        <w:t>others</w:t>
      </w:r>
      <w:r>
        <w:rPr>
          <w:spacing w:val="11"/>
        </w:rPr>
        <w:t xml:space="preserve"> </w:t>
      </w:r>
      <w:r>
        <w:rPr>
          <w:w w:val="95"/>
        </w:rPr>
        <w:t>of</w:t>
      </w:r>
      <w:r>
        <w:rPr>
          <w:spacing w:val="9"/>
        </w:rPr>
        <w:t xml:space="preserve"> </w:t>
      </w:r>
      <w:r>
        <w:rPr>
          <w:w w:val="95"/>
        </w:rPr>
        <w:t>any</w:t>
      </w:r>
      <w:r>
        <w:rPr>
          <w:spacing w:val="13"/>
        </w:rPr>
        <w:t xml:space="preserve"> </w:t>
      </w:r>
      <w:r>
        <w:rPr>
          <w:spacing w:val="-2"/>
          <w:w w:val="95"/>
        </w:rPr>
        <w:t>gender.</w:t>
      </w:r>
    </w:p>
    <w:p w:rsidR="00C76E6D" w:rsidRDefault="00C76E6D">
      <w:pPr>
        <w:pStyle w:val="BodyText"/>
        <w:spacing w:before="6"/>
      </w:pPr>
    </w:p>
    <w:p w:rsidR="00C76E6D" w:rsidRDefault="00913831">
      <w:pPr>
        <w:pStyle w:val="BodyText"/>
        <w:spacing w:line="247" w:lineRule="auto"/>
        <w:ind w:left="479" w:right="475" w:hanging="4"/>
        <w:jc w:val="both"/>
      </w:pPr>
      <w:r>
        <w:rPr>
          <w:b/>
        </w:rPr>
        <w:t xml:space="preserve">PrEP: </w:t>
      </w:r>
      <w:r>
        <w:t xml:space="preserve">pre-exposure prophylaxis, or a medication taken daily to reduce one’s risk of being infected with </w:t>
      </w:r>
      <w:r>
        <w:rPr>
          <w:spacing w:val="-4"/>
        </w:rPr>
        <w:t>HIV.</w:t>
      </w:r>
    </w:p>
    <w:p w:rsidR="00C76E6D" w:rsidRDefault="00C76E6D">
      <w:pPr>
        <w:pStyle w:val="BodyText"/>
        <w:spacing w:before="11"/>
      </w:pPr>
    </w:p>
    <w:p w:rsidR="00C76E6D" w:rsidRDefault="00913831">
      <w:pPr>
        <w:pStyle w:val="BodyText"/>
        <w:spacing w:line="247" w:lineRule="auto"/>
        <w:ind w:left="479" w:right="467" w:hanging="4"/>
        <w:jc w:val="both"/>
      </w:pPr>
      <w:r>
        <w:rPr>
          <w:b/>
        </w:rPr>
        <w:t xml:space="preserve">Pubertal suppression: </w:t>
      </w:r>
      <w:r>
        <w:t xml:space="preserve">a medical process that pauses hormonal changes that initiate puberty in adolescents, resulting in a purposeful delay in the development of secondary sex characteristics (e.g. breast growth, facial hair, body fat redistribution, voice </w:t>
      </w:r>
      <w:r>
        <w:t xml:space="preserve">changes, etc.). Suppression can prevent gender dysphoria that often accompanies puberty for transgender or gender- nonconforming youth, and is not </w:t>
      </w:r>
      <w:r>
        <w:rPr>
          <w:spacing w:val="-2"/>
        </w:rPr>
        <w:t>permanent.</w:t>
      </w:r>
    </w:p>
    <w:p w:rsidR="00C76E6D" w:rsidRDefault="00C76E6D">
      <w:pPr>
        <w:pStyle w:val="BodyText"/>
        <w:spacing w:before="1"/>
      </w:pPr>
    </w:p>
    <w:p w:rsidR="00C76E6D" w:rsidRDefault="00913831">
      <w:pPr>
        <w:pStyle w:val="BodyText"/>
        <w:spacing w:line="247" w:lineRule="auto"/>
        <w:ind w:left="479" w:right="475" w:hanging="4"/>
        <w:jc w:val="both"/>
      </w:pPr>
      <w:r>
        <w:rPr>
          <w:b/>
        </w:rPr>
        <w:t xml:space="preserve">Queer: </w:t>
      </w:r>
      <w:r>
        <w:t xml:space="preserve">The term “queer” was reclaimed in the early 90’s as an umbrella term for those who do not </w:t>
      </w:r>
      <w:r>
        <w:t>conform to rigid (heteropatriarchal) notions of gender identity and expression or sexual orientation. Because this term has historically been used derogatorily, some older people find its reclamation to be controversial. It is the preferred identity term f</w:t>
      </w:r>
      <w:r>
        <w:t>or many younger people.</w:t>
      </w:r>
    </w:p>
    <w:p w:rsidR="00C76E6D" w:rsidRDefault="00C76E6D">
      <w:pPr>
        <w:pStyle w:val="BodyText"/>
        <w:spacing w:before="3"/>
      </w:pPr>
    </w:p>
    <w:p w:rsidR="00C76E6D" w:rsidRDefault="00913831">
      <w:pPr>
        <w:pStyle w:val="BodyText"/>
        <w:spacing w:line="247" w:lineRule="auto"/>
        <w:ind w:left="479" w:right="481" w:hanging="4"/>
        <w:jc w:val="both"/>
      </w:pPr>
      <w:r>
        <w:rPr>
          <w:b/>
        </w:rPr>
        <w:t xml:space="preserve">Questioning: </w:t>
      </w:r>
      <w:r>
        <w:t xml:space="preserve">a term used to describe a person who is exploring their sexual orientation and/or gender </w:t>
      </w:r>
      <w:r>
        <w:rPr>
          <w:spacing w:val="-2"/>
        </w:rPr>
        <w:t>identity</w:t>
      </w:r>
    </w:p>
    <w:p w:rsidR="00C76E6D" w:rsidRDefault="00C76E6D">
      <w:pPr>
        <w:pStyle w:val="BodyText"/>
        <w:spacing w:before="8"/>
      </w:pPr>
    </w:p>
    <w:p w:rsidR="00C76E6D" w:rsidRDefault="00913831">
      <w:pPr>
        <w:pStyle w:val="BodyText"/>
        <w:spacing w:line="247" w:lineRule="auto"/>
        <w:ind w:left="478" w:right="471" w:hanging="4"/>
        <w:jc w:val="both"/>
      </w:pPr>
      <w:r>
        <w:rPr>
          <w:b/>
        </w:rPr>
        <w:t xml:space="preserve">Sexual orientation: </w:t>
      </w:r>
      <w:r>
        <w:t>refers to a person's emotional, sexual, spiritual, and/or relational attraction, or lack thereof, t</w:t>
      </w:r>
      <w:r>
        <w:t>owards other people with respect to their gender. Some common sexual orientations include lesbian, gay, bisexual, heterosexual, queer, pansexual, and asexual. There are many other terms that people may use to identify their sexual orientation.</w:t>
      </w:r>
    </w:p>
    <w:p w:rsidR="00C76E6D" w:rsidRDefault="00C76E6D">
      <w:pPr>
        <w:pStyle w:val="BodyText"/>
      </w:pPr>
    </w:p>
    <w:p w:rsidR="00C76E6D" w:rsidRDefault="00913831">
      <w:pPr>
        <w:pStyle w:val="BodyText"/>
        <w:spacing w:before="1" w:line="247" w:lineRule="auto"/>
        <w:ind w:left="479" w:right="471" w:hanging="4"/>
        <w:jc w:val="both"/>
      </w:pPr>
      <w:r>
        <w:rPr>
          <w:b/>
        </w:rPr>
        <w:t xml:space="preserve">Transgender: </w:t>
      </w:r>
      <w:r>
        <w:t>an umbrella term used to describe a person whose gender identity is different from that traditionally associated with their assigned sex at birth. A transgender person may identify as heterosexual, lesbian, gay, bisexual, queer, questioning, p</w:t>
      </w:r>
      <w:r>
        <w:t>ansexual, or something else.</w:t>
      </w:r>
    </w:p>
    <w:p w:rsidR="00C76E6D" w:rsidRDefault="00C76E6D">
      <w:pPr>
        <w:pStyle w:val="BodyText"/>
        <w:spacing w:before="1"/>
      </w:pPr>
    </w:p>
    <w:p w:rsidR="00C76E6D" w:rsidRDefault="00913831">
      <w:pPr>
        <w:spacing w:before="1"/>
        <w:ind w:left="476"/>
        <w:jc w:val="both"/>
      </w:pPr>
      <w:r>
        <w:rPr>
          <w:b/>
          <w:w w:val="95"/>
        </w:rPr>
        <w:t>Transitioning:</w:t>
      </w:r>
      <w:r>
        <w:rPr>
          <w:b/>
          <w:spacing w:val="5"/>
        </w:rPr>
        <w:t xml:space="preserve"> </w:t>
      </w:r>
      <w:r>
        <w:rPr>
          <w:w w:val="95"/>
        </w:rPr>
        <w:t>a</w:t>
      </w:r>
      <w:r>
        <w:rPr>
          <w:spacing w:val="9"/>
        </w:rPr>
        <w:t xml:space="preserve"> </w:t>
      </w:r>
      <w:r>
        <w:rPr>
          <w:w w:val="95"/>
        </w:rPr>
        <w:t>process</w:t>
      </w:r>
      <w:r>
        <w:rPr>
          <w:spacing w:val="7"/>
        </w:rPr>
        <w:t xml:space="preserve"> </w:t>
      </w:r>
      <w:r>
        <w:rPr>
          <w:w w:val="95"/>
        </w:rPr>
        <w:t>of</w:t>
      </w:r>
      <w:r>
        <w:rPr>
          <w:spacing w:val="13"/>
        </w:rPr>
        <w:t xml:space="preserve"> </w:t>
      </w:r>
      <w:r>
        <w:rPr>
          <w:w w:val="95"/>
        </w:rPr>
        <w:t>changing</w:t>
      </w:r>
      <w:r>
        <w:rPr>
          <w:spacing w:val="5"/>
        </w:rPr>
        <w:t xml:space="preserve"> </w:t>
      </w:r>
      <w:r>
        <w:rPr>
          <w:w w:val="95"/>
        </w:rPr>
        <w:t>one’s</w:t>
      </w:r>
      <w:r>
        <w:rPr>
          <w:spacing w:val="8"/>
        </w:rPr>
        <w:t xml:space="preserve"> </w:t>
      </w:r>
      <w:r>
        <w:rPr>
          <w:w w:val="95"/>
        </w:rPr>
        <w:t>gender</w:t>
      </w:r>
      <w:r>
        <w:rPr>
          <w:spacing w:val="7"/>
        </w:rPr>
        <w:t xml:space="preserve"> </w:t>
      </w:r>
      <w:r>
        <w:rPr>
          <w:w w:val="95"/>
        </w:rPr>
        <w:t>or</w:t>
      </w:r>
      <w:r>
        <w:rPr>
          <w:spacing w:val="9"/>
        </w:rPr>
        <w:t xml:space="preserve"> </w:t>
      </w:r>
      <w:r>
        <w:rPr>
          <w:w w:val="95"/>
        </w:rPr>
        <w:t>sex</w:t>
      </w:r>
      <w:r>
        <w:rPr>
          <w:spacing w:val="4"/>
        </w:rPr>
        <w:t xml:space="preserve"> </w:t>
      </w:r>
      <w:r>
        <w:rPr>
          <w:w w:val="95"/>
        </w:rPr>
        <w:t>to</w:t>
      </w:r>
      <w:r>
        <w:rPr>
          <w:spacing w:val="8"/>
        </w:rPr>
        <w:t xml:space="preserve"> </w:t>
      </w:r>
      <w:r>
        <w:rPr>
          <w:w w:val="95"/>
        </w:rPr>
        <w:t>another</w:t>
      </w:r>
      <w:r>
        <w:rPr>
          <w:spacing w:val="13"/>
        </w:rPr>
        <w:t xml:space="preserve"> </w:t>
      </w:r>
      <w:r>
        <w:rPr>
          <w:spacing w:val="-4"/>
          <w:w w:val="95"/>
        </w:rPr>
        <w:t>one.</w:t>
      </w:r>
    </w:p>
    <w:p w:rsidR="00C76E6D" w:rsidRDefault="00C76E6D">
      <w:pPr>
        <w:pStyle w:val="BodyText"/>
        <w:spacing w:before="6"/>
        <w:rPr>
          <w:sz w:val="32"/>
        </w:rPr>
      </w:pPr>
    </w:p>
    <w:p w:rsidR="00C76E6D" w:rsidRDefault="00913831">
      <w:pPr>
        <w:pStyle w:val="BodyText"/>
        <w:spacing w:line="247" w:lineRule="auto"/>
        <w:ind w:left="1200" w:right="469"/>
        <w:jc w:val="both"/>
      </w:pPr>
      <w:r>
        <w:rPr>
          <w:b/>
        </w:rPr>
        <w:t xml:space="preserve">Social transitioning </w:t>
      </w:r>
      <w:r>
        <w:t xml:space="preserve">refers to the process of disclosing oneself as transgender to friends, family, co-workers, and/or classmates. This often includes asking that others use a name, pronouns, or gender that reflects that person's gender identity. Additionally, this person may </w:t>
      </w:r>
      <w:r>
        <w:t>begin to use facilities such as bathrooms, locker rooms, or dormitories associated with their gender identity.</w:t>
      </w:r>
    </w:p>
    <w:p w:rsidR="00C76E6D" w:rsidRDefault="00913831">
      <w:pPr>
        <w:pStyle w:val="BodyText"/>
        <w:spacing w:before="124" w:line="247" w:lineRule="auto"/>
        <w:ind w:left="1200" w:right="473" w:hanging="1"/>
        <w:jc w:val="both"/>
      </w:pPr>
      <w:r>
        <w:rPr>
          <w:b/>
        </w:rPr>
        <w:t>Medical</w:t>
      </w:r>
      <w:r>
        <w:rPr>
          <w:b/>
          <w:spacing w:val="-3"/>
        </w:rPr>
        <w:t xml:space="preserve"> </w:t>
      </w:r>
      <w:r>
        <w:rPr>
          <w:b/>
        </w:rPr>
        <w:t>transition</w:t>
      </w:r>
      <w:r>
        <w:rPr>
          <w:b/>
          <w:spacing w:val="-5"/>
        </w:rPr>
        <w:t xml:space="preserve"> </w:t>
      </w:r>
      <w:r>
        <w:t>refers</w:t>
      </w:r>
      <w:r>
        <w:rPr>
          <w:spacing w:val="-8"/>
        </w:rPr>
        <w:t xml:space="preserve"> </w:t>
      </w:r>
      <w:r>
        <w:t>to</w:t>
      </w:r>
      <w:r>
        <w:rPr>
          <w:spacing w:val="-8"/>
        </w:rPr>
        <w:t xml:space="preserve"> </w:t>
      </w:r>
      <w:r>
        <w:t>a</w:t>
      </w:r>
      <w:r>
        <w:rPr>
          <w:spacing w:val="-8"/>
        </w:rPr>
        <w:t xml:space="preserve"> </w:t>
      </w:r>
      <w:r>
        <w:t>process</w:t>
      </w:r>
      <w:r>
        <w:rPr>
          <w:spacing w:val="-7"/>
        </w:rPr>
        <w:t xml:space="preserve"> </w:t>
      </w:r>
      <w:r>
        <w:t>that</w:t>
      </w:r>
      <w:r>
        <w:rPr>
          <w:spacing w:val="-9"/>
        </w:rPr>
        <w:t xml:space="preserve"> </w:t>
      </w:r>
      <w:r>
        <w:t>utilizes</w:t>
      </w:r>
      <w:r>
        <w:rPr>
          <w:spacing w:val="-8"/>
        </w:rPr>
        <w:t xml:space="preserve"> </w:t>
      </w:r>
      <w:r>
        <w:t>hormonal</w:t>
      </w:r>
      <w:r>
        <w:rPr>
          <w:spacing w:val="-10"/>
        </w:rPr>
        <w:t xml:space="preserve"> </w:t>
      </w:r>
      <w:r>
        <w:t>treatments</w:t>
      </w:r>
      <w:r>
        <w:rPr>
          <w:spacing w:val="-8"/>
        </w:rPr>
        <w:t xml:space="preserve"> </w:t>
      </w:r>
      <w:r>
        <w:t>and/or</w:t>
      </w:r>
      <w:r>
        <w:rPr>
          <w:spacing w:val="-10"/>
        </w:rPr>
        <w:t xml:space="preserve"> </w:t>
      </w:r>
      <w:r>
        <w:t>affirming</w:t>
      </w:r>
      <w:r>
        <w:rPr>
          <w:spacing w:val="-4"/>
        </w:rPr>
        <w:t xml:space="preserve"> </w:t>
      </w:r>
      <w:r>
        <w:t>surgical interventions in affirmation of a person's gen</w:t>
      </w:r>
      <w:r>
        <w:t>der identity. Such procedures are referred to as “</w:t>
      </w:r>
      <w:r>
        <w:rPr>
          <w:b/>
        </w:rPr>
        <w:t>gender affirming</w:t>
      </w:r>
      <w:r>
        <w:t>”. Not all transgender people desire to transition medically, due to various medical, social, financial, and/or safety reasons.</w:t>
      </w:r>
    </w:p>
    <w:p w:rsidR="00C76E6D" w:rsidRDefault="00C76E6D">
      <w:pPr>
        <w:pStyle w:val="BodyText"/>
      </w:pPr>
    </w:p>
    <w:p w:rsidR="00C76E6D" w:rsidRDefault="00913831">
      <w:pPr>
        <w:pStyle w:val="BodyText"/>
        <w:spacing w:before="173" w:line="247" w:lineRule="auto"/>
        <w:ind w:left="479" w:right="476" w:hanging="4"/>
        <w:jc w:val="both"/>
      </w:pPr>
      <w:r>
        <w:rPr>
          <w:b/>
        </w:rPr>
        <w:t xml:space="preserve">Transgender man/FTM/Female-to-male: </w:t>
      </w:r>
      <w:r>
        <w:t>a person who identifies a</w:t>
      </w:r>
      <w:r>
        <w:t>s male, but was assigned female at birth. Note that</w:t>
      </w:r>
      <w:r>
        <w:rPr>
          <w:spacing w:val="-1"/>
        </w:rPr>
        <w:t xml:space="preserve"> </w:t>
      </w:r>
      <w:r>
        <w:t>the terms FTM</w:t>
      </w:r>
      <w:r>
        <w:rPr>
          <w:spacing w:val="-1"/>
        </w:rPr>
        <w:t xml:space="preserve"> </w:t>
      </w:r>
      <w:r>
        <w:t>and</w:t>
      </w:r>
      <w:r>
        <w:rPr>
          <w:spacing w:val="-1"/>
        </w:rPr>
        <w:t xml:space="preserve"> </w:t>
      </w:r>
      <w:r>
        <w:t>female-to-male</w:t>
      </w:r>
      <w:r>
        <w:rPr>
          <w:spacing w:val="-1"/>
        </w:rPr>
        <w:t xml:space="preserve"> </w:t>
      </w:r>
      <w:r>
        <w:t>are</w:t>
      </w:r>
      <w:r>
        <w:rPr>
          <w:spacing w:val="-2"/>
        </w:rPr>
        <w:t xml:space="preserve"> </w:t>
      </w:r>
      <w:r>
        <w:t>often</w:t>
      </w:r>
      <w:r>
        <w:rPr>
          <w:spacing w:val="-1"/>
        </w:rPr>
        <w:t xml:space="preserve"> </w:t>
      </w:r>
      <w:r>
        <w:t>used in</w:t>
      </w:r>
      <w:r>
        <w:rPr>
          <w:spacing w:val="-1"/>
        </w:rPr>
        <w:t xml:space="preserve"> </w:t>
      </w:r>
      <w:r>
        <w:t>literature and</w:t>
      </w:r>
      <w:r>
        <w:rPr>
          <w:spacing w:val="-1"/>
        </w:rPr>
        <w:t xml:space="preserve"> </w:t>
      </w:r>
      <w:r>
        <w:t>sometimes used</w:t>
      </w:r>
      <w:r>
        <w:rPr>
          <w:spacing w:val="-1"/>
        </w:rPr>
        <w:t xml:space="preserve"> </w:t>
      </w:r>
      <w:r>
        <w:t>as a self-identification, but should be generally avoided as they can be interpreted as not respecting the validity of some</w:t>
      </w:r>
      <w:r>
        <w:t>one’s gender identity. A “transgender man,” or simply “man,” is the appropriate way to refer to such an individual.</w:t>
      </w:r>
    </w:p>
    <w:p w:rsidR="00C76E6D" w:rsidRDefault="00C76E6D">
      <w:pPr>
        <w:spacing w:line="247" w:lineRule="auto"/>
        <w:jc w:val="both"/>
        <w:sectPr w:rsidR="00C76E6D">
          <w:pgSz w:w="12240" w:h="15840"/>
          <w:pgMar w:top="1020" w:right="960" w:bottom="640" w:left="960" w:header="820" w:footer="440" w:gutter="0"/>
          <w:cols w:space="720"/>
        </w:sectPr>
      </w:pPr>
    </w:p>
    <w:p w:rsidR="00C76E6D" w:rsidRDefault="00C76E6D">
      <w:pPr>
        <w:pStyle w:val="BodyText"/>
        <w:spacing w:before="11"/>
        <w:rPr>
          <w:sz w:val="24"/>
        </w:rPr>
      </w:pPr>
    </w:p>
    <w:p w:rsidR="00C76E6D" w:rsidRDefault="00913831">
      <w:pPr>
        <w:pStyle w:val="BodyText"/>
        <w:spacing w:before="55" w:line="247" w:lineRule="auto"/>
        <w:ind w:left="478" w:right="472" w:hanging="4"/>
        <w:jc w:val="both"/>
      </w:pPr>
      <w:r>
        <w:rPr>
          <w:b/>
        </w:rPr>
        <w:t>Transgender woman/MTF/Male-to-female:</w:t>
      </w:r>
      <w:r>
        <w:rPr>
          <w:b/>
          <w:spacing w:val="-1"/>
        </w:rPr>
        <w:t xml:space="preserve"> </w:t>
      </w:r>
      <w:r>
        <w:t>a</w:t>
      </w:r>
      <w:r>
        <w:rPr>
          <w:spacing w:val="-2"/>
        </w:rPr>
        <w:t xml:space="preserve"> </w:t>
      </w:r>
      <w:r>
        <w:t>person</w:t>
      </w:r>
      <w:r>
        <w:rPr>
          <w:spacing w:val="-3"/>
        </w:rPr>
        <w:t xml:space="preserve"> </w:t>
      </w:r>
      <w:r>
        <w:t>who</w:t>
      </w:r>
      <w:r>
        <w:rPr>
          <w:spacing w:val="-2"/>
        </w:rPr>
        <w:t xml:space="preserve"> </w:t>
      </w:r>
      <w:r>
        <w:t>identifies</w:t>
      </w:r>
      <w:r>
        <w:rPr>
          <w:spacing w:val="-3"/>
        </w:rPr>
        <w:t xml:space="preserve"> </w:t>
      </w:r>
      <w:r>
        <w:t>as</w:t>
      </w:r>
      <w:r>
        <w:rPr>
          <w:spacing w:val="-5"/>
        </w:rPr>
        <w:t xml:space="preserve"> </w:t>
      </w:r>
      <w:r>
        <w:t>female,</w:t>
      </w:r>
      <w:r>
        <w:rPr>
          <w:spacing w:val="-1"/>
        </w:rPr>
        <w:t xml:space="preserve"> </w:t>
      </w:r>
      <w:r>
        <w:t>but</w:t>
      </w:r>
      <w:r>
        <w:rPr>
          <w:spacing w:val="-3"/>
        </w:rPr>
        <w:t xml:space="preserve"> </w:t>
      </w:r>
      <w:r>
        <w:t>was</w:t>
      </w:r>
      <w:r>
        <w:rPr>
          <w:spacing w:val="-4"/>
        </w:rPr>
        <w:t xml:space="preserve"> </w:t>
      </w:r>
      <w:r>
        <w:t>assigned</w:t>
      </w:r>
      <w:r>
        <w:rPr>
          <w:spacing w:val="-1"/>
        </w:rPr>
        <w:t xml:space="preserve"> </w:t>
      </w:r>
      <w:r>
        <w:t>male</w:t>
      </w:r>
      <w:r>
        <w:rPr>
          <w:spacing w:val="-2"/>
        </w:rPr>
        <w:t xml:space="preserve"> </w:t>
      </w:r>
      <w:r>
        <w:t>at birth. Note that the terms MTF and male-to-female are often used in literature and sometimes used as self-identification, but should be generally avoided as they can be interpreted as not respecting the validity of someone’s gender identity. A “transgen</w:t>
      </w:r>
      <w:r>
        <w:t>der woman,” or simply “woman,” is the appropriate way to refer to such an individual.</w:t>
      </w:r>
    </w:p>
    <w:p w:rsidR="00C76E6D" w:rsidRDefault="00C76E6D">
      <w:pPr>
        <w:pStyle w:val="BodyText"/>
        <w:spacing w:before="1"/>
      </w:pPr>
    </w:p>
    <w:p w:rsidR="00C76E6D" w:rsidRDefault="00913831">
      <w:pPr>
        <w:pStyle w:val="BodyText"/>
        <w:spacing w:line="247" w:lineRule="auto"/>
        <w:ind w:left="480" w:right="467" w:hanging="4"/>
        <w:jc w:val="both"/>
      </w:pPr>
      <w:r>
        <w:rPr>
          <w:b/>
        </w:rPr>
        <w:t xml:space="preserve">Transphobia: </w:t>
      </w:r>
      <w:r>
        <w:t>fear, hatred, or discriminatory response to a person who is or is perceived to be transgender or gender-nonconforming.</w:t>
      </w:r>
    </w:p>
    <w:p w:rsidR="00C76E6D" w:rsidRDefault="00C76E6D">
      <w:pPr>
        <w:pStyle w:val="BodyText"/>
        <w:spacing w:before="4"/>
      </w:pPr>
    </w:p>
    <w:p w:rsidR="00C76E6D" w:rsidRDefault="00913831">
      <w:pPr>
        <w:pStyle w:val="BodyText"/>
        <w:spacing w:line="249" w:lineRule="auto"/>
        <w:ind w:left="480" w:right="471" w:hanging="4"/>
        <w:jc w:val="both"/>
      </w:pPr>
      <w:r>
        <w:rPr>
          <w:b/>
        </w:rPr>
        <w:t>Transsexual</w:t>
      </w:r>
      <w:r>
        <w:t>: a term describing someone who undergoes the process of changing their birth- assigned sex, usually through a medical transition. Today, many consider the term outdated and offensive, preferring to use “transgender” as a more inclusive and affirming term.</w:t>
      </w:r>
    </w:p>
    <w:p w:rsidR="00C76E6D" w:rsidRDefault="00913831">
      <w:pPr>
        <w:pStyle w:val="BodyText"/>
        <w:spacing w:before="192" w:line="249" w:lineRule="auto"/>
        <w:ind w:left="480" w:right="473" w:hanging="4"/>
        <w:jc w:val="both"/>
      </w:pPr>
      <w:r>
        <w:rPr>
          <w:b/>
        </w:rPr>
        <w:t>Transvestite</w:t>
      </w:r>
      <w:r>
        <w:t>: outdated term to describe someone who wears the clothes of the “opposite” sex. Cross- dresser is currently the preferred term.</w:t>
      </w:r>
    </w:p>
    <w:p w:rsidR="00C76E6D" w:rsidRDefault="00C76E6D">
      <w:pPr>
        <w:spacing w:line="249" w:lineRule="auto"/>
        <w:jc w:val="both"/>
        <w:sectPr w:rsidR="00C76E6D">
          <w:pgSz w:w="12240" w:h="15840"/>
          <w:pgMar w:top="1020" w:right="960" w:bottom="640" w:left="960" w:header="820" w:footer="440" w:gutter="0"/>
          <w:cols w:space="720"/>
        </w:sectPr>
      </w:pPr>
    </w:p>
    <w:p w:rsidR="00C76E6D" w:rsidRDefault="00C76E6D">
      <w:pPr>
        <w:pStyle w:val="BodyText"/>
        <w:rPr>
          <w:sz w:val="20"/>
        </w:rPr>
      </w:pPr>
    </w:p>
    <w:p w:rsidR="00C76E6D" w:rsidRDefault="00C76E6D">
      <w:pPr>
        <w:rPr>
          <w:sz w:val="20"/>
        </w:rPr>
        <w:sectPr w:rsidR="00C76E6D">
          <w:headerReference w:type="default" r:id="rId475"/>
          <w:footerReference w:type="default" r:id="rId476"/>
          <w:pgSz w:w="12240" w:h="15840"/>
          <w:pgMar w:top="960" w:right="960" w:bottom="280" w:left="960" w:header="769" w:footer="0" w:gutter="0"/>
          <w:cols w:space="720"/>
        </w:sectPr>
      </w:pPr>
    </w:p>
    <w:p w:rsidR="00C76E6D" w:rsidRDefault="00C76E6D">
      <w:pPr>
        <w:pStyle w:val="BodyText"/>
        <w:spacing w:before="11"/>
        <w:rPr>
          <w:sz w:val="16"/>
        </w:rPr>
      </w:pPr>
    </w:p>
    <w:p w:rsidR="00C76E6D" w:rsidRDefault="00913831">
      <w:pPr>
        <w:ind w:left="480"/>
        <w:rPr>
          <w:b/>
        </w:rPr>
      </w:pPr>
      <w:bookmarkStart w:id="940" w:name="_bookmark649"/>
      <w:bookmarkEnd w:id="940"/>
      <w:r>
        <w:rPr>
          <w:b/>
          <w:w w:val="95"/>
          <w:u w:val="single"/>
        </w:rPr>
        <w:t>Commission</w:t>
      </w:r>
      <w:r>
        <w:rPr>
          <w:b/>
          <w:spacing w:val="31"/>
          <w:u w:val="single"/>
        </w:rPr>
        <w:t xml:space="preserve"> </w:t>
      </w:r>
      <w:r>
        <w:rPr>
          <w:b/>
          <w:spacing w:val="-2"/>
          <w:u w:val="single"/>
        </w:rPr>
        <w:t>Officers</w:t>
      </w:r>
    </w:p>
    <w:p w:rsidR="00C76E6D" w:rsidRDefault="00C76E6D">
      <w:pPr>
        <w:pStyle w:val="BodyText"/>
        <w:spacing w:before="8"/>
        <w:rPr>
          <w:b/>
          <w:sz w:val="28"/>
        </w:rPr>
      </w:pPr>
    </w:p>
    <w:p w:rsidR="00C76E6D" w:rsidRDefault="00913831">
      <w:pPr>
        <w:pStyle w:val="BodyText"/>
        <w:spacing w:line="276" w:lineRule="auto"/>
        <w:ind w:left="480" w:right="1624"/>
      </w:pPr>
      <w:r>
        <w:t xml:space="preserve">Craig C Martin, Chair </w:t>
      </w:r>
      <w:r>
        <w:rPr>
          <w:spacing w:val="-2"/>
        </w:rPr>
        <w:t>Ivy</w:t>
      </w:r>
      <w:r>
        <w:rPr>
          <w:spacing w:val="-13"/>
        </w:rPr>
        <w:t xml:space="preserve"> </w:t>
      </w:r>
      <w:r>
        <w:rPr>
          <w:spacing w:val="-2"/>
        </w:rPr>
        <w:t>Stanton,</w:t>
      </w:r>
      <w:r>
        <w:rPr>
          <w:spacing w:val="-12"/>
        </w:rPr>
        <w:t xml:space="preserve"> </w:t>
      </w:r>
      <w:r>
        <w:rPr>
          <w:spacing w:val="-2"/>
        </w:rPr>
        <w:t>Vice</w:t>
      </w:r>
      <w:r>
        <w:rPr>
          <w:spacing w:val="-13"/>
        </w:rPr>
        <w:t xml:space="preserve"> </w:t>
      </w:r>
      <w:r>
        <w:rPr>
          <w:spacing w:val="-2"/>
        </w:rPr>
        <w:t>Chair</w:t>
      </w:r>
    </w:p>
    <w:p w:rsidR="00C76E6D" w:rsidRDefault="00913831">
      <w:pPr>
        <w:pStyle w:val="BodyText"/>
        <w:spacing w:line="276" w:lineRule="auto"/>
        <w:ind w:left="480" w:right="668"/>
      </w:pPr>
      <w:r>
        <w:rPr>
          <w:spacing w:val="-2"/>
        </w:rPr>
        <w:t>Monica</w:t>
      </w:r>
      <w:r>
        <w:rPr>
          <w:spacing w:val="-11"/>
        </w:rPr>
        <w:t xml:space="preserve"> </w:t>
      </w:r>
      <w:r>
        <w:rPr>
          <w:spacing w:val="-2"/>
        </w:rPr>
        <w:t>Johnson,</w:t>
      </w:r>
      <w:r>
        <w:rPr>
          <w:spacing w:val="-11"/>
        </w:rPr>
        <w:t xml:space="preserve"> </w:t>
      </w:r>
      <w:r>
        <w:rPr>
          <w:spacing w:val="-2"/>
        </w:rPr>
        <w:t>Vice</w:t>
      </w:r>
      <w:r>
        <w:rPr>
          <w:spacing w:val="-11"/>
        </w:rPr>
        <w:t xml:space="preserve"> </w:t>
      </w:r>
      <w:r>
        <w:rPr>
          <w:spacing w:val="-2"/>
        </w:rPr>
        <w:t xml:space="preserve">Chair </w:t>
      </w:r>
      <w:r>
        <w:t>Noemi Uribe, Vice Chair</w:t>
      </w:r>
    </w:p>
    <w:p w:rsidR="00C76E6D" w:rsidRDefault="00C76E6D">
      <w:pPr>
        <w:pStyle w:val="BodyText"/>
        <w:spacing w:before="3"/>
        <w:rPr>
          <w:sz w:val="25"/>
        </w:rPr>
      </w:pPr>
    </w:p>
    <w:p w:rsidR="00C76E6D" w:rsidRDefault="00913831">
      <w:pPr>
        <w:spacing w:before="1"/>
        <w:ind w:left="480"/>
        <w:rPr>
          <w:b/>
        </w:rPr>
      </w:pPr>
      <w:r>
        <w:rPr>
          <w:b/>
          <w:w w:val="95"/>
          <w:u w:val="single"/>
        </w:rPr>
        <w:t>Executive</w:t>
      </w:r>
      <w:r>
        <w:rPr>
          <w:b/>
          <w:spacing w:val="42"/>
          <w:u w:val="single"/>
        </w:rPr>
        <w:t xml:space="preserve"> </w:t>
      </w:r>
      <w:r>
        <w:rPr>
          <w:b/>
          <w:w w:val="95"/>
          <w:u w:val="single"/>
        </w:rPr>
        <w:t>Committee</w:t>
      </w:r>
      <w:r>
        <w:rPr>
          <w:b/>
          <w:spacing w:val="45"/>
          <w:u w:val="single"/>
        </w:rPr>
        <w:t xml:space="preserve"> </w:t>
      </w:r>
      <w:r>
        <w:rPr>
          <w:b/>
          <w:w w:val="95"/>
          <w:u w:val="single"/>
        </w:rPr>
        <w:t>Members-at-</w:t>
      </w:r>
      <w:r>
        <w:rPr>
          <w:b/>
          <w:spacing w:val="-4"/>
          <w:w w:val="95"/>
          <w:u w:val="single"/>
        </w:rPr>
        <w:t>large</w:t>
      </w:r>
    </w:p>
    <w:p w:rsidR="00C76E6D" w:rsidRDefault="00C76E6D">
      <w:pPr>
        <w:pStyle w:val="BodyText"/>
        <w:spacing w:before="6"/>
        <w:rPr>
          <w:b/>
          <w:sz w:val="28"/>
        </w:rPr>
      </w:pPr>
    </w:p>
    <w:p w:rsidR="00C76E6D" w:rsidRDefault="00913831">
      <w:pPr>
        <w:pStyle w:val="BodyText"/>
        <w:spacing w:line="276" w:lineRule="auto"/>
        <w:ind w:left="479" w:right="1624"/>
      </w:pPr>
      <w:r>
        <w:t xml:space="preserve">bethany m. allen </w:t>
      </w:r>
      <w:r>
        <w:rPr>
          <w:spacing w:val="-2"/>
        </w:rPr>
        <w:t>Grace</w:t>
      </w:r>
      <w:r>
        <w:rPr>
          <w:spacing w:val="-12"/>
        </w:rPr>
        <w:t xml:space="preserve"> </w:t>
      </w:r>
      <w:r>
        <w:rPr>
          <w:spacing w:val="-2"/>
        </w:rPr>
        <w:t>Sterling</w:t>
      </w:r>
      <w:r>
        <w:rPr>
          <w:spacing w:val="-12"/>
        </w:rPr>
        <w:t xml:space="preserve"> </w:t>
      </w:r>
      <w:r>
        <w:rPr>
          <w:spacing w:val="-2"/>
        </w:rPr>
        <w:t xml:space="preserve">Stowell </w:t>
      </w:r>
      <w:r>
        <w:t>Sasha Goodfriend</w:t>
      </w:r>
    </w:p>
    <w:p w:rsidR="00C76E6D" w:rsidRDefault="00C76E6D">
      <w:pPr>
        <w:pStyle w:val="BodyText"/>
        <w:spacing w:before="4"/>
        <w:rPr>
          <w:sz w:val="25"/>
        </w:rPr>
      </w:pPr>
    </w:p>
    <w:p w:rsidR="00C76E6D" w:rsidRDefault="00913831">
      <w:pPr>
        <w:ind w:left="480"/>
        <w:rPr>
          <w:b/>
        </w:rPr>
      </w:pPr>
      <w:r>
        <w:rPr>
          <w:b/>
          <w:w w:val="95"/>
          <w:u w:val="single"/>
        </w:rPr>
        <w:t>Commission</w:t>
      </w:r>
      <w:r>
        <w:rPr>
          <w:b/>
          <w:spacing w:val="32"/>
          <w:u w:val="single"/>
        </w:rPr>
        <w:t xml:space="preserve"> </w:t>
      </w:r>
      <w:r>
        <w:rPr>
          <w:b/>
          <w:spacing w:val="-2"/>
          <w:u w:val="single"/>
        </w:rPr>
        <w:t>Members</w:t>
      </w:r>
    </w:p>
    <w:p w:rsidR="00C76E6D" w:rsidRDefault="00C76E6D">
      <w:pPr>
        <w:pStyle w:val="BodyText"/>
        <w:spacing w:before="8"/>
        <w:rPr>
          <w:b/>
          <w:sz w:val="28"/>
        </w:rPr>
      </w:pPr>
    </w:p>
    <w:p w:rsidR="00C76E6D" w:rsidRDefault="00913831">
      <w:pPr>
        <w:pStyle w:val="BodyText"/>
        <w:ind w:left="480"/>
      </w:pPr>
      <w:r>
        <w:t>Alan</w:t>
      </w:r>
      <w:r>
        <w:rPr>
          <w:spacing w:val="-10"/>
        </w:rPr>
        <w:t xml:space="preserve"> </w:t>
      </w:r>
      <w:r>
        <w:rPr>
          <w:spacing w:val="-2"/>
        </w:rPr>
        <w:t>Plotz</w:t>
      </w:r>
    </w:p>
    <w:p w:rsidR="00C76E6D" w:rsidRDefault="00913831">
      <w:pPr>
        <w:pStyle w:val="BodyText"/>
        <w:spacing w:before="41" w:line="276" w:lineRule="auto"/>
        <w:ind w:left="478" w:right="1760"/>
      </w:pPr>
      <w:r>
        <w:rPr>
          <w:spacing w:val="-2"/>
        </w:rPr>
        <w:t>Alyssa</w:t>
      </w:r>
      <w:r>
        <w:rPr>
          <w:spacing w:val="-14"/>
        </w:rPr>
        <w:t xml:space="preserve"> </w:t>
      </w:r>
      <w:r>
        <w:rPr>
          <w:spacing w:val="-2"/>
        </w:rPr>
        <w:t xml:space="preserve">Rayman-Read </w:t>
      </w:r>
      <w:r>
        <w:t>Alyvia Norris Amanda Shabowich Ariel F</w:t>
      </w:r>
      <w:r>
        <w:t>rey-Vogel Ashley Waterberg Aude Henin</w:t>
      </w:r>
    </w:p>
    <w:p w:rsidR="00C76E6D" w:rsidRDefault="00913831">
      <w:pPr>
        <w:pStyle w:val="BodyText"/>
        <w:spacing w:line="276" w:lineRule="auto"/>
        <w:ind w:left="479" w:right="2041"/>
      </w:pPr>
      <w:r>
        <w:t xml:space="preserve">Avery Selk </w:t>
      </w:r>
      <w:r>
        <w:rPr>
          <w:spacing w:val="-2"/>
        </w:rPr>
        <w:t>Carlene</w:t>
      </w:r>
      <w:r>
        <w:rPr>
          <w:spacing w:val="-14"/>
        </w:rPr>
        <w:t xml:space="preserve"> </w:t>
      </w:r>
      <w:r>
        <w:rPr>
          <w:spacing w:val="-2"/>
        </w:rPr>
        <w:t>Pavlos</w:t>
      </w:r>
    </w:p>
    <w:p w:rsidR="00C76E6D" w:rsidRDefault="00913831">
      <w:pPr>
        <w:pStyle w:val="BodyText"/>
        <w:spacing w:line="276" w:lineRule="auto"/>
        <w:ind w:left="478" w:right="1716"/>
      </w:pPr>
      <w:r>
        <w:rPr>
          <w:spacing w:val="-2"/>
        </w:rPr>
        <w:t>Christopher</w:t>
      </w:r>
      <w:r>
        <w:rPr>
          <w:spacing w:val="-13"/>
        </w:rPr>
        <w:t xml:space="preserve"> </w:t>
      </w:r>
      <w:r>
        <w:rPr>
          <w:spacing w:val="-2"/>
        </w:rPr>
        <w:t xml:space="preserve">Martinez </w:t>
      </w:r>
      <w:r>
        <w:t>Courtney Chelo Cristian Morales Dana Pedersen</w:t>
      </w:r>
    </w:p>
    <w:p w:rsidR="00C76E6D" w:rsidRDefault="00913831">
      <w:r>
        <w:br w:type="column"/>
      </w:r>
    </w:p>
    <w:p w:rsidR="00C76E6D" w:rsidRDefault="00C76E6D">
      <w:pPr>
        <w:pStyle w:val="BodyText"/>
        <w:spacing w:before="12"/>
        <w:rPr>
          <w:sz w:val="19"/>
        </w:rPr>
      </w:pPr>
    </w:p>
    <w:p w:rsidR="00C76E6D" w:rsidRDefault="00913831">
      <w:pPr>
        <w:pStyle w:val="BodyText"/>
        <w:spacing w:line="276" w:lineRule="auto"/>
        <w:ind w:left="478" w:right="2778"/>
      </w:pPr>
      <w:r>
        <w:rPr>
          <w:spacing w:val="-2"/>
        </w:rPr>
        <w:t>David</w:t>
      </w:r>
      <w:r>
        <w:rPr>
          <w:spacing w:val="-14"/>
        </w:rPr>
        <w:t xml:space="preserve"> </w:t>
      </w:r>
      <w:r>
        <w:rPr>
          <w:spacing w:val="-2"/>
        </w:rPr>
        <w:t>P.</w:t>
      </w:r>
      <w:r>
        <w:rPr>
          <w:spacing w:val="-13"/>
        </w:rPr>
        <w:t xml:space="preserve"> </w:t>
      </w:r>
      <w:r>
        <w:rPr>
          <w:spacing w:val="-2"/>
        </w:rPr>
        <w:t>Norton,</w:t>
      </w:r>
      <w:r>
        <w:rPr>
          <w:spacing w:val="-14"/>
        </w:rPr>
        <w:t xml:space="preserve"> </w:t>
      </w:r>
      <w:r>
        <w:rPr>
          <w:spacing w:val="-2"/>
        </w:rPr>
        <w:t xml:space="preserve">MD </w:t>
      </w:r>
      <w:r>
        <w:t>Defne Olgun</w:t>
      </w:r>
    </w:p>
    <w:p w:rsidR="00C76E6D" w:rsidRDefault="00913831">
      <w:pPr>
        <w:pStyle w:val="BodyText"/>
        <w:spacing w:before="1" w:line="276" w:lineRule="auto"/>
        <w:ind w:left="478" w:right="3202"/>
      </w:pPr>
      <w:r>
        <w:t xml:space="preserve">Emily Bellush Emily Grybko </w:t>
      </w:r>
      <w:r>
        <w:rPr>
          <w:spacing w:val="-2"/>
        </w:rPr>
        <w:t>Fahmina</w:t>
      </w:r>
      <w:r>
        <w:rPr>
          <w:spacing w:val="-13"/>
        </w:rPr>
        <w:t xml:space="preserve"> </w:t>
      </w:r>
      <w:r>
        <w:rPr>
          <w:spacing w:val="-2"/>
        </w:rPr>
        <w:t xml:space="preserve">Zaman </w:t>
      </w:r>
      <w:r>
        <w:t>Gary Bailey Joseph</w:t>
      </w:r>
      <w:r>
        <w:rPr>
          <w:spacing w:val="-4"/>
        </w:rPr>
        <w:t xml:space="preserve"> </w:t>
      </w:r>
      <w:r>
        <w:t>F.</w:t>
      </w:r>
      <w:r>
        <w:rPr>
          <w:spacing w:val="-4"/>
        </w:rPr>
        <w:t xml:space="preserve"> </w:t>
      </w:r>
      <w:r>
        <w:t>Baeta Julia M. Paget Kelly Simon</w:t>
      </w:r>
    </w:p>
    <w:p w:rsidR="00C76E6D" w:rsidRDefault="00913831">
      <w:pPr>
        <w:pStyle w:val="BodyText"/>
        <w:spacing w:before="1"/>
        <w:ind w:left="478"/>
      </w:pPr>
      <w:r>
        <w:t>Kiri</w:t>
      </w:r>
      <w:r>
        <w:rPr>
          <w:spacing w:val="-12"/>
        </w:rPr>
        <w:t xml:space="preserve"> </w:t>
      </w:r>
      <w:r>
        <w:rPr>
          <w:spacing w:val="-2"/>
        </w:rPr>
        <w:t>Sinha</w:t>
      </w:r>
    </w:p>
    <w:p w:rsidR="00C76E6D" w:rsidRDefault="00913831">
      <w:pPr>
        <w:pStyle w:val="BodyText"/>
        <w:spacing w:before="40" w:line="276" w:lineRule="auto"/>
        <w:ind w:left="478" w:right="2778"/>
      </w:pPr>
      <w:r>
        <w:rPr>
          <w:spacing w:val="-2"/>
        </w:rPr>
        <w:t>Kylie</w:t>
      </w:r>
      <w:r>
        <w:rPr>
          <w:spacing w:val="-13"/>
        </w:rPr>
        <w:t xml:space="preserve"> </w:t>
      </w:r>
      <w:r>
        <w:rPr>
          <w:spacing w:val="-2"/>
        </w:rPr>
        <w:t>Nassif</w:t>
      </w:r>
      <w:r>
        <w:rPr>
          <w:spacing w:val="-13"/>
        </w:rPr>
        <w:t xml:space="preserve"> </w:t>
      </w:r>
      <w:r>
        <w:rPr>
          <w:spacing w:val="-2"/>
        </w:rPr>
        <w:t xml:space="preserve">Blizzard </w:t>
      </w:r>
      <w:r>
        <w:t>Lala Shank</w:t>
      </w:r>
    </w:p>
    <w:p w:rsidR="00C76E6D" w:rsidRDefault="00913831">
      <w:pPr>
        <w:pStyle w:val="BodyText"/>
        <w:spacing w:line="276" w:lineRule="auto"/>
        <w:ind w:left="478" w:right="2679"/>
      </w:pPr>
      <w:r>
        <w:rPr>
          <w:spacing w:val="-2"/>
        </w:rPr>
        <w:t>Lezlie</w:t>
      </w:r>
      <w:r>
        <w:rPr>
          <w:spacing w:val="-11"/>
        </w:rPr>
        <w:t xml:space="preserve"> </w:t>
      </w:r>
      <w:r>
        <w:rPr>
          <w:spacing w:val="-2"/>
        </w:rPr>
        <w:t>Braxton</w:t>
      </w:r>
      <w:r>
        <w:rPr>
          <w:spacing w:val="-11"/>
        </w:rPr>
        <w:t xml:space="preserve"> </w:t>
      </w:r>
      <w:r>
        <w:rPr>
          <w:spacing w:val="-2"/>
        </w:rPr>
        <w:t xml:space="preserve">Campbell </w:t>
      </w:r>
      <w:r>
        <w:t>Mason J. Dunn Matthew Palmer Michael Cox</w:t>
      </w:r>
    </w:p>
    <w:p w:rsidR="00C76E6D" w:rsidRDefault="00913831">
      <w:pPr>
        <w:pStyle w:val="BodyText"/>
        <w:spacing w:line="276" w:lineRule="auto"/>
        <w:ind w:left="478" w:right="3420"/>
      </w:pPr>
      <w:r>
        <w:t xml:space="preserve">Olly kelly </w:t>
      </w:r>
      <w:r>
        <w:rPr>
          <w:spacing w:val="-2"/>
        </w:rPr>
        <w:t>Paulette</w:t>
      </w:r>
      <w:r>
        <w:rPr>
          <w:spacing w:val="-13"/>
        </w:rPr>
        <w:t xml:space="preserve"> </w:t>
      </w:r>
      <w:r>
        <w:rPr>
          <w:spacing w:val="-2"/>
        </w:rPr>
        <w:t xml:space="preserve">Piñero </w:t>
      </w:r>
      <w:r>
        <w:t>Raini Coffman Rebecca Bact René Rives Rose Soumare Shavon</w:t>
      </w:r>
      <w:r>
        <w:rPr>
          <w:spacing w:val="-13"/>
        </w:rPr>
        <w:t xml:space="preserve"> </w:t>
      </w:r>
      <w:r>
        <w:t xml:space="preserve">Fulcher </w:t>
      </w:r>
      <w:r>
        <w:rPr>
          <w:w w:val="95"/>
        </w:rPr>
        <w:t>Tanya</w:t>
      </w:r>
      <w:r>
        <w:rPr>
          <w:spacing w:val="10"/>
        </w:rPr>
        <w:t xml:space="preserve"> </w:t>
      </w:r>
      <w:r>
        <w:rPr>
          <w:spacing w:val="-2"/>
        </w:rPr>
        <w:t>Neslusan</w:t>
      </w:r>
    </w:p>
    <w:p w:rsidR="00C76E6D" w:rsidRDefault="00913831">
      <w:pPr>
        <w:pStyle w:val="BodyText"/>
        <w:spacing w:line="276" w:lineRule="auto"/>
        <w:ind w:left="478" w:right="2787"/>
      </w:pPr>
      <w:r>
        <w:rPr>
          <w:spacing w:val="-2"/>
        </w:rPr>
        <w:t>Takeru</w:t>
      </w:r>
      <w:r>
        <w:rPr>
          <w:spacing w:val="-13"/>
        </w:rPr>
        <w:t xml:space="preserve"> </w:t>
      </w:r>
      <w:r>
        <w:rPr>
          <w:spacing w:val="-2"/>
        </w:rPr>
        <w:t>"TK"</w:t>
      </w:r>
      <w:r>
        <w:rPr>
          <w:spacing w:val="-11"/>
        </w:rPr>
        <w:t xml:space="preserve"> </w:t>
      </w:r>
      <w:r>
        <w:rPr>
          <w:spacing w:val="-2"/>
        </w:rPr>
        <w:t xml:space="preserve">Nagayoshi </w:t>
      </w:r>
      <w:r>
        <w:t>Zachary Tsetsos Zuleny Gonzalez</w:t>
      </w:r>
    </w:p>
    <w:p w:rsidR="00C76E6D" w:rsidRDefault="00C76E6D">
      <w:pPr>
        <w:spacing w:line="276" w:lineRule="auto"/>
        <w:sectPr w:rsidR="00C76E6D">
          <w:type w:val="continuous"/>
          <w:pgSz w:w="12240" w:h="15840"/>
          <w:pgMar w:top="0" w:right="960" w:bottom="0" w:left="960" w:header="769" w:footer="0" w:gutter="0"/>
          <w:cols w:num="2" w:space="720" w:equalWidth="0">
            <w:col w:w="4094" w:space="947"/>
            <w:col w:w="5279"/>
          </w:cols>
        </w:sect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rPr>
          <w:sz w:val="20"/>
        </w:rPr>
      </w:pPr>
    </w:p>
    <w:p w:rsidR="00C76E6D" w:rsidRDefault="00C76E6D">
      <w:pPr>
        <w:pStyle w:val="BodyText"/>
        <w:spacing w:before="9"/>
        <w:rPr>
          <w:sz w:val="12"/>
        </w:rPr>
      </w:pPr>
    </w:p>
    <w:p w:rsidR="00C76E6D" w:rsidRDefault="00913831">
      <w:pPr>
        <w:pStyle w:val="BodyText"/>
        <w:spacing w:line="20" w:lineRule="exact"/>
        <w:ind w:left="450"/>
        <w:rPr>
          <w:sz w:val="2"/>
        </w:rPr>
      </w:pPr>
      <w:r>
        <w:rPr>
          <w:sz w:val="2"/>
        </w:rPr>
      </w:r>
      <w:r>
        <w:rPr>
          <w:sz w:val="2"/>
        </w:rPr>
        <w:pict>
          <v:group id="docshapegroup488" o:spid="_x0000_s1026" style="width:471.05pt;height:.5pt;mso-position-horizontal-relative:char;mso-position-vertical-relative:line" coordsize="9421,10">
            <v:rect id="docshape489" o:spid="_x0000_s1027" style="position:absolute;width:9421;height:10" fillcolor="#d9d9d9" stroked="f"/>
            <w10:anchorlock/>
          </v:group>
        </w:pict>
      </w:r>
    </w:p>
    <w:p w:rsidR="00C76E6D" w:rsidRDefault="00913831">
      <w:pPr>
        <w:spacing w:before="8"/>
        <w:ind w:right="476"/>
        <w:jc w:val="right"/>
        <w:rPr>
          <w:sz w:val="20"/>
        </w:rPr>
      </w:pPr>
      <w:r>
        <w:rPr>
          <w:color w:val="23405F"/>
          <w:spacing w:val="-5"/>
          <w:sz w:val="20"/>
        </w:rPr>
        <w:t>227</w:t>
      </w:r>
    </w:p>
    <w:sectPr w:rsidR="00C76E6D">
      <w:type w:val="continuous"/>
      <w:pgSz w:w="12240" w:h="15840"/>
      <w:pgMar w:top="0" w:right="960" w:bottom="0" w:left="960" w:header="76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831" w:rsidRDefault="00913831">
      <w:r>
        <w:separator/>
      </w:r>
    </w:p>
  </w:endnote>
  <w:endnote w:type="continuationSeparator" w:id="0">
    <w:p w:rsidR="00913831" w:rsidRDefault="00913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26" o:spid="_x0000_s2154" style="position:absolute;margin-left:63.5pt;margin-top:748.8pt;width:485pt;height:.5pt;z-index:-2121267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27" o:spid="_x0000_s2153" type="#_x0000_t202" style="position:absolute;margin-left:538.85pt;margin-top:751.75pt;width:12.1pt;height:12.05pt;z-index:-21212160;mso-position-horizontal-relative:page;mso-position-vertical-relative:page" filled="f" stroked="f">
          <v:textbox inset="0,0,0,0">
            <w:txbxContent>
              <w:p w:rsidR="00C76E6D" w:rsidRDefault="00913831">
                <w:pPr>
                  <w:spacing w:line="224" w:lineRule="exact"/>
                  <w:ind w:left="60"/>
                  <w:rPr>
                    <w:sz w:val="20"/>
                  </w:rPr>
                </w:pPr>
                <w:r>
                  <w:rPr>
                    <w:color w:val="22405F"/>
                    <w:sz w:val="20"/>
                  </w:rPr>
                  <w:fldChar w:fldCharType="begin"/>
                </w:r>
                <w:r>
                  <w:rPr>
                    <w:color w:val="22405F"/>
                    <w:sz w:val="20"/>
                  </w:rPr>
                  <w:instrText xml:space="preserve"> PAGE </w:instrText>
                </w:r>
                <w:r>
                  <w:rPr>
                    <w:color w:val="22405F"/>
                    <w:sz w:val="20"/>
                  </w:rPr>
                  <w:fldChar w:fldCharType="separate"/>
                </w:r>
                <w:r w:rsidR="00AB50BD">
                  <w:rPr>
                    <w:noProof/>
                    <w:color w:val="22405F"/>
                    <w:sz w:val="20"/>
                  </w:rPr>
                  <w:t>8</w:t>
                </w:r>
                <w:r>
                  <w:rPr>
                    <w:color w:val="22405F"/>
                    <w:sz w:val="20"/>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C76E6D">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305" o:spid="_x0000_s2126" style="position:absolute;margin-left:63.5pt;margin-top:756pt;width:487pt;height:.5pt;z-index:-21198336;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06" o:spid="_x0000_s2125" type="#_x0000_t202" style="position:absolute;margin-left:64.05pt;margin-top:753.25pt;width:380.7pt;height:12.05pt;z-index:-21197824;mso-position-horizontal-relative:page;mso-position-vertical-relative:page" filled="f" stroked="f">
          <v:textbox inset="0,0,0,0">
            <w:txbxContent>
              <w:p w:rsidR="00C76E6D" w:rsidRDefault="00913831">
                <w:pPr>
                  <w:spacing w:line="224" w:lineRule="exact"/>
                  <w:ind w:left="20"/>
                  <w:rPr>
                    <w:sz w:val="20"/>
                  </w:rPr>
                </w:pPr>
                <w:r>
                  <w:rPr>
                    <w:sz w:val="20"/>
                  </w:rPr>
                  <w:t>Theory</w:t>
                </w:r>
                <w:r>
                  <w:rPr>
                    <w:spacing w:val="-12"/>
                    <w:sz w:val="20"/>
                  </w:rPr>
                  <w:t xml:space="preserve"> </w:t>
                </w:r>
                <w:r>
                  <w:rPr>
                    <w:sz w:val="20"/>
                  </w:rPr>
                  <w:t>With</w:t>
                </w:r>
                <w:r>
                  <w:rPr>
                    <w:spacing w:val="-5"/>
                    <w:sz w:val="20"/>
                  </w:rPr>
                  <w:t xml:space="preserve"> </w:t>
                </w:r>
                <w:r>
                  <w:rPr>
                    <w:sz w:val="20"/>
                  </w:rPr>
                  <w:t>Trans</w:t>
                </w:r>
                <w:r>
                  <w:rPr>
                    <w:spacing w:val="-7"/>
                    <w:sz w:val="20"/>
                  </w:rPr>
                  <w:t xml:space="preserve"> </w:t>
                </w:r>
                <w:r>
                  <w:rPr>
                    <w:sz w:val="20"/>
                  </w:rPr>
                  <w:t>Women,”</w:t>
                </w:r>
                <w:r>
                  <w:rPr>
                    <w:spacing w:val="-8"/>
                    <w:sz w:val="20"/>
                  </w:rPr>
                  <w:t xml:space="preserve"> </w:t>
                </w:r>
                <w:r>
                  <w:rPr>
                    <w:i/>
                    <w:sz w:val="20"/>
                  </w:rPr>
                  <w:t>Psychology</w:t>
                </w:r>
                <w:r>
                  <w:rPr>
                    <w:i/>
                    <w:spacing w:val="-7"/>
                    <w:sz w:val="20"/>
                  </w:rPr>
                  <w:t xml:space="preserve"> </w:t>
                </w:r>
                <w:r>
                  <w:rPr>
                    <w:i/>
                    <w:sz w:val="20"/>
                  </w:rPr>
                  <w:t>of</w:t>
                </w:r>
                <w:r>
                  <w:rPr>
                    <w:i/>
                    <w:spacing w:val="-7"/>
                    <w:sz w:val="20"/>
                  </w:rPr>
                  <w:t xml:space="preserve"> </w:t>
                </w:r>
                <w:r>
                  <w:rPr>
                    <w:i/>
                    <w:sz w:val="20"/>
                  </w:rPr>
                  <w:t>Women</w:t>
                </w:r>
                <w:r>
                  <w:rPr>
                    <w:i/>
                    <w:spacing w:val="-8"/>
                    <w:sz w:val="20"/>
                  </w:rPr>
                  <w:t xml:space="preserve"> </w:t>
                </w:r>
                <w:r>
                  <w:rPr>
                    <w:i/>
                    <w:sz w:val="20"/>
                  </w:rPr>
                  <w:t>Quarterly</w:t>
                </w:r>
                <w:r>
                  <w:rPr>
                    <w:i/>
                    <w:spacing w:val="-5"/>
                    <w:sz w:val="20"/>
                  </w:rPr>
                  <w:t xml:space="preserve"> </w:t>
                </w:r>
                <w:r>
                  <w:rPr>
                    <w:sz w:val="20"/>
                  </w:rPr>
                  <w:t>44,</w:t>
                </w:r>
                <w:r>
                  <w:rPr>
                    <w:spacing w:val="-7"/>
                    <w:sz w:val="20"/>
                  </w:rPr>
                  <w:t xml:space="preserve"> </w:t>
                </w:r>
                <w:r>
                  <w:rPr>
                    <w:sz w:val="20"/>
                  </w:rPr>
                  <w:t>no.</w:t>
                </w:r>
                <w:r>
                  <w:rPr>
                    <w:spacing w:val="-8"/>
                    <w:sz w:val="20"/>
                  </w:rPr>
                  <w:t xml:space="preserve"> </w:t>
                </w:r>
                <w:r>
                  <w:rPr>
                    <w:sz w:val="20"/>
                  </w:rPr>
                  <w:t>1</w:t>
                </w:r>
                <w:r>
                  <w:rPr>
                    <w:spacing w:val="-6"/>
                    <w:sz w:val="20"/>
                  </w:rPr>
                  <w:t xml:space="preserve"> </w:t>
                </w:r>
                <w:r>
                  <w:rPr>
                    <w:sz w:val="20"/>
                  </w:rPr>
                  <w:t>(March</w:t>
                </w:r>
                <w:r>
                  <w:rPr>
                    <w:spacing w:val="-5"/>
                    <w:sz w:val="20"/>
                  </w:rPr>
                  <w:t xml:space="preserve"> </w:t>
                </w:r>
                <w:r>
                  <w:rPr>
                    <w:sz w:val="20"/>
                  </w:rPr>
                  <w:t>2020):</w:t>
                </w:r>
                <w:r>
                  <w:rPr>
                    <w:spacing w:val="-5"/>
                    <w:sz w:val="20"/>
                  </w:rPr>
                  <w:t xml:space="preserve"> </w:t>
                </w:r>
                <w:r>
                  <w:rPr>
                    <w:spacing w:val="-2"/>
                    <w:sz w:val="20"/>
                  </w:rPr>
                  <w:t>105–16,</w:t>
                </w:r>
              </w:p>
            </w:txbxContent>
          </v:textbox>
          <w10:wrap anchorx="page" anchory="page"/>
        </v:shape>
      </w:pict>
    </w:r>
    <w:r>
      <w:pict>
        <v:shape id="docshape307" o:spid="_x0000_s2124" type="#_x0000_t202" style="position:absolute;margin-left:532.8pt;margin-top:758.95pt;width:16.5pt;height:12.05pt;z-index:-21197312;mso-position-horizontal-relative:page;mso-position-vertical-relative:page" filled="f" stroked="f">
          <v:textbox inset="0,0,0,0">
            <w:txbxContent>
              <w:p w:rsidR="00C76E6D" w:rsidRDefault="00913831">
                <w:pPr>
                  <w:spacing w:line="224" w:lineRule="exact"/>
                  <w:ind w:left="20"/>
                  <w:rPr>
                    <w:sz w:val="20"/>
                  </w:rPr>
                </w:pPr>
                <w:r>
                  <w:rPr>
                    <w:color w:val="1F4E79"/>
                    <w:spacing w:val="-5"/>
                    <w:sz w:val="20"/>
                  </w:rPr>
                  <w:t>135</w:t>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309" o:spid="_x0000_s2122" style="position:absolute;margin-left:63.5pt;margin-top:756pt;width:487pt;height:.5pt;z-index:-2119628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10" o:spid="_x0000_s2121" type="#_x0000_t202" style="position:absolute;margin-left:532.8pt;margin-top:758.95pt;width:16.5pt;height:12.05pt;z-index:-21195776;mso-position-horizontal-relative:page;mso-position-vertical-relative:page" filled="f" stroked="f">
          <v:textbox inset="0,0,0,0">
            <w:txbxContent>
              <w:p w:rsidR="00C76E6D" w:rsidRDefault="00913831">
                <w:pPr>
                  <w:spacing w:line="224" w:lineRule="exact"/>
                  <w:ind w:left="20"/>
                  <w:rPr>
                    <w:sz w:val="20"/>
                  </w:rPr>
                </w:pPr>
                <w:r>
                  <w:rPr>
                    <w:color w:val="1F4E79"/>
                    <w:spacing w:val="-5"/>
                    <w:sz w:val="20"/>
                  </w:rPr>
                  <w:t>136</w:t>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312" o:spid="_x0000_s2119" style="position:absolute;margin-left:70.5pt;margin-top:743.3pt;width:471pt;height:.5pt;z-index:-2119475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13" o:spid="_x0000_s2118" type="#_x0000_t202" style="position:absolute;margin-left:521.8pt;margin-top:746.2pt;width:21.5pt;height:12.05pt;z-index:-21194240;mso-position-horizontal-relative:page;mso-position-vertical-relative:page" filled="f" stroked="f">
          <v:textbox inset="0,0,0,0">
            <w:txbxContent>
              <w:p w:rsidR="00C76E6D" w:rsidRDefault="00913831">
                <w:pPr>
                  <w:spacing w:line="224" w:lineRule="exact"/>
                  <w:ind w:left="60"/>
                  <w:rPr>
                    <w:sz w:val="20"/>
                  </w:rPr>
                </w:pPr>
                <w:r>
                  <w:rPr>
                    <w:color w:val="1F3862"/>
                    <w:spacing w:val="-5"/>
                    <w:sz w:val="20"/>
                  </w:rPr>
                  <w:fldChar w:fldCharType="begin"/>
                </w:r>
                <w:r>
                  <w:rPr>
                    <w:color w:val="1F3862"/>
                    <w:spacing w:val="-5"/>
                    <w:sz w:val="20"/>
                  </w:rPr>
                  <w:instrText xml:space="preserve"> PAGE </w:instrText>
                </w:r>
                <w:r>
                  <w:rPr>
                    <w:color w:val="1F3862"/>
                    <w:spacing w:val="-5"/>
                    <w:sz w:val="20"/>
                  </w:rPr>
                  <w:fldChar w:fldCharType="separate"/>
                </w:r>
                <w:r w:rsidR="00AB50BD">
                  <w:rPr>
                    <w:noProof/>
                    <w:color w:val="1F3862"/>
                    <w:spacing w:val="-5"/>
                    <w:sz w:val="20"/>
                  </w:rPr>
                  <w:t>146</w:t>
                </w:r>
                <w:r>
                  <w:rPr>
                    <w:color w:val="1F3862"/>
                    <w:spacing w:val="-5"/>
                    <w:sz w:val="20"/>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322" o:spid="_x0000_s2116" style="position:absolute;margin-left:70.5pt;margin-top:744.05pt;width:471pt;height:.5pt;z-index:-21193216;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23" o:spid="_x0000_s2115" type="#_x0000_t202" style="position:absolute;margin-left:521.8pt;margin-top:747.05pt;width:21.5pt;height:12.05pt;z-index:-21192704;mso-position-horizontal-relative:page;mso-position-vertical-relative:page" filled="f" stroked="f">
          <v:textbox inset="0,0,0,0">
            <w:txbxContent>
              <w:p w:rsidR="00C76E6D" w:rsidRDefault="00913831">
                <w:pPr>
                  <w:spacing w:line="224" w:lineRule="exact"/>
                  <w:ind w:left="60"/>
                  <w:rPr>
                    <w:sz w:val="20"/>
                  </w:rPr>
                </w:pPr>
                <w:r>
                  <w:rPr>
                    <w:color w:val="001F5F"/>
                    <w:spacing w:val="-5"/>
                    <w:sz w:val="20"/>
                  </w:rPr>
                  <w:fldChar w:fldCharType="begin"/>
                </w:r>
                <w:r>
                  <w:rPr>
                    <w:color w:val="001F5F"/>
                    <w:spacing w:val="-5"/>
                    <w:sz w:val="20"/>
                  </w:rPr>
                  <w:instrText xml:space="preserve"> PAGE </w:instrText>
                </w:r>
                <w:r>
                  <w:rPr>
                    <w:color w:val="001F5F"/>
                    <w:spacing w:val="-5"/>
                    <w:sz w:val="20"/>
                  </w:rPr>
                  <w:fldChar w:fldCharType="separate"/>
                </w:r>
                <w:r w:rsidR="00AB50BD">
                  <w:rPr>
                    <w:noProof/>
                    <w:color w:val="001F5F"/>
                    <w:spacing w:val="-5"/>
                    <w:sz w:val="20"/>
                  </w:rPr>
                  <w:t>150</w:t>
                </w:r>
                <w:r>
                  <w:rPr>
                    <w:color w:val="001F5F"/>
                    <w:spacing w:val="-5"/>
                    <w:sz w:val="20"/>
                  </w:rP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331" o:spid="_x0000_s2113" style="position:absolute;margin-left:70.5pt;margin-top:744.05pt;width:471pt;height:.5pt;z-index:-21191680;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32" o:spid="_x0000_s2112" type="#_x0000_t202" style="position:absolute;margin-left:521.8pt;margin-top:747.05pt;width:21.5pt;height:12.05pt;z-index:-21191168;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156</w:t>
                </w:r>
                <w:r>
                  <w:rPr>
                    <w:color w:val="23405F"/>
                    <w:spacing w:val="-5"/>
                    <w:sz w:val="20"/>
                  </w:rP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339" o:spid="_x0000_s2110" style="position:absolute;margin-left:63.5pt;margin-top:756pt;width:485pt;height:.5pt;z-index:-2119014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40" o:spid="_x0000_s2109" type="#_x0000_t202" style="position:absolute;margin-left:528.8pt;margin-top:758.95pt;width:21.5pt;height:12.05pt;z-index:-21189632;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160</w:t>
                </w:r>
                <w:r>
                  <w:rPr>
                    <w:color w:val="23405F"/>
                    <w:spacing w:val="-5"/>
                    <w:sz w:val="20"/>
                  </w:rP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347" o:spid="_x0000_s2107" style="position:absolute;margin-left:70.5pt;margin-top:743.3pt;width:471pt;height:.5pt;z-index:-2118860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48" o:spid="_x0000_s2106" type="#_x0000_t202" style="position:absolute;margin-left:521.8pt;margin-top:746.2pt;width:21.5pt;height:12.05pt;z-index:-21188096;mso-position-horizontal-relative:page;mso-position-vertical-relative:page" filled="f" stroked="f">
          <v:textbox inset="0,0,0,0">
            <w:txbxContent>
              <w:p w:rsidR="00C76E6D" w:rsidRDefault="00913831">
                <w:pPr>
                  <w:spacing w:line="224" w:lineRule="exact"/>
                  <w:ind w:left="60"/>
                  <w:rPr>
                    <w:sz w:val="20"/>
                  </w:rPr>
                </w:pPr>
                <w:r>
                  <w:rPr>
                    <w:color w:val="1F4E79"/>
                    <w:spacing w:val="-5"/>
                    <w:sz w:val="20"/>
                  </w:rPr>
                  <w:fldChar w:fldCharType="begin"/>
                </w:r>
                <w:r>
                  <w:rPr>
                    <w:color w:val="1F4E79"/>
                    <w:spacing w:val="-5"/>
                    <w:sz w:val="20"/>
                  </w:rPr>
                  <w:instrText xml:space="preserve"> PAGE </w:instrText>
                </w:r>
                <w:r>
                  <w:rPr>
                    <w:color w:val="1F4E79"/>
                    <w:spacing w:val="-5"/>
                    <w:sz w:val="20"/>
                  </w:rPr>
                  <w:fldChar w:fldCharType="separate"/>
                </w:r>
                <w:r w:rsidR="00AB50BD">
                  <w:rPr>
                    <w:noProof/>
                    <w:color w:val="1F4E79"/>
                    <w:spacing w:val="-5"/>
                    <w:sz w:val="20"/>
                  </w:rPr>
                  <w:t>161</w:t>
                </w:r>
                <w:r>
                  <w:rPr>
                    <w:color w:val="1F4E79"/>
                    <w:spacing w:val="-5"/>
                    <w:sz w:val="20"/>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351" o:spid="_x0000_s2104" style="position:absolute;margin-left:70.5pt;margin-top:744.05pt;width:471pt;height:.5pt;z-index:-2118707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52" o:spid="_x0000_s2103" type="#_x0000_t202" style="position:absolute;margin-left:521.8pt;margin-top:747.05pt;width:21.5pt;height:12.05pt;z-index:-21186560;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164</w:t>
                </w:r>
                <w:r>
                  <w:rPr>
                    <w:color w:val="23405F"/>
                    <w:spacing w:val="-5"/>
                    <w:sz w:val="20"/>
                  </w:rP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359" o:spid="_x0000_s2101" style="position:absolute;margin-left:70.5pt;margin-top:744.05pt;width:471pt;height:.5pt;z-index:-21185536;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60" o:spid="_x0000_s2100" type="#_x0000_t202" style="position:absolute;margin-left:521.8pt;margin-top:747.05pt;width:21.5pt;height:12.05pt;z-index:-21185024;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175</w:t>
                </w:r>
                <w:r>
                  <w:rPr>
                    <w:color w:val="23405F"/>
                    <w:spacing w:val="-5"/>
                    <w:sz w:val="2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39" o:spid="_x0000_s2151" style="position:absolute;margin-left:70.5pt;margin-top:734.8pt;width:471pt;height:.5pt;z-index:-21211136;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0" o:spid="_x0000_s2150" type="#_x0000_t202" style="position:absolute;margin-left:526.8pt;margin-top:737.75pt;width:16.75pt;height:12.05pt;z-index:-21210624;mso-position-horizontal-relative:page;mso-position-vertical-relative:page" filled="f" stroked="f">
          <v:textbox inset="0,0,0,0">
            <w:txbxContent>
              <w:p w:rsidR="00C76E6D" w:rsidRDefault="00913831">
                <w:pPr>
                  <w:spacing w:line="224" w:lineRule="exact"/>
                  <w:ind w:left="60"/>
                  <w:rPr>
                    <w:sz w:val="20"/>
                  </w:rPr>
                </w:pPr>
                <w:r>
                  <w:rPr>
                    <w:color w:val="1F3862"/>
                    <w:spacing w:val="-5"/>
                    <w:sz w:val="20"/>
                  </w:rPr>
                  <w:fldChar w:fldCharType="begin"/>
                </w:r>
                <w:r>
                  <w:rPr>
                    <w:color w:val="1F3862"/>
                    <w:spacing w:val="-5"/>
                    <w:sz w:val="20"/>
                  </w:rPr>
                  <w:instrText xml:space="preserve"> PAGE </w:instrText>
                </w:r>
                <w:r>
                  <w:rPr>
                    <w:color w:val="1F3862"/>
                    <w:spacing w:val="-5"/>
                    <w:sz w:val="20"/>
                  </w:rPr>
                  <w:fldChar w:fldCharType="separate"/>
                </w:r>
                <w:r w:rsidR="00AB50BD">
                  <w:rPr>
                    <w:noProof/>
                    <w:color w:val="1F3862"/>
                    <w:spacing w:val="-5"/>
                    <w:sz w:val="20"/>
                  </w:rPr>
                  <w:t>17</w:t>
                </w:r>
                <w:r>
                  <w:rPr>
                    <w:color w:val="1F3862"/>
                    <w:spacing w:val="-5"/>
                    <w:sz w:val="20"/>
                  </w:rP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367" o:spid="_x0000_s2098" style="position:absolute;margin-left:63.5pt;margin-top:756pt;width:485pt;height:.5pt;z-index:-21184000;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68" o:spid="_x0000_s2097" type="#_x0000_t202" style="position:absolute;margin-left:528.8pt;margin-top:758.95pt;width:21.5pt;height:12.05pt;z-index:-21183488;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176</w:t>
                </w:r>
                <w:r>
                  <w:rPr>
                    <w:color w:val="23405F"/>
                    <w:spacing w:val="-5"/>
                    <w:sz w:val="20"/>
                  </w:rP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375" o:spid="_x0000_s2095" style="position:absolute;margin-left:63.5pt;margin-top:756pt;width:485pt;height:.5pt;z-index:-2118246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76" o:spid="_x0000_s2094" type="#_x0000_t202" style="position:absolute;margin-left:528.8pt;margin-top:758.95pt;width:21.5pt;height:12.05pt;z-index:-21181952;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179</w:t>
                </w:r>
                <w:r>
                  <w:rPr>
                    <w:color w:val="23405F"/>
                    <w:spacing w:val="-5"/>
                    <w:sz w:val="20"/>
                  </w:rP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382" o:spid="_x0000_s2092" style="position:absolute;margin-left:63.5pt;margin-top:756pt;width:485pt;height:.5pt;z-index:-2118092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83" o:spid="_x0000_s2091" type="#_x0000_t202" style="position:absolute;margin-left:528.8pt;margin-top:758.95pt;width:21.5pt;height:12.05pt;z-index:-21180416;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182</w:t>
                </w:r>
                <w:r>
                  <w:rPr>
                    <w:color w:val="23405F"/>
                    <w:spacing w:val="-5"/>
                    <w:sz w:val="20"/>
                  </w:rPr>
                  <w:fldChar w:fldCharType="end"/>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390" o:spid="_x0000_s2089" style="position:absolute;margin-left:63.5pt;margin-top:756pt;width:485pt;height:.5pt;z-index:-2117939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91" o:spid="_x0000_s2088" type="#_x0000_t202" style="position:absolute;margin-left:528.8pt;margin-top:758.95pt;width:21.5pt;height:12.05pt;z-index:-21178880;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184</w:t>
                </w:r>
                <w:r>
                  <w:rPr>
                    <w:color w:val="23405F"/>
                    <w:spacing w:val="-5"/>
                    <w:sz w:val="20"/>
                  </w:rP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398" o:spid="_x0000_s2086" style="position:absolute;margin-left:63.5pt;margin-top:751.45pt;width:485pt;height:.5pt;z-index:-21177856;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99" o:spid="_x0000_s2085" type="#_x0000_t202" style="position:absolute;margin-left:528.8pt;margin-top:754.4pt;width:21.5pt;height:12.05pt;z-index:-21177344;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187</w:t>
                </w:r>
                <w:r>
                  <w:rPr>
                    <w:color w:val="23405F"/>
                    <w:spacing w:val="-5"/>
                    <w:sz w:val="20"/>
                  </w:rPr>
                  <w:fldChar w:fldCharType="end"/>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404" o:spid="_x0000_s2083" type="#_x0000_t202" style="position:absolute;margin-left:528.8pt;margin-top:754.4pt;width:21.5pt;height:12.05pt;z-index:-21176320;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188</w:t>
                </w:r>
                <w:r>
                  <w:rPr>
                    <w:color w:val="23405F"/>
                    <w:spacing w:val="-5"/>
                    <w:sz w:val="20"/>
                  </w:rP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406" o:spid="_x0000_s2081" style="position:absolute;margin-left:63.5pt;margin-top:751.45pt;width:485pt;height:.5pt;z-index:-21175296;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07" o:spid="_x0000_s2080" type="#_x0000_t202" style="position:absolute;margin-left:528.8pt;margin-top:754.4pt;width:21.5pt;height:12.05pt;z-index:-21174784;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189</w:t>
                </w:r>
                <w:r>
                  <w:rPr>
                    <w:color w:val="23405F"/>
                    <w:spacing w:val="-5"/>
                    <w:sz w:val="20"/>
                  </w:rPr>
                  <w:fldChar w:fldCharType="end"/>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411" o:spid="_x0000_s2078" style="position:absolute;margin-left:63.5pt;margin-top:756pt;width:485pt;height:.5pt;z-index:-21173760;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12" o:spid="_x0000_s2077" type="#_x0000_t202" style="position:absolute;margin-left:528.8pt;margin-top:758.95pt;width:21.5pt;height:12.05pt;z-index:-21173248;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196</w:t>
                </w:r>
                <w:r>
                  <w:rPr>
                    <w:color w:val="23405F"/>
                    <w:spacing w:val="-5"/>
                    <w:sz w:val="20"/>
                  </w:rP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419" o:spid="_x0000_s2075" style="position:absolute;margin-left:63.5pt;margin-top:756pt;width:485pt;height:.5pt;z-index:-2117222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20" o:spid="_x0000_s2074" type="#_x0000_t202" style="position:absolute;margin-left:528.8pt;margin-top:758.95pt;width:21.5pt;height:12.05pt;z-index:-21171712;mso-position-horizontal-relative:page;mso-position-vertical-relative:page" filled="f" stroked="f">
          <v:textbox inset="0,0,0,0">
            <w:txbxContent>
              <w:p w:rsidR="00C76E6D" w:rsidRDefault="00913831">
                <w:pPr>
                  <w:spacing w:line="224" w:lineRule="exact"/>
                  <w:ind w:left="60"/>
                  <w:rPr>
                    <w:sz w:val="20"/>
                  </w:rPr>
                </w:pPr>
                <w:r>
                  <w:rPr>
                    <w:color w:val="22405F"/>
                    <w:spacing w:val="-5"/>
                    <w:sz w:val="20"/>
                  </w:rPr>
                  <w:fldChar w:fldCharType="begin"/>
                </w:r>
                <w:r>
                  <w:rPr>
                    <w:color w:val="22405F"/>
                    <w:spacing w:val="-5"/>
                    <w:sz w:val="20"/>
                  </w:rPr>
                  <w:instrText xml:space="preserve"> PAGE </w:instrText>
                </w:r>
                <w:r>
                  <w:rPr>
                    <w:color w:val="22405F"/>
                    <w:spacing w:val="-5"/>
                    <w:sz w:val="20"/>
                  </w:rPr>
                  <w:fldChar w:fldCharType="separate"/>
                </w:r>
                <w:r w:rsidR="00AB50BD">
                  <w:rPr>
                    <w:noProof/>
                    <w:color w:val="22405F"/>
                    <w:spacing w:val="-5"/>
                    <w:sz w:val="20"/>
                  </w:rPr>
                  <w:t>199</w:t>
                </w:r>
                <w:r>
                  <w:rPr>
                    <w:color w:val="22405F"/>
                    <w:spacing w:val="-5"/>
                    <w:sz w:val="20"/>
                  </w:rPr>
                  <w:fldChar w:fldCharType="end"/>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427" o:spid="_x0000_s2072" style="position:absolute;margin-left:63.5pt;margin-top:756pt;width:485pt;height:.5pt;z-index:-2117068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28" o:spid="_x0000_s2071" type="#_x0000_t202" style="position:absolute;margin-left:528.8pt;margin-top:758.95pt;width:21.5pt;height:12.05pt;z-index:-21170176;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202</w:t>
                </w:r>
                <w:r>
                  <w:rPr>
                    <w:color w:val="23405F"/>
                    <w:spacing w:val="-5"/>
                    <w:sz w:val="20"/>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229" o:spid="_x0000_s2148" style="position:absolute;margin-left:70.5pt;margin-top:742pt;width:471pt;height:.5pt;z-index:-21209600;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230" o:spid="_x0000_s2147" type="#_x0000_t202" style="position:absolute;margin-left:526.85pt;margin-top:744.95pt;width:16.75pt;height:12.05pt;z-index:-21209088;mso-position-horizontal-relative:page;mso-position-vertical-relative:page" filled="f" stroked="f">
          <v:textbox inset="0,0,0,0">
            <w:txbxContent>
              <w:p w:rsidR="00C76E6D" w:rsidRDefault="00913831">
                <w:pPr>
                  <w:spacing w:line="224" w:lineRule="exact"/>
                  <w:ind w:left="60"/>
                  <w:rPr>
                    <w:sz w:val="20"/>
                  </w:rPr>
                </w:pPr>
                <w:r>
                  <w:rPr>
                    <w:color w:val="1F3862"/>
                    <w:spacing w:val="-5"/>
                    <w:sz w:val="20"/>
                  </w:rPr>
                  <w:fldChar w:fldCharType="begin"/>
                </w:r>
                <w:r>
                  <w:rPr>
                    <w:color w:val="1F3862"/>
                    <w:spacing w:val="-5"/>
                    <w:sz w:val="20"/>
                  </w:rPr>
                  <w:instrText xml:space="preserve"> PAGE </w:instrText>
                </w:r>
                <w:r>
                  <w:rPr>
                    <w:color w:val="1F3862"/>
                    <w:spacing w:val="-5"/>
                    <w:sz w:val="20"/>
                  </w:rPr>
                  <w:fldChar w:fldCharType="separate"/>
                </w:r>
                <w:r w:rsidR="00AB50BD">
                  <w:rPr>
                    <w:noProof/>
                    <w:color w:val="1F3862"/>
                    <w:spacing w:val="-5"/>
                    <w:sz w:val="20"/>
                  </w:rPr>
                  <w:t>29</w:t>
                </w:r>
                <w:r>
                  <w:rPr>
                    <w:color w:val="1F3862"/>
                    <w:spacing w:val="-5"/>
                    <w:sz w:val="20"/>
                  </w:rPr>
                  <w:fldChar w:fldCharType="end"/>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435" o:spid="_x0000_s2069" style="position:absolute;margin-left:63.5pt;margin-top:756pt;width:485pt;height:.5pt;z-index:-2116915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36" o:spid="_x0000_s2068" type="#_x0000_t202" style="position:absolute;margin-left:528.8pt;margin-top:758.95pt;width:21.5pt;height:12.05pt;z-index:-21168640;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206</w:t>
                </w:r>
                <w:r>
                  <w:rPr>
                    <w:color w:val="23405F"/>
                    <w:spacing w:val="-5"/>
                    <w:sz w:val="20"/>
                  </w:rPr>
                  <w:fldChar w:fldCharType="end"/>
                </w:r>
              </w:p>
            </w:txbxContent>
          </v:textbox>
          <w10:wrap anchorx="page" anchory="page"/>
        </v:shape>
      </w:pic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443" o:spid="_x0000_s2066" style="position:absolute;margin-left:63.5pt;margin-top:756pt;width:485pt;height:.5pt;z-index:-21167616;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44" o:spid="_x0000_s2065" type="#_x0000_t202" style="position:absolute;margin-left:528.8pt;margin-top:758.95pt;width:21.5pt;height:12.05pt;z-index:-21167104;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209</w:t>
                </w:r>
                <w:r>
                  <w:rPr>
                    <w:color w:val="23405F"/>
                    <w:spacing w:val="-5"/>
                    <w:sz w:val="20"/>
                  </w:rPr>
                  <w:fldChar w:fldCharType="end"/>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452" o:spid="_x0000_s2063" style="position:absolute;margin-left:63.5pt;margin-top:756pt;width:485pt;height:.5pt;z-index:-21166080;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53" o:spid="_x0000_s2062" type="#_x0000_t202" style="position:absolute;margin-left:528.8pt;margin-top:758.95pt;width:21.5pt;height:12.05pt;z-index:-21165568;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213</w:t>
                </w:r>
                <w:r>
                  <w:rPr>
                    <w:color w:val="23405F"/>
                    <w:spacing w:val="-5"/>
                    <w:sz w:val="20"/>
                  </w:rPr>
                  <w:fldChar w:fldCharType="end"/>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459" o:spid="_x0000_s2060" style="position:absolute;margin-left:63.5pt;margin-top:751.45pt;width:485pt;height:.5pt;z-index:-2116454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60" o:spid="_x0000_s2059" type="#_x0000_t202" style="position:absolute;margin-left:528.8pt;margin-top:754.4pt;width:21.5pt;height:12.05pt;z-index:-21164032;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216</w:t>
                </w:r>
                <w:r>
                  <w:rPr>
                    <w:color w:val="23405F"/>
                    <w:spacing w:val="-5"/>
                    <w:sz w:val="20"/>
                  </w:rPr>
                  <w:fldChar w:fldCharType="end"/>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467" o:spid="_x0000_s2057" style="position:absolute;margin-left:63.5pt;margin-top:756pt;width:485pt;height:.5pt;z-index:-2116300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68" o:spid="_x0000_s2056" type="#_x0000_t202" style="position:absolute;margin-left:528.8pt;margin-top:758.95pt;width:21.5pt;height:12.05pt;z-index:-21162496;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219</w:t>
                </w:r>
                <w:r>
                  <w:rPr>
                    <w:color w:val="23405F"/>
                    <w:spacing w:val="-5"/>
                    <w:sz w:val="20"/>
                  </w:rPr>
                  <w:fldChar w:fldCharType="end"/>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475" o:spid="_x0000_s2054" style="position:absolute;margin-left:63.5pt;margin-top:751.45pt;width:485pt;height:.5pt;z-index:-2116147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76" o:spid="_x0000_s2053" type="#_x0000_t202" style="position:absolute;margin-left:528.8pt;margin-top:754.4pt;width:21.5pt;height:12.05pt;z-index:-21160960;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222</w:t>
                </w:r>
                <w:r>
                  <w:rPr>
                    <w:color w:val="23405F"/>
                    <w:spacing w:val="-5"/>
                    <w:sz w:val="20"/>
                  </w:rPr>
                  <w:fldChar w:fldCharType="end"/>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483" o:spid="_x0000_s2051" style="position:absolute;margin-left:63.5pt;margin-top:756pt;width:485pt;height:.5pt;z-index:-21159936;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84" o:spid="_x0000_s2050" type="#_x0000_t202" style="position:absolute;margin-left:528.8pt;margin-top:758.95pt;width:21.5pt;height:12.05pt;z-index:-21159424;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226</w:t>
                </w:r>
                <w:r>
                  <w:rPr>
                    <w:color w:val="23405F"/>
                    <w:spacing w:val="-5"/>
                    <w:sz w:val="20"/>
                  </w:rPr>
                  <w:fldChar w:fldCharType="end"/>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C76E6D">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239" o:spid="_x0000_s2145" style="position:absolute;margin-left:70.5pt;margin-top:727.75pt;width:471pt;height:.5pt;z-index:-2120806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240" o:spid="_x0000_s2144" type="#_x0000_t202" style="position:absolute;margin-left:526.85pt;margin-top:730.7pt;width:16.75pt;height:12.05pt;z-index:-21207552;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39</w:t>
                </w:r>
                <w:r>
                  <w:rPr>
                    <w:color w:val="23405F"/>
                    <w:spacing w:val="-5"/>
                    <w:sz w:val="20"/>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251" o:spid="_x0000_s2142" style="position:absolute;margin-left:70.5pt;margin-top:727.75pt;width:471pt;height:.5pt;z-index:-2120652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252" o:spid="_x0000_s2141" type="#_x0000_t202" style="position:absolute;margin-left:526.85pt;margin-top:730.7pt;width:16.75pt;height:12.05pt;z-index:-21206016;mso-position-horizontal-relative:page;mso-position-vertical-relative:page" filled="f" stroked="f">
          <v:textbox inset="0,0,0,0">
            <w:txbxContent>
              <w:p w:rsidR="00C76E6D" w:rsidRDefault="00913831">
                <w:pPr>
                  <w:spacing w:line="224" w:lineRule="exact"/>
                  <w:ind w:left="60"/>
                  <w:rPr>
                    <w:sz w:val="20"/>
                  </w:rPr>
                </w:pPr>
                <w:r>
                  <w:rPr>
                    <w:color w:val="23405F"/>
                    <w:spacing w:val="-5"/>
                    <w:sz w:val="20"/>
                  </w:rPr>
                  <w:fldChar w:fldCharType="begin"/>
                </w:r>
                <w:r>
                  <w:rPr>
                    <w:color w:val="23405F"/>
                    <w:spacing w:val="-5"/>
                    <w:sz w:val="20"/>
                  </w:rPr>
                  <w:instrText xml:space="preserve"> PAGE </w:instrText>
                </w:r>
                <w:r>
                  <w:rPr>
                    <w:color w:val="23405F"/>
                    <w:spacing w:val="-5"/>
                    <w:sz w:val="20"/>
                  </w:rPr>
                  <w:fldChar w:fldCharType="separate"/>
                </w:r>
                <w:r w:rsidR="00AB50BD">
                  <w:rPr>
                    <w:noProof/>
                    <w:color w:val="23405F"/>
                    <w:spacing w:val="-5"/>
                    <w:sz w:val="20"/>
                  </w:rPr>
                  <w:t>60</w:t>
                </w:r>
                <w:r>
                  <w:rPr>
                    <w:color w:val="23405F"/>
                    <w:spacing w:val="-5"/>
                    <w:sz w:val="20"/>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266" o:spid="_x0000_s2139" style="position:absolute;margin-left:70.5pt;margin-top:744.05pt;width:471pt;height:.5pt;z-index:-2120499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267" o:spid="_x0000_s2138" type="#_x0000_t202" style="position:absolute;margin-left:526.85pt;margin-top:747.05pt;width:16.75pt;height:12.05pt;z-index:-21204480;mso-position-horizontal-relative:page;mso-position-vertical-relative:page" filled="f" stroked="f">
          <v:textbox inset="0,0,0,0">
            <w:txbxContent>
              <w:p w:rsidR="00C76E6D" w:rsidRDefault="00913831">
                <w:pPr>
                  <w:spacing w:line="224" w:lineRule="exact"/>
                  <w:ind w:left="60"/>
                  <w:rPr>
                    <w:sz w:val="20"/>
                  </w:rPr>
                </w:pPr>
                <w:r>
                  <w:rPr>
                    <w:color w:val="22405F"/>
                    <w:spacing w:val="-5"/>
                    <w:sz w:val="20"/>
                  </w:rPr>
                  <w:fldChar w:fldCharType="begin"/>
                </w:r>
                <w:r>
                  <w:rPr>
                    <w:color w:val="22405F"/>
                    <w:spacing w:val="-5"/>
                    <w:sz w:val="20"/>
                  </w:rPr>
                  <w:instrText xml:space="preserve"> PAGE </w:instrText>
                </w:r>
                <w:r>
                  <w:rPr>
                    <w:color w:val="22405F"/>
                    <w:spacing w:val="-5"/>
                    <w:sz w:val="20"/>
                  </w:rPr>
                  <w:fldChar w:fldCharType="separate"/>
                </w:r>
                <w:r w:rsidR="00AB50BD">
                  <w:rPr>
                    <w:noProof/>
                    <w:color w:val="22405F"/>
                    <w:spacing w:val="-5"/>
                    <w:sz w:val="20"/>
                  </w:rPr>
                  <w:t>76</w:t>
                </w:r>
                <w:r>
                  <w:rPr>
                    <w:color w:val="22405F"/>
                    <w:spacing w:val="-5"/>
                    <w:sz w:val="20"/>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275" o:spid="_x0000_s2136" style="position:absolute;margin-left:70.5pt;margin-top:744.5pt;width:471pt;height:.5pt;z-index:-21203456;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276" o:spid="_x0000_s2135" type="#_x0000_t202" style="position:absolute;margin-left:521.8pt;margin-top:747.4pt;width:21.5pt;height:12.05pt;z-index:-21202944;mso-position-horizontal-relative:page;mso-position-vertical-relative:page" filled="f" stroked="f">
          <v:textbox inset="0,0,0,0">
            <w:txbxContent>
              <w:p w:rsidR="00C76E6D" w:rsidRDefault="00913831">
                <w:pPr>
                  <w:spacing w:line="224" w:lineRule="exact"/>
                  <w:ind w:left="60"/>
                  <w:rPr>
                    <w:sz w:val="20"/>
                  </w:rPr>
                </w:pPr>
                <w:r>
                  <w:rPr>
                    <w:color w:val="1F4E79"/>
                    <w:spacing w:val="-5"/>
                    <w:sz w:val="20"/>
                  </w:rPr>
                  <w:fldChar w:fldCharType="begin"/>
                </w:r>
                <w:r>
                  <w:rPr>
                    <w:color w:val="1F4E79"/>
                    <w:spacing w:val="-5"/>
                    <w:sz w:val="20"/>
                  </w:rPr>
                  <w:instrText xml:space="preserve"> PAGE </w:instrText>
                </w:r>
                <w:r>
                  <w:rPr>
                    <w:color w:val="1F4E79"/>
                    <w:spacing w:val="-5"/>
                    <w:sz w:val="20"/>
                  </w:rPr>
                  <w:fldChar w:fldCharType="separate"/>
                </w:r>
                <w:r w:rsidR="00AB50BD">
                  <w:rPr>
                    <w:noProof/>
                    <w:color w:val="1F4E79"/>
                    <w:spacing w:val="-5"/>
                    <w:sz w:val="20"/>
                  </w:rPr>
                  <w:t>103</w:t>
                </w:r>
                <w:r>
                  <w:rPr>
                    <w:color w:val="1F4E79"/>
                    <w:spacing w:val="-5"/>
                    <w:sz w:val="20"/>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285" o:spid="_x0000_s2133" style="position:absolute;margin-left:70.5pt;margin-top:742pt;width:471pt;height:.5pt;z-index:-21201920;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286" o:spid="_x0000_s2132" type="#_x0000_t202" style="position:absolute;margin-left:521.8pt;margin-top:744.95pt;width:21.5pt;height:12.05pt;z-index:-21201408;mso-position-horizontal-relative:page;mso-position-vertical-relative:page" filled="f" stroked="f">
          <v:textbox inset="0,0,0,0">
            <w:txbxContent>
              <w:p w:rsidR="00C76E6D" w:rsidRDefault="00913831">
                <w:pPr>
                  <w:spacing w:line="224" w:lineRule="exact"/>
                  <w:ind w:left="60"/>
                  <w:rPr>
                    <w:sz w:val="20"/>
                  </w:rPr>
                </w:pPr>
                <w:r>
                  <w:rPr>
                    <w:color w:val="1F3862"/>
                    <w:spacing w:val="-5"/>
                    <w:sz w:val="20"/>
                  </w:rPr>
                  <w:fldChar w:fldCharType="begin"/>
                </w:r>
                <w:r>
                  <w:rPr>
                    <w:color w:val="1F3862"/>
                    <w:spacing w:val="-5"/>
                    <w:sz w:val="20"/>
                  </w:rPr>
                  <w:instrText xml:space="preserve"> PAGE </w:instrText>
                </w:r>
                <w:r>
                  <w:rPr>
                    <w:color w:val="1F3862"/>
                    <w:spacing w:val="-5"/>
                    <w:sz w:val="20"/>
                  </w:rPr>
                  <w:fldChar w:fldCharType="separate"/>
                </w:r>
                <w:r w:rsidR="00AB50BD">
                  <w:rPr>
                    <w:noProof/>
                    <w:color w:val="1F3862"/>
                    <w:spacing w:val="-5"/>
                    <w:sz w:val="20"/>
                  </w:rPr>
                  <w:t>118</w:t>
                </w:r>
                <w:r>
                  <w:rPr>
                    <w:color w:val="1F3862"/>
                    <w:spacing w:val="-5"/>
                    <w:sz w:val="20"/>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rect id="docshape294" o:spid="_x0000_s2130" style="position:absolute;margin-left:63.5pt;margin-top:756pt;width:487pt;height:.5pt;z-index:-2120038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295" o:spid="_x0000_s2129" type="#_x0000_t202" style="position:absolute;margin-left:530.8pt;margin-top:758.95pt;width:21.5pt;height:12.05pt;z-index:-21199872;mso-position-horizontal-relative:page;mso-position-vertical-relative:page" filled="f" stroked="f">
          <v:textbox inset="0,0,0,0">
            <w:txbxContent>
              <w:p w:rsidR="00C76E6D" w:rsidRDefault="00913831">
                <w:pPr>
                  <w:spacing w:line="224" w:lineRule="exact"/>
                  <w:ind w:left="60"/>
                  <w:rPr>
                    <w:sz w:val="20"/>
                  </w:rPr>
                </w:pPr>
                <w:r>
                  <w:rPr>
                    <w:color w:val="1F4E79"/>
                    <w:spacing w:val="-5"/>
                    <w:sz w:val="20"/>
                  </w:rPr>
                  <w:fldChar w:fldCharType="begin"/>
                </w:r>
                <w:r>
                  <w:rPr>
                    <w:color w:val="1F4E79"/>
                    <w:spacing w:val="-5"/>
                    <w:sz w:val="20"/>
                  </w:rPr>
                  <w:instrText xml:space="preserve"> PAGE </w:instrText>
                </w:r>
                <w:r>
                  <w:rPr>
                    <w:color w:val="1F4E79"/>
                    <w:spacing w:val="-5"/>
                    <w:sz w:val="20"/>
                  </w:rPr>
                  <w:fldChar w:fldCharType="separate"/>
                </w:r>
                <w:r w:rsidR="00AB50BD">
                  <w:rPr>
                    <w:noProof/>
                    <w:color w:val="1F4E79"/>
                    <w:spacing w:val="-5"/>
                    <w:sz w:val="20"/>
                  </w:rPr>
                  <w:t>133</w:t>
                </w:r>
                <w:r>
                  <w:rPr>
                    <w:color w:val="1F4E79"/>
                    <w:spacing w:val="-5"/>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831" w:rsidRDefault="00913831">
      <w:r>
        <w:separator/>
      </w:r>
    </w:p>
  </w:footnote>
  <w:footnote w:type="continuationSeparator" w:id="0">
    <w:p w:rsidR="00913831" w:rsidRDefault="00913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12" o:spid="_x0000_s2158" type="#_x0000_t202" style="position:absolute;margin-left:65pt;margin-top:37.8pt;width:138.65pt;height:13pt;z-index:-21214720;mso-position-horizontal-relative:page;mso-position-vertical-relative:page" filled="f" stroked="f">
          <v:textbox inset="0,0,0,0">
            <w:txbxContent>
              <w:p w:rsidR="00C76E6D" w:rsidRDefault="00913831">
                <w:pPr>
                  <w:pStyle w:val="BodyText"/>
                  <w:spacing w:line="244" w:lineRule="exact"/>
                  <w:ind w:left="20"/>
                </w:pPr>
                <w:r>
                  <w:rPr>
                    <w:w w:val="95"/>
                  </w:rPr>
                  <w:t>FY2023</w:t>
                </w:r>
                <w:r>
                  <w:rPr>
                    <w:spacing w:val="14"/>
                  </w:rPr>
                  <w:t xml:space="preserve"> </w:t>
                </w:r>
                <w:r>
                  <w:rPr>
                    <w:spacing w:val="-2"/>
                  </w:rPr>
                  <w:t>ACKNOWLEDGEMENTS</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274" o:spid="_x0000_s2137" type="#_x0000_t202" style="position:absolute;margin-left:71.55pt;margin-top:37.75pt;width:97.75pt;height:12.05pt;z-index:-21203968;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5"/>
                    <w:sz w:val="20"/>
                  </w:rPr>
                  <w:t xml:space="preserve"> </w:t>
                </w:r>
                <w:r>
                  <w:rPr>
                    <w:spacing w:val="-2"/>
                    <w:sz w:val="20"/>
                  </w:rPr>
                  <w:t>HOMELESSNESS</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284" o:spid="_x0000_s2134" type="#_x0000_t202" style="position:absolute;margin-left:71pt;margin-top:37.45pt;width:117.5pt;height:12.05pt;z-index:-21202432;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12"/>
                    <w:sz w:val="20"/>
                  </w:rPr>
                  <w:t xml:space="preserve"> </w:t>
                </w:r>
                <w:r>
                  <w:rPr>
                    <w:sz w:val="20"/>
                  </w:rPr>
                  <w:t>ADVANCING</w:t>
                </w:r>
                <w:r>
                  <w:rPr>
                    <w:spacing w:val="-7"/>
                    <w:sz w:val="20"/>
                  </w:rPr>
                  <w:t xml:space="preserve"> </w:t>
                </w:r>
                <w:r>
                  <w:rPr>
                    <w:spacing w:val="-2"/>
                    <w:sz w:val="20"/>
                  </w:rPr>
                  <w:t>JUSTICE</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293" o:spid="_x0000_s2131" type="#_x0000_t202" style="position:absolute;margin-left:64.95pt;margin-top:39.1pt;width:64.7pt;height:12.05pt;z-index:-21200896;mso-position-horizontal-relative:page;mso-position-vertical-relative:page" filled="f" stroked="f">
          <v:textbox inset="0,0,0,0">
            <w:txbxContent>
              <w:p w:rsidR="00C76E6D" w:rsidRDefault="00913831">
                <w:pPr>
                  <w:spacing w:line="224" w:lineRule="exact"/>
                  <w:ind w:left="20"/>
                  <w:rPr>
                    <w:sz w:val="20"/>
                  </w:rPr>
                </w:pPr>
                <w:r>
                  <w:rPr>
                    <w:spacing w:val="-2"/>
                    <w:sz w:val="20"/>
                  </w:rPr>
                  <w:t>FY2023</w:t>
                </w:r>
                <w:r>
                  <w:rPr>
                    <w:spacing w:val="-8"/>
                    <w:sz w:val="20"/>
                  </w:rPr>
                  <w:t xml:space="preserve"> </w:t>
                </w:r>
                <w:r>
                  <w:rPr>
                    <w:spacing w:val="-2"/>
                    <w:sz w:val="20"/>
                  </w:rPr>
                  <w:t>HEALTH</w:t>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302" o:spid="_x0000_s2128" type="#_x0000_t202" style="position:absolute;margin-left:64.95pt;margin-top:39.1pt;width:64.7pt;height:12.05pt;z-index:-21199360;mso-position-horizontal-relative:page;mso-position-vertical-relative:page" filled="f" stroked="f">
          <v:textbox inset="0,0,0,0">
            <w:txbxContent>
              <w:p w:rsidR="00C76E6D" w:rsidRDefault="00913831">
                <w:pPr>
                  <w:spacing w:line="224" w:lineRule="exact"/>
                  <w:ind w:left="20"/>
                  <w:rPr>
                    <w:sz w:val="20"/>
                  </w:rPr>
                </w:pPr>
                <w:r>
                  <w:rPr>
                    <w:spacing w:val="-2"/>
                    <w:sz w:val="20"/>
                  </w:rPr>
                  <w:t>FY2023</w:t>
                </w:r>
                <w:r>
                  <w:rPr>
                    <w:spacing w:val="-8"/>
                    <w:sz w:val="20"/>
                  </w:rPr>
                  <w:t xml:space="preserve"> </w:t>
                </w:r>
                <w:r>
                  <w:rPr>
                    <w:spacing w:val="-2"/>
                    <w:sz w:val="20"/>
                  </w:rPr>
                  <w:t>HEALTH</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304" o:spid="_x0000_s2127" type="#_x0000_t202" style="position:absolute;margin-left:64.95pt;margin-top:39.1pt;width:64.7pt;height:12.05pt;z-index:-21198848;mso-position-horizontal-relative:page;mso-position-vertical-relative:page" filled="f" stroked="f">
          <v:textbox inset="0,0,0,0">
            <w:txbxContent>
              <w:p w:rsidR="00C76E6D" w:rsidRDefault="00913831">
                <w:pPr>
                  <w:spacing w:line="224" w:lineRule="exact"/>
                  <w:ind w:left="20"/>
                  <w:rPr>
                    <w:sz w:val="20"/>
                  </w:rPr>
                </w:pPr>
                <w:r>
                  <w:rPr>
                    <w:spacing w:val="-2"/>
                    <w:sz w:val="20"/>
                  </w:rPr>
                  <w:t>FY2023</w:t>
                </w:r>
                <w:r>
                  <w:rPr>
                    <w:spacing w:val="-8"/>
                    <w:sz w:val="20"/>
                  </w:rPr>
                  <w:t xml:space="preserve"> </w:t>
                </w:r>
                <w:r>
                  <w:rPr>
                    <w:spacing w:val="-2"/>
                    <w:sz w:val="20"/>
                  </w:rPr>
                  <w:t>HEALTH</w:t>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308" o:spid="_x0000_s2123" type="#_x0000_t202" style="position:absolute;margin-left:64.95pt;margin-top:39.1pt;width:64.7pt;height:12.05pt;z-index:-21196800;mso-position-horizontal-relative:page;mso-position-vertical-relative:page" filled="f" stroked="f">
          <v:textbox inset="0,0,0,0">
            <w:txbxContent>
              <w:p w:rsidR="00C76E6D" w:rsidRDefault="00913831">
                <w:pPr>
                  <w:spacing w:line="224" w:lineRule="exact"/>
                  <w:ind w:left="20"/>
                  <w:rPr>
                    <w:sz w:val="20"/>
                  </w:rPr>
                </w:pPr>
                <w:r>
                  <w:rPr>
                    <w:spacing w:val="-2"/>
                    <w:sz w:val="20"/>
                  </w:rPr>
                  <w:t>FY2023</w:t>
                </w:r>
                <w:r>
                  <w:rPr>
                    <w:spacing w:val="-8"/>
                    <w:sz w:val="20"/>
                  </w:rPr>
                  <w:t xml:space="preserve"> </w:t>
                </w:r>
                <w:r>
                  <w:rPr>
                    <w:spacing w:val="-2"/>
                    <w:sz w:val="20"/>
                  </w:rPr>
                  <w:t>HEALTH</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311" o:spid="_x0000_s2120" type="#_x0000_t202" style="position:absolute;margin-left:71pt;margin-top:37.45pt;width:128.8pt;height:12.05pt;z-index:-21195264;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7"/>
                    <w:sz w:val="20"/>
                  </w:rPr>
                  <w:t xml:space="preserve"> </w:t>
                </w:r>
                <w:r>
                  <w:rPr>
                    <w:sz w:val="20"/>
                  </w:rPr>
                  <w:t>SEXUAL</w:t>
                </w:r>
                <w:r>
                  <w:rPr>
                    <w:spacing w:val="-7"/>
                    <w:sz w:val="20"/>
                  </w:rPr>
                  <w:t xml:space="preserve"> </w:t>
                </w:r>
                <w:r>
                  <w:rPr>
                    <w:spacing w:val="-2"/>
                    <w:sz w:val="20"/>
                  </w:rPr>
                  <w:t>VICTIMIZATION</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321" o:spid="_x0000_s2117" type="#_x0000_t202" style="position:absolute;margin-left:71pt;margin-top:37.45pt;width:184.85pt;height:12.05pt;z-index:-21193728;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12"/>
                    <w:sz w:val="20"/>
                  </w:rPr>
                  <w:t xml:space="preserve"> </w:t>
                </w:r>
                <w:r>
                  <w:rPr>
                    <w:sz w:val="20"/>
                  </w:rPr>
                  <w:t>AGENCY</w:t>
                </w:r>
                <w:r>
                  <w:rPr>
                    <w:spacing w:val="-7"/>
                    <w:sz w:val="20"/>
                  </w:rPr>
                  <w:t xml:space="preserve"> </w:t>
                </w:r>
                <w:r>
                  <w:rPr>
                    <w:sz w:val="20"/>
                  </w:rPr>
                  <w:t>RECOMMENDATIONS</w:t>
                </w:r>
                <w:r>
                  <w:rPr>
                    <w:spacing w:val="-10"/>
                    <w:sz w:val="20"/>
                  </w:rPr>
                  <w:t xml:space="preserve"> </w:t>
                </w:r>
                <w:r>
                  <w:rPr>
                    <w:sz w:val="20"/>
                  </w:rPr>
                  <w:t>-</w:t>
                </w:r>
                <w:r>
                  <w:rPr>
                    <w:spacing w:val="-7"/>
                    <w:sz w:val="20"/>
                  </w:rPr>
                  <w:t xml:space="preserve"> </w:t>
                </w:r>
                <w:r>
                  <w:rPr>
                    <w:spacing w:val="-4"/>
                    <w:sz w:val="20"/>
                  </w:rPr>
                  <w:t>DEEC</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330" o:spid="_x0000_s2114" type="#_x0000_t202" style="position:absolute;margin-left:71pt;margin-top:37.45pt;width:184.1pt;height:12.05pt;z-index:-21192192;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12"/>
                    <w:sz w:val="20"/>
                  </w:rPr>
                  <w:t xml:space="preserve"> </w:t>
                </w:r>
                <w:r>
                  <w:rPr>
                    <w:sz w:val="20"/>
                  </w:rPr>
                  <w:t>AGENCY</w:t>
                </w:r>
                <w:r>
                  <w:rPr>
                    <w:spacing w:val="-7"/>
                    <w:sz w:val="20"/>
                  </w:rPr>
                  <w:t xml:space="preserve"> </w:t>
                </w:r>
                <w:r>
                  <w:rPr>
                    <w:sz w:val="20"/>
                  </w:rPr>
                  <w:t>RECOMMENDATIONS</w:t>
                </w:r>
                <w:r>
                  <w:rPr>
                    <w:spacing w:val="-10"/>
                    <w:sz w:val="20"/>
                  </w:rPr>
                  <w:t xml:space="preserve"> </w:t>
                </w:r>
                <w:r>
                  <w:rPr>
                    <w:sz w:val="20"/>
                  </w:rPr>
                  <w:t>-</w:t>
                </w:r>
                <w:r>
                  <w:rPr>
                    <w:spacing w:val="-7"/>
                    <w:sz w:val="20"/>
                  </w:rPr>
                  <w:t xml:space="preserve"> </w:t>
                </w:r>
                <w:r>
                  <w:rPr>
                    <w:spacing w:val="-4"/>
                    <w:sz w:val="20"/>
                  </w:rPr>
                  <w:t>DESE</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338" o:spid="_x0000_s2111" type="#_x0000_t202" style="position:absolute;margin-left:64.05pt;margin-top:40.6pt;width:179.8pt;height:12.05pt;z-index:-21190656;mso-position-horizontal-relative:page;mso-position-vertical-relative:page" filled="f" stroked="f">
          <v:textbox inset="0,0,0,0">
            <w:txbxContent>
              <w:p w:rsidR="00C76E6D" w:rsidRDefault="00913831">
                <w:pPr>
                  <w:spacing w:line="224" w:lineRule="exact"/>
                  <w:ind w:left="20"/>
                  <w:rPr>
                    <w:sz w:val="20"/>
                  </w:rPr>
                </w:pPr>
                <w:r>
                  <w:rPr>
                    <w:spacing w:val="-2"/>
                    <w:sz w:val="20"/>
                  </w:rPr>
                  <w:t>FY2023</w:t>
                </w:r>
                <w:r>
                  <w:rPr>
                    <w:spacing w:val="-3"/>
                    <w:sz w:val="20"/>
                  </w:rPr>
                  <w:t xml:space="preserve"> </w:t>
                </w:r>
                <w:r>
                  <w:rPr>
                    <w:spacing w:val="-2"/>
                    <w:sz w:val="20"/>
                  </w:rPr>
                  <w:t>AGENCY</w:t>
                </w:r>
                <w:r>
                  <w:rPr>
                    <w:spacing w:val="-3"/>
                    <w:sz w:val="20"/>
                  </w:rPr>
                  <w:t xml:space="preserve"> </w:t>
                </w:r>
                <w:r>
                  <w:rPr>
                    <w:spacing w:val="-2"/>
                    <w:sz w:val="20"/>
                  </w:rPr>
                  <w:t>RECOMMENDATIONS</w:t>
                </w:r>
                <w:r>
                  <w:rPr>
                    <w:spacing w:val="-1"/>
                    <w:sz w:val="20"/>
                  </w:rPr>
                  <w:t xml:space="preserve"> </w:t>
                </w:r>
                <w:r>
                  <w:rPr>
                    <w:spacing w:val="-2"/>
                    <w:sz w:val="20"/>
                  </w:rPr>
                  <w:t>-</w:t>
                </w:r>
                <w:r>
                  <w:rPr>
                    <w:sz w:val="20"/>
                  </w:rPr>
                  <w:t xml:space="preserve"> </w:t>
                </w:r>
                <w:r>
                  <w:rPr>
                    <w:spacing w:val="-5"/>
                    <w:sz w:val="20"/>
                  </w:rPr>
                  <w:t>DHE</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13" o:spid="_x0000_s2157" type="#_x0000_t202" style="position:absolute;margin-left:71pt;margin-top:36.95pt;width:142.8pt;height:12.05pt;z-index:-21214208;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4"/>
                    <w:sz w:val="20"/>
                  </w:rPr>
                  <w:t xml:space="preserve"> </w:t>
                </w:r>
                <w:r>
                  <w:rPr>
                    <w:sz w:val="20"/>
                  </w:rPr>
                  <w:t>LETTER</w:t>
                </w:r>
                <w:r>
                  <w:rPr>
                    <w:spacing w:val="-3"/>
                    <w:sz w:val="20"/>
                  </w:rPr>
                  <w:t xml:space="preserve"> </w:t>
                </w:r>
                <w:r>
                  <w:rPr>
                    <w:sz w:val="20"/>
                  </w:rPr>
                  <w:t>FROM</w:t>
                </w:r>
                <w:r>
                  <w:rPr>
                    <w:spacing w:val="-3"/>
                    <w:sz w:val="20"/>
                  </w:rPr>
                  <w:t xml:space="preserve"> </w:t>
                </w:r>
                <w:r>
                  <w:rPr>
                    <w:spacing w:val="-2"/>
                    <w:sz w:val="20"/>
                  </w:rPr>
                  <w:t>LEADERSHIP</w:t>
                </w: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346" o:spid="_x0000_s2108" type="#_x0000_t202" style="position:absolute;margin-left:71pt;margin-top:38.55pt;width:191.15pt;height:12.05pt;z-index:-21189120;mso-position-horizontal-relative:page;mso-position-vertical-relative:page" filled="f" stroked="f">
          <v:textbox inset="0,0,0,0">
            <w:txbxContent>
              <w:p w:rsidR="00C76E6D" w:rsidRDefault="00913831">
                <w:pPr>
                  <w:spacing w:line="224" w:lineRule="exact"/>
                  <w:ind w:left="20"/>
                  <w:rPr>
                    <w:sz w:val="20"/>
                  </w:rPr>
                </w:pPr>
                <w:r>
                  <w:rPr>
                    <w:spacing w:val="-2"/>
                    <w:sz w:val="20"/>
                  </w:rPr>
                  <w:t>FY2023</w:t>
                </w:r>
                <w:r>
                  <w:rPr>
                    <w:spacing w:val="-3"/>
                    <w:sz w:val="20"/>
                  </w:rPr>
                  <w:t xml:space="preserve"> </w:t>
                </w:r>
                <w:r>
                  <w:rPr>
                    <w:spacing w:val="-2"/>
                    <w:sz w:val="20"/>
                  </w:rPr>
                  <w:t>AGENCY</w:t>
                </w:r>
                <w:r>
                  <w:rPr>
                    <w:spacing w:val="-3"/>
                    <w:sz w:val="20"/>
                  </w:rPr>
                  <w:t xml:space="preserve"> </w:t>
                </w:r>
                <w:r>
                  <w:rPr>
                    <w:spacing w:val="-2"/>
                    <w:sz w:val="20"/>
                  </w:rPr>
                  <w:t>RECOMMENDATIONS</w:t>
                </w:r>
                <w:r>
                  <w:rPr>
                    <w:spacing w:val="-1"/>
                    <w:sz w:val="20"/>
                  </w:rPr>
                  <w:t xml:space="preserve"> </w:t>
                </w:r>
                <w:r>
                  <w:rPr>
                    <w:spacing w:val="-2"/>
                    <w:sz w:val="20"/>
                  </w:rPr>
                  <w:t>-</w:t>
                </w:r>
                <w:r>
                  <w:rPr>
                    <w:sz w:val="20"/>
                  </w:rPr>
                  <w:t xml:space="preserve"> </w:t>
                </w:r>
                <w:r>
                  <w:rPr>
                    <w:spacing w:val="-4"/>
                    <w:sz w:val="20"/>
                  </w:rPr>
                  <w:t>EOHHS</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350" o:spid="_x0000_s2105" type="#_x0000_t202" style="position:absolute;margin-left:71pt;margin-top:37.45pt;width:180.05pt;height:12.05pt;z-index:-21187584;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12"/>
                    <w:sz w:val="20"/>
                  </w:rPr>
                  <w:t xml:space="preserve"> </w:t>
                </w:r>
                <w:r>
                  <w:rPr>
                    <w:sz w:val="20"/>
                  </w:rPr>
                  <w:t>AGENCY</w:t>
                </w:r>
                <w:r>
                  <w:rPr>
                    <w:spacing w:val="-7"/>
                    <w:sz w:val="20"/>
                  </w:rPr>
                  <w:t xml:space="preserve"> </w:t>
                </w:r>
                <w:r>
                  <w:rPr>
                    <w:sz w:val="20"/>
                  </w:rPr>
                  <w:t>RECOMMENDATIONS</w:t>
                </w:r>
                <w:r>
                  <w:rPr>
                    <w:spacing w:val="-10"/>
                    <w:sz w:val="20"/>
                  </w:rPr>
                  <w:t xml:space="preserve"> </w:t>
                </w:r>
                <w:r>
                  <w:rPr>
                    <w:sz w:val="20"/>
                  </w:rPr>
                  <w:t>-</w:t>
                </w:r>
                <w:r>
                  <w:rPr>
                    <w:spacing w:val="-7"/>
                    <w:sz w:val="20"/>
                  </w:rPr>
                  <w:t xml:space="preserve"> </w:t>
                </w:r>
                <w:r>
                  <w:rPr>
                    <w:spacing w:val="-5"/>
                    <w:sz w:val="20"/>
                  </w:rPr>
                  <w:t>DCF</w:t>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358" o:spid="_x0000_s2102" type="#_x0000_t202" style="position:absolute;margin-left:71pt;margin-top:37.45pt;width:181.6pt;height:12.05pt;z-index:-21186048;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12"/>
                    <w:sz w:val="20"/>
                  </w:rPr>
                  <w:t xml:space="preserve"> </w:t>
                </w:r>
                <w:r>
                  <w:rPr>
                    <w:sz w:val="20"/>
                  </w:rPr>
                  <w:t>AGENCY</w:t>
                </w:r>
                <w:r>
                  <w:rPr>
                    <w:spacing w:val="-7"/>
                    <w:sz w:val="20"/>
                  </w:rPr>
                  <w:t xml:space="preserve"> </w:t>
                </w:r>
                <w:r>
                  <w:rPr>
                    <w:sz w:val="20"/>
                  </w:rPr>
                  <w:t>RECOMMENDATIONS</w:t>
                </w:r>
                <w:r>
                  <w:rPr>
                    <w:spacing w:val="-9"/>
                    <w:sz w:val="20"/>
                  </w:rPr>
                  <w:t xml:space="preserve"> </w:t>
                </w:r>
                <w:r>
                  <w:rPr>
                    <w:sz w:val="20"/>
                  </w:rPr>
                  <w:t>-</w:t>
                </w:r>
                <w:r>
                  <w:rPr>
                    <w:spacing w:val="-8"/>
                    <w:sz w:val="20"/>
                  </w:rPr>
                  <w:t xml:space="preserve"> </w:t>
                </w:r>
                <w:r>
                  <w:rPr>
                    <w:spacing w:val="-5"/>
                    <w:sz w:val="20"/>
                  </w:rPr>
                  <w:t>OCA</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366" o:spid="_x0000_s2099" type="#_x0000_t202" style="position:absolute;margin-left:64.05pt;margin-top:40.6pt;width:181.55pt;height:12.05pt;z-index:-21184512;mso-position-horizontal-relative:page;mso-position-vertical-relative:page" filled="f" stroked="f">
          <v:textbox inset="0,0,0,0">
            <w:txbxContent>
              <w:p w:rsidR="00C76E6D" w:rsidRDefault="00913831">
                <w:pPr>
                  <w:spacing w:line="224" w:lineRule="exact"/>
                  <w:ind w:left="20"/>
                  <w:rPr>
                    <w:sz w:val="20"/>
                  </w:rPr>
                </w:pPr>
                <w:r>
                  <w:rPr>
                    <w:spacing w:val="-2"/>
                    <w:sz w:val="20"/>
                  </w:rPr>
                  <w:t>FY2023</w:t>
                </w:r>
                <w:r>
                  <w:rPr>
                    <w:spacing w:val="-3"/>
                    <w:sz w:val="20"/>
                  </w:rPr>
                  <w:t xml:space="preserve"> </w:t>
                </w:r>
                <w:r>
                  <w:rPr>
                    <w:spacing w:val="-2"/>
                    <w:sz w:val="20"/>
                  </w:rPr>
                  <w:t>AGENCY</w:t>
                </w:r>
                <w:r>
                  <w:rPr>
                    <w:spacing w:val="-3"/>
                    <w:sz w:val="20"/>
                  </w:rPr>
                  <w:t xml:space="preserve"> </w:t>
                </w:r>
                <w:r>
                  <w:rPr>
                    <w:spacing w:val="-2"/>
                    <w:sz w:val="20"/>
                  </w:rPr>
                  <w:t>RECOMMENDATIONS</w:t>
                </w:r>
                <w:r>
                  <w:rPr>
                    <w:spacing w:val="-1"/>
                    <w:sz w:val="20"/>
                  </w:rPr>
                  <w:t xml:space="preserve"> </w:t>
                </w:r>
                <w:r>
                  <w:rPr>
                    <w:spacing w:val="-2"/>
                    <w:sz w:val="20"/>
                  </w:rPr>
                  <w:t>-</w:t>
                </w:r>
                <w:r>
                  <w:rPr>
                    <w:sz w:val="20"/>
                  </w:rPr>
                  <w:t xml:space="preserve"> </w:t>
                </w:r>
                <w:r>
                  <w:rPr>
                    <w:spacing w:val="-5"/>
                    <w:sz w:val="20"/>
                  </w:rPr>
                  <w:t>MCB</w:t>
                </w:r>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374" o:spid="_x0000_s2096" type="#_x0000_t202" style="position:absolute;margin-left:64.05pt;margin-top:40.6pt;width:194.45pt;height:12.05pt;z-index:-21182976;mso-position-horizontal-relative:page;mso-position-vertical-relative:page" filled="f" stroked="f">
          <v:textbox inset="0,0,0,0">
            <w:txbxContent>
              <w:p w:rsidR="00C76E6D" w:rsidRDefault="00913831">
                <w:pPr>
                  <w:spacing w:line="224" w:lineRule="exact"/>
                  <w:ind w:left="20"/>
                  <w:rPr>
                    <w:sz w:val="20"/>
                  </w:rPr>
                </w:pPr>
                <w:r>
                  <w:rPr>
                    <w:spacing w:val="-2"/>
                    <w:sz w:val="20"/>
                  </w:rPr>
                  <w:t>FY</w:t>
                </w:r>
                <w:r>
                  <w:rPr>
                    <w:spacing w:val="-2"/>
                    <w:sz w:val="20"/>
                  </w:rPr>
                  <w:t>2023</w:t>
                </w:r>
                <w:r>
                  <w:rPr>
                    <w:spacing w:val="-3"/>
                    <w:sz w:val="20"/>
                  </w:rPr>
                  <w:t xml:space="preserve"> </w:t>
                </w:r>
                <w:r>
                  <w:rPr>
                    <w:spacing w:val="-2"/>
                    <w:sz w:val="20"/>
                  </w:rPr>
                  <w:t>AGENCY</w:t>
                </w:r>
                <w:r>
                  <w:rPr>
                    <w:spacing w:val="-3"/>
                    <w:sz w:val="20"/>
                  </w:rPr>
                  <w:t xml:space="preserve"> </w:t>
                </w:r>
                <w:r>
                  <w:rPr>
                    <w:spacing w:val="-2"/>
                    <w:sz w:val="20"/>
                  </w:rPr>
                  <w:t>RECOMMENDATIONS</w:t>
                </w:r>
                <w:r>
                  <w:rPr>
                    <w:spacing w:val="-1"/>
                    <w:sz w:val="20"/>
                  </w:rPr>
                  <w:t xml:space="preserve"> </w:t>
                </w:r>
                <w:r>
                  <w:rPr>
                    <w:spacing w:val="-2"/>
                    <w:sz w:val="20"/>
                  </w:rPr>
                  <w:t>-</w:t>
                </w:r>
                <w:r>
                  <w:rPr>
                    <w:sz w:val="20"/>
                  </w:rPr>
                  <w:t xml:space="preserve"> </w:t>
                </w:r>
                <w:r>
                  <w:rPr>
                    <w:spacing w:val="-4"/>
                    <w:sz w:val="20"/>
                  </w:rPr>
                  <w:t>MCDHH</w:t>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381" o:spid="_x0000_s2093" type="#_x0000_t202" style="position:absolute;margin-left:64.05pt;margin-top:40.6pt;width:181.8pt;height:12.05pt;z-index:-21181440;mso-position-horizontal-relative:page;mso-position-vertical-relative:page" filled="f" stroked="f">
          <v:textbox inset="0,0,0,0">
            <w:txbxContent>
              <w:p w:rsidR="00C76E6D" w:rsidRDefault="00913831">
                <w:pPr>
                  <w:spacing w:line="224" w:lineRule="exact"/>
                  <w:ind w:left="20"/>
                  <w:rPr>
                    <w:sz w:val="20"/>
                  </w:rPr>
                </w:pPr>
                <w:r>
                  <w:rPr>
                    <w:spacing w:val="-2"/>
                    <w:sz w:val="20"/>
                  </w:rPr>
                  <w:t>FY2023</w:t>
                </w:r>
                <w:r>
                  <w:rPr>
                    <w:spacing w:val="-3"/>
                    <w:sz w:val="20"/>
                  </w:rPr>
                  <w:t xml:space="preserve"> </w:t>
                </w:r>
                <w:r>
                  <w:rPr>
                    <w:spacing w:val="-2"/>
                    <w:sz w:val="20"/>
                  </w:rPr>
                  <w:t>AGENCY</w:t>
                </w:r>
                <w:r>
                  <w:rPr>
                    <w:spacing w:val="-3"/>
                    <w:sz w:val="20"/>
                  </w:rPr>
                  <w:t xml:space="preserve"> </w:t>
                </w:r>
                <w:r>
                  <w:rPr>
                    <w:spacing w:val="-2"/>
                    <w:sz w:val="20"/>
                  </w:rPr>
                  <w:t>RECOMMENDATIONS</w:t>
                </w:r>
                <w:r>
                  <w:rPr>
                    <w:spacing w:val="-1"/>
                    <w:sz w:val="20"/>
                  </w:rPr>
                  <w:t xml:space="preserve"> </w:t>
                </w:r>
                <w:r>
                  <w:rPr>
                    <w:spacing w:val="-2"/>
                    <w:sz w:val="20"/>
                  </w:rPr>
                  <w:t>-</w:t>
                </w:r>
                <w:r>
                  <w:rPr>
                    <w:sz w:val="20"/>
                  </w:rPr>
                  <w:t xml:space="preserve"> </w:t>
                </w:r>
                <w:r>
                  <w:rPr>
                    <w:spacing w:val="-5"/>
                    <w:sz w:val="20"/>
                  </w:rPr>
                  <w:t>MRC</w:t>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389" o:spid="_x0000_s2090" type="#_x0000_t202" style="position:absolute;margin-left:64.05pt;margin-top:40.6pt;width:183.1pt;height:12.05pt;z-index:-21179904;mso-position-horizontal-relative:page;mso-position-vertical-relative:page" filled="f" stroked="f">
          <v:textbox inset="0,0,0,0">
            <w:txbxContent>
              <w:p w:rsidR="00C76E6D" w:rsidRDefault="00913831">
                <w:pPr>
                  <w:spacing w:line="224" w:lineRule="exact"/>
                  <w:ind w:left="20"/>
                  <w:rPr>
                    <w:sz w:val="20"/>
                  </w:rPr>
                </w:pPr>
                <w:r>
                  <w:rPr>
                    <w:spacing w:val="-2"/>
                    <w:sz w:val="20"/>
                  </w:rPr>
                  <w:t>FY2023</w:t>
                </w:r>
                <w:r>
                  <w:rPr>
                    <w:spacing w:val="-3"/>
                    <w:sz w:val="20"/>
                  </w:rPr>
                  <w:t xml:space="preserve"> </w:t>
                </w:r>
                <w:r>
                  <w:rPr>
                    <w:spacing w:val="-2"/>
                    <w:sz w:val="20"/>
                  </w:rPr>
                  <w:t>AGENCY</w:t>
                </w:r>
                <w:r>
                  <w:rPr>
                    <w:spacing w:val="-3"/>
                    <w:sz w:val="20"/>
                  </w:rPr>
                  <w:t xml:space="preserve"> </w:t>
                </w:r>
                <w:r>
                  <w:rPr>
                    <w:spacing w:val="-2"/>
                    <w:sz w:val="20"/>
                  </w:rPr>
                  <w:t>RECOMMENDATIONS</w:t>
                </w:r>
                <w:r>
                  <w:rPr>
                    <w:spacing w:val="-1"/>
                    <w:sz w:val="20"/>
                  </w:rPr>
                  <w:t xml:space="preserve"> </w:t>
                </w:r>
                <w:r>
                  <w:rPr>
                    <w:spacing w:val="-2"/>
                    <w:sz w:val="20"/>
                  </w:rPr>
                  <w:t>-</w:t>
                </w:r>
                <w:r>
                  <w:rPr>
                    <w:sz w:val="20"/>
                  </w:rPr>
                  <w:t xml:space="preserve"> </w:t>
                </w:r>
                <w:r>
                  <w:rPr>
                    <w:spacing w:val="-5"/>
                    <w:sz w:val="20"/>
                  </w:rPr>
                  <w:t>DMH</w:t>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397" o:spid="_x0000_s2087" type="#_x0000_t202" style="position:absolute;margin-left:64.05pt;margin-top:39.9pt;width:197.9pt;height:13pt;z-index:-21178368;mso-position-horizontal-relative:page;mso-position-vertical-relative:page" filled="f" stroked="f">
          <v:textbox inset="0,0,0,0">
            <w:txbxContent>
              <w:p w:rsidR="00C76E6D" w:rsidRDefault="00913831">
                <w:pPr>
                  <w:pStyle w:val="BodyText"/>
                  <w:spacing w:line="244" w:lineRule="exact"/>
                  <w:ind w:left="20"/>
                </w:pPr>
                <w:r>
                  <w:rPr>
                    <w:w w:val="95"/>
                  </w:rPr>
                  <w:t>FY2023</w:t>
                </w:r>
                <w:r>
                  <w:rPr>
                    <w:spacing w:val="17"/>
                  </w:rPr>
                  <w:t xml:space="preserve"> </w:t>
                </w:r>
                <w:r>
                  <w:rPr>
                    <w:w w:val="95"/>
                  </w:rPr>
                  <w:t>AGENCY</w:t>
                </w:r>
                <w:r>
                  <w:rPr>
                    <w:spacing w:val="17"/>
                  </w:rPr>
                  <w:t xml:space="preserve"> </w:t>
                </w:r>
                <w:r>
                  <w:rPr>
                    <w:w w:val="95"/>
                  </w:rPr>
                  <w:t>RECOMMENDATIONS</w:t>
                </w:r>
                <w:r>
                  <w:rPr>
                    <w:spacing w:val="21"/>
                  </w:rPr>
                  <w:t xml:space="preserve"> </w:t>
                </w:r>
                <w:r>
                  <w:rPr>
                    <w:w w:val="95"/>
                  </w:rPr>
                  <w:t>-</w:t>
                </w:r>
                <w:r>
                  <w:rPr>
                    <w:spacing w:val="25"/>
                  </w:rPr>
                  <w:t xml:space="preserve"> </w:t>
                </w:r>
                <w:r>
                  <w:rPr>
                    <w:spacing w:val="-5"/>
                    <w:w w:val="95"/>
                  </w:rPr>
                  <w:t>DPH</w:t>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403" o:spid="_x0000_s2084" type="#_x0000_t202" style="position:absolute;margin-left:64.05pt;margin-top:39.9pt;width:197.9pt;height:13pt;z-index:-21176832;mso-position-horizontal-relative:page;mso-position-vertical-relative:page" filled="f" stroked="f">
          <v:textbox inset="0,0,0,0">
            <w:txbxContent>
              <w:p w:rsidR="00C76E6D" w:rsidRDefault="00913831">
                <w:pPr>
                  <w:pStyle w:val="BodyText"/>
                  <w:spacing w:line="244" w:lineRule="exact"/>
                  <w:ind w:left="20"/>
                </w:pPr>
                <w:r>
                  <w:rPr>
                    <w:w w:val="95"/>
                  </w:rPr>
                  <w:t>FY2023</w:t>
                </w:r>
                <w:r>
                  <w:rPr>
                    <w:spacing w:val="17"/>
                  </w:rPr>
                  <w:t xml:space="preserve"> </w:t>
                </w:r>
                <w:r>
                  <w:rPr>
                    <w:w w:val="95"/>
                  </w:rPr>
                  <w:t>AGENCY</w:t>
                </w:r>
                <w:r>
                  <w:rPr>
                    <w:spacing w:val="17"/>
                  </w:rPr>
                  <w:t xml:space="preserve"> </w:t>
                </w:r>
                <w:r>
                  <w:rPr>
                    <w:w w:val="95"/>
                  </w:rPr>
                  <w:t>RECOMMENDATIONS</w:t>
                </w:r>
                <w:r>
                  <w:rPr>
                    <w:spacing w:val="21"/>
                  </w:rPr>
                  <w:t xml:space="preserve"> </w:t>
                </w:r>
                <w:r>
                  <w:rPr>
                    <w:w w:val="95"/>
                  </w:rPr>
                  <w:t>-</w:t>
                </w:r>
                <w:r>
                  <w:rPr>
                    <w:spacing w:val="25"/>
                  </w:rPr>
                  <w:t xml:space="preserve"> </w:t>
                </w:r>
                <w:r>
                  <w:rPr>
                    <w:spacing w:val="-5"/>
                    <w:w w:val="95"/>
                  </w:rPr>
                  <w:t>DPH</w:t>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405" o:spid="_x0000_s2082" type="#_x0000_t202" style="position:absolute;margin-left:64.05pt;margin-top:40.6pt;width:179.85pt;height:12.05pt;z-index:-21175808;mso-position-horizontal-relative:page;mso-position-vertical-relative:page" filled="f" stroked="f">
          <v:textbox inset="0,0,0,0">
            <w:txbxContent>
              <w:p w:rsidR="00C76E6D" w:rsidRDefault="00913831">
                <w:pPr>
                  <w:spacing w:line="224" w:lineRule="exact"/>
                  <w:ind w:left="20"/>
                  <w:rPr>
                    <w:sz w:val="20"/>
                  </w:rPr>
                </w:pPr>
                <w:r>
                  <w:rPr>
                    <w:spacing w:val="-2"/>
                    <w:sz w:val="20"/>
                  </w:rPr>
                  <w:t>FY2023</w:t>
                </w:r>
                <w:r>
                  <w:rPr>
                    <w:spacing w:val="-3"/>
                    <w:sz w:val="20"/>
                  </w:rPr>
                  <w:t xml:space="preserve"> </w:t>
                </w:r>
                <w:r>
                  <w:rPr>
                    <w:spacing w:val="-2"/>
                    <w:sz w:val="20"/>
                  </w:rPr>
                  <w:t>AGENCY</w:t>
                </w:r>
                <w:r>
                  <w:rPr>
                    <w:spacing w:val="-3"/>
                    <w:sz w:val="20"/>
                  </w:rPr>
                  <w:t xml:space="preserve"> </w:t>
                </w:r>
                <w:r>
                  <w:rPr>
                    <w:spacing w:val="-2"/>
                    <w:sz w:val="20"/>
                  </w:rPr>
                  <w:t>RECOMMENDATIONS</w:t>
                </w:r>
                <w:r>
                  <w:rPr>
                    <w:spacing w:val="-1"/>
                    <w:sz w:val="20"/>
                  </w:rPr>
                  <w:t xml:space="preserve"> </w:t>
                </w:r>
                <w:r>
                  <w:rPr>
                    <w:spacing w:val="-2"/>
                    <w:sz w:val="20"/>
                  </w:rPr>
                  <w:t>-</w:t>
                </w:r>
                <w:r>
                  <w:rPr>
                    <w:sz w:val="20"/>
                  </w:rPr>
                  <w:t xml:space="preserve"> </w:t>
                </w:r>
                <w:r>
                  <w:rPr>
                    <w:spacing w:val="-5"/>
                    <w:sz w:val="20"/>
                  </w:rPr>
                  <w:t>DPH</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17" o:spid="_x0000_s2156" type="#_x0000_t202" style="position:absolute;margin-left:64.05pt;margin-top:37.45pt;width:85.85pt;height:12.05pt;z-index:-21213696;mso-position-horizontal-relative:page;mso-position-vertical-relative:page" filled="f" stroked="f">
          <v:textbox inset="0,0,0,0">
            <w:txbxContent>
              <w:p w:rsidR="00C76E6D" w:rsidRDefault="00913831">
                <w:pPr>
                  <w:spacing w:line="224" w:lineRule="exact"/>
                  <w:ind w:left="20"/>
                  <w:rPr>
                    <w:sz w:val="20"/>
                  </w:rPr>
                </w:pPr>
                <w:r>
                  <w:rPr>
                    <w:sz w:val="20"/>
                  </w:rPr>
                  <w:t>TABLE</w:t>
                </w:r>
                <w:r>
                  <w:rPr>
                    <w:spacing w:val="-7"/>
                    <w:sz w:val="20"/>
                  </w:rPr>
                  <w:t xml:space="preserve"> </w:t>
                </w:r>
                <w:r>
                  <w:rPr>
                    <w:sz w:val="20"/>
                  </w:rPr>
                  <w:t>OF</w:t>
                </w:r>
                <w:r>
                  <w:rPr>
                    <w:spacing w:val="-2"/>
                    <w:sz w:val="20"/>
                  </w:rPr>
                  <w:t xml:space="preserve"> CONTENTS</w:t>
                </w:r>
              </w:p>
            </w:txbxContent>
          </v:textbox>
          <w10:wrap anchorx="page" anchory="page"/>
        </v:shape>
      </w:pic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410" o:spid="_x0000_s2079" type="#_x0000_t202" style="position:absolute;margin-left:64.05pt;margin-top:40.6pt;width:217.8pt;height:12.05pt;z-index:-21174272;mso-position-horizontal-relative:page;mso-position-vertical-relative:page" filled="f" stroked="f">
          <v:textbox inset="0,0,0,0">
            <w:txbxContent>
              <w:p w:rsidR="00C76E6D" w:rsidRDefault="00913831">
                <w:pPr>
                  <w:spacing w:line="224" w:lineRule="exact"/>
                  <w:ind w:left="20"/>
                  <w:rPr>
                    <w:sz w:val="20"/>
                  </w:rPr>
                </w:pPr>
                <w:r>
                  <w:rPr>
                    <w:spacing w:val="-2"/>
                    <w:sz w:val="20"/>
                  </w:rPr>
                  <w:t>FY2023</w:t>
                </w:r>
                <w:r>
                  <w:rPr>
                    <w:spacing w:val="-3"/>
                    <w:sz w:val="20"/>
                  </w:rPr>
                  <w:t xml:space="preserve"> </w:t>
                </w:r>
                <w:r>
                  <w:rPr>
                    <w:spacing w:val="-2"/>
                    <w:sz w:val="20"/>
                  </w:rPr>
                  <w:t>AGENCY</w:t>
                </w:r>
                <w:r>
                  <w:rPr>
                    <w:spacing w:val="-3"/>
                    <w:sz w:val="20"/>
                  </w:rPr>
                  <w:t xml:space="preserve"> </w:t>
                </w:r>
                <w:r>
                  <w:rPr>
                    <w:spacing w:val="-2"/>
                    <w:sz w:val="20"/>
                  </w:rPr>
                  <w:t>RECOMMENDATIONS</w:t>
                </w:r>
                <w:r>
                  <w:rPr>
                    <w:spacing w:val="-1"/>
                    <w:sz w:val="20"/>
                  </w:rPr>
                  <w:t xml:space="preserve"> </w:t>
                </w:r>
                <w:r>
                  <w:rPr>
                    <w:spacing w:val="-2"/>
                    <w:sz w:val="20"/>
                  </w:rPr>
                  <w:t>-</w:t>
                </w:r>
                <w:r>
                  <w:rPr>
                    <w:sz w:val="20"/>
                  </w:rPr>
                  <w:t xml:space="preserve"> </w:t>
                </w:r>
                <w:r>
                  <w:rPr>
                    <w:spacing w:val="-2"/>
                    <w:sz w:val="20"/>
                  </w:rPr>
                  <w:t>MASSHEALTH</w:t>
                </w: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418" o:spid="_x0000_s2076" type="#_x0000_t202" style="position:absolute;margin-left:64.05pt;margin-top:40.6pt;width:177.1pt;height:12.05pt;z-index:-21172736;mso-position-horizontal-relative:page;mso-position-vertical-relative:page" filled="f" stroked="f">
          <v:textbox inset="0,0,0,0">
            <w:txbxContent>
              <w:p w:rsidR="00C76E6D" w:rsidRDefault="00913831">
                <w:pPr>
                  <w:spacing w:line="224" w:lineRule="exact"/>
                  <w:ind w:left="20"/>
                  <w:rPr>
                    <w:sz w:val="20"/>
                  </w:rPr>
                </w:pPr>
                <w:r>
                  <w:rPr>
                    <w:spacing w:val="-2"/>
                    <w:sz w:val="20"/>
                  </w:rPr>
                  <w:t>FY2023</w:t>
                </w:r>
                <w:r>
                  <w:rPr>
                    <w:spacing w:val="-3"/>
                    <w:sz w:val="20"/>
                  </w:rPr>
                  <w:t xml:space="preserve"> </w:t>
                </w:r>
                <w:r>
                  <w:rPr>
                    <w:spacing w:val="-2"/>
                    <w:sz w:val="20"/>
                  </w:rPr>
                  <w:t>AGENCY</w:t>
                </w:r>
                <w:r>
                  <w:rPr>
                    <w:spacing w:val="-3"/>
                    <w:sz w:val="20"/>
                  </w:rPr>
                  <w:t xml:space="preserve"> </w:t>
                </w:r>
                <w:r>
                  <w:rPr>
                    <w:spacing w:val="-2"/>
                    <w:sz w:val="20"/>
                  </w:rPr>
                  <w:t>RECOMMENDATIONS</w:t>
                </w:r>
                <w:r>
                  <w:rPr>
                    <w:spacing w:val="-1"/>
                    <w:sz w:val="20"/>
                  </w:rPr>
                  <w:t xml:space="preserve"> </w:t>
                </w:r>
                <w:r>
                  <w:rPr>
                    <w:spacing w:val="-2"/>
                    <w:sz w:val="20"/>
                  </w:rPr>
                  <w:t>-</w:t>
                </w:r>
                <w:r>
                  <w:rPr>
                    <w:sz w:val="20"/>
                  </w:rPr>
                  <w:t xml:space="preserve"> </w:t>
                </w:r>
                <w:r>
                  <w:rPr>
                    <w:spacing w:val="-5"/>
                    <w:sz w:val="20"/>
                  </w:rPr>
                  <w:t>ORI</w:t>
                </w:r>
              </w:p>
            </w:txbxContent>
          </v:textbox>
          <w10:wrap anchorx="page" anchory="page"/>
        </v:shape>
      </w:pic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426" o:spid="_x0000_s2073" type="#_x0000_t202" style="position:absolute;margin-left:64.05pt;margin-top:40.6pt;width:179pt;height:12.05pt;z-index:-21171200;mso-position-horizontal-relative:page;mso-position-vertical-relative:page" filled="f" stroked="f">
          <v:textbox inset="0,0,0,0">
            <w:txbxContent>
              <w:p w:rsidR="00C76E6D" w:rsidRDefault="00913831">
                <w:pPr>
                  <w:spacing w:line="224" w:lineRule="exact"/>
                  <w:ind w:left="20"/>
                  <w:rPr>
                    <w:sz w:val="20"/>
                  </w:rPr>
                </w:pPr>
                <w:r>
                  <w:rPr>
                    <w:spacing w:val="-2"/>
                    <w:sz w:val="20"/>
                  </w:rPr>
                  <w:t>FY2023</w:t>
                </w:r>
                <w:r>
                  <w:rPr>
                    <w:spacing w:val="-3"/>
                    <w:sz w:val="20"/>
                  </w:rPr>
                  <w:t xml:space="preserve"> </w:t>
                </w:r>
                <w:r>
                  <w:rPr>
                    <w:spacing w:val="-2"/>
                    <w:sz w:val="20"/>
                  </w:rPr>
                  <w:t>AGENCY</w:t>
                </w:r>
                <w:r>
                  <w:rPr>
                    <w:spacing w:val="-3"/>
                    <w:sz w:val="20"/>
                  </w:rPr>
                  <w:t xml:space="preserve"> </w:t>
                </w:r>
                <w:r>
                  <w:rPr>
                    <w:spacing w:val="-2"/>
                    <w:sz w:val="20"/>
                  </w:rPr>
                  <w:t>RECOMMENDATIONS</w:t>
                </w:r>
                <w:r>
                  <w:rPr>
                    <w:spacing w:val="-1"/>
                    <w:sz w:val="20"/>
                  </w:rPr>
                  <w:t xml:space="preserve"> </w:t>
                </w:r>
                <w:r>
                  <w:rPr>
                    <w:spacing w:val="-2"/>
                    <w:sz w:val="20"/>
                  </w:rPr>
                  <w:t>-</w:t>
                </w:r>
                <w:r>
                  <w:rPr>
                    <w:sz w:val="20"/>
                  </w:rPr>
                  <w:t xml:space="preserve"> </w:t>
                </w:r>
                <w:r>
                  <w:rPr>
                    <w:spacing w:val="-5"/>
                    <w:sz w:val="20"/>
                  </w:rPr>
                  <w:t>DTA</w:t>
                </w:r>
              </w:p>
            </w:txbxContent>
          </v:textbox>
          <w10:wrap anchorx="page" anchory="page"/>
        </v:shape>
      </w:pic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434" o:spid="_x0000_s2070" type="#_x0000_t202" style="position:absolute;margin-left:64.05pt;margin-top:40.6pt;width:177.8pt;height:12.05pt;z-index:-21169664;mso-position-horizontal-relative:page;mso-position-vertical-relative:page" filled="f" stroked="f">
          <v:textbox inset="0,0,0,0">
            <w:txbxContent>
              <w:p w:rsidR="00C76E6D" w:rsidRDefault="00913831">
                <w:pPr>
                  <w:spacing w:line="224" w:lineRule="exact"/>
                  <w:ind w:left="20"/>
                  <w:rPr>
                    <w:sz w:val="20"/>
                  </w:rPr>
                </w:pPr>
                <w:r>
                  <w:rPr>
                    <w:spacing w:val="-2"/>
                    <w:sz w:val="20"/>
                  </w:rPr>
                  <w:t>FY2023</w:t>
                </w:r>
                <w:r>
                  <w:rPr>
                    <w:spacing w:val="-3"/>
                    <w:sz w:val="20"/>
                  </w:rPr>
                  <w:t xml:space="preserve"> </w:t>
                </w:r>
                <w:r>
                  <w:rPr>
                    <w:spacing w:val="-2"/>
                    <w:sz w:val="20"/>
                  </w:rPr>
                  <w:t>AGENCY</w:t>
                </w:r>
                <w:r>
                  <w:rPr>
                    <w:spacing w:val="-3"/>
                    <w:sz w:val="20"/>
                  </w:rPr>
                  <w:t xml:space="preserve"> </w:t>
                </w:r>
                <w:r>
                  <w:rPr>
                    <w:spacing w:val="-2"/>
                    <w:sz w:val="20"/>
                  </w:rPr>
                  <w:t>RECOMMENDATIONS</w:t>
                </w:r>
                <w:r>
                  <w:rPr>
                    <w:spacing w:val="-1"/>
                    <w:sz w:val="20"/>
                  </w:rPr>
                  <w:t xml:space="preserve"> </w:t>
                </w:r>
                <w:r>
                  <w:rPr>
                    <w:spacing w:val="-2"/>
                    <w:sz w:val="20"/>
                  </w:rPr>
                  <w:t>-</w:t>
                </w:r>
                <w:r>
                  <w:rPr>
                    <w:sz w:val="20"/>
                  </w:rPr>
                  <w:t xml:space="preserve"> </w:t>
                </w:r>
                <w:r>
                  <w:rPr>
                    <w:spacing w:val="-5"/>
                    <w:sz w:val="20"/>
                  </w:rPr>
                  <w:t>DYS</w:t>
                </w:r>
              </w:p>
            </w:txbxContent>
          </v:textbox>
          <w10:wrap anchorx="page" anchory="page"/>
        </v:shape>
      </w:pic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442" o:spid="_x0000_s2067" type="#_x0000_t202" style="position:absolute;margin-left:64.05pt;margin-top:39.55pt;width:189.35pt;height:12.05pt;z-index:-21168128;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12"/>
                    <w:sz w:val="20"/>
                  </w:rPr>
                  <w:t xml:space="preserve"> </w:t>
                </w:r>
                <w:r>
                  <w:rPr>
                    <w:sz w:val="20"/>
                  </w:rPr>
                  <w:t>AGENCY</w:t>
                </w:r>
                <w:r>
                  <w:rPr>
                    <w:spacing w:val="-7"/>
                    <w:sz w:val="20"/>
                  </w:rPr>
                  <w:t xml:space="preserve"> </w:t>
                </w:r>
                <w:r>
                  <w:rPr>
                    <w:sz w:val="20"/>
                  </w:rPr>
                  <w:t>RECOMMENDATIONS</w:t>
                </w:r>
                <w:r>
                  <w:rPr>
                    <w:spacing w:val="-9"/>
                    <w:sz w:val="20"/>
                  </w:rPr>
                  <w:t xml:space="preserve"> </w:t>
                </w:r>
                <w:r>
                  <w:rPr>
                    <w:sz w:val="20"/>
                  </w:rPr>
                  <w:t>-</w:t>
                </w:r>
                <w:r>
                  <w:rPr>
                    <w:spacing w:val="-9"/>
                    <w:sz w:val="20"/>
                  </w:rPr>
                  <w:t xml:space="preserve"> </w:t>
                </w:r>
                <w:r>
                  <w:rPr>
                    <w:spacing w:val="-4"/>
                    <w:sz w:val="20"/>
                  </w:rPr>
                  <w:t>EOPSS</w:t>
                </w:r>
              </w:p>
            </w:txbxContent>
          </v:textbox>
          <w10:wrap anchorx="page" anchory="page"/>
        </v:shape>
      </w:pic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451" o:spid="_x0000_s2064" type="#_x0000_t202" style="position:absolute;margin-left:64.05pt;margin-top:39.55pt;width:183.3pt;height:12.05pt;z-index:-21166592;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12"/>
                    <w:sz w:val="20"/>
                  </w:rPr>
                  <w:t xml:space="preserve"> </w:t>
                </w:r>
                <w:r>
                  <w:rPr>
                    <w:sz w:val="20"/>
                  </w:rPr>
                  <w:t>AGENCY</w:t>
                </w:r>
                <w:r>
                  <w:rPr>
                    <w:spacing w:val="-7"/>
                    <w:sz w:val="20"/>
                  </w:rPr>
                  <w:t xml:space="preserve"> </w:t>
                </w:r>
                <w:r>
                  <w:rPr>
                    <w:sz w:val="20"/>
                  </w:rPr>
                  <w:t>RECOMMENDATIONS</w:t>
                </w:r>
                <w:r>
                  <w:rPr>
                    <w:spacing w:val="-10"/>
                    <w:sz w:val="20"/>
                  </w:rPr>
                  <w:t xml:space="preserve"> </w:t>
                </w:r>
                <w:r>
                  <w:rPr>
                    <w:sz w:val="20"/>
                  </w:rPr>
                  <w:t>-</w:t>
                </w:r>
                <w:r>
                  <w:rPr>
                    <w:spacing w:val="-7"/>
                    <w:sz w:val="20"/>
                  </w:rPr>
                  <w:t xml:space="preserve"> </w:t>
                </w:r>
                <w:r>
                  <w:rPr>
                    <w:spacing w:val="-5"/>
                    <w:sz w:val="20"/>
                  </w:rPr>
                  <w:t>RMV</w:t>
                </w:r>
              </w:p>
            </w:txbxContent>
          </v:textbox>
          <w10:wrap anchorx="page" anchory="page"/>
        </v:shape>
      </w:pic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458" o:spid="_x0000_s2061" type="#_x0000_t202" style="position:absolute;margin-left:64.05pt;margin-top:39.55pt;width:187.35pt;height:12.05pt;z-index:-21165056;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10"/>
                    <w:sz w:val="20"/>
                  </w:rPr>
                  <w:t xml:space="preserve"> </w:t>
                </w:r>
                <w:r>
                  <w:rPr>
                    <w:sz w:val="20"/>
                  </w:rPr>
                  <w:t>AGENCY</w:t>
                </w:r>
                <w:r>
                  <w:rPr>
                    <w:spacing w:val="-7"/>
                    <w:sz w:val="20"/>
                  </w:rPr>
                  <w:t xml:space="preserve"> </w:t>
                </w:r>
                <w:r>
                  <w:rPr>
                    <w:sz w:val="20"/>
                  </w:rPr>
                  <w:t>RECOMMENDATIONS</w:t>
                </w:r>
                <w:r>
                  <w:rPr>
                    <w:spacing w:val="-10"/>
                    <w:sz w:val="20"/>
                  </w:rPr>
                  <w:t xml:space="preserve"> </w:t>
                </w:r>
                <w:r>
                  <w:rPr>
                    <w:sz w:val="20"/>
                  </w:rPr>
                  <w:t>-</w:t>
                </w:r>
                <w:r>
                  <w:rPr>
                    <w:spacing w:val="-7"/>
                    <w:sz w:val="20"/>
                  </w:rPr>
                  <w:t xml:space="preserve"> </w:t>
                </w:r>
                <w:r>
                  <w:rPr>
                    <w:spacing w:val="-4"/>
                    <w:sz w:val="20"/>
                  </w:rPr>
                  <w:t>MBLC</w:t>
                </w:r>
              </w:p>
            </w:txbxContent>
          </v:textbox>
          <w10:wrap anchorx="page" anchory="page"/>
        </v:shape>
      </w:pict>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466" o:spid="_x0000_s2058" type="#_x0000_t202" style="position:absolute;margin-left:64.05pt;margin-top:40.6pt;width:186.05pt;height:12.05pt;z-index:-21163520;mso-position-horizontal-relative:page;mso-position-vertical-relative:page" filled="f" stroked="f">
          <v:textbox inset="0,0,0,0">
            <w:txbxContent>
              <w:p w:rsidR="00C76E6D" w:rsidRDefault="00913831">
                <w:pPr>
                  <w:spacing w:line="224" w:lineRule="exact"/>
                  <w:ind w:left="20"/>
                  <w:rPr>
                    <w:sz w:val="20"/>
                  </w:rPr>
                </w:pPr>
                <w:r>
                  <w:rPr>
                    <w:spacing w:val="-2"/>
                    <w:sz w:val="20"/>
                  </w:rPr>
                  <w:t>FY2023</w:t>
                </w:r>
                <w:r>
                  <w:rPr>
                    <w:spacing w:val="-3"/>
                    <w:sz w:val="20"/>
                  </w:rPr>
                  <w:t xml:space="preserve"> </w:t>
                </w:r>
                <w:r>
                  <w:rPr>
                    <w:spacing w:val="-2"/>
                    <w:sz w:val="20"/>
                  </w:rPr>
                  <w:t>AGENCY</w:t>
                </w:r>
                <w:r>
                  <w:rPr>
                    <w:spacing w:val="-3"/>
                    <w:sz w:val="20"/>
                  </w:rPr>
                  <w:t xml:space="preserve"> </w:t>
                </w:r>
                <w:r>
                  <w:rPr>
                    <w:spacing w:val="-2"/>
                    <w:sz w:val="20"/>
                  </w:rPr>
                  <w:t>RECOMMENDATIONS</w:t>
                </w:r>
                <w:r>
                  <w:rPr>
                    <w:spacing w:val="-1"/>
                    <w:sz w:val="20"/>
                  </w:rPr>
                  <w:t xml:space="preserve"> </w:t>
                </w:r>
                <w:r>
                  <w:rPr>
                    <w:spacing w:val="-2"/>
                    <w:sz w:val="20"/>
                  </w:rPr>
                  <w:t>-</w:t>
                </w:r>
                <w:r>
                  <w:rPr>
                    <w:sz w:val="20"/>
                  </w:rPr>
                  <w:t xml:space="preserve"> </w:t>
                </w:r>
                <w:r>
                  <w:rPr>
                    <w:spacing w:val="-4"/>
                    <w:sz w:val="20"/>
                  </w:rPr>
                  <w:t>DHCD</w:t>
                </w:r>
              </w:p>
            </w:txbxContent>
          </v:textbox>
          <w10:wrap anchorx="page" anchory="page"/>
        </v:shape>
      </w:pict>
    </w: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474" o:spid="_x0000_s2055" type="#_x0000_t202" style="position:absolute;margin-left:64.05pt;margin-top:39.55pt;width:188.5pt;height:12.05pt;z-index:-21161984;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10"/>
                    <w:sz w:val="20"/>
                  </w:rPr>
                  <w:t xml:space="preserve"> </w:t>
                </w:r>
                <w:r>
                  <w:rPr>
                    <w:sz w:val="20"/>
                  </w:rPr>
                  <w:t>AGENCY</w:t>
                </w:r>
                <w:r>
                  <w:rPr>
                    <w:spacing w:val="-7"/>
                    <w:sz w:val="20"/>
                  </w:rPr>
                  <w:t xml:space="preserve"> </w:t>
                </w:r>
                <w:r>
                  <w:rPr>
                    <w:sz w:val="20"/>
                  </w:rPr>
                  <w:t>RECOMMENDATIONS</w:t>
                </w:r>
                <w:r>
                  <w:rPr>
                    <w:spacing w:val="-10"/>
                    <w:sz w:val="20"/>
                  </w:rPr>
                  <w:t xml:space="preserve"> </w:t>
                </w:r>
                <w:r>
                  <w:rPr>
                    <w:sz w:val="20"/>
                  </w:rPr>
                  <w:t>-</w:t>
                </w:r>
                <w:r>
                  <w:rPr>
                    <w:spacing w:val="-7"/>
                    <w:sz w:val="20"/>
                  </w:rPr>
                  <w:t xml:space="preserve"> </w:t>
                </w:r>
                <w:r>
                  <w:rPr>
                    <w:spacing w:val="-4"/>
                    <w:sz w:val="20"/>
                  </w:rPr>
                  <w:t>MDCS</w:t>
                </w:r>
              </w:p>
            </w:txbxContent>
          </v:textbox>
          <w10:wrap anchorx="page" anchory="page"/>
        </v:shape>
      </w:pic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482" o:spid="_x0000_s2052" type="#_x0000_t202" style="position:absolute;margin-left:64.05pt;margin-top:40.05pt;width:132.15pt;height:12.05pt;z-index:-21160448;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6"/>
                    <w:sz w:val="20"/>
                  </w:rPr>
                  <w:t xml:space="preserve"> </w:t>
                </w:r>
                <w:r>
                  <w:rPr>
                    <w:sz w:val="20"/>
                  </w:rPr>
                  <w:t>APPENDIX</w:t>
                </w:r>
                <w:r>
                  <w:rPr>
                    <w:spacing w:val="-5"/>
                    <w:sz w:val="20"/>
                  </w:rPr>
                  <w:t xml:space="preserve"> </w:t>
                </w:r>
                <w:r>
                  <w:rPr>
                    <w:sz w:val="20"/>
                  </w:rPr>
                  <w:t>A</w:t>
                </w:r>
                <w:r>
                  <w:rPr>
                    <w:spacing w:val="-4"/>
                    <w:sz w:val="20"/>
                  </w:rPr>
                  <w:t xml:space="preserve"> </w:t>
                </w:r>
                <w:r>
                  <w:rPr>
                    <w:sz w:val="20"/>
                  </w:rPr>
                  <w:t>-</w:t>
                </w:r>
                <w:r>
                  <w:rPr>
                    <w:spacing w:val="-2"/>
                    <w:sz w:val="20"/>
                  </w:rPr>
                  <w:t xml:space="preserve"> GLOSSARY</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25" o:spid="_x0000_s2155" type="#_x0000_t202" style="position:absolute;margin-left:64.05pt;margin-top:39.55pt;width:123.95pt;height:12.05pt;z-index:-21213184;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12"/>
                    <w:sz w:val="20"/>
                  </w:rPr>
                  <w:t xml:space="preserve"> </w:t>
                </w:r>
                <w:r>
                  <w:rPr>
                    <w:sz w:val="20"/>
                  </w:rPr>
                  <w:t>EXECUTIVE</w:t>
                </w:r>
                <w:r>
                  <w:rPr>
                    <w:spacing w:val="-8"/>
                    <w:sz w:val="20"/>
                  </w:rPr>
                  <w:t xml:space="preserve"> </w:t>
                </w:r>
                <w:r>
                  <w:rPr>
                    <w:spacing w:val="-2"/>
                    <w:sz w:val="20"/>
                  </w:rPr>
                  <w:t>SUMMARY</w:t>
                </w:r>
              </w:p>
            </w:txbxContent>
          </v:textbox>
          <w10:wrap anchorx="page" anchory="page"/>
        </v:shape>
      </w:pict>
    </w: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487" o:spid="_x0000_s2049" type="#_x0000_t202" style="position:absolute;margin-left:71pt;margin-top:37.45pt;width:147.35pt;height:12.05pt;z-index:-21158912;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6"/>
                    <w:sz w:val="20"/>
                  </w:rPr>
                  <w:t xml:space="preserve"> </w:t>
                </w:r>
                <w:r>
                  <w:rPr>
                    <w:sz w:val="20"/>
                  </w:rPr>
                  <w:t>APPENDIX</w:t>
                </w:r>
                <w:r>
                  <w:rPr>
                    <w:spacing w:val="-5"/>
                    <w:sz w:val="20"/>
                  </w:rPr>
                  <w:t xml:space="preserve"> </w:t>
                </w:r>
                <w:r>
                  <w:rPr>
                    <w:sz w:val="20"/>
                  </w:rPr>
                  <w:t>B</w:t>
                </w:r>
                <w:r>
                  <w:rPr>
                    <w:spacing w:val="-4"/>
                    <w:sz w:val="20"/>
                  </w:rPr>
                  <w:t xml:space="preserve"> </w:t>
                </w:r>
                <w:r>
                  <w:rPr>
                    <w:sz w:val="20"/>
                  </w:rPr>
                  <w:t>–</w:t>
                </w:r>
                <w:r>
                  <w:rPr>
                    <w:spacing w:val="-4"/>
                    <w:sz w:val="20"/>
                  </w:rPr>
                  <w:t xml:space="preserve"> </w:t>
                </w:r>
                <w:r>
                  <w:rPr>
                    <w:spacing w:val="-2"/>
                    <w:sz w:val="20"/>
                  </w:rPr>
                  <w:t>MEMBERSHIP</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38" o:spid="_x0000_s2152" type="#_x0000_t202" style="position:absolute;margin-left:71pt;margin-top:37.95pt;width:123.3pt;height:14pt;z-index:-21211648;mso-position-horizontal-relative:page;mso-position-vertical-relative:page" filled="f" stroked="f">
          <v:textbox inset="0,0,0,0">
            <w:txbxContent>
              <w:p w:rsidR="00C76E6D" w:rsidRDefault="00913831">
                <w:pPr>
                  <w:spacing w:line="264" w:lineRule="exact"/>
                  <w:ind w:left="20"/>
                  <w:rPr>
                    <w:sz w:val="24"/>
                  </w:rPr>
                </w:pPr>
                <w:r>
                  <w:rPr>
                    <w:sz w:val="24"/>
                  </w:rPr>
                  <w:t>FY2023</w:t>
                </w:r>
                <w:r>
                  <w:rPr>
                    <w:spacing w:val="-5"/>
                    <w:sz w:val="24"/>
                  </w:rPr>
                  <w:t xml:space="preserve"> </w:t>
                </w:r>
                <w:r>
                  <w:rPr>
                    <w:sz w:val="24"/>
                  </w:rPr>
                  <w:t>MYRBS</w:t>
                </w:r>
                <w:r>
                  <w:rPr>
                    <w:spacing w:val="-3"/>
                    <w:sz w:val="24"/>
                  </w:rPr>
                  <w:t xml:space="preserve"> </w:t>
                </w:r>
                <w:r>
                  <w:rPr>
                    <w:spacing w:val="-2"/>
                    <w:sz w:val="24"/>
                  </w:rPr>
                  <w:t>ANALYSIS</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228" o:spid="_x0000_s2149" type="#_x0000_t202" style="position:absolute;margin-left:71pt;margin-top:37.8pt;width:78.6pt;height:13pt;z-index:-21210112;mso-position-horizontal-relative:page;mso-position-vertical-relative:page" filled="f" stroked="f">
          <v:textbox inset="0,0,0,0">
            <w:txbxContent>
              <w:p w:rsidR="00C76E6D" w:rsidRDefault="00913831">
                <w:pPr>
                  <w:pStyle w:val="BodyText"/>
                  <w:spacing w:line="244" w:lineRule="exact"/>
                  <w:ind w:left="20"/>
                </w:pPr>
                <w:r>
                  <w:rPr>
                    <w:w w:val="95"/>
                  </w:rPr>
                  <w:t>FY2023</w:t>
                </w:r>
                <w:r>
                  <w:rPr>
                    <w:spacing w:val="35"/>
                  </w:rPr>
                  <w:t xml:space="preserve"> </w:t>
                </w:r>
                <w:r>
                  <w:rPr>
                    <w:w w:val="95"/>
                  </w:rPr>
                  <w:t>COVID-</w:t>
                </w:r>
                <w:r>
                  <w:rPr>
                    <w:spacing w:val="-5"/>
                    <w:w w:val="95"/>
                  </w:rPr>
                  <w:t>19</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238" o:spid="_x0000_s2146" type="#_x0000_t202" style="position:absolute;margin-left:71pt;margin-top:37.45pt;width:119.45pt;height:12.05pt;z-index:-21208576;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6"/>
                    <w:sz w:val="20"/>
                  </w:rPr>
                  <w:t xml:space="preserve"> </w:t>
                </w:r>
                <w:r>
                  <w:rPr>
                    <w:sz w:val="20"/>
                  </w:rPr>
                  <w:t>SSP</w:t>
                </w:r>
                <w:r>
                  <w:rPr>
                    <w:spacing w:val="-6"/>
                    <w:sz w:val="20"/>
                  </w:rPr>
                  <w:t xml:space="preserve"> </w:t>
                </w:r>
                <w:r>
                  <w:rPr>
                    <w:sz w:val="20"/>
                  </w:rPr>
                  <w:t>ANNUAL</w:t>
                </w:r>
                <w:r>
                  <w:rPr>
                    <w:spacing w:val="-5"/>
                    <w:sz w:val="20"/>
                  </w:rPr>
                  <w:t xml:space="preserve"> </w:t>
                </w:r>
                <w:r>
                  <w:rPr>
                    <w:spacing w:val="-2"/>
                    <w:sz w:val="20"/>
                  </w:rPr>
                  <w:t>REPORT</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250" o:spid="_x0000_s2143" type="#_x0000_t202" style="position:absolute;margin-left:71pt;margin-top:37.45pt;width:157.45pt;height:12.05pt;z-index:-21207040;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12"/>
                    <w:sz w:val="20"/>
                  </w:rPr>
                  <w:t xml:space="preserve"> </w:t>
                </w:r>
                <w:r>
                  <w:rPr>
                    <w:sz w:val="20"/>
                  </w:rPr>
                  <w:t>INCLUSIVE</w:t>
                </w:r>
                <w:r>
                  <w:rPr>
                    <w:spacing w:val="-11"/>
                    <w:sz w:val="20"/>
                  </w:rPr>
                  <w:t xml:space="preserve"> </w:t>
                </w:r>
                <w:r>
                  <w:rPr>
                    <w:sz w:val="20"/>
                  </w:rPr>
                  <w:t>EDUCATION</w:t>
                </w:r>
                <w:r>
                  <w:rPr>
                    <w:spacing w:val="-10"/>
                    <w:sz w:val="20"/>
                  </w:rPr>
                  <w:t xml:space="preserve"> </w:t>
                </w:r>
                <w:r>
                  <w:rPr>
                    <w:spacing w:val="-2"/>
                    <w:sz w:val="20"/>
                  </w:rPr>
                  <w:t>POLICY</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E6D" w:rsidRDefault="00913831">
    <w:pPr>
      <w:pStyle w:val="BodyText"/>
      <w:spacing w:line="14" w:lineRule="auto"/>
      <w:rPr>
        <w:sz w:val="20"/>
      </w:rPr>
    </w:pPr>
    <w:r>
      <w:pict>
        <v:shapetype id="_x0000_t202" coordsize="21600,21600" o:spt="202" path="m,l,21600r21600,l21600,xe">
          <v:stroke joinstyle="miter"/>
          <v:path gradientshapeok="t" o:connecttype="rect"/>
        </v:shapetype>
        <v:shape id="docshape265" o:spid="_x0000_s2140" type="#_x0000_t202" style="position:absolute;margin-left:71pt;margin-top:37.05pt;width:78.25pt;height:12.05pt;z-index:-21205504;mso-position-horizontal-relative:page;mso-position-vertical-relative:page" filled="f" stroked="f">
          <v:textbox inset="0,0,0,0">
            <w:txbxContent>
              <w:p w:rsidR="00C76E6D" w:rsidRDefault="00913831">
                <w:pPr>
                  <w:spacing w:line="224" w:lineRule="exact"/>
                  <w:ind w:left="20"/>
                  <w:rPr>
                    <w:sz w:val="20"/>
                  </w:rPr>
                </w:pPr>
                <w:r>
                  <w:rPr>
                    <w:sz w:val="20"/>
                  </w:rPr>
                  <w:t>FY2023</w:t>
                </w:r>
                <w:r>
                  <w:rPr>
                    <w:spacing w:val="-4"/>
                    <w:sz w:val="20"/>
                  </w:rPr>
                  <w:t xml:space="preserve"> </w:t>
                </w:r>
                <w:r>
                  <w:rPr>
                    <w:spacing w:val="-2"/>
                    <w:sz w:val="20"/>
                  </w:rPr>
                  <w:t>INCLUSION</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25595"/>
    <w:multiLevelType w:val="hybridMultilevel"/>
    <w:tmpl w:val="FAB0B3DA"/>
    <w:lvl w:ilvl="0" w:tplc="6116EC26">
      <w:start w:val="1"/>
      <w:numFmt w:val="decimal"/>
      <w:lvlText w:val="%1."/>
      <w:lvlJc w:val="left"/>
      <w:pPr>
        <w:ind w:left="698" w:hanging="220"/>
        <w:jc w:val="left"/>
      </w:pPr>
      <w:rPr>
        <w:rFonts w:ascii="Calibri" w:eastAsia="Calibri" w:hAnsi="Calibri" w:cs="Calibri" w:hint="default"/>
        <w:b/>
        <w:bCs/>
        <w:i w:val="0"/>
        <w:iCs w:val="0"/>
        <w:w w:val="98"/>
        <w:sz w:val="22"/>
        <w:szCs w:val="22"/>
      </w:rPr>
    </w:lvl>
    <w:lvl w:ilvl="1" w:tplc="02B412F2">
      <w:start w:val="1"/>
      <w:numFmt w:val="lowerLetter"/>
      <w:lvlText w:val="%2."/>
      <w:lvlJc w:val="left"/>
      <w:pPr>
        <w:ind w:left="1416" w:hanging="218"/>
        <w:jc w:val="right"/>
      </w:pPr>
      <w:rPr>
        <w:rFonts w:ascii="Calibri" w:eastAsia="Calibri" w:hAnsi="Calibri" w:cs="Calibri" w:hint="default"/>
        <w:b/>
        <w:bCs/>
        <w:i w:val="0"/>
        <w:iCs w:val="0"/>
        <w:spacing w:val="-2"/>
        <w:w w:val="98"/>
        <w:sz w:val="22"/>
        <w:szCs w:val="22"/>
      </w:rPr>
    </w:lvl>
    <w:lvl w:ilvl="2" w:tplc="26CEF234">
      <w:numFmt w:val="bullet"/>
      <w:lvlText w:val="•"/>
      <w:lvlJc w:val="left"/>
      <w:pPr>
        <w:ind w:left="2408" w:hanging="218"/>
      </w:pPr>
      <w:rPr>
        <w:rFonts w:hint="default"/>
      </w:rPr>
    </w:lvl>
    <w:lvl w:ilvl="3" w:tplc="645EE176">
      <w:numFmt w:val="bullet"/>
      <w:lvlText w:val="•"/>
      <w:lvlJc w:val="left"/>
      <w:pPr>
        <w:ind w:left="3397" w:hanging="218"/>
      </w:pPr>
      <w:rPr>
        <w:rFonts w:hint="default"/>
      </w:rPr>
    </w:lvl>
    <w:lvl w:ilvl="4" w:tplc="F03CC16E">
      <w:numFmt w:val="bullet"/>
      <w:lvlText w:val="•"/>
      <w:lvlJc w:val="left"/>
      <w:pPr>
        <w:ind w:left="4386" w:hanging="218"/>
      </w:pPr>
      <w:rPr>
        <w:rFonts w:hint="default"/>
      </w:rPr>
    </w:lvl>
    <w:lvl w:ilvl="5" w:tplc="379A7690">
      <w:numFmt w:val="bullet"/>
      <w:lvlText w:val="•"/>
      <w:lvlJc w:val="left"/>
      <w:pPr>
        <w:ind w:left="5375" w:hanging="218"/>
      </w:pPr>
      <w:rPr>
        <w:rFonts w:hint="default"/>
      </w:rPr>
    </w:lvl>
    <w:lvl w:ilvl="6" w:tplc="18142FEC">
      <w:numFmt w:val="bullet"/>
      <w:lvlText w:val="•"/>
      <w:lvlJc w:val="left"/>
      <w:pPr>
        <w:ind w:left="6364" w:hanging="218"/>
      </w:pPr>
      <w:rPr>
        <w:rFonts w:hint="default"/>
      </w:rPr>
    </w:lvl>
    <w:lvl w:ilvl="7" w:tplc="DDA6D286">
      <w:numFmt w:val="bullet"/>
      <w:lvlText w:val="•"/>
      <w:lvlJc w:val="left"/>
      <w:pPr>
        <w:ind w:left="7353" w:hanging="218"/>
      </w:pPr>
      <w:rPr>
        <w:rFonts w:hint="default"/>
      </w:rPr>
    </w:lvl>
    <w:lvl w:ilvl="8" w:tplc="0342415C">
      <w:numFmt w:val="bullet"/>
      <w:lvlText w:val="•"/>
      <w:lvlJc w:val="left"/>
      <w:pPr>
        <w:ind w:left="8342" w:hanging="218"/>
      </w:pPr>
      <w:rPr>
        <w:rFonts w:hint="default"/>
      </w:rPr>
    </w:lvl>
  </w:abstractNum>
  <w:abstractNum w:abstractNumId="1" w15:restartNumberingAfterBreak="0">
    <w:nsid w:val="04BA7709"/>
    <w:multiLevelType w:val="hybridMultilevel"/>
    <w:tmpl w:val="D21299FE"/>
    <w:lvl w:ilvl="0" w:tplc="24D2EA2C">
      <w:start w:val="1"/>
      <w:numFmt w:val="decimal"/>
      <w:lvlText w:val="%1."/>
      <w:lvlJc w:val="left"/>
      <w:pPr>
        <w:ind w:left="338" w:hanging="292"/>
        <w:jc w:val="left"/>
      </w:pPr>
      <w:rPr>
        <w:rFonts w:hint="default"/>
        <w:spacing w:val="-1"/>
        <w:w w:val="100"/>
      </w:rPr>
    </w:lvl>
    <w:lvl w:ilvl="1" w:tplc="1DA480B6">
      <w:start w:val="1"/>
      <w:numFmt w:val="decimal"/>
      <w:lvlText w:val="%2."/>
      <w:lvlJc w:val="left"/>
      <w:pPr>
        <w:ind w:left="627" w:hanging="234"/>
        <w:jc w:val="left"/>
      </w:pPr>
      <w:rPr>
        <w:rFonts w:ascii="Calibri" w:eastAsia="Calibri" w:hAnsi="Calibri" w:cs="Calibri" w:hint="default"/>
        <w:b w:val="0"/>
        <w:bCs w:val="0"/>
        <w:i w:val="0"/>
        <w:iCs w:val="0"/>
        <w:spacing w:val="-2"/>
        <w:w w:val="99"/>
        <w:sz w:val="22"/>
        <w:szCs w:val="22"/>
      </w:rPr>
    </w:lvl>
    <w:lvl w:ilvl="2" w:tplc="358EF8E0">
      <w:numFmt w:val="bullet"/>
      <w:lvlText w:val="•"/>
      <w:lvlJc w:val="left"/>
      <w:pPr>
        <w:ind w:left="1697" w:hanging="234"/>
      </w:pPr>
      <w:rPr>
        <w:rFonts w:hint="default"/>
      </w:rPr>
    </w:lvl>
    <w:lvl w:ilvl="3" w:tplc="6D56FBDE">
      <w:numFmt w:val="bullet"/>
      <w:lvlText w:val="•"/>
      <w:lvlJc w:val="left"/>
      <w:pPr>
        <w:ind w:left="2775" w:hanging="234"/>
      </w:pPr>
      <w:rPr>
        <w:rFonts w:hint="default"/>
      </w:rPr>
    </w:lvl>
    <w:lvl w:ilvl="4" w:tplc="2D00CDE0">
      <w:numFmt w:val="bullet"/>
      <w:lvlText w:val="•"/>
      <w:lvlJc w:val="left"/>
      <w:pPr>
        <w:ind w:left="3853" w:hanging="234"/>
      </w:pPr>
      <w:rPr>
        <w:rFonts w:hint="default"/>
      </w:rPr>
    </w:lvl>
    <w:lvl w:ilvl="5" w:tplc="BB985D28">
      <w:numFmt w:val="bullet"/>
      <w:lvlText w:val="•"/>
      <w:lvlJc w:val="left"/>
      <w:pPr>
        <w:ind w:left="4931" w:hanging="234"/>
      </w:pPr>
      <w:rPr>
        <w:rFonts w:hint="default"/>
      </w:rPr>
    </w:lvl>
    <w:lvl w:ilvl="6" w:tplc="365A79F4">
      <w:numFmt w:val="bullet"/>
      <w:lvlText w:val="•"/>
      <w:lvlJc w:val="left"/>
      <w:pPr>
        <w:ind w:left="6008" w:hanging="234"/>
      </w:pPr>
      <w:rPr>
        <w:rFonts w:hint="default"/>
      </w:rPr>
    </w:lvl>
    <w:lvl w:ilvl="7" w:tplc="223CA224">
      <w:numFmt w:val="bullet"/>
      <w:lvlText w:val="•"/>
      <w:lvlJc w:val="left"/>
      <w:pPr>
        <w:ind w:left="7086" w:hanging="234"/>
      </w:pPr>
      <w:rPr>
        <w:rFonts w:hint="default"/>
      </w:rPr>
    </w:lvl>
    <w:lvl w:ilvl="8" w:tplc="BE0C6232">
      <w:numFmt w:val="bullet"/>
      <w:lvlText w:val="•"/>
      <w:lvlJc w:val="left"/>
      <w:pPr>
        <w:ind w:left="8164" w:hanging="234"/>
      </w:pPr>
      <w:rPr>
        <w:rFonts w:hint="default"/>
      </w:rPr>
    </w:lvl>
  </w:abstractNum>
  <w:abstractNum w:abstractNumId="2" w15:restartNumberingAfterBreak="0">
    <w:nsid w:val="079D50DC"/>
    <w:multiLevelType w:val="hybridMultilevel"/>
    <w:tmpl w:val="867848E2"/>
    <w:lvl w:ilvl="0" w:tplc="9C30758E">
      <w:start w:val="1"/>
      <w:numFmt w:val="upperLetter"/>
      <w:lvlText w:val="%1."/>
      <w:lvlJc w:val="left"/>
      <w:pPr>
        <w:ind w:left="843" w:hanging="266"/>
        <w:jc w:val="right"/>
      </w:pPr>
      <w:rPr>
        <w:rFonts w:ascii="Calibri" w:eastAsia="Calibri" w:hAnsi="Calibri" w:cs="Calibri" w:hint="default"/>
        <w:b/>
        <w:bCs/>
        <w:i w:val="0"/>
        <w:iCs w:val="0"/>
        <w:spacing w:val="-1"/>
        <w:w w:val="100"/>
        <w:sz w:val="24"/>
        <w:szCs w:val="24"/>
      </w:rPr>
    </w:lvl>
    <w:lvl w:ilvl="1" w:tplc="2B246C16">
      <w:start w:val="1"/>
      <w:numFmt w:val="decimal"/>
      <w:lvlText w:val="%2."/>
      <w:lvlJc w:val="left"/>
      <w:pPr>
        <w:ind w:left="478" w:hanging="208"/>
        <w:jc w:val="left"/>
      </w:pPr>
      <w:rPr>
        <w:rFonts w:ascii="Calibri" w:eastAsia="Calibri" w:hAnsi="Calibri" w:cs="Calibri" w:hint="default"/>
        <w:b/>
        <w:bCs/>
        <w:i w:val="0"/>
        <w:iCs w:val="0"/>
        <w:w w:val="98"/>
        <w:sz w:val="22"/>
        <w:szCs w:val="22"/>
      </w:rPr>
    </w:lvl>
    <w:lvl w:ilvl="2" w:tplc="10B4107A">
      <w:start w:val="1"/>
      <w:numFmt w:val="decimal"/>
      <w:lvlText w:val="%3."/>
      <w:lvlJc w:val="left"/>
      <w:pPr>
        <w:ind w:left="1200" w:hanging="362"/>
        <w:jc w:val="left"/>
      </w:pPr>
      <w:rPr>
        <w:rFonts w:ascii="Calibri" w:eastAsia="Calibri" w:hAnsi="Calibri" w:cs="Calibri" w:hint="default"/>
        <w:b w:val="0"/>
        <w:bCs w:val="0"/>
        <w:i w:val="0"/>
        <w:iCs w:val="0"/>
        <w:spacing w:val="-2"/>
        <w:w w:val="99"/>
        <w:sz w:val="22"/>
        <w:szCs w:val="22"/>
      </w:rPr>
    </w:lvl>
    <w:lvl w:ilvl="3" w:tplc="8C46CB90">
      <w:numFmt w:val="bullet"/>
      <w:lvlText w:val="•"/>
      <w:lvlJc w:val="left"/>
      <w:pPr>
        <w:ind w:left="2340" w:hanging="362"/>
      </w:pPr>
      <w:rPr>
        <w:rFonts w:hint="default"/>
      </w:rPr>
    </w:lvl>
    <w:lvl w:ilvl="4" w:tplc="00E4ADCE">
      <w:numFmt w:val="bullet"/>
      <w:lvlText w:val="•"/>
      <w:lvlJc w:val="left"/>
      <w:pPr>
        <w:ind w:left="3480" w:hanging="362"/>
      </w:pPr>
      <w:rPr>
        <w:rFonts w:hint="default"/>
      </w:rPr>
    </w:lvl>
    <w:lvl w:ilvl="5" w:tplc="39AA8A7A">
      <w:numFmt w:val="bullet"/>
      <w:lvlText w:val="•"/>
      <w:lvlJc w:val="left"/>
      <w:pPr>
        <w:ind w:left="4620" w:hanging="362"/>
      </w:pPr>
      <w:rPr>
        <w:rFonts w:hint="default"/>
      </w:rPr>
    </w:lvl>
    <w:lvl w:ilvl="6" w:tplc="FF727932">
      <w:numFmt w:val="bullet"/>
      <w:lvlText w:val="•"/>
      <w:lvlJc w:val="left"/>
      <w:pPr>
        <w:ind w:left="5760" w:hanging="362"/>
      </w:pPr>
      <w:rPr>
        <w:rFonts w:hint="default"/>
      </w:rPr>
    </w:lvl>
    <w:lvl w:ilvl="7" w:tplc="E97AABA6">
      <w:numFmt w:val="bullet"/>
      <w:lvlText w:val="•"/>
      <w:lvlJc w:val="left"/>
      <w:pPr>
        <w:ind w:left="6900" w:hanging="362"/>
      </w:pPr>
      <w:rPr>
        <w:rFonts w:hint="default"/>
      </w:rPr>
    </w:lvl>
    <w:lvl w:ilvl="8" w:tplc="7610BB5A">
      <w:numFmt w:val="bullet"/>
      <w:lvlText w:val="•"/>
      <w:lvlJc w:val="left"/>
      <w:pPr>
        <w:ind w:left="8040" w:hanging="362"/>
      </w:pPr>
      <w:rPr>
        <w:rFonts w:hint="default"/>
      </w:rPr>
    </w:lvl>
  </w:abstractNum>
  <w:abstractNum w:abstractNumId="3" w15:restartNumberingAfterBreak="0">
    <w:nsid w:val="08734DCB"/>
    <w:multiLevelType w:val="hybridMultilevel"/>
    <w:tmpl w:val="4A065688"/>
    <w:lvl w:ilvl="0" w:tplc="3132CAB0">
      <w:start w:val="5"/>
      <w:numFmt w:val="upperLetter"/>
      <w:lvlText w:val="%1."/>
      <w:lvlJc w:val="left"/>
      <w:pPr>
        <w:ind w:left="715" w:hanging="237"/>
        <w:jc w:val="left"/>
      </w:pPr>
      <w:rPr>
        <w:rFonts w:ascii="Calibri" w:eastAsia="Calibri" w:hAnsi="Calibri" w:cs="Calibri" w:hint="default"/>
        <w:b/>
        <w:bCs/>
        <w:i w:val="0"/>
        <w:iCs w:val="0"/>
        <w:w w:val="100"/>
        <w:sz w:val="24"/>
        <w:szCs w:val="24"/>
      </w:rPr>
    </w:lvl>
    <w:lvl w:ilvl="1" w:tplc="6F56BAFC">
      <w:numFmt w:val="bullet"/>
      <w:lvlText w:val="•"/>
      <w:lvlJc w:val="left"/>
      <w:pPr>
        <w:ind w:left="1680" w:hanging="237"/>
      </w:pPr>
      <w:rPr>
        <w:rFonts w:hint="default"/>
      </w:rPr>
    </w:lvl>
    <w:lvl w:ilvl="2" w:tplc="0046F64C">
      <w:numFmt w:val="bullet"/>
      <w:lvlText w:val="•"/>
      <w:lvlJc w:val="left"/>
      <w:pPr>
        <w:ind w:left="2640" w:hanging="237"/>
      </w:pPr>
      <w:rPr>
        <w:rFonts w:hint="default"/>
      </w:rPr>
    </w:lvl>
    <w:lvl w:ilvl="3" w:tplc="83EEA5C8">
      <w:numFmt w:val="bullet"/>
      <w:lvlText w:val="•"/>
      <w:lvlJc w:val="left"/>
      <w:pPr>
        <w:ind w:left="3600" w:hanging="237"/>
      </w:pPr>
      <w:rPr>
        <w:rFonts w:hint="default"/>
      </w:rPr>
    </w:lvl>
    <w:lvl w:ilvl="4" w:tplc="99C23446">
      <w:numFmt w:val="bullet"/>
      <w:lvlText w:val="•"/>
      <w:lvlJc w:val="left"/>
      <w:pPr>
        <w:ind w:left="4560" w:hanging="237"/>
      </w:pPr>
      <w:rPr>
        <w:rFonts w:hint="default"/>
      </w:rPr>
    </w:lvl>
    <w:lvl w:ilvl="5" w:tplc="B5CE4DC0">
      <w:numFmt w:val="bullet"/>
      <w:lvlText w:val="•"/>
      <w:lvlJc w:val="left"/>
      <w:pPr>
        <w:ind w:left="5520" w:hanging="237"/>
      </w:pPr>
      <w:rPr>
        <w:rFonts w:hint="default"/>
      </w:rPr>
    </w:lvl>
    <w:lvl w:ilvl="6" w:tplc="0CB03BE0">
      <w:numFmt w:val="bullet"/>
      <w:lvlText w:val="•"/>
      <w:lvlJc w:val="left"/>
      <w:pPr>
        <w:ind w:left="6480" w:hanging="237"/>
      </w:pPr>
      <w:rPr>
        <w:rFonts w:hint="default"/>
      </w:rPr>
    </w:lvl>
    <w:lvl w:ilvl="7" w:tplc="4EA6C77C">
      <w:numFmt w:val="bullet"/>
      <w:lvlText w:val="•"/>
      <w:lvlJc w:val="left"/>
      <w:pPr>
        <w:ind w:left="7440" w:hanging="237"/>
      </w:pPr>
      <w:rPr>
        <w:rFonts w:hint="default"/>
      </w:rPr>
    </w:lvl>
    <w:lvl w:ilvl="8" w:tplc="861C4B44">
      <w:numFmt w:val="bullet"/>
      <w:lvlText w:val="•"/>
      <w:lvlJc w:val="left"/>
      <w:pPr>
        <w:ind w:left="8400" w:hanging="237"/>
      </w:pPr>
      <w:rPr>
        <w:rFonts w:hint="default"/>
      </w:rPr>
    </w:lvl>
  </w:abstractNum>
  <w:abstractNum w:abstractNumId="4" w15:restartNumberingAfterBreak="0">
    <w:nsid w:val="0F573BBD"/>
    <w:multiLevelType w:val="hybridMultilevel"/>
    <w:tmpl w:val="1272E61E"/>
    <w:lvl w:ilvl="0" w:tplc="A4A2619E">
      <w:start w:val="1"/>
      <w:numFmt w:val="upperLetter"/>
      <w:lvlText w:val="%1."/>
      <w:lvlJc w:val="left"/>
      <w:pPr>
        <w:ind w:left="721" w:hanging="243"/>
        <w:jc w:val="left"/>
      </w:pPr>
      <w:rPr>
        <w:rFonts w:ascii="Calibri" w:eastAsia="Calibri" w:hAnsi="Calibri" w:cs="Calibri" w:hint="default"/>
        <w:b/>
        <w:bCs/>
        <w:i w:val="0"/>
        <w:iCs w:val="0"/>
        <w:w w:val="98"/>
        <w:sz w:val="22"/>
        <w:szCs w:val="22"/>
      </w:rPr>
    </w:lvl>
    <w:lvl w:ilvl="1" w:tplc="498CF264">
      <w:numFmt w:val="bullet"/>
      <w:lvlText w:val="•"/>
      <w:lvlJc w:val="left"/>
      <w:pPr>
        <w:ind w:left="1680" w:hanging="243"/>
      </w:pPr>
      <w:rPr>
        <w:rFonts w:hint="default"/>
      </w:rPr>
    </w:lvl>
    <w:lvl w:ilvl="2" w:tplc="8F6CB490">
      <w:numFmt w:val="bullet"/>
      <w:lvlText w:val="•"/>
      <w:lvlJc w:val="left"/>
      <w:pPr>
        <w:ind w:left="2640" w:hanging="243"/>
      </w:pPr>
      <w:rPr>
        <w:rFonts w:hint="default"/>
      </w:rPr>
    </w:lvl>
    <w:lvl w:ilvl="3" w:tplc="7A36EEF6">
      <w:numFmt w:val="bullet"/>
      <w:lvlText w:val="•"/>
      <w:lvlJc w:val="left"/>
      <w:pPr>
        <w:ind w:left="3600" w:hanging="243"/>
      </w:pPr>
      <w:rPr>
        <w:rFonts w:hint="default"/>
      </w:rPr>
    </w:lvl>
    <w:lvl w:ilvl="4" w:tplc="F0EC4B3E">
      <w:numFmt w:val="bullet"/>
      <w:lvlText w:val="•"/>
      <w:lvlJc w:val="left"/>
      <w:pPr>
        <w:ind w:left="4560" w:hanging="243"/>
      </w:pPr>
      <w:rPr>
        <w:rFonts w:hint="default"/>
      </w:rPr>
    </w:lvl>
    <w:lvl w:ilvl="5" w:tplc="FDE6F76C">
      <w:numFmt w:val="bullet"/>
      <w:lvlText w:val="•"/>
      <w:lvlJc w:val="left"/>
      <w:pPr>
        <w:ind w:left="5520" w:hanging="243"/>
      </w:pPr>
      <w:rPr>
        <w:rFonts w:hint="default"/>
      </w:rPr>
    </w:lvl>
    <w:lvl w:ilvl="6" w:tplc="6F267750">
      <w:numFmt w:val="bullet"/>
      <w:lvlText w:val="•"/>
      <w:lvlJc w:val="left"/>
      <w:pPr>
        <w:ind w:left="6480" w:hanging="243"/>
      </w:pPr>
      <w:rPr>
        <w:rFonts w:hint="default"/>
      </w:rPr>
    </w:lvl>
    <w:lvl w:ilvl="7" w:tplc="DA989158">
      <w:numFmt w:val="bullet"/>
      <w:lvlText w:val="•"/>
      <w:lvlJc w:val="left"/>
      <w:pPr>
        <w:ind w:left="7440" w:hanging="243"/>
      </w:pPr>
      <w:rPr>
        <w:rFonts w:hint="default"/>
      </w:rPr>
    </w:lvl>
    <w:lvl w:ilvl="8" w:tplc="81D2EFC4">
      <w:numFmt w:val="bullet"/>
      <w:lvlText w:val="•"/>
      <w:lvlJc w:val="left"/>
      <w:pPr>
        <w:ind w:left="8400" w:hanging="243"/>
      </w:pPr>
      <w:rPr>
        <w:rFonts w:hint="default"/>
      </w:rPr>
    </w:lvl>
  </w:abstractNum>
  <w:abstractNum w:abstractNumId="5" w15:restartNumberingAfterBreak="0">
    <w:nsid w:val="110C28BC"/>
    <w:multiLevelType w:val="hybridMultilevel"/>
    <w:tmpl w:val="C7FCAAB4"/>
    <w:lvl w:ilvl="0" w:tplc="42900690">
      <w:start w:val="1"/>
      <w:numFmt w:val="decimal"/>
      <w:lvlText w:val="%1."/>
      <w:lvlJc w:val="left"/>
      <w:pPr>
        <w:ind w:left="1058" w:hanging="360"/>
        <w:jc w:val="left"/>
      </w:pPr>
      <w:rPr>
        <w:rFonts w:ascii="Calibri" w:eastAsia="Calibri" w:hAnsi="Calibri" w:cs="Calibri" w:hint="default"/>
        <w:b w:val="0"/>
        <w:bCs w:val="0"/>
        <w:i w:val="0"/>
        <w:iCs w:val="0"/>
        <w:spacing w:val="-2"/>
        <w:w w:val="99"/>
        <w:sz w:val="22"/>
        <w:szCs w:val="22"/>
      </w:rPr>
    </w:lvl>
    <w:lvl w:ilvl="1" w:tplc="39584CEC">
      <w:numFmt w:val="bullet"/>
      <w:lvlText w:val="•"/>
      <w:lvlJc w:val="left"/>
      <w:pPr>
        <w:ind w:left="1986" w:hanging="360"/>
      </w:pPr>
      <w:rPr>
        <w:rFonts w:hint="default"/>
      </w:rPr>
    </w:lvl>
    <w:lvl w:ilvl="2" w:tplc="7286F802">
      <w:numFmt w:val="bullet"/>
      <w:lvlText w:val="•"/>
      <w:lvlJc w:val="left"/>
      <w:pPr>
        <w:ind w:left="2912" w:hanging="360"/>
      </w:pPr>
      <w:rPr>
        <w:rFonts w:hint="default"/>
      </w:rPr>
    </w:lvl>
    <w:lvl w:ilvl="3" w:tplc="0E3EDFA4">
      <w:numFmt w:val="bullet"/>
      <w:lvlText w:val="•"/>
      <w:lvlJc w:val="left"/>
      <w:pPr>
        <w:ind w:left="3838" w:hanging="360"/>
      </w:pPr>
      <w:rPr>
        <w:rFonts w:hint="default"/>
      </w:rPr>
    </w:lvl>
    <w:lvl w:ilvl="4" w:tplc="2070B7D4">
      <w:numFmt w:val="bullet"/>
      <w:lvlText w:val="•"/>
      <w:lvlJc w:val="left"/>
      <w:pPr>
        <w:ind w:left="4764" w:hanging="360"/>
      </w:pPr>
      <w:rPr>
        <w:rFonts w:hint="default"/>
      </w:rPr>
    </w:lvl>
    <w:lvl w:ilvl="5" w:tplc="C5086ED0">
      <w:numFmt w:val="bullet"/>
      <w:lvlText w:val="•"/>
      <w:lvlJc w:val="left"/>
      <w:pPr>
        <w:ind w:left="5690" w:hanging="360"/>
      </w:pPr>
      <w:rPr>
        <w:rFonts w:hint="default"/>
      </w:rPr>
    </w:lvl>
    <w:lvl w:ilvl="6" w:tplc="9774C578">
      <w:numFmt w:val="bullet"/>
      <w:lvlText w:val="•"/>
      <w:lvlJc w:val="left"/>
      <w:pPr>
        <w:ind w:left="6616" w:hanging="360"/>
      </w:pPr>
      <w:rPr>
        <w:rFonts w:hint="default"/>
      </w:rPr>
    </w:lvl>
    <w:lvl w:ilvl="7" w:tplc="06B00F6C">
      <w:numFmt w:val="bullet"/>
      <w:lvlText w:val="•"/>
      <w:lvlJc w:val="left"/>
      <w:pPr>
        <w:ind w:left="7542" w:hanging="360"/>
      </w:pPr>
      <w:rPr>
        <w:rFonts w:hint="default"/>
      </w:rPr>
    </w:lvl>
    <w:lvl w:ilvl="8" w:tplc="E80A8E02">
      <w:numFmt w:val="bullet"/>
      <w:lvlText w:val="•"/>
      <w:lvlJc w:val="left"/>
      <w:pPr>
        <w:ind w:left="8468" w:hanging="360"/>
      </w:pPr>
      <w:rPr>
        <w:rFonts w:hint="default"/>
      </w:rPr>
    </w:lvl>
  </w:abstractNum>
  <w:abstractNum w:abstractNumId="6" w15:restartNumberingAfterBreak="0">
    <w:nsid w:val="115F163E"/>
    <w:multiLevelType w:val="hybridMultilevel"/>
    <w:tmpl w:val="F24A99C0"/>
    <w:lvl w:ilvl="0" w:tplc="094A9B44">
      <w:start w:val="1"/>
      <w:numFmt w:val="decimal"/>
      <w:lvlText w:val="%1."/>
      <w:lvlJc w:val="left"/>
      <w:pPr>
        <w:ind w:left="1057" w:hanging="360"/>
        <w:jc w:val="left"/>
      </w:pPr>
      <w:rPr>
        <w:rFonts w:ascii="Calibri" w:eastAsia="Calibri" w:hAnsi="Calibri" w:cs="Calibri" w:hint="default"/>
        <w:b w:val="0"/>
        <w:bCs w:val="0"/>
        <w:i w:val="0"/>
        <w:iCs w:val="0"/>
        <w:spacing w:val="-2"/>
        <w:w w:val="99"/>
        <w:sz w:val="22"/>
        <w:szCs w:val="22"/>
      </w:rPr>
    </w:lvl>
    <w:lvl w:ilvl="1" w:tplc="12A6C060">
      <w:numFmt w:val="bullet"/>
      <w:lvlText w:val="•"/>
      <w:lvlJc w:val="left"/>
      <w:pPr>
        <w:ind w:left="1986" w:hanging="360"/>
      </w:pPr>
      <w:rPr>
        <w:rFonts w:hint="default"/>
      </w:rPr>
    </w:lvl>
    <w:lvl w:ilvl="2" w:tplc="D8BAE160">
      <w:numFmt w:val="bullet"/>
      <w:lvlText w:val="•"/>
      <w:lvlJc w:val="left"/>
      <w:pPr>
        <w:ind w:left="2912" w:hanging="360"/>
      </w:pPr>
      <w:rPr>
        <w:rFonts w:hint="default"/>
      </w:rPr>
    </w:lvl>
    <w:lvl w:ilvl="3" w:tplc="C96263C0">
      <w:numFmt w:val="bullet"/>
      <w:lvlText w:val="•"/>
      <w:lvlJc w:val="left"/>
      <w:pPr>
        <w:ind w:left="3838" w:hanging="360"/>
      </w:pPr>
      <w:rPr>
        <w:rFonts w:hint="default"/>
      </w:rPr>
    </w:lvl>
    <w:lvl w:ilvl="4" w:tplc="183C21A2">
      <w:numFmt w:val="bullet"/>
      <w:lvlText w:val="•"/>
      <w:lvlJc w:val="left"/>
      <w:pPr>
        <w:ind w:left="4764" w:hanging="360"/>
      </w:pPr>
      <w:rPr>
        <w:rFonts w:hint="default"/>
      </w:rPr>
    </w:lvl>
    <w:lvl w:ilvl="5" w:tplc="AB28BBFA">
      <w:numFmt w:val="bullet"/>
      <w:lvlText w:val="•"/>
      <w:lvlJc w:val="left"/>
      <w:pPr>
        <w:ind w:left="5690" w:hanging="360"/>
      </w:pPr>
      <w:rPr>
        <w:rFonts w:hint="default"/>
      </w:rPr>
    </w:lvl>
    <w:lvl w:ilvl="6" w:tplc="DAFA6914">
      <w:numFmt w:val="bullet"/>
      <w:lvlText w:val="•"/>
      <w:lvlJc w:val="left"/>
      <w:pPr>
        <w:ind w:left="6616" w:hanging="360"/>
      </w:pPr>
      <w:rPr>
        <w:rFonts w:hint="default"/>
      </w:rPr>
    </w:lvl>
    <w:lvl w:ilvl="7" w:tplc="8A10FA70">
      <w:numFmt w:val="bullet"/>
      <w:lvlText w:val="•"/>
      <w:lvlJc w:val="left"/>
      <w:pPr>
        <w:ind w:left="7542" w:hanging="360"/>
      </w:pPr>
      <w:rPr>
        <w:rFonts w:hint="default"/>
      </w:rPr>
    </w:lvl>
    <w:lvl w:ilvl="8" w:tplc="3482DEE2">
      <w:numFmt w:val="bullet"/>
      <w:lvlText w:val="•"/>
      <w:lvlJc w:val="left"/>
      <w:pPr>
        <w:ind w:left="8468" w:hanging="360"/>
      </w:pPr>
      <w:rPr>
        <w:rFonts w:hint="default"/>
      </w:rPr>
    </w:lvl>
  </w:abstractNum>
  <w:abstractNum w:abstractNumId="7" w15:restartNumberingAfterBreak="0">
    <w:nsid w:val="129A49E9"/>
    <w:multiLevelType w:val="hybridMultilevel"/>
    <w:tmpl w:val="51B601DC"/>
    <w:lvl w:ilvl="0" w:tplc="A99A22F0">
      <w:numFmt w:val="bullet"/>
      <w:lvlText w:val=""/>
      <w:lvlJc w:val="left"/>
      <w:pPr>
        <w:ind w:left="1198" w:hanging="362"/>
      </w:pPr>
      <w:rPr>
        <w:rFonts w:ascii="Symbol" w:eastAsia="Symbol" w:hAnsi="Symbol" w:cs="Symbol" w:hint="default"/>
        <w:b w:val="0"/>
        <w:bCs w:val="0"/>
        <w:i w:val="0"/>
        <w:iCs w:val="0"/>
        <w:w w:val="98"/>
        <w:sz w:val="22"/>
        <w:szCs w:val="22"/>
      </w:rPr>
    </w:lvl>
    <w:lvl w:ilvl="1" w:tplc="D0F04092">
      <w:numFmt w:val="bullet"/>
      <w:lvlText w:val="•"/>
      <w:lvlJc w:val="left"/>
      <w:pPr>
        <w:ind w:left="2112" w:hanging="362"/>
      </w:pPr>
      <w:rPr>
        <w:rFonts w:hint="default"/>
      </w:rPr>
    </w:lvl>
    <w:lvl w:ilvl="2" w:tplc="9690869C">
      <w:numFmt w:val="bullet"/>
      <w:lvlText w:val="•"/>
      <w:lvlJc w:val="left"/>
      <w:pPr>
        <w:ind w:left="3024" w:hanging="362"/>
      </w:pPr>
      <w:rPr>
        <w:rFonts w:hint="default"/>
      </w:rPr>
    </w:lvl>
    <w:lvl w:ilvl="3" w:tplc="B4ACCF94">
      <w:numFmt w:val="bullet"/>
      <w:lvlText w:val="•"/>
      <w:lvlJc w:val="left"/>
      <w:pPr>
        <w:ind w:left="3936" w:hanging="362"/>
      </w:pPr>
      <w:rPr>
        <w:rFonts w:hint="default"/>
      </w:rPr>
    </w:lvl>
    <w:lvl w:ilvl="4" w:tplc="FB5CBF42">
      <w:numFmt w:val="bullet"/>
      <w:lvlText w:val="•"/>
      <w:lvlJc w:val="left"/>
      <w:pPr>
        <w:ind w:left="4848" w:hanging="362"/>
      </w:pPr>
      <w:rPr>
        <w:rFonts w:hint="default"/>
      </w:rPr>
    </w:lvl>
    <w:lvl w:ilvl="5" w:tplc="DD4AEEF0">
      <w:numFmt w:val="bullet"/>
      <w:lvlText w:val="•"/>
      <w:lvlJc w:val="left"/>
      <w:pPr>
        <w:ind w:left="5760" w:hanging="362"/>
      </w:pPr>
      <w:rPr>
        <w:rFonts w:hint="default"/>
      </w:rPr>
    </w:lvl>
    <w:lvl w:ilvl="6" w:tplc="EE6C4418">
      <w:numFmt w:val="bullet"/>
      <w:lvlText w:val="•"/>
      <w:lvlJc w:val="left"/>
      <w:pPr>
        <w:ind w:left="6672" w:hanging="362"/>
      </w:pPr>
      <w:rPr>
        <w:rFonts w:hint="default"/>
      </w:rPr>
    </w:lvl>
    <w:lvl w:ilvl="7" w:tplc="C4C2DD20">
      <w:numFmt w:val="bullet"/>
      <w:lvlText w:val="•"/>
      <w:lvlJc w:val="left"/>
      <w:pPr>
        <w:ind w:left="7584" w:hanging="362"/>
      </w:pPr>
      <w:rPr>
        <w:rFonts w:hint="default"/>
      </w:rPr>
    </w:lvl>
    <w:lvl w:ilvl="8" w:tplc="C0E6CBF6">
      <w:numFmt w:val="bullet"/>
      <w:lvlText w:val="•"/>
      <w:lvlJc w:val="left"/>
      <w:pPr>
        <w:ind w:left="8496" w:hanging="362"/>
      </w:pPr>
      <w:rPr>
        <w:rFonts w:hint="default"/>
      </w:rPr>
    </w:lvl>
  </w:abstractNum>
  <w:abstractNum w:abstractNumId="8" w15:restartNumberingAfterBreak="0">
    <w:nsid w:val="12A86D24"/>
    <w:multiLevelType w:val="hybridMultilevel"/>
    <w:tmpl w:val="970AD3F2"/>
    <w:lvl w:ilvl="0" w:tplc="650C1A9E">
      <w:start w:val="1"/>
      <w:numFmt w:val="decimal"/>
      <w:lvlText w:val="%1."/>
      <w:lvlJc w:val="left"/>
      <w:pPr>
        <w:ind w:left="1200" w:hanging="362"/>
        <w:jc w:val="left"/>
      </w:pPr>
      <w:rPr>
        <w:rFonts w:ascii="Calibri" w:eastAsia="Calibri" w:hAnsi="Calibri" w:cs="Calibri" w:hint="default"/>
        <w:b w:val="0"/>
        <w:bCs w:val="0"/>
        <w:i w:val="0"/>
        <w:iCs w:val="0"/>
        <w:spacing w:val="-2"/>
        <w:w w:val="99"/>
        <w:sz w:val="22"/>
        <w:szCs w:val="22"/>
      </w:rPr>
    </w:lvl>
    <w:lvl w:ilvl="1" w:tplc="9E627FF4">
      <w:numFmt w:val="bullet"/>
      <w:lvlText w:val="•"/>
      <w:lvlJc w:val="left"/>
      <w:pPr>
        <w:ind w:left="2112" w:hanging="362"/>
      </w:pPr>
      <w:rPr>
        <w:rFonts w:hint="default"/>
      </w:rPr>
    </w:lvl>
    <w:lvl w:ilvl="2" w:tplc="369EC898">
      <w:numFmt w:val="bullet"/>
      <w:lvlText w:val="•"/>
      <w:lvlJc w:val="left"/>
      <w:pPr>
        <w:ind w:left="3024" w:hanging="362"/>
      </w:pPr>
      <w:rPr>
        <w:rFonts w:hint="default"/>
      </w:rPr>
    </w:lvl>
    <w:lvl w:ilvl="3" w:tplc="0C78D942">
      <w:numFmt w:val="bullet"/>
      <w:lvlText w:val="•"/>
      <w:lvlJc w:val="left"/>
      <w:pPr>
        <w:ind w:left="3936" w:hanging="362"/>
      </w:pPr>
      <w:rPr>
        <w:rFonts w:hint="default"/>
      </w:rPr>
    </w:lvl>
    <w:lvl w:ilvl="4" w:tplc="5FFCDC40">
      <w:numFmt w:val="bullet"/>
      <w:lvlText w:val="•"/>
      <w:lvlJc w:val="left"/>
      <w:pPr>
        <w:ind w:left="4848" w:hanging="362"/>
      </w:pPr>
      <w:rPr>
        <w:rFonts w:hint="default"/>
      </w:rPr>
    </w:lvl>
    <w:lvl w:ilvl="5" w:tplc="06566436">
      <w:numFmt w:val="bullet"/>
      <w:lvlText w:val="•"/>
      <w:lvlJc w:val="left"/>
      <w:pPr>
        <w:ind w:left="5760" w:hanging="362"/>
      </w:pPr>
      <w:rPr>
        <w:rFonts w:hint="default"/>
      </w:rPr>
    </w:lvl>
    <w:lvl w:ilvl="6" w:tplc="F87E84E2">
      <w:numFmt w:val="bullet"/>
      <w:lvlText w:val="•"/>
      <w:lvlJc w:val="left"/>
      <w:pPr>
        <w:ind w:left="6672" w:hanging="362"/>
      </w:pPr>
      <w:rPr>
        <w:rFonts w:hint="default"/>
      </w:rPr>
    </w:lvl>
    <w:lvl w:ilvl="7" w:tplc="44749EE4">
      <w:numFmt w:val="bullet"/>
      <w:lvlText w:val="•"/>
      <w:lvlJc w:val="left"/>
      <w:pPr>
        <w:ind w:left="7584" w:hanging="362"/>
      </w:pPr>
      <w:rPr>
        <w:rFonts w:hint="default"/>
      </w:rPr>
    </w:lvl>
    <w:lvl w:ilvl="8" w:tplc="309EA480">
      <w:numFmt w:val="bullet"/>
      <w:lvlText w:val="•"/>
      <w:lvlJc w:val="left"/>
      <w:pPr>
        <w:ind w:left="8496" w:hanging="362"/>
      </w:pPr>
      <w:rPr>
        <w:rFonts w:hint="default"/>
      </w:rPr>
    </w:lvl>
  </w:abstractNum>
  <w:abstractNum w:abstractNumId="9" w15:restartNumberingAfterBreak="0">
    <w:nsid w:val="13170066"/>
    <w:multiLevelType w:val="hybridMultilevel"/>
    <w:tmpl w:val="FDFAF3B8"/>
    <w:lvl w:ilvl="0" w:tplc="590EF88A">
      <w:numFmt w:val="bullet"/>
      <w:lvlText w:val=""/>
      <w:lvlJc w:val="left"/>
      <w:pPr>
        <w:ind w:left="698" w:hanging="360"/>
      </w:pPr>
      <w:rPr>
        <w:rFonts w:ascii="Symbol" w:eastAsia="Symbol" w:hAnsi="Symbol" w:cs="Symbol" w:hint="default"/>
        <w:b w:val="0"/>
        <w:bCs w:val="0"/>
        <w:i w:val="0"/>
        <w:iCs w:val="0"/>
        <w:w w:val="98"/>
        <w:sz w:val="22"/>
        <w:szCs w:val="22"/>
      </w:rPr>
    </w:lvl>
    <w:lvl w:ilvl="1" w:tplc="63E827CA">
      <w:numFmt w:val="bullet"/>
      <w:lvlText w:val="•"/>
      <w:lvlJc w:val="left"/>
      <w:pPr>
        <w:ind w:left="1662" w:hanging="360"/>
      </w:pPr>
      <w:rPr>
        <w:rFonts w:hint="default"/>
      </w:rPr>
    </w:lvl>
    <w:lvl w:ilvl="2" w:tplc="F78A0F16">
      <w:numFmt w:val="bullet"/>
      <w:lvlText w:val="•"/>
      <w:lvlJc w:val="left"/>
      <w:pPr>
        <w:ind w:left="2624" w:hanging="360"/>
      </w:pPr>
      <w:rPr>
        <w:rFonts w:hint="default"/>
      </w:rPr>
    </w:lvl>
    <w:lvl w:ilvl="3" w:tplc="435CA558">
      <w:numFmt w:val="bullet"/>
      <w:lvlText w:val="•"/>
      <w:lvlJc w:val="left"/>
      <w:pPr>
        <w:ind w:left="3586" w:hanging="360"/>
      </w:pPr>
      <w:rPr>
        <w:rFonts w:hint="default"/>
      </w:rPr>
    </w:lvl>
    <w:lvl w:ilvl="4" w:tplc="CF6635AA">
      <w:numFmt w:val="bullet"/>
      <w:lvlText w:val="•"/>
      <w:lvlJc w:val="left"/>
      <w:pPr>
        <w:ind w:left="4548" w:hanging="360"/>
      </w:pPr>
      <w:rPr>
        <w:rFonts w:hint="default"/>
      </w:rPr>
    </w:lvl>
    <w:lvl w:ilvl="5" w:tplc="0D9A22AA">
      <w:numFmt w:val="bullet"/>
      <w:lvlText w:val="•"/>
      <w:lvlJc w:val="left"/>
      <w:pPr>
        <w:ind w:left="5510" w:hanging="360"/>
      </w:pPr>
      <w:rPr>
        <w:rFonts w:hint="default"/>
      </w:rPr>
    </w:lvl>
    <w:lvl w:ilvl="6" w:tplc="1A56D922">
      <w:numFmt w:val="bullet"/>
      <w:lvlText w:val="•"/>
      <w:lvlJc w:val="left"/>
      <w:pPr>
        <w:ind w:left="6472" w:hanging="360"/>
      </w:pPr>
      <w:rPr>
        <w:rFonts w:hint="default"/>
      </w:rPr>
    </w:lvl>
    <w:lvl w:ilvl="7" w:tplc="A8D6C310">
      <w:numFmt w:val="bullet"/>
      <w:lvlText w:val="•"/>
      <w:lvlJc w:val="left"/>
      <w:pPr>
        <w:ind w:left="7434" w:hanging="360"/>
      </w:pPr>
      <w:rPr>
        <w:rFonts w:hint="default"/>
      </w:rPr>
    </w:lvl>
    <w:lvl w:ilvl="8" w:tplc="B45CCFD0">
      <w:numFmt w:val="bullet"/>
      <w:lvlText w:val="•"/>
      <w:lvlJc w:val="left"/>
      <w:pPr>
        <w:ind w:left="8396" w:hanging="360"/>
      </w:pPr>
      <w:rPr>
        <w:rFonts w:hint="default"/>
      </w:rPr>
    </w:lvl>
  </w:abstractNum>
  <w:abstractNum w:abstractNumId="10" w15:restartNumberingAfterBreak="0">
    <w:nsid w:val="13A67B3E"/>
    <w:multiLevelType w:val="hybridMultilevel"/>
    <w:tmpl w:val="A57032F8"/>
    <w:lvl w:ilvl="0" w:tplc="C324E518">
      <w:numFmt w:val="bullet"/>
      <w:lvlText w:val="●"/>
      <w:lvlJc w:val="left"/>
      <w:pPr>
        <w:ind w:left="278" w:hanging="167"/>
      </w:pPr>
      <w:rPr>
        <w:rFonts w:ascii="Calibri" w:eastAsia="Calibri" w:hAnsi="Calibri" w:cs="Calibri" w:hint="default"/>
        <w:b w:val="0"/>
        <w:bCs w:val="0"/>
        <w:i w:val="0"/>
        <w:iCs w:val="0"/>
        <w:w w:val="100"/>
        <w:sz w:val="20"/>
        <w:szCs w:val="20"/>
      </w:rPr>
    </w:lvl>
    <w:lvl w:ilvl="1" w:tplc="8F7E7B50">
      <w:numFmt w:val="bullet"/>
      <w:lvlText w:val="•"/>
      <w:lvlJc w:val="left"/>
      <w:pPr>
        <w:ind w:left="962" w:hanging="167"/>
      </w:pPr>
      <w:rPr>
        <w:rFonts w:hint="default"/>
      </w:rPr>
    </w:lvl>
    <w:lvl w:ilvl="2" w:tplc="4DEA996E">
      <w:numFmt w:val="bullet"/>
      <w:lvlText w:val="•"/>
      <w:lvlJc w:val="left"/>
      <w:pPr>
        <w:ind w:left="1644" w:hanging="167"/>
      </w:pPr>
      <w:rPr>
        <w:rFonts w:hint="default"/>
      </w:rPr>
    </w:lvl>
    <w:lvl w:ilvl="3" w:tplc="84844C44">
      <w:numFmt w:val="bullet"/>
      <w:lvlText w:val="•"/>
      <w:lvlJc w:val="left"/>
      <w:pPr>
        <w:ind w:left="2326" w:hanging="167"/>
      </w:pPr>
      <w:rPr>
        <w:rFonts w:hint="default"/>
      </w:rPr>
    </w:lvl>
    <w:lvl w:ilvl="4" w:tplc="3E9692A8">
      <w:numFmt w:val="bullet"/>
      <w:lvlText w:val="•"/>
      <w:lvlJc w:val="left"/>
      <w:pPr>
        <w:ind w:left="3008" w:hanging="167"/>
      </w:pPr>
      <w:rPr>
        <w:rFonts w:hint="default"/>
      </w:rPr>
    </w:lvl>
    <w:lvl w:ilvl="5" w:tplc="AE64A330">
      <w:numFmt w:val="bullet"/>
      <w:lvlText w:val="•"/>
      <w:lvlJc w:val="left"/>
      <w:pPr>
        <w:ind w:left="3690" w:hanging="167"/>
      </w:pPr>
      <w:rPr>
        <w:rFonts w:hint="default"/>
      </w:rPr>
    </w:lvl>
    <w:lvl w:ilvl="6" w:tplc="0C0699F8">
      <w:numFmt w:val="bullet"/>
      <w:lvlText w:val="•"/>
      <w:lvlJc w:val="left"/>
      <w:pPr>
        <w:ind w:left="4372" w:hanging="167"/>
      </w:pPr>
      <w:rPr>
        <w:rFonts w:hint="default"/>
      </w:rPr>
    </w:lvl>
    <w:lvl w:ilvl="7" w:tplc="38D4944A">
      <w:numFmt w:val="bullet"/>
      <w:lvlText w:val="•"/>
      <w:lvlJc w:val="left"/>
      <w:pPr>
        <w:ind w:left="5054" w:hanging="167"/>
      </w:pPr>
      <w:rPr>
        <w:rFonts w:hint="default"/>
      </w:rPr>
    </w:lvl>
    <w:lvl w:ilvl="8" w:tplc="63DC4B0A">
      <w:numFmt w:val="bullet"/>
      <w:lvlText w:val="•"/>
      <w:lvlJc w:val="left"/>
      <w:pPr>
        <w:ind w:left="5736" w:hanging="167"/>
      </w:pPr>
      <w:rPr>
        <w:rFonts w:hint="default"/>
      </w:rPr>
    </w:lvl>
  </w:abstractNum>
  <w:abstractNum w:abstractNumId="11" w15:restartNumberingAfterBreak="0">
    <w:nsid w:val="17F662B2"/>
    <w:multiLevelType w:val="hybridMultilevel"/>
    <w:tmpl w:val="340AD058"/>
    <w:lvl w:ilvl="0" w:tplc="6A20D3E0">
      <w:start w:val="1"/>
      <w:numFmt w:val="upperLetter"/>
      <w:lvlText w:val="%1."/>
      <w:lvlJc w:val="left"/>
      <w:pPr>
        <w:ind w:left="843" w:hanging="266"/>
        <w:jc w:val="right"/>
      </w:pPr>
      <w:rPr>
        <w:rFonts w:ascii="Calibri" w:eastAsia="Calibri" w:hAnsi="Calibri" w:cs="Calibri" w:hint="default"/>
        <w:b/>
        <w:bCs/>
        <w:i w:val="0"/>
        <w:iCs w:val="0"/>
        <w:spacing w:val="-1"/>
        <w:w w:val="100"/>
        <w:sz w:val="24"/>
        <w:szCs w:val="24"/>
      </w:rPr>
    </w:lvl>
    <w:lvl w:ilvl="1" w:tplc="E36A0266">
      <w:numFmt w:val="bullet"/>
      <w:lvlText w:val="•"/>
      <w:lvlJc w:val="left"/>
      <w:pPr>
        <w:ind w:left="840" w:hanging="266"/>
      </w:pPr>
      <w:rPr>
        <w:rFonts w:hint="default"/>
      </w:rPr>
    </w:lvl>
    <w:lvl w:ilvl="2" w:tplc="5C44215E">
      <w:numFmt w:val="bullet"/>
      <w:lvlText w:val="•"/>
      <w:lvlJc w:val="left"/>
      <w:pPr>
        <w:ind w:left="1893" w:hanging="266"/>
      </w:pPr>
      <w:rPr>
        <w:rFonts w:hint="default"/>
      </w:rPr>
    </w:lvl>
    <w:lvl w:ilvl="3" w:tplc="93DCCE36">
      <w:numFmt w:val="bullet"/>
      <w:lvlText w:val="•"/>
      <w:lvlJc w:val="left"/>
      <w:pPr>
        <w:ind w:left="2946" w:hanging="266"/>
      </w:pPr>
      <w:rPr>
        <w:rFonts w:hint="default"/>
      </w:rPr>
    </w:lvl>
    <w:lvl w:ilvl="4" w:tplc="67801B86">
      <w:numFmt w:val="bullet"/>
      <w:lvlText w:val="•"/>
      <w:lvlJc w:val="left"/>
      <w:pPr>
        <w:ind w:left="4000" w:hanging="266"/>
      </w:pPr>
      <w:rPr>
        <w:rFonts w:hint="default"/>
      </w:rPr>
    </w:lvl>
    <w:lvl w:ilvl="5" w:tplc="56BCDB66">
      <w:numFmt w:val="bullet"/>
      <w:lvlText w:val="•"/>
      <w:lvlJc w:val="left"/>
      <w:pPr>
        <w:ind w:left="5053" w:hanging="266"/>
      </w:pPr>
      <w:rPr>
        <w:rFonts w:hint="default"/>
      </w:rPr>
    </w:lvl>
    <w:lvl w:ilvl="6" w:tplc="7D047DC6">
      <w:numFmt w:val="bullet"/>
      <w:lvlText w:val="•"/>
      <w:lvlJc w:val="left"/>
      <w:pPr>
        <w:ind w:left="6106" w:hanging="266"/>
      </w:pPr>
      <w:rPr>
        <w:rFonts w:hint="default"/>
      </w:rPr>
    </w:lvl>
    <w:lvl w:ilvl="7" w:tplc="AF5A9564">
      <w:numFmt w:val="bullet"/>
      <w:lvlText w:val="•"/>
      <w:lvlJc w:val="left"/>
      <w:pPr>
        <w:ind w:left="7160" w:hanging="266"/>
      </w:pPr>
      <w:rPr>
        <w:rFonts w:hint="default"/>
      </w:rPr>
    </w:lvl>
    <w:lvl w:ilvl="8" w:tplc="9BA6C8F8">
      <w:numFmt w:val="bullet"/>
      <w:lvlText w:val="•"/>
      <w:lvlJc w:val="left"/>
      <w:pPr>
        <w:ind w:left="8213" w:hanging="266"/>
      </w:pPr>
      <w:rPr>
        <w:rFonts w:hint="default"/>
      </w:rPr>
    </w:lvl>
  </w:abstractNum>
  <w:abstractNum w:abstractNumId="12" w15:restartNumberingAfterBreak="0">
    <w:nsid w:val="19685211"/>
    <w:multiLevelType w:val="hybridMultilevel"/>
    <w:tmpl w:val="5AF01936"/>
    <w:lvl w:ilvl="0" w:tplc="B50298C8">
      <w:start w:val="1"/>
      <w:numFmt w:val="decimal"/>
      <w:lvlText w:val="%1."/>
      <w:lvlJc w:val="left"/>
      <w:pPr>
        <w:ind w:left="338" w:hanging="254"/>
        <w:jc w:val="left"/>
      </w:pPr>
      <w:rPr>
        <w:rFonts w:ascii="Calibri" w:eastAsia="Calibri" w:hAnsi="Calibri" w:cs="Calibri" w:hint="default"/>
        <w:b/>
        <w:bCs/>
        <w:i w:val="0"/>
        <w:iCs w:val="0"/>
        <w:w w:val="98"/>
        <w:sz w:val="22"/>
        <w:szCs w:val="22"/>
      </w:rPr>
    </w:lvl>
    <w:lvl w:ilvl="1" w:tplc="A3989F6E">
      <w:start w:val="1"/>
      <w:numFmt w:val="decimal"/>
      <w:lvlText w:val="%2."/>
      <w:lvlJc w:val="left"/>
      <w:pPr>
        <w:ind w:left="842" w:hanging="216"/>
        <w:jc w:val="left"/>
      </w:pPr>
      <w:rPr>
        <w:rFonts w:ascii="Calibri" w:eastAsia="Calibri" w:hAnsi="Calibri" w:cs="Calibri" w:hint="default"/>
        <w:b w:val="0"/>
        <w:bCs w:val="0"/>
        <w:i w:val="0"/>
        <w:iCs w:val="0"/>
        <w:spacing w:val="-2"/>
        <w:w w:val="99"/>
        <w:sz w:val="22"/>
        <w:szCs w:val="22"/>
      </w:rPr>
    </w:lvl>
    <w:lvl w:ilvl="2" w:tplc="A538FF2E">
      <w:numFmt w:val="bullet"/>
      <w:lvlText w:val="•"/>
      <w:lvlJc w:val="left"/>
      <w:pPr>
        <w:ind w:left="1893" w:hanging="216"/>
      </w:pPr>
      <w:rPr>
        <w:rFonts w:hint="default"/>
      </w:rPr>
    </w:lvl>
    <w:lvl w:ilvl="3" w:tplc="2EE8C754">
      <w:numFmt w:val="bullet"/>
      <w:lvlText w:val="•"/>
      <w:lvlJc w:val="left"/>
      <w:pPr>
        <w:ind w:left="2946" w:hanging="216"/>
      </w:pPr>
      <w:rPr>
        <w:rFonts w:hint="default"/>
      </w:rPr>
    </w:lvl>
    <w:lvl w:ilvl="4" w:tplc="57F6E1A4">
      <w:numFmt w:val="bullet"/>
      <w:lvlText w:val="•"/>
      <w:lvlJc w:val="left"/>
      <w:pPr>
        <w:ind w:left="4000" w:hanging="216"/>
      </w:pPr>
      <w:rPr>
        <w:rFonts w:hint="default"/>
      </w:rPr>
    </w:lvl>
    <w:lvl w:ilvl="5" w:tplc="FCC22FA8">
      <w:numFmt w:val="bullet"/>
      <w:lvlText w:val="•"/>
      <w:lvlJc w:val="left"/>
      <w:pPr>
        <w:ind w:left="5053" w:hanging="216"/>
      </w:pPr>
      <w:rPr>
        <w:rFonts w:hint="default"/>
      </w:rPr>
    </w:lvl>
    <w:lvl w:ilvl="6" w:tplc="C290A390">
      <w:numFmt w:val="bullet"/>
      <w:lvlText w:val="•"/>
      <w:lvlJc w:val="left"/>
      <w:pPr>
        <w:ind w:left="6106" w:hanging="216"/>
      </w:pPr>
      <w:rPr>
        <w:rFonts w:hint="default"/>
      </w:rPr>
    </w:lvl>
    <w:lvl w:ilvl="7" w:tplc="791A68A6">
      <w:numFmt w:val="bullet"/>
      <w:lvlText w:val="•"/>
      <w:lvlJc w:val="left"/>
      <w:pPr>
        <w:ind w:left="7160" w:hanging="216"/>
      </w:pPr>
      <w:rPr>
        <w:rFonts w:hint="default"/>
      </w:rPr>
    </w:lvl>
    <w:lvl w:ilvl="8" w:tplc="0EF2AA9C">
      <w:numFmt w:val="bullet"/>
      <w:lvlText w:val="•"/>
      <w:lvlJc w:val="left"/>
      <w:pPr>
        <w:ind w:left="8213" w:hanging="216"/>
      </w:pPr>
      <w:rPr>
        <w:rFonts w:hint="default"/>
      </w:rPr>
    </w:lvl>
  </w:abstractNum>
  <w:abstractNum w:abstractNumId="13" w15:restartNumberingAfterBreak="0">
    <w:nsid w:val="1A1140B4"/>
    <w:multiLevelType w:val="hybridMultilevel"/>
    <w:tmpl w:val="E29AB31E"/>
    <w:lvl w:ilvl="0" w:tplc="0366C2E2">
      <w:start w:val="1"/>
      <w:numFmt w:val="upperLetter"/>
      <w:lvlText w:val="%1."/>
      <w:lvlJc w:val="left"/>
      <w:pPr>
        <w:ind w:left="837" w:hanging="359"/>
        <w:jc w:val="left"/>
      </w:pPr>
      <w:rPr>
        <w:rFonts w:hint="default"/>
        <w:spacing w:val="-1"/>
        <w:w w:val="100"/>
      </w:rPr>
    </w:lvl>
    <w:lvl w:ilvl="1" w:tplc="ECFACB50">
      <w:start w:val="1"/>
      <w:numFmt w:val="decimal"/>
      <w:lvlText w:val="%2."/>
      <w:lvlJc w:val="left"/>
      <w:pPr>
        <w:ind w:left="838" w:hanging="360"/>
        <w:jc w:val="left"/>
      </w:pPr>
      <w:rPr>
        <w:rFonts w:ascii="Calibri" w:eastAsia="Calibri" w:hAnsi="Calibri" w:cs="Calibri" w:hint="default"/>
        <w:b/>
        <w:bCs/>
        <w:i w:val="0"/>
        <w:iCs w:val="0"/>
        <w:w w:val="98"/>
        <w:sz w:val="22"/>
        <w:szCs w:val="22"/>
      </w:rPr>
    </w:lvl>
    <w:lvl w:ilvl="2" w:tplc="73D2C2FA">
      <w:numFmt w:val="bullet"/>
      <w:lvlText w:val=""/>
      <w:lvlJc w:val="left"/>
      <w:pPr>
        <w:ind w:left="1558" w:hanging="360"/>
      </w:pPr>
      <w:rPr>
        <w:rFonts w:ascii="Symbol" w:eastAsia="Symbol" w:hAnsi="Symbol" w:cs="Symbol" w:hint="default"/>
        <w:b w:val="0"/>
        <w:bCs w:val="0"/>
        <w:i w:val="0"/>
        <w:iCs w:val="0"/>
        <w:w w:val="98"/>
        <w:sz w:val="22"/>
        <w:szCs w:val="22"/>
      </w:rPr>
    </w:lvl>
    <w:lvl w:ilvl="3" w:tplc="86C007A6">
      <w:numFmt w:val="bullet"/>
      <w:lvlText w:val="•"/>
      <w:lvlJc w:val="left"/>
      <w:pPr>
        <w:ind w:left="2655" w:hanging="360"/>
      </w:pPr>
      <w:rPr>
        <w:rFonts w:hint="default"/>
      </w:rPr>
    </w:lvl>
    <w:lvl w:ilvl="4" w:tplc="B04E3E3A">
      <w:numFmt w:val="bullet"/>
      <w:lvlText w:val="•"/>
      <w:lvlJc w:val="left"/>
      <w:pPr>
        <w:ind w:left="3750" w:hanging="360"/>
      </w:pPr>
      <w:rPr>
        <w:rFonts w:hint="default"/>
      </w:rPr>
    </w:lvl>
    <w:lvl w:ilvl="5" w:tplc="8490270A">
      <w:numFmt w:val="bullet"/>
      <w:lvlText w:val="•"/>
      <w:lvlJc w:val="left"/>
      <w:pPr>
        <w:ind w:left="4845" w:hanging="360"/>
      </w:pPr>
      <w:rPr>
        <w:rFonts w:hint="default"/>
      </w:rPr>
    </w:lvl>
    <w:lvl w:ilvl="6" w:tplc="24309D60">
      <w:numFmt w:val="bullet"/>
      <w:lvlText w:val="•"/>
      <w:lvlJc w:val="left"/>
      <w:pPr>
        <w:ind w:left="5940" w:hanging="360"/>
      </w:pPr>
      <w:rPr>
        <w:rFonts w:hint="default"/>
      </w:rPr>
    </w:lvl>
    <w:lvl w:ilvl="7" w:tplc="1D58FCA2">
      <w:numFmt w:val="bullet"/>
      <w:lvlText w:val="•"/>
      <w:lvlJc w:val="left"/>
      <w:pPr>
        <w:ind w:left="7035" w:hanging="360"/>
      </w:pPr>
      <w:rPr>
        <w:rFonts w:hint="default"/>
      </w:rPr>
    </w:lvl>
    <w:lvl w:ilvl="8" w:tplc="98128F24">
      <w:numFmt w:val="bullet"/>
      <w:lvlText w:val="•"/>
      <w:lvlJc w:val="left"/>
      <w:pPr>
        <w:ind w:left="8130" w:hanging="360"/>
      </w:pPr>
      <w:rPr>
        <w:rFonts w:hint="default"/>
      </w:rPr>
    </w:lvl>
  </w:abstractNum>
  <w:abstractNum w:abstractNumId="14" w15:restartNumberingAfterBreak="0">
    <w:nsid w:val="1C800B4B"/>
    <w:multiLevelType w:val="hybridMultilevel"/>
    <w:tmpl w:val="FEEAF9BC"/>
    <w:lvl w:ilvl="0" w:tplc="3DECD538">
      <w:start w:val="1"/>
      <w:numFmt w:val="decimal"/>
      <w:lvlText w:val="%1."/>
      <w:lvlJc w:val="left"/>
      <w:pPr>
        <w:ind w:left="698" w:hanging="220"/>
        <w:jc w:val="left"/>
      </w:pPr>
      <w:rPr>
        <w:rFonts w:ascii="Calibri" w:eastAsia="Calibri" w:hAnsi="Calibri" w:cs="Calibri" w:hint="default"/>
        <w:b/>
        <w:bCs/>
        <w:i w:val="0"/>
        <w:iCs w:val="0"/>
        <w:w w:val="98"/>
        <w:sz w:val="22"/>
        <w:szCs w:val="22"/>
      </w:rPr>
    </w:lvl>
    <w:lvl w:ilvl="1" w:tplc="7480ECF6">
      <w:start w:val="1"/>
      <w:numFmt w:val="lowerLetter"/>
      <w:lvlText w:val="%2."/>
      <w:lvlJc w:val="left"/>
      <w:pPr>
        <w:ind w:left="1424" w:hanging="226"/>
        <w:jc w:val="left"/>
      </w:pPr>
      <w:rPr>
        <w:rFonts w:ascii="Calibri" w:eastAsia="Calibri" w:hAnsi="Calibri" w:cs="Calibri" w:hint="default"/>
        <w:b/>
        <w:bCs/>
        <w:i/>
        <w:iCs/>
        <w:spacing w:val="-1"/>
        <w:w w:val="98"/>
        <w:sz w:val="22"/>
        <w:szCs w:val="22"/>
      </w:rPr>
    </w:lvl>
    <w:lvl w:ilvl="2" w:tplc="1706B9D0">
      <w:numFmt w:val="bullet"/>
      <w:lvlText w:val="•"/>
      <w:lvlJc w:val="left"/>
      <w:pPr>
        <w:ind w:left="2408" w:hanging="226"/>
      </w:pPr>
      <w:rPr>
        <w:rFonts w:hint="default"/>
      </w:rPr>
    </w:lvl>
    <w:lvl w:ilvl="3" w:tplc="FE46560C">
      <w:numFmt w:val="bullet"/>
      <w:lvlText w:val="•"/>
      <w:lvlJc w:val="left"/>
      <w:pPr>
        <w:ind w:left="3397" w:hanging="226"/>
      </w:pPr>
      <w:rPr>
        <w:rFonts w:hint="default"/>
      </w:rPr>
    </w:lvl>
    <w:lvl w:ilvl="4" w:tplc="6756BE08">
      <w:numFmt w:val="bullet"/>
      <w:lvlText w:val="•"/>
      <w:lvlJc w:val="left"/>
      <w:pPr>
        <w:ind w:left="4386" w:hanging="226"/>
      </w:pPr>
      <w:rPr>
        <w:rFonts w:hint="default"/>
      </w:rPr>
    </w:lvl>
    <w:lvl w:ilvl="5" w:tplc="E3061038">
      <w:numFmt w:val="bullet"/>
      <w:lvlText w:val="•"/>
      <w:lvlJc w:val="left"/>
      <w:pPr>
        <w:ind w:left="5375" w:hanging="226"/>
      </w:pPr>
      <w:rPr>
        <w:rFonts w:hint="default"/>
      </w:rPr>
    </w:lvl>
    <w:lvl w:ilvl="6" w:tplc="7F4C151A">
      <w:numFmt w:val="bullet"/>
      <w:lvlText w:val="•"/>
      <w:lvlJc w:val="left"/>
      <w:pPr>
        <w:ind w:left="6364" w:hanging="226"/>
      </w:pPr>
      <w:rPr>
        <w:rFonts w:hint="default"/>
      </w:rPr>
    </w:lvl>
    <w:lvl w:ilvl="7" w:tplc="04E2BDDE">
      <w:numFmt w:val="bullet"/>
      <w:lvlText w:val="•"/>
      <w:lvlJc w:val="left"/>
      <w:pPr>
        <w:ind w:left="7353" w:hanging="226"/>
      </w:pPr>
      <w:rPr>
        <w:rFonts w:hint="default"/>
      </w:rPr>
    </w:lvl>
    <w:lvl w:ilvl="8" w:tplc="7D1E7396">
      <w:numFmt w:val="bullet"/>
      <w:lvlText w:val="•"/>
      <w:lvlJc w:val="left"/>
      <w:pPr>
        <w:ind w:left="8342" w:hanging="226"/>
      </w:pPr>
      <w:rPr>
        <w:rFonts w:hint="default"/>
      </w:rPr>
    </w:lvl>
  </w:abstractNum>
  <w:abstractNum w:abstractNumId="15" w15:restartNumberingAfterBreak="0">
    <w:nsid w:val="21A867AD"/>
    <w:multiLevelType w:val="hybridMultilevel"/>
    <w:tmpl w:val="4EF09CD8"/>
    <w:lvl w:ilvl="0" w:tplc="77A695EC">
      <w:numFmt w:val="bullet"/>
      <w:lvlText w:val="●"/>
      <w:lvlJc w:val="left"/>
      <w:pPr>
        <w:ind w:left="278" w:hanging="167"/>
      </w:pPr>
      <w:rPr>
        <w:rFonts w:ascii="Calibri" w:eastAsia="Calibri" w:hAnsi="Calibri" w:cs="Calibri" w:hint="default"/>
        <w:b w:val="0"/>
        <w:bCs w:val="0"/>
        <w:i w:val="0"/>
        <w:iCs w:val="0"/>
        <w:w w:val="100"/>
        <w:sz w:val="20"/>
        <w:szCs w:val="20"/>
      </w:rPr>
    </w:lvl>
    <w:lvl w:ilvl="1" w:tplc="E8F6CB92">
      <w:numFmt w:val="bullet"/>
      <w:lvlText w:val="•"/>
      <w:lvlJc w:val="left"/>
      <w:pPr>
        <w:ind w:left="962" w:hanging="167"/>
      </w:pPr>
      <w:rPr>
        <w:rFonts w:hint="default"/>
      </w:rPr>
    </w:lvl>
    <w:lvl w:ilvl="2" w:tplc="194A8BDA">
      <w:numFmt w:val="bullet"/>
      <w:lvlText w:val="•"/>
      <w:lvlJc w:val="left"/>
      <w:pPr>
        <w:ind w:left="1644" w:hanging="167"/>
      </w:pPr>
      <w:rPr>
        <w:rFonts w:hint="default"/>
      </w:rPr>
    </w:lvl>
    <w:lvl w:ilvl="3" w:tplc="AC56EEF8">
      <w:numFmt w:val="bullet"/>
      <w:lvlText w:val="•"/>
      <w:lvlJc w:val="left"/>
      <w:pPr>
        <w:ind w:left="2326" w:hanging="167"/>
      </w:pPr>
      <w:rPr>
        <w:rFonts w:hint="default"/>
      </w:rPr>
    </w:lvl>
    <w:lvl w:ilvl="4" w:tplc="480EC85E">
      <w:numFmt w:val="bullet"/>
      <w:lvlText w:val="•"/>
      <w:lvlJc w:val="left"/>
      <w:pPr>
        <w:ind w:left="3008" w:hanging="167"/>
      </w:pPr>
      <w:rPr>
        <w:rFonts w:hint="default"/>
      </w:rPr>
    </w:lvl>
    <w:lvl w:ilvl="5" w:tplc="37DA048E">
      <w:numFmt w:val="bullet"/>
      <w:lvlText w:val="•"/>
      <w:lvlJc w:val="left"/>
      <w:pPr>
        <w:ind w:left="3690" w:hanging="167"/>
      </w:pPr>
      <w:rPr>
        <w:rFonts w:hint="default"/>
      </w:rPr>
    </w:lvl>
    <w:lvl w:ilvl="6" w:tplc="1B7A7CE6">
      <w:numFmt w:val="bullet"/>
      <w:lvlText w:val="•"/>
      <w:lvlJc w:val="left"/>
      <w:pPr>
        <w:ind w:left="4372" w:hanging="167"/>
      </w:pPr>
      <w:rPr>
        <w:rFonts w:hint="default"/>
      </w:rPr>
    </w:lvl>
    <w:lvl w:ilvl="7" w:tplc="F8A0A16A">
      <w:numFmt w:val="bullet"/>
      <w:lvlText w:val="•"/>
      <w:lvlJc w:val="left"/>
      <w:pPr>
        <w:ind w:left="5054" w:hanging="167"/>
      </w:pPr>
      <w:rPr>
        <w:rFonts w:hint="default"/>
      </w:rPr>
    </w:lvl>
    <w:lvl w:ilvl="8" w:tplc="E8C8E286">
      <w:numFmt w:val="bullet"/>
      <w:lvlText w:val="•"/>
      <w:lvlJc w:val="left"/>
      <w:pPr>
        <w:ind w:left="5736" w:hanging="167"/>
      </w:pPr>
      <w:rPr>
        <w:rFonts w:hint="default"/>
      </w:rPr>
    </w:lvl>
  </w:abstractNum>
  <w:abstractNum w:abstractNumId="16" w15:restartNumberingAfterBreak="0">
    <w:nsid w:val="23BA539B"/>
    <w:multiLevelType w:val="hybridMultilevel"/>
    <w:tmpl w:val="7390F64C"/>
    <w:lvl w:ilvl="0" w:tplc="6E16A216">
      <w:start w:val="1"/>
      <w:numFmt w:val="decimal"/>
      <w:lvlText w:val="%1."/>
      <w:lvlJc w:val="left"/>
      <w:pPr>
        <w:ind w:left="552" w:hanging="214"/>
        <w:jc w:val="left"/>
      </w:pPr>
      <w:rPr>
        <w:rFonts w:ascii="Calibri" w:eastAsia="Calibri" w:hAnsi="Calibri" w:cs="Calibri" w:hint="default"/>
        <w:b/>
        <w:bCs/>
        <w:i w:val="0"/>
        <w:iCs w:val="0"/>
        <w:spacing w:val="-1"/>
        <w:w w:val="98"/>
        <w:sz w:val="22"/>
        <w:szCs w:val="22"/>
      </w:rPr>
    </w:lvl>
    <w:lvl w:ilvl="1" w:tplc="A02C2FCC">
      <w:numFmt w:val="bullet"/>
      <w:lvlText w:val="•"/>
      <w:lvlJc w:val="left"/>
      <w:pPr>
        <w:ind w:left="1536" w:hanging="214"/>
      </w:pPr>
      <w:rPr>
        <w:rFonts w:hint="default"/>
      </w:rPr>
    </w:lvl>
    <w:lvl w:ilvl="2" w:tplc="FCB082F0">
      <w:numFmt w:val="bullet"/>
      <w:lvlText w:val="•"/>
      <w:lvlJc w:val="left"/>
      <w:pPr>
        <w:ind w:left="2512" w:hanging="214"/>
      </w:pPr>
      <w:rPr>
        <w:rFonts w:hint="default"/>
      </w:rPr>
    </w:lvl>
    <w:lvl w:ilvl="3" w:tplc="ADB8EF56">
      <w:numFmt w:val="bullet"/>
      <w:lvlText w:val="•"/>
      <w:lvlJc w:val="left"/>
      <w:pPr>
        <w:ind w:left="3488" w:hanging="214"/>
      </w:pPr>
      <w:rPr>
        <w:rFonts w:hint="default"/>
      </w:rPr>
    </w:lvl>
    <w:lvl w:ilvl="4" w:tplc="3AE846C2">
      <w:numFmt w:val="bullet"/>
      <w:lvlText w:val="•"/>
      <w:lvlJc w:val="left"/>
      <w:pPr>
        <w:ind w:left="4464" w:hanging="214"/>
      </w:pPr>
      <w:rPr>
        <w:rFonts w:hint="default"/>
      </w:rPr>
    </w:lvl>
    <w:lvl w:ilvl="5" w:tplc="D868B440">
      <w:numFmt w:val="bullet"/>
      <w:lvlText w:val="•"/>
      <w:lvlJc w:val="left"/>
      <w:pPr>
        <w:ind w:left="5440" w:hanging="214"/>
      </w:pPr>
      <w:rPr>
        <w:rFonts w:hint="default"/>
      </w:rPr>
    </w:lvl>
    <w:lvl w:ilvl="6" w:tplc="9CC6EA8A">
      <w:numFmt w:val="bullet"/>
      <w:lvlText w:val="•"/>
      <w:lvlJc w:val="left"/>
      <w:pPr>
        <w:ind w:left="6416" w:hanging="214"/>
      </w:pPr>
      <w:rPr>
        <w:rFonts w:hint="default"/>
      </w:rPr>
    </w:lvl>
    <w:lvl w:ilvl="7" w:tplc="60B09A4C">
      <w:numFmt w:val="bullet"/>
      <w:lvlText w:val="•"/>
      <w:lvlJc w:val="left"/>
      <w:pPr>
        <w:ind w:left="7392" w:hanging="214"/>
      </w:pPr>
      <w:rPr>
        <w:rFonts w:hint="default"/>
      </w:rPr>
    </w:lvl>
    <w:lvl w:ilvl="8" w:tplc="C8D66DEC">
      <w:numFmt w:val="bullet"/>
      <w:lvlText w:val="•"/>
      <w:lvlJc w:val="left"/>
      <w:pPr>
        <w:ind w:left="8368" w:hanging="214"/>
      </w:pPr>
      <w:rPr>
        <w:rFonts w:hint="default"/>
      </w:rPr>
    </w:lvl>
  </w:abstractNum>
  <w:abstractNum w:abstractNumId="17" w15:restartNumberingAfterBreak="0">
    <w:nsid w:val="26CB6093"/>
    <w:multiLevelType w:val="hybridMultilevel"/>
    <w:tmpl w:val="6C2083EA"/>
    <w:lvl w:ilvl="0" w:tplc="42840C2C">
      <w:numFmt w:val="bullet"/>
      <w:lvlText w:val=""/>
      <w:lvlJc w:val="left"/>
      <w:pPr>
        <w:ind w:left="1271" w:hanging="360"/>
      </w:pPr>
      <w:rPr>
        <w:rFonts w:ascii="Symbol" w:eastAsia="Symbol" w:hAnsi="Symbol" w:cs="Symbol" w:hint="default"/>
        <w:b w:val="0"/>
        <w:bCs w:val="0"/>
        <w:i w:val="0"/>
        <w:iCs w:val="0"/>
        <w:w w:val="98"/>
        <w:sz w:val="22"/>
        <w:szCs w:val="22"/>
      </w:rPr>
    </w:lvl>
    <w:lvl w:ilvl="1" w:tplc="53C667EE">
      <w:numFmt w:val="bullet"/>
      <w:lvlText w:val="•"/>
      <w:lvlJc w:val="left"/>
      <w:pPr>
        <w:ind w:left="2184" w:hanging="360"/>
      </w:pPr>
      <w:rPr>
        <w:rFonts w:hint="default"/>
      </w:rPr>
    </w:lvl>
    <w:lvl w:ilvl="2" w:tplc="A7005EF8">
      <w:numFmt w:val="bullet"/>
      <w:lvlText w:val="•"/>
      <w:lvlJc w:val="left"/>
      <w:pPr>
        <w:ind w:left="3088" w:hanging="360"/>
      </w:pPr>
      <w:rPr>
        <w:rFonts w:hint="default"/>
      </w:rPr>
    </w:lvl>
    <w:lvl w:ilvl="3" w:tplc="DB201282">
      <w:numFmt w:val="bullet"/>
      <w:lvlText w:val="•"/>
      <w:lvlJc w:val="left"/>
      <w:pPr>
        <w:ind w:left="3992" w:hanging="360"/>
      </w:pPr>
      <w:rPr>
        <w:rFonts w:hint="default"/>
      </w:rPr>
    </w:lvl>
    <w:lvl w:ilvl="4" w:tplc="63786062">
      <w:numFmt w:val="bullet"/>
      <w:lvlText w:val="•"/>
      <w:lvlJc w:val="left"/>
      <w:pPr>
        <w:ind w:left="4896" w:hanging="360"/>
      </w:pPr>
      <w:rPr>
        <w:rFonts w:hint="default"/>
      </w:rPr>
    </w:lvl>
    <w:lvl w:ilvl="5" w:tplc="0E4A864C">
      <w:numFmt w:val="bullet"/>
      <w:lvlText w:val="•"/>
      <w:lvlJc w:val="left"/>
      <w:pPr>
        <w:ind w:left="5800" w:hanging="360"/>
      </w:pPr>
      <w:rPr>
        <w:rFonts w:hint="default"/>
      </w:rPr>
    </w:lvl>
    <w:lvl w:ilvl="6" w:tplc="9BC8E526">
      <w:numFmt w:val="bullet"/>
      <w:lvlText w:val="•"/>
      <w:lvlJc w:val="left"/>
      <w:pPr>
        <w:ind w:left="6704" w:hanging="360"/>
      </w:pPr>
      <w:rPr>
        <w:rFonts w:hint="default"/>
      </w:rPr>
    </w:lvl>
    <w:lvl w:ilvl="7" w:tplc="6D6652DA">
      <w:numFmt w:val="bullet"/>
      <w:lvlText w:val="•"/>
      <w:lvlJc w:val="left"/>
      <w:pPr>
        <w:ind w:left="7608" w:hanging="360"/>
      </w:pPr>
      <w:rPr>
        <w:rFonts w:hint="default"/>
      </w:rPr>
    </w:lvl>
    <w:lvl w:ilvl="8" w:tplc="DD6ADB02">
      <w:numFmt w:val="bullet"/>
      <w:lvlText w:val="•"/>
      <w:lvlJc w:val="left"/>
      <w:pPr>
        <w:ind w:left="8512" w:hanging="360"/>
      </w:pPr>
      <w:rPr>
        <w:rFonts w:hint="default"/>
      </w:rPr>
    </w:lvl>
  </w:abstractNum>
  <w:abstractNum w:abstractNumId="18" w15:restartNumberingAfterBreak="0">
    <w:nsid w:val="29F02960"/>
    <w:multiLevelType w:val="hybridMultilevel"/>
    <w:tmpl w:val="04F0A4A6"/>
    <w:lvl w:ilvl="0" w:tplc="E3F03554">
      <w:start w:val="1"/>
      <w:numFmt w:val="decimal"/>
      <w:lvlText w:val="%1."/>
      <w:lvlJc w:val="left"/>
      <w:pPr>
        <w:ind w:left="338" w:hanging="248"/>
        <w:jc w:val="left"/>
      </w:pPr>
      <w:rPr>
        <w:rFonts w:ascii="Calibri" w:eastAsia="Calibri" w:hAnsi="Calibri" w:cs="Calibri" w:hint="default"/>
        <w:b/>
        <w:bCs/>
        <w:i w:val="0"/>
        <w:iCs w:val="0"/>
        <w:w w:val="98"/>
        <w:sz w:val="22"/>
        <w:szCs w:val="22"/>
      </w:rPr>
    </w:lvl>
    <w:lvl w:ilvl="1" w:tplc="3A88D972">
      <w:start w:val="1"/>
      <w:numFmt w:val="decimal"/>
      <w:lvlText w:val="%2."/>
      <w:lvlJc w:val="left"/>
      <w:pPr>
        <w:ind w:left="627" w:hanging="281"/>
        <w:jc w:val="left"/>
      </w:pPr>
      <w:rPr>
        <w:rFonts w:ascii="Calibri" w:eastAsia="Calibri" w:hAnsi="Calibri" w:cs="Calibri" w:hint="default"/>
        <w:b w:val="0"/>
        <w:bCs w:val="0"/>
        <w:i w:val="0"/>
        <w:iCs w:val="0"/>
        <w:spacing w:val="-2"/>
        <w:w w:val="99"/>
        <w:sz w:val="22"/>
        <w:szCs w:val="22"/>
      </w:rPr>
    </w:lvl>
    <w:lvl w:ilvl="2" w:tplc="A9A0042C">
      <w:numFmt w:val="bullet"/>
      <w:lvlText w:val="•"/>
      <w:lvlJc w:val="left"/>
      <w:pPr>
        <w:ind w:left="1697" w:hanging="281"/>
      </w:pPr>
      <w:rPr>
        <w:rFonts w:hint="default"/>
      </w:rPr>
    </w:lvl>
    <w:lvl w:ilvl="3" w:tplc="73EA51CE">
      <w:numFmt w:val="bullet"/>
      <w:lvlText w:val="•"/>
      <w:lvlJc w:val="left"/>
      <w:pPr>
        <w:ind w:left="2775" w:hanging="281"/>
      </w:pPr>
      <w:rPr>
        <w:rFonts w:hint="default"/>
      </w:rPr>
    </w:lvl>
    <w:lvl w:ilvl="4" w:tplc="AD6C8922">
      <w:numFmt w:val="bullet"/>
      <w:lvlText w:val="•"/>
      <w:lvlJc w:val="left"/>
      <w:pPr>
        <w:ind w:left="3853" w:hanging="281"/>
      </w:pPr>
      <w:rPr>
        <w:rFonts w:hint="default"/>
      </w:rPr>
    </w:lvl>
    <w:lvl w:ilvl="5" w:tplc="76700970">
      <w:numFmt w:val="bullet"/>
      <w:lvlText w:val="•"/>
      <w:lvlJc w:val="left"/>
      <w:pPr>
        <w:ind w:left="4931" w:hanging="281"/>
      </w:pPr>
      <w:rPr>
        <w:rFonts w:hint="default"/>
      </w:rPr>
    </w:lvl>
    <w:lvl w:ilvl="6" w:tplc="56CC3F84">
      <w:numFmt w:val="bullet"/>
      <w:lvlText w:val="•"/>
      <w:lvlJc w:val="left"/>
      <w:pPr>
        <w:ind w:left="6008" w:hanging="281"/>
      </w:pPr>
      <w:rPr>
        <w:rFonts w:hint="default"/>
      </w:rPr>
    </w:lvl>
    <w:lvl w:ilvl="7" w:tplc="18D62A9A">
      <w:numFmt w:val="bullet"/>
      <w:lvlText w:val="•"/>
      <w:lvlJc w:val="left"/>
      <w:pPr>
        <w:ind w:left="7086" w:hanging="281"/>
      </w:pPr>
      <w:rPr>
        <w:rFonts w:hint="default"/>
      </w:rPr>
    </w:lvl>
    <w:lvl w:ilvl="8" w:tplc="B5CE4356">
      <w:numFmt w:val="bullet"/>
      <w:lvlText w:val="•"/>
      <w:lvlJc w:val="left"/>
      <w:pPr>
        <w:ind w:left="8164" w:hanging="281"/>
      </w:pPr>
      <w:rPr>
        <w:rFonts w:hint="default"/>
      </w:rPr>
    </w:lvl>
  </w:abstractNum>
  <w:abstractNum w:abstractNumId="19" w15:restartNumberingAfterBreak="0">
    <w:nsid w:val="2ACB6602"/>
    <w:multiLevelType w:val="hybridMultilevel"/>
    <w:tmpl w:val="379E110A"/>
    <w:lvl w:ilvl="0" w:tplc="0DBC4FB4">
      <w:start w:val="1"/>
      <w:numFmt w:val="decimal"/>
      <w:lvlText w:val="%1."/>
      <w:lvlJc w:val="left"/>
      <w:pPr>
        <w:ind w:left="698" w:hanging="221"/>
        <w:jc w:val="left"/>
      </w:pPr>
      <w:rPr>
        <w:rFonts w:ascii="Calibri" w:eastAsia="Calibri" w:hAnsi="Calibri" w:cs="Calibri" w:hint="default"/>
        <w:b/>
        <w:bCs/>
        <w:i w:val="0"/>
        <w:iCs w:val="0"/>
        <w:w w:val="98"/>
        <w:sz w:val="22"/>
        <w:szCs w:val="22"/>
      </w:rPr>
    </w:lvl>
    <w:lvl w:ilvl="1" w:tplc="16E46A16">
      <w:numFmt w:val="bullet"/>
      <w:lvlText w:val="•"/>
      <w:lvlJc w:val="left"/>
      <w:pPr>
        <w:ind w:left="1662" w:hanging="221"/>
      </w:pPr>
      <w:rPr>
        <w:rFonts w:hint="default"/>
      </w:rPr>
    </w:lvl>
    <w:lvl w:ilvl="2" w:tplc="4FC00A1C">
      <w:numFmt w:val="bullet"/>
      <w:lvlText w:val="•"/>
      <w:lvlJc w:val="left"/>
      <w:pPr>
        <w:ind w:left="2624" w:hanging="221"/>
      </w:pPr>
      <w:rPr>
        <w:rFonts w:hint="default"/>
      </w:rPr>
    </w:lvl>
    <w:lvl w:ilvl="3" w:tplc="3BDA950C">
      <w:numFmt w:val="bullet"/>
      <w:lvlText w:val="•"/>
      <w:lvlJc w:val="left"/>
      <w:pPr>
        <w:ind w:left="3586" w:hanging="221"/>
      </w:pPr>
      <w:rPr>
        <w:rFonts w:hint="default"/>
      </w:rPr>
    </w:lvl>
    <w:lvl w:ilvl="4" w:tplc="85441052">
      <w:numFmt w:val="bullet"/>
      <w:lvlText w:val="•"/>
      <w:lvlJc w:val="left"/>
      <w:pPr>
        <w:ind w:left="4548" w:hanging="221"/>
      </w:pPr>
      <w:rPr>
        <w:rFonts w:hint="default"/>
      </w:rPr>
    </w:lvl>
    <w:lvl w:ilvl="5" w:tplc="9D766802">
      <w:numFmt w:val="bullet"/>
      <w:lvlText w:val="•"/>
      <w:lvlJc w:val="left"/>
      <w:pPr>
        <w:ind w:left="5510" w:hanging="221"/>
      </w:pPr>
      <w:rPr>
        <w:rFonts w:hint="default"/>
      </w:rPr>
    </w:lvl>
    <w:lvl w:ilvl="6" w:tplc="B13CF6C0">
      <w:numFmt w:val="bullet"/>
      <w:lvlText w:val="•"/>
      <w:lvlJc w:val="left"/>
      <w:pPr>
        <w:ind w:left="6472" w:hanging="221"/>
      </w:pPr>
      <w:rPr>
        <w:rFonts w:hint="default"/>
      </w:rPr>
    </w:lvl>
    <w:lvl w:ilvl="7" w:tplc="B8FAFE66">
      <w:numFmt w:val="bullet"/>
      <w:lvlText w:val="•"/>
      <w:lvlJc w:val="left"/>
      <w:pPr>
        <w:ind w:left="7434" w:hanging="221"/>
      </w:pPr>
      <w:rPr>
        <w:rFonts w:hint="default"/>
      </w:rPr>
    </w:lvl>
    <w:lvl w:ilvl="8" w:tplc="3B00EECC">
      <w:numFmt w:val="bullet"/>
      <w:lvlText w:val="•"/>
      <w:lvlJc w:val="left"/>
      <w:pPr>
        <w:ind w:left="8396" w:hanging="221"/>
      </w:pPr>
      <w:rPr>
        <w:rFonts w:hint="default"/>
      </w:rPr>
    </w:lvl>
  </w:abstractNum>
  <w:abstractNum w:abstractNumId="20" w15:restartNumberingAfterBreak="0">
    <w:nsid w:val="33296351"/>
    <w:multiLevelType w:val="hybridMultilevel"/>
    <w:tmpl w:val="D2467156"/>
    <w:lvl w:ilvl="0" w:tplc="70BA2FFE">
      <w:start w:val="1"/>
      <w:numFmt w:val="decimal"/>
      <w:lvlText w:val="%1."/>
      <w:lvlJc w:val="left"/>
      <w:pPr>
        <w:ind w:left="1197" w:hanging="360"/>
        <w:jc w:val="left"/>
      </w:pPr>
      <w:rPr>
        <w:rFonts w:hint="default"/>
        <w:w w:val="98"/>
      </w:rPr>
    </w:lvl>
    <w:lvl w:ilvl="1" w:tplc="A7981456">
      <w:numFmt w:val="bullet"/>
      <w:lvlText w:val="•"/>
      <w:lvlJc w:val="left"/>
      <w:pPr>
        <w:ind w:left="2112" w:hanging="360"/>
      </w:pPr>
      <w:rPr>
        <w:rFonts w:hint="default"/>
      </w:rPr>
    </w:lvl>
    <w:lvl w:ilvl="2" w:tplc="71E4B412">
      <w:numFmt w:val="bullet"/>
      <w:lvlText w:val="•"/>
      <w:lvlJc w:val="left"/>
      <w:pPr>
        <w:ind w:left="3024" w:hanging="360"/>
      </w:pPr>
      <w:rPr>
        <w:rFonts w:hint="default"/>
      </w:rPr>
    </w:lvl>
    <w:lvl w:ilvl="3" w:tplc="A630EE1C">
      <w:numFmt w:val="bullet"/>
      <w:lvlText w:val="•"/>
      <w:lvlJc w:val="left"/>
      <w:pPr>
        <w:ind w:left="3936" w:hanging="360"/>
      </w:pPr>
      <w:rPr>
        <w:rFonts w:hint="default"/>
      </w:rPr>
    </w:lvl>
    <w:lvl w:ilvl="4" w:tplc="3CC81BBA">
      <w:numFmt w:val="bullet"/>
      <w:lvlText w:val="•"/>
      <w:lvlJc w:val="left"/>
      <w:pPr>
        <w:ind w:left="4848" w:hanging="360"/>
      </w:pPr>
      <w:rPr>
        <w:rFonts w:hint="default"/>
      </w:rPr>
    </w:lvl>
    <w:lvl w:ilvl="5" w:tplc="0B808CF6">
      <w:numFmt w:val="bullet"/>
      <w:lvlText w:val="•"/>
      <w:lvlJc w:val="left"/>
      <w:pPr>
        <w:ind w:left="5760" w:hanging="360"/>
      </w:pPr>
      <w:rPr>
        <w:rFonts w:hint="default"/>
      </w:rPr>
    </w:lvl>
    <w:lvl w:ilvl="6" w:tplc="1E5283C8">
      <w:numFmt w:val="bullet"/>
      <w:lvlText w:val="•"/>
      <w:lvlJc w:val="left"/>
      <w:pPr>
        <w:ind w:left="6672" w:hanging="360"/>
      </w:pPr>
      <w:rPr>
        <w:rFonts w:hint="default"/>
      </w:rPr>
    </w:lvl>
    <w:lvl w:ilvl="7" w:tplc="14205472">
      <w:numFmt w:val="bullet"/>
      <w:lvlText w:val="•"/>
      <w:lvlJc w:val="left"/>
      <w:pPr>
        <w:ind w:left="7584" w:hanging="360"/>
      </w:pPr>
      <w:rPr>
        <w:rFonts w:hint="default"/>
      </w:rPr>
    </w:lvl>
    <w:lvl w:ilvl="8" w:tplc="F1DAF98C">
      <w:numFmt w:val="bullet"/>
      <w:lvlText w:val="•"/>
      <w:lvlJc w:val="left"/>
      <w:pPr>
        <w:ind w:left="8496" w:hanging="360"/>
      </w:pPr>
      <w:rPr>
        <w:rFonts w:hint="default"/>
      </w:rPr>
    </w:lvl>
  </w:abstractNum>
  <w:abstractNum w:abstractNumId="21" w15:restartNumberingAfterBreak="0">
    <w:nsid w:val="3B672CBB"/>
    <w:multiLevelType w:val="hybridMultilevel"/>
    <w:tmpl w:val="70448292"/>
    <w:lvl w:ilvl="0" w:tplc="BC3E0BDA">
      <w:start w:val="1"/>
      <w:numFmt w:val="decimal"/>
      <w:lvlText w:val="%1."/>
      <w:lvlJc w:val="left"/>
      <w:pPr>
        <w:ind w:left="338" w:hanging="212"/>
        <w:jc w:val="left"/>
      </w:pPr>
      <w:rPr>
        <w:rFonts w:hint="default"/>
        <w:spacing w:val="-2"/>
        <w:w w:val="99"/>
      </w:rPr>
    </w:lvl>
    <w:lvl w:ilvl="1" w:tplc="EB780DD8">
      <w:start w:val="1"/>
      <w:numFmt w:val="decimal"/>
      <w:lvlText w:val="%2."/>
      <w:lvlJc w:val="left"/>
      <w:pPr>
        <w:ind w:left="627" w:hanging="225"/>
        <w:jc w:val="left"/>
      </w:pPr>
      <w:rPr>
        <w:rFonts w:ascii="Calibri" w:eastAsia="Calibri" w:hAnsi="Calibri" w:cs="Calibri" w:hint="default"/>
        <w:b/>
        <w:bCs/>
        <w:i w:val="0"/>
        <w:iCs w:val="0"/>
        <w:w w:val="98"/>
        <w:sz w:val="22"/>
        <w:szCs w:val="22"/>
      </w:rPr>
    </w:lvl>
    <w:lvl w:ilvl="2" w:tplc="9A3A0C8C">
      <w:numFmt w:val="bullet"/>
      <w:lvlText w:val="•"/>
      <w:lvlJc w:val="left"/>
      <w:pPr>
        <w:ind w:left="1697" w:hanging="225"/>
      </w:pPr>
      <w:rPr>
        <w:rFonts w:hint="default"/>
      </w:rPr>
    </w:lvl>
    <w:lvl w:ilvl="3" w:tplc="D8FCDBB2">
      <w:numFmt w:val="bullet"/>
      <w:lvlText w:val="•"/>
      <w:lvlJc w:val="left"/>
      <w:pPr>
        <w:ind w:left="2775" w:hanging="225"/>
      </w:pPr>
      <w:rPr>
        <w:rFonts w:hint="default"/>
      </w:rPr>
    </w:lvl>
    <w:lvl w:ilvl="4" w:tplc="D6C83DB0">
      <w:numFmt w:val="bullet"/>
      <w:lvlText w:val="•"/>
      <w:lvlJc w:val="left"/>
      <w:pPr>
        <w:ind w:left="3853" w:hanging="225"/>
      </w:pPr>
      <w:rPr>
        <w:rFonts w:hint="default"/>
      </w:rPr>
    </w:lvl>
    <w:lvl w:ilvl="5" w:tplc="1908CAF6">
      <w:numFmt w:val="bullet"/>
      <w:lvlText w:val="•"/>
      <w:lvlJc w:val="left"/>
      <w:pPr>
        <w:ind w:left="4931" w:hanging="225"/>
      </w:pPr>
      <w:rPr>
        <w:rFonts w:hint="default"/>
      </w:rPr>
    </w:lvl>
    <w:lvl w:ilvl="6" w:tplc="F366542A">
      <w:numFmt w:val="bullet"/>
      <w:lvlText w:val="•"/>
      <w:lvlJc w:val="left"/>
      <w:pPr>
        <w:ind w:left="6008" w:hanging="225"/>
      </w:pPr>
      <w:rPr>
        <w:rFonts w:hint="default"/>
      </w:rPr>
    </w:lvl>
    <w:lvl w:ilvl="7" w:tplc="2032781C">
      <w:numFmt w:val="bullet"/>
      <w:lvlText w:val="•"/>
      <w:lvlJc w:val="left"/>
      <w:pPr>
        <w:ind w:left="7086" w:hanging="225"/>
      </w:pPr>
      <w:rPr>
        <w:rFonts w:hint="default"/>
      </w:rPr>
    </w:lvl>
    <w:lvl w:ilvl="8" w:tplc="4DF4EF98">
      <w:numFmt w:val="bullet"/>
      <w:lvlText w:val="•"/>
      <w:lvlJc w:val="left"/>
      <w:pPr>
        <w:ind w:left="8164" w:hanging="225"/>
      </w:pPr>
      <w:rPr>
        <w:rFonts w:hint="default"/>
      </w:rPr>
    </w:lvl>
  </w:abstractNum>
  <w:abstractNum w:abstractNumId="22" w15:restartNumberingAfterBreak="0">
    <w:nsid w:val="3ED65848"/>
    <w:multiLevelType w:val="hybridMultilevel"/>
    <w:tmpl w:val="0A129982"/>
    <w:lvl w:ilvl="0" w:tplc="B21EB4D6">
      <w:start w:val="1"/>
      <w:numFmt w:val="upperLetter"/>
      <w:lvlText w:val="%1."/>
      <w:lvlJc w:val="left"/>
      <w:pPr>
        <w:ind w:left="744" w:hanging="264"/>
        <w:jc w:val="left"/>
      </w:pPr>
      <w:rPr>
        <w:rFonts w:ascii="Calibri" w:eastAsia="Calibri" w:hAnsi="Calibri" w:cs="Calibri" w:hint="default"/>
        <w:b/>
        <w:bCs/>
        <w:i w:val="0"/>
        <w:iCs w:val="0"/>
        <w:spacing w:val="-1"/>
        <w:w w:val="100"/>
        <w:sz w:val="24"/>
        <w:szCs w:val="24"/>
      </w:rPr>
    </w:lvl>
    <w:lvl w:ilvl="1" w:tplc="0BB43D84">
      <w:start w:val="1"/>
      <w:numFmt w:val="decimal"/>
      <w:lvlText w:val="%2."/>
      <w:lvlJc w:val="left"/>
      <w:pPr>
        <w:ind w:left="698" w:hanging="220"/>
        <w:jc w:val="left"/>
      </w:pPr>
      <w:rPr>
        <w:rFonts w:hint="default"/>
        <w:w w:val="98"/>
      </w:rPr>
    </w:lvl>
    <w:lvl w:ilvl="2" w:tplc="8222F99A">
      <w:start w:val="1"/>
      <w:numFmt w:val="decimal"/>
      <w:lvlText w:val="%3."/>
      <w:lvlJc w:val="left"/>
      <w:pPr>
        <w:ind w:left="1200" w:hanging="360"/>
        <w:jc w:val="left"/>
      </w:pPr>
      <w:rPr>
        <w:rFonts w:ascii="Calibri" w:eastAsia="Calibri" w:hAnsi="Calibri" w:cs="Calibri" w:hint="default"/>
        <w:b w:val="0"/>
        <w:bCs w:val="0"/>
        <w:i w:val="0"/>
        <w:iCs w:val="0"/>
        <w:spacing w:val="-2"/>
        <w:w w:val="99"/>
        <w:sz w:val="22"/>
        <w:szCs w:val="22"/>
      </w:rPr>
    </w:lvl>
    <w:lvl w:ilvl="3" w:tplc="0EC2A9B8">
      <w:numFmt w:val="bullet"/>
      <w:lvlText w:val="•"/>
      <w:lvlJc w:val="left"/>
      <w:pPr>
        <w:ind w:left="1200" w:hanging="360"/>
      </w:pPr>
      <w:rPr>
        <w:rFonts w:hint="default"/>
      </w:rPr>
    </w:lvl>
    <w:lvl w:ilvl="4" w:tplc="7826BEDC">
      <w:numFmt w:val="bullet"/>
      <w:lvlText w:val="•"/>
      <w:lvlJc w:val="left"/>
      <w:pPr>
        <w:ind w:left="2502" w:hanging="360"/>
      </w:pPr>
      <w:rPr>
        <w:rFonts w:hint="default"/>
      </w:rPr>
    </w:lvl>
    <w:lvl w:ilvl="5" w:tplc="72C802B0">
      <w:numFmt w:val="bullet"/>
      <w:lvlText w:val="•"/>
      <w:lvlJc w:val="left"/>
      <w:pPr>
        <w:ind w:left="3805" w:hanging="360"/>
      </w:pPr>
      <w:rPr>
        <w:rFonts w:hint="default"/>
      </w:rPr>
    </w:lvl>
    <w:lvl w:ilvl="6" w:tplc="5E320274">
      <w:numFmt w:val="bullet"/>
      <w:lvlText w:val="•"/>
      <w:lvlJc w:val="left"/>
      <w:pPr>
        <w:ind w:left="5108" w:hanging="360"/>
      </w:pPr>
      <w:rPr>
        <w:rFonts w:hint="default"/>
      </w:rPr>
    </w:lvl>
    <w:lvl w:ilvl="7" w:tplc="91EEFD30">
      <w:numFmt w:val="bullet"/>
      <w:lvlText w:val="•"/>
      <w:lvlJc w:val="left"/>
      <w:pPr>
        <w:ind w:left="6411" w:hanging="360"/>
      </w:pPr>
      <w:rPr>
        <w:rFonts w:hint="default"/>
      </w:rPr>
    </w:lvl>
    <w:lvl w:ilvl="8" w:tplc="C1B864C4">
      <w:numFmt w:val="bullet"/>
      <w:lvlText w:val="•"/>
      <w:lvlJc w:val="left"/>
      <w:pPr>
        <w:ind w:left="7714" w:hanging="360"/>
      </w:pPr>
      <w:rPr>
        <w:rFonts w:hint="default"/>
      </w:rPr>
    </w:lvl>
  </w:abstractNum>
  <w:abstractNum w:abstractNumId="23" w15:restartNumberingAfterBreak="0">
    <w:nsid w:val="404A2482"/>
    <w:multiLevelType w:val="hybridMultilevel"/>
    <w:tmpl w:val="AD5C4DCC"/>
    <w:lvl w:ilvl="0" w:tplc="14848ACA">
      <w:start w:val="1"/>
      <w:numFmt w:val="decimal"/>
      <w:lvlText w:val="%1."/>
      <w:lvlJc w:val="left"/>
      <w:pPr>
        <w:ind w:left="607" w:hanging="269"/>
        <w:jc w:val="left"/>
      </w:pPr>
      <w:rPr>
        <w:rFonts w:hint="default"/>
        <w:spacing w:val="-2"/>
        <w:w w:val="99"/>
      </w:rPr>
    </w:lvl>
    <w:lvl w:ilvl="1" w:tplc="E57A3D7E">
      <w:start w:val="1"/>
      <w:numFmt w:val="decimal"/>
      <w:lvlText w:val="%2."/>
      <w:lvlJc w:val="left"/>
      <w:pPr>
        <w:ind w:left="628" w:hanging="221"/>
        <w:jc w:val="left"/>
      </w:pPr>
      <w:rPr>
        <w:rFonts w:ascii="Calibri" w:eastAsia="Calibri" w:hAnsi="Calibri" w:cs="Calibri" w:hint="default"/>
        <w:b w:val="0"/>
        <w:bCs w:val="0"/>
        <w:i w:val="0"/>
        <w:iCs w:val="0"/>
        <w:spacing w:val="-2"/>
        <w:w w:val="99"/>
        <w:sz w:val="22"/>
        <w:szCs w:val="22"/>
      </w:rPr>
    </w:lvl>
    <w:lvl w:ilvl="2" w:tplc="5D444C90">
      <w:numFmt w:val="bullet"/>
      <w:lvlText w:val="•"/>
      <w:lvlJc w:val="left"/>
      <w:pPr>
        <w:ind w:left="1697" w:hanging="221"/>
      </w:pPr>
      <w:rPr>
        <w:rFonts w:hint="default"/>
      </w:rPr>
    </w:lvl>
    <w:lvl w:ilvl="3" w:tplc="C262C1E8">
      <w:numFmt w:val="bullet"/>
      <w:lvlText w:val="•"/>
      <w:lvlJc w:val="left"/>
      <w:pPr>
        <w:ind w:left="2775" w:hanging="221"/>
      </w:pPr>
      <w:rPr>
        <w:rFonts w:hint="default"/>
      </w:rPr>
    </w:lvl>
    <w:lvl w:ilvl="4" w:tplc="7644723C">
      <w:numFmt w:val="bullet"/>
      <w:lvlText w:val="•"/>
      <w:lvlJc w:val="left"/>
      <w:pPr>
        <w:ind w:left="3853" w:hanging="221"/>
      </w:pPr>
      <w:rPr>
        <w:rFonts w:hint="default"/>
      </w:rPr>
    </w:lvl>
    <w:lvl w:ilvl="5" w:tplc="07989776">
      <w:numFmt w:val="bullet"/>
      <w:lvlText w:val="•"/>
      <w:lvlJc w:val="left"/>
      <w:pPr>
        <w:ind w:left="4931" w:hanging="221"/>
      </w:pPr>
      <w:rPr>
        <w:rFonts w:hint="default"/>
      </w:rPr>
    </w:lvl>
    <w:lvl w:ilvl="6" w:tplc="0F1CECCE">
      <w:numFmt w:val="bullet"/>
      <w:lvlText w:val="•"/>
      <w:lvlJc w:val="left"/>
      <w:pPr>
        <w:ind w:left="6008" w:hanging="221"/>
      </w:pPr>
      <w:rPr>
        <w:rFonts w:hint="default"/>
      </w:rPr>
    </w:lvl>
    <w:lvl w:ilvl="7" w:tplc="3B409962">
      <w:numFmt w:val="bullet"/>
      <w:lvlText w:val="•"/>
      <w:lvlJc w:val="left"/>
      <w:pPr>
        <w:ind w:left="7086" w:hanging="221"/>
      </w:pPr>
      <w:rPr>
        <w:rFonts w:hint="default"/>
      </w:rPr>
    </w:lvl>
    <w:lvl w:ilvl="8" w:tplc="E8189D0C">
      <w:numFmt w:val="bullet"/>
      <w:lvlText w:val="•"/>
      <w:lvlJc w:val="left"/>
      <w:pPr>
        <w:ind w:left="8164" w:hanging="221"/>
      </w:pPr>
      <w:rPr>
        <w:rFonts w:hint="default"/>
      </w:rPr>
    </w:lvl>
  </w:abstractNum>
  <w:abstractNum w:abstractNumId="24" w15:restartNumberingAfterBreak="0">
    <w:nsid w:val="42685367"/>
    <w:multiLevelType w:val="hybridMultilevel"/>
    <w:tmpl w:val="A826627A"/>
    <w:lvl w:ilvl="0" w:tplc="73F050F2">
      <w:start w:val="1"/>
      <w:numFmt w:val="decimal"/>
      <w:lvlText w:val="%1."/>
      <w:lvlJc w:val="left"/>
      <w:pPr>
        <w:ind w:left="573" w:hanging="236"/>
        <w:jc w:val="left"/>
      </w:pPr>
      <w:rPr>
        <w:rFonts w:hint="default"/>
        <w:spacing w:val="-1"/>
        <w:w w:val="100"/>
      </w:rPr>
    </w:lvl>
    <w:lvl w:ilvl="1" w:tplc="C1322CB6">
      <w:start w:val="1"/>
      <w:numFmt w:val="decimal"/>
      <w:lvlText w:val="%2."/>
      <w:lvlJc w:val="left"/>
      <w:pPr>
        <w:ind w:left="891" w:hanging="266"/>
        <w:jc w:val="left"/>
      </w:pPr>
      <w:rPr>
        <w:rFonts w:ascii="Calibri" w:eastAsia="Calibri" w:hAnsi="Calibri" w:cs="Calibri" w:hint="default"/>
        <w:b w:val="0"/>
        <w:bCs w:val="0"/>
        <w:i w:val="0"/>
        <w:iCs w:val="0"/>
        <w:spacing w:val="-2"/>
        <w:w w:val="99"/>
        <w:sz w:val="22"/>
        <w:szCs w:val="22"/>
      </w:rPr>
    </w:lvl>
    <w:lvl w:ilvl="2" w:tplc="CCAA0A3A">
      <w:numFmt w:val="bullet"/>
      <w:lvlText w:val="•"/>
      <w:lvlJc w:val="left"/>
      <w:pPr>
        <w:ind w:left="1946" w:hanging="266"/>
      </w:pPr>
      <w:rPr>
        <w:rFonts w:hint="default"/>
      </w:rPr>
    </w:lvl>
    <w:lvl w:ilvl="3" w:tplc="D03E5EC0">
      <w:numFmt w:val="bullet"/>
      <w:lvlText w:val="•"/>
      <w:lvlJc w:val="left"/>
      <w:pPr>
        <w:ind w:left="2993" w:hanging="266"/>
      </w:pPr>
      <w:rPr>
        <w:rFonts w:hint="default"/>
      </w:rPr>
    </w:lvl>
    <w:lvl w:ilvl="4" w:tplc="7FE61728">
      <w:numFmt w:val="bullet"/>
      <w:lvlText w:val="•"/>
      <w:lvlJc w:val="left"/>
      <w:pPr>
        <w:ind w:left="4040" w:hanging="266"/>
      </w:pPr>
      <w:rPr>
        <w:rFonts w:hint="default"/>
      </w:rPr>
    </w:lvl>
    <w:lvl w:ilvl="5" w:tplc="DBFAB9A0">
      <w:numFmt w:val="bullet"/>
      <w:lvlText w:val="•"/>
      <w:lvlJc w:val="left"/>
      <w:pPr>
        <w:ind w:left="5086" w:hanging="266"/>
      </w:pPr>
      <w:rPr>
        <w:rFonts w:hint="default"/>
      </w:rPr>
    </w:lvl>
    <w:lvl w:ilvl="6" w:tplc="E0A498AC">
      <w:numFmt w:val="bullet"/>
      <w:lvlText w:val="•"/>
      <w:lvlJc w:val="left"/>
      <w:pPr>
        <w:ind w:left="6133" w:hanging="266"/>
      </w:pPr>
      <w:rPr>
        <w:rFonts w:hint="default"/>
      </w:rPr>
    </w:lvl>
    <w:lvl w:ilvl="7" w:tplc="ACDE5BCC">
      <w:numFmt w:val="bullet"/>
      <w:lvlText w:val="•"/>
      <w:lvlJc w:val="left"/>
      <w:pPr>
        <w:ind w:left="7180" w:hanging="266"/>
      </w:pPr>
      <w:rPr>
        <w:rFonts w:hint="default"/>
      </w:rPr>
    </w:lvl>
    <w:lvl w:ilvl="8" w:tplc="F71C6FBE">
      <w:numFmt w:val="bullet"/>
      <w:lvlText w:val="•"/>
      <w:lvlJc w:val="left"/>
      <w:pPr>
        <w:ind w:left="8226" w:hanging="266"/>
      </w:pPr>
      <w:rPr>
        <w:rFonts w:hint="default"/>
      </w:rPr>
    </w:lvl>
  </w:abstractNum>
  <w:abstractNum w:abstractNumId="25" w15:restartNumberingAfterBreak="0">
    <w:nsid w:val="4349100C"/>
    <w:multiLevelType w:val="hybridMultilevel"/>
    <w:tmpl w:val="BAE2FBAE"/>
    <w:lvl w:ilvl="0" w:tplc="DA1617B8">
      <w:start w:val="1"/>
      <w:numFmt w:val="decimal"/>
      <w:lvlText w:val="%1."/>
      <w:lvlJc w:val="left"/>
      <w:pPr>
        <w:ind w:left="1059" w:hanging="362"/>
        <w:jc w:val="left"/>
      </w:pPr>
      <w:rPr>
        <w:rFonts w:ascii="Calibri" w:eastAsia="Calibri" w:hAnsi="Calibri" w:cs="Calibri" w:hint="default"/>
        <w:b w:val="0"/>
        <w:bCs w:val="0"/>
        <w:i w:val="0"/>
        <w:iCs w:val="0"/>
        <w:spacing w:val="-2"/>
        <w:w w:val="99"/>
        <w:sz w:val="22"/>
        <w:szCs w:val="22"/>
      </w:rPr>
    </w:lvl>
    <w:lvl w:ilvl="1" w:tplc="30ACB446">
      <w:numFmt w:val="bullet"/>
      <w:lvlText w:val="•"/>
      <w:lvlJc w:val="left"/>
      <w:pPr>
        <w:ind w:left="1986" w:hanging="362"/>
      </w:pPr>
      <w:rPr>
        <w:rFonts w:hint="default"/>
      </w:rPr>
    </w:lvl>
    <w:lvl w:ilvl="2" w:tplc="7F62625A">
      <w:numFmt w:val="bullet"/>
      <w:lvlText w:val="•"/>
      <w:lvlJc w:val="left"/>
      <w:pPr>
        <w:ind w:left="2912" w:hanging="362"/>
      </w:pPr>
      <w:rPr>
        <w:rFonts w:hint="default"/>
      </w:rPr>
    </w:lvl>
    <w:lvl w:ilvl="3" w:tplc="81C2724E">
      <w:numFmt w:val="bullet"/>
      <w:lvlText w:val="•"/>
      <w:lvlJc w:val="left"/>
      <w:pPr>
        <w:ind w:left="3838" w:hanging="362"/>
      </w:pPr>
      <w:rPr>
        <w:rFonts w:hint="default"/>
      </w:rPr>
    </w:lvl>
    <w:lvl w:ilvl="4" w:tplc="92C2B228">
      <w:numFmt w:val="bullet"/>
      <w:lvlText w:val="•"/>
      <w:lvlJc w:val="left"/>
      <w:pPr>
        <w:ind w:left="4764" w:hanging="362"/>
      </w:pPr>
      <w:rPr>
        <w:rFonts w:hint="default"/>
      </w:rPr>
    </w:lvl>
    <w:lvl w:ilvl="5" w:tplc="174AC5A4">
      <w:numFmt w:val="bullet"/>
      <w:lvlText w:val="•"/>
      <w:lvlJc w:val="left"/>
      <w:pPr>
        <w:ind w:left="5690" w:hanging="362"/>
      </w:pPr>
      <w:rPr>
        <w:rFonts w:hint="default"/>
      </w:rPr>
    </w:lvl>
    <w:lvl w:ilvl="6" w:tplc="A9829004">
      <w:numFmt w:val="bullet"/>
      <w:lvlText w:val="•"/>
      <w:lvlJc w:val="left"/>
      <w:pPr>
        <w:ind w:left="6616" w:hanging="362"/>
      </w:pPr>
      <w:rPr>
        <w:rFonts w:hint="default"/>
      </w:rPr>
    </w:lvl>
    <w:lvl w:ilvl="7" w:tplc="85CAF95A">
      <w:numFmt w:val="bullet"/>
      <w:lvlText w:val="•"/>
      <w:lvlJc w:val="left"/>
      <w:pPr>
        <w:ind w:left="7542" w:hanging="362"/>
      </w:pPr>
      <w:rPr>
        <w:rFonts w:hint="default"/>
      </w:rPr>
    </w:lvl>
    <w:lvl w:ilvl="8" w:tplc="AC6AFD32">
      <w:numFmt w:val="bullet"/>
      <w:lvlText w:val="•"/>
      <w:lvlJc w:val="left"/>
      <w:pPr>
        <w:ind w:left="8468" w:hanging="362"/>
      </w:pPr>
      <w:rPr>
        <w:rFonts w:hint="default"/>
      </w:rPr>
    </w:lvl>
  </w:abstractNum>
  <w:abstractNum w:abstractNumId="26" w15:restartNumberingAfterBreak="0">
    <w:nsid w:val="43BF2E00"/>
    <w:multiLevelType w:val="hybridMultilevel"/>
    <w:tmpl w:val="F77E4332"/>
    <w:lvl w:ilvl="0" w:tplc="4B1E1D96">
      <w:start w:val="1"/>
      <w:numFmt w:val="decimal"/>
      <w:lvlText w:val="%1."/>
      <w:lvlJc w:val="left"/>
      <w:pPr>
        <w:ind w:left="660" w:hanging="322"/>
        <w:jc w:val="left"/>
      </w:pPr>
      <w:rPr>
        <w:rFonts w:ascii="Calibri" w:eastAsia="Calibri" w:hAnsi="Calibri" w:cs="Calibri" w:hint="default"/>
        <w:b/>
        <w:bCs/>
        <w:i w:val="0"/>
        <w:iCs w:val="0"/>
        <w:w w:val="98"/>
        <w:sz w:val="22"/>
        <w:szCs w:val="22"/>
      </w:rPr>
    </w:lvl>
    <w:lvl w:ilvl="1" w:tplc="68F8842C">
      <w:numFmt w:val="bullet"/>
      <w:lvlText w:val="•"/>
      <w:lvlJc w:val="left"/>
      <w:pPr>
        <w:ind w:left="1626" w:hanging="322"/>
      </w:pPr>
      <w:rPr>
        <w:rFonts w:hint="default"/>
      </w:rPr>
    </w:lvl>
    <w:lvl w:ilvl="2" w:tplc="2A464256">
      <w:numFmt w:val="bullet"/>
      <w:lvlText w:val="•"/>
      <w:lvlJc w:val="left"/>
      <w:pPr>
        <w:ind w:left="2592" w:hanging="322"/>
      </w:pPr>
      <w:rPr>
        <w:rFonts w:hint="default"/>
      </w:rPr>
    </w:lvl>
    <w:lvl w:ilvl="3" w:tplc="60F06BD4">
      <w:numFmt w:val="bullet"/>
      <w:lvlText w:val="•"/>
      <w:lvlJc w:val="left"/>
      <w:pPr>
        <w:ind w:left="3558" w:hanging="322"/>
      </w:pPr>
      <w:rPr>
        <w:rFonts w:hint="default"/>
      </w:rPr>
    </w:lvl>
    <w:lvl w:ilvl="4" w:tplc="0C08F2B2">
      <w:numFmt w:val="bullet"/>
      <w:lvlText w:val="•"/>
      <w:lvlJc w:val="left"/>
      <w:pPr>
        <w:ind w:left="4524" w:hanging="322"/>
      </w:pPr>
      <w:rPr>
        <w:rFonts w:hint="default"/>
      </w:rPr>
    </w:lvl>
    <w:lvl w:ilvl="5" w:tplc="4F40DB04">
      <w:numFmt w:val="bullet"/>
      <w:lvlText w:val="•"/>
      <w:lvlJc w:val="left"/>
      <w:pPr>
        <w:ind w:left="5490" w:hanging="322"/>
      </w:pPr>
      <w:rPr>
        <w:rFonts w:hint="default"/>
      </w:rPr>
    </w:lvl>
    <w:lvl w:ilvl="6" w:tplc="BE6E071C">
      <w:numFmt w:val="bullet"/>
      <w:lvlText w:val="•"/>
      <w:lvlJc w:val="left"/>
      <w:pPr>
        <w:ind w:left="6456" w:hanging="322"/>
      </w:pPr>
      <w:rPr>
        <w:rFonts w:hint="default"/>
      </w:rPr>
    </w:lvl>
    <w:lvl w:ilvl="7" w:tplc="30442CBC">
      <w:numFmt w:val="bullet"/>
      <w:lvlText w:val="•"/>
      <w:lvlJc w:val="left"/>
      <w:pPr>
        <w:ind w:left="7422" w:hanging="322"/>
      </w:pPr>
      <w:rPr>
        <w:rFonts w:hint="default"/>
      </w:rPr>
    </w:lvl>
    <w:lvl w:ilvl="8" w:tplc="A7FE3CEC">
      <w:numFmt w:val="bullet"/>
      <w:lvlText w:val="•"/>
      <w:lvlJc w:val="left"/>
      <w:pPr>
        <w:ind w:left="8388" w:hanging="322"/>
      </w:pPr>
      <w:rPr>
        <w:rFonts w:hint="default"/>
      </w:rPr>
    </w:lvl>
  </w:abstractNum>
  <w:abstractNum w:abstractNumId="27" w15:restartNumberingAfterBreak="0">
    <w:nsid w:val="45A20947"/>
    <w:multiLevelType w:val="hybridMultilevel"/>
    <w:tmpl w:val="1916B194"/>
    <w:lvl w:ilvl="0" w:tplc="FBB26C52">
      <w:start w:val="1"/>
      <w:numFmt w:val="decimal"/>
      <w:lvlText w:val="%1."/>
      <w:lvlJc w:val="left"/>
      <w:pPr>
        <w:ind w:left="1058" w:hanging="360"/>
        <w:jc w:val="left"/>
      </w:pPr>
      <w:rPr>
        <w:rFonts w:ascii="Calibri" w:eastAsia="Calibri" w:hAnsi="Calibri" w:cs="Calibri" w:hint="default"/>
        <w:b w:val="0"/>
        <w:bCs w:val="0"/>
        <w:i w:val="0"/>
        <w:iCs w:val="0"/>
        <w:spacing w:val="-2"/>
        <w:w w:val="99"/>
        <w:sz w:val="22"/>
        <w:szCs w:val="22"/>
      </w:rPr>
    </w:lvl>
    <w:lvl w:ilvl="1" w:tplc="E1AC4990">
      <w:numFmt w:val="bullet"/>
      <w:lvlText w:val="•"/>
      <w:lvlJc w:val="left"/>
      <w:pPr>
        <w:ind w:left="1986" w:hanging="360"/>
      </w:pPr>
      <w:rPr>
        <w:rFonts w:hint="default"/>
      </w:rPr>
    </w:lvl>
    <w:lvl w:ilvl="2" w:tplc="72C0B860">
      <w:numFmt w:val="bullet"/>
      <w:lvlText w:val="•"/>
      <w:lvlJc w:val="left"/>
      <w:pPr>
        <w:ind w:left="2912" w:hanging="360"/>
      </w:pPr>
      <w:rPr>
        <w:rFonts w:hint="default"/>
      </w:rPr>
    </w:lvl>
    <w:lvl w:ilvl="3" w:tplc="EA264F70">
      <w:numFmt w:val="bullet"/>
      <w:lvlText w:val="•"/>
      <w:lvlJc w:val="left"/>
      <w:pPr>
        <w:ind w:left="3838" w:hanging="360"/>
      </w:pPr>
      <w:rPr>
        <w:rFonts w:hint="default"/>
      </w:rPr>
    </w:lvl>
    <w:lvl w:ilvl="4" w:tplc="CFD01D02">
      <w:numFmt w:val="bullet"/>
      <w:lvlText w:val="•"/>
      <w:lvlJc w:val="left"/>
      <w:pPr>
        <w:ind w:left="4764" w:hanging="360"/>
      </w:pPr>
      <w:rPr>
        <w:rFonts w:hint="default"/>
      </w:rPr>
    </w:lvl>
    <w:lvl w:ilvl="5" w:tplc="35B23516">
      <w:numFmt w:val="bullet"/>
      <w:lvlText w:val="•"/>
      <w:lvlJc w:val="left"/>
      <w:pPr>
        <w:ind w:left="5690" w:hanging="360"/>
      </w:pPr>
      <w:rPr>
        <w:rFonts w:hint="default"/>
      </w:rPr>
    </w:lvl>
    <w:lvl w:ilvl="6" w:tplc="DF08F836">
      <w:numFmt w:val="bullet"/>
      <w:lvlText w:val="•"/>
      <w:lvlJc w:val="left"/>
      <w:pPr>
        <w:ind w:left="6616" w:hanging="360"/>
      </w:pPr>
      <w:rPr>
        <w:rFonts w:hint="default"/>
      </w:rPr>
    </w:lvl>
    <w:lvl w:ilvl="7" w:tplc="EFC4FBAA">
      <w:numFmt w:val="bullet"/>
      <w:lvlText w:val="•"/>
      <w:lvlJc w:val="left"/>
      <w:pPr>
        <w:ind w:left="7542" w:hanging="360"/>
      </w:pPr>
      <w:rPr>
        <w:rFonts w:hint="default"/>
      </w:rPr>
    </w:lvl>
    <w:lvl w:ilvl="8" w:tplc="754A1B1E">
      <w:numFmt w:val="bullet"/>
      <w:lvlText w:val="•"/>
      <w:lvlJc w:val="left"/>
      <w:pPr>
        <w:ind w:left="8468" w:hanging="360"/>
      </w:pPr>
      <w:rPr>
        <w:rFonts w:hint="default"/>
      </w:rPr>
    </w:lvl>
  </w:abstractNum>
  <w:abstractNum w:abstractNumId="28" w15:restartNumberingAfterBreak="0">
    <w:nsid w:val="4BE01CB5"/>
    <w:multiLevelType w:val="hybridMultilevel"/>
    <w:tmpl w:val="EB70C05A"/>
    <w:lvl w:ilvl="0" w:tplc="F2F0A32E">
      <w:start w:val="1"/>
      <w:numFmt w:val="upperLetter"/>
      <w:lvlText w:val="%1."/>
      <w:lvlJc w:val="left"/>
      <w:pPr>
        <w:ind w:left="938" w:hanging="360"/>
        <w:jc w:val="right"/>
      </w:pPr>
      <w:rPr>
        <w:rFonts w:ascii="Calibri" w:eastAsia="Calibri" w:hAnsi="Calibri" w:cs="Calibri" w:hint="default"/>
        <w:b/>
        <w:bCs/>
        <w:i w:val="0"/>
        <w:iCs w:val="0"/>
        <w:spacing w:val="-1"/>
        <w:w w:val="100"/>
        <w:sz w:val="24"/>
        <w:szCs w:val="24"/>
      </w:rPr>
    </w:lvl>
    <w:lvl w:ilvl="1" w:tplc="C05618F8">
      <w:start w:val="1"/>
      <w:numFmt w:val="decimal"/>
      <w:lvlText w:val="%2."/>
      <w:lvlJc w:val="left"/>
      <w:pPr>
        <w:ind w:left="698" w:hanging="220"/>
        <w:jc w:val="left"/>
      </w:pPr>
      <w:rPr>
        <w:rFonts w:ascii="Calibri" w:eastAsia="Calibri" w:hAnsi="Calibri" w:cs="Calibri" w:hint="default"/>
        <w:b/>
        <w:bCs/>
        <w:i w:val="0"/>
        <w:iCs w:val="0"/>
        <w:w w:val="98"/>
        <w:sz w:val="22"/>
        <w:szCs w:val="22"/>
      </w:rPr>
    </w:lvl>
    <w:lvl w:ilvl="2" w:tplc="66E49258">
      <w:numFmt w:val="bullet"/>
      <w:lvlText w:val="•"/>
      <w:lvlJc w:val="left"/>
      <w:pPr>
        <w:ind w:left="940" w:hanging="220"/>
      </w:pPr>
      <w:rPr>
        <w:rFonts w:hint="default"/>
      </w:rPr>
    </w:lvl>
    <w:lvl w:ilvl="3" w:tplc="C5A03E00">
      <w:numFmt w:val="bullet"/>
      <w:lvlText w:val="•"/>
      <w:lvlJc w:val="left"/>
      <w:pPr>
        <w:ind w:left="2112" w:hanging="220"/>
      </w:pPr>
      <w:rPr>
        <w:rFonts w:hint="default"/>
      </w:rPr>
    </w:lvl>
    <w:lvl w:ilvl="4" w:tplc="DD2EE046">
      <w:numFmt w:val="bullet"/>
      <w:lvlText w:val="•"/>
      <w:lvlJc w:val="left"/>
      <w:pPr>
        <w:ind w:left="3285" w:hanging="220"/>
      </w:pPr>
      <w:rPr>
        <w:rFonts w:hint="default"/>
      </w:rPr>
    </w:lvl>
    <w:lvl w:ilvl="5" w:tplc="95DA6042">
      <w:numFmt w:val="bullet"/>
      <w:lvlText w:val="•"/>
      <w:lvlJc w:val="left"/>
      <w:pPr>
        <w:ind w:left="4457" w:hanging="220"/>
      </w:pPr>
      <w:rPr>
        <w:rFonts w:hint="default"/>
      </w:rPr>
    </w:lvl>
    <w:lvl w:ilvl="6" w:tplc="2D989BFE">
      <w:numFmt w:val="bullet"/>
      <w:lvlText w:val="•"/>
      <w:lvlJc w:val="left"/>
      <w:pPr>
        <w:ind w:left="5630" w:hanging="220"/>
      </w:pPr>
      <w:rPr>
        <w:rFonts w:hint="default"/>
      </w:rPr>
    </w:lvl>
    <w:lvl w:ilvl="7" w:tplc="052E0C26">
      <w:numFmt w:val="bullet"/>
      <w:lvlText w:val="•"/>
      <w:lvlJc w:val="left"/>
      <w:pPr>
        <w:ind w:left="6802" w:hanging="220"/>
      </w:pPr>
      <w:rPr>
        <w:rFonts w:hint="default"/>
      </w:rPr>
    </w:lvl>
    <w:lvl w:ilvl="8" w:tplc="6D70FA48">
      <w:numFmt w:val="bullet"/>
      <w:lvlText w:val="•"/>
      <w:lvlJc w:val="left"/>
      <w:pPr>
        <w:ind w:left="7975" w:hanging="220"/>
      </w:pPr>
      <w:rPr>
        <w:rFonts w:hint="default"/>
      </w:rPr>
    </w:lvl>
  </w:abstractNum>
  <w:abstractNum w:abstractNumId="29" w15:restartNumberingAfterBreak="0">
    <w:nsid w:val="4BEC4F12"/>
    <w:multiLevelType w:val="hybridMultilevel"/>
    <w:tmpl w:val="7B4A6BD2"/>
    <w:lvl w:ilvl="0" w:tplc="C06C65EC">
      <w:numFmt w:val="bullet"/>
      <w:lvlText w:val="●"/>
      <w:lvlJc w:val="left"/>
      <w:pPr>
        <w:ind w:left="278" w:hanging="167"/>
      </w:pPr>
      <w:rPr>
        <w:rFonts w:ascii="Calibri" w:eastAsia="Calibri" w:hAnsi="Calibri" w:cs="Calibri" w:hint="default"/>
        <w:b w:val="0"/>
        <w:bCs w:val="0"/>
        <w:i w:val="0"/>
        <w:iCs w:val="0"/>
        <w:w w:val="100"/>
        <w:sz w:val="20"/>
        <w:szCs w:val="20"/>
      </w:rPr>
    </w:lvl>
    <w:lvl w:ilvl="1" w:tplc="719A816E">
      <w:numFmt w:val="bullet"/>
      <w:lvlText w:val="•"/>
      <w:lvlJc w:val="left"/>
      <w:pPr>
        <w:ind w:left="962" w:hanging="167"/>
      </w:pPr>
      <w:rPr>
        <w:rFonts w:hint="default"/>
      </w:rPr>
    </w:lvl>
    <w:lvl w:ilvl="2" w:tplc="E200D43C">
      <w:numFmt w:val="bullet"/>
      <w:lvlText w:val="•"/>
      <w:lvlJc w:val="left"/>
      <w:pPr>
        <w:ind w:left="1644" w:hanging="167"/>
      </w:pPr>
      <w:rPr>
        <w:rFonts w:hint="default"/>
      </w:rPr>
    </w:lvl>
    <w:lvl w:ilvl="3" w:tplc="B292284E">
      <w:numFmt w:val="bullet"/>
      <w:lvlText w:val="•"/>
      <w:lvlJc w:val="left"/>
      <w:pPr>
        <w:ind w:left="2326" w:hanging="167"/>
      </w:pPr>
      <w:rPr>
        <w:rFonts w:hint="default"/>
      </w:rPr>
    </w:lvl>
    <w:lvl w:ilvl="4" w:tplc="9200AD02">
      <w:numFmt w:val="bullet"/>
      <w:lvlText w:val="•"/>
      <w:lvlJc w:val="left"/>
      <w:pPr>
        <w:ind w:left="3008" w:hanging="167"/>
      </w:pPr>
      <w:rPr>
        <w:rFonts w:hint="default"/>
      </w:rPr>
    </w:lvl>
    <w:lvl w:ilvl="5" w:tplc="A358D6EE">
      <w:numFmt w:val="bullet"/>
      <w:lvlText w:val="•"/>
      <w:lvlJc w:val="left"/>
      <w:pPr>
        <w:ind w:left="3690" w:hanging="167"/>
      </w:pPr>
      <w:rPr>
        <w:rFonts w:hint="default"/>
      </w:rPr>
    </w:lvl>
    <w:lvl w:ilvl="6" w:tplc="28A81DC4">
      <w:numFmt w:val="bullet"/>
      <w:lvlText w:val="•"/>
      <w:lvlJc w:val="left"/>
      <w:pPr>
        <w:ind w:left="4372" w:hanging="167"/>
      </w:pPr>
      <w:rPr>
        <w:rFonts w:hint="default"/>
      </w:rPr>
    </w:lvl>
    <w:lvl w:ilvl="7" w:tplc="5A362CF2">
      <w:numFmt w:val="bullet"/>
      <w:lvlText w:val="•"/>
      <w:lvlJc w:val="left"/>
      <w:pPr>
        <w:ind w:left="5054" w:hanging="167"/>
      </w:pPr>
      <w:rPr>
        <w:rFonts w:hint="default"/>
      </w:rPr>
    </w:lvl>
    <w:lvl w:ilvl="8" w:tplc="B27EF8C2">
      <w:numFmt w:val="bullet"/>
      <w:lvlText w:val="•"/>
      <w:lvlJc w:val="left"/>
      <w:pPr>
        <w:ind w:left="5736" w:hanging="167"/>
      </w:pPr>
      <w:rPr>
        <w:rFonts w:hint="default"/>
      </w:rPr>
    </w:lvl>
  </w:abstractNum>
  <w:abstractNum w:abstractNumId="30" w15:restartNumberingAfterBreak="0">
    <w:nsid w:val="4E2B1A5D"/>
    <w:multiLevelType w:val="hybridMultilevel"/>
    <w:tmpl w:val="34D42388"/>
    <w:lvl w:ilvl="0" w:tplc="A1EA163C">
      <w:start w:val="1"/>
      <w:numFmt w:val="decimal"/>
      <w:lvlText w:val="%1."/>
      <w:lvlJc w:val="left"/>
      <w:pPr>
        <w:ind w:left="567" w:hanging="230"/>
        <w:jc w:val="left"/>
      </w:pPr>
      <w:rPr>
        <w:rFonts w:ascii="Calibri" w:eastAsia="Calibri" w:hAnsi="Calibri" w:cs="Calibri" w:hint="default"/>
        <w:b/>
        <w:bCs/>
        <w:i w:val="0"/>
        <w:iCs w:val="0"/>
        <w:w w:val="98"/>
        <w:sz w:val="22"/>
        <w:szCs w:val="22"/>
      </w:rPr>
    </w:lvl>
    <w:lvl w:ilvl="1" w:tplc="81A295E4">
      <w:start w:val="1"/>
      <w:numFmt w:val="decimal"/>
      <w:lvlText w:val="%2."/>
      <w:lvlJc w:val="left"/>
      <w:pPr>
        <w:ind w:left="628" w:hanging="218"/>
        <w:jc w:val="left"/>
      </w:pPr>
      <w:rPr>
        <w:rFonts w:ascii="Calibri" w:eastAsia="Calibri" w:hAnsi="Calibri" w:cs="Calibri" w:hint="default"/>
        <w:b w:val="0"/>
        <w:bCs w:val="0"/>
        <w:i w:val="0"/>
        <w:iCs w:val="0"/>
        <w:spacing w:val="-2"/>
        <w:w w:val="99"/>
        <w:sz w:val="22"/>
        <w:szCs w:val="22"/>
      </w:rPr>
    </w:lvl>
    <w:lvl w:ilvl="2" w:tplc="F57AF682">
      <w:numFmt w:val="bullet"/>
      <w:lvlText w:val="•"/>
      <w:lvlJc w:val="left"/>
      <w:pPr>
        <w:ind w:left="1697" w:hanging="218"/>
      </w:pPr>
      <w:rPr>
        <w:rFonts w:hint="default"/>
      </w:rPr>
    </w:lvl>
    <w:lvl w:ilvl="3" w:tplc="A5EE1E94">
      <w:numFmt w:val="bullet"/>
      <w:lvlText w:val="•"/>
      <w:lvlJc w:val="left"/>
      <w:pPr>
        <w:ind w:left="2775" w:hanging="218"/>
      </w:pPr>
      <w:rPr>
        <w:rFonts w:hint="default"/>
      </w:rPr>
    </w:lvl>
    <w:lvl w:ilvl="4" w:tplc="8C86606E">
      <w:numFmt w:val="bullet"/>
      <w:lvlText w:val="•"/>
      <w:lvlJc w:val="left"/>
      <w:pPr>
        <w:ind w:left="3853" w:hanging="218"/>
      </w:pPr>
      <w:rPr>
        <w:rFonts w:hint="default"/>
      </w:rPr>
    </w:lvl>
    <w:lvl w:ilvl="5" w:tplc="F1DE8196">
      <w:numFmt w:val="bullet"/>
      <w:lvlText w:val="•"/>
      <w:lvlJc w:val="left"/>
      <w:pPr>
        <w:ind w:left="4931" w:hanging="218"/>
      </w:pPr>
      <w:rPr>
        <w:rFonts w:hint="default"/>
      </w:rPr>
    </w:lvl>
    <w:lvl w:ilvl="6" w:tplc="D0108992">
      <w:numFmt w:val="bullet"/>
      <w:lvlText w:val="•"/>
      <w:lvlJc w:val="left"/>
      <w:pPr>
        <w:ind w:left="6008" w:hanging="218"/>
      </w:pPr>
      <w:rPr>
        <w:rFonts w:hint="default"/>
      </w:rPr>
    </w:lvl>
    <w:lvl w:ilvl="7" w:tplc="3B1AA6EA">
      <w:numFmt w:val="bullet"/>
      <w:lvlText w:val="•"/>
      <w:lvlJc w:val="left"/>
      <w:pPr>
        <w:ind w:left="7086" w:hanging="218"/>
      </w:pPr>
      <w:rPr>
        <w:rFonts w:hint="default"/>
      </w:rPr>
    </w:lvl>
    <w:lvl w:ilvl="8" w:tplc="CEC4BFD4">
      <w:numFmt w:val="bullet"/>
      <w:lvlText w:val="•"/>
      <w:lvlJc w:val="left"/>
      <w:pPr>
        <w:ind w:left="8164" w:hanging="218"/>
      </w:pPr>
      <w:rPr>
        <w:rFonts w:hint="default"/>
      </w:rPr>
    </w:lvl>
  </w:abstractNum>
  <w:abstractNum w:abstractNumId="31" w15:restartNumberingAfterBreak="0">
    <w:nsid w:val="50465683"/>
    <w:multiLevelType w:val="hybridMultilevel"/>
    <w:tmpl w:val="4DC86A5C"/>
    <w:lvl w:ilvl="0" w:tplc="AAEC8B44">
      <w:start w:val="1"/>
      <w:numFmt w:val="decimal"/>
      <w:lvlText w:val="%1."/>
      <w:lvlJc w:val="left"/>
      <w:pPr>
        <w:ind w:left="555" w:hanging="218"/>
        <w:jc w:val="left"/>
      </w:pPr>
      <w:rPr>
        <w:rFonts w:hint="default"/>
        <w:spacing w:val="-2"/>
        <w:w w:val="99"/>
      </w:rPr>
    </w:lvl>
    <w:lvl w:ilvl="1" w:tplc="14BCC142">
      <w:start w:val="1"/>
      <w:numFmt w:val="decimal"/>
      <w:lvlText w:val="%2."/>
      <w:lvlJc w:val="left"/>
      <w:pPr>
        <w:ind w:left="847" w:hanging="221"/>
        <w:jc w:val="left"/>
      </w:pPr>
      <w:rPr>
        <w:rFonts w:ascii="Calibri" w:eastAsia="Calibri" w:hAnsi="Calibri" w:cs="Calibri" w:hint="default"/>
        <w:b/>
        <w:bCs/>
        <w:i w:val="0"/>
        <w:iCs w:val="0"/>
        <w:w w:val="98"/>
        <w:sz w:val="22"/>
        <w:szCs w:val="22"/>
      </w:rPr>
    </w:lvl>
    <w:lvl w:ilvl="2" w:tplc="80522F52">
      <w:numFmt w:val="bullet"/>
      <w:lvlText w:val="•"/>
      <w:lvlJc w:val="left"/>
      <w:pPr>
        <w:ind w:left="1893" w:hanging="221"/>
      </w:pPr>
      <w:rPr>
        <w:rFonts w:hint="default"/>
      </w:rPr>
    </w:lvl>
    <w:lvl w:ilvl="3" w:tplc="E67CD31A">
      <w:numFmt w:val="bullet"/>
      <w:lvlText w:val="•"/>
      <w:lvlJc w:val="left"/>
      <w:pPr>
        <w:ind w:left="2946" w:hanging="221"/>
      </w:pPr>
      <w:rPr>
        <w:rFonts w:hint="default"/>
      </w:rPr>
    </w:lvl>
    <w:lvl w:ilvl="4" w:tplc="201AFC84">
      <w:numFmt w:val="bullet"/>
      <w:lvlText w:val="•"/>
      <w:lvlJc w:val="left"/>
      <w:pPr>
        <w:ind w:left="4000" w:hanging="221"/>
      </w:pPr>
      <w:rPr>
        <w:rFonts w:hint="default"/>
      </w:rPr>
    </w:lvl>
    <w:lvl w:ilvl="5" w:tplc="F22E794C">
      <w:numFmt w:val="bullet"/>
      <w:lvlText w:val="•"/>
      <w:lvlJc w:val="left"/>
      <w:pPr>
        <w:ind w:left="5053" w:hanging="221"/>
      </w:pPr>
      <w:rPr>
        <w:rFonts w:hint="default"/>
      </w:rPr>
    </w:lvl>
    <w:lvl w:ilvl="6" w:tplc="C2A831DC">
      <w:numFmt w:val="bullet"/>
      <w:lvlText w:val="•"/>
      <w:lvlJc w:val="left"/>
      <w:pPr>
        <w:ind w:left="6106" w:hanging="221"/>
      </w:pPr>
      <w:rPr>
        <w:rFonts w:hint="default"/>
      </w:rPr>
    </w:lvl>
    <w:lvl w:ilvl="7" w:tplc="131C9E0A">
      <w:numFmt w:val="bullet"/>
      <w:lvlText w:val="•"/>
      <w:lvlJc w:val="left"/>
      <w:pPr>
        <w:ind w:left="7160" w:hanging="221"/>
      </w:pPr>
      <w:rPr>
        <w:rFonts w:hint="default"/>
      </w:rPr>
    </w:lvl>
    <w:lvl w:ilvl="8" w:tplc="6FEA0264">
      <w:numFmt w:val="bullet"/>
      <w:lvlText w:val="•"/>
      <w:lvlJc w:val="left"/>
      <w:pPr>
        <w:ind w:left="8213" w:hanging="221"/>
      </w:pPr>
      <w:rPr>
        <w:rFonts w:hint="default"/>
      </w:rPr>
    </w:lvl>
  </w:abstractNum>
  <w:abstractNum w:abstractNumId="32" w15:restartNumberingAfterBreak="0">
    <w:nsid w:val="51BE241E"/>
    <w:multiLevelType w:val="hybridMultilevel"/>
    <w:tmpl w:val="829617BE"/>
    <w:lvl w:ilvl="0" w:tplc="4AD2E71C">
      <w:start w:val="1"/>
      <w:numFmt w:val="decimal"/>
      <w:lvlText w:val="%1."/>
      <w:lvlJc w:val="left"/>
      <w:pPr>
        <w:ind w:left="338" w:hanging="234"/>
        <w:jc w:val="left"/>
      </w:pPr>
      <w:rPr>
        <w:rFonts w:hint="default"/>
        <w:spacing w:val="-1"/>
        <w:w w:val="100"/>
      </w:rPr>
    </w:lvl>
    <w:lvl w:ilvl="1" w:tplc="DEE0C790">
      <w:start w:val="1"/>
      <w:numFmt w:val="decimal"/>
      <w:lvlText w:val="%2."/>
      <w:lvlJc w:val="left"/>
      <w:pPr>
        <w:ind w:left="1058" w:hanging="213"/>
        <w:jc w:val="left"/>
      </w:pPr>
      <w:rPr>
        <w:rFonts w:ascii="Calibri" w:eastAsia="Calibri" w:hAnsi="Calibri" w:cs="Calibri" w:hint="default"/>
        <w:b w:val="0"/>
        <w:bCs w:val="0"/>
        <w:i w:val="0"/>
        <w:iCs w:val="0"/>
        <w:spacing w:val="-2"/>
        <w:w w:val="99"/>
        <w:sz w:val="22"/>
        <w:szCs w:val="22"/>
      </w:rPr>
    </w:lvl>
    <w:lvl w:ilvl="2" w:tplc="9410C490">
      <w:numFmt w:val="bullet"/>
      <w:lvlText w:val="•"/>
      <w:lvlJc w:val="left"/>
      <w:pPr>
        <w:ind w:left="2088" w:hanging="213"/>
      </w:pPr>
      <w:rPr>
        <w:rFonts w:hint="default"/>
      </w:rPr>
    </w:lvl>
    <w:lvl w:ilvl="3" w:tplc="83CA4B3E">
      <w:numFmt w:val="bullet"/>
      <w:lvlText w:val="•"/>
      <w:lvlJc w:val="left"/>
      <w:pPr>
        <w:ind w:left="3117" w:hanging="213"/>
      </w:pPr>
      <w:rPr>
        <w:rFonts w:hint="default"/>
      </w:rPr>
    </w:lvl>
    <w:lvl w:ilvl="4" w:tplc="DDD84CF6">
      <w:numFmt w:val="bullet"/>
      <w:lvlText w:val="•"/>
      <w:lvlJc w:val="left"/>
      <w:pPr>
        <w:ind w:left="4146" w:hanging="213"/>
      </w:pPr>
      <w:rPr>
        <w:rFonts w:hint="default"/>
      </w:rPr>
    </w:lvl>
    <w:lvl w:ilvl="5" w:tplc="F8E4E026">
      <w:numFmt w:val="bullet"/>
      <w:lvlText w:val="•"/>
      <w:lvlJc w:val="left"/>
      <w:pPr>
        <w:ind w:left="5175" w:hanging="213"/>
      </w:pPr>
      <w:rPr>
        <w:rFonts w:hint="default"/>
      </w:rPr>
    </w:lvl>
    <w:lvl w:ilvl="6" w:tplc="8BF01476">
      <w:numFmt w:val="bullet"/>
      <w:lvlText w:val="•"/>
      <w:lvlJc w:val="left"/>
      <w:pPr>
        <w:ind w:left="6204" w:hanging="213"/>
      </w:pPr>
      <w:rPr>
        <w:rFonts w:hint="default"/>
      </w:rPr>
    </w:lvl>
    <w:lvl w:ilvl="7" w:tplc="402C67CA">
      <w:numFmt w:val="bullet"/>
      <w:lvlText w:val="•"/>
      <w:lvlJc w:val="left"/>
      <w:pPr>
        <w:ind w:left="7233" w:hanging="213"/>
      </w:pPr>
      <w:rPr>
        <w:rFonts w:hint="default"/>
      </w:rPr>
    </w:lvl>
    <w:lvl w:ilvl="8" w:tplc="0DE8BAE2">
      <w:numFmt w:val="bullet"/>
      <w:lvlText w:val="•"/>
      <w:lvlJc w:val="left"/>
      <w:pPr>
        <w:ind w:left="8262" w:hanging="213"/>
      </w:pPr>
      <w:rPr>
        <w:rFonts w:hint="default"/>
      </w:rPr>
    </w:lvl>
  </w:abstractNum>
  <w:abstractNum w:abstractNumId="33" w15:restartNumberingAfterBreak="0">
    <w:nsid w:val="52EB35DE"/>
    <w:multiLevelType w:val="hybridMultilevel"/>
    <w:tmpl w:val="9B8842B2"/>
    <w:lvl w:ilvl="0" w:tplc="319ED3BC">
      <w:start w:val="1"/>
      <w:numFmt w:val="decimal"/>
      <w:lvlText w:val="%1."/>
      <w:lvlJc w:val="left"/>
      <w:pPr>
        <w:ind w:left="338" w:hanging="287"/>
        <w:jc w:val="left"/>
      </w:pPr>
      <w:rPr>
        <w:rFonts w:ascii="Calibri" w:eastAsia="Calibri" w:hAnsi="Calibri" w:cs="Calibri" w:hint="default"/>
        <w:b/>
        <w:bCs/>
        <w:i w:val="0"/>
        <w:iCs w:val="0"/>
        <w:w w:val="98"/>
        <w:sz w:val="22"/>
        <w:szCs w:val="22"/>
      </w:rPr>
    </w:lvl>
    <w:lvl w:ilvl="1" w:tplc="4F365188">
      <w:start w:val="1"/>
      <w:numFmt w:val="decimal"/>
      <w:lvlText w:val="%2."/>
      <w:lvlJc w:val="left"/>
      <w:pPr>
        <w:ind w:left="842" w:hanging="216"/>
        <w:jc w:val="left"/>
      </w:pPr>
      <w:rPr>
        <w:rFonts w:ascii="Calibri" w:eastAsia="Calibri" w:hAnsi="Calibri" w:cs="Calibri" w:hint="default"/>
        <w:b w:val="0"/>
        <w:bCs w:val="0"/>
        <w:i w:val="0"/>
        <w:iCs w:val="0"/>
        <w:spacing w:val="-2"/>
        <w:w w:val="99"/>
        <w:sz w:val="22"/>
        <w:szCs w:val="22"/>
      </w:rPr>
    </w:lvl>
    <w:lvl w:ilvl="2" w:tplc="5EB499A2">
      <w:numFmt w:val="bullet"/>
      <w:lvlText w:val="•"/>
      <w:lvlJc w:val="left"/>
      <w:pPr>
        <w:ind w:left="1893" w:hanging="216"/>
      </w:pPr>
      <w:rPr>
        <w:rFonts w:hint="default"/>
      </w:rPr>
    </w:lvl>
    <w:lvl w:ilvl="3" w:tplc="657E30A0">
      <w:numFmt w:val="bullet"/>
      <w:lvlText w:val="•"/>
      <w:lvlJc w:val="left"/>
      <w:pPr>
        <w:ind w:left="2946" w:hanging="216"/>
      </w:pPr>
      <w:rPr>
        <w:rFonts w:hint="default"/>
      </w:rPr>
    </w:lvl>
    <w:lvl w:ilvl="4" w:tplc="CD2ED79A">
      <w:numFmt w:val="bullet"/>
      <w:lvlText w:val="•"/>
      <w:lvlJc w:val="left"/>
      <w:pPr>
        <w:ind w:left="4000" w:hanging="216"/>
      </w:pPr>
      <w:rPr>
        <w:rFonts w:hint="default"/>
      </w:rPr>
    </w:lvl>
    <w:lvl w:ilvl="5" w:tplc="F1E0B318">
      <w:numFmt w:val="bullet"/>
      <w:lvlText w:val="•"/>
      <w:lvlJc w:val="left"/>
      <w:pPr>
        <w:ind w:left="5053" w:hanging="216"/>
      </w:pPr>
      <w:rPr>
        <w:rFonts w:hint="default"/>
      </w:rPr>
    </w:lvl>
    <w:lvl w:ilvl="6" w:tplc="4E1841D6">
      <w:numFmt w:val="bullet"/>
      <w:lvlText w:val="•"/>
      <w:lvlJc w:val="left"/>
      <w:pPr>
        <w:ind w:left="6106" w:hanging="216"/>
      </w:pPr>
      <w:rPr>
        <w:rFonts w:hint="default"/>
      </w:rPr>
    </w:lvl>
    <w:lvl w:ilvl="7" w:tplc="1F50C8B2">
      <w:numFmt w:val="bullet"/>
      <w:lvlText w:val="•"/>
      <w:lvlJc w:val="left"/>
      <w:pPr>
        <w:ind w:left="7160" w:hanging="216"/>
      </w:pPr>
      <w:rPr>
        <w:rFonts w:hint="default"/>
      </w:rPr>
    </w:lvl>
    <w:lvl w:ilvl="8" w:tplc="09E84FBE">
      <w:numFmt w:val="bullet"/>
      <w:lvlText w:val="•"/>
      <w:lvlJc w:val="left"/>
      <w:pPr>
        <w:ind w:left="8213" w:hanging="216"/>
      </w:pPr>
      <w:rPr>
        <w:rFonts w:hint="default"/>
      </w:rPr>
    </w:lvl>
  </w:abstractNum>
  <w:abstractNum w:abstractNumId="34" w15:restartNumberingAfterBreak="0">
    <w:nsid w:val="534D6B62"/>
    <w:multiLevelType w:val="hybridMultilevel"/>
    <w:tmpl w:val="BB00A0F8"/>
    <w:lvl w:ilvl="0" w:tplc="EEB8C2F4">
      <w:numFmt w:val="bullet"/>
      <w:lvlText w:val="●"/>
      <w:lvlJc w:val="left"/>
      <w:pPr>
        <w:ind w:left="278" w:hanging="167"/>
      </w:pPr>
      <w:rPr>
        <w:rFonts w:ascii="Calibri" w:eastAsia="Calibri" w:hAnsi="Calibri" w:cs="Calibri" w:hint="default"/>
        <w:b w:val="0"/>
        <w:bCs w:val="0"/>
        <w:i w:val="0"/>
        <w:iCs w:val="0"/>
        <w:w w:val="100"/>
        <w:sz w:val="20"/>
        <w:szCs w:val="20"/>
      </w:rPr>
    </w:lvl>
    <w:lvl w:ilvl="1" w:tplc="82E87FB4">
      <w:numFmt w:val="bullet"/>
      <w:lvlText w:val="•"/>
      <w:lvlJc w:val="left"/>
      <w:pPr>
        <w:ind w:left="962" w:hanging="167"/>
      </w:pPr>
      <w:rPr>
        <w:rFonts w:hint="default"/>
      </w:rPr>
    </w:lvl>
    <w:lvl w:ilvl="2" w:tplc="9C747E06">
      <w:numFmt w:val="bullet"/>
      <w:lvlText w:val="•"/>
      <w:lvlJc w:val="left"/>
      <w:pPr>
        <w:ind w:left="1644" w:hanging="167"/>
      </w:pPr>
      <w:rPr>
        <w:rFonts w:hint="default"/>
      </w:rPr>
    </w:lvl>
    <w:lvl w:ilvl="3" w:tplc="0DA62006">
      <w:numFmt w:val="bullet"/>
      <w:lvlText w:val="•"/>
      <w:lvlJc w:val="left"/>
      <w:pPr>
        <w:ind w:left="2326" w:hanging="167"/>
      </w:pPr>
      <w:rPr>
        <w:rFonts w:hint="default"/>
      </w:rPr>
    </w:lvl>
    <w:lvl w:ilvl="4" w:tplc="F998D708">
      <w:numFmt w:val="bullet"/>
      <w:lvlText w:val="•"/>
      <w:lvlJc w:val="left"/>
      <w:pPr>
        <w:ind w:left="3008" w:hanging="167"/>
      </w:pPr>
      <w:rPr>
        <w:rFonts w:hint="default"/>
      </w:rPr>
    </w:lvl>
    <w:lvl w:ilvl="5" w:tplc="F6001038">
      <w:numFmt w:val="bullet"/>
      <w:lvlText w:val="•"/>
      <w:lvlJc w:val="left"/>
      <w:pPr>
        <w:ind w:left="3690" w:hanging="167"/>
      </w:pPr>
      <w:rPr>
        <w:rFonts w:hint="default"/>
      </w:rPr>
    </w:lvl>
    <w:lvl w:ilvl="6" w:tplc="8340BDEA">
      <w:numFmt w:val="bullet"/>
      <w:lvlText w:val="•"/>
      <w:lvlJc w:val="left"/>
      <w:pPr>
        <w:ind w:left="4372" w:hanging="167"/>
      </w:pPr>
      <w:rPr>
        <w:rFonts w:hint="default"/>
      </w:rPr>
    </w:lvl>
    <w:lvl w:ilvl="7" w:tplc="41A60746">
      <w:numFmt w:val="bullet"/>
      <w:lvlText w:val="•"/>
      <w:lvlJc w:val="left"/>
      <w:pPr>
        <w:ind w:left="5054" w:hanging="167"/>
      </w:pPr>
      <w:rPr>
        <w:rFonts w:hint="default"/>
      </w:rPr>
    </w:lvl>
    <w:lvl w:ilvl="8" w:tplc="79120C88">
      <w:numFmt w:val="bullet"/>
      <w:lvlText w:val="•"/>
      <w:lvlJc w:val="left"/>
      <w:pPr>
        <w:ind w:left="5736" w:hanging="167"/>
      </w:pPr>
      <w:rPr>
        <w:rFonts w:hint="default"/>
      </w:rPr>
    </w:lvl>
  </w:abstractNum>
  <w:abstractNum w:abstractNumId="35" w15:restartNumberingAfterBreak="0">
    <w:nsid w:val="53761805"/>
    <w:multiLevelType w:val="hybridMultilevel"/>
    <w:tmpl w:val="7DE076D2"/>
    <w:lvl w:ilvl="0" w:tplc="B0ECDE4A">
      <w:start w:val="1"/>
      <w:numFmt w:val="upperLetter"/>
      <w:lvlText w:val="%1."/>
      <w:lvlJc w:val="left"/>
      <w:pPr>
        <w:ind w:left="837" w:hanging="359"/>
        <w:jc w:val="right"/>
      </w:pPr>
      <w:rPr>
        <w:rFonts w:ascii="Calibri" w:eastAsia="Calibri" w:hAnsi="Calibri" w:cs="Calibri" w:hint="default"/>
        <w:b/>
        <w:bCs/>
        <w:i w:val="0"/>
        <w:iCs w:val="0"/>
        <w:spacing w:val="-1"/>
        <w:w w:val="100"/>
        <w:sz w:val="24"/>
        <w:szCs w:val="24"/>
      </w:rPr>
    </w:lvl>
    <w:lvl w:ilvl="1" w:tplc="7550091C">
      <w:start w:val="1"/>
      <w:numFmt w:val="decimal"/>
      <w:lvlText w:val="%2."/>
      <w:lvlJc w:val="left"/>
      <w:pPr>
        <w:ind w:left="479" w:hanging="274"/>
        <w:jc w:val="left"/>
      </w:pPr>
      <w:rPr>
        <w:rFonts w:ascii="Calibri" w:eastAsia="Calibri" w:hAnsi="Calibri" w:cs="Calibri" w:hint="default"/>
        <w:b/>
        <w:bCs/>
        <w:i w:val="0"/>
        <w:iCs w:val="0"/>
        <w:w w:val="98"/>
        <w:sz w:val="22"/>
        <w:szCs w:val="22"/>
      </w:rPr>
    </w:lvl>
    <w:lvl w:ilvl="2" w:tplc="C244255A">
      <w:numFmt w:val="bullet"/>
      <w:lvlText w:val="•"/>
      <w:lvlJc w:val="left"/>
      <w:pPr>
        <w:ind w:left="1893" w:hanging="274"/>
      </w:pPr>
      <w:rPr>
        <w:rFonts w:hint="default"/>
      </w:rPr>
    </w:lvl>
    <w:lvl w:ilvl="3" w:tplc="460A8086">
      <w:numFmt w:val="bullet"/>
      <w:lvlText w:val="•"/>
      <w:lvlJc w:val="left"/>
      <w:pPr>
        <w:ind w:left="2946" w:hanging="274"/>
      </w:pPr>
      <w:rPr>
        <w:rFonts w:hint="default"/>
      </w:rPr>
    </w:lvl>
    <w:lvl w:ilvl="4" w:tplc="33581C32">
      <w:numFmt w:val="bullet"/>
      <w:lvlText w:val="•"/>
      <w:lvlJc w:val="left"/>
      <w:pPr>
        <w:ind w:left="4000" w:hanging="274"/>
      </w:pPr>
      <w:rPr>
        <w:rFonts w:hint="default"/>
      </w:rPr>
    </w:lvl>
    <w:lvl w:ilvl="5" w:tplc="034833C0">
      <w:numFmt w:val="bullet"/>
      <w:lvlText w:val="•"/>
      <w:lvlJc w:val="left"/>
      <w:pPr>
        <w:ind w:left="5053" w:hanging="274"/>
      </w:pPr>
      <w:rPr>
        <w:rFonts w:hint="default"/>
      </w:rPr>
    </w:lvl>
    <w:lvl w:ilvl="6" w:tplc="A44A134A">
      <w:numFmt w:val="bullet"/>
      <w:lvlText w:val="•"/>
      <w:lvlJc w:val="left"/>
      <w:pPr>
        <w:ind w:left="6106" w:hanging="274"/>
      </w:pPr>
      <w:rPr>
        <w:rFonts w:hint="default"/>
      </w:rPr>
    </w:lvl>
    <w:lvl w:ilvl="7" w:tplc="51FEF204">
      <w:numFmt w:val="bullet"/>
      <w:lvlText w:val="•"/>
      <w:lvlJc w:val="left"/>
      <w:pPr>
        <w:ind w:left="7160" w:hanging="274"/>
      </w:pPr>
      <w:rPr>
        <w:rFonts w:hint="default"/>
      </w:rPr>
    </w:lvl>
    <w:lvl w:ilvl="8" w:tplc="08A02F86">
      <w:numFmt w:val="bullet"/>
      <w:lvlText w:val="•"/>
      <w:lvlJc w:val="left"/>
      <w:pPr>
        <w:ind w:left="8213" w:hanging="274"/>
      </w:pPr>
      <w:rPr>
        <w:rFonts w:hint="default"/>
      </w:rPr>
    </w:lvl>
  </w:abstractNum>
  <w:abstractNum w:abstractNumId="36" w15:restartNumberingAfterBreak="0">
    <w:nsid w:val="56E42A1A"/>
    <w:multiLevelType w:val="hybridMultilevel"/>
    <w:tmpl w:val="DD4AF6D2"/>
    <w:lvl w:ilvl="0" w:tplc="74C05D7E">
      <w:start w:val="1"/>
      <w:numFmt w:val="decimal"/>
      <w:lvlText w:val="%1."/>
      <w:lvlJc w:val="left"/>
      <w:pPr>
        <w:ind w:left="766" w:hanging="275"/>
        <w:jc w:val="left"/>
      </w:pPr>
      <w:rPr>
        <w:rFonts w:ascii="Calibri" w:eastAsia="Calibri" w:hAnsi="Calibri" w:cs="Calibri" w:hint="default"/>
        <w:b w:val="0"/>
        <w:bCs w:val="0"/>
        <w:i w:val="0"/>
        <w:iCs w:val="0"/>
        <w:spacing w:val="-2"/>
        <w:w w:val="99"/>
        <w:sz w:val="22"/>
        <w:szCs w:val="22"/>
      </w:rPr>
    </w:lvl>
    <w:lvl w:ilvl="1" w:tplc="37A402AA">
      <w:numFmt w:val="bullet"/>
      <w:lvlText w:val="•"/>
      <w:lvlJc w:val="left"/>
      <w:pPr>
        <w:ind w:left="840" w:hanging="275"/>
      </w:pPr>
      <w:rPr>
        <w:rFonts w:hint="default"/>
      </w:rPr>
    </w:lvl>
    <w:lvl w:ilvl="2" w:tplc="7864297C">
      <w:numFmt w:val="bullet"/>
      <w:lvlText w:val="•"/>
      <w:lvlJc w:val="left"/>
      <w:pPr>
        <w:ind w:left="1893" w:hanging="275"/>
      </w:pPr>
      <w:rPr>
        <w:rFonts w:hint="default"/>
      </w:rPr>
    </w:lvl>
    <w:lvl w:ilvl="3" w:tplc="E98C1D6A">
      <w:numFmt w:val="bullet"/>
      <w:lvlText w:val="•"/>
      <w:lvlJc w:val="left"/>
      <w:pPr>
        <w:ind w:left="2946" w:hanging="275"/>
      </w:pPr>
      <w:rPr>
        <w:rFonts w:hint="default"/>
      </w:rPr>
    </w:lvl>
    <w:lvl w:ilvl="4" w:tplc="BDD4E924">
      <w:numFmt w:val="bullet"/>
      <w:lvlText w:val="•"/>
      <w:lvlJc w:val="left"/>
      <w:pPr>
        <w:ind w:left="4000" w:hanging="275"/>
      </w:pPr>
      <w:rPr>
        <w:rFonts w:hint="default"/>
      </w:rPr>
    </w:lvl>
    <w:lvl w:ilvl="5" w:tplc="C794FD5E">
      <w:numFmt w:val="bullet"/>
      <w:lvlText w:val="•"/>
      <w:lvlJc w:val="left"/>
      <w:pPr>
        <w:ind w:left="5053" w:hanging="275"/>
      </w:pPr>
      <w:rPr>
        <w:rFonts w:hint="default"/>
      </w:rPr>
    </w:lvl>
    <w:lvl w:ilvl="6" w:tplc="9E8832B6">
      <w:numFmt w:val="bullet"/>
      <w:lvlText w:val="•"/>
      <w:lvlJc w:val="left"/>
      <w:pPr>
        <w:ind w:left="6106" w:hanging="275"/>
      </w:pPr>
      <w:rPr>
        <w:rFonts w:hint="default"/>
      </w:rPr>
    </w:lvl>
    <w:lvl w:ilvl="7" w:tplc="E1E816AA">
      <w:numFmt w:val="bullet"/>
      <w:lvlText w:val="•"/>
      <w:lvlJc w:val="left"/>
      <w:pPr>
        <w:ind w:left="7160" w:hanging="275"/>
      </w:pPr>
      <w:rPr>
        <w:rFonts w:hint="default"/>
      </w:rPr>
    </w:lvl>
    <w:lvl w:ilvl="8" w:tplc="D376EE08">
      <w:numFmt w:val="bullet"/>
      <w:lvlText w:val="•"/>
      <w:lvlJc w:val="left"/>
      <w:pPr>
        <w:ind w:left="8213" w:hanging="275"/>
      </w:pPr>
      <w:rPr>
        <w:rFonts w:hint="default"/>
      </w:rPr>
    </w:lvl>
  </w:abstractNum>
  <w:abstractNum w:abstractNumId="37" w15:restartNumberingAfterBreak="0">
    <w:nsid w:val="5B977407"/>
    <w:multiLevelType w:val="hybridMultilevel"/>
    <w:tmpl w:val="DFF450FE"/>
    <w:lvl w:ilvl="0" w:tplc="AE9C28A0">
      <w:start w:val="1"/>
      <w:numFmt w:val="decimal"/>
      <w:lvlText w:val="%1."/>
      <w:lvlJc w:val="left"/>
      <w:pPr>
        <w:ind w:left="479" w:hanging="286"/>
        <w:jc w:val="left"/>
      </w:pPr>
      <w:rPr>
        <w:rFonts w:hint="default"/>
        <w:spacing w:val="-2"/>
        <w:w w:val="99"/>
      </w:rPr>
    </w:lvl>
    <w:lvl w:ilvl="1" w:tplc="EA82062A">
      <w:start w:val="1"/>
      <w:numFmt w:val="decimal"/>
      <w:lvlText w:val="%2."/>
      <w:lvlJc w:val="left"/>
      <w:pPr>
        <w:ind w:left="627" w:hanging="240"/>
        <w:jc w:val="left"/>
      </w:pPr>
      <w:rPr>
        <w:rFonts w:ascii="Calibri" w:eastAsia="Calibri" w:hAnsi="Calibri" w:cs="Calibri" w:hint="default"/>
        <w:b w:val="0"/>
        <w:bCs w:val="0"/>
        <w:i w:val="0"/>
        <w:iCs w:val="0"/>
        <w:spacing w:val="-2"/>
        <w:w w:val="99"/>
        <w:sz w:val="22"/>
        <w:szCs w:val="22"/>
      </w:rPr>
    </w:lvl>
    <w:lvl w:ilvl="2" w:tplc="D5384116">
      <w:numFmt w:val="bullet"/>
      <w:lvlText w:val="•"/>
      <w:lvlJc w:val="left"/>
      <w:pPr>
        <w:ind w:left="1697" w:hanging="240"/>
      </w:pPr>
      <w:rPr>
        <w:rFonts w:hint="default"/>
      </w:rPr>
    </w:lvl>
    <w:lvl w:ilvl="3" w:tplc="620E4CD8">
      <w:numFmt w:val="bullet"/>
      <w:lvlText w:val="•"/>
      <w:lvlJc w:val="left"/>
      <w:pPr>
        <w:ind w:left="2775" w:hanging="240"/>
      </w:pPr>
      <w:rPr>
        <w:rFonts w:hint="default"/>
      </w:rPr>
    </w:lvl>
    <w:lvl w:ilvl="4" w:tplc="8FB47CBE">
      <w:numFmt w:val="bullet"/>
      <w:lvlText w:val="•"/>
      <w:lvlJc w:val="left"/>
      <w:pPr>
        <w:ind w:left="3853" w:hanging="240"/>
      </w:pPr>
      <w:rPr>
        <w:rFonts w:hint="default"/>
      </w:rPr>
    </w:lvl>
    <w:lvl w:ilvl="5" w:tplc="1BFC144A">
      <w:numFmt w:val="bullet"/>
      <w:lvlText w:val="•"/>
      <w:lvlJc w:val="left"/>
      <w:pPr>
        <w:ind w:left="4931" w:hanging="240"/>
      </w:pPr>
      <w:rPr>
        <w:rFonts w:hint="default"/>
      </w:rPr>
    </w:lvl>
    <w:lvl w:ilvl="6" w:tplc="D5BE5B42">
      <w:numFmt w:val="bullet"/>
      <w:lvlText w:val="•"/>
      <w:lvlJc w:val="left"/>
      <w:pPr>
        <w:ind w:left="6008" w:hanging="240"/>
      </w:pPr>
      <w:rPr>
        <w:rFonts w:hint="default"/>
      </w:rPr>
    </w:lvl>
    <w:lvl w:ilvl="7" w:tplc="7A9E65FA">
      <w:numFmt w:val="bullet"/>
      <w:lvlText w:val="•"/>
      <w:lvlJc w:val="left"/>
      <w:pPr>
        <w:ind w:left="7086" w:hanging="240"/>
      </w:pPr>
      <w:rPr>
        <w:rFonts w:hint="default"/>
      </w:rPr>
    </w:lvl>
    <w:lvl w:ilvl="8" w:tplc="88D24DC4">
      <w:numFmt w:val="bullet"/>
      <w:lvlText w:val="•"/>
      <w:lvlJc w:val="left"/>
      <w:pPr>
        <w:ind w:left="8164" w:hanging="240"/>
      </w:pPr>
      <w:rPr>
        <w:rFonts w:hint="default"/>
      </w:rPr>
    </w:lvl>
  </w:abstractNum>
  <w:abstractNum w:abstractNumId="38" w15:restartNumberingAfterBreak="0">
    <w:nsid w:val="5CDF3433"/>
    <w:multiLevelType w:val="hybridMultilevel"/>
    <w:tmpl w:val="8D10153E"/>
    <w:lvl w:ilvl="0" w:tplc="5810DA50">
      <w:start w:val="1"/>
      <w:numFmt w:val="decimal"/>
      <w:lvlText w:val="%1."/>
      <w:lvlJc w:val="left"/>
      <w:pPr>
        <w:ind w:left="338" w:hanging="312"/>
        <w:jc w:val="left"/>
      </w:pPr>
      <w:rPr>
        <w:rFonts w:ascii="Calibri" w:eastAsia="Calibri" w:hAnsi="Calibri" w:cs="Calibri" w:hint="default"/>
        <w:b/>
        <w:bCs/>
        <w:i w:val="0"/>
        <w:iCs w:val="0"/>
        <w:w w:val="98"/>
        <w:sz w:val="22"/>
        <w:szCs w:val="22"/>
      </w:rPr>
    </w:lvl>
    <w:lvl w:ilvl="1" w:tplc="EEC48D9C">
      <w:start w:val="1"/>
      <w:numFmt w:val="decimal"/>
      <w:lvlText w:val="%2."/>
      <w:lvlJc w:val="left"/>
      <w:pPr>
        <w:ind w:left="627" w:hanging="292"/>
        <w:jc w:val="left"/>
      </w:pPr>
      <w:rPr>
        <w:rFonts w:ascii="Calibri" w:eastAsia="Calibri" w:hAnsi="Calibri" w:cs="Calibri" w:hint="default"/>
        <w:b w:val="0"/>
        <w:bCs w:val="0"/>
        <w:i w:val="0"/>
        <w:iCs w:val="0"/>
        <w:spacing w:val="-2"/>
        <w:w w:val="99"/>
        <w:sz w:val="22"/>
        <w:szCs w:val="22"/>
      </w:rPr>
    </w:lvl>
    <w:lvl w:ilvl="2" w:tplc="1AACAC22">
      <w:numFmt w:val="bullet"/>
      <w:lvlText w:val="•"/>
      <w:lvlJc w:val="left"/>
      <w:pPr>
        <w:ind w:left="1697" w:hanging="292"/>
      </w:pPr>
      <w:rPr>
        <w:rFonts w:hint="default"/>
      </w:rPr>
    </w:lvl>
    <w:lvl w:ilvl="3" w:tplc="32E02AD6">
      <w:numFmt w:val="bullet"/>
      <w:lvlText w:val="•"/>
      <w:lvlJc w:val="left"/>
      <w:pPr>
        <w:ind w:left="2775" w:hanging="292"/>
      </w:pPr>
      <w:rPr>
        <w:rFonts w:hint="default"/>
      </w:rPr>
    </w:lvl>
    <w:lvl w:ilvl="4" w:tplc="BD2CB66A">
      <w:numFmt w:val="bullet"/>
      <w:lvlText w:val="•"/>
      <w:lvlJc w:val="left"/>
      <w:pPr>
        <w:ind w:left="3853" w:hanging="292"/>
      </w:pPr>
      <w:rPr>
        <w:rFonts w:hint="default"/>
      </w:rPr>
    </w:lvl>
    <w:lvl w:ilvl="5" w:tplc="8EC0E53C">
      <w:numFmt w:val="bullet"/>
      <w:lvlText w:val="•"/>
      <w:lvlJc w:val="left"/>
      <w:pPr>
        <w:ind w:left="4931" w:hanging="292"/>
      </w:pPr>
      <w:rPr>
        <w:rFonts w:hint="default"/>
      </w:rPr>
    </w:lvl>
    <w:lvl w:ilvl="6" w:tplc="DC682B10">
      <w:numFmt w:val="bullet"/>
      <w:lvlText w:val="•"/>
      <w:lvlJc w:val="left"/>
      <w:pPr>
        <w:ind w:left="6008" w:hanging="292"/>
      </w:pPr>
      <w:rPr>
        <w:rFonts w:hint="default"/>
      </w:rPr>
    </w:lvl>
    <w:lvl w:ilvl="7" w:tplc="7248A538">
      <w:numFmt w:val="bullet"/>
      <w:lvlText w:val="•"/>
      <w:lvlJc w:val="left"/>
      <w:pPr>
        <w:ind w:left="7086" w:hanging="292"/>
      </w:pPr>
      <w:rPr>
        <w:rFonts w:hint="default"/>
      </w:rPr>
    </w:lvl>
    <w:lvl w:ilvl="8" w:tplc="F76EB7A0">
      <w:numFmt w:val="bullet"/>
      <w:lvlText w:val="•"/>
      <w:lvlJc w:val="left"/>
      <w:pPr>
        <w:ind w:left="8164" w:hanging="292"/>
      </w:pPr>
      <w:rPr>
        <w:rFonts w:hint="default"/>
      </w:rPr>
    </w:lvl>
  </w:abstractNum>
  <w:abstractNum w:abstractNumId="39" w15:restartNumberingAfterBreak="0">
    <w:nsid w:val="5F660D2E"/>
    <w:multiLevelType w:val="hybridMultilevel"/>
    <w:tmpl w:val="84F40E1C"/>
    <w:lvl w:ilvl="0" w:tplc="BC92A586">
      <w:start w:val="1"/>
      <w:numFmt w:val="decimal"/>
      <w:lvlText w:val="%1."/>
      <w:lvlJc w:val="left"/>
      <w:pPr>
        <w:ind w:left="1199" w:hanging="362"/>
        <w:jc w:val="left"/>
      </w:pPr>
      <w:rPr>
        <w:rFonts w:ascii="Calibri" w:eastAsia="Calibri" w:hAnsi="Calibri" w:cs="Calibri" w:hint="default"/>
        <w:b w:val="0"/>
        <w:bCs w:val="0"/>
        <w:i w:val="0"/>
        <w:iCs w:val="0"/>
        <w:spacing w:val="-2"/>
        <w:w w:val="99"/>
        <w:sz w:val="22"/>
        <w:szCs w:val="22"/>
      </w:rPr>
    </w:lvl>
    <w:lvl w:ilvl="1" w:tplc="A7C81EE2">
      <w:numFmt w:val="bullet"/>
      <w:lvlText w:val="•"/>
      <w:lvlJc w:val="left"/>
      <w:pPr>
        <w:ind w:left="2112" w:hanging="362"/>
      </w:pPr>
      <w:rPr>
        <w:rFonts w:hint="default"/>
      </w:rPr>
    </w:lvl>
    <w:lvl w:ilvl="2" w:tplc="48BA6340">
      <w:numFmt w:val="bullet"/>
      <w:lvlText w:val="•"/>
      <w:lvlJc w:val="left"/>
      <w:pPr>
        <w:ind w:left="3024" w:hanging="362"/>
      </w:pPr>
      <w:rPr>
        <w:rFonts w:hint="default"/>
      </w:rPr>
    </w:lvl>
    <w:lvl w:ilvl="3" w:tplc="F740F612">
      <w:numFmt w:val="bullet"/>
      <w:lvlText w:val="•"/>
      <w:lvlJc w:val="left"/>
      <w:pPr>
        <w:ind w:left="3936" w:hanging="362"/>
      </w:pPr>
      <w:rPr>
        <w:rFonts w:hint="default"/>
      </w:rPr>
    </w:lvl>
    <w:lvl w:ilvl="4" w:tplc="D92CFE44">
      <w:numFmt w:val="bullet"/>
      <w:lvlText w:val="•"/>
      <w:lvlJc w:val="left"/>
      <w:pPr>
        <w:ind w:left="4848" w:hanging="362"/>
      </w:pPr>
      <w:rPr>
        <w:rFonts w:hint="default"/>
      </w:rPr>
    </w:lvl>
    <w:lvl w:ilvl="5" w:tplc="FCE0C448">
      <w:numFmt w:val="bullet"/>
      <w:lvlText w:val="•"/>
      <w:lvlJc w:val="left"/>
      <w:pPr>
        <w:ind w:left="5760" w:hanging="362"/>
      </w:pPr>
      <w:rPr>
        <w:rFonts w:hint="default"/>
      </w:rPr>
    </w:lvl>
    <w:lvl w:ilvl="6" w:tplc="AEF692D8">
      <w:numFmt w:val="bullet"/>
      <w:lvlText w:val="•"/>
      <w:lvlJc w:val="left"/>
      <w:pPr>
        <w:ind w:left="6672" w:hanging="362"/>
      </w:pPr>
      <w:rPr>
        <w:rFonts w:hint="default"/>
      </w:rPr>
    </w:lvl>
    <w:lvl w:ilvl="7" w:tplc="D68C6FE2">
      <w:numFmt w:val="bullet"/>
      <w:lvlText w:val="•"/>
      <w:lvlJc w:val="left"/>
      <w:pPr>
        <w:ind w:left="7584" w:hanging="362"/>
      </w:pPr>
      <w:rPr>
        <w:rFonts w:hint="default"/>
      </w:rPr>
    </w:lvl>
    <w:lvl w:ilvl="8" w:tplc="B08ECAC8">
      <w:numFmt w:val="bullet"/>
      <w:lvlText w:val="•"/>
      <w:lvlJc w:val="left"/>
      <w:pPr>
        <w:ind w:left="8496" w:hanging="362"/>
      </w:pPr>
      <w:rPr>
        <w:rFonts w:hint="default"/>
      </w:rPr>
    </w:lvl>
  </w:abstractNum>
  <w:abstractNum w:abstractNumId="40" w15:restartNumberingAfterBreak="0">
    <w:nsid w:val="61D15CDF"/>
    <w:multiLevelType w:val="hybridMultilevel"/>
    <w:tmpl w:val="2208D470"/>
    <w:lvl w:ilvl="0" w:tplc="540493FE">
      <w:start w:val="1"/>
      <w:numFmt w:val="decimal"/>
      <w:lvlText w:val="%1."/>
      <w:lvlJc w:val="left"/>
      <w:pPr>
        <w:ind w:left="479" w:hanging="227"/>
        <w:jc w:val="left"/>
      </w:pPr>
      <w:rPr>
        <w:rFonts w:ascii="Calibri" w:eastAsia="Calibri" w:hAnsi="Calibri" w:cs="Calibri" w:hint="default"/>
        <w:b/>
        <w:bCs/>
        <w:i w:val="0"/>
        <w:iCs w:val="0"/>
        <w:w w:val="98"/>
        <w:sz w:val="22"/>
        <w:szCs w:val="22"/>
      </w:rPr>
    </w:lvl>
    <w:lvl w:ilvl="1" w:tplc="1616B978">
      <w:start w:val="1"/>
      <w:numFmt w:val="decimal"/>
      <w:lvlText w:val="%2."/>
      <w:lvlJc w:val="left"/>
      <w:pPr>
        <w:ind w:left="1198" w:hanging="360"/>
        <w:jc w:val="left"/>
      </w:pPr>
      <w:rPr>
        <w:rFonts w:ascii="Calibri" w:eastAsia="Calibri" w:hAnsi="Calibri" w:cs="Calibri" w:hint="default"/>
        <w:b/>
        <w:bCs/>
        <w:i w:val="0"/>
        <w:iCs w:val="0"/>
        <w:w w:val="98"/>
        <w:sz w:val="22"/>
        <w:szCs w:val="22"/>
      </w:rPr>
    </w:lvl>
    <w:lvl w:ilvl="2" w:tplc="AE2EC758">
      <w:numFmt w:val="bullet"/>
      <w:lvlText w:val="•"/>
      <w:lvlJc w:val="left"/>
      <w:pPr>
        <w:ind w:left="2213" w:hanging="360"/>
      </w:pPr>
      <w:rPr>
        <w:rFonts w:hint="default"/>
      </w:rPr>
    </w:lvl>
    <w:lvl w:ilvl="3" w:tplc="FB0A3CCC">
      <w:numFmt w:val="bullet"/>
      <w:lvlText w:val="•"/>
      <w:lvlJc w:val="left"/>
      <w:pPr>
        <w:ind w:left="3226" w:hanging="360"/>
      </w:pPr>
      <w:rPr>
        <w:rFonts w:hint="default"/>
      </w:rPr>
    </w:lvl>
    <w:lvl w:ilvl="4" w:tplc="BD1C5FD2">
      <w:numFmt w:val="bullet"/>
      <w:lvlText w:val="•"/>
      <w:lvlJc w:val="left"/>
      <w:pPr>
        <w:ind w:left="4240" w:hanging="360"/>
      </w:pPr>
      <w:rPr>
        <w:rFonts w:hint="default"/>
      </w:rPr>
    </w:lvl>
    <w:lvl w:ilvl="5" w:tplc="588C4B7C">
      <w:numFmt w:val="bullet"/>
      <w:lvlText w:val="•"/>
      <w:lvlJc w:val="left"/>
      <w:pPr>
        <w:ind w:left="5253" w:hanging="360"/>
      </w:pPr>
      <w:rPr>
        <w:rFonts w:hint="default"/>
      </w:rPr>
    </w:lvl>
    <w:lvl w:ilvl="6" w:tplc="623054B2">
      <w:numFmt w:val="bullet"/>
      <w:lvlText w:val="•"/>
      <w:lvlJc w:val="left"/>
      <w:pPr>
        <w:ind w:left="6266" w:hanging="360"/>
      </w:pPr>
      <w:rPr>
        <w:rFonts w:hint="default"/>
      </w:rPr>
    </w:lvl>
    <w:lvl w:ilvl="7" w:tplc="C6BA6A14">
      <w:numFmt w:val="bullet"/>
      <w:lvlText w:val="•"/>
      <w:lvlJc w:val="left"/>
      <w:pPr>
        <w:ind w:left="7280" w:hanging="360"/>
      </w:pPr>
      <w:rPr>
        <w:rFonts w:hint="default"/>
      </w:rPr>
    </w:lvl>
    <w:lvl w:ilvl="8" w:tplc="236EB2BA">
      <w:numFmt w:val="bullet"/>
      <w:lvlText w:val="•"/>
      <w:lvlJc w:val="left"/>
      <w:pPr>
        <w:ind w:left="8293" w:hanging="360"/>
      </w:pPr>
      <w:rPr>
        <w:rFonts w:hint="default"/>
      </w:rPr>
    </w:lvl>
  </w:abstractNum>
  <w:abstractNum w:abstractNumId="41" w15:restartNumberingAfterBreak="0">
    <w:nsid w:val="622609F1"/>
    <w:multiLevelType w:val="hybridMultilevel"/>
    <w:tmpl w:val="0BEA73E8"/>
    <w:lvl w:ilvl="0" w:tplc="EBD88342">
      <w:start w:val="1"/>
      <w:numFmt w:val="upperLetter"/>
      <w:lvlText w:val="%1."/>
      <w:lvlJc w:val="left"/>
      <w:pPr>
        <w:ind w:left="840" w:hanging="363"/>
        <w:jc w:val="left"/>
      </w:pPr>
      <w:rPr>
        <w:rFonts w:ascii="Calibri" w:eastAsia="Calibri" w:hAnsi="Calibri" w:cs="Calibri" w:hint="default"/>
        <w:b/>
        <w:bCs/>
        <w:i w:val="0"/>
        <w:iCs w:val="0"/>
        <w:spacing w:val="-1"/>
        <w:w w:val="98"/>
        <w:sz w:val="28"/>
        <w:szCs w:val="28"/>
      </w:rPr>
    </w:lvl>
    <w:lvl w:ilvl="1" w:tplc="0EBEFEAC">
      <w:start w:val="1"/>
      <w:numFmt w:val="upperRoman"/>
      <w:lvlText w:val="%2."/>
      <w:lvlJc w:val="left"/>
      <w:pPr>
        <w:ind w:left="878" w:hanging="186"/>
        <w:jc w:val="left"/>
      </w:pPr>
      <w:rPr>
        <w:rFonts w:ascii="Calibri" w:eastAsia="Calibri" w:hAnsi="Calibri" w:cs="Calibri" w:hint="default"/>
        <w:b/>
        <w:bCs/>
        <w:i w:val="0"/>
        <w:iCs w:val="0"/>
        <w:spacing w:val="-2"/>
        <w:w w:val="100"/>
        <w:sz w:val="24"/>
        <w:szCs w:val="24"/>
      </w:rPr>
    </w:lvl>
    <w:lvl w:ilvl="2" w:tplc="BE205688">
      <w:start w:val="1"/>
      <w:numFmt w:val="upperLetter"/>
      <w:lvlText w:val="%3."/>
      <w:lvlJc w:val="left"/>
      <w:pPr>
        <w:ind w:left="1412" w:hanging="423"/>
        <w:jc w:val="left"/>
      </w:pPr>
      <w:rPr>
        <w:rFonts w:ascii="Calibri" w:eastAsia="Calibri" w:hAnsi="Calibri" w:cs="Calibri" w:hint="default"/>
        <w:b w:val="0"/>
        <w:bCs w:val="0"/>
        <w:i w:val="0"/>
        <w:iCs w:val="0"/>
        <w:w w:val="100"/>
        <w:sz w:val="24"/>
        <w:szCs w:val="24"/>
      </w:rPr>
    </w:lvl>
    <w:lvl w:ilvl="3" w:tplc="096603E4">
      <w:numFmt w:val="bullet"/>
      <w:lvlText w:val="•"/>
      <w:lvlJc w:val="left"/>
      <w:pPr>
        <w:ind w:left="1340" w:hanging="423"/>
      </w:pPr>
      <w:rPr>
        <w:rFonts w:hint="default"/>
      </w:rPr>
    </w:lvl>
    <w:lvl w:ilvl="4" w:tplc="8A960DEC">
      <w:numFmt w:val="bullet"/>
      <w:lvlText w:val="•"/>
      <w:lvlJc w:val="left"/>
      <w:pPr>
        <w:ind w:left="1360" w:hanging="423"/>
      </w:pPr>
      <w:rPr>
        <w:rFonts w:hint="default"/>
      </w:rPr>
    </w:lvl>
    <w:lvl w:ilvl="5" w:tplc="71622644">
      <w:numFmt w:val="bullet"/>
      <w:lvlText w:val="•"/>
      <w:lvlJc w:val="left"/>
      <w:pPr>
        <w:ind w:left="1420" w:hanging="423"/>
      </w:pPr>
      <w:rPr>
        <w:rFonts w:hint="default"/>
      </w:rPr>
    </w:lvl>
    <w:lvl w:ilvl="6" w:tplc="5AEA4A8A">
      <w:numFmt w:val="bullet"/>
      <w:lvlText w:val="•"/>
      <w:lvlJc w:val="left"/>
      <w:pPr>
        <w:ind w:left="3200" w:hanging="423"/>
      </w:pPr>
      <w:rPr>
        <w:rFonts w:hint="default"/>
      </w:rPr>
    </w:lvl>
    <w:lvl w:ilvl="7" w:tplc="E3108910">
      <w:numFmt w:val="bullet"/>
      <w:lvlText w:val="•"/>
      <w:lvlJc w:val="left"/>
      <w:pPr>
        <w:ind w:left="4980" w:hanging="423"/>
      </w:pPr>
      <w:rPr>
        <w:rFonts w:hint="default"/>
      </w:rPr>
    </w:lvl>
    <w:lvl w:ilvl="8" w:tplc="9CECAC0E">
      <w:numFmt w:val="bullet"/>
      <w:lvlText w:val="•"/>
      <w:lvlJc w:val="left"/>
      <w:pPr>
        <w:ind w:left="6760" w:hanging="423"/>
      </w:pPr>
      <w:rPr>
        <w:rFonts w:hint="default"/>
      </w:rPr>
    </w:lvl>
  </w:abstractNum>
  <w:abstractNum w:abstractNumId="42" w15:restartNumberingAfterBreak="0">
    <w:nsid w:val="624D797B"/>
    <w:multiLevelType w:val="hybridMultilevel"/>
    <w:tmpl w:val="74067DBA"/>
    <w:lvl w:ilvl="0" w:tplc="B85AF348">
      <w:start w:val="5"/>
      <w:numFmt w:val="decimal"/>
      <w:lvlText w:val="%1."/>
      <w:lvlJc w:val="left"/>
      <w:pPr>
        <w:ind w:left="478" w:hanging="210"/>
        <w:jc w:val="left"/>
      </w:pPr>
      <w:rPr>
        <w:rFonts w:ascii="Calibri" w:eastAsia="Calibri" w:hAnsi="Calibri" w:cs="Calibri" w:hint="default"/>
        <w:b/>
        <w:bCs/>
        <w:i w:val="0"/>
        <w:iCs w:val="0"/>
        <w:w w:val="98"/>
        <w:sz w:val="22"/>
        <w:szCs w:val="22"/>
      </w:rPr>
    </w:lvl>
    <w:lvl w:ilvl="1" w:tplc="D63EBFE2">
      <w:start w:val="1"/>
      <w:numFmt w:val="decimal"/>
      <w:lvlText w:val="%2."/>
      <w:lvlJc w:val="left"/>
      <w:pPr>
        <w:ind w:left="627" w:hanging="302"/>
        <w:jc w:val="left"/>
      </w:pPr>
      <w:rPr>
        <w:rFonts w:ascii="Calibri" w:eastAsia="Calibri" w:hAnsi="Calibri" w:cs="Calibri" w:hint="default"/>
        <w:b w:val="0"/>
        <w:bCs w:val="0"/>
        <w:i w:val="0"/>
        <w:iCs w:val="0"/>
        <w:spacing w:val="-2"/>
        <w:w w:val="99"/>
        <w:sz w:val="22"/>
        <w:szCs w:val="22"/>
      </w:rPr>
    </w:lvl>
    <w:lvl w:ilvl="2" w:tplc="BD4ED7D2">
      <w:numFmt w:val="bullet"/>
      <w:lvlText w:val="•"/>
      <w:lvlJc w:val="left"/>
      <w:pPr>
        <w:ind w:left="1697" w:hanging="302"/>
      </w:pPr>
      <w:rPr>
        <w:rFonts w:hint="default"/>
      </w:rPr>
    </w:lvl>
    <w:lvl w:ilvl="3" w:tplc="465240CE">
      <w:numFmt w:val="bullet"/>
      <w:lvlText w:val="•"/>
      <w:lvlJc w:val="left"/>
      <w:pPr>
        <w:ind w:left="2775" w:hanging="302"/>
      </w:pPr>
      <w:rPr>
        <w:rFonts w:hint="default"/>
      </w:rPr>
    </w:lvl>
    <w:lvl w:ilvl="4" w:tplc="A9D84390">
      <w:numFmt w:val="bullet"/>
      <w:lvlText w:val="•"/>
      <w:lvlJc w:val="left"/>
      <w:pPr>
        <w:ind w:left="3853" w:hanging="302"/>
      </w:pPr>
      <w:rPr>
        <w:rFonts w:hint="default"/>
      </w:rPr>
    </w:lvl>
    <w:lvl w:ilvl="5" w:tplc="5798BE16">
      <w:numFmt w:val="bullet"/>
      <w:lvlText w:val="•"/>
      <w:lvlJc w:val="left"/>
      <w:pPr>
        <w:ind w:left="4931" w:hanging="302"/>
      </w:pPr>
      <w:rPr>
        <w:rFonts w:hint="default"/>
      </w:rPr>
    </w:lvl>
    <w:lvl w:ilvl="6" w:tplc="03AAD030">
      <w:numFmt w:val="bullet"/>
      <w:lvlText w:val="•"/>
      <w:lvlJc w:val="left"/>
      <w:pPr>
        <w:ind w:left="6008" w:hanging="302"/>
      </w:pPr>
      <w:rPr>
        <w:rFonts w:hint="default"/>
      </w:rPr>
    </w:lvl>
    <w:lvl w:ilvl="7" w:tplc="7AB88078">
      <w:numFmt w:val="bullet"/>
      <w:lvlText w:val="•"/>
      <w:lvlJc w:val="left"/>
      <w:pPr>
        <w:ind w:left="7086" w:hanging="302"/>
      </w:pPr>
      <w:rPr>
        <w:rFonts w:hint="default"/>
      </w:rPr>
    </w:lvl>
    <w:lvl w:ilvl="8" w:tplc="19C29DD8">
      <w:numFmt w:val="bullet"/>
      <w:lvlText w:val="•"/>
      <w:lvlJc w:val="left"/>
      <w:pPr>
        <w:ind w:left="8164" w:hanging="302"/>
      </w:pPr>
      <w:rPr>
        <w:rFonts w:hint="default"/>
      </w:rPr>
    </w:lvl>
  </w:abstractNum>
  <w:abstractNum w:abstractNumId="43" w15:restartNumberingAfterBreak="0">
    <w:nsid w:val="630D3342"/>
    <w:multiLevelType w:val="hybridMultilevel"/>
    <w:tmpl w:val="4C56CE14"/>
    <w:lvl w:ilvl="0" w:tplc="8D28DC40">
      <w:numFmt w:val="bullet"/>
      <w:lvlText w:val="●"/>
      <w:lvlJc w:val="left"/>
      <w:pPr>
        <w:ind w:left="278" w:hanging="167"/>
      </w:pPr>
      <w:rPr>
        <w:rFonts w:ascii="Calibri" w:eastAsia="Calibri" w:hAnsi="Calibri" w:cs="Calibri" w:hint="default"/>
        <w:b w:val="0"/>
        <w:bCs w:val="0"/>
        <w:i w:val="0"/>
        <w:iCs w:val="0"/>
        <w:w w:val="100"/>
        <w:sz w:val="20"/>
        <w:szCs w:val="20"/>
      </w:rPr>
    </w:lvl>
    <w:lvl w:ilvl="1" w:tplc="09149D04">
      <w:numFmt w:val="bullet"/>
      <w:lvlText w:val="•"/>
      <w:lvlJc w:val="left"/>
      <w:pPr>
        <w:ind w:left="962" w:hanging="167"/>
      </w:pPr>
      <w:rPr>
        <w:rFonts w:hint="default"/>
      </w:rPr>
    </w:lvl>
    <w:lvl w:ilvl="2" w:tplc="0C7AE65A">
      <w:numFmt w:val="bullet"/>
      <w:lvlText w:val="•"/>
      <w:lvlJc w:val="left"/>
      <w:pPr>
        <w:ind w:left="1644" w:hanging="167"/>
      </w:pPr>
      <w:rPr>
        <w:rFonts w:hint="default"/>
      </w:rPr>
    </w:lvl>
    <w:lvl w:ilvl="3" w:tplc="B43631F6">
      <w:numFmt w:val="bullet"/>
      <w:lvlText w:val="•"/>
      <w:lvlJc w:val="left"/>
      <w:pPr>
        <w:ind w:left="2326" w:hanging="167"/>
      </w:pPr>
      <w:rPr>
        <w:rFonts w:hint="default"/>
      </w:rPr>
    </w:lvl>
    <w:lvl w:ilvl="4" w:tplc="04D8352C">
      <w:numFmt w:val="bullet"/>
      <w:lvlText w:val="•"/>
      <w:lvlJc w:val="left"/>
      <w:pPr>
        <w:ind w:left="3008" w:hanging="167"/>
      </w:pPr>
      <w:rPr>
        <w:rFonts w:hint="default"/>
      </w:rPr>
    </w:lvl>
    <w:lvl w:ilvl="5" w:tplc="5BD204B0">
      <w:numFmt w:val="bullet"/>
      <w:lvlText w:val="•"/>
      <w:lvlJc w:val="left"/>
      <w:pPr>
        <w:ind w:left="3690" w:hanging="167"/>
      </w:pPr>
      <w:rPr>
        <w:rFonts w:hint="default"/>
      </w:rPr>
    </w:lvl>
    <w:lvl w:ilvl="6" w:tplc="436870AC">
      <w:numFmt w:val="bullet"/>
      <w:lvlText w:val="•"/>
      <w:lvlJc w:val="left"/>
      <w:pPr>
        <w:ind w:left="4372" w:hanging="167"/>
      </w:pPr>
      <w:rPr>
        <w:rFonts w:hint="default"/>
      </w:rPr>
    </w:lvl>
    <w:lvl w:ilvl="7" w:tplc="0338F5FC">
      <w:numFmt w:val="bullet"/>
      <w:lvlText w:val="•"/>
      <w:lvlJc w:val="left"/>
      <w:pPr>
        <w:ind w:left="5054" w:hanging="167"/>
      </w:pPr>
      <w:rPr>
        <w:rFonts w:hint="default"/>
      </w:rPr>
    </w:lvl>
    <w:lvl w:ilvl="8" w:tplc="51A249C8">
      <w:numFmt w:val="bullet"/>
      <w:lvlText w:val="•"/>
      <w:lvlJc w:val="left"/>
      <w:pPr>
        <w:ind w:left="5736" w:hanging="167"/>
      </w:pPr>
      <w:rPr>
        <w:rFonts w:hint="default"/>
      </w:rPr>
    </w:lvl>
  </w:abstractNum>
  <w:abstractNum w:abstractNumId="44" w15:restartNumberingAfterBreak="0">
    <w:nsid w:val="64F66FE6"/>
    <w:multiLevelType w:val="hybridMultilevel"/>
    <w:tmpl w:val="460A5464"/>
    <w:lvl w:ilvl="0" w:tplc="06A2E912">
      <w:start w:val="1"/>
      <w:numFmt w:val="decimal"/>
      <w:lvlText w:val="%1."/>
      <w:lvlJc w:val="left"/>
      <w:pPr>
        <w:ind w:left="559" w:hanging="221"/>
        <w:jc w:val="right"/>
      </w:pPr>
      <w:rPr>
        <w:rFonts w:ascii="Calibri" w:eastAsia="Calibri" w:hAnsi="Calibri" w:cs="Calibri" w:hint="default"/>
        <w:b/>
        <w:bCs/>
        <w:i w:val="0"/>
        <w:iCs w:val="0"/>
        <w:w w:val="98"/>
        <w:sz w:val="22"/>
        <w:szCs w:val="22"/>
      </w:rPr>
    </w:lvl>
    <w:lvl w:ilvl="1" w:tplc="EF424F20">
      <w:start w:val="1"/>
      <w:numFmt w:val="decimal"/>
      <w:lvlText w:val="%2."/>
      <w:lvlJc w:val="left"/>
      <w:pPr>
        <w:ind w:left="1059" w:hanging="362"/>
        <w:jc w:val="left"/>
      </w:pPr>
      <w:rPr>
        <w:rFonts w:ascii="Calibri" w:eastAsia="Calibri" w:hAnsi="Calibri" w:cs="Calibri" w:hint="default"/>
        <w:b w:val="0"/>
        <w:bCs w:val="0"/>
        <w:i w:val="0"/>
        <w:iCs w:val="0"/>
        <w:spacing w:val="-2"/>
        <w:w w:val="99"/>
        <w:sz w:val="22"/>
        <w:szCs w:val="22"/>
      </w:rPr>
    </w:lvl>
    <w:lvl w:ilvl="2" w:tplc="061EE624">
      <w:numFmt w:val="bullet"/>
      <w:lvlText w:val="•"/>
      <w:lvlJc w:val="left"/>
      <w:pPr>
        <w:ind w:left="2088" w:hanging="362"/>
      </w:pPr>
      <w:rPr>
        <w:rFonts w:hint="default"/>
      </w:rPr>
    </w:lvl>
    <w:lvl w:ilvl="3" w:tplc="7F521220">
      <w:numFmt w:val="bullet"/>
      <w:lvlText w:val="•"/>
      <w:lvlJc w:val="left"/>
      <w:pPr>
        <w:ind w:left="3117" w:hanging="362"/>
      </w:pPr>
      <w:rPr>
        <w:rFonts w:hint="default"/>
      </w:rPr>
    </w:lvl>
    <w:lvl w:ilvl="4" w:tplc="9566D3DA">
      <w:numFmt w:val="bullet"/>
      <w:lvlText w:val="•"/>
      <w:lvlJc w:val="left"/>
      <w:pPr>
        <w:ind w:left="4146" w:hanging="362"/>
      </w:pPr>
      <w:rPr>
        <w:rFonts w:hint="default"/>
      </w:rPr>
    </w:lvl>
    <w:lvl w:ilvl="5" w:tplc="EB76A1A4">
      <w:numFmt w:val="bullet"/>
      <w:lvlText w:val="•"/>
      <w:lvlJc w:val="left"/>
      <w:pPr>
        <w:ind w:left="5175" w:hanging="362"/>
      </w:pPr>
      <w:rPr>
        <w:rFonts w:hint="default"/>
      </w:rPr>
    </w:lvl>
    <w:lvl w:ilvl="6" w:tplc="85BE4DA8">
      <w:numFmt w:val="bullet"/>
      <w:lvlText w:val="•"/>
      <w:lvlJc w:val="left"/>
      <w:pPr>
        <w:ind w:left="6204" w:hanging="362"/>
      </w:pPr>
      <w:rPr>
        <w:rFonts w:hint="default"/>
      </w:rPr>
    </w:lvl>
    <w:lvl w:ilvl="7" w:tplc="8CCE59AE">
      <w:numFmt w:val="bullet"/>
      <w:lvlText w:val="•"/>
      <w:lvlJc w:val="left"/>
      <w:pPr>
        <w:ind w:left="7233" w:hanging="362"/>
      </w:pPr>
      <w:rPr>
        <w:rFonts w:hint="default"/>
      </w:rPr>
    </w:lvl>
    <w:lvl w:ilvl="8" w:tplc="EF4CF2B6">
      <w:numFmt w:val="bullet"/>
      <w:lvlText w:val="•"/>
      <w:lvlJc w:val="left"/>
      <w:pPr>
        <w:ind w:left="8262" w:hanging="362"/>
      </w:pPr>
      <w:rPr>
        <w:rFonts w:hint="default"/>
      </w:rPr>
    </w:lvl>
  </w:abstractNum>
  <w:abstractNum w:abstractNumId="45" w15:restartNumberingAfterBreak="0">
    <w:nsid w:val="69AB063C"/>
    <w:multiLevelType w:val="hybridMultilevel"/>
    <w:tmpl w:val="A202ADF4"/>
    <w:lvl w:ilvl="0" w:tplc="DF08C858">
      <w:start w:val="1"/>
      <w:numFmt w:val="decimal"/>
      <w:lvlText w:val="%1."/>
      <w:lvlJc w:val="left"/>
      <w:pPr>
        <w:ind w:left="338" w:hanging="254"/>
        <w:jc w:val="left"/>
      </w:pPr>
      <w:rPr>
        <w:rFonts w:hint="default"/>
        <w:w w:val="98"/>
      </w:rPr>
    </w:lvl>
    <w:lvl w:ilvl="1" w:tplc="8A8C8E5C">
      <w:start w:val="1"/>
      <w:numFmt w:val="decimal"/>
      <w:lvlText w:val="%2."/>
      <w:lvlJc w:val="left"/>
      <w:pPr>
        <w:ind w:left="1198" w:hanging="360"/>
        <w:jc w:val="left"/>
      </w:pPr>
      <w:rPr>
        <w:rFonts w:ascii="Calibri" w:eastAsia="Calibri" w:hAnsi="Calibri" w:cs="Calibri" w:hint="default"/>
        <w:b/>
        <w:bCs/>
        <w:i w:val="0"/>
        <w:iCs w:val="0"/>
        <w:w w:val="98"/>
        <w:sz w:val="22"/>
        <w:szCs w:val="22"/>
      </w:rPr>
    </w:lvl>
    <w:lvl w:ilvl="2" w:tplc="E1B6C1E2">
      <w:numFmt w:val="bullet"/>
      <w:lvlText w:val="•"/>
      <w:lvlJc w:val="left"/>
      <w:pPr>
        <w:ind w:left="2213" w:hanging="360"/>
      </w:pPr>
      <w:rPr>
        <w:rFonts w:hint="default"/>
      </w:rPr>
    </w:lvl>
    <w:lvl w:ilvl="3" w:tplc="9B3CBDB2">
      <w:numFmt w:val="bullet"/>
      <w:lvlText w:val="•"/>
      <w:lvlJc w:val="left"/>
      <w:pPr>
        <w:ind w:left="3226" w:hanging="360"/>
      </w:pPr>
      <w:rPr>
        <w:rFonts w:hint="default"/>
      </w:rPr>
    </w:lvl>
    <w:lvl w:ilvl="4" w:tplc="051C461E">
      <w:numFmt w:val="bullet"/>
      <w:lvlText w:val="•"/>
      <w:lvlJc w:val="left"/>
      <w:pPr>
        <w:ind w:left="4240" w:hanging="360"/>
      </w:pPr>
      <w:rPr>
        <w:rFonts w:hint="default"/>
      </w:rPr>
    </w:lvl>
    <w:lvl w:ilvl="5" w:tplc="42CE6DC2">
      <w:numFmt w:val="bullet"/>
      <w:lvlText w:val="•"/>
      <w:lvlJc w:val="left"/>
      <w:pPr>
        <w:ind w:left="5253" w:hanging="360"/>
      </w:pPr>
      <w:rPr>
        <w:rFonts w:hint="default"/>
      </w:rPr>
    </w:lvl>
    <w:lvl w:ilvl="6" w:tplc="319216A2">
      <w:numFmt w:val="bullet"/>
      <w:lvlText w:val="•"/>
      <w:lvlJc w:val="left"/>
      <w:pPr>
        <w:ind w:left="6266" w:hanging="360"/>
      </w:pPr>
      <w:rPr>
        <w:rFonts w:hint="default"/>
      </w:rPr>
    </w:lvl>
    <w:lvl w:ilvl="7" w:tplc="BEEA9800">
      <w:numFmt w:val="bullet"/>
      <w:lvlText w:val="•"/>
      <w:lvlJc w:val="left"/>
      <w:pPr>
        <w:ind w:left="7280" w:hanging="360"/>
      </w:pPr>
      <w:rPr>
        <w:rFonts w:hint="default"/>
      </w:rPr>
    </w:lvl>
    <w:lvl w:ilvl="8" w:tplc="C402068E">
      <w:numFmt w:val="bullet"/>
      <w:lvlText w:val="•"/>
      <w:lvlJc w:val="left"/>
      <w:pPr>
        <w:ind w:left="8293" w:hanging="360"/>
      </w:pPr>
      <w:rPr>
        <w:rFonts w:hint="default"/>
      </w:rPr>
    </w:lvl>
  </w:abstractNum>
  <w:abstractNum w:abstractNumId="46" w15:restartNumberingAfterBreak="0">
    <w:nsid w:val="69FF1CF1"/>
    <w:multiLevelType w:val="hybridMultilevel"/>
    <w:tmpl w:val="10B0A5E8"/>
    <w:lvl w:ilvl="0" w:tplc="5A280230">
      <w:start w:val="1"/>
      <w:numFmt w:val="decimal"/>
      <w:lvlText w:val="%1."/>
      <w:lvlJc w:val="left"/>
      <w:pPr>
        <w:ind w:left="338" w:hanging="230"/>
        <w:jc w:val="left"/>
      </w:pPr>
      <w:rPr>
        <w:rFonts w:ascii="Calibri" w:eastAsia="Calibri" w:hAnsi="Calibri" w:cs="Calibri" w:hint="default"/>
        <w:b/>
        <w:bCs/>
        <w:i w:val="0"/>
        <w:iCs w:val="0"/>
        <w:w w:val="98"/>
        <w:sz w:val="22"/>
        <w:szCs w:val="22"/>
      </w:rPr>
    </w:lvl>
    <w:lvl w:ilvl="1" w:tplc="6CBE5196">
      <w:numFmt w:val="bullet"/>
      <w:lvlText w:val=""/>
      <w:lvlJc w:val="left"/>
      <w:pPr>
        <w:ind w:left="1059" w:hanging="362"/>
      </w:pPr>
      <w:rPr>
        <w:rFonts w:ascii="Symbol" w:eastAsia="Symbol" w:hAnsi="Symbol" w:cs="Symbol" w:hint="default"/>
        <w:b w:val="0"/>
        <w:bCs w:val="0"/>
        <w:i w:val="0"/>
        <w:iCs w:val="0"/>
        <w:w w:val="98"/>
        <w:sz w:val="22"/>
        <w:szCs w:val="22"/>
      </w:rPr>
    </w:lvl>
    <w:lvl w:ilvl="2" w:tplc="441A24EA">
      <w:numFmt w:val="bullet"/>
      <w:lvlText w:val="•"/>
      <w:lvlJc w:val="left"/>
      <w:pPr>
        <w:ind w:left="2088" w:hanging="362"/>
      </w:pPr>
      <w:rPr>
        <w:rFonts w:hint="default"/>
      </w:rPr>
    </w:lvl>
    <w:lvl w:ilvl="3" w:tplc="825A1EFC">
      <w:numFmt w:val="bullet"/>
      <w:lvlText w:val="•"/>
      <w:lvlJc w:val="left"/>
      <w:pPr>
        <w:ind w:left="3117" w:hanging="362"/>
      </w:pPr>
      <w:rPr>
        <w:rFonts w:hint="default"/>
      </w:rPr>
    </w:lvl>
    <w:lvl w:ilvl="4" w:tplc="1DBC3BBC">
      <w:numFmt w:val="bullet"/>
      <w:lvlText w:val="•"/>
      <w:lvlJc w:val="left"/>
      <w:pPr>
        <w:ind w:left="4146" w:hanging="362"/>
      </w:pPr>
      <w:rPr>
        <w:rFonts w:hint="default"/>
      </w:rPr>
    </w:lvl>
    <w:lvl w:ilvl="5" w:tplc="238C1FF6">
      <w:numFmt w:val="bullet"/>
      <w:lvlText w:val="•"/>
      <w:lvlJc w:val="left"/>
      <w:pPr>
        <w:ind w:left="5175" w:hanging="362"/>
      </w:pPr>
      <w:rPr>
        <w:rFonts w:hint="default"/>
      </w:rPr>
    </w:lvl>
    <w:lvl w:ilvl="6" w:tplc="A420E6C4">
      <w:numFmt w:val="bullet"/>
      <w:lvlText w:val="•"/>
      <w:lvlJc w:val="left"/>
      <w:pPr>
        <w:ind w:left="6204" w:hanging="362"/>
      </w:pPr>
      <w:rPr>
        <w:rFonts w:hint="default"/>
      </w:rPr>
    </w:lvl>
    <w:lvl w:ilvl="7" w:tplc="A19A0BE2">
      <w:numFmt w:val="bullet"/>
      <w:lvlText w:val="•"/>
      <w:lvlJc w:val="left"/>
      <w:pPr>
        <w:ind w:left="7233" w:hanging="362"/>
      </w:pPr>
      <w:rPr>
        <w:rFonts w:hint="default"/>
      </w:rPr>
    </w:lvl>
    <w:lvl w:ilvl="8" w:tplc="431A88D6">
      <w:numFmt w:val="bullet"/>
      <w:lvlText w:val="•"/>
      <w:lvlJc w:val="left"/>
      <w:pPr>
        <w:ind w:left="8262" w:hanging="362"/>
      </w:pPr>
      <w:rPr>
        <w:rFonts w:hint="default"/>
      </w:rPr>
    </w:lvl>
  </w:abstractNum>
  <w:abstractNum w:abstractNumId="47" w15:restartNumberingAfterBreak="0">
    <w:nsid w:val="6AB3347F"/>
    <w:multiLevelType w:val="hybridMultilevel"/>
    <w:tmpl w:val="462A364E"/>
    <w:lvl w:ilvl="0" w:tplc="DF4A9760">
      <w:start w:val="1"/>
      <w:numFmt w:val="decimal"/>
      <w:lvlText w:val="%1."/>
      <w:lvlJc w:val="left"/>
      <w:pPr>
        <w:ind w:left="480" w:hanging="213"/>
        <w:jc w:val="left"/>
      </w:pPr>
      <w:rPr>
        <w:rFonts w:hint="default"/>
        <w:spacing w:val="-2"/>
        <w:w w:val="99"/>
      </w:rPr>
    </w:lvl>
    <w:lvl w:ilvl="1" w:tplc="A66629DA">
      <w:start w:val="1"/>
      <w:numFmt w:val="decimal"/>
      <w:lvlText w:val="%2."/>
      <w:lvlJc w:val="left"/>
      <w:pPr>
        <w:ind w:left="767" w:hanging="268"/>
        <w:jc w:val="right"/>
      </w:pPr>
      <w:rPr>
        <w:rFonts w:hint="default"/>
        <w:spacing w:val="-2"/>
        <w:w w:val="99"/>
      </w:rPr>
    </w:lvl>
    <w:lvl w:ilvl="2" w:tplc="0F78D71E">
      <w:start w:val="1"/>
      <w:numFmt w:val="decimal"/>
      <w:lvlText w:val="%3."/>
      <w:lvlJc w:val="left"/>
      <w:pPr>
        <w:ind w:left="766" w:hanging="232"/>
        <w:jc w:val="left"/>
      </w:pPr>
      <w:rPr>
        <w:rFonts w:ascii="Calibri" w:eastAsia="Calibri" w:hAnsi="Calibri" w:cs="Calibri" w:hint="default"/>
        <w:b w:val="0"/>
        <w:bCs w:val="0"/>
        <w:i w:val="0"/>
        <w:iCs w:val="0"/>
        <w:spacing w:val="-2"/>
        <w:w w:val="99"/>
        <w:sz w:val="22"/>
        <w:szCs w:val="22"/>
      </w:rPr>
    </w:lvl>
    <w:lvl w:ilvl="3" w:tplc="47668202">
      <w:numFmt w:val="bullet"/>
      <w:lvlText w:val="•"/>
      <w:lvlJc w:val="left"/>
      <w:pPr>
        <w:ind w:left="2884" w:hanging="232"/>
      </w:pPr>
      <w:rPr>
        <w:rFonts w:hint="default"/>
      </w:rPr>
    </w:lvl>
    <w:lvl w:ilvl="4" w:tplc="2D9E843A">
      <w:numFmt w:val="bullet"/>
      <w:lvlText w:val="•"/>
      <w:lvlJc w:val="left"/>
      <w:pPr>
        <w:ind w:left="3946" w:hanging="232"/>
      </w:pPr>
      <w:rPr>
        <w:rFonts w:hint="default"/>
      </w:rPr>
    </w:lvl>
    <w:lvl w:ilvl="5" w:tplc="48DECB92">
      <w:numFmt w:val="bullet"/>
      <w:lvlText w:val="•"/>
      <w:lvlJc w:val="left"/>
      <w:pPr>
        <w:ind w:left="5008" w:hanging="232"/>
      </w:pPr>
      <w:rPr>
        <w:rFonts w:hint="default"/>
      </w:rPr>
    </w:lvl>
    <w:lvl w:ilvl="6" w:tplc="3F306B14">
      <w:numFmt w:val="bullet"/>
      <w:lvlText w:val="•"/>
      <w:lvlJc w:val="left"/>
      <w:pPr>
        <w:ind w:left="6071" w:hanging="232"/>
      </w:pPr>
      <w:rPr>
        <w:rFonts w:hint="default"/>
      </w:rPr>
    </w:lvl>
    <w:lvl w:ilvl="7" w:tplc="7602A58C">
      <w:numFmt w:val="bullet"/>
      <w:lvlText w:val="•"/>
      <w:lvlJc w:val="left"/>
      <w:pPr>
        <w:ind w:left="7133" w:hanging="232"/>
      </w:pPr>
      <w:rPr>
        <w:rFonts w:hint="default"/>
      </w:rPr>
    </w:lvl>
    <w:lvl w:ilvl="8" w:tplc="9162F2B4">
      <w:numFmt w:val="bullet"/>
      <w:lvlText w:val="•"/>
      <w:lvlJc w:val="left"/>
      <w:pPr>
        <w:ind w:left="8195" w:hanging="232"/>
      </w:pPr>
      <w:rPr>
        <w:rFonts w:hint="default"/>
      </w:rPr>
    </w:lvl>
  </w:abstractNum>
  <w:abstractNum w:abstractNumId="48" w15:restartNumberingAfterBreak="0">
    <w:nsid w:val="6EC07978"/>
    <w:multiLevelType w:val="hybridMultilevel"/>
    <w:tmpl w:val="6D4EC9D2"/>
    <w:lvl w:ilvl="0" w:tplc="3836EC90">
      <w:numFmt w:val="bullet"/>
      <w:lvlText w:val="–"/>
      <w:lvlJc w:val="left"/>
      <w:pPr>
        <w:ind w:left="338" w:hanging="194"/>
      </w:pPr>
      <w:rPr>
        <w:rFonts w:ascii="Calibri" w:eastAsia="Calibri" w:hAnsi="Calibri" w:cs="Calibri" w:hint="default"/>
        <w:b w:val="0"/>
        <w:bCs w:val="0"/>
        <w:i w:val="0"/>
        <w:iCs w:val="0"/>
        <w:w w:val="99"/>
        <w:sz w:val="22"/>
        <w:szCs w:val="22"/>
      </w:rPr>
    </w:lvl>
    <w:lvl w:ilvl="1" w:tplc="F94EF13C">
      <w:numFmt w:val="bullet"/>
      <w:lvlText w:val="•"/>
      <w:lvlJc w:val="left"/>
      <w:pPr>
        <w:ind w:left="1338" w:hanging="194"/>
      </w:pPr>
      <w:rPr>
        <w:rFonts w:hint="default"/>
      </w:rPr>
    </w:lvl>
    <w:lvl w:ilvl="2" w:tplc="3E0480D8">
      <w:numFmt w:val="bullet"/>
      <w:lvlText w:val="•"/>
      <w:lvlJc w:val="left"/>
      <w:pPr>
        <w:ind w:left="2336" w:hanging="194"/>
      </w:pPr>
      <w:rPr>
        <w:rFonts w:hint="default"/>
      </w:rPr>
    </w:lvl>
    <w:lvl w:ilvl="3" w:tplc="7A2A006C">
      <w:numFmt w:val="bullet"/>
      <w:lvlText w:val="•"/>
      <w:lvlJc w:val="left"/>
      <w:pPr>
        <w:ind w:left="3334" w:hanging="194"/>
      </w:pPr>
      <w:rPr>
        <w:rFonts w:hint="default"/>
      </w:rPr>
    </w:lvl>
    <w:lvl w:ilvl="4" w:tplc="82905DBC">
      <w:numFmt w:val="bullet"/>
      <w:lvlText w:val="•"/>
      <w:lvlJc w:val="left"/>
      <w:pPr>
        <w:ind w:left="4332" w:hanging="194"/>
      </w:pPr>
      <w:rPr>
        <w:rFonts w:hint="default"/>
      </w:rPr>
    </w:lvl>
    <w:lvl w:ilvl="5" w:tplc="7A6ABE00">
      <w:numFmt w:val="bullet"/>
      <w:lvlText w:val="•"/>
      <w:lvlJc w:val="left"/>
      <w:pPr>
        <w:ind w:left="5330" w:hanging="194"/>
      </w:pPr>
      <w:rPr>
        <w:rFonts w:hint="default"/>
      </w:rPr>
    </w:lvl>
    <w:lvl w:ilvl="6" w:tplc="93F6A972">
      <w:numFmt w:val="bullet"/>
      <w:lvlText w:val="•"/>
      <w:lvlJc w:val="left"/>
      <w:pPr>
        <w:ind w:left="6328" w:hanging="194"/>
      </w:pPr>
      <w:rPr>
        <w:rFonts w:hint="default"/>
      </w:rPr>
    </w:lvl>
    <w:lvl w:ilvl="7" w:tplc="F49CBAF8">
      <w:numFmt w:val="bullet"/>
      <w:lvlText w:val="•"/>
      <w:lvlJc w:val="left"/>
      <w:pPr>
        <w:ind w:left="7326" w:hanging="194"/>
      </w:pPr>
      <w:rPr>
        <w:rFonts w:hint="default"/>
      </w:rPr>
    </w:lvl>
    <w:lvl w:ilvl="8" w:tplc="6B504E1C">
      <w:numFmt w:val="bullet"/>
      <w:lvlText w:val="•"/>
      <w:lvlJc w:val="left"/>
      <w:pPr>
        <w:ind w:left="8324" w:hanging="194"/>
      </w:pPr>
      <w:rPr>
        <w:rFonts w:hint="default"/>
      </w:rPr>
    </w:lvl>
  </w:abstractNum>
  <w:abstractNum w:abstractNumId="49" w15:restartNumberingAfterBreak="0">
    <w:nsid w:val="6ED23824"/>
    <w:multiLevelType w:val="hybridMultilevel"/>
    <w:tmpl w:val="E10C0B7C"/>
    <w:lvl w:ilvl="0" w:tplc="F5402362">
      <w:numFmt w:val="bullet"/>
      <w:lvlText w:val=""/>
      <w:lvlJc w:val="left"/>
      <w:pPr>
        <w:ind w:left="987" w:hanging="362"/>
      </w:pPr>
      <w:rPr>
        <w:rFonts w:ascii="Symbol" w:eastAsia="Symbol" w:hAnsi="Symbol" w:cs="Symbol" w:hint="default"/>
        <w:b w:val="0"/>
        <w:bCs w:val="0"/>
        <w:i w:val="0"/>
        <w:iCs w:val="0"/>
        <w:w w:val="98"/>
        <w:sz w:val="22"/>
        <w:szCs w:val="22"/>
      </w:rPr>
    </w:lvl>
    <w:lvl w:ilvl="1" w:tplc="BA26BA92">
      <w:numFmt w:val="bullet"/>
      <w:lvlText w:val="•"/>
      <w:lvlJc w:val="left"/>
      <w:pPr>
        <w:ind w:left="1914" w:hanging="362"/>
      </w:pPr>
      <w:rPr>
        <w:rFonts w:hint="default"/>
      </w:rPr>
    </w:lvl>
    <w:lvl w:ilvl="2" w:tplc="1326E524">
      <w:numFmt w:val="bullet"/>
      <w:lvlText w:val="•"/>
      <w:lvlJc w:val="left"/>
      <w:pPr>
        <w:ind w:left="2848" w:hanging="362"/>
      </w:pPr>
      <w:rPr>
        <w:rFonts w:hint="default"/>
      </w:rPr>
    </w:lvl>
    <w:lvl w:ilvl="3" w:tplc="3260102C">
      <w:numFmt w:val="bullet"/>
      <w:lvlText w:val="•"/>
      <w:lvlJc w:val="left"/>
      <w:pPr>
        <w:ind w:left="3782" w:hanging="362"/>
      </w:pPr>
      <w:rPr>
        <w:rFonts w:hint="default"/>
      </w:rPr>
    </w:lvl>
    <w:lvl w:ilvl="4" w:tplc="A83221F6">
      <w:numFmt w:val="bullet"/>
      <w:lvlText w:val="•"/>
      <w:lvlJc w:val="left"/>
      <w:pPr>
        <w:ind w:left="4716" w:hanging="362"/>
      </w:pPr>
      <w:rPr>
        <w:rFonts w:hint="default"/>
      </w:rPr>
    </w:lvl>
    <w:lvl w:ilvl="5" w:tplc="5E1E1B10">
      <w:numFmt w:val="bullet"/>
      <w:lvlText w:val="•"/>
      <w:lvlJc w:val="left"/>
      <w:pPr>
        <w:ind w:left="5650" w:hanging="362"/>
      </w:pPr>
      <w:rPr>
        <w:rFonts w:hint="default"/>
      </w:rPr>
    </w:lvl>
    <w:lvl w:ilvl="6" w:tplc="880227F4">
      <w:numFmt w:val="bullet"/>
      <w:lvlText w:val="•"/>
      <w:lvlJc w:val="left"/>
      <w:pPr>
        <w:ind w:left="6584" w:hanging="362"/>
      </w:pPr>
      <w:rPr>
        <w:rFonts w:hint="default"/>
      </w:rPr>
    </w:lvl>
    <w:lvl w:ilvl="7" w:tplc="05668868">
      <w:numFmt w:val="bullet"/>
      <w:lvlText w:val="•"/>
      <w:lvlJc w:val="left"/>
      <w:pPr>
        <w:ind w:left="7518" w:hanging="362"/>
      </w:pPr>
      <w:rPr>
        <w:rFonts w:hint="default"/>
      </w:rPr>
    </w:lvl>
    <w:lvl w:ilvl="8" w:tplc="89AAC2DC">
      <w:numFmt w:val="bullet"/>
      <w:lvlText w:val="•"/>
      <w:lvlJc w:val="left"/>
      <w:pPr>
        <w:ind w:left="8452" w:hanging="362"/>
      </w:pPr>
      <w:rPr>
        <w:rFonts w:hint="default"/>
      </w:rPr>
    </w:lvl>
  </w:abstractNum>
  <w:abstractNum w:abstractNumId="50" w15:restartNumberingAfterBreak="0">
    <w:nsid w:val="6FB823F8"/>
    <w:multiLevelType w:val="hybridMultilevel"/>
    <w:tmpl w:val="2C9600F0"/>
    <w:lvl w:ilvl="0" w:tplc="4C305F64">
      <w:start w:val="1"/>
      <w:numFmt w:val="decimal"/>
      <w:lvlText w:val="%1."/>
      <w:lvlJc w:val="left"/>
      <w:pPr>
        <w:ind w:left="478" w:hanging="360"/>
        <w:jc w:val="right"/>
      </w:pPr>
      <w:rPr>
        <w:rFonts w:ascii="Calibri" w:eastAsia="Calibri" w:hAnsi="Calibri" w:cs="Calibri" w:hint="default"/>
        <w:b/>
        <w:bCs/>
        <w:i w:val="0"/>
        <w:iCs w:val="0"/>
        <w:w w:val="98"/>
        <w:sz w:val="22"/>
        <w:szCs w:val="22"/>
      </w:rPr>
    </w:lvl>
    <w:lvl w:ilvl="1" w:tplc="DAA45556">
      <w:numFmt w:val="bullet"/>
      <w:lvlText w:val="•"/>
      <w:lvlJc w:val="left"/>
      <w:pPr>
        <w:ind w:left="1464" w:hanging="360"/>
      </w:pPr>
      <w:rPr>
        <w:rFonts w:hint="default"/>
      </w:rPr>
    </w:lvl>
    <w:lvl w:ilvl="2" w:tplc="4680244E">
      <w:numFmt w:val="bullet"/>
      <w:lvlText w:val="•"/>
      <w:lvlJc w:val="left"/>
      <w:pPr>
        <w:ind w:left="2448" w:hanging="360"/>
      </w:pPr>
      <w:rPr>
        <w:rFonts w:hint="default"/>
      </w:rPr>
    </w:lvl>
    <w:lvl w:ilvl="3" w:tplc="35B492AC">
      <w:numFmt w:val="bullet"/>
      <w:lvlText w:val="•"/>
      <w:lvlJc w:val="left"/>
      <w:pPr>
        <w:ind w:left="3432" w:hanging="360"/>
      </w:pPr>
      <w:rPr>
        <w:rFonts w:hint="default"/>
      </w:rPr>
    </w:lvl>
    <w:lvl w:ilvl="4" w:tplc="62246AC8">
      <w:numFmt w:val="bullet"/>
      <w:lvlText w:val="•"/>
      <w:lvlJc w:val="left"/>
      <w:pPr>
        <w:ind w:left="4416" w:hanging="360"/>
      </w:pPr>
      <w:rPr>
        <w:rFonts w:hint="default"/>
      </w:rPr>
    </w:lvl>
    <w:lvl w:ilvl="5" w:tplc="FB02FF96">
      <w:numFmt w:val="bullet"/>
      <w:lvlText w:val="•"/>
      <w:lvlJc w:val="left"/>
      <w:pPr>
        <w:ind w:left="5400" w:hanging="360"/>
      </w:pPr>
      <w:rPr>
        <w:rFonts w:hint="default"/>
      </w:rPr>
    </w:lvl>
    <w:lvl w:ilvl="6" w:tplc="B3CC41B0">
      <w:numFmt w:val="bullet"/>
      <w:lvlText w:val="•"/>
      <w:lvlJc w:val="left"/>
      <w:pPr>
        <w:ind w:left="6384" w:hanging="360"/>
      </w:pPr>
      <w:rPr>
        <w:rFonts w:hint="default"/>
      </w:rPr>
    </w:lvl>
    <w:lvl w:ilvl="7" w:tplc="89D8B1D8">
      <w:numFmt w:val="bullet"/>
      <w:lvlText w:val="•"/>
      <w:lvlJc w:val="left"/>
      <w:pPr>
        <w:ind w:left="7368" w:hanging="360"/>
      </w:pPr>
      <w:rPr>
        <w:rFonts w:hint="default"/>
      </w:rPr>
    </w:lvl>
    <w:lvl w:ilvl="8" w:tplc="3F04EB4A">
      <w:numFmt w:val="bullet"/>
      <w:lvlText w:val="•"/>
      <w:lvlJc w:val="left"/>
      <w:pPr>
        <w:ind w:left="8352" w:hanging="360"/>
      </w:pPr>
      <w:rPr>
        <w:rFonts w:hint="default"/>
      </w:rPr>
    </w:lvl>
  </w:abstractNum>
  <w:abstractNum w:abstractNumId="51" w15:restartNumberingAfterBreak="0">
    <w:nsid w:val="71AB06BB"/>
    <w:multiLevelType w:val="hybridMultilevel"/>
    <w:tmpl w:val="BD6C7EBE"/>
    <w:lvl w:ilvl="0" w:tplc="ACE66BD4">
      <w:start w:val="1"/>
      <w:numFmt w:val="upperLetter"/>
      <w:lvlText w:val="%1."/>
      <w:lvlJc w:val="left"/>
      <w:pPr>
        <w:ind w:left="717" w:hanging="239"/>
        <w:jc w:val="left"/>
      </w:pPr>
      <w:rPr>
        <w:rFonts w:ascii="Calibri" w:eastAsia="Calibri" w:hAnsi="Calibri" w:cs="Calibri" w:hint="default"/>
        <w:b/>
        <w:bCs/>
        <w:i w:val="0"/>
        <w:iCs w:val="0"/>
        <w:w w:val="98"/>
        <w:sz w:val="22"/>
        <w:szCs w:val="22"/>
      </w:rPr>
    </w:lvl>
    <w:lvl w:ilvl="1" w:tplc="FFFC0C52">
      <w:start w:val="1"/>
      <w:numFmt w:val="decimal"/>
      <w:lvlText w:val="%2."/>
      <w:lvlJc w:val="left"/>
      <w:pPr>
        <w:ind w:left="480" w:hanging="226"/>
        <w:jc w:val="left"/>
      </w:pPr>
      <w:rPr>
        <w:rFonts w:ascii="Calibri" w:eastAsia="Calibri" w:hAnsi="Calibri" w:cs="Calibri" w:hint="default"/>
        <w:b/>
        <w:bCs/>
        <w:i w:val="0"/>
        <w:iCs w:val="0"/>
        <w:w w:val="98"/>
        <w:sz w:val="22"/>
        <w:szCs w:val="22"/>
      </w:rPr>
    </w:lvl>
    <w:lvl w:ilvl="2" w:tplc="EB56EC7A">
      <w:numFmt w:val="bullet"/>
      <w:lvlText w:val="•"/>
      <w:lvlJc w:val="left"/>
      <w:pPr>
        <w:ind w:left="1786" w:hanging="226"/>
      </w:pPr>
      <w:rPr>
        <w:rFonts w:hint="default"/>
      </w:rPr>
    </w:lvl>
    <w:lvl w:ilvl="3" w:tplc="9710AF38">
      <w:numFmt w:val="bullet"/>
      <w:lvlText w:val="•"/>
      <w:lvlJc w:val="left"/>
      <w:pPr>
        <w:ind w:left="2853" w:hanging="226"/>
      </w:pPr>
      <w:rPr>
        <w:rFonts w:hint="default"/>
      </w:rPr>
    </w:lvl>
    <w:lvl w:ilvl="4" w:tplc="A00ED1DE">
      <w:numFmt w:val="bullet"/>
      <w:lvlText w:val="•"/>
      <w:lvlJc w:val="left"/>
      <w:pPr>
        <w:ind w:left="3920" w:hanging="226"/>
      </w:pPr>
      <w:rPr>
        <w:rFonts w:hint="default"/>
      </w:rPr>
    </w:lvl>
    <w:lvl w:ilvl="5" w:tplc="C14027EC">
      <w:numFmt w:val="bullet"/>
      <w:lvlText w:val="•"/>
      <w:lvlJc w:val="left"/>
      <w:pPr>
        <w:ind w:left="4986" w:hanging="226"/>
      </w:pPr>
      <w:rPr>
        <w:rFonts w:hint="default"/>
      </w:rPr>
    </w:lvl>
    <w:lvl w:ilvl="6" w:tplc="13420C2C">
      <w:numFmt w:val="bullet"/>
      <w:lvlText w:val="•"/>
      <w:lvlJc w:val="left"/>
      <w:pPr>
        <w:ind w:left="6053" w:hanging="226"/>
      </w:pPr>
      <w:rPr>
        <w:rFonts w:hint="default"/>
      </w:rPr>
    </w:lvl>
    <w:lvl w:ilvl="7" w:tplc="6DD041B2">
      <w:numFmt w:val="bullet"/>
      <w:lvlText w:val="•"/>
      <w:lvlJc w:val="left"/>
      <w:pPr>
        <w:ind w:left="7120" w:hanging="226"/>
      </w:pPr>
      <w:rPr>
        <w:rFonts w:hint="default"/>
      </w:rPr>
    </w:lvl>
    <w:lvl w:ilvl="8" w:tplc="B844929A">
      <w:numFmt w:val="bullet"/>
      <w:lvlText w:val="•"/>
      <w:lvlJc w:val="left"/>
      <w:pPr>
        <w:ind w:left="8186" w:hanging="226"/>
      </w:pPr>
      <w:rPr>
        <w:rFonts w:hint="default"/>
      </w:rPr>
    </w:lvl>
  </w:abstractNum>
  <w:abstractNum w:abstractNumId="52" w15:restartNumberingAfterBreak="0">
    <w:nsid w:val="72044CAD"/>
    <w:multiLevelType w:val="hybridMultilevel"/>
    <w:tmpl w:val="A3B268DE"/>
    <w:lvl w:ilvl="0" w:tplc="9ED83150">
      <w:numFmt w:val="bullet"/>
      <w:lvlText w:val=""/>
      <w:lvlJc w:val="left"/>
      <w:pPr>
        <w:ind w:left="1126" w:hanging="360"/>
      </w:pPr>
      <w:rPr>
        <w:rFonts w:ascii="Symbol" w:eastAsia="Symbol" w:hAnsi="Symbol" w:cs="Symbol" w:hint="default"/>
        <w:b w:val="0"/>
        <w:bCs w:val="0"/>
        <w:i w:val="0"/>
        <w:iCs w:val="0"/>
        <w:w w:val="98"/>
        <w:sz w:val="22"/>
        <w:szCs w:val="22"/>
      </w:rPr>
    </w:lvl>
    <w:lvl w:ilvl="1" w:tplc="1AE8996A">
      <w:numFmt w:val="bullet"/>
      <w:lvlText w:val="•"/>
      <w:lvlJc w:val="left"/>
      <w:pPr>
        <w:ind w:left="2040" w:hanging="360"/>
      </w:pPr>
      <w:rPr>
        <w:rFonts w:hint="default"/>
      </w:rPr>
    </w:lvl>
    <w:lvl w:ilvl="2" w:tplc="0EE0E9F6">
      <w:numFmt w:val="bullet"/>
      <w:lvlText w:val="•"/>
      <w:lvlJc w:val="left"/>
      <w:pPr>
        <w:ind w:left="2960" w:hanging="360"/>
      </w:pPr>
      <w:rPr>
        <w:rFonts w:hint="default"/>
      </w:rPr>
    </w:lvl>
    <w:lvl w:ilvl="3" w:tplc="13C83F6E">
      <w:numFmt w:val="bullet"/>
      <w:lvlText w:val="•"/>
      <w:lvlJc w:val="left"/>
      <w:pPr>
        <w:ind w:left="3880" w:hanging="360"/>
      </w:pPr>
      <w:rPr>
        <w:rFonts w:hint="default"/>
      </w:rPr>
    </w:lvl>
    <w:lvl w:ilvl="4" w:tplc="BAD62AB4">
      <w:numFmt w:val="bullet"/>
      <w:lvlText w:val="•"/>
      <w:lvlJc w:val="left"/>
      <w:pPr>
        <w:ind w:left="4800" w:hanging="360"/>
      </w:pPr>
      <w:rPr>
        <w:rFonts w:hint="default"/>
      </w:rPr>
    </w:lvl>
    <w:lvl w:ilvl="5" w:tplc="BCC8E3AC">
      <w:numFmt w:val="bullet"/>
      <w:lvlText w:val="•"/>
      <w:lvlJc w:val="left"/>
      <w:pPr>
        <w:ind w:left="5720" w:hanging="360"/>
      </w:pPr>
      <w:rPr>
        <w:rFonts w:hint="default"/>
      </w:rPr>
    </w:lvl>
    <w:lvl w:ilvl="6" w:tplc="BD4C811E">
      <w:numFmt w:val="bullet"/>
      <w:lvlText w:val="•"/>
      <w:lvlJc w:val="left"/>
      <w:pPr>
        <w:ind w:left="6640" w:hanging="360"/>
      </w:pPr>
      <w:rPr>
        <w:rFonts w:hint="default"/>
      </w:rPr>
    </w:lvl>
    <w:lvl w:ilvl="7" w:tplc="F71EC36E">
      <w:numFmt w:val="bullet"/>
      <w:lvlText w:val="•"/>
      <w:lvlJc w:val="left"/>
      <w:pPr>
        <w:ind w:left="7560" w:hanging="360"/>
      </w:pPr>
      <w:rPr>
        <w:rFonts w:hint="default"/>
      </w:rPr>
    </w:lvl>
    <w:lvl w:ilvl="8" w:tplc="C6B6BC7A">
      <w:numFmt w:val="bullet"/>
      <w:lvlText w:val="•"/>
      <w:lvlJc w:val="left"/>
      <w:pPr>
        <w:ind w:left="8480" w:hanging="360"/>
      </w:pPr>
      <w:rPr>
        <w:rFonts w:hint="default"/>
      </w:rPr>
    </w:lvl>
  </w:abstractNum>
  <w:abstractNum w:abstractNumId="53" w15:restartNumberingAfterBreak="0">
    <w:nsid w:val="72A16663"/>
    <w:multiLevelType w:val="hybridMultilevel"/>
    <w:tmpl w:val="7DAED828"/>
    <w:lvl w:ilvl="0" w:tplc="0A887EE0">
      <w:numFmt w:val="bullet"/>
      <w:lvlText w:val="●"/>
      <w:lvlJc w:val="left"/>
      <w:pPr>
        <w:ind w:left="278" w:hanging="167"/>
      </w:pPr>
      <w:rPr>
        <w:rFonts w:ascii="Calibri" w:eastAsia="Calibri" w:hAnsi="Calibri" w:cs="Calibri" w:hint="default"/>
        <w:b w:val="0"/>
        <w:bCs w:val="0"/>
        <w:i w:val="0"/>
        <w:iCs w:val="0"/>
        <w:w w:val="100"/>
        <w:sz w:val="20"/>
        <w:szCs w:val="20"/>
      </w:rPr>
    </w:lvl>
    <w:lvl w:ilvl="1" w:tplc="B8D09B84">
      <w:numFmt w:val="bullet"/>
      <w:lvlText w:val="•"/>
      <w:lvlJc w:val="left"/>
      <w:pPr>
        <w:ind w:left="962" w:hanging="167"/>
      </w:pPr>
      <w:rPr>
        <w:rFonts w:hint="default"/>
      </w:rPr>
    </w:lvl>
    <w:lvl w:ilvl="2" w:tplc="8208E2A8">
      <w:numFmt w:val="bullet"/>
      <w:lvlText w:val="•"/>
      <w:lvlJc w:val="left"/>
      <w:pPr>
        <w:ind w:left="1644" w:hanging="167"/>
      </w:pPr>
      <w:rPr>
        <w:rFonts w:hint="default"/>
      </w:rPr>
    </w:lvl>
    <w:lvl w:ilvl="3" w:tplc="E34A5446">
      <w:numFmt w:val="bullet"/>
      <w:lvlText w:val="•"/>
      <w:lvlJc w:val="left"/>
      <w:pPr>
        <w:ind w:left="2326" w:hanging="167"/>
      </w:pPr>
      <w:rPr>
        <w:rFonts w:hint="default"/>
      </w:rPr>
    </w:lvl>
    <w:lvl w:ilvl="4" w:tplc="8E002CCC">
      <w:numFmt w:val="bullet"/>
      <w:lvlText w:val="•"/>
      <w:lvlJc w:val="left"/>
      <w:pPr>
        <w:ind w:left="3008" w:hanging="167"/>
      </w:pPr>
      <w:rPr>
        <w:rFonts w:hint="default"/>
      </w:rPr>
    </w:lvl>
    <w:lvl w:ilvl="5" w:tplc="F3E2A98E">
      <w:numFmt w:val="bullet"/>
      <w:lvlText w:val="•"/>
      <w:lvlJc w:val="left"/>
      <w:pPr>
        <w:ind w:left="3690" w:hanging="167"/>
      </w:pPr>
      <w:rPr>
        <w:rFonts w:hint="default"/>
      </w:rPr>
    </w:lvl>
    <w:lvl w:ilvl="6" w:tplc="354C0A76">
      <w:numFmt w:val="bullet"/>
      <w:lvlText w:val="•"/>
      <w:lvlJc w:val="left"/>
      <w:pPr>
        <w:ind w:left="4372" w:hanging="167"/>
      </w:pPr>
      <w:rPr>
        <w:rFonts w:hint="default"/>
      </w:rPr>
    </w:lvl>
    <w:lvl w:ilvl="7" w:tplc="C9428F54">
      <w:numFmt w:val="bullet"/>
      <w:lvlText w:val="•"/>
      <w:lvlJc w:val="left"/>
      <w:pPr>
        <w:ind w:left="5054" w:hanging="167"/>
      </w:pPr>
      <w:rPr>
        <w:rFonts w:hint="default"/>
      </w:rPr>
    </w:lvl>
    <w:lvl w:ilvl="8" w:tplc="FA7C150A">
      <w:numFmt w:val="bullet"/>
      <w:lvlText w:val="•"/>
      <w:lvlJc w:val="left"/>
      <w:pPr>
        <w:ind w:left="5736" w:hanging="167"/>
      </w:pPr>
      <w:rPr>
        <w:rFonts w:hint="default"/>
      </w:rPr>
    </w:lvl>
  </w:abstractNum>
  <w:abstractNum w:abstractNumId="54" w15:restartNumberingAfterBreak="0">
    <w:nsid w:val="75395A9F"/>
    <w:multiLevelType w:val="hybridMultilevel"/>
    <w:tmpl w:val="9FAABC56"/>
    <w:lvl w:ilvl="0" w:tplc="BDE46A96">
      <w:start w:val="1"/>
      <w:numFmt w:val="upperLetter"/>
      <w:lvlText w:val="%1."/>
      <w:lvlJc w:val="left"/>
      <w:pPr>
        <w:ind w:left="837" w:hanging="359"/>
        <w:jc w:val="right"/>
      </w:pPr>
      <w:rPr>
        <w:rFonts w:ascii="Calibri" w:eastAsia="Calibri" w:hAnsi="Calibri" w:cs="Calibri" w:hint="default"/>
        <w:b/>
        <w:bCs/>
        <w:i w:val="0"/>
        <w:iCs w:val="0"/>
        <w:spacing w:val="-1"/>
        <w:w w:val="100"/>
        <w:sz w:val="24"/>
        <w:szCs w:val="24"/>
      </w:rPr>
    </w:lvl>
    <w:lvl w:ilvl="1" w:tplc="6CB6EB56">
      <w:start w:val="1"/>
      <w:numFmt w:val="decimal"/>
      <w:lvlText w:val="%2."/>
      <w:lvlJc w:val="left"/>
      <w:pPr>
        <w:ind w:left="938" w:hanging="360"/>
        <w:jc w:val="left"/>
      </w:pPr>
      <w:rPr>
        <w:rFonts w:ascii="Calibri" w:eastAsia="Calibri" w:hAnsi="Calibri" w:cs="Calibri" w:hint="default"/>
        <w:b/>
        <w:bCs/>
        <w:i w:val="0"/>
        <w:iCs w:val="0"/>
        <w:w w:val="98"/>
        <w:sz w:val="22"/>
        <w:szCs w:val="22"/>
      </w:rPr>
    </w:lvl>
    <w:lvl w:ilvl="2" w:tplc="DAD246D2">
      <w:start w:val="1"/>
      <w:numFmt w:val="lowerLetter"/>
      <w:lvlText w:val="%3."/>
      <w:lvlJc w:val="left"/>
      <w:pPr>
        <w:ind w:left="1200" w:hanging="362"/>
        <w:jc w:val="left"/>
      </w:pPr>
      <w:rPr>
        <w:rFonts w:ascii="Calibri" w:eastAsia="Calibri" w:hAnsi="Calibri" w:cs="Calibri" w:hint="default"/>
        <w:b/>
        <w:bCs/>
        <w:i w:val="0"/>
        <w:iCs w:val="0"/>
        <w:spacing w:val="-2"/>
        <w:w w:val="98"/>
        <w:sz w:val="22"/>
        <w:szCs w:val="22"/>
      </w:rPr>
    </w:lvl>
    <w:lvl w:ilvl="3" w:tplc="3A265398">
      <w:numFmt w:val="bullet"/>
      <w:lvlText w:val="•"/>
      <w:lvlJc w:val="left"/>
      <w:pPr>
        <w:ind w:left="2340" w:hanging="362"/>
      </w:pPr>
      <w:rPr>
        <w:rFonts w:hint="default"/>
      </w:rPr>
    </w:lvl>
    <w:lvl w:ilvl="4" w:tplc="4CE8EE7E">
      <w:numFmt w:val="bullet"/>
      <w:lvlText w:val="•"/>
      <w:lvlJc w:val="left"/>
      <w:pPr>
        <w:ind w:left="3480" w:hanging="362"/>
      </w:pPr>
      <w:rPr>
        <w:rFonts w:hint="default"/>
      </w:rPr>
    </w:lvl>
    <w:lvl w:ilvl="5" w:tplc="E11C9F44">
      <w:numFmt w:val="bullet"/>
      <w:lvlText w:val="•"/>
      <w:lvlJc w:val="left"/>
      <w:pPr>
        <w:ind w:left="4620" w:hanging="362"/>
      </w:pPr>
      <w:rPr>
        <w:rFonts w:hint="default"/>
      </w:rPr>
    </w:lvl>
    <w:lvl w:ilvl="6" w:tplc="6C24205E">
      <w:numFmt w:val="bullet"/>
      <w:lvlText w:val="•"/>
      <w:lvlJc w:val="left"/>
      <w:pPr>
        <w:ind w:left="5760" w:hanging="362"/>
      </w:pPr>
      <w:rPr>
        <w:rFonts w:hint="default"/>
      </w:rPr>
    </w:lvl>
    <w:lvl w:ilvl="7" w:tplc="0284D3E2">
      <w:numFmt w:val="bullet"/>
      <w:lvlText w:val="•"/>
      <w:lvlJc w:val="left"/>
      <w:pPr>
        <w:ind w:left="6900" w:hanging="362"/>
      </w:pPr>
      <w:rPr>
        <w:rFonts w:hint="default"/>
      </w:rPr>
    </w:lvl>
    <w:lvl w:ilvl="8" w:tplc="269ECA84">
      <w:numFmt w:val="bullet"/>
      <w:lvlText w:val="•"/>
      <w:lvlJc w:val="left"/>
      <w:pPr>
        <w:ind w:left="8040" w:hanging="362"/>
      </w:pPr>
      <w:rPr>
        <w:rFonts w:hint="default"/>
      </w:rPr>
    </w:lvl>
  </w:abstractNum>
  <w:abstractNum w:abstractNumId="55" w15:restartNumberingAfterBreak="0">
    <w:nsid w:val="776A5FD1"/>
    <w:multiLevelType w:val="hybridMultilevel"/>
    <w:tmpl w:val="5C28059A"/>
    <w:lvl w:ilvl="0" w:tplc="5220F0F4">
      <w:start w:val="1"/>
      <w:numFmt w:val="decimal"/>
      <w:lvlText w:val="%1."/>
      <w:lvlJc w:val="left"/>
      <w:pPr>
        <w:ind w:left="338" w:hanging="263"/>
        <w:jc w:val="left"/>
      </w:pPr>
      <w:rPr>
        <w:rFonts w:ascii="Calibri" w:eastAsia="Calibri" w:hAnsi="Calibri" w:cs="Calibri" w:hint="default"/>
        <w:b/>
        <w:bCs/>
        <w:i w:val="0"/>
        <w:iCs w:val="0"/>
        <w:w w:val="98"/>
        <w:sz w:val="22"/>
        <w:szCs w:val="22"/>
      </w:rPr>
    </w:lvl>
    <w:lvl w:ilvl="1" w:tplc="6A748258">
      <w:start w:val="1"/>
      <w:numFmt w:val="decimal"/>
      <w:lvlText w:val="%2."/>
      <w:lvlJc w:val="left"/>
      <w:pPr>
        <w:ind w:left="1058" w:hanging="360"/>
        <w:jc w:val="left"/>
      </w:pPr>
      <w:rPr>
        <w:rFonts w:ascii="Calibri" w:eastAsia="Calibri" w:hAnsi="Calibri" w:cs="Calibri" w:hint="default"/>
        <w:b w:val="0"/>
        <w:bCs w:val="0"/>
        <w:i w:val="0"/>
        <w:iCs w:val="0"/>
        <w:spacing w:val="-2"/>
        <w:w w:val="99"/>
        <w:sz w:val="22"/>
        <w:szCs w:val="22"/>
      </w:rPr>
    </w:lvl>
    <w:lvl w:ilvl="2" w:tplc="E75C66EA">
      <w:numFmt w:val="bullet"/>
      <w:lvlText w:val="•"/>
      <w:lvlJc w:val="left"/>
      <w:pPr>
        <w:ind w:left="2088" w:hanging="360"/>
      </w:pPr>
      <w:rPr>
        <w:rFonts w:hint="default"/>
      </w:rPr>
    </w:lvl>
    <w:lvl w:ilvl="3" w:tplc="B3A43F16">
      <w:numFmt w:val="bullet"/>
      <w:lvlText w:val="•"/>
      <w:lvlJc w:val="left"/>
      <w:pPr>
        <w:ind w:left="3117" w:hanging="360"/>
      </w:pPr>
      <w:rPr>
        <w:rFonts w:hint="default"/>
      </w:rPr>
    </w:lvl>
    <w:lvl w:ilvl="4" w:tplc="7EDC254E">
      <w:numFmt w:val="bullet"/>
      <w:lvlText w:val="•"/>
      <w:lvlJc w:val="left"/>
      <w:pPr>
        <w:ind w:left="4146" w:hanging="360"/>
      </w:pPr>
      <w:rPr>
        <w:rFonts w:hint="default"/>
      </w:rPr>
    </w:lvl>
    <w:lvl w:ilvl="5" w:tplc="8AF68234">
      <w:numFmt w:val="bullet"/>
      <w:lvlText w:val="•"/>
      <w:lvlJc w:val="left"/>
      <w:pPr>
        <w:ind w:left="5175" w:hanging="360"/>
      </w:pPr>
      <w:rPr>
        <w:rFonts w:hint="default"/>
      </w:rPr>
    </w:lvl>
    <w:lvl w:ilvl="6" w:tplc="96DCE15A">
      <w:numFmt w:val="bullet"/>
      <w:lvlText w:val="•"/>
      <w:lvlJc w:val="left"/>
      <w:pPr>
        <w:ind w:left="6204" w:hanging="360"/>
      </w:pPr>
      <w:rPr>
        <w:rFonts w:hint="default"/>
      </w:rPr>
    </w:lvl>
    <w:lvl w:ilvl="7" w:tplc="DDD24D36">
      <w:numFmt w:val="bullet"/>
      <w:lvlText w:val="•"/>
      <w:lvlJc w:val="left"/>
      <w:pPr>
        <w:ind w:left="7233" w:hanging="360"/>
      </w:pPr>
      <w:rPr>
        <w:rFonts w:hint="default"/>
      </w:rPr>
    </w:lvl>
    <w:lvl w:ilvl="8" w:tplc="A5E23820">
      <w:numFmt w:val="bullet"/>
      <w:lvlText w:val="•"/>
      <w:lvlJc w:val="left"/>
      <w:pPr>
        <w:ind w:left="8262" w:hanging="360"/>
      </w:pPr>
      <w:rPr>
        <w:rFonts w:hint="default"/>
      </w:rPr>
    </w:lvl>
  </w:abstractNum>
  <w:abstractNum w:abstractNumId="56" w15:restartNumberingAfterBreak="0">
    <w:nsid w:val="7B704703"/>
    <w:multiLevelType w:val="hybridMultilevel"/>
    <w:tmpl w:val="10D66202"/>
    <w:lvl w:ilvl="0" w:tplc="4120DBEC">
      <w:start w:val="1"/>
      <w:numFmt w:val="decimal"/>
      <w:lvlText w:val="%1."/>
      <w:lvlJc w:val="left"/>
      <w:pPr>
        <w:ind w:left="838" w:hanging="360"/>
        <w:jc w:val="left"/>
      </w:pPr>
      <w:rPr>
        <w:rFonts w:ascii="Calibri" w:eastAsia="Calibri" w:hAnsi="Calibri" w:cs="Calibri" w:hint="default"/>
        <w:b/>
        <w:bCs/>
        <w:i w:val="0"/>
        <w:iCs w:val="0"/>
        <w:w w:val="98"/>
        <w:sz w:val="22"/>
        <w:szCs w:val="22"/>
      </w:rPr>
    </w:lvl>
    <w:lvl w:ilvl="1" w:tplc="83A4C762">
      <w:numFmt w:val="bullet"/>
      <w:lvlText w:val="•"/>
      <w:lvlJc w:val="left"/>
      <w:pPr>
        <w:ind w:left="1788" w:hanging="360"/>
      </w:pPr>
      <w:rPr>
        <w:rFonts w:hint="default"/>
      </w:rPr>
    </w:lvl>
    <w:lvl w:ilvl="2" w:tplc="90324020">
      <w:numFmt w:val="bullet"/>
      <w:lvlText w:val="•"/>
      <w:lvlJc w:val="left"/>
      <w:pPr>
        <w:ind w:left="2736" w:hanging="360"/>
      </w:pPr>
      <w:rPr>
        <w:rFonts w:hint="default"/>
      </w:rPr>
    </w:lvl>
    <w:lvl w:ilvl="3" w:tplc="58C84E80">
      <w:numFmt w:val="bullet"/>
      <w:lvlText w:val="•"/>
      <w:lvlJc w:val="left"/>
      <w:pPr>
        <w:ind w:left="3684" w:hanging="360"/>
      </w:pPr>
      <w:rPr>
        <w:rFonts w:hint="default"/>
      </w:rPr>
    </w:lvl>
    <w:lvl w:ilvl="4" w:tplc="0212D1F6">
      <w:numFmt w:val="bullet"/>
      <w:lvlText w:val="•"/>
      <w:lvlJc w:val="left"/>
      <w:pPr>
        <w:ind w:left="4632" w:hanging="360"/>
      </w:pPr>
      <w:rPr>
        <w:rFonts w:hint="default"/>
      </w:rPr>
    </w:lvl>
    <w:lvl w:ilvl="5" w:tplc="74EE5BF8">
      <w:numFmt w:val="bullet"/>
      <w:lvlText w:val="•"/>
      <w:lvlJc w:val="left"/>
      <w:pPr>
        <w:ind w:left="5580" w:hanging="360"/>
      </w:pPr>
      <w:rPr>
        <w:rFonts w:hint="default"/>
      </w:rPr>
    </w:lvl>
    <w:lvl w:ilvl="6" w:tplc="8E34C560">
      <w:numFmt w:val="bullet"/>
      <w:lvlText w:val="•"/>
      <w:lvlJc w:val="left"/>
      <w:pPr>
        <w:ind w:left="6528" w:hanging="360"/>
      </w:pPr>
      <w:rPr>
        <w:rFonts w:hint="default"/>
      </w:rPr>
    </w:lvl>
    <w:lvl w:ilvl="7" w:tplc="91142A0A">
      <w:numFmt w:val="bullet"/>
      <w:lvlText w:val="•"/>
      <w:lvlJc w:val="left"/>
      <w:pPr>
        <w:ind w:left="7476" w:hanging="360"/>
      </w:pPr>
      <w:rPr>
        <w:rFonts w:hint="default"/>
      </w:rPr>
    </w:lvl>
    <w:lvl w:ilvl="8" w:tplc="478A0858">
      <w:numFmt w:val="bullet"/>
      <w:lvlText w:val="•"/>
      <w:lvlJc w:val="left"/>
      <w:pPr>
        <w:ind w:left="8424" w:hanging="360"/>
      </w:pPr>
      <w:rPr>
        <w:rFonts w:hint="default"/>
      </w:rPr>
    </w:lvl>
  </w:abstractNum>
  <w:abstractNum w:abstractNumId="57" w15:restartNumberingAfterBreak="0">
    <w:nsid w:val="7D6675EC"/>
    <w:multiLevelType w:val="hybridMultilevel"/>
    <w:tmpl w:val="4F225802"/>
    <w:lvl w:ilvl="0" w:tplc="C79C34E4">
      <w:start w:val="1"/>
      <w:numFmt w:val="upperLetter"/>
      <w:lvlText w:val="%1."/>
      <w:lvlJc w:val="left"/>
      <w:pPr>
        <w:ind w:left="843" w:hanging="266"/>
        <w:jc w:val="right"/>
      </w:pPr>
      <w:rPr>
        <w:rFonts w:ascii="Calibri" w:eastAsia="Calibri" w:hAnsi="Calibri" w:cs="Calibri" w:hint="default"/>
        <w:b/>
        <w:bCs/>
        <w:i w:val="0"/>
        <w:iCs w:val="0"/>
        <w:spacing w:val="-1"/>
        <w:w w:val="100"/>
        <w:sz w:val="24"/>
        <w:szCs w:val="24"/>
      </w:rPr>
    </w:lvl>
    <w:lvl w:ilvl="1" w:tplc="813C4228">
      <w:numFmt w:val="bullet"/>
      <w:lvlText w:val=""/>
      <w:lvlJc w:val="left"/>
      <w:pPr>
        <w:ind w:left="1199" w:hanging="360"/>
      </w:pPr>
      <w:rPr>
        <w:rFonts w:ascii="Symbol" w:eastAsia="Symbol" w:hAnsi="Symbol" w:cs="Symbol" w:hint="default"/>
        <w:b w:val="0"/>
        <w:bCs w:val="0"/>
        <w:i w:val="0"/>
        <w:iCs w:val="0"/>
        <w:w w:val="98"/>
        <w:sz w:val="22"/>
        <w:szCs w:val="22"/>
      </w:rPr>
    </w:lvl>
    <w:lvl w:ilvl="2" w:tplc="4F000E40">
      <w:numFmt w:val="bullet"/>
      <w:lvlText w:val="•"/>
      <w:lvlJc w:val="left"/>
      <w:pPr>
        <w:ind w:left="1200" w:hanging="360"/>
      </w:pPr>
      <w:rPr>
        <w:rFonts w:hint="default"/>
      </w:rPr>
    </w:lvl>
    <w:lvl w:ilvl="3" w:tplc="11A8A082">
      <w:numFmt w:val="bullet"/>
      <w:lvlText w:val="•"/>
      <w:lvlJc w:val="left"/>
      <w:pPr>
        <w:ind w:left="2340" w:hanging="360"/>
      </w:pPr>
      <w:rPr>
        <w:rFonts w:hint="default"/>
      </w:rPr>
    </w:lvl>
    <w:lvl w:ilvl="4" w:tplc="02D4CD22">
      <w:numFmt w:val="bullet"/>
      <w:lvlText w:val="•"/>
      <w:lvlJc w:val="left"/>
      <w:pPr>
        <w:ind w:left="3480" w:hanging="360"/>
      </w:pPr>
      <w:rPr>
        <w:rFonts w:hint="default"/>
      </w:rPr>
    </w:lvl>
    <w:lvl w:ilvl="5" w:tplc="2A823A48">
      <w:numFmt w:val="bullet"/>
      <w:lvlText w:val="•"/>
      <w:lvlJc w:val="left"/>
      <w:pPr>
        <w:ind w:left="4620" w:hanging="360"/>
      </w:pPr>
      <w:rPr>
        <w:rFonts w:hint="default"/>
      </w:rPr>
    </w:lvl>
    <w:lvl w:ilvl="6" w:tplc="622E10E8">
      <w:numFmt w:val="bullet"/>
      <w:lvlText w:val="•"/>
      <w:lvlJc w:val="left"/>
      <w:pPr>
        <w:ind w:left="5760" w:hanging="360"/>
      </w:pPr>
      <w:rPr>
        <w:rFonts w:hint="default"/>
      </w:rPr>
    </w:lvl>
    <w:lvl w:ilvl="7" w:tplc="F91AE914">
      <w:numFmt w:val="bullet"/>
      <w:lvlText w:val="•"/>
      <w:lvlJc w:val="left"/>
      <w:pPr>
        <w:ind w:left="6900" w:hanging="360"/>
      </w:pPr>
      <w:rPr>
        <w:rFonts w:hint="default"/>
      </w:rPr>
    </w:lvl>
    <w:lvl w:ilvl="8" w:tplc="20E42156">
      <w:numFmt w:val="bullet"/>
      <w:lvlText w:val="•"/>
      <w:lvlJc w:val="left"/>
      <w:pPr>
        <w:ind w:left="8040" w:hanging="360"/>
      </w:pPr>
      <w:rPr>
        <w:rFonts w:hint="default"/>
      </w:rPr>
    </w:lvl>
  </w:abstractNum>
  <w:abstractNum w:abstractNumId="58" w15:restartNumberingAfterBreak="0">
    <w:nsid w:val="7F9C4C8C"/>
    <w:multiLevelType w:val="hybridMultilevel"/>
    <w:tmpl w:val="C98A5676"/>
    <w:lvl w:ilvl="0" w:tplc="6B981310">
      <w:numFmt w:val="bullet"/>
      <w:lvlText w:val=""/>
      <w:lvlJc w:val="left"/>
      <w:pPr>
        <w:ind w:left="841" w:hanging="360"/>
      </w:pPr>
      <w:rPr>
        <w:rFonts w:ascii="Symbol" w:eastAsia="Symbol" w:hAnsi="Symbol" w:cs="Symbol" w:hint="default"/>
        <w:b w:val="0"/>
        <w:bCs w:val="0"/>
        <w:i w:val="0"/>
        <w:iCs w:val="0"/>
        <w:w w:val="98"/>
        <w:sz w:val="22"/>
        <w:szCs w:val="22"/>
      </w:rPr>
    </w:lvl>
    <w:lvl w:ilvl="1" w:tplc="AB7C4C08">
      <w:numFmt w:val="bullet"/>
      <w:lvlText w:val="•"/>
      <w:lvlJc w:val="left"/>
      <w:pPr>
        <w:ind w:left="840" w:hanging="360"/>
      </w:pPr>
      <w:rPr>
        <w:rFonts w:hint="default"/>
      </w:rPr>
    </w:lvl>
    <w:lvl w:ilvl="2" w:tplc="56E05DC4">
      <w:numFmt w:val="bullet"/>
      <w:lvlText w:val="•"/>
      <w:lvlJc w:val="left"/>
      <w:pPr>
        <w:ind w:left="1893" w:hanging="360"/>
      </w:pPr>
      <w:rPr>
        <w:rFonts w:hint="default"/>
      </w:rPr>
    </w:lvl>
    <w:lvl w:ilvl="3" w:tplc="7EAA9F0A">
      <w:numFmt w:val="bullet"/>
      <w:lvlText w:val="•"/>
      <w:lvlJc w:val="left"/>
      <w:pPr>
        <w:ind w:left="2946" w:hanging="360"/>
      </w:pPr>
      <w:rPr>
        <w:rFonts w:hint="default"/>
      </w:rPr>
    </w:lvl>
    <w:lvl w:ilvl="4" w:tplc="BB0086F8">
      <w:numFmt w:val="bullet"/>
      <w:lvlText w:val="•"/>
      <w:lvlJc w:val="left"/>
      <w:pPr>
        <w:ind w:left="4000" w:hanging="360"/>
      </w:pPr>
      <w:rPr>
        <w:rFonts w:hint="default"/>
      </w:rPr>
    </w:lvl>
    <w:lvl w:ilvl="5" w:tplc="82B85546">
      <w:numFmt w:val="bullet"/>
      <w:lvlText w:val="•"/>
      <w:lvlJc w:val="left"/>
      <w:pPr>
        <w:ind w:left="5053" w:hanging="360"/>
      </w:pPr>
      <w:rPr>
        <w:rFonts w:hint="default"/>
      </w:rPr>
    </w:lvl>
    <w:lvl w:ilvl="6" w:tplc="F78AFCF8">
      <w:numFmt w:val="bullet"/>
      <w:lvlText w:val="•"/>
      <w:lvlJc w:val="left"/>
      <w:pPr>
        <w:ind w:left="6106" w:hanging="360"/>
      </w:pPr>
      <w:rPr>
        <w:rFonts w:hint="default"/>
      </w:rPr>
    </w:lvl>
    <w:lvl w:ilvl="7" w:tplc="5CA0D342">
      <w:numFmt w:val="bullet"/>
      <w:lvlText w:val="•"/>
      <w:lvlJc w:val="left"/>
      <w:pPr>
        <w:ind w:left="7160" w:hanging="360"/>
      </w:pPr>
      <w:rPr>
        <w:rFonts w:hint="default"/>
      </w:rPr>
    </w:lvl>
    <w:lvl w:ilvl="8" w:tplc="3A065330">
      <w:numFmt w:val="bullet"/>
      <w:lvlText w:val="•"/>
      <w:lvlJc w:val="left"/>
      <w:pPr>
        <w:ind w:left="8213" w:hanging="360"/>
      </w:pPr>
      <w:rPr>
        <w:rFonts w:hint="default"/>
      </w:rPr>
    </w:lvl>
  </w:abstractNum>
  <w:num w:numId="1">
    <w:abstractNumId w:val="26"/>
  </w:num>
  <w:num w:numId="2">
    <w:abstractNumId w:val="33"/>
  </w:num>
  <w:num w:numId="3">
    <w:abstractNumId w:val="23"/>
  </w:num>
  <w:num w:numId="4">
    <w:abstractNumId w:val="24"/>
  </w:num>
  <w:num w:numId="5">
    <w:abstractNumId w:val="16"/>
  </w:num>
  <w:num w:numId="6">
    <w:abstractNumId w:val="21"/>
  </w:num>
  <w:num w:numId="7">
    <w:abstractNumId w:val="18"/>
  </w:num>
  <w:num w:numId="8">
    <w:abstractNumId w:val="38"/>
  </w:num>
  <w:num w:numId="9">
    <w:abstractNumId w:val="1"/>
  </w:num>
  <w:num w:numId="10">
    <w:abstractNumId w:val="32"/>
  </w:num>
  <w:num w:numId="11">
    <w:abstractNumId w:val="55"/>
  </w:num>
  <w:num w:numId="12">
    <w:abstractNumId w:val="30"/>
  </w:num>
  <w:num w:numId="13">
    <w:abstractNumId w:val="31"/>
  </w:num>
  <w:num w:numId="14">
    <w:abstractNumId w:val="12"/>
  </w:num>
  <w:num w:numId="15">
    <w:abstractNumId w:val="42"/>
  </w:num>
  <w:num w:numId="16">
    <w:abstractNumId w:val="51"/>
  </w:num>
  <w:num w:numId="17">
    <w:abstractNumId w:val="40"/>
  </w:num>
  <w:num w:numId="18">
    <w:abstractNumId w:val="4"/>
  </w:num>
  <w:num w:numId="19">
    <w:abstractNumId w:val="45"/>
  </w:num>
  <w:num w:numId="20">
    <w:abstractNumId w:val="37"/>
  </w:num>
  <w:num w:numId="21">
    <w:abstractNumId w:val="47"/>
  </w:num>
  <w:num w:numId="22">
    <w:abstractNumId w:val="36"/>
  </w:num>
  <w:num w:numId="23">
    <w:abstractNumId w:val="17"/>
  </w:num>
  <w:num w:numId="24">
    <w:abstractNumId w:val="29"/>
  </w:num>
  <w:num w:numId="25">
    <w:abstractNumId w:val="43"/>
  </w:num>
  <w:num w:numId="26">
    <w:abstractNumId w:val="53"/>
  </w:num>
  <w:num w:numId="27">
    <w:abstractNumId w:val="34"/>
  </w:num>
  <w:num w:numId="28">
    <w:abstractNumId w:val="10"/>
  </w:num>
  <w:num w:numId="29">
    <w:abstractNumId w:val="15"/>
  </w:num>
  <w:num w:numId="30">
    <w:abstractNumId w:val="54"/>
  </w:num>
  <w:num w:numId="31">
    <w:abstractNumId w:val="48"/>
  </w:num>
  <w:num w:numId="32">
    <w:abstractNumId w:val="49"/>
  </w:num>
  <w:num w:numId="33">
    <w:abstractNumId w:val="9"/>
  </w:num>
  <w:num w:numId="34">
    <w:abstractNumId w:val="58"/>
  </w:num>
  <w:num w:numId="35">
    <w:abstractNumId w:val="44"/>
  </w:num>
  <w:num w:numId="36">
    <w:abstractNumId w:val="46"/>
  </w:num>
  <w:num w:numId="37">
    <w:abstractNumId w:val="0"/>
  </w:num>
  <w:num w:numId="38">
    <w:abstractNumId w:val="39"/>
  </w:num>
  <w:num w:numId="39">
    <w:abstractNumId w:val="2"/>
  </w:num>
  <w:num w:numId="40">
    <w:abstractNumId w:val="50"/>
  </w:num>
  <w:num w:numId="41">
    <w:abstractNumId w:val="8"/>
  </w:num>
  <w:num w:numId="42">
    <w:abstractNumId w:val="13"/>
  </w:num>
  <w:num w:numId="43">
    <w:abstractNumId w:val="52"/>
  </w:num>
  <w:num w:numId="44">
    <w:abstractNumId w:val="7"/>
  </w:num>
  <w:num w:numId="45">
    <w:abstractNumId w:val="14"/>
  </w:num>
  <w:num w:numId="46">
    <w:abstractNumId w:val="35"/>
  </w:num>
  <w:num w:numId="47">
    <w:abstractNumId w:val="22"/>
  </w:num>
  <w:num w:numId="48">
    <w:abstractNumId w:val="3"/>
  </w:num>
  <w:num w:numId="49">
    <w:abstractNumId w:val="56"/>
  </w:num>
  <w:num w:numId="50">
    <w:abstractNumId w:val="20"/>
  </w:num>
  <w:num w:numId="51">
    <w:abstractNumId w:val="57"/>
  </w:num>
  <w:num w:numId="52">
    <w:abstractNumId w:val="19"/>
  </w:num>
  <w:num w:numId="53">
    <w:abstractNumId w:val="28"/>
  </w:num>
  <w:num w:numId="54">
    <w:abstractNumId w:val="11"/>
  </w:num>
  <w:num w:numId="55">
    <w:abstractNumId w:val="25"/>
  </w:num>
  <w:num w:numId="56">
    <w:abstractNumId w:val="6"/>
  </w:num>
  <w:num w:numId="57">
    <w:abstractNumId w:val="5"/>
  </w:num>
  <w:num w:numId="58">
    <w:abstractNumId w:val="27"/>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s-US" w:vendorID="64" w:dllVersion="131078"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15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76E6D"/>
    <w:rsid w:val="00913831"/>
    <w:rsid w:val="00AB50BD"/>
    <w:rsid w:val="00C76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9"/>
    <o:shapelayout v:ext="edit">
      <o:idmap v:ext="edit" data="1"/>
    </o:shapelayout>
  </w:shapeDefaults>
  <w:decimalSymbol w:val="."/>
  <w:listSeparator w:val=","/>
  <w14:docId w14:val="260F2884"/>
  <w15:docId w15:val="{B84A6F1D-591E-4B23-B84B-F6942CCDC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76"/>
      <w:ind w:left="480"/>
      <w:jc w:val="both"/>
      <w:outlineLvl w:val="0"/>
    </w:pPr>
    <w:rPr>
      <w:b/>
      <w:bCs/>
      <w:sz w:val="32"/>
      <w:szCs w:val="32"/>
    </w:rPr>
  </w:style>
  <w:style w:type="paragraph" w:styleId="Heading2">
    <w:name w:val="heading 2"/>
    <w:basedOn w:val="Normal"/>
    <w:uiPriority w:val="1"/>
    <w:qFormat/>
    <w:pPr>
      <w:spacing w:before="36"/>
      <w:ind w:left="338"/>
      <w:outlineLvl w:val="1"/>
    </w:pPr>
    <w:rPr>
      <w:b/>
      <w:bCs/>
      <w:sz w:val="32"/>
      <w:szCs w:val="32"/>
    </w:rPr>
  </w:style>
  <w:style w:type="paragraph" w:styleId="Heading3">
    <w:name w:val="heading 3"/>
    <w:basedOn w:val="Normal"/>
    <w:uiPriority w:val="1"/>
    <w:qFormat/>
    <w:pPr>
      <w:spacing w:before="43"/>
      <w:ind w:left="338"/>
      <w:outlineLvl w:val="2"/>
    </w:pPr>
    <w:rPr>
      <w:b/>
      <w:bCs/>
      <w:sz w:val="28"/>
      <w:szCs w:val="28"/>
    </w:rPr>
  </w:style>
  <w:style w:type="paragraph" w:styleId="Heading4">
    <w:name w:val="heading 4"/>
    <w:basedOn w:val="Normal"/>
    <w:uiPriority w:val="1"/>
    <w:qFormat/>
    <w:pPr>
      <w:ind w:left="3683" w:right="3683"/>
      <w:jc w:val="center"/>
      <w:outlineLvl w:val="3"/>
    </w:pPr>
    <w:rPr>
      <w:b/>
      <w:bCs/>
      <w:sz w:val="24"/>
      <w:szCs w:val="24"/>
    </w:rPr>
  </w:style>
  <w:style w:type="paragraph" w:styleId="Heading5">
    <w:name w:val="heading 5"/>
    <w:basedOn w:val="Normal"/>
    <w:uiPriority w:val="1"/>
    <w:qFormat/>
    <w:pPr>
      <w:ind w:left="338"/>
      <w:outlineLvl w:val="4"/>
    </w:pPr>
    <w:rPr>
      <w:b/>
      <w:bCs/>
      <w:sz w:val="24"/>
      <w:szCs w:val="24"/>
    </w:rPr>
  </w:style>
  <w:style w:type="paragraph" w:styleId="Heading6">
    <w:name w:val="heading 6"/>
    <w:basedOn w:val="Normal"/>
    <w:uiPriority w:val="1"/>
    <w:qFormat/>
    <w:pPr>
      <w:ind w:left="698"/>
      <w:outlineLvl w:val="5"/>
    </w:pPr>
    <w:rPr>
      <w:b/>
      <w:bCs/>
    </w:rPr>
  </w:style>
  <w:style w:type="paragraph" w:styleId="Heading7">
    <w:name w:val="heading 7"/>
    <w:basedOn w:val="Normal"/>
    <w:uiPriority w:val="1"/>
    <w:qFormat/>
    <w:pPr>
      <w:ind w:left="1011"/>
      <w:outlineLvl w:val="6"/>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39"/>
      <w:ind w:left="825" w:hanging="360"/>
    </w:pPr>
    <w:rPr>
      <w:b/>
      <w:bCs/>
      <w:sz w:val="28"/>
      <w:szCs w:val="28"/>
    </w:rPr>
  </w:style>
  <w:style w:type="paragraph" w:styleId="TOC2">
    <w:name w:val="toc 2"/>
    <w:basedOn w:val="Normal"/>
    <w:uiPriority w:val="1"/>
    <w:qFormat/>
    <w:pPr>
      <w:spacing w:before="164"/>
      <w:ind w:left="480"/>
    </w:pPr>
    <w:rPr>
      <w:sz w:val="24"/>
      <w:szCs w:val="24"/>
    </w:rPr>
  </w:style>
  <w:style w:type="paragraph" w:styleId="TOC3">
    <w:name w:val="toc 3"/>
    <w:basedOn w:val="Normal"/>
    <w:uiPriority w:val="1"/>
    <w:qFormat/>
    <w:pPr>
      <w:spacing w:before="164"/>
      <w:ind w:left="631"/>
    </w:pPr>
    <w:rPr>
      <w:b/>
      <w:bCs/>
      <w:sz w:val="24"/>
      <w:szCs w:val="24"/>
    </w:rPr>
  </w:style>
  <w:style w:type="paragraph" w:styleId="TOC4">
    <w:name w:val="toc 4"/>
    <w:basedOn w:val="Normal"/>
    <w:uiPriority w:val="1"/>
    <w:qFormat/>
    <w:pPr>
      <w:spacing w:before="163"/>
      <w:ind w:left="979" w:hanging="327"/>
    </w:pPr>
    <w:rPr>
      <w:b/>
      <w:bCs/>
      <w:sz w:val="24"/>
      <w:szCs w:val="24"/>
    </w:rPr>
  </w:style>
  <w:style w:type="paragraph" w:styleId="TOC5">
    <w:name w:val="toc 5"/>
    <w:basedOn w:val="Normal"/>
    <w:uiPriority w:val="1"/>
    <w:qFormat/>
    <w:pPr>
      <w:spacing w:before="163"/>
      <w:ind w:left="1006"/>
    </w:pPr>
    <w:rPr>
      <w:sz w:val="24"/>
      <w:szCs w:val="24"/>
    </w:rPr>
  </w:style>
  <w:style w:type="paragraph" w:styleId="TOC6">
    <w:name w:val="toc 6"/>
    <w:basedOn w:val="Normal"/>
    <w:uiPriority w:val="1"/>
    <w:qFormat/>
    <w:pPr>
      <w:spacing w:before="43"/>
      <w:ind w:left="1376" w:hanging="363"/>
    </w:pPr>
    <w:rPr>
      <w:i/>
      <w:iCs/>
      <w:sz w:val="24"/>
      <w:szCs w:val="24"/>
    </w:rPr>
  </w:style>
  <w:style w:type="paragraph" w:styleId="TOC7">
    <w:name w:val="toc 7"/>
    <w:basedOn w:val="Normal"/>
    <w:uiPriority w:val="1"/>
    <w:qFormat/>
    <w:pPr>
      <w:spacing w:before="163"/>
      <w:ind w:left="1027"/>
    </w:pPr>
    <w:rPr>
      <w:sz w:val="24"/>
      <w:szCs w:val="24"/>
    </w:rPr>
  </w:style>
  <w:style w:type="paragraph" w:styleId="TOC8">
    <w:name w:val="toc 8"/>
    <w:basedOn w:val="Normal"/>
    <w:uiPriority w:val="1"/>
    <w:qFormat/>
    <w:pPr>
      <w:spacing w:before="43"/>
      <w:ind w:left="1388" w:hanging="363"/>
    </w:pPr>
    <w:rPr>
      <w:i/>
      <w:iCs/>
      <w:sz w:val="24"/>
      <w:szCs w:val="24"/>
    </w:rPr>
  </w:style>
  <w:style w:type="paragraph" w:styleId="BodyText">
    <w:name w:val="Body Text"/>
    <w:basedOn w:val="Normal"/>
    <w:uiPriority w:val="1"/>
    <w:qFormat/>
  </w:style>
  <w:style w:type="paragraph" w:styleId="Title">
    <w:name w:val="Title"/>
    <w:basedOn w:val="Normal"/>
    <w:uiPriority w:val="1"/>
    <w:qFormat/>
    <w:pPr>
      <w:ind w:left="1256" w:right="1378"/>
      <w:jc w:val="center"/>
    </w:pPr>
    <w:rPr>
      <w:rFonts w:ascii="Times New Roman" w:eastAsia="Times New Roman" w:hAnsi="Times New Roman" w:cs="Times New Roman"/>
      <w:b/>
      <w:bCs/>
      <w:sz w:val="48"/>
      <w:szCs w:val="48"/>
    </w:rPr>
  </w:style>
  <w:style w:type="paragraph" w:styleId="ListParagraph">
    <w:name w:val="List Paragraph"/>
    <w:basedOn w:val="Normal"/>
    <w:uiPriority w:val="1"/>
    <w:qFormat/>
    <w:pPr>
      <w:ind w:left="698" w:hanging="36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3.xml"/><Relationship Id="rId299" Type="http://schemas.openxmlformats.org/officeDocument/2006/relationships/hyperlink" Target="http://www.glsen.org/sites/default/files/2021-01/Massachusetts-Snapshot-2019_1.pdf" TargetMode="External"/><Relationship Id="rId21" Type="http://schemas.openxmlformats.org/officeDocument/2006/relationships/footer" Target="footer1.xml"/><Relationship Id="rId63" Type="http://schemas.openxmlformats.org/officeDocument/2006/relationships/image" Target="media/image34.png"/><Relationship Id="rId159" Type="http://schemas.openxmlformats.org/officeDocument/2006/relationships/image" Target="media/image90.jpeg"/><Relationship Id="rId324" Type="http://schemas.openxmlformats.org/officeDocument/2006/relationships/hyperlink" Target="http://www.cdc.gov/hiv/group/age/youth/index.html" TargetMode="External"/><Relationship Id="rId366" Type="http://schemas.openxmlformats.org/officeDocument/2006/relationships/hyperlink" Target="http://www.bagly.org/therapy" TargetMode="External"/><Relationship Id="rId170" Type="http://schemas.openxmlformats.org/officeDocument/2006/relationships/hyperlink" Target="https://www.bostonglobe.com/2022/03/31/metro/we-cant-be-erased-so-stop-trying-transgender-day-visibility-event-offers-love-reassurance/" TargetMode="External"/><Relationship Id="rId226" Type="http://schemas.openxmlformats.org/officeDocument/2006/relationships/hyperlink" Target="https://doi.org/10.7326/0003-4819-139-11-200312020-00009" TargetMode="External"/><Relationship Id="rId433" Type="http://schemas.openxmlformats.org/officeDocument/2006/relationships/hyperlink" Target="http://www.mass.gov/guides/masshealth-guidelines-for-" TargetMode="External"/><Relationship Id="rId268" Type="http://schemas.openxmlformats.org/officeDocument/2006/relationships/hyperlink" Target="https://malegislature.gov/Laws/SessionLaws/Acts/2022/Chapter44" TargetMode="External"/><Relationship Id="rId475" Type="http://schemas.openxmlformats.org/officeDocument/2006/relationships/header" Target="header40.xml"/><Relationship Id="rId32" Type="http://schemas.openxmlformats.org/officeDocument/2006/relationships/image" Target="media/image5.png"/><Relationship Id="rId74" Type="http://schemas.openxmlformats.org/officeDocument/2006/relationships/image" Target="media/image45.png"/><Relationship Id="rId128" Type="http://schemas.openxmlformats.org/officeDocument/2006/relationships/hyperlink" Target="http://www.cdc.gov/coronavirus/2019-ncov/need-extra-precautions/index.html?CDC_AA_refVal=https%3A//" TargetMode="External"/><Relationship Id="rId335" Type="http://schemas.openxmlformats.org/officeDocument/2006/relationships/hyperlink" Target="http://www.thetrevorproject.org/survey-2022/" TargetMode="External"/><Relationship Id="rId377" Type="http://schemas.openxmlformats.org/officeDocument/2006/relationships/header" Target="header18.xml"/><Relationship Id="rId5" Type="http://schemas.openxmlformats.org/officeDocument/2006/relationships/footnotes" Target="footnotes.xml"/><Relationship Id="rId181" Type="http://schemas.openxmlformats.org/officeDocument/2006/relationships/hyperlink" Target="http://pflag.org/" TargetMode="External"/><Relationship Id="rId237" Type="http://schemas.openxmlformats.org/officeDocument/2006/relationships/hyperlink" Target="http://www.mass.gov/files/documents/2018/05/01/Massachusetts%20State%20Plan%20to%20End%20Youth%252" TargetMode="External"/><Relationship Id="rId402" Type="http://schemas.openxmlformats.org/officeDocument/2006/relationships/hyperlink" Target="https://www.mass.gov/doc/area-profile-fy2022-q2/download" TargetMode="External"/><Relationship Id="rId279" Type="http://schemas.openxmlformats.org/officeDocument/2006/relationships/footer" Target="footer8.xml"/><Relationship Id="rId444" Type="http://schemas.openxmlformats.org/officeDocument/2006/relationships/hyperlink" Target="http://www.lgbtmap.org/file/paying-an-unfair-price-" TargetMode="External"/><Relationship Id="rId43" Type="http://schemas.openxmlformats.org/officeDocument/2006/relationships/image" Target="media/image14.png"/><Relationship Id="rId139" Type="http://schemas.openxmlformats.org/officeDocument/2006/relationships/hyperlink" Target="http://www.lgbtmap.org/file/lgbtq-incarcerated-youth.pdf" TargetMode="External"/><Relationship Id="rId290" Type="http://schemas.openxmlformats.org/officeDocument/2006/relationships/hyperlink" Target="http://www.issuelab.org/resources/23129/23129.pdf" TargetMode="External"/><Relationship Id="rId304" Type="http://schemas.openxmlformats.org/officeDocument/2006/relationships/hyperlink" Target="http://www.lambdalegal.org/node/30521" TargetMode="External"/><Relationship Id="rId346" Type="http://schemas.openxmlformats.org/officeDocument/2006/relationships/hyperlink" Target="http://www.glad.org/" TargetMode="External"/><Relationship Id="rId388" Type="http://schemas.openxmlformats.org/officeDocument/2006/relationships/footer" Target="footer16.xml"/><Relationship Id="rId85" Type="http://schemas.openxmlformats.org/officeDocument/2006/relationships/image" Target="media/image56.png"/><Relationship Id="rId150" Type="http://schemas.openxmlformats.org/officeDocument/2006/relationships/image" Target="media/image82.jpeg"/><Relationship Id="rId192" Type="http://schemas.openxmlformats.org/officeDocument/2006/relationships/hyperlink" Target="http://www.doe.mass.edu/sfs/lgbtq/genderidentity.html" TargetMode="External"/><Relationship Id="rId206" Type="http://schemas.openxmlformats.org/officeDocument/2006/relationships/hyperlink" Target="https://cdn.americanprogress.org/wp-content/uploads/2015/10/01071118/IDhomelessLGBT.pdf" TargetMode="External"/><Relationship Id="rId413" Type="http://schemas.openxmlformats.org/officeDocument/2006/relationships/header" Target="header25.xml"/><Relationship Id="rId248" Type="http://schemas.openxmlformats.org/officeDocument/2006/relationships/hyperlink" Target="http://www.lambdalegal.org/sites/default/files/publications/downloads/bkl_national-recommended-best-" TargetMode="External"/><Relationship Id="rId455" Type="http://schemas.openxmlformats.org/officeDocument/2006/relationships/footer" Target="footer32.xml"/><Relationship Id="rId12" Type="http://schemas.openxmlformats.org/officeDocument/2006/relationships/header" Target="header1.xml"/><Relationship Id="rId108" Type="http://schemas.openxmlformats.org/officeDocument/2006/relationships/image" Target="media/image79.png"/><Relationship Id="rId315" Type="http://schemas.openxmlformats.org/officeDocument/2006/relationships/hyperlink" Target="http://www.nclrights.org/wp-" TargetMode="External"/><Relationship Id="rId357" Type="http://schemas.openxmlformats.org/officeDocument/2006/relationships/hyperlink" Target="http://www.hklaw.com/en/insights/publications/2021/01/massachusetts-enacts-landmark-campus-sexual-" TargetMode="External"/><Relationship Id="rId54" Type="http://schemas.openxmlformats.org/officeDocument/2006/relationships/image" Target="media/image25.png"/><Relationship Id="rId96" Type="http://schemas.openxmlformats.org/officeDocument/2006/relationships/image" Target="media/image67.png"/><Relationship Id="rId161" Type="http://schemas.openxmlformats.org/officeDocument/2006/relationships/header" Target="header8.xml"/><Relationship Id="rId217" Type="http://schemas.openxmlformats.org/officeDocument/2006/relationships/hyperlink" Target="http://www.thetrevorproject.org/blog/implications-of-covid-19-for-lgbtq-youth-mental-" TargetMode="External"/><Relationship Id="rId399" Type="http://schemas.openxmlformats.org/officeDocument/2006/relationships/hyperlink" Target="http://www.mass.gov/doc/dcf-annual-reportfy2021/download" TargetMode="External"/><Relationship Id="rId259" Type="http://schemas.openxmlformats.org/officeDocument/2006/relationships/hyperlink" Target="https://budget.digital.mass.gov/summary/fy22/line-item/" TargetMode="External"/><Relationship Id="rId424" Type="http://schemas.openxmlformats.org/officeDocument/2006/relationships/hyperlink" Target="http://www.cdc.gov/HealthyYouth/yrbs/index.htm" TargetMode="External"/><Relationship Id="rId466" Type="http://schemas.openxmlformats.org/officeDocument/2006/relationships/footer" Target="footer34.xml"/><Relationship Id="rId23" Type="http://schemas.openxmlformats.org/officeDocument/2006/relationships/hyperlink" Target="https://www.doe.mass.edu/sfs/lgbtq/genderidentity.html" TargetMode="External"/><Relationship Id="rId119" Type="http://schemas.openxmlformats.org/officeDocument/2006/relationships/hyperlink" Target="http://www.cigna.com/individuals-families/health-" TargetMode="External"/><Relationship Id="rId270" Type="http://schemas.openxmlformats.org/officeDocument/2006/relationships/hyperlink" Target="http://www.state.gov/proposing-changes-to-the-departments-policies-on-gender-on-u-s-passports-and-consular-reports-of-birth-abroad/" TargetMode="External"/><Relationship Id="rId326" Type="http://schemas.openxmlformats.org/officeDocument/2006/relationships/hyperlink" Target="http://www.mass.gov/doc/2019-" TargetMode="External"/><Relationship Id="rId65" Type="http://schemas.openxmlformats.org/officeDocument/2006/relationships/image" Target="media/image36.png"/><Relationship Id="rId130" Type="http://schemas.openxmlformats.org/officeDocument/2006/relationships/hyperlink" Target="http://www.homesforallmass.org/covid-evictions-report/hfamass-covid-evictions-report-short-03-22-screen-" TargetMode="External"/><Relationship Id="rId368" Type="http://schemas.openxmlformats.org/officeDocument/2006/relationships/hyperlink" Target="http://www.hrc.org/resources/sexual-assault-and-the-lgbt-community" TargetMode="External"/><Relationship Id="rId172" Type="http://schemas.openxmlformats.org/officeDocument/2006/relationships/hyperlink" Target="https://www.bostonglobe.com/2022/03/11/metro/massachusetts-students-plan-walkout-protest-anti-queer-legislation-florida-texas/" TargetMode="External"/><Relationship Id="rId228" Type="http://schemas.openxmlformats.org/officeDocument/2006/relationships/hyperlink" Target="https://doi.org/10.1002/jcop.21580" TargetMode="External"/><Relationship Id="rId435" Type="http://schemas.openxmlformats.org/officeDocument/2006/relationships/header" Target="header31.xml"/><Relationship Id="rId477" Type="http://schemas.openxmlformats.org/officeDocument/2006/relationships/fontTable" Target="fontTable.xml"/><Relationship Id="rId13" Type="http://schemas.openxmlformats.org/officeDocument/2006/relationships/header" Target="header2.xml"/><Relationship Id="rId109" Type="http://schemas.openxmlformats.org/officeDocument/2006/relationships/image" Target="media/image80.png"/><Relationship Id="rId260" Type="http://schemas.openxmlformats.org/officeDocument/2006/relationships/hyperlink" Target="https://docs.google.com/document/d/194B6nqBXjRlp5OqUDhUf_Mkul1QMA57aXx0xT1NWXGo/edit" TargetMode="External"/><Relationship Id="rId281" Type="http://schemas.openxmlformats.org/officeDocument/2006/relationships/hyperlink" Target="http://www.lgbtmap.org/file/lgbtq-incarcerated-youth.pdf" TargetMode="External"/><Relationship Id="rId316" Type="http://schemas.openxmlformats.org/officeDocument/2006/relationships/hyperlink" Target="http://www.wbur.org/news/2020/12/01/massachusetts-police-reform-legislation-explainer" TargetMode="External"/><Relationship Id="rId337" Type="http://schemas.openxmlformats.org/officeDocument/2006/relationships/footer" Target="footer11.xml"/><Relationship Id="rId34" Type="http://schemas.openxmlformats.org/officeDocument/2006/relationships/image" Target="media/image7.png"/><Relationship Id="rId55" Type="http://schemas.openxmlformats.org/officeDocument/2006/relationships/image" Target="media/image26.png"/><Relationship Id="rId76" Type="http://schemas.openxmlformats.org/officeDocument/2006/relationships/image" Target="media/image47.png"/><Relationship Id="rId97" Type="http://schemas.openxmlformats.org/officeDocument/2006/relationships/image" Target="media/image68.png"/><Relationship Id="rId120" Type="http://schemas.openxmlformats.org/officeDocument/2006/relationships/hyperlink" Target="http://www.nbcnews.com/feature/nbc-out/transgender-students-face-higher-rates-substance-abuse-" TargetMode="External"/><Relationship Id="rId141" Type="http://schemas.openxmlformats.org/officeDocument/2006/relationships/hyperlink" Target="http://www/" TargetMode="External"/><Relationship Id="rId358" Type="http://schemas.openxmlformats.org/officeDocument/2006/relationships/hyperlink" Target="http://endsexualviolence.rutgers.edu/prevention-and-education/lgbt" TargetMode="External"/><Relationship Id="rId379" Type="http://schemas.openxmlformats.org/officeDocument/2006/relationships/hyperlink" Target="https://www.doe.mass.edu/news/news.aspx?id=26699" TargetMode="External"/><Relationship Id="rId7" Type="http://schemas.openxmlformats.org/officeDocument/2006/relationships/image" Target="media/image1.png"/><Relationship Id="rId162" Type="http://schemas.openxmlformats.org/officeDocument/2006/relationships/footer" Target="footer5.xml"/><Relationship Id="rId183" Type="http://schemas.openxmlformats.org/officeDocument/2006/relationships/hyperlink" Target="https://www.bagly.org/the-agly-network" TargetMode="External"/><Relationship Id="rId218" Type="http://schemas.openxmlformats.org/officeDocument/2006/relationships/hyperlink" Target="https://time.com/6051948/educating-white-people-anti-asian-racism/" TargetMode="External"/><Relationship Id="rId239" Type="http://schemas.openxmlformats.org/officeDocument/2006/relationships/hyperlink" Target="https://williamsinstitute.law.ucla.edu/wp-content/uploads/LAFYS_report_final-aug-2014.pdf" TargetMode="External"/><Relationship Id="rId390" Type="http://schemas.openxmlformats.org/officeDocument/2006/relationships/hyperlink" Target="http://www.thetaskforce.org/" TargetMode="External"/><Relationship Id="rId404" Type="http://schemas.openxmlformats.org/officeDocument/2006/relationships/footer" Target="footer19.xml"/><Relationship Id="rId425" Type="http://schemas.openxmlformats.org/officeDocument/2006/relationships/hyperlink" Target="http://www.mass.gov/hiv-pre-exposure-prophylaxis-prep/locations?_page=1" TargetMode="External"/><Relationship Id="rId446" Type="http://schemas.openxmlformats.org/officeDocument/2006/relationships/header" Target="header33.xml"/><Relationship Id="rId467" Type="http://schemas.openxmlformats.org/officeDocument/2006/relationships/hyperlink" Target="http://www.mass.gov/doc/2019-massachusetts-" TargetMode="External"/><Relationship Id="rId250" Type="http://schemas.openxmlformats.org/officeDocument/2006/relationships/hyperlink" Target="http://www.mass.gov/doc/massachusetts-state-plan-to-end-youth-homelessness/download" TargetMode="External"/><Relationship Id="rId271" Type="http://schemas.openxmlformats.org/officeDocument/2006/relationships/hyperlink" Target="http://www.state.gov/proposing-changes-to-the-departments-policies-on-gender-on-u-s-passports-and-consular-reports-of-birth-abroad/" TargetMode="External"/><Relationship Id="rId292" Type="http://schemas.openxmlformats.org/officeDocument/2006/relationships/hyperlink" Target="http://avp.org/wp-" TargetMode="External"/><Relationship Id="rId306" Type="http://schemas.openxmlformats.org/officeDocument/2006/relationships/hyperlink" Target="http://www.glapn.org/sodomylaws/sensibilities/massachusetts.htm" TargetMode="External"/><Relationship Id="rId24" Type="http://schemas.openxmlformats.org/officeDocument/2006/relationships/hyperlink" Target="https://www.doe.mass.edu/sfs/lgbtq/genderidentity.html" TargetMode="External"/><Relationship Id="rId45" Type="http://schemas.openxmlformats.org/officeDocument/2006/relationships/image" Target="media/image16.png"/><Relationship Id="rId66" Type="http://schemas.openxmlformats.org/officeDocument/2006/relationships/image" Target="media/image37.png"/><Relationship Id="rId87" Type="http://schemas.openxmlformats.org/officeDocument/2006/relationships/image" Target="media/image58.png"/><Relationship Id="rId110" Type="http://schemas.openxmlformats.org/officeDocument/2006/relationships/image" Target="media/image81.png"/><Relationship Id="rId131" Type="http://schemas.openxmlformats.org/officeDocument/2006/relationships/hyperlink" Target="http://www.mass.gov/info-details/ma-regional-covid-19winter-emergency-bed-access-for-youth-young-adults" TargetMode="External"/><Relationship Id="rId327" Type="http://schemas.openxmlformats.org/officeDocument/2006/relationships/hyperlink" Target="http://www.cdc.gov/hiv/basics/prep/prep-effectiveness.html" TargetMode="External"/><Relationship Id="rId348" Type="http://schemas.openxmlformats.org/officeDocument/2006/relationships/hyperlink" Target="http://www.hrc.org/resources/sexual-assault-and-the-lgbt-community" TargetMode="External"/><Relationship Id="rId369" Type="http://schemas.openxmlformats.org/officeDocument/2006/relationships/header" Target="header17.xml"/><Relationship Id="rId152" Type="http://schemas.openxmlformats.org/officeDocument/2006/relationships/image" Target="media/image84.jpeg"/><Relationship Id="rId173" Type="http://schemas.openxmlformats.org/officeDocument/2006/relationships/hyperlink" Target="https://www.bostonglobe.com/2022/03/11/metro/massachusetts-students-plan-walkout-protest-anti-queer-legislation-florida-texas/" TargetMode="External"/><Relationship Id="rId194" Type="http://schemas.openxmlformats.org/officeDocument/2006/relationships/hyperlink" Target="http://www.doe.mass.edu/lawsregs/603cmr23.html" TargetMode="External"/><Relationship Id="rId208" Type="http://schemas.openxmlformats.org/officeDocument/2006/relationships/hyperlink" Target="https://www.americanbar.org/groups/litigation/committees/childrens-rights/articles/2017/fall2017-proving-i-exist-strategies-assessting-youth-obtaining-id-docs/" TargetMode="External"/><Relationship Id="rId229" Type="http://schemas.openxmlformats.org/officeDocument/2006/relationships/hyperlink" Target="https://nihcm.org/publications/foster-care-lgbtq-youth-increased-suicide" TargetMode="External"/><Relationship Id="rId380" Type="http://schemas.openxmlformats.org/officeDocument/2006/relationships/hyperlink" Target="https://www.doe.mass.edu/news/news.aspx?id=26699" TargetMode="External"/><Relationship Id="rId415" Type="http://schemas.openxmlformats.org/officeDocument/2006/relationships/hyperlink" Target="http://doi.org/10.2105/AJPH.2011.300379" TargetMode="External"/><Relationship Id="rId436" Type="http://schemas.openxmlformats.org/officeDocument/2006/relationships/footer" Target="footer28.xml"/><Relationship Id="rId457" Type="http://schemas.openxmlformats.org/officeDocument/2006/relationships/hyperlink" Target="http://www.usich.gov/news/enhancing-access-to-legal-" TargetMode="External"/><Relationship Id="rId240" Type="http://schemas.openxmlformats.org/officeDocument/2006/relationships/hyperlink" Target="http://www.safeschoolscoalition.org/LGBTQhomelessFactSheetbyNAEH.pdf" TargetMode="External"/><Relationship Id="rId261" Type="http://schemas.openxmlformats.org/officeDocument/2006/relationships/hyperlink" Target="https://bostonrealestatetimes.com/hud-awards-25-8-million-to-massachusetts-public-housing-authorities-to-help-keep-residents-housed/" TargetMode="External"/><Relationship Id="rId478" Type="http://schemas.openxmlformats.org/officeDocument/2006/relationships/theme" Target="theme/theme1.xml"/><Relationship Id="rId14" Type="http://schemas.openxmlformats.org/officeDocument/2006/relationships/image" Target="media/image3.png"/><Relationship Id="rId35" Type="http://schemas.openxmlformats.org/officeDocument/2006/relationships/image" Target="media/image8.png"/><Relationship Id="rId56" Type="http://schemas.openxmlformats.org/officeDocument/2006/relationships/image" Target="media/image27.png"/><Relationship Id="rId77" Type="http://schemas.openxmlformats.org/officeDocument/2006/relationships/image" Target="media/image48.png"/><Relationship Id="rId100" Type="http://schemas.openxmlformats.org/officeDocument/2006/relationships/image" Target="media/image71.png"/><Relationship Id="rId282" Type="http://schemas.openxmlformats.org/officeDocument/2006/relationships/hyperlink" Target="http://www.lambdalegal.org/node/30521" TargetMode="External"/><Relationship Id="rId317" Type="http://schemas.openxmlformats.org/officeDocument/2006/relationships/header" Target="header12.xml"/><Relationship Id="rId338" Type="http://schemas.openxmlformats.org/officeDocument/2006/relationships/hyperlink" Target="http://www.lambdalegal.org/sites/default/files/publications/downloads/fs_20160525_transgender-affirming-" TargetMode="External"/><Relationship Id="rId359" Type="http://schemas.openxmlformats.org/officeDocument/2006/relationships/hyperlink" Target="http://www.senatorcyr.com/senate_passes_sweeping_criminal_justice_reform_bill" TargetMode="External"/><Relationship Id="rId8" Type="http://schemas.openxmlformats.org/officeDocument/2006/relationships/image" Target="media/image2.png"/><Relationship Id="rId98" Type="http://schemas.openxmlformats.org/officeDocument/2006/relationships/image" Target="media/image69.png"/><Relationship Id="rId121" Type="http://schemas.openxmlformats.org/officeDocument/2006/relationships/hyperlink" Target="http://www.cigna.com/individuals-families/health-" TargetMode="External"/><Relationship Id="rId142" Type="http://schemas.openxmlformats.org/officeDocument/2006/relationships/hyperlink" Target="http://www.publicnewsservice.org/2020-04-30/juvenile-justice/ma-youth-" TargetMode="External"/><Relationship Id="rId163" Type="http://schemas.openxmlformats.org/officeDocument/2006/relationships/hyperlink" Target="https://malegislature.gov/Bills/192/HD2089" TargetMode="External"/><Relationship Id="rId184" Type="http://schemas.openxmlformats.org/officeDocument/2006/relationships/hyperlink" Target="https://translifeline.org/" TargetMode="External"/><Relationship Id="rId219" Type="http://schemas.openxmlformats.org/officeDocument/2006/relationships/hyperlink" Target="https://www.them.us/story/racism-is-exhausting-black-people" TargetMode="External"/><Relationship Id="rId370" Type="http://schemas.openxmlformats.org/officeDocument/2006/relationships/footer" Target="footer14.xml"/><Relationship Id="rId391" Type="http://schemas.openxmlformats.org/officeDocument/2006/relationships/hyperlink" Target="http://www.campusprideindex.org/searchresults/display/1627957" TargetMode="External"/><Relationship Id="rId405" Type="http://schemas.openxmlformats.org/officeDocument/2006/relationships/hyperlink" Target="http://www.mass.gov/doc/office-of-the-child-advocate-investigative-" TargetMode="External"/><Relationship Id="rId426" Type="http://schemas.openxmlformats.org/officeDocument/2006/relationships/header" Target="header30.xml"/><Relationship Id="rId447" Type="http://schemas.openxmlformats.org/officeDocument/2006/relationships/footer" Target="footer30.xml"/><Relationship Id="rId230" Type="http://schemas.openxmlformats.org/officeDocument/2006/relationships/hyperlink" Target="http://www.mahomeless.org/images/2018_finalYouthCountreport.pdf" TargetMode="External"/><Relationship Id="rId251" Type="http://schemas.openxmlformats.org/officeDocument/2006/relationships/hyperlink" Target="http://www.usich.gov/tools-for-action/framework-for-ending-youth-homelessness/" TargetMode="External"/><Relationship Id="rId468" Type="http://schemas.openxmlformats.org/officeDocument/2006/relationships/hyperlink" Target="http://www.mass.gov/doc/2019-massachusetts-" TargetMode="External"/><Relationship Id="rId25" Type="http://schemas.openxmlformats.org/officeDocument/2006/relationships/hyperlink" Target="http://www.lambdalegal.org/protected-and-served/jails-and-prisons" TargetMode="External"/><Relationship Id="rId46" Type="http://schemas.openxmlformats.org/officeDocument/2006/relationships/image" Target="media/image17.png"/><Relationship Id="rId67" Type="http://schemas.openxmlformats.org/officeDocument/2006/relationships/image" Target="media/image38.png"/><Relationship Id="rId272" Type="http://schemas.openxmlformats.org/officeDocument/2006/relationships/hyperlink" Target="https://www.state.gov/x-gender-marker-available-on-u-s-passports-starting-april-11/" TargetMode="External"/><Relationship Id="rId293" Type="http://schemas.openxmlformats.org/officeDocument/2006/relationships/hyperlink" Target="http://avp.org/wp-" TargetMode="External"/><Relationship Id="rId307" Type="http://schemas.openxmlformats.org/officeDocument/2006/relationships/hyperlink" Target="http://www.aclu.org/sites/default/files/field_document/aclu_sex_work_decrim_research_brief_new.pdf" TargetMode="External"/><Relationship Id="rId328" Type="http://schemas.openxmlformats.org/officeDocument/2006/relationships/header" Target="header13.xml"/><Relationship Id="rId349" Type="http://schemas.openxmlformats.org/officeDocument/2006/relationships/hyperlink" Target="http://www.nsvrc.org/sarts/toolkit/6-8" TargetMode="External"/><Relationship Id="rId88" Type="http://schemas.openxmlformats.org/officeDocument/2006/relationships/image" Target="media/image59.png"/><Relationship Id="rId111" Type="http://schemas.openxmlformats.org/officeDocument/2006/relationships/hyperlink" Target="http://www.cdc.gov/mmwr/volumes/69/su/su6901a4.htm" TargetMode="External"/><Relationship Id="rId132" Type="http://schemas.openxmlformats.org/officeDocument/2006/relationships/hyperlink" Target="http://www.glsen.org/covid-19-relief-funds" TargetMode="External"/><Relationship Id="rId153" Type="http://schemas.openxmlformats.org/officeDocument/2006/relationships/image" Target="media/image85.jpeg"/><Relationship Id="rId174" Type="http://schemas.openxmlformats.org/officeDocument/2006/relationships/hyperlink" Target="https://www.wbur.org/news/2021/04/01/nonbinary-gender-identity-children-readings-resources" TargetMode="External"/><Relationship Id="rId195" Type="http://schemas.openxmlformats.org/officeDocument/2006/relationships/hyperlink" Target="http://www.doe.mass.edu/sfs/lgbtq/Principles-SafeEnvironment.html" TargetMode="External"/><Relationship Id="rId209" Type="http://schemas.openxmlformats.org/officeDocument/2006/relationships/hyperlink" Target="https://williamsinstitute.law.ucla.edu/wp-content/uploads/LGBT-Housing-Apr-2020.pdf" TargetMode="External"/><Relationship Id="rId360" Type="http://schemas.openxmlformats.org/officeDocument/2006/relationships/hyperlink" Target="http://www.wbur.org/news/2019/10/09/lgbt-solitary-massachusetts-prisons" TargetMode="External"/><Relationship Id="rId381" Type="http://schemas.openxmlformats.org/officeDocument/2006/relationships/hyperlink" Target="https://www.doe.mass.edu/sfs/lgbtq/GenderIdentity.html" TargetMode="External"/><Relationship Id="rId416" Type="http://schemas.openxmlformats.org/officeDocument/2006/relationships/header" Target="header26.xml"/><Relationship Id="rId220" Type="http://schemas.openxmlformats.org/officeDocument/2006/relationships/hyperlink" Target="https://doi.org/10.1037/0033-2909.129.5.674" TargetMode="External"/><Relationship Id="rId241" Type="http://schemas.openxmlformats.org/officeDocument/2006/relationships/hyperlink" Target="https://voicesofyouthcount.org/wp-content/uploads/2018/05/VoYC-LGBTQ-Brief-Chapin-Hall-2018.pdf" TargetMode="External"/><Relationship Id="rId437" Type="http://schemas.openxmlformats.org/officeDocument/2006/relationships/hyperlink" Target="http://unitedwedream.org/wp-" TargetMode="External"/><Relationship Id="rId458" Type="http://schemas.openxmlformats.org/officeDocument/2006/relationships/hyperlink" Target="http://www.mass.gov/news/commission-testifies-on-id-access-for-the-homeless" TargetMode="External"/><Relationship Id="rId15" Type="http://schemas.openxmlformats.org/officeDocument/2006/relationships/image" Target="media/image4.png"/><Relationship Id="rId36" Type="http://schemas.openxmlformats.org/officeDocument/2006/relationships/header" Target="header5.xml"/><Relationship Id="rId57" Type="http://schemas.openxmlformats.org/officeDocument/2006/relationships/image" Target="media/image28.png"/><Relationship Id="rId262" Type="http://schemas.openxmlformats.org/officeDocument/2006/relationships/hyperlink" Target="https://bostonrealestatetimes.com/hud-awards-25-8-million-to-massachusetts-public-housing-authorities-to-help-keep-residents-housed/" TargetMode="External"/><Relationship Id="rId283" Type="http://schemas.openxmlformats.org/officeDocument/2006/relationships/hyperlink" Target="http://www.americanprogress.org/issues/poverty/reports/2014/12/02/102308/one-strike-and-youre-out" TargetMode="External"/><Relationship Id="rId318" Type="http://schemas.openxmlformats.org/officeDocument/2006/relationships/footer" Target="footer9.xml"/><Relationship Id="rId339" Type="http://schemas.openxmlformats.org/officeDocument/2006/relationships/header" Target="header15.xml"/><Relationship Id="rId78" Type="http://schemas.openxmlformats.org/officeDocument/2006/relationships/image" Target="media/image49.png"/><Relationship Id="rId99" Type="http://schemas.openxmlformats.org/officeDocument/2006/relationships/image" Target="media/image70.png"/><Relationship Id="rId101" Type="http://schemas.openxmlformats.org/officeDocument/2006/relationships/image" Target="media/image72.png"/><Relationship Id="rId122" Type="http://schemas.openxmlformats.org/officeDocument/2006/relationships/hyperlink" Target="http://www.cdc.gov/coronavirus/2019-ncov/need-extra-precautions/people-with-medical-conditions.html" TargetMode="External"/><Relationship Id="rId143" Type="http://schemas.openxmlformats.org/officeDocument/2006/relationships/hyperlink" Target="http://www.glad.org/wp-content/uploads/2020/06/JJ-Coalition-Recommendations-on-" TargetMode="External"/><Relationship Id="rId164" Type="http://schemas.openxmlformats.org/officeDocument/2006/relationships/hyperlink" Target="https://malegislature.gov/Bills/192/SD1396" TargetMode="External"/><Relationship Id="rId185" Type="http://schemas.openxmlformats.org/officeDocument/2006/relationships/hyperlink" Target="https://www.outnowyouth.org/" TargetMode="External"/><Relationship Id="rId350" Type="http://schemas.openxmlformats.org/officeDocument/2006/relationships/hyperlink" Target="http://www.tnlr.org/en/partner-abuse-in-lgbq-t-communities%3B" TargetMode="External"/><Relationship Id="rId371" Type="http://schemas.openxmlformats.org/officeDocument/2006/relationships/hyperlink" Target="https://www.doe.mass.edu/sfs/family-engagement-framework.pdf" TargetMode="External"/><Relationship Id="rId406" Type="http://schemas.openxmlformats.org/officeDocument/2006/relationships/hyperlink" Target="http://www.doe.mass.edu/sfs/yrbs/2017-mental-health.pdf" TargetMode="External"/><Relationship Id="rId9" Type="http://schemas.openxmlformats.org/officeDocument/2006/relationships/hyperlink" Target="https://www.mass.gov/annual-recommendations" TargetMode="External"/><Relationship Id="rId210" Type="http://schemas.openxmlformats.org/officeDocument/2006/relationships/hyperlink" Target="https://williamsinstitute.law.ucla.edu/wp-content/uploads/LGBT-Housing-Apr-2020.pdf" TargetMode="External"/><Relationship Id="rId392" Type="http://schemas.openxmlformats.org/officeDocument/2006/relationships/hyperlink" Target="http://www.bhs.umn.edu/surveys/survey-results/2007-2011_LGB_CSHSReport.pdf" TargetMode="External"/><Relationship Id="rId427" Type="http://schemas.openxmlformats.org/officeDocument/2006/relationships/footer" Target="footer27.xml"/><Relationship Id="rId448" Type="http://schemas.openxmlformats.org/officeDocument/2006/relationships/hyperlink" Target="http://www.juvjustice.org/webinars-and-trainings/resources" TargetMode="External"/><Relationship Id="rId469" Type="http://schemas.openxmlformats.org/officeDocument/2006/relationships/hyperlink" Target="http://www.mass.gov/doc/massachusetts-state-plan-to-end-youth-" TargetMode="External"/><Relationship Id="rId26" Type="http://schemas.openxmlformats.org/officeDocument/2006/relationships/hyperlink" Target="http://www.lambdalegal.org/protected-and-served/jails-and-prisons" TargetMode="External"/><Relationship Id="rId231" Type="http://schemas.openxmlformats.org/officeDocument/2006/relationships/hyperlink" Target="http://www.mass.gov/doc/2020-special-report-to-" TargetMode="External"/><Relationship Id="rId252" Type="http://schemas.openxmlformats.org/officeDocument/2006/relationships/hyperlink" Target="http://www.usich.gov/tools-for-action/framework-for-ending-youth-homelessness/" TargetMode="External"/><Relationship Id="rId273" Type="http://schemas.openxmlformats.org/officeDocument/2006/relationships/hyperlink" Target="https://www.state.gov/x-gender-marker-available-on-u-s-passports-starting-april-11/" TargetMode="External"/><Relationship Id="rId294" Type="http://schemas.openxmlformats.org/officeDocument/2006/relationships/hyperlink" Target="http://www.nclrights.org/our-work/racial-economic-justice/criminalization-incarceration" TargetMode="External"/><Relationship Id="rId308" Type="http://schemas.openxmlformats.org/officeDocument/2006/relationships/hyperlink" Target="http://www.glad.org/cases/decriminalize-consensual-sex-work-in-massachusetts" TargetMode="External"/><Relationship Id="rId329" Type="http://schemas.openxmlformats.org/officeDocument/2006/relationships/footer" Target="footer10.xml"/><Relationship Id="rId47" Type="http://schemas.openxmlformats.org/officeDocument/2006/relationships/image" Target="media/image18.png"/><Relationship Id="rId68" Type="http://schemas.openxmlformats.org/officeDocument/2006/relationships/image" Target="media/image39.png"/><Relationship Id="rId89" Type="http://schemas.openxmlformats.org/officeDocument/2006/relationships/image" Target="media/image60.png"/><Relationship Id="rId112" Type="http://schemas.openxmlformats.org/officeDocument/2006/relationships/hyperlink" Target="http://www.cdc.gov/mmwr/pdf/ss/ss6104.pdf" TargetMode="External"/><Relationship Id="rId133" Type="http://schemas.openxmlformats.org/officeDocument/2006/relationships/hyperlink" Target="http://www.thetrevorproject.org/survey-2021/?section=Introduction" TargetMode="External"/><Relationship Id="rId154" Type="http://schemas.openxmlformats.org/officeDocument/2006/relationships/image" Target="media/image86.jpeg"/><Relationship Id="rId175" Type="http://schemas.openxmlformats.org/officeDocument/2006/relationships/hyperlink" Target="https://www.bostonglobe.com/2021/09/28/magazine/very-scary-thing-tell-someone-why-gender-pronouns-matter-schools/" TargetMode="External"/><Relationship Id="rId340" Type="http://schemas.openxmlformats.org/officeDocument/2006/relationships/footer" Target="footer12.xml"/><Relationship Id="rId361" Type="http://schemas.openxmlformats.org/officeDocument/2006/relationships/hyperlink" Target="http://www.nsvrc.org/blogs/cost-" TargetMode="External"/><Relationship Id="rId196" Type="http://schemas.openxmlformats.org/officeDocument/2006/relationships/header" Target="header9.xml"/><Relationship Id="rId200" Type="http://schemas.openxmlformats.org/officeDocument/2006/relationships/hyperlink" Target="http://www.mass.gov/special-guidance-for-" TargetMode="External"/><Relationship Id="rId382" Type="http://schemas.openxmlformats.org/officeDocument/2006/relationships/hyperlink" Target="https://www.doe.mass.edu/sfs/lgbtq/GenderIdentity.html" TargetMode="External"/><Relationship Id="rId417" Type="http://schemas.openxmlformats.org/officeDocument/2006/relationships/footer" Target="footer23.xml"/><Relationship Id="rId438" Type="http://schemas.openxmlformats.org/officeDocument/2006/relationships/hyperlink" Target="http://unitedwedream.org/wp-" TargetMode="External"/><Relationship Id="rId459" Type="http://schemas.openxmlformats.org/officeDocument/2006/relationships/header" Target="header36.xml"/><Relationship Id="rId16" Type="http://schemas.openxmlformats.org/officeDocument/2006/relationships/hyperlink" Target="http://www.thetrevorproject.org/survey-2022/" TargetMode="External"/><Relationship Id="rId221" Type="http://schemas.openxmlformats.org/officeDocument/2006/relationships/hyperlink" Target="https://content.apa.org/doi/10.1037/a0023244" TargetMode="External"/><Relationship Id="rId242" Type="http://schemas.openxmlformats.org/officeDocument/2006/relationships/hyperlink" Target="https://voicesofyouthcount.org/wp-content/uploads/2018/05/VoYC-LGBTQ-Brief-Chapin-Hall-2018.pdf" TargetMode="External"/><Relationship Id="rId263" Type="http://schemas.openxmlformats.org/officeDocument/2006/relationships/hyperlink" Target="https://bostonrealestatetimes.com/hud-announces-over-5-million-in-targeted-funding-for-massachusetts-coronavirus-relief/" TargetMode="External"/><Relationship Id="rId284" Type="http://schemas.openxmlformats.org/officeDocument/2006/relationships/hyperlink" Target="http://www.prisonpolicy.org/blog/2019/01/22/lgbtq_youth" TargetMode="External"/><Relationship Id="rId319" Type="http://schemas.openxmlformats.org/officeDocument/2006/relationships/hyperlink" Target="http://www.ted.com/talks/kimberle_crenshaw_the_urgency_of_intersectionality" TargetMode="External"/><Relationship Id="rId470" Type="http://schemas.openxmlformats.org/officeDocument/2006/relationships/header" Target="header38.xml"/><Relationship Id="rId37" Type="http://schemas.openxmlformats.org/officeDocument/2006/relationships/footer" Target="footer2.xml"/><Relationship Id="rId58" Type="http://schemas.openxmlformats.org/officeDocument/2006/relationships/image" Target="media/image29.png"/><Relationship Id="rId79" Type="http://schemas.openxmlformats.org/officeDocument/2006/relationships/image" Target="media/image50.png"/><Relationship Id="rId102" Type="http://schemas.openxmlformats.org/officeDocument/2006/relationships/image" Target="media/image73.png"/><Relationship Id="rId123" Type="http://schemas.openxmlformats.org/officeDocument/2006/relationships/hyperlink" Target="http://www.census.gov/library/stories/2021/08/lgbt-community-harder-hit-by-economic-impact-of-" TargetMode="External"/><Relationship Id="rId144" Type="http://schemas.openxmlformats.org/officeDocument/2006/relationships/hyperlink" Target="http://www.wbur.org/news/2021/01/27/massachusetts-covid-vaccines-jail-prison-education-" TargetMode="External"/><Relationship Id="rId330" Type="http://schemas.openxmlformats.org/officeDocument/2006/relationships/hyperlink" Target="http://www.glsen.org/sites/default/files/2020-04/No_Promo_Homo_2018.pdf" TargetMode="External"/><Relationship Id="rId90" Type="http://schemas.openxmlformats.org/officeDocument/2006/relationships/image" Target="media/image61.png"/><Relationship Id="rId165" Type="http://schemas.openxmlformats.org/officeDocument/2006/relationships/hyperlink" Target="https://malegislature.gov/Bills/192/H4539" TargetMode="External"/><Relationship Id="rId186" Type="http://schemas.openxmlformats.org/officeDocument/2006/relationships/hyperlink" Target="https://www.outnowyouth.org/" TargetMode="External"/><Relationship Id="rId351" Type="http://schemas.openxmlformats.org/officeDocument/2006/relationships/hyperlink" Target="http://www.tnlr.org/wp-content/uploads/CNA-w-cover-Final.pdf" TargetMode="External"/><Relationship Id="rId372" Type="http://schemas.openxmlformats.org/officeDocument/2006/relationships/hyperlink" Target="https://www.doe.mass.edu/sfs/family-engagement-framework.pdf" TargetMode="External"/><Relationship Id="rId393" Type="http://schemas.openxmlformats.org/officeDocument/2006/relationships/header" Target="header20.xml"/><Relationship Id="rId407" Type="http://schemas.openxmlformats.org/officeDocument/2006/relationships/header" Target="header23.xml"/><Relationship Id="rId428" Type="http://schemas.openxmlformats.org/officeDocument/2006/relationships/hyperlink" Target="http://www.mass.gov/orgs/masshealth" TargetMode="External"/><Relationship Id="rId449" Type="http://schemas.openxmlformats.org/officeDocument/2006/relationships/hyperlink" Target="http://www.nccdglobal.org/blog/time-to-expand-the-lens-on-girls-in-the-juvenile-" TargetMode="External"/><Relationship Id="rId211" Type="http://schemas.openxmlformats.org/officeDocument/2006/relationships/hyperlink" Target="https://williamsinstitute.law.ucla.edu/publications/gender-marker-policies/" TargetMode="External"/><Relationship Id="rId232" Type="http://schemas.openxmlformats.org/officeDocument/2006/relationships/hyperlink" Target="http://www.boston.gov/sites/default/files/embed/t/the_state-of-the-system-a-brief-on-the-status-of-youth-and-" TargetMode="External"/><Relationship Id="rId253" Type="http://schemas.openxmlformats.org/officeDocument/2006/relationships/hyperlink" Target="http://www.mass.gov/doc/2020-" TargetMode="External"/><Relationship Id="rId274" Type="http://schemas.openxmlformats.org/officeDocument/2006/relationships/hyperlink" Target="https://transequality.org/documents/state/massachusetts" TargetMode="External"/><Relationship Id="rId295" Type="http://schemas.openxmlformats.org/officeDocument/2006/relationships/hyperlink" Target="http://www.urban.org/features/five-charts-explain-homelessness-jail-cycle-and-how-break-it" TargetMode="External"/><Relationship Id="rId309" Type="http://schemas.openxmlformats.org/officeDocument/2006/relationships/hyperlink" Target="http://www.childrensdefense.org/state-" TargetMode="External"/><Relationship Id="rId460" Type="http://schemas.openxmlformats.org/officeDocument/2006/relationships/footer" Target="footer33.xml"/><Relationship Id="rId27" Type="http://schemas.openxmlformats.org/officeDocument/2006/relationships/hyperlink" Target="http://www.burnsinstitute.org/wp-content/uploads/2016/05/Stemming-the-Rising-Tide_FINAL.pdf" TargetMode="External"/><Relationship Id="rId48" Type="http://schemas.openxmlformats.org/officeDocument/2006/relationships/image" Target="media/image19.png"/><Relationship Id="rId69" Type="http://schemas.openxmlformats.org/officeDocument/2006/relationships/image" Target="media/image40.png"/><Relationship Id="rId113" Type="http://schemas.openxmlformats.org/officeDocument/2006/relationships/hyperlink" Target="http://www.cdc.gov/healthyyouth/youth_hiv/hiv-information-and-youth.htm" TargetMode="External"/><Relationship Id="rId134" Type="http://schemas.openxmlformats.org/officeDocument/2006/relationships/hyperlink" Target="http://www.cbsnews.com/news/lgbtq-youth-safety-covid-pandemic" TargetMode="External"/><Relationship Id="rId320" Type="http://schemas.openxmlformats.org/officeDocument/2006/relationships/hyperlink" Target="http://www.mass.gov/doc/weekly-covid-19-vaccination-report-june-2-2022/download" TargetMode="External"/><Relationship Id="rId80" Type="http://schemas.openxmlformats.org/officeDocument/2006/relationships/image" Target="media/image51.png"/><Relationship Id="rId155" Type="http://schemas.openxmlformats.org/officeDocument/2006/relationships/image" Target="media/image87.png"/><Relationship Id="rId176" Type="http://schemas.openxmlformats.org/officeDocument/2006/relationships/hyperlink" Target="https://www.bostonglobe.com/2021/08/01/metro/day-sports-camaraderie-cambridge-park-protests-exclusion-transgender-athletes/" TargetMode="External"/><Relationship Id="rId197" Type="http://schemas.openxmlformats.org/officeDocument/2006/relationships/footer" Target="footer6.xml"/><Relationship Id="rId341" Type="http://schemas.openxmlformats.org/officeDocument/2006/relationships/header" Target="header16.xml"/><Relationship Id="rId362" Type="http://schemas.openxmlformats.org/officeDocument/2006/relationships/hyperlink" Target="http://www.nsvrc.org/blogs/economics-factor-sexual-violence" TargetMode="External"/><Relationship Id="rId383" Type="http://schemas.openxmlformats.org/officeDocument/2006/relationships/hyperlink" Target="https://www.doe.mass.edu/sfs/lgbtq/Principles-SafeEnvironment.html" TargetMode="External"/><Relationship Id="rId418" Type="http://schemas.openxmlformats.org/officeDocument/2006/relationships/header" Target="header27.xml"/><Relationship Id="rId439" Type="http://schemas.openxmlformats.org/officeDocument/2006/relationships/hyperlink" Target="http://www.americanprogress.org/issues/" TargetMode="External"/><Relationship Id="rId201" Type="http://schemas.openxmlformats.org/officeDocument/2006/relationships/hyperlink" Target="http://www.mass.gov/annual-recommendations" TargetMode="External"/><Relationship Id="rId222" Type="http://schemas.openxmlformats.org/officeDocument/2006/relationships/hyperlink" Target="https://doi.org/10.1186/s12909-015-0290-9" TargetMode="External"/><Relationship Id="rId243" Type="http://schemas.openxmlformats.org/officeDocument/2006/relationships/hyperlink" Target="https://www.ncbi.nlm.nih.gov/pmc/articles/PMC4098056/" TargetMode="External"/><Relationship Id="rId264" Type="http://schemas.openxmlformats.org/officeDocument/2006/relationships/hyperlink" Target="http://www.springfield-ma.gov/cos/index.php?id=news-" TargetMode="External"/><Relationship Id="rId285" Type="http://schemas.openxmlformats.org/officeDocument/2006/relationships/hyperlink" Target="http://www.lambdalegal.org/node/30521" TargetMode="External"/><Relationship Id="rId450" Type="http://schemas.openxmlformats.org/officeDocument/2006/relationships/header" Target="header34.xml"/><Relationship Id="rId471" Type="http://schemas.openxmlformats.org/officeDocument/2006/relationships/footer" Target="footer35.xml"/><Relationship Id="rId17" Type="http://schemas.openxmlformats.org/officeDocument/2006/relationships/hyperlink" Target="http://www.hrc.org/resources/fatal-violence-against-" TargetMode="External"/><Relationship Id="rId38" Type="http://schemas.openxmlformats.org/officeDocument/2006/relationships/image" Target="media/image9.png"/><Relationship Id="rId59" Type="http://schemas.openxmlformats.org/officeDocument/2006/relationships/image" Target="media/image30.png"/><Relationship Id="rId103" Type="http://schemas.openxmlformats.org/officeDocument/2006/relationships/image" Target="media/image74.png"/><Relationship Id="rId124" Type="http://schemas.openxmlformats.org/officeDocument/2006/relationships/hyperlink" Target="http://www.imf.org/external/pubs/ft/fandd/2020/12/future-of-youth-in-the-era-of-covid-" TargetMode="External"/><Relationship Id="rId310" Type="http://schemas.openxmlformats.org/officeDocument/2006/relationships/hyperlink" Target="http://www.wbur.org/news/2019/10/09/lgbt-solitary-massachusetts-prisons" TargetMode="External"/><Relationship Id="rId70" Type="http://schemas.openxmlformats.org/officeDocument/2006/relationships/image" Target="media/image41.png"/><Relationship Id="rId91" Type="http://schemas.openxmlformats.org/officeDocument/2006/relationships/image" Target="media/image62.png"/><Relationship Id="rId145" Type="http://schemas.openxmlformats.org/officeDocument/2006/relationships/hyperlink" Target="http://www.massgeneral.org/news/press-release/new-study-underscores-the-role-of-" TargetMode="External"/><Relationship Id="rId166" Type="http://schemas.openxmlformats.org/officeDocument/2006/relationships/hyperlink" Target="https://malegislature.gov/Bills/192/S2748" TargetMode="External"/><Relationship Id="rId187" Type="http://schemas.openxmlformats.org/officeDocument/2006/relationships/hyperlink" Target="https://outmetrowest.org/youth-programs/" TargetMode="External"/><Relationship Id="rId331" Type="http://schemas.openxmlformats.org/officeDocument/2006/relationships/hyperlink" Target="http://www.guttmacher.org/print/state-" TargetMode="External"/><Relationship Id="rId352" Type="http://schemas.openxmlformats.org/officeDocument/2006/relationships/hyperlink" Target="http://www.tnlr.org/en/partner-abuse-in-lgbq-t-communities" TargetMode="External"/><Relationship Id="rId373" Type="http://schemas.openxmlformats.org/officeDocument/2006/relationships/hyperlink" Target="https://www.doe.mass.edu/sfs/family-engagement-framework.pdf" TargetMode="External"/><Relationship Id="rId394" Type="http://schemas.openxmlformats.org/officeDocument/2006/relationships/footer" Target="footer17.xml"/><Relationship Id="rId408" Type="http://schemas.openxmlformats.org/officeDocument/2006/relationships/footer" Target="footer20.xml"/><Relationship Id="rId429" Type="http://schemas.openxmlformats.org/officeDocument/2006/relationships/hyperlink" Target="http://www.thetrevorproject.org/resources/preventing-suicide/facts-about-suicide/" TargetMode="External"/><Relationship Id="rId1" Type="http://schemas.openxmlformats.org/officeDocument/2006/relationships/numbering" Target="numbering.xml"/><Relationship Id="rId212" Type="http://schemas.openxmlformats.org/officeDocument/2006/relationships/hyperlink" Target="https://doi.org/10.1503/cmaj.200834" TargetMode="External"/><Relationship Id="rId233" Type="http://schemas.openxmlformats.org/officeDocument/2006/relationships/hyperlink" Target="https://voicesofyouthcount.org/wp-content/uploads/2017/11/ChapinHall_VoYC_1-Pager_Final_111517.pdf" TargetMode="External"/><Relationship Id="rId254" Type="http://schemas.openxmlformats.org/officeDocument/2006/relationships/hyperlink" Target="https://www.mass.gov/news/baker-polito-administration-announces-launch-of-public-awareness-campaign-path-to-help" TargetMode="External"/><Relationship Id="rId440" Type="http://schemas.openxmlformats.org/officeDocument/2006/relationships/header" Target="header32.xml"/><Relationship Id="rId28" Type="http://schemas.openxmlformats.org/officeDocument/2006/relationships/hyperlink" Target="http://www.burnsinstitute.org/wp-content/uploads/2016/05/Stemming-the-Rising-Tide_FINAL.pdf" TargetMode="External"/><Relationship Id="rId49" Type="http://schemas.openxmlformats.org/officeDocument/2006/relationships/image" Target="media/image20.png"/><Relationship Id="rId114" Type="http://schemas.openxmlformats.org/officeDocument/2006/relationships/hyperlink" Target="http://www.cdc.gov/healthyyouth/data/yrbs/yrbs_data_summary_and_trends.htm" TargetMode="External"/><Relationship Id="rId275" Type="http://schemas.openxmlformats.org/officeDocument/2006/relationships/hyperlink" Target="https://www.mass.gov/news/massachusetts-allows-nonbinary-marker-on-licenses-ids" TargetMode="External"/><Relationship Id="rId296" Type="http://schemas.openxmlformats.org/officeDocument/2006/relationships/hyperlink" Target="http://www.drugabuse.gov/drug-topics/substance-use-suds-in-lgbtq-populations" TargetMode="External"/><Relationship Id="rId300" Type="http://schemas.openxmlformats.org/officeDocument/2006/relationships/hyperlink" Target="http://www.hrc.org/news/new-cdc-data-shows-lgbtq-youth-" TargetMode="External"/><Relationship Id="rId461" Type="http://schemas.openxmlformats.org/officeDocument/2006/relationships/hyperlink" Target="http://lgbttechpartnership.org/wp-content/uploads/2014/08/LGBT-Tech_LGBT-Homeless-Youth-" TargetMode="External"/><Relationship Id="rId60" Type="http://schemas.openxmlformats.org/officeDocument/2006/relationships/image" Target="media/image31.png"/><Relationship Id="rId81" Type="http://schemas.openxmlformats.org/officeDocument/2006/relationships/image" Target="media/image52.png"/><Relationship Id="rId135" Type="http://schemas.openxmlformats.org/officeDocument/2006/relationships/hyperlink" Target="http://www.thetrevorproject.org/wp-content/uploads/2020/10/Trevor-Poll_COVID19.pdf" TargetMode="External"/><Relationship Id="rId156" Type="http://schemas.openxmlformats.org/officeDocument/2006/relationships/image" Target="media/image88.jpeg"/><Relationship Id="rId177" Type="http://schemas.openxmlformats.org/officeDocument/2006/relationships/image" Target="media/image93.jpeg"/><Relationship Id="rId198" Type="http://schemas.openxmlformats.org/officeDocument/2006/relationships/hyperlink" Target="https://malegislature.gov/Bills/192/HD2089" TargetMode="External"/><Relationship Id="rId321" Type="http://schemas.openxmlformats.org/officeDocument/2006/relationships/hyperlink" Target="http://www.kff.org/coronavirus-covid-19/issue-brief/latest-data-on-covid-19-vaccinations-by-race-" TargetMode="External"/><Relationship Id="rId342" Type="http://schemas.openxmlformats.org/officeDocument/2006/relationships/footer" Target="footer13.xml"/><Relationship Id="rId363" Type="http://schemas.openxmlformats.org/officeDocument/2006/relationships/hyperlink" Target="http://www.tnlr.org/en/24-hour-hotline" TargetMode="External"/><Relationship Id="rId384" Type="http://schemas.openxmlformats.org/officeDocument/2006/relationships/hyperlink" Target="https://www.doe.mass.edu/sfs/lgbtq/Principles-SafeEnvironment.html" TargetMode="External"/><Relationship Id="rId419" Type="http://schemas.openxmlformats.org/officeDocument/2006/relationships/footer" Target="footer24.xml"/><Relationship Id="rId202" Type="http://schemas.openxmlformats.org/officeDocument/2006/relationships/hyperlink" Target="http://www.glsen.org/sites/default/files/2020-04/Playgrounds_Prejudice.pdf%3B" TargetMode="External"/><Relationship Id="rId223" Type="http://schemas.openxmlformats.org/officeDocument/2006/relationships/hyperlink" Target="http://www.advocatesforyouth.org/wp-content/uploads/2020/11/Creating-Safer-Spaces-Toolkit-Nov-13.pdf" TargetMode="External"/><Relationship Id="rId244" Type="http://schemas.openxmlformats.org/officeDocument/2006/relationships/hyperlink" Target="https://www.ncbi.nlm.nih.gov/pubmed/20799134" TargetMode="External"/><Relationship Id="rId430" Type="http://schemas.openxmlformats.org/officeDocument/2006/relationships/hyperlink" Target="http://www.cdc.gov/HealthyYouth/yrbs/index.htm" TargetMode="External"/><Relationship Id="rId18" Type="http://schemas.openxmlformats.org/officeDocument/2006/relationships/hyperlink" Target="http://www.cdc.gov/nchs/pressroom/sosmap/firearm_mortality/firearm.htm" TargetMode="External"/><Relationship Id="rId39" Type="http://schemas.openxmlformats.org/officeDocument/2006/relationships/image" Target="media/image10.png"/><Relationship Id="rId265" Type="http://schemas.openxmlformats.org/officeDocument/2006/relationships/hyperlink" Target="http://www.springfield-ma.gov/cos/index.php?id=news-" TargetMode="External"/><Relationship Id="rId286" Type="http://schemas.openxmlformats.org/officeDocument/2006/relationships/hyperlink" Target="http://www.prisonpolicy.org/blog/2021/03/02/lgbtq" TargetMode="External"/><Relationship Id="rId451" Type="http://schemas.openxmlformats.org/officeDocument/2006/relationships/footer" Target="footer31.xml"/><Relationship Id="rId472" Type="http://schemas.openxmlformats.org/officeDocument/2006/relationships/hyperlink" Target="http://labor.ny.gov/pressreleases/2013/june-4-2013.shtm" TargetMode="External"/><Relationship Id="rId50" Type="http://schemas.openxmlformats.org/officeDocument/2006/relationships/image" Target="media/image21.png"/><Relationship Id="rId104" Type="http://schemas.openxmlformats.org/officeDocument/2006/relationships/image" Target="media/image75.png"/><Relationship Id="rId125" Type="http://schemas.openxmlformats.org/officeDocument/2006/relationships/hyperlink" Target="http://www.mass.gov/info-details/cares-act-and-american-rescue-plan-act" TargetMode="External"/><Relationship Id="rId146" Type="http://schemas.openxmlformats.org/officeDocument/2006/relationships/hyperlink" Target="https://www.doe.mass.edu/sfs/lgbtq/" TargetMode="External"/><Relationship Id="rId167" Type="http://schemas.openxmlformats.org/officeDocument/2006/relationships/hyperlink" Target="https://www.doe.mass.edu/sfs/lgbtq/" TargetMode="External"/><Relationship Id="rId188" Type="http://schemas.openxmlformats.org/officeDocument/2006/relationships/hyperlink" Target="https://www.doe.mass.edu/sfs/lgbtq/gsalcouncil.html" TargetMode="External"/><Relationship Id="rId311" Type="http://schemas.openxmlformats.org/officeDocument/2006/relationships/hyperlink" Target="http://www.childrensdefense.org/state-" TargetMode="External"/><Relationship Id="rId332" Type="http://schemas.openxmlformats.org/officeDocument/2006/relationships/hyperlink" Target="http://www.who.int/news-room/fact-sheets/detail/mental-health-strengthening-our-response" TargetMode="External"/><Relationship Id="rId353" Type="http://schemas.openxmlformats.org/officeDocument/2006/relationships/hyperlink" Target="http://www.cdc.gov/mmwr/volumes/69/su/pdfs/su6901-H.pdf" TargetMode="External"/><Relationship Id="rId374" Type="http://schemas.openxmlformats.org/officeDocument/2006/relationships/hyperlink" Target="https://www.doe.mass.edu/sfs/family-engagement-framework.pdf" TargetMode="External"/><Relationship Id="rId395" Type="http://schemas.openxmlformats.org/officeDocument/2006/relationships/header" Target="header21.xml"/><Relationship Id="rId409" Type="http://schemas.openxmlformats.org/officeDocument/2006/relationships/hyperlink" Target="http://blindlgbtpride.org/about-us/" TargetMode="External"/><Relationship Id="rId71" Type="http://schemas.openxmlformats.org/officeDocument/2006/relationships/image" Target="media/image42.png"/><Relationship Id="rId92" Type="http://schemas.openxmlformats.org/officeDocument/2006/relationships/image" Target="media/image63.png"/><Relationship Id="rId213" Type="http://schemas.openxmlformats.org/officeDocument/2006/relationships/hyperlink" Target="https://doi.org/10.3390/ijerph19063219" TargetMode="External"/><Relationship Id="rId234" Type="http://schemas.openxmlformats.org/officeDocument/2006/relationships/hyperlink" Target="https://voicesofyouthcount.org/wp-content/uploads/2017/11/ChapinHall_VoYC_1-Pager_Final_111517.pdf" TargetMode="External"/><Relationship Id="rId420" Type="http://schemas.openxmlformats.org/officeDocument/2006/relationships/header" Target="header28.xml"/><Relationship Id="rId2" Type="http://schemas.openxmlformats.org/officeDocument/2006/relationships/styles" Target="styles.xml"/><Relationship Id="rId29" Type="http://schemas.openxmlformats.org/officeDocument/2006/relationships/hyperlink" Target="http://www.burnsinstitute.org/wp-content/uploads/2016/05/Stemming-the-Rising-Tide_FINAL.pdf" TargetMode="External"/><Relationship Id="rId255" Type="http://schemas.openxmlformats.org/officeDocument/2006/relationships/hyperlink" Target="https://www.mass.gov/news/baker-polito-administration-announces-launch-of-public-awareness-campaign-path-to-help" TargetMode="External"/><Relationship Id="rId276" Type="http://schemas.openxmlformats.org/officeDocument/2006/relationships/hyperlink" Target="https://www.mass.gov/news/massachusetts-allows-nonbinary-marker-on-licenses-ids" TargetMode="External"/><Relationship Id="rId297" Type="http://schemas.openxmlformats.org/officeDocument/2006/relationships/hyperlink" Target="http://www.teenvogue.com/story/the-foster-care-to-prison-pipeline-what-it-is-and-how-it-works" TargetMode="External"/><Relationship Id="rId441" Type="http://schemas.openxmlformats.org/officeDocument/2006/relationships/footer" Target="footer29.xml"/><Relationship Id="rId462" Type="http://schemas.openxmlformats.org/officeDocument/2006/relationships/hyperlink" Target="http://www.ala.org/aboutala/offices/extending-our-reach-reducing-homelessness-" TargetMode="External"/><Relationship Id="rId40" Type="http://schemas.openxmlformats.org/officeDocument/2006/relationships/image" Target="media/image11.png"/><Relationship Id="rId115" Type="http://schemas.openxmlformats.org/officeDocument/2006/relationships/hyperlink" Target="http://www.whitehouse.gov/wp-content/uploads/2021/11/National-HIV-AIDS-Strategy.pdf" TargetMode="External"/><Relationship Id="rId136" Type="http://schemas.openxmlformats.org/officeDocument/2006/relationships/hyperlink" Target="http://www.prisonpolicy.org/blog/2022/02/10/february2022_population" TargetMode="External"/><Relationship Id="rId157" Type="http://schemas.openxmlformats.org/officeDocument/2006/relationships/image" Target="media/image89.jpeg"/><Relationship Id="rId178" Type="http://schemas.openxmlformats.org/officeDocument/2006/relationships/image" Target="media/image94.jpeg"/><Relationship Id="rId301" Type="http://schemas.openxmlformats.org/officeDocument/2006/relationships/hyperlink" Target="http://www.glsen.org/sites/default/files/2021-01/Massachusetts-Snapshot-2019_1.pdf" TargetMode="External"/><Relationship Id="rId322" Type="http://schemas.openxmlformats.org/officeDocument/2006/relationships/hyperlink" Target="http://www.mass.gov/info-details/covid-19-vaccinations-for-children-ages-5-11" TargetMode="External"/><Relationship Id="rId343" Type="http://schemas.openxmlformats.org/officeDocument/2006/relationships/hyperlink" Target="http://www.tnlr.org/en" TargetMode="External"/><Relationship Id="rId364" Type="http://schemas.openxmlformats.org/officeDocument/2006/relationships/hyperlink" Target="http://www.roxburyyouthworks.org/pages/programs.html" TargetMode="External"/><Relationship Id="rId61" Type="http://schemas.openxmlformats.org/officeDocument/2006/relationships/image" Target="media/image32.png"/><Relationship Id="rId82" Type="http://schemas.openxmlformats.org/officeDocument/2006/relationships/image" Target="media/image53.png"/><Relationship Id="rId199" Type="http://schemas.openxmlformats.org/officeDocument/2006/relationships/hyperlink" Target="https://malegislature.gov/Bills/192/SD1396" TargetMode="External"/><Relationship Id="rId203" Type="http://schemas.openxmlformats.org/officeDocument/2006/relationships/header" Target="header10.xml"/><Relationship Id="rId385" Type="http://schemas.openxmlformats.org/officeDocument/2006/relationships/hyperlink" Target="http://www.doe.mass.edu/lawsregs/603cmr26.html" TargetMode="External"/><Relationship Id="rId19" Type="http://schemas.openxmlformats.org/officeDocument/2006/relationships/header" Target="header3.xml"/><Relationship Id="rId224" Type="http://schemas.openxmlformats.org/officeDocument/2006/relationships/hyperlink" Target="https://jedfoundation.org/wp-content/uploads/2021/09/JED-LGBQ-Queer-and-Question-Lit-Review-FINAL.pdf" TargetMode="External"/><Relationship Id="rId245" Type="http://schemas.openxmlformats.org/officeDocument/2006/relationships/hyperlink" Target="http://www.americanprogress.org/issues/lgbt/reports/2015/10/01/122044/expanding-id-card-access-for-lgbt-" TargetMode="External"/><Relationship Id="rId266" Type="http://schemas.openxmlformats.org/officeDocument/2006/relationships/hyperlink" Target="https://bostonrealestatetimes.com/hud-makes-393246-in-covid-19-relief-funding-to-help-native-american-communities-in-massachusetts/" TargetMode="External"/><Relationship Id="rId287" Type="http://schemas.openxmlformats.org/officeDocument/2006/relationships/hyperlink" Target="http://www.prisonpolicy.org/blog/2021/03/02/lgbtq" TargetMode="External"/><Relationship Id="rId410" Type="http://schemas.openxmlformats.org/officeDocument/2006/relationships/hyperlink" Target="http://blindlgbtpride.org/events/categories/upcoming/" TargetMode="External"/><Relationship Id="rId431" Type="http://schemas.openxmlformats.org/officeDocument/2006/relationships/hyperlink" Target="http://www.masstpc.org/suicide-prevention/" TargetMode="External"/><Relationship Id="rId452" Type="http://schemas.openxmlformats.org/officeDocument/2006/relationships/hyperlink" Target="http://www.nccdglobal.org/sites/default/files/content/weve-had-three-of-them.pdf" TargetMode="External"/><Relationship Id="rId473" Type="http://schemas.openxmlformats.org/officeDocument/2006/relationships/header" Target="header39.xml"/><Relationship Id="rId30" Type="http://schemas.openxmlformats.org/officeDocument/2006/relationships/hyperlink" Target="http://www.hrc.org/resources/sexual-assault-and-the-lgbt-community" TargetMode="External"/><Relationship Id="rId105" Type="http://schemas.openxmlformats.org/officeDocument/2006/relationships/image" Target="media/image76.png"/><Relationship Id="rId126" Type="http://schemas.openxmlformats.org/officeDocument/2006/relationships/hyperlink" Target="http://www.mass.gov/info-details/covid-19-response-reporting" TargetMode="External"/><Relationship Id="rId147" Type="http://schemas.openxmlformats.org/officeDocument/2006/relationships/header" Target="header7.xml"/><Relationship Id="rId168" Type="http://schemas.openxmlformats.org/officeDocument/2006/relationships/image" Target="media/image92.jpeg"/><Relationship Id="rId312" Type="http://schemas.openxmlformats.org/officeDocument/2006/relationships/hyperlink" Target="http://www.act4jj.org/sites/default/files/ckfinder/files/ACT4JJ%20Core%20Protection%20Jail%20Removal%20an" TargetMode="External"/><Relationship Id="rId333" Type="http://schemas.openxmlformats.org/officeDocument/2006/relationships/hyperlink" Target="http://www.bostonpublicschools.org/Page/7329" TargetMode="External"/><Relationship Id="rId354" Type="http://schemas.openxmlformats.org/officeDocument/2006/relationships/hyperlink" Target="http://www.knowyourix.org/issues/statistics" TargetMode="External"/><Relationship Id="rId51" Type="http://schemas.openxmlformats.org/officeDocument/2006/relationships/image" Target="media/image22.png"/><Relationship Id="rId72" Type="http://schemas.openxmlformats.org/officeDocument/2006/relationships/image" Target="media/image43.png"/><Relationship Id="rId93" Type="http://schemas.openxmlformats.org/officeDocument/2006/relationships/image" Target="media/image64.png"/><Relationship Id="rId189" Type="http://schemas.openxmlformats.org/officeDocument/2006/relationships/hyperlink" Target="https://ma-lgbtq.org/resources/" TargetMode="External"/><Relationship Id="rId375" Type="http://schemas.openxmlformats.org/officeDocument/2006/relationships/hyperlink" Target="https://www.doe.mass.edu/sfs/family-engagement-framework.pdf" TargetMode="External"/><Relationship Id="rId396" Type="http://schemas.openxmlformats.org/officeDocument/2006/relationships/footer" Target="footer18.xml"/><Relationship Id="rId3" Type="http://schemas.openxmlformats.org/officeDocument/2006/relationships/settings" Target="settings.xml"/><Relationship Id="rId214" Type="http://schemas.openxmlformats.org/officeDocument/2006/relationships/hyperlink" Target="https://www.nbcnews.com/feature/nbc-out/coronavirus-pandemic-perfect-storm-lgbtq-homeless-youth-n1176206" TargetMode="External"/><Relationship Id="rId235" Type="http://schemas.openxmlformats.org/officeDocument/2006/relationships/hyperlink" Target="http://www.tribal-institute.org/2014/INCTwo-SpiritBooklet.pdf" TargetMode="External"/><Relationship Id="rId256" Type="http://schemas.openxmlformats.org/officeDocument/2006/relationships/hyperlink" Target="http://www.doe.mass.edu/sfs/edstability/mtc.html" TargetMode="External"/><Relationship Id="rId277" Type="http://schemas.openxmlformats.org/officeDocument/2006/relationships/hyperlink" Target="https://www.masstpc.org/ida-network/" TargetMode="External"/><Relationship Id="rId298" Type="http://schemas.openxmlformats.org/officeDocument/2006/relationships/hyperlink" Target="http://www.glsen.org/sites/default/files/2021-01/Massachusetts-Snapshot-2019_1.pdf" TargetMode="External"/><Relationship Id="rId400" Type="http://schemas.openxmlformats.org/officeDocument/2006/relationships/hyperlink" Target="https://www.ncbi.nlm.nih.gov/pmc/articles/PMC5119635/pdf/nihms795147.pdf" TargetMode="External"/><Relationship Id="rId421" Type="http://schemas.openxmlformats.org/officeDocument/2006/relationships/footer" Target="footer25.xml"/><Relationship Id="rId442" Type="http://schemas.openxmlformats.org/officeDocument/2006/relationships/hyperlink" Target="http://williamsinstitute.law.ucla.edu/research/health-and-hiv-aids/lgbt-people-are-" TargetMode="External"/><Relationship Id="rId463" Type="http://schemas.openxmlformats.org/officeDocument/2006/relationships/hyperlink" Target="http://www.ala.org/awardsgrants/rainbow-project-book-list" TargetMode="External"/><Relationship Id="rId116" Type="http://schemas.openxmlformats.org/officeDocument/2006/relationships/header" Target="header6.xml"/><Relationship Id="rId137" Type="http://schemas.openxmlformats.org/officeDocument/2006/relationships/hyperlink" Target="http://www.prisonpolicy.org/reports/youth2019.html" TargetMode="External"/><Relationship Id="rId158" Type="http://schemas.openxmlformats.org/officeDocument/2006/relationships/hyperlink" Target="https://www.doe.mass.edu/news/news.aspx?id=26699" TargetMode="External"/><Relationship Id="rId302" Type="http://schemas.openxmlformats.org/officeDocument/2006/relationships/hyperlink" Target="http://williamsinstitute.law.ucla.edu/wp-content/uploads/LGBTQ-YOC-Social-Services-Jul-" TargetMode="External"/><Relationship Id="rId323" Type="http://schemas.openxmlformats.org/officeDocument/2006/relationships/hyperlink" Target="http://www.mass.gov/doc/statewide-report-data-as-of-212021/download" TargetMode="External"/><Relationship Id="rId344" Type="http://schemas.openxmlformats.org/officeDocument/2006/relationships/hyperlink" Target="http://www.blackandpinkma.org/" TargetMode="External"/><Relationship Id="rId20" Type="http://schemas.openxmlformats.org/officeDocument/2006/relationships/header" Target="header4.xml"/><Relationship Id="rId41" Type="http://schemas.openxmlformats.org/officeDocument/2006/relationships/image" Target="media/image12.png"/><Relationship Id="rId62" Type="http://schemas.openxmlformats.org/officeDocument/2006/relationships/image" Target="media/image33.png"/><Relationship Id="rId83" Type="http://schemas.openxmlformats.org/officeDocument/2006/relationships/image" Target="media/image54.png"/><Relationship Id="rId179" Type="http://schemas.openxmlformats.org/officeDocument/2006/relationships/image" Target="media/image95.jpeg"/><Relationship Id="rId365" Type="http://schemas.openxmlformats.org/officeDocument/2006/relationships/hyperlink" Target="http://www.glad.org/our-impact" TargetMode="External"/><Relationship Id="rId386" Type="http://schemas.openxmlformats.org/officeDocument/2006/relationships/hyperlink" Target="http://www.doe.mass.edu/sfs/lgbtq/LearningEnvironments.pdf" TargetMode="External"/><Relationship Id="rId190" Type="http://schemas.openxmlformats.org/officeDocument/2006/relationships/hyperlink" Target="https://ma-lgbtq.org/resources/" TargetMode="External"/><Relationship Id="rId204" Type="http://schemas.openxmlformats.org/officeDocument/2006/relationships/footer" Target="footer7.xml"/><Relationship Id="rId225" Type="http://schemas.openxmlformats.org/officeDocument/2006/relationships/hyperlink" Target="https://doi.org/10.1007/s11606-017-4127-6" TargetMode="External"/><Relationship Id="rId246" Type="http://schemas.openxmlformats.org/officeDocument/2006/relationships/hyperlink" Target="http://www.mass.gov/news/commission-testifies-on-id-access-for-the-homeless" TargetMode="External"/><Relationship Id="rId267" Type="http://schemas.openxmlformats.org/officeDocument/2006/relationships/hyperlink" Target="https://bostonrealestatetimes.com/hud-makes-393246-in-covid-19-relief-funding-to-help-native-american-communities-in-massachusetts/" TargetMode="External"/><Relationship Id="rId288" Type="http://schemas.openxmlformats.org/officeDocument/2006/relationships/hyperlink" Target="http://www.usccr.gov/pubs/2018/11-15-Police-Force.pdf" TargetMode="External"/><Relationship Id="rId411" Type="http://schemas.openxmlformats.org/officeDocument/2006/relationships/header" Target="header24.xml"/><Relationship Id="rId432" Type="http://schemas.openxmlformats.org/officeDocument/2006/relationships/hyperlink" Target="http://www.thetrevorproject.org/survey-2020/" TargetMode="External"/><Relationship Id="rId453" Type="http://schemas.openxmlformats.org/officeDocument/2006/relationships/hyperlink" Target="http://campaignforyouthjustice.org/news/blog/item/young-queer-" TargetMode="External"/><Relationship Id="rId474" Type="http://schemas.openxmlformats.org/officeDocument/2006/relationships/footer" Target="footer36.xml"/><Relationship Id="rId106" Type="http://schemas.openxmlformats.org/officeDocument/2006/relationships/image" Target="media/image77.png"/><Relationship Id="rId127" Type="http://schemas.openxmlformats.org/officeDocument/2006/relationships/hyperlink" Target="http://www.wgbh.org/news/local-news/2022/03/02/we-need-to-change-the-" TargetMode="External"/><Relationship Id="rId313" Type="http://schemas.openxmlformats.org/officeDocument/2006/relationships/hyperlink" Target="http://www.hivlawandpolicy.org/sites/default/files/TS%20LRM%20Dec.%202010.pdf" TargetMode="External"/><Relationship Id="rId10" Type="http://schemas.openxmlformats.org/officeDocument/2006/relationships/hyperlink" Target="https://www.mass.gov/annual-recommendations" TargetMode="External"/><Relationship Id="rId31" Type="http://schemas.openxmlformats.org/officeDocument/2006/relationships/hyperlink" Target="http://www.hrc.org/resources/sexual-assault-and-the-lgbt-community" TargetMode="External"/><Relationship Id="rId52" Type="http://schemas.openxmlformats.org/officeDocument/2006/relationships/image" Target="media/image23.png"/><Relationship Id="rId73" Type="http://schemas.openxmlformats.org/officeDocument/2006/relationships/image" Target="media/image44.png"/><Relationship Id="rId94" Type="http://schemas.openxmlformats.org/officeDocument/2006/relationships/image" Target="media/image65.png"/><Relationship Id="rId148" Type="http://schemas.openxmlformats.org/officeDocument/2006/relationships/footer" Target="footer4.xml"/><Relationship Id="rId169" Type="http://schemas.openxmlformats.org/officeDocument/2006/relationships/hyperlink" Target="https://open.spotify.com/episode/10U7YgsZsiRfjRAg9rH1Ph?si=s5fe4g7ERK-G7zpmTFuksw" TargetMode="External"/><Relationship Id="rId334" Type="http://schemas.openxmlformats.org/officeDocument/2006/relationships/hyperlink" Target="http://www.nimh.nih.gov/health/statistics/suicide%3B" TargetMode="External"/><Relationship Id="rId355" Type="http://schemas.openxmlformats.org/officeDocument/2006/relationships/hyperlink" Target="http://www.unh.edu/sharpp/students_of_color" TargetMode="External"/><Relationship Id="rId376" Type="http://schemas.openxmlformats.org/officeDocument/2006/relationships/hyperlink" Target="https://www.doe.mass.edu/sfs/?section=family&amp;%3A%7E%3Atext=The%20Massachusetts%20Department%20of%20Elementary%20and%20Secondary%20Education%27s%2C-%20from%20the%20earliest%20ages%20into%20young%20adulthood" TargetMode="External"/><Relationship Id="rId397" Type="http://schemas.openxmlformats.org/officeDocument/2006/relationships/hyperlink" Target="http://www.mass.gov/doc/commission-report-on-dcf/download" TargetMode="External"/><Relationship Id="rId4" Type="http://schemas.openxmlformats.org/officeDocument/2006/relationships/webSettings" Target="webSettings.xml"/><Relationship Id="rId180" Type="http://schemas.openxmlformats.org/officeDocument/2006/relationships/hyperlink" Target="https://genderspectrum.org/articles/using-the-gsp" TargetMode="External"/><Relationship Id="rId215" Type="http://schemas.openxmlformats.org/officeDocument/2006/relationships/hyperlink" Target="https://www.nbcnews.com/feature/nbc-out/coronavirus-pandemic-perfect-storm-lgbtq-homeless-youth-n1176206" TargetMode="External"/><Relationship Id="rId236" Type="http://schemas.openxmlformats.org/officeDocument/2006/relationships/hyperlink" Target="https://www.ihs.gov/lgbt/health/twospirit/" TargetMode="External"/><Relationship Id="rId257" Type="http://schemas.openxmlformats.org/officeDocument/2006/relationships/hyperlink" Target="http://www.boston.gov/news/more-100-homeless-youth-and-young-adults-housed-2019" TargetMode="External"/><Relationship Id="rId278" Type="http://schemas.openxmlformats.org/officeDocument/2006/relationships/header" Target="header11.xml"/><Relationship Id="rId401" Type="http://schemas.openxmlformats.org/officeDocument/2006/relationships/hyperlink" Target="https://www.mass.gov/doc/area-profile-fy2022-q2/download" TargetMode="External"/><Relationship Id="rId422" Type="http://schemas.openxmlformats.org/officeDocument/2006/relationships/header" Target="header29.xml"/><Relationship Id="rId443" Type="http://schemas.openxmlformats.org/officeDocument/2006/relationships/hyperlink" Target="http://williamsinstitute.law.ucla.edu/wp-" TargetMode="External"/><Relationship Id="rId464" Type="http://schemas.openxmlformats.org/officeDocument/2006/relationships/hyperlink" Target="http://www.mass.gov/doc/lgbtq-books-brochure/download" TargetMode="External"/><Relationship Id="rId303" Type="http://schemas.openxmlformats.org/officeDocument/2006/relationships/hyperlink" Target="http://www.lambdalegal.org/node/30521" TargetMode="External"/><Relationship Id="rId42" Type="http://schemas.openxmlformats.org/officeDocument/2006/relationships/image" Target="media/image13.png"/><Relationship Id="rId84" Type="http://schemas.openxmlformats.org/officeDocument/2006/relationships/image" Target="media/image55.png"/><Relationship Id="rId138" Type="http://schemas.openxmlformats.org/officeDocument/2006/relationships/hyperlink" Target="http://www.lgbtmap.org/file/lgbtq-incarcerated-youth.pdf" TargetMode="External"/><Relationship Id="rId345" Type="http://schemas.openxmlformats.org/officeDocument/2006/relationships/hyperlink" Target="http://www.dovema.org/lgbqt" TargetMode="External"/><Relationship Id="rId387" Type="http://schemas.openxmlformats.org/officeDocument/2006/relationships/header" Target="header19.xml"/><Relationship Id="rId191" Type="http://schemas.openxmlformats.org/officeDocument/2006/relationships/hyperlink" Target="https://ma-lgbtq.org/resources/" TargetMode="External"/><Relationship Id="rId205" Type="http://schemas.openxmlformats.org/officeDocument/2006/relationships/hyperlink" Target="http://www.mass.gov/doc/furthering-the-work-2019/download" TargetMode="External"/><Relationship Id="rId247" Type="http://schemas.openxmlformats.org/officeDocument/2006/relationships/hyperlink" Target="http://www.lambdalegal.org/sites/default/files/publications/downloads/bkl_national-recommended-best-" TargetMode="External"/><Relationship Id="rId412" Type="http://schemas.openxmlformats.org/officeDocument/2006/relationships/footer" Target="footer21.xml"/><Relationship Id="rId107" Type="http://schemas.openxmlformats.org/officeDocument/2006/relationships/image" Target="media/image78.png"/><Relationship Id="rId289" Type="http://schemas.openxmlformats.org/officeDocument/2006/relationships/hyperlink" Target="http://www.themarshallproject.org/2021/03/08/many-juvenile-jails-are-now-almost-entirely-" TargetMode="External"/><Relationship Id="rId454" Type="http://schemas.openxmlformats.org/officeDocument/2006/relationships/header" Target="header35.xml"/><Relationship Id="rId11" Type="http://schemas.openxmlformats.org/officeDocument/2006/relationships/hyperlink" Target="http://mass.gov/cgly" TargetMode="External"/><Relationship Id="rId53" Type="http://schemas.openxmlformats.org/officeDocument/2006/relationships/image" Target="media/image24.png"/><Relationship Id="rId149" Type="http://schemas.openxmlformats.org/officeDocument/2006/relationships/hyperlink" Target="https://www.doe.mass.edu/sfs/lgbtq/GSALcouncil.html" TargetMode="External"/><Relationship Id="rId314" Type="http://schemas.openxmlformats.org/officeDocument/2006/relationships/hyperlink" Target="http://www.nclrights.org/wp-content/uploads/2014/06/hidden_injustice.pdf" TargetMode="External"/><Relationship Id="rId356" Type="http://schemas.openxmlformats.org/officeDocument/2006/relationships/hyperlink" Target="http://www.hklaw.com/en/insights/publications/2021/08/massachusetts-new-campus-" TargetMode="External"/><Relationship Id="rId398" Type="http://schemas.openxmlformats.org/officeDocument/2006/relationships/hyperlink" Target="http://www.alleghenycountyanalytics.us/wpcontent/uploads/2019/05/getREAL-in-Allegheny-County-FINAL.pdf" TargetMode="External"/><Relationship Id="rId95" Type="http://schemas.openxmlformats.org/officeDocument/2006/relationships/image" Target="media/image66.png"/><Relationship Id="rId160" Type="http://schemas.openxmlformats.org/officeDocument/2006/relationships/image" Target="media/image91.jpeg"/><Relationship Id="rId216" Type="http://schemas.openxmlformats.org/officeDocument/2006/relationships/hyperlink" Target="https://homelessvoice.org/the-worsening-challenges-of-homeless-lgbt-youth-in-a-pandemic/" TargetMode="External"/><Relationship Id="rId423" Type="http://schemas.openxmlformats.org/officeDocument/2006/relationships/footer" Target="footer26.xml"/><Relationship Id="rId258" Type="http://schemas.openxmlformats.org/officeDocument/2006/relationships/hyperlink" Target="http://www.boston.gov/news/more-100-homeless-youth-and-young-adults-housed-2019" TargetMode="External"/><Relationship Id="rId465" Type="http://schemas.openxmlformats.org/officeDocument/2006/relationships/header" Target="header37.xml"/><Relationship Id="rId22" Type="http://schemas.openxmlformats.org/officeDocument/2006/relationships/hyperlink" Target="https://www.doe.mass.edu/sfs/lgbtq/GSALcouncil.html" TargetMode="External"/><Relationship Id="rId64" Type="http://schemas.openxmlformats.org/officeDocument/2006/relationships/image" Target="media/image35.png"/><Relationship Id="rId118" Type="http://schemas.openxmlformats.org/officeDocument/2006/relationships/hyperlink" Target="http://www.thetrevorproject.org/survey-2021/?section=Introduction" TargetMode="External"/><Relationship Id="rId325" Type="http://schemas.openxmlformats.org/officeDocument/2006/relationships/hyperlink" Target="http://www.cdc.gov/hiv/library/reports/hiv-surveillance.html" TargetMode="External"/><Relationship Id="rId367" Type="http://schemas.openxmlformats.org/officeDocument/2006/relationships/hyperlink" Target="http://www.hrc.org/resources/sexual-assault-and-the-lgbt-community" TargetMode="External"/><Relationship Id="rId171" Type="http://schemas.openxmlformats.org/officeDocument/2006/relationships/hyperlink" Target="https://www.boston.com/news/local-news/2022/03/31/we-see-you-we-hear-you-we-love-you-advocates-gather-at-state-house-to-express-support-for-lgbtq-youth/" TargetMode="External"/><Relationship Id="rId227" Type="http://schemas.openxmlformats.org/officeDocument/2006/relationships/hyperlink" Target="https://doi.org/10.1007/s11606-010-1424-8" TargetMode="External"/><Relationship Id="rId269" Type="http://schemas.openxmlformats.org/officeDocument/2006/relationships/hyperlink" Target="http://www.childrensleague.org/wp-content/uploads/CLM-adoption-access-written-testimony-FINAL.pdf" TargetMode="External"/><Relationship Id="rId434" Type="http://schemas.openxmlformats.org/officeDocument/2006/relationships/hyperlink" Target="http://www.mass.gov/gender-affirming-care-for-masshealth-members" TargetMode="External"/><Relationship Id="rId476" Type="http://schemas.openxmlformats.org/officeDocument/2006/relationships/footer" Target="footer37.xml"/><Relationship Id="rId33" Type="http://schemas.openxmlformats.org/officeDocument/2006/relationships/image" Target="media/image6.png"/><Relationship Id="rId129" Type="http://schemas.openxmlformats.org/officeDocument/2006/relationships/hyperlink" Target="http://www.mass.gov/info-" TargetMode="External"/><Relationship Id="rId280" Type="http://schemas.openxmlformats.org/officeDocument/2006/relationships/hyperlink" Target="http://www.juvjustice.org/sites/default/files/ckfinder/files/LGBTQ%20youth%20report%20Final.pdf" TargetMode="External"/><Relationship Id="rId336" Type="http://schemas.openxmlformats.org/officeDocument/2006/relationships/header" Target="header14.xml"/><Relationship Id="rId75" Type="http://schemas.openxmlformats.org/officeDocument/2006/relationships/image" Target="media/image46.png"/><Relationship Id="rId140" Type="http://schemas.openxmlformats.org/officeDocument/2006/relationships/hyperlink" Target="http://solitaryconfinement/" TargetMode="External"/><Relationship Id="rId182" Type="http://schemas.openxmlformats.org/officeDocument/2006/relationships/hyperlink" Target="http://pflag.org/" TargetMode="External"/><Relationship Id="rId378" Type="http://schemas.openxmlformats.org/officeDocument/2006/relationships/footer" Target="footer15.xml"/><Relationship Id="rId403" Type="http://schemas.openxmlformats.org/officeDocument/2006/relationships/header" Target="header22.xml"/><Relationship Id="rId6" Type="http://schemas.openxmlformats.org/officeDocument/2006/relationships/endnotes" Target="endnotes.xml"/><Relationship Id="rId238" Type="http://schemas.openxmlformats.org/officeDocument/2006/relationships/hyperlink" Target="https://williamsinstitute.law.ucla.edu/wp-content/uploads/LAFYS_report_final-aug-2014.pdf" TargetMode="External"/><Relationship Id="rId445" Type="http://schemas.openxmlformats.org/officeDocument/2006/relationships/hyperlink" Target="http://www.americanprogress.org/wp-" TargetMode="External"/><Relationship Id="rId291" Type="http://schemas.openxmlformats.org/officeDocument/2006/relationships/hyperlink" Target="http://www.americanprogress.org/issues/lgbtq-" TargetMode="External"/><Relationship Id="rId305" Type="http://schemas.openxmlformats.org/officeDocument/2006/relationships/hyperlink" Target="http://www.lambdalegal.org/node/30521" TargetMode="External"/><Relationship Id="rId347" Type="http://schemas.openxmlformats.org/officeDocument/2006/relationships/hyperlink" Target="http://www.roxburyyouthworks.org/" TargetMode="External"/><Relationship Id="rId44" Type="http://schemas.openxmlformats.org/officeDocument/2006/relationships/image" Target="media/image15.png"/><Relationship Id="rId86" Type="http://schemas.openxmlformats.org/officeDocument/2006/relationships/image" Target="media/image57.png"/><Relationship Id="rId151" Type="http://schemas.openxmlformats.org/officeDocument/2006/relationships/image" Target="media/image83.png"/><Relationship Id="rId389" Type="http://schemas.openxmlformats.org/officeDocument/2006/relationships/hyperlink" Target="http://www.campuspride.org/" TargetMode="External"/><Relationship Id="rId193" Type="http://schemas.openxmlformats.org/officeDocument/2006/relationships/hyperlink" Target="http://www.mass.gov/annualrecommendations" TargetMode="External"/><Relationship Id="rId207" Type="http://schemas.openxmlformats.org/officeDocument/2006/relationships/hyperlink" Target="https://www.americanbar.org/groups/litigation/committees/childrens-rights/articles/2017/fall2017-proving-i-exist-strategies-assessting-youth-obtaining-id-docs/" TargetMode="External"/><Relationship Id="rId249" Type="http://schemas.openxmlformats.org/officeDocument/2006/relationships/hyperlink" Target="http://www.mass.gov/doc/massachusetts-state-plan-to-end-youth-homelessness/download" TargetMode="External"/><Relationship Id="rId414" Type="http://schemas.openxmlformats.org/officeDocument/2006/relationships/footer" Target="footer22.xml"/><Relationship Id="rId456" Type="http://schemas.openxmlformats.org/officeDocument/2006/relationships/hyperlink" Target="http://www.mass.gov/doc/2019-massachuset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105332</Words>
  <Characters>600393</Characters>
  <Application>Microsoft Office Word</Application>
  <DocSecurity>0</DocSecurity>
  <Lines>5003</Lines>
  <Paragraphs>1408</Paragraphs>
  <ScaleCrop>false</ScaleCrop>
  <Company/>
  <LinksUpToDate>false</LinksUpToDate>
  <CharactersWithSpaces>704317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Rayna Danis</dc:creator>
  <cp:lastModifiedBy>Rayna Danis</cp:lastModifiedBy>
  <cp:revision>3</cp:revision>
  <dcterms:created xsi:type="dcterms:W3CDTF">2022-06-13T18:08:00Z</dcterms:created>
  <dcterms:modified xsi:type="dcterms:W3CDTF">2022-06-13T18:30:00Z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2022-06-13T00:00:00Z</vt:filetime>
  </property>
  <property fmtid="{D5CDD505-2E9C-101B-9397-08002B2CF9AE}" pid="3" name="Creator">
    <vt:lpwstr>Acrobat PDFMaker 22 for Word</vt:lpwstr>
  </property>
  <property fmtid="{D5CDD505-2E9C-101B-9397-08002B2CF9AE}" pid="4" name="LastSaved">
    <vt:filetime>2022-06-13T00:00:00Z</vt:filetime>
  </property>
</Properties>
</file>